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D2070" w:rsidRPr="00C03220" w:rsidRDefault="004D2070" w:rsidP="004D2070">
      <w:pPr>
        <w:jc w:val="center"/>
        <w:rPr>
          <w:rFonts w:ascii="Times New Roman" w:hAnsi="Times New Roman" w:cs="Times New Roman"/>
          <w:lang w:val="pl-PL"/>
        </w:rPr>
      </w:pPr>
      <w:bookmarkStart w:id="0" w:name="_GoBack"/>
      <w:bookmarkEnd w:id="0"/>
      <w:r w:rsidRPr="00C03220">
        <w:rPr>
          <w:rFonts w:ascii="Times New Roman" w:hAnsi="Times New Roman" w:cs="Times New Roman"/>
          <w:lang w:val="pl-PL"/>
        </w:rPr>
        <w:t>DRUGA SEKCJA</w:t>
      </w:r>
    </w:p>
    <w:p w:rsidR="004D2070" w:rsidRPr="00C03220" w:rsidRDefault="004D2070" w:rsidP="004D2070">
      <w:pPr>
        <w:jc w:val="center"/>
        <w:rPr>
          <w:rFonts w:ascii="Times New Roman" w:hAnsi="Times New Roman" w:cs="Times New Roman"/>
          <w:lang w:val="pl-PL"/>
        </w:rPr>
      </w:pPr>
    </w:p>
    <w:p w:rsidR="004D2070" w:rsidRPr="00C03220" w:rsidRDefault="004D2070" w:rsidP="004D2070">
      <w:pPr>
        <w:jc w:val="center"/>
        <w:rPr>
          <w:rFonts w:ascii="Times New Roman" w:hAnsi="Times New Roman" w:cs="Times New Roman"/>
          <w:lang w:val="pl-PL"/>
        </w:rPr>
      </w:pPr>
    </w:p>
    <w:p w:rsidR="004D2070" w:rsidRPr="00C03220" w:rsidRDefault="004D2070" w:rsidP="00271A34">
      <w:pPr>
        <w:rPr>
          <w:rFonts w:ascii="Times New Roman" w:hAnsi="Times New Roman" w:cs="Times New Roman"/>
          <w:lang w:val="pl-PL"/>
        </w:rPr>
      </w:pPr>
    </w:p>
    <w:p w:rsidR="004D2070" w:rsidRPr="00C03220" w:rsidRDefault="004D2070" w:rsidP="004D2070">
      <w:pPr>
        <w:jc w:val="center"/>
        <w:rPr>
          <w:rFonts w:ascii="Times New Roman" w:hAnsi="Times New Roman" w:cs="Times New Roman"/>
          <w:b/>
          <w:lang w:val="pl-PL"/>
        </w:rPr>
      </w:pPr>
      <w:bookmarkStart w:id="1" w:name="To"/>
      <w:r w:rsidRPr="00C03220">
        <w:rPr>
          <w:rFonts w:ascii="Times New Roman" w:hAnsi="Times New Roman" w:cs="Times New Roman"/>
          <w:b/>
          <w:bCs/>
          <w:lang w:val="pl-PL"/>
        </w:rPr>
        <w:t xml:space="preserve">SPRAWA </w:t>
      </w:r>
      <w:bookmarkEnd w:id="1"/>
      <w:r w:rsidRPr="00C03220">
        <w:rPr>
          <w:rFonts w:ascii="Times New Roman" w:hAnsi="Times New Roman" w:cs="Times New Roman"/>
          <w:b/>
          <w:bCs/>
          <w:lang w:val="pl-PL"/>
        </w:rPr>
        <w:t>VONA przeciwko WĘGROM</w:t>
      </w:r>
    </w:p>
    <w:p w:rsidR="004D2070" w:rsidRPr="00C03220" w:rsidRDefault="004D2070" w:rsidP="004D2070">
      <w:pPr>
        <w:jc w:val="center"/>
        <w:rPr>
          <w:rFonts w:ascii="Times New Roman" w:hAnsi="Times New Roman" w:cs="Times New Roman"/>
          <w:lang w:val="pl-PL"/>
        </w:rPr>
      </w:pPr>
    </w:p>
    <w:p w:rsidR="004D2070" w:rsidRPr="00C03220" w:rsidRDefault="004D2070" w:rsidP="004D2070">
      <w:pPr>
        <w:jc w:val="center"/>
        <w:rPr>
          <w:rFonts w:ascii="Times New Roman" w:hAnsi="Times New Roman" w:cs="Times New Roman"/>
          <w:i/>
          <w:lang w:val="pl-PL"/>
        </w:rPr>
      </w:pPr>
      <w:r w:rsidRPr="00C03220">
        <w:rPr>
          <w:rFonts w:ascii="Times New Roman" w:hAnsi="Times New Roman" w:cs="Times New Roman"/>
          <w:i/>
          <w:iCs/>
          <w:lang w:val="pl-PL"/>
        </w:rPr>
        <w:t>(Skarga nr 35943/10)</w:t>
      </w:r>
    </w:p>
    <w:p w:rsidR="004D2070" w:rsidRPr="00C03220" w:rsidRDefault="004D2070" w:rsidP="004D2070">
      <w:pPr>
        <w:jc w:val="center"/>
        <w:rPr>
          <w:rFonts w:ascii="Times New Roman" w:hAnsi="Times New Roman" w:cs="Times New Roman"/>
          <w:lang w:val="pl-PL"/>
        </w:rPr>
      </w:pPr>
    </w:p>
    <w:p w:rsidR="004D2070" w:rsidRPr="00C03220" w:rsidRDefault="004D2070" w:rsidP="004D2070">
      <w:pPr>
        <w:jc w:val="center"/>
        <w:rPr>
          <w:rFonts w:ascii="Times New Roman" w:hAnsi="Times New Roman" w:cs="Times New Roman"/>
          <w:lang w:val="pl-PL"/>
        </w:rPr>
      </w:pPr>
    </w:p>
    <w:p w:rsidR="004D2070" w:rsidRPr="00C03220" w:rsidRDefault="004D2070" w:rsidP="004D2070">
      <w:pPr>
        <w:jc w:val="center"/>
        <w:rPr>
          <w:rFonts w:ascii="Times New Roman" w:hAnsi="Times New Roman" w:cs="Times New Roman"/>
          <w:lang w:val="pl-PL"/>
        </w:rPr>
      </w:pPr>
    </w:p>
    <w:p w:rsidR="004D2070" w:rsidRPr="00C03220" w:rsidRDefault="004D2070" w:rsidP="004D2070">
      <w:pPr>
        <w:jc w:val="center"/>
        <w:rPr>
          <w:rFonts w:ascii="Times New Roman" w:hAnsi="Times New Roman" w:cs="Times New Roman"/>
          <w:szCs w:val="24"/>
          <w:lang w:val="pl-PL"/>
        </w:rPr>
      </w:pPr>
      <w:r w:rsidRPr="00C03220">
        <w:rPr>
          <w:rFonts w:ascii="Times New Roman" w:hAnsi="Times New Roman" w:cs="Times New Roman"/>
          <w:szCs w:val="24"/>
          <w:lang w:val="pl-PL"/>
        </w:rPr>
        <w:t>WYROK</w:t>
      </w:r>
    </w:p>
    <w:p w:rsidR="004D2070" w:rsidRPr="00C03220" w:rsidRDefault="004D2070" w:rsidP="004D2070">
      <w:pPr>
        <w:jc w:val="center"/>
        <w:rPr>
          <w:rFonts w:ascii="Times New Roman" w:hAnsi="Times New Roman" w:cs="Times New Roman"/>
          <w:szCs w:val="24"/>
          <w:lang w:val="pl-PL"/>
        </w:rPr>
      </w:pPr>
    </w:p>
    <w:p w:rsidR="004D2070" w:rsidRPr="00C03220" w:rsidRDefault="004D2070" w:rsidP="004D2070">
      <w:pPr>
        <w:pStyle w:val="JuCase"/>
        <w:ind w:firstLine="0"/>
        <w:jc w:val="center"/>
        <w:rPr>
          <w:rFonts w:ascii="Times New Roman" w:hAnsi="Times New Roman" w:cs="Times New Roman"/>
          <w:b w:val="0"/>
          <w:lang w:val="pl-PL"/>
        </w:rPr>
      </w:pPr>
    </w:p>
    <w:p w:rsidR="004D2070" w:rsidRPr="00C03220" w:rsidRDefault="004D2070" w:rsidP="004D2070">
      <w:pPr>
        <w:pStyle w:val="JuCase"/>
        <w:ind w:firstLine="0"/>
        <w:jc w:val="center"/>
        <w:rPr>
          <w:rFonts w:ascii="Times New Roman" w:hAnsi="Times New Roman" w:cs="Times New Roman"/>
          <w:b w:val="0"/>
          <w:lang w:val="pl-PL"/>
        </w:rPr>
      </w:pPr>
    </w:p>
    <w:p w:rsidR="004D2070" w:rsidRPr="00C03220" w:rsidRDefault="004D2070" w:rsidP="004D2070">
      <w:pPr>
        <w:pStyle w:val="JuCase"/>
        <w:ind w:firstLine="0"/>
        <w:jc w:val="center"/>
        <w:rPr>
          <w:rFonts w:ascii="Times New Roman" w:hAnsi="Times New Roman" w:cs="Times New Roman"/>
          <w:b w:val="0"/>
          <w:lang w:val="pl-PL"/>
        </w:rPr>
      </w:pPr>
      <w:r w:rsidRPr="00C03220">
        <w:rPr>
          <w:rFonts w:ascii="Times New Roman" w:hAnsi="Times New Roman" w:cs="Times New Roman"/>
          <w:b w:val="0"/>
          <w:lang w:val="pl-PL"/>
        </w:rPr>
        <w:t>STRASBOURG</w:t>
      </w:r>
    </w:p>
    <w:p w:rsidR="004D2070" w:rsidRPr="00C03220" w:rsidRDefault="004D2070" w:rsidP="004D2070">
      <w:pPr>
        <w:pStyle w:val="JuCase"/>
        <w:ind w:firstLine="0"/>
        <w:jc w:val="center"/>
        <w:rPr>
          <w:rFonts w:ascii="Times New Roman" w:hAnsi="Times New Roman" w:cs="Times New Roman"/>
          <w:b w:val="0"/>
          <w:lang w:val="pl-PL"/>
        </w:rPr>
      </w:pPr>
    </w:p>
    <w:p w:rsidR="004D2070" w:rsidRPr="00C03220" w:rsidRDefault="004D2070" w:rsidP="004D2070">
      <w:pPr>
        <w:pStyle w:val="JuCase"/>
        <w:ind w:firstLine="0"/>
        <w:jc w:val="center"/>
        <w:rPr>
          <w:rFonts w:ascii="Times New Roman" w:hAnsi="Times New Roman" w:cs="Times New Roman"/>
          <w:b w:val="0"/>
          <w:lang w:val="pl-PL"/>
        </w:rPr>
      </w:pPr>
      <w:r w:rsidRPr="00C03220">
        <w:rPr>
          <w:rFonts w:ascii="Times New Roman" w:hAnsi="Times New Roman" w:cs="Times New Roman"/>
          <w:b w:val="0"/>
          <w:lang w:val="pl-PL"/>
        </w:rPr>
        <w:t>9 lipca 2013 r.</w:t>
      </w:r>
    </w:p>
    <w:p w:rsidR="004D2070" w:rsidRPr="00C03220" w:rsidRDefault="004D2070" w:rsidP="004D2070">
      <w:pPr>
        <w:pStyle w:val="JuCase"/>
        <w:ind w:firstLine="0"/>
        <w:jc w:val="center"/>
        <w:rPr>
          <w:rFonts w:ascii="Times New Roman" w:hAnsi="Times New Roman" w:cs="Times New Roman"/>
          <w:b w:val="0"/>
          <w:lang w:val="pl-PL"/>
        </w:rPr>
      </w:pPr>
    </w:p>
    <w:p w:rsidR="004D2070" w:rsidRPr="00C03220" w:rsidRDefault="004D2070" w:rsidP="004D2070">
      <w:pPr>
        <w:pStyle w:val="ECHRPara"/>
        <w:rPr>
          <w:rFonts w:ascii="Times New Roman" w:hAnsi="Times New Roman" w:cs="Times New Roman"/>
          <w:lang w:val="pl-PL"/>
        </w:rPr>
      </w:pPr>
    </w:p>
    <w:p w:rsidR="004D2070" w:rsidRPr="00C03220" w:rsidRDefault="004D2070" w:rsidP="004D2070">
      <w:pPr>
        <w:pStyle w:val="jucase0"/>
        <w:ind w:firstLine="0"/>
        <w:jc w:val="center"/>
        <w:rPr>
          <w:color w:val="FF0000"/>
          <w:sz w:val="28"/>
          <w:szCs w:val="28"/>
          <w:u w:val="single"/>
          <w:lang w:val="pl-PL"/>
        </w:rPr>
      </w:pPr>
      <w:r w:rsidRPr="00C03220">
        <w:rPr>
          <w:color w:val="FF0000"/>
          <w:sz w:val="28"/>
          <w:szCs w:val="28"/>
          <w:u w:val="single"/>
          <w:lang w:val="pl-PL"/>
        </w:rPr>
        <w:t>OSTATECZNY</w:t>
      </w:r>
    </w:p>
    <w:p w:rsidR="004D2070" w:rsidRPr="00C03220" w:rsidRDefault="004D2070" w:rsidP="004D2070">
      <w:pPr>
        <w:pStyle w:val="jupara"/>
        <w:ind w:firstLine="0"/>
        <w:rPr>
          <w:color w:val="FF0000"/>
          <w:sz w:val="28"/>
          <w:szCs w:val="28"/>
          <w:lang w:val="pl-PL"/>
        </w:rPr>
      </w:pPr>
    </w:p>
    <w:p w:rsidR="004D2070" w:rsidRPr="00C03220" w:rsidRDefault="00271A34" w:rsidP="004D2070">
      <w:pPr>
        <w:pStyle w:val="jupara"/>
        <w:ind w:firstLine="0"/>
        <w:jc w:val="center"/>
        <w:rPr>
          <w:color w:val="FF0000"/>
          <w:sz w:val="28"/>
          <w:szCs w:val="28"/>
          <w:lang w:val="pl-PL"/>
        </w:rPr>
      </w:pPr>
      <w:r w:rsidRPr="00C03220">
        <w:rPr>
          <w:color w:val="FF0000"/>
          <w:sz w:val="28"/>
          <w:szCs w:val="28"/>
          <w:lang w:val="pl-PL"/>
        </w:rPr>
        <w:t xml:space="preserve">9 </w:t>
      </w:r>
      <w:r w:rsidR="003F1960" w:rsidRPr="00C03220">
        <w:rPr>
          <w:color w:val="FF0000"/>
          <w:sz w:val="28"/>
          <w:szCs w:val="28"/>
          <w:lang w:val="pl-PL"/>
        </w:rPr>
        <w:t>grudnia</w:t>
      </w:r>
      <w:r w:rsidR="004D2070" w:rsidRPr="00C03220">
        <w:rPr>
          <w:color w:val="FF0000"/>
          <w:sz w:val="28"/>
          <w:szCs w:val="28"/>
          <w:lang w:val="pl-PL"/>
        </w:rPr>
        <w:t xml:space="preserve"> 2013 r.</w:t>
      </w:r>
    </w:p>
    <w:p w:rsidR="004D2070" w:rsidRPr="00C03220" w:rsidRDefault="004D2070" w:rsidP="004D2070">
      <w:pPr>
        <w:pStyle w:val="jupara"/>
        <w:ind w:firstLine="0"/>
        <w:jc w:val="center"/>
        <w:rPr>
          <w:lang w:val="pl-PL"/>
        </w:rPr>
      </w:pPr>
    </w:p>
    <w:p w:rsidR="004D2070" w:rsidRPr="00C03220" w:rsidRDefault="004D2070" w:rsidP="000829CE">
      <w:pPr>
        <w:jc w:val="center"/>
        <w:rPr>
          <w:rFonts w:ascii="Times New Roman" w:hAnsi="Times New Roman" w:cs="Times New Roman"/>
          <w:b/>
          <w:i/>
          <w:sz w:val="22"/>
          <w:lang w:val="pl-PL"/>
        </w:rPr>
      </w:pPr>
      <w:r w:rsidRPr="00C03220">
        <w:rPr>
          <w:rFonts w:ascii="Times New Roman" w:hAnsi="Times New Roman" w:cs="Times New Roman"/>
          <w:i/>
          <w:iCs/>
          <w:sz w:val="22"/>
          <w:lang w:val="pl-PL"/>
        </w:rPr>
        <w:t xml:space="preserve">Niniejszy wyrok stanie się ostateczny zgodnie z warunkami określonymi w </w:t>
      </w:r>
      <w:r w:rsidR="00271A34" w:rsidRPr="00C03220">
        <w:rPr>
          <w:rFonts w:ascii="Times New Roman" w:hAnsi="Times New Roman" w:cs="Times New Roman"/>
          <w:i/>
          <w:iCs/>
          <w:sz w:val="22"/>
          <w:lang w:val="pl-PL"/>
        </w:rPr>
        <w:t>a</w:t>
      </w:r>
      <w:r w:rsidRPr="00C03220">
        <w:rPr>
          <w:rFonts w:ascii="Times New Roman" w:hAnsi="Times New Roman" w:cs="Times New Roman"/>
          <w:i/>
          <w:iCs/>
          <w:sz w:val="22"/>
          <w:lang w:val="pl-PL"/>
        </w:rPr>
        <w:t>rtykule 44 ust. 2 Konwencji. Wyrok może podlegać korekcie edycyjnej.</w:t>
      </w:r>
    </w:p>
    <w:p w:rsidR="004D2070" w:rsidRPr="00C03220" w:rsidRDefault="004D2070" w:rsidP="004D2070">
      <w:pPr>
        <w:pStyle w:val="ECHRPara"/>
        <w:rPr>
          <w:rFonts w:ascii="Times New Roman" w:hAnsi="Times New Roman" w:cs="Times New Roman"/>
          <w:lang w:val="pl-PL"/>
        </w:rPr>
        <w:sectPr w:rsidR="004D2070" w:rsidRPr="00C03220" w:rsidSect="006B1DF1">
          <w:headerReference w:type="default" r:id="rId9"/>
          <w:headerReference w:type="first" r:id="rId10"/>
          <w:footerReference w:type="first" r:id="rId11"/>
          <w:footnotePr>
            <w:numRestart w:val="eachPage"/>
          </w:footnotePr>
          <w:pgSz w:w="11906" w:h="16838" w:code="9"/>
          <w:pgMar w:top="2274" w:right="2274" w:bottom="2274" w:left="2274" w:header="1701" w:footer="720" w:gutter="0"/>
          <w:pgNumType w:start="1"/>
          <w:cols w:space="720"/>
          <w:titlePg/>
          <w:docGrid w:linePitch="326"/>
        </w:sectPr>
      </w:pPr>
    </w:p>
    <w:p w:rsidR="004D2070" w:rsidRPr="00C03220" w:rsidRDefault="004D2070" w:rsidP="004D2070">
      <w:pPr>
        <w:pStyle w:val="JuCase"/>
        <w:rPr>
          <w:rFonts w:ascii="Times New Roman" w:hAnsi="Times New Roman" w:cs="Times New Roman"/>
          <w:b w:val="0"/>
          <w:bCs/>
          <w:lang w:val="pl-PL"/>
        </w:rPr>
      </w:pPr>
      <w:r w:rsidRPr="00C03220">
        <w:rPr>
          <w:rFonts w:ascii="Times New Roman" w:hAnsi="Times New Roman" w:cs="Times New Roman"/>
          <w:bCs/>
          <w:lang w:val="pl-PL"/>
        </w:rPr>
        <w:lastRenderedPageBreak/>
        <w:t>W sprawie Vona przeciwko Węgrom,</w:t>
      </w:r>
    </w:p>
    <w:p w:rsidR="004D2070" w:rsidRPr="00C03220" w:rsidRDefault="004D2070" w:rsidP="004D2070">
      <w:pPr>
        <w:pStyle w:val="JuCase"/>
        <w:rPr>
          <w:rFonts w:ascii="Times New Roman" w:hAnsi="Times New Roman" w:cs="Times New Roman"/>
          <w:b w:val="0"/>
          <w:bCs/>
          <w:szCs w:val="24"/>
          <w:lang w:val="pl-PL"/>
        </w:rPr>
      </w:pPr>
      <w:r w:rsidRPr="00C03220">
        <w:rPr>
          <w:rFonts w:ascii="Times New Roman" w:hAnsi="Times New Roman" w:cs="Times New Roman"/>
          <w:b w:val="0"/>
          <w:szCs w:val="24"/>
          <w:lang w:val="pl-PL"/>
        </w:rPr>
        <w:t>Europejski Trybunał Praw Człowieka (Druga Sekcja), zasiadając jako Izba składająca się z następujących sędziów:</w:t>
      </w:r>
    </w:p>
    <w:p w:rsidR="004D2070" w:rsidRPr="00C03220" w:rsidRDefault="004D2070" w:rsidP="004D2070">
      <w:pPr>
        <w:pStyle w:val="ECHRDecisionBody"/>
        <w:rPr>
          <w:rFonts w:ascii="Times New Roman" w:hAnsi="Times New Roman" w:cs="Times New Roman"/>
          <w:lang w:val="pl-PL"/>
        </w:rPr>
      </w:pPr>
      <w:r w:rsidRPr="00C03220">
        <w:rPr>
          <w:rFonts w:ascii="Times New Roman" w:hAnsi="Times New Roman" w:cs="Times New Roman"/>
          <w:lang w:val="pl-PL"/>
        </w:rPr>
        <w:tab/>
        <w:t>Guido Raimondi,</w:t>
      </w:r>
      <w:r w:rsidRPr="00C03220">
        <w:rPr>
          <w:rFonts w:ascii="Times New Roman" w:hAnsi="Times New Roman" w:cs="Times New Roman"/>
          <w:i/>
          <w:iCs/>
          <w:lang w:val="pl-PL"/>
        </w:rPr>
        <w:t xml:space="preserve"> Przewodniczący,</w:t>
      </w:r>
      <w:r w:rsidRPr="00C03220">
        <w:rPr>
          <w:rFonts w:ascii="Times New Roman" w:hAnsi="Times New Roman" w:cs="Times New Roman"/>
          <w:lang w:val="pl-PL"/>
        </w:rPr>
        <w:br/>
      </w:r>
      <w:r w:rsidRPr="00C03220">
        <w:rPr>
          <w:rFonts w:ascii="Times New Roman" w:hAnsi="Times New Roman" w:cs="Times New Roman"/>
          <w:lang w:val="pl-PL"/>
        </w:rPr>
        <w:tab/>
        <w:t>Peer Lorenzen,</w:t>
      </w:r>
      <w:r w:rsidRPr="00C03220">
        <w:rPr>
          <w:rFonts w:ascii="Times New Roman" w:hAnsi="Times New Roman" w:cs="Times New Roman"/>
          <w:lang w:val="pl-PL"/>
        </w:rPr>
        <w:br/>
      </w:r>
      <w:r w:rsidRPr="00C03220">
        <w:rPr>
          <w:rFonts w:ascii="Times New Roman" w:hAnsi="Times New Roman" w:cs="Times New Roman"/>
          <w:lang w:val="pl-PL"/>
        </w:rPr>
        <w:tab/>
        <w:t>Dragoljub Popović,</w:t>
      </w:r>
      <w:r w:rsidRPr="00C03220">
        <w:rPr>
          <w:rFonts w:ascii="Times New Roman" w:hAnsi="Times New Roman" w:cs="Times New Roman"/>
          <w:lang w:val="pl-PL"/>
        </w:rPr>
        <w:br/>
      </w:r>
      <w:r w:rsidRPr="00C03220">
        <w:rPr>
          <w:rFonts w:ascii="Times New Roman" w:hAnsi="Times New Roman" w:cs="Times New Roman"/>
          <w:lang w:val="pl-PL"/>
        </w:rPr>
        <w:tab/>
        <w:t>András Sajó,</w:t>
      </w:r>
      <w:r w:rsidRPr="00C03220">
        <w:rPr>
          <w:rFonts w:ascii="Times New Roman" w:hAnsi="Times New Roman" w:cs="Times New Roman"/>
          <w:lang w:val="pl-PL"/>
        </w:rPr>
        <w:br/>
      </w:r>
      <w:r w:rsidRPr="00C03220">
        <w:rPr>
          <w:rFonts w:ascii="Times New Roman" w:hAnsi="Times New Roman" w:cs="Times New Roman"/>
          <w:lang w:val="pl-PL"/>
        </w:rPr>
        <w:tab/>
        <w:t>Nebojša Vučinić,</w:t>
      </w:r>
      <w:r w:rsidRPr="00C03220">
        <w:rPr>
          <w:rFonts w:ascii="Times New Roman" w:hAnsi="Times New Roman" w:cs="Times New Roman"/>
          <w:lang w:val="pl-PL"/>
        </w:rPr>
        <w:br/>
      </w:r>
      <w:r w:rsidRPr="00C03220">
        <w:rPr>
          <w:rFonts w:ascii="Times New Roman" w:hAnsi="Times New Roman" w:cs="Times New Roman"/>
          <w:lang w:val="pl-PL"/>
        </w:rPr>
        <w:tab/>
        <w:t>Paulo Pinto de Albuquerque,</w:t>
      </w:r>
      <w:r w:rsidRPr="00C03220">
        <w:rPr>
          <w:rFonts w:ascii="Times New Roman" w:hAnsi="Times New Roman" w:cs="Times New Roman"/>
          <w:lang w:val="pl-PL"/>
        </w:rPr>
        <w:br/>
      </w:r>
      <w:r w:rsidRPr="00C03220">
        <w:rPr>
          <w:rFonts w:ascii="Times New Roman" w:hAnsi="Times New Roman" w:cs="Times New Roman"/>
          <w:lang w:val="pl-PL"/>
        </w:rPr>
        <w:tab/>
        <w:t>Helen Keller,</w:t>
      </w:r>
      <w:r w:rsidRPr="00C03220">
        <w:rPr>
          <w:rFonts w:ascii="Times New Roman" w:hAnsi="Times New Roman" w:cs="Times New Roman"/>
          <w:i/>
          <w:iCs/>
          <w:lang w:val="pl-PL"/>
        </w:rPr>
        <w:t xml:space="preserve"> sędziowie,</w:t>
      </w:r>
      <w:r w:rsidRPr="00C03220">
        <w:rPr>
          <w:rFonts w:ascii="Times New Roman" w:hAnsi="Times New Roman" w:cs="Times New Roman"/>
          <w:szCs w:val="24"/>
          <w:lang w:val="pl-PL"/>
        </w:rPr>
        <w:br/>
      </w:r>
      <w:r w:rsidRPr="00C03220">
        <w:rPr>
          <w:rFonts w:ascii="Times New Roman" w:hAnsi="Times New Roman" w:cs="Times New Roman"/>
          <w:lang w:val="pl-PL"/>
        </w:rPr>
        <w:t>oraz Stanley Naismith</w:t>
      </w:r>
      <w:r w:rsidRPr="00C03220">
        <w:rPr>
          <w:rStyle w:val="JuJudgesChar"/>
          <w:rFonts w:ascii="Times New Roman" w:hAnsi="Times New Roman" w:cs="Times New Roman"/>
          <w:lang w:val="pl-PL"/>
        </w:rPr>
        <w:t xml:space="preserve">, </w:t>
      </w:r>
      <w:r w:rsidRPr="00C03220">
        <w:rPr>
          <w:rFonts w:ascii="Times New Roman" w:hAnsi="Times New Roman" w:cs="Times New Roman"/>
          <w:i/>
          <w:iCs/>
          <w:lang w:val="pl-PL"/>
        </w:rPr>
        <w:t>Kanclerz Sekcji,</w:t>
      </w:r>
    </w:p>
    <w:p w:rsidR="004D2070" w:rsidRPr="00C03220" w:rsidRDefault="004D2070" w:rsidP="004D2070">
      <w:pPr>
        <w:pStyle w:val="ECHRPara"/>
        <w:rPr>
          <w:rFonts w:ascii="Times New Roman" w:hAnsi="Times New Roman" w:cs="Times New Roman"/>
          <w:lang w:val="pl-PL"/>
        </w:rPr>
      </w:pPr>
      <w:r w:rsidRPr="00C03220">
        <w:rPr>
          <w:rFonts w:ascii="Times New Roman" w:hAnsi="Times New Roman" w:cs="Times New Roman"/>
          <w:lang w:val="pl-PL"/>
        </w:rPr>
        <w:t>Obradując na posiedzeniu zamkniętym w dniu 11 czerwca 2013 r.,</w:t>
      </w:r>
    </w:p>
    <w:p w:rsidR="004D2070" w:rsidRPr="00C03220" w:rsidRDefault="004D2070" w:rsidP="004D2070">
      <w:pPr>
        <w:pStyle w:val="ECHRPara"/>
        <w:rPr>
          <w:rFonts w:ascii="Times New Roman" w:hAnsi="Times New Roman" w:cs="Times New Roman"/>
          <w:lang w:val="pl-PL"/>
        </w:rPr>
      </w:pPr>
      <w:r w:rsidRPr="00C03220">
        <w:rPr>
          <w:rFonts w:ascii="Times New Roman" w:hAnsi="Times New Roman" w:cs="Times New Roman"/>
          <w:lang w:val="pl-PL"/>
        </w:rPr>
        <w:t>wydaje następujący wyrok, który został przyjęty w tym dniu:</w:t>
      </w:r>
    </w:p>
    <w:p w:rsidR="004D2070" w:rsidRPr="00C03220" w:rsidRDefault="004D2070" w:rsidP="004D2070">
      <w:pPr>
        <w:pStyle w:val="ECHRTitle1"/>
        <w:rPr>
          <w:rFonts w:ascii="Times New Roman" w:hAnsi="Times New Roman" w:cs="Times New Roman"/>
          <w:lang w:val="pl-PL"/>
        </w:rPr>
      </w:pPr>
      <w:r w:rsidRPr="00C03220">
        <w:rPr>
          <w:rFonts w:ascii="Times New Roman" w:hAnsi="Times New Roman" w:cs="Times New Roman"/>
          <w:lang w:val="pl-PL"/>
        </w:rPr>
        <w:t>POSTĘPOWANIE</w:t>
      </w:r>
    </w:p>
    <w:p w:rsidR="004D2070" w:rsidRPr="00C03220" w:rsidRDefault="001552E1" w:rsidP="004D2070">
      <w:pPr>
        <w:pStyle w:val="ECHRPara"/>
        <w:rPr>
          <w:rFonts w:ascii="Times New Roman" w:hAnsi="Times New Roman" w:cs="Times New Roman"/>
          <w:lang w:val="pl-PL"/>
        </w:rPr>
      </w:pPr>
      <w:r w:rsidRPr="00C03220">
        <w:rPr>
          <w:rFonts w:ascii="Times New Roman" w:hAnsi="Times New Roman" w:cs="Times New Roman"/>
          <w:lang w:val="pl-PL"/>
        </w:rPr>
        <w:fldChar w:fldCharType="begin"/>
      </w:r>
      <w:r w:rsidR="004D2070" w:rsidRPr="00C03220">
        <w:rPr>
          <w:rFonts w:ascii="Times New Roman" w:hAnsi="Times New Roman" w:cs="Times New Roman"/>
          <w:lang w:val="pl-PL"/>
        </w:rPr>
        <w:instrText xml:space="preserve"> SEQ level0 \*arabic </w:instrText>
      </w:r>
      <w:r w:rsidRPr="00C03220">
        <w:rPr>
          <w:rFonts w:ascii="Times New Roman" w:hAnsi="Times New Roman" w:cs="Times New Roman"/>
          <w:lang w:val="pl-PL"/>
        </w:rPr>
        <w:fldChar w:fldCharType="separate"/>
      </w:r>
      <w:r w:rsidR="004D2070" w:rsidRPr="00C03220">
        <w:rPr>
          <w:rFonts w:ascii="Times New Roman" w:hAnsi="Times New Roman" w:cs="Times New Roman"/>
          <w:noProof/>
          <w:lang w:val="pl-PL"/>
        </w:rPr>
        <w:t>1</w:t>
      </w:r>
      <w:r w:rsidRPr="00C03220">
        <w:rPr>
          <w:rFonts w:ascii="Times New Roman" w:hAnsi="Times New Roman" w:cs="Times New Roman"/>
          <w:lang w:val="pl-PL"/>
        </w:rPr>
        <w:fldChar w:fldCharType="end"/>
      </w:r>
      <w:r w:rsidR="004D2070" w:rsidRPr="00C03220">
        <w:rPr>
          <w:rFonts w:ascii="Times New Roman" w:hAnsi="Times New Roman" w:cs="Times New Roman"/>
          <w:lang w:val="pl-PL"/>
        </w:rPr>
        <w:t>.  Sprawa wywodzi się ze skargi (nr 35943/10) przeciwko Republic</w:t>
      </w:r>
      <w:r w:rsidR="00127122" w:rsidRPr="00C03220">
        <w:rPr>
          <w:rFonts w:ascii="Times New Roman" w:hAnsi="Times New Roman" w:cs="Times New Roman"/>
          <w:lang w:val="pl-PL"/>
        </w:rPr>
        <w:t>e</w:t>
      </w:r>
      <w:r w:rsidR="004D2070" w:rsidRPr="00C03220">
        <w:rPr>
          <w:rFonts w:ascii="Times New Roman" w:hAnsi="Times New Roman" w:cs="Times New Roman"/>
          <w:lang w:val="pl-PL"/>
        </w:rPr>
        <w:t xml:space="preserve"> Węgier</w:t>
      </w:r>
      <w:r w:rsidR="00127122" w:rsidRPr="00C03220">
        <w:rPr>
          <w:rFonts w:ascii="Times New Roman" w:hAnsi="Times New Roman" w:cs="Times New Roman"/>
          <w:lang w:val="pl-PL"/>
        </w:rPr>
        <w:t>skiej</w:t>
      </w:r>
      <w:r w:rsidR="004D2070" w:rsidRPr="00C03220">
        <w:rPr>
          <w:rFonts w:ascii="Times New Roman" w:hAnsi="Times New Roman" w:cs="Times New Roman"/>
          <w:lang w:val="pl-PL"/>
        </w:rPr>
        <w:t xml:space="preserve"> wniesionej do Trybunału na podstawie artykułu 34 Konwencji o Ochronie Praw Człowieka i Podstawowych Wolności („Konwencja”) przez obywatela węgierskiego, pana Gábora Von</w:t>
      </w:r>
      <w:r w:rsidR="00127122" w:rsidRPr="00C03220">
        <w:rPr>
          <w:rFonts w:ascii="Times New Roman" w:hAnsi="Times New Roman" w:cs="Times New Roman"/>
          <w:lang w:val="pl-PL"/>
        </w:rPr>
        <w:t>ę</w:t>
      </w:r>
      <w:r w:rsidR="004D2070" w:rsidRPr="00C03220">
        <w:rPr>
          <w:rFonts w:ascii="Times New Roman" w:hAnsi="Times New Roman" w:cs="Times New Roman"/>
          <w:lang w:val="pl-PL"/>
        </w:rPr>
        <w:t xml:space="preserve"> („skarżący”), w dniu 24 czerwca 2010 r.</w:t>
      </w:r>
    </w:p>
    <w:p w:rsidR="004D2070" w:rsidRPr="00C03220" w:rsidRDefault="001552E1" w:rsidP="004D2070">
      <w:pPr>
        <w:pStyle w:val="ECHRPara"/>
        <w:rPr>
          <w:rFonts w:ascii="Times New Roman" w:hAnsi="Times New Roman" w:cs="Times New Roman"/>
          <w:lang w:val="pl-PL"/>
        </w:rPr>
      </w:pPr>
      <w:r w:rsidRPr="00C03220">
        <w:rPr>
          <w:rFonts w:ascii="Times New Roman" w:hAnsi="Times New Roman" w:cs="Times New Roman"/>
          <w:lang w:val="pl-PL"/>
        </w:rPr>
        <w:fldChar w:fldCharType="begin"/>
      </w:r>
      <w:r w:rsidR="004D2070" w:rsidRPr="00C03220">
        <w:rPr>
          <w:rFonts w:ascii="Times New Roman" w:hAnsi="Times New Roman" w:cs="Times New Roman"/>
          <w:lang w:val="pl-PL"/>
        </w:rPr>
        <w:instrText xml:space="preserve"> SEQ level0 \*arabic </w:instrText>
      </w:r>
      <w:r w:rsidRPr="00C03220">
        <w:rPr>
          <w:rFonts w:ascii="Times New Roman" w:hAnsi="Times New Roman" w:cs="Times New Roman"/>
          <w:lang w:val="pl-PL"/>
        </w:rPr>
        <w:fldChar w:fldCharType="separate"/>
      </w:r>
      <w:r w:rsidR="004D2070" w:rsidRPr="00C03220">
        <w:rPr>
          <w:rFonts w:ascii="Times New Roman" w:hAnsi="Times New Roman" w:cs="Times New Roman"/>
          <w:noProof/>
          <w:lang w:val="pl-PL"/>
        </w:rPr>
        <w:t>2</w:t>
      </w:r>
      <w:r w:rsidRPr="00C03220">
        <w:rPr>
          <w:rFonts w:ascii="Times New Roman" w:hAnsi="Times New Roman" w:cs="Times New Roman"/>
          <w:lang w:val="pl-PL"/>
        </w:rPr>
        <w:fldChar w:fldCharType="end"/>
      </w:r>
      <w:r w:rsidR="004D2070" w:rsidRPr="00C03220">
        <w:rPr>
          <w:rFonts w:ascii="Times New Roman" w:hAnsi="Times New Roman" w:cs="Times New Roman"/>
          <w:lang w:val="pl-PL"/>
        </w:rPr>
        <w:t>.  Skarżący reprezentowany był przez Pana T. Gaudi-Nagy, adwokata praktykującego w Budapeszcie. Rząd węgierski („Rząd”) reprezentowany był przez swego Przedstawiciela, Pana Z. Tallódi, z Ministerstwa Administracji Publicznej i Sprawiedliwości.</w:t>
      </w:r>
    </w:p>
    <w:p w:rsidR="004D2070" w:rsidRPr="00C03220" w:rsidRDefault="001552E1" w:rsidP="004D2070">
      <w:pPr>
        <w:pStyle w:val="ECHRPara"/>
        <w:rPr>
          <w:rFonts w:ascii="Times New Roman" w:hAnsi="Times New Roman" w:cs="Times New Roman"/>
          <w:lang w:val="pl-PL"/>
        </w:rPr>
      </w:pPr>
      <w:r w:rsidRPr="00C03220">
        <w:rPr>
          <w:rFonts w:ascii="Times New Roman" w:hAnsi="Times New Roman" w:cs="Times New Roman"/>
          <w:lang w:val="pl-PL"/>
        </w:rPr>
        <w:fldChar w:fldCharType="begin"/>
      </w:r>
      <w:r w:rsidR="004D2070" w:rsidRPr="00C03220">
        <w:rPr>
          <w:rFonts w:ascii="Times New Roman" w:hAnsi="Times New Roman" w:cs="Times New Roman"/>
          <w:lang w:val="pl-PL"/>
        </w:rPr>
        <w:instrText xml:space="preserve"> SEQ level0 \*arabic </w:instrText>
      </w:r>
      <w:r w:rsidRPr="00C03220">
        <w:rPr>
          <w:rFonts w:ascii="Times New Roman" w:hAnsi="Times New Roman" w:cs="Times New Roman"/>
          <w:lang w:val="pl-PL"/>
        </w:rPr>
        <w:fldChar w:fldCharType="separate"/>
      </w:r>
      <w:r w:rsidR="004D2070" w:rsidRPr="00C03220">
        <w:rPr>
          <w:rFonts w:ascii="Times New Roman" w:hAnsi="Times New Roman" w:cs="Times New Roman"/>
          <w:noProof/>
          <w:lang w:val="pl-PL"/>
        </w:rPr>
        <w:t>3</w:t>
      </w:r>
      <w:r w:rsidRPr="00C03220">
        <w:rPr>
          <w:rFonts w:ascii="Times New Roman" w:hAnsi="Times New Roman" w:cs="Times New Roman"/>
          <w:lang w:val="pl-PL"/>
        </w:rPr>
        <w:fldChar w:fldCharType="end"/>
      </w:r>
      <w:r w:rsidR="004D2070" w:rsidRPr="00C03220">
        <w:rPr>
          <w:rFonts w:ascii="Times New Roman" w:hAnsi="Times New Roman" w:cs="Times New Roman"/>
          <w:lang w:val="pl-PL"/>
        </w:rPr>
        <w:t xml:space="preserve">.  Skarżący podniósł zarzut naruszenia artykułu 11 Konwencji w tym względzie, że rozwiązanie </w:t>
      </w:r>
      <w:r w:rsidR="004D2070" w:rsidRPr="00C03220">
        <w:rPr>
          <w:rFonts w:ascii="Times New Roman" w:hAnsi="Times New Roman" w:cs="Times New Roman"/>
          <w:i/>
          <w:iCs/>
          <w:lang w:val="pl-PL"/>
        </w:rPr>
        <w:t>Magyar Gárda</w:t>
      </w:r>
      <w:r w:rsidR="004D2070" w:rsidRPr="00C03220">
        <w:rPr>
          <w:rFonts w:ascii="Times New Roman" w:hAnsi="Times New Roman" w:cs="Times New Roman"/>
          <w:lang w:val="pl-PL"/>
        </w:rPr>
        <w:t xml:space="preserve"> </w:t>
      </w:r>
      <w:r w:rsidR="004D2070" w:rsidRPr="00C03220">
        <w:rPr>
          <w:rFonts w:ascii="Times New Roman" w:hAnsi="Times New Roman" w:cs="Times New Roman"/>
          <w:i/>
          <w:iCs/>
          <w:lang w:val="pl-PL"/>
        </w:rPr>
        <w:t>Egyesület</w:t>
      </w:r>
      <w:r w:rsidR="004D2070" w:rsidRPr="00C03220">
        <w:rPr>
          <w:rFonts w:ascii="Times New Roman" w:hAnsi="Times New Roman" w:cs="Times New Roman"/>
          <w:lang w:val="pl-PL"/>
        </w:rPr>
        <w:t>, stowarzyszenia, którego był przewodniczącym, naruszyło jego prawo do stowarzyszania się.</w:t>
      </w:r>
    </w:p>
    <w:p w:rsidR="004D2070" w:rsidRPr="00C03220" w:rsidRDefault="001552E1" w:rsidP="004D2070">
      <w:pPr>
        <w:pStyle w:val="ECHRPara"/>
        <w:rPr>
          <w:rFonts w:ascii="Times New Roman" w:hAnsi="Times New Roman" w:cs="Times New Roman"/>
          <w:lang w:val="pl-PL"/>
        </w:rPr>
      </w:pPr>
      <w:r w:rsidRPr="00C03220">
        <w:rPr>
          <w:rFonts w:ascii="Times New Roman" w:hAnsi="Times New Roman" w:cs="Times New Roman"/>
          <w:lang w:val="pl-PL"/>
        </w:rPr>
        <w:fldChar w:fldCharType="begin"/>
      </w:r>
      <w:r w:rsidR="004D2070" w:rsidRPr="00C03220">
        <w:rPr>
          <w:rFonts w:ascii="Times New Roman" w:hAnsi="Times New Roman" w:cs="Times New Roman"/>
          <w:lang w:val="pl-PL"/>
        </w:rPr>
        <w:instrText xml:space="preserve"> SEQ level0 \*arabic </w:instrText>
      </w:r>
      <w:r w:rsidRPr="00C03220">
        <w:rPr>
          <w:rFonts w:ascii="Times New Roman" w:hAnsi="Times New Roman" w:cs="Times New Roman"/>
          <w:lang w:val="pl-PL"/>
        </w:rPr>
        <w:fldChar w:fldCharType="separate"/>
      </w:r>
      <w:r w:rsidR="004D2070" w:rsidRPr="00C03220">
        <w:rPr>
          <w:rFonts w:ascii="Times New Roman" w:hAnsi="Times New Roman" w:cs="Times New Roman"/>
          <w:noProof/>
          <w:lang w:val="pl-PL"/>
        </w:rPr>
        <w:t>4</w:t>
      </w:r>
      <w:r w:rsidRPr="00C03220">
        <w:rPr>
          <w:rFonts w:ascii="Times New Roman" w:hAnsi="Times New Roman" w:cs="Times New Roman"/>
          <w:lang w:val="pl-PL"/>
        </w:rPr>
        <w:fldChar w:fldCharType="end"/>
      </w:r>
      <w:r w:rsidR="004D2070" w:rsidRPr="00C03220">
        <w:rPr>
          <w:rFonts w:ascii="Times New Roman" w:hAnsi="Times New Roman" w:cs="Times New Roman"/>
          <w:lang w:val="pl-PL"/>
        </w:rPr>
        <w:t xml:space="preserve">.  W </w:t>
      </w:r>
      <w:r w:rsidR="004D2070" w:rsidRPr="00C03220">
        <w:rPr>
          <w:rFonts w:ascii="Times New Roman" w:hAnsi="Times New Roman" w:cs="Times New Roman"/>
          <w:szCs w:val="24"/>
          <w:lang w:val="pl-PL"/>
        </w:rPr>
        <w:t>14 marca 2012 r.</w:t>
      </w:r>
      <w:r w:rsidR="004D2070" w:rsidRPr="00C03220">
        <w:rPr>
          <w:rFonts w:ascii="Times New Roman" w:hAnsi="Times New Roman" w:cs="Times New Roman"/>
          <w:lang w:val="pl-PL"/>
        </w:rPr>
        <w:t xml:space="preserve"> o skardze powiadomiono Rząd. Zdecydowano również o jednoczesnym rozpatrzeniu kwestii dopuszczalności i meritum skargi (artykuł 29 ust. 1).</w:t>
      </w:r>
    </w:p>
    <w:p w:rsidR="004D2070" w:rsidRPr="00C03220" w:rsidRDefault="001552E1" w:rsidP="004D2070">
      <w:pPr>
        <w:pStyle w:val="ECHRPara"/>
        <w:rPr>
          <w:rFonts w:ascii="Times New Roman" w:hAnsi="Times New Roman" w:cs="Times New Roman"/>
          <w:lang w:val="pl-PL"/>
        </w:rPr>
      </w:pPr>
      <w:r w:rsidRPr="00C03220">
        <w:rPr>
          <w:rFonts w:ascii="Times New Roman" w:hAnsi="Times New Roman" w:cs="Times New Roman"/>
          <w:lang w:val="pl-PL"/>
        </w:rPr>
        <w:fldChar w:fldCharType="begin"/>
      </w:r>
      <w:r w:rsidR="004D2070" w:rsidRPr="00C03220">
        <w:rPr>
          <w:rFonts w:ascii="Times New Roman" w:hAnsi="Times New Roman" w:cs="Times New Roman"/>
          <w:lang w:val="pl-PL"/>
        </w:rPr>
        <w:instrText xml:space="preserve"> SEQ level0 \*arabic </w:instrText>
      </w:r>
      <w:r w:rsidRPr="00C03220">
        <w:rPr>
          <w:rFonts w:ascii="Times New Roman" w:hAnsi="Times New Roman" w:cs="Times New Roman"/>
          <w:lang w:val="pl-PL"/>
        </w:rPr>
        <w:fldChar w:fldCharType="separate"/>
      </w:r>
      <w:r w:rsidR="004D2070" w:rsidRPr="00C03220">
        <w:rPr>
          <w:rFonts w:ascii="Times New Roman" w:hAnsi="Times New Roman" w:cs="Times New Roman"/>
          <w:noProof/>
          <w:lang w:val="pl-PL"/>
        </w:rPr>
        <w:t>5</w:t>
      </w:r>
      <w:r w:rsidRPr="00C03220">
        <w:rPr>
          <w:rFonts w:ascii="Times New Roman" w:hAnsi="Times New Roman" w:cs="Times New Roman"/>
          <w:lang w:val="pl-PL"/>
        </w:rPr>
        <w:fldChar w:fldCharType="end"/>
      </w:r>
      <w:r w:rsidR="004D2070" w:rsidRPr="00C03220">
        <w:rPr>
          <w:rFonts w:ascii="Times New Roman" w:hAnsi="Times New Roman" w:cs="Times New Roman"/>
          <w:lang w:val="pl-PL"/>
        </w:rPr>
        <w:t xml:space="preserve">.  W dniu 12 czerwca 2012 r. Przewodniczący Sekcji zezwolił na udział </w:t>
      </w:r>
      <w:r w:rsidR="00127122" w:rsidRPr="00C03220">
        <w:rPr>
          <w:rFonts w:ascii="Times New Roman" w:hAnsi="Times New Roman" w:cs="Times New Roman"/>
          <w:lang w:val="pl-PL"/>
        </w:rPr>
        <w:t xml:space="preserve">w postępowaniu </w:t>
      </w:r>
      <w:r w:rsidR="004D2070" w:rsidRPr="00C03220">
        <w:rPr>
          <w:rFonts w:ascii="Times New Roman" w:hAnsi="Times New Roman" w:cs="Times New Roman"/>
          <w:lang w:val="pl-PL"/>
        </w:rPr>
        <w:t>Europejskiego Centrum Praw Romów w charakterze strony trzeciej, na podstawie artykułu 36 ust. 2 Konwencji oraz artykułu 44 ust. 3 Regulaminu Trybunału.</w:t>
      </w:r>
    </w:p>
    <w:p w:rsidR="004D2070" w:rsidRPr="00C03220" w:rsidRDefault="004D2070" w:rsidP="004D2070">
      <w:pPr>
        <w:pStyle w:val="ECHRTitle1"/>
        <w:rPr>
          <w:rFonts w:ascii="Times New Roman" w:hAnsi="Times New Roman" w:cs="Times New Roman"/>
          <w:sz w:val="24"/>
          <w:szCs w:val="24"/>
          <w:lang w:val="pl-PL"/>
        </w:rPr>
      </w:pPr>
      <w:r w:rsidRPr="00C03220">
        <w:rPr>
          <w:rFonts w:ascii="Times New Roman" w:hAnsi="Times New Roman" w:cs="Times New Roman"/>
          <w:sz w:val="24"/>
          <w:szCs w:val="24"/>
          <w:lang w:val="pl-PL"/>
        </w:rPr>
        <w:t>FAKTY</w:t>
      </w:r>
    </w:p>
    <w:p w:rsidR="004D2070" w:rsidRPr="00C03220" w:rsidRDefault="004D2070" w:rsidP="00127122">
      <w:pPr>
        <w:pStyle w:val="ECHRHeading1"/>
        <w:numPr>
          <w:ilvl w:val="0"/>
          <w:numId w:val="15"/>
        </w:numPr>
        <w:rPr>
          <w:rFonts w:ascii="Times New Roman" w:hAnsi="Times New Roman" w:cs="Times New Roman"/>
          <w:b w:val="0"/>
          <w:bCs w:val="0"/>
          <w:sz w:val="24"/>
          <w:szCs w:val="24"/>
          <w:lang w:val="pl-PL"/>
        </w:rPr>
      </w:pPr>
      <w:r w:rsidRPr="00C03220">
        <w:rPr>
          <w:rFonts w:ascii="Times New Roman" w:hAnsi="Times New Roman" w:cs="Times New Roman"/>
          <w:b w:val="0"/>
          <w:bCs w:val="0"/>
          <w:sz w:val="24"/>
          <w:szCs w:val="24"/>
          <w:lang w:val="pl-PL"/>
        </w:rPr>
        <w:t>OKOLICZNOŚCI SPRAWY</w:t>
      </w:r>
    </w:p>
    <w:p w:rsidR="00127122" w:rsidRPr="00C03220" w:rsidRDefault="00127122" w:rsidP="00127122">
      <w:pPr>
        <w:pStyle w:val="ECHRPara"/>
        <w:rPr>
          <w:lang w:val="pl-PL" w:eastAsia="en-US"/>
        </w:rPr>
      </w:pPr>
    </w:p>
    <w:p w:rsidR="004D2070" w:rsidRPr="00C03220" w:rsidRDefault="001552E1" w:rsidP="004D2070">
      <w:pPr>
        <w:pStyle w:val="ECHRPara"/>
        <w:rPr>
          <w:rFonts w:ascii="Times New Roman" w:hAnsi="Times New Roman" w:cs="Times New Roman"/>
          <w:lang w:val="pl-PL"/>
        </w:rPr>
      </w:pPr>
      <w:r w:rsidRPr="00C03220">
        <w:rPr>
          <w:rFonts w:ascii="Times New Roman" w:hAnsi="Times New Roman" w:cs="Times New Roman"/>
          <w:lang w:val="pl-PL"/>
        </w:rPr>
        <w:lastRenderedPageBreak/>
        <w:fldChar w:fldCharType="begin"/>
      </w:r>
      <w:r w:rsidR="004D2070" w:rsidRPr="00C03220">
        <w:rPr>
          <w:rFonts w:ascii="Times New Roman" w:hAnsi="Times New Roman" w:cs="Times New Roman"/>
          <w:lang w:val="pl-PL"/>
        </w:rPr>
        <w:instrText xml:space="preserve"> SEQ level0 \*arabic </w:instrText>
      </w:r>
      <w:r w:rsidRPr="00C03220">
        <w:rPr>
          <w:rFonts w:ascii="Times New Roman" w:hAnsi="Times New Roman" w:cs="Times New Roman"/>
          <w:lang w:val="pl-PL"/>
        </w:rPr>
        <w:fldChar w:fldCharType="separate"/>
      </w:r>
      <w:r w:rsidR="004D2070" w:rsidRPr="00C03220">
        <w:rPr>
          <w:rFonts w:ascii="Times New Roman" w:hAnsi="Times New Roman" w:cs="Times New Roman"/>
          <w:noProof/>
          <w:lang w:val="pl-PL"/>
        </w:rPr>
        <w:t>6</w:t>
      </w:r>
      <w:r w:rsidRPr="00C03220">
        <w:rPr>
          <w:rFonts w:ascii="Times New Roman" w:hAnsi="Times New Roman" w:cs="Times New Roman"/>
          <w:lang w:val="pl-PL"/>
        </w:rPr>
        <w:fldChar w:fldCharType="end"/>
      </w:r>
      <w:r w:rsidR="004D2070" w:rsidRPr="00C03220">
        <w:rPr>
          <w:rFonts w:ascii="Times New Roman" w:hAnsi="Times New Roman" w:cs="Times New Roman"/>
          <w:lang w:val="pl-PL"/>
        </w:rPr>
        <w:t>.  Skarżący urodził się w 1978 r. i mieszka w Budapeszcie.</w:t>
      </w:r>
    </w:p>
    <w:p w:rsidR="004D2070" w:rsidRPr="00C03220" w:rsidRDefault="001552E1" w:rsidP="004D2070">
      <w:pPr>
        <w:pStyle w:val="ECHRPara"/>
        <w:rPr>
          <w:rFonts w:ascii="Times New Roman" w:hAnsi="Times New Roman" w:cs="Times New Roman"/>
          <w:lang w:val="pl-PL"/>
        </w:rPr>
      </w:pPr>
      <w:r w:rsidRPr="00C03220">
        <w:rPr>
          <w:rFonts w:ascii="Times New Roman" w:hAnsi="Times New Roman" w:cs="Times New Roman"/>
          <w:lang w:val="pl-PL"/>
        </w:rPr>
        <w:fldChar w:fldCharType="begin"/>
      </w:r>
      <w:r w:rsidR="004D2070" w:rsidRPr="00C03220">
        <w:rPr>
          <w:rFonts w:ascii="Times New Roman" w:hAnsi="Times New Roman" w:cs="Times New Roman"/>
          <w:lang w:val="pl-PL"/>
        </w:rPr>
        <w:instrText xml:space="preserve"> SEQ level0 \*arabic </w:instrText>
      </w:r>
      <w:r w:rsidRPr="00C03220">
        <w:rPr>
          <w:rFonts w:ascii="Times New Roman" w:hAnsi="Times New Roman" w:cs="Times New Roman"/>
          <w:lang w:val="pl-PL"/>
        </w:rPr>
        <w:fldChar w:fldCharType="separate"/>
      </w:r>
      <w:r w:rsidR="004D2070" w:rsidRPr="00C03220">
        <w:rPr>
          <w:rFonts w:ascii="Times New Roman" w:hAnsi="Times New Roman" w:cs="Times New Roman"/>
          <w:noProof/>
          <w:lang w:val="pl-PL"/>
        </w:rPr>
        <w:t>7</w:t>
      </w:r>
      <w:r w:rsidRPr="00C03220">
        <w:rPr>
          <w:rFonts w:ascii="Times New Roman" w:hAnsi="Times New Roman" w:cs="Times New Roman"/>
          <w:lang w:val="pl-PL"/>
        </w:rPr>
        <w:fldChar w:fldCharType="end"/>
      </w:r>
      <w:r w:rsidR="004D2070" w:rsidRPr="00C03220">
        <w:rPr>
          <w:rFonts w:ascii="Times New Roman" w:hAnsi="Times New Roman" w:cs="Times New Roman"/>
          <w:lang w:val="pl-PL"/>
        </w:rPr>
        <w:t xml:space="preserve">.  W dniu 8 maja 2007 r. dziesięciu członków partii politycznej </w:t>
      </w:r>
      <w:r w:rsidR="004D2070" w:rsidRPr="00C03220">
        <w:rPr>
          <w:rFonts w:ascii="Times New Roman" w:hAnsi="Times New Roman" w:cs="Times New Roman"/>
          <w:i/>
          <w:iCs/>
          <w:lang w:val="pl-PL"/>
        </w:rPr>
        <w:t>Jobbik Magyarországért Mozgalom</w:t>
      </w:r>
      <w:r w:rsidR="00127122" w:rsidRPr="00C03220">
        <w:rPr>
          <w:rFonts w:ascii="Times New Roman" w:hAnsi="Times New Roman" w:cs="Times New Roman"/>
          <w:lang w:val="pl-PL"/>
        </w:rPr>
        <w:t xml:space="preserve"> (Ruch na rzecz Lepszych Węgier</w:t>
      </w:r>
      <w:r w:rsidR="004D2070" w:rsidRPr="00C03220">
        <w:rPr>
          <w:rFonts w:ascii="Times New Roman" w:hAnsi="Times New Roman" w:cs="Times New Roman"/>
          <w:lang w:val="pl-PL"/>
        </w:rPr>
        <w:t xml:space="preserve">) założyło </w:t>
      </w:r>
      <w:r w:rsidR="004D2070" w:rsidRPr="00C03220">
        <w:rPr>
          <w:rFonts w:ascii="Times New Roman" w:hAnsi="Times New Roman" w:cs="Times New Roman"/>
          <w:i/>
          <w:iCs/>
          <w:lang w:val="pl-PL"/>
        </w:rPr>
        <w:t>Magyar Gárda Egyesület</w:t>
      </w:r>
      <w:r w:rsidR="004D2070" w:rsidRPr="00C03220">
        <w:rPr>
          <w:rFonts w:ascii="Times New Roman" w:hAnsi="Times New Roman" w:cs="Times New Roman"/>
          <w:lang w:val="pl-PL"/>
        </w:rPr>
        <w:t xml:space="preserve"> (Stowarzyszenie Gwardii Węgierskiej – „Stowarzyszenie”) w celu, między innymi, zachowania tradycji i kultury węgierskiej.</w:t>
      </w:r>
    </w:p>
    <w:p w:rsidR="004D2070" w:rsidRPr="00C03220" w:rsidRDefault="001552E1" w:rsidP="004D2070">
      <w:pPr>
        <w:pStyle w:val="ECHRPara"/>
        <w:rPr>
          <w:rFonts w:ascii="Times New Roman" w:hAnsi="Times New Roman" w:cs="Times New Roman"/>
          <w:lang w:val="pl-PL"/>
        </w:rPr>
      </w:pPr>
      <w:r w:rsidRPr="00C03220">
        <w:rPr>
          <w:rFonts w:ascii="Times New Roman" w:hAnsi="Times New Roman" w:cs="Times New Roman"/>
          <w:lang w:val="pl-PL"/>
        </w:rPr>
        <w:fldChar w:fldCharType="begin"/>
      </w:r>
      <w:r w:rsidR="004D2070" w:rsidRPr="00C03220">
        <w:rPr>
          <w:rFonts w:ascii="Times New Roman" w:hAnsi="Times New Roman" w:cs="Times New Roman"/>
          <w:lang w:val="pl-PL"/>
        </w:rPr>
        <w:instrText xml:space="preserve"> SEQ level0 \*arabic </w:instrText>
      </w:r>
      <w:r w:rsidRPr="00C03220">
        <w:rPr>
          <w:rFonts w:ascii="Times New Roman" w:hAnsi="Times New Roman" w:cs="Times New Roman"/>
          <w:lang w:val="pl-PL"/>
        </w:rPr>
        <w:fldChar w:fldCharType="separate"/>
      </w:r>
      <w:r w:rsidR="004D2070" w:rsidRPr="00C03220">
        <w:rPr>
          <w:rFonts w:ascii="Times New Roman" w:hAnsi="Times New Roman" w:cs="Times New Roman"/>
          <w:noProof/>
          <w:lang w:val="pl-PL"/>
        </w:rPr>
        <w:t>8</w:t>
      </w:r>
      <w:r w:rsidRPr="00C03220">
        <w:rPr>
          <w:rFonts w:ascii="Times New Roman" w:hAnsi="Times New Roman" w:cs="Times New Roman"/>
          <w:lang w:val="pl-PL"/>
        </w:rPr>
        <w:fldChar w:fldCharType="end"/>
      </w:r>
      <w:r w:rsidR="004D2070" w:rsidRPr="00C03220">
        <w:rPr>
          <w:rFonts w:ascii="Times New Roman" w:hAnsi="Times New Roman" w:cs="Times New Roman"/>
          <w:lang w:val="pl-PL"/>
        </w:rPr>
        <w:t xml:space="preserve">.  Z kolei w dniu 18 lipca 2007 r. Stowarzyszenie założyło </w:t>
      </w:r>
      <w:r w:rsidR="004D2070" w:rsidRPr="00C03220">
        <w:rPr>
          <w:rFonts w:ascii="Times New Roman" w:hAnsi="Times New Roman" w:cs="Times New Roman"/>
          <w:i/>
          <w:iCs/>
          <w:lang w:val="pl-PL"/>
        </w:rPr>
        <w:t>Magyar Gárda Mozgalom</w:t>
      </w:r>
      <w:r w:rsidR="004D2070" w:rsidRPr="00C03220">
        <w:rPr>
          <w:rFonts w:ascii="Times New Roman" w:hAnsi="Times New Roman" w:cs="Times New Roman"/>
          <w:lang w:val="pl-PL"/>
        </w:rPr>
        <w:t xml:space="preserve"> (Ruch Gwardii Węgierskiej – „Ruch”). Biuro Stowarzyszenia oświadczyło, że zamierza „utworzyć Gwardię Węgierską, początkowo działającą na zasadach ruchu, a następnie podjąć próbę włączenia jej do Stowarzyszenia jako oddziału”. Podjęto również decyzję, że „w celu włączenia Gwardii Węgierskiej do Stowarzyszenia konieczne będzie wprowadzenie zmian do statutu [tego ostatniego] ... do dnia 10 października 2007 r.” </w:t>
      </w:r>
    </w:p>
    <w:p w:rsidR="004D2070" w:rsidRPr="00C03220" w:rsidRDefault="004D2070" w:rsidP="004D2070">
      <w:pPr>
        <w:pStyle w:val="ECHRPara"/>
        <w:rPr>
          <w:rFonts w:ascii="Times New Roman" w:hAnsi="Times New Roman" w:cs="Times New Roman"/>
          <w:lang w:val="pl-PL"/>
        </w:rPr>
      </w:pPr>
      <w:r w:rsidRPr="00C03220">
        <w:rPr>
          <w:rFonts w:ascii="Times New Roman" w:hAnsi="Times New Roman" w:cs="Times New Roman"/>
          <w:lang w:val="pl-PL"/>
        </w:rPr>
        <w:t>Cel Ruchu został określony jako „obrona Węgier pozbawionych ochrony fizycznej, duchowej i intelektualnej”.  Zadania podejmowane przez Ruch, wymienione w akcie założenia, obejmowały szkolenia fizyczne i psychologiczne członków, udział w zarządzaniu kryzysowym oraz zapewnienia bezpieczeństwa publicznego, jak również inicjowanie dialogu społecznego dotyczącego tych kwestii poprzez wydarzenia o charakterze publicznym.</w:t>
      </w:r>
    </w:p>
    <w:p w:rsidR="004D2070" w:rsidRPr="00C03220" w:rsidRDefault="001552E1" w:rsidP="004D2070">
      <w:pPr>
        <w:pStyle w:val="ECHRPara"/>
        <w:rPr>
          <w:rFonts w:ascii="Times New Roman" w:hAnsi="Times New Roman" w:cs="Times New Roman"/>
          <w:lang w:val="pl-PL"/>
        </w:rPr>
      </w:pPr>
      <w:r w:rsidRPr="00C03220">
        <w:rPr>
          <w:rFonts w:ascii="Times New Roman" w:hAnsi="Times New Roman" w:cs="Times New Roman"/>
          <w:lang w:val="pl-PL"/>
        </w:rPr>
        <w:fldChar w:fldCharType="begin"/>
      </w:r>
      <w:r w:rsidR="004D2070" w:rsidRPr="00C03220">
        <w:rPr>
          <w:rFonts w:ascii="Times New Roman" w:hAnsi="Times New Roman" w:cs="Times New Roman"/>
          <w:lang w:val="pl-PL"/>
        </w:rPr>
        <w:instrText xml:space="preserve"> SEQ level0 \*arabic </w:instrText>
      </w:r>
      <w:r w:rsidRPr="00C03220">
        <w:rPr>
          <w:rFonts w:ascii="Times New Roman" w:hAnsi="Times New Roman" w:cs="Times New Roman"/>
          <w:lang w:val="pl-PL"/>
        </w:rPr>
        <w:fldChar w:fldCharType="separate"/>
      </w:r>
      <w:r w:rsidR="004D2070" w:rsidRPr="00C03220">
        <w:rPr>
          <w:rFonts w:ascii="Times New Roman" w:hAnsi="Times New Roman" w:cs="Times New Roman"/>
          <w:noProof/>
          <w:lang w:val="pl-PL"/>
        </w:rPr>
        <w:t>9</w:t>
      </w:r>
      <w:r w:rsidRPr="00C03220">
        <w:rPr>
          <w:rFonts w:ascii="Times New Roman" w:hAnsi="Times New Roman" w:cs="Times New Roman"/>
          <w:lang w:val="pl-PL"/>
        </w:rPr>
        <w:fldChar w:fldCharType="end"/>
      </w:r>
      <w:r w:rsidR="004D2070" w:rsidRPr="00C03220">
        <w:rPr>
          <w:rFonts w:ascii="Times New Roman" w:hAnsi="Times New Roman" w:cs="Times New Roman"/>
          <w:lang w:val="pl-PL"/>
        </w:rPr>
        <w:t>.  W dniu 4 października 2007 r. prokuratura w Budapeszcie zwróciła się do Stowarzyszenia z wezwaniem do zaprzestania prowadzenia działalności</w:t>
      </w:r>
      <w:r w:rsidR="00127122" w:rsidRPr="00C03220">
        <w:rPr>
          <w:rFonts w:ascii="Times New Roman" w:hAnsi="Times New Roman" w:cs="Times New Roman"/>
          <w:lang w:val="pl-PL"/>
        </w:rPr>
        <w:t xml:space="preserve"> niezgodnej z prawem</w:t>
      </w:r>
      <w:r w:rsidR="004D2070" w:rsidRPr="00C03220">
        <w:rPr>
          <w:rFonts w:ascii="Times New Roman" w:hAnsi="Times New Roman" w:cs="Times New Roman"/>
          <w:lang w:val="pl-PL"/>
        </w:rPr>
        <w:t>. Wskazano, że Stowarzyszenie prowadziło działalność niezgodną z celami wskazanymi w statucie. W szczególności stwierdzono, że w dniu 25 sierpnia 2007 r. Stowarzyszenie zorganizowało zaprzysiężenie pięćdziesięciu sześciu członków gwardii na Zamku w Budzie. W dalszej kolejności Stowarzyszenie przeprowadziło narodową kampanię celem popularyzacji zadań określonych dla Ruchu, które nie były zgodne z celami Stowarzyszenia. Zauważono, iż niektóre spośród celów Ruchu nie zostały wymienione wśród celów Stowarzyszenia, a ponadto nie były zgodne z charakterem Stowarzyszenia jako organizacji kulturalnej i chroniącej tradycje.</w:t>
      </w:r>
    </w:p>
    <w:p w:rsidR="004D2070" w:rsidRPr="00C03220" w:rsidRDefault="004D2070" w:rsidP="004D2070">
      <w:pPr>
        <w:pStyle w:val="ECHRPara"/>
        <w:rPr>
          <w:rFonts w:ascii="Times New Roman" w:hAnsi="Times New Roman" w:cs="Times New Roman"/>
          <w:lang w:val="pl-PL"/>
        </w:rPr>
      </w:pPr>
      <w:r w:rsidRPr="00C03220">
        <w:rPr>
          <w:rFonts w:ascii="Times New Roman" w:hAnsi="Times New Roman" w:cs="Times New Roman"/>
          <w:lang w:val="pl-PL"/>
        </w:rPr>
        <w:t>W dniu 9 listopada 2007 r. skarżący, jako przewodniczący Stowarzyszenia, powiadomił prokuraturę o zakończeniu prowadzenia działań niezgodnych z prawem poprzez usunięcie kwestionowanego fragmentu z aktu założycielskiego Ruchu</w:t>
      </w:r>
      <w:r w:rsidR="00127122" w:rsidRPr="00C03220">
        <w:rPr>
          <w:rFonts w:ascii="Times New Roman" w:hAnsi="Times New Roman" w:cs="Times New Roman"/>
          <w:lang w:val="pl-PL"/>
        </w:rPr>
        <w:t xml:space="preserve"> oraz </w:t>
      </w:r>
      <w:r w:rsidRPr="00C03220">
        <w:rPr>
          <w:rFonts w:ascii="Times New Roman" w:hAnsi="Times New Roman" w:cs="Times New Roman"/>
          <w:lang w:val="pl-PL"/>
        </w:rPr>
        <w:t xml:space="preserve">że zainicjował działania w celu zmiany statutu Stowarzyszenia. Z tego względu w dniu 7 grudnia 2007 r. Zgromadzenie Ogólne Stowarzyszenia podjęło decyzję o wprowadzeniu do </w:t>
      </w:r>
      <w:r w:rsidR="00127122" w:rsidRPr="00C03220">
        <w:rPr>
          <w:rFonts w:ascii="Times New Roman" w:hAnsi="Times New Roman" w:cs="Times New Roman"/>
          <w:lang w:val="pl-PL"/>
        </w:rPr>
        <w:t xml:space="preserve">artykułu </w:t>
      </w:r>
      <w:r w:rsidRPr="00C03220">
        <w:rPr>
          <w:rFonts w:ascii="Times New Roman" w:hAnsi="Times New Roman" w:cs="Times New Roman"/>
          <w:lang w:val="pl-PL"/>
        </w:rPr>
        <w:t xml:space="preserve">2 statutu Stowarzyszenia następującego postanowienia: </w:t>
      </w:r>
      <w:r w:rsidR="00127122" w:rsidRPr="00C03220">
        <w:rPr>
          <w:rFonts w:ascii="Times New Roman" w:hAnsi="Times New Roman" w:cs="Times New Roman"/>
          <w:lang w:val="pl-PL"/>
        </w:rPr>
        <w:t>„</w:t>
      </w:r>
      <w:r w:rsidRPr="00C03220">
        <w:rPr>
          <w:rFonts w:ascii="Times New Roman" w:hAnsi="Times New Roman" w:cs="Times New Roman"/>
          <w:lang w:val="pl-PL"/>
        </w:rPr>
        <w:t xml:space="preserve">f) Zgodnie ze swą nazwą Stowarzyszenie Gwardii Węgierskiej ma na celu podejmowanie dialogu społecznego oraz organizowania wydarzeń i zgromadzeń publicznych dla obywateli w sprawach dotyczących ich </w:t>
      </w:r>
      <w:r w:rsidRPr="00C03220">
        <w:rPr>
          <w:rFonts w:ascii="Times New Roman" w:hAnsi="Times New Roman" w:cs="Times New Roman"/>
          <w:lang w:val="pl-PL"/>
        </w:rPr>
        <w:lastRenderedPageBreak/>
        <w:t xml:space="preserve">bezpieczeństwa, takich jak zarządzanie kryzysowe, obrona narodowa i techniki ratowania życia.” </w:t>
      </w:r>
    </w:p>
    <w:p w:rsidR="004D2070" w:rsidRPr="00C03220" w:rsidRDefault="001552E1" w:rsidP="004D2070">
      <w:pPr>
        <w:pStyle w:val="ECHRPara"/>
        <w:rPr>
          <w:rFonts w:ascii="Times New Roman" w:hAnsi="Times New Roman" w:cs="Times New Roman"/>
          <w:lang w:val="pl-PL"/>
        </w:rPr>
      </w:pPr>
      <w:r w:rsidRPr="00C03220">
        <w:rPr>
          <w:rFonts w:ascii="Times New Roman" w:hAnsi="Times New Roman" w:cs="Times New Roman"/>
          <w:lang w:val="pl-PL"/>
        </w:rPr>
        <w:fldChar w:fldCharType="begin"/>
      </w:r>
      <w:r w:rsidR="004D2070" w:rsidRPr="00C03220">
        <w:rPr>
          <w:rFonts w:ascii="Times New Roman" w:hAnsi="Times New Roman" w:cs="Times New Roman"/>
          <w:lang w:val="pl-PL"/>
        </w:rPr>
        <w:instrText xml:space="preserve"> SEQ level0 \*arabic </w:instrText>
      </w:r>
      <w:r w:rsidRPr="00C03220">
        <w:rPr>
          <w:rFonts w:ascii="Times New Roman" w:hAnsi="Times New Roman" w:cs="Times New Roman"/>
          <w:lang w:val="pl-PL"/>
        </w:rPr>
        <w:fldChar w:fldCharType="separate"/>
      </w:r>
      <w:r w:rsidR="004D2070" w:rsidRPr="00C03220">
        <w:rPr>
          <w:rFonts w:ascii="Times New Roman" w:hAnsi="Times New Roman" w:cs="Times New Roman"/>
          <w:noProof/>
          <w:lang w:val="pl-PL"/>
        </w:rPr>
        <w:t>10</w:t>
      </w:r>
      <w:r w:rsidRPr="00C03220">
        <w:rPr>
          <w:rFonts w:ascii="Times New Roman" w:hAnsi="Times New Roman" w:cs="Times New Roman"/>
          <w:lang w:val="pl-PL"/>
        </w:rPr>
        <w:fldChar w:fldCharType="end"/>
      </w:r>
      <w:r w:rsidR="004D2070" w:rsidRPr="00C03220">
        <w:rPr>
          <w:rFonts w:ascii="Times New Roman" w:hAnsi="Times New Roman" w:cs="Times New Roman"/>
          <w:lang w:val="pl-PL"/>
        </w:rPr>
        <w:t xml:space="preserve">.  Rzekomo dążąc do osiągnięcia tych celów umundurowani członkowie Ruchu organizowali wiece i demonstracje na całym obszarze Węgier, w tym w miejscowościach zamieszkanych przez </w:t>
      </w:r>
      <w:r w:rsidR="00127122" w:rsidRPr="00C03220">
        <w:rPr>
          <w:rFonts w:ascii="Times New Roman" w:hAnsi="Times New Roman" w:cs="Times New Roman"/>
          <w:lang w:val="pl-PL"/>
        </w:rPr>
        <w:t>duże</w:t>
      </w:r>
      <w:r w:rsidR="004D2070" w:rsidRPr="00C03220">
        <w:rPr>
          <w:rFonts w:ascii="Times New Roman" w:hAnsi="Times New Roman" w:cs="Times New Roman"/>
          <w:lang w:val="pl-PL"/>
        </w:rPr>
        <w:t xml:space="preserve"> społeczności Romów, domagając się obrony „etnicznych Węgrów” przed tzw. „przestępczością cygańską”. Władze nie zakazały organizacji takich demonstracji i wieców.</w:t>
      </w:r>
    </w:p>
    <w:p w:rsidR="004D2070" w:rsidRPr="00C03220" w:rsidRDefault="004D2070" w:rsidP="004D2070">
      <w:pPr>
        <w:pStyle w:val="ECHRPara"/>
        <w:rPr>
          <w:rFonts w:ascii="Times New Roman" w:hAnsi="Times New Roman" w:cs="Times New Roman"/>
          <w:lang w:val="pl-PL"/>
        </w:rPr>
      </w:pPr>
      <w:r w:rsidRPr="00C03220">
        <w:rPr>
          <w:rFonts w:ascii="Times New Roman" w:hAnsi="Times New Roman" w:cs="Times New Roman"/>
          <w:lang w:val="pl-PL"/>
        </w:rPr>
        <w:t xml:space="preserve">Jedna z takich demonstracji, z udziałem około 200 aktywistów, odbyła się w dniu 9 grudnia 2007 r. w Tatárszentgyörgy, miejscowości liczącej około 1800 mieszkańców. Obecna była policja, która nie zezwoliła, </w:t>
      </w:r>
      <w:r w:rsidR="00127122" w:rsidRPr="00C03220">
        <w:rPr>
          <w:rFonts w:ascii="Times New Roman" w:hAnsi="Times New Roman" w:cs="Times New Roman"/>
          <w:lang w:val="pl-PL"/>
        </w:rPr>
        <w:t>by ma</w:t>
      </w:r>
      <w:r w:rsidRPr="00C03220">
        <w:rPr>
          <w:rFonts w:ascii="Times New Roman" w:hAnsi="Times New Roman" w:cs="Times New Roman"/>
          <w:lang w:val="pl-PL"/>
        </w:rPr>
        <w:t>sz</w:t>
      </w:r>
      <w:r w:rsidR="00127122" w:rsidRPr="00C03220">
        <w:rPr>
          <w:rFonts w:ascii="Times New Roman" w:hAnsi="Times New Roman" w:cs="Times New Roman"/>
          <w:lang w:val="pl-PL"/>
        </w:rPr>
        <w:t>erujący</w:t>
      </w:r>
      <w:r w:rsidRPr="00C03220">
        <w:rPr>
          <w:rFonts w:ascii="Times New Roman" w:hAnsi="Times New Roman" w:cs="Times New Roman"/>
          <w:lang w:val="pl-PL"/>
        </w:rPr>
        <w:t xml:space="preserve"> przesz</w:t>
      </w:r>
      <w:r w:rsidR="00127122" w:rsidRPr="00C03220">
        <w:rPr>
          <w:rFonts w:ascii="Times New Roman" w:hAnsi="Times New Roman" w:cs="Times New Roman"/>
          <w:lang w:val="pl-PL"/>
        </w:rPr>
        <w:t>li</w:t>
      </w:r>
      <w:r w:rsidRPr="00C03220">
        <w:rPr>
          <w:rFonts w:ascii="Times New Roman" w:hAnsi="Times New Roman" w:cs="Times New Roman"/>
          <w:lang w:val="pl-PL"/>
        </w:rPr>
        <w:t xml:space="preserve"> ulicą zamieszkaną przez rodziny Romów.</w:t>
      </w:r>
    </w:p>
    <w:p w:rsidR="004D2070" w:rsidRPr="00C03220" w:rsidRDefault="001552E1" w:rsidP="004D2070">
      <w:pPr>
        <w:pStyle w:val="ECHRPara"/>
        <w:rPr>
          <w:rFonts w:ascii="Times New Roman" w:hAnsi="Times New Roman" w:cs="Times New Roman"/>
          <w:lang w:val="pl-PL"/>
        </w:rPr>
      </w:pPr>
      <w:r w:rsidRPr="00C03220">
        <w:rPr>
          <w:rFonts w:ascii="Times New Roman" w:hAnsi="Times New Roman" w:cs="Times New Roman"/>
          <w:lang w:val="pl-PL"/>
        </w:rPr>
        <w:fldChar w:fldCharType="begin"/>
      </w:r>
      <w:r w:rsidR="004D2070" w:rsidRPr="00C03220">
        <w:rPr>
          <w:rFonts w:ascii="Times New Roman" w:hAnsi="Times New Roman" w:cs="Times New Roman"/>
          <w:lang w:val="pl-PL"/>
        </w:rPr>
        <w:instrText xml:space="preserve"> SEQ level0 \*arabic </w:instrText>
      </w:r>
      <w:r w:rsidRPr="00C03220">
        <w:rPr>
          <w:rFonts w:ascii="Times New Roman" w:hAnsi="Times New Roman" w:cs="Times New Roman"/>
          <w:lang w:val="pl-PL"/>
        </w:rPr>
        <w:fldChar w:fldCharType="separate"/>
      </w:r>
      <w:r w:rsidR="004D2070" w:rsidRPr="00C03220">
        <w:rPr>
          <w:rFonts w:ascii="Times New Roman" w:hAnsi="Times New Roman" w:cs="Times New Roman"/>
          <w:noProof/>
          <w:lang w:val="pl-PL"/>
        </w:rPr>
        <w:t>11</w:t>
      </w:r>
      <w:r w:rsidRPr="00C03220">
        <w:rPr>
          <w:rFonts w:ascii="Times New Roman" w:hAnsi="Times New Roman" w:cs="Times New Roman"/>
          <w:lang w:val="pl-PL"/>
        </w:rPr>
        <w:fldChar w:fldCharType="end"/>
      </w:r>
      <w:r w:rsidR="004D2070" w:rsidRPr="00C03220">
        <w:rPr>
          <w:rFonts w:ascii="Times New Roman" w:hAnsi="Times New Roman" w:cs="Times New Roman"/>
          <w:lang w:val="pl-PL"/>
        </w:rPr>
        <w:t xml:space="preserve">.  W reakcji na to wydarzenie w dniu 17 grudnia 2007 r. Prokuratura </w:t>
      </w:r>
      <w:r w:rsidR="00695C0B" w:rsidRPr="00C03220">
        <w:rPr>
          <w:rFonts w:ascii="Times New Roman" w:hAnsi="Times New Roman" w:cs="Times New Roman"/>
          <w:lang w:val="pl-PL"/>
        </w:rPr>
        <w:t>Generalna w</w:t>
      </w:r>
      <w:r w:rsidR="004D2070" w:rsidRPr="00C03220">
        <w:rPr>
          <w:rFonts w:ascii="Times New Roman" w:hAnsi="Times New Roman" w:cs="Times New Roman"/>
          <w:lang w:val="pl-PL"/>
        </w:rPr>
        <w:t xml:space="preserve"> Budapeszcie złożyła do sądu wniosek o rozwiązanie Stowarzyszenia na podstawie domniemanego nadużycia przez Stowarzyszenie wolności stowarzyszania się i zgromadzania się oraz faktu prowadzenia działań naruszających prawa Romów polegających na wzbudzaniu strachu poprzez wypowiedzi i</w:t>
      </w:r>
      <w:r w:rsidR="006B40A4" w:rsidRPr="00C03220">
        <w:rPr>
          <w:rFonts w:ascii="Times New Roman" w:hAnsi="Times New Roman" w:cs="Times New Roman"/>
          <w:lang w:val="pl-PL"/>
        </w:rPr>
        <w:t xml:space="preserve"> wygląd zewnętrzny</w:t>
      </w:r>
      <w:r w:rsidR="004D2070" w:rsidRPr="00C03220">
        <w:rPr>
          <w:rFonts w:ascii="Times New Roman" w:hAnsi="Times New Roman" w:cs="Times New Roman"/>
          <w:lang w:val="pl-PL"/>
        </w:rPr>
        <w:t>, to jest</w:t>
      </w:r>
      <w:r w:rsidR="006B40A4" w:rsidRPr="00C03220">
        <w:rPr>
          <w:rFonts w:ascii="Times New Roman" w:hAnsi="Times New Roman" w:cs="Times New Roman"/>
          <w:lang w:val="pl-PL"/>
        </w:rPr>
        <w:t xml:space="preserve"> przemarsz umundurowanych </w:t>
      </w:r>
      <w:r w:rsidR="004D2070" w:rsidRPr="00C03220">
        <w:rPr>
          <w:rFonts w:ascii="Times New Roman" w:hAnsi="Times New Roman" w:cs="Times New Roman"/>
          <w:lang w:val="pl-PL"/>
        </w:rPr>
        <w:t>aktywistów</w:t>
      </w:r>
      <w:r w:rsidR="00127122" w:rsidRPr="00C03220">
        <w:rPr>
          <w:rFonts w:ascii="Times New Roman" w:hAnsi="Times New Roman" w:cs="Times New Roman"/>
          <w:lang w:val="pl-PL"/>
        </w:rPr>
        <w:t xml:space="preserve"> w </w:t>
      </w:r>
      <w:r w:rsidR="004D2070" w:rsidRPr="00C03220">
        <w:rPr>
          <w:rFonts w:ascii="Times New Roman" w:hAnsi="Times New Roman" w:cs="Times New Roman"/>
          <w:lang w:val="pl-PL"/>
        </w:rPr>
        <w:t>szyku wojskowym</w:t>
      </w:r>
      <w:r w:rsidR="006B40A4" w:rsidRPr="00C03220">
        <w:rPr>
          <w:rFonts w:ascii="Times New Roman" w:hAnsi="Times New Roman" w:cs="Times New Roman"/>
          <w:lang w:val="pl-PL"/>
        </w:rPr>
        <w:t xml:space="preserve">, </w:t>
      </w:r>
      <w:r w:rsidR="004D2070" w:rsidRPr="00C03220">
        <w:rPr>
          <w:rFonts w:ascii="Times New Roman" w:hAnsi="Times New Roman" w:cs="Times New Roman"/>
          <w:lang w:val="pl-PL"/>
        </w:rPr>
        <w:t>wydających rozkazy</w:t>
      </w:r>
      <w:r w:rsidR="006B40A4" w:rsidRPr="00C03220">
        <w:rPr>
          <w:rFonts w:ascii="Times New Roman" w:hAnsi="Times New Roman" w:cs="Times New Roman"/>
          <w:lang w:val="pl-PL"/>
        </w:rPr>
        <w:t xml:space="preserve"> w stylu wojskowym</w:t>
      </w:r>
      <w:r w:rsidR="004D2070" w:rsidRPr="00C03220">
        <w:rPr>
          <w:rFonts w:ascii="Times New Roman" w:hAnsi="Times New Roman" w:cs="Times New Roman"/>
          <w:lang w:val="pl-PL"/>
        </w:rPr>
        <w:t>.</w:t>
      </w:r>
    </w:p>
    <w:p w:rsidR="004D2070" w:rsidRPr="00C03220" w:rsidRDefault="004D2070" w:rsidP="004D2070">
      <w:pPr>
        <w:pStyle w:val="ECHRPara"/>
        <w:rPr>
          <w:rFonts w:ascii="Times New Roman" w:hAnsi="Times New Roman" w:cs="Times New Roman"/>
          <w:lang w:val="pl-PL"/>
        </w:rPr>
      </w:pPr>
      <w:r w:rsidRPr="00C03220">
        <w:rPr>
          <w:rFonts w:ascii="Times New Roman" w:hAnsi="Times New Roman" w:cs="Times New Roman"/>
          <w:lang w:val="pl-PL"/>
        </w:rPr>
        <w:t xml:space="preserve">Zdaniem Prokuratury </w:t>
      </w:r>
      <w:r w:rsidR="00695C0B" w:rsidRPr="00C03220">
        <w:rPr>
          <w:rFonts w:ascii="Times New Roman" w:hAnsi="Times New Roman" w:cs="Times New Roman"/>
          <w:lang w:val="pl-PL"/>
        </w:rPr>
        <w:t xml:space="preserve">Generalnej </w:t>
      </w:r>
      <w:r w:rsidRPr="00C03220">
        <w:rPr>
          <w:rFonts w:ascii="Times New Roman" w:hAnsi="Times New Roman" w:cs="Times New Roman"/>
          <w:lang w:val="pl-PL"/>
        </w:rPr>
        <w:t xml:space="preserve">Ruch stanowił oddział Stowarzyszenia, a jego działania stanowiły w rzeczywistości istotną część działalności tego ostatniego. Prokuratura twierdziła, że Ruch nie jest „społecznością spontaniczną”, że wszyscy jego członkowie zostali zarejestrowani, a także podkreśliła, że Ruch został założony przez </w:t>
      </w:r>
      <w:r w:rsidR="001E0A5D" w:rsidRPr="00C03220">
        <w:rPr>
          <w:rFonts w:ascii="Times New Roman" w:hAnsi="Times New Roman" w:cs="Times New Roman"/>
          <w:lang w:val="pl-PL"/>
        </w:rPr>
        <w:t>kierownictwo</w:t>
      </w:r>
      <w:r w:rsidRPr="00C03220">
        <w:rPr>
          <w:rFonts w:ascii="Times New Roman" w:hAnsi="Times New Roman" w:cs="Times New Roman"/>
          <w:lang w:val="pl-PL"/>
        </w:rPr>
        <w:t xml:space="preserve"> Stowarzyszenia, że wnioski o przyjęcie do Ruchu podlegały ocenie przez Stowarzyszenie oraz że mundur można było nabyć od Stowarzyszenia. </w:t>
      </w:r>
    </w:p>
    <w:p w:rsidR="004D2070" w:rsidRPr="00C03220" w:rsidRDefault="001552E1" w:rsidP="004D2070">
      <w:pPr>
        <w:pStyle w:val="ECHRPara"/>
        <w:rPr>
          <w:rFonts w:ascii="Times New Roman" w:hAnsi="Times New Roman" w:cs="Times New Roman"/>
          <w:lang w:val="pl-PL"/>
        </w:rPr>
      </w:pPr>
      <w:r w:rsidRPr="00C03220">
        <w:rPr>
          <w:rFonts w:ascii="Times New Roman" w:hAnsi="Times New Roman" w:cs="Times New Roman"/>
          <w:lang w:val="pl-PL"/>
        </w:rPr>
        <w:fldChar w:fldCharType="begin"/>
      </w:r>
      <w:r w:rsidR="004D2070" w:rsidRPr="00C03220">
        <w:rPr>
          <w:rFonts w:ascii="Times New Roman" w:hAnsi="Times New Roman" w:cs="Times New Roman"/>
          <w:lang w:val="pl-PL"/>
        </w:rPr>
        <w:instrText xml:space="preserve"> SEQ level0 \*arabic </w:instrText>
      </w:r>
      <w:r w:rsidRPr="00C03220">
        <w:rPr>
          <w:rFonts w:ascii="Times New Roman" w:hAnsi="Times New Roman" w:cs="Times New Roman"/>
          <w:lang w:val="pl-PL"/>
        </w:rPr>
        <w:fldChar w:fldCharType="separate"/>
      </w:r>
      <w:r w:rsidR="004D2070" w:rsidRPr="00C03220">
        <w:rPr>
          <w:rFonts w:ascii="Times New Roman" w:hAnsi="Times New Roman" w:cs="Times New Roman"/>
          <w:noProof/>
          <w:lang w:val="pl-PL"/>
        </w:rPr>
        <w:t>12</w:t>
      </w:r>
      <w:r w:rsidRPr="00C03220">
        <w:rPr>
          <w:rFonts w:ascii="Times New Roman" w:hAnsi="Times New Roman" w:cs="Times New Roman"/>
          <w:lang w:val="pl-PL"/>
        </w:rPr>
        <w:fldChar w:fldCharType="end"/>
      </w:r>
      <w:r w:rsidR="004D2070" w:rsidRPr="00C03220">
        <w:rPr>
          <w:rFonts w:ascii="Times New Roman" w:hAnsi="Times New Roman" w:cs="Times New Roman"/>
          <w:lang w:val="pl-PL"/>
        </w:rPr>
        <w:t xml:space="preserve">.  W czasie postępowania Stowarzyszenie twierdziło jednakże, iż pomiędzy Stowarzyszeniem a Ruchem nie istniały powiązania organizacyjne, które wskazywałyby na jedność obu organizacji; Stowarzyszenie nie mogło </w:t>
      </w:r>
      <w:r w:rsidR="00B3639A" w:rsidRPr="00C03220">
        <w:rPr>
          <w:rFonts w:ascii="Times New Roman" w:hAnsi="Times New Roman" w:cs="Times New Roman"/>
          <w:lang w:val="pl-PL"/>
        </w:rPr>
        <w:t xml:space="preserve">zatem </w:t>
      </w:r>
      <w:r w:rsidR="004D2070" w:rsidRPr="00C03220">
        <w:rPr>
          <w:rFonts w:ascii="Times New Roman" w:hAnsi="Times New Roman" w:cs="Times New Roman"/>
          <w:lang w:val="pl-PL"/>
        </w:rPr>
        <w:t>ponosić odpowiedzialności za działania Ruchu. Ponadto stwierdzono, że niezależnie od wszystkiego działania Ruchu nie stanowiły dla nikogo obiektywnego zagrożenia. Zdaniem Stowarzyszenia subiektywne odczucie strachu nie może powodować ograniczeń praw podstawowych, w tym wolności stowarzyszania się; patrząc obiektywnie, zachowania Ruchu nie miały charakteru zastraszania.</w:t>
      </w:r>
    </w:p>
    <w:p w:rsidR="004D2070" w:rsidRPr="00C03220" w:rsidRDefault="001552E1" w:rsidP="004D2070">
      <w:pPr>
        <w:pStyle w:val="ECHRPara"/>
        <w:rPr>
          <w:rFonts w:ascii="Times New Roman" w:hAnsi="Times New Roman" w:cs="Times New Roman"/>
          <w:lang w:val="pl-PL"/>
        </w:rPr>
      </w:pPr>
      <w:r w:rsidRPr="00C03220">
        <w:rPr>
          <w:rFonts w:ascii="Times New Roman" w:hAnsi="Times New Roman" w:cs="Times New Roman"/>
          <w:lang w:val="pl-PL"/>
        </w:rPr>
        <w:fldChar w:fldCharType="begin"/>
      </w:r>
      <w:r w:rsidR="004D2070" w:rsidRPr="00C03220">
        <w:rPr>
          <w:rFonts w:ascii="Times New Roman" w:hAnsi="Times New Roman" w:cs="Times New Roman"/>
          <w:lang w:val="pl-PL"/>
        </w:rPr>
        <w:instrText xml:space="preserve"> SEQ level0 \*arabic </w:instrText>
      </w:r>
      <w:r w:rsidRPr="00C03220">
        <w:rPr>
          <w:rFonts w:ascii="Times New Roman" w:hAnsi="Times New Roman" w:cs="Times New Roman"/>
          <w:lang w:val="pl-PL"/>
        </w:rPr>
        <w:fldChar w:fldCharType="separate"/>
      </w:r>
      <w:r w:rsidR="004D2070" w:rsidRPr="00C03220">
        <w:rPr>
          <w:rFonts w:ascii="Times New Roman" w:hAnsi="Times New Roman" w:cs="Times New Roman"/>
          <w:noProof/>
          <w:lang w:val="pl-PL"/>
        </w:rPr>
        <w:t>13</w:t>
      </w:r>
      <w:r w:rsidRPr="00C03220">
        <w:rPr>
          <w:rFonts w:ascii="Times New Roman" w:hAnsi="Times New Roman" w:cs="Times New Roman"/>
          <w:lang w:val="pl-PL"/>
        </w:rPr>
        <w:fldChar w:fldCharType="end"/>
      </w:r>
      <w:r w:rsidR="004D2070" w:rsidRPr="00C03220">
        <w:rPr>
          <w:rFonts w:ascii="Times New Roman" w:hAnsi="Times New Roman" w:cs="Times New Roman"/>
          <w:lang w:val="pl-PL"/>
        </w:rPr>
        <w:t>.  Po przeprowadzeniu czterech rozpraw</w:t>
      </w:r>
      <w:r w:rsidR="00B3639A" w:rsidRPr="00C03220">
        <w:rPr>
          <w:rFonts w:ascii="Times New Roman" w:hAnsi="Times New Roman" w:cs="Times New Roman"/>
          <w:lang w:val="pl-PL"/>
        </w:rPr>
        <w:t>,</w:t>
      </w:r>
      <w:r w:rsidR="004D2070" w:rsidRPr="00C03220">
        <w:rPr>
          <w:rFonts w:ascii="Times New Roman" w:hAnsi="Times New Roman" w:cs="Times New Roman"/>
          <w:lang w:val="pl-PL"/>
        </w:rPr>
        <w:t xml:space="preserve"> w dniu 16 grudnia 2008 r. Sąd Okręgowy w Budapeszcie wydał wyrok na korzyść Prokuratury </w:t>
      </w:r>
      <w:r w:rsidR="00695C0B" w:rsidRPr="00C03220">
        <w:rPr>
          <w:rFonts w:ascii="Times New Roman" w:hAnsi="Times New Roman" w:cs="Times New Roman"/>
          <w:lang w:val="pl-PL"/>
        </w:rPr>
        <w:t>Generalnej</w:t>
      </w:r>
      <w:r w:rsidR="004D2070" w:rsidRPr="00C03220">
        <w:rPr>
          <w:rFonts w:ascii="Times New Roman" w:hAnsi="Times New Roman" w:cs="Times New Roman"/>
          <w:lang w:val="pl-PL"/>
        </w:rPr>
        <w:t xml:space="preserve"> i rozwiązał Stowarzyszenie na podstawie art. 16(2)(d) ustawy nr II z 1989 r. w sprawie prawa do wolności stowarzyszania się (zo</w:t>
      </w:r>
      <w:r w:rsidR="00B3639A" w:rsidRPr="00C03220">
        <w:rPr>
          <w:rFonts w:ascii="Times New Roman" w:hAnsi="Times New Roman" w:cs="Times New Roman"/>
          <w:lang w:val="pl-PL"/>
        </w:rPr>
        <w:t>b</w:t>
      </w:r>
      <w:r w:rsidR="004D2070" w:rsidRPr="00C03220">
        <w:rPr>
          <w:rFonts w:ascii="Times New Roman" w:hAnsi="Times New Roman" w:cs="Times New Roman"/>
          <w:lang w:val="pl-PL"/>
        </w:rPr>
        <w:t>. par. 18 poniżej).</w:t>
      </w:r>
    </w:p>
    <w:p w:rsidR="004D2070" w:rsidRPr="00C03220" w:rsidRDefault="004D2070" w:rsidP="004D2070">
      <w:pPr>
        <w:pStyle w:val="ECHRPara"/>
        <w:rPr>
          <w:rFonts w:ascii="Times New Roman" w:hAnsi="Times New Roman" w:cs="Times New Roman"/>
          <w:lang w:val="pl-PL"/>
        </w:rPr>
      </w:pPr>
      <w:r w:rsidRPr="00C03220">
        <w:rPr>
          <w:rFonts w:ascii="Times New Roman" w:hAnsi="Times New Roman" w:cs="Times New Roman"/>
          <w:lang w:val="pl-PL"/>
        </w:rPr>
        <w:t xml:space="preserve">Sąd nie przyjął argumentów dotyczących rozróżnienia pomiędzy dwoma jednostkami i uznał, że istniała między nimi „relacja symbiozy”.  Sąd uznał, że głównym elementem działalności Stowarzyszenia było założenie, </w:t>
      </w:r>
      <w:r w:rsidRPr="00C03220">
        <w:rPr>
          <w:rFonts w:ascii="Times New Roman" w:hAnsi="Times New Roman" w:cs="Times New Roman"/>
          <w:lang w:val="pl-PL"/>
        </w:rPr>
        <w:lastRenderedPageBreak/>
        <w:t>prowadzenie, kierowanie i finansowanie Ruchu, zauważając między innymi, że Ruch otrzymywał darowizny za pośrednictwem rachunku bankowego Stowarzyszenia. Niemniej jednak skutek prawny wyroku ograniczał się do rozwiązania Stowarzyszenia; w opinii sądu Ruch nie posiadał osobowości prawnej, a zatem wyrok nie dotyczył bezpośrednio Ruchu.</w:t>
      </w:r>
    </w:p>
    <w:p w:rsidR="004D2070" w:rsidRPr="00C03220" w:rsidRDefault="004D2070" w:rsidP="004D2070">
      <w:pPr>
        <w:pStyle w:val="ECHRPara"/>
        <w:rPr>
          <w:rFonts w:ascii="Times New Roman" w:hAnsi="Times New Roman" w:cs="Times New Roman"/>
          <w:szCs w:val="24"/>
          <w:lang w:val="pl-PL"/>
        </w:rPr>
      </w:pPr>
      <w:r w:rsidRPr="00C03220">
        <w:rPr>
          <w:rFonts w:ascii="Times New Roman" w:hAnsi="Times New Roman" w:cs="Times New Roman"/>
          <w:szCs w:val="24"/>
          <w:lang w:val="pl-PL"/>
        </w:rPr>
        <w:t>W odniesieniu do zgromadzenia w Tatárszentgyörgy Sąd Okręgowy uznał, co następuje:</w:t>
      </w:r>
    </w:p>
    <w:p w:rsidR="004D2070" w:rsidRPr="00C03220" w:rsidRDefault="004D2070" w:rsidP="004D2070">
      <w:pPr>
        <w:pStyle w:val="ECHRParaQuote"/>
        <w:rPr>
          <w:rFonts w:ascii="Times New Roman" w:hAnsi="Times New Roman" w:cs="Times New Roman"/>
          <w:lang w:val="pl-PL"/>
        </w:rPr>
      </w:pPr>
      <w:r w:rsidRPr="00C03220">
        <w:rPr>
          <w:rFonts w:ascii="Times New Roman" w:hAnsi="Times New Roman" w:cs="Times New Roman"/>
          <w:lang w:val="pl-PL"/>
        </w:rPr>
        <w:t>„Podstawowym celem tego wydarzenia było zwrócenie uwagi na kwestię „przestępczości cygańskiej”. Zastosowanie uogólnienia wyraźnie opartego na podstawach rasowych i etnicznych naruszyło zasadę równej godności wszystkich ludzi... Ponadto zdarzenie nie miało charakteru jednorazowego ... [Ruch] sformułował swój program na podstawie dyskryminacji</w:t>
      </w:r>
      <w:r w:rsidR="00B3639A" w:rsidRPr="00C03220">
        <w:rPr>
          <w:rFonts w:ascii="Times New Roman" w:hAnsi="Times New Roman" w:cs="Times New Roman"/>
          <w:lang w:val="pl-PL"/>
        </w:rPr>
        <w:t xml:space="preserve"> ludzi</w:t>
      </w:r>
      <w:r w:rsidRPr="00C03220">
        <w:rPr>
          <w:rFonts w:ascii="Times New Roman" w:hAnsi="Times New Roman" w:cs="Times New Roman"/>
          <w:lang w:val="pl-PL"/>
        </w:rPr>
        <w:t>, co wyrażono podczas marszów; powyższe stanowiło demonstrację siły i</w:t>
      </w:r>
      <w:r w:rsidR="001D342E" w:rsidRPr="00C03220">
        <w:rPr>
          <w:rFonts w:ascii="Times New Roman" w:hAnsi="Times New Roman" w:cs="Times New Roman"/>
          <w:lang w:val="pl-PL"/>
        </w:rPr>
        <w:t xml:space="preserve"> zastraszało inne osoby ze względu na wygląd [uczestników marszów</w:t>
      </w:r>
      <w:r w:rsidRPr="00C03220">
        <w:rPr>
          <w:rFonts w:ascii="Times New Roman" w:hAnsi="Times New Roman" w:cs="Times New Roman"/>
          <w:lang w:val="pl-PL"/>
        </w:rPr>
        <w:t xml:space="preserve">]. ... W opinii sądu, z konstytucyjnego punktu widzenia nie </w:t>
      </w:r>
      <w:r w:rsidR="001D342E" w:rsidRPr="00C03220">
        <w:rPr>
          <w:rFonts w:ascii="Times New Roman" w:hAnsi="Times New Roman" w:cs="Times New Roman"/>
          <w:lang w:val="pl-PL"/>
        </w:rPr>
        <w:t>można</w:t>
      </w:r>
      <w:r w:rsidRPr="00C03220">
        <w:rPr>
          <w:rFonts w:ascii="Times New Roman" w:hAnsi="Times New Roman" w:cs="Times New Roman"/>
          <w:lang w:val="pl-PL"/>
        </w:rPr>
        <w:t xml:space="preserve"> zaakceptować wywoływania strachu, szczególnie jako misji, jako celu czy zadania.</w:t>
      </w:r>
    </w:p>
    <w:p w:rsidR="004D2070" w:rsidRPr="00C03220" w:rsidRDefault="001552E1" w:rsidP="004D2070">
      <w:pPr>
        <w:pStyle w:val="ECHRPara"/>
        <w:rPr>
          <w:rFonts w:ascii="Times New Roman" w:hAnsi="Times New Roman" w:cs="Times New Roman"/>
          <w:lang w:val="pl-PL"/>
        </w:rPr>
      </w:pPr>
      <w:r w:rsidRPr="00C03220">
        <w:rPr>
          <w:rFonts w:ascii="Times New Roman" w:hAnsi="Times New Roman" w:cs="Times New Roman"/>
          <w:lang w:val="pl-PL"/>
        </w:rPr>
        <w:fldChar w:fldCharType="begin"/>
      </w:r>
      <w:r w:rsidR="004D2070" w:rsidRPr="00C03220">
        <w:rPr>
          <w:rFonts w:ascii="Times New Roman" w:hAnsi="Times New Roman" w:cs="Times New Roman"/>
          <w:lang w:val="pl-PL"/>
        </w:rPr>
        <w:instrText xml:space="preserve"> SEQ level0 \*arabic </w:instrText>
      </w:r>
      <w:r w:rsidRPr="00C03220">
        <w:rPr>
          <w:rFonts w:ascii="Times New Roman" w:hAnsi="Times New Roman" w:cs="Times New Roman"/>
          <w:lang w:val="pl-PL"/>
        </w:rPr>
        <w:fldChar w:fldCharType="separate"/>
      </w:r>
      <w:r w:rsidR="004D2070" w:rsidRPr="00C03220">
        <w:rPr>
          <w:rFonts w:ascii="Times New Roman" w:hAnsi="Times New Roman" w:cs="Times New Roman"/>
          <w:noProof/>
          <w:lang w:val="pl-PL"/>
        </w:rPr>
        <w:t>14</w:t>
      </w:r>
      <w:r w:rsidRPr="00C03220">
        <w:rPr>
          <w:rFonts w:ascii="Times New Roman" w:hAnsi="Times New Roman" w:cs="Times New Roman"/>
          <w:lang w:val="pl-PL"/>
        </w:rPr>
        <w:fldChar w:fldCharType="end"/>
      </w:r>
      <w:r w:rsidR="004D2070" w:rsidRPr="00C03220">
        <w:rPr>
          <w:rFonts w:ascii="Times New Roman" w:hAnsi="Times New Roman" w:cs="Times New Roman"/>
          <w:lang w:val="pl-PL"/>
        </w:rPr>
        <w:t xml:space="preserve">.  Sąd zauważył, że uczestnicy, którzy mieli na sobie mundury, nosili na ramieniu opaski przypominające opaski oficerów Strzałokrzyżowców (odpowiedzialnych za rządy terroru na Węgrzech w latach 1944 - 45). Sąd stwierdził, że marsze z uczestnictwem osób ubranych w ten sposób mogą w obiektywny sposób </w:t>
      </w:r>
      <w:r w:rsidR="006B40A4" w:rsidRPr="00C03220">
        <w:rPr>
          <w:rFonts w:ascii="Times New Roman" w:hAnsi="Times New Roman" w:cs="Times New Roman"/>
          <w:lang w:val="pl-PL"/>
        </w:rPr>
        <w:t xml:space="preserve">rozdrapywać </w:t>
      </w:r>
      <w:r w:rsidR="004D2070" w:rsidRPr="00C03220">
        <w:rPr>
          <w:rFonts w:ascii="Times New Roman" w:hAnsi="Times New Roman" w:cs="Times New Roman"/>
          <w:lang w:val="pl-PL"/>
        </w:rPr>
        <w:t>„histor</w:t>
      </w:r>
      <w:r w:rsidR="006B40A4" w:rsidRPr="00C03220">
        <w:rPr>
          <w:rFonts w:ascii="Times New Roman" w:hAnsi="Times New Roman" w:cs="Times New Roman"/>
          <w:lang w:val="pl-PL"/>
        </w:rPr>
        <w:t>yczne rany</w:t>
      </w:r>
      <w:r w:rsidR="004D2070" w:rsidRPr="00C03220">
        <w:rPr>
          <w:rFonts w:ascii="Times New Roman" w:hAnsi="Times New Roman" w:cs="Times New Roman"/>
          <w:lang w:val="pl-PL"/>
        </w:rPr>
        <w:t>”.</w:t>
      </w:r>
    </w:p>
    <w:p w:rsidR="004D2070" w:rsidRPr="00C03220" w:rsidRDefault="004D2070" w:rsidP="004D2070">
      <w:pPr>
        <w:pStyle w:val="ECHRPara"/>
        <w:rPr>
          <w:rFonts w:ascii="Times New Roman" w:hAnsi="Times New Roman" w:cs="Times New Roman"/>
          <w:lang w:val="pl-PL"/>
        </w:rPr>
      </w:pPr>
      <w:r w:rsidRPr="00C03220">
        <w:rPr>
          <w:rFonts w:ascii="Times New Roman" w:hAnsi="Times New Roman" w:cs="Times New Roman"/>
          <w:lang w:val="pl-PL"/>
        </w:rPr>
        <w:t xml:space="preserve">Następnie sąd oświadczył, że mimo określonego celu statutowego działania Stowarzyszenia naruszyły przepisy węgierskiego prawa o stowarzyszeniach i wywołały nastroje antyromskie. W opinii sądu w świetle doświadczeń historycznych naruszenie przepisów prawa stanowiła sama tylko </w:t>
      </w:r>
      <w:r w:rsidR="001E0A5D" w:rsidRPr="00C03220">
        <w:rPr>
          <w:rFonts w:ascii="Times New Roman" w:hAnsi="Times New Roman" w:cs="Times New Roman"/>
          <w:lang w:val="pl-PL"/>
        </w:rPr>
        <w:t>werbalna i wizualna demonstracja</w:t>
      </w:r>
      <w:r w:rsidRPr="00C03220">
        <w:rPr>
          <w:rFonts w:ascii="Times New Roman" w:hAnsi="Times New Roman" w:cs="Times New Roman"/>
          <w:lang w:val="pl-PL"/>
        </w:rPr>
        <w:t xml:space="preserve"> siły; z tego względu Stowarzyszenie powinno było zostać rozwiązane mimo, że w rzeczywistości nie popełniło żadnego przestępstwa: fakt, iż program Stowarzyszenia obejmował dyskryminację, stanowił naruszenie praw innych osób w rozumieniu art. 2(2) [ustawy nr II z 1989</w:t>
      </w:r>
      <w:r w:rsidR="00B3639A" w:rsidRPr="00C03220">
        <w:rPr>
          <w:rFonts w:ascii="Times New Roman" w:hAnsi="Times New Roman" w:cs="Times New Roman"/>
          <w:lang w:val="pl-PL"/>
        </w:rPr>
        <w:t xml:space="preserve"> r.</w:t>
      </w:r>
      <w:r w:rsidRPr="00C03220">
        <w:rPr>
          <w:rFonts w:ascii="Times New Roman" w:hAnsi="Times New Roman" w:cs="Times New Roman"/>
          <w:lang w:val="pl-PL"/>
        </w:rPr>
        <w:t>] (zob. par. 18 poniżej).</w:t>
      </w:r>
    </w:p>
    <w:p w:rsidR="004D2070" w:rsidRPr="00C03220" w:rsidRDefault="001552E1" w:rsidP="004D2070">
      <w:pPr>
        <w:pStyle w:val="ECHRPara"/>
        <w:rPr>
          <w:rFonts w:ascii="Times New Roman" w:hAnsi="Times New Roman" w:cs="Times New Roman"/>
          <w:lang w:val="pl-PL"/>
        </w:rPr>
      </w:pPr>
      <w:r w:rsidRPr="00C03220">
        <w:rPr>
          <w:rFonts w:ascii="Times New Roman" w:hAnsi="Times New Roman" w:cs="Times New Roman"/>
          <w:lang w:val="pl-PL"/>
        </w:rPr>
        <w:fldChar w:fldCharType="begin"/>
      </w:r>
      <w:r w:rsidR="004D2070" w:rsidRPr="00C03220">
        <w:rPr>
          <w:rFonts w:ascii="Times New Roman" w:hAnsi="Times New Roman" w:cs="Times New Roman"/>
          <w:lang w:val="pl-PL"/>
        </w:rPr>
        <w:instrText xml:space="preserve"> SEQ level0 \*arabic </w:instrText>
      </w:r>
      <w:r w:rsidRPr="00C03220">
        <w:rPr>
          <w:rFonts w:ascii="Times New Roman" w:hAnsi="Times New Roman" w:cs="Times New Roman"/>
          <w:lang w:val="pl-PL"/>
        </w:rPr>
        <w:fldChar w:fldCharType="separate"/>
      </w:r>
      <w:r w:rsidR="004D2070" w:rsidRPr="00C03220">
        <w:rPr>
          <w:rFonts w:ascii="Times New Roman" w:hAnsi="Times New Roman" w:cs="Times New Roman"/>
          <w:noProof/>
          <w:lang w:val="pl-PL"/>
        </w:rPr>
        <w:t>15</w:t>
      </w:r>
      <w:r w:rsidRPr="00C03220">
        <w:rPr>
          <w:rFonts w:ascii="Times New Roman" w:hAnsi="Times New Roman" w:cs="Times New Roman"/>
          <w:lang w:val="pl-PL"/>
        </w:rPr>
        <w:fldChar w:fldCharType="end"/>
      </w:r>
      <w:r w:rsidR="004D2070" w:rsidRPr="00C03220">
        <w:rPr>
          <w:rFonts w:ascii="Times New Roman" w:hAnsi="Times New Roman" w:cs="Times New Roman"/>
          <w:lang w:val="pl-PL"/>
        </w:rPr>
        <w:t xml:space="preserve">.  W dniu 2 lipca 2009 r. Sąd Apelacyjny w Budapeszcie utrzymał w mocy wyrok Sądu Okręgowego. Sąd uwzględnił dwie podobne demonstracje zorganizowane przez Ruch, w miejscowości Fadd w dniu 21 czerwca 2008 r. oraz w miejscowości Sárbogárd w nieokreślonym terminie. Sąd Apelacyjny zauważył, że przemówienia członków Ruchu podczas </w:t>
      </w:r>
      <w:r w:rsidR="00B3639A" w:rsidRPr="00C03220">
        <w:rPr>
          <w:rFonts w:ascii="Times New Roman" w:hAnsi="Times New Roman" w:cs="Times New Roman"/>
          <w:lang w:val="pl-PL"/>
        </w:rPr>
        <w:t xml:space="preserve">wiecu w </w:t>
      </w:r>
      <w:r w:rsidR="004D2070" w:rsidRPr="00C03220">
        <w:rPr>
          <w:rFonts w:ascii="Times New Roman" w:hAnsi="Times New Roman" w:cs="Times New Roman"/>
          <w:lang w:val="pl-PL"/>
        </w:rPr>
        <w:t xml:space="preserve">Fadd zawierały liczne </w:t>
      </w:r>
      <w:r w:rsidR="00B3639A" w:rsidRPr="00C03220">
        <w:rPr>
          <w:rFonts w:ascii="Times New Roman" w:hAnsi="Times New Roman" w:cs="Times New Roman"/>
          <w:lang w:val="pl-PL"/>
        </w:rPr>
        <w:t>stwierdzenia</w:t>
      </w:r>
      <w:r w:rsidR="004D2070" w:rsidRPr="00C03220">
        <w:rPr>
          <w:rFonts w:ascii="Times New Roman" w:hAnsi="Times New Roman" w:cs="Times New Roman"/>
          <w:lang w:val="pl-PL"/>
        </w:rPr>
        <w:t>, których celem było wykluczenie Romów. W odniesieniu do wydarzeń w Sárbogárd Sąd Apelacyjny stwierdził, że zanotowano wtedy wypowiedzi o charakterze antysemickim.</w:t>
      </w:r>
    </w:p>
    <w:p w:rsidR="004D2070" w:rsidRPr="00C03220" w:rsidRDefault="004D2070" w:rsidP="004D2070">
      <w:pPr>
        <w:pStyle w:val="ECHRPara"/>
        <w:rPr>
          <w:rFonts w:ascii="Times New Roman" w:hAnsi="Times New Roman" w:cs="Times New Roman"/>
          <w:lang w:val="pl-PL"/>
        </w:rPr>
      </w:pPr>
      <w:r w:rsidRPr="00C03220">
        <w:rPr>
          <w:rFonts w:ascii="Times New Roman" w:hAnsi="Times New Roman" w:cs="Times New Roman"/>
          <w:lang w:val="pl-PL"/>
        </w:rPr>
        <w:t>Sąd ustalił, że pomiędzy oba podm</w:t>
      </w:r>
      <w:r w:rsidR="00B3639A" w:rsidRPr="00C03220">
        <w:rPr>
          <w:rFonts w:ascii="Times New Roman" w:hAnsi="Times New Roman" w:cs="Times New Roman"/>
          <w:lang w:val="pl-PL"/>
        </w:rPr>
        <w:t>iotami istnieją bliższe związki</w:t>
      </w:r>
      <w:r w:rsidRPr="00C03220">
        <w:rPr>
          <w:rFonts w:ascii="Times New Roman" w:hAnsi="Times New Roman" w:cs="Times New Roman"/>
          <w:lang w:val="pl-PL"/>
        </w:rPr>
        <w:t xml:space="preserve"> i objął zakresem wyroku także Ruch. Sąd uznał, że w rzeczywistości </w:t>
      </w:r>
      <w:r w:rsidR="00B3639A" w:rsidRPr="00C03220">
        <w:rPr>
          <w:rFonts w:ascii="Times New Roman" w:hAnsi="Times New Roman" w:cs="Times New Roman"/>
          <w:lang w:val="pl-PL"/>
        </w:rPr>
        <w:t xml:space="preserve">Ruch stanowił </w:t>
      </w:r>
      <w:r w:rsidRPr="00C03220">
        <w:rPr>
          <w:rFonts w:ascii="Times New Roman" w:hAnsi="Times New Roman" w:cs="Times New Roman"/>
          <w:lang w:val="pl-PL"/>
        </w:rPr>
        <w:t>„oddział”</w:t>
      </w:r>
      <w:r w:rsidR="00B3639A" w:rsidRPr="00C03220">
        <w:rPr>
          <w:rFonts w:ascii="Times New Roman" w:hAnsi="Times New Roman" w:cs="Times New Roman"/>
          <w:lang w:val="pl-PL"/>
        </w:rPr>
        <w:t xml:space="preserve"> Stowarzyszenia</w:t>
      </w:r>
      <w:r w:rsidRPr="00C03220">
        <w:rPr>
          <w:rFonts w:ascii="Times New Roman" w:hAnsi="Times New Roman" w:cs="Times New Roman"/>
          <w:lang w:val="pl-PL"/>
        </w:rPr>
        <w:t xml:space="preserve">; zatem wyrok dotyczył ich obu.  Rozwiązanie Stowarzyszenia skutkowało także zdemontowaniem struktury </w:t>
      </w:r>
      <w:r w:rsidRPr="00C03220">
        <w:rPr>
          <w:rFonts w:ascii="Times New Roman" w:hAnsi="Times New Roman" w:cs="Times New Roman"/>
          <w:lang w:val="pl-PL"/>
        </w:rPr>
        <w:lastRenderedPageBreak/>
        <w:t xml:space="preserve">organizacyjnej </w:t>
      </w:r>
      <w:r w:rsidR="00B3639A" w:rsidRPr="00C03220">
        <w:rPr>
          <w:rFonts w:ascii="Times New Roman" w:hAnsi="Times New Roman" w:cs="Times New Roman"/>
          <w:lang w:val="pl-PL"/>
        </w:rPr>
        <w:t xml:space="preserve">obejmującej </w:t>
      </w:r>
      <w:r w:rsidRPr="00C03220">
        <w:rPr>
          <w:rFonts w:ascii="Times New Roman" w:hAnsi="Times New Roman" w:cs="Times New Roman"/>
          <w:lang w:val="pl-PL"/>
        </w:rPr>
        <w:t>wszystki</w:t>
      </w:r>
      <w:r w:rsidR="00B3639A" w:rsidRPr="00C03220">
        <w:rPr>
          <w:rFonts w:ascii="Times New Roman" w:hAnsi="Times New Roman" w:cs="Times New Roman"/>
          <w:lang w:val="pl-PL"/>
        </w:rPr>
        <w:t>e</w:t>
      </w:r>
      <w:r w:rsidRPr="00C03220">
        <w:rPr>
          <w:rFonts w:ascii="Times New Roman" w:hAnsi="Times New Roman" w:cs="Times New Roman"/>
          <w:lang w:val="pl-PL"/>
        </w:rPr>
        <w:t xml:space="preserve"> os</w:t>
      </w:r>
      <w:r w:rsidR="00B3639A" w:rsidRPr="00C03220">
        <w:rPr>
          <w:rFonts w:ascii="Times New Roman" w:hAnsi="Times New Roman" w:cs="Times New Roman"/>
          <w:lang w:val="pl-PL"/>
        </w:rPr>
        <w:t>oby działające w</w:t>
      </w:r>
      <w:r w:rsidRPr="00C03220">
        <w:rPr>
          <w:rFonts w:ascii="Times New Roman" w:hAnsi="Times New Roman" w:cs="Times New Roman"/>
          <w:lang w:val="pl-PL"/>
        </w:rPr>
        <w:t xml:space="preserve"> ramach ruchów powiązanych z rozwiązanym stowarzyszeniem.</w:t>
      </w:r>
    </w:p>
    <w:p w:rsidR="004D2070" w:rsidRPr="00C03220" w:rsidRDefault="004D2070" w:rsidP="004D2070">
      <w:pPr>
        <w:pStyle w:val="ECHRPara"/>
        <w:rPr>
          <w:rFonts w:ascii="Times New Roman" w:hAnsi="Times New Roman" w:cs="Times New Roman"/>
          <w:lang w:val="pl-PL"/>
        </w:rPr>
      </w:pPr>
      <w:r w:rsidRPr="00C03220">
        <w:rPr>
          <w:rFonts w:ascii="Times New Roman" w:hAnsi="Times New Roman" w:cs="Times New Roman"/>
          <w:lang w:val="pl-PL"/>
        </w:rPr>
        <w:t xml:space="preserve">Sąd stwierdził, że wyboru lokalizacji, w których odbyły się demonstracje, to jest miejscowości o </w:t>
      </w:r>
      <w:r w:rsidR="00B3639A" w:rsidRPr="00C03220">
        <w:rPr>
          <w:rFonts w:ascii="Times New Roman" w:hAnsi="Times New Roman" w:cs="Times New Roman"/>
          <w:lang w:val="pl-PL"/>
        </w:rPr>
        <w:t>duż</w:t>
      </w:r>
      <w:r w:rsidRPr="00C03220">
        <w:rPr>
          <w:rFonts w:ascii="Times New Roman" w:hAnsi="Times New Roman" w:cs="Times New Roman"/>
          <w:lang w:val="pl-PL"/>
        </w:rPr>
        <w:t>ej liczbie mieszkańców pochodzenia romskiego, nie można uznać za dialog społeczn</w:t>
      </w:r>
      <w:r w:rsidR="00B3639A" w:rsidRPr="00C03220">
        <w:rPr>
          <w:rFonts w:ascii="Times New Roman" w:hAnsi="Times New Roman" w:cs="Times New Roman"/>
          <w:lang w:val="pl-PL"/>
        </w:rPr>
        <w:t>y</w:t>
      </w:r>
      <w:r w:rsidRPr="00C03220">
        <w:rPr>
          <w:rFonts w:ascii="Times New Roman" w:hAnsi="Times New Roman" w:cs="Times New Roman"/>
          <w:lang w:val="pl-PL"/>
        </w:rPr>
        <w:t xml:space="preserve">, lecz za ekstremalną formę ekspresji w kontekście demonstracji siły o charakterze praktycznie militarnym, w tym mundurów, szyku, rozkazów i salutów o charakterze militarnym.  Sąd Apelacyjny zasadniczo utrzymał w mocy argumenty Sądu Okręgowego oraz dodał, że mieszkańcy miejscowości stali się „odbiorcami bez możliwości wyboru” takich ekstremalnych i wykluczających opinii. W opinii sądu wydarzenia zorganizowane przez Ruch pociągały ze sobą ryzyko użycia przemocy, generowały konflikt, naruszały porządek i spokój publiczny oraz prawo do wolności i bezpieczeństwa mieszkańców </w:t>
      </w:r>
      <w:r w:rsidR="00B3639A" w:rsidRPr="00C03220">
        <w:rPr>
          <w:rFonts w:ascii="Times New Roman" w:hAnsi="Times New Roman" w:cs="Times New Roman"/>
          <w:lang w:val="pl-PL"/>
        </w:rPr>
        <w:t xml:space="preserve">tych </w:t>
      </w:r>
      <w:r w:rsidRPr="00C03220">
        <w:rPr>
          <w:rFonts w:ascii="Times New Roman" w:hAnsi="Times New Roman" w:cs="Times New Roman"/>
          <w:lang w:val="pl-PL"/>
        </w:rPr>
        <w:t>miejscowości, mimo faktu że ostatecznie żadna z demonstracji nie zakończyła się aktami przemocy, przy czym wszystkie były ściśle kontrolowane przez policję.</w:t>
      </w:r>
    </w:p>
    <w:p w:rsidR="004D2070" w:rsidRPr="00C03220" w:rsidRDefault="004D2070" w:rsidP="004D2070">
      <w:pPr>
        <w:pStyle w:val="ECHRPara"/>
        <w:rPr>
          <w:rFonts w:ascii="Times New Roman" w:hAnsi="Times New Roman" w:cs="Times New Roman"/>
          <w:lang w:val="pl-PL"/>
        </w:rPr>
      </w:pPr>
      <w:r w:rsidRPr="00C03220">
        <w:rPr>
          <w:rFonts w:ascii="Times New Roman" w:hAnsi="Times New Roman" w:cs="Times New Roman"/>
          <w:lang w:val="pl-PL"/>
        </w:rPr>
        <w:t xml:space="preserve">Sąd zbadał także kwestię prawa skarżącego do wolności wyrażania opinii. Podtrzymując argumenty zawarte w wyroku pierwszej instancji oraz powołując się na orzecznictwo Trybunału, sąd stwierdził, że wolność ta nie obejmuje mowy nienawiści bądź nawoływania do przemocy. </w:t>
      </w:r>
    </w:p>
    <w:p w:rsidR="004D2070" w:rsidRPr="00C03220" w:rsidRDefault="001552E1" w:rsidP="004D2070">
      <w:pPr>
        <w:pStyle w:val="ECHRPara"/>
        <w:rPr>
          <w:rFonts w:ascii="Times New Roman" w:hAnsi="Times New Roman" w:cs="Times New Roman"/>
          <w:lang w:val="pl-PL"/>
        </w:rPr>
      </w:pPr>
      <w:r w:rsidRPr="00C03220">
        <w:rPr>
          <w:rFonts w:ascii="Times New Roman" w:hAnsi="Times New Roman" w:cs="Times New Roman"/>
          <w:lang w:val="pl-PL"/>
        </w:rPr>
        <w:fldChar w:fldCharType="begin"/>
      </w:r>
      <w:r w:rsidR="004D2070" w:rsidRPr="00C03220">
        <w:rPr>
          <w:rFonts w:ascii="Times New Roman" w:hAnsi="Times New Roman" w:cs="Times New Roman"/>
          <w:lang w:val="pl-PL"/>
        </w:rPr>
        <w:instrText xml:space="preserve"> SEQ level0 \*arabic </w:instrText>
      </w:r>
      <w:r w:rsidRPr="00C03220">
        <w:rPr>
          <w:rFonts w:ascii="Times New Roman" w:hAnsi="Times New Roman" w:cs="Times New Roman"/>
          <w:lang w:val="pl-PL"/>
        </w:rPr>
        <w:fldChar w:fldCharType="separate"/>
      </w:r>
      <w:r w:rsidR="004D2070" w:rsidRPr="00C03220">
        <w:rPr>
          <w:rFonts w:ascii="Times New Roman" w:hAnsi="Times New Roman" w:cs="Times New Roman"/>
          <w:noProof/>
          <w:lang w:val="pl-PL"/>
        </w:rPr>
        <w:t>16</w:t>
      </w:r>
      <w:r w:rsidRPr="00C03220">
        <w:rPr>
          <w:rFonts w:ascii="Times New Roman" w:hAnsi="Times New Roman" w:cs="Times New Roman"/>
          <w:lang w:val="pl-PL"/>
        </w:rPr>
        <w:fldChar w:fldCharType="end"/>
      </w:r>
      <w:r w:rsidR="004D2070" w:rsidRPr="00C03220">
        <w:rPr>
          <w:rFonts w:ascii="Times New Roman" w:hAnsi="Times New Roman" w:cs="Times New Roman"/>
          <w:lang w:val="pl-PL"/>
        </w:rPr>
        <w:t>.  W dniu 15 grudnia 2009 r. Sąd Najwyższy utrzymał w mocy wyrok Sądu Apelacyjnego w Budapeszcie. Sąd Najwyższy potwierdził ustalenia Sądu Apelacyjnego w tym zakresie, że Ruch faktycznie stanowił oddział działający w ramach Stowarzyszenia. Sąd podzielił także zdanie sądów niższej instancji odnośnie do konieczności rozwiązania Stowarzyszenia, wskazując, że demonstracje Ruchu doprowadziły do sytuacji konfliktowych, których protagoniści mogli potencjalnie uciekać się do zastosowania przemocy.</w:t>
      </w:r>
    </w:p>
    <w:p w:rsidR="004D2070" w:rsidRPr="00C03220" w:rsidRDefault="004D2070" w:rsidP="004D2070">
      <w:pPr>
        <w:pStyle w:val="ECHRPara"/>
        <w:rPr>
          <w:rFonts w:ascii="Times New Roman" w:hAnsi="Times New Roman" w:cs="Times New Roman"/>
          <w:lang w:val="pl-PL"/>
        </w:rPr>
      </w:pPr>
      <w:r w:rsidRPr="00C03220">
        <w:rPr>
          <w:rFonts w:ascii="Times New Roman" w:hAnsi="Times New Roman" w:cs="Times New Roman"/>
          <w:lang w:val="pl-PL"/>
        </w:rPr>
        <w:t>Decyzję doręczono w dniu 28 stycznia 2010 r.</w:t>
      </w:r>
    </w:p>
    <w:p w:rsidR="004D2070" w:rsidRPr="00C03220" w:rsidRDefault="004D2070" w:rsidP="005C056C">
      <w:pPr>
        <w:pStyle w:val="ECHRHeading1"/>
        <w:numPr>
          <w:ilvl w:val="0"/>
          <w:numId w:val="0"/>
        </w:numPr>
        <w:rPr>
          <w:rFonts w:ascii="Times New Roman" w:hAnsi="Times New Roman" w:cs="Times New Roman"/>
          <w:b w:val="0"/>
          <w:sz w:val="24"/>
          <w:szCs w:val="24"/>
          <w:lang w:val="pl-PL"/>
        </w:rPr>
      </w:pPr>
      <w:r w:rsidRPr="00C03220">
        <w:rPr>
          <w:rFonts w:ascii="Times New Roman" w:hAnsi="Times New Roman" w:cs="Times New Roman"/>
          <w:b w:val="0"/>
          <w:bCs w:val="0"/>
          <w:sz w:val="24"/>
          <w:szCs w:val="24"/>
          <w:lang w:val="pl-PL"/>
        </w:rPr>
        <w:t>II. WŁAŚCIWE PRAWO KRAJOWE</w:t>
      </w:r>
    </w:p>
    <w:p w:rsidR="005C056C" w:rsidRPr="00C03220" w:rsidRDefault="005C056C" w:rsidP="004D2070">
      <w:pPr>
        <w:pStyle w:val="ECHRPara"/>
        <w:rPr>
          <w:rFonts w:ascii="Times New Roman" w:hAnsi="Times New Roman" w:cs="Times New Roman"/>
          <w:lang w:val="pl-PL"/>
        </w:rPr>
      </w:pPr>
    </w:p>
    <w:p w:rsidR="004D2070" w:rsidRPr="00C03220" w:rsidRDefault="001552E1" w:rsidP="004D2070">
      <w:pPr>
        <w:pStyle w:val="ECHRPara"/>
        <w:rPr>
          <w:rFonts w:ascii="Times New Roman" w:hAnsi="Times New Roman" w:cs="Times New Roman"/>
          <w:lang w:val="pl-PL"/>
        </w:rPr>
      </w:pPr>
      <w:r w:rsidRPr="00C03220">
        <w:rPr>
          <w:rFonts w:ascii="Times New Roman" w:hAnsi="Times New Roman" w:cs="Times New Roman"/>
          <w:lang w:val="pl-PL"/>
        </w:rPr>
        <w:fldChar w:fldCharType="begin"/>
      </w:r>
      <w:r w:rsidR="004D2070" w:rsidRPr="00C03220">
        <w:rPr>
          <w:rFonts w:ascii="Times New Roman" w:hAnsi="Times New Roman" w:cs="Times New Roman"/>
          <w:lang w:val="pl-PL"/>
        </w:rPr>
        <w:instrText xml:space="preserve"> SEQ level0 \*arabic </w:instrText>
      </w:r>
      <w:r w:rsidRPr="00C03220">
        <w:rPr>
          <w:rFonts w:ascii="Times New Roman" w:hAnsi="Times New Roman" w:cs="Times New Roman"/>
          <w:lang w:val="pl-PL"/>
        </w:rPr>
        <w:fldChar w:fldCharType="separate"/>
      </w:r>
      <w:r w:rsidR="004D2070" w:rsidRPr="00C03220">
        <w:rPr>
          <w:rFonts w:ascii="Times New Roman" w:hAnsi="Times New Roman" w:cs="Times New Roman"/>
          <w:noProof/>
          <w:lang w:val="pl-PL"/>
        </w:rPr>
        <w:t>17</w:t>
      </w:r>
      <w:r w:rsidRPr="00C03220">
        <w:rPr>
          <w:rFonts w:ascii="Times New Roman" w:hAnsi="Times New Roman" w:cs="Times New Roman"/>
          <w:lang w:val="pl-PL"/>
        </w:rPr>
        <w:fldChar w:fldCharType="end"/>
      </w:r>
      <w:r w:rsidR="004D2070" w:rsidRPr="00C03220">
        <w:rPr>
          <w:rFonts w:ascii="Times New Roman" w:hAnsi="Times New Roman" w:cs="Times New Roman"/>
          <w:lang w:val="pl-PL"/>
        </w:rPr>
        <w:t>.  </w:t>
      </w:r>
      <w:r w:rsidR="001E0A5D" w:rsidRPr="00C03220">
        <w:rPr>
          <w:rFonts w:ascii="Times New Roman" w:hAnsi="Times New Roman" w:cs="Times New Roman"/>
          <w:lang w:val="pl-PL"/>
        </w:rPr>
        <w:t>Konstytucja</w:t>
      </w:r>
      <w:r w:rsidR="004D2070" w:rsidRPr="00C03220">
        <w:rPr>
          <w:rFonts w:ascii="Times New Roman" w:hAnsi="Times New Roman" w:cs="Times New Roman"/>
          <w:lang w:val="pl-PL"/>
        </w:rPr>
        <w:t xml:space="preserve"> obowiązująca w odnośnym czasie zawierała następujące postanowienia:</w:t>
      </w:r>
    </w:p>
    <w:p w:rsidR="004D2070" w:rsidRPr="00C03220" w:rsidRDefault="004D2070" w:rsidP="004D2070">
      <w:pPr>
        <w:pStyle w:val="ECHRTitleCentre3"/>
        <w:rPr>
          <w:rFonts w:ascii="Times New Roman" w:hAnsi="Times New Roman" w:cs="Times New Roman"/>
          <w:lang w:val="pl-PL"/>
        </w:rPr>
      </w:pPr>
      <w:r w:rsidRPr="00C03220">
        <w:rPr>
          <w:rFonts w:ascii="Times New Roman" w:hAnsi="Times New Roman" w:cs="Times New Roman"/>
          <w:bCs/>
          <w:lang w:val="pl-PL"/>
        </w:rPr>
        <w:t>Artykuł 2</w:t>
      </w:r>
    </w:p>
    <w:p w:rsidR="004D2070" w:rsidRPr="00C03220" w:rsidRDefault="004D2070" w:rsidP="004D2070">
      <w:pPr>
        <w:pStyle w:val="ECHRParaQuote"/>
        <w:rPr>
          <w:rFonts w:ascii="Times New Roman" w:hAnsi="Times New Roman" w:cs="Times New Roman"/>
          <w:lang w:val="pl-PL"/>
        </w:rPr>
      </w:pPr>
      <w:r w:rsidRPr="00C03220">
        <w:rPr>
          <w:rFonts w:ascii="Times New Roman" w:hAnsi="Times New Roman" w:cs="Times New Roman"/>
          <w:lang w:val="pl-PL"/>
        </w:rPr>
        <w:t xml:space="preserve">„(3) Działalność organizacji społecznych, organów rządowych lub obywateli nie może być prowadzona w celu </w:t>
      </w:r>
      <w:r w:rsidR="006B40A4" w:rsidRPr="00C03220">
        <w:rPr>
          <w:rFonts w:ascii="Times New Roman" w:hAnsi="Times New Roman" w:cs="Times New Roman"/>
          <w:lang w:val="pl-PL"/>
        </w:rPr>
        <w:t xml:space="preserve">siłowego przejęcia lub wykonywania władzy publicznej </w:t>
      </w:r>
      <w:r w:rsidR="002E2869" w:rsidRPr="00C03220">
        <w:rPr>
          <w:rFonts w:ascii="Times New Roman" w:hAnsi="Times New Roman" w:cs="Times New Roman"/>
          <w:lang w:val="pl-PL"/>
        </w:rPr>
        <w:t>lub w celu wyłącznego posiadania takiej władzy.</w:t>
      </w:r>
      <w:r w:rsidRPr="00C03220">
        <w:rPr>
          <w:rFonts w:ascii="Times New Roman" w:hAnsi="Times New Roman" w:cs="Times New Roman"/>
          <w:lang w:val="pl-PL"/>
        </w:rPr>
        <w:t xml:space="preserve"> Każdy ma prawo i obowiązek </w:t>
      </w:r>
      <w:r w:rsidR="002E2869" w:rsidRPr="00C03220">
        <w:rPr>
          <w:rFonts w:ascii="Times New Roman" w:hAnsi="Times New Roman" w:cs="Times New Roman"/>
          <w:lang w:val="pl-PL"/>
        </w:rPr>
        <w:t>przeciwstawiania się takim działaniom w sposób dozwolony prawem</w:t>
      </w:r>
      <w:r w:rsidRPr="00C03220">
        <w:rPr>
          <w:rFonts w:ascii="Times New Roman" w:hAnsi="Times New Roman" w:cs="Times New Roman"/>
          <w:lang w:val="pl-PL"/>
        </w:rPr>
        <w:t>.”</w:t>
      </w:r>
    </w:p>
    <w:p w:rsidR="004D2070" w:rsidRPr="00C03220" w:rsidRDefault="004D2070" w:rsidP="004D2070">
      <w:pPr>
        <w:pStyle w:val="ECHRTitleCentre3"/>
        <w:rPr>
          <w:rFonts w:ascii="Times New Roman" w:hAnsi="Times New Roman" w:cs="Times New Roman"/>
          <w:lang w:val="pl-PL"/>
        </w:rPr>
      </w:pPr>
      <w:r w:rsidRPr="00C03220">
        <w:rPr>
          <w:rFonts w:ascii="Times New Roman" w:hAnsi="Times New Roman" w:cs="Times New Roman"/>
          <w:bCs/>
          <w:lang w:val="pl-PL"/>
        </w:rPr>
        <w:lastRenderedPageBreak/>
        <w:t>Artykuł 63</w:t>
      </w:r>
    </w:p>
    <w:p w:rsidR="004D2070" w:rsidRPr="00C03220" w:rsidRDefault="004D2070" w:rsidP="004D2070">
      <w:pPr>
        <w:pStyle w:val="ECHRParaQuote"/>
        <w:rPr>
          <w:rFonts w:ascii="Times New Roman" w:hAnsi="Times New Roman" w:cs="Times New Roman"/>
          <w:lang w:val="pl-PL"/>
        </w:rPr>
      </w:pPr>
      <w:r w:rsidRPr="00C03220">
        <w:rPr>
          <w:rFonts w:ascii="Times New Roman" w:hAnsi="Times New Roman" w:cs="Times New Roman"/>
          <w:lang w:val="pl-PL"/>
        </w:rPr>
        <w:t xml:space="preserve">„(1) W Republice </w:t>
      </w:r>
      <w:r w:rsidR="005C056C" w:rsidRPr="00C03220">
        <w:rPr>
          <w:rFonts w:ascii="Times New Roman" w:hAnsi="Times New Roman" w:cs="Times New Roman"/>
          <w:lang w:val="pl-PL"/>
        </w:rPr>
        <w:t xml:space="preserve">Węgierskiej </w:t>
      </w:r>
      <w:r w:rsidRPr="00C03220">
        <w:rPr>
          <w:rFonts w:ascii="Times New Roman" w:hAnsi="Times New Roman" w:cs="Times New Roman"/>
          <w:lang w:val="pl-PL"/>
        </w:rPr>
        <w:t xml:space="preserve">każdy ma prawo, na podstawie </w:t>
      </w:r>
      <w:r w:rsidR="005C056C" w:rsidRPr="00C03220">
        <w:rPr>
          <w:rFonts w:ascii="Times New Roman" w:hAnsi="Times New Roman" w:cs="Times New Roman"/>
          <w:lang w:val="pl-PL"/>
        </w:rPr>
        <w:t xml:space="preserve">prawa do </w:t>
      </w:r>
      <w:r w:rsidRPr="00C03220">
        <w:rPr>
          <w:rFonts w:ascii="Times New Roman" w:hAnsi="Times New Roman" w:cs="Times New Roman"/>
          <w:lang w:val="pl-PL"/>
        </w:rPr>
        <w:t>stowarzysz</w:t>
      </w:r>
      <w:r w:rsidR="005C056C" w:rsidRPr="00C03220">
        <w:rPr>
          <w:rFonts w:ascii="Times New Roman" w:hAnsi="Times New Roman" w:cs="Times New Roman"/>
          <w:lang w:val="pl-PL"/>
        </w:rPr>
        <w:t>a</w:t>
      </w:r>
      <w:r w:rsidRPr="00C03220">
        <w:rPr>
          <w:rFonts w:ascii="Times New Roman" w:hAnsi="Times New Roman" w:cs="Times New Roman"/>
          <w:lang w:val="pl-PL"/>
        </w:rPr>
        <w:t>nia</w:t>
      </w:r>
      <w:r w:rsidR="005C056C" w:rsidRPr="00C03220">
        <w:rPr>
          <w:rFonts w:ascii="Times New Roman" w:hAnsi="Times New Roman" w:cs="Times New Roman"/>
          <w:lang w:val="pl-PL"/>
        </w:rPr>
        <w:t xml:space="preserve"> się</w:t>
      </w:r>
      <w:r w:rsidRPr="00C03220">
        <w:rPr>
          <w:rFonts w:ascii="Times New Roman" w:hAnsi="Times New Roman" w:cs="Times New Roman"/>
          <w:lang w:val="pl-PL"/>
        </w:rPr>
        <w:t>, zakładać organizacje, które nie są zakazane prawem oraz wstępować do takich organizacji.</w:t>
      </w:r>
    </w:p>
    <w:p w:rsidR="004D2070" w:rsidRPr="00C03220" w:rsidRDefault="004D2070" w:rsidP="004D2070">
      <w:pPr>
        <w:pStyle w:val="ECHRParaQuote"/>
        <w:rPr>
          <w:rFonts w:ascii="Times New Roman" w:hAnsi="Times New Roman" w:cs="Times New Roman"/>
          <w:lang w:val="pl-PL"/>
        </w:rPr>
      </w:pPr>
      <w:r w:rsidRPr="00C03220">
        <w:rPr>
          <w:rFonts w:ascii="Times New Roman" w:hAnsi="Times New Roman" w:cs="Times New Roman"/>
          <w:lang w:val="pl-PL"/>
        </w:rPr>
        <w:t xml:space="preserve">(2) Zakładanie organizacji zbrojnych o celach politycznych nie będzie dozwolone na podstawie </w:t>
      </w:r>
      <w:r w:rsidR="005C056C" w:rsidRPr="00C03220">
        <w:rPr>
          <w:rFonts w:ascii="Times New Roman" w:hAnsi="Times New Roman" w:cs="Times New Roman"/>
          <w:lang w:val="pl-PL"/>
        </w:rPr>
        <w:t>prawa do stowarzyszania się</w:t>
      </w:r>
      <w:r w:rsidRPr="00C03220">
        <w:rPr>
          <w:rFonts w:ascii="Times New Roman" w:hAnsi="Times New Roman" w:cs="Times New Roman"/>
          <w:lang w:val="pl-PL"/>
        </w:rPr>
        <w:t>.</w:t>
      </w:r>
    </w:p>
    <w:p w:rsidR="004D2070" w:rsidRPr="00C03220" w:rsidRDefault="004D2070" w:rsidP="004D2070">
      <w:pPr>
        <w:pStyle w:val="ECHRParaQuote"/>
        <w:rPr>
          <w:rFonts w:ascii="Times New Roman" w:hAnsi="Times New Roman" w:cs="Times New Roman"/>
          <w:lang w:val="pl-PL"/>
        </w:rPr>
      </w:pPr>
      <w:r w:rsidRPr="00C03220">
        <w:rPr>
          <w:rFonts w:ascii="Times New Roman" w:hAnsi="Times New Roman" w:cs="Times New Roman"/>
          <w:lang w:val="pl-PL"/>
        </w:rPr>
        <w:t xml:space="preserve">(3) Dla uchwalenia ustawy o prawie do </w:t>
      </w:r>
      <w:r w:rsidR="005C056C" w:rsidRPr="00C03220">
        <w:rPr>
          <w:rFonts w:ascii="Times New Roman" w:hAnsi="Times New Roman" w:cs="Times New Roman"/>
          <w:lang w:val="pl-PL"/>
        </w:rPr>
        <w:t xml:space="preserve">zgromadzania </w:t>
      </w:r>
      <w:r w:rsidRPr="00C03220">
        <w:rPr>
          <w:rFonts w:ascii="Times New Roman" w:hAnsi="Times New Roman" w:cs="Times New Roman"/>
          <w:lang w:val="pl-PL"/>
        </w:rPr>
        <w:t>się oraz zarządzania finansami i działalności partii politycznych wymagana jest większość dwóch trzecich głosów członków Zgromadzenia.”</w:t>
      </w:r>
    </w:p>
    <w:p w:rsidR="004D2070" w:rsidRPr="00C03220" w:rsidRDefault="001552E1" w:rsidP="004D2070">
      <w:pPr>
        <w:pStyle w:val="ECHRPara"/>
        <w:rPr>
          <w:rFonts w:ascii="Times New Roman" w:hAnsi="Times New Roman" w:cs="Times New Roman"/>
          <w:lang w:val="pl-PL"/>
        </w:rPr>
      </w:pPr>
      <w:r w:rsidRPr="00C03220">
        <w:rPr>
          <w:rFonts w:ascii="Times New Roman" w:hAnsi="Times New Roman" w:cs="Times New Roman"/>
          <w:lang w:val="pl-PL"/>
        </w:rPr>
        <w:fldChar w:fldCharType="begin"/>
      </w:r>
      <w:r w:rsidR="004D2070" w:rsidRPr="00C03220">
        <w:rPr>
          <w:rFonts w:ascii="Times New Roman" w:hAnsi="Times New Roman" w:cs="Times New Roman"/>
          <w:lang w:val="pl-PL"/>
        </w:rPr>
        <w:instrText xml:space="preserve"> SEQ level0 \*arabic </w:instrText>
      </w:r>
      <w:r w:rsidRPr="00C03220">
        <w:rPr>
          <w:rFonts w:ascii="Times New Roman" w:hAnsi="Times New Roman" w:cs="Times New Roman"/>
          <w:lang w:val="pl-PL"/>
        </w:rPr>
        <w:fldChar w:fldCharType="separate"/>
      </w:r>
      <w:r w:rsidR="004D2070" w:rsidRPr="00C03220">
        <w:rPr>
          <w:rFonts w:ascii="Times New Roman" w:hAnsi="Times New Roman" w:cs="Times New Roman"/>
          <w:noProof/>
          <w:lang w:val="pl-PL"/>
        </w:rPr>
        <w:t>18</w:t>
      </w:r>
      <w:r w:rsidRPr="00C03220">
        <w:rPr>
          <w:rFonts w:ascii="Times New Roman" w:hAnsi="Times New Roman" w:cs="Times New Roman"/>
          <w:lang w:val="pl-PL"/>
        </w:rPr>
        <w:fldChar w:fldCharType="end"/>
      </w:r>
      <w:r w:rsidR="004D2070" w:rsidRPr="00C03220">
        <w:rPr>
          <w:rFonts w:ascii="Times New Roman" w:hAnsi="Times New Roman" w:cs="Times New Roman"/>
          <w:lang w:val="pl-PL"/>
        </w:rPr>
        <w:t>.  Ustawa nr II z 1989 r. w sprawie wolności stowarzyszania się stanowi, co następuje:</w:t>
      </w:r>
    </w:p>
    <w:p w:rsidR="004D2070" w:rsidRPr="00C03220" w:rsidRDefault="004D2070" w:rsidP="004D2070">
      <w:pPr>
        <w:pStyle w:val="ECHRTitleCentre3"/>
        <w:rPr>
          <w:rFonts w:ascii="Times New Roman" w:hAnsi="Times New Roman" w:cs="Times New Roman"/>
          <w:lang w:val="pl-PL"/>
        </w:rPr>
      </w:pPr>
      <w:r w:rsidRPr="00C03220">
        <w:rPr>
          <w:rFonts w:ascii="Times New Roman" w:hAnsi="Times New Roman" w:cs="Times New Roman"/>
          <w:bCs/>
          <w:lang w:val="pl-PL"/>
        </w:rPr>
        <w:t>Artykuł 2</w:t>
      </w:r>
    </w:p>
    <w:p w:rsidR="004D2070" w:rsidRPr="00C03220" w:rsidRDefault="004D2070" w:rsidP="004D2070">
      <w:pPr>
        <w:pStyle w:val="ECHRParaQuote"/>
        <w:rPr>
          <w:rFonts w:ascii="Times New Roman" w:hAnsi="Times New Roman" w:cs="Times New Roman"/>
          <w:lang w:val="pl-PL"/>
        </w:rPr>
      </w:pPr>
      <w:r w:rsidRPr="00C03220">
        <w:rPr>
          <w:rFonts w:ascii="Times New Roman" w:hAnsi="Times New Roman" w:cs="Times New Roman"/>
          <w:lang w:val="pl-PL"/>
        </w:rPr>
        <w:t xml:space="preserve">„(1) Na mocy prawa do stowarzyszania się osoby prywatne, osoby prawne i ich podmioty nieposiadające osobowości prawnej mogą, </w:t>
      </w:r>
      <w:r w:rsidR="001D342E" w:rsidRPr="00C03220">
        <w:rPr>
          <w:rFonts w:ascii="Times New Roman" w:hAnsi="Times New Roman" w:cs="Times New Roman"/>
          <w:lang w:val="pl-PL"/>
        </w:rPr>
        <w:t>z zastrzeżeniem celów ich działalności oraz intencji założycieli</w:t>
      </w:r>
      <w:r w:rsidRPr="00C03220">
        <w:rPr>
          <w:rFonts w:ascii="Times New Roman" w:hAnsi="Times New Roman" w:cs="Times New Roman"/>
          <w:lang w:val="pl-PL"/>
        </w:rPr>
        <w:t>, zakładać i prowadzić organizacje społeczne.</w:t>
      </w:r>
    </w:p>
    <w:p w:rsidR="004D2070" w:rsidRPr="00C03220" w:rsidRDefault="004D2070" w:rsidP="004D2070">
      <w:pPr>
        <w:pStyle w:val="ECHRParaQuote"/>
        <w:rPr>
          <w:rFonts w:ascii="Times New Roman" w:hAnsi="Times New Roman" w:cs="Times New Roman"/>
          <w:lang w:val="pl-PL"/>
        </w:rPr>
      </w:pPr>
      <w:r w:rsidRPr="00C03220">
        <w:rPr>
          <w:rFonts w:ascii="Times New Roman" w:hAnsi="Times New Roman" w:cs="Times New Roman"/>
          <w:lang w:val="pl-PL"/>
        </w:rPr>
        <w:t>(2) Wykonywanie prawa do stowarzyszania się nie może naruszać postanowień artykułu 2 (3) Konstytucji, nie może stanowić czynu zagrożonego karą ani podżegania do popełnienia czynu zagrożonego karą, ani też nie może naruszać praw i wolności innych osób.”</w:t>
      </w:r>
    </w:p>
    <w:p w:rsidR="004D2070" w:rsidRPr="00C03220" w:rsidRDefault="004D2070" w:rsidP="004D2070">
      <w:pPr>
        <w:pStyle w:val="ECHRTitleCentre3"/>
        <w:rPr>
          <w:rFonts w:ascii="Times New Roman" w:hAnsi="Times New Roman" w:cs="Times New Roman"/>
          <w:lang w:val="pl-PL"/>
        </w:rPr>
      </w:pPr>
      <w:r w:rsidRPr="00C03220">
        <w:rPr>
          <w:rFonts w:ascii="Times New Roman" w:hAnsi="Times New Roman" w:cs="Times New Roman"/>
          <w:bCs/>
          <w:lang w:val="pl-PL"/>
        </w:rPr>
        <w:t>Artykuł 3</w:t>
      </w:r>
    </w:p>
    <w:p w:rsidR="004D2070" w:rsidRPr="00C03220" w:rsidRDefault="004D2070" w:rsidP="004D2070">
      <w:pPr>
        <w:pStyle w:val="ECHRParaQuote"/>
        <w:rPr>
          <w:rFonts w:ascii="Times New Roman" w:hAnsi="Times New Roman" w:cs="Times New Roman"/>
          <w:lang w:val="pl-PL"/>
        </w:rPr>
      </w:pPr>
      <w:r w:rsidRPr="00C03220">
        <w:rPr>
          <w:rFonts w:ascii="Times New Roman" w:hAnsi="Times New Roman" w:cs="Times New Roman"/>
          <w:lang w:val="pl-PL"/>
        </w:rPr>
        <w:t>„(1) Organizacja społeczna to założona dobrowolnie</w:t>
      </w:r>
      <w:r w:rsidR="001D342E" w:rsidRPr="00C03220">
        <w:rPr>
          <w:rFonts w:ascii="Times New Roman" w:hAnsi="Times New Roman" w:cs="Times New Roman"/>
          <w:lang w:val="pl-PL"/>
        </w:rPr>
        <w:t>, niezależna</w:t>
      </w:r>
      <w:r w:rsidRPr="00C03220">
        <w:rPr>
          <w:rFonts w:ascii="Times New Roman" w:hAnsi="Times New Roman" w:cs="Times New Roman"/>
          <w:lang w:val="pl-PL"/>
        </w:rPr>
        <w:t xml:space="preserve"> organizacja utworzona w celu określonym w akcie założycielskim, posiadająca zarejestrowanych członków i organizująca działania członków dla realizacji założonego celu.</w:t>
      </w:r>
    </w:p>
    <w:p w:rsidR="004D2070" w:rsidRPr="00C03220" w:rsidRDefault="004D2070" w:rsidP="004D2070">
      <w:pPr>
        <w:pStyle w:val="ECHRParaQuote"/>
        <w:rPr>
          <w:rFonts w:ascii="Times New Roman" w:hAnsi="Times New Roman" w:cs="Times New Roman"/>
          <w:lang w:val="pl-PL"/>
        </w:rPr>
      </w:pPr>
      <w:r w:rsidRPr="00C03220">
        <w:rPr>
          <w:rFonts w:ascii="Times New Roman" w:hAnsi="Times New Roman" w:cs="Times New Roman"/>
          <w:lang w:val="pl-PL"/>
        </w:rPr>
        <w:t>(2) Członkowie niezarejestrowani również mogą brać udział w wydarzeniach publicznych na dużą skalę.”</w:t>
      </w:r>
    </w:p>
    <w:p w:rsidR="004D2070" w:rsidRPr="00C03220" w:rsidRDefault="004D2070" w:rsidP="004D2070">
      <w:pPr>
        <w:pStyle w:val="ECHRTitleCentre3"/>
        <w:rPr>
          <w:rFonts w:ascii="Times New Roman" w:hAnsi="Times New Roman" w:cs="Times New Roman"/>
          <w:lang w:val="pl-PL"/>
        </w:rPr>
      </w:pPr>
      <w:r w:rsidRPr="00C03220">
        <w:rPr>
          <w:rFonts w:ascii="Times New Roman" w:hAnsi="Times New Roman" w:cs="Times New Roman"/>
          <w:bCs/>
          <w:lang w:val="pl-PL"/>
        </w:rPr>
        <w:t>Artykuł 4</w:t>
      </w:r>
    </w:p>
    <w:p w:rsidR="004D2070" w:rsidRPr="00C03220" w:rsidRDefault="004D2070" w:rsidP="004D2070">
      <w:pPr>
        <w:pStyle w:val="ECHRParaQuote"/>
        <w:rPr>
          <w:rFonts w:ascii="Times New Roman" w:hAnsi="Times New Roman" w:cs="Times New Roman"/>
          <w:lang w:val="pl-PL"/>
        </w:rPr>
      </w:pPr>
      <w:r w:rsidRPr="00C03220">
        <w:rPr>
          <w:rFonts w:ascii="Times New Roman" w:hAnsi="Times New Roman" w:cs="Times New Roman"/>
          <w:lang w:val="pl-PL"/>
        </w:rPr>
        <w:t>„(1) ... organizację społeczną powołuje się do życia w drodze rejestracji w sądzie.”</w:t>
      </w:r>
    </w:p>
    <w:p w:rsidR="004D2070" w:rsidRPr="00C03220" w:rsidRDefault="004D2070" w:rsidP="004D2070">
      <w:pPr>
        <w:pStyle w:val="ECHRTitleCentre3"/>
        <w:rPr>
          <w:rFonts w:ascii="Times New Roman" w:hAnsi="Times New Roman" w:cs="Times New Roman"/>
          <w:lang w:val="pl-PL"/>
        </w:rPr>
      </w:pPr>
      <w:r w:rsidRPr="00C03220">
        <w:rPr>
          <w:rFonts w:ascii="Times New Roman" w:hAnsi="Times New Roman" w:cs="Times New Roman"/>
          <w:bCs/>
          <w:lang w:val="pl-PL"/>
        </w:rPr>
        <w:t>Artykuł 5</w:t>
      </w:r>
    </w:p>
    <w:p w:rsidR="004D2070" w:rsidRPr="00C03220" w:rsidRDefault="004D2070" w:rsidP="004D2070">
      <w:pPr>
        <w:pStyle w:val="ECHRParaQuote"/>
        <w:rPr>
          <w:rFonts w:ascii="Times New Roman" w:hAnsi="Times New Roman" w:cs="Times New Roman"/>
          <w:lang w:val="pl-PL"/>
        </w:rPr>
      </w:pPr>
      <w:r w:rsidRPr="00C03220">
        <w:rPr>
          <w:rFonts w:ascii="Times New Roman" w:hAnsi="Times New Roman" w:cs="Times New Roman"/>
          <w:lang w:val="pl-PL"/>
        </w:rPr>
        <w:t>„Grupa osób prywatnych założona na podstawie prawa do stowarzyszania się, której działalność nie ma charakteru regularnego lub która nie posiada zarejestrowanych członków bądź struktury, o których mowa w niniejszej ustawie, nie będzie stanowić organizacji społecznej.”</w:t>
      </w:r>
    </w:p>
    <w:p w:rsidR="004D2070" w:rsidRPr="00C03220" w:rsidRDefault="004D2070" w:rsidP="004D2070">
      <w:pPr>
        <w:pStyle w:val="ECHRTitleCentre3"/>
        <w:rPr>
          <w:rFonts w:ascii="Times New Roman" w:hAnsi="Times New Roman" w:cs="Times New Roman"/>
          <w:lang w:val="pl-PL"/>
        </w:rPr>
      </w:pPr>
      <w:r w:rsidRPr="00C03220">
        <w:rPr>
          <w:rFonts w:ascii="Times New Roman" w:hAnsi="Times New Roman" w:cs="Times New Roman"/>
          <w:bCs/>
          <w:lang w:val="pl-PL"/>
        </w:rPr>
        <w:t>Artykuł 16</w:t>
      </w:r>
    </w:p>
    <w:p w:rsidR="004D2070" w:rsidRPr="00C03220" w:rsidRDefault="004D2070" w:rsidP="004D2070">
      <w:pPr>
        <w:pStyle w:val="ECHRParaQuote"/>
        <w:rPr>
          <w:rFonts w:ascii="Times New Roman" w:hAnsi="Times New Roman" w:cs="Times New Roman"/>
          <w:lang w:val="pl-PL"/>
        </w:rPr>
      </w:pPr>
      <w:r w:rsidRPr="00C03220">
        <w:rPr>
          <w:rFonts w:ascii="Times New Roman" w:hAnsi="Times New Roman" w:cs="Times New Roman"/>
          <w:lang w:val="pl-PL"/>
        </w:rPr>
        <w:t>„(2) Na podstawie powództwa wniesionego przez prokuraturę sąd:</w:t>
      </w:r>
    </w:p>
    <w:p w:rsidR="004D2070" w:rsidRPr="00C03220" w:rsidRDefault="004D2070" w:rsidP="004D2070">
      <w:pPr>
        <w:pStyle w:val="ECHRParaQuote"/>
        <w:rPr>
          <w:rFonts w:ascii="Times New Roman" w:hAnsi="Times New Roman" w:cs="Times New Roman"/>
          <w:lang w:val="pl-PL"/>
        </w:rPr>
      </w:pPr>
      <w:r w:rsidRPr="00C03220">
        <w:rPr>
          <w:rFonts w:ascii="Times New Roman" w:hAnsi="Times New Roman" w:cs="Times New Roman"/>
          <w:lang w:val="pl-PL"/>
        </w:rPr>
        <w:t>(d) rozwiąże organizację społeczną, jeżeli jej działalność stanowi naruszenie postanowień art. 2 (2); ...”</w:t>
      </w:r>
    </w:p>
    <w:p w:rsidR="004D2070" w:rsidRPr="00C03220" w:rsidRDefault="004D2070" w:rsidP="004D2070">
      <w:pPr>
        <w:pStyle w:val="ECHRPara"/>
        <w:rPr>
          <w:rFonts w:ascii="Times New Roman" w:hAnsi="Times New Roman" w:cs="Times New Roman"/>
          <w:sz w:val="22"/>
          <w:lang w:val="pl-PL"/>
        </w:rPr>
      </w:pPr>
      <w:r w:rsidRPr="00C03220">
        <w:rPr>
          <w:rFonts w:ascii="Times New Roman" w:hAnsi="Times New Roman" w:cs="Times New Roman"/>
          <w:lang w:val="pl-PL"/>
        </w:rPr>
        <w:t xml:space="preserve">Status prawny stowarzyszeń można pokrótce scharakteryzować w sposób następujący. Osoby prywatne nie mogą udzielać </w:t>
      </w:r>
      <w:r w:rsidR="005C056C" w:rsidRPr="00C03220">
        <w:rPr>
          <w:rFonts w:ascii="Times New Roman" w:hAnsi="Times New Roman" w:cs="Times New Roman"/>
          <w:lang w:val="pl-PL"/>
        </w:rPr>
        <w:t xml:space="preserve">wsparcia w postaci darowizn podlegających odliczeniom od podatku </w:t>
      </w:r>
      <w:r w:rsidRPr="00C03220">
        <w:rPr>
          <w:rFonts w:ascii="Times New Roman" w:hAnsi="Times New Roman" w:cs="Times New Roman"/>
          <w:lang w:val="pl-PL"/>
        </w:rPr>
        <w:t xml:space="preserve">stowarzyszeniom, których działalność nie służy interesom publicznym. Stowarzyszenia takie nie mają </w:t>
      </w:r>
      <w:r w:rsidRPr="00C03220">
        <w:rPr>
          <w:rFonts w:ascii="Times New Roman" w:hAnsi="Times New Roman" w:cs="Times New Roman"/>
          <w:lang w:val="pl-PL"/>
        </w:rPr>
        <w:lastRenderedPageBreak/>
        <w:t>uprawnień do otrzymywania innych darowizn ani składania wniosków o dotacje publiczne, które to przywileje zastrzeżone są dla organizacji pożytku publicznego w rozumieniu postanowień ustaw nr CXXVI z 1996 r. i CLXXV z 2011 r. Jednakże ustawa nr LXXXI z 1996 r. stanowi, że przychody wygenerowane przez stowarzyszenia z tytułu działalności nienastawionej na zysk są zwolnione z podatku od osób prawnych oraz że działalność gospodarcza stowarzyszeń opodatkowana jest na zasadach preferencyjnych. Ponadto na podstawie ustawy nr CXVII z 1995 r., preferencyjne zasady opodatkowania mają zastosowan</w:t>
      </w:r>
      <w:r w:rsidR="005C056C" w:rsidRPr="00C03220">
        <w:rPr>
          <w:rFonts w:ascii="Times New Roman" w:hAnsi="Times New Roman" w:cs="Times New Roman"/>
          <w:lang w:val="pl-PL"/>
        </w:rPr>
        <w:t>i</w:t>
      </w:r>
      <w:r w:rsidRPr="00C03220">
        <w:rPr>
          <w:rFonts w:ascii="Times New Roman" w:hAnsi="Times New Roman" w:cs="Times New Roman"/>
          <w:lang w:val="pl-PL"/>
        </w:rPr>
        <w:t>e względem niektórych usług świadczonych przez stowarzyszenia oraz niektórych rodzajów wynagrodzeń i świadczeń socjalnych otrzymywanych przez stowarzyszenia.  Z kolei przepisy ustawy nr IV z 1959 r. (Kodeks Cywilny) stanowią, że członkowie stowarzyszenia nie ponoszą odpowiedzialności za zadłużenie stowarzyszenia.</w:t>
      </w:r>
    </w:p>
    <w:p w:rsidR="004D2070" w:rsidRPr="00C03220" w:rsidRDefault="001552E1" w:rsidP="004D2070">
      <w:pPr>
        <w:pStyle w:val="ECHRPara"/>
        <w:rPr>
          <w:rFonts w:ascii="Times New Roman" w:hAnsi="Times New Roman" w:cs="Times New Roman"/>
          <w:lang w:val="pl-PL"/>
        </w:rPr>
      </w:pPr>
      <w:r w:rsidRPr="00C03220">
        <w:rPr>
          <w:rFonts w:ascii="Times New Roman" w:hAnsi="Times New Roman" w:cs="Times New Roman"/>
          <w:lang w:val="pl-PL"/>
        </w:rPr>
        <w:fldChar w:fldCharType="begin"/>
      </w:r>
      <w:r w:rsidR="004D2070" w:rsidRPr="00C03220">
        <w:rPr>
          <w:rFonts w:ascii="Times New Roman" w:hAnsi="Times New Roman" w:cs="Times New Roman"/>
          <w:lang w:val="pl-PL"/>
        </w:rPr>
        <w:instrText xml:space="preserve"> SEQ level0 \*arabic </w:instrText>
      </w:r>
      <w:r w:rsidRPr="00C03220">
        <w:rPr>
          <w:rFonts w:ascii="Times New Roman" w:hAnsi="Times New Roman" w:cs="Times New Roman"/>
          <w:lang w:val="pl-PL"/>
        </w:rPr>
        <w:fldChar w:fldCharType="separate"/>
      </w:r>
      <w:r w:rsidR="004D2070" w:rsidRPr="00C03220">
        <w:rPr>
          <w:rFonts w:ascii="Times New Roman" w:hAnsi="Times New Roman" w:cs="Times New Roman"/>
          <w:noProof/>
          <w:lang w:val="pl-PL"/>
        </w:rPr>
        <w:t>19</w:t>
      </w:r>
      <w:r w:rsidRPr="00C03220">
        <w:rPr>
          <w:rFonts w:ascii="Times New Roman" w:hAnsi="Times New Roman" w:cs="Times New Roman"/>
          <w:lang w:val="pl-PL"/>
        </w:rPr>
        <w:fldChar w:fldCharType="end"/>
      </w:r>
      <w:r w:rsidR="004D2070" w:rsidRPr="00C03220">
        <w:rPr>
          <w:rFonts w:ascii="Times New Roman" w:hAnsi="Times New Roman" w:cs="Times New Roman"/>
          <w:lang w:val="pl-PL"/>
        </w:rPr>
        <w:t>.  Ustawa nr LXXVII z 1993 r. w sprawie praw mniejszości narodowych i etnicznych, obowiązująca w danym czasie, stanowiła, co następuje:</w:t>
      </w:r>
    </w:p>
    <w:p w:rsidR="004D2070" w:rsidRPr="00C03220" w:rsidRDefault="004D2070" w:rsidP="004D2070">
      <w:pPr>
        <w:pStyle w:val="ECHRTitleCentre3"/>
        <w:rPr>
          <w:rFonts w:ascii="Times New Roman" w:hAnsi="Times New Roman" w:cs="Times New Roman"/>
          <w:lang w:val="pl-PL"/>
        </w:rPr>
      </w:pPr>
      <w:r w:rsidRPr="00C03220">
        <w:rPr>
          <w:rFonts w:ascii="Times New Roman" w:hAnsi="Times New Roman" w:cs="Times New Roman"/>
          <w:bCs/>
          <w:lang w:val="pl-PL"/>
        </w:rPr>
        <w:t>Artykuł 4</w:t>
      </w:r>
    </w:p>
    <w:p w:rsidR="004D2070" w:rsidRPr="00C03220" w:rsidRDefault="004D2070" w:rsidP="004D2070">
      <w:pPr>
        <w:pStyle w:val="ECHRParaQuote"/>
        <w:rPr>
          <w:rFonts w:ascii="Times New Roman" w:hAnsi="Times New Roman" w:cs="Times New Roman"/>
          <w:lang w:val="pl-PL"/>
        </w:rPr>
      </w:pPr>
      <w:r w:rsidRPr="00C03220">
        <w:rPr>
          <w:rFonts w:ascii="Times New Roman" w:hAnsi="Times New Roman" w:cs="Times New Roman"/>
          <w:lang w:val="pl-PL"/>
        </w:rPr>
        <w:t>„(1) Republika Węgier</w:t>
      </w:r>
      <w:r w:rsidR="005C056C" w:rsidRPr="00C03220">
        <w:rPr>
          <w:rFonts w:ascii="Times New Roman" w:hAnsi="Times New Roman" w:cs="Times New Roman"/>
          <w:lang w:val="pl-PL"/>
        </w:rPr>
        <w:t>ska</w:t>
      </w:r>
      <w:r w:rsidRPr="00C03220">
        <w:rPr>
          <w:rFonts w:ascii="Times New Roman" w:hAnsi="Times New Roman" w:cs="Times New Roman"/>
          <w:lang w:val="pl-PL"/>
        </w:rPr>
        <w:t xml:space="preserve"> zabrania wszelkich poli</w:t>
      </w:r>
      <w:r w:rsidR="001E0A5D" w:rsidRPr="00C03220">
        <w:rPr>
          <w:rFonts w:ascii="Times New Roman" w:hAnsi="Times New Roman" w:cs="Times New Roman"/>
          <w:lang w:val="pl-PL"/>
        </w:rPr>
        <w:t xml:space="preserve">tyk </w:t>
      </w:r>
      <w:r w:rsidRPr="00C03220">
        <w:rPr>
          <w:rFonts w:ascii="Times New Roman" w:hAnsi="Times New Roman" w:cs="Times New Roman"/>
          <w:lang w:val="pl-PL"/>
        </w:rPr>
        <w:t>czy zachowań:</w:t>
      </w:r>
    </w:p>
    <w:p w:rsidR="004D2070" w:rsidRPr="00C03220" w:rsidRDefault="004D2070" w:rsidP="004D2070">
      <w:pPr>
        <w:pStyle w:val="ECHRParaQuote"/>
        <w:rPr>
          <w:rFonts w:ascii="Times New Roman" w:hAnsi="Times New Roman" w:cs="Times New Roman"/>
          <w:lang w:val="pl-PL"/>
        </w:rPr>
      </w:pPr>
      <w:r w:rsidRPr="00C03220">
        <w:rPr>
          <w:rFonts w:ascii="Times New Roman" w:hAnsi="Times New Roman" w:cs="Times New Roman"/>
          <w:lang w:val="pl-PL"/>
        </w:rPr>
        <w:t>(a) których celem lub skutkiem jest asymilacja lub wyłączenie lub segregacja mniejszości w relacji do narodowej większości;</w:t>
      </w:r>
    </w:p>
    <w:p w:rsidR="004D2070" w:rsidRPr="00C03220" w:rsidRDefault="004D2070" w:rsidP="004D2070">
      <w:pPr>
        <w:pStyle w:val="ECHRParaQuote"/>
        <w:rPr>
          <w:rFonts w:ascii="Times New Roman" w:hAnsi="Times New Roman" w:cs="Times New Roman"/>
          <w:lang w:val="pl-PL"/>
        </w:rPr>
      </w:pPr>
      <w:r w:rsidRPr="00C03220">
        <w:rPr>
          <w:rFonts w:ascii="Times New Roman" w:hAnsi="Times New Roman" w:cs="Times New Roman"/>
          <w:lang w:val="pl-PL"/>
        </w:rPr>
        <w:t>(b) których celem jest zmiana struktury narodowej czy etnicznej obszarów zamieszkanych przez mniejszości;</w:t>
      </w:r>
    </w:p>
    <w:p w:rsidR="004D2070" w:rsidRPr="00C03220" w:rsidRDefault="004D2070" w:rsidP="004D2070">
      <w:pPr>
        <w:pStyle w:val="ECHRParaQuote"/>
        <w:rPr>
          <w:rFonts w:ascii="Times New Roman" w:hAnsi="Times New Roman" w:cs="Times New Roman"/>
          <w:lang w:val="pl-PL"/>
        </w:rPr>
      </w:pPr>
      <w:r w:rsidRPr="00C03220">
        <w:rPr>
          <w:rFonts w:ascii="Times New Roman" w:hAnsi="Times New Roman" w:cs="Times New Roman"/>
          <w:lang w:val="pl-PL"/>
        </w:rPr>
        <w:t xml:space="preserve"> (c) </w:t>
      </w:r>
      <w:r w:rsidR="001E0A5D" w:rsidRPr="00C03220">
        <w:rPr>
          <w:rFonts w:ascii="Times New Roman" w:hAnsi="Times New Roman" w:cs="Times New Roman"/>
          <w:lang w:val="pl-PL"/>
        </w:rPr>
        <w:t xml:space="preserve">stanowiących prześladowanie </w:t>
      </w:r>
      <w:r w:rsidR="0067479D" w:rsidRPr="00C03220">
        <w:rPr>
          <w:rFonts w:ascii="Times New Roman" w:hAnsi="Times New Roman" w:cs="Times New Roman"/>
          <w:lang w:val="pl-PL"/>
        </w:rPr>
        <w:t>lub pogarszających jakość życia albo</w:t>
      </w:r>
      <w:r w:rsidR="001E0A5D" w:rsidRPr="00C03220">
        <w:rPr>
          <w:rFonts w:ascii="Times New Roman" w:hAnsi="Times New Roman" w:cs="Times New Roman"/>
          <w:lang w:val="pl-PL"/>
        </w:rPr>
        <w:t xml:space="preserve"> </w:t>
      </w:r>
      <w:r w:rsidRPr="00C03220">
        <w:rPr>
          <w:rFonts w:ascii="Times New Roman" w:hAnsi="Times New Roman" w:cs="Times New Roman"/>
          <w:lang w:val="pl-PL"/>
        </w:rPr>
        <w:t>utrudniają</w:t>
      </w:r>
      <w:r w:rsidR="001E0A5D" w:rsidRPr="00C03220">
        <w:rPr>
          <w:rFonts w:ascii="Times New Roman" w:hAnsi="Times New Roman" w:cs="Times New Roman"/>
          <w:lang w:val="pl-PL"/>
        </w:rPr>
        <w:t>cych</w:t>
      </w:r>
      <w:r w:rsidRPr="00C03220">
        <w:rPr>
          <w:rFonts w:ascii="Times New Roman" w:hAnsi="Times New Roman" w:cs="Times New Roman"/>
          <w:lang w:val="pl-PL"/>
        </w:rPr>
        <w:t xml:space="preserve"> wykonywanie prawa mniejszości lub osób należących do mniejszości na podstawie ich przynależności do mniejszości; ...” </w:t>
      </w:r>
    </w:p>
    <w:p w:rsidR="004D2070" w:rsidRPr="00C03220" w:rsidRDefault="001552E1" w:rsidP="004D2070">
      <w:pPr>
        <w:pStyle w:val="ECHRPara"/>
        <w:rPr>
          <w:rFonts w:ascii="Times New Roman" w:hAnsi="Times New Roman" w:cs="Times New Roman"/>
          <w:lang w:val="pl-PL"/>
        </w:rPr>
      </w:pPr>
      <w:r w:rsidRPr="00C03220">
        <w:rPr>
          <w:rFonts w:ascii="Times New Roman" w:hAnsi="Times New Roman" w:cs="Times New Roman"/>
          <w:lang w:val="pl-PL"/>
        </w:rPr>
        <w:fldChar w:fldCharType="begin"/>
      </w:r>
      <w:r w:rsidR="004D2070" w:rsidRPr="00C03220">
        <w:rPr>
          <w:rFonts w:ascii="Times New Roman" w:hAnsi="Times New Roman" w:cs="Times New Roman"/>
          <w:lang w:val="pl-PL"/>
        </w:rPr>
        <w:instrText xml:space="preserve"> SEQ level0 \*arabic </w:instrText>
      </w:r>
      <w:r w:rsidRPr="00C03220">
        <w:rPr>
          <w:rFonts w:ascii="Times New Roman" w:hAnsi="Times New Roman" w:cs="Times New Roman"/>
          <w:lang w:val="pl-PL"/>
        </w:rPr>
        <w:fldChar w:fldCharType="separate"/>
      </w:r>
      <w:r w:rsidR="004D2070" w:rsidRPr="00C03220">
        <w:rPr>
          <w:rFonts w:ascii="Times New Roman" w:hAnsi="Times New Roman" w:cs="Times New Roman"/>
          <w:noProof/>
          <w:lang w:val="pl-PL"/>
        </w:rPr>
        <w:t>20</w:t>
      </w:r>
      <w:r w:rsidRPr="00C03220">
        <w:rPr>
          <w:rFonts w:ascii="Times New Roman" w:hAnsi="Times New Roman" w:cs="Times New Roman"/>
          <w:lang w:val="pl-PL"/>
        </w:rPr>
        <w:fldChar w:fldCharType="end"/>
      </w:r>
      <w:r w:rsidR="004D2070" w:rsidRPr="00C03220">
        <w:rPr>
          <w:rFonts w:ascii="Times New Roman" w:hAnsi="Times New Roman" w:cs="Times New Roman"/>
          <w:lang w:val="pl-PL"/>
        </w:rPr>
        <w:t xml:space="preserve">.  Dekret nr 8 z 1976 r., </w:t>
      </w:r>
      <w:r w:rsidR="001D342E" w:rsidRPr="00C03220">
        <w:rPr>
          <w:rFonts w:ascii="Times New Roman" w:hAnsi="Times New Roman" w:cs="Times New Roman"/>
          <w:lang w:val="pl-PL"/>
        </w:rPr>
        <w:t xml:space="preserve">którym wprowadzono </w:t>
      </w:r>
      <w:r w:rsidR="004D2070" w:rsidRPr="00C03220">
        <w:rPr>
          <w:rFonts w:ascii="Times New Roman" w:hAnsi="Times New Roman" w:cs="Times New Roman"/>
          <w:lang w:val="pl-PL"/>
        </w:rPr>
        <w:t>Międzynarodowy Pakt Praw Obywatelskich i Politycznych</w:t>
      </w:r>
      <w:r w:rsidR="005C056C" w:rsidRPr="00C03220">
        <w:rPr>
          <w:rFonts w:ascii="Times New Roman" w:hAnsi="Times New Roman" w:cs="Times New Roman"/>
          <w:lang w:val="pl-PL"/>
        </w:rPr>
        <w:t>,</w:t>
      </w:r>
      <w:r w:rsidR="004D2070" w:rsidRPr="00C03220">
        <w:rPr>
          <w:rFonts w:ascii="Times New Roman" w:hAnsi="Times New Roman" w:cs="Times New Roman"/>
          <w:lang w:val="pl-PL"/>
        </w:rPr>
        <w:t xml:space="preserve"> przyjęty przez Zgromadzenie Ogólne Narodów Zjednoczonych podczas XXI </w:t>
      </w:r>
      <w:r w:rsidR="005C056C" w:rsidRPr="00C03220">
        <w:rPr>
          <w:rFonts w:ascii="Times New Roman" w:hAnsi="Times New Roman" w:cs="Times New Roman"/>
          <w:lang w:val="pl-PL"/>
        </w:rPr>
        <w:t>sesji w dniu 16 grudnia 1966 r.</w:t>
      </w:r>
      <w:r w:rsidR="004D2070" w:rsidRPr="00C03220">
        <w:rPr>
          <w:rFonts w:ascii="Times New Roman" w:hAnsi="Times New Roman" w:cs="Times New Roman"/>
          <w:lang w:val="pl-PL"/>
        </w:rPr>
        <w:t xml:space="preserve"> stanowi, co następuje:</w:t>
      </w:r>
    </w:p>
    <w:p w:rsidR="004D2070" w:rsidRPr="00C03220" w:rsidRDefault="004D2070" w:rsidP="004D2070">
      <w:pPr>
        <w:pStyle w:val="ECHRTitleCentre3"/>
        <w:rPr>
          <w:rFonts w:ascii="Times New Roman" w:hAnsi="Times New Roman" w:cs="Times New Roman"/>
          <w:lang w:val="pl-PL"/>
        </w:rPr>
      </w:pPr>
      <w:r w:rsidRPr="00C03220">
        <w:rPr>
          <w:rFonts w:ascii="Times New Roman" w:hAnsi="Times New Roman" w:cs="Times New Roman"/>
          <w:bCs/>
          <w:lang w:val="pl-PL"/>
        </w:rPr>
        <w:t>Artykuł 20</w:t>
      </w:r>
    </w:p>
    <w:p w:rsidR="004D2070" w:rsidRPr="00C03220" w:rsidRDefault="005C056C" w:rsidP="004D2070">
      <w:pPr>
        <w:pStyle w:val="ECHRParaQuote"/>
        <w:rPr>
          <w:rFonts w:ascii="Times New Roman" w:hAnsi="Times New Roman" w:cs="Times New Roman"/>
          <w:lang w:val="pl-PL"/>
        </w:rPr>
      </w:pPr>
      <w:r w:rsidRPr="00C03220">
        <w:rPr>
          <w:rFonts w:ascii="Times New Roman" w:hAnsi="Times New Roman" w:cs="Times New Roman"/>
          <w:lang w:val="pl-PL"/>
        </w:rPr>
        <w:t xml:space="preserve">„2. </w:t>
      </w:r>
      <w:r w:rsidR="004D2070" w:rsidRPr="00C03220">
        <w:rPr>
          <w:rFonts w:ascii="Times New Roman" w:hAnsi="Times New Roman" w:cs="Times New Roman"/>
          <w:lang w:val="pl-PL"/>
        </w:rPr>
        <w:t xml:space="preserve"> Popieranie w jakikolwiek sposób nienawiści narodowej, rasowej lub religijnej, stanowiące podżeganie do dyskryminacji, wrogości lub gwałtu, powinno być ustawowo zakazane.”</w:t>
      </w:r>
    </w:p>
    <w:p w:rsidR="004D2070" w:rsidRPr="00C03220" w:rsidRDefault="001552E1" w:rsidP="004D2070">
      <w:pPr>
        <w:pStyle w:val="ECHRPara"/>
        <w:rPr>
          <w:rFonts w:ascii="Times New Roman" w:hAnsi="Times New Roman" w:cs="Times New Roman"/>
          <w:lang w:val="pl-PL"/>
        </w:rPr>
      </w:pPr>
      <w:r w:rsidRPr="00C03220">
        <w:rPr>
          <w:rFonts w:ascii="Times New Roman" w:hAnsi="Times New Roman" w:cs="Times New Roman"/>
          <w:lang w:val="pl-PL"/>
        </w:rPr>
        <w:fldChar w:fldCharType="begin"/>
      </w:r>
      <w:r w:rsidR="004D2070" w:rsidRPr="00C03220">
        <w:rPr>
          <w:rFonts w:ascii="Times New Roman" w:hAnsi="Times New Roman" w:cs="Times New Roman"/>
          <w:lang w:val="pl-PL"/>
        </w:rPr>
        <w:instrText xml:space="preserve"> SEQ level0 \*arabic </w:instrText>
      </w:r>
      <w:r w:rsidRPr="00C03220">
        <w:rPr>
          <w:rFonts w:ascii="Times New Roman" w:hAnsi="Times New Roman" w:cs="Times New Roman"/>
          <w:lang w:val="pl-PL"/>
        </w:rPr>
        <w:fldChar w:fldCharType="separate"/>
      </w:r>
      <w:r w:rsidR="004D2070" w:rsidRPr="00C03220">
        <w:rPr>
          <w:rFonts w:ascii="Times New Roman" w:hAnsi="Times New Roman" w:cs="Times New Roman"/>
          <w:noProof/>
          <w:lang w:val="pl-PL"/>
        </w:rPr>
        <w:t>21</w:t>
      </w:r>
      <w:r w:rsidRPr="00C03220">
        <w:rPr>
          <w:rFonts w:ascii="Times New Roman" w:hAnsi="Times New Roman" w:cs="Times New Roman"/>
          <w:lang w:val="pl-PL"/>
        </w:rPr>
        <w:fldChar w:fldCharType="end"/>
      </w:r>
      <w:r w:rsidR="001D342E" w:rsidRPr="00C03220">
        <w:rPr>
          <w:rFonts w:ascii="Times New Roman" w:hAnsi="Times New Roman" w:cs="Times New Roman"/>
          <w:lang w:val="pl-PL"/>
        </w:rPr>
        <w:t>.  Dekret nr 8 z 1969 r, wprowadzający Międzynarodową</w:t>
      </w:r>
      <w:r w:rsidR="004D2070" w:rsidRPr="00C03220">
        <w:rPr>
          <w:rFonts w:ascii="Times New Roman" w:hAnsi="Times New Roman" w:cs="Times New Roman"/>
          <w:lang w:val="pl-PL"/>
        </w:rPr>
        <w:t xml:space="preserve"> Konwencj</w:t>
      </w:r>
      <w:r w:rsidR="001D342E" w:rsidRPr="00C03220">
        <w:rPr>
          <w:rFonts w:ascii="Times New Roman" w:hAnsi="Times New Roman" w:cs="Times New Roman"/>
          <w:lang w:val="pl-PL"/>
        </w:rPr>
        <w:t>ę</w:t>
      </w:r>
      <w:r w:rsidR="004D2070" w:rsidRPr="00C03220">
        <w:rPr>
          <w:rFonts w:ascii="Times New Roman" w:hAnsi="Times New Roman" w:cs="Times New Roman"/>
          <w:lang w:val="pl-PL"/>
        </w:rPr>
        <w:t xml:space="preserve"> w sprawie Likwidacji Wszelkich Form Dyskryminacji Rasowej</w:t>
      </w:r>
      <w:r w:rsidR="0067479D" w:rsidRPr="00C03220">
        <w:rPr>
          <w:rFonts w:ascii="Times New Roman" w:hAnsi="Times New Roman" w:cs="Times New Roman"/>
          <w:lang w:val="pl-PL"/>
        </w:rPr>
        <w:t>,</w:t>
      </w:r>
      <w:r w:rsidR="004D2070" w:rsidRPr="00C03220">
        <w:rPr>
          <w:rFonts w:ascii="Times New Roman" w:hAnsi="Times New Roman" w:cs="Times New Roman"/>
          <w:lang w:val="pl-PL"/>
        </w:rPr>
        <w:t xml:space="preserve"> przyjęty w Nowym </w:t>
      </w:r>
      <w:r w:rsidR="0067479D" w:rsidRPr="00C03220">
        <w:rPr>
          <w:rFonts w:ascii="Times New Roman" w:hAnsi="Times New Roman" w:cs="Times New Roman"/>
          <w:lang w:val="pl-PL"/>
        </w:rPr>
        <w:t>Jorku w dniu 21 grudnia 1965 r.</w:t>
      </w:r>
      <w:r w:rsidR="004D2070" w:rsidRPr="00C03220">
        <w:rPr>
          <w:rFonts w:ascii="Times New Roman" w:hAnsi="Times New Roman" w:cs="Times New Roman"/>
          <w:lang w:val="pl-PL"/>
        </w:rPr>
        <w:t xml:space="preserve"> stanowi, co następuje:</w:t>
      </w:r>
    </w:p>
    <w:p w:rsidR="004D2070" w:rsidRPr="00C03220" w:rsidRDefault="004D2070" w:rsidP="004D2070">
      <w:pPr>
        <w:pStyle w:val="ECHRTitleCentre3"/>
        <w:rPr>
          <w:rFonts w:ascii="Times New Roman" w:hAnsi="Times New Roman" w:cs="Times New Roman"/>
          <w:lang w:val="pl-PL"/>
        </w:rPr>
      </w:pPr>
      <w:r w:rsidRPr="00C03220">
        <w:rPr>
          <w:rFonts w:ascii="Times New Roman" w:hAnsi="Times New Roman" w:cs="Times New Roman"/>
          <w:bCs/>
          <w:lang w:val="pl-PL"/>
        </w:rPr>
        <w:t>Artykuł 1</w:t>
      </w:r>
    </w:p>
    <w:p w:rsidR="004D2070" w:rsidRPr="00C03220" w:rsidRDefault="004D2070" w:rsidP="004D2070">
      <w:pPr>
        <w:pStyle w:val="ECHRParaQuote"/>
        <w:rPr>
          <w:rFonts w:ascii="Times New Roman" w:hAnsi="Times New Roman" w:cs="Times New Roman"/>
          <w:lang w:val="pl-PL"/>
        </w:rPr>
      </w:pPr>
      <w:r w:rsidRPr="00C03220">
        <w:rPr>
          <w:rFonts w:ascii="Times New Roman" w:hAnsi="Times New Roman" w:cs="Times New Roman"/>
          <w:lang w:val="pl-PL"/>
        </w:rPr>
        <w:t xml:space="preserve">„1. W niniejszej Konwencji wyrażenie </w:t>
      </w:r>
      <w:r w:rsidR="001D342E" w:rsidRPr="00C03220">
        <w:rPr>
          <w:rFonts w:ascii="Times New Roman" w:hAnsi="Times New Roman" w:cs="Times New Roman"/>
          <w:lang w:val="pl-PL"/>
        </w:rPr>
        <w:t>„</w:t>
      </w:r>
      <w:r w:rsidRPr="00C03220">
        <w:rPr>
          <w:rFonts w:ascii="Times New Roman" w:hAnsi="Times New Roman" w:cs="Times New Roman"/>
          <w:lang w:val="pl-PL"/>
        </w:rPr>
        <w:t>dyskryminacja rasowa</w:t>
      </w:r>
      <w:r w:rsidR="001D342E" w:rsidRPr="00C03220">
        <w:rPr>
          <w:rFonts w:ascii="Times New Roman" w:hAnsi="Times New Roman" w:cs="Times New Roman"/>
          <w:lang w:val="pl-PL"/>
        </w:rPr>
        <w:t>”</w:t>
      </w:r>
      <w:r w:rsidRPr="00C03220">
        <w:rPr>
          <w:rFonts w:ascii="Times New Roman" w:hAnsi="Times New Roman" w:cs="Times New Roman"/>
          <w:lang w:val="pl-PL"/>
        </w:rPr>
        <w:t xml:space="preserve"> oznacza wszelkie zróżnicowanie, wykluczenie, ograniczenie lub uprzywilejowanie z powodu rasy, koloru skóry, urodzenia, pochodzenia narodowego lub etnicznego, które ma na celu </w:t>
      </w:r>
      <w:r w:rsidRPr="00C03220">
        <w:rPr>
          <w:rFonts w:ascii="Times New Roman" w:hAnsi="Times New Roman" w:cs="Times New Roman"/>
          <w:lang w:val="pl-PL"/>
        </w:rPr>
        <w:lastRenderedPageBreak/>
        <w:t>lub pociąga za sobą przekreślenie bądź uszczuplenie uznania, wykonywania lub korzystania, na zasadzie równości z praw człowieka i podstawowych wolności w dziedzinie politycznej, gospodarczej, społecznej i kulturalnej lub w jakiejkolwiek inne</w:t>
      </w:r>
      <w:r w:rsidR="0067479D" w:rsidRPr="00C03220">
        <w:rPr>
          <w:rFonts w:ascii="Times New Roman" w:hAnsi="Times New Roman" w:cs="Times New Roman"/>
          <w:lang w:val="pl-PL"/>
        </w:rPr>
        <w:t>j dziedzinie życia publicznego.</w:t>
      </w:r>
      <w:r w:rsidRPr="00C03220">
        <w:rPr>
          <w:rFonts w:ascii="Times New Roman" w:hAnsi="Times New Roman" w:cs="Times New Roman"/>
          <w:lang w:val="pl-PL"/>
        </w:rPr>
        <w:t>”</w:t>
      </w:r>
    </w:p>
    <w:p w:rsidR="004D2070" w:rsidRPr="00C03220" w:rsidRDefault="004D2070" w:rsidP="004D2070">
      <w:pPr>
        <w:pStyle w:val="ECHRTitleCentre3"/>
        <w:rPr>
          <w:rFonts w:ascii="Times New Roman" w:hAnsi="Times New Roman" w:cs="Times New Roman"/>
          <w:lang w:val="pl-PL"/>
        </w:rPr>
      </w:pPr>
      <w:r w:rsidRPr="00C03220">
        <w:rPr>
          <w:rFonts w:ascii="Times New Roman" w:hAnsi="Times New Roman" w:cs="Times New Roman"/>
          <w:bCs/>
          <w:lang w:val="pl-PL"/>
        </w:rPr>
        <w:t>Artykuł 2</w:t>
      </w:r>
    </w:p>
    <w:p w:rsidR="004D2070" w:rsidRPr="00C03220" w:rsidRDefault="004D2070" w:rsidP="004D2070">
      <w:pPr>
        <w:pStyle w:val="ECHRParaQuote"/>
        <w:rPr>
          <w:rFonts w:ascii="Times New Roman" w:hAnsi="Times New Roman" w:cs="Times New Roman"/>
          <w:lang w:val="pl-PL"/>
        </w:rPr>
      </w:pPr>
      <w:r w:rsidRPr="00C03220">
        <w:rPr>
          <w:rFonts w:ascii="Times New Roman" w:hAnsi="Times New Roman" w:cs="Times New Roman"/>
          <w:lang w:val="pl-PL"/>
        </w:rPr>
        <w:t>„1. Państwa Strony Konwencji potępiają dyskryminację rasową i zobowiązują się prowadzić przy pomocy wszelkich właściwych środków i bezzwłocznie politykę zmierzającą do likwidacji dyskryminacji rasowej we wszystkich jej formach oraz do pogłębiania zrozumienia między wszystkimi rasami i w tym celu: ...</w:t>
      </w:r>
    </w:p>
    <w:p w:rsidR="004D2070" w:rsidRPr="00C03220" w:rsidRDefault="004D2070" w:rsidP="004D2070">
      <w:pPr>
        <w:pStyle w:val="ECHRParaQuote"/>
        <w:rPr>
          <w:rFonts w:ascii="Times New Roman" w:hAnsi="Times New Roman" w:cs="Times New Roman"/>
          <w:lang w:val="pl-PL"/>
        </w:rPr>
      </w:pPr>
      <w:r w:rsidRPr="00C03220">
        <w:rPr>
          <w:rFonts w:ascii="Times New Roman" w:hAnsi="Times New Roman" w:cs="Times New Roman"/>
          <w:lang w:val="pl-PL"/>
        </w:rPr>
        <w:t>(d) każde Państwo Strona Konwencji przy użyciu wszelkich właściwych środków, włączając w to - jeżeli okoliczności tego wymagają - środki ustawodawcze, zabroni i położy kres dyskryminacji rasowej uprawianej przez jakiekolwiek osoby, grupy osób lub organizacje; ...”</w:t>
      </w:r>
    </w:p>
    <w:p w:rsidR="004D2070" w:rsidRPr="00C03220" w:rsidRDefault="004D2070" w:rsidP="004D2070">
      <w:pPr>
        <w:pStyle w:val="ECHRTitleCentre3"/>
        <w:rPr>
          <w:rFonts w:ascii="Times New Roman" w:hAnsi="Times New Roman" w:cs="Times New Roman"/>
          <w:lang w:val="pl-PL"/>
        </w:rPr>
      </w:pPr>
      <w:r w:rsidRPr="00C03220">
        <w:rPr>
          <w:rFonts w:ascii="Times New Roman" w:hAnsi="Times New Roman" w:cs="Times New Roman"/>
          <w:bCs/>
          <w:lang w:val="pl-PL"/>
        </w:rPr>
        <w:t>Artykuł 4</w:t>
      </w:r>
    </w:p>
    <w:p w:rsidR="004D2070" w:rsidRPr="00C03220" w:rsidRDefault="004D2070" w:rsidP="004D2070">
      <w:pPr>
        <w:pStyle w:val="ECHRParaQuote"/>
        <w:rPr>
          <w:rFonts w:ascii="Times New Roman" w:hAnsi="Times New Roman" w:cs="Times New Roman"/>
          <w:lang w:val="pl-PL"/>
        </w:rPr>
      </w:pPr>
      <w:r w:rsidRPr="00C03220">
        <w:rPr>
          <w:rFonts w:ascii="Times New Roman" w:hAnsi="Times New Roman" w:cs="Times New Roman"/>
          <w:lang w:val="pl-PL"/>
        </w:rPr>
        <w:t>„Państwa Strony Konwencji potępiają wszelką propagandę i wszelkie organizacje ... usiłujące usprawiedliwić czy popierać nienawiść i dyskryminację rasową w jakiejkolwiek postaci oraz zobowiązują się ...</w:t>
      </w:r>
    </w:p>
    <w:p w:rsidR="004D2070" w:rsidRPr="00C03220" w:rsidRDefault="004D2070" w:rsidP="004D2070">
      <w:pPr>
        <w:pStyle w:val="ECHRParaQuote"/>
        <w:rPr>
          <w:rFonts w:ascii="Times New Roman" w:hAnsi="Times New Roman" w:cs="Times New Roman"/>
          <w:lang w:val="pl-PL"/>
        </w:rPr>
      </w:pPr>
      <w:r w:rsidRPr="00C03220">
        <w:rPr>
          <w:rFonts w:ascii="Times New Roman" w:hAnsi="Times New Roman" w:cs="Times New Roman"/>
          <w:lang w:val="pl-PL"/>
        </w:rPr>
        <w:t>(a) uznać za przestępstwo podlegające karze zgodnie z prawem ... wszelkie podżeganie do dyskryminacji rasowej ..., a także udzielanie pomocy w prowadzeniu działalności rasistowskiej, włączając w to finansowanie tej działalności;</w:t>
      </w:r>
    </w:p>
    <w:p w:rsidR="004D2070" w:rsidRPr="00C03220" w:rsidRDefault="004D2070" w:rsidP="004D2070">
      <w:pPr>
        <w:pStyle w:val="ECHRParaQuote"/>
        <w:rPr>
          <w:rFonts w:ascii="Times New Roman" w:hAnsi="Times New Roman" w:cs="Times New Roman"/>
          <w:lang w:val="pl-PL"/>
        </w:rPr>
      </w:pPr>
      <w:r w:rsidRPr="00C03220">
        <w:rPr>
          <w:rFonts w:ascii="Times New Roman" w:hAnsi="Times New Roman" w:cs="Times New Roman"/>
          <w:lang w:val="pl-PL"/>
        </w:rPr>
        <w:t>(b) uznać za nielegalne organizacje mające na celu popieranie dyskryminacji rasowej i podżeganie do niej oraz wprowadzić zakaz ich działalności, jak również zorganizowanej i wszelkiej innej działalności propagandowej mającej takie same cele oraz uznać udział w takich organizacjach lub w takiej działalności za przestępstwo podlegające karze zgodnie z prawem; ...”</w:t>
      </w:r>
    </w:p>
    <w:p w:rsidR="004D2070" w:rsidRPr="00C03220" w:rsidRDefault="001552E1" w:rsidP="004D2070">
      <w:pPr>
        <w:pStyle w:val="ECHRPara"/>
        <w:rPr>
          <w:rFonts w:ascii="Times New Roman" w:hAnsi="Times New Roman" w:cs="Times New Roman"/>
          <w:lang w:val="pl-PL"/>
        </w:rPr>
      </w:pPr>
      <w:r w:rsidRPr="00C03220">
        <w:rPr>
          <w:rFonts w:ascii="Times New Roman" w:hAnsi="Times New Roman" w:cs="Times New Roman"/>
          <w:lang w:val="pl-PL"/>
        </w:rPr>
        <w:fldChar w:fldCharType="begin"/>
      </w:r>
      <w:r w:rsidR="004D2070" w:rsidRPr="00C03220">
        <w:rPr>
          <w:rFonts w:ascii="Times New Roman" w:hAnsi="Times New Roman" w:cs="Times New Roman"/>
          <w:lang w:val="pl-PL"/>
        </w:rPr>
        <w:instrText xml:space="preserve"> SEQ level0 \*arabic </w:instrText>
      </w:r>
      <w:r w:rsidRPr="00C03220">
        <w:rPr>
          <w:rFonts w:ascii="Times New Roman" w:hAnsi="Times New Roman" w:cs="Times New Roman"/>
          <w:lang w:val="pl-PL"/>
        </w:rPr>
        <w:fldChar w:fldCharType="separate"/>
      </w:r>
      <w:r w:rsidR="004D2070" w:rsidRPr="00C03220">
        <w:rPr>
          <w:rFonts w:ascii="Times New Roman" w:hAnsi="Times New Roman" w:cs="Times New Roman"/>
          <w:noProof/>
          <w:lang w:val="pl-PL"/>
        </w:rPr>
        <w:t>22</w:t>
      </w:r>
      <w:r w:rsidRPr="00C03220">
        <w:rPr>
          <w:rFonts w:ascii="Times New Roman" w:hAnsi="Times New Roman" w:cs="Times New Roman"/>
          <w:lang w:val="pl-PL"/>
        </w:rPr>
        <w:fldChar w:fldCharType="end"/>
      </w:r>
      <w:r w:rsidR="004D2070" w:rsidRPr="00C03220">
        <w:rPr>
          <w:rFonts w:ascii="Times New Roman" w:hAnsi="Times New Roman" w:cs="Times New Roman"/>
          <w:lang w:val="pl-PL"/>
        </w:rPr>
        <w:t xml:space="preserve">.  Decyzja nr 30/1992 (V. 26) AB Trybunału Konstytucyjnego </w:t>
      </w:r>
      <w:r w:rsidR="0067479D" w:rsidRPr="00C03220">
        <w:rPr>
          <w:rFonts w:ascii="Times New Roman" w:hAnsi="Times New Roman" w:cs="Times New Roman"/>
          <w:lang w:val="pl-PL"/>
        </w:rPr>
        <w:t>zawiera następujące ustępy</w:t>
      </w:r>
      <w:r w:rsidR="004D2070" w:rsidRPr="00C03220">
        <w:rPr>
          <w:rFonts w:ascii="Times New Roman" w:hAnsi="Times New Roman" w:cs="Times New Roman"/>
          <w:lang w:val="pl-PL"/>
        </w:rPr>
        <w:t>:</w:t>
      </w:r>
    </w:p>
    <w:p w:rsidR="004D2070" w:rsidRPr="00C03220" w:rsidRDefault="004D2070" w:rsidP="004D2070">
      <w:pPr>
        <w:pStyle w:val="ECHRParaQuote"/>
        <w:rPr>
          <w:rFonts w:ascii="Times New Roman" w:hAnsi="Times New Roman" w:cs="Times New Roman"/>
          <w:lang w:val="pl-PL"/>
        </w:rPr>
      </w:pPr>
      <w:r w:rsidRPr="00C03220">
        <w:rPr>
          <w:rFonts w:ascii="Times New Roman" w:hAnsi="Times New Roman" w:cs="Times New Roman"/>
          <w:lang w:val="pl-PL"/>
        </w:rPr>
        <w:t xml:space="preserve">„II. 3. Kodeksy karne wszystkie europejskich państw demokratycznych stosujących kontynentalny system prawny, a także Anglii i Walii, Kanady i Nowej Zelandii, które stosują system anglosaksoński, zabraniają podżegania na podstawie „rasowej”. </w:t>
      </w:r>
      <w:r w:rsidR="00AD0C95" w:rsidRPr="00C03220">
        <w:rPr>
          <w:rFonts w:ascii="Times New Roman" w:hAnsi="Times New Roman" w:cs="Times New Roman"/>
          <w:lang w:val="pl-PL"/>
        </w:rPr>
        <w:t xml:space="preserve">Wskazanie rozgraniczeń pomiędzy podżeganiem, nawoływaniem do nienawiści i wyrażaniem opinii pozostaje przedmiotem </w:t>
      </w:r>
      <w:r w:rsidR="0067479D" w:rsidRPr="00C03220">
        <w:rPr>
          <w:rFonts w:ascii="Times New Roman" w:hAnsi="Times New Roman" w:cs="Times New Roman"/>
          <w:lang w:val="pl-PL"/>
        </w:rPr>
        <w:t xml:space="preserve">gorących </w:t>
      </w:r>
      <w:r w:rsidR="00AD0C95" w:rsidRPr="00C03220">
        <w:rPr>
          <w:rFonts w:ascii="Times New Roman" w:hAnsi="Times New Roman" w:cs="Times New Roman"/>
          <w:lang w:val="pl-PL"/>
        </w:rPr>
        <w:t>sporów na arenie międzynarodowej</w:t>
      </w:r>
      <w:r w:rsidRPr="00C03220">
        <w:rPr>
          <w:rFonts w:ascii="Times New Roman" w:hAnsi="Times New Roman" w:cs="Times New Roman"/>
          <w:lang w:val="pl-PL"/>
        </w:rPr>
        <w:t>.</w:t>
      </w:r>
    </w:p>
    <w:p w:rsidR="004D2070" w:rsidRPr="00C03220" w:rsidRDefault="004D2070" w:rsidP="004D2070">
      <w:pPr>
        <w:pStyle w:val="ECHRParaQuote"/>
        <w:rPr>
          <w:rFonts w:ascii="Times New Roman" w:hAnsi="Times New Roman" w:cs="Times New Roman"/>
          <w:lang w:val="pl-PL"/>
        </w:rPr>
      </w:pPr>
      <w:r w:rsidRPr="00C03220">
        <w:rPr>
          <w:rFonts w:ascii="Times New Roman" w:hAnsi="Times New Roman" w:cs="Times New Roman"/>
          <w:lang w:val="pl-PL"/>
        </w:rPr>
        <w:t xml:space="preserve">IV. 1. Potencjalne szkody wynikające z podżegania do nienawiści oraz </w:t>
      </w:r>
      <w:r w:rsidR="009E0A22" w:rsidRPr="00C03220">
        <w:rPr>
          <w:rFonts w:ascii="Times New Roman" w:hAnsi="Times New Roman" w:cs="Times New Roman"/>
          <w:lang w:val="pl-PL"/>
        </w:rPr>
        <w:t xml:space="preserve">poniżające wyrażanie pogardy wobec pewnych grup społeczeństwa </w:t>
      </w:r>
      <w:r w:rsidRPr="00C03220">
        <w:rPr>
          <w:rFonts w:ascii="Times New Roman" w:hAnsi="Times New Roman" w:cs="Times New Roman"/>
          <w:lang w:val="pl-PL"/>
        </w:rPr>
        <w:t xml:space="preserve">zostały </w:t>
      </w:r>
      <w:r w:rsidR="009E0A22" w:rsidRPr="00C03220">
        <w:rPr>
          <w:rFonts w:ascii="Times New Roman" w:hAnsi="Times New Roman" w:cs="Times New Roman"/>
          <w:lang w:val="pl-PL"/>
        </w:rPr>
        <w:t>obszernie u</w:t>
      </w:r>
      <w:r w:rsidRPr="00C03220">
        <w:rPr>
          <w:rFonts w:ascii="Times New Roman" w:hAnsi="Times New Roman" w:cs="Times New Roman"/>
          <w:lang w:val="pl-PL"/>
        </w:rPr>
        <w:t>dokumentowane w historii ludzkości. ...</w:t>
      </w:r>
    </w:p>
    <w:p w:rsidR="004D2070" w:rsidRPr="00C03220" w:rsidRDefault="004D2070" w:rsidP="004D2070">
      <w:pPr>
        <w:pStyle w:val="ECHRParaQuote"/>
        <w:rPr>
          <w:rFonts w:ascii="Times New Roman" w:hAnsi="Times New Roman" w:cs="Times New Roman"/>
          <w:lang w:val="pl-PL"/>
        </w:rPr>
      </w:pPr>
      <w:r w:rsidRPr="00C03220">
        <w:rPr>
          <w:rFonts w:ascii="Times New Roman" w:hAnsi="Times New Roman" w:cs="Times New Roman"/>
          <w:lang w:val="pl-PL"/>
        </w:rPr>
        <w:t>Tragiczne historyczne doświadczenia naszego wieku potwierdzają opinię, że głoszenie niższości czy wyższości rasowej, etnicznej, narodowej czy religijnej oraz rozpowszechnianie nienawiści, pogardy i wykluczenia stanowi zagrożenie dla wartości cywilizacji ludzkiej.</w:t>
      </w:r>
    </w:p>
    <w:p w:rsidR="004D2070" w:rsidRPr="00C03220" w:rsidRDefault="004D2070" w:rsidP="004D2070">
      <w:pPr>
        <w:pStyle w:val="ECHRParaQuote"/>
        <w:rPr>
          <w:rFonts w:ascii="Times New Roman" w:hAnsi="Times New Roman" w:cs="Times New Roman"/>
          <w:lang w:val="pl-PL"/>
        </w:rPr>
      </w:pPr>
      <w:r w:rsidRPr="00C03220">
        <w:rPr>
          <w:rFonts w:ascii="Times New Roman" w:hAnsi="Times New Roman" w:cs="Times New Roman"/>
          <w:lang w:val="pl-PL"/>
        </w:rPr>
        <w:t xml:space="preserve">Zarówno historia, jak i wydarzenia, do których dochodzi współcześnie, potwierdzają, że wszelkie wypowiedzi wyrażające zamiar wzbudzania nienawiści względem określonej grupy ludzi mogą wywoływać ekstremalne napięcia społeczne, zakłócać społeczną harmonię i pokój, a w skrajnych przypadkach doprowadzać do </w:t>
      </w:r>
      <w:r w:rsidR="00B60CCC" w:rsidRPr="00C03220">
        <w:rPr>
          <w:rFonts w:ascii="Times New Roman" w:hAnsi="Times New Roman" w:cs="Times New Roman"/>
          <w:lang w:val="pl-PL"/>
        </w:rPr>
        <w:t>gwałtownych</w:t>
      </w:r>
      <w:r w:rsidRPr="00C03220">
        <w:rPr>
          <w:rFonts w:ascii="Times New Roman" w:hAnsi="Times New Roman" w:cs="Times New Roman"/>
          <w:lang w:val="pl-PL"/>
        </w:rPr>
        <w:t xml:space="preserve"> starć pomiędzy określonymi grupami społecznymi.</w:t>
      </w:r>
    </w:p>
    <w:p w:rsidR="004D2070" w:rsidRPr="00C03220" w:rsidRDefault="004D2070" w:rsidP="004D2070">
      <w:pPr>
        <w:pStyle w:val="ECHRParaQuote"/>
        <w:rPr>
          <w:rFonts w:ascii="Times New Roman" w:hAnsi="Times New Roman" w:cs="Times New Roman"/>
          <w:lang w:val="pl-PL"/>
        </w:rPr>
      </w:pPr>
      <w:r w:rsidRPr="00C03220">
        <w:rPr>
          <w:rFonts w:ascii="Times New Roman" w:hAnsi="Times New Roman" w:cs="Times New Roman"/>
          <w:lang w:val="pl-PL"/>
        </w:rPr>
        <w:lastRenderedPageBreak/>
        <w:t>Prócz historycznych i współczesnych doświadczeń wskazujących na ekstremalnie szkodliwe skutki nawoływania do nienawiści, koniecznie uwzględnić należy codzienne zagrożenia wynikające z nieograniczonej swobody wyrażania idei i koncepcji, które mogą wzbudzać nienawiść. Ekspresja taka uniemożliwia społecznościom ludzkim harmonijne współżycie z innymi grupami. Poprzez intensyfikację napięć emocjonalnych i społecznych w ramach mniejszych lub większych społeczności, może naruszać relacje społeczne, wzmacniać poglądy ekstremalne oraz pogłębiać uprzedzenia i nietolerancję, co z kolei zmniejsza szanse budowania społeczeństwa tolerancyjnego i wielokulturowego, w którym uznaje się pluralizm, prawo do inności i równ</w:t>
      </w:r>
      <w:r w:rsidR="001C01E3" w:rsidRPr="00C03220">
        <w:rPr>
          <w:rFonts w:ascii="Times New Roman" w:hAnsi="Times New Roman" w:cs="Times New Roman"/>
          <w:lang w:val="pl-PL"/>
        </w:rPr>
        <w:t>ą</w:t>
      </w:r>
      <w:r w:rsidRPr="00C03220">
        <w:rPr>
          <w:rFonts w:ascii="Times New Roman" w:hAnsi="Times New Roman" w:cs="Times New Roman"/>
          <w:lang w:val="pl-PL"/>
        </w:rPr>
        <w:t xml:space="preserve"> godnoś</w:t>
      </w:r>
      <w:r w:rsidR="001C01E3" w:rsidRPr="00C03220">
        <w:rPr>
          <w:rFonts w:ascii="Times New Roman" w:hAnsi="Times New Roman" w:cs="Times New Roman"/>
          <w:lang w:val="pl-PL"/>
        </w:rPr>
        <w:t>ć</w:t>
      </w:r>
      <w:r w:rsidRPr="00C03220">
        <w:rPr>
          <w:rFonts w:ascii="Times New Roman" w:hAnsi="Times New Roman" w:cs="Times New Roman"/>
          <w:lang w:val="pl-PL"/>
        </w:rPr>
        <w:t xml:space="preserve"> wszystkich ludzi oraz </w:t>
      </w:r>
      <w:r w:rsidR="001C01E3" w:rsidRPr="00C03220">
        <w:rPr>
          <w:rFonts w:ascii="Times New Roman" w:hAnsi="Times New Roman" w:cs="Times New Roman"/>
          <w:lang w:val="pl-PL"/>
        </w:rPr>
        <w:t xml:space="preserve">w </w:t>
      </w:r>
      <w:r w:rsidRPr="00C03220">
        <w:rPr>
          <w:rFonts w:ascii="Times New Roman" w:hAnsi="Times New Roman" w:cs="Times New Roman"/>
          <w:lang w:val="pl-PL"/>
        </w:rPr>
        <w:t>którym dyskryminacja nie jest postrzegana jako wartość.</w:t>
      </w:r>
    </w:p>
    <w:p w:rsidR="004D2070" w:rsidRPr="00C03220" w:rsidRDefault="004D2070" w:rsidP="004D2070">
      <w:pPr>
        <w:pStyle w:val="ECHRParaQuote"/>
        <w:rPr>
          <w:rFonts w:ascii="Times New Roman" w:hAnsi="Times New Roman" w:cs="Times New Roman"/>
          <w:lang w:val="pl-PL"/>
        </w:rPr>
      </w:pPr>
      <w:r w:rsidRPr="00C03220">
        <w:rPr>
          <w:rFonts w:ascii="Times New Roman" w:hAnsi="Times New Roman" w:cs="Times New Roman"/>
          <w:lang w:val="pl-PL"/>
        </w:rPr>
        <w:t xml:space="preserve">2. Objęcie ochroną konstytucyjną podżegania do nienawiści względem określonych grup pod pozorem wolności wyrażania opinii i prasy oznaczałoby </w:t>
      </w:r>
      <w:r w:rsidR="009E0A22" w:rsidRPr="00C03220">
        <w:rPr>
          <w:rFonts w:ascii="Times New Roman" w:hAnsi="Times New Roman" w:cs="Times New Roman"/>
          <w:lang w:val="pl-PL"/>
        </w:rPr>
        <w:t xml:space="preserve">niemożliwą do rozwiązania </w:t>
      </w:r>
      <w:r w:rsidRPr="00C03220">
        <w:rPr>
          <w:rFonts w:ascii="Times New Roman" w:hAnsi="Times New Roman" w:cs="Times New Roman"/>
          <w:lang w:val="pl-PL"/>
        </w:rPr>
        <w:t xml:space="preserve">sprzeczność z systemem wartości i </w:t>
      </w:r>
      <w:r w:rsidR="009E0A22" w:rsidRPr="00C03220">
        <w:rPr>
          <w:rFonts w:ascii="Times New Roman" w:hAnsi="Times New Roman" w:cs="Times New Roman"/>
          <w:lang w:val="pl-PL"/>
        </w:rPr>
        <w:t xml:space="preserve">orientacją polityczną </w:t>
      </w:r>
      <w:r w:rsidRPr="00C03220">
        <w:rPr>
          <w:rFonts w:ascii="Times New Roman" w:hAnsi="Times New Roman" w:cs="Times New Roman"/>
          <w:lang w:val="pl-PL"/>
        </w:rPr>
        <w:t>wyrażonymi w Konstytucji, to jest zasad</w:t>
      </w:r>
      <w:r w:rsidR="009E0A22" w:rsidRPr="00C03220">
        <w:rPr>
          <w:rFonts w:ascii="Times New Roman" w:hAnsi="Times New Roman" w:cs="Times New Roman"/>
          <w:lang w:val="pl-PL"/>
        </w:rPr>
        <w:t>ami</w:t>
      </w:r>
      <w:r w:rsidRPr="00C03220">
        <w:rPr>
          <w:rFonts w:ascii="Times New Roman" w:hAnsi="Times New Roman" w:cs="Times New Roman"/>
          <w:lang w:val="pl-PL"/>
        </w:rPr>
        <w:t xml:space="preserve"> demokratycznego państwa prawa, równości wszystkich ludzi, zakazu dyskryminacji, wolności wyznania i sumienia oraz ochrony mniejszości narodowych i etnicznych, o których mowa we właściwych artykułach Konstytucji. ...</w:t>
      </w:r>
    </w:p>
    <w:p w:rsidR="004D2070" w:rsidRPr="00C03220" w:rsidRDefault="004D2070" w:rsidP="004D2070">
      <w:pPr>
        <w:pStyle w:val="ECHRParaQuote"/>
        <w:rPr>
          <w:rFonts w:ascii="Times New Roman" w:hAnsi="Times New Roman" w:cs="Times New Roman"/>
          <w:lang w:val="pl-PL"/>
        </w:rPr>
      </w:pPr>
      <w:r w:rsidRPr="00C03220">
        <w:rPr>
          <w:rFonts w:ascii="Times New Roman" w:hAnsi="Times New Roman" w:cs="Times New Roman"/>
          <w:lang w:val="pl-PL"/>
        </w:rPr>
        <w:t>Podżeganie do nienawiści stanowi zaprzeczenie przywołanych powyżej pojęć, emocjonalne przygotowanie do użycia przemocy. Stanowi nadużycie wolności wyrażania opinii,</w:t>
      </w:r>
      <w:r w:rsidR="003F1960" w:rsidRPr="00C03220">
        <w:rPr>
          <w:rFonts w:ascii="Times New Roman" w:hAnsi="Times New Roman" w:cs="Times New Roman"/>
          <w:lang w:val="pl-PL"/>
        </w:rPr>
        <w:t xml:space="preserve"> niezgodną z zasadą tolerancji klasyfikację pewnej grupy właściwą raczej dla dyktatur niż systemów demokratycznych</w:t>
      </w:r>
      <w:r w:rsidRPr="00C03220">
        <w:rPr>
          <w:rFonts w:ascii="Times New Roman" w:hAnsi="Times New Roman" w:cs="Times New Roman"/>
          <w:lang w:val="pl-PL"/>
        </w:rPr>
        <w:t xml:space="preserve">. Tolerowanie wykonywania wolności wyrażania opinii i wolności prasy w sposób zakazany na </w:t>
      </w:r>
      <w:r w:rsidR="00B60CCC" w:rsidRPr="00C03220">
        <w:rPr>
          <w:rFonts w:ascii="Times New Roman" w:hAnsi="Times New Roman" w:cs="Times New Roman"/>
          <w:lang w:val="pl-PL"/>
        </w:rPr>
        <w:t>podstawie</w:t>
      </w:r>
      <w:r w:rsidRPr="00C03220">
        <w:rPr>
          <w:rFonts w:ascii="Times New Roman" w:hAnsi="Times New Roman" w:cs="Times New Roman"/>
          <w:lang w:val="pl-PL"/>
        </w:rPr>
        <w:t xml:space="preserve"> art. 269 (1) kodeksu karnego byłoby sprzeczne z wymogami wynikającymi z zasady demokratycznego państwa prawa. ...</w:t>
      </w:r>
    </w:p>
    <w:p w:rsidR="004D2070" w:rsidRPr="00C03220" w:rsidRDefault="004D2070" w:rsidP="004D2070">
      <w:pPr>
        <w:pStyle w:val="ECHRParaQuote"/>
        <w:rPr>
          <w:rFonts w:ascii="Times New Roman" w:hAnsi="Times New Roman" w:cs="Times New Roman"/>
          <w:lang w:val="pl-PL"/>
        </w:rPr>
      </w:pPr>
      <w:r w:rsidRPr="00C03220">
        <w:rPr>
          <w:rFonts w:ascii="Times New Roman" w:hAnsi="Times New Roman" w:cs="Times New Roman"/>
          <w:lang w:val="pl-PL"/>
        </w:rPr>
        <w:t xml:space="preserve">Podsumowując swoje stanowisko, Trybunał Konstytucyjny podkreśla, że ograniczenie wolności wyrażania opinii i prasy jest spowodowane i uzasadnione negatywnymi doświadczeniami historycznymi związanymi z wzbudzaniem nienawiści względem pewnych grup ludzi, ochroną wartości konstytucyjnych oraz obowiązkiem Republiki Węgierskiej przestrzegania </w:t>
      </w:r>
      <w:r w:rsidR="00B60CCC" w:rsidRPr="00C03220">
        <w:rPr>
          <w:rFonts w:ascii="Times New Roman" w:hAnsi="Times New Roman" w:cs="Times New Roman"/>
          <w:lang w:val="pl-PL"/>
        </w:rPr>
        <w:t>zobowiązań</w:t>
      </w:r>
      <w:r w:rsidRPr="00C03220">
        <w:rPr>
          <w:rFonts w:ascii="Times New Roman" w:hAnsi="Times New Roman" w:cs="Times New Roman"/>
          <w:lang w:val="pl-PL"/>
        </w:rPr>
        <w:t xml:space="preserve"> </w:t>
      </w:r>
      <w:r w:rsidR="00B60CCC" w:rsidRPr="00C03220">
        <w:rPr>
          <w:rFonts w:ascii="Times New Roman" w:hAnsi="Times New Roman" w:cs="Times New Roman"/>
          <w:lang w:val="pl-PL"/>
        </w:rPr>
        <w:t>wynikających</w:t>
      </w:r>
      <w:r w:rsidRPr="00C03220">
        <w:rPr>
          <w:rFonts w:ascii="Times New Roman" w:hAnsi="Times New Roman" w:cs="Times New Roman"/>
          <w:lang w:val="pl-PL"/>
        </w:rPr>
        <w:t xml:space="preserve"> z prawa międzynarodowego. ...”</w:t>
      </w:r>
    </w:p>
    <w:p w:rsidR="004D2070" w:rsidRPr="00C03220" w:rsidRDefault="001552E1" w:rsidP="004D2070">
      <w:pPr>
        <w:pStyle w:val="ECHRPara"/>
        <w:rPr>
          <w:rFonts w:ascii="Times New Roman" w:hAnsi="Times New Roman" w:cs="Times New Roman"/>
          <w:lang w:val="pl-PL"/>
        </w:rPr>
      </w:pPr>
      <w:r w:rsidRPr="00C03220">
        <w:rPr>
          <w:rFonts w:ascii="Times New Roman" w:hAnsi="Times New Roman" w:cs="Times New Roman"/>
          <w:lang w:val="pl-PL"/>
        </w:rPr>
        <w:fldChar w:fldCharType="begin"/>
      </w:r>
      <w:r w:rsidR="004D2070" w:rsidRPr="00C03220">
        <w:rPr>
          <w:rFonts w:ascii="Times New Roman" w:hAnsi="Times New Roman" w:cs="Times New Roman"/>
          <w:lang w:val="pl-PL"/>
        </w:rPr>
        <w:instrText xml:space="preserve"> SEQ level0 \*arabic </w:instrText>
      </w:r>
      <w:r w:rsidRPr="00C03220">
        <w:rPr>
          <w:rFonts w:ascii="Times New Roman" w:hAnsi="Times New Roman" w:cs="Times New Roman"/>
          <w:lang w:val="pl-PL"/>
        </w:rPr>
        <w:fldChar w:fldCharType="separate"/>
      </w:r>
      <w:r w:rsidR="004D2070" w:rsidRPr="00C03220">
        <w:rPr>
          <w:rFonts w:ascii="Times New Roman" w:hAnsi="Times New Roman" w:cs="Times New Roman"/>
          <w:noProof/>
          <w:lang w:val="pl-PL"/>
        </w:rPr>
        <w:t>23</w:t>
      </w:r>
      <w:r w:rsidRPr="00C03220">
        <w:rPr>
          <w:rFonts w:ascii="Times New Roman" w:hAnsi="Times New Roman" w:cs="Times New Roman"/>
          <w:lang w:val="pl-PL"/>
        </w:rPr>
        <w:fldChar w:fldCharType="end"/>
      </w:r>
      <w:r w:rsidR="004D2070" w:rsidRPr="00C03220">
        <w:rPr>
          <w:rFonts w:ascii="Times New Roman" w:hAnsi="Times New Roman" w:cs="Times New Roman"/>
          <w:lang w:val="pl-PL"/>
        </w:rPr>
        <w:t xml:space="preserve">.  Decyzja nr 14/2000 (V. 12) AB Trybunału Konstytucyjnego </w:t>
      </w:r>
      <w:r w:rsidR="0067479D" w:rsidRPr="00C03220">
        <w:rPr>
          <w:rFonts w:ascii="Times New Roman" w:hAnsi="Times New Roman" w:cs="Times New Roman"/>
          <w:lang w:val="pl-PL"/>
        </w:rPr>
        <w:t>zawiera następujące ustępy</w:t>
      </w:r>
      <w:r w:rsidR="004D2070" w:rsidRPr="00C03220">
        <w:rPr>
          <w:rFonts w:ascii="Times New Roman" w:hAnsi="Times New Roman" w:cs="Times New Roman"/>
          <w:lang w:val="pl-PL"/>
        </w:rPr>
        <w:t>:</w:t>
      </w:r>
    </w:p>
    <w:p w:rsidR="004D2070" w:rsidRPr="00C03220" w:rsidRDefault="004D2070" w:rsidP="004D2070">
      <w:pPr>
        <w:pStyle w:val="ECHRParaQuote"/>
        <w:rPr>
          <w:rFonts w:ascii="Times New Roman" w:hAnsi="Times New Roman" w:cs="Times New Roman"/>
          <w:lang w:val="pl-PL"/>
        </w:rPr>
      </w:pPr>
      <w:r w:rsidRPr="00C03220">
        <w:rPr>
          <w:rFonts w:ascii="Times New Roman" w:hAnsi="Times New Roman" w:cs="Times New Roman"/>
          <w:lang w:val="pl-PL"/>
        </w:rPr>
        <w:t>„3. Wolność wyrażania opinii nie jest jedynie subiektywnym prawem, lecz także gwarancją swobodnego wyrażania różnorodnych opinii kształtujących opinię społeczną. ...</w:t>
      </w:r>
    </w:p>
    <w:p w:rsidR="004D2070" w:rsidRPr="00C03220" w:rsidRDefault="004D2070" w:rsidP="004D2070">
      <w:pPr>
        <w:pStyle w:val="ECHRParaQuote"/>
        <w:rPr>
          <w:rFonts w:ascii="Times New Roman" w:hAnsi="Times New Roman" w:cs="Times New Roman"/>
          <w:lang w:val="pl-PL"/>
        </w:rPr>
      </w:pPr>
      <w:r w:rsidRPr="00C03220">
        <w:rPr>
          <w:rFonts w:ascii="Times New Roman" w:hAnsi="Times New Roman" w:cs="Times New Roman"/>
          <w:lang w:val="pl-PL"/>
        </w:rPr>
        <w:t xml:space="preserve">Choć prawo to może podlegać ograniczeniom, ze względu na jego kluczowe znaczenie jest ono objęte ochroną szczególną, a zatem ograniczane może być wyłącznie w związku z </w:t>
      </w:r>
      <w:r w:rsidR="009E0A22" w:rsidRPr="00C03220">
        <w:rPr>
          <w:rFonts w:ascii="Times New Roman" w:hAnsi="Times New Roman" w:cs="Times New Roman"/>
          <w:lang w:val="pl-PL"/>
        </w:rPr>
        <w:t>nielicznymi innymi prawami</w:t>
      </w:r>
      <w:r w:rsidRPr="00C03220">
        <w:rPr>
          <w:rFonts w:ascii="Times New Roman" w:hAnsi="Times New Roman" w:cs="Times New Roman"/>
          <w:lang w:val="pl-PL"/>
        </w:rPr>
        <w:t xml:space="preserve">. Zatem, drugorzędne wartości teoretyczne, takie jak pokój publiczny, chronione są w mniejszym stopniu niż to </w:t>
      </w:r>
      <w:r w:rsidR="00B60CCC" w:rsidRPr="00C03220">
        <w:rPr>
          <w:rFonts w:ascii="Times New Roman" w:hAnsi="Times New Roman" w:cs="Times New Roman"/>
          <w:lang w:val="pl-PL"/>
        </w:rPr>
        <w:t>właśnie</w:t>
      </w:r>
      <w:r w:rsidRPr="00C03220">
        <w:rPr>
          <w:rFonts w:ascii="Times New Roman" w:hAnsi="Times New Roman" w:cs="Times New Roman"/>
          <w:lang w:val="pl-PL"/>
        </w:rPr>
        <w:t xml:space="preserve"> prawo. ...</w:t>
      </w:r>
    </w:p>
    <w:p w:rsidR="004D2070" w:rsidRPr="00C03220" w:rsidRDefault="004D2070" w:rsidP="004D2070">
      <w:pPr>
        <w:pStyle w:val="ECHRParaQuote"/>
        <w:rPr>
          <w:rFonts w:ascii="Times New Roman" w:hAnsi="Times New Roman" w:cs="Times New Roman"/>
          <w:lang w:val="pl-PL"/>
        </w:rPr>
      </w:pPr>
      <w:r w:rsidRPr="00C03220">
        <w:rPr>
          <w:rFonts w:ascii="Times New Roman" w:hAnsi="Times New Roman" w:cs="Times New Roman"/>
          <w:lang w:val="pl-PL"/>
        </w:rPr>
        <w:t>Podobnie jak prawo do życia, prawo do godności ludzkiej podlega szczególnej ochronie na mocy Konstytucji... Z punktu widzenia wartości Konstytucja nie jest neutralna, lecz określa własny zestaw wartości. Wyrażenie opinii niezgodnych z wartościami konstytucyjnymi nie podlega ochronie na podstawie art. 61 Konstytucji. ...</w:t>
      </w:r>
    </w:p>
    <w:p w:rsidR="004D2070" w:rsidRPr="00C03220" w:rsidRDefault="004D2070" w:rsidP="004D2070">
      <w:pPr>
        <w:pStyle w:val="ECHRParaQuote"/>
        <w:rPr>
          <w:rFonts w:ascii="Times New Roman" w:hAnsi="Times New Roman" w:cs="Times New Roman"/>
          <w:lang w:val="pl-PL"/>
        </w:rPr>
      </w:pPr>
      <w:r w:rsidRPr="00C03220">
        <w:rPr>
          <w:rFonts w:ascii="Times New Roman" w:hAnsi="Times New Roman" w:cs="Times New Roman"/>
          <w:lang w:val="pl-PL"/>
        </w:rPr>
        <w:t>Trybunał Konstytucyjny wskazuje również, że zgodnie z Konwencją wolność wyrażania opinii pociąga za sobą „obowiązki i odpo</w:t>
      </w:r>
      <w:r w:rsidR="001C01E3" w:rsidRPr="00C03220">
        <w:rPr>
          <w:rFonts w:ascii="Times New Roman" w:hAnsi="Times New Roman" w:cs="Times New Roman"/>
          <w:lang w:val="pl-PL"/>
        </w:rPr>
        <w:t>wiedzialność”</w:t>
      </w:r>
      <w:r w:rsidRPr="00C03220">
        <w:rPr>
          <w:rFonts w:ascii="Times New Roman" w:hAnsi="Times New Roman" w:cs="Times New Roman"/>
          <w:lang w:val="pl-PL"/>
        </w:rPr>
        <w:t xml:space="preserve">. Wszystkie władze państwowe mają obowiązek ochrony wartości demokratycznego państwa w ramach </w:t>
      </w:r>
      <w:r w:rsidRPr="00C03220">
        <w:rPr>
          <w:rFonts w:ascii="Times New Roman" w:hAnsi="Times New Roman" w:cs="Times New Roman"/>
          <w:lang w:val="pl-PL"/>
        </w:rPr>
        <w:lastRenderedPageBreak/>
        <w:t xml:space="preserve">rządów prawa oraz poszanowania godności ludzkiej. </w:t>
      </w:r>
      <w:r w:rsidR="001C01E3" w:rsidRPr="00C03220">
        <w:rPr>
          <w:rFonts w:ascii="Times New Roman" w:hAnsi="Times New Roman" w:cs="Times New Roman"/>
          <w:lang w:val="pl-PL"/>
        </w:rPr>
        <w:t xml:space="preserve">Nie można pozostać bezczynnym względem zachowań stanowiących </w:t>
      </w:r>
      <w:r w:rsidRPr="00C03220">
        <w:rPr>
          <w:rFonts w:ascii="Times New Roman" w:hAnsi="Times New Roman" w:cs="Times New Roman"/>
          <w:lang w:val="pl-PL"/>
        </w:rPr>
        <w:t>przemoc, nienawiść i konflikt. Odrzucenie użycia lub gróźb użycia siły jako sposobu rozwiązywania konfliktów stanowi część złożonej koncepcji demokracji.”</w:t>
      </w:r>
    </w:p>
    <w:p w:rsidR="004D2070" w:rsidRPr="00C03220" w:rsidRDefault="001552E1" w:rsidP="004D2070">
      <w:pPr>
        <w:pStyle w:val="ECHRPara"/>
        <w:rPr>
          <w:rFonts w:ascii="Times New Roman" w:hAnsi="Times New Roman" w:cs="Times New Roman"/>
          <w:lang w:val="pl-PL"/>
        </w:rPr>
      </w:pPr>
      <w:r w:rsidRPr="00C03220">
        <w:rPr>
          <w:rFonts w:ascii="Times New Roman" w:hAnsi="Times New Roman" w:cs="Times New Roman"/>
          <w:lang w:val="pl-PL"/>
        </w:rPr>
        <w:fldChar w:fldCharType="begin"/>
      </w:r>
      <w:r w:rsidR="004D2070" w:rsidRPr="00C03220">
        <w:rPr>
          <w:rFonts w:ascii="Times New Roman" w:hAnsi="Times New Roman" w:cs="Times New Roman"/>
          <w:lang w:val="pl-PL"/>
        </w:rPr>
        <w:instrText xml:space="preserve"> SEQ level0 \*arabic </w:instrText>
      </w:r>
      <w:r w:rsidRPr="00C03220">
        <w:rPr>
          <w:rFonts w:ascii="Times New Roman" w:hAnsi="Times New Roman" w:cs="Times New Roman"/>
          <w:lang w:val="pl-PL"/>
        </w:rPr>
        <w:fldChar w:fldCharType="separate"/>
      </w:r>
      <w:r w:rsidR="004D2070" w:rsidRPr="00C03220">
        <w:rPr>
          <w:rFonts w:ascii="Times New Roman" w:hAnsi="Times New Roman" w:cs="Times New Roman"/>
          <w:noProof/>
          <w:lang w:val="pl-PL"/>
        </w:rPr>
        <w:t>24</w:t>
      </w:r>
      <w:r w:rsidRPr="00C03220">
        <w:rPr>
          <w:rFonts w:ascii="Times New Roman" w:hAnsi="Times New Roman" w:cs="Times New Roman"/>
          <w:lang w:val="pl-PL"/>
        </w:rPr>
        <w:fldChar w:fldCharType="end"/>
      </w:r>
      <w:r w:rsidR="004D2070" w:rsidRPr="00C03220">
        <w:rPr>
          <w:rFonts w:ascii="Times New Roman" w:hAnsi="Times New Roman" w:cs="Times New Roman"/>
          <w:lang w:val="pl-PL"/>
        </w:rPr>
        <w:t xml:space="preserve">.  Decyzja nr 18/2004 (V. 25) AB Trybunału Konstytucyjnego </w:t>
      </w:r>
      <w:r w:rsidR="0067479D" w:rsidRPr="00C03220">
        <w:rPr>
          <w:rFonts w:ascii="Times New Roman" w:hAnsi="Times New Roman" w:cs="Times New Roman"/>
          <w:lang w:val="pl-PL"/>
        </w:rPr>
        <w:t>zawiera następujący ustęp</w:t>
      </w:r>
      <w:r w:rsidR="004D2070" w:rsidRPr="00C03220">
        <w:rPr>
          <w:rFonts w:ascii="Times New Roman" w:hAnsi="Times New Roman" w:cs="Times New Roman"/>
          <w:lang w:val="pl-PL"/>
        </w:rPr>
        <w:t>:</w:t>
      </w:r>
    </w:p>
    <w:p w:rsidR="004D2070" w:rsidRPr="00C03220" w:rsidRDefault="004D2070" w:rsidP="004D2070">
      <w:pPr>
        <w:pStyle w:val="ECHRParaQuote"/>
        <w:rPr>
          <w:rFonts w:ascii="Times New Roman" w:hAnsi="Times New Roman" w:cs="Times New Roman"/>
          <w:lang w:val="pl-PL"/>
        </w:rPr>
      </w:pPr>
      <w:r w:rsidRPr="00C03220">
        <w:rPr>
          <w:rFonts w:ascii="Times New Roman" w:hAnsi="Times New Roman" w:cs="Times New Roman"/>
          <w:lang w:val="pl-PL"/>
        </w:rPr>
        <w:t>„II. 2.1. ... Nawet w przypadku opinii ekstremalnych, to nie treść takich opinii, lecz bezpośrednie i przewidywalne konsekwencje ich wyrażania mogą uzasadniać ograniczenie wolności wypowiedzi oraz stosowanie środków prawa cywilnego, a w niektórych przypadkach, prawa karnego.</w:t>
      </w:r>
    </w:p>
    <w:p w:rsidR="004D2070" w:rsidRPr="00C03220" w:rsidRDefault="001552E1" w:rsidP="004D2070">
      <w:pPr>
        <w:pStyle w:val="ECHRPara"/>
        <w:rPr>
          <w:rFonts w:ascii="Times New Roman" w:hAnsi="Times New Roman" w:cs="Times New Roman"/>
          <w:lang w:val="pl-PL"/>
        </w:rPr>
      </w:pPr>
      <w:r w:rsidRPr="00C03220">
        <w:rPr>
          <w:rFonts w:ascii="Times New Roman" w:hAnsi="Times New Roman" w:cs="Times New Roman"/>
          <w:lang w:val="pl-PL"/>
        </w:rPr>
        <w:fldChar w:fldCharType="begin"/>
      </w:r>
      <w:r w:rsidR="004D2070" w:rsidRPr="00C03220">
        <w:rPr>
          <w:rFonts w:ascii="Times New Roman" w:hAnsi="Times New Roman" w:cs="Times New Roman"/>
          <w:lang w:val="pl-PL"/>
        </w:rPr>
        <w:instrText xml:space="preserve"> SEQ level0 \*arabic </w:instrText>
      </w:r>
      <w:r w:rsidRPr="00C03220">
        <w:rPr>
          <w:rFonts w:ascii="Times New Roman" w:hAnsi="Times New Roman" w:cs="Times New Roman"/>
          <w:lang w:val="pl-PL"/>
        </w:rPr>
        <w:fldChar w:fldCharType="separate"/>
      </w:r>
      <w:r w:rsidR="004D2070" w:rsidRPr="00C03220">
        <w:rPr>
          <w:rFonts w:ascii="Times New Roman" w:hAnsi="Times New Roman" w:cs="Times New Roman"/>
          <w:noProof/>
          <w:lang w:val="pl-PL"/>
        </w:rPr>
        <w:t>25</w:t>
      </w:r>
      <w:r w:rsidRPr="00C03220">
        <w:rPr>
          <w:rFonts w:ascii="Times New Roman" w:hAnsi="Times New Roman" w:cs="Times New Roman"/>
          <w:lang w:val="pl-PL"/>
        </w:rPr>
        <w:fldChar w:fldCharType="end"/>
      </w:r>
      <w:r w:rsidR="004D2070" w:rsidRPr="00C03220">
        <w:rPr>
          <w:rFonts w:ascii="Times New Roman" w:hAnsi="Times New Roman" w:cs="Times New Roman"/>
          <w:lang w:val="pl-PL"/>
        </w:rPr>
        <w:t xml:space="preserve">.  Decyzja nr 95/2008 (VII. 3) AB Trybunału Konstytucyjnego </w:t>
      </w:r>
      <w:r w:rsidR="0067479D" w:rsidRPr="00C03220">
        <w:rPr>
          <w:rFonts w:ascii="Times New Roman" w:hAnsi="Times New Roman" w:cs="Times New Roman"/>
          <w:lang w:val="pl-PL"/>
        </w:rPr>
        <w:t>zawiera następujące ustępy</w:t>
      </w:r>
      <w:r w:rsidR="004D2070" w:rsidRPr="00C03220">
        <w:rPr>
          <w:rFonts w:ascii="Times New Roman" w:hAnsi="Times New Roman" w:cs="Times New Roman"/>
          <w:lang w:val="pl-PL"/>
        </w:rPr>
        <w:t>:</w:t>
      </w:r>
    </w:p>
    <w:p w:rsidR="004D2070" w:rsidRPr="00C03220" w:rsidRDefault="004D2070" w:rsidP="004D2070">
      <w:pPr>
        <w:pStyle w:val="ECHRParaQuote"/>
        <w:rPr>
          <w:rFonts w:ascii="Times New Roman" w:hAnsi="Times New Roman" w:cs="Times New Roman"/>
          <w:lang w:val="pl-PL"/>
        </w:rPr>
      </w:pPr>
      <w:r w:rsidRPr="00C03220">
        <w:rPr>
          <w:rFonts w:ascii="Times New Roman" w:hAnsi="Times New Roman" w:cs="Times New Roman"/>
          <w:lang w:val="pl-PL"/>
        </w:rPr>
        <w:t>„II. 3.4. ... Celem poprawki [kodeksu karnego] jest karanie mowy i gestów nienawiści nawet w sytuacji, gdy nie ma możliwości zidentyfikowania strony poszkodowanej</w:t>
      </w:r>
      <w:r w:rsidR="006B3BE3" w:rsidRPr="00C03220">
        <w:rPr>
          <w:rFonts w:ascii="Times New Roman" w:hAnsi="Times New Roman" w:cs="Times New Roman"/>
          <w:lang w:val="pl-PL"/>
        </w:rPr>
        <w:t>.</w:t>
      </w:r>
      <w:r w:rsidRPr="00C03220">
        <w:rPr>
          <w:rFonts w:ascii="Times New Roman" w:hAnsi="Times New Roman" w:cs="Times New Roman"/>
          <w:lang w:val="pl-PL"/>
        </w:rPr>
        <w:t xml:space="preserve"> Niemniej jednak w konsekwencji poprawka ta prowadzić będzie do karania nie tylko zachowania naruszającego honor i godnoś</w:t>
      </w:r>
      <w:r w:rsidR="006B3BE3" w:rsidRPr="00C03220">
        <w:rPr>
          <w:rFonts w:ascii="Times New Roman" w:hAnsi="Times New Roman" w:cs="Times New Roman"/>
          <w:lang w:val="pl-PL"/>
        </w:rPr>
        <w:t>ć</w:t>
      </w:r>
      <w:r w:rsidRPr="00C03220">
        <w:rPr>
          <w:rFonts w:ascii="Times New Roman" w:hAnsi="Times New Roman" w:cs="Times New Roman"/>
          <w:lang w:val="pl-PL"/>
        </w:rPr>
        <w:t xml:space="preserve"> konkretnych osób, lecz wszystkich form mowy nienawiści, w tym wypowiedzi o charakterze rasistowskim zawierających uogólnienia, to znaczy, że strony „narażone” lub strony, które uważają się za „narażone” nie będą zmuszane do uczestniczenia lub </w:t>
      </w:r>
      <w:r w:rsidR="00B46BDA" w:rsidRPr="00C03220">
        <w:rPr>
          <w:rFonts w:ascii="Times New Roman" w:hAnsi="Times New Roman" w:cs="Times New Roman"/>
          <w:lang w:val="pl-PL"/>
        </w:rPr>
        <w:t xml:space="preserve">przysłuchiwania się informacjom przekazywanym przez </w:t>
      </w:r>
      <w:r w:rsidRPr="00C03220">
        <w:rPr>
          <w:rFonts w:ascii="Times New Roman" w:hAnsi="Times New Roman" w:cs="Times New Roman"/>
          <w:lang w:val="pl-PL"/>
        </w:rPr>
        <w:t>osob</w:t>
      </w:r>
      <w:r w:rsidR="00B46BDA" w:rsidRPr="00C03220">
        <w:rPr>
          <w:rFonts w:ascii="Times New Roman" w:hAnsi="Times New Roman" w:cs="Times New Roman"/>
          <w:lang w:val="pl-PL"/>
        </w:rPr>
        <w:t xml:space="preserve">y </w:t>
      </w:r>
      <w:r w:rsidRPr="00C03220">
        <w:rPr>
          <w:rFonts w:ascii="Times New Roman" w:hAnsi="Times New Roman" w:cs="Times New Roman"/>
          <w:lang w:val="pl-PL"/>
        </w:rPr>
        <w:t>wyrażając</w:t>
      </w:r>
      <w:r w:rsidR="00B46BDA" w:rsidRPr="00C03220">
        <w:rPr>
          <w:rFonts w:ascii="Times New Roman" w:hAnsi="Times New Roman" w:cs="Times New Roman"/>
          <w:lang w:val="pl-PL"/>
        </w:rPr>
        <w:t>e</w:t>
      </w:r>
      <w:r w:rsidRPr="00C03220">
        <w:rPr>
          <w:rFonts w:ascii="Times New Roman" w:hAnsi="Times New Roman" w:cs="Times New Roman"/>
          <w:lang w:val="pl-PL"/>
        </w:rPr>
        <w:t xml:space="preserve"> nienawiść lub </w:t>
      </w:r>
      <w:r w:rsidR="00770150" w:rsidRPr="00C03220">
        <w:rPr>
          <w:rFonts w:ascii="Times New Roman" w:hAnsi="Times New Roman" w:cs="Times New Roman"/>
          <w:lang w:val="pl-PL"/>
        </w:rPr>
        <w:t xml:space="preserve">kontaktu w mową nienawiści </w:t>
      </w:r>
      <w:r w:rsidRPr="00C03220">
        <w:rPr>
          <w:rFonts w:ascii="Times New Roman" w:hAnsi="Times New Roman" w:cs="Times New Roman"/>
          <w:lang w:val="pl-PL"/>
        </w:rPr>
        <w:t>w niektórych środkach masowego przekazu. ... W demokracjach konstytucyjnych głosy ekstremistów nie są tłumione wyłącznie ze względu na ich treść.  W społeczeństwie demokratycznym takie uogólniające wypowiedzi o charakterze rasistowskim nie mogą zmienić faktu, iż z perspektywy Państwa każdy obywatel jest tak samo ważny i posiada te same podstawowe prawa.</w:t>
      </w:r>
    </w:p>
    <w:p w:rsidR="004D2070" w:rsidRPr="00C03220" w:rsidRDefault="004D2070" w:rsidP="004D2070">
      <w:pPr>
        <w:pStyle w:val="ECHRParaQuote"/>
        <w:rPr>
          <w:rFonts w:ascii="Times New Roman" w:hAnsi="Times New Roman" w:cs="Times New Roman"/>
          <w:lang w:val="pl-PL"/>
        </w:rPr>
      </w:pPr>
      <w:r w:rsidRPr="00C03220">
        <w:rPr>
          <w:rFonts w:ascii="Times New Roman" w:hAnsi="Times New Roman" w:cs="Times New Roman"/>
          <w:lang w:val="pl-PL"/>
        </w:rPr>
        <w:t>W swojej obecnej formie poprawka skutkowałaby także karaniem wypowiedzi zawierających tylko takie uogólnienia. Zgodnie z definicją czy</w:t>
      </w:r>
      <w:r w:rsidR="00B46BDA" w:rsidRPr="00C03220">
        <w:rPr>
          <w:rFonts w:ascii="Times New Roman" w:hAnsi="Times New Roman" w:cs="Times New Roman"/>
          <w:lang w:val="pl-PL"/>
        </w:rPr>
        <w:t xml:space="preserve">nu w tekście poprawki, udział </w:t>
      </w:r>
      <w:r w:rsidRPr="00C03220">
        <w:rPr>
          <w:rFonts w:ascii="Times New Roman" w:hAnsi="Times New Roman" w:cs="Times New Roman"/>
          <w:lang w:val="pl-PL"/>
        </w:rPr>
        <w:t>osób należących do atakowanej grupy</w:t>
      </w:r>
      <w:r w:rsidR="00B46BDA" w:rsidRPr="00C03220">
        <w:rPr>
          <w:rFonts w:ascii="Times New Roman" w:hAnsi="Times New Roman" w:cs="Times New Roman"/>
          <w:lang w:val="pl-PL"/>
        </w:rPr>
        <w:t xml:space="preserve"> w komunikacji</w:t>
      </w:r>
      <w:r w:rsidRPr="00C03220">
        <w:rPr>
          <w:rFonts w:ascii="Times New Roman" w:hAnsi="Times New Roman" w:cs="Times New Roman"/>
          <w:lang w:val="pl-PL"/>
        </w:rPr>
        <w:t>, to jest słuchanie lub innego rodzaju narażenie na oświadczenia rasistowskie, nie stanowi ustawowo wymaganego elementu przestępstwa.</w:t>
      </w:r>
    </w:p>
    <w:p w:rsidR="004D2070" w:rsidRPr="00C03220" w:rsidRDefault="004D2070" w:rsidP="004D2070">
      <w:pPr>
        <w:pStyle w:val="ECHRParaQuote"/>
        <w:rPr>
          <w:rFonts w:ascii="Times New Roman" w:hAnsi="Times New Roman" w:cs="Times New Roman"/>
          <w:lang w:val="pl-PL"/>
        </w:rPr>
      </w:pPr>
      <w:r w:rsidRPr="00C03220">
        <w:rPr>
          <w:rFonts w:ascii="Times New Roman" w:hAnsi="Times New Roman" w:cs="Times New Roman"/>
          <w:lang w:val="pl-PL"/>
        </w:rPr>
        <w:t>Jednakże są to właśnie przypadki, w których wyrażenie opinii może naruszyć nie tylko wrażliwość czy poczucie godności pewnych osób, lecz także ich prawa konstytucyjne. Przykładowo, jeżeli sprawca wyraża swoje ekstremistyczne poglądy polityczne w taki sposób, że osoba należąca do grupy pokrzywdzonych zmuszona jest wysłuchać takiej wypowiedzi w stanie zastraszenia i nie ma możliwości uniknąć słuchania takiej wypowiedzi [„</w:t>
      </w:r>
      <w:r w:rsidR="006B3BE3" w:rsidRPr="00C03220">
        <w:rPr>
          <w:rFonts w:ascii="Times New Roman" w:hAnsi="Times New Roman" w:cs="Times New Roman"/>
          <w:lang w:val="pl-PL"/>
        </w:rPr>
        <w:t>odbiorcy mimowolni</w:t>
      </w:r>
      <w:r w:rsidRPr="00C03220">
        <w:rPr>
          <w:rFonts w:ascii="Times New Roman" w:hAnsi="Times New Roman" w:cs="Times New Roman"/>
          <w:lang w:val="pl-PL"/>
        </w:rPr>
        <w:t xml:space="preserve">”]... W takiej sytuacji ochrony wymaga prawo tej osoby, by nie słuchać i </w:t>
      </w:r>
      <w:r w:rsidR="006B3BE3" w:rsidRPr="00C03220">
        <w:rPr>
          <w:rFonts w:ascii="Times New Roman" w:hAnsi="Times New Roman" w:cs="Times New Roman"/>
          <w:lang w:val="pl-PL"/>
        </w:rPr>
        <w:t>bądź nie powziąć wie</w:t>
      </w:r>
      <w:r w:rsidRPr="00C03220">
        <w:rPr>
          <w:rFonts w:ascii="Times New Roman" w:hAnsi="Times New Roman" w:cs="Times New Roman"/>
          <w:lang w:val="pl-PL"/>
        </w:rPr>
        <w:t>dzy o niesmacznych czy krzywdzących opiniach. ...</w:t>
      </w:r>
    </w:p>
    <w:p w:rsidR="004D2070" w:rsidRPr="00C03220" w:rsidRDefault="004D2070" w:rsidP="004D2070">
      <w:pPr>
        <w:pStyle w:val="ECHRParaQuote"/>
        <w:rPr>
          <w:rFonts w:ascii="Times New Roman" w:hAnsi="Times New Roman" w:cs="Times New Roman"/>
          <w:lang w:val="pl-PL"/>
        </w:rPr>
      </w:pPr>
      <w:r w:rsidRPr="00C03220">
        <w:rPr>
          <w:rFonts w:ascii="Times New Roman" w:hAnsi="Times New Roman" w:cs="Times New Roman"/>
          <w:lang w:val="pl-PL"/>
        </w:rPr>
        <w:t>Osoby należą nie tylko do społeczności obywateli, lecz także do węższych grup czy społeczności. Jednostka może, w tym także ze względu na fakt przynależności do takiej grupy, być narażona na szkodę tak poważną i tak intensywną, że w celu zadośćuczynienia uzasadnione może być nawet zastosowanie sankcji prawa karnego.</w:t>
      </w:r>
    </w:p>
    <w:p w:rsidR="004D2070" w:rsidRPr="00C03220" w:rsidRDefault="004D2070" w:rsidP="006B3BE3">
      <w:pPr>
        <w:pStyle w:val="ECHRHeading1"/>
        <w:numPr>
          <w:ilvl w:val="0"/>
          <w:numId w:val="0"/>
        </w:numPr>
        <w:rPr>
          <w:rFonts w:ascii="Times New Roman" w:hAnsi="Times New Roman" w:cs="Times New Roman"/>
          <w:b w:val="0"/>
          <w:caps/>
          <w:sz w:val="24"/>
          <w:szCs w:val="24"/>
          <w:lang w:val="pl-PL"/>
        </w:rPr>
      </w:pPr>
      <w:r w:rsidRPr="00C03220">
        <w:rPr>
          <w:rFonts w:ascii="Times New Roman" w:hAnsi="Times New Roman" w:cs="Times New Roman"/>
          <w:b w:val="0"/>
          <w:bCs w:val="0"/>
          <w:caps/>
          <w:sz w:val="24"/>
          <w:szCs w:val="24"/>
          <w:lang w:val="pl-PL"/>
        </w:rPr>
        <w:t>III.  OBSERWACJE MIĘDZYNARODOWYCH ORGANÓW MONITOROWANIA PRAW CZŁOWIEKA</w:t>
      </w:r>
    </w:p>
    <w:p w:rsidR="004D2070" w:rsidRPr="00C03220" w:rsidRDefault="001552E1" w:rsidP="004D2070">
      <w:pPr>
        <w:pStyle w:val="ECHRPara"/>
        <w:rPr>
          <w:rFonts w:ascii="Times New Roman" w:hAnsi="Times New Roman" w:cs="Times New Roman"/>
          <w:lang w:val="pl-PL"/>
        </w:rPr>
      </w:pPr>
      <w:r w:rsidRPr="00C03220">
        <w:rPr>
          <w:rFonts w:ascii="Times New Roman" w:hAnsi="Times New Roman" w:cs="Times New Roman"/>
          <w:lang w:val="pl-PL"/>
        </w:rPr>
        <w:lastRenderedPageBreak/>
        <w:fldChar w:fldCharType="begin"/>
      </w:r>
      <w:r w:rsidR="004D2070" w:rsidRPr="00C03220">
        <w:rPr>
          <w:rFonts w:ascii="Times New Roman" w:hAnsi="Times New Roman" w:cs="Times New Roman"/>
          <w:lang w:val="pl-PL"/>
        </w:rPr>
        <w:instrText xml:space="preserve"> SEQ level0 \*arabic </w:instrText>
      </w:r>
      <w:r w:rsidRPr="00C03220">
        <w:rPr>
          <w:rFonts w:ascii="Times New Roman" w:hAnsi="Times New Roman" w:cs="Times New Roman"/>
          <w:lang w:val="pl-PL"/>
        </w:rPr>
        <w:fldChar w:fldCharType="separate"/>
      </w:r>
      <w:r w:rsidR="004D2070" w:rsidRPr="00C03220">
        <w:rPr>
          <w:rFonts w:ascii="Times New Roman" w:hAnsi="Times New Roman" w:cs="Times New Roman"/>
          <w:noProof/>
          <w:lang w:val="pl-PL"/>
        </w:rPr>
        <w:t>26</w:t>
      </w:r>
      <w:r w:rsidRPr="00C03220">
        <w:rPr>
          <w:rFonts w:ascii="Times New Roman" w:hAnsi="Times New Roman" w:cs="Times New Roman"/>
          <w:lang w:val="pl-PL"/>
        </w:rPr>
        <w:fldChar w:fldCharType="end"/>
      </w:r>
      <w:r w:rsidR="004D2070" w:rsidRPr="00C03220">
        <w:rPr>
          <w:rFonts w:ascii="Times New Roman" w:hAnsi="Times New Roman" w:cs="Times New Roman"/>
          <w:lang w:val="pl-PL"/>
        </w:rPr>
        <w:t>.  Uwagi końcowe Komitetu Praw Człowieka Narodów Zjednoczonych dotyczące Węgier (przyjęte w Genewie, 11-29 października 2010 r.) zawierają poniższy ustęp:</w:t>
      </w:r>
    </w:p>
    <w:p w:rsidR="004D2070" w:rsidRPr="00C03220" w:rsidRDefault="004D2070" w:rsidP="004D2070">
      <w:pPr>
        <w:pStyle w:val="ECHRParaQuote"/>
        <w:rPr>
          <w:rFonts w:ascii="Times New Roman" w:hAnsi="Times New Roman" w:cs="Times New Roman"/>
          <w:lang w:val="pl-PL"/>
        </w:rPr>
      </w:pPr>
      <w:r w:rsidRPr="00C03220">
        <w:rPr>
          <w:rFonts w:ascii="Times New Roman" w:hAnsi="Times New Roman" w:cs="Times New Roman"/>
          <w:lang w:val="pl-PL"/>
        </w:rPr>
        <w:t xml:space="preserve">„18. Komitet zaniepokojony jest pełnymi zajadłości i </w:t>
      </w:r>
      <w:r w:rsidR="00B60CCC" w:rsidRPr="00C03220">
        <w:rPr>
          <w:rFonts w:ascii="Times New Roman" w:hAnsi="Times New Roman" w:cs="Times New Roman"/>
          <w:lang w:val="pl-PL"/>
        </w:rPr>
        <w:t>rozpowszechniającymi</w:t>
      </w:r>
      <w:r w:rsidRPr="00C03220">
        <w:rPr>
          <w:rFonts w:ascii="Times New Roman" w:hAnsi="Times New Roman" w:cs="Times New Roman"/>
          <w:lang w:val="pl-PL"/>
        </w:rPr>
        <w:t xml:space="preserve"> się deklaracjami ... członków rozwiązanej organizacji Magyar Gárda ... o charakterze antyromskim... Ponadto </w:t>
      </w:r>
      <w:r w:rsidR="006B3BE3" w:rsidRPr="00C03220">
        <w:rPr>
          <w:rFonts w:ascii="Times New Roman" w:hAnsi="Times New Roman" w:cs="Times New Roman"/>
          <w:lang w:val="pl-PL"/>
        </w:rPr>
        <w:t xml:space="preserve">niepokój </w:t>
      </w:r>
      <w:r w:rsidRPr="00C03220">
        <w:rPr>
          <w:rFonts w:ascii="Times New Roman" w:hAnsi="Times New Roman" w:cs="Times New Roman"/>
          <w:lang w:val="pl-PL"/>
        </w:rPr>
        <w:t>Komitet</w:t>
      </w:r>
      <w:r w:rsidR="006B3BE3" w:rsidRPr="00C03220">
        <w:rPr>
          <w:rFonts w:ascii="Times New Roman" w:hAnsi="Times New Roman" w:cs="Times New Roman"/>
          <w:lang w:val="pl-PL"/>
        </w:rPr>
        <w:t xml:space="preserve">u wzbudzają </w:t>
      </w:r>
      <w:r w:rsidRPr="00C03220">
        <w:rPr>
          <w:rFonts w:ascii="Times New Roman" w:hAnsi="Times New Roman" w:cs="Times New Roman"/>
          <w:lang w:val="pl-PL"/>
        </w:rPr>
        <w:t>informacj</w:t>
      </w:r>
      <w:r w:rsidR="006B3BE3" w:rsidRPr="00C03220">
        <w:rPr>
          <w:rFonts w:ascii="Times New Roman" w:hAnsi="Times New Roman" w:cs="Times New Roman"/>
          <w:lang w:val="pl-PL"/>
        </w:rPr>
        <w:t xml:space="preserve">e o </w:t>
      </w:r>
      <w:r w:rsidRPr="00C03220">
        <w:rPr>
          <w:rFonts w:ascii="Times New Roman" w:hAnsi="Times New Roman" w:cs="Times New Roman"/>
          <w:lang w:val="pl-PL"/>
        </w:rPr>
        <w:t xml:space="preserve">narastaniu w kraju członkowskim nastrojów antysemickich. Komitet wyraża </w:t>
      </w:r>
      <w:r w:rsidR="00770150" w:rsidRPr="00C03220">
        <w:rPr>
          <w:rFonts w:ascii="Times New Roman" w:hAnsi="Times New Roman" w:cs="Times New Roman"/>
          <w:lang w:val="pl-PL"/>
        </w:rPr>
        <w:t>obawy w</w:t>
      </w:r>
      <w:r w:rsidRPr="00C03220">
        <w:rPr>
          <w:rFonts w:ascii="Times New Roman" w:hAnsi="Times New Roman" w:cs="Times New Roman"/>
          <w:lang w:val="pl-PL"/>
        </w:rPr>
        <w:t xml:space="preserve"> związku z </w:t>
      </w:r>
      <w:r w:rsidR="00B60CCC" w:rsidRPr="00C03220">
        <w:rPr>
          <w:rFonts w:ascii="Times New Roman" w:hAnsi="Times New Roman" w:cs="Times New Roman"/>
          <w:lang w:val="pl-PL"/>
        </w:rPr>
        <w:t>zawężającą</w:t>
      </w:r>
      <w:r w:rsidRPr="00C03220">
        <w:rPr>
          <w:rFonts w:ascii="Times New Roman" w:hAnsi="Times New Roman" w:cs="Times New Roman"/>
          <w:lang w:val="pl-PL"/>
        </w:rPr>
        <w:t xml:space="preserve"> interpretacją przez Trybunał Konstytucyjny przepisu art. 269 kodeksu karnego w sprawie </w:t>
      </w:r>
      <w:r w:rsidR="00B60CCC" w:rsidRPr="00C03220">
        <w:rPr>
          <w:rFonts w:ascii="Times New Roman" w:hAnsi="Times New Roman" w:cs="Times New Roman"/>
          <w:lang w:val="pl-PL"/>
        </w:rPr>
        <w:t>podżegania</w:t>
      </w:r>
      <w:r w:rsidRPr="00C03220">
        <w:rPr>
          <w:rFonts w:ascii="Times New Roman" w:hAnsi="Times New Roman" w:cs="Times New Roman"/>
          <w:lang w:val="pl-PL"/>
        </w:rPr>
        <w:t xml:space="preserve"> do przemocy, która może być niezgodna z obowiązkami Państwa Strony wynikającymi z art. 20.”</w:t>
      </w:r>
    </w:p>
    <w:p w:rsidR="004D2070" w:rsidRPr="00C03220" w:rsidRDefault="001552E1" w:rsidP="004D2070">
      <w:pPr>
        <w:pStyle w:val="ECHRPara"/>
        <w:rPr>
          <w:rFonts w:ascii="Times New Roman" w:hAnsi="Times New Roman" w:cs="Times New Roman"/>
          <w:lang w:val="pl-PL"/>
        </w:rPr>
      </w:pPr>
      <w:r w:rsidRPr="00C03220">
        <w:rPr>
          <w:rFonts w:ascii="Times New Roman" w:hAnsi="Times New Roman" w:cs="Times New Roman"/>
          <w:lang w:val="pl-PL"/>
        </w:rPr>
        <w:fldChar w:fldCharType="begin"/>
      </w:r>
      <w:r w:rsidR="004D2070" w:rsidRPr="00C03220">
        <w:rPr>
          <w:rFonts w:ascii="Times New Roman" w:hAnsi="Times New Roman" w:cs="Times New Roman"/>
          <w:lang w:val="pl-PL"/>
        </w:rPr>
        <w:instrText xml:space="preserve"> SEQ level0 \*arabic </w:instrText>
      </w:r>
      <w:r w:rsidRPr="00C03220">
        <w:rPr>
          <w:rFonts w:ascii="Times New Roman" w:hAnsi="Times New Roman" w:cs="Times New Roman"/>
          <w:lang w:val="pl-PL"/>
        </w:rPr>
        <w:fldChar w:fldCharType="separate"/>
      </w:r>
      <w:r w:rsidR="004D2070" w:rsidRPr="00C03220">
        <w:rPr>
          <w:rFonts w:ascii="Times New Roman" w:hAnsi="Times New Roman" w:cs="Times New Roman"/>
          <w:noProof/>
          <w:lang w:val="pl-PL"/>
        </w:rPr>
        <w:t>27</w:t>
      </w:r>
      <w:r w:rsidRPr="00C03220">
        <w:rPr>
          <w:rFonts w:ascii="Times New Roman" w:hAnsi="Times New Roman" w:cs="Times New Roman"/>
          <w:lang w:val="pl-PL"/>
        </w:rPr>
        <w:fldChar w:fldCharType="end"/>
      </w:r>
      <w:r w:rsidR="004D2070" w:rsidRPr="00C03220">
        <w:rPr>
          <w:rFonts w:ascii="Times New Roman" w:hAnsi="Times New Roman" w:cs="Times New Roman"/>
          <w:lang w:val="pl-PL"/>
        </w:rPr>
        <w:t>.  Raport Europejskiej Komisji przeciwko Rasizmowi i Nietolerancji (ECRI) dotyczący Węgier (czwarty cykl monitorowania) przyjęty w dniu 20 czerwca 2008 r. zawiera następujące stwierdzenia:</w:t>
      </w:r>
    </w:p>
    <w:p w:rsidR="004D2070" w:rsidRPr="00C03220" w:rsidRDefault="004D2070" w:rsidP="004D2070">
      <w:pPr>
        <w:pStyle w:val="ECHRParaQuote"/>
        <w:rPr>
          <w:rFonts w:ascii="Times New Roman" w:hAnsi="Times New Roman" w:cs="Times New Roman"/>
          <w:lang w:val="pl-PL"/>
        </w:rPr>
      </w:pPr>
      <w:r w:rsidRPr="00C03220">
        <w:rPr>
          <w:rFonts w:ascii="Times New Roman" w:hAnsi="Times New Roman" w:cs="Times New Roman"/>
          <w:lang w:val="pl-PL"/>
        </w:rPr>
        <w:t>„61. ...  Na Węgrzech obserwujemy niepokojące nasilenie głosów rasistowskich i nietolerancji w dyskursie publicznym. W szczególności konsekwentnie wskazuje się na założenie i rozwój skrajnie prawicowej Gwardii Węgierskiej (Magyar Garda) ... jako powód do głębokiego zaniepokojenia. Od czasu założenia w sierpniu 2007 r. oraz publicznego zaprzysiężenia kilkuset nowych członków w październiku 2007 r. Gwardia Węgierska zorganizowała liczne wiece publiczne na terytorium całego kraju, w tym na terenie miejscowości o dużej liczbie mieszkańców pochodzenia romskiego; mimo pozornie nieszkodliwych zapisów w statucie, jednym z kluczowych komunikatów przekazywanych przez grupę jest obrona etnicznych Węgrów przed tzw. „przestępczością cygańską</w:t>
      </w:r>
      <w:r w:rsidRPr="00C03220">
        <w:rPr>
          <w:rStyle w:val="Odwoanieprzypisudolnego"/>
          <w:rFonts w:ascii="Times New Roman" w:hAnsi="Times New Roman" w:cs="Times New Roman"/>
          <w:lang w:val="pl-PL"/>
        </w:rPr>
        <w:footnoteReference w:id="1"/>
      </w:r>
      <w:r w:rsidRPr="00C03220">
        <w:rPr>
          <w:rFonts w:ascii="Times New Roman" w:hAnsi="Times New Roman" w:cs="Times New Roman"/>
          <w:lang w:val="pl-PL"/>
        </w:rPr>
        <w:t>”. Członkowie Gwardii</w:t>
      </w:r>
      <w:r w:rsidR="006B3BE3" w:rsidRPr="00C03220">
        <w:rPr>
          <w:rFonts w:ascii="Times New Roman" w:hAnsi="Times New Roman" w:cs="Times New Roman"/>
          <w:lang w:val="pl-PL"/>
        </w:rPr>
        <w:t xml:space="preserve"> Węgierskiej maszerują w takich samych,</w:t>
      </w:r>
      <w:r w:rsidRPr="00C03220">
        <w:rPr>
          <w:rFonts w:ascii="Times New Roman" w:hAnsi="Times New Roman" w:cs="Times New Roman"/>
          <w:lang w:val="pl-PL"/>
        </w:rPr>
        <w:t xml:space="preserve"> </w:t>
      </w:r>
      <w:r w:rsidR="00B60CCC" w:rsidRPr="00C03220">
        <w:rPr>
          <w:rFonts w:ascii="Times New Roman" w:hAnsi="Times New Roman" w:cs="Times New Roman"/>
          <w:lang w:val="pl-PL"/>
        </w:rPr>
        <w:t>przypominających</w:t>
      </w:r>
      <w:r w:rsidRPr="00C03220">
        <w:rPr>
          <w:rFonts w:ascii="Times New Roman" w:hAnsi="Times New Roman" w:cs="Times New Roman"/>
          <w:lang w:val="pl-PL"/>
        </w:rPr>
        <w:t xml:space="preserve"> wojskowe czarnych butach i mundurach, niosąc insygnia i flagi przypominające flagę Partii Strzałokrzyżowców, organizacji jawnie nazistowskiej, która przez krótki czas, w okresie II wojny światowej, sprawowała na Węgrzech władzę. </w:t>
      </w:r>
      <w:r w:rsidR="002E2909" w:rsidRPr="00C03220">
        <w:rPr>
          <w:rFonts w:ascii="Times New Roman" w:hAnsi="Times New Roman" w:cs="Times New Roman"/>
          <w:lang w:val="pl-PL"/>
        </w:rPr>
        <w:t xml:space="preserve">W tym okresie </w:t>
      </w:r>
      <w:r w:rsidRPr="00C03220">
        <w:rPr>
          <w:rFonts w:ascii="Times New Roman" w:hAnsi="Times New Roman" w:cs="Times New Roman"/>
          <w:lang w:val="pl-PL"/>
        </w:rPr>
        <w:t>zabito lub deportowano dziesiątki tysięcy Żydów i Romów.</w:t>
      </w:r>
    </w:p>
    <w:p w:rsidR="004D2070" w:rsidRPr="00C03220" w:rsidRDefault="004D2070" w:rsidP="004D2070">
      <w:pPr>
        <w:pStyle w:val="ECHRParaQuote"/>
        <w:rPr>
          <w:rFonts w:ascii="Times New Roman" w:hAnsi="Times New Roman" w:cs="Times New Roman"/>
          <w:lang w:val="pl-PL"/>
        </w:rPr>
      </w:pPr>
      <w:r w:rsidRPr="00C03220">
        <w:rPr>
          <w:rFonts w:ascii="Times New Roman" w:hAnsi="Times New Roman" w:cs="Times New Roman"/>
          <w:lang w:val="pl-PL"/>
        </w:rPr>
        <w:t xml:space="preserve">73. ... Grupy takie jak Gwardia Węgierska również otwarcie </w:t>
      </w:r>
      <w:r w:rsidR="00B60CCC" w:rsidRPr="00C03220">
        <w:rPr>
          <w:rFonts w:ascii="Times New Roman" w:hAnsi="Times New Roman" w:cs="Times New Roman"/>
          <w:lang w:val="pl-PL"/>
        </w:rPr>
        <w:t>wyrażają</w:t>
      </w:r>
      <w:r w:rsidRPr="00C03220">
        <w:rPr>
          <w:rFonts w:ascii="Times New Roman" w:hAnsi="Times New Roman" w:cs="Times New Roman"/>
          <w:lang w:val="pl-PL"/>
        </w:rPr>
        <w:t xml:space="preserve"> poglądy antysemickie, ... obecnie na Węgrzech obserwuje się na</w:t>
      </w:r>
      <w:r w:rsidR="00462C6A" w:rsidRPr="00C03220">
        <w:rPr>
          <w:rFonts w:ascii="Times New Roman" w:hAnsi="Times New Roman" w:cs="Times New Roman"/>
          <w:lang w:val="pl-PL"/>
        </w:rPr>
        <w:t xml:space="preserve">silanie </w:t>
      </w:r>
      <w:r w:rsidRPr="00C03220">
        <w:rPr>
          <w:rFonts w:ascii="Times New Roman" w:hAnsi="Times New Roman" w:cs="Times New Roman"/>
          <w:lang w:val="pl-PL"/>
        </w:rPr>
        <w:t>prezent</w:t>
      </w:r>
      <w:r w:rsidR="00462C6A" w:rsidRPr="00C03220">
        <w:rPr>
          <w:rFonts w:ascii="Times New Roman" w:hAnsi="Times New Roman" w:cs="Times New Roman"/>
          <w:lang w:val="pl-PL"/>
        </w:rPr>
        <w:t>acji</w:t>
      </w:r>
      <w:r w:rsidRPr="00C03220">
        <w:rPr>
          <w:rFonts w:ascii="Times New Roman" w:hAnsi="Times New Roman" w:cs="Times New Roman"/>
          <w:lang w:val="pl-PL"/>
        </w:rPr>
        <w:t xml:space="preserve"> poglądów antysemickich.”</w:t>
      </w:r>
    </w:p>
    <w:p w:rsidR="004D2070" w:rsidRPr="00C03220" w:rsidRDefault="001552E1" w:rsidP="004D2070">
      <w:pPr>
        <w:pStyle w:val="ECHRPara"/>
        <w:rPr>
          <w:rFonts w:ascii="Times New Roman" w:hAnsi="Times New Roman" w:cs="Times New Roman"/>
          <w:lang w:val="pl-PL"/>
        </w:rPr>
      </w:pPr>
      <w:r w:rsidRPr="00C03220">
        <w:rPr>
          <w:rFonts w:ascii="Times New Roman" w:hAnsi="Times New Roman" w:cs="Times New Roman"/>
          <w:lang w:val="pl-PL"/>
        </w:rPr>
        <w:fldChar w:fldCharType="begin"/>
      </w:r>
      <w:r w:rsidR="004D2070" w:rsidRPr="00C03220">
        <w:rPr>
          <w:rFonts w:ascii="Times New Roman" w:hAnsi="Times New Roman" w:cs="Times New Roman"/>
          <w:lang w:val="pl-PL"/>
        </w:rPr>
        <w:instrText xml:space="preserve"> SEQ level0 \*arabic </w:instrText>
      </w:r>
      <w:r w:rsidRPr="00C03220">
        <w:rPr>
          <w:rFonts w:ascii="Times New Roman" w:hAnsi="Times New Roman" w:cs="Times New Roman"/>
          <w:lang w:val="pl-PL"/>
        </w:rPr>
        <w:fldChar w:fldCharType="separate"/>
      </w:r>
      <w:r w:rsidR="004D2070" w:rsidRPr="00C03220">
        <w:rPr>
          <w:rFonts w:ascii="Times New Roman" w:hAnsi="Times New Roman" w:cs="Times New Roman"/>
          <w:noProof/>
          <w:lang w:val="pl-PL"/>
        </w:rPr>
        <w:t>28</w:t>
      </w:r>
      <w:r w:rsidRPr="00C03220">
        <w:rPr>
          <w:rFonts w:ascii="Times New Roman" w:hAnsi="Times New Roman" w:cs="Times New Roman"/>
          <w:lang w:val="pl-PL"/>
        </w:rPr>
        <w:fldChar w:fldCharType="end"/>
      </w:r>
      <w:r w:rsidR="004D2070" w:rsidRPr="00C03220">
        <w:rPr>
          <w:rFonts w:ascii="Times New Roman" w:hAnsi="Times New Roman" w:cs="Times New Roman"/>
          <w:lang w:val="pl-PL"/>
        </w:rPr>
        <w:t>.  Trzecia Opinia w sprawie Węgier Komitetu Doradczego ds. konwencji ramowej w sprawie ochrony praw mniejszości narodowych przyjęta w dniu 18 marca 2010 r., zawiera następujący zapis:</w:t>
      </w:r>
    </w:p>
    <w:p w:rsidR="004D2070" w:rsidRPr="00C03220" w:rsidRDefault="004D2070" w:rsidP="004D2070">
      <w:pPr>
        <w:pStyle w:val="ECHRParaQuote"/>
        <w:rPr>
          <w:rFonts w:ascii="Times New Roman" w:hAnsi="Times New Roman" w:cs="Times New Roman"/>
          <w:lang w:val="pl-PL"/>
        </w:rPr>
      </w:pPr>
      <w:r w:rsidRPr="00C03220">
        <w:rPr>
          <w:rFonts w:ascii="Times New Roman" w:hAnsi="Times New Roman" w:cs="Times New Roman"/>
          <w:lang w:val="pl-PL"/>
        </w:rPr>
        <w:t>„75. Od czasu założenia w 2007 r. Gwardia Węgierska zorganizowała wiele public</w:t>
      </w:r>
      <w:r w:rsidR="00B60CCC" w:rsidRPr="00C03220">
        <w:rPr>
          <w:rFonts w:ascii="Times New Roman" w:hAnsi="Times New Roman" w:cs="Times New Roman"/>
          <w:lang w:val="pl-PL"/>
        </w:rPr>
        <w:t>znych wieców</w:t>
      </w:r>
      <w:r w:rsidRPr="00C03220">
        <w:rPr>
          <w:rFonts w:ascii="Times New Roman" w:hAnsi="Times New Roman" w:cs="Times New Roman"/>
          <w:lang w:val="pl-PL"/>
        </w:rPr>
        <w:t xml:space="preserve"> na</w:t>
      </w:r>
      <w:r w:rsidR="00B60CCC" w:rsidRPr="00C03220">
        <w:rPr>
          <w:rFonts w:ascii="Times New Roman" w:hAnsi="Times New Roman" w:cs="Times New Roman"/>
          <w:lang w:val="pl-PL"/>
        </w:rPr>
        <w:t xml:space="preserve"> obszarze całego kraju, w tym na obszarze </w:t>
      </w:r>
      <w:r w:rsidRPr="00C03220">
        <w:rPr>
          <w:rFonts w:ascii="Times New Roman" w:hAnsi="Times New Roman" w:cs="Times New Roman"/>
          <w:lang w:val="pl-PL"/>
        </w:rPr>
        <w:t xml:space="preserve">miejscowości o dużej liczbie mieszkańców pochodzenia romskiego, podczas których członkowie Gwardii Węgierskiej maszerują w </w:t>
      </w:r>
      <w:r w:rsidR="006B3BE3" w:rsidRPr="00C03220">
        <w:rPr>
          <w:rFonts w:ascii="Times New Roman" w:hAnsi="Times New Roman" w:cs="Times New Roman"/>
          <w:lang w:val="pl-PL"/>
        </w:rPr>
        <w:t>takich samych</w:t>
      </w:r>
      <w:r w:rsidRPr="00C03220">
        <w:rPr>
          <w:rFonts w:ascii="Times New Roman" w:hAnsi="Times New Roman" w:cs="Times New Roman"/>
          <w:lang w:val="pl-PL"/>
        </w:rPr>
        <w:t xml:space="preserve">, </w:t>
      </w:r>
      <w:r w:rsidR="00B60CCC" w:rsidRPr="00C03220">
        <w:rPr>
          <w:rFonts w:ascii="Times New Roman" w:hAnsi="Times New Roman" w:cs="Times New Roman"/>
          <w:lang w:val="pl-PL"/>
        </w:rPr>
        <w:t>przypominających</w:t>
      </w:r>
      <w:r w:rsidRPr="00C03220">
        <w:rPr>
          <w:rFonts w:ascii="Times New Roman" w:hAnsi="Times New Roman" w:cs="Times New Roman"/>
          <w:lang w:val="pl-PL"/>
        </w:rPr>
        <w:t xml:space="preserve"> wojskowe czarnych butach i mundurach, niosąc insygnia i flagi nazistowskie. ... Komitet Doradczy wyraża zaniepokojenie takim </w:t>
      </w:r>
      <w:r w:rsidR="00B60CCC" w:rsidRPr="00C03220">
        <w:rPr>
          <w:rFonts w:ascii="Times New Roman" w:hAnsi="Times New Roman" w:cs="Times New Roman"/>
          <w:lang w:val="pl-PL"/>
        </w:rPr>
        <w:t>zastraszaniem</w:t>
      </w:r>
      <w:r w:rsidRPr="00C03220">
        <w:rPr>
          <w:rFonts w:ascii="Times New Roman" w:hAnsi="Times New Roman" w:cs="Times New Roman"/>
          <w:lang w:val="pl-PL"/>
        </w:rPr>
        <w:t>.”</w:t>
      </w:r>
    </w:p>
    <w:p w:rsidR="00462C6A" w:rsidRPr="00C03220" w:rsidRDefault="00462C6A" w:rsidP="00462C6A">
      <w:pPr>
        <w:pStyle w:val="ECHRHeading1"/>
        <w:numPr>
          <w:ilvl w:val="0"/>
          <w:numId w:val="0"/>
        </w:numPr>
        <w:rPr>
          <w:rFonts w:ascii="Times New Roman" w:hAnsi="Times New Roman" w:cs="Times New Roman"/>
          <w:b w:val="0"/>
          <w:bCs w:val="0"/>
          <w:caps/>
          <w:lang w:val="pl-PL"/>
        </w:rPr>
      </w:pPr>
    </w:p>
    <w:p w:rsidR="004D2070" w:rsidRPr="00C03220" w:rsidRDefault="004D2070" w:rsidP="00462C6A">
      <w:pPr>
        <w:pStyle w:val="ECHRHeading1"/>
        <w:numPr>
          <w:ilvl w:val="0"/>
          <w:numId w:val="0"/>
        </w:numPr>
        <w:rPr>
          <w:rFonts w:ascii="Times New Roman" w:hAnsi="Times New Roman" w:cs="Times New Roman"/>
          <w:b w:val="0"/>
          <w:caps/>
          <w:sz w:val="24"/>
          <w:szCs w:val="24"/>
          <w:lang w:val="pl-PL"/>
        </w:rPr>
      </w:pPr>
      <w:r w:rsidRPr="00C03220">
        <w:rPr>
          <w:rFonts w:ascii="Times New Roman" w:hAnsi="Times New Roman" w:cs="Times New Roman"/>
          <w:b w:val="0"/>
          <w:bCs w:val="0"/>
          <w:caps/>
          <w:sz w:val="24"/>
          <w:szCs w:val="24"/>
          <w:lang w:val="pl-PL"/>
        </w:rPr>
        <w:t>IV.  PRAWO PORÓWNAWCZE</w:t>
      </w:r>
    </w:p>
    <w:p w:rsidR="00462C6A" w:rsidRPr="00C03220" w:rsidRDefault="00462C6A" w:rsidP="004D2070">
      <w:pPr>
        <w:pStyle w:val="ECHRPara"/>
        <w:rPr>
          <w:rFonts w:ascii="Times New Roman" w:hAnsi="Times New Roman" w:cs="Times New Roman"/>
          <w:lang w:val="pl-PL"/>
        </w:rPr>
      </w:pPr>
    </w:p>
    <w:p w:rsidR="004D2070" w:rsidRPr="00C03220" w:rsidRDefault="001552E1" w:rsidP="004D2070">
      <w:pPr>
        <w:pStyle w:val="ECHRPara"/>
        <w:rPr>
          <w:rFonts w:ascii="Times New Roman" w:hAnsi="Times New Roman" w:cs="Times New Roman"/>
          <w:lang w:val="pl-PL"/>
        </w:rPr>
      </w:pPr>
      <w:r w:rsidRPr="00C03220">
        <w:rPr>
          <w:rFonts w:ascii="Times New Roman" w:hAnsi="Times New Roman" w:cs="Times New Roman"/>
          <w:lang w:val="pl-PL"/>
        </w:rPr>
        <w:lastRenderedPageBreak/>
        <w:fldChar w:fldCharType="begin"/>
      </w:r>
      <w:r w:rsidR="004D2070" w:rsidRPr="00C03220">
        <w:rPr>
          <w:rFonts w:ascii="Times New Roman" w:hAnsi="Times New Roman" w:cs="Times New Roman"/>
          <w:lang w:val="pl-PL"/>
        </w:rPr>
        <w:instrText xml:space="preserve"> SEQ level0 \*arabic </w:instrText>
      </w:r>
      <w:r w:rsidRPr="00C03220">
        <w:rPr>
          <w:rFonts w:ascii="Times New Roman" w:hAnsi="Times New Roman" w:cs="Times New Roman"/>
          <w:lang w:val="pl-PL"/>
        </w:rPr>
        <w:fldChar w:fldCharType="separate"/>
      </w:r>
      <w:r w:rsidR="004D2070" w:rsidRPr="00C03220">
        <w:rPr>
          <w:rFonts w:ascii="Times New Roman" w:hAnsi="Times New Roman" w:cs="Times New Roman"/>
          <w:noProof/>
          <w:lang w:val="pl-PL"/>
        </w:rPr>
        <w:t>29</w:t>
      </w:r>
      <w:r w:rsidRPr="00C03220">
        <w:rPr>
          <w:rFonts w:ascii="Times New Roman" w:hAnsi="Times New Roman" w:cs="Times New Roman"/>
          <w:lang w:val="pl-PL"/>
        </w:rPr>
        <w:fldChar w:fldCharType="end"/>
      </w:r>
      <w:r w:rsidR="004D2070" w:rsidRPr="00C03220">
        <w:rPr>
          <w:rFonts w:ascii="Times New Roman" w:hAnsi="Times New Roman" w:cs="Times New Roman"/>
          <w:lang w:val="pl-PL"/>
        </w:rPr>
        <w:t xml:space="preserve">.   Niemiecki Federalny Trybunał Konstytucyjny w wyroku w sprawie „Stoppt den Synagogenbau!” (BVerfGE, 111, 147 – </w:t>
      </w:r>
      <w:r w:rsidR="004D2070" w:rsidRPr="00C03220">
        <w:rPr>
          <w:rFonts w:ascii="Times New Roman" w:hAnsi="Times New Roman" w:cs="Times New Roman"/>
          <w:i/>
          <w:lang w:val="pl-PL"/>
        </w:rPr>
        <w:t>Inhaltsbezogenes Versammlungsverbot</w:t>
      </w:r>
      <w:r w:rsidR="004D2070" w:rsidRPr="00C03220">
        <w:rPr>
          <w:rFonts w:ascii="Times New Roman" w:hAnsi="Times New Roman" w:cs="Times New Roman"/>
          <w:lang w:val="pl-PL"/>
        </w:rPr>
        <w:t>) (23.06.2004</w:t>
      </w:r>
      <w:r w:rsidR="00FF3E9E" w:rsidRPr="00C03220">
        <w:rPr>
          <w:rFonts w:ascii="Times New Roman" w:hAnsi="Times New Roman" w:cs="Times New Roman"/>
          <w:lang w:val="pl-PL"/>
        </w:rPr>
        <w:t xml:space="preserve"> r.</w:t>
      </w:r>
      <w:r w:rsidR="004D2070" w:rsidRPr="00C03220">
        <w:rPr>
          <w:rFonts w:ascii="Times New Roman" w:hAnsi="Times New Roman" w:cs="Times New Roman"/>
          <w:lang w:val="pl-PL"/>
        </w:rPr>
        <w:t>)</w:t>
      </w:r>
      <w:r w:rsidR="00FF3E9E" w:rsidRPr="00C03220">
        <w:rPr>
          <w:rFonts w:ascii="Times New Roman" w:hAnsi="Times New Roman" w:cs="Times New Roman"/>
          <w:lang w:val="pl-PL"/>
        </w:rPr>
        <w:t xml:space="preserve"> uznał</w:t>
      </w:r>
      <w:r w:rsidR="004D2070" w:rsidRPr="00C03220">
        <w:rPr>
          <w:rFonts w:ascii="Times New Roman" w:hAnsi="Times New Roman" w:cs="Times New Roman"/>
          <w:lang w:val="pl-PL"/>
        </w:rPr>
        <w:t xml:space="preserve">, że w celu ochrony przez zagrożeniem porządku publicznego możliwe było ograniczenie wolności stowarzyszania się, pod warunkiem, że niepokój budziły </w:t>
      </w:r>
      <w:r w:rsidR="004D2070" w:rsidRPr="00C03220">
        <w:rPr>
          <w:rFonts w:ascii="Times New Roman" w:hAnsi="Times New Roman" w:cs="Times New Roman"/>
          <w:i/>
          <w:lang w:val="pl-PL"/>
        </w:rPr>
        <w:t xml:space="preserve">Art und Weise, </w:t>
      </w:r>
      <w:r w:rsidR="004D2070" w:rsidRPr="00C03220">
        <w:rPr>
          <w:rFonts w:ascii="Times New Roman" w:hAnsi="Times New Roman" w:cs="Times New Roman"/>
          <w:lang w:val="pl-PL"/>
        </w:rPr>
        <w:t xml:space="preserve">to jest sposób lub środki przeprowadzania zgromadzenia, nie zaś jego treść. Zatem dopuszczalnym było ograniczenie „agresywnego i prowokującego zachowania uczestników, które zastrasza obywateli i poprzez które demonstranci wywołują klimat </w:t>
      </w:r>
      <w:r w:rsidR="002E2909" w:rsidRPr="00C03220">
        <w:rPr>
          <w:rFonts w:ascii="Times New Roman" w:hAnsi="Times New Roman" w:cs="Times New Roman"/>
          <w:lang w:val="pl-PL"/>
        </w:rPr>
        <w:t xml:space="preserve">demonstracji siły </w:t>
      </w:r>
      <w:r w:rsidR="004D2070" w:rsidRPr="00C03220">
        <w:rPr>
          <w:rFonts w:ascii="Times New Roman" w:hAnsi="Times New Roman" w:cs="Times New Roman"/>
          <w:lang w:val="pl-PL"/>
        </w:rPr>
        <w:t xml:space="preserve">i potencjalnej gotowości do użycia przemocy.” W odniesieniu do marszu skrajnej prawicy, który odbył się w Dniu Pamięci o Holokauście, niemiecki Federalny Trybunał Konstytucyjny uznał ponadto, że „sposób lub środki [przeprowadzenia zgromadzenia] [mogą] prowadzić do prowokacji, która w </w:t>
      </w:r>
      <w:r w:rsidR="00FF3E9E" w:rsidRPr="00C03220">
        <w:rPr>
          <w:rFonts w:ascii="Times New Roman" w:hAnsi="Times New Roman" w:cs="Times New Roman"/>
          <w:lang w:val="pl-PL"/>
        </w:rPr>
        <w:t>istotn</w:t>
      </w:r>
      <w:r w:rsidR="004D2070" w:rsidRPr="00C03220">
        <w:rPr>
          <w:rFonts w:ascii="Times New Roman" w:hAnsi="Times New Roman" w:cs="Times New Roman"/>
          <w:lang w:val="pl-PL"/>
        </w:rPr>
        <w:t>y sposób narusza wrażliwość moralną (</w:t>
      </w:r>
      <w:r w:rsidR="004D2070" w:rsidRPr="00C03220">
        <w:rPr>
          <w:rFonts w:ascii="Times New Roman" w:hAnsi="Times New Roman" w:cs="Times New Roman"/>
          <w:i/>
          <w:lang w:val="pl-PL"/>
        </w:rPr>
        <w:t>sittliches Empfinden</w:t>
      </w:r>
      <w:r w:rsidR="004D2070" w:rsidRPr="00C03220">
        <w:rPr>
          <w:rFonts w:ascii="Times New Roman" w:hAnsi="Times New Roman" w:cs="Times New Roman"/>
          <w:lang w:val="pl-PL"/>
        </w:rPr>
        <w:t>)”. W związku ze sposobem przeprowadzenia zgromadzenia Federalny Trybunał Konstytucyjny zwrócił również uwagę na prowokujące zachowanie demonstrantów oraz zaznaczył, że to samo ma zastosowanie „w przypadku, gdy pochód, ze względu na swój całościowy charakter (</w:t>
      </w:r>
      <w:r w:rsidR="004D2070" w:rsidRPr="00C03220">
        <w:rPr>
          <w:rFonts w:ascii="Times New Roman" w:hAnsi="Times New Roman" w:cs="Times New Roman"/>
          <w:i/>
          <w:lang w:val="pl-PL"/>
        </w:rPr>
        <w:t>durch sein Gesamtgepräge</w:t>
      </w:r>
      <w:r w:rsidR="004D2070" w:rsidRPr="00C03220">
        <w:rPr>
          <w:rFonts w:ascii="Times New Roman" w:hAnsi="Times New Roman" w:cs="Times New Roman"/>
          <w:lang w:val="pl-PL"/>
        </w:rPr>
        <w:t>), utożsamia się z rytuałami i symbolami tyranii nazistowskiej oraz zastrasza innych obywateli poprzez przywoływanie potworności minionego totalitarnego, nieludzkiego reżimu”.</w:t>
      </w:r>
    </w:p>
    <w:p w:rsidR="004D2070" w:rsidRPr="00C03220" w:rsidRDefault="001552E1" w:rsidP="004D2070">
      <w:pPr>
        <w:pStyle w:val="ECHRPara"/>
        <w:rPr>
          <w:rFonts w:ascii="Times New Roman" w:hAnsi="Times New Roman" w:cs="Times New Roman"/>
          <w:lang w:val="pl-PL"/>
        </w:rPr>
      </w:pPr>
      <w:r w:rsidRPr="00C03220">
        <w:rPr>
          <w:rFonts w:ascii="Times New Roman" w:hAnsi="Times New Roman" w:cs="Times New Roman"/>
          <w:lang w:val="pl-PL"/>
        </w:rPr>
        <w:fldChar w:fldCharType="begin"/>
      </w:r>
      <w:r w:rsidR="004D2070" w:rsidRPr="00C03220">
        <w:rPr>
          <w:rFonts w:ascii="Times New Roman" w:hAnsi="Times New Roman" w:cs="Times New Roman"/>
          <w:lang w:val="pl-PL"/>
        </w:rPr>
        <w:instrText xml:space="preserve"> SEQ level0 \*arabic </w:instrText>
      </w:r>
      <w:r w:rsidRPr="00C03220">
        <w:rPr>
          <w:rFonts w:ascii="Times New Roman" w:hAnsi="Times New Roman" w:cs="Times New Roman"/>
          <w:lang w:val="pl-PL"/>
        </w:rPr>
        <w:fldChar w:fldCharType="separate"/>
      </w:r>
      <w:r w:rsidR="004D2070" w:rsidRPr="00C03220">
        <w:rPr>
          <w:rFonts w:ascii="Times New Roman" w:hAnsi="Times New Roman" w:cs="Times New Roman"/>
          <w:noProof/>
          <w:lang w:val="pl-PL"/>
        </w:rPr>
        <w:t>30</w:t>
      </w:r>
      <w:r w:rsidRPr="00C03220">
        <w:rPr>
          <w:rFonts w:ascii="Times New Roman" w:hAnsi="Times New Roman" w:cs="Times New Roman"/>
          <w:lang w:val="pl-PL"/>
        </w:rPr>
        <w:fldChar w:fldCharType="end"/>
      </w:r>
      <w:r w:rsidR="004D2070" w:rsidRPr="00C03220">
        <w:rPr>
          <w:rFonts w:ascii="Times New Roman" w:hAnsi="Times New Roman" w:cs="Times New Roman"/>
          <w:lang w:val="pl-PL"/>
        </w:rPr>
        <w:t xml:space="preserve">.  W kontekście rozwiązania stowarzyszenia niemiecki Federalny Sąd Administracyjny, w wyroku BVerwG 6 A 3.08 (05.08.2009) podsumował własne orzecznictwo dotyczące zakazu stowarzyszania </w:t>
      </w:r>
      <w:r w:rsidR="006B1DF1" w:rsidRPr="00C03220">
        <w:rPr>
          <w:rFonts w:ascii="Times New Roman" w:hAnsi="Times New Roman" w:cs="Times New Roman"/>
          <w:lang w:val="pl-PL"/>
        </w:rPr>
        <w:t>się</w:t>
      </w:r>
      <w:r w:rsidR="004D2070" w:rsidRPr="00C03220">
        <w:rPr>
          <w:rFonts w:ascii="Times New Roman" w:hAnsi="Times New Roman" w:cs="Times New Roman"/>
          <w:lang w:val="pl-PL"/>
        </w:rPr>
        <w:t xml:space="preserve"> w sposób następujący:</w:t>
      </w:r>
    </w:p>
    <w:p w:rsidR="004D2070" w:rsidRPr="00C03220" w:rsidRDefault="004D2070" w:rsidP="004D2070">
      <w:pPr>
        <w:pStyle w:val="ECHRParaQuote"/>
        <w:rPr>
          <w:rFonts w:ascii="Times New Roman" w:hAnsi="Times New Roman" w:cs="Times New Roman"/>
          <w:lang w:val="pl-PL"/>
        </w:rPr>
      </w:pPr>
      <w:r w:rsidRPr="00C03220">
        <w:rPr>
          <w:rFonts w:ascii="Times New Roman" w:hAnsi="Times New Roman" w:cs="Times New Roman"/>
          <w:lang w:val="pl-PL"/>
        </w:rPr>
        <w:t xml:space="preserve">16.  Cel i działalność stowarzyszenia mogą podlegać lub nie karom </w:t>
      </w:r>
      <w:r w:rsidR="00B60CCC" w:rsidRPr="00C03220">
        <w:rPr>
          <w:rFonts w:ascii="Times New Roman" w:hAnsi="Times New Roman" w:cs="Times New Roman"/>
          <w:lang w:val="pl-PL"/>
        </w:rPr>
        <w:t>określonym</w:t>
      </w:r>
      <w:r w:rsidRPr="00C03220">
        <w:rPr>
          <w:rFonts w:ascii="Times New Roman" w:hAnsi="Times New Roman" w:cs="Times New Roman"/>
          <w:lang w:val="pl-PL"/>
        </w:rPr>
        <w:t xml:space="preserve"> w przepisach karnych - w zależności od intencji i postępowania jej członków. Stowarzyszenie jako takie nie może ponosić odpowiedzialności karnej. Na podstawie prawa karnego karze podlegać mogą wyłącznie osoby fizyczne, jako że przestępczość implikuje zdolność do ponoszenia odpowiedzialności karnej [</w:t>
      </w:r>
      <w:r w:rsidRPr="00C03220">
        <w:rPr>
          <w:rFonts w:ascii="Times New Roman" w:hAnsi="Times New Roman" w:cs="Times New Roman"/>
          <w:i/>
          <w:iCs/>
          <w:lang w:val="pl-PL"/>
        </w:rPr>
        <w:t>Schuldzurechnungsfähigkeit</w:t>
      </w:r>
      <w:r w:rsidRPr="00C03220">
        <w:rPr>
          <w:rFonts w:ascii="Times New Roman" w:hAnsi="Times New Roman" w:cs="Times New Roman"/>
          <w:lang w:val="pl-PL"/>
        </w:rPr>
        <w:t>], którą posiadają wyłącznie jednostki. Jednakże, jak wynika z przepisu art. 3(5) ustawy o stowarzyszeniach [</w:t>
      </w:r>
      <w:r w:rsidRPr="00C03220">
        <w:rPr>
          <w:rFonts w:ascii="Times New Roman" w:hAnsi="Times New Roman" w:cs="Times New Roman"/>
          <w:i/>
          <w:iCs/>
          <w:lang w:val="pl-PL"/>
        </w:rPr>
        <w:t>VereinsG</w:t>
      </w:r>
      <w:r w:rsidRPr="00C03220">
        <w:rPr>
          <w:rFonts w:ascii="Times New Roman" w:hAnsi="Times New Roman" w:cs="Times New Roman"/>
          <w:lang w:val="pl-PL"/>
        </w:rPr>
        <w:t xml:space="preserve">], z punktu widzenia prawa </w:t>
      </w:r>
      <w:r w:rsidR="00B60CCC" w:rsidRPr="00C03220">
        <w:rPr>
          <w:rFonts w:ascii="Times New Roman" w:hAnsi="Times New Roman" w:cs="Times New Roman"/>
          <w:lang w:val="pl-PL"/>
        </w:rPr>
        <w:t>stowarzyszenie</w:t>
      </w:r>
      <w:r w:rsidRPr="00C03220">
        <w:rPr>
          <w:rFonts w:ascii="Times New Roman" w:hAnsi="Times New Roman" w:cs="Times New Roman"/>
          <w:lang w:val="pl-PL"/>
        </w:rPr>
        <w:t xml:space="preserve"> może </w:t>
      </w:r>
      <w:r w:rsidR="00B60CCC" w:rsidRPr="00C03220">
        <w:rPr>
          <w:rFonts w:ascii="Times New Roman" w:hAnsi="Times New Roman" w:cs="Times New Roman"/>
          <w:lang w:val="pl-PL"/>
        </w:rPr>
        <w:t>ponosić</w:t>
      </w:r>
      <w:r w:rsidRPr="00C03220">
        <w:rPr>
          <w:rFonts w:ascii="Times New Roman" w:hAnsi="Times New Roman" w:cs="Times New Roman"/>
          <w:lang w:val="pl-PL"/>
        </w:rPr>
        <w:t xml:space="preserve"> odpowiedzialność karną [</w:t>
      </w:r>
      <w:r w:rsidRPr="00C03220">
        <w:rPr>
          <w:rFonts w:ascii="Times New Roman" w:hAnsi="Times New Roman" w:cs="Times New Roman"/>
          <w:i/>
          <w:iCs/>
          <w:lang w:val="pl-PL"/>
        </w:rPr>
        <w:t>Strafgesetzwidrigkeit einer Vereinigung</w:t>
      </w:r>
      <w:r w:rsidRPr="00C03220">
        <w:rPr>
          <w:rFonts w:ascii="Times New Roman" w:hAnsi="Times New Roman" w:cs="Times New Roman"/>
          <w:lang w:val="pl-PL"/>
        </w:rPr>
        <w:t>], ponieważ stowarzyszenie może wytworzyć, poprzez swoich członków i organy pr</w:t>
      </w:r>
      <w:r w:rsidR="002E2909" w:rsidRPr="00C03220">
        <w:rPr>
          <w:rFonts w:ascii="Times New Roman" w:hAnsi="Times New Roman" w:cs="Times New Roman"/>
          <w:lang w:val="pl-PL"/>
        </w:rPr>
        <w:t>zedstawicielskie, wolę</w:t>
      </w:r>
      <w:r w:rsidRPr="00C03220">
        <w:rPr>
          <w:rFonts w:ascii="Times New Roman" w:hAnsi="Times New Roman" w:cs="Times New Roman"/>
          <w:lang w:val="pl-PL"/>
        </w:rPr>
        <w:t xml:space="preserve"> zbiorową odrębną od poszczególnych członków</w:t>
      </w:r>
      <w:r w:rsidR="002E2909" w:rsidRPr="00C03220">
        <w:rPr>
          <w:rFonts w:ascii="Times New Roman" w:hAnsi="Times New Roman" w:cs="Times New Roman"/>
          <w:lang w:val="pl-PL"/>
        </w:rPr>
        <w:t xml:space="preserve">, tworzącą własny cel </w:t>
      </w:r>
      <w:r w:rsidRPr="00C03220">
        <w:rPr>
          <w:rFonts w:ascii="Times New Roman" w:hAnsi="Times New Roman" w:cs="Times New Roman"/>
          <w:lang w:val="pl-PL"/>
        </w:rPr>
        <w:t>[</w:t>
      </w:r>
      <w:r w:rsidRPr="00C03220">
        <w:rPr>
          <w:rFonts w:ascii="Times New Roman" w:hAnsi="Times New Roman" w:cs="Times New Roman"/>
          <w:i/>
          <w:iCs/>
          <w:lang w:val="pl-PL"/>
        </w:rPr>
        <w:t>Zweckrichtung</w:t>
      </w:r>
      <w:r w:rsidRPr="00C03220">
        <w:rPr>
          <w:rFonts w:ascii="Times New Roman" w:hAnsi="Times New Roman" w:cs="Times New Roman"/>
          <w:lang w:val="pl-PL"/>
        </w:rPr>
        <w:t xml:space="preserve">] </w:t>
      </w:r>
      <w:r w:rsidR="002E2909" w:rsidRPr="00C03220">
        <w:rPr>
          <w:rFonts w:ascii="Times New Roman" w:hAnsi="Times New Roman" w:cs="Times New Roman"/>
          <w:lang w:val="pl-PL"/>
        </w:rPr>
        <w:t>i posiadającą zdolność niezależnego działania</w:t>
      </w:r>
      <w:r w:rsidRPr="00C03220">
        <w:rPr>
          <w:rFonts w:ascii="Times New Roman" w:hAnsi="Times New Roman" w:cs="Times New Roman"/>
          <w:lang w:val="pl-PL"/>
        </w:rPr>
        <w:t xml:space="preserve">. W przypadku naruszenia prawa karnego na skutek takiego </w:t>
      </w:r>
      <w:r w:rsidR="002E2909" w:rsidRPr="00C03220">
        <w:rPr>
          <w:rFonts w:ascii="Times New Roman" w:hAnsi="Times New Roman" w:cs="Times New Roman"/>
          <w:lang w:val="pl-PL"/>
        </w:rPr>
        <w:t xml:space="preserve">własnego celu czy </w:t>
      </w:r>
      <w:r w:rsidRPr="00C03220">
        <w:rPr>
          <w:rFonts w:ascii="Times New Roman" w:hAnsi="Times New Roman" w:cs="Times New Roman"/>
          <w:lang w:val="pl-PL"/>
        </w:rPr>
        <w:t>niezależnych działań stowarzyszenia, spełnione zostają wszystkie warunki zastosowania zakazu [</w:t>
      </w:r>
      <w:r w:rsidRPr="00C03220">
        <w:rPr>
          <w:rFonts w:ascii="Times New Roman" w:hAnsi="Times New Roman" w:cs="Times New Roman"/>
          <w:i/>
          <w:iCs/>
          <w:lang w:val="pl-PL"/>
        </w:rPr>
        <w:t>Verbotstatbestand</w:t>
      </w:r>
      <w:r w:rsidRPr="00C03220">
        <w:rPr>
          <w:rFonts w:ascii="Times New Roman" w:hAnsi="Times New Roman" w:cs="Times New Roman"/>
          <w:lang w:val="pl-PL"/>
        </w:rPr>
        <w:t xml:space="preserve">]. W tym kontekście czynnikiem decydującym jest to, czy stowarzyszeniu można przypisać zachowania jego członków. </w:t>
      </w:r>
      <w:r w:rsidR="00B60CCC" w:rsidRPr="00C03220">
        <w:rPr>
          <w:rFonts w:ascii="Times New Roman" w:hAnsi="Times New Roman" w:cs="Times New Roman"/>
          <w:lang w:val="pl-PL"/>
        </w:rPr>
        <w:t>Przestępstwa</w:t>
      </w:r>
      <w:r w:rsidRPr="00C03220">
        <w:rPr>
          <w:rFonts w:ascii="Times New Roman" w:hAnsi="Times New Roman" w:cs="Times New Roman"/>
          <w:lang w:val="pl-PL"/>
        </w:rPr>
        <w:t xml:space="preserve"> karne [</w:t>
      </w:r>
      <w:r w:rsidRPr="00C03220">
        <w:rPr>
          <w:rFonts w:ascii="Times New Roman" w:hAnsi="Times New Roman" w:cs="Times New Roman"/>
          <w:i/>
          <w:iCs/>
          <w:lang w:val="pl-PL"/>
        </w:rPr>
        <w:t>Strafgesetzwidrigkeit</w:t>
      </w:r>
      <w:r w:rsidRPr="00C03220">
        <w:rPr>
          <w:rFonts w:ascii="Times New Roman" w:hAnsi="Times New Roman" w:cs="Times New Roman"/>
          <w:lang w:val="pl-PL"/>
        </w:rPr>
        <w:t xml:space="preserve">] popełnione przez członków stowarzyszenia muszą </w:t>
      </w:r>
      <w:r w:rsidR="00B60CCC" w:rsidRPr="00C03220">
        <w:rPr>
          <w:rFonts w:ascii="Times New Roman" w:hAnsi="Times New Roman" w:cs="Times New Roman"/>
          <w:lang w:val="pl-PL"/>
        </w:rPr>
        <w:t>kształtować</w:t>
      </w:r>
      <w:r w:rsidRPr="00C03220">
        <w:rPr>
          <w:rFonts w:ascii="Times New Roman" w:hAnsi="Times New Roman" w:cs="Times New Roman"/>
          <w:lang w:val="pl-PL"/>
        </w:rPr>
        <w:t xml:space="preserve"> [</w:t>
      </w:r>
      <w:r w:rsidRPr="00C03220">
        <w:rPr>
          <w:rFonts w:ascii="Times New Roman" w:hAnsi="Times New Roman" w:cs="Times New Roman"/>
          <w:i/>
          <w:iCs/>
          <w:lang w:val="pl-PL"/>
        </w:rPr>
        <w:t>prägen</w:t>
      </w:r>
      <w:r w:rsidRPr="00C03220">
        <w:rPr>
          <w:rFonts w:ascii="Times New Roman" w:hAnsi="Times New Roman" w:cs="Times New Roman"/>
          <w:lang w:val="pl-PL"/>
        </w:rPr>
        <w:t xml:space="preserve">] charakter stowarzyszenia. </w:t>
      </w:r>
      <w:r w:rsidR="00B60CCC" w:rsidRPr="00C03220">
        <w:rPr>
          <w:rFonts w:ascii="Times New Roman" w:hAnsi="Times New Roman" w:cs="Times New Roman"/>
          <w:lang w:val="pl-PL"/>
        </w:rPr>
        <w:t>Stowarzyszenie</w:t>
      </w:r>
      <w:r w:rsidRPr="00C03220">
        <w:rPr>
          <w:rFonts w:ascii="Times New Roman" w:hAnsi="Times New Roman" w:cs="Times New Roman"/>
          <w:lang w:val="pl-PL"/>
        </w:rPr>
        <w:t xml:space="preserve"> może jednocześnie dążyć do </w:t>
      </w:r>
      <w:r w:rsidR="00B60CCC" w:rsidRPr="00C03220">
        <w:rPr>
          <w:rFonts w:ascii="Times New Roman" w:hAnsi="Times New Roman" w:cs="Times New Roman"/>
          <w:lang w:val="pl-PL"/>
        </w:rPr>
        <w:t>różnych</w:t>
      </w:r>
      <w:r w:rsidRPr="00C03220">
        <w:rPr>
          <w:rFonts w:ascii="Times New Roman" w:hAnsi="Times New Roman" w:cs="Times New Roman"/>
          <w:lang w:val="pl-PL"/>
        </w:rPr>
        <w:t xml:space="preserve"> celów; prócz określonego w regulaminie celu zgodnego z prawem może także realizować cele niezgodne z prawem, które osiąga poprzez działania podejmowane przez członków. ...</w:t>
      </w:r>
    </w:p>
    <w:p w:rsidR="004D2070" w:rsidRPr="00C03220" w:rsidRDefault="004D2070" w:rsidP="004D2070">
      <w:pPr>
        <w:pStyle w:val="ECHRParaQuote"/>
        <w:rPr>
          <w:rFonts w:ascii="Times New Roman" w:hAnsi="Times New Roman" w:cs="Times New Roman"/>
          <w:lang w:val="pl-PL"/>
        </w:rPr>
      </w:pPr>
      <w:r w:rsidRPr="00C03220">
        <w:rPr>
          <w:rFonts w:ascii="Times New Roman" w:hAnsi="Times New Roman" w:cs="Times New Roman"/>
          <w:lang w:val="pl-PL"/>
        </w:rPr>
        <w:t xml:space="preserve">17.  Zakaz działania stowarzyszenia na podstawie art. 3 (1), zdanie pierwsze, pierwsza alternatywa, ustawy o stowarzyszeniach w połączeniu z pierwszą </w:t>
      </w:r>
      <w:r w:rsidRPr="00C03220">
        <w:rPr>
          <w:rFonts w:ascii="Times New Roman" w:hAnsi="Times New Roman" w:cs="Times New Roman"/>
          <w:lang w:val="pl-PL"/>
        </w:rPr>
        <w:lastRenderedPageBreak/>
        <w:t xml:space="preserve">alternatywą przepisu art. 9 (2) ustawy zasadniczej jest </w:t>
      </w:r>
      <w:r w:rsidRPr="00C03220">
        <w:rPr>
          <w:rFonts w:ascii="Times New Roman" w:hAnsi="Times New Roman" w:cs="Times New Roman"/>
          <w:i/>
          <w:iCs/>
          <w:lang w:val="pl-PL"/>
        </w:rPr>
        <w:t xml:space="preserve">de iure </w:t>
      </w:r>
      <w:r w:rsidRPr="00C03220">
        <w:rPr>
          <w:rFonts w:ascii="Times New Roman" w:hAnsi="Times New Roman" w:cs="Times New Roman"/>
          <w:lang w:val="pl-PL"/>
        </w:rPr>
        <w:t>niezależny od wydania wyroku skazującego w sprawie karnej wobec członka lub funkcjonariusza takiego stowarzyszenia. Organ wydający zakaz i sąd administracyjny są uprawnione do zbadania, czy doszło do naruszenia przepisów prawa karnego [</w:t>
      </w:r>
      <w:r w:rsidRPr="00C03220">
        <w:rPr>
          <w:rFonts w:ascii="Times New Roman" w:hAnsi="Times New Roman" w:cs="Times New Roman"/>
          <w:i/>
          <w:iCs/>
          <w:lang w:val="pl-PL"/>
        </w:rPr>
        <w:t>Gesetzeswidrigkeit</w:t>
      </w:r>
      <w:r w:rsidRPr="00C03220">
        <w:rPr>
          <w:rFonts w:ascii="Times New Roman" w:hAnsi="Times New Roman" w:cs="Times New Roman"/>
          <w:lang w:val="pl-PL"/>
        </w:rPr>
        <w:t>]. Nie jest jednakże celem takiego zakazu [</w:t>
      </w:r>
      <w:r w:rsidRPr="00C03220">
        <w:rPr>
          <w:rFonts w:ascii="Times New Roman" w:hAnsi="Times New Roman" w:cs="Times New Roman"/>
          <w:i/>
          <w:iCs/>
          <w:lang w:val="pl-PL"/>
        </w:rPr>
        <w:t>Verbotstatbestand</w:t>
      </w:r>
      <w:r w:rsidRPr="00C03220">
        <w:rPr>
          <w:rFonts w:ascii="Times New Roman" w:hAnsi="Times New Roman" w:cs="Times New Roman"/>
          <w:lang w:val="pl-PL"/>
        </w:rPr>
        <w:t xml:space="preserve">] nałożenie dodatkowych sankcji na osoby, które dokonały naruszenia przepisów prawa karnego. Celem [tego przepisu] jest raczej </w:t>
      </w:r>
      <w:r w:rsidR="005E5294" w:rsidRPr="00C03220">
        <w:rPr>
          <w:rFonts w:ascii="Times New Roman" w:hAnsi="Times New Roman" w:cs="Times New Roman"/>
          <w:lang w:val="pl-PL"/>
        </w:rPr>
        <w:t xml:space="preserve">eliminacja </w:t>
      </w:r>
      <w:r w:rsidRPr="00C03220">
        <w:rPr>
          <w:rFonts w:ascii="Times New Roman" w:hAnsi="Times New Roman" w:cs="Times New Roman"/>
          <w:lang w:val="pl-PL"/>
        </w:rPr>
        <w:t xml:space="preserve">konkretnego zagrożenia dla </w:t>
      </w:r>
      <w:r w:rsidR="00B60CCC" w:rsidRPr="00C03220">
        <w:rPr>
          <w:rFonts w:ascii="Times New Roman" w:hAnsi="Times New Roman" w:cs="Times New Roman"/>
          <w:lang w:val="pl-PL"/>
        </w:rPr>
        <w:t>bezpieczeństwa</w:t>
      </w:r>
      <w:r w:rsidRPr="00C03220">
        <w:rPr>
          <w:rFonts w:ascii="Times New Roman" w:hAnsi="Times New Roman" w:cs="Times New Roman"/>
          <w:lang w:val="pl-PL"/>
        </w:rPr>
        <w:t xml:space="preserve"> publicznego i porządku publicznego wynikającego z </w:t>
      </w:r>
      <w:r w:rsidR="00B60CCC" w:rsidRPr="00C03220">
        <w:rPr>
          <w:rFonts w:ascii="Times New Roman" w:hAnsi="Times New Roman" w:cs="Times New Roman"/>
          <w:lang w:val="pl-PL"/>
        </w:rPr>
        <w:t>założenia</w:t>
      </w:r>
      <w:r w:rsidRPr="00C03220">
        <w:rPr>
          <w:rFonts w:ascii="Times New Roman" w:hAnsi="Times New Roman" w:cs="Times New Roman"/>
          <w:lang w:val="pl-PL"/>
        </w:rPr>
        <w:t xml:space="preserve"> czy kontynuacji istnienia organizacji, która planuje lub popełnia czyny zagrożone karą. Organizacje takie stanowią szczególne zagrożenie dla interesów [</w:t>
      </w:r>
      <w:r w:rsidRPr="00C03220">
        <w:rPr>
          <w:rFonts w:ascii="Times New Roman" w:hAnsi="Times New Roman" w:cs="Times New Roman"/>
          <w:i/>
          <w:iCs/>
          <w:lang w:val="pl-PL"/>
        </w:rPr>
        <w:t>Rechtsgüter</w:t>
      </w:r>
      <w:r w:rsidRPr="00C03220">
        <w:rPr>
          <w:rFonts w:ascii="Times New Roman" w:hAnsi="Times New Roman" w:cs="Times New Roman"/>
          <w:lang w:val="pl-PL"/>
        </w:rPr>
        <w:t xml:space="preserve">] chronionych prawem karnym. </w:t>
      </w:r>
      <w:r w:rsidR="00B60CCC" w:rsidRPr="00C03220">
        <w:rPr>
          <w:rFonts w:ascii="Times New Roman" w:hAnsi="Times New Roman" w:cs="Times New Roman"/>
          <w:lang w:val="pl-PL"/>
        </w:rPr>
        <w:t xml:space="preserve">Wewnętrzny impet </w:t>
      </w:r>
      <w:r w:rsidRPr="00C03220">
        <w:rPr>
          <w:rFonts w:ascii="Times New Roman" w:hAnsi="Times New Roman" w:cs="Times New Roman"/>
          <w:lang w:val="pl-PL"/>
        </w:rPr>
        <w:t xml:space="preserve">organizacji oraz jej zorganizowane zasoby </w:t>
      </w:r>
      <w:r w:rsidR="00B60CCC" w:rsidRPr="00C03220">
        <w:rPr>
          <w:rFonts w:ascii="Times New Roman" w:hAnsi="Times New Roman" w:cs="Times New Roman"/>
          <w:lang w:val="pl-PL"/>
        </w:rPr>
        <w:t>ludzkie</w:t>
      </w:r>
      <w:r w:rsidRPr="00C03220">
        <w:rPr>
          <w:rFonts w:ascii="Times New Roman" w:hAnsi="Times New Roman" w:cs="Times New Roman"/>
          <w:lang w:val="pl-PL"/>
        </w:rPr>
        <w:t xml:space="preserve"> i materialne ułatwiają i wspierają popełnianie czynów karalnych. Jednocześnie poczucie odpowiedzialności poszczególnych członków jest często ograniczone, indywidualny opór przed </w:t>
      </w:r>
      <w:r w:rsidR="00B60CCC" w:rsidRPr="00C03220">
        <w:rPr>
          <w:rFonts w:ascii="Times New Roman" w:hAnsi="Times New Roman" w:cs="Times New Roman"/>
          <w:lang w:val="pl-PL"/>
        </w:rPr>
        <w:t>popełnienie</w:t>
      </w:r>
      <w:r w:rsidRPr="00C03220">
        <w:rPr>
          <w:rFonts w:ascii="Times New Roman" w:hAnsi="Times New Roman" w:cs="Times New Roman"/>
          <w:lang w:val="pl-PL"/>
        </w:rPr>
        <w:t xml:space="preserve"> przestępstwa słabnie i powstaje impuls do popełniania dalszych przestępstw (wyrok z dnia 18 października 1988 r., </w:t>
      </w:r>
      <w:r w:rsidRPr="00C03220">
        <w:rPr>
          <w:rFonts w:ascii="Times New Roman" w:hAnsi="Times New Roman" w:cs="Times New Roman"/>
          <w:i/>
          <w:lang w:val="pl-PL"/>
        </w:rPr>
        <w:t>op. cit</w:t>
      </w:r>
      <w:r w:rsidRPr="00C03220">
        <w:rPr>
          <w:rFonts w:ascii="Times New Roman" w:hAnsi="Times New Roman" w:cs="Times New Roman"/>
          <w:lang w:val="pl-PL"/>
        </w:rPr>
        <w:t>., str. 307 i str. 23-24 odpowiednio; Löwer, w: przeciwko Münch/Kunig, GG, Vol. 1, wyd. 5 2000 r., nota 39 do art. 9).”</w:t>
      </w:r>
    </w:p>
    <w:p w:rsidR="004D2070" w:rsidRPr="00C03220" w:rsidRDefault="004D2070" w:rsidP="004D2070">
      <w:pPr>
        <w:pStyle w:val="ECHRPara"/>
        <w:rPr>
          <w:rFonts w:ascii="Times New Roman" w:hAnsi="Times New Roman" w:cs="Times New Roman"/>
          <w:lang w:val="pl-PL"/>
        </w:rPr>
      </w:pPr>
      <w:r w:rsidRPr="00C03220">
        <w:rPr>
          <w:rFonts w:ascii="Times New Roman" w:hAnsi="Times New Roman" w:cs="Times New Roman"/>
          <w:lang w:val="pl-PL"/>
        </w:rPr>
        <w:t xml:space="preserve">Niemiecki Federalny Sąd Administracyjny niejednokrotnie utrzymywał w mocy nakazy rozwiązania stowarzyszeń popierających idee (neo-) nazistowskie. W wyroku w sprawie </w:t>
      </w:r>
      <w:r w:rsidRPr="00C03220">
        <w:rPr>
          <w:rFonts w:ascii="Times New Roman" w:hAnsi="Times New Roman" w:cs="Times New Roman"/>
          <w:i/>
          <w:iCs/>
          <w:lang w:val="pl-PL"/>
        </w:rPr>
        <w:t>Heimattreue Deutsche Jugend</w:t>
      </w:r>
      <w:r w:rsidRPr="00C03220">
        <w:rPr>
          <w:rFonts w:ascii="Times New Roman" w:hAnsi="Times New Roman" w:cs="Times New Roman"/>
          <w:lang w:val="pl-PL"/>
        </w:rPr>
        <w:t xml:space="preserve"> (BVerwG 6 A 4.09 (01.09.2010</w:t>
      </w:r>
      <w:r w:rsidR="005E5294" w:rsidRPr="00C03220">
        <w:rPr>
          <w:rFonts w:ascii="Times New Roman" w:hAnsi="Times New Roman" w:cs="Times New Roman"/>
          <w:lang w:val="pl-PL"/>
        </w:rPr>
        <w:t xml:space="preserve"> r.</w:t>
      </w:r>
      <w:r w:rsidRPr="00C03220">
        <w:rPr>
          <w:rFonts w:ascii="Times New Roman" w:hAnsi="Times New Roman" w:cs="Times New Roman"/>
          <w:lang w:val="pl-PL"/>
        </w:rPr>
        <w:t xml:space="preserve">), w której członkowie stowarzyszenia rozpowszechniali nazistowskie opracowania i koncepcje </w:t>
      </w:r>
      <w:r w:rsidR="005E5294" w:rsidRPr="00C03220">
        <w:rPr>
          <w:rFonts w:ascii="Times New Roman" w:hAnsi="Times New Roman" w:cs="Times New Roman"/>
          <w:lang w:val="pl-PL"/>
        </w:rPr>
        <w:t xml:space="preserve">rasistowskie, </w:t>
      </w:r>
      <w:r w:rsidRPr="00C03220">
        <w:rPr>
          <w:rFonts w:ascii="Times New Roman" w:hAnsi="Times New Roman" w:cs="Times New Roman"/>
          <w:lang w:val="pl-PL"/>
        </w:rPr>
        <w:t xml:space="preserve">Federalny Sąd Administracyjny przypomniał właściwe orzecznictwo, stwierdzając, że w celu spełnienia warunków zakazu stowarzyszenie musiało mieć zamiar </w:t>
      </w:r>
      <w:r w:rsidR="00DD31DA" w:rsidRPr="00C03220">
        <w:rPr>
          <w:rFonts w:ascii="Times New Roman" w:hAnsi="Times New Roman" w:cs="Times New Roman"/>
          <w:lang w:val="pl-PL"/>
        </w:rPr>
        <w:t>osiągania</w:t>
      </w:r>
      <w:r w:rsidRPr="00C03220">
        <w:rPr>
          <w:rFonts w:ascii="Times New Roman" w:hAnsi="Times New Roman" w:cs="Times New Roman"/>
          <w:lang w:val="pl-PL"/>
        </w:rPr>
        <w:t xml:space="preserve"> swoich </w:t>
      </w:r>
      <w:r w:rsidR="00DD31DA" w:rsidRPr="00C03220">
        <w:rPr>
          <w:rFonts w:ascii="Times New Roman" w:hAnsi="Times New Roman" w:cs="Times New Roman"/>
          <w:lang w:val="pl-PL"/>
        </w:rPr>
        <w:t>antykonstytucyjnych</w:t>
      </w:r>
      <w:r w:rsidRPr="00C03220">
        <w:rPr>
          <w:rFonts w:ascii="Times New Roman" w:hAnsi="Times New Roman" w:cs="Times New Roman"/>
          <w:lang w:val="pl-PL"/>
        </w:rPr>
        <w:t xml:space="preserve"> celów w sposób bojowy lub agresywny, przy czym warunek ten nie wymaga zastosowania siły czy konkretnego naruszenia przepisów prawa. W celu </w:t>
      </w:r>
      <w:r w:rsidR="00DD31DA" w:rsidRPr="00C03220">
        <w:rPr>
          <w:rFonts w:ascii="Times New Roman" w:hAnsi="Times New Roman" w:cs="Times New Roman"/>
          <w:lang w:val="pl-PL"/>
        </w:rPr>
        <w:t xml:space="preserve">stwierdzenia </w:t>
      </w:r>
      <w:r w:rsidR="005E5294" w:rsidRPr="00C03220">
        <w:rPr>
          <w:rFonts w:ascii="Times New Roman" w:hAnsi="Times New Roman" w:cs="Times New Roman"/>
          <w:lang w:val="pl-PL"/>
        </w:rPr>
        <w:t xml:space="preserve">istnienia </w:t>
      </w:r>
      <w:r w:rsidR="00DD31DA" w:rsidRPr="00C03220">
        <w:rPr>
          <w:rFonts w:ascii="Times New Roman" w:hAnsi="Times New Roman" w:cs="Times New Roman"/>
          <w:lang w:val="pl-PL"/>
        </w:rPr>
        <w:t>niekonstytucyjnego</w:t>
      </w:r>
      <w:r w:rsidRPr="00C03220">
        <w:rPr>
          <w:rFonts w:ascii="Times New Roman" w:hAnsi="Times New Roman" w:cs="Times New Roman"/>
          <w:lang w:val="pl-PL"/>
        </w:rPr>
        <w:t xml:space="preserve"> celu, który uzasadniał wydanie zakazu, wystarczyło, że program, symbolika i styl wskazywały na istotne powiązania z nazizmem. Fakt, iż stowarzyszenie nawiązywało do partii nazistowskiej (zakazanej w Niemczech) lub rozpowszechniało teorię rasistowską, co było niezgodne z </w:t>
      </w:r>
      <w:r w:rsidR="00DD31DA" w:rsidRPr="00C03220">
        <w:rPr>
          <w:rFonts w:ascii="Times New Roman" w:hAnsi="Times New Roman" w:cs="Times New Roman"/>
          <w:lang w:val="pl-PL"/>
        </w:rPr>
        <w:t>konstytucyjnym</w:t>
      </w:r>
      <w:r w:rsidRPr="00C03220">
        <w:rPr>
          <w:rFonts w:ascii="Times New Roman" w:hAnsi="Times New Roman" w:cs="Times New Roman"/>
          <w:lang w:val="pl-PL"/>
        </w:rPr>
        <w:t xml:space="preserve"> zakazem dyskryminacji, był wystarczający, by spełnione zostały warunki zakazu prowadzenia </w:t>
      </w:r>
      <w:r w:rsidR="00DD31DA" w:rsidRPr="00C03220">
        <w:rPr>
          <w:rFonts w:ascii="Times New Roman" w:hAnsi="Times New Roman" w:cs="Times New Roman"/>
          <w:lang w:val="pl-PL"/>
        </w:rPr>
        <w:t>działalności</w:t>
      </w:r>
      <w:r w:rsidRPr="00C03220">
        <w:rPr>
          <w:rFonts w:ascii="Times New Roman" w:hAnsi="Times New Roman" w:cs="Times New Roman"/>
          <w:lang w:val="pl-PL"/>
        </w:rPr>
        <w:t xml:space="preserve"> przez stowarzyszenie. W przypadku podejmowania przez stowarzyszenie starań w celu ukrycia </w:t>
      </w:r>
      <w:r w:rsidR="00DD31DA" w:rsidRPr="00C03220">
        <w:rPr>
          <w:rFonts w:ascii="Times New Roman" w:hAnsi="Times New Roman" w:cs="Times New Roman"/>
          <w:lang w:val="pl-PL"/>
        </w:rPr>
        <w:t>niekonstytucyjnych</w:t>
      </w:r>
      <w:r w:rsidRPr="00C03220">
        <w:rPr>
          <w:rFonts w:ascii="Times New Roman" w:hAnsi="Times New Roman" w:cs="Times New Roman"/>
          <w:lang w:val="pl-PL"/>
        </w:rPr>
        <w:t xml:space="preserve"> zamiarów, warunki wydania zakazu stałyby się jasne na podstawie ogólnego obrazu tworzonego poprzez indywidua</w:t>
      </w:r>
      <w:r w:rsidR="005E5294" w:rsidRPr="00C03220">
        <w:rPr>
          <w:rFonts w:ascii="Times New Roman" w:hAnsi="Times New Roman" w:cs="Times New Roman"/>
          <w:lang w:val="pl-PL"/>
        </w:rPr>
        <w:t>l</w:t>
      </w:r>
      <w:r w:rsidRPr="00C03220">
        <w:rPr>
          <w:rFonts w:ascii="Times New Roman" w:hAnsi="Times New Roman" w:cs="Times New Roman"/>
          <w:lang w:val="pl-PL"/>
        </w:rPr>
        <w:t xml:space="preserve">ne wypowiedzi i zachowania. </w:t>
      </w:r>
      <w:r w:rsidR="002638A5" w:rsidRPr="00C03220">
        <w:rPr>
          <w:rFonts w:ascii="Times New Roman" w:hAnsi="Times New Roman" w:cs="Times New Roman"/>
          <w:lang w:val="pl-PL"/>
        </w:rPr>
        <w:t>Fakt, iż mogło wydawać się, ż elementy te podlegają pewnej licz</w:t>
      </w:r>
      <w:r w:rsidR="008D1A48" w:rsidRPr="00C03220">
        <w:rPr>
          <w:rFonts w:ascii="Times New Roman" w:hAnsi="Times New Roman" w:cs="Times New Roman"/>
          <w:lang w:val="pl-PL"/>
        </w:rPr>
        <w:t>b</w:t>
      </w:r>
      <w:r w:rsidR="002638A5" w:rsidRPr="00C03220">
        <w:rPr>
          <w:rFonts w:ascii="Times New Roman" w:hAnsi="Times New Roman" w:cs="Times New Roman"/>
          <w:lang w:val="pl-PL"/>
        </w:rPr>
        <w:t xml:space="preserve">ie </w:t>
      </w:r>
      <w:r w:rsidR="008D1A48" w:rsidRPr="00C03220">
        <w:rPr>
          <w:rFonts w:ascii="Times New Roman" w:hAnsi="Times New Roman" w:cs="Times New Roman"/>
          <w:lang w:val="pl-PL"/>
        </w:rPr>
        <w:t>nieszkodliwych</w:t>
      </w:r>
      <w:r w:rsidRPr="00C03220">
        <w:rPr>
          <w:rFonts w:ascii="Times New Roman" w:hAnsi="Times New Roman" w:cs="Times New Roman"/>
          <w:lang w:val="pl-PL"/>
        </w:rPr>
        <w:t xml:space="preserve"> </w:t>
      </w:r>
      <w:r w:rsidR="002638A5" w:rsidRPr="00C03220">
        <w:rPr>
          <w:rFonts w:ascii="Times New Roman" w:hAnsi="Times New Roman" w:cs="Times New Roman"/>
          <w:lang w:val="pl-PL"/>
        </w:rPr>
        <w:t>okoliczności, sam w sobie nie wskazywał na ich znaczenie</w:t>
      </w:r>
      <w:r w:rsidRPr="00C03220">
        <w:rPr>
          <w:rFonts w:ascii="Times New Roman" w:hAnsi="Times New Roman" w:cs="Times New Roman"/>
          <w:lang w:val="pl-PL"/>
        </w:rPr>
        <w:t>.</w:t>
      </w:r>
    </w:p>
    <w:p w:rsidR="004D2070" w:rsidRPr="00C03220" w:rsidRDefault="001552E1" w:rsidP="004D2070">
      <w:pPr>
        <w:pStyle w:val="ECHRPara"/>
        <w:rPr>
          <w:rFonts w:ascii="Times New Roman" w:hAnsi="Times New Roman" w:cs="Times New Roman"/>
          <w:lang w:val="pl-PL"/>
        </w:rPr>
      </w:pPr>
      <w:r w:rsidRPr="00C03220">
        <w:rPr>
          <w:rFonts w:ascii="Times New Roman" w:hAnsi="Times New Roman" w:cs="Times New Roman"/>
          <w:lang w:val="pl-PL"/>
        </w:rPr>
        <w:fldChar w:fldCharType="begin"/>
      </w:r>
      <w:r w:rsidR="004D2070" w:rsidRPr="00C03220">
        <w:rPr>
          <w:rFonts w:ascii="Times New Roman" w:hAnsi="Times New Roman" w:cs="Times New Roman"/>
          <w:lang w:val="pl-PL"/>
        </w:rPr>
        <w:instrText xml:space="preserve"> SEQ level0 \*arabic </w:instrText>
      </w:r>
      <w:r w:rsidRPr="00C03220">
        <w:rPr>
          <w:rFonts w:ascii="Times New Roman" w:hAnsi="Times New Roman" w:cs="Times New Roman"/>
          <w:lang w:val="pl-PL"/>
        </w:rPr>
        <w:fldChar w:fldCharType="separate"/>
      </w:r>
      <w:r w:rsidR="004D2070" w:rsidRPr="00C03220">
        <w:rPr>
          <w:rFonts w:ascii="Times New Roman" w:hAnsi="Times New Roman" w:cs="Times New Roman"/>
          <w:noProof/>
          <w:lang w:val="pl-PL"/>
        </w:rPr>
        <w:t>31</w:t>
      </w:r>
      <w:r w:rsidRPr="00C03220">
        <w:rPr>
          <w:rFonts w:ascii="Times New Roman" w:hAnsi="Times New Roman" w:cs="Times New Roman"/>
          <w:lang w:val="pl-PL"/>
        </w:rPr>
        <w:fldChar w:fldCharType="end"/>
      </w:r>
      <w:r w:rsidR="004D2070" w:rsidRPr="00C03220">
        <w:rPr>
          <w:rFonts w:ascii="Times New Roman" w:hAnsi="Times New Roman" w:cs="Times New Roman"/>
          <w:lang w:val="pl-PL"/>
        </w:rPr>
        <w:t xml:space="preserve">.  Sąd Najwyższy Stanów Zjednoczonych rozpoznawał problem zastraszania w sprawie Wirginia przeciwko Blackowi, 538 U.S. 343 (2003 r.). Zgodnie ze statutem Wirginii przestępstwem jest „... z zamiarem zastraszania osoby lub grupy ... , podpalenie ... przez dowolną osobę ...  krzyża na terenie należącym do innej osoby, drodze czy w innym miejscu publicznym ...”. Stwierdzono także, iż „każdy taki przypadek podpalenia ... będzie stanowić dowód </w:t>
      </w:r>
      <w:r w:rsidR="004D2070" w:rsidRPr="00C03220">
        <w:rPr>
          <w:rFonts w:ascii="Times New Roman" w:hAnsi="Times New Roman" w:cs="Times New Roman"/>
          <w:i/>
          <w:iCs/>
          <w:lang w:val="pl-PL"/>
        </w:rPr>
        <w:t>prima facie</w:t>
      </w:r>
      <w:r w:rsidR="004D2070" w:rsidRPr="00C03220">
        <w:rPr>
          <w:rFonts w:ascii="Times New Roman" w:hAnsi="Times New Roman" w:cs="Times New Roman"/>
          <w:lang w:val="pl-PL"/>
        </w:rPr>
        <w:t xml:space="preserve"> zamiaru zastraszenia osoby lub grupy.”</w:t>
      </w:r>
    </w:p>
    <w:p w:rsidR="004D2070" w:rsidRPr="00C03220" w:rsidRDefault="004D2070" w:rsidP="004D2070">
      <w:pPr>
        <w:pStyle w:val="ECHRPara"/>
        <w:rPr>
          <w:rFonts w:ascii="Times New Roman" w:hAnsi="Times New Roman" w:cs="Times New Roman"/>
          <w:lang w:val="pl-PL"/>
        </w:rPr>
      </w:pPr>
      <w:r w:rsidRPr="00C03220">
        <w:rPr>
          <w:rFonts w:ascii="Times New Roman" w:hAnsi="Times New Roman" w:cs="Times New Roman"/>
          <w:lang w:val="pl-PL"/>
        </w:rPr>
        <w:lastRenderedPageBreak/>
        <w:t xml:space="preserve">Sąd Najwyższy uznał, że w Stanach Zjednoczonych </w:t>
      </w:r>
      <w:r w:rsidR="005E5294" w:rsidRPr="00C03220">
        <w:rPr>
          <w:rFonts w:ascii="Times New Roman" w:hAnsi="Times New Roman" w:cs="Times New Roman"/>
          <w:lang w:val="pl-PL"/>
        </w:rPr>
        <w:t>pod</w:t>
      </w:r>
      <w:r w:rsidRPr="00C03220">
        <w:rPr>
          <w:rFonts w:ascii="Times New Roman" w:hAnsi="Times New Roman" w:cs="Times New Roman"/>
          <w:lang w:val="pl-PL"/>
        </w:rPr>
        <w:t xml:space="preserve">palenie krzyża nierozłącznie wiąże się z historią Ku Klux Klanu. Klan często podpalał krzyże w celu zastraszania i groźby </w:t>
      </w:r>
      <w:r w:rsidR="00DD31DA" w:rsidRPr="00C03220">
        <w:rPr>
          <w:rFonts w:ascii="Times New Roman" w:hAnsi="Times New Roman" w:cs="Times New Roman"/>
          <w:lang w:val="pl-PL"/>
        </w:rPr>
        <w:t>bliskiego</w:t>
      </w:r>
      <w:r w:rsidRPr="00C03220">
        <w:rPr>
          <w:rFonts w:ascii="Times New Roman" w:hAnsi="Times New Roman" w:cs="Times New Roman"/>
          <w:lang w:val="pl-PL"/>
        </w:rPr>
        <w:t xml:space="preserve"> użycia przemocy. Do dnia dzisiejszego, niezależnie od tego, czy przesłanie ma charakter polityczny czy jego celem jest również zastraszanie, </w:t>
      </w:r>
      <w:r w:rsidR="005E5294" w:rsidRPr="00C03220">
        <w:rPr>
          <w:rFonts w:ascii="Times New Roman" w:hAnsi="Times New Roman" w:cs="Times New Roman"/>
          <w:lang w:val="pl-PL"/>
        </w:rPr>
        <w:t>po</w:t>
      </w:r>
      <w:r w:rsidRPr="00C03220">
        <w:rPr>
          <w:rFonts w:ascii="Times New Roman" w:hAnsi="Times New Roman" w:cs="Times New Roman"/>
          <w:lang w:val="pl-PL"/>
        </w:rPr>
        <w:t>palenie krzyża jest „symbolem nienawiści”. Mimo że podpalenie krzyża nie niosło ze sobą w sposób oczywisty przekazu zastraszania, osoba podpalająca krzyż często miała zamiar wywołać u osób, do których przekaz taki był skierowany, strach o własne życie. Pierwsza Poprawka do Konstytucji Stanów Zjednoczonych zezwoliła Stanowi na wydanie zakazu dotyczącego „</w:t>
      </w:r>
      <w:r w:rsidR="002638A5" w:rsidRPr="00C03220">
        <w:rPr>
          <w:rFonts w:ascii="Times New Roman" w:hAnsi="Times New Roman" w:cs="Times New Roman"/>
          <w:lang w:val="pl-PL"/>
        </w:rPr>
        <w:t>realnych</w:t>
      </w:r>
      <w:r w:rsidRPr="00C03220">
        <w:rPr>
          <w:rFonts w:ascii="Times New Roman" w:hAnsi="Times New Roman" w:cs="Times New Roman"/>
          <w:lang w:val="pl-PL"/>
        </w:rPr>
        <w:t xml:space="preserve"> gróźb”, obejmujących takie wypowie</w:t>
      </w:r>
      <w:r w:rsidR="005E5294" w:rsidRPr="00C03220">
        <w:rPr>
          <w:rFonts w:ascii="Times New Roman" w:hAnsi="Times New Roman" w:cs="Times New Roman"/>
          <w:lang w:val="pl-PL"/>
        </w:rPr>
        <w:t>dzi, w których mówiący zamierza</w:t>
      </w:r>
      <w:r w:rsidRPr="00C03220">
        <w:rPr>
          <w:rFonts w:ascii="Times New Roman" w:hAnsi="Times New Roman" w:cs="Times New Roman"/>
          <w:lang w:val="pl-PL"/>
        </w:rPr>
        <w:t xml:space="preserve"> w poważny sposób wyrazić zamiar popełnienia aktu niezgodnej z prawe</w:t>
      </w:r>
      <w:r w:rsidR="005E5294" w:rsidRPr="00C03220">
        <w:rPr>
          <w:rFonts w:ascii="Times New Roman" w:hAnsi="Times New Roman" w:cs="Times New Roman"/>
          <w:lang w:val="pl-PL"/>
        </w:rPr>
        <w:t>m</w:t>
      </w:r>
      <w:r w:rsidRPr="00C03220">
        <w:rPr>
          <w:rFonts w:ascii="Times New Roman" w:hAnsi="Times New Roman" w:cs="Times New Roman"/>
          <w:lang w:val="pl-PL"/>
        </w:rPr>
        <w:t xml:space="preserve"> przemocy względem konkretnej osoby lub grupy osób. Mówiący nie musiał mieć faktycznego zamiaru zrealizowania groźby. Zakaz </w:t>
      </w:r>
      <w:r w:rsidR="002638A5" w:rsidRPr="00C03220">
        <w:rPr>
          <w:rFonts w:ascii="Times New Roman" w:hAnsi="Times New Roman" w:cs="Times New Roman"/>
          <w:lang w:val="pl-PL"/>
        </w:rPr>
        <w:t>realnych</w:t>
      </w:r>
      <w:r w:rsidRPr="00C03220">
        <w:rPr>
          <w:rFonts w:ascii="Times New Roman" w:hAnsi="Times New Roman" w:cs="Times New Roman"/>
          <w:lang w:val="pl-PL"/>
        </w:rPr>
        <w:t xml:space="preserve"> gróźb miał raczej na celu ochronę osób przed strachem przed przemocą i </w:t>
      </w:r>
      <w:r w:rsidR="005E5294" w:rsidRPr="00C03220">
        <w:rPr>
          <w:rFonts w:ascii="Times New Roman" w:hAnsi="Times New Roman" w:cs="Times New Roman"/>
          <w:lang w:val="pl-PL"/>
        </w:rPr>
        <w:t xml:space="preserve">problemami </w:t>
      </w:r>
      <w:r w:rsidRPr="00C03220">
        <w:rPr>
          <w:rFonts w:ascii="Times New Roman" w:hAnsi="Times New Roman" w:cs="Times New Roman"/>
          <w:lang w:val="pl-PL"/>
        </w:rPr>
        <w:t>wywołanym</w:t>
      </w:r>
      <w:r w:rsidR="005E5294" w:rsidRPr="00C03220">
        <w:rPr>
          <w:rFonts w:ascii="Times New Roman" w:hAnsi="Times New Roman" w:cs="Times New Roman"/>
          <w:lang w:val="pl-PL"/>
        </w:rPr>
        <w:t>i strachem</w:t>
      </w:r>
      <w:r w:rsidRPr="00C03220">
        <w:rPr>
          <w:rFonts w:ascii="Times New Roman" w:hAnsi="Times New Roman" w:cs="Times New Roman"/>
          <w:lang w:val="pl-PL"/>
        </w:rPr>
        <w:t xml:space="preserve">, a także przed możliwością użycia zapowiadanej przemocy. Zastraszanie w </w:t>
      </w:r>
      <w:r w:rsidR="008D1A48" w:rsidRPr="00C03220">
        <w:rPr>
          <w:rFonts w:ascii="Times New Roman" w:hAnsi="Times New Roman" w:cs="Times New Roman"/>
          <w:lang w:val="pl-PL"/>
        </w:rPr>
        <w:t xml:space="preserve">konstytucyjnie zakazanym rozumieniu </w:t>
      </w:r>
      <w:r w:rsidRPr="00C03220">
        <w:rPr>
          <w:rFonts w:ascii="Times New Roman" w:hAnsi="Times New Roman" w:cs="Times New Roman"/>
          <w:lang w:val="pl-PL"/>
        </w:rPr>
        <w:t>tego</w:t>
      </w:r>
      <w:r w:rsidR="008D1A48" w:rsidRPr="00C03220">
        <w:rPr>
          <w:rFonts w:ascii="Times New Roman" w:hAnsi="Times New Roman" w:cs="Times New Roman"/>
          <w:lang w:val="pl-PL"/>
        </w:rPr>
        <w:t xml:space="preserve"> termie </w:t>
      </w:r>
      <w:r w:rsidRPr="00C03220">
        <w:rPr>
          <w:rFonts w:ascii="Times New Roman" w:hAnsi="Times New Roman" w:cs="Times New Roman"/>
          <w:lang w:val="pl-PL"/>
        </w:rPr>
        <w:t xml:space="preserve">stanowiło jeden z rodzajów </w:t>
      </w:r>
      <w:r w:rsidR="002638A5" w:rsidRPr="00C03220">
        <w:rPr>
          <w:rFonts w:ascii="Times New Roman" w:hAnsi="Times New Roman" w:cs="Times New Roman"/>
          <w:lang w:val="pl-PL"/>
        </w:rPr>
        <w:t>realnej</w:t>
      </w:r>
      <w:r w:rsidRPr="00C03220">
        <w:rPr>
          <w:rFonts w:ascii="Times New Roman" w:hAnsi="Times New Roman" w:cs="Times New Roman"/>
          <w:lang w:val="pl-PL"/>
        </w:rPr>
        <w:t xml:space="preserve"> groźby, gdzie mówiący kieruje groźbę do osoby lub grupy osób z zamiarem wywołania strachu przed uszkodzeniem ciała bądź odebraniem życia. Na podstawie Pierwszej Poprawki stan Wirginia miał możliwość wydania zakazu palenia krzyży dokonywanego z zamiarem zastraszania, ponieważ </w:t>
      </w:r>
      <w:r w:rsidR="005E5294" w:rsidRPr="00C03220">
        <w:rPr>
          <w:rFonts w:ascii="Times New Roman" w:hAnsi="Times New Roman" w:cs="Times New Roman"/>
          <w:lang w:val="pl-PL"/>
        </w:rPr>
        <w:t>pod</w:t>
      </w:r>
      <w:r w:rsidRPr="00C03220">
        <w:rPr>
          <w:rFonts w:ascii="Times New Roman" w:hAnsi="Times New Roman" w:cs="Times New Roman"/>
          <w:lang w:val="pl-PL"/>
        </w:rPr>
        <w:t>palenie krzyża stanowił</w:t>
      </w:r>
      <w:r w:rsidR="008D1A48" w:rsidRPr="00C03220">
        <w:rPr>
          <w:rFonts w:ascii="Times New Roman" w:hAnsi="Times New Roman" w:cs="Times New Roman"/>
          <w:lang w:val="pl-PL"/>
        </w:rPr>
        <w:t>o</w:t>
      </w:r>
      <w:r w:rsidRPr="00C03220">
        <w:rPr>
          <w:rFonts w:ascii="Times New Roman" w:hAnsi="Times New Roman" w:cs="Times New Roman"/>
          <w:lang w:val="pl-PL"/>
        </w:rPr>
        <w:t xml:space="preserve"> </w:t>
      </w:r>
      <w:r w:rsidR="008D1A48" w:rsidRPr="00C03220">
        <w:rPr>
          <w:rFonts w:ascii="Times New Roman" w:hAnsi="Times New Roman" w:cs="Times New Roman"/>
          <w:lang w:val="pl-PL"/>
        </w:rPr>
        <w:t xml:space="preserve">wybitnie szkodliwą </w:t>
      </w:r>
      <w:r w:rsidRPr="00C03220">
        <w:rPr>
          <w:rFonts w:ascii="Times New Roman" w:hAnsi="Times New Roman" w:cs="Times New Roman"/>
          <w:lang w:val="pl-PL"/>
        </w:rPr>
        <w:t>formę zastraszania.</w:t>
      </w:r>
    </w:p>
    <w:p w:rsidR="004D2070" w:rsidRPr="00C03220" w:rsidRDefault="004D2070" w:rsidP="004D2070">
      <w:pPr>
        <w:pStyle w:val="ECHRTitle1"/>
        <w:rPr>
          <w:rFonts w:ascii="Times New Roman" w:hAnsi="Times New Roman" w:cs="Times New Roman"/>
          <w:lang w:val="pl-PL"/>
        </w:rPr>
      </w:pPr>
      <w:r w:rsidRPr="00C03220">
        <w:rPr>
          <w:rFonts w:ascii="Times New Roman" w:hAnsi="Times New Roman" w:cs="Times New Roman"/>
          <w:lang w:val="pl-PL"/>
        </w:rPr>
        <w:t>PRAWO</w:t>
      </w:r>
    </w:p>
    <w:p w:rsidR="004D2070" w:rsidRPr="00C03220" w:rsidRDefault="004D2070" w:rsidP="005E5294">
      <w:pPr>
        <w:pStyle w:val="ECHRHeading1"/>
        <w:numPr>
          <w:ilvl w:val="0"/>
          <w:numId w:val="0"/>
        </w:numPr>
        <w:rPr>
          <w:rFonts w:ascii="Times New Roman" w:hAnsi="Times New Roman" w:cs="Times New Roman"/>
          <w:b w:val="0"/>
          <w:color w:val="auto"/>
          <w:sz w:val="24"/>
          <w:szCs w:val="24"/>
          <w:lang w:val="pl-PL"/>
        </w:rPr>
      </w:pPr>
      <w:r w:rsidRPr="00C03220">
        <w:rPr>
          <w:rFonts w:ascii="Times New Roman" w:hAnsi="Times New Roman" w:cs="Times New Roman"/>
          <w:b w:val="0"/>
          <w:bCs w:val="0"/>
          <w:color w:val="auto"/>
          <w:sz w:val="24"/>
          <w:szCs w:val="24"/>
          <w:lang w:val="pl-PL"/>
        </w:rPr>
        <w:t>VI.  ZARZUT NARUSZENIA ARTYKUŁU 11 KONWENCJI</w:t>
      </w:r>
    </w:p>
    <w:p w:rsidR="005E5294" w:rsidRPr="00C03220" w:rsidRDefault="005E5294" w:rsidP="004D2070">
      <w:pPr>
        <w:pStyle w:val="ECHRPara"/>
        <w:rPr>
          <w:rFonts w:ascii="Times New Roman" w:hAnsi="Times New Roman" w:cs="Times New Roman"/>
          <w:lang w:val="pl-PL"/>
        </w:rPr>
      </w:pPr>
    </w:p>
    <w:p w:rsidR="004D2070" w:rsidRPr="00C03220" w:rsidRDefault="001552E1" w:rsidP="004D2070">
      <w:pPr>
        <w:pStyle w:val="ECHRPara"/>
        <w:rPr>
          <w:rFonts w:ascii="Times New Roman" w:hAnsi="Times New Roman" w:cs="Times New Roman"/>
          <w:lang w:val="pl-PL"/>
        </w:rPr>
      </w:pPr>
      <w:r w:rsidRPr="00C03220">
        <w:rPr>
          <w:rFonts w:ascii="Times New Roman" w:hAnsi="Times New Roman" w:cs="Times New Roman"/>
          <w:lang w:val="pl-PL"/>
        </w:rPr>
        <w:fldChar w:fldCharType="begin"/>
      </w:r>
      <w:r w:rsidR="004D2070" w:rsidRPr="00C03220">
        <w:rPr>
          <w:rFonts w:ascii="Times New Roman" w:hAnsi="Times New Roman" w:cs="Times New Roman"/>
          <w:lang w:val="pl-PL"/>
        </w:rPr>
        <w:instrText xml:space="preserve"> SEQ level0 \*arabic </w:instrText>
      </w:r>
      <w:r w:rsidRPr="00C03220">
        <w:rPr>
          <w:rFonts w:ascii="Times New Roman" w:hAnsi="Times New Roman" w:cs="Times New Roman"/>
          <w:lang w:val="pl-PL"/>
        </w:rPr>
        <w:fldChar w:fldCharType="separate"/>
      </w:r>
      <w:r w:rsidR="004D2070" w:rsidRPr="00C03220">
        <w:rPr>
          <w:rFonts w:ascii="Times New Roman" w:hAnsi="Times New Roman" w:cs="Times New Roman"/>
          <w:noProof/>
          <w:lang w:val="pl-PL"/>
        </w:rPr>
        <w:t>32</w:t>
      </w:r>
      <w:r w:rsidRPr="00C03220">
        <w:rPr>
          <w:rFonts w:ascii="Times New Roman" w:hAnsi="Times New Roman" w:cs="Times New Roman"/>
          <w:lang w:val="pl-PL"/>
        </w:rPr>
        <w:fldChar w:fldCharType="end"/>
      </w:r>
      <w:r w:rsidR="004D2070" w:rsidRPr="00C03220">
        <w:rPr>
          <w:rFonts w:ascii="Times New Roman" w:hAnsi="Times New Roman" w:cs="Times New Roman"/>
          <w:lang w:val="pl-PL"/>
        </w:rPr>
        <w:t>.  Skarżący podniósł zarzut, że rozwiązanie Stowarzyszenia, którego był przewodniczącym</w:t>
      </w:r>
      <w:r w:rsidR="005E5294" w:rsidRPr="00C03220">
        <w:rPr>
          <w:rFonts w:ascii="Times New Roman" w:hAnsi="Times New Roman" w:cs="Times New Roman"/>
          <w:lang w:val="pl-PL"/>
        </w:rPr>
        <w:t>,</w:t>
      </w:r>
      <w:r w:rsidR="004D2070" w:rsidRPr="00C03220">
        <w:rPr>
          <w:rFonts w:ascii="Times New Roman" w:hAnsi="Times New Roman" w:cs="Times New Roman"/>
          <w:lang w:val="pl-PL"/>
        </w:rPr>
        <w:t xml:space="preserve"> naruszyło jego prawo</w:t>
      </w:r>
      <w:r w:rsidR="005E5294" w:rsidRPr="00C03220">
        <w:rPr>
          <w:rFonts w:ascii="Times New Roman" w:hAnsi="Times New Roman" w:cs="Times New Roman"/>
          <w:lang w:val="pl-PL"/>
        </w:rPr>
        <w:t xml:space="preserve"> do wolności stowarzyszania się</w:t>
      </w:r>
      <w:r w:rsidR="004D2070" w:rsidRPr="00C03220">
        <w:rPr>
          <w:rFonts w:ascii="Times New Roman" w:hAnsi="Times New Roman" w:cs="Times New Roman"/>
          <w:lang w:val="pl-PL"/>
        </w:rPr>
        <w:t xml:space="preserve"> zagwarantowanej </w:t>
      </w:r>
      <w:r w:rsidR="001C0824" w:rsidRPr="00C03220">
        <w:rPr>
          <w:rFonts w:ascii="Times New Roman" w:hAnsi="Times New Roman" w:cs="Times New Roman"/>
          <w:lang w:val="pl-PL"/>
        </w:rPr>
        <w:t>artyku</w:t>
      </w:r>
      <w:r w:rsidR="005E5294" w:rsidRPr="00C03220">
        <w:rPr>
          <w:rFonts w:ascii="Times New Roman" w:hAnsi="Times New Roman" w:cs="Times New Roman"/>
          <w:lang w:val="pl-PL"/>
        </w:rPr>
        <w:t>łem</w:t>
      </w:r>
      <w:r w:rsidR="004D2070" w:rsidRPr="00C03220">
        <w:rPr>
          <w:rFonts w:ascii="Times New Roman" w:hAnsi="Times New Roman" w:cs="Times New Roman"/>
          <w:lang w:val="pl-PL"/>
        </w:rPr>
        <w:t xml:space="preserve"> 11 Konwencji, który stanowi, co następuje:</w:t>
      </w:r>
    </w:p>
    <w:p w:rsidR="004D2070" w:rsidRPr="00C03220" w:rsidRDefault="004D2070" w:rsidP="004D2070">
      <w:pPr>
        <w:pStyle w:val="ECHRParaQuote"/>
        <w:rPr>
          <w:rFonts w:ascii="Times New Roman" w:hAnsi="Times New Roman" w:cs="Times New Roman"/>
          <w:lang w:val="pl-PL"/>
        </w:rPr>
      </w:pPr>
      <w:r w:rsidRPr="00C03220">
        <w:rPr>
          <w:rFonts w:ascii="Times New Roman" w:hAnsi="Times New Roman" w:cs="Times New Roman"/>
          <w:sz w:val="24"/>
          <w:lang w:val="pl-PL"/>
        </w:rPr>
        <w:t>„</w:t>
      </w:r>
      <w:r w:rsidRPr="00C03220">
        <w:rPr>
          <w:rFonts w:ascii="Times New Roman" w:hAnsi="Times New Roman" w:cs="Times New Roman"/>
          <w:lang w:val="pl-PL"/>
        </w:rPr>
        <w:t>1.  Każdy ma prawo do swobodnego, pokojowego zgromadzania się oraz do swobodnego stowarzyszania się, włącznie z prawem tworzenia związków zawodowych i przystępowania do nich dla ochrony swoich interesów.</w:t>
      </w:r>
    </w:p>
    <w:p w:rsidR="004D2070" w:rsidRPr="00C03220" w:rsidRDefault="004D2070" w:rsidP="004D2070">
      <w:pPr>
        <w:pStyle w:val="ECHRParaQuote"/>
        <w:rPr>
          <w:rFonts w:ascii="Times New Roman" w:hAnsi="Times New Roman" w:cs="Times New Roman"/>
          <w:lang w:val="pl-PL"/>
        </w:rPr>
      </w:pPr>
      <w:r w:rsidRPr="00C03220">
        <w:rPr>
          <w:rFonts w:ascii="Times New Roman" w:hAnsi="Times New Roman" w:cs="Times New Roman"/>
          <w:lang w:val="pl-PL"/>
        </w:rPr>
        <w:t>2.  Niedopuszczalna jest ingerencja władzy publicznej w korzystanie z tego prawa z wyjątkiem przypadków przewidzianych przez ustawę i koniecznych w demokratycznym społeczeństwie z uwagi na bezpieczeństwo państwowe, bezpieczeństwo publiczne lub dobrobyt gospodarczy kraju, ochronę porządku i zapobieganie przestępstwom, ochronę zdrowia i moralności lub ochronę praw i wolności osób. Niniejszy przepis nie stanowi przeszkody w nakładaniu zgodnych z prawem ograniczeń w korzystaniu z tych praw przez członków sił zbrojnych, policji lub administracji państwowej.</w:t>
      </w:r>
      <w:r w:rsidR="005E5294" w:rsidRPr="00C03220">
        <w:rPr>
          <w:rFonts w:ascii="Times New Roman" w:hAnsi="Times New Roman" w:cs="Times New Roman"/>
          <w:lang w:val="pl-PL"/>
        </w:rPr>
        <w:t>”</w:t>
      </w:r>
    </w:p>
    <w:p w:rsidR="004D2070" w:rsidRPr="00C03220" w:rsidRDefault="004D2070" w:rsidP="004D2070">
      <w:pPr>
        <w:pStyle w:val="ECHRPara"/>
        <w:rPr>
          <w:rFonts w:ascii="Times New Roman" w:hAnsi="Times New Roman" w:cs="Times New Roman"/>
          <w:lang w:val="pl-PL"/>
        </w:rPr>
      </w:pPr>
      <w:r w:rsidRPr="00C03220">
        <w:rPr>
          <w:rFonts w:ascii="Times New Roman" w:hAnsi="Times New Roman" w:cs="Times New Roman"/>
          <w:lang w:val="pl-PL"/>
        </w:rPr>
        <w:lastRenderedPageBreak/>
        <w:t>Rząd zakwestionował to twierdzenie.</w:t>
      </w:r>
    </w:p>
    <w:p w:rsidR="004D2070" w:rsidRPr="00C03220" w:rsidRDefault="004D2070" w:rsidP="005E5294">
      <w:pPr>
        <w:pStyle w:val="ECHRHeading2"/>
        <w:numPr>
          <w:ilvl w:val="0"/>
          <w:numId w:val="0"/>
        </w:numPr>
        <w:outlineLvl w:val="0"/>
        <w:rPr>
          <w:rFonts w:ascii="Times New Roman" w:hAnsi="Times New Roman" w:cs="Times New Roman"/>
          <w:sz w:val="24"/>
          <w:szCs w:val="24"/>
          <w:lang w:val="pl-PL"/>
        </w:rPr>
      </w:pPr>
      <w:r w:rsidRPr="00C03220">
        <w:rPr>
          <w:rFonts w:ascii="Times New Roman" w:hAnsi="Times New Roman" w:cs="Times New Roman"/>
          <w:sz w:val="24"/>
          <w:szCs w:val="24"/>
          <w:lang w:val="pl-PL"/>
        </w:rPr>
        <w:t>A.  Dopuszczalność</w:t>
      </w:r>
    </w:p>
    <w:p w:rsidR="005E5294" w:rsidRPr="00C03220" w:rsidRDefault="005E5294" w:rsidP="004D2070">
      <w:pPr>
        <w:pStyle w:val="ECHRPara"/>
        <w:rPr>
          <w:rFonts w:ascii="Times New Roman" w:hAnsi="Times New Roman" w:cs="Times New Roman"/>
          <w:lang w:val="pl-PL"/>
        </w:rPr>
      </w:pPr>
    </w:p>
    <w:p w:rsidR="004D2070" w:rsidRPr="00C03220" w:rsidRDefault="001552E1" w:rsidP="004D2070">
      <w:pPr>
        <w:pStyle w:val="ECHRPara"/>
        <w:rPr>
          <w:rFonts w:ascii="Times New Roman" w:hAnsi="Times New Roman" w:cs="Times New Roman"/>
          <w:lang w:val="pl-PL"/>
        </w:rPr>
      </w:pPr>
      <w:r w:rsidRPr="00C03220">
        <w:rPr>
          <w:rFonts w:ascii="Times New Roman" w:hAnsi="Times New Roman" w:cs="Times New Roman"/>
          <w:lang w:val="pl-PL"/>
        </w:rPr>
        <w:fldChar w:fldCharType="begin"/>
      </w:r>
      <w:r w:rsidR="004D2070" w:rsidRPr="00C03220">
        <w:rPr>
          <w:rFonts w:ascii="Times New Roman" w:hAnsi="Times New Roman" w:cs="Times New Roman"/>
          <w:lang w:val="pl-PL"/>
        </w:rPr>
        <w:instrText xml:space="preserve"> SEQ level0 \*arabic </w:instrText>
      </w:r>
      <w:r w:rsidRPr="00C03220">
        <w:rPr>
          <w:rFonts w:ascii="Times New Roman" w:hAnsi="Times New Roman" w:cs="Times New Roman"/>
          <w:lang w:val="pl-PL"/>
        </w:rPr>
        <w:fldChar w:fldCharType="separate"/>
      </w:r>
      <w:r w:rsidR="004D2070" w:rsidRPr="00C03220">
        <w:rPr>
          <w:rFonts w:ascii="Times New Roman" w:hAnsi="Times New Roman" w:cs="Times New Roman"/>
          <w:noProof/>
          <w:lang w:val="pl-PL"/>
        </w:rPr>
        <w:t>33</w:t>
      </w:r>
      <w:r w:rsidRPr="00C03220">
        <w:rPr>
          <w:rFonts w:ascii="Times New Roman" w:hAnsi="Times New Roman" w:cs="Times New Roman"/>
          <w:lang w:val="pl-PL"/>
        </w:rPr>
        <w:fldChar w:fldCharType="end"/>
      </w:r>
      <w:r w:rsidR="004D2070" w:rsidRPr="00C03220">
        <w:rPr>
          <w:rFonts w:ascii="Times New Roman" w:hAnsi="Times New Roman" w:cs="Times New Roman"/>
          <w:lang w:val="pl-PL"/>
        </w:rPr>
        <w:t xml:space="preserve">.  Zdaniem Rządu skarga powinna zostać uznana za niedopuszczalną ze względu na niezgodność </w:t>
      </w:r>
      <w:r w:rsidR="004D2070" w:rsidRPr="00C03220">
        <w:rPr>
          <w:rFonts w:ascii="Times New Roman" w:hAnsi="Times New Roman" w:cs="Times New Roman"/>
          <w:i/>
          <w:iCs/>
          <w:lang w:val="pl-PL"/>
        </w:rPr>
        <w:t>ratione materiae</w:t>
      </w:r>
      <w:r w:rsidR="004D2070" w:rsidRPr="00C03220">
        <w:rPr>
          <w:rFonts w:ascii="Times New Roman" w:hAnsi="Times New Roman" w:cs="Times New Roman"/>
          <w:lang w:val="pl-PL"/>
        </w:rPr>
        <w:t xml:space="preserve"> z postanowieniami Konwencji w świetle artykułu 17, ponieważ Stowarzyszenie </w:t>
      </w:r>
      <w:r w:rsidR="005E5294" w:rsidRPr="00C03220">
        <w:rPr>
          <w:rFonts w:ascii="Times New Roman" w:hAnsi="Times New Roman" w:cs="Times New Roman"/>
          <w:lang w:val="pl-PL"/>
        </w:rPr>
        <w:t xml:space="preserve">proponowało </w:t>
      </w:r>
      <w:r w:rsidR="004D2070" w:rsidRPr="00C03220">
        <w:rPr>
          <w:rFonts w:ascii="Times New Roman" w:hAnsi="Times New Roman" w:cs="Times New Roman"/>
          <w:lang w:val="pl-PL"/>
        </w:rPr>
        <w:t xml:space="preserve">instytucjonalne ramy wyrażania nienawiści rasowej względem obywateli pochodzenia żydowskiego i romskiego. Rząd zwrócił uwagę na fakt, że międzynarodowe organy monitorujące przestrzeganie praw człowieka (przykładowo Komitet Doradczy </w:t>
      </w:r>
      <w:r w:rsidR="00CA7150" w:rsidRPr="00C03220">
        <w:rPr>
          <w:rFonts w:ascii="Times New Roman" w:hAnsi="Times New Roman" w:cs="Times New Roman"/>
          <w:lang w:val="pl-PL"/>
        </w:rPr>
        <w:t>k</w:t>
      </w:r>
      <w:r w:rsidR="004D2070" w:rsidRPr="00C03220">
        <w:rPr>
          <w:rFonts w:ascii="Times New Roman" w:hAnsi="Times New Roman" w:cs="Times New Roman"/>
          <w:bCs/>
          <w:color w:val="252525"/>
          <w:szCs w:val="24"/>
          <w:shd w:val="clear" w:color="auto" w:fill="FFFFFF"/>
          <w:lang w:val="pl-PL"/>
        </w:rPr>
        <w:t xml:space="preserve">onwencji </w:t>
      </w:r>
      <w:r w:rsidR="00CA7150" w:rsidRPr="00C03220">
        <w:rPr>
          <w:rFonts w:ascii="Times New Roman" w:hAnsi="Times New Roman" w:cs="Times New Roman"/>
          <w:bCs/>
          <w:color w:val="252525"/>
          <w:szCs w:val="24"/>
          <w:shd w:val="clear" w:color="auto" w:fill="FFFFFF"/>
          <w:lang w:val="pl-PL"/>
        </w:rPr>
        <w:t>r</w:t>
      </w:r>
      <w:r w:rsidR="004D2070" w:rsidRPr="00C03220">
        <w:rPr>
          <w:rFonts w:ascii="Times New Roman" w:hAnsi="Times New Roman" w:cs="Times New Roman"/>
          <w:bCs/>
          <w:color w:val="252525"/>
          <w:szCs w:val="24"/>
          <w:shd w:val="clear" w:color="auto" w:fill="FFFFFF"/>
          <w:lang w:val="pl-PL"/>
        </w:rPr>
        <w:t xml:space="preserve">amowej o </w:t>
      </w:r>
      <w:r w:rsidR="00CA7150" w:rsidRPr="00C03220">
        <w:rPr>
          <w:rFonts w:ascii="Times New Roman" w:hAnsi="Times New Roman" w:cs="Times New Roman"/>
          <w:bCs/>
          <w:color w:val="252525"/>
          <w:szCs w:val="24"/>
          <w:shd w:val="clear" w:color="auto" w:fill="FFFFFF"/>
          <w:lang w:val="pl-PL"/>
        </w:rPr>
        <w:t>o</w:t>
      </w:r>
      <w:r w:rsidR="004D2070" w:rsidRPr="00C03220">
        <w:rPr>
          <w:rFonts w:ascii="Times New Roman" w:hAnsi="Times New Roman" w:cs="Times New Roman"/>
          <w:bCs/>
          <w:color w:val="252525"/>
          <w:szCs w:val="24"/>
          <w:shd w:val="clear" w:color="auto" w:fill="FFFFFF"/>
          <w:lang w:val="pl-PL"/>
        </w:rPr>
        <w:t xml:space="preserve">chronie </w:t>
      </w:r>
      <w:r w:rsidR="00CA7150" w:rsidRPr="00C03220">
        <w:rPr>
          <w:rFonts w:ascii="Times New Roman" w:hAnsi="Times New Roman" w:cs="Times New Roman"/>
          <w:bCs/>
          <w:color w:val="252525"/>
          <w:szCs w:val="24"/>
          <w:shd w:val="clear" w:color="auto" w:fill="FFFFFF"/>
          <w:lang w:val="pl-PL"/>
        </w:rPr>
        <w:t>m</w:t>
      </w:r>
      <w:r w:rsidR="004D2070" w:rsidRPr="00C03220">
        <w:rPr>
          <w:rFonts w:ascii="Times New Roman" w:hAnsi="Times New Roman" w:cs="Times New Roman"/>
          <w:bCs/>
          <w:color w:val="252525"/>
          <w:szCs w:val="24"/>
          <w:shd w:val="clear" w:color="auto" w:fill="FFFFFF"/>
          <w:lang w:val="pl-PL"/>
        </w:rPr>
        <w:t xml:space="preserve">niejszości </w:t>
      </w:r>
      <w:r w:rsidR="00CA7150" w:rsidRPr="00C03220">
        <w:rPr>
          <w:rFonts w:ascii="Times New Roman" w:hAnsi="Times New Roman" w:cs="Times New Roman"/>
          <w:bCs/>
          <w:color w:val="252525"/>
          <w:szCs w:val="24"/>
          <w:shd w:val="clear" w:color="auto" w:fill="FFFFFF"/>
          <w:lang w:val="pl-PL"/>
        </w:rPr>
        <w:t>n</w:t>
      </w:r>
      <w:r w:rsidR="004D2070" w:rsidRPr="00C03220">
        <w:rPr>
          <w:rFonts w:ascii="Times New Roman" w:hAnsi="Times New Roman" w:cs="Times New Roman"/>
          <w:bCs/>
          <w:color w:val="252525"/>
          <w:szCs w:val="24"/>
          <w:shd w:val="clear" w:color="auto" w:fill="FFFFFF"/>
          <w:lang w:val="pl-PL"/>
        </w:rPr>
        <w:t>arodowych</w:t>
      </w:r>
      <w:r w:rsidR="004D2070" w:rsidRPr="00C03220">
        <w:rPr>
          <w:rFonts w:ascii="Times New Roman" w:hAnsi="Times New Roman" w:cs="Times New Roman"/>
          <w:lang w:val="pl-PL"/>
        </w:rPr>
        <w:t xml:space="preserve"> i Europejska Komisja przeciwko Rasizmowi i Nietolerancji, zob. par. 26 - 28 powyżej) także wyraziły zaniepokojenie odnośnie do efektu zagrożenia </w:t>
      </w:r>
      <w:r w:rsidR="001C0824" w:rsidRPr="00C03220">
        <w:rPr>
          <w:rFonts w:ascii="Times New Roman" w:hAnsi="Times New Roman" w:cs="Times New Roman"/>
          <w:lang w:val="pl-PL"/>
        </w:rPr>
        <w:t>wynikającego</w:t>
      </w:r>
      <w:r w:rsidR="004D2070" w:rsidRPr="00C03220">
        <w:rPr>
          <w:rFonts w:ascii="Times New Roman" w:hAnsi="Times New Roman" w:cs="Times New Roman"/>
          <w:lang w:val="pl-PL"/>
        </w:rPr>
        <w:t xml:space="preserve"> z umundurowania, insygniów i flag stosowanych </w:t>
      </w:r>
      <w:r w:rsidR="001C0824" w:rsidRPr="00C03220">
        <w:rPr>
          <w:rFonts w:ascii="Times New Roman" w:hAnsi="Times New Roman" w:cs="Times New Roman"/>
          <w:lang w:val="pl-PL"/>
        </w:rPr>
        <w:t>wykorzystywanych</w:t>
      </w:r>
      <w:r w:rsidR="004D2070" w:rsidRPr="00C03220">
        <w:rPr>
          <w:rFonts w:ascii="Times New Roman" w:hAnsi="Times New Roman" w:cs="Times New Roman"/>
          <w:lang w:val="pl-PL"/>
        </w:rPr>
        <w:t xml:space="preserve"> podczas demonstracji Ruchu.</w:t>
      </w:r>
    </w:p>
    <w:p w:rsidR="004D2070" w:rsidRPr="00C03220" w:rsidRDefault="001552E1" w:rsidP="004D2070">
      <w:pPr>
        <w:pStyle w:val="ECHRPara"/>
        <w:rPr>
          <w:rFonts w:ascii="Times New Roman" w:hAnsi="Times New Roman" w:cs="Times New Roman"/>
          <w:i/>
          <w:lang w:val="pl-PL"/>
        </w:rPr>
      </w:pPr>
      <w:r w:rsidRPr="00C03220">
        <w:rPr>
          <w:rFonts w:ascii="Times New Roman" w:hAnsi="Times New Roman" w:cs="Times New Roman"/>
          <w:lang w:val="pl-PL"/>
        </w:rPr>
        <w:fldChar w:fldCharType="begin"/>
      </w:r>
      <w:r w:rsidR="004D2070" w:rsidRPr="00C03220">
        <w:rPr>
          <w:rFonts w:ascii="Times New Roman" w:hAnsi="Times New Roman" w:cs="Times New Roman"/>
          <w:lang w:val="pl-PL"/>
        </w:rPr>
        <w:instrText xml:space="preserve"> SEQ level0 \*arabic </w:instrText>
      </w:r>
      <w:r w:rsidRPr="00C03220">
        <w:rPr>
          <w:rFonts w:ascii="Times New Roman" w:hAnsi="Times New Roman" w:cs="Times New Roman"/>
          <w:lang w:val="pl-PL"/>
        </w:rPr>
        <w:fldChar w:fldCharType="separate"/>
      </w:r>
      <w:r w:rsidR="004D2070" w:rsidRPr="00C03220">
        <w:rPr>
          <w:rFonts w:ascii="Times New Roman" w:hAnsi="Times New Roman" w:cs="Times New Roman"/>
          <w:noProof/>
          <w:lang w:val="pl-PL"/>
        </w:rPr>
        <w:t>34</w:t>
      </w:r>
      <w:r w:rsidRPr="00C03220">
        <w:rPr>
          <w:rFonts w:ascii="Times New Roman" w:hAnsi="Times New Roman" w:cs="Times New Roman"/>
          <w:lang w:val="pl-PL"/>
        </w:rPr>
        <w:fldChar w:fldCharType="end"/>
      </w:r>
      <w:r w:rsidR="004D2070" w:rsidRPr="00C03220">
        <w:rPr>
          <w:rFonts w:ascii="Times New Roman" w:hAnsi="Times New Roman" w:cs="Times New Roman"/>
          <w:lang w:val="pl-PL"/>
        </w:rPr>
        <w:t>.  </w:t>
      </w:r>
      <w:r w:rsidR="004D2070" w:rsidRPr="00C03220">
        <w:rPr>
          <w:rStyle w:val="sb8d990e2"/>
          <w:rFonts w:ascii="Times New Roman" w:hAnsi="Times New Roman" w:cs="Times New Roman"/>
          <w:lang w:val="pl-PL"/>
        </w:rPr>
        <w:t xml:space="preserve">Rząd odniósł </w:t>
      </w:r>
      <w:r w:rsidR="006B1DF1" w:rsidRPr="00C03220">
        <w:rPr>
          <w:rStyle w:val="sb8d990e2"/>
          <w:rFonts w:ascii="Times New Roman" w:hAnsi="Times New Roman" w:cs="Times New Roman"/>
          <w:lang w:val="pl-PL"/>
        </w:rPr>
        <w:t>się</w:t>
      </w:r>
      <w:r w:rsidR="004D2070" w:rsidRPr="00C03220">
        <w:rPr>
          <w:rStyle w:val="sb8d990e2"/>
          <w:rFonts w:ascii="Times New Roman" w:hAnsi="Times New Roman" w:cs="Times New Roman"/>
          <w:lang w:val="pl-PL"/>
        </w:rPr>
        <w:t xml:space="preserve"> do orzecznictwa instytucji Konwencji, w tym decyzji Trybunału w sprawie </w:t>
      </w:r>
      <w:r w:rsidR="004D2070" w:rsidRPr="00C03220">
        <w:rPr>
          <w:rStyle w:val="s6b621b36"/>
          <w:rFonts w:ascii="Times New Roman" w:hAnsi="Times New Roman" w:cs="Times New Roman"/>
          <w:i/>
          <w:iCs/>
          <w:lang w:val="pl-PL"/>
        </w:rPr>
        <w:t>Garaudy przeciwko Francji</w:t>
      </w:r>
      <w:r w:rsidR="004D2070" w:rsidRPr="00C03220">
        <w:rPr>
          <w:rStyle w:val="sb8d990e2"/>
          <w:rFonts w:ascii="Times New Roman" w:hAnsi="Times New Roman" w:cs="Times New Roman"/>
          <w:lang w:val="pl-PL"/>
        </w:rPr>
        <w:t xml:space="preserve"> (24 czerwca 2003 r., nr 65831/01, ETPCz 2003-IX (fragmenty)). Rząd wskazał, że w sytuacji, gdy skarżący odwoływali się do wolności wyrażania opinii w </w:t>
      </w:r>
      <w:r w:rsidR="001C0824" w:rsidRPr="00C03220">
        <w:rPr>
          <w:rStyle w:val="sb8d990e2"/>
          <w:rFonts w:ascii="Times New Roman" w:hAnsi="Times New Roman" w:cs="Times New Roman"/>
          <w:lang w:val="pl-PL"/>
        </w:rPr>
        <w:t>celu</w:t>
      </w:r>
      <w:r w:rsidR="004D2070" w:rsidRPr="00C03220">
        <w:rPr>
          <w:rStyle w:val="sb8d990e2"/>
          <w:rFonts w:ascii="Times New Roman" w:hAnsi="Times New Roman" w:cs="Times New Roman"/>
          <w:lang w:val="pl-PL"/>
        </w:rPr>
        <w:t xml:space="preserve"> uzasadnienia publikacji tekstów naruszających ducha Konwencji oraz podstawowe zasady demokracj</w:t>
      </w:r>
      <w:r w:rsidR="00CA7150" w:rsidRPr="00C03220">
        <w:rPr>
          <w:rStyle w:val="sb8d990e2"/>
          <w:rFonts w:ascii="Times New Roman" w:hAnsi="Times New Roman" w:cs="Times New Roman"/>
          <w:lang w:val="pl-PL"/>
        </w:rPr>
        <w:t>i</w:t>
      </w:r>
      <w:r w:rsidR="004D2070" w:rsidRPr="00C03220">
        <w:rPr>
          <w:rStyle w:val="sb8d990e2"/>
          <w:rFonts w:ascii="Times New Roman" w:hAnsi="Times New Roman" w:cs="Times New Roman"/>
          <w:lang w:val="pl-PL"/>
        </w:rPr>
        <w:t xml:space="preserve">, Europejska Komisja Praw Człowieka powołała się na przepis artykułu 17 Konwencji, zarówno bezpośrednio jak i pośrednio, w celu odrzucenia ich </w:t>
      </w:r>
      <w:r w:rsidR="001C0824" w:rsidRPr="00C03220">
        <w:rPr>
          <w:rStyle w:val="sb8d990e2"/>
          <w:rFonts w:ascii="Times New Roman" w:hAnsi="Times New Roman" w:cs="Times New Roman"/>
          <w:lang w:val="pl-PL"/>
        </w:rPr>
        <w:t>argumentów</w:t>
      </w:r>
      <w:r w:rsidR="004D2070" w:rsidRPr="00C03220">
        <w:rPr>
          <w:rStyle w:val="sb8d990e2"/>
          <w:rFonts w:ascii="Times New Roman" w:hAnsi="Times New Roman" w:cs="Times New Roman"/>
          <w:lang w:val="pl-PL"/>
        </w:rPr>
        <w:t xml:space="preserve"> i uznania skarg za niedopuszczalne (wśród przykładów wymieniono </w:t>
      </w:r>
      <w:r w:rsidR="004D2070" w:rsidRPr="00C03220">
        <w:rPr>
          <w:rStyle w:val="s6b621b36"/>
          <w:rFonts w:ascii="Times New Roman" w:hAnsi="Times New Roman" w:cs="Times New Roman"/>
          <w:i/>
          <w:iCs/>
          <w:lang w:val="pl-PL"/>
        </w:rPr>
        <w:t>Glimmerveen i Hagenbeek przeciwko Holandii</w:t>
      </w:r>
      <w:r w:rsidR="004D2070" w:rsidRPr="00C03220">
        <w:rPr>
          <w:rStyle w:val="sb8d990e2"/>
          <w:rFonts w:ascii="Times New Roman" w:hAnsi="Times New Roman" w:cs="Times New Roman"/>
          <w:lang w:val="pl-PL"/>
        </w:rPr>
        <w:t xml:space="preserve">, nr 8348/78 i 8406/78 (połączone), decyzja Komisji z 11 października 1979 r., Decyzje i Raporty (DR) 18, str. 187 oraz </w:t>
      </w:r>
      <w:r w:rsidR="004D2070" w:rsidRPr="00C03220">
        <w:rPr>
          <w:rStyle w:val="s6b621b36"/>
          <w:rFonts w:ascii="Times New Roman" w:hAnsi="Times New Roman" w:cs="Times New Roman"/>
          <w:i/>
          <w:iCs/>
          <w:lang w:val="pl-PL"/>
        </w:rPr>
        <w:t>Pierre Marais przeciwko Francji</w:t>
      </w:r>
      <w:r w:rsidR="004D2070" w:rsidRPr="00C03220">
        <w:rPr>
          <w:rStyle w:val="sb8d990e2"/>
          <w:rFonts w:ascii="Times New Roman" w:hAnsi="Times New Roman" w:cs="Times New Roman"/>
          <w:lang w:val="pl-PL"/>
        </w:rPr>
        <w:t xml:space="preserve">, nr 31159/96, decyzja Komisji z dnia 24 czerwca 1996 r., DR 86, str. 184). W opinii Rządu </w:t>
      </w:r>
      <w:r w:rsidR="00CA7150" w:rsidRPr="00C03220">
        <w:rPr>
          <w:rStyle w:val="sb8d990e2"/>
          <w:rFonts w:ascii="Times New Roman" w:hAnsi="Times New Roman" w:cs="Times New Roman"/>
          <w:lang w:val="pl-PL"/>
        </w:rPr>
        <w:t xml:space="preserve">w późniejszym czasie </w:t>
      </w:r>
      <w:r w:rsidR="004D2070" w:rsidRPr="00C03220">
        <w:rPr>
          <w:rStyle w:val="sb8d990e2"/>
          <w:rFonts w:ascii="Times New Roman" w:hAnsi="Times New Roman" w:cs="Times New Roman"/>
          <w:lang w:val="pl-PL"/>
        </w:rPr>
        <w:t>Trybunał potwierdził</w:t>
      </w:r>
      <w:r w:rsidR="00CA7150" w:rsidRPr="00C03220">
        <w:rPr>
          <w:rStyle w:val="sb8d990e2"/>
          <w:rFonts w:ascii="Times New Roman" w:hAnsi="Times New Roman" w:cs="Times New Roman"/>
          <w:lang w:val="pl-PL"/>
        </w:rPr>
        <w:t xml:space="preserve"> </w:t>
      </w:r>
      <w:r w:rsidR="004D2070" w:rsidRPr="00C03220">
        <w:rPr>
          <w:rStyle w:val="sb8d990e2"/>
          <w:rFonts w:ascii="Times New Roman" w:hAnsi="Times New Roman" w:cs="Times New Roman"/>
          <w:lang w:val="pl-PL"/>
        </w:rPr>
        <w:t xml:space="preserve">to podejście (Rząd powołał się na wyrok w sprawie </w:t>
      </w:r>
      <w:r w:rsidR="004D2070" w:rsidRPr="00C03220">
        <w:rPr>
          <w:rStyle w:val="s6b621b36"/>
          <w:rFonts w:ascii="Times New Roman" w:hAnsi="Times New Roman" w:cs="Times New Roman"/>
          <w:i/>
          <w:iCs/>
          <w:lang w:val="pl-PL"/>
        </w:rPr>
        <w:t>Lehideux i Isorni przeciwko Francji</w:t>
      </w:r>
      <w:r w:rsidR="004D2070" w:rsidRPr="00C03220">
        <w:rPr>
          <w:rStyle w:val="sb8d990e2"/>
          <w:rFonts w:ascii="Times New Roman" w:hAnsi="Times New Roman" w:cs="Times New Roman"/>
          <w:lang w:val="pl-PL"/>
        </w:rPr>
        <w:t xml:space="preserve">, 23 września 1998 r., §§ 47 i 53, </w:t>
      </w:r>
      <w:r w:rsidR="004D2070" w:rsidRPr="00C03220">
        <w:rPr>
          <w:rStyle w:val="s6b621b36"/>
          <w:rFonts w:ascii="Times New Roman" w:hAnsi="Times New Roman" w:cs="Times New Roman"/>
          <w:i/>
          <w:iCs/>
          <w:lang w:val="pl-PL"/>
        </w:rPr>
        <w:t>Raporty Wyroków i Decyzji</w:t>
      </w:r>
      <w:r w:rsidR="004D2070" w:rsidRPr="00C03220">
        <w:rPr>
          <w:rStyle w:val="sb8d990e2"/>
          <w:rFonts w:ascii="Times New Roman" w:hAnsi="Times New Roman" w:cs="Times New Roman"/>
          <w:lang w:val="pl-PL"/>
        </w:rPr>
        <w:t xml:space="preserve"> 1998-VII). Ponadto Rząd podkreślił, że w sprawie dotyczącej naruszenia artykułu 11 (</w:t>
      </w:r>
      <w:r w:rsidR="004D2070" w:rsidRPr="00C03220">
        <w:rPr>
          <w:rStyle w:val="s6b621b36"/>
          <w:rFonts w:ascii="Times New Roman" w:hAnsi="Times New Roman" w:cs="Times New Roman"/>
          <w:i/>
          <w:iCs/>
          <w:lang w:val="pl-PL"/>
        </w:rPr>
        <w:t>W.P. i Inni przeciwko Polsce</w:t>
      </w:r>
      <w:r w:rsidR="004D2070" w:rsidRPr="00C03220">
        <w:rPr>
          <w:rStyle w:val="sb8d990e2"/>
          <w:rFonts w:ascii="Times New Roman" w:hAnsi="Times New Roman" w:cs="Times New Roman"/>
          <w:lang w:val="pl-PL"/>
        </w:rPr>
        <w:t xml:space="preserve"> (dec.), nr 42264/98, 2 września 2004 r., </w:t>
      </w:r>
      <w:r w:rsidR="004D2070" w:rsidRPr="00C03220">
        <w:rPr>
          <w:rStyle w:val="s6b621b36"/>
          <w:rFonts w:ascii="Times New Roman" w:hAnsi="Times New Roman" w:cs="Times New Roman"/>
          <w:i/>
          <w:iCs/>
          <w:lang w:val="pl-PL"/>
        </w:rPr>
        <w:t>Raporty</w:t>
      </w:r>
      <w:r w:rsidR="004D2070" w:rsidRPr="00C03220">
        <w:rPr>
          <w:rStyle w:val="sb8d990e2"/>
          <w:rFonts w:ascii="Times New Roman" w:hAnsi="Times New Roman" w:cs="Times New Roman"/>
          <w:lang w:val="pl-PL"/>
        </w:rPr>
        <w:t xml:space="preserve"> 2004-VII), Trybunał zauważył, że „ogólnym celem przepisu artykułu 17 jest zapobieganie wykorzystywaniu przez grupy totalitarne zasad określonych Konwencją we własnych celach.” Do podobnych wniosków Trybunał doszedł w sprawach </w:t>
      </w:r>
      <w:r w:rsidR="004D2070" w:rsidRPr="00C03220">
        <w:rPr>
          <w:rStyle w:val="s6b621b36"/>
          <w:rFonts w:ascii="Times New Roman" w:hAnsi="Times New Roman" w:cs="Times New Roman"/>
          <w:i/>
          <w:iCs/>
          <w:lang w:val="pl-PL"/>
        </w:rPr>
        <w:t>Norwood przeciwko Zjednoczonemu Królestwu</w:t>
      </w:r>
      <w:r w:rsidR="00C03220">
        <w:rPr>
          <w:rStyle w:val="sb8d990e2"/>
          <w:rFonts w:ascii="Times New Roman" w:hAnsi="Times New Roman" w:cs="Times New Roman"/>
          <w:lang w:val="pl-PL"/>
        </w:rPr>
        <w:t xml:space="preserve"> ((</w:t>
      </w:r>
      <w:r w:rsidR="004D2070" w:rsidRPr="00C03220">
        <w:rPr>
          <w:rStyle w:val="sb8d990e2"/>
          <w:rFonts w:ascii="Times New Roman" w:hAnsi="Times New Roman" w:cs="Times New Roman"/>
          <w:lang w:val="pl-PL"/>
        </w:rPr>
        <w:t xml:space="preserve">dec.), nr 23131/03, 16 listopada 2004 r., </w:t>
      </w:r>
      <w:r w:rsidR="004D2070" w:rsidRPr="00C03220">
        <w:rPr>
          <w:rStyle w:val="s6b621b36"/>
          <w:rFonts w:ascii="Times New Roman" w:hAnsi="Times New Roman" w:cs="Times New Roman"/>
          <w:i/>
          <w:iCs/>
          <w:lang w:val="pl-PL"/>
        </w:rPr>
        <w:t>Raporty</w:t>
      </w:r>
      <w:r w:rsidR="004D2070" w:rsidRPr="00C03220">
        <w:rPr>
          <w:rStyle w:val="sb8d990e2"/>
          <w:rFonts w:ascii="Times New Roman" w:hAnsi="Times New Roman" w:cs="Times New Roman"/>
          <w:lang w:val="pl-PL"/>
        </w:rPr>
        <w:t xml:space="preserve"> 2004-XI) oraz </w:t>
      </w:r>
      <w:r w:rsidR="004D2070" w:rsidRPr="00C03220">
        <w:rPr>
          <w:rStyle w:val="s6b621b36"/>
          <w:rFonts w:ascii="Times New Roman" w:hAnsi="Times New Roman" w:cs="Times New Roman"/>
          <w:i/>
          <w:iCs/>
          <w:lang w:val="pl-PL"/>
        </w:rPr>
        <w:t>Witzsch przeciwko Niemcom</w:t>
      </w:r>
      <w:r w:rsidR="004D2070" w:rsidRPr="00C03220">
        <w:rPr>
          <w:rStyle w:val="sb8d990e2"/>
          <w:rFonts w:ascii="Times New Roman" w:hAnsi="Times New Roman" w:cs="Times New Roman"/>
          <w:lang w:val="pl-PL"/>
        </w:rPr>
        <w:t xml:space="preserve"> ((dec.), nr 7485/03, 13 grudnia 2005 r.; Rząd odniósł się</w:t>
      </w:r>
      <w:r w:rsidR="00685D98" w:rsidRPr="00C03220">
        <w:rPr>
          <w:rStyle w:val="sb8d990e2"/>
          <w:rFonts w:ascii="Times New Roman" w:hAnsi="Times New Roman" w:cs="Times New Roman"/>
          <w:lang w:val="pl-PL"/>
        </w:rPr>
        <w:t>, na zasadzie przeciwieństwa,</w:t>
      </w:r>
      <w:r w:rsidR="004D2070" w:rsidRPr="00C03220">
        <w:rPr>
          <w:rStyle w:val="sb8d990e2"/>
          <w:rFonts w:ascii="Times New Roman" w:hAnsi="Times New Roman" w:cs="Times New Roman"/>
          <w:lang w:val="pl-PL"/>
        </w:rPr>
        <w:t xml:space="preserve"> do wyroku w sprawie</w:t>
      </w:r>
      <w:r w:rsidR="001C0824" w:rsidRPr="00C03220">
        <w:rPr>
          <w:rStyle w:val="sb8d990e2"/>
          <w:rFonts w:ascii="Times New Roman" w:hAnsi="Times New Roman" w:cs="Times New Roman"/>
          <w:lang w:val="pl-PL"/>
        </w:rPr>
        <w:t xml:space="preserve"> </w:t>
      </w:r>
      <w:r w:rsidR="004D2070" w:rsidRPr="00C03220">
        <w:rPr>
          <w:rFonts w:ascii="Times New Roman" w:hAnsi="Times New Roman" w:cs="Times New Roman"/>
          <w:i/>
          <w:iCs/>
          <w:lang w:val="pl-PL"/>
        </w:rPr>
        <w:t>Vajnai przeciwko Węgrom</w:t>
      </w:r>
      <w:r w:rsidR="004D2070" w:rsidRPr="00C03220">
        <w:rPr>
          <w:rFonts w:ascii="Times New Roman" w:hAnsi="Times New Roman" w:cs="Times New Roman"/>
          <w:lang w:val="pl-PL"/>
        </w:rPr>
        <w:t xml:space="preserve"> (nr 33629/06, § 25, ETPCz 2008)).</w:t>
      </w:r>
    </w:p>
    <w:p w:rsidR="004D2070" w:rsidRPr="00C03220" w:rsidRDefault="001552E1" w:rsidP="004D2070">
      <w:pPr>
        <w:pStyle w:val="ECHRPara"/>
        <w:rPr>
          <w:rFonts w:ascii="Times New Roman" w:hAnsi="Times New Roman" w:cs="Times New Roman"/>
          <w:lang w:val="pl-PL"/>
        </w:rPr>
      </w:pPr>
      <w:r w:rsidRPr="00C03220">
        <w:rPr>
          <w:rFonts w:ascii="Times New Roman" w:hAnsi="Times New Roman" w:cs="Times New Roman"/>
          <w:lang w:val="pl-PL"/>
        </w:rPr>
        <w:fldChar w:fldCharType="begin"/>
      </w:r>
      <w:r w:rsidR="004D2070" w:rsidRPr="00C03220">
        <w:rPr>
          <w:rFonts w:ascii="Times New Roman" w:hAnsi="Times New Roman" w:cs="Times New Roman"/>
          <w:lang w:val="pl-PL"/>
        </w:rPr>
        <w:instrText xml:space="preserve"> SEQ level0 \*arabic </w:instrText>
      </w:r>
      <w:r w:rsidRPr="00C03220">
        <w:rPr>
          <w:rFonts w:ascii="Times New Roman" w:hAnsi="Times New Roman" w:cs="Times New Roman"/>
          <w:lang w:val="pl-PL"/>
        </w:rPr>
        <w:fldChar w:fldCharType="separate"/>
      </w:r>
      <w:r w:rsidR="004D2070" w:rsidRPr="00C03220">
        <w:rPr>
          <w:rFonts w:ascii="Times New Roman" w:hAnsi="Times New Roman" w:cs="Times New Roman"/>
          <w:noProof/>
          <w:lang w:val="pl-PL"/>
        </w:rPr>
        <w:t>35</w:t>
      </w:r>
      <w:r w:rsidRPr="00C03220">
        <w:rPr>
          <w:rFonts w:ascii="Times New Roman" w:hAnsi="Times New Roman" w:cs="Times New Roman"/>
          <w:lang w:val="pl-PL"/>
        </w:rPr>
        <w:fldChar w:fldCharType="end"/>
      </w:r>
      <w:r w:rsidR="004D2070" w:rsidRPr="00C03220">
        <w:rPr>
          <w:rFonts w:ascii="Times New Roman" w:hAnsi="Times New Roman" w:cs="Times New Roman"/>
          <w:lang w:val="pl-PL"/>
        </w:rPr>
        <w:t xml:space="preserve">.  W odpowiedzi skarżący stwierdził, że działalność Stowarzyszenia nie stanowiła nadużycia prawa do wolności wyrażania opinii i stowarzyszania się, ponieważ jej celem było przywrócenie praworządności </w:t>
      </w:r>
      <w:r w:rsidR="004D2070" w:rsidRPr="00C03220">
        <w:rPr>
          <w:rFonts w:ascii="Times New Roman" w:hAnsi="Times New Roman" w:cs="Times New Roman"/>
          <w:lang w:val="pl-PL"/>
        </w:rPr>
        <w:lastRenderedPageBreak/>
        <w:t xml:space="preserve">poprzez ochronę obywateli przed przestępcami. Stowarzyszenie nie angażowało się w działalność, której celem byłoby </w:t>
      </w:r>
      <w:r w:rsidR="00CA7150" w:rsidRPr="00C03220">
        <w:rPr>
          <w:rFonts w:ascii="Times New Roman" w:hAnsi="Times New Roman" w:cs="Times New Roman"/>
          <w:lang w:val="pl-PL"/>
        </w:rPr>
        <w:t>u</w:t>
      </w:r>
      <w:r w:rsidR="004D2070" w:rsidRPr="00C03220">
        <w:rPr>
          <w:rFonts w:ascii="Times New Roman" w:hAnsi="Times New Roman" w:cs="Times New Roman"/>
          <w:lang w:val="pl-PL"/>
        </w:rPr>
        <w:t>nice</w:t>
      </w:r>
      <w:r w:rsidR="00CA7150" w:rsidRPr="00C03220">
        <w:rPr>
          <w:rFonts w:ascii="Times New Roman" w:hAnsi="Times New Roman" w:cs="Times New Roman"/>
          <w:lang w:val="pl-PL"/>
        </w:rPr>
        <w:t>stwie</w:t>
      </w:r>
      <w:r w:rsidR="004D2070" w:rsidRPr="00C03220">
        <w:rPr>
          <w:rFonts w:ascii="Times New Roman" w:hAnsi="Times New Roman" w:cs="Times New Roman"/>
          <w:lang w:val="pl-PL"/>
        </w:rPr>
        <w:t>nie praw czy wolności gwarantowanych Konwencją.</w:t>
      </w:r>
    </w:p>
    <w:p w:rsidR="004D2070" w:rsidRPr="00C03220" w:rsidRDefault="001552E1" w:rsidP="004D2070">
      <w:pPr>
        <w:pStyle w:val="ECHRPara"/>
        <w:rPr>
          <w:rFonts w:ascii="Times New Roman" w:hAnsi="Times New Roman" w:cs="Times New Roman"/>
          <w:lang w:val="pl-PL"/>
        </w:rPr>
      </w:pPr>
      <w:r w:rsidRPr="00C03220">
        <w:rPr>
          <w:rFonts w:ascii="Times New Roman" w:hAnsi="Times New Roman" w:cs="Times New Roman"/>
          <w:lang w:val="pl-PL"/>
        </w:rPr>
        <w:fldChar w:fldCharType="begin"/>
      </w:r>
      <w:r w:rsidR="004D2070" w:rsidRPr="00C03220">
        <w:rPr>
          <w:rFonts w:ascii="Times New Roman" w:hAnsi="Times New Roman" w:cs="Times New Roman"/>
          <w:lang w:val="pl-PL"/>
        </w:rPr>
        <w:instrText xml:space="preserve"> SEQ level0 \*arabic </w:instrText>
      </w:r>
      <w:r w:rsidRPr="00C03220">
        <w:rPr>
          <w:rFonts w:ascii="Times New Roman" w:hAnsi="Times New Roman" w:cs="Times New Roman"/>
          <w:lang w:val="pl-PL"/>
        </w:rPr>
        <w:fldChar w:fldCharType="separate"/>
      </w:r>
      <w:r w:rsidR="004D2070" w:rsidRPr="00C03220">
        <w:rPr>
          <w:rFonts w:ascii="Times New Roman" w:hAnsi="Times New Roman" w:cs="Times New Roman"/>
          <w:noProof/>
          <w:lang w:val="pl-PL"/>
        </w:rPr>
        <w:t>36</w:t>
      </w:r>
      <w:r w:rsidRPr="00C03220">
        <w:rPr>
          <w:rFonts w:ascii="Times New Roman" w:hAnsi="Times New Roman" w:cs="Times New Roman"/>
          <w:lang w:val="pl-PL"/>
        </w:rPr>
        <w:fldChar w:fldCharType="end"/>
      </w:r>
      <w:r w:rsidR="004D2070" w:rsidRPr="00C03220">
        <w:rPr>
          <w:rFonts w:ascii="Times New Roman" w:hAnsi="Times New Roman" w:cs="Times New Roman"/>
          <w:lang w:val="pl-PL"/>
        </w:rPr>
        <w:t>.  </w:t>
      </w:r>
      <w:r w:rsidR="004D2070" w:rsidRPr="00C03220">
        <w:rPr>
          <w:rStyle w:val="sb8d990e2"/>
          <w:rFonts w:ascii="Times New Roman" w:hAnsi="Times New Roman" w:cs="Times New Roman"/>
          <w:lang w:val="pl-PL"/>
        </w:rPr>
        <w:t>W pierwszej kolejności Trybunał zauważa, że – w odróżnieniu od cytowanych przez Rząd spraw dotyczących prawa do wolności wyrażania opinii – niniejsza skarga dotyczy prawa skarżącego do wolności stowarzyszania się i jej poważnego ograniczenia skutkującego zakończeniem istnienia Stowarzyszenia jako takiego. Z tego względu niniejsza skarga różni się od skarg wskazanych przez Rząd. W odniesieniu do tychże skarg Trybunał zauważa, że szczególnie spraw</w:t>
      </w:r>
      <w:r w:rsidR="00596F07" w:rsidRPr="00C03220">
        <w:rPr>
          <w:rStyle w:val="sb8d990e2"/>
          <w:rFonts w:ascii="Times New Roman" w:hAnsi="Times New Roman" w:cs="Times New Roman"/>
          <w:lang w:val="pl-PL"/>
        </w:rPr>
        <w:t>y</w:t>
      </w:r>
      <w:r w:rsidR="004D2070" w:rsidRPr="00C03220">
        <w:rPr>
          <w:rStyle w:val="sb8d990e2"/>
          <w:rFonts w:ascii="Times New Roman" w:hAnsi="Times New Roman" w:cs="Times New Roman"/>
          <w:lang w:val="pl-PL"/>
        </w:rPr>
        <w:t xml:space="preserve"> </w:t>
      </w:r>
      <w:r w:rsidR="004D2070" w:rsidRPr="00C03220">
        <w:rPr>
          <w:rStyle w:val="s6b621b36"/>
          <w:rFonts w:ascii="Times New Roman" w:hAnsi="Times New Roman" w:cs="Times New Roman"/>
          <w:i/>
          <w:iCs/>
          <w:lang w:val="pl-PL"/>
        </w:rPr>
        <w:t xml:space="preserve">Garaudy </w:t>
      </w:r>
      <w:r w:rsidR="004D2070" w:rsidRPr="00C03220">
        <w:rPr>
          <w:rStyle w:val="sb8d990e2"/>
          <w:rFonts w:ascii="Times New Roman" w:hAnsi="Times New Roman" w:cs="Times New Roman"/>
          <w:lang w:val="pl-PL"/>
        </w:rPr>
        <w:t xml:space="preserve">oraz </w:t>
      </w:r>
      <w:r w:rsidR="004D2070" w:rsidRPr="00C03220">
        <w:rPr>
          <w:rStyle w:val="s6b621b36"/>
          <w:rFonts w:ascii="Times New Roman" w:hAnsi="Times New Roman" w:cs="Times New Roman"/>
          <w:i/>
          <w:iCs/>
          <w:lang w:val="pl-PL"/>
        </w:rPr>
        <w:t xml:space="preserve">Lehideux i Isorni </w:t>
      </w:r>
      <w:r w:rsidR="004D2070" w:rsidRPr="00C03220">
        <w:rPr>
          <w:rStyle w:val="sb8d990e2"/>
          <w:rFonts w:ascii="Times New Roman" w:hAnsi="Times New Roman" w:cs="Times New Roman"/>
          <w:lang w:val="pl-PL"/>
        </w:rPr>
        <w:t xml:space="preserve">(cyt. powyżej) </w:t>
      </w:r>
      <w:r w:rsidR="00596F07" w:rsidRPr="00C03220">
        <w:rPr>
          <w:rStyle w:val="sb8d990e2"/>
          <w:rFonts w:ascii="Times New Roman" w:hAnsi="Times New Roman" w:cs="Times New Roman"/>
          <w:lang w:val="pl-PL"/>
        </w:rPr>
        <w:t xml:space="preserve">dotyczyły </w:t>
      </w:r>
      <w:r w:rsidR="004D2070" w:rsidRPr="00C03220">
        <w:rPr>
          <w:rStyle w:val="sb8d990e2"/>
          <w:rFonts w:ascii="Times New Roman" w:hAnsi="Times New Roman" w:cs="Times New Roman"/>
          <w:lang w:val="pl-PL"/>
        </w:rPr>
        <w:t>uzasadnieni</w:t>
      </w:r>
      <w:r w:rsidR="00596F07" w:rsidRPr="00C03220">
        <w:rPr>
          <w:rStyle w:val="sb8d990e2"/>
          <w:rFonts w:ascii="Times New Roman" w:hAnsi="Times New Roman" w:cs="Times New Roman"/>
          <w:lang w:val="pl-PL"/>
        </w:rPr>
        <w:t>a</w:t>
      </w:r>
      <w:r w:rsidR="004D2070" w:rsidRPr="00C03220">
        <w:rPr>
          <w:rStyle w:val="sb8d990e2"/>
          <w:rFonts w:ascii="Times New Roman" w:hAnsi="Times New Roman" w:cs="Times New Roman"/>
          <w:lang w:val="pl-PL"/>
        </w:rPr>
        <w:t xml:space="preserve"> polityki o </w:t>
      </w:r>
      <w:r w:rsidR="001C0824" w:rsidRPr="00C03220">
        <w:rPr>
          <w:rStyle w:val="sb8d990e2"/>
          <w:rFonts w:ascii="Times New Roman" w:hAnsi="Times New Roman" w:cs="Times New Roman"/>
          <w:lang w:val="pl-PL"/>
        </w:rPr>
        <w:t>charakterze</w:t>
      </w:r>
      <w:r w:rsidR="004D2070" w:rsidRPr="00C03220">
        <w:rPr>
          <w:rStyle w:val="sb8d990e2"/>
          <w:rFonts w:ascii="Times New Roman" w:hAnsi="Times New Roman" w:cs="Times New Roman"/>
          <w:lang w:val="pl-PL"/>
        </w:rPr>
        <w:t xml:space="preserve"> nazistowskim. W konsekwencji stwierdzenie nadużycia w kontekście artykułu 17 wynikało z faktu, że na przepis artykułu 10 powoływały się grupy o motywacji totalitarnej.</w:t>
      </w:r>
    </w:p>
    <w:p w:rsidR="004D2070" w:rsidRPr="00C03220" w:rsidRDefault="001552E1" w:rsidP="004D2070">
      <w:pPr>
        <w:pStyle w:val="ECHRPara"/>
        <w:rPr>
          <w:rStyle w:val="sb8d990e2"/>
          <w:rFonts w:ascii="Times New Roman" w:hAnsi="Times New Roman" w:cs="Times New Roman"/>
          <w:lang w:val="pl-PL"/>
        </w:rPr>
      </w:pPr>
      <w:r w:rsidRPr="00C03220">
        <w:rPr>
          <w:rStyle w:val="sb8d990e2"/>
          <w:rFonts w:ascii="Times New Roman" w:hAnsi="Times New Roman" w:cs="Times New Roman"/>
          <w:lang w:val="pl-PL"/>
        </w:rPr>
        <w:fldChar w:fldCharType="begin"/>
      </w:r>
      <w:r w:rsidR="004D2070" w:rsidRPr="00C03220">
        <w:rPr>
          <w:rStyle w:val="sb8d990e2"/>
          <w:rFonts w:ascii="Times New Roman" w:hAnsi="Times New Roman" w:cs="Times New Roman"/>
          <w:lang w:val="pl-PL"/>
        </w:rPr>
        <w:instrText xml:space="preserve"> SEQ level0 \*arabic </w:instrText>
      </w:r>
      <w:r w:rsidRPr="00C03220">
        <w:rPr>
          <w:rStyle w:val="sb8d990e2"/>
          <w:rFonts w:ascii="Times New Roman" w:hAnsi="Times New Roman" w:cs="Times New Roman"/>
          <w:lang w:val="pl-PL"/>
        </w:rPr>
        <w:fldChar w:fldCharType="separate"/>
      </w:r>
      <w:r w:rsidR="004D2070" w:rsidRPr="00C03220">
        <w:rPr>
          <w:rStyle w:val="sb8d990e2"/>
          <w:rFonts w:ascii="Times New Roman" w:hAnsi="Times New Roman" w:cs="Times New Roman"/>
          <w:noProof/>
          <w:lang w:val="pl-PL"/>
        </w:rPr>
        <w:t>37</w:t>
      </w:r>
      <w:r w:rsidRPr="00C03220">
        <w:rPr>
          <w:rStyle w:val="sb8d990e2"/>
          <w:rFonts w:ascii="Times New Roman" w:hAnsi="Times New Roman" w:cs="Times New Roman"/>
          <w:lang w:val="pl-PL"/>
        </w:rPr>
        <w:fldChar w:fldCharType="end"/>
      </w:r>
      <w:r w:rsidR="004D2070" w:rsidRPr="00C03220">
        <w:rPr>
          <w:rStyle w:val="sb8d990e2"/>
          <w:rFonts w:ascii="Times New Roman" w:hAnsi="Times New Roman" w:cs="Times New Roman"/>
          <w:lang w:val="pl-PL"/>
        </w:rPr>
        <w:t xml:space="preserve">.  Tymczasem w niniejszej sprawie Rząd nie wskazywał, by skarżący wyrażał pogardę dla ofiar reżimu totalitarnego (por. </w:t>
      </w:r>
      <w:r w:rsidR="004D2070" w:rsidRPr="00C03220">
        <w:rPr>
          <w:rStyle w:val="s6b621b36"/>
          <w:rFonts w:ascii="Times New Roman" w:hAnsi="Times New Roman" w:cs="Times New Roman"/>
          <w:i/>
          <w:iCs/>
          <w:lang w:val="pl-PL"/>
        </w:rPr>
        <w:t xml:space="preserve">Witzsch </w:t>
      </w:r>
      <w:r w:rsidR="004D2070" w:rsidRPr="00C03220">
        <w:rPr>
          <w:rStyle w:val="sb8d990e2"/>
          <w:rFonts w:ascii="Times New Roman" w:hAnsi="Times New Roman" w:cs="Times New Roman"/>
          <w:lang w:val="pl-PL"/>
        </w:rPr>
        <w:t xml:space="preserve">(cyt. powyżej)) lub należał do grupy o ambicjach totalitarnych. Informacje zawarte w aktach sprawy również nie dają podstaw, by wyciągnąć takie wnioski. W przedmiotowym czasie skarżący pełnił rolę przewodniczącego zarejestrowanego stowarzyszenia. Złożył skargę dotyczącą rozwiązania stowarzyszenia wraz z ruchem, który </w:t>
      </w:r>
      <w:r w:rsidR="00596F07" w:rsidRPr="00C03220">
        <w:rPr>
          <w:rStyle w:val="sb8d990e2"/>
          <w:rFonts w:ascii="Times New Roman" w:hAnsi="Times New Roman" w:cs="Times New Roman"/>
          <w:lang w:val="pl-PL"/>
        </w:rPr>
        <w:t>–</w:t>
      </w:r>
      <w:r w:rsidR="004D2070" w:rsidRPr="00C03220">
        <w:rPr>
          <w:rStyle w:val="sb8d990e2"/>
          <w:rFonts w:ascii="Times New Roman" w:hAnsi="Times New Roman" w:cs="Times New Roman"/>
          <w:lang w:val="pl-PL"/>
        </w:rPr>
        <w:t xml:space="preserve"> w</w:t>
      </w:r>
      <w:r w:rsidR="00596F07" w:rsidRPr="00C03220">
        <w:rPr>
          <w:rStyle w:val="sb8d990e2"/>
          <w:rFonts w:ascii="Times New Roman" w:hAnsi="Times New Roman" w:cs="Times New Roman"/>
          <w:lang w:val="pl-PL"/>
        </w:rPr>
        <w:t xml:space="preserve"> </w:t>
      </w:r>
      <w:r w:rsidR="004D2070" w:rsidRPr="00C03220">
        <w:rPr>
          <w:rStyle w:val="sb8d990e2"/>
          <w:rFonts w:ascii="Times New Roman" w:hAnsi="Times New Roman" w:cs="Times New Roman"/>
          <w:lang w:val="pl-PL"/>
        </w:rPr>
        <w:t xml:space="preserve">opinii sądów krajowych </w:t>
      </w:r>
      <w:r w:rsidR="00596F07" w:rsidRPr="00C03220">
        <w:rPr>
          <w:rStyle w:val="sb8d990e2"/>
          <w:rFonts w:ascii="Times New Roman" w:hAnsi="Times New Roman" w:cs="Times New Roman"/>
          <w:lang w:val="pl-PL"/>
        </w:rPr>
        <w:t>–</w:t>
      </w:r>
      <w:r w:rsidR="004D2070" w:rsidRPr="00C03220">
        <w:rPr>
          <w:rStyle w:val="sb8d990e2"/>
          <w:rFonts w:ascii="Times New Roman" w:hAnsi="Times New Roman" w:cs="Times New Roman"/>
          <w:lang w:val="pl-PL"/>
        </w:rPr>
        <w:t xml:space="preserve"> stanowił oddział stowarzyszenia, zasadniczo ze względu na demonstrację, która na poziomie krajowym nie została uznana za niezgodną z prawem i nie prowadziła do żadnych aktów przemocy. W takich okolicznościach Trybunał nie może uznać, że działalność Stowarzyszenia miała na celu </w:t>
      </w:r>
      <w:r w:rsidR="001C0824" w:rsidRPr="00C03220">
        <w:rPr>
          <w:rStyle w:val="sb8d990e2"/>
          <w:rFonts w:ascii="Times New Roman" w:hAnsi="Times New Roman" w:cs="Times New Roman"/>
          <w:lang w:val="pl-PL"/>
        </w:rPr>
        <w:t>uzasadnienie</w:t>
      </w:r>
      <w:r w:rsidR="004D2070" w:rsidRPr="00C03220">
        <w:rPr>
          <w:rStyle w:val="sb8d990e2"/>
          <w:rFonts w:ascii="Times New Roman" w:hAnsi="Times New Roman" w:cs="Times New Roman"/>
          <w:lang w:val="pl-PL"/>
        </w:rPr>
        <w:t xml:space="preserve"> bądź rozpowszechnianie ideologii </w:t>
      </w:r>
      <w:r w:rsidR="00685D98" w:rsidRPr="00C03220">
        <w:rPr>
          <w:rStyle w:val="sb8d990e2"/>
          <w:rFonts w:ascii="Times New Roman" w:hAnsi="Times New Roman" w:cs="Times New Roman"/>
          <w:lang w:val="pl-PL"/>
        </w:rPr>
        <w:t>prześladowania</w:t>
      </w:r>
      <w:r w:rsidR="004D2070" w:rsidRPr="00C03220">
        <w:rPr>
          <w:rStyle w:val="sb8d990e2"/>
          <w:rFonts w:ascii="Times New Roman" w:hAnsi="Times New Roman" w:cs="Times New Roman"/>
          <w:lang w:val="pl-PL"/>
        </w:rPr>
        <w:t xml:space="preserve"> s</w:t>
      </w:r>
      <w:r w:rsidR="001C0824" w:rsidRPr="00C03220">
        <w:rPr>
          <w:rStyle w:val="sb8d990e2"/>
          <w:rFonts w:ascii="Times New Roman" w:hAnsi="Times New Roman" w:cs="Times New Roman"/>
          <w:lang w:val="pl-PL"/>
        </w:rPr>
        <w:t>łużącej „grupom</w:t>
      </w:r>
      <w:r w:rsidR="004D2070" w:rsidRPr="00C03220">
        <w:rPr>
          <w:rStyle w:val="sb8d990e2"/>
          <w:rFonts w:ascii="Times New Roman" w:hAnsi="Times New Roman" w:cs="Times New Roman"/>
          <w:lang w:val="pl-PL"/>
        </w:rPr>
        <w:t xml:space="preserve"> totalitarn</w:t>
      </w:r>
      <w:r w:rsidR="001C0824" w:rsidRPr="00C03220">
        <w:rPr>
          <w:rStyle w:val="sb8d990e2"/>
          <w:rFonts w:ascii="Times New Roman" w:hAnsi="Times New Roman" w:cs="Times New Roman"/>
          <w:lang w:val="pl-PL"/>
        </w:rPr>
        <w:t>ym</w:t>
      </w:r>
      <w:r w:rsidR="004D2070" w:rsidRPr="00C03220">
        <w:rPr>
          <w:rStyle w:val="sb8d990e2"/>
          <w:rFonts w:ascii="Times New Roman" w:hAnsi="Times New Roman" w:cs="Times New Roman"/>
          <w:lang w:val="pl-PL"/>
        </w:rPr>
        <w:t>”.</w:t>
      </w:r>
    </w:p>
    <w:p w:rsidR="004D2070" w:rsidRPr="00C03220" w:rsidRDefault="001552E1" w:rsidP="004D2070">
      <w:pPr>
        <w:pStyle w:val="ECHRPara"/>
        <w:rPr>
          <w:rFonts w:ascii="Times New Roman" w:hAnsi="Times New Roman" w:cs="Times New Roman"/>
          <w:i/>
          <w:lang w:val="pl-PL"/>
        </w:rPr>
      </w:pPr>
      <w:r w:rsidRPr="00C03220">
        <w:rPr>
          <w:rStyle w:val="sb8d990e2"/>
          <w:rFonts w:ascii="Times New Roman" w:hAnsi="Times New Roman" w:cs="Times New Roman"/>
          <w:lang w:val="pl-PL"/>
        </w:rPr>
        <w:fldChar w:fldCharType="begin"/>
      </w:r>
      <w:r w:rsidR="004D2070" w:rsidRPr="00C03220">
        <w:rPr>
          <w:rStyle w:val="sb8d990e2"/>
          <w:rFonts w:ascii="Times New Roman" w:hAnsi="Times New Roman" w:cs="Times New Roman"/>
          <w:lang w:val="pl-PL"/>
        </w:rPr>
        <w:instrText xml:space="preserve"> SEQ level0 \*arabic </w:instrText>
      </w:r>
      <w:r w:rsidRPr="00C03220">
        <w:rPr>
          <w:rStyle w:val="sb8d990e2"/>
          <w:rFonts w:ascii="Times New Roman" w:hAnsi="Times New Roman" w:cs="Times New Roman"/>
          <w:lang w:val="pl-PL"/>
        </w:rPr>
        <w:fldChar w:fldCharType="separate"/>
      </w:r>
      <w:r w:rsidR="004D2070" w:rsidRPr="00C03220">
        <w:rPr>
          <w:rStyle w:val="sb8d990e2"/>
          <w:rFonts w:ascii="Times New Roman" w:hAnsi="Times New Roman" w:cs="Times New Roman"/>
          <w:noProof/>
          <w:lang w:val="pl-PL"/>
        </w:rPr>
        <w:t>38</w:t>
      </w:r>
      <w:r w:rsidRPr="00C03220">
        <w:rPr>
          <w:rStyle w:val="sb8d990e2"/>
          <w:rFonts w:ascii="Times New Roman" w:hAnsi="Times New Roman" w:cs="Times New Roman"/>
          <w:lang w:val="pl-PL"/>
        </w:rPr>
        <w:fldChar w:fldCharType="end"/>
      </w:r>
      <w:r w:rsidR="004D2070" w:rsidRPr="00C03220">
        <w:rPr>
          <w:rStyle w:val="sb8d990e2"/>
          <w:rFonts w:ascii="Times New Roman" w:hAnsi="Times New Roman" w:cs="Times New Roman"/>
          <w:lang w:val="pl-PL"/>
        </w:rPr>
        <w:t>.  Działania takie, których zgodność z artykuł</w:t>
      </w:r>
      <w:r w:rsidR="00596F07" w:rsidRPr="00C03220">
        <w:rPr>
          <w:rStyle w:val="sb8d990e2"/>
          <w:rFonts w:ascii="Times New Roman" w:hAnsi="Times New Roman" w:cs="Times New Roman"/>
          <w:lang w:val="pl-PL"/>
        </w:rPr>
        <w:t>em 11 Konwencji zostanie zbadan</w:t>
      </w:r>
      <w:r w:rsidR="004D2070" w:rsidRPr="00C03220">
        <w:rPr>
          <w:rStyle w:val="sb8d990e2"/>
          <w:rFonts w:ascii="Times New Roman" w:hAnsi="Times New Roman" w:cs="Times New Roman"/>
          <w:lang w:val="pl-PL"/>
        </w:rPr>
        <w:t xml:space="preserve">a co do meritum (por. </w:t>
      </w:r>
      <w:r w:rsidR="004D2070" w:rsidRPr="00C03220">
        <w:rPr>
          <w:rFonts w:ascii="Times New Roman" w:hAnsi="Times New Roman" w:cs="Times New Roman"/>
          <w:i/>
          <w:iCs/>
          <w:lang w:val="pl-PL"/>
        </w:rPr>
        <w:t>Féret przeciwko Belgii</w:t>
      </w:r>
      <w:r w:rsidR="004D2070" w:rsidRPr="00C03220">
        <w:rPr>
          <w:rFonts w:ascii="Times New Roman" w:hAnsi="Times New Roman" w:cs="Times New Roman"/>
          <w:lang w:val="pl-PL"/>
        </w:rPr>
        <w:t>, nr 15615/07</w:t>
      </w:r>
      <w:r w:rsidR="004D2070" w:rsidRPr="00C03220">
        <w:rPr>
          <w:rFonts w:ascii="Times New Roman" w:hAnsi="Times New Roman" w:cs="Times New Roman"/>
          <w:snapToGrid w:val="0"/>
          <w:lang w:val="pl-PL"/>
        </w:rPr>
        <w:t xml:space="preserve">, § 52, </w:t>
      </w:r>
      <w:r w:rsidR="004D2070" w:rsidRPr="00C03220">
        <w:rPr>
          <w:rFonts w:ascii="Times New Roman" w:hAnsi="Times New Roman" w:cs="Times New Roman"/>
          <w:lang w:val="pl-PL"/>
        </w:rPr>
        <w:t>16 lipca 2009 r.</w:t>
      </w:r>
      <w:r w:rsidR="004D2070" w:rsidRPr="00C03220">
        <w:rPr>
          <w:rStyle w:val="sb8d990e2"/>
          <w:rFonts w:ascii="Times New Roman" w:hAnsi="Times New Roman" w:cs="Times New Roman"/>
          <w:lang w:val="pl-PL"/>
        </w:rPr>
        <w:t xml:space="preserve">), </w:t>
      </w:r>
      <w:r w:rsidR="004D2070" w:rsidRPr="00C03220">
        <w:rPr>
          <w:rStyle w:val="sb8d990e2"/>
          <w:rFonts w:ascii="Times New Roman" w:hAnsi="Times New Roman" w:cs="Times New Roman"/>
          <w:i/>
          <w:iCs/>
          <w:lang w:val="pl-PL"/>
        </w:rPr>
        <w:t>prima facie</w:t>
      </w:r>
      <w:r w:rsidR="004D2070" w:rsidRPr="00C03220">
        <w:rPr>
          <w:rStyle w:val="sb8d990e2"/>
          <w:rFonts w:ascii="Times New Roman" w:hAnsi="Times New Roman" w:cs="Times New Roman"/>
          <w:lang w:val="pl-PL"/>
        </w:rPr>
        <w:t xml:space="preserve"> nie wskazują na żaden czyn, którego celem byłoby unicestwianie praw czy wolności, o których mowa w Konwencji (zob. </w:t>
      </w:r>
      <w:r w:rsidR="004D2070" w:rsidRPr="00C03220">
        <w:rPr>
          <w:rFonts w:ascii="Times New Roman" w:hAnsi="Times New Roman" w:cs="Times New Roman"/>
          <w:i/>
          <w:iCs/>
          <w:szCs w:val="24"/>
          <w:lang w:val="pl-PL"/>
        </w:rPr>
        <w:t>Sidiropoulos i Inni przeciwko Grecji</w:t>
      </w:r>
      <w:r w:rsidR="004D2070" w:rsidRPr="00C03220">
        <w:rPr>
          <w:rFonts w:ascii="Times New Roman" w:hAnsi="Times New Roman" w:cs="Times New Roman"/>
          <w:szCs w:val="24"/>
          <w:lang w:val="pl-PL"/>
        </w:rPr>
        <w:t xml:space="preserve">, 10 lipca 1998 r., § 29, </w:t>
      </w:r>
      <w:r w:rsidR="004D2070" w:rsidRPr="00C03220">
        <w:rPr>
          <w:rFonts w:ascii="Times New Roman" w:hAnsi="Times New Roman" w:cs="Times New Roman"/>
          <w:i/>
          <w:iCs/>
          <w:szCs w:val="24"/>
          <w:lang w:val="pl-PL"/>
        </w:rPr>
        <w:t xml:space="preserve">Raporty </w:t>
      </w:r>
      <w:r w:rsidR="004D2070" w:rsidRPr="00C03220">
        <w:rPr>
          <w:rFonts w:ascii="Times New Roman" w:hAnsi="Times New Roman" w:cs="Times New Roman"/>
          <w:szCs w:val="24"/>
          <w:lang w:val="pl-PL"/>
        </w:rPr>
        <w:t>1998</w:t>
      </w:r>
      <w:r w:rsidR="004D2070" w:rsidRPr="00C03220">
        <w:rPr>
          <w:rFonts w:ascii="Times New Roman" w:hAnsi="Times New Roman" w:cs="Times New Roman"/>
          <w:szCs w:val="24"/>
          <w:lang w:val="pl-PL"/>
        </w:rPr>
        <w:noBreakHyphen/>
        <w:t xml:space="preserve">IV) lub też </w:t>
      </w:r>
      <w:r w:rsidR="004D2070" w:rsidRPr="00C03220">
        <w:rPr>
          <w:rStyle w:val="sb8d990e2"/>
          <w:rFonts w:ascii="Times New Roman" w:hAnsi="Times New Roman" w:cs="Times New Roman"/>
          <w:i/>
          <w:iCs/>
          <w:lang w:val="pl-PL"/>
        </w:rPr>
        <w:t>prima facie</w:t>
      </w:r>
      <w:r w:rsidR="004D2070" w:rsidRPr="00C03220">
        <w:rPr>
          <w:rStyle w:val="sb8d990e2"/>
          <w:rFonts w:ascii="Times New Roman" w:hAnsi="Times New Roman" w:cs="Times New Roman"/>
          <w:lang w:val="pl-PL"/>
        </w:rPr>
        <w:t xml:space="preserve"> zamiar skarżącego publicznej obrony czy rozpowszechniania propagandy popierającej poglądy totalitarne (zob. </w:t>
      </w:r>
      <w:r w:rsidR="004D2070" w:rsidRPr="00C03220">
        <w:rPr>
          <w:rStyle w:val="sb8d990e2"/>
          <w:rFonts w:ascii="Times New Roman" w:hAnsi="Times New Roman" w:cs="Times New Roman"/>
          <w:i/>
          <w:iCs/>
          <w:lang w:val="pl-PL"/>
        </w:rPr>
        <w:t>Vajnai</w:t>
      </w:r>
      <w:r w:rsidR="004D2070" w:rsidRPr="00C03220">
        <w:rPr>
          <w:rStyle w:val="sb8d990e2"/>
          <w:rFonts w:ascii="Times New Roman" w:hAnsi="Times New Roman" w:cs="Times New Roman"/>
          <w:lang w:val="pl-PL"/>
        </w:rPr>
        <w:t>, cyt. powyżej, §§ 24 to 26).</w:t>
      </w:r>
      <w:r w:rsidR="004D2070" w:rsidRPr="00C03220">
        <w:rPr>
          <w:rFonts w:ascii="Times New Roman" w:hAnsi="Times New Roman" w:cs="Times New Roman"/>
          <w:lang w:val="pl-PL"/>
        </w:rPr>
        <w:t xml:space="preserve"> Trybunał będzie miał możliwość podjęcia decyzji o ewentualnym zastosowaniu przepisu artykułu 17 Konwencji w świetle wszystkich okoliczności niniejszej sprawy dopiero po przeprowadzeniu analizy, o której mowa powyżej (zob.</w:t>
      </w:r>
      <w:r w:rsidR="004D2070" w:rsidRPr="00C03220">
        <w:rPr>
          <w:rFonts w:ascii="Times New Roman" w:hAnsi="Times New Roman" w:cs="Times New Roman"/>
          <w:i/>
          <w:iCs/>
          <w:lang w:val="pl-PL"/>
        </w:rPr>
        <w:t xml:space="preserve"> Refah Partisi (Partia Dobrobytu) i Inni przeciwko Turcji [WI],</w:t>
      </w:r>
      <w:r w:rsidR="004D2070" w:rsidRPr="00C03220">
        <w:rPr>
          <w:rFonts w:ascii="Times New Roman" w:hAnsi="Times New Roman" w:cs="Times New Roman"/>
          <w:lang w:val="pl-PL"/>
        </w:rPr>
        <w:t xml:space="preserve"> nr 41340/98, 41342/98, 41343/98 i 41344/98, § 96, ETPCz 2003</w:t>
      </w:r>
      <w:r w:rsidR="004D2070" w:rsidRPr="00C03220">
        <w:rPr>
          <w:rFonts w:ascii="Times New Roman" w:hAnsi="Times New Roman" w:cs="Times New Roman"/>
          <w:lang w:val="pl-PL"/>
        </w:rPr>
        <w:noBreakHyphen/>
        <w:t>II).</w:t>
      </w:r>
    </w:p>
    <w:p w:rsidR="004D2070" w:rsidRPr="00C03220" w:rsidRDefault="001552E1" w:rsidP="004D2070">
      <w:pPr>
        <w:pStyle w:val="ECHRPara"/>
        <w:rPr>
          <w:rStyle w:val="sb8d990e2"/>
          <w:rFonts w:ascii="Times New Roman" w:hAnsi="Times New Roman" w:cs="Times New Roman"/>
          <w:lang w:val="pl-PL"/>
        </w:rPr>
      </w:pPr>
      <w:r w:rsidRPr="00C03220">
        <w:rPr>
          <w:rStyle w:val="sb8d990e2"/>
          <w:rFonts w:ascii="Times New Roman" w:hAnsi="Times New Roman" w:cs="Times New Roman"/>
          <w:lang w:val="pl-PL"/>
        </w:rPr>
        <w:fldChar w:fldCharType="begin"/>
      </w:r>
      <w:r w:rsidR="004D2070" w:rsidRPr="00C03220">
        <w:rPr>
          <w:rStyle w:val="sb8d990e2"/>
          <w:rFonts w:ascii="Times New Roman" w:hAnsi="Times New Roman" w:cs="Times New Roman"/>
          <w:lang w:val="pl-PL"/>
        </w:rPr>
        <w:instrText xml:space="preserve"> SEQ level0 \*arabic </w:instrText>
      </w:r>
      <w:r w:rsidRPr="00C03220">
        <w:rPr>
          <w:rStyle w:val="sb8d990e2"/>
          <w:rFonts w:ascii="Times New Roman" w:hAnsi="Times New Roman" w:cs="Times New Roman"/>
          <w:lang w:val="pl-PL"/>
        </w:rPr>
        <w:fldChar w:fldCharType="separate"/>
      </w:r>
      <w:r w:rsidR="004D2070" w:rsidRPr="00C03220">
        <w:rPr>
          <w:rStyle w:val="sb8d990e2"/>
          <w:rFonts w:ascii="Times New Roman" w:hAnsi="Times New Roman" w:cs="Times New Roman"/>
          <w:noProof/>
          <w:lang w:val="pl-PL"/>
        </w:rPr>
        <w:t>39</w:t>
      </w:r>
      <w:r w:rsidRPr="00C03220">
        <w:rPr>
          <w:rStyle w:val="sb8d990e2"/>
          <w:rFonts w:ascii="Times New Roman" w:hAnsi="Times New Roman" w:cs="Times New Roman"/>
          <w:lang w:val="pl-PL"/>
        </w:rPr>
        <w:fldChar w:fldCharType="end"/>
      </w:r>
      <w:r w:rsidR="004D2070" w:rsidRPr="00C03220">
        <w:rPr>
          <w:rStyle w:val="sb8d990e2"/>
          <w:rFonts w:ascii="Times New Roman" w:hAnsi="Times New Roman" w:cs="Times New Roman"/>
          <w:lang w:val="pl-PL"/>
        </w:rPr>
        <w:t xml:space="preserve">.  W związku z powyższym w opinii Trybunału skarga nie stanowi nadużycia prawa </w:t>
      </w:r>
      <w:r w:rsidR="001C0824" w:rsidRPr="00C03220">
        <w:rPr>
          <w:rStyle w:val="sb8d990e2"/>
          <w:rFonts w:ascii="Times New Roman" w:hAnsi="Times New Roman" w:cs="Times New Roman"/>
          <w:lang w:val="pl-PL"/>
        </w:rPr>
        <w:t xml:space="preserve">do składania skargi </w:t>
      </w:r>
      <w:r w:rsidR="004D2070" w:rsidRPr="00C03220">
        <w:rPr>
          <w:rStyle w:val="sb8d990e2"/>
          <w:rFonts w:ascii="Times New Roman" w:hAnsi="Times New Roman" w:cs="Times New Roman"/>
          <w:lang w:val="pl-PL"/>
        </w:rPr>
        <w:t xml:space="preserve">z punktu widzenia przepisu artykułu 17 Konwencji. Nie jest zatem niezgodna </w:t>
      </w:r>
      <w:r w:rsidR="004D2070" w:rsidRPr="00C03220">
        <w:rPr>
          <w:rStyle w:val="s6b621b36"/>
          <w:rFonts w:ascii="Times New Roman" w:hAnsi="Times New Roman" w:cs="Times New Roman"/>
          <w:i/>
          <w:iCs/>
          <w:lang w:val="pl-PL"/>
        </w:rPr>
        <w:t>ratione</w:t>
      </w:r>
      <w:r w:rsidR="004D2070" w:rsidRPr="00C03220">
        <w:rPr>
          <w:rStyle w:val="sb8d990e2"/>
          <w:rFonts w:ascii="Times New Roman" w:hAnsi="Times New Roman" w:cs="Times New Roman"/>
          <w:i/>
          <w:iCs/>
          <w:lang w:val="pl-PL"/>
        </w:rPr>
        <w:t xml:space="preserve"> </w:t>
      </w:r>
      <w:r w:rsidR="004D2070" w:rsidRPr="00C03220">
        <w:rPr>
          <w:rStyle w:val="s6b621b36"/>
          <w:rFonts w:ascii="Times New Roman" w:hAnsi="Times New Roman" w:cs="Times New Roman"/>
          <w:i/>
          <w:iCs/>
          <w:lang w:val="pl-PL"/>
        </w:rPr>
        <w:t>materiae</w:t>
      </w:r>
      <w:r w:rsidR="004D2070" w:rsidRPr="00C03220">
        <w:rPr>
          <w:rStyle w:val="sb8d990e2"/>
          <w:rFonts w:ascii="Times New Roman" w:hAnsi="Times New Roman" w:cs="Times New Roman"/>
          <w:lang w:val="pl-PL"/>
        </w:rPr>
        <w:t xml:space="preserve"> z postanowieniami Konwencji w rozumieniu </w:t>
      </w:r>
      <w:r w:rsidR="00271A34" w:rsidRPr="00C03220">
        <w:rPr>
          <w:rStyle w:val="sb8d990e2"/>
          <w:rFonts w:ascii="Times New Roman" w:hAnsi="Times New Roman" w:cs="Times New Roman"/>
          <w:lang w:val="pl-PL"/>
        </w:rPr>
        <w:t>artyku</w:t>
      </w:r>
      <w:r w:rsidR="004D2070" w:rsidRPr="00C03220">
        <w:rPr>
          <w:rStyle w:val="sb8d990e2"/>
          <w:rFonts w:ascii="Times New Roman" w:hAnsi="Times New Roman" w:cs="Times New Roman"/>
          <w:lang w:val="pl-PL"/>
        </w:rPr>
        <w:t xml:space="preserve">łu 35 ust. 3 Konwencji. </w:t>
      </w:r>
      <w:r w:rsidR="004D2070" w:rsidRPr="00C03220">
        <w:rPr>
          <w:rStyle w:val="sb8d990e2"/>
          <w:rFonts w:ascii="Times New Roman" w:hAnsi="Times New Roman" w:cs="Times New Roman"/>
          <w:lang w:val="pl-PL"/>
        </w:rPr>
        <w:lastRenderedPageBreak/>
        <w:t>Trybunał zauważa, że nie jest ona niedopuszczalna z żadnych innych względów. W związku z tym musi zostać uznana za dopuszczalną.</w:t>
      </w:r>
    </w:p>
    <w:p w:rsidR="004D2070" w:rsidRPr="00C03220" w:rsidRDefault="004D2070" w:rsidP="00596F07">
      <w:pPr>
        <w:pStyle w:val="ECHRHeading2"/>
        <w:numPr>
          <w:ilvl w:val="0"/>
          <w:numId w:val="0"/>
        </w:numPr>
        <w:outlineLvl w:val="0"/>
        <w:rPr>
          <w:rFonts w:ascii="Times New Roman" w:hAnsi="Times New Roman" w:cs="Times New Roman"/>
          <w:sz w:val="24"/>
          <w:szCs w:val="24"/>
          <w:lang w:val="pl-PL"/>
        </w:rPr>
      </w:pPr>
      <w:r w:rsidRPr="00C03220">
        <w:rPr>
          <w:rFonts w:ascii="Times New Roman" w:hAnsi="Times New Roman" w:cs="Times New Roman"/>
          <w:sz w:val="24"/>
          <w:szCs w:val="24"/>
          <w:lang w:val="pl-PL"/>
        </w:rPr>
        <w:t>B.  Meritum</w:t>
      </w:r>
    </w:p>
    <w:p w:rsidR="004D2070" w:rsidRPr="00C03220" w:rsidRDefault="004D2070" w:rsidP="004D2070">
      <w:pPr>
        <w:pStyle w:val="ECHRHeading3"/>
        <w:rPr>
          <w:rFonts w:ascii="Times New Roman" w:hAnsi="Times New Roman" w:cs="Times New Roman"/>
          <w:lang w:val="pl-PL"/>
        </w:rPr>
      </w:pPr>
      <w:r w:rsidRPr="00C03220">
        <w:rPr>
          <w:rFonts w:ascii="Times New Roman" w:hAnsi="Times New Roman" w:cs="Times New Roman"/>
          <w:bCs w:val="0"/>
          <w:iCs/>
          <w:lang w:val="pl-PL"/>
        </w:rPr>
        <w:t>1.  Oświadczenia stron</w:t>
      </w:r>
    </w:p>
    <w:p w:rsidR="004D2070" w:rsidRPr="00C03220" w:rsidRDefault="004D2070" w:rsidP="004D2070">
      <w:pPr>
        <w:pStyle w:val="ECHRHeading4"/>
        <w:rPr>
          <w:rFonts w:ascii="Times New Roman" w:hAnsi="Times New Roman" w:cs="Times New Roman"/>
          <w:lang w:val="pl-PL"/>
        </w:rPr>
      </w:pPr>
      <w:r w:rsidRPr="00C03220">
        <w:rPr>
          <w:rFonts w:ascii="Times New Roman" w:hAnsi="Times New Roman" w:cs="Times New Roman"/>
          <w:iCs w:val="0"/>
          <w:lang w:val="pl-PL"/>
        </w:rPr>
        <w:t>(a)  Rząd</w:t>
      </w:r>
    </w:p>
    <w:p w:rsidR="004D2070" w:rsidRPr="00C03220" w:rsidRDefault="001552E1" w:rsidP="004D2070">
      <w:pPr>
        <w:pStyle w:val="ECHRPara"/>
        <w:rPr>
          <w:rFonts w:ascii="Times New Roman" w:hAnsi="Times New Roman" w:cs="Times New Roman"/>
          <w:lang w:val="pl-PL"/>
        </w:rPr>
      </w:pPr>
      <w:r w:rsidRPr="00C03220">
        <w:rPr>
          <w:rFonts w:ascii="Times New Roman" w:hAnsi="Times New Roman" w:cs="Times New Roman"/>
          <w:lang w:val="pl-PL"/>
        </w:rPr>
        <w:fldChar w:fldCharType="begin"/>
      </w:r>
      <w:r w:rsidR="004D2070" w:rsidRPr="00C03220">
        <w:rPr>
          <w:rFonts w:ascii="Times New Roman" w:hAnsi="Times New Roman" w:cs="Times New Roman"/>
          <w:lang w:val="pl-PL"/>
        </w:rPr>
        <w:instrText xml:space="preserve"> SEQ level0 \*arabic </w:instrText>
      </w:r>
      <w:r w:rsidRPr="00C03220">
        <w:rPr>
          <w:rFonts w:ascii="Times New Roman" w:hAnsi="Times New Roman" w:cs="Times New Roman"/>
          <w:lang w:val="pl-PL"/>
        </w:rPr>
        <w:fldChar w:fldCharType="separate"/>
      </w:r>
      <w:r w:rsidR="004D2070" w:rsidRPr="00C03220">
        <w:rPr>
          <w:rFonts w:ascii="Times New Roman" w:hAnsi="Times New Roman" w:cs="Times New Roman"/>
          <w:noProof/>
          <w:lang w:val="pl-PL"/>
        </w:rPr>
        <w:t>40</w:t>
      </w:r>
      <w:r w:rsidRPr="00C03220">
        <w:rPr>
          <w:rFonts w:ascii="Times New Roman" w:hAnsi="Times New Roman" w:cs="Times New Roman"/>
          <w:lang w:val="pl-PL"/>
        </w:rPr>
        <w:fldChar w:fldCharType="end"/>
      </w:r>
      <w:r w:rsidR="004D2070" w:rsidRPr="00C03220">
        <w:rPr>
          <w:rFonts w:ascii="Times New Roman" w:hAnsi="Times New Roman" w:cs="Times New Roman"/>
          <w:lang w:val="pl-PL"/>
        </w:rPr>
        <w:t xml:space="preserve">.  Rząd oświadczył, że Ruch nie posiadał </w:t>
      </w:r>
      <w:r w:rsidR="001C0824" w:rsidRPr="00C03220">
        <w:rPr>
          <w:rFonts w:ascii="Times New Roman" w:hAnsi="Times New Roman" w:cs="Times New Roman"/>
          <w:lang w:val="pl-PL"/>
        </w:rPr>
        <w:t>odrębnej</w:t>
      </w:r>
      <w:r w:rsidR="004D2070" w:rsidRPr="00C03220">
        <w:rPr>
          <w:rFonts w:ascii="Times New Roman" w:hAnsi="Times New Roman" w:cs="Times New Roman"/>
          <w:lang w:val="pl-PL"/>
        </w:rPr>
        <w:t xml:space="preserve"> osobowości prawnej, lecz stanowił oddział Stowarzyszenia oraz został założony i był organizowany i finansowany przez Stowarzyszenie. Członkowie Ruchu działali w interesie i pod kierownictwem Stowarzyszenia oraz wpłacali </w:t>
      </w:r>
      <w:r w:rsidR="00596F07" w:rsidRPr="00C03220">
        <w:rPr>
          <w:rFonts w:ascii="Times New Roman" w:hAnsi="Times New Roman" w:cs="Times New Roman"/>
          <w:lang w:val="pl-PL"/>
        </w:rPr>
        <w:t xml:space="preserve">składki członkowskie </w:t>
      </w:r>
      <w:r w:rsidR="004D2070" w:rsidRPr="00C03220">
        <w:rPr>
          <w:rFonts w:ascii="Times New Roman" w:hAnsi="Times New Roman" w:cs="Times New Roman"/>
          <w:lang w:val="pl-PL"/>
        </w:rPr>
        <w:t>do Stowarzyszenia. Fakt, iż w statucie Stowarzyszenia</w:t>
      </w:r>
      <w:r w:rsidR="00596F07" w:rsidRPr="00C03220">
        <w:rPr>
          <w:rFonts w:ascii="Times New Roman" w:hAnsi="Times New Roman" w:cs="Times New Roman"/>
          <w:lang w:val="pl-PL"/>
        </w:rPr>
        <w:t xml:space="preserve"> nie przedstawiono dokładnie jego</w:t>
      </w:r>
      <w:r w:rsidR="004D2070" w:rsidRPr="00C03220">
        <w:rPr>
          <w:rFonts w:ascii="Times New Roman" w:hAnsi="Times New Roman" w:cs="Times New Roman"/>
          <w:lang w:val="pl-PL"/>
        </w:rPr>
        <w:t xml:space="preserve"> struktury wewnętrznej, nie może prowadzić do wniosków, że Ruch </w:t>
      </w:r>
      <w:r w:rsidR="004D2070" w:rsidRPr="00C03220">
        <w:rPr>
          <w:rFonts w:ascii="Times New Roman" w:hAnsi="Times New Roman" w:cs="Times New Roman"/>
          <w:i/>
          <w:iCs/>
          <w:lang w:val="pl-PL"/>
        </w:rPr>
        <w:t xml:space="preserve">de iure </w:t>
      </w:r>
      <w:r w:rsidR="004D2070" w:rsidRPr="00C03220">
        <w:rPr>
          <w:rFonts w:ascii="Times New Roman" w:hAnsi="Times New Roman" w:cs="Times New Roman"/>
          <w:lang w:val="pl-PL"/>
        </w:rPr>
        <w:t xml:space="preserve">nie był częścią Stowarzyszenia. Jednakże, </w:t>
      </w:r>
      <w:r w:rsidR="001C0824" w:rsidRPr="00C03220">
        <w:rPr>
          <w:rFonts w:ascii="Times New Roman" w:hAnsi="Times New Roman" w:cs="Times New Roman"/>
          <w:lang w:val="pl-PL"/>
        </w:rPr>
        <w:t>nawet przyjmując, iż</w:t>
      </w:r>
      <w:r w:rsidR="004D2070" w:rsidRPr="00C03220">
        <w:rPr>
          <w:rFonts w:ascii="Times New Roman" w:hAnsi="Times New Roman" w:cs="Times New Roman"/>
          <w:lang w:val="pl-PL"/>
        </w:rPr>
        <w:t xml:space="preserve"> Ruch nie stanowił podmiotu odrębnego </w:t>
      </w:r>
      <w:r w:rsidR="004D2070" w:rsidRPr="00C03220">
        <w:rPr>
          <w:rFonts w:ascii="Times New Roman" w:hAnsi="Times New Roman" w:cs="Times New Roman"/>
          <w:i/>
          <w:iCs/>
          <w:lang w:val="pl-PL"/>
        </w:rPr>
        <w:t>de iure</w:t>
      </w:r>
      <w:r w:rsidR="004D2070" w:rsidRPr="00C03220">
        <w:rPr>
          <w:rFonts w:ascii="Times New Roman" w:hAnsi="Times New Roman" w:cs="Times New Roman"/>
          <w:lang w:val="pl-PL"/>
        </w:rPr>
        <w:t xml:space="preserve">, jego </w:t>
      </w:r>
      <w:r w:rsidR="004D2070" w:rsidRPr="00C03220">
        <w:rPr>
          <w:rFonts w:ascii="Times New Roman" w:hAnsi="Times New Roman" w:cs="Times New Roman"/>
          <w:i/>
          <w:iCs/>
          <w:lang w:val="pl-PL"/>
        </w:rPr>
        <w:t>de facto</w:t>
      </w:r>
      <w:r w:rsidR="004D2070" w:rsidRPr="00C03220">
        <w:rPr>
          <w:rFonts w:ascii="Times New Roman" w:hAnsi="Times New Roman" w:cs="Times New Roman"/>
          <w:lang w:val="pl-PL"/>
        </w:rPr>
        <w:t xml:space="preserve"> powiązania ze Stowarzyszeniem uzasadniały stwierdzenie, iż Stowarzyszenie nadużyło swej wolności wyrażania opinii na skutek działań prowadzonych przez Ruch. Zatem Stowarzyszenie, którego przewodniczącym był skarżący, nie zostało rozwiązane na skutek działań odrębnego podmiotu prawnego, lecz działań własnych.</w:t>
      </w:r>
    </w:p>
    <w:p w:rsidR="004D2070" w:rsidRPr="00C03220" w:rsidRDefault="001552E1" w:rsidP="004D2070">
      <w:pPr>
        <w:pStyle w:val="ECHRPara"/>
        <w:rPr>
          <w:rFonts w:ascii="Times New Roman" w:hAnsi="Times New Roman" w:cs="Times New Roman"/>
          <w:lang w:val="pl-PL"/>
        </w:rPr>
      </w:pPr>
      <w:r w:rsidRPr="00C03220">
        <w:rPr>
          <w:rFonts w:ascii="Times New Roman" w:hAnsi="Times New Roman" w:cs="Times New Roman"/>
          <w:lang w:val="pl-PL"/>
        </w:rPr>
        <w:fldChar w:fldCharType="begin"/>
      </w:r>
      <w:r w:rsidR="004D2070" w:rsidRPr="00C03220">
        <w:rPr>
          <w:rFonts w:ascii="Times New Roman" w:hAnsi="Times New Roman" w:cs="Times New Roman"/>
          <w:lang w:val="pl-PL"/>
        </w:rPr>
        <w:instrText xml:space="preserve"> SEQ level0 \*arabic </w:instrText>
      </w:r>
      <w:r w:rsidRPr="00C03220">
        <w:rPr>
          <w:rFonts w:ascii="Times New Roman" w:hAnsi="Times New Roman" w:cs="Times New Roman"/>
          <w:lang w:val="pl-PL"/>
        </w:rPr>
        <w:fldChar w:fldCharType="separate"/>
      </w:r>
      <w:r w:rsidR="004D2070" w:rsidRPr="00C03220">
        <w:rPr>
          <w:rFonts w:ascii="Times New Roman" w:hAnsi="Times New Roman" w:cs="Times New Roman"/>
          <w:noProof/>
          <w:lang w:val="pl-PL"/>
        </w:rPr>
        <w:t>41</w:t>
      </w:r>
      <w:r w:rsidRPr="00C03220">
        <w:rPr>
          <w:rFonts w:ascii="Times New Roman" w:hAnsi="Times New Roman" w:cs="Times New Roman"/>
          <w:lang w:val="pl-PL"/>
        </w:rPr>
        <w:fldChar w:fldCharType="end"/>
      </w:r>
      <w:r w:rsidR="004D2070" w:rsidRPr="00C03220">
        <w:rPr>
          <w:rFonts w:ascii="Times New Roman" w:hAnsi="Times New Roman" w:cs="Times New Roman"/>
          <w:lang w:val="pl-PL"/>
        </w:rPr>
        <w:t xml:space="preserve">.  Ponadto Rząd wyraził opinię, że nie doszło do ingerencji w przysługującą skarżącemu wolność stowarzyszania się, jako że wolność ta nie obejmuje prawa do stowarzyszania się w celu rozpowszechniania propagandy rasistowskiej. Zatem, jeżeli nawet doszło do ingerencji, była ona przewidziana przez ustawę i służyła uzasadnionym celom ochrony bezpieczeństwa publicznego, zapobiegania </w:t>
      </w:r>
      <w:r w:rsidR="00E5167D" w:rsidRPr="00C03220">
        <w:rPr>
          <w:rFonts w:ascii="Times New Roman" w:hAnsi="Times New Roman" w:cs="Times New Roman"/>
          <w:lang w:val="pl-PL"/>
        </w:rPr>
        <w:t xml:space="preserve">zakłóceniom porządku </w:t>
      </w:r>
      <w:r w:rsidR="004D2070" w:rsidRPr="00C03220">
        <w:rPr>
          <w:rFonts w:ascii="Times New Roman" w:hAnsi="Times New Roman" w:cs="Times New Roman"/>
          <w:lang w:val="pl-PL"/>
        </w:rPr>
        <w:t>lub przestępczości oraz ochrony praw i wolności innych osób.</w:t>
      </w:r>
    </w:p>
    <w:p w:rsidR="004D2070" w:rsidRPr="00C03220" w:rsidRDefault="001552E1" w:rsidP="004D2070">
      <w:pPr>
        <w:pStyle w:val="ECHRPara"/>
        <w:rPr>
          <w:rFonts w:ascii="Times New Roman" w:hAnsi="Times New Roman" w:cs="Times New Roman"/>
          <w:lang w:val="pl-PL"/>
        </w:rPr>
      </w:pPr>
      <w:r w:rsidRPr="00C03220">
        <w:rPr>
          <w:rFonts w:ascii="Times New Roman" w:hAnsi="Times New Roman" w:cs="Times New Roman"/>
          <w:lang w:val="pl-PL"/>
        </w:rPr>
        <w:fldChar w:fldCharType="begin"/>
      </w:r>
      <w:r w:rsidR="004D2070" w:rsidRPr="00C03220">
        <w:rPr>
          <w:rFonts w:ascii="Times New Roman" w:hAnsi="Times New Roman" w:cs="Times New Roman"/>
          <w:lang w:val="pl-PL"/>
        </w:rPr>
        <w:instrText xml:space="preserve"> SEQ level0 \*arabic </w:instrText>
      </w:r>
      <w:r w:rsidRPr="00C03220">
        <w:rPr>
          <w:rFonts w:ascii="Times New Roman" w:hAnsi="Times New Roman" w:cs="Times New Roman"/>
          <w:lang w:val="pl-PL"/>
        </w:rPr>
        <w:fldChar w:fldCharType="separate"/>
      </w:r>
      <w:r w:rsidR="004D2070" w:rsidRPr="00C03220">
        <w:rPr>
          <w:rFonts w:ascii="Times New Roman" w:hAnsi="Times New Roman" w:cs="Times New Roman"/>
          <w:noProof/>
          <w:lang w:val="pl-PL"/>
        </w:rPr>
        <w:t>42</w:t>
      </w:r>
      <w:r w:rsidRPr="00C03220">
        <w:rPr>
          <w:rFonts w:ascii="Times New Roman" w:hAnsi="Times New Roman" w:cs="Times New Roman"/>
          <w:lang w:val="pl-PL"/>
        </w:rPr>
        <w:fldChar w:fldCharType="end"/>
      </w:r>
      <w:r w:rsidR="004D2070" w:rsidRPr="00C03220">
        <w:rPr>
          <w:rFonts w:ascii="Times New Roman" w:hAnsi="Times New Roman" w:cs="Times New Roman"/>
          <w:lang w:val="pl-PL"/>
        </w:rPr>
        <w:t>.  Ponadto ingerencja była konieczna w społeczeństwie demokratycznym zważywszy na rasistowskie i antysemickie treści demonstracji organizowanych przez Ruch i jego para</w:t>
      </w:r>
      <w:r w:rsidR="00E5167D" w:rsidRPr="00C03220">
        <w:rPr>
          <w:rFonts w:ascii="Times New Roman" w:hAnsi="Times New Roman" w:cs="Times New Roman"/>
          <w:lang w:val="pl-PL"/>
        </w:rPr>
        <w:t xml:space="preserve">militarne </w:t>
      </w:r>
      <w:r w:rsidR="004D2070" w:rsidRPr="00C03220">
        <w:rPr>
          <w:rFonts w:ascii="Times New Roman" w:hAnsi="Times New Roman" w:cs="Times New Roman"/>
          <w:lang w:val="pl-PL"/>
        </w:rPr>
        <w:t xml:space="preserve">rytuały, które były zastraszające i </w:t>
      </w:r>
      <w:r w:rsidR="00685D98" w:rsidRPr="00C03220">
        <w:rPr>
          <w:rFonts w:ascii="Times New Roman" w:hAnsi="Times New Roman" w:cs="Times New Roman"/>
          <w:lang w:val="pl-PL"/>
        </w:rPr>
        <w:t>agresywne</w:t>
      </w:r>
      <w:r w:rsidR="004D2070" w:rsidRPr="00C03220">
        <w:rPr>
          <w:rFonts w:ascii="Times New Roman" w:hAnsi="Times New Roman" w:cs="Times New Roman"/>
          <w:lang w:val="pl-PL"/>
        </w:rPr>
        <w:t xml:space="preserve">, propagowały segregację, zwiększały napięcia społeczne i prowokowały przemoc. Odnośnie do proporcjonalności rozwiązanie stanowiło właściwą sankcję z tytułu propagowania dyskryminacji i segregacji rasowej. Nie była to nawet najsurowsza </w:t>
      </w:r>
      <w:r w:rsidR="00E5167D" w:rsidRPr="00C03220">
        <w:rPr>
          <w:rFonts w:ascii="Times New Roman" w:hAnsi="Times New Roman" w:cs="Times New Roman"/>
          <w:lang w:val="pl-PL"/>
        </w:rPr>
        <w:t>dostępna</w:t>
      </w:r>
      <w:r w:rsidR="004D2070" w:rsidRPr="00C03220">
        <w:rPr>
          <w:rFonts w:ascii="Times New Roman" w:hAnsi="Times New Roman" w:cs="Times New Roman"/>
          <w:lang w:val="pl-PL"/>
        </w:rPr>
        <w:t xml:space="preserve"> sankcja,</w:t>
      </w:r>
      <w:r w:rsidR="001C0824" w:rsidRPr="00C03220">
        <w:rPr>
          <w:rFonts w:ascii="Times New Roman" w:hAnsi="Times New Roman" w:cs="Times New Roman"/>
          <w:lang w:val="pl-PL"/>
        </w:rPr>
        <w:t xml:space="preserve"> z tego względu </w:t>
      </w:r>
      <w:r w:rsidR="004D2070" w:rsidRPr="00C03220">
        <w:rPr>
          <w:rFonts w:ascii="Times New Roman" w:hAnsi="Times New Roman" w:cs="Times New Roman"/>
          <w:lang w:val="pl-PL"/>
        </w:rPr>
        <w:t>że</w:t>
      </w:r>
      <w:r w:rsidR="001C0824" w:rsidRPr="00C03220">
        <w:rPr>
          <w:rFonts w:ascii="Times New Roman" w:hAnsi="Times New Roman" w:cs="Times New Roman"/>
          <w:lang w:val="pl-PL"/>
        </w:rPr>
        <w:t>, jako ostateczny środek (</w:t>
      </w:r>
      <w:r w:rsidR="001C0824" w:rsidRPr="00C03220">
        <w:rPr>
          <w:rFonts w:ascii="Times New Roman" w:hAnsi="Times New Roman" w:cs="Times New Roman"/>
          <w:i/>
          <w:iCs/>
          <w:lang w:val="pl-PL"/>
        </w:rPr>
        <w:t>ultima ratio</w:t>
      </w:r>
      <w:r w:rsidR="001C0824" w:rsidRPr="00C03220">
        <w:rPr>
          <w:rFonts w:ascii="Times New Roman" w:hAnsi="Times New Roman" w:cs="Times New Roman"/>
          <w:lang w:val="pl-PL"/>
        </w:rPr>
        <w:t xml:space="preserve">) </w:t>
      </w:r>
      <w:r w:rsidR="004D2070" w:rsidRPr="00C03220">
        <w:rPr>
          <w:rFonts w:ascii="Times New Roman" w:hAnsi="Times New Roman" w:cs="Times New Roman"/>
          <w:lang w:val="pl-PL"/>
        </w:rPr>
        <w:t>względem osób odpowiedzialnych za najpoważniejsze przypadki wyrażania nienawiści rasowej, zachęcających innych do stosowania przemocy</w:t>
      </w:r>
      <w:r w:rsidR="001C0824" w:rsidRPr="00C03220">
        <w:rPr>
          <w:rFonts w:ascii="Times New Roman" w:hAnsi="Times New Roman" w:cs="Times New Roman"/>
          <w:lang w:val="pl-PL"/>
        </w:rPr>
        <w:t>, zastosowane mogły zostać również sankcje karne</w:t>
      </w:r>
      <w:r w:rsidR="004D2070" w:rsidRPr="00C03220">
        <w:rPr>
          <w:rFonts w:ascii="Times New Roman" w:hAnsi="Times New Roman" w:cs="Times New Roman"/>
          <w:lang w:val="pl-PL"/>
        </w:rPr>
        <w:t>.</w:t>
      </w:r>
    </w:p>
    <w:p w:rsidR="004D2070" w:rsidRPr="00C03220" w:rsidRDefault="004D2070" w:rsidP="004D2070">
      <w:pPr>
        <w:pStyle w:val="ECHRHeading4"/>
        <w:rPr>
          <w:rFonts w:ascii="Times New Roman" w:hAnsi="Times New Roman" w:cs="Times New Roman"/>
          <w:lang w:val="pl-PL"/>
        </w:rPr>
      </w:pPr>
      <w:r w:rsidRPr="00C03220">
        <w:rPr>
          <w:rFonts w:ascii="Times New Roman" w:hAnsi="Times New Roman" w:cs="Times New Roman"/>
          <w:iCs w:val="0"/>
          <w:lang w:val="pl-PL"/>
        </w:rPr>
        <w:t>(b)  Skarżący</w:t>
      </w:r>
    </w:p>
    <w:p w:rsidR="004D2070" w:rsidRPr="00C03220" w:rsidRDefault="001552E1" w:rsidP="004D2070">
      <w:pPr>
        <w:pStyle w:val="ECHRPara"/>
        <w:rPr>
          <w:rFonts w:ascii="Times New Roman" w:hAnsi="Times New Roman" w:cs="Times New Roman"/>
          <w:lang w:val="pl-PL"/>
        </w:rPr>
      </w:pPr>
      <w:r w:rsidRPr="00C03220">
        <w:rPr>
          <w:rStyle w:val="sb8d990e2"/>
          <w:rFonts w:ascii="Times New Roman" w:hAnsi="Times New Roman" w:cs="Times New Roman"/>
          <w:lang w:val="pl-PL"/>
        </w:rPr>
        <w:fldChar w:fldCharType="begin"/>
      </w:r>
      <w:r w:rsidR="004D2070" w:rsidRPr="00C03220">
        <w:rPr>
          <w:rStyle w:val="sb8d990e2"/>
          <w:rFonts w:ascii="Times New Roman" w:hAnsi="Times New Roman" w:cs="Times New Roman"/>
          <w:lang w:val="pl-PL"/>
        </w:rPr>
        <w:instrText xml:space="preserve"> SEQ level0 \*arabic </w:instrText>
      </w:r>
      <w:r w:rsidRPr="00C03220">
        <w:rPr>
          <w:rStyle w:val="sb8d990e2"/>
          <w:rFonts w:ascii="Times New Roman" w:hAnsi="Times New Roman" w:cs="Times New Roman"/>
          <w:lang w:val="pl-PL"/>
        </w:rPr>
        <w:fldChar w:fldCharType="separate"/>
      </w:r>
      <w:r w:rsidR="004D2070" w:rsidRPr="00C03220">
        <w:rPr>
          <w:rStyle w:val="sb8d990e2"/>
          <w:rFonts w:ascii="Times New Roman" w:hAnsi="Times New Roman" w:cs="Times New Roman"/>
          <w:noProof/>
          <w:lang w:val="pl-PL"/>
        </w:rPr>
        <w:t>43</w:t>
      </w:r>
      <w:r w:rsidRPr="00C03220">
        <w:rPr>
          <w:rStyle w:val="sb8d990e2"/>
          <w:rFonts w:ascii="Times New Roman" w:hAnsi="Times New Roman" w:cs="Times New Roman"/>
          <w:lang w:val="pl-PL"/>
        </w:rPr>
        <w:fldChar w:fldCharType="end"/>
      </w:r>
      <w:r w:rsidR="004D2070" w:rsidRPr="00C03220">
        <w:rPr>
          <w:rStyle w:val="sb8d990e2"/>
          <w:rFonts w:ascii="Times New Roman" w:hAnsi="Times New Roman" w:cs="Times New Roman"/>
          <w:lang w:val="pl-PL"/>
        </w:rPr>
        <w:t xml:space="preserve">.  Na wstępie skarżący podkreślił, że – sprzecznie z ustaleniami sądów krajowych – </w:t>
      </w:r>
      <w:r w:rsidR="00596F07" w:rsidRPr="00C03220">
        <w:rPr>
          <w:rStyle w:val="sb8d990e2"/>
          <w:rFonts w:ascii="Times New Roman" w:hAnsi="Times New Roman" w:cs="Times New Roman"/>
          <w:lang w:val="pl-PL"/>
        </w:rPr>
        <w:t xml:space="preserve">zaskarżonych działań Ruchu nie można przypisywać </w:t>
      </w:r>
      <w:r w:rsidR="004D2070" w:rsidRPr="00C03220">
        <w:rPr>
          <w:rStyle w:val="sb8d990e2"/>
          <w:rFonts w:ascii="Times New Roman" w:hAnsi="Times New Roman" w:cs="Times New Roman"/>
          <w:lang w:val="pl-PL"/>
        </w:rPr>
        <w:lastRenderedPageBreak/>
        <w:t xml:space="preserve">rozwiązanemu Stowarzyszeniu. Skarżący kwestionował fakt, jakoby </w:t>
      </w:r>
      <w:r w:rsidR="004D2070" w:rsidRPr="00C03220">
        <w:rPr>
          <w:rFonts w:ascii="Times New Roman" w:hAnsi="Times New Roman" w:cs="Times New Roman"/>
          <w:lang w:val="pl-PL"/>
        </w:rPr>
        <w:t>Ruch stanowił integralną część Stowarzyszenia, ponieważ oba podmioty działały odrębnie i niezależnie, choć we współpracy. Podkreślił ponadto, że żaden z członków Stowarzyszenia nie uczestniczył w Ruchu.</w:t>
      </w:r>
    </w:p>
    <w:p w:rsidR="004D2070" w:rsidRPr="00C03220" w:rsidRDefault="001552E1" w:rsidP="004D2070">
      <w:pPr>
        <w:pStyle w:val="ECHRPara"/>
        <w:rPr>
          <w:rStyle w:val="sb8d990e2"/>
          <w:rFonts w:ascii="Times New Roman" w:hAnsi="Times New Roman" w:cs="Times New Roman"/>
          <w:lang w:val="pl-PL"/>
        </w:rPr>
      </w:pPr>
      <w:r w:rsidRPr="00C03220">
        <w:rPr>
          <w:rStyle w:val="sb8d990e2"/>
          <w:rFonts w:ascii="Times New Roman" w:hAnsi="Times New Roman" w:cs="Times New Roman"/>
          <w:lang w:val="pl-PL"/>
        </w:rPr>
        <w:fldChar w:fldCharType="begin"/>
      </w:r>
      <w:r w:rsidR="004D2070" w:rsidRPr="00C03220">
        <w:rPr>
          <w:rStyle w:val="sb8d990e2"/>
          <w:rFonts w:ascii="Times New Roman" w:hAnsi="Times New Roman" w:cs="Times New Roman"/>
          <w:lang w:val="pl-PL"/>
        </w:rPr>
        <w:instrText xml:space="preserve"> SEQ level0 \*arabic </w:instrText>
      </w:r>
      <w:r w:rsidRPr="00C03220">
        <w:rPr>
          <w:rStyle w:val="sb8d990e2"/>
          <w:rFonts w:ascii="Times New Roman" w:hAnsi="Times New Roman" w:cs="Times New Roman"/>
          <w:lang w:val="pl-PL"/>
        </w:rPr>
        <w:fldChar w:fldCharType="separate"/>
      </w:r>
      <w:r w:rsidR="004D2070" w:rsidRPr="00C03220">
        <w:rPr>
          <w:rStyle w:val="sb8d990e2"/>
          <w:rFonts w:ascii="Times New Roman" w:hAnsi="Times New Roman" w:cs="Times New Roman"/>
          <w:noProof/>
          <w:lang w:val="pl-PL"/>
        </w:rPr>
        <w:t>44</w:t>
      </w:r>
      <w:r w:rsidRPr="00C03220">
        <w:rPr>
          <w:rStyle w:val="sb8d990e2"/>
          <w:rFonts w:ascii="Times New Roman" w:hAnsi="Times New Roman" w:cs="Times New Roman"/>
          <w:lang w:val="pl-PL"/>
        </w:rPr>
        <w:fldChar w:fldCharType="end"/>
      </w:r>
      <w:r w:rsidR="004D2070" w:rsidRPr="00C03220">
        <w:rPr>
          <w:rStyle w:val="sb8d990e2"/>
          <w:rFonts w:ascii="Times New Roman" w:hAnsi="Times New Roman" w:cs="Times New Roman"/>
          <w:lang w:val="pl-PL"/>
        </w:rPr>
        <w:t xml:space="preserve">.  Skarżący </w:t>
      </w:r>
      <w:r w:rsidR="00E5167D" w:rsidRPr="00C03220">
        <w:rPr>
          <w:rStyle w:val="sb8d990e2"/>
          <w:rFonts w:ascii="Times New Roman" w:hAnsi="Times New Roman" w:cs="Times New Roman"/>
          <w:lang w:val="pl-PL"/>
        </w:rPr>
        <w:t>zakwestionował</w:t>
      </w:r>
      <w:r w:rsidR="004D2070" w:rsidRPr="00C03220">
        <w:rPr>
          <w:rStyle w:val="sb8d990e2"/>
          <w:rFonts w:ascii="Times New Roman" w:hAnsi="Times New Roman" w:cs="Times New Roman"/>
          <w:lang w:val="pl-PL"/>
        </w:rPr>
        <w:t xml:space="preserve"> argument Rządu, iż rozwiązanie Stowarzyszenia </w:t>
      </w:r>
      <w:r w:rsidR="00E5167D" w:rsidRPr="00C03220">
        <w:rPr>
          <w:rStyle w:val="sb8d990e2"/>
          <w:rFonts w:ascii="Times New Roman" w:hAnsi="Times New Roman" w:cs="Times New Roman"/>
          <w:lang w:val="pl-PL"/>
        </w:rPr>
        <w:t>dążyło</w:t>
      </w:r>
      <w:r w:rsidR="004D2070" w:rsidRPr="00C03220">
        <w:rPr>
          <w:rStyle w:val="sb8d990e2"/>
          <w:rFonts w:ascii="Times New Roman" w:hAnsi="Times New Roman" w:cs="Times New Roman"/>
          <w:lang w:val="pl-PL"/>
        </w:rPr>
        <w:t xml:space="preserve"> do uzasadnionego celu w interesie bezpieczeństwa narodowego czy bezpieczeństwa publicznego, to jest zapobiegania zakłóceniom porządku i przestępczości oraz ochrony praw i wolności w rozumieniu artykułu 11 ust. 2 Konwencji. Zdaniem skarżącego sądy nie wskazały żadnych przypadków rzeczywistego zakłócenia porządku bądź naruszenia praw innych osób. Skarżący podkreślił, że decyzje sądów krajowych odwoływały się do ryzyka hipotetycznego, a zapobiegania takiemu ryzyku nie można uznać za uzasadniony cel w świetle Konwencji.</w:t>
      </w:r>
    </w:p>
    <w:p w:rsidR="004D2070" w:rsidRPr="00C03220" w:rsidRDefault="001552E1" w:rsidP="004D2070">
      <w:pPr>
        <w:pStyle w:val="ECHRPara"/>
        <w:rPr>
          <w:rStyle w:val="sb8d990e2"/>
          <w:rFonts w:ascii="Times New Roman" w:hAnsi="Times New Roman" w:cs="Times New Roman"/>
          <w:lang w:val="pl-PL"/>
        </w:rPr>
      </w:pPr>
      <w:r w:rsidRPr="00C03220">
        <w:rPr>
          <w:rStyle w:val="sb8d990e2"/>
          <w:rFonts w:ascii="Times New Roman" w:hAnsi="Times New Roman" w:cs="Times New Roman"/>
          <w:lang w:val="pl-PL"/>
        </w:rPr>
        <w:fldChar w:fldCharType="begin"/>
      </w:r>
      <w:r w:rsidR="004D2070" w:rsidRPr="00C03220">
        <w:rPr>
          <w:rStyle w:val="sb8d990e2"/>
          <w:rFonts w:ascii="Times New Roman" w:hAnsi="Times New Roman" w:cs="Times New Roman"/>
          <w:lang w:val="pl-PL"/>
        </w:rPr>
        <w:instrText xml:space="preserve"> SEQ level0 \*arabic </w:instrText>
      </w:r>
      <w:r w:rsidRPr="00C03220">
        <w:rPr>
          <w:rStyle w:val="sb8d990e2"/>
          <w:rFonts w:ascii="Times New Roman" w:hAnsi="Times New Roman" w:cs="Times New Roman"/>
          <w:lang w:val="pl-PL"/>
        </w:rPr>
        <w:fldChar w:fldCharType="separate"/>
      </w:r>
      <w:r w:rsidR="004D2070" w:rsidRPr="00C03220">
        <w:rPr>
          <w:rStyle w:val="sb8d990e2"/>
          <w:rFonts w:ascii="Times New Roman" w:hAnsi="Times New Roman" w:cs="Times New Roman"/>
          <w:noProof/>
          <w:lang w:val="pl-PL"/>
        </w:rPr>
        <w:t>45</w:t>
      </w:r>
      <w:r w:rsidRPr="00C03220">
        <w:rPr>
          <w:rStyle w:val="sb8d990e2"/>
          <w:rFonts w:ascii="Times New Roman" w:hAnsi="Times New Roman" w:cs="Times New Roman"/>
          <w:lang w:val="pl-PL"/>
        </w:rPr>
        <w:fldChar w:fldCharType="end"/>
      </w:r>
      <w:r w:rsidR="004D2070" w:rsidRPr="00C03220">
        <w:rPr>
          <w:rStyle w:val="sb8d990e2"/>
          <w:rFonts w:ascii="Times New Roman" w:hAnsi="Times New Roman" w:cs="Times New Roman"/>
          <w:lang w:val="pl-PL"/>
        </w:rPr>
        <w:t xml:space="preserve">.  W dalszej kolejności skarżący twierdził, że nawet przy założeniu, </w:t>
      </w:r>
      <w:r w:rsidR="00596F07" w:rsidRPr="00C03220">
        <w:rPr>
          <w:rStyle w:val="sb8d990e2"/>
          <w:rFonts w:ascii="Times New Roman" w:hAnsi="Times New Roman" w:cs="Times New Roman"/>
          <w:lang w:val="pl-PL"/>
        </w:rPr>
        <w:t>i</w:t>
      </w:r>
      <w:r w:rsidR="004D2070" w:rsidRPr="00C03220">
        <w:rPr>
          <w:rStyle w:val="sb8d990e2"/>
          <w:rFonts w:ascii="Times New Roman" w:hAnsi="Times New Roman" w:cs="Times New Roman"/>
          <w:lang w:val="pl-PL"/>
        </w:rPr>
        <w:t xml:space="preserve">ż ingerencja w prawa wynikające z artykułu 11 Konwencji była zgodna z prawem, rozwiązanie stowarzyszenia nie było konieczne ani proporcjonalne do </w:t>
      </w:r>
      <w:r w:rsidR="00E5167D" w:rsidRPr="00C03220">
        <w:rPr>
          <w:rStyle w:val="sb8d990e2"/>
          <w:rFonts w:ascii="Times New Roman" w:hAnsi="Times New Roman" w:cs="Times New Roman"/>
          <w:lang w:val="pl-PL"/>
        </w:rPr>
        <w:t>wyznaczonych celów</w:t>
      </w:r>
      <w:r w:rsidR="004D2070" w:rsidRPr="00C03220">
        <w:rPr>
          <w:rStyle w:val="sb8d990e2"/>
          <w:rFonts w:ascii="Times New Roman" w:hAnsi="Times New Roman" w:cs="Times New Roman"/>
          <w:lang w:val="pl-PL"/>
        </w:rPr>
        <w:t>. Skarżący zauważył, że każda ingerencja władz publicznych w wykonywanie prawa do wolności stowarzyszania się musi być proporcjonalna do powagi zaskarżanego postępowania; z tego względu sankcja zastosowana przez sądy krajowe była nadmiernie surowa. Zgodnie z orzecznictwem Trybunału rozwiązanie było zastrzeżone dla sytuacji, w których działalność stowarzyszenia stanowiła poważne zagrożenie dla samej istoty system demokratycznego; ani działalność Stowarzyszenia ani Ruchu nie miała takiego celu ani takiego skutku. W każdym razie właściwe prawo krajowe nie określało sankcji innych niż rozwiązanie względem rzekomo niezgodnej z prawem działalności stowarzyszenia, który to fakt sam w sobie wykluczał wszelką proporcjonalność.</w:t>
      </w:r>
    </w:p>
    <w:p w:rsidR="004D2070" w:rsidRPr="00C03220" w:rsidRDefault="001552E1" w:rsidP="004D2070">
      <w:pPr>
        <w:pStyle w:val="ECHRPara"/>
        <w:rPr>
          <w:rStyle w:val="sb8d990e2"/>
          <w:rFonts w:ascii="Times New Roman" w:hAnsi="Times New Roman" w:cs="Times New Roman"/>
          <w:lang w:val="pl-PL"/>
        </w:rPr>
      </w:pPr>
      <w:r w:rsidRPr="00C03220">
        <w:rPr>
          <w:rStyle w:val="sb8d990e2"/>
          <w:rFonts w:ascii="Times New Roman" w:hAnsi="Times New Roman" w:cs="Times New Roman"/>
          <w:lang w:val="pl-PL"/>
        </w:rPr>
        <w:fldChar w:fldCharType="begin"/>
      </w:r>
      <w:r w:rsidR="004D2070" w:rsidRPr="00C03220">
        <w:rPr>
          <w:rStyle w:val="sb8d990e2"/>
          <w:rFonts w:ascii="Times New Roman" w:hAnsi="Times New Roman" w:cs="Times New Roman"/>
          <w:lang w:val="pl-PL"/>
        </w:rPr>
        <w:instrText xml:space="preserve"> SEQ level0 \*arabic </w:instrText>
      </w:r>
      <w:r w:rsidRPr="00C03220">
        <w:rPr>
          <w:rStyle w:val="sb8d990e2"/>
          <w:rFonts w:ascii="Times New Roman" w:hAnsi="Times New Roman" w:cs="Times New Roman"/>
          <w:lang w:val="pl-PL"/>
        </w:rPr>
        <w:fldChar w:fldCharType="separate"/>
      </w:r>
      <w:r w:rsidR="004D2070" w:rsidRPr="00C03220">
        <w:rPr>
          <w:rStyle w:val="sb8d990e2"/>
          <w:rFonts w:ascii="Times New Roman" w:hAnsi="Times New Roman" w:cs="Times New Roman"/>
          <w:noProof/>
          <w:lang w:val="pl-PL"/>
        </w:rPr>
        <w:t>46</w:t>
      </w:r>
      <w:r w:rsidRPr="00C03220">
        <w:rPr>
          <w:rStyle w:val="sb8d990e2"/>
          <w:rFonts w:ascii="Times New Roman" w:hAnsi="Times New Roman" w:cs="Times New Roman"/>
          <w:lang w:val="pl-PL"/>
        </w:rPr>
        <w:fldChar w:fldCharType="end"/>
      </w:r>
      <w:r w:rsidR="004D2070" w:rsidRPr="00C03220">
        <w:rPr>
          <w:rStyle w:val="sb8d990e2"/>
          <w:rFonts w:ascii="Times New Roman" w:hAnsi="Times New Roman" w:cs="Times New Roman"/>
          <w:lang w:val="pl-PL"/>
        </w:rPr>
        <w:t xml:space="preserve">.  Skarżący wskazał także, iż wyjątki określone w </w:t>
      </w:r>
      <w:r w:rsidR="004D2070" w:rsidRPr="00C03220">
        <w:rPr>
          <w:rFonts w:ascii="Times New Roman" w:hAnsi="Times New Roman" w:cs="Times New Roman"/>
          <w:lang w:val="pl-PL"/>
        </w:rPr>
        <w:t>artykule 11</w:t>
      </w:r>
      <w:r w:rsidR="004D2070" w:rsidRPr="00C03220">
        <w:rPr>
          <w:rStyle w:val="sb8d990e2"/>
          <w:rFonts w:ascii="Times New Roman" w:hAnsi="Times New Roman" w:cs="Times New Roman"/>
          <w:lang w:val="pl-PL"/>
        </w:rPr>
        <w:t xml:space="preserve"> ust. 2 należy intepretować w sposób wąski; wolność stowarzyszania się może być ograniczona wyłącznie, gdy jest to uzasadnione przekonującymi i istotnymi podstawami. Niemniej jednak w niniejszej sprawy sądy krajowe nie </w:t>
      </w:r>
      <w:r w:rsidR="00E5167D" w:rsidRPr="00C03220">
        <w:rPr>
          <w:rStyle w:val="sb8d990e2"/>
          <w:rFonts w:ascii="Times New Roman" w:hAnsi="Times New Roman" w:cs="Times New Roman"/>
          <w:lang w:val="pl-PL"/>
        </w:rPr>
        <w:t xml:space="preserve">przedstawiły </w:t>
      </w:r>
      <w:r w:rsidR="004D2070" w:rsidRPr="00C03220">
        <w:rPr>
          <w:rStyle w:val="sb8d990e2"/>
          <w:rFonts w:ascii="Times New Roman" w:hAnsi="Times New Roman" w:cs="Times New Roman"/>
          <w:lang w:val="pl-PL"/>
        </w:rPr>
        <w:t xml:space="preserve">wystarczających i właściwych przyczyn ograniczenia, ponieważ nie wykazały, że działalność Stowarzyszenia mogła prowokować konflikty lub wspierać czy propagować użycie przemocy i unicestwienie demokracji. Faktycznie, działalność Stowarzyszenia </w:t>
      </w:r>
      <w:r w:rsidR="00E5167D" w:rsidRPr="00C03220">
        <w:rPr>
          <w:rStyle w:val="sb8d990e2"/>
          <w:rFonts w:ascii="Times New Roman" w:hAnsi="Times New Roman" w:cs="Times New Roman"/>
          <w:lang w:val="pl-PL"/>
        </w:rPr>
        <w:t>miała jedynie na celu umożliwienie dyskusji na temat nierozwiązanych problemów społecznych, takich jak bezpieczeństwo osób zagrożonych i niezwykle wysoki poziom przestępczości</w:t>
      </w:r>
      <w:r w:rsidR="004D2070" w:rsidRPr="00C03220">
        <w:rPr>
          <w:rStyle w:val="sb8d990e2"/>
          <w:rFonts w:ascii="Times New Roman" w:hAnsi="Times New Roman" w:cs="Times New Roman"/>
          <w:lang w:val="pl-PL"/>
        </w:rPr>
        <w:t>.</w:t>
      </w:r>
    </w:p>
    <w:p w:rsidR="004D2070" w:rsidRPr="00C03220" w:rsidRDefault="001552E1" w:rsidP="004D2070">
      <w:pPr>
        <w:pStyle w:val="ECHRPara"/>
        <w:rPr>
          <w:rStyle w:val="sb8d990e2"/>
          <w:rFonts w:ascii="Times New Roman" w:hAnsi="Times New Roman" w:cs="Times New Roman"/>
          <w:lang w:val="pl-PL"/>
        </w:rPr>
      </w:pPr>
      <w:r w:rsidRPr="00C03220">
        <w:rPr>
          <w:rStyle w:val="sb8d990e2"/>
          <w:rFonts w:ascii="Times New Roman" w:hAnsi="Times New Roman" w:cs="Times New Roman"/>
          <w:lang w:val="pl-PL"/>
        </w:rPr>
        <w:fldChar w:fldCharType="begin"/>
      </w:r>
      <w:r w:rsidR="004D2070" w:rsidRPr="00C03220">
        <w:rPr>
          <w:rStyle w:val="sb8d990e2"/>
          <w:rFonts w:ascii="Times New Roman" w:hAnsi="Times New Roman" w:cs="Times New Roman"/>
          <w:lang w:val="pl-PL"/>
        </w:rPr>
        <w:instrText xml:space="preserve"> SEQ level0 \*arabic </w:instrText>
      </w:r>
      <w:r w:rsidRPr="00C03220">
        <w:rPr>
          <w:rStyle w:val="sb8d990e2"/>
          <w:rFonts w:ascii="Times New Roman" w:hAnsi="Times New Roman" w:cs="Times New Roman"/>
          <w:lang w:val="pl-PL"/>
        </w:rPr>
        <w:fldChar w:fldCharType="separate"/>
      </w:r>
      <w:r w:rsidR="004D2070" w:rsidRPr="00C03220">
        <w:rPr>
          <w:rStyle w:val="sb8d990e2"/>
          <w:rFonts w:ascii="Times New Roman" w:hAnsi="Times New Roman" w:cs="Times New Roman"/>
          <w:noProof/>
          <w:lang w:val="pl-PL"/>
        </w:rPr>
        <w:t>47</w:t>
      </w:r>
      <w:r w:rsidRPr="00C03220">
        <w:rPr>
          <w:rStyle w:val="sb8d990e2"/>
          <w:rFonts w:ascii="Times New Roman" w:hAnsi="Times New Roman" w:cs="Times New Roman"/>
          <w:lang w:val="pl-PL"/>
        </w:rPr>
        <w:fldChar w:fldCharType="end"/>
      </w:r>
      <w:r w:rsidR="004D2070" w:rsidRPr="00C03220">
        <w:rPr>
          <w:rStyle w:val="sb8d990e2"/>
          <w:rFonts w:ascii="Times New Roman" w:hAnsi="Times New Roman" w:cs="Times New Roman"/>
          <w:lang w:val="pl-PL"/>
        </w:rPr>
        <w:t>.  Skarżący zwrócił następnie uwagę na orzecznictwo Trybunału w sprawach dotyczących artykułu 11 w świetle artykułu 10. Przyznał, że w tym kontekście idee wyrażane przez Ruch mogą być obraźliwe lub szokujące. Niemniej jednak nie stanowiły nawoływania do nienawiści czy nietolerancji, a zatem były zgodne z zasadami pluralizmu i tolerancji w społeczeństwie demokratycznym.</w:t>
      </w:r>
    </w:p>
    <w:p w:rsidR="004D2070" w:rsidRPr="00C03220" w:rsidRDefault="004D2070" w:rsidP="004D2070">
      <w:pPr>
        <w:pStyle w:val="ECHRHeading4"/>
        <w:rPr>
          <w:rFonts w:ascii="Times New Roman" w:hAnsi="Times New Roman" w:cs="Times New Roman"/>
          <w:lang w:val="pl-PL"/>
        </w:rPr>
      </w:pPr>
      <w:r w:rsidRPr="00C03220">
        <w:rPr>
          <w:rFonts w:ascii="Times New Roman" w:hAnsi="Times New Roman" w:cs="Times New Roman"/>
          <w:iCs w:val="0"/>
          <w:lang w:val="pl-PL"/>
        </w:rPr>
        <w:lastRenderedPageBreak/>
        <w:t>(c)  Strona trzecia</w:t>
      </w:r>
    </w:p>
    <w:p w:rsidR="004D2070" w:rsidRPr="00C03220" w:rsidRDefault="001552E1" w:rsidP="004D2070">
      <w:pPr>
        <w:pStyle w:val="ECHRPara"/>
        <w:rPr>
          <w:rFonts w:ascii="Times New Roman" w:hAnsi="Times New Roman" w:cs="Times New Roman"/>
          <w:lang w:val="pl-PL"/>
        </w:rPr>
      </w:pPr>
      <w:r w:rsidRPr="00C03220">
        <w:rPr>
          <w:rFonts w:ascii="Times New Roman" w:hAnsi="Times New Roman" w:cs="Times New Roman"/>
          <w:lang w:val="pl-PL"/>
        </w:rPr>
        <w:fldChar w:fldCharType="begin"/>
      </w:r>
      <w:r w:rsidR="004D2070" w:rsidRPr="00C03220">
        <w:rPr>
          <w:rFonts w:ascii="Times New Roman" w:hAnsi="Times New Roman" w:cs="Times New Roman"/>
          <w:lang w:val="pl-PL"/>
        </w:rPr>
        <w:instrText xml:space="preserve"> SEQ level0 \*arabic </w:instrText>
      </w:r>
      <w:r w:rsidRPr="00C03220">
        <w:rPr>
          <w:rFonts w:ascii="Times New Roman" w:hAnsi="Times New Roman" w:cs="Times New Roman"/>
          <w:lang w:val="pl-PL"/>
        </w:rPr>
        <w:fldChar w:fldCharType="separate"/>
      </w:r>
      <w:r w:rsidR="004D2070" w:rsidRPr="00C03220">
        <w:rPr>
          <w:rFonts w:ascii="Times New Roman" w:hAnsi="Times New Roman" w:cs="Times New Roman"/>
          <w:noProof/>
          <w:lang w:val="pl-PL"/>
        </w:rPr>
        <w:t>48</w:t>
      </w:r>
      <w:r w:rsidRPr="00C03220">
        <w:rPr>
          <w:rFonts w:ascii="Times New Roman" w:hAnsi="Times New Roman" w:cs="Times New Roman"/>
          <w:lang w:val="pl-PL"/>
        </w:rPr>
        <w:fldChar w:fldCharType="end"/>
      </w:r>
      <w:r w:rsidR="004D2070" w:rsidRPr="00C03220">
        <w:rPr>
          <w:rFonts w:ascii="Times New Roman" w:hAnsi="Times New Roman" w:cs="Times New Roman"/>
          <w:lang w:val="pl-PL"/>
        </w:rPr>
        <w:t xml:space="preserve">.  Europejskie Centrum Praw Romów oświadczyło, że wolności gwarantowane artykułem 11 Konwencji mogą podlegać ograniczeniom w celu ochrony praw i wolności mniejszości. Odnosząc się, między innymi, do właściwych przepisów Międzynarodowej Konwencji w sprawie Likwidacji Wszelkich Form Dyskryminacji Rasowej, Centrum stwierdziło, że organizacje, które podejmują próby uzasadnienia czy propagowania nienawiści i dyskryminacji rasowej w dowolnej postaci, nie są objęte zakresem </w:t>
      </w:r>
      <w:r w:rsidR="00E5167D" w:rsidRPr="00C03220">
        <w:rPr>
          <w:rFonts w:ascii="Times New Roman" w:hAnsi="Times New Roman" w:cs="Times New Roman"/>
          <w:lang w:val="pl-PL"/>
        </w:rPr>
        <w:t>ochrony</w:t>
      </w:r>
      <w:r w:rsidR="004D2070" w:rsidRPr="00C03220">
        <w:rPr>
          <w:rFonts w:ascii="Times New Roman" w:hAnsi="Times New Roman" w:cs="Times New Roman"/>
          <w:lang w:val="pl-PL"/>
        </w:rPr>
        <w:t xml:space="preserve"> wynikającym z artykułu 11. Następnie strona trzecia zwróciła uwagę na fakt, że mniejszości, w szczególności mniejszość romska, objęte </w:t>
      </w:r>
      <w:r w:rsidR="00E5167D" w:rsidRPr="00C03220">
        <w:rPr>
          <w:rFonts w:ascii="Times New Roman" w:hAnsi="Times New Roman" w:cs="Times New Roman"/>
          <w:lang w:val="pl-PL"/>
        </w:rPr>
        <w:t>są</w:t>
      </w:r>
      <w:r w:rsidR="004D2070" w:rsidRPr="00C03220">
        <w:rPr>
          <w:rFonts w:ascii="Times New Roman" w:hAnsi="Times New Roman" w:cs="Times New Roman"/>
          <w:lang w:val="pl-PL"/>
        </w:rPr>
        <w:t xml:space="preserve"> szczególną ochroną na podstawie artykułu 14 Konwencji oraz powołała się na rodzący się międzynarodowy konsensus Umawiających </w:t>
      </w:r>
      <w:r w:rsidR="006B1DF1" w:rsidRPr="00C03220">
        <w:rPr>
          <w:rFonts w:ascii="Times New Roman" w:hAnsi="Times New Roman" w:cs="Times New Roman"/>
          <w:lang w:val="pl-PL"/>
        </w:rPr>
        <w:t>się</w:t>
      </w:r>
      <w:r w:rsidR="004D2070" w:rsidRPr="00C03220">
        <w:rPr>
          <w:rFonts w:ascii="Times New Roman" w:hAnsi="Times New Roman" w:cs="Times New Roman"/>
          <w:lang w:val="pl-PL"/>
        </w:rPr>
        <w:t xml:space="preserve"> Państw Rady Europy w zakresie uznania obowiązku ochrony ich bezpieczeństwa.</w:t>
      </w:r>
    </w:p>
    <w:p w:rsidR="004D2070" w:rsidRPr="00C03220" w:rsidRDefault="004D2070" w:rsidP="004D2070">
      <w:pPr>
        <w:pStyle w:val="ECHRHeading3"/>
        <w:rPr>
          <w:rFonts w:ascii="Times New Roman" w:hAnsi="Times New Roman" w:cs="Times New Roman"/>
          <w:lang w:val="pl-PL"/>
        </w:rPr>
      </w:pPr>
      <w:r w:rsidRPr="00C03220">
        <w:rPr>
          <w:rFonts w:ascii="Times New Roman" w:hAnsi="Times New Roman" w:cs="Times New Roman"/>
          <w:bCs w:val="0"/>
          <w:iCs/>
          <w:lang w:val="pl-PL"/>
        </w:rPr>
        <w:t>2.  Ocena Trybunału</w:t>
      </w:r>
    </w:p>
    <w:p w:rsidR="004D2070" w:rsidRPr="00C03220" w:rsidRDefault="004D2070" w:rsidP="004D2070">
      <w:pPr>
        <w:pStyle w:val="ECHRHeading4"/>
        <w:rPr>
          <w:rFonts w:ascii="Times New Roman" w:hAnsi="Times New Roman" w:cs="Times New Roman"/>
          <w:lang w:val="pl-PL"/>
        </w:rPr>
      </w:pPr>
      <w:r w:rsidRPr="00C03220">
        <w:rPr>
          <w:rFonts w:ascii="Times New Roman" w:hAnsi="Times New Roman" w:cs="Times New Roman"/>
          <w:iCs w:val="0"/>
          <w:lang w:val="pl-PL"/>
        </w:rPr>
        <w:t>(a)  Czy doszło do ingerencji</w:t>
      </w:r>
    </w:p>
    <w:p w:rsidR="004D2070" w:rsidRPr="00C03220" w:rsidRDefault="001552E1" w:rsidP="004D2070">
      <w:pPr>
        <w:pStyle w:val="ECHRPara"/>
        <w:rPr>
          <w:rFonts w:ascii="Times New Roman" w:hAnsi="Times New Roman" w:cs="Times New Roman"/>
          <w:lang w:val="pl-PL"/>
        </w:rPr>
      </w:pPr>
      <w:r w:rsidRPr="00C03220">
        <w:rPr>
          <w:rFonts w:ascii="Times New Roman" w:hAnsi="Times New Roman" w:cs="Times New Roman"/>
          <w:lang w:val="pl-PL"/>
        </w:rPr>
        <w:fldChar w:fldCharType="begin"/>
      </w:r>
      <w:r w:rsidR="004D2070" w:rsidRPr="00C03220">
        <w:rPr>
          <w:rFonts w:ascii="Times New Roman" w:hAnsi="Times New Roman" w:cs="Times New Roman"/>
          <w:lang w:val="pl-PL"/>
        </w:rPr>
        <w:instrText xml:space="preserve"> SEQ level0 \*arabic </w:instrText>
      </w:r>
      <w:r w:rsidRPr="00C03220">
        <w:rPr>
          <w:rFonts w:ascii="Times New Roman" w:hAnsi="Times New Roman" w:cs="Times New Roman"/>
          <w:lang w:val="pl-PL"/>
        </w:rPr>
        <w:fldChar w:fldCharType="separate"/>
      </w:r>
      <w:r w:rsidR="004D2070" w:rsidRPr="00C03220">
        <w:rPr>
          <w:rFonts w:ascii="Times New Roman" w:hAnsi="Times New Roman" w:cs="Times New Roman"/>
          <w:noProof/>
          <w:lang w:val="pl-PL"/>
        </w:rPr>
        <w:t>49</w:t>
      </w:r>
      <w:r w:rsidRPr="00C03220">
        <w:rPr>
          <w:rFonts w:ascii="Times New Roman" w:hAnsi="Times New Roman" w:cs="Times New Roman"/>
          <w:lang w:val="pl-PL"/>
        </w:rPr>
        <w:fldChar w:fldCharType="end"/>
      </w:r>
      <w:r w:rsidR="004D2070" w:rsidRPr="00C03220">
        <w:rPr>
          <w:rFonts w:ascii="Times New Roman" w:hAnsi="Times New Roman" w:cs="Times New Roman"/>
          <w:lang w:val="pl-PL"/>
        </w:rPr>
        <w:t>.  Trybunał zauważa, że Stowarzyszenie, któremu przewodniczył skarżący, zostało rozwiązane, a skutek zastosowania tego środka objął również Ruch (zob. par. 15 powyżej). Z tego względu Trybunał stwierdza, że doszło do ingerencji w prawa skarżącego gwarantowane artykułem 11 Konwencji.</w:t>
      </w:r>
    </w:p>
    <w:p w:rsidR="004D2070" w:rsidRPr="00C03220" w:rsidRDefault="004D2070" w:rsidP="004D2070">
      <w:pPr>
        <w:pStyle w:val="ECHRHeading4"/>
        <w:rPr>
          <w:rFonts w:ascii="Times New Roman" w:hAnsi="Times New Roman" w:cs="Times New Roman"/>
          <w:lang w:val="pl-PL"/>
        </w:rPr>
      </w:pPr>
      <w:r w:rsidRPr="00C03220">
        <w:rPr>
          <w:rFonts w:ascii="Times New Roman" w:hAnsi="Times New Roman" w:cs="Times New Roman"/>
          <w:iCs w:val="0"/>
          <w:lang w:val="pl-PL"/>
        </w:rPr>
        <w:t>(b)  Czy ingerencja była uzasadniona</w:t>
      </w:r>
    </w:p>
    <w:p w:rsidR="004D2070" w:rsidRPr="00C03220" w:rsidRDefault="001552E1" w:rsidP="004D2070">
      <w:pPr>
        <w:pStyle w:val="ECHRPara"/>
        <w:rPr>
          <w:rFonts w:ascii="Times New Roman" w:hAnsi="Times New Roman" w:cs="Times New Roman"/>
          <w:lang w:val="pl-PL"/>
        </w:rPr>
      </w:pPr>
      <w:r w:rsidRPr="00C03220">
        <w:rPr>
          <w:rFonts w:ascii="Times New Roman" w:hAnsi="Times New Roman" w:cs="Times New Roman"/>
          <w:lang w:val="pl-PL"/>
        </w:rPr>
        <w:fldChar w:fldCharType="begin"/>
      </w:r>
      <w:r w:rsidR="004D2070" w:rsidRPr="00C03220">
        <w:rPr>
          <w:rFonts w:ascii="Times New Roman" w:hAnsi="Times New Roman" w:cs="Times New Roman"/>
          <w:lang w:val="pl-PL"/>
        </w:rPr>
        <w:instrText xml:space="preserve"> SEQ level0 \*arabic </w:instrText>
      </w:r>
      <w:r w:rsidRPr="00C03220">
        <w:rPr>
          <w:rFonts w:ascii="Times New Roman" w:hAnsi="Times New Roman" w:cs="Times New Roman"/>
          <w:lang w:val="pl-PL"/>
        </w:rPr>
        <w:fldChar w:fldCharType="separate"/>
      </w:r>
      <w:r w:rsidR="004D2070" w:rsidRPr="00C03220">
        <w:rPr>
          <w:rFonts w:ascii="Times New Roman" w:hAnsi="Times New Roman" w:cs="Times New Roman"/>
          <w:noProof/>
          <w:lang w:val="pl-PL"/>
        </w:rPr>
        <w:t>50</w:t>
      </w:r>
      <w:r w:rsidRPr="00C03220">
        <w:rPr>
          <w:rFonts w:ascii="Times New Roman" w:hAnsi="Times New Roman" w:cs="Times New Roman"/>
          <w:lang w:val="pl-PL"/>
        </w:rPr>
        <w:fldChar w:fldCharType="end"/>
      </w:r>
      <w:r w:rsidR="004D2070" w:rsidRPr="00C03220">
        <w:rPr>
          <w:rFonts w:ascii="Times New Roman" w:hAnsi="Times New Roman" w:cs="Times New Roman"/>
          <w:lang w:val="pl-PL"/>
        </w:rPr>
        <w:t>.  Taka ingerencja stanowi naruszenie artykułu 11, chyba że była przewidziana przez ustawę, dążyła do jednego lub więcej uzasadnionych celów, o których mowa w przepisie artykułu 11 ust. 2 i była konieczna w społeczeństwie demokratycznym dla osiągnięcia takiego celu bądź celów.</w:t>
      </w:r>
    </w:p>
    <w:p w:rsidR="004D2070" w:rsidRPr="00C03220" w:rsidRDefault="004D2070" w:rsidP="004D2070">
      <w:pPr>
        <w:pStyle w:val="ECHRHeading5"/>
        <w:rPr>
          <w:rFonts w:ascii="Times New Roman" w:hAnsi="Times New Roman" w:cs="Times New Roman"/>
          <w:lang w:val="pl-PL"/>
        </w:rPr>
      </w:pPr>
      <w:r w:rsidRPr="00C03220">
        <w:rPr>
          <w:rFonts w:ascii="Times New Roman" w:hAnsi="Times New Roman" w:cs="Times New Roman"/>
          <w:bCs w:val="0"/>
          <w:iCs/>
          <w:lang w:val="pl-PL"/>
        </w:rPr>
        <w:t>(i)   „Przewidziana przez ustawę”</w:t>
      </w:r>
    </w:p>
    <w:p w:rsidR="004D2070" w:rsidRPr="00C03220" w:rsidRDefault="001552E1" w:rsidP="004D2070">
      <w:pPr>
        <w:pStyle w:val="ECHRPara"/>
        <w:rPr>
          <w:rFonts w:ascii="Times New Roman" w:hAnsi="Times New Roman" w:cs="Times New Roman"/>
          <w:lang w:val="pl-PL"/>
        </w:rPr>
      </w:pPr>
      <w:r w:rsidRPr="00C03220">
        <w:rPr>
          <w:rFonts w:ascii="Times New Roman" w:hAnsi="Times New Roman" w:cs="Times New Roman"/>
          <w:lang w:val="pl-PL"/>
        </w:rPr>
        <w:fldChar w:fldCharType="begin"/>
      </w:r>
      <w:r w:rsidR="004D2070" w:rsidRPr="00C03220">
        <w:rPr>
          <w:rFonts w:ascii="Times New Roman" w:hAnsi="Times New Roman" w:cs="Times New Roman"/>
          <w:lang w:val="pl-PL"/>
        </w:rPr>
        <w:instrText xml:space="preserve"> SEQ level0 \*arabic </w:instrText>
      </w:r>
      <w:r w:rsidRPr="00C03220">
        <w:rPr>
          <w:rFonts w:ascii="Times New Roman" w:hAnsi="Times New Roman" w:cs="Times New Roman"/>
          <w:lang w:val="pl-PL"/>
        </w:rPr>
        <w:fldChar w:fldCharType="separate"/>
      </w:r>
      <w:r w:rsidR="004D2070" w:rsidRPr="00C03220">
        <w:rPr>
          <w:rFonts w:ascii="Times New Roman" w:hAnsi="Times New Roman" w:cs="Times New Roman"/>
          <w:noProof/>
          <w:lang w:val="pl-PL"/>
        </w:rPr>
        <w:t>51</w:t>
      </w:r>
      <w:r w:rsidRPr="00C03220">
        <w:rPr>
          <w:rFonts w:ascii="Times New Roman" w:hAnsi="Times New Roman" w:cs="Times New Roman"/>
          <w:lang w:val="pl-PL"/>
        </w:rPr>
        <w:fldChar w:fldCharType="end"/>
      </w:r>
      <w:r w:rsidR="004D2070" w:rsidRPr="00C03220">
        <w:rPr>
          <w:rFonts w:ascii="Times New Roman" w:hAnsi="Times New Roman" w:cs="Times New Roman"/>
          <w:lang w:val="pl-PL"/>
        </w:rPr>
        <w:t>.  Trybunał zauważa, że Stowarzyszenie, a w konsekwencji Ruch, zostało rozwiązane na podstawie art. 16(2)(d) ustawy nr II z 1989 r. w sprawie prawa do wolności stowarzyszania się (zob. par. 18 powyżej), z uwzględnieniem odwołania do art. 2(2) („naruszanie praw i wolności innych osób”).</w:t>
      </w:r>
    </w:p>
    <w:p w:rsidR="004D2070" w:rsidRPr="00C03220" w:rsidRDefault="004D2070" w:rsidP="004D2070">
      <w:pPr>
        <w:pStyle w:val="ECHRPara"/>
        <w:rPr>
          <w:rFonts w:ascii="Times New Roman" w:hAnsi="Times New Roman" w:cs="Times New Roman"/>
          <w:lang w:val="pl-PL"/>
        </w:rPr>
      </w:pPr>
      <w:r w:rsidRPr="00C03220">
        <w:rPr>
          <w:rFonts w:ascii="Times New Roman" w:hAnsi="Times New Roman" w:cs="Times New Roman"/>
          <w:lang w:val="pl-PL"/>
        </w:rPr>
        <w:t>W dalszej kolejności Trybunał zwraca uwagę na rozbieżne argumenty stron odnośnie do tego, czy decyzje sądów krajowych w sposób zgodny z prawem nakazały rozwiązanie Ruchu</w:t>
      </w:r>
      <w:r w:rsidR="00596F07" w:rsidRPr="00C03220">
        <w:rPr>
          <w:rFonts w:ascii="Times New Roman" w:hAnsi="Times New Roman" w:cs="Times New Roman"/>
          <w:lang w:val="pl-PL"/>
        </w:rPr>
        <w:t xml:space="preserve"> jednocześnie z rozwiązaniem Stowarzyszenia</w:t>
      </w:r>
      <w:r w:rsidRPr="00C03220">
        <w:rPr>
          <w:rFonts w:ascii="Times New Roman" w:hAnsi="Times New Roman" w:cs="Times New Roman"/>
          <w:lang w:val="pl-PL"/>
        </w:rPr>
        <w:t>.</w:t>
      </w:r>
    </w:p>
    <w:p w:rsidR="004D2070" w:rsidRPr="00C03220" w:rsidRDefault="004D2070" w:rsidP="004D2070">
      <w:pPr>
        <w:pStyle w:val="ECHRPara"/>
        <w:rPr>
          <w:rFonts w:ascii="Times New Roman" w:hAnsi="Times New Roman" w:cs="Times New Roman"/>
          <w:lang w:val="pl-PL"/>
        </w:rPr>
      </w:pPr>
      <w:r w:rsidRPr="00C03220">
        <w:rPr>
          <w:rFonts w:ascii="Times New Roman" w:hAnsi="Times New Roman" w:cs="Times New Roman"/>
          <w:lang w:val="pl-PL"/>
        </w:rPr>
        <w:t xml:space="preserve">W tym względzie Trybunał zauważa, że w odpowiedzi na </w:t>
      </w:r>
      <w:r w:rsidR="00685D98" w:rsidRPr="00C03220">
        <w:rPr>
          <w:rFonts w:ascii="Times New Roman" w:hAnsi="Times New Roman" w:cs="Times New Roman"/>
          <w:lang w:val="pl-PL"/>
        </w:rPr>
        <w:t xml:space="preserve">stwierdzenia </w:t>
      </w:r>
      <w:r w:rsidRPr="00C03220">
        <w:rPr>
          <w:rFonts w:ascii="Times New Roman" w:hAnsi="Times New Roman" w:cs="Times New Roman"/>
          <w:lang w:val="pl-PL"/>
        </w:rPr>
        <w:t xml:space="preserve">prokuratury </w:t>
      </w:r>
      <w:r w:rsidR="00685D98" w:rsidRPr="00C03220">
        <w:rPr>
          <w:rFonts w:ascii="Times New Roman" w:hAnsi="Times New Roman" w:cs="Times New Roman"/>
          <w:lang w:val="pl-PL"/>
        </w:rPr>
        <w:t xml:space="preserve">dotyczące faktów </w:t>
      </w:r>
      <w:r w:rsidRPr="00C03220">
        <w:rPr>
          <w:rFonts w:ascii="Times New Roman" w:hAnsi="Times New Roman" w:cs="Times New Roman"/>
          <w:lang w:val="pl-PL"/>
        </w:rPr>
        <w:t xml:space="preserve">(zob. par. 11 powyżej), Sąd Apelacyjny w Budapeszcie oraz Sąd Najwyższy uznały (zob. par. 15 i 16 powyżej), iż </w:t>
      </w:r>
      <w:r w:rsidRPr="00C03220">
        <w:rPr>
          <w:rFonts w:ascii="Times New Roman" w:hAnsi="Times New Roman" w:cs="Times New Roman"/>
          <w:lang w:val="pl-PL"/>
        </w:rPr>
        <w:lastRenderedPageBreak/>
        <w:t>Ruch należy traktować, zgodnie z interpretacją przepisów prawa krajowego o stowarzyszeniach, jako oddział prowadzący działalność w ramach Stowarzyszenia, nie zaś niezależny podmiot. Sądy stwierdziły, że głównym elementem działalności Stowarzyszenia było założenie, prowadzenie, kierowanie i finansowanie Ruchu.</w:t>
      </w:r>
    </w:p>
    <w:p w:rsidR="004D2070" w:rsidRPr="00C03220" w:rsidRDefault="004D2070" w:rsidP="004D2070">
      <w:pPr>
        <w:pStyle w:val="ECHRPara"/>
        <w:rPr>
          <w:rFonts w:ascii="Times New Roman" w:hAnsi="Times New Roman" w:cs="Times New Roman"/>
          <w:lang w:val="pl-PL"/>
        </w:rPr>
      </w:pPr>
      <w:r w:rsidRPr="00C03220">
        <w:rPr>
          <w:rFonts w:ascii="Times New Roman" w:hAnsi="Times New Roman" w:cs="Times New Roman"/>
          <w:lang w:val="pl-PL"/>
        </w:rPr>
        <w:t>W aktach sprawy i oświadczeniach stron Trybunał nie dopatrzył się niczego, co wskazywałoby, iż takie zastosowanie prawa miało charakter arbitralny, tym bardziej, że interpretacj</w:t>
      </w:r>
      <w:r w:rsidR="00685D98" w:rsidRPr="00C03220">
        <w:rPr>
          <w:rFonts w:ascii="Times New Roman" w:hAnsi="Times New Roman" w:cs="Times New Roman"/>
          <w:lang w:val="pl-PL"/>
        </w:rPr>
        <w:t>a</w:t>
      </w:r>
      <w:r w:rsidRPr="00C03220">
        <w:rPr>
          <w:rFonts w:ascii="Times New Roman" w:hAnsi="Times New Roman" w:cs="Times New Roman"/>
          <w:lang w:val="pl-PL"/>
        </w:rPr>
        <w:t xml:space="preserve"> prawa krajowego i ocen</w:t>
      </w:r>
      <w:r w:rsidR="00685D98" w:rsidRPr="00C03220">
        <w:rPr>
          <w:rFonts w:ascii="Times New Roman" w:hAnsi="Times New Roman" w:cs="Times New Roman"/>
          <w:lang w:val="pl-PL"/>
        </w:rPr>
        <w:t>a</w:t>
      </w:r>
      <w:r w:rsidRPr="00C03220">
        <w:rPr>
          <w:rFonts w:ascii="Times New Roman" w:hAnsi="Times New Roman" w:cs="Times New Roman"/>
          <w:lang w:val="pl-PL"/>
        </w:rPr>
        <w:t xml:space="preserve"> dowodów </w:t>
      </w:r>
      <w:r w:rsidR="00685D98" w:rsidRPr="00C03220">
        <w:rPr>
          <w:rFonts w:ascii="Times New Roman" w:hAnsi="Times New Roman" w:cs="Times New Roman"/>
          <w:lang w:val="pl-PL"/>
        </w:rPr>
        <w:t xml:space="preserve">należą do </w:t>
      </w:r>
      <w:r w:rsidRPr="00C03220">
        <w:rPr>
          <w:rFonts w:ascii="Times New Roman" w:hAnsi="Times New Roman" w:cs="Times New Roman"/>
          <w:lang w:val="pl-PL"/>
        </w:rPr>
        <w:t>władz krajow</w:t>
      </w:r>
      <w:r w:rsidR="00685D98" w:rsidRPr="00C03220">
        <w:rPr>
          <w:rFonts w:ascii="Times New Roman" w:hAnsi="Times New Roman" w:cs="Times New Roman"/>
          <w:lang w:val="pl-PL"/>
        </w:rPr>
        <w:t>ych</w:t>
      </w:r>
      <w:r w:rsidRPr="00C03220">
        <w:rPr>
          <w:rFonts w:ascii="Times New Roman" w:hAnsi="Times New Roman" w:cs="Times New Roman"/>
          <w:lang w:val="pl-PL"/>
        </w:rPr>
        <w:t xml:space="preserve">. Uwzględniając fakty, że założenie Ruchu było pomysłem Stowarzyszenia, że Ruch i Stowarzyszenie korzystały z jednego rachunku bankowego, że kandydaci na </w:t>
      </w:r>
      <w:r w:rsidR="00E5167D" w:rsidRPr="00C03220">
        <w:rPr>
          <w:rFonts w:ascii="Times New Roman" w:hAnsi="Times New Roman" w:cs="Times New Roman"/>
          <w:lang w:val="pl-PL"/>
        </w:rPr>
        <w:t>członków</w:t>
      </w:r>
      <w:r w:rsidRPr="00C03220">
        <w:rPr>
          <w:rFonts w:ascii="Times New Roman" w:hAnsi="Times New Roman" w:cs="Times New Roman"/>
          <w:lang w:val="pl-PL"/>
        </w:rPr>
        <w:t xml:space="preserve"> Ruchu byli oceniani przez Stowarzyszenie oraz że mundur Ruchu można było nabyć w Stowarzyszeniu, Trybunał stwierdza, że stanowisko sądów było uzasadnione. </w:t>
      </w:r>
    </w:p>
    <w:p w:rsidR="004D2070" w:rsidRPr="00C03220" w:rsidRDefault="004D2070" w:rsidP="004D2070">
      <w:pPr>
        <w:pStyle w:val="ECHRPara"/>
        <w:rPr>
          <w:rFonts w:ascii="Times New Roman" w:hAnsi="Times New Roman" w:cs="Times New Roman"/>
          <w:lang w:val="pl-PL"/>
        </w:rPr>
      </w:pPr>
      <w:r w:rsidRPr="00C03220">
        <w:rPr>
          <w:rFonts w:ascii="Times New Roman" w:hAnsi="Times New Roman" w:cs="Times New Roman"/>
          <w:lang w:val="pl-PL"/>
        </w:rPr>
        <w:t>W konsekwencji Trybunał potwierdza, że rozwiązanie Stowarzyszenia na podstawie działań Ruchu było „przewidziane przez ustawę”, zważywszy na ustalenia sądów krajowych odnośnie do ich relacji.</w:t>
      </w:r>
    </w:p>
    <w:p w:rsidR="004D2070" w:rsidRPr="00C03220" w:rsidRDefault="004D2070" w:rsidP="004D2070">
      <w:pPr>
        <w:pStyle w:val="ECHRHeading5"/>
        <w:rPr>
          <w:rFonts w:ascii="Times New Roman" w:hAnsi="Times New Roman" w:cs="Times New Roman"/>
          <w:lang w:val="pl-PL"/>
        </w:rPr>
      </w:pPr>
      <w:r w:rsidRPr="00C03220">
        <w:rPr>
          <w:rFonts w:ascii="Times New Roman" w:hAnsi="Times New Roman" w:cs="Times New Roman"/>
          <w:bCs w:val="0"/>
          <w:iCs/>
          <w:lang w:val="pl-PL"/>
        </w:rPr>
        <w:t>(ii)  Uzasadniony cel</w:t>
      </w:r>
    </w:p>
    <w:p w:rsidR="004D2070" w:rsidRPr="00C03220" w:rsidRDefault="001552E1" w:rsidP="004D2070">
      <w:pPr>
        <w:pStyle w:val="ECHRPara"/>
        <w:rPr>
          <w:rFonts w:ascii="Times New Roman" w:hAnsi="Times New Roman" w:cs="Times New Roman"/>
          <w:lang w:val="pl-PL"/>
        </w:rPr>
      </w:pPr>
      <w:r w:rsidRPr="00C03220">
        <w:rPr>
          <w:rFonts w:ascii="Times New Roman" w:hAnsi="Times New Roman" w:cs="Times New Roman"/>
          <w:lang w:val="pl-PL"/>
        </w:rPr>
        <w:fldChar w:fldCharType="begin"/>
      </w:r>
      <w:r w:rsidR="004D2070" w:rsidRPr="00C03220">
        <w:rPr>
          <w:rFonts w:ascii="Times New Roman" w:hAnsi="Times New Roman" w:cs="Times New Roman"/>
          <w:lang w:val="pl-PL"/>
        </w:rPr>
        <w:instrText xml:space="preserve"> SEQ level0 \*arabic </w:instrText>
      </w:r>
      <w:r w:rsidRPr="00C03220">
        <w:rPr>
          <w:rFonts w:ascii="Times New Roman" w:hAnsi="Times New Roman" w:cs="Times New Roman"/>
          <w:lang w:val="pl-PL"/>
        </w:rPr>
        <w:fldChar w:fldCharType="separate"/>
      </w:r>
      <w:r w:rsidR="004D2070" w:rsidRPr="00C03220">
        <w:rPr>
          <w:rFonts w:ascii="Times New Roman" w:hAnsi="Times New Roman" w:cs="Times New Roman"/>
          <w:noProof/>
          <w:lang w:val="pl-PL"/>
        </w:rPr>
        <w:t>52</w:t>
      </w:r>
      <w:r w:rsidRPr="00C03220">
        <w:rPr>
          <w:rFonts w:ascii="Times New Roman" w:hAnsi="Times New Roman" w:cs="Times New Roman"/>
          <w:lang w:val="pl-PL"/>
        </w:rPr>
        <w:fldChar w:fldCharType="end"/>
      </w:r>
      <w:r w:rsidR="004D2070" w:rsidRPr="00C03220">
        <w:rPr>
          <w:rFonts w:ascii="Times New Roman" w:hAnsi="Times New Roman" w:cs="Times New Roman"/>
          <w:lang w:val="pl-PL"/>
        </w:rPr>
        <w:t xml:space="preserve">.  Trybunał zauważa, że zaskarżony środek można </w:t>
      </w:r>
      <w:r w:rsidR="00E5167D" w:rsidRPr="00C03220">
        <w:rPr>
          <w:rFonts w:ascii="Times New Roman" w:hAnsi="Times New Roman" w:cs="Times New Roman"/>
          <w:lang w:val="pl-PL"/>
        </w:rPr>
        <w:t>uznać</w:t>
      </w:r>
      <w:r w:rsidR="004D2070" w:rsidRPr="00C03220">
        <w:rPr>
          <w:rFonts w:ascii="Times New Roman" w:hAnsi="Times New Roman" w:cs="Times New Roman"/>
          <w:lang w:val="pl-PL"/>
        </w:rPr>
        <w:t xml:space="preserve"> za dążący do celów bezpieczeństwa publicznego, zapobiegania zakłóceniom porządku oraz ochrony praw innych osób, które to cele są uzasadnione z punktu widzenia przepisu artykułu 11 ust. 2 Konwencji, niezależnie od twierdzenia skarżącego, że sądy krajowe nie wykazały wystąpienia faktycznych przypadków zakłócenia porządku czy naruszenia praw innych osób (zob. par. 44 powyżej).</w:t>
      </w:r>
    </w:p>
    <w:p w:rsidR="004D2070" w:rsidRPr="00C03220" w:rsidRDefault="004D2070" w:rsidP="004D2070">
      <w:pPr>
        <w:pStyle w:val="ECHRPara"/>
        <w:rPr>
          <w:rFonts w:ascii="Times New Roman" w:hAnsi="Times New Roman" w:cs="Times New Roman"/>
          <w:lang w:val="pl-PL"/>
        </w:rPr>
      </w:pPr>
      <w:r w:rsidRPr="00C03220">
        <w:rPr>
          <w:rFonts w:ascii="Times New Roman" w:hAnsi="Times New Roman" w:cs="Times New Roman"/>
          <w:lang w:val="pl-PL"/>
        </w:rPr>
        <w:t>Pozostaje zatem zbadać, czy zaskarżony środek był konieczny w społeczeństwie demokratycznym.</w:t>
      </w:r>
    </w:p>
    <w:p w:rsidR="004D2070" w:rsidRPr="00C03220" w:rsidRDefault="004D2070" w:rsidP="004D2070">
      <w:pPr>
        <w:pStyle w:val="ECHRHeading5"/>
        <w:rPr>
          <w:rFonts w:ascii="Times New Roman" w:hAnsi="Times New Roman" w:cs="Times New Roman"/>
          <w:lang w:val="pl-PL"/>
        </w:rPr>
      </w:pPr>
      <w:r w:rsidRPr="00C03220">
        <w:rPr>
          <w:rFonts w:ascii="Times New Roman" w:hAnsi="Times New Roman" w:cs="Times New Roman"/>
          <w:bCs w:val="0"/>
          <w:iCs/>
          <w:lang w:val="pl-PL"/>
        </w:rPr>
        <w:t>(iii)  Konieczna w społeczeństwie demokratycznym</w:t>
      </w:r>
    </w:p>
    <w:p w:rsidR="004D2070" w:rsidRPr="00C03220" w:rsidRDefault="004D2070" w:rsidP="004D2070">
      <w:pPr>
        <w:pStyle w:val="ECHRHeading6"/>
        <w:rPr>
          <w:rFonts w:ascii="Times New Roman" w:hAnsi="Times New Roman" w:cs="Times New Roman"/>
          <w:lang w:val="pl-PL"/>
        </w:rPr>
      </w:pPr>
      <w:r w:rsidRPr="00C03220">
        <w:rPr>
          <w:rFonts w:ascii="Times New Roman" w:hAnsi="Times New Roman" w:cs="Times New Roman"/>
          <w:bCs w:val="0"/>
          <w:lang w:val="pl-PL"/>
        </w:rPr>
        <w:t>(α)  Zasady ogólne</w:t>
      </w:r>
    </w:p>
    <w:p w:rsidR="004D2070" w:rsidRPr="00C03220" w:rsidRDefault="001552E1" w:rsidP="004D2070">
      <w:pPr>
        <w:pStyle w:val="ECHRPara"/>
        <w:rPr>
          <w:rFonts w:ascii="Times New Roman" w:hAnsi="Times New Roman" w:cs="Times New Roman"/>
          <w:lang w:val="pl-PL"/>
        </w:rPr>
      </w:pPr>
      <w:r w:rsidRPr="00C03220">
        <w:rPr>
          <w:rFonts w:ascii="Times New Roman" w:hAnsi="Times New Roman" w:cs="Times New Roman"/>
          <w:lang w:val="pl-PL"/>
        </w:rPr>
        <w:fldChar w:fldCharType="begin"/>
      </w:r>
      <w:r w:rsidR="004D2070" w:rsidRPr="00C03220">
        <w:rPr>
          <w:rFonts w:ascii="Times New Roman" w:hAnsi="Times New Roman" w:cs="Times New Roman"/>
          <w:lang w:val="pl-PL"/>
        </w:rPr>
        <w:instrText xml:space="preserve"> SEQ level0 \*arabic </w:instrText>
      </w:r>
      <w:r w:rsidRPr="00C03220">
        <w:rPr>
          <w:rFonts w:ascii="Times New Roman" w:hAnsi="Times New Roman" w:cs="Times New Roman"/>
          <w:lang w:val="pl-PL"/>
        </w:rPr>
        <w:fldChar w:fldCharType="separate"/>
      </w:r>
      <w:r w:rsidR="004D2070" w:rsidRPr="00C03220">
        <w:rPr>
          <w:rFonts w:ascii="Times New Roman" w:hAnsi="Times New Roman" w:cs="Times New Roman"/>
          <w:noProof/>
          <w:lang w:val="pl-PL"/>
        </w:rPr>
        <w:t>53</w:t>
      </w:r>
      <w:r w:rsidRPr="00C03220">
        <w:rPr>
          <w:rFonts w:ascii="Times New Roman" w:hAnsi="Times New Roman" w:cs="Times New Roman"/>
          <w:lang w:val="pl-PL"/>
        </w:rPr>
        <w:fldChar w:fldCharType="end"/>
      </w:r>
      <w:r w:rsidR="004D2070" w:rsidRPr="00C03220">
        <w:rPr>
          <w:rFonts w:ascii="Times New Roman" w:hAnsi="Times New Roman" w:cs="Times New Roman"/>
          <w:lang w:val="pl-PL"/>
        </w:rPr>
        <w:t xml:space="preserve">.  Ogólne zasady sformułowane w tym względzie w orzecznictwie Trybunału podsumowane zostały w wyroku w sprawie </w:t>
      </w:r>
      <w:r w:rsidR="00596F07" w:rsidRPr="00C03220">
        <w:rPr>
          <w:rFonts w:ascii="Times New Roman" w:hAnsi="Times New Roman" w:cs="Times New Roman"/>
          <w:i/>
          <w:iCs/>
          <w:lang w:val="pl-PL"/>
        </w:rPr>
        <w:t>Zjednoczona Kom</w:t>
      </w:r>
      <w:r w:rsidR="004D2070" w:rsidRPr="00C03220">
        <w:rPr>
          <w:rFonts w:ascii="Times New Roman" w:hAnsi="Times New Roman" w:cs="Times New Roman"/>
          <w:i/>
          <w:iCs/>
          <w:lang w:val="pl-PL"/>
        </w:rPr>
        <w:t>unis</w:t>
      </w:r>
      <w:r w:rsidR="00596F07" w:rsidRPr="00C03220">
        <w:rPr>
          <w:rFonts w:ascii="Times New Roman" w:hAnsi="Times New Roman" w:cs="Times New Roman"/>
          <w:i/>
          <w:iCs/>
          <w:lang w:val="pl-PL"/>
        </w:rPr>
        <w:t xml:space="preserve">tyczna </w:t>
      </w:r>
      <w:r w:rsidR="00685D98" w:rsidRPr="00C03220">
        <w:rPr>
          <w:rFonts w:ascii="Times New Roman" w:hAnsi="Times New Roman" w:cs="Times New Roman"/>
          <w:i/>
          <w:iCs/>
          <w:lang w:val="pl-PL"/>
        </w:rPr>
        <w:t>Partia</w:t>
      </w:r>
      <w:r w:rsidR="00596F07" w:rsidRPr="00C03220">
        <w:rPr>
          <w:rFonts w:ascii="Times New Roman" w:hAnsi="Times New Roman" w:cs="Times New Roman"/>
          <w:i/>
          <w:iCs/>
          <w:lang w:val="pl-PL"/>
        </w:rPr>
        <w:t xml:space="preserve"> </w:t>
      </w:r>
      <w:r w:rsidR="004D2070" w:rsidRPr="00C03220">
        <w:rPr>
          <w:rFonts w:ascii="Times New Roman" w:hAnsi="Times New Roman" w:cs="Times New Roman"/>
          <w:i/>
          <w:iCs/>
          <w:lang w:val="pl-PL"/>
        </w:rPr>
        <w:t>Tur</w:t>
      </w:r>
      <w:r w:rsidR="00596F07" w:rsidRPr="00C03220">
        <w:rPr>
          <w:rFonts w:ascii="Times New Roman" w:hAnsi="Times New Roman" w:cs="Times New Roman"/>
          <w:i/>
          <w:iCs/>
          <w:lang w:val="pl-PL"/>
        </w:rPr>
        <w:t>cji</w:t>
      </w:r>
      <w:r w:rsidR="004D2070" w:rsidRPr="00C03220">
        <w:rPr>
          <w:rFonts w:ascii="Times New Roman" w:hAnsi="Times New Roman" w:cs="Times New Roman"/>
          <w:i/>
          <w:iCs/>
          <w:lang w:val="pl-PL"/>
        </w:rPr>
        <w:t xml:space="preserve"> i Inni przeciwko Turcji</w:t>
      </w:r>
      <w:r w:rsidR="004D2070" w:rsidRPr="00C03220">
        <w:rPr>
          <w:rFonts w:ascii="Times New Roman" w:hAnsi="Times New Roman" w:cs="Times New Roman"/>
          <w:lang w:val="pl-PL"/>
        </w:rPr>
        <w:t xml:space="preserve"> (30 stycznia 1998 r., </w:t>
      </w:r>
      <w:r w:rsidR="004D2070" w:rsidRPr="00C03220">
        <w:rPr>
          <w:rFonts w:ascii="Times New Roman" w:hAnsi="Times New Roman" w:cs="Times New Roman"/>
          <w:i/>
          <w:iCs/>
          <w:lang w:val="pl-PL"/>
        </w:rPr>
        <w:t>Raporty</w:t>
      </w:r>
      <w:r w:rsidR="004D2070" w:rsidRPr="00C03220">
        <w:rPr>
          <w:rFonts w:ascii="Times New Roman" w:hAnsi="Times New Roman" w:cs="Times New Roman"/>
          <w:lang w:val="pl-PL"/>
        </w:rPr>
        <w:t xml:space="preserve"> 1998-I):</w:t>
      </w:r>
    </w:p>
    <w:p w:rsidR="004D2070" w:rsidRPr="00C03220" w:rsidRDefault="004D2070" w:rsidP="004D2070">
      <w:pPr>
        <w:pStyle w:val="ECHRParaQuote"/>
        <w:rPr>
          <w:rFonts w:ascii="Times New Roman" w:hAnsi="Times New Roman" w:cs="Times New Roman"/>
          <w:lang w:val="pl-PL"/>
        </w:rPr>
      </w:pPr>
      <w:r w:rsidRPr="00C03220">
        <w:rPr>
          <w:rFonts w:ascii="Times New Roman" w:hAnsi="Times New Roman" w:cs="Times New Roman"/>
          <w:lang w:val="pl-PL"/>
        </w:rPr>
        <w:t xml:space="preserve">„42.  Trybunał przypomina, iż niezależnie od jego autonomicznej roli i określonego obszaru stosowania przepis artykułu 11 należy rozważać również w świetle artykułu 10. Ochrona opinii i wolność </w:t>
      </w:r>
      <w:r w:rsidR="00E5167D" w:rsidRPr="00C03220">
        <w:rPr>
          <w:rFonts w:ascii="Times New Roman" w:hAnsi="Times New Roman" w:cs="Times New Roman"/>
          <w:lang w:val="pl-PL"/>
        </w:rPr>
        <w:t>ich</w:t>
      </w:r>
      <w:r w:rsidRPr="00C03220">
        <w:rPr>
          <w:rFonts w:ascii="Times New Roman" w:hAnsi="Times New Roman" w:cs="Times New Roman"/>
          <w:lang w:val="pl-PL"/>
        </w:rPr>
        <w:t xml:space="preserve"> wyrażania stanowią jede</w:t>
      </w:r>
      <w:r w:rsidR="00596F07" w:rsidRPr="00C03220">
        <w:rPr>
          <w:rFonts w:ascii="Times New Roman" w:hAnsi="Times New Roman" w:cs="Times New Roman"/>
          <w:lang w:val="pl-PL"/>
        </w:rPr>
        <w:t>n</w:t>
      </w:r>
      <w:r w:rsidRPr="00C03220">
        <w:rPr>
          <w:rFonts w:ascii="Times New Roman" w:hAnsi="Times New Roman" w:cs="Times New Roman"/>
          <w:lang w:val="pl-PL"/>
        </w:rPr>
        <w:t xml:space="preserve"> z celów wolności stowarzyszania się i zgromadzania się, o której mowa w artykule 11 (zob. między innymi </w:t>
      </w:r>
      <w:r w:rsidRPr="00C03220">
        <w:rPr>
          <w:rFonts w:ascii="Times New Roman" w:hAnsi="Times New Roman" w:cs="Times New Roman"/>
          <w:i/>
          <w:iCs/>
          <w:lang w:val="pl-PL"/>
        </w:rPr>
        <w:t>Young, James i Webster przeciwko Zjednoczonemu Królestwu</w:t>
      </w:r>
      <w:r w:rsidRPr="00C03220">
        <w:rPr>
          <w:rFonts w:ascii="Times New Roman" w:hAnsi="Times New Roman" w:cs="Times New Roman"/>
          <w:lang w:val="pl-PL"/>
        </w:rPr>
        <w:t xml:space="preserve"> wyrok z dnia 13 sierpnia 1981 r., Seria A nr 44, str. 23, § 57 oraz </w:t>
      </w:r>
      <w:r w:rsidRPr="00C03220">
        <w:rPr>
          <w:rFonts w:ascii="Times New Roman" w:hAnsi="Times New Roman" w:cs="Times New Roman"/>
          <w:i/>
          <w:iCs/>
          <w:lang w:val="pl-PL"/>
        </w:rPr>
        <w:t>Vogt przeciwko Niemcom</w:t>
      </w:r>
      <w:r w:rsidRPr="00C03220">
        <w:rPr>
          <w:rFonts w:ascii="Times New Roman" w:hAnsi="Times New Roman" w:cs="Times New Roman"/>
          <w:lang w:val="pl-PL"/>
        </w:rPr>
        <w:t xml:space="preserve"> z dnia 26 września 1995 r. , Seria A nr 323, str. 30, § 64).</w:t>
      </w:r>
    </w:p>
    <w:p w:rsidR="004D2070" w:rsidRPr="00C03220" w:rsidRDefault="004D2070" w:rsidP="004D2070">
      <w:pPr>
        <w:pStyle w:val="ECHRParaQuote"/>
        <w:rPr>
          <w:rFonts w:ascii="Times New Roman" w:hAnsi="Times New Roman" w:cs="Times New Roman"/>
          <w:lang w:val="pl-PL"/>
        </w:rPr>
      </w:pPr>
      <w:r w:rsidRPr="00C03220">
        <w:rPr>
          <w:rFonts w:ascii="Times New Roman" w:hAnsi="Times New Roman" w:cs="Times New Roman"/>
          <w:lang w:val="pl-PL"/>
        </w:rPr>
        <w:lastRenderedPageBreak/>
        <w:t>43.  Powyższe ma zastosowanie także wobec partii politycznych, ze względu na ich istotną rolę w zakresie zapewniania pluralizmu i prawidłowego funkcjonowania demokracji (zob. par. 25 powyżej).</w:t>
      </w:r>
    </w:p>
    <w:p w:rsidR="004D2070" w:rsidRPr="00C03220" w:rsidRDefault="004D2070" w:rsidP="004D2070">
      <w:pPr>
        <w:pStyle w:val="ECHRParaQuote"/>
        <w:rPr>
          <w:rFonts w:ascii="Times New Roman" w:hAnsi="Times New Roman" w:cs="Times New Roman"/>
          <w:lang w:val="pl-PL"/>
        </w:rPr>
      </w:pPr>
      <w:r w:rsidRPr="00C03220">
        <w:rPr>
          <w:rFonts w:ascii="Times New Roman" w:hAnsi="Times New Roman" w:cs="Times New Roman"/>
          <w:lang w:val="pl-PL"/>
        </w:rPr>
        <w:t xml:space="preserve">Trybunał wielokrotnie powtarzał, iż demokracja nie może istnieć bez pluralizmu. Z tej przyczyny wolność wyrażania opinii gwarantowana artykułem 10 ma zastosowanie, z zastrzeżeniem przepisu ust. 2, nie tylko względem „informacji” czy „idei” przyjmowanych pozytywnie bądź uznawanych za nieszkodliwe lub obojętne, lecz także tych, które są obraźliwe, szokujące czy oburzające (zob. między innymi, wyrok w sprawie </w:t>
      </w:r>
      <w:r w:rsidRPr="00C03220">
        <w:rPr>
          <w:rFonts w:ascii="Times New Roman" w:hAnsi="Times New Roman" w:cs="Times New Roman"/>
          <w:i/>
          <w:iCs/>
          <w:lang w:val="pl-PL"/>
        </w:rPr>
        <w:t xml:space="preserve">Vogt, </w:t>
      </w:r>
      <w:r w:rsidRPr="00C03220">
        <w:rPr>
          <w:rFonts w:ascii="Times New Roman" w:hAnsi="Times New Roman" w:cs="Times New Roman"/>
          <w:lang w:val="pl-PL"/>
        </w:rPr>
        <w:t xml:space="preserve">cyt. powyżej, str. 25, § 52). </w:t>
      </w:r>
      <w:r w:rsidR="00C038CF" w:rsidRPr="00C03220">
        <w:rPr>
          <w:rFonts w:ascii="Times New Roman" w:hAnsi="Times New Roman" w:cs="Times New Roman"/>
          <w:lang w:val="pl-PL"/>
        </w:rPr>
        <w:t>Sam f</w:t>
      </w:r>
      <w:r w:rsidRPr="00C03220">
        <w:rPr>
          <w:rFonts w:ascii="Times New Roman" w:hAnsi="Times New Roman" w:cs="Times New Roman"/>
          <w:lang w:val="pl-PL"/>
        </w:rPr>
        <w:t>akt, iż ich działalność stanowi element zbiorowego wykonywania wolno</w:t>
      </w:r>
      <w:r w:rsidR="00C038CF" w:rsidRPr="00C03220">
        <w:rPr>
          <w:rFonts w:ascii="Times New Roman" w:hAnsi="Times New Roman" w:cs="Times New Roman"/>
          <w:lang w:val="pl-PL"/>
        </w:rPr>
        <w:t>ści wyrażania opinii</w:t>
      </w:r>
      <w:r w:rsidRPr="00C03220">
        <w:rPr>
          <w:rFonts w:ascii="Times New Roman" w:hAnsi="Times New Roman" w:cs="Times New Roman"/>
          <w:lang w:val="pl-PL"/>
        </w:rPr>
        <w:t xml:space="preserve"> uprawnia partie polityczne do domagania </w:t>
      </w:r>
      <w:r w:rsidR="006B1DF1" w:rsidRPr="00C03220">
        <w:rPr>
          <w:rFonts w:ascii="Times New Roman" w:hAnsi="Times New Roman" w:cs="Times New Roman"/>
          <w:lang w:val="pl-PL"/>
        </w:rPr>
        <w:t>się</w:t>
      </w:r>
      <w:r w:rsidRPr="00C03220">
        <w:rPr>
          <w:rFonts w:ascii="Times New Roman" w:hAnsi="Times New Roman" w:cs="Times New Roman"/>
          <w:lang w:val="pl-PL"/>
        </w:rPr>
        <w:t xml:space="preserve"> ochrony na podstawie przepisów artykułu 10 i artykułu 11 Konwencji ...</w:t>
      </w:r>
    </w:p>
    <w:p w:rsidR="004D2070" w:rsidRPr="00C03220" w:rsidRDefault="004D2070" w:rsidP="004D2070">
      <w:pPr>
        <w:pStyle w:val="ECHRParaQuote"/>
        <w:rPr>
          <w:rFonts w:ascii="Times New Roman" w:hAnsi="Times New Roman" w:cs="Times New Roman"/>
          <w:lang w:val="pl-PL"/>
        </w:rPr>
      </w:pPr>
      <w:r w:rsidRPr="00C03220">
        <w:rPr>
          <w:rFonts w:ascii="Times New Roman" w:hAnsi="Times New Roman" w:cs="Times New Roman"/>
          <w:lang w:val="pl-PL"/>
        </w:rPr>
        <w:t xml:space="preserve">45.  Bez wątpienia demokracja stanowi podstawowy element europejskiego porządku publicznego (zob. wyrok w sprawie </w:t>
      </w:r>
      <w:r w:rsidRPr="00C03220">
        <w:rPr>
          <w:rFonts w:ascii="Times New Roman" w:hAnsi="Times New Roman" w:cs="Times New Roman"/>
          <w:i/>
          <w:iCs/>
          <w:lang w:val="pl-PL"/>
        </w:rPr>
        <w:t>Loizidou</w:t>
      </w:r>
      <w:r w:rsidRPr="00C03220">
        <w:rPr>
          <w:rFonts w:ascii="Times New Roman" w:hAnsi="Times New Roman" w:cs="Times New Roman"/>
          <w:lang w:val="pl-PL"/>
        </w:rPr>
        <w:t xml:space="preserve"> cyt. powyżej, </w:t>
      </w:r>
      <w:r w:rsidR="00C038CF" w:rsidRPr="00C03220">
        <w:rPr>
          <w:rFonts w:ascii="Times New Roman" w:hAnsi="Times New Roman" w:cs="Times New Roman"/>
          <w:lang w:val="pl-PL"/>
        </w:rPr>
        <w:t xml:space="preserve">str. </w:t>
      </w:r>
      <w:r w:rsidRPr="00C03220">
        <w:rPr>
          <w:rFonts w:ascii="Times New Roman" w:hAnsi="Times New Roman" w:cs="Times New Roman"/>
          <w:lang w:val="pl-PL"/>
        </w:rPr>
        <w:t>27, § 75). ...</w:t>
      </w:r>
    </w:p>
    <w:p w:rsidR="004D2070" w:rsidRPr="00C03220" w:rsidRDefault="004D2070" w:rsidP="004D2070">
      <w:pPr>
        <w:pStyle w:val="ECHRParaQuote"/>
        <w:rPr>
          <w:rFonts w:ascii="Times New Roman" w:hAnsi="Times New Roman" w:cs="Times New Roman"/>
          <w:lang w:val="pl-PL"/>
        </w:rPr>
      </w:pPr>
      <w:r w:rsidRPr="00C03220">
        <w:rPr>
          <w:rFonts w:ascii="Times New Roman" w:hAnsi="Times New Roman" w:cs="Times New Roman"/>
          <w:lang w:val="pl-PL"/>
        </w:rPr>
        <w:t xml:space="preserve">Ponadto przepisy artykułów 8, 9, 10 i 11 Konwencji wymagają, by przypadki ingerencji w prawa zagwarantowane tymi przepisami zostały poddane dokładnej ocenie z perspektywy „konieczności w społeczeństwie demokratycznym”. Jedynym rodzajem konieczności, który może uzasadnić ingerencję w jedno z tych praw jest zatem konieczność, jaka może wywodzić się ze „społeczeństwa demokratycznego”. Zatem demokracja stanowi jedyny model polityczny ujęty w </w:t>
      </w:r>
      <w:r w:rsidR="00E5167D" w:rsidRPr="00C03220">
        <w:rPr>
          <w:rFonts w:ascii="Times New Roman" w:hAnsi="Times New Roman" w:cs="Times New Roman"/>
          <w:lang w:val="pl-PL"/>
        </w:rPr>
        <w:t>Konwencji</w:t>
      </w:r>
      <w:r w:rsidRPr="00C03220">
        <w:rPr>
          <w:rFonts w:ascii="Times New Roman" w:hAnsi="Times New Roman" w:cs="Times New Roman"/>
          <w:lang w:val="pl-PL"/>
        </w:rPr>
        <w:t xml:space="preserve"> i jednocześnie jedyny model zgodny z Konwencją. ...</w:t>
      </w:r>
    </w:p>
    <w:p w:rsidR="004D2070" w:rsidRPr="00C03220" w:rsidRDefault="004D2070" w:rsidP="004D2070">
      <w:pPr>
        <w:pStyle w:val="ECHRParaQuote"/>
        <w:rPr>
          <w:rFonts w:ascii="Times New Roman" w:hAnsi="Times New Roman" w:cs="Times New Roman"/>
          <w:lang w:val="pl-PL"/>
        </w:rPr>
      </w:pPr>
      <w:r w:rsidRPr="00C03220">
        <w:rPr>
          <w:rFonts w:ascii="Times New Roman" w:hAnsi="Times New Roman" w:cs="Times New Roman"/>
          <w:lang w:val="pl-PL"/>
        </w:rPr>
        <w:t xml:space="preserve">46.  W konsekwencji, w odniesieniu do partii politycznych należy w sposób wąski intepretować znaczenie wyjątków wskazanych w artykule 11; ograniczenia wolności stowarzyszania się takich partii uzasadniać mogą jedynie podstawy przekonujące i istotne. Przy określaniu, czy istnieje konieczność w rozumieniu artykułu 11 ust. 2 Konwencji Umawiającym się Państwom przysługuje jedynie ograniczony margines swobodnej oceny, co jest zgodne z rygorystycznymi zasadami nadzoru europejskiego dotyczącymi zarówno przepisów prawa, jak i decyzji o ich zastosowaniu, w tym wydawanych przez niezależne sądy. Trybunał stwierdzał już, że takie szczegółowe badanie było konieczne w sprawie dotyczącej parlamentarzysty skazanego </w:t>
      </w:r>
      <w:r w:rsidR="00685D98" w:rsidRPr="00C03220">
        <w:rPr>
          <w:rFonts w:ascii="Times New Roman" w:hAnsi="Times New Roman" w:cs="Times New Roman"/>
          <w:lang w:val="pl-PL"/>
        </w:rPr>
        <w:t>za wypowiadanie obelg</w:t>
      </w:r>
      <w:r w:rsidRPr="00C03220">
        <w:rPr>
          <w:rFonts w:ascii="Times New Roman" w:hAnsi="Times New Roman" w:cs="Times New Roman"/>
          <w:lang w:val="pl-PL"/>
        </w:rPr>
        <w:t xml:space="preserve"> (zob. wyrok w sprawie </w:t>
      </w:r>
      <w:r w:rsidRPr="00C03220">
        <w:rPr>
          <w:rFonts w:ascii="Times New Roman" w:hAnsi="Times New Roman" w:cs="Times New Roman"/>
          <w:i/>
          <w:iCs/>
          <w:lang w:val="pl-PL"/>
        </w:rPr>
        <w:t>Castells</w:t>
      </w:r>
      <w:r w:rsidRPr="00C03220">
        <w:rPr>
          <w:rFonts w:ascii="Times New Roman" w:hAnsi="Times New Roman" w:cs="Times New Roman"/>
          <w:lang w:val="pl-PL"/>
        </w:rPr>
        <w:t xml:space="preserve">, cyt. powyżej, str. 22–23, § 42); takie szczegółowe badanie jest tym bardziej niezbędne w sytuacji rozwiązania całej partii politycznej i wydania jej przywódcom zakazu prowadzenia podobnej </w:t>
      </w:r>
      <w:r w:rsidR="00E5167D" w:rsidRPr="00C03220">
        <w:rPr>
          <w:rFonts w:ascii="Times New Roman" w:hAnsi="Times New Roman" w:cs="Times New Roman"/>
          <w:lang w:val="pl-PL"/>
        </w:rPr>
        <w:t>działalności</w:t>
      </w:r>
      <w:r w:rsidRPr="00C03220">
        <w:rPr>
          <w:rFonts w:ascii="Times New Roman" w:hAnsi="Times New Roman" w:cs="Times New Roman"/>
          <w:lang w:val="pl-PL"/>
        </w:rPr>
        <w:t xml:space="preserve"> w </w:t>
      </w:r>
      <w:r w:rsidR="00E5167D" w:rsidRPr="00C03220">
        <w:rPr>
          <w:rFonts w:ascii="Times New Roman" w:hAnsi="Times New Roman" w:cs="Times New Roman"/>
          <w:lang w:val="pl-PL"/>
        </w:rPr>
        <w:t>przyszłości</w:t>
      </w:r>
      <w:r w:rsidRPr="00C03220">
        <w:rPr>
          <w:rFonts w:ascii="Times New Roman" w:hAnsi="Times New Roman" w:cs="Times New Roman"/>
          <w:lang w:val="pl-PL"/>
        </w:rPr>
        <w:t>.</w:t>
      </w:r>
    </w:p>
    <w:p w:rsidR="004D2070" w:rsidRPr="00C03220" w:rsidRDefault="004D2070" w:rsidP="004D2070">
      <w:pPr>
        <w:pStyle w:val="ECHRParaQuote"/>
        <w:rPr>
          <w:rFonts w:ascii="Times New Roman" w:hAnsi="Times New Roman" w:cs="Times New Roman"/>
          <w:lang w:val="pl-PL"/>
        </w:rPr>
      </w:pPr>
      <w:r w:rsidRPr="00C03220">
        <w:rPr>
          <w:rFonts w:ascii="Times New Roman" w:hAnsi="Times New Roman" w:cs="Times New Roman"/>
          <w:lang w:val="pl-PL"/>
        </w:rPr>
        <w:t xml:space="preserve">47.  Podczas przeprowadzania szczegółowego badania zadaniem Trybunału nie jest zastąpienie własną opinią opinii właściwych władz krajowych, lecz raczej weryfikacja decyzji wydanych przez te władze w ramach </w:t>
      </w:r>
      <w:r w:rsidR="00E5167D" w:rsidRPr="00C03220">
        <w:rPr>
          <w:rFonts w:ascii="Times New Roman" w:hAnsi="Times New Roman" w:cs="Times New Roman"/>
          <w:lang w:val="pl-PL"/>
        </w:rPr>
        <w:t>przysługującego</w:t>
      </w:r>
      <w:r w:rsidRPr="00C03220">
        <w:rPr>
          <w:rFonts w:ascii="Times New Roman" w:hAnsi="Times New Roman" w:cs="Times New Roman"/>
          <w:lang w:val="pl-PL"/>
        </w:rPr>
        <w:t xml:space="preserve"> im marginesu swobody w świetle artykułu 11. Nie oznacza, to że Trybunał ma ograniczyć się do zbadania, czy pozwane Państwo stosowało swobodną ocenę w sposób uzasadniony, ostrożny i w dobrej wierze; Trybunał musi spojrzeć na przypadek zaskarżonej ingerencji w świetle danej sprawy jako całości oraz określić, czy była ona „proporcjonalna do wyznaczonego uzasadnionego celu” oraz czy podstawy wskazane przez władze krajowe dla jej uzasadnienia były „właściwe i wystarczające”. Przeprowadzając taką ocenę Trybunał musi uzyskać pewność, że władze krajowe zastosowały zasady zgodne z zasadami wynikającymi z artykułu 11 oraz dodatkowo, że decyzje władz opierały się na akceptowalnej ocenie istotnych faktów (zob. </w:t>
      </w:r>
      <w:r w:rsidRPr="00C03220">
        <w:rPr>
          <w:rFonts w:ascii="Times New Roman" w:hAnsi="Times New Roman" w:cs="Times New Roman"/>
          <w:i/>
          <w:iCs/>
          <w:lang w:val="pl-PL"/>
        </w:rPr>
        <w:t xml:space="preserve">mutatis mutandis Jersild przeciwko Danii, </w:t>
      </w:r>
      <w:r w:rsidRPr="00C03220">
        <w:rPr>
          <w:rFonts w:ascii="Times New Roman" w:hAnsi="Times New Roman" w:cs="Times New Roman"/>
          <w:lang w:val="pl-PL"/>
        </w:rPr>
        <w:t>wyrok z 23 września 1994 r., Seria A nr 298, str. 26, § 31).”</w:t>
      </w:r>
    </w:p>
    <w:p w:rsidR="004D2070" w:rsidRPr="00C03220" w:rsidRDefault="001552E1" w:rsidP="004D2070">
      <w:pPr>
        <w:pStyle w:val="ECHRPara"/>
        <w:rPr>
          <w:rFonts w:ascii="Times New Roman" w:hAnsi="Times New Roman" w:cs="Times New Roman"/>
          <w:lang w:val="pl-PL"/>
        </w:rPr>
      </w:pPr>
      <w:r w:rsidRPr="00C03220">
        <w:rPr>
          <w:rFonts w:ascii="Times New Roman" w:hAnsi="Times New Roman" w:cs="Times New Roman"/>
          <w:lang w:val="pl-PL"/>
        </w:rPr>
        <w:lastRenderedPageBreak/>
        <w:fldChar w:fldCharType="begin"/>
      </w:r>
      <w:r w:rsidR="004D2070" w:rsidRPr="00C03220">
        <w:rPr>
          <w:rFonts w:ascii="Times New Roman" w:hAnsi="Times New Roman" w:cs="Times New Roman"/>
          <w:lang w:val="pl-PL"/>
        </w:rPr>
        <w:instrText xml:space="preserve"> SEQ level0 \*arabic </w:instrText>
      </w:r>
      <w:r w:rsidRPr="00C03220">
        <w:rPr>
          <w:rFonts w:ascii="Times New Roman" w:hAnsi="Times New Roman" w:cs="Times New Roman"/>
          <w:lang w:val="pl-PL"/>
        </w:rPr>
        <w:fldChar w:fldCharType="separate"/>
      </w:r>
      <w:r w:rsidR="004D2070" w:rsidRPr="00C03220">
        <w:rPr>
          <w:rFonts w:ascii="Times New Roman" w:hAnsi="Times New Roman" w:cs="Times New Roman"/>
          <w:noProof/>
          <w:lang w:val="pl-PL"/>
        </w:rPr>
        <w:t>54</w:t>
      </w:r>
      <w:r w:rsidRPr="00C03220">
        <w:rPr>
          <w:rFonts w:ascii="Times New Roman" w:hAnsi="Times New Roman" w:cs="Times New Roman"/>
          <w:lang w:val="pl-PL"/>
        </w:rPr>
        <w:fldChar w:fldCharType="end"/>
      </w:r>
      <w:r w:rsidR="004D2070" w:rsidRPr="00C03220">
        <w:rPr>
          <w:rFonts w:ascii="Times New Roman" w:hAnsi="Times New Roman" w:cs="Times New Roman"/>
          <w:lang w:val="pl-PL"/>
        </w:rPr>
        <w:t>.  Dalsze właściwe zasady zawarto w wyroku w sprawie Refah Partisi (Partia Dobrobytu) i Inni (cyt. powyżej). Zostały one przedstawione poniżej:</w:t>
      </w:r>
    </w:p>
    <w:p w:rsidR="004D2070" w:rsidRPr="00C03220" w:rsidRDefault="004D2070" w:rsidP="004D2070">
      <w:pPr>
        <w:pStyle w:val="ECHRParaQuote"/>
        <w:rPr>
          <w:rFonts w:ascii="Times New Roman" w:hAnsi="Times New Roman" w:cs="Times New Roman"/>
          <w:lang w:val="pl-PL"/>
        </w:rPr>
      </w:pPr>
      <w:r w:rsidRPr="00C03220">
        <w:rPr>
          <w:rStyle w:val="sfbbfee58"/>
          <w:rFonts w:ascii="Times New Roman" w:hAnsi="Times New Roman" w:cs="Times New Roman"/>
          <w:lang w:val="pl-PL"/>
        </w:rPr>
        <w:t>„(γ) Możliwość nakładania ograniczeń i rygorystyczny nadzór europejski</w:t>
      </w:r>
    </w:p>
    <w:p w:rsidR="004D2070" w:rsidRPr="00C03220" w:rsidRDefault="004D2070" w:rsidP="004D2070">
      <w:pPr>
        <w:pStyle w:val="ECHRParaQuote"/>
        <w:rPr>
          <w:rFonts w:ascii="Times New Roman" w:hAnsi="Times New Roman" w:cs="Times New Roman"/>
          <w:lang w:val="pl-PL"/>
        </w:rPr>
      </w:pPr>
      <w:r w:rsidRPr="00C03220">
        <w:rPr>
          <w:rStyle w:val="sb8d990e2"/>
          <w:rFonts w:ascii="Times New Roman" w:hAnsi="Times New Roman" w:cs="Times New Roman"/>
          <w:lang w:val="pl-PL"/>
        </w:rPr>
        <w:t>96. Wolności zagwarantowane artykułem 11 oraz artykułami 9 i 10 Konwencji nie mogą pozbawiać władz Państwa praw do ochrony instytucji Państwa przed zagrażającej takim instytucjom działalnością stowarzyszenia. W tym względzie Trybunał zauważa, iż stwierdzał uprzednio, że pewien kompromis pomiędzy wymogami ochrony społeczeństwa demokratycznego i praw jednostki stanowi nieodłączną cechę systemu określonego Konwencją. Dla zapewnienia takiego kompromisu każda interwencja ze stron władz musi być zgodna z przepisem artykułu 11 ust. 2 , którą to kwestię Trybunał rozważa poniżej. ...</w:t>
      </w:r>
    </w:p>
    <w:p w:rsidR="004D2070" w:rsidRPr="00C03220" w:rsidRDefault="004D2070" w:rsidP="004D2070">
      <w:pPr>
        <w:pStyle w:val="ECHRParaQuote"/>
        <w:rPr>
          <w:rFonts w:ascii="Times New Roman" w:hAnsi="Times New Roman" w:cs="Times New Roman"/>
          <w:color w:val="000000"/>
          <w:lang w:val="pl-PL"/>
        </w:rPr>
      </w:pPr>
      <w:r w:rsidRPr="00C03220">
        <w:rPr>
          <w:rStyle w:val="sb8d990e2"/>
          <w:rFonts w:ascii="Times New Roman" w:hAnsi="Times New Roman" w:cs="Times New Roman"/>
          <w:color w:val="000000"/>
          <w:lang w:val="pl-PL"/>
        </w:rPr>
        <w:t xml:space="preserve">98. Partia polityczna może popierać zmianę prawa lub struktur prawnych czy konstytucyjnych Państwa przy spełnieniu dwóch warunków: po pierwsze zastosowane w tym celu środki muszą być zgodne z prawem i demokratyczne; po drugie, proponowana zmiana musi być zgodna z podstawowymi zasadami demokratycznymi.  Zatem partia polityczna, której przywódcy zachęcają do przemocy lub proponują wprowadzenie zasad bez poszanowania dla demokracji lub w celu unicestwienia demokracji oraz łamania praw i wolności uznawanych w systemie demokratycznym, nie może domagać się ochrony Konwencji w związku z karami nałożonymi na takich podstawach (zob. </w:t>
      </w:r>
      <w:r w:rsidRPr="00C03220">
        <w:rPr>
          <w:rStyle w:val="s6b621b36"/>
          <w:rFonts w:ascii="Times New Roman" w:hAnsi="Times New Roman" w:cs="Times New Roman"/>
          <w:i/>
          <w:iCs/>
          <w:color w:val="000000"/>
          <w:lang w:val="pl-PL"/>
        </w:rPr>
        <w:t>Yazar i Inni przeciwko Turcji</w:t>
      </w:r>
      <w:r w:rsidRPr="00C03220">
        <w:rPr>
          <w:rStyle w:val="sb8d990e2"/>
          <w:rFonts w:ascii="Times New Roman" w:hAnsi="Times New Roman" w:cs="Times New Roman"/>
          <w:color w:val="000000"/>
          <w:lang w:val="pl-PL"/>
        </w:rPr>
        <w:t>,</w:t>
      </w:r>
      <w:r w:rsidRPr="00C03220">
        <w:rPr>
          <w:rStyle w:val="s6b621b36"/>
          <w:rFonts w:ascii="Times New Roman" w:hAnsi="Times New Roman" w:cs="Times New Roman"/>
          <w:color w:val="000000"/>
          <w:lang w:val="pl-PL"/>
        </w:rPr>
        <w:t xml:space="preserve"> </w:t>
      </w:r>
      <w:r w:rsidRPr="00C03220">
        <w:rPr>
          <w:rStyle w:val="sb8d990e2"/>
          <w:rFonts w:ascii="Times New Roman" w:hAnsi="Times New Roman" w:cs="Times New Roman"/>
          <w:color w:val="000000"/>
          <w:lang w:val="pl-PL"/>
        </w:rPr>
        <w:t xml:space="preserve">nr </w:t>
      </w:r>
      <w:hyperlink r:id="rId12" w:anchor="{&quot;appno&quot;:[&quot;22723/93&quot;]}" w:tgtFrame="_blank" w:history="1">
        <w:r w:rsidRPr="00C03220">
          <w:rPr>
            <w:rStyle w:val="Hipercze"/>
            <w:rFonts w:ascii="Times New Roman" w:hAnsi="Times New Roman" w:cs="Times New Roman"/>
            <w:color w:val="000000"/>
            <w:lang w:val="pl-PL"/>
          </w:rPr>
          <w:t>22723/93</w:t>
        </w:r>
      </w:hyperlink>
      <w:r w:rsidRPr="00C03220">
        <w:rPr>
          <w:rStyle w:val="sb8d990e2"/>
          <w:rFonts w:ascii="Times New Roman" w:hAnsi="Times New Roman" w:cs="Times New Roman"/>
          <w:color w:val="000000"/>
          <w:lang w:val="pl-PL"/>
        </w:rPr>
        <w:t xml:space="preserve">, </w:t>
      </w:r>
      <w:hyperlink r:id="rId13" w:anchor="{&quot;appno&quot;:[&quot;22724/93&quot;]}" w:tgtFrame="_blank" w:history="1">
        <w:r w:rsidRPr="00C03220">
          <w:rPr>
            <w:rStyle w:val="Hipercze"/>
            <w:rFonts w:ascii="Times New Roman" w:hAnsi="Times New Roman" w:cs="Times New Roman"/>
            <w:color w:val="000000"/>
            <w:lang w:val="pl-PL"/>
          </w:rPr>
          <w:t>22724/93</w:t>
        </w:r>
      </w:hyperlink>
      <w:r w:rsidRPr="00C03220">
        <w:rPr>
          <w:rStyle w:val="sb8d990e2"/>
          <w:rFonts w:ascii="Times New Roman" w:hAnsi="Times New Roman" w:cs="Times New Roman"/>
          <w:color w:val="000000"/>
          <w:lang w:val="pl-PL"/>
        </w:rPr>
        <w:t xml:space="preserve"> i </w:t>
      </w:r>
      <w:hyperlink r:id="rId14" w:anchor="{&quot;appno&quot;:[&quot;22725/93&quot;]}" w:tgtFrame="_blank" w:history="1">
        <w:r w:rsidRPr="00C03220">
          <w:rPr>
            <w:rStyle w:val="Hipercze"/>
            <w:rFonts w:ascii="Times New Roman" w:hAnsi="Times New Roman" w:cs="Times New Roman"/>
            <w:color w:val="000000"/>
            <w:lang w:val="pl-PL"/>
          </w:rPr>
          <w:t>22725/93</w:t>
        </w:r>
      </w:hyperlink>
      <w:r w:rsidRPr="00C03220">
        <w:rPr>
          <w:rStyle w:val="sb8d990e2"/>
          <w:rFonts w:ascii="Times New Roman" w:hAnsi="Times New Roman" w:cs="Times New Roman"/>
          <w:color w:val="000000"/>
          <w:lang w:val="pl-PL"/>
        </w:rPr>
        <w:t xml:space="preserve">, § 49, ETPCz 2002-II oraz </w:t>
      </w:r>
      <w:r w:rsidRPr="00C03220">
        <w:rPr>
          <w:rStyle w:val="s6b621b36"/>
          <w:rFonts w:ascii="Times New Roman" w:hAnsi="Times New Roman" w:cs="Times New Roman"/>
          <w:i/>
          <w:iCs/>
          <w:color w:val="000000"/>
          <w:lang w:val="pl-PL"/>
        </w:rPr>
        <w:t>mutatis mutandis</w:t>
      </w:r>
      <w:r w:rsidRPr="00C03220">
        <w:rPr>
          <w:rStyle w:val="sb8d990e2"/>
          <w:rFonts w:ascii="Times New Roman" w:hAnsi="Times New Roman" w:cs="Times New Roman"/>
          <w:color w:val="000000"/>
          <w:lang w:val="pl-PL"/>
        </w:rPr>
        <w:t xml:space="preserve"> wyroki w sprawach: </w:t>
      </w:r>
      <w:r w:rsidRPr="00C03220">
        <w:rPr>
          <w:rStyle w:val="s6b621b36"/>
          <w:rFonts w:ascii="Times New Roman" w:hAnsi="Times New Roman" w:cs="Times New Roman"/>
          <w:i/>
          <w:iCs/>
          <w:color w:val="000000"/>
          <w:lang w:val="pl-PL"/>
        </w:rPr>
        <w:t>Stankov i Wielka Macedońska Organizacja Ilinden przeciwko Bułgarii</w:t>
      </w:r>
      <w:r w:rsidRPr="00C03220">
        <w:rPr>
          <w:rStyle w:val="sb8d990e2"/>
          <w:rFonts w:ascii="Times New Roman" w:hAnsi="Times New Roman" w:cs="Times New Roman"/>
          <w:color w:val="000000"/>
          <w:lang w:val="pl-PL"/>
        </w:rPr>
        <w:t xml:space="preserve">, nr </w:t>
      </w:r>
      <w:hyperlink r:id="rId15" w:anchor="{&quot;appno&quot;:[&quot;29221/95&quot;]}" w:tgtFrame="_blank" w:history="1">
        <w:r w:rsidRPr="00C03220">
          <w:rPr>
            <w:rStyle w:val="Hipercze"/>
            <w:rFonts w:ascii="Times New Roman" w:hAnsi="Times New Roman" w:cs="Times New Roman"/>
            <w:color w:val="000000"/>
            <w:lang w:val="pl-PL"/>
          </w:rPr>
          <w:t>29221/95</w:t>
        </w:r>
      </w:hyperlink>
      <w:r w:rsidRPr="00C03220">
        <w:rPr>
          <w:rStyle w:val="sb8d990e2"/>
          <w:rFonts w:ascii="Times New Roman" w:hAnsi="Times New Roman" w:cs="Times New Roman"/>
          <w:color w:val="000000"/>
          <w:lang w:val="pl-PL"/>
        </w:rPr>
        <w:t xml:space="preserve"> i </w:t>
      </w:r>
      <w:hyperlink r:id="rId16" w:anchor="{&quot;appno&quot;:[&quot;29225/95&quot;]}" w:tgtFrame="_blank" w:history="1">
        <w:r w:rsidRPr="00C03220">
          <w:rPr>
            <w:rStyle w:val="Hipercze"/>
            <w:rFonts w:ascii="Times New Roman" w:hAnsi="Times New Roman" w:cs="Times New Roman"/>
            <w:color w:val="000000"/>
            <w:lang w:val="pl-PL"/>
          </w:rPr>
          <w:t>29225/95</w:t>
        </w:r>
      </w:hyperlink>
      <w:r w:rsidRPr="00C03220">
        <w:rPr>
          <w:rStyle w:val="sb8d990e2"/>
          <w:rFonts w:ascii="Times New Roman" w:hAnsi="Times New Roman" w:cs="Times New Roman"/>
          <w:color w:val="000000"/>
          <w:lang w:val="pl-PL"/>
        </w:rPr>
        <w:t xml:space="preserve">, § 97, ETPCz 2001-IX oraz </w:t>
      </w:r>
      <w:r w:rsidRPr="00C03220">
        <w:rPr>
          <w:rStyle w:val="s6b621b36"/>
          <w:rFonts w:ascii="Times New Roman" w:hAnsi="Times New Roman" w:cs="Times New Roman"/>
          <w:i/>
          <w:iCs/>
          <w:color w:val="000000"/>
          <w:lang w:val="pl-PL"/>
        </w:rPr>
        <w:t>Partia Socjalistyczna i Inni przeciwko Turcji</w:t>
      </w:r>
      <w:r w:rsidRPr="00C03220">
        <w:rPr>
          <w:rStyle w:val="sb8d990e2"/>
          <w:rFonts w:ascii="Times New Roman" w:hAnsi="Times New Roman" w:cs="Times New Roman"/>
          <w:color w:val="000000"/>
          <w:lang w:val="pl-PL"/>
        </w:rPr>
        <w:t xml:space="preserve">, wyrok z 25 maja 1998 r., </w:t>
      </w:r>
      <w:r w:rsidRPr="00C03220">
        <w:rPr>
          <w:rStyle w:val="s6b621b36"/>
          <w:rFonts w:ascii="Times New Roman" w:hAnsi="Times New Roman" w:cs="Times New Roman"/>
          <w:color w:val="000000"/>
          <w:lang w:val="pl-PL"/>
        </w:rPr>
        <w:t xml:space="preserve">Raporty </w:t>
      </w:r>
      <w:r w:rsidRPr="00C03220">
        <w:rPr>
          <w:rStyle w:val="sb8d990e2"/>
          <w:rFonts w:ascii="Times New Roman" w:hAnsi="Times New Roman" w:cs="Times New Roman"/>
          <w:color w:val="000000"/>
          <w:lang w:val="pl-PL"/>
        </w:rPr>
        <w:t>1998-III, str. 1256-57, §§ 46-47).</w:t>
      </w:r>
    </w:p>
    <w:p w:rsidR="004D2070" w:rsidRPr="00C03220" w:rsidRDefault="004D2070" w:rsidP="004D2070">
      <w:pPr>
        <w:pStyle w:val="ECHRParaQuote"/>
        <w:rPr>
          <w:rFonts w:ascii="Times New Roman" w:hAnsi="Times New Roman" w:cs="Times New Roman"/>
          <w:lang w:val="pl-PL"/>
        </w:rPr>
      </w:pPr>
      <w:r w:rsidRPr="00C03220">
        <w:rPr>
          <w:rStyle w:val="sb8d990e2"/>
          <w:rFonts w:ascii="Times New Roman" w:hAnsi="Times New Roman" w:cs="Times New Roman"/>
          <w:lang w:val="pl-PL"/>
        </w:rPr>
        <w:t>99. Nie można wykluczyć, że partia polityczna, dochodząc praw określonych w artykule 11, a także w artykułach 9 i 10 Konwencji, mogłaby podejmować próby pozyskania w ten sposób prawa do postępowania w sposób, który w praktyce oznaczałby działania zmierzające do niszczenia praw i wolności określonych w Konwencji, a tym samym do unicestwienia demokracji (</w:t>
      </w:r>
      <w:r w:rsidR="00685D98" w:rsidRPr="00C03220">
        <w:rPr>
          <w:rStyle w:val="sb8d990e2"/>
          <w:rFonts w:ascii="Times New Roman" w:hAnsi="Times New Roman" w:cs="Times New Roman"/>
          <w:lang w:val="pl-PL"/>
        </w:rPr>
        <w:t xml:space="preserve">zob. </w:t>
      </w:r>
      <w:r w:rsidR="00685D98" w:rsidRPr="00C03220">
        <w:rPr>
          <w:rStyle w:val="s6b621b36"/>
          <w:rFonts w:ascii="Times New Roman" w:hAnsi="Times New Roman" w:cs="Times New Roman"/>
          <w:i/>
          <w:iCs/>
          <w:lang w:val="pl-PL"/>
        </w:rPr>
        <w:t>Partia</w:t>
      </w:r>
      <w:r w:rsidR="00075E91" w:rsidRPr="00C03220">
        <w:rPr>
          <w:rStyle w:val="s6b621b36"/>
          <w:rFonts w:ascii="Times New Roman" w:hAnsi="Times New Roman" w:cs="Times New Roman"/>
          <w:i/>
          <w:iCs/>
          <w:lang w:val="pl-PL"/>
        </w:rPr>
        <w:t xml:space="preserve"> Komunistyczna</w:t>
      </w:r>
      <w:r w:rsidRPr="00C03220">
        <w:rPr>
          <w:rStyle w:val="s6b621b36"/>
          <w:rFonts w:ascii="Times New Roman" w:hAnsi="Times New Roman" w:cs="Times New Roman"/>
          <w:i/>
          <w:iCs/>
          <w:lang w:val="pl-PL"/>
        </w:rPr>
        <w:t xml:space="preserve"> (KPD) przeciwko Niemcom</w:t>
      </w:r>
      <w:r w:rsidRPr="00C03220">
        <w:rPr>
          <w:rStyle w:val="sb8d990e2"/>
          <w:rFonts w:ascii="Times New Roman" w:hAnsi="Times New Roman" w:cs="Times New Roman"/>
          <w:lang w:val="pl-PL"/>
        </w:rPr>
        <w:t xml:space="preserve">, nr </w:t>
      </w:r>
      <w:hyperlink r:id="rId17" w:anchor="{&quot;appno&quot;:[&quot;250/57&quot;]}" w:tgtFrame="_blank" w:history="1">
        <w:r w:rsidRPr="00C03220">
          <w:rPr>
            <w:rStyle w:val="Hipercze"/>
            <w:rFonts w:ascii="Times New Roman" w:hAnsi="Times New Roman" w:cs="Times New Roman"/>
            <w:lang w:val="pl-PL"/>
          </w:rPr>
          <w:t>250/57</w:t>
        </w:r>
      </w:hyperlink>
      <w:r w:rsidRPr="00C03220">
        <w:rPr>
          <w:rStyle w:val="sb8d990e2"/>
          <w:rFonts w:ascii="Times New Roman" w:hAnsi="Times New Roman" w:cs="Times New Roman"/>
          <w:lang w:val="pl-PL"/>
        </w:rPr>
        <w:t>, decyzja Komisji z 20 lipca 1957 r., Rocznik 1, str. 222). Ze względu na ścisłe powiązanie pomiędzy Konwencją a demokracj</w:t>
      </w:r>
      <w:r w:rsidR="00075E91" w:rsidRPr="00C03220">
        <w:rPr>
          <w:rStyle w:val="sb8d990e2"/>
          <w:rFonts w:ascii="Times New Roman" w:hAnsi="Times New Roman" w:cs="Times New Roman"/>
          <w:lang w:val="pl-PL"/>
        </w:rPr>
        <w:t>ą</w:t>
      </w:r>
      <w:r w:rsidRPr="00C03220">
        <w:rPr>
          <w:rStyle w:val="sb8d990e2"/>
          <w:rFonts w:ascii="Times New Roman" w:hAnsi="Times New Roman" w:cs="Times New Roman"/>
          <w:lang w:val="pl-PL"/>
        </w:rPr>
        <w:t xml:space="preserve"> (zob. par. 86-89 powyżej), nikomu nie można zezwolić, by wykorzystywał postanowienia Konwencji w celu osłabienia bądź zniszczenia ideałów i wartości społeczeństwa demokratycznego. Pluralizm i demokracja opierają się na kompromisie wymagającym rozmaitych</w:t>
      </w:r>
      <w:r w:rsidR="00075E91" w:rsidRPr="00C03220">
        <w:rPr>
          <w:rStyle w:val="sb8d990e2"/>
          <w:rFonts w:ascii="Times New Roman" w:hAnsi="Times New Roman" w:cs="Times New Roman"/>
          <w:lang w:val="pl-PL"/>
        </w:rPr>
        <w:t xml:space="preserve"> ustępstw</w:t>
      </w:r>
      <w:r w:rsidRPr="00C03220">
        <w:rPr>
          <w:rStyle w:val="sb8d990e2"/>
          <w:rFonts w:ascii="Times New Roman" w:hAnsi="Times New Roman" w:cs="Times New Roman"/>
          <w:lang w:val="pl-PL"/>
        </w:rPr>
        <w:t xml:space="preserve"> ze strony jednostek lub grup jednostek, które niekiedy muszą wyrazić zgodę na pewne ograniczenia przysługujących im wolności w celu zagwarantowania stabilności państwa jako całości (zob. </w:t>
      </w:r>
      <w:r w:rsidRPr="00C03220">
        <w:rPr>
          <w:rStyle w:val="s6b621b36"/>
          <w:rFonts w:ascii="Times New Roman" w:hAnsi="Times New Roman" w:cs="Times New Roman"/>
          <w:i/>
          <w:iCs/>
          <w:lang w:val="pl-PL"/>
        </w:rPr>
        <w:t>mutatis mutandis</w:t>
      </w:r>
      <w:r w:rsidRPr="00C03220">
        <w:rPr>
          <w:rStyle w:val="sb8d990e2"/>
          <w:rFonts w:ascii="Times New Roman" w:hAnsi="Times New Roman" w:cs="Times New Roman"/>
          <w:lang w:val="pl-PL"/>
        </w:rPr>
        <w:t xml:space="preserve">, </w:t>
      </w:r>
      <w:r w:rsidRPr="00C03220">
        <w:rPr>
          <w:rStyle w:val="s6b621b36"/>
          <w:rFonts w:ascii="Times New Roman" w:hAnsi="Times New Roman" w:cs="Times New Roman"/>
          <w:i/>
          <w:iCs/>
          <w:lang w:val="pl-PL"/>
        </w:rPr>
        <w:t>Petersen przeciwko Niemcom</w:t>
      </w:r>
      <w:r w:rsidRPr="00C03220">
        <w:rPr>
          <w:rStyle w:val="sb8d990e2"/>
          <w:rFonts w:ascii="Times New Roman" w:hAnsi="Times New Roman" w:cs="Times New Roman"/>
          <w:lang w:val="pl-PL"/>
        </w:rPr>
        <w:t xml:space="preserve"> (dec.), nr </w:t>
      </w:r>
      <w:hyperlink r:id="rId18" w:anchor="{&quot;appno&quot;:[&quot;39793/98&quot;]}" w:tgtFrame="_blank" w:history="1">
        <w:r w:rsidRPr="00C03220">
          <w:rPr>
            <w:rStyle w:val="Hipercze"/>
            <w:rFonts w:ascii="Times New Roman" w:hAnsi="Times New Roman" w:cs="Times New Roman"/>
            <w:lang w:val="pl-PL"/>
          </w:rPr>
          <w:t>39793/98</w:t>
        </w:r>
      </w:hyperlink>
      <w:r w:rsidRPr="00C03220">
        <w:rPr>
          <w:rStyle w:val="sb8d990e2"/>
          <w:rFonts w:ascii="Times New Roman" w:hAnsi="Times New Roman" w:cs="Times New Roman"/>
          <w:lang w:val="pl-PL"/>
        </w:rPr>
        <w:t>, ETPCz 2001-XII).</w:t>
      </w:r>
    </w:p>
    <w:p w:rsidR="004D2070" w:rsidRPr="00C03220" w:rsidRDefault="004D2070" w:rsidP="004D2070">
      <w:pPr>
        <w:pStyle w:val="ECHRParaQuote"/>
        <w:rPr>
          <w:rFonts w:ascii="Times New Roman" w:hAnsi="Times New Roman" w:cs="Times New Roman"/>
          <w:lang w:val="pl-PL"/>
        </w:rPr>
      </w:pPr>
      <w:r w:rsidRPr="00C03220">
        <w:rPr>
          <w:rStyle w:val="sb8d990e2"/>
          <w:rFonts w:ascii="Times New Roman" w:hAnsi="Times New Roman" w:cs="Times New Roman"/>
          <w:lang w:val="pl-PL"/>
        </w:rPr>
        <w:t>W tym kontekście Trybunał uznaje, że nie jest zupełnie nieprawdopodobnym, by ruchy totalitarne zorganizowane w formie partii politycznych doprowadziły do unicestwienia demokracji, po okresie rozwoju w ramach systemu demokratycznego. Przykłady takich sytuacji znane są z niedawnej historii Europy. ...</w:t>
      </w:r>
    </w:p>
    <w:p w:rsidR="004D2070" w:rsidRPr="00C03220" w:rsidRDefault="004D2070" w:rsidP="004D2070">
      <w:pPr>
        <w:pStyle w:val="ECHRParaQuote"/>
        <w:rPr>
          <w:rFonts w:ascii="Times New Roman" w:hAnsi="Times New Roman" w:cs="Times New Roman"/>
          <w:lang w:val="pl-PL"/>
        </w:rPr>
      </w:pPr>
      <w:r w:rsidRPr="00C03220">
        <w:rPr>
          <w:rStyle w:val="sfbbfee58"/>
          <w:rFonts w:ascii="Times New Roman" w:hAnsi="Times New Roman" w:cs="Times New Roman"/>
          <w:lang w:val="pl-PL"/>
        </w:rPr>
        <w:t>(δ) Możliwość przypisania partii politycznej działań i wypowiedzi jej członków</w:t>
      </w:r>
    </w:p>
    <w:p w:rsidR="004D2070" w:rsidRPr="00C03220" w:rsidRDefault="004D2070" w:rsidP="004D2070">
      <w:pPr>
        <w:pStyle w:val="ECHRParaQuote"/>
        <w:rPr>
          <w:rFonts w:ascii="Times New Roman" w:hAnsi="Times New Roman" w:cs="Times New Roman"/>
          <w:lang w:val="pl-PL"/>
        </w:rPr>
      </w:pPr>
      <w:r w:rsidRPr="00C03220">
        <w:rPr>
          <w:rStyle w:val="sb8d990e2"/>
          <w:rFonts w:ascii="Times New Roman" w:hAnsi="Times New Roman" w:cs="Times New Roman"/>
          <w:lang w:val="pl-PL"/>
        </w:rPr>
        <w:t>101. W dalszej kolejności T</w:t>
      </w:r>
      <w:r w:rsidR="00B91791" w:rsidRPr="00C03220">
        <w:rPr>
          <w:rStyle w:val="sb8d990e2"/>
          <w:rFonts w:ascii="Times New Roman" w:hAnsi="Times New Roman" w:cs="Times New Roman"/>
          <w:lang w:val="pl-PL"/>
        </w:rPr>
        <w:t>rybunał zauważa, że konstytucja</w:t>
      </w:r>
      <w:r w:rsidRPr="00C03220">
        <w:rPr>
          <w:rStyle w:val="sb8d990e2"/>
          <w:rFonts w:ascii="Times New Roman" w:hAnsi="Times New Roman" w:cs="Times New Roman"/>
          <w:lang w:val="pl-PL"/>
        </w:rPr>
        <w:t xml:space="preserve"> i program partii politycznej nie mogą być brane pod uwagę jako jedyne kryterium określania jej celów i intencji. Polityczne doświadczenia Umawiających się Państw wskazuj</w:t>
      </w:r>
      <w:r w:rsidR="00B91791" w:rsidRPr="00C03220">
        <w:rPr>
          <w:rStyle w:val="sb8d990e2"/>
          <w:rFonts w:ascii="Times New Roman" w:hAnsi="Times New Roman" w:cs="Times New Roman"/>
          <w:lang w:val="pl-PL"/>
        </w:rPr>
        <w:t>ą</w:t>
      </w:r>
      <w:r w:rsidRPr="00C03220">
        <w:rPr>
          <w:rStyle w:val="sb8d990e2"/>
          <w:rFonts w:ascii="Times New Roman" w:hAnsi="Times New Roman" w:cs="Times New Roman"/>
          <w:lang w:val="pl-PL"/>
        </w:rPr>
        <w:t xml:space="preserve">, że w przeszłości partie polityczne, których cele były sprzeczne z podstawowymi zasadami demokracji, do czasu objęcia władzy nie ujawniały takich celów w oficjalnych </w:t>
      </w:r>
      <w:r w:rsidRPr="00C03220">
        <w:rPr>
          <w:rStyle w:val="sb8d990e2"/>
          <w:rFonts w:ascii="Times New Roman" w:hAnsi="Times New Roman" w:cs="Times New Roman"/>
          <w:lang w:val="pl-PL"/>
        </w:rPr>
        <w:lastRenderedPageBreak/>
        <w:t>dokumentach. Z tego względu Trybunał zawsze zaznaczał, że program polityczn</w:t>
      </w:r>
      <w:r w:rsidR="00B91791" w:rsidRPr="00C03220">
        <w:rPr>
          <w:rStyle w:val="sb8d990e2"/>
          <w:rFonts w:ascii="Times New Roman" w:hAnsi="Times New Roman" w:cs="Times New Roman"/>
          <w:lang w:val="pl-PL"/>
        </w:rPr>
        <w:t>y</w:t>
      </w:r>
      <w:r w:rsidRPr="00C03220">
        <w:rPr>
          <w:rStyle w:val="sb8d990e2"/>
          <w:rFonts w:ascii="Times New Roman" w:hAnsi="Times New Roman" w:cs="Times New Roman"/>
          <w:lang w:val="pl-PL"/>
        </w:rPr>
        <w:t xml:space="preserve"> partii może </w:t>
      </w:r>
      <w:r w:rsidR="00E5167D" w:rsidRPr="00C03220">
        <w:rPr>
          <w:rStyle w:val="sb8d990e2"/>
          <w:rFonts w:ascii="Times New Roman" w:hAnsi="Times New Roman" w:cs="Times New Roman"/>
          <w:lang w:val="pl-PL"/>
        </w:rPr>
        <w:t>skrywać</w:t>
      </w:r>
      <w:r w:rsidRPr="00C03220">
        <w:rPr>
          <w:rStyle w:val="sb8d990e2"/>
          <w:rFonts w:ascii="Times New Roman" w:hAnsi="Times New Roman" w:cs="Times New Roman"/>
          <w:lang w:val="pl-PL"/>
        </w:rPr>
        <w:t xml:space="preserve"> cele i zamiary </w:t>
      </w:r>
      <w:r w:rsidR="00E5167D" w:rsidRPr="00C03220">
        <w:rPr>
          <w:rStyle w:val="sb8d990e2"/>
          <w:rFonts w:ascii="Times New Roman" w:hAnsi="Times New Roman" w:cs="Times New Roman"/>
          <w:lang w:val="pl-PL"/>
        </w:rPr>
        <w:t xml:space="preserve">inne </w:t>
      </w:r>
      <w:r w:rsidRPr="00C03220">
        <w:rPr>
          <w:rStyle w:val="sb8d990e2"/>
          <w:rFonts w:ascii="Times New Roman" w:hAnsi="Times New Roman" w:cs="Times New Roman"/>
          <w:lang w:val="pl-PL"/>
        </w:rPr>
        <w:t xml:space="preserve">niż przedstawiane </w:t>
      </w:r>
      <w:r w:rsidR="00E5167D" w:rsidRPr="00C03220">
        <w:rPr>
          <w:rStyle w:val="sb8d990e2"/>
          <w:rFonts w:ascii="Times New Roman" w:hAnsi="Times New Roman" w:cs="Times New Roman"/>
          <w:lang w:val="pl-PL"/>
        </w:rPr>
        <w:t>oficjalnie</w:t>
      </w:r>
      <w:r w:rsidRPr="00C03220">
        <w:rPr>
          <w:rStyle w:val="sb8d990e2"/>
          <w:rFonts w:ascii="Times New Roman" w:hAnsi="Times New Roman" w:cs="Times New Roman"/>
          <w:lang w:val="pl-PL"/>
        </w:rPr>
        <w:t xml:space="preserve">. Aby upewnić się, czy tak nie jest, należy porównać treść programu z działaniami podejmowanymi przez liderów partii oraz prezentowanymi przez nich opiniami.  Rozważane łącznie, takie czyny i stanowiska mogą być istotne z punktu widzenia postępowania dotyczącego rozwiązania partii politycznej, pod warunkiem, że jako całość ujawniają one cele i intencje ... </w:t>
      </w:r>
    </w:p>
    <w:p w:rsidR="004D2070" w:rsidRPr="00C03220" w:rsidRDefault="004D2070" w:rsidP="004D2070">
      <w:pPr>
        <w:pStyle w:val="ECHRParaQuote"/>
        <w:rPr>
          <w:rFonts w:ascii="Times New Roman" w:hAnsi="Times New Roman" w:cs="Times New Roman"/>
          <w:lang w:val="pl-PL"/>
        </w:rPr>
      </w:pPr>
      <w:r w:rsidRPr="00C03220">
        <w:rPr>
          <w:rStyle w:val="sfbbfee58"/>
          <w:rFonts w:ascii="Times New Roman" w:hAnsi="Times New Roman" w:cs="Times New Roman"/>
          <w:lang w:val="pl-PL"/>
        </w:rPr>
        <w:t>(ε) Właściwy termin rozwiązania</w:t>
      </w:r>
    </w:p>
    <w:p w:rsidR="004D2070" w:rsidRPr="00C03220" w:rsidRDefault="004D2070" w:rsidP="004D2070">
      <w:pPr>
        <w:pStyle w:val="ECHRParaQuote"/>
        <w:rPr>
          <w:rFonts w:ascii="Times New Roman" w:hAnsi="Times New Roman" w:cs="Times New Roman"/>
          <w:lang w:val="pl-PL"/>
        </w:rPr>
      </w:pPr>
      <w:r w:rsidRPr="00C03220">
        <w:rPr>
          <w:rStyle w:val="sb8d990e2"/>
          <w:rFonts w:ascii="Times New Roman" w:hAnsi="Times New Roman" w:cs="Times New Roman"/>
          <w:lang w:val="pl-PL"/>
        </w:rPr>
        <w:t>102. Ponadto Trybunał jest zdania, że nie można wymagać, by Państwo czekało z podjęciem interwencji do czasu przejęcia władzy przez partię i podjęcia przez nią konkretnych kroków w celu wdrażania polityki niezgodnej ze standardami Konwencji i demokracji, nawet jeżeli zagrożenie dla demokracji ze strony takiej polityki zostało ustalone w sposób wystarczający i jest nieuchronne. Trybunał przyjmuje, że w przypadku, gdy sądy krajowe stwierdziły istnienie takiego zagrożenia na podstawie szczegółowej oceny podlegającej rygorystycznemu nadzorowi na poziomie europejskim, Państwo może „w uzasadniony sposób zapobiec wykonywaniu takiej polityki, która jest niezgodna z postanowieniami Konwencji, zanim podjęte zostaną próby jej wdrożenia poprzez konkretne kroki mogące naruszyć pokój wewnętrzny i ustrój demokratyczny państwa</w:t>
      </w:r>
      <w:r w:rsidR="00B91791" w:rsidRPr="00C03220">
        <w:rPr>
          <w:rStyle w:val="sb8d990e2"/>
          <w:rFonts w:ascii="Times New Roman" w:hAnsi="Times New Roman" w:cs="Times New Roman"/>
          <w:lang w:val="pl-PL"/>
        </w:rPr>
        <w:t>”</w:t>
      </w:r>
      <w:r w:rsidRPr="00C03220">
        <w:rPr>
          <w:rStyle w:val="sb8d990e2"/>
          <w:rFonts w:ascii="Times New Roman" w:hAnsi="Times New Roman" w:cs="Times New Roman"/>
          <w:lang w:val="pl-PL"/>
        </w:rPr>
        <w:t xml:space="preserve"> (zob. wyrok Izby, § 81).</w:t>
      </w:r>
    </w:p>
    <w:p w:rsidR="004D2070" w:rsidRPr="00C03220" w:rsidRDefault="004D2070" w:rsidP="004D2070">
      <w:pPr>
        <w:pStyle w:val="ECHRParaQuote"/>
        <w:rPr>
          <w:rFonts w:ascii="Times New Roman" w:hAnsi="Times New Roman" w:cs="Times New Roman"/>
          <w:lang w:val="pl-PL"/>
        </w:rPr>
      </w:pPr>
      <w:r w:rsidRPr="00C03220">
        <w:rPr>
          <w:rStyle w:val="sb8d990e2"/>
          <w:rFonts w:ascii="Times New Roman" w:hAnsi="Times New Roman" w:cs="Times New Roman"/>
          <w:lang w:val="pl-PL"/>
        </w:rPr>
        <w:t xml:space="preserve">103. W opinii Trybunału takie uprawnienie Państwa do interwencji o charakterze prewencyjnym jest zgodne z obowiązkami Umawiających się Państw wynikającymi z artykułu 1 Konwencji w zakresie zapewnienia praw i wolności osób w ramach ich systemów prawnych. Obowiązki te wiążą się nie tylko z ingerencją, która może wynikać z działań bądź zaniechań przypisywanych funkcjonariuszom Państwa lub istniejących w instytucjach publicznych, lecz także z ingerencją przypisywaną osobom indywidualnym w ramach podmiotów innych niż państwowe. ... </w:t>
      </w:r>
      <w:r w:rsidR="00E5167D" w:rsidRPr="00C03220">
        <w:rPr>
          <w:rStyle w:val="sb8d990e2"/>
          <w:rFonts w:ascii="Times New Roman" w:hAnsi="Times New Roman" w:cs="Times New Roman"/>
          <w:lang w:val="pl-PL"/>
        </w:rPr>
        <w:t>Umawiające</w:t>
      </w:r>
      <w:r w:rsidRPr="00C03220">
        <w:rPr>
          <w:rStyle w:val="sb8d990e2"/>
          <w:rFonts w:ascii="Times New Roman" w:hAnsi="Times New Roman" w:cs="Times New Roman"/>
          <w:lang w:val="pl-PL"/>
        </w:rPr>
        <w:t xml:space="preserve"> się Państwo może – w ramach swoich </w:t>
      </w:r>
      <w:r w:rsidR="00E5167D" w:rsidRPr="00C03220">
        <w:rPr>
          <w:rStyle w:val="sb8d990e2"/>
          <w:rFonts w:ascii="Times New Roman" w:hAnsi="Times New Roman" w:cs="Times New Roman"/>
          <w:lang w:val="pl-PL"/>
        </w:rPr>
        <w:t>obowiązków – w uzasadniony</w:t>
      </w:r>
      <w:r w:rsidRPr="00C03220">
        <w:rPr>
          <w:rStyle w:val="sb8d990e2"/>
          <w:rFonts w:ascii="Times New Roman" w:hAnsi="Times New Roman" w:cs="Times New Roman"/>
          <w:lang w:val="pl-PL"/>
        </w:rPr>
        <w:t xml:space="preserve"> sposób nakładać na partie polityczne </w:t>
      </w:r>
      <w:r w:rsidR="00E5167D" w:rsidRPr="00C03220">
        <w:rPr>
          <w:rStyle w:val="sb8d990e2"/>
          <w:rFonts w:ascii="Times New Roman" w:hAnsi="Times New Roman" w:cs="Times New Roman"/>
          <w:lang w:val="pl-PL"/>
        </w:rPr>
        <w:t>będące</w:t>
      </w:r>
      <w:r w:rsidRPr="00C03220">
        <w:rPr>
          <w:rStyle w:val="sb8d990e2"/>
          <w:rFonts w:ascii="Times New Roman" w:hAnsi="Times New Roman" w:cs="Times New Roman"/>
          <w:lang w:val="pl-PL"/>
        </w:rPr>
        <w:t xml:space="preserve"> organami, których </w:t>
      </w:r>
      <w:r w:rsidRPr="00C03220">
        <w:rPr>
          <w:rStyle w:val="s6b621b36"/>
          <w:rFonts w:ascii="Times New Roman" w:hAnsi="Times New Roman" w:cs="Times New Roman"/>
          <w:i/>
          <w:iCs/>
          <w:lang w:val="pl-PL"/>
        </w:rPr>
        <w:t>raison d’être</w:t>
      </w:r>
      <w:r w:rsidRPr="00C03220">
        <w:rPr>
          <w:rStyle w:val="sb8d990e2"/>
          <w:rFonts w:ascii="Times New Roman" w:hAnsi="Times New Roman" w:cs="Times New Roman"/>
          <w:lang w:val="pl-PL"/>
        </w:rPr>
        <w:t xml:space="preserve"> opiera się na dojściu do władzy i kierowaniu pracą istotnej części aparatu Państwa, obowiązku poszanowania i zapewniania praw i wolności </w:t>
      </w:r>
      <w:r w:rsidR="00E5167D" w:rsidRPr="00C03220">
        <w:rPr>
          <w:rStyle w:val="sb8d990e2"/>
          <w:rFonts w:ascii="Times New Roman" w:hAnsi="Times New Roman" w:cs="Times New Roman"/>
          <w:lang w:val="pl-PL"/>
        </w:rPr>
        <w:t>zagwarantowanych</w:t>
      </w:r>
      <w:r w:rsidRPr="00C03220">
        <w:rPr>
          <w:rStyle w:val="sb8d990e2"/>
          <w:rFonts w:ascii="Times New Roman" w:hAnsi="Times New Roman" w:cs="Times New Roman"/>
          <w:lang w:val="pl-PL"/>
        </w:rPr>
        <w:t xml:space="preserve"> Konwencją oraz obowiązku nieprzedstawiania programu politycznego sprzecznego z podstawowymi zasadami demokracji.</w:t>
      </w:r>
    </w:p>
    <w:p w:rsidR="004D2070" w:rsidRPr="00C03220" w:rsidRDefault="004D2070" w:rsidP="004D2070">
      <w:pPr>
        <w:pStyle w:val="ECHRParaQuote"/>
        <w:rPr>
          <w:rFonts w:ascii="Times New Roman" w:hAnsi="Times New Roman" w:cs="Times New Roman"/>
          <w:lang w:val="pl-PL"/>
        </w:rPr>
      </w:pPr>
      <w:r w:rsidRPr="00C03220">
        <w:rPr>
          <w:rStyle w:val="sfbbfee58"/>
          <w:rFonts w:ascii="Times New Roman" w:hAnsi="Times New Roman" w:cs="Times New Roman"/>
          <w:lang w:val="pl-PL"/>
        </w:rPr>
        <w:t>(ζ) Ocena ogólna</w:t>
      </w:r>
    </w:p>
    <w:p w:rsidR="004D2070" w:rsidRPr="00C03220" w:rsidRDefault="004D2070" w:rsidP="004D2070">
      <w:pPr>
        <w:pStyle w:val="ECHRParaQuote"/>
        <w:rPr>
          <w:rFonts w:ascii="Times New Roman" w:hAnsi="Times New Roman" w:cs="Times New Roman"/>
          <w:lang w:val="pl-PL"/>
        </w:rPr>
      </w:pPr>
      <w:r w:rsidRPr="00C03220">
        <w:rPr>
          <w:rStyle w:val="sb8d990e2"/>
          <w:rFonts w:ascii="Times New Roman" w:hAnsi="Times New Roman" w:cs="Times New Roman"/>
          <w:lang w:val="pl-PL"/>
        </w:rPr>
        <w:t xml:space="preserve">104. W świetle powyższych rozważań ogólna ocena Trybunału, czy rozwiązanie partii politycznej ze względu na ryzyko naruszenia zasad demokracji stanowiło „pilną potrzebę społeczną” (zob. przykładowo </w:t>
      </w:r>
      <w:r w:rsidRPr="00C03220">
        <w:rPr>
          <w:rStyle w:val="s6b621b36"/>
          <w:rFonts w:ascii="Times New Roman" w:hAnsi="Times New Roman" w:cs="Times New Roman"/>
          <w:i/>
          <w:iCs/>
          <w:lang w:val="pl-PL"/>
        </w:rPr>
        <w:t>Partia Socjalistyczna i Inni</w:t>
      </w:r>
      <w:r w:rsidRPr="00C03220">
        <w:rPr>
          <w:rStyle w:val="sb8d990e2"/>
          <w:rFonts w:ascii="Times New Roman" w:hAnsi="Times New Roman" w:cs="Times New Roman"/>
          <w:lang w:val="pl-PL"/>
        </w:rPr>
        <w:t xml:space="preserve">, cyt. powyżej, str. 1258, § 49) musi koncentrować się na następujących punktach: (i) czy istniały wiarygodne dowody, że ryzyko grożące demokracji </w:t>
      </w:r>
      <w:r w:rsidR="00B91791" w:rsidRPr="00C03220">
        <w:rPr>
          <w:rStyle w:val="sb8d990e2"/>
          <w:rFonts w:ascii="Times New Roman" w:hAnsi="Times New Roman" w:cs="Times New Roman"/>
          <w:lang w:val="pl-PL"/>
        </w:rPr>
        <w:t>–</w:t>
      </w:r>
      <w:r w:rsidRPr="00C03220">
        <w:rPr>
          <w:rStyle w:val="sb8d990e2"/>
          <w:rFonts w:ascii="Times New Roman" w:hAnsi="Times New Roman" w:cs="Times New Roman"/>
          <w:lang w:val="pl-PL"/>
        </w:rPr>
        <w:t xml:space="preserve"> przy założeniu, że udowodniono jego istnienie - było wystarczająco b</w:t>
      </w:r>
      <w:r w:rsidR="00B91791" w:rsidRPr="00C03220">
        <w:rPr>
          <w:rStyle w:val="sb8d990e2"/>
          <w:rFonts w:ascii="Times New Roman" w:hAnsi="Times New Roman" w:cs="Times New Roman"/>
          <w:lang w:val="pl-PL"/>
        </w:rPr>
        <w:t>ezpośredni</w:t>
      </w:r>
      <w:r w:rsidRPr="00C03220">
        <w:rPr>
          <w:rStyle w:val="sb8d990e2"/>
          <w:rFonts w:ascii="Times New Roman" w:hAnsi="Times New Roman" w:cs="Times New Roman"/>
          <w:lang w:val="pl-PL"/>
        </w:rPr>
        <w:t>e; (ii) czy można było przypisywać danej partii polityczne</w:t>
      </w:r>
      <w:r w:rsidR="00B91791" w:rsidRPr="00C03220">
        <w:rPr>
          <w:rStyle w:val="sb8d990e2"/>
          <w:rFonts w:ascii="Times New Roman" w:hAnsi="Times New Roman" w:cs="Times New Roman"/>
          <w:lang w:val="pl-PL"/>
        </w:rPr>
        <w:t>j</w:t>
      </w:r>
      <w:r w:rsidRPr="00C03220">
        <w:rPr>
          <w:rStyle w:val="sb8d990e2"/>
          <w:rFonts w:ascii="Times New Roman" w:hAnsi="Times New Roman" w:cs="Times New Roman"/>
          <w:lang w:val="pl-PL"/>
        </w:rPr>
        <w:t xml:space="preserve"> jako całości działania i wypowiedzi jej przywódców i członków oraz (iii) czy działania i wypowiedzi przypisywane partii politycznej tworzyły całość dającą jasny obraz modelu społeczeństwa opracowanego i propagowaneg</w:t>
      </w:r>
      <w:r w:rsidR="00B91791" w:rsidRPr="00C03220">
        <w:rPr>
          <w:rStyle w:val="sb8d990e2"/>
          <w:rFonts w:ascii="Times New Roman" w:hAnsi="Times New Roman" w:cs="Times New Roman"/>
          <w:lang w:val="pl-PL"/>
        </w:rPr>
        <w:t>o przez tę partię, który nie był</w:t>
      </w:r>
      <w:r w:rsidRPr="00C03220">
        <w:rPr>
          <w:rStyle w:val="sb8d990e2"/>
          <w:rFonts w:ascii="Times New Roman" w:hAnsi="Times New Roman" w:cs="Times New Roman"/>
          <w:lang w:val="pl-PL"/>
        </w:rPr>
        <w:t xml:space="preserve"> zgodny z koncepcją „społeczeństwa demokratycznego”.</w:t>
      </w:r>
    </w:p>
    <w:p w:rsidR="004D2070" w:rsidRPr="00C03220" w:rsidRDefault="004D2070" w:rsidP="004D2070">
      <w:pPr>
        <w:pStyle w:val="ECHRParaQuote"/>
        <w:rPr>
          <w:rStyle w:val="sb8d990e2"/>
          <w:rFonts w:ascii="Times New Roman" w:hAnsi="Times New Roman" w:cs="Times New Roman"/>
          <w:lang w:val="pl-PL"/>
        </w:rPr>
      </w:pPr>
      <w:r w:rsidRPr="00C03220">
        <w:rPr>
          <w:rStyle w:val="sb8d990e2"/>
          <w:rFonts w:ascii="Times New Roman" w:hAnsi="Times New Roman" w:cs="Times New Roman"/>
          <w:lang w:val="pl-PL"/>
        </w:rPr>
        <w:t xml:space="preserve">105. Ogólna ocena powyższych punktów, jaką Trybunał zamierza przeprowadzić, musi uwzględniać także historyczny kontekst ... rozwiązania ... w danym kraju dokonanego w celu zapewnienia właściwego funkcjonowania „społeczeństwa demokratycznego” (zob. </w:t>
      </w:r>
      <w:r w:rsidRPr="00C03220">
        <w:rPr>
          <w:rStyle w:val="s6b621b36"/>
          <w:rFonts w:ascii="Times New Roman" w:hAnsi="Times New Roman" w:cs="Times New Roman"/>
          <w:i/>
          <w:iCs/>
          <w:lang w:val="pl-PL"/>
        </w:rPr>
        <w:t>mutatis mutandis</w:t>
      </w:r>
      <w:r w:rsidRPr="00C03220">
        <w:rPr>
          <w:rStyle w:val="sb8d990e2"/>
          <w:rFonts w:ascii="Times New Roman" w:hAnsi="Times New Roman" w:cs="Times New Roman"/>
          <w:lang w:val="pl-PL"/>
        </w:rPr>
        <w:t xml:space="preserve">, </w:t>
      </w:r>
      <w:r w:rsidRPr="00C03220">
        <w:rPr>
          <w:rStyle w:val="s6b621b36"/>
          <w:rFonts w:ascii="Times New Roman" w:hAnsi="Times New Roman" w:cs="Times New Roman"/>
          <w:i/>
          <w:iCs/>
          <w:lang w:val="pl-PL"/>
        </w:rPr>
        <w:t>Petersen</w:t>
      </w:r>
      <w:r w:rsidRPr="00C03220">
        <w:rPr>
          <w:rStyle w:val="sb8d990e2"/>
          <w:rFonts w:ascii="Times New Roman" w:hAnsi="Times New Roman" w:cs="Times New Roman"/>
          <w:lang w:val="pl-PL"/>
        </w:rPr>
        <w:t>, cyt. powyżej).”</w:t>
      </w:r>
    </w:p>
    <w:p w:rsidR="004D2070" w:rsidRPr="00C03220" w:rsidRDefault="001552E1" w:rsidP="004D2070">
      <w:pPr>
        <w:pStyle w:val="ECHRPara"/>
        <w:rPr>
          <w:rFonts w:ascii="Times New Roman" w:hAnsi="Times New Roman" w:cs="Times New Roman"/>
          <w:lang w:val="pl-PL"/>
        </w:rPr>
      </w:pPr>
      <w:r w:rsidRPr="00C03220">
        <w:rPr>
          <w:rStyle w:val="sb8d990e2"/>
          <w:rFonts w:ascii="Times New Roman" w:hAnsi="Times New Roman" w:cs="Times New Roman"/>
          <w:lang w:val="pl-PL"/>
        </w:rPr>
        <w:lastRenderedPageBreak/>
        <w:fldChar w:fldCharType="begin"/>
      </w:r>
      <w:r w:rsidR="004D2070" w:rsidRPr="00C03220">
        <w:rPr>
          <w:rStyle w:val="sb8d990e2"/>
          <w:rFonts w:ascii="Times New Roman" w:hAnsi="Times New Roman" w:cs="Times New Roman"/>
          <w:lang w:val="pl-PL"/>
        </w:rPr>
        <w:instrText xml:space="preserve"> SEQ level0 \*arabic </w:instrText>
      </w:r>
      <w:r w:rsidRPr="00C03220">
        <w:rPr>
          <w:rStyle w:val="sb8d990e2"/>
          <w:rFonts w:ascii="Times New Roman" w:hAnsi="Times New Roman" w:cs="Times New Roman"/>
          <w:lang w:val="pl-PL"/>
        </w:rPr>
        <w:fldChar w:fldCharType="separate"/>
      </w:r>
      <w:r w:rsidR="004D2070" w:rsidRPr="00C03220">
        <w:rPr>
          <w:rStyle w:val="sb8d990e2"/>
          <w:rFonts w:ascii="Times New Roman" w:hAnsi="Times New Roman" w:cs="Times New Roman"/>
          <w:noProof/>
          <w:lang w:val="pl-PL"/>
        </w:rPr>
        <w:t>55</w:t>
      </w:r>
      <w:r w:rsidRPr="00C03220">
        <w:rPr>
          <w:rStyle w:val="sb8d990e2"/>
          <w:rFonts w:ascii="Times New Roman" w:hAnsi="Times New Roman" w:cs="Times New Roman"/>
          <w:lang w:val="pl-PL"/>
        </w:rPr>
        <w:fldChar w:fldCharType="end"/>
      </w:r>
      <w:r w:rsidR="004D2070" w:rsidRPr="00C03220">
        <w:rPr>
          <w:rStyle w:val="sb8d990e2"/>
          <w:rFonts w:ascii="Times New Roman" w:hAnsi="Times New Roman" w:cs="Times New Roman"/>
          <w:lang w:val="pl-PL"/>
        </w:rPr>
        <w:t xml:space="preserve">.  Wyrok Trybunału w sprawie </w:t>
      </w:r>
      <w:r w:rsidR="004D2070" w:rsidRPr="00C03220">
        <w:rPr>
          <w:rFonts w:ascii="Times New Roman" w:hAnsi="Times New Roman" w:cs="Times New Roman"/>
          <w:i/>
          <w:iCs/>
          <w:lang w:val="pl-PL"/>
        </w:rPr>
        <w:t>Herri Batasuna i Batasuna przeciwko Hiszpanii (nr</w:t>
      </w:r>
      <w:r w:rsidR="004D2070" w:rsidRPr="00C03220">
        <w:rPr>
          <w:rFonts w:ascii="Times New Roman" w:hAnsi="Times New Roman" w:cs="Times New Roman"/>
          <w:lang w:val="pl-PL"/>
        </w:rPr>
        <w:t xml:space="preserve"> 25803/04 i 25817/04, ETPCz 2009 r.) zawiera następujące, odpowiednie, fragmenty:</w:t>
      </w:r>
    </w:p>
    <w:p w:rsidR="004D2070" w:rsidRPr="00C03220" w:rsidRDefault="004D2070" w:rsidP="004D2070">
      <w:pPr>
        <w:pStyle w:val="ECHRParaQuote"/>
        <w:rPr>
          <w:rStyle w:val="sb8d990e2"/>
          <w:rFonts w:ascii="Times New Roman" w:hAnsi="Times New Roman" w:cs="Times New Roman"/>
          <w:lang w:val="pl-PL"/>
        </w:rPr>
      </w:pPr>
      <w:r w:rsidRPr="00C03220">
        <w:rPr>
          <w:rStyle w:val="sb8d990e2"/>
          <w:rFonts w:ascii="Times New Roman" w:hAnsi="Times New Roman" w:cs="Times New Roman"/>
          <w:lang w:val="pl-PL"/>
        </w:rPr>
        <w:t>„79. Zatem partia polityczna, której przywódcy zachęcają do przemocy lub proponują wprowadzenie zasad bez poszanowania dla demokracji lub w celu unicestwienia demokracji oraz łamania praw i wolności uznawanych w systemie demokratycznym, nie może domagać się ochrony Konwencji w związku z karami nałożonymi na takich podstawach ...</w:t>
      </w:r>
    </w:p>
    <w:p w:rsidR="004D2070" w:rsidRPr="00C03220" w:rsidRDefault="004D2070" w:rsidP="004D2070">
      <w:pPr>
        <w:pStyle w:val="ECHRParaQuote"/>
        <w:rPr>
          <w:rStyle w:val="sb8d990e2"/>
          <w:rFonts w:ascii="Times New Roman" w:hAnsi="Times New Roman" w:cs="Times New Roman"/>
          <w:lang w:val="pl-PL"/>
        </w:rPr>
      </w:pPr>
      <w:r w:rsidRPr="00C03220">
        <w:rPr>
          <w:rStyle w:val="sb8d990e2"/>
          <w:rFonts w:ascii="Times New Roman" w:hAnsi="Times New Roman" w:cs="Times New Roman"/>
          <w:lang w:val="pl-PL"/>
        </w:rPr>
        <w:t xml:space="preserve">81. ... Państwo może „w uzasadniony sposób zapobiec wykonywaniu takiej polityki, która jest niezgodna z postanowieniami Konwencji, zanim podjęte zostaną próby jej wdrożenia poprzez konkretne kroki mogące naruszyć pokój wewnętrzny i ustrój demokratyczny państwa (zob. </w:t>
      </w:r>
      <w:r w:rsidRPr="00C03220">
        <w:rPr>
          <w:rStyle w:val="sb8d990e2"/>
          <w:rFonts w:ascii="Times New Roman" w:hAnsi="Times New Roman" w:cs="Times New Roman"/>
          <w:i/>
          <w:iCs/>
          <w:lang w:val="pl-PL"/>
        </w:rPr>
        <w:t>Refah Partisi</w:t>
      </w:r>
      <w:r w:rsidRPr="00C03220">
        <w:rPr>
          <w:rStyle w:val="sb8d990e2"/>
          <w:rFonts w:ascii="Times New Roman" w:hAnsi="Times New Roman" w:cs="Times New Roman"/>
          <w:lang w:val="pl-PL"/>
        </w:rPr>
        <w:t>, cyt. powyżej, § 102). ...</w:t>
      </w:r>
    </w:p>
    <w:p w:rsidR="004D2070" w:rsidRPr="00C03220" w:rsidRDefault="004D2070" w:rsidP="004D2070">
      <w:pPr>
        <w:pStyle w:val="ECHRParaQuote"/>
        <w:rPr>
          <w:rStyle w:val="sb8d990e2"/>
          <w:rFonts w:ascii="Times New Roman" w:hAnsi="Times New Roman" w:cs="Times New Roman"/>
          <w:lang w:val="pl-PL"/>
        </w:rPr>
      </w:pPr>
      <w:r w:rsidRPr="00C03220">
        <w:rPr>
          <w:rStyle w:val="sb8d990e2"/>
          <w:rFonts w:ascii="Times New Roman" w:hAnsi="Times New Roman" w:cs="Times New Roman"/>
          <w:lang w:val="pl-PL"/>
        </w:rPr>
        <w:t xml:space="preserve">83. Ogólna ocena Trybunału, czy rozwiązanie partii politycznej ze względu na ryzyko naruszenia zasad demokracji stanowiło „pilną potrzebę społeczną” (zob. przykładowo </w:t>
      </w:r>
      <w:r w:rsidRPr="00C03220">
        <w:rPr>
          <w:rStyle w:val="sb8d990e2"/>
          <w:rFonts w:ascii="Times New Roman" w:hAnsi="Times New Roman" w:cs="Times New Roman"/>
          <w:i/>
          <w:iCs/>
          <w:lang w:val="pl-PL"/>
        </w:rPr>
        <w:t xml:space="preserve">Partia </w:t>
      </w:r>
      <w:r w:rsidR="00E5167D" w:rsidRPr="00C03220">
        <w:rPr>
          <w:rStyle w:val="sb8d990e2"/>
          <w:rFonts w:ascii="Times New Roman" w:hAnsi="Times New Roman" w:cs="Times New Roman"/>
          <w:i/>
          <w:iCs/>
          <w:lang w:val="pl-PL"/>
        </w:rPr>
        <w:t>Socjalistyczna</w:t>
      </w:r>
      <w:r w:rsidRPr="00C03220">
        <w:rPr>
          <w:rStyle w:val="sb8d990e2"/>
          <w:rFonts w:ascii="Times New Roman" w:hAnsi="Times New Roman" w:cs="Times New Roman"/>
          <w:i/>
          <w:iCs/>
          <w:lang w:val="pl-PL"/>
        </w:rPr>
        <w:t xml:space="preserve"> i Inni</w:t>
      </w:r>
      <w:r w:rsidRPr="00C03220">
        <w:rPr>
          <w:rStyle w:val="sb8d990e2"/>
          <w:rFonts w:ascii="Times New Roman" w:hAnsi="Times New Roman" w:cs="Times New Roman"/>
          <w:lang w:val="pl-PL"/>
        </w:rPr>
        <w:t>, cyt. powyżej, § 49) musi koncentrować się na następujących punktach: (i) czy istniały wiarygodne dowody, że ryzyko grożące demokracji - przy założeniu, że udowodniono jego i</w:t>
      </w:r>
      <w:r w:rsidR="00B91791" w:rsidRPr="00C03220">
        <w:rPr>
          <w:rStyle w:val="sb8d990e2"/>
          <w:rFonts w:ascii="Times New Roman" w:hAnsi="Times New Roman" w:cs="Times New Roman"/>
          <w:lang w:val="pl-PL"/>
        </w:rPr>
        <w:t>stnienie - było wystarczająco bezpośrednie</w:t>
      </w:r>
      <w:r w:rsidRPr="00C03220">
        <w:rPr>
          <w:rStyle w:val="sb8d990e2"/>
          <w:rFonts w:ascii="Times New Roman" w:hAnsi="Times New Roman" w:cs="Times New Roman"/>
          <w:lang w:val="pl-PL"/>
        </w:rPr>
        <w:t xml:space="preserve"> oraz (ii) czy działania i wypowiedzi przypisywane partii politycznej tworzyły całość dającą jasny obraz modelu społeczeństwa opracowanego i propagowanego przez tę partię, który nie </w:t>
      </w:r>
      <w:r w:rsidR="00B91791" w:rsidRPr="00C03220">
        <w:rPr>
          <w:rStyle w:val="sb8d990e2"/>
          <w:rFonts w:ascii="Times New Roman" w:hAnsi="Times New Roman" w:cs="Times New Roman"/>
          <w:lang w:val="pl-PL"/>
        </w:rPr>
        <w:t>był</w:t>
      </w:r>
      <w:r w:rsidRPr="00C03220">
        <w:rPr>
          <w:rStyle w:val="sb8d990e2"/>
          <w:rFonts w:ascii="Times New Roman" w:hAnsi="Times New Roman" w:cs="Times New Roman"/>
          <w:lang w:val="pl-PL"/>
        </w:rPr>
        <w:t xml:space="preserve"> zgodny z koncepcją „społeczeństwa demokratycznego” ...”</w:t>
      </w:r>
    </w:p>
    <w:p w:rsidR="004D2070" w:rsidRPr="00C03220" w:rsidRDefault="004D2070" w:rsidP="004D2070">
      <w:pPr>
        <w:pStyle w:val="ECHRHeading6"/>
        <w:rPr>
          <w:rFonts w:ascii="Times New Roman" w:hAnsi="Times New Roman" w:cs="Times New Roman"/>
          <w:lang w:val="pl-PL"/>
        </w:rPr>
      </w:pPr>
      <w:r w:rsidRPr="00C03220">
        <w:rPr>
          <w:rFonts w:ascii="Times New Roman" w:hAnsi="Times New Roman" w:cs="Times New Roman"/>
          <w:bCs w:val="0"/>
          <w:lang w:val="pl-PL"/>
        </w:rPr>
        <w:t>(b)  Zastosowanie powyższych zasad w niniejszej sprawie</w:t>
      </w:r>
    </w:p>
    <w:p w:rsidR="004D2070" w:rsidRPr="00C03220" w:rsidRDefault="001552E1" w:rsidP="004D2070">
      <w:pPr>
        <w:pStyle w:val="ECHRPara"/>
        <w:rPr>
          <w:rFonts w:ascii="Times New Roman" w:hAnsi="Times New Roman" w:cs="Times New Roman"/>
          <w:lang w:val="pl-PL"/>
        </w:rPr>
      </w:pPr>
      <w:r w:rsidRPr="00C03220">
        <w:rPr>
          <w:rFonts w:ascii="Times New Roman" w:hAnsi="Times New Roman" w:cs="Times New Roman"/>
          <w:lang w:val="pl-PL"/>
        </w:rPr>
        <w:fldChar w:fldCharType="begin"/>
      </w:r>
      <w:r w:rsidR="004D2070" w:rsidRPr="00C03220">
        <w:rPr>
          <w:rFonts w:ascii="Times New Roman" w:hAnsi="Times New Roman" w:cs="Times New Roman"/>
          <w:lang w:val="pl-PL"/>
        </w:rPr>
        <w:instrText xml:space="preserve"> SEQ level0 \*arabic </w:instrText>
      </w:r>
      <w:r w:rsidRPr="00C03220">
        <w:rPr>
          <w:rFonts w:ascii="Times New Roman" w:hAnsi="Times New Roman" w:cs="Times New Roman"/>
          <w:lang w:val="pl-PL"/>
        </w:rPr>
        <w:fldChar w:fldCharType="separate"/>
      </w:r>
      <w:r w:rsidR="004D2070" w:rsidRPr="00C03220">
        <w:rPr>
          <w:rFonts w:ascii="Times New Roman" w:hAnsi="Times New Roman" w:cs="Times New Roman"/>
          <w:noProof/>
          <w:lang w:val="pl-PL"/>
        </w:rPr>
        <w:t>56</w:t>
      </w:r>
      <w:r w:rsidRPr="00C03220">
        <w:rPr>
          <w:rFonts w:ascii="Times New Roman" w:hAnsi="Times New Roman" w:cs="Times New Roman"/>
          <w:lang w:val="pl-PL"/>
        </w:rPr>
        <w:fldChar w:fldCharType="end"/>
      </w:r>
      <w:r w:rsidR="004D2070" w:rsidRPr="00C03220">
        <w:rPr>
          <w:rFonts w:ascii="Times New Roman" w:hAnsi="Times New Roman" w:cs="Times New Roman"/>
          <w:lang w:val="pl-PL"/>
        </w:rPr>
        <w:t>.  Na wstępie Trybunał wskazuje, że mimo iż prawo zakładania i prowadzenia partii politycznych objęte jest zakresem ochrony na podstawie artykułu 11 Konwencji, podobnie jako prawa zakładania i prowadzenia organizacji społecznych, te dwa rodzaje podmiotów różnią się pomiędzy sobą przez wzgląd, między innymi, na rolę, jaką odgrywają w funkcjonowaniu społeczeństwa demokratycznego, jako że wiele organizacji społecznych przyczyn</w:t>
      </w:r>
      <w:r w:rsidR="00E5167D" w:rsidRPr="00C03220">
        <w:rPr>
          <w:rFonts w:ascii="Times New Roman" w:hAnsi="Times New Roman" w:cs="Times New Roman"/>
          <w:lang w:val="pl-PL"/>
        </w:rPr>
        <w:t>i</w:t>
      </w:r>
      <w:r w:rsidR="004D2070" w:rsidRPr="00C03220">
        <w:rPr>
          <w:rFonts w:ascii="Times New Roman" w:hAnsi="Times New Roman" w:cs="Times New Roman"/>
          <w:lang w:val="pl-PL"/>
        </w:rPr>
        <w:t>a się do takiego funkcjonowania wyłącznie w sposób pośredni.</w:t>
      </w:r>
    </w:p>
    <w:p w:rsidR="004D2070" w:rsidRPr="00C03220" w:rsidRDefault="004D2070" w:rsidP="004D2070">
      <w:pPr>
        <w:pStyle w:val="ECHRPara"/>
        <w:rPr>
          <w:rFonts w:ascii="Times New Roman" w:hAnsi="Times New Roman" w:cs="Times New Roman"/>
          <w:lang w:val="pl-PL"/>
        </w:rPr>
      </w:pPr>
      <w:r w:rsidRPr="00C03220">
        <w:rPr>
          <w:rFonts w:ascii="Times New Roman" w:hAnsi="Times New Roman" w:cs="Times New Roman"/>
          <w:lang w:val="pl-PL"/>
        </w:rPr>
        <w:t>W niektórych państwach członkowskich Rady Europy partie polityczne posiadają specjalny status prawny, który umożliwia im ogólne uczestnictwo w polityce, a w szczególności udział w wyborach; pełnią także szczególne, prawnie zatwierdzone, funkcje w procesie wyborczym oraz w kształtowaniu polityki publicznej i opinii publicznej.</w:t>
      </w:r>
    </w:p>
    <w:p w:rsidR="004D2070" w:rsidRPr="00C03220" w:rsidRDefault="004D2070" w:rsidP="004D2070">
      <w:pPr>
        <w:pStyle w:val="ECHRPara"/>
        <w:rPr>
          <w:rFonts w:ascii="Times New Roman" w:hAnsi="Times New Roman" w:cs="Times New Roman"/>
          <w:lang w:val="pl-PL"/>
        </w:rPr>
      </w:pPr>
      <w:r w:rsidRPr="00C03220">
        <w:rPr>
          <w:rFonts w:ascii="Times New Roman" w:hAnsi="Times New Roman" w:cs="Times New Roman"/>
          <w:lang w:val="pl-PL"/>
        </w:rPr>
        <w:t>Przywileje takie nie przysługują zazwyczaj organizacjom społecznym, które z zasady mają mniejsze możliwości wywierania wpływu na polityczne procesy decyzyjne. Wiele spośród nich nie bierze udziału w publicznym życiu politycznym, mimo iż nie istnieją w tym względzie ścisłe podziały pomiędzy różnymi formami stowarzyszeń, a faktyczne znaczenie polityczne poszczególnych organizacji można oceniać wyłącznie indywidualnie.</w:t>
      </w:r>
    </w:p>
    <w:p w:rsidR="004D2070" w:rsidRPr="00C03220" w:rsidRDefault="004D2070" w:rsidP="004D2070">
      <w:pPr>
        <w:pStyle w:val="ECHRPara"/>
        <w:rPr>
          <w:rFonts w:ascii="Times New Roman" w:hAnsi="Times New Roman" w:cs="Times New Roman"/>
          <w:lang w:val="pl-PL"/>
        </w:rPr>
      </w:pPr>
      <w:r w:rsidRPr="00C03220">
        <w:rPr>
          <w:rFonts w:ascii="Times New Roman" w:hAnsi="Times New Roman" w:cs="Times New Roman"/>
          <w:lang w:val="pl-PL"/>
        </w:rPr>
        <w:t xml:space="preserve">Ruchy społeczne mogą odgrywać istotną rolę w kształtowaniu polityki, jednakże w porównaniu z partiami politycznymi organizacje tego typu zwykle posiadają węższy zakres uprawnień w zakresie wywierania wpływu na system polityczny. Niemniej jednak zważywszy na rzeczywiste wpływy </w:t>
      </w:r>
      <w:r w:rsidRPr="00C03220">
        <w:rPr>
          <w:rFonts w:ascii="Times New Roman" w:hAnsi="Times New Roman" w:cs="Times New Roman"/>
          <w:lang w:val="pl-PL"/>
        </w:rPr>
        <w:lastRenderedPageBreak/>
        <w:t>polityczne organizacji i ruchów społecznych, wpływ taki należy uwzględniać przy ocenie zagrożeń dla demokracji.</w:t>
      </w:r>
    </w:p>
    <w:p w:rsidR="004D2070" w:rsidRPr="00C03220" w:rsidRDefault="001552E1" w:rsidP="004D2070">
      <w:pPr>
        <w:pStyle w:val="ECHRPara"/>
        <w:rPr>
          <w:rFonts w:ascii="Times New Roman" w:hAnsi="Times New Roman" w:cs="Times New Roman"/>
          <w:lang w:val="pl-PL"/>
        </w:rPr>
      </w:pPr>
      <w:r w:rsidRPr="00C03220">
        <w:rPr>
          <w:rFonts w:ascii="Times New Roman" w:hAnsi="Times New Roman" w:cs="Times New Roman"/>
          <w:lang w:val="pl-PL"/>
        </w:rPr>
        <w:fldChar w:fldCharType="begin"/>
      </w:r>
      <w:r w:rsidR="004D2070" w:rsidRPr="00C03220">
        <w:rPr>
          <w:rFonts w:ascii="Times New Roman" w:hAnsi="Times New Roman" w:cs="Times New Roman"/>
          <w:lang w:val="pl-PL"/>
        </w:rPr>
        <w:instrText xml:space="preserve"> SEQ level0 \*arabic </w:instrText>
      </w:r>
      <w:r w:rsidRPr="00C03220">
        <w:rPr>
          <w:rFonts w:ascii="Times New Roman" w:hAnsi="Times New Roman" w:cs="Times New Roman"/>
          <w:lang w:val="pl-PL"/>
        </w:rPr>
        <w:fldChar w:fldCharType="separate"/>
      </w:r>
      <w:r w:rsidR="004D2070" w:rsidRPr="00C03220">
        <w:rPr>
          <w:rFonts w:ascii="Times New Roman" w:hAnsi="Times New Roman" w:cs="Times New Roman"/>
          <w:noProof/>
          <w:lang w:val="pl-PL"/>
        </w:rPr>
        <w:t>57</w:t>
      </w:r>
      <w:r w:rsidRPr="00C03220">
        <w:rPr>
          <w:rFonts w:ascii="Times New Roman" w:hAnsi="Times New Roman" w:cs="Times New Roman"/>
          <w:lang w:val="pl-PL"/>
        </w:rPr>
        <w:fldChar w:fldCharType="end"/>
      </w:r>
      <w:r w:rsidR="004D2070" w:rsidRPr="00C03220">
        <w:rPr>
          <w:rFonts w:ascii="Times New Roman" w:hAnsi="Times New Roman" w:cs="Times New Roman"/>
          <w:lang w:val="pl-PL"/>
        </w:rPr>
        <w:t xml:space="preserve">.  W opinii Trybunału Państwo ma także prawo podejmowania zapobiegawczych w celu ochrony demokracji względem takich podmiotów niebędących partiami działań, jeżeli wskutek istnienia wystarczająco bezpośredniego naruszenia praw innych osób dochodzi do ryzyka podważenia podstawowych </w:t>
      </w:r>
      <w:r w:rsidR="00E5167D" w:rsidRPr="00C03220">
        <w:rPr>
          <w:rFonts w:ascii="Times New Roman" w:hAnsi="Times New Roman" w:cs="Times New Roman"/>
          <w:lang w:val="pl-PL"/>
        </w:rPr>
        <w:t>wartości</w:t>
      </w:r>
      <w:r w:rsidR="004D2070" w:rsidRPr="00C03220">
        <w:rPr>
          <w:rFonts w:ascii="Times New Roman" w:hAnsi="Times New Roman" w:cs="Times New Roman"/>
          <w:lang w:val="pl-PL"/>
        </w:rPr>
        <w:t xml:space="preserve"> stanowiących podstawę istnienia i funkcjonowania społeczeństwa demokratycznego. Jedną z takich wartości jest współistnienie członków społeczeństwa wolnego od segregacji rasowej, bez której nie można wyobrazić sobie społeczeństwa demokratycznego. Nie można </w:t>
      </w:r>
      <w:r w:rsidR="00E5167D" w:rsidRPr="00C03220">
        <w:rPr>
          <w:rFonts w:ascii="Times New Roman" w:hAnsi="Times New Roman" w:cs="Times New Roman"/>
          <w:lang w:val="pl-PL"/>
        </w:rPr>
        <w:t>wymagać</w:t>
      </w:r>
      <w:r w:rsidR="004D2070" w:rsidRPr="00C03220">
        <w:rPr>
          <w:rFonts w:ascii="Times New Roman" w:hAnsi="Times New Roman" w:cs="Times New Roman"/>
          <w:lang w:val="pl-PL"/>
        </w:rPr>
        <w:t xml:space="preserve">, by Państwo wstrzymywało się z interwencją do czasu, aż ruch polityczny podejmie działania podważające demokrację czy zastosuje przemoc. Nawet jeżeli taki ruch nie podejmuje jeszcze próby przejęcia władzy i </w:t>
      </w:r>
      <w:r w:rsidR="00E5167D" w:rsidRPr="00C03220">
        <w:rPr>
          <w:rFonts w:ascii="Times New Roman" w:hAnsi="Times New Roman" w:cs="Times New Roman"/>
          <w:lang w:val="pl-PL"/>
        </w:rPr>
        <w:t>wynikające</w:t>
      </w:r>
      <w:r w:rsidR="004D2070" w:rsidRPr="00C03220">
        <w:rPr>
          <w:rFonts w:ascii="Times New Roman" w:hAnsi="Times New Roman" w:cs="Times New Roman"/>
          <w:lang w:val="pl-PL"/>
        </w:rPr>
        <w:t xml:space="preserve"> z jego polityki zagrożenie dla demokracji nie jest bezpośrednie, Państwo jest uprawnione do podjęcia działań prewencyjnych, jeżeli ustalono, iż dany ruch wszczął w życiu publicznym konkretne kroki w celu wdrożenia polityki niezgodnej ze standardami Konwencji i demokracji (zob. </w:t>
      </w:r>
      <w:r w:rsidR="004D2070" w:rsidRPr="00C03220">
        <w:rPr>
          <w:rFonts w:ascii="Times New Roman" w:hAnsi="Times New Roman" w:cs="Times New Roman"/>
          <w:i/>
          <w:iCs/>
          <w:lang w:val="pl-PL"/>
        </w:rPr>
        <w:t>Refah Partisi (Partia Dobrobytu) i Inni</w:t>
      </w:r>
      <w:r w:rsidR="004D2070" w:rsidRPr="00C03220">
        <w:rPr>
          <w:rFonts w:ascii="Times New Roman" w:hAnsi="Times New Roman" w:cs="Times New Roman"/>
          <w:lang w:val="pl-PL"/>
        </w:rPr>
        <w:t>, cyt. powyżej, § 102).</w:t>
      </w:r>
    </w:p>
    <w:p w:rsidR="004D2070" w:rsidRPr="00C03220" w:rsidRDefault="001552E1" w:rsidP="004D2070">
      <w:pPr>
        <w:pStyle w:val="ECHRPara"/>
        <w:rPr>
          <w:rFonts w:ascii="Times New Roman" w:hAnsi="Times New Roman" w:cs="Times New Roman"/>
          <w:lang w:val="pl-PL"/>
        </w:rPr>
      </w:pPr>
      <w:r w:rsidRPr="00C03220">
        <w:rPr>
          <w:rFonts w:ascii="Times New Roman" w:hAnsi="Times New Roman" w:cs="Times New Roman"/>
          <w:lang w:val="pl-PL"/>
        </w:rPr>
        <w:fldChar w:fldCharType="begin"/>
      </w:r>
      <w:r w:rsidR="004D2070" w:rsidRPr="00C03220">
        <w:rPr>
          <w:rFonts w:ascii="Times New Roman" w:hAnsi="Times New Roman" w:cs="Times New Roman"/>
          <w:lang w:val="pl-PL"/>
        </w:rPr>
        <w:instrText xml:space="preserve"> SEQ level0 \*arabic </w:instrText>
      </w:r>
      <w:r w:rsidRPr="00C03220">
        <w:rPr>
          <w:rFonts w:ascii="Times New Roman" w:hAnsi="Times New Roman" w:cs="Times New Roman"/>
          <w:lang w:val="pl-PL"/>
        </w:rPr>
        <w:fldChar w:fldCharType="separate"/>
      </w:r>
      <w:r w:rsidR="004D2070" w:rsidRPr="00C03220">
        <w:rPr>
          <w:rFonts w:ascii="Times New Roman" w:hAnsi="Times New Roman" w:cs="Times New Roman"/>
          <w:noProof/>
          <w:lang w:val="pl-PL"/>
        </w:rPr>
        <w:t>58</w:t>
      </w:r>
      <w:r w:rsidRPr="00C03220">
        <w:rPr>
          <w:rFonts w:ascii="Times New Roman" w:hAnsi="Times New Roman" w:cs="Times New Roman"/>
          <w:lang w:val="pl-PL"/>
        </w:rPr>
        <w:fldChar w:fldCharType="end"/>
      </w:r>
      <w:r w:rsidR="004D2070" w:rsidRPr="00C03220">
        <w:rPr>
          <w:rFonts w:ascii="Times New Roman" w:hAnsi="Times New Roman" w:cs="Times New Roman"/>
          <w:lang w:val="pl-PL"/>
        </w:rPr>
        <w:t>.  Oceniając konieczność i proporcjonalność zaskarżanego środka, Trybunał zauważa, że niniejsza sprawa dotyczy rozwiązania</w:t>
      </w:r>
      <w:r w:rsidR="00780978" w:rsidRPr="00C03220">
        <w:rPr>
          <w:rFonts w:ascii="Times New Roman" w:hAnsi="Times New Roman" w:cs="Times New Roman"/>
          <w:lang w:val="pl-PL"/>
        </w:rPr>
        <w:t xml:space="preserve"> nie tyle partii politycznej, co </w:t>
      </w:r>
      <w:r w:rsidR="004D2070" w:rsidRPr="00C03220">
        <w:rPr>
          <w:rFonts w:ascii="Times New Roman" w:hAnsi="Times New Roman" w:cs="Times New Roman"/>
          <w:lang w:val="pl-PL"/>
        </w:rPr>
        <w:t xml:space="preserve">stowarzyszenia i ruchu. Zakres obowiązków </w:t>
      </w:r>
      <w:r w:rsidR="00E5167D" w:rsidRPr="00C03220">
        <w:rPr>
          <w:rFonts w:ascii="Times New Roman" w:hAnsi="Times New Roman" w:cs="Times New Roman"/>
          <w:lang w:val="pl-PL"/>
        </w:rPr>
        <w:t>wynikających</w:t>
      </w:r>
      <w:r w:rsidR="004D2070" w:rsidRPr="00C03220">
        <w:rPr>
          <w:rFonts w:ascii="Times New Roman" w:hAnsi="Times New Roman" w:cs="Times New Roman"/>
          <w:lang w:val="pl-PL"/>
        </w:rPr>
        <w:t xml:space="preserve"> ze szczególnej roli konstytucyjnej oraz przywileje prawne przysługujące partiom politycznym w wielu państwach członkowskich Rady Europy mogą mieć zastosowanie względem organizacji społecznych wyłącznie w takim zakresie, w jakim te ostatnie faktycznie posiadają porównywalne wpływy polityczne. Z drugiej strony Trybunał jest świadom, iż zakończenie istnienia Stowarzyszenia i Ruchu stanowiło dość poważną sankcję, jako że skutkowało pozbawieniem tych grup przywilejów prawnych, finansowych i praktycznych standardowo przysługujących zarejestrowanym stowarzyszeniom w większości systemów prawnych (zob. par. 18 powyżej). Z tego względu każdy taki środek musi być uzasadniony na podstawie właściwych i wystarczających przyczyn, podobnie jak w przypadku rozwiązania partii politycznej, przy czym w przypadku stowarzyszenia </w:t>
      </w:r>
      <w:r w:rsidR="00780978" w:rsidRPr="00C03220">
        <w:rPr>
          <w:rFonts w:ascii="Times New Roman" w:hAnsi="Times New Roman" w:cs="Times New Roman"/>
          <w:lang w:val="pl-PL"/>
        </w:rPr>
        <w:t>–</w:t>
      </w:r>
      <w:r w:rsidR="004D2070" w:rsidRPr="00C03220">
        <w:rPr>
          <w:rFonts w:ascii="Times New Roman" w:hAnsi="Times New Roman" w:cs="Times New Roman"/>
          <w:lang w:val="pl-PL"/>
        </w:rPr>
        <w:t xml:space="preserve"> ze względu na ograniczone możliwości wywierania wpływu na poziomie krajowym,</w:t>
      </w:r>
      <w:r w:rsidR="008901B0" w:rsidRPr="00C03220">
        <w:rPr>
          <w:rFonts w:ascii="Times New Roman" w:hAnsi="Times New Roman" w:cs="Times New Roman"/>
          <w:lang w:val="pl-PL"/>
        </w:rPr>
        <w:t xml:space="preserve"> zgodnie z prawem</w:t>
      </w:r>
      <w:r w:rsidR="004D2070" w:rsidRPr="00C03220">
        <w:rPr>
          <w:rFonts w:ascii="Times New Roman" w:hAnsi="Times New Roman" w:cs="Times New Roman"/>
          <w:lang w:val="pl-PL"/>
        </w:rPr>
        <w:t xml:space="preserve"> uzasadnienie zastosowania </w:t>
      </w:r>
      <w:r w:rsidR="0030639A" w:rsidRPr="00C03220">
        <w:rPr>
          <w:rFonts w:ascii="Times New Roman" w:hAnsi="Times New Roman" w:cs="Times New Roman"/>
          <w:lang w:val="pl-PL"/>
        </w:rPr>
        <w:t xml:space="preserve">restrykcyjnego </w:t>
      </w:r>
      <w:r w:rsidR="004D2070" w:rsidRPr="00C03220">
        <w:rPr>
          <w:rFonts w:ascii="Times New Roman" w:hAnsi="Times New Roman" w:cs="Times New Roman"/>
          <w:lang w:val="pl-PL"/>
        </w:rPr>
        <w:t xml:space="preserve">środka zapobiegawczego </w:t>
      </w:r>
      <w:r w:rsidR="008901B0" w:rsidRPr="00C03220">
        <w:rPr>
          <w:rFonts w:ascii="Times New Roman" w:hAnsi="Times New Roman" w:cs="Times New Roman"/>
          <w:lang w:val="pl-PL"/>
        </w:rPr>
        <w:t>mniej absolutne</w:t>
      </w:r>
      <w:r w:rsidR="004D2070" w:rsidRPr="00C03220">
        <w:rPr>
          <w:rFonts w:ascii="Times New Roman" w:hAnsi="Times New Roman" w:cs="Times New Roman"/>
          <w:lang w:val="pl-PL"/>
        </w:rPr>
        <w:t xml:space="preserve"> niż w przypadku partii politycznej. W związku z różnicą znaczenia dla demokracji partii politycznych a stowarzyszeń o charakterze niepolitycznym, tylko w przypadku tych pierwszych konieczne jest przeprowadzenie jak najdokładniejszego badania konieczności ograniczenia prawa do stowarzyszania się (por. </w:t>
      </w:r>
      <w:r w:rsidR="004D2070" w:rsidRPr="00C03220">
        <w:rPr>
          <w:rFonts w:ascii="Times New Roman" w:hAnsi="Times New Roman" w:cs="Times New Roman"/>
          <w:i/>
          <w:iCs/>
          <w:lang w:val="pl-PL"/>
        </w:rPr>
        <w:t>per analogiam</w:t>
      </w:r>
      <w:r w:rsidR="004D2070" w:rsidRPr="00C03220">
        <w:rPr>
          <w:rFonts w:ascii="Times New Roman" w:hAnsi="Times New Roman" w:cs="Times New Roman"/>
          <w:lang w:val="pl-PL"/>
        </w:rPr>
        <w:t xml:space="preserve"> z poziomem ochrony przyznanej wypowiedziom politycznym i wypowiedziom, które nie dotyczą kwestii leżących w interesie publicznym w sprawach </w:t>
      </w:r>
      <w:r w:rsidR="004D2070" w:rsidRPr="00C03220">
        <w:rPr>
          <w:rFonts w:ascii="Times New Roman" w:hAnsi="Times New Roman" w:cs="Times New Roman"/>
          <w:i/>
          <w:iCs/>
          <w:lang w:val="pl-PL"/>
        </w:rPr>
        <w:t>Lingens przeciwko Austrii</w:t>
      </w:r>
      <w:r w:rsidR="004D2070" w:rsidRPr="00C03220">
        <w:rPr>
          <w:rFonts w:ascii="Times New Roman" w:hAnsi="Times New Roman" w:cs="Times New Roman"/>
          <w:lang w:val="pl-PL"/>
        </w:rPr>
        <w:t xml:space="preserve">, 8 lipca 1986 r., § 42, Seria A nr 103 oraz </w:t>
      </w:r>
      <w:r w:rsidR="004D2070" w:rsidRPr="00C03220">
        <w:rPr>
          <w:rFonts w:ascii="Times New Roman" w:hAnsi="Times New Roman" w:cs="Times New Roman"/>
          <w:i/>
          <w:iCs/>
          <w:lang w:val="pl-PL"/>
        </w:rPr>
        <w:t>Tammer przeciwko Estonii</w:t>
      </w:r>
      <w:r w:rsidR="004D2070" w:rsidRPr="00C03220">
        <w:rPr>
          <w:rFonts w:ascii="Times New Roman" w:hAnsi="Times New Roman" w:cs="Times New Roman"/>
          <w:lang w:val="pl-PL"/>
        </w:rPr>
        <w:t xml:space="preserve">, nr </w:t>
      </w:r>
      <w:r w:rsidR="004D2070" w:rsidRPr="00C03220">
        <w:rPr>
          <w:rFonts w:ascii="Times New Roman" w:hAnsi="Times New Roman" w:cs="Times New Roman"/>
          <w:lang w:val="pl-PL"/>
        </w:rPr>
        <w:lastRenderedPageBreak/>
        <w:t>41205/98, § 62, ETPCz 2001</w:t>
      </w:r>
      <w:r w:rsidR="004D2070" w:rsidRPr="00C03220">
        <w:rPr>
          <w:rFonts w:ascii="Times New Roman" w:hAnsi="Times New Roman" w:cs="Times New Roman"/>
          <w:lang w:val="pl-PL"/>
        </w:rPr>
        <w:noBreakHyphen/>
        <w:t>I). Rozróżnienie to należy stosować z zachowaniem wystarczającej elastyczności. Odnośnie do stowarzyszeń posiadających cele polityczne i wpływy polityczne, poziom szczegółowości badania będzie uzależniony od faktycznego charakteru i funkcji danego stowarzyszenia w świetle okoliczności sprawy.</w:t>
      </w:r>
    </w:p>
    <w:p w:rsidR="004D2070" w:rsidRPr="00C03220" w:rsidRDefault="001552E1" w:rsidP="004D2070">
      <w:pPr>
        <w:pStyle w:val="ECHRPara"/>
        <w:rPr>
          <w:rFonts w:ascii="Times New Roman" w:hAnsi="Times New Roman" w:cs="Times New Roman"/>
          <w:lang w:val="pl-PL"/>
        </w:rPr>
      </w:pPr>
      <w:r w:rsidRPr="00C03220">
        <w:rPr>
          <w:rFonts w:ascii="Times New Roman" w:hAnsi="Times New Roman" w:cs="Times New Roman"/>
          <w:lang w:val="pl-PL"/>
        </w:rPr>
        <w:fldChar w:fldCharType="begin"/>
      </w:r>
      <w:r w:rsidR="004D2070" w:rsidRPr="00C03220">
        <w:rPr>
          <w:rFonts w:ascii="Times New Roman" w:hAnsi="Times New Roman" w:cs="Times New Roman"/>
          <w:lang w:val="pl-PL"/>
        </w:rPr>
        <w:instrText xml:space="preserve"> SEQ level0 \*arabic </w:instrText>
      </w:r>
      <w:r w:rsidRPr="00C03220">
        <w:rPr>
          <w:rFonts w:ascii="Times New Roman" w:hAnsi="Times New Roman" w:cs="Times New Roman"/>
          <w:lang w:val="pl-PL"/>
        </w:rPr>
        <w:fldChar w:fldCharType="separate"/>
      </w:r>
      <w:r w:rsidR="004D2070" w:rsidRPr="00C03220">
        <w:rPr>
          <w:rFonts w:ascii="Times New Roman" w:hAnsi="Times New Roman" w:cs="Times New Roman"/>
          <w:noProof/>
          <w:lang w:val="pl-PL"/>
        </w:rPr>
        <w:t>59</w:t>
      </w:r>
      <w:r w:rsidRPr="00C03220">
        <w:rPr>
          <w:rFonts w:ascii="Times New Roman" w:hAnsi="Times New Roman" w:cs="Times New Roman"/>
          <w:lang w:val="pl-PL"/>
        </w:rPr>
        <w:fldChar w:fldCharType="end"/>
      </w:r>
      <w:r w:rsidR="00780978" w:rsidRPr="00C03220">
        <w:rPr>
          <w:rFonts w:ascii="Times New Roman" w:hAnsi="Times New Roman" w:cs="Times New Roman"/>
          <w:lang w:val="pl-PL"/>
        </w:rPr>
        <w:t>.  Trybunał zauważa, że Ruch,</w:t>
      </w:r>
      <w:r w:rsidR="004D2070" w:rsidRPr="00C03220">
        <w:rPr>
          <w:rFonts w:ascii="Times New Roman" w:hAnsi="Times New Roman" w:cs="Times New Roman"/>
          <w:lang w:val="pl-PL"/>
        </w:rPr>
        <w:t xml:space="preserve"> którego rozwiązania dotyczy złożona przez skarżącego skarga, został założony przez Stowarzyszenie, którego celem statutowym była „obrona Węgier pozbawionych ochrony fizycznej, duchowej i intelektualnej” (zob. par. 8 powyżej). Wśród prowadzonych w p</w:t>
      </w:r>
      <w:r w:rsidR="00780978" w:rsidRPr="00C03220">
        <w:rPr>
          <w:rFonts w:ascii="Times New Roman" w:hAnsi="Times New Roman" w:cs="Times New Roman"/>
          <w:lang w:val="pl-PL"/>
        </w:rPr>
        <w:t>óźniejszym terminie działaniach</w:t>
      </w:r>
      <w:r w:rsidR="004D2070" w:rsidRPr="00C03220">
        <w:rPr>
          <w:rFonts w:ascii="Times New Roman" w:hAnsi="Times New Roman" w:cs="Times New Roman"/>
          <w:lang w:val="pl-PL"/>
        </w:rPr>
        <w:t xml:space="preserve"> Ruch organizował wiece i demonstracje, podczas których członkowie nosili mundury i maszerowali w szyku przypominającym szyk wojskowy. Wydarzenia takie organizowano w różnych częściach kraju, w szczególności zaś w miejscowościach zamieszkanych przez duże populacje Romów, przykładowo w Tatárszentgyörgy; wzywano także do obrony „etnicznych Węgrów” przed „przestępczością cygańską” (zob. par. 10 powyżej). W odpowiedzi na tę sekwencję zdarzeń prokuratura wniosła powództwo przeciwko Ruchowi i Stowarzyszeniu, którego istotą było stwierdzenie, że działania pozwanych stanowiły rasistowskie zastraszanie </w:t>
      </w:r>
      <w:r w:rsidR="00E5167D" w:rsidRPr="00C03220">
        <w:rPr>
          <w:rFonts w:ascii="Times New Roman" w:hAnsi="Times New Roman" w:cs="Times New Roman"/>
          <w:lang w:val="pl-PL"/>
        </w:rPr>
        <w:t>obywateli</w:t>
      </w:r>
      <w:r w:rsidR="004D2070" w:rsidRPr="00C03220">
        <w:rPr>
          <w:rFonts w:ascii="Times New Roman" w:hAnsi="Times New Roman" w:cs="Times New Roman"/>
          <w:lang w:val="pl-PL"/>
        </w:rPr>
        <w:t xml:space="preserve"> pochodzenia romskiego (zob. par. 11 powyżej).</w:t>
      </w:r>
    </w:p>
    <w:p w:rsidR="004D2070" w:rsidRPr="00C03220" w:rsidRDefault="001552E1" w:rsidP="004D2070">
      <w:pPr>
        <w:pStyle w:val="ECHRPara"/>
        <w:rPr>
          <w:rFonts w:ascii="Times New Roman" w:hAnsi="Times New Roman" w:cs="Times New Roman"/>
          <w:lang w:val="pl-PL"/>
        </w:rPr>
      </w:pPr>
      <w:r w:rsidRPr="00C03220">
        <w:rPr>
          <w:rFonts w:ascii="Times New Roman" w:hAnsi="Times New Roman" w:cs="Times New Roman"/>
          <w:lang w:val="pl-PL"/>
        </w:rPr>
        <w:fldChar w:fldCharType="begin"/>
      </w:r>
      <w:r w:rsidR="004D2070" w:rsidRPr="00C03220">
        <w:rPr>
          <w:rFonts w:ascii="Times New Roman" w:hAnsi="Times New Roman" w:cs="Times New Roman"/>
          <w:lang w:val="pl-PL"/>
        </w:rPr>
        <w:instrText xml:space="preserve"> SEQ level0 \*arabic </w:instrText>
      </w:r>
      <w:r w:rsidRPr="00C03220">
        <w:rPr>
          <w:rFonts w:ascii="Times New Roman" w:hAnsi="Times New Roman" w:cs="Times New Roman"/>
          <w:lang w:val="pl-PL"/>
        </w:rPr>
        <w:fldChar w:fldCharType="separate"/>
      </w:r>
      <w:r w:rsidR="004D2070" w:rsidRPr="00C03220">
        <w:rPr>
          <w:rFonts w:ascii="Times New Roman" w:hAnsi="Times New Roman" w:cs="Times New Roman"/>
          <w:noProof/>
          <w:lang w:val="pl-PL"/>
        </w:rPr>
        <w:t>60</w:t>
      </w:r>
      <w:r w:rsidRPr="00C03220">
        <w:rPr>
          <w:rFonts w:ascii="Times New Roman" w:hAnsi="Times New Roman" w:cs="Times New Roman"/>
          <w:lang w:val="pl-PL"/>
        </w:rPr>
        <w:fldChar w:fldCharType="end"/>
      </w:r>
      <w:r w:rsidR="004D2070" w:rsidRPr="00C03220">
        <w:rPr>
          <w:rFonts w:ascii="Times New Roman" w:hAnsi="Times New Roman" w:cs="Times New Roman"/>
          <w:lang w:val="pl-PL"/>
        </w:rPr>
        <w:t>.  W trakcie postępowania sądowego sądy oceniły powiązania pomiędzy obydwoma pozwanymi i uznały za przekonujące dowody, iż nie stanowią one odrębnych podmiotów. Ze względu na rozważane w tym kontekście argumenty Trybunał nie może uznać tych wniosków za nieuzasadnione bądź arbitralne (zob. par. 11, 13, 15, 16 i 51 powyżej).</w:t>
      </w:r>
    </w:p>
    <w:p w:rsidR="004D2070" w:rsidRPr="00C03220" w:rsidRDefault="001552E1" w:rsidP="004D2070">
      <w:pPr>
        <w:pStyle w:val="ECHRPara"/>
        <w:rPr>
          <w:rFonts w:ascii="Times New Roman" w:hAnsi="Times New Roman" w:cs="Times New Roman"/>
          <w:lang w:val="pl-PL"/>
        </w:rPr>
      </w:pPr>
      <w:r w:rsidRPr="00C03220">
        <w:rPr>
          <w:rFonts w:ascii="Times New Roman" w:hAnsi="Times New Roman" w:cs="Times New Roman"/>
          <w:lang w:val="pl-PL"/>
        </w:rPr>
        <w:fldChar w:fldCharType="begin"/>
      </w:r>
      <w:r w:rsidR="004D2070" w:rsidRPr="00C03220">
        <w:rPr>
          <w:rFonts w:ascii="Times New Roman" w:hAnsi="Times New Roman" w:cs="Times New Roman"/>
          <w:lang w:val="pl-PL"/>
        </w:rPr>
        <w:instrText xml:space="preserve"> SEQ level0 \*arabic </w:instrText>
      </w:r>
      <w:r w:rsidRPr="00C03220">
        <w:rPr>
          <w:rFonts w:ascii="Times New Roman" w:hAnsi="Times New Roman" w:cs="Times New Roman"/>
          <w:lang w:val="pl-PL"/>
        </w:rPr>
        <w:fldChar w:fldCharType="separate"/>
      </w:r>
      <w:r w:rsidR="004D2070" w:rsidRPr="00C03220">
        <w:rPr>
          <w:rFonts w:ascii="Times New Roman" w:hAnsi="Times New Roman" w:cs="Times New Roman"/>
          <w:noProof/>
          <w:lang w:val="pl-PL"/>
        </w:rPr>
        <w:t>61</w:t>
      </w:r>
      <w:r w:rsidRPr="00C03220">
        <w:rPr>
          <w:rFonts w:ascii="Times New Roman" w:hAnsi="Times New Roman" w:cs="Times New Roman"/>
          <w:lang w:val="pl-PL"/>
        </w:rPr>
        <w:fldChar w:fldCharType="end"/>
      </w:r>
      <w:r w:rsidR="004D2070" w:rsidRPr="00C03220">
        <w:rPr>
          <w:rFonts w:ascii="Times New Roman" w:hAnsi="Times New Roman" w:cs="Times New Roman"/>
          <w:lang w:val="pl-PL"/>
        </w:rPr>
        <w:t xml:space="preserve">.  Skutkiem postępowania było rozwiązanie zarówno Stowarzyszenia, jak i Ruchu. Sądy krajowe uznały, że mimo iż na skutek działań pozwanych nie doszło do faktycznego użycia przemocy, ponosili oni odpowiedzialność za wywołanie atmosfery antyromskiej poprzez słowne i wizualne demonstrowanie siły. Powyższe stanowiło naruszenie właściwego prawa o stowarzyszeniach, </w:t>
      </w:r>
      <w:r w:rsidR="00E5167D" w:rsidRPr="00C03220">
        <w:rPr>
          <w:rFonts w:ascii="Times New Roman" w:hAnsi="Times New Roman" w:cs="Times New Roman"/>
          <w:lang w:val="pl-PL"/>
        </w:rPr>
        <w:t xml:space="preserve">nie </w:t>
      </w:r>
      <w:r w:rsidR="004D2070" w:rsidRPr="00C03220">
        <w:rPr>
          <w:rFonts w:ascii="Times New Roman" w:hAnsi="Times New Roman" w:cs="Times New Roman"/>
          <w:lang w:val="pl-PL"/>
        </w:rPr>
        <w:t xml:space="preserve">było </w:t>
      </w:r>
      <w:r w:rsidR="00E5167D" w:rsidRPr="00C03220">
        <w:rPr>
          <w:rFonts w:ascii="Times New Roman" w:hAnsi="Times New Roman" w:cs="Times New Roman"/>
          <w:lang w:val="pl-PL"/>
        </w:rPr>
        <w:t>z</w:t>
      </w:r>
      <w:r w:rsidR="004D2070" w:rsidRPr="00C03220">
        <w:rPr>
          <w:rFonts w:ascii="Times New Roman" w:hAnsi="Times New Roman" w:cs="Times New Roman"/>
          <w:lang w:val="pl-PL"/>
        </w:rPr>
        <w:t xml:space="preserve">godne z </w:t>
      </w:r>
      <w:r w:rsidR="00E5167D" w:rsidRPr="00C03220">
        <w:rPr>
          <w:rFonts w:ascii="Times New Roman" w:hAnsi="Times New Roman" w:cs="Times New Roman"/>
          <w:lang w:val="pl-PL"/>
        </w:rPr>
        <w:t>godnością</w:t>
      </w:r>
      <w:r w:rsidR="004D2070" w:rsidRPr="00C03220">
        <w:rPr>
          <w:rFonts w:ascii="Times New Roman" w:hAnsi="Times New Roman" w:cs="Times New Roman"/>
          <w:lang w:val="pl-PL"/>
        </w:rPr>
        <w:t xml:space="preserve"> ludzką i naruszało prawa innych osób, to jest obywateli pochodzenia romskiego. W związku z tym sądy stwierdziły, że centralnym tematem wiecu w Tatárszentgyörgy była „przestępczość cygańska” czyli koncepcja rasistowska. Sądy zwróciły szczególną uwagę na fakt, że podczas zaskarżonych wieców wykorzystywano mundury, komendy, saluty i szyk, a także opaski na ramię przypominające symbole Strzałokrzyżowców. W trakcie postępowania apelacyjnego uzasadnienie to zostało rozszerzone o twierdzenie, </w:t>
      </w:r>
      <w:r w:rsidR="00E5167D" w:rsidRPr="00C03220">
        <w:rPr>
          <w:rFonts w:ascii="Times New Roman" w:hAnsi="Times New Roman" w:cs="Times New Roman"/>
          <w:lang w:val="pl-PL"/>
        </w:rPr>
        <w:t>iż</w:t>
      </w:r>
      <w:r w:rsidR="004D2070" w:rsidRPr="00C03220">
        <w:rPr>
          <w:rFonts w:ascii="Times New Roman" w:hAnsi="Times New Roman" w:cs="Times New Roman"/>
          <w:lang w:val="pl-PL"/>
        </w:rPr>
        <w:t xml:space="preserve"> ludność </w:t>
      </w:r>
      <w:r w:rsidR="00E5167D" w:rsidRPr="00C03220">
        <w:rPr>
          <w:rFonts w:ascii="Times New Roman" w:hAnsi="Times New Roman" w:cs="Times New Roman"/>
          <w:lang w:val="pl-PL"/>
        </w:rPr>
        <w:t>miejscowości</w:t>
      </w:r>
      <w:r w:rsidR="004D2070" w:rsidRPr="00C03220">
        <w:rPr>
          <w:rFonts w:ascii="Times New Roman" w:hAnsi="Times New Roman" w:cs="Times New Roman"/>
          <w:lang w:val="pl-PL"/>
        </w:rPr>
        <w:t xml:space="preserve"> wybranych przez Ruch stanowiła </w:t>
      </w:r>
      <w:r w:rsidR="00780978" w:rsidRPr="00C03220">
        <w:rPr>
          <w:rFonts w:ascii="Times New Roman" w:hAnsi="Times New Roman" w:cs="Times New Roman"/>
          <w:lang w:val="pl-PL"/>
        </w:rPr>
        <w:t>„odbiorców mimowolnych”,</w:t>
      </w:r>
      <w:r w:rsidR="004D2070" w:rsidRPr="00C03220">
        <w:rPr>
          <w:rFonts w:ascii="Times New Roman" w:hAnsi="Times New Roman" w:cs="Times New Roman"/>
          <w:lang w:val="pl-PL"/>
        </w:rPr>
        <w:t xml:space="preserve"> ponieważ obywatele ci nie mieli możliwości uniknięcia wysłuchania ekstremalnych i wykluczających o</w:t>
      </w:r>
      <w:r w:rsidR="00780978" w:rsidRPr="00C03220">
        <w:rPr>
          <w:rFonts w:ascii="Times New Roman" w:hAnsi="Times New Roman" w:cs="Times New Roman"/>
          <w:lang w:val="pl-PL"/>
        </w:rPr>
        <w:t>pinii przekazywanych przez Ruch</w:t>
      </w:r>
      <w:r w:rsidR="004D2070" w:rsidRPr="00C03220">
        <w:rPr>
          <w:rFonts w:ascii="Times New Roman" w:hAnsi="Times New Roman" w:cs="Times New Roman"/>
          <w:lang w:val="pl-PL"/>
        </w:rPr>
        <w:t xml:space="preserve">. W opinii sądów powyższe stanowiło tworzenie zagrożenia publicznego poprzez wywoływanie napięć społecznych i atmosfery </w:t>
      </w:r>
      <w:r w:rsidR="00E5167D" w:rsidRPr="00C03220">
        <w:rPr>
          <w:rFonts w:ascii="Times New Roman" w:hAnsi="Times New Roman" w:cs="Times New Roman"/>
          <w:lang w:val="pl-PL"/>
        </w:rPr>
        <w:t>potencjalnego użycia</w:t>
      </w:r>
      <w:r w:rsidR="004D2070" w:rsidRPr="00C03220">
        <w:rPr>
          <w:rFonts w:ascii="Times New Roman" w:hAnsi="Times New Roman" w:cs="Times New Roman"/>
          <w:lang w:val="pl-PL"/>
        </w:rPr>
        <w:t xml:space="preserve"> przemocy (zob. par. 15 i 16 powyżej).</w:t>
      </w:r>
    </w:p>
    <w:p w:rsidR="004D2070" w:rsidRPr="00C03220" w:rsidRDefault="001552E1" w:rsidP="004D2070">
      <w:pPr>
        <w:pStyle w:val="ECHRPara"/>
        <w:rPr>
          <w:rFonts w:ascii="Times New Roman" w:hAnsi="Times New Roman" w:cs="Times New Roman"/>
          <w:lang w:val="pl-PL"/>
        </w:rPr>
      </w:pPr>
      <w:r w:rsidRPr="00C03220">
        <w:rPr>
          <w:rFonts w:ascii="Times New Roman" w:hAnsi="Times New Roman" w:cs="Times New Roman"/>
          <w:lang w:val="pl-PL"/>
        </w:rPr>
        <w:lastRenderedPageBreak/>
        <w:fldChar w:fldCharType="begin"/>
      </w:r>
      <w:r w:rsidR="004D2070" w:rsidRPr="00C03220">
        <w:rPr>
          <w:rFonts w:ascii="Times New Roman" w:hAnsi="Times New Roman" w:cs="Times New Roman"/>
          <w:lang w:val="pl-PL"/>
        </w:rPr>
        <w:instrText xml:space="preserve"> SEQ level0 \*arabic </w:instrText>
      </w:r>
      <w:r w:rsidRPr="00C03220">
        <w:rPr>
          <w:rFonts w:ascii="Times New Roman" w:hAnsi="Times New Roman" w:cs="Times New Roman"/>
          <w:lang w:val="pl-PL"/>
        </w:rPr>
        <w:fldChar w:fldCharType="separate"/>
      </w:r>
      <w:r w:rsidR="004D2070" w:rsidRPr="00C03220">
        <w:rPr>
          <w:rFonts w:ascii="Times New Roman" w:hAnsi="Times New Roman" w:cs="Times New Roman"/>
          <w:noProof/>
          <w:lang w:val="pl-PL"/>
        </w:rPr>
        <w:t>62</w:t>
      </w:r>
      <w:r w:rsidRPr="00C03220">
        <w:rPr>
          <w:rFonts w:ascii="Times New Roman" w:hAnsi="Times New Roman" w:cs="Times New Roman"/>
          <w:lang w:val="pl-PL"/>
        </w:rPr>
        <w:fldChar w:fldCharType="end"/>
      </w:r>
      <w:r w:rsidR="004D2070" w:rsidRPr="00C03220">
        <w:rPr>
          <w:rFonts w:ascii="Times New Roman" w:hAnsi="Times New Roman" w:cs="Times New Roman"/>
          <w:lang w:val="pl-PL"/>
        </w:rPr>
        <w:t xml:space="preserve">.  Trybunał przypomina, że interpretacja i stosowanie prawa krajowego należą w pierwszej kolejności do władz krajowych, w szczególności sądów (zob. między innymi, </w:t>
      </w:r>
      <w:r w:rsidR="004D2070" w:rsidRPr="00C03220">
        <w:rPr>
          <w:rFonts w:ascii="Times New Roman" w:hAnsi="Times New Roman" w:cs="Times New Roman"/>
          <w:i/>
          <w:iCs/>
          <w:lang w:val="pl-PL"/>
        </w:rPr>
        <w:t>Lehideux i Isorni</w:t>
      </w:r>
      <w:r w:rsidR="004D2070" w:rsidRPr="00C03220">
        <w:rPr>
          <w:rFonts w:ascii="Times New Roman" w:hAnsi="Times New Roman" w:cs="Times New Roman"/>
          <w:lang w:val="pl-PL"/>
        </w:rPr>
        <w:t xml:space="preserve">, cyt. powyżej, § 50). Zadaniem Trybunału jest jedynie weryfikacja decyzji wydanych przez władze w ramach przysługującego im marginesu swobodnej oceny. Przeprowadzając taką ocenę, Trybunał musi </w:t>
      </w:r>
      <w:r w:rsidR="00780978" w:rsidRPr="00C03220">
        <w:rPr>
          <w:rFonts w:ascii="Times New Roman" w:hAnsi="Times New Roman" w:cs="Times New Roman"/>
          <w:lang w:val="pl-PL"/>
        </w:rPr>
        <w:t>mie</w:t>
      </w:r>
      <w:r w:rsidR="004D2070" w:rsidRPr="00C03220">
        <w:rPr>
          <w:rFonts w:ascii="Times New Roman" w:hAnsi="Times New Roman" w:cs="Times New Roman"/>
          <w:lang w:val="pl-PL"/>
        </w:rPr>
        <w:t xml:space="preserve">ć </w:t>
      </w:r>
      <w:r w:rsidR="00780978" w:rsidRPr="00C03220">
        <w:rPr>
          <w:rFonts w:ascii="Times New Roman" w:hAnsi="Times New Roman" w:cs="Times New Roman"/>
          <w:lang w:val="pl-PL"/>
        </w:rPr>
        <w:t>pewność</w:t>
      </w:r>
      <w:r w:rsidR="004D2070" w:rsidRPr="00C03220">
        <w:rPr>
          <w:rFonts w:ascii="Times New Roman" w:hAnsi="Times New Roman" w:cs="Times New Roman"/>
          <w:lang w:val="pl-PL"/>
        </w:rPr>
        <w:t xml:space="preserve">, że decyzje władz opierały się na akceptowalnej ocenie istotnych faktów (zob. </w:t>
      </w:r>
      <w:r w:rsidR="004D2070" w:rsidRPr="00C03220">
        <w:rPr>
          <w:rFonts w:ascii="Times New Roman" w:hAnsi="Times New Roman" w:cs="Times New Roman"/>
          <w:i/>
          <w:iCs/>
          <w:lang w:val="pl-PL"/>
        </w:rPr>
        <w:t>Incal przeciwko Turcji</w:t>
      </w:r>
      <w:r w:rsidR="004D2070" w:rsidRPr="00C03220">
        <w:rPr>
          <w:rFonts w:ascii="Times New Roman" w:hAnsi="Times New Roman" w:cs="Times New Roman"/>
          <w:lang w:val="pl-PL"/>
        </w:rPr>
        <w:t xml:space="preserve">, 9 czerwca 1998 r., § 48, </w:t>
      </w:r>
      <w:r w:rsidR="004D2070" w:rsidRPr="00C03220">
        <w:rPr>
          <w:rFonts w:ascii="Times New Roman" w:hAnsi="Times New Roman" w:cs="Times New Roman"/>
          <w:i/>
          <w:iCs/>
          <w:lang w:val="pl-PL"/>
        </w:rPr>
        <w:t xml:space="preserve">Raporty </w:t>
      </w:r>
      <w:r w:rsidR="004D2070" w:rsidRPr="00C03220">
        <w:rPr>
          <w:rFonts w:ascii="Times New Roman" w:hAnsi="Times New Roman" w:cs="Times New Roman"/>
          <w:lang w:val="pl-PL"/>
        </w:rPr>
        <w:t>1998</w:t>
      </w:r>
      <w:r w:rsidR="004D2070" w:rsidRPr="00C03220">
        <w:rPr>
          <w:rFonts w:ascii="Times New Roman" w:hAnsi="Times New Roman" w:cs="Times New Roman"/>
          <w:lang w:val="pl-PL"/>
        </w:rPr>
        <w:noBreakHyphen/>
        <w:t>IV). Ze względu na okoliczności niniejszej sprawy Trybunał nie może uznać wniosków sądów węgierskich za nieuzasadnione czy arbitralne oraz podziela przedstawione przez te sądy opinie, że idee wyrażane przez Ruch odnosiły się do różnic rasowych pomiędzy mniejszością romską a większością etnicznych Węgrów (zob. pa. 13 powyżej).</w:t>
      </w:r>
    </w:p>
    <w:p w:rsidR="004D2070" w:rsidRPr="00C03220" w:rsidRDefault="001552E1" w:rsidP="004D2070">
      <w:pPr>
        <w:pStyle w:val="ECHRPara"/>
        <w:rPr>
          <w:rFonts w:ascii="Times New Roman" w:hAnsi="Times New Roman" w:cs="Times New Roman"/>
          <w:szCs w:val="24"/>
          <w:lang w:val="pl-PL"/>
        </w:rPr>
      </w:pPr>
      <w:r w:rsidRPr="00C03220">
        <w:rPr>
          <w:rFonts w:ascii="Times New Roman" w:hAnsi="Times New Roman" w:cs="Times New Roman"/>
          <w:lang w:val="pl-PL"/>
        </w:rPr>
        <w:fldChar w:fldCharType="begin"/>
      </w:r>
      <w:r w:rsidR="004D2070" w:rsidRPr="00C03220">
        <w:rPr>
          <w:rFonts w:ascii="Times New Roman" w:hAnsi="Times New Roman" w:cs="Times New Roman"/>
          <w:lang w:val="pl-PL"/>
        </w:rPr>
        <w:instrText xml:space="preserve"> SEQ level0 \*arabic </w:instrText>
      </w:r>
      <w:r w:rsidRPr="00C03220">
        <w:rPr>
          <w:rFonts w:ascii="Times New Roman" w:hAnsi="Times New Roman" w:cs="Times New Roman"/>
          <w:lang w:val="pl-PL"/>
        </w:rPr>
        <w:fldChar w:fldCharType="separate"/>
      </w:r>
      <w:r w:rsidR="004D2070" w:rsidRPr="00C03220">
        <w:rPr>
          <w:rFonts w:ascii="Times New Roman" w:hAnsi="Times New Roman" w:cs="Times New Roman"/>
          <w:noProof/>
          <w:lang w:val="pl-PL"/>
        </w:rPr>
        <w:t>63</w:t>
      </w:r>
      <w:r w:rsidRPr="00C03220">
        <w:rPr>
          <w:rFonts w:ascii="Times New Roman" w:hAnsi="Times New Roman" w:cs="Times New Roman"/>
          <w:lang w:val="pl-PL"/>
        </w:rPr>
        <w:fldChar w:fldCharType="end"/>
      </w:r>
      <w:r w:rsidR="004D2070" w:rsidRPr="00C03220">
        <w:rPr>
          <w:rFonts w:ascii="Times New Roman" w:hAnsi="Times New Roman" w:cs="Times New Roman"/>
          <w:lang w:val="pl-PL"/>
        </w:rPr>
        <w:t xml:space="preserve">.  Trybunał uznawał już wcześniej, że w kontekście artykułu 10 nie można odmówić ochrony na podstawie Konwencji ideom lub </w:t>
      </w:r>
      <w:r w:rsidR="006657A0" w:rsidRPr="00C03220">
        <w:rPr>
          <w:rFonts w:ascii="Times New Roman" w:hAnsi="Times New Roman" w:cs="Times New Roman"/>
          <w:lang w:val="pl-PL"/>
        </w:rPr>
        <w:t>zachowaniem</w:t>
      </w:r>
      <w:r w:rsidR="004D2070" w:rsidRPr="00C03220">
        <w:rPr>
          <w:rFonts w:ascii="Times New Roman" w:hAnsi="Times New Roman" w:cs="Times New Roman"/>
          <w:lang w:val="pl-PL"/>
        </w:rPr>
        <w:t xml:space="preserve"> wyłącznie z tego względu, że mogą one wywoływać za</w:t>
      </w:r>
      <w:r w:rsidR="00780978" w:rsidRPr="00C03220">
        <w:rPr>
          <w:rFonts w:ascii="Times New Roman" w:hAnsi="Times New Roman" w:cs="Times New Roman"/>
          <w:lang w:val="pl-PL"/>
        </w:rPr>
        <w:t>nie</w:t>
      </w:r>
      <w:r w:rsidR="004D2070" w:rsidRPr="00C03220">
        <w:rPr>
          <w:rFonts w:ascii="Times New Roman" w:hAnsi="Times New Roman" w:cs="Times New Roman"/>
          <w:lang w:val="pl-PL"/>
        </w:rPr>
        <w:t xml:space="preserve">pokojenie grup obywateli bądź dlatego, że ktoś może postrzegać je jako obraźliwe (zob. </w:t>
      </w:r>
      <w:r w:rsidR="004D2070" w:rsidRPr="00C03220">
        <w:rPr>
          <w:rFonts w:ascii="Times New Roman" w:hAnsi="Times New Roman" w:cs="Times New Roman"/>
          <w:i/>
          <w:iCs/>
          <w:lang w:val="pl-PL"/>
        </w:rPr>
        <w:t>Vajnai</w:t>
      </w:r>
      <w:r w:rsidR="004D2070" w:rsidRPr="00C03220">
        <w:rPr>
          <w:rFonts w:ascii="Times New Roman" w:hAnsi="Times New Roman" w:cs="Times New Roman"/>
          <w:lang w:val="pl-PL"/>
        </w:rPr>
        <w:t xml:space="preserve">, cyt. powyżej, § 57). Trybunał sądzi, iż podobne względy należy zastosować w odniesieniu do wolności stowarzyszania się w takim zakresie, w jakim dotyczy ona stowarzyszeń jednostek zakładanych w celu promowania idei, które nie są powszechnie akceptowane, a nawet szokujące czy obraźliwe. Rzeczywiście, o ile danego stowarzyszenia nie można w </w:t>
      </w:r>
      <w:r w:rsidR="006657A0" w:rsidRPr="00C03220">
        <w:rPr>
          <w:rFonts w:ascii="Times New Roman" w:hAnsi="Times New Roman" w:cs="Times New Roman"/>
          <w:lang w:val="pl-PL"/>
        </w:rPr>
        <w:t>uzasadniony</w:t>
      </w:r>
      <w:r w:rsidR="004D2070" w:rsidRPr="00C03220">
        <w:rPr>
          <w:rFonts w:ascii="Times New Roman" w:hAnsi="Times New Roman" w:cs="Times New Roman"/>
          <w:lang w:val="pl-PL"/>
        </w:rPr>
        <w:t xml:space="preserve"> sposób uznać za</w:t>
      </w:r>
      <w:r w:rsidR="008901B0" w:rsidRPr="00C03220">
        <w:rPr>
          <w:rFonts w:ascii="Times New Roman" w:hAnsi="Times New Roman" w:cs="Times New Roman"/>
          <w:lang w:val="pl-PL"/>
        </w:rPr>
        <w:t xml:space="preserve"> potencjalne źródło przemocy</w:t>
      </w:r>
      <w:r w:rsidR="00780978" w:rsidRPr="00C03220">
        <w:rPr>
          <w:rFonts w:ascii="Times New Roman" w:hAnsi="Times New Roman" w:cs="Times New Roman"/>
          <w:lang w:val="pl-PL"/>
        </w:rPr>
        <w:t xml:space="preserve"> bądź za wcielenie zaprzeczenia zasad demokratycznych</w:t>
      </w:r>
      <w:r w:rsidR="004D2070" w:rsidRPr="00C03220">
        <w:rPr>
          <w:rFonts w:ascii="Times New Roman" w:hAnsi="Times New Roman" w:cs="Times New Roman"/>
          <w:lang w:val="pl-PL"/>
        </w:rPr>
        <w:t xml:space="preserve">, trudno pogodzić radykalne środki ograniczania takich podstawowych praw jako prawo do wolności stowarzyszania się – w imię ochrony demokracji – z duchem Konwencji, której celem jest gwarantowanie wyrażania opinii politycznych (nawet takich, które są trudne do </w:t>
      </w:r>
      <w:r w:rsidR="00E5167D" w:rsidRPr="00C03220">
        <w:rPr>
          <w:rFonts w:ascii="Times New Roman" w:hAnsi="Times New Roman" w:cs="Times New Roman"/>
          <w:lang w:val="pl-PL"/>
        </w:rPr>
        <w:t>zaakceptowania</w:t>
      </w:r>
      <w:r w:rsidR="004D2070" w:rsidRPr="00C03220">
        <w:rPr>
          <w:rFonts w:ascii="Times New Roman" w:hAnsi="Times New Roman" w:cs="Times New Roman"/>
          <w:lang w:val="pl-PL"/>
        </w:rPr>
        <w:t xml:space="preserve"> przez władze czy </w:t>
      </w:r>
      <w:r w:rsidR="00E5167D" w:rsidRPr="00C03220">
        <w:rPr>
          <w:rFonts w:ascii="Times New Roman" w:hAnsi="Times New Roman" w:cs="Times New Roman"/>
          <w:lang w:val="pl-PL"/>
        </w:rPr>
        <w:t>większe</w:t>
      </w:r>
      <w:r w:rsidR="004D2070" w:rsidRPr="00C03220">
        <w:rPr>
          <w:rFonts w:ascii="Times New Roman" w:hAnsi="Times New Roman" w:cs="Times New Roman"/>
          <w:lang w:val="pl-PL"/>
        </w:rPr>
        <w:t xml:space="preserve"> grupy obywateli i podważają ustalony porządek społeczny) za pośrednictwem wszelkich środków pokojowych i zgodnych z prawem, w tym poprzez stowarzyszenia i zgromadzenia (zob. </w:t>
      </w:r>
      <w:r w:rsidR="004D2070" w:rsidRPr="00C03220">
        <w:rPr>
          <w:rFonts w:ascii="Times New Roman" w:hAnsi="Times New Roman" w:cs="Times New Roman"/>
          <w:i/>
          <w:iCs/>
          <w:lang w:val="pl-PL"/>
        </w:rPr>
        <w:t>mutatis mutandis</w:t>
      </w:r>
      <w:r w:rsidR="004D2070" w:rsidRPr="00C03220">
        <w:rPr>
          <w:rFonts w:ascii="Times New Roman" w:hAnsi="Times New Roman" w:cs="Times New Roman"/>
          <w:lang w:val="pl-PL"/>
        </w:rPr>
        <w:t xml:space="preserve"> </w:t>
      </w:r>
      <w:r w:rsidR="004D2070" w:rsidRPr="00C03220">
        <w:rPr>
          <w:rFonts w:ascii="Times New Roman" w:hAnsi="Times New Roman" w:cs="Times New Roman"/>
          <w:i/>
          <w:iCs/>
          <w:szCs w:val="24"/>
          <w:lang w:val="pl-PL"/>
        </w:rPr>
        <w:t>Güneri i Inni przeciwko Turcji,</w:t>
      </w:r>
      <w:r w:rsidR="004D2070" w:rsidRPr="00C03220">
        <w:rPr>
          <w:rFonts w:ascii="Times New Roman" w:hAnsi="Times New Roman" w:cs="Times New Roman"/>
          <w:szCs w:val="24"/>
          <w:lang w:val="pl-PL"/>
        </w:rPr>
        <w:t xml:space="preserve"> nr 42853/98, 43609/98 and 44291/98, § 76, 12 lipca 2005 r.).</w:t>
      </w:r>
    </w:p>
    <w:p w:rsidR="004D2070" w:rsidRPr="00C03220" w:rsidRDefault="001552E1" w:rsidP="004D2070">
      <w:pPr>
        <w:pStyle w:val="ECHRPara"/>
        <w:rPr>
          <w:rFonts w:ascii="Times New Roman" w:hAnsi="Times New Roman" w:cs="Times New Roman"/>
          <w:lang w:val="pl-PL"/>
        </w:rPr>
      </w:pPr>
      <w:r w:rsidRPr="00C03220">
        <w:rPr>
          <w:rFonts w:ascii="Times New Roman" w:hAnsi="Times New Roman" w:cs="Times New Roman"/>
          <w:lang w:val="pl-PL"/>
        </w:rPr>
        <w:fldChar w:fldCharType="begin"/>
      </w:r>
      <w:r w:rsidR="004D2070" w:rsidRPr="00C03220">
        <w:rPr>
          <w:rFonts w:ascii="Times New Roman" w:hAnsi="Times New Roman" w:cs="Times New Roman"/>
          <w:lang w:val="pl-PL"/>
        </w:rPr>
        <w:instrText xml:space="preserve"> SEQ level0 \*arabic </w:instrText>
      </w:r>
      <w:r w:rsidRPr="00C03220">
        <w:rPr>
          <w:rFonts w:ascii="Times New Roman" w:hAnsi="Times New Roman" w:cs="Times New Roman"/>
          <w:lang w:val="pl-PL"/>
        </w:rPr>
        <w:fldChar w:fldCharType="separate"/>
      </w:r>
      <w:r w:rsidR="004D2070" w:rsidRPr="00C03220">
        <w:rPr>
          <w:rFonts w:ascii="Times New Roman" w:hAnsi="Times New Roman" w:cs="Times New Roman"/>
          <w:noProof/>
          <w:lang w:val="pl-PL"/>
        </w:rPr>
        <w:t>64</w:t>
      </w:r>
      <w:r w:rsidRPr="00C03220">
        <w:rPr>
          <w:rFonts w:ascii="Times New Roman" w:hAnsi="Times New Roman" w:cs="Times New Roman"/>
          <w:lang w:val="pl-PL"/>
        </w:rPr>
        <w:fldChar w:fldCharType="end"/>
      </w:r>
      <w:r w:rsidR="004D2070" w:rsidRPr="00C03220">
        <w:rPr>
          <w:rFonts w:ascii="Times New Roman" w:hAnsi="Times New Roman" w:cs="Times New Roman"/>
          <w:lang w:val="pl-PL"/>
        </w:rPr>
        <w:t xml:space="preserve">.  Należy zatem upewnić się, czy w tej konkretnej sprawie działania Stowarzyszenia i Ruchu mieściły się w limitach działalności zgodnej z prawem i pokojowej. W tym względzie Trybunał nie może pominąć faktu, iż aktywiści zorganizowali kilka wieców, w tym między innymi w Tatárszentgyörgy, w którym udział wzięło 200 osób, </w:t>
      </w:r>
      <w:r w:rsidR="006657A0" w:rsidRPr="00C03220">
        <w:rPr>
          <w:rFonts w:ascii="Times New Roman" w:hAnsi="Times New Roman" w:cs="Times New Roman"/>
          <w:lang w:val="pl-PL"/>
        </w:rPr>
        <w:t>zaś</w:t>
      </w:r>
      <w:r w:rsidR="004D2070" w:rsidRPr="00C03220">
        <w:rPr>
          <w:rFonts w:ascii="Times New Roman" w:hAnsi="Times New Roman" w:cs="Times New Roman"/>
          <w:lang w:val="pl-PL"/>
        </w:rPr>
        <w:t xml:space="preserve"> liczba mieszkańców miejscowości wynosiła około 1800. Jest prawdą, iż nie doszło do rzeczywistego użycia przemocy, lecz z perspektywy czasu nie można ustalić, czy fakt ten nie wynikał z obecności policji. Aktywiści maszerujący na terenie </w:t>
      </w:r>
      <w:r w:rsidR="006657A0" w:rsidRPr="00C03220">
        <w:rPr>
          <w:rFonts w:ascii="Times New Roman" w:hAnsi="Times New Roman" w:cs="Times New Roman"/>
          <w:lang w:val="pl-PL"/>
        </w:rPr>
        <w:t>miejscowości</w:t>
      </w:r>
      <w:r w:rsidR="004D2070" w:rsidRPr="00C03220">
        <w:rPr>
          <w:rFonts w:ascii="Times New Roman" w:hAnsi="Times New Roman" w:cs="Times New Roman"/>
          <w:lang w:val="pl-PL"/>
        </w:rPr>
        <w:t xml:space="preserve"> nosili mundury przypominające wojskowe i opaski</w:t>
      </w:r>
      <w:r w:rsidR="008901B0" w:rsidRPr="00C03220">
        <w:rPr>
          <w:rFonts w:ascii="Times New Roman" w:hAnsi="Times New Roman" w:cs="Times New Roman"/>
          <w:lang w:val="pl-PL"/>
        </w:rPr>
        <w:t xml:space="preserve"> o zastraszającej wymowie</w:t>
      </w:r>
      <w:r w:rsidR="004D2070" w:rsidRPr="00C03220">
        <w:rPr>
          <w:rFonts w:ascii="Times New Roman" w:hAnsi="Times New Roman" w:cs="Times New Roman"/>
          <w:lang w:val="pl-PL"/>
        </w:rPr>
        <w:t>, szli w wojskowym szyku, salutowali i wydawali rozkazy o charakterze wojskowym.</w:t>
      </w:r>
    </w:p>
    <w:p w:rsidR="004D2070" w:rsidRPr="00C03220" w:rsidRDefault="001552E1" w:rsidP="004D2070">
      <w:pPr>
        <w:pStyle w:val="ECHRPara"/>
        <w:rPr>
          <w:rFonts w:ascii="Times New Roman" w:hAnsi="Times New Roman" w:cs="Times New Roman"/>
          <w:lang w:val="pl-PL"/>
        </w:rPr>
      </w:pPr>
      <w:r w:rsidRPr="00C03220">
        <w:rPr>
          <w:rFonts w:ascii="Times New Roman" w:hAnsi="Times New Roman" w:cs="Times New Roman"/>
          <w:lang w:val="pl-PL"/>
        </w:rPr>
        <w:lastRenderedPageBreak/>
        <w:fldChar w:fldCharType="begin"/>
      </w:r>
      <w:r w:rsidR="004D2070" w:rsidRPr="00C03220">
        <w:rPr>
          <w:rFonts w:ascii="Times New Roman" w:hAnsi="Times New Roman" w:cs="Times New Roman"/>
          <w:lang w:val="pl-PL"/>
        </w:rPr>
        <w:instrText xml:space="preserve"> SEQ level0 \*arabic </w:instrText>
      </w:r>
      <w:r w:rsidRPr="00C03220">
        <w:rPr>
          <w:rFonts w:ascii="Times New Roman" w:hAnsi="Times New Roman" w:cs="Times New Roman"/>
          <w:lang w:val="pl-PL"/>
        </w:rPr>
        <w:fldChar w:fldCharType="separate"/>
      </w:r>
      <w:r w:rsidR="004D2070" w:rsidRPr="00C03220">
        <w:rPr>
          <w:rFonts w:ascii="Times New Roman" w:hAnsi="Times New Roman" w:cs="Times New Roman"/>
          <w:noProof/>
          <w:lang w:val="pl-PL"/>
        </w:rPr>
        <w:t>65</w:t>
      </w:r>
      <w:r w:rsidRPr="00C03220">
        <w:rPr>
          <w:rFonts w:ascii="Times New Roman" w:hAnsi="Times New Roman" w:cs="Times New Roman"/>
          <w:lang w:val="pl-PL"/>
        </w:rPr>
        <w:fldChar w:fldCharType="end"/>
      </w:r>
      <w:r w:rsidR="004D2070" w:rsidRPr="00C03220">
        <w:rPr>
          <w:rFonts w:ascii="Times New Roman" w:hAnsi="Times New Roman" w:cs="Times New Roman"/>
          <w:lang w:val="pl-PL"/>
        </w:rPr>
        <w:t xml:space="preserve">.  W opinii Trybunału </w:t>
      </w:r>
      <w:r w:rsidR="00780978" w:rsidRPr="00C03220">
        <w:rPr>
          <w:rFonts w:ascii="Times New Roman" w:hAnsi="Times New Roman" w:cs="Times New Roman"/>
          <w:lang w:val="pl-PL"/>
        </w:rPr>
        <w:t xml:space="preserve">osoby obecne </w:t>
      </w:r>
      <w:r w:rsidR="004D2070" w:rsidRPr="00C03220">
        <w:rPr>
          <w:rFonts w:ascii="Times New Roman" w:hAnsi="Times New Roman" w:cs="Times New Roman"/>
          <w:lang w:val="pl-PL"/>
        </w:rPr>
        <w:t xml:space="preserve">podczas takiego wiecu mogły odnieść wrażenie, że dla osiągnięcia swoich celów, niezależnie od tego, jakie one są, organizatorzy wiecu mają zamiar i możliwość odwołania się do </w:t>
      </w:r>
      <w:r w:rsidR="006657A0" w:rsidRPr="00C03220">
        <w:rPr>
          <w:rFonts w:ascii="Times New Roman" w:hAnsi="Times New Roman" w:cs="Times New Roman"/>
          <w:lang w:val="pl-PL"/>
        </w:rPr>
        <w:t>organizacji</w:t>
      </w:r>
      <w:r w:rsidR="004D2070" w:rsidRPr="00C03220">
        <w:rPr>
          <w:rFonts w:ascii="Times New Roman" w:hAnsi="Times New Roman" w:cs="Times New Roman"/>
          <w:lang w:val="pl-PL"/>
        </w:rPr>
        <w:t xml:space="preserve"> paramilitarnej. Wojskowy szyk przypominał węgierski ruch nazistowski (Strzałokrzyżowcy), który stanowił trzon reżimu odpowiedzialnego między innymi za masową eksterminację Romów na Węgrzech. </w:t>
      </w:r>
      <w:r w:rsidR="006657A0" w:rsidRPr="00C03220">
        <w:rPr>
          <w:rFonts w:ascii="Times New Roman" w:hAnsi="Times New Roman" w:cs="Times New Roman"/>
          <w:lang w:val="pl-PL"/>
        </w:rPr>
        <w:t>Biorąc</w:t>
      </w:r>
      <w:r w:rsidR="004D2070" w:rsidRPr="00C03220">
        <w:rPr>
          <w:rFonts w:ascii="Times New Roman" w:hAnsi="Times New Roman" w:cs="Times New Roman"/>
          <w:lang w:val="pl-PL"/>
        </w:rPr>
        <w:t xml:space="preserve"> pod uwagę fakt istnienia powiązań organizacyjnych pomiędzy Ruchem, którego </w:t>
      </w:r>
      <w:r w:rsidR="006657A0" w:rsidRPr="00C03220">
        <w:rPr>
          <w:rFonts w:ascii="Times New Roman" w:hAnsi="Times New Roman" w:cs="Times New Roman"/>
          <w:lang w:val="pl-PL"/>
        </w:rPr>
        <w:t>aktywiści</w:t>
      </w:r>
      <w:r w:rsidR="004D2070" w:rsidRPr="00C03220">
        <w:rPr>
          <w:rFonts w:ascii="Times New Roman" w:hAnsi="Times New Roman" w:cs="Times New Roman"/>
          <w:lang w:val="pl-PL"/>
        </w:rPr>
        <w:t xml:space="preserve"> byli obecni [podczas wiecu] i Stowarzyszeniem, Trybunał uznaje również, że efekt zastraszenia wieców w Tatárszentgyörgy i innych </w:t>
      </w:r>
      <w:r w:rsidR="006657A0" w:rsidRPr="00C03220">
        <w:rPr>
          <w:rFonts w:ascii="Times New Roman" w:hAnsi="Times New Roman" w:cs="Times New Roman"/>
          <w:lang w:val="pl-PL"/>
        </w:rPr>
        <w:t>miejscowościach</w:t>
      </w:r>
      <w:r w:rsidR="004D2070" w:rsidRPr="00C03220">
        <w:rPr>
          <w:rFonts w:ascii="Times New Roman" w:hAnsi="Times New Roman" w:cs="Times New Roman"/>
          <w:lang w:val="pl-PL"/>
        </w:rPr>
        <w:t xml:space="preserve"> musiał nabrać impetu – a wręcz zostać wzmocniony </w:t>
      </w:r>
      <w:r w:rsidR="00780978" w:rsidRPr="00C03220">
        <w:rPr>
          <w:rFonts w:ascii="Times New Roman" w:hAnsi="Times New Roman" w:cs="Times New Roman"/>
          <w:lang w:val="pl-PL"/>
        </w:rPr>
        <w:t>–</w:t>
      </w:r>
      <w:r w:rsidR="004D2070" w:rsidRPr="00C03220">
        <w:rPr>
          <w:rFonts w:ascii="Times New Roman" w:hAnsi="Times New Roman" w:cs="Times New Roman"/>
          <w:lang w:val="pl-PL"/>
        </w:rPr>
        <w:t xml:space="preserve"> wskutek faktu, że wiece popierało zarejestrowane stowarzyszenie </w:t>
      </w:r>
      <w:r w:rsidR="00780978" w:rsidRPr="00C03220">
        <w:rPr>
          <w:rFonts w:ascii="Times New Roman" w:hAnsi="Times New Roman" w:cs="Times New Roman"/>
          <w:lang w:val="pl-PL"/>
        </w:rPr>
        <w:t>cieszące się uznaniem prawnym</w:t>
      </w:r>
      <w:r w:rsidR="004D2070" w:rsidRPr="00C03220">
        <w:rPr>
          <w:rFonts w:ascii="Times New Roman" w:hAnsi="Times New Roman" w:cs="Times New Roman"/>
          <w:lang w:val="pl-PL"/>
        </w:rPr>
        <w:t>.</w:t>
      </w:r>
    </w:p>
    <w:p w:rsidR="004D2070" w:rsidRPr="00C03220" w:rsidRDefault="001552E1" w:rsidP="004D2070">
      <w:pPr>
        <w:pStyle w:val="ECHRPara"/>
        <w:rPr>
          <w:rFonts w:ascii="Times New Roman" w:hAnsi="Times New Roman" w:cs="Times New Roman"/>
          <w:szCs w:val="24"/>
          <w:lang w:val="pl-PL"/>
        </w:rPr>
      </w:pPr>
      <w:r w:rsidRPr="00C03220">
        <w:rPr>
          <w:rFonts w:ascii="Times New Roman" w:hAnsi="Times New Roman" w:cs="Times New Roman"/>
          <w:lang w:val="pl-PL"/>
        </w:rPr>
        <w:fldChar w:fldCharType="begin"/>
      </w:r>
      <w:r w:rsidR="004D2070" w:rsidRPr="00C03220">
        <w:rPr>
          <w:rFonts w:ascii="Times New Roman" w:hAnsi="Times New Roman" w:cs="Times New Roman"/>
          <w:lang w:val="pl-PL"/>
        </w:rPr>
        <w:instrText xml:space="preserve"> SEQ level0 \*arabic </w:instrText>
      </w:r>
      <w:r w:rsidRPr="00C03220">
        <w:rPr>
          <w:rFonts w:ascii="Times New Roman" w:hAnsi="Times New Roman" w:cs="Times New Roman"/>
          <w:lang w:val="pl-PL"/>
        </w:rPr>
        <w:fldChar w:fldCharType="separate"/>
      </w:r>
      <w:r w:rsidR="004D2070" w:rsidRPr="00C03220">
        <w:rPr>
          <w:rFonts w:ascii="Times New Roman" w:hAnsi="Times New Roman" w:cs="Times New Roman"/>
          <w:noProof/>
          <w:lang w:val="pl-PL"/>
        </w:rPr>
        <w:t>66</w:t>
      </w:r>
      <w:r w:rsidRPr="00C03220">
        <w:rPr>
          <w:rFonts w:ascii="Times New Roman" w:hAnsi="Times New Roman" w:cs="Times New Roman"/>
          <w:lang w:val="pl-PL"/>
        </w:rPr>
        <w:fldChar w:fldCharType="end"/>
      </w:r>
      <w:r w:rsidR="004D2070" w:rsidRPr="00C03220">
        <w:rPr>
          <w:rFonts w:ascii="Times New Roman" w:hAnsi="Times New Roman" w:cs="Times New Roman"/>
          <w:lang w:val="pl-PL"/>
        </w:rPr>
        <w:t>.  Trybunał stwierdza, że demonstrowanie przez uczestników życia politycznego możliwości i gotowości do organizowania sił o charakterze para</w:t>
      </w:r>
      <w:r w:rsidR="009B7793" w:rsidRPr="00C03220">
        <w:rPr>
          <w:rFonts w:ascii="Times New Roman" w:hAnsi="Times New Roman" w:cs="Times New Roman"/>
          <w:lang w:val="pl-PL"/>
        </w:rPr>
        <w:t>militarnym wyk</w:t>
      </w:r>
      <w:r w:rsidR="004D2070" w:rsidRPr="00C03220">
        <w:rPr>
          <w:rFonts w:ascii="Times New Roman" w:hAnsi="Times New Roman" w:cs="Times New Roman"/>
          <w:lang w:val="pl-PL"/>
        </w:rPr>
        <w:t xml:space="preserve">racza poza zastosowanie pokojowych i zgodnych z prawem środków wyrażania poglądów politycznych. W świetle doświadczeń historycznych – przykładowo Węgier </w:t>
      </w:r>
      <w:r w:rsidR="00780978" w:rsidRPr="00C03220">
        <w:rPr>
          <w:rFonts w:ascii="Times New Roman" w:hAnsi="Times New Roman" w:cs="Times New Roman"/>
          <w:lang w:val="pl-PL"/>
        </w:rPr>
        <w:t>w</w:t>
      </w:r>
      <w:r w:rsidR="004D2070" w:rsidRPr="00C03220">
        <w:rPr>
          <w:rFonts w:ascii="Times New Roman" w:hAnsi="Times New Roman" w:cs="Times New Roman"/>
          <w:lang w:val="pl-PL"/>
        </w:rPr>
        <w:t xml:space="preserve"> okresie rządów Strzałokrzyżowców – stosowanie przez stowarzyszenie demonstracji o </w:t>
      </w:r>
      <w:r w:rsidR="009B7793" w:rsidRPr="00C03220">
        <w:rPr>
          <w:rFonts w:ascii="Times New Roman" w:hAnsi="Times New Roman" w:cs="Times New Roman"/>
          <w:lang w:val="pl-PL"/>
        </w:rPr>
        <w:t>charakterze</w:t>
      </w:r>
      <w:r w:rsidR="004D2070" w:rsidRPr="00C03220">
        <w:rPr>
          <w:rFonts w:ascii="Times New Roman" w:hAnsi="Times New Roman" w:cs="Times New Roman"/>
          <w:lang w:val="pl-PL"/>
        </w:rPr>
        <w:t xml:space="preserve"> paramilitarnym, podczas których wyrażano ideę rozdziału ras i jednoznacznie wzywano do działań rasistowskich, musiało skutkować zastraszeniem członków mniejszości rasowej, szczególnie w sytuacji, gdy przebywali oni we własnych domach i nie mogli uniknąć odbioru demonstracji. W opinii Trybunału powyższe przekracza granice zakresu ochrony zapewnionego przez Konwencję w związku z wyrażaniem opinii (zob. </w:t>
      </w:r>
      <w:r w:rsidR="004D2070" w:rsidRPr="00C03220">
        <w:rPr>
          <w:rFonts w:ascii="Times New Roman" w:hAnsi="Times New Roman" w:cs="Times New Roman"/>
          <w:i/>
          <w:iCs/>
          <w:lang w:val="pl-PL"/>
        </w:rPr>
        <w:t>Vajnai</w:t>
      </w:r>
      <w:r w:rsidR="00780978" w:rsidRPr="00C03220">
        <w:rPr>
          <w:rFonts w:ascii="Times New Roman" w:hAnsi="Times New Roman" w:cs="Times New Roman"/>
          <w:lang w:val="pl-PL"/>
        </w:rPr>
        <w:t>, loc. cit.) czy zgromadzaniem</w:t>
      </w:r>
      <w:r w:rsidR="004D2070" w:rsidRPr="00C03220">
        <w:rPr>
          <w:rFonts w:ascii="Times New Roman" w:hAnsi="Times New Roman" w:cs="Times New Roman"/>
          <w:lang w:val="pl-PL"/>
        </w:rPr>
        <w:t xml:space="preserve"> się i stanowi zastraszanie, które - stosując terminologię zastosowaną w wyroku Sądu Najwyższego Stanów Zjednoczonych w sprawie Wirginia przeciwko Blackowi (zob. par. 31 powyżej) – odpowiada „</w:t>
      </w:r>
      <w:r w:rsidR="002638A5" w:rsidRPr="00C03220">
        <w:rPr>
          <w:rFonts w:ascii="Times New Roman" w:hAnsi="Times New Roman" w:cs="Times New Roman"/>
          <w:lang w:val="pl-PL"/>
        </w:rPr>
        <w:t>realne</w:t>
      </w:r>
      <w:r w:rsidR="004D2070" w:rsidRPr="00C03220">
        <w:rPr>
          <w:rFonts w:ascii="Times New Roman" w:hAnsi="Times New Roman" w:cs="Times New Roman"/>
          <w:lang w:val="pl-PL"/>
        </w:rPr>
        <w:t xml:space="preserve">j groźbie”. Zatem Państwo jest uprawnione do ochrony członków grupy będącej obiektem [zastraszania] tak, by ich życie było wolne od zastraszania. Stwierdzenie to jest szczególnie prawdziwe, ponieważ zostali oni wybrani na podstawie rasowej i byli zastraszani ze względu na przynależność do </w:t>
      </w:r>
      <w:r w:rsidR="009B7793" w:rsidRPr="00C03220">
        <w:rPr>
          <w:rFonts w:ascii="Times New Roman" w:hAnsi="Times New Roman" w:cs="Times New Roman"/>
          <w:lang w:val="pl-PL"/>
        </w:rPr>
        <w:t>określonej</w:t>
      </w:r>
      <w:r w:rsidR="004D2070" w:rsidRPr="00C03220">
        <w:rPr>
          <w:rFonts w:ascii="Times New Roman" w:hAnsi="Times New Roman" w:cs="Times New Roman"/>
          <w:lang w:val="pl-PL"/>
        </w:rPr>
        <w:t xml:space="preserve"> grupy etnicznej. W opinii Trybunału marsz o charakterze wojskowym wykracza poza zwykłe wyrażanie opinii niepokojącej czy obraźliwej, ponieważ przesłaniu towarzyszy fizyczna obecność groźnej grupy zorganizowanych aktywistów. W przypadku, gdy wyrażaniu idei towarzyszy pewna forma zachowania, Trybunał stwierdza, że poziom ochrony ogólnie przyznawanej w związku z wolnością wyrażania opinii może zostać ograniczony w kontekście istotnych interesów publicznych związanych z takim zachowaniem. W przypadku, gdy zachowanie związane z wyrażaniem idei ma charakter zastraszenia czy groźby bądź ingeruje w </w:t>
      </w:r>
      <w:r w:rsidR="004D2070" w:rsidRPr="00C03220">
        <w:rPr>
          <w:rFonts w:ascii="Times New Roman" w:hAnsi="Times New Roman" w:cs="Times New Roman"/>
          <w:szCs w:val="24"/>
          <w:lang w:val="pl-PL"/>
        </w:rPr>
        <w:t>swobodne korzystanie przez inną osobę z dowolnych praw czy przywilejów wynikających z Konwencji ze względu na pochodzenie rasowe takiej osoby, względów tych nie można pominąć nawet w kontekście artykułów 10 i 11.</w:t>
      </w:r>
    </w:p>
    <w:p w:rsidR="004D2070" w:rsidRPr="00C03220" w:rsidRDefault="001552E1" w:rsidP="004D2070">
      <w:pPr>
        <w:pStyle w:val="ECHRPara"/>
        <w:rPr>
          <w:rFonts w:ascii="Times New Roman" w:hAnsi="Times New Roman" w:cs="Times New Roman"/>
          <w:lang w:val="pl-PL"/>
        </w:rPr>
      </w:pPr>
      <w:r w:rsidRPr="00C03220">
        <w:rPr>
          <w:rFonts w:ascii="Times New Roman" w:hAnsi="Times New Roman" w:cs="Times New Roman"/>
          <w:lang w:val="pl-PL"/>
        </w:rPr>
        <w:lastRenderedPageBreak/>
        <w:fldChar w:fldCharType="begin"/>
      </w:r>
      <w:r w:rsidR="004D2070" w:rsidRPr="00C03220">
        <w:rPr>
          <w:rFonts w:ascii="Times New Roman" w:hAnsi="Times New Roman" w:cs="Times New Roman"/>
          <w:lang w:val="pl-PL"/>
        </w:rPr>
        <w:instrText xml:space="preserve"> SEQ level0 \*arabic </w:instrText>
      </w:r>
      <w:r w:rsidRPr="00C03220">
        <w:rPr>
          <w:rFonts w:ascii="Times New Roman" w:hAnsi="Times New Roman" w:cs="Times New Roman"/>
          <w:lang w:val="pl-PL"/>
        </w:rPr>
        <w:fldChar w:fldCharType="separate"/>
      </w:r>
      <w:r w:rsidR="004D2070" w:rsidRPr="00C03220">
        <w:rPr>
          <w:rFonts w:ascii="Times New Roman" w:hAnsi="Times New Roman" w:cs="Times New Roman"/>
          <w:noProof/>
          <w:lang w:val="pl-PL"/>
        </w:rPr>
        <w:t>67</w:t>
      </w:r>
      <w:r w:rsidRPr="00C03220">
        <w:rPr>
          <w:rFonts w:ascii="Times New Roman" w:hAnsi="Times New Roman" w:cs="Times New Roman"/>
          <w:lang w:val="pl-PL"/>
        </w:rPr>
        <w:fldChar w:fldCharType="end"/>
      </w:r>
      <w:r w:rsidR="004D2070" w:rsidRPr="00C03220">
        <w:rPr>
          <w:rFonts w:ascii="Times New Roman" w:hAnsi="Times New Roman" w:cs="Times New Roman"/>
          <w:lang w:val="pl-PL"/>
        </w:rPr>
        <w:t xml:space="preserve">.  W niniejszej sprawie kwestionowane czyny wyraźnie dotyczyły mniejszości romskiej, uznawanej za odpowiedzialną za „przestępczość cygańską”, a argumenty skarżącego, że intencją rozwiązanych podmiotów nie było wyodrębnianie i zastraszanie tej bezbronnej grupy nie przekonują Trybunału (zob. </w:t>
      </w:r>
      <w:r w:rsidR="004D2070" w:rsidRPr="00C03220">
        <w:rPr>
          <w:rFonts w:ascii="Times New Roman" w:hAnsi="Times New Roman" w:cs="Times New Roman"/>
          <w:i/>
          <w:iCs/>
          <w:lang w:val="pl-PL"/>
        </w:rPr>
        <w:t>Horváth i Kiss przeciwko Węgrom</w:t>
      </w:r>
      <w:r w:rsidR="004D2070" w:rsidRPr="00C03220">
        <w:rPr>
          <w:rFonts w:ascii="Times New Roman" w:hAnsi="Times New Roman" w:cs="Times New Roman"/>
          <w:lang w:val="pl-PL"/>
        </w:rPr>
        <w:t>, nr 11146/11, § 102, 29 stycznia 2013 r.). W związku z powyższym Trybunał wskazuje na niepokoje wyrażane przez różne organy międzynarodowe (zob. par. 26 do 28 powyżej).</w:t>
      </w:r>
    </w:p>
    <w:p w:rsidR="004D2070" w:rsidRPr="00C03220" w:rsidRDefault="001552E1" w:rsidP="004D2070">
      <w:pPr>
        <w:pStyle w:val="ECHRPara"/>
        <w:rPr>
          <w:rFonts w:ascii="Times New Roman" w:hAnsi="Times New Roman" w:cs="Times New Roman"/>
          <w:lang w:val="pl-PL"/>
        </w:rPr>
      </w:pPr>
      <w:r w:rsidRPr="00C03220">
        <w:rPr>
          <w:rFonts w:ascii="Times New Roman" w:hAnsi="Times New Roman" w:cs="Times New Roman"/>
          <w:lang w:val="pl-PL"/>
        </w:rPr>
        <w:fldChar w:fldCharType="begin"/>
      </w:r>
      <w:r w:rsidR="004D2070" w:rsidRPr="00C03220">
        <w:rPr>
          <w:rFonts w:ascii="Times New Roman" w:hAnsi="Times New Roman" w:cs="Times New Roman"/>
          <w:lang w:val="pl-PL"/>
        </w:rPr>
        <w:instrText xml:space="preserve"> SEQ level0 \*arabic </w:instrText>
      </w:r>
      <w:r w:rsidRPr="00C03220">
        <w:rPr>
          <w:rFonts w:ascii="Times New Roman" w:hAnsi="Times New Roman" w:cs="Times New Roman"/>
          <w:lang w:val="pl-PL"/>
        </w:rPr>
        <w:fldChar w:fldCharType="separate"/>
      </w:r>
      <w:r w:rsidR="004D2070" w:rsidRPr="00C03220">
        <w:rPr>
          <w:rFonts w:ascii="Times New Roman" w:hAnsi="Times New Roman" w:cs="Times New Roman"/>
          <w:noProof/>
          <w:lang w:val="pl-PL"/>
        </w:rPr>
        <w:t>68</w:t>
      </w:r>
      <w:r w:rsidRPr="00C03220">
        <w:rPr>
          <w:rFonts w:ascii="Times New Roman" w:hAnsi="Times New Roman" w:cs="Times New Roman"/>
          <w:lang w:val="pl-PL"/>
        </w:rPr>
        <w:fldChar w:fldCharType="end"/>
      </w:r>
      <w:r w:rsidR="004D2070" w:rsidRPr="00C03220">
        <w:rPr>
          <w:rFonts w:ascii="Times New Roman" w:hAnsi="Times New Roman" w:cs="Times New Roman"/>
          <w:lang w:val="pl-PL"/>
        </w:rPr>
        <w:t>.  Trybunał stwierdzał już (zob. par. 57 powyżej), że w takich okolicznościach nie można było wymagać, by władze czekały na dalszy rozwój</w:t>
      </w:r>
      <w:r w:rsidR="00780978" w:rsidRPr="00C03220">
        <w:rPr>
          <w:rFonts w:ascii="Times New Roman" w:hAnsi="Times New Roman" w:cs="Times New Roman"/>
          <w:lang w:val="pl-PL"/>
        </w:rPr>
        <w:t xml:space="preserve"> sytuacji</w:t>
      </w:r>
      <w:r w:rsidR="004D2070" w:rsidRPr="00C03220">
        <w:rPr>
          <w:rFonts w:ascii="Times New Roman" w:hAnsi="Times New Roman" w:cs="Times New Roman"/>
          <w:lang w:val="pl-PL"/>
        </w:rPr>
        <w:t xml:space="preserve">, by podjąć interwencję w celu zapewnienia ochrony praw innych osób, jako że Ruch </w:t>
      </w:r>
      <w:r w:rsidR="009B7793" w:rsidRPr="00C03220">
        <w:rPr>
          <w:rFonts w:ascii="Times New Roman" w:hAnsi="Times New Roman" w:cs="Times New Roman"/>
          <w:lang w:val="pl-PL"/>
        </w:rPr>
        <w:t>podjął</w:t>
      </w:r>
      <w:r w:rsidR="004D2070" w:rsidRPr="00C03220">
        <w:rPr>
          <w:rFonts w:ascii="Times New Roman" w:hAnsi="Times New Roman" w:cs="Times New Roman"/>
          <w:lang w:val="pl-PL"/>
        </w:rPr>
        <w:t xml:space="preserve"> w życiu publicznym konkretne kroki w celu wdrożenia polityki niezgodnej ze standardami Konwencji i demokracji.</w:t>
      </w:r>
    </w:p>
    <w:p w:rsidR="004D2070" w:rsidRPr="00C03220" w:rsidRDefault="001552E1" w:rsidP="004D2070">
      <w:pPr>
        <w:pStyle w:val="ECHRPara"/>
        <w:rPr>
          <w:rFonts w:ascii="Times New Roman" w:hAnsi="Times New Roman" w:cs="Times New Roman"/>
          <w:lang w:val="pl-PL"/>
        </w:rPr>
      </w:pPr>
      <w:r w:rsidRPr="00C03220">
        <w:rPr>
          <w:rFonts w:ascii="Times New Roman" w:hAnsi="Times New Roman" w:cs="Times New Roman"/>
          <w:lang w:val="pl-PL"/>
        </w:rPr>
        <w:fldChar w:fldCharType="begin"/>
      </w:r>
      <w:r w:rsidR="004D2070" w:rsidRPr="00C03220">
        <w:rPr>
          <w:rFonts w:ascii="Times New Roman" w:hAnsi="Times New Roman" w:cs="Times New Roman"/>
          <w:lang w:val="pl-PL"/>
        </w:rPr>
        <w:instrText xml:space="preserve"> SEQ level0 \*arabic </w:instrText>
      </w:r>
      <w:r w:rsidRPr="00C03220">
        <w:rPr>
          <w:rFonts w:ascii="Times New Roman" w:hAnsi="Times New Roman" w:cs="Times New Roman"/>
          <w:lang w:val="pl-PL"/>
        </w:rPr>
        <w:fldChar w:fldCharType="separate"/>
      </w:r>
      <w:r w:rsidR="004D2070" w:rsidRPr="00C03220">
        <w:rPr>
          <w:rFonts w:ascii="Times New Roman" w:hAnsi="Times New Roman" w:cs="Times New Roman"/>
          <w:noProof/>
          <w:lang w:val="pl-PL"/>
        </w:rPr>
        <w:t>69</w:t>
      </w:r>
      <w:r w:rsidRPr="00C03220">
        <w:rPr>
          <w:rFonts w:ascii="Times New Roman" w:hAnsi="Times New Roman" w:cs="Times New Roman"/>
          <w:lang w:val="pl-PL"/>
        </w:rPr>
        <w:fldChar w:fldCharType="end"/>
      </w:r>
      <w:r w:rsidR="004D2070" w:rsidRPr="00C03220">
        <w:rPr>
          <w:rFonts w:ascii="Times New Roman" w:hAnsi="Times New Roman" w:cs="Times New Roman"/>
          <w:lang w:val="pl-PL"/>
        </w:rPr>
        <w:t xml:space="preserve">.  Trybunał stwierdza, że zastraszający </w:t>
      </w:r>
      <w:r w:rsidR="009B7793" w:rsidRPr="00C03220">
        <w:rPr>
          <w:rFonts w:ascii="Times New Roman" w:hAnsi="Times New Roman" w:cs="Times New Roman"/>
          <w:lang w:val="pl-PL"/>
        </w:rPr>
        <w:t>charakter</w:t>
      </w:r>
      <w:r w:rsidR="004D2070" w:rsidRPr="00C03220">
        <w:rPr>
          <w:rFonts w:ascii="Times New Roman" w:hAnsi="Times New Roman" w:cs="Times New Roman"/>
          <w:lang w:val="pl-PL"/>
        </w:rPr>
        <w:t xml:space="preserve"> wieców stanowi wzgląd nadrzędny, mimo faktu, iż w rzeczywistości władze nie </w:t>
      </w:r>
      <w:r w:rsidR="009B7793" w:rsidRPr="00C03220">
        <w:rPr>
          <w:rFonts w:ascii="Times New Roman" w:hAnsi="Times New Roman" w:cs="Times New Roman"/>
          <w:lang w:val="pl-PL"/>
        </w:rPr>
        <w:t>wydały</w:t>
      </w:r>
      <w:r w:rsidR="004D2070" w:rsidRPr="00C03220">
        <w:rPr>
          <w:rFonts w:ascii="Times New Roman" w:hAnsi="Times New Roman" w:cs="Times New Roman"/>
          <w:lang w:val="pl-PL"/>
        </w:rPr>
        <w:t xml:space="preserve"> zakazu zgromadzania się i nie doszło do aktów </w:t>
      </w:r>
      <w:r w:rsidR="009B7793" w:rsidRPr="00C03220">
        <w:rPr>
          <w:rFonts w:ascii="Times New Roman" w:hAnsi="Times New Roman" w:cs="Times New Roman"/>
          <w:lang w:val="pl-PL"/>
        </w:rPr>
        <w:t>użycia</w:t>
      </w:r>
      <w:r w:rsidR="004D2070" w:rsidRPr="00C03220">
        <w:rPr>
          <w:rFonts w:ascii="Times New Roman" w:hAnsi="Times New Roman" w:cs="Times New Roman"/>
          <w:lang w:val="pl-PL"/>
        </w:rPr>
        <w:t xml:space="preserve"> przemocy czy przestępstw. Istotnym jest fakt powtarzania organizacji wieców (zob. par. 15 powyżej), gdyż mogło to skutkować zastraszaniem innych osób i w ten sposób wywierać wpływ na ich prawa, szczególnie ze względu na lokalizację przemarszów. W odniesieniu do rozwiązania Stowarzyszenia nie ma znaczenia fakt, że poszczególne demonstracje rozpatrywane pojedynczo nie były nielegalne. W niniejszej sprawie nie zwrócono się do Trybunału w celu określenia, w jakim zakresie demonstracje te stanowiły wykonanie wynikającego z Konwencji prawa do zgromadzania się. Rzeczywisty charakter i cele stowarzyszenia stają się jasne dopiero w świetle faktycznego przebiegu takich demonstracji. W opinii Trybunału organizację szeregu wieców, rzekomo w celu </w:t>
      </w:r>
      <w:r w:rsidR="009B7793" w:rsidRPr="00C03220">
        <w:rPr>
          <w:rFonts w:ascii="Times New Roman" w:hAnsi="Times New Roman" w:cs="Times New Roman"/>
          <w:lang w:val="pl-PL"/>
        </w:rPr>
        <w:t>ochrony</w:t>
      </w:r>
      <w:r w:rsidR="004D2070" w:rsidRPr="00C03220">
        <w:rPr>
          <w:rFonts w:ascii="Times New Roman" w:hAnsi="Times New Roman" w:cs="Times New Roman"/>
          <w:lang w:val="pl-PL"/>
        </w:rPr>
        <w:t xml:space="preserve"> przed „przestępczością cygańską” poprzez przemarsze o charakterze paramilitarnym, można uznać za realizację polityki segregacji rasowej. W </w:t>
      </w:r>
      <w:r w:rsidR="009B7793" w:rsidRPr="00C03220">
        <w:rPr>
          <w:rFonts w:ascii="Times New Roman" w:hAnsi="Times New Roman" w:cs="Times New Roman"/>
          <w:lang w:val="pl-PL"/>
        </w:rPr>
        <w:t>rzeczywistości</w:t>
      </w:r>
      <w:r w:rsidR="004D2070" w:rsidRPr="00C03220">
        <w:rPr>
          <w:rFonts w:ascii="Times New Roman" w:hAnsi="Times New Roman" w:cs="Times New Roman"/>
          <w:lang w:val="pl-PL"/>
        </w:rPr>
        <w:t xml:space="preserve"> takie </w:t>
      </w:r>
      <w:r w:rsidR="006B1DF1" w:rsidRPr="00C03220">
        <w:rPr>
          <w:rFonts w:ascii="Times New Roman" w:hAnsi="Times New Roman" w:cs="Times New Roman"/>
          <w:lang w:val="pl-PL"/>
        </w:rPr>
        <w:t>zastraszające</w:t>
      </w:r>
      <w:r w:rsidR="004D2070" w:rsidRPr="00C03220">
        <w:rPr>
          <w:rFonts w:ascii="Times New Roman" w:hAnsi="Times New Roman" w:cs="Times New Roman"/>
          <w:lang w:val="pl-PL"/>
        </w:rPr>
        <w:t xml:space="preserve"> marsze można uznać za stanowiące pierwszy krok na drodze </w:t>
      </w:r>
      <w:r w:rsidR="006B1DF1" w:rsidRPr="00C03220">
        <w:rPr>
          <w:rFonts w:ascii="Times New Roman" w:hAnsi="Times New Roman" w:cs="Times New Roman"/>
          <w:lang w:val="pl-PL"/>
        </w:rPr>
        <w:t>realizacji</w:t>
      </w:r>
      <w:r w:rsidR="004D2070" w:rsidRPr="00C03220">
        <w:rPr>
          <w:rFonts w:ascii="Times New Roman" w:hAnsi="Times New Roman" w:cs="Times New Roman"/>
          <w:lang w:val="pl-PL"/>
        </w:rPr>
        <w:t xml:space="preserve"> </w:t>
      </w:r>
      <w:r w:rsidR="006B1DF1" w:rsidRPr="00C03220">
        <w:rPr>
          <w:rFonts w:ascii="Times New Roman" w:hAnsi="Times New Roman" w:cs="Times New Roman"/>
          <w:lang w:val="pl-PL"/>
        </w:rPr>
        <w:t>określonej</w:t>
      </w:r>
      <w:r w:rsidR="004D2070" w:rsidRPr="00C03220">
        <w:rPr>
          <w:rFonts w:ascii="Times New Roman" w:hAnsi="Times New Roman" w:cs="Times New Roman"/>
          <w:lang w:val="pl-PL"/>
        </w:rPr>
        <w:t xml:space="preserve"> wizji „prawa i porządku”, która jest z zasady </w:t>
      </w:r>
      <w:r w:rsidR="006B1DF1" w:rsidRPr="00C03220">
        <w:rPr>
          <w:rFonts w:ascii="Times New Roman" w:hAnsi="Times New Roman" w:cs="Times New Roman"/>
          <w:lang w:val="pl-PL"/>
        </w:rPr>
        <w:t>rasistowska</w:t>
      </w:r>
      <w:r w:rsidR="004D2070" w:rsidRPr="00C03220">
        <w:rPr>
          <w:rFonts w:ascii="Times New Roman" w:hAnsi="Times New Roman" w:cs="Times New Roman"/>
          <w:lang w:val="pl-PL"/>
        </w:rPr>
        <w:t>.</w:t>
      </w:r>
    </w:p>
    <w:p w:rsidR="004D2070" w:rsidRPr="00C03220" w:rsidRDefault="004D2070" w:rsidP="004D2070">
      <w:pPr>
        <w:pStyle w:val="ECHRPara"/>
        <w:rPr>
          <w:rFonts w:ascii="Times New Roman" w:hAnsi="Times New Roman" w:cs="Times New Roman"/>
          <w:lang w:val="pl-PL"/>
        </w:rPr>
      </w:pPr>
      <w:r w:rsidRPr="00C03220">
        <w:rPr>
          <w:rFonts w:ascii="Times New Roman" w:hAnsi="Times New Roman" w:cs="Times New Roman"/>
          <w:lang w:val="pl-PL"/>
        </w:rPr>
        <w:t xml:space="preserve">W tym kontekście Trybunał pragnie </w:t>
      </w:r>
      <w:r w:rsidR="006B1DF1" w:rsidRPr="00C03220">
        <w:rPr>
          <w:rFonts w:ascii="Times New Roman" w:hAnsi="Times New Roman" w:cs="Times New Roman"/>
          <w:lang w:val="pl-PL"/>
        </w:rPr>
        <w:t>podkreślić</w:t>
      </w:r>
      <w:r w:rsidRPr="00C03220">
        <w:rPr>
          <w:rFonts w:ascii="Times New Roman" w:hAnsi="Times New Roman" w:cs="Times New Roman"/>
          <w:lang w:val="pl-PL"/>
        </w:rPr>
        <w:t xml:space="preserve">, że jeżeli prawo do wolności </w:t>
      </w:r>
      <w:r w:rsidR="00C03220" w:rsidRPr="00C03220">
        <w:rPr>
          <w:rFonts w:ascii="Times New Roman" w:hAnsi="Times New Roman" w:cs="Times New Roman"/>
          <w:lang w:val="pl-PL"/>
        </w:rPr>
        <w:t>zgromadzania</w:t>
      </w:r>
      <w:r w:rsidR="0070380C" w:rsidRPr="00C03220">
        <w:rPr>
          <w:rFonts w:ascii="Times New Roman" w:hAnsi="Times New Roman" w:cs="Times New Roman"/>
          <w:lang w:val="pl-PL"/>
        </w:rPr>
        <w:t xml:space="preserve"> się </w:t>
      </w:r>
      <w:r w:rsidRPr="00C03220">
        <w:rPr>
          <w:rFonts w:ascii="Times New Roman" w:hAnsi="Times New Roman" w:cs="Times New Roman"/>
          <w:lang w:val="pl-PL"/>
        </w:rPr>
        <w:t xml:space="preserve">jest wielokrotnie wykonywane poprzez </w:t>
      </w:r>
      <w:r w:rsidR="006B1DF1" w:rsidRPr="00C03220">
        <w:rPr>
          <w:rFonts w:ascii="Times New Roman" w:hAnsi="Times New Roman" w:cs="Times New Roman"/>
          <w:lang w:val="pl-PL"/>
        </w:rPr>
        <w:t>organizację</w:t>
      </w:r>
      <w:r w:rsidRPr="00C03220">
        <w:rPr>
          <w:rFonts w:ascii="Times New Roman" w:hAnsi="Times New Roman" w:cs="Times New Roman"/>
          <w:lang w:val="pl-PL"/>
        </w:rPr>
        <w:t xml:space="preserve"> zastraszając</w:t>
      </w:r>
      <w:r w:rsidR="006B1DF1" w:rsidRPr="00C03220">
        <w:rPr>
          <w:rFonts w:ascii="Times New Roman" w:hAnsi="Times New Roman" w:cs="Times New Roman"/>
          <w:lang w:val="pl-PL"/>
        </w:rPr>
        <w:t>ych</w:t>
      </w:r>
      <w:r w:rsidRPr="00C03220">
        <w:rPr>
          <w:rFonts w:ascii="Times New Roman" w:hAnsi="Times New Roman" w:cs="Times New Roman"/>
          <w:lang w:val="pl-PL"/>
        </w:rPr>
        <w:t xml:space="preserve"> marszów z udziałem dużej liczby uczestników, Państwo ma prawo podejmowania kroków </w:t>
      </w:r>
      <w:r w:rsidR="006B1DF1" w:rsidRPr="00C03220">
        <w:rPr>
          <w:rFonts w:ascii="Times New Roman" w:hAnsi="Times New Roman" w:cs="Times New Roman"/>
          <w:lang w:val="pl-PL"/>
        </w:rPr>
        <w:t>ograniczających</w:t>
      </w:r>
      <w:r w:rsidRPr="00C03220">
        <w:rPr>
          <w:rFonts w:ascii="Times New Roman" w:hAnsi="Times New Roman" w:cs="Times New Roman"/>
          <w:lang w:val="pl-PL"/>
        </w:rPr>
        <w:t xml:space="preserve"> </w:t>
      </w:r>
      <w:r w:rsidR="008901B0" w:rsidRPr="00C03220">
        <w:rPr>
          <w:rFonts w:ascii="Times New Roman" w:hAnsi="Times New Roman" w:cs="Times New Roman"/>
          <w:lang w:val="pl-PL"/>
        </w:rPr>
        <w:t>powiązane prawo</w:t>
      </w:r>
      <w:r w:rsidRPr="00C03220">
        <w:rPr>
          <w:rFonts w:ascii="Times New Roman" w:hAnsi="Times New Roman" w:cs="Times New Roman"/>
          <w:lang w:val="pl-PL"/>
        </w:rPr>
        <w:t xml:space="preserve"> do wolności stowarzyszania się w zakresie niezbędnym w celu zapobiegania niebezpieczeństwu, jakie takie zastraszenie na dużą skalę stanowi dla funkcjonowania demokracji (zob. par. 54 powyżej). </w:t>
      </w:r>
      <w:r w:rsidR="006B1DF1" w:rsidRPr="00C03220">
        <w:rPr>
          <w:rFonts w:ascii="Times New Roman" w:hAnsi="Times New Roman" w:cs="Times New Roman"/>
          <w:lang w:val="pl-PL"/>
        </w:rPr>
        <w:t>Skoordynowane</w:t>
      </w:r>
      <w:r w:rsidR="00D058C6" w:rsidRPr="00C03220">
        <w:rPr>
          <w:rFonts w:ascii="Times New Roman" w:hAnsi="Times New Roman" w:cs="Times New Roman"/>
          <w:lang w:val="pl-PL"/>
        </w:rPr>
        <w:t xml:space="preserve"> zastraszanie na dużą</w:t>
      </w:r>
      <w:r w:rsidRPr="00C03220">
        <w:rPr>
          <w:rFonts w:ascii="Times New Roman" w:hAnsi="Times New Roman" w:cs="Times New Roman"/>
          <w:lang w:val="pl-PL"/>
        </w:rPr>
        <w:t xml:space="preserve"> skalę – powiązane z </w:t>
      </w:r>
      <w:r w:rsidR="00F965FB" w:rsidRPr="00C03220">
        <w:rPr>
          <w:rFonts w:ascii="Times New Roman" w:hAnsi="Times New Roman" w:cs="Times New Roman"/>
          <w:lang w:val="pl-PL"/>
        </w:rPr>
        <w:t>popieraniem polityki o charakterze rasistowskim, która jest niezgodna z podstawowymi wartościami d</w:t>
      </w:r>
      <w:r w:rsidRPr="00C03220">
        <w:rPr>
          <w:rFonts w:ascii="Times New Roman" w:hAnsi="Times New Roman" w:cs="Times New Roman"/>
          <w:lang w:val="pl-PL"/>
        </w:rPr>
        <w:t>emo</w:t>
      </w:r>
      <w:r w:rsidR="00F965FB" w:rsidRPr="00C03220">
        <w:rPr>
          <w:rFonts w:ascii="Times New Roman" w:hAnsi="Times New Roman" w:cs="Times New Roman"/>
          <w:lang w:val="pl-PL"/>
        </w:rPr>
        <w:t>k</w:t>
      </w:r>
      <w:r w:rsidRPr="00C03220">
        <w:rPr>
          <w:rFonts w:ascii="Times New Roman" w:hAnsi="Times New Roman" w:cs="Times New Roman"/>
          <w:lang w:val="pl-PL"/>
        </w:rPr>
        <w:t>rac</w:t>
      </w:r>
      <w:r w:rsidR="00F965FB" w:rsidRPr="00C03220">
        <w:rPr>
          <w:rFonts w:ascii="Times New Roman" w:hAnsi="Times New Roman" w:cs="Times New Roman"/>
          <w:lang w:val="pl-PL"/>
        </w:rPr>
        <w:t>ji</w:t>
      </w:r>
      <w:r w:rsidRPr="00C03220">
        <w:rPr>
          <w:rFonts w:ascii="Times New Roman" w:hAnsi="Times New Roman" w:cs="Times New Roman"/>
          <w:lang w:val="pl-PL"/>
        </w:rPr>
        <w:t xml:space="preserve"> – może uzasadniać ingerencję Państwa w wolność stowarzyszania się, nawet w ramach wąskiego marginesu swobodnej oceny mającego zastosowanie w niniejszej sprawie. </w:t>
      </w:r>
      <w:r w:rsidR="00E2131C" w:rsidRPr="00C03220">
        <w:rPr>
          <w:rFonts w:ascii="Times New Roman" w:hAnsi="Times New Roman" w:cs="Times New Roman"/>
          <w:lang w:val="pl-PL"/>
        </w:rPr>
        <w:t xml:space="preserve">Przyczyna tego faktu wiąże </w:t>
      </w:r>
      <w:r w:rsidR="00E2131C" w:rsidRPr="00C03220">
        <w:rPr>
          <w:rFonts w:ascii="Times New Roman" w:hAnsi="Times New Roman" w:cs="Times New Roman"/>
          <w:lang w:val="pl-PL"/>
        </w:rPr>
        <w:lastRenderedPageBreak/>
        <w:t xml:space="preserve">się </w:t>
      </w:r>
      <w:r w:rsidR="00D058C6" w:rsidRPr="00C03220">
        <w:rPr>
          <w:rFonts w:ascii="Times New Roman" w:hAnsi="Times New Roman" w:cs="Times New Roman"/>
          <w:lang w:val="pl-PL"/>
        </w:rPr>
        <w:t>z</w:t>
      </w:r>
      <w:r w:rsidR="00E2131C" w:rsidRPr="00C03220">
        <w:rPr>
          <w:rFonts w:ascii="Times New Roman" w:hAnsi="Times New Roman" w:cs="Times New Roman"/>
          <w:lang w:val="pl-PL"/>
        </w:rPr>
        <w:t xml:space="preserve"> negatywnymi konsekwencjami dla woli politycznej ludzi, do </w:t>
      </w:r>
      <w:r w:rsidR="000B7218" w:rsidRPr="00C03220">
        <w:rPr>
          <w:rFonts w:ascii="Times New Roman" w:hAnsi="Times New Roman" w:cs="Times New Roman"/>
          <w:lang w:val="pl-PL"/>
        </w:rPr>
        <w:t>których takie</w:t>
      </w:r>
      <w:r w:rsidR="00E2131C" w:rsidRPr="00C03220">
        <w:rPr>
          <w:rFonts w:ascii="Times New Roman" w:hAnsi="Times New Roman" w:cs="Times New Roman"/>
          <w:lang w:val="pl-PL"/>
        </w:rPr>
        <w:t xml:space="preserve"> zastraszanie może prowadzić. O ile </w:t>
      </w:r>
      <w:r w:rsidR="008901B0" w:rsidRPr="00C03220">
        <w:rPr>
          <w:rFonts w:ascii="Times New Roman" w:hAnsi="Times New Roman" w:cs="Times New Roman"/>
          <w:lang w:val="pl-PL"/>
        </w:rPr>
        <w:t xml:space="preserve">okazjonalne popieranie </w:t>
      </w:r>
      <w:r w:rsidR="00E2131C" w:rsidRPr="00C03220">
        <w:rPr>
          <w:rFonts w:ascii="Times New Roman" w:hAnsi="Times New Roman" w:cs="Times New Roman"/>
          <w:lang w:val="pl-PL"/>
        </w:rPr>
        <w:t xml:space="preserve">koncepcji antydemokratycznych nie jest samo w sobie wystarczające, by uzasadnić wprowadzenie zakazu działalności partii politycznej na podstawie </w:t>
      </w:r>
      <w:r w:rsidR="008901B0" w:rsidRPr="00C03220">
        <w:rPr>
          <w:rFonts w:ascii="Times New Roman" w:hAnsi="Times New Roman" w:cs="Times New Roman"/>
          <w:lang w:val="pl-PL"/>
        </w:rPr>
        <w:t>bezwzględnej konieczności</w:t>
      </w:r>
      <w:r w:rsidRPr="00C03220">
        <w:rPr>
          <w:rFonts w:ascii="Times New Roman" w:hAnsi="Times New Roman" w:cs="Times New Roman"/>
          <w:lang w:val="pl-PL"/>
        </w:rPr>
        <w:t xml:space="preserve"> (zob. par. 53 powyżej), </w:t>
      </w:r>
      <w:r w:rsidR="00E2131C" w:rsidRPr="00C03220">
        <w:rPr>
          <w:rFonts w:ascii="Times New Roman" w:hAnsi="Times New Roman" w:cs="Times New Roman"/>
          <w:lang w:val="pl-PL"/>
        </w:rPr>
        <w:t>tym bardziej</w:t>
      </w:r>
      <w:r w:rsidR="008901B0" w:rsidRPr="00C03220">
        <w:rPr>
          <w:rFonts w:ascii="Times New Roman" w:hAnsi="Times New Roman" w:cs="Times New Roman"/>
          <w:lang w:val="pl-PL"/>
        </w:rPr>
        <w:t xml:space="preserve"> dotyczy to </w:t>
      </w:r>
      <w:r w:rsidRPr="00C03220">
        <w:rPr>
          <w:rFonts w:ascii="Times New Roman" w:hAnsi="Times New Roman" w:cs="Times New Roman"/>
          <w:lang w:val="pl-PL"/>
        </w:rPr>
        <w:t>stowarzyszeni</w:t>
      </w:r>
      <w:r w:rsidR="00E2131C" w:rsidRPr="00C03220">
        <w:rPr>
          <w:rFonts w:ascii="Times New Roman" w:hAnsi="Times New Roman" w:cs="Times New Roman"/>
          <w:lang w:val="pl-PL"/>
        </w:rPr>
        <w:t xml:space="preserve">a, które nie korzysta ze szczególnego </w:t>
      </w:r>
      <w:r w:rsidRPr="00C03220">
        <w:rPr>
          <w:rFonts w:ascii="Times New Roman" w:hAnsi="Times New Roman" w:cs="Times New Roman"/>
          <w:lang w:val="pl-PL"/>
        </w:rPr>
        <w:t>status</w:t>
      </w:r>
      <w:r w:rsidR="00E2131C" w:rsidRPr="00C03220">
        <w:rPr>
          <w:rFonts w:ascii="Times New Roman" w:hAnsi="Times New Roman" w:cs="Times New Roman"/>
          <w:lang w:val="pl-PL"/>
        </w:rPr>
        <w:t>u przysługującego partiom politycznym</w:t>
      </w:r>
      <w:r w:rsidRPr="00C03220">
        <w:rPr>
          <w:rFonts w:ascii="Times New Roman" w:hAnsi="Times New Roman" w:cs="Times New Roman"/>
          <w:lang w:val="pl-PL"/>
        </w:rPr>
        <w:t xml:space="preserve">, </w:t>
      </w:r>
      <w:r w:rsidR="00E2131C" w:rsidRPr="00C03220">
        <w:rPr>
          <w:rFonts w:ascii="Times New Roman" w:hAnsi="Times New Roman" w:cs="Times New Roman"/>
          <w:lang w:val="pl-PL"/>
        </w:rPr>
        <w:t>okoliczności oceniane całościowo, a w szczególności wszelkie działania skoordynowane i zaplanowane,</w:t>
      </w:r>
      <w:r w:rsidRPr="00C03220">
        <w:rPr>
          <w:rFonts w:ascii="Times New Roman" w:hAnsi="Times New Roman" w:cs="Times New Roman"/>
          <w:lang w:val="pl-PL"/>
        </w:rPr>
        <w:t xml:space="preserve"> mogą stanowić wystarczające i właściwe podstawy zastosowania takiego środka, szczególnie w przypadku gdy</w:t>
      </w:r>
      <w:r w:rsidR="00E2131C" w:rsidRPr="00C03220">
        <w:rPr>
          <w:rFonts w:ascii="Times New Roman" w:hAnsi="Times New Roman" w:cs="Times New Roman"/>
          <w:lang w:val="pl-PL"/>
        </w:rPr>
        <w:t xml:space="preserve"> nie ma to wpływu na</w:t>
      </w:r>
      <w:r w:rsidRPr="00C03220">
        <w:rPr>
          <w:rFonts w:ascii="Times New Roman" w:hAnsi="Times New Roman" w:cs="Times New Roman"/>
          <w:lang w:val="pl-PL"/>
        </w:rPr>
        <w:t xml:space="preserve"> inne potencjalne formy </w:t>
      </w:r>
      <w:r w:rsidR="00E2131C" w:rsidRPr="00C03220">
        <w:rPr>
          <w:rFonts w:ascii="Times New Roman" w:hAnsi="Times New Roman" w:cs="Times New Roman"/>
          <w:lang w:val="pl-PL"/>
        </w:rPr>
        <w:t>wyrażania szokujących opinii</w:t>
      </w:r>
      <w:r w:rsidRPr="00C03220">
        <w:rPr>
          <w:rFonts w:ascii="Times New Roman" w:hAnsi="Times New Roman" w:cs="Times New Roman"/>
          <w:lang w:val="pl-PL"/>
        </w:rPr>
        <w:t xml:space="preserve"> (zob. par. 71 </w:t>
      </w:r>
      <w:r w:rsidRPr="00C03220">
        <w:rPr>
          <w:rFonts w:ascii="Times New Roman" w:hAnsi="Times New Roman" w:cs="Times New Roman"/>
          <w:i/>
          <w:iCs/>
          <w:lang w:val="pl-PL"/>
        </w:rPr>
        <w:t>in fine</w:t>
      </w:r>
      <w:r w:rsidRPr="00C03220">
        <w:rPr>
          <w:rFonts w:ascii="Times New Roman" w:hAnsi="Times New Roman" w:cs="Times New Roman"/>
          <w:lang w:val="pl-PL"/>
        </w:rPr>
        <w:t xml:space="preserve"> poniżej).</w:t>
      </w:r>
    </w:p>
    <w:p w:rsidR="004D2070" w:rsidRPr="00C03220" w:rsidRDefault="001552E1" w:rsidP="004D2070">
      <w:pPr>
        <w:pStyle w:val="ECHRPara"/>
        <w:rPr>
          <w:rFonts w:ascii="Times New Roman" w:hAnsi="Times New Roman" w:cs="Times New Roman"/>
          <w:lang w:val="pl-PL"/>
        </w:rPr>
      </w:pPr>
      <w:r w:rsidRPr="00C03220">
        <w:rPr>
          <w:rFonts w:ascii="Times New Roman" w:hAnsi="Times New Roman" w:cs="Times New Roman"/>
          <w:lang w:val="pl-PL"/>
        </w:rPr>
        <w:fldChar w:fldCharType="begin"/>
      </w:r>
      <w:r w:rsidR="004D2070" w:rsidRPr="00C03220">
        <w:rPr>
          <w:rFonts w:ascii="Times New Roman" w:hAnsi="Times New Roman" w:cs="Times New Roman"/>
          <w:lang w:val="pl-PL"/>
        </w:rPr>
        <w:instrText xml:space="preserve"> SEQ level0 \*arabic </w:instrText>
      </w:r>
      <w:r w:rsidRPr="00C03220">
        <w:rPr>
          <w:rFonts w:ascii="Times New Roman" w:hAnsi="Times New Roman" w:cs="Times New Roman"/>
          <w:lang w:val="pl-PL"/>
        </w:rPr>
        <w:fldChar w:fldCharType="separate"/>
      </w:r>
      <w:r w:rsidR="004D2070" w:rsidRPr="00C03220">
        <w:rPr>
          <w:rFonts w:ascii="Times New Roman" w:hAnsi="Times New Roman" w:cs="Times New Roman"/>
          <w:noProof/>
          <w:lang w:val="pl-PL"/>
        </w:rPr>
        <w:t>70</w:t>
      </w:r>
      <w:r w:rsidRPr="00C03220">
        <w:rPr>
          <w:rFonts w:ascii="Times New Roman" w:hAnsi="Times New Roman" w:cs="Times New Roman"/>
          <w:lang w:val="pl-PL"/>
        </w:rPr>
        <w:fldChar w:fldCharType="end"/>
      </w:r>
      <w:r w:rsidR="004D2070" w:rsidRPr="00C03220">
        <w:rPr>
          <w:rFonts w:ascii="Times New Roman" w:hAnsi="Times New Roman" w:cs="Times New Roman"/>
          <w:lang w:val="pl-PL"/>
        </w:rPr>
        <w:t>.  Uwzględniając powyższe rozważania Trybunał jest przekonany, że argumenty, na które powoływały się władze krajowe, były właściwe i wystarczające, by wykazać, że kwestionowany środek odpowiadał pilnej potrzebie społecznej.</w:t>
      </w:r>
    </w:p>
    <w:p w:rsidR="004D2070" w:rsidRPr="00C03220" w:rsidRDefault="001552E1" w:rsidP="004D2070">
      <w:pPr>
        <w:pStyle w:val="ECHRPara"/>
        <w:rPr>
          <w:rFonts w:ascii="Times New Roman" w:hAnsi="Times New Roman" w:cs="Times New Roman"/>
          <w:i/>
          <w:lang w:val="pl-PL"/>
        </w:rPr>
      </w:pPr>
      <w:r w:rsidRPr="00C03220">
        <w:rPr>
          <w:rFonts w:ascii="Times New Roman" w:hAnsi="Times New Roman" w:cs="Times New Roman"/>
          <w:lang w:val="pl-PL"/>
        </w:rPr>
        <w:fldChar w:fldCharType="begin"/>
      </w:r>
      <w:r w:rsidR="004D2070" w:rsidRPr="00C03220">
        <w:rPr>
          <w:rFonts w:ascii="Times New Roman" w:hAnsi="Times New Roman" w:cs="Times New Roman"/>
          <w:lang w:val="pl-PL"/>
        </w:rPr>
        <w:instrText xml:space="preserve"> SEQ level0 \*arabic </w:instrText>
      </w:r>
      <w:r w:rsidRPr="00C03220">
        <w:rPr>
          <w:rFonts w:ascii="Times New Roman" w:hAnsi="Times New Roman" w:cs="Times New Roman"/>
          <w:lang w:val="pl-PL"/>
        </w:rPr>
        <w:fldChar w:fldCharType="separate"/>
      </w:r>
      <w:r w:rsidR="004D2070" w:rsidRPr="00C03220">
        <w:rPr>
          <w:rFonts w:ascii="Times New Roman" w:hAnsi="Times New Roman" w:cs="Times New Roman"/>
          <w:noProof/>
          <w:lang w:val="pl-PL"/>
        </w:rPr>
        <w:t>71</w:t>
      </w:r>
      <w:r w:rsidRPr="00C03220">
        <w:rPr>
          <w:rFonts w:ascii="Times New Roman" w:hAnsi="Times New Roman" w:cs="Times New Roman"/>
          <w:lang w:val="pl-PL"/>
        </w:rPr>
        <w:fldChar w:fldCharType="end"/>
      </w:r>
      <w:r w:rsidR="004D2070" w:rsidRPr="00C03220">
        <w:rPr>
          <w:rFonts w:ascii="Times New Roman" w:hAnsi="Times New Roman" w:cs="Times New Roman"/>
          <w:lang w:val="pl-PL"/>
        </w:rPr>
        <w:t xml:space="preserve">.  Trybunał ma świadomość, iż rozwiązanie Ruchu i Stowarzyszenia stanowiło bardzo drastyczny środek. Jednakże Trybunał </w:t>
      </w:r>
      <w:r w:rsidR="00F22916" w:rsidRPr="00C03220">
        <w:rPr>
          <w:rFonts w:ascii="Times New Roman" w:hAnsi="Times New Roman" w:cs="Times New Roman"/>
          <w:lang w:val="pl-PL"/>
        </w:rPr>
        <w:t>odnotowuje</w:t>
      </w:r>
      <w:r w:rsidR="004D2070" w:rsidRPr="00C03220">
        <w:rPr>
          <w:rFonts w:ascii="Times New Roman" w:hAnsi="Times New Roman" w:cs="Times New Roman"/>
          <w:lang w:val="pl-PL"/>
        </w:rPr>
        <w:t xml:space="preserve">, że mimo wszystko władze wybrały najmniej </w:t>
      </w:r>
      <w:r w:rsidR="00F22916" w:rsidRPr="00C03220">
        <w:rPr>
          <w:rFonts w:ascii="Times New Roman" w:hAnsi="Times New Roman" w:cs="Times New Roman"/>
          <w:lang w:val="pl-PL"/>
        </w:rPr>
        <w:t xml:space="preserve">inwazyjny </w:t>
      </w:r>
      <w:r w:rsidR="004D2070" w:rsidRPr="00C03220">
        <w:rPr>
          <w:rFonts w:ascii="Times New Roman" w:hAnsi="Times New Roman" w:cs="Times New Roman"/>
          <w:lang w:val="pl-PL"/>
        </w:rPr>
        <w:t xml:space="preserve">– w rzeczywistości jedyny uzasadniony – </w:t>
      </w:r>
      <w:r w:rsidR="00F22916" w:rsidRPr="00C03220">
        <w:rPr>
          <w:rFonts w:ascii="Times New Roman" w:hAnsi="Times New Roman" w:cs="Times New Roman"/>
          <w:lang w:val="pl-PL"/>
        </w:rPr>
        <w:t>sposób postępowania</w:t>
      </w:r>
      <w:r w:rsidR="004D2070" w:rsidRPr="00C03220">
        <w:rPr>
          <w:rFonts w:ascii="Times New Roman" w:hAnsi="Times New Roman" w:cs="Times New Roman"/>
          <w:lang w:val="pl-PL"/>
        </w:rPr>
        <w:t xml:space="preserve">. Należy ponadto zauważyć, że władze krajowe zwracały uprzednio Stowarzyszeniu uwagę na niezgodność z prawem charakteru Ruchu, które to działanie </w:t>
      </w:r>
      <w:r w:rsidR="006B1DF1" w:rsidRPr="00C03220">
        <w:rPr>
          <w:rFonts w:ascii="Times New Roman" w:hAnsi="Times New Roman" w:cs="Times New Roman"/>
          <w:lang w:val="pl-PL"/>
        </w:rPr>
        <w:t>skutkowało</w:t>
      </w:r>
      <w:r w:rsidR="004D2070" w:rsidRPr="00C03220">
        <w:rPr>
          <w:rFonts w:ascii="Times New Roman" w:hAnsi="Times New Roman" w:cs="Times New Roman"/>
          <w:lang w:val="pl-PL"/>
        </w:rPr>
        <w:t xml:space="preserve"> </w:t>
      </w:r>
      <w:r w:rsidR="00F22916" w:rsidRPr="00C03220">
        <w:rPr>
          <w:rFonts w:ascii="Times New Roman" w:hAnsi="Times New Roman" w:cs="Times New Roman"/>
          <w:lang w:val="pl-PL"/>
        </w:rPr>
        <w:t>zgodnością jedynie formalną</w:t>
      </w:r>
      <w:r w:rsidR="004D2070" w:rsidRPr="00C03220">
        <w:rPr>
          <w:rFonts w:ascii="Times New Roman" w:hAnsi="Times New Roman" w:cs="Times New Roman"/>
          <w:lang w:val="pl-PL"/>
        </w:rPr>
        <w:t xml:space="preserve"> (zob. par. 9 powyżej), do tego stopnia, że w toku postępowania odbywały się kolejne wiece (zob. par. 15 powyżej) (por. </w:t>
      </w:r>
      <w:r w:rsidR="004D2070" w:rsidRPr="00C03220">
        <w:rPr>
          <w:rFonts w:ascii="Times New Roman" w:hAnsi="Times New Roman" w:cs="Times New Roman"/>
          <w:i/>
          <w:iCs/>
          <w:lang w:val="pl-PL"/>
        </w:rPr>
        <w:t xml:space="preserve">S.H. i Inni przeciwko Austrii </w:t>
      </w:r>
      <w:r w:rsidR="004D2070" w:rsidRPr="00C03220">
        <w:rPr>
          <w:rFonts w:ascii="Times New Roman" w:hAnsi="Times New Roman" w:cs="Times New Roman"/>
          <w:lang w:val="pl-PL"/>
        </w:rPr>
        <w:t xml:space="preserve">[WI], nr 57813/00, § 84, ETPCz 2011 r.). W opinii Trybunału jedynym skutecznym sposobem eliminacji zagrożenia dla praw innych osób, jakie stanowiły wiece Ruchu, było usunięcie wsparcia organizacyjnego udzielanego Ruchowi przez Stowarzyszenie. W przypadku, gdyby władze </w:t>
      </w:r>
      <w:r w:rsidR="00F22916" w:rsidRPr="00C03220">
        <w:rPr>
          <w:rFonts w:ascii="Times New Roman" w:hAnsi="Times New Roman" w:cs="Times New Roman"/>
          <w:lang w:val="pl-PL"/>
        </w:rPr>
        <w:t xml:space="preserve">akceptowały </w:t>
      </w:r>
      <w:r w:rsidR="004D2070" w:rsidRPr="00C03220">
        <w:rPr>
          <w:rFonts w:ascii="Times New Roman" w:hAnsi="Times New Roman" w:cs="Times New Roman"/>
          <w:lang w:val="pl-PL"/>
        </w:rPr>
        <w:t>dalszą działalność Ruchu i Stowarzyszenia poprzez utrzymanie ich istnienia prawnego w uprzywilejowanej formie podmiotu założonego na podstawie prawa o stowarzyszeniach, społeczeństwo mogłoby rozumieć taki fakt jako legitymizację</w:t>
      </w:r>
      <w:r w:rsidR="008901B0" w:rsidRPr="00C03220">
        <w:rPr>
          <w:rFonts w:ascii="Times New Roman" w:hAnsi="Times New Roman" w:cs="Times New Roman"/>
          <w:lang w:val="pl-PL"/>
        </w:rPr>
        <w:t xml:space="preserve"> gróźb</w:t>
      </w:r>
      <w:r w:rsidR="004D2070" w:rsidRPr="00C03220">
        <w:rPr>
          <w:rFonts w:ascii="Times New Roman" w:hAnsi="Times New Roman" w:cs="Times New Roman"/>
          <w:lang w:val="pl-PL"/>
        </w:rPr>
        <w:t xml:space="preserve"> przez Państwo.</w:t>
      </w:r>
      <w:r w:rsidR="00F22916" w:rsidRPr="00C03220">
        <w:rPr>
          <w:rFonts w:ascii="Times New Roman" w:hAnsi="Times New Roman" w:cs="Times New Roman"/>
          <w:lang w:val="pl-PL"/>
        </w:rPr>
        <w:t xml:space="preserve"> Umożliwiłoby to Stowarzyszeniu, korzystającemu z </w:t>
      </w:r>
      <w:r w:rsidR="004D2070" w:rsidRPr="00C03220">
        <w:rPr>
          <w:rFonts w:ascii="Times New Roman" w:hAnsi="Times New Roman" w:cs="Times New Roman"/>
          <w:lang w:val="pl-PL"/>
        </w:rPr>
        <w:t>prerogat</w:t>
      </w:r>
      <w:r w:rsidR="00F22916" w:rsidRPr="00C03220">
        <w:rPr>
          <w:rFonts w:ascii="Times New Roman" w:hAnsi="Times New Roman" w:cs="Times New Roman"/>
          <w:lang w:val="pl-PL"/>
        </w:rPr>
        <w:t>yw przysługujących prawnie zarejestrowanemu podmiotowi, dalsze wspieranie Ruchu, w związku z czym Państwo w pośredni sposób przyczyniłoby się do organizacji wieców</w:t>
      </w:r>
      <w:r w:rsidR="004D2070" w:rsidRPr="00C03220">
        <w:rPr>
          <w:rFonts w:ascii="Times New Roman" w:hAnsi="Times New Roman" w:cs="Times New Roman"/>
          <w:lang w:val="pl-PL"/>
        </w:rPr>
        <w:t xml:space="preserve">. Ponadto Trybunał zauważa, że nie nałożono dodatkowych sankcji na Stowarzyszenie czy Ruch lub ich członków, którym w żaden sposób nie uniemożliwiono dalszego prowadzenia działalności politycznej w innej formie (zob. </w:t>
      </w:r>
      <w:r w:rsidR="004D2070" w:rsidRPr="00C03220">
        <w:rPr>
          <w:rFonts w:ascii="Times New Roman" w:hAnsi="Times New Roman" w:cs="Times New Roman"/>
          <w:i/>
          <w:iCs/>
          <w:lang w:val="pl-PL"/>
        </w:rPr>
        <w:t>a fortiori</w:t>
      </w:r>
      <w:r w:rsidR="004D2070" w:rsidRPr="00C03220">
        <w:rPr>
          <w:rFonts w:ascii="Times New Roman" w:hAnsi="Times New Roman" w:cs="Times New Roman"/>
          <w:lang w:val="pl-PL"/>
        </w:rPr>
        <w:t xml:space="preserve">, </w:t>
      </w:r>
      <w:r w:rsidR="004D2070" w:rsidRPr="00C03220">
        <w:rPr>
          <w:rFonts w:ascii="Times New Roman" w:hAnsi="Times New Roman" w:cs="Times New Roman"/>
          <w:i/>
          <w:iCs/>
          <w:lang w:val="pl-PL"/>
        </w:rPr>
        <w:t>Refah Partisi (Partia Dobrobytu) i Inni</w:t>
      </w:r>
      <w:r w:rsidR="004D2070" w:rsidRPr="00C03220">
        <w:rPr>
          <w:rFonts w:ascii="Times New Roman" w:hAnsi="Times New Roman" w:cs="Times New Roman"/>
          <w:lang w:val="pl-PL"/>
        </w:rPr>
        <w:t>, cyt. powyżej, §§ 133-34). W świetle takich okoliczności Trybunał uznaje, że zaskarżony środek nie był nieproporcjonalny do uzasadnionego celu.</w:t>
      </w:r>
    </w:p>
    <w:p w:rsidR="004D2070" w:rsidRPr="00C03220" w:rsidRDefault="001552E1" w:rsidP="004D2070">
      <w:pPr>
        <w:pStyle w:val="ECHRPara"/>
        <w:rPr>
          <w:rFonts w:ascii="Times New Roman" w:hAnsi="Times New Roman" w:cs="Times New Roman"/>
          <w:lang w:val="pl-PL"/>
        </w:rPr>
      </w:pPr>
      <w:r w:rsidRPr="00C03220">
        <w:rPr>
          <w:rFonts w:ascii="Times New Roman" w:hAnsi="Times New Roman" w:cs="Times New Roman"/>
          <w:lang w:val="pl-PL"/>
        </w:rPr>
        <w:fldChar w:fldCharType="begin"/>
      </w:r>
      <w:r w:rsidR="004D2070" w:rsidRPr="00C03220">
        <w:rPr>
          <w:rFonts w:ascii="Times New Roman" w:hAnsi="Times New Roman" w:cs="Times New Roman"/>
          <w:lang w:val="pl-PL"/>
        </w:rPr>
        <w:instrText xml:space="preserve"> SEQ level0 \*arabic </w:instrText>
      </w:r>
      <w:r w:rsidRPr="00C03220">
        <w:rPr>
          <w:rFonts w:ascii="Times New Roman" w:hAnsi="Times New Roman" w:cs="Times New Roman"/>
          <w:lang w:val="pl-PL"/>
        </w:rPr>
        <w:fldChar w:fldCharType="separate"/>
      </w:r>
      <w:r w:rsidR="004D2070" w:rsidRPr="00C03220">
        <w:rPr>
          <w:rFonts w:ascii="Times New Roman" w:hAnsi="Times New Roman" w:cs="Times New Roman"/>
          <w:noProof/>
          <w:lang w:val="pl-PL"/>
        </w:rPr>
        <w:t>72</w:t>
      </w:r>
      <w:r w:rsidRPr="00C03220">
        <w:rPr>
          <w:rFonts w:ascii="Times New Roman" w:hAnsi="Times New Roman" w:cs="Times New Roman"/>
          <w:lang w:val="pl-PL"/>
        </w:rPr>
        <w:fldChar w:fldCharType="end"/>
      </w:r>
      <w:r w:rsidR="004D2070" w:rsidRPr="00C03220">
        <w:rPr>
          <w:rFonts w:ascii="Times New Roman" w:hAnsi="Times New Roman" w:cs="Times New Roman"/>
          <w:lang w:val="pl-PL"/>
        </w:rPr>
        <w:t>.  Powyższe rozważania są wystarczające, by Trybunał uznał, że nie doszło do naruszenia artykułu 11 Konwencji.</w:t>
      </w:r>
    </w:p>
    <w:p w:rsidR="004D2070" w:rsidRPr="00C03220" w:rsidRDefault="004D2070" w:rsidP="004D2070">
      <w:pPr>
        <w:pStyle w:val="ECHRTitle1"/>
        <w:rPr>
          <w:rFonts w:ascii="Times New Roman" w:hAnsi="Times New Roman" w:cs="Times New Roman"/>
          <w:lang w:val="pl-PL"/>
        </w:rPr>
      </w:pPr>
      <w:r w:rsidRPr="00C03220">
        <w:rPr>
          <w:rFonts w:ascii="Times New Roman" w:hAnsi="Times New Roman" w:cs="Times New Roman"/>
          <w:lang w:val="pl-PL"/>
        </w:rPr>
        <w:lastRenderedPageBreak/>
        <w:t>Z TYCH PRZYCZYN TRYBUNAŁ JEDNOMYŚLNIE</w:t>
      </w:r>
    </w:p>
    <w:p w:rsidR="004D2070" w:rsidRPr="00C03220" w:rsidRDefault="004D2070" w:rsidP="004D2070">
      <w:pPr>
        <w:pStyle w:val="JuList"/>
        <w:rPr>
          <w:rFonts w:ascii="Times New Roman" w:hAnsi="Times New Roman" w:cs="Times New Roman"/>
          <w:lang w:val="pl-PL"/>
        </w:rPr>
      </w:pPr>
      <w:r w:rsidRPr="00C03220">
        <w:rPr>
          <w:rFonts w:ascii="Times New Roman" w:hAnsi="Times New Roman" w:cs="Times New Roman"/>
          <w:lang w:val="pl-PL"/>
        </w:rPr>
        <w:t>1.  </w:t>
      </w:r>
      <w:r w:rsidRPr="00C03220">
        <w:rPr>
          <w:rFonts w:ascii="Times New Roman" w:hAnsi="Times New Roman" w:cs="Times New Roman"/>
          <w:i/>
          <w:iCs/>
          <w:lang w:val="pl-PL"/>
        </w:rPr>
        <w:t>Uznaje</w:t>
      </w:r>
      <w:r w:rsidRPr="00C03220">
        <w:rPr>
          <w:rFonts w:ascii="Times New Roman" w:hAnsi="Times New Roman" w:cs="Times New Roman"/>
          <w:lang w:val="pl-PL"/>
        </w:rPr>
        <w:t xml:space="preserve"> skargę za dopuszczalną;</w:t>
      </w:r>
    </w:p>
    <w:p w:rsidR="004D2070" w:rsidRPr="00C03220" w:rsidRDefault="004D2070" w:rsidP="004D2070">
      <w:pPr>
        <w:pStyle w:val="JuList"/>
        <w:rPr>
          <w:rFonts w:ascii="Times New Roman" w:hAnsi="Times New Roman" w:cs="Times New Roman"/>
          <w:lang w:val="pl-PL"/>
        </w:rPr>
      </w:pPr>
    </w:p>
    <w:p w:rsidR="004D2070" w:rsidRPr="00C03220" w:rsidRDefault="004D2070" w:rsidP="004D2070">
      <w:pPr>
        <w:pStyle w:val="JuList"/>
        <w:rPr>
          <w:rFonts w:ascii="Times New Roman" w:hAnsi="Times New Roman" w:cs="Times New Roman"/>
          <w:lang w:val="pl-PL"/>
        </w:rPr>
      </w:pPr>
      <w:r w:rsidRPr="00C03220">
        <w:rPr>
          <w:rFonts w:ascii="Times New Roman" w:hAnsi="Times New Roman" w:cs="Times New Roman"/>
          <w:lang w:val="pl-PL"/>
        </w:rPr>
        <w:t>2.  </w:t>
      </w:r>
      <w:r w:rsidRPr="00C03220">
        <w:rPr>
          <w:rFonts w:ascii="Times New Roman" w:hAnsi="Times New Roman" w:cs="Times New Roman"/>
          <w:i/>
          <w:iCs/>
          <w:lang w:val="pl-PL"/>
        </w:rPr>
        <w:t>Uznaje</w:t>
      </w:r>
      <w:r w:rsidRPr="00C03220">
        <w:rPr>
          <w:rFonts w:ascii="Times New Roman" w:hAnsi="Times New Roman" w:cs="Times New Roman"/>
          <w:lang w:val="pl-PL"/>
        </w:rPr>
        <w:t>, że nie doszło do naruszenia artykułu 11 ust. 1 Konwencji.</w:t>
      </w:r>
    </w:p>
    <w:p w:rsidR="004D2070" w:rsidRPr="00C03220" w:rsidRDefault="004D2070" w:rsidP="004D2070">
      <w:pPr>
        <w:pStyle w:val="JuParaLast"/>
        <w:rPr>
          <w:rFonts w:ascii="Times New Roman" w:hAnsi="Times New Roman" w:cs="Times New Roman"/>
          <w:lang w:val="pl-PL"/>
        </w:rPr>
      </w:pPr>
      <w:r w:rsidRPr="00C03220">
        <w:rPr>
          <w:rFonts w:ascii="Times New Roman" w:hAnsi="Times New Roman" w:cs="Times New Roman"/>
          <w:lang w:val="pl-PL"/>
        </w:rPr>
        <w:t>Sporządzono w języku angielskim i obwieszczono pisemnie w dniu 9 lipca 2013 r., zgodnie z artykułem 77 ust. 2 i ust. 3 Regulaminu Trybunału.</w:t>
      </w:r>
    </w:p>
    <w:p w:rsidR="004D2070" w:rsidRPr="00C03220" w:rsidRDefault="004D2070" w:rsidP="004D2070">
      <w:pPr>
        <w:pStyle w:val="JuSigned"/>
        <w:keepNext/>
        <w:keepLines/>
        <w:rPr>
          <w:rFonts w:ascii="Times New Roman" w:hAnsi="Times New Roman" w:cs="Times New Roman"/>
          <w:lang w:val="pl-PL"/>
        </w:rPr>
      </w:pPr>
      <w:r w:rsidRPr="00C03220">
        <w:rPr>
          <w:rFonts w:ascii="Times New Roman" w:hAnsi="Times New Roman" w:cs="Times New Roman"/>
          <w:lang w:val="pl-PL"/>
        </w:rPr>
        <w:tab/>
        <w:t>Stanley Naismith</w:t>
      </w:r>
      <w:r w:rsidRPr="00C03220">
        <w:rPr>
          <w:rFonts w:ascii="Times New Roman" w:hAnsi="Times New Roman" w:cs="Times New Roman"/>
          <w:lang w:val="pl-PL"/>
        </w:rPr>
        <w:tab/>
      </w:r>
      <w:r w:rsidRPr="00C03220">
        <w:rPr>
          <w:rFonts w:ascii="Times New Roman" w:hAnsi="Times New Roman" w:cs="Times New Roman"/>
          <w:szCs w:val="24"/>
          <w:lang w:val="pl-PL"/>
        </w:rPr>
        <w:t>Guido Raimondi</w:t>
      </w:r>
      <w:r w:rsidRPr="00C03220">
        <w:rPr>
          <w:rFonts w:ascii="Times New Roman" w:hAnsi="Times New Roman" w:cs="Times New Roman"/>
          <w:szCs w:val="24"/>
          <w:lang w:val="pl-PL"/>
        </w:rPr>
        <w:br/>
      </w:r>
      <w:r w:rsidRPr="00C03220">
        <w:rPr>
          <w:rFonts w:ascii="Times New Roman" w:hAnsi="Times New Roman" w:cs="Times New Roman"/>
          <w:lang w:val="pl-PL"/>
        </w:rPr>
        <w:tab/>
        <w:t>Kanclerz</w:t>
      </w:r>
      <w:r w:rsidRPr="00C03220">
        <w:rPr>
          <w:rFonts w:ascii="Times New Roman" w:hAnsi="Times New Roman" w:cs="Times New Roman"/>
          <w:lang w:val="pl-PL"/>
        </w:rPr>
        <w:tab/>
        <w:t>Przewodniczący</w:t>
      </w:r>
    </w:p>
    <w:p w:rsidR="004D2070" w:rsidRPr="00C03220" w:rsidRDefault="004D2070" w:rsidP="004D2070">
      <w:pPr>
        <w:pStyle w:val="ECHRPara"/>
        <w:rPr>
          <w:rFonts w:ascii="Times New Roman" w:hAnsi="Times New Roman" w:cs="Times New Roman"/>
          <w:lang w:val="pl-PL"/>
        </w:rPr>
      </w:pPr>
    </w:p>
    <w:p w:rsidR="004D2070" w:rsidRPr="00C03220" w:rsidRDefault="004D2070" w:rsidP="004D2070">
      <w:pPr>
        <w:pStyle w:val="JuParaLast"/>
        <w:rPr>
          <w:rFonts w:ascii="Times New Roman" w:hAnsi="Times New Roman" w:cs="Times New Roman"/>
          <w:lang w:val="pl-PL"/>
        </w:rPr>
      </w:pPr>
      <w:r w:rsidRPr="00C03220">
        <w:rPr>
          <w:rFonts w:ascii="Times New Roman" w:hAnsi="Times New Roman" w:cs="Times New Roman"/>
          <w:lang w:val="pl-PL"/>
        </w:rPr>
        <w:t>Zgodnie z postanowieniami artykułu 45 ust. 2 Konwencji oraz art. 74 ust. 2 Regulaminu Trybunału do wyroku załączono zdanie odrębne Sędziego Pinto de Albuquerque.</w:t>
      </w:r>
    </w:p>
    <w:p w:rsidR="004D2070" w:rsidRPr="00C03220" w:rsidRDefault="004D2070" w:rsidP="004D2070">
      <w:pPr>
        <w:pStyle w:val="JuInitialled"/>
        <w:rPr>
          <w:rFonts w:ascii="Times New Roman" w:hAnsi="Times New Roman" w:cs="Times New Roman"/>
          <w:lang w:val="pl-PL"/>
        </w:rPr>
      </w:pPr>
      <w:r w:rsidRPr="00C03220">
        <w:rPr>
          <w:rFonts w:ascii="Times New Roman" w:hAnsi="Times New Roman" w:cs="Times New Roman"/>
          <w:lang w:val="pl-PL"/>
        </w:rPr>
        <w:t>G.R.A.</w:t>
      </w:r>
      <w:r w:rsidRPr="00C03220">
        <w:rPr>
          <w:rFonts w:ascii="Times New Roman" w:hAnsi="Times New Roman" w:cs="Times New Roman"/>
          <w:lang w:val="pl-PL"/>
        </w:rPr>
        <w:br/>
        <w:t>S.H.N.</w:t>
      </w:r>
    </w:p>
    <w:p w:rsidR="004D2070" w:rsidRPr="00C03220" w:rsidRDefault="004D2070" w:rsidP="004D2070">
      <w:pPr>
        <w:pStyle w:val="ECHRPara"/>
        <w:rPr>
          <w:rFonts w:ascii="Times New Roman" w:hAnsi="Times New Roman" w:cs="Times New Roman"/>
          <w:lang w:val="pl-PL"/>
        </w:rPr>
        <w:sectPr w:rsidR="004D2070" w:rsidRPr="00C03220" w:rsidSect="006B1DF1">
          <w:headerReference w:type="even" r:id="rId19"/>
          <w:headerReference w:type="default" r:id="rId20"/>
          <w:footnotePr>
            <w:numRestart w:val="eachPage"/>
          </w:footnotePr>
          <w:pgSz w:w="11906" w:h="16838" w:code="9"/>
          <w:pgMar w:top="2274" w:right="2274" w:bottom="2274" w:left="2274" w:header="1701" w:footer="720" w:gutter="0"/>
          <w:pgNumType w:start="1"/>
          <w:cols w:space="720"/>
          <w:docGrid w:linePitch="326"/>
        </w:sectPr>
      </w:pPr>
    </w:p>
    <w:p w:rsidR="004D2070" w:rsidRPr="00C03220" w:rsidRDefault="004D2070" w:rsidP="004D2070">
      <w:pPr>
        <w:pStyle w:val="ECHRTitleCentre1"/>
        <w:rPr>
          <w:rFonts w:ascii="Times New Roman" w:hAnsi="Times New Roman" w:cs="Times New Roman"/>
          <w:lang w:val="pl-PL"/>
        </w:rPr>
      </w:pPr>
      <w:r w:rsidRPr="00C03220">
        <w:rPr>
          <w:rFonts w:ascii="Times New Roman" w:hAnsi="Times New Roman" w:cs="Times New Roman"/>
          <w:lang w:val="pl-PL"/>
        </w:rPr>
        <w:lastRenderedPageBreak/>
        <w:t>ZDANIE ODRĘBNE SĘDZIEGO PINTO DE ALBUQUERQUE</w:t>
      </w:r>
    </w:p>
    <w:p w:rsidR="004D2070" w:rsidRPr="00C03220" w:rsidRDefault="004D2070" w:rsidP="004D2070">
      <w:pPr>
        <w:pStyle w:val="OpiPara"/>
        <w:rPr>
          <w:rFonts w:ascii="Times New Roman" w:hAnsi="Times New Roman" w:cs="Times New Roman"/>
          <w:lang w:val="pl-PL"/>
        </w:rPr>
      </w:pPr>
      <w:r w:rsidRPr="00C03220">
        <w:rPr>
          <w:rFonts w:ascii="Times New Roman" w:hAnsi="Times New Roman" w:cs="Times New Roman"/>
          <w:lang w:val="pl-PL"/>
        </w:rPr>
        <w:t xml:space="preserve">Rozpowszechnianie postaw antyromskich i antysemickich przez podmioty prawne oraz sposoby reagowania w świetle Europejskiej Konwencji Praw Człowieka (Konwencja) to kluczowe kwestie sprawy Vona. Zgadzam się z Izbą, lecz jestem przekonany, że sprawa </w:t>
      </w:r>
      <w:r w:rsidR="000370E4" w:rsidRPr="00C03220">
        <w:rPr>
          <w:rFonts w:ascii="Times New Roman" w:hAnsi="Times New Roman" w:cs="Times New Roman"/>
          <w:lang w:val="pl-PL"/>
        </w:rPr>
        <w:t>wskazuje na szczególnie istotne kwestie, które wymagają omówienia.</w:t>
      </w:r>
      <w:r w:rsidRPr="00C03220">
        <w:rPr>
          <w:rFonts w:ascii="Times New Roman" w:hAnsi="Times New Roman" w:cs="Times New Roman"/>
          <w:lang w:val="pl-PL"/>
        </w:rPr>
        <w:t xml:space="preserve"> W takim celu sporządzone zostało niniejsze zdanie odrębne.</w:t>
      </w:r>
    </w:p>
    <w:p w:rsidR="004D2070" w:rsidRPr="00C03220" w:rsidRDefault="004D2070" w:rsidP="00D058C6">
      <w:pPr>
        <w:pStyle w:val="ECHRHeading2"/>
        <w:numPr>
          <w:ilvl w:val="0"/>
          <w:numId w:val="0"/>
        </w:numPr>
        <w:spacing w:before="240" w:after="120"/>
        <w:rPr>
          <w:rFonts w:ascii="Times New Roman" w:hAnsi="Times New Roman" w:cs="Times New Roman"/>
          <w:color w:val="auto"/>
          <w:sz w:val="24"/>
          <w:szCs w:val="24"/>
          <w:lang w:val="pl-PL"/>
        </w:rPr>
      </w:pPr>
      <w:r w:rsidRPr="00C03220">
        <w:rPr>
          <w:rFonts w:ascii="Times New Roman" w:hAnsi="Times New Roman" w:cs="Times New Roman"/>
          <w:color w:val="auto"/>
          <w:sz w:val="24"/>
          <w:szCs w:val="24"/>
          <w:lang w:val="pl-PL"/>
        </w:rPr>
        <w:t>Międzynarodowy obowiązek uznania rasizmu za przestępstwo</w:t>
      </w:r>
    </w:p>
    <w:p w:rsidR="004D2070" w:rsidRPr="00C03220" w:rsidRDefault="004D2070" w:rsidP="004D2070">
      <w:pPr>
        <w:pStyle w:val="OpiPara"/>
        <w:rPr>
          <w:rFonts w:ascii="Times New Roman" w:hAnsi="Times New Roman" w:cs="Times New Roman"/>
          <w:lang w:val="pl-PL"/>
        </w:rPr>
      </w:pPr>
      <w:r w:rsidRPr="00C03220">
        <w:rPr>
          <w:rFonts w:ascii="Times New Roman" w:hAnsi="Times New Roman" w:cs="Times New Roman"/>
          <w:lang w:val="pl-PL"/>
        </w:rPr>
        <w:t xml:space="preserve">Artykuł 4 Międzynarodowej Konwencji w sprawie Likwidacji Wszelkich Form Dyskryminacji </w:t>
      </w:r>
      <w:r w:rsidR="006B1DF1" w:rsidRPr="00C03220">
        <w:rPr>
          <w:rFonts w:ascii="Times New Roman" w:hAnsi="Times New Roman" w:cs="Times New Roman"/>
          <w:lang w:val="pl-PL"/>
        </w:rPr>
        <w:t>Rasowej</w:t>
      </w:r>
      <w:r w:rsidRPr="00C03220">
        <w:rPr>
          <w:rFonts w:ascii="Times New Roman" w:hAnsi="Times New Roman" w:cs="Times New Roman"/>
          <w:lang w:val="pl-PL"/>
        </w:rPr>
        <w:t xml:space="preserve"> (ICERD)</w:t>
      </w:r>
      <w:r w:rsidRPr="00C03220">
        <w:rPr>
          <w:rFonts w:ascii="Times New Roman" w:hAnsi="Times New Roman" w:cs="Times New Roman"/>
          <w:sz w:val="20"/>
          <w:vertAlign w:val="superscript"/>
          <w:lang w:val="pl-PL"/>
        </w:rPr>
        <w:footnoteReference w:id="2"/>
      </w:r>
      <w:r w:rsidRPr="00C03220">
        <w:rPr>
          <w:rFonts w:ascii="Times New Roman" w:hAnsi="Times New Roman" w:cs="Times New Roman"/>
          <w:lang w:val="pl-PL"/>
        </w:rPr>
        <w:t xml:space="preserve"> wymaga, by Państwa Strony uznały za przestępstwa podlegające karze </w:t>
      </w:r>
      <w:r w:rsidR="006B1DF1" w:rsidRPr="00C03220">
        <w:rPr>
          <w:rFonts w:ascii="Times New Roman" w:hAnsi="Times New Roman" w:cs="Times New Roman"/>
          <w:lang w:val="pl-PL"/>
        </w:rPr>
        <w:t>sześć</w:t>
      </w:r>
      <w:r w:rsidRPr="00C03220">
        <w:rPr>
          <w:rFonts w:ascii="Times New Roman" w:hAnsi="Times New Roman" w:cs="Times New Roman"/>
          <w:lang w:val="pl-PL"/>
        </w:rPr>
        <w:t xml:space="preserve"> kategorii zachowań rasistowskich: (i) rozpowszechnianie idei opartych na wyższości lub nienawiści rasowej, (ii) podżeganie do nienawiści, (iii) akty przemocy wobec jakiejkolwiek rasy bądź grupy osób o innym kolorze skóry lub innego pochodzenia etnicznego, (iv) podżeganie do tego rodzaju aktów, (v) finansowanie działalności rasistowskiej, a także (v) uczestnictwo w organizacjach oraz prowadzenie działalności zorganizowanej i całość działalności propagandowej, promującej i nawołującej do dyskryminacji rasowej.</w:t>
      </w:r>
      <w:r w:rsidRPr="00C03220">
        <w:rPr>
          <w:rFonts w:ascii="Times New Roman" w:hAnsi="Times New Roman" w:cs="Times New Roman"/>
          <w:sz w:val="20"/>
          <w:vertAlign w:val="superscript"/>
          <w:lang w:val="pl-PL"/>
        </w:rPr>
        <w:footnoteReference w:id="3"/>
      </w:r>
      <w:r w:rsidR="000370E4" w:rsidRPr="00C03220">
        <w:rPr>
          <w:rFonts w:ascii="Times New Roman" w:hAnsi="Times New Roman" w:cs="Times New Roman"/>
          <w:lang w:val="pl-PL"/>
        </w:rPr>
        <w:t xml:space="preserve"> </w:t>
      </w:r>
      <w:r w:rsidRPr="00C03220">
        <w:rPr>
          <w:rFonts w:ascii="Times New Roman" w:hAnsi="Times New Roman" w:cs="Times New Roman"/>
          <w:lang w:val="pl-PL"/>
        </w:rPr>
        <w:t>Ponadto ICERD wymaga, by Państwa Strony uznały za nielegalne organizacje mające na celu popieranie dyskryminacji rasowej i podżeganie do niej oraz wprowadzić zakaz ich działalności</w:t>
      </w:r>
      <w:r w:rsidR="000370E4" w:rsidRPr="00C03220">
        <w:rPr>
          <w:rFonts w:ascii="Times New Roman" w:hAnsi="Times New Roman" w:cs="Times New Roman"/>
          <w:lang w:val="pl-PL"/>
        </w:rPr>
        <w:t xml:space="preserve"> oraz zachowały czujność, by działania względem takich organizacji podejmować na możliwie wczesnym etapie</w:t>
      </w:r>
      <w:r w:rsidRPr="00C03220">
        <w:rPr>
          <w:rFonts w:ascii="Times New Roman" w:hAnsi="Times New Roman" w:cs="Times New Roman"/>
          <w:lang w:val="pl-PL"/>
        </w:rPr>
        <w:t>.</w:t>
      </w:r>
      <w:r w:rsidRPr="00C03220">
        <w:rPr>
          <w:rFonts w:ascii="Times New Roman" w:hAnsi="Times New Roman" w:cs="Times New Roman"/>
          <w:sz w:val="20"/>
          <w:vertAlign w:val="superscript"/>
          <w:lang w:val="pl-PL"/>
        </w:rPr>
        <w:footnoteReference w:id="4"/>
      </w:r>
      <w:r w:rsidRPr="00C03220">
        <w:rPr>
          <w:rFonts w:ascii="Times New Roman" w:hAnsi="Times New Roman" w:cs="Times New Roman"/>
          <w:lang w:val="pl-PL"/>
        </w:rPr>
        <w:t xml:space="preserve"> Zważywszy na obowiązujący charakter tychże zobowiązań,</w:t>
      </w:r>
      <w:r w:rsidRPr="00C03220">
        <w:rPr>
          <w:rFonts w:ascii="Times New Roman" w:hAnsi="Times New Roman" w:cs="Times New Roman"/>
          <w:sz w:val="20"/>
          <w:vertAlign w:val="superscript"/>
          <w:lang w:val="pl-PL"/>
        </w:rPr>
        <w:footnoteReference w:id="5"/>
      </w:r>
      <w:r w:rsidRPr="00C03220">
        <w:rPr>
          <w:rFonts w:ascii="Times New Roman" w:hAnsi="Times New Roman" w:cs="Times New Roman"/>
          <w:lang w:val="pl-PL"/>
        </w:rPr>
        <w:t xml:space="preserve"> w </w:t>
      </w:r>
      <w:r w:rsidRPr="00C03220">
        <w:rPr>
          <w:rFonts w:ascii="Times New Roman" w:hAnsi="Times New Roman" w:cs="Times New Roman"/>
          <w:lang w:val="pl-PL"/>
        </w:rPr>
        <w:lastRenderedPageBreak/>
        <w:t>kontekście artykułu 4 Konwencji nie wystarczy jedynie uznać aktów dyskryminacji rasowej za podlegające karze na papierze. Przepisy prawa karnego i pozostałe przepisy prawa zakazujące dyskryminacji rasowej muszą być skutecznie stosowane przez właściwe sądy krajowe i inne instytucje Państwa.</w:t>
      </w:r>
      <w:r w:rsidRPr="00C03220">
        <w:rPr>
          <w:rFonts w:ascii="Times New Roman" w:hAnsi="Times New Roman" w:cs="Times New Roman"/>
          <w:sz w:val="20"/>
          <w:vertAlign w:val="superscript"/>
          <w:lang w:val="pl-PL"/>
        </w:rPr>
        <w:footnoteReference w:id="6"/>
      </w:r>
    </w:p>
    <w:p w:rsidR="004D2070" w:rsidRPr="00C03220" w:rsidRDefault="004D2070" w:rsidP="004D2070">
      <w:pPr>
        <w:pStyle w:val="OpiPara"/>
        <w:rPr>
          <w:rFonts w:ascii="Times New Roman" w:hAnsi="Times New Roman" w:cs="Times New Roman"/>
          <w:lang w:val="pl-PL"/>
        </w:rPr>
      </w:pPr>
      <w:r w:rsidRPr="00C03220">
        <w:rPr>
          <w:rFonts w:ascii="Times New Roman" w:hAnsi="Times New Roman" w:cs="Times New Roman"/>
          <w:lang w:val="pl-PL"/>
        </w:rPr>
        <w:t>Artykuł 1 (2) Międzynarodowej Konwencji o Zwalczaniu i Karaniu Zbrodni Apartheidu wymaga, by Państwa Strony uznały za przestępstwo apartheid, w tym akty popełniane przez organizacje, instytucje i jednostki w celu ustanowienia i utrzymania dominacji grupy osób jednej rasy nad grupą osób innej rasy oraz systemowego</w:t>
      </w:r>
      <w:r w:rsidR="008901B0" w:rsidRPr="00C03220">
        <w:rPr>
          <w:rFonts w:ascii="Times New Roman" w:hAnsi="Times New Roman" w:cs="Times New Roman"/>
          <w:lang w:val="pl-PL"/>
        </w:rPr>
        <w:t xml:space="preserve"> ich prześladowania</w:t>
      </w:r>
      <w:r w:rsidRPr="00C03220">
        <w:rPr>
          <w:rFonts w:ascii="Times New Roman" w:hAnsi="Times New Roman" w:cs="Times New Roman"/>
          <w:lang w:val="pl-PL"/>
        </w:rPr>
        <w:t xml:space="preserve"> poprzez politykę i praktyki segregacji i dyskryminacji rasowej, stosowanych przez dawny reżim polityczny w Południowej Afryce.</w:t>
      </w:r>
      <w:r w:rsidRPr="00C03220">
        <w:rPr>
          <w:rFonts w:ascii="Times New Roman" w:hAnsi="Times New Roman" w:cs="Times New Roman"/>
          <w:sz w:val="20"/>
          <w:vertAlign w:val="superscript"/>
          <w:lang w:val="pl-PL"/>
        </w:rPr>
        <w:footnoteReference w:id="7"/>
      </w:r>
    </w:p>
    <w:p w:rsidR="004D2070" w:rsidRPr="00C03220" w:rsidRDefault="004D2070" w:rsidP="004D2070">
      <w:pPr>
        <w:pStyle w:val="OpiPara"/>
        <w:rPr>
          <w:rFonts w:ascii="Times New Roman" w:hAnsi="Times New Roman" w:cs="Times New Roman"/>
          <w:lang w:val="pl-PL"/>
        </w:rPr>
      </w:pPr>
      <w:r w:rsidRPr="00C03220">
        <w:rPr>
          <w:rFonts w:ascii="Times New Roman" w:hAnsi="Times New Roman" w:cs="Times New Roman"/>
          <w:lang w:val="pl-PL"/>
        </w:rPr>
        <w:t>Na podstawie artykułu 7(1)(h) Statutu Międzynarodow</w:t>
      </w:r>
      <w:r w:rsidR="00EC6C52" w:rsidRPr="00C03220">
        <w:rPr>
          <w:rFonts w:ascii="Times New Roman" w:hAnsi="Times New Roman" w:cs="Times New Roman"/>
          <w:lang w:val="pl-PL"/>
        </w:rPr>
        <w:t>ego Trybunału Karnego z 1998 r.</w:t>
      </w:r>
      <w:r w:rsidRPr="00C03220">
        <w:rPr>
          <w:rFonts w:ascii="Times New Roman" w:hAnsi="Times New Roman" w:cs="Times New Roman"/>
          <w:sz w:val="20"/>
          <w:vertAlign w:val="superscript"/>
          <w:lang w:val="pl-PL"/>
        </w:rPr>
        <w:footnoteReference w:id="8"/>
      </w:r>
      <w:r w:rsidRPr="00C03220">
        <w:rPr>
          <w:rFonts w:ascii="Times New Roman" w:hAnsi="Times New Roman" w:cs="Times New Roman"/>
          <w:lang w:val="pl-PL"/>
        </w:rPr>
        <w:t xml:space="preserve"> prześladowanie jakiejkolwiek możliwej do zidentyfikowania grupy lub zbiorowości z powodów politycznych, rasowych, narodowych, etnicznych, kulturowych, religijnych, płci (gender) lub z innych powodów stanowi zbrodnię przeciwko ludzkości podlegającą jurysdykcji Międzynarodowego Trybunału Karnego, jeżeli zostało popełnione w ramach rozległego lub </w:t>
      </w:r>
      <w:r w:rsidR="006B1DF1" w:rsidRPr="00C03220">
        <w:rPr>
          <w:rFonts w:ascii="Times New Roman" w:hAnsi="Times New Roman" w:cs="Times New Roman"/>
          <w:lang w:val="pl-PL"/>
        </w:rPr>
        <w:t>systematycznego</w:t>
      </w:r>
      <w:r w:rsidRPr="00C03220">
        <w:rPr>
          <w:rFonts w:ascii="Times New Roman" w:hAnsi="Times New Roman" w:cs="Times New Roman"/>
          <w:lang w:val="pl-PL"/>
        </w:rPr>
        <w:t xml:space="preserve">, świadomego ataku skierowanego przeciwko ludności cywilnej. </w:t>
      </w:r>
      <w:r w:rsidR="006B1DF1" w:rsidRPr="00C03220">
        <w:rPr>
          <w:rFonts w:ascii="Times New Roman" w:hAnsi="Times New Roman" w:cs="Times New Roman"/>
          <w:lang w:val="pl-PL"/>
        </w:rPr>
        <w:t>Prześladowanie</w:t>
      </w:r>
      <w:r w:rsidRPr="00C03220">
        <w:rPr>
          <w:rFonts w:ascii="Times New Roman" w:hAnsi="Times New Roman" w:cs="Times New Roman"/>
          <w:lang w:val="pl-PL"/>
        </w:rPr>
        <w:t xml:space="preserve"> mogą stanowić akty molestowania, poniżania i znęcania się psychicznego nad osobami określonej rasy, </w:t>
      </w:r>
      <w:r w:rsidR="006B1DF1" w:rsidRPr="00C03220">
        <w:rPr>
          <w:rFonts w:ascii="Times New Roman" w:hAnsi="Times New Roman" w:cs="Times New Roman"/>
          <w:lang w:val="pl-PL"/>
        </w:rPr>
        <w:t>narodowości</w:t>
      </w:r>
      <w:r w:rsidRPr="00C03220">
        <w:rPr>
          <w:rFonts w:ascii="Times New Roman" w:hAnsi="Times New Roman" w:cs="Times New Roman"/>
          <w:lang w:val="pl-PL"/>
        </w:rPr>
        <w:t xml:space="preserve"> czy grupy etnicznej.</w:t>
      </w:r>
      <w:r w:rsidRPr="00C03220">
        <w:rPr>
          <w:rFonts w:ascii="Times New Roman" w:hAnsi="Times New Roman" w:cs="Times New Roman"/>
          <w:sz w:val="20"/>
          <w:vertAlign w:val="superscript"/>
          <w:lang w:val="pl-PL"/>
        </w:rPr>
        <w:footnoteReference w:id="9"/>
      </w:r>
    </w:p>
    <w:p w:rsidR="004D2070" w:rsidRPr="00C03220" w:rsidRDefault="004D2070" w:rsidP="004D2070">
      <w:pPr>
        <w:pStyle w:val="OpiPara"/>
        <w:rPr>
          <w:rFonts w:ascii="Times New Roman" w:hAnsi="Times New Roman" w:cs="Times New Roman"/>
          <w:lang w:val="pl-PL"/>
        </w:rPr>
      </w:pPr>
      <w:r w:rsidRPr="00C03220">
        <w:rPr>
          <w:rFonts w:ascii="Times New Roman" w:hAnsi="Times New Roman" w:cs="Times New Roman"/>
          <w:lang w:val="pl-PL"/>
        </w:rPr>
        <w:t xml:space="preserve">Od czasu opublikowania w 2000 r. Karty Praw Podstawowych Unii Europejskiej zakazującej wszelkiej dyskryminacji, w szczególności ze względu na rasę, kolor skóry, narodowość, pochodzenie etniczne lub społeczne, cechy genetyczne, język, religię lub przekonania, poglądy polityczne lub wszelkie inne poglądy, przynależność do mniejszości narodowej, majątek, niepełnosprawność, wiek czy orientację seksualną, Unia Europejska dąży do represjonowania rozpowszechniania rasizmu na podstawie decyzji ramowej z 2008 r. w sprawie zwalczania pewnych form i </w:t>
      </w:r>
      <w:r w:rsidRPr="00C03220">
        <w:rPr>
          <w:rFonts w:ascii="Times New Roman" w:hAnsi="Times New Roman" w:cs="Times New Roman"/>
          <w:lang w:val="pl-PL"/>
        </w:rPr>
        <w:lastRenderedPageBreak/>
        <w:t>przejawów rasizmu i ksenofobii za pomocą środków prawnokarnych.</w:t>
      </w:r>
      <w:r w:rsidRPr="00C03220">
        <w:rPr>
          <w:rFonts w:ascii="Times New Roman" w:hAnsi="Times New Roman" w:cs="Times New Roman"/>
          <w:sz w:val="20"/>
          <w:vertAlign w:val="superscript"/>
          <w:lang w:val="pl-PL"/>
        </w:rPr>
        <w:footnoteReference w:id="10"/>
      </w:r>
      <w:r w:rsidRPr="00C03220">
        <w:rPr>
          <w:rFonts w:ascii="Times New Roman" w:hAnsi="Times New Roman" w:cs="Times New Roman"/>
          <w:lang w:val="pl-PL"/>
        </w:rPr>
        <w:t xml:space="preserve"> Zgodnie z decyzją ramową pewne zachowania, do których dochodzi z pobudek rasistowskich lub ksenofobicznych, w tym, między innymi publiczne podżeganie do przemocy bądź nienawiści względem grupy osób lub członka takiej grupy określonej na podstawie rasy, koloru skóry, urodzenia, religii czy przekonań lub pochodzenia narodowego czy etnicznego, mają podlegać karze jako przestępstwa karne. Państwa członkowskie mają obowiązek zapewnić, że przestępstwa te będą podlegać skutecznym, proporcjonalnym i odstraszającym karom, w tym karze pozbawienia wolności, której górna granica wynosi co najmniej od jednego do trzech lat pozbawienia wolności w przypadku osób fizycznych oraz karze grzywny wymierzanej na podstawie przepisów prawa karnego lub na podstawie innych przepisów w przypadku osób prawnych. Osoby prawne mogą dodatkowo podlegać karom polegającym na odebraniu uprawnień do subwencji społecznych czy pomocy społecznej, czasowego lub stałego pozbawienia prawa do prowadzenia działalności gospodarczej, objęciu nadzorem sądowym czy wydaniu przez sąd nakazu likwidacji.</w:t>
      </w:r>
    </w:p>
    <w:p w:rsidR="004D2070" w:rsidRPr="00C03220" w:rsidRDefault="004D2070" w:rsidP="004D2070">
      <w:pPr>
        <w:pStyle w:val="OpiPara"/>
        <w:rPr>
          <w:rFonts w:ascii="Times New Roman" w:hAnsi="Times New Roman" w:cs="Times New Roman"/>
          <w:lang w:val="pl-PL"/>
        </w:rPr>
      </w:pPr>
      <w:r w:rsidRPr="00C03220">
        <w:rPr>
          <w:rFonts w:ascii="Times New Roman" w:hAnsi="Times New Roman" w:cs="Times New Roman"/>
          <w:lang w:val="pl-PL"/>
        </w:rPr>
        <w:t>Po przyjęciu ogólnego instrument</w:t>
      </w:r>
      <w:r w:rsidR="00D058C6" w:rsidRPr="00C03220">
        <w:rPr>
          <w:rFonts w:ascii="Times New Roman" w:hAnsi="Times New Roman" w:cs="Times New Roman"/>
          <w:lang w:val="pl-PL"/>
        </w:rPr>
        <w:t>u</w:t>
      </w:r>
      <w:r w:rsidRPr="00C03220">
        <w:rPr>
          <w:rFonts w:ascii="Times New Roman" w:hAnsi="Times New Roman" w:cs="Times New Roman"/>
          <w:lang w:val="pl-PL"/>
        </w:rPr>
        <w:t xml:space="preserve"> zwalczania dyskryminacji, Protokołu nr 12 do Konwencji o ochronie praw </w:t>
      </w:r>
      <w:r w:rsidR="006B1DF1" w:rsidRPr="00C03220">
        <w:rPr>
          <w:rFonts w:ascii="Times New Roman" w:hAnsi="Times New Roman" w:cs="Times New Roman"/>
          <w:lang w:val="pl-PL"/>
        </w:rPr>
        <w:t>człowieka</w:t>
      </w:r>
      <w:r w:rsidRPr="00C03220">
        <w:rPr>
          <w:rFonts w:ascii="Times New Roman" w:hAnsi="Times New Roman" w:cs="Times New Roman"/>
          <w:lang w:val="pl-PL"/>
        </w:rPr>
        <w:t xml:space="preserve"> i podstawowych wolności </w:t>
      </w:r>
      <w:r w:rsidRPr="00C03220">
        <w:rPr>
          <w:rFonts w:ascii="Times New Roman" w:hAnsi="Times New Roman" w:cs="Times New Roman"/>
          <w:sz w:val="20"/>
          <w:vertAlign w:val="superscript"/>
          <w:lang w:val="pl-PL"/>
        </w:rPr>
        <w:footnoteReference w:id="11"/>
      </w:r>
      <w:r w:rsidRPr="00C03220">
        <w:rPr>
          <w:rFonts w:ascii="Times New Roman" w:hAnsi="Times New Roman" w:cs="Times New Roman"/>
          <w:lang w:val="pl-PL"/>
        </w:rPr>
        <w:t xml:space="preserve">, Rada Europy wprowadziła szczegółowy instrument karania form ekspresji rasistowskiej i ksenofobicznej: Protokół Dodatkowy do Konwencji o </w:t>
      </w:r>
      <w:r w:rsidR="00D058C6" w:rsidRPr="00C03220">
        <w:rPr>
          <w:rFonts w:ascii="Times New Roman" w:hAnsi="Times New Roman" w:cs="Times New Roman"/>
          <w:lang w:val="pl-PL"/>
        </w:rPr>
        <w:t>p</w:t>
      </w:r>
      <w:r w:rsidR="006B1DF1" w:rsidRPr="00C03220">
        <w:rPr>
          <w:rFonts w:ascii="Times New Roman" w:hAnsi="Times New Roman" w:cs="Times New Roman"/>
          <w:lang w:val="pl-PL"/>
        </w:rPr>
        <w:t>rzestępczości</w:t>
      </w:r>
      <w:r w:rsidRPr="00C03220">
        <w:rPr>
          <w:rFonts w:ascii="Times New Roman" w:hAnsi="Times New Roman" w:cs="Times New Roman"/>
          <w:lang w:val="pl-PL"/>
        </w:rPr>
        <w:t xml:space="preserve"> w </w:t>
      </w:r>
      <w:r w:rsidR="00D058C6" w:rsidRPr="00C03220">
        <w:rPr>
          <w:rFonts w:ascii="Times New Roman" w:hAnsi="Times New Roman" w:cs="Times New Roman"/>
          <w:lang w:val="pl-PL"/>
        </w:rPr>
        <w:t>c</w:t>
      </w:r>
      <w:r w:rsidRPr="00C03220">
        <w:rPr>
          <w:rFonts w:ascii="Times New Roman" w:hAnsi="Times New Roman" w:cs="Times New Roman"/>
          <w:lang w:val="pl-PL"/>
        </w:rPr>
        <w:t xml:space="preserve">yberprzestrzeni, dotyczący kryminalizacji aktów rasizmu i ksenofobii popełnianych z </w:t>
      </w:r>
      <w:r w:rsidR="006B1DF1" w:rsidRPr="00C03220">
        <w:rPr>
          <w:rFonts w:ascii="Times New Roman" w:hAnsi="Times New Roman" w:cs="Times New Roman"/>
          <w:lang w:val="pl-PL"/>
        </w:rPr>
        <w:t>wykorzystaniem</w:t>
      </w:r>
      <w:r w:rsidRPr="00C03220">
        <w:rPr>
          <w:rFonts w:ascii="Times New Roman" w:hAnsi="Times New Roman" w:cs="Times New Roman"/>
          <w:lang w:val="pl-PL"/>
        </w:rPr>
        <w:t xml:space="preserve"> systemów komputerowych, takich jak rozpowszechnianie materiałów o treściach rasistowskich lub ksenofobicznych, groźby lub zniewagi na tle rasistowskim lub ksenofobicznym, a także zaprzeczanie,</w:t>
      </w:r>
      <w:r w:rsidR="00D01B83" w:rsidRPr="00C03220">
        <w:rPr>
          <w:rFonts w:ascii="Times New Roman" w:hAnsi="Times New Roman" w:cs="Times New Roman"/>
          <w:lang w:val="pl-PL"/>
        </w:rPr>
        <w:t xml:space="preserve"> umniejszanie</w:t>
      </w:r>
      <w:r w:rsidRPr="00C03220">
        <w:rPr>
          <w:rFonts w:ascii="Times New Roman" w:hAnsi="Times New Roman" w:cs="Times New Roman"/>
          <w:lang w:val="pl-PL"/>
        </w:rPr>
        <w:t xml:space="preserve">, </w:t>
      </w:r>
      <w:r w:rsidR="00D91F4E" w:rsidRPr="00C03220">
        <w:rPr>
          <w:rFonts w:ascii="Times New Roman" w:hAnsi="Times New Roman" w:cs="Times New Roman"/>
          <w:lang w:val="pl-PL"/>
        </w:rPr>
        <w:t xml:space="preserve">akceptacja </w:t>
      </w:r>
      <w:r w:rsidR="006B1DF1" w:rsidRPr="00C03220">
        <w:rPr>
          <w:rFonts w:ascii="Times New Roman" w:hAnsi="Times New Roman" w:cs="Times New Roman"/>
          <w:lang w:val="pl-PL"/>
        </w:rPr>
        <w:t>lub uzasadnianie</w:t>
      </w:r>
      <w:r w:rsidRPr="00C03220">
        <w:rPr>
          <w:rFonts w:ascii="Times New Roman" w:hAnsi="Times New Roman" w:cs="Times New Roman"/>
          <w:lang w:val="pl-PL"/>
        </w:rPr>
        <w:t xml:space="preserve"> ludobójstwa lub zbrodni przeciwko ludzkości.</w:t>
      </w:r>
      <w:r w:rsidRPr="00C03220">
        <w:rPr>
          <w:rFonts w:ascii="Times New Roman" w:hAnsi="Times New Roman" w:cs="Times New Roman"/>
          <w:sz w:val="20"/>
          <w:vertAlign w:val="superscript"/>
          <w:lang w:val="pl-PL"/>
        </w:rPr>
        <w:footnoteReference w:id="12"/>
      </w:r>
      <w:r w:rsidRPr="00C03220">
        <w:rPr>
          <w:rFonts w:ascii="Times New Roman" w:hAnsi="Times New Roman" w:cs="Times New Roman"/>
          <w:lang w:val="pl-PL"/>
        </w:rPr>
        <w:t xml:space="preserve"> Już wcześniej, na podstawie Rekomendacji R (97) 20 Komitetu Ministrów rządy miały obowiązek wprowadzenia solidnych ram prawnych obejmujących przepisy prawa cywilnego, karnego i administracyjnego dotyczących mowy </w:t>
      </w:r>
      <w:r w:rsidR="006B1DF1" w:rsidRPr="00C03220">
        <w:rPr>
          <w:rFonts w:ascii="Times New Roman" w:hAnsi="Times New Roman" w:cs="Times New Roman"/>
          <w:lang w:val="pl-PL"/>
        </w:rPr>
        <w:t>nienawiści</w:t>
      </w:r>
      <w:r w:rsidRPr="00C03220">
        <w:rPr>
          <w:rFonts w:ascii="Times New Roman" w:hAnsi="Times New Roman" w:cs="Times New Roman"/>
          <w:lang w:val="pl-PL"/>
        </w:rPr>
        <w:t xml:space="preserve">, to jest wszelkich form ekspresji, które szerzą, zachęcają, </w:t>
      </w:r>
      <w:r w:rsidR="006B1DF1" w:rsidRPr="00C03220">
        <w:rPr>
          <w:rFonts w:ascii="Times New Roman" w:hAnsi="Times New Roman" w:cs="Times New Roman"/>
          <w:lang w:val="pl-PL"/>
        </w:rPr>
        <w:t>propagują</w:t>
      </w:r>
      <w:r w:rsidRPr="00C03220">
        <w:rPr>
          <w:rFonts w:ascii="Times New Roman" w:hAnsi="Times New Roman" w:cs="Times New Roman"/>
          <w:lang w:val="pl-PL"/>
        </w:rPr>
        <w:t xml:space="preserve"> czy uzasadniają nienawiść rasową, </w:t>
      </w:r>
      <w:r w:rsidR="006B1DF1" w:rsidRPr="00C03220">
        <w:rPr>
          <w:rFonts w:ascii="Times New Roman" w:hAnsi="Times New Roman" w:cs="Times New Roman"/>
          <w:lang w:val="pl-PL"/>
        </w:rPr>
        <w:t>ksenofobię</w:t>
      </w:r>
      <w:r w:rsidRPr="00C03220">
        <w:rPr>
          <w:rFonts w:ascii="Times New Roman" w:hAnsi="Times New Roman" w:cs="Times New Roman"/>
          <w:lang w:val="pl-PL"/>
        </w:rPr>
        <w:t xml:space="preserve">, </w:t>
      </w:r>
      <w:r w:rsidR="006B1DF1" w:rsidRPr="00C03220">
        <w:rPr>
          <w:rFonts w:ascii="Times New Roman" w:hAnsi="Times New Roman" w:cs="Times New Roman"/>
          <w:lang w:val="pl-PL"/>
        </w:rPr>
        <w:t>antysemityzm</w:t>
      </w:r>
      <w:r w:rsidRPr="00C03220">
        <w:rPr>
          <w:rFonts w:ascii="Times New Roman" w:hAnsi="Times New Roman" w:cs="Times New Roman"/>
          <w:lang w:val="pl-PL"/>
        </w:rPr>
        <w:t xml:space="preserve"> bądź inne formy nienawiści opartej na nietolerancji, w tym nietolerancji wyrażanej poprzez agresywny nacjonalizm i etnocentryzm, dy</w:t>
      </w:r>
      <w:r w:rsidR="00D058C6" w:rsidRPr="00C03220">
        <w:rPr>
          <w:rFonts w:ascii="Times New Roman" w:hAnsi="Times New Roman" w:cs="Times New Roman"/>
          <w:lang w:val="pl-PL"/>
        </w:rPr>
        <w:t>skryminację</w:t>
      </w:r>
      <w:r w:rsidRPr="00C03220">
        <w:rPr>
          <w:rFonts w:ascii="Times New Roman" w:hAnsi="Times New Roman" w:cs="Times New Roman"/>
          <w:lang w:val="pl-PL"/>
        </w:rPr>
        <w:t xml:space="preserve"> i wrogość względem mniejszości, migrantów i osób pochodzenia </w:t>
      </w:r>
      <w:r w:rsidRPr="00C03220">
        <w:rPr>
          <w:rFonts w:ascii="Times New Roman" w:hAnsi="Times New Roman" w:cs="Times New Roman"/>
          <w:lang w:val="pl-PL"/>
        </w:rPr>
        <w:lastRenderedPageBreak/>
        <w:t xml:space="preserve">imigranckiego. Ponadto Europejska Komisja przeciwko Rasizmowi i Nietolerancji (ECRI) przy Radzie Europy od czasu swego założenia wypowiadała </w:t>
      </w:r>
      <w:r w:rsidR="006B1DF1" w:rsidRPr="00C03220">
        <w:rPr>
          <w:rFonts w:ascii="Times New Roman" w:hAnsi="Times New Roman" w:cs="Times New Roman"/>
          <w:lang w:val="pl-PL"/>
        </w:rPr>
        <w:t>się</w:t>
      </w:r>
      <w:r w:rsidRPr="00C03220">
        <w:rPr>
          <w:rFonts w:ascii="Times New Roman" w:hAnsi="Times New Roman" w:cs="Times New Roman"/>
          <w:lang w:val="pl-PL"/>
        </w:rPr>
        <w:t xml:space="preserve"> na temat działań podejmowanych przez </w:t>
      </w:r>
      <w:r w:rsidR="006B1DF1" w:rsidRPr="00C03220">
        <w:rPr>
          <w:rFonts w:ascii="Times New Roman" w:hAnsi="Times New Roman" w:cs="Times New Roman"/>
          <w:lang w:val="pl-PL"/>
        </w:rPr>
        <w:t>pewne</w:t>
      </w:r>
      <w:r w:rsidRPr="00C03220">
        <w:rPr>
          <w:rFonts w:ascii="Times New Roman" w:hAnsi="Times New Roman" w:cs="Times New Roman"/>
          <w:lang w:val="pl-PL"/>
        </w:rPr>
        <w:t xml:space="preserve"> grupy </w:t>
      </w:r>
      <w:r w:rsidR="006B1DF1" w:rsidRPr="00C03220">
        <w:rPr>
          <w:rFonts w:ascii="Times New Roman" w:hAnsi="Times New Roman" w:cs="Times New Roman"/>
          <w:lang w:val="pl-PL"/>
        </w:rPr>
        <w:t>o retoryce otwarcie an</w:t>
      </w:r>
      <w:r w:rsidRPr="00C03220">
        <w:rPr>
          <w:rFonts w:ascii="Times New Roman" w:hAnsi="Times New Roman" w:cs="Times New Roman"/>
          <w:lang w:val="pl-PL"/>
        </w:rPr>
        <w:t>t</w:t>
      </w:r>
      <w:r w:rsidR="006B1DF1" w:rsidRPr="00C03220">
        <w:rPr>
          <w:rFonts w:ascii="Times New Roman" w:hAnsi="Times New Roman" w:cs="Times New Roman"/>
          <w:lang w:val="pl-PL"/>
        </w:rPr>
        <w:t>y</w:t>
      </w:r>
      <w:r w:rsidRPr="00C03220">
        <w:rPr>
          <w:rFonts w:ascii="Times New Roman" w:hAnsi="Times New Roman" w:cs="Times New Roman"/>
          <w:lang w:val="pl-PL"/>
        </w:rPr>
        <w:t xml:space="preserve">romskiej i antysemickiej. W swoim pierwszym </w:t>
      </w:r>
      <w:r w:rsidR="006B1DF1" w:rsidRPr="00C03220">
        <w:rPr>
          <w:rFonts w:ascii="Times New Roman" w:hAnsi="Times New Roman" w:cs="Times New Roman"/>
          <w:lang w:val="pl-PL"/>
        </w:rPr>
        <w:t>Zaleceniu</w:t>
      </w:r>
      <w:r w:rsidRPr="00C03220">
        <w:rPr>
          <w:rFonts w:ascii="Times New Roman" w:hAnsi="Times New Roman" w:cs="Times New Roman"/>
          <w:lang w:val="pl-PL"/>
        </w:rPr>
        <w:t xml:space="preserve"> dotyczącym Polityki Ogólnej ECRI zaproponowała kryminalizację wszelkich ustnych, pisemnych, </w:t>
      </w:r>
      <w:r w:rsidR="006B1DF1" w:rsidRPr="00C03220">
        <w:rPr>
          <w:rFonts w:ascii="Times New Roman" w:hAnsi="Times New Roman" w:cs="Times New Roman"/>
          <w:lang w:val="pl-PL"/>
        </w:rPr>
        <w:t>audiowizualnych</w:t>
      </w:r>
      <w:r w:rsidRPr="00C03220">
        <w:rPr>
          <w:rFonts w:ascii="Times New Roman" w:hAnsi="Times New Roman" w:cs="Times New Roman"/>
          <w:lang w:val="pl-PL"/>
        </w:rPr>
        <w:t xml:space="preserve"> i innych form ekspresji, w tym </w:t>
      </w:r>
      <w:r w:rsidR="00D058C6" w:rsidRPr="00C03220">
        <w:rPr>
          <w:rFonts w:ascii="Times New Roman" w:hAnsi="Times New Roman" w:cs="Times New Roman"/>
          <w:lang w:val="pl-PL"/>
        </w:rPr>
        <w:t xml:space="preserve">w </w:t>
      </w:r>
      <w:r w:rsidRPr="00C03220">
        <w:rPr>
          <w:rFonts w:ascii="Times New Roman" w:hAnsi="Times New Roman" w:cs="Times New Roman"/>
          <w:lang w:val="pl-PL"/>
        </w:rPr>
        <w:t>medi</w:t>
      </w:r>
      <w:r w:rsidR="00D058C6" w:rsidRPr="00C03220">
        <w:rPr>
          <w:rFonts w:ascii="Times New Roman" w:hAnsi="Times New Roman" w:cs="Times New Roman"/>
          <w:lang w:val="pl-PL"/>
        </w:rPr>
        <w:t>ach</w:t>
      </w:r>
      <w:r w:rsidRPr="00C03220">
        <w:rPr>
          <w:rFonts w:ascii="Times New Roman" w:hAnsi="Times New Roman" w:cs="Times New Roman"/>
          <w:lang w:val="pl-PL"/>
        </w:rPr>
        <w:t xml:space="preserve"> elektronicznych, </w:t>
      </w:r>
      <w:r w:rsidR="006B1DF1" w:rsidRPr="00C03220">
        <w:rPr>
          <w:rFonts w:ascii="Times New Roman" w:hAnsi="Times New Roman" w:cs="Times New Roman"/>
          <w:lang w:val="pl-PL"/>
        </w:rPr>
        <w:t>nawołujących</w:t>
      </w:r>
      <w:r w:rsidRPr="00C03220">
        <w:rPr>
          <w:rFonts w:ascii="Times New Roman" w:hAnsi="Times New Roman" w:cs="Times New Roman"/>
          <w:lang w:val="pl-PL"/>
        </w:rPr>
        <w:t xml:space="preserve"> do </w:t>
      </w:r>
      <w:r w:rsidR="006B1DF1" w:rsidRPr="00C03220">
        <w:rPr>
          <w:rFonts w:ascii="Times New Roman" w:hAnsi="Times New Roman" w:cs="Times New Roman"/>
          <w:lang w:val="pl-PL"/>
        </w:rPr>
        <w:t>nienawiści</w:t>
      </w:r>
      <w:r w:rsidRPr="00C03220">
        <w:rPr>
          <w:rFonts w:ascii="Times New Roman" w:hAnsi="Times New Roman" w:cs="Times New Roman"/>
          <w:lang w:val="pl-PL"/>
        </w:rPr>
        <w:t xml:space="preserve">, dyskryminacji lub przemocy wobec grup rasowych, etnicznych, narodowych czy religijnych bądź ich członków na </w:t>
      </w:r>
      <w:r w:rsidR="006B1DF1" w:rsidRPr="00C03220">
        <w:rPr>
          <w:rFonts w:ascii="Times New Roman" w:hAnsi="Times New Roman" w:cs="Times New Roman"/>
          <w:lang w:val="pl-PL"/>
        </w:rPr>
        <w:t>podstawie</w:t>
      </w:r>
      <w:r w:rsidRPr="00C03220">
        <w:rPr>
          <w:rFonts w:ascii="Times New Roman" w:hAnsi="Times New Roman" w:cs="Times New Roman"/>
          <w:lang w:val="pl-PL"/>
        </w:rPr>
        <w:t xml:space="preserve"> przynależności do takich grup, a także opracowywania, dystrybucji i przechowywania takich materiałów w celach dystrybucji. </w:t>
      </w:r>
      <w:r w:rsidR="00A541B4" w:rsidRPr="00C03220">
        <w:rPr>
          <w:rFonts w:ascii="Times New Roman" w:hAnsi="Times New Roman" w:cs="Times New Roman"/>
          <w:lang w:val="pl-PL"/>
        </w:rPr>
        <w:t xml:space="preserve">Ściganie karne </w:t>
      </w:r>
      <w:r w:rsidRPr="00C03220">
        <w:rPr>
          <w:rFonts w:ascii="Times New Roman" w:hAnsi="Times New Roman" w:cs="Times New Roman"/>
          <w:lang w:val="pl-PL"/>
        </w:rPr>
        <w:t xml:space="preserve">przestępstw o charakterze rasistowskim lub ksenofobicznym należy uznać za priorytetowe oraz podejmować w sposób aktywny i </w:t>
      </w:r>
      <w:r w:rsidR="006B1DF1" w:rsidRPr="00C03220">
        <w:rPr>
          <w:rFonts w:ascii="Times New Roman" w:hAnsi="Times New Roman" w:cs="Times New Roman"/>
          <w:lang w:val="pl-PL"/>
        </w:rPr>
        <w:t>konsekwentny</w:t>
      </w:r>
      <w:r w:rsidRPr="00C03220">
        <w:rPr>
          <w:rFonts w:ascii="Times New Roman" w:hAnsi="Times New Roman" w:cs="Times New Roman"/>
          <w:lang w:val="pl-PL"/>
        </w:rPr>
        <w:t xml:space="preserve">. W dalszej </w:t>
      </w:r>
      <w:r w:rsidR="006B1DF1" w:rsidRPr="00C03220">
        <w:rPr>
          <w:rFonts w:ascii="Times New Roman" w:hAnsi="Times New Roman" w:cs="Times New Roman"/>
          <w:lang w:val="pl-PL"/>
        </w:rPr>
        <w:t>kolejności</w:t>
      </w:r>
      <w:r w:rsidRPr="00C03220">
        <w:rPr>
          <w:rFonts w:ascii="Times New Roman" w:hAnsi="Times New Roman" w:cs="Times New Roman"/>
          <w:lang w:val="pl-PL"/>
        </w:rPr>
        <w:t xml:space="preserve"> ECRI sugerowała wprowadzenie zakazu </w:t>
      </w:r>
      <w:r w:rsidR="006B1DF1" w:rsidRPr="00C03220">
        <w:rPr>
          <w:rFonts w:ascii="Times New Roman" w:hAnsi="Times New Roman" w:cs="Times New Roman"/>
          <w:lang w:val="pl-PL"/>
        </w:rPr>
        <w:t>prowadzenia</w:t>
      </w:r>
      <w:r w:rsidRPr="00C03220">
        <w:rPr>
          <w:rFonts w:ascii="Times New Roman" w:hAnsi="Times New Roman" w:cs="Times New Roman"/>
          <w:lang w:val="pl-PL"/>
        </w:rPr>
        <w:t xml:space="preserve"> </w:t>
      </w:r>
      <w:r w:rsidR="006B1DF1" w:rsidRPr="00C03220">
        <w:rPr>
          <w:rFonts w:ascii="Times New Roman" w:hAnsi="Times New Roman" w:cs="Times New Roman"/>
          <w:lang w:val="pl-PL"/>
        </w:rPr>
        <w:t>działalności</w:t>
      </w:r>
      <w:r w:rsidRPr="00C03220">
        <w:rPr>
          <w:rFonts w:ascii="Times New Roman" w:hAnsi="Times New Roman" w:cs="Times New Roman"/>
          <w:lang w:val="pl-PL"/>
        </w:rPr>
        <w:t xml:space="preserve"> przez organizacje rasistowskie w przypadkach stwierdzenia, że takie działania przyczynią się do </w:t>
      </w:r>
      <w:r w:rsidR="006B1DF1" w:rsidRPr="00C03220">
        <w:rPr>
          <w:rFonts w:ascii="Times New Roman" w:hAnsi="Times New Roman" w:cs="Times New Roman"/>
          <w:lang w:val="pl-PL"/>
        </w:rPr>
        <w:t>zwalczania</w:t>
      </w:r>
      <w:r w:rsidRPr="00C03220">
        <w:rPr>
          <w:rFonts w:ascii="Times New Roman" w:hAnsi="Times New Roman" w:cs="Times New Roman"/>
          <w:lang w:val="pl-PL"/>
        </w:rPr>
        <w:t xml:space="preserve"> rasizmu.</w:t>
      </w:r>
      <w:r w:rsidRPr="00C03220">
        <w:rPr>
          <w:rFonts w:ascii="Times New Roman" w:hAnsi="Times New Roman" w:cs="Times New Roman"/>
          <w:sz w:val="20"/>
          <w:vertAlign w:val="superscript"/>
          <w:lang w:val="pl-PL"/>
        </w:rPr>
        <w:footnoteReference w:id="13"/>
      </w:r>
      <w:r w:rsidRPr="00C03220">
        <w:rPr>
          <w:rFonts w:ascii="Times New Roman" w:hAnsi="Times New Roman" w:cs="Times New Roman"/>
          <w:lang w:val="pl-PL"/>
        </w:rPr>
        <w:t xml:space="preserve"> Zauważając, iż na obszarze całej Europy Romowie cierpią ze względu na </w:t>
      </w:r>
      <w:r w:rsidR="006B1DF1" w:rsidRPr="00C03220">
        <w:rPr>
          <w:rFonts w:ascii="Times New Roman" w:hAnsi="Times New Roman" w:cs="Times New Roman"/>
          <w:lang w:val="pl-PL"/>
        </w:rPr>
        <w:t>utrzymujące</w:t>
      </w:r>
      <w:r w:rsidRPr="00C03220">
        <w:rPr>
          <w:rFonts w:ascii="Times New Roman" w:hAnsi="Times New Roman" w:cs="Times New Roman"/>
          <w:lang w:val="pl-PL"/>
        </w:rPr>
        <w:t xml:space="preserve"> </w:t>
      </w:r>
      <w:r w:rsidR="006B1DF1" w:rsidRPr="00C03220">
        <w:rPr>
          <w:rFonts w:ascii="Times New Roman" w:hAnsi="Times New Roman" w:cs="Times New Roman"/>
          <w:lang w:val="pl-PL"/>
        </w:rPr>
        <w:t>się</w:t>
      </w:r>
      <w:r w:rsidRPr="00C03220">
        <w:rPr>
          <w:rFonts w:ascii="Times New Roman" w:hAnsi="Times New Roman" w:cs="Times New Roman"/>
          <w:lang w:val="pl-PL"/>
        </w:rPr>
        <w:t xml:space="preserve"> uprzedzenia, ECRI szczególnie zaleciła Państwom podjęcie odpowiednich kroków, by zapewnić pełne i szybkie wymierzanie sprawiedliwości w sprawach dotyczących naruszenia podstawowych praw Romów.</w:t>
      </w:r>
      <w:r w:rsidRPr="00C03220">
        <w:rPr>
          <w:rFonts w:ascii="Times New Roman" w:hAnsi="Times New Roman" w:cs="Times New Roman"/>
          <w:sz w:val="20"/>
          <w:vertAlign w:val="superscript"/>
          <w:lang w:val="pl-PL"/>
        </w:rPr>
        <w:footnoteReference w:id="14"/>
      </w:r>
      <w:r w:rsidRPr="00C03220">
        <w:rPr>
          <w:rFonts w:ascii="Times New Roman" w:hAnsi="Times New Roman" w:cs="Times New Roman"/>
          <w:lang w:val="pl-PL"/>
        </w:rPr>
        <w:t xml:space="preserve"> Z kolei w dniu 1 lutego 2012 r. Komitet Ministrów przyjął „Deklarację w sprawie </w:t>
      </w:r>
      <w:r w:rsidR="00C43CF1" w:rsidRPr="00C03220">
        <w:rPr>
          <w:rFonts w:ascii="Times New Roman" w:hAnsi="Times New Roman" w:cs="Times New Roman"/>
          <w:lang w:val="pl-PL"/>
        </w:rPr>
        <w:t>wzrostu uprzedzeń wobec Romów i przemocy względem Romów na tle ra</w:t>
      </w:r>
      <w:r w:rsidRPr="00C03220">
        <w:rPr>
          <w:rFonts w:ascii="Times New Roman" w:hAnsi="Times New Roman" w:cs="Times New Roman"/>
          <w:lang w:val="pl-PL"/>
        </w:rPr>
        <w:t>sistowsk</w:t>
      </w:r>
      <w:r w:rsidR="00C43CF1" w:rsidRPr="00C03220">
        <w:rPr>
          <w:rFonts w:ascii="Times New Roman" w:hAnsi="Times New Roman" w:cs="Times New Roman"/>
          <w:lang w:val="pl-PL"/>
        </w:rPr>
        <w:t xml:space="preserve">im w </w:t>
      </w:r>
      <w:r w:rsidRPr="00C03220">
        <w:rPr>
          <w:rFonts w:ascii="Times New Roman" w:hAnsi="Times New Roman" w:cs="Times New Roman"/>
          <w:lang w:val="pl-PL"/>
        </w:rPr>
        <w:t>Europ</w:t>
      </w:r>
      <w:r w:rsidR="00C43CF1" w:rsidRPr="00C03220">
        <w:rPr>
          <w:rFonts w:ascii="Times New Roman" w:hAnsi="Times New Roman" w:cs="Times New Roman"/>
          <w:lang w:val="pl-PL"/>
        </w:rPr>
        <w:t>i</w:t>
      </w:r>
      <w:r w:rsidRPr="00C03220">
        <w:rPr>
          <w:rFonts w:ascii="Times New Roman" w:hAnsi="Times New Roman" w:cs="Times New Roman"/>
          <w:lang w:val="pl-PL"/>
        </w:rPr>
        <w:t>e”,</w:t>
      </w:r>
      <w:r w:rsidRPr="00C03220">
        <w:rPr>
          <w:rFonts w:ascii="Times New Roman" w:hAnsi="Times New Roman" w:cs="Times New Roman"/>
          <w:sz w:val="20"/>
          <w:vertAlign w:val="superscript"/>
          <w:lang w:val="pl-PL"/>
        </w:rPr>
        <w:footnoteReference w:id="15"/>
      </w:r>
      <w:r w:rsidRPr="00C03220">
        <w:rPr>
          <w:rFonts w:ascii="Times New Roman" w:hAnsi="Times New Roman" w:cs="Times New Roman"/>
          <w:lang w:val="pl-PL"/>
        </w:rPr>
        <w:t xml:space="preserve"> wyrażając głębokie zaniepokojenie nasileniem niechęci </w:t>
      </w:r>
      <w:r w:rsidR="003F1960" w:rsidRPr="00C03220">
        <w:rPr>
          <w:rFonts w:ascii="Times New Roman" w:hAnsi="Times New Roman" w:cs="Times New Roman"/>
          <w:lang w:val="pl-PL"/>
        </w:rPr>
        <w:t>wobec</w:t>
      </w:r>
      <w:r w:rsidRPr="00C03220">
        <w:rPr>
          <w:rFonts w:ascii="Times New Roman" w:hAnsi="Times New Roman" w:cs="Times New Roman"/>
          <w:lang w:val="pl-PL"/>
        </w:rPr>
        <w:t xml:space="preserve"> Romów, retoryki antyromskiej oraz aktów przemocy względem Romów i wzywając władze publiczne na wszystkich poziomach </w:t>
      </w:r>
      <w:r w:rsidRPr="00C03220">
        <w:rPr>
          <w:rFonts w:ascii="Times New Roman" w:hAnsi="Times New Roman" w:cs="Times New Roman"/>
          <w:lang w:val="pl-PL"/>
        </w:rPr>
        <w:lastRenderedPageBreak/>
        <w:t xml:space="preserve">do szybkiego i skutecznego prowadzenia koniecznych dochodzeń w sprawach dotyczących przestępstw popełnionych przeciwko </w:t>
      </w:r>
      <w:r w:rsidR="003F1960" w:rsidRPr="00C03220">
        <w:rPr>
          <w:rFonts w:ascii="Times New Roman" w:hAnsi="Times New Roman" w:cs="Times New Roman"/>
          <w:lang w:val="pl-PL"/>
        </w:rPr>
        <w:t>ludności</w:t>
      </w:r>
      <w:r w:rsidRPr="00C03220">
        <w:rPr>
          <w:rFonts w:ascii="Times New Roman" w:hAnsi="Times New Roman" w:cs="Times New Roman"/>
          <w:lang w:val="pl-PL"/>
        </w:rPr>
        <w:t xml:space="preserve"> romskiej oraz identyfikacji rasistowskich motywów popełnienia takich czynów. Komisja poparła także wysiłki mające na celu zwalczanie i potępianie organizacji ekstremistycznych nawołującyc</w:t>
      </w:r>
      <w:r w:rsidR="00A541B4" w:rsidRPr="00C03220">
        <w:rPr>
          <w:rFonts w:ascii="Times New Roman" w:hAnsi="Times New Roman" w:cs="Times New Roman"/>
          <w:lang w:val="pl-PL"/>
        </w:rPr>
        <w:t>h do bądź popełniających przestę</w:t>
      </w:r>
      <w:r w:rsidRPr="00C03220">
        <w:rPr>
          <w:rFonts w:ascii="Times New Roman" w:hAnsi="Times New Roman" w:cs="Times New Roman"/>
          <w:lang w:val="pl-PL"/>
        </w:rPr>
        <w:t>pstwa tego rodzaju.</w:t>
      </w:r>
    </w:p>
    <w:p w:rsidR="004D2070" w:rsidRPr="00C03220" w:rsidRDefault="004D2070" w:rsidP="004D2070">
      <w:pPr>
        <w:pStyle w:val="OpiPara"/>
        <w:rPr>
          <w:rFonts w:ascii="Times New Roman" w:hAnsi="Times New Roman" w:cs="Times New Roman"/>
          <w:lang w:val="pl-PL"/>
        </w:rPr>
      </w:pPr>
      <w:r w:rsidRPr="00C03220">
        <w:rPr>
          <w:rFonts w:ascii="Times New Roman" w:hAnsi="Times New Roman" w:cs="Times New Roman"/>
          <w:lang w:val="pl-PL"/>
        </w:rPr>
        <w:t>W pełnej zgodności z tymi standardami Europejski Trybunał Praw Człowieka (Trybunał) podkreślił kluczowe znaczenie zwalczania dyskryminacji rasowej we wszystkich formach i przejawach, w tym mowy nienawiści lub wypowiedzi, których celem jest dyskryminowanie grup etnicznych.</w:t>
      </w:r>
      <w:r w:rsidRPr="00C03220">
        <w:rPr>
          <w:rFonts w:ascii="Times New Roman" w:hAnsi="Times New Roman" w:cs="Times New Roman"/>
          <w:sz w:val="20"/>
          <w:vertAlign w:val="superscript"/>
          <w:lang w:val="pl-PL"/>
        </w:rPr>
        <w:footnoteReference w:id="16"/>
      </w:r>
      <w:r w:rsidRPr="00C03220">
        <w:rPr>
          <w:rFonts w:ascii="Times New Roman" w:hAnsi="Times New Roman" w:cs="Times New Roman"/>
          <w:lang w:val="pl-PL"/>
        </w:rPr>
        <w:t xml:space="preserve"> Ponadto Trybunał oświadczył, że przemoc stanowi szczególną zniewagę dla godności ludzkiej i wymaga szczególnej </w:t>
      </w:r>
      <w:r w:rsidR="003F1960" w:rsidRPr="00C03220">
        <w:rPr>
          <w:rFonts w:ascii="Times New Roman" w:hAnsi="Times New Roman" w:cs="Times New Roman"/>
          <w:lang w:val="pl-PL"/>
        </w:rPr>
        <w:t>czujności</w:t>
      </w:r>
      <w:r w:rsidRPr="00C03220">
        <w:rPr>
          <w:rFonts w:ascii="Times New Roman" w:hAnsi="Times New Roman" w:cs="Times New Roman"/>
          <w:lang w:val="pl-PL"/>
        </w:rPr>
        <w:t xml:space="preserve"> i żywej reakcji ze strony władz.</w:t>
      </w:r>
      <w:r w:rsidRPr="00C03220">
        <w:rPr>
          <w:rFonts w:ascii="Times New Roman" w:hAnsi="Times New Roman" w:cs="Times New Roman"/>
          <w:sz w:val="20"/>
          <w:vertAlign w:val="superscript"/>
          <w:lang w:val="pl-PL"/>
        </w:rPr>
        <w:footnoteReference w:id="17"/>
      </w:r>
      <w:r w:rsidRPr="00C03220">
        <w:rPr>
          <w:rFonts w:ascii="Times New Roman" w:hAnsi="Times New Roman" w:cs="Times New Roman"/>
          <w:lang w:val="pl-PL"/>
        </w:rPr>
        <w:t xml:space="preserve"> Trudne położenie grupy, której dotyczy dyskryminacja i przemoc, zostało uwzględnione w analizie Trybunału: przykładowo Trybunał ustalił, że osoby pochodzenia romskiego podlegają ochronie szczególnej na podstawie artykułu 14 Konwencji.</w:t>
      </w:r>
      <w:r w:rsidRPr="00C03220">
        <w:rPr>
          <w:rFonts w:ascii="Times New Roman" w:hAnsi="Times New Roman" w:cs="Times New Roman"/>
          <w:sz w:val="20"/>
          <w:vertAlign w:val="superscript"/>
          <w:lang w:val="pl-PL"/>
        </w:rPr>
        <w:footnoteReference w:id="18"/>
      </w:r>
    </w:p>
    <w:p w:rsidR="004D2070" w:rsidRPr="00C03220" w:rsidRDefault="004D2070" w:rsidP="004D2070">
      <w:pPr>
        <w:pStyle w:val="OpiPara"/>
        <w:rPr>
          <w:rFonts w:ascii="Times New Roman" w:hAnsi="Times New Roman" w:cs="Times New Roman"/>
          <w:lang w:val="pl-PL"/>
        </w:rPr>
      </w:pPr>
      <w:r w:rsidRPr="00C03220">
        <w:rPr>
          <w:rFonts w:ascii="Times New Roman" w:hAnsi="Times New Roman" w:cs="Times New Roman"/>
          <w:b/>
          <w:bCs/>
          <w:lang w:val="pl-PL"/>
        </w:rPr>
        <w:t>Zatem Państwa Strony Konwencji mają obowiązek uznania za pr</w:t>
      </w:r>
      <w:r w:rsidR="00D058C6" w:rsidRPr="00C03220">
        <w:rPr>
          <w:rFonts w:ascii="Times New Roman" w:hAnsi="Times New Roman" w:cs="Times New Roman"/>
          <w:b/>
          <w:bCs/>
          <w:lang w:val="pl-PL"/>
        </w:rPr>
        <w:t>zestępstwo wypowiedzi i wszelkich</w:t>
      </w:r>
      <w:r w:rsidRPr="00C03220">
        <w:rPr>
          <w:rFonts w:ascii="Times New Roman" w:hAnsi="Times New Roman" w:cs="Times New Roman"/>
          <w:b/>
          <w:bCs/>
          <w:lang w:val="pl-PL"/>
        </w:rPr>
        <w:t xml:space="preserve"> inn</w:t>
      </w:r>
      <w:r w:rsidR="00D058C6" w:rsidRPr="00C03220">
        <w:rPr>
          <w:rFonts w:ascii="Times New Roman" w:hAnsi="Times New Roman" w:cs="Times New Roman"/>
          <w:b/>
          <w:bCs/>
          <w:lang w:val="pl-PL"/>
        </w:rPr>
        <w:t>ych</w:t>
      </w:r>
      <w:r w:rsidRPr="00C03220">
        <w:rPr>
          <w:rFonts w:ascii="Times New Roman" w:hAnsi="Times New Roman" w:cs="Times New Roman"/>
          <w:b/>
          <w:bCs/>
          <w:lang w:val="pl-PL"/>
        </w:rPr>
        <w:t xml:space="preserve"> form rozpowszechniania rasizmu, ksenofobii lub nietolerancji etnicznej, zakazu wszelkich stowarzyszeń i rozwiązywania wszelkich grup, organizacji, </w:t>
      </w:r>
      <w:r w:rsidR="003F1960" w:rsidRPr="00C03220">
        <w:rPr>
          <w:rFonts w:ascii="Times New Roman" w:hAnsi="Times New Roman" w:cs="Times New Roman"/>
          <w:b/>
          <w:bCs/>
          <w:lang w:val="pl-PL"/>
        </w:rPr>
        <w:t>stowarzyszeń</w:t>
      </w:r>
      <w:r w:rsidRPr="00C03220">
        <w:rPr>
          <w:rFonts w:ascii="Times New Roman" w:hAnsi="Times New Roman" w:cs="Times New Roman"/>
          <w:b/>
          <w:bCs/>
          <w:lang w:val="pl-PL"/>
        </w:rPr>
        <w:t xml:space="preserve"> lub partii, które je propagują. </w:t>
      </w:r>
      <w:r w:rsidRPr="00C03220">
        <w:rPr>
          <w:rFonts w:ascii="Times New Roman" w:hAnsi="Times New Roman" w:cs="Times New Roman"/>
          <w:lang w:val="pl-PL"/>
        </w:rPr>
        <w:t>Państwa mają obowiązek nie tylko postawienia domniemanych sprawców przed wymiarem sprawiedliwości i nadania ofiarom rasizmu akty</w:t>
      </w:r>
      <w:r w:rsidR="00D058C6" w:rsidRPr="00C03220">
        <w:rPr>
          <w:rFonts w:ascii="Times New Roman" w:hAnsi="Times New Roman" w:cs="Times New Roman"/>
          <w:lang w:val="pl-PL"/>
        </w:rPr>
        <w:t>wnej roli w postępowaniu karnym</w:t>
      </w:r>
      <w:r w:rsidRPr="00C03220">
        <w:rPr>
          <w:rFonts w:ascii="Times New Roman" w:hAnsi="Times New Roman" w:cs="Times New Roman"/>
          <w:lang w:val="pl-PL"/>
        </w:rPr>
        <w:t>, lecz także zapobiegania popełnianiu bądź</w:t>
      </w:r>
      <w:r w:rsidR="003F1960" w:rsidRPr="00C03220">
        <w:rPr>
          <w:rFonts w:ascii="Times New Roman" w:hAnsi="Times New Roman" w:cs="Times New Roman"/>
          <w:lang w:val="pl-PL"/>
        </w:rPr>
        <w:t xml:space="preserve"> powtórnemu popełnianiu przestępstw </w:t>
      </w:r>
      <w:r w:rsidRPr="00C03220">
        <w:rPr>
          <w:rFonts w:ascii="Times New Roman" w:hAnsi="Times New Roman" w:cs="Times New Roman"/>
          <w:lang w:val="pl-PL"/>
        </w:rPr>
        <w:t xml:space="preserve">przez osoby prywatne. </w:t>
      </w:r>
      <w:r w:rsidRPr="00C03220">
        <w:rPr>
          <w:rFonts w:ascii="Times New Roman" w:hAnsi="Times New Roman" w:cs="Times New Roman"/>
          <w:b/>
          <w:bCs/>
          <w:lang w:val="pl-PL"/>
        </w:rPr>
        <w:t xml:space="preserve">Niezbędne jest uznanie takiego międzynarodowego obowiązku, </w:t>
      </w:r>
      <w:r w:rsidR="00772FEF" w:rsidRPr="00C03220">
        <w:rPr>
          <w:rFonts w:ascii="Times New Roman" w:hAnsi="Times New Roman" w:cs="Times New Roman"/>
          <w:b/>
          <w:bCs/>
          <w:lang w:val="pl-PL"/>
        </w:rPr>
        <w:t>zgodnie z szerokim i długotrwałym konsensusem</w:t>
      </w:r>
      <w:r w:rsidRPr="00C03220">
        <w:rPr>
          <w:rFonts w:ascii="Times New Roman" w:hAnsi="Times New Roman" w:cs="Times New Roman"/>
          <w:b/>
          <w:bCs/>
          <w:lang w:val="pl-PL"/>
        </w:rPr>
        <w:t xml:space="preserve">, o którym mowa powyżej, za zasadę międzynarodowego prawa zwyczajowego, obowiązującą wszystkie Państwa, oraz bezwzględnie obowiązującą normę, </w:t>
      </w:r>
      <w:r w:rsidR="00772FEF" w:rsidRPr="00C03220">
        <w:rPr>
          <w:rFonts w:ascii="Times New Roman" w:hAnsi="Times New Roman" w:cs="Times New Roman"/>
          <w:b/>
          <w:bCs/>
          <w:lang w:val="pl-PL"/>
        </w:rPr>
        <w:t>której żadne inne przepisy prawa międzynarodowego lub krajowego nie mogą uchylić.</w:t>
      </w:r>
      <w:r w:rsidRPr="00C03220">
        <w:rPr>
          <w:rFonts w:ascii="Times New Roman" w:hAnsi="Times New Roman" w:cs="Times New Roman"/>
          <w:lang w:val="pl-PL"/>
        </w:rPr>
        <w:t xml:space="preserve"> Zatem tolerowanie przez Państwo wypowiedzi, ekspresji lub działań jakichkolwiek osób fizycznych, zgromadzeń, grup, organizacji, stowarzyszeń czy partii politycznych, których celem jest rozpowszechnianie rasizmu, ksenofobii lub nietolerancji etnicznej, stanowi naruszenie obowiązku Państwa Strony.</w:t>
      </w:r>
    </w:p>
    <w:p w:rsidR="00D058C6" w:rsidRPr="00C03220" w:rsidRDefault="00D058C6" w:rsidP="00D058C6">
      <w:pPr>
        <w:pStyle w:val="ECHRHeading2"/>
        <w:numPr>
          <w:ilvl w:val="0"/>
          <w:numId w:val="0"/>
        </w:numPr>
        <w:spacing w:before="240" w:after="120"/>
        <w:rPr>
          <w:rFonts w:ascii="Times New Roman" w:hAnsi="Times New Roman" w:cs="Times New Roman"/>
          <w:color w:val="auto"/>
          <w:sz w:val="24"/>
          <w:szCs w:val="24"/>
          <w:lang w:val="pl-PL"/>
        </w:rPr>
      </w:pPr>
    </w:p>
    <w:p w:rsidR="004D2070" w:rsidRPr="00C03220" w:rsidRDefault="004D2070" w:rsidP="00D058C6">
      <w:pPr>
        <w:pStyle w:val="ECHRHeading2"/>
        <w:numPr>
          <w:ilvl w:val="0"/>
          <w:numId w:val="0"/>
        </w:numPr>
        <w:spacing w:before="240" w:after="120"/>
        <w:rPr>
          <w:rFonts w:ascii="Times New Roman" w:hAnsi="Times New Roman" w:cs="Times New Roman"/>
          <w:color w:val="auto"/>
          <w:sz w:val="24"/>
          <w:szCs w:val="24"/>
          <w:lang w:val="pl-PL"/>
        </w:rPr>
      </w:pPr>
      <w:r w:rsidRPr="00C03220">
        <w:rPr>
          <w:rFonts w:ascii="Times New Roman" w:hAnsi="Times New Roman" w:cs="Times New Roman"/>
          <w:color w:val="auto"/>
          <w:sz w:val="24"/>
          <w:szCs w:val="24"/>
          <w:lang w:val="pl-PL"/>
        </w:rPr>
        <w:lastRenderedPageBreak/>
        <w:t>Rozwiązanie stowarzyszenia</w:t>
      </w:r>
    </w:p>
    <w:p w:rsidR="004D2070" w:rsidRPr="00C03220" w:rsidRDefault="004D2070" w:rsidP="004D2070">
      <w:pPr>
        <w:pStyle w:val="OpiPara"/>
        <w:rPr>
          <w:rFonts w:ascii="Times New Roman" w:hAnsi="Times New Roman" w:cs="Times New Roman"/>
          <w:lang w:val="pl-PL"/>
        </w:rPr>
      </w:pPr>
      <w:r w:rsidRPr="00C03220">
        <w:rPr>
          <w:rFonts w:ascii="Times New Roman" w:hAnsi="Times New Roman" w:cs="Times New Roman"/>
          <w:lang w:val="pl-PL"/>
        </w:rPr>
        <w:t>Rozwiązanie stowarzyszenia uzależnione jest od ściśle określonych warunków wskazanych w artykule 11 Konwencji, mianowicie dążenia do interesów bezpieczeństwa państwowego, bezpieczeństwa publicznego, zapobiegania zakłóceniom porządku lub przestępstwom, ochrony zdrowia i moralności lub ochron</w:t>
      </w:r>
      <w:r w:rsidR="00521073" w:rsidRPr="00C03220">
        <w:rPr>
          <w:rFonts w:ascii="Times New Roman" w:hAnsi="Times New Roman" w:cs="Times New Roman"/>
          <w:lang w:val="pl-PL"/>
        </w:rPr>
        <w:t>y</w:t>
      </w:r>
      <w:r w:rsidRPr="00C03220">
        <w:rPr>
          <w:rFonts w:ascii="Times New Roman" w:hAnsi="Times New Roman" w:cs="Times New Roman"/>
          <w:lang w:val="pl-PL"/>
        </w:rPr>
        <w:t xml:space="preserve"> praw i wolności innych osób. Ponadto ingerencja w wolność stowarzyszania się może być uzasadniona wyłącznie, jeżeli spełnia dwa kryteria: kryterium konieczności i kryterium proporcjonalności.</w:t>
      </w:r>
      <w:r w:rsidRPr="00C03220">
        <w:rPr>
          <w:rFonts w:ascii="Times New Roman" w:hAnsi="Times New Roman" w:cs="Times New Roman"/>
          <w:sz w:val="20"/>
          <w:vertAlign w:val="superscript"/>
          <w:lang w:val="pl-PL"/>
        </w:rPr>
        <w:footnoteReference w:id="19"/>
      </w:r>
      <w:r w:rsidR="00521073" w:rsidRPr="00C03220">
        <w:rPr>
          <w:rFonts w:ascii="Times New Roman" w:hAnsi="Times New Roman" w:cs="Times New Roman"/>
          <w:lang w:val="pl-PL"/>
        </w:rPr>
        <w:t xml:space="preserve"> W szczególności</w:t>
      </w:r>
      <w:r w:rsidRPr="00C03220">
        <w:rPr>
          <w:rFonts w:ascii="Times New Roman" w:hAnsi="Times New Roman" w:cs="Times New Roman"/>
          <w:lang w:val="pl-PL"/>
        </w:rPr>
        <w:t xml:space="preserve"> rządy, władze publiczne i funkcjonariusze publiczni mają obowiązek ścisłego przestrzegania zasady neutralności treści w sytuacji ingerencji w wolność stowarzyszania się, wstrzymywania się od zakazywania prowadzenia działalności przez stowarzyszenia </w:t>
      </w:r>
      <w:r w:rsidR="003F1960" w:rsidRPr="00C03220">
        <w:rPr>
          <w:rFonts w:ascii="Times New Roman" w:hAnsi="Times New Roman" w:cs="Times New Roman"/>
          <w:lang w:val="pl-PL"/>
        </w:rPr>
        <w:t>bądź zastrzegania</w:t>
      </w:r>
      <w:r w:rsidRPr="00C03220">
        <w:rPr>
          <w:rFonts w:ascii="Times New Roman" w:hAnsi="Times New Roman" w:cs="Times New Roman"/>
          <w:lang w:val="pl-PL"/>
        </w:rPr>
        <w:t xml:space="preserve"> innego traktowania stowarzyszeń, z których działaniami czy poglądami </w:t>
      </w:r>
      <w:r w:rsidR="006B1DF1" w:rsidRPr="00C03220">
        <w:rPr>
          <w:rFonts w:ascii="Times New Roman" w:hAnsi="Times New Roman" w:cs="Times New Roman"/>
          <w:lang w:val="pl-PL"/>
        </w:rPr>
        <w:t>się</w:t>
      </w:r>
      <w:r w:rsidRPr="00C03220">
        <w:rPr>
          <w:rFonts w:ascii="Times New Roman" w:hAnsi="Times New Roman" w:cs="Times New Roman"/>
          <w:lang w:val="pl-PL"/>
        </w:rPr>
        <w:t xml:space="preserve"> nie zgadzają.</w:t>
      </w:r>
      <w:r w:rsidRPr="00C03220">
        <w:rPr>
          <w:rFonts w:ascii="Times New Roman" w:hAnsi="Times New Roman" w:cs="Times New Roman"/>
          <w:sz w:val="20"/>
          <w:vertAlign w:val="superscript"/>
          <w:lang w:val="pl-PL"/>
        </w:rPr>
        <w:footnoteReference w:id="20"/>
      </w:r>
    </w:p>
    <w:p w:rsidR="004D2070" w:rsidRPr="00C03220" w:rsidRDefault="004D2070" w:rsidP="004D2070">
      <w:pPr>
        <w:pStyle w:val="OpiPara"/>
        <w:rPr>
          <w:rFonts w:ascii="Times New Roman" w:hAnsi="Times New Roman" w:cs="Times New Roman"/>
          <w:lang w:val="pl-PL"/>
        </w:rPr>
      </w:pPr>
      <w:bookmarkStart w:id="2" w:name="_ftnref46"/>
      <w:bookmarkEnd w:id="2"/>
      <w:r w:rsidRPr="00C03220">
        <w:rPr>
          <w:rFonts w:ascii="Times New Roman" w:hAnsi="Times New Roman" w:cs="Times New Roman"/>
          <w:lang w:val="pl-PL"/>
        </w:rPr>
        <w:t xml:space="preserve">Standardowo stowarzyszenia posiadają kilka celów statutowych, spośród których jedne są ważniejsze od innych. Z tego względu niezwykle ważnym jest odróżnić cele podstawowe – czyli takie, bez których stowarzyszenie nie zostałoby założone – od celów drugorzędnych, bez których stowarzyszenie mogłoby zostać założone. Rozwiązanie jest właściwe wyłącznie w sytuacji, gdy niezgodny z prawem jest podstawowy cel stowarzyszenia. W przypadku, gdy możliwe jest usunięcie niezgodnego z prawem celu statutowego, rozwiązanie jest z zasady nieodpowiednie, a władze krajowe powinny </w:t>
      </w:r>
      <w:r w:rsidR="006B1DF1" w:rsidRPr="00C03220">
        <w:rPr>
          <w:rFonts w:ascii="Times New Roman" w:hAnsi="Times New Roman" w:cs="Times New Roman"/>
          <w:lang w:val="pl-PL"/>
        </w:rPr>
        <w:t>przyznać</w:t>
      </w:r>
      <w:r w:rsidRPr="00C03220">
        <w:rPr>
          <w:rFonts w:ascii="Times New Roman" w:hAnsi="Times New Roman" w:cs="Times New Roman"/>
          <w:lang w:val="pl-PL"/>
        </w:rPr>
        <w:t xml:space="preserve"> </w:t>
      </w:r>
      <w:r w:rsidR="006B1DF1" w:rsidRPr="00C03220">
        <w:rPr>
          <w:rFonts w:ascii="Times New Roman" w:hAnsi="Times New Roman" w:cs="Times New Roman"/>
          <w:lang w:val="pl-PL"/>
        </w:rPr>
        <w:t>pierwszeństwo</w:t>
      </w:r>
      <w:r w:rsidRPr="00C03220">
        <w:rPr>
          <w:rFonts w:ascii="Times New Roman" w:hAnsi="Times New Roman" w:cs="Times New Roman"/>
          <w:lang w:val="pl-PL"/>
        </w:rPr>
        <w:t xml:space="preserve"> usunięciu niezgodnego z prawem celu z aktu założycielskiego.</w:t>
      </w:r>
      <w:r w:rsidRPr="00C03220">
        <w:rPr>
          <w:rFonts w:ascii="Times New Roman" w:hAnsi="Times New Roman" w:cs="Times New Roman"/>
          <w:sz w:val="20"/>
          <w:vertAlign w:val="superscript"/>
          <w:lang w:val="pl-PL"/>
        </w:rPr>
        <w:footnoteReference w:id="21"/>
      </w:r>
    </w:p>
    <w:p w:rsidR="004D2070" w:rsidRPr="00C03220" w:rsidRDefault="004D2070" w:rsidP="004D2070">
      <w:pPr>
        <w:pStyle w:val="OpiPara"/>
        <w:rPr>
          <w:rFonts w:ascii="Times New Roman" w:hAnsi="Times New Roman" w:cs="Times New Roman"/>
          <w:lang w:val="pl-PL"/>
        </w:rPr>
      </w:pPr>
      <w:r w:rsidRPr="00C03220">
        <w:rPr>
          <w:rFonts w:ascii="Times New Roman" w:hAnsi="Times New Roman" w:cs="Times New Roman"/>
          <w:lang w:val="pl-PL"/>
        </w:rPr>
        <w:t xml:space="preserve">Niemniej jednak cele stowarzyszenia należy oceniać nie tylko na podstawie aktu założycielskiego, lecz także stosowanych praktyk. Niekiedy akt założycielski ukrywa niezgodną z prawem praktykę. Odstępstwa od celów statutowych stowarzyszenia mogą powstawać </w:t>
      </w:r>
      <w:r w:rsidRPr="00C03220">
        <w:rPr>
          <w:rFonts w:ascii="Times New Roman" w:hAnsi="Times New Roman" w:cs="Times New Roman"/>
          <w:i/>
          <w:iCs/>
          <w:lang w:val="pl-PL"/>
        </w:rPr>
        <w:t>ab initio</w:t>
      </w:r>
      <w:r w:rsidRPr="00C03220">
        <w:rPr>
          <w:rFonts w:ascii="Times New Roman" w:hAnsi="Times New Roman" w:cs="Times New Roman"/>
          <w:lang w:val="pl-PL"/>
        </w:rPr>
        <w:t xml:space="preserve"> lub w trakcie działań podejmowanych w terminie późniejszym. W każdym razie status stowarzyszenia nie może pełnić roli fasady skrywającej dążenie do </w:t>
      </w:r>
      <w:r w:rsidR="006B1DF1" w:rsidRPr="00C03220">
        <w:rPr>
          <w:rFonts w:ascii="Times New Roman" w:hAnsi="Times New Roman" w:cs="Times New Roman"/>
          <w:lang w:val="pl-PL"/>
        </w:rPr>
        <w:t>osiągnięcia</w:t>
      </w:r>
      <w:r w:rsidRPr="00C03220">
        <w:rPr>
          <w:rFonts w:ascii="Times New Roman" w:hAnsi="Times New Roman" w:cs="Times New Roman"/>
          <w:lang w:val="pl-PL"/>
        </w:rPr>
        <w:t xml:space="preserve"> takich </w:t>
      </w:r>
      <w:r w:rsidR="006B1DF1" w:rsidRPr="00C03220">
        <w:rPr>
          <w:rFonts w:ascii="Times New Roman" w:hAnsi="Times New Roman" w:cs="Times New Roman"/>
          <w:lang w:val="pl-PL"/>
        </w:rPr>
        <w:t>zmienionych</w:t>
      </w:r>
      <w:r w:rsidRPr="00C03220">
        <w:rPr>
          <w:rFonts w:ascii="Times New Roman" w:hAnsi="Times New Roman" w:cs="Times New Roman"/>
          <w:lang w:val="pl-PL"/>
        </w:rPr>
        <w:t xml:space="preserve"> celów.</w:t>
      </w:r>
      <w:r w:rsidRPr="00C03220">
        <w:rPr>
          <w:rFonts w:ascii="Times New Roman" w:hAnsi="Times New Roman" w:cs="Times New Roman"/>
          <w:sz w:val="20"/>
          <w:vertAlign w:val="superscript"/>
          <w:lang w:val="pl-PL"/>
        </w:rPr>
        <w:footnoteReference w:id="22"/>
      </w:r>
      <w:r w:rsidRPr="00C03220">
        <w:rPr>
          <w:rFonts w:ascii="Times New Roman" w:hAnsi="Times New Roman" w:cs="Times New Roman"/>
          <w:lang w:val="pl-PL"/>
        </w:rPr>
        <w:t xml:space="preserve"> Dodatkowo ocena praktyki </w:t>
      </w:r>
      <w:r w:rsidRPr="00C03220">
        <w:rPr>
          <w:rFonts w:ascii="Times New Roman" w:hAnsi="Times New Roman" w:cs="Times New Roman"/>
          <w:lang w:val="pl-PL"/>
        </w:rPr>
        <w:lastRenderedPageBreak/>
        <w:t>stowarzyszenia musi uwzględniać jej „ogólny styl” (</w:t>
      </w:r>
      <w:r w:rsidRPr="00C03220">
        <w:rPr>
          <w:rFonts w:ascii="Times New Roman" w:hAnsi="Times New Roman" w:cs="Times New Roman"/>
          <w:i/>
          <w:iCs/>
          <w:lang w:val="pl-PL"/>
        </w:rPr>
        <w:t>Gesamtstil</w:t>
      </w:r>
      <w:r w:rsidRPr="00C03220">
        <w:rPr>
          <w:rFonts w:ascii="Times New Roman" w:hAnsi="Times New Roman" w:cs="Times New Roman"/>
          <w:lang w:val="pl-PL"/>
        </w:rPr>
        <w:t>), to jest symbole, stroje, szyki, saluty, śpiewy i inne formy ekspresji, ponieważ pełen obraz funkcjonowania stowarzyszenia może wskazać na „znaczące podobieństwo rodzinne” (</w:t>
      </w:r>
      <w:r w:rsidRPr="00C03220">
        <w:rPr>
          <w:rFonts w:ascii="Times New Roman" w:hAnsi="Times New Roman" w:cs="Times New Roman"/>
          <w:i/>
          <w:iCs/>
          <w:lang w:val="pl-PL"/>
        </w:rPr>
        <w:t>Wesensverwandschaft</w:t>
      </w:r>
      <w:r w:rsidRPr="00C03220">
        <w:rPr>
          <w:rFonts w:ascii="Times New Roman" w:hAnsi="Times New Roman" w:cs="Times New Roman"/>
          <w:lang w:val="pl-PL"/>
        </w:rPr>
        <w:t>) do innych zakazanych stowarzyszeń.</w:t>
      </w:r>
      <w:r w:rsidRPr="00C03220">
        <w:rPr>
          <w:rFonts w:ascii="Times New Roman" w:hAnsi="Times New Roman" w:cs="Times New Roman"/>
          <w:sz w:val="20"/>
          <w:vertAlign w:val="superscript"/>
          <w:lang w:val="pl-PL"/>
        </w:rPr>
        <w:footnoteReference w:id="23"/>
      </w:r>
    </w:p>
    <w:p w:rsidR="004D2070" w:rsidRPr="00C03220" w:rsidRDefault="004D2070" w:rsidP="004D2070">
      <w:pPr>
        <w:pStyle w:val="OpiPara"/>
        <w:rPr>
          <w:rFonts w:ascii="Times New Roman" w:hAnsi="Times New Roman" w:cs="Times New Roman"/>
          <w:lang w:val="pl-PL"/>
        </w:rPr>
      </w:pPr>
      <w:r w:rsidRPr="00C03220">
        <w:rPr>
          <w:rFonts w:ascii="Times New Roman" w:hAnsi="Times New Roman" w:cs="Times New Roman"/>
          <w:lang w:val="pl-PL"/>
        </w:rPr>
        <w:t>Stowarzyszenia ponoszą odpowiedzialność za działania przywódców i członków w sytuacji, gdy są one związane z</w:t>
      </w:r>
      <w:r w:rsidR="003F1960" w:rsidRPr="00C03220">
        <w:rPr>
          <w:rFonts w:ascii="Times New Roman" w:hAnsi="Times New Roman" w:cs="Times New Roman"/>
          <w:lang w:val="pl-PL"/>
        </w:rPr>
        <w:t xml:space="preserve"> zaskarżonymi celami stowarzyszenia</w:t>
      </w:r>
      <w:r w:rsidRPr="00C03220">
        <w:rPr>
          <w:rFonts w:ascii="Times New Roman" w:hAnsi="Times New Roman" w:cs="Times New Roman"/>
          <w:lang w:val="pl-PL"/>
        </w:rPr>
        <w:t>.</w:t>
      </w:r>
      <w:r w:rsidRPr="00C03220">
        <w:rPr>
          <w:rFonts w:ascii="Times New Roman" w:hAnsi="Times New Roman" w:cs="Times New Roman"/>
          <w:sz w:val="20"/>
          <w:vertAlign w:val="superscript"/>
          <w:lang w:val="pl-PL"/>
        </w:rPr>
        <w:footnoteReference w:id="24"/>
      </w:r>
      <w:r w:rsidRPr="00C03220">
        <w:rPr>
          <w:rFonts w:ascii="Times New Roman" w:hAnsi="Times New Roman" w:cs="Times New Roman"/>
          <w:lang w:val="pl-PL"/>
        </w:rPr>
        <w:t xml:space="preserve"> Odpowiedzialność może wynikać z kierowania, organizacji, finansowania bądź wyłącznie tolerowania niezgodnych z prawem czynów członków lub osób trzecich działających w imieniu stowarzyszenia. Ostatecznym kryterium przypisania odpowiedzialności za czyny jest społeczne odczucie, że </w:t>
      </w:r>
      <w:r w:rsidR="003F1960" w:rsidRPr="00C03220">
        <w:rPr>
          <w:rFonts w:ascii="Times New Roman" w:hAnsi="Times New Roman" w:cs="Times New Roman"/>
          <w:lang w:val="pl-PL"/>
        </w:rPr>
        <w:t xml:space="preserve">to właśnie </w:t>
      </w:r>
      <w:r w:rsidRPr="00C03220">
        <w:rPr>
          <w:rFonts w:ascii="Times New Roman" w:hAnsi="Times New Roman" w:cs="Times New Roman"/>
          <w:lang w:val="pl-PL"/>
        </w:rPr>
        <w:t>stowarzyszenie w dowolny sposób uczestniczy w lub toleruje czyny niezgodne z prawem.</w:t>
      </w:r>
      <w:r w:rsidRPr="00C03220">
        <w:rPr>
          <w:rFonts w:ascii="Times New Roman" w:hAnsi="Times New Roman" w:cs="Times New Roman"/>
          <w:sz w:val="20"/>
          <w:vertAlign w:val="superscript"/>
          <w:lang w:val="pl-PL"/>
        </w:rPr>
        <w:footnoteReference w:id="25"/>
      </w:r>
    </w:p>
    <w:p w:rsidR="004D2070" w:rsidRPr="00C03220" w:rsidRDefault="004D2070" w:rsidP="004D2070">
      <w:pPr>
        <w:pStyle w:val="OpiPara"/>
        <w:rPr>
          <w:rFonts w:ascii="Times New Roman" w:hAnsi="Times New Roman" w:cs="Times New Roman"/>
          <w:lang w:val="pl-PL"/>
        </w:rPr>
      </w:pPr>
      <w:r w:rsidRPr="00C03220">
        <w:rPr>
          <w:rFonts w:ascii="Times New Roman" w:hAnsi="Times New Roman" w:cs="Times New Roman"/>
          <w:lang w:val="pl-PL"/>
        </w:rPr>
        <w:t xml:space="preserve">Stowarzyszenia to zorganizowane instytucje społeczne, posiadające sekcje, oddziały i ruchy. Rozwiązanie stowarzyszenia obejmuje zakończenie całości jego działalności, w tym działalności jego sekcji, oddziałów i ruchów. I przeciwnie – rozwiązanie stowarzyszenia-córki może uzasadniać rozwiązanie stowarzyszenia-matki, jeżeli to pierwsze zostało założone </w:t>
      </w:r>
      <w:r w:rsidR="00521073" w:rsidRPr="00C03220">
        <w:rPr>
          <w:rFonts w:ascii="Times New Roman" w:hAnsi="Times New Roman" w:cs="Times New Roman"/>
          <w:lang w:val="pl-PL"/>
        </w:rPr>
        <w:t xml:space="preserve">przez </w:t>
      </w:r>
      <w:r w:rsidRPr="00C03220">
        <w:rPr>
          <w:rFonts w:ascii="Times New Roman" w:hAnsi="Times New Roman" w:cs="Times New Roman"/>
          <w:lang w:val="pl-PL"/>
        </w:rPr>
        <w:t>bądź uzyskiwało wsparcie tego drugiego w dowolnej formie. Ta sama zasada ma oczywiście zastosowani</w:t>
      </w:r>
      <w:r w:rsidR="00521073" w:rsidRPr="00C03220">
        <w:rPr>
          <w:rFonts w:ascii="Times New Roman" w:hAnsi="Times New Roman" w:cs="Times New Roman"/>
          <w:lang w:val="pl-PL"/>
        </w:rPr>
        <w:t xml:space="preserve">e względem partii politycznych. </w:t>
      </w:r>
      <w:r w:rsidRPr="00C03220">
        <w:rPr>
          <w:rFonts w:ascii="Times New Roman" w:hAnsi="Times New Roman" w:cs="Times New Roman"/>
          <w:lang w:val="pl-PL"/>
        </w:rPr>
        <w:t>Odrębne osobowości prawne nie mogą pełnić roli zasłony skrywającej istotne powiązania pomiędzy stowarzyszeniami i partiami politycznymi posiadającymi wspólne cele polityczne i stosującymi wspólne strategie.</w:t>
      </w:r>
      <w:r w:rsidRPr="00C03220">
        <w:rPr>
          <w:rFonts w:ascii="Times New Roman" w:hAnsi="Times New Roman" w:cs="Times New Roman"/>
          <w:sz w:val="20"/>
          <w:vertAlign w:val="superscript"/>
          <w:lang w:val="pl-PL"/>
        </w:rPr>
        <w:footnoteReference w:id="26"/>
      </w:r>
    </w:p>
    <w:p w:rsidR="004D2070" w:rsidRPr="00C03220" w:rsidRDefault="004D2070" w:rsidP="004D2070">
      <w:pPr>
        <w:pStyle w:val="OpiPara"/>
        <w:rPr>
          <w:rFonts w:ascii="Times New Roman" w:hAnsi="Times New Roman" w:cs="Times New Roman"/>
          <w:lang w:val="pl-PL"/>
        </w:rPr>
      </w:pPr>
      <w:r w:rsidRPr="00C03220">
        <w:rPr>
          <w:rFonts w:ascii="Times New Roman" w:hAnsi="Times New Roman" w:cs="Times New Roman"/>
          <w:lang w:val="pl-PL"/>
        </w:rPr>
        <w:t xml:space="preserve">Wreszcie, z zachowaniem najwyższej ostrożności należy rozważyć </w:t>
      </w:r>
      <w:r w:rsidR="00521073" w:rsidRPr="00C03220">
        <w:rPr>
          <w:rFonts w:ascii="Times New Roman" w:hAnsi="Times New Roman" w:cs="Times New Roman"/>
          <w:lang w:val="pl-PL"/>
        </w:rPr>
        <w:t>trudną</w:t>
      </w:r>
      <w:r w:rsidRPr="00C03220">
        <w:rPr>
          <w:rFonts w:ascii="Times New Roman" w:hAnsi="Times New Roman" w:cs="Times New Roman"/>
          <w:lang w:val="pl-PL"/>
        </w:rPr>
        <w:t xml:space="preserve"> kwestię czasu rozwiązania, aby uniknąć – z jednej </w:t>
      </w:r>
      <w:r w:rsidR="003F1960" w:rsidRPr="00C03220">
        <w:rPr>
          <w:rFonts w:ascii="Times New Roman" w:hAnsi="Times New Roman" w:cs="Times New Roman"/>
          <w:lang w:val="pl-PL"/>
        </w:rPr>
        <w:t>strony - przedwczesnego</w:t>
      </w:r>
      <w:r w:rsidRPr="00C03220">
        <w:rPr>
          <w:rFonts w:ascii="Times New Roman" w:hAnsi="Times New Roman" w:cs="Times New Roman"/>
          <w:lang w:val="pl-PL"/>
        </w:rPr>
        <w:t xml:space="preserve"> działania, które stanowiłoby naruszenie podstawowych wolności, a – </w:t>
      </w:r>
      <w:r w:rsidR="003F1960" w:rsidRPr="00C03220">
        <w:rPr>
          <w:rFonts w:ascii="Times New Roman" w:hAnsi="Times New Roman" w:cs="Times New Roman"/>
          <w:lang w:val="pl-PL"/>
        </w:rPr>
        <w:t>z drugiej</w:t>
      </w:r>
      <w:r w:rsidRPr="00C03220">
        <w:rPr>
          <w:rFonts w:ascii="Times New Roman" w:hAnsi="Times New Roman" w:cs="Times New Roman"/>
          <w:lang w:val="pl-PL"/>
        </w:rPr>
        <w:t xml:space="preserve"> strony – spóźnionej reakcji na zachowania wysoce niebezpieczne. Stowarzyszenie może zostać rozwiązane wyłącznie w </w:t>
      </w:r>
      <w:r w:rsidRPr="00C03220">
        <w:rPr>
          <w:rFonts w:ascii="Times New Roman" w:hAnsi="Times New Roman" w:cs="Times New Roman"/>
          <w:lang w:val="pl-PL"/>
        </w:rPr>
        <w:lastRenderedPageBreak/>
        <w:t>sytuacji wyraźnego i bezpośredniego zagrożenia dla interesów chronionych na podstawie artykułu 11 ust. 2.</w:t>
      </w:r>
      <w:r w:rsidRPr="00C03220">
        <w:rPr>
          <w:rFonts w:ascii="Times New Roman" w:hAnsi="Times New Roman" w:cs="Times New Roman"/>
          <w:sz w:val="20"/>
          <w:vertAlign w:val="superscript"/>
          <w:lang w:val="pl-PL"/>
        </w:rPr>
        <w:footnoteReference w:id="27"/>
      </w:r>
    </w:p>
    <w:p w:rsidR="004D2070" w:rsidRPr="00C03220" w:rsidRDefault="004D2070" w:rsidP="00521073">
      <w:pPr>
        <w:pStyle w:val="ECHRHeading2"/>
        <w:numPr>
          <w:ilvl w:val="0"/>
          <w:numId w:val="0"/>
        </w:numPr>
        <w:spacing w:before="240" w:after="120"/>
        <w:rPr>
          <w:rFonts w:ascii="Times New Roman" w:hAnsi="Times New Roman" w:cs="Times New Roman"/>
          <w:color w:val="auto"/>
          <w:sz w:val="24"/>
          <w:szCs w:val="24"/>
          <w:lang w:val="pl-PL"/>
        </w:rPr>
      </w:pPr>
      <w:r w:rsidRPr="00C03220">
        <w:rPr>
          <w:rFonts w:ascii="Times New Roman" w:hAnsi="Times New Roman" w:cs="Times New Roman"/>
          <w:color w:val="auto"/>
          <w:sz w:val="24"/>
          <w:szCs w:val="24"/>
          <w:lang w:val="pl-PL"/>
        </w:rPr>
        <w:t>Rasizm w społeczeństwie węgierskim</w:t>
      </w:r>
    </w:p>
    <w:p w:rsidR="004D2070" w:rsidRPr="00C03220" w:rsidRDefault="004D2070" w:rsidP="004D2070">
      <w:pPr>
        <w:pStyle w:val="OpiPara"/>
        <w:rPr>
          <w:rFonts w:ascii="Times New Roman" w:hAnsi="Times New Roman" w:cs="Times New Roman"/>
          <w:lang w:val="pl-PL"/>
        </w:rPr>
      </w:pPr>
      <w:r w:rsidRPr="00C03220">
        <w:rPr>
          <w:rFonts w:ascii="Times New Roman" w:hAnsi="Times New Roman" w:cs="Times New Roman"/>
          <w:lang w:val="pl-PL"/>
        </w:rPr>
        <w:t xml:space="preserve">Jest faktem ustalonym przez rozmaite międzynarodowe instytucje monitorujące, że w węgierskim życiu publicznym często obserwuje się różnego rodzaju formy wyrażania opinii antyromskich i antysemickich. W Czwartym Raporcie w sprawie Węgier ECRI zauważyła, że „doszło do niepokojącego </w:t>
      </w:r>
      <w:r w:rsidR="006B1DF1" w:rsidRPr="00C03220">
        <w:rPr>
          <w:rFonts w:ascii="Times New Roman" w:hAnsi="Times New Roman" w:cs="Times New Roman"/>
          <w:lang w:val="pl-PL"/>
        </w:rPr>
        <w:t>nasilenia</w:t>
      </w:r>
      <w:r w:rsidRPr="00C03220">
        <w:rPr>
          <w:rFonts w:ascii="Times New Roman" w:hAnsi="Times New Roman" w:cs="Times New Roman"/>
          <w:lang w:val="pl-PL"/>
        </w:rPr>
        <w:t xml:space="preserve"> przejawów rasizmu i nietolerancji w dyskursie publicznym na Węgrzech. ... odczuwa się wzrost nastrojów antysemickich na Węgrzech”.</w:t>
      </w:r>
      <w:r w:rsidRPr="00C03220">
        <w:rPr>
          <w:rFonts w:ascii="Times New Roman" w:hAnsi="Times New Roman" w:cs="Times New Roman"/>
          <w:sz w:val="20"/>
          <w:vertAlign w:val="superscript"/>
          <w:lang w:val="pl-PL"/>
        </w:rPr>
        <w:footnoteReference w:id="28"/>
      </w:r>
      <w:r w:rsidRPr="00C03220">
        <w:rPr>
          <w:rFonts w:ascii="Times New Roman" w:hAnsi="Times New Roman" w:cs="Times New Roman"/>
          <w:lang w:val="pl-PL"/>
        </w:rPr>
        <w:t xml:space="preserve"> W swojej Trzeciej Opinii w sprawie Węgier Komitet Doradczy </w:t>
      </w:r>
      <w:r w:rsidR="00521073" w:rsidRPr="00C03220">
        <w:rPr>
          <w:rFonts w:ascii="Times New Roman" w:hAnsi="Times New Roman" w:cs="Times New Roman"/>
          <w:lang w:val="pl-PL"/>
        </w:rPr>
        <w:t>k</w:t>
      </w:r>
      <w:r w:rsidRPr="00C03220">
        <w:rPr>
          <w:rFonts w:ascii="Times New Roman" w:hAnsi="Times New Roman" w:cs="Times New Roman"/>
          <w:bCs/>
          <w:color w:val="252525"/>
          <w:szCs w:val="24"/>
          <w:shd w:val="clear" w:color="auto" w:fill="FFFFFF"/>
          <w:lang w:val="pl-PL"/>
        </w:rPr>
        <w:t xml:space="preserve">onwencji </w:t>
      </w:r>
      <w:r w:rsidR="00521073" w:rsidRPr="00C03220">
        <w:rPr>
          <w:rFonts w:ascii="Times New Roman" w:hAnsi="Times New Roman" w:cs="Times New Roman"/>
          <w:bCs/>
          <w:color w:val="252525"/>
          <w:szCs w:val="24"/>
          <w:shd w:val="clear" w:color="auto" w:fill="FFFFFF"/>
          <w:lang w:val="pl-PL"/>
        </w:rPr>
        <w:t>r</w:t>
      </w:r>
      <w:r w:rsidRPr="00C03220">
        <w:rPr>
          <w:rFonts w:ascii="Times New Roman" w:hAnsi="Times New Roman" w:cs="Times New Roman"/>
          <w:bCs/>
          <w:color w:val="252525"/>
          <w:szCs w:val="24"/>
          <w:shd w:val="clear" w:color="auto" w:fill="FFFFFF"/>
          <w:lang w:val="pl-PL"/>
        </w:rPr>
        <w:t xml:space="preserve">amowej o </w:t>
      </w:r>
      <w:r w:rsidR="00521073" w:rsidRPr="00C03220">
        <w:rPr>
          <w:rFonts w:ascii="Times New Roman" w:hAnsi="Times New Roman" w:cs="Times New Roman"/>
          <w:bCs/>
          <w:color w:val="252525"/>
          <w:szCs w:val="24"/>
          <w:shd w:val="clear" w:color="auto" w:fill="FFFFFF"/>
          <w:lang w:val="pl-PL"/>
        </w:rPr>
        <w:t>o</w:t>
      </w:r>
      <w:r w:rsidRPr="00C03220">
        <w:rPr>
          <w:rFonts w:ascii="Times New Roman" w:hAnsi="Times New Roman" w:cs="Times New Roman"/>
          <w:bCs/>
          <w:color w:val="252525"/>
          <w:szCs w:val="24"/>
          <w:shd w:val="clear" w:color="auto" w:fill="FFFFFF"/>
          <w:lang w:val="pl-PL"/>
        </w:rPr>
        <w:t xml:space="preserve">chronie </w:t>
      </w:r>
      <w:r w:rsidR="00521073" w:rsidRPr="00C03220">
        <w:rPr>
          <w:rFonts w:ascii="Times New Roman" w:hAnsi="Times New Roman" w:cs="Times New Roman"/>
          <w:bCs/>
          <w:color w:val="252525"/>
          <w:szCs w:val="24"/>
          <w:shd w:val="clear" w:color="auto" w:fill="FFFFFF"/>
          <w:lang w:val="pl-PL"/>
        </w:rPr>
        <w:t>m</w:t>
      </w:r>
      <w:r w:rsidRPr="00C03220">
        <w:rPr>
          <w:rFonts w:ascii="Times New Roman" w:hAnsi="Times New Roman" w:cs="Times New Roman"/>
          <w:bCs/>
          <w:color w:val="252525"/>
          <w:szCs w:val="24"/>
          <w:shd w:val="clear" w:color="auto" w:fill="FFFFFF"/>
          <w:lang w:val="pl-PL"/>
        </w:rPr>
        <w:t xml:space="preserve">niejszości </w:t>
      </w:r>
      <w:r w:rsidR="00521073" w:rsidRPr="00C03220">
        <w:rPr>
          <w:rFonts w:ascii="Times New Roman" w:hAnsi="Times New Roman" w:cs="Times New Roman"/>
          <w:bCs/>
          <w:color w:val="252525"/>
          <w:szCs w:val="24"/>
          <w:shd w:val="clear" w:color="auto" w:fill="FFFFFF"/>
          <w:lang w:val="pl-PL"/>
        </w:rPr>
        <w:t>n</w:t>
      </w:r>
      <w:r w:rsidRPr="00C03220">
        <w:rPr>
          <w:rFonts w:ascii="Times New Roman" w:hAnsi="Times New Roman" w:cs="Times New Roman"/>
          <w:bCs/>
          <w:color w:val="252525"/>
          <w:szCs w:val="24"/>
          <w:shd w:val="clear" w:color="auto" w:fill="FFFFFF"/>
          <w:lang w:val="pl-PL"/>
        </w:rPr>
        <w:t>arodowych</w:t>
      </w:r>
      <w:r w:rsidRPr="00C03220">
        <w:rPr>
          <w:rFonts w:ascii="Times New Roman" w:hAnsi="Times New Roman" w:cs="Times New Roman"/>
          <w:lang w:val="pl-PL"/>
        </w:rPr>
        <w:t xml:space="preserve"> i Europejska Komisja przeciwko Rasi</w:t>
      </w:r>
      <w:r w:rsidR="00521073" w:rsidRPr="00C03220">
        <w:rPr>
          <w:rFonts w:ascii="Times New Roman" w:hAnsi="Times New Roman" w:cs="Times New Roman"/>
          <w:lang w:val="pl-PL"/>
        </w:rPr>
        <w:t>zmowi i Nietolerancji stwierdzili</w:t>
      </w:r>
      <w:r w:rsidRPr="00C03220">
        <w:rPr>
          <w:rFonts w:ascii="Times New Roman" w:hAnsi="Times New Roman" w:cs="Times New Roman"/>
          <w:lang w:val="pl-PL"/>
        </w:rPr>
        <w:t>, że „na Węgrzech obserwuje się obecnie niepokojący wzrost nietolerancji i rasizmu, skierowanych głównie przeciwko Romom”.</w:t>
      </w:r>
      <w:r w:rsidRPr="00C03220">
        <w:rPr>
          <w:rFonts w:ascii="Times New Roman" w:hAnsi="Times New Roman" w:cs="Times New Roman"/>
          <w:sz w:val="20"/>
          <w:vertAlign w:val="superscript"/>
          <w:lang w:val="pl-PL"/>
        </w:rPr>
        <w:footnoteReference w:id="29"/>
      </w:r>
      <w:r w:rsidRPr="00C03220">
        <w:rPr>
          <w:rFonts w:ascii="Times New Roman" w:hAnsi="Times New Roman" w:cs="Times New Roman"/>
          <w:lang w:val="pl-PL"/>
        </w:rPr>
        <w:t xml:space="preserve"> Komitet Ministrów przyjął Rezolucję, zgodnie z którą „w ostatnich latach Romowie coraz częściej stają się ofiarami demonstracji nietolerancji, wrogości i przemocy na tle rasowym. Głębokie zaniepokojenie budzi fakt nasilania się zjawisk mowy nienawiści i rasizmu w wypowiedziach publicznych i w niektórych mediach.”</w:t>
      </w:r>
      <w:r w:rsidRPr="00C03220">
        <w:rPr>
          <w:rFonts w:ascii="Times New Roman" w:hAnsi="Times New Roman" w:cs="Times New Roman"/>
          <w:sz w:val="20"/>
          <w:vertAlign w:val="superscript"/>
          <w:lang w:val="pl-PL"/>
        </w:rPr>
        <w:footnoteReference w:id="30"/>
      </w:r>
      <w:r w:rsidRPr="00C03220">
        <w:rPr>
          <w:rFonts w:ascii="Times New Roman" w:hAnsi="Times New Roman" w:cs="Times New Roman"/>
          <w:sz w:val="20"/>
          <w:vertAlign w:val="superscript"/>
          <w:lang w:val="pl-PL"/>
        </w:rPr>
        <w:t xml:space="preserve"> </w:t>
      </w:r>
      <w:r w:rsidRPr="00C03220">
        <w:rPr>
          <w:rFonts w:ascii="Times New Roman" w:hAnsi="Times New Roman" w:cs="Times New Roman"/>
          <w:lang w:val="pl-PL"/>
        </w:rPr>
        <w:t xml:space="preserve">Zarówno Komisja Praw Człowieka ONZ, jak i Komitet ONZ przeciwko Torturom wyraziły niepokój w związku z </w:t>
      </w:r>
      <w:r w:rsidR="00521073" w:rsidRPr="00C03220">
        <w:rPr>
          <w:rFonts w:ascii="Times New Roman" w:hAnsi="Times New Roman" w:cs="Times New Roman"/>
          <w:lang w:val="pl-PL"/>
        </w:rPr>
        <w:t>pełnymi zajadłości i rozpowszechniającymi</w:t>
      </w:r>
      <w:r w:rsidR="003F1960" w:rsidRPr="00C03220">
        <w:rPr>
          <w:rFonts w:ascii="Times New Roman" w:hAnsi="Times New Roman" w:cs="Times New Roman"/>
          <w:lang w:val="pl-PL"/>
        </w:rPr>
        <w:t xml:space="preserve"> się</w:t>
      </w:r>
      <w:r w:rsidR="00521073" w:rsidRPr="00C03220">
        <w:rPr>
          <w:rFonts w:ascii="Times New Roman" w:hAnsi="Times New Roman" w:cs="Times New Roman"/>
          <w:lang w:val="pl-PL"/>
        </w:rPr>
        <w:t xml:space="preserve"> </w:t>
      </w:r>
      <w:r w:rsidRPr="00C03220">
        <w:rPr>
          <w:rFonts w:ascii="Times New Roman" w:hAnsi="Times New Roman" w:cs="Times New Roman"/>
          <w:lang w:val="pl-PL"/>
        </w:rPr>
        <w:t>antyromskimi wypowiedziami osób publicznych i w środkach masowego przekazu, jak również przesłankami nasilającego się antysemityzmu na Węgrzech</w:t>
      </w:r>
      <w:r w:rsidRPr="00C03220">
        <w:rPr>
          <w:rFonts w:ascii="Times New Roman" w:hAnsi="Times New Roman" w:cs="Times New Roman"/>
          <w:sz w:val="20"/>
          <w:vertAlign w:val="superscript"/>
          <w:lang w:val="pl-PL"/>
        </w:rPr>
        <w:footnoteReference w:id="31"/>
      </w:r>
      <w:r w:rsidRPr="00C03220">
        <w:rPr>
          <w:rFonts w:ascii="Times New Roman" w:hAnsi="Times New Roman" w:cs="Times New Roman"/>
          <w:lang w:val="pl-PL"/>
        </w:rPr>
        <w:t xml:space="preserve"> a także w związku z informacjami o nieproporcjonalnie wysokiej liczbie Romów przebywających w więzieniach oraz przejawach złego traktowania i dyskryminacji Romów przez organa ścigania.</w:t>
      </w:r>
      <w:r w:rsidRPr="00C03220">
        <w:rPr>
          <w:rFonts w:ascii="Times New Roman" w:hAnsi="Times New Roman" w:cs="Times New Roman"/>
          <w:sz w:val="20"/>
          <w:vertAlign w:val="superscript"/>
          <w:lang w:val="pl-PL"/>
        </w:rPr>
        <w:footnoteReference w:id="32"/>
      </w:r>
      <w:r w:rsidRPr="00C03220">
        <w:rPr>
          <w:rFonts w:ascii="Times New Roman" w:hAnsi="Times New Roman" w:cs="Times New Roman"/>
          <w:lang w:val="pl-PL"/>
        </w:rPr>
        <w:t xml:space="preserve"> Githu Muigai, Specjalny Sprawozdawca ONZ ds. współczesnych form rasizmu, dyskryminacji rasowej, ksenofobii i pokrewnych przejawów nietolerancji wyraził w swoim raporcie w sprawie Węgier głębokie </w:t>
      </w:r>
      <w:r w:rsidRPr="00C03220">
        <w:rPr>
          <w:rFonts w:ascii="Times New Roman" w:hAnsi="Times New Roman" w:cs="Times New Roman"/>
          <w:lang w:val="pl-PL"/>
        </w:rPr>
        <w:lastRenderedPageBreak/>
        <w:t>zaniepokojenie rozwojem organizacji o charakterze paramilitarnym i rasistowskim podłożu, kierującym się przeciwko Romom.</w:t>
      </w:r>
      <w:r w:rsidRPr="00C03220">
        <w:rPr>
          <w:rFonts w:ascii="Times New Roman" w:hAnsi="Times New Roman" w:cs="Times New Roman"/>
          <w:sz w:val="20"/>
          <w:vertAlign w:val="superscript"/>
          <w:lang w:val="pl-PL"/>
        </w:rPr>
        <w:footnoteReference w:id="33"/>
      </w:r>
    </w:p>
    <w:p w:rsidR="004D2070" w:rsidRPr="00C03220" w:rsidRDefault="004D2070" w:rsidP="004D2070">
      <w:pPr>
        <w:pStyle w:val="OpiPara"/>
        <w:rPr>
          <w:rFonts w:ascii="Times New Roman" w:hAnsi="Times New Roman" w:cs="Times New Roman"/>
          <w:lang w:val="pl-PL"/>
        </w:rPr>
      </w:pPr>
      <w:r w:rsidRPr="00C03220">
        <w:rPr>
          <w:rFonts w:ascii="Times New Roman" w:hAnsi="Times New Roman" w:cs="Times New Roman"/>
          <w:lang w:val="pl-PL"/>
        </w:rPr>
        <w:t>Podsumowując, rasizm stanowi plagę dzisiejszego społeczeństwa węgierskiego, czego najdobitniejszym przykładem jest fakt, że grupy straży obywatelskiej nadal organizują marsze w niektórych miejscowościach, obrzucając domy Romów przedmiotami, zastraszając mieszkańców pochodzenia romskiego, wykrzykując antyromskie hasła i grożąc śmiercią.</w:t>
      </w:r>
      <w:r w:rsidRPr="00C03220">
        <w:rPr>
          <w:rFonts w:ascii="Times New Roman" w:hAnsi="Times New Roman" w:cs="Times New Roman"/>
          <w:vertAlign w:val="superscript"/>
          <w:lang w:val="pl-PL"/>
        </w:rPr>
        <w:footnoteReference w:id="34"/>
      </w:r>
    </w:p>
    <w:p w:rsidR="004D2070" w:rsidRPr="00C03220" w:rsidRDefault="004D2070" w:rsidP="00521073">
      <w:pPr>
        <w:pStyle w:val="ECHRHeading2"/>
        <w:numPr>
          <w:ilvl w:val="0"/>
          <w:numId w:val="0"/>
        </w:numPr>
        <w:spacing w:before="240" w:after="120"/>
        <w:rPr>
          <w:rFonts w:ascii="Times New Roman" w:hAnsi="Times New Roman" w:cs="Times New Roman"/>
          <w:color w:val="auto"/>
          <w:sz w:val="24"/>
          <w:szCs w:val="24"/>
          <w:lang w:val="pl-PL"/>
        </w:rPr>
      </w:pPr>
      <w:r w:rsidRPr="00C03220">
        <w:rPr>
          <w:rFonts w:ascii="Times New Roman" w:hAnsi="Times New Roman" w:cs="Times New Roman"/>
          <w:color w:val="auto"/>
          <w:sz w:val="24"/>
          <w:szCs w:val="24"/>
          <w:lang w:val="pl-PL"/>
        </w:rPr>
        <w:t>Ocena faktów sprawy w świetle standardu europejskiego</w:t>
      </w:r>
    </w:p>
    <w:p w:rsidR="004D2070" w:rsidRPr="00C03220" w:rsidRDefault="004D2070" w:rsidP="004D2070">
      <w:pPr>
        <w:pStyle w:val="OpiPara"/>
        <w:rPr>
          <w:rFonts w:ascii="Times New Roman" w:hAnsi="Times New Roman" w:cs="Times New Roman"/>
          <w:lang w:val="pl-PL"/>
        </w:rPr>
      </w:pPr>
      <w:r w:rsidRPr="00C03220">
        <w:rPr>
          <w:rFonts w:ascii="Times New Roman" w:hAnsi="Times New Roman" w:cs="Times New Roman"/>
          <w:lang w:val="pl-PL"/>
        </w:rPr>
        <w:t>Niniejszą sprawę należy przeanalizować w świetle negat</w:t>
      </w:r>
      <w:r w:rsidR="006724F9" w:rsidRPr="00C03220">
        <w:rPr>
          <w:rFonts w:ascii="Times New Roman" w:hAnsi="Times New Roman" w:cs="Times New Roman"/>
          <w:lang w:val="pl-PL"/>
        </w:rPr>
        <w:t>ywnych</w:t>
      </w:r>
      <w:r w:rsidRPr="00C03220">
        <w:rPr>
          <w:rFonts w:ascii="Times New Roman" w:hAnsi="Times New Roman" w:cs="Times New Roman"/>
          <w:lang w:val="pl-PL"/>
        </w:rPr>
        <w:t xml:space="preserve"> obowiązków wynikających z artykułu 11 Konwencji, jako że kwestionowane rozwiązanie [Stowarzyszenia] stanowiło przypadek ingerencji Państwa w prawo stowarzyszenia do uznania prawnego. Ponadto stowarzyszenie zamierzało występować – i występowało – na arenie politycznej z przesłaniem obrony etnicznych Węgrów i ich tradycji, czyli spraw leżących w interesie ogólnym. Przemarsze nie odbywały się w miejscach czy w terminach związanych z </w:t>
      </w:r>
      <w:r w:rsidR="006B1DF1" w:rsidRPr="00C03220">
        <w:rPr>
          <w:rFonts w:ascii="Times New Roman" w:hAnsi="Times New Roman" w:cs="Times New Roman"/>
          <w:lang w:val="pl-PL"/>
        </w:rPr>
        <w:t>traumatycznymi</w:t>
      </w:r>
      <w:r w:rsidRPr="00C03220">
        <w:rPr>
          <w:rFonts w:ascii="Times New Roman" w:hAnsi="Times New Roman" w:cs="Times New Roman"/>
          <w:lang w:val="pl-PL"/>
        </w:rPr>
        <w:t xml:space="preserve"> wydarzeniami z historii pozwanego </w:t>
      </w:r>
      <w:r w:rsidR="006B1DF1" w:rsidRPr="00C03220">
        <w:rPr>
          <w:rFonts w:ascii="Times New Roman" w:hAnsi="Times New Roman" w:cs="Times New Roman"/>
          <w:lang w:val="pl-PL"/>
        </w:rPr>
        <w:t>Państwa</w:t>
      </w:r>
      <w:r w:rsidRPr="00C03220">
        <w:rPr>
          <w:rFonts w:ascii="Times New Roman" w:hAnsi="Times New Roman" w:cs="Times New Roman"/>
          <w:lang w:val="pl-PL"/>
        </w:rPr>
        <w:t>.</w:t>
      </w:r>
      <w:r w:rsidRPr="00C03220">
        <w:rPr>
          <w:rFonts w:ascii="Times New Roman" w:hAnsi="Times New Roman" w:cs="Times New Roman"/>
          <w:sz w:val="20"/>
          <w:vertAlign w:val="superscript"/>
          <w:lang w:val="pl-PL"/>
        </w:rPr>
        <w:footnoteReference w:id="35"/>
      </w:r>
      <w:r w:rsidRPr="00C03220">
        <w:rPr>
          <w:rFonts w:ascii="Times New Roman" w:hAnsi="Times New Roman" w:cs="Times New Roman"/>
          <w:lang w:val="pl-PL"/>
        </w:rPr>
        <w:t xml:space="preserve"> Uwzględniając te czynniki, margines </w:t>
      </w:r>
      <w:r w:rsidR="006B1DF1" w:rsidRPr="00C03220">
        <w:rPr>
          <w:rFonts w:ascii="Times New Roman" w:hAnsi="Times New Roman" w:cs="Times New Roman"/>
          <w:lang w:val="pl-PL"/>
        </w:rPr>
        <w:t>swobodne</w:t>
      </w:r>
      <w:r w:rsidR="00A8466C" w:rsidRPr="00C03220">
        <w:rPr>
          <w:rFonts w:ascii="Times New Roman" w:hAnsi="Times New Roman" w:cs="Times New Roman"/>
          <w:lang w:val="pl-PL"/>
        </w:rPr>
        <w:t>j</w:t>
      </w:r>
      <w:r w:rsidRPr="00C03220">
        <w:rPr>
          <w:rFonts w:ascii="Times New Roman" w:hAnsi="Times New Roman" w:cs="Times New Roman"/>
          <w:lang w:val="pl-PL"/>
        </w:rPr>
        <w:t xml:space="preserve"> oceny Państwa jest wąski, </w:t>
      </w:r>
      <w:r w:rsidR="00A8466C" w:rsidRPr="00C03220">
        <w:rPr>
          <w:rFonts w:ascii="Times New Roman" w:hAnsi="Times New Roman" w:cs="Times New Roman"/>
          <w:lang w:val="pl-PL"/>
        </w:rPr>
        <w:t xml:space="preserve">a weryfikacja ingerencji przez Trybunał jest szczególnie konieczna w sytuacji, gdy na skutek </w:t>
      </w:r>
      <w:r w:rsidRPr="00C03220">
        <w:rPr>
          <w:rFonts w:ascii="Times New Roman" w:hAnsi="Times New Roman" w:cs="Times New Roman"/>
          <w:lang w:val="pl-PL"/>
        </w:rPr>
        <w:t>wolnoś</w:t>
      </w:r>
      <w:r w:rsidR="00A8466C" w:rsidRPr="00C03220">
        <w:rPr>
          <w:rFonts w:ascii="Times New Roman" w:hAnsi="Times New Roman" w:cs="Times New Roman"/>
          <w:lang w:val="pl-PL"/>
        </w:rPr>
        <w:t>ci</w:t>
      </w:r>
      <w:r w:rsidRPr="00C03220">
        <w:rPr>
          <w:rFonts w:ascii="Times New Roman" w:hAnsi="Times New Roman" w:cs="Times New Roman"/>
          <w:lang w:val="pl-PL"/>
        </w:rPr>
        <w:t xml:space="preserve"> stowarzyszania się </w:t>
      </w:r>
      <w:r w:rsidR="00521073" w:rsidRPr="00C03220">
        <w:rPr>
          <w:rFonts w:ascii="Times New Roman" w:hAnsi="Times New Roman" w:cs="Times New Roman"/>
          <w:lang w:val="pl-PL"/>
        </w:rPr>
        <w:t>i</w:t>
      </w:r>
      <w:r w:rsidRPr="00C03220">
        <w:rPr>
          <w:rFonts w:ascii="Times New Roman" w:hAnsi="Times New Roman" w:cs="Times New Roman"/>
          <w:lang w:val="pl-PL"/>
        </w:rPr>
        <w:t xml:space="preserve"> </w:t>
      </w:r>
      <w:r w:rsidR="00A8466C" w:rsidRPr="00C03220">
        <w:rPr>
          <w:rFonts w:ascii="Times New Roman" w:hAnsi="Times New Roman" w:cs="Times New Roman"/>
          <w:lang w:val="pl-PL"/>
        </w:rPr>
        <w:t xml:space="preserve">zgromadzania się </w:t>
      </w:r>
      <w:r w:rsidR="00521073" w:rsidRPr="00C03220">
        <w:rPr>
          <w:rFonts w:ascii="Times New Roman" w:hAnsi="Times New Roman" w:cs="Times New Roman"/>
          <w:lang w:val="pl-PL"/>
        </w:rPr>
        <w:t xml:space="preserve">narażane </w:t>
      </w:r>
      <w:r w:rsidR="00A8466C" w:rsidRPr="00C03220">
        <w:rPr>
          <w:rFonts w:ascii="Times New Roman" w:hAnsi="Times New Roman" w:cs="Times New Roman"/>
          <w:lang w:val="pl-PL"/>
        </w:rPr>
        <w:t>są godność ludzka oraz bezpieczeństwo określonej grupy osób</w:t>
      </w:r>
      <w:r w:rsidRPr="00C03220">
        <w:rPr>
          <w:rFonts w:ascii="Times New Roman" w:hAnsi="Times New Roman" w:cs="Times New Roman"/>
          <w:lang w:val="pl-PL"/>
        </w:rPr>
        <w:t>.</w:t>
      </w:r>
    </w:p>
    <w:p w:rsidR="004D2070" w:rsidRPr="00C03220" w:rsidRDefault="004D2070" w:rsidP="00521073">
      <w:pPr>
        <w:pStyle w:val="ECHRHeading2"/>
        <w:numPr>
          <w:ilvl w:val="0"/>
          <w:numId w:val="0"/>
        </w:numPr>
        <w:spacing w:before="240" w:after="120"/>
        <w:rPr>
          <w:rFonts w:ascii="Times New Roman" w:hAnsi="Times New Roman" w:cs="Times New Roman"/>
          <w:color w:val="auto"/>
          <w:sz w:val="24"/>
          <w:szCs w:val="24"/>
          <w:lang w:val="pl-PL"/>
        </w:rPr>
      </w:pPr>
      <w:r w:rsidRPr="00C03220">
        <w:rPr>
          <w:rFonts w:ascii="Times New Roman" w:hAnsi="Times New Roman" w:cs="Times New Roman"/>
          <w:color w:val="auto"/>
          <w:sz w:val="24"/>
          <w:szCs w:val="24"/>
          <w:lang w:val="pl-PL"/>
        </w:rPr>
        <w:t>Kryterium proporcjonalności</w:t>
      </w:r>
    </w:p>
    <w:p w:rsidR="004D2070" w:rsidRPr="00C03220" w:rsidRDefault="004D2070" w:rsidP="004D2070">
      <w:pPr>
        <w:pStyle w:val="OpiPara"/>
        <w:rPr>
          <w:rFonts w:ascii="Times New Roman" w:hAnsi="Times New Roman" w:cs="Times New Roman"/>
          <w:lang w:val="pl-PL"/>
        </w:rPr>
      </w:pPr>
      <w:r w:rsidRPr="00C03220">
        <w:rPr>
          <w:rFonts w:ascii="Times New Roman" w:hAnsi="Times New Roman" w:cs="Times New Roman"/>
          <w:lang w:val="pl-PL"/>
        </w:rPr>
        <w:t>Zatem, po wyjaśnieniu wszelkich mających zastosowanie kryteriów oceny, należy zbadać kwestionowany przypadek ingerencji w świetle okoliczności sprawy jako całości, by rozstrzygnąć, czy była ona „proporcjonalna do wyznaczonego uzasadnionego celu” oraz czy odpowiadała „pilnej potrzebie społecznej”, to jest czy podstawy wskazane przez władze krajowe wydają się „właściwe i wystarczające”.</w:t>
      </w:r>
    </w:p>
    <w:p w:rsidR="004D2070" w:rsidRPr="00C03220" w:rsidRDefault="004D2070" w:rsidP="004D2070">
      <w:pPr>
        <w:pStyle w:val="OpiPara"/>
        <w:rPr>
          <w:rFonts w:ascii="Times New Roman" w:hAnsi="Times New Roman" w:cs="Times New Roman"/>
          <w:lang w:val="pl-PL"/>
        </w:rPr>
      </w:pPr>
      <w:r w:rsidRPr="00C03220">
        <w:rPr>
          <w:rFonts w:ascii="Times New Roman" w:hAnsi="Times New Roman" w:cs="Times New Roman"/>
          <w:lang w:val="pl-PL"/>
        </w:rPr>
        <w:t xml:space="preserve">W niniejszej sprawie członkowie Ruchu Gwardii Węgierskiej organizowali na terytorium całych Węgier przemarsze, wzywając do obrony etnicznych Węgrów przed „przestępczością cygańską”. Na podstawie przepisu art. 2 ustawy nr II z 1989 r. oraz międzynarodowych obowiązków </w:t>
      </w:r>
      <w:r w:rsidRPr="00C03220">
        <w:rPr>
          <w:rFonts w:ascii="Times New Roman" w:hAnsi="Times New Roman" w:cs="Times New Roman"/>
          <w:lang w:val="pl-PL"/>
        </w:rPr>
        <w:lastRenderedPageBreak/>
        <w:t>pozwanego Państwa sądy krajowe uznały, że działania te miały w istocie charakter dyskryminacji, naruszały prawo do wolności i bezpieczeństwa mieszkańców miejscowości oraz zagrażały porządkowi publicznemu. Podstawy wskazane przez sądy krajowe są właściwe i wystarczające.</w:t>
      </w:r>
    </w:p>
    <w:p w:rsidR="004D2070" w:rsidRPr="00C03220" w:rsidRDefault="003F1960" w:rsidP="004D2070">
      <w:pPr>
        <w:pStyle w:val="OpiPara"/>
        <w:rPr>
          <w:rFonts w:ascii="Times New Roman" w:hAnsi="Times New Roman" w:cs="Times New Roman"/>
          <w:lang w:val="pl-PL"/>
        </w:rPr>
      </w:pPr>
      <w:r w:rsidRPr="00C03220">
        <w:rPr>
          <w:rFonts w:ascii="Times New Roman" w:hAnsi="Times New Roman" w:cs="Times New Roman"/>
          <w:lang w:val="pl-PL"/>
        </w:rPr>
        <w:t>Co do zasady, każda forma wypowiedzi zawierająca podział populacji na „nas” i „ich”, gdzie „oni” oznaczają grupę rasową czy etniczną, której przypisuje się negatywne cechy i zachowania, jest niezgodna z Konwencją. Zastosowanie</w:t>
      </w:r>
      <w:r w:rsidR="004D2070" w:rsidRPr="00C03220">
        <w:rPr>
          <w:rFonts w:ascii="Times New Roman" w:hAnsi="Times New Roman" w:cs="Times New Roman"/>
          <w:lang w:val="pl-PL"/>
        </w:rPr>
        <w:t xml:space="preserve"> wyrażenia „przestępczość cygańska”, </w:t>
      </w:r>
      <w:r w:rsidR="006B1DF1" w:rsidRPr="00C03220">
        <w:rPr>
          <w:rFonts w:ascii="Times New Roman" w:hAnsi="Times New Roman" w:cs="Times New Roman"/>
          <w:lang w:val="pl-PL"/>
        </w:rPr>
        <w:t>sugerującego</w:t>
      </w:r>
      <w:r w:rsidR="004D2070" w:rsidRPr="00C03220">
        <w:rPr>
          <w:rFonts w:ascii="Times New Roman" w:hAnsi="Times New Roman" w:cs="Times New Roman"/>
          <w:lang w:val="pl-PL"/>
        </w:rPr>
        <w:t xml:space="preserve"> istnienie związku </w:t>
      </w:r>
      <w:r w:rsidR="00521073" w:rsidRPr="00C03220">
        <w:rPr>
          <w:rFonts w:ascii="Times New Roman" w:hAnsi="Times New Roman" w:cs="Times New Roman"/>
          <w:lang w:val="pl-PL"/>
        </w:rPr>
        <w:t>pomiędzy przestępczością a pewną</w:t>
      </w:r>
      <w:r w:rsidR="004D2070" w:rsidRPr="00C03220">
        <w:rPr>
          <w:rFonts w:ascii="Times New Roman" w:hAnsi="Times New Roman" w:cs="Times New Roman"/>
          <w:lang w:val="pl-PL"/>
        </w:rPr>
        <w:t xml:space="preserve"> grupą etniczną, stanowi rasistowską formę wypowiedzi, której celem jest podsycanie uczuć nienawiści względem określonej grupy etnicznej. Wyrażenie to odzwierciedla jasną wizję podziału społeczeństwa na „ich”, Romów, sprawców przestępstw i „nas”, „etnicznych” Węgrów, ofiary takich przestępstw. Tak daleko </w:t>
      </w:r>
      <w:r w:rsidR="006B1DF1" w:rsidRPr="00C03220">
        <w:rPr>
          <w:rFonts w:ascii="Times New Roman" w:hAnsi="Times New Roman" w:cs="Times New Roman"/>
          <w:lang w:val="pl-PL"/>
        </w:rPr>
        <w:t>sięgające</w:t>
      </w:r>
      <w:r w:rsidR="004D2070" w:rsidRPr="00C03220">
        <w:rPr>
          <w:rFonts w:ascii="Times New Roman" w:hAnsi="Times New Roman" w:cs="Times New Roman"/>
          <w:lang w:val="pl-PL"/>
        </w:rPr>
        <w:t xml:space="preserve"> uogólnienia przypisują negatywne zachowania i cechy wyłącznie na podstawie pochodzenia i przynależności etnicznej grupy </w:t>
      </w:r>
      <w:r w:rsidR="006B1DF1" w:rsidRPr="00C03220">
        <w:rPr>
          <w:rFonts w:ascii="Times New Roman" w:hAnsi="Times New Roman" w:cs="Times New Roman"/>
          <w:lang w:val="pl-PL"/>
        </w:rPr>
        <w:t>będącej</w:t>
      </w:r>
      <w:r w:rsidR="004D2070" w:rsidRPr="00C03220">
        <w:rPr>
          <w:rFonts w:ascii="Times New Roman" w:hAnsi="Times New Roman" w:cs="Times New Roman"/>
          <w:lang w:val="pl-PL"/>
        </w:rPr>
        <w:t xml:space="preserve"> ich celem. </w:t>
      </w:r>
      <w:r w:rsidR="00ED10B1" w:rsidRPr="00C03220">
        <w:rPr>
          <w:rFonts w:ascii="Times New Roman" w:hAnsi="Times New Roman" w:cs="Times New Roman"/>
          <w:lang w:val="pl-PL"/>
        </w:rPr>
        <w:t xml:space="preserve">Deklaracje tego rodzaju obiektywnie </w:t>
      </w:r>
      <w:r w:rsidRPr="00C03220">
        <w:rPr>
          <w:rFonts w:ascii="Times New Roman" w:hAnsi="Times New Roman" w:cs="Times New Roman"/>
          <w:lang w:val="pl-PL"/>
        </w:rPr>
        <w:t>skutkują</w:t>
      </w:r>
      <w:r w:rsidR="00ED10B1" w:rsidRPr="00C03220">
        <w:rPr>
          <w:rFonts w:ascii="Times New Roman" w:hAnsi="Times New Roman" w:cs="Times New Roman"/>
          <w:lang w:val="pl-PL"/>
        </w:rPr>
        <w:t xml:space="preserve"> rozpowszechnianiem n</w:t>
      </w:r>
      <w:r w:rsidR="006B1DF1" w:rsidRPr="00C03220">
        <w:rPr>
          <w:rFonts w:ascii="Times New Roman" w:hAnsi="Times New Roman" w:cs="Times New Roman"/>
          <w:lang w:val="pl-PL"/>
        </w:rPr>
        <w:t>ietolerancj</w:t>
      </w:r>
      <w:r w:rsidR="00ED10B1" w:rsidRPr="00C03220">
        <w:rPr>
          <w:rFonts w:ascii="Times New Roman" w:hAnsi="Times New Roman" w:cs="Times New Roman"/>
          <w:lang w:val="pl-PL"/>
        </w:rPr>
        <w:t>i</w:t>
      </w:r>
      <w:r w:rsidR="004D2070" w:rsidRPr="00C03220">
        <w:rPr>
          <w:rFonts w:ascii="Times New Roman" w:hAnsi="Times New Roman" w:cs="Times New Roman"/>
          <w:lang w:val="pl-PL"/>
        </w:rPr>
        <w:t xml:space="preserve"> i </w:t>
      </w:r>
      <w:r w:rsidR="00ED10B1" w:rsidRPr="00C03220">
        <w:rPr>
          <w:rFonts w:ascii="Times New Roman" w:hAnsi="Times New Roman" w:cs="Times New Roman"/>
          <w:lang w:val="pl-PL"/>
        </w:rPr>
        <w:t>uprzedzeń</w:t>
      </w:r>
      <w:r w:rsidR="004D2070" w:rsidRPr="00C03220">
        <w:rPr>
          <w:rFonts w:ascii="Times New Roman" w:hAnsi="Times New Roman" w:cs="Times New Roman"/>
          <w:lang w:val="pl-PL"/>
        </w:rPr>
        <w:t xml:space="preserve"> względem Romów. </w:t>
      </w:r>
      <w:r w:rsidR="00ED10B1" w:rsidRPr="00C03220">
        <w:rPr>
          <w:rFonts w:ascii="Times New Roman" w:hAnsi="Times New Roman" w:cs="Times New Roman"/>
          <w:lang w:val="pl-PL"/>
        </w:rPr>
        <w:t xml:space="preserve">To samo dotyczy wypowiadanych </w:t>
      </w:r>
      <w:r w:rsidR="004D2070" w:rsidRPr="00C03220">
        <w:rPr>
          <w:rFonts w:ascii="Times New Roman" w:hAnsi="Times New Roman" w:cs="Times New Roman"/>
          <w:lang w:val="pl-PL"/>
        </w:rPr>
        <w:t>podczas marszów</w:t>
      </w:r>
      <w:r w:rsidR="00ED10B1" w:rsidRPr="00C03220">
        <w:rPr>
          <w:rFonts w:ascii="Times New Roman" w:hAnsi="Times New Roman" w:cs="Times New Roman"/>
          <w:lang w:val="pl-PL"/>
        </w:rPr>
        <w:t xml:space="preserve"> poglądów antysemickich</w:t>
      </w:r>
      <w:r w:rsidR="004D2070" w:rsidRPr="00C03220">
        <w:rPr>
          <w:rFonts w:ascii="Times New Roman" w:hAnsi="Times New Roman" w:cs="Times New Roman"/>
          <w:lang w:val="pl-PL"/>
        </w:rPr>
        <w:t>.</w:t>
      </w:r>
    </w:p>
    <w:p w:rsidR="004D2070" w:rsidRPr="00C03220" w:rsidRDefault="004D2070" w:rsidP="004D2070">
      <w:pPr>
        <w:pStyle w:val="OpiPara"/>
        <w:rPr>
          <w:rFonts w:ascii="Times New Roman" w:hAnsi="Times New Roman" w:cs="Times New Roman"/>
          <w:lang w:val="pl-PL"/>
        </w:rPr>
      </w:pPr>
      <w:r w:rsidRPr="00C03220">
        <w:rPr>
          <w:rFonts w:ascii="Times New Roman" w:hAnsi="Times New Roman" w:cs="Times New Roman"/>
          <w:lang w:val="pl-PL"/>
        </w:rPr>
        <w:t>Ponadto sądy krajowe uznały, że Ruch Gwardii Węgierskiej stanowił fasadę stowarzyszenia skarżącego, ponieważ to stowarzyszenie założyło, zarządzało i finansowało działalność Ruchu. Zatem sądy krajowe ustaliły, że działania Ruchu należy przypisać stowarzyszeniu skarżącego. W tym przypadku podstawy wskazane przez sądy krajowe również były właściwe i wystarczające.</w:t>
      </w:r>
    </w:p>
    <w:p w:rsidR="004D2070" w:rsidRPr="00C03220" w:rsidRDefault="004D2070" w:rsidP="004D2070">
      <w:pPr>
        <w:pStyle w:val="OpiPara"/>
        <w:rPr>
          <w:rFonts w:ascii="Times New Roman" w:hAnsi="Times New Roman" w:cs="Times New Roman"/>
          <w:lang w:val="pl-PL"/>
        </w:rPr>
      </w:pPr>
      <w:r w:rsidRPr="00C03220">
        <w:rPr>
          <w:rFonts w:ascii="Times New Roman" w:hAnsi="Times New Roman" w:cs="Times New Roman"/>
          <w:lang w:val="pl-PL"/>
        </w:rPr>
        <w:t xml:space="preserve">W rzeczywistości kryminalizacja wypowiedzi i innych form ekspresji rasistowskiej, zakaz zgromadzeń i rozwiązanie stowarzyszeń propagujących rasizm są zgodne z wolnością wyrażania opinii, zgromadzania się i stowarzyszania. Artykuły 10 i 11 Konwencji muszą być interpretowane w taki sposób, by były zgodne ze zwyczajowym i bezwzględnie obowiązującym obowiązkiem międzynarodowym, o którym mowa powyżej. Zgodnie z międzynarodowym prawem w </w:t>
      </w:r>
      <w:r w:rsidR="006B1DF1" w:rsidRPr="00C03220">
        <w:rPr>
          <w:rFonts w:ascii="Times New Roman" w:hAnsi="Times New Roman" w:cs="Times New Roman"/>
          <w:lang w:val="pl-PL"/>
        </w:rPr>
        <w:t>zakresie</w:t>
      </w:r>
      <w:r w:rsidRPr="00C03220">
        <w:rPr>
          <w:rFonts w:ascii="Times New Roman" w:hAnsi="Times New Roman" w:cs="Times New Roman"/>
          <w:lang w:val="pl-PL"/>
        </w:rPr>
        <w:t xml:space="preserve"> praw człowieka potrzebne jest holistyczne podejście do tych </w:t>
      </w:r>
      <w:r w:rsidR="006B1DF1" w:rsidRPr="00C03220">
        <w:rPr>
          <w:rFonts w:ascii="Times New Roman" w:hAnsi="Times New Roman" w:cs="Times New Roman"/>
          <w:lang w:val="pl-PL"/>
        </w:rPr>
        <w:t>wolności</w:t>
      </w:r>
      <w:r w:rsidRPr="00C03220">
        <w:rPr>
          <w:rFonts w:ascii="Times New Roman" w:hAnsi="Times New Roman" w:cs="Times New Roman"/>
          <w:lang w:val="pl-PL"/>
        </w:rPr>
        <w:t>, szczególnie w odniesieniu do stosowanych ograniczeń.</w:t>
      </w:r>
      <w:r w:rsidRPr="00C03220">
        <w:rPr>
          <w:rFonts w:ascii="Times New Roman" w:hAnsi="Times New Roman" w:cs="Times New Roman"/>
          <w:sz w:val="20"/>
          <w:vertAlign w:val="superscript"/>
          <w:lang w:val="pl-PL"/>
        </w:rPr>
        <w:footnoteReference w:id="36"/>
      </w:r>
      <w:r w:rsidRPr="00C03220">
        <w:rPr>
          <w:rFonts w:ascii="Times New Roman" w:hAnsi="Times New Roman" w:cs="Times New Roman"/>
          <w:lang w:val="pl-PL"/>
        </w:rPr>
        <w:t xml:space="preserve"> Wykonywanie wolności wyrażania opinii pociąga za sobą szczególne obowiązki wymienione w art. 29 (2) Powszechnej Deklaracji Praw Człowieka (PDPCz), pośród których szczególną </w:t>
      </w:r>
      <w:r w:rsidR="006B1DF1" w:rsidRPr="00C03220">
        <w:rPr>
          <w:rFonts w:ascii="Times New Roman" w:hAnsi="Times New Roman" w:cs="Times New Roman"/>
          <w:lang w:val="pl-PL"/>
        </w:rPr>
        <w:t>wagę</w:t>
      </w:r>
      <w:r w:rsidRPr="00C03220">
        <w:rPr>
          <w:rFonts w:ascii="Times New Roman" w:hAnsi="Times New Roman" w:cs="Times New Roman"/>
          <w:lang w:val="pl-PL"/>
        </w:rPr>
        <w:t xml:space="preserve"> przywiązuje </w:t>
      </w:r>
      <w:r w:rsidR="006B1DF1" w:rsidRPr="00C03220">
        <w:rPr>
          <w:rFonts w:ascii="Times New Roman" w:hAnsi="Times New Roman" w:cs="Times New Roman"/>
          <w:lang w:val="pl-PL"/>
        </w:rPr>
        <w:t>się</w:t>
      </w:r>
      <w:r w:rsidRPr="00C03220">
        <w:rPr>
          <w:rFonts w:ascii="Times New Roman" w:hAnsi="Times New Roman" w:cs="Times New Roman"/>
          <w:lang w:val="pl-PL"/>
        </w:rPr>
        <w:t xml:space="preserve"> do obowiązku </w:t>
      </w:r>
      <w:r w:rsidR="006B1DF1" w:rsidRPr="00C03220">
        <w:rPr>
          <w:rFonts w:ascii="Times New Roman" w:hAnsi="Times New Roman" w:cs="Times New Roman"/>
          <w:lang w:val="pl-PL"/>
        </w:rPr>
        <w:t>nierozpowszechniania</w:t>
      </w:r>
      <w:r w:rsidRPr="00C03220">
        <w:rPr>
          <w:rFonts w:ascii="Times New Roman" w:hAnsi="Times New Roman" w:cs="Times New Roman"/>
          <w:lang w:val="pl-PL"/>
        </w:rPr>
        <w:t xml:space="preserve"> idei rasistowskich oraz w art. 20 (2) Międzynarodowego Paktu Praw Obywatelskich i Politycznych (ICCPR), zgodnie z którym popieranie w jakikolwiek sposób nienawiści narodowej, rasowej lub religijnej, </w:t>
      </w:r>
      <w:r w:rsidRPr="00C03220">
        <w:rPr>
          <w:rFonts w:ascii="Times New Roman" w:hAnsi="Times New Roman" w:cs="Times New Roman"/>
          <w:lang w:val="pl-PL"/>
        </w:rPr>
        <w:lastRenderedPageBreak/>
        <w:t>stanowiące podżeganie do dyskryminacji, wrogości lub gwałtu, powinno być ustawowo zakazane.</w:t>
      </w:r>
      <w:r w:rsidRPr="00C03220">
        <w:rPr>
          <w:rFonts w:ascii="Times New Roman" w:hAnsi="Times New Roman" w:cs="Times New Roman"/>
          <w:sz w:val="20"/>
          <w:vertAlign w:val="superscript"/>
          <w:lang w:val="pl-PL"/>
        </w:rPr>
        <w:footnoteReference w:id="37"/>
      </w:r>
      <w:r w:rsidRPr="00C03220">
        <w:rPr>
          <w:rFonts w:ascii="Times New Roman" w:hAnsi="Times New Roman" w:cs="Times New Roman"/>
          <w:lang w:val="pl-PL"/>
        </w:rPr>
        <w:t xml:space="preserve"> Zakaz ten dotyczy nie tylko rasistowskich form ekspresji,</w:t>
      </w:r>
      <w:r w:rsidRPr="00C03220">
        <w:rPr>
          <w:rFonts w:ascii="Times New Roman" w:hAnsi="Times New Roman" w:cs="Times New Roman"/>
          <w:sz w:val="20"/>
          <w:vertAlign w:val="superscript"/>
          <w:lang w:val="pl-PL"/>
        </w:rPr>
        <w:footnoteReference w:id="38"/>
      </w:r>
      <w:r w:rsidRPr="00C03220">
        <w:rPr>
          <w:rFonts w:ascii="Times New Roman" w:hAnsi="Times New Roman" w:cs="Times New Roman"/>
          <w:lang w:val="pl-PL"/>
        </w:rPr>
        <w:t xml:space="preserve"> lecz także zgromadzeń lub stowarzyszeń propagujących rasizm.</w:t>
      </w:r>
      <w:r w:rsidRPr="00C03220">
        <w:rPr>
          <w:rFonts w:ascii="Times New Roman" w:hAnsi="Times New Roman" w:cs="Times New Roman"/>
          <w:sz w:val="20"/>
          <w:vertAlign w:val="superscript"/>
          <w:lang w:val="pl-PL"/>
        </w:rPr>
        <w:footnoteReference w:id="39"/>
      </w:r>
      <w:r w:rsidRPr="00C03220">
        <w:rPr>
          <w:rFonts w:ascii="Times New Roman" w:hAnsi="Times New Roman" w:cs="Times New Roman"/>
          <w:lang w:val="pl-PL"/>
        </w:rPr>
        <w:t xml:space="preserve"> W pewnych przypadkach rozpowszechnianie rasizmu poprzez wypowiedzi, zgromadzenia lub stowarzyszenia może stanowić instrument „unicestwiania praw”, co wymaga zastosowania przepisów określonych w artykule 30 PDPCz, artykule 5 ICCPR oraz artykule 17 Konwencji.</w:t>
      </w:r>
      <w:r w:rsidRPr="00C03220">
        <w:rPr>
          <w:rFonts w:ascii="Times New Roman" w:hAnsi="Times New Roman" w:cs="Times New Roman"/>
          <w:sz w:val="20"/>
          <w:vertAlign w:val="superscript"/>
          <w:lang w:val="pl-PL"/>
        </w:rPr>
        <w:footnoteReference w:id="40"/>
      </w:r>
    </w:p>
    <w:p w:rsidR="004D2070" w:rsidRPr="00C03220" w:rsidRDefault="004D2070" w:rsidP="004D2070">
      <w:pPr>
        <w:pStyle w:val="OpiPara"/>
        <w:rPr>
          <w:rFonts w:ascii="Times New Roman" w:hAnsi="Times New Roman" w:cs="Times New Roman"/>
          <w:lang w:val="pl-PL"/>
        </w:rPr>
      </w:pPr>
      <w:r w:rsidRPr="00C03220">
        <w:rPr>
          <w:rFonts w:ascii="Times New Roman" w:hAnsi="Times New Roman" w:cs="Times New Roman"/>
          <w:lang w:val="pl-PL"/>
        </w:rPr>
        <w:t>Kontekst debaty politycznej jest oczywiście bez znaczenia w odniesieniu do wypowiedzi, zgromadzeń czy stowarzyszeń o charakterze rasistowskim.</w:t>
      </w:r>
      <w:r w:rsidRPr="00C03220">
        <w:rPr>
          <w:rFonts w:ascii="Times New Roman" w:hAnsi="Times New Roman" w:cs="Times New Roman"/>
          <w:sz w:val="20"/>
          <w:vertAlign w:val="superscript"/>
          <w:lang w:val="pl-PL"/>
        </w:rPr>
        <w:footnoteReference w:id="41"/>
      </w:r>
      <w:r w:rsidRPr="00C03220">
        <w:rPr>
          <w:rFonts w:ascii="Times New Roman" w:hAnsi="Times New Roman" w:cs="Times New Roman"/>
          <w:lang w:val="pl-PL"/>
        </w:rPr>
        <w:t xml:space="preserve"> Nawet w tym przypadku wolność wyrażania opinii, zgromadzania się i stowarzyszania się musi ustąpić przed godnością ludzką i prawami osób, których rasa, narodowość czy pochodzenie etniczne </w:t>
      </w:r>
      <w:r w:rsidR="006B1DF1" w:rsidRPr="00C03220">
        <w:rPr>
          <w:rFonts w:ascii="Times New Roman" w:hAnsi="Times New Roman" w:cs="Times New Roman"/>
          <w:lang w:val="pl-PL"/>
        </w:rPr>
        <w:t>są</w:t>
      </w:r>
      <w:r w:rsidRPr="00C03220">
        <w:rPr>
          <w:rFonts w:ascii="Times New Roman" w:hAnsi="Times New Roman" w:cs="Times New Roman"/>
          <w:lang w:val="pl-PL"/>
        </w:rPr>
        <w:t xml:space="preserve"> przedmiotem ataku. Wraz z upływem czasu stało </w:t>
      </w:r>
      <w:r w:rsidR="006B1DF1" w:rsidRPr="00C03220">
        <w:rPr>
          <w:rFonts w:ascii="Times New Roman" w:hAnsi="Times New Roman" w:cs="Times New Roman"/>
          <w:lang w:val="pl-PL"/>
        </w:rPr>
        <w:t>się</w:t>
      </w:r>
      <w:r w:rsidRPr="00C03220">
        <w:rPr>
          <w:rFonts w:ascii="Times New Roman" w:hAnsi="Times New Roman" w:cs="Times New Roman"/>
          <w:lang w:val="pl-PL"/>
        </w:rPr>
        <w:t xml:space="preserve"> oczywistym, że działalność stowarzyszenia stanowiła wyraźne i bezpośrednie zagrożenie dla porządku publicznego i praw osób trzecich.</w:t>
      </w:r>
      <w:r w:rsidRPr="00C03220">
        <w:rPr>
          <w:rFonts w:ascii="Times New Roman" w:hAnsi="Times New Roman" w:cs="Times New Roman"/>
          <w:sz w:val="20"/>
          <w:vertAlign w:val="superscript"/>
          <w:lang w:val="pl-PL"/>
        </w:rPr>
        <w:footnoteReference w:id="42"/>
      </w:r>
      <w:r w:rsidRPr="00C03220">
        <w:rPr>
          <w:rFonts w:ascii="Times New Roman" w:hAnsi="Times New Roman" w:cs="Times New Roman"/>
          <w:lang w:val="pl-PL"/>
        </w:rPr>
        <w:t xml:space="preserve"> Z tego względu rozwiązanie było środkiem proporcjonalnym w świetle retoryki i działalności stowarzyszenia, które odmawiały osobom narażonym prawa do poszanowania jako jednostek </w:t>
      </w:r>
      <w:r w:rsidRPr="00C03220">
        <w:rPr>
          <w:rFonts w:ascii="Times New Roman" w:hAnsi="Times New Roman" w:cs="Times New Roman"/>
          <w:lang w:val="pl-PL"/>
        </w:rPr>
        <w:lastRenderedPageBreak/>
        <w:t>ludzkich oraz stanowiły zagrożenie dla ich bezpieczeństwa i porządku publicznego.</w:t>
      </w:r>
    </w:p>
    <w:p w:rsidR="004D2070" w:rsidRPr="00C03220" w:rsidRDefault="004D2070" w:rsidP="000F645C">
      <w:pPr>
        <w:pStyle w:val="ECHRHeading2"/>
        <w:numPr>
          <w:ilvl w:val="0"/>
          <w:numId w:val="0"/>
        </w:numPr>
        <w:spacing w:before="240" w:after="120"/>
        <w:rPr>
          <w:rFonts w:ascii="Times New Roman" w:hAnsi="Times New Roman" w:cs="Times New Roman"/>
          <w:color w:val="auto"/>
          <w:sz w:val="24"/>
          <w:szCs w:val="24"/>
          <w:lang w:val="pl-PL"/>
        </w:rPr>
      </w:pPr>
      <w:r w:rsidRPr="00C03220">
        <w:rPr>
          <w:rFonts w:ascii="Times New Roman" w:hAnsi="Times New Roman" w:cs="Times New Roman"/>
          <w:color w:val="auto"/>
          <w:sz w:val="24"/>
          <w:szCs w:val="24"/>
          <w:lang w:val="pl-PL"/>
        </w:rPr>
        <w:t>Kryterium konieczności</w:t>
      </w:r>
    </w:p>
    <w:p w:rsidR="004D2070" w:rsidRPr="00C03220" w:rsidRDefault="004D2070" w:rsidP="004D2070">
      <w:pPr>
        <w:pStyle w:val="OpiPara"/>
        <w:rPr>
          <w:rFonts w:ascii="Times New Roman" w:hAnsi="Times New Roman" w:cs="Times New Roman"/>
          <w:lang w:val="pl-PL"/>
        </w:rPr>
      </w:pPr>
      <w:r w:rsidRPr="00C03220">
        <w:rPr>
          <w:rFonts w:ascii="Times New Roman" w:hAnsi="Times New Roman" w:cs="Times New Roman"/>
          <w:lang w:val="pl-PL"/>
        </w:rPr>
        <w:t>Rozwiązanie stowarzyszenia stanowi ostateczny środek (</w:t>
      </w:r>
      <w:r w:rsidRPr="00C03220">
        <w:rPr>
          <w:rFonts w:ascii="Times New Roman" w:hAnsi="Times New Roman" w:cs="Times New Roman"/>
          <w:i/>
          <w:iCs/>
          <w:lang w:val="pl-PL"/>
        </w:rPr>
        <w:t>ultimum remedium</w:t>
      </w:r>
      <w:r w:rsidRPr="00C03220">
        <w:rPr>
          <w:rFonts w:ascii="Times New Roman" w:hAnsi="Times New Roman" w:cs="Times New Roman"/>
          <w:lang w:val="pl-PL"/>
        </w:rPr>
        <w:t xml:space="preserve">) stosowany względem osób prawnych. Przed zastosowaniem tak </w:t>
      </w:r>
      <w:r w:rsidR="006B1DF1" w:rsidRPr="00C03220">
        <w:rPr>
          <w:rFonts w:ascii="Times New Roman" w:hAnsi="Times New Roman" w:cs="Times New Roman"/>
          <w:lang w:val="pl-PL"/>
        </w:rPr>
        <w:t>drastycznego</w:t>
      </w:r>
      <w:r w:rsidRPr="00C03220">
        <w:rPr>
          <w:rFonts w:ascii="Times New Roman" w:hAnsi="Times New Roman" w:cs="Times New Roman"/>
          <w:lang w:val="pl-PL"/>
        </w:rPr>
        <w:t xml:space="preserve"> środka Państwo ma obowiązek uwzględnienia innych, mniej inwazyjnych środków, takich jak zakaz zgromadzania się, wycofanie świadczeń ze środków publicznych i objęcie nadzorem sądowym. W niniejszej sprawie władze krajowe umożliwiły stowarzyszeniu poprawę i dostosowanie swoich praktyk do statusu oraz przepisów prawa. Jednakże stowarzyszenie nie skorzystało z takiej możliwości, lecz kontynuowało prowadzenie niezgodnej z prawem działalności, co doprowadziło do surowszej reakcji ze stron władz krajowych. Nie ma zatem sprzeczności pomiędzy faktem rozwiązania stowarzyszenia oraz oficjalnym tolerowaniem marszów przez pewien okres czasu. Po upływie okresu próbnego rozwiązanie stowarzyszenia stanowiło jedyny odpowiedni środek reakcji na zagrożenie, jakie stanowiło ono dla praw osób trzecich i porządku publicznego.</w:t>
      </w:r>
    </w:p>
    <w:p w:rsidR="004D2070" w:rsidRPr="00C03220" w:rsidRDefault="004D2070" w:rsidP="000F645C">
      <w:pPr>
        <w:pStyle w:val="ECHRHeading2"/>
        <w:numPr>
          <w:ilvl w:val="0"/>
          <w:numId w:val="0"/>
        </w:numPr>
        <w:spacing w:before="240" w:after="120"/>
        <w:rPr>
          <w:rFonts w:ascii="Times New Roman" w:hAnsi="Times New Roman" w:cs="Times New Roman"/>
          <w:color w:val="auto"/>
          <w:sz w:val="24"/>
          <w:szCs w:val="24"/>
          <w:lang w:val="pl-PL"/>
        </w:rPr>
      </w:pPr>
      <w:r w:rsidRPr="00C03220">
        <w:rPr>
          <w:rFonts w:ascii="Times New Roman" w:hAnsi="Times New Roman" w:cs="Times New Roman"/>
          <w:color w:val="auto"/>
          <w:sz w:val="24"/>
          <w:szCs w:val="24"/>
          <w:lang w:val="pl-PL"/>
        </w:rPr>
        <w:t>Konkluzja</w:t>
      </w:r>
    </w:p>
    <w:p w:rsidR="004D2070" w:rsidRPr="00C03220" w:rsidRDefault="004D2070" w:rsidP="004D2070">
      <w:pPr>
        <w:pStyle w:val="OpiPara"/>
        <w:rPr>
          <w:rFonts w:ascii="Times New Roman" w:hAnsi="Times New Roman" w:cs="Times New Roman"/>
          <w:lang w:val="pl-PL"/>
        </w:rPr>
      </w:pPr>
      <w:r w:rsidRPr="00C03220">
        <w:rPr>
          <w:rFonts w:ascii="Times New Roman" w:hAnsi="Times New Roman" w:cs="Times New Roman"/>
          <w:lang w:val="pl-PL"/>
        </w:rPr>
        <w:t xml:space="preserve">“Romowie są tym, kim my wszyscy staramy się być: prawdziwymi Europejczykami” – to słowa Güntera Grassa. Stowarzyszenie, którego cele i działalność miały charakter rasistowski, zlekceważyło tę lekcję. Uwzględniając obowiązek Państwa uznania za przestępstwo rozpowszechniania rasizm, ksenofobii lub nietolerancji etnicznej, zakazu każdego zgromadzenia i rozwiązywania każdej grupy, organizacji, stowarzyszenia czy partii, które je propagują, biorąc pod uwagę różnicę pomiędzy celem statutowym a praktyką działania stowarzyszenia oraz istnienie wyraźnego i </w:t>
      </w:r>
      <w:r w:rsidR="006B1DF1" w:rsidRPr="00C03220">
        <w:rPr>
          <w:rFonts w:ascii="Times New Roman" w:hAnsi="Times New Roman" w:cs="Times New Roman"/>
          <w:lang w:val="pl-PL"/>
        </w:rPr>
        <w:t>bezpośredniego</w:t>
      </w:r>
      <w:r w:rsidRPr="00C03220">
        <w:rPr>
          <w:rFonts w:ascii="Times New Roman" w:hAnsi="Times New Roman" w:cs="Times New Roman"/>
          <w:lang w:val="pl-PL"/>
        </w:rPr>
        <w:t xml:space="preserve"> zagrożenia wynikającego z jej wypowiedzi i działalności, po zbadaniu decyzji wydanych przez właściwe organy w świetle wąskiego marginesu swobodnej oceny mającego zastosowanie wobec niniejszej sprawy, stwierdzam, iż podstawy zaskarżonego rozwiązania były właściwe i wystarczające oraz że ingerencja odpowiadała pilnej potrzebie społecznej.</w:t>
      </w:r>
    </w:p>
    <w:p w:rsidR="004D2070" w:rsidRPr="00C03220" w:rsidRDefault="004D2070" w:rsidP="004D2070">
      <w:pPr>
        <w:pStyle w:val="JuParaLast"/>
        <w:rPr>
          <w:rFonts w:ascii="Times New Roman" w:hAnsi="Times New Roman" w:cs="Times New Roman"/>
          <w:lang w:val="pl-PL"/>
        </w:rPr>
      </w:pPr>
    </w:p>
    <w:p w:rsidR="004D2070" w:rsidRPr="00C03220" w:rsidRDefault="004D2070" w:rsidP="004D2070">
      <w:pPr>
        <w:rPr>
          <w:rFonts w:ascii="Times New Roman" w:hAnsi="Times New Roman" w:cs="Times New Roman"/>
          <w:lang w:val="pl-PL"/>
        </w:rPr>
      </w:pPr>
    </w:p>
    <w:p w:rsidR="00CC2EE1" w:rsidRPr="00C03220" w:rsidRDefault="00CC2EE1">
      <w:pPr>
        <w:rPr>
          <w:rFonts w:ascii="Times New Roman" w:hAnsi="Times New Roman" w:cs="Times New Roman"/>
          <w:lang w:val="pl-PL"/>
        </w:rPr>
      </w:pPr>
    </w:p>
    <w:sectPr w:rsidR="00CC2EE1" w:rsidRPr="00C03220" w:rsidSect="006B1DF1">
      <w:headerReference w:type="even" r:id="rId21"/>
      <w:headerReference w:type="default" r:id="rId22"/>
      <w:footnotePr>
        <w:numRestart w:val="eachPage"/>
      </w:footnotePr>
      <w:pgSz w:w="11906" w:h="16838" w:code="9"/>
      <w:pgMar w:top="2274" w:right="2274" w:bottom="2274" w:left="2274" w:header="1701" w:footer="720"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52F83" w:rsidRDefault="00352F83" w:rsidP="004D2070">
      <w:r>
        <w:separator/>
      </w:r>
    </w:p>
  </w:endnote>
  <w:endnote w:type="continuationSeparator" w:id="0">
    <w:p w:rsidR="00352F83" w:rsidRDefault="00352F83" w:rsidP="004D20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10002FF" w:usb1="4000FCFF" w:usb2="00000009" w:usb3="00000000" w:csb0="0000019F" w:csb1="00000000"/>
  </w:font>
  <w:font w:name="Arial">
    <w:panose1 w:val="020B0604020202020204"/>
    <w:charset w:val="EE"/>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6C52" w:rsidRPr="00150BFA" w:rsidRDefault="00EC6C52" w:rsidP="006B1DF1">
    <w:pPr>
      <w:jc w:val="center"/>
      <w:rPr>
        <w:sz w:val="4"/>
        <w:szCs w:val="4"/>
      </w:rPr>
    </w:pPr>
    <w:r>
      <w:rPr>
        <w:noProof/>
        <w:sz w:val="4"/>
        <w:szCs w:val="4"/>
        <w:lang w:val="pl-PL" w:eastAsia="pl-PL"/>
      </w:rPr>
      <w:drawing>
        <wp:inline distT="0" distB="0" distL="0" distR="0" wp14:anchorId="7CDFBD74" wp14:editId="2E740D5E">
          <wp:extent cx="685800" cy="419100"/>
          <wp:effectExtent l="0" t="0" r="0" b="0"/>
          <wp:docPr id="8" name="Picture 8" descr="DocFooter-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ocFooter-0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5800" cy="419100"/>
                  </a:xfrm>
                  <a:prstGeom prst="rect">
                    <a:avLst/>
                  </a:prstGeom>
                  <a:noFill/>
                  <a:ln>
                    <a:noFill/>
                  </a:ln>
                </pic:spPr>
              </pic:pic>
            </a:graphicData>
          </a:graphic>
        </wp:inline>
      </w:drawing>
    </w:r>
  </w:p>
  <w:p w:rsidR="00EC6C52" w:rsidRDefault="00EC6C52">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52F83" w:rsidRDefault="00352F83" w:rsidP="004D2070">
      <w:r>
        <w:separator/>
      </w:r>
    </w:p>
  </w:footnote>
  <w:footnote w:type="continuationSeparator" w:id="0">
    <w:p w:rsidR="00352F83" w:rsidRDefault="00352F83" w:rsidP="004D2070">
      <w:r>
        <w:continuationSeparator/>
      </w:r>
    </w:p>
  </w:footnote>
  <w:footnote w:id="1">
    <w:p w:rsidR="00EC6C52" w:rsidRPr="000C56AC" w:rsidRDefault="00EC6C52" w:rsidP="004D2070">
      <w:pPr>
        <w:pStyle w:val="Tekstprzypisudolnego"/>
        <w:rPr>
          <w:lang w:val="pl-PL"/>
        </w:rPr>
      </w:pPr>
      <w:r w:rsidRPr="000C56AC">
        <w:rPr>
          <w:rStyle w:val="Odwoanieprzypisudolnego"/>
          <w:lang w:val="pl-PL"/>
        </w:rPr>
        <w:footnoteRef/>
      </w:r>
      <w:r w:rsidRPr="000C56AC">
        <w:rPr>
          <w:lang w:val="pl-PL"/>
        </w:rPr>
        <w:t xml:space="preserve"> Określana także jako zbrodnie cygańskie.</w:t>
      </w:r>
    </w:p>
  </w:footnote>
  <w:footnote w:id="2">
    <w:p w:rsidR="00EC6C52" w:rsidRPr="000C56AC" w:rsidRDefault="00EC6C52" w:rsidP="004D2070">
      <w:pPr>
        <w:pStyle w:val="Tekstprzypisudolnego"/>
        <w:rPr>
          <w:rFonts w:ascii="Times New Roman" w:hAnsi="Times New Roman" w:cs="Times New Roman"/>
          <w:lang w:val="pl-PL"/>
        </w:rPr>
      </w:pPr>
      <w:r w:rsidRPr="000C56AC">
        <w:rPr>
          <w:rStyle w:val="Odwoanieprzypisudolnego"/>
          <w:rFonts w:ascii="Times New Roman" w:hAnsi="Times New Roman" w:cs="Times New Roman"/>
          <w:lang w:val="pl-PL"/>
        </w:rPr>
        <w:footnoteRef/>
      </w:r>
      <w:r w:rsidRPr="000C56AC">
        <w:rPr>
          <w:rFonts w:ascii="Times New Roman" w:hAnsi="Times New Roman" w:cs="Times New Roman"/>
          <w:lang w:val="pl-PL"/>
        </w:rPr>
        <w:t>Konwencja ICERD została przyjęta w dniu 21 grudnia 1965 r. i została podpisana przez 176 stron, w tym Węgry.</w:t>
      </w:r>
    </w:p>
  </w:footnote>
  <w:footnote w:id="3">
    <w:p w:rsidR="00EC6C52" w:rsidRPr="000C56AC" w:rsidRDefault="00EC6C52" w:rsidP="004D2070">
      <w:pPr>
        <w:pStyle w:val="Tekstprzypisudolnego"/>
        <w:rPr>
          <w:rFonts w:ascii="Times New Roman" w:hAnsi="Times New Roman" w:cs="Times New Roman"/>
          <w:lang w:val="pl-PL"/>
        </w:rPr>
      </w:pPr>
      <w:r w:rsidRPr="000C56AC">
        <w:rPr>
          <w:rStyle w:val="Odwoanieprzypisudolnego"/>
          <w:rFonts w:ascii="Times New Roman" w:hAnsi="Times New Roman" w:cs="Times New Roman"/>
          <w:lang w:val="pl-PL"/>
        </w:rPr>
        <w:footnoteRef/>
      </w:r>
      <w:r w:rsidRPr="000C56AC">
        <w:rPr>
          <w:rFonts w:ascii="Times New Roman" w:hAnsi="Times New Roman" w:cs="Times New Roman"/>
          <w:lang w:val="pl-PL"/>
        </w:rPr>
        <w:t>Zgodnie z ICERD wyrażenie „dyskryminacja rasowa” oznacza wszelkie zróżnicowanie, wykluczenie, ograniczenie lub uprzywilejowanie z powodu rasy, koloru skóry, urodzenia, pochodzenia narodowego lub etnicznego, które ma na celu lub pociąga za sobą przekreślenie bądź uszczuplenie uznania, wykonywania lub korzystania, na zasadzie równości z praw człowieka i podstawowych wolności w dziedzinie politycznej, gospodarczej, społecznej i kulturalnej lub w jakiejkolwiek innej dziedzinie życia publicznego. W tej uniwersalnej definicji nie dokonano rozróżnienia pomiędzy dyskryminacją ze względu na pochodzenie etniczne oraz ze względu na rasę.</w:t>
      </w:r>
    </w:p>
  </w:footnote>
  <w:footnote w:id="4">
    <w:p w:rsidR="00EC6C52" w:rsidRPr="000C56AC" w:rsidRDefault="00EC6C52" w:rsidP="004D2070">
      <w:pPr>
        <w:pStyle w:val="Tekstprzypisudolnego"/>
        <w:rPr>
          <w:rFonts w:ascii="Times New Roman" w:hAnsi="Times New Roman" w:cs="Times New Roman"/>
          <w:lang w:val="pl-PL"/>
        </w:rPr>
      </w:pPr>
      <w:r w:rsidRPr="000C56AC">
        <w:rPr>
          <w:rStyle w:val="Odwoanieprzypisudolnego"/>
          <w:rFonts w:ascii="Times New Roman" w:hAnsi="Times New Roman" w:cs="Times New Roman"/>
          <w:lang w:val="pl-PL"/>
        </w:rPr>
        <w:footnoteRef/>
      </w:r>
      <w:r w:rsidRPr="000C56AC">
        <w:rPr>
          <w:rFonts w:ascii="Times New Roman" w:hAnsi="Times New Roman" w:cs="Times New Roman"/>
          <w:lang w:val="pl-PL"/>
        </w:rPr>
        <w:t xml:space="preserve"> Zob. Ogólne Zalecenie Komitetu do spraw Likwidacji Dyskryminacji Rasowej (CERD) nr 15 (1993 r.) w sprawie aktów przemocy zorganizowanej w związku z pochodzeniem etnicznym, par. 3-6; Zalecenie Ogólne nr 27 (2000) w sprawie dyskryminacji wobec Romów, par. 12; Zalecenie Ogólne nr 30 (2004) w sprawie dyskryminacji wobec obywateli innych państw, par. 11-12 oraz Zalecenie Ogólne nr 31 (2005) w sprawie zapobiegania dyskryminacji na tle rasowym w administracji oraz funkcjonowania systemu sądownictwa karnego, par. 4.</w:t>
      </w:r>
    </w:p>
  </w:footnote>
  <w:footnote w:id="5">
    <w:p w:rsidR="00EC6C52" w:rsidRPr="000C56AC" w:rsidRDefault="00EC6C52" w:rsidP="004D2070">
      <w:pPr>
        <w:pStyle w:val="Tekstprzypisudolnego"/>
        <w:rPr>
          <w:rFonts w:ascii="Times New Roman" w:hAnsi="Times New Roman" w:cs="Times New Roman"/>
          <w:lang w:val="pl-PL"/>
        </w:rPr>
      </w:pPr>
      <w:r w:rsidRPr="000C56AC">
        <w:rPr>
          <w:rStyle w:val="Odwoanieprzypisudolnego"/>
          <w:rFonts w:ascii="Times New Roman" w:hAnsi="Times New Roman" w:cs="Times New Roman"/>
          <w:lang w:val="pl-PL"/>
        </w:rPr>
        <w:footnoteRef/>
      </w:r>
      <w:r w:rsidRPr="000C56AC">
        <w:rPr>
          <w:rFonts w:ascii="Times New Roman" w:hAnsi="Times New Roman" w:cs="Times New Roman"/>
          <w:lang w:val="pl-PL"/>
        </w:rPr>
        <w:t xml:space="preserve"> Zob. Ogólne Zalecenie Komitetu CERD nr 7 (1985 r.) w sprawie ustawodawstwa służącego eliminacji dyskryminacji rasowej (art. 4) oraz Ogólne Zalecenie nr 15 (1993 r.), cyt. powyżej, par. 2.</w:t>
      </w:r>
    </w:p>
  </w:footnote>
  <w:footnote w:id="6">
    <w:p w:rsidR="00EC6C52" w:rsidRPr="000C56AC" w:rsidRDefault="00EC6C52" w:rsidP="004D2070">
      <w:pPr>
        <w:pStyle w:val="Tekstprzypisudolnego"/>
        <w:rPr>
          <w:rFonts w:ascii="Times New Roman" w:hAnsi="Times New Roman" w:cs="Times New Roman"/>
          <w:lang w:val="pl-PL"/>
        </w:rPr>
      </w:pPr>
      <w:r w:rsidRPr="000C56AC">
        <w:rPr>
          <w:rStyle w:val="Odwoanieprzypisudolnego"/>
          <w:rFonts w:ascii="Times New Roman" w:hAnsi="Times New Roman" w:cs="Times New Roman"/>
          <w:lang w:val="pl-PL"/>
        </w:rPr>
        <w:footnoteRef/>
      </w:r>
      <w:r w:rsidRPr="000C56AC">
        <w:rPr>
          <w:rFonts w:ascii="Times New Roman" w:hAnsi="Times New Roman" w:cs="Times New Roman"/>
          <w:lang w:val="pl-PL"/>
        </w:rPr>
        <w:t xml:space="preserve"> Zob. Komunikat Komitetu CERD nr 34/2004, </w:t>
      </w:r>
      <w:r w:rsidRPr="000C56AC">
        <w:rPr>
          <w:rFonts w:ascii="Times New Roman" w:hAnsi="Times New Roman" w:cs="Times New Roman"/>
          <w:i/>
          <w:iCs/>
          <w:lang w:val="pl-PL"/>
        </w:rPr>
        <w:t>Gelle przeciwko Danii</w:t>
      </w:r>
      <w:r w:rsidRPr="000C56AC">
        <w:rPr>
          <w:rFonts w:ascii="Times New Roman" w:hAnsi="Times New Roman" w:cs="Times New Roman"/>
          <w:lang w:val="pl-PL"/>
        </w:rPr>
        <w:t xml:space="preserve">, 6 marca 2006 r., par. 7.3 oraz Komunikat nr 48/2010, </w:t>
      </w:r>
      <w:r w:rsidRPr="000C56AC">
        <w:rPr>
          <w:rFonts w:ascii="Times New Roman" w:hAnsi="Times New Roman" w:cs="Times New Roman"/>
          <w:i/>
          <w:lang w:val="pl-PL"/>
        </w:rPr>
        <w:t>TBB/Związek</w:t>
      </w:r>
      <w:r>
        <w:rPr>
          <w:rFonts w:ascii="Times New Roman" w:hAnsi="Times New Roman" w:cs="Times New Roman"/>
          <w:i/>
          <w:iCs/>
          <w:lang w:val="pl-PL"/>
        </w:rPr>
        <w:t xml:space="preserve"> Turecki w </w:t>
      </w:r>
      <w:r w:rsidRPr="000C56AC">
        <w:rPr>
          <w:rFonts w:ascii="Times New Roman" w:hAnsi="Times New Roman" w:cs="Times New Roman"/>
          <w:i/>
          <w:iCs/>
          <w:lang w:val="pl-PL"/>
        </w:rPr>
        <w:t>Berlin/Brandenburg przeciwko Niemcom</w:t>
      </w:r>
      <w:r w:rsidRPr="000C56AC">
        <w:rPr>
          <w:rFonts w:ascii="Times New Roman" w:hAnsi="Times New Roman" w:cs="Times New Roman"/>
          <w:lang w:val="pl-PL"/>
        </w:rPr>
        <w:t>, 4 kwietnia 2013 r., par. 12.3.</w:t>
      </w:r>
    </w:p>
  </w:footnote>
  <w:footnote w:id="7">
    <w:p w:rsidR="00EC6C52" w:rsidRPr="000C56AC" w:rsidRDefault="00EC6C52" w:rsidP="004D2070">
      <w:pPr>
        <w:pStyle w:val="Tekstprzypisudolnego"/>
        <w:rPr>
          <w:rFonts w:ascii="Times New Roman" w:hAnsi="Times New Roman" w:cs="Times New Roman"/>
          <w:lang w:val="pl-PL"/>
        </w:rPr>
      </w:pPr>
      <w:r w:rsidRPr="000C56AC">
        <w:rPr>
          <w:rStyle w:val="Odwoanieprzypisudolnego"/>
          <w:rFonts w:ascii="Times New Roman" w:hAnsi="Times New Roman" w:cs="Times New Roman"/>
          <w:lang w:val="pl-PL"/>
        </w:rPr>
        <w:footnoteRef/>
      </w:r>
      <w:r w:rsidRPr="000C56AC">
        <w:rPr>
          <w:rFonts w:ascii="Times New Roman" w:hAnsi="Times New Roman" w:cs="Times New Roman"/>
          <w:lang w:val="pl-PL"/>
        </w:rPr>
        <w:t xml:space="preserve"> Konwencja została przyjęta w dniu 30 listopada 1973 r. i została podpisana przez 108 Państw Stron, w tym Węgry.</w:t>
      </w:r>
    </w:p>
  </w:footnote>
  <w:footnote w:id="8">
    <w:p w:rsidR="00EC6C52" w:rsidRPr="000C56AC" w:rsidRDefault="00EC6C52" w:rsidP="004D2070">
      <w:pPr>
        <w:pStyle w:val="Tekstprzypisudolnego"/>
        <w:rPr>
          <w:rFonts w:ascii="Times New Roman" w:hAnsi="Times New Roman" w:cs="Times New Roman"/>
          <w:lang w:val="pl-PL"/>
        </w:rPr>
      </w:pPr>
      <w:r w:rsidRPr="000C56AC">
        <w:rPr>
          <w:rStyle w:val="Odwoanieprzypisudolnego"/>
          <w:rFonts w:ascii="Times New Roman" w:hAnsi="Times New Roman" w:cs="Times New Roman"/>
          <w:lang w:val="pl-PL"/>
        </w:rPr>
        <w:footnoteRef/>
      </w:r>
      <w:r w:rsidRPr="000C56AC">
        <w:rPr>
          <w:rFonts w:ascii="Times New Roman" w:hAnsi="Times New Roman" w:cs="Times New Roman"/>
          <w:lang w:val="pl-PL"/>
        </w:rPr>
        <w:t xml:space="preserve"> Statut Rzymski został podpisany przez 122 Państwa Stron, w tym Węgry.</w:t>
      </w:r>
    </w:p>
  </w:footnote>
  <w:footnote w:id="9">
    <w:p w:rsidR="00EC6C52" w:rsidRPr="000C56AC" w:rsidRDefault="00EC6C52" w:rsidP="004D2070">
      <w:pPr>
        <w:pStyle w:val="Tekstprzypisudolnego"/>
        <w:rPr>
          <w:rFonts w:ascii="Times New Roman" w:hAnsi="Times New Roman" w:cs="Times New Roman"/>
          <w:lang w:val="pl-PL"/>
        </w:rPr>
      </w:pPr>
      <w:r w:rsidRPr="000C56AC">
        <w:rPr>
          <w:rStyle w:val="Odwoanieprzypisudolnego"/>
          <w:rFonts w:ascii="Times New Roman" w:hAnsi="Times New Roman" w:cs="Times New Roman"/>
          <w:lang w:val="pl-PL"/>
        </w:rPr>
        <w:footnoteRef/>
      </w:r>
      <w:r w:rsidRPr="000C56AC">
        <w:rPr>
          <w:rFonts w:ascii="Times New Roman" w:hAnsi="Times New Roman" w:cs="Times New Roman"/>
          <w:lang w:val="pl-PL"/>
        </w:rPr>
        <w:t xml:space="preserve"> Zob. </w:t>
      </w:r>
      <w:r w:rsidRPr="000C56AC">
        <w:rPr>
          <w:rFonts w:ascii="Times New Roman" w:hAnsi="Times New Roman" w:cs="Times New Roman"/>
          <w:i/>
          <w:iCs/>
          <w:lang w:val="pl-PL"/>
        </w:rPr>
        <w:t>Proces Einsatzgruppen</w:t>
      </w:r>
      <w:r w:rsidRPr="000C56AC">
        <w:rPr>
          <w:rFonts w:ascii="Times New Roman" w:hAnsi="Times New Roman" w:cs="Times New Roman"/>
          <w:lang w:val="pl-PL"/>
        </w:rPr>
        <w:t>, Procesy zbrodniarzy wojennych przed Międzynarodowym Trybunałem w Norymberdze na podstawie ustawy o Radzie Kontroli 10, vol. IV, str. 435: „podżeganie ludności do znęcania się, złego traktowania i zabijania współobywateli… dla wzbudzenia silnych emocji, nienawiści, przemocy i destrukcji wśród ludności, ma na celu złamanie kręgosłupa moralnego”, a także wydany niedawno wyrok Międzynarodowego Trybunału Karnego w sprawie byłej Jugosławii w sprawie Kvocka et al., IT-98-30/1-A z dnia 28 lutego 2005 r., par. 324</w:t>
      </w:r>
      <w:r w:rsidRPr="000C56AC">
        <w:rPr>
          <w:rFonts w:ascii="Times New Roman" w:hAnsi="Times New Roman" w:cs="Times New Roman"/>
          <w:lang w:val="pl-PL"/>
        </w:rPr>
        <w:noBreakHyphen/>
        <w:t>325.</w:t>
      </w:r>
    </w:p>
  </w:footnote>
  <w:footnote w:id="10">
    <w:p w:rsidR="00EC6C52" w:rsidRPr="000C56AC" w:rsidRDefault="00EC6C52" w:rsidP="004D2070">
      <w:pPr>
        <w:pStyle w:val="Tekstprzypisudolnego"/>
        <w:rPr>
          <w:rFonts w:ascii="Times New Roman" w:hAnsi="Times New Roman" w:cs="Times New Roman"/>
          <w:lang w:val="pl-PL"/>
        </w:rPr>
      </w:pPr>
      <w:r w:rsidRPr="000C56AC">
        <w:rPr>
          <w:rStyle w:val="Odwoanieprzypisudolnego"/>
          <w:rFonts w:ascii="Times New Roman" w:hAnsi="Times New Roman" w:cs="Times New Roman"/>
          <w:lang w:val="pl-PL"/>
        </w:rPr>
        <w:footnoteRef/>
      </w:r>
      <w:r w:rsidRPr="000C56AC">
        <w:rPr>
          <w:rFonts w:ascii="Times New Roman" w:hAnsi="Times New Roman" w:cs="Times New Roman"/>
          <w:lang w:val="pl-PL"/>
        </w:rPr>
        <w:t xml:space="preserve"> Decyzja ramowa została podjęta na podstawie wspólnego działania z dnia 15 lipca 1996 r. przyjętego przez Radę na podstawie art. K.3 Traktatu o Unii Europejskiej, dotyczącego działań w celu zwalczania rasizmu i ksenofobii.</w:t>
      </w:r>
    </w:p>
  </w:footnote>
  <w:footnote w:id="11">
    <w:p w:rsidR="00EC6C52" w:rsidRPr="000C56AC" w:rsidRDefault="00EC6C52" w:rsidP="004D2070">
      <w:pPr>
        <w:pStyle w:val="Tekstprzypisudolnego"/>
        <w:rPr>
          <w:rFonts w:ascii="Times New Roman" w:hAnsi="Times New Roman" w:cs="Times New Roman"/>
          <w:lang w:val="pl-PL"/>
        </w:rPr>
      </w:pPr>
      <w:r w:rsidRPr="000C56AC">
        <w:rPr>
          <w:rStyle w:val="Odwoanieprzypisudolnego"/>
          <w:rFonts w:ascii="Times New Roman" w:hAnsi="Times New Roman" w:cs="Times New Roman"/>
          <w:lang w:val="pl-PL"/>
        </w:rPr>
        <w:footnoteRef/>
      </w:r>
      <w:r w:rsidRPr="000C56AC">
        <w:rPr>
          <w:rFonts w:ascii="Times New Roman" w:hAnsi="Times New Roman" w:cs="Times New Roman"/>
          <w:lang w:val="pl-PL"/>
        </w:rPr>
        <w:t xml:space="preserve"> ETS nr 177, 18 Państw Stron.</w:t>
      </w:r>
    </w:p>
  </w:footnote>
  <w:footnote w:id="12">
    <w:p w:rsidR="00EC6C52" w:rsidRPr="000C56AC" w:rsidRDefault="00EC6C52" w:rsidP="004D2070">
      <w:pPr>
        <w:pStyle w:val="Tekstprzypisudolnego"/>
        <w:rPr>
          <w:rFonts w:ascii="Times New Roman" w:hAnsi="Times New Roman" w:cs="Times New Roman"/>
          <w:lang w:val="pl-PL"/>
        </w:rPr>
      </w:pPr>
      <w:r w:rsidRPr="000C56AC">
        <w:rPr>
          <w:rStyle w:val="Odwoanieprzypisudolnego"/>
          <w:rFonts w:ascii="Times New Roman" w:hAnsi="Times New Roman" w:cs="Times New Roman"/>
          <w:lang w:val="pl-PL"/>
        </w:rPr>
        <w:footnoteRef/>
      </w:r>
      <w:r w:rsidRPr="000C56AC">
        <w:rPr>
          <w:rFonts w:ascii="Times New Roman" w:hAnsi="Times New Roman" w:cs="Times New Roman"/>
          <w:lang w:val="pl-PL"/>
        </w:rPr>
        <w:t xml:space="preserve"> ETS nr 189, 20 Państw Stron. Dla potrzeb tegoż Protokołu materiały o charakterze rasistowskim i ksenofobicznym rozumie się jako wszelkie materiały pisemne, obrazy lub inne przedstawienia idei lub teorii, które popierają, propagują lub podżegają do nienawiści, dyskryminacji lub użycia przemocy przeciwko osobie lub grupie osób na podstawie rasy, koloru skóry, urodzenia, pochodzenia narodowego lub etnicznego, a także religii, jeżeli jest wykorzystywana jako pretekst dla któregokolwiek z tych czynników.</w:t>
      </w:r>
    </w:p>
  </w:footnote>
  <w:footnote w:id="13">
    <w:p w:rsidR="00EC6C52" w:rsidRPr="000C56AC" w:rsidRDefault="00EC6C52" w:rsidP="004D2070">
      <w:pPr>
        <w:pStyle w:val="Tekstprzypisudolnego"/>
        <w:rPr>
          <w:rFonts w:ascii="Times New Roman" w:hAnsi="Times New Roman" w:cs="Times New Roman"/>
          <w:lang w:val="pl-PL"/>
        </w:rPr>
      </w:pPr>
      <w:r w:rsidRPr="000C56AC">
        <w:rPr>
          <w:rStyle w:val="Odwoanieprzypisudolnego"/>
          <w:rFonts w:ascii="Times New Roman" w:hAnsi="Times New Roman" w:cs="Times New Roman"/>
          <w:lang w:val="pl-PL"/>
        </w:rPr>
        <w:footnoteRef/>
      </w:r>
      <w:r w:rsidRPr="000C56AC">
        <w:rPr>
          <w:rFonts w:ascii="Times New Roman" w:hAnsi="Times New Roman" w:cs="Times New Roman"/>
          <w:lang w:val="pl-PL"/>
        </w:rPr>
        <w:t xml:space="preserve"> Zalecenie dotyczące Ogólnej Polityki ECRI nr 1 w sprawie zwalczania rasizmu, ksenofobii, antysemityzmu i nietolerancji, 4 października 1996 r., Zalecenie dotyczące Ogólnej Polityki nr 7 w sprawie prawodawstwa krajowego dotyczącego zwalczania rasizmu i dyskryminacji rasowej, 13 grudnia 2002 r. rozszerzyły zakres czynów penalizowanych na podstawie prawa karnego tak, że obejmują one między innymi publiczne obrażanie i zniesławianie lub groźby przeciwko osobie albo kategorii osób z powodu ich rasy, koloru skóry, języka, religii, obywatelstwa, bądź pochodzenia narodowego lub etnicznego, oraz przewidziały odpowiedzialność karną osób prawnych, która powinna wchodzić w grę w przypadku popełnienia przestępstwa w imieniu podmiotu prawnego przez jakiekolwiek osoby, szczególnie działające jako organy osoby prawnej albo jako jej przedstawiciele. Odpowiedzialność karna osoby prawnej nie powinna wyłączać odpowiedzialności karnej osoby fizycznej. Osoby prawne lub grupy propagujące rasizm powinny być zakazane, a jeśli to konieczne, rozwiązane.  </w:t>
      </w:r>
    </w:p>
  </w:footnote>
  <w:footnote w:id="14">
    <w:p w:rsidR="00EC6C52" w:rsidRPr="000C56AC" w:rsidRDefault="00EC6C52" w:rsidP="004D2070">
      <w:pPr>
        <w:pStyle w:val="Tekstprzypisudolnego"/>
        <w:rPr>
          <w:rFonts w:ascii="Times New Roman" w:hAnsi="Times New Roman" w:cs="Times New Roman"/>
          <w:lang w:val="pl-PL"/>
        </w:rPr>
      </w:pPr>
      <w:r w:rsidRPr="000C56AC">
        <w:rPr>
          <w:rStyle w:val="Odwoanieprzypisudolnego"/>
          <w:rFonts w:ascii="Times New Roman" w:hAnsi="Times New Roman" w:cs="Times New Roman"/>
          <w:lang w:val="pl-PL"/>
        </w:rPr>
        <w:footnoteRef/>
      </w:r>
      <w:r w:rsidRPr="000C56AC">
        <w:rPr>
          <w:rFonts w:ascii="Times New Roman" w:hAnsi="Times New Roman" w:cs="Times New Roman"/>
          <w:lang w:val="pl-PL"/>
        </w:rPr>
        <w:t xml:space="preserve"> Zalecenie dotyczące Ogólnej Polityki ECRI nr 3 w sprawie walki z rasizmem i nietolerancją wobec Romów/Cyganów, 6 marca 1998 r. oraz Zalecenie dotyczące Ogólnej Polityki nr 13 w sprawie zwalczania uprzedzenia i dyskryminacji wobec Romów, 24 czerwca 2011 r.</w:t>
      </w:r>
    </w:p>
  </w:footnote>
  <w:footnote w:id="15">
    <w:p w:rsidR="00EC6C52" w:rsidRPr="000C56AC" w:rsidRDefault="00EC6C52" w:rsidP="004D2070">
      <w:pPr>
        <w:pStyle w:val="Tekstprzypisudolnego"/>
        <w:rPr>
          <w:rFonts w:ascii="Times New Roman" w:hAnsi="Times New Roman" w:cs="Times New Roman"/>
          <w:lang w:val="pl-PL"/>
        </w:rPr>
      </w:pPr>
      <w:r w:rsidRPr="000C56AC">
        <w:rPr>
          <w:rStyle w:val="Odwoanieprzypisudolnego"/>
          <w:rFonts w:ascii="Times New Roman" w:hAnsi="Times New Roman" w:cs="Times New Roman"/>
          <w:lang w:val="pl-PL"/>
        </w:rPr>
        <w:footnoteRef/>
      </w:r>
      <w:r w:rsidRPr="000C56AC">
        <w:rPr>
          <w:rFonts w:ascii="Times New Roman" w:hAnsi="Times New Roman" w:cs="Times New Roman"/>
          <w:lang w:val="pl-PL"/>
        </w:rPr>
        <w:t xml:space="preserve"> Termin „Romowie” używany przez Radę Europy obejmuje Romów, Sinti, Kale i grupy powiązane w Europie, w tym ludy koczownicze i grupy wschodnie (Dom i Lom), i uwzględnia różnorodność tych grup, w tym osoby, które same identyfikują się jako Cyganie.</w:t>
      </w:r>
    </w:p>
  </w:footnote>
  <w:footnote w:id="16">
    <w:p w:rsidR="00EC6C52" w:rsidRPr="000C56AC" w:rsidRDefault="00EC6C52" w:rsidP="004D2070">
      <w:pPr>
        <w:pStyle w:val="Tekstprzypisudolnego"/>
        <w:rPr>
          <w:rFonts w:ascii="Times New Roman" w:hAnsi="Times New Roman" w:cs="Times New Roman"/>
          <w:lang w:val="pl-PL"/>
        </w:rPr>
      </w:pPr>
      <w:r w:rsidRPr="000C56AC">
        <w:rPr>
          <w:rStyle w:val="Odwoanieprzypisudolnego"/>
          <w:rFonts w:ascii="Times New Roman" w:hAnsi="Times New Roman" w:cs="Times New Roman"/>
          <w:lang w:val="pl-PL"/>
        </w:rPr>
        <w:footnoteRef/>
      </w:r>
      <w:r w:rsidRPr="000C56AC">
        <w:rPr>
          <w:rFonts w:ascii="Times New Roman" w:hAnsi="Times New Roman" w:cs="Times New Roman"/>
          <w:lang w:val="pl-PL"/>
        </w:rPr>
        <w:t xml:space="preserve"> </w:t>
      </w:r>
      <w:r w:rsidRPr="000C56AC">
        <w:rPr>
          <w:rFonts w:ascii="Times New Roman" w:hAnsi="Times New Roman" w:cs="Times New Roman"/>
          <w:i/>
          <w:iCs/>
          <w:lang w:val="pl-PL"/>
        </w:rPr>
        <w:t>Jersild przeciwko Danii</w:t>
      </w:r>
      <w:r w:rsidRPr="000C56AC">
        <w:rPr>
          <w:rFonts w:ascii="Times New Roman" w:hAnsi="Times New Roman" w:cs="Times New Roman"/>
          <w:lang w:val="pl-PL"/>
        </w:rPr>
        <w:t xml:space="preserve">, 23 września 1994 r., Seria A nr 298, § 30; </w:t>
      </w:r>
      <w:r w:rsidRPr="000C56AC">
        <w:rPr>
          <w:rFonts w:ascii="Times New Roman" w:hAnsi="Times New Roman" w:cs="Times New Roman"/>
          <w:i/>
          <w:iCs/>
          <w:lang w:val="pl-PL"/>
        </w:rPr>
        <w:t>Soulas i Inni przeciwko Francji</w:t>
      </w:r>
      <w:r w:rsidRPr="000C56AC">
        <w:rPr>
          <w:rFonts w:ascii="Times New Roman" w:hAnsi="Times New Roman" w:cs="Times New Roman"/>
          <w:lang w:val="pl-PL"/>
        </w:rPr>
        <w:t xml:space="preserve">, nr 15948/03, §§ 43-44, 10 lipca 2008 r. oraz </w:t>
      </w:r>
      <w:r w:rsidRPr="000C56AC">
        <w:rPr>
          <w:rFonts w:ascii="Times New Roman" w:hAnsi="Times New Roman" w:cs="Times New Roman"/>
          <w:i/>
          <w:iCs/>
          <w:lang w:val="pl-PL"/>
        </w:rPr>
        <w:t xml:space="preserve">Féret przeciwko Belgii </w:t>
      </w:r>
      <w:r w:rsidRPr="000C56AC">
        <w:rPr>
          <w:rFonts w:ascii="Times New Roman" w:hAnsi="Times New Roman" w:cs="Times New Roman"/>
          <w:lang w:val="pl-PL"/>
        </w:rPr>
        <w:t>nr 15615/07, §§ 69</w:t>
      </w:r>
      <w:r w:rsidRPr="000C56AC">
        <w:rPr>
          <w:rFonts w:ascii="Times New Roman" w:hAnsi="Times New Roman" w:cs="Times New Roman"/>
          <w:lang w:val="pl-PL"/>
        </w:rPr>
        <w:noBreakHyphen/>
        <w:t>71, 16 lipca 2009 r.</w:t>
      </w:r>
    </w:p>
  </w:footnote>
  <w:footnote w:id="17">
    <w:p w:rsidR="00EC6C52" w:rsidRPr="000C56AC" w:rsidRDefault="00EC6C52" w:rsidP="004D2070">
      <w:pPr>
        <w:pStyle w:val="Tekstprzypisudolnego"/>
        <w:rPr>
          <w:rFonts w:ascii="Times New Roman" w:hAnsi="Times New Roman" w:cs="Times New Roman"/>
          <w:lang w:val="pl-PL"/>
        </w:rPr>
      </w:pPr>
      <w:r w:rsidRPr="000C56AC">
        <w:rPr>
          <w:rStyle w:val="Odwoanieprzypisudolnego"/>
          <w:rFonts w:ascii="Times New Roman" w:hAnsi="Times New Roman" w:cs="Times New Roman"/>
          <w:lang w:val="pl-PL"/>
        </w:rPr>
        <w:footnoteRef/>
      </w:r>
      <w:r w:rsidRPr="000C56AC">
        <w:rPr>
          <w:rFonts w:ascii="Times New Roman" w:hAnsi="Times New Roman" w:cs="Times New Roman"/>
          <w:lang w:val="pl-PL"/>
        </w:rPr>
        <w:t xml:space="preserve"> </w:t>
      </w:r>
      <w:r w:rsidRPr="000C56AC">
        <w:rPr>
          <w:rFonts w:ascii="Times New Roman" w:hAnsi="Times New Roman" w:cs="Times New Roman"/>
          <w:i/>
          <w:iCs/>
          <w:lang w:val="pl-PL"/>
        </w:rPr>
        <w:t xml:space="preserve">Nachova i Inni przeciwko Bułgarii </w:t>
      </w:r>
      <w:r w:rsidRPr="000C56AC">
        <w:rPr>
          <w:rFonts w:ascii="Times New Roman" w:hAnsi="Times New Roman" w:cs="Times New Roman"/>
          <w:lang w:val="pl-PL"/>
        </w:rPr>
        <w:t>[WI], nr 43577/98 i 43579/98, § 145, ETPCz 2005</w:t>
      </w:r>
      <w:r w:rsidRPr="000C56AC">
        <w:rPr>
          <w:rFonts w:ascii="Times New Roman" w:hAnsi="Times New Roman" w:cs="Times New Roman"/>
          <w:lang w:val="pl-PL"/>
        </w:rPr>
        <w:noBreakHyphen/>
        <w:t xml:space="preserve">VII oraz </w:t>
      </w:r>
      <w:r w:rsidRPr="000C56AC">
        <w:rPr>
          <w:rFonts w:ascii="Times New Roman" w:hAnsi="Times New Roman" w:cs="Times New Roman"/>
          <w:i/>
          <w:iCs/>
          <w:lang w:val="pl-PL"/>
        </w:rPr>
        <w:t>Timishev przeciwko Rosji</w:t>
      </w:r>
      <w:r w:rsidRPr="000C56AC">
        <w:rPr>
          <w:rFonts w:ascii="Times New Roman" w:hAnsi="Times New Roman" w:cs="Times New Roman"/>
          <w:lang w:val="pl-PL"/>
        </w:rPr>
        <w:t>, nr 55762/00 i 55974/00, § 56, ETPCz 2005</w:t>
      </w:r>
      <w:r w:rsidRPr="000C56AC">
        <w:rPr>
          <w:rFonts w:ascii="Times New Roman" w:hAnsi="Times New Roman" w:cs="Times New Roman"/>
          <w:lang w:val="pl-PL"/>
        </w:rPr>
        <w:noBreakHyphen/>
        <w:t>XII.</w:t>
      </w:r>
    </w:p>
  </w:footnote>
  <w:footnote w:id="18">
    <w:p w:rsidR="00EC6C52" w:rsidRPr="000C56AC" w:rsidRDefault="00EC6C52" w:rsidP="004D2070">
      <w:pPr>
        <w:pStyle w:val="Tekstprzypisudolnego"/>
        <w:rPr>
          <w:rFonts w:ascii="Times New Roman" w:hAnsi="Times New Roman" w:cs="Times New Roman"/>
          <w:lang w:val="pl-PL"/>
        </w:rPr>
      </w:pPr>
      <w:r w:rsidRPr="000C56AC">
        <w:rPr>
          <w:rStyle w:val="Odwoanieprzypisudolnego"/>
          <w:rFonts w:ascii="Times New Roman" w:hAnsi="Times New Roman" w:cs="Times New Roman"/>
          <w:lang w:val="pl-PL"/>
        </w:rPr>
        <w:footnoteRef/>
      </w:r>
      <w:r w:rsidRPr="000C56AC">
        <w:rPr>
          <w:rFonts w:ascii="Times New Roman" w:hAnsi="Times New Roman" w:cs="Times New Roman"/>
          <w:lang w:val="pl-PL"/>
        </w:rPr>
        <w:t xml:space="preserve"> </w:t>
      </w:r>
      <w:r w:rsidRPr="000C56AC">
        <w:rPr>
          <w:rFonts w:ascii="Times New Roman" w:hAnsi="Times New Roman" w:cs="Times New Roman"/>
          <w:i/>
          <w:iCs/>
          <w:lang w:val="pl-PL"/>
        </w:rPr>
        <w:t xml:space="preserve">D.H. i Inni przeciwko Republice Czeskiej </w:t>
      </w:r>
      <w:r w:rsidRPr="000C56AC">
        <w:rPr>
          <w:rFonts w:ascii="Times New Roman" w:hAnsi="Times New Roman" w:cs="Times New Roman"/>
          <w:lang w:val="pl-PL"/>
        </w:rPr>
        <w:t xml:space="preserve">[WI], nr 57325/00, 13 listopada 2007 r., § 181; </w:t>
      </w:r>
      <w:r w:rsidRPr="000C56AC">
        <w:rPr>
          <w:rFonts w:ascii="Times New Roman" w:hAnsi="Times New Roman" w:cs="Times New Roman"/>
          <w:i/>
          <w:iCs/>
          <w:lang w:val="pl-PL"/>
        </w:rPr>
        <w:t>Muhoz Diaz przeciwko Hiszpanii</w:t>
      </w:r>
      <w:r w:rsidRPr="000C56AC">
        <w:rPr>
          <w:rFonts w:ascii="Times New Roman" w:hAnsi="Times New Roman" w:cs="Times New Roman"/>
          <w:lang w:val="pl-PL"/>
        </w:rPr>
        <w:t xml:space="preserve"> nr 49151/07, 8 grudnia 2009 r., § 60 oraz </w:t>
      </w:r>
      <w:r w:rsidRPr="000C56AC">
        <w:rPr>
          <w:rFonts w:ascii="Times New Roman" w:hAnsi="Times New Roman" w:cs="Times New Roman"/>
          <w:i/>
          <w:iCs/>
          <w:lang w:val="pl-PL"/>
        </w:rPr>
        <w:t>Aksu przeciwko Turcji [WI],</w:t>
      </w:r>
      <w:r w:rsidRPr="000C56AC">
        <w:rPr>
          <w:rFonts w:ascii="Times New Roman" w:hAnsi="Times New Roman" w:cs="Times New Roman"/>
          <w:lang w:val="pl-PL"/>
        </w:rPr>
        <w:t xml:space="preserve"> nr 4149/04 i 41029/04, 15 marca 2012 r., § 44.</w:t>
      </w:r>
    </w:p>
  </w:footnote>
  <w:footnote w:id="19">
    <w:p w:rsidR="00EC6C52" w:rsidRPr="000C56AC" w:rsidRDefault="00EC6C52" w:rsidP="004D2070">
      <w:pPr>
        <w:pStyle w:val="Tekstprzypisudolnego"/>
        <w:rPr>
          <w:rFonts w:ascii="Times New Roman" w:hAnsi="Times New Roman" w:cs="Times New Roman"/>
          <w:lang w:val="pl-PL"/>
        </w:rPr>
      </w:pPr>
      <w:r w:rsidRPr="000C56AC">
        <w:rPr>
          <w:rStyle w:val="Odwoanieprzypisudolnego"/>
          <w:rFonts w:ascii="Times New Roman" w:hAnsi="Times New Roman" w:cs="Times New Roman"/>
          <w:lang w:val="pl-PL"/>
        </w:rPr>
        <w:footnoteRef/>
      </w:r>
      <w:r w:rsidRPr="000C56AC">
        <w:rPr>
          <w:rFonts w:ascii="Times New Roman" w:hAnsi="Times New Roman" w:cs="Times New Roman"/>
          <w:lang w:val="pl-PL"/>
        </w:rPr>
        <w:t xml:space="preserve"> Opis badania obu kryteriów, zob. moje zdanie odrębne w sprawie </w:t>
      </w:r>
      <w:r w:rsidRPr="000C56AC">
        <w:rPr>
          <w:rFonts w:ascii="Times New Roman" w:hAnsi="Times New Roman" w:cs="Times New Roman"/>
          <w:i/>
          <w:iCs/>
          <w:lang w:val="pl-PL"/>
        </w:rPr>
        <w:t xml:space="preserve">Mouvement Raelien Suisse przeciwko Szwajcarii </w:t>
      </w:r>
      <w:r w:rsidRPr="000C56AC">
        <w:rPr>
          <w:rFonts w:ascii="Times New Roman" w:hAnsi="Times New Roman" w:cs="Times New Roman"/>
          <w:iCs/>
          <w:lang w:val="pl-PL"/>
        </w:rPr>
        <w:t>[WI]</w:t>
      </w:r>
      <w:r w:rsidRPr="000C56AC">
        <w:rPr>
          <w:rFonts w:ascii="Times New Roman" w:hAnsi="Times New Roman" w:cs="Times New Roman"/>
          <w:lang w:val="pl-PL"/>
        </w:rPr>
        <w:t xml:space="preserve">, nr 16354/06, 13 lipca 2012 r., który ma zastosowanie </w:t>
      </w:r>
      <w:r w:rsidRPr="000C56AC">
        <w:rPr>
          <w:rFonts w:ascii="Times New Roman" w:hAnsi="Times New Roman" w:cs="Times New Roman"/>
          <w:i/>
          <w:iCs/>
          <w:lang w:val="pl-PL"/>
        </w:rPr>
        <w:t>mutatis mutandis</w:t>
      </w:r>
      <w:r w:rsidRPr="000C56AC">
        <w:rPr>
          <w:rFonts w:ascii="Times New Roman" w:hAnsi="Times New Roman" w:cs="Times New Roman"/>
          <w:lang w:val="pl-PL"/>
        </w:rPr>
        <w:t xml:space="preserve"> względem wolności stowarzyszania się. </w:t>
      </w:r>
    </w:p>
  </w:footnote>
  <w:footnote w:id="20">
    <w:p w:rsidR="00EC6C52" w:rsidRPr="000C56AC" w:rsidRDefault="00EC6C52" w:rsidP="004D2070">
      <w:pPr>
        <w:pStyle w:val="Tekstprzypisudolnego"/>
        <w:rPr>
          <w:rFonts w:ascii="Times New Roman" w:hAnsi="Times New Roman" w:cs="Times New Roman"/>
          <w:lang w:val="pl-PL"/>
        </w:rPr>
      </w:pPr>
      <w:r w:rsidRPr="000C56AC">
        <w:rPr>
          <w:rStyle w:val="Odwoanieprzypisudolnego"/>
          <w:rFonts w:ascii="Times New Roman" w:hAnsi="Times New Roman" w:cs="Times New Roman"/>
          <w:lang w:val="pl-PL"/>
        </w:rPr>
        <w:footnoteRef/>
      </w:r>
      <w:r w:rsidRPr="000C56AC">
        <w:rPr>
          <w:rFonts w:ascii="Times New Roman" w:hAnsi="Times New Roman" w:cs="Times New Roman"/>
          <w:lang w:val="pl-PL"/>
        </w:rPr>
        <w:t xml:space="preserve"> Przykład zasady wolności zakładania stowarzyszeń bez uprzedniej kontroli treści został ustalony w ważnej decyzji francuskiej Rady Konstytucyjnej 71-44, DC z dnia 16 lipca 1971 r., gdzie za niekonstytucyjną uznano procedurę, zgodnie z którą uznanie zdolności prawnej stowarzyszenia uzależnione było od uprzedniej weryfikacji jej zgodności z prawem przez władze sądowe. </w:t>
      </w:r>
    </w:p>
  </w:footnote>
  <w:footnote w:id="21">
    <w:p w:rsidR="00EC6C52" w:rsidRPr="000C56AC" w:rsidRDefault="00EC6C52" w:rsidP="004D2070">
      <w:pPr>
        <w:pStyle w:val="Tekstprzypisudolnego"/>
        <w:rPr>
          <w:rFonts w:ascii="Times New Roman" w:hAnsi="Times New Roman" w:cs="Times New Roman"/>
          <w:lang w:val="pl-PL"/>
        </w:rPr>
      </w:pPr>
      <w:r w:rsidRPr="000C56AC">
        <w:rPr>
          <w:rStyle w:val="Odwoanieprzypisudolnego"/>
          <w:rFonts w:ascii="Times New Roman" w:hAnsi="Times New Roman" w:cs="Times New Roman"/>
          <w:lang w:val="pl-PL"/>
        </w:rPr>
        <w:footnoteRef/>
      </w:r>
      <w:r w:rsidRPr="000C56AC">
        <w:rPr>
          <w:rFonts w:ascii="Times New Roman" w:hAnsi="Times New Roman" w:cs="Times New Roman"/>
          <w:lang w:val="pl-PL"/>
        </w:rPr>
        <w:t xml:space="preserve"> Zob. moje zdanie odrębne w sprawie </w:t>
      </w:r>
      <w:r w:rsidRPr="000C56AC">
        <w:rPr>
          <w:rFonts w:ascii="Times New Roman" w:hAnsi="Times New Roman" w:cs="Times New Roman"/>
          <w:i/>
          <w:iCs/>
          <w:lang w:val="pl-PL"/>
        </w:rPr>
        <w:t>Association Rhino i Inni przeciwko Szwajcarii</w:t>
      </w:r>
      <w:r w:rsidRPr="000C56AC">
        <w:rPr>
          <w:rFonts w:ascii="Times New Roman" w:hAnsi="Times New Roman" w:cs="Times New Roman"/>
          <w:lang w:val="pl-PL"/>
        </w:rPr>
        <w:t xml:space="preserve">, nr 48848/07, 11 października 2011 r. </w:t>
      </w:r>
    </w:p>
  </w:footnote>
  <w:footnote w:id="22">
    <w:p w:rsidR="00EC6C52" w:rsidRPr="000C56AC" w:rsidRDefault="00EC6C52" w:rsidP="004D2070">
      <w:pPr>
        <w:pStyle w:val="Tekstprzypisudolnego"/>
        <w:rPr>
          <w:rFonts w:ascii="Times New Roman" w:hAnsi="Times New Roman" w:cs="Times New Roman"/>
          <w:lang w:val="pl-PL"/>
        </w:rPr>
      </w:pPr>
      <w:r w:rsidRPr="000C56AC">
        <w:rPr>
          <w:rStyle w:val="Odwoanieprzypisudolnego"/>
          <w:rFonts w:ascii="Times New Roman" w:hAnsi="Times New Roman" w:cs="Times New Roman"/>
          <w:lang w:val="pl-PL"/>
        </w:rPr>
        <w:footnoteRef/>
      </w:r>
      <w:r w:rsidRPr="000C56AC">
        <w:rPr>
          <w:rFonts w:ascii="Times New Roman" w:hAnsi="Times New Roman" w:cs="Times New Roman"/>
          <w:lang w:val="pl-PL"/>
        </w:rPr>
        <w:t xml:space="preserve"> </w:t>
      </w:r>
      <w:r w:rsidRPr="000C56AC">
        <w:rPr>
          <w:rFonts w:ascii="Times New Roman" w:hAnsi="Times New Roman" w:cs="Times New Roman"/>
          <w:i/>
          <w:iCs/>
          <w:lang w:val="pl-PL"/>
        </w:rPr>
        <w:t xml:space="preserve">Refah Partisi (Partia Dobrobytu) i Inni przeciwko Turcji </w:t>
      </w:r>
      <w:r w:rsidRPr="000C56AC">
        <w:rPr>
          <w:rFonts w:ascii="Times New Roman" w:hAnsi="Times New Roman" w:cs="Times New Roman"/>
          <w:lang w:val="pl-PL"/>
        </w:rPr>
        <w:t xml:space="preserve">[WI], nr 41340/98, § 101, ETPCz 2003-II oraz </w:t>
      </w:r>
      <w:r w:rsidRPr="000C56AC">
        <w:rPr>
          <w:rFonts w:ascii="Times New Roman" w:hAnsi="Times New Roman" w:cs="Times New Roman"/>
          <w:i/>
          <w:iCs/>
          <w:lang w:val="pl-PL"/>
        </w:rPr>
        <w:t>Stowarzyszenie Obywatelskie Radko i Paunkovski przeciwko byłej Jugosłowiańskiej Republice Macedonii</w:t>
      </w:r>
      <w:r w:rsidRPr="000C56AC">
        <w:rPr>
          <w:rFonts w:ascii="Times New Roman" w:hAnsi="Times New Roman" w:cs="Times New Roman"/>
          <w:lang w:val="pl-PL"/>
        </w:rPr>
        <w:t xml:space="preserve">, nr 74651/01, § 71, 15 stycznia 2009 r. oraz wyroki niemieckiego Federalnego Sądu Administracyjnego z dnia 1 września 2010 r. (wyrok w sprawie </w:t>
      </w:r>
      <w:r w:rsidRPr="000C56AC">
        <w:rPr>
          <w:rFonts w:ascii="Times New Roman" w:hAnsi="Times New Roman" w:cs="Times New Roman"/>
          <w:i/>
          <w:iCs/>
          <w:lang w:val="pl-PL"/>
        </w:rPr>
        <w:t>Heimattreue Deutsche Jugend</w:t>
      </w:r>
      <w:r w:rsidRPr="000C56AC">
        <w:rPr>
          <w:rFonts w:ascii="Times New Roman" w:hAnsi="Times New Roman" w:cs="Times New Roman"/>
          <w:lang w:val="pl-PL"/>
        </w:rPr>
        <w:t xml:space="preserve">) i 19 grudnia 2012 r. (wyrok w sprawie </w:t>
      </w:r>
      <w:r w:rsidRPr="000C56AC">
        <w:rPr>
          <w:rFonts w:ascii="Times New Roman" w:hAnsi="Times New Roman" w:cs="Times New Roman"/>
          <w:i/>
          <w:iCs/>
          <w:lang w:val="pl-PL"/>
        </w:rPr>
        <w:t>Hilfsorganisation für nationale politische Gefangene</w:t>
      </w:r>
      <w:r w:rsidRPr="000C56AC">
        <w:rPr>
          <w:rFonts w:ascii="Times New Roman" w:hAnsi="Times New Roman" w:cs="Times New Roman"/>
          <w:lang w:val="pl-PL"/>
        </w:rPr>
        <w:t>).</w:t>
      </w:r>
    </w:p>
  </w:footnote>
  <w:footnote w:id="23">
    <w:p w:rsidR="00EC6C52" w:rsidRPr="000C56AC" w:rsidRDefault="00EC6C52" w:rsidP="004D2070">
      <w:pPr>
        <w:pStyle w:val="Tekstprzypisudolnego"/>
        <w:rPr>
          <w:rFonts w:ascii="Times New Roman" w:hAnsi="Times New Roman" w:cs="Times New Roman"/>
          <w:lang w:val="pl-PL"/>
        </w:rPr>
      </w:pPr>
      <w:r w:rsidRPr="000C56AC">
        <w:rPr>
          <w:rStyle w:val="Odwoanieprzypisudolnego"/>
          <w:rFonts w:ascii="Times New Roman" w:hAnsi="Times New Roman" w:cs="Times New Roman"/>
          <w:lang w:val="pl-PL"/>
        </w:rPr>
        <w:footnoteRef/>
      </w:r>
      <w:r w:rsidRPr="000C56AC">
        <w:rPr>
          <w:rFonts w:ascii="Times New Roman" w:hAnsi="Times New Roman" w:cs="Times New Roman"/>
          <w:lang w:val="pl-PL"/>
        </w:rPr>
        <w:t xml:space="preserve"> Wyroki niemieckiego Federalnego Sądu Administracyjnego z dnia 1 września 2010 r. i 19 grudnia 2012 r., cyt. powyżej, oraz wyrok austriackiego Trybunału Konstytucyjnego z dnia 16 marca 2007 r.</w:t>
      </w:r>
    </w:p>
  </w:footnote>
  <w:footnote w:id="24">
    <w:p w:rsidR="00EC6C52" w:rsidRPr="000C56AC" w:rsidRDefault="00EC6C52" w:rsidP="004D2070">
      <w:pPr>
        <w:pStyle w:val="Tekstprzypisudolnego"/>
        <w:rPr>
          <w:rFonts w:ascii="Times New Roman" w:hAnsi="Times New Roman" w:cs="Times New Roman"/>
          <w:lang w:val="pl-PL"/>
        </w:rPr>
      </w:pPr>
      <w:r w:rsidRPr="000C56AC">
        <w:rPr>
          <w:rStyle w:val="Odwoanieprzypisudolnego"/>
          <w:rFonts w:ascii="Times New Roman" w:hAnsi="Times New Roman" w:cs="Times New Roman"/>
          <w:lang w:val="pl-PL"/>
        </w:rPr>
        <w:footnoteRef/>
      </w:r>
      <w:r w:rsidRPr="000C56AC">
        <w:rPr>
          <w:rFonts w:ascii="Times New Roman" w:hAnsi="Times New Roman" w:cs="Times New Roman"/>
          <w:lang w:val="pl-PL"/>
        </w:rPr>
        <w:t xml:space="preserve"> Zob. moje zdanie odrębne w sprawie </w:t>
      </w:r>
      <w:r w:rsidRPr="000C56AC">
        <w:rPr>
          <w:rFonts w:ascii="Times New Roman" w:hAnsi="Times New Roman" w:cs="Times New Roman"/>
          <w:i/>
          <w:iCs/>
          <w:lang w:val="pl-PL"/>
        </w:rPr>
        <w:t>Mouvement Raelien Suisse</w:t>
      </w:r>
      <w:r w:rsidRPr="000C56AC">
        <w:rPr>
          <w:rFonts w:ascii="Times New Roman" w:hAnsi="Times New Roman" w:cs="Times New Roman"/>
          <w:lang w:val="pl-PL"/>
        </w:rPr>
        <w:t>, cyt. powyżej. Czyny popełnione przez członków stowarzyszenia w ramach ich życia prywatnego, poza kontekstem działalności stowarzyszenia, nie mogą być uznane za właściwą i wystarczającą podstawę rozwiązania stowarzyszenia.</w:t>
      </w:r>
    </w:p>
  </w:footnote>
  <w:footnote w:id="25">
    <w:p w:rsidR="00EC6C52" w:rsidRPr="000C56AC" w:rsidRDefault="00EC6C52" w:rsidP="004D2070">
      <w:pPr>
        <w:pStyle w:val="Tekstprzypisudolnego"/>
        <w:rPr>
          <w:rFonts w:ascii="Times New Roman" w:hAnsi="Times New Roman" w:cs="Times New Roman"/>
          <w:lang w:val="pl-PL"/>
        </w:rPr>
      </w:pPr>
      <w:r w:rsidRPr="000C56AC">
        <w:rPr>
          <w:rStyle w:val="Odwoanieprzypisudolnego"/>
          <w:rFonts w:ascii="Times New Roman" w:hAnsi="Times New Roman" w:cs="Times New Roman"/>
          <w:lang w:val="pl-PL"/>
        </w:rPr>
        <w:footnoteRef/>
      </w:r>
      <w:r w:rsidRPr="000C56AC">
        <w:rPr>
          <w:rFonts w:ascii="Times New Roman" w:hAnsi="Times New Roman" w:cs="Times New Roman"/>
          <w:lang w:val="pl-PL"/>
        </w:rPr>
        <w:t xml:space="preserve"> </w:t>
      </w:r>
      <w:r w:rsidRPr="000C56AC">
        <w:rPr>
          <w:rFonts w:ascii="Times New Roman" w:hAnsi="Times New Roman" w:cs="Times New Roman"/>
          <w:i/>
          <w:iCs/>
          <w:lang w:val="pl-PL"/>
        </w:rPr>
        <w:t xml:space="preserve">Herri Batasuna i Batasuna przeciwko </w:t>
      </w:r>
      <w:r w:rsidRPr="000C56AC">
        <w:rPr>
          <w:rFonts w:ascii="Times New Roman" w:hAnsi="Times New Roman" w:cs="Times New Roman"/>
          <w:lang w:val="pl-PL"/>
        </w:rPr>
        <w:t>Hiszpanii, nr 25803/04 i 25817/04, § 88, 30 czerwca 2009 r. w sprawie cichego wspierania terroryzmu.</w:t>
      </w:r>
    </w:p>
  </w:footnote>
  <w:footnote w:id="26">
    <w:p w:rsidR="00EC6C52" w:rsidRPr="000C56AC" w:rsidRDefault="00EC6C52" w:rsidP="004D2070">
      <w:pPr>
        <w:pStyle w:val="Tekstprzypisudolnego"/>
        <w:rPr>
          <w:rFonts w:ascii="Times New Roman" w:hAnsi="Times New Roman" w:cs="Times New Roman"/>
          <w:lang w:val="pl-PL"/>
        </w:rPr>
      </w:pPr>
      <w:r w:rsidRPr="000C56AC">
        <w:rPr>
          <w:rStyle w:val="Odwoanieprzypisudolnego"/>
          <w:rFonts w:ascii="Times New Roman" w:hAnsi="Times New Roman" w:cs="Times New Roman"/>
          <w:lang w:val="pl-PL"/>
        </w:rPr>
        <w:footnoteRef/>
      </w:r>
      <w:r w:rsidRPr="000C56AC">
        <w:rPr>
          <w:rFonts w:ascii="Times New Roman" w:hAnsi="Times New Roman" w:cs="Times New Roman"/>
          <w:lang w:val="pl-PL"/>
        </w:rPr>
        <w:t xml:space="preserve"> Przykładowo, patrolowanie, obserwowanie, śledzenie czy monitorowanie w inny sposób osób określonej rasy czy mniejszości narodowej rzekomo w celu utrzymywania porządku publicznego (tzw. milicja czy straż obywatelska) stanowi z pewnością niedopuszczalne działanie rasistowskie, które samo w sobie zagraża porządkowi i bezpieczeństwu publicznemu osób trzecich, a zatem uzasadnia rozwiązanie stowarzyszenia prowadzącego działalność takiego rodzaju oraz partii politycznej wspierającej działania takiego stowarzyszenia.</w:t>
      </w:r>
    </w:p>
  </w:footnote>
  <w:footnote w:id="27">
    <w:p w:rsidR="00EC6C52" w:rsidRPr="000C56AC" w:rsidRDefault="00EC6C52" w:rsidP="004D2070">
      <w:pPr>
        <w:pStyle w:val="Tekstprzypisudolnego"/>
        <w:rPr>
          <w:rFonts w:ascii="Times New Roman" w:hAnsi="Times New Roman" w:cs="Times New Roman"/>
          <w:lang w:val="pl-PL"/>
        </w:rPr>
      </w:pPr>
      <w:r w:rsidRPr="000C56AC">
        <w:rPr>
          <w:rStyle w:val="Odwoanieprzypisudolnego"/>
          <w:rFonts w:ascii="Times New Roman" w:hAnsi="Times New Roman" w:cs="Times New Roman"/>
          <w:lang w:val="pl-PL"/>
        </w:rPr>
        <w:footnoteRef/>
      </w:r>
      <w:r w:rsidRPr="000C56AC">
        <w:rPr>
          <w:rFonts w:ascii="Times New Roman" w:hAnsi="Times New Roman" w:cs="Times New Roman"/>
          <w:lang w:val="pl-PL"/>
        </w:rPr>
        <w:t xml:space="preserve"> </w:t>
      </w:r>
      <w:r w:rsidRPr="000C56AC">
        <w:rPr>
          <w:rFonts w:ascii="Times New Roman" w:hAnsi="Times New Roman" w:cs="Times New Roman"/>
          <w:i/>
          <w:iCs/>
          <w:lang w:val="pl-PL"/>
        </w:rPr>
        <w:t>Refah Partisi (Partia Dobrobytu) i Inni</w:t>
      </w:r>
      <w:r w:rsidRPr="000C56AC">
        <w:rPr>
          <w:rFonts w:ascii="Times New Roman" w:hAnsi="Times New Roman" w:cs="Times New Roman"/>
          <w:lang w:val="pl-PL"/>
        </w:rPr>
        <w:t xml:space="preserve">, cyt. powyżej, § 104 oraz </w:t>
      </w:r>
      <w:r w:rsidRPr="000C56AC">
        <w:rPr>
          <w:rFonts w:ascii="Times New Roman" w:hAnsi="Times New Roman" w:cs="Times New Roman"/>
          <w:i/>
          <w:iCs/>
          <w:lang w:val="pl-PL"/>
        </w:rPr>
        <w:t>Stowarzyszenie Obywatelskie Radko i Paunkovski,</w:t>
      </w:r>
      <w:r w:rsidRPr="000C56AC">
        <w:rPr>
          <w:rFonts w:ascii="Times New Roman" w:hAnsi="Times New Roman" w:cs="Times New Roman"/>
          <w:lang w:val="pl-PL"/>
        </w:rPr>
        <w:t xml:space="preserve"> cyt. powyżej, § 75. W mojej opinii, zapis par. 57 niniejszego wyroku nie jest zgodny z zasadą określoną w wyroku w sprawie </w:t>
      </w:r>
      <w:r w:rsidRPr="000C56AC">
        <w:rPr>
          <w:rFonts w:ascii="Times New Roman" w:hAnsi="Times New Roman" w:cs="Times New Roman"/>
          <w:i/>
          <w:iCs/>
          <w:lang w:val="pl-PL"/>
        </w:rPr>
        <w:t>Refah Partisi</w:t>
      </w:r>
      <w:r w:rsidRPr="000C56AC">
        <w:rPr>
          <w:rFonts w:ascii="Times New Roman" w:hAnsi="Times New Roman" w:cs="Times New Roman"/>
          <w:lang w:val="pl-PL"/>
        </w:rPr>
        <w:t xml:space="preserve">, jako że zezwala na rozwiązanie przed dowiedzeniem istnienia bezpośredniego zagrożenia dla interesów chronionych artykułem 11 ust. 2. </w:t>
      </w:r>
    </w:p>
  </w:footnote>
  <w:footnote w:id="28">
    <w:p w:rsidR="00EC6C52" w:rsidRPr="000C56AC" w:rsidRDefault="00EC6C52" w:rsidP="004D2070">
      <w:pPr>
        <w:pStyle w:val="Tekstprzypisudolnego"/>
        <w:rPr>
          <w:rFonts w:ascii="Times New Roman" w:hAnsi="Times New Roman" w:cs="Times New Roman"/>
          <w:lang w:val="pl-PL"/>
        </w:rPr>
      </w:pPr>
      <w:r w:rsidRPr="000C56AC">
        <w:rPr>
          <w:rStyle w:val="Odwoanieprzypisudolnego"/>
          <w:rFonts w:ascii="Times New Roman" w:hAnsi="Times New Roman" w:cs="Times New Roman"/>
          <w:lang w:val="pl-PL"/>
        </w:rPr>
        <w:footnoteRef/>
      </w:r>
      <w:r w:rsidRPr="000C56AC">
        <w:rPr>
          <w:rFonts w:ascii="Times New Roman" w:hAnsi="Times New Roman" w:cs="Times New Roman"/>
          <w:lang w:val="pl-PL"/>
        </w:rPr>
        <w:t xml:space="preserve"> Czwarty Raport w sprawie Węgier, 24 lutego 2009 r., CRI(2009)3, par. 60-74. Podobne zaniepokojenie wyrażono już w Trzecim Raporcie w sprawie Węgier, 8 czerwca 2004 r., CRI(2004)25, par. 58 i 79.</w:t>
      </w:r>
    </w:p>
  </w:footnote>
  <w:footnote w:id="29">
    <w:p w:rsidR="00EC6C52" w:rsidRPr="000C56AC" w:rsidRDefault="00EC6C52" w:rsidP="004D2070">
      <w:pPr>
        <w:pStyle w:val="Tekstprzypisudolnego"/>
        <w:rPr>
          <w:rFonts w:ascii="Times New Roman" w:hAnsi="Times New Roman" w:cs="Times New Roman"/>
          <w:lang w:val="pl-PL"/>
        </w:rPr>
      </w:pPr>
      <w:r w:rsidRPr="000C56AC">
        <w:rPr>
          <w:rStyle w:val="Odwoanieprzypisudolnego"/>
          <w:rFonts w:ascii="Times New Roman" w:hAnsi="Times New Roman" w:cs="Times New Roman"/>
          <w:lang w:val="pl-PL"/>
        </w:rPr>
        <w:footnoteRef/>
      </w:r>
      <w:r w:rsidRPr="000C56AC">
        <w:rPr>
          <w:rFonts w:ascii="Times New Roman" w:hAnsi="Times New Roman" w:cs="Times New Roman"/>
          <w:lang w:val="pl-PL"/>
        </w:rPr>
        <w:t xml:space="preserve"> ACFC/OP/III(2010)001.</w:t>
      </w:r>
    </w:p>
  </w:footnote>
  <w:footnote w:id="30">
    <w:p w:rsidR="00EC6C52" w:rsidRPr="000C56AC" w:rsidRDefault="00EC6C52" w:rsidP="004D2070">
      <w:pPr>
        <w:pStyle w:val="Tekstprzypisudolnego"/>
        <w:rPr>
          <w:rFonts w:ascii="Times New Roman" w:hAnsi="Times New Roman" w:cs="Times New Roman"/>
          <w:lang w:val="pl-PL"/>
        </w:rPr>
      </w:pPr>
      <w:r w:rsidRPr="000C56AC">
        <w:rPr>
          <w:rStyle w:val="Odwoanieprzypisudolnego"/>
          <w:rFonts w:ascii="Times New Roman" w:hAnsi="Times New Roman" w:cs="Times New Roman"/>
          <w:lang w:val="pl-PL"/>
        </w:rPr>
        <w:footnoteRef/>
      </w:r>
      <w:r w:rsidRPr="000C56AC">
        <w:rPr>
          <w:rFonts w:ascii="Times New Roman" w:hAnsi="Times New Roman" w:cs="Times New Roman"/>
          <w:lang w:val="pl-PL"/>
        </w:rPr>
        <w:t xml:space="preserve"> CM/ResCMN(2011)13 w sprawie wdrożenia konwencji ramowej w sprawie ochrony praw mniejszości narodowych przez Węgry, 6 lipca 2011 r.</w:t>
      </w:r>
    </w:p>
  </w:footnote>
  <w:footnote w:id="31">
    <w:p w:rsidR="00EC6C52" w:rsidRPr="000C56AC" w:rsidRDefault="00EC6C52" w:rsidP="004D2070">
      <w:pPr>
        <w:pStyle w:val="Tekstprzypisudolnego"/>
        <w:rPr>
          <w:rFonts w:ascii="Times New Roman" w:hAnsi="Times New Roman" w:cs="Times New Roman"/>
          <w:lang w:val="pl-PL"/>
        </w:rPr>
      </w:pPr>
      <w:r w:rsidRPr="000C56AC">
        <w:rPr>
          <w:rStyle w:val="Odwoanieprzypisudolnego"/>
          <w:rFonts w:ascii="Times New Roman" w:hAnsi="Times New Roman" w:cs="Times New Roman"/>
          <w:lang w:val="pl-PL"/>
        </w:rPr>
        <w:footnoteRef/>
      </w:r>
      <w:r w:rsidRPr="000C56AC">
        <w:rPr>
          <w:rFonts w:ascii="Times New Roman" w:hAnsi="Times New Roman" w:cs="Times New Roman"/>
          <w:lang w:val="pl-PL"/>
        </w:rPr>
        <w:t xml:space="preserve"> CCPR/C/HUN/CO/5, 16 listopada 2010, par. 18.</w:t>
      </w:r>
    </w:p>
  </w:footnote>
  <w:footnote w:id="32">
    <w:p w:rsidR="00EC6C52" w:rsidRPr="000C56AC" w:rsidRDefault="00EC6C52" w:rsidP="004D2070">
      <w:pPr>
        <w:pStyle w:val="Tekstprzypisudolnego"/>
        <w:rPr>
          <w:rFonts w:ascii="Times New Roman" w:hAnsi="Times New Roman" w:cs="Times New Roman"/>
          <w:lang w:val="pl-PL"/>
        </w:rPr>
      </w:pPr>
      <w:r w:rsidRPr="000C56AC">
        <w:rPr>
          <w:rStyle w:val="Odwoanieprzypisudolnego"/>
          <w:rFonts w:ascii="Times New Roman" w:hAnsi="Times New Roman" w:cs="Times New Roman"/>
          <w:lang w:val="pl-PL"/>
        </w:rPr>
        <w:footnoteRef/>
      </w:r>
      <w:r w:rsidRPr="000C56AC">
        <w:rPr>
          <w:rFonts w:ascii="Times New Roman" w:hAnsi="Times New Roman" w:cs="Times New Roman"/>
          <w:lang w:val="pl-PL"/>
        </w:rPr>
        <w:t xml:space="preserve"> CAT/C/HUN/CO/4, 6 lutego 2007 r., par. 19.</w:t>
      </w:r>
    </w:p>
  </w:footnote>
  <w:footnote w:id="33">
    <w:p w:rsidR="00EC6C52" w:rsidRPr="000C56AC" w:rsidRDefault="00EC6C52" w:rsidP="004D2070">
      <w:pPr>
        <w:pStyle w:val="Tekstprzypisudolnego"/>
        <w:rPr>
          <w:rFonts w:ascii="Times New Roman" w:hAnsi="Times New Roman" w:cs="Times New Roman"/>
          <w:lang w:val="pl-PL"/>
        </w:rPr>
      </w:pPr>
      <w:r w:rsidRPr="000C56AC">
        <w:rPr>
          <w:rStyle w:val="Odwoanieprzypisudolnego"/>
          <w:rFonts w:ascii="Times New Roman" w:hAnsi="Times New Roman" w:cs="Times New Roman"/>
          <w:lang w:val="pl-PL"/>
        </w:rPr>
        <w:footnoteRef/>
      </w:r>
      <w:r w:rsidRPr="000C56AC">
        <w:rPr>
          <w:rFonts w:ascii="Times New Roman" w:hAnsi="Times New Roman" w:cs="Times New Roman"/>
          <w:lang w:val="pl-PL"/>
        </w:rPr>
        <w:t xml:space="preserve"> Rada Praw Człowieka ONZ, Raport Specjalnego Sprawozdawcy ds. współczesnych form rasizmu, dyskryminacji rasowej, ksenofobii i pokrewnych przejawów nietolerancji, Githu Muigai, 23 kwietnia 2012 r.</w:t>
      </w:r>
    </w:p>
  </w:footnote>
  <w:footnote w:id="34">
    <w:p w:rsidR="00EC6C52" w:rsidRPr="000C56AC" w:rsidRDefault="00EC6C52" w:rsidP="004D2070">
      <w:pPr>
        <w:pStyle w:val="Tekstprzypisudolnego"/>
        <w:rPr>
          <w:rFonts w:ascii="Times New Roman" w:hAnsi="Times New Roman" w:cs="Times New Roman"/>
          <w:lang w:val="pl-PL"/>
        </w:rPr>
      </w:pPr>
      <w:r w:rsidRPr="000C56AC">
        <w:rPr>
          <w:rStyle w:val="Odwoanieprzypisudolnego"/>
          <w:rFonts w:ascii="Times New Roman" w:hAnsi="Times New Roman" w:cs="Times New Roman"/>
          <w:lang w:val="pl-PL"/>
        </w:rPr>
        <w:footnoteRef/>
      </w:r>
      <w:r w:rsidRPr="000C56AC">
        <w:rPr>
          <w:rFonts w:ascii="Times New Roman" w:hAnsi="Times New Roman" w:cs="Times New Roman"/>
          <w:lang w:val="pl-PL"/>
        </w:rPr>
        <w:t> Zob. aktualne opisy sytuacji opracowane przez instytucje niezależne i organizacje pozarządowe: raport Komisarza Rady Europy ds. praw człowieka z 2012 r.: „Prawa człowieka Romów i ludów koczowniczych w Europie”, raporty Amnesty International z 2011 r. i 2012 r. oraz raport Human Rights Watch z 2013 r. „</w:t>
      </w:r>
      <w:r w:rsidRPr="000C56AC">
        <w:rPr>
          <w:rFonts w:ascii="Times New Roman" w:hAnsi="Times New Roman" w:cs="Times New Roman"/>
          <w:i/>
          <w:lang w:val="pl-PL"/>
        </w:rPr>
        <w:t>Hungary’s Alarming Climate of Intolerance</w:t>
      </w:r>
      <w:r w:rsidRPr="000C56AC">
        <w:rPr>
          <w:rFonts w:ascii="Times New Roman" w:hAnsi="Times New Roman" w:cs="Times New Roman"/>
          <w:lang w:val="pl-PL"/>
        </w:rPr>
        <w:t>”.</w:t>
      </w:r>
    </w:p>
  </w:footnote>
  <w:footnote w:id="35">
    <w:p w:rsidR="00EC6C52" w:rsidRPr="000C56AC" w:rsidRDefault="00EC6C52" w:rsidP="004D2070">
      <w:pPr>
        <w:pStyle w:val="Tekstprzypisudolnego"/>
        <w:rPr>
          <w:rFonts w:ascii="Times New Roman" w:hAnsi="Times New Roman" w:cs="Times New Roman"/>
          <w:lang w:val="pl-PL"/>
        </w:rPr>
      </w:pPr>
      <w:r w:rsidRPr="000C56AC">
        <w:rPr>
          <w:rStyle w:val="Odwoanieprzypisudolnego"/>
          <w:rFonts w:ascii="Times New Roman" w:hAnsi="Times New Roman" w:cs="Times New Roman"/>
          <w:lang w:val="pl-PL"/>
        </w:rPr>
        <w:footnoteRef/>
      </w:r>
      <w:r w:rsidRPr="000C56AC">
        <w:rPr>
          <w:rFonts w:ascii="Times New Roman" w:hAnsi="Times New Roman" w:cs="Times New Roman"/>
          <w:lang w:val="pl-PL"/>
        </w:rPr>
        <w:t xml:space="preserve"> Zob. moje zdanie odrębne w sprawie </w:t>
      </w:r>
      <w:r w:rsidRPr="000C56AC">
        <w:rPr>
          <w:rFonts w:ascii="Times New Roman" w:hAnsi="Times New Roman" w:cs="Times New Roman"/>
          <w:i/>
          <w:iCs/>
          <w:lang w:val="pl-PL"/>
        </w:rPr>
        <w:t>Faber przeciwko Węgrom</w:t>
      </w:r>
      <w:r w:rsidRPr="000C56AC">
        <w:rPr>
          <w:rFonts w:ascii="Times New Roman" w:hAnsi="Times New Roman" w:cs="Times New Roman"/>
          <w:lang w:val="pl-PL"/>
        </w:rPr>
        <w:t xml:space="preserve">, nr 40721/08, 24 lipca 2012 r. </w:t>
      </w:r>
    </w:p>
  </w:footnote>
  <w:footnote w:id="36">
    <w:p w:rsidR="00EC6C52" w:rsidRPr="000C56AC" w:rsidRDefault="00EC6C52" w:rsidP="004D2070">
      <w:pPr>
        <w:pStyle w:val="Tekstprzypisudolnego"/>
        <w:rPr>
          <w:rFonts w:ascii="Times New Roman" w:hAnsi="Times New Roman" w:cs="Times New Roman"/>
          <w:lang w:val="pl-PL"/>
        </w:rPr>
      </w:pPr>
      <w:r w:rsidRPr="000C56AC">
        <w:rPr>
          <w:rStyle w:val="Odwoanieprzypisudolnego"/>
          <w:rFonts w:ascii="Times New Roman" w:hAnsi="Times New Roman" w:cs="Times New Roman"/>
          <w:lang w:val="pl-PL"/>
        </w:rPr>
        <w:footnoteRef/>
      </w:r>
      <w:r w:rsidRPr="000C56AC">
        <w:rPr>
          <w:rFonts w:ascii="Times New Roman" w:hAnsi="Times New Roman" w:cs="Times New Roman"/>
          <w:lang w:val="pl-PL"/>
        </w:rPr>
        <w:t xml:space="preserve"> </w:t>
      </w:r>
      <w:r w:rsidRPr="0096672D">
        <w:rPr>
          <w:rFonts w:ascii="Times New Roman" w:hAnsi="Times New Roman" w:cs="Times New Roman"/>
          <w:i/>
          <w:iCs/>
          <w:lang w:val="pl-PL"/>
        </w:rPr>
        <w:t xml:space="preserve">Zjednoczona Komunistyczna Partia Turcji </w:t>
      </w:r>
      <w:r w:rsidRPr="000C56AC">
        <w:rPr>
          <w:rFonts w:ascii="Times New Roman" w:hAnsi="Times New Roman" w:cs="Times New Roman"/>
          <w:i/>
          <w:iCs/>
          <w:lang w:val="pl-PL"/>
        </w:rPr>
        <w:t>przeciwko Turcji (WI)</w:t>
      </w:r>
      <w:r w:rsidRPr="000C56AC">
        <w:rPr>
          <w:rFonts w:ascii="Times New Roman" w:hAnsi="Times New Roman" w:cs="Times New Roman"/>
          <w:lang w:val="pl-PL"/>
        </w:rPr>
        <w:t xml:space="preserve">, nr 19392/92, § 42, 30 stycznia 1998 r.; </w:t>
      </w:r>
      <w:r w:rsidRPr="000C56AC">
        <w:rPr>
          <w:rFonts w:ascii="Times New Roman" w:hAnsi="Times New Roman" w:cs="Times New Roman"/>
          <w:i/>
          <w:iCs/>
          <w:lang w:val="pl-PL"/>
        </w:rPr>
        <w:t>Ezelin przeciwko Francji</w:t>
      </w:r>
      <w:r w:rsidRPr="000C56AC">
        <w:rPr>
          <w:rFonts w:ascii="Times New Roman" w:hAnsi="Times New Roman" w:cs="Times New Roman"/>
          <w:lang w:val="pl-PL"/>
        </w:rPr>
        <w:t xml:space="preserve">, nr 11800/85, 26 kwietnia 199 r.1, § 37; wyrok w sprawie </w:t>
      </w:r>
      <w:r w:rsidRPr="000C56AC">
        <w:rPr>
          <w:rFonts w:ascii="Times New Roman" w:hAnsi="Times New Roman" w:cs="Times New Roman"/>
          <w:i/>
          <w:iCs/>
          <w:lang w:val="pl-PL"/>
        </w:rPr>
        <w:t>Young, James i Webster</w:t>
      </w:r>
      <w:r w:rsidRPr="000C56AC">
        <w:rPr>
          <w:rFonts w:ascii="Times New Roman" w:hAnsi="Times New Roman" w:cs="Times New Roman"/>
          <w:lang w:val="pl-PL"/>
        </w:rPr>
        <w:t xml:space="preserve"> z dnia 13 sierpnia 1981 r., Seria A nr 44, str. 23, § 57. </w:t>
      </w:r>
    </w:p>
  </w:footnote>
  <w:footnote w:id="37">
    <w:p w:rsidR="00EC6C52" w:rsidRPr="000C56AC" w:rsidRDefault="00EC6C52" w:rsidP="004D2070">
      <w:pPr>
        <w:pStyle w:val="Tekstprzypisudolnego"/>
        <w:rPr>
          <w:rFonts w:ascii="Times New Roman" w:hAnsi="Times New Roman" w:cs="Times New Roman"/>
          <w:lang w:val="pl-PL"/>
        </w:rPr>
      </w:pPr>
      <w:r w:rsidRPr="000C56AC">
        <w:rPr>
          <w:rStyle w:val="Odwoanieprzypisudolnego"/>
          <w:rFonts w:ascii="Times New Roman" w:hAnsi="Times New Roman" w:cs="Times New Roman"/>
          <w:lang w:val="pl-PL"/>
        </w:rPr>
        <w:footnoteRef/>
      </w:r>
      <w:r w:rsidRPr="000C56AC">
        <w:rPr>
          <w:rFonts w:ascii="Times New Roman" w:hAnsi="Times New Roman" w:cs="Times New Roman"/>
          <w:lang w:val="pl-PL"/>
        </w:rPr>
        <w:t xml:space="preserve"> Zalecenie Ogólne nr 15 (1993 r.), cyt. powyżej, par. 4 oraz Komunikat Komitetu CERD nr 43/2008, </w:t>
      </w:r>
      <w:r w:rsidRPr="000C56AC">
        <w:rPr>
          <w:rFonts w:ascii="Times New Roman" w:hAnsi="Times New Roman" w:cs="Times New Roman"/>
          <w:i/>
          <w:iCs/>
          <w:lang w:val="pl-PL"/>
        </w:rPr>
        <w:t>Saada Mohamad Adan przeciwko Danii</w:t>
      </w:r>
      <w:r w:rsidRPr="000C56AC">
        <w:rPr>
          <w:rFonts w:ascii="Times New Roman" w:hAnsi="Times New Roman" w:cs="Times New Roman"/>
          <w:lang w:val="pl-PL"/>
        </w:rPr>
        <w:t xml:space="preserve">, 13 sierpnia 2010 r., par. 7.6 i Komunikat nr 48/2010, cyt. powyżej, par. 12.7; Komunikat UNHCR nr 550/1993, </w:t>
      </w:r>
      <w:r w:rsidRPr="000C56AC">
        <w:rPr>
          <w:rFonts w:ascii="Times New Roman" w:hAnsi="Times New Roman" w:cs="Times New Roman"/>
          <w:i/>
          <w:iCs/>
          <w:lang w:val="pl-PL"/>
        </w:rPr>
        <w:t>Faurisson przeciwko Francji</w:t>
      </w:r>
      <w:r w:rsidRPr="000C56AC">
        <w:rPr>
          <w:rFonts w:ascii="Times New Roman" w:hAnsi="Times New Roman" w:cs="Times New Roman"/>
          <w:lang w:val="pl-PL"/>
        </w:rPr>
        <w:t xml:space="preserve">, 8 listopada 1996 r., par. 9.6 oraz Komunikat nr 736/1997, </w:t>
      </w:r>
      <w:r w:rsidRPr="000C56AC">
        <w:rPr>
          <w:rFonts w:ascii="Times New Roman" w:hAnsi="Times New Roman" w:cs="Times New Roman"/>
          <w:i/>
          <w:iCs/>
          <w:lang w:val="pl-PL"/>
        </w:rPr>
        <w:t>Ross przeciwko Kanadzie</w:t>
      </w:r>
      <w:r w:rsidRPr="000C56AC">
        <w:rPr>
          <w:rFonts w:ascii="Times New Roman" w:hAnsi="Times New Roman" w:cs="Times New Roman"/>
          <w:lang w:val="pl-PL"/>
        </w:rPr>
        <w:t>, par. 11.5-11.8.</w:t>
      </w:r>
    </w:p>
  </w:footnote>
  <w:footnote w:id="38">
    <w:p w:rsidR="00EC6C52" w:rsidRPr="000C56AC" w:rsidRDefault="00EC6C52" w:rsidP="004D2070">
      <w:pPr>
        <w:pStyle w:val="Tekstprzypisudolnego"/>
        <w:rPr>
          <w:rFonts w:ascii="Times New Roman" w:hAnsi="Times New Roman" w:cs="Times New Roman"/>
          <w:lang w:val="pl-PL"/>
        </w:rPr>
      </w:pPr>
      <w:r w:rsidRPr="000C56AC">
        <w:rPr>
          <w:rStyle w:val="Odwoanieprzypisudolnego"/>
          <w:rFonts w:ascii="Times New Roman" w:hAnsi="Times New Roman" w:cs="Times New Roman"/>
          <w:lang w:val="pl-PL"/>
        </w:rPr>
        <w:footnoteRef/>
      </w:r>
      <w:r w:rsidRPr="000C56AC">
        <w:rPr>
          <w:rFonts w:ascii="Times New Roman" w:hAnsi="Times New Roman" w:cs="Times New Roman"/>
          <w:lang w:val="pl-PL"/>
        </w:rPr>
        <w:t xml:space="preserve"> Przykładowo, w sytuacji, gdy wypowiedzi przedstawiają obcokrajowców lub Romów jako gorszych, poprzez uogólnione przypisywanie zachowań czy cech nieakceptowanych społecznie, wolność wyrażania opinii nie może stanowić wartości nadrzędnej względem godności ludzkiej (niemiecki Federalny Trybunał Konstytucyjny, decyzja z dnia 4 lutego 2010 r.).</w:t>
      </w:r>
    </w:p>
  </w:footnote>
  <w:footnote w:id="39">
    <w:p w:rsidR="00EC6C52" w:rsidRPr="000C56AC" w:rsidRDefault="00EC6C52" w:rsidP="004D2070">
      <w:pPr>
        <w:pStyle w:val="Tekstprzypisudolnego"/>
        <w:rPr>
          <w:rFonts w:ascii="Times New Roman" w:hAnsi="Times New Roman" w:cs="Times New Roman"/>
          <w:lang w:val="pl-PL"/>
        </w:rPr>
      </w:pPr>
      <w:r w:rsidRPr="000C56AC">
        <w:rPr>
          <w:rStyle w:val="Odwoanieprzypisudolnego"/>
          <w:rFonts w:ascii="Times New Roman" w:hAnsi="Times New Roman" w:cs="Times New Roman"/>
          <w:lang w:val="pl-PL"/>
        </w:rPr>
        <w:footnoteRef/>
      </w:r>
      <w:r w:rsidRPr="000C56AC">
        <w:rPr>
          <w:rFonts w:ascii="Times New Roman" w:hAnsi="Times New Roman" w:cs="Times New Roman"/>
          <w:lang w:val="pl-PL"/>
        </w:rPr>
        <w:t xml:space="preserve"> Przykładowo prawa do wolności wypowiedzi uczestników zgromadzeń publicznych, podczas których promowanie wrogości na tle narodowym, rasowym lub religijnym stanowi podżeganie do dyskryminacji, nienawiści lub przemocy, nie są objęte ochroną na mocy Konwencji (Wytyczne OBWE/BDIPC</w:t>
      </w:r>
      <w:r>
        <w:rPr>
          <w:rFonts w:ascii="Times New Roman" w:hAnsi="Times New Roman" w:cs="Times New Roman"/>
          <w:lang w:val="pl-PL"/>
        </w:rPr>
        <w:t>z</w:t>
      </w:r>
      <w:r w:rsidRPr="000C56AC">
        <w:rPr>
          <w:rFonts w:ascii="Times New Roman" w:hAnsi="Times New Roman" w:cs="Times New Roman"/>
          <w:lang w:val="pl-PL"/>
        </w:rPr>
        <w:t>-Komisji Weneckiej w sprawie Wolności Pokojowych Zgromadzeń, 4 czerwca 2010 r., par. 96).</w:t>
      </w:r>
    </w:p>
  </w:footnote>
  <w:footnote w:id="40">
    <w:p w:rsidR="00EC6C52" w:rsidRPr="000C56AC" w:rsidRDefault="00EC6C52" w:rsidP="004D2070">
      <w:pPr>
        <w:autoSpaceDE w:val="0"/>
        <w:autoSpaceDN w:val="0"/>
        <w:adjustRightInd w:val="0"/>
        <w:rPr>
          <w:rFonts w:ascii="Times New Roman" w:hAnsi="Times New Roman" w:cs="Times New Roman"/>
          <w:lang w:val="pl-PL"/>
        </w:rPr>
      </w:pPr>
      <w:r w:rsidRPr="000C56AC">
        <w:rPr>
          <w:rStyle w:val="Odwoanieprzypisudolnego"/>
          <w:rFonts w:ascii="Times New Roman" w:hAnsi="Times New Roman" w:cs="Times New Roman"/>
          <w:sz w:val="20"/>
          <w:lang w:val="pl-PL"/>
        </w:rPr>
        <w:footnoteRef/>
      </w:r>
      <w:r w:rsidRPr="000C56AC">
        <w:rPr>
          <w:rFonts w:ascii="Times New Roman" w:hAnsi="Times New Roman" w:cs="Times New Roman"/>
          <w:sz w:val="20"/>
          <w:lang w:val="pl-PL"/>
        </w:rPr>
        <w:t xml:space="preserve"> W odniesieniu do artykułu 10 Konwencji oraz artykułu 3 pierwszego Protokołu, zob. </w:t>
      </w:r>
      <w:r w:rsidRPr="000C56AC">
        <w:rPr>
          <w:rFonts w:ascii="Times New Roman" w:hAnsi="Times New Roman" w:cs="Times New Roman"/>
          <w:i/>
          <w:iCs/>
          <w:sz w:val="20"/>
          <w:lang w:val="pl-PL"/>
        </w:rPr>
        <w:t>Glimmerveen i J. Hagenbeek przeciwko Holandii</w:t>
      </w:r>
      <w:r w:rsidRPr="000C56AC">
        <w:rPr>
          <w:rFonts w:ascii="Times New Roman" w:hAnsi="Times New Roman" w:cs="Times New Roman"/>
          <w:sz w:val="20"/>
          <w:lang w:val="pl-PL"/>
        </w:rPr>
        <w:t xml:space="preserve">, nr 8348/78 i 8406/78, decyzja Komisji z dnia 11 października 1979 r., Decyzje i Raporty (DR) 18, str. 187; </w:t>
      </w:r>
      <w:r w:rsidRPr="000C56AC">
        <w:rPr>
          <w:rFonts w:ascii="Times New Roman" w:hAnsi="Times New Roman" w:cs="Times New Roman"/>
          <w:i/>
          <w:iCs/>
          <w:sz w:val="20"/>
          <w:lang w:val="pl-PL"/>
        </w:rPr>
        <w:t xml:space="preserve">Norwood przeciwko Zjednoczonemu Królestwu </w:t>
      </w:r>
      <w:r w:rsidRPr="000C56AC">
        <w:rPr>
          <w:rFonts w:ascii="Times New Roman" w:hAnsi="Times New Roman" w:cs="Times New Roman"/>
          <w:sz w:val="20"/>
          <w:lang w:val="pl-PL"/>
        </w:rPr>
        <w:t xml:space="preserve">(dec.), nr 23131/03, 16 listopada 2004 r.; </w:t>
      </w:r>
      <w:r w:rsidRPr="000C56AC">
        <w:rPr>
          <w:rFonts w:ascii="Times New Roman" w:hAnsi="Times New Roman" w:cs="Times New Roman"/>
          <w:i/>
          <w:iCs/>
          <w:sz w:val="20"/>
          <w:lang w:val="pl-PL"/>
        </w:rPr>
        <w:t xml:space="preserve">Witzsch przeciwko Niemcom </w:t>
      </w:r>
      <w:r w:rsidRPr="000C56AC">
        <w:rPr>
          <w:rFonts w:ascii="Times New Roman" w:hAnsi="Times New Roman" w:cs="Times New Roman"/>
          <w:sz w:val="20"/>
          <w:lang w:val="pl-PL"/>
        </w:rPr>
        <w:t xml:space="preserve">(dec.), nr 7485/03, 13 grudnia 2005 r. oraz </w:t>
      </w:r>
      <w:r w:rsidRPr="000C56AC">
        <w:rPr>
          <w:rFonts w:ascii="Times New Roman" w:hAnsi="Times New Roman" w:cs="Times New Roman"/>
          <w:i/>
          <w:iCs/>
          <w:sz w:val="20"/>
          <w:lang w:val="pl-PL"/>
        </w:rPr>
        <w:t>Lehideux i Isorni przeciwko Francji</w:t>
      </w:r>
      <w:r w:rsidRPr="000C56AC">
        <w:rPr>
          <w:rFonts w:ascii="Times New Roman" w:hAnsi="Times New Roman" w:cs="Times New Roman"/>
          <w:sz w:val="20"/>
          <w:lang w:val="pl-PL"/>
        </w:rPr>
        <w:t xml:space="preserve">, 23 września 1998 r., §§ 47 i 53, </w:t>
      </w:r>
      <w:r w:rsidRPr="000C56AC">
        <w:rPr>
          <w:rFonts w:ascii="Times New Roman" w:hAnsi="Times New Roman" w:cs="Times New Roman"/>
          <w:i/>
          <w:iCs/>
          <w:sz w:val="20"/>
          <w:lang w:val="pl-PL"/>
        </w:rPr>
        <w:t>Raporty Wyroków i Decyzji</w:t>
      </w:r>
      <w:r w:rsidRPr="000C56AC">
        <w:rPr>
          <w:rFonts w:ascii="Times New Roman" w:hAnsi="Times New Roman" w:cs="Times New Roman"/>
          <w:sz w:val="20"/>
          <w:lang w:val="pl-PL"/>
        </w:rPr>
        <w:t xml:space="preserve"> 1998-VII oraz w odniesieniu do artykułu 11, </w:t>
      </w:r>
      <w:r w:rsidRPr="000C56AC">
        <w:rPr>
          <w:rFonts w:ascii="Times New Roman" w:hAnsi="Times New Roman" w:cs="Times New Roman"/>
          <w:i/>
          <w:iCs/>
          <w:sz w:val="20"/>
          <w:lang w:val="pl-PL"/>
        </w:rPr>
        <w:t xml:space="preserve">W.P. i Inni przeciwko Polsce </w:t>
      </w:r>
      <w:r w:rsidRPr="000C56AC">
        <w:rPr>
          <w:rFonts w:ascii="Times New Roman" w:hAnsi="Times New Roman" w:cs="Times New Roman"/>
          <w:sz w:val="20"/>
          <w:lang w:val="pl-PL"/>
        </w:rPr>
        <w:t xml:space="preserve">(dec.), 2 września 2004 r., nr 42264/98, Raporty 2004-VII oraz </w:t>
      </w:r>
      <w:r w:rsidRPr="000C56AC">
        <w:rPr>
          <w:rFonts w:ascii="Times New Roman" w:hAnsi="Times New Roman" w:cs="Times New Roman"/>
          <w:i/>
          <w:iCs/>
          <w:sz w:val="20"/>
          <w:lang w:val="pl-PL"/>
        </w:rPr>
        <w:t>Kasymakhunov i Saybatalov przeciwko Rosji</w:t>
      </w:r>
      <w:r w:rsidRPr="000C56AC">
        <w:rPr>
          <w:rFonts w:ascii="Times New Roman" w:hAnsi="Times New Roman" w:cs="Times New Roman"/>
          <w:sz w:val="20"/>
          <w:lang w:val="pl-PL"/>
        </w:rPr>
        <w:t xml:space="preserve"> nr 26261/05 i 26377/06, § 113, 14 marca 2013 r. </w:t>
      </w:r>
    </w:p>
  </w:footnote>
  <w:footnote w:id="41">
    <w:p w:rsidR="00EC6C52" w:rsidRPr="000C56AC" w:rsidRDefault="00EC6C52" w:rsidP="004D2070">
      <w:pPr>
        <w:pStyle w:val="Tekstprzypisudolnego"/>
        <w:rPr>
          <w:rFonts w:ascii="Times New Roman" w:hAnsi="Times New Roman" w:cs="Times New Roman"/>
          <w:lang w:val="pl-PL"/>
        </w:rPr>
      </w:pPr>
      <w:r w:rsidRPr="000C56AC">
        <w:rPr>
          <w:rStyle w:val="Odwoanieprzypisudolnego"/>
          <w:rFonts w:ascii="Times New Roman" w:hAnsi="Times New Roman" w:cs="Times New Roman"/>
          <w:lang w:val="pl-PL"/>
        </w:rPr>
        <w:footnoteRef/>
      </w:r>
      <w:r w:rsidRPr="000C56AC">
        <w:rPr>
          <w:rFonts w:ascii="Times New Roman" w:hAnsi="Times New Roman" w:cs="Times New Roman"/>
          <w:lang w:val="pl-PL"/>
        </w:rPr>
        <w:t xml:space="preserve"> </w:t>
      </w:r>
      <w:r w:rsidRPr="000C56AC">
        <w:rPr>
          <w:rFonts w:ascii="Times New Roman" w:hAnsi="Times New Roman" w:cs="Times New Roman"/>
          <w:i/>
          <w:iCs/>
          <w:lang w:val="pl-PL"/>
        </w:rPr>
        <w:t>Féret przeciwko Belgii</w:t>
      </w:r>
      <w:r w:rsidRPr="000C56AC">
        <w:rPr>
          <w:rFonts w:ascii="Times New Roman" w:hAnsi="Times New Roman" w:cs="Times New Roman"/>
          <w:lang w:val="pl-PL"/>
        </w:rPr>
        <w:t xml:space="preserve">, nr 15615/07, §§ 75-76, 16 lipca 2009 r. zob. także Komunikat Komitetu CERD nr 34/2004, cyt. powyżej, par. 7.5, Komunikat nr 43/2008, cyt. powyżej, par. 7.6 i Komunikat nr 48/2010, cyt. powyżej, par. 8.4.  </w:t>
      </w:r>
    </w:p>
  </w:footnote>
  <w:footnote w:id="42">
    <w:p w:rsidR="00EC6C52" w:rsidRPr="000C56AC" w:rsidRDefault="00EC6C52" w:rsidP="004D2070">
      <w:pPr>
        <w:pStyle w:val="Tekstprzypisudolnego"/>
        <w:rPr>
          <w:lang w:val="pl-PL"/>
        </w:rPr>
      </w:pPr>
      <w:r w:rsidRPr="000C56AC">
        <w:rPr>
          <w:rStyle w:val="Odwoanieprzypisudolnego"/>
          <w:rFonts w:ascii="Times New Roman" w:hAnsi="Times New Roman" w:cs="Times New Roman"/>
          <w:lang w:val="pl-PL"/>
        </w:rPr>
        <w:footnoteRef/>
      </w:r>
      <w:r w:rsidRPr="000C56AC">
        <w:rPr>
          <w:rFonts w:ascii="Times New Roman" w:hAnsi="Times New Roman" w:cs="Times New Roman"/>
          <w:lang w:val="pl-PL"/>
        </w:rPr>
        <w:t xml:space="preserve"> W odniesieniu do takiego zagrożenia </w:t>
      </w:r>
      <w:r>
        <w:rPr>
          <w:rFonts w:ascii="Times New Roman" w:hAnsi="Times New Roman" w:cs="Times New Roman"/>
          <w:lang w:val="pl-PL"/>
        </w:rPr>
        <w:t>w</w:t>
      </w:r>
      <w:r w:rsidRPr="000C56AC">
        <w:rPr>
          <w:rFonts w:ascii="Times New Roman" w:hAnsi="Times New Roman" w:cs="Times New Roman"/>
          <w:lang w:val="pl-PL"/>
        </w:rPr>
        <w:t>ęgierski Sąd Najwyższy w wyroku z dnia 15 grudnia 2009 r. wskazał między innymi na wydarzenia w Fadd w dniu 21 czerwca 2008 r. oraz wymianę</w:t>
      </w:r>
      <w:r>
        <w:rPr>
          <w:rFonts w:ascii="Times New Roman" w:hAnsi="Times New Roman" w:cs="Times New Roman"/>
          <w:lang w:val="pl-PL"/>
        </w:rPr>
        <w:t xml:space="preserve"> pogłębiających się deklaracji o charakterze zastraszającym</w:t>
      </w:r>
      <w:r w:rsidRPr="000C56AC">
        <w:rPr>
          <w:rFonts w:ascii="Times New Roman" w:hAnsi="Times New Roman" w:cs="Times New Roman"/>
          <w:lang w:val="pl-PL"/>
        </w:rPr>
        <w:t xml:space="preserve"> pomiędzy członkami stowarzyszenia i kilkoma Romami.</w:t>
      </w:r>
      <w:r w:rsidRPr="000C56AC">
        <w:rPr>
          <w:lang w:val="pl-PL"/>
        </w:rP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6C52" w:rsidRPr="0012024A" w:rsidRDefault="00EC6C52" w:rsidP="006B1DF1">
    <w:pPr>
      <w:pStyle w:val="Nagwek"/>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6C52" w:rsidRPr="00C00F0F" w:rsidRDefault="00EC6C52">
    <w:pPr>
      <w:pStyle w:val="Nagwek"/>
      <w:jc w:val="center"/>
      <w:rPr>
        <w:sz w:val="4"/>
        <w:szCs w:val="4"/>
      </w:rPr>
    </w:pPr>
    <w:r>
      <w:rPr>
        <w:noProof/>
        <w:sz w:val="4"/>
        <w:szCs w:val="4"/>
        <w:lang w:val="pl-PL" w:eastAsia="pl-PL"/>
      </w:rPr>
      <w:drawing>
        <wp:inline distT="0" distB="0" distL="0" distR="0" wp14:anchorId="34745652" wp14:editId="6E204CA5">
          <wp:extent cx="4086225" cy="1657350"/>
          <wp:effectExtent l="0" t="0" r="9525" b="0"/>
          <wp:docPr id="9" name="Picture 9" descr="TranspDocHeaderBigBl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ranspDocHeaderBigBlac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095750" cy="1661213"/>
                  </a:xfrm>
                  <a:prstGeom prst="rect">
                    <a:avLst/>
                  </a:prstGeom>
                  <a:noFill/>
                  <a:ln>
                    <a:noFill/>
                  </a:ln>
                </pic:spPr>
              </pic:pic>
            </a:graphicData>
          </a:graphic>
        </wp:inline>
      </w:drawing>
    </w:r>
  </w:p>
  <w:p w:rsidR="001D6F5D" w:rsidRDefault="001D6F5D" w:rsidP="001D6F5D">
    <w:pPr>
      <w:pStyle w:val="DecHTitle"/>
      <w:spacing w:after="120"/>
      <w:rPr>
        <w:rStyle w:val="s4f807e54"/>
        <w:rFonts w:ascii="Arial" w:hAnsi="Arial" w:cs="Arial"/>
        <w:szCs w:val="28"/>
      </w:rPr>
    </w:pPr>
    <w:r>
      <w:rPr>
        <w:rStyle w:val="s4f807e54"/>
        <w:rFonts w:ascii="Arial" w:hAnsi="Arial" w:cs="Arial"/>
        <w:sz w:val="20"/>
        <w:lang w:val="pl-PL"/>
      </w:rPr>
      <w:t>© Trybunał Konstytucyjny</w:t>
    </w:r>
  </w:p>
  <w:p w:rsidR="001D6F5D" w:rsidRDefault="001D6F5D" w:rsidP="001D6F5D">
    <w:pPr>
      <w:spacing w:after="120"/>
      <w:jc w:val="center"/>
      <w:rPr>
        <w:szCs w:val="20"/>
        <w:lang w:val="en-GB"/>
      </w:rPr>
    </w:pPr>
    <w:r>
      <w:rPr>
        <w:rStyle w:val="s4f807e54"/>
        <w:rFonts w:ascii="Arial" w:hAnsi="Arial" w:cs="Arial"/>
        <w:sz w:val="20"/>
        <w:szCs w:val="20"/>
      </w:rPr>
      <w:t xml:space="preserve">© </w:t>
    </w:r>
    <w:r>
      <w:rPr>
        <w:rFonts w:ascii="Arial" w:hAnsi="Arial" w:cs="Arial"/>
        <w:sz w:val="20"/>
        <w:szCs w:val="20"/>
      </w:rPr>
      <w:t xml:space="preserve">Copyright for the Polish translation by the Polish Constitutional Tribunal </w:t>
    </w:r>
  </w:p>
  <w:p w:rsidR="001D6F5D" w:rsidRDefault="001D6F5D" w:rsidP="001D6F5D">
    <w:pPr>
      <w:pStyle w:val="DecHTitle"/>
      <w:spacing w:after="120"/>
      <w:rPr>
        <w:rFonts w:ascii="Times New Roman" w:hAnsi="Times New Roman" w:cs="Times New Roman"/>
        <w:szCs w:val="28"/>
        <w:lang w:val="pl-PL"/>
      </w:rPr>
    </w:pPr>
    <w:r>
      <w:rPr>
        <w:rFonts w:ascii="Arial" w:hAnsi="Arial" w:cs="Arial"/>
        <w:sz w:val="20"/>
        <w:szCs w:val="20"/>
        <w:lang w:val="pl-PL"/>
      </w:rPr>
      <w:t>Warszawa 2014</w:t>
    </w:r>
  </w:p>
  <w:p w:rsidR="00EC6C52" w:rsidRPr="00BE1506" w:rsidRDefault="00EC6C52">
    <w:pPr>
      <w:pStyle w:val="Nagwek"/>
      <w:rPr>
        <w:lang w:val="pl-P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6C52" w:rsidRDefault="00EC6C52">
    <w:pPr>
      <w:pStyle w:val="ECHRHeader"/>
    </w:pPr>
    <w:r>
      <w:rPr>
        <w:rStyle w:val="Numerstrony"/>
      </w:rPr>
      <w:fldChar w:fldCharType="begin"/>
    </w:r>
    <w:r>
      <w:rPr>
        <w:rStyle w:val="Numerstrony"/>
      </w:rPr>
      <w:instrText xml:space="preserve"> PAGE </w:instrText>
    </w:r>
    <w:r>
      <w:rPr>
        <w:rStyle w:val="Numerstrony"/>
      </w:rPr>
      <w:fldChar w:fldCharType="separate"/>
    </w:r>
    <w:r>
      <w:rPr>
        <w:rStyle w:val="Numerstrony"/>
        <w:noProof/>
      </w:rPr>
      <w:t>6</w:t>
    </w:r>
    <w:r>
      <w:rPr>
        <w:rStyle w:val="Numerstrony"/>
      </w:rPr>
      <w:fldChar w:fldCharType="end"/>
    </w:r>
    <w:r>
      <w:tab/>
      <w:t>WYROK w sprawie VONA przeciwko WĘGROM</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6C52" w:rsidRDefault="00EC6C52">
    <w:pPr>
      <w:pStyle w:val="ECHRHeader"/>
    </w:pPr>
    <w:r>
      <w:tab/>
    </w:r>
    <w:r w:rsidRPr="005C056C">
      <w:rPr>
        <w:rFonts w:ascii="Times New Roman" w:hAnsi="Times New Roman" w:cs="Times New Roman"/>
      </w:rPr>
      <w:t>WYROK VONA przeciwko W</w:t>
    </w:r>
    <w:r w:rsidR="00BE1506">
      <w:rPr>
        <w:rFonts w:ascii="Times New Roman" w:hAnsi="Times New Roman" w:cs="Times New Roman"/>
      </w:rPr>
      <w:t>ęgrom</w:t>
    </w:r>
    <w:r>
      <w:tab/>
    </w:r>
    <w:r>
      <w:rPr>
        <w:rStyle w:val="Numerstrony"/>
      </w:rPr>
      <w:fldChar w:fldCharType="begin"/>
    </w:r>
    <w:r>
      <w:rPr>
        <w:rStyle w:val="Numerstrony"/>
      </w:rPr>
      <w:instrText xml:space="preserve"> PAGE </w:instrText>
    </w:r>
    <w:r>
      <w:rPr>
        <w:rStyle w:val="Numerstrony"/>
      </w:rPr>
      <w:fldChar w:fldCharType="separate"/>
    </w:r>
    <w:r w:rsidR="001D6F5D">
      <w:rPr>
        <w:rStyle w:val="Numerstrony"/>
        <w:noProof/>
      </w:rPr>
      <w:t>2</w:t>
    </w:r>
    <w:r>
      <w:rPr>
        <w:rStyle w:val="Numerstrony"/>
      </w:rPr>
      <w:fldChar w:fldCharType="end"/>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6C52" w:rsidRPr="0043467E" w:rsidRDefault="00EC6C52" w:rsidP="006B1DF1">
    <w:pPr>
      <w:pStyle w:val="ECHRHeader"/>
    </w:pPr>
    <w:r>
      <w:rPr>
        <w:rStyle w:val="Numerstrony"/>
        <w:szCs w:val="18"/>
      </w:rPr>
      <w:fldChar w:fldCharType="begin"/>
    </w:r>
    <w:r>
      <w:rPr>
        <w:rStyle w:val="Numerstrony"/>
        <w:szCs w:val="18"/>
      </w:rPr>
      <w:instrText xml:space="preserve"> PAGE </w:instrText>
    </w:r>
    <w:r>
      <w:rPr>
        <w:rStyle w:val="Numerstrony"/>
        <w:szCs w:val="18"/>
      </w:rPr>
      <w:fldChar w:fldCharType="separate"/>
    </w:r>
    <w:r>
      <w:rPr>
        <w:rStyle w:val="Numerstrony"/>
        <w:noProof/>
        <w:szCs w:val="18"/>
      </w:rPr>
      <w:t>42</w:t>
    </w:r>
    <w:r>
      <w:rPr>
        <w:rStyle w:val="Numerstrony"/>
        <w:szCs w:val="18"/>
      </w:rPr>
      <w:fldChar w:fldCharType="end"/>
    </w:r>
    <w:r>
      <w:tab/>
      <w:t>WYROK w sprawie VONA przeciwko WĘGROM – ZDANIE ODRĘBNE</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6C52" w:rsidRPr="0043467E" w:rsidRDefault="00EC6C52" w:rsidP="006B1DF1">
    <w:pPr>
      <w:pStyle w:val="ECHRHeader"/>
    </w:pPr>
    <w:r>
      <w:tab/>
      <w:t>WYROK w sprawie VONA przeciwko WĘGROM – ZDANIE ODRĘBNE</w:t>
    </w:r>
    <w:r>
      <w:tab/>
    </w:r>
    <w:r>
      <w:rPr>
        <w:rStyle w:val="Numerstrony"/>
        <w:szCs w:val="18"/>
      </w:rPr>
      <w:fldChar w:fldCharType="begin"/>
    </w:r>
    <w:r>
      <w:rPr>
        <w:rStyle w:val="Numerstrony"/>
        <w:szCs w:val="18"/>
      </w:rPr>
      <w:instrText xml:space="preserve"> PAGE </w:instrText>
    </w:r>
    <w:r>
      <w:rPr>
        <w:rStyle w:val="Numerstrony"/>
        <w:szCs w:val="18"/>
      </w:rPr>
      <w:fldChar w:fldCharType="separate"/>
    </w:r>
    <w:r w:rsidR="001D6F5D">
      <w:rPr>
        <w:rStyle w:val="Numerstrony"/>
        <w:noProof/>
        <w:szCs w:val="18"/>
      </w:rPr>
      <w:t>43</w:t>
    </w:r>
    <w:r>
      <w:rPr>
        <w:rStyle w:val="Numerstrony"/>
        <w:szCs w:val="18"/>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0180FE6"/>
    <w:lvl w:ilvl="0">
      <w:start w:val="1"/>
      <w:numFmt w:val="decimal"/>
      <w:pStyle w:val="Listanumerowana5"/>
      <w:lvlText w:val="%1."/>
      <w:lvlJc w:val="left"/>
      <w:pPr>
        <w:tabs>
          <w:tab w:val="num" w:pos="1492"/>
        </w:tabs>
        <w:ind w:left="1492" w:hanging="360"/>
      </w:pPr>
    </w:lvl>
  </w:abstractNum>
  <w:abstractNum w:abstractNumId="1">
    <w:nsid w:val="FFFFFF7D"/>
    <w:multiLevelType w:val="singleLevel"/>
    <w:tmpl w:val="B90ECFBC"/>
    <w:lvl w:ilvl="0">
      <w:start w:val="1"/>
      <w:numFmt w:val="decimal"/>
      <w:pStyle w:val="Listanumerowana4"/>
      <w:lvlText w:val="%1."/>
      <w:lvlJc w:val="left"/>
      <w:pPr>
        <w:tabs>
          <w:tab w:val="num" w:pos="1209"/>
        </w:tabs>
        <w:ind w:left="1209" w:hanging="360"/>
      </w:pPr>
    </w:lvl>
  </w:abstractNum>
  <w:abstractNum w:abstractNumId="2">
    <w:nsid w:val="FFFFFF7E"/>
    <w:multiLevelType w:val="singleLevel"/>
    <w:tmpl w:val="C5B8BEFC"/>
    <w:lvl w:ilvl="0">
      <w:start w:val="1"/>
      <w:numFmt w:val="decimal"/>
      <w:pStyle w:val="Listanumerowana3"/>
      <w:lvlText w:val="%1."/>
      <w:lvlJc w:val="left"/>
      <w:pPr>
        <w:tabs>
          <w:tab w:val="num" w:pos="926"/>
        </w:tabs>
        <w:ind w:left="926" w:hanging="360"/>
      </w:pPr>
    </w:lvl>
  </w:abstractNum>
  <w:abstractNum w:abstractNumId="3">
    <w:nsid w:val="FFFFFF7F"/>
    <w:multiLevelType w:val="singleLevel"/>
    <w:tmpl w:val="6F1CF73A"/>
    <w:lvl w:ilvl="0">
      <w:start w:val="1"/>
      <w:numFmt w:val="decimal"/>
      <w:pStyle w:val="Listanumerowana2"/>
      <w:lvlText w:val="%1."/>
      <w:lvlJc w:val="left"/>
      <w:pPr>
        <w:tabs>
          <w:tab w:val="num" w:pos="643"/>
        </w:tabs>
        <w:ind w:left="643" w:hanging="360"/>
      </w:pPr>
    </w:lvl>
  </w:abstractNum>
  <w:abstractNum w:abstractNumId="4">
    <w:nsid w:val="FFFFFF80"/>
    <w:multiLevelType w:val="singleLevel"/>
    <w:tmpl w:val="23802660"/>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nsid w:val="FFFFFF81"/>
    <w:multiLevelType w:val="singleLevel"/>
    <w:tmpl w:val="A0C2C346"/>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nsid w:val="FFFFFF82"/>
    <w:multiLevelType w:val="singleLevel"/>
    <w:tmpl w:val="9482EC3A"/>
    <w:lvl w:ilvl="0">
      <w:start w:val="1"/>
      <w:numFmt w:val="bullet"/>
      <w:pStyle w:val="Listapunktowana3"/>
      <w:lvlText w:val=""/>
      <w:lvlJc w:val="left"/>
      <w:pPr>
        <w:tabs>
          <w:tab w:val="num" w:pos="926"/>
        </w:tabs>
        <w:ind w:left="926" w:hanging="360"/>
      </w:pPr>
      <w:rPr>
        <w:rFonts w:ascii="Symbol" w:hAnsi="Symbol" w:hint="default"/>
      </w:rPr>
    </w:lvl>
  </w:abstractNum>
  <w:abstractNum w:abstractNumId="7">
    <w:nsid w:val="FFFFFF83"/>
    <w:multiLevelType w:val="singleLevel"/>
    <w:tmpl w:val="7666B2C2"/>
    <w:lvl w:ilvl="0">
      <w:start w:val="1"/>
      <w:numFmt w:val="bullet"/>
      <w:pStyle w:val="Listapunktowana2"/>
      <w:lvlText w:val=""/>
      <w:lvlJc w:val="left"/>
      <w:pPr>
        <w:tabs>
          <w:tab w:val="num" w:pos="643"/>
        </w:tabs>
        <w:ind w:left="643" w:hanging="360"/>
      </w:pPr>
      <w:rPr>
        <w:rFonts w:ascii="Symbol" w:hAnsi="Symbol" w:hint="default"/>
      </w:rPr>
    </w:lvl>
  </w:abstractNum>
  <w:abstractNum w:abstractNumId="8">
    <w:nsid w:val="FFFFFF88"/>
    <w:multiLevelType w:val="singleLevel"/>
    <w:tmpl w:val="B2760110"/>
    <w:lvl w:ilvl="0">
      <w:start w:val="1"/>
      <w:numFmt w:val="decimal"/>
      <w:pStyle w:val="Listanumerowana"/>
      <w:lvlText w:val="%1."/>
      <w:lvlJc w:val="left"/>
      <w:pPr>
        <w:tabs>
          <w:tab w:val="num" w:pos="360"/>
        </w:tabs>
        <w:ind w:left="360" w:hanging="360"/>
      </w:pPr>
    </w:lvl>
  </w:abstractNum>
  <w:abstractNum w:abstractNumId="9">
    <w:nsid w:val="0066004F"/>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10AC3EB8"/>
    <w:multiLevelType w:val="hybridMultilevel"/>
    <w:tmpl w:val="30885A4A"/>
    <w:lvl w:ilvl="0" w:tplc="A7E21C12">
      <w:start w:val="1"/>
      <w:numFmt w:val="upperRoman"/>
      <w:lvlText w:val="%1."/>
      <w:lvlJc w:val="left"/>
      <w:pPr>
        <w:ind w:left="1080" w:hanging="72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1">
    <w:nsid w:val="163F153D"/>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54631559"/>
    <w:multiLevelType w:val="hybridMultilevel"/>
    <w:tmpl w:val="E86034D6"/>
    <w:lvl w:ilvl="0" w:tplc="27D69AC4">
      <w:start w:val="1"/>
      <w:numFmt w:val="upperLetter"/>
      <w:lvlText w:val="%1."/>
      <w:lvlJc w:val="left"/>
      <w:pPr>
        <w:ind w:left="1494" w:hanging="360"/>
      </w:pPr>
      <w:rPr>
        <w:rFonts w:hint="default"/>
      </w:rPr>
    </w:lvl>
    <w:lvl w:ilvl="1" w:tplc="04150019" w:tentative="1">
      <w:start w:val="1"/>
      <w:numFmt w:val="lowerLetter"/>
      <w:lvlText w:val="%2."/>
      <w:lvlJc w:val="left"/>
      <w:pPr>
        <w:ind w:left="2214" w:hanging="360"/>
      </w:pPr>
    </w:lvl>
    <w:lvl w:ilvl="2" w:tplc="0415001B" w:tentative="1">
      <w:start w:val="1"/>
      <w:numFmt w:val="lowerRoman"/>
      <w:lvlText w:val="%3."/>
      <w:lvlJc w:val="right"/>
      <w:pPr>
        <w:ind w:left="2934" w:hanging="180"/>
      </w:pPr>
    </w:lvl>
    <w:lvl w:ilvl="3" w:tplc="0415000F" w:tentative="1">
      <w:start w:val="1"/>
      <w:numFmt w:val="decimal"/>
      <w:lvlText w:val="%4."/>
      <w:lvlJc w:val="left"/>
      <w:pPr>
        <w:ind w:left="3654" w:hanging="360"/>
      </w:pPr>
    </w:lvl>
    <w:lvl w:ilvl="4" w:tplc="04150019" w:tentative="1">
      <w:start w:val="1"/>
      <w:numFmt w:val="lowerLetter"/>
      <w:lvlText w:val="%5."/>
      <w:lvlJc w:val="left"/>
      <w:pPr>
        <w:ind w:left="4374" w:hanging="360"/>
      </w:pPr>
    </w:lvl>
    <w:lvl w:ilvl="5" w:tplc="0415001B" w:tentative="1">
      <w:start w:val="1"/>
      <w:numFmt w:val="lowerRoman"/>
      <w:lvlText w:val="%6."/>
      <w:lvlJc w:val="right"/>
      <w:pPr>
        <w:ind w:left="5094" w:hanging="180"/>
      </w:pPr>
    </w:lvl>
    <w:lvl w:ilvl="6" w:tplc="0415000F" w:tentative="1">
      <w:start w:val="1"/>
      <w:numFmt w:val="decimal"/>
      <w:lvlText w:val="%7."/>
      <w:lvlJc w:val="left"/>
      <w:pPr>
        <w:ind w:left="5814" w:hanging="360"/>
      </w:pPr>
    </w:lvl>
    <w:lvl w:ilvl="7" w:tplc="04150019" w:tentative="1">
      <w:start w:val="1"/>
      <w:numFmt w:val="lowerLetter"/>
      <w:lvlText w:val="%8."/>
      <w:lvlJc w:val="left"/>
      <w:pPr>
        <w:ind w:left="6534" w:hanging="360"/>
      </w:pPr>
    </w:lvl>
    <w:lvl w:ilvl="8" w:tplc="0415001B" w:tentative="1">
      <w:start w:val="1"/>
      <w:numFmt w:val="lowerRoman"/>
      <w:lvlText w:val="%9."/>
      <w:lvlJc w:val="right"/>
      <w:pPr>
        <w:ind w:left="7254" w:hanging="180"/>
      </w:pPr>
    </w:lvl>
  </w:abstractNum>
  <w:abstractNum w:abstractNumId="13">
    <w:nsid w:val="67FD1241"/>
    <w:multiLevelType w:val="hybridMultilevel"/>
    <w:tmpl w:val="F6D86CC2"/>
    <w:lvl w:ilvl="0" w:tplc="E4205412">
      <w:start w:val="1"/>
      <w:numFmt w:val="bullet"/>
      <w:pStyle w:val="Listapunktowana"/>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14">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5">
    <w:nsid w:val="7737461D"/>
    <w:multiLevelType w:val="multilevel"/>
    <w:tmpl w:val="040C0023"/>
    <w:styleLink w:val="Artykusekcja"/>
    <w:lvl w:ilvl="0">
      <w:start w:val="1"/>
      <w:numFmt w:val="upperRoman"/>
      <w:pStyle w:val="Nagwek1"/>
      <w:lvlText w:val="Artykuł %1."/>
      <w:lvlJc w:val="left"/>
      <w:pPr>
        <w:ind w:left="0" w:firstLine="0"/>
      </w:pPr>
    </w:lvl>
    <w:lvl w:ilvl="1">
      <w:start w:val="1"/>
      <w:numFmt w:val="decimalZero"/>
      <w:pStyle w:val="Nagwek2"/>
      <w:isLgl/>
      <w:lvlText w:val="Sekcja%1.%2"/>
      <w:lvlJc w:val="left"/>
      <w:pPr>
        <w:ind w:left="0" w:firstLine="0"/>
      </w:pPr>
    </w:lvl>
    <w:lvl w:ilvl="2">
      <w:start w:val="1"/>
      <w:numFmt w:val="lowerLetter"/>
      <w:pStyle w:val="Nagwek3"/>
      <w:lvlText w:val="(%3)"/>
      <w:lvlJc w:val="left"/>
      <w:pPr>
        <w:ind w:left="720" w:hanging="432"/>
      </w:pPr>
    </w:lvl>
    <w:lvl w:ilvl="3">
      <w:start w:val="1"/>
      <w:numFmt w:val="lowerRoman"/>
      <w:pStyle w:val="Nagwek4"/>
      <w:lvlText w:val="(%4)"/>
      <w:lvlJc w:val="right"/>
      <w:pPr>
        <w:ind w:left="864" w:hanging="144"/>
      </w:pPr>
    </w:lvl>
    <w:lvl w:ilvl="4">
      <w:start w:val="1"/>
      <w:numFmt w:val="decimal"/>
      <w:pStyle w:val="Nagwek5"/>
      <w:lvlText w:val="%5)"/>
      <w:lvlJc w:val="left"/>
      <w:pPr>
        <w:ind w:left="1008" w:hanging="432"/>
      </w:pPr>
    </w:lvl>
    <w:lvl w:ilvl="5">
      <w:start w:val="1"/>
      <w:numFmt w:val="lowerLetter"/>
      <w:pStyle w:val="Nagwek6"/>
      <w:lvlText w:val="%6)"/>
      <w:lvlJc w:val="left"/>
      <w:pPr>
        <w:ind w:left="1152" w:hanging="432"/>
      </w:pPr>
    </w:lvl>
    <w:lvl w:ilvl="6">
      <w:start w:val="1"/>
      <w:numFmt w:val="lowerRoman"/>
      <w:pStyle w:val="Nagwek7"/>
      <w:lvlText w:val="%7)"/>
      <w:lvlJc w:val="right"/>
      <w:pPr>
        <w:ind w:left="1296" w:hanging="288"/>
      </w:pPr>
    </w:lvl>
    <w:lvl w:ilvl="7">
      <w:start w:val="1"/>
      <w:numFmt w:val="lowerLetter"/>
      <w:pStyle w:val="Nagwek8"/>
      <w:lvlText w:val="%8."/>
      <w:lvlJc w:val="left"/>
      <w:pPr>
        <w:ind w:left="1440" w:hanging="432"/>
      </w:pPr>
    </w:lvl>
    <w:lvl w:ilvl="8">
      <w:start w:val="1"/>
      <w:numFmt w:val="lowerRoman"/>
      <w:pStyle w:val="Nagwek9"/>
      <w:lvlText w:val="%9."/>
      <w:lvlJc w:val="right"/>
      <w:pPr>
        <w:ind w:left="1584" w:hanging="144"/>
      </w:pPr>
    </w:lvl>
  </w:abstractNum>
  <w:num w:numId="1">
    <w:abstractNumId w:val="13"/>
  </w:num>
  <w:num w:numId="2">
    <w:abstractNumId w:val="11"/>
  </w:num>
  <w:num w:numId="3">
    <w:abstractNumId w:val="9"/>
  </w:num>
  <w:num w:numId="4">
    <w:abstractNumId w:val="15"/>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4"/>
  </w:num>
  <w:num w:numId="15">
    <w:abstractNumId w:val="10"/>
  </w:num>
  <w:num w:numId="1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footnotePr>
    <w:numRestart w:val="eachPage"/>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D2070"/>
    <w:rsid w:val="000370E4"/>
    <w:rsid w:val="00075E91"/>
    <w:rsid w:val="000829CE"/>
    <w:rsid w:val="000B7218"/>
    <w:rsid w:val="000C56AC"/>
    <w:rsid w:val="000F645C"/>
    <w:rsid w:val="00127122"/>
    <w:rsid w:val="001552E1"/>
    <w:rsid w:val="001C01E3"/>
    <w:rsid w:val="001C0824"/>
    <w:rsid w:val="001D342E"/>
    <w:rsid w:val="001D6F5D"/>
    <w:rsid w:val="001E0A5D"/>
    <w:rsid w:val="00221F34"/>
    <w:rsid w:val="002638A5"/>
    <w:rsid w:val="00271A34"/>
    <w:rsid w:val="002E2869"/>
    <w:rsid w:val="002E2909"/>
    <w:rsid w:val="002F4D04"/>
    <w:rsid w:val="0030639A"/>
    <w:rsid w:val="00352F83"/>
    <w:rsid w:val="003E7F49"/>
    <w:rsid w:val="003F1960"/>
    <w:rsid w:val="00462C6A"/>
    <w:rsid w:val="004D2070"/>
    <w:rsid w:val="00521073"/>
    <w:rsid w:val="00596F07"/>
    <w:rsid w:val="005C056C"/>
    <w:rsid w:val="005E5294"/>
    <w:rsid w:val="005E693D"/>
    <w:rsid w:val="0063659B"/>
    <w:rsid w:val="006657A0"/>
    <w:rsid w:val="006724F9"/>
    <w:rsid w:val="0067479D"/>
    <w:rsid w:val="00685D98"/>
    <w:rsid w:val="00695C0B"/>
    <w:rsid w:val="006B1DF1"/>
    <w:rsid w:val="006B3BE3"/>
    <w:rsid w:val="006B40A4"/>
    <w:rsid w:val="0070380C"/>
    <w:rsid w:val="00770150"/>
    <w:rsid w:val="00772FEF"/>
    <w:rsid w:val="00780978"/>
    <w:rsid w:val="007B3C12"/>
    <w:rsid w:val="00883F6E"/>
    <w:rsid w:val="008901B0"/>
    <w:rsid w:val="008A58C5"/>
    <w:rsid w:val="008B736E"/>
    <w:rsid w:val="008D1A48"/>
    <w:rsid w:val="00924515"/>
    <w:rsid w:val="0096672D"/>
    <w:rsid w:val="00973D63"/>
    <w:rsid w:val="009939BB"/>
    <w:rsid w:val="009B0490"/>
    <w:rsid w:val="009B7793"/>
    <w:rsid w:val="009D3507"/>
    <w:rsid w:val="009E0A22"/>
    <w:rsid w:val="00A541B4"/>
    <w:rsid w:val="00A671C1"/>
    <w:rsid w:val="00A8466C"/>
    <w:rsid w:val="00AD0C95"/>
    <w:rsid w:val="00B3639A"/>
    <w:rsid w:val="00B4217F"/>
    <w:rsid w:val="00B46BDA"/>
    <w:rsid w:val="00B573F8"/>
    <w:rsid w:val="00B60CCC"/>
    <w:rsid w:val="00B77391"/>
    <w:rsid w:val="00B91791"/>
    <w:rsid w:val="00BD571F"/>
    <w:rsid w:val="00BE1506"/>
    <w:rsid w:val="00C03220"/>
    <w:rsid w:val="00C038CF"/>
    <w:rsid w:val="00C43CF1"/>
    <w:rsid w:val="00CA7150"/>
    <w:rsid w:val="00CB02C8"/>
    <w:rsid w:val="00CC2EE1"/>
    <w:rsid w:val="00CE2235"/>
    <w:rsid w:val="00D01B83"/>
    <w:rsid w:val="00D058C6"/>
    <w:rsid w:val="00D21FF5"/>
    <w:rsid w:val="00D91F4E"/>
    <w:rsid w:val="00DD31DA"/>
    <w:rsid w:val="00E2131C"/>
    <w:rsid w:val="00E5167D"/>
    <w:rsid w:val="00E60B03"/>
    <w:rsid w:val="00E7253D"/>
    <w:rsid w:val="00EC05AE"/>
    <w:rsid w:val="00EC6C52"/>
    <w:rsid w:val="00ED10B1"/>
    <w:rsid w:val="00F114D1"/>
    <w:rsid w:val="00F22916"/>
    <w:rsid w:val="00F90F14"/>
    <w:rsid w:val="00F965FB"/>
    <w:rsid w:val="00FF3E9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footnote text" w:uiPriority="0"/>
    <w:lsdException w:name="annotation text" w:uiPriority="0"/>
    <w:lsdException w:name="header" w:uiPriority="0"/>
    <w:lsdException w:name="footer" w:uiPriority="0"/>
    <w:lsdException w:name="caption" w:qFormat="1"/>
    <w:lsdException w:name="annotation reference" w:uiPriority="0"/>
    <w:lsdException w:name="page number" w:uiPriority="0"/>
    <w:lsdException w:name="endnote reference" w:uiPriority="0"/>
    <w:lsdException w:name="endnote text" w:uiPriority="0"/>
    <w:lsdException w:name="List Bullet" w:uiPriority="0"/>
    <w:lsdException w:name="Title" w:semiHidden="0" w:unhideWhenUsed="0" w:qFormat="1"/>
    <w:lsdException w:name="Default Paragraph Font" w:uiPriority="1"/>
    <w:lsdException w:name="Subtitle" w:semiHidden="0" w:unhideWhenUsed="0" w:qFormat="1"/>
    <w:lsdException w:name="Hyperlink" w:uiPriority="0"/>
    <w:lsdException w:name="FollowedHyperlink" w:uiPriority="0"/>
    <w:lsdException w:name="Strong" w:semiHidden="0" w:uiPriority="0" w:unhideWhenUsed="0" w:qFormat="1"/>
    <w:lsdException w:name="Emphasis" w:semiHidden="0" w:unhideWhenUsed="0" w:qFormat="1"/>
    <w:lsdException w:name="Document Map" w:uiPriority="0"/>
    <w:lsdException w:name="Normal (Web)" w:uiPriority="0"/>
    <w:lsdException w:name="annotation subject" w:uiPriority="0"/>
    <w:lsdException w:name="Balloon Text" w:uiPriority="0"/>
    <w:lsdException w:name="Table Grid" w:semiHidden="0" w:unhideWhenUsed="0"/>
    <w:lsdException w:name="Placeholder Text" w:unhideWhenUsed="0"/>
    <w:lsdException w:name="No Spacing" w:semiHidden="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uiPriority w:val="99"/>
    <w:rsid w:val="004D2070"/>
    <w:pPr>
      <w:spacing w:after="0" w:line="240" w:lineRule="auto"/>
      <w:jc w:val="both"/>
    </w:pPr>
    <w:rPr>
      <w:rFonts w:eastAsiaTheme="minorEastAsia"/>
      <w:sz w:val="24"/>
      <w:lang w:val="en-US"/>
    </w:rPr>
  </w:style>
  <w:style w:type="paragraph" w:styleId="Nagwek1">
    <w:name w:val="heading 1"/>
    <w:basedOn w:val="Normalny"/>
    <w:next w:val="Normalny"/>
    <w:link w:val="Nagwek1Znak"/>
    <w:qFormat/>
    <w:rsid w:val="004D2070"/>
    <w:pPr>
      <w:numPr>
        <w:numId w:val="4"/>
      </w:num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qFormat/>
    <w:rsid w:val="004D2070"/>
    <w:pPr>
      <w:numPr>
        <w:ilvl w:val="1"/>
        <w:numId w:val="4"/>
      </w:num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qFormat/>
    <w:rsid w:val="004D2070"/>
    <w:pPr>
      <w:numPr>
        <w:ilvl w:val="2"/>
        <w:numId w:val="4"/>
      </w:num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qFormat/>
    <w:rsid w:val="004D2070"/>
    <w:pPr>
      <w:numPr>
        <w:ilvl w:val="3"/>
        <w:numId w:val="4"/>
      </w:num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qFormat/>
    <w:rsid w:val="004D2070"/>
    <w:pPr>
      <w:numPr>
        <w:ilvl w:val="4"/>
        <w:numId w:val="4"/>
      </w:numPr>
      <w:spacing w:before="200"/>
      <w:outlineLvl w:val="4"/>
    </w:pPr>
    <w:rPr>
      <w:rFonts w:asciiTheme="majorHAnsi" w:eastAsiaTheme="majorEastAsia" w:hAnsiTheme="majorHAnsi" w:cstheme="majorBidi"/>
      <w:b/>
      <w:bCs/>
      <w:color w:val="808080"/>
      <w:sz w:val="22"/>
      <w:lang w:val="fr-FR" w:eastAsia="fr-FR"/>
    </w:rPr>
  </w:style>
  <w:style w:type="paragraph" w:styleId="Nagwek6">
    <w:name w:val="heading 6"/>
    <w:basedOn w:val="Normalny"/>
    <w:next w:val="Normalny"/>
    <w:link w:val="Nagwek6Znak"/>
    <w:qFormat/>
    <w:rsid w:val="004D2070"/>
    <w:pPr>
      <w:numPr>
        <w:ilvl w:val="5"/>
        <w:numId w:val="4"/>
      </w:num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qFormat/>
    <w:rsid w:val="004D2070"/>
    <w:pPr>
      <w:numPr>
        <w:ilvl w:val="6"/>
        <w:numId w:val="4"/>
      </w:numPr>
      <w:outlineLvl w:val="6"/>
    </w:pPr>
    <w:rPr>
      <w:rFonts w:asciiTheme="majorHAnsi" w:eastAsiaTheme="majorEastAsia" w:hAnsiTheme="majorHAnsi" w:cstheme="majorBidi"/>
      <w:i/>
      <w:iCs/>
      <w:sz w:val="22"/>
      <w:lang w:val="fr-FR" w:eastAsia="fr-FR" w:bidi="en-US"/>
    </w:rPr>
  </w:style>
  <w:style w:type="paragraph" w:styleId="Nagwek8">
    <w:name w:val="heading 8"/>
    <w:basedOn w:val="Normalny"/>
    <w:next w:val="Normalny"/>
    <w:link w:val="Nagwek8Znak"/>
    <w:qFormat/>
    <w:rsid w:val="004D2070"/>
    <w:pPr>
      <w:numPr>
        <w:ilvl w:val="7"/>
        <w:numId w:val="4"/>
      </w:numPr>
      <w:outlineLvl w:val="7"/>
    </w:pPr>
    <w:rPr>
      <w:rFonts w:asciiTheme="majorHAnsi" w:eastAsiaTheme="majorEastAsia" w:hAnsiTheme="majorHAnsi" w:cstheme="majorBidi"/>
      <w:sz w:val="20"/>
      <w:szCs w:val="20"/>
      <w:lang w:val="fr-FR" w:eastAsia="fr-FR" w:bidi="en-US"/>
    </w:rPr>
  </w:style>
  <w:style w:type="paragraph" w:styleId="Nagwek9">
    <w:name w:val="heading 9"/>
    <w:basedOn w:val="Normalny"/>
    <w:next w:val="Normalny"/>
    <w:link w:val="Nagwek9Znak"/>
    <w:qFormat/>
    <w:rsid w:val="004D2070"/>
    <w:pPr>
      <w:numPr>
        <w:ilvl w:val="8"/>
        <w:numId w:val="4"/>
      </w:numPr>
      <w:outlineLvl w:val="8"/>
    </w:pPr>
    <w:rPr>
      <w:rFonts w:asciiTheme="majorHAnsi" w:eastAsiaTheme="majorEastAsia" w:hAnsiTheme="majorHAnsi" w:cstheme="majorBidi"/>
      <w:i/>
      <w:iCs/>
      <w:spacing w:val="5"/>
      <w:sz w:val="20"/>
      <w:szCs w:val="20"/>
      <w:lang w:val="fr-FR" w:eastAsia="fr-FR"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4D2070"/>
    <w:rPr>
      <w:rFonts w:asciiTheme="majorHAnsi" w:eastAsiaTheme="majorEastAsia" w:hAnsiTheme="majorHAnsi" w:cstheme="majorBidi"/>
      <w:b/>
      <w:bCs/>
      <w:color w:val="333333"/>
      <w:sz w:val="28"/>
      <w:szCs w:val="28"/>
      <w:lang w:val="en-US"/>
    </w:rPr>
  </w:style>
  <w:style w:type="character" w:customStyle="1" w:styleId="Nagwek2Znak">
    <w:name w:val="Nagłówek 2 Znak"/>
    <w:basedOn w:val="Domylnaczcionkaakapitu"/>
    <w:link w:val="Nagwek2"/>
    <w:rsid w:val="004D2070"/>
    <w:rPr>
      <w:rFonts w:asciiTheme="majorHAnsi" w:eastAsiaTheme="majorEastAsia" w:hAnsiTheme="majorHAnsi" w:cstheme="majorBidi"/>
      <w:b/>
      <w:bCs/>
      <w:color w:val="4D4D4D"/>
      <w:sz w:val="26"/>
      <w:szCs w:val="26"/>
      <w:lang w:val="en-US"/>
    </w:rPr>
  </w:style>
  <w:style w:type="character" w:customStyle="1" w:styleId="Nagwek3Znak">
    <w:name w:val="Nagłówek 3 Znak"/>
    <w:basedOn w:val="Domylnaczcionkaakapitu"/>
    <w:link w:val="Nagwek3"/>
    <w:rsid w:val="004D2070"/>
    <w:rPr>
      <w:rFonts w:asciiTheme="majorHAnsi" w:eastAsiaTheme="majorEastAsia" w:hAnsiTheme="majorHAnsi" w:cstheme="majorBidi"/>
      <w:b/>
      <w:bCs/>
      <w:color w:val="5F5F5F"/>
      <w:sz w:val="24"/>
      <w:lang w:val="en-US"/>
    </w:rPr>
  </w:style>
  <w:style w:type="character" w:customStyle="1" w:styleId="Nagwek4Znak">
    <w:name w:val="Nagłówek 4 Znak"/>
    <w:basedOn w:val="Domylnaczcionkaakapitu"/>
    <w:link w:val="Nagwek4"/>
    <w:rsid w:val="004D2070"/>
    <w:rPr>
      <w:rFonts w:asciiTheme="majorHAnsi" w:eastAsiaTheme="majorEastAsia" w:hAnsiTheme="majorHAnsi" w:cstheme="majorBidi"/>
      <w:b/>
      <w:bCs/>
      <w:i/>
      <w:iCs/>
      <w:color w:val="777777"/>
      <w:sz w:val="24"/>
      <w:lang w:val="en-US"/>
    </w:rPr>
  </w:style>
  <w:style w:type="character" w:customStyle="1" w:styleId="Nagwek5Znak">
    <w:name w:val="Nagłówek 5 Znak"/>
    <w:basedOn w:val="Domylnaczcionkaakapitu"/>
    <w:link w:val="Nagwek5"/>
    <w:rsid w:val="004D2070"/>
    <w:rPr>
      <w:rFonts w:asciiTheme="majorHAnsi" w:eastAsiaTheme="majorEastAsia" w:hAnsiTheme="majorHAnsi" w:cstheme="majorBidi"/>
      <w:b/>
      <w:bCs/>
      <w:color w:val="808080"/>
      <w:lang w:val="fr-FR" w:eastAsia="fr-FR"/>
    </w:rPr>
  </w:style>
  <w:style w:type="character" w:customStyle="1" w:styleId="Nagwek6Znak">
    <w:name w:val="Nagłówek 6 Znak"/>
    <w:basedOn w:val="Domylnaczcionkaakapitu"/>
    <w:link w:val="Nagwek6"/>
    <w:rsid w:val="004D2070"/>
    <w:rPr>
      <w:rFonts w:asciiTheme="majorHAnsi" w:eastAsiaTheme="majorEastAsia" w:hAnsiTheme="majorHAnsi" w:cstheme="majorBidi"/>
      <w:b/>
      <w:bCs/>
      <w:i/>
      <w:iCs/>
      <w:color w:val="7F7F7F" w:themeColor="text1" w:themeTint="80"/>
      <w:sz w:val="24"/>
      <w:lang w:val="en-US" w:bidi="en-US"/>
    </w:rPr>
  </w:style>
  <w:style w:type="character" w:customStyle="1" w:styleId="Nagwek7Znak">
    <w:name w:val="Nagłówek 7 Znak"/>
    <w:basedOn w:val="Domylnaczcionkaakapitu"/>
    <w:link w:val="Nagwek7"/>
    <w:rsid w:val="004D2070"/>
    <w:rPr>
      <w:rFonts w:asciiTheme="majorHAnsi" w:eastAsiaTheme="majorEastAsia" w:hAnsiTheme="majorHAnsi" w:cstheme="majorBidi"/>
      <w:i/>
      <w:iCs/>
      <w:lang w:val="fr-FR" w:eastAsia="fr-FR" w:bidi="en-US"/>
    </w:rPr>
  </w:style>
  <w:style w:type="character" w:customStyle="1" w:styleId="Nagwek8Znak">
    <w:name w:val="Nagłówek 8 Znak"/>
    <w:basedOn w:val="Domylnaczcionkaakapitu"/>
    <w:link w:val="Nagwek8"/>
    <w:rsid w:val="004D2070"/>
    <w:rPr>
      <w:rFonts w:asciiTheme="majorHAnsi" w:eastAsiaTheme="majorEastAsia" w:hAnsiTheme="majorHAnsi" w:cstheme="majorBidi"/>
      <w:sz w:val="20"/>
      <w:szCs w:val="20"/>
      <w:lang w:val="fr-FR" w:eastAsia="fr-FR" w:bidi="en-US"/>
    </w:rPr>
  </w:style>
  <w:style w:type="character" w:customStyle="1" w:styleId="Nagwek9Znak">
    <w:name w:val="Nagłówek 9 Znak"/>
    <w:basedOn w:val="Domylnaczcionkaakapitu"/>
    <w:link w:val="Nagwek9"/>
    <w:rsid w:val="004D2070"/>
    <w:rPr>
      <w:rFonts w:asciiTheme="majorHAnsi" w:eastAsiaTheme="majorEastAsia" w:hAnsiTheme="majorHAnsi" w:cstheme="majorBidi"/>
      <w:i/>
      <w:iCs/>
      <w:spacing w:val="5"/>
      <w:sz w:val="20"/>
      <w:szCs w:val="20"/>
      <w:lang w:val="fr-FR" w:eastAsia="fr-FR" w:bidi="en-US"/>
    </w:rPr>
  </w:style>
  <w:style w:type="paragraph" w:customStyle="1" w:styleId="ECHRHeading1">
    <w:name w:val="ECHR_Heading_1"/>
    <w:aliases w:val="Ju_H_I_Roman"/>
    <w:basedOn w:val="Nagwek1"/>
    <w:next w:val="ECHRPara"/>
    <w:qFormat/>
    <w:rsid w:val="004D2070"/>
  </w:style>
  <w:style w:type="paragraph" w:customStyle="1" w:styleId="ECHRTitle1">
    <w:name w:val="ECHR_Title_1"/>
    <w:aliases w:val="Ju_H_Head"/>
    <w:basedOn w:val="Normalny"/>
    <w:next w:val="ECHRPara"/>
    <w:qFormat/>
    <w:rsid w:val="004D2070"/>
    <w:pPr>
      <w:keepNext/>
      <w:keepLines/>
      <w:spacing w:before="720" w:after="240"/>
      <w:outlineLvl w:val="0"/>
    </w:pPr>
    <w:rPr>
      <w:rFonts w:asciiTheme="majorHAnsi" w:hAnsiTheme="majorHAnsi"/>
      <w:sz w:val="28"/>
      <w:lang w:val="fr-FR" w:eastAsia="fr-FR"/>
    </w:rPr>
  </w:style>
  <w:style w:type="paragraph" w:customStyle="1" w:styleId="ECHRPara">
    <w:name w:val="ECHR_Para"/>
    <w:aliases w:val="Ju_Para,Left,First line:  0 cm,Para"/>
    <w:basedOn w:val="Normalny"/>
    <w:link w:val="JuParaChar"/>
    <w:uiPriority w:val="1"/>
    <w:qFormat/>
    <w:rsid w:val="004D2070"/>
    <w:pPr>
      <w:ind w:firstLine="284"/>
    </w:pPr>
    <w:rPr>
      <w:lang w:val="fr-FR" w:eastAsia="fr-FR"/>
    </w:rPr>
  </w:style>
  <w:style w:type="character" w:customStyle="1" w:styleId="JuParaChar">
    <w:name w:val="Ju_Para Char"/>
    <w:link w:val="ECHRPara"/>
    <w:uiPriority w:val="1"/>
    <w:rsid w:val="004D2070"/>
    <w:rPr>
      <w:rFonts w:eastAsiaTheme="minorEastAsia"/>
      <w:sz w:val="24"/>
      <w:lang w:val="fr-FR" w:eastAsia="fr-FR"/>
    </w:rPr>
  </w:style>
  <w:style w:type="paragraph" w:styleId="Stopka">
    <w:name w:val="footer"/>
    <w:basedOn w:val="Normalny"/>
    <w:link w:val="StopkaZnak"/>
    <w:rsid w:val="004D2070"/>
    <w:pPr>
      <w:tabs>
        <w:tab w:val="center" w:pos="4536"/>
        <w:tab w:val="right" w:pos="9696"/>
      </w:tabs>
      <w:ind w:left="-680" w:right="-680"/>
    </w:pPr>
    <w:rPr>
      <w:rFonts w:eastAsiaTheme="minorHAnsi"/>
    </w:rPr>
  </w:style>
  <w:style w:type="character" w:customStyle="1" w:styleId="StopkaZnak">
    <w:name w:val="Stopka Znak"/>
    <w:basedOn w:val="Domylnaczcionkaakapitu"/>
    <w:link w:val="Stopka"/>
    <w:rsid w:val="004D2070"/>
    <w:rPr>
      <w:sz w:val="24"/>
      <w:lang w:val="en-US"/>
    </w:rPr>
  </w:style>
  <w:style w:type="paragraph" w:customStyle="1" w:styleId="ECHRDecisionBody">
    <w:name w:val="ECHR_Decision_Body"/>
    <w:aliases w:val="Ju_Judges"/>
    <w:basedOn w:val="Normalny"/>
    <w:link w:val="JuJudgesChar"/>
    <w:qFormat/>
    <w:rsid w:val="004D2070"/>
    <w:pPr>
      <w:tabs>
        <w:tab w:val="left" w:pos="567"/>
        <w:tab w:val="left" w:pos="1134"/>
      </w:tabs>
      <w:jc w:val="left"/>
    </w:pPr>
    <w:rPr>
      <w:lang w:val="fr-FR" w:eastAsia="fr-FR"/>
    </w:rPr>
  </w:style>
  <w:style w:type="character" w:customStyle="1" w:styleId="JuJudgesChar">
    <w:name w:val="Ju_Judges Char"/>
    <w:link w:val="ECHRDecisionBody"/>
    <w:locked/>
    <w:rsid w:val="004D2070"/>
    <w:rPr>
      <w:rFonts w:eastAsiaTheme="minorEastAsia"/>
      <w:sz w:val="24"/>
      <w:lang w:val="fr-FR" w:eastAsia="fr-FR"/>
    </w:rPr>
  </w:style>
  <w:style w:type="paragraph" w:customStyle="1" w:styleId="ECHRHeading2">
    <w:name w:val="ECHR_Heading_2"/>
    <w:aliases w:val="Ju_H_A"/>
    <w:basedOn w:val="Nagwek2"/>
    <w:next w:val="ECHRPara"/>
    <w:qFormat/>
    <w:rsid w:val="004D2070"/>
  </w:style>
  <w:style w:type="paragraph" w:customStyle="1" w:styleId="ECHRParaQuote">
    <w:name w:val="ECHR_Para_Quote"/>
    <w:aliases w:val="Ju_Quot"/>
    <w:basedOn w:val="Normalny"/>
    <w:qFormat/>
    <w:rsid w:val="004D2070"/>
    <w:pPr>
      <w:spacing w:before="120" w:after="120"/>
      <w:ind w:left="425" w:firstLine="142"/>
    </w:pPr>
    <w:rPr>
      <w:sz w:val="20"/>
      <w:lang w:val="fr-FR" w:eastAsia="fr-FR"/>
    </w:rPr>
  </w:style>
  <w:style w:type="paragraph" w:customStyle="1" w:styleId="JuSigned">
    <w:name w:val="Ju_Signed"/>
    <w:basedOn w:val="Normalny"/>
    <w:next w:val="JuParaLast"/>
    <w:link w:val="JuSignedChar"/>
    <w:qFormat/>
    <w:rsid w:val="004D2070"/>
    <w:pPr>
      <w:tabs>
        <w:tab w:val="center" w:pos="851"/>
        <w:tab w:val="center" w:pos="6407"/>
      </w:tabs>
      <w:spacing w:before="720"/>
      <w:jc w:val="left"/>
    </w:pPr>
    <w:rPr>
      <w:lang w:val="fr-FR" w:eastAsia="fr-FR"/>
    </w:rPr>
  </w:style>
  <w:style w:type="paragraph" w:customStyle="1" w:styleId="JuParaLast">
    <w:name w:val="Ju_Para_Last"/>
    <w:basedOn w:val="Normalny"/>
    <w:next w:val="ECHRPara"/>
    <w:qFormat/>
    <w:rsid w:val="004D2070"/>
    <w:pPr>
      <w:keepNext/>
      <w:keepLines/>
      <w:spacing w:before="240"/>
      <w:ind w:firstLine="284"/>
    </w:pPr>
    <w:rPr>
      <w:lang w:val="fr-FR" w:eastAsia="fr-FR"/>
    </w:rPr>
  </w:style>
  <w:style w:type="character" w:customStyle="1" w:styleId="JuSignedChar">
    <w:name w:val="Ju_Signed Char"/>
    <w:link w:val="JuSigned"/>
    <w:rsid w:val="004D2070"/>
    <w:rPr>
      <w:rFonts w:eastAsiaTheme="minorEastAsia"/>
      <w:sz w:val="24"/>
      <w:lang w:val="fr-FR" w:eastAsia="fr-FR"/>
    </w:rPr>
  </w:style>
  <w:style w:type="paragraph" w:customStyle="1" w:styleId="JuCase">
    <w:name w:val="Ju_Case"/>
    <w:basedOn w:val="Normalny"/>
    <w:next w:val="ECHRPara"/>
    <w:link w:val="JuCaseChar"/>
    <w:rsid w:val="004D2070"/>
    <w:pPr>
      <w:ind w:firstLine="284"/>
    </w:pPr>
    <w:rPr>
      <w:b/>
    </w:rPr>
  </w:style>
  <w:style w:type="character" w:customStyle="1" w:styleId="JuCaseChar">
    <w:name w:val="Ju_Case Char"/>
    <w:link w:val="JuCase"/>
    <w:rsid w:val="004D2070"/>
    <w:rPr>
      <w:rFonts w:eastAsiaTheme="minorEastAsia"/>
      <w:b/>
      <w:sz w:val="24"/>
      <w:lang w:val="en-US"/>
    </w:rPr>
  </w:style>
  <w:style w:type="paragraph" w:customStyle="1" w:styleId="JuList">
    <w:name w:val="Ju_List"/>
    <w:basedOn w:val="Normalny"/>
    <w:link w:val="JuListChar"/>
    <w:qFormat/>
    <w:rsid w:val="004D2070"/>
    <w:pPr>
      <w:ind w:left="340" w:hanging="340"/>
    </w:pPr>
    <w:rPr>
      <w:lang w:val="fr-FR" w:eastAsia="fr-FR"/>
    </w:rPr>
  </w:style>
  <w:style w:type="character" w:customStyle="1" w:styleId="JuListChar">
    <w:name w:val="Ju_List Char"/>
    <w:link w:val="JuList"/>
    <w:rsid w:val="004D2070"/>
    <w:rPr>
      <w:rFonts w:eastAsiaTheme="minorEastAsia"/>
      <w:sz w:val="24"/>
      <w:lang w:val="fr-FR" w:eastAsia="fr-FR"/>
    </w:rPr>
  </w:style>
  <w:style w:type="paragraph" w:customStyle="1" w:styleId="JuCourt">
    <w:name w:val="Ju_Court"/>
    <w:basedOn w:val="Normalny"/>
    <w:next w:val="Normalny"/>
    <w:qFormat/>
    <w:rsid w:val="004D2070"/>
    <w:pPr>
      <w:tabs>
        <w:tab w:val="left" w:pos="907"/>
        <w:tab w:val="left" w:pos="1701"/>
        <w:tab w:val="right" w:pos="7371"/>
      </w:tabs>
      <w:spacing w:before="240"/>
      <w:ind w:left="397" w:hanging="397"/>
      <w:jc w:val="left"/>
    </w:pPr>
    <w:rPr>
      <w:lang w:val="fr-FR" w:eastAsia="fr-FR" w:bidi="en-US"/>
    </w:rPr>
  </w:style>
  <w:style w:type="paragraph" w:styleId="Tekstprzypisudolnego">
    <w:name w:val="footnote text"/>
    <w:basedOn w:val="Normalny"/>
    <w:link w:val="TekstprzypisudolnegoZnak"/>
    <w:semiHidden/>
    <w:rsid w:val="004D2070"/>
    <w:rPr>
      <w:sz w:val="20"/>
      <w:szCs w:val="20"/>
    </w:rPr>
  </w:style>
  <w:style w:type="character" w:customStyle="1" w:styleId="TekstprzypisudolnegoZnak">
    <w:name w:val="Tekst przypisu dolnego Znak"/>
    <w:basedOn w:val="Domylnaczcionkaakapitu"/>
    <w:link w:val="Tekstprzypisudolnego"/>
    <w:semiHidden/>
    <w:rsid w:val="004D2070"/>
    <w:rPr>
      <w:rFonts w:eastAsiaTheme="minorEastAsia"/>
      <w:sz w:val="20"/>
      <w:szCs w:val="20"/>
      <w:lang w:val="en-US"/>
    </w:rPr>
  </w:style>
  <w:style w:type="character" w:styleId="Odwoanieprzypisudolnego">
    <w:name w:val="footnote reference"/>
    <w:basedOn w:val="Domylnaczcionkaakapitu"/>
    <w:uiPriority w:val="99"/>
    <w:semiHidden/>
    <w:rsid w:val="004D2070"/>
    <w:rPr>
      <w:vertAlign w:val="superscript"/>
    </w:rPr>
  </w:style>
  <w:style w:type="paragraph" w:styleId="Nagwek">
    <w:name w:val="header"/>
    <w:basedOn w:val="Normalny"/>
    <w:link w:val="NagwekZnak"/>
    <w:rsid w:val="004D2070"/>
    <w:pPr>
      <w:tabs>
        <w:tab w:val="center" w:pos="4536"/>
        <w:tab w:val="right" w:pos="9072"/>
      </w:tabs>
    </w:pPr>
    <w:rPr>
      <w:rFonts w:eastAsiaTheme="minorHAnsi"/>
    </w:rPr>
  </w:style>
  <w:style w:type="character" w:customStyle="1" w:styleId="NagwekZnak">
    <w:name w:val="Nagłówek Znak"/>
    <w:basedOn w:val="Domylnaczcionkaakapitu"/>
    <w:link w:val="Nagwek"/>
    <w:rsid w:val="004D2070"/>
    <w:rPr>
      <w:sz w:val="24"/>
      <w:lang w:val="en-US"/>
    </w:rPr>
  </w:style>
  <w:style w:type="character" w:styleId="Numerstrony">
    <w:name w:val="page number"/>
    <w:rsid w:val="004D2070"/>
    <w:rPr>
      <w:sz w:val="18"/>
    </w:rPr>
  </w:style>
  <w:style w:type="paragraph" w:customStyle="1" w:styleId="JuLista">
    <w:name w:val="Ju_List_a"/>
    <w:basedOn w:val="JuList"/>
    <w:qFormat/>
    <w:rsid w:val="004D2070"/>
    <w:pPr>
      <w:ind w:left="346" w:firstLine="0"/>
    </w:pPr>
  </w:style>
  <w:style w:type="paragraph" w:customStyle="1" w:styleId="JuListi">
    <w:name w:val="Ju_List_i"/>
    <w:basedOn w:val="Normalny"/>
    <w:next w:val="JuLista"/>
    <w:qFormat/>
    <w:rsid w:val="004D2070"/>
    <w:pPr>
      <w:ind w:left="794"/>
    </w:pPr>
    <w:rPr>
      <w:lang w:val="fr-FR" w:eastAsia="fr-FR"/>
    </w:rPr>
  </w:style>
  <w:style w:type="character" w:styleId="Odwoaniedokomentarza">
    <w:name w:val="annotation reference"/>
    <w:semiHidden/>
    <w:rsid w:val="004D2070"/>
    <w:rPr>
      <w:sz w:val="16"/>
    </w:rPr>
  </w:style>
  <w:style w:type="paragraph" w:styleId="Tekstkomentarza">
    <w:name w:val="annotation text"/>
    <w:basedOn w:val="Normalny"/>
    <w:link w:val="TekstkomentarzaZnak"/>
    <w:semiHidden/>
    <w:rsid w:val="004D2070"/>
    <w:rPr>
      <w:sz w:val="20"/>
    </w:rPr>
  </w:style>
  <w:style w:type="character" w:customStyle="1" w:styleId="TekstkomentarzaZnak">
    <w:name w:val="Tekst komentarza Znak"/>
    <w:basedOn w:val="Domylnaczcionkaakapitu"/>
    <w:link w:val="Tekstkomentarza"/>
    <w:semiHidden/>
    <w:rsid w:val="004D2070"/>
    <w:rPr>
      <w:rFonts w:eastAsiaTheme="minorEastAsia"/>
      <w:sz w:val="20"/>
      <w:lang w:val="en-US"/>
    </w:rPr>
  </w:style>
  <w:style w:type="paragraph" w:styleId="Tekstdymka">
    <w:name w:val="Balloon Text"/>
    <w:basedOn w:val="Normalny"/>
    <w:link w:val="TekstdymkaZnak"/>
    <w:semiHidden/>
    <w:rsid w:val="004D2070"/>
    <w:rPr>
      <w:rFonts w:ascii="Tahoma" w:hAnsi="Tahoma" w:cs="Tahoma"/>
      <w:sz w:val="16"/>
      <w:szCs w:val="16"/>
    </w:rPr>
  </w:style>
  <w:style w:type="character" w:customStyle="1" w:styleId="TekstdymkaZnak">
    <w:name w:val="Tekst dymka Znak"/>
    <w:basedOn w:val="Domylnaczcionkaakapitu"/>
    <w:link w:val="Tekstdymka"/>
    <w:semiHidden/>
    <w:rsid w:val="004D2070"/>
    <w:rPr>
      <w:rFonts w:ascii="Tahoma" w:eastAsiaTheme="minorEastAsia" w:hAnsi="Tahoma" w:cs="Tahoma"/>
      <w:sz w:val="16"/>
      <w:szCs w:val="16"/>
      <w:lang w:val="en-US"/>
    </w:rPr>
  </w:style>
  <w:style w:type="paragraph" w:styleId="Tematkomentarza">
    <w:name w:val="annotation subject"/>
    <w:basedOn w:val="Tekstkomentarza"/>
    <w:next w:val="Tekstkomentarza"/>
    <w:link w:val="TematkomentarzaZnak"/>
    <w:semiHidden/>
    <w:rsid w:val="004D2070"/>
    <w:rPr>
      <w:b/>
      <w:bCs/>
    </w:rPr>
  </w:style>
  <w:style w:type="character" w:customStyle="1" w:styleId="TematkomentarzaZnak">
    <w:name w:val="Temat komentarza Znak"/>
    <w:basedOn w:val="TekstkomentarzaZnak"/>
    <w:link w:val="Tematkomentarza"/>
    <w:semiHidden/>
    <w:rsid w:val="004D2070"/>
    <w:rPr>
      <w:rFonts w:eastAsiaTheme="minorEastAsia"/>
      <w:b/>
      <w:bCs/>
      <w:sz w:val="20"/>
      <w:lang w:val="en-US"/>
    </w:rPr>
  </w:style>
  <w:style w:type="character" w:styleId="Odwoanieprzypisukocowego">
    <w:name w:val="endnote reference"/>
    <w:semiHidden/>
    <w:rsid w:val="004D2070"/>
    <w:rPr>
      <w:vertAlign w:val="superscript"/>
    </w:rPr>
  </w:style>
  <w:style w:type="paragraph" w:styleId="Tekstprzypisukocowego">
    <w:name w:val="endnote text"/>
    <w:basedOn w:val="Normalny"/>
    <w:link w:val="TekstprzypisukocowegoZnak"/>
    <w:semiHidden/>
    <w:rsid w:val="004D2070"/>
    <w:rPr>
      <w:sz w:val="20"/>
    </w:rPr>
  </w:style>
  <w:style w:type="character" w:customStyle="1" w:styleId="TekstprzypisukocowegoZnak">
    <w:name w:val="Tekst przypisu końcowego Znak"/>
    <w:basedOn w:val="Domylnaczcionkaakapitu"/>
    <w:link w:val="Tekstprzypisukocowego"/>
    <w:semiHidden/>
    <w:rsid w:val="004D2070"/>
    <w:rPr>
      <w:rFonts w:eastAsiaTheme="minorEastAsia"/>
      <w:sz w:val="20"/>
      <w:lang w:val="en-US"/>
    </w:rPr>
  </w:style>
  <w:style w:type="character" w:styleId="UyteHipercze">
    <w:name w:val="FollowedHyperlink"/>
    <w:rsid w:val="004D2070"/>
    <w:rPr>
      <w:color w:val="800080"/>
      <w:u w:val="single"/>
    </w:rPr>
  </w:style>
  <w:style w:type="character" w:styleId="Hipercze">
    <w:name w:val="Hyperlink"/>
    <w:basedOn w:val="Domylnaczcionkaakapitu"/>
    <w:rsid w:val="004D2070"/>
    <w:rPr>
      <w:color w:val="0000FF" w:themeColor="hyperlink"/>
      <w:u w:val="single"/>
    </w:rPr>
  </w:style>
  <w:style w:type="character" w:styleId="Pogrubienie">
    <w:name w:val="Strong"/>
    <w:qFormat/>
    <w:rsid w:val="004D2070"/>
    <w:rPr>
      <w:b/>
      <w:bCs/>
    </w:rPr>
  </w:style>
  <w:style w:type="paragraph" w:styleId="Mapadokumentu">
    <w:name w:val="Document Map"/>
    <w:basedOn w:val="Normalny"/>
    <w:link w:val="MapadokumentuZnak"/>
    <w:semiHidden/>
    <w:rsid w:val="004D2070"/>
    <w:pPr>
      <w:shd w:val="clear" w:color="auto" w:fill="000080"/>
    </w:pPr>
    <w:rPr>
      <w:rFonts w:ascii="Tahoma" w:hAnsi="Tahoma" w:cs="Tahoma"/>
      <w:sz w:val="20"/>
    </w:rPr>
  </w:style>
  <w:style w:type="character" w:customStyle="1" w:styleId="MapadokumentuZnak">
    <w:name w:val="Mapa dokumentu Znak"/>
    <w:basedOn w:val="Domylnaczcionkaakapitu"/>
    <w:link w:val="Mapadokumentu"/>
    <w:semiHidden/>
    <w:rsid w:val="004D2070"/>
    <w:rPr>
      <w:rFonts w:ascii="Tahoma" w:eastAsiaTheme="minorEastAsia" w:hAnsi="Tahoma" w:cs="Tahoma"/>
      <w:sz w:val="20"/>
      <w:shd w:val="clear" w:color="auto" w:fill="000080"/>
      <w:lang w:val="en-US"/>
    </w:rPr>
  </w:style>
  <w:style w:type="character" w:customStyle="1" w:styleId="JuNames">
    <w:name w:val="Ju_Names"/>
    <w:rsid w:val="004D2070"/>
    <w:rPr>
      <w:smallCaps/>
    </w:rPr>
  </w:style>
  <w:style w:type="paragraph" w:styleId="Listapunktowana">
    <w:name w:val="List Bullet"/>
    <w:basedOn w:val="Normalny"/>
    <w:rsid w:val="004D2070"/>
    <w:pPr>
      <w:numPr>
        <w:numId w:val="1"/>
      </w:numPr>
    </w:pPr>
  </w:style>
  <w:style w:type="character" w:customStyle="1" w:styleId="JuITMark">
    <w:name w:val="Ju_ITMark"/>
    <w:basedOn w:val="Domylnaczcionkaakapitu"/>
    <w:qFormat/>
    <w:rsid w:val="004D2070"/>
    <w:rPr>
      <w:vanish/>
      <w:color w:val="339966"/>
      <w:sz w:val="14"/>
    </w:rPr>
  </w:style>
  <w:style w:type="paragraph" w:customStyle="1" w:styleId="ECHRFooter">
    <w:name w:val="ECHR_Footer"/>
    <w:aliases w:val="Footer_ECHR"/>
    <w:basedOn w:val="Stopka"/>
    <w:uiPriority w:val="57"/>
    <w:semiHidden/>
    <w:rsid w:val="004D2070"/>
  </w:style>
  <w:style w:type="paragraph" w:customStyle="1" w:styleId="ECHRFooterLine">
    <w:name w:val="ECHR_Footer_Line"/>
    <w:aliases w:val="Footer_Line"/>
    <w:basedOn w:val="Normalny"/>
    <w:next w:val="ECHRFooter"/>
    <w:uiPriority w:val="57"/>
    <w:semiHidden/>
    <w:rsid w:val="004D2070"/>
    <w:pPr>
      <w:pBdr>
        <w:top w:val="single" w:sz="6" w:space="1" w:color="5F5F5F"/>
      </w:pBdr>
      <w:tabs>
        <w:tab w:val="center" w:pos="4536"/>
        <w:tab w:val="right" w:pos="9696"/>
      </w:tabs>
      <w:ind w:left="-680" w:right="-680"/>
      <w:jc w:val="left"/>
    </w:pPr>
    <w:rPr>
      <w:color w:val="5F5F5F"/>
    </w:rPr>
  </w:style>
  <w:style w:type="paragraph" w:customStyle="1" w:styleId="ECHRHeader">
    <w:name w:val="ECHR_Header"/>
    <w:aliases w:val="Ju_Header"/>
    <w:basedOn w:val="Nagwek"/>
    <w:qFormat/>
    <w:rsid w:val="004D2070"/>
    <w:pPr>
      <w:tabs>
        <w:tab w:val="clear" w:pos="4536"/>
        <w:tab w:val="clear" w:pos="9072"/>
        <w:tab w:val="center" w:pos="3686"/>
        <w:tab w:val="right" w:pos="7371"/>
      </w:tabs>
      <w:jc w:val="left"/>
    </w:pPr>
    <w:rPr>
      <w:sz w:val="18"/>
      <w:lang w:val="fr-FR" w:eastAsia="fr-FR"/>
    </w:rPr>
  </w:style>
  <w:style w:type="paragraph" w:customStyle="1" w:styleId="JuAppQuestion">
    <w:name w:val="Ju_App_Question"/>
    <w:basedOn w:val="Normalny"/>
    <w:rsid w:val="004D2070"/>
    <w:pPr>
      <w:numPr>
        <w:numId w:val="14"/>
      </w:numPr>
      <w:jc w:val="left"/>
    </w:pPr>
    <w:rPr>
      <w:b/>
    </w:rPr>
  </w:style>
  <w:style w:type="paragraph" w:customStyle="1" w:styleId="OpiPara">
    <w:name w:val="Opi_Para"/>
    <w:basedOn w:val="ECHRPara"/>
    <w:qFormat/>
    <w:rsid w:val="004D2070"/>
  </w:style>
  <w:style w:type="paragraph" w:customStyle="1" w:styleId="JuParaSub">
    <w:name w:val="Ju_Para_Sub"/>
    <w:basedOn w:val="ECHRPara"/>
    <w:qFormat/>
    <w:rsid w:val="004D2070"/>
  </w:style>
  <w:style w:type="paragraph" w:customStyle="1" w:styleId="OpiParaSub">
    <w:name w:val="Opi_Para_Sub"/>
    <w:basedOn w:val="JuParaSub"/>
    <w:qFormat/>
    <w:rsid w:val="004D2070"/>
    <w:pPr>
      <w:ind w:left="284"/>
    </w:pPr>
  </w:style>
  <w:style w:type="paragraph" w:customStyle="1" w:styleId="OpiQuot">
    <w:name w:val="Opi_Quot"/>
    <w:basedOn w:val="ECHRParaQuote"/>
    <w:qFormat/>
    <w:rsid w:val="004D2070"/>
  </w:style>
  <w:style w:type="paragraph" w:customStyle="1" w:styleId="OpiQuotSub">
    <w:name w:val="Opi_Quot_Sub"/>
    <w:basedOn w:val="JuQuotSub"/>
    <w:qFormat/>
    <w:rsid w:val="004D2070"/>
  </w:style>
  <w:style w:type="paragraph" w:customStyle="1" w:styleId="ECHRTitleCentre3">
    <w:name w:val="ECHR_Title_Centre_3"/>
    <w:aliases w:val="Ju_H_Article"/>
    <w:basedOn w:val="Normalny"/>
    <w:next w:val="ECHRParaQuote"/>
    <w:qFormat/>
    <w:rsid w:val="004D2070"/>
    <w:pPr>
      <w:keepNext/>
      <w:keepLines/>
      <w:spacing w:before="240" w:after="120"/>
      <w:jc w:val="center"/>
      <w:outlineLvl w:val="3"/>
    </w:pPr>
    <w:rPr>
      <w:rFonts w:asciiTheme="majorHAnsi" w:hAnsiTheme="majorHAnsi"/>
      <w:b/>
      <w:sz w:val="20"/>
      <w:lang w:val="fr-FR" w:eastAsia="fr-FR" w:bidi="en-US"/>
    </w:rPr>
  </w:style>
  <w:style w:type="paragraph" w:customStyle="1" w:styleId="ECHRTitleCentre2">
    <w:name w:val="ECHR_Title_Centre_2"/>
    <w:aliases w:val="Dec_H_Case"/>
    <w:basedOn w:val="Normalny"/>
    <w:next w:val="ECHRPara"/>
    <w:rsid w:val="004D2070"/>
    <w:pPr>
      <w:spacing w:after="240"/>
      <w:jc w:val="center"/>
      <w:outlineLvl w:val="0"/>
    </w:pPr>
    <w:rPr>
      <w:rFonts w:asciiTheme="majorHAnsi" w:hAnsiTheme="majorHAnsi"/>
      <w:i/>
    </w:rPr>
  </w:style>
  <w:style w:type="paragraph" w:customStyle="1" w:styleId="JuTitle">
    <w:name w:val="Ju_Title"/>
    <w:basedOn w:val="Normalny"/>
    <w:next w:val="ECHRPara"/>
    <w:rsid w:val="004D2070"/>
    <w:pPr>
      <w:spacing w:before="720" w:after="240"/>
      <w:jc w:val="center"/>
      <w:outlineLvl w:val="0"/>
    </w:pPr>
    <w:rPr>
      <w:rFonts w:asciiTheme="majorHAnsi" w:hAnsiTheme="majorHAnsi"/>
      <w:b/>
      <w:caps/>
    </w:rPr>
  </w:style>
  <w:style w:type="paragraph" w:styleId="Tytu">
    <w:name w:val="Title"/>
    <w:basedOn w:val="Normalny"/>
    <w:next w:val="Normalny"/>
    <w:link w:val="TytuZnak"/>
    <w:uiPriority w:val="99"/>
    <w:qFormat/>
    <w:rsid w:val="004D2070"/>
    <w:pPr>
      <w:pBdr>
        <w:bottom w:val="single" w:sz="4" w:space="1" w:color="auto"/>
      </w:pBdr>
      <w:contextualSpacing/>
    </w:pPr>
    <w:rPr>
      <w:rFonts w:asciiTheme="majorHAnsi" w:eastAsiaTheme="majorEastAsia" w:hAnsiTheme="majorHAnsi" w:cstheme="majorBidi"/>
      <w:spacing w:val="5"/>
      <w:sz w:val="52"/>
      <w:szCs w:val="52"/>
      <w:lang w:val="fr-FR" w:eastAsia="fr-FR" w:bidi="en-US"/>
    </w:rPr>
  </w:style>
  <w:style w:type="character" w:customStyle="1" w:styleId="TytuZnak">
    <w:name w:val="Tytuł Znak"/>
    <w:basedOn w:val="Domylnaczcionkaakapitu"/>
    <w:link w:val="Tytu"/>
    <w:uiPriority w:val="99"/>
    <w:rsid w:val="004D2070"/>
    <w:rPr>
      <w:rFonts w:asciiTheme="majorHAnsi" w:eastAsiaTheme="majorEastAsia" w:hAnsiTheme="majorHAnsi" w:cstheme="majorBidi"/>
      <w:spacing w:val="5"/>
      <w:sz w:val="52"/>
      <w:szCs w:val="52"/>
      <w:lang w:val="fr-FR" w:eastAsia="fr-FR" w:bidi="en-US"/>
    </w:rPr>
  </w:style>
  <w:style w:type="paragraph" w:styleId="Podtytu">
    <w:name w:val="Subtitle"/>
    <w:basedOn w:val="Normalny"/>
    <w:next w:val="Normalny"/>
    <w:link w:val="PodtytuZnak"/>
    <w:uiPriority w:val="99"/>
    <w:qFormat/>
    <w:rsid w:val="004D2070"/>
    <w:pPr>
      <w:spacing w:after="600"/>
    </w:pPr>
    <w:rPr>
      <w:rFonts w:asciiTheme="majorHAnsi" w:eastAsiaTheme="majorEastAsia" w:hAnsiTheme="majorHAnsi" w:cstheme="majorBidi"/>
      <w:i/>
      <w:iCs/>
      <w:spacing w:val="13"/>
      <w:szCs w:val="24"/>
      <w:lang w:val="fr-FR" w:eastAsia="fr-FR" w:bidi="en-US"/>
    </w:rPr>
  </w:style>
  <w:style w:type="character" w:customStyle="1" w:styleId="PodtytuZnak">
    <w:name w:val="Podtytuł Znak"/>
    <w:basedOn w:val="Domylnaczcionkaakapitu"/>
    <w:link w:val="Podtytu"/>
    <w:uiPriority w:val="99"/>
    <w:rsid w:val="004D2070"/>
    <w:rPr>
      <w:rFonts w:asciiTheme="majorHAnsi" w:eastAsiaTheme="majorEastAsia" w:hAnsiTheme="majorHAnsi" w:cstheme="majorBidi"/>
      <w:i/>
      <w:iCs/>
      <w:spacing w:val="13"/>
      <w:sz w:val="24"/>
      <w:szCs w:val="24"/>
      <w:lang w:val="fr-FR" w:eastAsia="fr-FR" w:bidi="en-US"/>
    </w:rPr>
  </w:style>
  <w:style w:type="character" w:styleId="Uwydatnienie">
    <w:name w:val="Emphasis"/>
    <w:uiPriority w:val="99"/>
    <w:qFormat/>
    <w:rsid w:val="004D2070"/>
    <w:rPr>
      <w:b/>
      <w:bCs/>
      <w:i/>
      <w:iCs/>
      <w:spacing w:val="10"/>
      <w:bdr w:val="none" w:sz="0" w:space="0" w:color="auto"/>
      <w:shd w:val="clear" w:color="auto" w:fill="auto"/>
    </w:rPr>
  </w:style>
  <w:style w:type="paragraph" w:styleId="Bezodstpw">
    <w:name w:val="No Spacing"/>
    <w:basedOn w:val="Normalny"/>
    <w:link w:val="BezodstpwZnak"/>
    <w:uiPriority w:val="99"/>
    <w:qFormat/>
    <w:rsid w:val="004D2070"/>
    <w:rPr>
      <w:sz w:val="22"/>
      <w:lang w:val="fr-FR" w:eastAsia="fr-FR"/>
    </w:rPr>
  </w:style>
  <w:style w:type="character" w:customStyle="1" w:styleId="BezodstpwZnak">
    <w:name w:val="Bez odstępów Znak"/>
    <w:basedOn w:val="Domylnaczcionkaakapitu"/>
    <w:link w:val="Bezodstpw"/>
    <w:uiPriority w:val="99"/>
    <w:rsid w:val="004D2070"/>
    <w:rPr>
      <w:rFonts w:eastAsiaTheme="minorEastAsia"/>
      <w:lang w:val="fr-FR" w:eastAsia="fr-FR"/>
    </w:rPr>
  </w:style>
  <w:style w:type="paragraph" w:styleId="Akapitzlist">
    <w:name w:val="List Paragraph"/>
    <w:basedOn w:val="Normalny"/>
    <w:uiPriority w:val="99"/>
    <w:qFormat/>
    <w:rsid w:val="004D2070"/>
    <w:pPr>
      <w:ind w:left="720"/>
      <w:contextualSpacing/>
    </w:pPr>
    <w:rPr>
      <w:lang w:val="fr-FR" w:eastAsia="fr-FR"/>
    </w:rPr>
  </w:style>
  <w:style w:type="paragraph" w:styleId="Cytat">
    <w:name w:val="Quote"/>
    <w:basedOn w:val="Normalny"/>
    <w:next w:val="Normalny"/>
    <w:link w:val="CytatZnak"/>
    <w:uiPriority w:val="99"/>
    <w:qFormat/>
    <w:rsid w:val="004D2070"/>
    <w:pPr>
      <w:spacing w:before="200"/>
      <w:ind w:left="360" w:right="360"/>
    </w:pPr>
    <w:rPr>
      <w:i/>
      <w:iCs/>
      <w:sz w:val="22"/>
      <w:lang w:val="fr-FR" w:eastAsia="fr-FR" w:bidi="en-US"/>
    </w:rPr>
  </w:style>
  <w:style w:type="character" w:customStyle="1" w:styleId="CytatZnak">
    <w:name w:val="Cytat Znak"/>
    <w:basedOn w:val="Domylnaczcionkaakapitu"/>
    <w:link w:val="Cytat"/>
    <w:uiPriority w:val="99"/>
    <w:rsid w:val="004D2070"/>
    <w:rPr>
      <w:rFonts w:eastAsiaTheme="minorEastAsia"/>
      <w:i/>
      <w:iCs/>
      <w:lang w:val="fr-FR" w:eastAsia="fr-FR" w:bidi="en-US"/>
    </w:rPr>
  </w:style>
  <w:style w:type="paragraph" w:styleId="Cytatintensywny">
    <w:name w:val="Intense Quote"/>
    <w:basedOn w:val="Normalny"/>
    <w:next w:val="Normalny"/>
    <w:link w:val="CytatintensywnyZnak"/>
    <w:uiPriority w:val="99"/>
    <w:qFormat/>
    <w:rsid w:val="004D2070"/>
    <w:pPr>
      <w:pBdr>
        <w:bottom w:val="single" w:sz="4" w:space="1" w:color="auto"/>
      </w:pBdr>
      <w:spacing w:before="200" w:after="280"/>
      <w:ind w:left="1008" w:right="1152"/>
    </w:pPr>
    <w:rPr>
      <w:b/>
      <w:bCs/>
      <w:i/>
      <w:iCs/>
      <w:sz w:val="22"/>
      <w:lang w:val="fr-FR" w:eastAsia="fr-FR" w:bidi="en-US"/>
    </w:rPr>
  </w:style>
  <w:style w:type="character" w:customStyle="1" w:styleId="CytatintensywnyZnak">
    <w:name w:val="Cytat intensywny Znak"/>
    <w:basedOn w:val="Domylnaczcionkaakapitu"/>
    <w:link w:val="Cytatintensywny"/>
    <w:uiPriority w:val="99"/>
    <w:rsid w:val="004D2070"/>
    <w:rPr>
      <w:rFonts w:eastAsiaTheme="minorEastAsia"/>
      <w:b/>
      <w:bCs/>
      <w:i/>
      <w:iCs/>
      <w:lang w:val="fr-FR" w:eastAsia="fr-FR" w:bidi="en-US"/>
    </w:rPr>
  </w:style>
  <w:style w:type="character" w:styleId="Wyrnieniedelikatne">
    <w:name w:val="Subtle Emphasis"/>
    <w:uiPriority w:val="99"/>
    <w:qFormat/>
    <w:rsid w:val="004D2070"/>
    <w:rPr>
      <w:i/>
      <w:iCs/>
    </w:rPr>
  </w:style>
  <w:style w:type="character" w:styleId="Wyrnienieintensywne">
    <w:name w:val="Intense Emphasis"/>
    <w:uiPriority w:val="99"/>
    <w:qFormat/>
    <w:rsid w:val="004D2070"/>
    <w:rPr>
      <w:b/>
      <w:bCs/>
    </w:rPr>
  </w:style>
  <w:style w:type="character" w:styleId="Odwoaniedelikatne">
    <w:name w:val="Subtle Reference"/>
    <w:uiPriority w:val="99"/>
    <w:qFormat/>
    <w:rsid w:val="004D2070"/>
    <w:rPr>
      <w:smallCaps/>
    </w:rPr>
  </w:style>
  <w:style w:type="character" w:styleId="Odwoanieintensywne">
    <w:name w:val="Intense Reference"/>
    <w:uiPriority w:val="99"/>
    <w:qFormat/>
    <w:rsid w:val="004D2070"/>
    <w:rPr>
      <w:smallCaps/>
      <w:spacing w:val="5"/>
      <w:u w:val="single"/>
    </w:rPr>
  </w:style>
  <w:style w:type="character" w:styleId="Tytuksiki">
    <w:name w:val="Book Title"/>
    <w:uiPriority w:val="99"/>
    <w:qFormat/>
    <w:rsid w:val="004D2070"/>
    <w:rPr>
      <w:i/>
      <w:iCs/>
      <w:smallCaps/>
      <w:spacing w:val="5"/>
    </w:rPr>
  </w:style>
  <w:style w:type="paragraph" w:styleId="Nagwekspisutreci">
    <w:name w:val="TOC Heading"/>
    <w:basedOn w:val="Nagwek1"/>
    <w:next w:val="Normalny"/>
    <w:uiPriority w:val="99"/>
    <w:semiHidden/>
    <w:qFormat/>
    <w:rsid w:val="004D2070"/>
    <w:pPr>
      <w:keepNext/>
      <w:keepLines/>
      <w:contextualSpacing w:val="0"/>
      <w:outlineLvl w:val="9"/>
    </w:pPr>
    <w:rPr>
      <w:color w:val="365F91" w:themeColor="accent1" w:themeShade="BF"/>
    </w:rPr>
  </w:style>
  <w:style w:type="numbering" w:styleId="111111">
    <w:name w:val="Outline List 2"/>
    <w:basedOn w:val="Bezlisty"/>
    <w:uiPriority w:val="99"/>
    <w:semiHidden/>
    <w:rsid w:val="004D2070"/>
    <w:pPr>
      <w:numPr>
        <w:numId w:val="2"/>
      </w:numPr>
    </w:pPr>
  </w:style>
  <w:style w:type="numbering" w:styleId="1ai">
    <w:name w:val="Outline List 1"/>
    <w:basedOn w:val="Bezlisty"/>
    <w:uiPriority w:val="99"/>
    <w:semiHidden/>
    <w:rsid w:val="004D2070"/>
    <w:pPr>
      <w:numPr>
        <w:numId w:val="3"/>
      </w:numPr>
    </w:pPr>
  </w:style>
  <w:style w:type="numbering" w:styleId="Artykusekcja">
    <w:name w:val="Outline List 3"/>
    <w:basedOn w:val="Bezlisty"/>
    <w:uiPriority w:val="99"/>
    <w:semiHidden/>
    <w:rsid w:val="004D2070"/>
    <w:pPr>
      <w:numPr>
        <w:numId w:val="4"/>
      </w:numPr>
    </w:pPr>
  </w:style>
  <w:style w:type="paragraph" w:styleId="Bibliografia">
    <w:name w:val="Bibliography"/>
    <w:basedOn w:val="Normalny"/>
    <w:next w:val="Normalny"/>
    <w:uiPriority w:val="99"/>
    <w:semiHidden/>
    <w:unhideWhenUsed/>
    <w:rsid w:val="004D2070"/>
  </w:style>
  <w:style w:type="paragraph" w:styleId="Tekstblokowy">
    <w:name w:val="Block Text"/>
    <w:basedOn w:val="Normalny"/>
    <w:uiPriority w:val="99"/>
    <w:semiHidden/>
    <w:rsid w:val="004D2070"/>
    <w:pPr>
      <w:pBdr>
        <w:top w:val="single" w:sz="2" w:space="10" w:color="4F81BD" w:themeColor="accent1" w:shadow="1" w:frame="1"/>
        <w:left w:val="single" w:sz="2" w:space="10" w:color="4F81BD" w:themeColor="accent1" w:shadow="1" w:frame="1"/>
        <w:bottom w:val="single" w:sz="2" w:space="10" w:color="4F81BD" w:themeColor="accent1" w:shadow="1" w:frame="1"/>
        <w:right w:val="single" w:sz="2" w:space="10" w:color="4F81BD" w:themeColor="accent1" w:shadow="1" w:frame="1"/>
      </w:pBdr>
      <w:ind w:left="1152" w:right="1152"/>
    </w:pPr>
    <w:rPr>
      <w:i/>
      <w:iCs/>
      <w:color w:val="4F81BD" w:themeColor="accent1"/>
    </w:rPr>
  </w:style>
  <w:style w:type="paragraph" w:styleId="Tekstpodstawowy">
    <w:name w:val="Body Text"/>
    <w:basedOn w:val="Normalny"/>
    <w:link w:val="TekstpodstawowyZnak"/>
    <w:uiPriority w:val="99"/>
    <w:semiHidden/>
    <w:rsid w:val="004D2070"/>
    <w:pPr>
      <w:spacing w:after="120"/>
    </w:pPr>
  </w:style>
  <w:style w:type="character" w:customStyle="1" w:styleId="TekstpodstawowyZnak">
    <w:name w:val="Tekst podstawowy Znak"/>
    <w:basedOn w:val="Domylnaczcionkaakapitu"/>
    <w:link w:val="Tekstpodstawowy"/>
    <w:uiPriority w:val="99"/>
    <w:semiHidden/>
    <w:rsid w:val="004D2070"/>
    <w:rPr>
      <w:rFonts w:eastAsiaTheme="minorEastAsia"/>
      <w:sz w:val="24"/>
      <w:lang w:val="en-US"/>
    </w:rPr>
  </w:style>
  <w:style w:type="paragraph" w:styleId="Tekstpodstawowy2">
    <w:name w:val="Body Text 2"/>
    <w:basedOn w:val="Normalny"/>
    <w:link w:val="Tekstpodstawowy2Znak"/>
    <w:uiPriority w:val="99"/>
    <w:semiHidden/>
    <w:rsid w:val="004D2070"/>
    <w:pPr>
      <w:spacing w:after="120" w:line="480" w:lineRule="auto"/>
    </w:pPr>
  </w:style>
  <w:style w:type="character" w:customStyle="1" w:styleId="Tekstpodstawowy2Znak">
    <w:name w:val="Tekst podstawowy 2 Znak"/>
    <w:basedOn w:val="Domylnaczcionkaakapitu"/>
    <w:link w:val="Tekstpodstawowy2"/>
    <w:uiPriority w:val="99"/>
    <w:semiHidden/>
    <w:rsid w:val="004D2070"/>
    <w:rPr>
      <w:rFonts w:eastAsiaTheme="minorEastAsia"/>
      <w:sz w:val="24"/>
      <w:lang w:val="en-US"/>
    </w:rPr>
  </w:style>
  <w:style w:type="paragraph" w:styleId="Tekstpodstawowy3">
    <w:name w:val="Body Text 3"/>
    <w:basedOn w:val="Normalny"/>
    <w:link w:val="Tekstpodstawowy3Znak"/>
    <w:uiPriority w:val="99"/>
    <w:semiHidden/>
    <w:rsid w:val="004D2070"/>
    <w:pPr>
      <w:spacing w:after="120"/>
    </w:pPr>
    <w:rPr>
      <w:sz w:val="16"/>
      <w:szCs w:val="16"/>
    </w:rPr>
  </w:style>
  <w:style w:type="character" w:customStyle="1" w:styleId="Tekstpodstawowy3Znak">
    <w:name w:val="Tekst podstawowy 3 Znak"/>
    <w:basedOn w:val="Domylnaczcionkaakapitu"/>
    <w:link w:val="Tekstpodstawowy3"/>
    <w:uiPriority w:val="99"/>
    <w:semiHidden/>
    <w:rsid w:val="004D2070"/>
    <w:rPr>
      <w:rFonts w:eastAsiaTheme="minorEastAsia"/>
      <w:sz w:val="16"/>
      <w:szCs w:val="16"/>
      <w:lang w:val="en-US"/>
    </w:rPr>
  </w:style>
  <w:style w:type="paragraph" w:styleId="Tekstpodstawowyzwciciem">
    <w:name w:val="Body Text First Indent"/>
    <w:basedOn w:val="Tekstpodstawowy"/>
    <w:link w:val="TekstpodstawowyzwciciemZnak"/>
    <w:uiPriority w:val="99"/>
    <w:semiHidden/>
    <w:rsid w:val="004D2070"/>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4D2070"/>
    <w:rPr>
      <w:rFonts w:eastAsiaTheme="minorEastAsia"/>
      <w:sz w:val="24"/>
      <w:lang w:val="en-US"/>
    </w:rPr>
  </w:style>
  <w:style w:type="paragraph" w:styleId="Tekstpodstawowywcity">
    <w:name w:val="Body Text Indent"/>
    <w:basedOn w:val="Normalny"/>
    <w:link w:val="TekstpodstawowywcityZnak"/>
    <w:uiPriority w:val="99"/>
    <w:semiHidden/>
    <w:rsid w:val="004D2070"/>
    <w:pPr>
      <w:spacing w:after="120"/>
      <w:ind w:left="283"/>
    </w:pPr>
  </w:style>
  <w:style w:type="character" w:customStyle="1" w:styleId="TekstpodstawowywcityZnak">
    <w:name w:val="Tekst podstawowy wcięty Znak"/>
    <w:basedOn w:val="Domylnaczcionkaakapitu"/>
    <w:link w:val="Tekstpodstawowywcity"/>
    <w:uiPriority w:val="99"/>
    <w:semiHidden/>
    <w:rsid w:val="004D2070"/>
    <w:rPr>
      <w:rFonts w:eastAsiaTheme="minorEastAsia"/>
      <w:sz w:val="24"/>
      <w:lang w:val="en-US"/>
    </w:rPr>
  </w:style>
  <w:style w:type="paragraph" w:styleId="Tekstpodstawowyzwciciem2">
    <w:name w:val="Body Text First Indent 2"/>
    <w:basedOn w:val="Tekstpodstawowywcity"/>
    <w:link w:val="Tekstpodstawowyzwciciem2Znak"/>
    <w:uiPriority w:val="99"/>
    <w:semiHidden/>
    <w:rsid w:val="004D2070"/>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4D2070"/>
    <w:rPr>
      <w:rFonts w:eastAsiaTheme="minorEastAsia"/>
      <w:sz w:val="24"/>
      <w:lang w:val="en-US"/>
    </w:rPr>
  </w:style>
  <w:style w:type="paragraph" w:styleId="Tekstpodstawowywcity2">
    <w:name w:val="Body Text Indent 2"/>
    <w:basedOn w:val="Normalny"/>
    <w:link w:val="Tekstpodstawowywcity2Znak"/>
    <w:uiPriority w:val="99"/>
    <w:semiHidden/>
    <w:rsid w:val="004D2070"/>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4D2070"/>
    <w:rPr>
      <w:rFonts w:eastAsiaTheme="minorEastAsia"/>
      <w:sz w:val="24"/>
      <w:lang w:val="en-US"/>
    </w:rPr>
  </w:style>
  <w:style w:type="paragraph" w:styleId="Tekstpodstawowywcity3">
    <w:name w:val="Body Text Indent 3"/>
    <w:basedOn w:val="Normalny"/>
    <w:link w:val="Tekstpodstawowywcity3Znak"/>
    <w:uiPriority w:val="99"/>
    <w:semiHidden/>
    <w:rsid w:val="004D2070"/>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4D2070"/>
    <w:rPr>
      <w:rFonts w:eastAsiaTheme="minorEastAsia"/>
      <w:sz w:val="16"/>
      <w:szCs w:val="16"/>
      <w:lang w:val="en-US"/>
    </w:rPr>
  </w:style>
  <w:style w:type="paragraph" w:styleId="Legenda">
    <w:name w:val="caption"/>
    <w:basedOn w:val="Normalny"/>
    <w:next w:val="Normalny"/>
    <w:uiPriority w:val="99"/>
    <w:semiHidden/>
    <w:qFormat/>
    <w:rsid w:val="004D2070"/>
    <w:pPr>
      <w:spacing w:after="200"/>
    </w:pPr>
    <w:rPr>
      <w:b/>
      <w:bCs/>
      <w:color w:val="4F81BD" w:themeColor="accent1"/>
      <w:sz w:val="18"/>
      <w:szCs w:val="18"/>
      <w:lang w:val="fr-FR" w:eastAsia="fr-FR"/>
    </w:rPr>
  </w:style>
  <w:style w:type="paragraph" w:styleId="Zwrotpoegnalny">
    <w:name w:val="Closing"/>
    <w:basedOn w:val="Normalny"/>
    <w:link w:val="ZwrotpoegnalnyZnak"/>
    <w:uiPriority w:val="99"/>
    <w:semiHidden/>
    <w:rsid w:val="004D2070"/>
    <w:pPr>
      <w:ind w:left="4252"/>
    </w:pPr>
  </w:style>
  <w:style w:type="character" w:customStyle="1" w:styleId="ZwrotpoegnalnyZnak">
    <w:name w:val="Zwrot pożegnalny Znak"/>
    <w:basedOn w:val="Domylnaczcionkaakapitu"/>
    <w:link w:val="Zwrotpoegnalny"/>
    <w:uiPriority w:val="99"/>
    <w:semiHidden/>
    <w:rsid w:val="004D2070"/>
    <w:rPr>
      <w:rFonts w:eastAsiaTheme="minorEastAsia"/>
      <w:sz w:val="24"/>
      <w:lang w:val="en-US"/>
    </w:rPr>
  </w:style>
  <w:style w:type="table" w:customStyle="1" w:styleId="Kolorowasiatka1">
    <w:name w:val="Kolorowa siatka1"/>
    <w:basedOn w:val="Standardowy"/>
    <w:uiPriority w:val="99"/>
    <w:rsid w:val="004D2070"/>
    <w:pPr>
      <w:spacing w:after="0" w:line="240" w:lineRule="auto"/>
    </w:pPr>
    <w:rPr>
      <w:color w:val="000000" w:themeColor="text1"/>
      <w:lang w:val="fr-FR" w:eastAsia="fr-FR"/>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rsid w:val="004D2070"/>
    <w:pPr>
      <w:spacing w:after="0" w:line="240" w:lineRule="auto"/>
    </w:pPr>
    <w:rPr>
      <w:color w:val="000000" w:themeColor="text1"/>
      <w:lang w:val="fr-FR" w:eastAsia="fr-FR"/>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Kolorowasiatkaakcent2">
    <w:name w:val="Colorful Grid Accent 2"/>
    <w:basedOn w:val="Standardowy"/>
    <w:uiPriority w:val="99"/>
    <w:rsid w:val="004D2070"/>
    <w:pPr>
      <w:spacing w:after="0" w:line="240" w:lineRule="auto"/>
    </w:pPr>
    <w:rPr>
      <w:color w:val="000000" w:themeColor="text1"/>
      <w:lang w:val="fr-FR" w:eastAsia="fr-FR"/>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Kolorowasiatkaakcent3">
    <w:name w:val="Colorful Grid Accent 3"/>
    <w:basedOn w:val="Standardowy"/>
    <w:uiPriority w:val="99"/>
    <w:rsid w:val="004D2070"/>
    <w:pPr>
      <w:spacing w:after="0" w:line="240" w:lineRule="auto"/>
    </w:pPr>
    <w:rPr>
      <w:color w:val="000000" w:themeColor="text1"/>
      <w:lang w:val="fr-FR" w:eastAsia="fr-FR"/>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Kolorowasiatkaakcent4">
    <w:name w:val="Colorful Grid Accent 4"/>
    <w:basedOn w:val="Standardowy"/>
    <w:uiPriority w:val="99"/>
    <w:rsid w:val="004D2070"/>
    <w:pPr>
      <w:spacing w:after="0" w:line="240" w:lineRule="auto"/>
    </w:pPr>
    <w:rPr>
      <w:color w:val="000000" w:themeColor="text1"/>
      <w:lang w:val="fr-FR" w:eastAsia="fr-FR"/>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Kolorowasiatkaakcent5">
    <w:name w:val="Colorful Grid Accent 5"/>
    <w:basedOn w:val="Standardowy"/>
    <w:uiPriority w:val="99"/>
    <w:rsid w:val="004D2070"/>
    <w:pPr>
      <w:spacing w:after="0" w:line="240" w:lineRule="auto"/>
    </w:pPr>
    <w:rPr>
      <w:color w:val="000000" w:themeColor="text1"/>
      <w:lang w:val="fr-FR" w:eastAsia="fr-FR"/>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Kolorowasiatkaakcent6">
    <w:name w:val="Colorful Grid Accent 6"/>
    <w:basedOn w:val="Standardowy"/>
    <w:uiPriority w:val="99"/>
    <w:rsid w:val="004D2070"/>
    <w:pPr>
      <w:spacing w:after="0" w:line="240" w:lineRule="auto"/>
    </w:pPr>
    <w:rPr>
      <w:color w:val="000000" w:themeColor="text1"/>
      <w:lang w:val="fr-FR" w:eastAsia="fr-FR"/>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customStyle="1" w:styleId="Kolorowalista1">
    <w:name w:val="Kolorowa lista1"/>
    <w:basedOn w:val="Standardowy"/>
    <w:uiPriority w:val="99"/>
    <w:rsid w:val="004D2070"/>
    <w:pPr>
      <w:spacing w:after="0" w:line="240" w:lineRule="auto"/>
    </w:pPr>
    <w:rPr>
      <w:color w:val="000000" w:themeColor="text1"/>
      <w:lang w:val="fr-FR" w:eastAsia="fr-FR"/>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rsid w:val="004D2070"/>
    <w:pPr>
      <w:spacing w:after="0" w:line="240" w:lineRule="auto"/>
    </w:pPr>
    <w:rPr>
      <w:color w:val="000000" w:themeColor="text1"/>
      <w:lang w:val="fr-FR" w:eastAsia="fr-FR"/>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Kolorowalistaakcent2">
    <w:name w:val="Colorful List Accent 2"/>
    <w:basedOn w:val="Standardowy"/>
    <w:uiPriority w:val="99"/>
    <w:rsid w:val="004D2070"/>
    <w:pPr>
      <w:spacing w:after="0" w:line="240" w:lineRule="auto"/>
    </w:pPr>
    <w:rPr>
      <w:color w:val="000000" w:themeColor="text1"/>
      <w:lang w:val="fr-FR" w:eastAsia="fr-FR"/>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Kolorowalistaakcent3">
    <w:name w:val="Colorful List Accent 3"/>
    <w:basedOn w:val="Standardowy"/>
    <w:uiPriority w:val="99"/>
    <w:rsid w:val="004D2070"/>
    <w:pPr>
      <w:spacing w:after="0" w:line="240" w:lineRule="auto"/>
    </w:pPr>
    <w:rPr>
      <w:color w:val="000000" w:themeColor="text1"/>
      <w:lang w:val="fr-FR" w:eastAsia="fr-FR"/>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Kolorowalistaakcent4">
    <w:name w:val="Colorful List Accent 4"/>
    <w:basedOn w:val="Standardowy"/>
    <w:uiPriority w:val="99"/>
    <w:rsid w:val="004D2070"/>
    <w:pPr>
      <w:spacing w:after="0" w:line="240" w:lineRule="auto"/>
    </w:pPr>
    <w:rPr>
      <w:color w:val="000000" w:themeColor="text1"/>
      <w:lang w:val="fr-FR" w:eastAsia="fr-FR"/>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Kolorowalistaakcent5">
    <w:name w:val="Colorful List Accent 5"/>
    <w:basedOn w:val="Standardowy"/>
    <w:uiPriority w:val="99"/>
    <w:rsid w:val="004D2070"/>
    <w:pPr>
      <w:spacing w:after="0" w:line="240" w:lineRule="auto"/>
    </w:pPr>
    <w:rPr>
      <w:color w:val="000000" w:themeColor="text1"/>
      <w:lang w:val="fr-FR" w:eastAsia="fr-FR"/>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Kolorowalistaakcent6">
    <w:name w:val="Colorful List Accent 6"/>
    <w:basedOn w:val="Standardowy"/>
    <w:uiPriority w:val="99"/>
    <w:rsid w:val="004D2070"/>
    <w:pPr>
      <w:spacing w:after="0" w:line="240" w:lineRule="auto"/>
    </w:pPr>
    <w:rPr>
      <w:color w:val="000000" w:themeColor="text1"/>
      <w:lang w:val="fr-FR" w:eastAsia="fr-FR"/>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customStyle="1" w:styleId="Kolorowecieniowanie1">
    <w:name w:val="Kolorowe cieniowanie1"/>
    <w:basedOn w:val="Standardowy"/>
    <w:uiPriority w:val="99"/>
    <w:rsid w:val="004D2070"/>
    <w:pPr>
      <w:spacing w:after="0" w:line="240" w:lineRule="auto"/>
    </w:pPr>
    <w:rPr>
      <w:color w:val="000000" w:themeColor="text1"/>
      <w:lang w:val="fr-FR" w:eastAsia="fr-FR"/>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rsid w:val="004D2070"/>
    <w:pPr>
      <w:spacing w:after="0" w:line="240" w:lineRule="auto"/>
    </w:pPr>
    <w:rPr>
      <w:color w:val="000000" w:themeColor="text1"/>
      <w:lang w:val="fr-FR" w:eastAsia="fr-FR"/>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rsid w:val="004D2070"/>
    <w:pPr>
      <w:spacing w:after="0" w:line="240" w:lineRule="auto"/>
    </w:pPr>
    <w:rPr>
      <w:color w:val="000000" w:themeColor="text1"/>
      <w:lang w:val="fr-FR" w:eastAsia="fr-FR"/>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rsid w:val="004D2070"/>
    <w:pPr>
      <w:spacing w:after="0" w:line="240" w:lineRule="auto"/>
    </w:pPr>
    <w:rPr>
      <w:color w:val="000000" w:themeColor="text1"/>
      <w:lang w:val="fr-FR" w:eastAsia="fr-FR"/>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Kolorowecieniowanieakcent4">
    <w:name w:val="Colorful Shading Accent 4"/>
    <w:basedOn w:val="Standardowy"/>
    <w:uiPriority w:val="99"/>
    <w:rsid w:val="004D2070"/>
    <w:pPr>
      <w:spacing w:after="0" w:line="240" w:lineRule="auto"/>
    </w:pPr>
    <w:rPr>
      <w:color w:val="000000" w:themeColor="text1"/>
      <w:lang w:val="fr-FR" w:eastAsia="fr-FR"/>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rsid w:val="004D2070"/>
    <w:pPr>
      <w:spacing w:after="0" w:line="240" w:lineRule="auto"/>
    </w:pPr>
    <w:rPr>
      <w:color w:val="000000" w:themeColor="text1"/>
      <w:lang w:val="fr-FR" w:eastAsia="fr-FR"/>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rsid w:val="004D2070"/>
    <w:pPr>
      <w:spacing w:after="0" w:line="240" w:lineRule="auto"/>
    </w:pPr>
    <w:rPr>
      <w:color w:val="000000" w:themeColor="text1"/>
      <w:lang w:val="fr-FR" w:eastAsia="fr-FR"/>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customStyle="1" w:styleId="Ciemnalista1">
    <w:name w:val="Ciemna lista1"/>
    <w:basedOn w:val="Standardowy"/>
    <w:uiPriority w:val="99"/>
    <w:rsid w:val="004D2070"/>
    <w:pPr>
      <w:spacing w:after="0" w:line="240" w:lineRule="auto"/>
    </w:pPr>
    <w:rPr>
      <w:color w:val="FFFFFF" w:themeColor="background1"/>
      <w:lang w:val="fr-FR"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rsid w:val="004D2070"/>
    <w:pPr>
      <w:spacing w:after="0" w:line="240" w:lineRule="auto"/>
    </w:pPr>
    <w:rPr>
      <w:color w:val="FFFFFF" w:themeColor="background1"/>
      <w:lang w:val="fr-FR" w:eastAsia="fr-FR"/>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Ciemnalistaakcent2">
    <w:name w:val="Dark List Accent 2"/>
    <w:basedOn w:val="Standardowy"/>
    <w:uiPriority w:val="99"/>
    <w:rsid w:val="004D2070"/>
    <w:pPr>
      <w:spacing w:after="0" w:line="240" w:lineRule="auto"/>
    </w:pPr>
    <w:rPr>
      <w:color w:val="FFFFFF" w:themeColor="background1"/>
      <w:lang w:val="fr-FR" w:eastAsia="fr-FR"/>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Ciemnalistaakcent3">
    <w:name w:val="Dark List Accent 3"/>
    <w:basedOn w:val="Standardowy"/>
    <w:uiPriority w:val="99"/>
    <w:rsid w:val="004D2070"/>
    <w:pPr>
      <w:spacing w:after="0" w:line="240" w:lineRule="auto"/>
    </w:pPr>
    <w:rPr>
      <w:color w:val="FFFFFF" w:themeColor="background1"/>
      <w:lang w:val="fr-FR" w:eastAsia="fr-FR"/>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Ciemnalistaakcent4">
    <w:name w:val="Dark List Accent 4"/>
    <w:basedOn w:val="Standardowy"/>
    <w:uiPriority w:val="99"/>
    <w:rsid w:val="004D2070"/>
    <w:pPr>
      <w:spacing w:after="0" w:line="240" w:lineRule="auto"/>
    </w:pPr>
    <w:rPr>
      <w:color w:val="FFFFFF" w:themeColor="background1"/>
      <w:lang w:val="fr-FR" w:eastAsia="fr-FR"/>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Ciemnalistaakcent5">
    <w:name w:val="Dark List Accent 5"/>
    <w:basedOn w:val="Standardowy"/>
    <w:uiPriority w:val="99"/>
    <w:rsid w:val="004D2070"/>
    <w:pPr>
      <w:spacing w:after="0" w:line="240" w:lineRule="auto"/>
    </w:pPr>
    <w:rPr>
      <w:color w:val="FFFFFF" w:themeColor="background1"/>
      <w:lang w:val="fr-FR" w:eastAsia="fr-FR"/>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Ciemnalistaakcent6">
    <w:name w:val="Dark List Accent 6"/>
    <w:basedOn w:val="Standardowy"/>
    <w:uiPriority w:val="99"/>
    <w:rsid w:val="004D2070"/>
    <w:pPr>
      <w:spacing w:after="0" w:line="240" w:lineRule="auto"/>
    </w:pPr>
    <w:rPr>
      <w:color w:val="FFFFFF" w:themeColor="background1"/>
      <w:lang w:val="fr-FR" w:eastAsia="fr-FR"/>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paragraph" w:styleId="Data">
    <w:name w:val="Date"/>
    <w:basedOn w:val="Normalny"/>
    <w:next w:val="Normalny"/>
    <w:link w:val="DataZnak"/>
    <w:uiPriority w:val="99"/>
    <w:semiHidden/>
    <w:rsid w:val="004D2070"/>
  </w:style>
  <w:style w:type="character" w:customStyle="1" w:styleId="DataZnak">
    <w:name w:val="Data Znak"/>
    <w:basedOn w:val="Domylnaczcionkaakapitu"/>
    <w:link w:val="Data"/>
    <w:uiPriority w:val="99"/>
    <w:semiHidden/>
    <w:rsid w:val="004D2070"/>
    <w:rPr>
      <w:rFonts w:eastAsiaTheme="minorEastAsia"/>
      <w:sz w:val="24"/>
      <w:lang w:val="en-US"/>
    </w:rPr>
  </w:style>
  <w:style w:type="paragraph" w:styleId="Podpise-mail">
    <w:name w:val="E-mail Signature"/>
    <w:basedOn w:val="Normalny"/>
    <w:link w:val="Podpise-mailZnak"/>
    <w:uiPriority w:val="99"/>
    <w:semiHidden/>
    <w:rsid w:val="004D2070"/>
  </w:style>
  <w:style w:type="character" w:customStyle="1" w:styleId="Podpise-mailZnak">
    <w:name w:val="Podpis e-mail Znak"/>
    <w:basedOn w:val="Domylnaczcionkaakapitu"/>
    <w:link w:val="Podpise-mail"/>
    <w:uiPriority w:val="99"/>
    <w:semiHidden/>
    <w:rsid w:val="004D2070"/>
    <w:rPr>
      <w:rFonts w:eastAsiaTheme="minorEastAsia"/>
      <w:sz w:val="24"/>
      <w:lang w:val="en-US"/>
    </w:rPr>
  </w:style>
  <w:style w:type="paragraph" w:styleId="Adresnakopercie">
    <w:name w:val="envelope address"/>
    <w:basedOn w:val="Normalny"/>
    <w:uiPriority w:val="99"/>
    <w:semiHidden/>
    <w:rsid w:val="004D2070"/>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4D2070"/>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4D2070"/>
  </w:style>
  <w:style w:type="paragraph" w:styleId="HTML-adres">
    <w:name w:val="HTML Address"/>
    <w:basedOn w:val="Normalny"/>
    <w:link w:val="HTML-adresZnak"/>
    <w:uiPriority w:val="99"/>
    <w:semiHidden/>
    <w:rsid w:val="004D2070"/>
    <w:rPr>
      <w:i/>
      <w:iCs/>
    </w:rPr>
  </w:style>
  <w:style w:type="character" w:customStyle="1" w:styleId="HTML-adresZnak">
    <w:name w:val="HTML - adres Znak"/>
    <w:basedOn w:val="Domylnaczcionkaakapitu"/>
    <w:link w:val="HTML-adres"/>
    <w:uiPriority w:val="99"/>
    <w:semiHidden/>
    <w:rsid w:val="004D2070"/>
    <w:rPr>
      <w:rFonts w:eastAsiaTheme="minorEastAsia"/>
      <w:i/>
      <w:iCs/>
      <w:sz w:val="24"/>
      <w:lang w:val="en-US"/>
    </w:rPr>
  </w:style>
  <w:style w:type="character" w:styleId="HTML-cytat">
    <w:name w:val="HTML Cite"/>
    <w:basedOn w:val="Domylnaczcionkaakapitu"/>
    <w:uiPriority w:val="99"/>
    <w:semiHidden/>
    <w:rsid w:val="004D2070"/>
    <w:rPr>
      <w:i/>
      <w:iCs/>
    </w:rPr>
  </w:style>
  <w:style w:type="character" w:styleId="HTML-kod">
    <w:name w:val="HTML Code"/>
    <w:basedOn w:val="Domylnaczcionkaakapitu"/>
    <w:uiPriority w:val="99"/>
    <w:semiHidden/>
    <w:rsid w:val="004D2070"/>
    <w:rPr>
      <w:rFonts w:ascii="Consolas" w:hAnsi="Consolas" w:cs="Consolas"/>
      <w:sz w:val="20"/>
      <w:szCs w:val="20"/>
    </w:rPr>
  </w:style>
  <w:style w:type="character" w:styleId="HTML-definicja">
    <w:name w:val="HTML Definition"/>
    <w:basedOn w:val="Domylnaczcionkaakapitu"/>
    <w:uiPriority w:val="99"/>
    <w:semiHidden/>
    <w:rsid w:val="004D2070"/>
    <w:rPr>
      <w:i/>
      <w:iCs/>
    </w:rPr>
  </w:style>
  <w:style w:type="character" w:styleId="HTML-klawiatura">
    <w:name w:val="HTML Keyboard"/>
    <w:basedOn w:val="Domylnaczcionkaakapitu"/>
    <w:uiPriority w:val="99"/>
    <w:semiHidden/>
    <w:rsid w:val="004D2070"/>
    <w:rPr>
      <w:rFonts w:ascii="Consolas" w:hAnsi="Consolas" w:cs="Consolas"/>
      <w:sz w:val="20"/>
      <w:szCs w:val="20"/>
    </w:rPr>
  </w:style>
  <w:style w:type="paragraph" w:styleId="HTML-wstpniesformatowany">
    <w:name w:val="HTML Preformatted"/>
    <w:basedOn w:val="Normalny"/>
    <w:link w:val="HTML-wstpniesformatowanyZnak"/>
    <w:uiPriority w:val="99"/>
    <w:semiHidden/>
    <w:rsid w:val="004D2070"/>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4D2070"/>
    <w:rPr>
      <w:rFonts w:ascii="Consolas" w:eastAsiaTheme="minorEastAsia" w:hAnsi="Consolas" w:cs="Consolas"/>
      <w:sz w:val="20"/>
      <w:szCs w:val="20"/>
      <w:lang w:val="en-US"/>
    </w:rPr>
  </w:style>
  <w:style w:type="character" w:styleId="HTML-przykad">
    <w:name w:val="HTML Sample"/>
    <w:basedOn w:val="Domylnaczcionkaakapitu"/>
    <w:uiPriority w:val="99"/>
    <w:semiHidden/>
    <w:rsid w:val="004D2070"/>
    <w:rPr>
      <w:rFonts w:ascii="Consolas" w:hAnsi="Consolas" w:cs="Consolas"/>
      <w:sz w:val="24"/>
      <w:szCs w:val="24"/>
    </w:rPr>
  </w:style>
  <w:style w:type="character" w:styleId="HTML-staaszeroko">
    <w:name w:val="HTML Typewriter"/>
    <w:basedOn w:val="Domylnaczcionkaakapitu"/>
    <w:uiPriority w:val="99"/>
    <w:semiHidden/>
    <w:rsid w:val="004D2070"/>
    <w:rPr>
      <w:rFonts w:ascii="Consolas" w:hAnsi="Consolas" w:cs="Consolas"/>
      <w:sz w:val="20"/>
      <w:szCs w:val="20"/>
    </w:rPr>
  </w:style>
  <w:style w:type="character" w:styleId="HTML-zmienna">
    <w:name w:val="HTML Variable"/>
    <w:basedOn w:val="Domylnaczcionkaakapitu"/>
    <w:uiPriority w:val="99"/>
    <w:semiHidden/>
    <w:rsid w:val="004D2070"/>
    <w:rPr>
      <w:i/>
      <w:iCs/>
    </w:rPr>
  </w:style>
  <w:style w:type="paragraph" w:styleId="Indeks1">
    <w:name w:val="index 1"/>
    <w:basedOn w:val="Normalny"/>
    <w:next w:val="Normalny"/>
    <w:autoRedefine/>
    <w:uiPriority w:val="99"/>
    <w:semiHidden/>
    <w:rsid w:val="004D2070"/>
    <w:pPr>
      <w:ind w:left="240" w:hanging="240"/>
    </w:pPr>
  </w:style>
  <w:style w:type="paragraph" w:styleId="Indeks2">
    <w:name w:val="index 2"/>
    <w:basedOn w:val="Normalny"/>
    <w:next w:val="Normalny"/>
    <w:autoRedefine/>
    <w:uiPriority w:val="99"/>
    <w:semiHidden/>
    <w:rsid w:val="004D2070"/>
    <w:pPr>
      <w:ind w:left="480" w:hanging="240"/>
    </w:pPr>
  </w:style>
  <w:style w:type="paragraph" w:styleId="Indeks3">
    <w:name w:val="index 3"/>
    <w:basedOn w:val="Normalny"/>
    <w:next w:val="Normalny"/>
    <w:autoRedefine/>
    <w:uiPriority w:val="99"/>
    <w:semiHidden/>
    <w:rsid w:val="004D2070"/>
    <w:pPr>
      <w:ind w:left="720" w:hanging="240"/>
    </w:pPr>
  </w:style>
  <w:style w:type="paragraph" w:styleId="Indeks4">
    <w:name w:val="index 4"/>
    <w:basedOn w:val="Normalny"/>
    <w:next w:val="Normalny"/>
    <w:autoRedefine/>
    <w:uiPriority w:val="99"/>
    <w:semiHidden/>
    <w:rsid w:val="004D2070"/>
    <w:pPr>
      <w:ind w:left="960" w:hanging="240"/>
    </w:pPr>
  </w:style>
  <w:style w:type="paragraph" w:styleId="Indeks5">
    <w:name w:val="index 5"/>
    <w:basedOn w:val="Normalny"/>
    <w:next w:val="Normalny"/>
    <w:autoRedefine/>
    <w:uiPriority w:val="99"/>
    <w:semiHidden/>
    <w:rsid w:val="004D2070"/>
    <w:pPr>
      <w:ind w:left="1200" w:hanging="240"/>
    </w:pPr>
  </w:style>
  <w:style w:type="paragraph" w:styleId="Indeks6">
    <w:name w:val="index 6"/>
    <w:basedOn w:val="Normalny"/>
    <w:next w:val="Normalny"/>
    <w:autoRedefine/>
    <w:uiPriority w:val="99"/>
    <w:semiHidden/>
    <w:rsid w:val="004D2070"/>
    <w:pPr>
      <w:ind w:left="1440" w:hanging="240"/>
    </w:pPr>
  </w:style>
  <w:style w:type="paragraph" w:styleId="Indeks7">
    <w:name w:val="index 7"/>
    <w:basedOn w:val="Normalny"/>
    <w:next w:val="Normalny"/>
    <w:autoRedefine/>
    <w:uiPriority w:val="99"/>
    <w:semiHidden/>
    <w:rsid w:val="004D2070"/>
    <w:pPr>
      <w:ind w:left="1680" w:hanging="240"/>
    </w:pPr>
  </w:style>
  <w:style w:type="paragraph" w:styleId="Indeks8">
    <w:name w:val="index 8"/>
    <w:basedOn w:val="Normalny"/>
    <w:next w:val="Normalny"/>
    <w:autoRedefine/>
    <w:uiPriority w:val="99"/>
    <w:semiHidden/>
    <w:rsid w:val="004D2070"/>
    <w:pPr>
      <w:ind w:left="1920" w:hanging="240"/>
    </w:pPr>
  </w:style>
  <w:style w:type="paragraph" w:styleId="Indeks9">
    <w:name w:val="index 9"/>
    <w:basedOn w:val="Normalny"/>
    <w:next w:val="Normalny"/>
    <w:autoRedefine/>
    <w:uiPriority w:val="99"/>
    <w:semiHidden/>
    <w:rsid w:val="004D2070"/>
    <w:pPr>
      <w:ind w:left="2160" w:hanging="240"/>
    </w:pPr>
  </w:style>
  <w:style w:type="paragraph" w:styleId="Nagwekindeksu">
    <w:name w:val="index heading"/>
    <w:basedOn w:val="Normalny"/>
    <w:next w:val="Indeks1"/>
    <w:uiPriority w:val="99"/>
    <w:semiHidden/>
    <w:rsid w:val="004D2070"/>
    <w:rPr>
      <w:rFonts w:asciiTheme="majorHAnsi" w:eastAsiaTheme="majorEastAsia" w:hAnsiTheme="majorHAnsi" w:cstheme="majorBidi"/>
      <w:b/>
      <w:bCs/>
    </w:rPr>
  </w:style>
  <w:style w:type="table" w:customStyle="1" w:styleId="Jasnasiatka1">
    <w:name w:val="Jasna siatka1"/>
    <w:basedOn w:val="Standardowy"/>
    <w:uiPriority w:val="99"/>
    <w:rsid w:val="004D2070"/>
    <w:pPr>
      <w:spacing w:after="0" w:line="240" w:lineRule="auto"/>
    </w:pPr>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customStyle="1" w:styleId="Jasnasiatkaakcent11">
    <w:name w:val="Jasna siatka — akcent 11"/>
    <w:basedOn w:val="Standardowy"/>
    <w:uiPriority w:val="99"/>
    <w:rsid w:val="004D2070"/>
    <w:pPr>
      <w:spacing w:after="0" w:line="240" w:lineRule="auto"/>
    </w:pPr>
    <w:rPr>
      <w:lang w:val="fr-FR" w:eastAsia="fr-FR"/>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Jasnasiatkaakcent2">
    <w:name w:val="Light Grid Accent 2"/>
    <w:basedOn w:val="Standardowy"/>
    <w:uiPriority w:val="99"/>
    <w:rsid w:val="004D2070"/>
    <w:pPr>
      <w:spacing w:after="0" w:line="240" w:lineRule="auto"/>
    </w:pPr>
    <w:rPr>
      <w:lang w:val="fr-FR" w:eastAsia="fr-FR"/>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Jasnasiatkaakcent3">
    <w:name w:val="Light Grid Accent 3"/>
    <w:basedOn w:val="Standardowy"/>
    <w:uiPriority w:val="99"/>
    <w:rsid w:val="004D2070"/>
    <w:pPr>
      <w:spacing w:after="0" w:line="240" w:lineRule="auto"/>
    </w:pPr>
    <w:rPr>
      <w:lang w:val="fr-FR" w:eastAsia="fr-FR"/>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Jasnasiatkaakcent4">
    <w:name w:val="Light Grid Accent 4"/>
    <w:basedOn w:val="Standardowy"/>
    <w:uiPriority w:val="99"/>
    <w:rsid w:val="004D2070"/>
    <w:pPr>
      <w:spacing w:after="0" w:line="240" w:lineRule="auto"/>
    </w:pPr>
    <w:rPr>
      <w:lang w:val="fr-FR" w:eastAsia="fr-FR"/>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Jasnasiatkaakcent5">
    <w:name w:val="Light Grid Accent 5"/>
    <w:basedOn w:val="Standardowy"/>
    <w:uiPriority w:val="99"/>
    <w:rsid w:val="004D2070"/>
    <w:pPr>
      <w:spacing w:after="0" w:line="240" w:lineRule="auto"/>
    </w:pPr>
    <w:rPr>
      <w:lang w:val="fr-FR" w:eastAsia="fr-FR"/>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Jasnasiatkaakcent6">
    <w:name w:val="Light Grid Accent 6"/>
    <w:basedOn w:val="Standardowy"/>
    <w:uiPriority w:val="99"/>
    <w:rsid w:val="004D2070"/>
    <w:pPr>
      <w:spacing w:after="0" w:line="240" w:lineRule="auto"/>
    </w:pPr>
    <w:rPr>
      <w:lang w:val="fr-FR" w:eastAsia="fr-FR"/>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customStyle="1" w:styleId="Jasnalista1">
    <w:name w:val="Jasna lista1"/>
    <w:basedOn w:val="Standardowy"/>
    <w:uiPriority w:val="99"/>
    <w:rsid w:val="004D2070"/>
    <w:pPr>
      <w:spacing w:after="0" w:line="240" w:lineRule="auto"/>
    </w:pPr>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customStyle="1" w:styleId="Jasnalistaakcent11">
    <w:name w:val="Jasna lista — akcent 11"/>
    <w:basedOn w:val="Standardowy"/>
    <w:uiPriority w:val="99"/>
    <w:rsid w:val="004D2070"/>
    <w:pPr>
      <w:spacing w:after="0" w:line="240" w:lineRule="auto"/>
    </w:pPr>
    <w:rPr>
      <w:lang w:val="fr-FR" w:eastAsia="fr-FR"/>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Jasnalistaakcent2">
    <w:name w:val="Light List Accent 2"/>
    <w:basedOn w:val="Standardowy"/>
    <w:uiPriority w:val="99"/>
    <w:rsid w:val="004D2070"/>
    <w:pPr>
      <w:spacing w:after="0" w:line="240" w:lineRule="auto"/>
    </w:pPr>
    <w:rPr>
      <w:lang w:val="fr-FR" w:eastAsia="fr-FR"/>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Jasnalistaakcent3">
    <w:name w:val="Light List Accent 3"/>
    <w:basedOn w:val="Standardowy"/>
    <w:uiPriority w:val="99"/>
    <w:rsid w:val="004D2070"/>
    <w:pPr>
      <w:spacing w:after="0" w:line="240" w:lineRule="auto"/>
    </w:pPr>
    <w:rPr>
      <w:lang w:val="fr-FR" w:eastAsia="fr-FR"/>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Jasnalistaakcent4">
    <w:name w:val="Light List Accent 4"/>
    <w:basedOn w:val="Standardowy"/>
    <w:uiPriority w:val="99"/>
    <w:rsid w:val="004D2070"/>
    <w:pPr>
      <w:spacing w:after="0" w:line="240" w:lineRule="auto"/>
    </w:pPr>
    <w:rPr>
      <w:lang w:val="fr-FR" w:eastAsia="fr-FR"/>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Jasnalistaakcent5">
    <w:name w:val="Light List Accent 5"/>
    <w:basedOn w:val="Standardowy"/>
    <w:uiPriority w:val="99"/>
    <w:rsid w:val="004D2070"/>
    <w:pPr>
      <w:spacing w:after="0" w:line="240" w:lineRule="auto"/>
    </w:pPr>
    <w:rPr>
      <w:lang w:val="fr-FR" w:eastAsia="fr-FR"/>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Jasnalistaakcent6">
    <w:name w:val="Light List Accent 6"/>
    <w:basedOn w:val="Standardowy"/>
    <w:uiPriority w:val="99"/>
    <w:rsid w:val="004D2070"/>
    <w:pPr>
      <w:spacing w:after="0" w:line="240" w:lineRule="auto"/>
    </w:pPr>
    <w:rPr>
      <w:lang w:val="fr-FR" w:eastAsia="fr-FR"/>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customStyle="1" w:styleId="Jasnecieniowanie1">
    <w:name w:val="Jasne cieniowanie1"/>
    <w:basedOn w:val="Standardowy"/>
    <w:uiPriority w:val="99"/>
    <w:rsid w:val="004D2070"/>
    <w:pPr>
      <w:spacing w:after="0" w:line="240" w:lineRule="auto"/>
    </w:pPr>
    <w:rPr>
      <w:color w:val="000000" w:themeColor="text1" w:themeShade="BF"/>
      <w:lang w:val="fr-FR"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Jasnecieniowanieakcent11">
    <w:name w:val="Jasne cieniowanie — akcent 11"/>
    <w:basedOn w:val="Standardowy"/>
    <w:uiPriority w:val="99"/>
    <w:rsid w:val="004D2070"/>
    <w:pPr>
      <w:spacing w:after="0" w:line="240" w:lineRule="auto"/>
    </w:pPr>
    <w:rPr>
      <w:color w:val="365F91" w:themeColor="accent1" w:themeShade="BF"/>
      <w:lang w:val="fr-FR" w:eastAsia="fr-F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Jasnecieniowanieakcent2">
    <w:name w:val="Light Shading Accent 2"/>
    <w:basedOn w:val="Standardowy"/>
    <w:uiPriority w:val="99"/>
    <w:rsid w:val="004D2070"/>
    <w:pPr>
      <w:spacing w:after="0" w:line="240" w:lineRule="auto"/>
    </w:pPr>
    <w:rPr>
      <w:color w:val="943634" w:themeColor="accent2" w:themeShade="BF"/>
      <w:lang w:val="fr-FR" w:eastAsia="fr-FR"/>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Jasnecieniowanieakcent3">
    <w:name w:val="Light Shading Accent 3"/>
    <w:basedOn w:val="Standardowy"/>
    <w:uiPriority w:val="99"/>
    <w:rsid w:val="004D2070"/>
    <w:pPr>
      <w:spacing w:after="0" w:line="240" w:lineRule="auto"/>
    </w:pPr>
    <w:rPr>
      <w:color w:val="76923C" w:themeColor="accent3" w:themeShade="BF"/>
      <w:lang w:val="fr-FR" w:eastAsia="fr-FR"/>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Jasnecieniowanieakcent4">
    <w:name w:val="Light Shading Accent 4"/>
    <w:basedOn w:val="Standardowy"/>
    <w:uiPriority w:val="99"/>
    <w:rsid w:val="004D2070"/>
    <w:pPr>
      <w:spacing w:after="0" w:line="240" w:lineRule="auto"/>
    </w:pPr>
    <w:rPr>
      <w:color w:val="5F497A" w:themeColor="accent4" w:themeShade="BF"/>
      <w:lang w:val="fr-FR" w:eastAsia="fr-FR"/>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Jasnecieniowanieakcent5">
    <w:name w:val="Light Shading Accent 5"/>
    <w:basedOn w:val="Standardowy"/>
    <w:uiPriority w:val="99"/>
    <w:rsid w:val="004D2070"/>
    <w:pPr>
      <w:spacing w:after="0" w:line="240" w:lineRule="auto"/>
    </w:pPr>
    <w:rPr>
      <w:color w:val="31849B" w:themeColor="accent5" w:themeShade="BF"/>
      <w:lang w:val="fr-FR" w:eastAsia="fr-FR"/>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Jasnecieniowanieakcent6">
    <w:name w:val="Light Shading Accent 6"/>
    <w:basedOn w:val="Standardowy"/>
    <w:uiPriority w:val="99"/>
    <w:rsid w:val="004D2070"/>
    <w:pPr>
      <w:spacing w:after="0" w:line="240" w:lineRule="auto"/>
    </w:pPr>
    <w:rPr>
      <w:color w:val="E36C0A" w:themeColor="accent6" w:themeShade="BF"/>
      <w:lang w:val="fr-FR" w:eastAsia="fr-FR"/>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character" w:styleId="Numerwiersza">
    <w:name w:val="line number"/>
    <w:basedOn w:val="Domylnaczcionkaakapitu"/>
    <w:uiPriority w:val="99"/>
    <w:semiHidden/>
    <w:rsid w:val="004D2070"/>
  </w:style>
  <w:style w:type="paragraph" w:styleId="Lista">
    <w:name w:val="List"/>
    <w:basedOn w:val="Normalny"/>
    <w:uiPriority w:val="99"/>
    <w:semiHidden/>
    <w:rsid w:val="004D2070"/>
    <w:pPr>
      <w:ind w:left="283" w:hanging="283"/>
      <w:contextualSpacing/>
    </w:pPr>
  </w:style>
  <w:style w:type="paragraph" w:styleId="Lista2">
    <w:name w:val="List 2"/>
    <w:basedOn w:val="Normalny"/>
    <w:uiPriority w:val="99"/>
    <w:semiHidden/>
    <w:rsid w:val="004D2070"/>
    <w:pPr>
      <w:ind w:left="566" w:hanging="283"/>
      <w:contextualSpacing/>
    </w:pPr>
  </w:style>
  <w:style w:type="paragraph" w:styleId="Lista3">
    <w:name w:val="List 3"/>
    <w:basedOn w:val="Normalny"/>
    <w:uiPriority w:val="99"/>
    <w:semiHidden/>
    <w:rsid w:val="004D2070"/>
    <w:pPr>
      <w:ind w:left="849" w:hanging="283"/>
      <w:contextualSpacing/>
    </w:pPr>
  </w:style>
  <w:style w:type="paragraph" w:styleId="Lista4">
    <w:name w:val="List 4"/>
    <w:basedOn w:val="Normalny"/>
    <w:uiPriority w:val="99"/>
    <w:semiHidden/>
    <w:rsid w:val="004D2070"/>
    <w:pPr>
      <w:ind w:left="1132" w:hanging="283"/>
      <w:contextualSpacing/>
    </w:pPr>
  </w:style>
  <w:style w:type="paragraph" w:styleId="Lista5">
    <w:name w:val="List 5"/>
    <w:basedOn w:val="Normalny"/>
    <w:uiPriority w:val="99"/>
    <w:semiHidden/>
    <w:rsid w:val="004D2070"/>
    <w:pPr>
      <w:ind w:left="1415" w:hanging="283"/>
      <w:contextualSpacing/>
    </w:pPr>
  </w:style>
  <w:style w:type="paragraph" w:styleId="Listapunktowana2">
    <w:name w:val="List Bullet 2"/>
    <w:basedOn w:val="Normalny"/>
    <w:uiPriority w:val="99"/>
    <w:semiHidden/>
    <w:rsid w:val="004D2070"/>
    <w:pPr>
      <w:numPr>
        <w:numId w:val="5"/>
      </w:numPr>
      <w:contextualSpacing/>
    </w:pPr>
  </w:style>
  <w:style w:type="paragraph" w:styleId="Listapunktowana3">
    <w:name w:val="List Bullet 3"/>
    <w:basedOn w:val="Normalny"/>
    <w:uiPriority w:val="99"/>
    <w:semiHidden/>
    <w:rsid w:val="004D2070"/>
    <w:pPr>
      <w:numPr>
        <w:numId w:val="6"/>
      </w:numPr>
      <w:contextualSpacing/>
    </w:pPr>
  </w:style>
  <w:style w:type="paragraph" w:styleId="Listapunktowana4">
    <w:name w:val="List Bullet 4"/>
    <w:basedOn w:val="Normalny"/>
    <w:uiPriority w:val="99"/>
    <w:semiHidden/>
    <w:rsid w:val="004D2070"/>
    <w:pPr>
      <w:numPr>
        <w:numId w:val="7"/>
      </w:numPr>
      <w:contextualSpacing/>
    </w:pPr>
  </w:style>
  <w:style w:type="paragraph" w:styleId="Listapunktowana5">
    <w:name w:val="List Bullet 5"/>
    <w:basedOn w:val="Normalny"/>
    <w:uiPriority w:val="99"/>
    <w:semiHidden/>
    <w:rsid w:val="004D2070"/>
    <w:pPr>
      <w:numPr>
        <w:numId w:val="8"/>
      </w:numPr>
      <w:contextualSpacing/>
    </w:pPr>
  </w:style>
  <w:style w:type="paragraph" w:styleId="Lista-kontynuacja">
    <w:name w:val="List Continue"/>
    <w:basedOn w:val="Normalny"/>
    <w:uiPriority w:val="99"/>
    <w:semiHidden/>
    <w:rsid w:val="004D2070"/>
    <w:pPr>
      <w:spacing w:after="120"/>
      <w:ind w:left="283"/>
      <w:contextualSpacing/>
    </w:pPr>
  </w:style>
  <w:style w:type="paragraph" w:styleId="Lista-kontynuacja2">
    <w:name w:val="List Continue 2"/>
    <w:basedOn w:val="Normalny"/>
    <w:uiPriority w:val="99"/>
    <w:semiHidden/>
    <w:rsid w:val="004D2070"/>
    <w:pPr>
      <w:spacing w:after="120"/>
      <w:ind w:left="566"/>
      <w:contextualSpacing/>
    </w:pPr>
  </w:style>
  <w:style w:type="paragraph" w:styleId="Lista-kontynuacja3">
    <w:name w:val="List Continue 3"/>
    <w:basedOn w:val="Normalny"/>
    <w:uiPriority w:val="99"/>
    <w:semiHidden/>
    <w:rsid w:val="004D2070"/>
    <w:pPr>
      <w:spacing w:after="120"/>
      <w:ind w:left="849"/>
      <w:contextualSpacing/>
    </w:pPr>
  </w:style>
  <w:style w:type="paragraph" w:styleId="Lista-kontynuacja4">
    <w:name w:val="List Continue 4"/>
    <w:basedOn w:val="Normalny"/>
    <w:uiPriority w:val="99"/>
    <w:semiHidden/>
    <w:rsid w:val="004D2070"/>
    <w:pPr>
      <w:spacing w:after="120"/>
      <w:ind w:left="1132"/>
      <w:contextualSpacing/>
    </w:pPr>
  </w:style>
  <w:style w:type="paragraph" w:styleId="Lista-kontynuacja5">
    <w:name w:val="List Continue 5"/>
    <w:basedOn w:val="Normalny"/>
    <w:uiPriority w:val="99"/>
    <w:semiHidden/>
    <w:rsid w:val="004D2070"/>
    <w:pPr>
      <w:spacing w:after="120"/>
      <w:ind w:left="1415"/>
      <w:contextualSpacing/>
    </w:pPr>
  </w:style>
  <w:style w:type="paragraph" w:styleId="Listanumerowana">
    <w:name w:val="List Number"/>
    <w:basedOn w:val="Normalny"/>
    <w:uiPriority w:val="99"/>
    <w:semiHidden/>
    <w:rsid w:val="004D2070"/>
    <w:pPr>
      <w:numPr>
        <w:numId w:val="9"/>
      </w:numPr>
      <w:contextualSpacing/>
    </w:pPr>
  </w:style>
  <w:style w:type="paragraph" w:styleId="Listanumerowana2">
    <w:name w:val="List Number 2"/>
    <w:basedOn w:val="Normalny"/>
    <w:uiPriority w:val="99"/>
    <w:semiHidden/>
    <w:rsid w:val="004D2070"/>
    <w:pPr>
      <w:numPr>
        <w:numId w:val="10"/>
      </w:numPr>
      <w:contextualSpacing/>
    </w:pPr>
  </w:style>
  <w:style w:type="paragraph" w:styleId="Listanumerowana3">
    <w:name w:val="List Number 3"/>
    <w:basedOn w:val="Normalny"/>
    <w:uiPriority w:val="99"/>
    <w:semiHidden/>
    <w:rsid w:val="004D2070"/>
    <w:pPr>
      <w:numPr>
        <w:numId w:val="11"/>
      </w:numPr>
      <w:contextualSpacing/>
    </w:pPr>
  </w:style>
  <w:style w:type="paragraph" w:styleId="Listanumerowana4">
    <w:name w:val="List Number 4"/>
    <w:basedOn w:val="Normalny"/>
    <w:uiPriority w:val="99"/>
    <w:semiHidden/>
    <w:rsid w:val="004D2070"/>
    <w:pPr>
      <w:numPr>
        <w:numId w:val="12"/>
      </w:numPr>
      <w:contextualSpacing/>
    </w:pPr>
  </w:style>
  <w:style w:type="paragraph" w:styleId="Listanumerowana5">
    <w:name w:val="List Number 5"/>
    <w:basedOn w:val="Normalny"/>
    <w:uiPriority w:val="99"/>
    <w:semiHidden/>
    <w:rsid w:val="004D2070"/>
    <w:pPr>
      <w:numPr>
        <w:numId w:val="13"/>
      </w:numPr>
      <w:contextualSpacing/>
    </w:pPr>
  </w:style>
  <w:style w:type="paragraph" w:styleId="Tekstmakra">
    <w:name w:val="macro"/>
    <w:link w:val="TekstmakraZnak"/>
    <w:uiPriority w:val="99"/>
    <w:semiHidden/>
    <w:rsid w:val="004D2070"/>
    <w:pPr>
      <w:tabs>
        <w:tab w:val="left" w:pos="480"/>
        <w:tab w:val="left" w:pos="960"/>
        <w:tab w:val="left" w:pos="1440"/>
        <w:tab w:val="left" w:pos="1920"/>
        <w:tab w:val="left" w:pos="2400"/>
        <w:tab w:val="left" w:pos="2880"/>
        <w:tab w:val="left" w:pos="3360"/>
        <w:tab w:val="left" w:pos="3840"/>
        <w:tab w:val="left" w:pos="4320"/>
      </w:tabs>
      <w:suppressAutoHyphens/>
      <w:spacing w:after="0" w:line="240" w:lineRule="auto"/>
    </w:pPr>
    <w:rPr>
      <w:rFonts w:ascii="Consolas" w:hAnsi="Consolas" w:cs="Consolas"/>
      <w:sz w:val="20"/>
      <w:szCs w:val="20"/>
      <w:lang w:val="en-GB" w:eastAsia="fr-FR"/>
    </w:rPr>
  </w:style>
  <w:style w:type="character" w:customStyle="1" w:styleId="TekstmakraZnak">
    <w:name w:val="Tekst makra Znak"/>
    <w:basedOn w:val="Domylnaczcionkaakapitu"/>
    <w:link w:val="Tekstmakra"/>
    <w:uiPriority w:val="99"/>
    <w:semiHidden/>
    <w:rsid w:val="004D2070"/>
    <w:rPr>
      <w:rFonts w:ascii="Consolas" w:hAnsi="Consolas" w:cs="Consolas"/>
      <w:sz w:val="20"/>
      <w:szCs w:val="20"/>
      <w:lang w:val="en-GB" w:eastAsia="fr-FR"/>
    </w:rPr>
  </w:style>
  <w:style w:type="table" w:customStyle="1" w:styleId="redniasiatka11">
    <w:name w:val="Średnia siatka 11"/>
    <w:basedOn w:val="Standardowy"/>
    <w:uiPriority w:val="99"/>
    <w:rsid w:val="004D2070"/>
    <w:pPr>
      <w:spacing w:after="0" w:line="240" w:lineRule="auto"/>
    </w:pPr>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rsid w:val="004D2070"/>
    <w:pPr>
      <w:spacing w:after="0" w:line="240" w:lineRule="auto"/>
    </w:pPr>
    <w:rPr>
      <w:lang w:val="fr-FR" w:eastAsia="fr-FR"/>
    </w:r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redniasiatka1akcent2">
    <w:name w:val="Medium Grid 1 Accent 2"/>
    <w:basedOn w:val="Standardowy"/>
    <w:uiPriority w:val="99"/>
    <w:rsid w:val="004D2070"/>
    <w:pPr>
      <w:spacing w:after="0" w:line="240" w:lineRule="auto"/>
    </w:pPr>
    <w:rPr>
      <w:lang w:val="fr-FR" w:eastAsia="fr-FR"/>
    </w:r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redniasiatka1akcent3">
    <w:name w:val="Medium Grid 1 Accent 3"/>
    <w:basedOn w:val="Standardowy"/>
    <w:uiPriority w:val="99"/>
    <w:rsid w:val="004D2070"/>
    <w:pPr>
      <w:spacing w:after="0" w:line="240" w:lineRule="auto"/>
    </w:pPr>
    <w:rPr>
      <w:lang w:val="fr-FR" w:eastAsia="fr-FR"/>
    </w:r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redniasiatka1akcent4">
    <w:name w:val="Medium Grid 1 Accent 4"/>
    <w:basedOn w:val="Standardowy"/>
    <w:uiPriority w:val="99"/>
    <w:rsid w:val="004D2070"/>
    <w:pPr>
      <w:spacing w:after="0" w:line="240" w:lineRule="auto"/>
    </w:pPr>
    <w:rPr>
      <w:lang w:val="fr-FR" w:eastAsia="fr-FR"/>
    </w:r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redniasiatka1akcent5">
    <w:name w:val="Medium Grid 1 Accent 5"/>
    <w:basedOn w:val="Standardowy"/>
    <w:uiPriority w:val="99"/>
    <w:rsid w:val="004D2070"/>
    <w:pPr>
      <w:spacing w:after="0" w:line="240" w:lineRule="auto"/>
    </w:pPr>
    <w:rPr>
      <w:lang w:val="fr-FR" w:eastAsia="fr-FR"/>
    </w:r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redniasiatka1akcent6">
    <w:name w:val="Medium Grid 1 Accent 6"/>
    <w:basedOn w:val="Standardowy"/>
    <w:uiPriority w:val="99"/>
    <w:rsid w:val="004D2070"/>
    <w:pPr>
      <w:spacing w:after="0" w:line="240" w:lineRule="auto"/>
    </w:pPr>
    <w:rPr>
      <w:lang w:val="fr-FR" w:eastAsia="fr-FR"/>
    </w:r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customStyle="1" w:styleId="redniasiatka21">
    <w:name w:val="Średnia siatka 21"/>
    <w:basedOn w:val="Standardowy"/>
    <w:uiPriority w:val="99"/>
    <w:rsid w:val="004D2070"/>
    <w:pPr>
      <w:spacing w:after="0" w:line="240" w:lineRule="auto"/>
    </w:pPr>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redniasiatka2akcent1">
    <w:name w:val="Medium Grid 2 Accent 1"/>
    <w:basedOn w:val="Standardowy"/>
    <w:uiPriority w:val="99"/>
    <w:rsid w:val="004D2070"/>
    <w:pPr>
      <w:spacing w:after="0" w:line="240" w:lineRule="auto"/>
    </w:pPr>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redniasiatka2akcent2">
    <w:name w:val="Medium Grid 2 Accent 2"/>
    <w:basedOn w:val="Standardowy"/>
    <w:uiPriority w:val="99"/>
    <w:rsid w:val="004D2070"/>
    <w:pPr>
      <w:spacing w:after="0" w:line="240" w:lineRule="auto"/>
    </w:pPr>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redniasiatka2akcent3">
    <w:name w:val="Medium Grid 2 Accent 3"/>
    <w:basedOn w:val="Standardowy"/>
    <w:uiPriority w:val="99"/>
    <w:rsid w:val="004D2070"/>
    <w:pPr>
      <w:spacing w:after="0" w:line="240" w:lineRule="auto"/>
    </w:pPr>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redniasiatka2akcent4">
    <w:name w:val="Medium Grid 2 Accent 4"/>
    <w:basedOn w:val="Standardowy"/>
    <w:uiPriority w:val="99"/>
    <w:rsid w:val="004D2070"/>
    <w:pPr>
      <w:spacing w:after="0" w:line="240" w:lineRule="auto"/>
    </w:pPr>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redniasiatka2akcent5">
    <w:name w:val="Medium Grid 2 Accent 5"/>
    <w:basedOn w:val="Standardowy"/>
    <w:uiPriority w:val="99"/>
    <w:rsid w:val="004D2070"/>
    <w:pPr>
      <w:spacing w:after="0" w:line="240" w:lineRule="auto"/>
    </w:pPr>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redniasiatka2akcent6">
    <w:name w:val="Medium Grid 2 Accent 6"/>
    <w:basedOn w:val="Standardowy"/>
    <w:uiPriority w:val="99"/>
    <w:rsid w:val="004D2070"/>
    <w:pPr>
      <w:spacing w:after="0" w:line="240" w:lineRule="auto"/>
    </w:pPr>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customStyle="1" w:styleId="redniasiatka31">
    <w:name w:val="Średnia siatka 31"/>
    <w:basedOn w:val="Standardowy"/>
    <w:uiPriority w:val="99"/>
    <w:rsid w:val="004D2070"/>
    <w:pPr>
      <w:spacing w:after="0" w:line="240" w:lineRule="auto"/>
    </w:pPr>
    <w:rPr>
      <w:lang w:val="fr-FR" w:eastAsia="fr-FR"/>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redniasiatka3akcent1">
    <w:name w:val="Medium Grid 3 Accent 1"/>
    <w:basedOn w:val="Standardowy"/>
    <w:uiPriority w:val="99"/>
    <w:rsid w:val="004D2070"/>
    <w:pPr>
      <w:spacing w:after="0" w:line="240" w:lineRule="auto"/>
    </w:pPr>
    <w:rPr>
      <w:lang w:val="fr-FR" w:eastAsia="fr-FR"/>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redniasiatka3akcent2">
    <w:name w:val="Medium Grid 3 Accent 2"/>
    <w:basedOn w:val="Standardowy"/>
    <w:uiPriority w:val="99"/>
    <w:rsid w:val="004D2070"/>
    <w:pPr>
      <w:spacing w:after="0" w:line="240" w:lineRule="auto"/>
    </w:pPr>
    <w:rPr>
      <w:lang w:val="fr-FR" w:eastAsia="fr-FR"/>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redniasiatka3akcent3">
    <w:name w:val="Medium Grid 3 Accent 3"/>
    <w:basedOn w:val="Standardowy"/>
    <w:uiPriority w:val="99"/>
    <w:rsid w:val="004D2070"/>
    <w:pPr>
      <w:spacing w:after="0" w:line="240" w:lineRule="auto"/>
    </w:pPr>
    <w:rPr>
      <w:lang w:val="fr-FR" w:eastAsia="fr-FR"/>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redniasiatka3akcent4">
    <w:name w:val="Medium Grid 3 Accent 4"/>
    <w:basedOn w:val="Standardowy"/>
    <w:uiPriority w:val="99"/>
    <w:rsid w:val="004D2070"/>
    <w:pPr>
      <w:spacing w:after="0" w:line="240" w:lineRule="auto"/>
    </w:pPr>
    <w:rPr>
      <w:lang w:val="fr-FR" w:eastAsia="fr-FR"/>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redniasiatka3akcent5">
    <w:name w:val="Medium Grid 3 Accent 5"/>
    <w:basedOn w:val="Standardowy"/>
    <w:uiPriority w:val="99"/>
    <w:rsid w:val="004D2070"/>
    <w:pPr>
      <w:spacing w:after="0" w:line="240" w:lineRule="auto"/>
    </w:pPr>
    <w:rPr>
      <w:lang w:val="fr-FR" w:eastAsia="fr-FR"/>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redniasiatka3akcent6">
    <w:name w:val="Medium Grid 3 Accent 6"/>
    <w:basedOn w:val="Standardowy"/>
    <w:uiPriority w:val="99"/>
    <w:rsid w:val="004D2070"/>
    <w:pPr>
      <w:spacing w:after="0" w:line="240" w:lineRule="auto"/>
    </w:pPr>
    <w:rPr>
      <w:lang w:val="fr-FR" w:eastAsia="fr-FR"/>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customStyle="1" w:styleId="rednialista11">
    <w:name w:val="Średnia lista 11"/>
    <w:basedOn w:val="Standardowy"/>
    <w:uiPriority w:val="99"/>
    <w:rsid w:val="004D2070"/>
    <w:pPr>
      <w:spacing w:after="0" w:line="240" w:lineRule="auto"/>
    </w:pPr>
    <w:rPr>
      <w:color w:val="000000" w:themeColor="text1"/>
      <w:lang w:val="fr-FR"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customStyle="1" w:styleId="rednialista1akcent11">
    <w:name w:val="Średnia lista 1 — akcent 11"/>
    <w:basedOn w:val="Standardowy"/>
    <w:uiPriority w:val="99"/>
    <w:rsid w:val="004D2070"/>
    <w:pPr>
      <w:spacing w:after="0" w:line="240" w:lineRule="auto"/>
    </w:pPr>
    <w:rPr>
      <w:color w:val="000000" w:themeColor="text1"/>
      <w:lang w:val="fr-FR" w:eastAsia="fr-FR"/>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rednialista1akcent2">
    <w:name w:val="Medium List 1 Accent 2"/>
    <w:basedOn w:val="Standardowy"/>
    <w:uiPriority w:val="99"/>
    <w:rsid w:val="004D2070"/>
    <w:pPr>
      <w:spacing w:after="0" w:line="240" w:lineRule="auto"/>
    </w:pPr>
    <w:rPr>
      <w:color w:val="000000" w:themeColor="text1"/>
      <w:lang w:val="fr-FR" w:eastAsia="fr-FR"/>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rednialista1akcent3">
    <w:name w:val="Medium List 1 Accent 3"/>
    <w:basedOn w:val="Standardowy"/>
    <w:uiPriority w:val="99"/>
    <w:rsid w:val="004D2070"/>
    <w:pPr>
      <w:spacing w:after="0" w:line="240" w:lineRule="auto"/>
    </w:pPr>
    <w:rPr>
      <w:color w:val="000000" w:themeColor="text1"/>
      <w:lang w:val="fr-FR" w:eastAsia="fr-FR"/>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rednialista1akcent4">
    <w:name w:val="Medium List 1 Accent 4"/>
    <w:basedOn w:val="Standardowy"/>
    <w:uiPriority w:val="99"/>
    <w:rsid w:val="004D2070"/>
    <w:pPr>
      <w:spacing w:after="0" w:line="240" w:lineRule="auto"/>
    </w:pPr>
    <w:rPr>
      <w:color w:val="000000" w:themeColor="text1"/>
      <w:lang w:val="fr-FR" w:eastAsia="fr-FR"/>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rednialista1akcent5">
    <w:name w:val="Medium List 1 Accent 5"/>
    <w:basedOn w:val="Standardowy"/>
    <w:uiPriority w:val="99"/>
    <w:rsid w:val="004D2070"/>
    <w:pPr>
      <w:spacing w:after="0" w:line="240" w:lineRule="auto"/>
    </w:pPr>
    <w:rPr>
      <w:color w:val="000000" w:themeColor="text1"/>
      <w:lang w:val="fr-FR" w:eastAsia="fr-FR"/>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rednialista1akcent6">
    <w:name w:val="Medium List 1 Accent 6"/>
    <w:basedOn w:val="Standardowy"/>
    <w:uiPriority w:val="99"/>
    <w:rsid w:val="004D2070"/>
    <w:pPr>
      <w:spacing w:after="0" w:line="240" w:lineRule="auto"/>
    </w:pPr>
    <w:rPr>
      <w:color w:val="000000" w:themeColor="text1"/>
      <w:lang w:val="fr-FR" w:eastAsia="fr-FR"/>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customStyle="1" w:styleId="rednialista21">
    <w:name w:val="Średnia lista 21"/>
    <w:basedOn w:val="Standardowy"/>
    <w:uiPriority w:val="99"/>
    <w:rsid w:val="004D2070"/>
    <w:pPr>
      <w:spacing w:after="0" w:line="240" w:lineRule="auto"/>
    </w:pPr>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lista2akcent1">
    <w:name w:val="Medium List 2 Accent 1"/>
    <w:basedOn w:val="Standardowy"/>
    <w:uiPriority w:val="99"/>
    <w:rsid w:val="004D2070"/>
    <w:pPr>
      <w:spacing w:after="0" w:line="240" w:lineRule="auto"/>
    </w:pPr>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lista2akcent2">
    <w:name w:val="Medium List 2 Accent 2"/>
    <w:basedOn w:val="Standardowy"/>
    <w:uiPriority w:val="99"/>
    <w:rsid w:val="004D2070"/>
    <w:pPr>
      <w:spacing w:after="0" w:line="240" w:lineRule="auto"/>
    </w:pPr>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lista2akcent3">
    <w:name w:val="Medium List 2 Accent 3"/>
    <w:basedOn w:val="Standardowy"/>
    <w:uiPriority w:val="99"/>
    <w:rsid w:val="004D2070"/>
    <w:pPr>
      <w:spacing w:after="0" w:line="240" w:lineRule="auto"/>
    </w:pPr>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lista2akcent4">
    <w:name w:val="Medium List 2 Accent 4"/>
    <w:basedOn w:val="Standardowy"/>
    <w:uiPriority w:val="99"/>
    <w:rsid w:val="004D2070"/>
    <w:pPr>
      <w:spacing w:after="0" w:line="240" w:lineRule="auto"/>
    </w:pPr>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lista2akcent5">
    <w:name w:val="Medium List 2 Accent 5"/>
    <w:basedOn w:val="Standardowy"/>
    <w:uiPriority w:val="99"/>
    <w:rsid w:val="004D2070"/>
    <w:pPr>
      <w:spacing w:after="0" w:line="240" w:lineRule="auto"/>
    </w:pPr>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lista2akcent6">
    <w:name w:val="Medium List 2 Accent 6"/>
    <w:basedOn w:val="Standardowy"/>
    <w:uiPriority w:val="99"/>
    <w:rsid w:val="004D2070"/>
    <w:pPr>
      <w:spacing w:after="0" w:line="240" w:lineRule="auto"/>
    </w:pPr>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redniecieniowanie11">
    <w:name w:val="Średnie cieniowanie 11"/>
    <w:basedOn w:val="Standardowy"/>
    <w:uiPriority w:val="99"/>
    <w:rsid w:val="004D2070"/>
    <w:pPr>
      <w:spacing w:after="0" w:line="240" w:lineRule="auto"/>
    </w:pPr>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customStyle="1" w:styleId="redniecieniowanie1akcent11">
    <w:name w:val="Średnie cieniowanie 1 — akcent 11"/>
    <w:basedOn w:val="Standardowy"/>
    <w:uiPriority w:val="99"/>
    <w:rsid w:val="004D2070"/>
    <w:pPr>
      <w:spacing w:after="0" w:line="240" w:lineRule="auto"/>
    </w:pPr>
    <w:rPr>
      <w:lang w:val="fr-FR" w:eastAsia="fr-FR"/>
    </w:r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rsid w:val="004D2070"/>
    <w:pPr>
      <w:spacing w:after="0" w:line="240" w:lineRule="auto"/>
    </w:pPr>
    <w:rPr>
      <w:lang w:val="fr-FR" w:eastAsia="fr-FR"/>
    </w:r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rsid w:val="004D2070"/>
    <w:pPr>
      <w:spacing w:after="0" w:line="240" w:lineRule="auto"/>
    </w:pPr>
    <w:rPr>
      <w:lang w:val="fr-FR" w:eastAsia="fr-FR"/>
    </w:r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rsid w:val="004D2070"/>
    <w:pPr>
      <w:spacing w:after="0" w:line="240" w:lineRule="auto"/>
    </w:pPr>
    <w:rPr>
      <w:lang w:val="fr-FR" w:eastAsia="fr-FR"/>
    </w:r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rsid w:val="004D2070"/>
    <w:pPr>
      <w:spacing w:after="0" w:line="240" w:lineRule="auto"/>
    </w:pPr>
    <w:rPr>
      <w:lang w:val="fr-FR" w:eastAsia="fr-FR"/>
    </w:r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rsid w:val="004D2070"/>
    <w:pPr>
      <w:spacing w:after="0" w:line="240" w:lineRule="auto"/>
    </w:pPr>
    <w:rPr>
      <w:lang w:val="fr-FR" w:eastAsia="fr-FR"/>
    </w:r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customStyle="1" w:styleId="redniecieniowanie21">
    <w:name w:val="Średnie cieniowanie 21"/>
    <w:basedOn w:val="Standardowy"/>
    <w:uiPriority w:val="99"/>
    <w:rsid w:val="004D2070"/>
    <w:pPr>
      <w:spacing w:after="0" w:line="240" w:lineRule="auto"/>
    </w:pPr>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redniecieniowanie2akcent11">
    <w:name w:val="Średnie cieniowanie 2 — akcent 11"/>
    <w:basedOn w:val="Standardowy"/>
    <w:uiPriority w:val="99"/>
    <w:rsid w:val="004D2070"/>
    <w:pPr>
      <w:spacing w:after="0" w:line="240" w:lineRule="auto"/>
    </w:pPr>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rsid w:val="004D2070"/>
    <w:pPr>
      <w:spacing w:after="0" w:line="240" w:lineRule="auto"/>
    </w:pPr>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rsid w:val="004D2070"/>
    <w:pPr>
      <w:spacing w:after="0" w:line="240" w:lineRule="auto"/>
    </w:pPr>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rsid w:val="004D2070"/>
    <w:pPr>
      <w:spacing w:after="0" w:line="240" w:lineRule="auto"/>
    </w:pPr>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rsid w:val="004D2070"/>
    <w:pPr>
      <w:spacing w:after="0" w:line="240" w:lineRule="auto"/>
    </w:pPr>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rsid w:val="004D2070"/>
    <w:pPr>
      <w:spacing w:after="0" w:line="240" w:lineRule="auto"/>
    </w:pPr>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4D2070"/>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4D2070"/>
    <w:rPr>
      <w:rFonts w:asciiTheme="majorHAnsi" w:eastAsiaTheme="majorEastAsia" w:hAnsiTheme="majorHAnsi" w:cstheme="majorBidi"/>
      <w:sz w:val="24"/>
      <w:szCs w:val="24"/>
      <w:shd w:val="pct20" w:color="auto" w:fill="auto"/>
      <w:lang w:val="en-US"/>
    </w:rPr>
  </w:style>
  <w:style w:type="paragraph" w:styleId="NormalnyWeb">
    <w:name w:val="Normal (Web)"/>
    <w:basedOn w:val="Normalny"/>
    <w:rsid w:val="004D2070"/>
    <w:rPr>
      <w:rFonts w:ascii="Times New Roman" w:hAnsi="Times New Roman" w:cs="Times New Roman"/>
      <w:szCs w:val="24"/>
    </w:rPr>
  </w:style>
  <w:style w:type="paragraph" w:styleId="Wcicienormalne">
    <w:name w:val="Normal Indent"/>
    <w:basedOn w:val="Normalny"/>
    <w:uiPriority w:val="99"/>
    <w:semiHidden/>
    <w:rsid w:val="004D2070"/>
    <w:pPr>
      <w:ind w:left="720"/>
    </w:pPr>
  </w:style>
  <w:style w:type="paragraph" w:styleId="Nagweknotatki">
    <w:name w:val="Note Heading"/>
    <w:basedOn w:val="Normalny"/>
    <w:next w:val="Normalny"/>
    <w:link w:val="NagweknotatkiZnak"/>
    <w:uiPriority w:val="99"/>
    <w:semiHidden/>
    <w:rsid w:val="004D2070"/>
  </w:style>
  <w:style w:type="character" w:customStyle="1" w:styleId="NagweknotatkiZnak">
    <w:name w:val="Nagłówek notatki Znak"/>
    <w:basedOn w:val="Domylnaczcionkaakapitu"/>
    <w:link w:val="Nagweknotatki"/>
    <w:uiPriority w:val="99"/>
    <w:semiHidden/>
    <w:rsid w:val="004D2070"/>
    <w:rPr>
      <w:rFonts w:eastAsiaTheme="minorEastAsia"/>
      <w:sz w:val="24"/>
      <w:lang w:val="en-US"/>
    </w:rPr>
  </w:style>
  <w:style w:type="character" w:styleId="Tekstzastpczy">
    <w:name w:val="Placeholder Text"/>
    <w:basedOn w:val="Domylnaczcionkaakapitu"/>
    <w:uiPriority w:val="99"/>
    <w:semiHidden/>
    <w:rsid w:val="004D2070"/>
    <w:rPr>
      <w:color w:val="808080"/>
    </w:rPr>
  </w:style>
  <w:style w:type="paragraph" w:styleId="Zwykytekst">
    <w:name w:val="Plain Text"/>
    <w:basedOn w:val="Normalny"/>
    <w:link w:val="ZwykytekstZnak"/>
    <w:uiPriority w:val="99"/>
    <w:semiHidden/>
    <w:rsid w:val="004D2070"/>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4D2070"/>
    <w:rPr>
      <w:rFonts w:ascii="Consolas" w:eastAsiaTheme="minorEastAsia" w:hAnsi="Consolas" w:cs="Consolas"/>
      <w:sz w:val="21"/>
      <w:szCs w:val="21"/>
      <w:lang w:val="en-US"/>
    </w:rPr>
  </w:style>
  <w:style w:type="paragraph" w:styleId="Zwrotgrzecznociowy">
    <w:name w:val="Salutation"/>
    <w:basedOn w:val="Normalny"/>
    <w:next w:val="Normalny"/>
    <w:link w:val="ZwrotgrzecznociowyZnak"/>
    <w:uiPriority w:val="99"/>
    <w:semiHidden/>
    <w:rsid w:val="004D2070"/>
  </w:style>
  <w:style w:type="character" w:customStyle="1" w:styleId="ZwrotgrzecznociowyZnak">
    <w:name w:val="Zwrot grzecznościowy Znak"/>
    <w:basedOn w:val="Domylnaczcionkaakapitu"/>
    <w:link w:val="Zwrotgrzecznociowy"/>
    <w:uiPriority w:val="99"/>
    <w:semiHidden/>
    <w:rsid w:val="004D2070"/>
    <w:rPr>
      <w:rFonts w:eastAsiaTheme="minorEastAsia"/>
      <w:sz w:val="24"/>
      <w:lang w:val="en-US"/>
    </w:rPr>
  </w:style>
  <w:style w:type="paragraph" w:styleId="Podpis">
    <w:name w:val="Signature"/>
    <w:basedOn w:val="Normalny"/>
    <w:link w:val="PodpisZnak"/>
    <w:uiPriority w:val="99"/>
    <w:semiHidden/>
    <w:rsid w:val="004D2070"/>
    <w:pPr>
      <w:ind w:left="4252"/>
    </w:pPr>
  </w:style>
  <w:style w:type="character" w:customStyle="1" w:styleId="PodpisZnak">
    <w:name w:val="Podpis Znak"/>
    <w:basedOn w:val="Domylnaczcionkaakapitu"/>
    <w:link w:val="Podpis"/>
    <w:uiPriority w:val="99"/>
    <w:semiHidden/>
    <w:rsid w:val="004D2070"/>
    <w:rPr>
      <w:rFonts w:eastAsiaTheme="minorEastAsia"/>
      <w:sz w:val="24"/>
      <w:lang w:val="en-US"/>
    </w:rPr>
  </w:style>
  <w:style w:type="table" w:styleId="Tabela-Efekty3W1">
    <w:name w:val="Table 3D effects 1"/>
    <w:basedOn w:val="Standardowy"/>
    <w:uiPriority w:val="99"/>
    <w:semiHidden/>
    <w:rsid w:val="004D2070"/>
    <w:pPr>
      <w:suppressAutoHyphens/>
      <w:spacing w:after="0" w:line="240" w:lineRule="auto"/>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4D2070"/>
    <w:pPr>
      <w:suppressAutoHyphens/>
      <w:spacing w:after="0" w:line="240" w:lineRule="auto"/>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4D2070"/>
    <w:pPr>
      <w:suppressAutoHyphens/>
      <w:spacing w:after="0" w:line="240" w:lineRule="auto"/>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4D2070"/>
    <w:pPr>
      <w:suppressAutoHyphens/>
      <w:spacing w:after="0" w:line="240" w:lineRule="auto"/>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4D2070"/>
    <w:pPr>
      <w:suppressAutoHyphens/>
      <w:spacing w:after="0" w:line="240" w:lineRule="auto"/>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4D2070"/>
    <w:pPr>
      <w:suppressAutoHyphens/>
      <w:spacing w:after="0" w:line="240" w:lineRule="auto"/>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4D2070"/>
    <w:pPr>
      <w:suppressAutoHyphens/>
      <w:spacing w:after="0" w:line="240" w:lineRule="auto"/>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4D2070"/>
    <w:pPr>
      <w:suppressAutoHyphens/>
      <w:spacing w:after="0" w:line="240" w:lineRule="auto"/>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4D2070"/>
    <w:pPr>
      <w:suppressAutoHyphens/>
      <w:spacing w:after="0" w:line="240" w:lineRule="auto"/>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4D2070"/>
    <w:pPr>
      <w:suppressAutoHyphens/>
      <w:spacing w:after="0" w:line="240" w:lineRule="auto"/>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4D2070"/>
    <w:pPr>
      <w:suppressAutoHyphens/>
      <w:spacing w:after="0" w:line="240" w:lineRule="auto"/>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4D2070"/>
    <w:pPr>
      <w:suppressAutoHyphens/>
      <w:spacing w:after="0" w:line="240" w:lineRule="auto"/>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4D2070"/>
    <w:pPr>
      <w:suppressAutoHyphens/>
      <w:spacing w:after="0" w:line="240" w:lineRule="auto"/>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4D2070"/>
    <w:pPr>
      <w:suppressAutoHyphens/>
      <w:spacing w:after="0" w:line="240" w:lineRule="auto"/>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4D2070"/>
    <w:pPr>
      <w:suppressAutoHyphens/>
      <w:spacing w:after="0" w:line="240" w:lineRule="auto"/>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4D2070"/>
    <w:pPr>
      <w:suppressAutoHyphens/>
      <w:spacing w:after="0" w:line="240" w:lineRule="auto"/>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4D2070"/>
    <w:pPr>
      <w:suppressAutoHyphens/>
      <w:spacing w:after="0" w:line="240" w:lineRule="auto"/>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
    <w:name w:val="Table Grid"/>
    <w:basedOn w:val="Standardowy"/>
    <w:uiPriority w:val="99"/>
    <w:rsid w:val="004D2070"/>
    <w:pPr>
      <w:spacing w:after="0" w:line="240" w:lineRule="auto"/>
    </w:pPr>
    <w:rPr>
      <w:rFonts w:eastAsiaTheme="minorEastAsia"/>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atka1">
    <w:name w:val="Table Grid 1"/>
    <w:basedOn w:val="Standardowy"/>
    <w:uiPriority w:val="99"/>
    <w:semiHidden/>
    <w:rsid w:val="004D2070"/>
    <w:pPr>
      <w:suppressAutoHyphens/>
      <w:spacing w:after="0" w:line="240" w:lineRule="auto"/>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4D2070"/>
    <w:pPr>
      <w:suppressAutoHyphens/>
      <w:spacing w:after="0" w:line="240" w:lineRule="auto"/>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4D2070"/>
    <w:pPr>
      <w:suppressAutoHyphens/>
      <w:spacing w:after="0" w:line="240" w:lineRule="auto"/>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4D2070"/>
    <w:pPr>
      <w:suppressAutoHyphens/>
      <w:spacing w:after="0" w:line="240" w:lineRule="auto"/>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4D2070"/>
    <w:pPr>
      <w:suppressAutoHyphens/>
      <w:spacing w:after="0" w:line="240" w:lineRule="auto"/>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4D2070"/>
    <w:pPr>
      <w:suppressAutoHyphens/>
      <w:spacing w:after="0" w:line="240" w:lineRule="auto"/>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4D2070"/>
    <w:pPr>
      <w:suppressAutoHyphens/>
      <w:spacing w:after="0" w:line="240" w:lineRule="auto"/>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4D2070"/>
    <w:pPr>
      <w:suppressAutoHyphens/>
      <w:spacing w:after="0" w:line="240" w:lineRule="auto"/>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4D2070"/>
    <w:pPr>
      <w:suppressAutoHyphens/>
      <w:spacing w:after="0" w:line="240" w:lineRule="auto"/>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4D2070"/>
    <w:pPr>
      <w:suppressAutoHyphens/>
      <w:spacing w:after="0" w:line="240" w:lineRule="auto"/>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4D2070"/>
    <w:pPr>
      <w:suppressAutoHyphens/>
      <w:spacing w:after="0" w:line="240" w:lineRule="auto"/>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4D2070"/>
    <w:pPr>
      <w:suppressAutoHyphens/>
      <w:spacing w:after="0" w:line="240" w:lineRule="auto"/>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4D2070"/>
    <w:pPr>
      <w:suppressAutoHyphens/>
      <w:spacing w:after="0" w:line="240" w:lineRule="auto"/>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4D2070"/>
    <w:pPr>
      <w:suppressAutoHyphens/>
      <w:spacing w:after="0" w:line="240" w:lineRule="auto"/>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4D2070"/>
    <w:pPr>
      <w:suppressAutoHyphens/>
      <w:spacing w:after="0" w:line="240" w:lineRule="auto"/>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4D2070"/>
    <w:pPr>
      <w:suppressAutoHyphens/>
      <w:spacing w:after="0" w:line="240" w:lineRule="auto"/>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4D2070"/>
    <w:pPr>
      <w:ind w:left="240" w:hanging="240"/>
    </w:pPr>
  </w:style>
  <w:style w:type="paragraph" w:styleId="Spisilustracji">
    <w:name w:val="table of figures"/>
    <w:basedOn w:val="Normalny"/>
    <w:next w:val="Normalny"/>
    <w:uiPriority w:val="99"/>
    <w:semiHidden/>
    <w:rsid w:val="004D2070"/>
  </w:style>
  <w:style w:type="table" w:styleId="Tabela-Profesjonalny">
    <w:name w:val="Table Professional"/>
    <w:basedOn w:val="Standardowy"/>
    <w:uiPriority w:val="99"/>
    <w:semiHidden/>
    <w:rsid w:val="004D2070"/>
    <w:pPr>
      <w:suppressAutoHyphens/>
      <w:spacing w:after="0" w:line="240" w:lineRule="auto"/>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4D2070"/>
    <w:pPr>
      <w:suppressAutoHyphens/>
      <w:spacing w:after="0" w:line="240" w:lineRule="auto"/>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4D2070"/>
    <w:pPr>
      <w:suppressAutoHyphens/>
      <w:spacing w:after="0" w:line="240" w:lineRule="auto"/>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4D2070"/>
    <w:pPr>
      <w:suppressAutoHyphens/>
      <w:spacing w:after="0" w:line="240" w:lineRule="auto"/>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4D2070"/>
    <w:pPr>
      <w:suppressAutoHyphens/>
      <w:spacing w:after="0" w:line="240" w:lineRule="auto"/>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4D2070"/>
    <w:pPr>
      <w:suppressAutoHyphens/>
      <w:spacing w:after="0" w:line="240" w:lineRule="auto"/>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4D2070"/>
    <w:pPr>
      <w:suppressAutoHyphens/>
      <w:spacing w:after="0" w:line="240" w:lineRule="auto"/>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4D2070"/>
    <w:pPr>
      <w:suppressAutoHyphens/>
      <w:spacing w:after="0" w:line="240" w:lineRule="auto"/>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4D2070"/>
    <w:pPr>
      <w:suppressAutoHyphens/>
      <w:spacing w:after="0" w:line="240" w:lineRule="auto"/>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4D2070"/>
    <w:pPr>
      <w:suppressAutoHyphens/>
      <w:spacing w:after="0" w:line="240" w:lineRule="auto"/>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Nagwekwykazurde">
    <w:name w:val="toa heading"/>
    <w:basedOn w:val="Normalny"/>
    <w:next w:val="Normalny"/>
    <w:uiPriority w:val="99"/>
    <w:semiHidden/>
    <w:rsid w:val="004D2070"/>
    <w:pPr>
      <w:spacing w:before="120"/>
    </w:pPr>
    <w:rPr>
      <w:rFonts w:asciiTheme="majorHAnsi" w:eastAsiaTheme="majorEastAsia" w:hAnsiTheme="majorHAnsi" w:cstheme="majorBidi"/>
      <w:b/>
      <w:bCs/>
      <w:color w:val="76923C" w:themeColor="accent3" w:themeShade="BF"/>
      <w:szCs w:val="24"/>
    </w:rPr>
  </w:style>
  <w:style w:type="paragraph" w:styleId="Spistreci1">
    <w:name w:val="toc 1"/>
    <w:basedOn w:val="Normalny"/>
    <w:next w:val="Normalny"/>
    <w:autoRedefine/>
    <w:uiPriority w:val="99"/>
    <w:semiHidden/>
    <w:rsid w:val="004D2070"/>
    <w:pPr>
      <w:spacing w:before="120" w:after="60"/>
      <w:ind w:left="340" w:right="340" w:hanging="340"/>
    </w:pPr>
    <w:rPr>
      <w:color w:val="0D0D0D" w:themeColor="text1" w:themeTint="F2"/>
    </w:rPr>
  </w:style>
  <w:style w:type="paragraph" w:styleId="Spistreci2">
    <w:name w:val="toc 2"/>
    <w:basedOn w:val="Normalny"/>
    <w:next w:val="Normalny"/>
    <w:autoRedefine/>
    <w:uiPriority w:val="99"/>
    <w:semiHidden/>
    <w:rsid w:val="004D2070"/>
    <w:pPr>
      <w:spacing w:after="60"/>
      <w:ind w:left="680" w:right="340" w:hanging="340"/>
    </w:pPr>
  </w:style>
  <w:style w:type="paragraph" w:styleId="Spistreci3">
    <w:name w:val="toc 3"/>
    <w:basedOn w:val="Normalny"/>
    <w:next w:val="Normalny"/>
    <w:autoRedefine/>
    <w:uiPriority w:val="99"/>
    <w:semiHidden/>
    <w:rsid w:val="004D2070"/>
    <w:pPr>
      <w:spacing w:after="60"/>
      <w:ind w:left="1020" w:right="340" w:hanging="340"/>
    </w:pPr>
  </w:style>
  <w:style w:type="paragraph" w:styleId="Spistreci4">
    <w:name w:val="toc 4"/>
    <w:basedOn w:val="Normalny"/>
    <w:next w:val="Normalny"/>
    <w:autoRedefine/>
    <w:uiPriority w:val="99"/>
    <w:semiHidden/>
    <w:rsid w:val="004D2070"/>
    <w:pPr>
      <w:tabs>
        <w:tab w:val="right" w:leader="dot" w:pos="9017"/>
      </w:tabs>
      <w:spacing w:after="60"/>
      <w:ind w:left="1361" w:right="340" w:hanging="340"/>
    </w:pPr>
  </w:style>
  <w:style w:type="paragraph" w:styleId="Spistreci5">
    <w:name w:val="toc 5"/>
    <w:basedOn w:val="Normalny"/>
    <w:next w:val="Normalny"/>
    <w:autoRedefine/>
    <w:uiPriority w:val="99"/>
    <w:semiHidden/>
    <w:rsid w:val="004D2070"/>
    <w:pPr>
      <w:spacing w:after="60"/>
      <w:ind w:left="1701" w:right="340" w:hanging="340"/>
    </w:pPr>
  </w:style>
  <w:style w:type="paragraph" w:styleId="Spistreci6">
    <w:name w:val="toc 6"/>
    <w:basedOn w:val="Normalny"/>
    <w:next w:val="Normalny"/>
    <w:autoRedefine/>
    <w:uiPriority w:val="99"/>
    <w:semiHidden/>
    <w:rsid w:val="004D2070"/>
    <w:pPr>
      <w:spacing w:after="100"/>
      <w:ind w:left="1200"/>
    </w:pPr>
  </w:style>
  <w:style w:type="paragraph" w:styleId="Spistreci7">
    <w:name w:val="toc 7"/>
    <w:basedOn w:val="Normalny"/>
    <w:next w:val="Normalny"/>
    <w:autoRedefine/>
    <w:uiPriority w:val="99"/>
    <w:semiHidden/>
    <w:rsid w:val="004D2070"/>
    <w:pPr>
      <w:spacing w:after="100"/>
      <w:ind w:left="1440"/>
    </w:pPr>
  </w:style>
  <w:style w:type="paragraph" w:styleId="Spistreci8">
    <w:name w:val="toc 8"/>
    <w:basedOn w:val="Normalny"/>
    <w:next w:val="Normalny"/>
    <w:autoRedefine/>
    <w:uiPriority w:val="99"/>
    <w:semiHidden/>
    <w:rsid w:val="004D2070"/>
    <w:pPr>
      <w:spacing w:after="100"/>
      <w:ind w:left="1680"/>
    </w:pPr>
  </w:style>
  <w:style w:type="paragraph" w:styleId="Spistreci9">
    <w:name w:val="toc 9"/>
    <w:basedOn w:val="Normalny"/>
    <w:next w:val="Normalny"/>
    <w:autoRedefine/>
    <w:uiPriority w:val="99"/>
    <w:semiHidden/>
    <w:rsid w:val="004D2070"/>
    <w:pPr>
      <w:spacing w:after="100"/>
      <w:ind w:left="1920"/>
    </w:pPr>
  </w:style>
  <w:style w:type="paragraph" w:customStyle="1" w:styleId="ECHRTitleCentre1">
    <w:name w:val="ECHR_Title_Centre_1"/>
    <w:aliases w:val="Opi_H_Head"/>
    <w:basedOn w:val="Normalny"/>
    <w:next w:val="OpiPara"/>
    <w:qFormat/>
    <w:rsid w:val="004D2070"/>
    <w:pPr>
      <w:keepNext/>
      <w:keepLines/>
      <w:spacing w:after="240"/>
      <w:jc w:val="center"/>
      <w:outlineLvl w:val="0"/>
    </w:pPr>
    <w:rPr>
      <w:rFonts w:asciiTheme="majorHAnsi" w:hAnsiTheme="majorHAnsi"/>
      <w:sz w:val="28"/>
      <w:lang w:val="fr-FR" w:eastAsia="fr-FR"/>
    </w:rPr>
  </w:style>
  <w:style w:type="paragraph" w:customStyle="1" w:styleId="JuQuotSub">
    <w:name w:val="Ju_Quot_Sub"/>
    <w:basedOn w:val="ECHRParaQuote"/>
    <w:qFormat/>
    <w:rsid w:val="004D2070"/>
    <w:pPr>
      <w:ind w:left="567"/>
    </w:pPr>
  </w:style>
  <w:style w:type="paragraph" w:customStyle="1" w:styleId="JuInitialled">
    <w:name w:val="Ju_Initialled"/>
    <w:basedOn w:val="Normalny"/>
    <w:qFormat/>
    <w:rsid w:val="004D2070"/>
    <w:pPr>
      <w:tabs>
        <w:tab w:val="center" w:pos="6407"/>
      </w:tabs>
      <w:spacing w:before="720"/>
      <w:jc w:val="right"/>
    </w:pPr>
    <w:rPr>
      <w:lang w:val="fr-FR" w:eastAsia="fr-FR"/>
    </w:rPr>
  </w:style>
  <w:style w:type="paragraph" w:customStyle="1" w:styleId="OpiHA">
    <w:name w:val="Opi_H_A"/>
    <w:basedOn w:val="ECHRHeading1"/>
    <w:next w:val="OpiPara"/>
    <w:qFormat/>
    <w:rsid w:val="004D2070"/>
    <w:pPr>
      <w:keepNext/>
      <w:keepLines/>
      <w:numPr>
        <w:numId w:val="0"/>
      </w:numPr>
      <w:spacing w:before="360" w:after="240"/>
      <w:ind w:left="357" w:hanging="357"/>
      <w:contextualSpacing w:val="0"/>
      <w:outlineLvl w:val="1"/>
    </w:pPr>
    <w:rPr>
      <w:color w:val="auto"/>
      <w:sz w:val="24"/>
      <w:lang w:val="fr-FR" w:eastAsia="fr-FR"/>
    </w:rPr>
  </w:style>
  <w:style w:type="character" w:customStyle="1" w:styleId="JUNAMES0">
    <w:name w:val="JU_NAMES"/>
    <w:uiPriority w:val="17"/>
    <w:qFormat/>
    <w:rsid w:val="004D2070"/>
    <w:rPr>
      <w:caps w:val="0"/>
      <w:smallCaps/>
    </w:rPr>
  </w:style>
  <w:style w:type="paragraph" w:customStyle="1" w:styleId="OpiTranslation">
    <w:name w:val="Opi_Translation"/>
    <w:basedOn w:val="Normalny"/>
    <w:next w:val="OpiPara"/>
    <w:qFormat/>
    <w:rsid w:val="004D2070"/>
    <w:pPr>
      <w:jc w:val="center"/>
      <w:outlineLvl w:val="0"/>
    </w:pPr>
    <w:rPr>
      <w:i/>
      <w:lang w:val="fr-FR" w:eastAsia="fr-FR"/>
    </w:rPr>
  </w:style>
  <w:style w:type="paragraph" w:customStyle="1" w:styleId="DecHTitle">
    <w:name w:val="Dec_H_Title"/>
    <w:basedOn w:val="ECHRTitleCentre1"/>
    <w:uiPriority w:val="99"/>
    <w:rsid w:val="004D2070"/>
  </w:style>
  <w:style w:type="paragraph" w:customStyle="1" w:styleId="ECHRHeading3">
    <w:name w:val="ECHR_Heading_3"/>
    <w:aliases w:val="Ju_H_1."/>
    <w:basedOn w:val="Nagwek3"/>
    <w:next w:val="ECHRPara"/>
    <w:qFormat/>
    <w:rsid w:val="004D2070"/>
    <w:pPr>
      <w:keepNext/>
      <w:keepLines/>
      <w:numPr>
        <w:ilvl w:val="0"/>
        <w:numId w:val="0"/>
      </w:numPr>
      <w:tabs>
        <w:tab w:val="left" w:pos="731"/>
      </w:tabs>
      <w:spacing w:before="240" w:after="120" w:line="240" w:lineRule="auto"/>
      <w:ind w:left="732" w:hanging="301"/>
    </w:pPr>
    <w:rPr>
      <w:b w:val="0"/>
      <w:i/>
      <w:color w:val="auto"/>
      <w:lang w:val="fr-FR" w:eastAsia="fr-FR"/>
    </w:rPr>
  </w:style>
  <w:style w:type="paragraph" w:customStyle="1" w:styleId="ECHRHeading4">
    <w:name w:val="ECHR_Heading_4"/>
    <w:aliases w:val="Ju_H_a"/>
    <w:basedOn w:val="Nagwek4"/>
    <w:next w:val="ECHRPara"/>
    <w:qFormat/>
    <w:rsid w:val="004D2070"/>
    <w:pPr>
      <w:keepNext/>
      <w:keepLines/>
      <w:numPr>
        <w:ilvl w:val="0"/>
        <w:numId w:val="0"/>
      </w:numPr>
      <w:tabs>
        <w:tab w:val="left" w:pos="975"/>
      </w:tabs>
      <w:spacing w:before="240" w:after="120"/>
      <w:ind w:left="975" w:hanging="340"/>
    </w:pPr>
    <w:rPr>
      <w:i w:val="0"/>
      <w:color w:val="auto"/>
      <w:sz w:val="20"/>
      <w:lang w:val="fr-FR" w:eastAsia="fr-FR"/>
    </w:rPr>
  </w:style>
  <w:style w:type="paragraph" w:customStyle="1" w:styleId="ECHRHeading5">
    <w:name w:val="ECHR_Heading_5"/>
    <w:aliases w:val="Ju_H_i"/>
    <w:basedOn w:val="Nagwek5"/>
    <w:next w:val="ECHRPara"/>
    <w:qFormat/>
    <w:rsid w:val="004D2070"/>
    <w:pPr>
      <w:keepNext/>
      <w:keepLines/>
      <w:numPr>
        <w:ilvl w:val="0"/>
        <w:numId w:val="0"/>
      </w:numPr>
      <w:tabs>
        <w:tab w:val="left" w:pos="1191"/>
      </w:tabs>
      <w:spacing w:before="240" w:after="120"/>
      <w:ind w:left="1190" w:hanging="357"/>
    </w:pPr>
    <w:rPr>
      <w:b w:val="0"/>
      <w:i/>
      <w:color w:val="auto"/>
      <w:sz w:val="20"/>
    </w:rPr>
  </w:style>
  <w:style w:type="paragraph" w:customStyle="1" w:styleId="ECHRHeading6">
    <w:name w:val="ECHR_Heading_6"/>
    <w:aliases w:val="Ju_H_alpha"/>
    <w:basedOn w:val="Nagwek6"/>
    <w:next w:val="ECHRPara"/>
    <w:qFormat/>
    <w:rsid w:val="004D2070"/>
    <w:pPr>
      <w:keepNext/>
      <w:keepLines/>
      <w:numPr>
        <w:ilvl w:val="0"/>
        <w:numId w:val="0"/>
      </w:numPr>
      <w:tabs>
        <w:tab w:val="left" w:pos="1372"/>
      </w:tabs>
      <w:spacing w:before="240" w:after="120" w:line="240" w:lineRule="auto"/>
      <w:ind w:left="1373" w:hanging="335"/>
    </w:pPr>
    <w:rPr>
      <w:b w:val="0"/>
      <w:color w:val="auto"/>
      <w:sz w:val="20"/>
      <w:lang w:val="fr-FR" w:eastAsia="fr-FR"/>
    </w:rPr>
  </w:style>
  <w:style w:type="paragraph" w:customStyle="1" w:styleId="ECHRHeading7">
    <w:name w:val="ECHR_Heading_7"/>
    <w:aliases w:val="Ju_H_–"/>
    <w:basedOn w:val="Nagwek7"/>
    <w:next w:val="ECHRPara"/>
    <w:qFormat/>
    <w:rsid w:val="004D2070"/>
    <w:pPr>
      <w:keepNext/>
      <w:keepLines/>
      <w:numPr>
        <w:ilvl w:val="0"/>
        <w:numId w:val="0"/>
      </w:numPr>
      <w:spacing w:before="240" w:after="120"/>
      <w:ind w:left="1236"/>
    </w:pPr>
    <w:rPr>
      <w:sz w:val="20"/>
    </w:rPr>
  </w:style>
  <w:style w:type="paragraph" w:customStyle="1" w:styleId="DecList">
    <w:name w:val="Dec_List"/>
    <w:basedOn w:val="Normalny"/>
    <w:rsid w:val="004D2070"/>
    <w:pPr>
      <w:spacing w:before="240"/>
      <w:ind w:left="284"/>
    </w:pPr>
  </w:style>
  <w:style w:type="paragraph" w:customStyle="1" w:styleId="OpiH1">
    <w:name w:val="Opi_H_1"/>
    <w:basedOn w:val="ECHRHeading2"/>
    <w:uiPriority w:val="42"/>
    <w:qFormat/>
    <w:rsid w:val="004D2070"/>
    <w:pPr>
      <w:keepNext/>
      <w:keepLines/>
      <w:numPr>
        <w:ilvl w:val="0"/>
        <w:numId w:val="0"/>
      </w:numPr>
      <w:tabs>
        <w:tab w:val="left" w:pos="584"/>
      </w:tabs>
      <w:spacing w:before="360" w:after="240"/>
      <w:ind w:left="635" w:hanging="357"/>
      <w:outlineLvl w:val="2"/>
    </w:pPr>
    <w:rPr>
      <w:color w:val="auto"/>
      <w:sz w:val="24"/>
      <w:lang w:val="fr-FR" w:eastAsia="fr-FR"/>
    </w:rPr>
  </w:style>
  <w:style w:type="paragraph" w:customStyle="1" w:styleId="OpiHa0">
    <w:name w:val="Opi_H_a"/>
    <w:basedOn w:val="ECHRHeading3"/>
    <w:qFormat/>
    <w:rsid w:val="004D2070"/>
    <w:pPr>
      <w:ind w:left="833" w:hanging="357"/>
      <w:outlineLvl w:val="3"/>
    </w:pPr>
    <w:rPr>
      <w:b/>
      <w:i w:val="0"/>
      <w:sz w:val="20"/>
    </w:rPr>
  </w:style>
  <w:style w:type="paragraph" w:customStyle="1" w:styleId="OpiHi">
    <w:name w:val="Opi_H_i"/>
    <w:basedOn w:val="ECHRHeading4"/>
    <w:qFormat/>
    <w:rsid w:val="004D2070"/>
    <w:pPr>
      <w:ind w:left="1037" w:hanging="357"/>
      <w:outlineLvl w:val="4"/>
    </w:pPr>
    <w:rPr>
      <w:b w:val="0"/>
      <w:i/>
    </w:rPr>
  </w:style>
  <w:style w:type="table" w:customStyle="1" w:styleId="ECHRListTable">
    <w:name w:val="ECHR_List_Table"/>
    <w:basedOn w:val="Standardowy"/>
    <w:uiPriority w:val="99"/>
    <w:rsid w:val="004D2070"/>
    <w:pPr>
      <w:spacing w:after="0" w:line="240" w:lineRule="auto"/>
    </w:pPr>
    <w:rPr>
      <w:lang w:val="en-US"/>
    </w:rPr>
    <w:tblPr>
      <w:tblBorders>
        <w:top w:val="single" w:sz="4" w:space="0" w:color="17365D" w:themeColor="text2" w:themeShade="BF"/>
        <w:left w:val="single" w:sz="4" w:space="0" w:color="17365D" w:themeColor="text2" w:themeShade="BF"/>
        <w:bottom w:val="single" w:sz="4" w:space="0" w:color="17365D" w:themeColor="text2" w:themeShade="BF"/>
        <w:right w:val="single" w:sz="4" w:space="0" w:color="17365D" w:themeColor="text2" w:themeShade="BF"/>
        <w:insideH w:val="single" w:sz="4" w:space="0" w:color="17365D" w:themeColor="text2" w:themeShade="BF"/>
        <w:insideV w:val="single" w:sz="4" w:space="0" w:color="17365D" w:themeColor="text2" w:themeShade="BF"/>
      </w:tblBorders>
      <w:tblCellMar>
        <w:top w:w="28" w:type="dxa"/>
        <w:bottom w:w="28" w:type="dxa"/>
      </w:tblCellMar>
    </w:tblPr>
    <w:tblStylePr w:type="firstRow">
      <w:rPr>
        <w:b/>
        <w:color w:val="76923C" w:themeColor="accent3" w:themeShade="BF"/>
      </w:rPr>
      <w:tblPr/>
      <w:trPr>
        <w:tblHeader/>
      </w:trPr>
      <w:tcPr>
        <w:tcBorders>
          <w:top w:val="single" w:sz="4" w:space="0" w:color="17365D" w:themeColor="text2" w:themeShade="BF"/>
          <w:left w:val="single" w:sz="4" w:space="0" w:color="17365D" w:themeColor="text2" w:themeShade="BF"/>
          <w:bottom w:val="single" w:sz="4" w:space="0" w:color="17365D" w:themeColor="text2" w:themeShade="BF"/>
          <w:right w:val="single" w:sz="4" w:space="0" w:color="17365D" w:themeColor="text2" w:themeShade="BF"/>
          <w:insideH w:val="single" w:sz="4" w:space="0" w:color="17365D" w:themeColor="text2" w:themeShade="BF"/>
          <w:insideV w:val="single" w:sz="4" w:space="0" w:color="17365D" w:themeColor="text2" w:themeShade="BF"/>
        </w:tcBorders>
        <w:shd w:val="clear" w:color="auto" w:fill="DDD9C3" w:themeFill="background2" w:themeFillShade="E6"/>
      </w:tcPr>
    </w:tblStylePr>
  </w:style>
  <w:style w:type="character" w:customStyle="1" w:styleId="DefaultTimesNewRoman">
    <w:name w:val="Default_TimesNewRoman"/>
    <w:rsid w:val="004D2070"/>
    <w:rPr>
      <w:rFonts w:ascii="Times New Roman" w:hAnsi="Times New Roman"/>
    </w:rPr>
  </w:style>
  <w:style w:type="paragraph" w:customStyle="1" w:styleId="OpiH10">
    <w:name w:val="Opi_H_1."/>
    <w:basedOn w:val="OpiHA"/>
    <w:next w:val="OpiPara"/>
    <w:rsid w:val="004D2070"/>
    <w:pPr>
      <w:spacing w:before="240" w:after="120"/>
      <w:ind w:left="635"/>
      <w:outlineLvl w:val="2"/>
    </w:pPr>
    <w:rPr>
      <w:rFonts w:ascii="Times New Roman" w:eastAsia="Times New Roman" w:hAnsi="Times New Roman" w:cs="Times New Roman"/>
      <w:b w:val="0"/>
      <w:bCs w:val="0"/>
      <w:i/>
      <w:szCs w:val="20"/>
      <w:lang w:val="en-GB"/>
    </w:rPr>
  </w:style>
  <w:style w:type="paragraph" w:customStyle="1" w:styleId="JuQuotList">
    <w:name w:val="Ju_Quot_List"/>
    <w:basedOn w:val="ECHRParaQuote"/>
    <w:rsid w:val="004D2070"/>
    <w:pPr>
      <w:tabs>
        <w:tab w:val="left" w:pos="1021"/>
      </w:tabs>
      <w:ind w:left="567" w:firstLine="0"/>
    </w:pPr>
    <w:rPr>
      <w:rFonts w:ascii="Times New Roman" w:eastAsia="Times New Roman" w:hAnsi="Times New Roman" w:cs="Times New Roman"/>
      <w:szCs w:val="20"/>
      <w:lang w:val="en-GB"/>
    </w:rPr>
  </w:style>
  <w:style w:type="paragraph" w:customStyle="1" w:styleId="SuCoverTitle1">
    <w:name w:val="Su_Cover_Title1"/>
    <w:basedOn w:val="Normalny"/>
    <w:next w:val="SuCoverTitle2"/>
    <w:rsid w:val="004D2070"/>
    <w:pPr>
      <w:suppressAutoHyphens/>
      <w:spacing w:before="2500"/>
      <w:jc w:val="center"/>
    </w:pPr>
    <w:rPr>
      <w:rFonts w:ascii="Times New Roman" w:eastAsia="Times New Roman" w:hAnsi="Times New Roman" w:cs="Times New Roman"/>
      <w:sz w:val="22"/>
      <w:szCs w:val="20"/>
      <w:lang w:val="en-GB" w:eastAsia="fr-FR"/>
    </w:rPr>
  </w:style>
  <w:style w:type="paragraph" w:customStyle="1" w:styleId="SuCoverTitle2">
    <w:name w:val="Su_Cover_Title2"/>
    <w:basedOn w:val="SuCoverTitle1"/>
    <w:next w:val="Normalny"/>
    <w:rsid w:val="004D2070"/>
    <w:pPr>
      <w:spacing w:before="240"/>
    </w:pPr>
    <w:rPr>
      <w:sz w:val="18"/>
    </w:rPr>
  </w:style>
  <w:style w:type="paragraph" w:customStyle="1" w:styleId="SuPara">
    <w:name w:val="Su_Para"/>
    <w:basedOn w:val="SuKeywords"/>
    <w:rsid w:val="004D2070"/>
    <w:pPr>
      <w:spacing w:before="0" w:after="0"/>
    </w:pPr>
    <w:rPr>
      <w:i w:val="0"/>
    </w:rPr>
  </w:style>
  <w:style w:type="paragraph" w:customStyle="1" w:styleId="SuKeywords">
    <w:name w:val="Su_Keywords"/>
    <w:basedOn w:val="SuHHead"/>
    <w:rsid w:val="004D2070"/>
    <w:pPr>
      <w:spacing w:before="120"/>
    </w:pPr>
    <w:rPr>
      <w:b w:val="0"/>
      <w:i/>
    </w:rPr>
  </w:style>
  <w:style w:type="paragraph" w:customStyle="1" w:styleId="SuHHead">
    <w:name w:val="Su_H_Head"/>
    <w:basedOn w:val="SuSubject"/>
    <w:rsid w:val="004D2070"/>
    <w:pPr>
      <w:spacing w:after="120"/>
    </w:pPr>
  </w:style>
  <w:style w:type="paragraph" w:customStyle="1" w:styleId="SuSubject">
    <w:name w:val="Su_Subject"/>
    <w:basedOn w:val="SuSummary"/>
    <w:rsid w:val="004D2070"/>
    <w:pPr>
      <w:suppressAutoHyphens w:val="0"/>
      <w:spacing w:before="360"/>
      <w:jc w:val="both"/>
    </w:pPr>
    <w:rPr>
      <w:b/>
      <w:sz w:val="22"/>
    </w:rPr>
  </w:style>
  <w:style w:type="paragraph" w:customStyle="1" w:styleId="SuSummary">
    <w:name w:val="Su_Summary"/>
    <w:basedOn w:val="Normalny"/>
    <w:next w:val="SuSubject"/>
    <w:rsid w:val="004D2070"/>
    <w:pPr>
      <w:suppressAutoHyphens/>
      <w:spacing w:after="240"/>
      <w:jc w:val="center"/>
    </w:pPr>
    <w:rPr>
      <w:rFonts w:ascii="Times New Roman" w:eastAsia="Times New Roman" w:hAnsi="Times New Roman" w:cs="Times New Roman"/>
      <w:szCs w:val="20"/>
      <w:lang w:val="en-GB" w:eastAsia="fr-FR"/>
    </w:rPr>
  </w:style>
  <w:style w:type="paragraph" w:customStyle="1" w:styleId="NormalJustified">
    <w:name w:val="Normal_Justified"/>
    <w:basedOn w:val="Normalny"/>
    <w:rsid w:val="004D2070"/>
    <w:pPr>
      <w:suppressAutoHyphens/>
    </w:pPr>
    <w:rPr>
      <w:rFonts w:ascii="Times New Roman" w:eastAsia="Times New Roman" w:hAnsi="Times New Roman" w:cs="Times New Roman"/>
      <w:szCs w:val="20"/>
      <w:lang w:val="en-GB" w:eastAsia="fr-FR"/>
    </w:rPr>
  </w:style>
  <w:style w:type="paragraph" w:customStyle="1" w:styleId="NormalTimesNewRoman">
    <w:name w:val="Normal_TimesNewRoman"/>
    <w:rsid w:val="004D2070"/>
    <w:pPr>
      <w:spacing w:after="0" w:line="240" w:lineRule="auto"/>
    </w:pPr>
    <w:rPr>
      <w:rFonts w:ascii="Times New Roman" w:eastAsia="Times New Roman" w:hAnsi="Times New Roman" w:cs="Times New Roman"/>
      <w:sz w:val="24"/>
      <w:szCs w:val="20"/>
      <w:lang w:val="en-GB" w:eastAsia="fr-FR"/>
    </w:rPr>
  </w:style>
  <w:style w:type="character" w:customStyle="1" w:styleId="JuParaCar">
    <w:name w:val="Ju_Para Car"/>
    <w:rsid w:val="004D2070"/>
    <w:rPr>
      <w:sz w:val="24"/>
      <w:lang w:val="en-GB" w:eastAsia="fr-FR" w:bidi="ar-SA"/>
    </w:rPr>
  </w:style>
  <w:style w:type="character" w:customStyle="1" w:styleId="sb8d990e2">
    <w:name w:val="sb8d990e2"/>
    <w:basedOn w:val="Domylnaczcionkaakapitu"/>
    <w:rsid w:val="004D2070"/>
  </w:style>
  <w:style w:type="paragraph" w:customStyle="1" w:styleId="s30eec3f8">
    <w:name w:val="s30eec3f8"/>
    <w:basedOn w:val="Normalny"/>
    <w:rsid w:val="004D2070"/>
    <w:pPr>
      <w:spacing w:before="100" w:beforeAutospacing="1" w:after="100" w:afterAutospacing="1"/>
      <w:jc w:val="left"/>
    </w:pPr>
    <w:rPr>
      <w:rFonts w:ascii="Times New Roman" w:eastAsia="Times New Roman" w:hAnsi="Times New Roman" w:cs="Times New Roman"/>
      <w:szCs w:val="24"/>
      <w:lang w:val="en-GB" w:eastAsia="en-GB"/>
    </w:rPr>
  </w:style>
  <w:style w:type="character" w:customStyle="1" w:styleId="s6b621b36">
    <w:name w:val="s6b621b36"/>
    <w:basedOn w:val="Domylnaczcionkaakapitu"/>
    <w:rsid w:val="004D2070"/>
  </w:style>
  <w:style w:type="paragraph" w:customStyle="1" w:styleId="s65afec39">
    <w:name w:val="s65afec39"/>
    <w:basedOn w:val="Normalny"/>
    <w:rsid w:val="004D2070"/>
    <w:pPr>
      <w:spacing w:before="100" w:beforeAutospacing="1" w:after="100" w:afterAutospacing="1"/>
      <w:jc w:val="left"/>
    </w:pPr>
    <w:rPr>
      <w:rFonts w:ascii="Times New Roman" w:eastAsia="Times New Roman" w:hAnsi="Times New Roman" w:cs="Times New Roman"/>
      <w:szCs w:val="24"/>
    </w:rPr>
  </w:style>
  <w:style w:type="character" w:customStyle="1" w:styleId="sfbbfee58">
    <w:name w:val="sfbbfee58"/>
    <w:rsid w:val="004D2070"/>
  </w:style>
  <w:style w:type="paragraph" w:customStyle="1" w:styleId="s6704e5c3">
    <w:name w:val="s6704e5c3"/>
    <w:basedOn w:val="Normalny"/>
    <w:rsid w:val="004D2070"/>
    <w:pPr>
      <w:spacing w:before="100" w:beforeAutospacing="1" w:after="100" w:afterAutospacing="1"/>
      <w:jc w:val="left"/>
    </w:pPr>
    <w:rPr>
      <w:rFonts w:ascii="Times New Roman" w:eastAsia="Times New Roman" w:hAnsi="Times New Roman" w:cs="Times New Roman"/>
      <w:szCs w:val="24"/>
    </w:rPr>
  </w:style>
  <w:style w:type="paragraph" w:customStyle="1" w:styleId="s746c8714">
    <w:name w:val="s746c8714"/>
    <w:basedOn w:val="Normalny"/>
    <w:uiPriority w:val="99"/>
    <w:rsid w:val="004D2070"/>
    <w:pPr>
      <w:spacing w:before="100" w:beforeAutospacing="1" w:after="100" w:afterAutospacing="1"/>
      <w:jc w:val="left"/>
    </w:pPr>
    <w:rPr>
      <w:rFonts w:ascii="Times New Roman" w:eastAsia="Times New Roman" w:hAnsi="Times New Roman" w:cs="Times New Roman"/>
      <w:szCs w:val="24"/>
    </w:rPr>
  </w:style>
  <w:style w:type="character" w:customStyle="1" w:styleId="ECHRParaChar">
    <w:name w:val="ECHR_Para Char"/>
    <w:aliases w:val="Para Char"/>
    <w:uiPriority w:val="1"/>
    <w:locked/>
    <w:rsid w:val="004D2070"/>
  </w:style>
  <w:style w:type="paragraph" w:styleId="Poprawka">
    <w:name w:val="Revision"/>
    <w:hidden/>
    <w:uiPriority w:val="99"/>
    <w:semiHidden/>
    <w:rsid w:val="004D2070"/>
    <w:pPr>
      <w:spacing w:after="0" w:line="240" w:lineRule="auto"/>
    </w:pPr>
    <w:rPr>
      <w:rFonts w:eastAsiaTheme="minorEastAsia"/>
      <w:sz w:val="24"/>
      <w:lang w:val="en-US"/>
    </w:rPr>
  </w:style>
  <w:style w:type="paragraph" w:customStyle="1" w:styleId="jupara">
    <w:name w:val="jupara"/>
    <w:basedOn w:val="Normalny"/>
    <w:rsid w:val="004D2070"/>
    <w:pPr>
      <w:ind w:firstLine="284"/>
    </w:pPr>
    <w:rPr>
      <w:rFonts w:ascii="Times New Roman" w:eastAsia="Times New Roman" w:hAnsi="Times New Roman" w:cs="Times New Roman"/>
      <w:szCs w:val="24"/>
      <w:lang w:val="en-GB" w:eastAsia="en-GB"/>
    </w:rPr>
  </w:style>
  <w:style w:type="paragraph" w:customStyle="1" w:styleId="jucase0">
    <w:name w:val="jucase"/>
    <w:basedOn w:val="Normalny"/>
    <w:rsid w:val="004D2070"/>
    <w:pPr>
      <w:ind w:firstLine="284"/>
    </w:pPr>
    <w:rPr>
      <w:rFonts w:ascii="Times New Roman" w:eastAsia="Times New Roman" w:hAnsi="Times New Roman" w:cs="Times New Roman"/>
      <w:b/>
      <w:bCs/>
      <w:szCs w:val="24"/>
      <w:lang w:val="en-GB" w:eastAsia="en-GB"/>
    </w:rPr>
  </w:style>
  <w:style w:type="paragraph" w:customStyle="1" w:styleId="s6e50bd9a">
    <w:name w:val="s6e50bd9a"/>
    <w:basedOn w:val="Normalny"/>
    <w:uiPriority w:val="99"/>
    <w:rsid w:val="00BE1506"/>
    <w:pPr>
      <w:spacing w:before="100" w:beforeAutospacing="1" w:after="100" w:afterAutospacing="1"/>
      <w:jc w:val="left"/>
    </w:pPr>
    <w:rPr>
      <w:rFonts w:ascii="Times New Roman" w:eastAsia="Times New Roman" w:hAnsi="Times New Roman" w:cs="Times New Roman"/>
      <w:szCs w:val="24"/>
      <w:lang w:val="pl-PL" w:eastAsia="pl-PL"/>
    </w:rPr>
  </w:style>
  <w:style w:type="character" w:customStyle="1" w:styleId="s4f807e54">
    <w:name w:val="s4f807e54"/>
    <w:basedOn w:val="Domylnaczcionkaakapitu"/>
    <w:rsid w:val="00BE1506"/>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footnote text" w:uiPriority="0"/>
    <w:lsdException w:name="annotation text" w:uiPriority="0"/>
    <w:lsdException w:name="header" w:uiPriority="0"/>
    <w:lsdException w:name="footer" w:uiPriority="0"/>
    <w:lsdException w:name="caption" w:qFormat="1"/>
    <w:lsdException w:name="annotation reference" w:uiPriority="0"/>
    <w:lsdException w:name="page number" w:uiPriority="0"/>
    <w:lsdException w:name="endnote reference" w:uiPriority="0"/>
    <w:lsdException w:name="endnote text" w:uiPriority="0"/>
    <w:lsdException w:name="List Bullet" w:uiPriority="0"/>
    <w:lsdException w:name="Title" w:semiHidden="0" w:unhideWhenUsed="0" w:qFormat="1"/>
    <w:lsdException w:name="Default Paragraph Font" w:uiPriority="1"/>
    <w:lsdException w:name="Subtitle" w:semiHidden="0" w:unhideWhenUsed="0" w:qFormat="1"/>
    <w:lsdException w:name="Hyperlink" w:uiPriority="0"/>
    <w:lsdException w:name="FollowedHyperlink" w:uiPriority="0"/>
    <w:lsdException w:name="Strong" w:semiHidden="0" w:uiPriority="0" w:unhideWhenUsed="0" w:qFormat="1"/>
    <w:lsdException w:name="Emphasis" w:semiHidden="0" w:unhideWhenUsed="0" w:qFormat="1"/>
    <w:lsdException w:name="Document Map" w:uiPriority="0"/>
    <w:lsdException w:name="Normal (Web)" w:uiPriority="0"/>
    <w:lsdException w:name="annotation subject" w:uiPriority="0"/>
    <w:lsdException w:name="Balloon Text" w:uiPriority="0"/>
    <w:lsdException w:name="Table Grid" w:semiHidden="0" w:unhideWhenUsed="0"/>
    <w:lsdException w:name="Placeholder Text" w:unhideWhenUsed="0"/>
    <w:lsdException w:name="No Spacing" w:semiHidden="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uiPriority w:val="99"/>
    <w:rsid w:val="004D2070"/>
    <w:pPr>
      <w:spacing w:after="0" w:line="240" w:lineRule="auto"/>
      <w:jc w:val="both"/>
    </w:pPr>
    <w:rPr>
      <w:rFonts w:eastAsiaTheme="minorEastAsia"/>
      <w:sz w:val="24"/>
      <w:lang w:val="en-US"/>
    </w:rPr>
  </w:style>
  <w:style w:type="paragraph" w:styleId="Nagwek1">
    <w:name w:val="heading 1"/>
    <w:basedOn w:val="Normalny"/>
    <w:next w:val="Normalny"/>
    <w:link w:val="Nagwek1Znak"/>
    <w:qFormat/>
    <w:rsid w:val="004D2070"/>
    <w:pPr>
      <w:numPr>
        <w:numId w:val="4"/>
      </w:num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qFormat/>
    <w:rsid w:val="004D2070"/>
    <w:pPr>
      <w:numPr>
        <w:ilvl w:val="1"/>
        <w:numId w:val="4"/>
      </w:num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qFormat/>
    <w:rsid w:val="004D2070"/>
    <w:pPr>
      <w:numPr>
        <w:ilvl w:val="2"/>
        <w:numId w:val="4"/>
      </w:num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qFormat/>
    <w:rsid w:val="004D2070"/>
    <w:pPr>
      <w:numPr>
        <w:ilvl w:val="3"/>
        <w:numId w:val="4"/>
      </w:num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qFormat/>
    <w:rsid w:val="004D2070"/>
    <w:pPr>
      <w:numPr>
        <w:ilvl w:val="4"/>
        <w:numId w:val="4"/>
      </w:numPr>
      <w:spacing w:before="200"/>
      <w:outlineLvl w:val="4"/>
    </w:pPr>
    <w:rPr>
      <w:rFonts w:asciiTheme="majorHAnsi" w:eastAsiaTheme="majorEastAsia" w:hAnsiTheme="majorHAnsi" w:cstheme="majorBidi"/>
      <w:b/>
      <w:bCs/>
      <w:color w:val="808080"/>
      <w:sz w:val="22"/>
      <w:lang w:val="fr-FR" w:eastAsia="fr-FR"/>
    </w:rPr>
  </w:style>
  <w:style w:type="paragraph" w:styleId="Nagwek6">
    <w:name w:val="heading 6"/>
    <w:basedOn w:val="Normalny"/>
    <w:next w:val="Normalny"/>
    <w:link w:val="Nagwek6Znak"/>
    <w:qFormat/>
    <w:rsid w:val="004D2070"/>
    <w:pPr>
      <w:numPr>
        <w:ilvl w:val="5"/>
        <w:numId w:val="4"/>
      </w:num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qFormat/>
    <w:rsid w:val="004D2070"/>
    <w:pPr>
      <w:numPr>
        <w:ilvl w:val="6"/>
        <w:numId w:val="4"/>
      </w:numPr>
      <w:outlineLvl w:val="6"/>
    </w:pPr>
    <w:rPr>
      <w:rFonts w:asciiTheme="majorHAnsi" w:eastAsiaTheme="majorEastAsia" w:hAnsiTheme="majorHAnsi" w:cstheme="majorBidi"/>
      <w:i/>
      <w:iCs/>
      <w:sz w:val="22"/>
      <w:lang w:val="fr-FR" w:eastAsia="fr-FR" w:bidi="en-US"/>
    </w:rPr>
  </w:style>
  <w:style w:type="paragraph" w:styleId="Nagwek8">
    <w:name w:val="heading 8"/>
    <w:basedOn w:val="Normalny"/>
    <w:next w:val="Normalny"/>
    <w:link w:val="Nagwek8Znak"/>
    <w:qFormat/>
    <w:rsid w:val="004D2070"/>
    <w:pPr>
      <w:numPr>
        <w:ilvl w:val="7"/>
        <w:numId w:val="4"/>
      </w:numPr>
      <w:outlineLvl w:val="7"/>
    </w:pPr>
    <w:rPr>
      <w:rFonts w:asciiTheme="majorHAnsi" w:eastAsiaTheme="majorEastAsia" w:hAnsiTheme="majorHAnsi" w:cstheme="majorBidi"/>
      <w:sz w:val="20"/>
      <w:szCs w:val="20"/>
      <w:lang w:val="fr-FR" w:eastAsia="fr-FR" w:bidi="en-US"/>
    </w:rPr>
  </w:style>
  <w:style w:type="paragraph" w:styleId="Nagwek9">
    <w:name w:val="heading 9"/>
    <w:basedOn w:val="Normalny"/>
    <w:next w:val="Normalny"/>
    <w:link w:val="Nagwek9Znak"/>
    <w:qFormat/>
    <w:rsid w:val="004D2070"/>
    <w:pPr>
      <w:numPr>
        <w:ilvl w:val="8"/>
        <w:numId w:val="4"/>
      </w:numPr>
      <w:outlineLvl w:val="8"/>
    </w:pPr>
    <w:rPr>
      <w:rFonts w:asciiTheme="majorHAnsi" w:eastAsiaTheme="majorEastAsia" w:hAnsiTheme="majorHAnsi" w:cstheme="majorBidi"/>
      <w:i/>
      <w:iCs/>
      <w:spacing w:val="5"/>
      <w:sz w:val="20"/>
      <w:szCs w:val="20"/>
      <w:lang w:val="fr-FR" w:eastAsia="fr-FR"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4D2070"/>
    <w:rPr>
      <w:rFonts w:asciiTheme="majorHAnsi" w:eastAsiaTheme="majorEastAsia" w:hAnsiTheme="majorHAnsi" w:cstheme="majorBidi"/>
      <w:b/>
      <w:bCs/>
      <w:color w:val="333333"/>
      <w:sz w:val="28"/>
      <w:szCs w:val="28"/>
      <w:lang w:val="en-US"/>
    </w:rPr>
  </w:style>
  <w:style w:type="character" w:customStyle="1" w:styleId="Nagwek2Znak">
    <w:name w:val="Nagłówek 2 Znak"/>
    <w:basedOn w:val="Domylnaczcionkaakapitu"/>
    <w:link w:val="Nagwek2"/>
    <w:rsid w:val="004D2070"/>
    <w:rPr>
      <w:rFonts w:asciiTheme="majorHAnsi" w:eastAsiaTheme="majorEastAsia" w:hAnsiTheme="majorHAnsi" w:cstheme="majorBidi"/>
      <w:b/>
      <w:bCs/>
      <w:color w:val="4D4D4D"/>
      <w:sz w:val="26"/>
      <w:szCs w:val="26"/>
      <w:lang w:val="en-US"/>
    </w:rPr>
  </w:style>
  <w:style w:type="character" w:customStyle="1" w:styleId="Nagwek3Znak">
    <w:name w:val="Nagłówek 3 Znak"/>
    <w:basedOn w:val="Domylnaczcionkaakapitu"/>
    <w:link w:val="Nagwek3"/>
    <w:rsid w:val="004D2070"/>
    <w:rPr>
      <w:rFonts w:asciiTheme="majorHAnsi" w:eastAsiaTheme="majorEastAsia" w:hAnsiTheme="majorHAnsi" w:cstheme="majorBidi"/>
      <w:b/>
      <w:bCs/>
      <w:color w:val="5F5F5F"/>
      <w:sz w:val="24"/>
      <w:lang w:val="en-US"/>
    </w:rPr>
  </w:style>
  <w:style w:type="character" w:customStyle="1" w:styleId="Nagwek4Znak">
    <w:name w:val="Nagłówek 4 Znak"/>
    <w:basedOn w:val="Domylnaczcionkaakapitu"/>
    <w:link w:val="Nagwek4"/>
    <w:rsid w:val="004D2070"/>
    <w:rPr>
      <w:rFonts w:asciiTheme="majorHAnsi" w:eastAsiaTheme="majorEastAsia" w:hAnsiTheme="majorHAnsi" w:cstheme="majorBidi"/>
      <w:b/>
      <w:bCs/>
      <w:i/>
      <w:iCs/>
      <w:color w:val="777777"/>
      <w:sz w:val="24"/>
      <w:lang w:val="en-US"/>
    </w:rPr>
  </w:style>
  <w:style w:type="character" w:customStyle="1" w:styleId="Nagwek5Znak">
    <w:name w:val="Nagłówek 5 Znak"/>
    <w:basedOn w:val="Domylnaczcionkaakapitu"/>
    <w:link w:val="Nagwek5"/>
    <w:rsid w:val="004D2070"/>
    <w:rPr>
      <w:rFonts w:asciiTheme="majorHAnsi" w:eastAsiaTheme="majorEastAsia" w:hAnsiTheme="majorHAnsi" w:cstheme="majorBidi"/>
      <w:b/>
      <w:bCs/>
      <w:color w:val="808080"/>
      <w:lang w:val="fr-FR" w:eastAsia="fr-FR"/>
    </w:rPr>
  </w:style>
  <w:style w:type="character" w:customStyle="1" w:styleId="Nagwek6Znak">
    <w:name w:val="Nagłówek 6 Znak"/>
    <w:basedOn w:val="Domylnaczcionkaakapitu"/>
    <w:link w:val="Nagwek6"/>
    <w:rsid w:val="004D2070"/>
    <w:rPr>
      <w:rFonts w:asciiTheme="majorHAnsi" w:eastAsiaTheme="majorEastAsia" w:hAnsiTheme="majorHAnsi" w:cstheme="majorBidi"/>
      <w:b/>
      <w:bCs/>
      <w:i/>
      <w:iCs/>
      <w:color w:val="7F7F7F" w:themeColor="text1" w:themeTint="80"/>
      <w:sz w:val="24"/>
      <w:lang w:val="en-US" w:bidi="en-US"/>
    </w:rPr>
  </w:style>
  <w:style w:type="character" w:customStyle="1" w:styleId="Nagwek7Znak">
    <w:name w:val="Nagłówek 7 Znak"/>
    <w:basedOn w:val="Domylnaczcionkaakapitu"/>
    <w:link w:val="Nagwek7"/>
    <w:rsid w:val="004D2070"/>
    <w:rPr>
      <w:rFonts w:asciiTheme="majorHAnsi" w:eastAsiaTheme="majorEastAsia" w:hAnsiTheme="majorHAnsi" w:cstheme="majorBidi"/>
      <w:i/>
      <w:iCs/>
      <w:lang w:val="fr-FR" w:eastAsia="fr-FR" w:bidi="en-US"/>
    </w:rPr>
  </w:style>
  <w:style w:type="character" w:customStyle="1" w:styleId="Nagwek8Znak">
    <w:name w:val="Nagłówek 8 Znak"/>
    <w:basedOn w:val="Domylnaczcionkaakapitu"/>
    <w:link w:val="Nagwek8"/>
    <w:rsid w:val="004D2070"/>
    <w:rPr>
      <w:rFonts w:asciiTheme="majorHAnsi" w:eastAsiaTheme="majorEastAsia" w:hAnsiTheme="majorHAnsi" w:cstheme="majorBidi"/>
      <w:sz w:val="20"/>
      <w:szCs w:val="20"/>
      <w:lang w:val="fr-FR" w:eastAsia="fr-FR" w:bidi="en-US"/>
    </w:rPr>
  </w:style>
  <w:style w:type="character" w:customStyle="1" w:styleId="Nagwek9Znak">
    <w:name w:val="Nagłówek 9 Znak"/>
    <w:basedOn w:val="Domylnaczcionkaakapitu"/>
    <w:link w:val="Nagwek9"/>
    <w:rsid w:val="004D2070"/>
    <w:rPr>
      <w:rFonts w:asciiTheme="majorHAnsi" w:eastAsiaTheme="majorEastAsia" w:hAnsiTheme="majorHAnsi" w:cstheme="majorBidi"/>
      <w:i/>
      <w:iCs/>
      <w:spacing w:val="5"/>
      <w:sz w:val="20"/>
      <w:szCs w:val="20"/>
      <w:lang w:val="fr-FR" w:eastAsia="fr-FR" w:bidi="en-US"/>
    </w:rPr>
  </w:style>
  <w:style w:type="paragraph" w:customStyle="1" w:styleId="ECHRHeading1">
    <w:name w:val="ECHR_Heading_1"/>
    <w:aliases w:val="Ju_H_I_Roman"/>
    <w:basedOn w:val="Nagwek1"/>
    <w:next w:val="ECHRPara"/>
    <w:qFormat/>
    <w:rsid w:val="004D2070"/>
  </w:style>
  <w:style w:type="paragraph" w:customStyle="1" w:styleId="ECHRTitle1">
    <w:name w:val="ECHR_Title_1"/>
    <w:aliases w:val="Ju_H_Head"/>
    <w:basedOn w:val="Normalny"/>
    <w:next w:val="ECHRPara"/>
    <w:qFormat/>
    <w:rsid w:val="004D2070"/>
    <w:pPr>
      <w:keepNext/>
      <w:keepLines/>
      <w:spacing w:before="720" w:after="240"/>
      <w:outlineLvl w:val="0"/>
    </w:pPr>
    <w:rPr>
      <w:rFonts w:asciiTheme="majorHAnsi" w:hAnsiTheme="majorHAnsi"/>
      <w:sz w:val="28"/>
      <w:lang w:val="fr-FR" w:eastAsia="fr-FR"/>
    </w:rPr>
  </w:style>
  <w:style w:type="paragraph" w:customStyle="1" w:styleId="ECHRPara">
    <w:name w:val="ECHR_Para"/>
    <w:aliases w:val="Ju_Para,Left,First line:  0 cm,Para"/>
    <w:basedOn w:val="Normalny"/>
    <w:link w:val="JuParaChar"/>
    <w:uiPriority w:val="1"/>
    <w:qFormat/>
    <w:rsid w:val="004D2070"/>
    <w:pPr>
      <w:ind w:firstLine="284"/>
    </w:pPr>
    <w:rPr>
      <w:lang w:val="fr-FR" w:eastAsia="fr-FR"/>
    </w:rPr>
  </w:style>
  <w:style w:type="character" w:customStyle="1" w:styleId="JuParaChar">
    <w:name w:val="Ju_Para Char"/>
    <w:link w:val="ECHRPara"/>
    <w:uiPriority w:val="1"/>
    <w:rsid w:val="004D2070"/>
    <w:rPr>
      <w:rFonts w:eastAsiaTheme="minorEastAsia"/>
      <w:sz w:val="24"/>
      <w:lang w:val="fr-FR" w:eastAsia="fr-FR"/>
    </w:rPr>
  </w:style>
  <w:style w:type="paragraph" w:styleId="Stopka">
    <w:name w:val="footer"/>
    <w:basedOn w:val="Normalny"/>
    <w:link w:val="StopkaZnak"/>
    <w:rsid w:val="004D2070"/>
    <w:pPr>
      <w:tabs>
        <w:tab w:val="center" w:pos="4536"/>
        <w:tab w:val="right" w:pos="9696"/>
      </w:tabs>
      <w:ind w:left="-680" w:right="-680"/>
    </w:pPr>
    <w:rPr>
      <w:rFonts w:eastAsiaTheme="minorHAnsi"/>
    </w:rPr>
  </w:style>
  <w:style w:type="character" w:customStyle="1" w:styleId="StopkaZnak">
    <w:name w:val="Stopka Znak"/>
    <w:basedOn w:val="Domylnaczcionkaakapitu"/>
    <w:link w:val="Stopka"/>
    <w:rsid w:val="004D2070"/>
    <w:rPr>
      <w:sz w:val="24"/>
      <w:lang w:val="en-US"/>
    </w:rPr>
  </w:style>
  <w:style w:type="paragraph" w:customStyle="1" w:styleId="ECHRDecisionBody">
    <w:name w:val="ECHR_Decision_Body"/>
    <w:aliases w:val="Ju_Judges"/>
    <w:basedOn w:val="Normalny"/>
    <w:link w:val="JuJudgesChar"/>
    <w:qFormat/>
    <w:rsid w:val="004D2070"/>
    <w:pPr>
      <w:tabs>
        <w:tab w:val="left" w:pos="567"/>
        <w:tab w:val="left" w:pos="1134"/>
      </w:tabs>
      <w:jc w:val="left"/>
    </w:pPr>
    <w:rPr>
      <w:lang w:val="fr-FR" w:eastAsia="fr-FR"/>
    </w:rPr>
  </w:style>
  <w:style w:type="character" w:customStyle="1" w:styleId="JuJudgesChar">
    <w:name w:val="Ju_Judges Char"/>
    <w:link w:val="ECHRDecisionBody"/>
    <w:locked/>
    <w:rsid w:val="004D2070"/>
    <w:rPr>
      <w:rFonts w:eastAsiaTheme="minorEastAsia"/>
      <w:sz w:val="24"/>
      <w:lang w:val="fr-FR" w:eastAsia="fr-FR"/>
    </w:rPr>
  </w:style>
  <w:style w:type="paragraph" w:customStyle="1" w:styleId="ECHRHeading2">
    <w:name w:val="ECHR_Heading_2"/>
    <w:aliases w:val="Ju_H_A"/>
    <w:basedOn w:val="Nagwek2"/>
    <w:next w:val="ECHRPara"/>
    <w:qFormat/>
    <w:rsid w:val="004D2070"/>
  </w:style>
  <w:style w:type="paragraph" w:customStyle="1" w:styleId="ECHRParaQuote">
    <w:name w:val="ECHR_Para_Quote"/>
    <w:aliases w:val="Ju_Quot"/>
    <w:basedOn w:val="Normalny"/>
    <w:qFormat/>
    <w:rsid w:val="004D2070"/>
    <w:pPr>
      <w:spacing w:before="120" w:after="120"/>
      <w:ind w:left="425" w:firstLine="142"/>
    </w:pPr>
    <w:rPr>
      <w:sz w:val="20"/>
      <w:lang w:val="fr-FR" w:eastAsia="fr-FR"/>
    </w:rPr>
  </w:style>
  <w:style w:type="paragraph" w:customStyle="1" w:styleId="JuSigned">
    <w:name w:val="Ju_Signed"/>
    <w:basedOn w:val="Normalny"/>
    <w:next w:val="JuParaLast"/>
    <w:link w:val="JuSignedChar"/>
    <w:qFormat/>
    <w:rsid w:val="004D2070"/>
    <w:pPr>
      <w:tabs>
        <w:tab w:val="center" w:pos="851"/>
        <w:tab w:val="center" w:pos="6407"/>
      </w:tabs>
      <w:spacing w:before="720"/>
      <w:jc w:val="left"/>
    </w:pPr>
    <w:rPr>
      <w:lang w:val="fr-FR" w:eastAsia="fr-FR"/>
    </w:rPr>
  </w:style>
  <w:style w:type="paragraph" w:customStyle="1" w:styleId="JuParaLast">
    <w:name w:val="Ju_Para_Last"/>
    <w:basedOn w:val="Normalny"/>
    <w:next w:val="ECHRPara"/>
    <w:qFormat/>
    <w:rsid w:val="004D2070"/>
    <w:pPr>
      <w:keepNext/>
      <w:keepLines/>
      <w:spacing w:before="240"/>
      <w:ind w:firstLine="284"/>
    </w:pPr>
    <w:rPr>
      <w:lang w:val="fr-FR" w:eastAsia="fr-FR"/>
    </w:rPr>
  </w:style>
  <w:style w:type="character" w:customStyle="1" w:styleId="JuSignedChar">
    <w:name w:val="Ju_Signed Char"/>
    <w:link w:val="JuSigned"/>
    <w:rsid w:val="004D2070"/>
    <w:rPr>
      <w:rFonts w:eastAsiaTheme="minorEastAsia"/>
      <w:sz w:val="24"/>
      <w:lang w:val="fr-FR" w:eastAsia="fr-FR"/>
    </w:rPr>
  </w:style>
  <w:style w:type="paragraph" w:customStyle="1" w:styleId="JuCase">
    <w:name w:val="Ju_Case"/>
    <w:basedOn w:val="Normalny"/>
    <w:next w:val="ECHRPara"/>
    <w:link w:val="JuCaseChar"/>
    <w:rsid w:val="004D2070"/>
    <w:pPr>
      <w:ind w:firstLine="284"/>
    </w:pPr>
    <w:rPr>
      <w:b/>
    </w:rPr>
  </w:style>
  <w:style w:type="character" w:customStyle="1" w:styleId="JuCaseChar">
    <w:name w:val="Ju_Case Char"/>
    <w:link w:val="JuCase"/>
    <w:rsid w:val="004D2070"/>
    <w:rPr>
      <w:rFonts w:eastAsiaTheme="minorEastAsia"/>
      <w:b/>
      <w:sz w:val="24"/>
      <w:lang w:val="en-US"/>
    </w:rPr>
  </w:style>
  <w:style w:type="paragraph" w:customStyle="1" w:styleId="JuList">
    <w:name w:val="Ju_List"/>
    <w:basedOn w:val="Normalny"/>
    <w:link w:val="JuListChar"/>
    <w:qFormat/>
    <w:rsid w:val="004D2070"/>
    <w:pPr>
      <w:ind w:left="340" w:hanging="340"/>
    </w:pPr>
    <w:rPr>
      <w:lang w:val="fr-FR" w:eastAsia="fr-FR"/>
    </w:rPr>
  </w:style>
  <w:style w:type="character" w:customStyle="1" w:styleId="JuListChar">
    <w:name w:val="Ju_List Char"/>
    <w:link w:val="JuList"/>
    <w:rsid w:val="004D2070"/>
    <w:rPr>
      <w:rFonts w:eastAsiaTheme="minorEastAsia"/>
      <w:sz w:val="24"/>
      <w:lang w:val="fr-FR" w:eastAsia="fr-FR"/>
    </w:rPr>
  </w:style>
  <w:style w:type="paragraph" w:customStyle="1" w:styleId="JuCourt">
    <w:name w:val="Ju_Court"/>
    <w:basedOn w:val="Normalny"/>
    <w:next w:val="Normalny"/>
    <w:qFormat/>
    <w:rsid w:val="004D2070"/>
    <w:pPr>
      <w:tabs>
        <w:tab w:val="left" w:pos="907"/>
        <w:tab w:val="left" w:pos="1701"/>
        <w:tab w:val="right" w:pos="7371"/>
      </w:tabs>
      <w:spacing w:before="240"/>
      <w:ind w:left="397" w:hanging="397"/>
      <w:jc w:val="left"/>
    </w:pPr>
    <w:rPr>
      <w:lang w:val="fr-FR" w:eastAsia="fr-FR" w:bidi="en-US"/>
    </w:rPr>
  </w:style>
  <w:style w:type="paragraph" w:styleId="Tekstprzypisudolnego">
    <w:name w:val="footnote text"/>
    <w:basedOn w:val="Normalny"/>
    <w:link w:val="TekstprzypisudolnegoZnak"/>
    <w:semiHidden/>
    <w:rsid w:val="004D2070"/>
    <w:rPr>
      <w:sz w:val="20"/>
      <w:szCs w:val="20"/>
    </w:rPr>
  </w:style>
  <w:style w:type="character" w:customStyle="1" w:styleId="TekstprzypisudolnegoZnak">
    <w:name w:val="Tekst przypisu dolnego Znak"/>
    <w:basedOn w:val="Domylnaczcionkaakapitu"/>
    <w:link w:val="Tekstprzypisudolnego"/>
    <w:semiHidden/>
    <w:rsid w:val="004D2070"/>
    <w:rPr>
      <w:rFonts w:eastAsiaTheme="minorEastAsia"/>
      <w:sz w:val="20"/>
      <w:szCs w:val="20"/>
      <w:lang w:val="en-US"/>
    </w:rPr>
  </w:style>
  <w:style w:type="character" w:styleId="Odwoanieprzypisudolnego">
    <w:name w:val="footnote reference"/>
    <w:basedOn w:val="Domylnaczcionkaakapitu"/>
    <w:uiPriority w:val="99"/>
    <w:semiHidden/>
    <w:rsid w:val="004D2070"/>
    <w:rPr>
      <w:vertAlign w:val="superscript"/>
    </w:rPr>
  </w:style>
  <w:style w:type="paragraph" w:styleId="Nagwek">
    <w:name w:val="header"/>
    <w:basedOn w:val="Normalny"/>
    <w:link w:val="NagwekZnak"/>
    <w:rsid w:val="004D2070"/>
    <w:pPr>
      <w:tabs>
        <w:tab w:val="center" w:pos="4536"/>
        <w:tab w:val="right" w:pos="9072"/>
      </w:tabs>
    </w:pPr>
    <w:rPr>
      <w:rFonts w:eastAsiaTheme="minorHAnsi"/>
    </w:rPr>
  </w:style>
  <w:style w:type="character" w:customStyle="1" w:styleId="NagwekZnak">
    <w:name w:val="Nagłówek Znak"/>
    <w:basedOn w:val="Domylnaczcionkaakapitu"/>
    <w:link w:val="Nagwek"/>
    <w:rsid w:val="004D2070"/>
    <w:rPr>
      <w:sz w:val="24"/>
      <w:lang w:val="en-US"/>
    </w:rPr>
  </w:style>
  <w:style w:type="character" w:styleId="Numerstrony">
    <w:name w:val="page number"/>
    <w:rsid w:val="004D2070"/>
    <w:rPr>
      <w:sz w:val="18"/>
    </w:rPr>
  </w:style>
  <w:style w:type="paragraph" w:customStyle="1" w:styleId="JuLista">
    <w:name w:val="Ju_List_a"/>
    <w:basedOn w:val="JuList"/>
    <w:qFormat/>
    <w:rsid w:val="004D2070"/>
    <w:pPr>
      <w:ind w:left="346" w:firstLine="0"/>
    </w:pPr>
  </w:style>
  <w:style w:type="paragraph" w:customStyle="1" w:styleId="JuListi">
    <w:name w:val="Ju_List_i"/>
    <w:basedOn w:val="Normalny"/>
    <w:next w:val="JuLista"/>
    <w:qFormat/>
    <w:rsid w:val="004D2070"/>
    <w:pPr>
      <w:ind w:left="794"/>
    </w:pPr>
    <w:rPr>
      <w:lang w:val="fr-FR" w:eastAsia="fr-FR"/>
    </w:rPr>
  </w:style>
  <w:style w:type="character" w:styleId="Odwoaniedokomentarza">
    <w:name w:val="annotation reference"/>
    <w:semiHidden/>
    <w:rsid w:val="004D2070"/>
    <w:rPr>
      <w:sz w:val="16"/>
    </w:rPr>
  </w:style>
  <w:style w:type="paragraph" w:styleId="Tekstkomentarza">
    <w:name w:val="annotation text"/>
    <w:basedOn w:val="Normalny"/>
    <w:link w:val="TekstkomentarzaZnak"/>
    <w:semiHidden/>
    <w:rsid w:val="004D2070"/>
    <w:rPr>
      <w:sz w:val="20"/>
    </w:rPr>
  </w:style>
  <w:style w:type="character" w:customStyle="1" w:styleId="TekstkomentarzaZnak">
    <w:name w:val="Tekst komentarza Znak"/>
    <w:basedOn w:val="Domylnaczcionkaakapitu"/>
    <w:link w:val="Tekstkomentarza"/>
    <w:semiHidden/>
    <w:rsid w:val="004D2070"/>
    <w:rPr>
      <w:rFonts w:eastAsiaTheme="minorEastAsia"/>
      <w:sz w:val="20"/>
      <w:lang w:val="en-US"/>
    </w:rPr>
  </w:style>
  <w:style w:type="paragraph" w:styleId="Tekstdymka">
    <w:name w:val="Balloon Text"/>
    <w:basedOn w:val="Normalny"/>
    <w:link w:val="TekstdymkaZnak"/>
    <w:semiHidden/>
    <w:rsid w:val="004D2070"/>
    <w:rPr>
      <w:rFonts w:ascii="Tahoma" w:hAnsi="Tahoma" w:cs="Tahoma"/>
      <w:sz w:val="16"/>
      <w:szCs w:val="16"/>
    </w:rPr>
  </w:style>
  <w:style w:type="character" w:customStyle="1" w:styleId="TekstdymkaZnak">
    <w:name w:val="Tekst dymka Znak"/>
    <w:basedOn w:val="Domylnaczcionkaakapitu"/>
    <w:link w:val="Tekstdymka"/>
    <w:semiHidden/>
    <w:rsid w:val="004D2070"/>
    <w:rPr>
      <w:rFonts w:ascii="Tahoma" w:eastAsiaTheme="minorEastAsia" w:hAnsi="Tahoma" w:cs="Tahoma"/>
      <w:sz w:val="16"/>
      <w:szCs w:val="16"/>
      <w:lang w:val="en-US"/>
    </w:rPr>
  </w:style>
  <w:style w:type="paragraph" w:styleId="Tematkomentarza">
    <w:name w:val="annotation subject"/>
    <w:basedOn w:val="Tekstkomentarza"/>
    <w:next w:val="Tekstkomentarza"/>
    <w:link w:val="TematkomentarzaZnak"/>
    <w:semiHidden/>
    <w:rsid w:val="004D2070"/>
    <w:rPr>
      <w:b/>
      <w:bCs/>
    </w:rPr>
  </w:style>
  <w:style w:type="character" w:customStyle="1" w:styleId="TematkomentarzaZnak">
    <w:name w:val="Temat komentarza Znak"/>
    <w:basedOn w:val="TekstkomentarzaZnak"/>
    <w:link w:val="Tematkomentarza"/>
    <w:semiHidden/>
    <w:rsid w:val="004D2070"/>
    <w:rPr>
      <w:rFonts w:eastAsiaTheme="minorEastAsia"/>
      <w:b/>
      <w:bCs/>
      <w:sz w:val="20"/>
      <w:lang w:val="en-US"/>
    </w:rPr>
  </w:style>
  <w:style w:type="character" w:styleId="Odwoanieprzypisukocowego">
    <w:name w:val="endnote reference"/>
    <w:semiHidden/>
    <w:rsid w:val="004D2070"/>
    <w:rPr>
      <w:vertAlign w:val="superscript"/>
    </w:rPr>
  </w:style>
  <w:style w:type="paragraph" w:styleId="Tekstprzypisukocowego">
    <w:name w:val="endnote text"/>
    <w:basedOn w:val="Normalny"/>
    <w:link w:val="TekstprzypisukocowegoZnak"/>
    <w:semiHidden/>
    <w:rsid w:val="004D2070"/>
    <w:rPr>
      <w:sz w:val="20"/>
    </w:rPr>
  </w:style>
  <w:style w:type="character" w:customStyle="1" w:styleId="TekstprzypisukocowegoZnak">
    <w:name w:val="Tekst przypisu końcowego Znak"/>
    <w:basedOn w:val="Domylnaczcionkaakapitu"/>
    <w:link w:val="Tekstprzypisukocowego"/>
    <w:semiHidden/>
    <w:rsid w:val="004D2070"/>
    <w:rPr>
      <w:rFonts w:eastAsiaTheme="minorEastAsia"/>
      <w:sz w:val="20"/>
      <w:lang w:val="en-US"/>
    </w:rPr>
  </w:style>
  <w:style w:type="character" w:styleId="UyteHipercze">
    <w:name w:val="FollowedHyperlink"/>
    <w:rsid w:val="004D2070"/>
    <w:rPr>
      <w:color w:val="800080"/>
      <w:u w:val="single"/>
    </w:rPr>
  </w:style>
  <w:style w:type="character" w:styleId="Hipercze">
    <w:name w:val="Hyperlink"/>
    <w:basedOn w:val="Domylnaczcionkaakapitu"/>
    <w:rsid w:val="004D2070"/>
    <w:rPr>
      <w:color w:val="0000FF" w:themeColor="hyperlink"/>
      <w:u w:val="single"/>
    </w:rPr>
  </w:style>
  <w:style w:type="character" w:styleId="Pogrubienie">
    <w:name w:val="Strong"/>
    <w:qFormat/>
    <w:rsid w:val="004D2070"/>
    <w:rPr>
      <w:b/>
      <w:bCs/>
    </w:rPr>
  </w:style>
  <w:style w:type="paragraph" w:styleId="Mapadokumentu">
    <w:name w:val="Document Map"/>
    <w:basedOn w:val="Normalny"/>
    <w:link w:val="MapadokumentuZnak"/>
    <w:semiHidden/>
    <w:rsid w:val="004D2070"/>
    <w:pPr>
      <w:shd w:val="clear" w:color="auto" w:fill="000080"/>
    </w:pPr>
    <w:rPr>
      <w:rFonts w:ascii="Tahoma" w:hAnsi="Tahoma" w:cs="Tahoma"/>
      <w:sz w:val="20"/>
    </w:rPr>
  </w:style>
  <w:style w:type="character" w:customStyle="1" w:styleId="MapadokumentuZnak">
    <w:name w:val="Mapa dokumentu Znak"/>
    <w:basedOn w:val="Domylnaczcionkaakapitu"/>
    <w:link w:val="Mapadokumentu"/>
    <w:semiHidden/>
    <w:rsid w:val="004D2070"/>
    <w:rPr>
      <w:rFonts w:ascii="Tahoma" w:eastAsiaTheme="minorEastAsia" w:hAnsi="Tahoma" w:cs="Tahoma"/>
      <w:sz w:val="20"/>
      <w:shd w:val="clear" w:color="auto" w:fill="000080"/>
      <w:lang w:val="en-US"/>
    </w:rPr>
  </w:style>
  <w:style w:type="character" w:customStyle="1" w:styleId="JuNames">
    <w:name w:val="Ju_Names"/>
    <w:rsid w:val="004D2070"/>
    <w:rPr>
      <w:smallCaps/>
    </w:rPr>
  </w:style>
  <w:style w:type="paragraph" w:styleId="Listapunktowana">
    <w:name w:val="List Bullet"/>
    <w:basedOn w:val="Normalny"/>
    <w:rsid w:val="004D2070"/>
    <w:pPr>
      <w:numPr>
        <w:numId w:val="1"/>
      </w:numPr>
    </w:pPr>
  </w:style>
  <w:style w:type="character" w:customStyle="1" w:styleId="JuITMark">
    <w:name w:val="Ju_ITMark"/>
    <w:basedOn w:val="Domylnaczcionkaakapitu"/>
    <w:qFormat/>
    <w:rsid w:val="004D2070"/>
    <w:rPr>
      <w:vanish/>
      <w:color w:val="339966"/>
      <w:sz w:val="14"/>
    </w:rPr>
  </w:style>
  <w:style w:type="paragraph" w:customStyle="1" w:styleId="ECHRFooter">
    <w:name w:val="ECHR_Footer"/>
    <w:aliases w:val="Footer_ECHR"/>
    <w:basedOn w:val="Stopka"/>
    <w:uiPriority w:val="57"/>
    <w:semiHidden/>
    <w:rsid w:val="004D2070"/>
  </w:style>
  <w:style w:type="paragraph" w:customStyle="1" w:styleId="ECHRFooterLine">
    <w:name w:val="ECHR_Footer_Line"/>
    <w:aliases w:val="Footer_Line"/>
    <w:basedOn w:val="Normalny"/>
    <w:next w:val="ECHRFooter"/>
    <w:uiPriority w:val="57"/>
    <w:semiHidden/>
    <w:rsid w:val="004D2070"/>
    <w:pPr>
      <w:pBdr>
        <w:top w:val="single" w:sz="6" w:space="1" w:color="5F5F5F"/>
      </w:pBdr>
      <w:tabs>
        <w:tab w:val="center" w:pos="4536"/>
        <w:tab w:val="right" w:pos="9696"/>
      </w:tabs>
      <w:ind w:left="-680" w:right="-680"/>
      <w:jc w:val="left"/>
    </w:pPr>
    <w:rPr>
      <w:color w:val="5F5F5F"/>
    </w:rPr>
  </w:style>
  <w:style w:type="paragraph" w:customStyle="1" w:styleId="ECHRHeader">
    <w:name w:val="ECHR_Header"/>
    <w:aliases w:val="Ju_Header"/>
    <w:basedOn w:val="Nagwek"/>
    <w:qFormat/>
    <w:rsid w:val="004D2070"/>
    <w:pPr>
      <w:tabs>
        <w:tab w:val="clear" w:pos="4536"/>
        <w:tab w:val="clear" w:pos="9072"/>
        <w:tab w:val="center" w:pos="3686"/>
        <w:tab w:val="right" w:pos="7371"/>
      </w:tabs>
      <w:jc w:val="left"/>
    </w:pPr>
    <w:rPr>
      <w:sz w:val="18"/>
      <w:lang w:val="fr-FR" w:eastAsia="fr-FR"/>
    </w:rPr>
  </w:style>
  <w:style w:type="paragraph" w:customStyle="1" w:styleId="JuAppQuestion">
    <w:name w:val="Ju_App_Question"/>
    <w:basedOn w:val="Normalny"/>
    <w:rsid w:val="004D2070"/>
    <w:pPr>
      <w:numPr>
        <w:numId w:val="14"/>
      </w:numPr>
      <w:jc w:val="left"/>
    </w:pPr>
    <w:rPr>
      <w:b/>
    </w:rPr>
  </w:style>
  <w:style w:type="paragraph" w:customStyle="1" w:styleId="OpiPara">
    <w:name w:val="Opi_Para"/>
    <w:basedOn w:val="ECHRPara"/>
    <w:qFormat/>
    <w:rsid w:val="004D2070"/>
  </w:style>
  <w:style w:type="paragraph" w:customStyle="1" w:styleId="JuParaSub">
    <w:name w:val="Ju_Para_Sub"/>
    <w:basedOn w:val="ECHRPara"/>
    <w:qFormat/>
    <w:rsid w:val="004D2070"/>
  </w:style>
  <w:style w:type="paragraph" w:customStyle="1" w:styleId="OpiParaSub">
    <w:name w:val="Opi_Para_Sub"/>
    <w:basedOn w:val="JuParaSub"/>
    <w:qFormat/>
    <w:rsid w:val="004D2070"/>
    <w:pPr>
      <w:ind w:left="284"/>
    </w:pPr>
  </w:style>
  <w:style w:type="paragraph" w:customStyle="1" w:styleId="OpiQuot">
    <w:name w:val="Opi_Quot"/>
    <w:basedOn w:val="ECHRParaQuote"/>
    <w:qFormat/>
    <w:rsid w:val="004D2070"/>
  </w:style>
  <w:style w:type="paragraph" w:customStyle="1" w:styleId="OpiQuotSub">
    <w:name w:val="Opi_Quot_Sub"/>
    <w:basedOn w:val="JuQuotSub"/>
    <w:qFormat/>
    <w:rsid w:val="004D2070"/>
  </w:style>
  <w:style w:type="paragraph" w:customStyle="1" w:styleId="ECHRTitleCentre3">
    <w:name w:val="ECHR_Title_Centre_3"/>
    <w:aliases w:val="Ju_H_Article"/>
    <w:basedOn w:val="Normalny"/>
    <w:next w:val="ECHRParaQuote"/>
    <w:qFormat/>
    <w:rsid w:val="004D2070"/>
    <w:pPr>
      <w:keepNext/>
      <w:keepLines/>
      <w:spacing w:before="240" w:after="120"/>
      <w:jc w:val="center"/>
      <w:outlineLvl w:val="3"/>
    </w:pPr>
    <w:rPr>
      <w:rFonts w:asciiTheme="majorHAnsi" w:hAnsiTheme="majorHAnsi"/>
      <w:b/>
      <w:sz w:val="20"/>
      <w:lang w:val="fr-FR" w:eastAsia="fr-FR" w:bidi="en-US"/>
    </w:rPr>
  </w:style>
  <w:style w:type="paragraph" w:customStyle="1" w:styleId="ECHRTitleCentre2">
    <w:name w:val="ECHR_Title_Centre_2"/>
    <w:aliases w:val="Dec_H_Case"/>
    <w:basedOn w:val="Normalny"/>
    <w:next w:val="ECHRPara"/>
    <w:rsid w:val="004D2070"/>
    <w:pPr>
      <w:spacing w:after="240"/>
      <w:jc w:val="center"/>
      <w:outlineLvl w:val="0"/>
    </w:pPr>
    <w:rPr>
      <w:rFonts w:asciiTheme="majorHAnsi" w:hAnsiTheme="majorHAnsi"/>
      <w:i/>
    </w:rPr>
  </w:style>
  <w:style w:type="paragraph" w:customStyle="1" w:styleId="JuTitle">
    <w:name w:val="Ju_Title"/>
    <w:basedOn w:val="Normalny"/>
    <w:next w:val="ECHRPara"/>
    <w:rsid w:val="004D2070"/>
    <w:pPr>
      <w:spacing w:before="720" w:after="240"/>
      <w:jc w:val="center"/>
      <w:outlineLvl w:val="0"/>
    </w:pPr>
    <w:rPr>
      <w:rFonts w:asciiTheme="majorHAnsi" w:hAnsiTheme="majorHAnsi"/>
      <w:b/>
      <w:caps/>
    </w:rPr>
  </w:style>
  <w:style w:type="paragraph" w:styleId="Tytu">
    <w:name w:val="Title"/>
    <w:basedOn w:val="Normalny"/>
    <w:next w:val="Normalny"/>
    <w:link w:val="TytuZnak"/>
    <w:uiPriority w:val="99"/>
    <w:qFormat/>
    <w:rsid w:val="004D2070"/>
    <w:pPr>
      <w:pBdr>
        <w:bottom w:val="single" w:sz="4" w:space="1" w:color="auto"/>
      </w:pBdr>
      <w:contextualSpacing/>
    </w:pPr>
    <w:rPr>
      <w:rFonts w:asciiTheme="majorHAnsi" w:eastAsiaTheme="majorEastAsia" w:hAnsiTheme="majorHAnsi" w:cstheme="majorBidi"/>
      <w:spacing w:val="5"/>
      <w:sz w:val="52"/>
      <w:szCs w:val="52"/>
      <w:lang w:val="fr-FR" w:eastAsia="fr-FR" w:bidi="en-US"/>
    </w:rPr>
  </w:style>
  <w:style w:type="character" w:customStyle="1" w:styleId="TytuZnak">
    <w:name w:val="Tytuł Znak"/>
    <w:basedOn w:val="Domylnaczcionkaakapitu"/>
    <w:link w:val="Tytu"/>
    <w:uiPriority w:val="99"/>
    <w:rsid w:val="004D2070"/>
    <w:rPr>
      <w:rFonts w:asciiTheme="majorHAnsi" w:eastAsiaTheme="majorEastAsia" w:hAnsiTheme="majorHAnsi" w:cstheme="majorBidi"/>
      <w:spacing w:val="5"/>
      <w:sz w:val="52"/>
      <w:szCs w:val="52"/>
      <w:lang w:val="fr-FR" w:eastAsia="fr-FR" w:bidi="en-US"/>
    </w:rPr>
  </w:style>
  <w:style w:type="paragraph" w:styleId="Podtytu">
    <w:name w:val="Subtitle"/>
    <w:basedOn w:val="Normalny"/>
    <w:next w:val="Normalny"/>
    <w:link w:val="PodtytuZnak"/>
    <w:uiPriority w:val="99"/>
    <w:qFormat/>
    <w:rsid w:val="004D2070"/>
    <w:pPr>
      <w:spacing w:after="600"/>
    </w:pPr>
    <w:rPr>
      <w:rFonts w:asciiTheme="majorHAnsi" w:eastAsiaTheme="majorEastAsia" w:hAnsiTheme="majorHAnsi" w:cstheme="majorBidi"/>
      <w:i/>
      <w:iCs/>
      <w:spacing w:val="13"/>
      <w:szCs w:val="24"/>
      <w:lang w:val="fr-FR" w:eastAsia="fr-FR" w:bidi="en-US"/>
    </w:rPr>
  </w:style>
  <w:style w:type="character" w:customStyle="1" w:styleId="PodtytuZnak">
    <w:name w:val="Podtytuł Znak"/>
    <w:basedOn w:val="Domylnaczcionkaakapitu"/>
    <w:link w:val="Podtytu"/>
    <w:uiPriority w:val="99"/>
    <w:rsid w:val="004D2070"/>
    <w:rPr>
      <w:rFonts w:asciiTheme="majorHAnsi" w:eastAsiaTheme="majorEastAsia" w:hAnsiTheme="majorHAnsi" w:cstheme="majorBidi"/>
      <w:i/>
      <w:iCs/>
      <w:spacing w:val="13"/>
      <w:sz w:val="24"/>
      <w:szCs w:val="24"/>
      <w:lang w:val="fr-FR" w:eastAsia="fr-FR" w:bidi="en-US"/>
    </w:rPr>
  </w:style>
  <w:style w:type="character" w:styleId="Uwydatnienie">
    <w:name w:val="Emphasis"/>
    <w:uiPriority w:val="99"/>
    <w:qFormat/>
    <w:rsid w:val="004D2070"/>
    <w:rPr>
      <w:b/>
      <w:bCs/>
      <w:i/>
      <w:iCs/>
      <w:spacing w:val="10"/>
      <w:bdr w:val="none" w:sz="0" w:space="0" w:color="auto"/>
      <w:shd w:val="clear" w:color="auto" w:fill="auto"/>
    </w:rPr>
  </w:style>
  <w:style w:type="paragraph" w:styleId="Bezodstpw">
    <w:name w:val="No Spacing"/>
    <w:basedOn w:val="Normalny"/>
    <w:link w:val="BezodstpwZnak"/>
    <w:uiPriority w:val="99"/>
    <w:qFormat/>
    <w:rsid w:val="004D2070"/>
    <w:rPr>
      <w:sz w:val="22"/>
      <w:lang w:val="fr-FR" w:eastAsia="fr-FR"/>
    </w:rPr>
  </w:style>
  <w:style w:type="character" w:customStyle="1" w:styleId="BezodstpwZnak">
    <w:name w:val="Bez odstępów Znak"/>
    <w:basedOn w:val="Domylnaczcionkaakapitu"/>
    <w:link w:val="Bezodstpw"/>
    <w:uiPriority w:val="99"/>
    <w:rsid w:val="004D2070"/>
    <w:rPr>
      <w:rFonts w:eastAsiaTheme="minorEastAsia"/>
      <w:lang w:val="fr-FR" w:eastAsia="fr-FR"/>
    </w:rPr>
  </w:style>
  <w:style w:type="paragraph" w:styleId="Akapitzlist">
    <w:name w:val="List Paragraph"/>
    <w:basedOn w:val="Normalny"/>
    <w:uiPriority w:val="99"/>
    <w:qFormat/>
    <w:rsid w:val="004D2070"/>
    <w:pPr>
      <w:ind w:left="720"/>
      <w:contextualSpacing/>
    </w:pPr>
    <w:rPr>
      <w:lang w:val="fr-FR" w:eastAsia="fr-FR"/>
    </w:rPr>
  </w:style>
  <w:style w:type="paragraph" w:styleId="Cytat">
    <w:name w:val="Quote"/>
    <w:basedOn w:val="Normalny"/>
    <w:next w:val="Normalny"/>
    <w:link w:val="CytatZnak"/>
    <w:uiPriority w:val="99"/>
    <w:qFormat/>
    <w:rsid w:val="004D2070"/>
    <w:pPr>
      <w:spacing w:before="200"/>
      <w:ind w:left="360" w:right="360"/>
    </w:pPr>
    <w:rPr>
      <w:i/>
      <w:iCs/>
      <w:sz w:val="22"/>
      <w:lang w:val="fr-FR" w:eastAsia="fr-FR" w:bidi="en-US"/>
    </w:rPr>
  </w:style>
  <w:style w:type="character" w:customStyle="1" w:styleId="CytatZnak">
    <w:name w:val="Cytat Znak"/>
    <w:basedOn w:val="Domylnaczcionkaakapitu"/>
    <w:link w:val="Cytat"/>
    <w:uiPriority w:val="99"/>
    <w:rsid w:val="004D2070"/>
    <w:rPr>
      <w:rFonts w:eastAsiaTheme="minorEastAsia"/>
      <w:i/>
      <w:iCs/>
      <w:lang w:val="fr-FR" w:eastAsia="fr-FR" w:bidi="en-US"/>
    </w:rPr>
  </w:style>
  <w:style w:type="paragraph" w:styleId="Cytatintensywny">
    <w:name w:val="Intense Quote"/>
    <w:basedOn w:val="Normalny"/>
    <w:next w:val="Normalny"/>
    <w:link w:val="CytatintensywnyZnak"/>
    <w:uiPriority w:val="99"/>
    <w:qFormat/>
    <w:rsid w:val="004D2070"/>
    <w:pPr>
      <w:pBdr>
        <w:bottom w:val="single" w:sz="4" w:space="1" w:color="auto"/>
      </w:pBdr>
      <w:spacing w:before="200" w:after="280"/>
      <w:ind w:left="1008" w:right="1152"/>
    </w:pPr>
    <w:rPr>
      <w:b/>
      <w:bCs/>
      <w:i/>
      <w:iCs/>
      <w:sz w:val="22"/>
      <w:lang w:val="fr-FR" w:eastAsia="fr-FR" w:bidi="en-US"/>
    </w:rPr>
  </w:style>
  <w:style w:type="character" w:customStyle="1" w:styleId="CytatintensywnyZnak">
    <w:name w:val="Cytat intensywny Znak"/>
    <w:basedOn w:val="Domylnaczcionkaakapitu"/>
    <w:link w:val="Cytatintensywny"/>
    <w:uiPriority w:val="99"/>
    <w:rsid w:val="004D2070"/>
    <w:rPr>
      <w:rFonts w:eastAsiaTheme="minorEastAsia"/>
      <w:b/>
      <w:bCs/>
      <w:i/>
      <w:iCs/>
      <w:lang w:val="fr-FR" w:eastAsia="fr-FR" w:bidi="en-US"/>
    </w:rPr>
  </w:style>
  <w:style w:type="character" w:styleId="Wyrnieniedelikatne">
    <w:name w:val="Subtle Emphasis"/>
    <w:uiPriority w:val="99"/>
    <w:qFormat/>
    <w:rsid w:val="004D2070"/>
    <w:rPr>
      <w:i/>
      <w:iCs/>
    </w:rPr>
  </w:style>
  <w:style w:type="character" w:styleId="Wyrnienieintensywne">
    <w:name w:val="Intense Emphasis"/>
    <w:uiPriority w:val="99"/>
    <w:qFormat/>
    <w:rsid w:val="004D2070"/>
    <w:rPr>
      <w:b/>
      <w:bCs/>
    </w:rPr>
  </w:style>
  <w:style w:type="character" w:styleId="Odwoaniedelikatne">
    <w:name w:val="Subtle Reference"/>
    <w:uiPriority w:val="99"/>
    <w:qFormat/>
    <w:rsid w:val="004D2070"/>
    <w:rPr>
      <w:smallCaps/>
    </w:rPr>
  </w:style>
  <w:style w:type="character" w:styleId="Odwoanieintensywne">
    <w:name w:val="Intense Reference"/>
    <w:uiPriority w:val="99"/>
    <w:qFormat/>
    <w:rsid w:val="004D2070"/>
    <w:rPr>
      <w:smallCaps/>
      <w:spacing w:val="5"/>
      <w:u w:val="single"/>
    </w:rPr>
  </w:style>
  <w:style w:type="character" w:styleId="Tytuksiki">
    <w:name w:val="Book Title"/>
    <w:uiPriority w:val="99"/>
    <w:qFormat/>
    <w:rsid w:val="004D2070"/>
    <w:rPr>
      <w:i/>
      <w:iCs/>
      <w:smallCaps/>
      <w:spacing w:val="5"/>
    </w:rPr>
  </w:style>
  <w:style w:type="paragraph" w:styleId="Nagwekspisutreci">
    <w:name w:val="TOC Heading"/>
    <w:basedOn w:val="Nagwek1"/>
    <w:next w:val="Normalny"/>
    <w:uiPriority w:val="99"/>
    <w:semiHidden/>
    <w:qFormat/>
    <w:rsid w:val="004D2070"/>
    <w:pPr>
      <w:keepNext/>
      <w:keepLines/>
      <w:contextualSpacing w:val="0"/>
      <w:outlineLvl w:val="9"/>
    </w:pPr>
    <w:rPr>
      <w:color w:val="365F91" w:themeColor="accent1" w:themeShade="BF"/>
    </w:rPr>
  </w:style>
  <w:style w:type="numbering" w:styleId="111111">
    <w:name w:val="Outline List 2"/>
    <w:basedOn w:val="Bezlisty"/>
    <w:uiPriority w:val="99"/>
    <w:semiHidden/>
    <w:rsid w:val="004D2070"/>
    <w:pPr>
      <w:numPr>
        <w:numId w:val="2"/>
      </w:numPr>
    </w:pPr>
  </w:style>
  <w:style w:type="numbering" w:styleId="1ai">
    <w:name w:val="Outline List 1"/>
    <w:basedOn w:val="Bezlisty"/>
    <w:uiPriority w:val="99"/>
    <w:semiHidden/>
    <w:rsid w:val="004D2070"/>
    <w:pPr>
      <w:numPr>
        <w:numId w:val="3"/>
      </w:numPr>
    </w:pPr>
  </w:style>
  <w:style w:type="numbering" w:styleId="Artykusekcja">
    <w:name w:val="Outline List 3"/>
    <w:basedOn w:val="Bezlisty"/>
    <w:uiPriority w:val="99"/>
    <w:semiHidden/>
    <w:rsid w:val="004D2070"/>
    <w:pPr>
      <w:numPr>
        <w:numId w:val="4"/>
      </w:numPr>
    </w:pPr>
  </w:style>
  <w:style w:type="paragraph" w:styleId="Bibliografia">
    <w:name w:val="Bibliography"/>
    <w:basedOn w:val="Normalny"/>
    <w:next w:val="Normalny"/>
    <w:uiPriority w:val="99"/>
    <w:semiHidden/>
    <w:unhideWhenUsed/>
    <w:rsid w:val="004D2070"/>
  </w:style>
  <w:style w:type="paragraph" w:styleId="Tekstblokowy">
    <w:name w:val="Block Text"/>
    <w:basedOn w:val="Normalny"/>
    <w:uiPriority w:val="99"/>
    <w:semiHidden/>
    <w:rsid w:val="004D2070"/>
    <w:pPr>
      <w:pBdr>
        <w:top w:val="single" w:sz="2" w:space="10" w:color="4F81BD" w:themeColor="accent1" w:shadow="1" w:frame="1"/>
        <w:left w:val="single" w:sz="2" w:space="10" w:color="4F81BD" w:themeColor="accent1" w:shadow="1" w:frame="1"/>
        <w:bottom w:val="single" w:sz="2" w:space="10" w:color="4F81BD" w:themeColor="accent1" w:shadow="1" w:frame="1"/>
        <w:right w:val="single" w:sz="2" w:space="10" w:color="4F81BD" w:themeColor="accent1" w:shadow="1" w:frame="1"/>
      </w:pBdr>
      <w:ind w:left="1152" w:right="1152"/>
    </w:pPr>
    <w:rPr>
      <w:i/>
      <w:iCs/>
      <w:color w:val="4F81BD" w:themeColor="accent1"/>
    </w:rPr>
  </w:style>
  <w:style w:type="paragraph" w:styleId="Tekstpodstawowy">
    <w:name w:val="Body Text"/>
    <w:basedOn w:val="Normalny"/>
    <w:link w:val="TekstpodstawowyZnak"/>
    <w:uiPriority w:val="99"/>
    <w:semiHidden/>
    <w:rsid w:val="004D2070"/>
    <w:pPr>
      <w:spacing w:after="120"/>
    </w:pPr>
  </w:style>
  <w:style w:type="character" w:customStyle="1" w:styleId="TekstpodstawowyZnak">
    <w:name w:val="Tekst podstawowy Znak"/>
    <w:basedOn w:val="Domylnaczcionkaakapitu"/>
    <w:link w:val="Tekstpodstawowy"/>
    <w:uiPriority w:val="99"/>
    <w:semiHidden/>
    <w:rsid w:val="004D2070"/>
    <w:rPr>
      <w:rFonts w:eastAsiaTheme="minorEastAsia"/>
      <w:sz w:val="24"/>
      <w:lang w:val="en-US"/>
    </w:rPr>
  </w:style>
  <w:style w:type="paragraph" w:styleId="Tekstpodstawowy2">
    <w:name w:val="Body Text 2"/>
    <w:basedOn w:val="Normalny"/>
    <w:link w:val="Tekstpodstawowy2Znak"/>
    <w:uiPriority w:val="99"/>
    <w:semiHidden/>
    <w:rsid w:val="004D2070"/>
    <w:pPr>
      <w:spacing w:after="120" w:line="480" w:lineRule="auto"/>
    </w:pPr>
  </w:style>
  <w:style w:type="character" w:customStyle="1" w:styleId="Tekstpodstawowy2Znak">
    <w:name w:val="Tekst podstawowy 2 Znak"/>
    <w:basedOn w:val="Domylnaczcionkaakapitu"/>
    <w:link w:val="Tekstpodstawowy2"/>
    <w:uiPriority w:val="99"/>
    <w:semiHidden/>
    <w:rsid w:val="004D2070"/>
    <w:rPr>
      <w:rFonts w:eastAsiaTheme="minorEastAsia"/>
      <w:sz w:val="24"/>
      <w:lang w:val="en-US"/>
    </w:rPr>
  </w:style>
  <w:style w:type="paragraph" w:styleId="Tekstpodstawowy3">
    <w:name w:val="Body Text 3"/>
    <w:basedOn w:val="Normalny"/>
    <w:link w:val="Tekstpodstawowy3Znak"/>
    <w:uiPriority w:val="99"/>
    <w:semiHidden/>
    <w:rsid w:val="004D2070"/>
    <w:pPr>
      <w:spacing w:after="120"/>
    </w:pPr>
    <w:rPr>
      <w:sz w:val="16"/>
      <w:szCs w:val="16"/>
    </w:rPr>
  </w:style>
  <w:style w:type="character" w:customStyle="1" w:styleId="Tekstpodstawowy3Znak">
    <w:name w:val="Tekst podstawowy 3 Znak"/>
    <w:basedOn w:val="Domylnaczcionkaakapitu"/>
    <w:link w:val="Tekstpodstawowy3"/>
    <w:uiPriority w:val="99"/>
    <w:semiHidden/>
    <w:rsid w:val="004D2070"/>
    <w:rPr>
      <w:rFonts w:eastAsiaTheme="minorEastAsia"/>
      <w:sz w:val="16"/>
      <w:szCs w:val="16"/>
      <w:lang w:val="en-US"/>
    </w:rPr>
  </w:style>
  <w:style w:type="paragraph" w:styleId="Tekstpodstawowyzwciciem">
    <w:name w:val="Body Text First Indent"/>
    <w:basedOn w:val="Tekstpodstawowy"/>
    <w:link w:val="TekstpodstawowyzwciciemZnak"/>
    <w:uiPriority w:val="99"/>
    <w:semiHidden/>
    <w:rsid w:val="004D2070"/>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4D2070"/>
    <w:rPr>
      <w:rFonts w:eastAsiaTheme="minorEastAsia"/>
      <w:sz w:val="24"/>
      <w:lang w:val="en-US"/>
    </w:rPr>
  </w:style>
  <w:style w:type="paragraph" w:styleId="Tekstpodstawowywcity">
    <w:name w:val="Body Text Indent"/>
    <w:basedOn w:val="Normalny"/>
    <w:link w:val="TekstpodstawowywcityZnak"/>
    <w:uiPriority w:val="99"/>
    <w:semiHidden/>
    <w:rsid w:val="004D2070"/>
    <w:pPr>
      <w:spacing w:after="120"/>
      <w:ind w:left="283"/>
    </w:pPr>
  </w:style>
  <w:style w:type="character" w:customStyle="1" w:styleId="TekstpodstawowywcityZnak">
    <w:name w:val="Tekst podstawowy wcięty Znak"/>
    <w:basedOn w:val="Domylnaczcionkaakapitu"/>
    <w:link w:val="Tekstpodstawowywcity"/>
    <w:uiPriority w:val="99"/>
    <w:semiHidden/>
    <w:rsid w:val="004D2070"/>
    <w:rPr>
      <w:rFonts w:eastAsiaTheme="minorEastAsia"/>
      <w:sz w:val="24"/>
      <w:lang w:val="en-US"/>
    </w:rPr>
  </w:style>
  <w:style w:type="paragraph" w:styleId="Tekstpodstawowyzwciciem2">
    <w:name w:val="Body Text First Indent 2"/>
    <w:basedOn w:val="Tekstpodstawowywcity"/>
    <w:link w:val="Tekstpodstawowyzwciciem2Znak"/>
    <w:uiPriority w:val="99"/>
    <w:semiHidden/>
    <w:rsid w:val="004D2070"/>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4D2070"/>
    <w:rPr>
      <w:rFonts w:eastAsiaTheme="minorEastAsia"/>
      <w:sz w:val="24"/>
      <w:lang w:val="en-US"/>
    </w:rPr>
  </w:style>
  <w:style w:type="paragraph" w:styleId="Tekstpodstawowywcity2">
    <w:name w:val="Body Text Indent 2"/>
    <w:basedOn w:val="Normalny"/>
    <w:link w:val="Tekstpodstawowywcity2Znak"/>
    <w:uiPriority w:val="99"/>
    <w:semiHidden/>
    <w:rsid w:val="004D2070"/>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4D2070"/>
    <w:rPr>
      <w:rFonts w:eastAsiaTheme="minorEastAsia"/>
      <w:sz w:val="24"/>
      <w:lang w:val="en-US"/>
    </w:rPr>
  </w:style>
  <w:style w:type="paragraph" w:styleId="Tekstpodstawowywcity3">
    <w:name w:val="Body Text Indent 3"/>
    <w:basedOn w:val="Normalny"/>
    <w:link w:val="Tekstpodstawowywcity3Znak"/>
    <w:uiPriority w:val="99"/>
    <w:semiHidden/>
    <w:rsid w:val="004D2070"/>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4D2070"/>
    <w:rPr>
      <w:rFonts w:eastAsiaTheme="minorEastAsia"/>
      <w:sz w:val="16"/>
      <w:szCs w:val="16"/>
      <w:lang w:val="en-US"/>
    </w:rPr>
  </w:style>
  <w:style w:type="paragraph" w:styleId="Legenda">
    <w:name w:val="caption"/>
    <w:basedOn w:val="Normalny"/>
    <w:next w:val="Normalny"/>
    <w:uiPriority w:val="99"/>
    <w:semiHidden/>
    <w:qFormat/>
    <w:rsid w:val="004D2070"/>
    <w:pPr>
      <w:spacing w:after="200"/>
    </w:pPr>
    <w:rPr>
      <w:b/>
      <w:bCs/>
      <w:color w:val="4F81BD" w:themeColor="accent1"/>
      <w:sz w:val="18"/>
      <w:szCs w:val="18"/>
      <w:lang w:val="fr-FR" w:eastAsia="fr-FR"/>
    </w:rPr>
  </w:style>
  <w:style w:type="paragraph" w:styleId="Zwrotpoegnalny">
    <w:name w:val="Closing"/>
    <w:basedOn w:val="Normalny"/>
    <w:link w:val="ZwrotpoegnalnyZnak"/>
    <w:uiPriority w:val="99"/>
    <w:semiHidden/>
    <w:rsid w:val="004D2070"/>
    <w:pPr>
      <w:ind w:left="4252"/>
    </w:pPr>
  </w:style>
  <w:style w:type="character" w:customStyle="1" w:styleId="ZwrotpoegnalnyZnak">
    <w:name w:val="Zwrot pożegnalny Znak"/>
    <w:basedOn w:val="Domylnaczcionkaakapitu"/>
    <w:link w:val="Zwrotpoegnalny"/>
    <w:uiPriority w:val="99"/>
    <w:semiHidden/>
    <w:rsid w:val="004D2070"/>
    <w:rPr>
      <w:rFonts w:eastAsiaTheme="minorEastAsia"/>
      <w:sz w:val="24"/>
      <w:lang w:val="en-US"/>
    </w:rPr>
  </w:style>
  <w:style w:type="table" w:customStyle="1" w:styleId="Kolorowasiatka1">
    <w:name w:val="Kolorowa siatka1"/>
    <w:basedOn w:val="Standardowy"/>
    <w:uiPriority w:val="99"/>
    <w:rsid w:val="004D2070"/>
    <w:pPr>
      <w:spacing w:after="0" w:line="240" w:lineRule="auto"/>
    </w:pPr>
    <w:rPr>
      <w:color w:val="000000" w:themeColor="text1"/>
      <w:lang w:val="fr-FR" w:eastAsia="fr-FR"/>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rsid w:val="004D2070"/>
    <w:pPr>
      <w:spacing w:after="0" w:line="240" w:lineRule="auto"/>
    </w:pPr>
    <w:rPr>
      <w:color w:val="000000" w:themeColor="text1"/>
      <w:lang w:val="fr-FR" w:eastAsia="fr-FR"/>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Kolorowasiatkaakcent2">
    <w:name w:val="Colorful Grid Accent 2"/>
    <w:basedOn w:val="Standardowy"/>
    <w:uiPriority w:val="99"/>
    <w:rsid w:val="004D2070"/>
    <w:pPr>
      <w:spacing w:after="0" w:line="240" w:lineRule="auto"/>
    </w:pPr>
    <w:rPr>
      <w:color w:val="000000" w:themeColor="text1"/>
      <w:lang w:val="fr-FR" w:eastAsia="fr-FR"/>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Kolorowasiatkaakcent3">
    <w:name w:val="Colorful Grid Accent 3"/>
    <w:basedOn w:val="Standardowy"/>
    <w:uiPriority w:val="99"/>
    <w:rsid w:val="004D2070"/>
    <w:pPr>
      <w:spacing w:after="0" w:line="240" w:lineRule="auto"/>
    </w:pPr>
    <w:rPr>
      <w:color w:val="000000" w:themeColor="text1"/>
      <w:lang w:val="fr-FR" w:eastAsia="fr-FR"/>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Kolorowasiatkaakcent4">
    <w:name w:val="Colorful Grid Accent 4"/>
    <w:basedOn w:val="Standardowy"/>
    <w:uiPriority w:val="99"/>
    <w:rsid w:val="004D2070"/>
    <w:pPr>
      <w:spacing w:after="0" w:line="240" w:lineRule="auto"/>
    </w:pPr>
    <w:rPr>
      <w:color w:val="000000" w:themeColor="text1"/>
      <w:lang w:val="fr-FR" w:eastAsia="fr-FR"/>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Kolorowasiatkaakcent5">
    <w:name w:val="Colorful Grid Accent 5"/>
    <w:basedOn w:val="Standardowy"/>
    <w:uiPriority w:val="99"/>
    <w:rsid w:val="004D2070"/>
    <w:pPr>
      <w:spacing w:after="0" w:line="240" w:lineRule="auto"/>
    </w:pPr>
    <w:rPr>
      <w:color w:val="000000" w:themeColor="text1"/>
      <w:lang w:val="fr-FR" w:eastAsia="fr-FR"/>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Kolorowasiatkaakcent6">
    <w:name w:val="Colorful Grid Accent 6"/>
    <w:basedOn w:val="Standardowy"/>
    <w:uiPriority w:val="99"/>
    <w:rsid w:val="004D2070"/>
    <w:pPr>
      <w:spacing w:after="0" w:line="240" w:lineRule="auto"/>
    </w:pPr>
    <w:rPr>
      <w:color w:val="000000" w:themeColor="text1"/>
      <w:lang w:val="fr-FR" w:eastAsia="fr-FR"/>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customStyle="1" w:styleId="Kolorowalista1">
    <w:name w:val="Kolorowa lista1"/>
    <w:basedOn w:val="Standardowy"/>
    <w:uiPriority w:val="99"/>
    <w:rsid w:val="004D2070"/>
    <w:pPr>
      <w:spacing w:after="0" w:line="240" w:lineRule="auto"/>
    </w:pPr>
    <w:rPr>
      <w:color w:val="000000" w:themeColor="text1"/>
      <w:lang w:val="fr-FR" w:eastAsia="fr-FR"/>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rsid w:val="004D2070"/>
    <w:pPr>
      <w:spacing w:after="0" w:line="240" w:lineRule="auto"/>
    </w:pPr>
    <w:rPr>
      <w:color w:val="000000" w:themeColor="text1"/>
      <w:lang w:val="fr-FR" w:eastAsia="fr-FR"/>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Kolorowalistaakcent2">
    <w:name w:val="Colorful List Accent 2"/>
    <w:basedOn w:val="Standardowy"/>
    <w:uiPriority w:val="99"/>
    <w:rsid w:val="004D2070"/>
    <w:pPr>
      <w:spacing w:after="0" w:line="240" w:lineRule="auto"/>
    </w:pPr>
    <w:rPr>
      <w:color w:val="000000" w:themeColor="text1"/>
      <w:lang w:val="fr-FR" w:eastAsia="fr-FR"/>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Kolorowalistaakcent3">
    <w:name w:val="Colorful List Accent 3"/>
    <w:basedOn w:val="Standardowy"/>
    <w:uiPriority w:val="99"/>
    <w:rsid w:val="004D2070"/>
    <w:pPr>
      <w:spacing w:after="0" w:line="240" w:lineRule="auto"/>
    </w:pPr>
    <w:rPr>
      <w:color w:val="000000" w:themeColor="text1"/>
      <w:lang w:val="fr-FR" w:eastAsia="fr-FR"/>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Kolorowalistaakcent4">
    <w:name w:val="Colorful List Accent 4"/>
    <w:basedOn w:val="Standardowy"/>
    <w:uiPriority w:val="99"/>
    <w:rsid w:val="004D2070"/>
    <w:pPr>
      <w:spacing w:after="0" w:line="240" w:lineRule="auto"/>
    </w:pPr>
    <w:rPr>
      <w:color w:val="000000" w:themeColor="text1"/>
      <w:lang w:val="fr-FR" w:eastAsia="fr-FR"/>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Kolorowalistaakcent5">
    <w:name w:val="Colorful List Accent 5"/>
    <w:basedOn w:val="Standardowy"/>
    <w:uiPriority w:val="99"/>
    <w:rsid w:val="004D2070"/>
    <w:pPr>
      <w:spacing w:after="0" w:line="240" w:lineRule="auto"/>
    </w:pPr>
    <w:rPr>
      <w:color w:val="000000" w:themeColor="text1"/>
      <w:lang w:val="fr-FR" w:eastAsia="fr-FR"/>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Kolorowalistaakcent6">
    <w:name w:val="Colorful List Accent 6"/>
    <w:basedOn w:val="Standardowy"/>
    <w:uiPriority w:val="99"/>
    <w:rsid w:val="004D2070"/>
    <w:pPr>
      <w:spacing w:after="0" w:line="240" w:lineRule="auto"/>
    </w:pPr>
    <w:rPr>
      <w:color w:val="000000" w:themeColor="text1"/>
      <w:lang w:val="fr-FR" w:eastAsia="fr-FR"/>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customStyle="1" w:styleId="Kolorowecieniowanie1">
    <w:name w:val="Kolorowe cieniowanie1"/>
    <w:basedOn w:val="Standardowy"/>
    <w:uiPriority w:val="99"/>
    <w:rsid w:val="004D2070"/>
    <w:pPr>
      <w:spacing w:after="0" w:line="240" w:lineRule="auto"/>
    </w:pPr>
    <w:rPr>
      <w:color w:val="000000" w:themeColor="text1"/>
      <w:lang w:val="fr-FR" w:eastAsia="fr-FR"/>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rsid w:val="004D2070"/>
    <w:pPr>
      <w:spacing w:after="0" w:line="240" w:lineRule="auto"/>
    </w:pPr>
    <w:rPr>
      <w:color w:val="000000" w:themeColor="text1"/>
      <w:lang w:val="fr-FR" w:eastAsia="fr-FR"/>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rsid w:val="004D2070"/>
    <w:pPr>
      <w:spacing w:after="0" w:line="240" w:lineRule="auto"/>
    </w:pPr>
    <w:rPr>
      <w:color w:val="000000" w:themeColor="text1"/>
      <w:lang w:val="fr-FR" w:eastAsia="fr-FR"/>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rsid w:val="004D2070"/>
    <w:pPr>
      <w:spacing w:after="0" w:line="240" w:lineRule="auto"/>
    </w:pPr>
    <w:rPr>
      <w:color w:val="000000" w:themeColor="text1"/>
      <w:lang w:val="fr-FR" w:eastAsia="fr-FR"/>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Kolorowecieniowanieakcent4">
    <w:name w:val="Colorful Shading Accent 4"/>
    <w:basedOn w:val="Standardowy"/>
    <w:uiPriority w:val="99"/>
    <w:rsid w:val="004D2070"/>
    <w:pPr>
      <w:spacing w:after="0" w:line="240" w:lineRule="auto"/>
    </w:pPr>
    <w:rPr>
      <w:color w:val="000000" w:themeColor="text1"/>
      <w:lang w:val="fr-FR" w:eastAsia="fr-FR"/>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rsid w:val="004D2070"/>
    <w:pPr>
      <w:spacing w:after="0" w:line="240" w:lineRule="auto"/>
    </w:pPr>
    <w:rPr>
      <w:color w:val="000000" w:themeColor="text1"/>
      <w:lang w:val="fr-FR" w:eastAsia="fr-FR"/>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rsid w:val="004D2070"/>
    <w:pPr>
      <w:spacing w:after="0" w:line="240" w:lineRule="auto"/>
    </w:pPr>
    <w:rPr>
      <w:color w:val="000000" w:themeColor="text1"/>
      <w:lang w:val="fr-FR" w:eastAsia="fr-FR"/>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customStyle="1" w:styleId="Ciemnalista1">
    <w:name w:val="Ciemna lista1"/>
    <w:basedOn w:val="Standardowy"/>
    <w:uiPriority w:val="99"/>
    <w:rsid w:val="004D2070"/>
    <w:pPr>
      <w:spacing w:after="0" w:line="240" w:lineRule="auto"/>
    </w:pPr>
    <w:rPr>
      <w:color w:val="FFFFFF" w:themeColor="background1"/>
      <w:lang w:val="fr-FR"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rsid w:val="004D2070"/>
    <w:pPr>
      <w:spacing w:after="0" w:line="240" w:lineRule="auto"/>
    </w:pPr>
    <w:rPr>
      <w:color w:val="FFFFFF" w:themeColor="background1"/>
      <w:lang w:val="fr-FR" w:eastAsia="fr-FR"/>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Ciemnalistaakcent2">
    <w:name w:val="Dark List Accent 2"/>
    <w:basedOn w:val="Standardowy"/>
    <w:uiPriority w:val="99"/>
    <w:rsid w:val="004D2070"/>
    <w:pPr>
      <w:spacing w:after="0" w:line="240" w:lineRule="auto"/>
    </w:pPr>
    <w:rPr>
      <w:color w:val="FFFFFF" w:themeColor="background1"/>
      <w:lang w:val="fr-FR" w:eastAsia="fr-FR"/>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Ciemnalistaakcent3">
    <w:name w:val="Dark List Accent 3"/>
    <w:basedOn w:val="Standardowy"/>
    <w:uiPriority w:val="99"/>
    <w:rsid w:val="004D2070"/>
    <w:pPr>
      <w:spacing w:after="0" w:line="240" w:lineRule="auto"/>
    </w:pPr>
    <w:rPr>
      <w:color w:val="FFFFFF" w:themeColor="background1"/>
      <w:lang w:val="fr-FR" w:eastAsia="fr-FR"/>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Ciemnalistaakcent4">
    <w:name w:val="Dark List Accent 4"/>
    <w:basedOn w:val="Standardowy"/>
    <w:uiPriority w:val="99"/>
    <w:rsid w:val="004D2070"/>
    <w:pPr>
      <w:spacing w:after="0" w:line="240" w:lineRule="auto"/>
    </w:pPr>
    <w:rPr>
      <w:color w:val="FFFFFF" w:themeColor="background1"/>
      <w:lang w:val="fr-FR" w:eastAsia="fr-FR"/>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Ciemnalistaakcent5">
    <w:name w:val="Dark List Accent 5"/>
    <w:basedOn w:val="Standardowy"/>
    <w:uiPriority w:val="99"/>
    <w:rsid w:val="004D2070"/>
    <w:pPr>
      <w:spacing w:after="0" w:line="240" w:lineRule="auto"/>
    </w:pPr>
    <w:rPr>
      <w:color w:val="FFFFFF" w:themeColor="background1"/>
      <w:lang w:val="fr-FR" w:eastAsia="fr-FR"/>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Ciemnalistaakcent6">
    <w:name w:val="Dark List Accent 6"/>
    <w:basedOn w:val="Standardowy"/>
    <w:uiPriority w:val="99"/>
    <w:rsid w:val="004D2070"/>
    <w:pPr>
      <w:spacing w:after="0" w:line="240" w:lineRule="auto"/>
    </w:pPr>
    <w:rPr>
      <w:color w:val="FFFFFF" w:themeColor="background1"/>
      <w:lang w:val="fr-FR" w:eastAsia="fr-FR"/>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paragraph" w:styleId="Data">
    <w:name w:val="Date"/>
    <w:basedOn w:val="Normalny"/>
    <w:next w:val="Normalny"/>
    <w:link w:val="DataZnak"/>
    <w:uiPriority w:val="99"/>
    <w:semiHidden/>
    <w:rsid w:val="004D2070"/>
  </w:style>
  <w:style w:type="character" w:customStyle="1" w:styleId="DataZnak">
    <w:name w:val="Data Znak"/>
    <w:basedOn w:val="Domylnaczcionkaakapitu"/>
    <w:link w:val="Data"/>
    <w:uiPriority w:val="99"/>
    <w:semiHidden/>
    <w:rsid w:val="004D2070"/>
    <w:rPr>
      <w:rFonts w:eastAsiaTheme="minorEastAsia"/>
      <w:sz w:val="24"/>
      <w:lang w:val="en-US"/>
    </w:rPr>
  </w:style>
  <w:style w:type="paragraph" w:styleId="Podpise-mail">
    <w:name w:val="E-mail Signature"/>
    <w:basedOn w:val="Normalny"/>
    <w:link w:val="Podpise-mailZnak"/>
    <w:uiPriority w:val="99"/>
    <w:semiHidden/>
    <w:rsid w:val="004D2070"/>
  </w:style>
  <w:style w:type="character" w:customStyle="1" w:styleId="Podpise-mailZnak">
    <w:name w:val="Podpis e-mail Znak"/>
    <w:basedOn w:val="Domylnaczcionkaakapitu"/>
    <w:link w:val="Podpise-mail"/>
    <w:uiPriority w:val="99"/>
    <w:semiHidden/>
    <w:rsid w:val="004D2070"/>
    <w:rPr>
      <w:rFonts w:eastAsiaTheme="minorEastAsia"/>
      <w:sz w:val="24"/>
      <w:lang w:val="en-US"/>
    </w:rPr>
  </w:style>
  <w:style w:type="paragraph" w:styleId="Adresnakopercie">
    <w:name w:val="envelope address"/>
    <w:basedOn w:val="Normalny"/>
    <w:uiPriority w:val="99"/>
    <w:semiHidden/>
    <w:rsid w:val="004D2070"/>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4D2070"/>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4D2070"/>
  </w:style>
  <w:style w:type="paragraph" w:styleId="HTML-adres">
    <w:name w:val="HTML Address"/>
    <w:basedOn w:val="Normalny"/>
    <w:link w:val="HTML-adresZnak"/>
    <w:uiPriority w:val="99"/>
    <w:semiHidden/>
    <w:rsid w:val="004D2070"/>
    <w:rPr>
      <w:i/>
      <w:iCs/>
    </w:rPr>
  </w:style>
  <w:style w:type="character" w:customStyle="1" w:styleId="HTML-adresZnak">
    <w:name w:val="HTML - adres Znak"/>
    <w:basedOn w:val="Domylnaczcionkaakapitu"/>
    <w:link w:val="HTML-adres"/>
    <w:uiPriority w:val="99"/>
    <w:semiHidden/>
    <w:rsid w:val="004D2070"/>
    <w:rPr>
      <w:rFonts w:eastAsiaTheme="minorEastAsia"/>
      <w:i/>
      <w:iCs/>
      <w:sz w:val="24"/>
      <w:lang w:val="en-US"/>
    </w:rPr>
  </w:style>
  <w:style w:type="character" w:styleId="HTML-cytat">
    <w:name w:val="HTML Cite"/>
    <w:basedOn w:val="Domylnaczcionkaakapitu"/>
    <w:uiPriority w:val="99"/>
    <w:semiHidden/>
    <w:rsid w:val="004D2070"/>
    <w:rPr>
      <w:i/>
      <w:iCs/>
    </w:rPr>
  </w:style>
  <w:style w:type="character" w:styleId="HTML-kod">
    <w:name w:val="HTML Code"/>
    <w:basedOn w:val="Domylnaczcionkaakapitu"/>
    <w:uiPriority w:val="99"/>
    <w:semiHidden/>
    <w:rsid w:val="004D2070"/>
    <w:rPr>
      <w:rFonts w:ascii="Consolas" w:hAnsi="Consolas" w:cs="Consolas"/>
      <w:sz w:val="20"/>
      <w:szCs w:val="20"/>
    </w:rPr>
  </w:style>
  <w:style w:type="character" w:styleId="HTML-definicja">
    <w:name w:val="HTML Definition"/>
    <w:basedOn w:val="Domylnaczcionkaakapitu"/>
    <w:uiPriority w:val="99"/>
    <w:semiHidden/>
    <w:rsid w:val="004D2070"/>
    <w:rPr>
      <w:i/>
      <w:iCs/>
    </w:rPr>
  </w:style>
  <w:style w:type="character" w:styleId="HTML-klawiatura">
    <w:name w:val="HTML Keyboard"/>
    <w:basedOn w:val="Domylnaczcionkaakapitu"/>
    <w:uiPriority w:val="99"/>
    <w:semiHidden/>
    <w:rsid w:val="004D2070"/>
    <w:rPr>
      <w:rFonts w:ascii="Consolas" w:hAnsi="Consolas" w:cs="Consolas"/>
      <w:sz w:val="20"/>
      <w:szCs w:val="20"/>
    </w:rPr>
  </w:style>
  <w:style w:type="paragraph" w:styleId="HTML-wstpniesformatowany">
    <w:name w:val="HTML Preformatted"/>
    <w:basedOn w:val="Normalny"/>
    <w:link w:val="HTML-wstpniesformatowanyZnak"/>
    <w:uiPriority w:val="99"/>
    <w:semiHidden/>
    <w:rsid w:val="004D2070"/>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4D2070"/>
    <w:rPr>
      <w:rFonts w:ascii="Consolas" w:eastAsiaTheme="minorEastAsia" w:hAnsi="Consolas" w:cs="Consolas"/>
      <w:sz w:val="20"/>
      <w:szCs w:val="20"/>
      <w:lang w:val="en-US"/>
    </w:rPr>
  </w:style>
  <w:style w:type="character" w:styleId="HTML-przykad">
    <w:name w:val="HTML Sample"/>
    <w:basedOn w:val="Domylnaczcionkaakapitu"/>
    <w:uiPriority w:val="99"/>
    <w:semiHidden/>
    <w:rsid w:val="004D2070"/>
    <w:rPr>
      <w:rFonts w:ascii="Consolas" w:hAnsi="Consolas" w:cs="Consolas"/>
      <w:sz w:val="24"/>
      <w:szCs w:val="24"/>
    </w:rPr>
  </w:style>
  <w:style w:type="character" w:styleId="HTML-staaszeroko">
    <w:name w:val="HTML Typewriter"/>
    <w:basedOn w:val="Domylnaczcionkaakapitu"/>
    <w:uiPriority w:val="99"/>
    <w:semiHidden/>
    <w:rsid w:val="004D2070"/>
    <w:rPr>
      <w:rFonts w:ascii="Consolas" w:hAnsi="Consolas" w:cs="Consolas"/>
      <w:sz w:val="20"/>
      <w:szCs w:val="20"/>
    </w:rPr>
  </w:style>
  <w:style w:type="character" w:styleId="HTML-zmienna">
    <w:name w:val="HTML Variable"/>
    <w:basedOn w:val="Domylnaczcionkaakapitu"/>
    <w:uiPriority w:val="99"/>
    <w:semiHidden/>
    <w:rsid w:val="004D2070"/>
    <w:rPr>
      <w:i/>
      <w:iCs/>
    </w:rPr>
  </w:style>
  <w:style w:type="paragraph" w:styleId="Indeks1">
    <w:name w:val="index 1"/>
    <w:basedOn w:val="Normalny"/>
    <w:next w:val="Normalny"/>
    <w:autoRedefine/>
    <w:uiPriority w:val="99"/>
    <w:semiHidden/>
    <w:rsid w:val="004D2070"/>
    <w:pPr>
      <w:ind w:left="240" w:hanging="240"/>
    </w:pPr>
  </w:style>
  <w:style w:type="paragraph" w:styleId="Indeks2">
    <w:name w:val="index 2"/>
    <w:basedOn w:val="Normalny"/>
    <w:next w:val="Normalny"/>
    <w:autoRedefine/>
    <w:uiPriority w:val="99"/>
    <w:semiHidden/>
    <w:rsid w:val="004D2070"/>
    <w:pPr>
      <w:ind w:left="480" w:hanging="240"/>
    </w:pPr>
  </w:style>
  <w:style w:type="paragraph" w:styleId="Indeks3">
    <w:name w:val="index 3"/>
    <w:basedOn w:val="Normalny"/>
    <w:next w:val="Normalny"/>
    <w:autoRedefine/>
    <w:uiPriority w:val="99"/>
    <w:semiHidden/>
    <w:rsid w:val="004D2070"/>
    <w:pPr>
      <w:ind w:left="720" w:hanging="240"/>
    </w:pPr>
  </w:style>
  <w:style w:type="paragraph" w:styleId="Indeks4">
    <w:name w:val="index 4"/>
    <w:basedOn w:val="Normalny"/>
    <w:next w:val="Normalny"/>
    <w:autoRedefine/>
    <w:uiPriority w:val="99"/>
    <w:semiHidden/>
    <w:rsid w:val="004D2070"/>
    <w:pPr>
      <w:ind w:left="960" w:hanging="240"/>
    </w:pPr>
  </w:style>
  <w:style w:type="paragraph" w:styleId="Indeks5">
    <w:name w:val="index 5"/>
    <w:basedOn w:val="Normalny"/>
    <w:next w:val="Normalny"/>
    <w:autoRedefine/>
    <w:uiPriority w:val="99"/>
    <w:semiHidden/>
    <w:rsid w:val="004D2070"/>
    <w:pPr>
      <w:ind w:left="1200" w:hanging="240"/>
    </w:pPr>
  </w:style>
  <w:style w:type="paragraph" w:styleId="Indeks6">
    <w:name w:val="index 6"/>
    <w:basedOn w:val="Normalny"/>
    <w:next w:val="Normalny"/>
    <w:autoRedefine/>
    <w:uiPriority w:val="99"/>
    <w:semiHidden/>
    <w:rsid w:val="004D2070"/>
    <w:pPr>
      <w:ind w:left="1440" w:hanging="240"/>
    </w:pPr>
  </w:style>
  <w:style w:type="paragraph" w:styleId="Indeks7">
    <w:name w:val="index 7"/>
    <w:basedOn w:val="Normalny"/>
    <w:next w:val="Normalny"/>
    <w:autoRedefine/>
    <w:uiPriority w:val="99"/>
    <w:semiHidden/>
    <w:rsid w:val="004D2070"/>
    <w:pPr>
      <w:ind w:left="1680" w:hanging="240"/>
    </w:pPr>
  </w:style>
  <w:style w:type="paragraph" w:styleId="Indeks8">
    <w:name w:val="index 8"/>
    <w:basedOn w:val="Normalny"/>
    <w:next w:val="Normalny"/>
    <w:autoRedefine/>
    <w:uiPriority w:val="99"/>
    <w:semiHidden/>
    <w:rsid w:val="004D2070"/>
    <w:pPr>
      <w:ind w:left="1920" w:hanging="240"/>
    </w:pPr>
  </w:style>
  <w:style w:type="paragraph" w:styleId="Indeks9">
    <w:name w:val="index 9"/>
    <w:basedOn w:val="Normalny"/>
    <w:next w:val="Normalny"/>
    <w:autoRedefine/>
    <w:uiPriority w:val="99"/>
    <w:semiHidden/>
    <w:rsid w:val="004D2070"/>
    <w:pPr>
      <w:ind w:left="2160" w:hanging="240"/>
    </w:pPr>
  </w:style>
  <w:style w:type="paragraph" w:styleId="Nagwekindeksu">
    <w:name w:val="index heading"/>
    <w:basedOn w:val="Normalny"/>
    <w:next w:val="Indeks1"/>
    <w:uiPriority w:val="99"/>
    <w:semiHidden/>
    <w:rsid w:val="004D2070"/>
    <w:rPr>
      <w:rFonts w:asciiTheme="majorHAnsi" w:eastAsiaTheme="majorEastAsia" w:hAnsiTheme="majorHAnsi" w:cstheme="majorBidi"/>
      <w:b/>
      <w:bCs/>
    </w:rPr>
  </w:style>
  <w:style w:type="table" w:customStyle="1" w:styleId="Jasnasiatka1">
    <w:name w:val="Jasna siatka1"/>
    <w:basedOn w:val="Standardowy"/>
    <w:uiPriority w:val="99"/>
    <w:rsid w:val="004D2070"/>
    <w:pPr>
      <w:spacing w:after="0" w:line="240" w:lineRule="auto"/>
    </w:pPr>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customStyle="1" w:styleId="Jasnasiatkaakcent11">
    <w:name w:val="Jasna siatka — akcent 11"/>
    <w:basedOn w:val="Standardowy"/>
    <w:uiPriority w:val="99"/>
    <w:rsid w:val="004D2070"/>
    <w:pPr>
      <w:spacing w:after="0" w:line="240" w:lineRule="auto"/>
    </w:pPr>
    <w:rPr>
      <w:lang w:val="fr-FR" w:eastAsia="fr-FR"/>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Jasnasiatkaakcent2">
    <w:name w:val="Light Grid Accent 2"/>
    <w:basedOn w:val="Standardowy"/>
    <w:uiPriority w:val="99"/>
    <w:rsid w:val="004D2070"/>
    <w:pPr>
      <w:spacing w:after="0" w:line="240" w:lineRule="auto"/>
    </w:pPr>
    <w:rPr>
      <w:lang w:val="fr-FR" w:eastAsia="fr-FR"/>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Jasnasiatkaakcent3">
    <w:name w:val="Light Grid Accent 3"/>
    <w:basedOn w:val="Standardowy"/>
    <w:uiPriority w:val="99"/>
    <w:rsid w:val="004D2070"/>
    <w:pPr>
      <w:spacing w:after="0" w:line="240" w:lineRule="auto"/>
    </w:pPr>
    <w:rPr>
      <w:lang w:val="fr-FR" w:eastAsia="fr-FR"/>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Jasnasiatkaakcent4">
    <w:name w:val="Light Grid Accent 4"/>
    <w:basedOn w:val="Standardowy"/>
    <w:uiPriority w:val="99"/>
    <w:rsid w:val="004D2070"/>
    <w:pPr>
      <w:spacing w:after="0" w:line="240" w:lineRule="auto"/>
    </w:pPr>
    <w:rPr>
      <w:lang w:val="fr-FR" w:eastAsia="fr-FR"/>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Jasnasiatkaakcent5">
    <w:name w:val="Light Grid Accent 5"/>
    <w:basedOn w:val="Standardowy"/>
    <w:uiPriority w:val="99"/>
    <w:rsid w:val="004D2070"/>
    <w:pPr>
      <w:spacing w:after="0" w:line="240" w:lineRule="auto"/>
    </w:pPr>
    <w:rPr>
      <w:lang w:val="fr-FR" w:eastAsia="fr-FR"/>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Jasnasiatkaakcent6">
    <w:name w:val="Light Grid Accent 6"/>
    <w:basedOn w:val="Standardowy"/>
    <w:uiPriority w:val="99"/>
    <w:rsid w:val="004D2070"/>
    <w:pPr>
      <w:spacing w:after="0" w:line="240" w:lineRule="auto"/>
    </w:pPr>
    <w:rPr>
      <w:lang w:val="fr-FR" w:eastAsia="fr-FR"/>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customStyle="1" w:styleId="Jasnalista1">
    <w:name w:val="Jasna lista1"/>
    <w:basedOn w:val="Standardowy"/>
    <w:uiPriority w:val="99"/>
    <w:rsid w:val="004D2070"/>
    <w:pPr>
      <w:spacing w:after="0" w:line="240" w:lineRule="auto"/>
    </w:pPr>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customStyle="1" w:styleId="Jasnalistaakcent11">
    <w:name w:val="Jasna lista — akcent 11"/>
    <w:basedOn w:val="Standardowy"/>
    <w:uiPriority w:val="99"/>
    <w:rsid w:val="004D2070"/>
    <w:pPr>
      <w:spacing w:after="0" w:line="240" w:lineRule="auto"/>
    </w:pPr>
    <w:rPr>
      <w:lang w:val="fr-FR" w:eastAsia="fr-FR"/>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Jasnalistaakcent2">
    <w:name w:val="Light List Accent 2"/>
    <w:basedOn w:val="Standardowy"/>
    <w:uiPriority w:val="99"/>
    <w:rsid w:val="004D2070"/>
    <w:pPr>
      <w:spacing w:after="0" w:line="240" w:lineRule="auto"/>
    </w:pPr>
    <w:rPr>
      <w:lang w:val="fr-FR" w:eastAsia="fr-FR"/>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Jasnalistaakcent3">
    <w:name w:val="Light List Accent 3"/>
    <w:basedOn w:val="Standardowy"/>
    <w:uiPriority w:val="99"/>
    <w:rsid w:val="004D2070"/>
    <w:pPr>
      <w:spacing w:after="0" w:line="240" w:lineRule="auto"/>
    </w:pPr>
    <w:rPr>
      <w:lang w:val="fr-FR" w:eastAsia="fr-FR"/>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Jasnalistaakcent4">
    <w:name w:val="Light List Accent 4"/>
    <w:basedOn w:val="Standardowy"/>
    <w:uiPriority w:val="99"/>
    <w:rsid w:val="004D2070"/>
    <w:pPr>
      <w:spacing w:after="0" w:line="240" w:lineRule="auto"/>
    </w:pPr>
    <w:rPr>
      <w:lang w:val="fr-FR" w:eastAsia="fr-FR"/>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Jasnalistaakcent5">
    <w:name w:val="Light List Accent 5"/>
    <w:basedOn w:val="Standardowy"/>
    <w:uiPriority w:val="99"/>
    <w:rsid w:val="004D2070"/>
    <w:pPr>
      <w:spacing w:after="0" w:line="240" w:lineRule="auto"/>
    </w:pPr>
    <w:rPr>
      <w:lang w:val="fr-FR" w:eastAsia="fr-FR"/>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Jasnalistaakcent6">
    <w:name w:val="Light List Accent 6"/>
    <w:basedOn w:val="Standardowy"/>
    <w:uiPriority w:val="99"/>
    <w:rsid w:val="004D2070"/>
    <w:pPr>
      <w:spacing w:after="0" w:line="240" w:lineRule="auto"/>
    </w:pPr>
    <w:rPr>
      <w:lang w:val="fr-FR" w:eastAsia="fr-FR"/>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customStyle="1" w:styleId="Jasnecieniowanie1">
    <w:name w:val="Jasne cieniowanie1"/>
    <w:basedOn w:val="Standardowy"/>
    <w:uiPriority w:val="99"/>
    <w:rsid w:val="004D2070"/>
    <w:pPr>
      <w:spacing w:after="0" w:line="240" w:lineRule="auto"/>
    </w:pPr>
    <w:rPr>
      <w:color w:val="000000" w:themeColor="text1" w:themeShade="BF"/>
      <w:lang w:val="fr-FR"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Jasnecieniowanieakcent11">
    <w:name w:val="Jasne cieniowanie — akcent 11"/>
    <w:basedOn w:val="Standardowy"/>
    <w:uiPriority w:val="99"/>
    <w:rsid w:val="004D2070"/>
    <w:pPr>
      <w:spacing w:after="0" w:line="240" w:lineRule="auto"/>
    </w:pPr>
    <w:rPr>
      <w:color w:val="365F91" w:themeColor="accent1" w:themeShade="BF"/>
      <w:lang w:val="fr-FR" w:eastAsia="fr-F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Jasnecieniowanieakcent2">
    <w:name w:val="Light Shading Accent 2"/>
    <w:basedOn w:val="Standardowy"/>
    <w:uiPriority w:val="99"/>
    <w:rsid w:val="004D2070"/>
    <w:pPr>
      <w:spacing w:after="0" w:line="240" w:lineRule="auto"/>
    </w:pPr>
    <w:rPr>
      <w:color w:val="943634" w:themeColor="accent2" w:themeShade="BF"/>
      <w:lang w:val="fr-FR" w:eastAsia="fr-FR"/>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Jasnecieniowanieakcent3">
    <w:name w:val="Light Shading Accent 3"/>
    <w:basedOn w:val="Standardowy"/>
    <w:uiPriority w:val="99"/>
    <w:rsid w:val="004D2070"/>
    <w:pPr>
      <w:spacing w:after="0" w:line="240" w:lineRule="auto"/>
    </w:pPr>
    <w:rPr>
      <w:color w:val="76923C" w:themeColor="accent3" w:themeShade="BF"/>
      <w:lang w:val="fr-FR" w:eastAsia="fr-FR"/>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Jasnecieniowanieakcent4">
    <w:name w:val="Light Shading Accent 4"/>
    <w:basedOn w:val="Standardowy"/>
    <w:uiPriority w:val="99"/>
    <w:rsid w:val="004D2070"/>
    <w:pPr>
      <w:spacing w:after="0" w:line="240" w:lineRule="auto"/>
    </w:pPr>
    <w:rPr>
      <w:color w:val="5F497A" w:themeColor="accent4" w:themeShade="BF"/>
      <w:lang w:val="fr-FR" w:eastAsia="fr-FR"/>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Jasnecieniowanieakcent5">
    <w:name w:val="Light Shading Accent 5"/>
    <w:basedOn w:val="Standardowy"/>
    <w:uiPriority w:val="99"/>
    <w:rsid w:val="004D2070"/>
    <w:pPr>
      <w:spacing w:after="0" w:line="240" w:lineRule="auto"/>
    </w:pPr>
    <w:rPr>
      <w:color w:val="31849B" w:themeColor="accent5" w:themeShade="BF"/>
      <w:lang w:val="fr-FR" w:eastAsia="fr-FR"/>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Jasnecieniowanieakcent6">
    <w:name w:val="Light Shading Accent 6"/>
    <w:basedOn w:val="Standardowy"/>
    <w:uiPriority w:val="99"/>
    <w:rsid w:val="004D2070"/>
    <w:pPr>
      <w:spacing w:after="0" w:line="240" w:lineRule="auto"/>
    </w:pPr>
    <w:rPr>
      <w:color w:val="E36C0A" w:themeColor="accent6" w:themeShade="BF"/>
      <w:lang w:val="fr-FR" w:eastAsia="fr-FR"/>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character" w:styleId="Numerwiersza">
    <w:name w:val="line number"/>
    <w:basedOn w:val="Domylnaczcionkaakapitu"/>
    <w:uiPriority w:val="99"/>
    <w:semiHidden/>
    <w:rsid w:val="004D2070"/>
  </w:style>
  <w:style w:type="paragraph" w:styleId="Lista">
    <w:name w:val="List"/>
    <w:basedOn w:val="Normalny"/>
    <w:uiPriority w:val="99"/>
    <w:semiHidden/>
    <w:rsid w:val="004D2070"/>
    <w:pPr>
      <w:ind w:left="283" w:hanging="283"/>
      <w:contextualSpacing/>
    </w:pPr>
  </w:style>
  <w:style w:type="paragraph" w:styleId="Lista2">
    <w:name w:val="List 2"/>
    <w:basedOn w:val="Normalny"/>
    <w:uiPriority w:val="99"/>
    <w:semiHidden/>
    <w:rsid w:val="004D2070"/>
    <w:pPr>
      <w:ind w:left="566" w:hanging="283"/>
      <w:contextualSpacing/>
    </w:pPr>
  </w:style>
  <w:style w:type="paragraph" w:styleId="Lista3">
    <w:name w:val="List 3"/>
    <w:basedOn w:val="Normalny"/>
    <w:uiPriority w:val="99"/>
    <w:semiHidden/>
    <w:rsid w:val="004D2070"/>
    <w:pPr>
      <w:ind w:left="849" w:hanging="283"/>
      <w:contextualSpacing/>
    </w:pPr>
  </w:style>
  <w:style w:type="paragraph" w:styleId="Lista4">
    <w:name w:val="List 4"/>
    <w:basedOn w:val="Normalny"/>
    <w:uiPriority w:val="99"/>
    <w:semiHidden/>
    <w:rsid w:val="004D2070"/>
    <w:pPr>
      <w:ind w:left="1132" w:hanging="283"/>
      <w:contextualSpacing/>
    </w:pPr>
  </w:style>
  <w:style w:type="paragraph" w:styleId="Lista5">
    <w:name w:val="List 5"/>
    <w:basedOn w:val="Normalny"/>
    <w:uiPriority w:val="99"/>
    <w:semiHidden/>
    <w:rsid w:val="004D2070"/>
    <w:pPr>
      <w:ind w:left="1415" w:hanging="283"/>
      <w:contextualSpacing/>
    </w:pPr>
  </w:style>
  <w:style w:type="paragraph" w:styleId="Listapunktowana2">
    <w:name w:val="List Bullet 2"/>
    <w:basedOn w:val="Normalny"/>
    <w:uiPriority w:val="99"/>
    <w:semiHidden/>
    <w:rsid w:val="004D2070"/>
    <w:pPr>
      <w:numPr>
        <w:numId w:val="5"/>
      </w:numPr>
      <w:contextualSpacing/>
    </w:pPr>
  </w:style>
  <w:style w:type="paragraph" w:styleId="Listapunktowana3">
    <w:name w:val="List Bullet 3"/>
    <w:basedOn w:val="Normalny"/>
    <w:uiPriority w:val="99"/>
    <w:semiHidden/>
    <w:rsid w:val="004D2070"/>
    <w:pPr>
      <w:numPr>
        <w:numId w:val="6"/>
      </w:numPr>
      <w:contextualSpacing/>
    </w:pPr>
  </w:style>
  <w:style w:type="paragraph" w:styleId="Listapunktowana4">
    <w:name w:val="List Bullet 4"/>
    <w:basedOn w:val="Normalny"/>
    <w:uiPriority w:val="99"/>
    <w:semiHidden/>
    <w:rsid w:val="004D2070"/>
    <w:pPr>
      <w:numPr>
        <w:numId w:val="7"/>
      </w:numPr>
      <w:contextualSpacing/>
    </w:pPr>
  </w:style>
  <w:style w:type="paragraph" w:styleId="Listapunktowana5">
    <w:name w:val="List Bullet 5"/>
    <w:basedOn w:val="Normalny"/>
    <w:uiPriority w:val="99"/>
    <w:semiHidden/>
    <w:rsid w:val="004D2070"/>
    <w:pPr>
      <w:numPr>
        <w:numId w:val="8"/>
      </w:numPr>
      <w:contextualSpacing/>
    </w:pPr>
  </w:style>
  <w:style w:type="paragraph" w:styleId="Lista-kontynuacja">
    <w:name w:val="List Continue"/>
    <w:basedOn w:val="Normalny"/>
    <w:uiPriority w:val="99"/>
    <w:semiHidden/>
    <w:rsid w:val="004D2070"/>
    <w:pPr>
      <w:spacing w:after="120"/>
      <w:ind w:left="283"/>
      <w:contextualSpacing/>
    </w:pPr>
  </w:style>
  <w:style w:type="paragraph" w:styleId="Lista-kontynuacja2">
    <w:name w:val="List Continue 2"/>
    <w:basedOn w:val="Normalny"/>
    <w:uiPriority w:val="99"/>
    <w:semiHidden/>
    <w:rsid w:val="004D2070"/>
    <w:pPr>
      <w:spacing w:after="120"/>
      <w:ind w:left="566"/>
      <w:contextualSpacing/>
    </w:pPr>
  </w:style>
  <w:style w:type="paragraph" w:styleId="Lista-kontynuacja3">
    <w:name w:val="List Continue 3"/>
    <w:basedOn w:val="Normalny"/>
    <w:uiPriority w:val="99"/>
    <w:semiHidden/>
    <w:rsid w:val="004D2070"/>
    <w:pPr>
      <w:spacing w:after="120"/>
      <w:ind w:left="849"/>
      <w:contextualSpacing/>
    </w:pPr>
  </w:style>
  <w:style w:type="paragraph" w:styleId="Lista-kontynuacja4">
    <w:name w:val="List Continue 4"/>
    <w:basedOn w:val="Normalny"/>
    <w:uiPriority w:val="99"/>
    <w:semiHidden/>
    <w:rsid w:val="004D2070"/>
    <w:pPr>
      <w:spacing w:after="120"/>
      <w:ind w:left="1132"/>
      <w:contextualSpacing/>
    </w:pPr>
  </w:style>
  <w:style w:type="paragraph" w:styleId="Lista-kontynuacja5">
    <w:name w:val="List Continue 5"/>
    <w:basedOn w:val="Normalny"/>
    <w:uiPriority w:val="99"/>
    <w:semiHidden/>
    <w:rsid w:val="004D2070"/>
    <w:pPr>
      <w:spacing w:after="120"/>
      <w:ind w:left="1415"/>
      <w:contextualSpacing/>
    </w:pPr>
  </w:style>
  <w:style w:type="paragraph" w:styleId="Listanumerowana">
    <w:name w:val="List Number"/>
    <w:basedOn w:val="Normalny"/>
    <w:uiPriority w:val="99"/>
    <w:semiHidden/>
    <w:rsid w:val="004D2070"/>
    <w:pPr>
      <w:numPr>
        <w:numId w:val="9"/>
      </w:numPr>
      <w:contextualSpacing/>
    </w:pPr>
  </w:style>
  <w:style w:type="paragraph" w:styleId="Listanumerowana2">
    <w:name w:val="List Number 2"/>
    <w:basedOn w:val="Normalny"/>
    <w:uiPriority w:val="99"/>
    <w:semiHidden/>
    <w:rsid w:val="004D2070"/>
    <w:pPr>
      <w:numPr>
        <w:numId w:val="10"/>
      </w:numPr>
      <w:contextualSpacing/>
    </w:pPr>
  </w:style>
  <w:style w:type="paragraph" w:styleId="Listanumerowana3">
    <w:name w:val="List Number 3"/>
    <w:basedOn w:val="Normalny"/>
    <w:uiPriority w:val="99"/>
    <w:semiHidden/>
    <w:rsid w:val="004D2070"/>
    <w:pPr>
      <w:numPr>
        <w:numId w:val="11"/>
      </w:numPr>
      <w:contextualSpacing/>
    </w:pPr>
  </w:style>
  <w:style w:type="paragraph" w:styleId="Listanumerowana4">
    <w:name w:val="List Number 4"/>
    <w:basedOn w:val="Normalny"/>
    <w:uiPriority w:val="99"/>
    <w:semiHidden/>
    <w:rsid w:val="004D2070"/>
    <w:pPr>
      <w:numPr>
        <w:numId w:val="12"/>
      </w:numPr>
      <w:contextualSpacing/>
    </w:pPr>
  </w:style>
  <w:style w:type="paragraph" w:styleId="Listanumerowana5">
    <w:name w:val="List Number 5"/>
    <w:basedOn w:val="Normalny"/>
    <w:uiPriority w:val="99"/>
    <w:semiHidden/>
    <w:rsid w:val="004D2070"/>
    <w:pPr>
      <w:numPr>
        <w:numId w:val="13"/>
      </w:numPr>
      <w:contextualSpacing/>
    </w:pPr>
  </w:style>
  <w:style w:type="paragraph" w:styleId="Tekstmakra">
    <w:name w:val="macro"/>
    <w:link w:val="TekstmakraZnak"/>
    <w:uiPriority w:val="99"/>
    <w:semiHidden/>
    <w:rsid w:val="004D2070"/>
    <w:pPr>
      <w:tabs>
        <w:tab w:val="left" w:pos="480"/>
        <w:tab w:val="left" w:pos="960"/>
        <w:tab w:val="left" w:pos="1440"/>
        <w:tab w:val="left" w:pos="1920"/>
        <w:tab w:val="left" w:pos="2400"/>
        <w:tab w:val="left" w:pos="2880"/>
        <w:tab w:val="left" w:pos="3360"/>
        <w:tab w:val="left" w:pos="3840"/>
        <w:tab w:val="left" w:pos="4320"/>
      </w:tabs>
      <w:suppressAutoHyphens/>
      <w:spacing w:after="0" w:line="240" w:lineRule="auto"/>
    </w:pPr>
    <w:rPr>
      <w:rFonts w:ascii="Consolas" w:hAnsi="Consolas" w:cs="Consolas"/>
      <w:sz w:val="20"/>
      <w:szCs w:val="20"/>
      <w:lang w:val="en-GB" w:eastAsia="fr-FR"/>
    </w:rPr>
  </w:style>
  <w:style w:type="character" w:customStyle="1" w:styleId="TekstmakraZnak">
    <w:name w:val="Tekst makra Znak"/>
    <w:basedOn w:val="Domylnaczcionkaakapitu"/>
    <w:link w:val="Tekstmakra"/>
    <w:uiPriority w:val="99"/>
    <w:semiHidden/>
    <w:rsid w:val="004D2070"/>
    <w:rPr>
      <w:rFonts w:ascii="Consolas" w:hAnsi="Consolas" w:cs="Consolas"/>
      <w:sz w:val="20"/>
      <w:szCs w:val="20"/>
      <w:lang w:val="en-GB" w:eastAsia="fr-FR"/>
    </w:rPr>
  </w:style>
  <w:style w:type="table" w:customStyle="1" w:styleId="redniasiatka11">
    <w:name w:val="Średnia siatka 11"/>
    <w:basedOn w:val="Standardowy"/>
    <w:uiPriority w:val="99"/>
    <w:rsid w:val="004D2070"/>
    <w:pPr>
      <w:spacing w:after="0" w:line="240" w:lineRule="auto"/>
    </w:pPr>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rsid w:val="004D2070"/>
    <w:pPr>
      <w:spacing w:after="0" w:line="240" w:lineRule="auto"/>
    </w:pPr>
    <w:rPr>
      <w:lang w:val="fr-FR" w:eastAsia="fr-FR"/>
    </w:r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redniasiatka1akcent2">
    <w:name w:val="Medium Grid 1 Accent 2"/>
    <w:basedOn w:val="Standardowy"/>
    <w:uiPriority w:val="99"/>
    <w:rsid w:val="004D2070"/>
    <w:pPr>
      <w:spacing w:after="0" w:line="240" w:lineRule="auto"/>
    </w:pPr>
    <w:rPr>
      <w:lang w:val="fr-FR" w:eastAsia="fr-FR"/>
    </w:r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redniasiatka1akcent3">
    <w:name w:val="Medium Grid 1 Accent 3"/>
    <w:basedOn w:val="Standardowy"/>
    <w:uiPriority w:val="99"/>
    <w:rsid w:val="004D2070"/>
    <w:pPr>
      <w:spacing w:after="0" w:line="240" w:lineRule="auto"/>
    </w:pPr>
    <w:rPr>
      <w:lang w:val="fr-FR" w:eastAsia="fr-FR"/>
    </w:r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redniasiatka1akcent4">
    <w:name w:val="Medium Grid 1 Accent 4"/>
    <w:basedOn w:val="Standardowy"/>
    <w:uiPriority w:val="99"/>
    <w:rsid w:val="004D2070"/>
    <w:pPr>
      <w:spacing w:after="0" w:line="240" w:lineRule="auto"/>
    </w:pPr>
    <w:rPr>
      <w:lang w:val="fr-FR" w:eastAsia="fr-FR"/>
    </w:r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redniasiatka1akcent5">
    <w:name w:val="Medium Grid 1 Accent 5"/>
    <w:basedOn w:val="Standardowy"/>
    <w:uiPriority w:val="99"/>
    <w:rsid w:val="004D2070"/>
    <w:pPr>
      <w:spacing w:after="0" w:line="240" w:lineRule="auto"/>
    </w:pPr>
    <w:rPr>
      <w:lang w:val="fr-FR" w:eastAsia="fr-FR"/>
    </w:r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redniasiatka1akcent6">
    <w:name w:val="Medium Grid 1 Accent 6"/>
    <w:basedOn w:val="Standardowy"/>
    <w:uiPriority w:val="99"/>
    <w:rsid w:val="004D2070"/>
    <w:pPr>
      <w:spacing w:after="0" w:line="240" w:lineRule="auto"/>
    </w:pPr>
    <w:rPr>
      <w:lang w:val="fr-FR" w:eastAsia="fr-FR"/>
    </w:r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customStyle="1" w:styleId="redniasiatka21">
    <w:name w:val="Średnia siatka 21"/>
    <w:basedOn w:val="Standardowy"/>
    <w:uiPriority w:val="99"/>
    <w:rsid w:val="004D2070"/>
    <w:pPr>
      <w:spacing w:after="0" w:line="240" w:lineRule="auto"/>
    </w:pPr>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redniasiatka2akcent1">
    <w:name w:val="Medium Grid 2 Accent 1"/>
    <w:basedOn w:val="Standardowy"/>
    <w:uiPriority w:val="99"/>
    <w:rsid w:val="004D2070"/>
    <w:pPr>
      <w:spacing w:after="0" w:line="240" w:lineRule="auto"/>
    </w:pPr>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redniasiatka2akcent2">
    <w:name w:val="Medium Grid 2 Accent 2"/>
    <w:basedOn w:val="Standardowy"/>
    <w:uiPriority w:val="99"/>
    <w:rsid w:val="004D2070"/>
    <w:pPr>
      <w:spacing w:after="0" w:line="240" w:lineRule="auto"/>
    </w:pPr>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redniasiatka2akcent3">
    <w:name w:val="Medium Grid 2 Accent 3"/>
    <w:basedOn w:val="Standardowy"/>
    <w:uiPriority w:val="99"/>
    <w:rsid w:val="004D2070"/>
    <w:pPr>
      <w:spacing w:after="0" w:line="240" w:lineRule="auto"/>
    </w:pPr>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redniasiatka2akcent4">
    <w:name w:val="Medium Grid 2 Accent 4"/>
    <w:basedOn w:val="Standardowy"/>
    <w:uiPriority w:val="99"/>
    <w:rsid w:val="004D2070"/>
    <w:pPr>
      <w:spacing w:after="0" w:line="240" w:lineRule="auto"/>
    </w:pPr>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redniasiatka2akcent5">
    <w:name w:val="Medium Grid 2 Accent 5"/>
    <w:basedOn w:val="Standardowy"/>
    <w:uiPriority w:val="99"/>
    <w:rsid w:val="004D2070"/>
    <w:pPr>
      <w:spacing w:after="0" w:line="240" w:lineRule="auto"/>
    </w:pPr>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redniasiatka2akcent6">
    <w:name w:val="Medium Grid 2 Accent 6"/>
    <w:basedOn w:val="Standardowy"/>
    <w:uiPriority w:val="99"/>
    <w:rsid w:val="004D2070"/>
    <w:pPr>
      <w:spacing w:after="0" w:line="240" w:lineRule="auto"/>
    </w:pPr>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customStyle="1" w:styleId="redniasiatka31">
    <w:name w:val="Średnia siatka 31"/>
    <w:basedOn w:val="Standardowy"/>
    <w:uiPriority w:val="99"/>
    <w:rsid w:val="004D2070"/>
    <w:pPr>
      <w:spacing w:after="0" w:line="240" w:lineRule="auto"/>
    </w:pPr>
    <w:rPr>
      <w:lang w:val="fr-FR" w:eastAsia="fr-FR"/>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redniasiatka3akcent1">
    <w:name w:val="Medium Grid 3 Accent 1"/>
    <w:basedOn w:val="Standardowy"/>
    <w:uiPriority w:val="99"/>
    <w:rsid w:val="004D2070"/>
    <w:pPr>
      <w:spacing w:after="0" w:line="240" w:lineRule="auto"/>
    </w:pPr>
    <w:rPr>
      <w:lang w:val="fr-FR" w:eastAsia="fr-FR"/>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redniasiatka3akcent2">
    <w:name w:val="Medium Grid 3 Accent 2"/>
    <w:basedOn w:val="Standardowy"/>
    <w:uiPriority w:val="99"/>
    <w:rsid w:val="004D2070"/>
    <w:pPr>
      <w:spacing w:after="0" w:line="240" w:lineRule="auto"/>
    </w:pPr>
    <w:rPr>
      <w:lang w:val="fr-FR" w:eastAsia="fr-FR"/>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redniasiatka3akcent3">
    <w:name w:val="Medium Grid 3 Accent 3"/>
    <w:basedOn w:val="Standardowy"/>
    <w:uiPriority w:val="99"/>
    <w:rsid w:val="004D2070"/>
    <w:pPr>
      <w:spacing w:after="0" w:line="240" w:lineRule="auto"/>
    </w:pPr>
    <w:rPr>
      <w:lang w:val="fr-FR" w:eastAsia="fr-FR"/>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redniasiatka3akcent4">
    <w:name w:val="Medium Grid 3 Accent 4"/>
    <w:basedOn w:val="Standardowy"/>
    <w:uiPriority w:val="99"/>
    <w:rsid w:val="004D2070"/>
    <w:pPr>
      <w:spacing w:after="0" w:line="240" w:lineRule="auto"/>
    </w:pPr>
    <w:rPr>
      <w:lang w:val="fr-FR" w:eastAsia="fr-FR"/>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redniasiatka3akcent5">
    <w:name w:val="Medium Grid 3 Accent 5"/>
    <w:basedOn w:val="Standardowy"/>
    <w:uiPriority w:val="99"/>
    <w:rsid w:val="004D2070"/>
    <w:pPr>
      <w:spacing w:after="0" w:line="240" w:lineRule="auto"/>
    </w:pPr>
    <w:rPr>
      <w:lang w:val="fr-FR" w:eastAsia="fr-FR"/>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redniasiatka3akcent6">
    <w:name w:val="Medium Grid 3 Accent 6"/>
    <w:basedOn w:val="Standardowy"/>
    <w:uiPriority w:val="99"/>
    <w:rsid w:val="004D2070"/>
    <w:pPr>
      <w:spacing w:after="0" w:line="240" w:lineRule="auto"/>
    </w:pPr>
    <w:rPr>
      <w:lang w:val="fr-FR" w:eastAsia="fr-FR"/>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customStyle="1" w:styleId="rednialista11">
    <w:name w:val="Średnia lista 11"/>
    <w:basedOn w:val="Standardowy"/>
    <w:uiPriority w:val="99"/>
    <w:rsid w:val="004D2070"/>
    <w:pPr>
      <w:spacing w:after="0" w:line="240" w:lineRule="auto"/>
    </w:pPr>
    <w:rPr>
      <w:color w:val="000000" w:themeColor="text1"/>
      <w:lang w:val="fr-FR"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customStyle="1" w:styleId="rednialista1akcent11">
    <w:name w:val="Średnia lista 1 — akcent 11"/>
    <w:basedOn w:val="Standardowy"/>
    <w:uiPriority w:val="99"/>
    <w:rsid w:val="004D2070"/>
    <w:pPr>
      <w:spacing w:after="0" w:line="240" w:lineRule="auto"/>
    </w:pPr>
    <w:rPr>
      <w:color w:val="000000" w:themeColor="text1"/>
      <w:lang w:val="fr-FR" w:eastAsia="fr-FR"/>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rednialista1akcent2">
    <w:name w:val="Medium List 1 Accent 2"/>
    <w:basedOn w:val="Standardowy"/>
    <w:uiPriority w:val="99"/>
    <w:rsid w:val="004D2070"/>
    <w:pPr>
      <w:spacing w:after="0" w:line="240" w:lineRule="auto"/>
    </w:pPr>
    <w:rPr>
      <w:color w:val="000000" w:themeColor="text1"/>
      <w:lang w:val="fr-FR" w:eastAsia="fr-FR"/>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rednialista1akcent3">
    <w:name w:val="Medium List 1 Accent 3"/>
    <w:basedOn w:val="Standardowy"/>
    <w:uiPriority w:val="99"/>
    <w:rsid w:val="004D2070"/>
    <w:pPr>
      <w:spacing w:after="0" w:line="240" w:lineRule="auto"/>
    </w:pPr>
    <w:rPr>
      <w:color w:val="000000" w:themeColor="text1"/>
      <w:lang w:val="fr-FR" w:eastAsia="fr-FR"/>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rednialista1akcent4">
    <w:name w:val="Medium List 1 Accent 4"/>
    <w:basedOn w:val="Standardowy"/>
    <w:uiPriority w:val="99"/>
    <w:rsid w:val="004D2070"/>
    <w:pPr>
      <w:spacing w:after="0" w:line="240" w:lineRule="auto"/>
    </w:pPr>
    <w:rPr>
      <w:color w:val="000000" w:themeColor="text1"/>
      <w:lang w:val="fr-FR" w:eastAsia="fr-FR"/>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rednialista1akcent5">
    <w:name w:val="Medium List 1 Accent 5"/>
    <w:basedOn w:val="Standardowy"/>
    <w:uiPriority w:val="99"/>
    <w:rsid w:val="004D2070"/>
    <w:pPr>
      <w:spacing w:after="0" w:line="240" w:lineRule="auto"/>
    </w:pPr>
    <w:rPr>
      <w:color w:val="000000" w:themeColor="text1"/>
      <w:lang w:val="fr-FR" w:eastAsia="fr-FR"/>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rednialista1akcent6">
    <w:name w:val="Medium List 1 Accent 6"/>
    <w:basedOn w:val="Standardowy"/>
    <w:uiPriority w:val="99"/>
    <w:rsid w:val="004D2070"/>
    <w:pPr>
      <w:spacing w:after="0" w:line="240" w:lineRule="auto"/>
    </w:pPr>
    <w:rPr>
      <w:color w:val="000000" w:themeColor="text1"/>
      <w:lang w:val="fr-FR" w:eastAsia="fr-FR"/>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customStyle="1" w:styleId="rednialista21">
    <w:name w:val="Średnia lista 21"/>
    <w:basedOn w:val="Standardowy"/>
    <w:uiPriority w:val="99"/>
    <w:rsid w:val="004D2070"/>
    <w:pPr>
      <w:spacing w:after="0" w:line="240" w:lineRule="auto"/>
    </w:pPr>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lista2akcent1">
    <w:name w:val="Medium List 2 Accent 1"/>
    <w:basedOn w:val="Standardowy"/>
    <w:uiPriority w:val="99"/>
    <w:rsid w:val="004D2070"/>
    <w:pPr>
      <w:spacing w:after="0" w:line="240" w:lineRule="auto"/>
    </w:pPr>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lista2akcent2">
    <w:name w:val="Medium List 2 Accent 2"/>
    <w:basedOn w:val="Standardowy"/>
    <w:uiPriority w:val="99"/>
    <w:rsid w:val="004D2070"/>
    <w:pPr>
      <w:spacing w:after="0" w:line="240" w:lineRule="auto"/>
    </w:pPr>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lista2akcent3">
    <w:name w:val="Medium List 2 Accent 3"/>
    <w:basedOn w:val="Standardowy"/>
    <w:uiPriority w:val="99"/>
    <w:rsid w:val="004D2070"/>
    <w:pPr>
      <w:spacing w:after="0" w:line="240" w:lineRule="auto"/>
    </w:pPr>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lista2akcent4">
    <w:name w:val="Medium List 2 Accent 4"/>
    <w:basedOn w:val="Standardowy"/>
    <w:uiPriority w:val="99"/>
    <w:rsid w:val="004D2070"/>
    <w:pPr>
      <w:spacing w:after="0" w:line="240" w:lineRule="auto"/>
    </w:pPr>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lista2akcent5">
    <w:name w:val="Medium List 2 Accent 5"/>
    <w:basedOn w:val="Standardowy"/>
    <w:uiPriority w:val="99"/>
    <w:rsid w:val="004D2070"/>
    <w:pPr>
      <w:spacing w:after="0" w:line="240" w:lineRule="auto"/>
    </w:pPr>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lista2akcent6">
    <w:name w:val="Medium List 2 Accent 6"/>
    <w:basedOn w:val="Standardowy"/>
    <w:uiPriority w:val="99"/>
    <w:rsid w:val="004D2070"/>
    <w:pPr>
      <w:spacing w:after="0" w:line="240" w:lineRule="auto"/>
    </w:pPr>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redniecieniowanie11">
    <w:name w:val="Średnie cieniowanie 11"/>
    <w:basedOn w:val="Standardowy"/>
    <w:uiPriority w:val="99"/>
    <w:rsid w:val="004D2070"/>
    <w:pPr>
      <w:spacing w:after="0" w:line="240" w:lineRule="auto"/>
    </w:pPr>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customStyle="1" w:styleId="redniecieniowanie1akcent11">
    <w:name w:val="Średnie cieniowanie 1 — akcent 11"/>
    <w:basedOn w:val="Standardowy"/>
    <w:uiPriority w:val="99"/>
    <w:rsid w:val="004D2070"/>
    <w:pPr>
      <w:spacing w:after="0" w:line="240" w:lineRule="auto"/>
    </w:pPr>
    <w:rPr>
      <w:lang w:val="fr-FR" w:eastAsia="fr-FR"/>
    </w:r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rsid w:val="004D2070"/>
    <w:pPr>
      <w:spacing w:after="0" w:line="240" w:lineRule="auto"/>
    </w:pPr>
    <w:rPr>
      <w:lang w:val="fr-FR" w:eastAsia="fr-FR"/>
    </w:r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rsid w:val="004D2070"/>
    <w:pPr>
      <w:spacing w:after="0" w:line="240" w:lineRule="auto"/>
    </w:pPr>
    <w:rPr>
      <w:lang w:val="fr-FR" w:eastAsia="fr-FR"/>
    </w:r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rsid w:val="004D2070"/>
    <w:pPr>
      <w:spacing w:after="0" w:line="240" w:lineRule="auto"/>
    </w:pPr>
    <w:rPr>
      <w:lang w:val="fr-FR" w:eastAsia="fr-FR"/>
    </w:r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rsid w:val="004D2070"/>
    <w:pPr>
      <w:spacing w:after="0" w:line="240" w:lineRule="auto"/>
    </w:pPr>
    <w:rPr>
      <w:lang w:val="fr-FR" w:eastAsia="fr-FR"/>
    </w:r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rsid w:val="004D2070"/>
    <w:pPr>
      <w:spacing w:after="0" w:line="240" w:lineRule="auto"/>
    </w:pPr>
    <w:rPr>
      <w:lang w:val="fr-FR" w:eastAsia="fr-FR"/>
    </w:r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customStyle="1" w:styleId="redniecieniowanie21">
    <w:name w:val="Średnie cieniowanie 21"/>
    <w:basedOn w:val="Standardowy"/>
    <w:uiPriority w:val="99"/>
    <w:rsid w:val="004D2070"/>
    <w:pPr>
      <w:spacing w:after="0" w:line="240" w:lineRule="auto"/>
    </w:pPr>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redniecieniowanie2akcent11">
    <w:name w:val="Średnie cieniowanie 2 — akcent 11"/>
    <w:basedOn w:val="Standardowy"/>
    <w:uiPriority w:val="99"/>
    <w:rsid w:val="004D2070"/>
    <w:pPr>
      <w:spacing w:after="0" w:line="240" w:lineRule="auto"/>
    </w:pPr>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rsid w:val="004D2070"/>
    <w:pPr>
      <w:spacing w:after="0" w:line="240" w:lineRule="auto"/>
    </w:pPr>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rsid w:val="004D2070"/>
    <w:pPr>
      <w:spacing w:after="0" w:line="240" w:lineRule="auto"/>
    </w:pPr>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rsid w:val="004D2070"/>
    <w:pPr>
      <w:spacing w:after="0" w:line="240" w:lineRule="auto"/>
    </w:pPr>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rsid w:val="004D2070"/>
    <w:pPr>
      <w:spacing w:after="0" w:line="240" w:lineRule="auto"/>
    </w:pPr>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rsid w:val="004D2070"/>
    <w:pPr>
      <w:spacing w:after="0" w:line="240" w:lineRule="auto"/>
    </w:pPr>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4D2070"/>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4D2070"/>
    <w:rPr>
      <w:rFonts w:asciiTheme="majorHAnsi" w:eastAsiaTheme="majorEastAsia" w:hAnsiTheme="majorHAnsi" w:cstheme="majorBidi"/>
      <w:sz w:val="24"/>
      <w:szCs w:val="24"/>
      <w:shd w:val="pct20" w:color="auto" w:fill="auto"/>
      <w:lang w:val="en-US"/>
    </w:rPr>
  </w:style>
  <w:style w:type="paragraph" w:styleId="NormalnyWeb">
    <w:name w:val="Normal (Web)"/>
    <w:basedOn w:val="Normalny"/>
    <w:rsid w:val="004D2070"/>
    <w:rPr>
      <w:rFonts w:ascii="Times New Roman" w:hAnsi="Times New Roman" w:cs="Times New Roman"/>
      <w:szCs w:val="24"/>
    </w:rPr>
  </w:style>
  <w:style w:type="paragraph" w:styleId="Wcicienormalne">
    <w:name w:val="Normal Indent"/>
    <w:basedOn w:val="Normalny"/>
    <w:uiPriority w:val="99"/>
    <w:semiHidden/>
    <w:rsid w:val="004D2070"/>
    <w:pPr>
      <w:ind w:left="720"/>
    </w:pPr>
  </w:style>
  <w:style w:type="paragraph" w:styleId="Nagweknotatki">
    <w:name w:val="Note Heading"/>
    <w:basedOn w:val="Normalny"/>
    <w:next w:val="Normalny"/>
    <w:link w:val="NagweknotatkiZnak"/>
    <w:uiPriority w:val="99"/>
    <w:semiHidden/>
    <w:rsid w:val="004D2070"/>
  </w:style>
  <w:style w:type="character" w:customStyle="1" w:styleId="NagweknotatkiZnak">
    <w:name w:val="Nagłówek notatki Znak"/>
    <w:basedOn w:val="Domylnaczcionkaakapitu"/>
    <w:link w:val="Nagweknotatki"/>
    <w:uiPriority w:val="99"/>
    <w:semiHidden/>
    <w:rsid w:val="004D2070"/>
    <w:rPr>
      <w:rFonts w:eastAsiaTheme="minorEastAsia"/>
      <w:sz w:val="24"/>
      <w:lang w:val="en-US"/>
    </w:rPr>
  </w:style>
  <w:style w:type="character" w:styleId="Tekstzastpczy">
    <w:name w:val="Placeholder Text"/>
    <w:basedOn w:val="Domylnaczcionkaakapitu"/>
    <w:uiPriority w:val="99"/>
    <w:semiHidden/>
    <w:rsid w:val="004D2070"/>
    <w:rPr>
      <w:color w:val="808080"/>
    </w:rPr>
  </w:style>
  <w:style w:type="paragraph" w:styleId="Zwykytekst">
    <w:name w:val="Plain Text"/>
    <w:basedOn w:val="Normalny"/>
    <w:link w:val="ZwykytekstZnak"/>
    <w:uiPriority w:val="99"/>
    <w:semiHidden/>
    <w:rsid w:val="004D2070"/>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4D2070"/>
    <w:rPr>
      <w:rFonts w:ascii="Consolas" w:eastAsiaTheme="minorEastAsia" w:hAnsi="Consolas" w:cs="Consolas"/>
      <w:sz w:val="21"/>
      <w:szCs w:val="21"/>
      <w:lang w:val="en-US"/>
    </w:rPr>
  </w:style>
  <w:style w:type="paragraph" w:styleId="Zwrotgrzecznociowy">
    <w:name w:val="Salutation"/>
    <w:basedOn w:val="Normalny"/>
    <w:next w:val="Normalny"/>
    <w:link w:val="ZwrotgrzecznociowyZnak"/>
    <w:uiPriority w:val="99"/>
    <w:semiHidden/>
    <w:rsid w:val="004D2070"/>
  </w:style>
  <w:style w:type="character" w:customStyle="1" w:styleId="ZwrotgrzecznociowyZnak">
    <w:name w:val="Zwrot grzecznościowy Znak"/>
    <w:basedOn w:val="Domylnaczcionkaakapitu"/>
    <w:link w:val="Zwrotgrzecznociowy"/>
    <w:uiPriority w:val="99"/>
    <w:semiHidden/>
    <w:rsid w:val="004D2070"/>
    <w:rPr>
      <w:rFonts w:eastAsiaTheme="minorEastAsia"/>
      <w:sz w:val="24"/>
      <w:lang w:val="en-US"/>
    </w:rPr>
  </w:style>
  <w:style w:type="paragraph" w:styleId="Podpis">
    <w:name w:val="Signature"/>
    <w:basedOn w:val="Normalny"/>
    <w:link w:val="PodpisZnak"/>
    <w:uiPriority w:val="99"/>
    <w:semiHidden/>
    <w:rsid w:val="004D2070"/>
    <w:pPr>
      <w:ind w:left="4252"/>
    </w:pPr>
  </w:style>
  <w:style w:type="character" w:customStyle="1" w:styleId="PodpisZnak">
    <w:name w:val="Podpis Znak"/>
    <w:basedOn w:val="Domylnaczcionkaakapitu"/>
    <w:link w:val="Podpis"/>
    <w:uiPriority w:val="99"/>
    <w:semiHidden/>
    <w:rsid w:val="004D2070"/>
    <w:rPr>
      <w:rFonts w:eastAsiaTheme="minorEastAsia"/>
      <w:sz w:val="24"/>
      <w:lang w:val="en-US"/>
    </w:rPr>
  </w:style>
  <w:style w:type="table" w:styleId="Tabela-Efekty3W1">
    <w:name w:val="Table 3D effects 1"/>
    <w:basedOn w:val="Standardowy"/>
    <w:uiPriority w:val="99"/>
    <w:semiHidden/>
    <w:rsid w:val="004D2070"/>
    <w:pPr>
      <w:suppressAutoHyphens/>
      <w:spacing w:after="0" w:line="240" w:lineRule="auto"/>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4D2070"/>
    <w:pPr>
      <w:suppressAutoHyphens/>
      <w:spacing w:after="0" w:line="240" w:lineRule="auto"/>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4D2070"/>
    <w:pPr>
      <w:suppressAutoHyphens/>
      <w:spacing w:after="0" w:line="240" w:lineRule="auto"/>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4D2070"/>
    <w:pPr>
      <w:suppressAutoHyphens/>
      <w:spacing w:after="0" w:line="240" w:lineRule="auto"/>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4D2070"/>
    <w:pPr>
      <w:suppressAutoHyphens/>
      <w:spacing w:after="0" w:line="240" w:lineRule="auto"/>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4D2070"/>
    <w:pPr>
      <w:suppressAutoHyphens/>
      <w:spacing w:after="0" w:line="240" w:lineRule="auto"/>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4D2070"/>
    <w:pPr>
      <w:suppressAutoHyphens/>
      <w:spacing w:after="0" w:line="240" w:lineRule="auto"/>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4D2070"/>
    <w:pPr>
      <w:suppressAutoHyphens/>
      <w:spacing w:after="0" w:line="240" w:lineRule="auto"/>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4D2070"/>
    <w:pPr>
      <w:suppressAutoHyphens/>
      <w:spacing w:after="0" w:line="240" w:lineRule="auto"/>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4D2070"/>
    <w:pPr>
      <w:suppressAutoHyphens/>
      <w:spacing w:after="0" w:line="240" w:lineRule="auto"/>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4D2070"/>
    <w:pPr>
      <w:suppressAutoHyphens/>
      <w:spacing w:after="0" w:line="240" w:lineRule="auto"/>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4D2070"/>
    <w:pPr>
      <w:suppressAutoHyphens/>
      <w:spacing w:after="0" w:line="240" w:lineRule="auto"/>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4D2070"/>
    <w:pPr>
      <w:suppressAutoHyphens/>
      <w:spacing w:after="0" w:line="240" w:lineRule="auto"/>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4D2070"/>
    <w:pPr>
      <w:suppressAutoHyphens/>
      <w:spacing w:after="0" w:line="240" w:lineRule="auto"/>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4D2070"/>
    <w:pPr>
      <w:suppressAutoHyphens/>
      <w:spacing w:after="0" w:line="240" w:lineRule="auto"/>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4D2070"/>
    <w:pPr>
      <w:suppressAutoHyphens/>
      <w:spacing w:after="0" w:line="240" w:lineRule="auto"/>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4D2070"/>
    <w:pPr>
      <w:suppressAutoHyphens/>
      <w:spacing w:after="0" w:line="240" w:lineRule="auto"/>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
    <w:name w:val="Table Grid"/>
    <w:basedOn w:val="Standardowy"/>
    <w:uiPriority w:val="99"/>
    <w:rsid w:val="004D2070"/>
    <w:pPr>
      <w:spacing w:after="0" w:line="240" w:lineRule="auto"/>
    </w:pPr>
    <w:rPr>
      <w:rFonts w:eastAsiaTheme="minorEastAsia"/>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atka1">
    <w:name w:val="Table Grid 1"/>
    <w:basedOn w:val="Standardowy"/>
    <w:uiPriority w:val="99"/>
    <w:semiHidden/>
    <w:rsid w:val="004D2070"/>
    <w:pPr>
      <w:suppressAutoHyphens/>
      <w:spacing w:after="0" w:line="240" w:lineRule="auto"/>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4D2070"/>
    <w:pPr>
      <w:suppressAutoHyphens/>
      <w:spacing w:after="0" w:line="240" w:lineRule="auto"/>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4D2070"/>
    <w:pPr>
      <w:suppressAutoHyphens/>
      <w:spacing w:after="0" w:line="240" w:lineRule="auto"/>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4D2070"/>
    <w:pPr>
      <w:suppressAutoHyphens/>
      <w:spacing w:after="0" w:line="240" w:lineRule="auto"/>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4D2070"/>
    <w:pPr>
      <w:suppressAutoHyphens/>
      <w:spacing w:after="0" w:line="240" w:lineRule="auto"/>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4D2070"/>
    <w:pPr>
      <w:suppressAutoHyphens/>
      <w:spacing w:after="0" w:line="240" w:lineRule="auto"/>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4D2070"/>
    <w:pPr>
      <w:suppressAutoHyphens/>
      <w:spacing w:after="0" w:line="240" w:lineRule="auto"/>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4D2070"/>
    <w:pPr>
      <w:suppressAutoHyphens/>
      <w:spacing w:after="0" w:line="240" w:lineRule="auto"/>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4D2070"/>
    <w:pPr>
      <w:suppressAutoHyphens/>
      <w:spacing w:after="0" w:line="240" w:lineRule="auto"/>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4D2070"/>
    <w:pPr>
      <w:suppressAutoHyphens/>
      <w:spacing w:after="0" w:line="240" w:lineRule="auto"/>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4D2070"/>
    <w:pPr>
      <w:suppressAutoHyphens/>
      <w:spacing w:after="0" w:line="240" w:lineRule="auto"/>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4D2070"/>
    <w:pPr>
      <w:suppressAutoHyphens/>
      <w:spacing w:after="0" w:line="240" w:lineRule="auto"/>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4D2070"/>
    <w:pPr>
      <w:suppressAutoHyphens/>
      <w:spacing w:after="0" w:line="240" w:lineRule="auto"/>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4D2070"/>
    <w:pPr>
      <w:suppressAutoHyphens/>
      <w:spacing w:after="0" w:line="240" w:lineRule="auto"/>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4D2070"/>
    <w:pPr>
      <w:suppressAutoHyphens/>
      <w:spacing w:after="0" w:line="240" w:lineRule="auto"/>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4D2070"/>
    <w:pPr>
      <w:suppressAutoHyphens/>
      <w:spacing w:after="0" w:line="240" w:lineRule="auto"/>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4D2070"/>
    <w:pPr>
      <w:ind w:left="240" w:hanging="240"/>
    </w:pPr>
  </w:style>
  <w:style w:type="paragraph" w:styleId="Spisilustracji">
    <w:name w:val="table of figures"/>
    <w:basedOn w:val="Normalny"/>
    <w:next w:val="Normalny"/>
    <w:uiPriority w:val="99"/>
    <w:semiHidden/>
    <w:rsid w:val="004D2070"/>
  </w:style>
  <w:style w:type="table" w:styleId="Tabela-Profesjonalny">
    <w:name w:val="Table Professional"/>
    <w:basedOn w:val="Standardowy"/>
    <w:uiPriority w:val="99"/>
    <w:semiHidden/>
    <w:rsid w:val="004D2070"/>
    <w:pPr>
      <w:suppressAutoHyphens/>
      <w:spacing w:after="0" w:line="240" w:lineRule="auto"/>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4D2070"/>
    <w:pPr>
      <w:suppressAutoHyphens/>
      <w:spacing w:after="0" w:line="240" w:lineRule="auto"/>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4D2070"/>
    <w:pPr>
      <w:suppressAutoHyphens/>
      <w:spacing w:after="0" w:line="240" w:lineRule="auto"/>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4D2070"/>
    <w:pPr>
      <w:suppressAutoHyphens/>
      <w:spacing w:after="0" w:line="240" w:lineRule="auto"/>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4D2070"/>
    <w:pPr>
      <w:suppressAutoHyphens/>
      <w:spacing w:after="0" w:line="240" w:lineRule="auto"/>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4D2070"/>
    <w:pPr>
      <w:suppressAutoHyphens/>
      <w:spacing w:after="0" w:line="240" w:lineRule="auto"/>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4D2070"/>
    <w:pPr>
      <w:suppressAutoHyphens/>
      <w:spacing w:after="0" w:line="240" w:lineRule="auto"/>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4D2070"/>
    <w:pPr>
      <w:suppressAutoHyphens/>
      <w:spacing w:after="0" w:line="240" w:lineRule="auto"/>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4D2070"/>
    <w:pPr>
      <w:suppressAutoHyphens/>
      <w:spacing w:after="0" w:line="240" w:lineRule="auto"/>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4D2070"/>
    <w:pPr>
      <w:suppressAutoHyphens/>
      <w:spacing w:after="0" w:line="240" w:lineRule="auto"/>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Nagwekwykazurde">
    <w:name w:val="toa heading"/>
    <w:basedOn w:val="Normalny"/>
    <w:next w:val="Normalny"/>
    <w:uiPriority w:val="99"/>
    <w:semiHidden/>
    <w:rsid w:val="004D2070"/>
    <w:pPr>
      <w:spacing w:before="120"/>
    </w:pPr>
    <w:rPr>
      <w:rFonts w:asciiTheme="majorHAnsi" w:eastAsiaTheme="majorEastAsia" w:hAnsiTheme="majorHAnsi" w:cstheme="majorBidi"/>
      <w:b/>
      <w:bCs/>
      <w:color w:val="76923C" w:themeColor="accent3" w:themeShade="BF"/>
      <w:szCs w:val="24"/>
    </w:rPr>
  </w:style>
  <w:style w:type="paragraph" w:styleId="Spistreci1">
    <w:name w:val="toc 1"/>
    <w:basedOn w:val="Normalny"/>
    <w:next w:val="Normalny"/>
    <w:autoRedefine/>
    <w:uiPriority w:val="99"/>
    <w:semiHidden/>
    <w:rsid w:val="004D2070"/>
    <w:pPr>
      <w:spacing w:before="120" w:after="60"/>
      <w:ind w:left="340" w:right="340" w:hanging="340"/>
    </w:pPr>
    <w:rPr>
      <w:color w:val="0D0D0D" w:themeColor="text1" w:themeTint="F2"/>
    </w:rPr>
  </w:style>
  <w:style w:type="paragraph" w:styleId="Spistreci2">
    <w:name w:val="toc 2"/>
    <w:basedOn w:val="Normalny"/>
    <w:next w:val="Normalny"/>
    <w:autoRedefine/>
    <w:uiPriority w:val="99"/>
    <w:semiHidden/>
    <w:rsid w:val="004D2070"/>
    <w:pPr>
      <w:spacing w:after="60"/>
      <w:ind w:left="680" w:right="340" w:hanging="340"/>
    </w:pPr>
  </w:style>
  <w:style w:type="paragraph" w:styleId="Spistreci3">
    <w:name w:val="toc 3"/>
    <w:basedOn w:val="Normalny"/>
    <w:next w:val="Normalny"/>
    <w:autoRedefine/>
    <w:uiPriority w:val="99"/>
    <w:semiHidden/>
    <w:rsid w:val="004D2070"/>
    <w:pPr>
      <w:spacing w:after="60"/>
      <w:ind w:left="1020" w:right="340" w:hanging="340"/>
    </w:pPr>
  </w:style>
  <w:style w:type="paragraph" w:styleId="Spistreci4">
    <w:name w:val="toc 4"/>
    <w:basedOn w:val="Normalny"/>
    <w:next w:val="Normalny"/>
    <w:autoRedefine/>
    <w:uiPriority w:val="99"/>
    <w:semiHidden/>
    <w:rsid w:val="004D2070"/>
    <w:pPr>
      <w:tabs>
        <w:tab w:val="right" w:leader="dot" w:pos="9017"/>
      </w:tabs>
      <w:spacing w:after="60"/>
      <w:ind w:left="1361" w:right="340" w:hanging="340"/>
    </w:pPr>
  </w:style>
  <w:style w:type="paragraph" w:styleId="Spistreci5">
    <w:name w:val="toc 5"/>
    <w:basedOn w:val="Normalny"/>
    <w:next w:val="Normalny"/>
    <w:autoRedefine/>
    <w:uiPriority w:val="99"/>
    <w:semiHidden/>
    <w:rsid w:val="004D2070"/>
    <w:pPr>
      <w:spacing w:after="60"/>
      <w:ind w:left="1701" w:right="340" w:hanging="340"/>
    </w:pPr>
  </w:style>
  <w:style w:type="paragraph" w:styleId="Spistreci6">
    <w:name w:val="toc 6"/>
    <w:basedOn w:val="Normalny"/>
    <w:next w:val="Normalny"/>
    <w:autoRedefine/>
    <w:uiPriority w:val="99"/>
    <w:semiHidden/>
    <w:rsid w:val="004D2070"/>
    <w:pPr>
      <w:spacing w:after="100"/>
      <w:ind w:left="1200"/>
    </w:pPr>
  </w:style>
  <w:style w:type="paragraph" w:styleId="Spistreci7">
    <w:name w:val="toc 7"/>
    <w:basedOn w:val="Normalny"/>
    <w:next w:val="Normalny"/>
    <w:autoRedefine/>
    <w:uiPriority w:val="99"/>
    <w:semiHidden/>
    <w:rsid w:val="004D2070"/>
    <w:pPr>
      <w:spacing w:after="100"/>
      <w:ind w:left="1440"/>
    </w:pPr>
  </w:style>
  <w:style w:type="paragraph" w:styleId="Spistreci8">
    <w:name w:val="toc 8"/>
    <w:basedOn w:val="Normalny"/>
    <w:next w:val="Normalny"/>
    <w:autoRedefine/>
    <w:uiPriority w:val="99"/>
    <w:semiHidden/>
    <w:rsid w:val="004D2070"/>
    <w:pPr>
      <w:spacing w:after="100"/>
      <w:ind w:left="1680"/>
    </w:pPr>
  </w:style>
  <w:style w:type="paragraph" w:styleId="Spistreci9">
    <w:name w:val="toc 9"/>
    <w:basedOn w:val="Normalny"/>
    <w:next w:val="Normalny"/>
    <w:autoRedefine/>
    <w:uiPriority w:val="99"/>
    <w:semiHidden/>
    <w:rsid w:val="004D2070"/>
    <w:pPr>
      <w:spacing w:after="100"/>
      <w:ind w:left="1920"/>
    </w:pPr>
  </w:style>
  <w:style w:type="paragraph" w:customStyle="1" w:styleId="ECHRTitleCentre1">
    <w:name w:val="ECHR_Title_Centre_1"/>
    <w:aliases w:val="Opi_H_Head"/>
    <w:basedOn w:val="Normalny"/>
    <w:next w:val="OpiPara"/>
    <w:qFormat/>
    <w:rsid w:val="004D2070"/>
    <w:pPr>
      <w:keepNext/>
      <w:keepLines/>
      <w:spacing w:after="240"/>
      <w:jc w:val="center"/>
      <w:outlineLvl w:val="0"/>
    </w:pPr>
    <w:rPr>
      <w:rFonts w:asciiTheme="majorHAnsi" w:hAnsiTheme="majorHAnsi"/>
      <w:sz w:val="28"/>
      <w:lang w:val="fr-FR" w:eastAsia="fr-FR"/>
    </w:rPr>
  </w:style>
  <w:style w:type="paragraph" w:customStyle="1" w:styleId="JuQuotSub">
    <w:name w:val="Ju_Quot_Sub"/>
    <w:basedOn w:val="ECHRParaQuote"/>
    <w:qFormat/>
    <w:rsid w:val="004D2070"/>
    <w:pPr>
      <w:ind w:left="567"/>
    </w:pPr>
  </w:style>
  <w:style w:type="paragraph" w:customStyle="1" w:styleId="JuInitialled">
    <w:name w:val="Ju_Initialled"/>
    <w:basedOn w:val="Normalny"/>
    <w:qFormat/>
    <w:rsid w:val="004D2070"/>
    <w:pPr>
      <w:tabs>
        <w:tab w:val="center" w:pos="6407"/>
      </w:tabs>
      <w:spacing w:before="720"/>
      <w:jc w:val="right"/>
    </w:pPr>
    <w:rPr>
      <w:lang w:val="fr-FR" w:eastAsia="fr-FR"/>
    </w:rPr>
  </w:style>
  <w:style w:type="paragraph" w:customStyle="1" w:styleId="OpiHA">
    <w:name w:val="Opi_H_A"/>
    <w:basedOn w:val="ECHRHeading1"/>
    <w:next w:val="OpiPara"/>
    <w:qFormat/>
    <w:rsid w:val="004D2070"/>
    <w:pPr>
      <w:keepNext/>
      <w:keepLines/>
      <w:numPr>
        <w:numId w:val="0"/>
      </w:numPr>
      <w:spacing w:before="360" w:after="240"/>
      <w:ind w:left="357" w:hanging="357"/>
      <w:contextualSpacing w:val="0"/>
      <w:outlineLvl w:val="1"/>
    </w:pPr>
    <w:rPr>
      <w:color w:val="auto"/>
      <w:sz w:val="24"/>
      <w:lang w:val="fr-FR" w:eastAsia="fr-FR"/>
    </w:rPr>
  </w:style>
  <w:style w:type="character" w:customStyle="1" w:styleId="JUNAMES0">
    <w:name w:val="JU_NAMES"/>
    <w:uiPriority w:val="17"/>
    <w:qFormat/>
    <w:rsid w:val="004D2070"/>
    <w:rPr>
      <w:caps w:val="0"/>
      <w:smallCaps/>
    </w:rPr>
  </w:style>
  <w:style w:type="paragraph" w:customStyle="1" w:styleId="OpiTranslation">
    <w:name w:val="Opi_Translation"/>
    <w:basedOn w:val="Normalny"/>
    <w:next w:val="OpiPara"/>
    <w:qFormat/>
    <w:rsid w:val="004D2070"/>
    <w:pPr>
      <w:jc w:val="center"/>
      <w:outlineLvl w:val="0"/>
    </w:pPr>
    <w:rPr>
      <w:i/>
      <w:lang w:val="fr-FR" w:eastAsia="fr-FR"/>
    </w:rPr>
  </w:style>
  <w:style w:type="paragraph" w:customStyle="1" w:styleId="DecHTitle">
    <w:name w:val="Dec_H_Title"/>
    <w:basedOn w:val="ECHRTitleCentre1"/>
    <w:uiPriority w:val="99"/>
    <w:rsid w:val="004D2070"/>
  </w:style>
  <w:style w:type="paragraph" w:customStyle="1" w:styleId="ECHRHeading3">
    <w:name w:val="ECHR_Heading_3"/>
    <w:aliases w:val="Ju_H_1."/>
    <w:basedOn w:val="Nagwek3"/>
    <w:next w:val="ECHRPara"/>
    <w:qFormat/>
    <w:rsid w:val="004D2070"/>
    <w:pPr>
      <w:keepNext/>
      <w:keepLines/>
      <w:numPr>
        <w:ilvl w:val="0"/>
        <w:numId w:val="0"/>
      </w:numPr>
      <w:tabs>
        <w:tab w:val="left" w:pos="731"/>
      </w:tabs>
      <w:spacing w:before="240" w:after="120" w:line="240" w:lineRule="auto"/>
      <w:ind w:left="732" w:hanging="301"/>
    </w:pPr>
    <w:rPr>
      <w:b w:val="0"/>
      <w:i/>
      <w:color w:val="auto"/>
      <w:lang w:val="fr-FR" w:eastAsia="fr-FR"/>
    </w:rPr>
  </w:style>
  <w:style w:type="paragraph" w:customStyle="1" w:styleId="ECHRHeading4">
    <w:name w:val="ECHR_Heading_4"/>
    <w:aliases w:val="Ju_H_a"/>
    <w:basedOn w:val="Nagwek4"/>
    <w:next w:val="ECHRPara"/>
    <w:qFormat/>
    <w:rsid w:val="004D2070"/>
    <w:pPr>
      <w:keepNext/>
      <w:keepLines/>
      <w:numPr>
        <w:ilvl w:val="0"/>
        <w:numId w:val="0"/>
      </w:numPr>
      <w:tabs>
        <w:tab w:val="left" w:pos="975"/>
      </w:tabs>
      <w:spacing w:before="240" w:after="120"/>
      <w:ind w:left="975" w:hanging="340"/>
    </w:pPr>
    <w:rPr>
      <w:i w:val="0"/>
      <w:color w:val="auto"/>
      <w:sz w:val="20"/>
      <w:lang w:val="fr-FR" w:eastAsia="fr-FR"/>
    </w:rPr>
  </w:style>
  <w:style w:type="paragraph" w:customStyle="1" w:styleId="ECHRHeading5">
    <w:name w:val="ECHR_Heading_5"/>
    <w:aliases w:val="Ju_H_i"/>
    <w:basedOn w:val="Nagwek5"/>
    <w:next w:val="ECHRPara"/>
    <w:qFormat/>
    <w:rsid w:val="004D2070"/>
    <w:pPr>
      <w:keepNext/>
      <w:keepLines/>
      <w:numPr>
        <w:ilvl w:val="0"/>
        <w:numId w:val="0"/>
      </w:numPr>
      <w:tabs>
        <w:tab w:val="left" w:pos="1191"/>
      </w:tabs>
      <w:spacing w:before="240" w:after="120"/>
      <w:ind w:left="1190" w:hanging="357"/>
    </w:pPr>
    <w:rPr>
      <w:b w:val="0"/>
      <w:i/>
      <w:color w:val="auto"/>
      <w:sz w:val="20"/>
    </w:rPr>
  </w:style>
  <w:style w:type="paragraph" w:customStyle="1" w:styleId="ECHRHeading6">
    <w:name w:val="ECHR_Heading_6"/>
    <w:aliases w:val="Ju_H_alpha"/>
    <w:basedOn w:val="Nagwek6"/>
    <w:next w:val="ECHRPara"/>
    <w:qFormat/>
    <w:rsid w:val="004D2070"/>
    <w:pPr>
      <w:keepNext/>
      <w:keepLines/>
      <w:numPr>
        <w:ilvl w:val="0"/>
        <w:numId w:val="0"/>
      </w:numPr>
      <w:tabs>
        <w:tab w:val="left" w:pos="1372"/>
      </w:tabs>
      <w:spacing w:before="240" w:after="120" w:line="240" w:lineRule="auto"/>
      <w:ind w:left="1373" w:hanging="335"/>
    </w:pPr>
    <w:rPr>
      <w:b w:val="0"/>
      <w:color w:val="auto"/>
      <w:sz w:val="20"/>
      <w:lang w:val="fr-FR" w:eastAsia="fr-FR"/>
    </w:rPr>
  </w:style>
  <w:style w:type="paragraph" w:customStyle="1" w:styleId="ECHRHeading7">
    <w:name w:val="ECHR_Heading_7"/>
    <w:aliases w:val="Ju_H_–"/>
    <w:basedOn w:val="Nagwek7"/>
    <w:next w:val="ECHRPara"/>
    <w:qFormat/>
    <w:rsid w:val="004D2070"/>
    <w:pPr>
      <w:keepNext/>
      <w:keepLines/>
      <w:numPr>
        <w:ilvl w:val="0"/>
        <w:numId w:val="0"/>
      </w:numPr>
      <w:spacing w:before="240" w:after="120"/>
      <w:ind w:left="1236"/>
    </w:pPr>
    <w:rPr>
      <w:sz w:val="20"/>
    </w:rPr>
  </w:style>
  <w:style w:type="paragraph" w:customStyle="1" w:styleId="DecList">
    <w:name w:val="Dec_List"/>
    <w:basedOn w:val="Normalny"/>
    <w:rsid w:val="004D2070"/>
    <w:pPr>
      <w:spacing w:before="240"/>
      <w:ind w:left="284"/>
    </w:pPr>
  </w:style>
  <w:style w:type="paragraph" w:customStyle="1" w:styleId="OpiH1">
    <w:name w:val="Opi_H_1"/>
    <w:basedOn w:val="ECHRHeading2"/>
    <w:uiPriority w:val="42"/>
    <w:qFormat/>
    <w:rsid w:val="004D2070"/>
    <w:pPr>
      <w:keepNext/>
      <w:keepLines/>
      <w:numPr>
        <w:ilvl w:val="0"/>
        <w:numId w:val="0"/>
      </w:numPr>
      <w:tabs>
        <w:tab w:val="left" w:pos="584"/>
      </w:tabs>
      <w:spacing w:before="360" w:after="240"/>
      <w:ind w:left="635" w:hanging="357"/>
      <w:outlineLvl w:val="2"/>
    </w:pPr>
    <w:rPr>
      <w:color w:val="auto"/>
      <w:sz w:val="24"/>
      <w:lang w:val="fr-FR" w:eastAsia="fr-FR"/>
    </w:rPr>
  </w:style>
  <w:style w:type="paragraph" w:customStyle="1" w:styleId="OpiHa0">
    <w:name w:val="Opi_H_a"/>
    <w:basedOn w:val="ECHRHeading3"/>
    <w:qFormat/>
    <w:rsid w:val="004D2070"/>
    <w:pPr>
      <w:ind w:left="833" w:hanging="357"/>
      <w:outlineLvl w:val="3"/>
    </w:pPr>
    <w:rPr>
      <w:b/>
      <w:i w:val="0"/>
      <w:sz w:val="20"/>
    </w:rPr>
  </w:style>
  <w:style w:type="paragraph" w:customStyle="1" w:styleId="OpiHi">
    <w:name w:val="Opi_H_i"/>
    <w:basedOn w:val="ECHRHeading4"/>
    <w:qFormat/>
    <w:rsid w:val="004D2070"/>
    <w:pPr>
      <w:ind w:left="1037" w:hanging="357"/>
      <w:outlineLvl w:val="4"/>
    </w:pPr>
    <w:rPr>
      <w:b w:val="0"/>
      <w:i/>
    </w:rPr>
  </w:style>
  <w:style w:type="table" w:customStyle="1" w:styleId="ECHRListTable">
    <w:name w:val="ECHR_List_Table"/>
    <w:basedOn w:val="Standardowy"/>
    <w:uiPriority w:val="99"/>
    <w:rsid w:val="004D2070"/>
    <w:pPr>
      <w:spacing w:after="0" w:line="240" w:lineRule="auto"/>
    </w:pPr>
    <w:rPr>
      <w:lang w:val="en-US"/>
    </w:rPr>
    <w:tblPr>
      <w:tblBorders>
        <w:top w:val="single" w:sz="4" w:space="0" w:color="17365D" w:themeColor="text2" w:themeShade="BF"/>
        <w:left w:val="single" w:sz="4" w:space="0" w:color="17365D" w:themeColor="text2" w:themeShade="BF"/>
        <w:bottom w:val="single" w:sz="4" w:space="0" w:color="17365D" w:themeColor="text2" w:themeShade="BF"/>
        <w:right w:val="single" w:sz="4" w:space="0" w:color="17365D" w:themeColor="text2" w:themeShade="BF"/>
        <w:insideH w:val="single" w:sz="4" w:space="0" w:color="17365D" w:themeColor="text2" w:themeShade="BF"/>
        <w:insideV w:val="single" w:sz="4" w:space="0" w:color="17365D" w:themeColor="text2" w:themeShade="BF"/>
      </w:tblBorders>
      <w:tblCellMar>
        <w:top w:w="28" w:type="dxa"/>
        <w:bottom w:w="28" w:type="dxa"/>
      </w:tblCellMar>
    </w:tblPr>
    <w:tblStylePr w:type="firstRow">
      <w:rPr>
        <w:b/>
        <w:color w:val="76923C" w:themeColor="accent3" w:themeShade="BF"/>
      </w:rPr>
      <w:tblPr/>
      <w:trPr>
        <w:tblHeader/>
      </w:trPr>
      <w:tcPr>
        <w:tcBorders>
          <w:top w:val="single" w:sz="4" w:space="0" w:color="17365D" w:themeColor="text2" w:themeShade="BF"/>
          <w:left w:val="single" w:sz="4" w:space="0" w:color="17365D" w:themeColor="text2" w:themeShade="BF"/>
          <w:bottom w:val="single" w:sz="4" w:space="0" w:color="17365D" w:themeColor="text2" w:themeShade="BF"/>
          <w:right w:val="single" w:sz="4" w:space="0" w:color="17365D" w:themeColor="text2" w:themeShade="BF"/>
          <w:insideH w:val="single" w:sz="4" w:space="0" w:color="17365D" w:themeColor="text2" w:themeShade="BF"/>
          <w:insideV w:val="single" w:sz="4" w:space="0" w:color="17365D" w:themeColor="text2" w:themeShade="BF"/>
        </w:tcBorders>
        <w:shd w:val="clear" w:color="auto" w:fill="DDD9C3" w:themeFill="background2" w:themeFillShade="E6"/>
      </w:tcPr>
    </w:tblStylePr>
  </w:style>
  <w:style w:type="character" w:customStyle="1" w:styleId="DefaultTimesNewRoman">
    <w:name w:val="Default_TimesNewRoman"/>
    <w:rsid w:val="004D2070"/>
    <w:rPr>
      <w:rFonts w:ascii="Times New Roman" w:hAnsi="Times New Roman"/>
    </w:rPr>
  </w:style>
  <w:style w:type="paragraph" w:customStyle="1" w:styleId="OpiH10">
    <w:name w:val="Opi_H_1."/>
    <w:basedOn w:val="OpiHA"/>
    <w:next w:val="OpiPara"/>
    <w:rsid w:val="004D2070"/>
    <w:pPr>
      <w:spacing w:before="240" w:after="120"/>
      <w:ind w:left="635"/>
      <w:outlineLvl w:val="2"/>
    </w:pPr>
    <w:rPr>
      <w:rFonts w:ascii="Times New Roman" w:eastAsia="Times New Roman" w:hAnsi="Times New Roman" w:cs="Times New Roman"/>
      <w:b w:val="0"/>
      <w:bCs w:val="0"/>
      <w:i/>
      <w:szCs w:val="20"/>
      <w:lang w:val="en-GB"/>
    </w:rPr>
  </w:style>
  <w:style w:type="paragraph" w:customStyle="1" w:styleId="JuQuotList">
    <w:name w:val="Ju_Quot_List"/>
    <w:basedOn w:val="ECHRParaQuote"/>
    <w:rsid w:val="004D2070"/>
    <w:pPr>
      <w:tabs>
        <w:tab w:val="left" w:pos="1021"/>
      </w:tabs>
      <w:ind w:left="567" w:firstLine="0"/>
    </w:pPr>
    <w:rPr>
      <w:rFonts w:ascii="Times New Roman" w:eastAsia="Times New Roman" w:hAnsi="Times New Roman" w:cs="Times New Roman"/>
      <w:szCs w:val="20"/>
      <w:lang w:val="en-GB"/>
    </w:rPr>
  </w:style>
  <w:style w:type="paragraph" w:customStyle="1" w:styleId="SuCoverTitle1">
    <w:name w:val="Su_Cover_Title1"/>
    <w:basedOn w:val="Normalny"/>
    <w:next w:val="SuCoverTitle2"/>
    <w:rsid w:val="004D2070"/>
    <w:pPr>
      <w:suppressAutoHyphens/>
      <w:spacing w:before="2500"/>
      <w:jc w:val="center"/>
    </w:pPr>
    <w:rPr>
      <w:rFonts w:ascii="Times New Roman" w:eastAsia="Times New Roman" w:hAnsi="Times New Roman" w:cs="Times New Roman"/>
      <w:sz w:val="22"/>
      <w:szCs w:val="20"/>
      <w:lang w:val="en-GB" w:eastAsia="fr-FR"/>
    </w:rPr>
  </w:style>
  <w:style w:type="paragraph" w:customStyle="1" w:styleId="SuCoverTitle2">
    <w:name w:val="Su_Cover_Title2"/>
    <w:basedOn w:val="SuCoverTitle1"/>
    <w:next w:val="Normalny"/>
    <w:rsid w:val="004D2070"/>
    <w:pPr>
      <w:spacing w:before="240"/>
    </w:pPr>
    <w:rPr>
      <w:sz w:val="18"/>
    </w:rPr>
  </w:style>
  <w:style w:type="paragraph" w:customStyle="1" w:styleId="SuPara">
    <w:name w:val="Su_Para"/>
    <w:basedOn w:val="SuKeywords"/>
    <w:rsid w:val="004D2070"/>
    <w:pPr>
      <w:spacing w:before="0" w:after="0"/>
    </w:pPr>
    <w:rPr>
      <w:i w:val="0"/>
    </w:rPr>
  </w:style>
  <w:style w:type="paragraph" w:customStyle="1" w:styleId="SuKeywords">
    <w:name w:val="Su_Keywords"/>
    <w:basedOn w:val="SuHHead"/>
    <w:rsid w:val="004D2070"/>
    <w:pPr>
      <w:spacing w:before="120"/>
    </w:pPr>
    <w:rPr>
      <w:b w:val="0"/>
      <w:i/>
    </w:rPr>
  </w:style>
  <w:style w:type="paragraph" w:customStyle="1" w:styleId="SuHHead">
    <w:name w:val="Su_H_Head"/>
    <w:basedOn w:val="SuSubject"/>
    <w:rsid w:val="004D2070"/>
    <w:pPr>
      <w:spacing w:after="120"/>
    </w:pPr>
  </w:style>
  <w:style w:type="paragraph" w:customStyle="1" w:styleId="SuSubject">
    <w:name w:val="Su_Subject"/>
    <w:basedOn w:val="SuSummary"/>
    <w:rsid w:val="004D2070"/>
    <w:pPr>
      <w:suppressAutoHyphens w:val="0"/>
      <w:spacing w:before="360"/>
      <w:jc w:val="both"/>
    </w:pPr>
    <w:rPr>
      <w:b/>
      <w:sz w:val="22"/>
    </w:rPr>
  </w:style>
  <w:style w:type="paragraph" w:customStyle="1" w:styleId="SuSummary">
    <w:name w:val="Su_Summary"/>
    <w:basedOn w:val="Normalny"/>
    <w:next w:val="SuSubject"/>
    <w:rsid w:val="004D2070"/>
    <w:pPr>
      <w:suppressAutoHyphens/>
      <w:spacing w:after="240"/>
      <w:jc w:val="center"/>
    </w:pPr>
    <w:rPr>
      <w:rFonts w:ascii="Times New Roman" w:eastAsia="Times New Roman" w:hAnsi="Times New Roman" w:cs="Times New Roman"/>
      <w:szCs w:val="20"/>
      <w:lang w:val="en-GB" w:eastAsia="fr-FR"/>
    </w:rPr>
  </w:style>
  <w:style w:type="paragraph" w:customStyle="1" w:styleId="NormalJustified">
    <w:name w:val="Normal_Justified"/>
    <w:basedOn w:val="Normalny"/>
    <w:rsid w:val="004D2070"/>
    <w:pPr>
      <w:suppressAutoHyphens/>
    </w:pPr>
    <w:rPr>
      <w:rFonts w:ascii="Times New Roman" w:eastAsia="Times New Roman" w:hAnsi="Times New Roman" w:cs="Times New Roman"/>
      <w:szCs w:val="20"/>
      <w:lang w:val="en-GB" w:eastAsia="fr-FR"/>
    </w:rPr>
  </w:style>
  <w:style w:type="paragraph" w:customStyle="1" w:styleId="NormalTimesNewRoman">
    <w:name w:val="Normal_TimesNewRoman"/>
    <w:rsid w:val="004D2070"/>
    <w:pPr>
      <w:spacing w:after="0" w:line="240" w:lineRule="auto"/>
    </w:pPr>
    <w:rPr>
      <w:rFonts w:ascii="Times New Roman" w:eastAsia="Times New Roman" w:hAnsi="Times New Roman" w:cs="Times New Roman"/>
      <w:sz w:val="24"/>
      <w:szCs w:val="20"/>
      <w:lang w:val="en-GB" w:eastAsia="fr-FR"/>
    </w:rPr>
  </w:style>
  <w:style w:type="character" w:customStyle="1" w:styleId="JuParaCar">
    <w:name w:val="Ju_Para Car"/>
    <w:rsid w:val="004D2070"/>
    <w:rPr>
      <w:sz w:val="24"/>
      <w:lang w:val="en-GB" w:eastAsia="fr-FR" w:bidi="ar-SA"/>
    </w:rPr>
  </w:style>
  <w:style w:type="character" w:customStyle="1" w:styleId="sb8d990e2">
    <w:name w:val="sb8d990e2"/>
    <w:basedOn w:val="Domylnaczcionkaakapitu"/>
    <w:rsid w:val="004D2070"/>
  </w:style>
  <w:style w:type="paragraph" w:customStyle="1" w:styleId="s30eec3f8">
    <w:name w:val="s30eec3f8"/>
    <w:basedOn w:val="Normalny"/>
    <w:rsid w:val="004D2070"/>
    <w:pPr>
      <w:spacing w:before="100" w:beforeAutospacing="1" w:after="100" w:afterAutospacing="1"/>
      <w:jc w:val="left"/>
    </w:pPr>
    <w:rPr>
      <w:rFonts w:ascii="Times New Roman" w:eastAsia="Times New Roman" w:hAnsi="Times New Roman" w:cs="Times New Roman"/>
      <w:szCs w:val="24"/>
      <w:lang w:val="en-GB" w:eastAsia="en-GB"/>
    </w:rPr>
  </w:style>
  <w:style w:type="character" w:customStyle="1" w:styleId="s6b621b36">
    <w:name w:val="s6b621b36"/>
    <w:basedOn w:val="Domylnaczcionkaakapitu"/>
    <w:rsid w:val="004D2070"/>
  </w:style>
  <w:style w:type="paragraph" w:customStyle="1" w:styleId="s65afec39">
    <w:name w:val="s65afec39"/>
    <w:basedOn w:val="Normalny"/>
    <w:rsid w:val="004D2070"/>
    <w:pPr>
      <w:spacing w:before="100" w:beforeAutospacing="1" w:after="100" w:afterAutospacing="1"/>
      <w:jc w:val="left"/>
    </w:pPr>
    <w:rPr>
      <w:rFonts w:ascii="Times New Roman" w:eastAsia="Times New Roman" w:hAnsi="Times New Roman" w:cs="Times New Roman"/>
      <w:szCs w:val="24"/>
    </w:rPr>
  </w:style>
  <w:style w:type="character" w:customStyle="1" w:styleId="sfbbfee58">
    <w:name w:val="sfbbfee58"/>
    <w:rsid w:val="004D2070"/>
  </w:style>
  <w:style w:type="paragraph" w:customStyle="1" w:styleId="s6704e5c3">
    <w:name w:val="s6704e5c3"/>
    <w:basedOn w:val="Normalny"/>
    <w:rsid w:val="004D2070"/>
    <w:pPr>
      <w:spacing w:before="100" w:beforeAutospacing="1" w:after="100" w:afterAutospacing="1"/>
      <w:jc w:val="left"/>
    </w:pPr>
    <w:rPr>
      <w:rFonts w:ascii="Times New Roman" w:eastAsia="Times New Roman" w:hAnsi="Times New Roman" w:cs="Times New Roman"/>
      <w:szCs w:val="24"/>
    </w:rPr>
  </w:style>
  <w:style w:type="paragraph" w:customStyle="1" w:styleId="s746c8714">
    <w:name w:val="s746c8714"/>
    <w:basedOn w:val="Normalny"/>
    <w:uiPriority w:val="99"/>
    <w:rsid w:val="004D2070"/>
    <w:pPr>
      <w:spacing w:before="100" w:beforeAutospacing="1" w:after="100" w:afterAutospacing="1"/>
      <w:jc w:val="left"/>
    </w:pPr>
    <w:rPr>
      <w:rFonts w:ascii="Times New Roman" w:eastAsia="Times New Roman" w:hAnsi="Times New Roman" w:cs="Times New Roman"/>
      <w:szCs w:val="24"/>
    </w:rPr>
  </w:style>
  <w:style w:type="character" w:customStyle="1" w:styleId="ECHRParaChar">
    <w:name w:val="ECHR_Para Char"/>
    <w:aliases w:val="Para Char"/>
    <w:uiPriority w:val="1"/>
    <w:locked/>
    <w:rsid w:val="004D2070"/>
  </w:style>
  <w:style w:type="paragraph" w:styleId="Poprawka">
    <w:name w:val="Revision"/>
    <w:hidden/>
    <w:uiPriority w:val="99"/>
    <w:semiHidden/>
    <w:rsid w:val="004D2070"/>
    <w:pPr>
      <w:spacing w:after="0" w:line="240" w:lineRule="auto"/>
    </w:pPr>
    <w:rPr>
      <w:rFonts w:eastAsiaTheme="minorEastAsia"/>
      <w:sz w:val="24"/>
      <w:lang w:val="en-US"/>
    </w:rPr>
  </w:style>
  <w:style w:type="paragraph" w:customStyle="1" w:styleId="jupara">
    <w:name w:val="jupara"/>
    <w:basedOn w:val="Normalny"/>
    <w:rsid w:val="004D2070"/>
    <w:pPr>
      <w:ind w:firstLine="284"/>
    </w:pPr>
    <w:rPr>
      <w:rFonts w:ascii="Times New Roman" w:eastAsia="Times New Roman" w:hAnsi="Times New Roman" w:cs="Times New Roman"/>
      <w:szCs w:val="24"/>
      <w:lang w:val="en-GB" w:eastAsia="en-GB"/>
    </w:rPr>
  </w:style>
  <w:style w:type="paragraph" w:customStyle="1" w:styleId="jucase0">
    <w:name w:val="jucase"/>
    <w:basedOn w:val="Normalny"/>
    <w:rsid w:val="004D2070"/>
    <w:pPr>
      <w:ind w:firstLine="284"/>
    </w:pPr>
    <w:rPr>
      <w:rFonts w:ascii="Times New Roman" w:eastAsia="Times New Roman" w:hAnsi="Times New Roman" w:cs="Times New Roman"/>
      <w:b/>
      <w:bCs/>
      <w:szCs w:val="24"/>
      <w:lang w:val="en-GB" w:eastAsia="en-GB"/>
    </w:rPr>
  </w:style>
  <w:style w:type="paragraph" w:customStyle="1" w:styleId="s6e50bd9a">
    <w:name w:val="s6e50bd9a"/>
    <w:basedOn w:val="Normalny"/>
    <w:uiPriority w:val="99"/>
    <w:rsid w:val="00BE1506"/>
    <w:pPr>
      <w:spacing w:before="100" w:beforeAutospacing="1" w:after="100" w:afterAutospacing="1"/>
      <w:jc w:val="left"/>
    </w:pPr>
    <w:rPr>
      <w:rFonts w:ascii="Times New Roman" w:eastAsia="Times New Roman" w:hAnsi="Times New Roman" w:cs="Times New Roman"/>
      <w:szCs w:val="24"/>
      <w:lang w:val="pl-PL" w:eastAsia="pl-PL"/>
    </w:rPr>
  </w:style>
  <w:style w:type="character" w:customStyle="1" w:styleId="s4f807e54">
    <w:name w:val="s4f807e54"/>
    <w:basedOn w:val="Domylnaczcionkaakapitu"/>
    <w:rsid w:val="00BE150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178103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hudoc.echr.coe.int/sites/eng/Pages/search.aspx" TargetMode="External"/><Relationship Id="rId18" Type="http://schemas.openxmlformats.org/officeDocument/2006/relationships/hyperlink" Target="http://hudoc.echr.coe.int/sites/eng/Pages/search.aspx" TargetMode="External"/><Relationship Id="rId3" Type="http://schemas.openxmlformats.org/officeDocument/2006/relationships/styles" Target="styles.xml"/><Relationship Id="rId21" Type="http://schemas.openxmlformats.org/officeDocument/2006/relationships/header" Target="header5.xml"/><Relationship Id="rId7" Type="http://schemas.openxmlformats.org/officeDocument/2006/relationships/footnotes" Target="footnotes.xml"/><Relationship Id="rId12" Type="http://schemas.openxmlformats.org/officeDocument/2006/relationships/hyperlink" Target="http://hudoc.echr.coe.int/sites/eng/Pages/search.aspx" TargetMode="External"/><Relationship Id="rId17" Type="http://schemas.openxmlformats.org/officeDocument/2006/relationships/hyperlink" Target="http://hudoc.echr.coe.int/sites/eng/Pages/search.aspx" TargetMode="External"/><Relationship Id="rId2" Type="http://schemas.openxmlformats.org/officeDocument/2006/relationships/numbering" Target="numbering.xml"/><Relationship Id="rId16" Type="http://schemas.openxmlformats.org/officeDocument/2006/relationships/hyperlink" Target="http://hudoc.echr.coe.int/sites/eng/Pages/search.aspx" TargetMode="External"/><Relationship Id="rId20"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hudoc.echr.coe.int/sites/eng/Pages/search.aspx" TargetMode="External"/><Relationship Id="rId23" Type="http://schemas.openxmlformats.org/officeDocument/2006/relationships/fontTable" Target="fontTable.xml"/><Relationship Id="rId10" Type="http://schemas.openxmlformats.org/officeDocument/2006/relationships/header" Target="header2.xml"/><Relationship Id="rId19" Type="http://schemas.openxmlformats.org/officeDocument/2006/relationships/header" Target="header3.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hyperlink" Target="http://hudoc.echr.coe.int/sites/eng/Pages/search.aspx" TargetMode="External"/><Relationship Id="rId22" Type="http://schemas.openxmlformats.org/officeDocument/2006/relationships/header" Target="header6.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590DDFE-C59D-4047-9B4F-EA884344BC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44</Pages>
  <Words>15907</Words>
  <Characters>95447</Characters>
  <Application>Microsoft Office Word</Application>
  <DocSecurity>0</DocSecurity>
  <Lines>795</Lines>
  <Paragraphs>222</Paragraphs>
  <ScaleCrop>false</ScaleCrop>
  <HeadingPairs>
    <vt:vector size="6" baseType="variant">
      <vt:variant>
        <vt:lpstr>Tytuł</vt:lpstr>
      </vt:variant>
      <vt:variant>
        <vt:i4>1</vt:i4>
      </vt:variant>
      <vt:variant>
        <vt:lpstr>Titolo</vt:lpstr>
      </vt:variant>
      <vt:variant>
        <vt:i4>1</vt:i4>
      </vt:variant>
      <vt:variant>
        <vt:lpstr>Intestazioni</vt:lpstr>
      </vt:variant>
      <vt:variant>
        <vt:i4>18</vt:i4>
      </vt:variant>
    </vt:vector>
  </HeadingPairs>
  <TitlesOfParts>
    <vt:vector size="20" baseType="lpstr">
      <vt:lpstr/>
      <vt:lpstr/>
      <vt:lpstr>POSTĘPOWANIE</vt:lpstr>
      <vt:lpstr>FAKTY</vt:lpstr>
      <vt:lpstr>OKOLICZNOŚCI SPRAWY</vt:lpstr>
      <vt:lpstr>II. WŁAŚCIWE PRAWO KRAJOWE</vt:lpstr>
      <vt:lpstr>III.  OBSERWACJE MIĘDZYNARODOWYCH ORGANÓW MONITOROWANIA PRAW CZŁOWIEKA</vt:lpstr>
      <vt:lpstr/>
      <vt:lpstr>IV.  PRAWO PORÓWNAWCZE</vt:lpstr>
      <vt:lpstr>PRAWO</vt:lpstr>
      <vt:lpstr>VI.  ZARZUT NARUSZENIA ARTYKUŁU 11 KONWENCJI</vt:lpstr>
      <vt:lpstr>A.  Dopuszczalność</vt:lpstr>
      <vt:lpstr>B.  Meritum</vt:lpstr>
      <vt:lpstr>        1.  Oświadczenia stron</vt:lpstr>
      <vt:lpstr>        2.  Ocena Trybunału</vt:lpstr>
      <vt:lpstr>Z TYCH PRZYCZYN TRYBUNAŁ JEDNOMYŚLNIE</vt:lpstr>
      <vt:lpstr>ZDANIE ODRĘBNE SĘDZIEGO PINTO DE ALBUQUERQUE</vt:lpstr>
      <vt:lpstr>    Międzynarodowy obowiązek uznania rasizmu za przestępstwo</vt:lpstr>
      <vt:lpstr>    </vt:lpstr>
      <vt:lpstr>    Rozwiązanie stowarzyszenia</vt:lpstr>
    </vt:vector>
  </TitlesOfParts>
  <Company>Ministerstwo Spraw Zagranicznych</Company>
  <LinksUpToDate>false</LinksUpToDate>
  <CharactersWithSpaces>111132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unoltb</dc:creator>
  <cp:lastModifiedBy>Pudlo</cp:lastModifiedBy>
  <cp:revision>6</cp:revision>
  <dcterms:created xsi:type="dcterms:W3CDTF">2015-01-08T08:25:00Z</dcterms:created>
  <dcterms:modified xsi:type="dcterms:W3CDTF">2015-04-21T12:01:00Z</dcterms:modified>
</cp:coreProperties>
</file>