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E4F" w:rsidRPr="00E619A0" w:rsidRDefault="00557E4F" w:rsidP="00557E4F">
      <w:pPr>
        <w:jc w:val="center"/>
        <w:rPr>
          <w:rFonts w:ascii="Times New Roman" w:hAnsi="Times New Roman" w:cs="Times New Roman"/>
          <w:sz w:val="4"/>
          <w:szCs w:val="4"/>
          <w:lang w:val="pl-PL"/>
        </w:rPr>
      </w:pPr>
    </w:p>
    <w:p w:rsidR="008C49CF" w:rsidRDefault="008C49CF" w:rsidP="008C49CF">
      <w:pPr>
        <w:pStyle w:val="Nagwek"/>
        <w:jc w:val="center"/>
        <w:rPr>
          <w:sz w:val="4"/>
          <w:szCs w:val="4"/>
        </w:rPr>
      </w:pPr>
      <w:r>
        <w:rPr>
          <w:noProof/>
          <w:sz w:val="4"/>
          <w:szCs w:val="4"/>
          <w:lang w:val="pl-PL" w:eastAsia="pl-PL"/>
        </w:rPr>
        <w:drawing>
          <wp:inline distT="0" distB="0" distL="0" distR="0">
            <wp:extent cx="4095750" cy="1724025"/>
            <wp:effectExtent l="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0" cy="1724025"/>
                    </a:xfrm>
                    <a:prstGeom prst="rect">
                      <a:avLst/>
                    </a:prstGeom>
                    <a:noFill/>
                    <a:ln>
                      <a:noFill/>
                    </a:ln>
                  </pic:spPr>
                </pic:pic>
              </a:graphicData>
            </a:graphic>
          </wp:inline>
        </w:drawing>
      </w:r>
    </w:p>
    <w:p w:rsidR="007A28E0" w:rsidRDefault="007A28E0" w:rsidP="007A28E0">
      <w:pPr>
        <w:pStyle w:val="DecHTitle"/>
        <w:spacing w:after="120"/>
        <w:rPr>
          <w:rFonts w:ascii="Arial" w:hAnsi="Arial" w:cs="Arial"/>
          <w:sz w:val="20"/>
          <w:szCs w:val="20"/>
          <w:lang w:val="pl-PL"/>
        </w:rPr>
      </w:pPr>
    </w:p>
    <w:p w:rsidR="007A28E0" w:rsidRPr="007A28E0" w:rsidRDefault="007A28E0" w:rsidP="007A28E0">
      <w:pPr>
        <w:pStyle w:val="DecHTitle"/>
        <w:spacing w:after="120"/>
        <w:rPr>
          <w:rStyle w:val="s4f807e54"/>
          <w:rFonts w:ascii="Times New Roman" w:hAnsi="Times New Roman" w:cs="Times New Roman"/>
          <w:sz w:val="24"/>
          <w:szCs w:val="24"/>
        </w:rPr>
      </w:pPr>
      <w:r w:rsidRPr="007A28E0">
        <w:rPr>
          <w:rStyle w:val="s4f807e54"/>
          <w:rFonts w:ascii="Times New Roman" w:hAnsi="Times New Roman" w:cs="Times New Roman"/>
          <w:sz w:val="24"/>
          <w:szCs w:val="24"/>
          <w:lang w:val="pl-PL"/>
        </w:rPr>
        <w:t>© Trybunał Konstytucyjny</w:t>
      </w:r>
    </w:p>
    <w:p w:rsidR="007A28E0" w:rsidRPr="007A28E0" w:rsidRDefault="007A28E0" w:rsidP="007A28E0">
      <w:pPr>
        <w:spacing w:after="120"/>
        <w:jc w:val="center"/>
        <w:rPr>
          <w:rFonts w:ascii="Times New Roman" w:hAnsi="Times New Roman" w:cs="Times New Roman"/>
          <w:szCs w:val="24"/>
          <w:lang w:val="en-GB"/>
        </w:rPr>
      </w:pPr>
      <w:r w:rsidRPr="007A28E0">
        <w:rPr>
          <w:rStyle w:val="s4f807e54"/>
          <w:rFonts w:ascii="Times New Roman" w:hAnsi="Times New Roman" w:cs="Times New Roman"/>
          <w:szCs w:val="24"/>
        </w:rPr>
        <w:t xml:space="preserve">© </w:t>
      </w:r>
      <w:r w:rsidRPr="007A28E0">
        <w:rPr>
          <w:rFonts w:ascii="Times New Roman" w:hAnsi="Times New Roman" w:cs="Times New Roman"/>
          <w:szCs w:val="24"/>
        </w:rPr>
        <w:t xml:space="preserve">Copyright for the Polish translation by the Polish Constitutional Tribunal </w:t>
      </w:r>
    </w:p>
    <w:p w:rsidR="007A28E0" w:rsidRPr="007A28E0" w:rsidRDefault="007A28E0" w:rsidP="007A28E0">
      <w:pPr>
        <w:pStyle w:val="DecHTitle"/>
        <w:spacing w:after="120"/>
        <w:rPr>
          <w:rFonts w:ascii="Times New Roman" w:hAnsi="Times New Roman" w:cs="Times New Roman"/>
          <w:sz w:val="24"/>
          <w:szCs w:val="24"/>
          <w:lang w:val="pl-PL"/>
        </w:rPr>
      </w:pPr>
      <w:r w:rsidRPr="007A28E0">
        <w:rPr>
          <w:rFonts w:ascii="Times New Roman" w:hAnsi="Times New Roman" w:cs="Times New Roman"/>
          <w:sz w:val="24"/>
          <w:szCs w:val="24"/>
          <w:lang w:val="pl-PL"/>
        </w:rPr>
        <w:t>Warszawa 2014</w:t>
      </w:r>
      <w:bookmarkStart w:id="0" w:name="_GoBack"/>
      <w:bookmarkEnd w:id="0"/>
    </w:p>
    <w:p w:rsidR="00EF4747" w:rsidRDefault="00EF4747" w:rsidP="00557E4F">
      <w:pPr>
        <w:pStyle w:val="DecHTitle"/>
        <w:rPr>
          <w:rFonts w:ascii="Times New Roman" w:hAnsi="Times New Roman" w:cs="Times New Roman"/>
          <w:szCs w:val="24"/>
          <w:lang w:val="pl-PL"/>
        </w:rPr>
      </w:pPr>
    </w:p>
    <w:p w:rsidR="00557E4F" w:rsidRPr="00E619A0" w:rsidRDefault="00557E4F" w:rsidP="00557E4F">
      <w:pPr>
        <w:pStyle w:val="DecHTitle"/>
        <w:rPr>
          <w:rFonts w:ascii="Times New Roman" w:hAnsi="Times New Roman" w:cs="Times New Roman"/>
          <w:lang w:val="pl-PL"/>
        </w:rPr>
      </w:pPr>
      <w:r w:rsidRPr="00E619A0">
        <w:rPr>
          <w:rFonts w:ascii="Times New Roman" w:hAnsi="Times New Roman" w:cs="Times New Roman"/>
          <w:szCs w:val="24"/>
          <w:lang w:val="pl-PL"/>
        </w:rPr>
        <w:t>DRUGA SEKCJA</w:t>
      </w:r>
    </w:p>
    <w:p w:rsidR="00557E4F" w:rsidRPr="00E619A0" w:rsidRDefault="00557E4F" w:rsidP="00557E4F">
      <w:pPr>
        <w:pStyle w:val="DecHTitle"/>
        <w:rPr>
          <w:rFonts w:ascii="Times New Roman" w:hAnsi="Times New Roman" w:cs="Times New Roman"/>
          <w:lang w:val="pl-PL"/>
        </w:rPr>
      </w:pPr>
      <w:r w:rsidRPr="00E619A0">
        <w:rPr>
          <w:rFonts w:ascii="Times New Roman" w:hAnsi="Times New Roman" w:cs="Times New Roman"/>
          <w:lang w:val="pl-PL"/>
        </w:rPr>
        <w:t>DECYZJA</w:t>
      </w:r>
    </w:p>
    <w:p w:rsidR="00E130A7" w:rsidRPr="00E130A7" w:rsidRDefault="00E130A7" w:rsidP="00557E4F">
      <w:pPr>
        <w:pStyle w:val="ECHRTitleCentre2"/>
        <w:rPr>
          <w:rFonts w:ascii="Times New Roman" w:hAnsi="Times New Roman" w:cs="Times New Roman"/>
          <w:i/>
          <w:lang w:val="pl-PL"/>
        </w:rPr>
      </w:pPr>
      <w:r w:rsidRPr="00E130A7">
        <w:rPr>
          <w:rFonts w:ascii="Times New Roman" w:hAnsi="Times New Roman" w:cs="Times New Roman"/>
          <w:i/>
          <w:lang w:val="pl-PL"/>
        </w:rPr>
        <w:t>(</w:t>
      </w:r>
      <w:r w:rsidR="00557E4F" w:rsidRPr="00E130A7">
        <w:rPr>
          <w:rFonts w:ascii="Times New Roman" w:hAnsi="Times New Roman" w:cs="Times New Roman"/>
          <w:i/>
          <w:lang w:val="pl-PL"/>
        </w:rPr>
        <w:t>Skargi nr 62235/12 i 57725/12</w:t>
      </w:r>
      <w:r w:rsidRPr="00E130A7">
        <w:rPr>
          <w:rFonts w:ascii="Times New Roman" w:hAnsi="Times New Roman" w:cs="Times New Roman"/>
          <w:i/>
          <w:lang w:val="pl-PL"/>
        </w:rPr>
        <w:t>)</w:t>
      </w:r>
    </w:p>
    <w:p w:rsidR="00557E4F" w:rsidRPr="00E619A0" w:rsidRDefault="00557E4F" w:rsidP="00557E4F">
      <w:pPr>
        <w:pStyle w:val="ECHRTitleCentre2"/>
        <w:rPr>
          <w:rFonts w:ascii="Times New Roman" w:hAnsi="Times New Roman" w:cs="Times New Roman"/>
          <w:lang w:val="pl-PL"/>
        </w:rPr>
      </w:pPr>
      <w:r w:rsidRPr="00E619A0">
        <w:rPr>
          <w:rFonts w:ascii="Times New Roman" w:hAnsi="Times New Roman" w:cs="Times New Roman"/>
          <w:lang w:val="pl-PL"/>
        </w:rPr>
        <w:br/>
      </w:r>
      <w:proofErr w:type="spellStart"/>
      <w:r w:rsidRPr="00E619A0">
        <w:rPr>
          <w:rFonts w:ascii="Times New Roman" w:hAnsi="Times New Roman" w:cs="Times New Roman"/>
          <w:lang w:val="pl-PL"/>
        </w:rPr>
        <w:t>A</w:t>
      </w:r>
      <w:r w:rsidR="00907015">
        <w:rPr>
          <w:rFonts w:ascii="Times New Roman" w:hAnsi="Times New Roman" w:cs="Times New Roman"/>
          <w:lang w:val="pl-PL"/>
        </w:rPr>
        <w:t>ntónio</w:t>
      </w:r>
      <w:proofErr w:type="spellEnd"/>
      <w:r w:rsidR="00907015">
        <w:rPr>
          <w:rFonts w:ascii="Times New Roman" w:hAnsi="Times New Roman" w:cs="Times New Roman"/>
          <w:lang w:val="pl-PL"/>
        </w:rPr>
        <w:t xml:space="preserve"> Augusto DA CONCEIÇÃO MAT</w:t>
      </w:r>
      <w:r w:rsidRPr="00E619A0">
        <w:rPr>
          <w:rFonts w:ascii="Times New Roman" w:hAnsi="Times New Roman" w:cs="Times New Roman"/>
          <w:lang w:val="pl-PL"/>
        </w:rPr>
        <w:t>E</w:t>
      </w:r>
      <w:r w:rsidR="00907015">
        <w:rPr>
          <w:rFonts w:ascii="Times New Roman" w:hAnsi="Times New Roman" w:cs="Times New Roman"/>
          <w:lang w:val="pl-PL"/>
        </w:rPr>
        <w:t>U</w:t>
      </w:r>
      <w:r w:rsidRPr="00E619A0">
        <w:rPr>
          <w:rFonts w:ascii="Times New Roman" w:hAnsi="Times New Roman" w:cs="Times New Roman"/>
          <w:lang w:val="pl-PL"/>
        </w:rPr>
        <w:t>S przeciwko Portugalii</w:t>
      </w:r>
      <w:r w:rsidRPr="00E619A0">
        <w:rPr>
          <w:rFonts w:ascii="Times New Roman" w:hAnsi="Times New Roman" w:cs="Times New Roman"/>
          <w:lang w:val="pl-PL"/>
        </w:rPr>
        <w:br/>
        <w:t xml:space="preserve">oraz Lino </w:t>
      </w:r>
      <w:proofErr w:type="spellStart"/>
      <w:r w:rsidRPr="00E619A0">
        <w:rPr>
          <w:rFonts w:ascii="Times New Roman" w:hAnsi="Times New Roman" w:cs="Times New Roman"/>
          <w:lang w:val="pl-PL"/>
        </w:rPr>
        <w:t>Jesus</w:t>
      </w:r>
      <w:proofErr w:type="spellEnd"/>
      <w:r w:rsidRPr="00E619A0">
        <w:rPr>
          <w:rFonts w:ascii="Times New Roman" w:hAnsi="Times New Roman" w:cs="Times New Roman"/>
          <w:lang w:val="pl-PL"/>
        </w:rPr>
        <w:t xml:space="preserve"> SANTOS JANUÁRIO przeciwko Portugalii</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Europejski Trybunał Praw Człowieka (Druga Sekcja), </w:t>
      </w:r>
      <w:r w:rsidRPr="00E619A0">
        <w:rPr>
          <w:rFonts w:ascii="Times New Roman" w:hAnsi="Times New Roman" w:cs="Times New Roman"/>
          <w:bCs/>
          <w:szCs w:val="24"/>
          <w:lang w:val="pl-PL"/>
        </w:rPr>
        <w:t xml:space="preserve">zasiadając w dniu 8 października </w:t>
      </w:r>
      <w:r w:rsidRPr="00E619A0">
        <w:rPr>
          <w:rFonts w:ascii="Times New Roman" w:hAnsi="Times New Roman" w:cs="Times New Roman"/>
          <w:lang w:val="pl-PL"/>
        </w:rPr>
        <w:t xml:space="preserve">2013 r. </w:t>
      </w:r>
      <w:r w:rsidRPr="00E619A0">
        <w:rPr>
          <w:rFonts w:ascii="Times New Roman" w:hAnsi="Times New Roman" w:cs="Times New Roman"/>
          <w:bCs/>
          <w:szCs w:val="24"/>
          <w:lang w:val="pl-PL"/>
        </w:rPr>
        <w:t>jako Izba składająca się z następujących sędziów</w:t>
      </w:r>
      <w:r w:rsidRPr="00E619A0">
        <w:rPr>
          <w:rFonts w:ascii="Times New Roman" w:hAnsi="Times New Roman" w:cs="Times New Roman"/>
          <w:lang w:val="pl-PL"/>
        </w:rPr>
        <w:t>:</w:t>
      </w:r>
    </w:p>
    <w:p w:rsidR="00557E4F" w:rsidRPr="00E619A0" w:rsidRDefault="00557E4F" w:rsidP="00557E4F">
      <w:pPr>
        <w:pStyle w:val="ECHRDecisionBody"/>
        <w:rPr>
          <w:rFonts w:ascii="Times New Roman" w:hAnsi="Times New Roman" w:cs="Times New Roman"/>
          <w:lang w:val="pl-PL"/>
        </w:rPr>
      </w:pPr>
      <w:r w:rsidRPr="00E619A0">
        <w:rPr>
          <w:rFonts w:ascii="Times New Roman" w:hAnsi="Times New Roman" w:cs="Times New Roman"/>
          <w:lang w:val="pl-PL"/>
        </w:rPr>
        <w:tab/>
        <w:t xml:space="preserve">Guido </w:t>
      </w:r>
      <w:proofErr w:type="spellStart"/>
      <w:r w:rsidRPr="00E619A0">
        <w:rPr>
          <w:rFonts w:ascii="Times New Roman" w:hAnsi="Times New Roman" w:cs="Times New Roman"/>
          <w:lang w:val="pl-PL"/>
        </w:rPr>
        <w:t>Raimondi</w:t>
      </w:r>
      <w:proofErr w:type="spellEnd"/>
      <w:r w:rsidRPr="00E619A0">
        <w:rPr>
          <w:rFonts w:ascii="Times New Roman" w:hAnsi="Times New Roman" w:cs="Times New Roman"/>
          <w:lang w:val="pl-PL"/>
        </w:rPr>
        <w:t>,</w:t>
      </w:r>
      <w:r w:rsidRPr="00E619A0">
        <w:rPr>
          <w:rFonts w:ascii="Times New Roman" w:hAnsi="Times New Roman" w:cs="Times New Roman"/>
          <w:i/>
          <w:lang w:val="pl-PL"/>
        </w:rPr>
        <w:t xml:space="preserve"> Przewodniczący,</w:t>
      </w:r>
      <w:r w:rsidRPr="00E619A0">
        <w:rPr>
          <w:rFonts w:ascii="Times New Roman" w:hAnsi="Times New Roman" w:cs="Times New Roman"/>
          <w:i/>
          <w:lang w:val="pl-PL"/>
        </w:rPr>
        <w:br/>
      </w:r>
      <w:r w:rsidRPr="00E619A0">
        <w:rPr>
          <w:rFonts w:ascii="Times New Roman" w:hAnsi="Times New Roman" w:cs="Times New Roman"/>
          <w:lang w:val="pl-PL"/>
        </w:rPr>
        <w:tab/>
        <w:t xml:space="preserve">Peer </w:t>
      </w:r>
      <w:proofErr w:type="spellStart"/>
      <w:r w:rsidRPr="00E619A0">
        <w:rPr>
          <w:rFonts w:ascii="Times New Roman" w:hAnsi="Times New Roman" w:cs="Times New Roman"/>
          <w:lang w:val="pl-PL"/>
        </w:rPr>
        <w:t>Lorenzen</w:t>
      </w:r>
      <w:proofErr w:type="spellEnd"/>
      <w:r w:rsidRPr="00E619A0">
        <w:rPr>
          <w:rFonts w:ascii="Times New Roman" w:hAnsi="Times New Roman" w:cs="Times New Roman"/>
          <w:lang w:val="pl-PL"/>
        </w:rPr>
        <w:t>,</w:t>
      </w:r>
      <w:r w:rsidRPr="00E619A0">
        <w:rPr>
          <w:rFonts w:ascii="Times New Roman" w:hAnsi="Times New Roman" w:cs="Times New Roman"/>
          <w:i/>
          <w:lang w:val="pl-PL"/>
        </w:rPr>
        <w:br/>
      </w:r>
      <w:r w:rsidRPr="00E619A0">
        <w:rPr>
          <w:rFonts w:ascii="Times New Roman" w:hAnsi="Times New Roman" w:cs="Times New Roman"/>
          <w:lang w:val="pl-PL"/>
        </w:rPr>
        <w:tab/>
      </w:r>
      <w:proofErr w:type="spellStart"/>
      <w:r w:rsidRPr="00E619A0">
        <w:rPr>
          <w:rFonts w:ascii="Times New Roman" w:hAnsi="Times New Roman" w:cs="Times New Roman"/>
          <w:lang w:val="pl-PL"/>
        </w:rPr>
        <w:t>Dragoljub</w:t>
      </w:r>
      <w:proofErr w:type="spellEnd"/>
      <w:r w:rsidRPr="00E619A0">
        <w:rPr>
          <w:rFonts w:ascii="Times New Roman" w:hAnsi="Times New Roman" w:cs="Times New Roman"/>
          <w:lang w:val="pl-PL"/>
        </w:rPr>
        <w:t xml:space="preserve"> </w:t>
      </w:r>
      <w:proofErr w:type="spellStart"/>
      <w:r w:rsidRPr="00E619A0">
        <w:rPr>
          <w:rFonts w:ascii="Times New Roman" w:hAnsi="Times New Roman" w:cs="Times New Roman"/>
          <w:lang w:val="pl-PL"/>
        </w:rPr>
        <w:t>Popović</w:t>
      </w:r>
      <w:proofErr w:type="spellEnd"/>
      <w:r w:rsidRPr="00E619A0">
        <w:rPr>
          <w:rFonts w:ascii="Times New Roman" w:hAnsi="Times New Roman" w:cs="Times New Roman"/>
          <w:lang w:val="pl-PL"/>
        </w:rPr>
        <w:t>,</w:t>
      </w:r>
      <w:r w:rsidRPr="00E619A0">
        <w:rPr>
          <w:rFonts w:ascii="Times New Roman" w:hAnsi="Times New Roman" w:cs="Times New Roman"/>
          <w:i/>
          <w:lang w:val="pl-PL"/>
        </w:rPr>
        <w:br/>
      </w:r>
      <w:r w:rsidRPr="00E619A0">
        <w:rPr>
          <w:rFonts w:ascii="Times New Roman" w:hAnsi="Times New Roman" w:cs="Times New Roman"/>
          <w:lang w:val="pl-PL"/>
        </w:rPr>
        <w:tab/>
      </w:r>
      <w:proofErr w:type="spellStart"/>
      <w:r w:rsidRPr="00E619A0">
        <w:rPr>
          <w:rFonts w:ascii="Times New Roman" w:hAnsi="Times New Roman" w:cs="Times New Roman"/>
          <w:lang w:val="pl-PL"/>
        </w:rPr>
        <w:t>András</w:t>
      </w:r>
      <w:proofErr w:type="spellEnd"/>
      <w:r w:rsidRPr="00E619A0">
        <w:rPr>
          <w:rFonts w:ascii="Times New Roman" w:hAnsi="Times New Roman" w:cs="Times New Roman"/>
          <w:lang w:val="pl-PL"/>
        </w:rPr>
        <w:t xml:space="preserve"> </w:t>
      </w:r>
      <w:proofErr w:type="spellStart"/>
      <w:r w:rsidRPr="00E619A0">
        <w:rPr>
          <w:rFonts w:ascii="Times New Roman" w:hAnsi="Times New Roman" w:cs="Times New Roman"/>
          <w:lang w:val="pl-PL"/>
        </w:rPr>
        <w:t>Sajó</w:t>
      </w:r>
      <w:proofErr w:type="spellEnd"/>
      <w:r w:rsidRPr="00E619A0">
        <w:rPr>
          <w:rFonts w:ascii="Times New Roman" w:hAnsi="Times New Roman" w:cs="Times New Roman"/>
          <w:lang w:val="pl-PL"/>
        </w:rPr>
        <w:t>,</w:t>
      </w:r>
      <w:r w:rsidRPr="00E619A0">
        <w:rPr>
          <w:rFonts w:ascii="Times New Roman" w:hAnsi="Times New Roman" w:cs="Times New Roman"/>
          <w:i/>
          <w:lang w:val="pl-PL"/>
        </w:rPr>
        <w:br/>
      </w:r>
      <w:r w:rsidRPr="00E619A0">
        <w:rPr>
          <w:rFonts w:ascii="Times New Roman" w:hAnsi="Times New Roman" w:cs="Times New Roman"/>
          <w:lang w:val="pl-PL"/>
        </w:rPr>
        <w:tab/>
      </w:r>
      <w:proofErr w:type="spellStart"/>
      <w:r w:rsidRPr="00E619A0">
        <w:rPr>
          <w:rFonts w:ascii="Times New Roman" w:hAnsi="Times New Roman" w:cs="Times New Roman"/>
          <w:lang w:val="pl-PL"/>
        </w:rPr>
        <w:t>Nebojša</w:t>
      </w:r>
      <w:proofErr w:type="spellEnd"/>
      <w:r w:rsidRPr="00E619A0">
        <w:rPr>
          <w:rFonts w:ascii="Times New Roman" w:hAnsi="Times New Roman" w:cs="Times New Roman"/>
          <w:lang w:val="pl-PL"/>
        </w:rPr>
        <w:t xml:space="preserve"> </w:t>
      </w:r>
      <w:proofErr w:type="spellStart"/>
      <w:r w:rsidRPr="00E619A0">
        <w:rPr>
          <w:rFonts w:ascii="Times New Roman" w:hAnsi="Times New Roman" w:cs="Times New Roman"/>
          <w:lang w:val="pl-PL"/>
        </w:rPr>
        <w:t>Vučinić</w:t>
      </w:r>
      <w:proofErr w:type="spellEnd"/>
      <w:r w:rsidRPr="00E619A0">
        <w:rPr>
          <w:rFonts w:ascii="Times New Roman" w:hAnsi="Times New Roman" w:cs="Times New Roman"/>
          <w:lang w:val="pl-PL"/>
        </w:rPr>
        <w:t>,</w:t>
      </w:r>
      <w:r w:rsidRPr="00E619A0">
        <w:rPr>
          <w:rFonts w:ascii="Times New Roman" w:hAnsi="Times New Roman" w:cs="Times New Roman"/>
          <w:i/>
          <w:lang w:val="pl-PL"/>
        </w:rPr>
        <w:br/>
      </w:r>
      <w:r w:rsidRPr="00E619A0">
        <w:rPr>
          <w:rFonts w:ascii="Times New Roman" w:hAnsi="Times New Roman" w:cs="Times New Roman"/>
          <w:lang w:val="pl-PL"/>
        </w:rPr>
        <w:tab/>
        <w:t xml:space="preserve">Paulo </w:t>
      </w:r>
      <w:proofErr w:type="spellStart"/>
      <w:r w:rsidRPr="00E619A0">
        <w:rPr>
          <w:rFonts w:ascii="Times New Roman" w:hAnsi="Times New Roman" w:cs="Times New Roman"/>
          <w:lang w:val="pl-PL"/>
        </w:rPr>
        <w:t>Pinto</w:t>
      </w:r>
      <w:proofErr w:type="spellEnd"/>
      <w:r w:rsidRPr="00E619A0">
        <w:rPr>
          <w:rFonts w:ascii="Times New Roman" w:hAnsi="Times New Roman" w:cs="Times New Roman"/>
          <w:lang w:val="pl-PL"/>
        </w:rPr>
        <w:t xml:space="preserve"> de Albuquerque,</w:t>
      </w:r>
      <w:r w:rsidRPr="00E619A0">
        <w:rPr>
          <w:rFonts w:ascii="Times New Roman" w:hAnsi="Times New Roman" w:cs="Times New Roman"/>
          <w:i/>
          <w:lang w:val="pl-PL"/>
        </w:rPr>
        <w:br/>
      </w:r>
      <w:r w:rsidRPr="00E619A0">
        <w:rPr>
          <w:rFonts w:ascii="Times New Roman" w:hAnsi="Times New Roman" w:cs="Times New Roman"/>
          <w:lang w:val="pl-PL"/>
        </w:rPr>
        <w:tab/>
        <w:t>Helen Keller,</w:t>
      </w:r>
      <w:r w:rsidRPr="00E619A0">
        <w:rPr>
          <w:rFonts w:ascii="Times New Roman" w:hAnsi="Times New Roman" w:cs="Times New Roman"/>
          <w:i/>
          <w:lang w:val="pl-PL"/>
        </w:rPr>
        <w:t xml:space="preserve"> sędziowie,</w:t>
      </w:r>
      <w:r w:rsidRPr="00E619A0">
        <w:rPr>
          <w:rFonts w:ascii="Times New Roman" w:hAnsi="Times New Roman" w:cs="Times New Roman"/>
          <w:lang w:val="pl-PL"/>
        </w:rPr>
        <w:br/>
        <w:t xml:space="preserve">i Stanley </w:t>
      </w:r>
      <w:proofErr w:type="spellStart"/>
      <w:r w:rsidRPr="00E619A0">
        <w:rPr>
          <w:rFonts w:ascii="Times New Roman" w:hAnsi="Times New Roman" w:cs="Times New Roman"/>
          <w:lang w:val="pl-PL"/>
        </w:rPr>
        <w:t>Naismith</w:t>
      </w:r>
      <w:proofErr w:type="spellEnd"/>
      <w:r w:rsidRPr="00E619A0">
        <w:rPr>
          <w:rStyle w:val="JuJudgesChar"/>
          <w:rFonts w:ascii="Times New Roman" w:hAnsi="Times New Roman" w:cs="Times New Roman"/>
          <w:lang w:val="pl-PL"/>
        </w:rPr>
        <w:t xml:space="preserve">, </w:t>
      </w:r>
      <w:r w:rsidRPr="00E619A0">
        <w:rPr>
          <w:rFonts w:ascii="Times New Roman" w:hAnsi="Times New Roman" w:cs="Times New Roman"/>
          <w:i/>
          <w:iCs/>
          <w:lang w:val="pl-PL"/>
        </w:rPr>
        <w:t>Kanclerz Sekcji</w:t>
      </w:r>
      <w:r w:rsidRPr="00E619A0">
        <w:rPr>
          <w:rFonts w:ascii="Times New Roman" w:hAnsi="Times New Roman" w:cs="Times New Roman"/>
          <w:i/>
          <w:lang w:val="pl-PL"/>
        </w:rPr>
        <w:t>,</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Obradując na posiedzeniu zamkniętym w dniu 10 września 2012 r. oraz, odpowiednio, w dniu 27 sierpnia 2012 r.,</w:t>
      </w:r>
    </w:p>
    <w:p w:rsidR="00557E4F" w:rsidRPr="00E619A0" w:rsidRDefault="00921359" w:rsidP="00557E4F">
      <w:pPr>
        <w:pStyle w:val="ECHRPara"/>
        <w:rPr>
          <w:rFonts w:ascii="Times New Roman" w:hAnsi="Times New Roman" w:cs="Times New Roman"/>
          <w:lang w:val="pl-PL"/>
        </w:rPr>
      </w:pPr>
      <w:r w:rsidRPr="00E619A0">
        <w:rPr>
          <w:rFonts w:ascii="Times New Roman" w:hAnsi="Times New Roman" w:cs="Times New Roman"/>
          <w:lang w:val="pl-PL"/>
        </w:rPr>
        <w:t>Po naradzie postanawia, co następuje</w:t>
      </w:r>
      <w:r w:rsidR="00557E4F" w:rsidRPr="00E619A0">
        <w:rPr>
          <w:rFonts w:ascii="Times New Roman" w:hAnsi="Times New Roman" w:cs="Times New Roman"/>
          <w:lang w:val="pl-PL"/>
        </w:rPr>
        <w:t>:</w:t>
      </w:r>
    </w:p>
    <w:p w:rsidR="00557E4F" w:rsidRPr="00E619A0" w:rsidRDefault="00557E4F" w:rsidP="00557E4F">
      <w:pPr>
        <w:pStyle w:val="ECHRTitle1"/>
        <w:rPr>
          <w:rFonts w:ascii="Times New Roman" w:hAnsi="Times New Roman" w:cs="Times New Roman"/>
          <w:lang w:val="pl-PL"/>
        </w:rPr>
      </w:pPr>
      <w:r w:rsidRPr="00E619A0">
        <w:rPr>
          <w:rFonts w:ascii="Times New Roman" w:hAnsi="Times New Roman" w:cs="Times New Roman"/>
          <w:lang w:val="pl-PL"/>
        </w:rPr>
        <w:lastRenderedPageBreak/>
        <w:t>FAKTY</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1.  Skarżącym w pierwszej sprawie jest pan </w:t>
      </w:r>
      <w:proofErr w:type="spellStart"/>
      <w:r w:rsidRPr="00E619A0">
        <w:rPr>
          <w:rFonts w:ascii="Times New Roman" w:hAnsi="Times New Roman" w:cs="Times New Roman"/>
          <w:lang w:val="pl-PL"/>
        </w:rPr>
        <w:t>António</w:t>
      </w:r>
      <w:proofErr w:type="spellEnd"/>
      <w:r w:rsidRPr="00E619A0">
        <w:rPr>
          <w:rFonts w:ascii="Times New Roman" w:hAnsi="Times New Roman" w:cs="Times New Roman"/>
          <w:lang w:val="pl-PL"/>
        </w:rPr>
        <w:t xml:space="preserve"> Augusto da </w:t>
      </w:r>
      <w:proofErr w:type="spellStart"/>
      <w:r w:rsidRPr="00E619A0">
        <w:rPr>
          <w:rFonts w:ascii="Times New Roman" w:hAnsi="Times New Roman" w:cs="Times New Roman"/>
          <w:lang w:val="pl-PL"/>
        </w:rPr>
        <w:t>Conceição</w:t>
      </w:r>
      <w:proofErr w:type="spellEnd"/>
      <w:r w:rsidRPr="00E619A0">
        <w:rPr>
          <w:rFonts w:ascii="Times New Roman" w:hAnsi="Times New Roman" w:cs="Times New Roman"/>
          <w:lang w:val="pl-PL"/>
        </w:rPr>
        <w:t xml:space="preserve"> </w:t>
      </w:r>
      <w:proofErr w:type="spellStart"/>
      <w:r w:rsidRPr="00E619A0">
        <w:rPr>
          <w:rFonts w:ascii="Times New Roman" w:hAnsi="Times New Roman" w:cs="Times New Roman"/>
          <w:lang w:val="pl-PL"/>
        </w:rPr>
        <w:t>Mateus</w:t>
      </w:r>
      <w:proofErr w:type="spellEnd"/>
      <w:r w:rsidRPr="00E619A0">
        <w:rPr>
          <w:rFonts w:ascii="Times New Roman" w:hAnsi="Times New Roman" w:cs="Times New Roman"/>
          <w:lang w:val="pl-PL"/>
        </w:rPr>
        <w:t xml:space="preserve">, obywatel Portugalii, który urodził się w 1939 r. i mieszka w </w:t>
      </w:r>
      <w:proofErr w:type="spellStart"/>
      <w:r w:rsidRPr="00E619A0">
        <w:rPr>
          <w:rFonts w:ascii="Times New Roman" w:hAnsi="Times New Roman" w:cs="Times New Roman"/>
          <w:lang w:val="pl-PL"/>
        </w:rPr>
        <w:t>Aveiras</w:t>
      </w:r>
      <w:proofErr w:type="spellEnd"/>
      <w:r w:rsidRPr="00E619A0">
        <w:rPr>
          <w:rFonts w:ascii="Times New Roman" w:hAnsi="Times New Roman" w:cs="Times New Roman"/>
          <w:lang w:val="pl-PL"/>
        </w:rPr>
        <w:t xml:space="preserve"> de Baixo.</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2.  Skarżącym w drugiej sprawie jest pan Lino </w:t>
      </w:r>
      <w:proofErr w:type="spellStart"/>
      <w:r w:rsidRPr="00E619A0">
        <w:rPr>
          <w:rFonts w:ascii="Times New Roman" w:hAnsi="Times New Roman" w:cs="Times New Roman"/>
          <w:lang w:val="pl-PL"/>
        </w:rPr>
        <w:t>Jesus</w:t>
      </w:r>
      <w:proofErr w:type="spellEnd"/>
      <w:r w:rsidRPr="00E619A0">
        <w:rPr>
          <w:rFonts w:ascii="Times New Roman" w:hAnsi="Times New Roman" w:cs="Times New Roman"/>
          <w:lang w:val="pl-PL"/>
        </w:rPr>
        <w:t xml:space="preserve"> Santos </w:t>
      </w:r>
      <w:proofErr w:type="spellStart"/>
      <w:r w:rsidRPr="00E619A0">
        <w:rPr>
          <w:rFonts w:ascii="Times New Roman" w:hAnsi="Times New Roman" w:cs="Times New Roman"/>
          <w:lang w:val="pl-PL"/>
        </w:rPr>
        <w:t>Januário</w:t>
      </w:r>
      <w:proofErr w:type="spellEnd"/>
      <w:r w:rsidRPr="00E619A0">
        <w:rPr>
          <w:rFonts w:ascii="Times New Roman" w:hAnsi="Times New Roman" w:cs="Times New Roman"/>
          <w:lang w:val="pl-PL"/>
        </w:rPr>
        <w:t>, obywatel Portugalii, który urodził się w 1940</w:t>
      </w:r>
      <w:r w:rsidR="00921359" w:rsidRPr="00E619A0">
        <w:rPr>
          <w:rFonts w:ascii="Times New Roman" w:hAnsi="Times New Roman" w:cs="Times New Roman"/>
          <w:lang w:val="pl-PL"/>
        </w:rPr>
        <w:t xml:space="preserve"> r.</w:t>
      </w:r>
      <w:r w:rsidRPr="00E619A0">
        <w:rPr>
          <w:rFonts w:ascii="Times New Roman" w:hAnsi="Times New Roman" w:cs="Times New Roman"/>
          <w:lang w:val="pl-PL"/>
        </w:rPr>
        <w:t xml:space="preserve"> i mieszka w </w:t>
      </w:r>
      <w:proofErr w:type="spellStart"/>
      <w:r w:rsidRPr="00E619A0">
        <w:rPr>
          <w:rFonts w:ascii="Times New Roman" w:hAnsi="Times New Roman" w:cs="Times New Roman"/>
          <w:lang w:val="pl-PL"/>
        </w:rPr>
        <w:t>Almeirim</w:t>
      </w:r>
      <w:proofErr w:type="spellEnd"/>
      <w:r w:rsidRPr="00E619A0">
        <w:rPr>
          <w:rFonts w:ascii="Times New Roman" w:hAnsi="Times New Roman" w:cs="Times New Roman"/>
          <w:lang w:val="pl-PL"/>
        </w:rPr>
        <w:t>.</w:t>
      </w:r>
    </w:p>
    <w:p w:rsidR="00557E4F" w:rsidRPr="00E619A0" w:rsidRDefault="00557E4F" w:rsidP="00A52E02">
      <w:pPr>
        <w:pStyle w:val="ECHRHeading2"/>
        <w:numPr>
          <w:ilvl w:val="0"/>
          <w:numId w:val="0"/>
        </w:numPr>
        <w:rPr>
          <w:rFonts w:ascii="Times New Roman" w:hAnsi="Times New Roman" w:cs="Times New Roman"/>
          <w:lang w:val="pl-PL"/>
        </w:rPr>
      </w:pPr>
      <w:r w:rsidRPr="00E619A0">
        <w:rPr>
          <w:rFonts w:ascii="Times New Roman" w:hAnsi="Times New Roman" w:cs="Times New Roman"/>
          <w:lang w:val="pl-PL"/>
        </w:rPr>
        <w:t>A.  Okoliczności sprawy</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3.  Skarżący są emerytami uprawnionymi do otrzymywania </w:t>
      </w:r>
      <w:r w:rsidR="00921359" w:rsidRPr="00E619A0">
        <w:rPr>
          <w:rFonts w:ascii="Times New Roman" w:hAnsi="Times New Roman" w:cs="Times New Roman"/>
          <w:lang w:val="pl-PL"/>
        </w:rPr>
        <w:t>św</w:t>
      </w:r>
      <w:r w:rsidRPr="00E619A0">
        <w:rPr>
          <w:rFonts w:ascii="Times New Roman" w:hAnsi="Times New Roman" w:cs="Times New Roman"/>
          <w:lang w:val="pl-PL"/>
        </w:rPr>
        <w:t>iadczeń ubezpieczenia społecznego w ramach systemu emerytalnego sektora publicznego, który obowiązywał do dnia 1 stycznia 2006 r. Świadczenia te obejmują świadczenia urlopowe i świąteczne (</w:t>
      </w:r>
      <w:proofErr w:type="spellStart"/>
      <w:r w:rsidRPr="00E619A0">
        <w:rPr>
          <w:rFonts w:ascii="Times New Roman" w:hAnsi="Times New Roman" w:cs="Times New Roman"/>
          <w:i/>
          <w:color w:val="000000"/>
          <w:lang w:val="pl-PL"/>
        </w:rPr>
        <w:t>subsídio</w:t>
      </w:r>
      <w:proofErr w:type="spellEnd"/>
      <w:r w:rsidRPr="00E619A0">
        <w:rPr>
          <w:rFonts w:ascii="Times New Roman" w:hAnsi="Times New Roman" w:cs="Times New Roman"/>
          <w:i/>
          <w:color w:val="000000"/>
          <w:lang w:val="pl-PL"/>
        </w:rPr>
        <w:t xml:space="preserve"> de </w:t>
      </w:r>
      <w:proofErr w:type="spellStart"/>
      <w:r w:rsidRPr="00E619A0">
        <w:rPr>
          <w:rFonts w:ascii="Times New Roman" w:hAnsi="Times New Roman" w:cs="Times New Roman"/>
          <w:i/>
          <w:color w:val="000000"/>
          <w:lang w:val="pl-PL"/>
        </w:rPr>
        <w:t>f</w:t>
      </w:r>
      <w:r w:rsidRPr="00E619A0">
        <w:rPr>
          <w:rFonts w:ascii="Times New Roman" w:hAnsi="Times New Roman" w:cs="Times New Roman"/>
          <w:i/>
          <w:lang w:val="pl-PL"/>
        </w:rPr>
        <w:t>érias</w:t>
      </w:r>
      <w:proofErr w:type="spellEnd"/>
      <w:r w:rsidRPr="00E619A0">
        <w:rPr>
          <w:rFonts w:ascii="Times New Roman" w:hAnsi="Times New Roman" w:cs="Times New Roman"/>
          <w:i/>
          <w:lang w:val="pl-PL"/>
        </w:rPr>
        <w:t xml:space="preserve"> </w:t>
      </w:r>
      <w:r w:rsidRPr="00E619A0">
        <w:rPr>
          <w:rFonts w:ascii="Times New Roman" w:hAnsi="Times New Roman" w:cs="Times New Roman"/>
          <w:lang w:val="pl-PL"/>
        </w:rPr>
        <w:t xml:space="preserve">i </w:t>
      </w:r>
      <w:proofErr w:type="spellStart"/>
      <w:r w:rsidRPr="00E619A0">
        <w:rPr>
          <w:rFonts w:ascii="Times New Roman" w:hAnsi="Times New Roman" w:cs="Times New Roman"/>
          <w:i/>
          <w:lang w:val="pl-PL"/>
        </w:rPr>
        <w:t>subsídio</w:t>
      </w:r>
      <w:proofErr w:type="spellEnd"/>
      <w:r w:rsidRPr="00E619A0">
        <w:rPr>
          <w:rFonts w:ascii="Times New Roman" w:hAnsi="Times New Roman" w:cs="Times New Roman"/>
          <w:i/>
          <w:lang w:val="pl-PL"/>
        </w:rPr>
        <w:t xml:space="preserve"> de Natal</w:t>
      </w:r>
      <w:r w:rsidRPr="00E619A0">
        <w:rPr>
          <w:rFonts w:ascii="Times New Roman" w:hAnsi="Times New Roman" w:cs="Times New Roman"/>
          <w:lang w:val="pl-PL"/>
        </w:rPr>
        <w:t>), stanowiące równowartość trzynastej i czternastej pełnej kwoty emerytury i są normalnie wypłacane w lipcu i grudniu każdego roku.</w:t>
      </w:r>
    </w:p>
    <w:p w:rsidR="00557E4F" w:rsidRPr="00E619A0" w:rsidRDefault="00557E4F" w:rsidP="00557E4F">
      <w:pPr>
        <w:rPr>
          <w:rFonts w:ascii="Times New Roman" w:hAnsi="Times New Roman" w:cs="Times New Roman"/>
          <w:lang w:val="pl-PL"/>
        </w:rPr>
      </w:pPr>
      <w:r w:rsidRPr="00E619A0">
        <w:rPr>
          <w:rFonts w:ascii="Times New Roman" w:hAnsi="Times New Roman" w:cs="Times New Roman"/>
          <w:lang w:val="pl-PL"/>
        </w:rPr>
        <w:t>4.  W kwietniu 2011 r. Portugalia zwróciła się z wnioskami o udzielenie pomocy finansowej do Unii Europejskiej (UE), Państw Członkowskich strefy euro oraz Międzynarodowego Funduszu Walutowego (MFW). W maju 2011 r. władze portugalskie wraz z urzędnikami z Komisji Europejskiej, Europejskiego Banku Centralnego (EBC) i MFW wynegocjowa</w:t>
      </w:r>
      <w:r w:rsidR="00921359" w:rsidRPr="00E619A0">
        <w:rPr>
          <w:rFonts w:ascii="Times New Roman" w:hAnsi="Times New Roman" w:cs="Times New Roman"/>
          <w:lang w:val="pl-PL"/>
        </w:rPr>
        <w:t>ły</w:t>
      </w:r>
      <w:r w:rsidRPr="00E619A0">
        <w:rPr>
          <w:rFonts w:ascii="Times New Roman" w:hAnsi="Times New Roman" w:cs="Times New Roman"/>
          <w:lang w:val="pl-PL"/>
        </w:rPr>
        <w:t xml:space="preserve"> Gospodarczy Program Dostosowawczy obejmujący wspólny pakiet finansowy o wartości 78 miliardów euro (EUR) (26 mld EUR  w ramach Europejskiego Mechanizmu Stabilizacji Finansowej, 26 mld EUR  w ramach Europejskiego Instrumentu Stabilności Fi</w:t>
      </w:r>
      <w:r w:rsidR="00921359" w:rsidRPr="00E619A0">
        <w:rPr>
          <w:rFonts w:ascii="Times New Roman" w:hAnsi="Times New Roman" w:cs="Times New Roman"/>
          <w:lang w:val="pl-PL"/>
        </w:rPr>
        <w:t xml:space="preserve">nansowej oraz około 26 mld EUR ze strony </w:t>
      </w:r>
      <w:r w:rsidRPr="00E619A0">
        <w:rPr>
          <w:rFonts w:ascii="Times New Roman" w:hAnsi="Times New Roman" w:cs="Times New Roman"/>
          <w:lang w:val="pl-PL"/>
        </w:rPr>
        <w:t xml:space="preserve">MFW). Umowa dotycząca programu została oficjalnie przyjęta w dniu 17 maja 2011 r. na spotkaniu </w:t>
      </w:r>
      <w:proofErr w:type="spellStart"/>
      <w:r w:rsidRPr="00E619A0">
        <w:rPr>
          <w:rFonts w:ascii="Times New Roman" w:hAnsi="Times New Roman" w:cs="Times New Roman"/>
          <w:lang w:val="pl-PL"/>
        </w:rPr>
        <w:t>Eurogroup</w:t>
      </w:r>
      <w:proofErr w:type="spellEnd"/>
      <w:r w:rsidRPr="00E619A0">
        <w:rPr>
          <w:rFonts w:ascii="Times New Roman" w:hAnsi="Times New Roman" w:cs="Times New Roman"/>
          <w:lang w:val="pl-PL"/>
        </w:rPr>
        <w:t>/ECOFIN w Brukseli, gdzie Rząd Portugalii podpisał P</w:t>
      </w:r>
      <w:r w:rsidRPr="00E619A0">
        <w:rPr>
          <w:rFonts w:ascii="Times New Roman" w:hAnsi="Times New Roman" w:cs="Times New Roman"/>
          <w:bCs/>
          <w:lang w:val="pl-PL"/>
        </w:rPr>
        <w:t>rotokół Ustaleń dotyczący Szczegółowych Warunków w</w:t>
      </w:r>
      <w:r w:rsidRPr="00E619A0">
        <w:rPr>
          <w:rFonts w:ascii="Times New Roman" w:hAnsi="Times New Roman" w:cs="Times New Roman"/>
          <w:lang w:val="pl-PL"/>
        </w:rPr>
        <w:t xml:space="preserve"> zakresie Polityki Gospodarczej (PU) z UE, EBC i MFW, a następnie dwa dokumenty powiązane: Techniczny P</w:t>
      </w:r>
      <w:r w:rsidRPr="00E619A0">
        <w:rPr>
          <w:rFonts w:ascii="Times New Roman" w:hAnsi="Times New Roman" w:cs="Times New Roman"/>
          <w:bCs/>
          <w:lang w:val="pl-PL"/>
        </w:rPr>
        <w:t>rotokół Ustaleń oraz Umowę Kredytową</w:t>
      </w:r>
      <w:r w:rsidRPr="00E619A0">
        <w:rPr>
          <w:rFonts w:ascii="Times New Roman" w:hAnsi="Times New Roman" w:cs="Times New Roman"/>
          <w:lang w:val="pl-PL"/>
        </w:rPr>
        <w:t>.</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PU określa zasady polityki gospodarczej i społecznej, w tym między innymi działania o charakterze podatkowym oraz socjalnym, jakie Portugalia powinna wdrożyć w okresie obowiązywania programu (2011 - 2014) w celu poprawy swojej sytuacji finansowej oraz otrzymania wsparcia finansowego ze strony UE.</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Zgodnie z postanowieniami PU Portugalia miałaby, między innymi:</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 1.11 Obniżyć wysokość emerytur w kwocie powyżej 1.500 EUR według stawek progresywnych stosowanych względem wynagrodzeń w sektorze publicznym począwszy od stycznia 2011 r. w celu uzyskania oszczędności w wysokości co najmniej 445 mln EUR.</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1.12 Zawiesić stosowan</w:t>
      </w:r>
      <w:r w:rsidR="00921359" w:rsidRPr="00E619A0">
        <w:rPr>
          <w:rFonts w:ascii="Times New Roman" w:hAnsi="Times New Roman" w:cs="Times New Roman"/>
          <w:lang w:val="pl-PL"/>
        </w:rPr>
        <w:t>i</w:t>
      </w:r>
      <w:r w:rsidRPr="00E619A0">
        <w:rPr>
          <w:rFonts w:ascii="Times New Roman" w:hAnsi="Times New Roman" w:cs="Times New Roman"/>
          <w:lang w:val="pl-PL"/>
        </w:rPr>
        <w:t>e zasad indeksacji emerytur i zamrozić wysokość emerytur, z wyłączeniem najniższych emerytur, w 2012 r..”</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5.  W dniu 30 grudnia 2011 r. w Dzienniku Urzędowym (</w:t>
      </w:r>
      <w:proofErr w:type="spellStart"/>
      <w:r w:rsidRPr="00E619A0">
        <w:rPr>
          <w:rFonts w:ascii="Times New Roman" w:hAnsi="Times New Roman" w:cs="Times New Roman"/>
          <w:i/>
          <w:lang w:val="pl-PL"/>
        </w:rPr>
        <w:t>Diário</w:t>
      </w:r>
      <w:proofErr w:type="spellEnd"/>
      <w:r w:rsidRPr="00E619A0">
        <w:rPr>
          <w:rFonts w:ascii="Times New Roman" w:hAnsi="Times New Roman" w:cs="Times New Roman"/>
          <w:i/>
          <w:lang w:val="pl-PL"/>
        </w:rPr>
        <w:t xml:space="preserve"> da </w:t>
      </w:r>
      <w:proofErr w:type="spellStart"/>
      <w:r w:rsidRPr="00E619A0">
        <w:rPr>
          <w:rFonts w:ascii="Times New Roman" w:hAnsi="Times New Roman" w:cs="Times New Roman"/>
          <w:i/>
          <w:lang w:val="pl-PL"/>
        </w:rPr>
        <w:t>República</w:t>
      </w:r>
      <w:proofErr w:type="spellEnd"/>
      <w:r w:rsidRPr="00E619A0">
        <w:rPr>
          <w:rFonts w:ascii="Times New Roman" w:hAnsi="Times New Roman" w:cs="Times New Roman"/>
          <w:lang w:val="pl-PL"/>
        </w:rPr>
        <w:t xml:space="preserve">) opublikowano ustawę nr </w:t>
      </w:r>
      <w:r w:rsidR="00912839" w:rsidRPr="00E619A0">
        <w:rPr>
          <w:rFonts w:ascii="Times New Roman" w:hAnsi="Times New Roman" w:cs="Times New Roman"/>
          <w:lang w:val="pl-PL"/>
        </w:rPr>
        <w:t xml:space="preserve">64-B/2011 </w:t>
      </w:r>
      <w:r w:rsidRPr="00E619A0">
        <w:rPr>
          <w:rFonts w:ascii="Times New Roman" w:hAnsi="Times New Roman" w:cs="Times New Roman"/>
          <w:lang w:val="pl-PL"/>
        </w:rPr>
        <w:t xml:space="preserve">w sprawie budżetu państwa </w:t>
      </w:r>
      <w:r w:rsidRPr="00E619A0">
        <w:rPr>
          <w:rFonts w:ascii="Times New Roman" w:hAnsi="Times New Roman" w:cs="Times New Roman"/>
          <w:lang w:val="pl-PL"/>
        </w:rPr>
        <w:lastRenderedPageBreak/>
        <w:t>(</w:t>
      </w:r>
      <w:r w:rsidRPr="00E619A0">
        <w:rPr>
          <w:rFonts w:ascii="Times New Roman" w:hAnsi="Times New Roman" w:cs="Times New Roman"/>
          <w:i/>
          <w:lang w:val="pl-PL"/>
        </w:rPr>
        <w:t xml:space="preserve">Lei do </w:t>
      </w:r>
      <w:proofErr w:type="spellStart"/>
      <w:r w:rsidRPr="00E619A0">
        <w:rPr>
          <w:rFonts w:ascii="Times New Roman" w:hAnsi="Times New Roman" w:cs="Times New Roman"/>
          <w:i/>
          <w:lang w:val="pl-PL"/>
        </w:rPr>
        <w:t>Orçamento</w:t>
      </w:r>
      <w:proofErr w:type="spellEnd"/>
      <w:r w:rsidRPr="00E619A0">
        <w:rPr>
          <w:rFonts w:ascii="Times New Roman" w:hAnsi="Times New Roman" w:cs="Times New Roman"/>
          <w:i/>
          <w:lang w:val="pl-PL"/>
        </w:rPr>
        <w:t xml:space="preserve"> de </w:t>
      </w:r>
      <w:proofErr w:type="spellStart"/>
      <w:r w:rsidRPr="00E619A0">
        <w:rPr>
          <w:rFonts w:ascii="Times New Roman" w:hAnsi="Times New Roman" w:cs="Times New Roman"/>
          <w:i/>
          <w:lang w:val="pl-PL"/>
        </w:rPr>
        <w:t>Estado</w:t>
      </w:r>
      <w:proofErr w:type="spellEnd"/>
      <w:r w:rsidRPr="00E619A0">
        <w:rPr>
          <w:rFonts w:ascii="Times New Roman" w:hAnsi="Times New Roman" w:cs="Times New Roman"/>
          <w:i/>
          <w:lang w:val="pl-PL"/>
        </w:rPr>
        <w:t xml:space="preserve"> para 2012</w:t>
      </w:r>
      <w:r w:rsidRPr="00E619A0">
        <w:rPr>
          <w:rFonts w:ascii="Times New Roman" w:hAnsi="Times New Roman" w:cs="Times New Roman"/>
          <w:lang w:val="pl-PL"/>
        </w:rPr>
        <w:t>, dalej zwaną „Ustawą Budżetową na rok 2012”), której celem w znacznym stopniu było wdrożenie PU.</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6.  Zgodnie z postanowieniami art. 25 Ustawy Budżetowej na rok 2012 obniżeniu ulec miała wysokość świadczeń urlopowych i świątecznych bądź świadczeń równorzędnych wypłacanych osobom należących do </w:t>
      </w:r>
      <w:r w:rsidR="00527873" w:rsidRPr="00E619A0">
        <w:rPr>
          <w:rFonts w:ascii="Times New Roman" w:hAnsi="Times New Roman" w:cs="Times New Roman"/>
          <w:lang w:val="pl-PL"/>
        </w:rPr>
        <w:t>okre</w:t>
      </w:r>
      <w:r w:rsidR="0031556A" w:rsidRPr="00E619A0">
        <w:rPr>
          <w:rFonts w:ascii="Times New Roman" w:hAnsi="Times New Roman" w:cs="Times New Roman"/>
          <w:lang w:val="pl-PL"/>
        </w:rPr>
        <w:t>ślony</w:t>
      </w:r>
      <w:r w:rsidRPr="00E619A0">
        <w:rPr>
          <w:rFonts w:ascii="Times New Roman" w:hAnsi="Times New Roman" w:cs="Times New Roman"/>
          <w:lang w:val="pl-PL"/>
        </w:rPr>
        <w:t xml:space="preserve">ch kategorii emerytów </w:t>
      </w:r>
      <w:r w:rsidR="0031556A" w:rsidRPr="00E619A0">
        <w:rPr>
          <w:rFonts w:ascii="Times New Roman" w:hAnsi="Times New Roman" w:cs="Times New Roman"/>
          <w:lang w:val="pl-PL"/>
        </w:rPr>
        <w:t>(</w:t>
      </w:r>
      <w:proofErr w:type="spellStart"/>
      <w:r w:rsidR="0031556A" w:rsidRPr="00E619A0">
        <w:rPr>
          <w:rFonts w:ascii="Times New Roman" w:hAnsi="Times New Roman" w:cs="Times New Roman"/>
          <w:i/>
          <w:lang w:val="pl-PL"/>
        </w:rPr>
        <w:t>aposentados</w:t>
      </w:r>
      <w:proofErr w:type="spellEnd"/>
      <w:r w:rsidR="0031556A" w:rsidRPr="00E619A0">
        <w:rPr>
          <w:rFonts w:ascii="Times New Roman" w:hAnsi="Times New Roman" w:cs="Times New Roman"/>
          <w:lang w:val="pl-PL"/>
        </w:rPr>
        <w:t xml:space="preserve"> oraz </w:t>
      </w:r>
      <w:proofErr w:type="spellStart"/>
      <w:r w:rsidR="0031556A" w:rsidRPr="00E619A0">
        <w:rPr>
          <w:rFonts w:ascii="Times New Roman" w:hAnsi="Times New Roman" w:cs="Times New Roman"/>
          <w:i/>
          <w:lang w:val="pl-PL"/>
        </w:rPr>
        <w:t>reformados</w:t>
      </w:r>
      <w:proofErr w:type="spellEnd"/>
      <w:r w:rsidR="0031556A" w:rsidRPr="00E619A0">
        <w:rPr>
          <w:rFonts w:ascii="Times New Roman" w:hAnsi="Times New Roman" w:cs="Times New Roman"/>
          <w:lang w:val="pl-PL"/>
        </w:rPr>
        <w:t xml:space="preserve">) </w:t>
      </w:r>
      <w:r w:rsidRPr="00E619A0">
        <w:rPr>
          <w:rFonts w:ascii="Times New Roman" w:hAnsi="Times New Roman" w:cs="Times New Roman"/>
          <w:lang w:val="pl-PL"/>
        </w:rPr>
        <w:t>otrzymujących emerytury w ramach systemu emerytur dla sektora publicznego. Przepisy te</w:t>
      </w:r>
      <w:r w:rsidR="00A52E02" w:rsidRPr="00E619A0">
        <w:rPr>
          <w:rFonts w:ascii="Times New Roman" w:hAnsi="Times New Roman" w:cs="Times New Roman"/>
          <w:lang w:val="pl-PL"/>
        </w:rPr>
        <w:t xml:space="preserve"> miały mieć zastosowanie w</w:t>
      </w:r>
      <w:r w:rsidRPr="00E619A0">
        <w:rPr>
          <w:rFonts w:ascii="Times New Roman" w:hAnsi="Times New Roman" w:cs="Times New Roman"/>
          <w:lang w:val="pl-PL"/>
        </w:rPr>
        <w:t xml:space="preserve"> okresie obowiązywania Programu Wsparcia Ekonomicznego i Finansowego. W odniesieniu do osób otrzymujących emerytury w wysokości od 600 EUR do 1</w:t>
      </w:r>
      <w:r w:rsidR="0031556A" w:rsidRPr="00E619A0">
        <w:rPr>
          <w:rFonts w:ascii="Times New Roman" w:hAnsi="Times New Roman" w:cs="Times New Roman"/>
          <w:lang w:val="pl-PL"/>
        </w:rPr>
        <w:t>.</w:t>
      </w:r>
      <w:r w:rsidRPr="00E619A0">
        <w:rPr>
          <w:rFonts w:ascii="Times New Roman" w:hAnsi="Times New Roman" w:cs="Times New Roman"/>
          <w:lang w:val="pl-PL"/>
        </w:rPr>
        <w:t>100 EUR obniżka świadczeń urlopowych i świątecznych obliczana miała być według wzoru: 1.320 – (1,2 x wysokość emerytury miesięcznej). Obniżki miały zostać wprowadzone począwszy od roku 2012.</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7.  W rezultacie wejścia w życie Ustawy Budżetowej na rok 2012 pierwszy skarżący, którego miesięczna emerytura wynosiła 722,87 EUR, poniósł w 2012 r. łączne straty w wysokości 1.102,40 EUR z tytułu obniżki świadczeń urlopowych i świątecznych o kwotę 551,20 EUR. Drugi skarżący, którego miesięczna emerytura wynosiła 910,92 EUR, poniósł w 2012 r. łączne straty w wysokości 1,368.04 EUR ze względu na obniżenie wartości wypłat o 684,02 EUR. Takie łączne straty stanowiły, odpowiednio 10,8% i 10,7%, łącznej rocznej wartości wypłat emerytur skarżących, z uwzględnieniem świadczeń urlopowych i świątecznych.</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8.  W dniu 19 stycznia 2012 r. grupa członków portugalskiego Parlamentu zaskarżyła konstytucjonalność przepisów art. 21 i 25 Ustawy Budżetowej na rok 2012 przed Trybunałem Konstytucyjnym, twierdząc, że przepisy te stanowią naruszenie zasady równości oraz prawa do ubezpieczenia społecznego. Artykuł 21 dotyczył cięć podobnego typu dotyczących obywateli należących do innych kategorii. </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9.  W decyzji z dnia 5 lipca 2012 r. Trybunał Konstytucyjny uznał, że redukcja kwot świadczeń urlopowych i świątecznych wypłaconych emerytom obu kategorii objętym systemem emerytur dla sektora publicznego, zgodnie z postanowieniami art. 25 Ustawy Budżetowej na rok 2012, stanowiła naruszenie zasady „</w:t>
      </w:r>
      <w:r w:rsidR="00A4206C" w:rsidRPr="00E619A0">
        <w:rPr>
          <w:rFonts w:ascii="Times New Roman" w:hAnsi="Times New Roman" w:cs="Times New Roman"/>
          <w:lang w:val="pl-PL"/>
        </w:rPr>
        <w:t xml:space="preserve">równości proporcjonalnej”, </w:t>
      </w:r>
      <w:r w:rsidRPr="00E619A0">
        <w:rPr>
          <w:rFonts w:ascii="Times New Roman" w:hAnsi="Times New Roman" w:cs="Times New Roman"/>
          <w:lang w:val="pl-PL"/>
        </w:rPr>
        <w:t xml:space="preserve">a zatem nie była zgodna z Konstytucją. Jednakże ze względu na fakt, iż Budżet na rok 2012 znajdował się już na </w:t>
      </w:r>
      <w:r w:rsidR="0031556A" w:rsidRPr="00E619A0">
        <w:rPr>
          <w:rFonts w:ascii="Times New Roman" w:hAnsi="Times New Roman" w:cs="Times New Roman"/>
          <w:lang w:val="pl-PL"/>
        </w:rPr>
        <w:t>zaawansowanym etapie realizacji</w:t>
      </w:r>
      <w:r w:rsidRPr="00E619A0">
        <w:rPr>
          <w:rFonts w:ascii="Times New Roman" w:hAnsi="Times New Roman" w:cs="Times New Roman"/>
          <w:lang w:val="pl-PL"/>
        </w:rPr>
        <w:t xml:space="preserve"> Portugalia nie miała możliwości opracowania rozwiązań alternatywnych służących osiągnieciu celów budżetowych i za</w:t>
      </w:r>
      <w:r w:rsidR="0031556A" w:rsidRPr="00E619A0">
        <w:rPr>
          <w:rFonts w:ascii="Times New Roman" w:hAnsi="Times New Roman" w:cs="Times New Roman"/>
          <w:lang w:val="pl-PL"/>
        </w:rPr>
        <w:t>pewnieniu</w:t>
      </w:r>
      <w:r w:rsidRPr="00E619A0">
        <w:rPr>
          <w:rFonts w:ascii="Times New Roman" w:hAnsi="Times New Roman" w:cs="Times New Roman"/>
          <w:lang w:val="pl-PL"/>
        </w:rPr>
        <w:t xml:space="preserve"> wsparcia finansowego ze strony kredytodawców, które stanowiło „wyjątkowo ważny interes publiczny”, Trybunał Konstytucyjny uznał, że w 2012 r. jego własna decyzja nie powinna wejść w życie. Z praktycznego punktu widzenia oznaczało to, że w 2012 r. wprowadzenie cięć było możliwe.</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10.  W nieoznaczonym dniu pierwszy skarżący złożył skargę do Trybunału Konstytucyjnego, podnosząc zarzut, iż obniżenie kwot wypłat świadczeń urlopowych i świątecznych było niezgodne z Konstytucją. W </w:t>
      </w:r>
      <w:r w:rsidRPr="00E619A0">
        <w:rPr>
          <w:rFonts w:ascii="Times New Roman" w:hAnsi="Times New Roman" w:cs="Times New Roman"/>
          <w:lang w:val="pl-PL"/>
        </w:rPr>
        <w:lastRenderedPageBreak/>
        <w:t>dniu 3 kwietnia 2013 r. Trybunał Konstytucyjny wystosował do pierwszego skarżącego pismo, w którym odniósł się do decyzji z dnia 5 lipca 2012 r.</w:t>
      </w:r>
    </w:p>
    <w:p w:rsidR="00557E4F" w:rsidRPr="00E619A0" w:rsidRDefault="00557E4F" w:rsidP="00A52E02">
      <w:pPr>
        <w:pStyle w:val="ECHRHeading2"/>
        <w:numPr>
          <w:ilvl w:val="0"/>
          <w:numId w:val="0"/>
        </w:numPr>
        <w:rPr>
          <w:rFonts w:ascii="Times New Roman" w:hAnsi="Times New Roman" w:cs="Times New Roman"/>
          <w:lang w:val="pl-PL"/>
        </w:rPr>
      </w:pPr>
      <w:r w:rsidRPr="00E619A0">
        <w:rPr>
          <w:rFonts w:ascii="Times New Roman" w:hAnsi="Times New Roman" w:cs="Times New Roman"/>
          <w:lang w:val="pl-PL"/>
        </w:rPr>
        <w:t>B.  Właściwe prawo krajowe i praktyka</w:t>
      </w:r>
    </w:p>
    <w:p w:rsidR="00557E4F" w:rsidRPr="00E619A0" w:rsidRDefault="00557E4F" w:rsidP="00557E4F">
      <w:pPr>
        <w:pStyle w:val="ECHRPara"/>
        <w:rPr>
          <w:rFonts w:ascii="Times New Roman" w:hAnsi="Times New Roman" w:cs="Times New Roman"/>
          <w:i/>
          <w:lang w:val="pl-PL"/>
        </w:rPr>
      </w:pPr>
      <w:r w:rsidRPr="00E619A0">
        <w:rPr>
          <w:rFonts w:ascii="Times New Roman" w:hAnsi="Times New Roman" w:cs="Times New Roman"/>
          <w:i/>
          <w:lang w:val="pl-PL"/>
        </w:rPr>
        <w:t>1.  Konstytucja Republiki Portugalskiej:</w:t>
      </w:r>
    </w:p>
    <w:p w:rsidR="00557E4F" w:rsidRPr="00E619A0" w:rsidRDefault="00557E4F" w:rsidP="00557E4F">
      <w:pPr>
        <w:pStyle w:val="ECHRParaQuote"/>
        <w:jc w:val="center"/>
        <w:rPr>
          <w:rFonts w:ascii="Times New Roman" w:hAnsi="Times New Roman" w:cs="Times New Roman"/>
          <w:b/>
          <w:lang w:val="pl-PL"/>
        </w:rPr>
      </w:pPr>
      <w:r w:rsidRPr="00E619A0">
        <w:rPr>
          <w:rFonts w:ascii="Times New Roman" w:hAnsi="Times New Roman" w:cs="Times New Roman"/>
          <w:b/>
          <w:lang w:val="pl-PL"/>
        </w:rPr>
        <w:t>Artykuł 13</w:t>
      </w:r>
    </w:p>
    <w:p w:rsidR="00557E4F" w:rsidRPr="00E619A0" w:rsidRDefault="00557E4F" w:rsidP="00557E4F">
      <w:pPr>
        <w:pStyle w:val="ECHRParaQuote"/>
        <w:jc w:val="center"/>
        <w:rPr>
          <w:rFonts w:ascii="Times New Roman" w:hAnsi="Times New Roman" w:cs="Times New Roman"/>
          <w:b/>
          <w:lang w:val="pl-PL"/>
        </w:rPr>
      </w:pPr>
      <w:r w:rsidRPr="00E619A0">
        <w:rPr>
          <w:rFonts w:ascii="Times New Roman" w:hAnsi="Times New Roman" w:cs="Times New Roman"/>
          <w:b/>
          <w:lang w:val="pl-PL"/>
        </w:rPr>
        <w:t>Zasada Równości</w:t>
      </w:r>
    </w:p>
    <w:p w:rsidR="00557E4F" w:rsidRPr="00E619A0" w:rsidRDefault="00057B65" w:rsidP="00557E4F">
      <w:pPr>
        <w:pStyle w:val="ECHRParaQuote"/>
        <w:rPr>
          <w:rFonts w:ascii="Times New Roman" w:hAnsi="Times New Roman" w:cs="Times New Roman"/>
          <w:lang w:val="pl-PL"/>
        </w:rPr>
      </w:pPr>
      <w:r w:rsidRPr="00E619A0">
        <w:rPr>
          <w:rFonts w:ascii="Times New Roman" w:hAnsi="Times New Roman" w:cs="Times New Roman"/>
          <w:lang w:val="pl-PL"/>
        </w:rPr>
        <w:t>„Wszystkim obywatelom przysługuje taka sama godność społeczna i wszyscy obywatele są równi wobec prawa.</w:t>
      </w:r>
    </w:p>
    <w:p w:rsidR="00557E4F" w:rsidRPr="00E619A0" w:rsidRDefault="00557E4F" w:rsidP="00557E4F">
      <w:pPr>
        <w:pStyle w:val="ECHRParaQuote"/>
        <w:jc w:val="center"/>
        <w:rPr>
          <w:rFonts w:ascii="Times New Roman" w:hAnsi="Times New Roman" w:cs="Times New Roman"/>
          <w:b/>
          <w:lang w:val="pl-PL"/>
        </w:rPr>
      </w:pPr>
      <w:r w:rsidRPr="00E619A0">
        <w:rPr>
          <w:rFonts w:ascii="Times New Roman" w:hAnsi="Times New Roman" w:cs="Times New Roman"/>
          <w:b/>
          <w:lang w:val="pl-PL"/>
        </w:rPr>
        <w:t>Artykuł 282</w:t>
      </w:r>
    </w:p>
    <w:p w:rsidR="00557E4F" w:rsidRPr="00E619A0" w:rsidRDefault="00557E4F" w:rsidP="00557E4F">
      <w:pPr>
        <w:pStyle w:val="ECHRParaQuote"/>
        <w:jc w:val="center"/>
        <w:rPr>
          <w:rFonts w:ascii="Times New Roman" w:hAnsi="Times New Roman" w:cs="Times New Roman"/>
          <w:b/>
          <w:lang w:val="pl-PL"/>
        </w:rPr>
      </w:pPr>
      <w:r w:rsidRPr="00E619A0">
        <w:rPr>
          <w:rFonts w:ascii="Times New Roman" w:hAnsi="Times New Roman" w:cs="Times New Roman"/>
          <w:b/>
          <w:lang w:val="pl-PL"/>
        </w:rPr>
        <w:t xml:space="preserve">Skutki orzeczenia o </w:t>
      </w:r>
      <w:proofErr w:type="spellStart"/>
      <w:r w:rsidRPr="00E619A0">
        <w:rPr>
          <w:rFonts w:ascii="Times New Roman" w:hAnsi="Times New Roman" w:cs="Times New Roman"/>
          <w:b/>
          <w:lang w:val="pl-PL"/>
        </w:rPr>
        <w:t>niekonstytucjonalności</w:t>
      </w:r>
      <w:proofErr w:type="spellEnd"/>
      <w:r w:rsidRPr="00E619A0">
        <w:rPr>
          <w:rFonts w:ascii="Times New Roman" w:hAnsi="Times New Roman" w:cs="Times New Roman"/>
          <w:b/>
          <w:lang w:val="pl-PL"/>
        </w:rPr>
        <w:t xml:space="preserve"> lub nielegalności</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1.  </w:t>
      </w:r>
      <w:r w:rsidR="00057B65" w:rsidRPr="00E619A0">
        <w:rPr>
          <w:rFonts w:ascii="Times New Roman" w:hAnsi="Times New Roman" w:cs="Times New Roman"/>
          <w:lang w:val="pl-PL"/>
        </w:rPr>
        <w:t xml:space="preserve">Orzeczenie o nie konstytucjonalności lub nielegalności z mocą powszechnie obowiązującą wywołuje skutki od chwili wejścia w życie normy uznanej za </w:t>
      </w:r>
      <w:r w:rsidR="00A52E02" w:rsidRPr="00E619A0">
        <w:rPr>
          <w:rFonts w:ascii="Times New Roman" w:hAnsi="Times New Roman" w:cs="Times New Roman"/>
          <w:lang w:val="pl-PL"/>
        </w:rPr>
        <w:t>niekonstytucyjną</w:t>
      </w:r>
      <w:r w:rsidR="00057B65" w:rsidRPr="00E619A0">
        <w:rPr>
          <w:rFonts w:ascii="Times New Roman" w:hAnsi="Times New Roman" w:cs="Times New Roman"/>
          <w:lang w:val="pl-PL"/>
        </w:rPr>
        <w:t xml:space="preserve"> lub nielegalną i powoduje przywrócenie obowiązywania </w:t>
      </w:r>
      <w:r w:rsidR="005E35AA" w:rsidRPr="00E619A0">
        <w:rPr>
          <w:rFonts w:ascii="Times New Roman" w:hAnsi="Times New Roman" w:cs="Times New Roman"/>
          <w:lang w:val="pl-PL"/>
        </w:rPr>
        <w:t>norm uchylonych</w:t>
      </w:r>
      <w:r w:rsidR="00057B65" w:rsidRPr="00E619A0">
        <w:rPr>
          <w:rFonts w:ascii="Times New Roman" w:hAnsi="Times New Roman" w:cs="Times New Roman"/>
          <w:lang w:val="pl-PL"/>
        </w:rPr>
        <w:t xml:space="preserve"> przez normę stanowiącą przedmiot orzeczenia.</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2.</w:t>
      </w:r>
      <w:r w:rsidR="00057B65" w:rsidRPr="00E619A0">
        <w:rPr>
          <w:rFonts w:ascii="Times New Roman" w:hAnsi="Times New Roman" w:cs="Times New Roman"/>
          <w:lang w:val="pl-PL"/>
        </w:rPr>
        <w:t xml:space="preserve"> W przypadku niekonstytucyjności lub nielegalności wynikającej z naruszenia normy konstytucyjnej lub ustawowej późniejszej, orzeczenie wywołuje skutki dopiero w chwili wejścia w życie tej normy</w:t>
      </w:r>
      <w:r w:rsidRPr="00E619A0">
        <w:rPr>
          <w:rFonts w:ascii="Times New Roman" w:hAnsi="Times New Roman" w:cs="Times New Roman"/>
          <w:lang w:val="pl-PL"/>
        </w:rPr>
        <w:t>.</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4.  </w:t>
      </w:r>
      <w:r w:rsidR="00057B65" w:rsidRPr="00E619A0">
        <w:rPr>
          <w:rFonts w:ascii="Times New Roman" w:hAnsi="Times New Roman" w:cs="Times New Roman"/>
          <w:lang w:val="pl-PL"/>
        </w:rPr>
        <w:t xml:space="preserve">Jeżeli wymaga tego bezpieczeństwo prawne, zasada bezstronności lub interes publiczny o szczególnym znaczeniu, które należy uzasadnić, Trybunał Konstytucyjny </w:t>
      </w:r>
      <w:r w:rsidR="0031556A" w:rsidRPr="00E619A0">
        <w:rPr>
          <w:rFonts w:ascii="Times New Roman" w:hAnsi="Times New Roman" w:cs="Times New Roman"/>
          <w:lang w:val="pl-PL"/>
        </w:rPr>
        <w:t xml:space="preserve">może określić skutki </w:t>
      </w:r>
      <w:r w:rsidR="00A52E02" w:rsidRPr="00E619A0">
        <w:rPr>
          <w:rFonts w:ascii="Times New Roman" w:hAnsi="Times New Roman" w:cs="Times New Roman"/>
          <w:lang w:val="pl-PL"/>
        </w:rPr>
        <w:t>niekonstytucyjności</w:t>
      </w:r>
      <w:r w:rsidR="0031556A" w:rsidRPr="00E619A0">
        <w:rPr>
          <w:rFonts w:ascii="Times New Roman" w:hAnsi="Times New Roman" w:cs="Times New Roman"/>
          <w:lang w:val="pl-PL"/>
        </w:rPr>
        <w:t xml:space="preserve"> lub nielegalności o zasięgu węższym niż </w:t>
      </w:r>
      <w:r w:rsidR="00A52E02" w:rsidRPr="00E619A0">
        <w:rPr>
          <w:rFonts w:ascii="Times New Roman" w:hAnsi="Times New Roman" w:cs="Times New Roman"/>
          <w:lang w:val="pl-PL"/>
        </w:rPr>
        <w:t>przewidziany</w:t>
      </w:r>
      <w:r w:rsidR="0031556A" w:rsidRPr="00E619A0">
        <w:rPr>
          <w:rFonts w:ascii="Times New Roman" w:hAnsi="Times New Roman" w:cs="Times New Roman"/>
          <w:lang w:val="pl-PL"/>
        </w:rPr>
        <w:t xml:space="preserve"> w ust. 1 i 2 ...”</w:t>
      </w:r>
    </w:p>
    <w:p w:rsidR="00557E4F" w:rsidRPr="00E619A0" w:rsidRDefault="00557E4F" w:rsidP="00557E4F">
      <w:pPr>
        <w:pStyle w:val="ECHRPara"/>
        <w:rPr>
          <w:rFonts w:ascii="Times New Roman" w:hAnsi="Times New Roman" w:cs="Times New Roman"/>
          <w:i/>
          <w:lang w:val="pl-PL"/>
        </w:rPr>
      </w:pPr>
      <w:r w:rsidRPr="00E619A0">
        <w:rPr>
          <w:rFonts w:ascii="Times New Roman" w:hAnsi="Times New Roman" w:cs="Times New Roman"/>
          <w:i/>
          <w:lang w:val="pl-PL"/>
        </w:rPr>
        <w:t xml:space="preserve">2.  Ustawa Budżetowa </w:t>
      </w:r>
      <w:r w:rsidR="00912839" w:rsidRPr="00E619A0">
        <w:rPr>
          <w:rFonts w:ascii="Times New Roman" w:hAnsi="Times New Roman" w:cs="Times New Roman"/>
          <w:i/>
          <w:lang w:val="pl-PL"/>
        </w:rPr>
        <w:t>na rok 2012 (ustawa nr 64-B/201</w:t>
      </w:r>
      <w:r w:rsidRPr="00E619A0">
        <w:rPr>
          <w:rFonts w:ascii="Times New Roman" w:hAnsi="Times New Roman" w:cs="Times New Roman"/>
          <w:i/>
          <w:lang w:val="pl-PL"/>
        </w:rPr>
        <w:t>.)</w:t>
      </w:r>
    </w:p>
    <w:p w:rsidR="00557E4F" w:rsidRPr="00E619A0" w:rsidRDefault="00557E4F" w:rsidP="00557E4F">
      <w:pPr>
        <w:pStyle w:val="ECHRParaQuote"/>
        <w:jc w:val="center"/>
        <w:rPr>
          <w:rFonts w:ascii="Times New Roman" w:hAnsi="Times New Roman" w:cs="Times New Roman"/>
          <w:b/>
          <w:lang w:val="pl-PL"/>
        </w:rPr>
      </w:pPr>
      <w:r w:rsidRPr="00E619A0">
        <w:rPr>
          <w:rFonts w:ascii="Times New Roman" w:hAnsi="Times New Roman" w:cs="Times New Roman"/>
          <w:b/>
          <w:lang w:val="pl-PL"/>
        </w:rPr>
        <w:t>Artykuł 25</w:t>
      </w:r>
    </w:p>
    <w:p w:rsidR="00557E4F" w:rsidRPr="00E619A0" w:rsidRDefault="00557E4F" w:rsidP="00557E4F">
      <w:pPr>
        <w:pStyle w:val="ECHRParaQuote"/>
        <w:ind w:firstLine="1"/>
        <w:jc w:val="center"/>
        <w:rPr>
          <w:rFonts w:ascii="Times New Roman" w:hAnsi="Times New Roman" w:cs="Times New Roman"/>
          <w:b/>
          <w:lang w:val="pl-PL"/>
        </w:rPr>
      </w:pPr>
      <w:r w:rsidRPr="00E619A0">
        <w:rPr>
          <w:rFonts w:ascii="Times New Roman" w:hAnsi="Times New Roman" w:cs="Times New Roman"/>
          <w:b/>
          <w:lang w:val="pl-PL"/>
        </w:rPr>
        <w:t xml:space="preserve">Zawieszenie wypłat świadczeń urlopowych i świątecznych bądź równorzędnych na rzecz </w:t>
      </w:r>
      <w:proofErr w:type="spellStart"/>
      <w:r w:rsidRPr="00E619A0">
        <w:rPr>
          <w:rFonts w:ascii="Times New Roman" w:hAnsi="Times New Roman" w:cs="Times New Roman"/>
          <w:b/>
          <w:i/>
          <w:lang w:val="pl-PL"/>
        </w:rPr>
        <w:t>aposentados</w:t>
      </w:r>
      <w:proofErr w:type="spellEnd"/>
      <w:r w:rsidRPr="00E619A0">
        <w:rPr>
          <w:rFonts w:ascii="Times New Roman" w:hAnsi="Times New Roman" w:cs="Times New Roman"/>
          <w:b/>
          <w:lang w:val="pl-PL"/>
        </w:rPr>
        <w:t xml:space="preserve"> i </w:t>
      </w:r>
      <w:proofErr w:type="spellStart"/>
      <w:r w:rsidRPr="00E619A0">
        <w:rPr>
          <w:rFonts w:ascii="Times New Roman" w:hAnsi="Times New Roman" w:cs="Times New Roman"/>
          <w:b/>
          <w:i/>
          <w:lang w:val="pl-PL"/>
        </w:rPr>
        <w:t>reformados</w:t>
      </w:r>
      <w:proofErr w:type="spellEnd"/>
    </w:p>
    <w:p w:rsidR="00557E4F" w:rsidRPr="00E619A0" w:rsidRDefault="00912839" w:rsidP="00557E4F">
      <w:pPr>
        <w:pStyle w:val="ECHRParaQuote"/>
        <w:rPr>
          <w:rFonts w:ascii="Times New Roman" w:hAnsi="Times New Roman" w:cs="Times New Roman"/>
          <w:lang w:val="pl-PL"/>
        </w:rPr>
      </w:pPr>
      <w:r w:rsidRPr="00E619A0">
        <w:rPr>
          <w:rFonts w:ascii="Times New Roman" w:hAnsi="Times New Roman" w:cs="Times New Roman"/>
          <w:lang w:val="pl-PL"/>
        </w:rPr>
        <w:t xml:space="preserve">„1. W okresie obowiązywania </w:t>
      </w:r>
      <w:r w:rsidR="00A52E02" w:rsidRPr="00E619A0">
        <w:rPr>
          <w:rFonts w:ascii="Times New Roman" w:hAnsi="Times New Roman" w:cs="Times New Roman"/>
          <w:lang w:val="pl-PL"/>
        </w:rPr>
        <w:t>PWEF</w:t>
      </w:r>
      <w:r w:rsidR="00557E4F" w:rsidRPr="00E619A0">
        <w:rPr>
          <w:rFonts w:ascii="Times New Roman" w:hAnsi="Times New Roman" w:cs="Times New Roman"/>
          <w:lang w:val="pl-PL"/>
        </w:rPr>
        <w:t xml:space="preserve">, na zasadzie środka nadzwyczajnego mającego na celu przywrócenie stabilności budżetowej, wypłata świadczeń urlopowych i świątecznych bądź innych świadczeń odpowiadających płatnościom z tytułu trzynastego i czternastego miesiąca i płatnych przez CGA, I.P., </w:t>
      </w:r>
      <w:r w:rsidRPr="00E619A0">
        <w:rPr>
          <w:rFonts w:ascii="Times New Roman" w:hAnsi="Times New Roman" w:cs="Times New Roman"/>
          <w:lang w:val="pl-PL"/>
        </w:rPr>
        <w:t xml:space="preserve">Krajowego Centrum </w:t>
      </w:r>
      <w:r w:rsidR="00557E4F" w:rsidRPr="00E619A0">
        <w:rPr>
          <w:rFonts w:ascii="Times New Roman" w:hAnsi="Times New Roman" w:cs="Times New Roman"/>
          <w:lang w:val="pl-PL"/>
        </w:rPr>
        <w:t xml:space="preserve">Emerytur oraz, bezpośrednio lub za pośrednictwem funduszy emerytalnych prowadzonych </w:t>
      </w:r>
      <w:r w:rsidR="00FC7915" w:rsidRPr="00E619A0">
        <w:rPr>
          <w:rFonts w:ascii="Times New Roman" w:hAnsi="Times New Roman" w:cs="Times New Roman"/>
          <w:lang w:val="pl-PL"/>
        </w:rPr>
        <w:t>przez</w:t>
      </w:r>
      <w:r w:rsidR="00557E4F" w:rsidRPr="00E619A0">
        <w:rPr>
          <w:rFonts w:ascii="Times New Roman" w:hAnsi="Times New Roman" w:cs="Times New Roman"/>
          <w:lang w:val="pl-PL"/>
        </w:rPr>
        <w:t xml:space="preserve"> </w:t>
      </w:r>
      <w:r w:rsidR="00FC7915" w:rsidRPr="00E619A0">
        <w:rPr>
          <w:rFonts w:ascii="Times New Roman" w:hAnsi="Times New Roman" w:cs="Times New Roman"/>
          <w:lang w:val="pl-PL"/>
        </w:rPr>
        <w:t>podmioty</w:t>
      </w:r>
      <w:r w:rsidR="00557E4F" w:rsidRPr="00E619A0">
        <w:rPr>
          <w:rFonts w:ascii="Times New Roman" w:hAnsi="Times New Roman" w:cs="Times New Roman"/>
          <w:lang w:val="pl-PL"/>
        </w:rPr>
        <w:t xml:space="preserve"> publiczne, niezależnie od charakteru i stopnia ich niezależności czy autonomii..., na rzecz </w:t>
      </w:r>
      <w:proofErr w:type="spellStart"/>
      <w:r w:rsidR="00557E4F" w:rsidRPr="00E619A0">
        <w:rPr>
          <w:rFonts w:ascii="Times New Roman" w:hAnsi="Times New Roman" w:cs="Times New Roman"/>
          <w:i/>
          <w:lang w:val="pl-PL"/>
        </w:rPr>
        <w:t>aposentados</w:t>
      </w:r>
      <w:proofErr w:type="spellEnd"/>
      <w:r w:rsidR="00557E4F" w:rsidRPr="00E619A0">
        <w:rPr>
          <w:rFonts w:ascii="Times New Roman" w:hAnsi="Times New Roman" w:cs="Times New Roman"/>
          <w:lang w:val="pl-PL"/>
        </w:rPr>
        <w:t>,</w:t>
      </w:r>
      <w:r w:rsidR="00557E4F" w:rsidRPr="00E619A0">
        <w:rPr>
          <w:rFonts w:ascii="Times New Roman" w:hAnsi="Times New Roman" w:cs="Times New Roman"/>
          <w:b/>
          <w:i/>
          <w:lang w:val="pl-PL"/>
        </w:rPr>
        <w:t xml:space="preserve"> </w:t>
      </w:r>
      <w:proofErr w:type="spellStart"/>
      <w:r w:rsidR="00557E4F" w:rsidRPr="00E619A0">
        <w:rPr>
          <w:rFonts w:ascii="Times New Roman" w:hAnsi="Times New Roman" w:cs="Times New Roman"/>
          <w:i/>
          <w:lang w:val="pl-PL"/>
        </w:rPr>
        <w:t>reformados</w:t>
      </w:r>
      <w:proofErr w:type="spellEnd"/>
      <w:r w:rsidR="00557E4F" w:rsidRPr="00E619A0">
        <w:rPr>
          <w:rFonts w:ascii="Times New Roman" w:hAnsi="Times New Roman" w:cs="Times New Roman"/>
          <w:lang w:val="pl-PL"/>
        </w:rPr>
        <w:t xml:space="preserve">, </w:t>
      </w:r>
      <w:r w:rsidR="00A52E02" w:rsidRPr="00E619A0">
        <w:rPr>
          <w:rFonts w:ascii="Times New Roman" w:hAnsi="Times New Roman" w:cs="Times New Roman"/>
          <w:lang w:val="pl-PL"/>
        </w:rPr>
        <w:t>osób</w:t>
      </w:r>
      <w:r w:rsidRPr="00E619A0">
        <w:rPr>
          <w:rFonts w:ascii="Times New Roman" w:hAnsi="Times New Roman" w:cs="Times New Roman"/>
          <w:lang w:val="pl-PL"/>
        </w:rPr>
        <w:t xml:space="preserve"> otrzymujących świadczenia przed</w:t>
      </w:r>
      <w:r w:rsidR="00A52E02" w:rsidRPr="00E619A0">
        <w:rPr>
          <w:rFonts w:ascii="Times New Roman" w:hAnsi="Times New Roman" w:cs="Times New Roman"/>
          <w:lang w:val="pl-PL"/>
        </w:rPr>
        <w:t>emeryt</w:t>
      </w:r>
      <w:r w:rsidRPr="00E619A0">
        <w:rPr>
          <w:rFonts w:ascii="Times New Roman" w:hAnsi="Times New Roman" w:cs="Times New Roman"/>
          <w:lang w:val="pl-PL"/>
        </w:rPr>
        <w:t>alne</w:t>
      </w:r>
      <w:r w:rsidR="00A52E02" w:rsidRPr="00E619A0">
        <w:rPr>
          <w:rFonts w:ascii="Times New Roman" w:hAnsi="Times New Roman" w:cs="Times New Roman"/>
          <w:lang w:val="pl-PL"/>
        </w:rPr>
        <w:t>,</w:t>
      </w:r>
      <w:r w:rsidR="00557E4F" w:rsidRPr="00E619A0">
        <w:rPr>
          <w:rFonts w:ascii="Times New Roman" w:hAnsi="Times New Roman" w:cs="Times New Roman"/>
          <w:lang w:val="pl-PL"/>
        </w:rPr>
        <w:t xml:space="preserve"> itp., których wysokość emerytury przewyższa 1.100, zostaje zawieszona.</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 xml:space="preserve">2.  Emeryci, których wysokość miesięcznej emerytury wynosi lub przewyższa 600 EUR oraz nie przewyższa wartości 1.100 EUR zostaną objęci redukcją świadczeń, o których mowa powyżej, w wysokości kwoty obliczonej w następujący sposób: </w:t>
      </w:r>
      <w:r w:rsidR="00A52E02" w:rsidRPr="00E619A0">
        <w:rPr>
          <w:rFonts w:ascii="Times New Roman" w:hAnsi="Times New Roman" w:cs="Times New Roman"/>
          <w:lang w:val="pl-PL"/>
        </w:rPr>
        <w:t xml:space="preserve">wysokość świadczenia </w:t>
      </w:r>
      <w:r w:rsidRPr="00E619A0">
        <w:rPr>
          <w:rFonts w:ascii="Times New Roman" w:hAnsi="Times New Roman" w:cs="Times New Roman"/>
          <w:lang w:val="pl-PL"/>
        </w:rPr>
        <w:t>= 1.320 – 1,2 x wysokość miesięcznej emerytury.</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6.  Zasady wprowadzone w niniejszym artykule mają charakter bezwarunkowy i nadzwyczajny, mają znaczenie nadrzędne względem wszelkich pozostałych zasad, szczegółowych czy nadzwyczajnych, a także względem układów zbiorowych pracy czy umów o pracę i nie mogą zostać usunięte ani zmodyfikowane...”.</w:t>
      </w:r>
    </w:p>
    <w:p w:rsidR="00557E4F" w:rsidRPr="00E619A0" w:rsidRDefault="00557E4F" w:rsidP="00557E4F">
      <w:pPr>
        <w:pStyle w:val="ECHRPara"/>
        <w:ind w:left="284" w:firstLine="0"/>
        <w:rPr>
          <w:rFonts w:ascii="Times New Roman" w:hAnsi="Times New Roman" w:cs="Times New Roman"/>
          <w:i/>
          <w:lang w:val="pl-PL"/>
        </w:rPr>
      </w:pPr>
      <w:r w:rsidRPr="00E619A0">
        <w:rPr>
          <w:rFonts w:ascii="Times New Roman" w:hAnsi="Times New Roman" w:cs="Times New Roman"/>
          <w:i/>
          <w:lang w:val="pl-PL"/>
        </w:rPr>
        <w:lastRenderedPageBreak/>
        <w:t>3.  Raport Ministra Finansów w sprawie Budżetu Państwa na rok 2012 r.</w:t>
      </w:r>
      <w:r w:rsidRPr="00E619A0">
        <w:rPr>
          <w:rFonts w:ascii="Times New Roman" w:hAnsi="Times New Roman" w:cs="Times New Roman"/>
          <w:lang w:val="pl-PL"/>
        </w:rPr>
        <w:t xml:space="preserve"> – </w:t>
      </w:r>
      <w:r w:rsidRPr="00E619A0">
        <w:rPr>
          <w:rFonts w:ascii="Times New Roman" w:hAnsi="Times New Roman" w:cs="Times New Roman"/>
          <w:i/>
          <w:lang w:val="pl-PL"/>
        </w:rPr>
        <w:t>istotne fragmenty</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„Redukcja deficytu będzie odbywać się przede wszystkim na drodze redukcji wydatków (znacznie powyżej 2/3), natomiast w pozostałej części poprzez wzrost przychodów. Obniżenie zapotrzebowania finansowego sektora publicznego w istotny sposób przyczyni się do zmniejszenia potrzeb finansowych gospodarki jako całości.”</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„Kwota świadczeń (stanowiąca około 33% całości wydatków w 2010 r.) zostanie obniżona o 1,2% wartości PKB. Udział obniżek świadczeń urlopowych i świątecznych wypłacanych na rzecz emerytów wyniesie ... równowartość 0,7% PKB.”</w:t>
      </w:r>
    </w:p>
    <w:p w:rsidR="00557E4F" w:rsidRPr="00E619A0" w:rsidRDefault="00557E4F" w:rsidP="00557E4F">
      <w:pPr>
        <w:pStyle w:val="ECHRParaQuote"/>
        <w:rPr>
          <w:rFonts w:ascii="Times New Roman" w:hAnsi="Times New Roman" w:cs="Times New Roman"/>
          <w:lang w:val="pl-PL"/>
        </w:rPr>
      </w:pPr>
      <w:r w:rsidRPr="00E619A0">
        <w:rPr>
          <w:rFonts w:ascii="Times New Roman" w:hAnsi="Times New Roman" w:cs="Times New Roman"/>
          <w:lang w:val="pl-PL"/>
        </w:rPr>
        <w:t>„W okresie obowiązywania Programu Wsparcia Gospodarczego i Finansowego zawieszona zostaje wypłata świadczeń urlopowych i świątecznych lub dowolnych świadczeń odpowiadających płatnościom z tytułu trzynastego i czternastego miesiąca w przypadku emerytur w wysokości powyżej 1.000 EUR. W odniesieniu do emerytur w wysokości powyżej wynagrodzenia minimalnego (485 EUR), lecz poniżej 1.000 EUR, świadczenia te podlegać będą redukcji według stawek progresywnych....”</w:t>
      </w:r>
    </w:p>
    <w:p w:rsidR="00557E4F" w:rsidRPr="00E619A0" w:rsidRDefault="00E13B4A" w:rsidP="00557E4F">
      <w:pPr>
        <w:pStyle w:val="ECHRPara"/>
        <w:keepNext/>
        <w:keepLines/>
        <w:ind w:left="284" w:firstLine="0"/>
        <w:rPr>
          <w:rFonts w:ascii="Times New Roman" w:hAnsi="Times New Roman" w:cs="Times New Roman"/>
          <w:lang w:val="pl-PL"/>
        </w:rPr>
      </w:pPr>
      <w:r>
        <w:rPr>
          <w:rFonts w:ascii="Times New Roman" w:hAnsi="Times New Roman" w:cs="Times New Roman"/>
          <w:i/>
          <w:lang w:val="pl-PL"/>
        </w:rPr>
        <w:t xml:space="preserve">4. </w:t>
      </w:r>
      <w:r w:rsidR="00557E4F" w:rsidRPr="00E619A0">
        <w:rPr>
          <w:rFonts w:ascii="Times New Roman" w:hAnsi="Times New Roman" w:cs="Times New Roman"/>
          <w:i/>
          <w:lang w:val="pl-PL"/>
        </w:rPr>
        <w:t>Decyzja Trybunału Konstytucyjnego z dnia 5 lipca 2012 r. (nr 353/201)</w:t>
      </w:r>
      <w:r w:rsidR="00557E4F" w:rsidRPr="00E619A0">
        <w:rPr>
          <w:rFonts w:ascii="Times New Roman" w:hAnsi="Times New Roman" w:cs="Times New Roman"/>
          <w:lang w:val="pl-PL"/>
        </w:rPr>
        <w:t xml:space="preserve"> –  </w:t>
      </w:r>
      <w:r w:rsidR="00557E4F" w:rsidRPr="00E619A0">
        <w:rPr>
          <w:rFonts w:ascii="Times New Roman" w:hAnsi="Times New Roman" w:cs="Times New Roman"/>
          <w:i/>
          <w:lang w:val="pl-PL"/>
        </w:rPr>
        <w:t>istotne fragmenty</w:t>
      </w:r>
    </w:p>
    <w:p w:rsidR="00557E4F" w:rsidRPr="00E619A0" w:rsidRDefault="00557E4F" w:rsidP="00557E4F">
      <w:pPr>
        <w:pStyle w:val="ECHRPara"/>
        <w:keepNext/>
        <w:keepLines/>
        <w:rPr>
          <w:rFonts w:ascii="Times New Roman" w:hAnsi="Times New Roman" w:cs="Times New Roman"/>
          <w:lang w:val="pl-PL"/>
        </w:rPr>
      </w:pPr>
    </w:p>
    <w:p w:rsidR="00557E4F" w:rsidRPr="00E619A0" w:rsidRDefault="00557E4F" w:rsidP="00557E4F">
      <w:pPr>
        <w:pStyle w:val="ECHRPara"/>
        <w:keepNext/>
        <w:keepLines/>
        <w:rPr>
          <w:rFonts w:ascii="Times New Roman" w:hAnsi="Times New Roman" w:cs="Times New Roman"/>
          <w:sz w:val="20"/>
          <w:lang w:val="pl-PL"/>
        </w:rPr>
      </w:pPr>
      <w:r w:rsidRPr="00E619A0">
        <w:rPr>
          <w:rFonts w:ascii="Times New Roman" w:hAnsi="Times New Roman" w:cs="Times New Roman"/>
          <w:sz w:val="20"/>
          <w:lang w:val="pl-PL"/>
        </w:rPr>
        <w:t>„... Uzasadnieniem zróżnicowanego traktowania osób otrzymujących wynagrodzenie i emerytury z budżetu Państwa jest skuteczność środków przyjętych w celu osiągnięcia rezultatu [leżącego] w niezaprzeczalnym i istotnym interesie ogólnym.</w:t>
      </w:r>
    </w:p>
    <w:p w:rsidR="00557E4F" w:rsidRPr="00E619A0" w:rsidRDefault="00557E4F" w:rsidP="00557E4F">
      <w:pPr>
        <w:pStyle w:val="ECHRPara"/>
        <w:keepNext/>
        <w:keepLines/>
        <w:rPr>
          <w:rFonts w:ascii="Times New Roman" w:hAnsi="Times New Roman" w:cs="Times New Roman"/>
          <w:sz w:val="20"/>
          <w:lang w:val="pl-PL"/>
        </w:rPr>
      </w:pPr>
      <w:r w:rsidRPr="00E619A0">
        <w:rPr>
          <w:rFonts w:ascii="Times New Roman" w:hAnsi="Times New Roman" w:cs="Times New Roman"/>
          <w:sz w:val="20"/>
          <w:lang w:val="pl-PL"/>
        </w:rPr>
        <w:t>Faktycznie, można dowodzić, że wybrana opcja będzie szczególnie skuteczna z tego względu, że z pewnością przyczyni się do redukcji deficytu w krótkim czasie. Jest zatem zgodna ze strategią działania, której definicja mieści się w zakresie „</w:t>
      </w:r>
      <w:r w:rsidR="00912839" w:rsidRPr="00E619A0">
        <w:rPr>
          <w:rFonts w:ascii="Times New Roman" w:hAnsi="Times New Roman" w:cs="Times New Roman"/>
          <w:sz w:val="20"/>
          <w:lang w:val="pl-PL"/>
        </w:rPr>
        <w:t>prerogatywy swobodnego kształtowania polityki”</w:t>
      </w:r>
      <w:r w:rsidRPr="00E619A0">
        <w:rPr>
          <w:rFonts w:ascii="Times New Roman" w:hAnsi="Times New Roman" w:cs="Times New Roman"/>
          <w:sz w:val="20"/>
          <w:lang w:val="pl-PL"/>
        </w:rPr>
        <w:t xml:space="preserve"> ustawodawcy [</w:t>
      </w:r>
      <w:proofErr w:type="spellStart"/>
      <w:r w:rsidRPr="00E619A0">
        <w:rPr>
          <w:rFonts w:ascii="Times New Roman" w:hAnsi="Times New Roman" w:cs="Times New Roman"/>
          <w:i/>
          <w:sz w:val="20"/>
          <w:lang w:val="pl-PL"/>
        </w:rPr>
        <w:t>livre</w:t>
      </w:r>
      <w:proofErr w:type="spellEnd"/>
      <w:r w:rsidRPr="00E619A0">
        <w:rPr>
          <w:rFonts w:ascii="Times New Roman" w:hAnsi="Times New Roman" w:cs="Times New Roman"/>
          <w:i/>
          <w:sz w:val="20"/>
          <w:lang w:val="pl-PL"/>
        </w:rPr>
        <w:t xml:space="preserve"> </w:t>
      </w:r>
      <w:proofErr w:type="spellStart"/>
      <w:r w:rsidRPr="00E619A0">
        <w:rPr>
          <w:rFonts w:ascii="Times New Roman" w:hAnsi="Times New Roman" w:cs="Times New Roman"/>
          <w:i/>
          <w:sz w:val="20"/>
          <w:lang w:val="pl-PL"/>
        </w:rPr>
        <w:t>conformação</w:t>
      </w:r>
      <w:proofErr w:type="spellEnd"/>
      <w:r w:rsidRPr="00E619A0">
        <w:rPr>
          <w:rFonts w:ascii="Times New Roman" w:hAnsi="Times New Roman" w:cs="Times New Roman"/>
          <w:i/>
          <w:sz w:val="20"/>
          <w:lang w:val="pl-PL"/>
        </w:rPr>
        <w:t xml:space="preserve"> </w:t>
      </w:r>
      <w:proofErr w:type="spellStart"/>
      <w:r w:rsidRPr="00E619A0">
        <w:rPr>
          <w:rFonts w:ascii="Times New Roman" w:hAnsi="Times New Roman" w:cs="Times New Roman"/>
          <w:i/>
          <w:sz w:val="20"/>
          <w:lang w:val="pl-PL"/>
        </w:rPr>
        <w:t>política</w:t>
      </w:r>
      <w:proofErr w:type="spellEnd"/>
      <w:r w:rsidRPr="00E619A0">
        <w:rPr>
          <w:rFonts w:ascii="Times New Roman" w:hAnsi="Times New Roman" w:cs="Times New Roman"/>
          <w:i/>
          <w:sz w:val="20"/>
          <w:lang w:val="pl-PL"/>
        </w:rPr>
        <w:t xml:space="preserve"> do </w:t>
      </w:r>
      <w:proofErr w:type="spellStart"/>
      <w:r w:rsidRPr="00E619A0">
        <w:rPr>
          <w:rFonts w:ascii="Times New Roman" w:hAnsi="Times New Roman" w:cs="Times New Roman"/>
          <w:i/>
          <w:sz w:val="20"/>
          <w:lang w:val="pl-PL"/>
        </w:rPr>
        <w:t>legislador</w:t>
      </w:r>
      <w:proofErr w:type="spellEnd"/>
      <w:r w:rsidRPr="00E619A0">
        <w:rPr>
          <w:rFonts w:ascii="Times New Roman" w:hAnsi="Times New Roman" w:cs="Times New Roman"/>
          <w:sz w:val="20"/>
          <w:lang w:val="pl-PL"/>
        </w:rPr>
        <w:t>].</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Można zatem uznać, że pewien poziom dyferencjacji pomiędzy osobami otrzymującymi pieniądze ze środków publicznych a osobami działającymi w sektorze prywatnym jest z pewnością dopuszczalny, a redukcja przychodów dotycząca wyłącznie pierwszej grupy nie jest w nieuzasadniony sposób dyskryminująca w kontekście bieżącej sytuacji gospodarczej i finansowej.</w:t>
      </w:r>
    </w:p>
    <w:p w:rsidR="00557E4F" w:rsidRPr="00E619A0" w:rsidRDefault="00557E4F" w:rsidP="00557E4F">
      <w:pPr>
        <w:pStyle w:val="ECHRPara"/>
        <w:rPr>
          <w:rFonts w:ascii="Times New Roman" w:hAnsi="Times New Roman" w:cs="Times New Roman"/>
          <w:sz w:val="20"/>
          <w:highlight w:val="yellow"/>
          <w:lang w:val="pl-PL"/>
        </w:rPr>
      </w:pPr>
      <w:r w:rsidRPr="00E619A0">
        <w:rPr>
          <w:rFonts w:ascii="Times New Roman" w:hAnsi="Times New Roman" w:cs="Times New Roman"/>
          <w:sz w:val="20"/>
          <w:lang w:val="pl-PL"/>
        </w:rPr>
        <w:t xml:space="preserve">Jednakże oczywistym jest, że swoboda ustawodawcy w zakresie </w:t>
      </w:r>
      <w:r w:rsidR="0031556A" w:rsidRPr="00E619A0">
        <w:rPr>
          <w:rFonts w:ascii="Times New Roman" w:hAnsi="Times New Roman" w:cs="Times New Roman"/>
          <w:sz w:val="20"/>
          <w:lang w:val="pl-PL"/>
        </w:rPr>
        <w:t>redukcji</w:t>
      </w:r>
      <w:r w:rsidRPr="00E619A0">
        <w:rPr>
          <w:rFonts w:ascii="Times New Roman" w:hAnsi="Times New Roman" w:cs="Times New Roman"/>
          <w:sz w:val="20"/>
          <w:lang w:val="pl-PL"/>
        </w:rPr>
        <w:t xml:space="preserve"> wynagrodzeń i emerytur osób otrzymujących pieniądze ze środków publicznych z zamiarem osiągnięcia równowagi budżetowej, nawet w kontekście poważnego kryzysu gospodarczego i finansowego, nie może być nieograniczona. Różnica stopnia wyrzeczeń nałożonych na osoby, względem których środek ten został zastosowany, a pozostał</w:t>
      </w:r>
      <w:r w:rsidR="0031556A" w:rsidRPr="00E619A0">
        <w:rPr>
          <w:rFonts w:ascii="Times New Roman" w:hAnsi="Times New Roman" w:cs="Times New Roman"/>
          <w:sz w:val="20"/>
          <w:lang w:val="pl-PL"/>
        </w:rPr>
        <w:t>e</w:t>
      </w:r>
      <w:r w:rsidRPr="00E619A0">
        <w:rPr>
          <w:rFonts w:ascii="Times New Roman" w:hAnsi="Times New Roman" w:cs="Times New Roman"/>
          <w:sz w:val="20"/>
          <w:lang w:val="pl-PL"/>
        </w:rPr>
        <w:t xml:space="preserve"> os</w:t>
      </w:r>
      <w:r w:rsidR="0031556A" w:rsidRPr="00E619A0">
        <w:rPr>
          <w:rFonts w:ascii="Times New Roman" w:hAnsi="Times New Roman" w:cs="Times New Roman"/>
          <w:sz w:val="20"/>
          <w:lang w:val="pl-PL"/>
        </w:rPr>
        <w:t>oby</w:t>
      </w:r>
      <w:r w:rsidRPr="00E619A0">
        <w:rPr>
          <w:rFonts w:ascii="Times New Roman" w:hAnsi="Times New Roman" w:cs="Times New Roman"/>
          <w:sz w:val="20"/>
          <w:lang w:val="pl-PL"/>
        </w:rPr>
        <w:t>, musi podlegać ograniczeniom.</w:t>
      </w:r>
    </w:p>
    <w:p w:rsidR="00557E4F" w:rsidRPr="00E619A0" w:rsidRDefault="0031556A"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Istotnie</w:t>
      </w:r>
      <w:r w:rsidR="00557E4F" w:rsidRPr="00E619A0">
        <w:rPr>
          <w:rFonts w:ascii="Times New Roman" w:hAnsi="Times New Roman" w:cs="Times New Roman"/>
          <w:sz w:val="20"/>
          <w:lang w:val="pl-PL"/>
        </w:rPr>
        <w:t>, z prawnego punktu widzenia, równość traktowania należy zawsze interpretować jako</w:t>
      </w:r>
      <w:r w:rsidR="00F90EFA" w:rsidRPr="00E619A0">
        <w:rPr>
          <w:rFonts w:ascii="Times New Roman" w:hAnsi="Times New Roman" w:cs="Times New Roman"/>
          <w:sz w:val="20"/>
          <w:lang w:val="pl-PL"/>
        </w:rPr>
        <w:t xml:space="preserve"> równość proporcjonalną</w:t>
      </w:r>
      <w:r w:rsidRPr="00E619A0">
        <w:rPr>
          <w:rFonts w:ascii="Times New Roman" w:hAnsi="Times New Roman" w:cs="Times New Roman"/>
          <w:sz w:val="20"/>
          <w:lang w:val="pl-PL"/>
        </w:rPr>
        <w:t>. Zatem</w:t>
      </w:r>
      <w:r w:rsidR="00557E4F" w:rsidRPr="00E619A0">
        <w:rPr>
          <w:rFonts w:ascii="Times New Roman" w:hAnsi="Times New Roman" w:cs="Times New Roman"/>
          <w:sz w:val="20"/>
          <w:lang w:val="pl-PL"/>
        </w:rPr>
        <w:t xml:space="preserve"> brak równości uzasadniany różnicą sytuacji musi zostać zbadany z punktu widzenia proporcjonalności. Zakres nierównego traktowania musi być proporcjonalny do przyczyn uzasadniających takie traktowanie i nie może być nadmierny.</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Jak stwierdzono w orzeczeniach niniejszego Trybunału nr 39/88 i 96/2005 r.</w:t>
      </w:r>
      <w:r w:rsidR="009158F9" w:rsidRPr="00E619A0">
        <w:rPr>
          <w:rFonts w:ascii="Times New Roman" w:hAnsi="Times New Roman" w:cs="Times New Roman"/>
          <w:sz w:val="20"/>
          <w:lang w:val="pl-PL"/>
        </w:rPr>
        <w:t>:</w:t>
      </w:r>
      <w:r w:rsidRPr="00E619A0">
        <w:rPr>
          <w:rFonts w:ascii="Times New Roman" w:hAnsi="Times New Roman" w:cs="Times New Roman"/>
          <w:sz w:val="20"/>
          <w:lang w:val="pl-PL"/>
        </w:rPr>
        <w:t xml:space="preserve"> równość traktowania nie oznacza jednakże egalitarności, a raczej </w:t>
      </w:r>
      <w:r w:rsidR="00F90EFA" w:rsidRPr="00E619A0">
        <w:rPr>
          <w:rFonts w:ascii="Times New Roman" w:hAnsi="Times New Roman" w:cs="Times New Roman"/>
          <w:sz w:val="20"/>
          <w:lang w:val="pl-PL"/>
        </w:rPr>
        <w:t xml:space="preserve">proporcjonalną </w:t>
      </w:r>
      <w:r w:rsidR="005E35AA" w:rsidRPr="00E619A0">
        <w:rPr>
          <w:rFonts w:ascii="Times New Roman" w:hAnsi="Times New Roman" w:cs="Times New Roman"/>
          <w:sz w:val="20"/>
          <w:lang w:val="pl-PL"/>
        </w:rPr>
        <w:t>równość traktowania</w:t>
      </w:r>
      <w:r w:rsidR="00F90EFA" w:rsidRPr="00E619A0">
        <w:rPr>
          <w:rFonts w:ascii="Times New Roman" w:hAnsi="Times New Roman" w:cs="Times New Roman"/>
          <w:sz w:val="20"/>
          <w:lang w:val="pl-PL"/>
        </w:rPr>
        <w:t>.</w:t>
      </w:r>
      <w:r w:rsidRPr="00E619A0">
        <w:rPr>
          <w:rFonts w:ascii="Times New Roman" w:hAnsi="Times New Roman" w:cs="Times New Roman"/>
          <w:sz w:val="20"/>
          <w:lang w:val="pl-PL"/>
        </w:rPr>
        <w:t xml:space="preserve"> Zgodnie z ta zasadą sytuacje zasadniczo podobne powinny być traktowane w ten sam sposób, natomiast sytuacje zasadniczo różne – w sposób </w:t>
      </w:r>
      <w:r w:rsidR="00FC7915" w:rsidRPr="00E619A0">
        <w:rPr>
          <w:rFonts w:ascii="Times New Roman" w:hAnsi="Times New Roman" w:cs="Times New Roman"/>
          <w:sz w:val="20"/>
          <w:lang w:val="pl-PL"/>
        </w:rPr>
        <w:t>różny</w:t>
      </w:r>
      <w:r w:rsidRPr="00E619A0">
        <w:rPr>
          <w:rFonts w:ascii="Times New Roman" w:hAnsi="Times New Roman" w:cs="Times New Roman"/>
          <w:sz w:val="20"/>
          <w:lang w:val="pl-PL"/>
        </w:rPr>
        <w:t xml:space="preserve">, lecz </w:t>
      </w:r>
      <w:r w:rsidR="00FC7915" w:rsidRPr="00E619A0">
        <w:rPr>
          <w:rFonts w:ascii="Times New Roman" w:hAnsi="Times New Roman" w:cs="Times New Roman"/>
          <w:sz w:val="20"/>
          <w:lang w:val="pl-PL"/>
        </w:rPr>
        <w:t>proporcjonalny</w:t>
      </w:r>
      <w:r w:rsidRPr="00E619A0">
        <w:rPr>
          <w:rFonts w:ascii="Times New Roman" w:hAnsi="Times New Roman" w:cs="Times New Roman"/>
          <w:sz w:val="20"/>
          <w:lang w:val="pl-PL"/>
        </w:rPr>
        <w:t>.</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lastRenderedPageBreak/>
        <w:t>W zw</w:t>
      </w:r>
      <w:r w:rsidR="009158F9" w:rsidRPr="00E619A0">
        <w:rPr>
          <w:rFonts w:ascii="Times New Roman" w:hAnsi="Times New Roman" w:cs="Times New Roman"/>
          <w:sz w:val="20"/>
          <w:lang w:val="pl-PL"/>
        </w:rPr>
        <w:t>iązku z powyższym musimy ocenić</w:t>
      </w:r>
      <w:r w:rsidRPr="00E619A0">
        <w:rPr>
          <w:rFonts w:ascii="Times New Roman" w:hAnsi="Times New Roman" w:cs="Times New Roman"/>
          <w:sz w:val="20"/>
          <w:lang w:val="pl-PL"/>
        </w:rPr>
        <w:t xml:space="preserve"> na podstawie </w:t>
      </w:r>
      <w:r w:rsidR="0031556A" w:rsidRPr="00E619A0">
        <w:rPr>
          <w:rFonts w:ascii="Times New Roman" w:hAnsi="Times New Roman" w:cs="Times New Roman"/>
          <w:sz w:val="20"/>
          <w:lang w:val="pl-PL"/>
        </w:rPr>
        <w:t xml:space="preserve">kryterium </w:t>
      </w:r>
      <w:r w:rsidR="00F90EFA" w:rsidRPr="00E619A0">
        <w:rPr>
          <w:rFonts w:ascii="Times New Roman" w:hAnsi="Times New Roman" w:cs="Times New Roman"/>
          <w:sz w:val="20"/>
          <w:lang w:val="pl-PL"/>
        </w:rPr>
        <w:t>równości proporcjonalnej</w:t>
      </w:r>
      <w:r w:rsidRPr="00E619A0">
        <w:rPr>
          <w:rFonts w:ascii="Times New Roman" w:hAnsi="Times New Roman" w:cs="Times New Roman"/>
          <w:sz w:val="20"/>
          <w:lang w:val="pl-PL"/>
        </w:rPr>
        <w:t>, czy kwoty, których płatność została zawieszona na mocy art. 21 i art. 25 ustawy nr 64-B/2011 z dnia 30 grudnia (Ustawy Budżetowej na rok 2012 ), nie skutkują „oczywiście” [</w:t>
      </w:r>
      <w:proofErr w:type="spellStart"/>
      <w:r w:rsidRPr="00E619A0">
        <w:rPr>
          <w:rFonts w:ascii="Times New Roman" w:hAnsi="Times New Roman" w:cs="Times New Roman"/>
          <w:i/>
          <w:sz w:val="20"/>
          <w:lang w:val="pl-PL"/>
        </w:rPr>
        <w:t>num</w:t>
      </w:r>
      <w:proofErr w:type="spellEnd"/>
      <w:r w:rsidRPr="00E619A0">
        <w:rPr>
          <w:rFonts w:ascii="Times New Roman" w:hAnsi="Times New Roman" w:cs="Times New Roman"/>
          <w:i/>
          <w:sz w:val="20"/>
          <w:lang w:val="pl-PL"/>
        </w:rPr>
        <w:t xml:space="preserve"> </w:t>
      </w:r>
      <w:r w:rsidR="009158F9" w:rsidRPr="00E619A0">
        <w:rPr>
          <w:rFonts w:ascii="Times New Roman" w:hAnsi="Times New Roman" w:cs="Times New Roman"/>
          <w:i/>
          <w:sz w:val="20"/>
          <w:lang w:val="pl-PL"/>
        </w:rPr>
        <w:t>„</w:t>
      </w:r>
      <w:proofErr w:type="spellStart"/>
      <w:r w:rsidRPr="00E619A0">
        <w:rPr>
          <w:rFonts w:ascii="Times New Roman" w:hAnsi="Times New Roman" w:cs="Times New Roman"/>
          <w:i/>
          <w:sz w:val="20"/>
          <w:lang w:val="pl-PL"/>
        </w:rPr>
        <w:t>critério</w:t>
      </w:r>
      <w:proofErr w:type="spellEnd"/>
      <w:r w:rsidRPr="00E619A0">
        <w:rPr>
          <w:rFonts w:ascii="Times New Roman" w:hAnsi="Times New Roman" w:cs="Times New Roman"/>
          <w:i/>
          <w:sz w:val="20"/>
          <w:lang w:val="pl-PL"/>
        </w:rPr>
        <w:t xml:space="preserve"> de </w:t>
      </w:r>
      <w:proofErr w:type="spellStart"/>
      <w:r w:rsidRPr="00E619A0">
        <w:rPr>
          <w:rFonts w:ascii="Times New Roman" w:hAnsi="Times New Roman" w:cs="Times New Roman"/>
          <w:i/>
          <w:sz w:val="20"/>
          <w:lang w:val="pl-PL"/>
        </w:rPr>
        <w:t>evidência</w:t>
      </w:r>
      <w:proofErr w:type="spellEnd"/>
      <w:r w:rsidRPr="00E619A0">
        <w:rPr>
          <w:rFonts w:ascii="Times New Roman" w:hAnsi="Times New Roman" w:cs="Times New Roman"/>
          <w:i/>
          <w:sz w:val="20"/>
          <w:lang w:val="pl-PL"/>
        </w:rPr>
        <w:t>”</w:t>
      </w:r>
      <w:r w:rsidRPr="00E619A0">
        <w:rPr>
          <w:rFonts w:ascii="Times New Roman" w:hAnsi="Times New Roman" w:cs="Times New Roman"/>
          <w:sz w:val="20"/>
          <w:lang w:val="pl-PL"/>
        </w:rPr>
        <w:t xml:space="preserve">] nadmiernym poziomem zróżnicowania w porównaniu do przyczyn </w:t>
      </w:r>
      <w:r w:rsidR="00FC7915" w:rsidRPr="00E619A0">
        <w:rPr>
          <w:rFonts w:ascii="Times New Roman" w:hAnsi="Times New Roman" w:cs="Times New Roman"/>
          <w:sz w:val="20"/>
          <w:lang w:val="pl-PL"/>
        </w:rPr>
        <w:t>uzasadniających</w:t>
      </w:r>
      <w:r w:rsidRPr="00E619A0">
        <w:rPr>
          <w:rFonts w:ascii="Times New Roman" w:hAnsi="Times New Roman" w:cs="Times New Roman"/>
          <w:sz w:val="20"/>
          <w:lang w:val="pl-PL"/>
        </w:rPr>
        <w:t xml:space="preserve"> redukcję przychodów nałożoną jedynie na obywateli otrzymujących pieniądze ze środków publicznych.</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W tym celu należy koniecznie wskazać i ocenić wyrzeczenia, jakie przepisy będące przedmiotem oceny nakładają na osoby otrzymujące wynagrodzenie i emerytury ze środków publicznych.</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Na podstawie tychże przepisów roczne przychody pracowników i emerytów sektora publicznego otrzymujących płatności w kwotach brutto od 600 EUR do 1.000 EUR ulegną stopniowej redukcji o wartości do 14,3%. W sytuacji, w której brak wystarczających przychodów już stanowi przyczynę trudności, każde dalsze obniżenie przychodów tego rodzaju, które progresywnie osiągnąć ma wartość 14,3% rocznej wartości przychodów [osób, których to dotyczy], stanowi obciążenie</w:t>
      </w:r>
      <w:r w:rsidR="00C50C24" w:rsidRPr="00E619A0">
        <w:rPr>
          <w:rFonts w:ascii="Times New Roman" w:hAnsi="Times New Roman" w:cs="Times New Roman"/>
          <w:sz w:val="20"/>
          <w:lang w:val="pl-PL"/>
        </w:rPr>
        <w:t xml:space="preserve"> nadmierne</w:t>
      </w:r>
      <w:r w:rsidRPr="00E619A0">
        <w:rPr>
          <w:rFonts w:ascii="Times New Roman" w:hAnsi="Times New Roman" w:cs="Times New Roman"/>
          <w:sz w:val="20"/>
          <w:lang w:val="pl-PL"/>
        </w:rPr>
        <w:t>.</w:t>
      </w:r>
    </w:p>
    <w:p w:rsidR="00557E4F" w:rsidRPr="00E619A0" w:rsidRDefault="00FC7915" w:rsidP="00557E4F">
      <w:pPr>
        <w:pStyle w:val="ECHRPara"/>
        <w:rPr>
          <w:rFonts w:ascii="Times New Roman" w:hAnsi="Times New Roman" w:cs="Times New Roman"/>
          <w:sz w:val="20"/>
          <w:highlight w:val="yellow"/>
          <w:lang w:val="pl-PL"/>
        </w:rPr>
      </w:pPr>
      <w:r w:rsidRPr="00E619A0">
        <w:rPr>
          <w:rFonts w:ascii="Times New Roman" w:hAnsi="Times New Roman" w:cs="Times New Roman"/>
          <w:sz w:val="20"/>
          <w:lang w:val="pl-PL"/>
        </w:rPr>
        <w:t>Redukcja rocznych przychodów pracowników i emerytów sektora publicznego otrzymujących płatności brutto w wysokości od</w:t>
      </w:r>
      <w:r w:rsidR="00557E4F" w:rsidRPr="00E619A0">
        <w:rPr>
          <w:rFonts w:ascii="Times New Roman" w:hAnsi="Times New Roman" w:cs="Times New Roman"/>
          <w:sz w:val="20"/>
          <w:lang w:val="pl-PL"/>
        </w:rPr>
        <w:t xml:space="preserve"> 1</w:t>
      </w:r>
      <w:r w:rsidRPr="00E619A0">
        <w:rPr>
          <w:rFonts w:ascii="Times New Roman" w:hAnsi="Times New Roman" w:cs="Times New Roman"/>
          <w:sz w:val="20"/>
          <w:lang w:val="pl-PL"/>
        </w:rPr>
        <w:t>.</w:t>
      </w:r>
      <w:r w:rsidR="00557E4F" w:rsidRPr="00E619A0">
        <w:rPr>
          <w:rFonts w:ascii="Times New Roman" w:hAnsi="Times New Roman" w:cs="Times New Roman"/>
          <w:sz w:val="20"/>
          <w:lang w:val="pl-PL"/>
        </w:rPr>
        <w:t xml:space="preserve">100 </w:t>
      </w:r>
      <w:r w:rsidRPr="00E619A0">
        <w:rPr>
          <w:rFonts w:ascii="Times New Roman" w:hAnsi="Times New Roman" w:cs="Times New Roman"/>
          <w:sz w:val="20"/>
          <w:lang w:val="pl-PL"/>
        </w:rPr>
        <w:t xml:space="preserve">EUR do </w:t>
      </w:r>
      <w:r w:rsidR="00557E4F" w:rsidRPr="00E619A0">
        <w:rPr>
          <w:rFonts w:ascii="Times New Roman" w:hAnsi="Times New Roman" w:cs="Times New Roman"/>
          <w:sz w:val="20"/>
          <w:lang w:val="pl-PL"/>
        </w:rPr>
        <w:t>1</w:t>
      </w:r>
      <w:r w:rsidRPr="00E619A0">
        <w:rPr>
          <w:rFonts w:ascii="Times New Roman" w:hAnsi="Times New Roman" w:cs="Times New Roman"/>
          <w:sz w:val="20"/>
          <w:lang w:val="pl-PL"/>
        </w:rPr>
        <w:t>.</w:t>
      </w:r>
      <w:r w:rsidR="00557E4F" w:rsidRPr="00E619A0">
        <w:rPr>
          <w:rFonts w:ascii="Times New Roman" w:hAnsi="Times New Roman" w:cs="Times New Roman"/>
          <w:sz w:val="20"/>
          <w:lang w:val="pl-PL"/>
        </w:rPr>
        <w:t xml:space="preserve">500 </w:t>
      </w:r>
      <w:r w:rsidRPr="00E619A0">
        <w:rPr>
          <w:rFonts w:ascii="Times New Roman" w:hAnsi="Times New Roman" w:cs="Times New Roman"/>
          <w:sz w:val="20"/>
          <w:lang w:val="pl-PL"/>
        </w:rPr>
        <w:t xml:space="preserve">EUR </w:t>
      </w:r>
      <w:r w:rsidR="00557E4F" w:rsidRPr="00E619A0">
        <w:rPr>
          <w:rFonts w:ascii="Times New Roman" w:hAnsi="Times New Roman" w:cs="Times New Roman"/>
          <w:sz w:val="20"/>
          <w:lang w:val="pl-PL"/>
        </w:rPr>
        <w:t>w</w:t>
      </w:r>
      <w:r w:rsidRPr="00E619A0">
        <w:rPr>
          <w:rFonts w:ascii="Times New Roman" w:hAnsi="Times New Roman" w:cs="Times New Roman"/>
          <w:sz w:val="20"/>
          <w:lang w:val="pl-PL"/>
        </w:rPr>
        <w:t>yniesie</w:t>
      </w:r>
      <w:r w:rsidR="00557E4F" w:rsidRPr="00E619A0">
        <w:rPr>
          <w:rFonts w:ascii="Times New Roman" w:hAnsi="Times New Roman" w:cs="Times New Roman"/>
          <w:sz w:val="20"/>
          <w:lang w:val="pl-PL"/>
        </w:rPr>
        <w:t xml:space="preserve"> 14</w:t>
      </w:r>
      <w:r w:rsidRPr="00E619A0">
        <w:rPr>
          <w:rFonts w:ascii="Times New Roman" w:hAnsi="Times New Roman" w:cs="Times New Roman"/>
          <w:sz w:val="20"/>
          <w:lang w:val="pl-PL"/>
        </w:rPr>
        <w:t>,</w:t>
      </w:r>
      <w:r w:rsidR="00557E4F" w:rsidRPr="00E619A0">
        <w:rPr>
          <w:rFonts w:ascii="Times New Roman" w:hAnsi="Times New Roman" w:cs="Times New Roman"/>
          <w:sz w:val="20"/>
          <w:lang w:val="pl-PL"/>
        </w:rPr>
        <w:t>3%</w:t>
      </w:r>
      <w:r w:rsidRPr="00E619A0">
        <w:rPr>
          <w:rFonts w:ascii="Times New Roman" w:hAnsi="Times New Roman" w:cs="Times New Roman"/>
          <w:sz w:val="20"/>
          <w:lang w:val="pl-PL"/>
        </w:rPr>
        <w:t>, co w tym kontekście stanowi znaczne obniżenie wysokości przychodów w porównaniu</w:t>
      </w:r>
      <w:r w:rsidR="00557E4F" w:rsidRPr="00E619A0">
        <w:rPr>
          <w:rFonts w:ascii="Times New Roman" w:hAnsi="Times New Roman" w:cs="Times New Roman"/>
          <w:sz w:val="20"/>
          <w:lang w:val="pl-PL"/>
        </w:rPr>
        <w:t xml:space="preserve"> </w:t>
      </w:r>
      <w:r w:rsidRPr="00E619A0">
        <w:rPr>
          <w:rFonts w:ascii="Times New Roman" w:hAnsi="Times New Roman" w:cs="Times New Roman"/>
          <w:sz w:val="20"/>
          <w:lang w:val="pl-PL"/>
        </w:rPr>
        <w:t>do osób otrzymujących takie przychody</w:t>
      </w:r>
      <w:r w:rsidR="00C50C24" w:rsidRPr="00E619A0">
        <w:rPr>
          <w:rFonts w:ascii="Times New Roman" w:hAnsi="Times New Roman" w:cs="Times New Roman"/>
          <w:sz w:val="20"/>
          <w:lang w:val="pl-PL"/>
        </w:rPr>
        <w:t xml:space="preserve"> same lub wyższe</w:t>
      </w:r>
      <w:r w:rsidRPr="00E619A0">
        <w:rPr>
          <w:rFonts w:ascii="Times New Roman" w:hAnsi="Times New Roman" w:cs="Times New Roman"/>
          <w:sz w:val="20"/>
          <w:lang w:val="pl-PL"/>
        </w:rPr>
        <w:t>, lecz nieobjęt</w:t>
      </w:r>
      <w:r w:rsidR="00C50C24" w:rsidRPr="00E619A0">
        <w:rPr>
          <w:rFonts w:ascii="Times New Roman" w:hAnsi="Times New Roman" w:cs="Times New Roman"/>
          <w:sz w:val="20"/>
          <w:lang w:val="pl-PL"/>
        </w:rPr>
        <w:t>e</w:t>
      </w:r>
      <w:r w:rsidRPr="00E619A0">
        <w:rPr>
          <w:rFonts w:ascii="Times New Roman" w:hAnsi="Times New Roman" w:cs="Times New Roman"/>
          <w:sz w:val="20"/>
          <w:lang w:val="pl-PL"/>
        </w:rPr>
        <w:t xml:space="preserve"> redukcją</w:t>
      </w:r>
      <w:r w:rsidR="00557E4F" w:rsidRPr="00E619A0">
        <w:rPr>
          <w:rFonts w:ascii="Times New Roman" w:hAnsi="Times New Roman" w:cs="Times New Roman"/>
          <w:sz w:val="20"/>
          <w:lang w:val="pl-PL"/>
        </w:rPr>
        <w:t xml:space="preserve">. </w:t>
      </w:r>
      <w:r w:rsidR="00C21218" w:rsidRPr="00E619A0">
        <w:rPr>
          <w:rFonts w:ascii="Times New Roman" w:hAnsi="Times New Roman" w:cs="Times New Roman"/>
          <w:sz w:val="20"/>
          <w:lang w:val="pl-PL"/>
        </w:rPr>
        <w:t>W odniesieniu do emerytur w wyższych kwotach należy podkreślić, że w przypadku emerytur w wysokości dwunastokrotności minimum socjalnego redukcja wyniesie 25% k</w:t>
      </w:r>
      <w:r w:rsidR="00C50C24" w:rsidRPr="00E619A0">
        <w:rPr>
          <w:rFonts w:ascii="Times New Roman" w:hAnsi="Times New Roman" w:cs="Times New Roman"/>
          <w:sz w:val="20"/>
          <w:lang w:val="pl-PL"/>
        </w:rPr>
        <w:t>w</w:t>
      </w:r>
      <w:r w:rsidR="00C21218" w:rsidRPr="00E619A0">
        <w:rPr>
          <w:rFonts w:ascii="Times New Roman" w:hAnsi="Times New Roman" w:cs="Times New Roman"/>
          <w:sz w:val="20"/>
          <w:lang w:val="pl-PL"/>
        </w:rPr>
        <w:t xml:space="preserve">oty nadwyżki, zaś w przypadku emerytur w wysokości osiemnastokrotności minimum socjalnego - </w:t>
      </w:r>
      <w:r w:rsidR="00557E4F" w:rsidRPr="00E619A0">
        <w:rPr>
          <w:rFonts w:ascii="Times New Roman" w:hAnsi="Times New Roman" w:cs="Times New Roman"/>
          <w:sz w:val="20"/>
          <w:lang w:val="pl-PL"/>
        </w:rPr>
        <w:t>50%</w:t>
      </w:r>
      <w:r w:rsidR="00C21218" w:rsidRPr="00E619A0">
        <w:rPr>
          <w:rFonts w:ascii="Times New Roman" w:hAnsi="Times New Roman" w:cs="Times New Roman"/>
          <w:sz w:val="20"/>
          <w:lang w:val="pl-PL"/>
        </w:rPr>
        <w:t xml:space="preserve"> nadwyżki</w:t>
      </w:r>
      <w:r w:rsidR="00557E4F" w:rsidRPr="00E619A0">
        <w:rPr>
          <w:rFonts w:ascii="Times New Roman" w:hAnsi="Times New Roman" w:cs="Times New Roman"/>
          <w:sz w:val="20"/>
          <w:lang w:val="pl-PL"/>
        </w:rPr>
        <w:t>.</w:t>
      </w:r>
    </w:p>
    <w:p w:rsidR="00557E4F" w:rsidRPr="00E619A0" w:rsidRDefault="00557E4F" w:rsidP="00557E4F">
      <w:pPr>
        <w:pStyle w:val="ECHRPara"/>
        <w:rPr>
          <w:rFonts w:ascii="Times New Roman" w:hAnsi="Times New Roman" w:cs="Times New Roman"/>
          <w:sz w:val="20"/>
          <w:highlight w:val="yellow"/>
          <w:lang w:val="pl-PL"/>
        </w:rPr>
      </w:pPr>
      <w:r w:rsidRPr="00E619A0">
        <w:rPr>
          <w:rFonts w:ascii="Times New Roman" w:hAnsi="Times New Roman" w:cs="Times New Roman"/>
          <w:sz w:val="20"/>
          <w:lang w:val="pl-PL"/>
        </w:rPr>
        <w:t xml:space="preserve">W przypadku osób otrzymujących </w:t>
      </w:r>
      <w:r w:rsidR="00FC7915" w:rsidRPr="00E619A0">
        <w:rPr>
          <w:rFonts w:ascii="Times New Roman" w:hAnsi="Times New Roman" w:cs="Times New Roman"/>
          <w:sz w:val="20"/>
          <w:lang w:val="pl-PL"/>
        </w:rPr>
        <w:t>wypłaty</w:t>
      </w:r>
      <w:r w:rsidRPr="00E619A0">
        <w:rPr>
          <w:rFonts w:ascii="Times New Roman" w:hAnsi="Times New Roman" w:cs="Times New Roman"/>
          <w:sz w:val="20"/>
          <w:lang w:val="pl-PL"/>
        </w:rPr>
        <w:t xml:space="preserve"> w wysokości powyżej 1.500 EUR brutto obniżka również wyniesie 14,3% rocznych przychodów. </w:t>
      </w:r>
      <w:r w:rsidR="00C21218" w:rsidRPr="00E619A0">
        <w:rPr>
          <w:rFonts w:ascii="Times New Roman" w:hAnsi="Times New Roman" w:cs="Times New Roman"/>
          <w:sz w:val="20"/>
          <w:lang w:val="pl-PL"/>
        </w:rPr>
        <w:t>Zważywszy, że</w:t>
      </w:r>
      <w:r w:rsidRPr="00E619A0">
        <w:rPr>
          <w:rFonts w:ascii="Times New Roman" w:hAnsi="Times New Roman" w:cs="Times New Roman"/>
          <w:sz w:val="20"/>
          <w:lang w:val="pl-PL"/>
        </w:rPr>
        <w:t xml:space="preserve"> Trybunał Konstytucyjny w orzeczeniu nr 396/2011, w podobnym kontekście dotyczący</w:t>
      </w:r>
      <w:r w:rsidR="00C50C24" w:rsidRPr="00E619A0">
        <w:rPr>
          <w:rFonts w:ascii="Times New Roman" w:hAnsi="Times New Roman" w:cs="Times New Roman"/>
          <w:sz w:val="20"/>
          <w:lang w:val="pl-PL"/>
        </w:rPr>
        <w:t>m redukcji wynagrodzeń [urzędników</w:t>
      </w:r>
      <w:r w:rsidRPr="00E619A0">
        <w:rPr>
          <w:rFonts w:ascii="Times New Roman" w:hAnsi="Times New Roman" w:cs="Times New Roman"/>
          <w:sz w:val="20"/>
          <w:lang w:val="pl-PL"/>
        </w:rPr>
        <w:t xml:space="preserve"> państwow</w:t>
      </w:r>
      <w:r w:rsidR="00C50C24" w:rsidRPr="00E619A0">
        <w:rPr>
          <w:rFonts w:ascii="Times New Roman" w:hAnsi="Times New Roman" w:cs="Times New Roman"/>
          <w:sz w:val="20"/>
          <w:lang w:val="pl-PL"/>
        </w:rPr>
        <w:t>ych</w:t>
      </w:r>
      <w:r w:rsidRPr="00E619A0">
        <w:rPr>
          <w:rFonts w:ascii="Times New Roman" w:hAnsi="Times New Roman" w:cs="Times New Roman"/>
          <w:sz w:val="20"/>
          <w:lang w:val="pl-PL"/>
        </w:rPr>
        <w:t>] zgodnie z art. 19 ustawy nr 55-A/2010 z dnia 31 grudnia wynoszących od 3,5% do 10% rocznych przychodów, uznał, iż ograniczony okres trwania i zakres takich redukcji pozostawał w granicach dopuszczalnego dodatkowego wysiłku ze strony obywateli, wprowadzenie dalszej redukcji, wynoszącej obecnie 14,3% rocznych przychodów [osób, których to dotyczy], to jest średnio ponad trzykrotnie więcej niż w przypadku redukcji pierwotnych, [należy stwierdzić], że wartość procentowa redukcji stanie się tak wysoka, że w sposób oczywisty przekracza te granice.</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 xml:space="preserve">Środki te będą stosowane przez okres trzech lat (2012-2014) i przyniosą w tym okresie </w:t>
      </w:r>
      <w:r w:rsidR="00057B65" w:rsidRPr="00E619A0">
        <w:rPr>
          <w:rFonts w:ascii="Times New Roman" w:hAnsi="Times New Roman" w:cs="Times New Roman"/>
          <w:sz w:val="20"/>
          <w:lang w:val="pl-PL"/>
        </w:rPr>
        <w:t>ciągłe i skumulowane efekty</w:t>
      </w:r>
      <w:r w:rsidRPr="00E619A0">
        <w:rPr>
          <w:rFonts w:ascii="Times New Roman" w:hAnsi="Times New Roman" w:cs="Times New Roman"/>
          <w:sz w:val="20"/>
          <w:lang w:val="pl-PL"/>
        </w:rPr>
        <w:t xml:space="preserve"> ..., które – w powiązaniu z zamrożeniem wynagrodzeń i emerytur w sektorze publicznym w latach 2010, 2011 i 2012, </w:t>
      </w:r>
      <w:r w:rsidR="00057B65" w:rsidRPr="00E619A0">
        <w:rPr>
          <w:rFonts w:ascii="Times New Roman" w:hAnsi="Times New Roman" w:cs="Times New Roman"/>
          <w:sz w:val="20"/>
          <w:lang w:val="pl-PL"/>
        </w:rPr>
        <w:t xml:space="preserve">a także w latach następnych zgodnie z postanowieniami protokołów ustaleń </w:t>
      </w:r>
      <w:r w:rsidR="00A52E02" w:rsidRPr="00E619A0">
        <w:rPr>
          <w:rFonts w:ascii="Times New Roman" w:hAnsi="Times New Roman" w:cs="Times New Roman"/>
          <w:sz w:val="20"/>
          <w:lang w:val="pl-PL"/>
        </w:rPr>
        <w:t>PWEF</w:t>
      </w:r>
      <w:r w:rsidRPr="00E619A0">
        <w:rPr>
          <w:rFonts w:ascii="Times New Roman" w:hAnsi="Times New Roman" w:cs="Times New Roman"/>
          <w:sz w:val="20"/>
          <w:lang w:val="pl-PL"/>
        </w:rPr>
        <w:t>, oraz w połączeniu ze zjawiskiem inflacji, doprowadzą do obniżenia realnej wartości wynagrodzeń i emerytur stanowiącej równowartość stóp inflacji zanotowanych w całym tym okresie.</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Od większości pozostałych obywateli, którzy otrzymują przychody z innych źródeł, niezależnie od kwot [jakie otrzymują], nie wymaga się podobnych wyrzeczeń.</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Różnica w traktowaniu jest tak wyraźna i znacząca, że skuteczność środka przyjętego w celu redukcji deficytu publicznego do poziomu określonego w protokołach ustaleń [jej] nie uzasadnia, szczególnie że istniała możliwość określenia alternatywnych rozwiązań mających na celu redukcję deficytu, zarówno po stronie wydatków (np. środki wskazane w protokołach ustaleń), jak i po stronie przychodów (np. poprzez bardziej kompleksowe działania, których efekty byłyby identyczne z efektami redukcji przychodów).</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Rozwiązania takie byłyby wystarczająco skuteczne, by osiągnąć [cele] w interesie ogólnym i nie obciążyłyby nadmiernie tych podatników, którzy otrzymują przychody lub świadczenia socjalne w ramach funduszy publicznych.</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Oczywistym jest zatem, że różnica w traktowaniu osób otrzymujących wynagrodzenia i emerytur</w:t>
      </w:r>
      <w:r w:rsidR="00F90EFA" w:rsidRPr="00E619A0">
        <w:rPr>
          <w:rFonts w:ascii="Times New Roman" w:hAnsi="Times New Roman" w:cs="Times New Roman"/>
          <w:sz w:val="20"/>
          <w:lang w:val="pl-PL"/>
        </w:rPr>
        <w:t>y</w:t>
      </w:r>
      <w:r w:rsidRPr="00E619A0">
        <w:rPr>
          <w:rFonts w:ascii="Times New Roman" w:hAnsi="Times New Roman" w:cs="Times New Roman"/>
          <w:sz w:val="20"/>
          <w:lang w:val="pl-PL"/>
        </w:rPr>
        <w:t xml:space="preserve"> ze środków publicznych [oraz pozostałych oby</w:t>
      </w:r>
      <w:r w:rsidR="00C50C24" w:rsidRPr="00E619A0">
        <w:rPr>
          <w:rFonts w:ascii="Times New Roman" w:hAnsi="Times New Roman" w:cs="Times New Roman"/>
          <w:sz w:val="20"/>
          <w:lang w:val="pl-PL"/>
        </w:rPr>
        <w:t>wateli] jest nadmierna [i nie spełnia kryterium</w:t>
      </w:r>
      <w:r w:rsidRPr="00E619A0">
        <w:rPr>
          <w:rFonts w:ascii="Times New Roman" w:hAnsi="Times New Roman" w:cs="Times New Roman"/>
          <w:sz w:val="20"/>
          <w:lang w:val="pl-PL"/>
        </w:rPr>
        <w:t xml:space="preserve">] </w:t>
      </w:r>
      <w:r w:rsidR="00F90EFA" w:rsidRPr="00E619A0">
        <w:rPr>
          <w:rFonts w:ascii="Times New Roman" w:hAnsi="Times New Roman" w:cs="Times New Roman"/>
          <w:sz w:val="20"/>
          <w:lang w:val="pl-PL"/>
        </w:rPr>
        <w:t>równości proporcjonalnej</w:t>
      </w:r>
      <w:r w:rsidRPr="00E619A0">
        <w:rPr>
          <w:rFonts w:ascii="Times New Roman" w:hAnsi="Times New Roman" w:cs="Times New Roman"/>
          <w:sz w:val="20"/>
          <w:lang w:val="pl-PL"/>
        </w:rPr>
        <w:t>.</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lastRenderedPageBreak/>
        <w:t>Mimo, iż wiadomym jest, że znajdujemy się w bardzo poważnej sytuacji gospodarczej i finansowej, w której istotnym jest osiągnięcie celów w zakresie deficytu publicznego określonych w pr</w:t>
      </w:r>
      <w:r w:rsidR="00C50C24" w:rsidRPr="00E619A0">
        <w:rPr>
          <w:rFonts w:ascii="Times New Roman" w:hAnsi="Times New Roman" w:cs="Times New Roman"/>
          <w:sz w:val="20"/>
          <w:lang w:val="pl-PL"/>
        </w:rPr>
        <w:t>otokołach ustaleń, aby zapewnić</w:t>
      </w:r>
      <w:r w:rsidRPr="00E619A0">
        <w:rPr>
          <w:rFonts w:ascii="Times New Roman" w:hAnsi="Times New Roman" w:cs="Times New Roman"/>
          <w:sz w:val="20"/>
          <w:lang w:val="pl-PL"/>
        </w:rPr>
        <w:t xml:space="preserve"> </w:t>
      </w:r>
      <w:r w:rsidR="00D07067" w:rsidRPr="00E619A0">
        <w:rPr>
          <w:rFonts w:ascii="Times New Roman" w:hAnsi="Times New Roman" w:cs="Times New Roman"/>
          <w:sz w:val="20"/>
          <w:lang w:val="pl-PL"/>
        </w:rPr>
        <w:t>utrzymani</w:t>
      </w:r>
      <w:r w:rsidR="00C50C24" w:rsidRPr="00E619A0">
        <w:rPr>
          <w:rFonts w:ascii="Times New Roman" w:hAnsi="Times New Roman" w:cs="Times New Roman"/>
          <w:sz w:val="20"/>
          <w:lang w:val="pl-PL"/>
        </w:rPr>
        <w:t>e</w:t>
      </w:r>
      <w:r w:rsidR="00D07067" w:rsidRPr="00E619A0">
        <w:rPr>
          <w:rFonts w:ascii="Times New Roman" w:hAnsi="Times New Roman" w:cs="Times New Roman"/>
          <w:sz w:val="20"/>
          <w:lang w:val="pl-PL"/>
        </w:rPr>
        <w:t xml:space="preserve"> f</w:t>
      </w:r>
      <w:r w:rsidRPr="00E619A0">
        <w:rPr>
          <w:rFonts w:ascii="Times New Roman" w:hAnsi="Times New Roman" w:cs="Times New Roman"/>
          <w:sz w:val="20"/>
          <w:lang w:val="pl-PL"/>
        </w:rPr>
        <w:t>inansowe Państwa, cele te powinny być osiągane na drodze zastosowania środków redukcji wydatków i/lub wzrostu przychodów, które nie skutku</w:t>
      </w:r>
      <w:r w:rsidR="00C50C24" w:rsidRPr="00E619A0">
        <w:rPr>
          <w:rFonts w:ascii="Times New Roman" w:hAnsi="Times New Roman" w:cs="Times New Roman"/>
          <w:sz w:val="20"/>
          <w:lang w:val="pl-PL"/>
        </w:rPr>
        <w:t>ją nadmiernie zróżnicowanym roz</w:t>
      </w:r>
      <w:r w:rsidRPr="00E619A0">
        <w:rPr>
          <w:rFonts w:ascii="Times New Roman" w:hAnsi="Times New Roman" w:cs="Times New Roman"/>
          <w:sz w:val="20"/>
          <w:lang w:val="pl-PL"/>
        </w:rPr>
        <w:t>ł</w:t>
      </w:r>
      <w:r w:rsidR="00C50C24" w:rsidRPr="00E619A0">
        <w:rPr>
          <w:rFonts w:ascii="Times New Roman" w:hAnsi="Times New Roman" w:cs="Times New Roman"/>
          <w:sz w:val="20"/>
          <w:lang w:val="pl-PL"/>
        </w:rPr>
        <w:t>ożeniem</w:t>
      </w:r>
      <w:r w:rsidRPr="00E619A0">
        <w:rPr>
          <w:rFonts w:ascii="Times New Roman" w:hAnsi="Times New Roman" w:cs="Times New Roman"/>
          <w:sz w:val="20"/>
          <w:lang w:val="pl-PL"/>
        </w:rPr>
        <w:t xml:space="preserve"> wyrzeczeń.</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Ponadto, im większych wyrzeczeń wymaga się ze strony obywateli w celu realizacji interesów ogólnych, tym istotniejsze powinny być wymogi równości i sprawiedliwości w zakresie roz</w:t>
      </w:r>
      <w:r w:rsidR="00C50C24" w:rsidRPr="00E619A0">
        <w:rPr>
          <w:rFonts w:ascii="Times New Roman" w:hAnsi="Times New Roman" w:cs="Times New Roman"/>
          <w:sz w:val="20"/>
          <w:lang w:val="pl-PL"/>
        </w:rPr>
        <w:t>łożenia</w:t>
      </w:r>
      <w:r w:rsidRPr="00E619A0">
        <w:rPr>
          <w:rFonts w:ascii="Times New Roman" w:hAnsi="Times New Roman" w:cs="Times New Roman"/>
          <w:sz w:val="20"/>
          <w:lang w:val="pl-PL"/>
        </w:rPr>
        <w:t xml:space="preserve"> takich wyrzeczeń.</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 xml:space="preserve">Opisana powyżej sytuacja oraz potrzeba jej rozwiązania poprzez zastosowanie skutecznych środków nie może stanowić podstawy rezygnacji ustawodawcy z obowiązku poszanowania podstawowych wolności oraz zasad leżących u podstaw praworządności, w tym parametrów takich jak zasada </w:t>
      </w:r>
      <w:r w:rsidR="00F90EFA" w:rsidRPr="00E619A0">
        <w:rPr>
          <w:rFonts w:ascii="Times New Roman" w:hAnsi="Times New Roman" w:cs="Times New Roman"/>
          <w:sz w:val="20"/>
          <w:lang w:val="pl-PL"/>
        </w:rPr>
        <w:t>równości proporcjonalnej</w:t>
      </w:r>
      <w:r w:rsidRPr="00E619A0">
        <w:rPr>
          <w:rFonts w:ascii="Times New Roman" w:hAnsi="Times New Roman" w:cs="Times New Roman"/>
          <w:sz w:val="20"/>
          <w:lang w:val="pl-PL"/>
        </w:rPr>
        <w:t>. Jest oczywistym, że Konstytucja nie może ignorować rzeczywistości gospodarczej i finansowej, w szczególności w sytuacji, którą można uznać za szczególnie trudną.</w:t>
      </w:r>
      <w:r w:rsidR="00C21218" w:rsidRPr="00E619A0">
        <w:rPr>
          <w:rFonts w:ascii="Times New Roman" w:hAnsi="Times New Roman" w:cs="Times New Roman"/>
          <w:sz w:val="20"/>
          <w:lang w:val="pl-PL"/>
        </w:rPr>
        <w:t xml:space="preserve"> Posiada jednakże szczególną normatywną autonomię, która zezwala na zapobieganie temu, by cele gospodarcze i finansowe w sposób nieograniczony </w:t>
      </w:r>
      <w:r w:rsidRPr="00E619A0">
        <w:rPr>
          <w:rFonts w:ascii="Times New Roman" w:hAnsi="Times New Roman" w:cs="Times New Roman"/>
          <w:sz w:val="20"/>
          <w:lang w:val="pl-PL"/>
        </w:rPr>
        <w:t>p</w:t>
      </w:r>
      <w:r w:rsidR="00C21218" w:rsidRPr="00E619A0">
        <w:rPr>
          <w:rFonts w:ascii="Times New Roman" w:hAnsi="Times New Roman" w:cs="Times New Roman"/>
          <w:sz w:val="20"/>
          <w:lang w:val="pl-PL"/>
        </w:rPr>
        <w:t>rzeważały nad parametrami takimi jak równość</w:t>
      </w:r>
      <w:r w:rsidRPr="00E619A0">
        <w:rPr>
          <w:rFonts w:ascii="Times New Roman" w:hAnsi="Times New Roman" w:cs="Times New Roman"/>
          <w:sz w:val="20"/>
          <w:lang w:val="pl-PL"/>
        </w:rPr>
        <w:t>, któr</w:t>
      </w:r>
      <w:r w:rsidR="00C21218" w:rsidRPr="00E619A0">
        <w:rPr>
          <w:rFonts w:ascii="Times New Roman" w:hAnsi="Times New Roman" w:cs="Times New Roman"/>
          <w:sz w:val="20"/>
          <w:lang w:val="pl-PL"/>
        </w:rPr>
        <w:t>ej</w:t>
      </w:r>
      <w:r w:rsidRPr="00E619A0">
        <w:rPr>
          <w:rFonts w:ascii="Times New Roman" w:hAnsi="Times New Roman" w:cs="Times New Roman"/>
          <w:sz w:val="20"/>
          <w:lang w:val="pl-PL"/>
        </w:rPr>
        <w:t xml:space="preserve"> Konstytucja chroni i którą powinna wspierać.</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Należy zatem stwierdzić, że przepisy dotyczące zawieszenia świadczeń urlopowych i świątecznych bądź innych płatności odpowiadających wypłatom za trzynasty i czternasty miesiąc, dotyczące zarówno osób otrzymujących wynagrodzenie wypłacane rzez organa publiczne, jak i osób otrzymujących emerytury [</w:t>
      </w:r>
      <w:proofErr w:type="spellStart"/>
      <w:r w:rsidRPr="00E619A0">
        <w:rPr>
          <w:rFonts w:ascii="Times New Roman" w:hAnsi="Times New Roman" w:cs="Times New Roman"/>
          <w:i/>
          <w:sz w:val="20"/>
          <w:lang w:val="pl-PL"/>
        </w:rPr>
        <w:t>pensões</w:t>
      </w:r>
      <w:proofErr w:type="spellEnd"/>
      <w:r w:rsidRPr="00E619A0">
        <w:rPr>
          <w:rFonts w:ascii="Times New Roman" w:hAnsi="Times New Roman" w:cs="Times New Roman"/>
          <w:i/>
          <w:sz w:val="20"/>
          <w:lang w:val="pl-PL"/>
        </w:rPr>
        <w:t xml:space="preserve"> de reforma </w:t>
      </w:r>
      <w:proofErr w:type="spellStart"/>
      <w:r w:rsidRPr="00E619A0">
        <w:rPr>
          <w:rFonts w:ascii="Times New Roman" w:hAnsi="Times New Roman" w:cs="Times New Roman"/>
          <w:i/>
          <w:sz w:val="20"/>
          <w:lang w:val="pl-PL"/>
        </w:rPr>
        <w:t>ou</w:t>
      </w:r>
      <w:proofErr w:type="spellEnd"/>
      <w:r w:rsidRPr="00E619A0">
        <w:rPr>
          <w:rFonts w:ascii="Times New Roman" w:hAnsi="Times New Roman" w:cs="Times New Roman"/>
          <w:i/>
          <w:sz w:val="20"/>
          <w:lang w:val="pl-PL"/>
        </w:rPr>
        <w:t xml:space="preserve"> aposentação</w:t>
      </w:r>
      <w:r w:rsidRPr="00E619A0">
        <w:rPr>
          <w:rFonts w:ascii="Times New Roman" w:hAnsi="Times New Roman" w:cs="Times New Roman"/>
          <w:sz w:val="20"/>
          <w:lang w:val="pl-PL"/>
        </w:rPr>
        <w:t xml:space="preserve">] w ramach systemu ubezpieczeń społecznych sektora publicznego za pośrednictwem państwowego zakładu ubezpieczeń społecznych, w latach 2012-2014, naruszają zasadę równości w zakresie </w:t>
      </w:r>
      <w:r w:rsidR="00D07067" w:rsidRPr="00E619A0">
        <w:rPr>
          <w:rFonts w:ascii="Times New Roman" w:hAnsi="Times New Roman" w:cs="Times New Roman"/>
          <w:sz w:val="20"/>
          <w:lang w:val="pl-PL"/>
        </w:rPr>
        <w:t>rozłożenia obciążeń publicznych, zapisaną w art. 1</w:t>
      </w:r>
      <w:r w:rsidRPr="00E619A0">
        <w:rPr>
          <w:rFonts w:ascii="Times New Roman" w:hAnsi="Times New Roman" w:cs="Times New Roman"/>
          <w:sz w:val="20"/>
          <w:lang w:val="pl-PL"/>
        </w:rPr>
        <w:t>3 Konstytucji.</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 xml:space="preserve">Z tej przyczyny przepisy art. 21 i art. 25 ustawy nr 64-B/2011 z dnia 30 grudnia (Ustawa Budżetowa na rok 2012) powinny zostać uznane za </w:t>
      </w:r>
      <w:r w:rsidR="00D07067" w:rsidRPr="00E619A0">
        <w:rPr>
          <w:rFonts w:ascii="Times New Roman" w:hAnsi="Times New Roman" w:cs="Times New Roman"/>
          <w:sz w:val="20"/>
          <w:lang w:val="pl-PL"/>
        </w:rPr>
        <w:t>niekonstytucyjne</w:t>
      </w:r>
      <w:r w:rsidRPr="00E619A0">
        <w:rPr>
          <w:rFonts w:ascii="Times New Roman" w:hAnsi="Times New Roman" w:cs="Times New Roman"/>
          <w:sz w:val="20"/>
          <w:lang w:val="pl-PL"/>
        </w:rPr>
        <w:t xml:space="preserve"> bez konieczności oceny, czy naruszają pozostałe </w:t>
      </w:r>
      <w:r w:rsidR="00D07067" w:rsidRPr="00E619A0">
        <w:rPr>
          <w:rFonts w:ascii="Times New Roman" w:hAnsi="Times New Roman" w:cs="Times New Roman"/>
          <w:sz w:val="20"/>
          <w:lang w:val="pl-PL"/>
        </w:rPr>
        <w:t>parametry konstytucyjne</w:t>
      </w:r>
      <w:r w:rsidR="00C50C24" w:rsidRPr="00E619A0">
        <w:rPr>
          <w:rFonts w:ascii="Times New Roman" w:hAnsi="Times New Roman" w:cs="Times New Roman"/>
          <w:sz w:val="20"/>
          <w:lang w:val="pl-PL"/>
        </w:rPr>
        <w:t xml:space="preserve">, na które powołują się </w:t>
      </w:r>
      <w:r w:rsidRPr="00E619A0">
        <w:rPr>
          <w:rFonts w:ascii="Times New Roman" w:hAnsi="Times New Roman" w:cs="Times New Roman"/>
          <w:sz w:val="20"/>
          <w:lang w:val="pl-PL"/>
        </w:rPr>
        <w:t>skarżący.</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Jak stwierdzono powyżej, środki polegające na zawieszeniu wypłat wynagrodzeń i emerytur zostały przyjęte w kontekście polityki gospodarczej i finansowej mającej na celu redukcj</w:t>
      </w:r>
      <w:r w:rsidR="00C50C24" w:rsidRPr="00E619A0">
        <w:rPr>
          <w:rFonts w:ascii="Times New Roman" w:hAnsi="Times New Roman" w:cs="Times New Roman"/>
          <w:sz w:val="20"/>
          <w:lang w:val="pl-PL"/>
        </w:rPr>
        <w:t>ę</w:t>
      </w:r>
      <w:r w:rsidRPr="00E619A0">
        <w:rPr>
          <w:rFonts w:ascii="Times New Roman" w:hAnsi="Times New Roman" w:cs="Times New Roman"/>
          <w:sz w:val="20"/>
          <w:lang w:val="pl-PL"/>
        </w:rPr>
        <w:t xml:space="preserve"> deficytu publicznego w perspektywie krótkoterminowej celem spełnienia limitów deficytu publicznego (4,5% PKB w 2012 r.) nałożonych na mocy protokołów ustaleń, o których mowa powyżej, co stanowi warunek otrzymania kredytów uzgodnionych z Unią Europejską i Międzynarodowym Funduszem Walutowym.</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 xml:space="preserve">W kontekście obecnej sytuacji </w:t>
      </w:r>
      <w:r w:rsidR="00F90EFA" w:rsidRPr="00E619A0">
        <w:rPr>
          <w:rFonts w:ascii="Times New Roman" w:hAnsi="Times New Roman" w:cs="Times New Roman"/>
          <w:sz w:val="20"/>
          <w:lang w:val="pl-PL"/>
        </w:rPr>
        <w:t>poważnego kryzysu d</w:t>
      </w:r>
      <w:r w:rsidRPr="00E619A0">
        <w:rPr>
          <w:rFonts w:ascii="Times New Roman" w:hAnsi="Times New Roman" w:cs="Times New Roman"/>
          <w:sz w:val="20"/>
          <w:lang w:val="pl-PL"/>
        </w:rPr>
        <w:t xml:space="preserve">alszy dostęp do finansowania zewnętrznego ma podstawowe znaczenie dla Portugalii. </w:t>
      </w:r>
      <w:r w:rsidR="005A1A00" w:rsidRPr="00E619A0">
        <w:rPr>
          <w:rFonts w:ascii="Times New Roman" w:hAnsi="Times New Roman" w:cs="Times New Roman"/>
          <w:sz w:val="20"/>
          <w:lang w:val="pl-PL"/>
        </w:rPr>
        <w:t>Przestrzeganie</w:t>
      </w:r>
      <w:r w:rsidRPr="00E619A0">
        <w:rPr>
          <w:rFonts w:ascii="Times New Roman" w:hAnsi="Times New Roman" w:cs="Times New Roman"/>
          <w:sz w:val="20"/>
          <w:lang w:val="pl-PL"/>
        </w:rPr>
        <w:t xml:space="preserve"> </w:t>
      </w:r>
      <w:r w:rsidR="005A1A00" w:rsidRPr="00E619A0">
        <w:rPr>
          <w:rFonts w:ascii="Times New Roman" w:hAnsi="Times New Roman" w:cs="Times New Roman"/>
          <w:sz w:val="20"/>
          <w:lang w:val="pl-PL"/>
        </w:rPr>
        <w:t>takich</w:t>
      </w:r>
      <w:r w:rsidRPr="00E619A0">
        <w:rPr>
          <w:rFonts w:ascii="Times New Roman" w:hAnsi="Times New Roman" w:cs="Times New Roman"/>
          <w:sz w:val="20"/>
          <w:lang w:val="pl-PL"/>
        </w:rPr>
        <w:t xml:space="preserve"> limitów budżetowych jest zatem celem stanowiącym nadzwyczajny interes publiczny.</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 xml:space="preserve">Uwzględniając fakt, że realizacja Budżetu na rok 2012 jest obecnie </w:t>
      </w:r>
      <w:r w:rsidR="005A1A00" w:rsidRPr="00E619A0">
        <w:rPr>
          <w:rFonts w:ascii="Times New Roman" w:hAnsi="Times New Roman" w:cs="Times New Roman"/>
          <w:sz w:val="20"/>
          <w:lang w:val="pl-PL"/>
        </w:rPr>
        <w:t>zaa</w:t>
      </w:r>
      <w:r w:rsidR="00C50C24" w:rsidRPr="00E619A0">
        <w:rPr>
          <w:rFonts w:ascii="Times New Roman" w:hAnsi="Times New Roman" w:cs="Times New Roman"/>
          <w:sz w:val="20"/>
          <w:lang w:val="pl-PL"/>
        </w:rPr>
        <w:t>wan</w:t>
      </w:r>
      <w:r w:rsidR="005A1A00" w:rsidRPr="00E619A0">
        <w:rPr>
          <w:rFonts w:ascii="Times New Roman" w:hAnsi="Times New Roman" w:cs="Times New Roman"/>
          <w:sz w:val="20"/>
          <w:lang w:val="pl-PL"/>
        </w:rPr>
        <w:t>sowana</w:t>
      </w:r>
      <w:r w:rsidRPr="00E619A0">
        <w:rPr>
          <w:rFonts w:ascii="Times New Roman" w:hAnsi="Times New Roman" w:cs="Times New Roman"/>
          <w:sz w:val="20"/>
          <w:lang w:val="pl-PL"/>
        </w:rPr>
        <w:t xml:space="preserve">, konsekwencje uznania przepisów za </w:t>
      </w:r>
      <w:r w:rsidR="005A1A00" w:rsidRPr="00E619A0">
        <w:rPr>
          <w:rFonts w:ascii="Times New Roman" w:hAnsi="Times New Roman" w:cs="Times New Roman"/>
          <w:sz w:val="20"/>
          <w:lang w:val="pl-PL"/>
        </w:rPr>
        <w:t>niekonstytucyjne</w:t>
      </w:r>
      <w:r w:rsidRPr="00E619A0">
        <w:rPr>
          <w:rFonts w:ascii="Times New Roman" w:hAnsi="Times New Roman" w:cs="Times New Roman"/>
          <w:sz w:val="20"/>
          <w:lang w:val="pl-PL"/>
        </w:rPr>
        <w:t xml:space="preserve"> mogłyby w </w:t>
      </w:r>
      <w:r w:rsidR="005A1A00" w:rsidRPr="00E619A0">
        <w:rPr>
          <w:rFonts w:ascii="Times New Roman" w:hAnsi="Times New Roman" w:cs="Times New Roman"/>
          <w:sz w:val="20"/>
          <w:lang w:val="pl-PL"/>
        </w:rPr>
        <w:t>nieunikniony</w:t>
      </w:r>
      <w:r w:rsidRPr="00E619A0">
        <w:rPr>
          <w:rFonts w:ascii="Times New Roman" w:hAnsi="Times New Roman" w:cs="Times New Roman"/>
          <w:sz w:val="20"/>
          <w:lang w:val="pl-PL"/>
        </w:rPr>
        <w:t xml:space="preserve"> sposób doprowadzić do </w:t>
      </w:r>
      <w:r w:rsidR="007646DC" w:rsidRPr="00E619A0">
        <w:rPr>
          <w:rFonts w:ascii="Times New Roman" w:hAnsi="Times New Roman" w:cs="Times New Roman"/>
          <w:sz w:val="20"/>
          <w:lang w:val="pl-PL"/>
        </w:rPr>
        <w:t>nieosiągnięcia tego celu</w:t>
      </w:r>
      <w:r w:rsidRPr="00E619A0">
        <w:rPr>
          <w:rFonts w:ascii="Times New Roman" w:hAnsi="Times New Roman" w:cs="Times New Roman"/>
          <w:sz w:val="20"/>
          <w:lang w:val="pl-PL"/>
        </w:rPr>
        <w:t xml:space="preserve">, co grozi nieotrzymaniem uzgodnionego finansowania, a w rezultacie niewypłacalnością Państwa. Faktycznie, oszczędności netto wydatków publicznych pozyskane na skutek zawieszenia </w:t>
      </w:r>
      <w:r w:rsidR="005A1A00" w:rsidRPr="00E619A0">
        <w:rPr>
          <w:rFonts w:ascii="Times New Roman" w:hAnsi="Times New Roman" w:cs="Times New Roman"/>
          <w:sz w:val="20"/>
          <w:lang w:val="pl-PL"/>
        </w:rPr>
        <w:t>płatności</w:t>
      </w:r>
      <w:r w:rsidRPr="00E619A0">
        <w:rPr>
          <w:rFonts w:ascii="Times New Roman" w:hAnsi="Times New Roman" w:cs="Times New Roman"/>
          <w:sz w:val="20"/>
          <w:lang w:val="pl-PL"/>
        </w:rPr>
        <w:t xml:space="preserve"> urlopowych i świątecznych bądź równorzędnych ... odgrywają istotną rolę w </w:t>
      </w:r>
      <w:r w:rsidR="005A1A00" w:rsidRPr="00E619A0">
        <w:rPr>
          <w:rFonts w:ascii="Times New Roman" w:hAnsi="Times New Roman" w:cs="Times New Roman"/>
          <w:sz w:val="20"/>
          <w:lang w:val="pl-PL"/>
        </w:rPr>
        <w:t>budżecie</w:t>
      </w:r>
      <w:r w:rsidRPr="00E619A0">
        <w:rPr>
          <w:rFonts w:ascii="Times New Roman" w:hAnsi="Times New Roman" w:cs="Times New Roman"/>
          <w:sz w:val="20"/>
          <w:lang w:val="pl-PL"/>
        </w:rPr>
        <w:t xml:space="preserve"> Państwa podobnie jak </w:t>
      </w:r>
      <w:r w:rsidR="007646DC" w:rsidRPr="00E619A0">
        <w:rPr>
          <w:rFonts w:ascii="Times New Roman" w:hAnsi="Times New Roman" w:cs="Times New Roman"/>
          <w:sz w:val="20"/>
          <w:lang w:val="pl-PL"/>
        </w:rPr>
        <w:t>w odniesieniu do środków finansowych wdrożonych w celu osiągnięcia celu, o którym mowa powyżej;</w:t>
      </w:r>
      <w:r w:rsidRPr="00E619A0">
        <w:rPr>
          <w:rFonts w:ascii="Times New Roman" w:hAnsi="Times New Roman" w:cs="Times New Roman"/>
          <w:sz w:val="20"/>
          <w:lang w:val="pl-PL"/>
        </w:rPr>
        <w:t xml:space="preserve"> </w:t>
      </w:r>
      <w:r w:rsidR="007646DC" w:rsidRPr="00E619A0">
        <w:rPr>
          <w:rFonts w:ascii="Times New Roman" w:hAnsi="Times New Roman" w:cs="Times New Roman"/>
          <w:sz w:val="20"/>
          <w:lang w:val="pl-PL"/>
        </w:rPr>
        <w:t xml:space="preserve">praktycznie niemożliwym byłoby opracowanie i wdrożenie w pozostałym okresie </w:t>
      </w:r>
      <w:r w:rsidRPr="00E619A0">
        <w:rPr>
          <w:rFonts w:ascii="Times New Roman" w:hAnsi="Times New Roman" w:cs="Times New Roman"/>
          <w:sz w:val="20"/>
          <w:lang w:val="pl-PL"/>
        </w:rPr>
        <w:t>[</w:t>
      </w:r>
      <w:r w:rsidR="007646DC" w:rsidRPr="00E619A0">
        <w:rPr>
          <w:rFonts w:ascii="Times New Roman" w:hAnsi="Times New Roman" w:cs="Times New Roman"/>
          <w:sz w:val="20"/>
          <w:lang w:val="pl-PL"/>
        </w:rPr>
        <w:t>to jest do</w:t>
      </w:r>
      <w:r w:rsidRPr="00E619A0">
        <w:rPr>
          <w:rFonts w:ascii="Times New Roman" w:hAnsi="Times New Roman" w:cs="Times New Roman"/>
          <w:sz w:val="20"/>
          <w:lang w:val="pl-PL"/>
        </w:rPr>
        <w:t xml:space="preserve">] </w:t>
      </w:r>
      <w:r w:rsidR="007646DC" w:rsidRPr="00E619A0">
        <w:rPr>
          <w:rFonts w:ascii="Times New Roman" w:hAnsi="Times New Roman" w:cs="Times New Roman"/>
          <w:sz w:val="20"/>
          <w:lang w:val="pl-PL"/>
        </w:rPr>
        <w:t xml:space="preserve">końca roku środków alternatywnych, które przyniosłyby w </w:t>
      </w:r>
      <w:r w:rsidRPr="00E619A0">
        <w:rPr>
          <w:rFonts w:ascii="Times New Roman" w:hAnsi="Times New Roman" w:cs="Times New Roman"/>
          <w:sz w:val="20"/>
          <w:lang w:val="pl-PL"/>
        </w:rPr>
        <w:t xml:space="preserve">2012 r. </w:t>
      </w:r>
      <w:r w:rsidR="007646DC" w:rsidRPr="00E619A0">
        <w:rPr>
          <w:rFonts w:ascii="Times New Roman" w:hAnsi="Times New Roman" w:cs="Times New Roman"/>
          <w:sz w:val="20"/>
          <w:lang w:val="pl-PL"/>
        </w:rPr>
        <w:t>skutki niezbędne dla osiągnięcia celów budżetowych</w:t>
      </w:r>
      <w:r w:rsidRPr="00E619A0">
        <w:rPr>
          <w:rFonts w:ascii="Times New Roman" w:hAnsi="Times New Roman" w:cs="Times New Roman"/>
          <w:sz w:val="20"/>
          <w:lang w:val="pl-PL"/>
        </w:rPr>
        <w:t>.</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Znaleźliśmy się zatem w sytuacji, w której [ze względu na] nadzwyczajnie ważny interes publicz</w:t>
      </w:r>
      <w:r w:rsidR="00C50C24" w:rsidRPr="00E619A0">
        <w:rPr>
          <w:rFonts w:ascii="Times New Roman" w:hAnsi="Times New Roman" w:cs="Times New Roman"/>
          <w:sz w:val="20"/>
          <w:lang w:val="pl-PL"/>
        </w:rPr>
        <w:t>ny</w:t>
      </w:r>
      <w:r w:rsidRPr="00E619A0">
        <w:rPr>
          <w:rFonts w:ascii="Times New Roman" w:hAnsi="Times New Roman" w:cs="Times New Roman"/>
          <w:sz w:val="20"/>
          <w:lang w:val="pl-PL"/>
        </w:rPr>
        <w:t xml:space="preserve"> Trybunał Konstytucyjny ma obowiązek ograniczenia skutków uznania niekonstytucyjności, zgodnie z przepisem art. 282 § 4 Konstytucji, które to uznanie niekonstytucyjności nie będzie mieć zastosowania względem zawieszenia wypłat </w:t>
      </w:r>
      <w:r w:rsidRPr="00E619A0">
        <w:rPr>
          <w:rFonts w:ascii="Times New Roman" w:hAnsi="Times New Roman" w:cs="Times New Roman"/>
          <w:sz w:val="20"/>
          <w:lang w:val="pl-PL"/>
        </w:rPr>
        <w:lastRenderedPageBreak/>
        <w:t>świadczeń urlopowych i świątecznych bądź wszelkich świadczeń równorzędnych w roku 2012.</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Z tych przyczyn:</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 xml:space="preserve">a)  Przepisy art. 21 i art. 25 ustawy nr </w:t>
      </w:r>
      <w:r w:rsidR="00912839" w:rsidRPr="00E619A0">
        <w:rPr>
          <w:rFonts w:ascii="Times New Roman" w:hAnsi="Times New Roman" w:cs="Times New Roman"/>
          <w:sz w:val="20"/>
          <w:lang w:val="pl-PL"/>
        </w:rPr>
        <w:t xml:space="preserve">64-B/2011 </w:t>
      </w:r>
      <w:r w:rsidRPr="00E619A0">
        <w:rPr>
          <w:rFonts w:ascii="Times New Roman" w:hAnsi="Times New Roman" w:cs="Times New Roman"/>
          <w:sz w:val="20"/>
          <w:lang w:val="pl-PL"/>
        </w:rPr>
        <w:t xml:space="preserve">z dnia 30 grudnia (Ustawy Budżetowej na rok 2012) zostają uznane ze </w:t>
      </w:r>
      <w:r w:rsidR="00FD1E09" w:rsidRPr="00E619A0">
        <w:rPr>
          <w:rFonts w:ascii="Times New Roman" w:hAnsi="Times New Roman" w:cs="Times New Roman"/>
          <w:sz w:val="20"/>
          <w:lang w:val="pl-PL"/>
        </w:rPr>
        <w:t>niekonstytucyjne</w:t>
      </w:r>
      <w:r w:rsidRPr="00E619A0">
        <w:rPr>
          <w:rFonts w:ascii="Times New Roman" w:hAnsi="Times New Roman" w:cs="Times New Roman"/>
          <w:sz w:val="20"/>
          <w:lang w:val="pl-PL"/>
        </w:rPr>
        <w:t xml:space="preserve">, </w:t>
      </w:r>
      <w:r w:rsidR="00F90EFA" w:rsidRPr="00E619A0">
        <w:rPr>
          <w:rFonts w:ascii="Times New Roman" w:hAnsi="Times New Roman" w:cs="Times New Roman"/>
          <w:sz w:val="20"/>
          <w:lang w:val="pl-PL"/>
        </w:rPr>
        <w:t xml:space="preserve">z ogólnym skutkiem </w:t>
      </w:r>
      <w:r w:rsidR="005E35AA" w:rsidRPr="00E619A0">
        <w:rPr>
          <w:rFonts w:ascii="Times New Roman" w:hAnsi="Times New Roman" w:cs="Times New Roman"/>
          <w:sz w:val="20"/>
          <w:lang w:val="pl-PL"/>
        </w:rPr>
        <w:t>wiążącym</w:t>
      </w:r>
      <w:r w:rsidRPr="00E619A0">
        <w:rPr>
          <w:rFonts w:ascii="Times New Roman" w:hAnsi="Times New Roman" w:cs="Times New Roman"/>
          <w:sz w:val="20"/>
          <w:lang w:val="pl-PL"/>
        </w:rPr>
        <w:t xml:space="preserve">, na podstawie naruszenia zasady równości </w:t>
      </w:r>
      <w:r w:rsidR="00FD1E09" w:rsidRPr="00E619A0">
        <w:rPr>
          <w:rFonts w:ascii="Times New Roman" w:hAnsi="Times New Roman" w:cs="Times New Roman"/>
          <w:sz w:val="20"/>
          <w:lang w:val="pl-PL"/>
        </w:rPr>
        <w:t xml:space="preserve">zapisanej w art. </w:t>
      </w:r>
      <w:r w:rsidRPr="00E619A0">
        <w:rPr>
          <w:rFonts w:ascii="Times New Roman" w:hAnsi="Times New Roman" w:cs="Times New Roman"/>
          <w:sz w:val="20"/>
          <w:lang w:val="pl-PL"/>
        </w:rPr>
        <w:t xml:space="preserve">13 </w:t>
      </w:r>
      <w:r w:rsidR="00FD1E09" w:rsidRPr="00E619A0">
        <w:rPr>
          <w:rFonts w:ascii="Times New Roman" w:hAnsi="Times New Roman" w:cs="Times New Roman"/>
          <w:sz w:val="20"/>
          <w:lang w:val="pl-PL"/>
        </w:rPr>
        <w:t>Konstytucji</w:t>
      </w:r>
      <w:r w:rsidRPr="00E619A0">
        <w:rPr>
          <w:rFonts w:ascii="Times New Roman" w:hAnsi="Times New Roman" w:cs="Times New Roman"/>
          <w:sz w:val="20"/>
          <w:lang w:val="pl-PL"/>
        </w:rPr>
        <w:t xml:space="preserve"> Republiki Portugalskiej,</w:t>
      </w:r>
    </w:p>
    <w:p w:rsidR="00557E4F" w:rsidRPr="00E619A0" w:rsidRDefault="00557E4F" w:rsidP="00557E4F">
      <w:pPr>
        <w:pStyle w:val="ECHRPara"/>
        <w:rPr>
          <w:rFonts w:ascii="Times New Roman" w:hAnsi="Times New Roman" w:cs="Times New Roman"/>
          <w:sz w:val="20"/>
          <w:lang w:val="pl-PL"/>
        </w:rPr>
      </w:pPr>
      <w:r w:rsidRPr="00E619A0">
        <w:rPr>
          <w:rFonts w:ascii="Times New Roman" w:hAnsi="Times New Roman" w:cs="Times New Roman"/>
          <w:sz w:val="20"/>
          <w:lang w:val="pl-PL"/>
        </w:rPr>
        <w:t>b)  Na mocy art. 282 § 4 Kons</w:t>
      </w:r>
      <w:r w:rsidR="00C50C24" w:rsidRPr="00E619A0">
        <w:rPr>
          <w:rFonts w:ascii="Times New Roman" w:hAnsi="Times New Roman" w:cs="Times New Roman"/>
          <w:sz w:val="20"/>
          <w:lang w:val="pl-PL"/>
        </w:rPr>
        <w:t>tytucji Republiki Portugalskiej</w:t>
      </w:r>
      <w:r w:rsidRPr="00E619A0">
        <w:rPr>
          <w:rFonts w:ascii="Times New Roman" w:hAnsi="Times New Roman" w:cs="Times New Roman"/>
          <w:sz w:val="20"/>
          <w:lang w:val="pl-PL"/>
        </w:rPr>
        <w:t xml:space="preserve"> niniejsze uznanie niekonstytucyjności nie ma zastosowania względem zawieszenia wypłat świadczeń urlopowych i świątecznych bądź wszelkich świadczeń równorzędnych w roku 2012.</w:t>
      </w:r>
    </w:p>
    <w:p w:rsidR="00557E4F" w:rsidRDefault="00557E4F" w:rsidP="00557E4F">
      <w:pPr>
        <w:pStyle w:val="ECHRPara"/>
        <w:rPr>
          <w:rFonts w:ascii="Times New Roman" w:hAnsi="Times New Roman" w:cs="Times New Roman"/>
          <w:sz w:val="20"/>
          <w:lang w:val="pl-PL"/>
        </w:rPr>
      </w:pPr>
    </w:p>
    <w:p w:rsidR="00F176BF" w:rsidRPr="00E619A0" w:rsidRDefault="00F176BF" w:rsidP="00557E4F">
      <w:pPr>
        <w:pStyle w:val="ECHRPara"/>
        <w:rPr>
          <w:rFonts w:ascii="Times New Roman" w:hAnsi="Times New Roman" w:cs="Times New Roman"/>
          <w:sz w:val="20"/>
          <w:lang w:val="pl-PL"/>
        </w:rPr>
      </w:pPr>
    </w:p>
    <w:p w:rsidR="00557E4F" w:rsidRDefault="00557E4F" w:rsidP="005E35AA">
      <w:pPr>
        <w:pStyle w:val="ECHRHeading2"/>
        <w:numPr>
          <w:ilvl w:val="0"/>
          <w:numId w:val="0"/>
        </w:numPr>
        <w:rPr>
          <w:rFonts w:ascii="Times New Roman" w:hAnsi="Times New Roman" w:cs="Times New Roman"/>
          <w:lang w:val="pl-PL"/>
        </w:rPr>
      </w:pPr>
      <w:r w:rsidRPr="00E619A0">
        <w:rPr>
          <w:rFonts w:ascii="Times New Roman" w:hAnsi="Times New Roman" w:cs="Times New Roman"/>
          <w:lang w:val="pl-PL"/>
        </w:rPr>
        <w:t>C.  Ocena UE sytuacji gospodarczej w Portugalii w 2011 roku</w:t>
      </w:r>
    </w:p>
    <w:p w:rsidR="00F176BF" w:rsidRPr="00F176BF" w:rsidRDefault="00F176BF" w:rsidP="00F176BF">
      <w:pPr>
        <w:pStyle w:val="ECHRPara"/>
        <w:rPr>
          <w:lang w:val="pl-PL" w:eastAsia="en-US"/>
        </w:rPr>
      </w:pP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11.  Dokument roboczy służb Komisji Europejskiej załączony do </w:t>
      </w:r>
      <w:r w:rsidR="00821A0B" w:rsidRPr="00E619A0">
        <w:rPr>
          <w:rFonts w:ascii="Times New Roman" w:hAnsi="Times New Roman" w:cs="Times New Roman"/>
          <w:lang w:val="pl-PL"/>
        </w:rPr>
        <w:t xml:space="preserve">Zalecenia </w:t>
      </w:r>
      <w:r w:rsidRPr="00E619A0">
        <w:rPr>
          <w:rFonts w:ascii="Times New Roman" w:hAnsi="Times New Roman" w:cs="Times New Roman"/>
          <w:lang w:val="pl-PL"/>
        </w:rPr>
        <w:t xml:space="preserve">Rady w sprawie </w:t>
      </w:r>
      <w:r w:rsidR="00821A0B" w:rsidRPr="00E619A0">
        <w:rPr>
          <w:rFonts w:ascii="Times New Roman" w:hAnsi="Times New Roman" w:cs="Times New Roman"/>
          <w:lang w:val="pl-PL"/>
        </w:rPr>
        <w:t xml:space="preserve">Krajowego Programu </w:t>
      </w:r>
      <w:r w:rsidRPr="00E619A0">
        <w:rPr>
          <w:rFonts w:ascii="Times New Roman" w:hAnsi="Times New Roman" w:cs="Times New Roman"/>
          <w:lang w:val="pl-PL"/>
        </w:rPr>
        <w:t xml:space="preserve">Reform </w:t>
      </w:r>
      <w:r w:rsidR="00821A0B" w:rsidRPr="00E619A0">
        <w:rPr>
          <w:rFonts w:ascii="Times New Roman" w:hAnsi="Times New Roman" w:cs="Times New Roman"/>
          <w:lang w:val="pl-PL"/>
        </w:rPr>
        <w:t xml:space="preserve">Portugalii z </w:t>
      </w:r>
      <w:r w:rsidRPr="00E619A0">
        <w:rPr>
          <w:rFonts w:ascii="Times New Roman" w:hAnsi="Times New Roman" w:cs="Times New Roman"/>
          <w:lang w:val="pl-PL"/>
        </w:rPr>
        <w:t xml:space="preserve">2011 r. </w:t>
      </w:r>
      <w:r w:rsidR="00F176BF">
        <w:rPr>
          <w:rFonts w:ascii="Times New Roman" w:hAnsi="Times New Roman" w:cs="Times New Roman"/>
          <w:bCs/>
          <w:lang w:val="pl-PL"/>
        </w:rPr>
        <w:t>zawierający</w:t>
      </w:r>
      <w:r w:rsidR="00821A0B" w:rsidRPr="00E619A0">
        <w:rPr>
          <w:rFonts w:ascii="Times New Roman" w:hAnsi="Times New Roman" w:cs="Times New Roman"/>
          <w:bCs/>
          <w:lang w:val="pl-PL"/>
        </w:rPr>
        <w:t xml:space="preserve"> opinię Rady na temat zaktualizowanego programu stabilności na lata</w:t>
      </w:r>
      <w:r w:rsidR="00821A0B" w:rsidRPr="00E619A0">
        <w:rPr>
          <w:rFonts w:ascii="Times New Roman" w:hAnsi="Times New Roman" w:cs="Times New Roman"/>
          <w:b/>
          <w:bCs/>
          <w:lang w:val="pl-PL"/>
        </w:rPr>
        <w:t xml:space="preserve"> </w:t>
      </w:r>
      <w:r w:rsidRPr="00E619A0">
        <w:rPr>
          <w:rFonts w:ascii="Times New Roman" w:hAnsi="Times New Roman" w:cs="Times New Roman"/>
          <w:lang w:val="pl-PL"/>
        </w:rPr>
        <w:t>2011-2014</w:t>
      </w:r>
      <w:r w:rsidR="00C35315" w:rsidRPr="00E619A0">
        <w:rPr>
          <w:rFonts w:ascii="Times New Roman" w:hAnsi="Times New Roman" w:cs="Times New Roman"/>
          <w:lang w:val="pl-PL"/>
        </w:rPr>
        <w:t xml:space="preserve"> przedstawionego przez Portugalię</w:t>
      </w:r>
      <w:r w:rsidRPr="00E619A0">
        <w:rPr>
          <w:rFonts w:ascii="Times New Roman" w:hAnsi="Times New Roman" w:cs="Times New Roman"/>
          <w:lang w:val="pl-PL"/>
        </w:rPr>
        <w:t>, wydany w czerwcu 2011 r. (SE</w:t>
      </w:r>
      <w:r w:rsidR="009C4191" w:rsidRPr="00E619A0">
        <w:rPr>
          <w:rFonts w:ascii="Times New Roman" w:hAnsi="Times New Roman" w:cs="Times New Roman"/>
          <w:lang w:val="pl-PL"/>
        </w:rPr>
        <w:t>K</w:t>
      </w:r>
      <w:r w:rsidRPr="00E619A0">
        <w:rPr>
          <w:rFonts w:ascii="Times New Roman" w:hAnsi="Times New Roman" w:cs="Times New Roman"/>
          <w:lang w:val="pl-PL"/>
        </w:rPr>
        <w:t xml:space="preserve">(2011) 730 </w:t>
      </w:r>
      <w:r w:rsidR="00821A0B" w:rsidRPr="00E619A0">
        <w:rPr>
          <w:rFonts w:ascii="Times New Roman" w:hAnsi="Times New Roman" w:cs="Times New Roman"/>
          <w:lang w:val="pl-PL"/>
        </w:rPr>
        <w:t>ostateczny</w:t>
      </w:r>
      <w:r w:rsidRPr="00E619A0">
        <w:rPr>
          <w:rFonts w:ascii="Times New Roman" w:hAnsi="Times New Roman" w:cs="Times New Roman"/>
          <w:lang w:val="pl-PL"/>
        </w:rPr>
        <w:t>), zawiera opis sytuacji gospodarczej w Portugalii oraz głównych elementów programu naprawy gospodarki:</w:t>
      </w:r>
    </w:p>
    <w:p w:rsidR="00557E4F" w:rsidRPr="00E619A0" w:rsidRDefault="00557E4F" w:rsidP="00557E4F">
      <w:pPr>
        <w:pStyle w:val="ECHRParaQuote"/>
        <w:spacing w:before="0" w:after="0"/>
        <w:ind w:firstLine="0"/>
        <w:rPr>
          <w:rFonts w:ascii="Times New Roman" w:hAnsi="Times New Roman" w:cs="Times New Roman"/>
          <w:b/>
          <w:lang w:val="pl-PL"/>
        </w:rPr>
      </w:pPr>
    </w:p>
    <w:p w:rsidR="00557E4F" w:rsidRPr="00E619A0" w:rsidRDefault="00557E4F" w:rsidP="00557E4F">
      <w:pPr>
        <w:pStyle w:val="ECHRParaQuote"/>
        <w:spacing w:before="0" w:after="0"/>
        <w:ind w:firstLine="0"/>
        <w:rPr>
          <w:rFonts w:ascii="Times New Roman" w:hAnsi="Times New Roman" w:cs="Times New Roman"/>
          <w:b/>
          <w:lang w:val="pl-PL"/>
        </w:rPr>
      </w:pPr>
      <w:r w:rsidRPr="00E619A0">
        <w:rPr>
          <w:rFonts w:ascii="Times New Roman" w:hAnsi="Times New Roman" w:cs="Times New Roman"/>
          <w:b/>
          <w:lang w:val="pl-PL"/>
        </w:rPr>
        <w:t>„1.  Wprowadzenie</w:t>
      </w:r>
    </w:p>
    <w:p w:rsidR="00557E4F" w:rsidRPr="00E619A0" w:rsidRDefault="00557E4F" w:rsidP="00557E4F">
      <w:pPr>
        <w:pStyle w:val="ECHRParaQuote"/>
        <w:spacing w:before="0" w:after="0"/>
        <w:ind w:firstLine="0"/>
        <w:rPr>
          <w:rFonts w:ascii="Times New Roman" w:hAnsi="Times New Roman" w:cs="Times New Roman"/>
          <w:b/>
          <w:lang w:val="pl-PL"/>
        </w:rPr>
      </w:pPr>
    </w:p>
    <w:p w:rsidR="00557E4F" w:rsidRPr="00E619A0" w:rsidRDefault="00C35315" w:rsidP="00557E4F">
      <w:pPr>
        <w:pStyle w:val="ECHRParaQuote"/>
        <w:spacing w:before="0" w:after="0"/>
        <w:ind w:firstLine="0"/>
        <w:rPr>
          <w:rFonts w:ascii="Times New Roman" w:hAnsi="Times New Roman" w:cs="Times New Roman"/>
          <w:lang w:val="pl-PL"/>
        </w:rPr>
      </w:pPr>
      <w:r w:rsidRPr="00E619A0">
        <w:rPr>
          <w:rFonts w:ascii="Times New Roman" w:eastAsia="Times New Roman" w:hAnsi="Times New Roman" w:cs="Times New Roman"/>
          <w:szCs w:val="20"/>
          <w:lang w:val="pl-PL" w:eastAsia="pl-PL"/>
        </w:rPr>
        <w:t>W 2010 r. PKB Portugalii wzrosło o</w:t>
      </w:r>
      <w:r w:rsidRPr="00E619A0">
        <w:rPr>
          <w:rFonts w:ascii="Times New Roman" w:hAnsi="Times New Roman" w:cs="Times New Roman"/>
          <w:lang w:val="pl-PL"/>
        </w:rPr>
        <w:t xml:space="preserve"> </w:t>
      </w:r>
      <w:r w:rsidR="00557E4F" w:rsidRPr="00E619A0">
        <w:rPr>
          <w:rFonts w:ascii="Times New Roman" w:hAnsi="Times New Roman" w:cs="Times New Roman"/>
          <w:lang w:val="pl-PL"/>
        </w:rPr>
        <w:t xml:space="preserve">[sic] 1,3%. </w:t>
      </w:r>
      <w:r w:rsidRPr="00E619A0">
        <w:rPr>
          <w:rFonts w:ascii="Times New Roman" w:eastAsia="Times New Roman" w:hAnsi="Times New Roman" w:cs="Times New Roman"/>
          <w:szCs w:val="20"/>
          <w:lang w:val="pl-PL" w:eastAsia="pl-PL"/>
        </w:rPr>
        <w:t>Ta dodatnia stopa wzrostu wynika jednak w dużej mierze z wyjątkowych okoliczności, które spowodowały dynamiczny wzrost eksportu i spożycia prywatnego</w:t>
      </w:r>
      <w:r w:rsidR="00557E4F" w:rsidRPr="00E619A0">
        <w:rPr>
          <w:rFonts w:ascii="Times New Roman" w:hAnsi="Times New Roman" w:cs="Times New Roman"/>
          <w:lang w:val="pl-PL"/>
        </w:rPr>
        <w:t xml:space="preserve">. Wzrost </w:t>
      </w:r>
      <w:r w:rsidRPr="00E619A0">
        <w:rPr>
          <w:rFonts w:ascii="Times New Roman" w:hAnsi="Times New Roman" w:cs="Times New Roman"/>
          <w:lang w:val="pl-PL"/>
        </w:rPr>
        <w:t xml:space="preserve">konsumpcji indywidualnej </w:t>
      </w:r>
      <w:r w:rsidR="00557E4F" w:rsidRPr="00E619A0">
        <w:rPr>
          <w:rFonts w:ascii="Times New Roman" w:hAnsi="Times New Roman" w:cs="Times New Roman"/>
          <w:lang w:val="pl-PL"/>
        </w:rPr>
        <w:t xml:space="preserve">spowodowany był w znacznej mierze przewidywanymi skutkami wzrostu podatku VAT </w:t>
      </w:r>
      <w:r w:rsidR="009158F9" w:rsidRPr="00E619A0">
        <w:rPr>
          <w:rFonts w:ascii="Times New Roman" w:hAnsi="Times New Roman" w:cs="Times New Roman"/>
          <w:lang w:val="pl-PL"/>
        </w:rPr>
        <w:t>w lipcu</w:t>
      </w:r>
      <w:r w:rsidR="00557E4F" w:rsidRPr="00E619A0">
        <w:rPr>
          <w:rFonts w:ascii="Times New Roman" w:hAnsi="Times New Roman" w:cs="Times New Roman"/>
          <w:lang w:val="pl-PL"/>
        </w:rPr>
        <w:t xml:space="preserve"> 2010 r. i styczniu 2011 r. Mimo istotnego wzrostu wartości handlu zagranicznego, </w:t>
      </w:r>
      <w:r w:rsidR="00912839" w:rsidRPr="00E619A0">
        <w:rPr>
          <w:rFonts w:ascii="Times New Roman" w:hAnsi="Times New Roman" w:cs="Times New Roman"/>
          <w:lang w:val="pl-PL"/>
        </w:rPr>
        <w:t xml:space="preserve">udziały rynkowy eksportu spadł w </w:t>
      </w:r>
      <w:r w:rsidR="00557E4F" w:rsidRPr="00E619A0">
        <w:rPr>
          <w:rFonts w:ascii="Times New Roman" w:hAnsi="Times New Roman" w:cs="Times New Roman"/>
          <w:lang w:val="pl-PL"/>
        </w:rPr>
        <w:t xml:space="preserve">2010 r. </w:t>
      </w:r>
      <w:r w:rsidR="00912839" w:rsidRPr="00E619A0">
        <w:rPr>
          <w:rFonts w:ascii="Times New Roman" w:hAnsi="Times New Roman" w:cs="Times New Roman"/>
          <w:lang w:val="pl-PL"/>
        </w:rPr>
        <w:t>o 0,</w:t>
      </w:r>
      <w:r w:rsidR="00557E4F" w:rsidRPr="00E619A0">
        <w:rPr>
          <w:rFonts w:ascii="Times New Roman" w:hAnsi="Times New Roman" w:cs="Times New Roman"/>
          <w:lang w:val="pl-PL"/>
        </w:rPr>
        <w:t>9%</w:t>
      </w:r>
      <w:r w:rsidR="00912839" w:rsidRPr="00E619A0">
        <w:rPr>
          <w:rFonts w:ascii="Times New Roman" w:hAnsi="Times New Roman" w:cs="Times New Roman"/>
          <w:lang w:val="pl-PL"/>
        </w:rPr>
        <w:t>.</w:t>
      </w:r>
      <w:r w:rsidR="00557E4F" w:rsidRPr="00E619A0">
        <w:rPr>
          <w:rFonts w:ascii="Times New Roman" w:hAnsi="Times New Roman" w:cs="Times New Roman"/>
          <w:lang w:val="pl-PL"/>
        </w:rPr>
        <w:t xml:space="preserve"> </w:t>
      </w:r>
      <w:r w:rsidRPr="00E619A0">
        <w:rPr>
          <w:rFonts w:ascii="Times New Roman" w:eastAsia="Times New Roman" w:hAnsi="Times New Roman" w:cs="Times New Roman"/>
          <w:szCs w:val="20"/>
          <w:lang w:val="pl-PL" w:eastAsia="pl-PL"/>
        </w:rPr>
        <w:t xml:space="preserve">Sytuacja w zakresie kształtowania się cen oraz kosztów wyraźnie </w:t>
      </w:r>
      <w:r w:rsidR="009158F9" w:rsidRPr="00E619A0">
        <w:rPr>
          <w:rFonts w:ascii="Times New Roman" w:eastAsia="Times New Roman" w:hAnsi="Times New Roman" w:cs="Times New Roman"/>
          <w:szCs w:val="20"/>
          <w:lang w:val="pl-PL" w:eastAsia="pl-PL"/>
        </w:rPr>
        <w:t>wskazywała, że</w:t>
      </w:r>
      <w:r w:rsidRPr="00E619A0">
        <w:rPr>
          <w:rFonts w:ascii="Times New Roman" w:eastAsia="Times New Roman" w:hAnsi="Times New Roman" w:cs="Times New Roman"/>
          <w:szCs w:val="20"/>
          <w:lang w:val="pl-PL" w:eastAsia="pl-PL"/>
        </w:rPr>
        <w:t xml:space="preserve"> Portugalia nie zwiększała konkurencyjności na tyle szybko, aby skorygować deficyt na rachunku obrotów bieżących, który osiągnął najwyższy poziom – 10 % PKB – w 2010 r</w:t>
      </w:r>
      <w:r w:rsidR="00557E4F" w:rsidRPr="00E619A0">
        <w:rPr>
          <w:rFonts w:ascii="Times New Roman" w:hAnsi="Times New Roman" w:cs="Times New Roman"/>
          <w:lang w:val="pl-PL"/>
        </w:rPr>
        <w:t xml:space="preserve">. Podobnie, </w:t>
      </w:r>
      <w:r w:rsidR="00376C6E" w:rsidRPr="00E619A0">
        <w:rPr>
          <w:rFonts w:ascii="Times New Roman" w:hAnsi="Times New Roman" w:cs="Times New Roman"/>
          <w:lang w:val="pl-PL"/>
        </w:rPr>
        <w:t xml:space="preserve">stosunkowo wysoki poziom konsumpcji indywidualnej </w:t>
      </w:r>
      <w:r w:rsidR="00557E4F" w:rsidRPr="00E619A0">
        <w:rPr>
          <w:rFonts w:ascii="Times New Roman" w:hAnsi="Times New Roman" w:cs="Times New Roman"/>
          <w:lang w:val="pl-PL"/>
        </w:rPr>
        <w:t xml:space="preserve">był wynikiem czynników o charakterze tymczasowym takich jak </w:t>
      </w:r>
      <w:r w:rsidRPr="00E619A0">
        <w:rPr>
          <w:rFonts w:ascii="Times New Roman" w:hAnsi="Times New Roman" w:cs="Times New Roman"/>
          <w:lang w:val="pl-PL"/>
        </w:rPr>
        <w:t>stosunkowo</w:t>
      </w:r>
      <w:r w:rsidR="00557E4F" w:rsidRPr="00E619A0">
        <w:rPr>
          <w:rFonts w:ascii="Times New Roman" w:hAnsi="Times New Roman" w:cs="Times New Roman"/>
          <w:lang w:val="pl-PL"/>
        </w:rPr>
        <w:t xml:space="preserve"> niski p</w:t>
      </w:r>
      <w:r w:rsidR="001F4B54" w:rsidRPr="00E619A0">
        <w:rPr>
          <w:rFonts w:ascii="Times New Roman" w:hAnsi="Times New Roman" w:cs="Times New Roman"/>
          <w:lang w:val="pl-PL"/>
        </w:rPr>
        <w:t>oziom inflacji związany ze spadk</w:t>
      </w:r>
      <w:r w:rsidR="00557E4F" w:rsidRPr="00E619A0">
        <w:rPr>
          <w:rFonts w:ascii="Times New Roman" w:hAnsi="Times New Roman" w:cs="Times New Roman"/>
          <w:lang w:val="pl-PL"/>
        </w:rPr>
        <w:t>i</w:t>
      </w:r>
      <w:r w:rsidR="001F4B54" w:rsidRPr="00E619A0">
        <w:rPr>
          <w:rFonts w:ascii="Times New Roman" w:hAnsi="Times New Roman" w:cs="Times New Roman"/>
          <w:lang w:val="pl-PL"/>
        </w:rPr>
        <w:t>e</w:t>
      </w:r>
      <w:r w:rsidR="00557E4F" w:rsidRPr="00E619A0">
        <w:rPr>
          <w:rFonts w:ascii="Times New Roman" w:hAnsi="Times New Roman" w:cs="Times New Roman"/>
          <w:lang w:val="pl-PL"/>
        </w:rPr>
        <w:t>m cen energii elektrycznej. Ponadto</w:t>
      </w:r>
      <w:r w:rsidR="00D521D3">
        <w:rPr>
          <w:rFonts w:ascii="Times New Roman" w:hAnsi="Times New Roman" w:cs="Times New Roman"/>
          <w:lang w:val="pl-PL"/>
        </w:rPr>
        <w:t>,</w:t>
      </w:r>
      <w:r w:rsidR="00557E4F" w:rsidRPr="00E619A0">
        <w:rPr>
          <w:rFonts w:ascii="Times New Roman" w:hAnsi="Times New Roman" w:cs="Times New Roman"/>
          <w:lang w:val="pl-PL"/>
        </w:rPr>
        <w:t xml:space="preserve"> pod koniec zeszłego roku przewidywania dotyczące wzrostu podatków pośrednich </w:t>
      </w:r>
      <w:r w:rsidR="009C4191" w:rsidRPr="00E619A0">
        <w:rPr>
          <w:rFonts w:ascii="Times New Roman" w:hAnsi="Times New Roman" w:cs="Times New Roman"/>
          <w:lang w:val="pl-PL"/>
        </w:rPr>
        <w:t>doprowadziły</w:t>
      </w:r>
      <w:r w:rsidR="00C21218" w:rsidRPr="00E619A0">
        <w:rPr>
          <w:rFonts w:ascii="Times New Roman" w:hAnsi="Times New Roman" w:cs="Times New Roman"/>
          <w:lang w:val="pl-PL"/>
        </w:rPr>
        <w:t xml:space="preserve"> do pewnej koncentracji wydatków</w:t>
      </w:r>
      <w:r w:rsidR="00557E4F" w:rsidRPr="00E619A0">
        <w:rPr>
          <w:rFonts w:ascii="Times New Roman" w:hAnsi="Times New Roman" w:cs="Times New Roman"/>
          <w:lang w:val="pl-PL"/>
        </w:rPr>
        <w:t xml:space="preserve">. </w:t>
      </w:r>
      <w:r w:rsidR="001F4B54" w:rsidRPr="00E619A0">
        <w:rPr>
          <w:rFonts w:ascii="Times New Roman" w:hAnsi="Times New Roman" w:cs="Times New Roman"/>
          <w:lang w:val="pl-PL"/>
        </w:rPr>
        <w:t>Ogólna</w:t>
      </w:r>
      <w:r w:rsidR="00557E4F" w:rsidRPr="00E619A0">
        <w:rPr>
          <w:rFonts w:ascii="Times New Roman" w:hAnsi="Times New Roman" w:cs="Times New Roman"/>
          <w:lang w:val="pl-PL"/>
        </w:rPr>
        <w:t xml:space="preserve"> słabość gospodarki oraz gwałtowny wzrost bezrobocia doprowadziły do powstania znacznego deficytu budżetowego, który w 2009 r. przekroczył 10% PKB, a w 2010 r. - 9%, w porównaniu do poziomu 3,5% zanotowanego w 2008 r.</w:t>
      </w:r>
    </w:p>
    <w:p w:rsidR="00557E4F" w:rsidRPr="00E619A0" w:rsidRDefault="00557E4F" w:rsidP="00557E4F">
      <w:pPr>
        <w:pStyle w:val="ECHRParaQuote"/>
        <w:spacing w:after="0"/>
        <w:rPr>
          <w:rFonts w:ascii="Times New Roman" w:hAnsi="Times New Roman" w:cs="Times New Roman"/>
          <w:b/>
          <w:lang w:val="pl-PL"/>
        </w:rPr>
      </w:pPr>
    </w:p>
    <w:p w:rsidR="00557E4F" w:rsidRPr="00E619A0" w:rsidRDefault="00557E4F"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t>W okresie recesji poziom bezrobocia w Portugalii systematycznie wzrastał, aż do 11,2 %. Ludzie młodzi (22,4 % w 2010 r.) oraz starsze pokolenia (7,7 %) są bardziej zagrożeni bezrobociem niż przeciętnie w UE. Osoby bezrobotne długotrwale stanowią obecnie ponad 55% wszystkich bezrobotnych, co może wywierać niekorzystny wpływ na ogólny poziom umiejętności osób bezrobotnych i wskazuje na poważne problemy strukturalne portugalskiego rynku pracy. Wraz z bezrobociem nadal słabł poziom zatrudnienia. Wskaźnik zatrudnienia osiągnął najniższy poziom w dziesięcioleciu (70,5 % in 2010 r.), choć nadal utrzymywał się powyżej średniej dla UE (68,6 %).</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557E4F"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t xml:space="preserve">W ostatnim czasie niekorzystny </w:t>
      </w:r>
      <w:r w:rsidR="001F4B54" w:rsidRPr="00E619A0">
        <w:rPr>
          <w:rFonts w:ascii="Times New Roman" w:hAnsi="Times New Roman" w:cs="Times New Roman"/>
          <w:lang w:val="pl-PL"/>
        </w:rPr>
        <w:t>rozwój</w:t>
      </w:r>
      <w:r w:rsidRPr="00E619A0">
        <w:rPr>
          <w:rFonts w:ascii="Times New Roman" w:hAnsi="Times New Roman" w:cs="Times New Roman"/>
          <w:lang w:val="pl-PL"/>
        </w:rPr>
        <w:t xml:space="preserve"> sytuacji w zakresie finansów publicznych oraz </w:t>
      </w:r>
      <w:r w:rsidR="00376C6E" w:rsidRPr="00E619A0">
        <w:rPr>
          <w:rFonts w:ascii="Times New Roman" w:hAnsi="Times New Roman" w:cs="Times New Roman"/>
          <w:lang w:val="pl-PL"/>
        </w:rPr>
        <w:t>pesymistyczne</w:t>
      </w:r>
      <w:r w:rsidRPr="00E619A0">
        <w:rPr>
          <w:rFonts w:ascii="Times New Roman" w:hAnsi="Times New Roman" w:cs="Times New Roman"/>
          <w:lang w:val="pl-PL"/>
        </w:rPr>
        <w:t xml:space="preserve"> prognozy wzrostu gospodarczego doprowadziły do spadku zaufania i zwiększenia presji na rynkach obligacji skarbowych. Równocześnie w sektorze bankowym, w znacznym stopniu uzależnionym od finansowania zewnętrznego, </w:t>
      </w:r>
      <w:r w:rsidR="009C4191" w:rsidRPr="00E619A0">
        <w:rPr>
          <w:rFonts w:ascii="Times New Roman" w:hAnsi="Times New Roman" w:cs="Times New Roman"/>
          <w:lang w:val="pl-PL"/>
        </w:rPr>
        <w:t xml:space="preserve">znacząco </w:t>
      </w:r>
      <w:r w:rsidRPr="00E619A0">
        <w:rPr>
          <w:rFonts w:ascii="Times New Roman" w:hAnsi="Times New Roman" w:cs="Times New Roman"/>
          <w:lang w:val="pl-PL"/>
        </w:rPr>
        <w:t xml:space="preserve">spadł poziom finansowania rynkowego, w związku z czym banki musiały w </w:t>
      </w:r>
      <w:r w:rsidR="009C4191" w:rsidRPr="00E619A0">
        <w:rPr>
          <w:rFonts w:ascii="Times New Roman" w:hAnsi="Times New Roman" w:cs="Times New Roman"/>
          <w:lang w:val="pl-PL"/>
        </w:rPr>
        <w:t>istotnym</w:t>
      </w:r>
      <w:r w:rsidRPr="00E619A0">
        <w:rPr>
          <w:rFonts w:ascii="Times New Roman" w:hAnsi="Times New Roman" w:cs="Times New Roman"/>
          <w:lang w:val="pl-PL"/>
        </w:rPr>
        <w:t xml:space="preserve"> stopniu korzystać z finansowania w ramach Eurosystemu. </w:t>
      </w:r>
      <w:r w:rsidR="001F4B54" w:rsidRPr="00E619A0">
        <w:rPr>
          <w:rFonts w:ascii="Times New Roman" w:hAnsi="Times New Roman" w:cs="Times New Roman"/>
          <w:lang w:val="pl-PL"/>
        </w:rPr>
        <w:t>Po porażce związanej z nieuzyskaniem zatwierdzenia Parlamentu dla Programu Stabilności pod koniec marca rząd podał się do dymisji</w:t>
      </w:r>
      <w:r w:rsidRPr="00E619A0">
        <w:rPr>
          <w:rFonts w:ascii="Times New Roman" w:hAnsi="Times New Roman" w:cs="Times New Roman"/>
          <w:lang w:val="pl-PL"/>
        </w:rPr>
        <w:t>. Ze względu na przewidywane kolejne obniżki ocen portugalskich obligacji skarbowych stopy procentowe osiągnęły poziom nie</w:t>
      </w:r>
      <w:r w:rsidR="00750D58" w:rsidRPr="00E619A0">
        <w:rPr>
          <w:rFonts w:ascii="Times New Roman" w:hAnsi="Times New Roman" w:cs="Times New Roman"/>
          <w:lang w:val="pl-PL"/>
        </w:rPr>
        <w:t xml:space="preserve">właściwy z perspektywy </w:t>
      </w:r>
      <w:r w:rsidRPr="00E619A0">
        <w:rPr>
          <w:rFonts w:ascii="Times New Roman" w:hAnsi="Times New Roman" w:cs="Times New Roman"/>
          <w:lang w:val="pl-PL"/>
        </w:rPr>
        <w:t>długotermin</w:t>
      </w:r>
      <w:r w:rsidR="00912839" w:rsidRPr="00E619A0">
        <w:rPr>
          <w:rFonts w:ascii="Times New Roman" w:hAnsi="Times New Roman" w:cs="Times New Roman"/>
          <w:lang w:val="pl-PL"/>
        </w:rPr>
        <w:t>ow</w:t>
      </w:r>
      <w:r w:rsidR="00750D58" w:rsidRPr="00E619A0">
        <w:rPr>
          <w:rFonts w:ascii="Times New Roman" w:hAnsi="Times New Roman" w:cs="Times New Roman"/>
          <w:lang w:val="pl-PL"/>
        </w:rPr>
        <w:t xml:space="preserve">ych celów w zakresie </w:t>
      </w:r>
      <w:r w:rsidRPr="00E619A0">
        <w:rPr>
          <w:rFonts w:ascii="Times New Roman" w:hAnsi="Times New Roman" w:cs="Times New Roman"/>
          <w:lang w:val="pl-PL"/>
        </w:rPr>
        <w:t xml:space="preserve">stabilności finansów publicznych. W rezultacie Portugalia w dniu 7 kwietnia </w:t>
      </w:r>
      <w:r w:rsidR="00750D58" w:rsidRPr="00E619A0">
        <w:rPr>
          <w:rFonts w:ascii="Times New Roman" w:hAnsi="Times New Roman" w:cs="Times New Roman"/>
          <w:lang w:val="pl-PL"/>
        </w:rPr>
        <w:t xml:space="preserve">ROK </w:t>
      </w:r>
      <w:r w:rsidRPr="00E619A0">
        <w:rPr>
          <w:rFonts w:ascii="Times New Roman" w:hAnsi="Times New Roman" w:cs="Times New Roman"/>
          <w:lang w:val="pl-PL"/>
        </w:rPr>
        <w:t xml:space="preserve">zwróciła się do Unii Europejskiej i Międzynarodowego Funduszu Walutowego (MFW) z prośbą o udzielenie międzynarodowego wsparcia finansowego. Negocjacje pomiędzy władzami portugalskimi a wspólną reprezentacją Komisji, MFW i EBC doprowadziły do zawarcia w dniu 3 maja </w:t>
      </w:r>
      <w:r w:rsidR="00750D58" w:rsidRPr="00E619A0">
        <w:rPr>
          <w:rFonts w:ascii="Times New Roman" w:hAnsi="Times New Roman" w:cs="Times New Roman"/>
          <w:lang w:val="pl-PL"/>
        </w:rPr>
        <w:t xml:space="preserve">ROK </w:t>
      </w:r>
      <w:r w:rsidRPr="00E619A0">
        <w:rPr>
          <w:rFonts w:ascii="Times New Roman" w:hAnsi="Times New Roman" w:cs="Times New Roman"/>
          <w:lang w:val="pl-PL"/>
        </w:rPr>
        <w:t>umowy Gospodarczego Programu Dostosowawczego na lata 2011-2014.</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557E4F" w:rsidP="00557E4F">
      <w:pPr>
        <w:pStyle w:val="ECHRParaQuote"/>
        <w:spacing w:before="0" w:after="0"/>
        <w:ind w:firstLine="0"/>
        <w:rPr>
          <w:rFonts w:ascii="Times New Roman" w:hAnsi="Times New Roman" w:cs="Times New Roman"/>
          <w:b/>
          <w:lang w:val="pl-PL"/>
        </w:rPr>
      </w:pPr>
      <w:r w:rsidRPr="00E619A0">
        <w:rPr>
          <w:rFonts w:ascii="Times New Roman" w:hAnsi="Times New Roman" w:cs="Times New Roman"/>
          <w:b/>
          <w:lang w:val="pl-PL"/>
        </w:rPr>
        <w:t>2.  Główne elementy gospodarczego programu dostosowawczego [bez przypisów]</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557E4F"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t xml:space="preserve">W dniu 17 maja Rada ECOFIN przyjęła oficjalnie Decyzję, na mocy której możliwe będzie udzielenie Portugalii pomocy finansowej. Program przewiduje udzielenie finasowania zewnętrznego przez Unię Europejską, Państwa Członkowskie </w:t>
      </w:r>
      <w:r w:rsidR="009158F9" w:rsidRPr="00E619A0">
        <w:rPr>
          <w:rFonts w:ascii="Times New Roman" w:hAnsi="Times New Roman" w:cs="Times New Roman"/>
          <w:lang w:val="pl-PL"/>
        </w:rPr>
        <w:t>strefy euro</w:t>
      </w:r>
      <w:r w:rsidRPr="00E619A0">
        <w:rPr>
          <w:rFonts w:ascii="Times New Roman" w:hAnsi="Times New Roman" w:cs="Times New Roman"/>
          <w:lang w:val="pl-PL"/>
        </w:rPr>
        <w:t xml:space="preserve"> oraz MFW w wysokości do 78 mld EUR oraz zobowiązanie Portugalii do </w:t>
      </w:r>
      <w:r w:rsidR="00750D58" w:rsidRPr="00E619A0">
        <w:rPr>
          <w:rFonts w:ascii="Times New Roman" w:hAnsi="Times New Roman" w:cs="Times New Roman"/>
          <w:lang w:val="pl-PL"/>
        </w:rPr>
        <w:t xml:space="preserve">wprowadzenia </w:t>
      </w:r>
      <w:r w:rsidR="00376C6E" w:rsidRPr="00E619A0">
        <w:rPr>
          <w:rFonts w:ascii="Times New Roman" w:hAnsi="Times New Roman" w:cs="Times New Roman"/>
          <w:lang w:val="pl-PL"/>
        </w:rPr>
        <w:t>głębokich</w:t>
      </w:r>
      <w:r w:rsidR="00750D58" w:rsidRPr="00E619A0">
        <w:rPr>
          <w:rFonts w:ascii="Times New Roman" w:hAnsi="Times New Roman" w:cs="Times New Roman"/>
          <w:lang w:val="pl-PL"/>
        </w:rPr>
        <w:t xml:space="preserve">, </w:t>
      </w:r>
      <w:r w:rsidR="00376C6E" w:rsidRPr="00E619A0">
        <w:rPr>
          <w:rFonts w:ascii="Times New Roman" w:hAnsi="Times New Roman" w:cs="Times New Roman"/>
          <w:lang w:val="pl-PL"/>
        </w:rPr>
        <w:t xml:space="preserve">przyspieszonych </w:t>
      </w:r>
      <w:r w:rsidRPr="00E619A0">
        <w:rPr>
          <w:rFonts w:ascii="Times New Roman" w:hAnsi="Times New Roman" w:cs="Times New Roman"/>
          <w:lang w:val="pl-PL"/>
        </w:rPr>
        <w:t>reform na kilku obszarach.</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557E4F"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t xml:space="preserve">Cele podatkowe Programu są ambitne, lecz realistyczne. Oczekuje się, że deficyt publiczny wyniesie 5,9 % PKB w 2011 r., 4,5% PKB w 2012 r. i 3,0% w 2013 r., zgodnie z wymogami Procedury Nadmiernego Deficytu. Przewiduje się, że zadłużenie Rządu osiągnie najwyższy poziom w roku 2013 (około 108%), a następnie zacznie spadać. </w:t>
      </w:r>
      <w:r w:rsidR="00376C6E" w:rsidRPr="00E619A0">
        <w:rPr>
          <w:rFonts w:ascii="Times New Roman" w:hAnsi="Times New Roman" w:cs="Times New Roman"/>
          <w:lang w:val="pl-PL"/>
        </w:rPr>
        <w:t>Działania konsolidacyjne prowadzone są w sposób przyspieszony, zakrojony na szeroką skalę i wspierane dzięki wdrażaniu szerokiego wachlarza środków mających na celu ograniczeni wydatków i wzrost przychodów.</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914D47"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t>Z punktu widzenia wydatków</w:t>
      </w:r>
      <w:r w:rsidR="00557E4F" w:rsidRPr="00E619A0">
        <w:rPr>
          <w:rFonts w:ascii="Times New Roman" w:hAnsi="Times New Roman" w:cs="Times New Roman"/>
          <w:lang w:val="pl-PL"/>
        </w:rPr>
        <w:t xml:space="preserve"> środki obejmują między innymi ograniczenie wynagrodzeń w sektorze publicznym, niższe kwoty przekazywane na rzecz administracji lokalnej i regionalnej oraz przedsiębiorstw państwowych, korektę emerytur oraz niższe nakłady kapitałowe. Z perspektywy przychodów, środki obejmują między innymi </w:t>
      </w:r>
      <w:r w:rsidR="00376C6E" w:rsidRPr="00E619A0">
        <w:rPr>
          <w:rFonts w:ascii="Times New Roman" w:hAnsi="Times New Roman" w:cs="Times New Roman"/>
          <w:lang w:val="pl-PL"/>
        </w:rPr>
        <w:t xml:space="preserve">poszerzenie podstawy opodatkowania podatkiem dochodowym od osób prawnych i podatkiem dochodowym od osób fizycznych poprzez ograniczenie odliczeń i zasad specjalnych; zapewnienie zbieżności odliczeń od podatku dochodowego od osób fizycznych mających zastosowanie w przypadku rent i emerytur oraz dochodów z pracy; zmiany zasad opodatkowania nieruchomości polegające na znacznym ograniczeniu zakresu zwolnień; poszerzenie podstawy opodatkowania podatkiem VAT poprzez ograniczenie zakresu zwolnień i zmiany w wykazach towarów i usług objętych stawką </w:t>
      </w:r>
      <w:r w:rsidR="009D30C1" w:rsidRPr="00E619A0">
        <w:rPr>
          <w:rFonts w:ascii="Times New Roman" w:hAnsi="Times New Roman" w:cs="Times New Roman"/>
          <w:lang w:val="pl-PL"/>
        </w:rPr>
        <w:t xml:space="preserve">standardową i </w:t>
      </w:r>
      <w:r w:rsidR="00376C6E" w:rsidRPr="00E619A0">
        <w:rPr>
          <w:rFonts w:ascii="Times New Roman" w:hAnsi="Times New Roman" w:cs="Times New Roman"/>
          <w:lang w:val="pl-PL"/>
        </w:rPr>
        <w:t>obniżoną</w:t>
      </w:r>
      <w:r w:rsidR="00557E4F" w:rsidRPr="00E619A0">
        <w:rPr>
          <w:rFonts w:ascii="Times New Roman" w:hAnsi="Times New Roman" w:cs="Times New Roman"/>
          <w:lang w:val="pl-PL"/>
        </w:rPr>
        <w:t xml:space="preserve">. Konsolidację budżetu wspierać będą działania </w:t>
      </w:r>
      <w:r w:rsidR="001F4B54" w:rsidRPr="00E619A0">
        <w:rPr>
          <w:rFonts w:ascii="Times New Roman" w:hAnsi="Times New Roman" w:cs="Times New Roman"/>
          <w:lang w:val="pl-PL"/>
        </w:rPr>
        <w:t>uzupełniające</w:t>
      </w:r>
      <w:r w:rsidR="00557E4F" w:rsidRPr="00E619A0">
        <w:rPr>
          <w:rFonts w:ascii="Times New Roman" w:hAnsi="Times New Roman" w:cs="Times New Roman"/>
          <w:lang w:val="pl-PL"/>
        </w:rPr>
        <w:t xml:space="preserve">, których celem będzie wzmocnienie ram podatkowych, doskonalenie wszystkich etapów procesu budżetowania, w tym monitorowania i kontroli, aby ograniczać ryzyka </w:t>
      </w:r>
      <w:r w:rsidR="001F4B54" w:rsidRPr="00E619A0">
        <w:rPr>
          <w:rFonts w:ascii="Times New Roman" w:hAnsi="Times New Roman" w:cs="Times New Roman"/>
          <w:lang w:val="pl-PL"/>
        </w:rPr>
        <w:t>podatkowe</w:t>
      </w:r>
      <w:r w:rsidR="00557E4F" w:rsidRPr="00E619A0">
        <w:rPr>
          <w:rFonts w:ascii="Times New Roman" w:hAnsi="Times New Roman" w:cs="Times New Roman"/>
          <w:lang w:val="pl-PL"/>
        </w:rPr>
        <w:t>. Ponadto</w:t>
      </w:r>
      <w:r w:rsidR="00A903CF">
        <w:rPr>
          <w:rFonts w:ascii="Times New Roman" w:hAnsi="Times New Roman" w:cs="Times New Roman"/>
          <w:lang w:val="pl-PL"/>
        </w:rPr>
        <w:t>,</w:t>
      </w:r>
      <w:r w:rsidR="00557E4F" w:rsidRPr="00E619A0">
        <w:rPr>
          <w:rFonts w:ascii="Times New Roman" w:hAnsi="Times New Roman" w:cs="Times New Roman"/>
          <w:lang w:val="pl-PL"/>
        </w:rPr>
        <w:t xml:space="preserve"> Portugalia osiągnie poprawę efektywności z tytułu istotnej reorganizacji administracji publicznej na poziom</w:t>
      </w:r>
      <w:r w:rsidR="00912839" w:rsidRPr="00E619A0">
        <w:rPr>
          <w:rFonts w:ascii="Times New Roman" w:hAnsi="Times New Roman" w:cs="Times New Roman"/>
          <w:lang w:val="pl-PL"/>
        </w:rPr>
        <w:t>i</w:t>
      </w:r>
      <w:r w:rsidR="00557E4F" w:rsidRPr="00E619A0">
        <w:rPr>
          <w:rFonts w:ascii="Times New Roman" w:hAnsi="Times New Roman" w:cs="Times New Roman"/>
          <w:lang w:val="pl-PL"/>
        </w:rPr>
        <w:t>e centralnym, regionalnym i lokalnym.</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557E4F"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lastRenderedPageBreak/>
        <w:t xml:space="preserve">Zgodnie z zaleceniami Protokołu Ustaleń </w:t>
      </w:r>
      <w:r w:rsidRPr="00E619A0">
        <w:rPr>
          <w:rFonts w:ascii="Times New Roman" w:hAnsi="Times New Roman" w:cs="Times New Roman"/>
          <w:bCs/>
          <w:lang w:val="pl-PL"/>
        </w:rPr>
        <w:t>dotycząc</w:t>
      </w:r>
      <w:r w:rsidR="00175EEE" w:rsidRPr="00E619A0">
        <w:rPr>
          <w:rFonts w:ascii="Times New Roman" w:hAnsi="Times New Roman" w:cs="Times New Roman"/>
          <w:bCs/>
          <w:lang w:val="pl-PL"/>
        </w:rPr>
        <w:t>ego</w:t>
      </w:r>
      <w:r w:rsidRPr="00E619A0">
        <w:rPr>
          <w:rFonts w:ascii="Times New Roman" w:hAnsi="Times New Roman" w:cs="Times New Roman"/>
          <w:bCs/>
          <w:lang w:val="pl-PL"/>
        </w:rPr>
        <w:t xml:space="preserve"> Szczegółowych Warunków w zakresie Polityki Gospodarczej</w:t>
      </w:r>
      <w:r w:rsidRPr="00E619A0">
        <w:rPr>
          <w:rFonts w:ascii="Times New Roman" w:hAnsi="Times New Roman" w:cs="Times New Roman"/>
          <w:lang w:val="pl-PL"/>
        </w:rPr>
        <w:t xml:space="preserve">, Portugalia opublikuje dokument strategii podatkowej </w:t>
      </w:r>
      <w:r w:rsidR="00376C6E" w:rsidRPr="00E619A0">
        <w:rPr>
          <w:rFonts w:ascii="Times New Roman" w:hAnsi="Times New Roman" w:cs="Times New Roman"/>
          <w:lang w:val="pl-PL"/>
        </w:rPr>
        <w:t xml:space="preserve">dla sektora władz publicznych </w:t>
      </w:r>
      <w:r w:rsidRPr="00E619A0">
        <w:rPr>
          <w:rFonts w:ascii="Times New Roman" w:hAnsi="Times New Roman" w:cs="Times New Roman"/>
          <w:lang w:val="pl-PL"/>
        </w:rPr>
        <w:t>do końca sierpnia 2011 r., a następnie raz do roku w kwietniu, dla celów Programu Stabilności. W dokumencie przedstawione zostaną 4-letnie średnioterminowe prognozy gospodarcze i podatkowe oraz 4-letnie koszty decyzji podejmowanych w ramach nowej polityki. W budżetach uwzględniane będzie uzgodnienie aktualizacji czteroletnich prognoz podatkowych na podstawie decyzji podejmowanych w ramach polityki gospodarczej oraz aktualizacji parametrów, np. decyzji dotyczących polityki, zmian w środowisku makroekonomicznym).</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557E4F"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t>Reformy strukturalne obejmują szeroki zakres obszarów, w tym rynek pracy, rynek mieszkaniowy, oświatę, energetykę, transport, środowisko biznesowej, wymiar sprawiedliwoś</w:t>
      </w:r>
      <w:r w:rsidR="00376C6E" w:rsidRPr="00E619A0">
        <w:rPr>
          <w:rFonts w:ascii="Times New Roman" w:hAnsi="Times New Roman" w:cs="Times New Roman"/>
          <w:lang w:val="pl-PL"/>
        </w:rPr>
        <w:t>ci, usługi i opiekę zdrowotną. Reformy strukturalne będą odbywać się w trybie przyspieszonym.</w:t>
      </w:r>
      <w:r w:rsidRPr="00E619A0">
        <w:rPr>
          <w:rFonts w:ascii="Times New Roman" w:hAnsi="Times New Roman" w:cs="Times New Roman"/>
          <w:lang w:val="pl-PL"/>
        </w:rPr>
        <w:t xml:space="preserve"> Oczekuje się, że Portugalia już w 2011 r. wprowadzi pierwszą część działań mających na celu poprawę funkcjonowania rynku pracy poprzez ograniczenie wypłat odpraw i wprowadzenie bardziej elastycznych rozwiązań w zakresie czasu pracy. Portugalia będzie podejmować dalsze działania mające na celu rozwiązanie problemu niskiego poziomu wyksztalcenia, wczesnego porzucania nauki, poprawy jakości kształcenia na poziomie średnim oraz kształcenia i praktyk zawodowych z zamiarem zwiększenia efektywności sektora edukacji, podniesienia jakości kapitału ludzkiego oraz ułatwienia dostosowania do rynku pracy. W sektorze energetyki i pozostałych sektorach sieciowych Portugalia wprowadzi działania mające na cel</w:t>
      </w:r>
      <w:r w:rsidR="00A90988">
        <w:rPr>
          <w:rFonts w:ascii="Times New Roman" w:hAnsi="Times New Roman" w:cs="Times New Roman"/>
          <w:lang w:val="pl-PL"/>
        </w:rPr>
        <w:t>u</w:t>
      </w:r>
      <w:r w:rsidRPr="00E619A0">
        <w:rPr>
          <w:rFonts w:ascii="Times New Roman" w:hAnsi="Times New Roman" w:cs="Times New Roman"/>
          <w:lang w:val="pl-PL"/>
        </w:rPr>
        <w:t xml:space="preserve"> pogłębienie rynków oraz wspierani</w:t>
      </w:r>
      <w:r w:rsidR="00376C6E" w:rsidRPr="00E619A0">
        <w:rPr>
          <w:rFonts w:ascii="Times New Roman" w:hAnsi="Times New Roman" w:cs="Times New Roman"/>
          <w:lang w:val="pl-PL"/>
        </w:rPr>
        <w:t>e konkurencji i elastyczności. Dla</w:t>
      </w:r>
      <w:r w:rsidRPr="00E619A0">
        <w:rPr>
          <w:rFonts w:ascii="Times New Roman" w:hAnsi="Times New Roman" w:cs="Times New Roman"/>
          <w:lang w:val="pl-PL"/>
        </w:rPr>
        <w:t xml:space="preserve"> </w:t>
      </w:r>
      <w:r w:rsidR="00376C6E" w:rsidRPr="00E619A0">
        <w:rPr>
          <w:rFonts w:ascii="Times New Roman" w:hAnsi="Times New Roman" w:cs="Times New Roman"/>
          <w:lang w:val="pl-PL"/>
        </w:rPr>
        <w:t>osiągnięcia</w:t>
      </w:r>
      <w:r w:rsidRPr="00E619A0">
        <w:rPr>
          <w:rFonts w:ascii="Times New Roman" w:hAnsi="Times New Roman" w:cs="Times New Roman"/>
          <w:lang w:val="pl-PL"/>
        </w:rPr>
        <w:t xml:space="preserve"> celów w zakresie odnawialnych źródeł energii niezbędne jest usunięcie barier niezwiązanych z kosztami. Portugalia zapewni efektywne kosztowo wdrożenie planów podnoszenia efektywności energetycznej. Dalsze działania wspierające konkurencję i działania dostosowawcze będą wprowadzane także na innych obszarach, przykładowo na rynku usług, nieruchomości, w ramach wymiaru sprawiedliwości oraz warunków otoczenia biznesowego.</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557E4F"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t>Nadal utrzymuje się presja w zakresie płynności banków, mimo że dotychczas portugalski system bankowy stosunkowo dobrze radził sobie z sytuacją kryzysową. Zgodnie z postanowieniami Programu Banco de Portugal będzie skrupulatnie monitorować sytuację w zakresie płynności systemu bankowego i – w razie konieczności – podejmować interwencję. W szczególności istnieje możliwość emisji obligacji gwarantowanych przez rząd o wartości do 35 mld EUR. W okresie obowiązywania Programu sektor bankowy przyjmie strategię zrównoważone</w:t>
      </w:r>
      <w:r w:rsidR="00175EEE" w:rsidRPr="00E619A0">
        <w:rPr>
          <w:rFonts w:ascii="Times New Roman" w:hAnsi="Times New Roman" w:cs="Times New Roman"/>
          <w:lang w:val="pl-PL"/>
        </w:rPr>
        <w:t>j</w:t>
      </w:r>
      <w:r w:rsidRPr="00E619A0">
        <w:rPr>
          <w:rFonts w:ascii="Times New Roman" w:hAnsi="Times New Roman" w:cs="Times New Roman"/>
          <w:lang w:val="pl-PL"/>
        </w:rPr>
        <w:t xml:space="preserve"> i uporządkowane</w:t>
      </w:r>
      <w:r w:rsidR="00175EEE" w:rsidRPr="00E619A0">
        <w:rPr>
          <w:rFonts w:ascii="Times New Roman" w:hAnsi="Times New Roman" w:cs="Times New Roman"/>
          <w:lang w:val="pl-PL"/>
        </w:rPr>
        <w:t>j</w:t>
      </w:r>
      <w:r w:rsidRPr="00E619A0">
        <w:rPr>
          <w:rFonts w:ascii="Times New Roman" w:hAnsi="Times New Roman" w:cs="Times New Roman"/>
          <w:lang w:val="pl-PL"/>
        </w:rPr>
        <w:t xml:space="preserve"> redukcji finansowania dłużnego w celu stałej eliminacji braku równowagi finansowej. Ponadto </w:t>
      </w:r>
      <w:r w:rsidRPr="00E619A0">
        <w:rPr>
          <w:rFonts w:ascii="Times New Roman" w:hAnsi="Times New Roman" w:cs="Times New Roman"/>
          <w:bCs/>
          <w:lang w:val="pl-PL"/>
        </w:rPr>
        <w:t>mechanizm wsparcia wypłacalności banków</w:t>
      </w:r>
      <w:r w:rsidRPr="00E619A0">
        <w:rPr>
          <w:rFonts w:ascii="Times New Roman" w:hAnsi="Times New Roman" w:cs="Times New Roman"/>
          <w:lang w:val="pl-PL"/>
        </w:rPr>
        <w:t xml:space="preserve"> otrzyma środki w wysokości do 12 mld EUR. Jednocześnie banki będą miały obowiązek dalszej poprawy bufora kapitałowego poprzez podwyższenie wartości wskaźnika kapitałów Tier 1 do 10% do końca roku 2012.</w:t>
      </w:r>
    </w:p>
    <w:p w:rsidR="00557E4F" w:rsidRPr="00E619A0" w:rsidRDefault="00557E4F" w:rsidP="00557E4F">
      <w:pPr>
        <w:pStyle w:val="ECHRParaQuote"/>
        <w:spacing w:before="0" w:after="0"/>
        <w:ind w:firstLine="0"/>
        <w:rPr>
          <w:rFonts w:ascii="Times New Roman" w:hAnsi="Times New Roman" w:cs="Times New Roman"/>
          <w:lang w:val="pl-PL"/>
        </w:rPr>
      </w:pPr>
    </w:p>
    <w:p w:rsidR="00557E4F" w:rsidRPr="00E619A0" w:rsidRDefault="00557E4F" w:rsidP="00557E4F">
      <w:pPr>
        <w:pStyle w:val="ECHRParaQuote"/>
        <w:spacing w:before="0" w:after="0"/>
        <w:ind w:firstLine="0"/>
        <w:rPr>
          <w:rFonts w:ascii="Times New Roman" w:hAnsi="Times New Roman" w:cs="Times New Roman"/>
          <w:lang w:val="pl-PL"/>
        </w:rPr>
      </w:pPr>
      <w:r w:rsidRPr="00E619A0">
        <w:rPr>
          <w:rFonts w:ascii="Times New Roman" w:hAnsi="Times New Roman" w:cs="Times New Roman"/>
          <w:lang w:val="pl-PL"/>
        </w:rPr>
        <w:t xml:space="preserve">Łączna wartość Programu wyniesie 78 mld EUR, z czego 52 mld EUR wypłaci UE (przy równym podziale wpłat z tytułu Europejskiego Mechanizmu Stabilizacji Finansowej oraz Europejskiego Instrumentu Stabilności Finansowej), natomiast pozostałe 26 mld EUR pokryje MFW. Kwota Programu obejmuje 12 mld EUR zarezerwowanych na pokrycie ewentualnych potrzeb sektora bankowego w zakresie dokapitalizowania, podczas gdy przewiduje się, że wpływy z prywatyzacji zredukują potrzeby finansowe w okresie obowiązywania Programu o około 5 mld EUR. </w:t>
      </w:r>
      <w:r w:rsidR="006C27EF" w:rsidRPr="00E619A0">
        <w:rPr>
          <w:rFonts w:ascii="Times New Roman" w:hAnsi="Times New Roman" w:cs="Times New Roman"/>
          <w:lang w:val="pl-PL"/>
        </w:rPr>
        <w:t xml:space="preserve">Oczekuje się, że </w:t>
      </w:r>
      <w:r w:rsidRPr="00E619A0">
        <w:rPr>
          <w:rFonts w:ascii="Times New Roman" w:hAnsi="Times New Roman" w:cs="Times New Roman"/>
          <w:lang w:val="pl-PL"/>
        </w:rPr>
        <w:t>Portugali</w:t>
      </w:r>
      <w:r w:rsidR="006C27EF" w:rsidRPr="00E619A0">
        <w:rPr>
          <w:rFonts w:ascii="Times New Roman" w:hAnsi="Times New Roman" w:cs="Times New Roman"/>
          <w:lang w:val="pl-PL"/>
        </w:rPr>
        <w:t>a będzie w stanie kontynuować</w:t>
      </w:r>
      <w:r w:rsidR="009D30C1" w:rsidRPr="00E619A0">
        <w:rPr>
          <w:rFonts w:ascii="Times New Roman" w:hAnsi="Times New Roman" w:cs="Times New Roman"/>
          <w:lang w:val="pl-PL"/>
        </w:rPr>
        <w:t xml:space="preserve"> rolowanie</w:t>
      </w:r>
      <w:r w:rsidRPr="00E619A0">
        <w:rPr>
          <w:rFonts w:ascii="Times New Roman" w:hAnsi="Times New Roman" w:cs="Times New Roman"/>
          <w:lang w:val="pl-PL"/>
        </w:rPr>
        <w:t xml:space="preserve"> </w:t>
      </w:r>
      <w:r w:rsidR="006C27EF" w:rsidRPr="00E619A0">
        <w:rPr>
          <w:rFonts w:ascii="Times New Roman" w:hAnsi="Times New Roman" w:cs="Times New Roman"/>
          <w:lang w:val="pl-PL"/>
        </w:rPr>
        <w:t xml:space="preserve">części istniejącego zadłużenia krótkoterminowego i powrócić na rynek zadłużenia długoterminowego w drugiej połowie </w:t>
      </w:r>
      <w:r w:rsidRPr="00E619A0">
        <w:rPr>
          <w:rFonts w:ascii="Times New Roman" w:hAnsi="Times New Roman" w:cs="Times New Roman"/>
          <w:lang w:val="pl-PL"/>
        </w:rPr>
        <w:t>2013 r.</w:t>
      </w:r>
      <w:r w:rsidR="006C27EF" w:rsidRPr="00E619A0">
        <w:rPr>
          <w:rFonts w:ascii="Times New Roman" w:hAnsi="Times New Roman" w:cs="Times New Roman"/>
          <w:lang w:val="pl-PL"/>
        </w:rPr>
        <w:t xml:space="preserve"> </w:t>
      </w:r>
      <w:r w:rsidRPr="00E619A0">
        <w:rPr>
          <w:rFonts w:ascii="Times New Roman" w:hAnsi="Times New Roman" w:cs="Times New Roman"/>
          <w:lang w:val="pl-PL"/>
        </w:rPr>
        <w:t>Program</w:t>
      </w:r>
      <w:r w:rsidR="006C27EF" w:rsidRPr="00E619A0">
        <w:rPr>
          <w:rFonts w:ascii="Times New Roman" w:hAnsi="Times New Roman" w:cs="Times New Roman"/>
          <w:lang w:val="pl-PL"/>
        </w:rPr>
        <w:t xml:space="preserve"> określa także bufor finansowy </w:t>
      </w:r>
      <w:r w:rsidR="006C27EF" w:rsidRPr="00E619A0">
        <w:rPr>
          <w:rFonts w:ascii="Times New Roman" w:hAnsi="Times New Roman" w:cs="Times New Roman"/>
          <w:lang w:val="pl-PL"/>
        </w:rPr>
        <w:lastRenderedPageBreak/>
        <w:t>na pokrycie nieprzewidzianych odchyleń od podstawowego scenariusza finansowania opracowanego przez Komisję</w:t>
      </w:r>
      <w:r w:rsidRPr="00E619A0">
        <w:rPr>
          <w:rFonts w:ascii="Times New Roman" w:hAnsi="Times New Roman" w:cs="Times New Roman"/>
          <w:lang w:val="pl-PL"/>
        </w:rPr>
        <w:t>.”</w:t>
      </w:r>
    </w:p>
    <w:p w:rsidR="00557E4F" w:rsidRPr="00E619A0" w:rsidRDefault="00557E4F" w:rsidP="00557E4F">
      <w:pPr>
        <w:pStyle w:val="ECHRTitle1"/>
        <w:rPr>
          <w:rFonts w:ascii="Times New Roman" w:hAnsi="Times New Roman" w:cs="Times New Roman"/>
          <w:lang w:val="pl-PL"/>
        </w:rPr>
      </w:pPr>
      <w:r w:rsidRPr="00E619A0">
        <w:rPr>
          <w:rFonts w:ascii="Times New Roman" w:hAnsi="Times New Roman" w:cs="Times New Roman"/>
          <w:lang w:val="pl-PL"/>
        </w:rPr>
        <w:t>ZARZUTY</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12.  Nie odnosząc się do konkretnych postanowień Konwencji, skarżący wskazali na wpływ obniżki wysokości świadczeń urlopowych i świątecznych na ich sytuację finansową i warunki życia.</w:t>
      </w:r>
    </w:p>
    <w:p w:rsidR="00557E4F" w:rsidRPr="00E619A0" w:rsidRDefault="00557E4F" w:rsidP="00557E4F">
      <w:pPr>
        <w:pStyle w:val="ECHRPara"/>
        <w:rPr>
          <w:rFonts w:ascii="Times New Roman" w:hAnsi="Times New Roman" w:cs="Times New Roman"/>
          <w:color w:val="000000"/>
          <w:szCs w:val="24"/>
          <w:lang w:val="pl-PL" w:eastAsia="en-GB"/>
        </w:rPr>
      </w:pPr>
      <w:r w:rsidRPr="00907015">
        <w:rPr>
          <w:rFonts w:ascii="Times New Roman" w:hAnsi="Times New Roman" w:cs="Times New Roman"/>
          <w:lang w:val="pl-PL"/>
        </w:rPr>
        <w:t xml:space="preserve">13.  Trybunał </w:t>
      </w:r>
      <w:r w:rsidR="00907015" w:rsidRPr="00907015">
        <w:rPr>
          <w:rFonts w:ascii="Times New Roman" w:hAnsi="Times New Roman" w:cs="Times New Roman"/>
          <w:color w:val="000000"/>
          <w:szCs w:val="24"/>
          <w:lang w:val="pl-PL" w:eastAsia="en-GB"/>
        </w:rPr>
        <w:t>określa przepisy prawa właściwe dla faktów danej sprawy</w:t>
      </w:r>
      <w:r w:rsidRPr="00907015">
        <w:rPr>
          <w:rFonts w:ascii="Times New Roman" w:hAnsi="Times New Roman" w:cs="Times New Roman"/>
          <w:color w:val="000000"/>
          <w:szCs w:val="24"/>
          <w:lang w:val="pl-PL" w:eastAsia="en-GB"/>
        </w:rPr>
        <w:t xml:space="preserve"> (zob.</w:t>
      </w:r>
      <w:r w:rsidRPr="00E619A0">
        <w:rPr>
          <w:rFonts w:ascii="Times New Roman" w:hAnsi="Times New Roman" w:cs="Times New Roman"/>
          <w:color w:val="000000"/>
          <w:szCs w:val="24"/>
          <w:lang w:val="pl-PL" w:eastAsia="en-GB"/>
        </w:rPr>
        <w:t xml:space="preserve"> </w:t>
      </w:r>
      <w:proofErr w:type="spellStart"/>
      <w:r w:rsidRPr="00E619A0">
        <w:rPr>
          <w:rFonts w:ascii="Times New Roman" w:hAnsi="Times New Roman" w:cs="Times New Roman"/>
          <w:i/>
          <w:iCs/>
          <w:color w:val="000000"/>
          <w:szCs w:val="24"/>
          <w:lang w:val="pl-PL" w:eastAsia="en-GB"/>
        </w:rPr>
        <w:t>Guerra</w:t>
      </w:r>
      <w:proofErr w:type="spellEnd"/>
      <w:r w:rsidRPr="00E619A0">
        <w:rPr>
          <w:rFonts w:ascii="Times New Roman" w:hAnsi="Times New Roman" w:cs="Times New Roman"/>
          <w:i/>
          <w:iCs/>
          <w:color w:val="000000"/>
          <w:szCs w:val="24"/>
          <w:lang w:val="pl-PL" w:eastAsia="en-GB"/>
        </w:rPr>
        <w:t xml:space="preserve"> i Inni przeciwko Włochom</w:t>
      </w:r>
      <w:r w:rsidRPr="00E619A0">
        <w:rPr>
          <w:rFonts w:ascii="Times New Roman" w:hAnsi="Times New Roman" w:cs="Times New Roman"/>
          <w:color w:val="000000"/>
          <w:szCs w:val="24"/>
          <w:lang w:val="pl-PL" w:eastAsia="en-GB"/>
        </w:rPr>
        <w:t xml:space="preserve">, wyrok z dnia 19 lutego 1998 r., § 44, </w:t>
      </w:r>
      <w:r w:rsidR="00D53E88" w:rsidRPr="00E619A0">
        <w:rPr>
          <w:rFonts w:ascii="Times New Roman" w:hAnsi="Times New Roman" w:cs="Times New Roman"/>
          <w:i/>
          <w:iCs/>
          <w:color w:val="000000"/>
          <w:szCs w:val="24"/>
          <w:lang w:val="pl-PL" w:eastAsia="en-GB"/>
        </w:rPr>
        <w:t>Raporty Wyroków i Decyzji</w:t>
      </w:r>
      <w:r w:rsidRPr="00E619A0">
        <w:rPr>
          <w:rFonts w:ascii="Times New Roman" w:hAnsi="Times New Roman" w:cs="Times New Roman"/>
          <w:i/>
          <w:iCs/>
          <w:color w:val="000000"/>
          <w:szCs w:val="24"/>
          <w:lang w:val="pl-PL" w:eastAsia="en-GB"/>
        </w:rPr>
        <w:t xml:space="preserve"> </w:t>
      </w:r>
      <w:r w:rsidRPr="00E619A0">
        <w:rPr>
          <w:rFonts w:ascii="Times New Roman" w:hAnsi="Times New Roman" w:cs="Times New Roman"/>
          <w:color w:val="000000"/>
          <w:szCs w:val="24"/>
          <w:lang w:val="pl-PL" w:eastAsia="en-GB"/>
        </w:rPr>
        <w:t xml:space="preserve">1998-I; </w:t>
      </w:r>
      <w:proofErr w:type="spellStart"/>
      <w:r w:rsidRPr="00E619A0">
        <w:rPr>
          <w:rFonts w:ascii="Times New Roman" w:hAnsi="Times New Roman" w:cs="Times New Roman"/>
          <w:i/>
          <w:iCs/>
          <w:color w:val="000000"/>
          <w:szCs w:val="24"/>
          <w:lang w:val="pl-PL" w:eastAsia="en-GB"/>
        </w:rPr>
        <w:t>Tătar</w:t>
      </w:r>
      <w:proofErr w:type="spellEnd"/>
      <w:r w:rsidRPr="00E619A0">
        <w:rPr>
          <w:rFonts w:ascii="Times New Roman" w:hAnsi="Times New Roman" w:cs="Times New Roman"/>
          <w:i/>
          <w:iCs/>
          <w:color w:val="000000"/>
          <w:szCs w:val="24"/>
          <w:lang w:val="pl-PL" w:eastAsia="en-GB"/>
        </w:rPr>
        <w:t xml:space="preserve"> i </w:t>
      </w:r>
      <w:proofErr w:type="spellStart"/>
      <w:r w:rsidRPr="00E619A0">
        <w:rPr>
          <w:rFonts w:ascii="Times New Roman" w:hAnsi="Times New Roman" w:cs="Times New Roman"/>
          <w:i/>
          <w:iCs/>
          <w:color w:val="000000"/>
          <w:szCs w:val="24"/>
          <w:lang w:val="pl-PL" w:eastAsia="en-GB"/>
        </w:rPr>
        <w:t>Tătar</w:t>
      </w:r>
      <w:proofErr w:type="spellEnd"/>
      <w:r w:rsidRPr="00E619A0">
        <w:rPr>
          <w:rFonts w:ascii="Times New Roman" w:hAnsi="Times New Roman" w:cs="Times New Roman"/>
          <w:i/>
          <w:iCs/>
          <w:color w:val="000000"/>
          <w:szCs w:val="24"/>
          <w:lang w:val="pl-PL" w:eastAsia="en-GB"/>
        </w:rPr>
        <w:t xml:space="preserve"> przeciwko Rumunii </w:t>
      </w:r>
      <w:r w:rsidRPr="00E619A0">
        <w:rPr>
          <w:rFonts w:ascii="Times New Roman" w:hAnsi="Times New Roman" w:cs="Times New Roman"/>
          <w:color w:val="000000"/>
          <w:szCs w:val="24"/>
          <w:lang w:val="pl-PL" w:eastAsia="en-GB"/>
        </w:rPr>
        <w:t xml:space="preserve">(dec.), nr 67021/01, § 47, 5 lipca 2007 r.; oraz </w:t>
      </w:r>
      <w:proofErr w:type="spellStart"/>
      <w:r w:rsidRPr="00E619A0">
        <w:rPr>
          <w:rFonts w:ascii="Times New Roman" w:hAnsi="Times New Roman" w:cs="Times New Roman"/>
          <w:i/>
          <w:lang w:val="pl-PL" w:eastAsia="en-US"/>
        </w:rPr>
        <w:t>Scoppola</w:t>
      </w:r>
      <w:proofErr w:type="spellEnd"/>
      <w:r w:rsidRPr="00E619A0">
        <w:rPr>
          <w:rFonts w:ascii="Times New Roman" w:hAnsi="Times New Roman" w:cs="Times New Roman"/>
          <w:i/>
          <w:lang w:val="pl-PL" w:eastAsia="en-US"/>
        </w:rPr>
        <w:t xml:space="preserve"> przeciwko Włochom (nr 2) </w:t>
      </w:r>
      <w:r w:rsidRPr="00E619A0">
        <w:rPr>
          <w:rFonts w:ascii="Times New Roman" w:hAnsi="Times New Roman" w:cs="Times New Roman"/>
          <w:lang w:val="pl-PL" w:eastAsia="en-US"/>
        </w:rPr>
        <w:t>[WI], nr 10249/03, § 54, 17 września 2009 r.</w:t>
      </w:r>
      <w:r w:rsidRPr="00E619A0">
        <w:rPr>
          <w:rFonts w:ascii="Times New Roman" w:hAnsi="Times New Roman" w:cs="Times New Roman"/>
          <w:color w:val="000000"/>
          <w:szCs w:val="24"/>
          <w:lang w:val="pl-PL" w:eastAsia="en-GB"/>
        </w:rPr>
        <w:t xml:space="preserve">). W niniejszej sprawie Trybunał uznaje za właściwe zbadanie skarg skarżących z punktu widzenia </w:t>
      </w:r>
      <w:r w:rsidR="00E619A0" w:rsidRPr="00E619A0">
        <w:rPr>
          <w:rFonts w:ascii="Times New Roman" w:hAnsi="Times New Roman" w:cs="Times New Roman"/>
          <w:color w:val="000000"/>
          <w:szCs w:val="24"/>
          <w:lang w:val="pl-PL" w:eastAsia="en-GB"/>
        </w:rPr>
        <w:t>artykułu</w:t>
      </w:r>
      <w:r w:rsidRPr="00E619A0">
        <w:rPr>
          <w:rFonts w:ascii="Times New Roman" w:hAnsi="Times New Roman" w:cs="Times New Roman"/>
          <w:color w:val="000000"/>
          <w:szCs w:val="24"/>
          <w:lang w:val="pl-PL" w:eastAsia="en-GB"/>
        </w:rPr>
        <w:t xml:space="preserve"> 1 Protokołu nr 1.</w:t>
      </w:r>
    </w:p>
    <w:p w:rsidR="00557E4F" w:rsidRPr="00E619A0" w:rsidRDefault="00557E4F" w:rsidP="00557E4F">
      <w:pPr>
        <w:pStyle w:val="ECHRTitle1"/>
        <w:rPr>
          <w:rFonts w:ascii="Times New Roman" w:hAnsi="Times New Roman" w:cs="Times New Roman"/>
          <w:lang w:val="pl-PL"/>
        </w:rPr>
      </w:pPr>
      <w:r w:rsidRPr="00E619A0">
        <w:rPr>
          <w:rFonts w:ascii="Times New Roman" w:hAnsi="Times New Roman" w:cs="Times New Roman"/>
          <w:lang w:val="pl-PL"/>
        </w:rPr>
        <w:t>PRAWO</w:t>
      </w:r>
    </w:p>
    <w:p w:rsidR="00557E4F" w:rsidRPr="00E619A0" w:rsidRDefault="00557E4F" w:rsidP="00557E4F">
      <w:pPr>
        <w:pStyle w:val="ECHRPara"/>
        <w:rPr>
          <w:rFonts w:ascii="Times New Roman" w:hAnsi="Times New Roman" w:cs="Times New Roman"/>
          <w:color w:val="000000"/>
          <w:szCs w:val="24"/>
          <w:lang w:val="pl-PL" w:eastAsia="en-GB"/>
        </w:rPr>
      </w:pPr>
      <w:r w:rsidRPr="00E619A0">
        <w:rPr>
          <w:rFonts w:ascii="Times New Roman" w:hAnsi="Times New Roman" w:cs="Times New Roman"/>
          <w:lang w:val="pl-PL"/>
        </w:rPr>
        <w:t>14.</w:t>
      </w:r>
      <w:r w:rsidR="00175EEE" w:rsidRPr="00E619A0">
        <w:rPr>
          <w:rFonts w:ascii="Times New Roman" w:hAnsi="Times New Roman" w:cs="Times New Roman"/>
          <w:lang w:val="pl-PL"/>
        </w:rPr>
        <w:t>  Zgodnie z postanowieniami artykułu</w:t>
      </w:r>
      <w:r w:rsidRPr="00E619A0">
        <w:rPr>
          <w:rFonts w:ascii="Times New Roman" w:hAnsi="Times New Roman" w:cs="Times New Roman"/>
          <w:lang w:val="pl-PL"/>
        </w:rPr>
        <w:t xml:space="preserve"> 42 ust.</w:t>
      </w:r>
      <w:r w:rsidR="00175EEE" w:rsidRPr="00E619A0">
        <w:rPr>
          <w:rFonts w:ascii="Times New Roman" w:hAnsi="Times New Roman" w:cs="Times New Roman"/>
          <w:lang w:val="pl-PL"/>
        </w:rPr>
        <w:t xml:space="preserve"> </w:t>
      </w:r>
      <w:r w:rsidRPr="00E619A0">
        <w:rPr>
          <w:rFonts w:ascii="Times New Roman" w:hAnsi="Times New Roman" w:cs="Times New Roman"/>
          <w:lang w:val="pl-PL"/>
        </w:rPr>
        <w:t>1 Regulaminu Trybunału, Trybunał postanawia połączyć skargi ze względu na podobieństwo faktów i podstawy prawnej.</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15.  Skarżący </w:t>
      </w:r>
      <w:r w:rsidR="00D53E88" w:rsidRPr="00E619A0">
        <w:rPr>
          <w:rFonts w:ascii="Times New Roman" w:hAnsi="Times New Roman" w:cs="Times New Roman"/>
          <w:lang w:val="pl-PL"/>
        </w:rPr>
        <w:t xml:space="preserve">odwołali </w:t>
      </w:r>
      <w:r w:rsidR="00907015" w:rsidRPr="00E619A0">
        <w:rPr>
          <w:rFonts w:ascii="Times New Roman" w:hAnsi="Times New Roman" w:cs="Times New Roman"/>
          <w:lang w:val="pl-PL"/>
        </w:rPr>
        <w:t>się w</w:t>
      </w:r>
      <w:r w:rsidR="00D53E88" w:rsidRPr="00E619A0">
        <w:rPr>
          <w:rFonts w:ascii="Times New Roman" w:hAnsi="Times New Roman" w:cs="Times New Roman"/>
          <w:lang w:val="pl-PL"/>
        </w:rPr>
        <w:t xml:space="preserve"> sposób dorozumiany do</w:t>
      </w:r>
      <w:r w:rsidRPr="00E619A0">
        <w:rPr>
          <w:rFonts w:ascii="Times New Roman" w:hAnsi="Times New Roman" w:cs="Times New Roman"/>
          <w:lang w:val="pl-PL"/>
        </w:rPr>
        <w:t xml:space="preserve"> </w:t>
      </w:r>
      <w:r w:rsidR="00E619A0" w:rsidRPr="00E619A0">
        <w:rPr>
          <w:rFonts w:ascii="Times New Roman" w:hAnsi="Times New Roman" w:cs="Times New Roman"/>
          <w:lang w:val="pl-PL"/>
        </w:rPr>
        <w:t>artykułu</w:t>
      </w:r>
      <w:r w:rsidRPr="00E619A0">
        <w:rPr>
          <w:rFonts w:ascii="Times New Roman" w:hAnsi="Times New Roman" w:cs="Times New Roman"/>
          <w:lang w:val="pl-PL"/>
        </w:rPr>
        <w:t xml:space="preserve"> 1 Protokołu nr 1 do Konwencji, który stanowi, co następuje:</w:t>
      </w:r>
    </w:p>
    <w:p w:rsidR="00557E4F" w:rsidRPr="00E619A0" w:rsidRDefault="00557E4F" w:rsidP="00557E4F">
      <w:pPr>
        <w:pStyle w:val="ECHRParaQuote"/>
        <w:rPr>
          <w:rFonts w:ascii="Times New Roman" w:eastAsia="Times New Roman" w:hAnsi="Times New Roman" w:cs="Times New Roman"/>
          <w:szCs w:val="20"/>
          <w:lang w:val="pl-PL" w:eastAsia="pl-PL"/>
        </w:rPr>
      </w:pPr>
      <w:r w:rsidRPr="00E619A0">
        <w:rPr>
          <w:rFonts w:ascii="Times New Roman" w:hAnsi="Times New Roman" w:cs="Times New Roman"/>
          <w:lang w:val="pl-PL"/>
        </w:rPr>
        <w:t xml:space="preserve">„Każda osoba fizyczna i prawna ma prawo do poszanowania swego mienia. </w:t>
      </w:r>
      <w:r w:rsidRPr="00E619A0">
        <w:rPr>
          <w:rFonts w:ascii="Times New Roman" w:eastAsia="Times New Roman" w:hAnsi="Times New Roman" w:cs="Times New Roman"/>
          <w:szCs w:val="20"/>
          <w:lang w:val="pl-PL" w:eastAsia="pl-PL"/>
        </w:rPr>
        <w:t xml:space="preserve">Nikt nie może być pozbawiony swojej własności, chyba że w interesie publicznym i na warunkach przewidzianych przez ustawę oraz zgodnie z ogólnymi zasadami prawa międzynarodowego. </w:t>
      </w:r>
    </w:p>
    <w:p w:rsidR="00557E4F" w:rsidRPr="00E619A0" w:rsidRDefault="00557E4F" w:rsidP="00557E4F">
      <w:pPr>
        <w:pStyle w:val="ECHRParaQuote"/>
        <w:rPr>
          <w:rFonts w:ascii="Times New Roman" w:hAnsi="Times New Roman" w:cs="Times New Roman"/>
          <w:lang w:val="pl-PL"/>
        </w:rPr>
      </w:pPr>
      <w:r w:rsidRPr="00E619A0">
        <w:rPr>
          <w:rFonts w:ascii="Times New Roman" w:eastAsia="Times New Roman" w:hAnsi="Times New Roman" w:cs="Times New Roman"/>
          <w:szCs w:val="20"/>
          <w:lang w:val="pl-PL" w:eastAsia="pl-PL"/>
        </w:rPr>
        <w:t>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w:t>
      </w:r>
      <w:r w:rsidRPr="00E619A0">
        <w:rPr>
          <w:rFonts w:ascii="Times New Roman" w:hAnsi="Times New Roman" w:cs="Times New Roman"/>
          <w:lang w:val="pl-PL"/>
        </w:rPr>
        <w:t>”</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16.  Skarżący podnieśli zarzut naruszenia ich prawa do ochrony mienia na skutek obniżenia wysokości świadczeń urlopowych i świątecznych za rok 2012, skutkującego łącznymi stratami w łącznej wysokości 1.102,40 EUR w przypadku pierwszego skarżącego oraz łącznymi stratami w wysokości 1.368,04 EUR w przypadku drugiego skarżącego.</w:t>
      </w:r>
    </w:p>
    <w:p w:rsidR="00557E4F" w:rsidRPr="00E619A0" w:rsidRDefault="00557E4F" w:rsidP="00557E4F">
      <w:pPr>
        <w:pStyle w:val="ECHRPara"/>
        <w:rPr>
          <w:rFonts w:ascii="Times New Roman" w:hAnsi="Times New Roman" w:cs="Times New Roman"/>
          <w:color w:val="000000"/>
          <w:szCs w:val="24"/>
          <w:lang w:val="pl-PL" w:eastAsia="en-GB"/>
        </w:rPr>
      </w:pPr>
      <w:r w:rsidRPr="00E619A0">
        <w:rPr>
          <w:rFonts w:ascii="Times New Roman" w:hAnsi="Times New Roman" w:cs="Times New Roman"/>
          <w:color w:val="000000"/>
          <w:szCs w:val="24"/>
          <w:lang w:val="pl-PL" w:eastAsia="en-GB"/>
        </w:rPr>
        <w:t xml:space="preserve">17.  W pierwszej kolejności Trybunał stwierdza, że </w:t>
      </w:r>
      <w:r w:rsidR="009D30C1" w:rsidRPr="00E619A0">
        <w:rPr>
          <w:rFonts w:ascii="Times New Roman" w:hAnsi="Times New Roman" w:cs="Times New Roman"/>
          <w:color w:val="000000"/>
          <w:szCs w:val="24"/>
          <w:lang w:val="pl-PL" w:eastAsia="en-GB"/>
        </w:rPr>
        <w:t xml:space="preserve">w związku z wydaniem przez </w:t>
      </w:r>
      <w:r w:rsidRPr="00E619A0">
        <w:rPr>
          <w:rFonts w:ascii="Times New Roman" w:hAnsi="Times New Roman" w:cs="Times New Roman"/>
          <w:color w:val="000000"/>
          <w:szCs w:val="24"/>
          <w:lang w:val="pl-PL" w:eastAsia="en-GB"/>
        </w:rPr>
        <w:t>Trybunał Konstytucyjn</w:t>
      </w:r>
      <w:r w:rsidR="009D30C1" w:rsidRPr="00E619A0">
        <w:rPr>
          <w:rFonts w:ascii="Times New Roman" w:hAnsi="Times New Roman" w:cs="Times New Roman"/>
          <w:color w:val="000000"/>
          <w:szCs w:val="24"/>
          <w:lang w:val="pl-PL" w:eastAsia="en-GB"/>
        </w:rPr>
        <w:t>y decyzji</w:t>
      </w:r>
      <w:r w:rsidRPr="00E619A0">
        <w:rPr>
          <w:rFonts w:ascii="Times New Roman" w:hAnsi="Times New Roman" w:cs="Times New Roman"/>
          <w:color w:val="000000"/>
          <w:szCs w:val="24"/>
          <w:lang w:val="pl-PL" w:eastAsia="en-GB"/>
        </w:rPr>
        <w:t xml:space="preserve"> z dnia 5 lipca 2012 r., </w:t>
      </w:r>
      <w:r w:rsidR="009D30C1" w:rsidRPr="00E619A0">
        <w:rPr>
          <w:rFonts w:ascii="Times New Roman" w:hAnsi="Times New Roman" w:cs="Times New Roman"/>
          <w:color w:val="000000"/>
          <w:szCs w:val="24"/>
          <w:lang w:val="pl-PL" w:eastAsia="en-GB"/>
        </w:rPr>
        <w:t xml:space="preserve">która dopuściła </w:t>
      </w:r>
      <w:r w:rsidRPr="00E619A0">
        <w:rPr>
          <w:rFonts w:ascii="Times New Roman" w:hAnsi="Times New Roman" w:cs="Times New Roman"/>
          <w:color w:val="000000"/>
          <w:szCs w:val="24"/>
          <w:lang w:val="pl-PL" w:eastAsia="en-GB"/>
        </w:rPr>
        <w:t xml:space="preserve">wprowadzenie w życie postanowień art. 25 </w:t>
      </w:r>
      <w:r w:rsidRPr="00E619A0">
        <w:rPr>
          <w:rFonts w:ascii="Times New Roman" w:hAnsi="Times New Roman" w:cs="Times New Roman"/>
          <w:lang w:val="pl-PL"/>
        </w:rPr>
        <w:t>Ustaw</w:t>
      </w:r>
      <w:r w:rsidR="00A903CF">
        <w:rPr>
          <w:rFonts w:ascii="Times New Roman" w:hAnsi="Times New Roman" w:cs="Times New Roman"/>
          <w:lang w:val="pl-PL"/>
        </w:rPr>
        <w:t>y</w:t>
      </w:r>
      <w:r w:rsidRPr="00E619A0">
        <w:rPr>
          <w:rFonts w:ascii="Times New Roman" w:hAnsi="Times New Roman" w:cs="Times New Roman"/>
          <w:lang w:val="pl-PL"/>
        </w:rPr>
        <w:t xml:space="preserve"> Budżetowej na rok 2012 w </w:t>
      </w:r>
      <w:r w:rsidRPr="00E619A0">
        <w:rPr>
          <w:rFonts w:ascii="Times New Roman" w:hAnsi="Times New Roman" w:cs="Times New Roman"/>
          <w:color w:val="000000"/>
          <w:szCs w:val="24"/>
          <w:lang w:val="pl-PL" w:eastAsia="en-GB"/>
        </w:rPr>
        <w:t xml:space="preserve">2012 r. </w:t>
      </w:r>
      <w:r w:rsidR="009D30C1" w:rsidRPr="00E619A0">
        <w:rPr>
          <w:rFonts w:ascii="Times New Roman" w:hAnsi="Times New Roman" w:cs="Times New Roman"/>
          <w:color w:val="000000"/>
          <w:szCs w:val="24"/>
          <w:lang w:val="pl-PL" w:eastAsia="en-GB"/>
        </w:rPr>
        <w:t xml:space="preserve">i miała skutek </w:t>
      </w:r>
      <w:r w:rsidRPr="00E619A0">
        <w:rPr>
          <w:rFonts w:ascii="Times New Roman" w:hAnsi="Times New Roman" w:cs="Times New Roman"/>
          <w:i/>
          <w:color w:val="000000"/>
          <w:szCs w:val="24"/>
          <w:lang w:val="pl-PL" w:eastAsia="en-GB"/>
        </w:rPr>
        <w:t>erga omnes</w:t>
      </w:r>
      <w:r w:rsidRPr="00E619A0">
        <w:rPr>
          <w:rFonts w:ascii="Times New Roman" w:hAnsi="Times New Roman" w:cs="Times New Roman"/>
          <w:color w:val="000000"/>
          <w:szCs w:val="24"/>
          <w:lang w:val="pl-PL" w:eastAsia="en-GB"/>
        </w:rPr>
        <w:t xml:space="preserve">, skarżący nie </w:t>
      </w:r>
      <w:r w:rsidRPr="00E619A0">
        <w:rPr>
          <w:rFonts w:ascii="Times New Roman" w:hAnsi="Times New Roman" w:cs="Times New Roman"/>
          <w:color w:val="000000"/>
          <w:szCs w:val="24"/>
          <w:lang w:val="pl-PL" w:eastAsia="en-GB"/>
        </w:rPr>
        <w:lastRenderedPageBreak/>
        <w:t>mieli dostępu do skuteczniejszych krajowych środków odwoławczych w rozumieniu artykułu 35 ust. 1 Konwencji.</w:t>
      </w:r>
    </w:p>
    <w:p w:rsidR="00557E4F" w:rsidRPr="00E619A0" w:rsidRDefault="00557E4F" w:rsidP="00175EEE">
      <w:pPr>
        <w:pStyle w:val="ECHRPara"/>
        <w:rPr>
          <w:rFonts w:ascii="Times New Roman" w:hAnsi="Times New Roman" w:cs="Times New Roman"/>
          <w:snapToGrid w:val="0"/>
          <w:lang w:val="pl-PL" w:eastAsia="en-US"/>
        </w:rPr>
      </w:pPr>
      <w:r w:rsidRPr="00E619A0">
        <w:rPr>
          <w:rFonts w:ascii="Times New Roman" w:hAnsi="Times New Roman" w:cs="Times New Roman"/>
          <w:lang w:val="pl-PL"/>
        </w:rPr>
        <w:t xml:space="preserve">18.   Wszystkie zasady, które ogólnie mają zastosowanie w sprawach dotyczących </w:t>
      </w:r>
      <w:r w:rsidR="00E619A0" w:rsidRPr="00E619A0">
        <w:rPr>
          <w:rFonts w:ascii="Times New Roman" w:hAnsi="Times New Roman" w:cs="Times New Roman"/>
          <w:lang w:val="pl-PL"/>
        </w:rPr>
        <w:t>artykułu</w:t>
      </w:r>
      <w:r w:rsidRPr="00E619A0">
        <w:rPr>
          <w:rFonts w:ascii="Times New Roman" w:hAnsi="Times New Roman" w:cs="Times New Roman"/>
          <w:lang w:val="pl-PL"/>
        </w:rPr>
        <w:t xml:space="preserve"> </w:t>
      </w:r>
      <w:r w:rsidRPr="00E619A0">
        <w:rPr>
          <w:rFonts w:ascii="Times New Roman" w:hAnsi="Times New Roman" w:cs="Times New Roman"/>
          <w:szCs w:val="24"/>
          <w:lang w:val="pl-PL"/>
        </w:rPr>
        <w:t xml:space="preserve">1 Protokołu nr 1, mają także zastosowanie względem emerytur. Przepis ten nie gwarantuje prawa </w:t>
      </w:r>
      <w:r w:rsidR="009D30C1" w:rsidRPr="00E619A0">
        <w:rPr>
          <w:rFonts w:ascii="Times New Roman" w:hAnsi="Times New Roman" w:cs="Times New Roman"/>
          <w:szCs w:val="24"/>
          <w:lang w:val="pl-PL"/>
        </w:rPr>
        <w:t>uzyskania statusu właściciela</w:t>
      </w:r>
      <w:r w:rsidRPr="00E619A0">
        <w:rPr>
          <w:rFonts w:ascii="Times New Roman" w:hAnsi="Times New Roman" w:cs="Times New Roman"/>
          <w:szCs w:val="24"/>
          <w:lang w:val="pl-PL"/>
        </w:rPr>
        <w:t xml:space="preserve"> mienia. Zgodnie z tą samą logiką, nie można go interpretować w taki sposób, że zapewnia prawo do emerytury w określonej wysokości (zob. </w:t>
      </w:r>
      <w:r w:rsidRPr="00E619A0">
        <w:rPr>
          <w:rFonts w:ascii="Times New Roman" w:hAnsi="Times New Roman" w:cs="Times New Roman"/>
          <w:i/>
          <w:spacing w:val="-2"/>
          <w:lang w:val="pl-PL"/>
        </w:rPr>
        <w:t xml:space="preserve">Skorkiewicz przeciwko </w:t>
      </w:r>
      <w:r w:rsidR="009158F9" w:rsidRPr="00E619A0">
        <w:rPr>
          <w:rFonts w:ascii="Times New Roman" w:hAnsi="Times New Roman" w:cs="Times New Roman"/>
          <w:i/>
          <w:spacing w:val="-2"/>
          <w:lang w:val="pl-PL"/>
        </w:rPr>
        <w:t xml:space="preserve">Polsce </w:t>
      </w:r>
      <w:r w:rsidR="009158F9" w:rsidRPr="00E619A0">
        <w:rPr>
          <w:rFonts w:ascii="Times New Roman" w:hAnsi="Times New Roman" w:cs="Times New Roman"/>
          <w:spacing w:val="-2"/>
          <w:lang w:val="pl-PL"/>
        </w:rPr>
        <w:t>(dec</w:t>
      </w:r>
      <w:r w:rsidRPr="00E619A0">
        <w:rPr>
          <w:rFonts w:ascii="Times New Roman" w:hAnsi="Times New Roman" w:cs="Times New Roman"/>
          <w:spacing w:val="-2"/>
          <w:lang w:val="pl-PL"/>
        </w:rPr>
        <w:t xml:space="preserve">.) nr </w:t>
      </w:r>
      <w:r w:rsidRPr="00E619A0">
        <w:rPr>
          <w:rFonts w:ascii="Times New Roman" w:hAnsi="Times New Roman" w:cs="Times New Roman"/>
          <w:lang w:val="pl-PL"/>
        </w:rPr>
        <w:t>39860/98, 1 czerwca 1999 r.)</w:t>
      </w:r>
      <w:r w:rsidRPr="00E619A0">
        <w:rPr>
          <w:rFonts w:ascii="Times New Roman" w:hAnsi="Times New Roman" w:cs="Times New Roman"/>
          <w:szCs w:val="24"/>
          <w:lang w:val="pl-PL"/>
        </w:rPr>
        <w:t xml:space="preserve">. Artykuł 1 Protokołu nr 1 nie nakłada na </w:t>
      </w:r>
      <w:r w:rsidR="00175EEE" w:rsidRPr="00E619A0">
        <w:rPr>
          <w:rFonts w:ascii="Times New Roman" w:hAnsi="Times New Roman" w:cs="Times New Roman"/>
          <w:szCs w:val="24"/>
          <w:lang w:val="pl-PL"/>
        </w:rPr>
        <w:t>Umawiające się Państwo</w:t>
      </w:r>
      <w:r w:rsidRPr="00E619A0">
        <w:rPr>
          <w:rFonts w:ascii="Times New Roman" w:hAnsi="Times New Roman" w:cs="Times New Roman"/>
          <w:szCs w:val="24"/>
          <w:lang w:val="pl-PL"/>
        </w:rPr>
        <w:t xml:space="preserve"> ograniczeń swobody decydowania, czy zamierza ono posiadać bądź nie</w:t>
      </w:r>
      <w:r w:rsidR="00A903CF">
        <w:rPr>
          <w:rFonts w:ascii="Times New Roman" w:hAnsi="Times New Roman" w:cs="Times New Roman"/>
          <w:szCs w:val="24"/>
          <w:lang w:val="pl-PL"/>
        </w:rPr>
        <w:t>,</w:t>
      </w:r>
      <w:r w:rsidRPr="00E619A0">
        <w:rPr>
          <w:rFonts w:ascii="Times New Roman" w:hAnsi="Times New Roman" w:cs="Times New Roman"/>
          <w:szCs w:val="24"/>
          <w:lang w:val="pl-PL"/>
        </w:rPr>
        <w:t xml:space="preserve"> system ubezpieczeń społecznych lub też decydowania o rodzaju lub kwotach świadczeń wypłacanych w ramach takiego systemu. Jeżeli jednakże</w:t>
      </w:r>
      <w:r w:rsidR="00504245" w:rsidRPr="00E619A0">
        <w:rPr>
          <w:rFonts w:ascii="Times New Roman" w:hAnsi="Times New Roman" w:cs="Times New Roman"/>
          <w:szCs w:val="24"/>
          <w:lang w:val="pl-PL"/>
        </w:rPr>
        <w:t xml:space="preserve"> w</w:t>
      </w:r>
      <w:r w:rsidRPr="00E619A0">
        <w:rPr>
          <w:rFonts w:ascii="Times New Roman" w:hAnsi="Times New Roman" w:cs="Times New Roman"/>
          <w:szCs w:val="24"/>
          <w:lang w:val="pl-PL"/>
        </w:rPr>
        <w:t xml:space="preserve"> </w:t>
      </w:r>
      <w:r w:rsidR="00504245" w:rsidRPr="00E619A0">
        <w:rPr>
          <w:rFonts w:ascii="Times New Roman" w:hAnsi="Times New Roman" w:cs="Times New Roman"/>
          <w:szCs w:val="24"/>
          <w:lang w:val="pl-PL"/>
        </w:rPr>
        <w:t>Umawiającym</w:t>
      </w:r>
      <w:r w:rsidR="00175EEE" w:rsidRPr="00E619A0">
        <w:rPr>
          <w:rFonts w:ascii="Times New Roman" w:hAnsi="Times New Roman" w:cs="Times New Roman"/>
          <w:szCs w:val="24"/>
          <w:lang w:val="pl-PL"/>
        </w:rPr>
        <w:t xml:space="preserve"> się Państw</w:t>
      </w:r>
      <w:r w:rsidR="00947BB6">
        <w:rPr>
          <w:rFonts w:ascii="Times New Roman" w:hAnsi="Times New Roman" w:cs="Times New Roman"/>
          <w:szCs w:val="24"/>
          <w:lang w:val="pl-PL"/>
        </w:rPr>
        <w:t>ie</w:t>
      </w:r>
      <w:r w:rsidR="00175EEE" w:rsidRPr="00E619A0">
        <w:rPr>
          <w:rFonts w:ascii="Times New Roman" w:hAnsi="Times New Roman" w:cs="Times New Roman"/>
          <w:szCs w:val="24"/>
          <w:lang w:val="pl-PL"/>
        </w:rPr>
        <w:t xml:space="preserve"> </w:t>
      </w:r>
      <w:r w:rsidR="00504245" w:rsidRPr="00E619A0">
        <w:rPr>
          <w:rFonts w:ascii="Times New Roman" w:hAnsi="Times New Roman" w:cs="Times New Roman"/>
          <w:szCs w:val="24"/>
          <w:lang w:val="pl-PL"/>
        </w:rPr>
        <w:t xml:space="preserve">obowiązuje </w:t>
      </w:r>
      <w:r w:rsidR="00D771B9" w:rsidRPr="00E619A0">
        <w:rPr>
          <w:rFonts w:ascii="Times New Roman" w:hAnsi="Times New Roman" w:cs="Times New Roman"/>
          <w:szCs w:val="24"/>
          <w:lang w:val="pl-PL"/>
        </w:rPr>
        <w:t>ustawodawstw</w:t>
      </w:r>
      <w:r w:rsidR="00504245" w:rsidRPr="00E619A0">
        <w:rPr>
          <w:rFonts w:ascii="Times New Roman" w:hAnsi="Times New Roman" w:cs="Times New Roman"/>
          <w:szCs w:val="24"/>
          <w:lang w:val="pl-PL"/>
        </w:rPr>
        <w:t>o</w:t>
      </w:r>
      <w:r w:rsidR="00D771B9" w:rsidRPr="00E619A0">
        <w:rPr>
          <w:rFonts w:ascii="Times New Roman" w:hAnsi="Times New Roman" w:cs="Times New Roman"/>
          <w:szCs w:val="24"/>
          <w:lang w:val="pl-PL"/>
        </w:rPr>
        <w:t xml:space="preserve"> określające wypłat</w:t>
      </w:r>
      <w:r w:rsidR="00504245" w:rsidRPr="00E619A0">
        <w:rPr>
          <w:rFonts w:ascii="Times New Roman" w:hAnsi="Times New Roman" w:cs="Times New Roman"/>
          <w:szCs w:val="24"/>
          <w:lang w:val="pl-PL"/>
        </w:rPr>
        <w:t>ę</w:t>
      </w:r>
      <w:r w:rsidR="00D771B9" w:rsidRPr="00E619A0">
        <w:rPr>
          <w:rFonts w:ascii="Times New Roman" w:hAnsi="Times New Roman" w:cs="Times New Roman"/>
          <w:szCs w:val="24"/>
          <w:lang w:val="pl-PL"/>
        </w:rPr>
        <w:t xml:space="preserve"> jako praw</w:t>
      </w:r>
      <w:r w:rsidR="00504245" w:rsidRPr="00E619A0">
        <w:rPr>
          <w:rFonts w:ascii="Times New Roman" w:hAnsi="Times New Roman" w:cs="Times New Roman"/>
          <w:szCs w:val="24"/>
          <w:lang w:val="pl-PL"/>
        </w:rPr>
        <w:t>o</w:t>
      </w:r>
      <w:r w:rsidR="00D771B9" w:rsidRPr="00E619A0">
        <w:rPr>
          <w:rFonts w:ascii="Times New Roman" w:hAnsi="Times New Roman" w:cs="Times New Roman"/>
          <w:szCs w:val="24"/>
          <w:lang w:val="pl-PL"/>
        </w:rPr>
        <w:t xml:space="preserve"> do emerytury </w:t>
      </w:r>
      <w:r w:rsidRPr="00E619A0">
        <w:rPr>
          <w:rFonts w:ascii="Times New Roman" w:hAnsi="Times New Roman" w:cs="Times New Roman"/>
          <w:szCs w:val="24"/>
          <w:lang w:val="pl-PL"/>
        </w:rPr>
        <w:t>– zarówno w</w:t>
      </w:r>
      <w:r w:rsidR="00D771B9" w:rsidRPr="00E619A0">
        <w:rPr>
          <w:rFonts w:ascii="Times New Roman" w:hAnsi="Times New Roman" w:cs="Times New Roman"/>
          <w:szCs w:val="24"/>
          <w:lang w:val="pl-PL"/>
        </w:rPr>
        <w:t xml:space="preserve">tedy, gdy </w:t>
      </w:r>
      <w:r w:rsidRPr="00E619A0">
        <w:rPr>
          <w:rFonts w:ascii="Times New Roman" w:hAnsi="Times New Roman" w:cs="Times New Roman"/>
          <w:szCs w:val="24"/>
          <w:lang w:val="pl-PL"/>
        </w:rPr>
        <w:t>wypłaty</w:t>
      </w:r>
      <w:r w:rsidR="00D771B9" w:rsidRPr="00E619A0">
        <w:rPr>
          <w:rFonts w:ascii="Times New Roman" w:hAnsi="Times New Roman" w:cs="Times New Roman"/>
          <w:szCs w:val="24"/>
          <w:lang w:val="pl-PL"/>
        </w:rPr>
        <w:t xml:space="preserve"> takie są lub nie są</w:t>
      </w:r>
      <w:r w:rsidRPr="00E619A0">
        <w:rPr>
          <w:rFonts w:ascii="Times New Roman" w:hAnsi="Times New Roman" w:cs="Times New Roman"/>
          <w:szCs w:val="24"/>
          <w:lang w:val="pl-PL"/>
        </w:rPr>
        <w:t xml:space="preserve"> uzależnione od </w:t>
      </w:r>
      <w:r w:rsidR="00D771B9" w:rsidRPr="00E619A0">
        <w:rPr>
          <w:rFonts w:ascii="Times New Roman" w:hAnsi="Times New Roman" w:cs="Times New Roman"/>
          <w:szCs w:val="24"/>
          <w:lang w:val="pl-PL"/>
        </w:rPr>
        <w:t>wcześniej</w:t>
      </w:r>
      <w:r w:rsidRPr="00E619A0">
        <w:rPr>
          <w:rFonts w:ascii="Times New Roman" w:hAnsi="Times New Roman" w:cs="Times New Roman"/>
          <w:szCs w:val="24"/>
          <w:lang w:val="pl-PL"/>
        </w:rPr>
        <w:t xml:space="preserve"> wpłaconych składek –</w:t>
      </w:r>
      <w:r w:rsidR="00D771B9" w:rsidRPr="00E619A0">
        <w:rPr>
          <w:rFonts w:ascii="Times New Roman" w:hAnsi="Times New Roman" w:cs="Times New Roman"/>
          <w:szCs w:val="24"/>
          <w:lang w:val="pl-PL"/>
        </w:rPr>
        <w:t xml:space="preserve"> </w:t>
      </w:r>
      <w:r w:rsidR="009A3534" w:rsidRPr="00E619A0">
        <w:rPr>
          <w:rFonts w:ascii="Times New Roman" w:hAnsi="Times New Roman" w:cs="Times New Roman"/>
          <w:szCs w:val="24"/>
          <w:lang w:val="pl-PL"/>
        </w:rPr>
        <w:t xml:space="preserve">należy uznać, że </w:t>
      </w:r>
      <w:r w:rsidR="00D771B9" w:rsidRPr="00E619A0">
        <w:rPr>
          <w:rFonts w:ascii="Times New Roman" w:hAnsi="Times New Roman" w:cs="Times New Roman"/>
          <w:szCs w:val="24"/>
          <w:lang w:val="pl-PL"/>
        </w:rPr>
        <w:t xml:space="preserve">ustawodawstwo takie </w:t>
      </w:r>
      <w:r w:rsidR="009A3534" w:rsidRPr="00E619A0">
        <w:rPr>
          <w:rFonts w:ascii="Times New Roman" w:hAnsi="Times New Roman" w:cs="Times New Roman"/>
          <w:szCs w:val="24"/>
          <w:lang w:val="pl-PL"/>
        </w:rPr>
        <w:t>g</w:t>
      </w:r>
      <w:r w:rsidRPr="00E619A0">
        <w:rPr>
          <w:rFonts w:ascii="Times New Roman" w:hAnsi="Times New Roman" w:cs="Times New Roman"/>
          <w:szCs w:val="24"/>
          <w:lang w:val="pl-PL"/>
        </w:rPr>
        <w:t>ener</w:t>
      </w:r>
      <w:r w:rsidR="009A3534" w:rsidRPr="00E619A0">
        <w:rPr>
          <w:rFonts w:ascii="Times New Roman" w:hAnsi="Times New Roman" w:cs="Times New Roman"/>
          <w:szCs w:val="24"/>
          <w:lang w:val="pl-PL"/>
        </w:rPr>
        <w:t xml:space="preserve">uje interes majątkowy objęty zakresem </w:t>
      </w:r>
      <w:r w:rsidR="00E619A0" w:rsidRPr="00E619A0">
        <w:rPr>
          <w:rFonts w:ascii="Times New Roman" w:hAnsi="Times New Roman" w:cs="Times New Roman"/>
          <w:szCs w:val="24"/>
          <w:lang w:val="pl-PL"/>
        </w:rPr>
        <w:t>artykułu</w:t>
      </w:r>
      <w:r w:rsidRPr="00E619A0">
        <w:rPr>
          <w:rFonts w:ascii="Times New Roman" w:hAnsi="Times New Roman" w:cs="Times New Roman"/>
          <w:szCs w:val="24"/>
          <w:lang w:val="pl-PL"/>
        </w:rPr>
        <w:t xml:space="preserve"> 1 Protokołu nr 1 </w:t>
      </w:r>
      <w:r w:rsidR="009A3534" w:rsidRPr="00E619A0">
        <w:rPr>
          <w:rFonts w:ascii="Times New Roman" w:hAnsi="Times New Roman" w:cs="Times New Roman"/>
          <w:szCs w:val="24"/>
          <w:lang w:val="pl-PL"/>
        </w:rPr>
        <w:t xml:space="preserve">w odniesieniu do osób spełniających wymogi określone w takim ustawodawstwie </w:t>
      </w:r>
      <w:r w:rsidRPr="00E619A0">
        <w:rPr>
          <w:rFonts w:ascii="Times New Roman" w:hAnsi="Times New Roman" w:cs="Times New Roman"/>
          <w:szCs w:val="24"/>
          <w:lang w:val="pl-PL"/>
        </w:rPr>
        <w:t xml:space="preserve">(zob. </w:t>
      </w:r>
      <w:proofErr w:type="spellStart"/>
      <w:r w:rsidRPr="00E619A0">
        <w:rPr>
          <w:rFonts w:ascii="Times New Roman" w:hAnsi="Times New Roman" w:cs="Times New Roman"/>
          <w:i/>
          <w:lang w:val="pl-PL" w:eastAsia="en-US"/>
        </w:rPr>
        <w:t>Andrejeva</w:t>
      </w:r>
      <w:proofErr w:type="spellEnd"/>
      <w:r w:rsidRPr="00E619A0">
        <w:rPr>
          <w:rFonts w:ascii="Times New Roman" w:hAnsi="Times New Roman" w:cs="Times New Roman"/>
          <w:i/>
          <w:lang w:val="pl-PL" w:eastAsia="en-US"/>
        </w:rPr>
        <w:t xml:space="preserve"> przeciwko Łotwie</w:t>
      </w:r>
      <w:r w:rsidRPr="00E619A0">
        <w:rPr>
          <w:rFonts w:ascii="Times New Roman" w:hAnsi="Times New Roman" w:cs="Times New Roman"/>
          <w:lang w:val="pl-PL" w:eastAsia="en-US"/>
        </w:rPr>
        <w:t xml:space="preserve"> [WI], nr 55707/00, § 77, z dalszymi odniesie</w:t>
      </w:r>
      <w:r w:rsidR="00D771B9" w:rsidRPr="00E619A0">
        <w:rPr>
          <w:rFonts w:ascii="Times New Roman" w:hAnsi="Times New Roman" w:cs="Times New Roman"/>
          <w:lang w:val="pl-PL" w:eastAsia="en-US"/>
        </w:rPr>
        <w:t>niami</w:t>
      </w:r>
      <w:r w:rsidRPr="00E619A0">
        <w:rPr>
          <w:rFonts w:ascii="Times New Roman" w:hAnsi="Times New Roman" w:cs="Times New Roman"/>
          <w:lang w:val="pl-PL" w:eastAsia="en-US"/>
        </w:rPr>
        <w:t xml:space="preserve"> w szczególności do sprawy </w:t>
      </w:r>
      <w:r w:rsidRPr="00E619A0">
        <w:rPr>
          <w:rFonts w:ascii="Times New Roman" w:hAnsi="Times New Roman" w:cs="Times New Roman"/>
          <w:i/>
          <w:lang w:val="pl-PL" w:eastAsia="en-US"/>
        </w:rPr>
        <w:t>Stec przeciwko Zjednoczonemu Królestwu</w:t>
      </w:r>
      <w:r w:rsidRPr="00E619A0">
        <w:rPr>
          <w:rFonts w:ascii="Times New Roman" w:hAnsi="Times New Roman" w:cs="Times New Roman"/>
          <w:lang w:val="pl-PL" w:eastAsia="en-US"/>
        </w:rPr>
        <w:t xml:space="preserve"> (dec.), nr 65731/01 i 65900/01, </w:t>
      </w:r>
      <w:proofErr w:type="spellStart"/>
      <w:r w:rsidRPr="00E619A0">
        <w:rPr>
          <w:rFonts w:ascii="Times New Roman" w:hAnsi="Times New Roman" w:cs="Times New Roman"/>
          <w:lang w:val="pl-PL" w:eastAsia="en-US"/>
        </w:rPr>
        <w:t>ETPCz</w:t>
      </w:r>
      <w:proofErr w:type="spellEnd"/>
      <w:r w:rsidRPr="00E619A0">
        <w:rPr>
          <w:rFonts w:ascii="Times New Roman" w:hAnsi="Times New Roman" w:cs="Times New Roman"/>
          <w:lang w:val="pl-PL" w:eastAsia="en-US"/>
        </w:rPr>
        <w:t xml:space="preserve"> 2005-X oraz </w:t>
      </w:r>
      <w:proofErr w:type="spellStart"/>
      <w:r w:rsidRPr="00E619A0">
        <w:rPr>
          <w:rFonts w:ascii="Times New Roman" w:hAnsi="Times New Roman" w:cs="Times New Roman"/>
          <w:i/>
          <w:lang w:val="pl-PL" w:eastAsia="en-US"/>
        </w:rPr>
        <w:t>Kjartan</w:t>
      </w:r>
      <w:proofErr w:type="spellEnd"/>
      <w:r w:rsidRPr="00E619A0">
        <w:rPr>
          <w:rFonts w:ascii="Times New Roman" w:hAnsi="Times New Roman" w:cs="Times New Roman"/>
          <w:i/>
          <w:lang w:val="pl-PL" w:eastAsia="en-US"/>
        </w:rPr>
        <w:t xml:space="preserve"> </w:t>
      </w:r>
      <w:proofErr w:type="spellStart"/>
      <w:r w:rsidRPr="00E619A0">
        <w:rPr>
          <w:rFonts w:ascii="Times New Roman" w:hAnsi="Times New Roman" w:cs="Times New Roman"/>
          <w:i/>
          <w:lang w:val="pl-PL" w:eastAsia="en-US"/>
        </w:rPr>
        <w:t>Ásmundsson</w:t>
      </w:r>
      <w:proofErr w:type="spellEnd"/>
      <w:r w:rsidRPr="00E619A0">
        <w:rPr>
          <w:rFonts w:ascii="Times New Roman" w:hAnsi="Times New Roman" w:cs="Times New Roman"/>
          <w:i/>
          <w:lang w:val="pl-PL" w:eastAsia="en-US"/>
        </w:rPr>
        <w:t xml:space="preserve"> przeciwko Islandii</w:t>
      </w:r>
      <w:r w:rsidRPr="00E619A0">
        <w:rPr>
          <w:rFonts w:ascii="Times New Roman" w:hAnsi="Times New Roman" w:cs="Times New Roman"/>
          <w:lang w:val="pl-PL" w:eastAsia="en-US"/>
        </w:rPr>
        <w:t xml:space="preserve">, nr 60669/00, § 39, </w:t>
      </w:r>
      <w:proofErr w:type="spellStart"/>
      <w:r w:rsidRPr="00E619A0">
        <w:rPr>
          <w:rFonts w:ascii="Times New Roman" w:hAnsi="Times New Roman" w:cs="Times New Roman"/>
          <w:lang w:val="pl-PL" w:eastAsia="en-US"/>
        </w:rPr>
        <w:t>ETPCz</w:t>
      </w:r>
      <w:proofErr w:type="spellEnd"/>
      <w:r w:rsidRPr="00E619A0">
        <w:rPr>
          <w:rFonts w:ascii="Times New Roman" w:hAnsi="Times New Roman" w:cs="Times New Roman"/>
          <w:lang w:val="pl-PL" w:eastAsia="en-US"/>
        </w:rPr>
        <w:t xml:space="preserve"> 2004</w:t>
      </w:r>
      <w:r w:rsidRPr="00E619A0">
        <w:rPr>
          <w:rFonts w:ascii="Times New Roman" w:hAnsi="Times New Roman" w:cs="Times New Roman"/>
          <w:lang w:val="pl-PL" w:eastAsia="en-US"/>
        </w:rPr>
        <w:noBreakHyphen/>
        <w:t xml:space="preserve">IX; a także </w:t>
      </w:r>
      <w:r w:rsidRPr="00E619A0">
        <w:rPr>
          <w:rFonts w:ascii="Times New Roman" w:hAnsi="Times New Roman" w:cs="Times New Roman"/>
          <w:i/>
          <w:lang w:val="pl-PL" w:eastAsia="en-US"/>
        </w:rPr>
        <w:t xml:space="preserve">Carson i Inni przeciwko Zjednoczonemu Królestwu </w:t>
      </w:r>
      <w:r w:rsidRPr="00E619A0">
        <w:rPr>
          <w:rFonts w:ascii="Times New Roman" w:hAnsi="Times New Roman" w:cs="Times New Roman"/>
          <w:lang w:val="pl-PL" w:eastAsia="en-US"/>
        </w:rPr>
        <w:t>[WI], nr 42184/05, § 64, ETPCZ 2010 r.)</w:t>
      </w:r>
      <w:r w:rsidRPr="00E619A0">
        <w:rPr>
          <w:rFonts w:ascii="Times New Roman" w:hAnsi="Times New Roman" w:cs="Times New Roman"/>
          <w:szCs w:val="24"/>
          <w:lang w:val="pl-PL"/>
        </w:rPr>
        <w:t xml:space="preserve">. Obniżenie lub zaprzestanie wypłat emerytury może zatem stanowić ingerencję w prawo poszanowania mienia, która wymaga uzasadnienia </w:t>
      </w:r>
      <w:r w:rsidRPr="00E619A0">
        <w:rPr>
          <w:rFonts w:ascii="Times New Roman" w:hAnsi="Times New Roman" w:cs="Times New Roman"/>
          <w:lang w:val="pl-PL" w:eastAsia="en-US"/>
        </w:rPr>
        <w:t xml:space="preserve">(zob. </w:t>
      </w:r>
      <w:proofErr w:type="spellStart"/>
      <w:r w:rsidRPr="00E619A0">
        <w:rPr>
          <w:rFonts w:ascii="Times New Roman" w:hAnsi="Times New Roman" w:cs="Times New Roman"/>
          <w:i/>
          <w:lang w:val="pl-PL"/>
        </w:rPr>
        <w:t>Valkov</w:t>
      </w:r>
      <w:proofErr w:type="spellEnd"/>
      <w:r w:rsidRPr="00E619A0">
        <w:rPr>
          <w:rFonts w:ascii="Times New Roman" w:hAnsi="Times New Roman" w:cs="Times New Roman"/>
          <w:i/>
          <w:lang w:val="pl-PL"/>
        </w:rPr>
        <w:t xml:space="preserve"> </w:t>
      </w:r>
      <w:r w:rsidRPr="00E619A0">
        <w:rPr>
          <w:rFonts w:ascii="Times New Roman" w:hAnsi="Times New Roman" w:cs="Times New Roman"/>
          <w:i/>
          <w:lang w:val="pl-PL" w:eastAsia="en-US"/>
        </w:rPr>
        <w:t>i Inni przeciwko Bułgarii</w:t>
      </w:r>
      <w:r w:rsidRPr="00E619A0">
        <w:rPr>
          <w:rFonts w:ascii="Times New Roman" w:hAnsi="Times New Roman" w:cs="Times New Roman"/>
          <w:lang w:val="pl-PL" w:eastAsia="en-US"/>
        </w:rPr>
        <w:t>, nr 2033/04, 19125/04, 19475/04, 19490/04, 19495/04, 19497/04, 24729/04, 171/05 i 2041/05</w:t>
      </w:r>
      <w:r w:rsidRPr="00E619A0">
        <w:rPr>
          <w:rFonts w:ascii="Times New Roman" w:hAnsi="Times New Roman" w:cs="Times New Roman"/>
          <w:snapToGrid w:val="0"/>
          <w:szCs w:val="24"/>
          <w:lang w:val="pl-PL" w:eastAsia="en-US"/>
        </w:rPr>
        <w:t>, § 84, 2</w:t>
      </w:r>
      <w:r w:rsidRPr="00E619A0">
        <w:rPr>
          <w:rFonts w:ascii="Times New Roman" w:hAnsi="Times New Roman" w:cs="Times New Roman"/>
          <w:szCs w:val="24"/>
          <w:lang w:val="pl-PL" w:eastAsia="en-US"/>
        </w:rPr>
        <w:t>5</w:t>
      </w:r>
      <w:r w:rsidRPr="00E619A0">
        <w:rPr>
          <w:rFonts w:ascii="Times New Roman" w:hAnsi="Times New Roman" w:cs="Times New Roman"/>
          <w:snapToGrid w:val="0"/>
          <w:szCs w:val="24"/>
          <w:lang w:val="pl-PL" w:eastAsia="en-US"/>
        </w:rPr>
        <w:t xml:space="preserve"> października 2011 r. wraz z dalszymi odniesieniami, w szczególności do sprawy </w:t>
      </w:r>
      <w:r w:rsidRPr="00E619A0">
        <w:rPr>
          <w:rFonts w:ascii="Times New Roman" w:hAnsi="Times New Roman" w:cs="Times New Roman"/>
          <w:i/>
          <w:lang w:val="pl-PL" w:eastAsia="en-US"/>
        </w:rPr>
        <w:t>Rasmussen przeciwko Polsce</w:t>
      </w:r>
      <w:r w:rsidRPr="00E619A0">
        <w:rPr>
          <w:rFonts w:ascii="Times New Roman" w:hAnsi="Times New Roman" w:cs="Times New Roman"/>
          <w:lang w:val="pl-PL" w:eastAsia="en-US"/>
        </w:rPr>
        <w:t xml:space="preserve">, nr 38886/05, </w:t>
      </w:r>
      <w:r w:rsidRPr="00E619A0">
        <w:rPr>
          <w:rFonts w:ascii="Times New Roman" w:hAnsi="Times New Roman" w:cs="Times New Roman"/>
          <w:snapToGrid w:val="0"/>
          <w:lang w:val="pl-PL" w:eastAsia="en-US"/>
        </w:rPr>
        <w:t>§ 71,</w:t>
      </w:r>
      <w:r w:rsidRPr="00E619A0">
        <w:rPr>
          <w:rFonts w:ascii="Times New Roman" w:hAnsi="Times New Roman" w:cs="Times New Roman"/>
          <w:b/>
          <w:snapToGrid w:val="0"/>
          <w:lang w:val="pl-PL" w:eastAsia="en-US"/>
        </w:rPr>
        <w:t xml:space="preserve"> </w:t>
      </w:r>
      <w:r w:rsidRPr="00E619A0">
        <w:rPr>
          <w:rFonts w:ascii="Times New Roman" w:hAnsi="Times New Roman" w:cs="Times New Roman"/>
          <w:snapToGrid w:val="0"/>
          <w:lang w:val="pl-PL" w:eastAsia="en-US"/>
        </w:rPr>
        <w:t xml:space="preserve">28 kwietnia 2009 r. i </w:t>
      </w:r>
      <w:r w:rsidRPr="00E619A0">
        <w:rPr>
          <w:rFonts w:ascii="Times New Roman" w:hAnsi="Times New Roman" w:cs="Times New Roman"/>
          <w:i/>
          <w:snapToGrid w:val="0"/>
          <w:lang w:val="pl-PL" w:eastAsia="en-US"/>
        </w:rPr>
        <w:t xml:space="preserve">Panfile przeciwko Rumunii </w:t>
      </w:r>
      <w:r w:rsidRPr="00E619A0">
        <w:rPr>
          <w:rFonts w:ascii="Times New Roman" w:hAnsi="Times New Roman" w:cs="Times New Roman"/>
          <w:snapToGrid w:val="0"/>
          <w:lang w:val="pl-PL" w:eastAsia="en-US"/>
        </w:rPr>
        <w:t>(dec.), nr 13902/11, § 15, 20 marca 2012 r.).</w:t>
      </w:r>
    </w:p>
    <w:p w:rsidR="00557E4F" w:rsidRPr="00E619A0" w:rsidRDefault="00557E4F" w:rsidP="00557E4F">
      <w:pPr>
        <w:pStyle w:val="ECHRPara"/>
        <w:rPr>
          <w:rFonts w:ascii="Times New Roman" w:hAnsi="Times New Roman" w:cs="Times New Roman"/>
          <w:snapToGrid w:val="0"/>
          <w:lang w:val="pl-PL" w:eastAsia="en-US"/>
        </w:rPr>
      </w:pPr>
      <w:r w:rsidRPr="00E619A0">
        <w:rPr>
          <w:rFonts w:ascii="Times New Roman" w:hAnsi="Times New Roman" w:cs="Times New Roman"/>
          <w:snapToGrid w:val="0"/>
          <w:lang w:val="pl-PL" w:eastAsia="en-US"/>
        </w:rPr>
        <w:t xml:space="preserve">19. W niniejszej sprawie obydwaj </w:t>
      </w:r>
      <w:r w:rsidRPr="00E619A0">
        <w:rPr>
          <w:rFonts w:ascii="Times New Roman" w:hAnsi="Times New Roman" w:cs="Times New Roman"/>
          <w:lang w:val="pl-PL"/>
        </w:rPr>
        <w:t xml:space="preserve">skarżący byli zgodnie z prawem uprawnieni do otrzymania świadczeń urlopowych i świątecznych w 2012 r., które otrzymali – jak zwykle – w lipcu i listopadzie 2012 r., przy czym kwoty tych wypłat zostały obniżone o 10,8% łącznej wartości rocznych świadczeń emerytalnych w przypadku </w:t>
      </w:r>
      <w:r w:rsidR="00175EEE" w:rsidRPr="00E619A0">
        <w:rPr>
          <w:rFonts w:ascii="Times New Roman" w:hAnsi="Times New Roman" w:cs="Times New Roman"/>
          <w:lang w:val="pl-PL"/>
        </w:rPr>
        <w:t>pierwszego skarżącego oraz o 10,</w:t>
      </w:r>
      <w:r w:rsidRPr="00E619A0">
        <w:rPr>
          <w:rFonts w:ascii="Times New Roman" w:hAnsi="Times New Roman" w:cs="Times New Roman"/>
          <w:lang w:val="pl-PL"/>
        </w:rPr>
        <w:t xml:space="preserve">7% tej wartości w przypadku drugiego skarżącego. </w:t>
      </w:r>
      <w:r w:rsidR="00205C62" w:rsidRPr="00E619A0">
        <w:rPr>
          <w:rFonts w:ascii="Times New Roman" w:hAnsi="Times New Roman" w:cs="Times New Roman"/>
          <w:lang w:val="pl-PL"/>
        </w:rPr>
        <w:t xml:space="preserve">Zatem obaj skarżący posiadali interes majątkowy związany ze </w:t>
      </w:r>
      <w:r w:rsidRPr="00E619A0">
        <w:rPr>
          <w:rFonts w:ascii="Times New Roman" w:hAnsi="Times New Roman" w:cs="Times New Roman"/>
          <w:lang w:val="pl-PL"/>
        </w:rPr>
        <w:t>świadcze</w:t>
      </w:r>
      <w:r w:rsidR="00205C62" w:rsidRPr="00E619A0">
        <w:rPr>
          <w:rFonts w:ascii="Times New Roman" w:hAnsi="Times New Roman" w:cs="Times New Roman"/>
          <w:lang w:val="pl-PL"/>
        </w:rPr>
        <w:t>niami urlopowymi</w:t>
      </w:r>
      <w:r w:rsidRPr="00E619A0">
        <w:rPr>
          <w:rFonts w:ascii="Times New Roman" w:hAnsi="Times New Roman" w:cs="Times New Roman"/>
          <w:lang w:val="pl-PL"/>
        </w:rPr>
        <w:t xml:space="preserve"> i świąteczny</w:t>
      </w:r>
      <w:r w:rsidR="00205C62" w:rsidRPr="00E619A0">
        <w:rPr>
          <w:rFonts w:ascii="Times New Roman" w:hAnsi="Times New Roman" w:cs="Times New Roman"/>
          <w:lang w:val="pl-PL"/>
        </w:rPr>
        <w:t xml:space="preserve">mi, objęty zakresem </w:t>
      </w:r>
      <w:r w:rsidR="00E619A0" w:rsidRPr="00E619A0">
        <w:rPr>
          <w:rFonts w:ascii="Times New Roman" w:hAnsi="Times New Roman" w:cs="Times New Roman"/>
          <w:lang w:val="pl-PL"/>
        </w:rPr>
        <w:t>arty</w:t>
      </w:r>
      <w:r w:rsidRPr="00E619A0">
        <w:rPr>
          <w:rFonts w:ascii="Times New Roman" w:hAnsi="Times New Roman" w:cs="Times New Roman"/>
          <w:lang w:val="pl-PL"/>
        </w:rPr>
        <w:t>kułu 1 Protokołu nr 1.</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20.   Zgodnie z wymogami </w:t>
      </w:r>
      <w:r w:rsidR="00E619A0" w:rsidRPr="00E619A0">
        <w:rPr>
          <w:rFonts w:ascii="Times New Roman" w:hAnsi="Times New Roman" w:cs="Times New Roman"/>
          <w:lang w:val="pl-PL"/>
        </w:rPr>
        <w:t>artykułu</w:t>
      </w:r>
      <w:r w:rsidRPr="00E619A0">
        <w:rPr>
          <w:rFonts w:ascii="Times New Roman" w:hAnsi="Times New Roman" w:cs="Times New Roman"/>
          <w:lang w:val="pl-PL"/>
        </w:rPr>
        <w:t xml:space="preserve"> 1 Protokołu nr 1</w:t>
      </w:r>
      <w:r w:rsidR="000119AD" w:rsidRPr="00E619A0">
        <w:rPr>
          <w:rFonts w:ascii="Times New Roman" w:hAnsi="Times New Roman" w:cs="Times New Roman"/>
          <w:lang w:val="pl-PL"/>
        </w:rPr>
        <w:t xml:space="preserve"> każdy przypadek ingerencji władz publicznych w prawa do poszanowania mienia powinien być zgodny z prawem</w:t>
      </w:r>
      <w:r w:rsidRPr="00E619A0">
        <w:rPr>
          <w:rFonts w:ascii="Times New Roman" w:hAnsi="Times New Roman" w:cs="Times New Roman"/>
          <w:lang w:val="pl-PL"/>
        </w:rPr>
        <w:t xml:space="preserve">: </w:t>
      </w:r>
      <w:r w:rsidR="000119AD" w:rsidRPr="00E619A0">
        <w:rPr>
          <w:rFonts w:ascii="Times New Roman" w:hAnsi="Times New Roman" w:cs="Times New Roman"/>
          <w:lang w:val="pl-PL"/>
        </w:rPr>
        <w:t>w istocie</w:t>
      </w:r>
      <w:r w:rsidRPr="00E619A0">
        <w:rPr>
          <w:rFonts w:ascii="Times New Roman" w:hAnsi="Times New Roman" w:cs="Times New Roman"/>
          <w:lang w:val="pl-PL"/>
        </w:rPr>
        <w:t xml:space="preserve">, </w:t>
      </w:r>
      <w:r w:rsidR="000119AD" w:rsidRPr="00E619A0">
        <w:rPr>
          <w:rFonts w:ascii="Times New Roman" w:hAnsi="Times New Roman" w:cs="Times New Roman"/>
          <w:lang w:val="pl-PL"/>
        </w:rPr>
        <w:t xml:space="preserve">drugie zdanie pierwszego akapitu tego </w:t>
      </w:r>
      <w:r w:rsidR="00E619A0" w:rsidRPr="00E619A0">
        <w:rPr>
          <w:rFonts w:ascii="Times New Roman" w:hAnsi="Times New Roman" w:cs="Times New Roman"/>
          <w:lang w:val="pl-PL"/>
        </w:rPr>
        <w:t>artykułu</w:t>
      </w:r>
      <w:r w:rsidR="000119AD" w:rsidRPr="00E619A0">
        <w:rPr>
          <w:rFonts w:ascii="Times New Roman" w:hAnsi="Times New Roman" w:cs="Times New Roman"/>
          <w:lang w:val="pl-PL"/>
        </w:rPr>
        <w:t xml:space="preserve"> dopuszcza pozbawienie własności „na warunkach przewidzianych przez ustawę</w:t>
      </w:r>
      <w:r w:rsidRPr="00E619A0">
        <w:rPr>
          <w:rFonts w:ascii="Times New Roman" w:hAnsi="Times New Roman" w:cs="Times New Roman"/>
          <w:lang w:val="pl-PL"/>
        </w:rPr>
        <w:t xml:space="preserve">”. </w:t>
      </w:r>
      <w:r w:rsidR="00175EEE" w:rsidRPr="00E619A0">
        <w:rPr>
          <w:rFonts w:ascii="Times New Roman" w:hAnsi="Times New Roman" w:cs="Times New Roman"/>
          <w:lang w:val="pl-PL"/>
        </w:rPr>
        <w:t xml:space="preserve">Ponadto </w:t>
      </w:r>
      <w:r w:rsidR="000119AD" w:rsidRPr="00E619A0">
        <w:rPr>
          <w:rFonts w:ascii="Times New Roman" w:hAnsi="Times New Roman" w:cs="Times New Roman"/>
          <w:lang w:val="pl-PL"/>
        </w:rPr>
        <w:t xml:space="preserve">zasada rządów prawa, jedna z fundamentalnych zasad demokratycznego społeczeństwa jest nieodłączna wszystkim </w:t>
      </w:r>
      <w:r w:rsidR="000119AD" w:rsidRPr="00E619A0">
        <w:rPr>
          <w:rFonts w:ascii="Times New Roman" w:hAnsi="Times New Roman" w:cs="Times New Roman"/>
          <w:lang w:val="pl-PL"/>
        </w:rPr>
        <w:lastRenderedPageBreak/>
        <w:t xml:space="preserve">przepisom Konwencji </w:t>
      </w:r>
      <w:r w:rsidRPr="00E619A0">
        <w:rPr>
          <w:rFonts w:ascii="Times New Roman" w:hAnsi="Times New Roman" w:cs="Times New Roman"/>
          <w:lang w:val="pl-PL"/>
        </w:rPr>
        <w:t xml:space="preserve">(zob. </w:t>
      </w:r>
      <w:r w:rsidR="00504245" w:rsidRPr="00E619A0">
        <w:rPr>
          <w:rFonts w:ascii="Times New Roman" w:hAnsi="Times New Roman" w:cs="Times New Roman"/>
          <w:i/>
          <w:lang w:val="pl-PL"/>
        </w:rPr>
        <w:t xml:space="preserve">Były </w:t>
      </w:r>
      <w:r w:rsidRPr="00E619A0">
        <w:rPr>
          <w:rFonts w:ascii="Times New Roman" w:hAnsi="Times New Roman" w:cs="Times New Roman"/>
          <w:i/>
          <w:lang w:val="pl-PL"/>
        </w:rPr>
        <w:t>K</w:t>
      </w:r>
      <w:r w:rsidR="00504245" w:rsidRPr="00E619A0">
        <w:rPr>
          <w:rFonts w:ascii="Times New Roman" w:hAnsi="Times New Roman" w:cs="Times New Roman"/>
          <w:i/>
          <w:lang w:val="pl-PL"/>
        </w:rPr>
        <w:t xml:space="preserve">ról </w:t>
      </w:r>
      <w:r w:rsidRPr="00E619A0">
        <w:rPr>
          <w:rFonts w:ascii="Times New Roman" w:hAnsi="Times New Roman" w:cs="Times New Roman"/>
          <w:i/>
          <w:lang w:val="pl-PL"/>
        </w:rPr>
        <w:t>Grec</w:t>
      </w:r>
      <w:r w:rsidR="00504245" w:rsidRPr="00E619A0">
        <w:rPr>
          <w:rFonts w:ascii="Times New Roman" w:hAnsi="Times New Roman" w:cs="Times New Roman"/>
          <w:i/>
          <w:lang w:val="pl-PL"/>
        </w:rPr>
        <w:t>ji</w:t>
      </w:r>
      <w:r w:rsidRPr="00E619A0">
        <w:rPr>
          <w:rFonts w:ascii="Times New Roman" w:hAnsi="Times New Roman" w:cs="Times New Roman"/>
          <w:i/>
          <w:lang w:val="pl-PL"/>
        </w:rPr>
        <w:t xml:space="preserve"> i Inni przeciwko Grecji</w:t>
      </w:r>
      <w:r w:rsidR="000119AD" w:rsidRPr="00E619A0">
        <w:rPr>
          <w:rFonts w:ascii="Times New Roman" w:hAnsi="Times New Roman" w:cs="Times New Roman"/>
          <w:i/>
          <w:lang w:val="pl-PL"/>
        </w:rPr>
        <w:t xml:space="preserve"> </w:t>
      </w:r>
      <w:r w:rsidRPr="00E619A0">
        <w:rPr>
          <w:rFonts w:ascii="Times New Roman" w:hAnsi="Times New Roman" w:cs="Times New Roman"/>
          <w:lang w:val="pl-PL"/>
        </w:rPr>
        <w:t>[WI] (merit</w:t>
      </w:r>
      <w:r w:rsidR="000119AD" w:rsidRPr="00E619A0">
        <w:rPr>
          <w:rFonts w:ascii="Times New Roman" w:hAnsi="Times New Roman" w:cs="Times New Roman"/>
          <w:lang w:val="pl-PL"/>
        </w:rPr>
        <w:t>um</w:t>
      </w:r>
      <w:r w:rsidRPr="00E619A0">
        <w:rPr>
          <w:rFonts w:ascii="Times New Roman" w:hAnsi="Times New Roman" w:cs="Times New Roman"/>
          <w:lang w:val="pl-PL"/>
        </w:rPr>
        <w:t xml:space="preserve">), nr 25701/94, § 79, ETPCZ 2000–XII; oraz </w:t>
      </w:r>
      <w:r w:rsidRPr="00E619A0">
        <w:rPr>
          <w:rFonts w:ascii="Times New Roman" w:hAnsi="Times New Roman" w:cs="Times New Roman"/>
          <w:i/>
          <w:lang w:val="pl-PL" w:eastAsia="en-US"/>
        </w:rPr>
        <w:t xml:space="preserve">Broniowski przeciwko Polsce  </w:t>
      </w:r>
      <w:r w:rsidRPr="00E619A0">
        <w:rPr>
          <w:rFonts w:ascii="Times New Roman" w:hAnsi="Times New Roman" w:cs="Times New Roman"/>
          <w:lang w:val="pl-PL" w:eastAsia="en-US"/>
        </w:rPr>
        <w:t>[WI], nr 31443/96, § 147, ETPCZ 2004</w:t>
      </w:r>
      <w:r w:rsidRPr="00E619A0">
        <w:rPr>
          <w:rFonts w:ascii="Times New Roman" w:hAnsi="Times New Roman" w:cs="Times New Roman"/>
          <w:lang w:val="pl-PL" w:eastAsia="en-US"/>
        </w:rPr>
        <w:noBreakHyphen/>
        <w:t>V</w:t>
      </w:r>
      <w:r w:rsidRPr="00E619A0">
        <w:rPr>
          <w:rFonts w:ascii="Times New Roman" w:hAnsi="Times New Roman" w:cs="Times New Roman"/>
          <w:lang w:val="pl-PL"/>
        </w:rPr>
        <w:t>).</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21.  W sprawie skarżących Trybunał zauważa, że mimo uznania </w:t>
      </w:r>
      <w:proofErr w:type="spellStart"/>
      <w:r w:rsidRPr="00E619A0">
        <w:rPr>
          <w:rFonts w:ascii="Times New Roman" w:hAnsi="Times New Roman" w:cs="Times New Roman"/>
          <w:lang w:val="pl-PL"/>
        </w:rPr>
        <w:t>niekonstytucjonalności</w:t>
      </w:r>
      <w:proofErr w:type="spellEnd"/>
      <w:r w:rsidRPr="00E619A0">
        <w:rPr>
          <w:rFonts w:ascii="Times New Roman" w:hAnsi="Times New Roman" w:cs="Times New Roman"/>
          <w:lang w:val="pl-PL"/>
        </w:rPr>
        <w:t xml:space="preserve"> odnośnych przepisów ustawodawstwa </w:t>
      </w:r>
      <w:r w:rsidR="00B80701" w:rsidRPr="00E619A0">
        <w:rPr>
          <w:rFonts w:ascii="Times New Roman" w:hAnsi="Times New Roman" w:cs="Times New Roman"/>
          <w:lang w:val="pl-PL"/>
        </w:rPr>
        <w:t>krajowego ze</w:t>
      </w:r>
      <w:r w:rsidRPr="00E619A0">
        <w:rPr>
          <w:rFonts w:ascii="Times New Roman" w:hAnsi="Times New Roman" w:cs="Times New Roman"/>
          <w:lang w:val="pl-PL"/>
        </w:rPr>
        <w:t xml:space="preserve"> względu na fakt, że nie wymagano podobnych wyrzeczeń ze strony obywateli zat</w:t>
      </w:r>
      <w:r w:rsidR="00175EEE" w:rsidRPr="00E619A0">
        <w:rPr>
          <w:rFonts w:ascii="Times New Roman" w:hAnsi="Times New Roman" w:cs="Times New Roman"/>
          <w:lang w:val="pl-PL"/>
        </w:rPr>
        <w:t>rudnionych w sektorze prywatnym</w:t>
      </w:r>
      <w:r w:rsidRPr="00E619A0">
        <w:rPr>
          <w:rFonts w:ascii="Times New Roman" w:hAnsi="Times New Roman" w:cs="Times New Roman"/>
          <w:lang w:val="pl-PL"/>
        </w:rPr>
        <w:t xml:space="preserve"> Trybunał Konstytucyjny zdecydował o dopuszczeniu cięć w 2012 r. na podstawie przepisu art. 282 § 4 Konstytucji Portugalskiej, który zezwala na ograniczenie skutków uznania </w:t>
      </w:r>
      <w:proofErr w:type="spellStart"/>
      <w:r w:rsidRPr="00E619A0">
        <w:rPr>
          <w:rFonts w:ascii="Times New Roman" w:hAnsi="Times New Roman" w:cs="Times New Roman"/>
          <w:lang w:val="pl-PL"/>
        </w:rPr>
        <w:t>niekonstytucjonalności</w:t>
      </w:r>
      <w:proofErr w:type="spellEnd"/>
      <w:r w:rsidRPr="00E619A0">
        <w:rPr>
          <w:rFonts w:ascii="Times New Roman" w:hAnsi="Times New Roman" w:cs="Times New Roman"/>
          <w:lang w:val="pl-PL"/>
        </w:rPr>
        <w:t xml:space="preserve"> w przypadku wystąpienia okoliczności nadzwyczajnych. A zatem T</w:t>
      </w:r>
      <w:r w:rsidR="00175EEE" w:rsidRPr="00E619A0">
        <w:rPr>
          <w:rFonts w:ascii="Times New Roman" w:hAnsi="Times New Roman" w:cs="Times New Roman"/>
          <w:lang w:val="pl-PL"/>
        </w:rPr>
        <w:t xml:space="preserve">rybunał Konstytucyjny dopuścił redukcje </w:t>
      </w:r>
      <w:r w:rsidRPr="00E619A0">
        <w:rPr>
          <w:rFonts w:ascii="Times New Roman" w:hAnsi="Times New Roman" w:cs="Times New Roman"/>
          <w:lang w:val="pl-PL"/>
        </w:rPr>
        <w:t xml:space="preserve">zgodnie z prawem krajowym </w:t>
      </w:r>
      <w:r w:rsidR="00A4206C" w:rsidRPr="00E619A0">
        <w:rPr>
          <w:rFonts w:ascii="Times New Roman" w:hAnsi="Times New Roman" w:cs="Times New Roman"/>
          <w:lang w:val="pl-PL"/>
        </w:rPr>
        <w:t xml:space="preserve">w rozumieniu </w:t>
      </w:r>
      <w:r w:rsidR="00E619A0" w:rsidRPr="00E619A0">
        <w:rPr>
          <w:rFonts w:ascii="Times New Roman" w:hAnsi="Times New Roman" w:cs="Times New Roman"/>
          <w:lang w:val="pl-PL"/>
        </w:rPr>
        <w:t>artykułu</w:t>
      </w:r>
      <w:r w:rsidRPr="00E619A0">
        <w:rPr>
          <w:rFonts w:ascii="Times New Roman" w:hAnsi="Times New Roman" w:cs="Times New Roman"/>
          <w:lang w:val="pl-PL"/>
        </w:rPr>
        <w:t xml:space="preserve"> 1 Protokołu nr 1.</w:t>
      </w:r>
    </w:p>
    <w:p w:rsidR="00557E4F" w:rsidRPr="00E619A0" w:rsidRDefault="00557E4F" w:rsidP="00557E4F">
      <w:pPr>
        <w:pStyle w:val="ECHRPara"/>
        <w:rPr>
          <w:rFonts w:ascii="Times New Roman" w:hAnsi="Times New Roman" w:cs="Times New Roman"/>
          <w:b/>
          <w:snapToGrid w:val="0"/>
          <w:lang w:val="pl-PL" w:eastAsia="en-US"/>
        </w:rPr>
      </w:pPr>
      <w:r w:rsidRPr="00E619A0">
        <w:rPr>
          <w:rFonts w:ascii="Times New Roman" w:hAnsi="Times New Roman" w:cs="Times New Roman"/>
          <w:lang w:val="pl-PL"/>
        </w:rPr>
        <w:t xml:space="preserve">22.  Trybunał podkreśla, iż każda ingerencja w korzystanie z prawa własności musi być zgodna z uzasadnionym celem leżącym w interesie publicznym (zob. </w:t>
      </w:r>
      <w:r w:rsidRPr="00E619A0">
        <w:rPr>
          <w:rFonts w:ascii="Times New Roman" w:hAnsi="Times New Roman" w:cs="Times New Roman"/>
          <w:i/>
          <w:lang w:val="pl-PL" w:eastAsia="en-US"/>
        </w:rPr>
        <w:t>Broniowski</w:t>
      </w:r>
      <w:r w:rsidRPr="00E619A0">
        <w:rPr>
          <w:rFonts w:ascii="Times New Roman" w:hAnsi="Times New Roman" w:cs="Times New Roman"/>
          <w:lang w:val="pl-PL" w:eastAsia="en-US"/>
        </w:rPr>
        <w:t xml:space="preserve">, cyt. powyżej, §§ 147-48 oraz </w:t>
      </w:r>
      <w:proofErr w:type="spellStart"/>
      <w:r w:rsidR="00B80701" w:rsidRPr="00E619A0">
        <w:rPr>
          <w:rFonts w:ascii="Times New Roman" w:hAnsi="Times New Roman" w:cs="Times New Roman"/>
          <w:i/>
          <w:lang w:val="pl-PL" w:eastAsia="en-US"/>
        </w:rPr>
        <w:t>Hutten</w:t>
      </w:r>
      <w:proofErr w:type="spellEnd"/>
      <w:r w:rsidR="00B80701" w:rsidRPr="00E619A0">
        <w:rPr>
          <w:rFonts w:ascii="Times New Roman" w:hAnsi="Times New Roman" w:cs="Times New Roman"/>
          <w:i/>
          <w:lang w:val="pl-PL" w:eastAsia="en-US"/>
        </w:rPr>
        <w:t>-Czapska przeciwko Polsce</w:t>
      </w:r>
      <w:r w:rsidRPr="00E619A0">
        <w:rPr>
          <w:rFonts w:ascii="Times New Roman" w:hAnsi="Times New Roman" w:cs="Times New Roman"/>
          <w:lang w:val="pl-PL" w:eastAsia="en-US"/>
        </w:rPr>
        <w:t xml:space="preserve"> [WI], nr 35014/97, §§ 163-64, </w:t>
      </w:r>
      <w:proofErr w:type="spellStart"/>
      <w:r w:rsidRPr="00E619A0">
        <w:rPr>
          <w:rFonts w:ascii="Times New Roman" w:hAnsi="Times New Roman" w:cs="Times New Roman"/>
          <w:lang w:val="pl-PL" w:eastAsia="en-US"/>
        </w:rPr>
        <w:t>ETPCz</w:t>
      </w:r>
      <w:proofErr w:type="spellEnd"/>
      <w:r w:rsidRPr="00E619A0">
        <w:rPr>
          <w:rFonts w:ascii="Times New Roman" w:hAnsi="Times New Roman" w:cs="Times New Roman"/>
          <w:lang w:val="pl-PL" w:eastAsia="en-US"/>
        </w:rPr>
        <w:t xml:space="preserve"> 2006</w:t>
      </w:r>
      <w:r w:rsidRPr="00E619A0">
        <w:rPr>
          <w:rFonts w:ascii="Times New Roman" w:hAnsi="Times New Roman" w:cs="Times New Roman"/>
          <w:lang w:val="pl-PL" w:eastAsia="en-US"/>
        </w:rPr>
        <w:noBreakHyphen/>
        <w:t>VIII</w:t>
      </w:r>
      <w:r w:rsidRPr="00E619A0">
        <w:rPr>
          <w:rFonts w:ascii="Times New Roman" w:hAnsi="Times New Roman" w:cs="Times New Roman"/>
          <w:lang w:val="pl-PL"/>
        </w:rPr>
        <w:t>).</w:t>
      </w:r>
      <w:r w:rsidRPr="00E619A0">
        <w:rPr>
          <w:rFonts w:ascii="Times New Roman" w:hAnsi="Times New Roman" w:cs="Times New Roman"/>
          <w:b/>
          <w:snapToGrid w:val="0"/>
          <w:lang w:val="pl-PL" w:eastAsia="en-US"/>
        </w:rPr>
        <w:t xml:space="preserve"> </w:t>
      </w:r>
      <w:r w:rsidRPr="00E619A0">
        <w:rPr>
          <w:rFonts w:ascii="Times New Roman" w:hAnsi="Times New Roman" w:cs="Times New Roman"/>
          <w:snapToGrid w:val="0"/>
          <w:lang w:val="pl-PL" w:eastAsia="en-US"/>
        </w:rPr>
        <w:t>W tym względzie Państwo dysponuje zazwyczaj na mocy Konwencji szerokim marginesem swobodnej oceny w odniesieniu do ogólnych środków gospodarczych czy społecznych.</w:t>
      </w:r>
      <w:r w:rsidRPr="00E619A0">
        <w:rPr>
          <w:rFonts w:ascii="Times New Roman" w:hAnsi="Times New Roman" w:cs="Times New Roman"/>
          <w:lang w:val="pl-PL"/>
        </w:rPr>
        <w:t xml:space="preserve"> Z uwagi na ich bezpośrednią wiedzę o własnym społeczeństwie i jego potrzebach, w ocenie tego, co jest „w interesie publicznym” z punktu </w:t>
      </w:r>
      <w:r w:rsidR="003B6947" w:rsidRPr="00E619A0">
        <w:rPr>
          <w:rFonts w:ascii="Times New Roman" w:hAnsi="Times New Roman" w:cs="Times New Roman"/>
          <w:lang w:val="pl-PL"/>
        </w:rPr>
        <w:t>widzenia</w:t>
      </w:r>
      <w:r w:rsidRPr="00E619A0">
        <w:rPr>
          <w:rFonts w:ascii="Times New Roman" w:hAnsi="Times New Roman" w:cs="Times New Roman"/>
          <w:lang w:val="pl-PL"/>
        </w:rPr>
        <w:t xml:space="preserve"> </w:t>
      </w:r>
      <w:r w:rsidR="003B6947" w:rsidRPr="00E619A0">
        <w:rPr>
          <w:rFonts w:ascii="Times New Roman" w:hAnsi="Times New Roman" w:cs="Times New Roman"/>
          <w:lang w:val="pl-PL"/>
        </w:rPr>
        <w:t>gospodarczego</w:t>
      </w:r>
      <w:r w:rsidRPr="00E619A0">
        <w:rPr>
          <w:rFonts w:ascii="Times New Roman" w:hAnsi="Times New Roman" w:cs="Times New Roman"/>
          <w:lang w:val="pl-PL"/>
        </w:rPr>
        <w:t xml:space="preserve"> i społecznego, władze krajowe znajdują się </w:t>
      </w:r>
      <w:r w:rsidR="00196476">
        <w:rPr>
          <w:rFonts w:ascii="Times New Roman" w:hAnsi="Times New Roman" w:cs="Times New Roman"/>
          <w:lang w:val="pl-PL"/>
        </w:rPr>
        <w:t xml:space="preserve">zasadniczo </w:t>
      </w:r>
      <w:r w:rsidRPr="00E619A0">
        <w:rPr>
          <w:rFonts w:ascii="Times New Roman" w:hAnsi="Times New Roman" w:cs="Times New Roman"/>
          <w:lang w:val="pl-PL"/>
        </w:rPr>
        <w:t xml:space="preserve">w korzystniejszej sytuacji aniżeli sędzia międzynarodowy. Trybunał będzie co do zasady respektować wybory polityczne </w:t>
      </w:r>
      <w:r w:rsidR="00A4206C" w:rsidRPr="00E619A0">
        <w:rPr>
          <w:rFonts w:ascii="Times New Roman" w:hAnsi="Times New Roman" w:cs="Times New Roman"/>
          <w:lang w:val="pl-PL"/>
        </w:rPr>
        <w:t>ustawodawcy</w:t>
      </w:r>
      <w:r w:rsidRPr="00E619A0">
        <w:rPr>
          <w:rFonts w:ascii="Times New Roman" w:hAnsi="Times New Roman" w:cs="Times New Roman"/>
          <w:lang w:val="pl-PL"/>
        </w:rPr>
        <w:t xml:space="preserve">, chyba że są one „w sposób oczywisty pozbawione uzasadnionych podstaw” (zob. </w:t>
      </w:r>
      <w:proofErr w:type="spellStart"/>
      <w:r w:rsidRPr="00E619A0">
        <w:rPr>
          <w:rFonts w:ascii="Times New Roman" w:hAnsi="Times New Roman" w:cs="Times New Roman"/>
          <w:i/>
          <w:lang w:val="pl-PL" w:eastAsia="en-US"/>
        </w:rPr>
        <w:t>National</w:t>
      </w:r>
      <w:proofErr w:type="spellEnd"/>
      <w:r w:rsidRPr="00E619A0">
        <w:rPr>
          <w:rFonts w:ascii="Times New Roman" w:hAnsi="Times New Roman" w:cs="Times New Roman"/>
          <w:i/>
          <w:lang w:val="pl-PL" w:eastAsia="en-US"/>
        </w:rPr>
        <w:t xml:space="preserve"> &amp; </w:t>
      </w:r>
      <w:proofErr w:type="spellStart"/>
      <w:r w:rsidRPr="00E619A0">
        <w:rPr>
          <w:rFonts w:ascii="Times New Roman" w:hAnsi="Times New Roman" w:cs="Times New Roman"/>
          <w:i/>
          <w:lang w:val="pl-PL" w:eastAsia="en-US"/>
        </w:rPr>
        <w:t>Provincial</w:t>
      </w:r>
      <w:proofErr w:type="spellEnd"/>
      <w:r w:rsidRPr="00E619A0">
        <w:rPr>
          <w:rFonts w:ascii="Times New Roman" w:hAnsi="Times New Roman" w:cs="Times New Roman"/>
          <w:i/>
          <w:lang w:val="pl-PL" w:eastAsia="en-US"/>
        </w:rPr>
        <w:t xml:space="preserve"> </w:t>
      </w:r>
      <w:proofErr w:type="spellStart"/>
      <w:r w:rsidRPr="00E619A0">
        <w:rPr>
          <w:rFonts w:ascii="Times New Roman" w:hAnsi="Times New Roman" w:cs="Times New Roman"/>
          <w:i/>
          <w:lang w:val="pl-PL" w:eastAsia="en-US"/>
        </w:rPr>
        <w:t>Building</w:t>
      </w:r>
      <w:proofErr w:type="spellEnd"/>
      <w:r w:rsidRPr="00E619A0">
        <w:rPr>
          <w:rFonts w:ascii="Times New Roman" w:hAnsi="Times New Roman" w:cs="Times New Roman"/>
          <w:i/>
          <w:lang w:val="pl-PL" w:eastAsia="en-US"/>
        </w:rPr>
        <w:t xml:space="preserve"> </w:t>
      </w:r>
      <w:proofErr w:type="spellStart"/>
      <w:r w:rsidRPr="00E619A0">
        <w:rPr>
          <w:rFonts w:ascii="Times New Roman" w:hAnsi="Times New Roman" w:cs="Times New Roman"/>
          <w:i/>
          <w:lang w:val="pl-PL" w:eastAsia="en-US"/>
        </w:rPr>
        <w:t>Society</w:t>
      </w:r>
      <w:proofErr w:type="spellEnd"/>
      <w:r w:rsidRPr="00E619A0">
        <w:rPr>
          <w:rFonts w:ascii="Times New Roman" w:hAnsi="Times New Roman" w:cs="Times New Roman"/>
          <w:i/>
          <w:iCs/>
          <w:lang w:val="pl-PL" w:eastAsia="en-US"/>
        </w:rPr>
        <w:t>,</w:t>
      </w:r>
      <w:r w:rsidRPr="00E619A0">
        <w:rPr>
          <w:rFonts w:ascii="Times New Roman" w:hAnsi="Times New Roman" w:cs="Times New Roman"/>
          <w:i/>
          <w:lang w:val="pl-PL" w:eastAsia="en-US"/>
        </w:rPr>
        <w:t xml:space="preserve"> </w:t>
      </w:r>
      <w:proofErr w:type="spellStart"/>
      <w:r w:rsidRPr="00E619A0">
        <w:rPr>
          <w:rFonts w:ascii="Times New Roman" w:hAnsi="Times New Roman" w:cs="Times New Roman"/>
          <w:i/>
          <w:lang w:val="pl-PL" w:eastAsia="en-US"/>
        </w:rPr>
        <w:t>Leeds</w:t>
      </w:r>
      <w:proofErr w:type="spellEnd"/>
      <w:r w:rsidRPr="00E619A0">
        <w:rPr>
          <w:rFonts w:ascii="Times New Roman" w:hAnsi="Times New Roman" w:cs="Times New Roman"/>
          <w:i/>
          <w:lang w:val="pl-PL" w:eastAsia="en-US"/>
        </w:rPr>
        <w:t xml:space="preserve"> Permanent </w:t>
      </w:r>
      <w:proofErr w:type="spellStart"/>
      <w:r w:rsidRPr="00E619A0">
        <w:rPr>
          <w:rFonts w:ascii="Times New Roman" w:hAnsi="Times New Roman" w:cs="Times New Roman"/>
          <w:i/>
          <w:lang w:val="pl-PL" w:eastAsia="en-US"/>
        </w:rPr>
        <w:t>Building</w:t>
      </w:r>
      <w:proofErr w:type="spellEnd"/>
      <w:r w:rsidRPr="00E619A0">
        <w:rPr>
          <w:rFonts w:ascii="Times New Roman" w:hAnsi="Times New Roman" w:cs="Times New Roman"/>
          <w:i/>
          <w:lang w:val="pl-PL" w:eastAsia="en-US"/>
        </w:rPr>
        <w:t xml:space="preserve"> </w:t>
      </w:r>
      <w:proofErr w:type="spellStart"/>
      <w:r w:rsidRPr="00E619A0">
        <w:rPr>
          <w:rFonts w:ascii="Times New Roman" w:hAnsi="Times New Roman" w:cs="Times New Roman"/>
          <w:i/>
          <w:lang w:val="pl-PL" w:eastAsia="en-US"/>
        </w:rPr>
        <w:t>Society</w:t>
      </w:r>
      <w:proofErr w:type="spellEnd"/>
      <w:r w:rsidRPr="00E619A0">
        <w:rPr>
          <w:rFonts w:ascii="Times New Roman" w:hAnsi="Times New Roman" w:cs="Times New Roman"/>
          <w:i/>
          <w:lang w:val="pl-PL" w:eastAsia="en-US"/>
        </w:rPr>
        <w:t xml:space="preserve"> i Yorkshire </w:t>
      </w:r>
      <w:proofErr w:type="spellStart"/>
      <w:r w:rsidRPr="00E619A0">
        <w:rPr>
          <w:rFonts w:ascii="Times New Roman" w:hAnsi="Times New Roman" w:cs="Times New Roman"/>
          <w:i/>
          <w:lang w:val="pl-PL" w:eastAsia="en-US"/>
        </w:rPr>
        <w:t>Building</w:t>
      </w:r>
      <w:proofErr w:type="spellEnd"/>
      <w:r w:rsidRPr="00E619A0">
        <w:rPr>
          <w:rFonts w:ascii="Times New Roman" w:hAnsi="Times New Roman" w:cs="Times New Roman"/>
          <w:i/>
          <w:lang w:val="pl-PL" w:eastAsia="en-US"/>
        </w:rPr>
        <w:t xml:space="preserve"> </w:t>
      </w:r>
      <w:proofErr w:type="spellStart"/>
      <w:r w:rsidRPr="00E619A0">
        <w:rPr>
          <w:rFonts w:ascii="Times New Roman" w:hAnsi="Times New Roman" w:cs="Times New Roman"/>
          <w:i/>
          <w:lang w:val="pl-PL" w:eastAsia="en-US"/>
        </w:rPr>
        <w:t>Society</w:t>
      </w:r>
      <w:proofErr w:type="spellEnd"/>
      <w:r w:rsidRPr="00E619A0">
        <w:rPr>
          <w:rFonts w:ascii="Times New Roman" w:hAnsi="Times New Roman" w:cs="Times New Roman"/>
          <w:i/>
          <w:lang w:val="pl-PL" w:eastAsia="en-US"/>
        </w:rPr>
        <w:t xml:space="preserve"> przeciwko Zjednoczonemu Królestwu</w:t>
      </w:r>
      <w:r w:rsidRPr="00E619A0">
        <w:rPr>
          <w:rFonts w:ascii="Times New Roman" w:hAnsi="Times New Roman" w:cs="Times New Roman"/>
          <w:lang w:val="pl-PL" w:eastAsia="en-US"/>
        </w:rPr>
        <w:t xml:space="preserve">, 23 października 1997 r., § 80, </w:t>
      </w:r>
      <w:r w:rsidR="00D53E88" w:rsidRPr="00E619A0">
        <w:rPr>
          <w:rFonts w:ascii="Times New Roman" w:hAnsi="Times New Roman" w:cs="Times New Roman"/>
          <w:i/>
          <w:lang w:val="pl-PL" w:eastAsia="en-US"/>
        </w:rPr>
        <w:t>Raporty</w:t>
      </w:r>
      <w:r w:rsidRPr="00E619A0">
        <w:rPr>
          <w:rFonts w:ascii="Times New Roman" w:hAnsi="Times New Roman" w:cs="Times New Roman"/>
          <w:i/>
          <w:lang w:val="pl-PL" w:eastAsia="en-US"/>
        </w:rPr>
        <w:t xml:space="preserve"> </w:t>
      </w:r>
      <w:r w:rsidRPr="00E619A0">
        <w:rPr>
          <w:rFonts w:ascii="Times New Roman" w:hAnsi="Times New Roman" w:cs="Times New Roman"/>
          <w:lang w:val="pl-PL" w:eastAsia="en-US"/>
        </w:rPr>
        <w:t>1997</w:t>
      </w:r>
      <w:r w:rsidRPr="00E619A0">
        <w:rPr>
          <w:rFonts w:ascii="Times New Roman" w:hAnsi="Times New Roman" w:cs="Times New Roman"/>
          <w:lang w:val="pl-PL" w:eastAsia="en-US"/>
        </w:rPr>
        <w:noBreakHyphen/>
        <w:t xml:space="preserve">VII oraz </w:t>
      </w:r>
      <w:r w:rsidRPr="00E619A0">
        <w:rPr>
          <w:rFonts w:ascii="Times New Roman" w:hAnsi="Times New Roman" w:cs="Times New Roman"/>
          <w:i/>
          <w:szCs w:val="24"/>
          <w:lang w:val="pl-PL" w:eastAsia="en-US"/>
        </w:rPr>
        <w:t>Stec i Inni przeciwko Zjednoczonemu Królestwu</w:t>
      </w:r>
      <w:r w:rsidRPr="00E619A0">
        <w:rPr>
          <w:rFonts w:ascii="Times New Roman" w:hAnsi="Times New Roman" w:cs="Times New Roman"/>
          <w:szCs w:val="24"/>
          <w:lang w:val="pl-PL" w:eastAsia="en-US"/>
        </w:rPr>
        <w:t xml:space="preserve"> [WI], nr </w:t>
      </w:r>
      <w:r w:rsidRPr="00E619A0">
        <w:rPr>
          <w:rFonts w:ascii="Times New Roman" w:hAnsi="Times New Roman" w:cs="Times New Roman"/>
          <w:lang w:val="pl-PL" w:eastAsia="en-US"/>
        </w:rPr>
        <w:t>65731/01 i 65900/01</w:t>
      </w:r>
      <w:r w:rsidRPr="00E619A0">
        <w:rPr>
          <w:rFonts w:ascii="Times New Roman" w:hAnsi="Times New Roman" w:cs="Times New Roman"/>
          <w:szCs w:val="24"/>
          <w:lang w:val="pl-PL" w:eastAsia="en-US"/>
        </w:rPr>
        <w:t xml:space="preserve">, § 52, </w:t>
      </w:r>
      <w:proofErr w:type="spellStart"/>
      <w:r w:rsidRPr="00E619A0">
        <w:rPr>
          <w:rFonts w:ascii="Times New Roman" w:hAnsi="Times New Roman" w:cs="Times New Roman"/>
          <w:szCs w:val="24"/>
          <w:lang w:val="pl-PL" w:eastAsia="en-US"/>
        </w:rPr>
        <w:t>ETPCz</w:t>
      </w:r>
      <w:proofErr w:type="spellEnd"/>
      <w:r w:rsidRPr="00E619A0">
        <w:rPr>
          <w:rFonts w:ascii="Times New Roman" w:hAnsi="Times New Roman" w:cs="Times New Roman"/>
          <w:szCs w:val="24"/>
          <w:lang w:val="pl-PL" w:eastAsia="en-US"/>
        </w:rPr>
        <w:t xml:space="preserve"> 2006</w:t>
      </w:r>
      <w:r w:rsidRPr="00E619A0">
        <w:rPr>
          <w:rFonts w:ascii="Times New Roman" w:hAnsi="Times New Roman" w:cs="Times New Roman"/>
          <w:szCs w:val="24"/>
          <w:lang w:val="pl-PL" w:eastAsia="en-US"/>
        </w:rPr>
        <w:noBreakHyphen/>
        <w:t>VI</w:t>
      </w:r>
      <w:r w:rsidRPr="00E619A0">
        <w:rPr>
          <w:rFonts w:ascii="Times New Roman" w:hAnsi="Times New Roman" w:cs="Times New Roman"/>
          <w:lang w:val="pl-PL"/>
        </w:rPr>
        <w:t>).</w:t>
      </w:r>
      <w:r w:rsidRPr="00E619A0">
        <w:rPr>
          <w:rFonts w:ascii="Times New Roman" w:hAnsi="Times New Roman" w:cs="Times New Roman"/>
          <w:b/>
          <w:snapToGrid w:val="0"/>
          <w:lang w:val="pl-PL" w:eastAsia="en-US"/>
        </w:rPr>
        <w:t xml:space="preserve"> </w:t>
      </w:r>
      <w:r w:rsidRPr="00E619A0">
        <w:rPr>
          <w:rFonts w:ascii="Times New Roman" w:hAnsi="Times New Roman" w:cs="Times New Roman"/>
          <w:lang w:val="pl-PL"/>
        </w:rPr>
        <w:t xml:space="preserve">Taki margines swobodnej oceny jest jeszcze szerszy w sytuacji, gdy dana kwestia obejmuje ocenę priorytetów w zakresie rozdziału ograniczonych zasobów Państwa (zob. </w:t>
      </w:r>
      <w:proofErr w:type="spellStart"/>
      <w:r w:rsidRPr="00E619A0">
        <w:rPr>
          <w:rStyle w:val="ju-005fpara-0020char--char"/>
          <w:rFonts w:ascii="Times New Roman" w:hAnsi="Times New Roman"/>
          <w:i/>
          <w:iCs/>
          <w:lang w:val="pl-PL"/>
        </w:rPr>
        <w:t>Pentiacova</w:t>
      </w:r>
      <w:proofErr w:type="spellEnd"/>
      <w:r w:rsidRPr="00E619A0">
        <w:rPr>
          <w:rStyle w:val="ju-005fpara-0020char--char"/>
          <w:rFonts w:ascii="Times New Roman" w:hAnsi="Times New Roman"/>
          <w:i/>
          <w:iCs/>
          <w:lang w:val="pl-PL"/>
        </w:rPr>
        <w:t xml:space="preserve"> i Inni przeciwko Mołdowie </w:t>
      </w:r>
      <w:r w:rsidRPr="00E619A0">
        <w:rPr>
          <w:rFonts w:ascii="Times New Roman" w:hAnsi="Times New Roman" w:cs="Times New Roman"/>
          <w:lang w:val="pl-PL"/>
        </w:rPr>
        <w:t xml:space="preserve">(dec.), nr 14462/03, 4 stycznia 2005 r.; </w:t>
      </w:r>
      <w:proofErr w:type="spellStart"/>
      <w:r w:rsidRPr="00E619A0">
        <w:rPr>
          <w:rFonts w:ascii="Times New Roman" w:hAnsi="Times New Roman" w:cs="Times New Roman"/>
          <w:i/>
          <w:lang w:val="pl-PL"/>
        </w:rPr>
        <w:t>Huc</w:t>
      </w:r>
      <w:proofErr w:type="spellEnd"/>
      <w:r w:rsidRPr="00E619A0">
        <w:rPr>
          <w:rFonts w:ascii="Times New Roman" w:hAnsi="Times New Roman" w:cs="Times New Roman"/>
          <w:i/>
          <w:lang w:val="pl-PL"/>
        </w:rPr>
        <w:t xml:space="preserve"> przeciwko Rumunii i Niemcom</w:t>
      </w:r>
      <w:r w:rsidRPr="00E619A0">
        <w:rPr>
          <w:rFonts w:ascii="Times New Roman" w:hAnsi="Times New Roman" w:cs="Times New Roman"/>
          <w:lang w:val="pl-PL"/>
        </w:rPr>
        <w:t xml:space="preserve"> (dec.), nr 7269/05, § 64, 1</w:t>
      </w:r>
      <w:r w:rsidRPr="00E619A0">
        <w:rPr>
          <w:rFonts w:ascii="Times New Roman" w:hAnsi="Times New Roman" w:cs="Times New Roman"/>
          <w:vertAlign w:val="superscript"/>
          <w:lang w:val="pl-PL"/>
        </w:rPr>
        <w:t xml:space="preserve"> </w:t>
      </w:r>
      <w:r w:rsidRPr="00E619A0">
        <w:rPr>
          <w:rFonts w:ascii="Times New Roman" w:hAnsi="Times New Roman" w:cs="Times New Roman"/>
          <w:lang w:val="pl-PL"/>
        </w:rPr>
        <w:t xml:space="preserve">grudnia 2009 r.; oraz </w:t>
      </w:r>
      <w:proofErr w:type="spellStart"/>
      <w:r w:rsidRPr="00E619A0">
        <w:rPr>
          <w:rFonts w:ascii="Times New Roman" w:hAnsi="Times New Roman" w:cs="Times New Roman"/>
          <w:i/>
          <w:lang w:val="pl-PL"/>
        </w:rPr>
        <w:t>Koufaki</w:t>
      </w:r>
      <w:proofErr w:type="spellEnd"/>
      <w:r w:rsidRPr="00E619A0">
        <w:rPr>
          <w:rFonts w:ascii="Times New Roman" w:hAnsi="Times New Roman" w:cs="Times New Roman"/>
          <w:i/>
          <w:lang w:val="pl-PL"/>
        </w:rPr>
        <w:t xml:space="preserve"> i </w:t>
      </w:r>
      <w:proofErr w:type="spellStart"/>
      <w:r w:rsidRPr="00E619A0">
        <w:rPr>
          <w:rFonts w:ascii="Times New Roman" w:hAnsi="Times New Roman" w:cs="Times New Roman"/>
          <w:i/>
          <w:lang w:val="pl-PL"/>
        </w:rPr>
        <w:t>Adedy</w:t>
      </w:r>
      <w:proofErr w:type="spellEnd"/>
      <w:r w:rsidRPr="00E619A0">
        <w:rPr>
          <w:rFonts w:ascii="Times New Roman" w:hAnsi="Times New Roman" w:cs="Times New Roman"/>
          <w:i/>
          <w:lang w:val="pl-PL"/>
        </w:rPr>
        <w:t xml:space="preserve"> przeciwko Grecji </w:t>
      </w:r>
      <w:r w:rsidRPr="00E619A0">
        <w:rPr>
          <w:rFonts w:ascii="Times New Roman" w:hAnsi="Times New Roman" w:cs="Times New Roman"/>
          <w:lang w:val="pl-PL"/>
        </w:rPr>
        <w:t>(dec.), nr 57665/12 i 57657/12, § 31, 7 maja 2013 r.).</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eastAsia="en-US"/>
        </w:rPr>
        <w:t>23.  Jednakże margines swobodnej oceny Państwa na tych szczególnych obszarach nie jest nieograniczony. Trybunał musi być przekonany, że zachowano „sprawiedliwą równowagę” pomiędzy ogólnymi interesami społeczności a wymogami ochrony podstawowych praw jednostki</w:t>
      </w:r>
      <w:r w:rsidRPr="00E619A0">
        <w:rPr>
          <w:rFonts w:ascii="Times New Roman" w:hAnsi="Times New Roman" w:cs="Times New Roman"/>
          <w:lang w:val="pl-PL"/>
        </w:rPr>
        <w:t xml:space="preserve">. W szczególności Trybunał musi ustalić, czy na skutek ingerencji Państwa osoba zainteresowana musiała ponieść nieproporcjonalny i nadmierny ciężar (zob. </w:t>
      </w:r>
      <w:proofErr w:type="spellStart"/>
      <w:r w:rsidRPr="00E619A0">
        <w:rPr>
          <w:rFonts w:ascii="Times New Roman" w:hAnsi="Times New Roman" w:cs="Times New Roman"/>
          <w:i/>
          <w:lang w:val="pl-PL"/>
        </w:rPr>
        <w:t>Hutten</w:t>
      </w:r>
      <w:proofErr w:type="spellEnd"/>
      <w:r w:rsidRPr="00E619A0">
        <w:rPr>
          <w:rFonts w:ascii="Times New Roman" w:hAnsi="Times New Roman" w:cs="Times New Roman"/>
          <w:i/>
          <w:lang w:val="pl-PL"/>
        </w:rPr>
        <w:t>-Czapska</w:t>
      </w:r>
      <w:r w:rsidRPr="00E619A0">
        <w:rPr>
          <w:rFonts w:ascii="Times New Roman" w:hAnsi="Times New Roman" w:cs="Times New Roman"/>
          <w:lang w:val="pl-PL"/>
        </w:rPr>
        <w:t>, cyt. powyżej, § 167;</w:t>
      </w:r>
      <w:r w:rsidRPr="00E619A0">
        <w:rPr>
          <w:rFonts w:ascii="Times New Roman" w:hAnsi="Times New Roman" w:cs="Times New Roman"/>
          <w:i/>
          <w:lang w:val="pl-PL"/>
        </w:rPr>
        <w:t xml:space="preserve"> </w:t>
      </w:r>
      <w:proofErr w:type="spellStart"/>
      <w:r w:rsidRPr="00E619A0">
        <w:rPr>
          <w:rFonts w:ascii="Times New Roman" w:hAnsi="Times New Roman" w:cs="Times New Roman"/>
          <w:i/>
          <w:lang w:val="pl-PL"/>
        </w:rPr>
        <w:t>Koufaki</w:t>
      </w:r>
      <w:proofErr w:type="spellEnd"/>
      <w:r w:rsidRPr="00E619A0">
        <w:rPr>
          <w:rFonts w:ascii="Times New Roman" w:hAnsi="Times New Roman" w:cs="Times New Roman"/>
          <w:i/>
          <w:lang w:val="pl-PL"/>
        </w:rPr>
        <w:t xml:space="preserve"> i </w:t>
      </w:r>
      <w:proofErr w:type="spellStart"/>
      <w:r w:rsidRPr="00E619A0">
        <w:rPr>
          <w:rFonts w:ascii="Times New Roman" w:hAnsi="Times New Roman" w:cs="Times New Roman"/>
          <w:i/>
          <w:lang w:val="pl-PL"/>
        </w:rPr>
        <w:t>Adedy</w:t>
      </w:r>
      <w:proofErr w:type="spellEnd"/>
      <w:r w:rsidRPr="00E619A0">
        <w:rPr>
          <w:rFonts w:ascii="Times New Roman" w:hAnsi="Times New Roman" w:cs="Times New Roman"/>
          <w:lang w:val="pl-PL"/>
        </w:rPr>
        <w:t>, cyt. powyżej, § 42).</w:t>
      </w:r>
    </w:p>
    <w:p w:rsidR="00557E4F" w:rsidRPr="00E619A0" w:rsidRDefault="00557E4F" w:rsidP="00557E4F">
      <w:pPr>
        <w:pStyle w:val="ECHRPara"/>
        <w:rPr>
          <w:rFonts w:ascii="Times New Roman" w:hAnsi="Times New Roman" w:cs="Times New Roman"/>
          <w:i/>
          <w:lang w:val="pl-PL"/>
        </w:rPr>
      </w:pPr>
      <w:r w:rsidRPr="00E619A0">
        <w:rPr>
          <w:rFonts w:ascii="Times New Roman" w:hAnsi="Times New Roman" w:cs="Times New Roman"/>
          <w:snapToGrid w:val="0"/>
          <w:lang w:val="pl-PL" w:eastAsia="en-US"/>
        </w:rPr>
        <w:lastRenderedPageBreak/>
        <w:t xml:space="preserve">24.  Przy ocenie proporcjonalności środków podjętych przez Państwo w odniesieniu do prawa do emerytury, </w:t>
      </w:r>
      <w:r w:rsidR="000119AD" w:rsidRPr="00E619A0">
        <w:rPr>
          <w:rFonts w:ascii="Times New Roman" w:hAnsi="Times New Roman" w:cs="Times New Roman"/>
          <w:snapToGrid w:val="0"/>
          <w:lang w:val="pl-PL" w:eastAsia="en-US"/>
        </w:rPr>
        <w:t>należy wziąć pod uwagę, czy prawo skarżących do otrzymywania świadczeń w ramach systemu ubezpieczeń społecznych zostało naruszone w sposób skutkujący</w:t>
      </w:r>
      <w:r w:rsidR="0030556C" w:rsidRPr="00E619A0">
        <w:rPr>
          <w:rFonts w:ascii="Times New Roman" w:hAnsi="Times New Roman" w:cs="Times New Roman"/>
          <w:snapToGrid w:val="0"/>
          <w:lang w:val="pl-PL" w:eastAsia="en-US"/>
        </w:rPr>
        <w:t xml:space="preserve"> osłabieniem</w:t>
      </w:r>
      <w:r w:rsidR="009A16F9" w:rsidRPr="00E619A0">
        <w:rPr>
          <w:rFonts w:ascii="Times New Roman" w:hAnsi="Times New Roman" w:cs="Times New Roman"/>
          <w:snapToGrid w:val="0"/>
          <w:lang w:val="pl-PL" w:eastAsia="en-US"/>
        </w:rPr>
        <w:t xml:space="preserve"> </w:t>
      </w:r>
      <w:r w:rsidR="000119AD" w:rsidRPr="00E619A0">
        <w:rPr>
          <w:rFonts w:ascii="Times New Roman" w:hAnsi="Times New Roman" w:cs="Times New Roman"/>
          <w:snapToGrid w:val="0"/>
          <w:lang w:val="pl-PL" w:eastAsia="en-US"/>
        </w:rPr>
        <w:t>istoty tego prawa</w:t>
      </w:r>
      <w:r w:rsidRPr="00E619A0">
        <w:rPr>
          <w:rFonts w:ascii="Times New Roman" w:hAnsi="Times New Roman" w:cs="Times New Roman"/>
          <w:snapToGrid w:val="0"/>
          <w:lang w:val="pl-PL" w:eastAsia="en-US"/>
        </w:rPr>
        <w:t xml:space="preserve">. </w:t>
      </w:r>
      <w:r w:rsidR="000119AD" w:rsidRPr="00E619A0">
        <w:rPr>
          <w:rFonts w:ascii="Times New Roman" w:hAnsi="Times New Roman" w:cs="Times New Roman"/>
          <w:snapToGrid w:val="0"/>
          <w:lang w:val="pl-PL" w:eastAsia="en-US"/>
        </w:rPr>
        <w:t>Uwzględnić można także charakter świadczeń, których skarżący zostali pozbawieni, a</w:t>
      </w:r>
      <w:r w:rsidRPr="00E619A0">
        <w:rPr>
          <w:rFonts w:ascii="Times New Roman" w:hAnsi="Times New Roman" w:cs="Times New Roman"/>
          <w:snapToGrid w:val="0"/>
          <w:lang w:val="pl-PL" w:eastAsia="en-US"/>
        </w:rPr>
        <w:t xml:space="preserve"> w szczególności, czy przyczyną tego faktu było istnienie szczególnie korzystnego systemu emerytalnego dostępnego wyłącznie dla pewnych grup osób. Ocena będzie się różnić w zależności od szczególnych okoliczności danej sprawy oraz sytuacji osobistej skarżącego; całkowite pozbawienie uprawnień skutkujące utratą środków do życia będzie z zasady stanowić naruszenie prawa do </w:t>
      </w:r>
      <w:r w:rsidR="000119AD" w:rsidRPr="00E619A0">
        <w:rPr>
          <w:rFonts w:ascii="Times New Roman" w:hAnsi="Times New Roman" w:cs="Times New Roman"/>
          <w:snapToGrid w:val="0"/>
          <w:lang w:val="pl-PL" w:eastAsia="en-US"/>
        </w:rPr>
        <w:t>poszanowania</w:t>
      </w:r>
      <w:r w:rsidRPr="00E619A0">
        <w:rPr>
          <w:rFonts w:ascii="Times New Roman" w:hAnsi="Times New Roman" w:cs="Times New Roman"/>
          <w:snapToGrid w:val="0"/>
          <w:lang w:val="pl-PL" w:eastAsia="en-US"/>
        </w:rPr>
        <w:t xml:space="preserve"> mienia, natomiast nałożenie uzasadnionego i </w:t>
      </w:r>
      <w:r w:rsidR="00A4206C" w:rsidRPr="00E619A0">
        <w:rPr>
          <w:rFonts w:ascii="Times New Roman" w:hAnsi="Times New Roman" w:cs="Times New Roman"/>
          <w:snapToGrid w:val="0"/>
          <w:lang w:val="pl-PL" w:eastAsia="en-US"/>
        </w:rPr>
        <w:t xml:space="preserve">współmiernego </w:t>
      </w:r>
      <w:r w:rsidRPr="00E619A0">
        <w:rPr>
          <w:rFonts w:ascii="Times New Roman" w:hAnsi="Times New Roman" w:cs="Times New Roman"/>
          <w:snapToGrid w:val="0"/>
          <w:lang w:val="pl-PL" w:eastAsia="en-US"/>
        </w:rPr>
        <w:t xml:space="preserve">ograniczenia wartości nie będzie stanowić takiego naruszenia (zob. </w:t>
      </w:r>
      <w:proofErr w:type="spellStart"/>
      <w:r w:rsidRPr="00E619A0">
        <w:rPr>
          <w:rFonts w:ascii="Times New Roman" w:hAnsi="Times New Roman" w:cs="Times New Roman"/>
          <w:i/>
          <w:lang w:val="pl-PL" w:eastAsia="en-US"/>
        </w:rPr>
        <w:t>Janković</w:t>
      </w:r>
      <w:proofErr w:type="spellEnd"/>
      <w:r w:rsidRPr="00E619A0">
        <w:rPr>
          <w:rFonts w:ascii="Times New Roman" w:hAnsi="Times New Roman" w:cs="Times New Roman"/>
          <w:i/>
          <w:lang w:val="pl-PL" w:eastAsia="en-US"/>
        </w:rPr>
        <w:t xml:space="preserve"> przeciwko Chorwacji </w:t>
      </w:r>
      <w:r w:rsidRPr="00E619A0">
        <w:rPr>
          <w:rFonts w:ascii="Times New Roman" w:hAnsi="Times New Roman" w:cs="Times New Roman"/>
          <w:lang w:val="pl-PL" w:eastAsia="en-US"/>
        </w:rPr>
        <w:t>(</w:t>
      </w:r>
      <w:proofErr w:type="spellStart"/>
      <w:r w:rsidRPr="00E619A0">
        <w:rPr>
          <w:rFonts w:ascii="Times New Roman" w:hAnsi="Times New Roman" w:cs="Times New Roman"/>
          <w:lang w:val="pl-PL" w:eastAsia="en-US"/>
        </w:rPr>
        <w:t>dec</w:t>
      </w:r>
      <w:proofErr w:type="spellEnd"/>
      <w:r w:rsidRPr="00E619A0">
        <w:rPr>
          <w:rFonts w:ascii="Times New Roman" w:hAnsi="Times New Roman" w:cs="Times New Roman"/>
          <w:lang w:val="pl-PL" w:eastAsia="en-US"/>
        </w:rPr>
        <w:t xml:space="preserve">.), nr 43440/98, </w:t>
      </w:r>
      <w:proofErr w:type="spellStart"/>
      <w:r w:rsidRPr="00E619A0">
        <w:rPr>
          <w:rFonts w:ascii="Times New Roman" w:hAnsi="Times New Roman" w:cs="Times New Roman"/>
          <w:lang w:val="pl-PL" w:eastAsia="en-US"/>
        </w:rPr>
        <w:t>ETPCz</w:t>
      </w:r>
      <w:proofErr w:type="spellEnd"/>
      <w:r w:rsidRPr="00E619A0">
        <w:rPr>
          <w:rFonts w:ascii="Times New Roman" w:hAnsi="Times New Roman" w:cs="Times New Roman"/>
          <w:lang w:val="pl-PL" w:eastAsia="en-US"/>
        </w:rPr>
        <w:t xml:space="preserve"> 2000-X; </w:t>
      </w:r>
      <w:proofErr w:type="spellStart"/>
      <w:r w:rsidRPr="00E619A0">
        <w:rPr>
          <w:rFonts w:ascii="Times New Roman" w:hAnsi="Times New Roman" w:cs="Times New Roman"/>
          <w:i/>
          <w:lang w:val="pl-PL" w:eastAsia="en-US"/>
        </w:rPr>
        <w:t>Schwengel</w:t>
      </w:r>
      <w:proofErr w:type="spellEnd"/>
      <w:r w:rsidRPr="00E619A0">
        <w:rPr>
          <w:rFonts w:ascii="Times New Roman" w:hAnsi="Times New Roman" w:cs="Times New Roman"/>
          <w:i/>
          <w:lang w:val="pl-PL" w:eastAsia="en-US"/>
        </w:rPr>
        <w:t xml:space="preserve"> przeciwko Niemcom  </w:t>
      </w:r>
      <w:r w:rsidRPr="00E619A0">
        <w:rPr>
          <w:rFonts w:ascii="Times New Roman" w:hAnsi="Times New Roman" w:cs="Times New Roman"/>
          <w:lang w:val="pl-PL" w:eastAsia="en-US"/>
        </w:rPr>
        <w:t xml:space="preserve">(dec.), nr 52442/99, 2 marca 2000 r.; </w:t>
      </w:r>
      <w:proofErr w:type="spellStart"/>
      <w:r w:rsidRPr="00E619A0">
        <w:rPr>
          <w:rFonts w:ascii="Times New Roman" w:hAnsi="Times New Roman" w:cs="Times New Roman"/>
          <w:i/>
          <w:lang w:val="pl-PL"/>
        </w:rPr>
        <w:t>Lakićević</w:t>
      </w:r>
      <w:proofErr w:type="spellEnd"/>
      <w:r w:rsidRPr="00E619A0">
        <w:rPr>
          <w:rFonts w:ascii="Times New Roman" w:hAnsi="Times New Roman" w:cs="Times New Roman"/>
          <w:i/>
          <w:lang w:val="pl-PL"/>
        </w:rPr>
        <w:t xml:space="preserve"> i Inni przeciwko Czarnogórze i Serbii</w:t>
      </w:r>
      <w:r w:rsidRPr="00E619A0">
        <w:rPr>
          <w:rFonts w:ascii="Times New Roman" w:hAnsi="Times New Roman" w:cs="Times New Roman"/>
          <w:lang w:val="pl-PL"/>
        </w:rPr>
        <w:t>, nr 27458/06, 37205/06, 37207/06 i 33604/07</w:t>
      </w:r>
      <w:r w:rsidRPr="00E619A0">
        <w:rPr>
          <w:rFonts w:ascii="Times New Roman" w:hAnsi="Times New Roman" w:cs="Times New Roman"/>
          <w:snapToGrid w:val="0"/>
          <w:szCs w:val="24"/>
          <w:lang w:val="pl-PL"/>
        </w:rPr>
        <w:t xml:space="preserve">, §§ 62-63, 13 grudnia 2011 r.; </w:t>
      </w:r>
      <w:proofErr w:type="spellStart"/>
      <w:r w:rsidRPr="00E619A0">
        <w:rPr>
          <w:rFonts w:ascii="Times New Roman" w:hAnsi="Times New Roman" w:cs="Times New Roman"/>
          <w:i/>
          <w:lang w:val="pl-PL" w:eastAsia="en-US"/>
        </w:rPr>
        <w:t>Apostolakis</w:t>
      </w:r>
      <w:proofErr w:type="spellEnd"/>
      <w:r w:rsidRPr="00E619A0">
        <w:rPr>
          <w:rFonts w:ascii="Times New Roman" w:hAnsi="Times New Roman" w:cs="Times New Roman"/>
          <w:i/>
          <w:lang w:val="pl-PL" w:eastAsia="en-US"/>
        </w:rPr>
        <w:t xml:space="preserve"> przeciwko Grecji</w:t>
      </w:r>
      <w:r w:rsidRPr="00E619A0">
        <w:rPr>
          <w:rFonts w:ascii="Times New Roman" w:hAnsi="Times New Roman" w:cs="Times New Roman"/>
          <w:lang w:val="pl-PL" w:eastAsia="en-US"/>
        </w:rPr>
        <w:t>, nr 39574/07</w:t>
      </w:r>
      <w:r w:rsidRPr="00E619A0">
        <w:rPr>
          <w:rFonts w:ascii="Times New Roman" w:hAnsi="Times New Roman" w:cs="Times New Roman"/>
          <w:snapToGrid w:val="0"/>
          <w:lang w:val="pl-PL" w:eastAsia="en-US"/>
        </w:rPr>
        <w:t xml:space="preserve">, §§ 41-42, 22 października 2009 </w:t>
      </w:r>
      <w:r w:rsidRPr="00E619A0">
        <w:rPr>
          <w:rFonts w:ascii="Times New Roman" w:hAnsi="Times New Roman" w:cs="Times New Roman"/>
          <w:snapToGrid w:val="0"/>
          <w:szCs w:val="24"/>
          <w:lang w:val="pl-PL"/>
        </w:rPr>
        <w:t>r.</w:t>
      </w:r>
      <w:r w:rsidRPr="00E619A0">
        <w:rPr>
          <w:rFonts w:ascii="Times New Roman" w:hAnsi="Times New Roman" w:cs="Times New Roman"/>
          <w:snapToGrid w:val="0"/>
          <w:lang w:val="pl-PL" w:eastAsia="en-US"/>
        </w:rPr>
        <w:t>;</w:t>
      </w:r>
      <w:r w:rsidRPr="00E619A0">
        <w:rPr>
          <w:rFonts w:ascii="Times New Roman" w:hAnsi="Times New Roman" w:cs="Times New Roman"/>
          <w:i/>
          <w:lang w:val="pl-PL" w:eastAsia="en-US"/>
        </w:rPr>
        <w:t xml:space="preserve"> </w:t>
      </w:r>
      <w:proofErr w:type="spellStart"/>
      <w:r w:rsidRPr="00E619A0">
        <w:rPr>
          <w:rFonts w:ascii="Times New Roman" w:hAnsi="Times New Roman" w:cs="Times New Roman"/>
          <w:i/>
          <w:lang w:val="pl-PL" w:eastAsia="en-US"/>
        </w:rPr>
        <w:t>Kjartan</w:t>
      </w:r>
      <w:proofErr w:type="spellEnd"/>
      <w:r w:rsidRPr="00E619A0">
        <w:rPr>
          <w:rFonts w:ascii="Times New Roman" w:hAnsi="Times New Roman" w:cs="Times New Roman"/>
          <w:i/>
          <w:lang w:val="pl-PL" w:eastAsia="en-US"/>
        </w:rPr>
        <w:t xml:space="preserve"> </w:t>
      </w:r>
      <w:proofErr w:type="spellStart"/>
      <w:r w:rsidRPr="00E619A0">
        <w:rPr>
          <w:rFonts w:ascii="Times New Roman" w:hAnsi="Times New Roman" w:cs="Times New Roman"/>
          <w:i/>
          <w:lang w:val="pl-PL" w:eastAsia="en-US"/>
        </w:rPr>
        <w:t>Ásmundsson</w:t>
      </w:r>
      <w:proofErr w:type="spellEnd"/>
      <w:r w:rsidRPr="00E619A0">
        <w:rPr>
          <w:rFonts w:ascii="Times New Roman" w:hAnsi="Times New Roman" w:cs="Times New Roman"/>
          <w:lang w:val="pl-PL" w:eastAsia="en-US"/>
        </w:rPr>
        <w:t xml:space="preserve">, cyt. powyżej, § 45; </w:t>
      </w:r>
      <w:proofErr w:type="spellStart"/>
      <w:r w:rsidRPr="00E619A0">
        <w:rPr>
          <w:rFonts w:ascii="Times New Roman" w:hAnsi="Times New Roman" w:cs="Times New Roman"/>
          <w:i/>
          <w:lang w:val="pl-PL"/>
        </w:rPr>
        <w:t>Valkov</w:t>
      </w:r>
      <w:proofErr w:type="spellEnd"/>
      <w:r w:rsidRPr="00E619A0">
        <w:rPr>
          <w:rFonts w:ascii="Times New Roman" w:hAnsi="Times New Roman" w:cs="Times New Roman"/>
          <w:i/>
          <w:lang w:val="pl-PL"/>
        </w:rPr>
        <w:t xml:space="preserve"> </w:t>
      </w:r>
      <w:r w:rsidRPr="00E619A0">
        <w:rPr>
          <w:rFonts w:ascii="Times New Roman" w:hAnsi="Times New Roman" w:cs="Times New Roman"/>
          <w:i/>
          <w:lang w:val="pl-PL" w:eastAsia="en-US"/>
        </w:rPr>
        <w:t>i Inni</w:t>
      </w:r>
      <w:r w:rsidRPr="00E619A0">
        <w:rPr>
          <w:rFonts w:ascii="Times New Roman" w:hAnsi="Times New Roman" w:cs="Times New Roman"/>
          <w:lang w:val="pl-PL" w:eastAsia="en-US"/>
        </w:rPr>
        <w:t xml:space="preserve">, cyt. powyżej, § 97; </w:t>
      </w:r>
      <w:proofErr w:type="spellStart"/>
      <w:r w:rsidRPr="00E619A0">
        <w:rPr>
          <w:rFonts w:ascii="Times New Roman" w:hAnsi="Times New Roman" w:cs="Times New Roman"/>
          <w:i/>
          <w:lang w:val="pl-PL" w:eastAsia="en-US"/>
        </w:rPr>
        <w:t>Maggio</w:t>
      </w:r>
      <w:proofErr w:type="spellEnd"/>
      <w:r w:rsidRPr="00E619A0">
        <w:rPr>
          <w:rFonts w:ascii="Times New Roman" w:hAnsi="Times New Roman" w:cs="Times New Roman"/>
          <w:i/>
          <w:lang w:val="pl-PL" w:eastAsia="en-US"/>
        </w:rPr>
        <w:t xml:space="preserve"> i Inni przeciwko Włochom</w:t>
      </w:r>
      <w:r w:rsidRPr="00E619A0">
        <w:rPr>
          <w:rFonts w:ascii="Times New Roman" w:hAnsi="Times New Roman" w:cs="Times New Roman"/>
          <w:lang w:val="pl-PL" w:eastAsia="en-US"/>
        </w:rPr>
        <w:t>, nr 46286/09, 52851/08, 53727/08, 54486/08 i 56001/08</w:t>
      </w:r>
      <w:r w:rsidRPr="00E619A0">
        <w:rPr>
          <w:rFonts w:ascii="Times New Roman" w:hAnsi="Times New Roman" w:cs="Times New Roman"/>
          <w:snapToGrid w:val="0"/>
          <w:szCs w:val="24"/>
          <w:lang w:val="pl-PL" w:eastAsia="en-US"/>
        </w:rPr>
        <w:t>, § 63, 31 maja 2011 r.; oraz</w:t>
      </w:r>
      <w:r w:rsidRPr="00E619A0">
        <w:rPr>
          <w:rFonts w:ascii="Times New Roman" w:hAnsi="Times New Roman" w:cs="Times New Roman"/>
          <w:lang w:val="pl-PL" w:eastAsia="en-US"/>
        </w:rPr>
        <w:t xml:space="preserve"> </w:t>
      </w:r>
      <w:proofErr w:type="spellStart"/>
      <w:r w:rsidRPr="00E619A0">
        <w:rPr>
          <w:rFonts w:ascii="Times New Roman" w:hAnsi="Times New Roman" w:cs="Times New Roman"/>
          <w:i/>
          <w:lang w:val="pl-PL" w:eastAsia="en-US"/>
        </w:rPr>
        <w:t>Frimu</w:t>
      </w:r>
      <w:proofErr w:type="spellEnd"/>
      <w:r w:rsidRPr="00E619A0">
        <w:rPr>
          <w:rFonts w:ascii="Times New Roman" w:hAnsi="Times New Roman" w:cs="Times New Roman"/>
          <w:i/>
          <w:lang w:val="pl-PL" w:eastAsia="en-US"/>
        </w:rPr>
        <w:t xml:space="preserve"> i 4 inne skargi przeciwko Rumunii </w:t>
      </w:r>
      <w:r w:rsidRPr="00E619A0">
        <w:rPr>
          <w:rFonts w:ascii="Times New Roman" w:hAnsi="Times New Roman" w:cs="Times New Roman"/>
          <w:lang w:val="pl-PL" w:eastAsia="en-US"/>
        </w:rPr>
        <w:t>(dec.), nr 45312/11, §§ 42-48, 7 lutego 2012 r.</w:t>
      </w:r>
      <w:r w:rsidRPr="00E619A0">
        <w:rPr>
          <w:rFonts w:ascii="Times New Roman" w:hAnsi="Times New Roman" w:cs="Times New Roman"/>
          <w:snapToGrid w:val="0"/>
          <w:lang w:val="pl-PL" w:eastAsia="en-US"/>
        </w:rPr>
        <w:t>)</w:t>
      </w:r>
      <w:r w:rsidRPr="00E619A0">
        <w:rPr>
          <w:rFonts w:ascii="Times New Roman" w:hAnsi="Times New Roman" w:cs="Times New Roman"/>
          <w:snapToGrid w:val="0"/>
          <w:szCs w:val="24"/>
          <w:lang w:val="pl-PL" w:eastAsia="en-US"/>
        </w:rPr>
        <w:t>. We wszystkich wymienionych sprawach obniżenia były skutkiem działań ogólnych mających na celu pozbawienie przywilejów specjalnych bądź zmiany warunków szczególnych systemów emerytalnych na warunki jednego, ogólnego systemu emerytalnego.</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25.  W niniejszej sprawie Trybunał zauważa, że cięcia świadczeń urlopowych i świątecznych określone w Ustawie Budżetowej na rok 2012 miały na celu redukcję wydatków publicznych i stanowiły element szerszego programu opracowanego przez władze krajowe i partnerów z UE i MFW, aby umożliwić Portugalii zapewnienie niezbędnej płynności krótkoterminowej budżetu Państwa w celu osiągnięcia poprawy sytuacji gospodarczej w perspektywie średnioterminowej (zob. paragra</w:t>
      </w:r>
      <w:r w:rsidR="00BB660C">
        <w:rPr>
          <w:rFonts w:ascii="Times New Roman" w:hAnsi="Times New Roman" w:cs="Times New Roman"/>
          <w:lang w:val="pl-PL"/>
        </w:rPr>
        <w:t>fy 4 i 11 powyżej). Sam fakt, że</w:t>
      </w:r>
      <w:r w:rsidRPr="00E619A0">
        <w:rPr>
          <w:rFonts w:ascii="Times New Roman" w:hAnsi="Times New Roman" w:cs="Times New Roman"/>
          <w:lang w:val="pl-PL"/>
        </w:rPr>
        <w:t xml:space="preserve"> koniecznym było wprowadzenie programu </w:t>
      </w:r>
      <w:r w:rsidR="00205C62" w:rsidRPr="00E619A0">
        <w:rPr>
          <w:rFonts w:ascii="Times New Roman" w:hAnsi="Times New Roman" w:cs="Times New Roman"/>
          <w:lang w:val="pl-PL"/>
        </w:rPr>
        <w:t>o tak znaczącym zakresie</w:t>
      </w:r>
      <w:r w:rsidRPr="00E619A0">
        <w:rPr>
          <w:rFonts w:ascii="Times New Roman" w:hAnsi="Times New Roman" w:cs="Times New Roman"/>
          <w:lang w:val="pl-PL"/>
        </w:rPr>
        <w:t xml:space="preserve"> wskazuje, iż kryzys gospodarczy, który w przedmiotowym czasie </w:t>
      </w:r>
      <w:r w:rsidR="005E35AA" w:rsidRPr="00E619A0">
        <w:rPr>
          <w:rFonts w:ascii="Times New Roman" w:hAnsi="Times New Roman" w:cs="Times New Roman"/>
          <w:lang w:val="pl-PL"/>
        </w:rPr>
        <w:t xml:space="preserve">poważnie dotknął </w:t>
      </w:r>
      <w:r w:rsidR="00205C62" w:rsidRPr="00E619A0">
        <w:rPr>
          <w:rFonts w:ascii="Times New Roman" w:hAnsi="Times New Roman" w:cs="Times New Roman"/>
          <w:lang w:val="pl-PL"/>
        </w:rPr>
        <w:t>gospodarkę p</w:t>
      </w:r>
      <w:r w:rsidRPr="00E619A0">
        <w:rPr>
          <w:rFonts w:ascii="Times New Roman" w:hAnsi="Times New Roman" w:cs="Times New Roman"/>
          <w:lang w:val="pl-PL"/>
        </w:rPr>
        <w:t>ortug</w:t>
      </w:r>
      <w:r w:rsidR="00205C62" w:rsidRPr="00E619A0">
        <w:rPr>
          <w:rFonts w:ascii="Times New Roman" w:hAnsi="Times New Roman" w:cs="Times New Roman"/>
          <w:lang w:val="pl-PL"/>
        </w:rPr>
        <w:t>alską</w:t>
      </w:r>
      <w:r w:rsidRPr="00E619A0">
        <w:rPr>
          <w:rFonts w:ascii="Times New Roman" w:hAnsi="Times New Roman" w:cs="Times New Roman"/>
          <w:lang w:val="pl-PL"/>
        </w:rPr>
        <w:t xml:space="preserve"> oraz jego wpływ na bilans budżetu Państwa miały charakter wyjątkowy, co stwierdził Trybunał Konstytucyjny w swojej decyzji z dnia 5 lipca 2012 r.</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26.  </w:t>
      </w:r>
      <w:r w:rsidR="00205C62" w:rsidRPr="00E619A0">
        <w:rPr>
          <w:rFonts w:ascii="Times New Roman" w:hAnsi="Times New Roman" w:cs="Times New Roman"/>
          <w:lang w:val="pl-PL"/>
        </w:rPr>
        <w:t xml:space="preserve">Podobnie jak </w:t>
      </w:r>
      <w:r w:rsidR="00175EEE" w:rsidRPr="00E619A0">
        <w:rPr>
          <w:rFonts w:ascii="Times New Roman" w:hAnsi="Times New Roman" w:cs="Times New Roman"/>
          <w:lang w:val="pl-PL"/>
        </w:rPr>
        <w:t>uprzednio</w:t>
      </w:r>
      <w:r w:rsidR="00205C62" w:rsidRPr="00E619A0">
        <w:rPr>
          <w:rFonts w:ascii="Times New Roman" w:hAnsi="Times New Roman" w:cs="Times New Roman"/>
          <w:lang w:val="pl-PL"/>
        </w:rPr>
        <w:t xml:space="preserve">, w odniesieniu do podobnych okoliczności dotyczących środków oszczędnościowych przyjętych </w:t>
      </w:r>
      <w:r w:rsidRPr="00E619A0">
        <w:rPr>
          <w:rFonts w:ascii="Times New Roman" w:hAnsi="Times New Roman" w:cs="Times New Roman"/>
          <w:lang w:val="pl-PL"/>
        </w:rPr>
        <w:t xml:space="preserve">w Grecji (zob. </w:t>
      </w:r>
      <w:proofErr w:type="spellStart"/>
      <w:r w:rsidRPr="00E619A0">
        <w:rPr>
          <w:rFonts w:ascii="Times New Roman" w:hAnsi="Times New Roman" w:cs="Times New Roman"/>
          <w:i/>
          <w:lang w:val="pl-PL"/>
        </w:rPr>
        <w:t>Koufaki</w:t>
      </w:r>
      <w:proofErr w:type="spellEnd"/>
      <w:r w:rsidRPr="00E619A0">
        <w:rPr>
          <w:rFonts w:ascii="Times New Roman" w:hAnsi="Times New Roman" w:cs="Times New Roman"/>
          <w:i/>
          <w:lang w:val="pl-PL"/>
        </w:rPr>
        <w:t xml:space="preserve"> i </w:t>
      </w:r>
      <w:proofErr w:type="spellStart"/>
      <w:r w:rsidRPr="00E619A0">
        <w:rPr>
          <w:rFonts w:ascii="Times New Roman" w:hAnsi="Times New Roman" w:cs="Times New Roman"/>
          <w:i/>
          <w:lang w:val="pl-PL"/>
        </w:rPr>
        <w:t>Adedy</w:t>
      </w:r>
      <w:proofErr w:type="spellEnd"/>
      <w:r w:rsidRPr="00E619A0">
        <w:rPr>
          <w:rFonts w:ascii="Times New Roman" w:hAnsi="Times New Roman" w:cs="Times New Roman"/>
          <w:lang w:val="pl-PL"/>
        </w:rPr>
        <w:t xml:space="preserve">, cyt. powyżej, § 41), Trybunał jest zdania, iż cięcia świadczeń socjalnych przewidziane Ustawą Budżetową na rok 2012 jednoznacznie miały na celu interes publiczny w rozumieniu </w:t>
      </w:r>
      <w:r w:rsidR="00E619A0" w:rsidRPr="00E619A0">
        <w:rPr>
          <w:rFonts w:ascii="Times New Roman" w:hAnsi="Times New Roman" w:cs="Times New Roman"/>
          <w:lang w:val="pl-PL"/>
        </w:rPr>
        <w:t>artykułu</w:t>
      </w:r>
      <w:r w:rsidRPr="00E619A0">
        <w:rPr>
          <w:rFonts w:ascii="Times New Roman" w:hAnsi="Times New Roman" w:cs="Times New Roman"/>
          <w:lang w:val="pl-PL"/>
        </w:rPr>
        <w:t xml:space="preserve"> 1 Protokołu </w:t>
      </w:r>
      <w:r w:rsidR="00A4206C" w:rsidRPr="00E619A0">
        <w:rPr>
          <w:rFonts w:ascii="Times New Roman" w:hAnsi="Times New Roman" w:cs="Times New Roman"/>
          <w:lang w:val="pl-PL"/>
        </w:rPr>
        <w:t>n</w:t>
      </w:r>
      <w:r w:rsidR="00175EEE" w:rsidRPr="00E619A0">
        <w:rPr>
          <w:rFonts w:ascii="Times New Roman" w:hAnsi="Times New Roman" w:cs="Times New Roman"/>
          <w:lang w:val="pl-PL"/>
        </w:rPr>
        <w:t>r</w:t>
      </w:r>
      <w:r w:rsidRPr="00E619A0">
        <w:rPr>
          <w:rFonts w:ascii="Times New Roman" w:hAnsi="Times New Roman" w:cs="Times New Roman"/>
          <w:lang w:val="pl-PL"/>
        </w:rPr>
        <w:t xml:space="preserve"> 1. Podobnie jak w Grecji, środki te podejmowano w </w:t>
      </w:r>
      <w:r w:rsidRPr="00E619A0">
        <w:rPr>
          <w:rFonts w:ascii="Times New Roman" w:hAnsi="Times New Roman" w:cs="Times New Roman"/>
          <w:lang w:val="pl-PL"/>
        </w:rPr>
        <w:lastRenderedPageBreak/>
        <w:t>warunkach ekstremalnej sytuacji gospodarczej, lecz – inaczej niż w Grecji – miały one charakter przejściowy.</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27.  Trybunał musi przeprowadzić ocenę, czy </w:t>
      </w:r>
      <w:r w:rsidRPr="00E619A0">
        <w:rPr>
          <w:rFonts w:ascii="Times New Roman" w:hAnsi="Times New Roman" w:cs="Times New Roman"/>
          <w:lang w:val="pl-PL" w:eastAsia="en-US"/>
        </w:rPr>
        <w:t xml:space="preserve">zachowano sprawiedliwą równowagę pomiędzy ogólnymi interesami społeczności a wymogami ochrony indywidualnych podstawowych praw </w:t>
      </w:r>
      <w:r w:rsidRPr="00E619A0">
        <w:rPr>
          <w:rFonts w:ascii="Times New Roman" w:hAnsi="Times New Roman" w:cs="Times New Roman"/>
          <w:lang w:val="pl-PL"/>
        </w:rPr>
        <w:t>skarżących.</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 xml:space="preserve">28.  W tym względzie Trybunał zauważa, iż mimo obniżenia wysokości trzynastej i czternastej wypłaty świadczeń skarżących odpowiednio o kwoty 1.102,40 EUR i 1.368,04 EUR (10,8% oraz 10,7% wartości uprzednio należnych uprawnień do emerytury, zob. </w:t>
      </w:r>
      <w:r w:rsidR="00175EEE" w:rsidRPr="00E619A0">
        <w:rPr>
          <w:rFonts w:ascii="Times New Roman" w:hAnsi="Times New Roman" w:cs="Times New Roman"/>
          <w:lang w:val="pl-PL"/>
        </w:rPr>
        <w:t>p</w:t>
      </w:r>
      <w:r w:rsidRPr="00E619A0">
        <w:rPr>
          <w:rFonts w:ascii="Times New Roman" w:hAnsi="Times New Roman" w:cs="Times New Roman"/>
          <w:lang w:val="pl-PL"/>
        </w:rPr>
        <w:t>ar</w:t>
      </w:r>
      <w:r w:rsidR="00175EEE" w:rsidRPr="00E619A0">
        <w:rPr>
          <w:rFonts w:ascii="Times New Roman" w:hAnsi="Times New Roman" w:cs="Times New Roman"/>
          <w:lang w:val="pl-PL"/>
        </w:rPr>
        <w:t>.</w:t>
      </w:r>
      <w:r w:rsidRPr="00E619A0">
        <w:rPr>
          <w:rFonts w:ascii="Times New Roman" w:hAnsi="Times New Roman" w:cs="Times New Roman"/>
          <w:lang w:val="pl-PL"/>
        </w:rPr>
        <w:t xml:space="preserve"> 7 powyżej), przepis art. 25 Ustawy Budżetowej nie miał wpływu na wysokość emerytury podstawowej, którą skarżący otrzymywali przez okres pełnych dwunastu miesięcy </w:t>
      </w:r>
      <w:r w:rsidR="00196476">
        <w:rPr>
          <w:rFonts w:ascii="Times New Roman" w:hAnsi="Times New Roman" w:cs="Times New Roman"/>
          <w:lang w:val="pl-PL"/>
        </w:rPr>
        <w:t xml:space="preserve">w </w:t>
      </w:r>
      <w:r w:rsidRPr="00E619A0">
        <w:rPr>
          <w:rFonts w:ascii="Times New Roman" w:hAnsi="Times New Roman" w:cs="Times New Roman"/>
          <w:lang w:val="pl-PL"/>
        </w:rPr>
        <w:t xml:space="preserve">2012 r. Ponadto cięcia te dotyczyły jedynie okresu trzech lat (2012-2014). Ingerencja postanowień Ustawy Budżetowej na rok 2012 w prawo skarżących do poszanowania ich mienia była zatem ograniczona zarówno czasowo, jak i pod względem ilościowym (poniżej 11% łącznej wartości świadczeń socjalnych). W okolicznościach niniejszej sprawy obniżenie deficytu budżetu Państwa po stronie wydatków, poprzez cięcia wynagrodzeń i emerytur wypłacanych w ramach sektora publicznego, przy jednoczesnym braku równorzędnych cięć dokonanych w sektorze prywatnym (zob. </w:t>
      </w:r>
      <w:proofErr w:type="spellStart"/>
      <w:r w:rsidRPr="00E619A0">
        <w:rPr>
          <w:rFonts w:ascii="Times New Roman" w:hAnsi="Times New Roman" w:cs="Times New Roman"/>
          <w:i/>
          <w:lang w:val="pl-PL"/>
        </w:rPr>
        <w:t>Koufaki</w:t>
      </w:r>
      <w:proofErr w:type="spellEnd"/>
      <w:r w:rsidRPr="00E619A0">
        <w:rPr>
          <w:rFonts w:ascii="Times New Roman" w:hAnsi="Times New Roman" w:cs="Times New Roman"/>
          <w:i/>
          <w:lang w:val="pl-PL"/>
        </w:rPr>
        <w:t xml:space="preserve"> i </w:t>
      </w:r>
      <w:proofErr w:type="spellStart"/>
      <w:r w:rsidRPr="00E619A0">
        <w:rPr>
          <w:rFonts w:ascii="Times New Roman" w:hAnsi="Times New Roman" w:cs="Times New Roman"/>
          <w:i/>
          <w:lang w:val="pl-PL"/>
        </w:rPr>
        <w:t>Adedy</w:t>
      </w:r>
      <w:proofErr w:type="spellEnd"/>
      <w:r w:rsidRPr="00E619A0">
        <w:rPr>
          <w:rFonts w:ascii="Times New Roman" w:hAnsi="Times New Roman" w:cs="Times New Roman"/>
          <w:lang w:val="pl-PL"/>
        </w:rPr>
        <w:t xml:space="preserve">, cyt. powyżej, § 43-47), nie było nieproporcjonalne. Ponadto, zważywszy że ustawodawca nie przekroczył granic marginesu oceny, zaś uprzednio zastosowane środki, w tym „ograniczenia wysokości wynagrodzeń”, o których mowa w Ustawie Budżetowej na rok 2011, okazały się niewystarczające, nie jest zadaniem Trybunału stwierdzać, czy istniała możliwość wdrożenia lepszych, alternatywnych środków w celu obniżenia deficytu budżetu Państwa (zob. </w:t>
      </w:r>
      <w:proofErr w:type="spellStart"/>
      <w:r w:rsidRPr="00E619A0">
        <w:rPr>
          <w:rFonts w:ascii="Times New Roman" w:hAnsi="Times New Roman" w:cs="Times New Roman"/>
          <w:i/>
          <w:lang w:val="pl-PL"/>
        </w:rPr>
        <w:t>Koufaki</w:t>
      </w:r>
      <w:proofErr w:type="spellEnd"/>
      <w:r w:rsidRPr="00E619A0">
        <w:rPr>
          <w:rFonts w:ascii="Times New Roman" w:hAnsi="Times New Roman" w:cs="Times New Roman"/>
          <w:i/>
          <w:lang w:val="pl-PL"/>
        </w:rPr>
        <w:t xml:space="preserve"> i </w:t>
      </w:r>
      <w:proofErr w:type="spellStart"/>
      <w:r w:rsidRPr="00E619A0">
        <w:rPr>
          <w:rFonts w:ascii="Times New Roman" w:hAnsi="Times New Roman" w:cs="Times New Roman"/>
          <w:i/>
          <w:lang w:val="pl-PL"/>
        </w:rPr>
        <w:t>Adedy</w:t>
      </w:r>
      <w:proofErr w:type="spellEnd"/>
      <w:r w:rsidRPr="00E619A0">
        <w:rPr>
          <w:rFonts w:ascii="Times New Roman" w:hAnsi="Times New Roman" w:cs="Times New Roman"/>
          <w:lang w:val="pl-PL"/>
        </w:rPr>
        <w:t>, cyt. powyżej, § 48).</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29.  W świetle wyjątkowego kryzysu gospodarczego i finansowego, jaki w przedmiotowym czasie dotknął Portugalię oraz ze względu na ograniczony zakres i tymczasowy charakter ograniczenia wysokości świadczeń urlopowych i świątecznych, Trybunał uznaje, że skarżący nie ponieśli nieproporcjonalnego i nadmiernego ciężaru.</w:t>
      </w:r>
    </w:p>
    <w:p w:rsidR="00557E4F" w:rsidRPr="00E619A0" w:rsidRDefault="00557E4F" w:rsidP="00557E4F">
      <w:pPr>
        <w:pStyle w:val="ECHRPara"/>
        <w:rPr>
          <w:rFonts w:ascii="Times New Roman" w:hAnsi="Times New Roman" w:cs="Times New Roman"/>
          <w:lang w:val="pl-PL"/>
        </w:rPr>
      </w:pPr>
      <w:r w:rsidRPr="00E619A0">
        <w:rPr>
          <w:rFonts w:ascii="Times New Roman" w:hAnsi="Times New Roman" w:cs="Times New Roman"/>
          <w:lang w:val="pl-PL"/>
        </w:rPr>
        <w:t>30.  Zatem skarga jest oczywiście bezzasadna i musi zostać uznana za niedopuszczalną zgodnie z artykułem 35 § 3 (a) i § 4 Konwencji.</w:t>
      </w:r>
    </w:p>
    <w:p w:rsidR="00557E4F" w:rsidRPr="00E619A0" w:rsidRDefault="00557E4F" w:rsidP="00557E4F">
      <w:pPr>
        <w:pStyle w:val="JuParaLast"/>
        <w:rPr>
          <w:rFonts w:ascii="Times New Roman" w:hAnsi="Times New Roman" w:cs="Times New Roman"/>
          <w:lang w:val="pl-PL"/>
        </w:rPr>
      </w:pPr>
      <w:r w:rsidRPr="00E619A0">
        <w:rPr>
          <w:rFonts w:ascii="Times New Roman" w:hAnsi="Times New Roman" w:cs="Times New Roman"/>
          <w:lang w:val="pl-PL"/>
        </w:rPr>
        <w:t>Z tych przyczyn Trybunał jednomyślnie</w:t>
      </w:r>
    </w:p>
    <w:p w:rsidR="00557E4F" w:rsidRPr="00E619A0" w:rsidRDefault="00557E4F" w:rsidP="00557E4F">
      <w:pPr>
        <w:pStyle w:val="JuParaLast"/>
        <w:rPr>
          <w:rFonts w:ascii="Times New Roman" w:hAnsi="Times New Roman" w:cs="Times New Roman"/>
          <w:lang w:val="pl-PL"/>
        </w:rPr>
      </w:pPr>
      <w:r w:rsidRPr="00E619A0">
        <w:rPr>
          <w:rFonts w:ascii="Times New Roman" w:hAnsi="Times New Roman" w:cs="Times New Roman"/>
          <w:i/>
          <w:lang w:val="pl-PL"/>
        </w:rPr>
        <w:t xml:space="preserve">Decyduje </w:t>
      </w:r>
      <w:r w:rsidRPr="00E619A0">
        <w:rPr>
          <w:rFonts w:ascii="Times New Roman" w:hAnsi="Times New Roman" w:cs="Times New Roman"/>
          <w:lang w:val="pl-PL"/>
        </w:rPr>
        <w:t>o połączeniu skarg;</w:t>
      </w:r>
    </w:p>
    <w:p w:rsidR="00557E4F" w:rsidRPr="00E619A0" w:rsidRDefault="00557E4F" w:rsidP="00557E4F">
      <w:pPr>
        <w:pStyle w:val="DecList"/>
        <w:rPr>
          <w:rFonts w:ascii="Times New Roman" w:hAnsi="Times New Roman" w:cs="Times New Roman"/>
          <w:lang w:val="pl-PL"/>
        </w:rPr>
      </w:pPr>
      <w:r w:rsidRPr="00E619A0">
        <w:rPr>
          <w:rFonts w:ascii="Times New Roman" w:hAnsi="Times New Roman" w:cs="Times New Roman"/>
          <w:i/>
          <w:lang w:val="pl-PL"/>
        </w:rPr>
        <w:t>Uznaje</w:t>
      </w:r>
      <w:r w:rsidRPr="00E619A0">
        <w:rPr>
          <w:rFonts w:ascii="Times New Roman" w:hAnsi="Times New Roman" w:cs="Times New Roman"/>
          <w:lang w:val="pl-PL"/>
        </w:rPr>
        <w:t xml:space="preserve"> skargi za niedopuszczalne.</w:t>
      </w:r>
    </w:p>
    <w:p w:rsidR="00557E4F" w:rsidRPr="00E619A0" w:rsidRDefault="00557E4F" w:rsidP="00557E4F">
      <w:pPr>
        <w:pStyle w:val="JuSigned"/>
        <w:keepNext/>
        <w:keepLines/>
        <w:tabs>
          <w:tab w:val="clear" w:pos="851"/>
          <w:tab w:val="center" w:pos="1134"/>
        </w:tabs>
        <w:rPr>
          <w:rFonts w:ascii="Times New Roman" w:hAnsi="Times New Roman" w:cs="Times New Roman"/>
        </w:rPr>
      </w:pPr>
      <w:r w:rsidRPr="00E619A0">
        <w:rPr>
          <w:rFonts w:ascii="Times New Roman" w:hAnsi="Times New Roman" w:cs="Times New Roman"/>
        </w:rPr>
        <w:lastRenderedPageBreak/>
        <w:tab/>
        <w:t xml:space="preserve">Stanley </w:t>
      </w:r>
      <w:proofErr w:type="spellStart"/>
      <w:r w:rsidRPr="00E619A0">
        <w:rPr>
          <w:rFonts w:ascii="Times New Roman" w:hAnsi="Times New Roman" w:cs="Times New Roman"/>
        </w:rPr>
        <w:t>Naismith</w:t>
      </w:r>
      <w:proofErr w:type="spellEnd"/>
      <w:r w:rsidRPr="00E619A0">
        <w:rPr>
          <w:rFonts w:ascii="Times New Roman" w:hAnsi="Times New Roman" w:cs="Times New Roman"/>
        </w:rPr>
        <w:tab/>
        <w:t xml:space="preserve">Guido </w:t>
      </w:r>
      <w:proofErr w:type="spellStart"/>
      <w:r w:rsidRPr="00E619A0">
        <w:rPr>
          <w:rFonts w:ascii="Times New Roman" w:hAnsi="Times New Roman" w:cs="Times New Roman"/>
        </w:rPr>
        <w:t>Raimondi</w:t>
      </w:r>
      <w:proofErr w:type="spellEnd"/>
      <w:r w:rsidRPr="00E619A0">
        <w:rPr>
          <w:rFonts w:ascii="Times New Roman" w:hAnsi="Times New Roman" w:cs="Times New Roman"/>
        </w:rPr>
        <w:br/>
      </w:r>
      <w:r w:rsidRPr="00E619A0">
        <w:rPr>
          <w:rFonts w:ascii="Times New Roman" w:hAnsi="Times New Roman" w:cs="Times New Roman"/>
        </w:rPr>
        <w:tab/>
        <w:t>Kanclerz</w:t>
      </w:r>
      <w:r w:rsidRPr="00E619A0">
        <w:rPr>
          <w:rFonts w:ascii="Times New Roman" w:hAnsi="Times New Roman" w:cs="Times New Roman"/>
        </w:rPr>
        <w:tab/>
        <w:t>Przewodniczący</w:t>
      </w:r>
    </w:p>
    <w:p w:rsidR="00557E4F" w:rsidRPr="00E619A0" w:rsidRDefault="00557E4F" w:rsidP="00557E4F">
      <w:pPr>
        <w:rPr>
          <w:rFonts w:ascii="Times New Roman" w:hAnsi="Times New Roman" w:cs="Times New Roman"/>
          <w:lang w:val="pl-PL"/>
        </w:rPr>
      </w:pPr>
    </w:p>
    <w:p w:rsidR="00557E4F" w:rsidRPr="00E619A0" w:rsidRDefault="00557E4F" w:rsidP="00557E4F">
      <w:pPr>
        <w:rPr>
          <w:rFonts w:ascii="Times New Roman" w:hAnsi="Times New Roman" w:cs="Times New Roman"/>
          <w:lang w:val="pl-PL"/>
        </w:rPr>
      </w:pPr>
    </w:p>
    <w:p w:rsidR="00E8679F" w:rsidRPr="00E619A0" w:rsidRDefault="00E8679F">
      <w:pPr>
        <w:rPr>
          <w:rFonts w:ascii="Times New Roman" w:hAnsi="Times New Roman" w:cs="Times New Roman"/>
          <w:lang w:val="pl-PL"/>
        </w:rPr>
      </w:pPr>
    </w:p>
    <w:sectPr w:rsidR="00E8679F" w:rsidRPr="00E619A0" w:rsidSect="001872FB">
      <w:headerReference w:type="even" r:id="rId10"/>
      <w:headerReference w:type="default" r:id="rId11"/>
      <w:footerReference w:type="default" r:id="rId12"/>
      <w:headerReference w:type="first" r:id="rId13"/>
      <w:footerReference w:type="first" r:id="rId14"/>
      <w:footnotePr>
        <w:numRestart w:val="eachPage"/>
      </w:footnotePr>
      <w:pgSz w:w="11906" w:h="16838" w:code="9"/>
      <w:pgMar w:top="2274" w:right="2274" w:bottom="2274" w:left="2274" w:header="964" w:footer="454"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42D" w:rsidRDefault="0016142D">
      <w:r>
        <w:separator/>
      </w:r>
    </w:p>
  </w:endnote>
  <w:endnote w:type="continuationSeparator" w:id="0">
    <w:p w:rsidR="0016142D" w:rsidRDefault="00161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9168144"/>
      <w:docPartObj>
        <w:docPartGallery w:val="Page Numbers (Bottom of Page)"/>
        <w:docPartUnique/>
      </w:docPartObj>
    </w:sdtPr>
    <w:sdtEndPr/>
    <w:sdtContent>
      <w:p w:rsidR="001872FB" w:rsidRDefault="001872FB">
        <w:pPr>
          <w:pStyle w:val="Stopka"/>
          <w:jc w:val="right"/>
        </w:pPr>
        <w:r>
          <w:fldChar w:fldCharType="begin"/>
        </w:r>
        <w:r>
          <w:instrText>PAGE   \* MERGEFORMAT</w:instrText>
        </w:r>
        <w:r>
          <w:fldChar w:fldCharType="separate"/>
        </w:r>
        <w:r w:rsidR="007A28E0" w:rsidRPr="007A28E0">
          <w:rPr>
            <w:noProof/>
            <w:lang w:val="pl-PL"/>
          </w:rPr>
          <w:t>1</w:t>
        </w:r>
        <w:r>
          <w:fldChar w:fldCharType="end"/>
        </w:r>
      </w:p>
    </w:sdtContent>
  </w:sdt>
  <w:p w:rsidR="001872FB" w:rsidRDefault="001872F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8607472"/>
      <w:docPartObj>
        <w:docPartGallery w:val="Page Numbers (Bottom of Page)"/>
        <w:docPartUnique/>
      </w:docPartObj>
    </w:sdtPr>
    <w:sdtEndPr/>
    <w:sdtContent>
      <w:p w:rsidR="001872FB" w:rsidRDefault="001872FB">
        <w:pPr>
          <w:pStyle w:val="Stopka"/>
          <w:jc w:val="right"/>
        </w:pPr>
        <w:r>
          <w:fldChar w:fldCharType="begin"/>
        </w:r>
        <w:r>
          <w:instrText>PAGE   \* MERGEFORMAT</w:instrText>
        </w:r>
        <w:r>
          <w:fldChar w:fldCharType="separate"/>
        </w:r>
        <w:r w:rsidRPr="001872FB">
          <w:rPr>
            <w:noProof/>
            <w:lang w:val="pl-PL"/>
          </w:rPr>
          <w:t>1</w:t>
        </w:r>
        <w:r>
          <w:fldChar w:fldCharType="end"/>
        </w:r>
      </w:p>
    </w:sdtContent>
  </w:sdt>
  <w:p w:rsidR="00376EEC" w:rsidRPr="0089645F" w:rsidRDefault="0016142D" w:rsidP="002E2C7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42D" w:rsidRDefault="0016142D">
      <w:r>
        <w:separator/>
      </w:r>
    </w:p>
  </w:footnote>
  <w:footnote w:type="continuationSeparator" w:id="0">
    <w:p w:rsidR="0016142D" w:rsidRDefault="00161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EC" w:rsidRPr="008570C0" w:rsidRDefault="00800EC7" w:rsidP="008570C0">
    <w:pPr>
      <w:pStyle w:val="ECHRHeader"/>
      <w:ind w:left="1440" w:hanging="1440"/>
      <w:rPr>
        <w:lang w:val="pt-PT"/>
      </w:rPr>
    </w:pPr>
    <w:r>
      <w:rPr>
        <w:rStyle w:val="Numerstrony"/>
        <w:lang w:val="en-GB"/>
      </w:rPr>
      <w:fldChar w:fldCharType="begin"/>
    </w:r>
    <w:r w:rsidR="001F4B54" w:rsidRPr="008570C0">
      <w:rPr>
        <w:rStyle w:val="Numerstrony"/>
        <w:lang w:val="pt-PT"/>
      </w:rPr>
      <w:instrText xml:space="preserve"> PAGE </w:instrText>
    </w:r>
    <w:r>
      <w:rPr>
        <w:rStyle w:val="Numerstrony"/>
        <w:lang w:val="en-GB"/>
      </w:rPr>
      <w:fldChar w:fldCharType="separate"/>
    </w:r>
    <w:r w:rsidR="001F4B54">
      <w:rPr>
        <w:rStyle w:val="Numerstrony"/>
        <w:noProof/>
        <w:lang w:val="pt-PT"/>
      </w:rPr>
      <w:t>2</w:t>
    </w:r>
    <w:r>
      <w:rPr>
        <w:rStyle w:val="Numerstrony"/>
        <w:lang w:val="en-GB"/>
      </w:rPr>
      <w:fldChar w:fldCharType="end"/>
    </w:r>
    <w:r w:rsidR="001F4B54" w:rsidRPr="008570C0">
      <w:rPr>
        <w:lang w:val="pt-PT"/>
      </w:rPr>
      <w:tab/>
      <w:t xml:space="preserve">DA CONCEIÇÃO MATEUS </w:t>
    </w:r>
    <w:r w:rsidR="001F4B54">
      <w:rPr>
        <w:lang w:val="pt-PT"/>
      </w:rPr>
      <w:t xml:space="preserve">przeciwko Portugalii </w:t>
    </w:r>
    <w:r w:rsidR="001F4B54" w:rsidRPr="008570C0">
      <w:rPr>
        <w:noProof/>
        <w:lang w:val="pt-PT"/>
      </w:rPr>
      <w:t xml:space="preserve"> AND SANTOS JANUÁRIO</w:t>
    </w:r>
    <w:r w:rsidR="001F4B54">
      <w:rPr>
        <w:noProof/>
        <w:lang w:val="pt-PT"/>
      </w:rPr>
      <w:br/>
      <w:t xml:space="preserve">                                przeciwko Portugalii </w:t>
    </w:r>
    <w:r w:rsidR="001F4B54" w:rsidRPr="008570C0">
      <w:rPr>
        <w:lang w:val="pt-PT"/>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2BB" w:rsidRPr="008570C0" w:rsidRDefault="001F4B54" w:rsidP="00E130A7">
    <w:pPr>
      <w:pStyle w:val="ECHRHeader"/>
      <w:jc w:val="center"/>
      <w:rPr>
        <w:lang w:val="pt-PT"/>
      </w:rPr>
    </w:pPr>
    <w:r w:rsidRPr="00A632BB">
      <w:rPr>
        <w:sz w:val="20"/>
        <w:szCs w:val="20"/>
        <w:lang w:val="pt-PT"/>
      </w:rPr>
      <w:t>DECYZJA w sprawach DA CONCEIÇÃO MATEUS przeciwko P</w:t>
    </w:r>
    <w:r w:rsidR="00E130A7">
      <w:rPr>
        <w:sz w:val="20"/>
        <w:szCs w:val="20"/>
        <w:lang w:val="pt-PT"/>
      </w:rPr>
      <w:t xml:space="preserve">ortugalii i </w:t>
    </w:r>
    <w:r w:rsidRPr="00A632BB">
      <w:rPr>
        <w:noProof/>
        <w:sz w:val="20"/>
        <w:szCs w:val="20"/>
        <w:lang w:val="pt-PT"/>
      </w:rPr>
      <w:t xml:space="preserve">SANTOS JANUÁRIO przeciwko </w:t>
    </w:r>
    <w:r w:rsidRPr="00A632BB">
      <w:rPr>
        <w:sz w:val="20"/>
        <w:szCs w:val="20"/>
        <w:lang w:val="pt-PT"/>
      </w:rPr>
      <w:t>P</w:t>
    </w:r>
    <w:r w:rsidR="00E130A7">
      <w:rPr>
        <w:sz w:val="20"/>
        <w:szCs w:val="20"/>
        <w:lang w:val="pt-PT"/>
      </w:rPr>
      <w:t xml:space="preserve">ortugalii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ACA" w:rsidRDefault="00841ACA">
    <w:pPr>
      <w:pStyle w:val="Nagwek"/>
      <w:jc w:val="right"/>
    </w:pPr>
  </w:p>
  <w:p w:rsidR="00376EEC" w:rsidRPr="004605D6" w:rsidRDefault="0016142D" w:rsidP="00EA1004">
    <w:pPr>
      <w:jc w:val="center"/>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B02FEF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9C422DFA"/>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8D5ED1D6"/>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9D626D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173CD216"/>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692893C2"/>
    <w:lvl w:ilvl="0">
      <w:start w:val="1"/>
      <w:numFmt w:val="bullet"/>
      <w:pStyle w:val="ECHRHeading6"/>
      <w:lvlText w:val=""/>
      <w:lvlJc w:val="left"/>
      <w:pPr>
        <w:tabs>
          <w:tab w:val="num" w:pos="1209"/>
        </w:tabs>
        <w:ind w:left="1209" w:hanging="360"/>
      </w:pPr>
      <w:rPr>
        <w:rFonts w:ascii="Symbol" w:hAnsi="Symbol" w:hint="default"/>
      </w:rPr>
    </w:lvl>
  </w:abstractNum>
  <w:abstractNum w:abstractNumId="6">
    <w:nsid w:val="FFFFFF82"/>
    <w:multiLevelType w:val="singleLevel"/>
    <w:tmpl w:val="641AAFA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A330E89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29BA302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9B5ED662"/>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1">
    <w:nsid w:val="3E626E9E"/>
    <w:multiLevelType w:val="singleLevel"/>
    <w:tmpl w:val="E484225C"/>
    <w:lvl w:ilvl="0">
      <w:numFmt w:val="bullet"/>
      <w:lvlText w:val="–"/>
      <w:lvlJc w:val="left"/>
      <w:pPr>
        <w:tabs>
          <w:tab w:val="num" w:pos="360"/>
        </w:tabs>
        <w:ind w:left="360" w:hanging="360"/>
      </w:pPr>
      <w:rPr>
        <w:rFonts w:hint="default"/>
      </w:rPr>
    </w:lvl>
  </w:abstractNum>
  <w:abstractNum w:abstractNumId="12">
    <w:nsid w:val="517A036B"/>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586E3956"/>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6ACD194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5"/>
  </w:num>
  <w:num w:numId="13">
    <w:abstractNumId w:val="12"/>
  </w:num>
  <w:num w:numId="14">
    <w:abstractNumId w:val="13"/>
  </w:num>
  <w:num w:numId="15">
    <w:abstractNumId w:val="10"/>
  </w:num>
  <w:num w:numId="16">
    <w:abstractNumId w:val="11"/>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E4F"/>
    <w:rsid w:val="000119AD"/>
    <w:rsid w:val="00057B65"/>
    <w:rsid w:val="0016142D"/>
    <w:rsid w:val="00175EEE"/>
    <w:rsid w:val="001872FB"/>
    <w:rsid w:val="00196476"/>
    <w:rsid w:val="001F4B54"/>
    <w:rsid w:val="00205C62"/>
    <w:rsid w:val="002B2104"/>
    <w:rsid w:val="002F56C8"/>
    <w:rsid w:val="0030556C"/>
    <w:rsid w:val="0031556A"/>
    <w:rsid w:val="00362E5F"/>
    <w:rsid w:val="00376C6E"/>
    <w:rsid w:val="003B6947"/>
    <w:rsid w:val="00455DD8"/>
    <w:rsid w:val="004605D6"/>
    <w:rsid w:val="00504245"/>
    <w:rsid w:val="00527873"/>
    <w:rsid w:val="00557E4F"/>
    <w:rsid w:val="005A1A00"/>
    <w:rsid w:val="005D5D30"/>
    <w:rsid w:val="005E35AA"/>
    <w:rsid w:val="00642B7C"/>
    <w:rsid w:val="00662D2C"/>
    <w:rsid w:val="006A26A4"/>
    <w:rsid w:val="006C0E96"/>
    <w:rsid w:val="006C27EF"/>
    <w:rsid w:val="006E25AE"/>
    <w:rsid w:val="00750D58"/>
    <w:rsid w:val="007646DC"/>
    <w:rsid w:val="007A28E0"/>
    <w:rsid w:val="00800EC7"/>
    <w:rsid w:val="00802699"/>
    <w:rsid w:val="00821A0B"/>
    <w:rsid w:val="00841ACA"/>
    <w:rsid w:val="008A4038"/>
    <w:rsid w:val="008B695F"/>
    <w:rsid w:val="008C49CF"/>
    <w:rsid w:val="00907015"/>
    <w:rsid w:val="00912839"/>
    <w:rsid w:val="00914D47"/>
    <w:rsid w:val="009158F9"/>
    <w:rsid w:val="00921359"/>
    <w:rsid w:val="0093600B"/>
    <w:rsid w:val="00947BB6"/>
    <w:rsid w:val="009932B3"/>
    <w:rsid w:val="009A16F9"/>
    <w:rsid w:val="009A3534"/>
    <w:rsid w:val="009B1193"/>
    <w:rsid w:val="009C4191"/>
    <w:rsid w:val="009D30C1"/>
    <w:rsid w:val="00A032F5"/>
    <w:rsid w:val="00A4206C"/>
    <w:rsid w:val="00A52E02"/>
    <w:rsid w:val="00A632BB"/>
    <w:rsid w:val="00A903CF"/>
    <w:rsid w:val="00A90988"/>
    <w:rsid w:val="00B40BA0"/>
    <w:rsid w:val="00B80701"/>
    <w:rsid w:val="00B858DF"/>
    <w:rsid w:val="00BB660C"/>
    <w:rsid w:val="00BE276E"/>
    <w:rsid w:val="00BF7662"/>
    <w:rsid w:val="00C21218"/>
    <w:rsid w:val="00C35315"/>
    <w:rsid w:val="00C50C24"/>
    <w:rsid w:val="00D07067"/>
    <w:rsid w:val="00D521D3"/>
    <w:rsid w:val="00D53E88"/>
    <w:rsid w:val="00D771B9"/>
    <w:rsid w:val="00DB7F0D"/>
    <w:rsid w:val="00DC6BBC"/>
    <w:rsid w:val="00DD24CF"/>
    <w:rsid w:val="00E130A7"/>
    <w:rsid w:val="00E13B4A"/>
    <w:rsid w:val="00E166B3"/>
    <w:rsid w:val="00E619A0"/>
    <w:rsid w:val="00E8679F"/>
    <w:rsid w:val="00EF4747"/>
    <w:rsid w:val="00F176BF"/>
    <w:rsid w:val="00F90EFA"/>
    <w:rsid w:val="00FB3047"/>
    <w:rsid w:val="00FC7915"/>
    <w:rsid w:val="00FD1E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lsdException w:name="annotation text" w:uiPriority="0"/>
    <w:lsdException w:name="header" w:uiPriority="0"/>
    <w:lsdException w:name="caption" w:qFormat="1"/>
    <w:lsdException w:name="footnote reference" w:uiPriority="0"/>
    <w:lsdException w:name="annotation reference" w:uiPriority="0"/>
    <w:lsdException w:name="page number" w:qFormat="1"/>
    <w:lsdException w:name="endnote reference" w:uiPriority="0"/>
    <w:lsdException w:name="endnote text" w:uiPriority="0"/>
    <w:lsdException w:name="List Bullet" w:uiPriority="0"/>
    <w:lsdException w:name="Title" w:semiHidden="0" w:unhideWhenUsed="0" w:qFormat="1"/>
    <w:lsdException w:name="Default Paragraph Font" w:uiPriority="1"/>
    <w:lsdException w:name="Subtitle" w:semiHidden="0" w:unhideWhenUsed="0" w:qFormat="1"/>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rsid w:val="00557E4F"/>
    <w:pPr>
      <w:spacing w:after="0" w:line="240" w:lineRule="auto"/>
      <w:jc w:val="both"/>
    </w:pPr>
    <w:rPr>
      <w:rFonts w:eastAsiaTheme="minorEastAsia"/>
      <w:sz w:val="24"/>
      <w:lang w:val="en-US"/>
    </w:rPr>
  </w:style>
  <w:style w:type="paragraph" w:styleId="Nagwek1">
    <w:name w:val="heading 1"/>
    <w:basedOn w:val="Normalny"/>
    <w:next w:val="Normalny"/>
    <w:link w:val="Nagwek1Znak"/>
    <w:qFormat/>
    <w:rsid w:val="00557E4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557E4F"/>
    <w:pPr>
      <w:numPr>
        <w:ilvl w:val="1"/>
        <w:numId w:val="4"/>
      </w:numPr>
      <w:tabs>
        <w:tab w:val="clear" w:pos="1209"/>
      </w:tabs>
      <w:spacing w:before="200"/>
      <w:ind w:left="0" w:firstLine="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557E4F"/>
    <w:pPr>
      <w:numPr>
        <w:ilvl w:val="2"/>
        <w:numId w:val="4"/>
      </w:numPr>
      <w:tabs>
        <w:tab w:val="clear" w:pos="1209"/>
      </w:tabs>
      <w:spacing w:before="200" w:line="271" w:lineRule="auto"/>
      <w:ind w:left="720" w:hanging="432"/>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557E4F"/>
    <w:pPr>
      <w:numPr>
        <w:ilvl w:val="3"/>
        <w:numId w:val="4"/>
      </w:numPr>
      <w:tabs>
        <w:tab w:val="clear" w:pos="1209"/>
      </w:tabs>
      <w:spacing w:before="200"/>
      <w:ind w:left="864" w:hanging="144"/>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557E4F"/>
    <w:pPr>
      <w:numPr>
        <w:ilvl w:val="4"/>
        <w:numId w:val="4"/>
      </w:numPr>
      <w:tabs>
        <w:tab w:val="clear" w:pos="1209"/>
      </w:tabs>
      <w:spacing w:before="200"/>
      <w:ind w:left="1008" w:hanging="432"/>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qFormat/>
    <w:rsid w:val="00557E4F"/>
    <w:pPr>
      <w:numPr>
        <w:ilvl w:val="5"/>
        <w:numId w:val="4"/>
      </w:numPr>
      <w:tabs>
        <w:tab w:val="clear" w:pos="1209"/>
      </w:tabs>
      <w:spacing w:line="271" w:lineRule="auto"/>
      <w:ind w:left="1152" w:hanging="432"/>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qFormat/>
    <w:rsid w:val="00557E4F"/>
    <w:pPr>
      <w:numPr>
        <w:ilvl w:val="6"/>
        <w:numId w:val="4"/>
      </w:numPr>
      <w:tabs>
        <w:tab w:val="clear" w:pos="1209"/>
      </w:tabs>
      <w:ind w:left="1296" w:hanging="288"/>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qFormat/>
    <w:rsid w:val="00557E4F"/>
    <w:pPr>
      <w:numPr>
        <w:ilvl w:val="7"/>
        <w:numId w:val="4"/>
      </w:numPr>
      <w:tabs>
        <w:tab w:val="clear" w:pos="1209"/>
      </w:tabs>
      <w:ind w:left="1440" w:hanging="432"/>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qFormat/>
    <w:rsid w:val="00557E4F"/>
    <w:pPr>
      <w:numPr>
        <w:ilvl w:val="8"/>
        <w:numId w:val="4"/>
      </w:numPr>
      <w:tabs>
        <w:tab w:val="clear" w:pos="1209"/>
      </w:tabs>
      <w:ind w:left="1584" w:hanging="144"/>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57E4F"/>
    <w:rPr>
      <w:rFonts w:asciiTheme="majorHAnsi" w:eastAsiaTheme="majorEastAsia" w:hAnsiTheme="majorHAnsi" w:cstheme="majorBidi"/>
      <w:b/>
      <w:bCs/>
      <w:color w:val="333333"/>
      <w:sz w:val="28"/>
      <w:szCs w:val="28"/>
      <w:lang w:val="en-US"/>
    </w:rPr>
  </w:style>
  <w:style w:type="character" w:customStyle="1" w:styleId="Nagwek2Znak">
    <w:name w:val="Nagłówek 2 Znak"/>
    <w:basedOn w:val="Domylnaczcionkaakapitu"/>
    <w:link w:val="Nagwek2"/>
    <w:rsid w:val="00557E4F"/>
    <w:rPr>
      <w:rFonts w:asciiTheme="majorHAnsi" w:eastAsiaTheme="majorEastAsia" w:hAnsiTheme="majorHAnsi" w:cstheme="majorBidi"/>
      <w:b/>
      <w:bCs/>
      <w:color w:val="4D4D4D"/>
      <w:sz w:val="26"/>
      <w:szCs w:val="26"/>
      <w:lang w:val="en-US"/>
    </w:rPr>
  </w:style>
  <w:style w:type="character" w:customStyle="1" w:styleId="Nagwek3Znak">
    <w:name w:val="Nagłówek 3 Znak"/>
    <w:basedOn w:val="Domylnaczcionkaakapitu"/>
    <w:link w:val="Nagwek3"/>
    <w:rsid w:val="00557E4F"/>
    <w:rPr>
      <w:rFonts w:asciiTheme="majorHAnsi" w:eastAsiaTheme="majorEastAsia" w:hAnsiTheme="majorHAnsi" w:cstheme="majorBidi"/>
      <w:b/>
      <w:bCs/>
      <w:color w:val="5F5F5F"/>
      <w:sz w:val="24"/>
      <w:lang w:val="en-US"/>
    </w:rPr>
  </w:style>
  <w:style w:type="character" w:customStyle="1" w:styleId="Nagwek4Znak">
    <w:name w:val="Nagłówek 4 Znak"/>
    <w:basedOn w:val="Domylnaczcionkaakapitu"/>
    <w:link w:val="Nagwek4"/>
    <w:rsid w:val="00557E4F"/>
    <w:rPr>
      <w:rFonts w:asciiTheme="majorHAnsi" w:eastAsiaTheme="majorEastAsia" w:hAnsiTheme="majorHAnsi" w:cstheme="majorBidi"/>
      <w:b/>
      <w:bCs/>
      <w:i/>
      <w:iCs/>
      <w:color w:val="777777"/>
      <w:sz w:val="24"/>
      <w:lang w:val="en-US"/>
    </w:rPr>
  </w:style>
  <w:style w:type="character" w:customStyle="1" w:styleId="Nagwek5Znak">
    <w:name w:val="Nagłówek 5 Znak"/>
    <w:basedOn w:val="Domylnaczcionkaakapitu"/>
    <w:link w:val="Nagwek5"/>
    <w:rsid w:val="00557E4F"/>
    <w:rPr>
      <w:rFonts w:asciiTheme="majorHAnsi" w:eastAsiaTheme="majorEastAsia" w:hAnsiTheme="majorHAnsi" w:cstheme="majorBidi"/>
      <w:b/>
      <w:bCs/>
      <w:color w:val="808080"/>
      <w:lang w:val="fr-FR" w:eastAsia="fr-FR"/>
    </w:rPr>
  </w:style>
  <w:style w:type="character" w:customStyle="1" w:styleId="Nagwek6Znak">
    <w:name w:val="Nagłówek 6 Znak"/>
    <w:basedOn w:val="Domylnaczcionkaakapitu"/>
    <w:link w:val="Nagwek6"/>
    <w:rsid w:val="00557E4F"/>
    <w:rPr>
      <w:rFonts w:asciiTheme="majorHAnsi" w:eastAsiaTheme="majorEastAsia" w:hAnsiTheme="majorHAnsi" w:cstheme="majorBidi"/>
      <w:b/>
      <w:bCs/>
      <w:i/>
      <w:iCs/>
      <w:color w:val="7F7F7F" w:themeColor="text1" w:themeTint="80"/>
      <w:sz w:val="24"/>
      <w:lang w:val="en-US" w:bidi="en-US"/>
    </w:rPr>
  </w:style>
  <w:style w:type="character" w:customStyle="1" w:styleId="Nagwek7Znak">
    <w:name w:val="Nagłówek 7 Znak"/>
    <w:basedOn w:val="Domylnaczcionkaakapitu"/>
    <w:link w:val="Nagwek7"/>
    <w:rsid w:val="00557E4F"/>
    <w:rPr>
      <w:rFonts w:asciiTheme="majorHAnsi" w:eastAsiaTheme="majorEastAsia" w:hAnsiTheme="majorHAnsi" w:cstheme="majorBidi"/>
      <w:i/>
      <w:iCs/>
      <w:lang w:val="fr-FR" w:eastAsia="fr-FR" w:bidi="en-US"/>
    </w:rPr>
  </w:style>
  <w:style w:type="character" w:customStyle="1" w:styleId="Nagwek8Znak">
    <w:name w:val="Nagłówek 8 Znak"/>
    <w:basedOn w:val="Domylnaczcionkaakapitu"/>
    <w:link w:val="Nagwek8"/>
    <w:rsid w:val="00557E4F"/>
    <w:rPr>
      <w:rFonts w:asciiTheme="majorHAnsi" w:eastAsiaTheme="majorEastAsia" w:hAnsiTheme="majorHAnsi" w:cstheme="majorBidi"/>
      <w:sz w:val="20"/>
      <w:szCs w:val="20"/>
      <w:lang w:val="fr-FR" w:eastAsia="fr-FR" w:bidi="en-US"/>
    </w:rPr>
  </w:style>
  <w:style w:type="character" w:customStyle="1" w:styleId="Nagwek9Znak">
    <w:name w:val="Nagłówek 9 Znak"/>
    <w:basedOn w:val="Domylnaczcionkaakapitu"/>
    <w:link w:val="Nagwek9"/>
    <w:rsid w:val="00557E4F"/>
    <w:rPr>
      <w:rFonts w:asciiTheme="majorHAnsi" w:eastAsiaTheme="majorEastAsia" w:hAnsiTheme="majorHAnsi" w:cstheme="majorBidi"/>
      <w:i/>
      <w:iCs/>
      <w:spacing w:val="5"/>
      <w:sz w:val="20"/>
      <w:szCs w:val="20"/>
      <w:lang w:val="fr-FR" w:eastAsia="fr-FR" w:bidi="en-US"/>
    </w:rPr>
  </w:style>
  <w:style w:type="paragraph" w:styleId="Nagwek">
    <w:name w:val="header"/>
    <w:basedOn w:val="Normalny"/>
    <w:link w:val="NagwekZnak"/>
    <w:rsid w:val="00557E4F"/>
    <w:pPr>
      <w:tabs>
        <w:tab w:val="center" w:pos="4536"/>
        <w:tab w:val="right" w:pos="9072"/>
      </w:tabs>
    </w:pPr>
    <w:rPr>
      <w:rFonts w:eastAsiaTheme="minorHAnsi"/>
    </w:rPr>
  </w:style>
  <w:style w:type="character" w:customStyle="1" w:styleId="NagwekZnak">
    <w:name w:val="Nagłówek Znak"/>
    <w:basedOn w:val="Domylnaczcionkaakapitu"/>
    <w:link w:val="Nagwek"/>
    <w:rsid w:val="00557E4F"/>
    <w:rPr>
      <w:sz w:val="24"/>
      <w:lang w:val="en-US"/>
    </w:rPr>
  </w:style>
  <w:style w:type="character" w:customStyle="1" w:styleId="JuSignedChar">
    <w:name w:val="Ju_Signed Char"/>
    <w:link w:val="JuSigned"/>
    <w:rsid w:val="00557E4F"/>
    <w:rPr>
      <w:rFonts w:eastAsiaTheme="minorEastAsia"/>
      <w:sz w:val="24"/>
    </w:rPr>
  </w:style>
  <w:style w:type="paragraph" w:customStyle="1" w:styleId="JuSigned">
    <w:name w:val="Ju_Signed"/>
    <w:basedOn w:val="Normalny"/>
    <w:next w:val="JuParaLast"/>
    <w:link w:val="JuSignedChar"/>
    <w:qFormat/>
    <w:rsid w:val="00557E4F"/>
    <w:pPr>
      <w:tabs>
        <w:tab w:val="center" w:pos="851"/>
        <w:tab w:val="center" w:pos="6407"/>
      </w:tabs>
      <w:spacing w:before="720"/>
      <w:jc w:val="left"/>
    </w:pPr>
    <w:rPr>
      <w:lang w:val="pl-PL"/>
    </w:rPr>
  </w:style>
  <w:style w:type="paragraph" w:styleId="Tekstprzypisudolnego">
    <w:name w:val="footnote text"/>
    <w:basedOn w:val="Normalny"/>
    <w:link w:val="TekstprzypisudolnegoZnak"/>
    <w:semiHidden/>
    <w:rsid w:val="00557E4F"/>
    <w:rPr>
      <w:sz w:val="20"/>
      <w:szCs w:val="20"/>
    </w:rPr>
  </w:style>
  <w:style w:type="character" w:customStyle="1" w:styleId="TekstprzypisudolnegoZnak">
    <w:name w:val="Tekst przypisu dolnego Znak"/>
    <w:basedOn w:val="Domylnaczcionkaakapitu"/>
    <w:link w:val="Tekstprzypisudolnego"/>
    <w:semiHidden/>
    <w:rsid w:val="00557E4F"/>
    <w:rPr>
      <w:rFonts w:eastAsiaTheme="minorEastAsia"/>
      <w:sz w:val="20"/>
      <w:szCs w:val="20"/>
      <w:lang w:val="en-US"/>
    </w:rPr>
  </w:style>
  <w:style w:type="paragraph" w:styleId="Stopka">
    <w:name w:val="footer"/>
    <w:basedOn w:val="Normalny"/>
    <w:link w:val="StopkaZnak"/>
    <w:uiPriority w:val="99"/>
    <w:rsid w:val="00557E4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rsid w:val="00557E4F"/>
    <w:rPr>
      <w:sz w:val="24"/>
      <w:lang w:val="en-US"/>
    </w:rPr>
  </w:style>
  <w:style w:type="character" w:styleId="Numerstrony">
    <w:name w:val="page number"/>
    <w:uiPriority w:val="99"/>
    <w:qFormat/>
    <w:rsid w:val="00557E4F"/>
    <w:rPr>
      <w:sz w:val="18"/>
    </w:rPr>
  </w:style>
  <w:style w:type="character" w:styleId="Odwoanieprzypisudolnego">
    <w:name w:val="footnote reference"/>
    <w:basedOn w:val="Domylnaczcionkaakapitu"/>
    <w:semiHidden/>
    <w:rsid w:val="00557E4F"/>
    <w:rPr>
      <w:vertAlign w:val="superscript"/>
    </w:rPr>
  </w:style>
  <w:style w:type="character" w:styleId="Odwoaniedokomentarza">
    <w:name w:val="annotation reference"/>
    <w:semiHidden/>
    <w:rsid w:val="00557E4F"/>
    <w:rPr>
      <w:sz w:val="16"/>
    </w:rPr>
  </w:style>
  <w:style w:type="paragraph" w:styleId="Tekstkomentarza">
    <w:name w:val="annotation text"/>
    <w:basedOn w:val="Normalny"/>
    <w:link w:val="TekstkomentarzaZnak"/>
    <w:semiHidden/>
    <w:rsid w:val="00557E4F"/>
    <w:rPr>
      <w:sz w:val="20"/>
    </w:rPr>
  </w:style>
  <w:style w:type="character" w:customStyle="1" w:styleId="TekstkomentarzaZnak">
    <w:name w:val="Tekst komentarza Znak"/>
    <w:basedOn w:val="Domylnaczcionkaakapitu"/>
    <w:link w:val="Tekstkomentarza"/>
    <w:semiHidden/>
    <w:rsid w:val="00557E4F"/>
    <w:rPr>
      <w:rFonts w:eastAsiaTheme="minorEastAsia"/>
      <w:sz w:val="20"/>
      <w:lang w:val="en-US"/>
    </w:rPr>
  </w:style>
  <w:style w:type="paragraph" w:styleId="Mapadokumentu">
    <w:name w:val="Document Map"/>
    <w:basedOn w:val="Normalny"/>
    <w:link w:val="MapadokumentuZnak"/>
    <w:semiHidden/>
    <w:rsid w:val="00557E4F"/>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557E4F"/>
    <w:rPr>
      <w:rFonts w:ascii="Tahoma" w:eastAsiaTheme="minorEastAsia" w:hAnsi="Tahoma" w:cs="Tahoma"/>
      <w:sz w:val="20"/>
      <w:shd w:val="clear" w:color="auto" w:fill="000080"/>
      <w:lang w:val="en-US"/>
    </w:rPr>
  </w:style>
  <w:style w:type="paragraph" w:styleId="Tematkomentarza">
    <w:name w:val="annotation subject"/>
    <w:basedOn w:val="Tekstkomentarza"/>
    <w:next w:val="Tekstkomentarza"/>
    <w:link w:val="TematkomentarzaZnak"/>
    <w:semiHidden/>
    <w:rsid w:val="00557E4F"/>
    <w:rPr>
      <w:b/>
      <w:bCs/>
    </w:rPr>
  </w:style>
  <w:style w:type="character" w:customStyle="1" w:styleId="TematkomentarzaZnak">
    <w:name w:val="Temat komentarza Znak"/>
    <w:basedOn w:val="TekstkomentarzaZnak"/>
    <w:link w:val="Tematkomentarza"/>
    <w:semiHidden/>
    <w:rsid w:val="00557E4F"/>
    <w:rPr>
      <w:rFonts w:eastAsiaTheme="minorEastAsia"/>
      <w:b/>
      <w:bCs/>
      <w:sz w:val="20"/>
      <w:lang w:val="en-US"/>
    </w:rPr>
  </w:style>
  <w:style w:type="paragraph" w:customStyle="1" w:styleId="DecHTitle">
    <w:name w:val="Dec_H_Title"/>
    <w:basedOn w:val="ECHRTitleCentre1"/>
    <w:uiPriority w:val="99"/>
    <w:qFormat/>
    <w:rsid w:val="00557E4F"/>
  </w:style>
  <w:style w:type="paragraph" w:customStyle="1" w:styleId="ECHRTitleCentre2">
    <w:name w:val="ECHR_Title_Centre_2"/>
    <w:aliases w:val="Dec_H_Case"/>
    <w:basedOn w:val="Normalny"/>
    <w:next w:val="ECHRPara"/>
    <w:qFormat/>
    <w:rsid w:val="00557E4F"/>
    <w:pPr>
      <w:spacing w:after="240"/>
      <w:jc w:val="center"/>
      <w:outlineLvl w:val="0"/>
    </w:pPr>
    <w:rPr>
      <w:rFonts w:asciiTheme="majorHAnsi" w:hAnsiTheme="majorHAnsi"/>
      <w:lang w:val="fr-FR" w:eastAsia="fr-FR"/>
    </w:rPr>
  </w:style>
  <w:style w:type="paragraph" w:styleId="Tekstdymka">
    <w:name w:val="Balloon Text"/>
    <w:basedOn w:val="Normalny"/>
    <w:link w:val="TekstdymkaZnak"/>
    <w:semiHidden/>
    <w:rsid w:val="00557E4F"/>
    <w:rPr>
      <w:rFonts w:ascii="Tahoma" w:hAnsi="Tahoma" w:cs="Tahoma"/>
      <w:sz w:val="16"/>
      <w:szCs w:val="16"/>
    </w:rPr>
  </w:style>
  <w:style w:type="character" w:customStyle="1" w:styleId="TekstdymkaZnak">
    <w:name w:val="Tekst dymka Znak"/>
    <w:basedOn w:val="Domylnaczcionkaakapitu"/>
    <w:link w:val="Tekstdymka"/>
    <w:semiHidden/>
    <w:rsid w:val="00557E4F"/>
    <w:rPr>
      <w:rFonts w:ascii="Tahoma" w:eastAsiaTheme="minorEastAsia" w:hAnsi="Tahoma" w:cs="Tahoma"/>
      <w:sz w:val="16"/>
      <w:szCs w:val="16"/>
      <w:lang w:val="en-US"/>
    </w:rPr>
  </w:style>
  <w:style w:type="character" w:styleId="Odwoanieprzypisukocowego">
    <w:name w:val="endnote reference"/>
    <w:semiHidden/>
    <w:rsid w:val="00557E4F"/>
    <w:rPr>
      <w:vertAlign w:val="superscript"/>
    </w:rPr>
  </w:style>
  <w:style w:type="paragraph" w:styleId="Tekstprzypisukocowego">
    <w:name w:val="endnote text"/>
    <w:basedOn w:val="Normalny"/>
    <w:link w:val="TekstprzypisukocowegoZnak"/>
    <w:semiHidden/>
    <w:rsid w:val="00557E4F"/>
    <w:rPr>
      <w:sz w:val="20"/>
    </w:rPr>
  </w:style>
  <w:style w:type="character" w:customStyle="1" w:styleId="TekstprzypisukocowegoZnak">
    <w:name w:val="Tekst przypisu końcowego Znak"/>
    <w:basedOn w:val="Domylnaczcionkaakapitu"/>
    <w:link w:val="Tekstprzypisukocowego"/>
    <w:semiHidden/>
    <w:rsid w:val="00557E4F"/>
    <w:rPr>
      <w:rFonts w:eastAsiaTheme="minorEastAsia"/>
      <w:sz w:val="20"/>
      <w:lang w:val="en-US"/>
    </w:rPr>
  </w:style>
  <w:style w:type="character" w:styleId="UyteHipercze">
    <w:name w:val="FollowedHyperlink"/>
    <w:rsid w:val="00557E4F"/>
    <w:rPr>
      <w:color w:val="800080"/>
      <w:u w:val="single"/>
    </w:rPr>
  </w:style>
  <w:style w:type="character" w:styleId="Hipercze">
    <w:name w:val="Hyperlink"/>
    <w:basedOn w:val="Domylnaczcionkaakapitu"/>
    <w:uiPriority w:val="99"/>
    <w:rsid w:val="00557E4F"/>
    <w:rPr>
      <w:color w:val="0000FF" w:themeColor="hyperlink"/>
      <w:u w:val="single"/>
    </w:rPr>
  </w:style>
  <w:style w:type="paragraph" w:styleId="Listapunktowana">
    <w:name w:val="List Bullet"/>
    <w:basedOn w:val="Normalny"/>
    <w:rsid w:val="00557E4F"/>
    <w:pPr>
      <w:numPr>
        <w:numId w:val="1"/>
      </w:numPr>
    </w:pPr>
  </w:style>
  <w:style w:type="character" w:customStyle="1" w:styleId="JuITMark">
    <w:name w:val="Ju_ITMark"/>
    <w:basedOn w:val="Domylnaczcionkaakapitu"/>
    <w:qFormat/>
    <w:rsid w:val="00557E4F"/>
    <w:rPr>
      <w:vanish/>
      <w:color w:val="339966"/>
      <w:sz w:val="14"/>
    </w:rPr>
  </w:style>
  <w:style w:type="paragraph" w:customStyle="1" w:styleId="JuTitle">
    <w:name w:val="Ju_Title"/>
    <w:basedOn w:val="Normalny"/>
    <w:next w:val="ECHRPara"/>
    <w:link w:val="JuTitleChar"/>
    <w:qFormat/>
    <w:rsid w:val="00557E4F"/>
    <w:pPr>
      <w:spacing w:before="720" w:after="240"/>
      <w:jc w:val="center"/>
      <w:outlineLvl w:val="0"/>
    </w:pPr>
    <w:rPr>
      <w:rFonts w:asciiTheme="majorHAnsi" w:hAnsiTheme="majorHAnsi"/>
      <w:b/>
      <w:caps/>
      <w:lang w:val="fr-FR" w:eastAsia="fr-FR"/>
    </w:rPr>
  </w:style>
  <w:style w:type="paragraph" w:customStyle="1" w:styleId="ECHRFooter">
    <w:name w:val="ECHR_Footer"/>
    <w:aliases w:val="Footer_ECHR"/>
    <w:basedOn w:val="Stopka"/>
    <w:uiPriority w:val="57"/>
    <w:semiHidden/>
    <w:rsid w:val="00557E4F"/>
  </w:style>
  <w:style w:type="paragraph" w:customStyle="1" w:styleId="ECHRPara">
    <w:name w:val="ECHR_Para"/>
    <w:aliases w:val="Ju_Para,Left,First line:  0 cm"/>
    <w:basedOn w:val="Normalny"/>
    <w:link w:val="JuParaCar"/>
    <w:uiPriority w:val="99"/>
    <w:qFormat/>
    <w:rsid w:val="00557E4F"/>
    <w:pPr>
      <w:ind w:firstLine="284"/>
    </w:pPr>
    <w:rPr>
      <w:lang w:val="fr-FR" w:eastAsia="fr-FR"/>
    </w:rPr>
  </w:style>
  <w:style w:type="paragraph" w:customStyle="1" w:styleId="ECHRFooterLine">
    <w:name w:val="ECHR_Footer_Line"/>
    <w:aliases w:val="Footer_Line"/>
    <w:basedOn w:val="Normalny"/>
    <w:next w:val="ECHRFooter"/>
    <w:uiPriority w:val="57"/>
    <w:semiHidden/>
    <w:rsid w:val="00557E4F"/>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Nagwek"/>
    <w:uiPriority w:val="4"/>
    <w:qFormat/>
    <w:rsid w:val="00557E4F"/>
  </w:style>
  <w:style w:type="paragraph" w:customStyle="1" w:styleId="JuAppQuestion">
    <w:name w:val="Ju_App_Question"/>
    <w:basedOn w:val="Normalny"/>
    <w:qFormat/>
    <w:rsid w:val="00557E4F"/>
    <w:pPr>
      <w:numPr>
        <w:numId w:val="11"/>
      </w:numPr>
      <w:jc w:val="left"/>
    </w:pPr>
    <w:rPr>
      <w:b/>
      <w:lang w:val="fr-FR" w:eastAsia="fr-FR"/>
    </w:rPr>
  </w:style>
  <w:style w:type="paragraph" w:customStyle="1" w:styleId="OpiPara">
    <w:name w:val="Opi_Para"/>
    <w:basedOn w:val="ECHRPara"/>
    <w:qFormat/>
    <w:rsid w:val="00557E4F"/>
  </w:style>
  <w:style w:type="paragraph" w:customStyle="1" w:styleId="ECHRParaQuote">
    <w:name w:val="ECHR_Para_Quote"/>
    <w:aliases w:val="Ju_Quot"/>
    <w:basedOn w:val="Normalny"/>
    <w:qFormat/>
    <w:rsid w:val="00557E4F"/>
    <w:pPr>
      <w:spacing w:before="120" w:after="120"/>
      <w:ind w:left="425" w:firstLine="142"/>
    </w:pPr>
    <w:rPr>
      <w:sz w:val="20"/>
      <w:lang w:val="fr-FR" w:eastAsia="fr-FR"/>
    </w:rPr>
  </w:style>
  <w:style w:type="paragraph" w:customStyle="1" w:styleId="JuParaSub">
    <w:name w:val="Ju_Para_Sub"/>
    <w:basedOn w:val="ECHRPara"/>
    <w:qFormat/>
    <w:rsid w:val="00557E4F"/>
    <w:pPr>
      <w:ind w:left="284"/>
    </w:pPr>
  </w:style>
  <w:style w:type="paragraph" w:customStyle="1" w:styleId="OpiParaSub">
    <w:name w:val="Opi_Para_Sub"/>
    <w:basedOn w:val="JuParaSub"/>
    <w:qFormat/>
    <w:rsid w:val="00557E4F"/>
  </w:style>
  <w:style w:type="paragraph" w:customStyle="1" w:styleId="OpiQuot">
    <w:name w:val="Opi_Quot"/>
    <w:basedOn w:val="ECHRParaQuote"/>
    <w:qFormat/>
    <w:rsid w:val="00557E4F"/>
  </w:style>
  <w:style w:type="paragraph" w:customStyle="1" w:styleId="OpiQuotSub">
    <w:name w:val="Opi_Quot_Sub"/>
    <w:basedOn w:val="JuQuotSub"/>
    <w:qFormat/>
    <w:rsid w:val="00557E4F"/>
  </w:style>
  <w:style w:type="table" w:styleId="Tabela-Siatka">
    <w:name w:val="Table Grid"/>
    <w:basedOn w:val="Standardowy"/>
    <w:rsid w:val="00557E4F"/>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57E4F"/>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57E4F"/>
    <w:pPr>
      <w:spacing w:after="60"/>
      <w:ind w:left="680" w:right="340" w:hanging="340"/>
    </w:pPr>
  </w:style>
  <w:style w:type="paragraph" w:styleId="Spistreci3">
    <w:name w:val="toc 3"/>
    <w:basedOn w:val="Normalny"/>
    <w:next w:val="Normalny"/>
    <w:autoRedefine/>
    <w:uiPriority w:val="99"/>
    <w:semiHidden/>
    <w:rsid w:val="00557E4F"/>
    <w:pPr>
      <w:spacing w:after="60"/>
      <w:ind w:left="1020" w:right="340" w:hanging="340"/>
    </w:pPr>
  </w:style>
  <w:style w:type="paragraph" w:styleId="Spistreci4">
    <w:name w:val="toc 4"/>
    <w:basedOn w:val="Normalny"/>
    <w:next w:val="Normalny"/>
    <w:autoRedefine/>
    <w:uiPriority w:val="99"/>
    <w:semiHidden/>
    <w:rsid w:val="00557E4F"/>
    <w:pPr>
      <w:tabs>
        <w:tab w:val="right" w:leader="dot" w:pos="9017"/>
      </w:tabs>
      <w:spacing w:after="60"/>
      <w:ind w:left="1361" w:right="340" w:hanging="340"/>
    </w:pPr>
  </w:style>
  <w:style w:type="paragraph" w:styleId="Spistreci5">
    <w:name w:val="toc 5"/>
    <w:basedOn w:val="Normalny"/>
    <w:next w:val="Normalny"/>
    <w:autoRedefine/>
    <w:uiPriority w:val="99"/>
    <w:semiHidden/>
    <w:rsid w:val="00557E4F"/>
    <w:pPr>
      <w:spacing w:after="60"/>
      <w:ind w:left="1701" w:right="340" w:hanging="340"/>
    </w:pPr>
  </w:style>
  <w:style w:type="paragraph" w:customStyle="1" w:styleId="ECHRTitleCentre3">
    <w:name w:val="ECHR_Title_Centre_3"/>
    <w:aliases w:val="Ju_H_Article"/>
    <w:basedOn w:val="Normalny"/>
    <w:next w:val="ECHRParaQuote"/>
    <w:qFormat/>
    <w:rsid w:val="00557E4F"/>
    <w:pPr>
      <w:keepNext/>
      <w:keepLines/>
      <w:spacing w:before="240" w:after="120"/>
      <w:jc w:val="center"/>
      <w:outlineLvl w:val="3"/>
    </w:pPr>
    <w:rPr>
      <w:rFonts w:asciiTheme="majorHAnsi" w:hAnsiTheme="majorHAnsi"/>
      <w:b/>
      <w:sz w:val="20"/>
      <w:lang w:val="fr-FR" w:eastAsia="fr-FR" w:bidi="en-US"/>
    </w:rPr>
  </w:style>
  <w:style w:type="paragraph" w:customStyle="1" w:styleId="ECHRTitleCentre1">
    <w:name w:val="ECHR_Title_Centre_1"/>
    <w:aliases w:val="Opi_H_Head"/>
    <w:basedOn w:val="Normalny"/>
    <w:next w:val="OpiPara"/>
    <w:qFormat/>
    <w:rsid w:val="00557E4F"/>
    <w:pPr>
      <w:keepNext/>
      <w:keepLines/>
      <w:spacing w:after="240"/>
      <w:jc w:val="center"/>
      <w:outlineLvl w:val="0"/>
    </w:pPr>
    <w:rPr>
      <w:rFonts w:asciiTheme="majorHAnsi" w:hAnsiTheme="majorHAnsi"/>
      <w:sz w:val="28"/>
      <w:lang w:val="fr-FR" w:eastAsia="fr-FR"/>
    </w:rPr>
  </w:style>
  <w:style w:type="paragraph" w:customStyle="1" w:styleId="JuCase">
    <w:name w:val="Ju_Case"/>
    <w:basedOn w:val="Normalny"/>
    <w:next w:val="ECHRPara"/>
    <w:rsid w:val="00557E4F"/>
    <w:pPr>
      <w:ind w:firstLine="284"/>
    </w:pPr>
    <w:rPr>
      <w:b/>
    </w:rPr>
  </w:style>
  <w:style w:type="paragraph" w:customStyle="1" w:styleId="JuQuotSub">
    <w:name w:val="Ju_Quot_Sub"/>
    <w:basedOn w:val="ECHRParaQuote"/>
    <w:qFormat/>
    <w:rsid w:val="00557E4F"/>
    <w:pPr>
      <w:ind w:left="567"/>
    </w:pPr>
  </w:style>
  <w:style w:type="paragraph" w:customStyle="1" w:styleId="ECHRTitle1">
    <w:name w:val="ECHR_Title_1"/>
    <w:aliases w:val="Ju_H_Head"/>
    <w:basedOn w:val="Normalny"/>
    <w:next w:val="ECHRPara"/>
    <w:link w:val="JuHHeadChar"/>
    <w:uiPriority w:val="18"/>
    <w:qFormat/>
    <w:rsid w:val="00557E4F"/>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ny"/>
    <w:qFormat/>
    <w:rsid w:val="00557E4F"/>
    <w:pPr>
      <w:tabs>
        <w:tab w:val="center" w:pos="6407"/>
      </w:tabs>
      <w:spacing w:before="720"/>
      <w:jc w:val="right"/>
    </w:pPr>
    <w:rPr>
      <w:lang w:val="fr-FR" w:eastAsia="fr-FR"/>
    </w:rPr>
  </w:style>
  <w:style w:type="paragraph" w:customStyle="1" w:styleId="OpiHA">
    <w:name w:val="Opi_H_A"/>
    <w:basedOn w:val="ECHRHeading1"/>
    <w:next w:val="OpiPara"/>
    <w:qFormat/>
    <w:rsid w:val="00557E4F"/>
  </w:style>
  <w:style w:type="character" w:customStyle="1" w:styleId="JUNAMES">
    <w:name w:val="JU_NAMES"/>
    <w:uiPriority w:val="17"/>
    <w:qFormat/>
    <w:rsid w:val="00557E4F"/>
    <w:rPr>
      <w:caps w:val="0"/>
      <w:smallCaps/>
    </w:rPr>
  </w:style>
  <w:style w:type="paragraph" w:styleId="Tytu">
    <w:name w:val="Title"/>
    <w:basedOn w:val="Normalny"/>
    <w:next w:val="Normalny"/>
    <w:link w:val="TytuZnak"/>
    <w:uiPriority w:val="99"/>
    <w:qFormat/>
    <w:rsid w:val="00557E4F"/>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rsid w:val="00557E4F"/>
    <w:rPr>
      <w:rFonts w:asciiTheme="majorHAnsi" w:eastAsiaTheme="majorEastAsia" w:hAnsiTheme="majorHAnsi" w:cstheme="majorBidi"/>
      <w:spacing w:val="5"/>
      <w:sz w:val="52"/>
      <w:szCs w:val="52"/>
      <w:lang w:val="fr-FR" w:eastAsia="fr-FR" w:bidi="en-US"/>
    </w:rPr>
  </w:style>
  <w:style w:type="paragraph" w:styleId="Podtytu">
    <w:name w:val="Subtitle"/>
    <w:basedOn w:val="Normalny"/>
    <w:next w:val="Normalny"/>
    <w:link w:val="PodtytuZnak"/>
    <w:uiPriority w:val="99"/>
    <w:qFormat/>
    <w:rsid w:val="00557E4F"/>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rsid w:val="00557E4F"/>
    <w:rPr>
      <w:rFonts w:asciiTheme="majorHAnsi" w:eastAsiaTheme="majorEastAsia" w:hAnsiTheme="majorHAnsi" w:cstheme="majorBidi"/>
      <w:i/>
      <w:iCs/>
      <w:spacing w:val="13"/>
      <w:sz w:val="24"/>
      <w:szCs w:val="24"/>
      <w:lang w:val="fr-FR" w:eastAsia="fr-FR" w:bidi="en-US"/>
    </w:rPr>
  </w:style>
  <w:style w:type="character" w:styleId="Pogrubienie">
    <w:name w:val="Strong"/>
    <w:uiPriority w:val="99"/>
    <w:qFormat/>
    <w:rsid w:val="00557E4F"/>
    <w:rPr>
      <w:b/>
      <w:bCs/>
    </w:rPr>
  </w:style>
  <w:style w:type="character" w:styleId="Uwydatnienie">
    <w:name w:val="Emphasis"/>
    <w:uiPriority w:val="99"/>
    <w:qFormat/>
    <w:rsid w:val="00557E4F"/>
    <w:rPr>
      <w:b/>
      <w:bCs/>
      <w:i/>
      <w:iCs/>
      <w:spacing w:val="10"/>
      <w:bdr w:val="none" w:sz="0" w:space="0" w:color="auto"/>
      <w:shd w:val="clear" w:color="auto" w:fill="auto"/>
    </w:rPr>
  </w:style>
  <w:style w:type="paragraph" w:styleId="Bezodstpw">
    <w:name w:val="No Spacing"/>
    <w:basedOn w:val="Normalny"/>
    <w:link w:val="BezodstpwZnak"/>
    <w:uiPriority w:val="99"/>
    <w:qFormat/>
    <w:rsid w:val="00557E4F"/>
    <w:rPr>
      <w:sz w:val="22"/>
      <w:lang w:val="fr-FR" w:eastAsia="fr-FR"/>
    </w:rPr>
  </w:style>
  <w:style w:type="character" w:customStyle="1" w:styleId="BezodstpwZnak">
    <w:name w:val="Bez odstępów Znak"/>
    <w:basedOn w:val="Domylnaczcionkaakapitu"/>
    <w:link w:val="Bezodstpw"/>
    <w:uiPriority w:val="99"/>
    <w:rsid w:val="00557E4F"/>
    <w:rPr>
      <w:rFonts w:eastAsiaTheme="minorEastAsia"/>
      <w:lang w:val="fr-FR" w:eastAsia="fr-FR"/>
    </w:rPr>
  </w:style>
  <w:style w:type="paragraph" w:styleId="Akapitzlist">
    <w:name w:val="List Paragraph"/>
    <w:basedOn w:val="Normalny"/>
    <w:uiPriority w:val="99"/>
    <w:qFormat/>
    <w:rsid w:val="00557E4F"/>
    <w:pPr>
      <w:ind w:left="720"/>
      <w:contextualSpacing/>
    </w:pPr>
    <w:rPr>
      <w:lang w:val="fr-FR" w:eastAsia="fr-FR"/>
    </w:rPr>
  </w:style>
  <w:style w:type="paragraph" w:styleId="Cytat">
    <w:name w:val="Quote"/>
    <w:basedOn w:val="Normalny"/>
    <w:next w:val="Normalny"/>
    <w:link w:val="CytatZnak"/>
    <w:uiPriority w:val="99"/>
    <w:qFormat/>
    <w:rsid w:val="00557E4F"/>
    <w:pPr>
      <w:spacing w:before="200"/>
      <w:ind w:left="360" w:right="360"/>
    </w:pPr>
    <w:rPr>
      <w:i/>
      <w:iCs/>
      <w:sz w:val="22"/>
      <w:lang w:val="fr-FR" w:eastAsia="fr-FR" w:bidi="en-US"/>
    </w:rPr>
  </w:style>
  <w:style w:type="character" w:customStyle="1" w:styleId="CytatZnak">
    <w:name w:val="Cytat Znak"/>
    <w:basedOn w:val="Domylnaczcionkaakapitu"/>
    <w:link w:val="Cytat"/>
    <w:uiPriority w:val="99"/>
    <w:rsid w:val="00557E4F"/>
    <w:rPr>
      <w:rFonts w:eastAsiaTheme="minorEastAsia"/>
      <w:i/>
      <w:iCs/>
      <w:lang w:val="fr-FR" w:eastAsia="fr-FR" w:bidi="en-US"/>
    </w:rPr>
  </w:style>
  <w:style w:type="paragraph" w:styleId="Cytatintensywny">
    <w:name w:val="Intense Quote"/>
    <w:basedOn w:val="Normalny"/>
    <w:next w:val="Normalny"/>
    <w:link w:val="CytatintensywnyZnak"/>
    <w:uiPriority w:val="99"/>
    <w:qFormat/>
    <w:rsid w:val="00557E4F"/>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rsid w:val="00557E4F"/>
    <w:rPr>
      <w:rFonts w:eastAsiaTheme="minorEastAsia"/>
      <w:b/>
      <w:bCs/>
      <w:i/>
      <w:iCs/>
      <w:lang w:val="fr-FR" w:eastAsia="fr-FR" w:bidi="en-US"/>
    </w:rPr>
  </w:style>
  <w:style w:type="character" w:styleId="Wyrnieniedelikatne">
    <w:name w:val="Subtle Emphasis"/>
    <w:uiPriority w:val="99"/>
    <w:qFormat/>
    <w:rsid w:val="00557E4F"/>
    <w:rPr>
      <w:i/>
      <w:iCs/>
    </w:rPr>
  </w:style>
  <w:style w:type="character" w:styleId="Wyrnienieintensywne">
    <w:name w:val="Intense Emphasis"/>
    <w:uiPriority w:val="99"/>
    <w:qFormat/>
    <w:rsid w:val="00557E4F"/>
    <w:rPr>
      <w:b/>
      <w:bCs/>
    </w:rPr>
  </w:style>
  <w:style w:type="character" w:styleId="Odwoaniedelikatne">
    <w:name w:val="Subtle Reference"/>
    <w:uiPriority w:val="99"/>
    <w:qFormat/>
    <w:rsid w:val="00557E4F"/>
    <w:rPr>
      <w:smallCaps/>
    </w:rPr>
  </w:style>
  <w:style w:type="character" w:styleId="Odwoanieintensywne">
    <w:name w:val="Intense Reference"/>
    <w:uiPriority w:val="99"/>
    <w:qFormat/>
    <w:rsid w:val="00557E4F"/>
    <w:rPr>
      <w:smallCaps/>
      <w:spacing w:val="5"/>
      <w:u w:val="single"/>
    </w:rPr>
  </w:style>
  <w:style w:type="character" w:styleId="Tytuksiki">
    <w:name w:val="Book Title"/>
    <w:uiPriority w:val="99"/>
    <w:qFormat/>
    <w:rsid w:val="00557E4F"/>
    <w:rPr>
      <w:i/>
      <w:iCs/>
      <w:smallCaps/>
      <w:spacing w:val="5"/>
    </w:rPr>
  </w:style>
  <w:style w:type="paragraph" w:styleId="Nagwekspisutreci">
    <w:name w:val="TOC Heading"/>
    <w:basedOn w:val="Nagwek1"/>
    <w:next w:val="Normalny"/>
    <w:uiPriority w:val="99"/>
    <w:semiHidden/>
    <w:qFormat/>
    <w:rsid w:val="00557E4F"/>
    <w:pPr>
      <w:keepNext/>
      <w:keepLines/>
      <w:contextualSpacing w:val="0"/>
      <w:outlineLvl w:val="9"/>
    </w:pPr>
    <w:rPr>
      <w:color w:val="365F91" w:themeColor="accent1" w:themeShade="BF"/>
    </w:rPr>
  </w:style>
  <w:style w:type="paragraph" w:customStyle="1" w:styleId="OpiTranslation">
    <w:name w:val="Opi_Translation"/>
    <w:basedOn w:val="Normalny"/>
    <w:next w:val="OpiPara"/>
    <w:qFormat/>
    <w:rsid w:val="00557E4F"/>
    <w:pPr>
      <w:jc w:val="center"/>
      <w:outlineLvl w:val="0"/>
    </w:pPr>
    <w:rPr>
      <w:i/>
      <w:lang w:val="fr-FR" w:eastAsia="fr-FR"/>
    </w:rPr>
  </w:style>
  <w:style w:type="paragraph" w:styleId="Nagwekwykazurde">
    <w:name w:val="toa heading"/>
    <w:basedOn w:val="Normalny"/>
    <w:next w:val="Normalny"/>
    <w:uiPriority w:val="99"/>
    <w:semiHidden/>
    <w:rsid w:val="00557E4F"/>
    <w:pPr>
      <w:spacing w:before="120"/>
    </w:pPr>
    <w:rPr>
      <w:rFonts w:asciiTheme="majorHAnsi" w:eastAsiaTheme="majorEastAsia" w:hAnsiTheme="majorHAnsi" w:cstheme="majorBidi"/>
      <w:b/>
      <w:bCs/>
      <w:color w:val="76923C" w:themeColor="accent3" w:themeShade="BF"/>
      <w:szCs w:val="24"/>
    </w:rPr>
  </w:style>
  <w:style w:type="paragraph" w:customStyle="1" w:styleId="JuCourt">
    <w:name w:val="Ju_Court"/>
    <w:basedOn w:val="Normalny"/>
    <w:next w:val="Normalny"/>
    <w:qFormat/>
    <w:rsid w:val="00557E4F"/>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Nagwek1"/>
    <w:next w:val="ECHRPara"/>
    <w:qFormat/>
    <w:rsid w:val="00557E4F"/>
  </w:style>
  <w:style w:type="paragraph" w:customStyle="1" w:styleId="ECHRHeading2">
    <w:name w:val="ECHR_Heading_2"/>
    <w:aliases w:val="Ju_H_A"/>
    <w:basedOn w:val="Nagwek2"/>
    <w:next w:val="ECHRPara"/>
    <w:qFormat/>
    <w:rsid w:val="00557E4F"/>
  </w:style>
  <w:style w:type="paragraph" w:customStyle="1" w:styleId="ECHRHeading3">
    <w:name w:val="ECHR_Heading_3"/>
    <w:aliases w:val="Ju_H_1."/>
    <w:basedOn w:val="Nagwek3"/>
    <w:next w:val="ECHRPara"/>
    <w:qFormat/>
    <w:rsid w:val="00557E4F"/>
  </w:style>
  <w:style w:type="paragraph" w:customStyle="1" w:styleId="ECHRHeading4">
    <w:name w:val="ECHR_Heading_4"/>
    <w:aliases w:val="Ju_H_a"/>
    <w:basedOn w:val="Nagwek4"/>
    <w:next w:val="ECHRPara"/>
    <w:qFormat/>
    <w:rsid w:val="00557E4F"/>
  </w:style>
  <w:style w:type="paragraph" w:customStyle="1" w:styleId="ECHRHeading5">
    <w:name w:val="ECHR_Heading_5"/>
    <w:aliases w:val="Ju_H_i"/>
    <w:basedOn w:val="Nagwek5"/>
    <w:next w:val="ECHRPara"/>
    <w:qFormat/>
    <w:rsid w:val="00557E4F"/>
  </w:style>
  <w:style w:type="paragraph" w:customStyle="1" w:styleId="ECHRHeading6">
    <w:name w:val="ECHR_Heading_6"/>
    <w:aliases w:val="Ju_H_alpha"/>
    <w:basedOn w:val="Nagwek6"/>
    <w:next w:val="ECHRPara"/>
    <w:qFormat/>
    <w:rsid w:val="00557E4F"/>
  </w:style>
  <w:style w:type="paragraph" w:customStyle="1" w:styleId="ECHRHeading7">
    <w:name w:val="ECHR_Heading_7"/>
    <w:aliases w:val="Ju_H_–"/>
    <w:basedOn w:val="Nagwek7"/>
    <w:next w:val="ECHRPara"/>
    <w:qFormat/>
    <w:rsid w:val="00557E4F"/>
    <w:pPr>
      <w:numPr>
        <w:ilvl w:val="0"/>
        <w:numId w:val="0"/>
      </w:numPr>
      <w:ind w:left="1296" w:hanging="288"/>
    </w:pPr>
  </w:style>
  <w:style w:type="paragraph" w:customStyle="1" w:styleId="JuParaLast">
    <w:name w:val="Ju_Para_Last"/>
    <w:basedOn w:val="Normalny"/>
    <w:next w:val="ECHRPara"/>
    <w:qFormat/>
    <w:rsid w:val="00557E4F"/>
    <w:pPr>
      <w:keepNext/>
      <w:keepLines/>
      <w:spacing w:before="240"/>
      <w:ind w:firstLine="284"/>
    </w:pPr>
    <w:rPr>
      <w:lang w:val="fr-FR" w:eastAsia="fr-FR"/>
    </w:rPr>
  </w:style>
  <w:style w:type="paragraph" w:customStyle="1" w:styleId="DecList">
    <w:name w:val="Dec_List"/>
    <w:basedOn w:val="Normalny"/>
    <w:qFormat/>
    <w:rsid w:val="00557E4F"/>
    <w:pPr>
      <w:spacing w:before="240"/>
      <w:ind w:left="284"/>
    </w:pPr>
    <w:rPr>
      <w:lang w:val="fr-FR" w:eastAsia="fr-FR"/>
    </w:rPr>
  </w:style>
  <w:style w:type="paragraph" w:customStyle="1" w:styleId="ECHRDecisionBody">
    <w:name w:val="ECHR_Decision_Body"/>
    <w:aliases w:val="Ju_Judges"/>
    <w:basedOn w:val="Normalny"/>
    <w:link w:val="JuJudgesChar"/>
    <w:qFormat/>
    <w:rsid w:val="00557E4F"/>
    <w:pPr>
      <w:tabs>
        <w:tab w:val="left" w:pos="567"/>
        <w:tab w:val="left" w:pos="1134"/>
      </w:tabs>
      <w:jc w:val="left"/>
    </w:pPr>
    <w:rPr>
      <w:lang w:val="fr-FR" w:eastAsia="fr-FR"/>
    </w:rPr>
  </w:style>
  <w:style w:type="paragraph" w:customStyle="1" w:styleId="JuList">
    <w:name w:val="Ju_List"/>
    <w:basedOn w:val="Normalny"/>
    <w:qFormat/>
    <w:rsid w:val="00557E4F"/>
    <w:pPr>
      <w:ind w:left="340" w:hanging="340"/>
    </w:pPr>
    <w:rPr>
      <w:lang w:val="fr-FR" w:eastAsia="fr-FR"/>
    </w:rPr>
  </w:style>
  <w:style w:type="paragraph" w:customStyle="1" w:styleId="JuLista">
    <w:name w:val="Ju_List_a"/>
    <w:basedOn w:val="JuList"/>
    <w:qFormat/>
    <w:rsid w:val="00557E4F"/>
  </w:style>
  <w:style w:type="paragraph" w:customStyle="1" w:styleId="JuListi">
    <w:name w:val="Ju_List_i"/>
    <w:basedOn w:val="Normalny"/>
    <w:next w:val="JuLista"/>
    <w:qFormat/>
    <w:rsid w:val="00557E4F"/>
    <w:pPr>
      <w:ind w:left="794"/>
    </w:pPr>
    <w:rPr>
      <w:lang w:val="fr-FR" w:eastAsia="fr-FR"/>
    </w:rPr>
  </w:style>
  <w:style w:type="paragraph" w:customStyle="1" w:styleId="OpiH1">
    <w:name w:val="Opi_H_1"/>
    <w:basedOn w:val="ECHRHeading2"/>
    <w:uiPriority w:val="42"/>
    <w:semiHidden/>
    <w:qFormat/>
    <w:rsid w:val="00557E4F"/>
    <w:pPr>
      <w:keepNext/>
      <w:keepLines/>
      <w:numPr>
        <w:ilvl w:val="0"/>
        <w:numId w:val="0"/>
      </w:numPr>
      <w:tabs>
        <w:tab w:val="left" w:pos="584"/>
      </w:tabs>
      <w:spacing w:before="360" w:after="240"/>
      <w:ind w:left="635" w:hanging="357"/>
      <w:outlineLvl w:val="2"/>
    </w:pPr>
    <w:rPr>
      <w:color w:val="auto"/>
      <w:sz w:val="24"/>
      <w:lang w:val="fr-FR" w:eastAsia="fr-FR"/>
    </w:rPr>
  </w:style>
  <w:style w:type="paragraph" w:customStyle="1" w:styleId="OpiHa0">
    <w:name w:val="Opi_H_a"/>
    <w:basedOn w:val="ECHRHeading3"/>
    <w:qFormat/>
    <w:rsid w:val="00557E4F"/>
    <w:pPr>
      <w:keepNext/>
      <w:keepLines/>
      <w:numPr>
        <w:ilvl w:val="0"/>
        <w:numId w:val="0"/>
      </w:numPr>
      <w:tabs>
        <w:tab w:val="left" w:pos="731"/>
      </w:tabs>
      <w:spacing w:before="240" w:after="120" w:line="240" w:lineRule="auto"/>
      <w:ind w:left="833" w:hanging="357"/>
      <w:outlineLvl w:val="3"/>
    </w:pPr>
    <w:rPr>
      <w:color w:val="auto"/>
      <w:sz w:val="20"/>
      <w:lang w:val="fr-FR" w:eastAsia="fr-FR"/>
    </w:rPr>
  </w:style>
  <w:style w:type="paragraph" w:customStyle="1" w:styleId="OpiHi">
    <w:name w:val="Opi_H_i"/>
    <w:basedOn w:val="ECHRHeading4"/>
    <w:qFormat/>
    <w:rsid w:val="00557E4F"/>
    <w:pPr>
      <w:keepNext/>
      <w:keepLines/>
      <w:numPr>
        <w:ilvl w:val="0"/>
        <w:numId w:val="0"/>
      </w:numPr>
      <w:tabs>
        <w:tab w:val="left" w:pos="975"/>
      </w:tabs>
      <w:spacing w:before="240" w:after="120"/>
      <w:ind w:left="1037" w:hanging="357"/>
      <w:outlineLvl w:val="4"/>
    </w:pPr>
    <w:rPr>
      <w:b w:val="0"/>
      <w:color w:val="auto"/>
      <w:sz w:val="20"/>
      <w:lang w:val="fr-FR" w:eastAsia="fr-FR"/>
    </w:rPr>
  </w:style>
  <w:style w:type="numbering" w:styleId="111111">
    <w:name w:val="Outline List 2"/>
    <w:basedOn w:val="Bezlisty"/>
    <w:uiPriority w:val="99"/>
    <w:semiHidden/>
    <w:rsid w:val="00557E4F"/>
    <w:pPr>
      <w:numPr>
        <w:numId w:val="12"/>
      </w:numPr>
    </w:pPr>
  </w:style>
  <w:style w:type="numbering" w:styleId="1ai">
    <w:name w:val="Outline List 1"/>
    <w:basedOn w:val="Bezlisty"/>
    <w:uiPriority w:val="99"/>
    <w:semiHidden/>
    <w:rsid w:val="00557E4F"/>
    <w:pPr>
      <w:numPr>
        <w:numId w:val="13"/>
      </w:numPr>
    </w:pPr>
  </w:style>
  <w:style w:type="numbering" w:styleId="Artykusekcja">
    <w:name w:val="Outline List 3"/>
    <w:basedOn w:val="Bezlisty"/>
    <w:uiPriority w:val="99"/>
    <w:semiHidden/>
    <w:rsid w:val="00557E4F"/>
    <w:pPr>
      <w:numPr>
        <w:numId w:val="14"/>
      </w:numPr>
    </w:pPr>
  </w:style>
  <w:style w:type="paragraph" w:styleId="Bibliografia">
    <w:name w:val="Bibliography"/>
    <w:basedOn w:val="Normalny"/>
    <w:next w:val="Normalny"/>
    <w:uiPriority w:val="99"/>
    <w:semiHidden/>
    <w:unhideWhenUsed/>
    <w:rsid w:val="00557E4F"/>
  </w:style>
  <w:style w:type="paragraph" w:styleId="Tekstblokowy">
    <w:name w:val="Block Text"/>
    <w:basedOn w:val="Normalny"/>
    <w:uiPriority w:val="99"/>
    <w:semiHidden/>
    <w:rsid w:val="00557E4F"/>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i/>
      <w:iCs/>
      <w:color w:val="4F81BD" w:themeColor="accent1"/>
    </w:rPr>
  </w:style>
  <w:style w:type="paragraph" w:styleId="Tekstpodstawowy">
    <w:name w:val="Body Text"/>
    <w:basedOn w:val="Normalny"/>
    <w:link w:val="TekstpodstawowyZnak"/>
    <w:uiPriority w:val="99"/>
    <w:semiHidden/>
    <w:rsid w:val="00557E4F"/>
    <w:pPr>
      <w:spacing w:after="120"/>
    </w:pPr>
  </w:style>
  <w:style w:type="character" w:customStyle="1" w:styleId="TekstpodstawowyZnak">
    <w:name w:val="Tekst podstawowy Znak"/>
    <w:basedOn w:val="Domylnaczcionkaakapitu"/>
    <w:link w:val="Tekstpodstawowy"/>
    <w:uiPriority w:val="99"/>
    <w:semiHidden/>
    <w:rsid w:val="00557E4F"/>
    <w:rPr>
      <w:rFonts w:eastAsiaTheme="minorEastAsia"/>
      <w:sz w:val="24"/>
      <w:lang w:val="en-US"/>
    </w:rPr>
  </w:style>
  <w:style w:type="paragraph" w:styleId="Tekstpodstawowy2">
    <w:name w:val="Body Text 2"/>
    <w:basedOn w:val="Normalny"/>
    <w:link w:val="Tekstpodstawowy2Znak"/>
    <w:uiPriority w:val="99"/>
    <w:semiHidden/>
    <w:rsid w:val="00557E4F"/>
    <w:pPr>
      <w:spacing w:after="120" w:line="480" w:lineRule="auto"/>
    </w:pPr>
  </w:style>
  <w:style w:type="character" w:customStyle="1" w:styleId="Tekstpodstawowy2Znak">
    <w:name w:val="Tekst podstawowy 2 Znak"/>
    <w:basedOn w:val="Domylnaczcionkaakapitu"/>
    <w:link w:val="Tekstpodstawowy2"/>
    <w:uiPriority w:val="99"/>
    <w:semiHidden/>
    <w:rsid w:val="00557E4F"/>
    <w:rPr>
      <w:rFonts w:eastAsiaTheme="minorEastAsia"/>
      <w:sz w:val="24"/>
      <w:lang w:val="en-US"/>
    </w:rPr>
  </w:style>
  <w:style w:type="paragraph" w:styleId="Tekstpodstawowy3">
    <w:name w:val="Body Text 3"/>
    <w:basedOn w:val="Normalny"/>
    <w:link w:val="Tekstpodstawowy3Znak"/>
    <w:uiPriority w:val="99"/>
    <w:semiHidden/>
    <w:rsid w:val="00557E4F"/>
    <w:pPr>
      <w:spacing w:after="120"/>
    </w:pPr>
    <w:rPr>
      <w:sz w:val="16"/>
      <w:szCs w:val="16"/>
    </w:rPr>
  </w:style>
  <w:style w:type="character" w:customStyle="1" w:styleId="Tekstpodstawowy3Znak">
    <w:name w:val="Tekst podstawowy 3 Znak"/>
    <w:basedOn w:val="Domylnaczcionkaakapitu"/>
    <w:link w:val="Tekstpodstawowy3"/>
    <w:uiPriority w:val="99"/>
    <w:semiHidden/>
    <w:rsid w:val="00557E4F"/>
    <w:rPr>
      <w:rFonts w:eastAsiaTheme="minorEastAsia"/>
      <w:sz w:val="16"/>
      <w:szCs w:val="16"/>
      <w:lang w:val="en-US"/>
    </w:rPr>
  </w:style>
  <w:style w:type="paragraph" w:styleId="Tekstpodstawowyzwciciem">
    <w:name w:val="Body Text First Indent"/>
    <w:basedOn w:val="Tekstpodstawowy"/>
    <w:link w:val="TekstpodstawowyzwciciemZnak"/>
    <w:uiPriority w:val="99"/>
    <w:semiHidden/>
    <w:rsid w:val="00557E4F"/>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57E4F"/>
    <w:rPr>
      <w:rFonts w:eastAsiaTheme="minorEastAsia"/>
      <w:sz w:val="24"/>
      <w:lang w:val="en-US"/>
    </w:rPr>
  </w:style>
  <w:style w:type="paragraph" w:styleId="Tekstpodstawowywcity">
    <w:name w:val="Body Text Indent"/>
    <w:basedOn w:val="Normalny"/>
    <w:link w:val="TekstpodstawowywcityZnak"/>
    <w:uiPriority w:val="99"/>
    <w:semiHidden/>
    <w:rsid w:val="00557E4F"/>
    <w:pPr>
      <w:spacing w:after="120"/>
      <w:ind w:left="283"/>
    </w:pPr>
  </w:style>
  <w:style w:type="character" w:customStyle="1" w:styleId="TekstpodstawowywcityZnak">
    <w:name w:val="Tekst podstawowy wcięty Znak"/>
    <w:basedOn w:val="Domylnaczcionkaakapitu"/>
    <w:link w:val="Tekstpodstawowywcity"/>
    <w:uiPriority w:val="99"/>
    <w:semiHidden/>
    <w:rsid w:val="00557E4F"/>
    <w:rPr>
      <w:rFonts w:eastAsiaTheme="minorEastAsia"/>
      <w:sz w:val="24"/>
      <w:lang w:val="en-US"/>
    </w:rPr>
  </w:style>
  <w:style w:type="paragraph" w:styleId="Tekstpodstawowyzwciciem2">
    <w:name w:val="Body Text First Indent 2"/>
    <w:basedOn w:val="Tekstpodstawowywcity"/>
    <w:link w:val="Tekstpodstawowyzwciciem2Znak"/>
    <w:uiPriority w:val="99"/>
    <w:semiHidden/>
    <w:rsid w:val="00557E4F"/>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57E4F"/>
    <w:rPr>
      <w:rFonts w:eastAsiaTheme="minorEastAsia"/>
      <w:sz w:val="24"/>
      <w:lang w:val="en-US"/>
    </w:rPr>
  </w:style>
  <w:style w:type="paragraph" w:styleId="Tekstpodstawowywcity2">
    <w:name w:val="Body Text Indent 2"/>
    <w:basedOn w:val="Normalny"/>
    <w:link w:val="Tekstpodstawowywcity2Znak"/>
    <w:uiPriority w:val="99"/>
    <w:semiHidden/>
    <w:rsid w:val="00557E4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57E4F"/>
    <w:rPr>
      <w:rFonts w:eastAsiaTheme="minorEastAsia"/>
      <w:sz w:val="24"/>
      <w:lang w:val="en-US"/>
    </w:rPr>
  </w:style>
  <w:style w:type="paragraph" w:styleId="Tekstpodstawowywcity3">
    <w:name w:val="Body Text Indent 3"/>
    <w:basedOn w:val="Normalny"/>
    <w:link w:val="Tekstpodstawowywcity3Znak"/>
    <w:uiPriority w:val="99"/>
    <w:semiHidden/>
    <w:rsid w:val="00557E4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57E4F"/>
    <w:rPr>
      <w:rFonts w:eastAsiaTheme="minorEastAsia"/>
      <w:sz w:val="16"/>
      <w:szCs w:val="16"/>
      <w:lang w:val="en-US"/>
    </w:rPr>
  </w:style>
  <w:style w:type="paragraph" w:styleId="Legenda">
    <w:name w:val="caption"/>
    <w:basedOn w:val="Normalny"/>
    <w:next w:val="Normalny"/>
    <w:uiPriority w:val="99"/>
    <w:semiHidden/>
    <w:qFormat/>
    <w:rsid w:val="00557E4F"/>
    <w:pPr>
      <w:spacing w:after="200"/>
    </w:pPr>
    <w:rPr>
      <w:b/>
      <w:bCs/>
      <w:color w:val="4F81BD" w:themeColor="accent1"/>
      <w:sz w:val="18"/>
      <w:szCs w:val="18"/>
    </w:rPr>
  </w:style>
  <w:style w:type="paragraph" w:styleId="Zwrotpoegnalny">
    <w:name w:val="Closing"/>
    <w:basedOn w:val="Normalny"/>
    <w:link w:val="ZwrotpoegnalnyZnak"/>
    <w:uiPriority w:val="99"/>
    <w:semiHidden/>
    <w:rsid w:val="00557E4F"/>
    <w:pPr>
      <w:ind w:left="4252"/>
    </w:pPr>
  </w:style>
  <w:style w:type="character" w:customStyle="1" w:styleId="ZwrotpoegnalnyZnak">
    <w:name w:val="Zwrot pożegnalny Znak"/>
    <w:basedOn w:val="Domylnaczcionkaakapitu"/>
    <w:link w:val="Zwrotpoegnalny"/>
    <w:uiPriority w:val="99"/>
    <w:semiHidden/>
    <w:rsid w:val="00557E4F"/>
    <w:rPr>
      <w:rFonts w:eastAsiaTheme="minorEastAsia"/>
      <w:sz w:val="24"/>
      <w:lang w:val="en-US"/>
    </w:rPr>
  </w:style>
  <w:style w:type="table" w:styleId="Kolorowasiatka">
    <w:name w:val="Colorful Grid"/>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olorowalista">
    <w:name w:val="Colorful List"/>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ecieniowanie">
    <w:name w:val="Colorful Shading"/>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a">
    <w:name w:val="Date"/>
    <w:basedOn w:val="Normalny"/>
    <w:next w:val="Normalny"/>
    <w:link w:val="DataZnak"/>
    <w:uiPriority w:val="99"/>
    <w:semiHidden/>
    <w:rsid w:val="00557E4F"/>
  </w:style>
  <w:style w:type="character" w:customStyle="1" w:styleId="DataZnak">
    <w:name w:val="Data Znak"/>
    <w:basedOn w:val="Domylnaczcionkaakapitu"/>
    <w:link w:val="Data"/>
    <w:uiPriority w:val="99"/>
    <w:semiHidden/>
    <w:rsid w:val="00557E4F"/>
    <w:rPr>
      <w:rFonts w:eastAsiaTheme="minorEastAsia"/>
      <w:sz w:val="24"/>
      <w:lang w:val="en-US"/>
    </w:rPr>
  </w:style>
  <w:style w:type="paragraph" w:styleId="Podpise-mail">
    <w:name w:val="E-mail Signature"/>
    <w:basedOn w:val="Normalny"/>
    <w:link w:val="Podpise-mailZnak"/>
    <w:uiPriority w:val="99"/>
    <w:semiHidden/>
    <w:rsid w:val="00557E4F"/>
  </w:style>
  <w:style w:type="character" w:customStyle="1" w:styleId="Podpise-mailZnak">
    <w:name w:val="Podpis e-mail Znak"/>
    <w:basedOn w:val="Domylnaczcionkaakapitu"/>
    <w:link w:val="Podpise-mail"/>
    <w:uiPriority w:val="99"/>
    <w:semiHidden/>
    <w:rsid w:val="00557E4F"/>
    <w:rPr>
      <w:rFonts w:eastAsiaTheme="minorEastAsia"/>
      <w:sz w:val="24"/>
      <w:lang w:val="en-US"/>
    </w:rPr>
  </w:style>
  <w:style w:type="paragraph" w:styleId="Adresnakopercie">
    <w:name w:val="envelope address"/>
    <w:basedOn w:val="Normalny"/>
    <w:uiPriority w:val="99"/>
    <w:semiHidden/>
    <w:rsid w:val="00557E4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57E4F"/>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557E4F"/>
  </w:style>
  <w:style w:type="paragraph" w:styleId="HTML-adres">
    <w:name w:val="HTML Address"/>
    <w:basedOn w:val="Normalny"/>
    <w:link w:val="HTML-adresZnak"/>
    <w:uiPriority w:val="99"/>
    <w:semiHidden/>
    <w:rsid w:val="00557E4F"/>
    <w:rPr>
      <w:i/>
      <w:iCs/>
    </w:rPr>
  </w:style>
  <w:style w:type="character" w:customStyle="1" w:styleId="HTML-adresZnak">
    <w:name w:val="HTML - adres Znak"/>
    <w:basedOn w:val="Domylnaczcionkaakapitu"/>
    <w:link w:val="HTML-adres"/>
    <w:uiPriority w:val="99"/>
    <w:semiHidden/>
    <w:rsid w:val="00557E4F"/>
    <w:rPr>
      <w:rFonts w:eastAsiaTheme="minorEastAsia"/>
      <w:i/>
      <w:iCs/>
      <w:sz w:val="24"/>
      <w:lang w:val="en-US"/>
    </w:rPr>
  </w:style>
  <w:style w:type="character" w:styleId="HTML-cytat">
    <w:name w:val="HTML Cite"/>
    <w:basedOn w:val="Domylnaczcionkaakapitu"/>
    <w:uiPriority w:val="99"/>
    <w:semiHidden/>
    <w:rsid w:val="00557E4F"/>
    <w:rPr>
      <w:i/>
      <w:iCs/>
    </w:rPr>
  </w:style>
  <w:style w:type="character" w:styleId="HTML-kod">
    <w:name w:val="HTML Code"/>
    <w:basedOn w:val="Domylnaczcionkaakapitu"/>
    <w:uiPriority w:val="99"/>
    <w:semiHidden/>
    <w:rsid w:val="00557E4F"/>
    <w:rPr>
      <w:rFonts w:ascii="Consolas" w:hAnsi="Consolas" w:cs="Consolas"/>
      <w:sz w:val="20"/>
      <w:szCs w:val="20"/>
    </w:rPr>
  </w:style>
  <w:style w:type="character" w:styleId="HTML-definicja">
    <w:name w:val="HTML Definition"/>
    <w:basedOn w:val="Domylnaczcionkaakapitu"/>
    <w:uiPriority w:val="99"/>
    <w:semiHidden/>
    <w:rsid w:val="00557E4F"/>
    <w:rPr>
      <w:i/>
      <w:iCs/>
    </w:rPr>
  </w:style>
  <w:style w:type="character" w:styleId="HTML-klawiatura">
    <w:name w:val="HTML Keyboard"/>
    <w:basedOn w:val="Domylnaczcionkaakapitu"/>
    <w:uiPriority w:val="99"/>
    <w:semiHidden/>
    <w:rsid w:val="00557E4F"/>
    <w:rPr>
      <w:rFonts w:ascii="Consolas" w:hAnsi="Consolas" w:cs="Consolas"/>
      <w:sz w:val="20"/>
      <w:szCs w:val="20"/>
    </w:rPr>
  </w:style>
  <w:style w:type="paragraph" w:styleId="HTML-wstpniesformatowany">
    <w:name w:val="HTML Preformatted"/>
    <w:basedOn w:val="Normalny"/>
    <w:link w:val="HTML-wstpniesformatowanyZnak"/>
    <w:uiPriority w:val="99"/>
    <w:semiHidden/>
    <w:rsid w:val="00557E4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57E4F"/>
    <w:rPr>
      <w:rFonts w:ascii="Consolas" w:eastAsiaTheme="minorEastAsia" w:hAnsi="Consolas" w:cs="Consolas"/>
      <w:sz w:val="20"/>
      <w:szCs w:val="20"/>
      <w:lang w:val="en-US"/>
    </w:rPr>
  </w:style>
  <w:style w:type="character" w:styleId="HTML-przykad">
    <w:name w:val="HTML Sample"/>
    <w:basedOn w:val="Domylnaczcionkaakapitu"/>
    <w:uiPriority w:val="99"/>
    <w:semiHidden/>
    <w:rsid w:val="00557E4F"/>
    <w:rPr>
      <w:rFonts w:ascii="Consolas" w:hAnsi="Consolas" w:cs="Consolas"/>
      <w:sz w:val="24"/>
      <w:szCs w:val="24"/>
    </w:rPr>
  </w:style>
  <w:style w:type="character" w:styleId="HTML-staaszeroko">
    <w:name w:val="HTML Typewriter"/>
    <w:basedOn w:val="Domylnaczcionkaakapitu"/>
    <w:uiPriority w:val="99"/>
    <w:semiHidden/>
    <w:rsid w:val="00557E4F"/>
    <w:rPr>
      <w:rFonts w:ascii="Consolas" w:hAnsi="Consolas" w:cs="Consolas"/>
      <w:sz w:val="20"/>
      <w:szCs w:val="20"/>
    </w:rPr>
  </w:style>
  <w:style w:type="character" w:styleId="HTML-zmienna">
    <w:name w:val="HTML Variable"/>
    <w:basedOn w:val="Domylnaczcionkaakapitu"/>
    <w:uiPriority w:val="99"/>
    <w:semiHidden/>
    <w:rsid w:val="00557E4F"/>
    <w:rPr>
      <w:i/>
      <w:iCs/>
    </w:rPr>
  </w:style>
  <w:style w:type="paragraph" w:styleId="Indeks1">
    <w:name w:val="index 1"/>
    <w:basedOn w:val="Normalny"/>
    <w:next w:val="Normalny"/>
    <w:autoRedefine/>
    <w:uiPriority w:val="99"/>
    <w:semiHidden/>
    <w:rsid w:val="00557E4F"/>
    <w:pPr>
      <w:ind w:left="240" w:hanging="240"/>
    </w:pPr>
  </w:style>
  <w:style w:type="paragraph" w:styleId="Indeks2">
    <w:name w:val="index 2"/>
    <w:basedOn w:val="Normalny"/>
    <w:next w:val="Normalny"/>
    <w:autoRedefine/>
    <w:uiPriority w:val="99"/>
    <w:semiHidden/>
    <w:rsid w:val="00557E4F"/>
    <w:pPr>
      <w:ind w:left="480" w:hanging="240"/>
    </w:pPr>
  </w:style>
  <w:style w:type="paragraph" w:styleId="Indeks3">
    <w:name w:val="index 3"/>
    <w:basedOn w:val="Normalny"/>
    <w:next w:val="Normalny"/>
    <w:autoRedefine/>
    <w:uiPriority w:val="99"/>
    <w:semiHidden/>
    <w:rsid w:val="00557E4F"/>
    <w:pPr>
      <w:ind w:left="720" w:hanging="240"/>
    </w:pPr>
  </w:style>
  <w:style w:type="paragraph" w:styleId="Indeks4">
    <w:name w:val="index 4"/>
    <w:basedOn w:val="Normalny"/>
    <w:next w:val="Normalny"/>
    <w:autoRedefine/>
    <w:uiPriority w:val="99"/>
    <w:semiHidden/>
    <w:rsid w:val="00557E4F"/>
    <w:pPr>
      <w:ind w:left="960" w:hanging="240"/>
    </w:pPr>
  </w:style>
  <w:style w:type="paragraph" w:styleId="Indeks5">
    <w:name w:val="index 5"/>
    <w:basedOn w:val="Normalny"/>
    <w:next w:val="Normalny"/>
    <w:autoRedefine/>
    <w:uiPriority w:val="99"/>
    <w:semiHidden/>
    <w:rsid w:val="00557E4F"/>
    <w:pPr>
      <w:ind w:left="1200" w:hanging="240"/>
    </w:pPr>
  </w:style>
  <w:style w:type="paragraph" w:styleId="Indeks6">
    <w:name w:val="index 6"/>
    <w:basedOn w:val="Normalny"/>
    <w:next w:val="Normalny"/>
    <w:autoRedefine/>
    <w:uiPriority w:val="99"/>
    <w:semiHidden/>
    <w:rsid w:val="00557E4F"/>
    <w:pPr>
      <w:ind w:left="1440" w:hanging="240"/>
    </w:pPr>
  </w:style>
  <w:style w:type="paragraph" w:styleId="Indeks7">
    <w:name w:val="index 7"/>
    <w:basedOn w:val="Normalny"/>
    <w:next w:val="Normalny"/>
    <w:autoRedefine/>
    <w:uiPriority w:val="99"/>
    <w:semiHidden/>
    <w:rsid w:val="00557E4F"/>
    <w:pPr>
      <w:ind w:left="1680" w:hanging="240"/>
    </w:pPr>
  </w:style>
  <w:style w:type="paragraph" w:styleId="Indeks8">
    <w:name w:val="index 8"/>
    <w:basedOn w:val="Normalny"/>
    <w:next w:val="Normalny"/>
    <w:autoRedefine/>
    <w:uiPriority w:val="99"/>
    <w:semiHidden/>
    <w:rsid w:val="00557E4F"/>
    <w:pPr>
      <w:ind w:left="1920" w:hanging="240"/>
    </w:pPr>
  </w:style>
  <w:style w:type="paragraph" w:styleId="Indeks9">
    <w:name w:val="index 9"/>
    <w:basedOn w:val="Normalny"/>
    <w:next w:val="Normalny"/>
    <w:autoRedefine/>
    <w:uiPriority w:val="99"/>
    <w:semiHidden/>
    <w:rsid w:val="00557E4F"/>
    <w:pPr>
      <w:ind w:left="2160" w:hanging="240"/>
    </w:pPr>
  </w:style>
  <w:style w:type="paragraph" w:styleId="Nagwekindeksu">
    <w:name w:val="index heading"/>
    <w:basedOn w:val="Normalny"/>
    <w:next w:val="Indeks1"/>
    <w:uiPriority w:val="99"/>
    <w:semiHidden/>
    <w:rsid w:val="00557E4F"/>
    <w:rPr>
      <w:rFonts w:asciiTheme="majorHAnsi" w:eastAsiaTheme="majorEastAsia" w:hAnsiTheme="majorHAnsi" w:cstheme="majorBidi"/>
      <w:b/>
      <w:bCs/>
    </w:rPr>
  </w:style>
  <w:style w:type="table" w:styleId="Jasnasiatka">
    <w:name w:val="Light Grid"/>
    <w:basedOn w:val="Standardowy"/>
    <w:uiPriority w:val="99"/>
    <w:rsid w:val="00557E4F"/>
    <w:pPr>
      <w:spacing w:after="0" w:line="240" w:lineRule="auto"/>
    </w:pPr>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557E4F"/>
    <w:pPr>
      <w:spacing w:after="0" w:line="240" w:lineRule="auto"/>
    </w:pPr>
    <w:rPr>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99"/>
    <w:rsid w:val="00557E4F"/>
    <w:pPr>
      <w:spacing w:after="0" w:line="240" w:lineRule="auto"/>
    </w:pPr>
    <w:rPr>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99"/>
    <w:rsid w:val="00557E4F"/>
    <w:pPr>
      <w:spacing w:after="0" w:line="240" w:lineRule="auto"/>
    </w:pPr>
    <w:rPr>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99"/>
    <w:rsid w:val="00557E4F"/>
    <w:pPr>
      <w:spacing w:after="0" w:line="240" w:lineRule="auto"/>
    </w:pPr>
    <w:rPr>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99"/>
    <w:rsid w:val="00557E4F"/>
    <w:pPr>
      <w:spacing w:after="0" w:line="240" w:lineRule="auto"/>
    </w:pPr>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99"/>
    <w:rsid w:val="00557E4F"/>
    <w:pPr>
      <w:spacing w:after="0" w:line="240" w:lineRule="auto"/>
    </w:pPr>
    <w:rPr>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
    <w:name w:val="Light List"/>
    <w:basedOn w:val="Standardowy"/>
    <w:uiPriority w:val="99"/>
    <w:rsid w:val="00557E4F"/>
    <w:pPr>
      <w:spacing w:after="0" w:line="240" w:lineRule="auto"/>
    </w:pPr>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557E4F"/>
    <w:pPr>
      <w:spacing w:after="0" w:line="240" w:lineRule="auto"/>
    </w:pPr>
    <w:rPr>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99"/>
    <w:rsid w:val="00557E4F"/>
    <w:pPr>
      <w:spacing w:after="0" w:line="240" w:lineRule="auto"/>
    </w:pPr>
    <w:rPr>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99"/>
    <w:rsid w:val="00557E4F"/>
    <w:pPr>
      <w:spacing w:after="0" w:line="240" w:lineRule="auto"/>
    </w:pPr>
    <w:rPr>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99"/>
    <w:rsid w:val="00557E4F"/>
    <w:pPr>
      <w:spacing w:after="0" w:line="240" w:lineRule="auto"/>
    </w:pPr>
    <w:rPr>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99"/>
    <w:rsid w:val="00557E4F"/>
    <w:pPr>
      <w:spacing w:after="0" w:line="240" w:lineRule="auto"/>
    </w:pPr>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99"/>
    <w:rsid w:val="00557E4F"/>
    <w:pPr>
      <w:spacing w:after="0" w:line="240" w:lineRule="auto"/>
    </w:pPr>
    <w:rPr>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ecieniowanie">
    <w:name w:val="Light Shading"/>
    <w:basedOn w:val="Standardowy"/>
    <w:uiPriority w:val="99"/>
    <w:rsid w:val="00557E4F"/>
    <w:pPr>
      <w:spacing w:after="0" w:line="240" w:lineRule="auto"/>
    </w:pPr>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557E4F"/>
    <w:pPr>
      <w:spacing w:after="0" w:line="240" w:lineRule="auto"/>
    </w:pPr>
    <w:rPr>
      <w:color w:val="365F91" w:themeColor="accent1" w:themeShade="BF"/>
      <w:lang w:val="fr-FR"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99"/>
    <w:rsid w:val="00557E4F"/>
    <w:pPr>
      <w:spacing w:after="0" w:line="240" w:lineRule="auto"/>
    </w:pPr>
    <w:rPr>
      <w:color w:val="943634" w:themeColor="accent2" w:themeShade="BF"/>
      <w:lang w:val="fr-FR" w:eastAsia="fr-FR"/>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99"/>
    <w:rsid w:val="00557E4F"/>
    <w:pPr>
      <w:spacing w:after="0" w:line="240" w:lineRule="auto"/>
    </w:pPr>
    <w:rPr>
      <w:color w:val="76923C" w:themeColor="accent3" w:themeShade="BF"/>
      <w:lang w:val="fr-FR" w:eastAsia="fr-FR"/>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99"/>
    <w:rsid w:val="00557E4F"/>
    <w:pPr>
      <w:spacing w:after="0" w:line="240" w:lineRule="auto"/>
    </w:pPr>
    <w:rPr>
      <w:color w:val="5F497A" w:themeColor="accent4" w:themeShade="BF"/>
      <w:lang w:val="fr-FR" w:eastAsia="fr-FR"/>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99"/>
    <w:rsid w:val="00557E4F"/>
    <w:pPr>
      <w:spacing w:after="0" w:line="240" w:lineRule="auto"/>
    </w:pPr>
    <w:rPr>
      <w:color w:val="31849B" w:themeColor="accent5" w:themeShade="BF"/>
      <w:lang w:val="fr-FR" w:eastAsia="fr-F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99"/>
    <w:rsid w:val="00557E4F"/>
    <w:pPr>
      <w:spacing w:after="0" w:line="240" w:lineRule="auto"/>
    </w:pPr>
    <w:rPr>
      <w:color w:val="E36C0A" w:themeColor="accent6" w:themeShade="BF"/>
      <w:lang w:val="fr-FR" w:eastAsia="fr-FR"/>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Numerwiersza">
    <w:name w:val="line number"/>
    <w:basedOn w:val="Domylnaczcionkaakapitu"/>
    <w:uiPriority w:val="99"/>
    <w:semiHidden/>
    <w:rsid w:val="00557E4F"/>
  </w:style>
  <w:style w:type="paragraph" w:styleId="Lista">
    <w:name w:val="List"/>
    <w:basedOn w:val="Normalny"/>
    <w:uiPriority w:val="99"/>
    <w:semiHidden/>
    <w:rsid w:val="00557E4F"/>
    <w:pPr>
      <w:ind w:left="283" w:hanging="283"/>
      <w:contextualSpacing/>
    </w:pPr>
  </w:style>
  <w:style w:type="paragraph" w:styleId="Lista2">
    <w:name w:val="List 2"/>
    <w:basedOn w:val="Normalny"/>
    <w:uiPriority w:val="99"/>
    <w:semiHidden/>
    <w:rsid w:val="00557E4F"/>
    <w:pPr>
      <w:ind w:left="566" w:hanging="283"/>
      <w:contextualSpacing/>
    </w:pPr>
  </w:style>
  <w:style w:type="paragraph" w:styleId="Lista3">
    <w:name w:val="List 3"/>
    <w:basedOn w:val="Normalny"/>
    <w:uiPriority w:val="99"/>
    <w:semiHidden/>
    <w:rsid w:val="00557E4F"/>
    <w:pPr>
      <w:ind w:left="849" w:hanging="283"/>
      <w:contextualSpacing/>
    </w:pPr>
  </w:style>
  <w:style w:type="paragraph" w:styleId="Lista4">
    <w:name w:val="List 4"/>
    <w:basedOn w:val="Normalny"/>
    <w:uiPriority w:val="99"/>
    <w:semiHidden/>
    <w:rsid w:val="00557E4F"/>
    <w:pPr>
      <w:ind w:left="1132" w:hanging="283"/>
      <w:contextualSpacing/>
    </w:pPr>
  </w:style>
  <w:style w:type="paragraph" w:styleId="Lista5">
    <w:name w:val="List 5"/>
    <w:basedOn w:val="Normalny"/>
    <w:uiPriority w:val="99"/>
    <w:semiHidden/>
    <w:rsid w:val="00557E4F"/>
    <w:pPr>
      <w:ind w:left="1415" w:hanging="283"/>
      <w:contextualSpacing/>
    </w:pPr>
  </w:style>
  <w:style w:type="paragraph" w:styleId="Listapunktowana2">
    <w:name w:val="List Bullet 2"/>
    <w:basedOn w:val="Normalny"/>
    <w:uiPriority w:val="99"/>
    <w:semiHidden/>
    <w:rsid w:val="00557E4F"/>
    <w:pPr>
      <w:numPr>
        <w:numId w:val="2"/>
      </w:numPr>
      <w:contextualSpacing/>
    </w:pPr>
  </w:style>
  <w:style w:type="paragraph" w:styleId="Listapunktowana3">
    <w:name w:val="List Bullet 3"/>
    <w:basedOn w:val="Normalny"/>
    <w:uiPriority w:val="99"/>
    <w:semiHidden/>
    <w:rsid w:val="00557E4F"/>
    <w:pPr>
      <w:numPr>
        <w:numId w:val="3"/>
      </w:numPr>
      <w:contextualSpacing/>
    </w:pPr>
  </w:style>
  <w:style w:type="paragraph" w:styleId="Listapunktowana4">
    <w:name w:val="List Bullet 4"/>
    <w:basedOn w:val="Normalny"/>
    <w:uiPriority w:val="99"/>
    <w:semiHidden/>
    <w:rsid w:val="00557E4F"/>
    <w:pPr>
      <w:tabs>
        <w:tab w:val="num" w:pos="1209"/>
      </w:tabs>
      <w:ind w:left="1209" w:hanging="360"/>
      <w:contextualSpacing/>
    </w:pPr>
  </w:style>
  <w:style w:type="paragraph" w:styleId="Listapunktowana5">
    <w:name w:val="List Bullet 5"/>
    <w:basedOn w:val="Normalny"/>
    <w:uiPriority w:val="99"/>
    <w:semiHidden/>
    <w:rsid w:val="00557E4F"/>
    <w:pPr>
      <w:numPr>
        <w:numId w:val="5"/>
      </w:numPr>
      <w:contextualSpacing/>
    </w:pPr>
  </w:style>
  <w:style w:type="paragraph" w:styleId="Lista-kontynuacja">
    <w:name w:val="List Continue"/>
    <w:basedOn w:val="Normalny"/>
    <w:uiPriority w:val="99"/>
    <w:semiHidden/>
    <w:rsid w:val="00557E4F"/>
    <w:pPr>
      <w:spacing w:after="120"/>
      <w:ind w:left="283"/>
      <w:contextualSpacing/>
    </w:pPr>
  </w:style>
  <w:style w:type="paragraph" w:styleId="Lista-kontynuacja2">
    <w:name w:val="List Continue 2"/>
    <w:basedOn w:val="Normalny"/>
    <w:uiPriority w:val="99"/>
    <w:semiHidden/>
    <w:rsid w:val="00557E4F"/>
    <w:pPr>
      <w:spacing w:after="120"/>
      <w:ind w:left="566"/>
      <w:contextualSpacing/>
    </w:pPr>
  </w:style>
  <w:style w:type="paragraph" w:styleId="Lista-kontynuacja3">
    <w:name w:val="List Continue 3"/>
    <w:basedOn w:val="Normalny"/>
    <w:uiPriority w:val="99"/>
    <w:semiHidden/>
    <w:rsid w:val="00557E4F"/>
    <w:pPr>
      <w:spacing w:after="120"/>
      <w:ind w:left="849"/>
      <w:contextualSpacing/>
    </w:pPr>
  </w:style>
  <w:style w:type="paragraph" w:styleId="Lista-kontynuacja4">
    <w:name w:val="List Continue 4"/>
    <w:basedOn w:val="Normalny"/>
    <w:uiPriority w:val="99"/>
    <w:semiHidden/>
    <w:rsid w:val="00557E4F"/>
    <w:pPr>
      <w:spacing w:after="120"/>
      <w:ind w:left="1132"/>
      <w:contextualSpacing/>
    </w:pPr>
  </w:style>
  <w:style w:type="paragraph" w:styleId="Lista-kontynuacja5">
    <w:name w:val="List Continue 5"/>
    <w:basedOn w:val="Normalny"/>
    <w:uiPriority w:val="99"/>
    <w:semiHidden/>
    <w:rsid w:val="00557E4F"/>
    <w:pPr>
      <w:spacing w:after="120"/>
      <w:ind w:left="1415"/>
      <w:contextualSpacing/>
    </w:pPr>
  </w:style>
  <w:style w:type="paragraph" w:styleId="Listanumerowana">
    <w:name w:val="List Number"/>
    <w:basedOn w:val="Normalny"/>
    <w:uiPriority w:val="99"/>
    <w:semiHidden/>
    <w:rsid w:val="00557E4F"/>
    <w:pPr>
      <w:numPr>
        <w:numId w:val="6"/>
      </w:numPr>
      <w:contextualSpacing/>
    </w:pPr>
  </w:style>
  <w:style w:type="paragraph" w:styleId="Listanumerowana2">
    <w:name w:val="List Number 2"/>
    <w:basedOn w:val="Normalny"/>
    <w:uiPriority w:val="99"/>
    <w:semiHidden/>
    <w:rsid w:val="00557E4F"/>
    <w:pPr>
      <w:numPr>
        <w:numId w:val="7"/>
      </w:numPr>
      <w:contextualSpacing/>
    </w:pPr>
  </w:style>
  <w:style w:type="paragraph" w:styleId="Listanumerowana3">
    <w:name w:val="List Number 3"/>
    <w:basedOn w:val="Normalny"/>
    <w:uiPriority w:val="99"/>
    <w:semiHidden/>
    <w:rsid w:val="00557E4F"/>
    <w:pPr>
      <w:numPr>
        <w:numId w:val="8"/>
      </w:numPr>
      <w:contextualSpacing/>
    </w:pPr>
  </w:style>
  <w:style w:type="paragraph" w:styleId="Listanumerowana4">
    <w:name w:val="List Number 4"/>
    <w:basedOn w:val="Normalny"/>
    <w:uiPriority w:val="99"/>
    <w:semiHidden/>
    <w:rsid w:val="00557E4F"/>
    <w:pPr>
      <w:numPr>
        <w:numId w:val="9"/>
      </w:numPr>
      <w:contextualSpacing/>
    </w:pPr>
  </w:style>
  <w:style w:type="paragraph" w:styleId="Listanumerowana5">
    <w:name w:val="List Number 5"/>
    <w:basedOn w:val="Normalny"/>
    <w:uiPriority w:val="99"/>
    <w:semiHidden/>
    <w:rsid w:val="00557E4F"/>
    <w:pPr>
      <w:numPr>
        <w:numId w:val="10"/>
      </w:numPr>
      <w:contextualSpacing/>
    </w:pPr>
  </w:style>
  <w:style w:type="paragraph" w:styleId="Tekstmakra">
    <w:name w:val="macro"/>
    <w:link w:val="TekstmakraZnak"/>
    <w:uiPriority w:val="99"/>
    <w:semiHidden/>
    <w:rsid w:val="00557E4F"/>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heme="minorEastAsia" w:hAnsi="Consolas" w:cs="Consolas"/>
      <w:sz w:val="20"/>
      <w:szCs w:val="20"/>
      <w:lang w:val="en-US"/>
    </w:rPr>
  </w:style>
  <w:style w:type="character" w:customStyle="1" w:styleId="TekstmakraZnak">
    <w:name w:val="Tekst makra Znak"/>
    <w:basedOn w:val="Domylnaczcionkaakapitu"/>
    <w:link w:val="Tekstmakra"/>
    <w:uiPriority w:val="99"/>
    <w:semiHidden/>
    <w:rsid w:val="00557E4F"/>
    <w:rPr>
      <w:rFonts w:ascii="Consolas" w:eastAsiaTheme="minorEastAsia" w:hAnsi="Consolas" w:cs="Consolas"/>
      <w:sz w:val="20"/>
      <w:szCs w:val="20"/>
      <w:lang w:val="en-US"/>
    </w:rPr>
  </w:style>
  <w:style w:type="table" w:styleId="redniasiatka1">
    <w:name w:val="Medium Grid 1"/>
    <w:basedOn w:val="Standardowy"/>
    <w:uiPriority w:val="99"/>
    <w:rsid w:val="00557E4F"/>
    <w:pPr>
      <w:spacing w:after="0" w:line="240" w:lineRule="auto"/>
    </w:pPr>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557E4F"/>
    <w:pPr>
      <w:spacing w:after="0" w:line="240" w:lineRule="auto"/>
    </w:pPr>
    <w:rPr>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99"/>
    <w:rsid w:val="00557E4F"/>
    <w:pPr>
      <w:spacing w:after="0" w:line="240" w:lineRule="auto"/>
    </w:pPr>
    <w:rPr>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99"/>
    <w:rsid w:val="00557E4F"/>
    <w:pPr>
      <w:spacing w:after="0" w:line="240" w:lineRule="auto"/>
    </w:pPr>
    <w:rPr>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99"/>
    <w:rsid w:val="00557E4F"/>
    <w:pPr>
      <w:spacing w:after="0" w:line="240" w:lineRule="auto"/>
    </w:pPr>
    <w:rPr>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99"/>
    <w:rsid w:val="00557E4F"/>
    <w:pPr>
      <w:spacing w:after="0" w:line="240" w:lineRule="auto"/>
    </w:pPr>
    <w:rPr>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99"/>
    <w:rsid w:val="00557E4F"/>
    <w:pPr>
      <w:spacing w:after="0" w:line="240" w:lineRule="auto"/>
    </w:pPr>
    <w:rPr>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ednialista1">
    <w:name w:val="Medium List 1"/>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99"/>
    <w:rsid w:val="00557E4F"/>
    <w:pPr>
      <w:spacing w:after="0" w:line="240" w:lineRule="auto"/>
    </w:pPr>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557E4F"/>
    <w:pPr>
      <w:spacing w:after="0" w:line="240" w:lineRule="auto"/>
    </w:pPr>
    <w:rPr>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557E4F"/>
    <w:pPr>
      <w:spacing w:after="0" w:line="240" w:lineRule="auto"/>
    </w:pPr>
    <w:rPr>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557E4F"/>
    <w:pPr>
      <w:spacing w:after="0" w:line="240" w:lineRule="auto"/>
    </w:pPr>
    <w:rPr>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557E4F"/>
    <w:pPr>
      <w:spacing w:after="0" w:line="240" w:lineRule="auto"/>
    </w:pPr>
    <w:rPr>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557E4F"/>
    <w:pPr>
      <w:spacing w:after="0" w:line="240" w:lineRule="auto"/>
    </w:pPr>
    <w:rPr>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557E4F"/>
    <w:pPr>
      <w:spacing w:after="0" w:line="240" w:lineRule="auto"/>
    </w:pPr>
    <w:rPr>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57E4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57E4F"/>
    <w:rPr>
      <w:rFonts w:asciiTheme="majorHAnsi" w:eastAsiaTheme="majorEastAsia" w:hAnsiTheme="majorHAnsi" w:cstheme="majorBidi"/>
      <w:sz w:val="24"/>
      <w:szCs w:val="24"/>
      <w:shd w:val="pct20" w:color="auto" w:fill="auto"/>
      <w:lang w:val="en-US"/>
    </w:rPr>
  </w:style>
  <w:style w:type="paragraph" w:styleId="NormalnyWeb">
    <w:name w:val="Normal (Web)"/>
    <w:basedOn w:val="Normalny"/>
    <w:uiPriority w:val="99"/>
    <w:rsid w:val="00557E4F"/>
    <w:rPr>
      <w:rFonts w:ascii="Times New Roman" w:hAnsi="Times New Roman" w:cs="Times New Roman"/>
      <w:szCs w:val="24"/>
    </w:rPr>
  </w:style>
  <w:style w:type="paragraph" w:styleId="Wcicienormalne">
    <w:name w:val="Normal Indent"/>
    <w:basedOn w:val="Normalny"/>
    <w:uiPriority w:val="99"/>
    <w:semiHidden/>
    <w:rsid w:val="00557E4F"/>
    <w:pPr>
      <w:ind w:left="720"/>
    </w:pPr>
  </w:style>
  <w:style w:type="paragraph" w:styleId="Nagweknotatki">
    <w:name w:val="Note Heading"/>
    <w:basedOn w:val="Normalny"/>
    <w:next w:val="Normalny"/>
    <w:link w:val="NagweknotatkiZnak"/>
    <w:uiPriority w:val="99"/>
    <w:semiHidden/>
    <w:rsid w:val="00557E4F"/>
  </w:style>
  <w:style w:type="character" w:customStyle="1" w:styleId="NagweknotatkiZnak">
    <w:name w:val="Nagłówek notatki Znak"/>
    <w:basedOn w:val="Domylnaczcionkaakapitu"/>
    <w:link w:val="Nagweknotatki"/>
    <w:uiPriority w:val="99"/>
    <w:semiHidden/>
    <w:rsid w:val="00557E4F"/>
    <w:rPr>
      <w:rFonts w:eastAsiaTheme="minorEastAsia"/>
      <w:sz w:val="24"/>
      <w:lang w:val="en-US"/>
    </w:rPr>
  </w:style>
  <w:style w:type="character" w:styleId="Tekstzastpczy">
    <w:name w:val="Placeholder Text"/>
    <w:basedOn w:val="Domylnaczcionkaakapitu"/>
    <w:uiPriority w:val="99"/>
    <w:semiHidden/>
    <w:rsid w:val="00557E4F"/>
    <w:rPr>
      <w:color w:val="808080"/>
    </w:rPr>
  </w:style>
  <w:style w:type="paragraph" w:styleId="Zwykytekst">
    <w:name w:val="Plain Text"/>
    <w:basedOn w:val="Normalny"/>
    <w:link w:val="ZwykytekstZnak"/>
    <w:uiPriority w:val="99"/>
    <w:semiHidden/>
    <w:rsid w:val="00557E4F"/>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57E4F"/>
    <w:rPr>
      <w:rFonts w:ascii="Consolas" w:eastAsiaTheme="minorEastAsia" w:hAnsi="Consolas" w:cs="Consolas"/>
      <w:sz w:val="21"/>
      <w:szCs w:val="21"/>
      <w:lang w:val="en-US"/>
    </w:rPr>
  </w:style>
  <w:style w:type="paragraph" w:styleId="Zwrotgrzecznociowy">
    <w:name w:val="Salutation"/>
    <w:basedOn w:val="Normalny"/>
    <w:next w:val="Normalny"/>
    <w:link w:val="ZwrotgrzecznociowyZnak"/>
    <w:uiPriority w:val="99"/>
    <w:semiHidden/>
    <w:rsid w:val="00557E4F"/>
  </w:style>
  <w:style w:type="character" w:customStyle="1" w:styleId="ZwrotgrzecznociowyZnak">
    <w:name w:val="Zwrot grzecznościowy Znak"/>
    <w:basedOn w:val="Domylnaczcionkaakapitu"/>
    <w:link w:val="Zwrotgrzecznociowy"/>
    <w:uiPriority w:val="99"/>
    <w:semiHidden/>
    <w:rsid w:val="00557E4F"/>
    <w:rPr>
      <w:rFonts w:eastAsiaTheme="minorEastAsia"/>
      <w:sz w:val="24"/>
      <w:lang w:val="en-US"/>
    </w:rPr>
  </w:style>
  <w:style w:type="paragraph" w:styleId="Podpis">
    <w:name w:val="Signature"/>
    <w:basedOn w:val="Normalny"/>
    <w:link w:val="PodpisZnak"/>
    <w:uiPriority w:val="99"/>
    <w:semiHidden/>
    <w:rsid w:val="00557E4F"/>
    <w:pPr>
      <w:ind w:left="4252"/>
    </w:pPr>
  </w:style>
  <w:style w:type="character" w:customStyle="1" w:styleId="PodpisZnak">
    <w:name w:val="Podpis Znak"/>
    <w:basedOn w:val="Domylnaczcionkaakapitu"/>
    <w:link w:val="Podpis"/>
    <w:uiPriority w:val="99"/>
    <w:semiHidden/>
    <w:rsid w:val="00557E4F"/>
    <w:rPr>
      <w:rFonts w:eastAsiaTheme="minorEastAsia"/>
      <w:sz w:val="24"/>
      <w:lang w:val="en-US"/>
    </w:rPr>
  </w:style>
  <w:style w:type="table" w:styleId="Tabela-Efekty3W1">
    <w:name w:val="Table 3D effects 1"/>
    <w:basedOn w:val="Standardowy"/>
    <w:uiPriority w:val="99"/>
    <w:semiHidden/>
    <w:rsid w:val="00557E4F"/>
    <w:pPr>
      <w:spacing w:after="0" w:line="240" w:lineRule="auto"/>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557E4F"/>
    <w:pPr>
      <w:spacing w:after="0" w:line="240" w:lineRule="auto"/>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557E4F"/>
    <w:pPr>
      <w:spacing w:after="0" w:line="240" w:lineRule="auto"/>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557E4F"/>
    <w:pPr>
      <w:spacing w:after="0" w:line="240" w:lineRule="auto"/>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557E4F"/>
    <w:pPr>
      <w:spacing w:after="0" w:line="240" w:lineRule="auto"/>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557E4F"/>
    <w:pPr>
      <w:spacing w:after="0" w:line="240" w:lineRule="auto"/>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557E4F"/>
    <w:pPr>
      <w:spacing w:after="0" w:line="240" w:lineRule="auto"/>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557E4F"/>
    <w:pPr>
      <w:spacing w:after="0" w:line="240" w:lineRule="auto"/>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557E4F"/>
    <w:pPr>
      <w:spacing w:after="0" w:line="240" w:lineRule="auto"/>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557E4F"/>
    <w:pPr>
      <w:spacing w:after="0" w:line="240" w:lineRule="auto"/>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557E4F"/>
    <w:pPr>
      <w:spacing w:after="0" w:line="240" w:lineRule="auto"/>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557E4F"/>
    <w:pPr>
      <w:spacing w:after="0" w:line="240" w:lineRule="auto"/>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557E4F"/>
    <w:pPr>
      <w:spacing w:after="0" w:line="240" w:lineRule="auto"/>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557E4F"/>
    <w:pPr>
      <w:spacing w:after="0" w:line="240" w:lineRule="auto"/>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557E4F"/>
    <w:pPr>
      <w:spacing w:after="0" w:line="240" w:lineRule="auto"/>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557E4F"/>
    <w:pPr>
      <w:spacing w:after="0" w:line="240" w:lineRule="auto"/>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557E4F"/>
    <w:pPr>
      <w:spacing w:after="0" w:line="240" w:lineRule="auto"/>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557E4F"/>
    <w:pPr>
      <w:spacing w:after="0" w:line="240" w:lineRule="auto"/>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557E4F"/>
    <w:pPr>
      <w:spacing w:after="0" w:line="240" w:lineRule="auto"/>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557E4F"/>
    <w:pPr>
      <w:spacing w:after="0" w:line="240" w:lineRule="auto"/>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557E4F"/>
    <w:pPr>
      <w:spacing w:after="0" w:line="240" w:lineRule="auto"/>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557E4F"/>
    <w:pPr>
      <w:spacing w:after="0" w:line="240" w:lineRule="auto"/>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557E4F"/>
    <w:pPr>
      <w:spacing w:after="0" w:line="240" w:lineRule="auto"/>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557E4F"/>
    <w:pPr>
      <w:spacing w:after="0" w:line="240" w:lineRule="auto"/>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557E4F"/>
    <w:pPr>
      <w:spacing w:after="0" w:line="240" w:lineRule="auto"/>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557E4F"/>
    <w:pPr>
      <w:spacing w:after="0" w:line="240" w:lineRule="auto"/>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557E4F"/>
    <w:pPr>
      <w:spacing w:after="0" w:line="240" w:lineRule="auto"/>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557E4F"/>
    <w:pPr>
      <w:spacing w:after="0" w:line="240" w:lineRule="auto"/>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557E4F"/>
    <w:pPr>
      <w:spacing w:after="0" w:line="240" w:lineRule="auto"/>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557E4F"/>
    <w:pPr>
      <w:spacing w:after="0" w:line="240" w:lineRule="auto"/>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557E4F"/>
    <w:pPr>
      <w:spacing w:after="0" w:line="240" w:lineRule="auto"/>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557E4F"/>
    <w:pPr>
      <w:spacing w:after="0" w:line="240" w:lineRule="auto"/>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557E4F"/>
    <w:pPr>
      <w:spacing w:after="0" w:line="240" w:lineRule="auto"/>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57E4F"/>
    <w:pPr>
      <w:ind w:left="240" w:hanging="240"/>
    </w:pPr>
  </w:style>
  <w:style w:type="paragraph" w:styleId="Spisilustracji">
    <w:name w:val="table of figures"/>
    <w:basedOn w:val="Normalny"/>
    <w:next w:val="Normalny"/>
    <w:uiPriority w:val="99"/>
    <w:semiHidden/>
    <w:rsid w:val="00557E4F"/>
  </w:style>
  <w:style w:type="table" w:styleId="Tabela-Profesjonalny">
    <w:name w:val="Table Professional"/>
    <w:basedOn w:val="Standardowy"/>
    <w:uiPriority w:val="99"/>
    <w:semiHidden/>
    <w:rsid w:val="00557E4F"/>
    <w:pPr>
      <w:spacing w:after="0" w:line="240" w:lineRule="auto"/>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557E4F"/>
    <w:pPr>
      <w:spacing w:after="0" w:line="240" w:lineRule="auto"/>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557E4F"/>
    <w:pPr>
      <w:spacing w:after="0" w:line="240" w:lineRule="auto"/>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557E4F"/>
    <w:pPr>
      <w:spacing w:after="0" w:line="240" w:lineRule="auto"/>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557E4F"/>
    <w:pPr>
      <w:spacing w:after="0" w:line="240" w:lineRule="auto"/>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557E4F"/>
    <w:pPr>
      <w:spacing w:after="0" w:line="240" w:lineRule="auto"/>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557E4F"/>
    <w:pPr>
      <w:spacing w:after="0" w:line="240" w:lineRule="auto"/>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557E4F"/>
    <w:pPr>
      <w:spacing w:after="0" w:line="240" w:lineRule="auto"/>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557E4F"/>
    <w:pPr>
      <w:spacing w:after="0" w:line="240" w:lineRule="auto"/>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557E4F"/>
    <w:pPr>
      <w:spacing w:after="0" w:line="240" w:lineRule="auto"/>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57E4F"/>
    <w:pPr>
      <w:spacing w:after="100"/>
      <w:ind w:left="1200"/>
    </w:pPr>
  </w:style>
  <w:style w:type="paragraph" w:styleId="Spistreci7">
    <w:name w:val="toc 7"/>
    <w:basedOn w:val="Normalny"/>
    <w:next w:val="Normalny"/>
    <w:autoRedefine/>
    <w:uiPriority w:val="99"/>
    <w:semiHidden/>
    <w:rsid w:val="00557E4F"/>
    <w:pPr>
      <w:spacing w:after="100"/>
      <w:ind w:left="1440"/>
    </w:pPr>
  </w:style>
  <w:style w:type="paragraph" w:styleId="Spistreci8">
    <w:name w:val="toc 8"/>
    <w:basedOn w:val="Normalny"/>
    <w:next w:val="Normalny"/>
    <w:autoRedefine/>
    <w:uiPriority w:val="99"/>
    <w:semiHidden/>
    <w:rsid w:val="00557E4F"/>
    <w:pPr>
      <w:spacing w:after="100"/>
      <w:ind w:left="1680"/>
    </w:pPr>
  </w:style>
  <w:style w:type="paragraph" w:styleId="Spistreci9">
    <w:name w:val="toc 9"/>
    <w:basedOn w:val="Normalny"/>
    <w:next w:val="Normalny"/>
    <w:autoRedefine/>
    <w:uiPriority w:val="99"/>
    <w:semiHidden/>
    <w:rsid w:val="00557E4F"/>
    <w:pPr>
      <w:spacing w:after="100"/>
      <w:ind w:left="1920"/>
    </w:pPr>
  </w:style>
  <w:style w:type="character" w:customStyle="1" w:styleId="JuParaCar">
    <w:name w:val="Ju_Para Car"/>
    <w:link w:val="ECHRPara"/>
    <w:uiPriority w:val="99"/>
    <w:rsid w:val="00557E4F"/>
    <w:rPr>
      <w:rFonts w:eastAsiaTheme="minorEastAsia"/>
      <w:sz w:val="24"/>
      <w:lang w:val="fr-FR" w:eastAsia="fr-FR"/>
    </w:rPr>
  </w:style>
  <w:style w:type="character" w:customStyle="1" w:styleId="JuJudgesChar">
    <w:name w:val="Ju_Judges Char"/>
    <w:link w:val="ECHRDecisionBody"/>
    <w:rsid w:val="00557E4F"/>
    <w:rPr>
      <w:rFonts w:eastAsiaTheme="minorEastAsia"/>
      <w:sz w:val="24"/>
      <w:lang w:val="fr-FR" w:eastAsia="fr-FR"/>
    </w:rPr>
  </w:style>
  <w:style w:type="paragraph" w:customStyle="1" w:styleId="OpiH10">
    <w:name w:val="Opi_H_1."/>
    <w:basedOn w:val="OpiHA"/>
    <w:next w:val="OpiPara"/>
    <w:rsid w:val="00557E4F"/>
    <w:pPr>
      <w:keepNext/>
      <w:keepLines/>
      <w:spacing w:before="240" w:after="120"/>
      <w:ind w:left="635" w:hanging="357"/>
      <w:contextualSpacing w:val="0"/>
      <w:outlineLvl w:val="2"/>
    </w:pPr>
    <w:rPr>
      <w:rFonts w:ascii="Times New Roman" w:eastAsia="Times New Roman" w:hAnsi="Times New Roman" w:cs="Times New Roman"/>
      <w:b w:val="0"/>
      <w:bCs w:val="0"/>
      <w:i/>
      <w:color w:val="auto"/>
      <w:sz w:val="24"/>
      <w:szCs w:val="20"/>
      <w:lang w:val="en-GB" w:eastAsia="fr-FR"/>
    </w:rPr>
  </w:style>
  <w:style w:type="paragraph" w:customStyle="1" w:styleId="SuCoverTitle1">
    <w:name w:val="Su_Cover_Title1"/>
    <w:basedOn w:val="Normalny"/>
    <w:next w:val="SuCoverTitle2"/>
    <w:rsid w:val="00557E4F"/>
    <w:pPr>
      <w:suppressAutoHyphens/>
      <w:spacing w:before="2500"/>
      <w:jc w:val="center"/>
    </w:pPr>
    <w:rPr>
      <w:rFonts w:ascii="Times New Roman" w:eastAsia="Times New Roman" w:hAnsi="Times New Roman" w:cs="Times New Roman"/>
      <w:sz w:val="22"/>
      <w:szCs w:val="20"/>
      <w:lang w:val="en-GB" w:eastAsia="fr-FR"/>
    </w:rPr>
  </w:style>
  <w:style w:type="paragraph" w:customStyle="1" w:styleId="SuCoverTitle2">
    <w:name w:val="Su_Cover_Title2"/>
    <w:basedOn w:val="SuCoverTitle1"/>
    <w:next w:val="Normalny"/>
    <w:rsid w:val="00557E4F"/>
    <w:pPr>
      <w:spacing w:before="240"/>
    </w:pPr>
    <w:rPr>
      <w:sz w:val="18"/>
    </w:rPr>
  </w:style>
  <w:style w:type="paragraph" w:customStyle="1" w:styleId="SuPara">
    <w:name w:val="Su_Para"/>
    <w:basedOn w:val="SuKeywords"/>
    <w:rsid w:val="00557E4F"/>
    <w:pPr>
      <w:spacing w:before="0" w:after="0"/>
    </w:pPr>
    <w:rPr>
      <w:i w:val="0"/>
    </w:rPr>
  </w:style>
  <w:style w:type="paragraph" w:customStyle="1" w:styleId="SuKeywords">
    <w:name w:val="Su_Keywords"/>
    <w:basedOn w:val="SuHHead"/>
    <w:rsid w:val="00557E4F"/>
    <w:pPr>
      <w:spacing w:before="120"/>
    </w:pPr>
    <w:rPr>
      <w:b w:val="0"/>
      <w:i/>
    </w:rPr>
  </w:style>
  <w:style w:type="paragraph" w:customStyle="1" w:styleId="SuHHead">
    <w:name w:val="Su_H_Head"/>
    <w:basedOn w:val="SuSubject"/>
    <w:rsid w:val="00557E4F"/>
    <w:pPr>
      <w:spacing w:after="120"/>
    </w:pPr>
  </w:style>
  <w:style w:type="paragraph" w:customStyle="1" w:styleId="SuSubject">
    <w:name w:val="Su_Subject"/>
    <w:basedOn w:val="SuSummary"/>
    <w:rsid w:val="00557E4F"/>
    <w:pPr>
      <w:suppressAutoHyphens w:val="0"/>
      <w:spacing w:before="360"/>
      <w:jc w:val="both"/>
    </w:pPr>
    <w:rPr>
      <w:b/>
      <w:sz w:val="22"/>
    </w:rPr>
  </w:style>
  <w:style w:type="paragraph" w:customStyle="1" w:styleId="SuSummary">
    <w:name w:val="Su_Summary"/>
    <w:basedOn w:val="Normalny"/>
    <w:next w:val="SuSubject"/>
    <w:rsid w:val="00557E4F"/>
    <w:pPr>
      <w:suppressAutoHyphens/>
      <w:spacing w:after="240"/>
      <w:jc w:val="center"/>
    </w:pPr>
    <w:rPr>
      <w:rFonts w:ascii="Times New Roman" w:eastAsia="Times New Roman" w:hAnsi="Times New Roman" w:cs="Times New Roman"/>
      <w:szCs w:val="20"/>
      <w:lang w:val="en-GB" w:eastAsia="fr-FR"/>
    </w:rPr>
  </w:style>
  <w:style w:type="character" w:customStyle="1" w:styleId="JuNames0">
    <w:name w:val="Ju_Names"/>
    <w:rsid w:val="00557E4F"/>
    <w:rPr>
      <w:smallCaps/>
    </w:rPr>
  </w:style>
  <w:style w:type="paragraph" w:customStyle="1" w:styleId="NormalJustified">
    <w:name w:val="Normal_Justified"/>
    <w:basedOn w:val="Normalny"/>
    <w:rsid w:val="00557E4F"/>
    <w:pPr>
      <w:suppressAutoHyphens/>
    </w:pPr>
    <w:rPr>
      <w:rFonts w:ascii="Times New Roman" w:eastAsia="Times New Roman" w:hAnsi="Times New Roman" w:cs="Times New Roman"/>
      <w:szCs w:val="20"/>
      <w:lang w:val="en-GB" w:eastAsia="fr-FR"/>
    </w:rPr>
  </w:style>
  <w:style w:type="paragraph" w:customStyle="1" w:styleId="NormalTimesNewRoman">
    <w:name w:val="Normal_TimesNewRoman"/>
    <w:rsid w:val="00557E4F"/>
    <w:pPr>
      <w:spacing w:after="0" w:line="240" w:lineRule="auto"/>
    </w:pPr>
    <w:rPr>
      <w:rFonts w:ascii="Times New Roman" w:eastAsia="Times New Roman" w:hAnsi="Times New Roman" w:cs="Times New Roman"/>
      <w:sz w:val="24"/>
      <w:szCs w:val="20"/>
      <w:lang w:val="en-GB" w:eastAsia="fr-FR"/>
    </w:rPr>
  </w:style>
  <w:style w:type="character" w:customStyle="1" w:styleId="DefaultTimesNewRoman">
    <w:name w:val="Default_TimesNewRoman"/>
    <w:rsid w:val="00557E4F"/>
    <w:rPr>
      <w:rFonts w:ascii="Times New Roman" w:hAnsi="Times New Roman"/>
    </w:rPr>
  </w:style>
  <w:style w:type="character" w:customStyle="1" w:styleId="JuHHeadChar">
    <w:name w:val="Ju_H_Head Char"/>
    <w:link w:val="ECHRTitle1"/>
    <w:uiPriority w:val="18"/>
    <w:rsid w:val="00557E4F"/>
    <w:rPr>
      <w:rFonts w:asciiTheme="majorHAnsi" w:eastAsiaTheme="minorEastAsia" w:hAnsiTheme="majorHAnsi"/>
      <w:sz w:val="28"/>
      <w:lang w:val="fr-FR" w:eastAsia="fr-FR"/>
    </w:rPr>
  </w:style>
  <w:style w:type="character" w:customStyle="1" w:styleId="JuTitleChar">
    <w:name w:val="Ju_Title Char"/>
    <w:link w:val="JuTitle"/>
    <w:rsid w:val="00557E4F"/>
    <w:rPr>
      <w:rFonts w:asciiTheme="majorHAnsi" w:eastAsiaTheme="minorEastAsia" w:hAnsiTheme="majorHAnsi"/>
      <w:b/>
      <w:caps/>
      <w:sz w:val="24"/>
      <w:lang w:val="fr-FR" w:eastAsia="fr-FR"/>
    </w:rPr>
  </w:style>
  <w:style w:type="character" w:customStyle="1" w:styleId="JuParaChar">
    <w:name w:val="Ju_Para Char"/>
    <w:uiPriority w:val="99"/>
    <w:rsid w:val="00557E4F"/>
    <w:rPr>
      <w:sz w:val="24"/>
      <w:lang w:val="fr-FR" w:eastAsia="fr-FR" w:bidi="ar-SA"/>
    </w:rPr>
  </w:style>
  <w:style w:type="character" w:customStyle="1" w:styleId="ju-005fpara-0020char--char">
    <w:name w:val="ju-005fpara-0020char--char"/>
    <w:rsid w:val="00557E4F"/>
    <w:rPr>
      <w:rFonts w:cs="Times New Roman"/>
    </w:rPr>
  </w:style>
  <w:style w:type="character" w:customStyle="1" w:styleId="sb8d990e2">
    <w:name w:val="sb8d990e2"/>
    <w:rsid w:val="00557E4F"/>
  </w:style>
  <w:style w:type="paragraph" w:customStyle="1" w:styleId="JuParaCharCharCharCharCharCharCharCharCharCharCharCharCharCharCharCharCharCharCharCharCharCharCharCharCharCharCharCharCharCharCharCharCharCharCharCharChar">
    <w:name w:val="Ju_Para Char Char Char Char Char Char Char Char Char Char Char Char Char Char Char Char Char Char Char Char Char Char Char Char Char Char Char Char Char Char Char Char Char Char Char Char Char"/>
    <w:basedOn w:val="Normalny"/>
    <w:link w:val="JuParaCharCharCharCharCharCharCharCharCharCharCharCharCharCharCharCharCharCharCharCharCharCharCharCharCharCharCharCharCharCharCharCharCharCharCharCharCharChar"/>
    <w:rsid w:val="00557E4F"/>
    <w:pPr>
      <w:suppressAutoHyphens/>
      <w:ind w:firstLine="284"/>
    </w:pPr>
    <w:rPr>
      <w:rFonts w:ascii="Times New Roman" w:eastAsia="Times New Roman" w:hAnsi="Times New Roman" w:cs="Times New Roman"/>
      <w:szCs w:val="20"/>
      <w:lang w:val="en-GB" w:eastAsia="fr-FR"/>
    </w:rPr>
  </w:style>
  <w:style w:type="character" w:customStyle="1" w:styleId="JuParaCharCharCharCharCharCharCharCharCharCharCharCharCharCharCharCharCharCharCharCharCharCharCharCharCharCharCharCharCharCharCharCharCharCharCharCharCharChar">
    <w:name w:val="Ju_Para Char Char Char Char Char Char Char Char Char Char Char Char Char Char Char Char Char Char Char Char Char Char Char Char Char Char Char Char Char Char Char Char Char Char Char Char Char Char"/>
    <w:link w:val="JuParaCharCharCharCharCharCharCharCharCharCharCharCharCharCharCharCharCharCharCharCharCharCharCharCharCharCharCharCharCharCharCharCharCharCharCharCharChar"/>
    <w:rsid w:val="00557E4F"/>
    <w:rPr>
      <w:rFonts w:ascii="Times New Roman" w:eastAsia="Times New Roman" w:hAnsi="Times New Roman" w:cs="Times New Roman"/>
      <w:sz w:val="24"/>
      <w:szCs w:val="20"/>
      <w:lang w:val="en-GB" w:eastAsia="fr-FR"/>
    </w:rPr>
  </w:style>
  <w:style w:type="character" w:customStyle="1" w:styleId="ju-005fpara-002cleft-002cfirst-0020line-003a-0020-00200-0020cm--char">
    <w:name w:val="ju-005fpara-002cleft-002cfirst-0020line-003a-0020-00200-0020cm--char"/>
    <w:rsid w:val="00557E4F"/>
  </w:style>
  <w:style w:type="paragraph" w:customStyle="1" w:styleId="s6e50bd9a">
    <w:name w:val="s6e50bd9a"/>
    <w:basedOn w:val="Normalny"/>
    <w:uiPriority w:val="99"/>
    <w:rsid w:val="00E130A7"/>
    <w:pPr>
      <w:spacing w:before="100" w:beforeAutospacing="1" w:after="100" w:afterAutospacing="1"/>
      <w:jc w:val="left"/>
    </w:pPr>
    <w:rPr>
      <w:rFonts w:ascii="Times New Roman" w:eastAsia="Times New Roman" w:hAnsi="Times New Roman" w:cs="Times New Roman"/>
      <w:szCs w:val="24"/>
      <w:lang w:val="pl-PL" w:eastAsia="pl-PL"/>
    </w:rPr>
  </w:style>
  <w:style w:type="paragraph" w:customStyle="1" w:styleId="s746c8714">
    <w:name w:val="s746c8714"/>
    <w:basedOn w:val="Normalny"/>
    <w:uiPriority w:val="99"/>
    <w:rsid w:val="00E130A7"/>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4f807e54">
    <w:name w:val="s4f807e54"/>
    <w:basedOn w:val="Domylnaczcionkaakapitu"/>
    <w:rsid w:val="00E130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lsdException w:name="annotation text" w:uiPriority="0"/>
    <w:lsdException w:name="header" w:uiPriority="0"/>
    <w:lsdException w:name="caption" w:qFormat="1"/>
    <w:lsdException w:name="footnote reference" w:uiPriority="0"/>
    <w:lsdException w:name="annotation reference" w:uiPriority="0"/>
    <w:lsdException w:name="page number" w:qFormat="1"/>
    <w:lsdException w:name="endnote reference" w:uiPriority="0"/>
    <w:lsdException w:name="endnote text" w:uiPriority="0"/>
    <w:lsdException w:name="List Bullet" w:uiPriority="0"/>
    <w:lsdException w:name="Title" w:semiHidden="0" w:unhideWhenUsed="0" w:qFormat="1"/>
    <w:lsdException w:name="Default Paragraph Font" w:uiPriority="1"/>
    <w:lsdException w:name="Subtitle" w:semiHidden="0" w:unhideWhenUsed="0" w:qFormat="1"/>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rsid w:val="00557E4F"/>
    <w:pPr>
      <w:spacing w:after="0" w:line="240" w:lineRule="auto"/>
      <w:jc w:val="both"/>
    </w:pPr>
    <w:rPr>
      <w:rFonts w:eastAsiaTheme="minorEastAsia"/>
      <w:sz w:val="24"/>
      <w:lang w:val="en-US"/>
    </w:rPr>
  </w:style>
  <w:style w:type="paragraph" w:styleId="Nagwek1">
    <w:name w:val="heading 1"/>
    <w:basedOn w:val="Normalny"/>
    <w:next w:val="Normalny"/>
    <w:link w:val="Nagwek1Znak"/>
    <w:qFormat/>
    <w:rsid w:val="00557E4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557E4F"/>
    <w:pPr>
      <w:numPr>
        <w:ilvl w:val="1"/>
        <w:numId w:val="4"/>
      </w:numPr>
      <w:tabs>
        <w:tab w:val="clear" w:pos="1209"/>
      </w:tabs>
      <w:spacing w:before="200"/>
      <w:ind w:left="0" w:firstLine="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557E4F"/>
    <w:pPr>
      <w:numPr>
        <w:ilvl w:val="2"/>
        <w:numId w:val="4"/>
      </w:numPr>
      <w:tabs>
        <w:tab w:val="clear" w:pos="1209"/>
      </w:tabs>
      <w:spacing w:before="200" w:line="271" w:lineRule="auto"/>
      <w:ind w:left="720" w:hanging="432"/>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557E4F"/>
    <w:pPr>
      <w:numPr>
        <w:ilvl w:val="3"/>
        <w:numId w:val="4"/>
      </w:numPr>
      <w:tabs>
        <w:tab w:val="clear" w:pos="1209"/>
      </w:tabs>
      <w:spacing w:before="200"/>
      <w:ind w:left="864" w:hanging="144"/>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557E4F"/>
    <w:pPr>
      <w:numPr>
        <w:ilvl w:val="4"/>
        <w:numId w:val="4"/>
      </w:numPr>
      <w:tabs>
        <w:tab w:val="clear" w:pos="1209"/>
      </w:tabs>
      <w:spacing w:before="200"/>
      <w:ind w:left="1008" w:hanging="432"/>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qFormat/>
    <w:rsid w:val="00557E4F"/>
    <w:pPr>
      <w:numPr>
        <w:ilvl w:val="5"/>
        <w:numId w:val="4"/>
      </w:numPr>
      <w:tabs>
        <w:tab w:val="clear" w:pos="1209"/>
      </w:tabs>
      <w:spacing w:line="271" w:lineRule="auto"/>
      <w:ind w:left="1152" w:hanging="432"/>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qFormat/>
    <w:rsid w:val="00557E4F"/>
    <w:pPr>
      <w:numPr>
        <w:ilvl w:val="6"/>
        <w:numId w:val="4"/>
      </w:numPr>
      <w:tabs>
        <w:tab w:val="clear" w:pos="1209"/>
      </w:tabs>
      <w:ind w:left="1296" w:hanging="288"/>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qFormat/>
    <w:rsid w:val="00557E4F"/>
    <w:pPr>
      <w:numPr>
        <w:ilvl w:val="7"/>
        <w:numId w:val="4"/>
      </w:numPr>
      <w:tabs>
        <w:tab w:val="clear" w:pos="1209"/>
      </w:tabs>
      <w:ind w:left="1440" w:hanging="432"/>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qFormat/>
    <w:rsid w:val="00557E4F"/>
    <w:pPr>
      <w:numPr>
        <w:ilvl w:val="8"/>
        <w:numId w:val="4"/>
      </w:numPr>
      <w:tabs>
        <w:tab w:val="clear" w:pos="1209"/>
      </w:tabs>
      <w:ind w:left="1584" w:hanging="144"/>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57E4F"/>
    <w:rPr>
      <w:rFonts w:asciiTheme="majorHAnsi" w:eastAsiaTheme="majorEastAsia" w:hAnsiTheme="majorHAnsi" w:cstheme="majorBidi"/>
      <w:b/>
      <w:bCs/>
      <w:color w:val="333333"/>
      <w:sz w:val="28"/>
      <w:szCs w:val="28"/>
      <w:lang w:val="en-US"/>
    </w:rPr>
  </w:style>
  <w:style w:type="character" w:customStyle="1" w:styleId="Nagwek2Znak">
    <w:name w:val="Nagłówek 2 Znak"/>
    <w:basedOn w:val="Domylnaczcionkaakapitu"/>
    <w:link w:val="Nagwek2"/>
    <w:rsid w:val="00557E4F"/>
    <w:rPr>
      <w:rFonts w:asciiTheme="majorHAnsi" w:eastAsiaTheme="majorEastAsia" w:hAnsiTheme="majorHAnsi" w:cstheme="majorBidi"/>
      <w:b/>
      <w:bCs/>
      <w:color w:val="4D4D4D"/>
      <w:sz w:val="26"/>
      <w:szCs w:val="26"/>
      <w:lang w:val="en-US"/>
    </w:rPr>
  </w:style>
  <w:style w:type="character" w:customStyle="1" w:styleId="Nagwek3Znak">
    <w:name w:val="Nagłówek 3 Znak"/>
    <w:basedOn w:val="Domylnaczcionkaakapitu"/>
    <w:link w:val="Nagwek3"/>
    <w:rsid w:val="00557E4F"/>
    <w:rPr>
      <w:rFonts w:asciiTheme="majorHAnsi" w:eastAsiaTheme="majorEastAsia" w:hAnsiTheme="majorHAnsi" w:cstheme="majorBidi"/>
      <w:b/>
      <w:bCs/>
      <w:color w:val="5F5F5F"/>
      <w:sz w:val="24"/>
      <w:lang w:val="en-US"/>
    </w:rPr>
  </w:style>
  <w:style w:type="character" w:customStyle="1" w:styleId="Nagwek4Znak">
    <w:name w:val="Nagłówek 4 Znak"/>
    <w:basedOn w:val="Domylnaczcionkaakapitu"/>
    <w:link w:val="Nagwek4"/>
    <w:rsid w:val="00557E4F"/>
    <w:rPr>
      <w:rFonts w:asciiTheme="majorHAnsi" w:eastAsiaTheme="majorEastAsia" w:hAnsiTheme="majorHAnsi" w:cstheme="majorBidi"/>
      <w:b/>
      <w:bCs/>
      <w:i/>
      <w:iCs/>
      <w:color w:val="777777"/>
      <w:sz w:val="24"/>
      <w:lang w:val="en-US"/>
    </w:rPr>
  </w:style>
  <w:style w:type="character" w:customStyle="1" w:styleId="Nagwek5Znak">
    <w:name w:val="Nagłówek 5 Znak"/>
    <w:basedOn w:val="Domylnaczcionkaakapitu"/>
    <w:link w:val="Nagwek5"/>
    <w:rsid w:val="00557E4F"/>
    <w:rPr>
      <w:rFonts w:asciiTheme="majorHAnsi" w:eastAsiaTheme="majorEastAsia" w:hAnsiTheme="majorHAnsi" w:cstheme="majorBidi"/>
      <w:b/>
      <w:bCs/>
      <w:color w:val="808080"/>
      <w:lang w:val="fr-FR" w:eastAsia="fr-FR"/>
    </w:rPr>
  </w:style>
  <w:style w:type="character" w:customStyle="1" w:styleId="Nagwek6Znak">
    <w:name w:val="Nagłówek 6 Znak"/>
    <w:basedOn w:val="Domylnaczcionkaakapitu"/>
    <w:link w:val="Nagwek6"/>
    <w:rsid w:val="00557E4F"/>
    <w:rPr>
      <w:rFonts w:asciiTheme="majorHAnsi" w:eastAsiaTheme="majorEastAsia" w:hAnsiTheme="majorHAnsi" w:cstheme="majorBidi"/>
      <w:b/>
      <w:bCs/>
      <w:i/>
      <w:iCs/>
      <w:color w:val="7F7F7F" w:themeColor="text1" w:themeTint="80"/>
      <w:sz w:val="24"/>
      <w:lang w:val="en-US" w:bidi="en-US"/>
    </w:rPr>
  </w:style>
  <w:style w:type="character" w:customStyle="1" w:styleId="Nagwek7Znak">
    <w:name w:val="Nagłówek 7 Znak"/>
    <w:basedOn w:val="Domylnaczcionkaakapitu"/>
    <w:link w:val="Nagwek7"/>
    <w:rsid w:val="00557E4F"/>
    <w:rPr>
      <w:rFonts w:asciiTheme="majorHAnsi" w:eastAsiaTheme="majorEastAsia" w:hAnsiTheme="majorHAnsi" w:cstheme="majorBidi"/>
      <w:i/>
      <w:iCs/>
      <w:lang w:val="fr-FR" w:eastAsia="fr-FR" w:bidi="en-US"/>
    </w:rPr>
  </w:style>
  <w:style w:type="character" w:customStyle="1" w:styleId="Nagwek8Znak">
    <w:name w:val="Nagłówek 8 Znak"/>
    <w:basedOn w:val="Domylnaczcionkaakapitu"/>
    <w:link w:val="Nagwek8"/>
    <w:rsid w:val="00557E4F"/>
    <w:rPr>
      <w:rFonts w:asciiTheme="majorHAnsi" w:eastAsiaTheme="majorEastAsia" w:hAnsiTheme="majorHAnsi" w:cstheme="majorBidi"/>
      <w:sz w:val="20"/>
      <w:szCs w:val="20"/>
      <w:lang w:val="fr-FR" w:eastAsia="fr-FR" w:bidi="en-US"/>
    </w:rPr>
  </w:style>
  <w:style w:type="character" w:customStyle="1" w:styleId="Nagwek9Znak">
    <w:name w:val="Nagłówek 9 Znak"/>
    <w:basedOn w:val="Domylnaczcionkaakapitu"/>
    <w:link w:val="Nagwek9"/>
    <w:rsid w:val="00557E4F"/>
    <w:rPr>
      <w:rFonts w:asciiTheme="majorHAnsi" w:eastAsiaTheme="majorEastAsia" w:hAnsiTheme="majorHAnsi" w:cstheme="majorBidi"/>
      <w:i/>
      <w:iCs/>
      <w:spacing w:val="5"/>
      <w:sz w:val="20"/>
      <w:szCs w:val="20"/>
      <w:lang w:val="fr-FR" w:eastAsia="fr-FR" w:bidi="en-US"/>
    </w:rPr>
  </w:style>
  <w:style w:type="paragraph" w:styleId="Nagwek">
    <w:name w:val="header"/>
    <w:basedOn w:val="Normalny"/>
    <w:link w:val="NagwekZnak"/>
    <w:rsid w:val="00557E4F"/>
    <w:pPr>
      <w:tabs>
        <w:tab w:val="center" w:pos="4536"/>
        <w:tab w:val="right" w:pos="9072"/>
      </w:tabs>
    </w:pPr>
    <w:rPr>
      <w:rFonts w:eastAsiaTheme="minorHAnsi"/>
    </w:rPr>
  </w:style>
  <w:style w:type="character" w:customStyle="1" w:styleId="NagwekZnak">
    <w:name w:val="Nagłówek Znak"/>
    <w:basedOn w:val="Domylnaczcionkaakapitu"/>
    <w:link w:val="Nagwek"/>
    <w:rsid w:val="00557E4F"/>
    <w:rPr>
      <w:sz w:val="24"/>
      <w:lang w:val="en-US"/>
    </w:rPr>
  </w:style>
  <w:style w:type="character" w:customStyle="1" w:styleId="JuSignedChar">
    <w:name w:val="Ju_Signed Char"/>
    <w:link w:val="JuSigned"/>
    <w:rsid w:val="00557E4F"/>
    <w:rPr>
      <w:rFonts w:eastAsiaTheme="minorEastAsia"/>
      <w:sz w:val="24"/>
    </w:rPr>
  </w:style>
  <w:style w:type="paragraph" w:customStyle="1" w:styleId="JuSigned">
    <w:name w:val="Ju_Signed"/>
    <w:basedOn w:val="Normalny"/>
    <w:next w:val="JuParaLast"/>
    <w:link w:val="JuSignedChar"/>
    <w:qFormat/>
    <w:rsid w:val="00557E4F"/>
    <w:pPr>
      <w:tabs>
        <w:tab w:val="center" w:pos="851"/>
        <w:tab w:val="center" w:pos="6407"/>
      </w:tabs>
      <w:spacing w:before="720"/>
      <w:jc w:val="left"/>
    </w:pPr>
    <w:rPr>
      <w:lang w:val="pl-PL"/>
    </w:rPr>
  </w:style>
  <w:style w:type="paragraph" w:styleId="Tekstprzypisudolnego">
    <w:name w:val="footnote text"/>
    <w:basedOn w:val="Normalny"/>
    <w:link w:val="TekstprzypisudolnegoZnak"/>
    <w:semiHidden/>
    <w:rsid w:val="00557E4F"/>
    <w:rPr>
      <w:sz w:val="20"/>
      <w:szCs w:val="20"/>
    </w:rPr>
  </w:style>
  <w:style w:type="character" w:customStyle="1" w:styleId="TekstprzypisudolnegoZnak">
    <w:name w:val="Tekst przypisu dolnego Znak"/>
    <w:basedOn w:val="Domylnaczcionkaakapitu"/>
    <w:link w:val="Tekstprzypisudolnego"/>
    <w:semiHidden/>
    <w:rsid w:val="00557E4F"/>
    <w:rPr>
      <w:rFonts w:eastAsiaTheme="minorEastAsia"/>
      <w:sz w:val="20"/>
      <w:szCs w:val="20"/>
      <w:lang w:val="en-US"/>
    </w:rPr>
  </w:style>
  <w:style w:type="paragraph" w:styleId="Stopka">
    <w:name w:val="footer"/>
    <w:basedOn w:val="Normalny"/>
    <w:link w:val="StopkaZnak"/>
    <w:uiPriority w:val="99"/>
    <w:rsid w:val="00557E4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rsid w:val="00557E4F"/>
    <w:rPr>
      <w:sz w:val="24"/>
      <w:lang w:val="en-US"/>
    </w:rPr>
  </w:style>
  <w:style w:type="character" w:styleId="Numerstrony">
    <w:name w:val="page number"/>
    <w:uiPriority w:val="99"/>
    <w:qFormat/>
    <w:rsid w:val="00557E4F"/>
    <w:rPr>
      <w:sz w:val="18"/>
    </w:rPr>
  </w:style>
  <w:style w:type="character" w:styleId="Odwoanieprzypisudolnego">
    <w:name w:val="footnote reference"/>
    <w:basedOn w:val="Domylnaczcionkaakapitu"/>
    <w:semiHidden/>
    <w:rsid w:val="00557E4F"/>
    <w:rPr>
      <w:vertAlign w:val="superscript"/>
    </w:rPr>
  </w:style>
  <w:style w:type="character" w:styleId="Odwoaniedokomentarza">
    <w:name w:val="annotation reference"/>
    <w:semiHidden/>
    <w:rsid w:val="00557E4F"/>
    <w:rPr>
      <w:sz w:val="16"/>
    </w:rPr>
  </w:style>
  <w:style w:type="paragraph" w:styleId="Tekstkomentarza">
    <w:name w:val="annotation text"/>
    <w:basedOn w:val="Normalny"/>
    <w:link w:val="TekstkomentarzaZnak"/>
    <w:semiHidden/>
    <w:rsid w:val="00557E4F"/>
    <w:rPr>
      <w:sz w:val="20"/>
    </w:rPr>
  </w:style>
  <w:style w:type="character" w:customStyle="1" w:styleId="TekstkomentarzaZnak">
    <w:name w:val="Tekst komentarza Znak"/>
    <w:basedOn w:val="Domylnaczcionkaakapitu"/>
    <w:link w:val="Tekstkomentarza"/>
    <w:semiHidden/>
    <w:rsid w:val="00557E4F"/>
    <w:rPr>
      <w:rFonts w:eastAsiaTheme="minorEastAsia"/>
      <w:sz w:val="20"/>
      <w:lang w:val="en-US"/>
    </w:rPr>
  </w:style>
  <w:style w:type="paragraph" w:styleId="Mapadokumentu">
    <w:name w:val="Document Map"/>
    <w:basedOn w:val="Normalny"/>
    <w:link w:val="MapadokumentuZnak"/>
    <w:semiHidden/>
    <w:rsid w:val="00557E4F"/>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557E4F"/>
    <w:rPr>
      <w:rFonts w:ascii="Tahoma" w:eastAsiaTheme="minorEastAsia" w:hAnsi="Tahoma" w:cs="Tahoma"/>
      <w:sz w:val="20"/>
      <w:shd w:val="clear" w:color="auto" w:fill="000080"/>
      <w:lang w:val="en-US"/>
    </w:rPr>
  </w:style>
  <w:style w:type="paragraph" w:styleId="Tematkomentarza">
    <w:name w:val="annotation subject"/>
    <w:basedOn w:val="Tekstkomentarza"/>
    <w:next w:val="Tekstkomentarza"/>
    <w:link w:val="TematkomentarzaZnak"/>
    <w:semiHidden/>
    <w:rsid w:val="00557E4F"/>
    <w:rPr>
      <w:b/>
      <w:bCs/>
    </w:rPr>
  </w:style>
  <w:style w:type="character" w:customStyle="1" w:styleId="TematkomentarzaZnak">
    <w:name w:val="Temat komentarza Znak"/>
    <w:basedOn w:val="TekstkomentarzaZnak"/>
    <w:link w:val="Tematkomentarza"/>
    <w:semiHidden/>
    <w:rsid w:val="00557E4F"/>
    <w:rPr>
      <w:rFonts w:eastAsiaTheme="minorEastAsia"/>
      <w:b/>
      <w:bCs/>
      <w:sz w:val="20"/>
      <w:lang w:val="en-US"/>
    </w:rPr>
  </w:style>
  <w:style w:type="paragraph" w:customStyle="1" w:styleId="DecHTitle">
    <w:name w:val="Dec_H_Title"/>
    <w:basedOn w:val="ECHRTitleCentre1"/>
    <w:uiPriority w:val="99"/>
    <w:qFormat/>
    <w:rsid w:val="00557E4F"/>
  </w:style>
  <w:style w:type="paragraph" w:customStyle="1" w:styleId="ECHRTitleCentre2">
    <w:name w:val="ECHR_Title_Centre_2"/>
    <w:aliases w:val="Dec_H_Case"/>
    <w:basedOn w:val="Normalny"/>
    <w:next w:val="ECHRPara"/>
    <w:qFormat/>
    <w:rsid w:val="00557E4F"/>
    <w:pPr>
      <w:spacing w:after="240"/>
      <w:jc w:val="center"/>
      <w:outlineLvl w:val="0"/>
    </w:pPr>
    <w:rPr>
      <w:rFonts w:asciiTheme="majorHAnsi" w:hAnsiTheme="majorHAnsi"/>
      <w:lang w:val="fr-FR" w:eastAsia="fr-FR"/>
    </w:rPr>
  </w:style>
  <w:style w:type="paragraph" w:styleId="Tekstdymka">
    <w:name w:val="Balloon Text"/>
    <w:basedOn w:val="Normalny"/>
    <w:link w:val="TekstdymkaZnak"/>
    <w:semiHidden/>
    <w:rsid w:val="00557E4F"/>
    <w:rPr>
      <w:rFonts w:ascii="Tahoma" w:hAnsi="Tahoma" w:cs="Tahoma"/>
      <w:sz w:val="16"/>
      <w:szCs w:val="16"/>
    </w:rPr>
  </w:style>
  <w:style w:type="character" w:customStyle="1" w:styleId="TekstdymkaZnak">
    <w:name w:val="Tekst dymka Znak"/>
    <w:basedOn w:val="Domylnaczcionkaakapitu"/>
    <w:link w:val="Tekstdymka"/>
    <w:semiHidden/>
    <w:rsid w:val="00557E4F"/>
    <w:rPr>
      <w:rFonts w:ascii="Tahoma" w:eastAsiaTheme="minorEastAsia" w:hAnsi="Tahoma" w:cs="Tahoma"/>
      <w:sz w:val="16"/>
      <w:szCs w:val="16"/>
      <w:lang w:val="en-US"/>
    </w:rPr>
  </w:style>
  <w:style w:type="character" w:styleId="Odwoanieprzypisukocowego">
    <w:name w:val="endnote reference"/>
    <w:semiHidden/>
    <w:rsid w:val="00557E4F"/>
    <w:rPr>
      <w:vertAlign w:val="superscript"/>
    </w:rPr>
  </w:style>
  <w:style w:type="paragraph" w:styleId="Tekstprzypisukocowego">
    <w:name w:val="endnote text"/>
    <w:basedOn w:val="Normalny"/>
    <w:link w:val="TekstprzypisukocowegoZnak"/>
    <w:semiHidden/>
    <w:rsid w:val="00557E4F"/>
    <w:rPr>
      <w:sz w:val="20"/>
    </w:rPr>
  </w:style>
  <w:style w:type="character" w:customStyle="1" w:styleId="TekstprzypisukocowegoZnak">
    <w:name w:val="Tekst przypisu końcowego Znak"/>
    <w:basedOn w:val="Domylnaczcionkaakapitu"/>
    <w:link w:val="Tekstprzypisukocowego"/>
    <w:semiHidden/>
    <w:rsid w:val="00557E4F"/>
    <w:rPr>
      <w:rFonts w:eastAsiaTheme="minorEastAsia"/>
      <w:sz w:val="20"/>
      <w:lang w:val="en-US"/>
    </w:rPr>
  </w:style>
  <w:style w:type="character" w:styleId="UyteHipercze">
    <w:name w:val="FollowedHyperlink"/>
    <w:rsid w:val="00557E4F"/>
    <w:rPr>
      <w:color w:val="800080"/>
      <w:u w:val="single"/>
    </w:rPr>
  </w:style>
  <w:style w:type="character" w:styleId="Hipercze">
    <w:name w:val="Hyperlink"/>
    <w:basedOn w:val="Domylnaczcionkaakapitu"/>
    <w:uiPriority w:val="99"/>
    <w:rsid w:val="00557E4F"/>
    <w:rPr>
      <w:color w:val="0000FF" w:themeColor="hyperlink"/>
      <w:u w:val="single"/>
    </w:rPr>
  </w:style>
  <w:style w:type="paragraph" w:styleId="Listapunktowana">
    <w:name w:val="List Bullet"/>
    <w:basedOn w:val="Normalny"/>
    <w:rsid w:val="00557E4F"/>
    <w:pPr>
      <w:numPr>
        <w:numId w:val="1"/>
      </w:numPr>
    </w:pPr>
  </w:style>
  <w:style w:type="character" w:customStyle="1" w:styleId="JuITMark">
    <w:name w:val="Ju_ITMark"/>
    <w:basedOn w:val="Domylnaczcionkaakapitu"/>
    <w:qFormat/>
    <w:rsid w:val="00557E4F"/>
    <w:rPr>
      <w:vanish/>
      <w:color w:val="339966"/>
      <w:sz w:val="14"/>
    </w:rPr>
  </w:style>
  <w:style w:type="paragraph" w:customStyle="1" w:styleId="JuTitle">
    <w:name w:val="Ju_Title"/>
    <w:basedOn w:val="Normalny"/>
    <w:next w:val="ECHRPara"/>
    <w:link w:val="JuTitleChar"/>
    <w:qFormat/>
    <w:rsid w:val="00557E4F"/>
    <w:pPr>
      <w:spacing w:before="720" w:after="240"/>
      <w:jc w:val="center"/>
      <w:outlineLvl w:val="0"/>
    </w:pPr>
    <w:rPr>
      <w:rFonts w:asciiTheme="majorHAnsi" w:hAnsiTheme="majorHAnsi"/>
      <w:b/>
      <w:caps/>
      <w:lang w:val="fr-FR" w:eastAsia="fr-FR"/>
    </w:rPr>
  </w:style>
  <w:style w:type="paragraph" w:customStyle="1" w:styleId="ECHRFooter">
    <w:name w:val="ECHR_Footer"/>
    <w:aliases w:val="Footer_ECHR"/>
    <w:basedOn w:val="Stopka"/>
    <w:uiPriority w:val="57"/>
    <w:semiHidden/>
    <w:rsid w:val="00557E4F"/>
  </w:style>
  <w:style w:type="paragraph" w:customStyle="1" w:styleId="ECHRPara">
    <w:name w:val="ECHR_Para"/>
    <w:aliases w:val="Ju_Para,Left,First line:  0 cm"/>
    <w:basedOn w:val="Normalny"/>
    <w:link w:val="JuParaCar"/>
    <w:uiPriority w:val="99"/>
    <w:qFormat/>
    <w:rsid w:val="00557E4F"/>
    <w:pPr>
      <w:ind w:firstLine="284"/>
    </w:pPr>
    <w:rPr>
      <w:lang w:val="fr-FR" w:eastAsia="fr-FR"/>
    </w:rPr>
  </w:style>
  <w:style w:type="paragraph" w:customStyle="1" w:styleId="ECHRFooterLine">
    <w:name w:val="ECHR_Footer_Line"/>
    <w:aliases w:val="Footer_Line"/>
    <w:basedOn w:val="Normalny"/>
    <w:next w:val="ECHRFooter"/>
    <w:uiPriority w:val="57"/>
    <w:semiHidden/>
    <w:rsid w:val="00557E4F"/>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Nagwek"/>
    <w:uiPriority w:val="4"/>
    <w:qFormat/>
    <w:rsid w:val="00557E4F"/>
  </w:style>
  <w:style w:type="paragraph" w:customStyle="1" w:styleId="JuAppQuestion">
    <w:name w:val="Ju_App_Question"/>
    <w:basedOn w:val="Normalny"/>
    <w:qFormat/>
    <w:rsid w:val="00557E4F"/>
    <w:pPr>
      <w:numPr>
        <w:numId w:val="11"/>
      </w:numPr>
      <w:jc w:val="left"/>
    </w:pPr>
    <w:rPr>
      <w:b/>
      <w:lang w:val="fr-FR" w:eastAsia="fr-FR"/>
    </w:rPr>
  </w:style>
  <w:style w:type="paragraph" w:customStyle="1" w:styleId="OpiPara">
    <w:name w:val="Opi_Para"/>
    <w:basedOn w:val="ECHRPara"/>
    <w:qFormat/>
    <w:rsid w:val="00557E4F"/>
  </w:style>
  <w:style w:type="paragraph" w:customStyle="1" w:styleId="ECHRParaQuote">
    <w:name w:val="ECHR_Para_Quote"/>
    <w:aliases w:val="Ju_Quot"/>
    <w:basedOn w:val="Normalny"/>
    <w:qFormat/>
    <w:rsid w:val="00557E4F"/>
    <w:pPr>
      <w:spacing w:before="120" w:after="120"/>
      <w:ind w:left="425" w:firstLine="142"/>
    </w:pPr>
    <w:rPr>
      <w:sz w:val="20"/>
      <w:lang w:val="fr-FR" w:eastAsia="fr-FR"/>
    </w:rPr>
  </w:style>
  <w:style w:type="paragraph" w:customStyle="1" w:styleId="JuParaSub">
    <w:name w:val="Ju_Para_Sub"/>
    <w:basedOn w:val="ECHRPara"/>
    <w:qFormat/>
    <w:rsid w:val="00557E4F"/>
    <w:pPr>
      <w:ind w:left="284"/>
    </w:pPr>
  </w:style>
  <w:style w:type="paragraph" w:customStyle="1" w:styleId="OpiParaSub">
    <w:name w:val="Opi_Para_Sub"/>
    <w:basedOn w:val="JuParaSub"/>
    <w:qFormat/>
    <w:rsid w:val="00557E4F"/>
  </w:style>
  <w:style w:type="paragraph" w:customStyle="1" w:styleId="OpiQuot">
    <w:name w:val="Opi_Quot"/>
    <w:basedOn w:val="ECHRParaQuote"/>
    <w:qFormat/>
    <w:rsid w:val="00557E4F"/>
  </w:style>
  <w:style w:type="paragraph" w:customStyle="1" w:styleId="OpiQuotSub">
    <w:name w:val="Opi_Quot_Sub"/>
    <w:basedOn w:val="JuQuotSub"/>
    <w:qFormat/>
    <w:rsid w:val="00557E4F"/>
  </w:style>
  <w:style w:type="table" w:styleId="Tabela-Siatka">
    <w:name w:val="Table Grid"/>
    <w:basedOn w:val="Standardowy"/>
    <w:rsid w:val="00557E4F"/>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57E4F"/>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57E4F"/>
    <w:pPr>
      <w:spacing w:after="60"/>
      <w:ind w:left="680" w:right="340" w:hanging="340"/>
    </w:pPr>
  </w:style>
  <w:style w:type="paragraph" w:styleId="Spistreci3">
    <w:name w:val="toc 3"/>
    <w:basedOn w:val="Normalny"/>
    <w:next w:val="Normalny"/>
    <w:autoRedefine/>
    <w:uiPriority w:val="99"/>
    <w:semiHidden/>
    <w:rsid w:val="00557E4F"/>
    <w:pPr>
      <w:spacing w:after="60"/>
      <w:ind w:left="1020" w:right="340" w:hanging="340"/>
    </w:pPr>
  </w:style>
  <w:style w:type="paragraph" w:styleId="Spistreci4">
    <w:name w:val="toc 4"/>
    <w:basedOn w:val="Normalny"/>
    <w:next w:val="Normalny"/>
    <w:autoRedefine/>
    <w:uiPriority w:val="99"/>
    <w:semiHidden/>
    <w:rsid w:val="00557E4F"/>
    <w:pPr>
      <w:tabs>
        <w:tab w:val="right" w:leader="dot" w:pos="9017"/>
      </w:tabs>
      <w:spacing w:after="60"/>
      <w:ind w:left="1361" w:right="340" w:hanging="340"/>
    </w:pPr>
  </w:style>
  <w:style w:type="paragraph" w:styleId="Spistreci5">
    <w:name w:val="toc 5"/>
    <w:basedOn w:val="Normalny"/>
    <w:next w:val="Normalny"/>
    <w:autoRedefine/>
    <w:uiPriority w:val="99"/>
    <w:semiHidden/>
    <w:rsid w:val="00557E4F"/>
    <w:pPr>
      <w:spacing w:after="60"/>
      <w:ind w:left="1701" w:right="340" w:hanging="340"/>
    </w:pPr>
  </w:style>
  <w:style w:type="paragraph" w:customStyle="1" w:styleId="ECHRTitleCentre3">
    <w:name w:val="ECHR_Title_Centre_3"/>
    <w:aliases w:val="Ju_H_Article"/>
    <w:basedOn w:val="Normalny"/>
    <w:next w:val="ECHRParaQuote"/>
    <w:qFormat/>
    <w:rsid w:val="00557E4F"/>
    <w:pPr>
      <w:keepNext/>
      <w:keepLines/>
      <w:spacing w:before="240" w:after="120"/>
      <w:jc w:val="center"/>
      <w:outlineLvl w:val="3"/>
    </w:pPr>
    <w:rPr>
      <w:rFonts w:asciiTheme="majorHAnsi" w:hAnsiTheme="majorHAnsi"/>
      <w:b/>
      <w:sz w:val="20"/>
      <w:lang w:val="fr-FR" w:eastAsia="fr-FR" w:bidi="en-US"/>
    </w:rPr>
  </w:style>
  <w:style w:type="paragraph" w:customStyle="1" w:styleId="ECHRTitleCentre1">
    <w:name w:val="ECHR_Title_Centre_1"/>
    <w:aliases w:val="Opi_H_Head"/>
    <w:basedOn w:val="Normalny"/>
    <w:next w:val="OpiPara"/>
    <w:qFormat/>
    <w:rsid w:val="00557E4F"/>
    <w:pPr>
      <w:keepNext/>
      <w:keepLines/>
      <w:spacing w:after="240"/>
      <w:jc w:val="center"/>
      <w:outlineLvl w:val="0"/>
    </w:pPr>
    <w:rPr>
      <w:rFonts w:asciiTheme="majorHAnsi" w:hAnsiTheme="majorHAnsi"/>
      <w:sz w:val="28"/>
      <w:lang w:val="fr-FR" w:eastAsia="fr-FR"/>
    </w:rPr>
  </w:style>
  <w:style w:type="paragraph" w:customStyle="1" w:styleId="JuCase">
    <w:name w:val="Ju_Case"/>
    <w:basedOn w:val="Normalny"/>
    <w:next w:val="ECHRPara"/>
    <w:rsid w:val="00557E4F"/>
    <w:pPr>
      <w:ind w:firstLine="284"/>
    </w:pPr>
    <w:rPr>
      <w:b/>
    </w:rPr>
  </w:style>
  <w:style w:type="paragraph" w:customStyle="1" w:styleId="JuQuotSub">
    <w:name w:val="Ju_Quot_Sub"/>
    <w:basedOn w:val="ECHRParaQuote"/>
    <w:qFormat/>
    <w:rsid w:val="00557E4F"/>
    <w:pPr>
      <w:ind w:left="567"/>
    </w:pPr>
  </w:style>
  <w:style w:type="paragraph" w:customStyle="1" w:styleId="ECHRTitle1">
    <w:name w:val="ECHR_Title_1"/>
    <w:aliases w:val="Ju_H_Head"/>
    <w:basedOn w:val="Normalny"/>
    <w:next w:val="ECHRPara"/>
    <w:link w:val="JuHHeadChar"/>
    <w:uiPriority w:val="18"/>
    <w:qFormat/>
    <w:rsid w:val="00557E4F"/>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ny"/>
    <w:qFormat/>
    <w:rsid w:val="00557E4F"/>
    <w:pPr>
      <w:tabs>
        <w:tab w:val="center" w:pos="6407"/>
      </w:tabs>
      <w:spacing w:before="720"/>
      <w:jc w:val="right"/>
    </w:pPr>
    <w:rPr>
      <w:lang w:val="fr-FR" w:eastAsia="fr-FR"/>
    </w:rPr>
  </w:style>
  <w:style w:type="paragraph" w:customStyle="1" w:styleId="OpiHA">
    <w:name w:val="Opi_H_A"/>
    <w:basedOn w:val="ECHRHeading1"/>
    <w:next w:val="OpiPara"/>
    <w:qFormat/>
    <w:rsid w:val="00557E4F"/>
  </w:style>
  <w:style w:type="character" w:customStyle="1" w:styleId="JUNAMES">
    <w:name w:val="JU_NAMES"/>
    <w:uiPriority w:val="17"/>
    <w:qFormat/>
    <w:rsid w:val="00557E4F"/>
    <w:rPr>
      <w:caps w:val="0"/>
      <w:smallCaps/>
    </w:rPr>
  </w:style>
  <w:style w:type="paragraph" w:styleId="Tytu">
    <w:name w:val="Title"/>
    <w:basedOn w:val="Normalny"/>
    <w:next w:val="Normalny"/>
    <w:link w:val="TytuZnak"/>
    <w:uiPriority w:val="99"/>
    <w:qFormat/>
    <w:rsid w:val="00557E4F"/>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rsid w:val="00557E4F"/>
    <w:rPr>
      <w:rFonts w:asciiTheme="majorHAnsi" w:eastAsiaTheme="majorEastAsia" w:hAnsiTheme="majorHAnsi" w:cstheme="majorBidi"/>
      <w:spacing w:val="5"/>
      <w:sz w:val="52"/>
      <w:szCs w:val="52"/>
      <w:lang w:val="fr-FR" w:eastAsia="fr-FR" w:bidi="en-US"/>
    </w:rPr>
  </w:style>
  <w:style w:type="paragraph" w:styleId="Podtytu">
    <w:name w:val="Subtitle"/>
    <w:basedOn w:val="Normalny"/>
    <w:next w:val="Normalny"/>
    <w:link w:val="PodtytuZnak"/>
    <w:uiPriority w:val="99"/>
    <w:qFormat/>
    <w:rsid w:val="00557E4F"/>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rsid w:val="00557E4F"/>
    <w:rPr>
      <w:rFonts w:asciiTheme="majorHAnsi" w:eastAsiaTheme="majorEastAsia" w:hAnsiTheme="majorHAnsi" w:cstheme="majorBidi"/>
      <w:i/>
      <w:iCs/>
      <w:spacing w:val="13"/>
      <w:sz w:val="24"/>
      <w:szCs w:val="24"/>
      <w:lang w:val="fr-FR" w:eastAsia="fr-FR" w:bidi="en-US"/>
    </w:rPr>
  </w:style>
  <w:style w:type="character" w:styleId="Pogrubienie">
    <w:name w:val="Strong"/>
    <w:uiPriority w:val="99"/>
    <w:qFormat/>
    <w:rsid w:val="00557E4F"/>
    <w:rPr>
      <w:b/>
      <w:bCs/>
    </w:rPr>
  </w:style>
  <w:style w:type="character" w:styleId="Uwydatnienie">
    <w:name w:val="Emphasis"/>
    <w:uiPriority w:val="99"/>
    <w:qFormat/>
    <w:rsid w:val="00557E4F"/>
    <w:rPr>
      <w:b/>
      <w:bCs/>
      <w:i/>
      <w:iCs/>
      <w:spacing w:val="10"/>
      <w:bdr w:val="none" w:sz="0" w:space="0" w:color="auto"/>
      <w:shd w:val="clear" w:color="auto" w:fill="auto"/>
    </w:rPr>
  </w:style>
  <w:style w:type="paragraph" w:styleId="Bezodstpw">
    <w:name w:val="No Spacing"/>
    <w:basedOn w:val="Normalny"/>
    <w:link w:val="BezodstpwZnak"/>
    <w:uiPriority w:val="99"/>
    <w:qFormat/>
    <w:rsid w:val="00557E4F"/>
    <w:rPr>
      <w:sz w:val="22"/>
      <w:lang w:val="fr-FR" w:eastAsia="fr-FR"/>
    </w:rPr>
  </w:style>
  <w:style w:type="character" w:customStyle="1" w:styleId="BezodstpwZnak">
    <w:name w:val="Bez odstępów Znak"/>
    <w:basedOn w:val="Domylnaczcionkaakapitu"/>
    <w:link w:val="Bezodstpw"/>
    <w:uiPriority w:val="99"/>
    <w:rsid w:val="00557E4F"/>
    <w:rPr>
      <w:rFonts w:eastAsiaTheme="minorEastAsia"/>
      <w:lang w:val="fr-FR" w:eastAsia="fr-FR"/>
    </w:rPr>
  </w:style>
  <w:style w:type="paragraph" w:styleId="Akapitzlist">
    <w:name w:val="List Paragraph"/>
    <w:basedOn w:val="Normalny"/>
    <w:uiPriority w:val="99"/>
    <w:qFormat/>
    <w:rsid w:val="00557E4F"/>
    <w:pPr>
      <w:ind w:left="720"/>
      <w:contextualSpacing/>
    </w:pPr>
    <w:rPr>
      <w:lang w:val="fr-FR" w:eastAsia="fr-FR"/>
    </w:rPr>
  </w:style>
  <w:style w:type="paragraph" w:styleId="Cytat">
    <w:name w:val="Quote"/>
    <w:basedOn w:val="Normalny"/>
    <w:next w:val="Normalny"/>
    <w:link w:val="CytatZnak"/>
    <w:uiPriority w:val="99"/>
    <w:qFormat/>
    <w:rsid w:val="00557E4F"/>
    <w:pPr>
      <w:spacing w:before="200"/>
      <w:ind w:left="360" w:right="360"/>
    </w:pPr>
    <w:rPr>
      <w:i/>
      <w:iCs/>
      <w:sz w:val="22"/>
      <w:lang w:val="fr-FR" w:eastAsia="fr-FR" w:bidi="en-US"/>
    </w:rPr>
  </w:style>
  <w:style w:type="character" w:customStyle="1" w:styleId="CytatZnak">
    <w:name w:val="Cytat Znak"/>
    <w:basedOn w:val="Domylnaczcionkaakapitu"/>
    <w:link w:val="Cytat"/>
    <w:uiPriority w:val="99"/>
    <w:rsid w:val="00557E4F"/>
    <w:rPr>
      <w:rFonts w:eastAsiaTheme="minorEastAsia"/>
      <w:i/>
      <w:iCs/>
      <w:lang w:val="fr-FR" w:eastAsia="fr-FR" w:bidi="en-US"/>
    </w:rPr>
  </w:style>
  <w:style w:type="paragraph" w:styleId="Cytatintensywny">
    <w:name w:val="Intense Quote"/>
    <w:basedOn w:val="Normalny"/>
    <w:next w:val="Normalny"/>
    <w:link w:val="CytatintensywnyZnak"/>
    <w:uiPriority w:val="99"/>
    <w:qFormat/>
    <w:rsid w:val="00557E4F"/>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rsid w:val="00557E4F"/>
    <w:rPr>
      <w:rFonts w:eastAsiaTheme="minorEastAsia"/>
      <w:b/>
      <w:bCs/>
      <w:i/>
      <w:iCs/>
      <w:lang w:val="fr-FR" w:eastAsia="fr-FR" w:bidi="en-US"/>
    </w:rPr>
  </w:style>
  <w:style w:type="character" w:styleId="Wyrnieniedelikatne">
    <w:name w:val="Subtle Emphasis"/>
    <w:uiPriority w:val="99"/>
    <w:qFormat/>
    <w:rsid w:val="00557E4F"/>
    <w:rPr>
      <w:i/>
      <w:iCs/>
    </w:rPr>
  </w:style>
  <w:style w:type="character" w:styleId="Wyrnienieintensywne">
    <w:name w:val="Intense Emphasis"/>
    <w:uiPriority w:val="99"/>
    <w:qFormat/>
    <w:rsid w:val="00557E4F"/>
    <w:rPr>
      <w:b/>
      <w:bCs/>
    </w:rPr>
  </w:style>
  <w:style w:type="character" w:styleId="Odwoaniedelikatne">
    <w:name w:val="Subtle Reference"/>
    <w:uiPriority w:val="99"/>
    <w:qFormat/>
    <w:rsid w:val="00557E4F"/>
    <w:rPr>
      <w:smallCaps/>
    </w:rPr>
  </w:style>
  <w:style w:type="character" w:styleId="Odwoanieintensywne">
    <w:name w:val="Intense Reference"/>
    <w:uiPriority w:val="99"/>
    <w:qFormat/>
    <w:rsid w:val="00557E4F"/>
    <w:rPr>
      <w:smallCaps/>
      <w:spacing w:val="5"/>
      <w:u w:val="single"/>
    </w:rPr>
  </w:style>
  <w:style w:type="character" w:styleId="Tytuksiki">
    <w:name w:val="Book Title"/>
    <w:uiPriority w:val="99"/>
    <w:qFormat/>
    <w:rsid w:val="00557E4F"/>
    <w:rPr>
      <w:i/>
      <w:iCs/>
      <w:smallCaps/>
      <w:spacing w:val="5"/>
    </w:rPr>
  </w:style>
  <w:style w:type="paragraph" w:styleId="Nagwekspisutreci">
    <w:name w:val="TOC Heading"/>
    <w:basedOn w:val="Nagwek1"/>
    <w:next w:val="Normalny"/>
    <w:uiPriority w:val="99"/>
    <w:semiHidden/>
    <w:qFormat/>
    <w:rsid w:val="00557E4F"/>
    <w:pPr>
      <w:keepNext/>
      <w:keepLines/>
      <w:contextualSpacing w:val="0"/>
      <w:outlineLvl w:val="9"/>
    </w:pPr>
    <w:rPr>
      <w:color w:val="365F91" w:themeColor="accent1" w:themeShade="BF"/>
    </w:rPr>
  </w:style>
  <w:style w:type="paragraph" w:customStyle="1" w:styleId="OpiTranslation">
    <w:name w:val="Opi_Translation"/>
    <w:basedOn w:val="Normalny"/>
    <w:next w:val="OpiPara"/>
    <w:qFormat/>
    <w:rsid w:val="00557E4F"/>
    <w:pPr>
      <w:jc w:val="center"/>
      <w:outlineLvl w:val="0"/>
    </w:pPr>
    <w:rPr>
      <w:i/>
      <w:lang w:val="fr-FR" w:eastAsia="fr-FR"/>
    </w:rPr>
  </w:style>
  <w:style w:type="paragraph" w:styleId="Nagwekwykazurde">
    <w:name w:val="toa heading"/>
    <w:basedOn w:val="Normalny"/>
    <w:next w:val="Normalny"/>
    <w:uiPriority w:val="99"/>
    <w:semiHidden/>
    <w:rsid w:val="00557E4F"/>
    <w:pPr>
      <w:spacing w:before="120"/>
    </w:pPr>
    <w:rPr>
      <w:rFonts w:asciiTheme="majorHAnsi" w:eastAsiaTheme="majorEastAsia" w:hAnsiTheme="majorHAnsi" w:cstheme="majorBidi"/>
      <w:b/>
      <w:bCs/>
      <w:color w:val="76923C" w:themeColor="accent3" w:themeShade="BF"/>
      <w:szCs w:val="24"/>
    </w:rPr>
  </w:style>
  <w:style w:type="paragraph" w:customStyle="1" w:styleId="JuCourt">
    <w:name w:val="Ju_Court"/>
    <w:basedOn w:val="Normalny"/>
    <w:next w:val="Normalny"/>
    <w:qFormat/>
    <w:rsid w:val="00557E4F"/>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Nagwek1"/>
    <w:next w:val="ECHRPara"/>
    <w:qFormat/>
    <w:rsid w:val="00557E4F"/>
  </w:style>
  <w:style w:type="paragraph" w:customStyle="1" w:styleId="ECHRHeading2">
    <w:name w:val="ECHR_Heading_2"/>
    <w:aliases w:val="Ju_H_A"/>
    <w:basedOn w:val="Nagwek2"/>
    <w:next w:val="ECHRPara"/>
    <w:qFormat/>
    <w:rsid w:val="00557E4F"/>
  </w:style>
  <w:style w:type="paragraph" w:customStyle="1" w:styleId="ECHRHeading3">
    <w:name w:val="ECHR_Heading_3"/>
    <w:aliases w:val="Ju_H_1."/>
    <w:basedOn w:val="Nagwek3"/>
    <w:next w:val="ECHRPara"/>
    <w:qFormat/>
    <w:rsid w:val="00557E4F"/>
  </w:style>
  <w:style w:type="paragraph" w:customStyle="1" w:styleId="ECHRHeading4">
    <w:name w:val="ECHR_Heading_4"/>
    <w:aliases w:val="Ju_H_a"/>
    <w:basedOn w:val="Nagwek4"/>
    <w:next w:val="ECHRPara"/>
    <w:qFormat/>
    <w:rsid w:val="00557E4F"/>
  </w:style>
  <w:style w:type="paragraph" w:customStyle="1" w:styleId="ECHRHeading5">
    <w:name w:val="ECHR_Heading_5"/>
    <w:aliases w:val="Ju_H_i"/>
    <w:basedOn w:val="Nagwek5"/>
    <w:next w:val="ECHRPara"/>
    <w:qFormat/>
    <w:rsid w:val="00557E4F"/>
  </w:style>
  <w:style w:type="paragraph" w:customStyle="1" w:styleId="ECHRHeading6">
    <w:name w:val="ECHR_Heading_6"/>
    <w:aliases w:val="Ju_H_alpha"/>
    <w:basedOn w:val="Nagwek6"/>
    <w:next w:val="ECHRPara"/>
    <w:qFormat/>
    <w:rsid w:val="00557E4F"/>
  </w:style>
  <w:style w:type="paragraph" w:customStyle="1" w:styleId="ECHRHeading7">
    <w:name w:val="ECHR_Heading_7"/>
    <w:aliases w:val="Ju_H_–"/>
    <w:basedOn w:val="Nagwek7"/>
    <w:next w:val="ECHRPara"/>
    <w:qFormat/>
    <w:rsid w:val="00557E4F"/>
    <w:pPr>
      <w:numPr>
        <w:ilvl w:val="0"/>
        <w:numId w:val="0"/>
      </w:numPr>
      <w:ind w:left="1296" w:hanging="288"/>
    </w:pPr>
  </w:style>
  <w:style w:type="paragraph" w:customStyle="1" w:styleId="JuParaLast">
    <w:name w:val="Ju_Para_Last"/>
    <w:basedOn w:val="Normalny"/>
    <w:next w:val="ECHRPara"/>
    <w:qFormat/>
    <w:rsid w:val="00557E4F"/>
    <w:pPr>
      <w:keepNext/>
      <w:keepLines/>
      <w:spacing w:before="240"/>
      <w:ind w:firstLine="284"/>
    </w:pPr>
    <w:rPr>
      <w:lang w:val="fr-FR" w:eastAsia="fr-FR"/>
    </w:rPr>
  </w:style>
  <w:style w:type="paragraph" w:customStyle="1" w:styleId="DecList">
    <w:name w:val="Dec_List"/>
    <w:basedOn w:val="Normalny"/>
    <w:qFormat/>
    <w:rsid w:val="00557E4F"/>
    <w:pPr>
      <w:spacing w:before="240"/>
      <w:ind w:left="284"/>
    </w:pPr>
    <w:rPr>
      <w:lang w:val="fr-FR" w:eastAsia="fr-FR"/>
    </w:rPr>
  </w:style>
  <w:style w:type="paragraph" w:customStyle="1" w:styleId="ECHRDecisionBody">
    <w:name w:val="ECHR_Decision_Body"/>
    <w:aliases w:val="Ju_Judges"/>
    <w:basedOn w:val="Normalny"/>
    <w:link w:val="JuJudgesChar"/>
    <w:qFormat/>
    <w:rsid w:val="00557E4F"/>
    <w:pPr>
      <w:tabs>
        <w:tab w:val="left" w:pos="567"/>
        <w:tab w:val="left" w:pos="1134"/>
      </w:tabs>
      <w:jc w:val="left"/>
    </w:pPr>
    <w:rPr>
      <w:lang w:val="fr-FR" w:eastAsia="fr-FR"/>
    </w:rPr>
  </w:style>
  <w:style w:type="paragraph" w:customStyle="1" w:styleId="JuList">
    <w:name w:val="Ju_List"/>
    <w:basedOn w:val="Normalny"/>
    <w:qFormat/>
    <w:rsid w:val="00557E4F"/>
    <w:pPr>
      <w:ind w:left="340" w:hanging="340"/>
    </w:pPr>
    <w:rPr>
      <w:lang w:val="fr-FR" w:eastAsia="fr-FR"/>
    </w:rPr>
  </w:style>
  <w:style w:type="paragraph" w:customStyle="1" w:styleId="JuLista">
    <w:name w:val="Ju_List_a"/>
    <w:basedOn w:val="JuList"/>
    <w:qFormat/>
    <w:rsid w:val="00557E4F"/>
  </w:style>
  <w:style w:type="paragraph" w:customStyle="1" w:styleId="JuListi">
    <w:name w:val="Ju_List_i"/>
    <w:basedOn w:val="Normalny"/>
    <w:next w:val="JuLista"/>
    <w:qFormat/>
    <w:rsid w:val="00557E4F"/>
    <w:pPr>
      <w:ind w:left="794"/>
    </w:pPr>
    <w:rPr>
      <w:lang w:val="fr-FR" w:eastAsia="fr-FR"/>
    </w:rPr>
  </w:style>
  <w:style w:type="paragraph" w:customStyle="1" w:styleId="OpiH1">
    <w:name w:val="Opi_H_1"/>
    <w:basedOn w:val="ECHRHeading2"/>
    <w:uiPriority w:val="42"/>
    <w:semiHidden/>
    <w:qFormat/>
    <w:rsid w:val="00557E4F"/>
    <w:pPr>
      <w:keepNext/>
      <w:keepLines/>
      <w:numPr>
        <w:ilvl w:val="0"/>
        <w:numId w:val="0"/>
      </w:numPr>
      <w:tabs>
        <w:tab w:val="left" w:pos="584"/>
      </w:tabs>
      <w:spacing w:before="360" w:after="240"/>
      <w:ind w:left="635" w:hanging="357"/>
      <w:outlineLvl w:val="2"/>
    </w:pPr>
    <w:rPr>
      <w:color w:val="auto"/>
      <w:sz w:val="24"/>
      <w:lang w:val="fr-FR" w:eastAsia="fr-FR"/>
    </w:rPr>
  </w:style>
  <w:style w:type="paragraph" w:customStyle="1" w:styleId="OpiHa0">
    <w:name w:val="Opi_H_a"/>
    <w:basedOn w:val="ECHRHeading3"/>
    <w:qFormat/>
    <w:rsid w:val="00557E4F"/>
    <w:pPr>
      <w:keepNext/>
      <w:keepLines/>
      <w:numPr>
        <w:ilvl w:val="0"/>
        <w:numId w:val="0"/>
      </w:numPr>
      <w:tabs>
        <w:tab w:val="left" w:pos="731"/>
      </w:tabs>
      <w:spacing w:before="240" w:after="120" w:line="240" w:lineRule="auto"/>
      <w:ind w:left="833" w:hanging="357"/>
      <w:outlineLvl w:val="3"/>
    </w:pPr>
    <w:rPr>
      <w:color w:val="auto"/>
      <w:sz w:val="20"/>
      <w:lang w:val="fr-FR" w:eastAsia="fr-FR"/>
    </w:rPr>
  </w:style>
  <w:style w:type="paragraph" w:customStyle="1" w:styleId="OpiHi">
    <w:name w:val="Opi_H_i"/>
    <w:basedOn w:val="ECHRHeading4"/>
    <w:qFormat/>
    <w:rsid w:val="00557E4F"/>
    <w:pPr>
      <w:keepNext/>
      <w:keepLines/>
      <w:numPr>
        <w:ilvl w:val="0"/>
        <w:numId w:val="0"/>
      </w:numPr>
      <w:tabs>
        <w:tab w:val="left" w:pos="975"/>
      </w:tabs>
      <w:spacing w:before="240" w:after="120"/>
      <w:ind w:left="1037" w:hanging="357"/>
      <w:outlineLvl w:val="4"/>
    </w:pPr>
    <w:rPr>
      <w:b w:val="0"/>
      <w:color w:val="auto"/>
      <w:sz w:val="20"/>
      <w:lang w:val="fr-FR" w:eastAsia="fr-FR"/>
    </w:rPr>
  </w:style>
  <w:style w:type="numbering" w:styleId="111111">
    <w:name w:val="Outline List 2"/>
    <w:basedOn w:val="Bezlisty"/>
    <w:uiPriority w:val="99"/>
    <w:semiHidden/>
    <w:rsid w:val="00557E4F"/>
    <w:pPr>
      <w:numPr>
        <w:numId w:val="12"/>
      </w:numPr>
    </w:pPr>
  </w:style>
  <w:style w:type="numbering" w:styleId="1ai">
    <w:name w:val="Outline List 1"/>
    <w:basedOn w:val="Bezlisty"/>
    <w:uiPriority w:val="99"/>
    <w:semiHidden/>
    <w:rsid w:val="00557E4F"/>
    <w:pPr>
      <w:numPr>
        <w:numId w:val="13"/>
      </w:numPr>
    </w:pPr>
  </w:style>
  <w:style w:type="numbering" w:styleId="Artykusekcja">
    <w:name w:val="Outline List 3"/>
    <w:basedOn w:val="Bezlisty"/>
    <w:uiPriority w:val="99"/>
    <w:semiHidden/>
    <w:rsid w:val="00557E4F"/>
    <w:pPr>
      <w:numPr>
        <w:numId w:val="14"/>
      </w:numPr>
    </w:pPr>
  </w:style>
  <w:style w:type="paragraph" w:styleId="Bibliografia">
    <w:name w:val="Bibliography"/>
    <w:basedOn w:val="Normalny"/>
    <w:next w:val="Normalny"/>
    <w:uiPriority w:val="99"/>
    <w:semiHidden/>
    <w:unhideWhenUsed/>
    <w:rsid w:val="00557E4F"/>
  </w:style>
  <w:style w:type="paragraph" w:styleId="Tekstblokowy">
    <w:name w:val="Block Text"/>
    <w:basedOn w:val="Normalny"/>
    <w:uiPriority w:val="99"/>
    <w:semiHidden/>
    <w:rsid w:val="00557E4F"/>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i/>
      <w:iCs/>
      <w:color w:val="4F81BD" w:themeColor="accent1"/>
    </w:rPr>
  </w:style>
  <w:style w:type="paragraph" w:styleId="Tekstpodstawowy">
    <w:name w:val="Body Text"/>
    <w:basedOn w:val="Normalny"/>
    <w:link w:val="TekstpodstawowyZnak"/>
    <w:uiPriority w:val="99"/>
    <w:semiHidden/>
    <w:rsid w:val="00557E4F"/>
    <w:pPr>
      <w:spacing w:after="120"/>
    </w:pPr>
  </w:style>
  <w:style w:type="character" w:customStyle="1" w:styleId="TekstpodstawowyZnak">
    <w:name w:val="Tekst podstawowy Znak"/>
    <w:basedOn w:val="Domylnaczcionkaakapitu"/>
    <w:link w:val="Tekstpodstawowy"/>
    <w:uiPriority w:val="99"/>
    <w:semiHidden/>
    <w:rsid w:val="00557E4F"/>
    <w:rPr>
      <w:rFonts w:eastAsiaTheme="minorEastAsia"/>
      <w:sz w:val="24"/>
      <w:lang w:val="en-US"/>
    </w:rPr>
  </w:style>
  <w:style w:type="paragraph" w:styleId="Tekstpodstawowy2">
    <w:name w:val="Body Text 2"/>
    <w:basedOn w:val="Normalny"/>
    <w:link w:val="Tekstpodstawowy2Znak"/>
    <w:uiPriority w:val="99"/>
    <w:semiHidden/>
    <w:rsid w:val="00557E4F"/>
    <w:pPr>
      <w:spacing w:after="120" w:line="480" w:lineRule="auto"/>
    </w:pPr>
  </w:style>
  <w:style w:type="character" w:customStyle="1" w:styleId="Tekstpodstawowy2Znak">
    <w:name w:val="Tekst podstawowy 2 Znak"/>
    <w:basedOn w:val="Domylnaczcionkaakapitu"/>
    <w:link w:val="Tekstpodstawowy2"/>
    <w:uiPriority w:val="99"/>
    <w:semiHidden/>
    <w:rsid w:val="00557E4F"/>
    <w:rPr>
      <w:rFonts w:eastAsiaTheme="minorEastAsia"/>
      <w:sz w:val="24"/>
      <w:lang w:val="en-US"/>
    </w:rPr>
  </w:style>
  <w:style w:type="paragraph" w:styleId="Tekstpodstawowy3">
    <w:name w:val="Body Text 3"/>
    <w:basedOn w:val="Normalny"/>
    <w:link w:val="Tekstpodstawowy3Znak"/>
    <w:uiPriority w:val="99"/>
    <w:semiHidden/>
    <w:rsid w:val="00557E4F"/>
    <w:pPr>
      <w:spacing w:after="120"/>
    </w:pPr>
    <w:rPr>
      <w:sz w:val="16"/>
      <w:szCs w:val="16"/>
    </w:rPr>
  </w:style>
  <w:style w:type="character" w:customStyle="1" w:styleId="Tekstpodstawowy3Znak">
    <w:name w:val="Tekst podstawowy 3 Znak"/>
    <w:basedOn w:val="Domylnaczcionkaakapitu"/>
    <w:link w:val="Tekstpodstawowy3"/>
    <w:uiPriority w:val="99"/>
    <w:semiHidden/>
    <w:rsid w:val="00557E4F"/>
    <w:rPr>
      <w:rFonts w:eastAsiaTheme="minorEastAsia"/>
      <w:sz w:val="16"/>
      <w:szCs w:val="16"/>
      <w:lang w:val="en-US"/>
    </w:rPr>
  </w:style>
  <w:style w:type="paragraph" w:styleId="Tekstpodstawowyzwciciem">
    <w:name w:val="Body Text First Indent"/>
    <w:basedOn w:val="Tekstpodstawowy"/>
    <w:link w:val="TekstpodstawowyzwciciemZnak"/>
    <w:uiPriority w:val="99"/>
    <w:semiHidden/>
    <w:rsid w:val="00557E4F"/>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57E4F"/>
    <w:rPr>
      <w:rFonts w:eastAsiaTheme="minorEastAsia"/>
      <w:sz w:val="24"/>
      <w:lang w:val="en-US"/>
    </w:rPr>
  </w:style>
  <w:style w:type="paragraph" w:styleId="Tekstpodstawowywcity">
    <w:name w:val="Body Text Indent"/>
    <w:basedOn w:val="Normalny"/>
    <w:link w:val="TekstpodstawowywcityZnak"/>
    <w:uiPriority w:val="99"/>
    <w:semiHidden/>
    <w:rsid w:val="00557E4F"/>
    <w:pPr>
      <w:spacing w:after="120"/>
      <w:ind w:left="283"/>
    </w:pPr>
  </w:style>
  <w:style w:type="character" w:customStyle="1" w:styleId="TekstpodstawowywcityZnak">
    <w:name w:val="Tekst podstawowy wcięty Znak"/>
    <w:basedOn w:val="Domylnaczcionkaakapitu"/>
    <w:link w:val="Tekstpodstawowywcity"/>
    <w:uiPriority w:val="99"/>
    <w:semiHidden/>
    <w:rsid w:val="00557E4F"/>
    <w:rPr>
      <w:rFonts w:eastAsiaTheme="minorEastAsia"/>
      <w:sz w:val="24"/>
      <w:lang w:val="en-US"/>
    </w:rPr>
  </w:style>
  <w:style w:type="paragraph" w:styleId="Tekstpodstawowyzwciciem2">
    <w:name w:val="Body Text First Indent 2"/>
    <w:basedOn w:val="Tekstpodstawowywcity"/>
    <w:link w:val="Tekstpodstawowyzwciciem2Znak"/>
    <w:uiPriority w:val="99"/>
    <w:semiHidden/>
    <w:rsid w:val="00557E4F"/>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57E4F"/>
    <w:rPr>
      <w:rFonts w:eastAsiaTheme="minorEastAsia"/>
      <w:sz w:val="24"/>
      <w:lang w:val="en-US"/>
    </w:rPr>
  </w:style>
  <w:style w:type="paragraph" w:styleId="Tekstpodstawowywcity2">
    <w:name w:val="Body Text Indent 2"/>
    <w:basedOn w:val="Normalny"/>
    <w:link w:val="Tekstpodstawowywcity2Znak"/>
    <w:uiPriority w:val="99"/>
    <w:semiHidden/>
    <w:rsid w:val="00557E4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57E4F"/>
    <w:rPr>
      <w:rFonts w:eastAsiaTheme="minorEastAsia"/>
      <w:sz w:val="24"/>
      <w:lang w:val="en-US"/>
    </w:rPr>
  </w:style>
  <w:style w:type="paragraph" w:styleId="Tekstpodstawowywcity3">
    <w:name w:val="Body Text Indent 3"/>
    <w:basedOn w:val="Normalny"/>
    <w:link w:val="Tekstpodstawowywcity3Znak"/>
    <w:uiPriority w:val="99"/>
    <w:semiHidden/>
    <w:rsid w:val="00557E4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57E4F"/>
    <w:rPr>
      <w:rFonts w:eastAsiaTheme="minorEastAsia"/>
      <w:sz w:val="16"/>
      <w:szCs w:val="16"/>
      <w:lang w:val="en-US"/>
    </w:rPr>
  </w:style>
  <w:style w:type="paragraph" w:styleId="Legenda">
    <w:name w:val="caption"/>
    <w:basedOn w:val="Normalny"/>
    <w:next w:val="Normalny"/>
    <w:uiPriority w:val="99"/>
    <w:semiHidden/>
    <w:qFormat/>
    <w:rsid w:val="00557E4F"/>
    <w:pPr>
      <w:spacing w:after="200"/>
    </w:pPr>
    <w:rPr>
      <w:b/>
      <w:bCs/>
      <w:color w:val="4F81BD" w:themeColor="accent1"/>
      <w:sz w:val="18"/>
      <w:szCs w:val="18"/>
    </w:rPr>
  </w:style>
  <w:style w:type="paragraph" w:styleId="Zwrotpoegnalny">
    <w:name w:val="Closing"/>
    <w:basedOn w:val="Normalny"/>
    <w:link w:val="ZwrotpoegnalnyZnak"/>
    <w:uiPriority w:val="99"/>
    <w:semiHidden/>
    <w:rsid w:val="00557E4F"/>
    <w:pPr>
      <w:ind w:left="4252"/>
    </w:pPr>
  </w:style>
  <w:style w:type="character" w:customStyle="1" w:styleId="ZwrotpoegnalnyZnak">
    <w:name w:val="Zwrot pożegnalny Znak"/>
    <w:basedOn w:val="Domylnaczcionkaakapitu"/>
    <w:link w:val="Zwrotpoegnalny"/>
    <w:uiPriority w:val="99"/>
    <w:semiHidden/>
    <w:rsid w:val="00557E4F"/>
    <w:rPr>
      <w:rFonts w:eastAsiaTheme="minorEastAsia"/>
      <w:sz w:val="24"/>
      <w:lang w:val="en-US"/>
    </w:rPr>
  </w:style>
  <w:style w:type="table" w:styleId="Kolorowasiatka">
    <w:name w:val="Colorful Grid"/>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99"/>
    <w:rsid w:val="00557E4F"/>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olorowalista">
    <w:name w:val="Colorful List"/>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99"/>
    <w:rsid w:val="00557E4F"/>
    <w:pPr>
      <w:spacing w:after="0" w:line="240" w:lineRule="auto"/>
    </w:pPr>
    <w:rPr>
      <w:color w:val="000000" w:themeColor="text1"/>
      <w:lang w:val="fr-FR" w:eastAsia="fr-FR"/>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ecieniowanie">
    <w:name w:val="Colorful Shading"/>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99"/>
    <w:rsid w:val="00557E4F"/>
    <w:pPr>
      <w:spacing w:after="0" w:line="240" w:lineRule="auto"/>
    </w:pPr>
    <w:rPr>
      <w:color w:val="FFFFFF" w:themeColor="background1"/>
      <w:lang w:val="fr-FR" w:eastAsia="fr-FR"/>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a">
    <w:name w:val="Date"/>
    <w:basedOn w:val="Normalny"/>
    <w:next w:val="Normalny"/>
    <w:link w:val="DataZnak"/>
    <w:uiPriority w:val="99"/>
    <w:semiHidden/>
    <w:rsid w:val="00557E4F"/>
  </w:style>
  <w:style w:type="character" w:customStyle="1" w:styleId="DataZnak">
    <w:name w:val="Data Znak"/>
    <w:basedOn w:val="Domylnaczcionkaakapitu"/>
    <w:link w:val="Data"/>
    <w:uiPriority w:val="99"/>
    <w:semiHidden/>
    <w:rsid w:val="00557E4F"/>
    <w:rPr>
      <w:rFonts w:eastAsiaTheme="minorEastAsia"/>
      <w:sz w:val="24"/>
      <w:lang w:val="en-US"/>
    </w:rPr>
  </w:style>
  <w:style w:type="paragraph" w:styleId="Podpise-mail">
    <w:name w:val="E-mail Signature"/>
    <w:basedOn w:val="Normalny"/>
    <w:link w:val="Podpise-mailZnak"/>
    <w:uiPriority w:val="99"/>
    <w:semiHidden/>
    <w:rsid w:val="00557E4F"/>
  </w:style>
  <w:style w:type="character" w:customStyle="1" w:styleId="Podpise-mailZnak">
    <w:name w:val="Podpis e-mail Znak"/>
    <w:basedOn w:val="Domylnaczcionkaakapitu"/>
    <w:link w:val="Podpise-mail"/>
    <w:uiPriority w:val="99"/>
    <w:semiHidden/>
    <w:rsid w:val="00557E4F"/>
    <w:rPr>
      <w:rFonts w:eastAsiaTheme="minorEastAsia"/>
      <w:sz w:val="24"/>
      <w:lang w:val="en-US"/>
    </w:rPr>
  </w:style>
  <w:style w:type="paragraph" w:styleId="Adresnakopercie">
    <w:name w:val="envelope address"/>
    <w:basedOn w:val="Normalny"/>
    <w:uiPriority w:val="99"/>
    <w:semiHidden/>
    <w:rsid w:val="00557E4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57E4F"/>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557E4F"/>
  </w:style>
  <w:style w:type="paragraph" w:styleId="HTML-adres">
    <w:name w:val="HTML Address"/>
    <w:basedOn w:val="Normalny"/>
    <w:link w:val="HTML-adresZnak"/>
    <w:uiPriority w:val="99"/>
    <w:semiHidden/>
    <w:rsid w:val="00557E4F"/>
    <w:rPr>
      <w:i/>
      <w:iCs/>
    </w:rPr>
  </w:style>
  <w:style w:type="character" w:customStyle="1" w:styleId="HTML-adresZnak">
    <w:name w:val="HTML - adres Znak"/>
    <w:basedOn w:val="Domylnaczcionkaakapitu"/>
    <w:link w:val="HTML-adres"/>
    <w:uiPriority w:val="99"/>
    <w:semiHidden/>
    <w:rsid w:val="00557E4F"/>
    <w:rPr>
      <w:rFonts w:eastAsiaTheme="minorEastAsia"/>
      <w:i/>
      <w:iCs/>
      <w:sz w:val="24"/>
      <w:lang w:val="en-US"/>
    </w:rPr>
  </w:style>
  <w:style w:type="character" w:styleId="HTML-cytat">
    <w:name w:val="HTML Cite"/>
    <w:basedOn w:val="Domylnaczcionkaakapitu"/>
    <w:uiPriority w:val="99"/>
    <w:semiHidden/>
    <w:rsid w:val="00557E4F"/>
    <w:rPr>
      <w:i/>
      <w:iCs/>
    </w:rPr>
  </w:style>
  <w:style w:type="character" w:styleId="HTML-kod">
    <w:name w:val="HTML Code"/>
    <w:basedOn w:val="Domylnaczcionkaakapitu"/>
    <w:uiPriority w:val="99"/>
    <w:semiHidden/>
    <w:rsid w:val="00557E4F"/>
    <w:rPr>
      <w:rFonts w:ascii="Consolas" w:hAnsi="Consolas" w:cs="Consolas"/>
      <w:sz w:val="20"/>
      <w:szCs w:val="20"/>
    </w:rPr>
  </w:style>
  <w:style w:type="character" w:styleId="HTML-definicja">
    <w:name w:val="HTML Definition"/>
    <w:basedOn w:val="Domylnaczcionkaakapitu"/>
    <w:uiPriority w:val="99"/>
    <w:semiHidden/>
    <w:rsid w:val="00557E4F"/>
    <w:rPr>
      <w:i/>
      <w:iCs/>
    </w:rPr>
  </w:style>
  <w:style w:type="character" w:styleId="HTML-klawiatura">
    <w:name w:val="HTML Keyboard"/>
    <w:basedOn w:val="Domylnaczcionkaakapitu"/>
    <w:uiPriority w:val="99"/>
    <w:semiHidden/>
    <w:rsid w:val="00557E4F"/>
    <w:rPr>
      <w:rFonts w:ascii="Consolas" w:hAnsi="Consolas" w:cs="Consolas"/>
      <w:sz w:val="20"/>
      <w:szCs w:val="20"/>
    </w:rPr>
  </w:style>
  <w:style w:type="paragraph" w:styleId="HTML-wstpniesformatowany">
    <w:name w:val="HTML Preformatted"/>
    <w:basedOn w:val="Normalny"/>
    <w:link w:val="HTML-wstpniesformatowanyZnak"/>
    <w:uiPriority w:val="99"/>
    <w:semiHidden/>
    <w:rsid w:val="00557E4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57E4F"/>
    <w:rPr>
      <w:rFonts w:ascii="Consolas" w:eastAsiaTheme="minorEastAsia" w:hAnsi="Consolas" w:cs="Consolas"/>
      <w:sz w:val="20"/>
      <w:szCs w:val="20"/>
      <w:lang w:val="en-US"/>
    </w:rPr>
  </w:style>
  <w:style w:type="character" w:styleId="HTML-przykad">
    <w:name w:val="HTML Sample"/>
    <w:basedOn w:val="Domylnaczcionkaakapitu"/>
    <w:uiPriority w:val="99"/>
    <w:semiHidden/>
    <w:rsid w:val="00557E4F"/>
    <w:rPr>
      <w:rFonts w:ascii="Consolas" w:hAnsi="Consolas" w:cs="Consolas"/>
      <w:sz w:val="24"/>
      <w:szCs w:val="24"/>
    </w:rPr>
  </w:style>
  <w:style w:type="character" w:styleId="HTML-staaszeroko">
    <w:name w:val="HTML Typewriter"/>
    <w:basedOn w:val="Domylnaczcionkaakapitu"/>
    <w:uiPriority w:val="99"/>
    <w:semiHidden/>
    <w:rsid w:val="00557E4F"/>
    <w:rPr>
      <w:rFonts w:ascii="Consolas" w:hAnsi="Consolas" w:cs="Consolas"/>
      <w:sz w:val="20"/>
      <w:szCs w:val="20"/>
    </w:rPr>
  </w:style>
  <w:style w:type="character" w:styleId="HTML-zmienna">
    <w:name w:val="HTML Variable"/>
    <w:basedOn w:val="Domylnaczcionkaakapitu"/>
    <w:uiPriority w:val="99"/>
    <w:semiHidden/>
    <w:rsid w:val="00557E4F"/>
    <w:rPr>
      <w:i/>
      <w:iCs/>
    </w:rPr>
  </w:style>
  <w:style w:type="paragraph" w:styleId="Indeks1">
    <w:name w:val="index 1"/>
    <w:basedOn w:val="Normalny"/>
    <w:next w:val="Normalny"/>
    <w:autoRedefine/>
    <w:uiPriority w:val="99"/>
    <w:semiHidden/>
    <w:rsid w:val="00557E4F"/>
    <w:pPr>
      <w:ind w:left="240" w:hanging="240"/>
    </w:pPr>
  </w:style>
  <w:style w:type="paragraph" w:styleId="Indeks2">
    <w:name w:val="index 2"/>
    <w:basedOn w:val="Normalny"/>
    <w:next w:val="Normalny"/>
    <w:autoRedefine/>
    <w:uiPriority w:val="99"/>
    <w:semiHidden/>
    <w:rsid w:val="00557E4F"/>
    <w:pPr>
      <w:ind w:left="480" w:hanging="240"/>
    </w:pPr>
  </w:style>
  <w:style w:type="paragraph" w:styleId="Indeks3">
    <w:name w:val="index 3"/>
    <w:basedOn w:val="Normalny"/>
    <w:next w:val="Normalny"/>
    <w:autoRedefine/>
    <w:uiPriority w:val="99"/>
    <w:semiHidden/>
    <w:rsid w:val="00557E4F"/>
    <w:pPr>
      <w:ind w:left="720" w:hanging="240"/>
    </w:pPr>
  </w:style>
  <w:style w:type="paragraph" w:styleId="Indeks4">
    <w:name w:val="index 4"/>
    <w:basedOn w:val="Normalny"/>
    <w:next w:val="Normalny"/>
    <w:autoRedefine/>
    <w:uiPriority w:val="99"/>
    <w:semiHidden/>
    <w:rsid w:val="00557E4F"/>
    <w:pPr>
      <w:ind w:left="960" w:hanging="240"/>
    </w:pPr>
  </w:style>
  <w:style w:type="paragraph" w:styleId="Indeks5">
    <w:name w:val="index 5"/>
    <w:basedOn w:val="Normalny"/>
    <w:next w:val="Normalny"/>
    <w:autoRedefine/>
    <w:uiPriority w:val="99"/>
    <w:semiHidden/>
    <w:rsid w:val="00557E4F"/>
    <w:pPr>
      <w:ind w:left="1200" w:hanging="240"/>
    </w:pPr>
  </w:style>
  <w:style w:type="paragraph" w:styleId="Indeks6">
    <w:name w:val="index 6"/>
    <w:basedOn w:val="Normalny"/>
    <w:next w:val="Normalny"/>
    <w:autoRedefine/>
    <w:uiPriority w:val="99"/>
    <w:semiHidden/>
    <w:rsid w:val="00557E4F"/>
    <w:pPr>
      <w:ind w:left="1440" w:hanging="240"/>
    </w:pPr>
  </w:style>
  <w:style w:type="paragraph" w:styleId="Indeks7">
    <w:name w:val="index 7"/>
    <w:basedOn w:val="Normalny"/>
    <w:next w:val="Normalny"/>
    <w:autoRedefine/>
    <w:uiPriority w:val="99"/>
    <w:semiHidden/>
    <w:rsid w:val="00557E4F"/>
    <w:pPr>
      <w:ind w:left="1680" w:hanging="240"/>
    </w:pPr>
  </w:style>
  <w:style w:type="paragraph" w:styleId="Indeks8">
    <w:name w:val="index 8"/>
    <w:basedOn w:val="Normalny"/>
    <w:next w:val="Normalny"/>
    <w:autoRedefine/>
    <w:uiPriority w:val="99"/>
    <w:semiHidden/>
    <w:rsid w:val="00557E4F"/>
    <w:pPr>
      <w:ind w:left="1920" w:hanging="240"/>
    </w:pPr>
  </w:style>
  <w:style w:type="paragraph" w:styleId="Indeks9">
    <w:name w:val="index 9"/>
    <w:basedOn w:val="Normalny"/>
    <w:next w:val="Normalny"/>
    <w:autoRedefine/>
    <w:uiPriority w:val="99"/>
    <w:semiHidden/>
    <w:rsid w:val="00557E4F"/>
    <w:pPr>
      <w:ind w:left="2160" w:hanging="240"/>
    </w:pPr>
  </w:style>
  <w:style w:type="paragraph" w:styleId="Nagwekindeksu">
    <w:name w:val="index heading"/>
    <w:basedOn w:val="Normalny"/>
    <w:next w:val="Indeks1"/>
    <w:uiPriority w:val="99"/>
    <w:semiHidden/>
    <w:rsid w:val="00557E4F"/>
    <w:rPr>
      <w:rFonts w:asciiTheme="majorHAnsi" w:eastAsiaTheme="majorEastAsia" w:hAnsiTheme="majorHAnsi" w:cstheme="majorBidi"/>
      <w:b/>
      <w:bCs/>
    </w:rPr>
  </w:style>
  <w:style w:type="table" w:styleId="Jasnasiatka">
    <w:name w:val="Light Grid"/>
    <w:basedOn w:val="Standardowy"/>
    <w:uiPriority w:val="99"/>
    <w:rsid w:val="00557E4F"/>
    <w:pPr>
      <w:spacing w:after="0" w:line="240" w:lineRule="auto"/>
    </w:pPr>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557E4F"/>
    <w:pPr>
      <w:spacing w:after="0" w:line="240" w:lineRule="auto"/>
    </w:pPr>
    <w:rPr>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99"/>
    <w:rsid w:val="00557E4F"/>
    <w:pPr>
      <w:spacing w:after="0" w:line="240" w:lineRule="auto"/>
    </w:pPr>
    <w:rPr>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99"/>
    <w:rsid w:val="00557E4F"/>
    <w:pPr>
      <w:spacing w:after="0" w:line="240" w:lineRule="auto"/>
    </w:pPr>
    <w:rPr>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99"/>
    <w:rsid w:val="00557E4F"/>
    <w:pPr>
      <w:spacing w:after="0" w:line="240" w:lineRule="auto"/>
    </w:pPr>
    <w:rPr>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99"/>
    <w:rsid w:val="00557E4F"/>
    <w:pPr>
      <w:spacing w:after="0" w:line="240" w:lineRule="auto"/>
    </w:pPr>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99"/>
    <w:rsid w:val="00557E4F"/>
    <w:pPr>
      <w:spacing w:after="0" w:line="240" w:lineRule="auto"/>
    </w:pPr>
    <w:rPr>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
    <w:name w:val="Light List"/>
    <w:basedOn w:val="Standardowy"/>
    <w:uiPriority w:val="99"/>
    <w:rsid w:val="00557E4F"/>
    <w:pPr>
      <w:spacing w:after="0" w:line="240" w:lineRule="auto"/>
    </w:pPr>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557E4F"/>
    <w:pPr>
      <w:spacing w:after="0" w:line="240" w:lineRule="auto"/>
    </w:pPr>
    <w:rPr>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99"/>
    <w:rsid w:val="00557E4F"/>
    <w:pPr>
      <w:spacing w:after="0" w:line="240" w:lineRule="auto"/>
    </w:pPr>
    <w:rPr>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99"/>
    <w:rsid w:val="00557E4F"/>
    <w:pPr>
      <w:spacing w:after="0" w:line="240" w:lineRule="auto"/>
    </w:pPr>
    <w:rPr>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99"/>
    <w:rsid w:val="00557E4F"/>
    <w:pPr>
      <w:spacing w:after="0" w:line="240" w:lineRule="auto"/>
    </w:pPr>
    <w:rPr>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99"/>
    <w:rsid w:val="00557E4F"/>
    <w:pPr>
      <w:spacing w:after="0" w:line="240" w:lineRule="auto"/>
    </w:pPr>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99"/>
    <w:rsid w:val="00557E4F"/>
    <w:pPr>
      <w:spacing w:after="0" w:line="240" w:lineRule="auto"/>
    </w:pPr>
    <w:rPr>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ecieniowanie">
    <w:name w:val="Light Shading"/>
    <w:basedOn w:val="Standardowy"/>
    <w:uiPriority w:val="99"/>
    <w:rsid w:val="00557E4F"/>
    <w:pPr>
      <w:spacing w:after="0" w:line="240" w:lineRule="auto"/>
    </w:pPr>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557E4F"/>
    <w:pPr>
      <w:spacing w:after="0" w:line="240" w:lineRule="auto"/>
    </w:pPr>
    <w:rPr>
      <w:color w:val="365F91" w:themeColor="accent1" w:themeShade="BF"/>
      <w:lang w:val="fr-FR"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99"/>
    <w:rsid w:val="00557E4F"/>
    <w:pPr>
      <w:spacing w:after="0" w:line="240" w:lineRule="auto"/>
    </w:pPr>
    <w:rPr>
      <w:color w:val="943634" w:themeColor="accent2" w:themeShade="BF"/>
      <w:lang w:val="fr-FR" w:eastAsia="fr-FR"/>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99"/>
    <w:rsid w:val="00557E4F"/>
    <w:pPr>
      <w:spacing w:after="0" w:line="240" w:lineRule="auto"/>
    </w:pPr>
    <w:rPr>
      <w:color w:val="76923C" w:themeColor="accent3" w:themeShade="BF"/>
      <w:lang w:val="fr-FR" w:eastAsia="fr-FR"/>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99"/>
    <w:rsid w:val="00557E4F"/>
    <w:pPr>
      <w:spacing w:after="0" w:line="240" w:lineRule="auto"/>
    </w:pPr>
    <w:rPr>
      <w:color w:val="5F497A" w:themeColor="accent4" w:themeShade="BF"/>
      <w:lang w:val="fr-FR" w:eastAsia="fr-FR"/>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99"/>
    <w:rsid w:val="00557E4F"/>
    <w:pPr>
      <w:spacing w:after="0" w:line="240" w:lineRule="auto"/>
    </w:pPr>
    <w:rPr>
      <w:color w:val="31849B" w:themeColor="accent5" w:themeShade="BF"/>
      <w:lang w:val="fr-FR" w:eastAsia="fr-F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99"/>
    <w:rsid w:val="00557E4F"/>
    <w:pPr>
      <w:spacing w:after="0" w:line="240" w:lineRule="auto"/>
    </w:pPr>
    <w:rPr>
      <w:color w:val="E36C0A" w:themeColor="accent6" w:themeShade="BF"/>
      <w:lang w:val="fr-FR" w:eastAsia="fr-FR"/>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Numerwiersza">
    <w:name w:val="line number"/>
    <w:basedOn w:val="Domylnaczcionkaakapitu"/>
    <w:uiPriority w:val="99"/>
    <w:semiHidden/>
    <w:rsid w:val="00557E4F"/>
  </w:style>
  <w:style w:type="paragraph" w:styleId="Lista">
    <w:name w:val="List"/>
    <w:basedOn w:val="Normalny"/>
    <w:uiPriority w:val="99"/>
    <w:semiHidden/>
    <w:rsid w:val="00557E4F"/>
    <w:pPr>
      <w:ind w:left="283" w:hanging="283"/>
      <w:contextualSpacing/>
    </w:pPr>
  </w:style>
  <w:style w:type="paragraph" w:styleId="Lista2">
    <w:name w:val="List 2"/>
    <w:basedOn w:val="Normalny"/>
    <w:uiPriority w:val="99"/>
    <w:semiHidden/>
    <w:rsid w:val="00557E4F"/>
    <w:pPr>
      <w:ind w:left="566" w:hanging="283"/>
      <w:contextualSpacing/>
    </w:pPr>
  </w:style>
  <w:style w:type="paragraph" w:styleId="Lista3">
    <w:name w:val="List 3"/>
    <w:basedOn w:val="Normalny"/>
    <w:uiPriority w:val="99"/>
    <w:semiHidden/>
    <w:rsid w:val="00557E4F"/>
    <w:pPr>
      <w:ind w:left="849" w:hanging="283"/>
      <w:contextualSpacing/>
    </w:pPr>
  </w:style>
  <w:style w:type="paragraph" w:styleId="Lista4">
    <w:name w:val="List 4"/>
    <w:basedOn w:val="Normalny"/>
    <w:uiPriority w:val="99"/>
    <w:semiHidden/>
    <w:rsid w:val="00557E4F"/>
    <w:pPr>
      <w:ind w:left="1132" w:hanging="283"/>
      <w:contextualSpacing/>
    </w:pPr>
  </w:style>
  <w:style w:type="paragraph" w:styleId="Lista5">
    <w:name w:val="List 5"/>
    <w:basedOn w:val="Normalny"/>
    <w:uiPriority w:val="99"/>
    <w:semiHidden/>
    <w:rsid w:val="00557E4F"/>
    <w:pPr>
      <w:ind w:left="1415" w:hanging="283"/>
      <w:contextualSpacing/>
    </w:pPr>
  </w:style>
  <w:style w:type="paragraph" w:styleId="Listapunktowana2">
    <w:name w:val="List Bullet 2"/>
    <w:basedOn w:val="Normalny"/>
    <w:uiPriority w:val="99"/>
    <w:semiHidden/>
    <w:rsid w:val="00557E4F"/>
    <w:pPr>
      <w:numPr>
        <w:numId w:val="2"/>
      </w:numPr>
      <w:contextualSpacing/>
    </w:pPr>
  </w:style>
  <w:style w:type="paragraph" w:styleId="Listapunktowana3">
    <w:name w:val="List Bullet 3"/>
    <w:basedOn w:val="Normalny"/>
    <w:uiPriority w:val="99"/>
    <w:semiHidden/>
    <w:rsid w:val="00557E4F"/>
    <w:pPr>
      <w:numPr>
        <w:numId w:val="3"/>
      </w:numPr>
      <w:contextualSpacing/>
    </w:pPr>
  </w:style>
  <w:style w:type="paragraph" w:styleId="Listapunktowana4">
    <w:name w:val="List Bullet 4"/>
    <w:basedOn w:val="Normalny"/>
    <w:uiPriority w:val="99"/>
    <w:semiHidden/>
    <w:rsid w:val="00557E4F"/>
    <w:pPr>
      <w:tabs>
        <w:tab w:val="num" w:pos="1209"/>
      </w:tabs>
      <w:ind w:left="1209" w:hanging="360"/>
      <w:contextualSpacing/>
    </w:pPr>
  </w:style>
  <w:style w:type="paragraph" w:styleId="Listapunktowana5">
    <w:name w:val="List Bullet 5"/>
    <w:basedOn w:val="Normalny"/>
    <w:uiPriority w:val="99"/>
    <w:semiHidden/>
    <w:rsid w:val="00557E4F"/>
    <w:pPr>
      <w:numPr>
        <w:numId w:val="5"/>
      </w:numPr>
      <w:contextualSpacing/>
    </w:pPr>
  </w:style>
  <w:style w:type="paragraph" w:styleId="Lista-kontynuacja">
    <w:name w:val="List Continue"/>
    <w:basedOn w:val="Normalny"/>
    <w:uiPriority w:val="99"/>
    <w:semiHidden/>
    <w:rsid w:val="00557E4F"/>
    <w:pPr>
      <w:spacing w:after="120"/>
      <w:ind w:left="283"/>
      <w:contextualSpacing/>
    </w:pPr>
  </w:style>
  <w:style w:type="paragraph" w:styleId="Lista-kontynuacja2">
    <w:name w:val="List Continue 2"/>
    <w:basedOn w:val="Normalny"/>
    <w:uiPriority w:val="99"/>
    <w:semiHidden/>
    <w:rsid w:val="00557E4F"/>
    <w:pPr>
      <w:spacing w:after="120"/>
      <w:ind w:left="566"/>
      <w:contextualSpacing/>
    </w:pPr>
  </w:style>
  <w:style w:type="paragraph" w:styleId="Lista-kontynuacja3">
    <w:name w:val="List Continue 3"/>
    <w:basedOn w:val="Normalny"/>
    <w:uiPriority w:val="99"/>
    <w:semiHidden/>
    <w:rsid w:val="00557E4F"/>
    <w:pPr>
      <w:spacing w:after="120"/>
      <w:ind w:left="849"/>
      <w:contextualSpacing/>
    </w:pPr>
  </w:style>
  <w:style w:type="paragraph" w:styleId="Lista-kontynuacja4">
    <w:name w:val="List Continue 4"/>
    <w:basedOn w:val="Normalny"/>
    <w:uiPriority w:val="99"/>
    <w:semiHidden/>
    <w:rsid w:val="00557E4F"/>
    <w:pPr>
      <w:spacing w:after="120"/>
      <w:ind w:left="1132"/>
      <w:contextualSpacing/>
    </w:pPr>
  </w:style>
  <w:style w:type="paragraph" w:styleId="Lista-kontynuacja5">
    <w:name w:val="List Continue 5"/>
    <w:basedOn w:val="Normalny"/>
    <w:uiPriority w:val="99"/>
    <w:semiHidden/>
    <w:rsid w:val="00557E4F"/>
    <w:pPr>
      <w:spacing w:after="120"/>
      <w:ind w:left="1415"/>
      <w:contextualSpacing/>
    </w:pPr>
  </w:style>
  <w:style w:type="paragraph" w:styleId="Listanumerowana">
    <w:name w:val="List Number"/>
    <w:basedOn w:val="Normalny"/>
    <w:uiPriority w:val="99"/>
    <w:semiHidden/>
    <w:rsid w:val="00557E4F"/>
    <w:pPr>
      <w:numPr>
        <w:numId w:val="6"/>
      </w:numPr>
      <w:contextualSpacing/>
    </w:pPr>
  </w:style>
  <w:style w:type="paragraph" w:styleId="Listanumerowana2">
    <w:name w:val="List Number 2"/>
    <w:basedOn w:val="Normalny"/>
    <w:uiPriority w:val="99"/>
    <w:semiHidden/>
    <w:rsid w:val="00557E4F"/>
    <w:pPr>
      <w:numPr>
        <w:numId w:val="7"/>
      </w:numPr>
      <w:contextualSpacing/>
    </w:pPr>
  </w:style>
  <w:style w:type="paragraph" w:styleId="Listanumerowana3">
    <w:name w:val="List Number 3"/>
    <w:basedOn w:val="Normalny"/>
    <w:uiPriority w:val="99"/>
    <w:semiHidden/>
    <w:rsid w:val="00557E4F"/>
    <w:pPr>
      <w:numPr>
        <w:numId w:val="8"/>
      </w:numPr>
      <w:contextualSpacing/>
    </w:pPr>
  </w:style>
  <w:style w:type="paragraph" w:styleId="Listanumerowana4">
    <w:name w:val="List Number 4"/>
    <w:basedOn w:val="Normalny"/>
    <w:uiPriority w:val="99"/>
    <w:semiHidden/>
    <w:rsid w:val="00557E4F"/>
    <w:pPr>
      <w:numPr>
        <w:numId w:val="9"/>
      </w:numPr>
      <w:contextualSpacing/>
    </w:pPr>
  </w:style>
  <w:style w:type="paragraph" w:styleId="Listanumerowana5">
    <w:name w:val="List Number 5"/>
    <w:basedOn w:val="Normalny"/>
    <w:uiPriority w:val="99"/>
    <w:semiHidden/>
    <w:rsid w:val="00557E4F"/>
    <w:pPr>
      <w:numPr>
        <w:numId w:val="10"/>
      </w:numPr>
      <w:contextualSpacing/>
    </w:pPr>
  </w:style>
  <w:style w:type="paragraph" w:styleId="Tekstmakra">
    <w:name w:val="macro"/>
    <w:link w:val="TekstmakraZnak"/>
    <w:uiPriority w:val="99"/>
    <w:semiHidden/>
    <w:rsid w:val="00557E4F"/>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heme="minorEastAsia" w:hAnsi="Consolas" w:cs="Consolas"/>
      <w:sz w:val="20"/>
      <w:szCs w:val="20"/>
      <w:lang w:val="en-US"/>
    </w:rPr>
  </w:style>
  <w:style w:type="character" w:customStyle="1" w:styleId="TekstmakraZnak">
    <w:name w:val="Tekst makra Znak"/>
    <w:basedOn w:val="Domylnaczcionkaakapitu"/>
    <w:link w:val="Tekstmakra"/>
    <w:uiPriority w:val="99"/>
    <w:semiHidden/>
    <w:rsid w:val="00557E4F"/>
    <w:rPr>
      <w:rFonts w:ascii="Consolas" w:eastAsiaTheme="minorEastAsia" w:hAnsi="Consolas" w:cs="Consolas"/>
      <w:sz w:val="20"/>
      <w:szCs w:val="20"/>
      <w:lang w:val="en-US"/>
    </w:rPr>
  </w:style>
  <w:style w:type="table" w:styleId="redniasiatka1">
    <w:name w:val="Medium Grid 1"/>
    <w:basedOn w:val="Standardowy"/>
    <w:uiPriority w:val="99"/>
    <w:rsid w:val="00557E4F"/>
    <w:pPr>
      <w:spacing w:after="0" w:line="240" w:lineRule="auto"/>
    </w:pPr>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557E4F"/>
    <w:pPr>
      <w:spacing w:after="0" w:line="240" w:lineRule="auto"/>
    </w:pPr>
    <w:rPr>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99"/>
    <w:rsid w:val="00557E4F"/>
    <w:pPr>
      <w:spacing w:after="0" w:line="240" w:lineRule="auto"/>
    </w:pPr>
    <w:rPr>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99"/>
    <w:rsid w:val="00557E4F"/>
    <w:pPr>
      <w:spacing w:after="0" w:line="240" w:lineRule="auto"/>
    </w:pPr>
    <w:rPr>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99"/>
    <w:rsid w:val="00557E4F"/>
    <w:pPr>
      <w:spacing w:after="0" w:line="240" w:lineRule="auto"/>
    </w:pPr>
    <w:rPr>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99"/>
    <w:rsid w:val="00557E4F"/>
    <w:pPr>
      <w:spacing w:after="0" w:line="240" w:lineRule="auto"/>
    </w:pPr>
    <w:rPr>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99"/>
    <w:rsid w:val="00557E4F"/>
    <w:pPr>
      <w:spacing w:after="0" w:line="240" w:lineRule="auto"/>
    </w:pPr>
    <w:rPr>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99"/>
    <w:rsid w:val="00557E4F"/>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ednialista1">
    <w:name w:val="Medium List 1"/>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99"/>
    <w:rsid w:val="00557E4F"/>
    <w:pPr>
      <w:spacing w:after="0" w:line="240" w:lineRule="auto"/>
    </w:pPr>
    <w:rPr>
      <w:color w:val="000000" w:themeColor="text1"/>
      <w:lang w:val="fr-FR" w:eastAsia="fr-FR"/>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99"/>
    <w:rsid w:val="00557E4F"/>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99"/>
    <w:rsid w:val="00557E4F"/>
    <w:pPr>
      <w:spacing w:after="0" w:line="240" w:lineRule="auto"/>
    </w:pPr>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557E4F"/>
    <w:pPr>
      <w:spacing w:after="0" w:line="240" w:lineRule="auto"/>
    </w:pPr>
    <w:rPr>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557E4F"/>
    <w:pPr>
      <w:spacing w:after="0" w:line="240" w:lineRule="auto"/>
    </w:pPr>
    <w:rPr>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557E4F"/>
    <w:pPr>
      <w:spacing w:after="0" w:line="240" w:lineRule="auto"/>
    </w:pPr>
    <w:rPr>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557E4F"/>
    <w:pPr>
      <w:spacing w:after="0" w:line="240" w:lineRule="auto"/>
    </w:pPr>
    <w:rPr>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557E4F"/>
    <w:pPr>
      <w:spacing w:after="0" w:line="240" w:lineRule="auto"/>
    </w:pPr>
    <w:rPr>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557E4F"/>
    <w:pPr>
      <w:spacing w:after="0" w:line="240" w:lineRule="auto"/>
    </w:pPr>
    <w:rPr>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557E4F"/>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57E4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57E4F"/>
    <w:rPr>
      <w:rFonts w:asciiTheme="majorHAnsi" w:eastAsiaTheme="majorEastAsia" w:hAnsiTheme="majorHAnsi" w:cstheme="majorBidi"/>
      <w:sz w:val="24"/>
      <w:szCs w:val="24"/>
      <w:shd w:val="pct20" w:color="auto" w:fill="auto"/>
      <w:lang w:val="en-US"/>
    </w:rPr>
  </w:style>
  <w:style w:type="paragraph" w:styleId="NormalnyWeb">
    <w:name w:val="Normal (Web)"/>
    <w:basedOn w:val="Normalny"/>
    <w:uiPriority w:val="99"/>
    <w:rsid w:val="00557E4F"/>
    <w:rPr>
      <w:rFonts w:ascii="Times New Roman" w:hAnsi="Times New Roman" w:cs="Times New Roman"/>
      <w:szCs w:val="24"/>
    </w:rPr>
  </w:style>
  <w:style w:type="paragraph" w:styleId="Wcicienormalne">
    <w:name w:val="Normal Indent"/>
    <w:basedOn w:val="Normalny"/>
    <w:uiPriority w:val="99"/>
    <w:semiHidden/>
    <w:rsid w:val="00557E4F"/>
    <w:pPr>
      <w:ind w:left="720"/>
    </w:pPr>
  </w:style>
  <w:style w:type="paragraph" w:styleId="Nagweknotatki">
    <w:name w:val="Note Heading"/>
    <w:basedOn w:val="Normalny"/>
    <w:next w:val="Normalny"/>
    <w:link w:val="NagweknotatkiZnak"/>
    <w:uiPriority w:val="99"/>
    <w:semiHidden/>
    <w:rsid w:val="00557E4F"/>
  </w:style>
  <w:style w:type="character" w:customStyle="1" w:styleId="NagweknotatkiZnak">
    <w:name w:val="Nagłówek notatki Znak"/>
    <w:basedOn w:val="Domylnaczcionkaakapitu"/>
    <w:link w:val="Nagweknotatki"/>
    <w:uiPriority w:val="99"/>
    <w:semiHidden/>
    <w:rsid w:val="00557E4F"/>
    <w:rPr>
      <w:rFonts w:eastAsiaTheme="minorEastAsia"/>
      <w:sz w:val="24"/>
      <w:lang w:val="en-US"/>
    </w:rPr>
  </w:style>
  <w:style w:type="character" w:styleId="Tekstzastpczy">
    <w:name w:val="Placeholder Text"/>
    <w:basedOn w:val="Domylnaczcionkaakapitu"/>
    <w:uiPriority w:val="99"/>
    <w:semiHidden/>
    <w:rsid w:val="00557E4F"/>
    <w:rPr>
      <w:color w:val="808080"/>
    </w:rPr>
  </w:style>
  <w:style w:type="paragraph" w:styleId="Zwykytekst">
    <w:name w:val="Plain Text"/>
    <w:basedOn w:val="Normalny"/>
    <w:link w:val="ZwykytekstZnak"/>
    <w:uiPriority w:val="99"/>
    <w:semiHidden/>
    <w:rsid w:val="00557E4F"/>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57E4F"/>
    <w:rPr>
      <w:rFonts w:ascii="Consolas" w:eastAsiaTheme="minorEastAsia" w:hAnsi="Consolas" w:cs="Consolas"/>
      <w:sz w:val="21"/>
      <w:szCs w:val="21"/>
      <w:lang w:val="en-US"/>
    </w:rPr>
  </w:style>
  <w:style w:type="paragraph" w:styleId="Zwrotgrzecznociowy">
    <w:name w:val="Salutation"/>
    <w:basedOn w:val="Normalny"/>
    <w:next w:val="Normalny"/>
    <w:link w:val="ZwrotgrzecznociowyZnak"/>
    <w:uiPriority w:val="99"/>
    <w:semiHidden/>
    <w:rsid w:val="00557E4F"/>
  </w:style>
  <w:style w:type="character" w:customStyle="1" w:styleId="ZwrotgrzecznociowyZnak">
    <w:name w:val="Zwrot grzecznościowy Znak"/>
    <w:basedOn w:val="Domylnaczcionkaakapitu"/>
    <w:link w:val="Zwrotgrzecznociowy"/>
    <w:uiPriority w:val="99"/>
    <w:semiHidden/>
    <w:rsid w:val="00557E4F"/>
    <w:rPr>
      <w:rFonts w:eastAsiaTheme="minorEastAsia"/>
      <w:sz w:val="24"/>
      <w:lang w:val="en-US"/>
    </w:rPr>
  </w:style>
  <w:style w:type="paragraph" w:styleId="Podpis">
    <w:name w:val="Signature"/>
    <w:basedOn w:val="Normalny"/>
    <w:link w:val="PodpisZnak"/>
    <w:uiPriority w:val="99"/>
    <w:semiHidden/>
    <w:rsid w:val="00557E4F"/>
    <w:pPr>
      <w:ind w:left="4252"/>
    </w:pPr>
  </w:style>
  <w:style w:type="character" w:customStyle="1" w:styleId="PodpisZnak">
    <w:name w:val="Podpis Znak"/>
    <w:basedOn w:val="Domylnaczcionkaakapitu"/>
    <w:link w:val="Podpis"/>
    <w:uiPriority w:val="99"/>
    <w:semiHidden/>
    <w:rsid w:val="00557E4F"/>
    <w:rPr>
      <w:rFonts w:eastAsiaTheme="minorEastAsia"/>
      <w:sz w:val="24"/>
      <w:lang w:val="en-US"/>
    </w:rPr>
  </w:style>
  <w:style w:type="table" w:styleId="Tabela-Efekty3W1">
    <w:name w:val="Table 3D effects 1"/>
    <w:basedOn w:val="Standardowy"/>
    <w:uiPriority w:val="99"/>
    <w:semiHidden/>
    <w:rsid w:val="00557E4F"/>
    <w:pPr>
      <w:spacing w:after="0" w:line="240" w:lineRule="auto"/>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557E4F"/>
    <w:pPr>
      <w:spacing w:after="0" w:line="240" w:lineRule="auto"/>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557E4F"/>
    <w:pPr>
      <w:spacing w:after="0" w:line="240" w:lineRule="auto"/>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557E4F"/>
    <w:pPr>
      <w:spacing w:after="0" w:line="240" w:lineRule="auto"/>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557E4F"/>
    <w:pPr>
      <w:spacing w:after="0" w:line="240" w:lineRule="auto"/>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557E4F"/>
    <w:pPr>
      <w:spacing w:after="0" w:line="240" w:lineRule="auto"/>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557E4F"/>
    <w:pPr>
      <w:spacing w:after="0" w:line="240" w:lineRule="auto"/>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557E4F"/>
    <w:pPr>
      <w:spacing w:after="0" w:line="240" w:lineRule="auto"/>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557E4F"/>
    <w:pPr>
      <w:spacing w:after="0" w:line="240" w:lineRule="auto"/>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557E4F"/>
    <w:pPr>
      <w:spacing w:after="0" w:line="240" w:lineRule="auto"/>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557E4F"/>
    <w:pPr>
      <w:spacing w:after="0" w:line="240" w:lineRule="auto"/>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557E4F"/>
    <w:pPr>
      <w:spacing w:after="0" w:line="240" w:lineRule="auto"/>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557E4F"/>
    <w:pPr>
      <w:spacing w:after="0" w:line="240" w:lineRule="auto"/>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557E4F"/>
    <w:pPr>
      <w:spacing w:after="0" w:line="240" w:lineRule="auto"/>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557E4F"/>
    <w:pPr>
      <w:spacing w:after="0" w:line="240" w:lineRule="auto"/>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557E4F"/>
    <w:pPr>
      <w:spacing w:after="0" w:line="240" w:lineRule="auto"/>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557E4F"/>
    <w:pPr>
      <w:spacing w:after="0" w:line="240" w:lineRule="auto"/>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557E4F"/>
    <w:pPr>
      <w:spacing w:after="0" w:line="240" w:lineRule="auto"/>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557E4F"/>
    <w:pPr>
      <w:spacing w:after="0" w:line="240" w:lineRule="auto"/>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557E4F"/>
    <w:pPr>
      <w:spacing w:after="0" w:line="240" w:lineRule="auto"/>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557E4F"/>
    <w:pPr>
      <w:spacing w:after="0" w:line="240" w:lineRule="auto"/>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557E4F"/>
    <w:pPr>
      <w:spacing w:after="0" w:line="240" w:lineRule="auto"/>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557E4F"/>
    <w:pPr>
      <w:spacing w:after="0" w:line="240" w:lineRule="auto"/>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557E4F"/>
    <w:pPr>
      <w:spacing w:after="0" w:line="240" w:lineRule="auto"/>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557E4F"/>
    <w:pPr>
      <w:spacing w:after="0" w:line="240" w:lineRule="auto"/>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557E4F"/>
    <w:pPr>
      <w:spacing w:after="0" w:line="240" w:lineRule="auto"/>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557E4F"/>
    <w:pPr>
      <w:spacing w:after="0" w:line="240" w:lineRule="auto"/>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557E4F"/>
    <w:pPr>
      <w:spacing w:after="0" w:line="240" w:lineRule="auto"/>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557E4F"/>
    <w:pPr>
      <w:spacing w:after="0" w:line="240" w:lineRule="auto"/>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557E4F"/>
    <w:pPr>
      <w:spacing w:after="0" w:line="240" w:lineRule="auto"/>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557E4F"/>
    <w:pPr>
      <w:spacing w:after="0" w:line="240" w:lineRule="auto"/>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557E4F"/>
    <w:pPr>
      <w:spacing w:after="0" w:line="240" w:lineRule="auto"/>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557E4F"/>
    <w:pPr>
      <w:spacing w:after="0" w:line="240" w:lineRule="auto"/>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57E4F"/>
    <w:pPr>
      <w:ind w:left="240" w:hanging="240"/>
    </w:pPr>
  </w:style>
  <w:style w:type="paragraph" w:styleId="Spisilustracji">
    <w:name w:val="table of figures"/>
    <w:basedOn w:val="Normalny"/>
    <w:next w:val="Normalny"/>
    <w:uiPriority w:val="99"/>
    <w:semiHidden/>
    <w:rsid w:val="00557E4F"/>
  </w:style>
  <w:style w:type="table" w:styleId="Tabela-Profesjonalny">
    <w:name w:val="Table Professional"/>
    <w:basedOn w:val="Standardowy"/>
    <w:uiPriority w:val="99"/>
    <w:semiHidden/>
    <w:rsid w:val="00557E4F"/>
    <w:pPr>
      <w:spacing w:after="0" w:line="240" w:lineRule="auto"/>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557E4F"/>
    <w:pPr>
      <w:spacing w:after="0" w:line="240" w:lineRule="auto"/>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557E4F"/>
    <w:pPr>
      <w:spacing w:after="0" w:line="240" w:lineRule="auto"/>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557E4F"/>
    <w:pPr>
      <w:spacing w:after="0" w:line="240" w:lineRule="auto"/>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557E4F"/>
    <w:pPr>
      <w:spacing w:after="0" w:line="240" w:lineRule="auto"/>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557E4F"/>
    <w:pPr>
      <w:spacing w:after="0" w:line="240" w:lineRule="auto"/>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557E4F"/>
    <w:pPr>
      <w:spacing w:after="0" w:line="240" w:lineRule="auto"/>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557E4F"/>
    <w:pPr>
      <w:spacing w:after="0" w:line="240" w:lineRule="auto"/>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557E4F"/>
    <w:pPr>
      <w:spacing w:after="0" w:line="240" w:lineRule="auto"/>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557E4F"/>
    <w:pPr>
      <w:spacing w:after="0" w:line="240" w:lineRule="auto"/>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57E4F"/>
    <w:pPr>
      <w:spacing w:after="100"/>
      <w:ind w:left="1200"/>
    </w:pPr>
  </w:style>
  <w:style w:type="paragraph" w:styleId="Spistreci7">
    <w:name w:val="toc 7"/>
    <w:basedOn w:val="Normalny"/>
    <w:next w:val="Normalny"/>
    <w:autoRedefine/>
    <w:uiPriority w:val="99"/>
    <w:semiHidden/>
    <w:rsid w:val="00557E4F"/>
    <w:pPr>
      <w:spacing w:after="100"/>
      <w:ind w:left="1440"/>
    </w:pPr>
  </w:style>
  <w:style w:type="paragraph" w:styleId="Spistreci8">
    <w:name w:val="toc 8"/>
    <w:basedOn w:val="Normalny"/>
    <w:next w:val="Normalny"/>
    <w:autoRedefine/>
    <w:uiPriority w:val="99"/>
    <w:semiHidden/>
    <w:rsid w:val="00557E4F"/>
    <w:pPr>
      <w:spacing w:after="100"/>
      <w:ind w:left="1680"/>
    </w:pPr>
  </w:style>
  <w:style w:type="paragraph" w:styleId="Spistreci9">
    <w:name w:val="toc 9"/>
    <w:basedOn w:val="Normalny"/>
    <w:next w:val="Normalny"/>
    <w:autoRedefine/>
    <w:uiPriority w:val="99"/>
    <w:semiHidden/>
    <w:rsid w:val="00557E4F"/>
    <w:pPr>
      <w:spacing w:after="100"/>
      <w:ind w:left="1920"/>
    </w:pPr>
  </w:style>
  <w:style w:type="character" w:customStyle="1" w:styleId="JuParaCar">
    <w:name w:val="Ju_Para Car"/>
    <w:link w:val="ECHRPara"/>
    <w:uiPriority w:val="99"/>
    <w:rsid w:val="00557E4F"/>
    <w:rPr>
      <w:rFonts w:eastAsiaTheme="minorEastAsia"/>
      <w:sz w:val="24"/>
      <w:lang w:val="fr-FR" w:eastAsia="fr-FR"/>
    </w:rPr>
  </w:style>
  <w:style w:type="character" w:customStyle="1" w:styleId="JuJudgesChar">
    <w:name w:val="Ju_Judges Char"/>
    <w:link w:val="ECHRDecisionBody"/>
    <w:rsid w:val="00557E4F"/>
    <w:rPr>
      <w:rFonts w:eastAsiaTheme="minorEastAsia"/>
      <w:sz w:val="24"/>
      <w:lang w:val="fr-FR" w:eastAsia="fr-FR"/>
    </w:rPr>
  </w:style>
  <w:style w:type="paragraph" w:customStyle="1" w:styleId="OpiH10">
    <w:name w:val="Opi_H_1."/>
    <w:basedOn w:val="OpiHA"/>
    <w:next w:val="OpiPara"/>
    <w:rsid w:val="00557E4F"/>
    <w:pPr>
      <w:keepNext/>
      <w:keepLines/>
      <w:spacing w:before="240" w:after="120"/>
      <w:ind w:left="635" w:hanging="357"/>
      <w:contextualSpacing w:val="0"/>
      <w:outlineLvl w:val="2"/>
    </w:pPr>
    <w:rPr>
      <w:rFonts w:ascii="Times New Roman" w:eastAsia="Times New Roman" w:hAnsi="Times New Roman" w:cs="Times New Roman"/>
      <w:b w:val="0"/>
      <w:bCs w:val="0"/>
      <w:i/>
      <w:color w:val="auto"/>
      <w:sz w:val="24"/>
      <w:szCs w:val="20"/>
      <w:lang w:val="en-GB" w:eastAsia="fr-FR"/>
    </w:rPr>
  </w:style>
  <w:style w:type="paragraph" w:customStyle="1" w:styleId="SuCoverTitle1">
    <w:name w:val="Su_Cover_Title1"/>
    <w:basedOn w:val="Normalny"/>
    <w:next w:val="SuCoverTitle2"/>
    <w:rsid w:val="00557E4F"/>
    <w:pPr>
      <w:suppressAutoHyphens/>
      <w:spacing w:before="2500"/>
      <w:jc w:val="center"/>
    </w:pPr>
    <w:rPr>
      <w:rFonts w:ascii="Times New Roman" w:eastAsia="Times New Roman" w:hAnsi="Times New Roman" w:cs="Times New Roman"/>
      <w:sz w:val="22"/>
      <w:szCs w:val="20"/>
      <w:lang w:val="en-GB" w:eastAsia="fr-FR"/>
    </w:rPr>
  </w:style>
  <w:style w:type="paragraph" w:customStyle="1" w:styleId="SuCoverTitle2">
    <w:name w:val="Su_Cover_Title2"/>
    <w:basedOn w:val="SuCoverTitle1"/>
    <w:next w:val="Normalny"/>
    <w:rsid w:val="00557E4F"/>
    <w:pPr>
      <w:spacing w:before="240"/>
    </w:pPr>
    <w:rPr>
      <w:sz w:val="18"/>
    </w:rPr>
  </w:style>
  <w:style w:type="paragraph" w:customStyle="1" w:styleId="SuPara">
    <w:name w:val="Su_Para"/>
    <w:basedOn w:val="SuKeywords"/>
    <w:rsid w:val="00557E4F"/>
    <w:pPr>
      <w:spacing w:before="0" w:after="0"/>
    </w:pPr>
    <w:rPr>
      <w:i w:val="0"/>
    </w:rPr>
  </w:style>
  <w:style w:type="paragraph" w:customStyle="1" w:styleId="SuKeywords">
    <w:name w:val="Su_Keywords"/>
    <w:basedOn w:val="SuHHead"/>
    <w:rsid w:val="00557E4F"/>
    <w:pPr>
      <w:spacing w:before="120"/>
    </w:pPr>
    <w:rPr>
      <w:b w:val="0"/>
      <w:i/>
    </w:rPr>
  </w:style>
  <w:style w:type="paragraph" w:customStyle="1" w:styleId="SuHHead">
    <w:name w:val="Su_H_Head"/>
    <w:basedOn w:val="SuSubject"/>
    <w:rsid w:val="00557E4F"/>
    <w:pPr>
      <w:spacing w:after="120"/>
    </w:pPr>
  </w:style>
  <w:style w:type="paragraph" w:customStyle="1" w:styleId="SuSubject">
    <w:name w:val="Su_Subject"/>
    <w:basedOn w:val="SuSummary"/>
    <w:rsid w:val="00557E4F"/>
    <w:pPr>
      <w:suppressAutoHyphens w:val="0"/>
      <w:spacing w:before="360"/>
      <w:jc w:val="both"/>
    </w:pPr>
    <w:rPr>
      <w:b/>
      <w:sz w:val="22"/>
    </w:rPr>
  </w:style>
  <w:style w:type="paragraph" w:customStyle="1" w:styleId="SuSummary">
    <w:name w:val="Su_Summary"/>
    <w:basedOn w:val="Normalny"/>
    <w:next w:val="SuSubject"/>
    <w:rsid w:val="00557E4F"/>
    <w:pPr>
      <w:suppressAutoHyphens/>
      <w:spacing w:after="240"/>
      <w:jc w:val="center"/>
    </w:pPr>
    <w:rPr>
      <w:rFonts w:ascii="Times New Roman" w:eastAsia="Times New Roman" w:hAnsi="Times New Roman" w:cs="Times New Roman"/>
      <w:szCs w:val="20"/>
      <w:lang w:val="en-GB" w:eastAsia="fr-FR"/>
    </w:rPr>
  </w:style>
  <w:style w:type="character" w:customStyle="1" w:styleId="JuNames0">
    <w:name w:val="Ju_Names"/>
    <w:rsid w:val="00557E4F"/>
    <w:rPr>
      <w:smallCaps/>
    </w:rPr>
  </w:style>
  <w:style w:type="paragraph" w:customStyle="1" w:styleId="NormalJustified">
    <w:name w:val="Normal_Justified"/>
    <w:basedOn w:val="Normalny"/>
    <w:rsid w:val="00557E4F"/>
    <w:pPr>
      <w:suppressAutoHyphens/>
    </w:pPr>
    <w:rPr>
      <w:rFonts w:ascii="Times New Roman" w:eastAsia="Times New Roman" w:hAnsi="Times New Roman" w:cs="Times New Roman"/>
      <w:szCs w:val="20"/>
      <w:lang w:val="en-GB" w:eastAsia="fr-FR"/>
    </w:rPr>
  </w:style>
  <w:style w:type="paragraph" w:customStyle="1" w:styleId="NormalTimesNewRoman">
    <w:name w:val="Normal_TimesNewRoman"/>
    <w:rsid w:val="00557E4F"/>
    <w:pPr>
      <w:spacing w:after="0" w:line="240" w:lineRule="auto"/>
    </w:pPr>
    <w:rPr>
      <w:rFonts w:ascii="Times New Roman" w:eastAsia="Times New Roman" w:hAnsi="Times New Roman" w:cs="Times New Roman"/>
      <w:sz w:val="24"/>
      <w:szCs w:val="20"/>
      <w:lang w:val="en-GB" w:eastAsia="fr-FR"/>
    </w:rPr>
  </w:style>
  <w:style w:type="character" w:customStyle="1" w:styleId="DefaultTimesNewRoman">
    <w:name w:val="Default_TimesNewRoman"/>
    <w:rsid w:val="00557E4F"/>
    <w:rPr>
      <w:rFonts w:ascii="Times New Roman" w:hAnsi="Times New Roman"/>
    </w:rPr>
  </w:style>
  <w:style w:type="character" w:customStyle="1" w:styleId="JuHHeadChar">
    <w:name w:val="Ju_H_Head Char"/>
    <w:link w:val="ECHRTitle1"/>
    <w:uiPriority w:val="18"/>
    <w:rsid w:val="00557E4F"/>
    <w:rPr>
      <w:rFonts w:asciiTheme="majorHAnsi" w:eastAsiaTheme="minorEastAsia" w:hAnsiTheme="majorHAnsi"/>
      <w:sz w:val="28"/>
      <w:lang w:val="fr-FR" w:eastAsia="fr-FR"/>
    </w:rPr>
  </w:style>
  <w:style w:type="character" w:customStyle="1" w:styleId="JuTitleChar">
    <w:name w:val="Ju_Title Char"/>
    <w:link w:val="JuTitle"/>
    <w:rsid w:val="00557E4F"/>
    <w:rPr>
      <w:rFonts w:asciiTheme="majorHAnsi" w:eastAsiaTheme="minorEastAsia" w:hAnsiTheme="majorHAnsi"/>
      <w:b/>
      <w:caps/>
      <w:sz w:val="24"/>
      <w:lang w:val="fr-FR" w:eastAsia="fr-FR"/>
    </w:rPr>
  </w:style>
  <w:style w:type="character" w:customStyle="1" w:styleId="JuParaChar">
    <w:name w:val="Ju_Para Char"/>
    <w:uiPriority w:val="99"/>
    <w:rsid w:val="00557E4F"/>
    <w:rPr>
      <w:sz w:val="24"/>
      <w:lang w:val="fr-FR" w:eastAsia="fr-FR" w:bidi="ar-SA"/>
    </w:rPr>
  </w:style>
  <w:style w:type="character" w:customStyle="1" w:styleId="ju-005fpara-0020char--char">
    <w:name w:val="ju-005fpara-0020char--char"/>
    <w:rsid w:val="00557E4F"/>
    <w:rPr>
      <w:rFonts w:cs="Times New Roman"/>
    </w:rPr>
  </w:style>
  <w:style w:type="character" w:customStyle="1" w:styleId="sb8d990e2">
    <w:name w:val="sb8d990e2"/>
    <w:rsid w:val="00557E4F"/>
  </w:style>
  <w:style w:type="paragraph" w:customStyle="1" w:styleId="JuParaCharCharCharCharCharCharCharCharCharCharCharCharCharCharCharCharCharCharCharCharCharCharCharCharCharCharCharCharCharCharCharCharCharCharCharCharChar">
    <w:name w:val="Ju_Para Char Char Char Char Char Char Char Char Char Char Char Char Char Char Char Char Char Char Char Char Char Char Char Char Char Char Char Char Char Char Char Char Char Char Char Char Char"/>
    <w:basedOn w:val="Normalny"/>
    <w:link w:val="JuParaCharCharCharCharCharCharCharCharCharCharCharCharCharCharCharCharCharCharCharCharCharCharCharCharCharCharCharCharCharCharCharCharCharCharCharCharCharChar"/>
    <w:rsid w:val="00557E4F"/>
    <w:pPr>
      <w:suppressAutoHyphens/>
      <w:ind w:firstLine="284"/>
    </w:pPr>
    <w:rPr>
      <w:rFonts w:ascii="Times New Roman" w:eastAsia="Times New Roman" w:hAnsi="Times New Roman" w:cs="Times New Roman"/>
      <w:szCs w:val="20"/>
      <w:lang w:val="en-GB" w:eastAsia="fr-FR"/>
    </w:rPr>
  </w:style>
  <w:style w:type="character" w:customStyle="1" w:styleId="JuParaCharCharCharCharCharCharCharCharCharCharCharCharCharCharCharCharCharCharCharCharCharCharCharCharCharCharCharCharCharCharCharCharCharCharCharCharCharChar">
    <w:name w:val="Ju_Para Char Char Char Char Char Char Char Char Char Char Char Char Char Char Char Char Char Char Char Char Char Char Char Char Char Char Char Char Char Char Char Char Char Char Char Char Char Char"/>
    <w:link w:val="JuParaCharCharCharCharCharCharCharCharCharCharCharCharCharCharCharCharCharCharCharCharCharCharCharCharCharCharCharCharCharCharCharCharCharCharCharCharChar"/>
    <w:rsid w:val="00557E4F"/>
    <w:rPr>
      <w:rFonts w:ascii="Times New Roman" w:eastAsia="Times New Roman" w:hAnsi="Times New Roman" w:cs="Times New Roman"/>
      <w:sz w:val="24"/>
      <w:szCs w:val="20"/>
      <w:lang w:val="en-GB" w:eastAsia="fr-FR"/>
    </w:rPr>
  </w:style>
  <w:style w:type="character" w:customStyle="1" w:styleId="ju-005fpara-002cleft-002cfirst-0020line-003a-0020-00200-0020cm--char">
    <w:name w:val="ju-005fpara-002cleft-002cfirst-0020line-003a-0020-00200-0020cm--char"/>
    <w:rsid w:val="00557E4F"/>
  </w:style>
  <w:style w:type="paragraph" w:customStyle="1" w:styleId="s6e50bd9a">
    <w:name w:val="s6e50bd9a"/>
    <w:basedOn w:val="Normalny"/>
    <w:uiPriority w:val="99"/>
    <w:rsid w:val="00E130A7"/>
    <w:pPr>
      <w:spacing w:before="100" w:beforeAutospacing="1" w:after="100" w:afterAutospacing="1"/>
      <w:jc w:val="left"/>
    </w:pPr>
    <w:rPr>
      <w:rFonts w:ascii="Times New Roman" w:eastAsia="Times New Roman" w:hAnsi="Times New Roman" w:cs="Times New Roman"/>
      <w:szCs w:val="24"/>
      <w:lang w:val="pl-PL" w:eastAsia="pl-PL"/>
    </w:rPr>
  </w:style>
  <w:style w:type="paragraph" w:customStyle="1" w:styleId="s746c8714">
    <w:name w:val="s746c8714"/>
    <w:basedOn w:val="Normalny"/>
    <w:uiPriority w:val="99"/>
    <w:rsid w:val="00E130A7"/>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4f807e54">
    <w:name w:val="s4f807e54"/>
    <w:basedOn w:val="Domylnaczcionkaakapitu"/>
    <w:rsid w:val="00E13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009682">
      <w:bodyDiv w:val="1"/>
      <w:marLeft w:val="0"/>
      <w:marRight w:val="0"/>
      <w:marTop w:val="0"/>
      <w:marBottom w:val="0"/>
      <w:divBdr>
        <w:top w:val="none" w:sz="0" w:space="0" w:color="auto"/>
        <w:left w:val="none" w:sz="0" w:space="0" w:color="auto"/>
        <w:bottom w:val="none" w:sz="0" w:space="0" w:color="auto"/>
        <w:right w:val="none" w:sz="0" w:space="0" w:color="auto"/>
      </w:divBdr>
    </w:div>
    <w:div w:id="1323780373">
      <w:bodyDiv w:val="1"/>
      <w:marLeft w:val="0"/>
      <w:marRight w:val="0"/>
      <w:marTop w:val="0"/>
      <w:marBottom w:val="0"/>
      <w:divBdr>
        <w:top w:val="none" w:sz="0" w:space="0" w:color="auto"/>
        <w:left w:val="none" w:sz="0" w:space="0" w:color="auto"/>
        <w:bottom w:val="none" w:sz="0" w:space="0" w:color="auto"/>
        <w:right w:val="none" w:sz="0" w:space="0" w:color="auto"/>
      </w:divBdr>
    </w:div>
    <w:div w:id="2027050077">
      <w:bodyDiv w:val="1"/>
      <w:marLeft w:val="0"/>
      <w:marRight w:val="0"/>
      <w:marTop w:val="0"/>
      <w:marBottom w:val="0"/>
      <w:divBdr>
        <w:top w:val="none" w:sz="0" w:space="0" w:color="auto"/>
        <w:left w:val="none" w:sz="0" w:space="0" w:color="auto"/>
        <w:bottom w:val="none" w:sz="0" w:space="0" w:color="auto"/>
        <w:right w:val="none" w:sz="0" w:space="0" w:color="auto"/>
      </w:divBdr>
      <w:divsChild>
        <w:div w:id="2134327515">
          <w:marLeft w:val="0"/>
          <w:marRight w:val="0"/>
          <w:marTop w:val="0"/>
          <w:marBottom w:val="0"/>
          <w:divBdr>
            <w:top w:val="none" w:sz="0" w:space="0" w:color="auto"/>
            <w:left w:val="none" w:sz="0" w:space="0" w:color="auto"/>
            <w:bottom w:val="none" w:sz="0" w:space="0" w:color="auto"/>
            <w:right w:val="none" w:sz="0" w:space="0" w:color="auto"/>
          </w:divBdr>
          <w:divsChild>
            <w:div w:id="2056080629">
              <w:marLeft w:val="0"/>
              <w:marRight w:val="0"/>
              <w:marTop w:val="0"/>
              <w:marBottom w:val="0"/>
              <w:divBdr>
                <w:top w:val="none" w:sz="0" w:space="0" w:color="auto"/>
                <w:left w:val="none" w:sz="0" w:space="0" w:color="auto"/>
                <w:bottom w:val="none" w:sz="0" w:space="0" w:color="auto"/>
                <w:right w:val="none" w:sz="0" w:space="0" w:color="auto"/>
              </w:divBdr>
              <w:divsChild>
                <w:div w:id="369573875">
                  <w:marLeft w:val="0"/>
                  <w:marRight w:val="0"/>
                  <w:marTop w:val="0"/>
                  <w:marBottom w:val="0"/>
                  <w:divBdr>
                    <w:top w:val="none" w:sz="0" w:space="0" w:color="auto"/>
                    <w:left w:val="none" w:sz="0" w:space="0" w:color="auto"/>
                    <w:bottom w:val="none" w:sz="0" w:space="0" w:color="auto"/>
                    <w:right w:val="none" w:sz="0" w:space="0" w:color="auto"/>
                  </w:divBdr>
                </w:div>
                <w:div w:id="1951887422">
                  <w:marLeft w:val="0"/>
                  <w:marRight w:val="0"/>
                  <w:marTop w:val="0"/>
                  <w:marBottom w:val="0"/>
                  <w:divBdr>
                    <w:top w:val="none" w:sz="0" w:space="0" w:color="auto"/>
                    <w:left w:val="none" w:sz="0" w:space="0" w:color="auto"/>
                    <w:bottom w:val="none" w:sz="0" w:space="0" w:color="auto"/>
                    <w:right w:val="none" w:sz="0" w:space="0" w:color="auto"/>
                  </w:divBdr>
                </w:div>
                <w:div w:id="536508345">
                  <w:marLeft w:val="0"/>
                  <w:marRight w:val="0"/>
                  <w:marTop w:val="0"/>
                  <w:marBottom w:val="0"/>
                  <w:divBdr>
                    <w:top w:val="none" w:sz="0" w:space="0" w:color="auto"/>
                    <w:left w:val="none" w:sz="0" w:space="0" w:color="auto"/>
                    <w:bottom w:val="none" w:sz="0" w:space="0" w:color="auto"/>
                    <w:right w:val="none" w:sz="0" w:space="0" w:color="auto"/>
                  </w:divBdr>
                </w:div>
                <w:div w:id="397290478">
                  <w:marLeft w:val="0"/>
                  <w:marRight w:val="0"/>
                  <w:marTop w:val="0"/>
                  <w:marBottom w:val="0"/>
                  <w:divBdr>
                    <w:top w:val="none" w:sz="0" w:space="0" w:color="auto"/>
                    <w:left w:val="none" w:sz="0" w:space="0" w:color="auto"/>
                    <w:bottom w:val="none" w:sz="0" w:space="0" w:color="auto"/>
                    <w:right w:val="none" w:sz="0" w:space="0" w:color="auto"/>
                  </w:divBdr>
                </w:div>
                <w:div w:id="1321303820">
                  <w:marLeft w:val="0"/>
                  <w:marRight w:val="0"/>
                  <w:marTop w:val="0"/>
                  <w:marBottom w:val="0"/>
                  <w:divBdr>
                    <w:top w:val="none" w:sz="0" w:space="0" w:color="auto"/>
                    <w:left w:val="none" w:sz="0" w:space="0" w:color="auto"/>
                    <w:bottom w:val="none" w:sz="0" w:space="0" w:color="auto"/>
                    <w:right w:val="none" w:sz="0" w:space="0" w:color="auto"/>
                  </w:divBdr>
                </w:div>
                <w:div w:id="179394840">
                  <w:marLeft w:val="0"/>
                  <w:marRight w:val="0"/>
                  <w:marTop w:val="0"/>
                  <w:marBottom w:val="0"/>
                  <w:divBdr>
                    <w:top w:val="none" w:sz="0" w:space="0" w:color="auto"/>
                    <w:left w:val="none" w:sz="0" w:space="0" w:color="auto"/>
                    <w:bottom w:val="none" w:sz="0" w:space="0" w:color="auto"/>
                    <w:right w:val="none" w:sz="0" w:space="0" w:color="auto"/>
                  </w:divBdr>
                </w:div>
                <w:div w:id="300305301">
                  <w:marLeft w:val="0"/>
                  <w:marRight w:val="0"/>
                  <w:marTop w:val="0"/>
                  <w:marBottom w:val="0"/>
                  <w:divBdr>
                    <w:top w:val="none" w:sz="0" w:space="0" w:color="auto"/>
                    <w:left w:val="none" w:sz="0" w:space="0" w:color="auto"/>
                    <w:bottom w:val="none" w:sz="0" w:space="0" w:color="auto"/>
                    <w:right w:val="none" w:sz="0" w:space="0" w:color="auto"/>
                  </w:divBdr>
                </w:div>
                <w:div w:id="805656930">
                  <w:marLeft w:val="0"/>
                  <w:marRight w:val="0"/>
                  <w:marTop w:val="0"/>
                  <w:marBottom w:val="0"/>
                  <w:divBdr>
                    <w:top w:val="none" w:sz="0" w:space="0" w:color="auto"/>
                    <w:left w:val="none" w:sz="0" w:space="0" w:color="auto"/>
                    <w:bottom w:val="none" w:sz="0" w:space="0" w:color="auto"/>
                    <w:right w:val="none" w:sz="0" w:space="0" w:color="auto"/>
                  </w:divBdr>
                </w:div>
                <w:div w:id="782649827">
                  <w:marLeft w:val="0"/>
                  <w:marRight w:val="0"/>
                  <w:marTop w:val="0"/>
                  <w:marBottom w:val="0"/>
                  <w:divBdr>
                    <w:top w:val="none" w:sz="0" w:space="0" w:color="auto"/>
                    <w:left w:val="none" w:sz="0" w:space="0" w:color="auto"/>
                    <w:bottom w:val="none" w:sz="0" w:space="0" w:color="auto"/>
                    <w:right w:val="none" w:sz="0" w:space="0" w:color="auto"/>
                  </w:divBdr>
                </w:div>
                <w:div w:id="958949582">
                  <w:marLeft w:val="0"/>
                  <w:marRight w:val="0"/>
                  <w:marTop w:val="0"/>
                  <w:marBottom w:val="0"/>
                  <w:divBdr>
                    <w:top w:val="none" w:sz="0" w:space="0" w:color="auto"/>
                    <w:left w:val="none" w:sz="0" w:space="0" w:color="auto"/>
                    <w:bottom w:val="none" w:sz="0" w:space="0" w:color="auto"/>
                    <w:right w:val="none" w:sz="0" w:space="0" w:color="auto"/>
                  </w:divBdr>
                </w:div>
                <w:div w:id="1201162757">
                  <w:marLeft w:val="0"/>
                  <w:marRight w:val="0"/>
                  <w:marTop w:val="0"/>
                  <w:marBottom w:val="0"/>
                  <w:divBdr>
                    <w:top w:val="none" w:sz="0" w:space="0" w:color="auto"/>
                    <w:left w:val="none" w:sz="0" w:space="0" w:color="auto"/>
                    <w:bottom w:val="none" w:sz="0" w:space="0" w:color="auto"/>
                    <w:right w:val="none" w:sz="0" w:space="0" w:color="auto"/>
                  </w:divBdr>
                </w:div>
                <w:div w:id="1191869419">
                  <w:marLeft w:val="0"/>
                  <w:marRight w:val="0"/>
                  <w:marTop w:val="0"/>
                  <w:marBottom w:val="0"/>
                  <w:divBdr>
                    <w:top w:val="none" w:sz="0" w:space="0" w:color="auto"/>
                    <w:left w:val="none" w:sz="0" w:space="0" w:color="auto"/>
                    <w:bottom w:val="none" w:sz="0" w:space="0" w:color="auto"/>
                    <w:right w:val="none" w:sz="0" w:space="0" w:color="auto"/>
                  </w:divBdr>
                </w:div>
                <w:div w:id="342827929">
                  <w:marLeft w:val="0"/>
                  <w:marRight w:val="0"/>
                  <w:marTop w:val="0"/>
                  <w:marBottom w:val="0"/>
                  <w:divBdr>
                    <w:top w:val="none" w:sz="0" w:space="0" w:color="auto"/>
                    <w:left w:val="none" w:sz="0" w:space="0" w:color="auto"/>
                    <w:bottom w:val="none" w:sz="0" w:space="0" w:color="auto"/>
                    <w:right w:val="none" w:sz="0" w:space="0" w:color="auto"/>
                  </w:divBdr>
                </w:div>
                <w:div w:id="925722991">
                  <w:marLeft w:val="0"/>
                  <w:marRight w:val="0"/>
                  <w:marTop w:val="0"/>
                  <w:marBottom w:val="0"/>
                  <w:divBdr>
                    <w:top w:val="none" w:sz="0" w:space="0" w:color="auto"/>
                    <w:left w:val="none" w:sz="0" w:space="0" w:color="auto"/>
                    <w:bottom w:val="none" w:sz="0" w:space="0" w:color="auto"/>
                    <w:right w:val="none" w:sz="0" w:space="0" w:color="auto"/>
                  </w:divBdr>
                </w:div>
                <w:div w:id="1696275248">
                  <w:marLeft w:val="0"/>
                  <w:marRight w:val="0"/>
                  <w:marTop w:val="0"/>
                  <w:marBottom w:val="0"/>
                  <w:divBdr>
                    <w:top w:val="none" w:sz="0" w:space="0" w:color="auto"/>
                    <w:left w:val="none" w:sz="0" w:space="0" w:color="auto"/>
                    <w:bottom w:val="none" w:sz="0" w:space="0" w:color="auto"/>
                    <w:right w:val="none" w:sz="0" w:space="0" w:color="auto"/>
                  </w:divBdr>
                </w:div>
                <w:div w:id="131680081">
                  <w:marLeft w:val="0"/>
                  <w:marRight w:val="0"/>
                  <w:marTop w:val="0"/>
                  <w:marBottom w:val="0"/>
                  <w:divBdr>
                    <w:top w:val="none" w:sz="0" w:space="0" w:color="auto"/>
                    <w:left w:val="none" w:sz="0" w:space="0" w:color="auto"/>
                    <w:bottom w:val="none" w:sz="0" w:space="0" w:color="auto"/>
                    <w:right w:val="none" w:sz="0" w:space="0" w:color="auto"/>
                  </w:divBdr>
                </w:div>
                <w:div w:id="6491612">
                  <w:marLeft w:val="0"/>
                  <w:marRight w:val="0"/>
                  <w:marTop w:val="0"/>
                  <w:marBottom w:val="0"/>
                  <w:divBdr>
                    <w:top w:val="none" w:sz="0" w:space="0" w:color="auto"/>
                    <w:left w:val="none" w:sz="0" w:space="0" w:color="auto"/>
                    <w:bottom w:val="none" w:sz="0" w:space="0" w:color="auto"/>
                    <w:right w:val="none" w:sz="0" w:space="0" w:color="auto"/>
                  </w:divBdr>
                </w:div>
                <w:div w:id="1005128494">
                  <w:marLeft w:val="0"/>
                  <w:marRight w:val="0"/>
                  <w:marTop w:val="0"/>
                  <w:marBottom w:val="0"/>
                  <w:divBdr>
                    <w:top w:val="none" w:sz="0" w:space="0" w:color="auto"/>
                    <w:left w:val="none" w:sz="0" w:space="0" w:color="auto"/>
                    <w:bottom w:val="none" w:sz="0" w:space="0" w:color="auto"/>
                    <w:right w:val="none" w:sz="0" w:space="0" w:color="auto"/>
                  </w:divBdr>
                </w:div>
                <w:div w:id="1853258576">
                  <w:marLeft w:val="0"/>
                  <w:marRight w:val="0"/>
                  <w:marTop w:val="0"/>
                  <w:marBottom w:val="0"/>
                  <w:divBdr>
                    <w:top w:val="none" w:sz="0" w:space="0" w:color="auto"/>
                    <w:left w:val="none" w:sz="0" w:space="0" w:color="auto"/>
                    <w:bottom w:val="none" w:sz="0" w:space="0" w:color="auto"/>
                    <w:right w:val="none" w:sz="0" w:space="0" w:color="auto"/>
                  </w:divBdr>
                </w:div>
                <w:div w:id="1687946625">
                  <w:marLeft w:val="0"/>
                  <w:marRight w:val="0"/>
                  <w:marTop w:val="0"/>
                  <w:marBottom w:val="0"/>
                  <w:divBdr>
                    <w:top w:val="none" w:sz="0" w:space="0" w:color="auto"/>
                    <w:left w:val="none" w:sz="0" w:space="0" w:color="auto"/>
                    <w:bottom w:val="none" w:sz="0" w:space="0" w:color="auto"/>
                    <w:right w:val="none" w:sz="0" w:space="0" w:color="auto"/>
                  </w:divBdr>
                </w:div>
                <w:div w:id="576093716">
                  <w:marLeft w:val="0"/>
                  <w:marRight w:val="0"/>
                  <w:marTop w:val="0"/>
                  <w:marBottom w:val="0"/>
                  <w:divBdr>
                    <w:top w:val="none" w:sz="0" w:space="0" w:color="auto"/>
                    <w:left w:val="none" w:sz="0" w:space="0" w:color="auto"/>
                    <w:bottom w:val="none" w:sz="0" w:space="0" w:color="auto"/>
                    <w:right w:val="none" w:sz="0" w:space="0" w:color="auto"/>
                  </w:divBdr>
                </w:div>
                <w:div w:id="1699040467">
                  <w:marLeft w:val="0"/>
                  <w:marRight w:val="0"/>
                  <w:marTop w:val="0"/>
                  <w:marBottom w:val="0"/>
                  <w:divBdr>
                    <w:top w:val="none" w:sz="0" w:space="0" w:color="auto"/>
                    <w:left w:val="none" w:sz="0" w:space="0" w:color="auto"/>
                    <w:bottom w:val="none" w:sz="0" w:space="0" w:color="auto"/>
                    <w:right w:val="none" w:sz="0" w:space="0" w:color="auto"/>
                  </w:divBdr>
                </w:div>
                <w:div w:id="1469589129">
                  <w:marLeft w:val="0"/>
                  <w:marRight w:val="0"/>
                  <w:marTop w:val="0"/>
                  <w:marBottom w:val="0"/>
                  <w:divBdr>
                    <w:top w:val="none" w:sz="0" w:space="0" w:color="auto"/>
                    <w:left w:val="none" w:sz="0" w:space="0" w:color="auto"/>
                    <w:bottom w:val="none" w:sz="0" w:space="0" w:color="auto"/>
                    <w:right w:val="none" w:sz="0" w:space="0" w:color="auto"/>
                  </w:divBdr>
                </w:div>
                <w:div w:id="1892493295">
                  <w:marLeft w:val="0"/>
                  <w:marRight w:val="0"/>
                  <w:marTop w:val="0"/>
                  <w:marBottom w:val="0"/>
                  <w:divBdr>
                    <w:top w:val="none" w:sz="0" w:space="0" w:color="auto"/>
                    <w:left w:val="none" w:sz="0" w:space="0" w:color="auto"/>
                    <w:bottom w:val="none" w:sz="0" w:space="0" w:color="auto"/>
                    <w:right w:val="none" w:sz="0" w:space="0" w:color="auto"/>
                  </w:divBdr>
                </w:div>
                <w:div w:id="370695610">
                  <w:marLeft w:val="0"/>
                  <w:marRight w:val="0"/>
                  <w:marTop w:val="0"/>
                  <w:marBottom w:val="0"/>
                  <w:divBdr>
                    <w:top w:val="none" w:sz="0" w:space="0" w:color="auto"/>
                    <w:left w:val="none" w:sz="0" w:space="0" w:color="auto"/>
                    <w:bottom w:val="none" w:sz="0" w:space="0" w:color="auto"/>
                    <w:right w:val="none" w:sz="0" w:space="0" w:color="auto"/>
                  </w:divBdr>
                </w:div>
                <w:div w:id="1027829980">
                  <w:marLeft w:val="0"/>
                  <w:marRight w:val="0"/>
                  <w:marTop w:val="0"/>
                  <w:marBottom w:val="0"/>
                  <w:divBdr>
                    <w:top w:val="none" w:sz="0" w:space="0" w:color="auto"/>
                    <w:left w:val="none" w:sz="0" w:space="0" w:color="auto"/>
                    <w:bottom w:val="none" w:sz="0" w:space="0" w:color="auto"/>
                    <w:right w:val="none" w:sz="0" w:space="0" w:color="auto"/>
                  </w:divBdr>
                </w:div>
                <w:div w:id="1594900221">
                  <w:marLeft w:val="0"/>
                  <w:marRight w:val="0"/>
                  <w:marTop w:val="0"/>
                  <w:marBottom w:val="0"/>
                  <w:divBdr>
                    <w:top w:val="none" w:sz="0" w:space="0" w:color="auto"/>
                    <w:left w:val="none" w:sz="0" w:space="0" w:color="auto"/>
                    <w:bottom w:val="none" w:sz="0" w:space="0" w:color="auto"/>
                    <w:right w:val="none" w:sz="0" w:space="0" w:color="auto"/>
                  </w:divBdr>
                </w:div>
                <w:div w:id="68576487">
                  <w:marLeft w:val="0"/>
                  <w:marRight w:val="0"/>
                  <w:marTop w:val="0"/>
                  <w:marBottom w:val="0"/>
                  <w:divBdr>
                    <w:top w:val="none" w:sz="0" w:space="0" w:color="auto"/>
                    <w:left w:val="none" w:sz="0" w:space="0" w:color="auto"/>
                    <w:bottom w:val="none" w:sz="0" w:space="0" w:color="auto"/>
                    <w:right w:val="none" w:sz="0" w:space="0" w:color="auto"/>
                  </w:divBdr>
                </w:div>
                <w:div w:id="568928609">
                  <w:marLeft w:val="0"/>
                  <w:marRight w:val="0"/>
                  <w:marTop w:val="0"/>
                  <w:marBottom w:val="0"/>
                  <w:divBdr>
                    <w:top w:val="none" w:sz="0" w:space="0" w:color="auto"/>
                    <w:left w:val="none" w:sz="0" w:space="0" w:color="auto"/>
                    <w:bottom w:val="none" w:sz="0" w:space="0" w:color="auto"/>
                    <w:right w:val="none" w:sz="0" w:space="0" w:color="auto"/>
                  </w:divBdr>
                </w:div>
                <w:div w:id="275909226">
                  <w:marLeft w:val="0"/>
                  <w:marRight w:val="0"/>
                  <w:marTop w:val="0"/>
                  <w:marBottom w:val="0"/>
                  <w:divBdr>
                    <w:top w:val="none" w:sz="0" w:space="0" w:color="auto"/>
                    <w:left w:val="none" w:sz="0" w:space="0" w:color="auto"/>
                    <w:bottom w:val="none" w:sz="0" w:space="0" w:color="auto"/>
                    <w:right w:val="none" w:sz="0" w:space="0" w:color="auto"/>
                  </w:divBdr>
                </w:div>
                <w:div w:id="57637741">
                  <w:marLeft w:val="0"/>
                  <w:marRight w:val="0"/>
                  <w:marTop w:val="0"/>
                  <w:marBottom w:val="0"/>
                  <w:divBdr>
                    <w:top w:val="none" w:sz="0" w:space="0" w:color="auto"/>
                    <w:left w:val="none" w:sz="0" w:space="0" w:color="auto"/>
                    <w:bottom w:val="none" w:sz="0" w:space="0" w:color="auto"/>
                    <w:right w:val="none" w:sz="0" w:space="0" w:color="auto"/>
                  </w:divBdr>
                </w:div>
                <w:div w:id="1108280823">
                  <w:marLeft w:val="0"/>
                  <w:marRight w:val="0"/>
                  <w:marTop w:val="0"/>
                  <w:marBottom w:val="0"/>
                  <w:divBdr>
                    <w:top w:val="none" w:sz="0" w:space="0" w:color="auto"/>
                    <w:left w:val="none" w:sz="0" w:space="0" w:color="auto"/>
                    <w:bottom w:val="none" w:sz="0" w:space="0" w:color="auto"/>
                    <w:right w:val="none" w:sz="0" w:space="0" w:color="auto"/>
                  </w:divBdr>
                </w:div>
                <w:div w:id="1695304430">
                  <w:marLeft w:val="0"/>
                  <w:marRight w:val="0"/>
                  <w:marTop w:val="0"/>
                  <w:marBottom w:val="0"/>
                  <w:divBdr>
                    <w:top w:val="none" w:sz="0" w:space="0" w:color="auto"/>
                    <w:left w:val="none" w:sz="0" w:space="0" w:color="auto"/>
                    <w:bottom w:val="none" w:sz="0" w:space="0" w:color="auto"/>
                    <w:right w:val="none" w:sz="0" w:space="0" w:color="auto"/>
                  </w:divBdr>
                </w:div>
                <w:div w:id="984698445">
                  <w:marLeft w:val="0"/>
                  <w:marRight w:val="0"/>
                  <w:marTop w:val="0"/>
                  <w:marBottom w:val="0"/>
                  <w:divBdr>
                    <w:top w:val="none" w:sz="0" w:space="0" w:color="auto"/>
                    <w:left w:val="none" w:sz="0" w:space="0" w:color="auto"/>
                    <w:bottom w:val="none" w:sz="0" w:space="0" w:color="auto"/>
                    <w:right w:val="none" w:sz="0" w:space="0" w:color="auto"/>
                  </w:divBdr>
                </w:div>
                <w:div w:id="1831215885">
                  <w:marLeft w:val="0"/>
                  <w:marRight w:val="0"/>
                  <w:marTop w:val="0"/>
                  <w:marBottom w:val="0"/>
                  <w:divBdr>
                    <w:top w:val="none" w:sz="0" w:space="0" w:color="auto"/>
                    <w:left w:val="none" w:sz="0" w:space="0" w:color="auto"/>
                    <w:bottom w:val="none" w:sz="0" w:space="0" w:color="auto"/>
                    <w:right w:val="none" w:sz="0" w:space="0" w:color="auto"/>
                  </w:divBdr>
                </w:div>
                <w:div w:id="1295335531">
                  <w:marLeft w:val="0"/>
                  <w:marRight w:val="0"/>
                  <w:marTop w:val="0"/>
                  <w:marBottom w:val="0"/>
                  <w:divBdr>
                    <w:top w:val="none" w:sz="0" w:space="0" w:color="auto"/>
                    <w:left w:val="none" w:sz="0" w:space="0" w:color="auto"/>
                    <w:bottom w:val="none" w:sz="0" w:space="0" w:color="auto"/>
                    <w:right w:val="none" w:sz="0" w:space="0" w:color="auto"/>
                  </w:divBdr>
                </w:div>
                <w:div w:id="1534420876">
                  <w:marLeft w:val="0"/>
                  <w:marRight w:val="0"/>
                  <w:marTop w:val="0"/>
                  <w:marBottom w:val="0"/>
                  <w:divBdr>
                    <w:top w:val="none" w:sz="0" w:space="0" w:color="auto"/>
                    <w:left w:val="none" w:sz="0" w:space="0" w:color="auto"/>
                    <w:bottom w:val="none" w:sz="0" w:space="0" w:color="auto"/>
                    <w:right w:val="none" w:sz="0" w:space="0" w:color="auto"/>
                  </w:divBdr>
                </w:div>
                <w:div w:id="311640860">
                  <w:marLeft w:val="0"/>
                  <w:marRight w:val="0"/>
                  <w:marTop w:val="0"/>
                  <w:marBottom w:val="0"/>
                  <w:divBdr>
                    <w:top w:val="none" w:sz="0" w:space="0" w:color="auto"/>
                    <w:left w:val="none" w:sz="0" w:space="0" w:color="auto"/>
                    <w:bottom w:val="none" w:sz="0" w:space="0" w:color="auto"/>
                    <w:right w:val="none" w:sz="0" w:space="0" w:color="auto"/>
                  </w:divBdr>
                </w:div>
                <w:div w:id="860432175">
                  <w:marLeft w:val="0"/>
                  <w:marRight w:val="0"/>
                  <w:marTop w:val="0"/>
                  <w:marBottom w:val="0"/>
                  <w:divBdr>
                    <w:top w:val="none" w:sz="0" w:space="0" w:color="auto"/>
                    <w:left w:val="none" w:sz="0" w:space="0" w:color="auto"/>
                    <w:bottom w:val="none" w:sz="0" w:space="0" w:color="auto"/>
                    <w:right w:val="none" w:sz="0" w:space="0" w:color="auto"/>
                  </w:divBdr>
                </w:div>
                <w:div w:id="1198545099">
                  <w:marLeft w:val="0"/>
                  <w:marRight w:val="0"/>
                  <w:marTop w:val="0"/>
                  <w:marBottom w:val="0"/>
                  <w:divBdr>
                    <w:top w:val="none" w:sz="0" w:space="0" w:color="auto"/>
                    <w:left w:val="none" w:sz="0" w:space="0" w:color="auto"/>
                    <w:bottom w:val="none" w:sz="0" w:space="0" w:color="auto"/>
                    <w:right w:val="none" w:sz="0" w:space="0" w:color="auto"/>
                  </w:divBdr>
                </w:div>
                <w:div w:id="262421278">
                  <w:marLeft w:val="0"/>
                  <w:marRight w:val="0"/>
                  <w:marTop w:val="0"/>
                  <w:marBottom w:val="0"/>
                  <w:divBdr>
                    <w:top w:val="none" w:sz="0" w:space="0" w:color="auto"/>
                    <w:left w:val="none" w:sz="0" w:space="0" w:color="auto"/>
                    <w:bottom w:val="none" w:sz="0" w:space="0" w:color="auto"/>
                    <w:right w:val="none" w:sz="0" w:space="0" w:color="auto"/>
                  </w:divBdr>
                </w:div>
                <w:div w:id="133640198">
                  <w:marLeft w:val="0"/>
                  <w:marRight w:val="0"/>
                  <w:marTop w:val="0"/>
                  <w:marBottom w:val="0"/>
                  <w:divBdr>
                    <w:top w:val="none" w:sz="0" w:space="0" w:color="auto"/>
                    <w:left w:val="none" w:sz="0" w:space="0" w:color="auto"/>
                    <w:bottom w:val="none" w:sz="0" w:space="0" w:color="auto"/>
                    <w:right w:val="none" w:sz="0" w:space="0" w:color="auto"/>
                  </w:divBdr>
                </w:div>
                <w:div w:id="1920753355">
                  <w:marLeft w:val="0"/>
                  <w:marRight w:val="0"/>
                  <w:marTop w:val="0"/>
                  <w:marBottom w:val="0"/>
                  <w:divBdr>
                    <w:top w:val="none" w:sz="0" w:space="0" w:color="auto"/>
                    <w:left w:val="none" w:sz="0" w:space="0" w:color="auto"/>
                    <w:bottom w:val="none" w:sz="0" w:space="0" w:color="auto"/>
                    <w:right w:val="none" w:sz="0" w:space="0" w:color="auto"/>
                  </w:divBdr>
                </w:div>
                <w:div w:id="737241047">
                  <w:marLeft w:val="0"/>
                  <w:marRight w:val="0"/>
                  <w:marTop w:val="0"/>
                  <w:marBottom w:val="0"/>
                  <w:divBdr>
                    <w:top w:val="none" w:sz="0" w:space="0" w:color="auto"/>
                    <w:left w:val="none" w:sz="0" w:space="0" w:color="auto"/>
                    <w:bottom w:val="none" w:sz="0" w:space="0" w:color="auto"/>
                    <w:right w:val="none" w:sz="0" w:space="0" w:color="auto"/>
                  </w:divBdr>
                </w:div>
                <w:div w:id="962535266">
                  <w:marLeft w:val="0"/>
                  <w:marRight w:val="0"/>
                  <w:marTop w:val="0"/>
                  <w:marBottom w:val="0"/>
                  <w:divBdr>
                    <w:top w:val="none" w:sz="0" w:space="0" w:color="auto"/>
                    <w:left w:val="none" w:sz="0" w:space="0" w:color="auto"/>
                    <w:bottom w:val="none" w:sz="0" w:space="0" w:color="auto"/>
                    <w:right w:val="none" w:sz="0" w:space="0" w:color="auto"/>
                  </w:divBdr>
                </w:div>
                <w:div w:id="139228509">
                  <w:marLeft w:val="0"/>
                  <w:marRight w:val="0"/>
                  <w:marTop w:val="0"/>
                  <w:marBottom w:val="0"/>
                  <w:divBdr>
                    <w:top w:val="none" w:sz="0" w:space="0" w:color="auto"/>
                    <w:left w:val="none" w:sz="0" w:space="0" w:color="auto"/>
                    <w:bottom w:val="none" w:sz="0" w:space="0" w:color="auto"/>
                    <w:right w:val="none" w:sz="0" w:space="0" w:color="auto"/>
                  </w:divBdr>
                </w:div>
                <w:div w:id="707530985">
                  <w:marLeft w:val="0"/>
                  <w:marRight w:val="0"/>
                  <w:marTop w:val="0"/>
                  <w:marBottom w:val="0"/>
                  <w:divBdr>
                    <w:top w:val="none" w:sz="0" w:space="0" w:color="auto"/>
                    <w:left w:val="none" w:sz="0" w:space="0" w:color="auto"/>
                    <w:bottom w:val="none" w:sz="0" w:space="0" w:color="auto"/>
                    <w:right w:val="none" w:sz="0" w:space="0" w:color="auto"/>
                  </w:divBdr>
                </w:div>
                <w:div w:id="1134837277">
                  <w:marLeft w:val="0"/>
                  <w:marRight w:val="0"/>
                  <w:marTop w:val="0"/>
                  <w:marBottom w:val="0"/>
                  <w:divBdr>
                    <w:top w:val="none" w:sz="0" w:space="0" w:color="auto"/>
                    <w:left w:val="none" w:sz="0" w:space="0" w:color="auto"/>
                    <w:bottom w:val="none" w:sz="0" w:space="0" w:color="auto"/>
                    <w:right w:val="none" w:sz="0" w:space="0" w:color="auto"/>
                  </w:divBdr>
                </w:div>
                <w:div w:id="2037847119">
                  <w:marLeft w:val="0"/>
                  <w:marRight w:val="0"/>
                  <w:marTop w:val="0"/>
                  <w:marBottom w:val="0"/>
                  <w:divBdr>
                    <w:top w:val="none" w:sz="0" w:space="0" w:color="auto"/>
                    <w:left w:val="none" w:sz="0" w:space="0" w:color="auto"/>
                    <w:bottom w:val="none" w:sz="0" w:space="0" w:color="auto"/>
                    <w:right w:val="none" w:sz="0" w:space="0" w:color="auto"/>
                  </w:divBdr>
                </w:div>
                <w:div w:id="984049880">
                  <w:marLeft w:val="0"/>
                  <w:marRight w:val="0"/>
                  <w:marTop w:val="0"/>
                  <w:marBottom w:val="0"/>
                  <w:divBdr>
                    <w:top w:val="none" w:sz="0" w:space="0" w:color="auto"/>
                    <w:left w:val="none" w:sz="0" w:space="0" w:color="auto"/>
                    <w:bottom w:val="none" w:sz="0" w:space="0" w:color="auto"/>
                    <w:right w:val="none" w:sz="0" w:space="0" w:color="auto"/>
                  </w:divBdr>
                </w:div>
                <w:div w:id="1001810819">
                  <w:marLeft w:val="0"/>
                  <w:marRight w:val="0"/>
                  <w:marTop w:val="0"/>
                  <w:marBottom w:val="0"/>
                  <w:divBdr>
                    <w:top w:val="none" w:sz="0" w:space="0" w:color="auto"/>
                    <w:left w:val="none" w:sz="0" w:space="0" w:color="auto"/>
                    <w:bottom w:val="none" w:sz="0" w:space="0" w:color="auto"/>
                    <w:right w:val="none" w:sz="0" w:space="0" w:color="auto"/>
                  </w:divBdr>
                </w:div>
                <w:div w:id="745345946">
                  <w:marLeft w:val="0"/>
                  <w:marRight w:val="0"/>
                  <w:marTop w:val="0"/>
                  <w:marBottom w:val="0"/>
                  <w:divBdr>
                    <w:top w:val="none" w:sz="0" w:space="0" w:color="auto"/>
                    <w:left w:val="none" w:sz="0" w:space="0" w:color="auto"/>
                    <w:bottom w:val="none" w:sz="0" w:space="0" w:color="auto"/>
                    <w:right w:val="none" w:sz="0" w:space="0" w:color="auto"/>
                  </w:divBdr>
                </w:div>
                <w:div w:id="52895916">
                  <w:marLeft w:val="0"/>
                  <w:marRight w:val="0"/>
                  <w:marTop w:val="0"/>
                  <w:marBottom w:val="0"/>
                  <w:divBdr>
                    <w:top w:val="none" w:sz="0" w:space="0" w:color="auto"/>
                    <w:left w:val="none" w:sz="0" w:space="0" w:color="auto"/>
                    <w:bottom w:val="none" w:sz="0" w:space="0" w:color="auto"/>
                    <w:right w:val="none" w:sz="0" w:space="0" w:color="auto"/>
                  </w:divBdr>
                </w:div>
                <w:div w:id="140972160">
                  <w:marLeft w:val="0"/>
                  <w:marRight w:val="0"/>
                  <w:marTop w:val="0"/>
                  <w:marBottom w:val="0"/>
                  <w:divBdr>
                    <w:top w:val="none" w:sz="0" w:space="0" w:color="auto"/>
                    <w:left w:val="none" w:sz="0" w:space="0" w:color="auto"/>
                    <w:bottom w:val="none" w:sz="0" w:space="0" w:color="auto"/>
                    <w:right w:val="none" w:sz="0" w:space="0" w:color="auto"/>
                  </w:divBdr>
                </w:div>
                <w:div w:id="2046367841">
                  <w:marLeft w:val="0"/>
                  <w:marRight w:val="0"/>
                  <w:marTop w:val="0"/>
                  <w:marBottom w:val="0"/>
                  <w:divBdr>
                    <w:top w:val="none" w:sz="0" w:space="0" w:color="auto"/>
                    <w:left w:val="none" w:sz="0" w:space="0" w:color="auto"/>
                    <w:bottom w:val="none" w:sz="0" w:space="0" w:color="auto"/>
                    <w:right w:val="none" w:sz="0" w:space="0" w:color="auto"/>
                  </w:divBdr>
                </w:div>
                <w:div w:id="1577473831">
                  <w:marLeft w:val="0"/>
                  <w:marRight w:val="0"/>
                  <w:marTop w:val="0"/>
                  <w:marBottom w:val="0"/>
                  <w:divBdr>
                    <w:top w:val="none" w:sz="0" w:space="0" w:color="auto"/>
                    <w:left w:val="none" w:sz="0" w:space="0" w:color="auto"/>
                    <w:bottom w:val="none" w:sz="0" w:space="0" w:color="auto"/>
                    <w:right w:val="none" w:sz="0" w:space="0" w:color="auto"/>
                  </w:divBdr>
                </w:div>
                <w:div w:id="634220867">
                  <w:marLeft w:val="0"/>
                  <w:marRight w:val="0"/>
                  <w:marTop w:val="0"/>
                  <w:marBottom w:val="0"/>
                  <w:divBdr>
                    <w:top w:val="none" w:sz="0" w:space="0" w:color="auto"/>
                    <w:left w:val="none" w:sz="0" w:space="0" w:color="auto"/>
                    <w:bottom w:val="none" w:sz="0" w:space="0" w:color="auto"/>
                    <w:right w:val="none" w:sz="0" w:space="0" w:color="auto"/>
                  </w:divBdr>
                </w:div>
                <w:div w:id="855921632">
                  <w:marLeft w:val="0"/>
                  <w:marRight w:val="0"/>
                  <w:marTop w:val="0"/>
                  <w:marBottom w:val="0"/>
                  <w:divBdr>
                    <w:top w:val="none" w:sz="0" w:space="0" w:color="auto"/>
                    <w:left w:val="none" w:sz="0" w:space="0" w:color="auto"/>
                    <w:bottom w:val="none" w:sz="0" w:space="0" w:color="auto"/>
                    <w:right w:val="none" w:sz="0" w:space="0" w:color="auto"/>
                  </w:divBdr>
                </w:div>
                <w:div w:id="1629624115">
                  <w:marLeft w:val="0"/>
                  <w:marRight w:val="0"/>
                  <w:marTop w:val="0"/>
                  <w:marBottom w:val="0"/>
                  <w:divBdr>
                    <w:top w:val="none" w:sz="0" w:space="0" w:color="auto"/>
                    <w:left w:val="none" w:sz="0" w:space="0" w:color="auto"/>
                    <w:bottom w:val="none" w:sz="0" w:space="0" w:color="auto"/>
                    <w:right w:val="none" w:sz="0" w:space="0" w:color="auto"/>
                  </w:divBdr>
                </w:div>
                <w:div w:id="107967084">
                  <w:marLeft w:val="0"/>
                  <w:marRight w:val="0"/>
                  <w:marTop w:val="0"/>
                  <w:marBottom w:val="0"/>
                  <w:divBdr>
                    <w:top w:val="none" w:sz="0" w:space="0" w:color="auto"/>
                    <w:left w:val="none" w:sz="0" w:space="0" w:color="auto"/>
                    <w:bottom w:val="none" w:sz="0" w:space="0" w:color="auto"/>
                    <w:right w:val="none" w:sz="0" w:space="0" w:color="auto"/>
                  </w:divBdr>
                </w:div>
                <w:div w:id="959991569">
                  <w:marLeft w:val="0"/>
                  <w:marRight w:val="0"/>
                  <w:marTop w:val="0"/>
                  <w:marBottom w:val="0"/>
                  <w:divBdr>
                    <w:top w:val="none" w:sz="0" w:space="0" w:color="auto"/>
                    <w:left w:val="none" w:sz="0" w:space="0" w:color="auto"/>
                    <w:bottom w:val="none" w:sz="0" w:space="0" w:color="auto"/>
                    <w:right w:val="none" w:sz="0" w:space="0" w:color="auto"/>
                  </w:divBdr>
                </w:div>
                <w:div w:id="1582174555">
                  <w:marLeft w:val="0"/>
                  <w:marRight w:val="0"/>
                  <w:marTop w:val="0"/>
                  <w:marBottom w:val="0"/>
                  <w:divBdr>
                    <w:top w:val="none" w:sz="0" w:space="0" w:color="auto"/>
                    <w:left w:val="none" w:sz="0" w:space="0" w:color="auto"/>
                    <w:bottom w:val="none" w:sz="0" w:space="0" w:color="auto"/>
                    <w:right w:val="none" w:sz="0" w:space="0" w:color="auto"/>
                  </w:divBdr>
                </w:div>
                <w:div w:id="1385374454">
                  <w:marLeft w:val="0"/>
                  <w:marRight w:val="0"/>
                  <w:marTop w:val="0"/>
                  <w:marBottom w:val="0"/>
                  <w:divBdr>
                    <w:top w:val="none" w:sz="0" w:space="0" w:color="auto"/>
                    <w:left w:val="none" w:sz="0" w:space="0" w:color="auto"/>
                    <w:bottom w:val="none" w:sz="0" w:space="0" w:color="auto"/>
                    <w:right w:val="none" w:sz="0" w:space="0" w:color="auto"/>
                  </w:divBdr>
                </w:div>
                <w:div w:id="1390495027">
                  <w:marLeft w:val="0"/>
                  <w:marRight w:val="0"/>
                  <w:marTop w:val="0"/>
                  <w:marBottom w:val="0"/>
                  <w:divBdr>
                    <w:top w:val="none" w:sz="0" w:space="0" w:color="auto"/>
                    <w:left w:val="none" w:sz="0" w:space="0" w:color="auto"/>
                    <w:bottom w:val="none" w:sz="0" w:space="0" w:color="auto"/>
                    <w:right w:val="none" w:sz="0" w:space="0" w:color="auto"/>
                  </w:divBdr>
                </w:div>
                <w:div w:id="1192457078">
                  <w:marLeft w:val="0"/>
                  <w:marRight w:val="0"/>
                  <w:marTop w:val="0"/>
                  <w:marBottom w:val="0"/>
                  <w:divBdr>
                    <w:top w:val="none" w:sz="0" w:space="0" w:color="auto"/>
                    <w:left w:val="none" w:sz="0" w:space="0" w:color="auto"/>
                    <w:bottom w:val="none" w:sz="0" w:space="0" w:color="auto"/>
                    <w:right w:val="none" w:sz="0" w:space="0" w:color="auto"/>
                  </w:divBdr>
                </w:div>
                <w:div w:id="265887646">
                  <w:marLeft w:val="0"/>
                  <w:marRight w:val="0"/>
                  <w:marTop w:val="0"/>
                  <w:marBottom w:val="0"/>
                  <w:divBdr>
                    <w:top w:val="none" w:sz="0" w:space="0" w:color="auto"/>
                    <w:left w:val="none" w:sz="0" w:space="0" w:color="auto"/>
                    <w:bottom w:val="none" w:sz="0" w:space="0" w:color="auto"/>
                    <w:right w:val="none" w:sz="0" w:space="0" w:color="auto"/>
                  </w:divBdr>
                </w:div>
                <w:div w:id="248854500">
                  <w:marLeft w:val="0"/>
                  <w:marRight w:val="0"/>
                  <w:marTop w:val="0"/>
                  <w:marBottom w:val="0"/>
                  <w:divBdr>
                    <w:top w:val="none" w:sz="0" w:space="0" w:color="auto"/>
                    <w:left w:val="none" w:sz="0" w:space="0" w:color="auto"/>
                    <w:bottom w:val="none" w:sz="0" w:space="0" w:color="auto"/>
                    <w:right w:val="none" w:sz="0" w:space="0" w:color="auto"/>
                  </w:divBdr>
                </w:div>
                <w:div w:id="1275362115">
                  <w:marLeft w:val="0"/>
                  <w:marRight w:val="0"/>
                  <w:marTop w:val="0"/>
                  <w:marBottom w:val="0"/>
                  <w:divBdr>
                    <w:top w:val="none" w:sz="0" w:space="0" w:color="auto"/>
                    <w:left w:val="none" w:sz="0" w:space="0" w:color="auto"/>
                    <w:bottom w:val="none" w:sz="0" w:space="0" w:color="auto"/>
                    <w:right w:val="none" w:sz="0" w:space="0" w:color="auto"/>
                  </w:divBdr>
                </w:div>
                <w:div w:id="1577664040">
                  <w:marLeft w:val="0"/>
                  <w:marRight w:val="0"/>
                  <w:marTop w:val="0"/>
                  <w:marBottom w:val="0"/>
                  <w:divBdr>
                    <w:top w:val="none" w:sz="0" w:space="0" w:color="auto"/>
                    <w:left w:val="none" w:sz="0" w:space="0" w:color="auto"/>
                    <w:bottom w:val="none" w:sz="0" w:space="0" w:color="auto"/>
                    <w:right w:val="none" w:sz="0" w:space="0" w:color="auto"/>
                  </w:divBdr>
                </w:div>
                <w:div w:id="300580191">
                  <w:marLeft w:val="0"/>
                  <w:marRight w:val="0"/>
                  <w:marTop w:val="0"/>
                  <w:marBottom w:val="0"/>
                  <w:divBdr>
                    <w:top w:val="none" w:sz="0" w:space="0" w:color="auto"/>
                    <w:left w:val="none" w:sz="0" w:space="0" w:color="auto"/>
                    <w:bottom w:val="none" w:sz="0" w:space="0" w:color="auto"/>
                    <w:right w:val="none" w:sz="0" w:space="0" w:color="auto"/>
                  </w:divBdr>
                </w:div>
                <w:div w:id="1637680728">
                  <w:marLeft w:val="0"/>
                  <w:marRight w:val="0"/>
                  <w:marTop w:val="0"/>
                  <w:marBottom w:val="0"/>
                  <w:divBdr>
                    <w:top w:val="none" w:sz="0" w:space="0" w:color="auto"/>
                    <w:left w:val="none" w:sz="0" w:space="0" w:color="auto"/>
                    <w:bottom w:val="none" w:sz="0" w:space="0" w:color="auto"/>
                    <w:right w:val="none" w:sz="0" w:space="0" w:color="auto"/>
                  </w:divBdr>
                </w:div>
                <w:div w:id="1756977502">
                  <w:marLeft w:val="0"/>
                  <w:marRight w:val="0"/>
                  <w:marTop w:val="0"/>
                  <w:marBottom w:val="0"/>
                  <w:divBdr>
                    <w:top w:val="none" w:sz="0" w:space="0" w:color="auto"/>
                    <w:left w:val="none" w:sz="0" w:space="0" w:color="auto"/>
                    <w:bottom w:val="none" w:sz="0" w:space="0" w:color="auto"/>
                    <w:right w:val="none" w:sz="0" w:space="0" w:color="auto"/>
                  </w:divBdr>
                </w:div>
                <w:div w:id="1668020">
                  <w:marLeft w:val="0"/>
                  <w:marRight w:val="0"/>
                  <w:marTop w:val="0"/>
                  <w:marBottom w:val="0"/>
                  <w:divBdr>
                    <w:top w:val="none" w:sz="0" w:space="0" w:color="auto"/>
                    <w:left w:val="none" w:sz="0" w:space="0" w:color="auto"/>
                    <w:bottom w:val="none" w:sz="0" w:space="0" w:color="auto"/>
                    <w:right w:val="none" w:sz="0" w:space="0" w:color="auto"/>
                  </w:divBdr>
                </w:div>
                <w:div w:id="1754206355">
                  <w:marLeft w:val="0"/>
                  <w:marRight w:val="0"/>
                  <w:marTop w:val="0"/>
                  <w:marBottom w:val="0"/>
                  <w:divBdr>
                    <w:top w:val="none" w:sz="0" w:space="0" w:color="auto"/>
                    <w:left w:val="none" w:sz="0" w:space="0" w:color="auto"/>
                    <w:bottom w:val="none" w:sz="0" w:space="0" w:color="auto"/>
                    <w:right w:val="none" w:sz="0" w:space="0" w:color="auto"/>
                  </w:divBdr>
                </w:div>
                <w:div w:id="1623614402">
                  <w:marLeft w:val="0"/>
                  <w:marRight w:val="0"/>
                  <w:marTop w:val="0"/>
                  <w:marBottom w:val="0"/>
                  <w:divBdr>
                    <w:top w:val="none" w:sz="0" w:space="0" w:color="auto"/>
                    <w:left w:val="none" w:sz="0" w:space="0" w:color="auto"/>
                    <w:bottom w:val="none" w:sz="0" w:space="0" w:color="auto"/>
                    <w:right w:val="none" w:sz="0" w:space="0" w:color="auto"/>
                  </w:divBdr>
                </w:div>
                <w:div w:id="682441879">
                  <w:marLeft w:val="0"/>
                  <w:marRight w:val="0"/>
                  <w:marTop w:val="0"/>
                  <w:marBottom w:val="0"/>
                  <w:divBdr>
                    <w:top w:val="none" w:sz="0" w:space="0" w:color="auto"/>
                    <w:left w:val="none" w:sz="0" w:space="0" w:color="auto"/>
                    <w:bottom w:val="none" w:sz="0" w:space="0" w:color="auto"/>
                    <w:right w:val="none" w:sz="0" w:space="0" w:color="auto"/>
                  </w:divBdr>
                </w:div>
                <w:div w:id="2099979517">
                  <w:marLeft w:val="0"/>
                  <w:marRight w:val="0"/>
                  <w:marTop w:val="0"/>
                  <w:marBottom w:val="0"/>
                  <w:divBdr>
                    <w:top w:val="none" w:sz="0" w:space="0" w:color="auto"/>
                    <w:left w:val="none" w:sz="0" w:space="0" w:color="auto"/>
                    <w:bottom w:val="none" w:sz="0" w:space="0" w:color="auto"/>
                    <w:right w:val="none" w:sz="0" w:space="0" w:color="auto"/>
                  </w:divBdr>
                </w:div>
                <w:div w:id="496112992">
                  <w:marLeft w:val="0"/>
                  <w:marRight w:val="0"/>
                  <w:marTop w:val="0"/>
                  <w:marBottom w:val="0"/>
                  <w:divBdr>
                    <w:top w:val="none" w:sz="0" w:space="0" w:color="auto"/>
                    <w:left w:val="none" w:sz="0" w:space="0" w:color="auto"/>
                    <w:bottom w:val="none" w:sz="0" w:space="0" w:color="auto"/>
                    <w:right w:val="none" w:sz="0" w:space="0" w:color="auto"/>
                  </w:divBdr>
                </w:div>
                <w:div w:id="329450798">
                  <w:marLeft w:val="0"/>
                  <w:marRight w:val="0"/>
                  <w:marTop w:val="0"/>
                  <w:marBottom w:val="0"/>
                  <w:divBdr>
                    <w:top w:val="none" w:sz="0" w:space="0" w:color="auto"/>
                    <w:left w:val="none" w:sz="0" w:space="0" w:color="auto"/>
                    <w:bottom w:val="none" w:sz="0" w:space="0" w:color="auto"/>
                    <w:right w:val="none" w:sz="0" w:space="0" w:color="auto"/>
                  </w:divBdr>
                </w:div>
                <w:div w:id="1357147839">
                  <w:marLeft w:val="0"/>
                  <w:marRight w:val="0"/>
                  <w:marTop w:val="0"/>
                  <w:marBottom w:val="0"/>
                  <w:divBdr>
                    <w:top w:val="none" w:sz="0" w:space="0" w:color="auto"/>
                    <w:left w:val="none" w:sz="0" w:space="0" w:color="auto"/>
                    <w:bottom w:val="none" w:sz="0" w:space="0" w:color="auto"/>
                    <w:right w:val="none" w:sz="0" w:space="0" w:color="auto"/>
                  </w:divBdr>
                </w:div>
                <w:div w:id="1157720689">
                  <w:marLeft w:val="0"/>
                  <w:marRight w:val="0"/>
                  <w:marTop w:val="0"/>
                  <w:marBottom w:val="0"/>
                  <w:divBdr>
                    <w:top w:val="none" w:sz="0" w:space="0" w:color="auto"/>
                    <w:left w:val="none" w:sz="0" w:space="0" w:color="auto"/>
                    <w:bottom w:val="none" w:sz="0" w:space="0" w:color="auto"/>
                    <w:right w:val="none" w:sz="0" w:space="0" w:color="auto"/>
                  </w:divBdr>
                </w:div>
                <w:div w:id="149519716">
                  <w:marLeft w:val="0"/>
                  <w:marRight w:val="0"/>
                  <w:marTop w:val="0"/>
                  <w:marBottom w:val="0"/>
                  <w:divBdr>
                    <w:top w:val="none" w:sz="0" w:space="0" w:color="auto"/>
                    <w:left w:val="none" w:sz="0" w:space="0" w:color="auto"/>
                    <w:bottom w:val="none" w:sz="0" w:space="0" w:color="auto"/>
                    <w:right w:val="none" w:sz="0" w:space="0" w:color="auto"/>
                  </w:divBdr>
                </w:div>
                <w:div w:id="598297317">
                  <w:marLeft w:val="0"/>
                  <w:marRight w:val="0"/>
                  <w:marTop w:val="0"/>
                  <w:marBottom w:val="0"/>
                  <w:divBdr>
                    <w:top w:val="none" w:sz="0" w:space="0" w:color="auto"/>
                    <w:left w:val="none" w:sz="0" w:space="0" w:color="auto"/>
                    <w:bottom w:val="none" w:sz="0" w:space="0" w:color="auto"/>
                    <w:right w:val="none" w:sz="0" w:space="0" w:color="auto"/>
                  </w:divBdr>
                </w:div>
                <w:div w:id="1546795440">
                  <w:marLeft w:val="0"/>
                  <w:marRight w:val="0"/>
                  <w:marTop w:val="0"/>
                  <w:marBottom w:val="0"/>
                  <w:divBdr>
                    <w:top w:val="none" w:sz="0" w:space="0" w:color="auto"/>
                    <w:left w:val="none" w:sz="0" w:space="0" w:color="auto"/>
                    <w:bottom w:val="none" w:sz="0" w:space="0" w:color="auto"/>
                    <w:right w:val="none" w:sz="0" w:space="0" w:color="auto"/>
                  </w:divBdr>
                </w:div>
                <w:div w:id="883449897">
                  <w:marLeft w:val="0"/>
                  <w:marRight w:val="0"/>
                  <w:marTop w:val="0"/>
                  <w:marBottom w:val="0"/>
                  <w:divBdr>
                    <w:top w:val="none" w:sz="0" w:space="0" w:color="auto"/>
                    <w:left w:val="none" w:sz="0" w:space="0" w:color="auto"/>
                    <w:bottom w:val="none" w:sz="0" w:space="0" w:color="auto"/>
                    <w:right w:val="none" w:sz="0" w:space="0" w:color="auto"/>
                  </w:divBdr>
                </w:div>
                <w:div w:id="909460204">
                  <w:marLeft w:val="0"/>
                  <w:marRight w:val="0"/>
                  <w:marTop w:val="0"/>
                  <w:marBottom w:val="0"/>
                  <w:divBdr>
                    <w:top w:val="none" w:sz="0" w:space="0" w:color="auto"/>
                    <w:left w:val="none" w:sz="0" w:space="0" w:color="auto"/>
                    <w:bottom w:val="none" w:sz="0" w:space="0" w:color="auto"/>
                    <w:right w:val="none" w:sz="0" w:space="0" w:color="auto"/>
                  </w:divBdr>
                </w:div>
                <w:div w:id="1721712012">
                  <w:marLeft w:val="0"/>
                  <w:marRight w:val="0"/>
                  <w:marTop w:val="0"/>
                  <w:marBottom w:val="0"/>
                  <w:divBdr>
                    <w:top w:val="none" w:sz="0" w:space="0" w:color="auto"/>
                    <w:left w:val="none" w:sz="0" w:space="0" w:color="auto"/>
                    <w:bottom w:val="none" w:sz="0" w:space="0" w:color="auto"/>
                    <w:right w:val="none" w:sz="0" w:space="0" w:color="auto"/>
                  </w:divBdr>
                </w:div>
                <w:div w:id="942691154">
                  <w:marLeft w:val="0"/>
                  <w:marRight w:val="0"/>
                  <w:marTop w:val="0"/>
                  <w:marBottom w:val="0"/>
                  <w:divBdr>
                    <w:top w:val="none" w:sz="0" w:space="0" w:color="auto"/>
                    <w:left w:val="none" w:sz="0" w:space="0" w:color="auto"/>
                    <w:bottom w:val="none" w:sz="0" w:space="0" w:color="auto"/>
                    <w:right w:val="none" w:sz="0" w:space="0" w:color="auto"/>
                  </w:divBdr>
                </w:div>
                <w:div w:id="242882441">
                  <w:marLeft w:val="0"/>
                  <w:marRight w:val="0"/>
                  <w:marTop w:val="0"/>
                  <w:marBottom w:val="0"/>
                  <w:divBdr>
                    <w:top w:val="none" w:sz="0" w:space="0" w:color="auto"/>
                    <w:left w:val="none" w:sz="0" w:space="0" w:color="auto"/>
                    <w:bottom w:val="none" w:sz="0" w:space="0" w:color="auto"/>
                    <w:right w:val="none" w:sz="0" w:space="0" w:color="auto"/>
                  </w:divBdr>
                </w:div>
                <w:div w:id="17433710">
                  <w:marLeft w:val="0"/>
                  <w:marRight w:val="0"/>
                  <w:marTop w:val="0"/>
                  <w:marBottom w:val="0"/>
                  <w:divBdr>
                    <w:top w:val="none" w:sz="0" w:space="0" w:color="auto"/>
                    <w:left w:val="none" w:sz="0" w:space="0" w:color="auto"/>
                    <w:bottom w:val="none" w:sz="0" w:space="0" w:color="auto"/>
                    <w:right w:val="none" w:sz="0" w:space="0" w:color="auto"/>
                  </w:divBdr>
                </w:div>
                <w:div w:id="1974556679">
                  <w:marLeft w:val="0"/>
                  <w:marRight w:val="0"/>
                  <w:marTop w:val="0"/>
                  <w:marBottom w:val="0"/>
                  <w:divBdr>
                    <w:top w:val="none" w:sz="0" w:space="0" w:color="auto"/>
                    <w:left w:val="none" w:sz="0" w:space="0" w:color="auto"/>
                    <w:bottom w:val="none" w:sz="0" w:space="0" w:color="auto"/>
                    <w:right w:val="none" w:sz="0" w:space="0" w:color="auto"/>
                  </w:divBdr>
                </w:div>
                <w:div w:id="594560940">
                  <w:marLeft w:val="0"/>
                  <w:marRight w:val="0"/>
                  <w:marTop w:val="0"/>
                  <w:marBottom w:val="0"/>
                  <w:divBdr>
                    <w:top w:val="none" w:sz="0" w:space="0" w:color="auto"/>
                    <w:left w:val="none" w:sz="0" w:space="0" w:color="auto"/>
                    <w:bottom w:val="none" w:sz="0" w:space="0" w:color="auto"/>
                    <w:right w:val="none" w:sz="0" w:space="0" w:color="auto"/>
                  </w:divBdr>
                </w:div>
                <w:div w:id="1044401674">
                  <w:marLeft w:val="0"/>
                  <w:marRight w:val="0"/>
                  <w:marTop w:val="0"/>
                  <w:marBottom w:val="0"/>
                  <w:divBdr>
                    <w:top w:val="none" w:sz="0" w:space="0" w:color="auto"/>
                    <w:left w:val="none" w:sz="0" w:space="0" w:color="auto"/>
                    <w:bottom w:val="none" w:sz="0" w:space="0" w:color="auto"/>
                    <w:right w:val="none" w:sz="0" w:space="0" w:color="auto"/>
                  </w:divBdr>
                </w:div>
                <w:div w:id="2048797496">
                  <w:marLeft w:val="0"/>
                  <w:marRight w:val="0"/>
                  <w:marTop w:val="0"/>
                  <w:marBottom w:val="0"/>
                  <w:divBdr>
                    <w:top w:val="none" w:sz="0" w:space="0" w:color="auto"/>
                    <w:left w:val="none" w:sz="0" w:space="0" w:color="auto"/>
                    <w:bottom w:val="none" w:sz="0" w:space="0" w:color="auto"/>
                    <w:right w:val="none" w:sz="0" w:space="0" w:color="auto"/>
                  </w:divBdr>
                </w:div>
                <w:div w:id="662854018">
                  <w:marLeft w:val="0"/>
                  <w:marRight w:val="0"/>
                  <w:marTop w:val="0"/>
                  <w:marBottom w:val="0"/>
                  <w:divBdr>
                    <w:top w:val="none" w:sz="0" w:space="0" w:color="auto"/>
                    <w:left w:val="none" w:sz="0" w:space="0" w:color="auto"/>
                    <w:bottom w:val="none" w:sz="0" w:space="0" w:color="auto"/>
                    <w:right w:val="none" w:sz="0" w:space="0" w:color="auto"/>
                  </w:divBdr>
                </w:div>
                <w:div w:id="1977107435">
                  <w:marLeft w:val="0"/>
                  <w:marRight w:val="0"/>
                  <w:marTop w:val="0"/>
                  <w:marBottom w:val="0"/>
                  <w:divBdr>
                    <w:top w:val="none" w:sz="0" w:space="0" w:color="auto"/>
                    <w:left w:val="none" w:sz="0" w:space="0" w:color="auto"/>
                    <w:bottom w:val="none" w:sz="0" w:space="0" w:color="auto"/>
                    <w:right w:val="none" w:sz="0" w:space="0" w:color="auto"/>
                  </w:divBdr>
                </w:div>
                <w:div w:id="529758163">
                  <w:marLeft w:val="0"/>
                  <w:marRight w:val="0"/>
                  <w:marTop w:val="0"/>
                  <w:marBottom w:val="0"/>
                  <w:divBdr>
                    <w:top w:val="none" w:sz="0" w:space="0" w:color="auto"/>
                    <w:left w:val="none" w:sz="0" w:space="0" w:color="auto"/>
                    <w:bottom w:val="none" w:sz="0" w:space="0" w:color="auto"/>
                    <w:right w:val="none" w:sz="0" w:space="0" w:color="auto"/>
                  </w:divBdr>
                </w:div>
                <w:div w:id="1971091439">
                  <w:marLeft w:val="0"/>
                  <w:marRight w:val="0"/>
                  <w:marTop w:val="0"/>
                  <w:marBottom w:val="0"/>
                  <w:divBdr>
                    <w:top w:val="none" w:sz="0" w:space="0" w:color="auto"/>
                    <w:left w:val="none" w:sz="0" w:space="0" w:color="auto"/>
                    <w:bottom w:val="none" w:sz="0" w:space="0" w:color="auto"/>
                    <w:right w:val="none" w:sz="0" w:space="0" w:color="auto"/>
                  </w:divBdr>
                </w:div>
                <w:div w:id="637492653">
                  <w:marLeft w:val="0"/>
                  <w:marRight w:val="0"/>
                  <w:marTop w:val="0"/>
                  <w:marBottom w:val="0"/>
                  <w:divBdr>
                    <w:top w:val="none" w:sz="0" w:space="0" w:color="auto"/>
                    <w:left w:val="none" w:sz="0" w:space="0" w:color="auto"/>
                    <w:bottom w:val="none" w:sz="0" w:space="0" w:color="auto"/>
                    <w:right w:val="none" w:sz="0" w:space="0" w:color="auto"/>
                  </w:divBdr>
                </w:div>
                <w:div w:id="1677610138">
                  <w:marLeft w:val="0"/>
                  <w:marRight w:val="0"/>
                  <w:marTop w:val="0"/>
                  <w:marBottom w:val="0"/>
                  <w:divBdr>
                    <w:top w:val="none" w:sz="0" w:space="0" w:color="auto"/>
                    <w:left w:val="none" w:sz="0" w:space="0" w:color="auto"/>
                    <w:bottom w:val="none" w:sz="0" w:space="0" w:color="auto"/>
                    <w:right w:val="none" w:sz="0" w:space="0" w:color="auto"/>
                  </w:divBdr>
                </w:div>
                <w:div w:id="1207108172">
                  <w:marLeft w:val="0"/>
                  <w:marRight w:val="0"/>
                  <w:marTop w:val="0"/>
                  <w:marBottom w:val="0"/>
                  <w:divBdr>
                    <w:top w:val="none" w:sz="0" w:space="0" w:color="auto"/>
                    <w:left w:val="none" w:sz="0" w:space="0" w:color="auto"/>
                    <w:bottom w:val="none" w:sz="0" w:space="0" w:color="auto"/>
                    <w:right w:val="none" w:sz="0" w:space="0" w:color="auto"/>
                  </w:divBdr>
                </w:div>
                <w:div w:id="478305543">
                  <w:marLeft w:val="0"/>
                  <w:marRight w:val="0"/>
                  <w:marTop w:val="0"/>
                  <w:marBottom w:val="0"/>
                  <w:divBdr>
                    <w:top w:val="none" w:sz="0" w:space="0" w:color="auto"/>
                    <w:left w:val="none" w:sz="0" w:space="0" w:color="auto"/>
                    <w:bottom w:val="none" w:sz="0" w:space="0" w:color="auto"/>
                    <w:right w:val="none" w:sz="0" w:space="0" w:color="auto"/>
                  </w:divBdr>
                </w:div>
                <w:div w:id="1909922527">
                  <w:marLeft w:val="0"/>
                  <w:marRight w:val="0"/>
                  <w:marTop w:val="0"/>
                  <w:marBottom w:val="0"/>
                  <w:divBdr>
                    <w:top w:val="none" w:sz="0" w:space="0" w:color="auto"/>
                    <w:left w:val="none" w:sz="0" w:space="0" w:color="auto"/>
                    <w:bottom w:val="none" w:sz="0" w:space="0" w:color="auto"/>
                    <w:right w:val="none" w:sz="0" w:space="0" w:color="auto"/>
                  </w:divBdr>
                </w:div>
                <w:div w:id="2097090743">
                  <w:marLeft w:val="0"/>
                  <w:marRight w:val="0"/>
                  <w:marTop w:val="0"/>
                  <w:marBottom w:val="0"/>
                  <w:divBdr>
                    <w:top w:val="none" w:sz="0" w:space="0" w:color="auto"/>
                    <w:left w:val="none" w:sz="0" w:space="0" w:color="auto"/>
                    <w:bottom w:val="none" w:sz="0" w:space="0" w:color="auto"/>
                    <w:right w:val="none" w:sz="0" w:space="0" w:color="auto"/>
                  </w:divBdr>
                </w:div>
                <w:div w:id="1394504009">
                  <w:marLeft w:val="0"/>
                  <w:marRight w:val="0"/>
                  <w:marTop w:val="0"/>
                  <w:marBottom w:val="0"/>
                  <w:divBdr>
                    <w:top w:val="none" w:sz="0" w:space="0" w:color="auto"/>
                    <w:left w:val="none" w:sz="0" w:space="0" w:color="auto"/>
                    <w:bottom w:val="none" w:sz="0" w:space="0" w:color="auto"/>
                    <w:right w:val="none" w:sz="0" w:space="0" w:color="auto"/>
                  </w:divBdr>
                </w:div>
                <w:div w:id="935291381">
                  <w:marLeft w:val="0"/>
                  <w:marRight w:val="0"/>
                  <w:marTop w:val="0"/>
                  <w:marBottom w:val="0"/>
                  <w:divBdr>
                    <w:top w:val="none" w:sz="0" w:space="0" w:color="auto"/>
                    <w:left w:val="none" w:sz="0" w:space="0" w:color="auto"/>
                    <w:bottom w:val="none" w:sz="0" w:space="0" w:color="auto"/>
                    <w:right w:val="none" w:sz="0" w:space="0" w:color="auto"/>
                  </w:divBdr>
                </w:div>
                <w:div w:id="1889025599">
                  <w:marLeft w:val="0"/>
                  <w:marRight w:val="0"/>
                  <w:marTop w:val="0"/>
                  <w:marBottom w:val="0"/>
                  <w:divBdr>
                    <w:top w:val="none" w:sz="0" w:space="0" w:color="auto"/>
                    <w:left w:val="none" w:sz="0" w:space="0" w:color="auto"/>
                    <w:bottom w:val="none" w:sz="0" w:space="0" w:color="auto"/>
                    <w:right w:val="none" w:sz="0" w:space="0" w:color="auto"/>
                  </w:divBdr>
                </w:div>
                <w:div w:id="497578225">
                  <w:marLeft w:val="0"/>
                  <w:marRight w:val="0"/>
                  <w:marTop w:val="0"/>
                  <w:marBottom w:val="0"/>
                  <w:divBdr>
                    <w:top w:val="none" w:sz="0" w:space="0" w:color="auto"/>
                    <w:left w:val="none" w:sz="0" w:space="0" w:color="auto"/>
                    <w:bottom w:val="none" w:sz="0" w:space="0" w:color="auto"/>
                    <w:right w:val="none" w:sz="0" w:space="0" w:color="auto"/>
                  </w:divBdr>
                </w:div>
                <w:div w:id="53741912">
                  <w:marLeft w:val="0"/>
                  <w:marRight w:val="0"/>
                  <w:marTop w:val="0"/>
                  <w:marBottom w:val="0"/>
                  <w:divBdr>
                    <w:top w:val="none" w:sz="0" w:space="0" w:color="auto"/>
                    <w:left w:val="none" w:sz="0" w:space="0" w:color="auto"/>
                    <w:bottom w:val="none" w:sz="0" w:space="0" w:color="auto"/>
                    <w:right w:val="none" w:sz="0" w:space="0" w:color="auto"/>
                  </w:divBdr>
                </w:div>
                <w:div w:id="195096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001083">
          <w:marLeft w:val="0"/>
          <w:marRight w:val="0"/>
          <w:marTop w:val="0"/>
          <w:marBottom w:val="0"/>
          <w:divBdr>
            <w:top w:val="none" w:sz="0" w:space="0" w:color="auto"/>
            <w:left w:val="none" w:sz="0" w:space="0" w:color="auto"/>
            <w:bottom w:val="none" w:sz="0" w:space="0" w:color="auto"/>
            <w:right w:val="none" w:sz="0" w:space="0" w:color="auto"/>
          </w:divBdr>
          <w:divsChild>
            <w:div w:id="1516994437">
              <w:marLeft w:val="0"/>
              <w:marRight w:val="0"/>
              <w:marTop w:val="0"/>
              <w:marBottom w:val="0"/>
              <w:divBdr>
                <w:top w:val="none" w:sz="0" w:space="0" w:color="auto"/>
                <w:left w:val="none" w:sz="0" w:space="0" w:color="auto"/>
                <w:bottom w:val="none" w:sz="0" w:space="0" w:color="auto"/>
                <w:right w:val="none" w:sz="0" w:space="0" w:color="auto"/>
              </w:divBdr>
              <w:divsChild>
                <w:div w:id="567541773">
                  <w:marLeft w:val="0"/>
                  <w:marRight w:val="0"/>
                  <w:marTop w:val="0"/>
                  <w:marBottom w:val="0"/>
                  <w:divBdr>
                    <w:top w:val="none" w:sz="0" w:space="0" w:color="auto"/>
                    <w:left w:val="none" w:sz="0" w:space="0" w:color="auto"/>
                    <w:bottom w:val="none" w:sz="0" w:space="0" w:color="auto"/>
                    <w:right w:val="none" w:sz="0" w:space="0" w:color="auto"/>
                  </w:divBdr>
                </w:div>
                <w:div w:id="93329183">
                  <w:marLeft w:val="0"/>
                  <w:marRight w:val="0"/>
                  <w:marTop w:val="0"/>
                  <w:marBottom w:val="0"/>
                  <w:divBdr>
                    <w:top w:val="none" w:sz="0" w:space="0" w:color="auto"/>
                    <w:left w:val="none" w:sz="0" w:space="0" w:color="auto"/>
                    <w:bottom w:val="none" w:sz="0" w:space="0" w:color="auto"/>
                    <w:right w:val="none" w:sz="0" w:space="0" w:color="auto"/>
                  </w:divBdr>
                </w:div>
                <w:div w:id="59984670">
                  <w:marLeft w:val="0"/>
                  <w:marRight w:val="0"/>
                  <w:marTop w:val="0"/>
                  <w:marBottom w:val="0"/>
                  <w:divBdr>
                    <w:top w:val="none" w:sz="0" w:space="0" w:color="auto"/>
                    <w:left w:val="none" w:sz="0" w:space="0" w:color="auto"/>
                    <w:bottom w:val="none" w:sz="0" w:space="0" w:color="auto"/>
                    <w:right w:val="none" w:sz="0" w:space="0" w:color="auto"/>
                  </w:divBdr>
                </w:div>
                <w:div w:id="1595480746">
                  <w:marLeft w:val="0"/>
                  <w:marRight w:val="0"/>
                  <w:marTop w:val="0"/>
                  <w:marBottom w:val="0"/>
                  <w:divBdr>
                    <w:top w:val="none" w:sz="0" w:space="0" w:color="auto"/>
                    <w:left w:val="none" w:sz="0" w:space="0" w:color="auto"/>
                    <w:bottom w:val="none" w:sz="0" w:space="0" w:color="auto"/>
                    <w:right w:val="none" w:sz="0" w:space="0" w:color="auto"/>
                  </w:divBdr>
                </w:div>
                <w:div w:id="176387182">
                  <w:marLeft w:val="0"/>
                  <w:marRight w:val="0"/>
                  <w:marTop w:val="0"/>
                  <w:marBottom w:val="0"/>
                  <w:divBdr>
                    <w:top w:val="none" w:sz="0" w:space="0" w:color="auto"/>
                    <w:left w:val="none" w:sz="0" w:space="0" w:color="auto"/>
                    <w:bottom w:val="none" w:sz="0" w:space="0" w:color="auto"/>
                    <w:right w:val="none" w:sz="0" w:space="0" w:color="auto"/>
                  </w:divBdr>
                </w:div>
                <w:div w:id="999039277">
                  <w:marLeft w:val="0"/>
                  <w:marRight w:val="0"/>
                  <w:marTop w:val="0"/>
                  <w:marBottom w:val="0"/>
                  <w:divBdr>
                    <w:top w:val="none" w:sz="0" w:space="0" w:color="auto"/>
                    <w:left w:val="none" w:sz="0" w:space="0" w:color="auto"/>
                    <w:bottom w:val="none" w:sz="0" w:space="0" w:color="auto"/>
                    <w:right w:val="none" w:sz="0" w:space="0" w:color="auto"/>
                  </w:divBdr>
                </w:div>
                <w:div w:id="1613439301">
                  <w:marLeft w:val="0"/>
                  <w:marRight w:val="0"/>
                  <w:marTop w:val="0"/>
                  <w:marBottom w:val="0"/>
                  <w:divBdr>
                    <w:top w:val="none" w:sz="0" w:space="0" w:color="auto"/>
                    <w:left w:val="none" w:sz="0" w:space="0" w:color="auto"/>
                    <w:bottom w:val="none" w:sz="0" w:space="0" w:color="auto"/>
                    <w:right w:val="none" w:sz="0" w:space="0" w:color="auto"/>
                  </w:divBdr>
                </w:div>
                <w:div w:id="1643609949">
                  <w:marLeft w:val="0"/>
                  <w:marRight w:val="0"/>
                  <w:marTop w:val="0"/>
                  <w:marBottom w:val="0"/>
                  <w:divBdr>
                    <w:top w:val="none" w:sz="0" w:space="0" w:color="auto"/>
                    <w:left w:val="none" w:sz="0" w:space="0" w:color="auto"/>
                    <w:bottom w:val="none" w:sz="0" w:space="0" w:color="auto"/>
                    <w:right w:val="none" w:sz="0" w:space="0" w:color="auto"/>
                  </w:divBdr>
                </w:div>
                <w:div w:id="970553988">
                  <w:marLeft w:val="0"/>
                  <w:marRight w:val="0"/>
                  <w:marTop w:val="0"/>
                  <w:marBottom w:val="0"/>
                  <w:divBdr>
                    <w:top w:val="none" w:sz="0" w:space="0" w:color="auto"/>
                    <w:left w:val="none" w:sz="0" w:space="0" w:color="auto"/>
                    <w:bottom w:val="none" w:sz="0" w:space="0" w:color="auto"/>
                    <w:right w:val="none" w:sz="0" w:space="0" w:color="auto"/>
                  </w:divBdr>
                </w:div>
                <w:div w:id="959840751">
                  <w:marLeft w:val="0"/>
                  <w:marRight w:val="0"/>
                  <w:marTop w:val="0"/>
                  <w:marBottom w:val="0"/>
                  <w:divBdr>
                    <w:top w:val="none" w:sz="0" w:space="0" w:color="auto"/>
                    <w:left w:val="none" w:sz="0" w:space="0" w:color="auto"/>
                    <w:bottom w:val="none" w:sz="0" w:space="0" w:color="auto"/>
                    <w:right w:val="none" w:sz="0" w:space="0" w:color="auto"/>
                  </w:divBdr>
                </w:div>
                <w:div w:id="1003700226">
                  <w:marLeft w:val="0"/>
                  <w:marRight w:val="0"/>
                  <w:marTop w:val="0"/>
                  <w:marBottom w:val="0"/>
                  <w:divBdr>
                    <w:top w:val="none" w:sz="0" w:space="0" w:color="auto"/>
                    <w:left w:val="none" w:sz="0" w:space="0" w:color="auto"/>
                    <w:bottom w:val="none" w:sz="0" w:space="0" w:color="auto"/>
                    <w:right w:val="none" w:sz="0" w:space="0" w:color="auto"/>
                  </w:divBdr>
                </w:div>
                <w:div w:id="499853144">
                  <w:marLeft w:val="0"/>
                  <w:marRight w:val="0"/>
                  <w:marTop w:val="0"/>
                  <w:marBottom w:val="0"/>
                  <w:divBdr>
                    <w:top w:val="none" w:sz="0" w:space="0" w:color="auto"/>
                    <w:left w:val="none" w:sz="0" w:space="0" w:color="auto"/>
                    <w:bottom w:val="none" w:sz="0" w:space="0" w:color="auto"/>
                    <w:right w:val="none" w:sz="0" w:space="0" w:color="auto"/>
                  </w:divBdr>
                </w:div>
                <w:div w:id="2107073070">
                  <w:marLeft w:val="0"/>
                  <w:marRight w:val="0"/>
                  <w:marTop w:val="0"/>
                  <w:marBottom w:val="0"/>
                  <w:divBdr>
                    <w:top w:val="none" w:sz="0" w:space="0" w:color="auto"/>
                    <w:left w:val="none" w:sz="0" w:space="0" w:color="auto"/>
                    <w:bottom w:val="none" w:sz="0" w:space="0" w:color="auto"/>
                    <w:right w:val="none" w:sz="0" w:space="0" w:color="auto"/>
                  </w:divBdr>
                </w:div>
                <w:div w:id="835804711">
                  <w:marLeft w:val="0"/>
                  <w:marRight w:val="0"/>
                  <w:marTop w:val="0"/>
                  <w:marBottom w:val="0"/>
                  <w:divBdr>
                    <w:top w:val="none" w:sz="0" w:space="0" w:color="auto"/>
                    <w:left w:val="none" w:sz="0" w:space="0" w:color="auto"/>
                    <w:bottom w:val="none" w:sz="0" w:space="0" w:color="auto"/>
                    <w:right w:val="none" w:sz="0" w:space="0" w:color="auto"/>
                  </w:divBdr>
                </w:div>
                <w:div w:id="29834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B8955C-2C34-4870-ABFD-E7EA58AD2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16</Pages>
  <Words>6238</Words>
  <Characters>37429</Characters>
  <Application>Microsoft Office Word</Application>
  <DocSecurity>0</DocSecurity>
  <Lines>311</Lines>
  <Paragraphs>87</Paragraphs>
  <ScaleCrop>false</ScaleCrop>
  <HeadingPairs>
    <vt:vector size="6" baseType="variant">
      <vt:variant>
        <vt:lpstr>Tytuł</vt:lpstr>
      </vt:variant>
      <vt:variant>
        <vt:i4>1</vt:i4>
      </vt:variant>
      <vt:variant>
        <vt:lpstr>Titolo</vt:lpstr>
      </vt:variant>
      <vt:variant>
        <vt:i4>1</vt:i4>
      </vt:variant>
      <vt:variant>
        <vt:lpstr>Intestazioni</vt:lpstr>
      </vt:variant>
      <vt:variant>
        <vt:i4>9</vt:i4>
      </vt:variant>
    </vt:vector>
  </HeadingPairs>
  <TitlesOfParts>
    <vt:vector size="11" baseType="lpstr">
      <vt:lpstr/>
      <vt:lpstr/>
      <vt:lpstr>DRUGA SEKCJA</vt:lpstr>
      <vt:lpstr>DECYZJA</vt:lpstr>
      <vt:lpstr>Skargi nr 62235/12 i 57725/12 António Augusto DA CONCEIÇÃO MATUES przeciwko Port</vt:lpstr>
      <vt:lpstr>FAKTY</vt:lpstr>
      <vt:lpstr>    A.  Okoliczności sprawy</vt:lpstr>
      <vt:lpstr>    B.  Właściwe prawo krajowe i praktyka</vt:lpstr>
      <vt:lpstr>    C.  Ocena UE sytuacji gospodarczej w Portugalii w 2011 roku</vt:lpstr>
      <vt:lpstr>ZARZUTY</vt:lpstr>
      <vt:lpstr>PRAWO</vt:lpstr>
    </vt:vector>
  </TitlesOfParts>
  <Company/>
  <LinksUpToDate>false</LinksUpToDate>
  <CharactersWithSpaces>43580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unoltb</dc:creator>
  <cp:lastModifiedBy>Pudlo</cp:lastModifiedBy>
  <cp:revision>18</cp:revision>
  <dcterms:created xsi:type="dcterms:W3CDTF">2014-11-28T11:53:00Z</dcterms:created>
  <dcterms:modified xsi:type="dcterms:W3CDTF">2015-04-21T11:59:00Z</dcterms:modified>
</cp:coreProperties>
</file>