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398" w:rsidRPr="007579B0" w:rsidRDefault="00F05398" w:rsidP="00947D97">
      <w:pPr>
        <w:jc w:val="center"/>
        <w:rPr>
          <w:lang w:val="pl-PL"/>
        </w:rPr>
      </w:pPr>
      <w:r w:rsidRPr="007579B0">
        <w:rPr>
          <w:lang w:val="pl-PL"/>
        </w:rPr>
        <w:tab/>
      </w:r>
    </w:p>
    <w:p w:rsidR="00F05398" w:rsidRPr="007579B0" w:rsidRDefault="00F05398" w:rsidP="00947D97">
      <w:pPr>
        <w:jc w:val="center"/>
        <w:rPr>
          <w:lang w:val="pl-PL"/>
        </w:rPr>
      </w:pPr>
    </w:p>
    <w:p w:rsidR="00F05398" w:rsidRPr="007579B0" w:rsidRDefault="00F05398" w:rsidP="00947D97">
      <w:pPr>
        <w:jc w:val="center"/>
        <w:rPr>
          <w:lang w:val="pl-PL"/>
        </w:rPr>
      </w:pPr>
      <w:r w:rsidRPr="007579B0">
        <w:rPr>
          <w:lang w:val="pl-PL"/>
        </w:rPr>
        <w:t>WIELKA IZBA</w:t>
      </w:r>
    </w:p>
    <w:p w:rsidR="00F05398" w:rsidRPr="007579B0" w:rsidRDefault="00F05398" w:rsidP="00947D97">
      <w:pPr>
        <w:jc w:val="center"/>
        <w:rPr>
          <w:lang w:val="pl-PL"/>
        </w:rPr>
      </w:pPr>
    </w:p>
    <w:p w:rsidR="00F05398" w:rsidRPr="007579B0" w:rsidRDefault="00F05398" w:rsidP="00947D97">
      <w:pPr>
        <w:jc w:val="center"/>
        <w:rPr>
          <w:lang w:val="pl-PL"/>
        </w:rPr>
      </w:pPr>
    </w:p>
    <w:p w:rsidR="00F05398" w:rsidRPr="007579B0" w:rsidRDefault="00F05398" w:rsidP="00947D97">
      <w:pPr>
        <w:jc w:val="center"/>
        <w:rPr>
          <w:lang w:val="pl-PL"/>
        </w:rPr>
      </w:pPr>
    </w:p>
    <w:p w:rsidR="00F05398" w:rsidRPr="007579B0" w:rsidRDefault="00F05398" w:rsidP="00947D97">
      <w:pPr>
        <w:jc w:val="center"/>
        <w:rPr>
          <w:lang w:val="pl-PL"/>
        </w:rPr>
      </w:pPr>
    </w:p>
    <w:p w:rsidR="00F05398" w:rsidRPr="007579B0" w:rsidRDefault="00F05398" w:rsidP="00947D97">
      <w:pPr>
        <w:jc w:val="center"/>
        <w:rPr>
          <w:lang w:val="pl-PL"/>
        </w:rPr>
      </w:pPr>
    </w:p>
    <w:p w:rsidR="00F05398" w:rsidRPr="007579B0" w:rsidRDefault="00F05398" w:rsidP="00947D97">
      <w:pPr>
        <w:jc w:val="center"/>
        <w:rPr>
          <w:lang w:val="pl-PL"/>
        </w:rPr>
      </w:pPr>
    </w:p>
    <w:p w:rsidR="00F05398" w:rsidRPr="007579B0" w:rsidRDefault="00F05398" w:rsidP="00947D97">
      <w:pPr>
        <w:jc w:val="center"/>
        <w:rPr>
          <w:b/>
          <w:lang w:val="pl-PL"/>
        </w:rPr>
      </w:pPr>
      <w:r w:rsidRPr="007579B0">
        <w:rPr>
          <w:b/>
          <w:bCs/>
          <w:lang w:val="pl-PL"/>
        </w:rPr>
        <w:t>SPRAWA SALDUZ przeciwko TURCJI</w:t>
      </w:r>
    </w:p>
    <w:p w:rsidR="00F05398" w:rsidRPr="007579B0" w:rsidRDefault="00F05398" w:rsidP="00947D97">
      <w:pPr>
        <w:jc w:val="center"/>
        <w:rPr>
          <w:lang w:val="pl-PL"/>
        </w:rPr>
      </w:pPr>
    </w:p>
    <w:p w:rsidR="00F05398" w:rsidRPr="007579B0" w:rsidRDefault="00F05398" w:rsidP="0048211E">
      <w:pPr>
        <w:jc w:val="center"/>
        <w:rPr>
          <w:i/>
          <w:lang w:val="pl-PL"/>
        </w:rPr>
      </w:pPr>
      <w:r w:rsidRPr="007579B0">
        <w:rPr>
          <w:i/>
          <w:iCs/>
          <w:lang w:val="pl-PL"/>
        </w:rPr>
        <w:t>(Skarga nr 36391/02)</w:t>
      </w:r>
    </w:p>
    <w:p w:rsidR="00F05398" w:rsidRPr="007579B0" w:rsidRDefault="00F05398" w:rsidP="0048211E">
      <w:pPr>
        <w:jc w:val="center"/>
        <w:rPr>
          <w:i/>
          <w:lang w:val="pl-PL"/>
        </w:rPr>
      </w:pPr>
    </w:p>
    <w:p w:rsidR="00F05398" w:rsidRPr="007579B0" w:rsidRDefault="00F05398" w:rsidP="0048211E">
      <w:pPr>
        <w:jc w:val="center"/>
        <w:rPr>
          <w:i/>
          <w:lang w:val="pl-PL"/>
        </w:rPr>
      </w:pPr>
    </w:p>
    <w:p w:rsidR="00F05398" w:rsidRPr="007579B0" w:rsidRDefault="00F05398" w:rsidP="0048211E">
      <w:pPr>
        <w:jc w:val="center"/>
        <w:rPr>
          <w:i/>
          <w:lang w:val="pl-PL"/>
        </w:rPr>
      </w:pPr>
    </w:p>
    <w:p w:rsidR="00F05398" w:rsidRPr="007579B0" w:rsidRDefault="00F05398" w:rsidP="0048211E">
      <w:pPr>
        <w:jc w:val="center"/>
        <w:rPr>
          <w:i/>
          <w:lang w:val="pl-PL"/>
        </w:rPr>
      </w:pPr>
    </w:p>
    <w:p w:rsidR="00F05398" w:rsidRPr="007579B0" w:rsidRDefault="00F05398" w:rsidP="0048211E">
      <w:pPr>
        <w:jc w:val="center"/>
        <w:rPr>
          <w:i/>
          <w:lang w:val="pl-PL"/>
        </w:rPr>
      </w:pPr>
    </w:p>
    <w:p w:rsidR="00F05398" w:rsidRPr="007579B0" w:rsidRDefault="00F05398" w:rsidP="0048211E">
      <w:pPr>
        <w:jc w:val="center"/>
        <w:rPr>
          <w:i/>
          <w:lang w:val="pl-PL"/>
        </w:rPr>
      </w:pPr>
    </w:p>
    <w:p w:rsidR="00F05398" w:rsidRPr="007579B0" w:rsidRDefault="00F05398" w:rsidP="0048211E">
      <w:pPr>
        <w:jc w:val="center"/>
        <w:rPr>
          <w:i/>
          <w:lang w:val="pl-PL"/>
        </w:rPr>
      </w:pPr>
    </w:p>
    <w:p w:rsidR="00F05398" w:rsidRPr="007579B0" w:rsidRDefault="00F05398" w:rsidP="0048211E">
      <w:pPr>
        <w:jc w:val="center"/>
        <w:rPr>
          <w:i/>
          <w:lang w:val="pl-PL"/>
        </w:rPr>
      </w:pPr>
    </w:p>
    <w:p w:rsidR="00F05398" w:rsidRPr="007579B0" w:rsidRDefault="00F05398" w:rsidP="0048211E">
      <w:pPr>
        <w:jc w:val="center"/>
        <w:rPr>
          <w:i/>
          <w:lang w:val="pl-PL"/>
        </w:rPr>
      </w:pPr>
    </w:p>
    <w:p w:rsidR="00F05398" w:rsidRPr="007579B0" w:rsidRDefault="00F05398" w:rsidP="0048211E">
      <w:pPr>
        <w:jc w:val="center"/>
        <w:rPr>
          <w:i/>
          <w:lang w:val="pl-PL"/>
        </w:rPr>
      </w:pPr>
    </w:p>
    <w:p w:rsidR="00F05398" w:rsidRPr="007579B0" w:rsidRDefault="00F05398" w:rsidP="0048211E">
      <w:pPr>
        <w:jc w:val="center"/>
        <w:rPr>
          <w:lang w:val="pl-PL"/>
        </w:rPr>
      </w:pPr>
      <w:r w:rsidRPr="007579B0">
        <w:rPr>
          <w:lang w:val="pl-PL"/>
        </w:rPr>
        <w:t>WYROK</w:t>
      </w:r>
    </w:p>
    <w:p w:rsidR="00F05398" w:rsidRPr="007579B0" w:rsidRDefault="00F05398" w:rsidP="0048211E">
      <w:pPr>
        <w:jc w:val="center"/>
        <w:rPr>
          <w:lang w:val="pl-PL"/>
        </w:rPr>
      </w:pPr>
    </w:p>
    <w:p w:rsidR="00F05398" w:rsidRPr="007579B0" w:rsidRDefault="00F05398" w:rsidP="0048211E">
      <w:pPr>
        <w:jc w:val="center"/>
        <w:rPr>
          <w:lang w:val="pl-PL"/>
        </w:rPr>
      </w:pPr>
    </w:p>
    <w:p w:rsidR="00F05398" w:rsidRPr="007579B0" w:rsidRDefault="00F05398" w:rsidP="0048211E">
      <w:pPr>
        <w:jc w:val="center"/>
        <w:rPr>
          <w:lang w:val="pl-PL"/>
        </w:rPr>
      </w:pPr>
      <w:r w:rsidRPr="007579B0">
        <w:rPr>
          <w:lang w:val="pl-PL"/>
        </w:rPr>
        <w:t>STRASBOURG</w:t>
      </w:r>
    </w:p>
    <w:p w:rsidR="00F05398" w:rsidRPr="007579B0" w:rsidRDefault="00F05398" w:rsidP="0048211E">
      <w:pPr>
        <w:jc w:val="center"/>
        <w:rPr>
          <w:lang w:val="pl-PL"/>
        </w:rPr>
      </w:pPr>
    </w:p>
    <w:p w:rsidR="00F05398" w:rsidRPr="007579B0" w:rsidRDefault="00F05398" w:rsidP="0048211E">
      <w:pPr>
        <w:jc w:val="center"/>
        <w:rPr>
          <w:lang w:val="pl-PL"/>
        </w:rPr>
      </w:pPr>
      <w:r w:rsidRPr="007579B0">
        <w:rPr>
          <w:lang w:val="pl-PL"/>
        </w:rPr>
        <w:t>27 listopada 2008 r.</w:t>
      </w:r>
    </w:p>
    <w:p w:rsidR="00F05398" w:rsidRPr="007579B0" w:rsidRDefault="00F05398" w:rsidP="0048211E">
      <w:pPr>
        <w:jc w:val="center"/>
        <w:rPr>
          <w:lang w:val="pl-PL"/>
        </w:rPr>
      </w:pPr>
    </w:p>
    <w:p w:rsidR="00F05398" w:rsidRPr="007579B0" w:rsidRDefault="00F05398" w:rsidP="0048211E">
      <w:pPr>
        <w:jc w:val="center"/>
        <w:rPr>
          <w:lang w:val="pl-PL"/>
        </w:rPr>
      </w:pPr>
    </w:p>
    <w:p w:rsidR="00F05398" w:rsidRPr="007579B0" w:rsidRDefault="00F05398" w:rsidP="0048211E">
      <w:pPr>
        <w:jc w:val="both"/>
        <w:rPr>
          <w:lang w:val="pl-PL"/>
        </w:rPr>
      </w:pPr>
    </w:p>
    <w:p w:rsidR="00F05398" w:rsidRPr="007579B0" w:rsidRDefault="00F05398" w:rsidP="00947D97">
      <w:pPr>
        <w:pStyle w:val="JuCase"/>
        <w:keepNext/>
        <w:rPr>
          <w:lang w:val="pl-PL"/>
        </w:rPr>
        <w:sectPr w:rsidR="00F05398" w:rsidRPr="007579B0" w:rsidSect="0048211E">
          <w:headerReference w:type="default" r:id="rId9"/>
          <w:pgSz w:w="11906" w:h="16838" w:code="9"/>
          <w:pgMar w:top="2274" w:right="2274" w:bottom="2274" w:left="2274" w:header="1701" w:footer="708" w:gutter="0"/>
          <w:pgNumType w:start="1"/>
          <w:cols w:space="708"/>
          <w:docGrid w:linePitch="78"/>
        </w:sectPr>
      </w:pPr>
    </w:p>
    <w:p w:rsidR="00F05398" w:rsidRPr="007579B0" w:rsidRDefault="00F05398" w:rsidP="00947D97">
      <w:pPr>
        <w:pStyle w:val="JuCase"/>
        <w:keepNext/>
        <w:rPr>
          <w:lang w:val="pl-PL"/>
        </w:rPr>
      </w:pPr>
      <w:r w:rsidRPr="007579B0">
        <w:rPr>
          <w:bCs/>
          <w:lang w:val="pl-PL"/>
        </w:rPr>
        <w:lastRenderedPageBreak/>
        <w:t>W sprawie Salduz przeciwko Turcji,</w:t>
      </w:r>
    </w:p>
    <w:p w:rsidR="00F05398" w:rsidRPr="007579B0" w:rsidRDefault="00F05398" w:rsidP="00947D97">
      <w:pPr>
        <w:pStyle w:val="JuPara"/>
        <w:rPr>
          <w:lang w:val="pl-PL"/>
        </w:rPr>
      </w:pPr>
      <w:r w:rsidRPr="007579B0">
        <w:rPr>
          <w:lang w:val="pl-PL"/>
        </w:rPr>
        <w:t>Europejski Trybunał Praw Człowieka, zasiadając jako Wielka Izba składająca się z następujących sędziów:</w:t>
      </w:r>
    </w:p>
    <w:p w:rsidR="00F05398" w:rsidRPr="007579B0" w:rsidRDefault="00F05398" w:rsidP="00947D97">
      <w:pPr>
        <w:rPr>
          <w:lang w:val="pl-PL"/>
        </w:rPr>
      </w:pPr>
      <w:r w:rsidRPr="007579B0">
        <w:rPr>
          <w:rStyle w:val="JuJudgesChar"/>
          <w:lang w:val="pl-PL"/>
        </w:rPr>
        <w:tab/>
        <w:t>Nicolas Bratza,</w:t>
      </w:r>
      <w:r w:rsidRPr="007579B0">
        <w:rPr>
          <w:rStyle w:val="JuJudgesChar"/>
          <w:i/>
          <w:iCs/>
          <w:lang w:val="pl-PL"/>
        </w:rPr>
        <w:t xml:space="preserve"> Przewodniczący</w:t>
      </w:r>
      <w:r w:rsidRPr="007579B0">
        <w:rPr>
          <w:rStyle w:val="JuJudgesChar"/>
          <w:lang w:val="pl-PL"/>
        </w:rPr>
        <w:t>,</w:t>
      </w:r>
      <w:r w:rsidRPr="007579B0">
        <w:rPr>
          <w:rStyle w:val="JuJudgesChar"/>
          <w:lang w:val="pl-PL"/>
        </w:rPr>
        <w:br/>
      </w:r>
      <w:r w:rsidRPr="007579B0">
        <w:rPr>
          <w:rStyle w:val="JuJudgesChar"/>
          <w:lang w:val="pl-PL"/>
        </w:rPr>
        <w:tab/>
        <w:t>Christos Rozakis,</w:t>
      </w:r>
      <w:r w:rsidRPr="007579B0">
        <w:rPr>
          <w:rStyle w:val="JuJudgesChar"/>
          <w:lang w:val="pl-PL"/>
        </w:rPr>
        <w:br/>
      </w:r>
      <w:r w:rsidRPr="007579B0">
        <w:rPr>
          <w:rStyle w:val="JuJudgesChar"/>
          <w:lang w:val="pl-PL"/>
        </w:rPr>
        <w:tab/>
        <w:t>Josep Casadevall,</w:t>
      </w:r>
      <w:r w:rsidRPr="007579B0">
        <w:rPr>
          <w:rStyle w:val="JuJudgesChar"/>
          <w:lang w:val="pl-PL"/>
        </w:rPr>
        <w:br/>
      </w:r>
      <w:r w:rsidRPr="007579B0">
        <w:rPr>
          <w:rStyle w:val="JuJudgesChar"/>
          <w:lang w:val="pl-PL"/>
        </w:rPr>
        <w:tab/>
        <w:t>Rıza Türmen,</w:t>
      </w:r>
      <w:r w:rsidRPr="007579B0">
        <w:rPr>
          <w:rStyle w:val="JuJudgesChar"/>
          <w:lang w:val="pl-PL"/>
        </w:rPr>
        <w:br/>
      </w:r>
      <w:r w:rsidRPr="007579B0">
        <w:rPr>
          <w:rStyle w:val="JuJudgesChar"/>
          <w:lang w:val="pl-PL"/>
        </w:rPr>
        <w:tab/>
        <w:t>Rait Maruste,</w:t>
      </w:r>
      <w:r w:rsidRPr="007579B0">
        <w:rPr>
          <w:rStyle w:val="JuJudgesChar"/>
          <w:lang w:val="pl-PL"/>
        </w:rPr>
        <w:br/>
      </w:r>
      <w:r w:rsidRPr="007579B0">
        <w:rPr>
          <w:rStyle w:val="JuJudgesChar"/>
          <w:lang w:val="pl-PL"/>
        </w:rPr>
        <w:tab/>
        <w:t>Vladimiro Zagrebelsky,</w:t>
      </w:r>
      <w:r w:rsidRPr="007579B0">
        <w:rPr>
          <w:rStyle w:val="JuJudgesChar"/>
          <w:lang w:val="pl-PL"/>
        </w:rPr>
        <w:br/>
      </w:r>
      <w:r w:rsidRPr="007579B0">
        <w:rPr>
          <w:rStyle w:val="JuJudgesChar"/>
          <w:lang w:val="pl-PL"/>
        </w:rPr>
        <w:tab/>
        <w:t>Stanislav Pavlovschi,</w:t>
      </w:r>
      <w:r w:rsidRPr="007579B0">
        <w:rPr>
          <w:rStyle w:val="JuJudgesChar"/>
          <w:lang w:val="pl-PL"/>
        </w:rPr>
        <w:br/>
      </w:r>
      <w:r w:rsidRPr="007579B0">
        <w:rPr>
          <w:rStyle w:val="JuJudgesChar"/>
          <w:lang w:val="pl-PL"/>
        </w:rPr>
        <w:tab/>
        <w:t>Alvina Gyulumyan,</w:t>
      </w:r>
      <w:r w:rsidRPr="007579B0">
        <w:rPr>
          <w:rStyle w:val="JuJudgesChar"/>
          <w:lang w:val="pl-PL"/>
        </w:rPr>
        <w:br/>
      </w:r>
      <w:r w:rsidRPr="007579B0">
        <w:rPr>
          <w:rStyle w:val="JuJudgesChar"/>
          <w:lang w:val="pl-PL"/>
        </w:rPr>
        <w:tab/>
        <w:t>Ljiljana Mijović,</w:t>
      </w:r>
      <w:r w:rsidRPr="007579B0">
        <w:rPr>
          <w:rStyle w:val="JuJudgesChar"/>
          <w:lang w:val="pl-PL"/>
        </w:rPr>
        <w:br/>
      </w:r>
      <w:r w:rsidRPr="007579B0">
        <w:rPr>
          <w:rStyle w:val="JuJudgesChar"/>
          <w:lang w:val="pl-PL"/>
        </w:rPr>
        <w:tab/>
        <w:t>Dean Spielmann,</w:t>
      </w:r>
      <w:r w:rsidRPr="007579B0">
        <w:rPr>
          <w:rStyle w:val="JuJudgesChar"/>
          <w:lang w:val="pl-PL"/>
        </w:rPr>
        <w:br/>
      </w:r>
      <w:r w:rsidRPr="007579B0">
        <w:rPr>
          <w:rStyle w:val="JuJudgesChar"/>
          <w:lang w:val="pl-PL"/>
        </w:rPr>
        <w:tab/>
        <w:t>Renate Jaeger,</w:t>
      </w:r>
      <w:r w:rsidRPr="007579B0">
        <w:rPr>
          <w:rStyle w:val="JuJudgesChar"/>
          <w:lang w:val="pl-PL"/>
        </w:rPr>
        <w:br/>
      </w:r>
      <w:r w:rsidRPr="007579B0">
        <w:rPr>
          <w:rStyle w:val="JuJudgesChar"/>
          <w:lang w:val="pl-PL"/>
        </w:rPr>
        <w:tab/>
        <w:t>Davíd Thór Björgvinsson,</w:t>
      </w:r>
      <w:r w:rsidRPr="007579B0">
        <w:rPr>
          <w:rStyle w:val="JuJudgesChar"/>
          <w:lang w:val="pl-PL"/>
        </w:rPr>
        <w:br/>
      </w:r>
      <w:r w:rsidRPr="007579B0">
        <w:rPr>
          <w:rStyle w:val="JuJudgesChar"/>
          <w:lang w:val="pl-PL"/>
        </w:rPr>
        <w:tab/>
        <w:t>Ján Šikuta,</w:t>
      </w:r>
      <w:r w:rsidRPr="007579B0">
        <w:rPr>
          <w:rStyle w:val="JuJudgesChar"/>
          <w:lang w:val="pl-PL"/>
        </w:rPr>
        <w:br/>
      </w:r>
      <w:r w:rsidRPr="007579B0">
        <w:rPr>
          <w:rStyle w:val="JuJudgesChar"/>
          <w:lang w:val="pl-PL"/>
        </w:rPr>
        <w:tab/>
        <w:t>Ineta Ziemele,</w:t>
      </w:r>
      <w:r w:rsidRPr="007579B0">
        <w:rPr>
          <w:rStyle w:val="JuJudgesChar"/>
          <w:lang w:val="pl-PL"/>
        </w:rPr>
        <w:br/>
      </w:r>
      <w:r w:rsidRPr="007579B0">
        <w:rPr>
          <w:rStyle w:val="JuJudgesChar"/>
          <w:lang w:val="pl-PL"/>
        </w:rPr>
        <w:tab/>
        <w:t>Mark Villiger,</w:t>
      </w:r>
      <w:r w:rsidRPr="007579B0">
        <w:rPr>
          <w:rStyle w:val="JuJudgesChar"/>
          <w:lang w:val="pl-PL"/>
        </w:rPr>
        <w:br/>
      </w:r>
      <w:r w:rsidRPr="007579B0">
        <w:rPr>
          <w:rStyle w:val="JuJudgesChar"/>
          <w:lang w:val="pl-PL"/>
        </w:rPr>
        <w:tab/>
        <w:t>Lui</w:t>
      </w:r>
      <w:r w:rsidR="00702021" w:rsidRPr="007579B0">
        <w:rPr>
          <w:rStyle w:val="JuJudgesChar"/>
          <w:lang w:val="pl-PL"/>
        </w:rPr>
        <w:t>s López Guerra,</w:t>
      </w:r>
      <w:r w:rsidR="00702021" w:rsidRPr="007579B0">
        <w:rPr>
          <w:rStyle w:val="JuJudgesChar"/>
          <w:lang w:val="pl-PL"/>
        </w:rPr>
        <w:br/>
      </w:r>
      <w:r w:rsidR="00702021" w:rsidRPr="007579B0">
        <w:rPr>
          <w:rStyle w:val="JuJudgesChar"/>
          <w:lang w:val="pl-PL"/>
        </w:rPr>
        <w:tab/>
        <w:t>Mirjana Lazarow</w:t>
      </w:r>
      <w:r w:rsidRPr="007579B0">
        <w:rPr>
          <w:rStyle w:val="JuJudgesChar"/>
          <w:lang w:val="pl-PL"/>
        </w:rPr>
        <w:t>a Trajko</w:t>
      </w:r>
      <w:r w:rsidR="00702021" w:rsidRPr="007579B0">
        <w:rPr>
          <w:rStyle w:val="JuJudgesChar"/>
          <w:lang w:val="pl-PL"/>
        </w:rPr>
        <w:t>w</w:t>
      </w:r>
      <w:r w:rsidRPr="007579B0">
        <w:rPr>
          <w:rStyle w:val="JuJudgesChar"/>
          <w:lang w:val="pl-PL"/>
        </w:rPr>
        <w:t>ska,</w:t>
      </w:r>
      <w:r w:rsidRPr="007579B0">
        <w:rPr>
          <w:rStyle w:val="JuJudgesChar"/>
          <w:i/>
          <w:iCs/>
          <w:lang w:val="pl-PL"/>
        </w:rPr>
        <w:t xml:space="preserve"> sędziowie</w:t>
      </w:r>
      <w:r w:rsidRPr="007579B0">
        <w:rPr>
          <w:rStyle w:val="JuJudgesChar"/>
          <w:lang w:val="pl-PL"/>
        </w:rPr>
        <w:t>,</w:t>
      </w:r>
      <w:r w:rsidRPr="007579B0">
        <w:rPr>
          <w:lang w:val="pl-PL"/>
        </w:rPr>
        <w:br/>
      </w:r>
      <w:r w:rsidRPr="007579B0">
        <w:rPr>
          <w:rStyle w:val="JuJudgesChar"/>
          <w:lang w:val="pl-PL"/>
        </w:rPr>
        <w:t>oraz Vincent Berger</w:t>
      </w:r>
      <w:r w:rsidR="007579B0" w:rsidRPr="007579B0">
        <w:rPr>
          <w:rStyle w:val="JuJudgesChar"/>
          <w:lang w:val="pl-PL"/>
        </w:rPr>
        <w:t xml:space="preserve">, </w:t>
      </w:r>
      <w:r w:rsidR="00034534">
        <w:rPr>
          <w:rStyle w:val="JuJudgesChar"/>
          <w:i/>
          <w:lang w:val="pl-PL"/>
        </w:rPr>
        <w:t>radca p</w:t>
      </w:r>
      <w:r w:rsidR="007579B0" w:rsidRPr="007579B0">
        <w:rPr>
          <w:rStyle w:val="JuJudgesChar"/>
          <w:i/>
          <w:lang w:val="pl-PL"/>
        </w:rPr>
        <w:t>rawny</w:t>
      </w:r>
      <w:r w:rsidR="007579B0" w:rsidRPr="007579B0">
        <w:rPr>
          <w:rStyle w:val="JuJudgesChar"/>
          <w:lang w:val="pl-PL"/>
        </w:rPr>
        <w:t>,</w:t>
      </w:r>
    </w:p>
    <w:p w:rsidR="00F05398" w:rsidRPr="007579B0" w:rsidRDefault="00034534" w:rsidP="0048211E">
      <w:pPr>
        <w:pStyle w:val="JuPara"/>
        <w:rPr>
          <w:lang w:val="pl-PL"/>
        </w:rPr>
      </w:pPr>
      <w:r>
        <w:rPr>
          <w:lang w:val="pl-PL"/>
        </w:rPr>
        <w:t>o</w:t>
      </w:r>
      <w:r w:rsidR="00F05398" w:rsidRPr="007579B0">
        <w:rPr>
          <w:lang w:val="pl-PL"/>
        </w:rPr>
        <w:t>bradując na posiedzeniach zamkniętych w dniach 19 marca i 15 października 2008 r.,</w:t>
      </w:r>
    </w:p>
    <w:p w:rsidR="00F05398" w:rsidRPr="007579B0" w:rsidRDefault="00034534" w:rsidP="00947D97">
      <w:pPr>
        <w:pStyle w:val="JuPara"/>
        <w:rPr>
          <w:lang w:val="pl-PL"/>
        </w:rPr>
      </w:pPr>
      <w:r>
        <w:rPr>
          <w:lang w:val="pl-PL"/>
        </w:rPr>
        <w:t>w</w:t>
      </w:r>
      <w:r w:rsidR="00F05398" w:rsidRPr="007579B0">
        <w:rPr>
          <w:lang w:val="pl-PL"/>
        </w:rPr>
        <w:t>ydaje następujący wyrok, który został przyjęty w ostatnim wskazanym dniu:</w:t>
      </w:r>
    </w:p>
    <w:p w:rsidR="00F05398" w:rsidRPr="007579B0" w:rsidRDefault="00F05398" w:rsidP="00947D97">
      <w:pPr>
        <w:pStyle w:val="JuHHead"/>
        <w:rPr>
          <w:lang w:val="pl-PL"/>
        </w:rPr>
      </w:pPr>
      <w:r w:rsidRPr="007579B0">
        <w:rPr>
          <w:lang w:val="pl-PL"/>
        </w:rPr>
        <w:t>POSTĘPOWANIE</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1</w:t>
      </w:r>
      <w:r w:rsidRPr="007579B0">
        <w:rPr>
          <w:lang w:val="pl-PL"/>
        </w:rPr>
        <w:fldChar w:fldCharType="end"/>
      </w:r>
      <w:r w:rsidR="00F05398" w:rsidRPr="007579B0">
        <w:rPr>
          <w:lang w:val="pl-PL"/>
        </w:rPr>
        <w:t>.  Sprawa wywodzi się ze skargi (nr 36391/02) przeciwko Republice Turcji wniesionej do Trybunału na podstawie artykułu 34 Konwencji o Ochronie Praw Człowieka i Podstawowych Wolności („Konwencja”) przez obywatela tureckiego, pana Yusufa Salduza („skarżący”), w dniu 8 sierpnia 2002 r.</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2</w:t>
      </w:r>
      <w:r w:rsidRPr="007579B0">
        <w:rPr>
          <w:lang w:val="pl-PL"/>
        </w:rPr>
        <w:fldChar w:fldCharType="end"/>
      </w:r>
      <w:r w:rsidR="00F05398" w:rsidRPr="007579B0">
        <w:rPr>
          <w:lang w:val="pl-PL"/>
        </w:rPr>
        <w:t xml:space="preserve">.  Skarżący zarzucił w szczególności, że jego prawa do obrony zostały naruszone w ten sposób, iż nie </w:t>
      </w:r>
      <w:r w:rsidR="00C3518A" w:rsidRPr="007579B0">
        <w:rPr>
          <w:lang w:val="pl-PL"/>
        </w:rPr>
        <w:t xml:space="preserve">przekazano </w:t>
      </w:r>
      <w:r w:rsidR="00F05398" w:rsidRPr="007579B0">
        <w:rPr>
          <w:lang w:val="pl-PL"/>
        </w:rPr>
        <w:t xml:space="preserve">mu pisemnej opinii </w:t>
      </w:r>
      <w:r w:rsidR="00CD4248" w:rsidRPr="007579B0">
        <w:rPr>
          <w:lang w:val="pl-PL"/>
        </w:rPr>
        <w:t>Naczelnego Prokuratora</w:t>
      </w:r>
      <w:r w:rsidR="00F05398" w:rsidRPr="007579B0">
        <w:rPr>
          <w:lang w:val="pl-PL"/>
        </w:rPr>
        <w:t xml:space="preserve"> </w:t>
      </w:r>
      <w:r w:rsidR="00063A80" w:rsidRPr="007579B0">
        <w:rPr>
          <w:lang w:val="pl-PL"/>
        </w:rPr>
        <w:t>przy Sądzie</w:t>
      </w:r>
      <w:r w:rsidR="00F05398" w:rsidRPr="007579B0">
        <w:rPr>
          <w:lang w:val="pl-PL"/>
        </w:rPr>
        <w:t xml:space="preserve"> Kasacyjnym oraz że </w:t>
      </w:r>
      <w:r w:rsidR="00C3518A" w:rsidRPr="007579B0">
        <w:rPr>
          <w:lang w:val="pl-PL"/>
        </w:rPr>
        <w:t xml:space="preserve">podczas </w:t>
      </w:r>
      <w:r w:rsidR="00034534">
        <w:rPr>
          <w:lang w:val="pl-PL"/>
        </w:rPr>
        <w:t>zatrzymania przez policję</w:t>
      </w:r>
      <w:r w:rsidR="00C3518A" w:rsidRPr="007579B0">
        <w:rPr>
          <w:lang w:val="pl-PL"/>
        </w:rPr>
        <w:t xml:space="preserve"> </w:t>
      </w:r>
      <w:r w:rsidR="00F05398" w:rsidRPr="007579B0">
        <w:rPr>
          <w:lang w:val="pl-PL"/>
        </w:rPr>
        <w:t>odmówiono mu dostępu do adwokata</w:t>
      </w:r>
      <w:r w:rsidR="00C3518A" w:rsidRPr="007579B0">
        <w:rPr>
          <w:lang w:val="pl-PL"/>
        </w:rPr>
        <w:t>.</w:t>
      </w:r>
      <w:r w:rsidR="00F05398" w:rsidRPr="007579B0">
        <w:rPr>
          <w:lang w:val="pl-PL"/>
        </w:rPr>
        <w:t xml:space="preserve"> W odniesieniu do podnoszonych zarzutów skarżący wskazywał na artykuł 6 ust. 1 i ust. 3 lit. c) Konwencji.</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3</w:t>
      </w:r>
      <w:r w:rsidRPr="007579B0">
        <w:rPr>
          <w:lang w:val="pl-PL"/>
        </w:rPr>
        <w:fldChar w:fldCharType="end"/>
      </w:r>
      <w:r w:rsidR="00F05398" w:rsidRPr="007579B0">
        <w:rPr>
          <w:lang w:val="pl-PL"/>
        </w:rPr>
        <w:t xml:space="preserve">.  Skarga została </w:t>
      </w:r>
      <w:r w:rsidR="00CD4248" w:rsidRPr="007579B0">
        <w:rPr>
          <w:lang w:val="pl-PL"/>
        </w:rPr>
        <w:t xml:space="preserve">przekazana </w:t>
      </w:r>
      <w:r w:rsidR="00F05398" w:rsidRPr="007579B0">
        <w:rPr>
          <w:lang w:val="pl-PL"/>
        </w:rPr>
        <w:t>do Drugiej Sekcji Trybunału (</w:t>
      </w:r>
      <w:r w:rsidR="00CD4248" w:rsidRPr="007579B0">
        <w:rPr>
          <w:lang w:val="pl-PL"/>
        </w:rPr>
        <w:t xml:space="preserve">artykuł </w:t>
      </w:r>
      <w:r w:rsidR="00063A80" w:rsidRPr="007579B0">
        <w:rPr>
          <w:lang w:val="pl-PL"/>
        </w:rPr>
        <w:t xml:space="preserve">52 </w:t>
      </w:r>
      <w:r w:rsidR="00CD4248" w:rsidRPr="007579B0">
        <w:rPr>
          <w:lang w:val="pl-PL"/>
        </w:rPr>
        <w:t xml:space="preserve">ust. </w:t>
      </w:r>
      <w:r w:rsidR="00063A80" w:rsidRPr="007579B0">
        <w:rPr>
          <w:lang w:val="pl-PL"/>
        </w:rPr>
        <w:t xml:space="preserve">1 </w:t>
      </w:r>
      <w:r w:rsidR="00CD4248" w:rsidRPr="007579B0">
        <w:rPr>
          <w:lang w:val="pl-PL"/>
        </w:rPr>
        <w:t>Regulaminu Trybunału</w:t>
      </w:r>
      <w:r w:rsidR="00063A80" w:rsidRPr="007579B0">
        <w:rPr>
          <w:lang w:val="pl-PL"/>
        </w:rPr>
        <w:t>).</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4</w:t>
      </w:r>
      <w:r w:rsidRPr="007579B0">
        <w:rPr>
          <w:lang w:val="pl-PL"/>
        </w:rPr>
        <w:fldChar w:fldCharType="end"/>
      </w:r>
      <w:r w:rsidR="00F05398" w:rsidRPr="007579B0">
        <w:rPr>
          <w:lang w:val="pl-PL"/>
        </w:rPr>
        <w:t>.  </w:t>
      </w:r>
      <w:r w:rsidR="006715E2" w:rsidRPr="007579B0">
        <w:rPr>
          <w:lang w:val="pl-PL"/>
        </w:rPr>
        <w:t>Decyzją z dnia 28 marca 2006 r.</w:t>
      </w:r>
      <w:r w:rsidR="00F05398" w:rsidRPr="007579B0">
        <w:rPr>
          <w:lang w:val="pl-PL"/>
        </w:rPr>
        <w:t xml:space="preserve"> Izba tej Sekcji w składzie: </w:t>
      </w:r>
      <w:r w:rsidR="0045401D" w:rsidRPr="007579B0">
        <w:rPr>
          <w:lang w:val="pl-PL"/>
        </w:rPr>
        <w:t>sędziowie</w:t>
      </w:r>
      <w:r w:rsidR="0045401D" w:rsidRPr="007579B0">
        <w:rPr>
          <w:lang w:val="pl-PL"/>
        </w:rPr>
        <w:t xml:space="preserve"> </w:t>
      </w:r>
      <w:r w:rsidR="00F05398" w:rsidRPr="007579B0">
        <w:rPr>
          <w:lang w:val="pl-PL"/>
        </w:rPr>
        <w:t xml:space="preserve">Jean-Paul Costa, </w:t>
      </w:r>
      <w:proofErr w:type="spellStart"/>
      <w:r w:rsidR="00F05398" w:rsidRPr="007579B0">
        <w:rPr>
          <w:lang w:val="pl-PL"/>
        </w:rPr>
        <w:t>Andras</w:t>
      </w:r>
      <w:proofErr w:type="spellEnd"/>
      <w:r w:rsidR="00F05398" w:rsidRPr="007579B0">
        <w:rPr>
          <w:lang w:val="pl-PL"/>
        </w:rPr>
        <w:t xml:space="preserve"> Baka, Rıza Türmen, Karl Jungwiert, Mindia Ugrekhelidze, Antonella </w:t>
      </w:r>
      <w:proofErr w:type="spellStart"/>
      <w:r w:rsidR="00F05398" w:rsidRPr="007579B0">
        <w:rPr>
          <w:lang w:val="pl-PL"/>
        </w:rPr>
        <w:t>Mularoni</w:t>
      </w:r>
      <w:proofErr w:type="spellEnd"/>
      <w:r w:rsidR="00F05398" w:rsidRPr="007579B0">
        <w:rPr>
          <w:lang w:val="pl-PL"/>
        </w:rPr>
        <w:t xml:space="preserve">, </w:t>
      </w:r>
      <w:proofErr w:type="spellStart"/>
      <w:r w:rsidR="00F05398" w:rsidRPr="007579B0">
        <w:rPr>
          <w:lang w:val="pl-PL"/>
        </w:rPr>
        <w:t>Elisabet</w:t>
      </w:r>
      <w:proofErr w:type="spellEnd"/>
      <w:r w:rsidR="00F05398" w:rsidRPr="007579B0">
        <w:rPr>
          <w:lang w:val="pl-PL"/>
        </w:rPr>
        <w:t xml:space="preserve"> Fura-</w:t>
      </w:r>
      <w:proofErr w:type="spellStart"/>
      <w:r w:rsidR="00F05398" w:rsidRPr="007579B0">
        <w:rPr>
          <w:lang w:val="pl-PL"/>
        </w:rPr>
        <w:t>Sandström</w:t>
      </w:r>
      <w:proofErr w:type="spellEnd"/>
      <w:r w:rsidR="00F05398" w:rsidRPr="007579B0">
        <w:rPr>
          <w:lang w:val="pl-PL"/>
        </w:rPr>
        <w:t xml:space="preserve">, </w:t>
      </w:r>
      <w:r w:rsidR="0045401D">
        <w:rPr>
          <w:lang w:val="pl-PL"/>
        </w:rPr>
        <w:t xml:space="preserve">oraz </w:t>
      </w:r>
      <w:proofErr w:type="spellStart"/>
      <w:r w:rsidR="0045401D">
        <w:rPr>
          <w:lang w:val="pl-PL"/>
        </w:rPr>
        <w:t>Sally</w:t>
      </w:r>
      <w:proofErr w:type="spellEnd"/>
      <w:r w:rsidR="0045401D">
        <w:rPr>
          <w:lang w:val="pl-PL"/>
        </w:rPr>
        <w:t xml:space="preserve"> </w:t>
      </w:r>
      <w:proofErr w:type="spellStart"/>
      <w:r w:rsidR="0045401D">
        <w:rPr>
          <w:lang w:val="pl-PL"/>
        </w:rPr>
        <w:t>Dollé</w:t>
      </w:r>
      <w:proofErr w:type="spellEnd"/>
      <w:r w:rsidR="0045401D">
        <w:rPr>
          <w:lang w:val="pl-PL"/>
        </w:rPr>
        <w:t>, kanclerz s</w:t>
      </w:r>
      <w:r w:rsidR="00F05398" w:rsidRPr="007579B0">
        <w:rPr>
          <w:lang w:val="pl-PL"/>
        </w:rPr>
        <w:t>ekcji, uznała skargę za częściowo niedopuszczalną.</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5</w:t>
      </w:r>
      <w:r w:rsidRPr="007579B0">
        <w:rPr>
          <w:lang w:val="pl-PL"/>
        </w:rPr>
        <w:fldChar w:fldCharType="end"/>
      </w:r>
      <w:r w:rsidR="00F05398" w:rsidRPr="007579B0">
        <w:rPr>
          <w:lang w:val="pl-PL"/>
        </w:rPr>
        <w:t xml:space="preserve">.  W wyroku z dnia 26 kwietnia 2007 r. („wyrok Izby”), Izba w składzie: </w:t>
      </w:r>
      <w:r w:rsidR="0045401D" w:rsidRPr="007579B0">
        <w:rPr>
          <w:lang w:val="pl-PL"/>
        </w:rPr>
        <w:t>sędziowie</w:t>
      </w:r>
      <w:r w:rsidR="0045401D" w:rsidRPr="007579B0">
        <w:rPr>
          <w:lang w:val="pl-PL"/>
        </w:rPr>
        <w:t xml:space="preserve"> </w:t>
      </w:r>
      <w:proofErr w:type="spellStart"/>
      <w:r w:rsidR="00F05398" w:rsidRPr="007579B0">
        <w:rPr>
          <w:lang w:val="pl-PL"/>
        </w:rPr>
        <w:t>Françoise</w:t>
      </w:r>
      <w:proofErr w:type="spellEnd"/>
      <w:r w:rsidR="00F05398" w:rsidRPr="007579B0">
        <w:rPr>
          <w:lang w:val="pl-PL"/>
        </w:rPr>
        <w:t xml:space="preserve"> </w:t>
      </w:r>
      <w:proofErr w:type="spellStart"/>
      <w:r w:rsidR="00F05398" w:rsidRPr="007579B0">
        <w:rPr>
          <w:lang w:val="pl-PL"/>
        </w:rPr>
        <w:t>Tulkens</w:t>
      </w:r>
      <w:proofErr w:type="spellEnd"/>
      <w:r w:rsidR="00F05398" w:rsidRPr="007579B0">
        <w:rPr>
          <w:lang w:val="pl-PL"/>
        </w:rPr>
        <w:t xml:space="preserve">, </w:t>
      </w:r>
      <w:proofErr w:type="spellStart"/>
      <w:r w:rsidR="00F05398" w:rsidRPr="007579B0">
        <w:rPr>
          <w:lang w:val="pl-PL"/>
        </w:rPr>
        <w:t>Andras</w:t>
      </w:r>
      <w:proofErr w:type="spellEnd"/>
      <w:r w:rsidR="00F05398" w:rsidRPr="007579B0">
        <w:rPr>
          <w:lang w:val="pl-PL"/>
        </w:rPr>
        <w:t xml:space="preserve"> Baka, Ireneu Cabral Barreto, Rıza Türmen, Mindia Ugrekhelidze, Antonella Mularoni i </w:t>
      </w:r>
      <w:proofErr w:type="spellStart"/>
      <w:r w:rsidR="00F05398" w:rsidRPr="007579B0">
        <w:rPr>
          <w:lang w:val="pl-PL"/>
        </w:rPr>
        <w:t>Danutė</w:t>
      </w:r>
      <w:proofErr w:type="spellEnd"/>
      <w:r w:rsidR="00F05398" w:rsidRPr="007579B0">
        <w:rPr>
          <w:lang w:val="pl-PL"/>
        </w:rPr>
        <w:t xml:space="preserve"> </w:t>
      </w:r>
      <w:proofErr w:type="spellStart"/>
      <w:r w:rsidR="00F05398" w:rsidRPr="007579B0">
        <w:rPr>
          <w:lang w:val="pl-PL"/>
        </w:rPr>
        <w:t>Jočienė</w:t>
      </w:r>
      <w:proofErr w:type="spellEnd"/>
      <w:r w:rsidR="00F05398" w:rsidRPr="007579B0">
        <w:rPr>
          <w:lang w:val="pl-PL"/>
        </w:rPr>
        <w:t xml:space="preserve">, oraz </w:t>
      </w:r>
      <w:proofErr w:type="spellStart"/>
      <w:r w:rsidR="00F05398" w:rsidRPr="007579B0">
        <w:rPr>
          <w:lang w:val="pl-PL"/>
        </w:rPr>
        <w:t>Sally</w:t>
      </w:r>
      <w:proofErr w:type="spellEnd"/>
      <w:r w:rsidR="00F05398" w:rsidRPr="007579B0">
        <w:rPr>
          <w:lang w:val="pl-PL"/>
        </w:rPr>
        <w:t xml:space="preserve"> </w:t>
      </w:r>
      <w:proofErr w:type="spellStart"/>
      <w:r w:rsidR="00F05398" w:rsidRPr="007579B0">
        <w:rPr>
          <w:lang w:val="pl-PL"/>
        </w:rPr>
        <w:t>Do</w:t>
      </w:r>
      <w:r w:rsidR="0045401D">
        <w:rPr>
          <w:lang w:val="pl-PL"/>
        </w:rPr>
        <w:t>llé</w:t>
      </w:r>
      <w:proofErr w:type="spellEnd"/>
      <w:r w:rsidR="0045401D">
        <w:rPr>
          <w:lang w:val="pl-PL"/>
        </w:rPr>
        <w:t>, kanclerz s</w:t>
      </w:r>
      <w:r w:rsidR="00F05398" w:rsidRPr="007579B0">
        <w:rPr>
          <w:lang w:val="pl-PL"/>
        </w:rPr>
        <w:t xml:space="preserve">ekcji, jednomyślnie uznała, że doszło do naruszenia artykułu 6 ust. 1 Konwencji w </w:t>
      </w:r>
      <w:r w:rsidR="0045401D">
        <w:rPr>
          <w:lang w:val="pl-PL"/>
        </w:rPr>
        <w:t>ten sposób</w:t>
      </w:r>
      <w:r w:rsidR="00F05398" w:rsidRPr="007579B0">
        <w:rPr>
          <w:lang w:val="pl-PL"/>
        </w:rPr>
        <w:t xml:space="preserve">, że nie </w:t>
      </w:r>
      <w:r w:rsidR="006715E2" w:rsidRPr="007579B0">
        <w:rPr>
          <w:lang w:val="pl-PL"/>
        </w:rPr>
        <w:t xml:space="preserve">przekazano mu </w:t>
      </w:r>
      <w:r w:rsidR="00F05398" w:rsidRPr="007579B0">
        <w:rPr>
          <w:lang w:val="pl-PL"/>
        </w:rPr>
        <w:t xml:space="preserve">pisemnej opinii </w:t>
      </w:r>
      <w:r w:rsidR="00CD4248" w:rsidRPr="007579B0">
        <w:rPr>
          <w:lang w:val="pl-PL"/>
        </w:rPr>
        <w:t>Naczelnego Prokuratora</w:t>
      </w:r>
      <w:r w:rsidR="00F05398" w:rsidRPr="007579B0">
        <w:rPr>
          <w:lang w:val="pl-PL"/>
        </w:rPr>
        <w:t>, a także uznała – stosunkiem pięciu głosów do dwóch – iż nie doszło do naruszenia artykułu 6 ust. 3 lit. c) K</w:t>
      </w:r>
      <w:r w:rsidR="00063A80" w:rsidRPr="007579B0">
        <w:rPr>
          <w:lang w:val="pl-PL"/>
        </w:rPr>
        <w:t>onwencji</w:t>
      </w:r>
      <w:r w:rsidR="00F05398" w:rsidRPr="007579B0">
        <w:rPr>
          <w:lang w:val="pl-PL"/>
        </w:rPr>
        <w:t xml:space="preserve"> z tytułu braku udzielenia skarżącemu pomocy prawnej podczas pobytu w areszcie policyjnym.</w:t>
      </w:r>
    </w:p>
    <w:p w:rsidR="00F05398" w:rsidRPr="007579B0" w:rsidRDefault="00B73521" w:rsidP="00947D97">
      <w:pPr>
        <w:pStyle w:val="JuParaChar"/>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6</w:t>
      </w:r>
      <w:r w:rsidRPr="007579B0">
        <w:rPr>
          <w:lang w:val="pl-PL"/>
        </w:rPr>
        <w:fldChar w:fldCharType="end"/>
      </w:r>
      <w:r w:rsidR="00F05398" w:rsidRPr="007579B0">
        <w:rPr>
          <w:lang w:val="pl-PL"/>
        </w:rPr>
        <w:t>.  W dniu 20 lipca 2007 r. skarżący złożył wniosek o przekazanie sprawy do Wielkiej Izby (artykuł 43 Konwencji).</w:t>
      </w:r>
    </w:p>
    <w:p w:rsidR="00F05398" w:rsidRPr="007579B0" w:rsidRDefault="00B73521" w:rsidP="00947D97">
      <w:pPr>
        <w:pStyle w:val="JuParaCharChar"/>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7</w:t>
      </w:r>
      <w:r w:rsidRPr="007579B0">
        <w:rPr>
          <w:lang w:val="pl-PL"/>
        </w:rPr>
        <w:fldChar w:fldCharType="end"/>
      </w:r>
      <w:r w:rsidR="00F05398" w:rsidRPr="007579B0">
        <w:rPr>
          <w:lang w:val="pl-PL"/>
        </w:rPr>
        <w:t>.  W dniu 24 września 2007 r. zespół Wielkiej Izby zadecydowa</w:t>
      </w:r>
      <w:r w:rsidR="00CD4248" w:rsidRPr="007579B0">
        <w:rPr>
          <w:lang w:val="pl-PL"/>
        </w:rPr>
        <w:t>ł o przyjęciu wniosk</w:t>
      </w:r>
      <w:r w:rsidR="0045401D">
        <w:rPr>
          <w:lang w:val="pl-PL"/>
        </w:rPr>
        <w:t>u</w:t>
      </w:r>
      <w:r w:rsidR="00CD4248" w:rsidRPr="007579B0">
        <w:rPr>
          <w:lang w:val="pl-PL"/>
        </w:rPr>
        <w:t xml:space="preserve"> (artykuł</w:t>
      </w:r>
      <w:r w:rsidR="00F05398" w:rsidRPr="007579B0">
        <w:rPr>
          <w:lang w:val="pl-PL"/>
        </w:rPr>
        <w:t xml:space="preserve"> 73</w:t>
      </w:r>
      <w:r w:rsidR="00CD4248" w:rsidRPr="007579B0">
        <w:rPr>
          <w:lang w:val="pl-PL"/>
        </w:rPr>
        <w:t xml:space="preserve"> Regulaminu</w:t>
      </w:r>
      <w:r w:rsidR="00F05398" w:rsidRPr="007579B0">
        <w:rPr>
          <w:lang w:val="pl-PL"/>
        </w:rPr>
        <w:t>).</w:t>
      </w:r>
    </w:p>
    <w:p w:rsidR="00F05398" w:rsidRPr="007579B0" w:rsidRDefault="00B73521" w:rsidP="00947D97">
      <w:pPr>
        <w:pStyle w:val="JuParaChar"/>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8</w:t>
      </w:r>
      <w:r w:rsidRPr="007579B0">
        <w:rPr>
          <w:lang w:val="pl-PL"/>
        </w:rPr>
        <w:fldChar w:fldCharType="end"/>
      </w:r>
      <w:r w:rsidR="00F05398" w:rsidRPr="007579B0">
        <w:rPr>
          <w:lang w:val="pl-PL"/>
        </w:rPr>
        <w:t xml:space="preserve">.  Skład Wielkiej Izby został ustalony zgodnie z </w:t>
      </w:r>
      <w:r w:rsidR="00CD4248" w:rsidRPr="007579B0">
        <w:rPr>
          <w:lang w:val="pl-PL"/>
        </w:rPr>
        <w:t>postanowieniami</w:t>
      </w:r>
      <w:r w:rsidR="00F05398" w:rsidRPr="007579B0">
        <w:rPr>
          <w:lang w:val="pl-PL"/>
        </w:rPr>
        <w:t xml:space="preserve"> artykułu 27 ust. 2 i ust. 3 Konwencji oraz </w:t>
      </w:r>
      <w:r w:rsidR="006715E2" w:rsidRPr="007579B0">
        <w:rPr>
          <w:lang w:val="pl-PL"/>
        </w:rPr>
        <w:t xml:space="preserve">artykułu </w:t>
      </w:r>
      <w:r w:rsidR="00F05398" w:rsidRPr="007579B0">
        <w:rPr>
          <w:lang w:val="pl-PL"/>
        </w:rPr>
        <w:t>24</w:t>
      </w:r>
      <w:r w:rsidR="006715E2" w:rsidRPr="007579B0">
        <w:rPr>
          <w:lang w:val="pl-PL"/>
        </w:rPr>
        <w:t xml:space="preserve"> Regulaminu</w:t>
      </w:r>
      <w:r w:rsidR="00F05398" w:rsidRPr="007579B0">
        <w:rPr>
          <w:lang w:val="pl-PL"/>
        </w:rPr>
        <w:t>.</w:t>
      </w:r>
    </w:p>
    <w:p w:rsidR="00F05398" w:rsidRPr="007579B0" w:rsidRDefault="00B73521" w:rsidP="00947D97">
      <w:pPr>
        <w:pStyle w:val="JuParaChar"/>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9</w:t>
      </w:r>
      <w:r w:rsidRPr="007579B0">
        <w:rPr>
          <w:lang w:val="pl-PL"/>
        </w:rPr>
        <w:fldChar w:fldCharType="end"/>
      </w:r>
      <w:r w:rsidR="00F05398" w:rsidRPr="007579B0">
        <w:rPr>
          <w:lang w:val="pl-PL"/>
        </w:rPr>
        <w:t>.  Skarżący oraz Rząd złożyli oświadczenia dotyczące meritum sprawy.</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10</w:t>
      </w:r>
      <w:r w:rsidRPr="007579B0">
        <w:rPr>
          <w:lang w:val="pl-PL"/>
        </w:rPr>
        <w:fldChar w:fldCharType="end"/>
      </w:r>
      <w:r w:rsidR="00F05398" w:rsidRPr="007579B0">
        <w:rPr>
          <w:lang w:val="pl-PL"/>
        </w:rPr>
        <w:t>.  </w:t>
      </w:r>
      <w:r w:rsidR="007579B0" w:rsidRPr="007579B0">
        <w:rPr>
          <w:lang w:val="pl-PL"/>
        </w:rPr>
        <w:t>Rozprawa odbyła się w siedzibie Europejskiego Trybunału Praw Człowieka w Strasburgu, w dniu 19 marca 2008 r. (artykuł 59 ust. 3 Regulaminu).</w:t>
      </w:r>
    </w:p>
    <w:p w:rsidR="00F05398" w:rsidRPr="007579B0" w:rsidRDefault="00F05398" w:rsidP="00947D97">
      <w:pPr>
        <w:pStyle w:val="JuPara"/>
        <w:rPr>
          <w:lang w:val="pl-PL"/>
        </w:rPr>
      </w:pPr>
    </w:p>
    <w:p w:rsidR="00F05398" w:rsidRPr="007579B0" w:rsidRDefault="00F05398" w:rsidP="00947D97">
      <w:pPr>
        <w:pStyle w:val="JuParaCharCharCharCharCharCharChar"/>
        <w:keepNext/>
        <w:keepLines/>
        <w:rPr>
          <w:lang w:val="pl-PL"/>
        </w:rPr>
      </w:pPr>
      <w:r w:rsidRPr="007579B0">
        <w:rPr>
          <w:lang w:val="pl-PL"/>
        </w:rPr>
        <w:t xml:space="preserve">Przed </w:t>
      </w:r>
      <w:r w:rsidR="00396682" w:rsidRPr="007579B0">
        <w:rPr>
          <w:lang w:val="pl-PL"/>
        </w:rPr>
        <w:t>Trybunałem stawili się:</w:t>
      </w:r>
    </w:p>
    <w:p w:rsidR="00F05398" w:rsidRPr="007579B0" w:rsidRDefault="00F05398" w:rsidP="00947D97">
      <w:pPr>
        <w:pStyle w:val="JuCourt"/>
        <w:keepLines/>
        <w:rPr>
          <w:lang w:val="pl-PL"/>
        </w:rPr>
      </w:pPr>
      <w:r w:rsidRPr="007579B0">
        <w:rPr>
          <w:lang w:val="pl-PL"/>
        </w:rPr>
        <w:t>(a)  </w:t>
      </w:r>
      <w:r w:rsidRPr="007579B0">
        <w:rPr>
          <w:i/>
          <w:iCs/>
          <w:lang w:val="pl-PL"/>
        </w:rPr>
        <w:t>w imieniu Rządu</w:t>
      </w:r>
      <w:r w:rsidRPr="007579B0">
        <w:rPr>
          <w:lang w:val="pl-PL"/>
        </w:rPr>
        <w:br/>
      </w:r>
      <w:r w:rsidR="00AF6215">
        <w:rPr>
          <w:lang w:val="pl-PL"/>
        </w:rPr>
        <w:t>Pan</w:t>
      </w:r>
      <w:r w:rsidRPr="007579B0">
        <w:rPr>
          <w:lang w:val="pl-PL"/>
        </w:rPr>
        <w:tab/>
        <w:t xml:space="preserve">M. </w:t>
      </w:r>
      <w:proofErr w:type="spellStart"/>
      <w:r w:rsidRPr="007579B0">
        <w:rPr>
          <w:rStyle w:val="JuNames"/>
          <w:lang w:val="pl-PL"/>
        </w:rPr>
        <w:t>Özmen</w:t>
      </w:r>
      <w:proofErr w:type="spellEnd"/>
      <w:r w:rsidRPr="007579B0">
        <w:rPr>
          <w:lang w:val="pl-PL"/>
        </w:rPr>
        <w:t>,</w:t>
      </w:r>
      <w:r w:rsidRPr="007579B0">
        <w:rPr>
          <w:lang w:val="pl-PL"/>
        </w:rPr>
        <w:tab/>
      </w:r>
      <w:r w:rsidR="008A3948">
        <w:rPr>
          <w:i/>
          <w:lang w:val="pl-PL"/>
        </w:rPr>
        <w:t>zastępca p</w:t>
      </w:r>
      <w:r w:rsidR="00396682" w:rsidRPr="007579B0">
        <w:rPr>
          <w:i/>
          <w:lang w:val="pl-PL"/>
        </w:rPr>
        <w:t>rzedstawiciela</w:t>
      </w:r>
      <w:r w:rsidRPr="007579B0">
        <w:rPr>
          <w:lang w:val="pl-PL"/>
        </w:rPr>
        <w:t>,</w:t>
      </w:r>
      <w:r w:rsidRPr="007579B0">
        <w:rPr>
          <w:lang w:val="pl-PL"/>
        </w:rPr>
        <w:br/>
        <w:t>Pani</w:t>
      </w:r>
      <w:r w:rsidRPr="007579B0">
        <w:rPr>
          <w:lang w:val="pl-PL"/>
        </w:rPr>
        <w:tab/>
        <w:t xml:space="preserve">N. </w:t>
      </w:r>
      <w:r w:rsidRPr="007579B0">
        <w:rPr>
          <w:rStyle w:val="JuNames"/>
          <w:lang w:val="pl-PL"/>
        </w:rPr>
        <w:t>Çetin</w:t>
      </w:r>
      <w:r w:rsidRPr="007579B0">
        <w:rPr>
          <w:lang w:val="pl-PL"/>
        </w:rPr>
        <w:t>,</w:t>
      </w:r>
      <w:r w:rsidRPr="007579B0">
        <w:rPr>
          <w:lang w:val="pl-PL"/>
        </w:rPr>
        <w:br/>
        <w:t>Pani</w:t>
      </w:r>
      <w:r w:rsidRPr="007579B0">
        <w:rPr>
          <w:lang w:val="pl-PL"/>
        </w:rPr>
        <w:tab/>
      </w:r>
      <w:r w:rsidRPr="007579B0">
        <w:rPr>
          <w:rStyle w:val="JuNames"/>
          <w:lang w:val="pl-PL"/>
        </w:rPr>
        <w:t>A. Özdemir</w:t>
      </w:r>
      <w:r w:rsidRPr="007579B0">
        <w:rPr>
          <w:lang w:val="pl-PL"/>
        </w:rPr>
        <w:t>,</w:t>
      </w:r>
      <w:r w:rsidRPr="007579B0">
        <w:rPr>
          <w:lang w:val="pl-PL"/>
        </w:rPr>
        <w:br/>
        <w:t>Pani</w:t>
      </w:r>
      <w:r w:rsidRPr="007579B0">
        <w:rPr>
          <w:lang w:val="pl-PL"/>
        </w:rPr>
        <w:tab/>
      </w:r>
      <w:r w:rsidRPr="007579B0">
        <w:rPr>
          <w:rStyle w:val="JuNames"/>
          <w:lang w:val="pl-PL"/>
        </w:rPr>
        <w:t>İ. Kocayiğit,</w:t>
      </w:r>
      <w:r w:rsidRPr="007579B0">
        <w:rPr>
          <w:lang w:val="pl-PL"/>
        </w:rPr>
        <w:br/>
      </w:r>
      <w:r w:rsidR="00AF6215">
        <w:rPr>
          <w:lang w:val="pl-PL"/>
        </w:rPr>
        <w:t>Pan</w:t>
      </w:r>
      <w:r w:rsidRPr="007579B0">
        <w:rPr>
          <w:lang w:val="pl-PL"/>
        </w:rPr>
        <w:tab/>
        <w:t xml:space="preserve">C. </w:t>
      </w:r>
      <w:r w:rsidRPr="007579B0">
        <w:rPr>
          <w:rStyle w:val="JuNames"/>
          <w:lang w:val="pl-PL"/>
        </w:rPr>
        <w:t>Aydin</w:t>
      </w:r>
      <w:r w:rsidRPr="007579B0">
        <w:rPr>
          <w:lang w:val="pl-PL"/>
        </w:rPr>
        <w:t>,</w:t>
      </w:r>
      <w:r w:rsidRPr="007579B0">
        <w:rPr>
          <w:lang w:val="pl-PL"/>
        </w:rPr>
        <w:tab/>
      </w:r>
      <w:r w:rsidR="008A3948">
        <w:rPr>
          <w:i/>
          <w:iCs/>
          <w:lang w:val="pl-PL"/>
        </w:rPr>
        <w:t>d</w:t>
      </w:r>
      <w:r w:rsidRPr="007579B0">
        <w:rPr>
          <w:i/>
          <w:iCs/>
          <w:lang w:val="pl-PL"/>
        </w:rPr>
        <w:t>oradcy</w:t>
      </w:r>
      <w:r w:rsidRPr="007579B0">
        <w:rPr>
          <w:lang w:val="pl-PL"/>
        </w:rPr>
        <w:t>;</w:t>
      </w:r>
    </w:p>
    <w:p w:rsidR="00F05398" w:rsidRPr="007579B0" w:rsidRDefault="00F05398" w:rsidP="00947D97">
      <w:pPr>
        <w:pStyle w:val="JuCourt"/>
        <w:keepLines/>
        <w:rPr>
          <w:lang w:val="pl-PL"/>
        </w:rPr>
      </w:pPr>
      <w:r w:rsidRPr="007579B0">
        <w:rPr>
          <w:lang w:val="pl-PL"/>
        </w:rPr>
        <w:t>(b)  </w:t>
      </w:r>
      <w:r w:rsidRPr="007579B0">
        <w:rPr>
          <w:i/>
          <w:iCs/>
          <w:lang w:val="pl-PL"/>
        </w:rPr>
        <w:t>w imieniu skarżącego</w:t>
      </w:r>
      <w:r w:rsidRPr="007579B0">
        <w:rPr>
          <w:lang w:val="pl-PL"/>
        </w:rPr>
        <w:br/>
        <w:t>Pan</w:t>
      </w:r>
      <w:r w:rsidRPr="007579B0">
        <w:rPr>
          <w:lang w:val="pl-PL"/>
        </w:rPr>
        <w:tab/>
        <w:t xml:space="preserve">U. </w:t>
      </w:r>
      <w:proofErr w:type="spellStart"/>
      <w:r w:rsidRPr="007579B0">
        <w:rPr>
          <w:rStyle w:val="JuNames"/>
          <w:lang w:val="pl-PL"/>
        </w:rPr>
        <w:t>Kilinç</w:t>
      </w:r>
      <w:proofErr w:type="spellEnd"/>
      <w:r w:rsidRPr="007579B0">
        <w:rPr>
          <w:lang w:val="pl-PL"/>
        </w:rPr>
        <w:t>,</w:t>
      </w:r>
      <w:r w:rsidRPr="007579B0">
        <w:rPr>
          <w:lang w:val="pl-PL"/>
        </w:rPr>
        <w:tab/>
      </w:r>
      <w:r w:rsidR="008A3948">
        <w:rPr>
          <w:i/>
          <w:iCs/>
          <w:lang w:val="pl-PL"/>
        </w:rPr>
        <w:t>a</w:t>
      </w:r>
      <w:r w:rsidRPr="007579B0">
        <w:rPr>
          <w:i/>
          <w:iCs/>
          <w:lang w:val="pl-PL"/>
        </w:rPr>
        <w:t>dwokat</w:t>
      </w:r>
      <w:r w:rsidRPr="007579B0">
        <w:rPr>
          <w:lang w:val="pl-PL"/>
        </w:rPr>
        <w:t>,</w:t>
      </w:r>
      <w:r w:rsidRPr="007579B0">
        <w:rPr>
          <w:lang w:val="pl-PL"/>
        </w:rPr>
        <w:br/>
        <w:t>Pani</w:t>
      </w:r>
      <w:r w:rsidRPr="007579B0">
        <w:rPr>
          <w:lang w:val="pl-PL"/>
        </w:rPr>
        <w:tab/>
        <w:t xml:space="preserve">T. </w:t>
      </w:r>
      <w:proofErr w:type="spellStart"/>
      <w:r w:rsidRPr="007579B0">
        <w:rPr>
          <w:rStyle w:val="JuNames"/>
          <w:lang w:val="pl-PL"/>
        </w:rPr>
        <w:t>Aslan</w:t>
      </w:r>
      <w:proofErr w:type="spellEnd"/>
      <w:r w:rsidRPr="007579B0">
        <w:rPr>
          <w:lang w:val="pl-PL"/>
        </w:rPr>
        <w:t>,</w:t>
      </w:r>
      <w:r w:rsidRPr="007579B0">
        <w:rPr>
          <w:lang w:val="pl-PL"/>
        </w:rPr>
        <w:tab/>
      </w:r>
      <w:r w:rsidR="008A3948">
        <w:rPr>
          <w:i/>
          <w:iCs/>
          <w:lang w:val="pl-PL"/>
        </w:rPr>
        <w:t>d</w:t>
      </w:r>
      <w:r w:rsidRPr="007579B0">
        <w:rPr>
          <w:i/>
          <w:iCs/>
          <w:lang w:val="pl-PL"/>
        </w:rPr>
        <w:t>oradca</w:t>
      </w:r>
      <w:r w:rsidRPr="007579B0">
        <w:rPr>
          <w:lang w:val="pl-PL"/>
        </w:rPr>
        <w:t>.</w:t>
      </w:r>
    </w:p>
    <w:p w:rsidR="00F05398" w:rsidRPr="007579B0" w:rsidRDefault="00F05398" w:rsidP="00947D97">
      <w:pPr>
        <w:pStyle w:val="JuPara"/>
        <w:rPr>
          <w:lang w:val="pl-PL"/>
        </w:rPr>
      </w:pPr>
    </w:p>
    <w:p w:rsidR="00F05398" w:rsidRPr="007579B0" w:rsidRDefault="00F05398" w:rsidP="00947D97">
      <w:pPr>
        <w:pStyle w:val="JuPara"/>
        <w:rPr>
          <w:lang w:val="pl-PL"/>
        </w:rPr>
      </w:pPr>
      <w:r w:rsidRPr="007579B0">
        <w:rPr>
          <w:lang w:val="pl-PL"/>
        </w:rPr>
        <w:t>Trybunał wysłuchał wystąpień pana Kılınç i pana Özmen, a także ich odpowiedzi na pytania zadawane przez Trybunał.</w:t>
      </w:r>
    </w:p>
    <w:p w:rsidR="00F05398" w:rsidRPr="007579B0" w:rsidRDefault="00F05398" w:rsidP="00947D97">
      <w:pPr>
        <w:pStyle w:val="JuHHead"/>
        <w:rPr>
          <w:lang w:val="pl-PL"/>
        </w:rPr>
      </w:pPr>
      <w:r w:rsidRPr="007579B0">
        <w:rPr>
          <w:lang w:val="pl-PL"/>
        </w:rPr>
        <w:t>FAKTY</w:t>
      </w:r>
    </w:p>
    <w:p w:rsidR="00F05398" w:rsidRPr="007579B0" w:rsidRDefault="00F05398" w:rsidP="00947D97">
      <w:pPr>
        <w:pStyle w:val="JuHIRoman"/>
        <w:rPr>
          <w:lang w:val="pl-PL"/>
        </w:rPr>
      </w:pPr>
      <w:r w:rsidRPr="007579B0">
        <w:rPr>
          <w:lang w:val="pl-PL"/>
        </w:rPr>
        <w:t>I.  OKOLICZNOŚCI SPRAWY</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11</w:t>
      </w:r>
      <w:r w:rsidRPr="007579B0">
        <w:rPr>
          <w:lang w:val="pl-PL"/>
        </w:rPr>
        <w:fldChar w:fldCharType="end"/>
      </w:r>
      <w:r w:rsidR="00F05398" w:rsidRPr="007579B0">
        <w:rPr>
          <w:lang w:val="pl-PL"/>
        </w:rPr>
        <w:t>.  Skarżący urodził się w dniu 2 lutego 1984 r. i mieszka w Izmirze.</w:t>
      </w:r>
    </w:p>
    <w:p w:rsidR="00F05398" w:rsidRPr="007579B0" w:rsidRDefault="00F05398" w:rsidP="00947D97">
      <w:pPr>
        <w:pStyle w:val="JuHA"/>
        <w:rPr>
          <w:lang w:val="pl-PL"/>
        </w:rPr>
      </w:pPr>
      <w:r w:rsidRPr="007579B0">
        <w:rPr>
          <w:bCs/>
          <w:lang w:val="pl-PL"/>
        </w:rPr>
        <w:t>A.  Zatrzymanie i tymczasowe aresztowanie skarżącego</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12</w:t>
      </w:r>
      <w:r w:rsidRPr="007579B0">
        <w:rPr>
          <w:lang w:val="pl-PL"/>
        </w:rPr>
        <w:fldChar w:fldCharType="end"/>
      </w:r>
      <w:r w:rsidR="00F05398" w:rsidRPr="007579B0">
        <w:rPr>
          <w:lang w:val="pl-PL"/>
        </w:rPr>
        <w:t>.  W dniu 29 m</w:t>
      </w:r>
      <w:r w:rsidR="00A8786D" w:rsidRPr="007579B0">
        <w:rPr>
          <w:lang w:val="pl-PL"/>
        </w:rPr>
        <w:t>aja 2001 r. około godziny 22.15</w:t>
      </w:r>
      <w:r w:rsidR="00F05398" w:rsidRPr="007579B0">
        <w:rPr>
          <w:lang w:val="pl-PL"/>
        </w:rPr>
        <w:t xml:space="preserve"> skarżący został zatrzymany przez policjantów z wydziału antyterrorystycznego </w:t>
      </w:r>
      <w:r w:rsidR="00CD4248" w:rsidRPr="007579B0">
        <w:rPr>
          <w:lang w:val="pl-PL"/>
        </w:rPr>
        <w:t>Dyrekcji Bezpieczeństwa w I</w:t>
      </w:r>
      <w:r w:rsidR="00F05398" w:rsidRPr="007579B0">
        <w:rPr>
          <w:lang w:val="pl-PL"/>
        </w:rPr>
        <w:t>zmir</w:t>
      </w:r>
      <w:r w:rsidR="00CD4248" w:rsidRPr="007579B0">
        <w:rPr>
          <w:lang w:val="pl-PL"/>
        </w:rPr>
        <w:t>ze</w:t>
      </w:r>
      <w:r w:rsidR="00F05398" w:rsidRPr="007579B0">
        <w:rPr>
          <w:lang w:val="pl-PL"/>
        </w:rPr>
        <w:t xml:space="preserve"> </w:t>
      </w:r>
      <w:r w:rsidR="008A3948">
        <w:rPr>
          <w:lang w:val="pl-PL"/>
        </w:rPr>
        <w:t>w związku z podejrzeniem</w:t>
      </w:r>
      <w:r w:rsidR="00F05398" w:rsidRPr="007579B0">
        <w:rPr>
          <w:lang w:val="pl-PL"/>
        </w:rPr>
        <w:t xml:space="preserve"> uczestnictwa w niezgodnej z prawem demonstracji wspierającej nielegalną organizację, mianowicie PKK (Partię Pracujących Kurdystanu). Skarżącego oskarżono także o nielegalne wywieszenie transparentu na moście w miejscowości Bornova w dniu 26 kwietnia 2001 r.</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13</w:t>
      </w:r>
      <w:r w:rsidRPr="007579B0">
        <w:rPr>
          <w:lang w:val="pl-PL"/>
        </w:rPr>
        <w:fldChar w:fldCharType="end"/>
      </w:r>
      <w:r w:rsidR="00F05398" w:rsidRPr="007579B0">
        <w:rPr>
          <w:lang w:val="pl-PL"/>
        </w:rPr>
        <w:t xml:space="preserve">.  Około godziny </w:t>
      </w:r>
      <w:r w:rsidR="00063A80" w:rsidRPr="007579B0">
        <w:rPr>
          <w:lang w:val="pl-PL"/>
        </w:rPr>
        <w:t>0.3</w:t>
      </w:r>
      <w:r w:rsidR="00F05398" w:rsidRPr="007579B0">
        <w:rPr>
          <w:lang w:val="pl-PL"/>
        </w:rPr>
        <w:t xml:space="preserve">0 w dniu 30 maja 2001 r. skarżący został przewieziony do </w:t>
      </w:r>
      <w:r w:rsidR="00CD4248" w:rsidRPr="007579B0">
        <w:rPr>
          <w:lang w:val="pl-PL"/>
        </w:rPr>
        <w:t>Szpitala</w:t>
      </w:r>
      <w:r w:rsidR="00F05398" w:rsidRPr="007579B0">
        <w:rPr>
          <w:lang w:val="pl-PL"/>
        </w:rPr>
        <w:t xml:space="preserve"> Uniwersyteckiego im. Atatürka, gdzie</w:t>
      </w:r>
      <w:r w:rsidR="00063A80" w:rsidRPr="007579B0">
        <w:rPr>
          <w:lang w:val="pl-PL"/>
        </w:rPr>
        <w:t xml:space="preserve"> został zbadany przez lekarza. W zaświadczeniu lekarskim stwierdzono, że na ciele </w:t>
      </w:r>
      <w:r w:rsidR="00CD4248" w:rsidRPr="007579B0">
        <w:rPr>
          <w:lang w:val="pl-PL"/>
        </w:rPr>
        <w:t>skarżącego</w:t>
      </w:r>
      <w:r w:rsidR="00063A80" w:rsidRPr="007579B0">
        <w:rPr>
          <w:lang w:val="pl-PL"/>
        </w:rPr>
        <w:t xml:space="preserve"> nie było śladów </w:t>
      </w:r>
      <w:r w:rsidR="00CD4248" w:rsidRPr="007579B0">
        <w:rPr>
          <w:lang w:val="pl-PL"/>
        </w:rPr>
        <w:t>złego traktowania</w:t>
      </w:r>
      <w:r w:rsidR="00063A80" w:rsidRPr="007579B0">
        <w:rPr>
          <w:lang w:val="pl-PL"/>
        </w:rPr>
        <w:t>.</w:t>
      </w:r>
    </w:p>
    <w:p w:rsidR="00F05398" w:rsidRPr="007579B0" w:rsidRDefault="00B73521" w:rsidP="00947D97">
      <w:pPr>
        <w:pStyle w:val="JuParaChar"/>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14</w:t>
      </w:r>
      <w:r w:rsidRPr="007579B0">
        <w:rPr>
          <w:lang w:val="pl-PL"/>
        </w:rPr>
        <w:fldChar w:fldCharType="end"/>
      </w:r>
      <w:r w:rsidR="00F05398" w:rsidRPr="007579B0">
        <w:rPr>
          <w:lang w:val="pl-PL"/>
        </w:rPr>
        <w:t xml:space="preserve">.  Następnie, około godz. 1 </w:t>
      </w:r>
      <w:r w:rsidR="00063A80" w:rsidRPr="007579B0">
        <w:rPr>
          <w:lang w:val="pl-PL"/>
        </w:rPr>
        <w:t xml:space="preserve">w nocy </w:t>
      </w:r>
      <w:r w:rsidR="00F05398" w:rsidRPr="007579B0">
        <w:rPr>
          <w:lang w:val="pl-PL"/>
        </w:rPr>
        <w:t xml:space="preserve">skarżący był przesłuchiwany </w:t>
      </w:r>
      <w:r w:rsidR="008A3948">
        <w:rPr>
          <w:lang w:val="pl-PL"/>
        </w:rPr>
        <w:t xml:space="preserve">w </w:t>
      </w:r>
      <w:r w:rsidR="00F05398" w:rsidRPr="007579B0">
        <w:rPr>
          <w:lang w:val="pl-PL"/>
        </w:rPr>
        <w:t xml:space="preserve">wydziale antyterrorystycznym bez obecności adwokata. Jak wynika z </w:t>
      </w:r>
      <w:r w:rsidR="00A8786D" w:rsidRPr="007579B0">
        <w:rPr>
          <w:lang w:val="pl-PL"/>
        </w:rPr>
        <w:t xml:space="preserve">podpisanego przez skarżącego </w:t>
      </w:r>
      <w:r w:rsidR="00F05398" w:rsidRPr="007579B0">
        <w:rPr>
          <w:lang w:val="pl-PL"/>
        </w:rPr>
        <w:t xml:space="preserve">formularza zawierającego informacje o prawach osób zatrzymanych, </w:t>
      </w:r>
      <w:r w:rsidR="00A8786D" w:rsidRPr="007579B0">
        <w:rPr>
          <w:lang w:val="pl-PL"/>
        </w:rPr>
        <w:t xml:space="preserve">skarżącemu </w:t>
      </w:r>
      <w:r w:rsidR="00F05398" w:rsidRPr="007579B0">
        <w:rPr>
          <w:lang w:val="pl-PL"/>
        </w:rPr>
        <w:t xml:space="preserve">przedstawiono zarzuty oraz poinformowano go o prawie do zachowania milczenia. W swoich </w:t>
      </w:r>
      <w:r w:rsidR="008A3948">
        <w:rPr>
          <w:lang w:val="pl-PL"/>
        </w:rPr>
        <w:t>wyjaśnieniach</w:t>
      </w:r>
      <w:r w:rsidR="00F05398" w:rsidRPr="007579B0">
        <w:rPr>
          <w:lang w:val="pl-PL"/>
        </w:rPr>
        <w:t xml:space="preserve"> skarżący przyznał się do przynależności do młodzieżówki HADEP (</w:t>
      </w:r>
      <w:r w:rsidR="00F05398" w:rsidRPr="007579B0">
        <w:rPr>
          <w:i/>
          <w:iCs/>
          <w:lang w:val="pl-PL"/>
        </w:rPr>
        <w:t>Halkın Demokrasi Partisi –</w:t>
      </w:r>
      <w:r w:rsidR="00F05398" w:rsidRPr="007579B0">
        <w:rPr>
          <w:lang w:val="pl-PL"/>
        </w:rPr>
        <w:t xml:space="preserve"> </w:t>
      </w:r>
      <w:r w:rsidR="00063A80" w:rsidRPr="007579B0">
        <w:rPr>
          <w:lang w:val="pl-PL"/>
        </w:rPr>
        <w:t>Ludowej Partii Demokratycznej</w:t>
      </w:r>
      <w:r w:rsidR="00F05398" w:rsidRPr="007579B0">
        <w:rPr>
          <w:lang w:val="pl-PL"/>
        </w:rPr>
        <w:t>). Podał nazwiska kilku osób</w:t>
      </w:r>
      <w:r w:rsidR="00A0029E" w:rsidRPr="007579B0">
        <w:rPr>
          <w:lang w:val="pl-PL"/>
        </w:rPr>
        <w:t xml:space="preserve"> działających </w:t>
      </w:r>
      <w:r w:rsidR="00F05398" w:rsidRPr="007579B0">
        <w:rPr>
          <w:lang w:val="pl-PL"/>
        </w:rPr>
        <w:t xml:space="preserve">w młodzieżówce </w:t>
      </w:r>
      <w:r w:rsidR="00A0029E" w:rsidRPr="007579B0">
        <w:rPr>
          <w:lang w:val="pl-PL"/>
        </w:rPr>
        <w:t xml:space="preserve">Rejonu </w:t>
      </w:r>
      <w:r w:rsidR="00F05398" w:rsidRPr="007579B0">
        <w:rPr>
          <w:lang w:val="pl-PL"/>
        </w:rPr>
        <w:t xml:space="preserve">Bornova. Wyjaśnił, że jest </w:t>
      </w:r>
      <w:r w:rsidR="00063A80" w:rsidRPr="007579B0">
        <w:rPr>
          <w:lang w:val="pl-PL"/>
        </w:rPr>
        <w:t xml:space="preserve">zastępcą </w:t>
      </w:r>
      <w:r w:rsidR="00A0029E" w:rsidRPr="007579B0">
        <w:rPr>
          <w:lang w:val="pl-PL"/>
        </w:rPr>
        <w:t>specjalisty d</w:t>
      </w:r>
      <w:r w:rsidR="00063A80" w:rsidRPr="007579B0">
        <w:rPr>
          <w:lang w:val="pl-PL"/>
        </w:rPr>
        <w:t xml:space="preserve">s. prasy </w:t>
      </w:r>
      <w:r w:rsidR="00CD4248" w:rsidRPr="007579B0">
        <w:rPr>
          <w:lang w:val="pl-PL"/>
        </w:rPr>
        <w:t>młodzieżowej</w:t>
      </w:r>
      <w:r w:rsidR="00063A80" w:rsidRPr="007579B0">
        <w:rPr>
          <w:lang w:val="pl-PL"/>
        </w:rPr>
        <w:t xml:space="preserve"> i publikacji i że jest</w:t>
      </w:r>
      <w:r w:rsidR="00F05398" w:rsidRPr="007579B0">
        <w:rPr>
          <w:lang w:val="pl-PL"/>
        </w:rPr>
        <w:t xml:space="preserve"> odpowiedzialny </w:t>
      </w:r>
      <w:r w:rsidR="00A8786D" w:rsidRPr="007579B0">
        <w:rPr>
          <w:lang w:val="pl-PL"/>
        </w:rPr>
        <w:t xml:space="preserve">między innymi </w:t>
      </w:r>
      <w:r w:rsidR="00F05398" w:rsidRPr="007579B0">
        <w:rPr>
          <w:lang w:val="pl-PL"/>
        </w:rPr>
        <w:t xml:space="preserve">za </w:t>
      </w:r>
      <w:r w:rsidR="00063A80" w:rsidRPr="007579B0">
        <w:rPr>
          <w:lang w:val="pl-PL"/>
        </w:rPr>
        <w:t xml:space="preserve">dzielnicę </w:t>
      </w:r>
      <w:r w:rsidR="00F05398" w:rsidRPr="007579B0">
        <w:rPr>
          <w:lang w:val="pl-PL"/>
        </w:rPr>
        <w:t xml:space="preserve">Osmangazi. Stwierdził również, iż do jego obowiązków należało </w:t>
      </w:r>
      <w:r w:rsidR="00A8786D" w:rsidRPr="007579B0">
        <w:rPr>
          <w:lang w:val="pl-PL"/>
        </w:rPr>
        <w:t xml:space="preserve">wyznaczanie zadań </w:t>
      </w:r>
      <w:r w:rsidR="00582878" w:rsidRPr="007579B0">
        <w:rPr>
          <w:lang w:val="pl-PL"/>
        </w:rPr>
        <w:t>pozostałym członkom młodzieżówki</w:t>
      </w:r>
      <w:r w:rsidR="00F05398" w:rsidRPr="007579B0">
        <w:rPr>
          <w:lang w:val="pl-PL"/>
        </w:rPr>
        <w:t xml:space="preserve">. Przyznał się do uczestnictwa w demonstracji w dniu 29 maja 2001 r. zorganizowanej przez HADEP celem wsparcia uwięzionego lidera PKK. Powiedział, że udział </w:t>
      </w:r>
      <w:r w:rsidR="00A8786D" w:rsidRPr="007579B0">
        <w:rPr>
          <w:lang w:val="pl-PL"/>
        </w:rPr>
        <w:t xml:space="preserve">wzięło </w:t>
      </w:r>
      <w:r w:rsidR="00F05398" w:rsidRPr="007579B0">
        <w:rPr>
          <w:lang w:val="pl-PL"/>
        </w:rPr>
        <w:t xml:space="preserve">w niej około sześćdziesięciu demonstrantów oraz że grupa wykrzykiwała hasła poparcia dla Öcalana i PKK. </w:t>
      </w:r>
      <w:r w:rsidR="00582878" w:rsidRPr="007579B0">
        <w:rPr>
          <w:lang w:val="pl-PL"/>
        </w:rPr>
        <w:t xml:space="preserve">Został </w:t>
      </w:r>
      <w:r w:rsidR="008A3948">
        <w:rPr>
          <w:lang w:val="pl-PL"/>
        </w:rPr>
        <w:t>zatrzymany</w:t>
      </w:r>
      <w:r w:rsidR="00582878" w:rsidRPr="007579B0">
        <w:rPr>
          <w:lang w:val="pl-PL"/>
        </w:rPr>
        <w:t xml:space="preserve"> na miejscu</w:t>
      </w:r>
      <w:r w:rsidR="00F05398" w:rsidRPr="007579B0">
        <w:rPr>
          <w:lang w:val="pl-PL"/>
        </w:rPr>
        <w:t>. Przyznał także, że wypisał słowa „Niech żyje lider Apo” na transparencie wywieszonym na moście w dniu 26 kwietnia 2001 r. Policja pobrała próbki pisma odręcznego skarżącego i przesłała je do laboratorium policyjnego w celu zbadania.</w:t>
      </w:r>
    </w:p>
    <w:p w:rsidR="00F05398" w:rsidRPr="007579B0" w:rsidRDefault="00B73521" w:rsidP="00947D97">
      <w:pPr>
        <w:pStyle w:val="JuParaChar"/>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15</w:t>
      </w:r>
      <w:r w:rsidRPr="007579B0">
        <w:rPr>
          <w:lang w:val="pl-PL"/>
        </w:rPr>
        <w:fldChar w:fldCharType="end"/>
      </w:r>
      <w:r w:rsidR="00F05398" w:rsidRPr="007579B0">
        <w:rPr>
          <w:lang w:val="pl-PL"/>
        </w:rPr>
        <w:t xml:space="preserve">.  W dniu 1 czerwca 2001 r. Laboratorium Kryminalistyczne Policji w Izmirze sporządziło </w:t>
      </w:r>
      <w:r w:rsidR="002E2374" w:rsidRPr="007579B0">
        <w:rPr>
          <w:lang w:val="pl-PL"/>
        </w:rPr>
        <w:t xml:space="preserve">opinię dotyczącą </w:t>
      </w:r>
      <w:r w:rsidR="00F05398" w:rsidRPr="007579B0">
        <w:rPr>
          <w:lang w:val="pl-PL"/>
        </w:rPr>
        <w:t xml:space="preserve">porównania pisma odręcznego skarżącego z pismem na transparencie. Stwierdzono, że mimo pewnych cech podobieństwa pisma odręcznego skarżącego i pisma na transparencie, nie można ustalić, czy </w:t>
      </w:r>
      <w:r w:rsidR="00E14A30" w:rsidRPr="007579B0">
        <w:rPr>
          <w:lang w:val="pl-PL"/>
        </w:rPr>
        <w:t xml:space="preserve">napis na transparencie </w:t>
      </w:r>
      <w:r w:rsidR="00F05398" w:rsidRPr="007579B0">
        <w:rPr>
          <w:lang w:val="pl-PL"/>
        </w:rPr>
        <w:t>faktycznie wykonał</w:t>
      </w:r>
      <w:r w:rsidR="00E14A30" w:rsidRPr="007579B0">
        <w:rPr>
          <w:lang w:val="pl-PL"/>
        </w:rPr>
        <w:t xml:space="preserve"> skarżący</w:t>
      </w:r>
      <w:r w:rsidR="00F05398" w:rsidRPr="007579B0">
        <w:rPr>
          <w:lang w:val="pl-PL"/>
        </w:rPr>
        <w:t>.</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16</w:t>
      </w:r>
      <w:r w:rsidRPr="007579B0">
        <w:rPr>
          <w:lang w:val="pl-PL"/>
        </w:rPr>
        <w:fldChar w:fldCharType="end"/>
      </w:r>
      <w:r w:rsidR="00F05398" w:rsidRPr="007579B0">
        <w:rPr>
          <w:lang w:val="pl-PL"/>
        </w:rPr>
        <w:t xml:space="preserve">.  O godzinie </w:t>
      </w:r>
      <w:r w:rsidR="00582878" w:rsidRPr="007579B0">
        <w:rPr>
          <w:lang w:val="pl-PL"/>
        </w:rPr>
        <w:t>23</w:t>
      </w:r>
      <w:r w:rsidR="00F05398" w:rsidRPr="007579B0">
        <w:rPr>
          <w:lang w:val="pl-PL"/>
        </w:rPr>
        <w:t xml:space="preserve">.45 w dniu 1 czerwca 2001 </w:t>
      </w:r>
      <w:r w:rsidR="00E14A30" w:rsidRPr="007579B0">
        <w:rPr>
          <w:lang w:val="pl-PL"/>
        </w:rPr>
        <w:t xml:space="preserve">r. </w:t>
      </w:r>
      <w:r w:rsidR="00F05398" w:rsidRPr="007579B0">
        <w:rPr>
          <w:lang w:val="pl-PL"/>
        </w:rPr>
        <w:t>skarżący został ponownie zbadany przez lekarza, który stwierdził, że na ciele skarżą</w:t>
      </w:r>
      <w:r w:rsidR="00A0029E" w:rsidRPr="007579B0">
        <w:rPr>
          <w:lang w:val="pl-PL"/>
        </w:rPr>
        <w:t>cego nie ma śladów złego traktowania</w:t>
      </w:r>
      <w:r w:rsidR="00F05398" w:rsidRPr="007579B0">
        <w:rPr>
          <w:lang w:val="pl-PL"/>
        </w:rPr>
        <w:t>.</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17</w:t>
      </w:r>
      <w:r w:rsidRPr="007579B0">
        <w:rPr>
          <w:lang w:val="pl-PL"/>
        </w:rPr>
        <w:fldChar w:fldCharType="end"/>
      </w:r>
      <w:r w:rsidR="00F05398" w:rsidRPr="007579B0">
        <w:rPr>
          <w:lang w:val="pl-PL"/>
        </w:rPr>
        <w:t xml:space="preserve">.  W tym samym dniu skarżący został postawiony przed prokuratorem, a następnie przed sędzią śledczym. Przed prokuratorem skarżący wyjaśnił, że nie jest członkiem żadnej partii politycznej, lecz bierze udział w niektórych działaniach HADEP. Zaprzeczył, jakoby sporządził nielegalny transparent czy uczestniczył w demonstracji w dniu 29 maja 2001 r. Stwierdził, że znalazł się w dzielnicy Doğanlar, ponieważ odwiedzał przyjaciela i wtedy został zatrzymany przez policję. Ponadto skarżący oświadczył przed sędzią śledczym, że wycofuje </w:t>
      </w:r>
      <w:r w:rsidR="00572E94">
        <w:rPr>
          <w:lang w:val="pl-PL"/>
        </w:rPr>
        <w:t>wyjaśnienia</w:t>
      </w:r>
      <w:r w:rsidR="00F05398" w:rsidRPr="007579B0">
        <w:rPr>
          <w:lang w:val="pl-PL"/>
        </w:rPr>
        <w:t xml:space="preserve"> złożone na policji, twierdząc, że zostały złożone pod przymusem. Oświadczył, że w trakcie zatrzymania przez policję bito go i obrażano. Ponownie zaprzeczył, że angażował się w jakiekolwiek niezgodne z prawem </w:t>
      </w:r>
      <w:r w:rsidR="00E14A30" w:rsidRPr="007579B0">
        <w:rPr>
          <w:lang w:val="pl-PL"/>
        </w:rPr>
        <w:t xml:space="preserve">działania </w:t>
      </w:r>
      <w:r w:rsidR="00F05398" w:rsidRPr="007579B0">
        <w:rPr>
          <w:lang w:val="pl-PL"/>
        </w:rPr>
        <w:t>i wyjaśnił, że w dniu 29 maja 2001 r. wybrał się do Doğanlar, by odwiedzić przyjaciela oraz że nie był członkiem grupy wykrzykującej hasła. Po zakończeniu pr</w:t>
      </w:r>
      <w:r w:rsidR="00E14A30" w:rsidRPr="007579B0">
        <w:rPr>
          <w:lang w:val="pl-PL"/>
        </w:rPr>
        <w:t>zesłuchania sędzia śledczy wydał</w:t>
      </w:r>
      <w:r w:rsidR="00F05398" w:rsidRPr="007579B0">
        <w:rPr>
          <w:lang w:val="pl-PL"/>
        </w:rPr>
        <w:t xml:space="preserve"> decyzję o tymczasowym aresztowaniu skarżącego, uwzględniając charakter czynu, o który go oskarżono oraz materiał dowodowy. Wtedy skarżącemu </w:t>
      </w:r>
      <w:r w:rsidR="00E14A30" w:rsidRPr="007579B0">
        <w:rPr>
          <w:lang w:val="pl-PL"/>
        </w:rPr>
        <w:t>przyz</w:t>
      </w:r>
      <w:r w:rsidR="00F05398" w:rsidRPr="007579B0">
        <w:rPr>
          <w:lang w:val="pl-PL"/>
        </w:rPr>
        <w:t>na</w:t>
      </w:r>
      <w:r w:rsidR="00E14A30" w:rsidRPr="007579B0">
        <w:rPr>
          <w:lang w:val="pl-PL"/>
        </w:rPr>
        <w:t>no prawo</w:t>
      </w:r>
      <w:r w:rsidR="00F05398" w:rsidRPr="007579B0">
        <w:rPr>
          <w:lang w:val="pl-PL"/>
        </w:rPr>
        <w:t xml:space="preserve"> dostęp</w:t>
      </w:r>
      <w:r w:rsidR="00E14A30" w:rsidRPr="007579B0">
        <w:rPr>
          <w:lang w:val="pl-PL"/>
        </w:rPr>
        <w:t>u</w:t>
      </w:r>
      <w:r w:rsidR="00F05398" w:rsidRPr="007579B0">
        <w:rPr>
          <w:lang w:val="pl-PL"/>
        </w:rPr>
        <w:t xml:space="preserve"> do adwokata.</w:t>
      </w:r>
    </w:p>
    <w:p w:rsidR="00F05398" w:rsidRPr="007579B0" w:rsidRDefault="00F05398" w:rsidP="00947D97">
      <w:pPr>
        <w:pStyle w:val="JuHA"/>
        <w:rPr>
          <w:lang w:val="pl-PL"/>
        </w:rPr>
      </w:pPr>
      <w:r w:rsidRPr="007579B0">
        <w:rPr>
          <w:bCs/>
          <w:lang w:val="pl-PL"/>
        </w:rPr>
        <w:t>B.  Proces</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18</w:t>
      </w:r>
      <w:r w:rsidRPr="007579B0">
        <w:rPr>
          <w:lang w:val="pl-PL"/>
        </w:rPr>
        <w:fldChar w:fldCharType="end"/>
      </w:r>
      <w:r w:rsidR="00F05398" w:rsidRPr="007579B0">
        <w:rPr>
          <w:lang w:val="pl-PL"/>
        </w:rPr>
        <w:t xml:space="preserve">.  W dniu 11 lipca 2001 r. prokurator przy Sądzie Bezpieczeństwa Państwa w Izmirze złożył do tegoż sądu akt oskarżenia dotyczący skarżącego i ośmiu innych osób oskarżonych o </w:t>
      </w:r>
      <w:r w:rsidR="00A0029E" w:rsidRPr="007579B0">
        <w:rPr>
          <w:lang w:val="pl-PL"/>
        </w:rPr>
        <w:t>popełnienie przestępstw pomocnictwa i podżegania</w:t>
      </w:r>
      <w:r w:rsidR="007579B0">
        <w:rPr>
          <w:lang w:val="pl-PL"/>
        </w:rPr>
        <w:t xml:space="preserve"> w związku z PKK</w:t>
      </w:r>
      <w:r w:rsidR="009F721F">
        <w:rPr>
          <w:lang w:val="pl-PL"/>
        </w:rPr>
        <w:t>,</w:t>
      </w:r>
      <w:r w:rsidR="00F05398" w:rsidRPr="007579B0">
        <w:rPr>
          <w:lang w:val="pl-PL"/>
        </w:rPr>
        <w:t xml:space="preserve"> stanowiąc</w:t>
      </w:r>
      <w:r w:rsidR="009F721F">
        <w:rPr>
          <w:lang w:val="pl-PL"/>
        </w:rPr>
        <w:t>ych</w:t>
      </w:r>
      <w:r w:rsidR="00F05398" w:rsidRPr="007579B0">
        <w:rPr>
          <w:lang w:val="pl-PL"/>
        </w:rPr>
        <w:t xml:space="preserve"> przestępstw</w:t>
      </w:r>
      <w:r w:rsidR="009F721F">
        <w:rPr>
          <w:lang w:val="pl-PL"/>
        </w:rPr>
        <w:t>a</w:t>
      </w:r>
      <w:r w:rsidR="00F05398" w:rsidRPr="007579B0">
        <w:rPr>
          <w:lang w:val="pl-PL"/>
        </w:rPr>
        <w:t xml:space="preserve"> </w:t>
      </w:r>
      <w:r w:rsidR="001575C7">
        <w:rPr>
          <w:lang w:val="pl-PL"/>
        </w:rPr>
        <w:t>z</w:t>
      </w:r>
      <w:r w:rsidR="00F05398" w:rsidRPr="007579B0">
        <w:rPr>
          <w:lang w:val="pl-PL"/>
        </w:rPr>
        <w:t xml:space="preserve"> art. 169 kodeksu karnego i art. 5 ustawy o zapobieganiu terroryzmowi (ustawa nr 3713).</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19</w:t>
      </w:r>
      <w:r w:rsidRPr="007579B0">
        <w:rPr>
          <w:lang w:val="pl-PL"/>
        </w:rPr>
        <w:fldChar w:fldCharType="end"/>
      </w:r>
      <w:r w:rsidR="00F05398" w:rsidRPr="007579B0">
        <w:rPr>
          <w:lang w:val="pl-PL"/>
        </w:rPr>
        <w:t>.  W dniu 16 lipca 2001 r. przed Sądem Bezpieczeństwa Państwa odb</w:t>
      </w:r>
      <w:r w:rsidR="001575C7">
        <w:rPr>
          <w:lang w:val="pl-PL"/>
        </w:rPr>
        <w:t>yło</w:t>
      </w:r>
      <w:r w:rsidR="00A0029E" w:rsidRPr="007579B0">
        <w:rPr>
          <w:lang w:val="pl-PL"/>
        </w:rPr>
        <w:t xml:space="preserve"> się </w:t>
      </w:r>
      <w:r w:rsidR="001575C7">
        <w:rPr>
          <w:lang w:val="pl-PL"/>
        </w:rPr>
        <w:t>posiedzenie</w:t>
      </w:r>
      <w:r w:rsidR="00A0029E" w:rsidRPr="007579B0">
        <w:rPr>
          <w:lang w:val="pl-PL"/>
        </w:rPr>
        <w:t xml:space="preserve"> przygotowawcz</w:t>
      </w:r>
      <w:r w:rsidR="001575C7">
        <w:rPr>
          <w:lang w:val="pl-PL"/>
        </w:rPr>
        <w:t>e</w:t>
      </w:r>
      <w:r w:rsidR="00F05398" w:rsidRPr="007579B0">
        <w:rPr>
          <w:lang w:val="pl-PL"/>
        </w:rPr>
        <w:t>. Sąd zadecydował o przedłużeniu tymczasowego aresztowania skarżącego oraz że oskarżeni powinni przygotować</w:t>
      </w:r>
      <w:r w:rsidR="009F721F">
        <w:rPr>
          <w:lang w:val="pl-PL"/>
        </w:rPr>
        <w:t xml:space="preserve"> </w:t>
      </w:r>
      <w:r w:rsidR="001575C7">
        <w:rPr>
          <w:lang w:val="pl-PL"/>
        </w:rPr>
        <w:t>stanowisko</w:t>
      </w:r>
      <w:r w:rsidR="009F721F">
        <w:rPr>
          <w:lang w:val="pl-PL"/>
        </w:rPr>
        <w:t xml:space="preserve"> obrony</w:t>
      </w:r>
      <w:r w:rsidR="00F05398" w:rsidRPr="007579B0">
        <w:rPr>
          <w:lang w:val="pl-PL"/>
        </w:rPr>
        <w:t>.</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20</w:t>
      </w:r>
      <w:r w:rsidRPr="007579B0">
        <w:rPr>
          <w:lang w:val="pl-PL"/>
        </w:rPr>
        <w:fldChar w:fldCharType="end"/>
      </w:r>
      <w:r w:rsidR="00F05398" w:rsidRPr="007579B0">
        <w:rPr>
          <w:lang w:val="pl-PL"/>
        </w:rPr>
        <w:t xml:space="preserve">.  W dniu 28 sierpnia 2001 r. Sąd Bezpieczeństwa Państwa przeprowadził pierwszą rozprawę, w obecności skarżącego i jego adwokata. Sąd wysłuchał </w:t>
      </w:r>
      <w:r w:rsidR="00EC7317">
        <w:rPr>
          <w:lang w:val="pl-PL"/>
        </w:rPr>
        <w:t>wyjaśnień</w:t>
      </w:r>
      <w:r w:rsidR="00F05398" w:rsidRPr="007579B0">
        <w:rPr>
          <w:lang w:val="pl-PL"/>
        </w:rPr>
        <w:t xml:space="preserve"> złożonych osobiście przez skarżącego, który nie przyznał się do popełnienia zarzucanych czynów. Skarżący odwołał </w:t>
      </w:r>
      <w:r w:rsidR="00EC7317">
        <w:rPr>
          <w:lang w:val="pl-PL"/>
        </w:rPr>
        <w:t>wyjaśnienia</w:t>
      </w:r>
      <w:r w:rsidR="00F05398" w:rsidRPr="007579B0">
        <w:rPr>
          <w:lang w:val="pl-PL"/>
        </w:rPr>
        <w:t xml:space="preserve"> złożone na policji, twierdząc, że został</w:t>
      </w:r>
      <w:r w:rsidR="00EC7317">
        <w:rPr>
          <w:lang w:val="pl-PL"/>
        </w:rPr>
        <w:t>y one</w:t>
      </w:r>
      <w:r w:rsidR="00F05398" w:rsidRPr="007579B0">
        <w:rPr>
          <w:lang w:val="pl-PL"/>
        </w:rPr>
        <w:t xml:space="preserve"> złożone pod przymusem. Wyjaśnił, że podczas pobytu w areszcie funkcjonariusze policji zażądali, by przepisał słowa wypisane na transparencie. Oświadczył także, iż był świadkiem zdarzeń z dnia 29 maja 2001 r., lecz nie brał udziału w demonstracji. Znalazł się w tej okolicy, ponieważ wybrał się z wizytą do przyjaciela o nazwisku Özcan. Skarżący zaprzeczył także, jakoby w dniu 26 kwietnia wywiesił na moście nielegalny transparent.</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21</w:t>
      </w:r>
      <w:r w:rsidRPr="007579B0">
        <w:rPr>
          <w:lang w:val="pl-PL"/>
        </w:rPr>
        <w:fldChar w:fldCharType="end"/>
      </w:r>
      <w:r w:rsidR="00F05398" w:rsidRPr="007579B0">
        <w:rPr>
          <w:lang w:val="pl-PL"/>
        </w:rPr>
        <w:t xml:space="preserve">.  Na kolejnej rozprawie, która odbyła się w dniu 25 października 2001 r., obecny był zarówno skarżący, jak i jego adwokat. Sąd przesłuchał również pozostałych oskarżonych. Wszyscy oświadczyli, że nie brali udziału w nielegalnej demonstracji w dniu 29 maja 2001 r. i wycofali uprzednio złożone </w:t>
      </w:r>
      <w:r w:rsidR="00EC7317">
        <w:rPr>
          <w:lang w:val="pl-PL"/>
        </w:rPr>
        <w:t>wyjaśnienia</w:t>
      </w:r>
      <w:r w:rsidR="00F05398" w:rsidRPr="007579B0">
        <w:rPr>
          <w:lang w:val="pl-PL"/>
        </w:rPr>
        <w:t xml:space="preserve">. Prokuratura domagała się skazania skarżącego na podstawie art. 169 kodeksu karnego, zaś adwokat skarżącego poprosił o wyznaczenie terminu </w:t>
      </w:r>
      <w:r w:rsidR="009F721F">
        <w:rPr>
          <w:lang w:val="pl-PL"/>
        </w:rPr>
        <w:t xml:space="preserve">przedstawienia przez </w:t>
      </w:r>
      <w:r w:rsidR="00F05398" w:rsidRPr="007579B0">
        <w:rPr>
          <w:lang w:val="pl-PL"/>
        </w:rPr>
        <w:t>skarżącego</w:t>
      </w:r>
      <w:r w:rsidR="009F721F">
        <w:rPr>
          <w:lang w:val="pl-PL"/>
        </w:rPr>
        <w:t xml:space="preserve"> </w:t>
      </w:r>
      <w:r w:rsidR="00EC7317">
        <w:rPr>
          <w:lang w:val="pl-PL"/>
        </w:rPr>
        <w:t>stanowiska</w:t>
      </w:r>
      <w:r w:rsidR="009F721F">
        <w:rPr>
          <w:lang w:val="pl-PL"/>
        </w:rPr>
        <w:t xml:space="preserve"> obrony</w:t>
      </w:r>
      <w:r w:rsidR="00F05398" w:rsidRPr="007579B0">
        <w:rPr>
          <w:lang w:val="pl-PL"/>
        </w:rPr>
        <w:t>.</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22</w:t>
      </w:r>
      <w:r w:rsidRPr="007579B0">
        <w:rPr>
          <w:lang w:val="pl-PL"/>
        </w:rPr>
        <w:fldChar w:fldCharType="end"/>
      </w:r>
      <w:r w:rsidR="00F05398" w:rsidRPr="007579B0">
        <w:rPr>
          <w:lang w:val="pl-PL"/>
        </w:rPr>
        <w:t xml:space="preserve">.  W dniu 5 grudnia 2001 r. skarżący </w:t>
      </w:r>
      <w:r w:rsidR="009F721F">
        <w:rPr>
          <w:lang w:val="pl-PL"/>
        </w:rPr>
        <w:t xml:space="preserve">przedstawił </w:t>
      </w:r>
      <w:r w:rsidR="00EC7317">
        <w:rPr>
          <w:lang w:val="pl-PL"/>
        </w:rPr>
        <w:t xml:space="preserve">stanowisko </w:t>
      </w:r>
      <w:r w:rsidR="009F721F">
        <w:rPr>
          <w:lang w:val="pl-PL"/>
        </w:rPr>
        <w:t>obrony</w:t>
      </w:r>
      <w:r w:rsidR="00F05398" w:rsidRPr="007579B0">
        <w:rPr>
          <w:lang w:val="pl-PL"/>
        </w:rPr>
        <w:t>. Oświadczył, że nie popełnił zarzucanych mu czynów i wniósł o zwolnienie. W tym samym dniu Sąd Bezpieczeństwa Państwa w Izmirze wydał wyrok, na mocy którego uniewinnił pięciu oskarżonych, natomiast skarżącego i trzech pozostałych oskarżonych uznał za winnych popełnienia zarzucanych czynów. Sąd skazał skarżącego na karę czterech lat i sześciu miesięcy pozbawienia wolności, która została skrócona do dwóch lat i sześciu miesięcy ze względu na fakt, że w czasie popełnienia przestępstwa skarżący był nieletni.</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23</w:t>
      </w:r>
      <w:r w:rsidRPr="007579B0">
        <w:rPr>
          <w:lang w:val="pl-PL"/>
        </w:rPr>
        <w:fldChar w:fldCharType="end"/>
      </w:r>
      <w:r w:rsidR="00EC7317">
        <w:rPr>
          <w:lang w:val="pl-PL"/>
        </w:rPr>
        <w:t>.  Wydając wyrok skazujący</w:t>
      </w:r>
      <w:r w:rsidR="00F05398" w:rsidRPr="007579B0">
        <w:rPr>
          <w:lang w:val="pl-PL"/>
        </w:rPr>
        <w:t xml:space="preserve"> Sąd Bezpieczeństwa Państwa wziął pod uwagę </w:t>
      </w:r>
      <w:r w:rsidR="00EC7317">
        <w:rPr>
          <w:lang w:val="pl-PL"/>
        </w:rPr>
        <w:t>wyjaśnienia</w:t>
      </w:r>
      <w:r w:rsidR="00F05398" w:rsidRPr="007579B0">
        <w:rPr>
          <w:lang w:val="pl-PL"/>
        </w:rPr>
        <w:t xml:space="preserve"> skarżącego złożone na policji, przed prokuratorem oraz przed sędzią śledczym. Uwzględnił także </w:t>
      </w:r>
      <w:r w:rsidR="00EC7317">
        <w:rPr>
          <w:lang w:val="pl-PL"/>
        </w:rPr>
        <w:t>wyjaśnienia</w:t>
      </w:r>
      <w:r w:rsidR="00F05398" w:rsidRPr="007579B0">
        <w:rPr>
          <w:lang w:val="pl-PL"/>
        </w:rPr>
        <w:t xml:space="preserve"> współoskarżonych złożone </w:t>
      </w:r>
      <w:r w:rsidR="00EC7317">
        <w:rPr>
          <w:lang w:val="pl-PL"/>
        </w:rPr>
        <w:t>w</w:t>
      </w:r>
      <w:r w:rsidR="00F05398" w:rsidRPr="007579B0">
        <w:rPr>
          <w:lang w:val="pl-PL"/>
        </w:rPr>
        <w:t xml:space="preserve"> prokuraturze, którzy twierdzili, że skarżący</w:t>
      </w:r>
      <w:r w:rsidR="00A0029E" w:rsidRPr="007579B0">
        <w:rPr>
          <w:lang w:val="pl-PL"/>
        </w:rPr>
        <w:t xml:space="preserve"> zachęcał ich</w:t>
      </w:r>
      <w:r w:rsidR="00F05398" w:rsidRPr="007579B0">
        <w:rPr>
          <w:lang w:val="pl-PL"/>
        </w:rPr>
        <w:t xml:space="preserve"> do uczestnictwa w demonstracji w dniu 29 maja 2001 r. Sąd zauważył, że współoskarżeni </w:t>
      </w:r>
      <w:r w:rsidR="00EC7317">
        <w:rPr>
          <w:lang w:val="pl-PL"/>
        </w:rPr>
        <w:t>wyjaśnili</w:t>
      </w:r>
      <w:r w:rsidR="00F05398" w:rsidRPr="007579B0">
        <w:rPr>
          <w:lang w:val="pl-PL"/>
        </w:rPr>
        <w:t xml:space="preserve"> również, że skarżący był odpowiedzialny za organizację demonstracji. </w:t>
      </w:r>
      <w:r w:rsidR="00582878" w:rsidRPr="007579B0">
        <w:rPr>
          <w:lang w:val="pl-PL"/>
        </w:rPr>
        <w:t>Dodatkowo sąd uwzględnił opinię biegłego</w:t>
      </w:r>
      <w:r w:rsidR="00EC7317">
        <w:rPr>
          <w:lang w:val="pl-PL"/>
        </w:rPr>
        <w:t>,</w:t>
      </w:r>
      <w:r w:rsidR="00582878" w:rsidRPr="007579B0">
        <w:rPr>
          <w:lang w:val="pl-PL"/>
        </w:rPr>
        <w:t xml:space="preserve"> zawierając</w:t>
      </w:r>
      <w:r w:rsidR="002E2374" w:rsidRPr="007579B0">
        <w:rPr>
          <w:lang w:val="pl-PL"/>
        </w:rPr>
        <w:t>ą</w:t>
      </w:r>
      <w:r w:rsidR="00582878" w:rsidRPr="007579B0">
        <w:rPr>
          <w:lang w:val="pl-PL"/>
        </w:rPr>
        <w:t xml:space="preserve"> porównanie pisma odręcznego </w:t>
      </w:r>
      <w:r w:rsidR="00F05398" w:rsidRPr="007579B0">
        <w:rPr>
          <w:lang w:val="pl-PL"/>
        </w:rPr>
        <w:t>skarżąc</w:t>
      </w:r>
      <w:r w:rsidR="00582878" w:rsidRPr="007579B0">
        <w:rPr>
          <w:lang w:val="pl-PL"/>
        </w:rPr>
        <w:t xml:space="preserve">ego z pismem na </w:t>
      </w:r>
      <w:r w:rsidR="00F05398" w:rsidRPr="007579B0">
        <w:rPr>
          <w:lang w:val="pl-PL"/>
        </w:rPr>
        <w:t>transparen</w:t>
      </w:r>
      <w:r w:rsidR="00582878" w:rsidRPr="007579B0">
        <w:rPr>
          <w:lang w:val="pl-PL"/>
        </w:rPr>
        <w:t>cie oraz fakt, że zgodnie z raportem pol</w:t>
      </w:r>
      <w:r w:rsidR="000631FD" w:rsidRPr="007579B0">
        <w:rPr>
          <w:lang w:val="pl-PL"/>
        </w:rPr>
        <w:t xml:space="preserve">icyjnym dotyczącym </w:t>
      </w:r>
      <w:r w:rsidR="00EC7317">
        <w:rPr>
          <w:lang w:val="pl-PL"/>
        </w:rPr>
        <w:t>zatrzymania</w:t>
      </w:r>
      <w:r w:rsidR="00582878" w:rsidRPr="007579B0">
        <w:rPr>
          <w:lang w:val="pl-PL"/>
        </w:rPr>
        <w:t xml:space="preserve"> </w:t>
      </w:r>
      <w:r w:rsidR="00F05398" w:rsidRPr="007579B0">
        <w:rPr>
          <w:lang w:val="pl-PL"/>
        </w:rPr>
        <w:t>skarżąc</w:t>
      </w:r>
      <w:r w:rsidR="00582878" w:rsidRPr="007579B0">
        <w:rPr>
          <w:lang w:val="pl-PL"/>
        </w:rPr>
        <w:t xml:space="preserve">y znajdował </w:t>
      </w:r>
      <w:r w:rsidR="00A0029E" w:rsidRPr="007579B0">
        <w:rPr>
          <w:lang w:val="pl-PL"/>
        </w:rPr>
        <w:t>się</w:t>
      </w:r>
      <w:r w:rsidR="00582878" w:rsidRPr="007579B0">
        <w:rPr>
          <w:lang w:val="pl-PL"/>
        </w:rPr>
        <w:t xml:space="preserve"> pomiędzy d</w:t>
      </w:r>
      <w:r w:rsidR="00F05398" w:rsidRPr="007579B0">
        <w:rPr>
          <w:lang w:val="pl-PL"/>
        </w:rPr>
        <w:t>emonstr</w:t>
      </w:r>
      <w:r w:rsidR="00582878" w:rsidRPr="007579B0">
        <w:rPr>
          <w:lang w:val="pl-PL"/>
        </w:rPr>
        <w:t>antami</w:t>
      </w:r>
      <w:r w:rsidR="00F05398" w:rsidRPr="007579B0">
        <w:rPr>
          <w:lang w:val="pl-PL"/>
        </w:rPr>
        <w:t xml:space="preserve">. </w:t>
      </w:r>
      <w:r w:rsidR="00A0029E" w:rsidRPr="007579B0">
        <w:rPr>
          <w:lang w:val="pl-PL"/>
        </w:rPr>
        <w:t>Sąd stwierdził</w:t>
      </w:r>
      <w:r w:rsidR="00F05398" w:rsidRPr="007579B0">
        <w:rPr>
          <w:lang w:val="pl-PL"/>
        </w:rPr>
        <w:t>:</w:t>
      </w:r>
    </w:p>
    <w:p w:rsidR="00F05398" w:rsidRPr="007579B0" w:rsidRDefault="00F05398" w:rsidP="00947D97">
      <w:pPr>
        <w:pStyle w:val="JuQuot"/>
        <w:rPr>
          <w:lang w:val="pl-PL"/>
        </w:rPr>
      </w:pPr>
      <w:r w:rsidRPr="007579B0">
        <w:rPr>
          <w:lang w:val="pl-PL"/>
        </w:rPr>
        <w:t xml:space="preserve">„...uwzględniając te istotne fakty, Sąd nie przyjmuje </w:t>
      </w:r>
      <w:r w:rsidR="00A0029E" w:rsidRPr="007579B0">
        <w:rPr>
          <w:lang w:val="pl-PL"/>
        </w:rPr>
        <w:t xml:space="preserve">argumentów </w:t>
      </w:r>
      <w:r w:rsidRPr="007579B0">
        <w:rPr>
          <w:lang w:val="pl-PL"/>
        </w:rPr>
        <w:t>skarżącego i uzn</w:t>
      </w:r>
      <w:r w:rsidR="00582878" w:rsidRPr="007579B0">
        <w:rPr>
          <w:lang w:val="pl-PL"/>
        </w:rPr>
        <w:t xml:space="preserve">aje </w:t>
      </w:r>
      <w:r w:rsidR="00317C74">
        <w:rPr>
          <w:lang w:val="pl-PL"/>
        </w:rPr>
        <w:t>wyjaśnienia</w:t>
      </w:r>
      <w:r w:rsidR="00582878" w:rsidRPr="007579B0">
        <w:rPr>
          <w:lang w:val="pl-PL"/>
        </w:rPr>
        <w:t xml:space="preserve"> </w:t>
      </w:r>
      <w:r w:rsidR="000631FD" w:rsidRPr="007579B0">
        <w:rPr>
          <w:lang w:val="pl-PL"/>
        </w:rPr>
        <w:t xml:space="preserve">złożone </w:t>
      </w:r>
      <w:r w:rsidR="00582878" w:rsidRPr="007579B0">
        <w:rPr>
          <w:lang w:val="pl-PL"/>
        </w:rPr>
        <w:t>na policji za uzasadnione</w:t>
      </w:r>
      <w:r w:rsidRPr="007579B0">
        <w:rPr>
          <w:lang w:val="pl-PL"/>
        </w:rPr>
        <w:t>.”</w:t>
      </w:r>
    </w:p>
    <w:p w:rsidR="00F05398" w:rsidRPr="007579B0" w:rsidRDefault="00F05398" w:rsidP="00947D97">
      <w:pPr>
        <w:pStyle w:val="JuHA"/>
        <w:rPr>
          <w:lang w:val="pl-PL"/>
        </w:rPr>
      </w:pPr>
      <w:r w:rsidRPr="007579B0">
        <w:rPr>
          <w:bCs/>
          <w:lang w:val="pl-PL"/>
        </w:rPr>
        <w:t>C.  Apelacja</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24</w:t>
      </w:r>
      <w:r w:rsidRPr="007579B0">
        <w:rPr>
          <w:lang w:val="pl-PL"/>
        </w:rPr>
        <w:fldChar w:fldCharType="end"/>
      </w:r>
      <w:r w:rsidR="00F05398" w:rsidRPr="007579B0">
        <w:rPr>
          <w:lang w:val="pl-PL"/>
        </w:rPr>
        <w:t>.  W dniu 2 stycznia 2002 r. adwokat skarżącego złożył apelację od wyroku Sądu Bezpieczeństwa Państwa w Izmirze. W swoim odwołaniu adwokat podniosła zarzut naruszenia artykułu 5 oraz artykułu 6 Konwencji, twierdząc, że postępowanie przed sądem pierwszej instancji nie było rzetelne oraz że sąd nie dokonał prawidłowej oceny materiału dowodowego.</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25</w:t>
      </w:r>
      <w:r w:rsidRPr="007579B0">
        <w:rPr>
          <w:lang w:val="pl-PL"/>
        </w:rPr>
        <w:fldChar w:fldCharType="end"/>
      </w:r>
      <w:r w:rsidR="00F05398" w:rsidRPr="007579B0">
        <w:rPr>
          <w:lang w:val="pl-PL"/>
        </w:rPr>
        <w:t xml:space="preserve">.  W dniu 27 marca 2002 r. </w:t>
      </w:r>
      <w:r w:rsidR="00A0029E" w:rsidRPr="007579B0">
        <w:rPr>
          <w:lang w:val="pl-PL"/>
        </w:rPr>
        <w:t>Naczelny</w:t>
      </w:r>
      <w:r w:rsidR="00CD4248" w:rsidRPr="007579B0">
        <w:rPr>
          <w:lang w:val="pl-PL"/>
        </w:rPr>
        <w:t xml:space="preserve"> Prokurator</w:t>
      </w:r>
      <w:r w:rsidR="00F05398" w:rsidRPr="007579B0">
        <w:rPr>
          <w:lang w:val="pl-PL"/>
        </w:rPr>
        <w:t xml:space="preserve"> przy Sądzie Kasacyjnym złożył do Dziewiątego Wydziału Sądu Kasacyjnego pisemną opinię, w której stwierdził, że Wydział powinien utrzymać w mocy </w:t>
      </w:r>
      <w:r w:rsidR="00EB4E88">
        <w:rPr>
          <w:lang w:val="pl-PL"/>
        </w:rPr>
        <w:t>wyrok</w:t>
      </w:r>
      <w:r w:rsidR="001662BA" w:rsidRPr="007579B0">
        <w:rPr>
          <w:lang w:val="pl-PL"/>
        </w:rPr>
        <w:t xml:space="preserve"> Sądu</w:t>
      </w:r>
      <w:r w:rsidR="00F05398" w:rsidRPr="007579B0">
        <w:rPr>
          <w:lang w:val="pl-PL"/>
        </w:rPr>
        <w:t xml:space="preserve"> Bezpieczeństwa Państwa w Izmirze. Opinia ta nie została doręczona skarżącemu ani jego pełnomocnikowi.</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26</w:t>
      </w:r>
      <w:r w:rsidRPr="007579B0">
        <w:rPr>
          <w:lang w:val="pl-PL"/>
        </w:rPr>
        <w:fldChar w:fldCharType="end"/>
      </w:r>
      <w:r w:rsidR="00F05398" w:rsidRPr="007579B0">
        <w:rPr>
          <w:lang w:val="pl-PL"/>
        </w:rPr>
        <w:t>.  W dniu 10 czerwca 2002 r. Dziewiąty Wydział Sądu Kasacyjnego podtrzymał uzasadnienie i ocenę dowodów Sądu Bezpieczeństwa Państwa w Izmirze i oddalił apelację skarżącego.</w:t>
      </w:r>
    </w:p>
    <w:p w:rsidR="00F05398" w:rsidRPr="007579B0" w:rsidRDefault="00F05398" w:rsidP="00947D97">
      <w:pPr>
        <w:pStyle w:val="JuHIRoman"/>
        <w:rPr>
          <w:lang w:val="pl-PL"/>
        </w:rPr>
      </w:pPr>
      <w:r w:rsidRPr="007579B0">
        <w:rPr>
          <w:lang w:val="pl-PL"/>
        </w:rPr>
        <w:t>II. WŁAŚCIWE PRAWO KRAJOWE I PRAKTYKA</w:t>
      </w:r>
    </w:p>
    <w:p w:rsidR="00F05398" w:rsidRPr="007579B0" w:rsidRDefault="00F05398" w:rsidP="00947D97">
      <w:pPr>
        <w:pStyle w:val="JuHA"/>
        <w:rPr>
          <w:lang w:val="pl-PL"/>
        </w:rPr>
      </w:pPr>
      <w:r w:rsidRPr="007579B0">
        <w:rPr>
          <w:bCs/>
          <w:lang w:val="pl-PL"/>
        </w:rPr>
        <w:t>A.  Prawo krajowe</w:t>
      </w:r>
    </w:p>
    <w:p w:rsidR="00F05398" w:rsidRPr="007579B0" w:rsidRDefault="00F05398" w:rsidP="00947D97">
      <w:pPr>
        <w:pStyle w:val="JuH1"/>
        <w:rPr>
          <w:lang w:val="pl-PL"/>
        </w:rPr>
      </w:pPr>
      <w:r w:rsidRPr="007579B0">
        <w:rPr>
          <w:iCs/>
          <w:lang w:val="pl-PL"/>
        </w:rPr>
        <w:t>1.  Ustawodawstwo obowiązujące w czasie złożenia skargi</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27</w:t>
      </w:r>
      <w:r w:rsidRPr="007579B0">
        <w:rPr>
          <w:lang w:val="pl-PL"/>
        </w:rPr>
        <w:fldChar w:fldCharType="end"/>
      </w:r>
      <w:r w:rsidR="00F05398" w:rsidRPr="007579B0">
        <w:rPr>
          <w:lang w:val="pl-PL"/>
        </w:rPr>
        <w:t xml:space="preserve">.  Właściwe </w:t>
      </w:r>
      <w:r w:rsidR="00F05398" w:rsidRPr="00AF6215">
        <w:rPr>
          <w:lang w:val="pl-PL"/>
        </w:rPr>
        <w:t xml:space="preserve">przepisy dawnego kodeksu </w:t>
      </w:r>
      <w:r w:rsidR="002173B8" w:rsidRPr="00AF6215">
        <w:rPr>
          <w:lang w:val="pl-PL"/>
        </w:rPr>
        <w:t>postępowania karnego</w:t>
      </w:r>
      <w:r w:rsidR="00F05398" w:rsidRPr="00AF6215">
        <w:rPr>
          <w:lang w:val="pl-PL"/>
        </w:rPr>
        <w:t xml:space="preserve"> (ustawa nr 1412), mianowicie art. 135, 136 i 138, stanowiły</w:t>
      </w:r>
      <w:r w:rsidR="00F05398" w:rsidRPr="007579B0">
        <w:rPr>
          <w:lang w:val="pl-PL"/>
        </w:rPr>
        <w:t xml:space="preserve">, że każdy podejrzany lub oskarżony o popełnienie czynu zagrożonego karą ma prawo dostępu do adwokata od chwili zatrzymania przez policję. Przepis art. 138 wyraźnie stanowił, że w przypadku nieletnich pomoc prawna </w:t>
      </w:r>
      <w:r w:rsidR="000631FD" w:rsidRPr="007579B0">
        <w:rPr>
          <w:lang w:val="pl-PL"/>
        </w:rPr>
        <w:t xml:space="preserve">jest </w:t>
      </w:r>
      <w:r w:rsidR="00F05398" w:rsidRPr="007579B0">
        <w:rPr>
          <w:lang w:val="pl-PL"/>
        </w:rPr>
        <w:t>obowiązkowa.</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28</w:t>
      </w:r>
      <w:r w:rsidRPr="007579B0">
        <w:rPr>
          <w:lang w:val="pl-PL"/>
        </w:rPr>
        <w:fldChar w:fldCharType="end"/>
      </w:r>
      <w:r w:rsidR="00F05398" w:rsidRPr="007579B0">
        <w:rPr>
          <w:lang w:val="pl-PL"/>
        </w:rPr>
        <w:t>.  Zgodnie z art. 31 ustawy nr 3842 z dnia 18 listopada 1992 r., zmieniającej ustawodawstwo w sprawie postępowania karnego przepisy, o których mowa powyżej nie miały zastosowania względem osób oskarżonych o popełnienie czynów podlegających jurysdykcji Sądów Bezpieczeństwa Państ</w:t>
      </w:r>
      <w:r w:rsidR="00582878" w:rsidRPr="007579B0">
        <w:rPr>
          <w:lang w:val="pl-PL"/>
        </w:rPr>
        <w:t>wa</w:t>
      </w:r>
      <w:r w:rsidR="00F05398" w:rsidRPr="007579B0">
        <w:rPr>
          <w:lang w:val="pl-PL"/>
        </w:rPr>
        <w:t>.</w:t>
      </w:r>
    </w:p>
    <w:p w:rsidR="00F05398" w:rsidRPr="007579B0" w:rsidRDefault="00F05398" w:rsidP="00947D97">
      <w:pPr>
        <w:pStyle w:val="JuH1"/>
        <w:rPr>
          <w:lang w:val="pl-PL"/>
        </w:rPr>
      </w:pPr>
      <w:r w:rsidRPr="007579B0">
        <w:rPr>
          <w:iCs/>
          <w:lang w:val="pl-PL"/>
        </w:rPr>
        <w:t>2.  Ostatnie zmiany</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29</w:t>
      </w:r>
      <w:r w:rsidRPr="007579B0">
        <w:rPr>
          <w:lang w:val="pl-PL"/>
        </w:rPr>
        <w:fldChar w:fldCharType="end"/>
      </w:r>
      <w:r w:rsidR="00F05398" w:rsidRPr="007579B0">
        <w:rPr>
          <w:lang w:val="pl-PL"/>
        </w:rPr>
        <w:t>.  W dniu 15 lipca 2003 r., na mocy ustawy nr 4928, zniesiono ograniczenie prawa oskarżonego do dostępu do adwokata w przypadku postępowań przez Sądami Bezpieczeństwa Państw</w:t>
      </w:r>
      <w:r w:rsidR="00EB4E88">
        <w:rPr>
          <w:lang w:val="pl-PL"/>
        </w:rPr>
        <w:t>a</w:t>
      </w:r>
      <w:r w:rsidR="00F05398" w:rsidRPr="007579B0">
        <w:rPr>
          <w:lang w:val="pl-PL"/>
        </w:rPr>
        <w:t>.</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30</w:t>
      </w:r>
      <w:r w:rsidRPr="007579B0">
        <w:rPr>
          <w:lang w:val="pl-PL"/>
        </w:rPr>
        <w:fldChar w:fldCharType="end"/>
      </w:r>
      <w:r w:rsidR="00F05398" w:rsidRPr="007579B0">
        <w:rPr>
          <w:lang w:val="pl-PL"/>
        </w:rPr>
        <w:t>.  </w:t>
      </w:r>
      <w:r w:rsidR="00AD465C" w:rsidRPr="007579B0">
        <w:rPr>
          <w:lang w:val="pl-PL"/>
        </w:rPr>
        <w:t xml:space="preserve">Nowy kodeks postępowania karnego </w:t>
      </w:r>
      <w:r w:rsidR="00F05398" w:rsidRPr="007579B0">
        <w:rPr>
          <w:lang w:val="pl-PL"/>
        </w:rPr>
        <w:t>wszedł</w:t>
      </w:r>
      <w:r w:rsidR="00AD465C" w:rsidRPr="007579B0">
        <w:rPr>
          <w:lang w:val="pl-PL"/>
        </w:rPr>
        <w:t xml:space="preserve"> w życie w dniu 1 lipca 2005 r</w:t>
      </w:r>
      <w:r w:rsidR="00F05398" w:rsidRPr="007579B0">
        <w:rPr>
          <w:lang w:val="pl-PL"/>
        </w:rPr>
        <w:t xml:space="preserve">. Zgodnie z właściwymi przepisami </w:t>
      </w:r>
      <w:r w:rsidR="00DF648C">
        <w:rPr>
          <w:lang w:val="pl-PL"/>
        </w:rPr>
        <w:t>nowego kodeksu (art. 149 i 150)</w:t>
      </w:r>
      <w:r w:rsidR="00F05398" w:rsidRPr="007579B0">
        <w:rPr>
          <w:lang w:val="pl-PL"/>
        </w:rPr>
        <w:t xml:space="preserve"> wszystkie osoby zatrzymane mają prawo dostępu do adwokata od chwili zatrzymania przez policję. Wyznaczenie adwokata jest obowiązkowe jeżeli dana osoba jest małoletni</w:t>
      </w:r>
      <w:r w:rsidR="00AD465C" w:rsidRPr="007579B0">
        <w:rPr>
          <w:lang w:val="pl-PL"/>
        </w:rPr>
        <w:t>a</w:t>
      </w:r>
      <w:r w:rsidR="00F05398" w:rsidRPr="007579B0">
        <w:rPr>
          <w:lang w:val="pl-PL"/>
        </w:rPr>
        <w:t xml:space="preserve"> lub została oskarżona o popełnienie czynu zagrożonego maksymalną karą pozbawienia wolności od co najmniej pięciu lat.</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31</w:t>
      </w:r>
      <w:r w:rsidRPr="007579B0">
        <w:rPr>
          <w:lang w:val="pl-PL"/>
        </w:rPr>
        <w:fldChar w:fldCharType="end"/>
      </w:r>
      <w:r w:rsidR="00F05398" w:rsidRPr="007579B0">
        <w:rPr>
          <w:lang w:val="pl-PL"/>
        </w:rPr>
        <w:t>.  Wreszcie art. 10 ustawy o zapobieganiu</w:t>
      </w:r>
      <w:r w:rsidR="00AD465C" w:rsidRPr="007579B0">
        <w:rPr>
          <w:lang w:val="pl-PL"/>
        </w:rPr>
        <w:t xml:space="preserve"> terroryzmowi (ustawa nr  3713)</w:t>
      </w:r>
      <w:r w:rsidR="00AE7363">
        <w:rPr>
          <w:lang w:val="pl-PL"/>
        </w:rPr>
        <w:t>,</w:t>
      </w:r>
      <w:r w:rsidR="00F05398" w:rsidRPr="007579B0">
        <w:rPr>
          <w:lang w:val="pl-PL"/>
        </w:rPr>
        <w:t xml:space="preserve"> zmienionej w dniu 29 czerwca 2006 r., stanowi, że w przypadku czynów powiązanych z terroryzmem, na mocy</w:t>
      </w:r>
      <w:r w:rsidR="00AF6215">
        <w:rPr>
          <w:lang w:val="pl-PL"/>
        </w:rPr>
        <w:t xml:space="preserve"> nakazu </w:t>
      </w:r>
      <w:r w:rsidR="00F05398" w:rsidRPr="00AF6215">
        <w:rPr>
          <w:lang w:val="pl-PL"/>
        </w:rPr>
        <w:t>prokuratora</w:t>
      </w:r>
      <w:r w:rsidR="00DF648C">
        <w:rPr>
          <w:lang w:val="pl-PL"/>
        </w:rPr>
        <w:t xml:space="preserve">, </w:t>
      </w:r>
      <w:r w:rsidR="00F05398" w:rsidRPr="007579B0">
        <w:rPr>
          <w:lang w:val="pl-PL"/>
        </w:rPr>
        <w:t xml:space="preserve"> jednostka może uzyskać prawo dostępu do adwokata z opóźnieniem</w:t>
      </w:r>
      <w:r w:rsidR="00DF648C">
        <w:rPr>
          <w:lang w:val="pl-PL"/>
        </w:rPr>
        <w:t xml:space="preserve"> do</w:t>
      </w:r>
      <w:r w:rsidR="00F05398" w:rsidRPr="007579B0">
        <w:rPr>
          <w:lang w:val="pl-PL"/>
        </w:rPr>
        <w:t xml:space="preserve"> dwudziestu czterech godzin. Jednakże w tym czasie oskarżony nie może być przesłuchiwany.</w:t>
      </w:r>
    </w:p>
    <w:p w:rsidR="00F05398" w:rsidRPr="007579B0" w:rsidRDefault="00F05398" w:rsidP="00947D97">
      <w:pPr>
        <w:pStyle w:val="JuHA"/>
        <w:rPr>
          <w:lang w:val="pl-PL"/>
        </w:rPr>
      </w:pPr>
      <w:r w:rsidRPr="007579B0">
        <w:rPr>
          <w:bCs/>
          <w:lang w:val="pl-PL"/>
        </w:rPr>
        <w:t>B.  Właściwe materiały w zakresie prawa międzynarodowego</w:t>
      </w:r>
    </w:p>
    <w:p w:rsidR="00F05398" w:rsidRPr="007579B0" w:rsidRDefault="00F05398" w:rsidP="00947D97">
      <w:pPr>
        <w:pStyle w:val="JuH1"/>
        <w:rPr>
          <w:lang w:val="pl-PL"/>
        </w:rPr>
      </w:pPr>
      <w:r w:rsidRPr="007579B0">
        <w:rPr>
          <w:iCs/>
          <w:lang w:val="pl-PL"/>
        </w:rPr>
        <w:t>1.  Postępowanie w sprawach dotyczących nieletnich</w:t>
      </w:r>
    </w:p>
    <w:p w:rsidR="00F05398" w:rsidRPr="007579B0" w:rsidRDefault="00F05398" w:rsidP="00947D97">
      <w:pPr>
        <w:pStyle w:val="JuHa0"/>
        <w:rPr>
          <w:lang w:val="pl-PL"/>
        </w:rPr>
      </w:pPr>
      <w:r w:rsidRPr="007579B0">
        <w:rPr>
          <w:bCs/>
          <w:lang w:val="pl-PL"/>
        </w:rPr>
        <w:t>(a)  Rada Europy</w:t>
      </w:r>
    </w:p>
    <w:p w:rsidR="00F05398" w:rsidRPr="007579B0" w:rsidRDefault="00B73521" w:rsidP="005340E5">
      <w:pPr>
        <w:pStyle w:val="JuPara"/>
        <w:rPr>
          <w:szCs w:val="24"/>
          <w:lang w:val="pl-PL"/>
        </w:rPr>
      </w:pPr>
      <w:r w:rsidRPr="007579B0">
        <w:rPr>
          <w:szCs w:val="24"/>
          <w:lang w:val="pl-PL"/>
        </w:rPr>
        <w:fldChar w:fldCharType="begin"/>
      </w:r>
      <w:r w:rsidR="00F05398" w:rsidRPr="007579B0">
        <w:rPr>
          <w:szCs w:val="24"/>
          <w:lang w:val="pl-PL"/>
        </w:rPr>
        <w:instrText xml:space="preserve"> SEQ level0 \*arabic </w:instrText>
      </w:r>
      <w:r w:rsidRPr="007579B0">
        <w:rPr>
          <w:szCs w:val="24"/>
          <w:lang w:val="pl-PL"/>
        </w:rPr>
        <w:fldChar w:fldCharType="separate"/>
      </w:r>
      <w:r w:rsidR="00F05398" w:rsidRPr="007579B0">
        <w:rPr>
          <w:noProof/>
          <w:szCs w:val="24"/>
          <w:lang w:val="pl-PL"/>
        </w:rPr>
        <w:t>32</w:t>
      </w:r>
      <w:r w:rsidRPr="007579B0">
        <w:rPr>
          <w:szCs w:val="24"/>
          <w:lang w:val="pl-PL"/>
        </w:rPr>
        <w:fldChar w:fldCharType="end"/>
      </w:r>
      <w:r w:rsidR="00F05398" w:rsidRPr="007579B0">
        <w:rPr>
          <w:szCs w:val="24"/>
          <w:lang w:val="pl-PL"/>
        </w:rPr>
        <w:t>.  </w:t>
      </w:r>
      <w:r w:rsidR="00F05398" w:rsidRPr="007579B0">
        <w:rPr>
          <w:szCs w:val="24"/>
          <w:lang w:val="pl-PL" w:eastAsia="pl-PL"/>
        </w:rPr>
        <w:t xml:space="preserve">Zalecenie </w:t>
      </w:r>
      <w:r w:rsidR="002A48C7" w:rsidRPr="007579B0">
        <w:rPr>
          <w:szCs w:val="24"/>
          <w:lang w:val="pl-PL" w:eastAsia="pl-PL"/>
        </w:rPr>
        <w:t xml:space="preserve">Komitetu Ministrów dla </w:t>
      </w:r>
      <w:r w:rsidR="002A48C7" w:rsidRPr="007579B0">
        <w:rPr>
          <w:lang w:val="pl-PL"/>
        </w:rPr>
        <w:t>państw członkowskich Rady Europy w sprawie</w:t>
      </w:r>
      <w:r w:rsidR="00F05398" w:rsidRPr="007579B0">
        <w:rPr>
          <w:szCs w:val="24"/>
          <w:lang w:val="pl-PL" w:eastAsia="pl-PL"/>
        </w:rPr>
        <w:t xml:space="preserve"> nowych sposobów postępowania w kwestii przestępczości nieletnich oraz roli organów wymiaru sprawiedliwości wobec nieletnich</w:t>
      </w:r>
      <w:r w:rsidR="00897119" w:rsidRPr="007579B0">
        <w:rPr>
          <w:szCs w:val="24"/>
          <w:lang w:val="pl-PL" w:eastAsia="pl-PL"/>
        </w:rPr>
        <w:t xml:space="preserve"> </w:t>
      </w:r>
      <w:r w:rsidR="00F05398" w:rsidRPr="007579B0">
        <w:rPr>
          <w:szCs w:val="24"/>
          <w:lang w:val="pl-PL"/>
        </w:rPr>
        <w:t>(Rec(2003)20), przyjęt</w:t>
      </w:r>
      <w:r w:rsidR="00AD465C" w:rsidRPr="007579B0">
        <w:rPr>
          <w:szCs w:val="24"/>
          <w:lang w:val="pl-PL"/>
        </w:rPr>
        <w:t>e</w:t>
      </w:r>
      <w:r w:rsidR="00F05398" w:rsidRPr="007579B0">
        <w:rPr>
          <w:szCs w:val="24"/>
          <w:lang w:val="pl-PL"/>
        </w:rPr>
        <w:t xml:space="preserve"> w dniu 24 września 2003 r. na 853 </w:t>
      </w:r>
      <w:r w:rsidR="002D5DA7" w:rsidRPr="007579B0">
        <w:rPr>
          <w:lang w:val="pl-PL"/>
        </w:rPr>
        <w:t>posiedzeniu delegatów</w:t>
      </w:r>
      <w:r w:rsidR="00F05398" w:rsidRPr="007579B0">
        <w:rPr>
          <w:szCs w:val="24"/>
          <w:lang w:val="pl-PL"/>
        </w:rPr>
        <w:t xml:space="preserve">, we </w:t>
      </w:r>
      <w:r w:rsidR="001A5B90" w:rsidRPr="007579B0">
        <w:rPr>
          <w:szCs w:val="24"/>
          <w:lang w:val="pl-PL"/>
        </w:rPr>
        <w:t>właściwym</w:t>
      </w:r>
      <w:r w:rsidR="00F05398" w:rsidRPr="007579B0">
        <w:rPr>
          <w:szCs w:val="24"/>
          <w:lang w:val="pl-PL"/>
        </w:rPr>
        <w:t xml:space="preserve"> zakresie stanowi, co następuje:</w:t>
      </w:r>
    </w:p>
    <w:p w:rsidR="00F05398" w:rsidRPr="007579B0" w:rsidRDefault="00F05398" w:rsidP="005340E5">
      <w:pPr>
        <w:pStyle w:val="JuPara"/>
        <w:rPr>
          <w:lang w:val="pl-PL"/>
        </w:rPr>
      </w:pPr>
    </w:p>
    <w:p w:rsidR="00F05398" w:rsidRPr="007579B0" w:rsidRDefault="00F05398" w:rsidP="00E10A63">
      <w:pPr>
        <w:ind w:left="284"/>
        <w:jc w:val="both"/>
        <w:rPr>
          <w:sz w:val="20"/>
          <w:lang w:val="pl-PL" w:eastAsia="pl-PL"/>
        </w:rPr>
      </w:pPr>
      <w:r w:rsidRPr="007579B0">
        <w:rPr>
          <w:sz w:val="20"/>
          <w:lang w:val="pl-PL"/>
        </w:rPr>
        <w:t>„15.</w:t>
      </w:r>
      <w:r w:rsidRPr="007579B0">
        <w:rPr>
          <w:lang w:val="pl-PL"/>
        </w:rPr>
        <w:t>  </w:t>
      </w:r>
      <w:r w:rsidRPr="007579B0">
        <w:rPr>
          <w:sz w:val="20"/>
          <w:lang w:val="pl-PL" w:eastAsia="pl-PL"/>
        </w:rPr>
        <w:t xml:space="preserve">W przypadku zastosowania </w:t>
      </w:r>
      <w:r w:rsidR="00042368">
        <w:rPr>
          <w:sz w:val="20"/>
          <w:lang w:val="pl-PL" w:eastAsia="pl-PL"/>
        </w:rPr>
        <w:t>zatrzymania przez policję</w:t>
      </w:r>
      <w:r w:rsidRPr="007579B0">
        <w:rPr>
          <w:sz w:val="20"/>
          <w:lang w:val="pl-PL" w:eastAsia="pl-PL"/>
        </w:rPr>
        <w:t xml:space="preserve"> należy uwzględnić małoletniość osoby zatrzymanej, jej wiek, bezbronność i stopień dojrzałości. Osoba ta powinna zostać b</w:t>
      </w:r>
      <w:r w:rsidR="00AD465C" w:rsidRPr="007579B0">
        <w:rPr>
          <w:sz w:val="20"/>
          <w:lang w:val="pl-PL" w:eastAsia="pl-PL"/>
        </w:rPr>
        <w:t xml:space="preserve">ezzwłocznie, w pełni zrozumiały </w:t>
      </w:r>
      <w:r w:rsidRPr="007579B0">
        <w:rPr>
          <w:sz w:val="20"/>
          <w:lang w:val="pl-PL" w:eastAsia="pl-PL"/>
        </w:rPr>
        <w:t>dla niej sposób poinformowana o przysługujących jej prawach i gwarancjach. Podczas przesłuchania przez policję zasadniczo powinien jej towarzyszyć rodzic/opiekun prawny lub inna właściwa osoba dorosła. Ponadto, powinna także mieć prawo do kontaktu z prawnikiem i lekarzem…</w:t>
      </w:r>
    </w:p>
    <w:p w:rsidR="00F05398" w:rsidRPr="007579B0" w:rsidRDefault="00F05398" w:rsidP="00947D97">
      <w:pPr>
        <w:pStyle w:val="JuQuot"/>
        <w:rPr>
          <w:lang w:val="pl-PL"/>
        </w:rPr>
      </w:pPr>
      <w:r w:rsidRPr="007579B0">
        <w:rPr>
          <w:lang w:val="pl-PL"/>
        </w:rPr>
        <w:t>...”</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33</w:t>
      </w:r>
      <w:r w:rsidRPr="007579B0">
        <w:rPr>
          <w:lang w:val="pl-PL"/>
        </w:rPr>
        <w:fldChar w:fldCharType="end"/>
      </w:r>
      <w:r w:rsidR="00F05398" w:rsidRPr="007579B0">
        <w:rPr>
          <w:lang w:val="pl-PL"/>
        </w:rPr>
        <w:t>.  Zalecenie Komitetu Ministrów dla państw członkowskich Rady Europy w sprawie reakcji społecznych na przestępczość nieletnich (Zalec</w:t>
      </w:r>
      <w:r w:rsidR="00AD465C" w:rsidRPr="007579B0">
        <w:rPr>
          <w:lang w:val="pl-PL"/>
        </w:rPr>
        <w:t>enie nr R (87) 20), przyjęte</w:t>
      </w:r>
      <w:r w:rsidR="00F05398" w:rsidRPr="007579B0">
        <w:rPr>
          <w:lang w:val="pl-PL"/>
        </w:rPr>
        <w:t xml:space="preserve"> w dniu 17 września 1987 r. </w:t>
      </w:r>
      <w:r w:rsidR="002D5DA7" w:rsidRPr="007579B0">
        <w:rPr>
          <w:lang w:val="pl-PL"/>
        </w:rPr>
        <w:t>na 410 posiedzeniu delegatów</w:t>
      </w:r>
      <w:r w:rsidR="00F05398" w:rsidRPr="007579B0">
        <w:rPr>
          <w:lang w:val="pl-PL"/>
        </w:rPr>
        <w:t>, we właściwym zakresie stanowi, co następuje:</w:t>
      </w:r>
    </w:p>
    <w:p w:rsidR="00F05398" w:rsidRPr="007579B0" w:rsidRDefault="00F05398" w:rsidP="00E10A63">
      <w:pPr>
        <w:ind w:left="567"/>
        <w:rPr>
          <w:sz w:val="20"/>
          <w:lang w:val="pl-PL"/>
        </w:rPr>
      </w:pPr>
    </w:p>
    <w:p w:rsidR="00F05398" w:rsidRPr="007579B0" w:rsidRDefault="00F05398" w:rsidP="00E10A63">
      <w:pPr>
        <w:ind w:left="567"/>
        <w:rPr>
          <w:sz w:val="20"/>
          <w:lang w:val="pl-PL" w:eastAsia="pl-PL"/>
        </w:rPr>
      </w:pPr>
      <w:r w:rsidRPr="007579B0">
        <w:rPr>
          <w:sz w:val="20"/>
          <w:lang w:val="pl-PL"/>
        </w:rPr>
        <w:t xml:space="preserve">„ </w:t>
      </w:r>
      <w:r w:rsidRPr="007579B0">
        <w:rPr>
          <w:sz w:val="20"/>
          <w:lang w:val="pl-PL" w:eastAsia="pl-PL"/>
        </w:rPr>
        <w:t>zaleca rządom krajów członkowskich — w zależności od potrzeb — poddanie rewizji obowiązujących w nich praw i praktyk w wyszczególnionych poniżej obszarach w celu</w:t>
      </w:r>
      <w:r w:rsidRPr="007579B0">
        <w:rPr>
          <w:sz w:val="20"/>
          <w:lang w:val="pl-PL"/>
        </w:rPr>
        <w:t>:</w:t>
      </w:r>
    </w:p>
    <w:p w:rsidR="00F05398" w:rsidRPr="007579B0" w:rsidRDefault="00F05398" w:rsidP="00947D97">
      <w:pPr>
        <w:pStyle w:val="JuQuot"/>
        <w:rPr>
          <w:lang w:val="pl-PL"/>
        </w:rPr>
      </w:pPr>
      <w:r w:rsidRPr="007579B0">
        <w:rPr>
          <w:lang w:val="pl-PL"/>
        </w:rPr>
        <w:t>8.  wzmocnienia prawnej sytuacji nieletnich w trakcie postępowania, w tym w czasie postępowania policyjnego, między innymi poprzez poszanowanie:</w:t>
      </w:r>
    </w:p>
    <w:p w:rsidR="00F05398" w:rsidRPr="007579B0" w:rsidRDefault="00F05398" w:rsidP="00947D97">
      <w:pPr>
        <w:pStyle w:val="JuQuot"/>
        <w:rPr>
          <w:lang w:val="pl-PL"/>
        </w:rPr>
      </w:pPr>
      <w:r w:rsidRPr="007579B0">
        <w:rPr>
          <w:lang w:val="pl-PL"/>
        </w:rPr>
        <w:t>–  prawa do obrońcy, który w razie konieczności zostanie wyznaczony i opłacony z urzędu.”</w:t>
      </w:r>
    </w:p>
    <w:p w:rsidR="00F05398" w:rsidRPr="007579B0" w:rsidRDefault="00F05398" w:rsidP="00947D97">
      <w:pPr>
        <w:pStyle w:val="JuHa0"/>
        <w:rPr>
          <w:lang w:val="pl-PL"/>
        </w:rPr>
      </w:pPr>
      <w:r w:rsidRPr="007579B0">
        <w:rPr>
          <w:bCs/>
          <w:lang w:val="pl-PL"/>
        </w:rPr>
        <w:t>(b)  Narody Zjednoczone</w:t>
      </w:r>
    </w:p>
    <w:p w:rsidR="00F05398" w:rsidRPr="007579B0" w:rsidRDefault="00F05398" w:rsidP="00947D97">
      <w:pPr>
        <w:pStyle w:val="JuHi"/>
        <w:rPr>
          <w:lang w:val="pl-PL"/>
        </w:rPr>
      </w:pPr>
      <w:r w:rsidRPr="007579B0">
        <w:rPr>
          <w:iCs/>
          <w:lang w:val="pl-PL"/>
        </w:rPr>
        <w:t>(i)  Konwencja o Prawach Dziecka</w:t>
      </w:r>
    </w:p>
    <w:p w:rsidR="00F05398" w:rsidRPr="007579B0" w:rsidRDefault="00B73521" w:rsidP="00947D97">
      <w:pPr>
        <w:pStyle w:val="JuParaChar"/>
        <w:rPr>
          <w:i/>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34</w:t>
      </w:r>
      <w:r w:rsidRPr="007579B0">
        <w:rPr>
          <w:lang w:val="pl-PL"/>
        </w:rPr>
        <w:fldChar w:fldCharType="end"/>
      </w:r>
      <w:r w:rsidR="00F05398" w:rsidRPr="007579B0">
        <w:rPr>
          <w:lang w:val="pl-PL"/>
        </w:rPr>
        <w:t>.  Artykuł 37 Konwencji o Prawach Dziecka (KPD), we właściwym zakresie stanowi, co następuje:</w:t>
      </w:r>
    </w:p>
    <w:p w:rsidR="00F05398" w:rsidRPr="007579B0" w:rsidRDefault="00F05398" w:rsidP="00947D97">
      <w:pPr>
        <w:pStyle w:val="JuQuot"/>
        <w:rPr>
          <w:lang w:val="pl-PL"/>
        </w:rPr>
      </w:pPr>
      <w:r w:rsidRPr="007579B0">
        <w:rPr>
          <w:lang w:val="pl-PL"/>
        </w:rPr>
        <w:t>„Państwa-Strony zapewnią, aby:..</w:t>
      </w:r>
    </w:p>
    <w:p w:rsidR="00F05398" w:rsidRPr="007579B0" w:rsidRDefault="00F05398" w:rsidP="00947D97">
      <w:pPr>
        <w:pStyle w:val="JuQuot"/>
        <w:rPr>
          <w:lang w:val="pl-PL"/>
        </w:rPr>
      </w:pPr>
      <w:r w:rsidRPr="007579B0">
        <w:rPr>
          <w:lang w:val="pl-PL"/>
        </w:rPr>
        <w:t xml:space="preserve">(d) każde dziecko pozbawione wolności miało prawo do uzyskania niezwłocznego dostępu </w:t>
      </w:r>
      <w:r w:rsidR="001662BA" w:rsidRPr="007579B0">
        <w:rPr>
          <w:lang w:val="pl-PL"/>
        </w:rPr>
        <w:t>do prawnej</w:t>
      </w:r>
      <w:r w:rsidRPr="007579B0">
        <w:rPr>
          <w:lang w:val="pl-PL"/>
        </w:rPr>
        <w:t xml:space="preserve"> lub innej odpowiedzialnej pomocy, jak również prawo do </w:t>
      </w:r>
      <w:r w:rsidR="001A5B90" w:rsidRPr="007579B0">
        <w:rPr>
          <w:lang w:val="pl-PL"/>
        </w:rPr>
        <w:t>kwestionowania legalności</w:t>
      </w:r>
      <w:r w:rsidRPr="007579B0">
        <w:rPr>
          <w:lang w:val="pl-PL"/>
        </w:rPr>
        <w:t xml:space="preserve"> pozbawienia go wolności przed sądem lub inną kompetentną, niezawisłą </w:t>
      </w:r>
      <w:r w:rsidR="001662BA" w:rsidRPr="007579B0">
        <w:rPr>
          <w:lang w:val="pl-PL"/>
        </w:rPr>
        <w:t>i bezstronną</w:t>
      </w:r>
      <w:r w:rsidRPr="007579B0">
        <w:rPr>
          <w:lang w:val="pl-PL"/>
        </w:rPr>
        <w:t xml:space="preserve"> władzą oraz domagania się uzyskania decyzji w tej sprawie.” </w:t>
      </w:r>
    </w:p>
    <w:p w:rsidR="00F05398" w:rsidRPr="007579B0" w:rsidRDefault="00F05398" w:rsidP="00947D97">
      <w:pPr>
        <w:pStyle w:val="JuHi"/>
        <w:rPr>
          <w:lang w:val="pl-PL"/>
        </w:rPr>
      </w:pPr>
      <w:r w:rsidRPr="007579B0">
        <w:rPr>
          <w:iCs/>
          <w:lang w:val="pl-PL"/>
        </w:rPr>
        <w:t>(ii)  Ogólny Komentarz nr 10 Komitetu Praw Dziecka z dnia 25 kwietnia 2007 r. (CRC/C/GC/10)</w:t>
      </w:r>
    </w:p>
    <w:p w:rsidR="00F05398" w:rsidRPr="007579B0" w:rsidRDefault="00B73521" w:rsidP="00947D97">
      <w:pPr>
        <w:pStyle w:val="JuParaChar"/>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35</w:t>
      </w:r>
      <w:r w:rsidRPr="007579B0">
        <w:rPr>
          <w:lang w:val="pl-PL"/>
        </w:rPr>
        <w:fldChar w:fldCharType="end"/>
      </w:r>
      <w:r w:rsidR="00F05398" w:rsidRPr="007579B0">
        <w:rPr>
          <w:lang w:val="pl-PL"/>
        </w:rPr>
        <w:t>.  Właściwa część tego tekstu, dotycząca pomocy prawnej na rzecz nieletnich zatrzymanych przez policję stanowi, co następuje:</w:t>
      </w:r>
    </w:p>
    <w:p w:rsidR="00F05398" w:rsidRPr="007579B0" w:rsidRDefault="00F05398" w:rsidP="00947D97">
      <w:pPr>
        <w:pStyle w:val="JuQuot"/>
        <w:rPr>
          <w:lang w:val="pl-PL"/>
        </w:rPr>
      </w:pPr>
      <w:r w:rsidRPr="007579B0">
        <w:rPr>
          <w:lang w:val="pl-PL"/>
        </w:rPr>
        <w:t>„49.  Dziecku należy zagwarantować pomoc prawną lub inną właściwą pomoc w zakresie przygotowania i przedstawienia obrony. KPD wymaga, by dziecku zapewniono pomoc, przy czym niekoniecznie we wszystkich okolicznościach pomoc prawną, jednakże musi być to pomoc właściwa. Państwa-Strony mają swobodę przy określaniu sposobu świadczenia pomocy, lecz pomoc taka powinna być świadczona bezpłatnie ...</w:t>
      </w:r>
    </w:p>
    <w:p w:rsidR="00F05398" w:rsidRPr="007579B0" w:rsidRDefault="00F05398" w:rsidP="00947D97">
      <w:pPr>
        <w:pStyle w:val="JuQuot"/>
        <w:rPr>
          <w:lang w:val="pl-PL"/>
        </w:rPr>
      </w:pPr>
      <w:r w:rsidRPr="007579B0">
        <w:rPr>
          <w:lang w:val="pl-PL"/>
        </w:rPr>
        <w:t>...</w:t>
      </w:r>
    </w:p>
    <w:p w:rsidR="00F05398" w:rsidRPr="007579B0" w:rsidRDefault="00F05398" w:rsidP="00947D97">
      <w:pPr>
        <w:pStyle w:val="JuQuot"/>
        <w:rPr>
          <w:lang w:val="pl-PL"/>
        </w:rPr>
      </w:pPr>
      <w:r w:rsidRPr="007579B0">
        <w:rPr>
          <w:lang w:val="pl-PL"/>
        </w:rPr>
        <w:t xml:space="preserve">52.  Komitet zaleca, by Państwa-Strony określiły i wprowadziły limity czasowe dla okresów pomiędzy </w:t>
      </w:r>
      <w:r w:rsidR="009F721F">
        <w:rPr>
          <w:lang w:val="pl-PL"/>
        </w:rPr>
        <w:t>przedstawieniem zarzutów popełnienia przestępstwa oraz</w:t>
      </w:r>
      <w:r w:rsidRPr="007579B0">
        <w:rPr>
          <w:lang w:val="pl-PL"/>
        </w:rPr>
        <w:t xml:space="preserve"> zakończeniem dochodzenia przez policję, decyzją prokuratury (bądź innego właściwego organu) o wniesieniu zarzutów przeciwko dziecku oraz </w:t>
      </w:r>
      <w:r w:rsidR="00607422" w:rsidRPr="007579B0">
        <w:rPr>
          <w:lang w:val="pl-PL"/>
        </w:rPr>
        <w:t xml:space="preserve">ostatecznym rozstrzygnięciem bądź wydaniem decyzji </w:t>
      </w:r>
      <w:r w:rsidRPr="007579B0">
        <w:rPr>
          <w:lang w:val="pl-PL"/>
        </w:rPr>
        <w:t>przez sąd bądź inny właściwy organ sądowy. Takie limity czasowe powinny być znacznie krótsze niż limity określane dla dorosłych. Jednocześnie</w:t>
      </w:r>
      <w:r w:rsidR="00D16DB4" w:rsidRPr="007579B0">
        <w:rPr>
          <w:lang w:val="pl-PL"/>
        </w:rPr>
        <w:t xml:space="preserve"> wydawane bez zwłoki decyzje powinny być wynikiem procesu, w ramach którego w pełni przestrzega się przysługujących dziecku praw człowieka oraz gwarancji prawnych</w:t>
      </w:r>
      <w:r w:rsidRPr="007579B0">
        <w:rPr>
          <w:lang w:val="pl-PL"/>
        </w:rPr>
        <w:t>.</w:t>
      </w:r>
      <w:r w:rsidR="00D16DB4" w:rsidRPr="007579B0">
        <w:rPr>
          <w:lang w:val="pl-PL"/>
        </w:rPr>
        <w:t xml:space="preserve"> W trakcie takiego procesu </w:t>
      </w:r>
      <w:r w:rsidR="00DF732E" w:rsidRPr="007579B0">
        <w:rPr>
          <w:lang w:val="pl-PL"/>
        </w:rPr>
        <w:t xml:space="preserve">bezzwłocznego </w:t>
      </w:r>
      <w:r w:rsidR="00D16DB4" w:rsidRPr="007579B0">
        <w:rPr>
          <w:lang w:val="pl-PL"/>
        </w:rPr>
        <w:t xml:space="preserve">podejmowania decyzji niezbędna jest pomoc prawna lub inna właściwa pomoc. Pomoc taka nie może ograniczać się do procesu przed sądem czy innym właściwym organem sądowym, lecz ma zastosowanie na wszystkich etapach postępowania, począwszy </w:t>
      </w:r>
      <w:r w:rsidR="001662BA" w:rsidRPr="007579B0">
        <w:rPr>
          <w:lang w:val="pl-PL"/>
        </w:rPr>
        <w:t>od wywiadu (</w:t>
      </w:r>
      <w:r w:rsidR="00D16DB4" w:rsidRPr="007579B0">
        <w:rPr>
          <w:lang w:val="pl-PL"/>
        </w:rPr>
        <w:t>przesłuchania</w:t>
      </w:r>
      <w:r w:rsidRPr="007579B0">
        <w:rPr>
          <w:lang w:val="pl-PL"/>
        </w:rPr>
        <w:t xml:space="preserve">) </w:t>
      </w:r>
      <w:r w:rsidR="001662BA" w:rsidRPr="007579B0">
        <w:rPr>
          <w:lang w:val="pl-PL"/>
        </w:rPr>
        <w:t xml:space="preserve">z </w:t>
      </w:r>
      <w:r w:rsidR="00D16DB4" w:rsidRPr="007579B0">
        <w:rPr>
          <w:lang w:val="pl-PL"/>
        </w:rPr>
        <w:t>dzieck</w:t>
      </w:r>
      <w:r w:rsidR="001662BA" w:rsidRPr="007579B0">
        <w:rPr>
          <w:lang w:val="pl-PL"/>
        </w:rPr>
        <w:t>iem na p</w:t>
      </w:r>
      <w:r w:rsidRPr="007579B0">
        <w:rPr>
          <w:lang w:val="pl-PL"/>
        </w:rPr>
        <w:t>olic</w:t>
      </w:r>
      <w:r w:rsidR="00D16DB4" w:rsidRPr="007579B0">
        <w:rPr>
          <w:lang w:val="pl-PL"/>
        </w:rPr>
        <w:t>j</w:t>
      </w:r>
      <w:r w:rsidR="001662BA" w:rsidRPr="007579B0">
        <w:rPr>
          <w:lang w:val="pl-PL"/>
        </w:rPr>
        <w:t>i</w:t>
      </w:r>
      <w:r w:rsidRPr="007579B0">
        <w:rPr>
          <w:lang w:val="pl-PL"/>
        </w:rPr>
        <w:t>.”</w:t>
      </w:r>
    </w:p>
    <w:p w:rsidR="00F05398" w:rsidRPr="007579B0" w:rsidRDefault="00F05398" w:rsidP="008B2338">
      <w:pPr>
        <w:pStyle w:val="JuHi"/>
        <w:rPr>
          <w:lang w:val="pl-PL"/>
        </w:rPr>
      </w:pPr>
      <w:r w:rsidRPr="007579B0">
        <w:rPr>
          <w:rStyle w:val="JuHaChar0"/>
          <w:b w:val="0"/>
          <w:i/>
          <w:iCs/>
          <w:sz w:val="20"/>
          <w:lang w:val="pl-PL"/>
        </w:rPr>
        <w:t xml:space="preserve">(iii)  Uwagi Końcowe Komitetu Praw Dziecka: </w:t>
      </w:r>
      <w:r w:rsidR="002A48C7" w:rsidRPr="007579B0">
        <w:rPr>
          <w:rStyle w:val="JuHaChar0"/>
          <w:b w:val="0"/>
          <w:i/>
          <w:iCs/>
          <w:sz w:val="20"/>
          <w:lang w:val="pl-PL"/>
        </w:rPr>
        <w:t>Turcja,</w:t>
      </w:r>
      <w:r w:rsidRPr="007579B0">
        <w:rPr>
          <w:rStyle w:val="JuHaChar0"/>
          <w:b w:val="0"/>
          <w:i/>
          <w:iCs/>
          <w:sz w:val="20"/>
          <w:lang w:val="pl-PL"/>
        </w:rPr>
        <w:t xml:space="preserve"> z dnia </w:t>
      </w:r>
      <w:r w:rsidRPr="007579B0">
        <w:rPr>
          <w:iCs/>
          <w:sz w:val="20"/>
          <w:lang w:val="pl-PL"/>
        </w:rPr>
        <w:t>9 lipca 2001 r.</w:t>
      </w:r>
      <w:r w:rsidR="00042368">
        <w:rPr>
          <w:iCs/>
          <w:sz w:val="20"/>
          <w:lang w:val="pl-PL"/>
        </w:rPr>
        <w:t xml:space="preserve"> </w:t>
      </w:r>
      <w:r w:rsidRPr="007579B0">
        <w:rPr>
          <w:iCs/>
          <w:sz w:val="20"/>
          <w:lang w:val="pl-PL"/>
        </w:rPr>
        <w:t>(CRC/C/15/Add.152)</w:t>
      </w:r>
    </w:p>
    <w:p w:rsidR="00F05398" w:rsidRPr="007579B0" w:rsidRDefault="00B73521" w:rsidP="00947D97">
      <w:pPr>
        <w:pStyle w:val="JuPara"/>
        <w:rPr>
          <w:rFonts w:ascii="Times New (W1)" w:hAnsi="Times New (W1)"/>
          <w:lang w:val="pl-PL"/>
        </w:rPr>
      </w:pPr>
      <w:r w:rsidRPr="007579B0">
        <w:rPr>
          <w:rFonts w:ascii="Times New" w:hAnsi="Times New"/>
          <w:lang w:val="pl-PL"/>
        </w:rPr>
        <w:fldChar w:fldCharType="begin"/>
      </w:r>
      <w:r w:rsidR="00F05398" w:rsidRPr="007579B0">
        <w:rPr>
          <w:rFonts w:ascii="Times New" w:hAnsi="Times New"/>
          <w:lang w:val="pl-PL"/>
        </w:rPr>
        <w:instrText xml:space="preserve"> SEQ level0 \*arabic </w:instrText>
      </w:r>
      <w:r w:rsidRPr="007579B0">
        <w:rPr>
          <w:rFonts w:ascii="Times New" w:hAnsi="Times New"/>
          <w:lang w:val="pl-PL"/>
        </w:rPr>
        <w:fldChar w:fldCharType="separate"/>
      </w:r>
      <w:r w:rsidR="00F05398" w:rsidRPr="007579B0">
        <w:rPr>
          <w:rFonts w:ascii="Times New" w:hAnsi="Times New"/>
          <w:noProof/>
          <w:lang w:val="pl-PL"/>
        </w:rPr>
        <w:t>36</w:t>
      </w:r>
      <w:r w:rsidRPr="007579B0">
        <w:rPr>
          <w:rFonts w:ascii="Times New" w:hAnsi="Times New"/>
          <w:lang w:val="pl-PL"/>
        </w:rPr>
        <w:fldChar w:fldCharType="end"/>
      </w:r>
      <w:r w:rsidR="00F05398" w:rsidRPr="007579B0">
        <w:rPr>
          <w:rFonts w:ascii="Times New" w:hAnsi="Times New"/>
          <w:lang w:val="pl-PL"/>
        </w:rPr>
        <w:t>. </w:t>
      </w:r>
      <w:r w:rsidR="00F05398" w:rsidRPr="007579B0">
        <w:rPr>
          <w:rFonts w:ascii="Times New" w:hAnsi="Times New"/>
          <w:i/>
          <w:iCs/>
          <w:lang w:val="pl-PL"/>
        </w:rPr>
        <w:t> </w:t>
      </w:r>
      <w:r w:rsidR="00F05398" w:rsidRPr="007579B0">
        <w:rPr>
          <w:rFonts w:ascii="Times New (W1) CE" w:hAnsi="Times New (W1) CE"/>
          <w:lang w:val="pl-PL"/>
        </w:rPr>
        <w:t>Właściwa część tego dokumentu stanowi, co następuje</w:t>
      </w:r>
      <w:r w:rsidR="00F05398" w:rsidRPr="007579B0">
        <w:rPr>
          <w:rFonts w:ascii="Times New (W1)" w:hAnsi="Times New (W1)"/>
          <w:lang w:val="pl-PL"/>
        </w:rPr>
        <w:t>:</w:t>
      </w:r>
    </w:p>
    <w:p w:rsidR="00F05398" w:rsidRPr="007579B0" w:rsidRDefault="00F05398" w:rsidP="00947D97">
      <w:pPr>
        <w:pStyle w:val="JuQuot"/>
        <w:rPr>
          <w:lang w:val="pl-PL"/>
        </w:rPr>
      </w:pPr>
      <w:r w:rsidRPr="007579B0">
        <w:rPr>
          <w:lang w:val="pl-PL"/>
        </w:rPr>
        <w:t xml:space="preserve">„66.  Komitet zaleca, by Państwo-Strona kontynuowało weryfikację prawa i praktyk dotyczących wymiaru sprawiedliwości wobec nieletnich w celu zapewnienia pełnej zgodności z Konwencją [o Prawach Dziecka], w szczególności art. 37, 40 i 39 oraz z innymi właściwymi standardami międzynarodowymi w tym zakresie, przykładowo </w:t>
      </w:r>
      <w:r w:rsidRPr="007579B0">
        <w:rPr>
          <w:rStyle w:val="st"/>
          <w:lang w:val="pl-PL"/>
        </w:rPr>
        <w:t>Wzorcowymi Regułami</w:t>
      </w:r>
      <w:r w:rsidR="00042368">
        <w:rPr>
          <w:rStyle w:val="st"/>
          <w:lang w:val="pl-PL"/>
        </w:rPr>
        <w:t xml:space="preserve"> Minimum Narodów Zjednoczonych Dotyczącymi</w:t>
      </w:r>
      <w:r w:rsidRPr="007579B0">
        <w:rPr>
          <w:rStyle w:val="st"/>
          <w:lang w:val="pl-PL"/>
        </w:rPr>
        <w:t xml:space="preserve"> Wymiaru Sprawiedliwości Wobec Nieletnich</w:t>
      </w:r>
      <w:r w:rsidRPr="007579B0">
        <w:rPr>
          <w:lang w:val="pl-PL"/>
        </w:rPr>
        <w:t xml:space="preserve"> (Regułami Pekińskimi) i Wytycznymi </w:t>
      </w:r>
      <w:r w:rsidRPr="007579B0">
        <w:rPr>
          <w:rStyle w:val="st"/>
          <w:lang w:val="pl-PL"/>
        </w:rPr>
        <w:t xml:space="preserve">Narodów Zjednoczonych w sprawie Zapobiegania Przestępczości Nieletnich </w:t>
      </w:r>
      <w:r w:rsidR="00042368">
        <w:rPr>
          <w:lang w:val="pl-PL"/>
        </w:rPr>
        <w:t>(Wytycznymi z</w:t>
      </w:r>
      <w:r w:rsidRPr="007579B0">
        <w:rPr>
          <w:lang w:val="pl-PL"/>
        </w:rPr>
        <w:t xml:space="preserve"> Rijadu), w celu podwyższenia minimalnego wieku odpowiedzialności karnej, rozszerzenia zakresu ochrony gwarantowanej przez sąd dla nieletnich wszystki</w:t>
      </w:r>
      <w:r w:rsidR="00042368">
        <w:rPr>
          <w:lang w:val="pl-PL"/>
        </w:rPr>
        <w:t>m dzieciom</w:t>
      </w:r>
      <w:r w:rsidRPr="007579B0">
        <w:rPr>
          <w:lang w:val="pl-PL"/>
        </w:rPr>
        <w:t xml:space="preserve"> w wieku do lat 18 oraz skutecznego wykonywania tego prawa poprzez ustanowie</w:t>
      </w:r>
      <w:r w:rsidR="007B63B3" w:rsidRPr="007579B0">
        <w:rPr>
          <w:lang w:val="pl-PL"/>
        </w:rPr>
        <w:t>nie sądów dla nieletnich w każdej</w:t>
      </w:r>
      <w:r w:rsidRPr="007579B0">
        <w:rPr>
          <w:lang w:val="pl-PL"/>
        </w:rPr>
        <w:t xml:space="preserve"> pro</w:t>
      </w:r>
      <w:r w:rsidR="007B63B3" w:rsidRPr="007579B0">
        <w:rPr>
          <w:lang w:val="pl-PL"/>
        </w:rPr>
        <w:t>w</w:t>
      </w:r>
      <w:r w:rsidRPr="007579B0">
        <w:rPr>
          <w:lang w:val="pl-PL"/>
        </w:rPr>
        <w:t>inc</w:t>
      </w:r>
      <w:r w:rsidR="007B63B3" w:rsidRPr="007579B0">
        <w:rPr>
          <w:lang w:val="pl-PL"/>
        </w:rPr>
        <w:t>ji</w:t>
      </w:r>
      <w:r w:rsidRPr="007579B0">
        <w:rPr>
          <w:lang w:val="pl-PL"/>
        </w:rPr>
        <w:t xml:space="preserve">. W szczególności Komitet przypomina Państwu-Stronie, że w przypadku nieletnich sprawców przestępstw należy działać niezwłocznie, w celu uniknięcia okresów </w:t>
      </w:r>
      <w:r w:rsidR="009F721F">
        <w:rPr>
          <w:lang w:val="pl-PL"/>
        </w:rPr>
        <w:t>przetrzymywania w izolacji</w:t>
      </w:r>
      <w:r w:rsidRPr="007579B0">
        <w:rPr>
          <w:lang w:val="pl-PL"/>
        </w:rPr>
        <w:t>, a tymczasowe aresztowanie należy stosować wyłącznie jako środek ostateczny, powi</w:t>
      </w:r>
      <w:r w:rsidR="008F2F79">
        <w:rPr>
          <w:lang w:val="pl-PL"/>
        </w:rPr>
        <w:t>nien</w:t>
      </w:r>
      <w:r w:rsidRPr="007579B0">
        <w:rPr>
          <w:lang w:val="pl-PL"/>
        </w:rPr>
        <w:t xml:space="preserve"> trwać możliwie krótko i nie może trwać dłużej niż okres wynikający z przepisów prawa. Zawsze, gdy to możliwe, należy stosować środki alternatywne względem tymczasowego aresztowania.”</w:t>
      </w:r>
    </w:p>
    <w:p w:rsidR="00F05398" w:rsidRPr="007579B0" w:rsidRDefault="00F05398" w:rsidP="008B2338">
      <w:pPr>
        <w:pStyle w:val="JuH1"/>
        <w:rPr>
          <w:lang w:val="pl-PL"/>
        </w:rPr>
      </w:pPr>
      <w:r w:rsidRPr="007579B0">
        <w:rPr>
          <w:iCs/>
          <w:lang w:val="pl-PL"/>
        </w:rPr>
        <w:t xml:space="preserve">2.  Prawo dostępu do adwokata w okresie </w:t>
      </w:r>
      <w:r w:rsidR="00A96667">
        <w:rPr>
          <w:iCs/>
          <w:lang w:val="pl-PL"/>
        </w:rPr>
        <w:t>zatrzymania przez policję</w:t>
      </w:r>
    </w:p>
    <w:p w:rsidR="00F05398" w:rsidRPr="007579B0" w:rsidRDefault="00F05398" w:rsidP="00947D97">
      <w:pPr>
        <w:pStyle w:val="JuHa0"/>
        <w:rPr>
          <w:lang w:val="pl-PL"/>
        </w:rPr>
      </w:pPr>
      <w:r w:rsidRPr="007579B0">
        <w:rPr>
          <w:bCs/>
          <w:lang w:val="pl-PL"/>
        </w:rPr>
        <w:t>(a)  Rada Europy</w:t>
      </w:r>
    </w:p>
    <w:p w:rsidR="00F05398" w:rsidRPr="007579B0" w:rsidRDefault="00F05398" w:rsidP="008A1A1A">
      <w:pPr>
        <w:pStyle w:val="JuHi"/>
        <w:rPr>
          <w:lang w:val="pl-PL"/>
        </w:rPr>
      </w:pPr>
      <w:r w:rsidRPr="007579B0">
        <w:rPr>
          <w:iCs/>
          <w:lang w:val="pl-PL"/>
        </w:rPr>
        <w:t>(i)  </w:t>
      </w:r>
      <w:r w:rsidR="002A48C7" w:rsidRPr="007579B0">
        <w:rPr>
          <w:iCs/>
          <w:lang w:val="pl-PL"/>
        </w:rPr>
        <w:t xml:space="preserve">Zasady przyjęte przez Komitet </w:t>
      </w:r>
      <w:r w:rsidRPr="007579B0">
        <w:rPr>
          <w:iCs/>
          <w:lang w:val="pl-PL"/>
        </w:rPr>
        <w:t>Ministr</w:t>
      </w:r>
      <w:r w:rsidR="002A48C7" w:rsidRPr="007579B0">
        <w:rPr>
          <w:iCs/>
          <w:lang w:val="pl-PL"/>
        </w:rPr>
        <w:t>ów</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37</w:t>
      </w:r>
      <w:r w:rsidRPr="007579B0">
        <w:rPr>
          <w:lang w:val="pl-PL"/>
        </w:rPr>
        <w:fldChar w:fldCharType="end"/>
      </w:r>
      <w:r w:rsidR="00F05398" w:rsidRPr="007579B0">
        <w:rPr>
          <w:lang w:val="pl-PL"/>
        </w:rPr>
        <w:t>.  </w:t>
      </w:r>
      <w:r w:rsidR="00DF732E" w:rsidRPr="007579B0">
        <w:rPr>
          <w:lang w:val="pl-PL"/>
        </w:rPr>
        <w:t xml:space="preserve">Artykuł </w:t>
      </w:r>
      <w:r w:rsidR="00F05398" w:rsidRPr="007579B0">
        <w:rPr>
          <w:lang w:val="pl-PL"/>
        </w:rPr>
        <w:t xml:space="preserve">93 </w:t>
      </w:r>
      <w:r w:rsidR="00DF732E" w:rsidRPr="007579B0">
        <w:rPr>
          <w:lang w:val="pl-PL"/>
        </w:rPr>
        <w:t>m</w:t>
      </w:r>
      <w:r w:rsidR="00F05398" w:rsidRPr="007579B0">
        <w:rPr>
          <w:lang w:val="pl-PL"/>
        </w:rPr>
        <w:t>inimalnych standardów traktowania więźniów (Rezolucja (73) 5 Komitetu Ministrów Rady Europy) stanowi:</w:t>
      </w:r>
    </w:p>
    <w:p w:rsidR="00F05398" w:rsidRPr="007579B0" w:rsidRDefault="00F05398" w:rsidP="008A1A1A">
      <w:pPr>
        <w:pStyle w:val="JuQuot"/>
        <w:rPr>
          <w:lang w:val="pl-PL"/>
        </w:rPr>
      </w:pPr>
      <w:r w:rsidRPr="007579B0">
        <w:rPr>
          <w:lang w:val="pl-PL"/>
        </w:rPr>
        <w:t>„</w:t>
      </w:r>
      <w:r w:rsidR="001A5B90" w:rsidRPr="007579B0">
        <w:rPr>
          <w:lang w:val="pl-PL"/>
        </w:rPr>
        <w:t>Więzień nieosądzony będzie mieć prawo, niezwłocznie po uwięzieniu, do wyboru pełnomocnika prawnego</w:t>
      </w:r>
      <w:r w:rsidRPr="007579B0">
        <w:rPr>
          <w:lang w:val="pl-PL"/>
        </w:rPr>
        <w:t xml:space="preserve"> ...</w:t>
      </w:r>
      <w:r w:rsidR="001A5B90" w:rsidRPr="007579B0">
        <w:rPr>
          <w:lang w:val="pl-PL"/>
        </w:rPr>
        <w:t xml:space="preserve"> oraz </w:t>
      </w:r>
      <w:r w:rsidR="00256AC4" w:rsidRPr="007579B0">
        <w:rPr>
          <w:lang w:val="pl-PL"/>
        </w:rPr>
        <w:t>zezwoli mu się na przyjmowanie mających związek z obroną wizyt obrońcy oraz przygotowywanie i przekazywanie mu poufnych poleceń</w:t>
      </w:r>
      <w:r w:rsidRPr="007579B0">
        <w:rPr>
          <w:lang w:val="pl-PL"/>
        </w:rPr>
        <w:t>.</w:t>
      </w:r>
      <w:r w:rsidR="00256AC4" w:rsidRPr="007579B0">
        <w:rPr>
          <w:lang w:val="pl-PL"/>
        </w:rPr>
        <w:t xml:space="preserve"> Dla tych celów dostarczy mu się, na prośbę, wszelkie niezbędne materiały</w:t>
      </w:r>
      <w:r w:rsidRPr="007579B0">
        <w:rPr>
          <w:lang w:val="pl-PL"/>
        </w:rPr>
        <w:t xml:space="preserve"> ... </w:t>
      </w:r>
      <w:r w:rsidR="00596568" w:rsidRPr="007579B0">
        <w:rPr>
          <w:lang w:val="pl-PL"/>
        </w:rPr>
        <w:t>Rozmowy pomiędzy więźniem a jego obrońcą mogą odbywać się w zasięgu wzroku, ale nie w zasięgu słuchu, zarówno bezpośrednio czy bezpośrednio, przedstawiciela policji lub instytucji</w:t>
      </w:r>
      <w:r w:rsidRPr="007579B0">
        <w:rPr>
          <w:lang w:val="pl-PL"/>
        </w:rPr>
        <w:t>.”</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38</w:t>
      </w:r>
      <w:r w:rsidRPr="007579B0">
        <w:rPr>
          <w:lang w:val="pl-PL"/>
        </w:rPr>
        <w:fldChar w:fldCharType="end"/>
      </w:r>
      <w:r w:rsidR="00F05398" w:rsidRPr="007579B0">
        <w:rPr>
          <w:lang w:val="pl-PL"/>
        </w:rPr>
        <w:t xml:space="preserve">.  Ponadto </w:t>
      </w:r>
      <w:r w:rsidR="002D5DA7" w:rsidRPr="007579B0">
        <w:rPr>
          <w:lang w:val="pl-PL"/>
        </w:rPr>
        <w:t>Zaleceni</w:t>
      </w:r>
      <w:r w:rsidR="00112552" w:rsidRPr="007579B0">
        <w:rPr>
          <w:lang w:val="pl-PL"/>
        </w:rPr>
        <w:t>e</w:t>
      </w:r>
      <w:r w:rsidR="002D5DA7" w:rsidRPr="007579B0">
        <w:rPr>
          <w:lang w:val="pl-PL"/>
        </w:rPr>
        <w:t xml:space="preserve"> Komitetu Ministrów do państw członkowskich Rady </w:t>
      </w:r>
      <w:r w:rsidR="00F05398" w:rsidRPr="007579B0">
        <w:rPr>
          <w:lang w:val="pl-PL"/>
        </w:rPr>
        <w:t>Europ</w:t>
      </w:r>
      <w:r w:rsidR="002D5DA7" w:rsidRPr="007579B0">
        <w:rPr>
          <w:lang w:val="pl-PL"/>
        </w:rPr>
        <w:t xml:space="preserve">y w sprawie </w:t>
      </w:r>
      <w:r w:rsidR="00F05398" w:rsidRPr="007579B0">
        <w:rPr>
          <w:lang w:val="pl-PL"/>
        </w:rPr>
        <w:t>Europe</w:t>
      </w:r>
      <w:r w:rsidR="002D5DA7" w:rsidRPr="007579B0">
        <w:rPr>
          <w:lang w:val="pl-PL"/>
        </w:rPr>
        <w:t xml:space="preserve">jskich </w:t>
      </w:r>
      <w:r w:rsidR="00F05398" w:rsidRPr="007579B0">
        <w:rPr>
          <w:lang w:val="pl-PL"/>
        </w:rPr>
        <w:t>R</w:t>
      </w:r>
      <w:r w:rsidR="002D5DA7" w:rsidRPr="007579B0">
        <w:rPr>
          <w:lang w:val="pl-PL"/>
        </w:rPr>
        <w:t>eg</w:t>
      </w:r>
      <w:r w:rsidR="00F05398" w:rsidRPr="007579B0">
        <w:rPr>
          <w:lang w:val="pl-PL"/>
        </w:rPr>
        <w:t>u</w:t>
      </w:r>
      <w:r w:rsidR="002D5DA7" w:rsidRPr="007579B0">
        <w:rPr>
          <w:lang w:val="pl-PL"/>
        </w:rPr>
        <w:t xml:space="preserve">ł Więziennych </w:t>
      </w:r>
      <w:r w:rsidR="00F05398" w:rsidRPr="007579B0">
        <w:rPr>
          <w:lang w:val="pl-PL"/>
        </w:rPr>
        <w:t xml:space="preserve">(Rec(2006)2), </w:t>
      </w:r>
      <w:r w:rsidR="002D5DA7" w:rsidRPr="007579B0">
        <w:rPr>
          <w:lang w:val="pl-PL"/>
        </w:rPr>
        <w:t xml:space="preserve">przyjęte w dniu </w:t>
      </w:r>
      <w:r w:rsidR="00F05398" w:rsidRPr="007579B0">
        <w:rPr>
          <w:lang w:val="pl-PL"/>
        </w:rPr>
        <w:t xml:space="preserve">11 stycznia 2006 </w:t>
      </w:r>
      <w:r w:rsidR="002D5DA7" w:rsidRPr="007579B0">
        <w:rPr>
          <w:lang w:val="pl-PL"/>
        </w:rPr>
        <w:t xml:space="preserve">r. na </w:t>
      </w:r>
      <w:r w:rsidR="00F05398" w:rsidRPr="007579B0">
        <w:rPr>
          <w:lang w:val="pl-PL"/>
        </w:rPr>
        <w:t>952</w:t>
      </w:r>
      <w:r w:rsidR="002D5DA7" w:rsidRPr="007579B0">
        <w:rPr>
          <w:lang w:val="pl-PL"/>
        </w:rPr>
        <w:t xml:space="preserve"> posiedzeniu delegatów</w:t>
      </w:r>
      <w:r w:rsidR="00F05398" w:rsidRPr="007579B0">
        <w:rPr>
          <w:lang w:val="pl-PL"/>
        </w:rPr>
        <w:t>, we właściwym zakresie stanowi, co następuje:</w:t>
      </w:r>
    </w:p>
    <w:p w:rsidR="00F05398" w:rsidRPr="007579B0" w:rsidRDefault="005A46DB" w:rsidP="00947D97">
      <w:pPr>
        <w:pStyle w:val="JuQuot"/>
        <w:rPr>
          <w:lang w:val="pl-PL"/>
        </w:rPr>
      </w:pPr>
      <w:r w:rsidRPr="007579B0">
        <w:rPr>
          <w:lang w:val="pl-PL"/>
        </w:rPr>
        <w:t>„</w:t>
      </w:r>
      <w:r w:rsidRPr="007579B0">
        <w:rPr>
          <w:i/>
          <w:iCs/>
          <w:lang w:val="pl-PL"/>
        </w:rPr>
        <w:t>Porada prawna</w:t>
      </w:r>
    </w:p>
    <w:p w:rsidR="00F05398" w:rsidRPr="007579B0" w:rsidRDefault="00F05398" w:rsidP="00947D97">
      <w:pPr>
        <w:pStyle w:val="JuQuot"/>
        <w:rPr>
          <w:lang w:val="pl-PL"/>
        </w:rPr>
      </w:pPr>
      <w:r w:rsidRPr="007579B0">
        <w:rPr>
          <w:lang w:val="pl-PL"/>
        </w:rPr>
        <w:t>23.1  </w:t>
      </w:r>
      <w:r w:rsidR="005A46DB" w:rsidRPr="007579B0">
        <w:rPr>
          <w:lang w:val="pl-PL"/>
        </w:rPr>
        <w:t>Wszyscy więźniowie mają prawo do porady prawnej stąd władze zakładu karnego zapewniają odpowiednią bazę dla uzyskania takiej porady</w:t>
      </w:r>
      <w:r w:rsidRPr="007579B0">
        <w:rPr>
          <w:lang w:val="pl-PL"/>
        </w:rPr>
        <w:t>.</w:t>
      </w:r>
    </w:p>
    <w:p w:rsidR="00F05398" w:rsidRPr="007579B0" w:rsidRDefault="00F05398" w:rsidP="00947D97">
      <w:pPr>
        <w:pStyle w:val="JuQuot"/>
        <w:rPr>
          <w:lang w:val="pl-PL"/>
        </w:rPr>
      </w:pPr>
      <w:r w:rsidRPr="007579B0">
        <w:rPr>
          <w:lang w:val="pl-PL"/>
        </w:rPr>
        <w:t>23.2  </w:t>
      </w:r>
      <w:r w:rsidR="005A46DB" w:rsidRPr="007579B0">
        <w:rPr>
          <w:lang w:val="pl-PL"/>
        </w:rPr>
        <w:t>Więźniowie mogą konsultować się w każdej sprawie prawnej z pełnomocnikiem z wyboru i na własny koszt.</w:t>
      </w:r>
    </w:p>
    <w:p w:rsidR="00F05398" w:rsidRPr="007579B0" w:rsidRDefault="00F05398" w:rsidP="00947D97">
      <w:pPr>
        <w:pStyle w:val="JuQuot"/>
        <w:rPr>
          <w:lang w:val="pl-PL"/>
        </w:rPr>
      </w:pPr>
      <w:r w:rsidRPr="007579B0">
        <w:rPr>
          <w:lang w:val="pl-PL"/>
        </w:rPr>
        <w:t>...</w:t>
      </w:r>
    </w:p>
    <w:p w:rsidR="00F05398" w:rsidRPr="007579B0" w:rsidRDefault="00F05398" w:rsidP="00947D97">
      <w:pPr>
        <w:pStyle w:val="JuQuot"/>
        <w:rPr>
          <w:lang w:val="pl-PL"/>
        </w:rPr>
      </w:pPr>
      <w:r w:rsidRPr="007579B0">
        <w:rPr>
          <w:lang w:val="pl-PL"/>
        </w:rPr>
        <w:t>23.5  </w:t>
      </w:r>
      <w:r w:rsidR="005A46DB" w:rsidRPr="007579B0">
        <w:rPr>
          <w:lang w:val="pl-PL"/>
        </w:rPr>
        <w:t>Organ sądowy może w wyjątkowych okolicznościach zezwolić na ograniczenie takiej poufności</w:t>
      </w:r>
      <w:r w:rsidR="002F7284" w:rsidRPr="007579B0">
        <w:rPr>
          <w:lang w:val="pl-PL"/>
        </w:rPr>
        <w:t>,</w:t>
      </w:r>
      <w:r w:rsidR="005A46DB" w:rsidRPr="007579B0">
        <w:rPr>
          <w:lang w:val="pl-PL"/>
        </w:rPr>
        <w:t xml:space="preserve"> by zapobiec poważnemu przestępstwu lub zasadniczemu naruszeniu bezpieczeństwa osób lub więzienia</w:t>
      </w:r>
      <w:r w:rsidRPr="007579B0">
        <w:rPr>
          <w:lang w:val="pl-PL"/>
        </w:rPr>
        <w:t>.”</w:t>
      </w:r>
    </w:p>
    <w:p w:rsidR="00F05398" w:rsidRPr="007579B0" w:rsidRDefault="00F05398" w:rsidP="008A1A1A">
      <w:pPr>
        <w:pStyle w:val="JuH1"/>
        <w:rPr>
          <w:lang w:val="pl-PL"/>
        </w:rPr>
      </w:pPr>
      <w:r w:rsidRPr="007579B0">
        <w:rPr>
          <w:iCs/>
          <w:lang w:val="pl-PL"/>
        </w:rPr>
        <w:t>(ii)  Europejski Komitet do spraw Zapobiegania Torturom oraz Nieludzkiemu i Poniżającemu Tr</w:t>
      </w:r>
      <w:r w:rsidR="00363E09" w:rsidRPr="007579B0">
        <w:rPr>
          <w:iCs/>
          <w:lang w:val="pl-PL"/>
        </w:rPr>
        <w:t>aktowaniu albo Karaniu (Komitet</w:t>
      </w:r>
      <w:r w:rsidRPr="007579B0">
        <w:rPr>
          <w:iCs/>
          <w:lang w:val="pl-PL"/>
        </w:rPr>
        <w:t>)</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39</w:t>
      </w:r>
      <w:r w:rsidRPr="007579B0">
        <w:rPr>
          <w:lang w:val="pl-PL"/>
        </w:rPr>
        <w:fldChar w:fldCharType="end"/>
      </w:r>
      <w:r w:rsidR="00F05398" w:rsidRPr="007579B0">
        <w:rPr>
          <w:lang w:val="pl-PL"/>
        </w:rPr>
        <w:t>.  Po wizycie w Turcji w lipcu 2000 r. K</w:t>
      </w:r>
      <w:r w:rsidR="00F05398" w:rsidRPr="007579B0">
        <w:rPr>
          <w:iCs/>
          <w:lang w:val="pl-PL"/>
        </w:rPr>
        <w:t>omitet ds. Zapobiegania Torturom</w:t>
      </w:r>
      <w:r w:rsidR="00F05398" w:rsidRPr="007579B0">
        <w:rPr>
          <w:lang w:val="pl-PL"/>
        </w:rPr>
        <w:t xml:space="preserve"> opublikował sprawozdanie datowane na dzień 8 listopada 2001 r. (</w:t>
      </w:r>
      <w:r w:rsidR="00112552" w:rsidRPr="007579B0">
        <w:rPr>
          <w:lang w:val="pl-PL"/>
        </w:rPr>
        <w:t>CPT</w:t>
      </w:r>
      <w:r w:rsidR="00F05398" w:rsidRPr="007579B0">
        <w:rPr>
          <w:lang w:val="pl-PL"/>
        </w:rPr>
        <w:t>/Inf(2001)25), w którym stwierdzono:</w:t>
      </w:r>
    </w:p>
    <w:p w:rsidR="00F05398" w:rsidRPr="007579B0" w:rsidRDefault="00F05398" w:rsidP="00947D97">
      <w:pPr>
        <w:pStyle w:val="JuQuot"/>
        <w:rPr>
          <w:lang w:val="pl-PL"/>
        </w:rPr>
      </w:pPr>
      <w:r w:rsidRPr="007579B0">
        <w:rPr>
          <w:lang w:val="pl-PL"/>
        </w:rPr>
        <w:t xml:space="preserve">„61.  Mimo licznych zmian w ustawodawstwie w ostatnich latach, nadal utrzymują się pewne słabości w zakresie formalnych zabezpieczeń przed złym traktowaniem. Być może najważniejszy problem stanowi fakt, że osoby zatrzymane </w:t>
      </w:r>
      <w:r w:rsidR="00D4006C">
        <w:rPr>
          <w:lang w:val="pl-PL"/>
        </w:rPr>
        <w:t>w związku z podejrzeniem</w:t>
      </w:r>
      <w:r w:rsidRPr="007579B0">
        <w:rPr>
          <w:lang w:val="pl-PL"/>
        </w:rPr>
        <w:t xml:space="preserve"> popełnienia </w:t>
      </w:r>
      <w:r w:rsidR="00F54D77">
        <w:rPr>
          <w:lang w:val="pl-PL"/>
        </w:rPr>
        <w:t xml:space="preserve">czynów o charakterze zbiorowym </w:t>
      </w:r>
      <w:r w:rsidRPr="007579B0">
        <w:rPr>
          <w:lang w:val="pl-PL"/>
        </w:rPr>
        <w:t xml:space="preserve">objętych jurysdykcją Sądów Bezpieczeństwa Państwa nadal nie mają prawa do adwokata w okresie czterech pierwszych dni po zatrzymaniu. Ponadto – w przeciwieństwie do wcześniej składanych oświadczeń </w:t>
      </w:r>
      <w:r w:rsidR="002F7284" w:rsidRPr="007579B0">
        <w:rPr>
          <w:lang w:val="pl-PL"/>
        </w:rPr>
        <w:t>–</w:t>
      </w:r>
      <w:r w:rsidRPr="007579B0">
        <w:rPr>
          <w:lang w:val="pl-PL"/>
        </w:rPr>
        <w:t xml:space="preserve"> </w:t>
      </w:r>
      <w:r w:rsidR="002F7284" w:rsidRPr="007579B0">
        <w:rPr>
          <w:lang w:val="pl-PL"/>
        </w:rPr>
        <w:t xml:space="preserve">w </w:t>
      </w:r>
      <w:r w:rsidRPr="007579B0">
        <w:rPr>
          <w:lang w:val="pl-PL"/>
        </w:rPr>
        <w:t>odpowied</w:t>
      </w:r>
      <w:r w:rsidR="002F7284" w:rsidRPr="007579B0">
        <w:rPr>
          <w:lang w:val="pl-PL"/>
        </w:rPr>
        <w:t>z</w:t>
      </w:r>
      <w:r w:rsidRPr="007579B0">
        <w:rPr>
          <w:lang w:val="pl-PL"/>
        </w:rPr>
        <w:t>i n</w:t>
      </w:r>
      <w:r w:rsidR="002F7284" w:rsidRPr="007579B0">
        <w:rPr>
          <w:lang w:val="pl-PL"/>
        </w:rPr>
        <w:t xml:space="preserve">a sprawozdanie dotyczące wizyty, która odbyła się </w:t>
      </w:r>
      <w:r w:rsidRPr="007579B0">
        <w:rPr>
          <w:lang w:val="pl-PL"/>
        </w:rPr>
        <w:t>w lutym/marcu 1999 r.</w:t>
      </w:r>
      <w:r w:rsidR="002F7284" w:rsidRPr="007579B0">
        <w:rPr>
          <w:lang w:val="pl-PL"/>
        </w:rPr>
        <w:t>,</w:t>
      </w:r>
      <w:r w:rsidRPr="007579B0">
        <w:rPr>
          <w:lang w:val="pl-PL"/>
        </w:rPr>
        <w:t xml:space="preserve"> władze tureckie jasno stwierdziły, że </w:t>
      </w:r>
      <w:r w:rsidR="002F7284" w:rsidRPr="007579B0">
        <w:rPr>
          <w:lang w:val="pl-PL"/>
        </w:rPr>
        <w:t xml:space="preserve">w okresie czterech pierwszych dni aresztowania </w:t>
      </w:r>
      <w:r w:rsidRPr="007579B0">
        <w:rPr>
          <w:lang w:val="pl-PL"/>
        </w:rPr>
        <w:t xml:space="preserve">osoby takie nie mają prawa do powiadomienia o swojej sytuacji krewnego. </w:t>
      </w:r>
      <w:r w:rsidR="005F3DCC" w:rsidRPr="007579B0">
        <w:rPr>
          <w:lang w:val="pl-PL"/>
        </w:rPr>
        <w:t xml:space="preserve">Takie </w:t>
      </w:r>
      <w:r w:rsidR="00F54D77">
        <w:rPr>
          <w:lang w:val="pl-PL"/>
        </w:rPr>
        <w:t xml:space="preserve">przetrzymywanie w izolacji może powodować sytuacje, w których dochodzić będzie do </w:t>
      </w:r>
      <w:r w:rsidR="005F3DCC" w:rsidRPr="007579B0">
        <w:rPr>
          <w:lang w:val="pl-PL"/>
        </w:rPr>
        <w:t>złego traktowania</w:t>
      </w:r>
      <w:r w:rsidRPr="007579B0">
        <w:rPr>
          <w:lang w:val="pl-PL"/>
        </w:rPr>
        <w:t>.</w:t>
      </w:r>
    </w:p>
    <w:p w:rsidR="00F05398" w:rsidRPr="007579B0" w:rsidRDefault="00F05398" w:rsidP="00947D97">
      <w:pPr>
        <w:pStyle w:val="JuQuot"/>
        <w:rPr>
          <w:lang w:val="pl-PL"/>
        </w:rPr>
      </w:pPr>
      <w:r w:rsidRPr="007579B0">
        <w:rPr>
          <w:iCs/>
          <w:lang w:val="pl-PL"/>
        </w:rPr>
        <w:t>Komitet ds. Zapobiegania Torturom</w:t>
      </w:r>
      <w:r w:rsidRPr="007579B0">
        <w:rPr>
          <w:lang w:val="pl-PL"/>
        </w:rPr>
        <w:t xml:space="preserve"> musi zatem po raz kolejny przypomnieć, że wszystkie osoby pozbawi</w:t>
      </w:r>
      <w:r w:rsidR="005F3DCC" w:rsidRPr="007579B0">
        <w:rPr>
          <w:lang w:val="pl-PL"/>
        </w:rPr>
        <w:t>one wolności przez organa ścigania</w:t>
      </w:r>
      <w:r w:rsidRPr="007579B0">
        <w:rPr>
          <w:lang w:val="pl-PL"/>
        </w:rPr>
        <w:t xml:space="preserve">, w tym osoby podejrzane o popełnienie </w:t>
      </w:r>
      <w:r w:rsidR="00F54D77">
        <w:rPr>
          <w:lang w:val="pl-PL"/>
        </w:rPr>
        <w:t xml:space="preserve">czynów o charakterze zbiorowym </w:t>
      </w:r>
      <w:r w:rsidRPr="007579B0">
        <w:rPr>
          <w:lang w:val="pl-PL"/>
        </w:rPr>
        <w:t xml:space="preserve">objętych jurysdykcją Sądów Bezpieczeństwa Państwa, powinny mieć prawo dostępu do adwokata od początku aresztowania. </w:t>
      </w:r>
      <w:r w:rsidRPr="007579B0">
        <w:rPr>
          <w:iCs/>
          <w:lang w:val="pl-PL"/>
        </w:rPr>
        <w:t>Komitet ds. Zapobiegania Torturom</w:t>
      </w:r>
      <w:r w:rsidRPr="007579B0">
        <w:rPr>
          <w:lang w:val="pl-PL"/>
        </w:rPr>
        <w:t xml:space="preserve"> przyznaje, iż w celu ochrony uzasadnionych interesów śledztwa policyjnego w wyjątkowych przypadkach może zaistnieć konieczność przesunięcia w czasie prawa jednostki do dostępu do wybranego przez nią adwokata; jednakże w takiej sytuacji należy zaaranżować dostęp do innego, niezależnego, adwokata.</w:t>
      </w:r>
    </w:p>
    <w:p w:rsidR="00F05398" w:rsidRPr="007579B0" w:rsidRDefault="00F05398" w:rsidP="00947D97">
      <w:pPr>
        <w:pStyle w:val="JuQuot"/>
        <w:rPr>
          <w:lang w:val="pl-PL"/>
        </w:rPr>
      </w:pPr>
      <w:r w:rsidRPr="007579B0">
        <w:rPr>
          <w:lang w:val="pl-PL"/>
        </w:rPr>
        <w:t>Wdrożenie powyższego zalecenia będzie wymagać zastosowania środków o charakterze ustawodawczym. Jednakże w międzyczasie należy niezwłocznie podjąć kroki w celu zapewnienia przestrzegania obowiązujących przepisów prawa. Istotnie</w:t>
      </w:r>
      <w:r w:rsidR="00244248" w:rsidRPr="007579B0">
        <w:rPr>
          <w:lang w:val="pl-PL"/>
        </w:rPr>
        <w:t>,</w:t>
      </w:r>
      <w:r w:rsidRPr="007579B0">
        <w:rPr>
          <w:lang w:val="pl-PL"/>
        </w:rPr>
        <w:t xml:space="preserve"> informacje zgromadzone podczas wizyty </w:t>
      </w:r>
      <w:r w:rsidRPr="007579B0">
        <w:rPr>
          <w:i/>
          <w:iCs/>
          <w:lang w:val="pl-PL"/>
        </w:rPr>
        <w:t>ad hoc</w:t>
      </w:r>
      <w:r w:rsidRPr="007579B0">
        <w:rPr>
          <w:lang w:val="pl-PL"/>
        </w:rPr>
        <w:t xml:space="preserve"> w lipcu 2000 r. wyraźnie wskazują, że nawet po upływie czterech pierwszych</w:t>
      </w:r>
      <w:r w:rsidR="00244248" w:rsidRPr="007579B0">
        <w:rPr>
          <w:lang w:val="pl-PL"/>
        </w:rPr>
        <w:t xml:space="preserve"> dni aresztowania przez policję,</w:t>
      </w:r>
      <w:r w:rsidRPr="007579B0">
        <w:rPr>
          <w:lang w:val="pl-PL"/>
        </w:rPr>
        <w:t xml:space="preserve"> </w:t>
      </w:r>
      <w:r w:rsidR="00244248" w:rsidRPr="007579B0">
        <w:rPr>
          <w:lang w:val="pl-PL"/>
        </w:rPr>
        <w:t xml:space="preserve">w praktyce </w:t>
      </w:r>
      <w:r w:rsidRPr="007579B0">
        <w:rPr>
          <w:lang w:val="pl-PL"/>
        </w:rPr>
        <w:t xml:space="preserve">dostęp osób podejrzanych o popełnienie czynów objętych jurysdykcją Sądów Bezpieczeństwa Państwa do adwokata stanowi raczej wyjątek niż zasadę. </w:t>
      </w:r>
      <w:r w:rsidRPr="007579B0">
        <w:rPr>
          <w:iCs/>
          <w:lang w:val="pl-PL"/>
        </w:rPr>
        <w:t>Komitet ds. Zapobiegania Torturom</w:t>
      </w:r>
      <w:r w:rsidRPr="007579B0">
        <w:rPr>
          <w:lang w:val="pl-PL"/>
        </w:rPr>
        <w:t xml:space="preserve"> zaleca, by urzędnicy odpowiedzialni za przeprowadzanie kontroli i inspekcji w ramach procedury monitorowania przestrzegania przepisów, o której mowa powyżej, zostali przeszkoleni tak, by zapewnić zwrócenie szczególnej uwagi na to, czy osoby podejrzane o popełnienie </w:t>
      </w:r>
      <w:r w:rsidR="00F54D77">
        <w:rPr>
          <w:lang w:val="pl-PL"/>
        </w:rPr>
        <w:t xml:space="preserve">czynów o charakterze zbiorowym </w:t>
      </w:r>
      <w:r w:rsidRPr="007579B0">
        <w:rPr>
          <w:lang w:val="pl-PL"/>
        </w:rPr>
        <w:t xml:space="preserve">objętych jurysdykcją Sądów Bezpieczeństwa Państwa są informowane o prawie dostępu do adwokata po upływie czterech pierwszych dni aresztowania oraz czy umożliwia </w:t>
      </w:r>
      <w:r w:rsidR="005F3DCC" w:rsidRPr="007579B0">
        <w:rPr>
          <w:lang w:val="pl-PL"/>
        </w:rPr>
        <w:t>się</w:t>
      </w:r>
      <w:r w:rsidRPr="007579B0">
        <w:rPr>
          <w:lang w:val="pl-PL"/>
        </w:rPr>
        <w:t xml:space="preserve"> </w:t>
      </w:r>
      <w:r w:rsidR="00244248" w:rsidRPr="007579B0">
        <w:rPr>
          <w:lang w:val="pl-PL"/>
        </w:rPr>
        <w:t xml:space="preserve">im </w:t>
      </w:r>
      <w:r w:rsidRPr="007579B0">
        <w:rPr>
          <w:lang w:val="pl-PL"/>
        </w:rPr>
        <w:t>skuteczne korzystanie z tego prawa.”</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40</w:t>
      </w:r>
      <w:r w:rsidRPr="007579B0">
        <w:rPr>
          <w:lang w:val="pl-PL"/>
        </w:rPr>
        <w:fldChar w:fldCharType="end"/>
      </w:r>
      <w:r w:rsidR="00F05398" w:rsidRPr="007579B0">
        <w:rPr>
          <w:lang w:val="pl-PL"/>
        </w:rPr>
        <w:t>.  K</w:t>
      </w:r>
      <w:r w:rsidR="00F05398" w:rsidRPr="007579B0">
        <w:rPr>
          <w:iCs/>
          <w:lang w:val="pl-PL"/>
        </w:rPr>
        <w:t>omitet ds. Zapobiegania Torturom</w:t>
      </w:r>
      <w:r w:rsidR="00F05398" w:rsidRPr="007579B0">
        <w:rPr>
          <w:lang w:val="pl-PL"/>
        </w:rPr>
        <w:t xml:space="preserve"> przeprowadził kolejną wizytę w Turcji we wrześniu 2001 r. i w sprawozdaniu datowanym na 24 kwietnia 2002 (</w:t>
      </w:r>
      <w:r w:rsidR="00244248" w:rsidRPr="007579B0">
        <w:rPr>
          <w:lang w:val="pl-PL"/>
        </w:rPr>
        <w:t>CPT</w:t>
      </w:r>
      <w:r w:rsidR="00F05398" w:rsidRPr="007579B0">
        <w:rPr>
          <w:lang w:val="pl-PL"/>
        </w:rPr>
        <w:t>/Inf(2002)8) stwierdził:</w:t>
      </w:r>
    </w:p>
    <w:p w:rsidR="00F05398" w:rsidRPr="007579B0" w:rsidRDefault="00F05398" w:rsidP="00947D97">
      <w:pPr>
        <w:pStyle w:val="JuQuot"/>
        <w:rPr>
          <w:lang w:val="pl-PL"/>
        </w:rPr>
      </w:pPr>
      <w:r w:rsidRPr="007579B0">
        <w:rPr>
          <w:lang w:val="pl-PL"/>
        </w:rPr>
        <w:t xml:space="preserve">„12.  Zmiany wprowadzone do art. 16 ustawy w sprawie organizacji i postępowania procesowego Sądów Bezpieczeństwa Państwa obejmują także zmianę dotyczącą dostępu do adwokata osób aresztowanych </w:t>
      </w:r>
      <w:r w:rsidR="00627B34">
        <w:rPr>
          <w:lang w:val="pl-PL"/>
        </w:rPr>
        <w:t>w związku z podejrzeniem</w:t>
      </w:r>
      <w:r w:rsidRPr="007579B0">
        <w:rPr>
          <w:lang w:val="pl-PL"/>
        </w:rPr>
        <w:t xml:space="preserve"> </w:t>
      </w:r>
      <w:r w:rsidR="00F54D77">
        <w:rPr>
          <w:lang w:val="pl-PL"/>
        </w:rPr>
        <w:t xml:space="preserve">popełnienia czynów o charakterze zbiorowym </w:t>
      </w:r>
      <w:r w:rsidRPr="007579B0">
        <w:rPr>
          <w:lang w:val="pl-PL"/>
        </w:rPr>
        <w:t>objętych jurysdykcją Sądów Bezpieczeństwa Państwa. W przypadku takich osób prawo dostępu do adwokata ma zastosowanie dopiero po sporządzeniu prze</w:t>
      </w:r>
      <w:r w:rsidR="00480504" w:rsidRPr="007579B0">
        <w:rPr>
          <w:lang w:val="pl-PL"/>
        </w:rPr>
        <w:t>z</w:t>
      </w:r>
      <w:r w:rsidRPr="007579B0">
        <w:rPr>
          <w:lang w:val="pl-PL"/>
        </w:rPr>
        <w:t xml:space="preserve"> prokuraturę pisemnego nakazu o przedłużeniu aresztowania policyjnego na czas dłuższy niż czterdzieści osiem godzin; innymi słowy, w porównaniu do uprzednio obowiązujących przepisów są one pozbawione dostępu do adwokata tylko przez dwa dni, nie zaś cztery.</w:t>
      </w:r>
    </w:p>
    <w:p w:rsidR="00F05398" w:rsidRPr="007579B0" w:rsidRDefault="00AC1C1A" w:rsidP="00547BC0">
      <w:pPr>
        <w:pStyle w:val="JuQuot"/>
        <w:rPr>
          <w:rStyle w:val="JuQuotChar"/>
          <w:lang w:val="pl-PL"/>
        </w:rPr>
      </w:pPr>
      <w:r w:rsidRPr="007579B0">
        <w:rPr>
          <w:lang w:val="pl-PL"/>
        </w:rPr>
        <w:t xml:space="preserve">Przyjmując z zadowoleniem ten kolejny krok, </w:t>
      </w:r>
      <w:r w:rsidR="002277A8" w:rsidRPr="007579B0">
        <w:rPr>
          <w:lang w:val="pl-PL"/>
        </w:rPr>
        <w:t>Komitet</w:t>
      </w:r>
      <w:r w:rsidR="00F05398" w:rsidRPr="007579B0">
        <w:rPr>
          <w:lang w:val="pl-PL"/>
        </w:rPr>
        <w:t xml:space="preserve"> </w:t>
      </w:r>
      <w:r w:rsidR="0020005D" w:rsidRPr="007579B0">
        <w:rPr>
          <w:lang w:val="pl-PL"/>
        </w:rPr>
        <w:t xml:space="preserve">z żalem stwierdza, iż nie skorzystano z okazji zagwarantowania osobom aresztowanym na podstawie zarzutu popełnienia </w:t>
      </w:r>
      <w:r w:rsidR="00F54D77">
        <w:rPr>
          <w:lang w:val="pl-PL"/>
        </w:rPr>
        <w:t xml:space="preserve">czynów o charakterze zbiorowym </w:t>
      </w:r>
      <w:r w:rsidR="00F05398" w:rsidRPr="007579B0">
        <w:rPr>
          <w:lang w:val="pl-PL"/>
        </w:rPr>
        <w:t xml:space="preserve">objętych jurysdykcją Sądów Bezpieczeństwa Państwa </w:t>
      </w:r>
      <w:r w:rsidR="0020005D" w:rsidRPr="007579B0">
        <w:rPr>
          <w:lang w:val="pl-PL"/>
        </w:rPr>
        <w:t>prawa dostępu do</w:t>
      </w:r>
      <w:r w:rsidR="00F05398" w:rsidRPr="007579B0">
        <w:rPr>
          <w:lang w:val="pl-PL"/>
        </w:rPr>
        <w:t xml:space="preserve"> adwokata </w:t>
      </w:r>
      <w:r w:rsidR="0020005D" w:rsidRPr="007579B0">
        <w:rPr>
          <w:lang w:val="pl-PL"/>
        </w:rPr>
        <w:t>od chwili rozpoczęcia aresztowania (wskutek czego ich prawa zostałyby zrównane z prawami zwykłych podejrzanych w sprawach karnych</w:t>
      </w:r>
      <w:r w:rsidR="00F05398" w:rsidRPr="007579B0">
        <w:rPr>
          <w:lang w:val="pl-PL"/>
        </w:rPr>
        <w:t xml:space="preserve">). </w:t>
      </w:r>
      <w:r w:rsidR="002277A8" w:rsidRPr="007579B0">
        <w:rPr>
          <w:lang w:val="pl-PL"/>
        </w:rPr>
        <w:t>Komitet</w:t>
      </w:r>
      <w:r w:rsidR="00F05398" w:rsidRPr="007579B0">
        <w:rPr>
          <w:lang w:val="pl-PL"/>
        </w:rPr>
        <w:t xml:space="preserve"> </w:t>
      </w:r>
      <w:r w:rsidRPr="007579B0">
        <w:rPr>
          <w:lang w:val="pl-PL"/>
        </w:rPr>
        <w:t xml:space="preserve">wierzy, że w niedalekiej przyszłości władze tureckie wprowadzą w życie </w:t>
      </w:r>
      <w:r w:rsidR="00F54D77">
        <w:rPr>
          <w:lang w:val="pl-PL"/>
        </w:rPr>
        <w:t xml:space="preserve">wielokrotnie przekazywane </w:t>
      </w:r>
      <w:r w:rsidRPr="007579B0">
        <w:rPr>
          <w:lang w:val="pl-PL"/>
        </w:rPr>
        <w:t xml:space="preserve">zalecenie Komitetu, by wszystkim osobom pozbawionym wolności przez organa ścigania, w tym osobom podejrzanym o popełnienie czynów objętych jurysdykcją Sądów Bezpieczeństwa Państwa, przyznano prawo dostępu do </w:t>
      </w:r>
      <w:r w:rsidR="00F05398" w:rsidRPr="007579B0">
        <w:rPr>
          <w:lang w:val="pl-PL"/>
        </w:rPr>
        <w:t>adwokata</w:t>
      </w:r>
      <w:r w:rsidRPr="007579B0">
        <w:rPr>
          <w:lang w:val="pl-PL"/>
        </w:rPr>
        <w:t xml:space="preserve"> począwszy od chwili rozpoczęcia aresztowania</w:t>
      </w:r>
      <w:r w:rsidR="00F05398" w:rsidRPr="007579B0">
        <w:rPr>
          <w:rStyle w:val="JuQuotChar"/>
          <w:lang w:val="pl-PL"/>
        </w:rPr>
        <w:t>.</w:t>
      </w:r>
    </w:p>
    <w:p w:rsidR="00F05398" w:rsidRPr="007579B0" w:rsidRDefault="00F05398" w:rsidP="00947D97">
      <w:pPr>
        <w:pStyle w:val="JuQuot"/>
        <w:rPr>
          <w:rStyle w:val="JuQuotChar"/>
          <w:lang w:val="pl-PL"/>
        </w:rPr>
      </w:pPr>
      <w:r w:rsidRPr="007579B0">
        <w:rPr>
          <w:szCs w:val="24"/>
          <w:lang w:val="pl-PL"/>
        </w:rPr>
        <w:t>...</w:t>
      </w:r>
    </w:p>
    <w:p w:rsidR="00F05398" w:rsidRPr="007579B0" w:rsidRDefault="00F05398" w:rsidP="00947D97">
      <w:pPr>
        <w:pStyle w:val="JuQuot"/>
        <w:rPr>
          <w:rStyle w:val="JuQuotChar"/>
          <w:sz w:val="20"/>
          <w:lang w:val="pl-PL"/>
        </w:rPr>
      </w:pPr>
      <w:r w:rsidRPr="007579B0">
        <w:rPr>
          <w:rStyle w:val="JuQuotChar"/>
          <w:sz w:val="20"/>
          <w:lang w:val="pl-PL"/>
        </w:rPr>
        <w:t>46. </w:t>
      </w:r>
      <w:r w:rsidR="00363E09" w:rsidRPr="007579B0">
        <w:rPr>
          <w:rStyle w:val="JuQuotChar"/>
          <w:sz w:val="20"/>
          <w:lang w:val="pl-PL"/>
        </w:rPr>
        <w:t xml:space="preserve"> Odwołano się uprzednio do niedawnych pozytywnych zmian w ustawodawstwie dotyczących praw dostępu </w:t>
      </w:r>
      <w:r w:rsidR="00480504" w:rsidRPr="007579B0">
        <w:rPr>
          <w:rStyle w:val="JuQuotChar"/>
          <w:sz w:val="20"/>
          <w:lang w:val="pl-PL"/>
        </w:rPr>
        <w:t xml:space="preserve">do </w:t>
      </w:r>
      <w:r w:rsidRPr="007579B0">
        <w:rPr>
          <w:rStyle w:val="JuQuotChar"/>
          <w:sz w:val="20"/>
          <w:lang w:val="pl-PL"/>
        </w:rPr>
        <w:t xml:space="preserve">adwokata </w:t>
      </w:r>
      <w:r w:rsidR="00363E09" w:rsidRPr="007579B0">
        <w:rPr>
          <w:rStyle w:val="JuQuotChar"/>
          <w:sz w:val="20"/>
          <w:lang w:val="pl-PL"/>
        </w:rPr>
        <w:t>oraz powiadamiania członka rodziny o fakcie aresztowania</w:t>
      </w:r>
      <w:r w:rsidRPr="007579B0">
        <w:rPr>
          <w:rStyle w:val="JuQuotChar"/>
          <w:sz w:val="20"/>
          <w:lang w:val="pl-PL"/>
        </w:rPr>
        <w:t xml:space="preserve"> (</w:t>
      </w:r>
      <w:r w:rsidR="00363E09" w:rsidRPr="007579B0">
        <w:rPr>
          <w:rStyle w:val="JuQuotChar"/>
          <w:sz w:val="20"/>
          <w:lang w:val="pl-PL"/>
        </w:rPr>
        <w:t xml:space="preserve">zob. </w:t>
      </w:r>
      <w:r w:rsidRPr="007579B0">
        <w:rPr>
          <w:rStyle w:val="JuQuotChar"/>
          <w:sz w:val="20"/>
          <w:lang w:val="pl-PL"/>
        </w:rPr>
        <w:t>par</w:t>
      </w:r>
      <w:r w:rsidR="00363E09" w:rsidRPr="007579B0">
        <w:rPr>
          <w:rStyle w:val="JuQuotChar"/>
          <w:sz w:val="20"/>
          <w:lang w:val="pl-PL"/>
        </w:rPr>
        <w:t xml:space="preserve">. </w:t>
      </w:r>
      <w:r w:rsidRPr="007579B0">
        <w:rPr>
          <w:rStyle w:val="JuQuotChar"/>
          <w:sz w:val="20"/>
          <w:lang w:val="pl-PL"/>
        </w:rPr>
        <w:t xml:space="preserve">12 </w:t>
      </w:r>
      <w:r w:rsidR="00363E09" w:rsidRPr="007579B0">
        <w:rPr>
          <w:rStyle w:val="JuQuotChar"/>
          <w:sz w:val="20"/>
          <w:lang w:val="pl-PL"/>
        </w:rPr>
        <w:t>-</w:t>
      </w:r>
      <w:r w:rsidRPr="007579B0">
        <w:rPr>
          <w:rStyle w:val="JuQuotChar"/>
          <w:sz w:val="20"/>
          <w:lang w:val="pl-PL"/>
        </w:rPr>
        <w:t xml:space="preserve">14). </w:t>
      </w:r>
      <w:r w:rsidR="00363E09" w:rsidRPr="007579B0">
        <w:rPr>
          <w:rStyle w:val="JuQuotChar"/>
          <w:sz w:val="20"/>
          <w:lang w:val="pl-PL"/>
        </w:rPr>
        <w:t xml:space="preserve">Wskutek tych zmian doszło do dalszej poprawy i tak już </w:t>
      </w:r>
      <w:r w:rsidRPr="007579B0">
        <w:rPr>
          <w:rStyle w:val="JuQuotChar"/>
          <w:sz w:val="20"/>
          <w:lang w:val="pl-PL"/>
        </w:rPr>
        <w:t>imp</w:t>
      </w:r>
      <w:r w:rsidR="00363E09" w:rsidRPr="007579B0">
        <w:rPr>
          <w:rStyle w:val="JuQuotChar"/>
          <w:sz w:val="20"/>
          <w:lang w:val="pl-PL"/>
        </w:rPr>
        <w:t xml:space="preserve">onujących ram prawnych i regulacyjnych mających na celu zapobieganie torturom i złemu traktowaniu. </w:t>
      </w:r>
      <w:r w:rsidRPr="007579B0">
        <w:rPr>
          <w:rStyle w:val="JuQuotChar"/>
          <w:sz w:val="20"/>
          <w:lang w:val="pl-PL"/>
        </w:rPr>
        <w:t>N</w:t>
      </w:r>
      <w:r w:rsidR="00363E09" w:rsidRPr="007579B0">
        <w:rPr>
          <w:rStyle w:val="JuQuotChar"/>
          <w:sz w:val="20"/>
          <w:lang w:val="pl-PL"/>
        </w:rPr>
        <w:t xml:space="preserve">iemniej jednak </w:t>
      </w:r>
      <w:r w:rsidR="002277A8" w:rsidRPr="007579B0">
        <w:rPr>
          <w:rStyle w:val="JuQuotChar"/>
          <w:sz w:val="20"/>
          <w:lang w:val="pl-PL"/>
        </w:rPr>
        <w:t>Komitet</w:t>
      </w:r>
      <w:r w:rsidRPr="007579B0">
        <w:rPr>
          <w:rStyle w:val="JuQuotChar"/>
          <w:sz w:val="20"/>
          <w:lang w:val="pl-PL"/>
        </w:rPr>
        <w:t xml:space="preserve"> </w:t>
      </w:r>
      <w:r w:rsidR="00363E09" w:rsidRPr="007579B0">
        <w:rPr>
          <w:rStyle w:val="JuQuotChar"/>
          <w:sz w:val="20"/>
          <w:lang w:val="pl-PL"/>
        </w:rPr>
        <w:t>nadal jest poważnie zaniepokojony faktem, iż osoby aresztowan</w:t>
      </w:r>
      <w:r w:rsidR="00991B3C" w:rsidRPr="007579B0">
        <w:rPr>
          <w:rStyle w:val="JuQuotChar"/>
          <w:sz w:val="20"/>
          <w:lang w:val="pl-PL"/>
        </w:rPr>
        <w:t>e</w:t>
      </w:r>
      <w:r w:rsidR="00363E09" w:rsidRPr="007579B0">
        <w:rPr>
          <w:rStyle w:val="JuQuotChar"/>
          <w:sz w:val="20"/>
          <w:lang w:val="pl-PL"/>
        </w:rPr>
        <w:t xml:space="preserve"> </w:t>
      </w:r>
      <w:r w:rsidR="00B324F1">
        <w:rPr>
          <w:rStyle w:val="JuQuotChar"/>
          <w:sz w:val="20"/>
          <w:lang w:val="pl-PL"/>
        </w:rPr>
        <w:t>w związku z podejrzeniem</w:t>
      </w:r>
      <w:r w:rsidR="00363E09" w:rsidRPr="007579B0">
        <w:rPr>
          <w:rStyle w:val="JuQuotChar"/>
          <w:sz w:val="20"/>
          <w:lang w:val="pl-PL"/>
        </w:rPr>
        <w:t xml:space="preserve"> popełnienia </w:t>
      </w:r>
      <w:r w:rsidR="00F54D77">
        <w:rPr>
          <w:lang w:val="pl-PL"/>
        </w:rPr>
        <w:t xml:space="preserve">czynów o charakterze zbiorowym </w:t>
      </w:r>
      <w:r w:rsidRPr="007579B0">
        <w:rPr>
          <w:lang w:val="pl-PL"/>
        </w:rPr>
        <w:t xml:space="preserve">objętych jurysdykcją Sądów Bezpieczeństwa Państwa </w:t>
      </w:r>
      <w:r w:rsidR="00363E09" w:rsidRPr="007579B0">
        <w:rPr>
          <w:lang w:val="pl-PL"/>
        </w:rPr>
        <w:t xml:space="preserve">wciąż nie otrzymały prawa dostępu do </w:t>
      </w:r>
      <w:r w:rsidRPr="007579B0">
        <w:rPr>
          <w:rStyle w:val="JuQuotChar"/>
          <w:sz w:val="20"/>
          <w:lang w:val="pl-PL"/>
        </w:rPr>
        <w:t xml:space="preserve">adwokata </w:t>
      </w:r>
      <w:r w:rsidR="00363E09" w:rsidRPr="007579B0">
        <w:rPr>
          <w:rStyle w:val="JuQuotChar"/>
          <w:sz w:val="20"/>
          <w:lang w:val="pl-PL"/>
        </w:rPr>
        <w:t xml:space="preserve">w okresie dwóch pierwszych dni aresztowania; stanowisko </w:t>
      </w:r>
      <w:r w:rsidR="002277A8" w:rsidRPr="007579B0">
        <w:rPr>
          <w:rStyle w:val="JuQuotChar"/>
          <w:sz w:val="20"/>
          <w:lang w:val="pl-PL"/>
        </w:rPr>
        <w:t>Komitet</w:t>
      </w:r>
      <w:r w:rsidR="00303B6B" w:rsidRPr="007579B0">
        <w:rPr>
          <w:rStyle w:val="JuQuotChar"/>
          <w:sz w:val="20"/>
          <w:lang w:val="pl-PL"/>
        </w:rPr>
        <w:t>u</w:t>
      </w:r>
      <w:r w:rsidR="00363E09" w:rsidRPr="007579B0">
        <w:rPr>
          <w:rStyle w:val="JuQuotChar"/>
          <w:sz w:val="20"/>
          <w:lang w:val="pl-PL"/>
        </w:rPr>
        <w:t xml:space="preserve"> w tej sprawie został</w:t>
      </w:r>
      <w:r w:rsidR="00303B6B" w:rsidRPr="007579B0">
        <w:rPr>
          <w:rStyle w:val="JuQuotChar"/>
          <w:sz w:val="20"/>
          <w:lang w:val="pl-PL"/>
        </w:rPr>
        <w:t>o</w:t>
      </w:r>
      <w:r w:rsidR="00363E09" w:rsidRPr="007579B0">
        <w:rPr>
          <w:rStyle w:val="JuQuotChar"/>
          <w:sz w:val="20"/>
          <w:lang w:val="pl-PL"/>
        </w:rPr>
        <w:t xml:space="preserve"> jedno</w:t>
      </w:r>
      <w:r w:rsidR="00303B6B" w:rsidRPr="007579B0">
        <w:rPr>
          <w:rStyle w:val="JuQuotChar"/>
          <w:sz w:val="20"/>
          <w:lang w:val="pl-PL"/>
        </w:rPr>
        <w:t>zna</w:t>
      </w:r>
      <w:r w:rsidR="00363E09" w:rsidRPr="007579B0">
        <w:rPr>
          <w:rStyle w:val="JuQuotChar"/>
          <w:sz w:val="20"/>
          <w:lang w:val="pl-PL"/>
        </w:rPr>
        <w:t xml:space="preserve">cznie określone w par. </w:t>
      </w:r>
      <w:r w:rsidRPr="007579B0">
        <w:rPr>
          <w:rStyle w:val="JuQuotChar"/>
          <w:sz w:val="20"/>
          <w:lang w:val="pl-PL"/>
        </w:rPr>
        <w:t>12.</w:t>
      </w:r>
    </w:p>
    <w:p w:rsidR="00F05398" w:rsidRPr="007579B0" w:rsidRDefault="002277A8" w:rsidP="00947D97">
      <w:pPr>
        <w:pStyle w:val="JuQuot"/>
        <w:rPr>
          <w:rStyle w:val="JuQuotChar"/>
          <w:lang w:val="pl-PL"/>
        </w:rPr>
      </w:pPr>
      <w:r w:rsidRPr="007579B0">
        <w:rPr>
          <w:lang w:val="pl-PL"/>
        </w:rPr>
        <w:t>Ponadto</w:t>
      </w:r>
      <w:r w:rsidR="0035112A" w:rsidRPr="007579B0">
        <w:rPr>
          <w:lang w:val="pl-PL"/>
        </w:rPr>
        <w:t xml:space="preserve"> faktyczna treść prawa </w:t>
      </w:r>
      <w:r w:rsidR="00363E09" w:rsidRPr="007579B0">
        <w:rPr>
          <w:lang w:val="pl-PL"/>
        </w:rPr>
        <w:t>dostępu do</w:t>
      </w:r>
      <w:r w:rsidRPr="007579B0">
        <w:rPr>
          <w:lang w:val="pl-PL"/>
        </w:rPr>
        <w:t xml:space="preserve"> </w:t>
      </w:r>
      <w:r w:rsidR="00F05398" w:rsidRPr="007579B0">
        <w:rPr>
          <w:lang w:val="pl-PL"/>
        </w:rPr>
        <w:t xml:space="preserve">adwokata </w:t>
      </w:r>
      <w:r w:rsidR="0035112A" w:rsidRPr="007579B0">
        <w:rPr>
          <w:lang w:val="pl-PL"/>
        </w:rPr>
        <w:t xml:space="preserve">przyznanego osobom podejrzanym </w:t>
      </w:r>
      <w:r w:rsidR="00F05398" w:rsidRPr="007579B0">
        <w:rPr>
          <w:lang w:val="pl-PL"/>
        </w:rPr>
        <w:t>o</w:t>
      </w:r>
      <w:r w:rsidR="0035112A" w:rsidRPr="007579B0">
        <w:rPr>
          <w:lang w:val="pl-PL"/>
        </w:rPr>
        <w:t xml:space="preserve"> </w:t>
      </w:r>
      <w:r w:rsidR="0035112A" w:rsidRPr="007579B0">
        <w:rPr>
          <w:rStyle w:val="JuQuotChar"/>
          <w:sz w:val="20"/>
          <w:lang w:val="pl-PL"/>
        </w:rPr>
        <w:t>popełnienie</w:t>
      </w:r>
      <w:r w:rsidR="0035112A" w:rsidRPr="007579B0">
        <w:rPr>
          <w:lang w:val="pl-PL"/>
        </w:rPr>
        <w:t xml:space="preserve"> </w:t>
      </w:r>
      <w:r w:rsidR="00F05398" w:rsidRPr="007579B0">
        <w:rPr>
          <w:lang w:val="pl-PL"/>
        </w:rPr>
        <w:t xml:space="preserve">czynów objętych jurysdykcją Sądów Bezpieczeństwa Państwa </w:t>
      </w:r>
      <w:r w:rsidR="0035112A" w:rsidRPr="007579B0">
        <w:rPr>
          <w:lang w:val="pl-PL"/>
        </w:rPr>
        <w:t xml:space="preserve">pozostaje </w:t>
      </w:r>
      <w:r w:rsidR="00480504" w:rsidRPr="007579B0">
        <w:rPr>
          <w:lang w:val="pl-PL"/>
        </w:rPr>
        <w:t>bardziej ograniczona</w:t>
      </w:r>
      <w:r w:rsidR="0035112A" w:rsidRPr="007579B0">
        <w:rPr>
          <w:lang w:val="pl-PL"/>
        </w:rPr>
        <w:t xml:space="preserve"> niż w przypadku zwykłych podejrzanych w sprawach karnych</w:t>
      </w:r>
      <w:r w:rsidR="00F05398" w:rsidRPr="007579B0">
        <w:rPr>
          <w:lang w:val="pl-PL"/>
        </w:rPr>
        <w:t xml:space="preserve">. </w:t>
      </w:r>
      <w:r w:rsidR="0035112A" w:rsidRPr="007579B0">
        <w:rPr>
          <w:lang w:val="pl-PL"/>
        </w:rPr>
        <w:t>W szczególności</w:t>
      </w:r>
      <w:r w:rsidR="00F05398" w:rsidRPr="007579B0">
        <w:rPr>
          <w:lang w:val="pl-PL"/>
        </w:rPr>
        <w:t xml:space="preserve">, </w:t>
      </w:r>
      <w:r w:rsidR="00A676BF" w:rsidRPr="007579B0">
        <w:rPr>
          <w:lang w:val="pl-PL"/>
        </w:rPr>
        <w:t xml:space="preserve">jak wynika z ustaleń </w:t>
      </w:r>
      <w:r w:rsidRPr="007579B0">
        <w:rPr>
          <w:lang w:val="pl-PL"/>
        </w:rPr>
        <w:t>Komitet</w:t>
      </w:r>
      <w:r w:rsidR="00A676BF" w:rsidRPr="007579B0">
        <w:rPr>
          <w:lang w:val="pl-PL"/>
        </w:rPr>
        <w:t>u</w:t>
      </w:r>
      <w:r w:rsidR="00F05398" w:rsidRPr="007579B0">
        <w:rPr>
          <w:lang w:val="pl-PL"/>
        </w:rPr>
        <w:t xml:space="preserve">, </w:t>
      </w:r>
      <w:r w:rsidR="003761A0" w:rsidRPr="007579B0">
        <w:rPr>
          <w:lang w:val="pl-PL"/>
        </w:rPr>
        <w:t xml:space="preserve">podejrzanym </w:t>
      </w:r>
      <w:r w:rsidR="00F05398" w:rsidRPr="007579B0">
        <w:rPr>
          <w:lang w:val="pl-PL"/>
        </w:rPr>
        <w:t>t</w:t>
      </w:r>
      <w:r w:rsidR="003761A0" w:rsidRPr="007579B0">
        <w:rPr>
          <w:lang w:val="pl-PL"/>
        </w:rPr>
        <w:t xml:space="preserve">ej kategorii wciąż nie przyznano prawa do obecności </w:t>
      </w:r>
      <w:r w:rsidR="00F05398" w:rsidRPr="007579B0">
        <w:rPr>
          <w:lang w:val="pl-PL"/>
        </w:rPr>
        <w:t xml:space="preserve">adwokata </w:t>
      </w:r>
      <w:r w:rsidR="003761A0" w:rsidRPr="007579B0">
        <w:rPr>
          <w:lang w:val="pl-PL"/>
        </w:rPr>
        <w:t xml:space="preserve">podczas składania </w:t>
      </w:r>
      <w:r w:rsidR="00870B7D">
        <w:rPr>
          <w:lang w:val="pl-PL"/>
        </w:rPr>
        <w:t>wyjaśnień</w:t>
      </w:r>
      <w:r w:rsidR="003761A0" w:rsidRPr="007579B0">
        <w:rPr>
          <w:lang w:val="pl-PL"/>
        </w:rPr>
        <w:t xml:space="preserve"> na policji</w:t>
      </w:r>
      <w:r w:rsidR="00480504" w:rsidRPr="007579B0">
        <w:rPr>
          <w:lang w:val="pl-PL"/>
        </w:rPr>
        <w:t xml:space="preserve">. Ponadto względem takich osób </w:t>
      </w:r>
      <w:r w:rsidR="003761A0" w:rsidRPr="007579B0">
        <w:rPr>
          <w:lang w:val="pl-PL"/>
        </w:rPr>
        <w:t>nie ma zastosowania</w:t>
      </w:r>
      <w:r w:rsidR="00480504" w:rsidRPr="007579B0">
        <w:rPr>
          <w:lang w:val="pl-PL"/>
        </w:rPr>
        <w:t xml:space="preserve"> procedura wyznaczania adwokata przez izbę adwokacką</w:t>
      </w:r>
      <w:r w:rsidR="00F05398" w:rsidRPr="007579B0">
        <w:rPr>
          <w:lang w:val="pl-PL"/>
        </w:rPr>
        <w:t xml:space="preserve">. </w:t>
      </w:r>
      <w:r w:rsidR="00991B3C" w:rsidRPr="007579B0">
        <w:rPr>
          <w:lang w:val="pl-PL"/>
        </w:rPr>
        <w:t xml:space="preserve">Podobnie przepis, na podstawie którego wyznaczenie obrońcy jest obowiązkowe w odniesieniu do osób w wieku poniżej </w:t>
      </w:r>
      <w:r w:rsidR="00F05398" w:rsidRPr="007579B0">
        <w:rPr>
          <w:lang w:val="pl-PL"/>
        </w:rPr>
        <w:t xml:space="preserve">18 </w:t>
      </w:r>
      <w:r w:rsidR="00991B3C" w:rsidRPr="007579B0">
        <w:rPr>
          <w:lang w:val="pl-PL"/>
        </w:rPr>
        <w:t xml:space="preserve">lat, nadal nie ma zastosowania względem nieletnich aresztowanych </w:t>
      </w:r>
      <w:r w:rsidR="00870B7D">
        <w:rPr>
          <w:lang w:val="pl-PL"/>
        </w:rPr>
        <w:t>w związku z podejrzeniem</w:t>
      </w:r>
      <w:r w:rsidR="00991B3C" w:rsidRPr="007579B0">
        <w:rPr>
          <w:rStyle w:val="JuQuotChar"/>
          <w:sz w:val="20"/>
          <w:lang w:val="pl-PL"/>
        </w:rPr>
        <w:t xml:space="preserve"> popełnienia</w:t>
      </w:r>
      <w:r w:rsidR="00991B3C" w:rsidRPr="007579B0">
        <w:rPr>
          <w:lang w:val="pl-PL"/>
        </w:rPr>
        <w:t xml:space="preserve"> </w:t>
      </w:r>
      <w:r w:rsidR="00F05398" w:rsidRPr="007579B0">
        <w:rPr>
          <w:lang w:val="pl-PL"/>
        </w:rPr>
        <w:t xml:space="preserve">czynów objętych jurysdykcją Sądów Bezpieczeństwa Państwa. </w:t>
      </w:r>
      <w:r w:rsidR="00720B45" w:rsidRPr="007579B0">
        <w:rPr>
          <w:lang w:val="pl-PL"/>
        </w:rPr>
        <w:t xml:space="preserve">W związku z tym </w:t>
      </w:r>
      <w:r w:rsidRPr="007579B0">
        <w:rPr>
          <w:lang w:val="pl-PL"/>
        </w:rPr>
        <w:t>Komitet</w:t>
      </w:r>
      <w:r w:rsidR="00F05398" w:rsidRPr="007579B0">
        <w:rPr>
          <w:lang w:val="pl-PL"/>
        </w:rPr>
        <w:t xml:space="preserve"> </w:t>
      </w:r>
      <w:r w:rsidR="00720B45" w:rsidRPr="007579B0">
        <w:rPr>
          <w:lang w:val="pl-PL"/>
        </w:rPr>
        <w:t xml:space="preserve">przypomina zalecenie zawarte już w sprawozdaniu z wizyty przeprowadzonej w </w:t>
      </w:r>
      <w:r w:rsidR="00F05398" w:rsidRPr="007579B0">
        <w:rPr>
          <w:lang w:val="pl-PL"/>
        </w:rPr>
        <w:t>październik</w:t>
      </w:r>
      <w:r w:rsidR="00720B45" w:rsidRPr="007579B0">
        <w:rPr>
          <w:lang w:val="pl-PL"/>
        </w:rPr>
        <w:t>u</w:t>
      </w:r>
      <w:r w:rsidR="00F05398" w:rsidRPr="007579B0">
        <w:rPr>
          <w:lang w:val="pl-PL"/>
        </w:rPr>
        <w:t xml:space="preserve"> 1997</w:t>
      </w:r>
      <w:r w:rsidR="00720B45" w:rsidRPr="007579B0">
        <w:rPr>
          <w:lang w:val="pl-PL"/>
        </w:rPr>
        <w:t xml:space="preserve"> r.</w:t>
      </w:r>
      <w:r w:rsidR="00F05398" w:rsidRPr="007579B0">
        <w:rPr>
          <w:lang w:val="pl-PL"/>
        </w:rPr>
        <w:t xml:space="preserve">, </w:t>
      </w:r>
      <w:r w:rsidR="00720B45" w:rsidRPr="007579B0">
        <w:rPr>
          <w:lang w:val="pl-PL"/>
        </w:rPr>
        <w:t xml:space="preserve">by właściwe przepisy art. </w:t>
      </w:r>
      <w:r w:rsidR="00F05398" w:rsidRPr="007579B0">
        <w:rPr>
          <w:lang w:val="pl-PL"/>
        </w:rPr>
        <w:t xml:space="preserve">135, 136 </w:t>
      </w:r>
      <w:r w:rsidR="00720B45" w:rsidRPr="007579B0">
        <w:rPr>
          <w:lang w:val="pl-PL"/>
        </w:rPr>
        <w:t>i</w:t>
      </w:r>
      <w:r w:rsidR="00F05398" w:rsidRPr="007579B0">
        <w:rPr>
          <w:lang w:val="pl-PL"/>
        </w:rPr>
        <w:t xml:space="preserve"> 138 kodeksu </w:t>
      </w:r>
      <w:r w:rsidR="002173B8" w:rsidRPr="007579B0">
        <w:rPr>
          <w:lang w:val="pl-PL"/>
        </w:rPr>
        <w:t>postępowania karnego</w:t>
      </w:r>
      <w:r w:rsidR="00720B45" w:rsidRPr="007579B0">
        <w:rPr>
          <w:lang w:val="pl-PL"/>
        </w:rPr>
        <w:t xml:space="preserve"> miały zastosowanie względem osób podejrzanych o </w:t>
      </w:r>
      <w:r w:rsidR="00720B45" w:rsidRPr="007579B0">
        <w:rPr>
          <w:rStyle w:val="JuQuotChar"/>
          <w:sz w:val="20"/>
          <w:lang w:val="pl-PL"/>
        </w:rPr>
        <w:t>popełnienie</w:t>
      </w:r>
      <w:r w:rsidR="00720B45" w:rsidRPr="007579B0">
        <w:rPr>
          <w:lang w:val="pl-PL"/>
        </w:rPr>
        <w:t xml:space="preserve"> </w:t>
      </w:r>
      <w:r w:rsidR="00F05398" w:rsidRPr="007579B0">
        <w:rPr>
          <w:lang w:val="pl-PL"/>
        </w:rPr>
        <w:t>czynów objętych jurysdykcją Sądów Bezpieczeństwa Państwa.</w:t>
      </w:r>
      <w:r w:rsidR="00F05398" w:rsidRPr="007579B0">
        <w:rPr>
          <w:rStyle w:val="JuQuotChar"/>
          <w:lang w:val="pl-PL"/>
        </w:rPr>
        <w:t>”</w:t>
      </w:r>
    </w:p>
    <w:p w:rsidR="00F05398" w:rsidRPr="007579B0" w:rsidRDefault="00F05398" w:rsidP="00947D97">
      <w:pPr>
        <w:pStyle w:val="JuHa0"/>
        <w:rPr>
          <w:lang w:val="pl-PL"/>
        </w:rPr>
      </w:pPr>
      <w:r w:rsidRPr="007579B0">
        <w:rPr>
          <w:bCs/>
          <w:lang w:val="pl-PL"/>
        </w:rPr>
        <w:t>(b)  Narody Zjednoczone</w:t>
      </w:r>
    </w:p>
    <w:p w:rsidR="00F05398" w:rsidRPr="007579B0" w:rsidRDefault="00F05398" w:rsidP="009D4C68">
      <w:pPr>
        <w:pStyle w:val="JuH1"/>
        <w:rPr>
          <w:lang w:val="pl-PL"/>
        </w:rPr>
      </w:pPr>
      <w:r w:rsidRPr="007579B0">
        <w:rPr>
          <w:iCs/>
          <w:lang w:val="pl-PL"/>
        </w:rPr>
        <w:t>(i)  Międzynarodowy Pakt Praw Obywatelskich i Politycznych</w:t>
      </w:r>
    </w:p>
    <w:p w:rsidR="00F05398" w:rsidRPr="007579B0" w:rsidRDefault="00B73521" w:rsidP="00676C06">
      <w:pPr>
        <w:jc w:val="both"/>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41</w:t>
      </w:r>
      <w:r w:rsidRPr="007579B0">
        <w:rPr>
          <w:lang w:val="pl-PL"/>
        </w:rPr>
        <w:fldChar w:fldCharType="end"/>
      </w:r>
      <w:r w:rsidR="00F05398" w:rsidRPr="007579B0">
        <w:rPr>
          <w:lang w:val="pl-PL"/>
        </w:rPr>
        <w:t xml:space="preserve">.  Artykuł 14 ust. 3 lit. b) </w:t>
      </w:r>
      <w:r w:rsidR="00F05398" w:rsidRPr="007579B0">
        <w:rPr>
          <w:iCs/>
          <w:lang w:val="pl-PL"/>
        </w:rPr>
        <w:t>Międzynarodowego Paktu Praw Obywatelskich i Politycznych</w:t>
      </w:r>
      <w:r w:rsidR="00F05398" w:rsidRPr="007579B0">
        <w:rPr>
          <w:lang w:val="pl-PL"/>
        </w:rPr>
        <w:t xml:space="preserve"> stanowi, że każda osoba oskarżona o popełnienie przestępstwa ma prawo „d</w:t>
      </w:r>
      <w:r w:rsidR="00F05398" w:rsidRPr="007579B0">
        <w:rPr>
          <w:szCs w:val="24"/>
          <w:lang w:val="pl-PL" w:eastAsia="pl-PL"/>
        </w:rPr>
        <w:t>ysponowania odpowiednim czasem i możliwościami w celu przygotowania obrony i porozumienia się z obrońcą przez siebie wybranym</w:t>
      </w:r>
      <w:r w:rsidR="00F05398" w:rsidRPr="007579B0">
        <w:rPr>
          <w:szCs w:val="24"/>
          <w:lang w:val="pl-PL"/>
        </w:rPr>
        <w:t>”.</w:t>
      </w:r>
    </w:p>
    <w:p w:rsidR="00F05398" w:rsidRPr="007579B0" w:rsidRDefault="00F05398" w:rsidP="009D4C68">
      <w:pPr>
        <w:pStyle w:val="JuH1"/>
        <w:rPr>
          <w:lang w:val="pl-PL"/>
        </w:rPr>
      </w:pPr>
      <w:r w:rsidRPr="007579B0">
        <w:rPr>
          <w:iCs/>
          <w:lang w:val="pl-PL"/>
        </w:rPr>
        <w:t>(ii)  Komitet Przeciwko Torturom ONZ</w:t>
      </w:r>
    </w:p>
    <w:p w:rsidR="00F05398" w:rsidRPr="007579B0" w:rsidRDefault="00B73521" w:rsidP="00006772">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42</w:t>
      </w:r>
      <w:r w:rsidRPr="007579B0">
        <w:rPr>
          <w:lang w:val="pl-PL"/>
        </w:rPr>
        <w:fldChar w:fldCharType="end"/>
      </w:r>
      <w:r w:rsidR="00F05398" w:rsidRPr="007579B0">
        <w:rPr>
          <w:lang w:val="pl-PL"/>
        </w:rPr>
        <w:t>.  We Wnioskach i Zaleceniach dla Turcji z dnia 27 maja 2003 r. (CAT/C/CR/30/5) Komitet stwierdził, co następuje:</w:t>
      </w:r>
    </w:p>
    <w:p w:rsidR="00F05398" w:rsidRPr="007579B0" w:rsidRDefault="00F05398" w:rsidP="007577CF">
      <w:pPr>
        <w:pStyle w:val="JuQuot"/>
        <w:rPr>
          <w:lang w:val="pl-PL"/>
        </w:rPr>
      </w:pPr>
      <w:r w:rsidRPr="007579B0">
        <w:rPr>
          <w:lang w:val="pl-PL"/>
        </w:rPr>
        <w:t>„5.  Komitet wyraził zaniepokojenie odnośnie do</w:t>
      </w:r>
    </w:p>
    <w:p w:rsidR="00F05398" w:rsidRPr="007579B0" w:rsidRDefault="00F05398" w:rsidP="007577CF">
      <w:pPr>
        <w:pStyle w:val="JuQuot"/>
        <w:rPr>
          <w:lang w:val="pl-PL"/>
        </w:rPr>
      </w:pPr>
      <w:r w:rsidRPr="007579B0">
        <w:rPr>
          <w:lang w:val="pl-PL"/>
        </w:rPr>
        <w:t>...</w:t>
      </w:r>
    </w:p>
    <w:p w:rsidR="00F05398" w:rsidRPr="007579B0" w:rsidRDefault="00F05398" w:rsidP="007577CF">
      <w:pPr>
        <w:pStyle w:val="JuQuot"/>
        <w:rPr>
          <w:lang w:val="pl-PL"/>
        </w:rPr>
      </w:pPr>
      <w:r w:rsidRPr="007579B0">
        <w:rPr>
          <w:lang w:val="pl-PL"/>
        </w:rPr>
        <w:t>(c)  </w:t>
      </w:r>
      <w:r w:rsidR="001E18FE" w:rsidRPr="007579B0">
        <w:rPr>
          <w:lang w:val="pl-PL"/>
        </w:rPr>
        <w:t xml:space="preserve">zarzutów dotyczących odmowy niezwłocznego i właściwego dostępu do pomocy prawnej i lekarskiej osobom </w:t>
      </w:r>
      <w:r w:rsidR="001B192B">
        <w:rPr>
          <w:lang w:val="pl-PL"/>
        </w:rPr>
        <w:t>zatrzymanym</w:t>
      </w:r>
      <w:r w:rsidR="001E18FE" w:rsidRPr="007579B0">
        <w:rPr>
          <w:lang w:val="pl-PL"/>
        </w:rPr>
        <w:t xml:space="preserve"> przez policję oraz braku niezwłocznego powiadamiania członków rodziny o aresztowaniu takich osób</w:t>
      </w:r>
      <w:r w:rsidRPr="007579B0">
        <w:rPr>
          <w:lang w:val="pl-PL"/>
        </w:rPr>
        <w:t>;</w:t>
      </w:r>
    </w:p>
    <w:p w:rsidR="00F05398" w:rsidRPr="007579B0" w:rsidRDefault="00F05398" w:rsidP="007577CF">
      <w:pPr>
        <w:pStyle w:val="JuQuot"/>
        <w:rPr>
          <w:lang w:val="pl-PL"/>
        </w:rPr>
      </w:pPr>
      <w:r w:rsidRPr="007579B0">
        <w:rPr>
          <w:lang w:val="pl-PL"/>
        </w:rPr>
        <w:t>...</w:t>
      </w:r>
    </w:p>
    <w:p w:rsidR="00F05398" w:rsidRPr="007579B0" w:rsidRDefault="00F05398" w:rsidP="007577CF">
      <w:pPr>
        <w:pStyle w:val="JuQuot"/>
        <w:rPr>
          <w:lang w:val="pl-PL"/>
        </w:rPr>
      </w:pPr>
      <w:r w:rsidRPr="007579B0">
        <w:rPr>
          <w:lang w:val="pl-PL"/>
        </w:rPr>
        <w:t>7.  Komitet rekomenduje, by Państwo-Strona</w:t>
      </w:r>
    </w:p>
    <w:p w:rsidR="00F05398" w:rsidRPr="007579B0" w:rsidRDefault="00F05398" w:rsidP="007577CF">
      <w:pPr>
        <w:pStyle w:val="JuQuot"/>
        <w:rPr>
          <w:lang w:val="pl-PL"/>
        </w:rPr>
      </w:pPr>
      <w:r w:rsidRPr="007579B0">
        <w:rPr>
          <w:lang w:val="pl-PL"/>
        </w:rPr>
        <w:t xml:space="preserve">(a)  zapewniło, że osadzeni, w tym </w:t>
      </w:r>
      <w:r w:rsidR="001B192B">
        <w:rPr>
          <w:lang w:val="pl-PL"/>
        </w:rPr>
        <w:t>w związku z czynami objętymi</w:t>
      </w:r>
      <w:r w:rsidRPr="007579B0">
        <w:rPr>
          <w:lang w:val="pl-PL"/>
        </w:rPr>
        <w:t xml:space="preserve"> jurysdykcją Sądów Bezpieczeństwa Państwa, w praktyce w pełni korzystali z dostępnych zabezpieczeń przed złym traktowaniem i torturami, w szczególności poprzez zagwarantowanie prawa do pomocy lekarskiej i prawnej oraz do kontaktu z rodziną;</w:t>
      </w:r>
    </w:p>
    <w:p w:rsidR="00F05398" w:rsidRPr="007579B0" w:rsidRDefault="00F05398" w:rsidP="007577CF">
      <w:pPr>
        <w:pStyle w:val="JuQuot"/>
        <w:rPr>
          <w:lang w:val="pl-PL"/>
        </w:rPr>
      </w:pPr>
      <w:r w:rsidRPr="007579B0">
        <w:rPr>
          <w:lang w:val="pl-PL"/>
        </w:rPr>
        <w:t>...”</w:t>
      </w:r>
    </w:p>
    <w:p w:rsidR="00F05398" w:rsidRPr="007579B0" w:rsidRDefault="00B73521" w:rsidP="007577CF">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43</w:t>
      </w:r>
      <w:r w:rsidRPr="007579B0">
        <w:rPr>
          <w:lang w:val="pl-PL"/>
        </w:rPr>
        <w:fldChar w:fldCharType="end"/>
      </w:r>
      <w:r w:rsidR="00F05398" w:rsidRPr="007579B0">
        <w:rPr>
          <w:lang w:val="pl-PL"/>
        </w:rPr>
        <w:t>.  W Uwagach Ogólnych nr 2 z dnia 24 stycznia 2008 r. (CAT/C/GC/2) Komitet stwierdził:</w:t>
      </w:r>
    </w:p>
    <w:p w:rsidR="00F05398" w:rsidRPr="007579B0" w:rsidRDefault="00F05398" w:rsidP="00F93C8B">
      <w:pPr>
        <w:pStyle w:val="JuQuot"/>
        <w:rPr>
          <w:lang w:val="pl-PL"/>
        </w:rPr>
      </w:pPr>
      <w:r w:rsidRPr="007579B0">
        <w:rPr>
          <w:lang w:val="pl-PL"/>
        </w:rPr>
        <w:t>„13.  Pewne podstawowe gwarancje mają zastosowanie względem wszystkich osób pozbawionych wolności. Niektóre z nich wskazano w Konwencji, a Komitet konsekwentnie wzywa Państwa-Strony do ich stosowania. Celem zaleceń Komitetu dotyczących skutecznych środków jest wyjaśnienie bieżących zasad. Nie mają one charakteru wyczerpującego. Gwarancje obejmują między innymi ... prawo do bezzwłocznego otrzymania niezależnej pomocy prawnej ...”</w:t>
      </w:r>
    </w:p>
    <w:p w:rsidR="00F05398" w:rsidRPr="007579B0" w:rsidRDefault="00F05398" w:rsidP="00947D97">
      <w:pPr>
        <w:pStyle w:val="JuHa0"/>
        <w:rPr>
          <w:lang w:val="pl-PL"/>
        </w:rPr>
      </w:pPr>
      <w:r w:rsidRPr="007579B0">
        <w:rPr>
          <w:bCs/>
          <w:lang w:val="pl-PL"/>
        </w:rPr>
        <w:t>(c)  Unia Europejska</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44</w:t>
      </w:r>
      <w:r w:rsidRPr="007579B0">
        <w:rPr>
          <w:lang w:val="pl-PL"/>
        </w:rPr>
        <w:fldChar w:fldCharType="end"/>
      </w:r>
      <w:r w:rsidR="00F05398" w:rsidRPr="007579B0">
        <w:rPr>
          <w:lang w:val="pl-PL"/>
        </w:rPr>
        <w:t>.  Artykuł 48 Karty Pr</w:t>
      </w:r>
      <w:r w:rsidR="00F01933">
        <w:rPr>
          <w:lang w:val="pl-PL"/>
        </w:rPr>
        <w:t>aw Podstawowych stanowi, że „k</w:t>
      </w:r>
      <w:r w:rsidR="00F05398" w:rsidRPr="007579B0">
        <w:rPr>
          <w:lang w:val="pl-PL"/>
        </w:rPr>
        <w:t>ażdemu oskarżonemu gwarantuje się poszanowanie prawa do obrony”. Artykuł 52 ust. 3 stanowi z kolei, iż znaczenie i zakres praw zagwarantowanych artykułem 48 są takie same jak praw przyznanych przez Europejską Konwencję Praw Człowieka.</w:t>
      </w:r>
    </w:p>
    <w:p w:rsidR="00F05398" w:rsidRPr="007579B0" w:rsidRDefault="00F05398" w:rsidP="00947D97">
      <w:pPr>
        <w:pStyle w:val="JuHHead"/>
        <w:rPr>
          <w:lang w:val="pl-PL"/>
        </w:rPr>
      </w:pPr>
      <w:r w:rsidRPr="007579B0">
        <w:rPr>
          <w:lang w:val="pl-PL"/>
        </w:rPr>
        <w:t>PRAWO</w:t>
      </w:r>
    </w:p>
    <w:p w:rsidR="00F05398" w:rsidRPr="007579B0" w:rsidRDefault="00F05398" w:rsidP="00947D97">
      <w:pPr>
        <w:pStyle w:val="JuHIRoman"/>
        <w:rPr>
          <w:lang w:val="pl-PL"/>
        </w:rPr>
      </w:pPr>
      <w:r w:rsidRPr="007579B0">
        <w:rPr>
          <w:lang w:val="pl-PL"/>
        </w:rPr>
        <w:t>I.  ZARZUT NARUSZENIA ARTYKUŁU 6 UST. 1 KONWENCJI</w:t>
      </w:r>
    </w:p>
    <w:p w:rsidR="00F05398" w:rsidRPr="007579B0" w:rsidRDefault="00F05398" w:rsidP="00947D97">
      <w:pPr>
        <w:pStyle w:val="JuHA"/>
        <w:rPr>
          <w:lang w:val="pl-PL"/>
        </w:rPr>
      </w:pPr>
      <w:r w:rsidRPr="007579B0">
        <w:rPr>
          <w:bCs/>
          <w:lang w:val="pl-PL"/>
        </w:rPr>
        <w:t>A.  Prawo dostępu do adwokata w okresie aresztu policyjnego</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45</w:t>
      </w:r>
      <w:r w:rsidRPr="007579B0">
        <w:rPr>
          <w:lang w:val="pl-PL"/>
        </w:rPr>
        <w:fldChar w:fldCharType="end"/>
      </w:r>
      <w:r w:rsidR="00F05398" w:rsidRPr="007579B0">
        <w:rPr>
          <w:lang w:val="pl-PL"/>
        </w:rPr>
        <w:t>.  Skarżący zarzucił w szczególności, że jego prawa do obrony zostały naruszone w ten sposób, iż odmówiono mu dostępu do adwokata, kiedy pr</w:t>
      </w:r>
      <w:r w:rsidR="00ED12AE" w:rsidRPr="007579B0">
        <w:rPr>
          <w:lang w:val="pl-PL"/>
        </w:rPr>
        <w:t xml:space="preserve">zebywał w areszcie policyjnym. </w:t>
      </w:r>
      <w:r w:rsidR="00F05398" w:rsidRPr="007579B0">
        <w:rPr>
          <w:lang w:val="pl-PL"/>
        </w:rPr>
        <w:t xml:space="preserve">Skarżący </w:t>
      </w:r>
      <w:r w:rsidR="00ED12AE" w:rsidRPr="007579B0">
        <w:rPr>
          <w:lang w:val="pl-PL"/>
        </w:rPr>
        <w:t xml:space="preserve">odniósł się do </w:t>
      </w:r>
      <w:r w:rsidR="00F05398" w:rsidRPr="007579B0">
        <w:rPr>
          <w:lang w:val="pl-PL"/>
        </w:rPr>
        <w:t>artykuł</w:t>
      </w:r>
      <w:r w:rsidR="00ED12AE" w:rsidRPr="007579B0">
        <w:rPr>
          <w:lang w:val="pl-PL"/>
        </w:rPr>
        <w:t>u</w:t>
      </w:r>
      <w:r w:rsidR="00F05398" w:rsidRPr="007579B0">
        <w:rPr>
          <w:lang w:val="pl-PL"/>
        </w:rPr>
        <w:t xml:space="preserve"> 6 ust. 3 lit. c) Konwencji, który stanowi:</w:t>
      </w:r>
    </w:p>
    <w:p w:rsidR="00F05398" w:rsidRPr="007579B0" w:rsidRDefault="00F05398" w:rsidP="00947D97">
      <w:pPr>
        <w:pStyle w:val="JuQuot"/>
        <w:rPr>
          <w:lang w:val="pl-PL"/>
        </w:rPr>
      </w:pPr>
      <w:r w:rsidRPr="007579B0">
        <w:rPr>
          <w:lang w:val="pl-PL"/>
        </w:rPr>
        <w:t>„3.  Każdy oskarżony o popełnienie czynu zagrożonego karą ma co najmniej prawo do:</w:t>
      </w:r>
    </w:p>
    <w:p w:rsidR="00F05398" w:rsidRPr="007579B0" w:rsidRDefault="00F05398" w:rsidP="00947D97">
      <w:pPr>
        <w:pStyle w:val="JuQuot"/>
        <w:rPr>
          <w:lang w:val="pl-PL"/>
        </w:rPr>
      </w:pPr>
      <w:r w:rsidRPr="007579B0">
        <w:rPr>
          <w:lang w:val="pl-PL"/>
        </w:rPr>
        <w:t>...</w:t>
      </w:r>
    </w:p>
    <w:p w:rsidR="00F05398" w:rsidRPr="007579B0" w:rsidRDefault="00F05398" w:rsidP="00947D97">
      <w:pPr>
        <w:pStyle w:val="JuQuot"/>
        <w:rPr>
          <w:lang w:val="pl-PL"/>
        </w:rPr>
      </w:pPr>
      <w:r w:rsidRPr="007579B0">
        <w:rPr>
          <w:lang w:val="pl-PL"/>
        </w:rPr>
        <w:t>(c) bronienia się osobiście lub przez ustanowionego przez siebie obrońcę, a jeśli nie ma wystarczających środków na pokrycie kosztów obrony - do bezpłatnego korzystania z pomocy obrońcy wyznaczonego z urzędu, gdy wymaga tego dobro wymiaru sprawiedliwości.”</w:t>
      </w:r>
    </w:p>
    <w:p w:rsidR="00F05398" w:rsidRPr="007579B0" w:rsidRDefault="00F05398" w:rsidP="00947D97">
      <w:pPr>
        <w:pStyle w:val="JuH1"/>
        <w:rPr>
          <w:lang w:val="pl-PL"/>
        </w:rPr>
      </w:pPr>
      <w:r w:rsidRPr="007579B0">
        <w:rPr>
          <w:iCs/>
          <w:lang w:val="pl-PL"/>
        </w:rPr>
        <w:t>1.  Wyrok Izby</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46</w:t>
      </w:r>
      <w:r w:rsidRPr="007579B0">
        <w:rPr>
          <w:lang w:val="pl-PL"/>
        </w:rPr>
        <w:fldChar w:fldCharType="end"/>
      </w:r>
      <w:r w:rsidR="00F05398" w:rsidRPr="007579B0">
        <w:rPr>
          <w:lang w:val="pl-PL"/>
        </w:rPr>
        <w:t xml:space="preserve">.  W wyroku z dnia 26 kwietnia 2007 r. Izba uznała, że nie doszło do naruszenia artykułu 6 ust. 3 lit. c) Konwencji. W tym względzie Izba podkreśliła, że w trakcie procesu i postępowania apelacyjnego skarżącego reprezentował adwokat oraz że </w:t>
      </w:r>
      <w:r w:rsidR="00D7709A">
        <w:rPr>
          <w:lang w:val="pl-PL"/>
        </w:rPr>
        <w:t>wyjaśnienia</w:t>
      </w:r>
      <w:r w:rsidR="00F05398" w:rsidRPr="007579B0">
        <w:rPr>
          <w:lang w:val="pl-PL"/>
        </w:rPr>
        <w:t xml:space="preserve"> ska</w:t>
      </w:r>
      <w:r w:rsidR="00D7709A">
        <w:rPr>
          <w:lang w:val="pl-PL"/>
        </w:rPr>
        <w:t>rżącego na policji nie stanowiły</w:t>
      </w:r>
      <w:r w:rsidR="00F05398" w:rsidRPr="007579B0">
        <w:rPr>
          <w:lang w:val="pl-PL"/>
        </w:rPr>
        <w:t xml:space="preserve"> jedynej podstawy skazania. W opinii Izby skarżący miał możliwość kwestionowania zarzutów prokuratury na warunkach, które </w:t>
      </w:r>
      <w:r w:rsidR="00716B80" w:rsidRPr="007579B0">
        <w:rPr>
          <w:lang w:val="pl-PL"/>
        </w:rPr>
        <w:t>nie stawiały go w sytuacji istotnie niekorzystnej w stosunku do strony przeciwnej.</w:t>
      </w:r>
      <w:r w:rsidR="00F05398" w:rsidRPr="007579B0">
        <w:rPr>
          <w:lang w:val="pl-PL"/>
        </w:rPr>
        <w:t xml:space="preserve"> Izba zauważyła także, iż skazując skarżącego</w:t>
      </w:r>
      <w:r w:rsidR="00ED12AE" w:rsidRPr="007579B0">
        <w:rPr>
          <w:lang w:val="pl-PL"/>
        </w:rPr>
        <w:t>,</w:t>
      </w:r>
      <w:r w:rsidR="00F05398" w:rsidRPr="007579B0">
        <w:rPr>
          <w:lang w:val="pl-PL"/>
        </w:rPr>
        <w:t xml:space="preserve"> Sąd Bezpieczeństwa Państwa w Izmirze uwzględnił okoliczności zatrzymania skarżącego, opinię biegłego dotyczącą pisma odręcznego na transparencie oraz zeznania świad</w:t>
      </w:r>
      <w:r w:rsidR="00ED12AE" w:rsidRPr="007579B0">
        <w:rPr>
          <w:lang w:val="pl-PL"/>
        </w:rPr>
        <w:t>ków</w:t>
      </w:r>
      <w:r w:rsidR="00F05398" w:rsidRPr="007579B0">
        <w:rPr>
          <w:lang w:val="pl-PL"/>
        </w:rPr>
        <w:t>. W związku z powyższym Izba uznała, że brak pomocy prawnej w okresie areszt</w:t>
      </w:r>
      <w:r w:rsidR="00ED12AE" w:rsidRPr="007579B0">
        <w:rPr>
          <w:lang w:val="pl-PL"/>
        </w:rPr>
        <w:t>owania</w:t>
      </w:r>
      <w:r w:rsidR="00F05398" w:rsidRPr="007579B0">
        <w:rPr>
          <w:lang w:val="pl-PL"/>
        </w:rPr>
        <w:t xml:space="preserve"> policyjnego nie miał wpływu na rzetelność procesu skarżącego.</w:t>
      </w:r>
    </w:p>
    <w:p w:rsidR="00F05398" w:rsidRPr="007579B0" w:rsidRDefault="00F05398" w:rsidP="00947D97">
      <w:pPr>
        <w:pStyle w:val="JuH1"/>
        <w:rPr>
          <w:lang w:val="pl-PL"/>
        </w:rPr>
      </w:pPr>
      <w:r w:rsidRPr="007579B0">
        <w:rPr>
          <w:iCs/>
          <w:lang w:val="pl-PL"/>
        </w:rPr>
        <w:t>2.  Oświadczenia stron</w:t>
      </w:r>
    </w:p>
    <w:p w:rsidR="00F05398" w:rsidRPr="007579B0" w:rsidRDefault="00F05398" w:rsidP="00006772">
      <w:pPr>
        <w:pStyle w:val="JuHa0"/>
        <w:rPr>
          <w:lang w:val="pl-PL"/>
        </w:rPr>
      </w:pPr>
      <w:r w:rsidRPr="007579B0">
        <w:rPr>
          <w:bCs/>
          <w:lang w:val="pl-PL"/>
        </w:rPr>
        <w:t>(a) Skarżący</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47</w:t>
      </w:r>
      <w:r w:rsidRPr="007579B0">
        <w:rPr>
          <w:lang w:val="pl-PL"/>
        </w:rPr>
        <w:fldChar w:fldCharType="end"/>
      </w:r>
      <w:r w:rsidR="00F05398" w:rsidRPr="007579B0">
        <w:rPr>
          <w:lang w:val="pl-PL"/>
        </w:rPr>
        <w:t xml:space="preserve">.  Skarżący zakwestionował </w:t>
      </w:r>
      <w:r w:rsidR="00D7709A">
        <w:rPr>
          <w:lang w:val="pl-PL"/>
        </w:rPr>
        <w:t>ustalenia, na podstawie</w:t>
      </w:r>
      <w:r w:rsidR="00F05398" w:rsidRPr="007579B0">
        <w:rPr>
          <w:lang w:val="pl-PL"/>
        </w:rPr>
        <w:t xml:space="preserve"> których Izba uznała, że nie doszło do naruszenia artykułu 6 ust. 3 lit. c) Konwencji. Stwierdził, że pomoc adwokata w okresie zatrzymania przez policję stanowiła podstawowe prawo. Przypomniał Trybunałowi, że całość dowodów wykorzystanych przeciwko niemu została zgromadzona na wstępnym etapie dochodzenia, kiedy to odmawiano mu pomocy adwokata. W tym miejscu skarżący argumentował również, iż mimo skazania przez sąd krajowy, nie było dowodów potwierdzających jego winę. Skarżący oświadczył także, iż </w:t>
      </w:r>
      <w:r w:rsidR="00716B80" w:rsidRPr="007579B0">
        <w:rPr>
          <w:lang w:val="pl-PL"/>
        </w:rPr>
        <w:t xml:space="preserve">w trakcie aresztowania policyjnego został poddany złemu traktowaniu </w:t>
      </w:r>
      <w:r w:rsidR="00F05398" w:rsidRPr="007579B0">
        <w:rPr>
          <w:lang w:val="pl-PL"/>
        </w:rPr>
        <w:t xml:space="preserve">oraz że </w:t>
      </w:r>
      <w:r w:rsidR="00CC5446">
        <w:rPr>
          <w:lang w:val="pl-PL"/>
        </w:rPr>
        <w:t>wyjaśnienia</w:t>
      </w:r>
      <w:r w:rsidR="00F05398" w:rsidRPr="007579B0">
        <w:rPr>
          <w:lang w:val="pl-PL"/>
        </w:rPr>
        <w:t xml:space="preserve"> złożone na policji </w:t>
      </w:r>
      <w:r w:rsidR="00716B80" w:rsidRPr="007579B0">
        <w:rPr>
          <w:lang w:val="pl-PL"/>
        </w:rPr>
        <w:t xml:space="preserve">podpisał </w:t>
      </w:r>
      <w:r w:rsidR="00F05398" w:rsidRPr="007579B0">
        <w:rPr>
          <w:lang w:val="pl-PL"/>
        </w:rPr>
        <w:t xml:space="preserve">pod przymusem. </w:t>
      </w:r>
      <w:r w:rsidR="00ED12AE" w:rsidRPr="007579B0">
        <w:rPr>
          <w:lang w:val="pl-PL"/>
        </w:rPr>
        <w:t xml:space="preserve">Sąd Bezpieczeństwa Państwa w Izmirze </w:t>
      </w:r>
      <w:r w:rsidR="00F05398" w:rsidRPr="007579B0">
        <w:rPr>
          <w:lang w:val="pl-PL"/>
        </w:rPr>
        <w:t>wykorzystał</w:t>
      </w:r>
      <w:r w:rsidR="00ED12AE" w:rsidRPr="007579B0">
        <w:rPr>
          <w:lang w:val="pl-PL"/>
        </w:rPr>
        <w:t xml:space="preserve"> to oświadczenie</w:t>
      </w:r>
      <w:r w:rsidR="00F05398" w:rsidRPr="007579B0">
        <w:rPr>
          <w:lang w:val="pl-PL"/>
        </w:rPr>
        <w:t>, mimo że skarżący jednoznacznie wycofał je w obecności prokuratora, sędziego śledczego oraz podczas procesu. Skarżący podkreślił, że w przedmiotowym czasie był nieletni i nie był wcześniej karany. W swoim oświadczeniu stwierdził, że ze względu na pow</w:t>
      </w:r>
      <w:r w:rsidR="00E11270" w:rsidRPr="007579B0">
        <w:rPr>
          <w:lang w:val="pl-PL"/>
        </w:rPr>
        <w:t>agę przedstawionych mu zarzutów</w:t>
      </w:r>
      <w:r w:rsidR="00F05398" w:rsidRPr="007579B0">
        <w:rPr>
          <w:lang w:val="pl-PL"/>
        </w:rPr>
        <w:t xml:space="preserve"> brak pomocy prawnej stanowił naruszenie prawa do rzetelnego procesu. Oświadczył również, że Rząd nie przedstawił właściwej podstawy uzasadniającej brak pomocy prawnej.</w:t>
      </w:r>
    </w:p>
    <w:p w:rsidR="00F05398" w:rsidRPr="007579B0" w:rsidRDefault="00F05398" w:rsidP="00947D97">
      <w:pPr>
        <w:pStyle w:val="JuHa0"/>
        <w:rPr>
          <w:lang w:val="pl-PL"/>
        </w:rPr>
      </w:pPr>
      <w:r w:rsidRPr="007579B0">
        <w:rPr>
          <w:bCs/>
          <w:lang w:val="pl-PL"/>
        </w:rPr>
        <w:t>(b)  Rząd</w:t>
      </w:r>
    </w:p>
    <w:p w:rsidR="00F05398" w:rsidRPr="007579B0" w:rsidRDefault="00B73521" w:rsidP="00A5398D">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48</w:t>
      </w:r>
      <w:r w:rsidRPr="007579B0">
        <w:rPr>
          <w:lang w:val="pl-PL"/>
        </w:rPr>
        <w:fldChar w:fldCharType="end"/>
      </w:r>
      <w:r w:rsidR="00F05398" w:rsidRPr="007579B0">
        <w:rPr>
          <w:lang w:val="pl-PL"/>
        </w:rPr>
        <w:t>.  Rząd zwrócił się do Wielkiej Izby z prośbą o potwier</w:t>
      </w:r>
      <w:r w:rsidR="00A5398D">
        <w:rPr>
          <w:lang w:val="pl-PL"/>
        </w:rPr>
        <w:t xml:space="preserve">dzenie </w:t>
      </w:r>
      <w:r w:rsidR="00F05398" w:rsidRPr="007579B0">
        <w:rPr>
          <w:lang w:val="pl-PL"/>
        </w:rPr>
        <w:t>ustalenia Izby, iż nie doszło do naruszenia artykułu 6 ust. 3 lit. c) Konwencji. Po pierwsze Rząd oświadczył, że w 2005 r. ustawodawstwo zostało zmienione. Ponadto, według oświadczenia Rządu, nałożone ograniczenie dostępu skarżącego do adwokata nie naruszało jego prawa do rzetelnego procesu wynikającego z art</w:t>
      </w:r>
      <w:r w:rsidR="00E11270" w:rsidRPr="007579B0">
        <w:rPr>
          <w:lang w:val="pl-PL"/>
        </w:rPr>
        <w:t>ykułu</w:t>
      </w:r>
      <w:r w:rsidR="00F05398" w:rsidRPr="007579B0">
        <w:rPr>
          <w:lang w:val="pl-PL"/>
        </w:rPr>
        <w:t xml:space="preserve"> 6 Konwencji. Odnosząc się do orzecznictwa Trybunału (zob. w szczególności </w:t>
      </w:r>
      <w:r w:rsidR="00F05398" w:rsidRPr="007579B0">
        <w:rPr>
          <w:i/>
          <w:iCs/>
          <w:lang w:val="pl-PL"/>
        </w:rPr>
        <w:t>Imbrioscia przeciwko Szwajcarii</w:t>
      </w:r>
      <w:r w:rsidR="00F05398" w:rsidRPr="007579B0">
        <w:rPr>
          <w:lang w:val="pl-PL"/>
        </w:rPr>
        <w:t xml:space="preserve">, 24 listopada 1993 r., Seria A nr 275; </w:t>
      </w:r>
      <w:r w:rsidR="00F05398" w:rsidRPr="007579B0">
        <w:rPr>
          <w:i/>
          <w:iCs/>
          <w:lang w:val="pl-PL"/>
        </w:rPr>
        <w:t>John Murray przeciwko Zjednoczonemu Królestwu</w:t>
      </w:r>
      <w:r w:rsidR="00F05398" w:rsidRPr="007579B0">
        <w:rPr>
          <w:lang w:val="pl-PL"/>
        </w:rPr>
        <w:t xml:space="preserve">, 8 lutego 1996 r., </w:t>
      </w:r>
      <w:r w:rsidR="00F05398" w:rsidRPr="007579B0">
        <w:rPr>
          <w:i/>
          <w:iCs/>
          <w:lang w:val="pl-PL"/>
        </w:rPr>
        <w:t>Raporty Wyroków i Decyzji</w:t>
      </w:r>
      <w:r w:rsidR="00F05398" w:rsidRPr="007579B0">
        <w:rPr>
          <w:lang w:val="pl-PL"/>
        </w:rPr>
        <w:t xml:space="preserve"> 1996</w:t>
      </w:r>
      <w:r w:rsidR="00F05398" w:rsidRPr="007579B0">
        <w:rPr>
          <w:lang w:val="pl-PL"/>
        </w:rPr>
        <w:noBreakHyphen/>
        <w:t xml:space="preserve">I; </w:t>
      </w:r>
      <w:r w:rsidR="00F05398" w:rsidRPr="007579B0">
        <w:rPr>
          <w:i/>
          <w:iCs/>
          <w:lang w:val="pl-PL"/>
        </w:rPr>
        <w:t>Averill przeciwko Zjednoczonemu Królestwu</w:t>
      </w:r>
      <w:r w:rsidR="00F05398" w:rsidRPr="007579B0">
        <w:rPr>
          <w:lang w:val="pl-PL"/>
        </w:rPr>
        <w:t>, nr 36408/97, ETPCz 2000</w:t>
      </w:r>
      <w:r w:rsidR="00F05398" w:rsidRPr="007579B0">
        <w:rPr>
          <w:lang w:val="pl-PL"/>
        </w:rPr>
        <w:noBreakHyphen/>
        <w:t xml:space="preserve">VI; </w:t>
      </w:r>
      <w:r w:rsidR="00F05398" w:rsidRPr="007579B0">
        <w:rPr>
          <w:i/>
          <w:iCs/>
          <w:lang w:val="pl-PL"/>
        </w:rPr>
        <w:t>Magee przeciwko Zjednoczonemu Królestwu</w:t>
      </w:r>
      <w:r w:rsidR="004249F8">
        <w:rPr>
          <w:lang w:val="pl-PL"/>
        </w:rPr>
        <w:t xml:space="preserve">, nr 28135/95, </w:t>
      </w:r>
      <w:proofErr w:type="spellStart"/>
      <w:r w:rsidR="004249F8">
        <w:rPr>
          <w:lang w:val="pl-PL"/>
        </w:rPr>
        <w:t>ETPCz</w:t>
      </w:r>
      <w:proofErr w:type="spellEnd"/>
      <w:r w:rsidR="004249F8">
        <w:rPr>
          <w:lang w:val="pl-PL"/>
        </w:rPr>
        <w:t xml:space="preserve"> 2000</w:t>
      </w:r>
      <w:r w:rsidR="004249F8">
        <w:rPr>
          <w:lang w:val="pl-PL"/>
        </w:rPr>
        <w:noBreakHyphen/>
        <w:t>VI</w:t>
      </w:r>
      <w:r w:rsidR="00F05398" w:rsidRPr="007579B0">
        <w:rPr>
          <w:lang w:val="pl-PL"/>
        </w:rPr>
        <w:t xml:space="preserve"> oraz </w:t>
      </w:r>
      <w:r w:rsidR="00F05398" w:rsidRPr="007579B0">
        <w:rPr>
          <w:i/>
          <w:iCs/>
          <w:lang w:val="pl-PL"/>
        </w:rPr>
        <w:t>Brennan przeciwko Zjednoczonemu Królestwu</w:t>
      </w:r>
      <w:r w:rsidR="00F05398" w:rsidRPr="007579B0">
        <w:rPr>
          <w:lang w:val="pl-PL"/>
        </w:rPr>
        <w:t>, nr 39846/98, ETPCz 2001</w:t>
      </w:r>
      <w:r w:rsidR="00F05398" w:rsidRPr="007579B0">
        <w:rPr>
          <w:lang w:val="pl-PL"/>
        </w:rPr>
        <w:noBreakHyphen/>
        <w:t>X), Rząd oznajmił, iż przy ocenie rzetelności procesu uwzględnić należy całość postępowania. Zatem, skoro podczas postępowania przed Sądem Bezpieczeństwa Państwa w Izmirze oraz przed Sądem Kasacyjnym</w:t>
      </w:r>
      <w:r w:rsidR="00E11270" w:rsidRPr="007579B0">
        <w:rPr>
          <w:lang w:val="pl-PL"/>
        </w:rPr>
        <w:t xml:space="preserve"> s</w:t>
      </w:r>
      <w:r w:rsidR="004249F8">
        <w:rPr>
          <w:lang w:val="pl-PL"/>
        </w:rPr>
        <w:t>karżącego reprezentował adwokat</w:t>
      </w:r>
      <w:r w:rsidR="00F05398" w:rsidRPr="007579B0">
        <w:rPr>
          <w:lang w:val="pl-PL"/>
        </w:rPr>
        <w:t xml:space="preserve">, jego prawo do rzetelnego procesu nie zostało naruszone. W dalszej kolejności Rząd zwrócił uwagę na kilka spraw przeciwko Turcji (zob. </w:t>
      </w:r>
      <w:r w:rsidR="00F05398" w:rsidRPr="007579B0">
        <w:rPr>
          <w:i/>
          <w:iCs/>
          <w:lang w:val="pl-PL"/>
        </w:rPr>
        <w:t>Saraç przeciwko Turcji</w:t>
      </w:r>
      <w:r w:rsidR="00F05398" w:rsidRPr="007579B0">
        <w:rPr>
          <w:lang w:val="pl-PL"/>
        </w:rPr>
        <w:t xml:space="preserve"> (dec.), nr 35841/97, 2 września 2004 r.; </w:t>
      </w:r>
      <w:r w:rsidR="00F05398" w:rsidRPr="007579B0">
        <w:rPr>
          <w:i/>
          <w:iCs/>
          <w:lang w:val="pl-PL"/>
        </w:rPr>
        <w:t xml:space="preserve">Yurtsever przeciwko Turcji </w:t>
      </w:r>
      <w:r w:rsidR="00F05398" w:rsidRPr="007579B0">
        <w:rPr>
          <w:lang w:val="pl-PL"/>
        </w:rPr>
        <w:t xml:space="preserve"> (dec.), nr 42086/02, 31 sierpnia 2006 r.; </w:t>
      </w:r>
      <w:r w:rsidR="00F05398" w:rsidRPr="007579B0">
        <w:rPr>
          <w:i/>
          <w:iCs/>
          <w:lang w:val="pl-PL"/>
        </w:rPr>
        <w:t>Uçma przeciwko Turcji</w:t>
      </w:r>
      <w:r w:rsidR="00F05398" w:rsidRPr="007579B0">
        <w:rPr>
          <w:lang w:val="pl-PL"/>
        </w:rPr>
        <w:t xml:space="preserve"> (dec.), nr 15071/03, 3 października 2006 r.; </w:t>
      </w:r>
      <w:r w:rsidR="00F05398" w:rsidRPr="007579B0">
        <w:rPr>
          <w:i/>
          <w:iCs/>
          <w:lang w:val="pl-PL"/>
        </w:rPr>
        <w:t>Yavuz</w:t>
      </w:r>
      <w:r w:rsidR="00F05398" w:rsidRPr="007579B0">
        <w:rPr>
          <w:lang w:val="pl-PL"/>
        </w:rPr>
        <w:t xml:space="preserve"> </w:t>
      </w:r>
      <w:r w:rsidR="00F05398" w:rsidRPr="007579B0">
        <w:rPr>
          <w:i/>
          <w:iCs/>
          <w:lang w:val="pl-PL"/>
        </w:rPr>
        <w:t>i Inni przeciwko Turcji</w:t>
      </w:r>
      <w:r w:rsidR="00F05398" w:rsidRPr="007579B0">
        <w:rPr>
          <w:lang w:val="pl-PL"/>
        </w:rPr>
        <w:t xml:space="preserve"> (dec.), nr 38827/02, 21 listopada 2006 r.</w:t>
      </w:r>
      <w:r w:rsidR="00D33EB1" w:rsidRPr="007579B0">
        <w:rPr>
          <w:lang w:val="pl-PL"/>
        </w:rPr>
        <w:t xml:space="preserve"> </w:t>
      </w:r>
      <w:r w:rsidR="00F05398" w:rsidRPr="007579B0">
        <w:rPr>
          <w:lang w:val="pl-PL"/>
        </w:rPr>
        <w:t xml:space="preserve">oraz </w:t>
      </w:r>
      <w:r w:rsidR="00F05398" w:rsidRPr="007579B0">
        <w:rPr>
          <w:i/>
          <w:iCs/>
          <w:lang w:val="pl-PL"/>
        </w:rPr>
        <w:t>Yıldız przeciwko Turkey</w:t>
      </w:r>
      <w:r w:rsidR="00F05398" w:rsidRPr="007579B0">
        <w:rPr>
          <w:lang w:val="pl-PL"/>
        </w:rPr>
        <w:t xml:space="preserve"> (dec.), nr 3543/03 i 3557/03, 5 grudnia 2006 r.), w których Trybunał uznał podobne skargi za niedopuszczalne jako oczywiście bezzasadne </w:t>
      </w:r>
      <w:r w:rsidR="004249F8">
        <w:rPr>
          <w:lang w:val="pl-PL"/>
        </w:rPr>
        <w:t>z tego powodu</w:t>
      </w:r>
      <w:r w:rsidR="00F05398" w:rsidRPr="007579B0">
        <w:rPr>
          <w:lang w:val="pl-PL"/>
        </w:rPr>
        <w:t>, że skoro zeznania na policji nie stanowiły jedynego dowodu, na podstawie którego wydano wyrok skazujący, brak pomocy prawnej na etapie aresztu policyjnego nie skutkował naruszeniem artykułu 6 Konwencji.</w:t>
      </w:r>
    </w:p>
    <w:p w:rsidR="00F05398" w:rsidRPr="007579B0" w:rsidRDefault="00B73521" w:rsidP="00A5398D">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49</w:t>
      </w:r>
      <w:r w:rsidRPr="007579B0">
        <w:rPr>
          <w:lang w:val="pl-PL"/>
        </w:rPr>
        <w:fldChar w:fldCharType="end"/>
      </w:r>
      <w:r w:rsidR="00F05398" w:rsidRPr="007579B0">
        <w:rPr>
          <w:lang w:val="pl-PL"/>
        </w:rPr>
        <w:t>.  Wracając do faktów niniejszej sprawy, Rząd oświadczył, że w czasie objęcia</w:t>
      </w:r>
      <w:r w:rsidR="004249F8">
        <w:rPr>
          <w:lang w:val="pl-PL"/>
        </w:rPr>
        <w:t xml:space="preserve"> skarżącego aresztem policyjnym</w:t>
      </w:r>
      <w:r w:rsidR="00F05398" w:rsidRPr="007579B0">
        <w:rPr>
          <w:lang w:val="pl-PL"/>
        </w:rPr>
        <w:t xml:space="preserve"> skarżącemu przypomniano, że ma prawo do zachowania milczenia oraz że w trakcie późniejszego postępowania karnego adwokat skarżącego miał możliwość kwestionowania zarzutów prokuratury. Wreszcie Rząd podkreślił, że złożone na policji </w:t>
      </w:r>
      <w:r w:rsidR="004249F8">
        <w:rPr>
          <w:lang w:val="pl-PL"/>
        </w:rPr>
        <w:t xml:space="preserve">wyjaśnienia </w:t>
      </w:r>
      <w:r w:rsidR="00F05398" w:rsidRPr="007579B0">
        <w:rPr>
          <w:lang w:val="pl-PL"/>
        </w:rPr>
        <w:t>skarżącego nie stanowiły jedynej podstawy jego skazania.</w:t>
      </w:r>
    </w:p>
    <w:p w:rsidR="00F05398" w:rsidRPr="007579B0" w:rsidRDefault="00F05398" w:rsidP="00947D97">
      <w:pPr>
        <w:pStyle w:val="JuH1"/>
        <w:rPr>
          <w:lang w:val="pl-PL"/>
        </w:rPr>
      </w:pPr>
      <w:r w:rsidRPr="007579B0">
        <w:rPr>
          <w:iCs/>
          <w:lang w:val="pl-PL"/>
        </w:rPr>
        <w:t>3.  Ocena Trybunału</w:t>
      </w:r>
    </w:p>
    <w:p w:rsidR="00F05398" w:rsidRPr="007579B0" w:rsidRDefault="00F05398" w:rsidP="00947D97">
      <w:pPr>
        <w:pStyle w:val="JuHa0"/>
        <w:rPr>
          <w:lang w:val="pl-PL"/>
        </w:rPr>
      </w:pPr>
      <w:r w:rsidRPr="007579B0">
        <w:rPr>
          <w:bCs/>
          <w:lang w:val="pl-PL"/>
        </w:rPr>
        <w:t>(a)  Zasady ogólne mające zastosowanie w niniejszej sprawie</w:t>
      </w:r>
    </w:p>
    <w:p w:rsidR="00F05398" w:rsidRPr="007579B0" w:rsidRDefault="00B73521" w:rsidP="00861E29">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50</w:t>
      </w:r>
      <w:r w:rsidRPr="007579B0">
        <w:rPr>
          <w:lang w:val="pl-PL"/>
        </w:rPr>
        <w:fldChar w:fldCharType="end"/>
      </w:r>
      <w:r w:rsidR="00F05398" w:rsidRPr="007579B0">
        <w:rPr>
          <w:lang w:val="pl-PL"/>
        </w:rPr>
        <w:t>.  Trybunał przypomina, że mimo iż podstawowym celem artykułu 6 Konwencji, w odniesieniu do postępowania karnego, jest zapewnienie rzetelnego procesu przez „sąd” właściwy do rozstrzygania o „zasadności każdego oskarżenia w sprawie karnej</w:t>
      </w:r>
      <w:r w:rsidR="00E11270" w:rsidRPr="007579B0">
        <w:rPr>
          <w:lang w:val="pl-PL"/>
        </w:rPr>
        <w:t>”</w:t>
      </w:r>
      <w:r w:rsidR="00F05398" w:rsidRPr="007579B0">
        <w:rPr>
          <w:lang w:val="pl-PL"/>
        </w:rPr>
        <w:t xml:space="preserve">, nie można uznać, że przepis tego artykułu nie ma zastosowania względem postępowania przygotowawczego. Zatem artykuł 6 – a szczególnie jego ustęp 3 – może mieć zastosowanie, zanim sprawa jeszcze została przekazana do sądu w tym zakresie, że rzetelność procesu może zostać poważnie naruszona na skutek niespełnienia wymogów tego przepisu na etapie wstępnym (zob. </w:t>
      </w:r>
      <w:r w:rsidR="00F05398" w:rsidRPr="007579B0">
        <w:rPr>
          <w:i/>
          <w:iCs/>
          <w:lang w:val="pl-PL"/>
        </w:rPr>
        <w:t>Imbrioscia</w:t>
      </w:r>
      <w:r w:rsidR="00F05398" w:rsidRPr="007579B0">
        <w:rPr>
          <w:lang w:val="pl-PL"/>
        </w:rPr>
        <w:t xml:space="preserve">, cyt. powyżej, § 36). Trybunał wskazywał już w uprzednio wydanych wyrokach, że prawo określone w artykule 6 ust. 3 lit. c) Konwencji stanowi jeden spośród elementów koncepcji rzetelnego procesu w postępowaniu karnym zawartej w artykule 6 ust. 1 (zob. </w:t>
      </w:r>
      <w:r w:rsidR="00F05398" w:rsidRPr="007579B0">
        <w:rPr>
          <w:i/>
          <w:iCs/>
          <w:lang w:val="pl-PL"/>
        </w:rPr>
        <w:t>Imbrioscia</w:t>
      </w:r>
      <w:r w:rsidR="00F05398" w:rsidRPr="007579B0">
        <w:rPr>
          <w:lang w:val="pl-PL"/>
        </w:rPr>
        <w:t xml:space="preserve">, cyt. powyżej, § 37 oraz </w:t>
      </w:r>
      <w:r w:rsidR="00F05398" w:rsidRPr="007579B0">
        <w:rPr>
          <w:i/>
          <w:iCs/>
          <w:lang w:val="pl-PL"/>
        </w:rPr>
        <w:t>Brennan</w:t>
      </w:r>
      <w:r w:rsidR="00F05398" w:rsidRPr="007579B0">
        <w:rPr>
          <w:lang w:val="pl-PL"/>
        </w:rPr>
        <w:t>, cyt. powyżej, § 45).</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51</w:t>
      </w:r>
      <w:r w:rsidRPr="007579B0">
        <w:rPr>
          <w:lang w:val="pl-PL"/>
        </w:rPr>
        <w:fldChar w:fldCharType="end"/>
      </w:r>
      <w:r w:rsidR="00F05398" w:rsidRPr="007579B0">
        <w:rPr>
          <w:lang w:val="pl-PL"/>
        </w:rPr>
        <w:t xml:space="preserve">.  W dalszej kolejności Trybunał przypomina, że prawo – chociaż nie absolutne – do skutecznej obrony przez adwokata, ustanowionego z urzędu, jeśli zachodzi taka potrzeba, przysługujące każdej osobie, której przedstawiono zarzuty karne, jest jednym z podstawowych wymogów rzetelnego procesu (zob. </w:t>
      </w:r>
      <w:r w:rsidR="00F05398" w:rsidRPr="007579B0">
        <w:rPr>
          <w:i/>
          <w:iCs/>
          <w:lang w:val="pl-PL"/>
        </w:rPr>
        <w:t>Poitrimol przeciwko Francji</w:t>
      </w:r>
      <w:r w:rsidR="00F05398" w:rsidRPr="007579B0">
        <w:rPr>
          <w:lang w:val="pl-PL"/>
        </w:rPr>
        <w:t>, 23 listopada 1993 r., § 34, Seria A nr 277</w:t>
      </w:r>
      <w:r w:rsidR="00F05398" w:rsidRPr="007579B0">
        <w:rPr>
          <w:lang w:val="pl-PL"/>
        </w:rPr>
        <w:noBreakHyphen/>
        <w:t xml:space="preserve">A oraz </w:t>
      </w:r>
      <w:r w:rsidR="00F05398" w:rsidRPr="007579B0">
        <w:rPr>
          <w:i/>
          <w:iCs/>
          <w:szCs w:val="24"/>
          <w:lang w:val="pl-PL"/>
        </w:rPr>
        <w:t>Demebukov przeciwko Bułgarii</w:t>
      </w:r>
      <w:r w:rsidR="00F05398" w:rsidRPr="007579B0">
        <w:rPr>
          <w:szCs w:val="24"/>
          <w:lang w:val="pl-PL"/>
        </w:rPr>
        <w:t>, nr 68020/01, § 50, 28 lutego 2008 r.).</w:t>
      </w:r>
      <w:r w:rsidR="00F05398" w:rsidRPr="007579B0">
        <w:rPr>
          <w:lang w:val="pl-PL"/>
        </w:rPr>
        <w:t xml:space="preserve"> Niemniej jednak artykuł 6 ust. 3 lit. c) nie określa szczegółowo sposobu wykonania tego prawa. Pozostawia zatem Umawiającym się Państwom wybór środków zapewni</w:t>
      </w:r>
      <w:r w:rsidR="008F1CA4">
        <w:rPr>
          <w:lang w:val="pl-PL"/>
        </w:rPr>
        <w:t>ających</w:t>
      </w:r>
      <w:r w:rsidR="00F05398" w:rsidRPr="007579B0">
        <w:rPr>
          <w:lang w:val="pl-PL"/>
        </w:rPr>
        <w:t xml:space="preserve">, że prawo to jest zagwarantowane w systemie wymiaru sprawiedliwości, natomiast zadaniem Trybunału jest wyłącznie weryfikacja, czy wybrana metoda jest zgodna z wymogami rzetelnego procesu. W tym względzie należy pamiętać, że celem Konwencji jest „gwarantowanie praw, które nie są teoretyczne czy iluzoryczne, lecz praw, które są praktyczne i skuteczne” oraz że wyznaczenie obrońcy jako takie nie zapewnia skuteczności pomocy, jaką może on świadczyć na rzecz oskarżonego (zob. </w:t>
      </w:r>
      <w:r w:rsidR="00F05398" w:rsidRPr="007579B0">
        <w:rPr>
          <w:i/>
          <w:iCs/>
          <w:lang w:val="pl-PL"/>
        </w:rPr>
        <w:t>Imbrioscia</w:t>
      </w:r>
      <w:r w:rsidR="00F05398" w:rsidRPr="007579B0">
        <w:rPr>
          <w:lang w:val="pl-PL"/>
        </w:rPr>
        <w:t>, cyt. powyżej, § 38).</w:t>
      </w:r>
    </w:p>
    <w:p w:rsidR="00F05398" w:rsidRPr="007579B0" w:rsidRDefault="00B73521" w:rsidP="00006772">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52</w:t>
      </w:r>
      <w:r w:rsidRPr="007579B0">
        <w:rPr>
          <w:lang w:val="pl-PL"/>
        </w:rPr>
        <w:fldChar w:fldCharType="end"/>
      </w:r>
      <w:r w:rsidR="00F05398" w:rsidRPr="007579B0">
        <w:rPr>
          <w:lang w:val="pl-PL"/>
        </w:rPr>
        <w:t xml:space="preserve">.  Przepisy prawa krajowego mogą określać konsekwencje zachowania oskarżonego na początkowym etapie przesłuchania policyjnego, które mają decydujące znaczenie dla możliwości obrony w ewentualnym dalszym postępowaniu karnym. W takich okolicznościach, zgodnie z przepisem artykułu 6 wymaga się </w:t>
      </w:r>
      <w:r w:rsidR="00F45B1C" w:rsidRPr="007579B0">
        <w:rPr>
          <w:lang w:val="pl-PL"/>
        </w:rPr>
        <w:t>standardowo</w:t>
      </w:r>
      <w:r w:rsidR="00F05398" w:rsidRPr="007579B0">
        <w:rPr>
          <w:lang w:val="pl-PL"/>
        </w:rPr>
        <w:t xml:space="preserve">, by oskarżony miał możliwość korzystania z pomocy adwokata już na początkowych etapach przesłuchania policyjnego. Jednakże dotychczas uznawano, że w przypadku istnienia odpowiedniej przyczyny prawo to może podlegać ograniczeniom. Z tego względu w każdym przypadku rodziło się pytanie, czy takie ograniczenie było uzasadnione, a jeżeli tak, to czy w świetle całości postępowania nie pozbawiało oskarżonego rzetelnego procesu, jako że nawet uzasadnione ograniczenie może w pewnych okolicznościach mieć taki skutek (zob. </w:t>
      </w:r>
      <w:r w:rsidR="00F05398" w:rsidRPr="007579B0">
        <w:rPr>
          <w:i/>
          <w:iCs/>
          <w:lang w:val="pl-PL"/>
        </w:rPr>
        <w:t>John Murray</w:t>
      </w:r>
      <w:r w:rsidR="00F05398" w:rsidRPr="007579B0">
        <w:rPr>
          <w:lang w:val="pl-PL"/>
        </w:rPr>
        <w:t xml:space="preserve">, cyt. powyżej, § 63; </w:t>
      </w:r>
      <w:r w:rsidR="00F05398" w:rsidRPr="007579B0">
        <w:rPr>
          <w:i/>
          <w:iCs/>
          <w:lang w:val="pl-PL"/>
        </w:rPr>
        <w:t>Brennan</w:t>
      </w:r>
      <w:r w:rsidR="00F05398" w:rsidRPr="007579B0">
        <w:rPr>
          <w:lang w:val="pl-PL"/>
        </w:rPr>
        <w:t xml:space="preserve">, cyt. powyżej, § 45 oraz </w:t>
      </w:r>
      <w:r w:rsidR="00F05398" w:rsidRPr="007579B0">
        <w:rPr>
          <w:i/>
          <w:iCs/>
          <w:lang w:val="pl-PL"/>
        </w:rPr>
        <w:t>Magee</w:t>
      </w:r>
      <w:r w:rsidR="00F05398" w:rsidRPr="007579B0">
        <w:rPr>
          <w:lang w:val="pl-PL"/>
        </w:rPr>
        <w:t>, cyt. powyżej, § 44).</w:t>
      </w:r>
    </w:p>
    <w:p w:rsidR="00F05398" w:rsidRPr="007579B0" w:rsidRDefault="00B73521" w:rsidP="00006772">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53</w:t>
      </w:r>
      <w:r w:rsidRPr="007579B0">
        <w:rPr>
          <w:lang w:val="pl-PL"/>
        </w:rPr>
        <w:fldChar w:fldCharType="end"/>
      </w:r>
      <w:r w:rsidR="00F05398" w:rsidRPr="007579B0">
        <w:rPr>
          <w:lang w:val="pl-PL"/>
        </w:rPr>
        <w:t>.  Zasady te, wskazane w paragrafie 52 powyżej, są zgodne również z ogólnie przyjętymi międzynarodowymi standardami praw człowieka (zob. par. 37</w:t>
      </w:r>
      <w:r w:rsidR="00F05398" w:rsidRPr="007579B0">
        <w:rPr>
          <w:lang w:val="pl-PL"/>
        </w:rPr>
        <w:noBreakHyphen/>
        <w:t>42 powyżej), które leżą u podstaw koncepcji rzetelnego procesu, a których uzasadnienie wiąże się w szczególności z ochroną oskarżonych przed nadużyciem przymusu ze strony władz. Przyczyniają się także do zapobiegania błędom wymiaru sprawiedliwości oraz osiągania celów artykułu 6, szczególnie równości pomiędzy organami śledczymi czy oskarżeniem a oskarżonym.</w:t>
      </w:r>
    </w:p>
    <w:p w:rsidR="00F05398" w:rsidRPr="007579B0" w:rsidRDefault="00B73521" w:rsidP="00006772">
      <w:pPr>
        <w:pStyle w:val="JuPara"/>
        <w:rPr>
          <w:szCs w:val="24"/>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54</w:t>
      </w:r>
      <w:r w:rsidRPr="007579B0">
        <w:rPr>
          <w:lang w:val="pl-PL"/>
        </w:rPr>
        <w:fldChar w:fldCharType="end"/>
      </w:r>
      <w:r w:rsidR="00F05398" w:rsidRPr="007579B0">
        <w:rPr>
          <w:lang w:val="pl-PL"/>
        </w:rPr>
        <w:t xml:space="preserve">.  W tym względzie Trybunał podkreśla znaczenie etapu dochodzenia w związku z przygotowaniem postępowania karnego, jako że materiał dowodowy zgromadzony na tym etapie determinuje </w:t>
      </w:r>
      <w:r w:rsidR="005C1E44" w:rsidRPr="007579B0">
        <w:rPr>
          <w:lang w:val="pl-PL"/>
        </w:rPr>
        <w:t>ogólne ramy</w:t>
      </w:r>
      <w:r w:rsidR="00A16564">
        <w:rPr>
          <w:lang w:val="pl-PL"/>
        </w:rPr>
        <w:t xml:space="preserve"> rozpoznawania zarzucanych czynów podczas procesu </w:t>
      </w:r>
      <w:r w:rsidR="00F05398" w:rsidRPr="007579B0">
        <w:rPr>
          <w:lang w:val="pl-PL"/>
        </w:rPr>
        <w:t xml:space="preserve">(zob. </w:t>
      </w:r>
      <w:r w:rsidR="00F05398" w:rsidRPr="007579B0">
        <w:rPr>
          <w:i/>
          <w:iCs/>
          <w:lang w:val="pl-PL"/>
        </w:rPr>
        <w:t>Can przeciwko Austrii</w:t>
      </w:r>
      <w:r w:rsidR="00F05398" w:rsidRPr="007579B0">
        <w:rPr>
          <w:lang w:val="pl-PL"/>
        </w:rPr>
        <w:t>, nr 9300/81, raport Komisji z dnia 12 lipca 1984 r., § 50, Seria A nr 96). Jednocześnie na tym etapie postępowania oskarżony często znajduje się w szczególnie trudnej sytuacji, którą dodatkow</w:t>
      </w:r>
      <w:r w:rsidR="00472371">
        <w:rPr>
          <w:lang w:val="pl-PL"/>
        </w:rPr>
        <w:t>o</w:t>
      </w:r>
      <w:r w:rsidR="00F05398" w:rsidRPr="007579B0">
        <w:rPr>
          <w:lang w:val="pl-PL"/>
        </w:rPr>
        <w:t xml:space="preserve"> pogarsza fakt, że ustawodawstwo w zakresie postępowania karnego staje się coraz bardziej złożone, szczególnie w odniesieniu do zasad dotyczących gromadzenia i wykorzystywania dowodów. W większości przypadków taką szczególnie trudną sytuację można odpowiednio zrekompensować poprzez pomoc adwokata, do którego zadań należy między innymi pomoc w zakresie zapewnienia poszanowania wolności oskarżonego od samooskarżenia. Prawo to zakłada w istocie, że w sprawie karnej oskarżenie podejmuje działania w celu udowodnienia zarzutów przedstawionych oskarżonemu bez posuwania się do korzystania z </w:t>
      </w:r>
      <w:r w:rsidR="000C5E2D">
        <w:rPr>
          <w:lang w:val="pl-PL"/>
        </w:rPr>
        <w:t>wyjaśnień</w:t>
      </w:r>
      <w:r w:rsidR="00F05398" w:rsidRPr="007579B0">
        <w:rPr>
          <w:lang w:val="pl-PL"/>
        </w:rPr>
        <w:t xml:space="preserve"> uzyskanych pod przymusem</w:t>
      </w:r>
      <w:r w:rsidR="00A16564">
        <w:rPr>
          <w:lang w:val="pl-PL"/>
        </w:rPr>
        <w:t xml:space="preserve"> lub wbrew woli oskarżonego</w:t>
      </w:r>
      <w:r w:rsidR="00F05398" w:rsidRPr="007579B0">
        <w:rPr>
          <w:lang w:val="pl-PL"/>
        </w:rPr>
        <w:t xml:space="preserve"> (zob. </w:t>
      </w:r>
      <w:r w:rsidR="00F05398" w:rsidRPr="007579B0">
        <w:rPr>
          <w:i/>
          <w:iCs/>
          <w:lang w:val="pl-PL"/>
        </w:rPr>
        <w:t>Jalloh przeciwko Niemcom</w:t>
      </w:r>
      <w:r w:rsidR="00F05398" w:rsidRPr="007579B0">
        <w:rPr>
          <w:lang w:val="pl-PL"/>
        </w:rPr>
        <w:t xml:space="preserve"> [WI], nr 54810/00, § 100, </w:t>
      </w:r>
      <w:r w:rsidR="00F05398" w:rsidRPr="007579B0">
        <w:rPr>
          <w:szCs w:val="24"/>
          <w:lang w:val="pl-PL"/>
        </w:rPr>
        <w:t>ETPCz 2006</w:t>
      </w:r>
      <w:r w:rsidR="00F05398" w:rsidRPr="007579B0">
        <w:rPr>
          <w:szCs w:val="24"/>
          <w:lang w:val="pl-PL"/>
        </w:rPr>
        <w:noBreakHyphen/>
        <w:t xml:space="preserve">IX oraz </w:t>
      </w:r>
      <w:r w:rsidR="00F05398" w:rsidRPr="007579B0">
        <w:rPr>
          <w:i/>
          <w:iCs/>
          <w:lang w:val="pl-PL"/>
        </w:rPr>
        <w:t>Kolu przeciwko Turcji</w:t>
      </w:r>
      <w:r w:rsidR="00F05398" w:rsidRPr="007579B0">
        <w:rPr>
          <w:lang w:val="pl-PL"/>
        </w:rPr>
        <w:t xml:space="preserve">, nr 35811/97, § 51, 2 sierpnia 2005 r.). Dostęp do adwokata na wczesnym etapie stanowi element gwarancji proceduralnych, na które Trybunał będzie zwracać szczególną uwagę przy badaniu, czy w postępowaniu </w:t>
      </w:r>
      <w:r w:rsidR="00D2610E">
        <w:rPr>
          <w:lang w:val="pl-PL"/>
        </w:rPr>
        <w:t xml:space="preserve">naruszono istotę przywileju </w:t>
      </w:r>
      <w:r w:rsidR="00F05398" w:rsidRPr="007579B0">
        <w:rPr>
          <w:lang w:val="pl-PL"/>
        </w:rPr>
        <w:t xml:space="preserve">wolności od samooskarżenia (zob. </w:t>
      </w:r>
      <w:r w:rsidR="00F05398" w:rsidRPr="007579B0">
        <w:rPr>
          <w:i/>
          <w:iCs/>
          <w:lang w:val="pl-PL"/>
        </w:rPr>
        <w:t>mutatis mutandis</w:t>
      </w:r>
      <w:r w:rsidR="00F05398" w:rsidRPr="007579B0">
        <w:rPr>
          <w:lang w:val="pl-PL"/>
        </w:rPr>
        <w:t xml:space="preserve"> </w:t>
      </w:r>
      <w:r w:rsidR="00F05398" w:rsidRPr="007579B0">
        <w:rPr>
          <w:i/>
          <w:iCs/>
          <w:lang w:val="pl-PL"/>
        </w:rPr>
        <w:t>Jalloh</w:t>
      </w:r>
      <w:r w:rsidR="00F05398" w:rsidRPr="007579B0">
        <w:rPr>
          <w:lang w:val="pl-PL"/>
        </w:rPr>
        <w:t xml:space="preserve">, cyt. powyżej, § 101). W tym względzie Trybunał zauważa również, iż zalecenia </w:t>
      </w:r>
      <w:r w:rsidR="00F05398" w:rsidRPr="007579B0">
        <w:rPr>
          <w:iCs/>
          <w:lang w:val="pl-PL"/>
        </w:rPr>
        <w:t>Europejskiego Komitetu do spraw Zapobiegania Torturom oraz Nieludzkiemu i Poniżającemu Traktowaniu albo Karaniu (Komitet</w:t>
      </w:r>
      <w:r w:rsidR="00187F6A" w:rsidRPr="007579B0">
        <w:rPr>
          <w:iCs/>
          <w:lang w:val="pl-PL"/>
        </w:rPr>
        <w:t xml:space="preserve"> ds. Zapobiegania Torturom</w:t>
      </w:r>
      <w:r w:rsidR="00F05398" w:rsidRPr="007579B0">
        <w:rPr>
          <w:lang w:val="pl-PL"/>
        </w:rPr>
        <w:t>) (zob. par. 39</w:t>
      </w:r>
      <w:r w:rsidR="00F05398" w:rsidRPr="007579B0">
        <w:rPr>
          <w:lang w:val="pl-PL"/>
        </w:rPr>
        <w:noBreakHyphen/>
        <w:t xml:space="preserve">40 powyżej), w których </w:t>
      </w:r>
      <w:r w:rsidR="00187F6A" w:rsidRPr="007579B0">
        <w:rPr>
          <w:iCs/>
          <w:lang w:val="pl-PL"/>
        </w:rPr>
        <w:t xml:space="preserve">Komitet </w:t>
      </w:r>
      <w:r w:rsidR="00F05398" w:rsidRPr="007579B0">
        <w:rPr>
          <w:lang w:val="pl-PL"/>
        </w:rPr>
        <w:t xml:space="preserve">wielokrotnie stwierdzał, że prawo osadzonego dostępu do pomocy prawnej stanowi podstawowe zabezpieczenie przed złym traktowaniem. Każdy wyjątek dotyczący korzystania z tego prawa powinien zostać jasno zdefiniowany, a jego stosowanie powinno być ściśle ograniczone w czasie. Zasady te mają szczególne znaczenie w przypadku poważnych zarzutów, jako że w obliczu najpoważniejszych kar społeczeństwa demokratyczne powinny </w:t>
      </w:r>
      <w:r w:rsidR="00187F6A" w:rsidRPr="007579B0">
        <w:rPr>
          <w:lang w:val="pl-PL"/>
        </w:rPr>
        <w:t xml:space="preserve">w najwyższym możliwym stopniu </w:t>
      </w:r>
      <w:r w:rsidR="00F05398" w:rsidRPr="007579B0">
        <w:rPr>
          <w:lang w:val="pl-PL"/>
        </w:rPr>
        <w:t>zapewnić prawo do rzetelnego procesu.</w:t>
      </w:r>
    </w:p>
    <w:p w:rsidR="00F05398" w:rsidRPr="007579B0" w:rsidRDefault="00B73521" w:rsidP="00006772">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55</w:t>
      </w:r>
      <w:r w:rsidRPr="007579B0">
        <w:rPr>
          <w:lang w:val="pl-PL"/>
        </w:rPr>
        <w:fldChar w:fldCharType="end"/>
      </w:r>
      <w:r w:rsidR="00F05398" w:rsidRPr="007579B0">
        <w:rPr>
          <w:lang w:val="pl-PL"/>
        </w:rPr>
        <w:t xml:space="preserve">.  W tym kontekście Trybunał uznaje, iż w celu zapewnienia, że prawo do rzetelnego procesu pozostaje wystarczająco „praktyczne i skuteczne” (zob. par. 51 powyżej), przepis artykułu 6 ust. 1 wymaga, by – co do zasady – prawo dostępu do adwokata przysługiwało począwszy od pierwszego przesłuchania podejrzanego przez policję, chyba że w świetle szczególnych okoliczności wykazano, że istnieją istotne podstawy ograniczenia takiego prawa. Nawet jeżeli istotne podstawy mogą wyjątkowo uzasadniać odmowę dostępu do adwokata, ograniczenie takie – niezależnie od jego uzasadnienia – nie może </w:t>
      </w:r>
      <w:r w:rsidR="005C1E44" w:rsidRPr="007579B0">
        <w:rPr>
          <w:lang w:val="pl-PL"/>
        </w:rPr>
        <w:t>bezprawnie</w:t>
      </w:r>
      <w:r w:rsidR="00F05398" w:rsidRPr="007579B0">
        <w:rPr>
          <w:lang w:val="pl-PL"/>
        </w:rPr>
        <w:t xml:space="preserve"> naruszać praw oskarżonego wynikających z artykułu 6 (zob. </w:t>
      </w:r>
      <w:r w:rsidR="00F05398" w:rsidRPr="007579B0">
        <w:rPr>
          <w:i/>
          <w:iCs/>
          <w:lang w:val="pl-PL"/>
        </w:rPr>
        <w:t>mutatis mutandis</w:t>
      </w:r>
      <w:r w:rsidR="00F05398" w:rsidRPr="007579B0">
        <w:rPr>
          <w:lang w:val="pl-PL"/>
        </w:rPr>
        <w:t xml:space="preserve"> </w:t>
      </w:r>
      <w:r w:rsidR="00F05398" w:rsidRPr="007579B0">
        <w:rPr>
          <w:i/>
          <w:iCs/>
          <w:lang w:val="pl-PL"/>
        </w:rPr>
        <w:t>Magee</w:t>
      </w:r>
      <w:r w:rsidR="00F05398" w:rsidRPr="007579B0">
        <w:rPr>
          <w:lang w:val="pl-PL"/>
        </w:rPr>
        <w:t xml:space="preserve">, cyt. powyżej, § 44). Prawa do obrony zostają co do zasady naruszone </w:t>
      </w:r>
      <w:r w:rsidR="00187F6A" w:rsidRPr="007579B0">
        <w:rPr>
          <w:lang w:val="pl-PL"/>
        </w:rPr>
        <w:t>w sposób nieodwracalny</w:t>
      </w:r>
      <w:r w:rsidR="00F05398" w:rsidRPr="007579B0">
        <w:rPr>
          <w:lang w:val="pl-PL"/>
        </w:rPr>
        <w:t xml:space="preserve"> w przypadku, gdy obciążające </w:t>
      </w:r>
      <w:r w:rsidR="00FD60C8">
        <w:rPr>
          <w:lang w:val="pl-PL"/>
        </w:rPr>
        <w:t>wyjaśnienia</w:t>
      </w:r>
      <w:r w:rsidR="00F05398" w:rsidRPr="007579B0">
        <w:rPr>
          <w:lang w:val="pl-PL"/>
        </w:rPr>
        <w:t xml:space="preserve"> złożone podczas przesłuchania przez policję bez dostępu do adwokata zostaną wykorzystane w celu skazania.</w:t>
      </w:r>
    </w:p>
    <w:p w:rsidR="00F05398" w:rsidRPr="007579B0" w:rsidRDefault="00F05398" w:rsidP="009A4F76">
      <w:pPr>
        <w:pStyle w:val="JuHa0"/>
        <w:rPr>
          <w:lang w:val="pl-PL"/>
        </w:rPr>
      </w:pPr>
      <w:r w:rsidRPr="007579B0">
        <w:rPr>
          <w:bCs/>
          <w:lang w:val="pl-PL"/>
        </w:rPr>
        <w:t>(b)  Zastosowanie powyższych zasad w niniejszej sprawie</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56</w:t>
      </w:r>
      <w:r w:rsidRPr="007579B0">
        <w:rPr>
          <w:lang w:val="pl-PL"/>
        </w:rPr>
        <w:fldChar w:fldCharType="end"/>
      </w:r>
      <w:r w:rsidR="00F05398" w:rsidRPr="007579B0">
        <w:rPr>
          <w:lang w:val="pl-PL"/>
        </w:rPr>
        <w:t xml:space="preserve">.  W niniejszej sprawie prawo skarżącego do dostępu do adwokata zostało ograniczone w trakcie zatrzymania przez policję, zgodnie z przepisem art. 31 ustawy nr 3842, jako że został </w:t>
      </w:r>
      <w:r w:rsidR="00187F6A" w:rsidRPr="007579B0">
        <w:rPr>
          <w:lang w:val="pl-PL"/>
        </w:rPr>
        <w:t xml:space="preserve">on </w:t>
      </w:r>
      <w:r w:rsidR="00F05398" w:rsidRPr="007579B0">
        <w:rPr>
          <w:lang w:val="pl-PL"/>
        </w:rPr>
        <w:t xml:space="preserve">oskarżony o popełnienie czynu podlegającego jurysdykcji Sądów Bezpieczeństwa Państwa. W rezultacie </w:t>
      </w:r>
      <w:r w:rsidR="0037322F">
        <w:rPr>
          <w:lang w:val="pl-PL"/>
        </w:rPr>
        <w:t xml:space="preserve">skarżący </w:t>
      </w:r>
      <w:r w:rsidR="00F05398" w:rsidRPr="007579B0">
        <w:rPr>
          <w:lang w:val="pl-PL"/>
        </w:rPr>
        <w:t>nie miał dostępu do adwokata w czasie składania zeznań na policji, przed p</w:t>
      </w:r>
      <w:r w:rsidR="00187F6A" w:rsidRPr="007579B0">
        <w:rPr>
          <w:lang w:val="pl-PL"/>
        </w:rPr>
        <w:t>rokuratorem i sędzią śledczym. A zatem</w:t>
      </w:r>
      <w:r w:rsidR="00F05398" w:rsidRPr="007579B0">
        <w:rPr>
          <w:lang w:val="pl-PL"/>
        </w:rPr>
        <w:t xml:space="preserve"> nie przedstawiono innego uzasadnienia odmowy dostępu do adwokata niż fakt, że odmowa taka miała charakter systemowy i wynikała z właściwych przepisów prawa.</w:t>
      </w:r>
      <w:r w:rsidR="0037322F">
        <w:rPr>
          <w:lang w:val="pl-PL"/>
        </w:rPr>
        <w:t xml:space="preserve"> W tym względzie nie spełniono więc wymogów </w:t>
      </w:r>
      <w:r w:rsidR="00F05398" w:rsidRPr="007579B0">
        <w:rPr>
          <w:lang w:val="pl-PL"/>
        </w:rPr>
        <w:t>artykułu 6</w:t>
      </w:r>
      <w:r w:rsidR="0037322F">
        <w:rPr>
          <w:lang w:val="pl-PL"/>
        </w:rPr>
        <w:t xml:space="preserve">, na co wskazano w </w:t>
      </w:r>
      <w:r w:rsidR="00F05398" w:rsidRPr="007579B0">
        <w:rPr>
          <w:lang w:val="pl-PL"/>
        </w:rPr>
        <w:t>par. 52 powyżej.</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57</w:t>
      </w:r>
      <w:r w:rsidRPr="007579B0">
        <w:rPr>
          <w:lang w:val="pl-PL"/>
        </w:rPr>
        <w:fldChar w:fldCharType="end"/>
      </w:r>
      <w:r w:rsidR="00F05398" w:rsidRPr="007579B0">
        <w:rPr>
          <w:lang w:val="pl-PL"/>
        </w:rPr>
        <w:t xml:space="preserve">.  Trybunał zauważa ponadto, że skarżący miał dostęp do adwokata po wydaniu postanowienia o tymczasowym aresztowaniu. W trakcie wszczętego później postępowania karnego skarżący miał możliwość powoływania świadków obrony oraz kwestionowania argumentów prokuratury. Trybunał zauważa również, że skarżący wielokrotnie zaprzeczał treści </w:t>
      </w:r>
      <w:r w:rsidR="008B604F">
        <w:rPr>
          <w:lang w:val="pl-PL"/>
        </w:rPr>
        <w:t>wyjaśnień</w:t>
      </w:r>
      <w:r w:rsidR="00F05398" w:rsidRPr="007579B0">
        <w:rPr>
          <w:lang w:val="pl-PL"/>
        </w:rPr>
        <w:t xml:space="preserve"> złożonych na policji, zarówno na etapie procesu, jak i apelacji. Jednakże, jak wynika z akt sprawy, dochodzenie zostało w znacznej części ukończone, zanim skarżący stawił się przed sędzią śledczym w dniu 1 czerwca 2001 r. Ponadto Sąd Bezpieczeństwa Państwa w Izmirze nie tylko nie zajął stanowiska w sprawie dopuszczalności </w:t>
      </w:r>
      <w:r w:rsidR="008B604F">
        <w:rPr>
          <w:lang w:val="pl-PL"/>
        </w:rPr>
        <w:t>wyjaśnień</w:t>
      </w:r>
      <w:r w:rsidR="00F05398" w:rsidRPr="007579B0">
        <w:rPr>
          <w:lang w:val="pl-PL"/>
        </w:rPr>
        <w:t xml:space="preserve"> skarżącego złożonych w czasie zatrzymania na policji przed zbadaniem meritum sprawy, lecz wręcz wykorzys</w:t>
      </w:r>
      <w:r w:rsidR="00187F6A" w:rsidRPr="007579B0">
        <w:rPr>
          <w:lang w:val="pl-PL"/>
        </w:rPr>
        <w:t xml:space="preserve">tał </w:t>
      </w:r>
      <w:r w:rsidR="008B604F">
        <w:rPr>
          <w:lang w:val="pl-PL"/>
        </w:rPr>
        <w:t>wyjaśnienia</w:t>
      </w:r>
      <w:r w:rsidR="00187F6A" w:rsidRPr="007579B0">
        <w:rPr>
          <w:lang w:val="pl-PL"/>
        </w:rPr>
        <w:t xml:space="preserve"> złożone na policji</w:t>
      </w:r>
      <w:r w:rsidR="00F05398" w:rsidRPr="007579B0">
        <w:rPr>
          <w:lang w:val="pl-PL"/>
        </w:rPr>
        <w:t xml:space="preserve"> jako główny dowód, na podstawie którego skarżący został skazany, mimo faktu iż skarżący twierdził, że nie są one prawidłowe (zob. par. 23 powyżej). W tym względzie Trybunał zauważa, że skazując skarżącego</w:t>
      </w:r>
      <w:r w:rsidR="00187F6A" w:rsidRPr="007579B0">
        <w:rPr>
          <w:lang w:val="pl-PL"/>
        </w:rPr>
        <w:t>,</w:t>
      </w:r>
      <w:r w:rsidR="00F05398" w:rsidRPr="007579B0">
        <w:rPr>
          <w:lang w:val="pl-PL"/>
        </w:rPr>
        <w:t xml:space="preserve"> Sąd Bezpieczeństwa Państwa w Izmirze faktycznie wykorzystał materiał dowodowy, którym dysponował w celu potwierdzenia </w:t>
      </w:r>
      <w:r w:rsidR="008B604F">
        <w:rPr>
          <w:lang w:val="pl-PL"/>
        </w:rPr>
        <w:t>wyjaśnień</w:t>
      </w:r>
      <w:r w:rsidR="00F05398" w:rsidRPr="007579B0">
        <w:rPr>
          <w:lang w:val="pl-PL"/>
        </w:rPr>
        <w:t xml:space="preserve"> złożonych przez skarżącego na policji. Dowody takie obejmowały opinię biegłego z dnia 1 czerwca 2001 r. oraz </w:t>
      </w:r>
      <w:r w:rsidR="008B604F">
        <w:rPr>
          <w:lang w:val="pl-PL"/>
        </w:rPr>
        <w:t>wyjaśnienia</w:t>
      </w:r>
      <w:r w:rsidR="00F05398" w:rsidRPr="007579B0">
        <w:rPr>
          <w:lang w:val="pl-PL"/>
        </w:rPr>
        <w:t xml:space="preserve"> pozostałych oskarżonych złożone na policji i</w:t>
      </w:r>
      <w:r w:rsidR="008B604F">
        <w:rPr>
          <w:lang w:val="pl-PL"/>
        </w:rPr>
        <w:t xml:space="preserve"> w</w:t>
      </w:r>
      <w:r w:rsidR="00F05398" w:rsidRPr="007579B0">
        <w:rPr>
          <w:lang w:val="pl-PL"/>
        </w:rPr>
        <w:t xml:space="preserve"> prokuraturze. W tym względzie jednakże Trybunał uznaje za </w:t>
      </w:r>
      <w:r w:rsidR="005C1E44" w:rsidRPr="007579B0">
        <w:rPr>
          <w:lang w:val="pl-PL"/>
        </w:rPr>
        <w:t>znamienne</w:t>
      </w:r>
      <w:r w:rsidR="00F05398" w:rsidRPr="007579B0">
        <w:rPr>
          <w:lang w:val="pl-PL"/>
        </w:rPr>
        <w:t xml:space="preserve">, że opinia biegłego, o której mowa w wyroku </w:t>
      </w:r>
      <w:r w:rsidR="00187F6A" w:rsidRPr="007579B0">
        <w:rPr>
          <w:lang w:val="pl-PL"/>
        </w:rPr>
        <w:t xml:space="preserve">sądu pierwszej instancji </w:t>
      </w:r>
      <w:r w:rsidR="00F05398" w:rsidRPr="007579B0">
        <w:rPr>
          <w:lang w:val="pl-PL"/>
        </w:rPr>
        <w:t xml:space="preserve">była korzystna dla skarżącego, jako że wynikało z niej, iż nie można ustalić, czy pismo odręczne na transparencie należało do skarżącego (zob. par. 15 powyżej). Znaczącym jest także fakt, że wszyscy współoskarżeni, którzy na policji złożyli </w:t>
      </w:r>
      <w:r w:rsidR="00580A91">
        <w:rPr>
          <w:lang w:val="pl-PL"/>
        </w:rPr>
        <w:t>wyjaśnienia</w:t>
      </w:r>
      <w:r w:rsidR="00F05398" w:rsidRPr="007579B0">
        <w:rPr>
          <w:lang w:val="pl-PL"/>
        </w:rPr>
        <w:t xml:space="preserve"> obciążające skarżącego, podczas procesu wycofali </w:t>
      </w:r>
      <w:r w:rsidR="00580A91">
        <w:rPr>
          <w:lang w:val="pl-PL"/>
        </w:rPr>
        <w:t>wyjaśnienia</w:t>
      </w:r>
      <w:r w:rsidR="00F05398" w:rsidRPr="007579B0">
        <w:rPr>
          <w:lang w:val="pl-PL"/>
        </w:rPr>
        <w:t xml:space="preserve"> i </w:t>
      </w:r>
      <w:r w:rsidR="006E19BE" w:rsidRPr="007579B0">
        <w:rPr>
          <w:lang w:val="pl-PL"/>
        </w:rPr>
        <w:t>oświadczyli, że nie brali udziału w de</w:t>
      </w:r>
      <w:r w:rsidR="00F05398" w:rsidRPr="007579B0">
        <w:rPr>
          <w:lang w:val="pl-PL"/>
        </w:rPr>
        <w:t>monstra</w:t>
      </w:r>
      <w:r w:rsidR="006E19BE" w:rsidRPr="007579B0">
        <w:rPr>
          <w:lang w:val="pl-PL"/>
        </w:rPr>
        <w:t>cji</w:t>
      </w:r>
      <w:r w:rsidR="00F05398" w:rsidRPr="007579B0">
        <w:rPr>
          <w:lang w:val="pl-PL"/>
        </w:rPr>
        <w:t>.</w:t>
      </w:r>
    </w:p>
    <w:p w:rsidR="00F05398" w:rsidRPr="007579B0" w:rsidRDefault="00B73521" w:rsidP="00006772">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58</w:t>
      </w:r>
      <w:r w:rsidRPr="007579B0">
        <w:rPr>
          <w:lang w:val="pl-PL"/>
        </w:rPr>
        <w:fldChar w:fldCharType="end"/>
      </w:r>
      <w:r w:rsidR="00F05398" w:rsidRPr="007579B0">
        <w:rPr>
          <w:lang w:val="pl-PL"/>
        </w:rPr>
        <w:t>.  Zatem w niniejszej sprawie</w:t>
      </w:r>
      <w:r w:rsidR="003B11DF">
        <w:rPr>
          <w:lang w:val="pl-PL"/>
        </w:rPr>
        <w:t xml:space="preserve"> ograniczenie</w:t>
      </w:r>
      <w:r w:rsidR="005C1E44" w:rsidRPr="007579B0">
        <w:rPr>
          <w:lang w:val="pl-PL"/>
        </w:rPr>
        <w:t xml:space="preserve"> prawa dostępu do adwokata oraz fakt wykorzystania złożonych na policji </w:t>
      </w:r>
      <w:r w:rsidR="003B11DF">
        <w:rPr>
          <w:lang w:val="pl-PL"/>
        </w:rPr>
        <w:t>wyjaśnień</w:t>
      </w:r>
      <w:r w:rsidR="005C1E44" w:rsidRPr="007579B0">
        <w:rPr>
          <w:lang w:val="pl-PL"/>
        </w:rPr>
        <w:t xml:space="preserve"> w celu skazania skarżącego niewątpliwie wywarły wpływ na </w:t>
      </w:r>
      <w:r w:rsidR="00332766" w:rsidRPr="007579B0">
        <w:rPr>
          <w:lang w:val="pl-PL"/>
        </w:rPr>
        <w:t>sytuację</w:t>
      </w:r>
      <w:r w:rsidR="00F05398" w:rsidRPr="007579B0">
        <w:rPr>
          <w:lang w:val="pl-PL"/>
        </w:rPr>
        <w:t xml:space="preserve"> skarżąc</w:t>
      </w:r>
      <w:r w:rsidR="00332766" w:rsidRPr="007579B0">
        <w:rPr>
          <w:lang w:val="pl-PL"/>
        </w:rPr>
        <w:t>ego</w:t>
      </w:r>
      <w:r w:rsidR="00F05398" w:rsidRPr="007579B0">
        <w:rPr>
          <w:lang w:val="pl-PL"/>
        </w:rPr>
        <w:t xml:space="preserve">. Pomoc świadczona następnie przez adwokata i kontradyktoryjny charakter dalszego postępowania nie mogły naprawić nieprawidłowości, do których doszło w trakcie aresztowania policyjnego. Jednakże nie </w:t>
      </w:r>
      <w:r w:rsidR="008243F0">
        <w:rPr>
          <w:lang w:val="pl-PL"/>
        </w:rPr>
        <w:t>jest zadaniem Trybunału rozważanie</w:t>
      </w:r>
      <w:r w:rsidR="00F05398" w:rsidRPr="007579B0">
        <w:rPr>
          <w:lang w:val="pl-PL"/>
        </w:rPr>
        <w:t xml:space="preserve"> potencjalnego wpływu </w:t>
      </w:r>
      <w:r w:rsidR="008243F0">
        <w:rPr>
          <w:lang w:val="pl-PL"/>
        </w:rPr>
        <w:t xml:space="preserve">ograniczenia </w:t>
      </w:r>
      <w:r w:rsidR="00BA1D27" w:rsidRPr="007579B0">
        <w:rPr>
          <w:lang w:val="pl-PL"/>
        </w:rPr>
        <w:t xml:space="preserve">prawa </w:t>
      </w:r>
      <w:r w:rsidR="00F05398" w:rsidRPr="007579B0">
        <w:rPr>
          <w:lang w:val="pl-PL"/>
        </w:rPr>
        <w:t xml:space="preserve">skarżącego </w:t>
      </w:r>
      <w:r w:rsidR="00BA1D27" w:rsidRPr="007579B0">
        <w:rPr>
          <w:lang w:val="pl-PL"/>
        </w:rPr>
        <w:t xml:space="preserve">do dostępu </w:t>
      </w:r>
      <w:r w:rsidR="00F05398" w:rsidRPr="007579B0">
        <w:rPr>
          <w:lang w:val="pl-PL"/>
        </w:rPr>
        <w:t>do adwokata w trakcie aresztowania policyjnego na dalsze postępowanie.</w:t>
      </w:r>
    </w:p>
    <w:p w:rsidR="00F05398" w:rsidRPr="007579B0" w:rsidRDefault="00B73521" w:rsidP="00006772">
      <w:pPr>
        <w:pStyle w:val="JuPara"/>
        <w:rPr>
          <w:szCs w:val="24"/>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59</w:t>
      </w:r>
      <w:r w:rsidRPr="007579B0">
        <w:rPr>
          <w:lang w:val="pl-PL"/>
        </w:rPr>
        <w:fldChar w:fldCharType="end"/>
      </w:r>
      <w:r w:rsidR="00F05398" w:rsidRPr="007579B0">
        <w:rPr>
          <w:lang w:val="pl-PL"/>
        </w:rPr>
        <w:t xml:space="preserve">.  W dalszej kolejności Trybunał zauważa, że ani litera ani duch </w:t>
      </w:r>
      <w:r w:rsidR="008C7CA4">
        <w:rPr>
          <w:lang w:val="pl-PL"/>
        </w:rPr>
        <w:t>artykułu</w:t>
      </w:r>
      <w:r w:rsidR="00F05398" w:rsidRPr="007579B0">
        <w:rPr>
          <w:lang w:val="pl-PL"/>
        </w:rPr>
        <w:t xml:space="preserve"> 6 Konwencji nie uniemożliwiają jednostce zrzeczenia się z własnej woli, w sposób wyraźny bądź dorozumiany, uprawnień do gwarancji rzetelnego procesu (zob. </w:t>
      </w:r>
      <w:r w:rsidR="00F05398" w:rsidRPr="007579B0">
        <w:rPr>
          <w:i/>
          <w:iCs/>
          <w:lang w:val="pl-PL"/>
        </w:rPr>
        <w:t xml:space="preserve">Kwiatkowska przeciwko Włochom </w:t>
      </w:r>
      <w:r w:rsidR="00F05398" w:rsidRPr="007579B0">
        <w:rPr>
          <w:lang w:val="pl-PL"/>
        </w:rPr>
        <w:t>(dec.), nr 52868/99, 30 listopada 2000 r.).</w:t>
      </w:r>
      <w:r w:rsidR="006E19BE" w:rsidRPr="007579B0">
        <w:rPr>
          <w:lang w:val="pl-PL"/>
        </w:rPr>
        <w:t xml:space="preserve"> Jednakże, by zapewnić skuteczność takiego zrzec</w:t>
      </w:r>
      <w:r w:rsidR="00130536" w:rsidRPr="007579B0">
        <w:rPr>
          <w:lang w:val="pl-PL"/>
        </w:rPr>
        <w:t>zenia się w świetle Konwencji</w:t>
      </w:r>
      <w:r w:rsidR="006E19BE" w:rsidRPr="007579B0">
        <w:rPr>
          <w:lang w:val="pl-PL"/>
        </w:rPr>
        <w:t xml:space="preserve"> zrzeczenie się prawa do uczestnictwa w procesie musi być ustanowione w sposób jednoznaczny i objęte </w:t>
      </w:r>
      <w:r w:rsidR="00F05398" w:rsidRPr="007579B0">
        <w:rPr>
          <w:lang w:val="pl-PL"/>
        </w:rPr>
        <w:t>minim</w:t>
      </w:r>
      <w:r w:rsidR="006E19BE" w:rsidRPr="007579B0">
        <w:rPr>
          <w:lang w:val="pl-PL"/>
        </w:rPr>
        <w:t xml:space="preserve">alnymi zabezpieczeniami współmiernymi do jego </w:t>
      </w:r>
      <w:r w:rsidR="00130536" w:rsidRPr="007579B0">
        <w:rPr>
          <w:lang w:val="pl-PL"/>
        </w:rPr>
        <w:t>wagi</w:t>
      </w:r>
      <w:r w:rsidR="00F05398" w:rsidRPr="007579B0">
        <w:rPr>
          <w:lang w:val="pl-PL"/>
        </w:rPr>
        <w:t xml:space="preserve"> (zob. </w:t>
      </w:r>
      <w:r w:rsidR="00F05398" w:rsidRPr="007579B0">
        <w:rPr>
          <w:i/>
          <w:iCs/>
          <w:szCs w:val="24"/>
          <w:lang w:val="pl-PL"/>
        </w:rPr>
        <w:t xml:space="preserve">Sejdovic przeciwko Włochom </w:t>
      </w:r>
      <w:r w:rsidR="00F05398" w:rsidRPr="007579B0">
        <w:rPr>
          <w:szCs w:val="24"/>
          <w:lang w:val="pl-PL"/>
        </w:rPr>
        <w:t>[WI], nr 56581/00, § 86, ETPCz 2006</w:t>
      </w:r>
      <w:r w:rsidR="00F05398" w:rsidRPr="007579B0">
        <w:rPr>
          <w:szCs w:val="24"/>
          <w:lang w:val="pl-PL"/>
        </w:rPr>
        <w:noBreakHyphen/>
        <w:t xml:space="preserve">II; </w:t>
      </w:r>
      <w:r w:rsidR="00F05398" w:rsidRPr="007579B0">
        <w:rPr>
          <w:i/>
          <w:iCs/>
          <w:lang w:val="pl-PL"/>
        </w:rPr>
        <w:t>Kolu</w:t>
      </w:r>
      <w:r w:rsidR="00F05398" w:rsidRPr="007579B0">
        <w:rPr>
          <w:lang w:val="pl-PL"/>
        </w:rPr>
        <w:t xml:space="preserve">, cyt. powyżej, § 53 i </w:t>
      </w:r>
      <w:r w:rsidR="00F05398" w:rsidRPr="007579B0">
        <w:rPr>
          <w:i/>
          <w:iCs/>
          <w:lang w:val="pl-PL"/>
        </w:rPr>
        <w:t>Colozza przeciwko Włochom</w:t>
      </w:r>
      <w:r w:rsidR="00F05398" w:rsidRPr="007579B0">
        <w:rPr>
          <w:lang w:val="pl-PL"/>
        </w:rPr>
        <w:t>, 12 lutego 1985 r., § 28, Seria A nr 89). Zatem w niniejszej sprawie nie można przyjąć stwierdzenia, że skarżącego poinformowano o prawie do zachowania milczenia (zob. par. 14 powyżej).</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60</w:t>
      </w:r>
      <w:r w:rsidRPr="007579B0">
        <w:rPr>
          <w:lang w:val="pl-PL"/>
        </w:rPr>
        <w:fldChar w:fldCharType="end"/>
      </w:r>
      <w:r w:rsidR="00F05398" w:rsidRPr="007579B0">
        <w:rPr>
          <w:lang w:val="pl-PL"/>
        </w:rPr>
        <w:t>.  Wreszcie Trybunał zauważa, że jedną ze szczególnych cech niniejszej sprawy stanowił wiek skarżącego. Uwzględniając znaczn</w:t>
      </w:r>
      <w:r w:rsidR="00130536" w:rsidRPr="007579B0">
        <w:rPr>
          <w:lang w:val="pl-PL"/>
        </w:rPr>
        <w:t>ą</w:t>
      </w:r>
      <w:r w:rsidR="00F05398" w:rsidRPr="007579B0">
        <w:rPr>
          <w:lang w:val="pl-PL"/>
        </w:rPr>
        <w:t xml:space="preserve"> liczbę właściwych materiałów w zakresie prawa międzynarodowego</w:t>
      </w:r>
      <w:r w:rsidR="005C494D">
        <w:rPr>
          <w:lang w:val="pl-PL"/>
        </w:rPr>
        <w:t>,</w:t>
      </w:r>
      <w:r w:rsidR="00F05398" w:rsidRPr="007579B0">
        <w:rPr>
          <w:lang w:val="pl-PL"/>
        </w:rPr>
        <w:t xml:space="preserve"> dotyczących pomocy prawnej dla osób nieletnich aresztowanych przez policję (zob. par. 32</w:t>
      </w:r>
      <w:r w:rsidR="00F05398" w:rsidRPr="007579B0">
        <w:rPr>
          <w:lang w:val="pl-PL"/>
        </w:rPr>
        <w:noBreakHyphen/>
        <w:t>36 powyżej), Trybunał podkreśla podstawowe znaczenie zapewnienia dostępu do adwokata w sytuacji, gdy osoba zatrzymana jest niepełnoletnia.</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61</w:t>
      </w:r>
      <w:r w:rsidRPr="007579B0">
        <w:rPr>
          <w:lang w:val="pl-PL"/>
        </w:rPr>
        <w:fldChar w:fldCharType="end"/>
      </w:r>
      <w:r w:rsidR="00F05398" w:rsidRPr="007579B0">
        <w:rPr>
          <w:lang w:val="pl-PL"/>
        </w:rPr>
        <w:t>.  </w:t>
      </w:r>
      <w:r w:rsidR="0057396A" w:rsidRPr="007579B0">
        <w:rPr>
          <w:lang w:val="pl-PL"/>
        </w:rPr>
        <w:t>Niemniej</w:t>
      </w:r>
      <w:r w:rsidR="00130536" w:rsidRPr="007579B0">
        <w:rPr>
          <w:lang w:val="pl-PL"/>
        </w:rPr>
        <w:t xml:space="preserve"> jednak</w:t>
      </w:r>
      <w:r w:rsidR="0057396A" w:rsidRPr="007579B0">
        <w:rPr>
          <w:lang w:val="pl-PL"/>
        </w:rPr>
        <w:t xml:space="preserve">, </w:t>
      </w:r>
      <w:r w:rsidR="00F05398" w:rsidRPr="007579B0">
        <w:rPr>
          <w:lang w:val="pl-PL"/>
        </w:rPr>
        <w:t xml:space="preserve">jak objaśniono powyżej, </w:t>
      </w:r>
      <w:r w:rsidR="0057396A" w:rsidRPr="007579B0">
        <w:rPr>
          <w:lang w:val="pl-PL"/>
        </w:rPr>
        <w:t xml:space="preserve">w niniejszej sprawie </w:t>
      </w:r>
      <w:r w:rsidR="00F05398" w:rsidRPr="007579B0">
        <w:rPr>
          <w:lang w:val="pl-PL"/>
        </w:rPr>
        <w:t xml:space="preserve">ograniczenie dotyczące prawa dostępu do adwokata miało </w:t>
      </w:r>
      <w:r w:rsidR="0057396A" w:rsidRPr="007579B0">
        <w:rPr>
          <w:lang w:val="pl-PL"/>
        </w:rPr>
        <w:t>charakter</w:t>
      </w:r>
      <w:r w:rsidR="00F05398" w:rsidRPr="007579B0">
        <w:rPr>
          <w:lang w:val="pl-PL"/>
        </w:rPr>
        <w:t xml:space="preserve"> systemowy i </w:t>
      </w:r>
      <w:r w:rsidR="00130536" w:rsidRPr="007579B0">
        <w:rPr>
          <w:lang w:val="pl-PL"/>
        </w:rPr>
        <w:t xml:space="preserve">w przypadku podejrzenia popełnienia czynów objętych jurysdykcją Sądów Bezpieczeństwa Państwa </w:t>
      </w:r>
      <w:r w:rsidR="0057396A" w:rsidRPr="007579B0">
        <w:rPr>
          <w:lang w:val="pl-PL"/>
        </w:rPr>
        <w:t>było</w:t>
      </w:r>
      <w:r w:rsidR="00F05398" w:rsidRPr="007579B0">
        <w:rPr>
          <w:lang w:val="pl-PL"/>
        </w:rPr>
        <w:t xml:space="preserve"> stosowane względem każdej osoby </w:t>
      </w:r>
      <w:r w:rsidR="0057396A" w:rsidRPr="007579B0">
        <w:rPr>
          <w:lang w:val="pl-PL"/>
        </w:rPr>
        <w:t>zatrzymanej</w:t>
      </w:r>
      <w:r w:rsidR="00F05398" w:rsidRPr="007579B0">
        <w:rPr>
          <w:lang w:val="pl-PL"/>
        </w:rPr>
        <w:t xml:space="preserve"> przez policj</w:t>
      </w:r>
      <w:r w:rsidR="00130536" w:rsidRPr="007579B0">
        <w:rPr>
          <w:lang w:val="pl-PL"/>
        </w:rPr>
        <w:t>ę</w:t>
      </w:r>
      <w:r w:rsidR="00F05398" w:rsidRPr="007579B0">
        <w:rPr>
          <w:lang w:val="pl-PL"/>
        </w:rPr>
        <w:t xml:space="preserve">, niezależnie </w:t>
      </w:r>
      <w:r w:rsidR="00130536" w:rsidRPr="007579B0">
        <w:rPr>
          <w:lang w:val="pl-PL"/>
        </w:rPr>
        <w:t xml:space="preserve">jej </w:t>
      </w:r>
      <w:r w:rsidR="00F05398" w:rsidRPr="007579B0">
        <w:rPr>
          <w:lang w:val="pl-PL"/>
        </w:rPr>
        <w:t>od wieku.</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62</w:t>
      </w:r>
      <w:r w:rsidRPr="007579B0">
        <w:rPr>
          <w:lang w:val="pl-PL"/>
        </w:rPr>
        <w:fldChar w:fldCharType="end"/>
      </w:r>
      <w:r w:rsidR="00F05398" w:rsidRPr="007579B0">
        <w:rPr>
          <w:lang w:val="pl-PL"/>
        </w:rPr>
        <w:t xml:space="preserve">.  Podsumowując, mimo iż skarżący miał możliwość zakwestionowania zgromadzonych przeciwko niemu dowodów w trakcie procesu, a następnie w ramach apelacji, </w:t>
      </w:r>
      <w:r w:rsidR="00130536" w:rsidRPr="007579B0">
        <w:rPr>
          <w:lang w:val="pl-PL"/>
        </w:rPr>
        <w:t xml:space="preserve">fakt </w:t>
      </w:r>
      <w:r w:rsidR="00F05398" w:rsidRPr="007579B0">
        <w:rPr>
          <w:lang w:val="pl-PL"/>
        </w:rPr>
        <w:t>nieobecnoś</w:t>
      </w:r>
      <w:r w:rsidR="00130536" w:rsidRPr="007579B0">
        <w:rPr>
          <w:lang w:val="pl-PL"/>
        </w:rPr>
        <w:t>ci</w:t>
      </w:r>
      <w:r w:rsidR="00F05398" w:rsidRPr="007579B0">
        <w:rPr>
          <w:lang w:val="pl-PL"/>
        </w:rPr>
        <w:t xml:space="preserve"> adwokata podczas aresztowania policyjnego w sposób nieodwracalny naruszył </w:t>
      </w:r>
      <w:r w:rsidR="00130536" w:rsidRPr="007579B0">
        <w:rPr>
          <w:lang w:val="pl-PL"/>
        </w:rPr>
        <w:t>p</w:t>
      </w:r>
      <w:r w:rsidR="00F05398" w:rsidRPr="007579B0">
        <w:rPr>
          <w:lang w:val="pl-PL"/>
        </w:rPr>
        <w:t xml:space="preserve">rawa </w:t>
      </w:r>
      <w:r w:rsidR="00130536" w:rsidRPr="007579B0">
        <w:rPr>
          <w:lang w:val="pl-PL"/>
        </w:rPr>
        <w:t xml:space="preserve">skarżącego </w:t>
      </w:r>
      <w:r w:rsidR="00F05398" w:rsidRPr="007579B0">
        <w:rPr>
          <w:lang w:val="pl-PL"/>
        </w:rPr>
        <w:t>do obrony.</w:t>
      </w:r>
    </w:p>
    <w:p w:rsidR="00F05398" w:rsidRPr="007579B0" w:rsidRDefault="00F05398" w:rsidP="00947D97">
      <w:pPr>
        <w:pStyle w:val="JuHa0"/>
        <w:rPr>
          <w:lang w:val="pl-PL"/>
        </w:rPr>
      </w:pPr>
      <w:r w:rsidRPr="007579B0">
        <w:rPr>
          <w:bCs/>
          <w:lang w:val="pl-PL"/>
        </w:rPr>
        <w:t>(c)  Wniosek</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63</w:t>
      </w:r>
      <w:r w:rsidRPr="007579B0">
        <w:rPr>
          <w:lang w:val="pl-PL"/>
        </w:rPr>
        <w:fldChar w:fldCharType="end"/>
      </w:r>
      <w:r w:rsidR="00F05398" w:rsidRPr="007579B0">
        <w:rPr>
          <w:lang w:val="pl-PL"/>
        </w:rPr>
        <w:t>.  W związku z powyższym Trybunał uznaje, iż doszło do naruszenia artykułu 6 ust. 3 lit. c) Konwencji w związku z artykułem 6 ust. 1 w niniejszej sprawie.</w:t>
      </w:r>
    </w:p>
    <w:p w:rsidR="00F05398" w:rsidRPr="007579B0" w:rsidRDefault="00F05398" w:rsidP="00947D97">
      <w:pPr>
        <w:pStyle w:val="JuHA"/>
        <w:rPr>
          <w:lang w:val="pl-PL"/>
        </w:rPr>
      </w:pPr>
      <w:r w:rsidRPr="007579B0">
        <w:rPr>
          <w:bCs/>
          <w:lang w:val="pl-PL"/>
        </w:rPr>
        <w:t xml:space="preserve">B.  Brak powiadomienia o pisemnej opinii </w:t>
      </w:r>
      <w:r w:rsidR="00CD4248" w:rsidRPr="007579B0">
        <w:rPr>
          <w:bCs/>
          <w:lang w:val="pl-PL"/>
        </w:rPr>
        <w:t>Naczeln</w:t>
      </w:r>
      <w:r w:rsidR="0057396A" w:rsidRPr="007579B0">
        <w:rPr>
          <w:bCs/>
          <w:lang w:val="pl-PL"/>
        </w:rPr>
        <w:t>ego</w:t>
      </w:r>
      <w:r w:rsidR="00CD4248" w:rsidRPr="007579B0">
        <w:rPr>
          <w:bCs/>
          <w:lang w:val="pl-PL"/>
        </w:rPr>
        <w:t xml:space="preserve"> Prokurator</w:t>
      </w:r>
      <w:r w:rsidR="0057396A" w:rsidRPr="007579B0">
        <w:rPr>
          <w:bCs/>
          <w:lang w:val="pl-PL"/>
        </w:rPr>
        <w:t xml:space="preserve">a </w:t>
      </w:r>
      <w:r w:rsidRPr="007579B0">
        <w:rPr>
          <w:bCs/>
          <w:lang w:val="pl-PL"/>
        </w:rPr>
        <w:t>przy Sądzie Kasacyjnym</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64</w:t>
      </w:r>
      <w:r w:rsidRPr="007579B0">
        <w:rPr>
          <w:lang w:val="pl-PL"/>
        </w:rPr>
        <w:fldChar w:fldCharType="end"/>
      </w:r>
      <w:r w:rsidR="00F05398" w:rsidRPr="007579B0">
        <w:rPr>
          <w:lang w:val="pl-PL"/>
        </w:rPr>
        <w:t xml:space="preserve">.  Skarżący podniósł zarzut, że nie doręczono mu pisemnej opinii </w:t>
      </w:r>
      <w:r w:rsidR="00CD4248" w:rsidRPr="007579B0">
        <w:rPr>
          <w:lang w:val="pl-PL"/>
        </w:rPr>
        <w:t>Naczeln</w:t>
      </w:r>
      <w:r w:rsidR="0057396A" w:rsidRPr="007579B0">
        <w:rPr>
          <w:lang w:val="pl-PL"/>
        </w:rPr>
        <w:t>ego</w:t>
      </w:r>
      <w:r w:rsidR="00CD4248" w:rsidRPr="007579B0">
        <w:rPr>
          <w:lang w:val="pl-PL"/>
        </w:rPr>
        <w:t xml:space="preserve"> Prokurator</w:t>
      </w:r>
      <w:r w:rsidR="0057396A" w:rsidRPr="007579B0">
        <w:rPr>
          <w:lang w:val="pl-PL"/>
        </w:rPr>
        <w:t>a</w:t>
      </w:r>
      <w:r w:rsidR="00F05398" w:rsidRPr="007579B0">
        <w:rPr>
          <w:lang w:val="pl-PL"/>
        </w:rPr>
        <w:t xml:space="preserve"> przy Sądzie Kasacyjnym. W tym względzie odniósł się do artykułu 6 ust. 1 Konwencji, który we właściwej części stanowi:</w:t>
      </w:r>
    </w:p>
    <w:p w:rsidR="00F05398" w:rsidRPr="007579B0" w:rsidRDefault="0057396A" w:rsidP="00947D97">
      <w:pPr>
        <w:pStyle w:val="JuQuot"/>
        <w:rPr>
          <w:lang w:val="pl-PL"/>
        </w:rPr>
      </w:pPr>
      <w:r w:rsidRPr="007579B0">
        <w:rPr>
          <w:lang w:val="pl-PL"/>
        </w:rPr>
        <w:t>„</w:t>
      </w:r>
      <w:r w:rsidRPr="007579B0">
        <w:rPr>
          <w:lang w:val="pl-PL" w:eastAsia="pl-PL"/>
        </w:rPr>
        <w:t>Każdy ma prawo do sprawiedliwego … rozpatrzenia jego sprawy … przez … sąd … przy rozstrzyganiu o … zasadności każdego oskarżenia w wytoczonej przeciwko niemu sprawie karnej</w:t>
      </w:r>
      <w:r w:rsidR="00F05398" w:rsidRPr="007579B0">
        <w:rPr>
          <w:lang w:val="pl-PL"/>
        </w:rPr>
        <w:t>...”</w:t>
      </w:r>
    </w:p>
    <w:p w:rsidR="0057396A" w:rsidRPr="007579B0" w:rsidRDefault="0057396A" w:rsidP="00947D97">
      <w:pPr>
        <w:pStyle w:val="JuQuot"/>
        <w:rPr>
          <w:lang w:val="pl-PL"/>
        </w:rPr>
      </w:pPr>
    </w:p>
    <w:p w:rsidR="00F05398" w:rsidRPr="007579B0" w:rsidRDefault="00F05398" w:rsidP="00947D97">
      <w:pPr>
        <w:pStyle w:val="JuH1"/>
        <w:rPr>
          <w:lang w:val="pl-PL"/>
        </w:rPr>
      </w:pPr>
      <w:r w:rsidRPr="007579B0">
        <w:rPr>
          <w:iCs/>
          <w:lang w:val="pl-PL"/>
        </w:rPr>
        <w:t>1.  Wyrok Izby</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65</w:t>
      </w:r>
      <w:r w:rsidRPr="007579B0">
        <w:rPr>
          <w:lang w:val="pl-PL"/>
        </w:rPr>
        <w:fldChar w:fldCharType="end"/>
      </w:r>
      <w:r w:rsidR="00F05398" w:rsidRPr="007579B0">
        <w:rPr>
          <w:lang w:val="pl-PL"/>
        </w:rPr>
        <w:t>.  W wyroku z dnia 26 kwietnia 2007 r. Izba uznała, że – w świetle ustalonego orzecznictwa w tej kwestii – brak powiadomienia</w:t>
      </w:r>
      <w:r w:rsidR="001C459B" w:rsidRPr="007579B0">
        <w:rPr>
          <w:lang w:val="pl-PL"/>
        </w:rPr>
        <w:t xml:space="preserve"> skarżącego</w:t>
      </w:r>
      <w:r w:rsidR="00F05398" w:rsidRPr="007579B0">
        <w:rPr>
          <w:lang w:val="pl-PL"/>
        </w:rPr>
        <w:t xml:space="preserve"> o pisemnej opinii </w:t>
      </w:r>
      <w:r w:rsidR="00CD4248" w:rsidRPr="007579B0">
        <w:rPr>
          <w:lang w:val="pl-PL"/>
        </w:rPr>
        <w:t>Naczeln</w:t>
      </w:r>
      <w:r w:rsidR="0057396A" w:rsidRPr="007579B0">
        <w:rPr>
          <w:lang w:val="pl-PL"/>
        </w:rPr>
        <w:t>ego</w:t>
      </w:r>
      <w:r w:rsidR="00CD4248" w:rsidRPr="007579B0">
        <w:rPr>
          <w:lang w:val="pl-PL"/>
        </w:rPr>
        <w:t xml:space="preserve"> Prokurator</w:t>
      </w:r>
      <w:r w:rsidR="0057396A" w:rsidRPr="007579B0">
        <w:rPr>
          <w:lang w:val="pl-PL"/>
        </w:rPr>
        <w:t>a</w:t>
      </w:r>
      <w:r w:rsidR="00F05398" w:rsidRPr="007579B0">
        <w:rPr>
          <w:lang w:val="pl-PL"/>
        </w:rPr>
        <w:t xml:space="preserve"> przy Sądzie Kasacyjnym stanowił naruszenie </w:t>
      </w:r>
      <w:r w:rsidR="001C459B" w:rsidRPr="007579B0">
        <w:rPr>
          <w:lang w:val="pl-PL"/>
        </w:rPr>
        <w:t xml:space="preserve">jego </w:t>
      </w:r>
      <w:r w:rsidR="00F05398" w:rsidRPr="007579B0">
        <w:rPr>
          <w:lang w:val="pl-PL"/>
        </w:rPr>
        <w:t xml:space="preserve">prawa do postępowania kontradyktoryjnego. Z tego </w:t>
      </w:r>
      <w:r w:rsidR="005C494D">
        <w:rPr>
          <w:lang w:val="pl-PL"/>
        </w:rPr>
        <w:t>powodu</w:t>
      </w:r>
      <w:r w:rsidR="00F05398" w:rsidRPr="007579B0">
        <w:rPr>
          <w:lang w:val="pl-PL"/>
        </w:rPr>
        <w:t xml:space="preserve"> Izba uznała, że doszło do naruszenia artykułu 6 ust. 1 Konwencji.</w:t>
      </w:r>
    </w:p>
    <w:p w:rsidR="00F05398" w:rsidRPr="007579B0" w:rsidRDefault="00F05398" w:rsidP="00947D97">
      <w:pPr>
        <w:pStyle w:val="JuH1"/>
        <w:rPr>
          <w:lang w:val="pl-PL"/>
        </w:rPr>
      </w:pPr>
      <w:r w:rsidRPr="007579B0">
        <w:rPr>
          <w:iCs/>
          <w:lang w:val="pl-PL"/>
        </w:rPr>
        <w:t>2.  Oświadczenia stron</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66</w:t>
      </w:r>
      <w:r w:rsidRPr="007579B0">
        <w:rPr>
          <w:lang w:val="pl-PL"/>
        </w:rPr>
        <w:fldChar w:fldCharType="end"/>
      </w:r>
      <w:r w:rsidR="00F05398" w:rsidRPr="007579B0">
        <w:rPr>
          <w:lang w:val="pl-PL"/>
        </w:rPr>
        <w:t xml:space="preserve">.  Strony nie przedstawiły dalszych spostrzeżeń </w:t>
      </w:r>
      <w:r w:rsidR="005C494D">
        <w:rPr>
          <w:lang w:val="pl-PL"/>
        </w:rPr>
        <w:t>odnośnie do tej</w:t>
      </w:r>
      <w:r w:rsidR="00F05398" w:rsidRPr="007579B0">
        <w:rPr>
          <w:lang w:val="pl-PL"/>
        </w:rPr>
        <w:t xml:space="preserve"> kwestii.</w:t>
      </w:r>
    </w:p>
    <w:p w:rsidR="00F05398" w:rsidRPr="007579B0" w:rsidRDefault="00F05398" w:rsidP="00947D97">
      <w:pPr>
        <w:pStyle w:val="JuH1"/>
        <w:rPr>
          <w:lang w:val="pl-PL"/>
        </w:rPr>
      </w:pPr>
      <w:r w:rsidRPr="007579B0">
        <w:rPr>
          <w:iCs/>
          <w:lang w:val="pl-PL"/>
        </w:rPr>
        <w:t>3.  Ocena Trybunału</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67</w:t>
      </w:r>
      <w:r w:rsidRPr="007579B0">
        <w:rPr>
          <w:lang w:val="pl-PL"/>
        </w:rPr>
        <w:fldChar w:fldCharType="end"/>
      </w:r>
      <w:r w:rsidR="00F05398" w:rsidRPr="007579B0">
        <w:rPr>
          <w:lang w:val="pl-PL"/>
        </w:rPr>
        <w:t>.  Trybunał stwierdza, z przyczyn wskazanych przez Izbę, że zostało naruszone prawo skarżącego do postępowania kontradyktoryjnego. Doszło zatem do naruszenia artykułu 6 ust. 1 Konwencji.</w:t>
      </w:r>
    </w:p>
    <w:p w:rsidR="00F05398" w:rsidRPr="007579B0" w:rsidRDefault="00F05398" w:rsidP="00947D97">
      <w:pPr>
        <w:pStyle w:val="JuHIRoman"/>
        <w:rPr>
          <w:lang w:val="pl-PL"/>
        </w:rPr>
      </w:pPr>
      <w:r w:rsidRPr="007579B0">
        <w:rPr>
          <w:lang w:val="pl-PL"/>
        </w:rPr>
        <w:t>II.  ZASTOSOWANIE ARTYKUŁU 41 KONWENCJI</w:t>
      </w:r>
    </w:p>
    <w:p w:rsidR="00F05398" w:rsidRPr="007579B0" w:rsidRDefault="00B73521" w:rsidP="00947D97">
      <w:pPr>
        <w:pStyle w:val="JuPara"/>
        <w:keepNext/>
        <w:keepLines/>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68</w:t>
      </w:r>
      <w:r w:rsidRPr="007579B0">
        <w:rPr>
          <w:lang w:val="pl-PL"/>
        </w:rPr>
        <w:fldChar w:fldCharType="end"/>
      </w:r>
      <w:r w:rsidR="00F05398" w:rsidRPr="007579B0">
        <w:rPr>
          <w:lang w:val="pl-PL"/>
        </w:rPr>
        <w:t>.  Przepis artykułu 41 Konwencji stanowi:</w:t>
      </w:r>
    </w:p>
    <w:p w:rsidR="00F05398" w:rsidRPr="007579B0" w:rsidRDefault="00F05398" w:rsidP="00947D97">
      <w:pPr>
        <w:pStyle w:val="JuQuot"/>
        <w:keepLines/>
        <w:rPr>
          <w:lang w:val="pl-PL"/>
        </w:rPr>
      </w:pPr>
      <w:r w:rsidRPr="007579B0">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F05398" w:rsidRPr="007579B0" w:rsidRDefault="00F05398" w:rsidP="00947D97">
      <w:pPr>
        <w:pStyle w:val="JuHA"/>
        <w:rPr>
          <w:lang w:val="pl-PL"/>
        </w:rPr>
      </w:pPr>
      <w:r w:rsidRPr="007579B0">
        <w:rPr>
          <w:bCs/>
          <w:lang w:val="pl-PL"/>
        </w:rPr>
        <w:t>A.  Odszkodowanie</w:t>
      </w:r>
    </w:p>
    <w:p w:rsidR="00F05398" w:rsidRPr="007579B0" w:rsidRDefault="00F05398" w:rsidP="00947D97">
      <w:pPr>
        <w:pStyle w:val="JuH1"/>
        <w:rPr>
          <w:lang w:val="pl-PL"/>
        </w:rPr>
      </w:pPr>
      <w:r w:rsidRPr="007579B0">
        <w:rPr>
          <w:iCs/>
          <w:lang w:val="pl-PL"/>
        </w:rPr>
        <w:t>1.  Oświadczenia stron</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69</w:t>
      </w:r>
      <w:r w:rsidRPr="007579B0">
        <w:rPr>
          <w:lang w:val="pl-PL"/>
        </w:rPr>
        <w:fldChar w:fldCharType="end"/>
      </w:r>
      <w:r w:rsidR="00F05398" w:rsidRPr="007579B0">
        <w:rPr>
          <w:lang w:val="pl-PL"/>
        </w:rPr>
        <w:t>.  Skarżący domagał się odszkodowania w wysokości 5.000 euro (EUR) z tytułu szkód materialnych oraz 10.000 EUR z tytułu szkód niematerialnych.</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70</w:t>
      </w:r>
      <w:r w:rsidRPr="007579B0">
        <w:rPr>
          <w:lang w:val="pl-PL"/>
        </w:rPr>
        <w:fldChar w:fldCharType="end"/>
      </w:r>
      <w:r w:rsidR="00F05398" w:rsidRPr="007579B0">
        <w:rPr>
          <w:lang w:val="pl-PL"/>
        </w:rPr>
        <w:t>.  Rząd oświadczył, że kwoty te są nadmierne i nie do zaakceptowania.</w:t>
      </w:r>
    </w:p>
    <w:p w:rsidR="00F05398" w:rsidRPr="007579B0" w:rsidRDefault="00F05398" w:rsidP="00A16DE7">
      <w:pPr>
        <w:pStyle w:val="JuH1"/>
        <w:rPr>
          <w:lang w:val="pl-PL"/>
        </w:rPr>
      </w:pPr>
      <w:r w:rsidRPr="007579B0">
        <w:rPr>
          <w:iCs/>
          <w:lang w:val="pl-PL"/>
        </w:rPr>
        <w:t>2.  Wyrok Izby</w:t>
      </w:r>
    </w:p>
    <w:p w:rsidR="00F05398" w:rsidRPr="007579B0" w:rsidRDefault="00B73521" w:rsidP="00947D97">
      <w:pPr>
        <w:ind w:firstLine="284"/>
        <w:jc w:val="both"/>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71</w:t>
      </w:r>
      <w:r w:rsidRPr="007579B0">
        <w:rPr>
          <w:lang w:val="pl-PL"/>
        </w:rPr>
        <w:fldChar w:fldCharType="end"/>
      </w:r>
      <w:r w:rsidR="00F05398" w:rsidRPr="007579B0">
        <w:rPr>
          <w:lang w:val="pl-PL"/>
        </w:rPr>
        <w:t>.  Izba nie przyznała skarżącemu odszkodowania pieniężnego, uznając, że nie uzasadnił on swoich roszczeń. Izba stwierdziła, iż uznanie naruszenia stanowiło wystarczające słuszne zadośćuczynienie z tytułu poniesionych przez skarżącego szkód niematerialnych.</w:t>
      </w:r>
    </w:p>
    <w:p w:rsidR="00F05398" w:rsidRPr="007579B0" w:rsidRDefault="00F05398" w:rsidP="005F318C">
      <w:pPr>
        <w:pStyle w:val="JuH1"/>
        <w:rPr>
          <w:lang w:val="pl-PL"/>
        </w:rPr>
      </w:pPr>
      <w:r w:rsidRPr="007579B0">
        <w:rPr>
          <w:iCs/>
          <w:lang w:val="pl-PL"/>
        </w:rPr>
        <w:t>3.  Ocena Trybunału</w:t>
      </w:r>
    </w:p>
    <w:p w:rsidR="00F05398" w:rsidRPr="007579B0" w:rsidRDefault="00B73521" w:rsidP="00006772">
      <w:pPr>
        <w:pStyle w:val="JuPara"/>
        <w:rPr>
          <w:szCs w:val="24"/>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72</w:t>
      </w:r>
      <w:r w:rsidRPr="007579B0">
        <w:rPr>
          <w:lang w:val="pl-PL"/>
        </w:rPr>
        <w:fldChar w:fldCharType="end"/>
      </w:r>
      <w:r w:rsidR="00F05398" w:rsidRPr="007579B0">
        <w:rPr>
          <w:lang w:val="pl-PL"/>
        </w:rPr>
        <w:t>.  Trybunał przypomina, że najwłaściwszą formą zadośćuczynienia z tytułu naruszenia artykułu 6 ust. 1 byłoby zapewnienie, że skarżący</w:t>
      </w:r>
      <w:r w:rsidR="006A253A">
        <w:rPr>
          <w:lang w:val="pl-PL"/>
        </w:rPr>
        <w:t xml:space="preserve"> – w najszerszym możliwym zakresie – zostanie postawiony w takiej sytuacji, w jakiej znalazłby się, gdyby </w:t>
      </w:r>
      <w:r w:rsidR="00860F68">
        <w:rPr>
          <w:lang w:val="pl-PL"/>
        </w:rPr>
        <w:t>przepis ten nie został naruszony</w:t>
      </w:r>
      <w:r w:rsidR="00F05398" w:rsidRPr="007579B0">
        <w:rPr>
          <w:lang w:val="pl-PL"/>
        </w:rPr>
        <w:t xml:space="preserve"> (zob. </w:t>
      </w:r>
      <w:r w:rsidR="00F05398" w:rsidRPr="007579B0">
        <w:rPr>
          <w:i/>
          <w:iCs/>
          <w:szCs w:val="24"/>
          <w:lang w:val="pl-PL"/>
        </w:rPr>
        <w:t>Teteriny przeciwko Rosji</w:t>
      </w:r>
      <w:r w:rsidR="00F05398" w:rsidRPr="007579B0">
        <w:rPr>
          <w:szCs w:val="24"/>
          <w:lang w:val="pl-PL"/>
        </w:rPr>
        <w:t xml:space="preserve">, nr 11931/03, § 56, 30 czerwca 2005 r.; </w:t>
      </w:r>
      <w:r w:rsidR="00860F68">
        <w:rPr>
          <w:i/>
          <w:iCs/>
          <w:lang w:val="pl-PL"/>
        </w:rPr>
        <w:t>Jeličić przeciwko Bośni i Herc</w:t>
      </w:r>
      <w:r w:rsidR="00F05398" w:rsidRPr="007579B0">
        <w:rPr>
          <w:i/>
          <w:iCs/>
          <w:lang w:val="pl-PL"/>
        </w:rPr>
        <w:t>egowinie</w:t>
      </w:r>
      <w:r w:rsidR="00F05398" w:rsidRPr="007579B0">
        <w:rPr>
          <w:lang w:val="pl-PL"/>
        </w:rPr>
        <w:t>, nr 41183/02, § 53,</w:t>
      </w:r>
      <w:r w:rsidR="00804E15" w:rsidRPr="007579B0">
        <w:rPr>
          <w:szCs w:val="24"/>
          <w:lang w:val="pl-PL"/>
        </w:rPr>
        <w:t xml:space="preserve"> ETPCz 2006</w:t>
      </w:r>
      <w:r w:rsidR="00804E15" w:rsidRPr="007579B0">
        <w:rPr>
          <w:szCs w:val="24"/>
          <w:lang w:val="pl-PL"/>
        </w:rPr>
        <w:noBreakHyphen/>
        <w:t>XII</w:t>
      </w:r>
      <w:r w:rsidR="00F05398" w:rsidRPr="007579B0">
        <w:rPr>
          <w:szCs w:val="24"/>
          <w:lang w:val="pl-PL"/>
        </w:rPr>
        <w:t xml:space="preserve"> oraz </w:t>
      </w:r>
      <w:r w:rsidR="00F05398" w:rsidRPr="007579B0">
        <w:rPr>
          <w:i/>
          <w:iCs/>
          <w:lang w:val="pl-PL"/>
        </w:rPr>
        <w:t>Mehmet</w:t>
      </w:r>
      <w:r w:rsidR="00804E15" w:rsidRPr="007579B0">
        <w:rPr>
          <w:i/>
          <w:iCs/>
          <w:lang w:val="pl-PL"/>
        </w:rPr>
        <w:t xml:space="preserve"> i</w:t>
      </w:r>
      <w:r w:rsidR="00F05398" w:rsidRPr="007579B0">
        <w:rPr>
          <w:i/>
          <w:iCs/>
          <w:lang w:val="pl-PL"/>
        </w:rPr>
        <w:t xml:space="preserve"> Suna Yiğit przeciwko Turcji</w:t>
      </w:r>
      <w:r w:rsidR="00F05398" w:rsidRPr="007579B0">
        <w:rPr>
          <w:lang w:val="pl-PL"/>
        </w:rPr>
        <w:t>, nr 52658/99, § 47, 17 lipca 2007 r.</w:t>
      </w:r>
      <w:r w:rsidR="00F05398" w:rsidRPr="007579B0">
        <w:rPr>
          <w:szCs w:val="24"/>
          <w:lang w:val="pl-PL"/>
        </w:rPr>
        <w:t>). Trybunał uznaje, że zasada ta ma zastosowanie również w</w:t>
      </w:r>
      <w:r w:rsidR="00804E15" w:rsidRPr="007579B0">
        <w:rPr>
          <w:szCs w:val="24"/>
          <w:lang w:val="pl-PL"/>
        </w:rPr>
        <w:t xml:space="preserve"> odniesieniu do </w:t>
      </w:r>
      <w:r w:rsidR="00F05398" w:rsidRPr="007579B0">
        <w:rPr>
          <w:szCs w:val="24"/>
          <w:lang w:val="pl-PL"/>
        </w:rPr>
        <w:t xml:space="preserve">niniejszej sprawy. W konsekwencji Trybunał stwierdza, że najwłaściwszą formą zadośćuczynienia byłoby ponowne rozpoznanie sprawy zgodnie z wymogami artykułu 6 ust. 1 Konwencji, gdyby skarżący złożył taki wniosek (zob. </w:t>
      </w:r>
      <w:r w:rsidR="00F05398" w:rsidRPr="007579B0">
        <w:rPr>
          <w:i/>
          <w:iCs/>
          <w:szCs w:val="24"/>
          <w:lang w:val="pl-PL"/>
        </w:rPr>
        <w:t>mutatis mutandis</w:t>
      </w:r>
      <w:r w:rsidR="00F05398" w:rsidRPr="007579B0">
        <w:rPr>
          <w:szCs w:val="24"/>
          <w:lang w:val="pl-PL"/>
        </w:rPr>
        <w:t xml:space="preserve"> </w:t>
      </w:r>
      <w:r w:rsidR="00F05398" w:rsidRPr="007579B0">
        <w:rPr>
          <w:i/>
          <w:iCs/>
          <w:lang w:val="pl-PL"/>
        </w:rPr>
        <w:t>Gençel przeciwko Turcji</w:t>
      </w:r>
      <w:r w:rsidR="00F05398" w:rsidRPr="007579B0">
        <w:rPr>
          <w:lang w:val="pl-PL"/>
        </w:rPr>
        <w:t>, nr 53431/99, § 27, 23 października 2003 r.).</w:t>
      </w:r>
    </w:p>
    <w:p w:rsidR="00F05398" w:rsidRPr="007579B0" w:rsidRDefault="00B73521" w:rsidP="00006772">
      <w:pPr>
        <w:pStyle w:val="JuPara"/>
        <w:rPr>
          <w:lang w:val="pl-PL"/>
        </w:rPr>
      </w:pPr>
      <w:r w:rsidRPr="007579B0">
        <w:rPr>
          <w:szCs w:val="24"/>
          <w:lang w:val="pl-PL"/>
        </w:rPr>
        <w:fldChar w:fldCharType="begin"/>
      </w:r>
      <w:r w:rsidR="00F05398" w:rsidRPr="007579B0">
        <w:rPr>
          <w:szCs w:val="24"/>
          <w:lang w:val="pl-PL"/>
        </w:rPr>
        <w:instrText xml:space="preserve"> SEQ level0 \*arabic </w:instrText>
      </w:r>
      <w:r w:rsidRPr="007579B0">
        <w:rPr>
          <w:szCs w:val="24"/>
          <w:lang w:val="pl-PL"/>
        </w:rPr>
        <w:fldChar w:fldCharType="separate"/>
      </w:r>
      <w:r w:rsidR="00F05398" w:rsidRPr="007579B0">
        <w:rPr>
          <w:noProof/>
          <w:szCs w:val="24"/>
          <w:lang w:val="pl-PL"/>
        </w:rPr>
        <w:t>73</w:t>
      </w:r>
      <w:r w:rsidRPr="007579B0">
        <w:rPr>
          <w:szCs w:val="24"/>
          <w:lang w:val="pl-PL"/>
        </w:rPr>
        <w:fldChar w:fldCharType="end"/>
      </w:r>
      <w:r w:rsidR="00F05398" w:rsidRPr="007579B0">
        <w:rPr>
          <w:szCs w:val="24"/>
          <w:lang w:val="pl-PL"/>
        </w:rPr>
        <w:t>.  Orzekając na zasadzie słuszności z</w:t>
      </w:r>
      <w:r w:rsidR="00DE1E34">
        <w:rPr>
          <w:szCs w:val="24"/>
          <w:lang w:val="pl-PL"/>
        </w:rPr>
        <w:t>godnie z artykułem 41 Konwencji</w:t>
      </w:r>
      <w:r w:rsidR="00F05398" w:rsidRPr="007579B0">
        <w:rPr>
          <w:szCs w:val="24"/>
          <w:lang w:val="pl-PL"/>
        </w:rPr>
        <w:t xml:space="preserve"> Trybunał przyznaje skarżącemu kwotę 2.000 EUR z tytułu szkody niematerialnej.</w:t>
      </w:r>
    </w:p>
    <w:p w:rsidR="00F05398" w:rsidRPr="007579B0" w:rsidRDefault="00F05398" w:rsidP="00947D97">
      <w:pPr>
        <w:pStyle w:val="JuHA"/>
        <w:rPr>
          <w:lang w:val="pl-PL"/>
        </w:rPr>
      </w:pPr>
      <w:r w:rsidRPr="007579B0">
        <w:rPr>
          <w:bCs/>
          <w:lang w:val="pl-PL"/>
        </w:rPr>
        <w:t>B.  Koszty i wydatki</w:t>
      </w:r>
    </w:p>
    <w:p w:rsidR="00F05398" w:rsidRPr="007579B0" w:rsidRDefault="00F05398" w:rsidP="00947D97">
      <w:pPr>
        <w:pStyle w:val="JuH1"/>
        <w:rPr>
          <w:lang w:val="pl-PL"/>
        </w:rPr>
      </w:pPr>
      <w:r w:rsidRPr="007579B0">
        <w:rPr>
          <w:iCs/>
          <w:lang w:val="pl-PL"/>
        </w:rPr>
        <w:t>1.  Oświadczenia stron</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74</w:t>
      </w:r>
      <w:r w:rsidRPr="007579B0">
        <w:rPr>
          <w:lang w:val="pl-PL"/>
        </w:rPr>
        <w:fldChar w:fldCharType="end"/>
      </w:r>
      <w:r w:rsidR="00F05398" w:rsidRPr="007579B0">
        <w:rPr>
          <w:lang w:val="pl-PL"/>
        </w:rPr>
        <w:t xml:space="preserve">.  Skarżący domagał się kwoty 3.500 EUR z tytułu kosztów i wydatków poniesionych </w:t>
      </w:r>
      <w:r w:rsidR="00DE1E34">
        <w:rPr>
          <w:lang w:val="pl-PL"/>
        </w:rPr>
        <w:t>w toku</w:t>
      </w:r>
      <w:r w:rsidR="00F05398" w:rsidRPr="007579B0">
        <w:rPr>
          <w:lang w:val="pl-PL"/>
        </w:rPr>
        <w:t xml:space="preserve"> postępowania przed sądami krajowymi oraz przed Izbą, przy czym nie przedstawił dokumentów uzasadniających to żądanie. Należy zauważyć, że skarżący nie skorygował pierwotnego roszczenia wniesionego do Izby, lecz złożył wniosek o pomoc prawną na pokrycie kosztów poniesionych z tytułu postępowania przed Wielką Izbą.</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75</w:t>
      </w:r>
      <w:r w:rsidRPr="007579B0">
        <w:rPr>
          <w:lang w:val="pl-PL"/>
        </w:rPr>
        <w:fldChar w:fldCharType="end"/>
      </w:r>
      <w:r w:rsidR="00F05398" w:rsidRPr="007579B0">
        <w:rPr>
          <w:lang w:val="pl-PL"/>
        </w:rPr>
        <w:t>.  Rząd zakwestionował t</w:t>
      </w:r>
      <w:r w:rsidR="005F2DA6">
        <w:rPr>
          <w:lang w:val="pl-PL"/>
        </w:rPr>
        <w:t>o roszczenie</w:t>
      </w:r>
      <w:r w:rsidR="00F05398" w:rsidRPr="007579B0">
        <w:rPr>
          <w:lang w:val="pl-PL"/>
        </w:rPr>
        <w:t xml:space="preserve"> twierdząc, iż jest ono nieuzasadnione.</w:t>
      </w:r>
    </w:p>
    <w:p w:rsidR="00F05398" w:rsidRPr="007579B0" w:rsidRDefault="00F05398" w:rsidP="00947D97">
      <w:pPr>
        <w:pStyle w:val="JuH1"/>
        <w:rPr>
          <w:lang w:val="pl-PL"/>
        </w:rPr>
      </w:pPr>
      <w:r w:rsidRPr="007579B0">
        <w:rPr>
          <w:iCs/>
          <w:lang w:val="pl-PL"/>
        </w:rPr>
        <w:t>2.  Wyrok Izby</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76</w:t>
      </w:r>
      <w:r w:rsidRPr="007579B0">
        <w:rPr>
          <w:lang w:val="pl-PL"/>
        </w:rPr>
        <w:fldChar w:fldCharType="end"/>
      </w:r>
      <w:r w:rsidR="00F05398" w:rsidRPr="007579B0">
        <w:rPr>
          <w:lang w:val="pl-PL"/>
        </w:rPr>
        <w:t>.  Izba przyznała skarżącemu 1.000 EUR z tytułu kosztów i wydatków.</w:t>
      </w:r>
    </w:p>
    <w:p w:rsidR="00F05398" w:rsidRPr="007579B0" w:rsidRDefault="00F05398" w:rsidP="00947D97">
      <w:pPr>
        <w:pStyle w:val="JuH1"/>
        <w:rPr>
          <w:lang w:val="pl-PL"/>
        </w:rPr>
      </w:pPr>
      <w:r w:rsidRPr="007579B0">
        <w:rPr>
          <w:iCs/>
          <w:lang w:val="pl-PL"/>
        </w:rPr>
        <w:t>3.  Ocena Trybunału</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77</w:t>
      </w:r>
      <w:r w:rsidRPr="007579B0">
        <w:rPr>
          <w:lang w:val="pl-PL"/>
        </w:rPr>
        <w:fldChar w:fldCharType="end"/>
      </w:r>
      <w:r w:rsidR="00860F68">
        <w:rPr>
          <w:lang w:val="pl-PL"/>
        </w:rPr>
        <w:t>.  Trybunał zauważa,</w:t>
      </w:r>
      <w:r w:rsidR="00F05398" w:rsidRPr="007579B0">
        <w:rPr>
          <w:lang w:val="pl-PL"/>
        </w:rPr>
        <w:t xml:space="preserve"> że skarżący skorzystał z pomocy prawnej na pokrycie kosztów i wydatków poniesionych w związku z postępowaniem przed Wielką Izbą. W rezultacie koszty i wydatki obejmują wyłącznie koszty i wydatki poniesione w związku z postępowaniem przed sądami krajowymi oraz Izbą.</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78</w:t>
      </w:r>
      <w:r w:rsidRPr="007579B0">
        <w:rPr>
          <w:lang w:val="pl-PL"/>
        </w:rPr>
        <w:fldChar w:fldCharType="end"/>
      </w:r>
      <w:r w:rsidR="00F05398" w:rsidRPr="007579B0">
        <w:rPr>
          <w:lang w:val="pl-PL"/>
        </w:rPr>
        <w:t xml:space="preserve">.  Zgodnie z ustalonym orzecznictwem Trybunału, skarżący jest uprawniony do zwrotu kosztów i wydatków zgodnie z artykułem 41, pod warunkiem ustalenia, że zostały one rzeczywiście i </w:t>
      </w:r>
      <w:r w:rsidR="000F16CB" w:rsidRPr="007579B0">
        <w:rPr>
          <w:lang w:val="pl-PL"/>
        </w:rPr>
        <w:t>koniecznie</w:t>
      </w:r>
      <w:r w:rsidR="005F2DA6">
        <w:rPr>
          <w:lang w:val="pl-PL"/>
        </w:rPr>
        <w:t xml:space="preserve"> poniesione</w:t>
      </w:r>
      <w:r w:rsidR="00F05398" w:rsidRPr="007579B0">
        <w:rPr>
          <w:lang w:val="pl-PL"/>
        </w:rPr>
        <w:t xml:space="preserve"> i były uzasadnione co do wysokości. Ponadto koszty prawne podlegają zwrotowi w zakresie, w jakim dotyczą one uznanego naruszenia (zob. między innymi </w:t>
      </w:r>
      <w:r w:rsidR="00F05398" w:rsidRPr="007579B0">
        <w:rPr>
          <w:i/>
          <w:iCs/>
          <w:lang w:val="pl-PL"/>
        </w:rPr>
        <w:t>Beyeler przeciwko Włochom</w:t>
      </w:r>
      <w:r w:rsidR="00F05398" w:rsidRPr="007579B0">
        <w:rPr>
          <w:lang w:val="pl-PL"/>
        </w:rPr>
        <w:t xml:space="preserve"> (słuszne zadośćuczynienie) [WI], nr 33202/96, § 27, 28 maja 2002 r. oraz </w:t>
      </w:r>
      <w:r w:rsidR="00F05398" w:rsidRPr="007579B0">
        <w:rPr>
          <w:i/>
          <w:iCs/>
          <w:lang w:val="pl-PL"/>
        </w:rPr>
        <w:t xml:space="preserve">Sahin przeciwko Niemcom </w:t>
      </w:r>
      <w:r w:rsidR="00F05398" w:rsidRPr="007579B0">
        <w:rPr>
          <w:lang w:val="pl-PL"/>
        </w:rPr>
        <w:t xml:space="preserve"> [WI], nr 30943/96, § 105, ETPCz 2003</w:t>
      </w:r>
      <w:r w:rsidR="00F05398" w:rsidRPr="007579B0">
        <w:rPr>
          <w:lang w:val="pl-PL"/>
        </w:rPr>
        <w:noBreakHyphen/>
        <w:t>VIII).</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79</w:t>
      </w:r>
      <w:r w:rsidRPr="007579B0">
        <w:rPr>
          <w:lang w:val="pl-PL"/>
        </w:rPr>
        <w:fldChar w:fldCharType="end"/>
      </w:r>
      <w:r w:rsidR="00F05398" w:rsidRPr="007579B0">
        <w:rPr>
          <w:lang w:val="pl-PL"/>
        </w:rPr>
        <w:t>.  W związku z powyższym Trybunał przyznaje skarżącemu kwotę uprzednio przyznaną przez Izbę, mianowicie 1.000 EUR.</w:t>
      </w:r>
    </w:p>
    <w:p w:rsidR="00F05398" w:rsidRPr="007579B0" w:rsidRDefault="00F05398" w:rsidP="00947D97">
      <w:pPr>
        <w:pStyle w:val="JuHA"/>
        <w:rPr>
          <w:lang w:val="pl-PL"/>
        </w:rPr>
      </w:pPr>
      <w:r w:rsidRPr="007579B0">
        <w:rPr>
          <w:bCs/>
          <w:lang w:val="pl-PL"/>
        </w:rPr>
        <w:t>C.  Odsetki za zwłokę</w:t>
      </w:r>
    </w:p>
    <w:p w:rsidR="00F05398" w:rsidRPr="007579B0" w:rsidRDefault="00B73521" w:rsidP="00947D97">
      <w:pPr>
        <w:pStyle w:val="JuPara"/>
        <w:rPr>
          <w:lang w:val="pl-PL"/>
        </w:rPr>
      </w:pPr>
      <w:r w:rsidRPr="007579B0">
        <w:rPr>
          <w:lang w:val="pl-PL"/>
        </w:rPr>
        <w:fldChar w:fldCharType="begin"/>
      </w:r>
      <w:r w:rsidR="00F05398" w:rsidRPr="007579B0">
        <w:rPr>
          <w:lang w:val="pl-PL"/>
        </w:rPr>
        <w:instrText xml:space="preserve"> SEQ level0 \*arabic </w:instrText>
      </w:r>
      <w:r w:rsidRPr="007579B0">
        <w:rPr>
          <w:lang w:val="pl-PL"/>
        </w:rPr>
        <w:fldChar w:fldCharType="separate"/>
      </w:r>
      <w:r w:rsidR="00F05398" w:rsidRPr="007579B0">
        <w:rPr>
          <w:noProof/>
          <w:lang w:val="pl-PL"/>
        </w:rPr>
        <w:t>80</w:t>
      </w:r>
      <w:r w:rsidRPr="007579B0">
        <w:rPr>
          <w:lang w:val="pl-PL"/>
        </w:rPr>
        <w:fldChar w:fldCharType="end"/>
      </w:r>
      <w:r w:rsidR="00F05398" w:rsidRPr="007579B0">
        <w:rPr>
          <w:lang w:val="pl-PL"/>
        </w:rPr>
        <w:t>.  Trybunał uznaje za właściwe, by odsetki z tytułu niewypłacenia zasądzonych kwot zostały u</w:t>
      </w:r>
      <w:r w:rsidR="005F2DA6">
        <w:rPr>
          <w:lang w:val="pl-PL"/>
        </w:rPr>
        <w:t>stalone zgodnie ze stopą kredytową</w:t>
      </w:r>
      <w:r w:rsidR="00F05398" w:rsidRPr="007579B0">
        <w:rPr>
          <w:lang w:val="pl-PL"/>
        </w:rPr>
        <w:t xml:space="preserve"> Europejskiego Banku Centralnego na koniec dnia, plus trzy punkty procentowe.</w:t>
      </w:r>
    </w:p>
    <w:p w:rsidR="00F05398" w:rsidRPr="007579B0" w:rsidRDefault="00F05398" w:rsidP="00947D97">
      <w:pPr>
        <w:pStyle w:val="JuHHead"/>
        <w:rPr>
          <w:lang w:val="pl-PL"/>
        </w:rPr>
      </w:pPr>
      <w:r w:rsidRPr="007579B0">
        <w:rPr>
          <w:lang w:val="pl-PL"/>
        </w:rPr>
        <w:t>Z TYCH PRZYCZYN TRYBUNAŁ JEDNOMYŚLNIE</w:t>
      </w:r>
    </w:p>
    <w:p w:rsidR="00F05398" w:rsidRPr="007579B0" w:rsidRDefault="00F05398" w:rsidP="00006772">
      <w:pPr>
        <w:pStyle w:val="JuList"/>
        <w:rPr>
          <w:lang w:val="pl-PL"/>
        </w:rPr>
      </w:pPr>
      <w:r w:rsidRPr="007579B0">
        <w:rPr>
          <w:lang w:val="pl-PL"/>
        </w:rPr>
        <w:t>1.  </w:t>
      </w:r>
      <w:r w:rsidRPr="007579B0">
        <w:rPr>
          <w:i/>
          <w:iCs/>
          <w:lang w:val="pl-PL"/>
        </w:rPr>
        <w:t xml:space="preserve">Uznaje, </w:t>
      </w:r>
      <w:r w:rsidRPr="007579B0">
        <w:rPr>
          <w:lang w:val="pl-PL"/>
        </w:rPr>
        <w:t xml:space="preserve">że doszło do naruszenia artykułu 6 ust. 3 lit. c) Konwencji w </w:t>
      </w:r>
      <w:r w:rsidR="00540F12" w:rsidRPr="007579B0">
        <w:rPr>
          <w:lang w:val="pl-PL"/>
        </w:rPr>
        <w:t>połączeniu</w:t>
      </w:r>
      <w:r w:rsidRPr="007579B0">
        <w:rPr>
          <w:lang w:val="pl-PL"/>
        </w:rPr>
        <w:t xml:space="preserve"> z artykułem 6 ust. 1, ze względu na brak pomocy prawnej na rzecz skarżącego w okresie </w:t>
      </w:r>
      <w:r w:rsidR="00540F12" w:rsidRPr="007579B0">
        <w:rPr>
          <w:lang w:val="pl-PL"/>
        </w:rPr>
        <w:t>aresztowania policyjnego</w:t>
      </w:r>
      <w:r w:rsidRPr="007579B0">
        <w:rPr>
          <w:lang w:val="pl-PL"/>
        </w:rPr>
        <w:t>;</w:t>
      </w:r>
    </w:p>
    <w:p w:rsidR="00F05398" w:rsidRPr="007579B0" w:rsidRDefault="00F05398" w:rsidP="00947D97">
      <w:pPr>
        <w:pStyle w:val="JuList"/>
        <w:rPr>
          <w:lang w:val="pl-PL"/>
        </w:rPr>
      </w:pPr>
    </w:p>
    <w:p w:rsidR="00F05398" w:rsidRPr="007579B0" w:rsidRDefault="00F05398" w:rsidP="00006772">
      <w:pPr>
        <w:pStyle w:val="JuList"/>
        <w:rPr>
          <w:lang w:val="pl-PL"/>
        </w:rPr>
      </w:pPr>
      <w:r w:rsidRPr="007579B0">
        <w:rPr>
          <w:lang w:val="pl-PL"/>
        </w:rPr>
        <w:t>2</w:t>
      </w:r>
      <w:r w:rsidRPr="007579B0">
        <w:rPr>
          <w:i/>
          <w:iCs/>
          <w:lang w:val="pl-PL"/>
        </w:rPr>
        <w:t>.  Uznaje</w:t>
      </w:r>
      <w:r w:rsidRPr="007579B0">
        <w:rPr>
          <w:lang w:val="pl-PL"/>
        </w:rPr>
        <w:t xml:space="preserve">, że doszło do naruszenia artykułu 6 ust. 1 Konwencji z tytułu braku </w:t>
      </w:r>
      <w:r w:rsidR="006447B2" w:rsidRPr="007579B0">
        <w:rPr>
          <w:lang w:val="pl-PL"/>
        </w:rPr>
        <w:t>powiadomienia</w:t>
      </w:r>
      <w:r w:rsidRPr="007579B0">
        <w:rPr>
          <w:lang w:val="pl-PL"/>
        </w:rPr>
        <w:t xml:space="preserve"> o pisemnej opinii </w:t>
      </w:r>
      <w:r w:rsidR="00CD4248" w:rsidRPr="007579B0">
        <w:rPr>
          <w:lang w:val="pl-PL"/>
        </w:rPr>
        <w:t>Naczeln</w:t>
      </w:r>
      <w:r w:rsidR="000F16CB" w:rsidRPr="007579B0">
        <w:rPr>
          <w:lang w:val="pl-PL"/>
        </w:rPr>
        <w:t>ego</w:t>
      </w:r>
      <w:r w:rsidR="00CD4248" w:rsidRPr="007579B0">
        <w:rPr>
          <w:lang w:val="pl-PL"/>
        </w:rPr>
        <w:t xml:space="preserve"> Prokurator</w:t>
      </w:r>
      <w:r w:rsidR="000F16CB" w:rsidRPr="007579B0">
        <w:rPr>
          <w:lang w:val="pl-PL"/>
        </w:rPr>
        <w:t>a</w:t>
      </w:r>
      <w:r w:rsidRPr="007579B0">
        <w:rPr>
          <w:lang w:val="pl-PL"/>
        </w:rPr>
        <w:t xml:space="preserve"> przy Sądzie Kasacyjnym;</w:t>
      </w:r>
    </w:p>
    <w:p w:rsidR="00F05398" w:rsidRPr="007579B0" w:rsidRDefault="00F05398" w:rsidP="00947D97">
      <w:pPr>
        <w:pStyle w:val="JuList"/>
        <w:rPr>
          <w:lang w:val="pl-PL"/>
        </w:rPr>
      </w:pPr>
    </w:p>
    <w:p w:rsidR="00F05398" w:rsidRPr="007579B0" w:rsidRDefault="00F05398" w:rsidP="00006772">
      <w:pPr>
        <w:pStyle w:val="JuList"/>
        <w:rPr>
          <w:lang w:val="pl-PL"/>
        </w:rPr>
      </w:pPr>
      <w:r w:rsidRPr="007579B0">
        <w:rPr>
          <w:lang w:val="pl-PL"/>
        </w:rPr>
        <w:t>3.  </w:t>
      </w:r>
      <w:r w:rsidRPr="007579B0">
        <w:rPr>
          <w:i/>
          <w:iCs/>
          <w:lang w:val="pl-PL"/>
        </w:rPr>
        <w:t>Uznaje:</w:t>
      </w:r>
    </w:p>
    <w:p w:rsidR="00F05398" w:rsidRPr="007579B0" w:rsidRDefault="00F05398" w:rsidP="00947D97">
      <w:pPr>
        <w:pStyle w:val="JuLista"/>
        <w:rPr>
          <w:lang w:val="pl-PL"/>
        </w:rPr>
      </w:pPr>
      <w:r w:rsidRPr="007579B0">
        <w:rPr>
          <w:lang w:val="pl-PL"/>
        </w:rPr>
        <w:t>(a)  że pozwane Państwo ma obowiązek wypłacić skarżącemu w terminie trzech miesięcy następujące kwoty, w przeliczeniu na liry tureckie po kursie wymiany obowiązującym w dniu rozliczenia;</w:t>
      </w:r>
    </w:p>
    <w:p w:rsidR="00F05398" w:rsidRPr="007579B0" w:rsidRDefault="00F05398" w:rsidP="00947D97">
      <w:pPr>
        <w:pStyle w:val="JuListi"/>
        <w:rPr>
          <w:lang w:val="pl-PL"/>
        </w:rPr>
      </w:pPr>
      <w:r w:rsidRPr="007579B0">
        <w:rPr>
          <w:lang w:val="pl-PL"/>
        </w:rPr>
        <w:t>(i) 2.000 EUR (dwa tysiące euro), wraz z ewentualnymi podatkami, z tytułu poniesionej szkody niematerialnej;</w:t>
      </w:r>
    </w:p>
    <w:p w:rsidR="00F05398" w:rsidRPr="007579B0" w:rsidRDefault="00F05398" w:rsidP="00947D97">
      <w:pPr>
        <w:pStyle w:val="JuListi"/>
        <w:rPr>
          <w:lang w:val="pl-PL"/>
        </w:rPr>
      </w:pPr>
      <w:r w:rsidRPr="007579B0">
        <w:rPr>
          <w:lang w:val="pl-PL"/>
        </w:rPr>
        <w:t>(ii) 1.000 EUR (jeden tysiąc euro), wraz z ewentualnymi podatkami, z tytułu kosztów i wydatków;</w:t>
      </w:r>
    </w:p>
    <w:p w:rsidR="00F05398" w:rsidRPr="007579B0" w:rsidRDefault="00F05398" w:rsidP="00947D97">
      <w:pPr>
        <w:pStyle w:val="JuLista"/>
        <w:rPr>
          <w:lang w:val="pl-PL"/>
        </w:rPr>
      </w:pPr>
      <w:r w:rsidRPr="007579B0">
        <w:rPr>
          <w:lang w:val="pl-PL"/>
        </w:rPr>
        <w:t>(b)  że od wygaśnięcia powyższego trzymiesięcznego terminu do momentu zapłaty płatne od tych sum będą zwykłe odsetki obliczone według stopy procentowej Europejskiego Banku Centralnego na koniec dnia plus trzy punkty procentowe;</w:t>
      </w:r>
    </w:p>
    <w:p w:rsidR="00F05398" w:rsidRPr="007579B0" w:rsidRDefault="00F05398" w:rsidP="00947D97">
      <w:pPr>
        <w:pStyle w:val="JuList"/>
        <w:rPr>
          <w:lang w:val="pl-PL"/>
        </w:rPr>
      </w:pPr>
    </w:p>
    <w:p w:rsidR="00F05398" w:rsidRPr="007579B0" w:rsidRDefault="00F05398" w:rsidP="00440231">
      <w:pPr>
        <w:pStyle w:val="JuList"/>
        <w:rPr>
          <w:lang w:val="pl-PL"/>
        </w:rPr>
      </w:pPr>
      <w:r w:rsidRPr="007579B0">
        <w:rPr>
          <w:lang w:val="pl-PL"/>
        </w:rPr>
        <w:t>4.  </w:t>
      </w:r>
      <w:r w:rsidRPr="007579B0">
        <w:rPr>
          <w:i/>
          <w:iCs/>
          <w:lang w:val="pl-PL"/>
        </w:rPr>
        <w:t>Oddala</w:t>
      </w:r>
      <w:r w:rsidRPr="007579B0">
        <w:rPr>
          <w:lang w:val="pl-PL"/>
        </w:rPr>
        <w:t xml:space="preserve"> pozostałą część roszczenia skarżąc</w:t>
      </w:r>
      <w:r w:rsidR="006268AF">
        <w:rPr>
          <w:lang w:val="pl-PL"/>
        </w:rPr>
        <w:t>ego</w:t>
      </w:r>
      <w:r w:rsidRPr="007579B0">
        <w:rPr>
          <w:lang w:val="pl-PL"/>
        </w:rPr>
        <w:t xml:space="preserve"> dotyczącą słusznego zadośćuczynienia.</w:t>
      </w:r>
    </w:p>
    <w:p w:rsidR="00F05398" w:rsidRPr="007579B0" w:rsidRDefault="00F05398" w:rsidP="00A52CB2">
      <w:pPr>
        <w:pStyle w:val="JuParaLast"/>
        <w:rPr>
          <w:lang w:val="pl-PL"/>
        </w:rPr>
      </w:pPr>
      <w:r w:rsidRPr="007579B0">
        <w:rPr>
          <w:lang w:val="pl-PL"/>
        </w:rPr>
        <w:t xml:space="preserve">Sporządzono w języku </w:t>
      </w:r>
      <w:r w:rsidR="006447B2" w:rsidRPr="007579B0">
        <w:rPr>
          <w:lang w:val="pl-PL"/>
        </w:rPr>
        <w:t>angielskim</w:t>
      </w:r>
      <w:r w:rsidR="006268AF">
        <w:rPr>
          <w:lang w:val="pl-PL"/>
        </w:rPr>
        <w:t xml:space="preserve"> i francuskim</w:t>
      </w:r>
      <w:r w:rsidR="00B274A8" w:rsidRPr="007579B0">
        <w:rPr>
          <w:lang w:val="pl-PL"/>
        </w:rPr>
        <w:t xml:space="preserve"> </w:t>
      </w:r>
      <w:r w:rsidRPr="007579B0">
        <w:rPr>
          <w:lang w:val="pl-PL"/>
        </w:rPr>
        <w:t xml:space="preserve">i obwieszczono </w:t>
      </w:r>
      <w:r w:rsidR="00B274A8" w:rsidRPr="007579B0">
        <w:rPr>
          <w:lang w:val="pl-PL"/>
        </w:rPr>
        <w:t xml:space="preserve">podczas publicznej rozprawy w Gmachu Europejskiego Trybunału Praw Człowieka </w:t>
      </w:r>
      <w:r w:rsidR="00897119" w:rsidRPr="007579B0">
        <w:rPr>
          <w:lang w:val="pl-PL"/>
        </w:rPr>
        <w:t>w</w:t>
      </w:r>
      <w:r w:rsidRPr="007579B0">
        <w:rPr>
          <w:lang w:val="pl-PL"/>
        </w:rPr>
        <w:t xml:space="preserve"> Strasburg</w:t>
      </w:r>
      <w:r w:rsidR="00897119" w:rsidRPr="007579B0">
        <w:rPr>
          <w:lang w:val="pl-PL"/>
        </w:rPr>
        <w:t>u</w:t>
      </w:r>
      <w:r w:rsidRPr="007579B0">
        <w:rPr>
          <w:lang w:val="pl-PL"/>
        </w:rPr>
        <w:t xml:space="preserve"> </w:t>
      </w:r>
      <w:r w:rsidR="00897119" w:rsidRPr="007579B0">
        <w:rPr>
          <w:lang w:val="pl-PL"/>
        </w:rPr>
        <w:t>w dniu</w:t>
      </w:r>
      <w:r w:rsidRPr="007579B0">
        <w:rPr>
          <w:lang w:val="pl-PL"/>
        </w:rPr>
        <w:t xml:space="preserve"> 27 listopada 2008</w:t>
      </w:r>
      <w:r w:rsidR="00897119" w:rsidRPr="007579B0">
        <w:rPr>
          <w:lang w:val="pl-PL"/>
        </w:rPr>
        <w:t xml:space="preserve"> roku</w:t>
      </w:r>
      <w:r w:rsidRPr="007579B0">
        <w:rPr>
          <w:lang w:val="pl-PL"/>
        </w:rPr>
        <w:t>.</w:t>
      </w:r>
    </w:p>
    <w:p w:rsidR="00F05398" w:rsidRPr="007579B0" w:rsidRDefault="00F05398" w:rsidP="00947D97">
      <w:pPr>
        <w:pStyle w:val="JuSigned"/>
        <w:keepLines/>
        <w:rPr>
          <w:lang w:val="pl-PL"/>
        </w:rPr>
      </w:pPr>
      <w:r w:rsidRPr="007579B0">
        <w:rPr>
          <w:lang w:val="pl-PL"/>
        </w:rPr>
        <w:t>Vincent Berger</w:t>
      </w:r>
      <w:r w:rsidRPr="007579B0">
        <w:rPr>
          <w:lang w:val="pl-PL"/>
        </w:rPr>
        <w:tab/>
        <w:t xml:space="preserve">    Nicolas Bratza</w:t>
      </w:r>
      <w:r w:rsidRPr="007579B0">
        <w:rPr>
          <w:lang w:val="pl-PL"/>
        </w:rPr>
        <w:br/>
        <w:t xml:space="preserve">  </w:t>
      </w:r>
      <w:r w:rsidR="007579B0" w:rsidRPr="007579B0">
        <w:rPr>
          <w:lang w:val="pl-PL"/>
        </w:rPr>
        <w:t>Radca Prawny</w:t>
      </w:r>
      <w:r w:rsidRPr="007579B0">
        <w:rPr>
          <w:lang w:val="pl-PL"/>
        </w:rPr>
        <w:tab/>
        <w:t xml:space="preserve">    Pr</w:t>
      </w:r>
      <w:r w:rsidR="00897119" w:rsidRPr="007579B0">
        <w:rPr>
          <w:lang w:val="pl-PL"/>
        </w:rPr>
        <w:t>z</w:t>
      </w:r>
      <w:r w:rsidRPr="007579B0">
        <w:rPr>
          <w:lang w:val="pl-PL"/>
        </w:rPr>
        <w:t>e</w:t>
      </w:r>
      <w:r w:rsidR="00897119" w:rsidRPr="007579B0">
        <w:rPr>
          <w:lang w:val="pl-PL"/>
        </w:rPr>
        <w:t>wodniczący</w:t>
      </w:r>
    </w:p>
    <w:p w:rsidR="00F05398" w:rsidRPr="007579B0" w:rsidRDefault="00F05398" w:rsidP="00947D97">
      <w:pPr>
        <w:pStyle w:val="JuParaLast"/>
        <w:rPr>
          <w:lang w:val="pl-PL"/>
        </w:rPr>
      </w:pPr>
      <w:r w:rsidRPr="007579B0">
        <w:rPr>
          <w:lang w:val="pl-PL"/>
        </w:rPr>
        <w:t xml:space="preserve">Zgodnie z artykułem 45 ust. 2 Konwencji </w:t>
      </w:r>
      <w:r w:rsidR="00897119" w:rsidRPr="007579B0">
        <w:rPr>
          <w:lang w:val="pl-PL"/>
        </w:rPr>
        <w:t xml:space="preserve">oraz artykułem </w:t>
      </w:r>
      <w:r w:rsidRPr="007579B0">
        <w:rPr>
          <w:lang w:val="pl-PL"/>
        </w:rPr>
        <w:t xml:space="preserve">74 </w:t>
      </w:r>
      <w:r w:rsidR="00897119" w:rsidRPr="007579B0">
        <w:rPr>
          <w:lang w:val="pl-PL"/>
        </w:rPr>
        <w:t>ust.</w:t>
      </w:r>
      <w:r w:rsidRPr="007579B0">
        <w:rPr>
          <w:lang w:val="pl-PL"/>
        </w:rPr>
        <w:t xml:space="preserve"> 2 R</w:t>
      </w:r>
      <w:r w:rsidR="00897119" w:rsidRPr="007579B0">
        <w:rPr>
          <w:lang w:val="pl-PL"/>
        </w:rPr>
        <w:t xml:space="preserve">egulaminu </w:t>
      </w:r>
      <w:r w:rsidRPr="007579B0">
        <w:rPr>
          <w:lang w:val="pl-PL"/>
        </w:rPr>
        <w:t xml:space="preserve">Trybunału </w:t>
      </w:r>
      <w:r w:rsidR="00897119" w:rsidRPr="007579B0">
        <w:rPr>
          <w:lang w:val="pl-PL"/>
        </w:rPr>
        <w:t>do niniejszego wyroku załączono następujące zdania odrębne</w:t>
      </w:r>
      <w:r w:rsidRPr="007579B0">
        <w:rPr>
          <w:lang w:val="pl-PL"/>
        </w:rPr>
        <w:t>:</w:t>
      </w:r>
    </w:p>
    <w:p w:rsidR="00F05398" w:rsidRPr="007579B0" w:rsidRDefault="00F05398" w:rsidP="000C4564">
      <w:pPr>
        <w:pStyle w:val="JuPara"/>
        <w:rPr>
          <w:lang w:val="pl-PL"/>
        </w:rPr>
      </w:pPr>
      <w:r w:rsidRPr="007579B0">
        <w:rPr>
          <w:lang w:val="pl-PL"/>
        </w:rPr>
        <w:t>(a)  </w:t>
      </w:r>
      <w:r w:rsidR="00897119" w:rsidRPr="007579B0">
        <w:rPr>
          <w:lang w:val="pl-PL"/>
        </w:rPr>
        <w:t xml:space="preserve">zdanie odrębne Sędziego </w:t>
      </w:r>
      <w:r w:rsidRPr="007579B0">
        <w:rPr>
          <w:lang w:val="pl-PL"/>
        </w:rPr>
        <w:t>Bratza;</w:t>
      </w:r>
    </w:p>
    <w:p w:rsidR="00F05398" w:rsidRPr="007579B0" w:rsidRDefault="00B274A8" w:rsidP="000C4564">
      <w:pPr>
        <w:pStyle w:val="JuPara"/>
        <w:rPr>
          <w:lang w:val="pl-PL"/>
        </w:rPr>
      </w:pPr>
      <w:r w:rsidRPr="007579B0">
        <w:rPr>
          <w:lang w:val="pl-PL"/>
        </w:rPr>
        <w:t>(b)  wspólne</w:t>
      </w:r>
      <w:r w:rsidR="00F05398" w:rsidRPr="007579B0">
        <w:rPr>
          <w:lang w:val="pl-PL"/>
        </w:rPr>
        <w:t xml:space="preserve"> </w:t>
      </w:r>
      <w:r w:rsidR="00897119" w:rsidRPr="007579B0">
        <w:rPr>
          <w:lang w:val="pl-PL"/>
        </w:rPr>
        <w:t xml:space="preserve">zdanie odrębne Sędziów </w:t>
      </w:r>
      <w:r w:rsidR="00F05398" w:rsidRPr="007579B0">
        <w:rPr>
          <w:lang w:val="pl-PL"/>
        </w:rPr>
        <w:t>Rozakis</w:t>
      </w:r>
      <w:r w:rsidR="00897119" w:rsidRPr="007579B0">
        <w:rPr>
          <w:lang w:val="pl-PL"/>
        </w:rPr>
        <w:t>a</w:t>
      </w:r>
      <w:r w:rsidR="00F05398" w:rsidRPr="007579B0">
        <w:rPr>
          <w:lang w:val="pl-PL"/>
        </w:rPr>
        <w:t>, Spielmann</w:t>
      </w:r>
      <w:r w:rsidR="00897119" w:rsidRPr="007579B0">
        <w:rPr>
          <w:lang w:val="pl-PL"/>
        </w:rPr>
        <w:t>a</w:t>
      </w:r>
      <w:r w:rsidR="00F05398" w:rsidRPr="007579B0">
        <w:rPr>
          <w:lang w:val="pl-PL"/>
        </w:rPr>
        <w:t xml:space="preserve">, Ziemele </w:t>
      </w:r>
      <w:r w:rsidR="00897119" w:rsidRPr="007579B0">
        <w:rPr>
          <w:lang w:val="pl-PL"/>
        </w:rPr>
        <w:t>i</w:t>
      </w:r>
      <w:r w:rsidR="00F05398" w:rsidRPr="007579B0">
        <w:rPr>
          <w:lang w:val="pl-PL"/>
        </w:rPr>
        <w:t xml:space="preserve"> Lazaro</w:t>
      </w:r>
      <w:r w:rsidR="00897119" w:rsidRPr="007579B0">
        <w:rPr>
          <w:lang w:val="pl-PL"/>
        </w:rPr>
        <w:t>wej</w:t>
      </w:r>
      <w:r w:rsidR="00F05398" w:rsidRPr="007579B0">
        <w:rPr>
          <w:lang w:val="pl-PL"/>
        </w:rPr>
        <w:t xml:space="preserve"> Trajko</w:t>
      </w:r>
      <w:r w:rsidR="00897119" w:rsidRPr="007579B0">
        <w:rPr>
          <w:lang w:val="pl-PL"/>
        </w:rPr>
        <w:t>w</w:t>
      </w:r>
      <w:r w:rsidR="00F05398" w:rsidRPr="007579B0">
        <w:rPr>
          <w:lang w:val="pl-PL"/>
        </w:rPr>
        <w:t>sk</w:t>
      </w:r>
      <w:r w:rsidR="00897119" w:rsidRPr="007579B0">
        <w:rPr>
          <w:lang w:val="pl-PL"/>
        </w:rPr>
        <w:t>iej</w:t>
      </w:r>
      <w:r w:rsidR="00F05398" w:rsidRPr="007579B0">
        <w:rPr>
          <w:lang w:val="pl-PL"/>
        </w:rPr>
        <w:t>;</w:t>
      </w:r>
    </w:p>
    <w:p w:rsidR="00F05398" w:rsidRPr="007579B0" w:rsidRDefault="00F05398" w:rsidP="004B1308">
      <w:pPr>
        <w:pStyle w:val="JuPara"/>
        <w:rPr>
          <w:lang w:val="pl-PL"/>
        </w:rPr>
      </w:pPr>
      <w:r w:rsidRPr="007579B0">
        <w:rPr>
          <w:lang w:val="pl-PL"/>
        </w:rPr>
        <w:t>(c)  </w:t>
      </w:r>
      <w:r w:rsidR="00897119" w:rsidRPr="007579B0">
        <w:rPr>
          <w:lang w:val="pl-PL"/>
        </w:rPr>
        <w:t xml:space="preserve">zdanie odrębne Sędziego </w:t>
      </w:r>
      <w:r w:rsidRPr="007579B0">
        <w:rPr>
          <w:lang w:val="pl-PL"/>
        </w:rPr>
        <w:t>Zagrebelsky</w:t>
      </w:r>
      <w:r w:rsidR="00897119" w:rsidRPr="007579B0">
        <w:rPr>
          <w:lang w:val="pl-PL"/>
        </w:rPr>
        <w:t>’ego</w:t>
      </w:r>
      <w:r w:rsidRPr="007579B0">
        <w:rPr>
          <w:lang w:val="pl-PL"/>
        </w:rPr>
        <w:t xml:space="preserve">, </w:t>
      </w:r>
      <w:r w:rsidR="00B274A8" w:rsidRPr="007579B0">
        <w:rPr>
          <w:lang w:val="pl-PL"/>
        </w:rPr>
        <w:t xml:space="preserve">poparte przez Sędziów </w:t>
      </w:r>
      <w:r w:rsidRPr="007579B0">
        <w:rPr>
          <w:lang w:val="pl-PL"/>
        </w:rPr>
        <w:t>Casadevall</w:t>
      </w:r>
      <w:r w:rsidR="00B274A8" w:rsidRPr="007579B0">
        <w:rPr>
          <w:lang w:val="pl-PL"/>
        </w:rPr>
        <w:t>a i</w:t>
      </w:r>
      <w:r w:rsidRPr="007579B0">
        <w:rPr>
          <w:lang w:val="pl-PL"/>
        </w:rPr>
        <w:t xml:space="preserve"> Türmen</w:t>
      </w:r>
      <w:r w:rsidR="00B274A8" w:rsidRPr="007579B0">
        <w:rPr>
          <w:lang w:val="pl-PL"/>
        </w:rPr>
        <w:t>a</w:t>
      </w:r>
      <w:r w:rsidRPr="007579B0">
        <w:rPr>
          <w:lang w:val="pl-PL"/>
        </w:rPr>
        <w:t>.</w:t>
      </w:r>
    </w:p>
    <w:p w:rsidR="00F05398" w:rsidRPr="007579B0" w:rsidRDefault="00F05398" w:rsidP="00947D97">
      <w:pPr>
        <w:pStyle w:val="JuInitialled"/>
        <w:rPr>
          <w:lang w:val="pl-PL"/>
        </w:rPr>
        <w:sectPr w:rsidR="00F05398" w:rsidRPr="007579B0">
          <w:headerReference w:type="even" r:id="rId10"/>
          <w:headerReference w:type="default" r:id="rId11"/>
          <w:footnotePr>
            <w:numRestart w:val="eachPage"/>
          </w:footnotePr>
          <w:pgSz w:w="11906" w:h="16838"/>
          <w:pgMar w:top="2274" w:right="2274" w:bottom="2274" w:left="2274" w:header="1701" w:footer="708" w:gutter="0"/>
          <w:cols w:space="708"/>
        </w:sectPr>
      </w:pPr>
      <w:r w:rsidRPr="007579B0">
        <w:rPr>
          <w:lang w:val="pl-PL"/>
        </w:rPr>
        <w:t>N.B.</w:t>
      </w:r>
      <w:r w:rsidRPr="007579B0">
        <w:rPr>
          <w:lang w:val="pl-PL"/>
        </w:rPr>
        <w:br/>
        <w:t>V.B.</w:t>
      </w:r>
    </w:p>
    <w:p w:rsidR="00F05398" w:rsidRPr="007579B0" w:rsidRDefault="00887350" w:rsidP="000C4564">
      <w:pPr>
        <w:pStyle w:val="OpiHHead"/>
        <w:rPr>
          <w:lang w:val="pl-PL"/>
        </w:rPr>
      </w:pPr>
      <w:bookmarkStart w:id="0" w:name="HIT6"/>
      <w:bookmarkStart w:id="1" w:name="HIT5"/>
      <w:bookmarkStart w:id="2" w:name="HIT4"/>
      <w:bookmarkEnd w:id="0"/>
      <w:bookmarkEnd w:id="1"/>
      <w:bookmarkEnd w:id="2"/>
      <w:r w:rsidRPr="007579B0">
        <w:rPr>
          <w:lang w:val="pl-PL"/>
        </w:rPr>
        <w:t xml:space="preserve">ZDANIE ODRĘBNE </w:t>
      </w:r>
      <w:r w:rsidR="00F05398" w:rsidRPr="007579B0">
        <w:rPr>
          <w:lang w:val="pl-PL"/>
        </w:rPr>
        <w:t>SĘDZIEGO BRATZA</w:t>
      </w:r>
    </w:p>
    <w:p w:rsidR="00F05398" w:rsidRPr="007579B0" w:rsidRDefault="00F05398" w:rsidP="000C4564">
      <w:pPr>
        <w:pStyle w:val="OpiPara"/>
        <w:rPr>
          <w:lang w:val="pl-PL"/>
        </w:rPr>
      </w:pPr>
      <w:r w:rsidRPr="007579B0">
        <w:rPr>
          <w:lang w:val="pl-PL"/>
        </w:rPr>
        <w:t>Kluczowa kwestia w niniejszej sprawie dotyczy wykorzystania przeciwko skarżąc</w:t>
      </w:r>
      <w:r w:rsidR="00887350" w:rsidRPr="007579B0">
        <w:rPr>
          <w:lang w:val="pl-PL"/>
        </w:rPr>
        <w:t xml:space="preserve">emu </w:t>
      </w:r>
      <w:r w:rsidR="00B908F0">
        <w:rPr>
          <w:lang w:val="pl-PL"/>
        </w:rPr>
        <w:t>wyjaśnień</w:t>
      </w:r>
      <w:r w:rsidR="00887350" w:rsidRPr="007579B0">
        <w:rPr>
          <w:lang w:val="pl-PL"/>
        </w:rPr>
        <w:t xml:space="preserve"> złożonych w trakcie p</w:t>
      </w:r>
      <w:r w:rsidRPr="007579B0">
        <w:rPr>
          <w:lang w:val="pl-PL"/>
        </w:rPr>
        <w:t>rzesłuchania policyjn</w:t>
      </w:r>
      <w:r w:rsidR="00887350" w:rsidRPr="007579B0">
        <w:rPr>
          <w:lang w:val="pl-PL"/>
        </w:rPr>
        <w:t xml:space="preserve">ego w czasie, gdy odmówiono mu prawa dostępu do </w:t>
      </w:r>
      <w:r w:rsidRPr="007579B0">
        <w:rPr>
          <w:lang w:val="pl-PL"/>
        </w:rPr>
        <w:t>adwokata. Wielka Izba uznała, że ograniczenie takiego prawa w sposób nieodwracalny naruszyło prawa skarżącego do obrony oraz że ani pomoc prawna udzielona skarżącemu w terminie późniejszym, ani kontradyktoryjny charakter późniejszego postępowania nie mogły naprawić nieprawidłowości, do których doszło podczas aresztowania policyjnego skarżącego. Prawa skarżącego wynikające z artykułu 6 ust. 3 lit. c) Konwencji, w połączeniu z przepisem artykułu 6 ust. 1, zostały zatem naruszone ze względu na brak pomocy prawnej. W pełni zgadzam się z tym wnioskiem.</w:t>
      </w:r>
    </w:p>
    <w:p w:rsidR="00F05398" w:rsidRPr="007579B0" w:rsidRDefault="00F05398" w:rsidP="000C4564">
      <w:pPr>
        <w:pStyle w:val="OpiPara"/>
        <w:rPr>
          <w:lang w:val="pl-PL"/>
        </w:rPr>
      </w:pPr>
      <w:r w:rsidRPr="007579B0">
        <w:rPr>
          <w:lang w:val="pl-PL"/>
        </w:rPr>
        <w:t xml:space="preserve">W par. 55 wyroku Trybunał stwierdza na zasadzie ogólnej, że </w:t>
      </w:r>
      <w:r w:rsidR="00B274A8" w:rsidRPr="007579B0">
        <w:rPr>
          <w:lang w:val="pl-PL"/>
        </w:rPr>
        <w:t>w celu zapewnienia, by</w:t>
      </w:r>
      <w:r w:rsidR="00887350" w:rsidRPr="007579B0">
        <w:rPr>
          <w:lang w:val="pl-PL"/>
        </w:rPr>
        <w:t xml:space="preserve"> prawo do rzetelnego procesu pozosta</w:t>
      </w:r>
      <w:r w:rsidR="00B274A8" w:rsidRPr="007579B0">
        <w:rPr>
          <w:lang w:val="pl-PL"/>
        </w:rPr>
        <w:t>ło</w:t>
      </w:r>
      <w:r w:rsidR="00887350" w:rsidRPr="007579B0">
        <w:rPr>
          <w:lang w:val="pl-PL"/>
        </w:rPr>
        <w:t xml:space="preserve"> wystarczająco „praktyczne i skuteczne”, zgodnie z przepisem a</w:t>
      </w:r>
      <w:r w:rsidRPr="007579B0">
        <w:rPr>
          <w:lang w:val="pl-PL"/>
        </w:rPr>
        <w:t>rtykuł</w:t>
      </w:r>
      <w:r w:rsidR="00887350" w:rsidRPr="007579B0">
        <w:rPr>
          <w:lang w:val="pl-PL"/>
        </w:rPr>
        <w:t>u</w:t>
      </w:r>
      <w:r w:rsidRPr="007579B0">
        <w:rPr>
          <w:lang w:val="pl-PL"/>
        </w:rPr>
        <w:t xml:space="preserve"> 6 </w:t>
      </w:r>
      <w:r w:rsidR="00887350" w:rsidRPr="007579B0">
        <w:rPr>
          <w:lang w:val="pl-PL"/>
        </w:rPr>
        <w:t xml:space="preserve">wymaga się, by jednostka </w:t>
      </w:r>
      <w:r w:rsidR="00B274A8" w:rsidRPr="007579B0">
        <w:rPr>
          <w:lang w:val="pl-PL"/>
        </w:rPr>
        <w:t xml:space="preserve">co do zasady </w:t>
      </w:r>
      <w:r w:rsidR="00887350" w:rsidRPr="007579B0">
        <w:rPr>
          <w:lang w:val="pl-PL"/>
        </w:rPr>
        <w:t>miała prawo dostępu do a</w:t>
      </w:r>
      <w:r w:rsidRPr="007579B0">
        <w:rPr>
          <w:lang w:val="pl-PL"/>
        </w:rPr>
        <w:t xml:space="preserve">dwokata </w:t>
      </w:r>
      <w:r w:rsidR="00887350" w:rsidRPr="007579B0">
        <w:rPr>
          <w:lang w:val="pl-PL"/>
        </w:rPr>
        <w:t>„</w:t>
      </w:r>
      <w:r w:rsidR="006447B2" w:rsidRPr="007579B0">
        <w:rPr>
          <w:lang w:val="pl-PL"/>
        </w:rPr>
        <w:t>począwszy od pierwszego przesłuchania podejrzanego przez policję</w:t>
      </w:r>
      <w:r w:rsidR="00887350" w:rsidRPr="007579B0">
        <w:rPr>
          <w:lang w:val="pl-PL"/>
        </w:rPr>
        <w:t xml:space="preserve">”. Zasada ta jest zgodna w wcześniejszym orzecznictwem </w:t>
      </w:r>
      <w:r w:rsidRPr="007579B0">
        <w:rPr>
          <w:lang w:val="pl-PL"/>
        </w:rPr>
        <w:t>Trybunału i</w:t>
      </w:r>
      <w:r w:rsidR="00887350" w:rsidRPr="007579B0">
        <w:rPr>
          <w:lang w:val="pl-PL"/>
        </w:rPr>
        <w:t xml:space="preserve"> jest wystarczająca, by </w:t>
      </w:r>
      <w:r w:rsidR="00B274A8" w:rsidRPr="007579B0">
        <w:rPr>
          <w:lang w:val="pl-PL"/>
        </w:rPr>
        <w:t xml:space="preserve">na podstawie faktów niniejszej sprawy </w:t>
      </w:r>
      <w:r w:rsidR="00887350" w:rsidRPr="007579B0">
        <w:rPr>
          <w:lang w:val="pl-PL"/>
        </w:rPr>
        <w:t>uznał</w:t>
      </w:r>
      <w:r w:rsidR="00B274A8" w:rsidRPr="007579B0">
        <w:rPr>
          <w:lang w:val="pl-PL"/>
        </w:rPr>
        <w:t xml:space="preserve"> Trybunał</w:t>
      </w:r>
      <w:r w:rsidR="00887350" w:rsidRPr="007579B0">
        <w:rPr>
          <w:lang w:val="pl-PL"/>
        </w:rPr>
        <w:t xml:space="preserve">, że doszło do naruszenia </w:t>
      </w:r>
      <w:r w:rsidRPr="007579B0">
        <w:rPr>
          <w:lang w:val="pl-PL"/>
        </w:rPr>
        <w:t xml:space="preserve">artykułu 6. Mimo to podzielam wątpliwości Sędziego Zagrebelsky’ego, czy </w:t>
      </w:r>
      <w:r w:rsidR="004A74A2" w:rsidRPr="007579B0">
        <w:rPr>
          <w:lang w:val="pl-PL"/>
        </w:rPr>
        <w:t>f</w:t>
      </w:r>
      <w:r w:rsidR="009110EE" w:rsidRPr="007579B0">
        <w:rPr>
          <w:lang w:val="pl-PL"/>
        </w:rPr>
        <w:t>akt, że może wydać się, iż prawo</w:t>
      </w:r>
      <w:r w:rsidR="004A74A2" w:rsidRPr="007579B0">
        <w:rPr>
          <w:lang w:val="pl-PL"/>
        </w:rPr>
        <w:t xml:space="preserve"> dostępu do a</w:t>
      </w:r>
      <w:r w:rsidRPr="007579B0">
        <w:rPr>
          <w:lang w:val="pl-PL"/>
        </w:rPr>
        <w:t>dwokata</w:t>
      </w:r>
      <w:r w:rsidR="004A74A2" w:rsidRPr="007579B0">
        <w:rPr>
          <w:lang w:val="pl-PL"/>
        </w:rPr>
        <w:t xml:space="preserve"> przysługuje dopiero począwszy od momentu pierwszego przesłuchania, nie sprawia, że określenie zasady nie jest wystarczające.</w:t>
      </w:r>
      <w:r w:rsidRPr="007579B0">
        <w:rPr>
          <w:lang w:val="pl-PL"/>
        </w:rPr>
        <w:t xml:space="preserve"> </w:t>
      </w:r>
      <w:r w:rsidR="009D3D6F" w:rsidRPr="007579B0">
        <w:rPr>
          <w:lang w:val="pl-PL"/>
        </w:rPr>
        <w:t xml:space="preserve">Podobnie jak Sędzia Zagrebelsky jestem zdania, że </w:t>
      </w:r>
      <w:r w:rsidRPr="007579B0">
        <w:rPr>
          <w:lang w:val="pl-PL"/>
        </w:rPr>
        <w:t>Trybunał</w:t>
      </w:r>
      <w:r w:rsidR="009D3D6F" w:rsidRPr="007579B0">
        <w:rPr>
          <w:lang w:val="pl-PL"/>
        </w:rPr>
        <w:t xml:space="preserve"> powinien był skorzystać z okazji, by jednoznacznie stwierdzić, że </w:t>
      </w:r>
      <w:r w:rsidR="004A74A2" w:rsidRPr="007579B0">
        <w:rPr>
          <w:lang w:val="pl-PL"/>
        </w:rPr>
        <w:t>aby zapewnić rzetelność postępowania karnego w świetle a</w:t>
      </w:r>
      <w:r w:rsidRPr="007579B0">
        <w:rPr>
          <w:lang w:val="pl-PL"/>
        </w:rPr>
        <w:t>rtykuł</w:t>
      </w:r>
      <w:r w:rsidR="004A74A2" w:rsidRPr="007579B0">
        <w:rPr>
          <w:lang w:val="pl-PL"/>
        </w:rPr>
        <w:t xml:space="preserve">u 6, </w:t>
      </w:r>
      <w:r w:rsidR="002F29ED" w:rsidRPr="007579B0">
        <w:rPr>
          <w:lang w:val="pl-PL"/>
        </w:rPr>
        <w:t>koniecznym</w:t>
      </w:r>
      <w:r w:rsidR="004A74A2" w:rsidRPr="007579B0">
        <w:rPr>
          <w:lang w:val="pl-PL"/>
        </w:rPr>
        <w:t xml:space="preserve"> jest by podejrzany </w:t>
      </w:r>
      <w:r w:rsidR="00A67B6B" w:rsidRPr="007579B0">
        <w:rPr>
          <w:lang w:val="pl-PL"/>
        </w:rPr>
        <w:t xml:space="preserve">z zasady </w:t>
      </w:r>
      <w:r w:rsidR="004A74A2" w:rsidRPr="007579B0">
        <w:rPr>
          <w:lang w:val="pl-PL"/>
        </w:rPr>
        <w:t xml:space="preserve">miał prawo dostępu do doradztwa prawnego począwszy od </w:t>
      </w:r>
      <w:r w:rsidRPr="007579B0">
        <w:rPr>
          <w:lang w:val="pl-PL"/>
        </w:rPr>
        <w:t>moment</w:t>
      </w:r>
      <w:r w:rsidR="004A74A2" w:rsidRPr="007579B0">
        <w:rPr>
          <w:lang w:val="pl-PL"/>
        </w:rPr>
        <w:t>u aresztowania policyjnego bądź tymczasowego aresztowania</w:t>
      </w:r>
      <w:r w:rsidRPr="007579B0">
        <w:rPr>
          <w:lang w:val="pl-PL"/>
        </w:rPr>
        <w:t xml:space="preserve">. </w:t>
      </w:r>
      <w:r w:rsidR="004A74A2" w:rsidRPr="007579B0">
        <w:rPr>
          <w:lang w:val="pl-PL"/>
        </w:rPr>
        <w:t>Byłoby niepożądanym, gdyby wydany wyrok pozostawiał takie wrażenie, jakoby nie dochodziło do naruszeń art</w:t>
      </w:r>
      <w:r w:rsidRPr="007579B0">
        <w:rPr>
          <w:lang w:val="pl-PL"/>
        </w:rPr>
        <w:t>ykuł</w:t>
      </w:r>
      <w:r w:rsidR="004A74A2" w:rsidRPr="007579B0">
        <w:rPr>
          <w:lang w:val="pl-PL"/>
        </w:rPr>
        <w:t>u</w:t>
      </w:r>
      <w:r w:rsidRPr="007579B0">
        <w:rPr>
          <w:lang w:val="pl-PL"/>
        </w:rPr>
        <w:t xml:space="preserve"> 6</w:t>
      </w:r>
      <w:r w:rsidR="004A74A2" w:rsidRPr="007579B0">
        <w:rPr>
          <w:lang w:val="pl-PL"/>
        </w:rPr>
        <w:t xml:space="preserve">, o ile </w:t>
      </w:r>
      <w:r w:rsidR="002F29ED" w:rsidRPr="007579B0">
        <w:rPr>
          <w:lang w:val="pl-PL"/>
        </w:rPr>
        <w:t>podejrzanemu</w:t>
      </w:r>
      <w:r w:rsidR="004A74A2" w:rsidRPr="007579B0">
        <w:rPr>
          <w:lang w:val="pl-PL"/>
        </w:rPr>
        <w:t xml:space="preserve"> zapewniono dostęp do </w:t>
      </w:r>
      <w:r w:rsidRPr="007579B0">
        <w:rPr>
          <w:lang w:val="pl-PL"/>
        </w:rPr>
        <w:t xml:space="preserve">adwokata </w:t>
      </w:r>
      <w:r w:rsidR="004A74A2" w:rsidRPr="007579B0">
        <w:rPr>
          <w:lang w:val="pl-PL"/>
        </w:rPr>
        <w:t>w chwili rozpoczęcia przesłuchania bądź jakoby a</w:t>
      </w:r>
      <w:r w:rsidRPr="007579B0">
        <w:rPr>
          <w:lang w:val="pl-PL"/>
        </w:rPr>
        <w:t xml:space="preserve">rtykuł 6 </w:t>
      </w:r>
      <w:r w:rsidR="004A74A2" w:rsidRPr="007579B0">
        <w:rPr>
          <w:lang w:val="pl-PL"/>
        </w:rPr>
        <w:t>dotyczył wyłącznie przypadków, w których odmowa przyznania prawa dostępu wywierała wpływ na rzetelność przesłuchania podejrzanego</w:t>
      </w:r>
      <w:r w:rsidRPr="007579B0">
        <w:rPr>
          <w:lang w:val="pl-PL"/>
        </w:rPr>
        <w:t xml:space="preserve">. </w:t>
      </w:r>
      <w:r w:rsidR="004A74A2" w:rsidRPr="007579B0">
        <w:rPr>
          <w:lang w:val="pl-PL"/>
        </w:rPr>
        <w:t>Odmowa przyznania prawa dostępu</w:t>
      </w:r>
      <w:r w:rsidR="00A67B6B" w:rsidRPr="007579B0">
        <w:rPr>
          <w:lang w:val="pl-PL"/>
        </w:rPr>
        <w:t xml:space="preserve"> do</w:t>
      </w:r>
      <w:r w:rsidR="004A74A2" w:rsidRPr="007579B0">
        <w:rPr>
          <w:lang w:val="pl-PL"/>
        </w:rPr>
        <w:t xml:space="preserve"> </w:t>
      </w:r>
      <w:r w:rsidRPr="007579B0">
        <w:rPr>
          <w:lang w:val="pl-PL"/>
        </w:rPr>
        <w:t xml:space="preserve">adwokata </w:t>
      </w:r>
      <w:r w:rsidR="004A74A2" w:rsidRPr="007579B0">
        <w:rPr>
          <w:lang w:val="pl-PL"/>
        </w:rPr>
        <w:t xml:space="preserve">na początku aresztowania </w:t>
      </w:r>
      <w:r w:rsidR="002F29ED" w:rsidRPr="007579B0">
        <w:rPr>
          <w:lang w:val="pl-PL"/>
        </w:rPr>
        <w:t>podejrzanego</w:t>
      </w:r>
      <w:r w:rsidR="004A74A2" w:rsidRPr="007579B0">
        <w:rPr>
          <w:lang w:val="pl-PL"/>
        </w:rPr>
        <w:t xml:space="preserve">, która – w danej sprawie – </w:t>
      </w:r>
      <w:r w:rsidR="004E0700" w:rsidRPr="007579B0">
        <w:rPr>
          <w:lang w:val="pl-PL"/>
        </w:rPr>
        <w:t xml:space="preserve">powoduje uszczerbek </w:t>
      </w:r>
      <w:r w:rsidR="004A74A2" w:rsidRPr="007579B0">
        <w:rPr>
          <w:lang w:val="pl-PL"/>
        </w:rPr>
        <w:t xml:space="preserve">praw do obrony, może </w:t>
      </w:r>
      <w:r w:rsidR="002F29ED" w:rsidRPr="007579B0">
        <w:rPr>
          <w:lang w:val="pl-PL"/>
        </w:rPr>
        <w:t>prowadzić</w:t>
      </w:r>
      <w:r w:rsidR="004A74A2" w:rsidRPr="007579B0">
        <w:rPr>
          <w:lang w:val="pl-PL"/>
        </w:rPr>
        <w:t xml:space="preserve"> do naruszenia a</w:t>
      </w:r>
      <w:r w:rsidRPr="007579B0">
        <w:rPr>
          <w:lang w:val="pl-PL"/>
        </w:rPr>
        <w:t>rtykuł</w:t>
      </w:r>
      <w:r w:rsidR="004A74A2" w:rsidRPr="007579B0">
        <w:rPr>
          <w:lang w:val="pl-PL"/>
        </w:rPr>
        <w:t>u</w:t>
      </w:r>
      <w:r w:rsidRPr="007579B0">
        <w:rPr>
          <w:lang w:val="pl-PL"/>
        </w:rPr>
        <w:t xml:space="preserve"> 6 Konwencji</w:t>
      </w:r>
      <w:r w:rsidR="004A74A2" w:rsidRPr="007579B0">
        <w:rPr>
          <w:lang w:val="pl-PL"/>
        </w:rPr>
        <w:t xml:space="preserve">, niezależnie od faktu, czy </w:t>
      </w:r>
      <w:r w:rsidR="004E0700" w:rsidRPr="007579B0">
        <w:rPr>
          <w:lang w:val="pl-PL"/>
        </w:rPr>
        <w:t xml:space="preserve">uszczerbek </w:t>
      </w:r>
      <w:r w:rsidR="00AD21D6" w:rsidRPr="007579B0">
        <w:rPr>
          <w:lang w:val="pl-PL"/>
        </w:rPr>
        <w:t xml:space="preserve">taki zaistniał na etapie </w:t>
      </w:r>
      <w:r w:rsidR="004E0700" w:rsidRPr="007579B0">
        <w:rPr>
          <w:lang w:val="pl-PL"/>
        </w:rPr>
        <w:t>przesłuchania podejrzanego</w:t>
      </w:r>
      <w:r w:rsidRPr="007579B0">
        <w:rPr>
          <w:lang w:val="pl-PL"/>
        </w:rPr>
        <w:t>.</w:t>
      </w:r>
    </w:p>
    <w:p w:rsidR="00F05398" w:rsidRPr="007579B0" w:rsidRDefault="00F05398" w:rsidP="008A1A1A">
      <w:pPr>
        <w:pStyle w:val="OpiHHead"/>
        <w:rPr>
          <w:lang w:val="pl-PL"/>
        </w:rPr>
      </w:pPr>
      <w:r w:rsidRPr="007579B0">
        <w:rPr>
          <w:lang w:val="pl-PL"/>
        </w:rPr>
        <w:br w:type="page"/>
      </w:r>
      <w:r w:rsidR="00964C05" w:rsidRPr="007579B0">
        <w:rPr>
          <w:lang w:val="pl-PL"/>
        </w:rPr>
        <w:t>WSPÓLNE</w:t>
      </w:r>
      <w:r w:rsidRPr="007579B0">
        <w:rPr>
          <w:lang w:val="pl-PL"/>
        </w:rPr>
        <w:t xml:space="preserve"> </w:t>
      </w:r>
      <w:r w:rsidR="00702021" w:rsidRPr="007579B0">
        <w:rPr>
          <w:lang w:val="pl-PL"/>
        </w:rPr>
        <w:t xml:space="preserve">ZDANIE ODRĘBNE SĘDZIÓW </w:t>
      </w:r>
      <w:r w:rsidRPr="007579B0">
        <w:rPr>
          <w:lang w:val="pl-PL"/>
        </w:rPr>
        <w:t>ROZAKIS</w:t>
      </w:r>
      <w:r w:rsidR="00702021" w:rsidRPr="007579B0">
        <w:rPr>
          <w:lang w:val="pl-PL"/>
        </w:rPr>
        <w:t>A</w:t>
      </w:r>
      <w:r w:rsidRPr="007579B0">
        <w:rPr>
          <w:lang w:val="pl-PL"/>
        </w:rPr>
        <w:t>, SPIELMANN</w:t>
      </w:r>
      <w:r w:rsidR="00702021" w:rsidRPr="007579B0">
        <w:rPr>
          <w:lang w:val="pl-PL"/>
        </w:rPr>
        <w:t>A</w:t>
      </w:r>
      <w:r w:rsidRPr="007579B0">
        <w:rPr>
          <w:lang w:val="pl-PL"/>
        </w:rPr>
        <w:t xml:space="preserve">, ZIEMELE </w:t>
      </w:r>
      <w:r w:rsidR="00702021" w:rsidRPr="007579B0">
        <w:rPr>
          <w:lang w:val="pl-PL"/>
        </w:rPr>
        <w:t>I</w:t>
      </w:r>
      <w:r w:rsidRPr="007579B0">
        <w:rPr>
          <w:lang w:val="pl-PL"/>
        </w:rPr>
        <w:t xml:space="preserve"> LAZARO</w:t>
      </w:r>
      <w:r w:rsidR="00702021" w:rsidRPr="007579B0">
        <w:rPr>
          <w:lang w:val="pl-PL"/>
        </w:rPr>
        <w:t>WEJ</w:t>
      </w:r>
      <w:r w:rsidRPr="007579B0">
        <w:rPr>
          <w:lang w:val="pl-PL"/>
        </w:rPr>
        <w:t xml:space="preserve"> TRAJKO</w:t>
      </w:r>
      <w:r w:rsidR="00702021" w:rsidRPr="007579B0">
        <w:rPr>
          <w:lang w:val="pl-PL"/>
        </w:rPr>
        <w:t>W</w:t>
      </w:r>
      <w:r w:rsidRPr="007579B0">
        <w:rPr>
          <w:lang w:val="pl-PL"/>
        </w:rPr>
        <w:t>SK</w:t>
      </w:r>
      <w:r w:rsidR="00702021" w:rsidRPr="007579B0">
        <w:rPr>
          <w:lang w:val="pl-PL"/>
        </w:rPr>
        <w:t>IEJ</w:t>
      </w:r>
    </w:p>
    <w:p w:rsidR="00F05398" w:rsidRPr="007579B0" w:rsidRDefault="00F05398" w:rsidP="00296EEE">
      <w:pPr>
        <w:pStyle w:val="OpiPara"/>
        <w:rPr>
          <w:lang w:val="pl-PL"/>
        </w:rPr>
      </w:pPr>
      <w:r w:rsidRPr="007579B0">
        <w:rPr>
          <w:lang w:val="pl-PL"/>
        </w:rPr>
        <w:t xml:space="preserve">1.  We </w:t>
      </w:r>
      <w:r w:rsidR="00F66B18" w:rsidRPr="007579B0">
        <w:rPr>
          <w:lang w:val="pl-PL"/>
        </w:rPr>
        <w:t xml:space="preserve">wszystkich względach zgadzamy się z wnioskami </w:t>
      </w:r>
      <w:r w:rsidRPr="007579B0">
        <w:rPr>
          <w:lang w:val="pl-PL"/>
        </w:rPr>
        <w:t xml:space="preserve">Trybunału </w:t>
      </w:r>
      <w:r w:rsidR="00F66B18" w:rsidRPr="007579B0">
        <w:rPr>
          <w:lang w:val="pl-PL"/>
        </w:rPr>
        <w:t xml:space="preserve">odnośnie do </w:t>
      </w:r>
      <w:r w:rsidRPr="007579B0">
        <w:rPr>
          <w:lang w:val="pl-PL"/>
        </w:rPr>
        <w:t>naruszeni</w:t>
      </w:r>
      <w:r w:rsidR="00F66B18" w:rsidRPr="007579B0">
        <w:rPr>
          <w:lang w:val="pl-PL"/>
        </w:rPr>
        <w:t>a</w:t>
      </w:r>
      <w:r w:rsidRPr="007579B0">
        <w:rPr>
          <w:lang w:val="pl-PL"/>
        </w:rPr>
        <w:t xml:space="preserve"> artykułu 6 ust. 3 lit. c) </w:t>
      </w:r>
      <w:r w:rsidR="00F66B18" w:rsidRPr="007579B0">
        <w:rPr>
          <w:lang w:val="pl-PL"/>
        </w:rPr>
        <w:t>w połączeniu z a</w:t>
      </w:r>
      <w:r w:rsidRPr="007579B0">
        <w:rPr>
          <w:lang w:val="pl-PL"/>
        </w:rPr>
        <w:t>rtykuł</w:t>
      </w:r>
      <w:r w:rsidR="00F66B18" w:rsidRPr="007579B0">
        <w:rPr>
          <w:lang w:val="pl-PL"/>
        </w:rPr>
        <w:t>em</w:t>
      </w:r>
      <w:r w:rsidRPr="007579B0">
        <w:rPr>
          <w:lang w:val="pl-PL"/>
        </w:rPr>
        <w:t xml:space="preserve"> 6 ust. 1 Konwencji.</w:t>
      </w:r>
    </w:p>
    <w:p w:rsidR="00F05398" w:rsidRPr="007579B0" w:rsidRDefault="00F05398" w:rsidP="00296EEE">
      <w:pPr>
        <w:pStyle w:val="OpiPara"/>
        <w:rPr>
          <w:i/>
          <w:lang w:val="pl-PL"/>
        </w:rPr>
      </w:pPr>
      <w:r w:rsidRPr="007579B0">
        <w:rPr>
          <w:lang w:val="pl-PL"/>
        </w:rPr>
        <w:t>2.  </w:t>
      </w:r>
      <w:r w:rsidR="00941FC9" w:rsidRPr="007579B0">
        <w:rPr>
          <w:lang w:val="pl-PL"/>
        </w:rPr>
        <w:t xml:space="preserve">Wydaje nam się jednakże, iż </w:t>
      </w:r>
      <w:r w:rsidR="00964C05" w:rsidRPr="007579B0">
        <w:rPr>
          <w:lang w:val="pl-PL"/>
        </w:rPr>
        <w:t xml:space="preserve">właściwym byłoby, aby </w:t>
      </w:r>
      <w:r w:rsidR="00B215C7" w:rsidRPr="007579B0">
        <w:rPr>
          <w:lang w:val="pl-PL"/>
        </w:rPr>
        <w:t xml:space="preserve">uzasadnienie </w:t>
      </w:r>
      <w:r w:rsidR="00941FC9" w:rsidRPr="007579B0">
        <w:rPr>
          <w:lang w:val="pl-PL"/>
        </w:rPr>
        <w:t>przedstawion</w:t>
      </w:r>
      <w:r w:rsidR="00B215C7" w:rsidRPr="007579B0">
        <w:rPr>
          <w:lang w:val="pl-PL"/>
        </w:rPr>
        <w:t>e</w:t>
      </w:r>
      <w:r w:rsidR="00941FC9" w:rsidRPr="007579B0">
        <w:rPr>
          <w:lang w:val="pl-PL"/>
        </w:rPr>
        <w:t xml:space="preserve"> w </w:t>
      </w:r>
      <w:r w:rsidRPr="007579B0">
        <w:rPr>
          <w:lang w:val="pl-PL"/>
        </w:rPr>
        <w:t>par</w:t>
      </w:r>
      <w:r w:rsidR="00941FC9" w:rsidRPr="007579B0">
        <w:rPr>
          <w:lang w:val="pl-PL"/>
        </w:rPr>
        <w:t xml:space="preserve">. </w:t>
      </w:r>
      <w:r w:rsidRPr="007579B0">
        <w:rPr>
          <w:lang w:val="pl-PL"/>
        </w:rPr>
        <w:t>72 wyrok</w:t>
      </w:r>
      <w:r w:rsidR="00941FC9" w:rsidRPr="007579B0">
        <w:rPr>
          <w:lang w:val="pl-PL"/>
        </w:rPr>
        <w:t>u</w:t>
      </w:r>
      <w:r w:rsidR="00964C05" w:rsidRPr="007579B0">
        <w:rPr>
          <w:lang w:val="pl-PL"/>
        </w:rPr>
        <w:t xml:space="preserve"> –</w:t>
      </w:r>
      <w:r w:rsidRPr="007579B0">
        <w:rPr>
          <w:lang w:val="pl-PL"/>
        </w:rPr>
        <w:t xml:space="preserve"> </w:t>
      </w:r>
      <w:r w:rsidR="00941FC9" w:rsidRPr="007579B0">
        <w:rPr>
          <w:lang w:val="pl-PL"/>
        </w:rPr>
        <w:t xml:space="preserve">ze względu na jego </w:t>
      </w:r>
      <w:r w:rsidR="00964C05" w:rsidRPr="007579B0">
        <w:rPr>
          <w:lang w:val="pl-PL"/>
        </w:rPr>
        <w:t xml:space="preserve">wagę – </w:t>
      </w:r>
      <w:r w:rsidR="00941FC9" w:rsidRPr="007579B0">
        <w:rPr>
          <w:lang w:val="pl-PL"/>
        </w:rPr>
        <w:t>został</w:t>
      </w:r>
      <w:r w:rsidR="00B215C7" w:rsidRPr="007579B0">
        <w:rPr>
          <w:lang w:val="pl-PL"/>
        </w:rPr>
        <w:t>o</w:t>
      </w:r>
      <w:r w:rsidR="00941FC9" w:rsidRPr="007579B0">
        <w:rPr>
          <w:lang w:val="pl-PL"/>
        </w:rPr>
        <w:t xml:space="preserve"> uwzględnion</w:t>
      </w:r>
      <w:r w:rsidR="00B215C7" w:rsidRPr="007579B0">
        <w:rPr>
          <w:lang w:val="pl-PL"/>
        </w:rPr>
        <w:t>e</w:t>
      </w:r>
      <w:r w:rsidR="00941FC9" w:rsidRPr="007579B0">
        <w:rPr>
          <w:lang w:val="pl-PL"/>
        </w:rPr>
        <w:t xml:space="preserve"> również w </w:t>
      </w:r>
      <w:r w:rsidR="00B215C7" w:rsidRPr="007579B0">
        <w:rPr>
          <w:lang w:val="pl-PL"/>
        </w:rPr>
        <w:t>sentencj</w:t>
      </w:r>
      <w:r w:rsidR="00401014" w:rsidRPr="007579B0">
        <w:rPr>
          <w:lang w:val="pl-PL"/>
        </w:rPr>
        <w:t>i</w:t>
      </w:r>
      <w:r w:rsidR="00941FC9" w:rsidRPr="007579B0">
        <w:rPr>
          <w:lang w:val="pl-PL"/>
        </w:rPr>
        <w:t xml:space="preserve"> </w:t>
      </w:r>
      <w:r w:rsidR="00964C05" w:rsidRPr="007579B0">
        <w:rPr>
          <w:lang w:val="pl-PL"/>
        </w:rPr>
        <w:t xml:space="preserve">wyroku </w:t>
      </w:r>
      <w:r w:rsidR="00941FC9" w:rsidRPr="007579B0">
        <w:rPr>
          <w:lang w:val="pl-PL"/>
        </w:rPr>
        <w:t>z przyczyn, które zostały już do pewnego stopnia określone w</w:t>
      </w:r>
      <w:r w:rsidR="00964C05" w:rsidRPr="007579B0">
        <w:rPr>
          <w:lang w:val="pl-PL"/>
        </w:rPr>
        <w:t>e wspólnym</w:t>
      </w:r>
      <w:r w:rsidRPr="007579B0">
        <w:rPr>
          <w:lang w:val="pl-PL"/>
        </w:rPr>
        <w:t xml:space="preserve"> </w:t>
      </w:r>
      <w:r w:rsidR="00941FC9" w:rsidRPr="007579B0">
        <w:rPr>
          <w:lang w:val="pl-PL"/>
        </w:rPr>
        <w:t xml:space="preserve">zdaniu odrębnym Sędziów </w:t>
      </w:r>
      <w:r w:rsidRPr="007579B0">
        <w:rPr>
          <w:lang w:val="pl-PL"/>
        </w:rPr>
        <w:t>Spielmann</w:t>
      </w:r>
      <w:r w:rsidR="00941FC9" w:rsidRPr="007579B0">
        <w:rPr>
          <w:lang w:val="pl-PL"/>
        </w:rPr>
        <w:t>a</w:t>
      </w:r>
      <w:r w:rsidRPr="007579B0">
        <w:rPr>
          <w:lang w:val="pl-PL"/>
        </w:rPr>
        <w:t xml:space="preserve"> </w:t>
      </w:r>
      <w:r w:rsidR="00941FC9" w:rsidRPr="007579B0">
        <w:rPr>
          <w:lang w:val="pl-PL"/>
        </w:rPr>
        <w:t>i</w:t>
      </w:r>
      <w:r w:rsidRPr="007579B0">
        <w:rPr>
          <w:lang w:val="pl-PL"/>
        </w:rPr>
        <w:t xml:space="preserve"> Malinverni </w:t>
      </w:r>
      <w:r w:rsidR="00941FC9" w:rsidRPr="007579B0">
        <w:rPr>
          <w:lang w:val="pl-PL"/>
        </w:rPr>
        <w:t xml:space="preserve">w wyroku w sprawie </w:t>
      </w:r>
      <w:r w:rsidRPr="007579B0">
        <w:rPr>
          <w:i/>
          <w:iCs/>
          <w:lang w:val="pl-PL"/>
        </w:rPr>
        <w:t>Vladimir Romanov przeciwko R</w:t>
      </w:r>
      <w:r w:rsidR="00941FC9" w:rsidRPr="007579B0">
        <w:rPr>
          <w:i/>
          <w:iCs/>
          <w:lang w:val="pl-PL"/>
        </w:rPr>
        <w:t xml:space="preserve">osji </w:t>
      </w:r>
      <w:r w:rsidRPr="007579B0">
        <w:rPr>
          <w:lang w:val="pl-PL"/>
        </w:rPr>
        <w:t>(nr 41461/02, 24 lipca 2008</w:t>
      </w:r>
      <w:r w:rsidR="00941FC9" w:rsidRPr="007579B0">
        <w:rPr>
          <w:lang w:val="pl-PL"/>
        </w:rPr>
        <w:t xml:space="preserve"> r.</w:t>
      </w:r>
      <w:r w:rsidRPr="007579B0">
        <w:rPr>
          <w:lang w:val="pl-PL"/>
        </w:rPr>
        <w:t>), a</w:t>
      </w:r>
      <w:r w:rsidR="00941FC9" w:rsidRPr="007579B0">
        <w:rPr>
          <w:lang w:val="pl-PL"/>
        </w:rPr>
        <w:t xml:space="preserve"> także w zdaniu odrębnym Sędziego </w:t>
      </w:r>
      <w:r w:rsidRPr="007579B0">
        <w:rPr>
          <w:lang w:val="pl-PL"/>
        </w:rPr>
        <w:t>Spielmann</w:t>
      </w:r>
      <w:r w:rsidR="00941FC9" w:rsidRPr="007579B0">
        <w:rPr>
          <w:lang w:val="pl-PL"/>
        </w:rPr>
        <w:t xml:space="preserve">a w wyroku w sprawie </w:t>
      </w:r>
      <w:r w:rsidRPr="007579B0">
        <w:rPr>
          <w:i/>
          <w:iCs/>
          <w:lang w:val="pl-PL"/>
        </w:rPr>
        <w:t xml:space="preserve">Polufakin </w:t>
      </w:r>
      <w:r w:rsidR="00941FC9" w:rsidRPr="007579B0">
        <w:rPr>
          <w:i/>
          <w:iCs/>
          <w:lang w:val="pl-PL"/>
        </w:rPr>
        <w:t>i Czernyszew</w:t>
      </w:r>
      <w:r w:rsidRPr="007579B0">
        <w:rPr>
          <w:lang w:val="pl-PL"/>
        </w:rPr>
        <w:t xml:space="preserve"> </w:t>
      </w:r>
      <w:r w:rsidRPr="007579B0">
        <w:rPr>
          <w:i/>
          <w:iCs/>
          <w:lang w:val="pl-PL"/>
        </w:rPr>
        <w:t>przeciwko R</w:t>
      </w:r>
      <w:r w:rsidR="00941FC9" w:rsidRPr="007579B0">
        <w:rPr>
          <w:i/>
          <w:iCs/>
          <w:lang w:val="pl-PL"/>
        </w:rPr>
        <w:t>osji</w:t>
      </w:r>
      <w:r w:rsidRPr="007579B0">
        <w:rPr>
          <w:lang w:val="pl-PL"/>
        </w:rPr>
        <w:t xml:space="preserve"> </w:t>
      </w:r>
      <w:r w:rsidR="00941FC9" w:rsidRPr="007579B0">
        <w:rPr>
          <w:lang w:val="pl-PL"/>
        </w:rPr>
        <w:t>(nr 30997/02, 25 września 2008) i które niniejszym przypominamy</w:t>
      </w:r>
      <w:r w:rsidRPr="007579B0">
        <w:rPr>
          <w:lang w:val="pl-PL"/>
        </w:rPr>
        <w:t>.</w:t>
      </w:r>
    </w:p>
    <w:p w:rsidR="00F05398" w:rsidRPr="007579B0" w:rsidRDefault="00F05398" w:rsidP="00296EEE">
      <w:pPr>
        <w:pStyle w:val="OpiPara"/>
        <w:rPr>
          <w:lang w:val="pl-PL"/>
        </w:rPr>
      </w:pPr>
      <w:r w:rsidRPr="007579B0">
        <w:rPr>
          <w:lang w:val="pl-PL"/>
        </w:rPr>
        <w:t>3.  </w:t>
      </w:r>
      <w:r w:rsidR="00941FC9" w:rsidRPr="007579B0">
        <w:rPr>
          <w:lang w:val="pl-PL"/>
        </w:rPr>
        <w:t xml:space="preserve">Po pierwsze, </w:t>
      </w:r>
      <w:r w:rsidR="00B24E8C" w:rsidRPr="007579B0">
        <w:rPr>
          <w:lang w:val="pl-PL"/>
        </w:rPr>
        <w:t>powszechnie wiadomo</w:t>
      </w:r>
      <w:r w:rsidR="00941FC9" w:rsidRPr="007579B0">
        <w:rPr>
          <w:lang w:val="pl-PL"/>
        </w:rPr>
        <w:t xml:space="preserve">, że o ile </w:t>
      </w:r>
      <w:r w:rsidR="00B215C7" w:rsidRPr="007579B0">
        <w:rPr>
          <w:lang w:val="pl-PL"/>
        </w:rPr>
        <w:t>uzasadnienie</w:t>
      </w:r>
      <w:r w:rsidRPr="007579B0">
        <w:rPr>
          <w:lang w:val="pl-PL"/>
        </w:rPr>
        <w:t xml:space="preserve"> wyrok</w:t>
      </w:r>
      <w:r w:rsidR="00941FC9" w:rsidRPr="007579B0">
        <w:rPr>
          <w:lang w:val="pl-PL"/>
        </w:rPr>
        <w:t>u umożliwia Umawiającym się Państwom</w:t>
      </w:r>
      <w:r w:rsidRPr="007579B0">
        <w:rPr>
          <w:lang w:val="pl-PL"/>
        </w:rPr>
        <w:t xml:space="preserve"> </w:t>
      </w:r>
      <w:r w:rsidR="00F2360B" w:rsidRPr="007579B0">
        <w:rPr>
          <w:lang w:val="pl-PL"/>
        </w:rPr>
        <w:t xml:space="preserve">zapoznanie się z podstawami </w:t>
      </w:r>
      <w:r w:rsidR="00B24E8C" w:rsidRPr="007579B0">
        <w:rPr>
          <w:lang w:val="pl-PL"/>
        </w:rPr>
        <w:t>uznania przez T</w:t>
      </w:r>
      <w:r w:rsidRPr="007579B0">
        <w:rPr>
          <w:lang w:val="pl-PL"/>
        </w:rPr>
        <w:t>rybunał</w:t>
      </w:r>
      <w:r w:rsidR="00B24E8C" w:rsidRPr="007579B0">
        <w:rPr>
          <w:lang w:val="pl-PL"/>
        </w:rPr>
        <w:t xml:space="preserve">, iż doszło bądź nie do </w:t>
      </w:r>
      <w:r w:rsidRPr="007579B0">
        <w:rPr>
          <w:lang w:val="pl-PL"/>
        </w:rPr>
        <w:t>naruszeni</w:t>
      </w:r>
      <w:r w:rsidR="00B24E8C" w:rsidRPr="007579B0">
        <w:rPr>
          <w:lang w:val="pl-PL"/>
        </w:rPr>
        <w:t>a</w:t>
      </w:r>
      <w:r w:rsidRPr="007579B0">
        <w:rPr>
          <w:lang w:val="pl-PL"/>
        </w:rPr>
        <w:t xml:space="preserve"> Konwencji</w:t>
      </w:r>
      <w:r w:rsidR="00B24E8C" w:rsidRPr="007579B0">
        <w:rPr>
          <w:lang w:val="pl-PL"/>
        </w:rPr>
        <w:t xml:space="preserve"> i że z tej przyczyny ma ono </w:t>
      </w:r>
      <w:r w:rsidRPr="007579B0">
        <w:rPr>
          <w:lang w:val="pl-PL"/>
        </w:rPr>
        <w:t>dec</w:t>
      </w:r>
      <w:r w:rsidR="00B24E8C" w:rsidRPr="007579B0">
        <w:rPr>
          <w:lang w:val="pl-PL"/>
        </w:rPr>
        <w:t xml:space="preserve">ydujące znaczenie dla </w:t>
      </w:r>
      <w:r w:rsidRPr="007579B0">
        <w:rPr>
          <w:lang w:val="pl-PL"/>
        </w:rPr>
        <w:t>interpreta</w:t>
      </w:r>
      <w:r w:rsidR="00B24E8C" w:rsidRPr="007579B0">
        <w:rPr>
          <w:lang w:val="pl-PL"/>
        </w:rPr>
        <w:t>cji</w:t>
      </w:r>
      <w:r w:rsidRPr="007579B0">
        <w:rPr>
          <w:lang w:val="pl-PL"/>
        </w:rPr>
        <w:t xml:space="preserve"> Konwencji, </w:t>
      </w:r>
      <w:r w:rsidR="00964C05" w:rsidRPr="007579B0">
        <w:rPr>
          <w:lang w:val="pl-PL"/>
        </w:rPr>
        <w:t xml:space="preserve">w świetle </w:t>
      </w:r>
      <w:r w:rsidRPr="007579B0">
        <w:rPr>
          <w:lang w:val="pl-PL"/>
        </w:rPr>
        <w:t>artykułu 46 ust. 1 Konwencji</w:t>
      </w:r>
      <w:r w:rsidR="00F2360B" w:rsidRPr="007579B0">
        <w:rPr>
          <w:lang w:val="pl-PL"/>
        </w:rPr>
        <w:t xml:space="preserve"> </w:t>
      </w:r>
      <w:r w:rsidR="00401014" w:rsidRPr="007579B0">
        <w:rPr>
          <w:lang w:val="pl-PL"/>
        </w:rPr>
        <w:t>wiążące</w:t>
      </w:r>
      <w:r w:rsidR="00F2360B" w:rsidRPr="007579B0">
        <w:rPr>
          <w:lang w:val="pl-PL"/>
        </w:rPr>
        <w:t xml:space="preserve"> znaczenie dla stron ma sentencja wyroku</w:t>
      </w:r>
      <w:r w:rsidRPr="007579B0">
        <w:rPr>
          <w:lang w:val="pl-PL"/>
        </w:rPr>
        <w:t>.</w:t>
      </w:r>
    </w:p>
    <w:p w:rsidR="00F05398" w:rsidRPr="007579B0" w:rsidRDefault="00F05398" w:rsidP="00296EEE">
      <w:pPr>
        <w:pStyle w:val="OpiPara"/>
        <w:rPr>
          <w:lang w:val="pl-PL"/>
        </w:rPr>
      </w:pPr>
      <w:r w:rsidRPr="007579B0">
        <w:rPr>
          <w:lang w:val="pl-PL"/>
        </w:rPr>
        <w:t>4.  </w:t>
      </w:r>
      <w:r w:rsidR="00F2360B" w:rsidRPr="007579B0">
        <w:rPr>
          <w:lang w:val="pl-PL"/>
        </w:rPr>
        <w:t>W istocie</w:t>
      </w:r>
      <w:r w:rsidR="00964C05" w:rsidRPr="007579B0">
        <w:rPr>
          <w:lang w:val="pl-PL"/>
        </w:rPr>
        <w:t>,</w:t>
      </w:r>
      <w:r w:rsidR="00F2360B" w:rsidRPr="007579B0">
        <w:rPr>
          <w:lang w:val="pl-PL"/>
        </w:rPr>
        <w:t xml:space="preserve"> naszym zdaniem opinia wyrażona przez T</w:t>
      </w:r>
      <w:r w:rsidRPr="007579B0">
        <w:rPr>
          <w:lang w:val="pl-PL"/>
        </w:rPr>
        <w:t>rybunał</w:t>
      </w:r>
      <w:r w:rsidR="00F2360B" w:rsidRPr="007579B0">
        <w:rPr>
          <w:lang w:val="pl-PL"/>
        </w:rPr>
        <w:t xml:space="preserve"> w </w:t>
      </w:r>
      <w:r w:rsidRPr="007579B0">
        <w:rPr>
          <w:lang w:val="pl-PL"/>
        </w:rPr>
        <w:t>par</w:t>
      </w:r>
      <w:r w:rsidR="00F2360B" w:rsidRPr="007579B0">
        <w:rPr>
          <w:lang w:val="pl-PL"/>
        </w:rPr>
        <w:t xml:space="preserve">. </w:t>
      </w:r>
      <w:r w:rsidRPr="007579B0">
        <w:rPr>
          <w:lang w:val="pl-PL"/>
        </w:rPr>
        <w:t>72 wyrok</w:t>
      </w:r>
      <w:r w:rsidR="00F2360B" w:rsidRPr="007579B0">
        <w:rPr>
          <w:lang w:val="pl-PL"/>
        </w:rPr>
        <w:t>u</w:t>
      </w:r>
      <w:r w:rsidRPr="007579B0">
        <w:rPr>
          <w:lang w:val="pl-PL"/>
        </w:rPr>
        <w:t xml:space="preserve"> </w:t>
      </w:r>
      <w:r w:rsidR="00F2360B" w:rsidRPr="007579B0">
        <w:rPr>
          <w:lang w:val="pl-PL"/>
        </w:rPr>
        <w:t>ma znaczenie kluczowe. Trybunał przypomina, że w przypadku, gdy jednostka została skazana w sposób naruszający gwarancje p</w:t>
      </w:r>
      <w:r w:rsidRPr="007579B0">
        <w:rPr>
          <w:lang w:val="pl-PL"/>
        </w:rPr>
        <w:t>rocedural</w:t>
      </w:r>
      <w:r w:rsidR="00F2360B" w:rsidRPr="007579B0">
        <w:rPr>
          <w:lang w:val="pl-PL"/>
        </w:rPr>
        <w:t>ne wynikające z a</w:t>
      </w:r>
      <w:r w:rsidRPr="007579B0">
        <w:rPr>
          <w:lang w:val="pl-PL"/>
        </w:rPr>
        <w:t>rtykuł</w:t>
      </w:r>
      <w:r w:rsidR="00F2360B" w:rsidRPr="007579B0">
        <w:rPr>
          <w:lang w:val="pl-PL"/>
        </w:rPr>
        <w:t>u</w:t>
      </w:r>
      <w:r w:rsidRPr="007579B0">
        <w:rPr>
          <w:lang w:val="pl-PL"/>
        </w:rPr>
        <w:t xml:space="preserve"> 6,</w:t>
      </w:r>
      <w:r w:rsidR="00F2360B" w:rsidRPr="007579B0">
        <w:rPr>
          <w:lang w:val="pl-PL"/>
        </w:rPr>
        <w:t xml:space="preserve"> </w:t>
      </w:r>
      <w:r w:rsidR="00860F68">
        <w:rPr>
          <w:lang w:val="pl-PL"/>
        </w:rPr>
        <w:t>powinna ona – w najszerszym możliwym zakresie – zostać postawiona w takiej sytuacji, w jakiej znalazłaby się, gdyby przepis ten nie został naruszony</w:t>
      </w:r>
      <w:r w:rsidRPr="007579B0">
        <w:rPr>
          <w:lang w:val="pl-PL"/>
        </w:rPr>
        <w:t xml:space="preserve"> (</w:t>
      </w:r>
      <w:r w:rsidR="00F2360B" w:rsidRPr="007579B0">
        <w:rPr>
          <w:lang w:val="pl-PL"/>
        </w:rPr>
        <w:t xml:space="preserve">zasada </w:t>
      </w:r>
      <w:r w:rsidRPr="007579B0">
        <w:rPr>
          <w:i/>
          <w:iCs/>
          <w:lang w:val="pl-PL"/>
        </w:rPr>
        <w:t>restitutio in integrum</w:t>
      </w:r>
      <w:r w:rsidRPr="007579B0">
        <w:rPr>
          <w:lang w:val="pl-PL"/>
        </w:rPr>
        <w:t>).</w:t>
      </w:r>
    </w:p>
    <w:p w:rsidR="00F05398" w:rsidRPr="007579B0" w:rsidRDefault="00F05398" w:rsidP="00296EEE">
      <w:pPr>
        <w:pStyle w:val="OpiPara"/>
        <w:rPr>
          <w:lang w:val="pl-PL"/>
        </w:rPr>
      </w:pPr>
      <w:r w:rsidRPr="007579B0">
        <w:rPr>
          <w:lang w:val="pl-PL"/>
        </w:rPr>
        <w:t>5.  </w:t>
      </w:r>
      <w:r w:rsidR="00F2360B" w:rsidRPr="007579B0">
        <w:rPr>
          <w:lang w:val="pl-PL"/>
        </w:rPr>
        <w:t xml:space="preserve">Zasada </w:t>
      </w:r>
      <w:r w:rsidRPr="007579B0">
        <w:rPr>
          <w:i/>
          <w:iCs/>
          <w:lang w:val="pl-PL"/>
        </w:rPr>
        <w:t>restitutio in integrum</w:t>
      </w:r>
      <w:r w:rsidRPr="007579B0">
        <w:rPr>
          <w:lang w:val="pl-PL"/>
        </w:rPr>
        <w:t xml:space="preserve"> </w:t>
      </w:r>
      <w:r w:rsidR="00F2360B" w:rsidRPr="007579B0">
        <w:rPr>
          <w:lang w:val="pl-PL"/>
        </w:rPr>
        <w:t>wywodzi się z w</w:t>
      </w:r>
      <w:r w:rsidRPr="007579B0">
        <w:rPr>
          <w:lang w:val="pl-PL"/>
        </w:rPr>
        <w:t>yrok</w:t>
      </w:r>
      <w:r w:rsidR="00F2360B" w:rsidRPr="007579B0">
        <w:rPr>
          <w:lang w:val="pl-PL"/>
        </w:rPr>
        <w:t xml:space="preserve">u z dnia </w:t>
      </w:r>
      <w:r w:rsidRPr="007579B0">
        <w:rPr>
          <w:lang w:val="pl-PL"/>
        </w:rPr>
        <w:t>13 września 1928</w:t>
      </w:r>
      <w:r w:rsidR="00F2360B" w:rsidRPr="007579B0">
        <w:rPr>
          <w:lang w:val="pl-PL"/>
        </w:rPr>
        <w:t xml:space="preserve"> r.</w:t>
      </w:r>
      <w:r w:rsidRPr="007579B0">
        <w:rPr>
          <w:lang w:val="pl-PL"/>
        </w:rPr>
        <w:t xml:space="preserve"> </w:t>
      </w:r>
      <w:r w:rsidR="004A74A2" w:rsidRPr="007579B0">
        <w:rPr>
          <w:lang w:val="pl-PL"/>
        </w:rPr>
        <w:t xml:space="preserve">Stałego </w:t>
      </w:r>
      <w:r w:rsidRPr="007579B0">
        <w:rPr>
          <w:lang w:val="pl-PL"/>
        </w:rPr>
        <w:t xml:space="preserve">Trybunału </w:t>
      </w:r>
      <w:r w:rsidR="004A74A2" w:rsidRPr="007579B0">
        <w:rPr>
          <w:lang w:val="pl-PL"/>
        </w:rPr>
        <w:t xml:space="preserve">Sprawiedliwości Międzynarodowej </w:t>
      </w:r>
      <w:r w:rsidRPr="007579B0">
        <w:rPr>
          <w:lang w:val="pl-PL"/>
        </w:rPr>
        <w:t>(</w:t>
      </w:r>
      <w:r w:rsidR="004A74A2" w:rsidRPr="007579B0">
        <w:rPr>
          <w:lang w:val="pl-PL"/>
        </w:rPr>
        <w:t>STSM)</w:t>
      </w:r>
      <w:r w:rsidRPr="007579B0">
        <w:rPr>
          <w:lang w:val="pl-PL"/>
        </w:rPr>
        <w:t xml:space="preserve"> </w:t>
      </w:r>
      <w:r w:rsidR="00F2360B" w:rsidRPr="007579B0">
        <w:rPr>
          <w:lang w:val="pl-PL"/>
        </w:rPr>
        <w:t xml:space="preserve">w sprawie dotyczącej </w:t>
      </w:r>
      <w:r w:rsidRPr="007579B0">
        <w:rPr>
          <w:i/>
          <w:iCs/>
          <w:lang w:val="pl-PL"/>
        </w:rPr>
        <w:t>F</w:t>
      </w:r>
      <w:r w:rsidR="00401014" w:rsidRPr="007579B0">
        <w:rPr>
          <w:i/>
          <w:iCs/>
          <w:lang w:val="pl-PL"/>
        </w:rPr>
        <w:t>abryki w</w:t>
      </w:r>
      <w:r w:rsidRPr="007579B0">
        <w:rPr>
          <w:lang w:val="pl-PL"/>
        </w:rPr>
        <w:t xml:space="preserve"> </w:t>
      </w:r>
      <w:r w:rsidRPr="007579B0">
        <w:rPr>
          <w:i/>
          <w:iCs/>
          <w:lang w:val="pl-PL"/>
        </w:rPr>
        <w:t>Chorz</w:t>
      </w:r>
      <w:r w:rsidR="00401014" w:rsidRPr="007579B0">
        <w:rPr>
          <w:i/>
          <w:iCs/>
          <w:lang w:val="pl-PL"/>
        </w:rPr>
        <w:t>o</w:t>
      </w:r>
      <w:r w:rsidRPr="007579B0">
        <w:rPr>
          <w:i/>
          <w:iCs/>
          <w:lang w:val="pl-PL"/>
        </w:rPr>
        <w:t>w</w:t>
      </w:r>
      <w:r w:rsidR="00401014" w:rsidRPr="007579B0">
        <w:rPr>
          <w:i/>
          <w:iCs/>
          <w:lang w:val="pl-PL"/>
        </w:rPr>
        <w:t>ie</w:t>
      </w:r>
      <w:r w:rsidRPr="007579B0">
        <w:rPr>
          <w:i/>
          <w:iCs/>
          <w:lang w:val="pl-PL"/>
        </w:rPr>
        <w:t xml:space="preserve"> </w:t>
      </w:r>
      <w:r w:rsidRPr="007579B0">
        <w:rPr>
          <w:lang w:val="pl-PL"/>
        </w:rPr>
        <w:t>(</w:t>
      </w:r>
      <w:r w:rsidR="00F2360B" w:rsidRPr="007579B0">
        <w:rPr>
          <w:lang w:val="pl-PL"/>
        </w:rPr>
        <w:t>roszczenie dotyczące odszkodowania</w:t>
      </w:r>
      <w:r w:rsidRPr="007579B0">
        <w:rPr>
          <w:lang w:val="pl-PL"/>
        </w:rPr>
        <w:t>) (merit</w:t>
      </w:r>
      <w:r w:rsidR="00F2360B" w:rsidRPr="007579B0">
        <w:rPr>
          <w:lang w:val="pl-PL"/>
        </w:rPr>
        <w:t>um</w:t>
      </w:r>
      <w:r w:rsidRPr="007579B0">
        <w:rPr>
          <w:lang w:val="pl-PL"/>
        </w:rPr>
        <w:t xml:space="preserve">), </w:t>
      </w:r>
      <w:r w:rsidR="00F2360B" w:rsidRPr="007579B0">
        <w:rPr>
          <w:lang w:val="pl-PL"/>
        </w:rPr>
        <w:t xml:space="preserve">w którym </w:t>
      </w:r>
      <w:r w:rsidRPr="007579B0">
        <w:rPr>
          <w:lang w:val="pl-PL"/>
        </w:rPr>
        <w:t>Trybunał</w:t>
      </w:r>
      <w:r w:rsidR="00F2360B" w:rsidRPr="007579B0">
        <w:rPr>
          <w:lang w:val="pl-PL"/>
        </w:rPr>
        <w:t xml:space="preserve"> stwierdził, co następuje</w:t>
      </w:r>
      <w:r w:rsidRPr="007579B0">
        <w:rPr>
          <w:lang w:val="pl-PL"/>
        </w:rPr>
        <w:t>:</w:t>
      </w:r>
    </w:p>
    <w:p w:rsidR="00F05398" w:rsidRPr="007579B0" w:rsidRDefault="002F29ED" w:rsidP="00296EEE">
      <w:pPr>
        <w:pStyle w:val="OpiQuot"/>
        <w:rPr>
          <w:lang w:val="pl-PL"/>
        </w:rPr>
      </w:pPr>
      <w:r w:rsidRPr="007579B0">
        <w:rPr>
          <w:lang w:val="pl-PL"/>
        </w:rPr>
        <w:t xml:space="preserve">„Zgodnie z podstawową zasadą </w:t>
      </w:r>
      <w:r w:rsidR="00F05398" w:rsidRPr="007579B0">
        <w:rPr>
          <w:lang w:val="pl-PL"/>
        </w:rPr>
        <w:t xml:space="preserve">... </w:t>
      </w:r>
      <w:r w:rsidRPr="007579B0">
        <w:rPr>
          <w:lang w:val="pl-PL"/>
        </w:rPr>
        <w:t>reparacja musi, w najszerszym możliwym zakresie, usuwać skutki czynu niezgodnego z prawem i przywracać sytuację, która – zgodnie z wszelkim prawdopodobieństwem – istniałaby, gdyby nie popełniono takiego czynu.</w:t>
      </w:r>
      <w:r w:rsidR="00F05398" w:rsidRPr="007579B0">
        <w:rPr>
          <w:lang w:val="pl-PL"/>
        </w:rPr>
        <w:t>” (</w:t>
      </w:r>
      <w:r w:rsidR="00F2360B" w:rsidRPr="007579B0">
        <w:rPr>
          <w:lang w:val="pl-PL"/>
        </w:rPr>
        <w:t xml:space="preserve">Zbiór </w:t>
      </w:r>
      <w:r w:rsidR="00F05398" w:rsidRPr="007579B0">
        <w:rPr>
          <w:lang w:val="pl-PL"/>
        </w:rPr>
        <w:t>wyrok</w:t>
      </w:r>
      <w:r w:rsidR="00F2360B" w:rsidRPr="007579B0">
        <w:rPr>
          <w:lang w:val="pl-PL"/>
        </w:rPr>
        <w:t>ów</w:t>
      </w:r>
      <w:r w:rsidR="00F05398" w:rsidRPr="007579B0">
        <w:rPr>
          <w:lang w:val="pl-PL"/>
        </w:rPr>
        <w:t xml:space="preserve">, Seria A nr 17, </w:t>
      </w:r>
      <w:r w:rsidR="00F2360B" w:rsidRPr="007579B0">
        <w:rPr>
          <w:lang w:val="pl-PL"/>
        </w:rPr>
        <w:t>str</w:t>
      </w:r>
      <w:r w:rsidR="00F05398" w:rsidRPr="007579B0">
        <w:rPr>
          <w:lang w:val="pl-PL"/>
        </w:rPr>
        <w:t>. 47)</w:t>
      </w:r>
    </w:p>
    <w:p w:rsidR="00F05398" w:rsidRPr="007579B0" w:rsidRDefault="00F05398" w:rsidP="00296EEE">
      <w:pPr>
        <w:pStyle w:val="OpiPara"/>
        <w:rPr>
          <w:lang w:val="pl-PL"/>
        </w:rPr>
      </w:pPr>
      <w:r w:rsidRPr="007579B0">
        <w:rPr>
          <w:lang w:val="pl-PL"/>
        </w:rPr>
        <w:t>6.  </w:t>
      </w:r>
      <w:r w:rsidR="00F2360B" w:rsidRPr="007579B0">
        <w:rPr>
          <w:lang w:val="pl-PL"/>
        </w:rPr>
        <w:t xml:space="preserve">Zasada ta, mianowicie </w:t>
      </w:r>
      <w:r w:rsidRPr="007579B0">
        <w:rPr>
          <w:i/>
          <w:iCs/>
          <w:lang w:val="pl-PL"/>
        </w:rPr>
        <w:t>restitutio in integrum</w:t>
      </w:r>
      <w:r w:rsidRPr="007579B0">
        <w:rPr>
          <w:lang w:val="pl-PL"/>
        </w:rPr>
        <w:t xml:space="preserve"> </w:t>
      </w:r>
      <w:r w:rsidR="00F2360B" w:rsidRPr="007579B0">
        <w:rPr>
          <w:lang w:val="pl-PL"/>
        </w:rPr>
        <w:t xml:space="preserve">uznawana jest za podstawowy środek </w:t>
      </w:r>
      <w:r w:rsidR="00A63F0E" w:rsidRPr="007579B0">
        <w:rPr>
          <w:lang w:val="pl-PL"/>
        </w:rPr>
        <w:t xml:space="preserve">reparacji </w:t>
      </w:r>
      <w:r w:rsidR="00F2360B" w:rsidRPr="007579B0">
        <w:rPr>
          <w:lang w:val="pl-PL"/>
        </w:rPr>
        <w:t xml:space="preserve">naruszeń prawa międzynarodowego. Była wielokrotnie potwierdzana w orzecznictwie i </w:t>
      </w:r>
      <w:r w:rsidR="00F1777F" w:rsidRPr="007579B0">
        <w:rPr>
          <w:lang w:val="pl-PL"/>
        </w:rPr>
        <w:t>praktyce</w:t>
      </w:r>
      <w:r w:rsidR="00F2360B" w:rsidRPr="007579B0">
        <w:rPr>
          <w:lang w:val="pl-PL"/>
        </w:rPr>
        <w:t xml:space="preserve"> </w:t>
      </w:r>
      <w:r w:rsidR="00F1777F" w:rsidRPr="007579B0">
        <w:rPr>
          <w:lang w:val="pl-PL"/>
        </w:rPr>
        <w:t xml:space="preserve">międzynarodowej, w tym także w art. </w:t>
      </w:r>
      <w:r w:rsidRPr="007579B0">
        <w:rPr>
          <w:lang w:val="pl-PL"/>
        </w:rPr>
        <w:t xml:space="preserve">35 </w:t>
      </w:r>
      <w:r w:rsidRPr="007579B0">
        <w:rPr>
          <w:i/>
          <w:lang w:val="pl-PL"/>
        </w:rPr>
        <w:t>Draft Ar</w:t>
      </w:r>
      <w:r w:rsidR="00F2360B" w:rsidRPr="007579B0">
        <w:rPr>
          <w:i/>
          <w:lang w:val="pl-PL"/>
        </w:rPr>
        <w:t>ticles</w:t>
      </w:r>
      <w:r w:rsidRPr="007579B0">
        <w:rPr>
          <w:i/>
          <w:lang w:val="pl-PL"/>
        </w:rPr>
        <w:t xml:space="preserve"> on Responsibility of States for Internationally Wrongful Acts</w:t>
      </w:r>
      <w:r w:rsidRPr="007579B0">
        <w:rPr>
          <w:lang w:val="pl-PL"/>
        </w:rPr>
        <w:t xml:space="preserve">, </w:t>
      </w:r>
      <w:r w:rsidR="00F1777F" w:rsidRPr="007579B0">
        <w:rPr>
          <w:lang w:val="pl-PL"/>
        </w:rPr>
        <w:t>który stanowi, co następuje</w:t>
      </w:r>
      <w:r w:rsidRPr="007579B0">
        <w:rPr>
          <w:lang w:val="pl-PL"/>
        </w:rPr>
        <w:t>:</w:t>
      </w:r>
    </w:p>
    <w:p w:rsidR="00F05398" w:rsidRPr="007579B0" w:rsidRDefault="002F29ED" w:rsidP="00296EEE">
      <w:pPr>
        <w:pStyle w:val="OpiQuot"/>
        <w:rPr>
          <w:lang w:val="pl-PL"/>
        </w:rPr>
      </w:pPr>
      <w:r w:rsidRPr="007579B0">
        <w:rPr>
          <w:lang w:val="pl-PL"/>
        </w:rPr>
        <w:t>„Państwo odpowiedzialne za międzynarodowe nadużycie ma obowiązek naprawy szkód, to jest przywrócenia sytuacji istniejącej przed popełnieniem nadużycia, pod warunkiem i w zakresie, w jakim naprawa szkód</w:t>
      </w:r>
      <w:r w:rsidR="00F05398" w:rsidRPr="007579B0">
        <w:rPr>
          <w:lang w:val="pl-PL"/>
        </w:rPr>
        <w:t>:</w:t>
      </w:r>
    </w:p>
    <w:p w:rsidR="00F05398" w:rsidRPr="007579B0" w:rsidRDefault="00F05398" w:rsidP="00296EEE">
      <w:pPr>
        <w:pStyle w:val="OpiQuot"/>
        <w:rPr>
          <w:lang w:val="pl-PL"/>
        </w:rPr>
      </w:pPr>
      <w:r w:rsidRPr="007579B0">
        <w:rPr>
          <w:lang w:val="pl-PL"/>
        </w:rPr>
        <w:t>(a)  </w:t>
      </w:r>
      <w:r w:rsidR="002F29ED" w:rsidRPr="007579B0">
        <w:rPr>
          <w:lang w:val="pl-PL"/>
        </w:rPr>
        <w:t>nie jest niemożliwa</w:t>
      </w:r>
      <w:r w:rsidRPr="007579B0">
        <w:rPr>
          <w:lang w:val="pl-PL"/>
        </w:rPr>
        <w:t xml:space="preserve"> </w:t>
      </w:r>
      <w:r w:rsidR="002F29ED" w:rsidRPr="007579B0">
        <w:rPr>
          <w:lang w:val="pl-PL"/>
        </w:rPr>
        <w:t xml:space="preserve">z punktu widzenia </w:t>
      </w:r>
      <w:r w:rsidRPr="007579B0">
        <w:rPr>
          <w:lang w:val="pl-PL"/>
        </w:rPr>
        <w:t>material</w:t>
      </w:r>
      <w:r w:rsidR="002F29ED" w:rsidRPr="007579B0">
        <w:rPr>
          <w:lang w:val="pl-PL"/>
        </w:rPr>
        <w:t>nego;</w:t>
      </w:r>
    </w:p>
    <w:p w:rsidR="00F05398" w:rsidRPr="007579B0" w:rsidRDefault="00F05398" w:rsidP="00296EEE">
      <w:pPr>
        <w:pStyle w:val="OpiQuot"/>
        <w:rPr>
          <w:lang w:val="pl-PL"/>
        </w:rPr>
      </w:pPr>
      <w:r w:rsidRPr="007579B0">
        <w:rPr>
          <w:lang w:val="pl-PL"/>
        </w:rPr>
        <w:t>(b)  </w:t>
      </w:r>
      <w:r w:rsidR="00805C6E" w:rsidRPr="007579B0">
        <w:rPr>
          <w:lang w:val="pl-PL"/>
        </w:rPr>
        <w:t xml:space="preserve">nie </w:t>
      </w:r>
      <w:r w:rsidR="00A63F0E" w:rsidRPr="007579B0">
        <w:rPr>
          <w:lang w:val="pl-PL"/>
        </w:rPr>
        <w:t>wiąże się z</w:t>
      </w:r>
      <w:r w:rsidR="00860F68">
        <w:rPr>
          <w:lang w:val="pl-PL"/>
        </w:rPr>
        <w:t xml:space="preserve"> obciążeniem nie</w:t>
      </w:r>
      <w:r w:rsidRPr="007579B0">
        <w:rPr>
          <w:lang w:val="pl-PL"/>
        </w:rPr>
        <w:t>propor</w:t>
      </w:r>
      <w:r w:rsidR="00860F68">
        <w:rPr>
          <w:lang w:val="pl-PL"/>
        </w:rPr>
        <w:t>cjonalnym w s</w:t>
      </w:r>
      <w:r w:rsidR="00A63F0E" w:rsidRPr="007579B0">
        <w:rPr>
          <w:lang w:val="pl-PL"/>
        </w:rPr>
        <w:t>tosunku d</w:t>
      </w:r>
      <w:r w:rsidRPr="007579B0">
        <w:rPr>
          <w:lang w:val="pl-PL"/>
        </w:rPr>
        <w:t xml:space="preserve">o </w:t>
      </w:r>
      <w:r w:rsidR="00860F68" w:rsidRPr="007579B0">
        <w:rPr>
          <w:lang w:val="pl-PL"/>
        </w:rPr>
        <w:t>korzyści</w:t>
      </w:r>
      <w:r w:rsidR="00A63F0E" w:rsidRPr="007579B0">
        <w:rPr>
          <w:lang w:val="pl-PL"/>
        </w:rPr>
        <w:t xml:space="preserve"> uzyskanej na skutek naprawy</w:t>
      </w:r>
      <w:r w:rsidR="00860F68">
        <w:rPr>
          <w:lang w:val="pl-PL"/>
        </w:rPr>
        <w:t xml:space="preserve"> dokonanej w miejsce odszkodowania</w:t>
      </w:r>
      <w:r w:rsidRPr="007579B0">
        <w:rPr>
          <w:lang w:val="pl-PL"/>
        </w:rPr>
        <w:t>.”</w:t>
      </w:r>
    </w:p>
    <w:p w:rsidR="00F05398" w:rsidRPr="007579B0" w:rsidRDefault="009D1C60" w:rsidP="00861E29">
      <w:pPr>
        <w:pStyle w:val="OpiPara"/>
        <w:rPr>
          <w:lang w:val="pl-PL"/>
        </w:rPr>
      </w:pPr>
      <w:r w:rsidRPr="007579B0">
        <w:rPr>
          <w:lang w:val="pl-PL"/>
        </w:rPr>
        <w:t xml:space="preserve">Nie ma podstaw, by nie </w:t>
      </w:r>
      <w:r w:rsidR="00401014" w:rsidRPr="007579B0">
        <w:rPr>
          <w:lang w:val="pl-PL"/>
        </w:rPr>
        <w:t>stosować</w:t>
      </w:r>
      <w:r w:rsidRPr="007579B0">
        <w:rPr>
          <w:lang w:val="pl-PL"/>
        </w:rPr>
        <w:t xml:space="preserve"> tej zasady w odniesieniu do </w:t>
      </w:r>
      <w:r w:rsidR="00F1777F" w:rsidRPr="007579B0">
        <w:rPr>
          <w:lang w:val="pl-PL"/>
        </w:rPr>
        <w:t xml:space="preserve">odszkodowania z tytułu międzynarodowych nadużyć </w:t>
      </w:r>
      <w:r w:rsidRPr="007579B0">
        <w:rPr>
          <w:lang w:val="pl-PL"/>
        </w:rPr>
        <w:t>w obszarze praw człowieka (z</w:t>
      </w:r>
      <w:r w:rsidR="00F05398" w:rsidRPr="007579B0">
        <w:rPr>
          <w:lang w:val="pl-PL"/>
        </w:rPr>
        <w:t xml:space="preserve">ob. </w:t>
      </w:r>
      <w:proofErr w:type="spellStart"/>
      <w:r w:rsidR="00F05398" w:rsidRPr="00034534">
        <w:rPr>
          <w:lang w:val="en-US"/>
        </w:rPr>
        <w:t>Loukis</w:t>
      </w:r>
      <w:proofErr w:type="spellEnd"/>
      <w:r w:rsidR="00F05398" w:rsidRPr="00034534">
        <w:rPr>
          <w:lang w:val="en-US"/>
        </w:rPr>
        <w:t xml:space="preserve"> G. </w:t>
      </w:r>
      <w:proofErr w:type="spellStart"/>
      <w:r w:rsidR="00F05398" w:rsidRPr="00034534">
        <w:rPr>
          <w:lang w:val="en-US"/>
        </w:rPr>
        <w:t>Loucaides</w:t>
      </w:r>
      <w:proofErr w:type="spellEnd"/>
      <w:r w:rsidR="00F05398" w:rsidRPr="00034534">
        <w:rPr>
          <w:lang w:val="en-US"/>
        </w:rPr>
        <w:t xml:space="preserve">, </w:t>
      </w:r>
      <w:r w:rsidR="00F1777F" w:rsidRPr="00034534">
        <w:rPr>
          <w:i/>
          <w:lang w:val="en-US"/>
        </w:rPr>
        <w:t>„</w:t>
      </w:r>
      <w:r w:rsidR="00F05398" w:rsidRPr="00034534">
        <w:rPr>
          <w:i/>
          <w:lang w:val="en-US"/>
        </w:rPr>
        <w:t xml:space="preserve">Reparation for </w:t>
      </w:r>
      <w:r w:rsidR="004A74A2" w:rsidRPr="00034534">
        <w:rPr>
          <w:i/>
          <w:lang w:val="en-US"/>
        </w:rPr>
        <w:t xml:space="preserve">Violation </w:t>
      </w:r>
      <w:r w:rsidR="00F05398" w:rsidRPr="00034534">
        <w:rPr>
          <w:i/>
          <w:lang w:val="en-US"/>
        </w:rPr>
        <w:t xml:space="preserve">of Human Rights under the European Convention and </w:t>
      </w:r>
      <w:proofErr w:type="spellStart"/>
      <w:r w:rsidR="00F05398" w:rsidRPr="00B908F0">
        <w:rPr>
          <w:i/>
          <w:lang w:val="en-US"/>
        </w:rPr>
        <w:t>Restitutio</w:t>
      </w:r>
      <w:proofErr w:type="spellEnd"/>
      <w:r w:rsidR="00F05398" w:rsidRPr="00B908F0">
        <w:rPr>
          <w:i/>
          <w:lang w:val="en-US"/>
        </w:rPr>
        <w:t xml:space="preserve"> in </w:t>
      </w:r>
      <w:proofErr w:type="spellStart"/>
      <w:r w:rsidR="00F05398" w:rsidRPr="00B908F0">
        <w:rPr>
          <w:i/>
          <w:lang w:val="en-US"/>
        </w:rPr>
        <w:t>Integrum</w:t>
      </w:r>
      <w:proofErr w:type="spellEnd"/>
      <w:r w:rsidR="00F05398" w:rsidRPr="00034534">
        <w:rPr>
          <w:lang w:val="en-US"/>
        </w:rPr>
        <w:t>”, [2008</w:t>
      </w:r>
      <w:r w:rsidRPr="00034534">
        <w:rPr>
          <w:lang w:val="en-US"/>
        </w:rPr>
        <w:t xml:space="preserve"> r.</w:t>
      </w:r>
      <w:r w:rsidR="00F05398" w:rsidRPr="00034534">
        <w:rPr>
          <w:lang w:val="en-US"/>
        </w:rPr>
        <w:t xml:space="preserve">] </w:t>
      </w:r>
      <w:proofErr w:type="spellStart"/>
      <w:r w:rsidR="00F05398" w:rsidRPr="007579B0">
        <w:rPr>
          <w:i/>
          <w:iCs/>
          <w:lang w:val="pl-PL"/>
        </w:rPr>
        <w:t>European</w:t>
      </w:r>
      <w:proofErr w:type="spellEnd"/>
      <w:r w:rsidR="00F05398" w:rsidRPr="007579B0">
        <w:rPr>
          <w:i/>
          <w:iCs/>
          <w:lang w:val="pl-PL"/>
        </w:rPr>
        <w:t xml:space="preserve"> Human </w:t>
      </w:r>
      <w:proofErr w:type="spellStart"/>
      <w:r w:rsidR="00F05398" w:rsidRPr="007579B0">
        <w:rPr>
          <w:i/>
          <w:iCs/>
          <w:lang w:val="pl-PL"/>
        </w:rPr>
        <w:t>Rights</w:t>
      </w:r>
      <w:proofErr w:type="spellEnd"/>
      <w:r w:rsidR="00F05398" w:rsidRPr="007579B0">
        <w:rPr>
          <w:i/>
          <w:iCs/>
          <w:lang w:val="pl-PL"/>
        </w:rPr>
        <w:t xml:space="preserve"> Law Review</w:t>
      </w:r>
      <w:r w:rsidR="00F05398" w:rsidRPr="007579B0">
        <w:rPr>
          <w:lang w:val="pl-PL"/>
        </w:rPr>
        <w:t xml:space="preserve">, </w:t>
      </w:r>
      <w:r w:rsidR="00E3752E" w:rsidRPr="007579B0">
        <w:rPr>
          <w:lang w:val="pl-PL"/>
        </w:rPr>
        <w:t>str</w:t>
      </w:r>
      <w:r w:rsidR="00F05398" w:rsidRPr="007579B0">
        <w:rPr>
          <w:lang w:val="pl-PL"/>
        </w:rPr>
        <w:t>. 182-92).</w:t>
      </w:r>
    </w:p>
    <w:p w:rsidR="00F05398" w:rsidRPr="007579B0" w:rsidRDefault="00F05398" w:rsidP="00296EEE">
      <w:pPr>
        <w:pStyle w:val="OpiPara"/>
        <w:rPr>
          <w:lang w:val="pl-PL"/>
        </w:rPr>
      </w:pPr>
      <w:r w:rsidRPr="007579B0">
        <w:rPr>
          <w:lang w:val="pl-PL"/>
        </w:rPr>
        <w:t xml:space="preserve">W sprawie </w:t>
      </w:r>
      <w:r w:rsidRPr="007579B0">
        <w:rPr>
          <w:i/>
          <w:iCs/>
          <w:lang w:val="pl-PL"/>
        </w:rPr>
        <w:t>Papamichalopoulos i Inni przeciwko Grec</w:t>
      </w:r>
      <w:r w:rsidR="00CC59F4" w:rsidRPr="007579B0">
        <w:rPr>
          <w:i/>
          <w:iCs/>
          <w:lang w:val="pl-PL"/>
        </w:rPr>
        <w:t>ji</w:t>
      </w:r>
      <w:r w:rsidRPr="007579B0">
        <w:rPr>
          <w:lang w:val="pl-PL"/>
        </w:rPr>
        <w:t xml:space="preserve"> (Artykuł 50), 31 października 1995, Seria A nr 330</w:t>
      </w:r>
      <w:r w:rsidRPr="007579B0">
        <w:rPr>
          <w:lang w:val="pl-PL"/>
        </w:rPr>
        <w:noBreakHyphen/>
        <w:t>B) Trybunał</w:t>
      </w:r>
      <w:r w:rsidR="00CC59F4" w:rsidRPr="007579B0">
        <w:rPr>
          <w:lang w:val="pl-PL"/>
        </w:rPr>
        <w:t xml:space="preserve"> </w:t>
      </w:r>
      <w:r w:rsidRPr="007579B0">
        <w:rPr>
          <w:lang w:val="pl-PL"/>
        </w:rPr>
        <w:t>u</w:t>
      </w:r>
      <w:r w:rsidR="00CC59F4" w:rsidRPr="007579B0">
        <w:rPr>
          <w:lang w:val="pl-PL"/>
        </w:rPr>
        <w:t>znał</w:t>
      </w:r>
      <w:r w:rsidRPr="007579B0">
        <w:rPr>
          <w:lang w:val="pl-PL"/>
        </w:rPr>
        <w:t>:</w:t>
      </w:r>
    </w:p>
    <w:p w:rsidR="00F05398" w:rsidRPr="007579B0" w:rsidRDefault="00F05398" w:rsidP="00296EEE">
      <w:pPr>
        <w:pStyle w:val="OpiQuot"/>
        <w:rPr>
          <w:lang w:val="pl-PL"/>
        </w:rPr>
      </w:pPr>
      <w:r w:rsidRPr="007579B0">
        <w:rPr>
          <w:lang w:val="pl-PL"/>
        </w:rPr>
        <w:t>„34.  Trybunał</w:t>
      </w:r>
      <w:r w:rsidR="00CC59F4" w:rsidRPr="007579B0">
        <w:rPr>
          <w:lang w:val="pl-PL"/>
        </w:rPr>
        <w:t xml:space="preserve"> podkreśla, że na podstawie a</w:t>
      </w:r>
      <w:r w:rsidRPr="007579B0">
        <w:rPr>
          <w:lang w:val="pl-PL"/>
        </w:rPr>
        <w:t>rtykuł</w:t>
      </w:r>
      <w:r w:rsidR="00CC59F4" w:rsidRPr="007579B0">
        <w:rPr>
          <w:lang w:val="pl-PL"/>
        </w:rPr>
        <w:t xml:space="preserve">u 53 Konwencji Wysokie Układające się Strony zobowiązały się przestrzegać postanowień decyzji wydanych przez </w:t>
      </w:r>
      <w:r w:rsidRPr="007579B0">
        <w:rPr>
          <w:lang w:val="pl-PL"/>
        </w:rPr>
        <w:t>Trybunał</w:t>
      </w:r>
      <w:r w:rsidR="00CC59F4" w:rsidRPr="007579B0">
        <w:rPr>
          <w:lang w:val="pl-PL"/>
        </w:rPr>
        <w:t xml:space="preserve"> w każdej sprawie, której są stroną</w:t>
      </w:r>
      <w:r w:rsidRPr="007579B0">
        <w:rPr>
          <w:lang w:val="pl-PL"/>
        </w:rPr>
        <w:t xml:space="preserve">; </w:t>
      </w:r>
      <w:r w:rsidR="00E3752E" w:rsidRPr="007579B0">
        <w:rPr>
          <w:lang w:val="pl-PL"/>
        </w:rPr>
        <w:t>ponadto przepis a</w:t>
      </w:r>
      <w:r w:rsidRPr="007579B0">
        <w:rPr>
          <w:lang w:val="pl-PL"/>
        </w:rPr>
        <w:t>rtykuł</w:t>
      </w:r>
      <w:r w:rsidR="00E3752E" w:rsidRPr="007579B0">
        <w:rPr>
          <w:lang w:val="pl-PL"/>
        </w:rPr>
        <w:t>u</w:t>
      </w:r>
      <w:r w:rsidRPr="007579B0">
        <w:rPr>
          <w:lang w:val="pl-PL"/>
        </w:rPr>
        <w:t xml:space="preserve"> 54 </w:t>
      </w:r>
      <w:r w:rsidR="00E3752E" w:rsidRPr="007579B0">
        <w:rPr>
          <w:lang w:val="pl-PL"/>
        </w:rPr>
        <w:t xml:space="preserve">stanowi, że wyrok </w:t>
      </w:r>
      <w:r w:rsidRPr="007579B0">
        <w:rPr>
          <w:lang w:val="pl-PL"/>
        </w:rPr>
        <w:t xml:space="preserve">Trybunału </w:t>
      </w:r>
      <w:r w:rsidR="00E3752E" w:rsidRPr="007579B0">
        <w:rPr>
          <w:lang w:val="pl-PL"/>
        </w:rPr>
        <w:t xml:space="preserve">będzie przekazywany do Komitetu Ministrów, który </w:t>
      </w:r>
      <w:r w:rsidR="002173B8" w:rsidRPr="007579B0">
        <w:rPr>
          <w:lang w:val="pl-PL"/>
        </w:rPr>
        <w:t>czuwa nad jego w</w:t>
      </w:r>
      <w:r w:rsidR="00E3752E" w:rsidRPr="007579B0">
        <w:rPr>
          <w:lang w:val="pl-PL"/>
        </w:rPr>
        <w:t>ykonanie</w:t>
      </w:r>
      <w:r w:rsidR="002173B8" w:rsidRPr="007579B0">
        <w:rPr>
          <w:lang w:val="pl-PL"/>
        </w:rPr>
        <w:t>m</w:t>
      </w:r>
      <w:r w:rsidRPr="007579B0">
        <w:rPr>
          <w:lang w:val="pl-PL"/>
        </w:rPr>
        <w:t xml:space="preserve">. </w:t>
      </w:r>
      <w:r w:rsidR="00E3752E" w:rsidRPr="007579B0">
        <w:rPr>
          <w:lang w:val="pl-PL"/>
        </w:rPr>
        <w:t xml:space="preserve">Zatem w przypadku wydania </w:t>
      </w:r>
      <w:r w:rsidRPr="007579B0">
        <w:rPr>
          <w:lang w:val="pl-PL"/>
        </w:rPr>
        <w:t>wyrok</w:t>
      </w:r>
      <w:r w:rsidR="00E3752E" w:rsidRPr="007579B0">
        <w:rPr>
          <w:lang w:val="pl-PL"/>
        </w:rPr>
        <w:t>u, w którym Tr</w:t>
      </w:r>
      <w:r w:rsidRPr="007579B0">
        <w:rPr>
          <w:lang w:val="pl-PL"/>
        </w:rPr>
        <w:t>ybunał</w:t>
      </w:r>
      <w:r w:rsidR="00E3752E" w:rsidRPr="007579B0">
        <w:rPr>
          <w:lang w:val="pl-PL"/>
        </w:rPr>
        <w:t xml:space="preserve"> </w:t>
      </w:r>
      <w:r w:rsidRPr="007579B0">
        <w:rPr>
          <w:lang w:val="pl-PL"/>
        </w:rPr>
        <w:t>u</w:t>
      </w:r>
      <w:r w:rsidR="00E3752E" w:rsidRPr="007579B0">
        <w:rPr>
          <w:lang w:val="pl-PL"/>
        </w:rPr>
        <w:t xml:space="preserve">zna, iż doszło do naruszenia, nakłada na pozwane Państwo obowiązek prawny zakończenia naruszenia i naprawy </w:t>
      </w:r>
      <w:r w:rsidR="00D70D29" w:rsidRPr="007579B0">
        <w:rPr>
          <w:lang w:val="pl-PL"/>
        </w:rPr>
        <w:t>jego konsekwencji</w:t>
      </w:r>
      <w:r w:rsidRPr="007579B0">
        <w:rPr>
          <w:lang w:val="pl-PL"/>
        </w:rPr>
        <w:t xml:space="preserve"> </w:t>
      </w:r>
      <w:r w:rsidR="00E3752E" w:rsidRPr="007579B0">
        <w:rPr>
          <w:lang w:val="pl-PL"/>
        </w:rPr>
        <w:t>w taki sposób, by w możliwym stopniu przywrócić sytuację istniejącą przed naruszeniem</w:t>
      </w:r>
      <w:r w:rsidRPr="007579B0">
        <w:rPr>
          <w:lang w:val="pl-PL"/>
        </w:rPr>
        <w:t>.</w:t>
      </w:r>
    </w:p>
    <w:p w:rsidR="00F05398" w:rsidRPr="007579B0" w:rsidRDefault="002173B8" w:rsidP="00296EEE">
      <w:pPr>
        <w:pStyle w:val="OpiQuot"/>
        <w:rPr>
          <w:lang w:val="pl-PL"/>
        </w:rPr>
      </w:pPr>
      <w:r w:rsidRPr="007579B0">
        <w:rPr>
          <w:lang w:val="pl-PL"/>
        </w:rPr>
        <w:t>Układające się Państwa</w:t>
      </w:r>
      <w:r w:rsidR="00E3752E" w:rsidRPr="007579B0">
        <w:rPr>
          <w:lang w:val="pl-PL"/>
        </w:rPr>
        <w:t xml:space="preserve">, które są stronami sprawy, </w:t>
      </w:r>
      <w:r w:rsidR="00D70D29" w:rsidRPr="007579B0">
        <w:rPr>
          <w:lang w:val="pl-PL"/>
        </w:rPr>
        <w:t xml:space="preserve">mają </w:t>
      </w:r>
      <w:r w:rsidR="00E3752E" w:rsidRPr="007579B0">
        <w:rPr>
          <w:lang w:val="pl-PL"/>
        </w:rPr>
        <w:t xml:space="preserve">z zasady swobodę wyboru środków, jakie zastosują w celu wykonania </w:t>
      </w:r>
      <w:r w:rsidR="00F05398" w:rsidRPr="007579B0">
        <w:rPr>
          <w:lang w:val="pl-PL"/>
        </w:rPr>
        <w:t>wyrok</w:t>
      </w:r>
      <w:r w:rsidR="00E3752E" w:rsidRPr="007579B0">
        <w:rPr>
          <w:lang w:val="pl-PL"/>
        </w:rPr>
        <w:t>u T</w:t>
      </w:r>
      <w:r w:rsidR="00F05398" w:rsidRPr="007579B0">
        <w:rPr>
          <w:lang w:val="pl-PL"/>
        </w:rPr>
        <w:t>rybunału u</w:t>
      </w:r>
      <w:r w:rsidR="00E3752E" w:rsidRPr="007579B0">
        <w:rPr>
          <w:lang w:val="pl-PL"/>
        </w:rPr>
        <w:t>z</w:t>
      </w:r>
      <w:r w:rsidR="00F05398" w:rsidRPr="007579B0">
        <w:rPr>
          <w:lang w:val="pl-PL"/>
        </w:rPr>
        <w:t>na</w:t>
      </w:r>
      <w:r w:rsidR="00E3752E" w:rsidRPr="007579B0">
        <w:rPr>
          <w:lang w:val="pl-PL"/>
        </w:rPr>
        <w:t>jącego naruszenie</w:t>
      </w:r>
      <w:r w:rsidR="00F05398" w:rsidRPr="007579B0">
        <w:rPr>
          <w:lang w:val="pl-PL"/>
        </w:rPr>
        <w:t xml:space="preserve">. </w:t>
      </w:r>
      <w:r w:rsidR="00E3752E" w:rsidRPr="007579B0">
        <w:rPr>
          <w:lang w:val="pl-PL"/>
        </w:rPr>
        <w:t xml:space="preserve">Taka swoboda wyboru środku wykonania wyroku odzwierciedla </w:t>
      </w:r>
      <w:r w:rsidR="009D1C60" w:rsidRPr="007579B0">
        <w:rPr>
          <w:lang w:val="pl-PL"/>
        </w:rPr>
        <w:t xml:space="preserve">wolność wyboru dotyczącą </w:t>
      </w:r>
      <w:r w:rsidR="00351067" w:rsidRPr="007579B0">
        <w:rPr>
          <w:lang w:val="pl-PL"/>
        </w:rPr>
        <w:t>podstawowego</w:t>
      </w:r>
      <w:r w:rsidR="009D1C60" w:rsidRPr="007579B0">
        <w:rPr>
          <w:lang w:val="pl-PL"/>
        </w:rPr>
        <w:t xml:space="preserve"> obowiązku </w:t>
      </w:r>
      <w:r w:rsidRPr="007579B0">
        <w:rPr>
          <w:lang w:val="pl-PL"/>
        </w:rPr>
        <w:t xml:space="preserve">Układających się Państw </w:t>
      </w:r>
      <w:r w:rsidR="009D1C60" w:rsidRPr="007579B0">
        <w:rPr>
          <w:lang w:val="pl-PL"/>
        </w:rPr>
        <w:t xml:space="preserve">wynikającego z </w:t>
      </w:r>
      <w:r w:rsidR="00351067" w:rsidRPr="007579B0">
        <w:rPr>
          <w:lang w:val="pl-PL"/>
        </w:rPr>
        <w:t>Konwencji</w:t>
      </w:r>
      <w:r w:rsidR="009D1C60" w:rsidRPr="007579B0">
        <w:rPr>
          <w:lang w:val="pl-PL"/>
        </w:rPr>
        <w:t xml:space="preserve">, tj. zapewnienia zagwarantowanych praw i wolności </w:t>
      </w:r>
      <w:r w:rsidR="00F05398" w:rsidRPr="007579B0">
        <w:rPr>
          <w:lang w:val="pl-PL"/>
        </w:rPr>
        <w:t>(</w:t>
      </w:r>
      <w:r w:rsidR="00E3752E" w:rsidRPr="007579B0">
        <w:rPr>
          <w:lang w:val="pl-PL"/>
        </w:rPr>
        <w:t>a</w:t>
      </w:r>
      <w:r w:rsidR="00F05398" w:rsidRPr="007579B0">
        <w:rPr>
          <w:lang w:val="pl-PL"/>
        </w:rPr>
        <w:t xml:space="preserve">rtykuł 1). </w:t>
      </w:r>
      <w:r w:rsidR="009D1C60" w:rsidRPr="007579B0">
        <w:rPr>
          <w:lang w:val="pl-PL"/>
        </w:rPr>
        <w:t xml:space="preserve">Jeżeli charakter naruszenia zezwala na </w:t>
      </w:r>
      <w:r w:rsidR="00351067" w:rsidRPr="007579B0">
        <w:rPr>
          <w:lang w:val="pl-PL"/>
        </w:rPr>
        <w:t>zastosowanie</w:t>
      </w:r>
      <w:r w:rsidR="009D1C60" w:rsidRPr="007579B0">
        <w:rPr>
          <w:lang w:val="pl-PL"/>
        </w:rPr>
        <w:t xml:space="preserve"> zasady </w:t>
      </w:r>
      <w:r w:rsidR="00F05398" w:rsidRPr="007579B0">
        <w:rPr>
          <w:i/>
          <w:iCs/>
          <w:lang w:val="pl-PL"/>
        </w:rPr>
        <w:t>restitutio in integrum</w:t>
      </w:r>
      <w:r w:rsidR="00F05398" w:rsidRPr="007579B0">
        <w:rPr>
          <w:lang w:val="pl-PL"/>
        </w:rPr>
        <w:t xml:space="preserve">, </w:t>
      </w:r>
      <w:r w:rsidR="009D1C60" w:rsidRPr="007579B0">
        <w:rPr>
          <w:lang w:val="pl-PL"/>
        </w:rPr>
        <w:t>pozwane Państwo ma obowiązek jej wdrożenia</w:t>
      </w:r>
      <w:r w:rsidR="00F05398" w:rsidRPr="007579B0">
        <w:rPr>
          <w:lang w:val="pl-PL"/>
        </w:rPr>
        <w:t xml:space="preserve">, </w:t>
      </w:r>
      <w:r w:rsidR="009D1C60" w:rsidRPr="007579B0">
        <w:rPr>
          <w:lang w:val="pl-PL"/>
        </w:rPr>
        <w:t xml:space="preserve">jako że </w:t>
      </w:r>
      <w:r w:rsidR="00F05398" w:rsidRPr="007579B0">
        <w:rPr>
          <w:lang w:val="pl-PL"/>
        </w:rPr>
        <w:t>Trybunał</w:t>
      </w:r>
      <w:r w:rsidR="009D1C60" w:rsidRPr="007579B0">
        <w:rPr>
          <w:lang w:val="pl-PL"/>
        </w:rPr>
        <w:t xml:space="preserve"> nie posiada w tym względzie uprawnień ani możliwości praktycznych</w:t>
      </w:r>
      <w:r w:rsidR="00F05398" w:rsidRPr="007579B0">
        <w:rPr>
          <w:lang w:val="pl-PL"/>
        </w:rPr>
        <w:t xml:space="preserve">. </w:t>
      </w:r>
      <w:r w:rsidR="009D1C60" w:rsidRPr="007579B0">
        <w:rPr>
          <w:lang w:val="pl-PL"/>
        </w:rPr>
        <w:t xml:space="preserve">Jeżeli jednak prawo krajowe nie dopuszcza – bądź </w:t>
      </w:r>
      <w:r w:rsidR="00351067" w:rsidRPr="007579B0">
        <w:rPr>
          <w:lang w:val="pl-PL"/>
        </w:rPr>
        <w:t>dopuszcza</w:t>
      </w:r>
      <w:r w:rsidR="009D1C60" w:rsidRPr="007579B0">
        <w:rPr>
          <w:lang w:val="pl-PL"/>
        </w:rPr>
        <w:t xml:space="preserve"> jedynie </w:t>
      </w:r>
      <w:r w:rsidR="00351067" w:rsidRPr="007579B0">
        <w:rPr>
          <w:lang w:val="pl-PL"/>
        </w:rPr>
        <w:t>częściowo</w:t>
      </w:r>
      <w:r w:rsidR="009D1C60" w:rsidRPr="007579B0">
        <w:rPr>
          <w:lang w:val="pl-PL"/>
        </w:rPr>
        <w:t xml:space="preserve"> – </w:t>
      </w:r>
      <w:r w:rsidR="00351067" w:rsidRPr="007579B0">
        <w:rPr>
          <w:lang w:val="pl-PL"/>
        </w:rPr>
        <w:t>odszkodowanie z tytułu skutków naruszenia</w:t>
      </w:r>
      <w:r w:rsidR="00F05398" w:rsidRPr="007579B0">
        <w:rPr>
          <w:lang w:val="pl-PL"/>
        </w:rPr>
        <w:t xml:space="preserve">, </w:t>
      </w:r>
      <w:r w:rsidR="009D1C60" w:rsidRPr="007579B0">
        <w:rPr>
          <w:lang w:val="pl-PL"/>
        </w:rPr>
        <w:t>przepis a</w:t>
      </w:r>
      <w:r w:rsidR="00F05398" w:rsidRPr="007579B0">
        <w:rPr>
          <w:lang w:val="pl-PL"/>
        </w:rPr>
        <w:t>rtykuł</w:t>
      </w:r>
      <w:r w:rsidR="009D1C60" w:rsidRPr="007579B0">
        <w:rPr>
          <w:lang w:val="pl-PL"/>
        </w:rPr>
        <w:t>u</w:t>
      </w:r>
      <w:r w:rsidR="00F05398" w:rsidRPr="007579B0">
        <w:rPr>
          <w:lang w:val="pl-PL"/>
        </w:rPr>
        <w:t xml:space="preserve"> 50 </w:t>
      </w:r>
      <w:r w:rsidR="00340451" w:rsidRPr="007579B0">
        <w:rPr>
          <w:lang w:val="pl-PL"/>
        </w:rPr>
        <w:t xml:space="preserve">uprawnia </w:t>
      </w:r>
      <w:r w:rsidR="00F05398" w:rsidRPr="007579B0">
        <w:rPr>
          <w:lang w:val="pl-PL"/>
        </w:rPr>
        <w:t>Trybunał</w:t>
      </w:r>
      <w:r w:rsidR="00340451" w:rsidRPr="007579B0">
        <w:rPr>
          <w:lang w:val="pl-PL"/>
        </w:rPr>
        <w:t xml:space="preserve"> do przyznania stronie </w:t>
      </w:r>
      <w:r w:rsidR="00351067" w:rsidRPr="007579B0">
        <w:rPr>
          <w:lang w:val="pl-PL"/>
        </w:rPr>
        <w:t>poszkodowanej zadośćuczynienia</w:t>
      </w:r>
      <w:r w:rsidR="00340451" w:rsidRPr="007579B0">
        <w:rPr>
          <w:lang w:val="pl-PL"/>
        </w:rPr>
        <w:t>, jakie uzna za stosowne</w:t>
      </w:r>
      <w:r w:rsidR="00F05398" w:rsidRPr="007579B0">
        <w:rPr>
          <w:lang w:val="pl-PL"/>
        </w:rPr>
        <w:t>.”</w:t>
      </w:r>
    </w:p>
    <w:p w:rsidR="00F05398" w:rsidRPr="007579B0" w:rsidRDefault="00F05398" w:rsidP="00296EEE">
      <w:pPr>
        <w:pStyle w:val="OpiPara"/>
        <w:rPr>
          <w:lang w:val="pl-PL"/>
        </w:rPr>
      </w:pPr>
      <w:r w:rsidRPr="007579B0">
        <w:rPr>
          <w:lang w:val="pl-PL"/>
        </w:rPr>
        <w:t xml:space="preserve">7.  W niniejszej sprawie, </w:t>
      </w:r>
      <w:r w:rsidR="00E3752E" w:rsidRPr="007579B0">
        <w:rPr>
          <w:lang w:val="pl-PL"/>
        </w:rPr>
        <w:t xml:space="preserve">uwzględniając fakt, że nieobecność </w:t>
      </w:r>
      <w:r w:rsidRPr="007579B0">
        <w:rPr>
          <w:lang w:val="pl-PL"/>
        </w:rPr>
        <w:t>adwokata w</w:t>
      </w:r>
      <w:r w:rsidR="00E3752E" w:rsidRPr="007579B0">
        <w:rPr>
          <w:lang w:val="pl-PL"/>
        </w:rPr>
        <w:t xml:space="preserve"> trakcie aresztowania przez policję w nieodwracalny sposób naruszyła prawa </w:t>
      </w:r>
      <w:r w:rsidR="00927AEC" w:rsidRPr="007579B0">
        <w:rPr>
          <w:lang w:val="pl-PL"/>
        </w:rPr>
        <w:t xml:space="preserve">skarżącego </w:t>
      </w:r>
      <w:r w:rsidR="00E3752E" w:rsidRPr="007579B0">
        <w:rPr>
          <w:lang w:val="pl-PL"/>
        </w:rPr>
        <w:t xml:space="preserve">do obrony (zob. par. 62 </w:t>
      </w:r>
      <w:r w:rsidRPr="007579B0">
        <w:rPr>
          <w:lang w:val="pl-PL"/>
        </w:rPr>
        <w:t>wyrok</w:t>
      </w:r>
      <w:r w:rsidR="00E3752E" w:rsidRPr="007579B0">
        <w:rPr>
          <w:lang w:val="pl-PL"/>
        </w:rPr>
        <w:t>u</w:t>
      </w:r>
      <w:r w:rsidRPr="007579B0">
        <w:rPr>
          <w:lang w:val="pl-PL"/>
        </w:rPr>
        <w:t xml:space="preserve">), </w:t>
      </w:r>
      <w:r w:rsidR="00E3752E" w:rsidRPr="007579B0">
        <w:rPr>
          <w:lang w:val="pl-PL"/>
        </w:rPr>
        <w:t xml:space="preserve">najlepszym środkiem uzyskania takiego efektu byłoby </w:t>
      </w:r>
      <w:r w:rsidR="00351067" w:rsidRPr="007579B0">
        <w:rPr>
          <w:lang w:val="pl-PL"/>
        </w:rPr>
        <w:t>wznowienie</w:t>
      </w:r>
      <w:r w:rsidR="003E2323" w:rsidRPr="007579B0">
        <w:rPr>
          <w:lang w:val="pl-PL"/>
        </w:rPr>
        <w:t xml:space="preserve"> postępowania i wszczęcie nowego procesu</w:t>
      </w:r>
      <w:r w:rsidR="00E3752E" w:rsidRPr="007579B0">
        <w:rPr>
          <w:lang w:val="pl-PL"/>
        </w:rPr>
        <w:t xml:space="preserve">, w ramach którego przestrzegano by wszystkich gwarancji rzetelnego procesu, pod warunkiem jednakże, że </w:t>
      </w:r>
      <w:r w:rsidRPr="007579B0">
        <w:rPr>
          <w:lang w:val="pl-PL"/>
        </w:rPr>
        <w:t>skarżąc</w:t>
      </w:r>
      <w:r w:rsidR="00E3752E" w:rsidRPr="007579B0">
        <w:rPr>
          <w:lang w:val="pl-PL"/>
        </w:rPr>
        <w:t>y złoży taki wniosek oraz że jest to możliwe zgodnie z przepisami prawa krajowego pozwanego Państwa</w:t>
      </w:r>
      <w:r w:rsidRPr="007579B0">
        <w:rPr>
          <w:lang w:val="pl-PL"/>
        </w:rPr>
        <w:t>.</w:t>
      </w:r>
    </w:p>
    <w:p w:rsidR="00F05398" w:rsidRPr="00034534" w:rsidRDefault="00F05398" w:rsidP="00296EEE">
      <w:pPr>
        <w:pStyle w:val="OpiPara"/>
        <w:rPr>
          <w:lang w:val="en-US"/>
        </w:rPr>
      </w:pPr>
      <w:r w:rsidRPr="007579B0">
        <w:rPr>
          <w:lang w:val="pl-PL"/>
        </w:rPr>
        <w:t>8.  </w:t>
      </w:r>
      <w:r w:rsidR="00B832DB" w:rsidRPr="007579B0">
        <w:rPr>
          <w:lang w:val="pl-PL"/>
        </w:rPr>
        <w:t xml:space="preserve">Na podkreśleniu tej kwestii zależy nam dlatego, że nie można pominąć </w:t>
      </w:r>
      <w:r w:rsidR="00351067" w:rsidRPr="007579B0">
        <w:rPr>
          <w:lang w:val="pl-PL"/>
        </w:rPr>
        <w:t>faktu</w:t>
      </w:r>
      <w:r w:rsidR="00B832DB" w:rsidRPr="007579B0">
        <w:rPr>
          <w:lang w:val="pl-PL"/>
        </w:rPr>
        <w:t>, iż odszkodowani</w:t>
      </w:r>
      <w:r w:rsidR="00927AEC" w:rsidRPr="007579B0">
        <w:rPr>
          <w:lang w:val="pl-PL"/>
        </w:rPr>
        <w:t>a</w:t>
      </w:r>
      <w:r w:rsidR="00B832DB" w:rsidRPr="007579B0">
        <w:rPr>
          <w:lang w:val="pl-PL"/>
        </w:rPr>
        <w:t>, jakie Trybunał nakazuje wypłacić ofiarom naruszeń K</w:t>
      </w:r>
      <w:r w:rsidRPr="007579B0">
        <w:rPr>
          <w:lang w:val="pl-PL"/>
        </w:rPr>
        <w:t xml:space="preserve">onwencji </w:t>
      </w:r>
      <w:r w:rsidR="00B832DB" w:rsidRPr="007579B0">
        <w:rPr>
          <w:lang w:val="pl-PL"/>
        </w:rPr>
        <w:t xml:space="preserve">mają, zgodnie z przepisem i duchem </w:t>
      </w:r>
      <w:r w:rsidRPr="007579B0">
        <w:rPr>
          <w:lang w:val="pl-PL"/>
        </w:rPr>
        <w:t xml:space="preserve">artykułu 41, </w:t>
      </w:r>
      <w:r w:rsidR="00B832DB" w:rsidRPr="007579B0">
        <w:rPr>
          <w:lang w:val="pl-PL"/>
        </w:rPr>
        <w:t>charakter s</w:t>
      </w:r>
      <w:r w:rsidRPr="007579B0">
        <w:rPr>
          <w:lang w:val="pl-PL"/>
        </w:rPr>
        <w:t>ubs</w:t>
      </w:r>
      <w:r w:rsidR="00B832DB" w:rsidRPr="007579B0">
        <w:rPr>
          <w:lang w:val="pl-PL"/>
        </w:rPr>
        <w:t>y</w:t>
      </w:r>
      <w:r w:rsidRPr="007579B0">
        <w:rPr>
          <w:lang w:val="pl-PL"/>
        </w:rPr>
        <w:t>diar</w:t>
      </w:r>
      <w:r w:rsidR="00B832DB" w:rsidRPr="007579B0">
        <w:rPr>
          <w:lang w:val="pl-PL"/>
        </w:rPr>
        <w:t>n</w:t>
      </w:r>
      <w:r w:rsidRPr="007579B0">
        <w:rPr>
          <w:lang w:val="pl-PL"/>
        </w:rPr>
        <w:t>y</w:t>
      </w:r>
      <w:r w:rsidR="00B832DB" w:rsidRPr="007579B0">
        <w:rPr>
          <w:lang w:val="pl-PL"/>
        </w:rPr>
        <w:t xml:space="preserve">, co jest zgodne z charakterem subsydiarnym przypisywanym </w:t>
      </w:r>
      <w:r w:rsidR="00805C6E" w:rsidRPr="007579B0">
        <w:rPr>
          <w:lang w:val="pl-PL"/>
        </w:rPr>
        <w:t xml:space="preserve">odszkodowaniu </w:t>
      </w:r>
      <w:r w:rsidR="00B832DB" w:rsidRPr="007579B0">
        <w:rPr>
          <w:lang w:val="pl-PL"/>
        </w:rPr>
        <w:t xml:space="preserve">w prawie międzynarodowym. </w:t>
      </w:r>
      <w:proofErr w:type="spellStart"/>
      <w:r w:rsidR="00B832DB" w:rsidRPr="00034534">
        <w:rPr>
          <w:lang w:val="en-US"/>
        </w:rPr>
        <w:t>Artykuł</w:t>
      </w:r>
      <w:proofErr w:type="spellEnd"/>
      <w:r w:rsidR="00805C6E" w:rsidRPr="00034534">
        <w:rPr>
          <w:lang w:val="en-US"/>
        </w:rPr>
        <w:t xml:space="preserve"> 36 </w:t>
      </w:r>
      <w:r w:rsidRPr="00034534">
        <w:rPr>
          <w:i/>
          <w:lang w:val="en-US"/>
        </w:rPr>
        <w:t>Draft Art</w:t>
      </w:r>
      <w:r w:rsidR="00B832DB" w:rsidRPr="00034534">
        <w:rPr>
          <w:i/>
          <w:lang w:val="en-US"/>
        </w:rPr>
        <w:t>icles</w:t>
      </w:r>
      <w:r w:rsidRPr="00034534">
        <w:rPr>
          <w:i/>
          <w:lang w:val="en-US"/>
        </w:rPr>
        <w:t xml:space="preserve"> on Responsibility of States for Internationally Wrongful Acts</w:t>
      </w:r>
      <w:r w:rsidRPr="00034534">
        <w:rPr>
          <w:lang w:val="en-US"/>
        </w:rPr>
        <w:t xml:space="preserve"> </w:t>
      </w:r>
      <w:proofErr w:type="spellStart"/>
      <w:r w:rsidRPr="00034534">
        <w:rPr>
          <w:lang w:val="en-US"/>
        </w:rPr>
        <w:t>sta</w:t>
      </w:r>
      <w:r w:rsidR="00805C6E" w:rsidRPr="00034534">
        <w:rPr>
          <w:lang w:val="en-US"/>
        </w:rPr>
        <w:t>nowi</w:t>
      </w:r>
      <w:proofErr w:type="spellEnd"/>
      <w:r w:rsidRPr="00034534">
        <w:rPr>
          <w:lang w:val="en-US"/>
        </w:rPr>
        <w:t>:</w:t>
      </w:r>
    </w:p>
    <w:p w:rsidR="00F05398" w:rsidRPr="007579B0" w:rsidRDefault="00E3752E" w:rsidP="00296EEE">
      <w:pPr>
        <w:pStyle w:val="OpiQuot"/>
        <w:rPr>
          <w:lang w:val="pl-PL"/>
        </w:rPr>
      </w:pPr>
      <w:r w:rsidRPr="007579B0">
        <w:rPr>
          <w:lang w:val="pl-PL"/>
        </w:rPr>
        <w:t>„</w:t>
      </w:r>
      <w:r w:rsidR="00F05398" w:rsidRPr="007579B0">
        <w:rPr>
          <w:lang w:val="pl-PL"/>
        </w:rPr>
        <w:t>1.  </w:t>
      </w:r>
      <w:r w:rsidR="00805C6E" w:rsidRPr="007579B0">
        <w:rPr>
          <w:lang w:val="pl-PL"/>
        </w:rPr>
        <w:t>Państwo odpowiedzialne za międzynarodowe nadużycie ma obowiązek wypłaty odszkodowania z tytuł szkód wywołanych tymże nadużyciem w zakresie, w jakim nie dokonano naprawy takich szkód</w:t>
      </w:r>
      <w:r w:rsidR="00F05398" w:rsidRPr="007579B0">
        <w:rPr>
          <w:lang w:val="pl-PL"/>
        </w:rPr>
        <w:t>. ...”</w:t>
      </w:r>
    </w:p>
    <w:p w:rsidR="00F05398" w:rsidRPr="007579B0" w:rsidRDefault="00805C6E" w:rsidP="00861E29">
      <w:pPr>
        <w:pStyle w:val="OpiPara"/>
        <w:rPr>
          <w:lang w:val="pl-PL"/>
        </w:rPr>
      </w:pPr>
      <w:r w:rsidRPr="007579B0">
        <w:rPr>
          <w:lang w:val="pl-PL"/>
        </w:rPr>
        <w:t xml:space="preserve">Jest zatem właściwym, by Trybunał – zawsze, gdy jest to możliwe – podejmował próby przywrócenia pokrzywdzonym </w:t>
      </w:r>
      <w:r w:rsidR="00F05398" w:rsidRPr="007579B0">
        <w:rPr>
          <w:i/>
          <w:iCs/>
          <w:lang w:val="pl-PL"/>
        </w:rPr>
        <w:t>status quo ante</w:t>
      </w:r>
      <w:r w:rsidRPr="007579B0">
        <w:rPr>
          <w:i/>
          <w:iCs/>
          <w:lang w:val="pl-PL"/>
        </w:rPr>
        <w:t xml:space="preserve">. </w:t>
      </w:r>
      <w:r w:rsidR="002173B8" w:rsidRPr="007579B0">
        <w:rPr>
          <w:lang w:val="pl-PL"/>
        </w:rPr>
        <w:t xml:space="preserve">Niemniej jednak </w:t>
      </w:r>
      <w:r w:rsidR="00F05398" w:rsidRPr="007579B0">
        <w:rPr>
          <w:lang w:val="pl-PL"/>
        </w:rPr>
        <w:t>Trybunał</w:t>
      </w:r>
      <w:r w:rsidR="002173B8" w:rsidRPr="007579B0">
        <w:rPr>
          <w:lang w:val="pl-PL"/>
        </w:rPr>
        <w:t xml:space="preserve"> powinien także </w:t>
      </w:r>
      <w:r w:rsidR="00F05398" w:rsidRPr="007579B0">
        <w:rPr>
          <w:lang w:val="pl-PL"/>
        </w:rPr>
        <w:t>u</w:t>
      </w:r>
      <w:r w:rsidR="002173B8" w:rsidRPr="007579B0">
        <w:rPr>
          <w:lang w:val="pl-PL"/>
        </w:rPr>
        <w:t>względniać, że „</w:t>
      </w:r>
      <w:r w:rsidR="009B68F9" w:rsidRPr="007579B0">
        <w:rPr>
          <w:lang w:val="pl-PL"/>
        </w:rPr>
        <w:t xml:space="preserve">Usunięcie wszystkich skutków nadużycia może </w:t>
      </w:r>
      <w:r w:rsidR="00F05398" w:rsidRPr="007579B0">
        <w:rPr>
          <w:lang w:val="pl-PL"/>
        </w:rPr>
        <w:t xml:space="preserve">... </w:t>
      </w:r>
      <w:r w:rsidR="009B68F9" w:rsidRPr="007579B0">
        <w:rPr>
          <w:lang w:val="pl-PL"/>
        </w:rPr>
        <w:t xml:space="preserve">wymagać zastosowania kilku bądź wszystkich </w:t>
      </w:r>
      <w:r w:rsidR="00F05398" w:rsidRPr="007579B0">
        <w:rPr>
          <w:lang w:val="pl-PL"/>
        </w:rPr>
        <w:t>form repara</w:t>
      </w:r>
      <w:r w:rsidR="009B68F9" w:rsidRPr="007579B0">
        <w:rPr>
          <w:lang w:val="pl-PL"/>
        </w:rPr>
        <w:t>cji, zależnie od typu i zakresu wywołanej szkody”</w:t>
      </w:r>
      <w:r w:rsidR="00F05398" w:rsidRPr="007579B0">
        <w:rPr>
          <w:lang w:val="pl-PL"/>
        </w:rPr>
        <w:t xml:space="preserve"> (zob. J. Crawford, </w:t>
      </w:r>
      <w:r w:rsidR="00F05398" w:rsidRPr="007579B0">
        <w:rPr>
          <w:i/>
          <w:iCs/>
          <w:lang w:val="pl-PL"/>
        </w:rPr>
        <w:t>The International Law Commission’s Artykułs on State Responsibility: Introduction, Text and Commentaries</w:t>
      </w:r>
      <w:r w:rsidR="00F05398" w:rsidRPr="007579B0">
        <w:rPr>
          <w:lang w:val="pl-PL"/>
        </w:rPr>
        <w:t>, Cambridge University Press, 2002</w:t>
      </w:r>
      <w:r w:rsidR="002173B8" w:rsidRPr="007579B0">
        <w:rPr>
          <w:lang w:val="pl-PL"/>
        </w:rPr>
        <w:t xml:space="preserve"> r.</w:t>
      </w:r>
      <w:r w:rsidR="00F05398" w:rsidRPr="007579B0">
        <w:rPr>
          <w:lang w:val="pl-PL"/>
        </w:rPr>
        <w:t xml:space="preserve">, </w:t>
      </w:r>
      <w:r w:rsidR="002173B8" w:rsidRPr="007579B0">
        <w:rPr>
          <w:lang w:val="pl-PL"/>
        </w:rPr>
        <w:t>str</w:t>
      </w:r>
      <w:r w:rsidR="00F05398" w:rsidRPr="007579B0">
        <w:rPr>
          <w:lang w:val="pl-PL"/>
        </w:rPr>
        <w:t xml:space="preserve">. 211, (2)) </w:t>
      </w:r>
      <w:r w:rsidR="00817D64" w:rsidRPr="007579B0">
        <w:rPr>
          <w:lang w:val="pl-PL"/>
        </w:rPr>
        <w:t xml:space="preserve">oraz </w:t>
      </w:r>
      <w:r w:rsidR="004B6A3D" w:rsidRPr="007579B0">
        <w:rPr>
          <w:lang w:val="pl-PL"/>
        </w:rPr>
        <w:t xml:space="preserve">uwzględniać </w:t>
      </w:r>
      <w:r w:rsidR="00817D64" w:rsidRPr="007579B0">
        <w:rPr>
          <w:lang w:val="pl-PL"/>
        </w:rPr>
        <w:t>środk</w:t>
      </w:r>
      <w:r w:rsidR="004B6A3D" w:rsidRPr="007579B0">
        <w:rPr>
          <w:lang w:val="pl-PL"/>
        </w:rPr>
        <w:t>i</w:t>
      </w:r>
      <w:r w:rsidR="00817D64" w:rsidRPr="007579B0">
        <w:rPr>
          <w:lang w:val="pl-PL"/>
        </w:rPr>
        <w:t xml:space="preserve"> odwoławcz</w:t>
      </w:r>
      <w:r w:rsidR="004B6A3D" w:rsidRPr="007579B0">
        <w:rPr>
          <w:lang w:val="pl-PL"/>
        </w:rPr>
        <w:t>e</w:t>
      </w:r>
      <w:r w:rsidR="00817D64" w:rsidRPr="007579B0">
        <w:rPr>
          <w:lang w:val="pl-PL"/>
        </w:rPr>
        <w:t xml:space="preserve"> dostępn</w:t>
      </w:r>
      <w:r w:rsidR="004B6A3D" w:rsidRPr="007579B0">
        <w:rPr>
          <w:lang w:val="pl-PL"/>
        </w:rPr>
        <w:t>e</w:t>
      </w:r>
      <w:r w:rsidR="00817D64" w:rsidRPr="007579B0">
        <w:rPr>
          <w:lang w:val="pl-PL"/>
        </w:rPr>
        <w:t xml:space="preserve"> na poziomie krajowym</w:t>
      </w:r>
      <w:r w:rsidR="00F05398" w:rsidRPr="007579B0">
        <w:rPr>
          <w:lang w:val="pl-PL"/>
        </w:rPr>
        <w:t xml:space="preserve"> (</w:t>
      </w:r>
      <w:r w:rsidR="00817D64" w:rsidRPr="007579B0">
        <w:rPr>
          <w:lang w:val="pl-PL"/>
        </w:rPr>
        <w:t>a</w:t>
      </w:r>
      <w:r w:rsidR="00F05398" w:rsidRPr="007579B0">
        <w:rPr>
          <w:lang w:val="pl-PL"/>
        </w:rPr>
        <w:t>rtykuł 41).</w:t>
      </w:r>
    </w:p>
    <w:p w:rsidR="00F05398" w:rsidRPr="007579B0" w:rsidRDefault="00F05398" w:rsidP="00296EEE">
      <w:pPr>
        <w:pStyle w:val="OpiPara"/>
        <w:rPr>
          <w:lang w:val="pl-PL"/>
        </w:rPr>
      </w:pPr>
      <w:r w:rsidRPr="007579B0">
        <w:rPr>
          <w:lang w:val="pl-PL"/>
        </w:rPr>
        <w:t>9.  </w:t>
      </w:r>
      <w:r w:rsidR="00351067" w:rsidRPr="007579B0">
        <w:rPr>
          <w:lang w:val="pl-PL"/>
        </w:rPr>
        <w:t xml:space="preserve">Istotnie </w:t>
      </w:r>
      <w:r w:rsidR="00817D64" w:rsidRPr="007579B0">
        <w:rPr>
          <w:lang w:val="pl-PL"/>
        </w:rPr>
        <w:t xml:space="preserve">Konwencja nie wymaga, by Państwa wprowadzały </w:t>
      </w:r>
      <w:r w:rsidR="00985B89" w:rsidRPr="007579B0">
        <w:rPr>
          <w:lang w:val="pl-PL"/>
        </w:rPr>
        <w:t xml:space="preserve">do </w:t>
      </w:r>
      <w:r w:rsidR="00817D64" w:rsidRPr="007579B0">
        <w:rPr>
          <w:lang w:val="pl-PL"/>
        </w:rPr>
        <w:t xml:space="preserve">krajowych systemów prawnych </w:t>
      </w:r>
      <w:r w:rsidRPr="007579B0">
        <w:rPr>
          <w:lang w:val="pl-PL"/>
        </w:rPr>
        <w:t>procedur</w:t>
      </w:r>
      <w:r w:rsidR="00985B89" w:rsidRPr="007579B0">
        <w:rPr>
          <w:lang w:val="pl-PL"/>
        </w:rPr>
        <w:t>y</w:t>
      </w:r>
      <w:r w:rsidR="00817D64" w:rsidRPr="007579B0">
        <w:rPr>
          <w:lang w:val="pl-PL"/>
        </w:rPr>
        <w:t>, w ramach których weryfikacji podlegałyby prawomocne w</w:t>
      </w:r>
      <w:r w:rsidRPr="007579B0">
        <w:rPr>
          <w:lang w:val="pl-PL"/>
        </w:rPr>
        <w:t>yrok</w:t>
      </w:r>
      <w:r w:rsidR="00817D64" w:rsidRPr="007579B0">
        <w:rPr>
          <w:lang w:val="pl-PL"/>
        </w:rPr>
        <w:t>i</w:t>
      </w:r>
      <w:r w:rsidRPr="007579B0">
        <w:rPr>
          <w:lang w:val="pl-PL"/>
        </w:rPr>
        <w:t xml:space="preserve"> </w:t>
      </w:r>
      <w:r w:rsidR="00817D64" w:rsidRPr="007579B0">
        <w:rPr>
          <w:lang w:val="pl-PL"/>
        </w:rPr>
        <w:t>Sądów Najwyższych.</w:t>
      </w:r>
      <w:r w:rsidRPr="007579B0">
        <w:rPr>
          <w:lang w:val="pl-PL"/>
        </w:rPr>
        <w:t xml:space="preserve"> </w:t>
      </w:r>
      <w:r w:rsidR="00817D64" w:rsidRPr="007579B0">
        <w:rPr>
          <w:lang w:val="pl-PL"/>
        </w:rPr>
        <w:t>Jednakże stanowczo zachęca się Państwa do podjęcia takich kroków</w:t>
      </w:r>
      <w:r w:rsidRPr="007579B0">
        <w:rPr>
          <w:lang w:val="pl-PL"/>
        </w:rPr>
        <w:t>,</w:t>
      </w:r>
      <w:r w:rsidR="002173B8" w:rsidRPr="007579B0">
        <w:rPr>
          <w:lang w:val="pl-PL"/>
        </w:rPr>
        <w:t xml:space="preserve"> szczególnie w sprawach kryminalnych</w:t>
      </w:r>
      <w:r w:rsidRPr="007579B0">
        <w:rPr>
          <w:lang w:val="pl-PL"/>
        </w:rPr>
        <w:t>.</w:t>
      </w:r>
    </w:p>
    <w:p w:rsidR="00F05398" w:rsidRPr="007579B0" w:rsidRDefault="00F05398" w:rsidP="00296EEE">
      <w:pPr>
        <w:pStyle w:val="OpiPara"/>
        <w:rPr>
          <w:lang w:val="pl-PL"/>
        </w:rPr>
      </w:pPr>
      <w:r w:rsidRPr="007579B0">
        <w:rPr>
          <w:lang w:val="pl-PL"/>
        </w:rPr>
        <w:t>10.  </w:t>
      </w:r>
      <w:r w:rsidR="002173B8" w:rsidRPr="007579B0">
        <w:rPr>
          <w:lang w:val="pl-PL"/>
        </w:rPr>
        <w:t xml:space="preserve">W </w:t>
      </w:r>
      <w:r w:rsidR="00985B89" w:rsidRPr="007579B0">
        <w:rPr>
          <w:lang w:val="pl-PL"/>
        </w:rPr>
        <w:t xml:space="preserve">przypadku </w:t>
      </w:r>
      <w:r w:rsidR="002173B8" w:rsidRPr="007579B0">
        <w:rPr>
          <w:lang w:val="pl-PL"/>
        </w:rPr>
        <w:t xml:space="preserve">Turcji art. </w:t>
      </w:r>
      <w:r w:rsidRPr="007579B0">
        <w:rPr>
          <w:lang w:val="pl-PL"/>
        </w:rPr>
        <w:t xml:space="preserve">311 § 1 </w:t>
      </w:r>
      <w:r w:rsidR="00985B89" w:rsidRPr="007579B0">
        <w:rPr>
          <w:lang w:val="pl-PL"/>
        </w:rPr>
        <w:t xml:space="preserve">lit. </w:t>
      </w:r>
      <w:r w:rsidRPr="007579B0">
        <w:rPr>
          <w:lang w:val="pl-PL"/>
        </w:rPr>
        <w:t xml:space="preserve">f) </w:t>
      </w:r>
      <w:r w:rsidR="002173B8" w:rsidRPr="007579B0">
        <w:rPr>
          <w:lang w:val="pl-PL"/>
        </w:rPr>
        <w:t>tureckiego</w:t>
      </w:r>
      <w:r w:rsidRPr="007579B0">
        <w:rPr>
          <w:lang w:val="pl-PL"/>
        </w:rPr>
        <w:t xml:space="preserve"> kodeksu </w:t>
      </w:r>
      <w:r w:rsidR="002173B8" w:rsidRPr="007579B0">
        <w:rPr>
          <w:lang w:val="pl-PL"/>
        </w:rPr>
        <w:t>postępowania karnego</w:t>
      </w:r>
      <w:r w:rsidRPr="007579B0">
        <w:rPr>
          <w:lang w:val="pl-PL"/>
        </w:rPr>
        <w:t xml:space="preserve"> </w:t>
      </w:r>
      <w:r w:rsidR="002173B8" w:rsidRPr="007579B0">
        <w:rPr>
          <w:lang w:val="pl-PL"/>
        </w:rPr>
        <w:t xml:space="preserve">stanowi, że wnioski o </w:t>
      </w:r>
      <w:r w:rsidR="003E2323" w:rsidRPr="007579B0">
        <w:rPr>
          <w:lang w:val="pl-PL"/>
        </w:rPr>
        <w:t>wznowienie</w:t>
      </w:r>
      <w:r w:rsidR="002173B8" w:rsidRPr="007579B0">
        <w:rPr>
          <w:lang w:val="pl-PL"/>
        </w:rPr>
        <w:t xml:space="preserve"> postępowania krajowego, które zostało uznane </w:t>
      </w:r>
      <w:r w:rsidR="00985B89" w:rsidRPr="007579B0">
        <w:rPr>
          <w:lang w:val="pl-PL"/>
        </w:rPr>
        <w:t xml:space="preserve">za nierzetelne </w:t>
      </w:r>
      <w:r w:rsidR="002173B8" w:rsidRPr="007579B0">
        <w:rPr>
          <w:lang w:val="pl-PL"/>
        </w:rPr>
        <w:t xml:space="preserve">przez Europejski </w:t>
      </w:r>
      <w:r w:rsidRPr="007579B0">
        <w:rPr>
          <w:lang w:val="pl-PL"/>
        </w:rPr>
        <w:t xml:space="preserve">Trybunał </w:t>
      </w:r>
      <w:r w:rsidR="002173B8" w:rsidRPr="007579B0">
        <w:rPr>
          <w:lang w:val="pl-PL"/>
        </w:rPr>
        <w:t>Praw Człowieka, można składać w okresie jednego roku od daty wydania ostatecznej decyzji Europejskiego Trybunału Praw Człowieka</w:t>
      </w:r>
      <w:r w:rsidRPr="007579B0">
        <w:rPr>
          <w:lang w:val="pl-PL"/>
        </w:rPr>
        <w:t>.</w:t>
      </w:r>
    </w:p>
    <w:p w:rsidR="00F05398" w:rsidRPr="007579B0" w:rsidRDefault="003236A1" w:rsidP="004B1308">
      <w:pPr>
        <w:pStyle w:val="OpiPara"/>
        <w:rPr>
          <w:lang w:val="pl-PL"/>
        </w:rPr>
      </w:pPr>
      <w:r w:rsidRPr="007579B0">
        <w:rPr>
          <w:lang w:val="pl-PL"/>
        </w:rPr>
        <w:t>Stosowanie tego przepisu jest jednakże ograniczone czasowo.</w:t>
      </w:r>
      <w:r w:rsidR="00F05398" w:rsidRPr="007579B0">
        <w:rPr>
          <w:lang w:val="pl-PL"/>
        </w:rPr>
        <w:t xml:space="preserve"> Artykuł 311 § 2 sta</w:t>
      </w:r>
      <w:r w:rsidRPr="007579B0">
        <w:rPr>
          <w:lang w:val="pl-PL"/>
        </w:rPr>
        <w:t xml:space="preserve">nowi, iż przepis ten nie ma zastosowania </w:t>
      </w:r>
      <w:r w:rsidR="00C1733D">
        <w:rPr>
          <w:lang w:val="pl-PL"/>
        </w:rPr>
        <w:t>do</w:t>
      </w:r>
      <w:r w:rsidRPr="007579B0">
        <w:rPr>
          <w:lang w:val="pl-PL"/>
        </w:rPr>
        <w:t xml:space="preserve"> skarg złożonych do </w:t>
      </w:r>
      <w:r w:rsidR="002173B8" w:rsidRPr="007579B0">
        <w:rPr>
          <w:lang w:val="pl-PL"/>
        </w:rPr>
        <w:t>Europejski</w:t>
      </w:r>
      <w:r w:rsidRPr="007579B0">
        <w:rPr>
          <w:lang w:val="pl-PL"/>
        </w:rPr>
        <w:t>ego</w:t>
      </w:r>
      <w:r w:rsidR="002173B8" w:rsidRPr="007579B0">
        <w:rPr>
          <w:lang w:val="pl-PL"/>
        </w:rPr>
        <w:t xml:space="preserve"> Trybunał</w:t>
      </w:r>
      <w:r w:rsidRPr="007579B0">
        <w:rPr>
          <w:lang w:val="pl-PL"/>
        </w:rPr>
        <w:t>u</w:t>
      </w:r>
      <w:r w:rsidR="002173B8" w:rsidRPr="007579B0">
        <w:rPr>
          <w:lang w:val="pl-PL"/>
        </w:rPr>
        <w:t xml:space="preserve"> Praw Człowieka</w:t>
      </w:r>
      <w:r w:rsidR="00F05398" w:rsidRPr="007579B0">
        <w:rPr>
          <w:lang w:val="pl-PL"/>
        </w:rPr>
        <w:t xml:space="preserve"> </w:t>
      </w:r>
      <w:r w:rsidR="002173B8" w:rsidRPr="007579B0">
        <w:rPr>
          <w:lang w:val="pl-PL"/>
        </w:rPr>
        <w:t>przed dniem</w:t>
      </w:r>
      <w:r w:rsidR="00F05398" w:rsidRPr="007579B0">
        <w:rPr>
          <w:lang w:val="pl-PL"/>
        </w:rPr>
        <w:t xml:space="preserve"> 4 </w:t>
      </w:r>
      <w:r w:rsidR="002173B8" w:rsidRPr="007579B0">
        <w:rPr>
          <w:lang w:val="pl-PL"/>
        </w:rPr>
        <w:t xml:space="preserve">lutego </w:t>
      </w:r>
      <w:r w:rsidR="00F05398" w:rsidRPr="007579B0">
        <w:rPr>
          <w:lang w:val="pl-PL"/>
        </w:rPr>
        <w:t xml:space="preserve">2003 </w:t>
      </w:r>
      <w:r w:rsidR="00985B89" w:rsidRPr="007579B0">
        <w:rPr>
          <w:lang w:val="pl-PL"/>
        </w:rPr>
        <w:t xml:space="preserve">r. </w:t>
      </w:r>
      <w:r w:rsidRPr="007579B0">
        <w:rPr>
          <w:lang w:val="pl-PL"/>
        </w:rPr>
        <w:t xml:space="preserve">oraz </w:t>
      </w:r>
      <w:r w:rsidR="00F05398" w:rsidRPr="007579B0">
        <w:rPr>
          <w:lang w:val="pl-PL"/>
        </w:rPr>
        <w:t>wyrok</w:t>
      </w:r>
      <w:r w:rsidRPr="007579B0">
        <w:rPr>
          <w:lang w:val="pl-PL"/>
        </w:rPr>
        <w:t xml:space="preserve">ów, które stały się ostateczne przed dniem </w:t>
      </w:r>
      <w:r w:rsidR="002173B8" w:rsidRPr="007579B0">
        <w:rPr>
          <w:lang w:val="pl-PL"/>
        </w:rPr>
        <w:t xml:space="preserve">4 lutego </w:t>
      </w:r>
      <w:r w:rsidR="00F05398" w:rsidRPr="007579B0">
        <w:rPr>
          <w:lang w:val="pl-PL"/>
        </w:rPr>
        <w:t>2003</w:t>
      </w:r>
      <w:r w:rsidR="002173B8" w:rsidRPr="007579B0">
        <w:rPr>
          <w:lang w:val="pl-PL"/>
        </w:rPr>
        <w:t xml:space="preserve"> r.</w:t>
      </w:r>
      <w:r w:rsidR="00B215C7" w:rsidRPr="007579B0">
        <w:rPr>
          <w:lang w:val="pl-PL"/>
        </w:rPr>
        <w:t xml:space="preserve"> Sądzimy, iż w sytuacji, gdy pozwane Państwo – jak w przypadku </w:t>
      </w:r>
      <w:r w:rsidR="00F05398" w:rsidRPr="007579B0">
        <w:rPr>
          <w:lang w:val="pl-PL"/>
        </w:rPr>
        <w:t>niniejszej spraw</w:t>
      </w:r>
      <w:r w:rsidR="00C1733D">
        <w:rPr>
          <w:lang w:val="pl-PL"/>
        </w:rPr>
        <w:t>y</w:t>
      </w:r>
      <w:r w:rsidR="00B215C7" w:rsidRPr="007579B0">
        <w:rPr>
          <w:lang w:val="pl-PL"/>
        </w:rPr>
        <w:t xml:space="preserve"> – </w:t>
      </w:r>
      <w:r w:rsidR="00340451" w:rsidRPr="007579B0">
        <w:rPr>
          <w:lang w:val="pl-PL"/>
        </w:rPr>
        <w:t xml:space="preserve">wprowadziło taką </w:t>
      </w:r>
      <w:r w:rsidR="00F05398" w:rsidRPr="007579B0">
        <w:rPr>
          <w:lang w:val="pl-PL"/>
        </w:rPr>
        <w:t>procedur</w:t>
      </w:r>
      <w:r w:rsidR="00340451" w:rsidRPr="007579B0">
        <w:rPr>
          <w:lang w:val="pl-PL"/>
        </w:rPr>
        <w:t>ę</w:t>
      </w:r>
      <w:r w:rsidR="00B215C7" w:rsidRPr="007579B0">
        <w:rPr>
          <w:lang w:val="pl-PL"/>
        </w:rPr>
        <w:t xml:space="preserve">, obowiązkiem </w:t>
      </w:r>
      <w:r w:rsidR="00F05398" w:rsidRPr="007579B0">
        <w:rPr>
          <w:lang w:val="pl-PL"/>
        </w:rPr>
        <w:t xml:space="preserve">Trybunału </w:t>
      </w:r>
      <w:r w:rsidR="00B215C7" w:rsidRPr="007579B0">
        <w:rPr>
          <w:lang w:val="pl-PL"/>
        </w:rPr>
        <w:t>jest nie tylko nieśmiało sugerować, że najwłaściwszą formą zadośćuczynienia jest</w:t>
      </w:r>
      <w:r w:rsidR="00985B89" w:rsidRPr="007579B0">
        <w:rPr>
          <w:lang w:val="pl-PL"/>
        </w:rPr>
        <w:t xml:space="preserve"> ponowne rozpoznanie sprawy,</w:t>
      </w:r>
      <w:r w:rsidR="00B215C7" w:rsidRPr="007579B0">
        <w:rPr>
          <w:lang w:val="pl-PL"/>
        </w:rPr>
        <w:t xml:space="preserve"> </w:t>
      </w:r>
      <w:r w:rsidR="00A15BFF" w:rsidRPr="007579B0">
        <w:rPr>
          <w:lang w:val="pl-PL"/>
        </w:rPr>
        <w:t xml:space="preserve">o czym mowa </w:t>
      </w:r>
      <w:r w:rsidR="00B215C7" w:rsidRPr="007579B0">
        <w:rPr>
          <w:lang w:val="pl-PL"/>
        </w:rPr>
        <w:t>w</w:t>
      </w:r>
      <w:r w:rsidR="00F05398" w:rsidRPr="007579B0">
        <w:rPr>
          <w:lang w:val="pl-PL"/>
        </w:rPr>
        <w:t xml:space="preserve"> par</w:t>
      </w:r>
      <w:r w:rsidR="00B215C7" w:rsidRPr="007579B0">
        <w:rPr>
          <w:lang w:val="pl-PL"/>
        </w:rPr>
        <w:t xml:space="preserve">. </w:t>
      </w:r>
      <w:r w:rsidR="00F05398" w:rsidRPr="007579B0">
        <w:rPr>
          <w:lang w:val="pl-PL"/>
        </w:rPr>
        <w:t>72 wyrok</w:t>
      </w:r>
      <w:r w:rsidR="00B215C7" w:rsidRPr="007579B0">
        <w:rPr>
          <w:lang w:val="pl-PL"/>
        </w:rPr>
        <w:t>u</w:t>
      </w:r>
      <w:r w:rsidR="00F05398" w:rsidRPr="007579B0">
        <w:rPr>
          <w:lang w:val="pl-PL"/>
        </w:rPr>
        <w:t xml:space="preserve">, </w:t>
      </w:r>
      <w:r w:rsidR="00B215C7" w:rsidRPr="007579B0">
        <w:rPr>
          <w:lang w:val="pl-PL"/>
        </w:rPr>
        <w:t xml:space="preserve">lecz także </w:t>
      </w:r>
      <w:r w:rsidR="00AF6215">
        <w:rPr>
          <w:lang w:val="pl-PL"/>
        </w:rPr>
        <w:t xml:space="preserve">– nawet jeśli może się to wydawać nie w pełni satysfakcjonujące – </w:t>
      </w:r>
      <w:r w:rsidR="00B215C7" w:rsidRPr="007579B0">
        <w:rPr>
          <w:lang w:val="pl-PL"/>
        </w:rPr>
        <w:t>wezwać władze do skorzystania z takiej procedury</w:t>
      </w:r>
      <w:r w:rsidR="00F05398" w:rsidRPr="007579B0">
        <w:rPr>
          <w:lang w:val="pl-PL"/>
        </w:rPr>
        <w:t xml:space="preserve">, </w:t>
      </w:r>
      <w:r w:rsidR="00B215C7" w:rsidRPr="007579B0">
        <w:rPr>
          <w:lang w:val="pl-PL"/>
        </w:rPr>
        <w:t>bądź do zmiany istniejących procedur</w:t>
      </w:r>
      <w:r w:rsidR="00F05398" w:rsidRPr="007579B0">
        <w:rPr>
          <w:lang w:val="pl-PL"/>
        </w:rPr>
        <w:t>, p</w:t>
      </w:r>
      <w:r w:rsidR="00B215C7" w:rsidRPr="007579B0">
        <w:rPr>
          <w:lang w:val="pl-PL"/>
        </w:rPr>
        <w:t xml:space="preserve">od warunkiem oczywiście, że takie jest </w:t>
      </w:r>
      <w:r w:rsidR="00340451" w:rsidRPr="007579B0">
        <w:rPr>
          <w:lang w:val="pl-PL"/>
        </w:rPr>
        <w:t>ż</w:t>
      </w:r>
      <w:r w:rsidR="00B215C7" w:rsidRPr="007579B0">
        <w:rPr>
          <w:lang w:val="pl-PL"/>
        </w:rPr>
        <w:t xml:space="preserve">yczenie </w:t>
      </w:r>
      <w:r w:rsidR="00F05398" w:rsidRPr="007579B0">
        <w:rPr>
          <w:lang w:val="pl-PL"/>
        </w:rPr>
        <w:t>skarżąc</w:t>
      </w:r>
      <w:r w:rsidR="00B215C7" w:rsidRPr="007579B0">
        <w:rPr>
          <w:lang w:val="pl-PL"/>
        </w:rPr>
        <w:t>ego</w:t>
      </w:r>
      <w:r w:rsidR="00F05398" w:rsidRPr="007579B0">
        <w:rPr>
          <w:lang w:val="pl-PL"/>
        </w:rPr>
        <w:t xml:space="preserve">. </w:t>
      </w:r>
      <w:r w:rsidR="00B215C7" w:rsidRPr="007579B0">
        <w:rPr>
          <w:lang w:val="pl-PL"/>
        </w:rPr>
        <w:t xml:space="preserve">Jednakże nie będzie to możliwe z punktu widzenia prawnego, o ile </w:t>
      </w:r>
      <w:r w:rsidR="00E22E00" w:rsidRPr="007579B0">
        <w:rPr>
          <w:lang w:val="pl-PL"/>
        </w:rPr>
        <w:t xml:space="preserve">napomnienie takie </w:t>
      </w:r>
      <w:r w:rsidR="00B215C7" w:rsidRPr="007579B0">
        <w:rPr>
          <w:lang w:val="pl-PL"/>
        </w:rPr>
        <w:t>nie zostanie zawart</w:t>
      </w:r>
      <w:r w:rsidR="00E22E00" w:rsidRPr="007579B0">
        <w:rPr>
          <w:lang w:val="pl-PL"/>
        </w:rPr>
        <w:t>e</w:t>
      </w:r>
      <w:r w:rsidR="00B215C7" w:rsidRPr="007579B0">
        <w:rPr>
          <w:lang w:val="pl-PL"/>
        </w:rPr>
        <w:t xml:space="preserve"> w sentencji</w:t>
      </w:r>
      <w:r w:rsidR="00F05398" w:rsidRPr="007579B0">
        <w:rPr>
          <w:lang w:val="pl-PL"/>
        </w:rPr>
        <w:t xml:space="preserve"> wyrok</w:t>
      </w:r>
      <w:r w:rsidR="00B215C7" w:rsidRPr="007579B0">
        <w:rPr>
          <w:lang w:val="pl-PL"/>
        </w:rPr>
        <w:t>u</w:t>
      </w:r>
      <w:r w:rsidR="00F05398" w:rsidRPr="007579B0">
        <w:rPr>
          <w:lang w:val="pl-PL"/>
        </w:rPr>
        <w:t>.</w:t>
      </w:r>
    </w:p>
    <w:p w:rsidR="00F05398" w:rsidRPr="007579B0" w:rsidRDefault="00F05398" w:rsidP="00861E29">
      <w:pPr>
        <w:pStyle w:val="OpiPara"/>
        <w:rPr>
          <w:lang w:val="pl-PL"/>
        </w:rPr>
      </w:pPr>
      <w:r w:rsidRPr="007579B0">
        <w:rPr>
          <w:lang w:val="pl-PL"/>
        </w:rPr>
        <w:t>11.  </w:t>
      </w:r>
      <w:r w:rsidR="00124037" w:rsidRPr="007579B0">
        <w:rPr>
          <w:lang w:val="pl-PL"/>
        </w:rPr>
        <w:t xml:space="preserve">Ponadto </w:t>
      </w:r>
      <w:r w:rsidRPr="007579B0">
        <w:rPr>
          <w:lang w:val="pl-PL"/>
        </w:rPr>
        <w:t>Trybunał</w:t>
      </w:r>
      <w:r w:rsidR="00124037" w:rsidRPr="007579B0">
        <w:rPr>
          <w:lang w:val="pl-PL"/>
        </w:rPr>
        <w:t xml:space="preserve"> </w:t>
      </w:r>
      <w:r w:rsidR="00F2360B" w:rsidRPr="007579B0">
        <w:rPr>
          <w:lang w:val="pl-PL"/>
        </w:rPr>
        <w:t xml:space="preserve">zawierał już zalecenia tego typu w </w:t>
      </w:r>
      <w:r w:rsidR="00B215C7" w:rsidRPr="007579B0">
        <w:rPr>
          <w:lang w:val="pl-PL"/>
        </w:rPr>
        <w:t>sentencj</w:t>
      </w:r>
      <w:r w:rsidR="00F2360B" w:rsidRPr="007579B0">
        <w:rPr>
          <w:lang w:val="pl-PL"/>
        </w:rPr>
        <w:t>ach</w:t>
      </w:r>
      <w:r w:rsidRPr="007579B0">
        <w:rPr>
          <w:lang w:val="pl-PL"/>
        </w:rPr>
        <w:t xml:space="preserve"> wyrok</w:t>
      </w:r>
      <w:r w:rsidR="00F2360B" w:rsidRPr="007579B0">
        <w:rPr>
          <w:lang w:val="pl-PL"/>
        </w:rPr>
        <w:t>ów</w:t>
      </w:r>
      <w:r w:rsidRPr="007579B0">
        <w:rPr>
          <w:lang w:val="pl-PL"/>
        </w:rPr>
        <w:t xml:space="preserve">. Przykładowo w sprawie </w:t>
      </w:r>
      <w:r w:rsidRPr="007579B0">
        <w:rPr>
          <w:i/>
          <w:iCs/>
          <w:lang w:val="pl-PL"/>
        </w:rPr>
        <w:t>Claes i Inni przeciwko Belgii</w:t>
      </w:r>
      <w:r w:rsidRPr="007579B0">
        <w:rPr>
          <w:lang w:val="pl-PL"/>
        </w:rPr>
        <w:t xml:space="preserve"> (nr 46825/99, 47132/99, 47502/99, 49010/99, 49104/99, 49195/99 </w:t>
      </w:r>
      <w:r w:rsidR="00C1733D">
        <w:rPr>
          <w:lang w:val="pl-PL"/>
        </w:rPr>
        <w:t>i</w:t>
      </w:r>
      <w:r w:rsidRPr="007579B0">
        <w:rPr>
          <w:lang w:val="pl-PL"/>
        </w:rPr>
        <w:t xml:space="preserve"> 49716/99, 2 czerwca 2005) </w:t>
      </w:r>
      <w:r w:rsidR="00124037" w:rsidRPr="007579B0">
        <w:rPr>
          <w:lang w:val="pl-PL"/>
        </w:rPr>
        <w:t xml:space="preserve">w punkcie </w:t>
      </w:r>
      <w:r w:rsidRPr="007579B0">
        <w:rPr>
          <w:lang w:val="pl-PL"/>
        </w:rPr>
        <w:t xml:space="preserve">5 </w:t>
      </w:r>
      <w:r w:rsidR="00124037" w:rsidRPr="007579B0">
        <w:rPr>
          <w:lang w:val="pl-PL"/>
        </w:rPr>
        <w:t xml:space="preserve">lit. </w:t>
      </w:r>
      <w:r w:rsidRPr="007579B0">
        <w:rPr>
          <w:lang w:val="pl-PL"/>
        </w:rPr>
        <w:t xml:space="preserve">a) </w:t>
      </w:r>
      <w:r w:rsidR="00B215C7" w:rsidRPr="007579B0">
        <w:rPr>
          <w:lang w:val="pl-PL"/>
        </w:rPr>
        <w:t>sentencj</w:t>
      </w:r>
      <w:r w:rsidR="00F2360B" w:rsidRPr="007579B0">
        <w:rPr>
          <w:lang w:val="pl-PL"/>
        </w:rPr>
        <w:t>i</w:t>
      </w:r>
      <w:r w:rsidRPr="007579B0">
        <w:rPr>
          <w:lang w:val="pl-PL"/>
        </w:rPr>
        <w:t xml:space="preserve"> wyrok</w:t>
      </w:r>
      <w:r w:rsidR="00124037" w:rsidRPr="007579B0">
        <w:rPr>
          <w:lang w:val="pl-PL"/>
        </w:rPr>
        <w:t>u Trybunał stwierdził, że „</w:t>
      </w:r>
      <w:r w:rsidR="003C5F60" w:rsidRPr="007579B0">
        <w:rPr>
          <w:lang w:val="pl-PL"/>
        </w:rPr>
        <w:t xml:space="preserve">jeżeli nie przyjmie wniosku skarżących o </w:t>
      </w:r>
      <w:r w:rsidR="00A15BFF" w:rsidRPr="007579B0">
        <w:rPr>
          <w:lang w:val="pl-PL"/>
        </w:rPr>
        <w:t>rewizję procesu</w:t>
      </w:r>
      <w:r w:rsidRPr="007579B0">
        <w:rPr>
          <w:lang w:val="pl-PL"/>
        </w:rPr>
        <w:t xml:space="preserve"> </w:t>
      </w:r>
      <w:r w:rsidR="003C5F60" w:rsidRPr="007579B0">
        <w:rPr>
          <w:lang w:val="pl-PL"/>
        </w:rPr>
        <w:t>lub wznowienie postępowania</w:t>
      </w:r>
      <w:r w:rsidRPr="007579B0">
        <w:rPr>
          <w:lang w:val="pl-PL"/>
        </w:rPr>
        <w:t xml:space="preserve">, </w:t>
      </w:r>
      <w:r w:rsidR="00340451" w:rsidRPr="007579B0">
        <w:rPr>
          <w:lang w:val="pl-PL"/>
        </w:rPr>
        <w:t>pozwane Państwo ma obowiązek wypłaty</w:t>
      </w:r>
      <w:r w:rsidRPr="007579B0">
        <w:rPr>
          <w:lang w:val="pl-PL"/>
        </w:rPr>
        <w:t xml:space="preserve">, </w:t>
      </w:r>
      <w:r w:rsidR="00340451" w:rsidRPr="007579B0">
        <w:rPr>
          <w:lang w:val="pl-PL"/>
        </w:rPr>
        <w:t xml:space="preserve">w terminie trzech miesięcy od daty wskazania przez </w:t>
      </w:r>
      <w:r w:rsidR="003C5F60" w:rsidRPr="007579B0">
        <w:rPr>
          <w:lang w:val="pl-PL"/>
        </w:rPr>
        <w:t>odnośnego</w:t>
      </w:r>
      <w:r w:rsidR="00340451" w:rsidRPr="007579B0">
        <w:rPr>
          <w:lang w:val="pl-PL"/>
        </w:rPr>
        <w:t xml:space="preserve"> </w:t>
      </w:r>
      <w:r w:rsidRPr="007579B0">
        <w:rPr>
          <w:lang w:val="pl-PL"/>
        </w:rPr>
        <w:t>skarżąc</w:t>
      </w:r>
      <w:r w:rsidR="00340451" w:rsidRPr="007579B0">
        <w:rPr>
          <w:lang w:val="pl-PL"/>
        </w:rPr>
        <w:t xml:space="preserve">ego, iż nie zamierza składać takiego wniosku </w:t>
      </w:r>
      <w:r w:rsidR="00AF6215">
        <w:rPr>
          <w:lang w:val="pl-PL"/>
        </w:rPr>
        <w:t xml:space="preserve">lub stwierdzenia, że nie zamierza on podejmować takiego działania, </w:t>
      </w:r>
      <w:r w:rsidR="00340451" w:rsidRPr="007579B0">
        <w:rPr>
          <w:lang w:val="pl-PL"/>
        </w:rPr>
        <w:t>bądź począwszy od daty wydania odmownej decyzji w sprawie takiego wniosku</w:t>
      </w:r>
      <w:r w:rsidR="00124037" w:rsidRPr="007579B0">
        <w:rPr>
          <w:lang w:val="pl-PL"/>
        </w:rPr>
        <w:t>”</w:t>
      </w:r>
      <w:r w:rsidR="00340451" w:rsidRPr="007579B0">
        <w:rPr>
          <w:lang w:val="pl-PL"/>
        </w:rPr>
        <w:t xml:space="preserve"> kwot należnych </w:t>
      </w:r>
      <w:r w:rsidR="00124037" w:rsidRPr="007579B0">
        <w:rPr>
          <w:lang w:val="pl-PL"/>
        </w:rPr>
        <w:t xml:space="preserve">z tytułu szkody niematerialnej oraz </w:t>
      </w:r>
      <w:r w:rsidRPr="007579B0">
        <w:rPr>
          <w:lang w:val="pl-PL"/>
        </w:rPr>
        <w:t>koszt</w:t>
      </w:r>
      <w:r w:rsidR="00124037" w:rsidRPr="007579B0">
        <w:rPr>
          <w:lang w:val="pl-PL"/>
        </w:rPr>
        <w:t>ów i wydatków</w:t>
      </w:r>
      <w:r w:rsidRPr="007579B0">
        <w:rPr>
          <w:lang w:val="pl-PL"/>
        </w:rPr>
        <w:t xml:space="preserve">. Podobnie w sprawie </w:t>
      </w:r>
      <w:proofErr w:type="spellStart"/>
      <w:r w:rsidRPr="007579B0">
        <w:rPr>
          <w:i/>
          <w:iCs/>
          <w:lang w:val="pl-PL"/>
        </w:rPr>
        <w:t>Lungoci</w:t>
      </w:r>
      <w:proofErr w:type="spellEnd"/>
      <w:r w:rsidRPr="007579B0">
        <w:rPr>
          <w:i/>
          <w:iCs/>
          <w:lang w:val="pl-PL"/>
        </w:rPr>
        <w:t xml:space="preserve"> przeciwko R</w:t>
      </w:r>
      <w:r w:rsidR="00C1733D">
        <w:rPr>
          <w:i/>
          <w:iCs/>
          <w:lang w:val="pl-PL"/>
        </w:rPr>
        <w:t>umunii</w:t>
      </w:r>
      <w:r w:rsidRPr="007579B0">
        <w:rPr>
          <w:lang w:val="pl-PL"/>
        </w:rPr>
        <w:t xml:space="preserve"> (nr 62710/00, 26 stycznia 2006) Trybunał</w:t>
      </w:r>
      <w:r w:rsidR="00124037" w:rsidRPr="007579B0">
        <w:rPr>
          <w:lang w:val="pl-PL"/>
        </w:rPr>
        <w:t xml:space="preserve"> wskazał w punkcie </w:t>
      </w:r>
      <w:r w:rsidRPr="007579B0">
        <w:rPr>
          <w:lang w:val="pl-PL"/>
        </w:rPr>
        <w:t xml:space="preserve">3 </w:t>
      </w:r>
      <w:r w:rsidR="00124037" w:rsidRPr="007579B0">
        <w:rPr>
          <w:lang w:val="pl-PL"/>
        </w:rPr>
        <w:t xml:space="preserve">lit. </w:t>
      </w:r>
      <w:r w:rsidRPr="007579B0">
        <w:rPr>
          <w:lang w:val="pl-PL"/>
        </w:rPr>
        <w:t xml:space="preserve">a) </w:t>
      </w:r>
      <w:r w:rsidR="00B215C7" w:rsidRPr="007579B0">
        <w:rPr>
          <w:lang w:val="pl-PL"/>
        </w:rPr>
        <w:t>sentencj</w:t>
      </w:r>
      <w:r w:rsidR="00935258" w:rsidRPr="007579B0">
        <w:rPr>
          <w:lang w:val="pl-PL"/>
        </w:rPr>
        <w:t>i</w:t>
      </w:r>
      <w:r w:rsidR="00124037" w:rsidRPr="007579B0">
        <w:rPr>
          <w:lang w:val="pl-PL"/>
        </w:rPr>
        <w:t xml:space="preserve"> </w:t>
      </w:r>
      <w:r w:rsidRPr="007579B0">
        <w:rPr>
          <w:lang w:val="pl-PL"/>
        </w:rPr>
        <w:t>wyrok</w:t>
      </w:r>
      <w:r w:rsidR="00124037" w:rsidRPr="007579B0">
        <w:rPr>
          <w:lang w:val="pl-PL"/>
        </w:rPr>
        <w:t xml:space="preserve">u, że „pozwane Państwo ma obowiązek zapewnić, iż w terminie sześciu miesięcy </w:t>
      </w:r>
      <w:r w:rsidR="00563437" w:rsidRPr="007579B0">
        <w:rPr>
          <w:lang w:val="pl-PL"/>
        </w:rPr>
        <w:t>od dnia, w którym w</w:t>
      </w:r>
      <w:r w:rsidRPr="007579B0">
        <w:rPr>
          <w:lang w:val="pl-PL"/>
        </w:rPr>
        <w:t xml:space="preserve">yrok </w:t>
      </w:r>
      <w:r w:rsidR="00563437" w:rsidRPr="007579B0">
        <w:rPr>
          <w:lang w:val="pl-PL"/>
        </w:rPr>
        <w:t xml:space="preserve">staje się ostateczny zgodnie z </w:t>
      </w:r>
      <w:r w:rsidR="00124037" w:rsidRPr="007579B0">
        <w:rPr>
          <w:lang w:val="pl-PL"/>
        </w:rPr>
        <w:t>a</w:t>
      </w:r>
      <w:r w:rsidRPr="007579B0">
        <w:rPr>
          <w:lang w:val="pl-PL"/>
        </w:rPr>
        <w:t>rtykuł</w:t>
      </w:r>
      <w:r w:rsidR="00563437" w:rsidRPr="007579B0">
        <w:rPr>
          <w:lang w:val="pl-PL"/>
        </w:rPr>
        <w:t>em</w:t>
      </w:r>
      <w:r w:rsidRPr="007579B0">
        <w:rPr>
          <w:lang w:val="pl-PL"/>
        </w:rPr>
        <w:t xml:space="preserve"> 44 </w:t>
      </w:r>
      <w:r w:rsidR="00124037" w:rsidRPr="007579B0">
        <w:rPr>
          <w:lang w:val="pl-PL"/>
        </w:rPr>
        <w:t>ust.</w:t>
      </w:r>
      <w:r w:rsidRPr="007579B0">
        <w:rPr>
          <w:lang w:val="pl-PL"/>
        </w:rPr>
        <w:t xml:space="preserve"> 2 Konwencji, </w:t>
      </w:r>
      <w:r w:rsidR="00563437" w:rsidRPr="007579B0">
        <w:rPr>
          <w:lang w:val="pl-PL"/>
        </w:rPr>
        <w:t xml:space="preserve">postępowanie zostanie </w:t>
      </w:r>
      <w:r w:rsidR="00340451" w:rsidRPr="007579B0">
        <w:rPr>
          <w:lang w:val="pl-PL"/>
        </w:rPr>
        <w:t xml:space="preserve">wznowione, jeżeli takie będzie życzenie </w:t>
      </w:r>
      <w:r w:rsidRPr="007579B0">
        <w:rPr>
          <w:lang w:val="pl-PL"/>
        </w:rPr>
        <w:t>skarżąc</w:t>
      </w:r>
      <w:r w:rsidR="00340451" w:rsidRPr="007579B0">
        <w:rPr>
          <w:lang w:val="pl-PL"/>
        </w:rPr>
        <w:t>ej</w:t>
      </w:r>
      <w:r w:rsidRPr="007579B0">
        <w:rPr>
          <w:lang w:val="pl-PL"/>
        </w:rPr>
        <w:t>, a</w:t>
      </w:r>
      <w:r w:rsidR="00563437" w:rsidRPr="007579B0">
        <w:rPr>
          <w:lang w:val="pl-PL"/>
        </w:rPr>
        <w:t xml:space="preserve"> jednocześnie wypłacić skarżącej kwotę 5.</w:t>
      </w:r>
      <w:r w:rsidRPr="007579B0">
        <w:rPr>
          <w:lang w:val="pl-PL"/>
        </w:rPr>
        <w:t xml:space="preserve">000 </w:t>
      </w:r>
      <w:r w:rsidR="00563437" w:rsidRPr="007579B0">
        <w:rPr>
          <w:lang w:val="pl-PL"/>
        </w:rPr>
        <w:t xml:space="preserve">EUR </w:t>
      </w:r>
      <w:r w:rsidRPr="007579B0">
        <w:rPr>
          <w:lang w:val="pl-PL"/>
        </w:rPr>
        <w:t>(</w:t>
      </w:r>
      <w:r w:rsidR="00563437" w:rsidRPr="007579B0">
        <w:rPr>
          <w:lang w:val="pl-PL"/>
        </w:rPr>
        <w:t xml:space="preserve">pięć </w:t>
      </w:r>
      <w:r w:rsidR="00AF6215" w:rsidRPr="007579B0">
        <w:rPr>
          <w:lang w:val="pl-PL"/>
        </w:rPr>
        <w:t>tysięcy euro</w:t>
      </w:r>
      <w:r w:rsidRPr="007579B0">
        <w:rPr>
          <w:lang w:val="pl-PL"/>
        </w:rPr>
        <w:t xml:space="preserve">) </w:t>
      </w:r>
      <w:r w:rsidR="00563437" w:rsidRPr="007579B0">
        <w:rPr>
          <w:lang w:val="pl-PL"/>
        </w:rPr>
        <w:t>z tytułu szkody niematerialnej,</w:t>
      </w:r>
      <w:r w:rsidRPr="007579B0">
        <w:rPr>
          <w:lang w:val="pl-PL"/>
        </w:rPr>
        <w:t xml:space="preserve"> </w:t>
      </w:r>
      <w:r w:rsidR="00340451" w:rsidRPr="007579B0">
        <w:rPr>
          <w:lang w:val="pl-PL"/>
        </w:rPr>
        <w:t>wraz z ewentualnymi podatkami</w:t>
      </w:r>
      <w:r w:rsidRPr="007579B0">
        <w:rPr>
          <w:lang w:val="pl-PL"/>
        </w:rPr>
        <w:t xml:space="preserve">, </w:t>
      </w:r>
      <w:r w:rsidR="00340451" w:rsidRPr="007579B0">
        <w:rPr>
          <w:lang w:val="pl-PL"/>
        </w:rPr>
        <w:t xml:space="preserve">w przeliczeniu na </w:t>
      </w:r>
      <w:r w:rsidR="00A15BFF" w:rsidRPr="007579B0">
        <w:rPr>
          <w:lang w:val="pl-PL"/>
        </w:rPr>
        <w:t xml:space="preserve">leje </w:t>
      </w:r>
      <w:r w:rsidR="00340451" w:rsidRPr="007579B0">
        <w:rPr>
          <w:lang w:val="pl-PL"/>
        </w:rPr>
        <w:t>rumuńskie po kursie obowiązującym w dniu rozliczenia”.</w:t>
      </w:r>
    </w:p>
    <w:p w:rsidR="00F05398" w:rsidRPr="007579B0" w:rsidRDefault="00F05398" w:rsidP="00861E29">
      <w:pPr>
        <w:pStyle w:val="OpiPara"/>
        <w:rPr>
          <w:lang w:val="pl-PL"/>
        </w:rPr>
      </w:pPr>
      <w:r w:rsidRPr="007579B0">
        <w:rPr>
          <w:lang w:val="pl-PL"/>
        </w:rPr>
        <w:t>12.  </w:t>
      </w:r>
      <w:r w:rsidR="00563437" w:rsidRPr="007579B0">
        <w:rPr>
          <w:lang w:val="pl-PL"/>
        </w:rPr>
        <w:t xml:space="preserve">Na mocy </w:t>
      </w:r>
      <w:r w:rsidRPr="007579B0">
        <w:rPr>
          <w:lang w:val="pl-PL"/>
        </w:rPr>
        <w:t xml:space="preserve">artykułu 46 § 2 Konwencji </w:t>
      </w:r>
      <w:r w:rsidR="00563437" w:rsidRPr="007579B0">
        <w:rPr>
          <w:lang w:val="pl-PL"/>
        </w:rPr>
        <w:t xml:space="preserve">nadzór nad wykonywaniem wyroków </w:t>
      </w:r>
      <w:r w:rsidRPr="007579B0">
        <w:rPr>
          <w:lang w:val="pl-PL"/>
        </w:rPr>
        <w:t>Trybunał</w:t>
      </w:r>
      <w:r w:rsidR="00563437" w:rsidRPr="007579B0">
        <w:rPr>
          <w:lang w:val="pl-PL"/>
        </w:rPr>
        <w:t xml:space="preserve"> sprawuje Komitet </w:t>
      </w:r>
      <w:r w:rsidRPr="007579B0">
        <w:rPr>
          <w:lang w:val="pl-PL"/>
        </w:rPr>
        <w:t>Ministr</w:t>
      </w:r>
      <w:r w:rsidR="00563437" w:rsidRPr="007579B0">
        <w:rPr>
          <w:lang w:val="pl-PL"/>
        </w:rPr>
        <w:t>ów</w:t>
      </w:r>
      <w:r w:rsidRPr="007579B0">
        <w:rPr>
          <w:lang w:val="pl-PL"/>
        </w:rPr>
        <w:t xml:space="preserve">. </w:t>
      </w:r>
      <w:r w:rsidR="00EA2F1E" w:rsidRPr="007579B0">
        <w:rPr>
          <w:lang w:val="pl-PL"/>
        </w:rPr>
        <w:t xml:space="preserve">Nie oznacza to jednakże, iż Trybunał nie powinien odgrywać żadnej roli w tym względzie i że nie powinien podejmować działań, których celem jest wsparcie Komitetu Ministrów w wykonywaniu tych funkcji. </w:t>
      </w:r>
      <w:r w:rsidR="00272E3D" w:rsidRPr="007579B0">
        <w:rPr>
          <w:lang w:val="pl-PL"/>
        </w:rPr>
        <w:t>Właściwie przepis a</w:t>
      </w:r>
      <w:r w:rsidRPr="007579B0">
        <w:rPr>
          <w:lang w:val="pl-PL"/>
        </w:rPr>
        <w:t>rtykuł</w:t>
      </w:r>
      <w:r w:rsidR="00272E3D" w:rsidRPr="007579B0">
        <w:rPr>
          <w:lang w:val="pl-PL"/>
        </w:rPr>
        <w:t>u</w:t>
      </w:r>
      <w:r w:rsidRPr="007579B0">
        <w:rPr>
          <w:lang w:val="pl-PL"/>
        </w:rPr>
        <w:t xml:space="preserve"> 41 </w:t>
      </w:r>
      <w:r w:rsidR="00272E3D" w:rsidRPr="007579B0">
        <w:rPr>
          <w:lang w:val="pl-PL"/>
        </w:rPr>
        <w:t xml:space="preserve">i pozostałych artykułów Konwencji nie </w:t>
      </w:r>
      <w:r w:rsidR="001379A4" w:rsidRPr="007579B0">
        <w:rPr>
          <w:lang w:val="pl-PL"/>
        </w:rPr>
        <w:t>uniemożliwia</w:t>
      </w:r>
      <w:r w:rsidR="00272E3D" w:rsidRPr="007579B0">
        <w:rPr>
          <w:lang w:val="pl-PL"/>
        </w:rPr>
        <w:t xml:space="preserve"> </w:t>
      </w:r>
      <w:r w:rsidRPr="007579B0">
        <w:rPr>
          <w:lang w:val="pl-PL"/>
        </w:rPr>
        <w:t>Trybunał</w:t>
      </w:r>
      <w:r w:rsidR="00272E3D" w:rsidRPr="007579B0">
        <w:rPr>
          <w:lang w:val="pl-PL"/>
        </w:rPr>
        <w:t xml:space="preserve">owi oceny kwestii </w:t>
      </w:r>
      <w:r w:rsidR="001379A4" w:rsidRPr="007579B0">
        <w:rPr>
          <w:lang w:val="pl-PL"/>
        </w:rPr>
        <w:t>pełnego odszkodowania</w:t>
      </w:r>
      <w:r w:rsidRPr="007579B0">
        <w:rPr>
          <w:lang w:val="pl-PL"/>
        </w:rPr>
        <w:t xml:space="preserve"> </w:t>
      </w:r>
      <w:r w:rsidR="00272E3D" w:rsidRPr="007579B0">
        <w:rPr>
          <w:lang w:val="pl-PL"/>
        </w:rPr>
        <w:t xml:space="preserve">w sposób zgodny z zasadami, o których mowa powyżej. </w:t>
      </w:r>
      <w:r w:rsidR="001379A4" w:rsidRPr="007579B0">
        <w:rPr>
          <w:lang w:val="pl-PL"/>
        </w:rPr>
        <w:t>Zważywszy</w:t>
      </w:r>
      <w:r w:rsidR="00272E3D" w:rsidRPr="007579B0">
        <w:rPr>
          <w:lang w:val="pl-PL"/>
        </w:rPr>
        <w:t xml:space="preserve"> na fakt, że </w:t>
      </w:r>
      <w:r w:rsidRPr="007579B0">
        <w:rPr>
          <w:lang w:val="pl-PL"/>
        </w:rPr>
        <w:t>Trybunał</w:t>
      </w:r>
      <w:r w:rsidR="00272E3D" w:rsidRPr="007579B0">
        <w:rPr>
          <w:lang w:val="pl-PL"/>
        </w:rPr>
        <w:t xml:space="preserve"> jest właściwy do interpretowania i stosowania Konwencji, jest także </w:t>
      </w:r>
      <w:r w:rsidR="001379A4" w:rsidRPr="007579B0">
        <w:rPr>
          <w:lang w:val="pl-PL"/>
        </w:rPr>
        <w:t>właściwy</w:t>
      </w:r>
      <w:r w:rsidR="00272E3D" w:rsidRPr="007579B0">
        <w:rPr>
          <w:lang w:val="pl-PL"/>
        </w:rPr>
        <w:t xml:space="preserve"> dla celów oceny „formy i </w:t>
      </w:r>
      <w:r w:rsidR="001379A4" w:rsidRPr="007579B0">
        <w:rPr>
          <w:lang w:val="pl-PL"/>
        </w:rPr>
        <w:t>kwoty należnego odszkodowania</w:t>
      </w:r>
      <w:r w:rsidRPr="007579B0">
        <w:rPr>
          <w:lang w:val="pl-PL"/>
        </w:rPr>
        <w:t xml:space="preserve"> (zob. J. Crawford, ibid., </w:t>
      </w:r>
      <w:r w:rsidR="00272E3D" w:rsidRPr="007579B0">
        <w:rPr>
          <w:lang w:val="pl-PL"/>
        </w:rPr>
        <w:t>str</w:t>
      </w:r>
      <w:r w:rsidRPr="007579B0">
        <w:rPr>
          <w:lang w:val="pl-PL"/>
        </w:rPr>
        <w:t xml:space="preserve">. 201). </w:t>
      </w:r>
      <w:r w:rsidR="00935258" w:rsidRPr="007579B0">
        <w:rPr>
          <w:lang w:val="pl-PL"/>
        </w:rPr>
        <w:t>Zgodnie z wyjaśnieniami STSM</w:t>
      </w:r>
      <w:r w:rsidRPr="007579B0">
        <w:rPr>
          <w:lang w:val="pl-PL"/>
        </w:rPr>
        <w:t xml:space="preserve"> </w:t>
      </w:r>
      <w:r w:rsidR="00935258" w:rsidRPr="007579B0">
        <w:rPr>
          <w:lang w:val="pl-PL"/>
        </w:rPr>
        <w:t xml:space="preserve">w wyroku w sprawie </w:t>
      </w:r>
      <w:r w:rsidRPr="007579B0">
        <w:rPr>
          <w:i/>
          <w:iCs/>
          <w:lang w:val="pl-PL"/>
        </w:rPr>
        <w:t>Fa</w:t>
      </w:r>
      <w:r w:rsidR="00935258" w:rsidRPr="007579B0">
        <w:rPr>
          <w:i/>
          <w:iCs/>
          <w:lang w:val="pl-PL"/>
        </w:rPr>
        <w:t xml:space="preserve">bryki </w:t>
      </w:r>
      <w:r w:rsidR="00B61029" w:rsidRPr="007579B0">
        <w:rPr>
          <w:i/>
          <w:iCs/>
          <w:lang w:val="pl-PL"/>
        </w:rPr>
        <w:t>w Chorzowie</w:t>
      </w:r>
      <w:r w:rsidRPr="007579B0">
        <w:rPr>
          <w:lang w:val="pl-PL"/>
        </w:rPr>
        <w:t xml:space="preserve">: </w:t>
      </w:r>
      <w:r w:rsidR="00EA2F1E" w:rsidRPr="007579B0">
        <w:rPr>
          <w:lang w:val="pl-PL"/>
        </w:rPr>
        <w:t>„</w:t>
      </w:r>
      <w:r w:rsidR="00401014" w:rsidRPr="007579B0">
        <w:rPr>
          <w:lang w:val="pl-PL"/>
        </w:rPr>
        <w:t>Naruszenie zobowiązania z tytułu konwencji… tworzy obowiązek o</w:t>
      </w:r>
      <w:r w:rsidR="00935258" w:rsidRPr="007579B0">
        <w:rPr>
          <w:lang w:val="pl-PL"/>
        </w:rPr>
        <w:t>dszkodowani</w:t>
      </w:r>
      <w:r w:rsidR="00401014" w:rsidRPr="007579B0">
        <w:rPr>
          <w:lang w:val="pl-PL"/>
        </w:rPr>
        <w:t>a</w:t>
      </w:r>
      <w:r w:rsidRPr="007579B0">
        <w:rPr>
          <w:lang w:val="pl-PL"/>
        </w:rPr>
        <w:t xml:space="preserve"> ...” (</w:t>
      </w:r>
      <w:r w:rsidR="00272E3D" w:rsidRPr="007579B0">
        <w:rPr>
          <w:lang w:val="pl-PL"/>
        </w:rPr>
        <w:t>str</w:t>
      </w:r>
      <w:r w:rsidRPr="007579B0">
        <w:rPr>
          <w:lang w:val="pl-PL"/>
        </w:rPr>
        <w:t>. 21).</w:t>
      </w:r>
    </w:p>
    <w:p w:rsidR="00F05398" w:rsidRPr="007579B0" w:rsidRDefault="00A15BFF" w:rsidP="00296EEE">
      <w:pPr>
        <w:pStyle w:val="OpiPara"/>
        <w:rPr>
          <w:lang w:val="pl-PL"/>
        </w:rPr>
      </w:pPr>
      <w:r w:rsidRPr="007579B0">
        <w:rPr>
          <w:lang w:val="pl-PL"/>
        </w:rPr>
        <w:t>13.  W tym celu</w:t>
      </w:r>
      <w:r w:rsidR="00EA2F1E" w:rsidRPr="007579B0">
        <w:rPr>
          <w:lang w:val="pl-PL"/>
        </w:rPr>
        <w:t xml:space="preserve"> niezwykle istotnym jest, by w swoich wyrokach </w:t>
      </w:r>
      <w:r w:rsidR="00F05398" w:rsidRPr="007579B0">
        <w:rPr>
          <w:lang w:val="pl-PL"/>
        </w:rPr>
        <w:t>Trybunał</w:t>
      </w:r>
      <w:r w:rsidR="00EA2F1E" w:rsidRPr="007579B0">
        <w:rPr>
          <w:lang w:val="pl-PL"/>
        </w:rPr>
        <w:t xml:space="preserve"> nie tylko przedstawiał możliwie precyzyjny opis charakteru naruszenia </w:t>
      </w:r>
      <w:r w:rsidR="00F05398" w:rsidRPr="007579B0">
        <w:rPr>
          <w:lang w:val="pl-PL"/>
        </w:rPr>
        <w:t>Konwencji</w:t>
      </w:r>
      <w:r w:rsidR="00EA2F1E" w:rsidRPr="007579B0">
        <w:rPr>
          <w:lang w:val="pl-PL"/>
        </w:rPr>
        <w:t xml:space="preserve">, lecz także </w:t>
      </w:r>
      <w:r w:rsidRPr="007579B0">
        <w:rPr>
          <w:lang w:val="pl-PL"/>
        </w:rPr>
        <w:t xml:space="preserve">– jeżeli wymagają tego okoliczności sprawy – w sentencji wyroku </w:t>
      </w:r>
      <w:r w:rsidR="00EA2F1E" w:rsidRPr="007579B0">
        <w:rPr>
          <w:lang w:val="pl-PL"/>
        </w:rPr>
        <w:t>w</w:t>
      </w:r>
      <w:r w:rsidRPr="007579B0">
        <w:rPr>
          <w:lang w:val="pl-PL"/>
        </w:rPr>
        <w:t>s</w:t>
      </w:r>
      <w:r w:rsidR="00EA2F1E" w:rsidRPr="007579B0">
        <w:rPr>
          <w:lang w:val="pl-PL"/>
        </w:rPr>
        <w:t>kazywał odnośnemu Państwu środki, jakie uważa za najwłaściwsze w celu zadośćuczynienia takiemu naru</w:t>
      </w:r>
      <w:r w:rsidR="00F05398" w:rsidRPr="007579B0">
        <w:rPr>
          <w:lang w:val="pl-PL"/>
        </w:rPr>
        <w:t>szeni</w:t>
      </w:r>
      <w:r w:rsidR="00EA2F1E" w:rsidRPr="007579B0">
        <w:rPr>
          <w:lang w:val="pl-PL"/>
        </w:rPr>
        <w:t>u</w:t>
      </w:r>
      <w:r w:rsidR="00F05398" w:rsidRPr="007579B0">
        <w:rPr>
          <w:lang w:val="pl-PL"/>
        </w:rPr>
        <w:t>.</w:t>
      </w:r>
    </w:p>
    <w:p w:rsidR="00F05398" w:rsidRPr="007579B0" w:rsidRDefault="00F05398" w:rsidP="004B1308">
      <w:pPr>
        <w:pStyle w:val="OpiHHead"/>
        <w:rPr>
          <w:lang w:val="pl-PL"/>
        </w:rPr>
      </w:pPr>
      <w:r w:rsidRPr="007579B0">
        <w:rPr>
          <w:lang w:val="pl-PL"/>
        </w:rPr>
        <w:br w:type="page"/>
      </w:r>
      <w:r w:rsidR="00A15BFF" w:rsidRPr="007579B0">
        <w:rPr>
          <w:lang w:val="pl-PL"/>
        </w:rPr>
        <w:t xml:space="preserve">ZDANIE ODRĘBNE </w:t>
      </w:r>
      <w:r w:rsidR="007535A9" w:rsidRPr="007579B0">
        <w:rPr>
          <w:lang w:val="pl-PL"/>
        </w:rPr>
        <w:t>SĘDZI</w:t>
      </w:r>
      <w:r w:rsidR="00A15BFF" w:rsidRPr="007579B0">
        <w:rPr>
          <w:lang w:val="pl-PL"/>
        </w:rPr>
        <w:t>EGO</w:t>
      </w:r>
      <w:r w:rsidR="007535A9" w:rsidRPr="007579B0">
        <w:rPr>
          <w:lang w:val="pl-PL"/>
        </w:rPr>
        <w:t xml:space="preserve"> </w:t>
      </w:r>
      <w:r w:rsidRPr="007579B0">
        <w:rPr>
          <w:lang w:val="pl-PL"/>
        </w:rPr>
        <w:t>ZAGREBELSKY</w:t>
      </w:r>
      <w:r w:rsidR="007535A9" w:rsidRPr="007579B0">
        <w:rPr>
          <w:lang w:val="pl-PL"/>
        </w:rPr>
        <w:t>’EGO</w:t>
      </w:r>
      <w:r w:rsidRPr="007579B0">
        <w:rPr>
          <w:lang w:val="pl-PL"/>
        </w:rPr>
        <w:t>,</w:t>
      </w:r>
      <w:r w:rsidR="00A15BFF" w:rsidRPr="007579B0">
        <w:rPr>
          <w:lang w:val="pl-PL"/>
        </w:rPr>
        <w:t xml:space="preserve"> POPARTE PRZEZ SĘDZIÓW </w:t>
      </w:r>
      <w:r w:rsidRPr="007579B0">
        <w:rPr>
          <w:lang w:val="pl-PL"/>
        </w:rPr>
        <w:t>CASADEVALL</w:t>
      </w:r>
      <w:r w:rsidR="00A15BFF" w:rsidRPr="007579B0">
        <w:rPr>
          <w:lang w:val="pl-PL"/>
        </w:rPr>
        <w:t xml:space="preserve">A I </w:t>
      </w:r>
      <w:r w:rsidRPr="007579B0">
        <w:rPr>
          <w:lang w:val="pl-PL"/>
        </w:rPr>
        <w:t>TÜRMEN</w:t>
      </w:r>
      <w:r w:rsidR="00A15BFF" w:rsidRPr="007579B0">
        <w:rPr>
          <w:lang w:val="pl-PL"/>
        </w:rPr>
        <w:t>A</w:t>
      </w:r>
    </w:p>
    <w:p w:rsidR="00F05398" w:rsidRPr="007579B0" w:rsidRDefault="00F05398" w:rsidP="00D30443">
      <w:pPr>
        <w:pStyle w:val="OpiTranslation"/>
        <w:rPr>
          <w:lang w:val="pl-PL"/>
        </w:rPr>
      </w:pPr>
      <w:r w:rsidRPr="007579B0">
        <w:rPr>
          <w:iCs/>
          <w:lang w:val="pl-PL"/>
        </w:rPr>
        <w:t>(Tłumaczenie)</w:t>
      </w:r>
    </w:p>
    <w:p w:rsidR="00F05398" w:rsidRPr="007579B0" w:rsidRDefault="00540F12" w:rsidP="00D30443">
      <w:pPr>
        <w:pStyle w:val="OpiPara"/>
        <w:rPr>
          <w:lang w:val="pl-PL"/>
        </w:rPr>
      </w:pPr>
      <w:r w:rsidRPr="007579B0">
        <w:rPr>
          <w:lang w:val="pl-PL"/>
        </w:rPr>
        <w:t xml:space="preserve">Głosowałem za sentencją wyroku, </w:t>
      </w:r>
      <w:r w:rsidR="004225A0" w:rsidRPr="007579B0">
        <w:rPr>
          <w:lang w:val="pl-PL"/>
        </w:rPr>
        <w:t>przy</w:t>
      </w:r>
      <w:r w:rsidRPr="007579B0">
        <w:rPr>
          <w:lang w:val="pl-PL"/>
        </w:rPr>
        <w:t xml:space="preserve"> czym </w:t>
      </w:r>
      <w:r w:rsidR="00F05398" w:rsidRPr="007579B0">
        <w:rPr>
          <w:lang w:val="pl-PL"/>
        </w:rPr>
        <w:t xml:space="preserve">chciałbym dodać kilka słów, by wyjaśnić </w:t>
      </w:r>
      <w:r w:rsidR="00B215C7" w:rsidRPr="007579B0">
        <w:rPr>
          <w:lang w:val="pl-PL"/>
        </w:rPr>
        <w:t>uzasadnienie</w:t>
      </w:r>
      <w:r w:rsidR="00F05398" w:rsidRPr="007579B0">
        <w:rPr>
          <w:lang w:val="pl-PL"/>
        </w:rPr>
        <w:t xml:space="preserve"> Trybunału w moim rozumieniu.</w:t>
      </w:r>
    </w:p>
    <w:p w:rsidR="00F05398" w:rsidRPr="007579B0" w:rsidRDefault="00F05398" w:rsidP="00D30443">
      <w:pPr>
        <w:pStyle w:val="OpiPara"/>
        <w:rPr>
          <w:lang w:val="pl-PL"/>
        </w:rPr>
      </w:pPr>
      <w:r w:rsidRPr="007579B0">
        <w:rPr>
          <w:lang w:val="pl-PL"/>
        </w:rPr>
        <w:t>Trybunał uznał, iż doszło do naruszenia „artykuł</w:t>
      </w:r>
      <w:r w:rsidR="00540F12" w:rsidRPr="007579B0">
        <w:rPr>
          <w:lang w:val="pl-PL"/>
        </w:rPr>
        <w:t>u 6 ust. 3 lit. c) Konwencji w połączeniu</w:t>
      </w:r>
      <w:r w:rsidRPr="007579B0">
        <w:rPr>
          <w:lang w:val="pl-PL"/>
        </w:rPr>
        <w:t xml:space="preserve"> z artykułem 6 ust. 1, </w:t>
      </w:r>
      <w:r w:rsidR="00540F12" w:rsidRPr="007579B0">
        <w:rPr>
          <w:lang w:val="pl-PL"/>
        </w:rPr>
        <w:t>ze względu na brak pomocy prawnej na rzecz skarżącego w okresie aresztowania policyjnego</w:t>
      </w:r>
      <w:r w:rsidRPr="007579B0">
        <w:rPr>
          <w:lang w:val="pl-PL"/>
        </w:rPr>
        <w:t>” (p</w:t>
      </w:r>
      <w:r w:rsidR="00540F12" w:rsidRPr="007579B0">
        <w:rPr>
          <w:lang w:val="pl-PL"/>
        </w:rPr>
        <w:t xml:space="preserve">unkt </w:t>
      </w:r>
      <w:r w:rsidRPr="007579B0">
        <w:rPr>
          <w:lang w:val="pl-PL"/>
        </w:rPr>
        <w:t xml:space="preserve">1 </w:t>
      </w:r>
      <w:r w:rsidR="00B215C7" w:rsidRPr="007579B0">
        <w:rPr>
          <w:lang w:val="pl-PL"/>
        </w:rPr>
        <w:t>sentencj</w:t>
      </w:r>
      <w:r w:rsidR="00540F12" w:rsidRPr="007579B0">
        <w:rPr>
          <w:lang w:val="pl-PL"/>
        </w:rPr>
        <w:t>i</w:t>
      </w:r>
      <w:r w:rsidRPr="007579B0">
        <w:rPr>
          <w:lang w:val="pl-PL"/>
        </w:rPr>
        <w:t xml:space="preserve">). </w:t>
      </w:r>
      <w:r w:rsidR="004225A0" w:rsidRPr="007579B0">
        <w:rPr>
          <w:lang w:val="pl-PL"/>
        </w:rPr>
        <w:t xml:space="preserve">Jest to odpowiedź na zarzut skarżącego, iż </w:t>
      </w:r>
      <w:r w:rsidR="007B6FB4" w:rsidRPr="007579B0">
        <w:rPr>
          <w:lang w:val="pl-PL"/>
        </w:rPr>
        <w:t>„</w:t>
      </w:r>
      <w:r w:rsidR="004225A0" w:rsidRPr="007579B0">
        <w:rPr>
          <w:lang w:val="pl-PL"/>
        </w:rPr>
        <w:t>jego prawa do obrony zostały naruszone</w:t>
      </w:r>
      <w:r w:rsidR="007B6FB4" w:rsidRPr="007579B0">
        <w:rPr>
          <w:lang w:val="pl-PL"/>
        </w:rPr>
        <w:t xml:space="preserve"> w ten sposób, iż </w:t>
      </w:r>
      <w:r w:rsidR="004225A0" w:rsidRPr="007579B0">
        <w:rPr>
          <w:lang w:val="pl-PL"/>
        </w:rPr>
        <w:t xml:space="preserve">... </w:t>
      </w:r>
      <w:r w:rsidR="007B6FB4" w:rsidRPr="007579B0">
        <w:rPr>
          <w:lang w:val="pl-PL"/>
        </w:rPr>
        <w:t>podczas aresztowania policyjnego odmówiono mu dostępu do adwokata</w:t>
      </w:r>
      <w:r w:rsidRPr="007579B0">
        <w:rPr>
          <w:lang w:val="pl-PL"/>
        </w:rPr>
        <w:t xml:space="preserve">”. Skarżący </w:t>
      </w:r>
      <w:r w:rsidR="004225A0" w:rsidRPr="007579B0">
        <w:rPr>
          <w:lang w:val="pl-PL"/>
        </w:rPr>
        <w:t>podniósł</w:t>
      </w:r>
      <w:r w:rsidRPr="007579B0">
        <w:rPr>
          <w:lang w:val="pl-PL"/>
        </w:rPr>
        <w:t xml:space="preserve"> zarzut naruszenia artykułu 6 ust. 3 lit. c), lecz Trybunał bardzie</w:t>
      </w:r>
      <w:r w:rsidR="00DA1F34" w:rsidRPr="007579B0">
        <w:rPr>
          <w:lang w:val="pl-PL"/>
        </w:rPr>
        <w:t>j</w:t>
      </w:r>
      <w:r w:rsidRPr="007579B0">
        <w:rPr>
          <w:lang w:val="pl-PL"/>
        </w:rPr>
        <w:t xml:space="preserve"> precyzyjnie wskazał na przepis artykułu 6 ust. 1.</w:t>
      </w:r>
    </w:p>
    <w:p w:rsidR="00F05398" w:rsidRPr="007579B0" w:rsidRDefault="00F05398" w:rsidP="00D30443">
      <w:pPr>
        <w:pStyle w:val="OpiPara"/>
        <w:rPr>
          <w:lang w:val="pl-PL"/>
        </w:rPr>
      </w:pPr>
      <w:r w:rsidRPr="007579B0">
        <w:rPr>
          <w:lang w:val="pl-PL"/>
        </w:rPr>
        <w:t xml:space="preserve">W mojej opinii znaczenie wyroku Trybunału jest </w:t>
      </w:r>
      <w:r w:rsidR="007535A9" w:rsidRPr="007579B0">
        <w:rPr>
          <w:lang w:val="pl-PL"/>
        </w:rPr>
        <w:t>wystarczająco</w:t>
      </w:r>
      <w:r w:rsidRPr="007579B0">
        <w:rPr>
          <w:lang w:val="pl-PL"/>
        </w:rPr>
        <w:t xml:space="preserve"> jasne. </w:t>
      </w:r>
      <w:r w:rsidR="004225A0" w:rsidRPr="007579B0">
        <w:rPr>
          <w:lang w:val="pl-PL"/>
        </w:rPr>
        <w:t xml:space="preserve">Jeżeli istnieją jakiekolwiek wątpliwości, stwierdzenia </w:t>
      </w:r>
      <w:r w:rsidRPr="007579B0">
        <w:rPr>
          <w:lang w:val="pl-PL"/>
        </w:rPr>
        <w:t xml:space="preserve">Trybunału </w:t>
      </w:r>
      <w:r w:rsidR="004225A0" w:rsidRPr="007579B0">
        <w:rPr>
          <w:lang w:val="pl-PL"/>
        </w:rPr>
        <w:t>zawarte w par. 5</w:t>
      </w:r>
      <w:r w:rsidRPr="007579B0">
        <w:rPr>
          <w:lang w:val="pl-PL"/>
        </w:rPr>
        <w:t>3</w:t>
      </w:r>
      <w:r w:rsidR="004225A0" w:rsidRPr="007579B0">
        <w:rPr>
          <w:lang w:val="pl-PL"/>
        </w:rPr>
        <w:t xml:space="preserve"> wraz z odwołaniem do par. </w:t>
      </w:r>
      <w:r w:rsidRPr="007579B0">
        <w:rPr>
          <w:lang w:val="pl-PL"/>
        </w:rPr>
        <w:t xml:space="preserve">37, </w:t>
      </w:r>
      <w:r w:rsidR="003F751E" w:rsidRPr="007579B0">
        <w:rPr>
          <w:lang w:val="pl-PL"/>
        </w:rPr>
        <w:t>wskazują na jednoznaczne postawienie sprawy</w:t>
      </w:r>
      <w:r w:rsidRPr="007579B0">
        <w:rPr>
          <w:lang w:val="pl-PL"/>
        </w:rPr>
        <w:t xml:space="preserve">. </w:t>
      </w:r>
      <w:r w:rsidR="007535A9" w:rsidRPr="007579B0">
        <w:rPr>
          <w:lang w:val="pl-PL"/>
        </w:rPr>
        <w:t>Powszechnie przyjęte standardy międzynarodowe</w:t>
      </w:r>
      <w:r w:rsidRPr="007579B0">
        <w:rPr>
          <w:lang w:val="pl-PL"/>
        </w:rPr>
        <w:t xml:space="preserve">, </w:t>
      </w:r>
      <w:r w:rsidR="007535A9" w:rsidRPr="007579B0">
        <w:rPr>
          <w:lang w:val="pl-PL"/>
        </w:rPr>
        <w:t xml:space="preserve">które </w:t>
      </w:r>
      <w:r w:rsidRPr="007579B0">
        <w:rPr>
          <w:lang w:val="pl-PL"/>
        </w:rPr>
        <w:t>Trybunał</w:t>
      </w:r>
      <w:r w:rsidR="007535A9" w:rsidRPr="007579B0">
        <w:rPr>
          <w:lang w:val="pl-PL"/>
        </w:rPr>
        <w:t xml:space="preserve"> akceptuje i które stanowią podstaw</w:t>
      </w:r>
      <w:r w:rsidR="003F751E" w:rsidRPr="007579B0">
        <w:rPr>
          <w:lang w:val="pl-PL"/>
        </w:rPr>
        <w:t>ę jego orzecznictwa, stanowią: „Więzień nieosądzony będzie mieć prawo, niezwłocznie po uwięzieniu, do wyboru pełnomocnika prawnego ... oraz zezwoli mu się na przyjmowanie mających związek z obroną wizyt obrońcy oraz przygotowywanie i przekazywanie mu poufnych poleceń ...”</w:t>
      </w:r>
    </w:p>
    <w:p w:rsidR="00F05398" w:rsidRPr="007579B0" w:rsidRDefault="00DA1F34" w:rsidP="00D30443">
      <w:pPr>
        <w:pStyle w:val="OpiPara"/>
        <w:rPr>
          <w:lang w:val="pl-PL"/>
        </w:rPr>
      </w:pPr>
      <w:r w:rsidRPr="007579B0">
        <w:rPr>
          <w:lang w:val="pl-PL"/>
        </w:rPr>
        <w:t xml:space="preserve">Zatem osoba oskarżona powinna </w:t>
      </w:r>
      <w:r w:rsidR="000F16CB" w:rsidRPr="007579B0">
        <w:rPr>
          <w:lang w:val="pl-PL"/>
        </w:rPr>
        <w:t>mieć</w:t>
      </w:r>
      <w:r w:rsidRPr="007579B0">
        <w:rPr>
          <w:lang w:val="pl-PL"/>
        </w:rPr>
        <w:t xml:space="preserve"> </w:t>
      </w:r>
      <w:r w:rsidR="000F16CB" w:rsidRPr="007579B0">
        <w:rPr>
          <w:lang w:val="pl-PL"/>
        </w:rPr>
        <w:t>możliwość</w:t>
      </w:r>
      <w:r w:rsidRPr="007579B0">
        <w:rPr>
          <w:lang w:val="pl-PL"/>
        </w:rPr>
        <w:t xml:space="preserve"> korzystania z pomocy adwokata </w:t>
      </w:r>
      <w:r w:rsidR="001E5A1C" w:rsidRPr="007579B0">
        <w:rPr>
          <w:lang w:val="pl-PL"/>
        </w:rPr>
        <w:t>od samego początku aresztu</w:t>
      </w:r>
      <w:r w:rsidRPr="007579B0">
        <w:rPr>
          <w:lang w:val="pl-PL"/>
        </w:rPr>
        <w:t xml:space="preserve"> policyjnego czy tymczasowego aresztowania, nie zaś wyłącznie w trakcie przesłuchania</w:t>
      </w:r>
      <w:r w:rsidR="00F05398" w:rsidRPr="007579B0">
        <w:rPr>
          <w:lang w:val="pl-PL"/>
        </w:rPr>
        <w:t>.</w:t>
      </w:r>
    </w:p>
    <w:p w:rsidR="00F05398" w:rsidRPr="007579B0" w:rsidRDefault="007535A9" w:rsidP="00D30443">
      <w:pPr>
        <w:pStyle w:val="OpiPara"/>
        <w:rPr>
          <w:lang w:val="pl-PL"/>
        </w:rPr>
      </w:pPr>
      <w:r w:rsidRPr="007579B0">
        <w:rPr>
          <w:lang w:val="pl-PL"/>
        </w:rPr>
        <w:t xml:space="preserve">Znaczenie przesłuchania w postępowaniu karnym jest oczywiste, a zatem – jak wyraźnie stwierdzono w </w:t>
      </w:r>
      <w:r w:rsidR="00F05398" w:rsidRPr="007579B0">
        <w:rPr>
          <w:lang w:val="pl-PL"/>
        </w:rPr>
        <w:t>wyrok</w:t>
      </w:r>
      <w:r w:rsidRPr="007579B0">
        <w:rPr>
          <w:lang w:val="pl-PL"/>
        </w:rPr>
        <w:t xml:space="preserve">u – niemożność skorzystania z pomocy </w:t>
      </w:r>
      <w:r w:rsidR="00F05398" w:rsidRPr="007579B0">
        <w:rPr>
          <w:lang w:val="pl-PL"/>
        </w:rPr>
        <w:t xml:space="preserve">adwokata </w:t>
      </w:r>
      <w:r w:rsidRPr="007579B0">
        <w:rPr>
          <w:lang w:val="pl-PL"/>
        </w:rPr>
        <w:t xml:space="preserve">podczas składania </w:t>
      </w:r>
      <w:r w:rsidR="00C1733D">
        <w:rPr>
          <w:lang w:val="pl-PL"/>
        </w:rPr>
        <w:t>wyjaśnień</w:t>
      </w:r>
      <w:bookmarkStart w:id="3" w:name="_GoBack"/>
      <w:bookmarkEnd w:id="3"/>
      <w:r w:rsidRPr="007579B0">
        <w:rPr>
          <w:lang w:val="pl-PL"/>
        </w:rPr>
        <w:t xml:space="preserve"> stanowi, z</w:t>
      </w:r>
      <w:r w:rsidR="000F16CB" w:rsidRPr="007579B0">
        <w:rPr>
          <w:lang w:val="pl-PL"/>
        </w:rPr>
        <w:t xml:space="preserve"> zastrzeżeniem wyjątków, poważną wadę </w:t>
      </w:r>
      <w:r w:rsidR="00F05398" w:rsidRPr="007579B0">
        <w:rPr>
          <w:lang w:val="pl-PL"/>
        </w:rPr>
        <w:t>w</w:t>
      </w:r>
      <w:r w:rsidRPr="007579B0">
        <w:rPr>
          <w:lang w:val="pl-PL"/>
        </w:rPr>
        <w:t xml:space="preserve"> odniesieniu do wymogów </w:t>
      </w:r>
      <w:r w:rsidR="00F05398" w:rsidRPr="007579B0">
        <w:rPr>
          <w:lang w:val="pl-PL"/>
        </w:rPr>
        <w:t xml:space="preserve">rzetelnego procesu. </w:t>
      </w:r>
      <w:r w:rsidRPr="007579B0">
        <w:rPr>
          <w:lang w:val="pl-PL"/>
        </w:rPr>
        <w:t xml:space="preserve">Jednakże, by zapewnić rzetelność postępowania przeciwko osobie oskarżonej i aresztowanej, koniecznym jest, by miała ona możliwość uzyskania </w:t>
      </w:r>
      <w:r w:rsidR="00F05398" w:rsidRPr="007579B0">
        <w:rPr>
          <w:lang w:val="pl-PL"/>
        </w:rPr>
        <w:t>(a</w:t>
      </w:r>
      <w:r w:rsidRPr="007579B0">
        <w:rPr>
          <w:lang w:val="pl-PL"/>
        </w:rPr>
        <w:t xml:space="preserve"> adwokat miał możliwość świadczenia) całego wachlarza usług </w:t>
      </w:r>
      <w:r w:rsidR="001E5A1C" w:rsidRPr="007579B0">
        <w:rPr>
          <w:lang w:val="pl-PL"/>
        </w:rPr>
        <w:t xml:space="preserve">wyraźnie kojarzonych z </w:t>
      </w:r>
      <w:r w:rsidR="00F05398" w:rsidRPr="007579B0">
        <w:rPr>
          <w:lang w:val="pl-PL"/>
        </w:rPr>
        <w:t>pomoc</w:t>
      </w:r>
      <w:r w:rsidR="001E5A1C" w:rsidRPr="007579B0">
        <w:rPr>
          <w:lang w:val="pl-PL"/>
        </w:rPr>
        <w:t>ą prawną</w:t>
      </w:r>
      <w:r w:rsidR="00F05398" w:rsidRPr="007579B0">
        <w:rPr>
          <w:lang w:val="pl-PL"/>
        </w:rPr>
        <w:t xml:space="preserve">, </w:t>
      </w:r>
      <w:r w:rsidRPr="007579B0">
        <w:rPr>
          <w:lang w:val="pl-PL"/>
        </w:rPr>
        <w:t xml:space="preserve">w tym omówienie sprawy, przygotowanie obrony, </w:t>
      </w:r>
      <w:r w:rsidR="001E5A1C" w:rsidRPr="007579B0">
        <w:rPr>
          <w:lang w:val="pl-PL"/>
        </w:rPr>
        <w:t xml:space="preserve">zebranie </w:t>
      </w:r>
      <w:r w:rsidRPr="007579B0">
        <w:rPr>
          <w:lang w:val="pl-PL"/>
        </w:rPr>
        <w:t xml:space="preserve">dowodów </w:t>
      </w:r>
      <w:r w:rsidR="001E5A1C" w:rsidRPr="007579B0">
        <w:rPr>
          <w:lang w:val="pl-PL"/>
        </w:rPr>
        <w:t xml:space="preserve">korzystnych dla </w:t>
      </w:r>
      <w:r w:rsidR="00F05398" w:rsidRPr="007579B0">
        <w:rPr>
          <w:lang w:val="pl-PL"/>
        </w:rPr>
        <w:t>oskarż</w:t>
      </w:r>
      <w:r w:rsidR="001E5A1C" w:rsidRPr="007579B0">
        <w:rPr>
          <w:lang w:val="pl-PL"/>
        </w:rPr>
        <w:t>onego</w:t>
      </w:r>
      <w:r w:rsidR="00F05398" w:rsidRPr="007579B0">
        <w:rPr>
          <w:lang w:val="pl-PL"/>
        </w:rPr>
        <w:t>, pr</w:t>
      </w:r>
      <w:r w:rsidRPr="007579B0">
        <w:rPr>
          <w:lang w:val="pl-PL"/>
        </w:rPr>
        <w:t xml:space="preserve">zygotowanie do </w:t>
      </w:r>
      <w:r w:rsidR="000F16CB" w:rsidRPr="007579B0">
        <w:rPr>
          <w:lang w:val="pl-PL"/>
        </w:rPr>
        <w:t>przesłuchania</w:t>
      </w:r>
      <w:r w:rsidR="00F05398" w:rsidRPr="007579B0">
        <w:rPr>
          <w:lang w:val="pl-PL"/>
        </w:rPr>
        <w:t xml:space="preserve">, </w:t>
      </w:r>
      <w:r w:rsidRPr="007579B0">
        <w:rPr>
          <w:lang w:val="pl-PL"/>
        </w:rPr>
        <w:t xml:space="preserve">wsparcie oskarżonego w </w:t>
      </w:r>
      <w:r w:rsidR="000F16CB" w:rsidRPr="007579B0">
        <w:rPr>
          <w:lang w:val="pl-PL"/>
        </w:rPr>
        <w:t>ciężkich</w:t>
      </w:r>
      <w:r w:rsidR="001E5A1C" w:rsidRPr="007579B0">
        <w:rPr>
          <w:lang w:val="pl-PL"/>
        </w:rPr>
        <w:t xml:space="preserve"> sytuacja</w:t>
      </w:r>
      <w:r w:rsidRPr="007579B0">
        <w:rPr>
          <w:lang w:val="pl-PL"/>
        </w:rPr>
        <w:t>ch, kontrola warunków osadzenia, itd.</w:t>
      </w:r>
    </w:p>
    <w:p w:rsidR="00F05398" w:rsidRPr="007579B0" w:rsidRDefault="006F4898" w:rsidP="00656FB1">
      <w:pPr>
        <w:pStyle w:val="OpiPara"/>
        <w:rPr>
          <w:lang w:val="pl-PL"/>
        </w:rPr>
      </w:pPr>
      <w:r w:rsidRPr="007579B0">
        <w:rPr>
          <w:lang w:val="pl-PL"/>
        </w:rPr>
        <w:t xml:space="preserve">Zasada prawna, </w:t>
      </w:r>
      <w:r w:rsidR="001E5A1C" w:rsidRPr="007579B0">
        <w:rPr>
          <w:lang w:val="pl-PL"/>
        </w:rPr>
        <w:t xml:space="preserve">która powinna wynikać z </w:t>
      </w:r>
      <w:r w:rsidR="00F05398" w:rsidRPr="007579B0">
        <w:rPr>
          <w:lang w:val="pl-PL"/>
        </w:rPr>
        <w:t>wyrok</w:t>
      </w:r>
      <w:r w:rsidR="001E5A1C" w:rsidRPr="007579B0">
        <w:rPr>
          <w:lang w:val="pl-PL"/>
        </w:rPr>
        <w:t>u</w:t>
      </w:r>
      <w:r w:rsidRPr="007579B0">
        <w:rPr>
          <w:lang w:val="pl-PL"/>
        </w:rPr>
        <w:t>, brzmi zatem, że w warunkach normalnych i pomijając ograniczenia o charakterze wyjątków, aresztowana osoba oskarżona ma prawo</w:t>
      </w:r>
      <w:r w:rsidR="00F05398" w:rsidRPr="007579B0">
        <w:rPr>
          <w:lang w:val="pl-PL"/>
        </w:rPr>
        <w:t xml:space="preserve">, </w:t>
      </w:r>
      <w:r w:rsidRPr="007579B0">
        <w:rPr>
          <w:lang w:val="pl-PL"/>
        </w:rPr>
        <w:t>począwszy od momentu aresztowania przez policję bądź tymczasowego aresztowania, do wizyt obrońcy w celu omówienia wszelkich kwestii dotyczących obrony i pozostałych uzasadnionych potrzeb</w:t>
      </w:r>
      <w:r w:rsidR="00F05398" w:rsidRPr="007579B0">
        <w:rPr>
          <w:lang w:val="pl-PL"/>
        </w:rPr>
        <w:t xml:space="preserve">. </w:t>
      </w:r>
      <w:r w:rsidR="001E5A1C" w:rsidRPr="007579B0">
        <w:rPr>
          <w:lang w:val="pl-PL"/>
        </w:rPr>
        <w:t xml:space="preserve">Brak przyznania takiej możliwości, niezależnie od kwestii przesłuchań i ich </w:t>
      </w:r>
      <w:r w:rsidR="000F16CB" w:rsidRPr="007579B0">
        <w:rPr>
          <w:lang w:val="pl-PL"/>
        </w:rPr>
        <w:t>wykorzystania</w:t>
      </w:r>
      <w:r w:rsidR="001E5A1C" w:rsidRPr="007579B0">
        <w:rPr>
          <w:lang w:val="pl-PL"/>
        </w:rPr>
        <w:t xml:space="preserve"> przez </w:t>
      </w:r>
      <w:r w:rsidR="00AF6215">
        <w:rPr>
          <w:lang w:val="pl-PL"/>
        </w:rPr>
        <w:t>sądy,</w:t>
      </w:r>
      <w:r w:rsidR="007E2A98" w:rsidRPr="007579B0">
        <w:rPr>
          <w:lang w:val="pl-PL"/>
        </w:rPr>
        <w:t xml:space="preserve"> stanowi – z zastrzeżeniem wyjątków – na</w:t>
      </w:r>
      <w:r w:rsidR="00F05398" w:rsidRPr="007579B0">
        <w:rPr>
          <w:lang w:val="pl-PL"/>
        </w:rPr>
        <w:t>ruszeni</w:t>
      </w:r>
      <w:r w:rsidR="007E2A98" w:rsidRPr="007579B0">
        <w:rPr>
          <w:lang w:val="pl-PL"/>
        </w:rPr>
        <w:t>e</w:t>
      </w:r>
      <w:r w:rsidR="00F05398" w:rsidRPr="007579B0">
        <w:rPr>
          <w:lang w:val="pl-PL"/>
        </w:rPr>
        <w:t xml:space="preserve"> artykułu 6 Konwencji.</w:t>
      </w:r>
    </w:p>
    <w:p w:rsidR="00F05398" w:rsidRPr="007579B0" w:rsidRDefault="00E56C7B" w:rsidP="00D30443">
      <w:pPr>
        <w:pStyle w:val="OpiPara"/>
        <w:rPr>
          <w:lang w:val="pl-PL"/>
        </w:rPr>
      </w:pPr>
      <w:r w:rsidRPr="007579B0">
        <w:rPr>
          <w:lang w:val="pl-PL"/>
        </w:rPr>
        <w:t xml:space="preserve">Dodałbym naturalnie, że </w:t>
      </w:r>
      <w:r w:rsidR="002B1D08" w:rsidRPr="007579B0">
        <w:rPr>
          <w:lang w:val="pl-PL"/>
        </w:rPr>
        <w:t xml:space="preserve">prawo obrońcy do </w:t>
      </w:r>
      <w:r w:rsidRPr="007579B0">
        <w:rPr>
          <w:lang w:val="pl-PL"/>
        </w:rPr>
        <w:t>spotka</w:t>
      </w:r>
      <w:r w:rsidR="002B1D08" w:rsidRPr="007579B0">
        <w:rPr>
          <w:lang w:val="pl-PL"/>
        </w:rPr>
        <w:t>ń</w:t>
      </w:r>
      <w:r w:rsidRPr="007579B0">
        <w:rPr>
          <w:lang w:val="pl-PL"/>
        </w:rPr>
        <w:t xml:space="preserve"> z </w:t>
      </w:r>
      <w:r w:rsidR="00F05398" w:rsidRPr="007579B0">
        <w:rPr>
          <w:lang w:val="pl-PL"/>
        </w:rPr>
        <w:t>oskarż</w:t>
      </w:r>
      <w:r w:rsidRPr="007579B0">
        <w:rPr>
          <w:lang w:val="pl-PL"/>
        </w:rPr>
        <w:t>onym w okresie aresztowania na posterunku policji bądź w więzieniu</w:t>
      </w:r>
      <w:r w:rsidR="00F05398" w:rsidRPr="007579B0">
        <w:rPr>
          <w:lang w:val="pl-PL"/>
        </w:rPr>
        <w:t xml:space="preserve"> </w:t>
      </w:r>
      <w:r w:rsidR="002B1D08" w:rsidRPr="007579B0">
        <w:rPr>
          <w:lang w:val="pl-PL"/>
        </w:rPr>
        <w:t xml:space="preserve">jest o wiele skuteczniejsze niż wszelkie pozostałe środki w zakresie </w:t>
      </w:r>
      <w:r w:rsidR="00AF6215" w:rsidRPr="007579B0">
        <w:rPr>
          <w:lang w:val="pl-PL"/>
        </w:rPr>
        <w:t>zapobiegania traktowaniu</w:t>
      </w:r>
      <w:r w:rsidR="000F16CB" w:rsidRPr="007579B0">
        <w:rPr>
          <w:lang w:val="pl-PL"/>
        </w:rPr>
        <w:t xml:space="preserve"> zabronionemu </w:t>
      </w:r>
      <w:r w:rsidRPr="007579B0">
        <w:rPr>
          <w:lang w:val="pl-PL"/>
        </w:rPr>
        <w:t>a</w:t>
      </w:r>
      <w:r w:rsidR="00F05398" w:rsidRPr="007579B0">
        <w:rPr>
          <w:lang w:val="pl-PL"/>
        </w:rPr>
        <w:t>rtykuł</w:t>
      </w:r>
      <w:r w:rsidRPr="007579B0">
        <w:rPr>
          <w:lang w:val="pl-PL"/>
        </w:rPr>
        <w:t>em</w:t>
      </w:r>
      <w:r w:rsidR="00F05398" w:rsidRPr="007579B0">
        <w:rPr>
          <w:lang w:val="pl-PL"/>
        </w:rPr>
        <w:t xml:space="preserve"> 3 Konwencji.</w:t>
      </w:r>
    </w:p>
    <w:p w:rsidR="00F05398" w:rsidRPr="007579B0" w:rsidRDefault="00E56C7B" w:rsidP="00D30443">
      <w:pPr>
        <w:pStyle w:val="OpiPara"/>
        <w:rPr>
          <w:lang w:val="pl-PL"/>
        </w:rPr>
      </w:pPr>
      <w:r w:rsidRPr="007579B0">
        <w:rPr>
          <w:lang w:val="pl-PL"/>
        </w:rPr>
        <w:t xml:space="preserve">Powyższe rozważania nie byłyby konieczne, gdyby </w:t>
      </w:r>
      <w:r w:rsidR="00B215C7" w:rsidRPr="007579B0">
        <w:rPr>
          <w:lang w:val="pl-PL"/>
        </w:rPr>
        <w:t>uzasadnienie</w:t>
      </w:r>
      <w:r w:rsidR="00F05398" w:rsidRPr="007579B0">
        <w:rPr>
          <w:lang w:val="pl-PL"/>
        </w:rPr>
        <w:t xml:space="preserve"> </w:t>
      </w:r>
      <w:r w:rsidRPr="007579B0">
        <w:rPr>
          <w:lang w:val="pl-PL"/>
        </w:rPr>
        <w:t>Trybunału nie zawie</w:t>
      </w:r>
      <w:r w:rsidR="007B6FB4" w:rsidRPr="007579B0">
        <w:rPr>
          <w:lang w:val="pl-PL"/>
        </w:rPr>
        <w:t>rało fragmentów, które mogą</w:t>
      </w:r>
      <w:r w:rsidRPr="007579B0">
        <w:rPr>
          <w:lang w:val="pl-PL"/>
        </w:rPr>
        <w:t xml:space="preserve"> sugerować </w:t>
      </w:r>
      <w:r w:rsidR="007B6FB4" w:rsidRPr="007579B0">
        <w:rPr>
          <w:lang w:val="pl-PL"/>
        </w:rPr>
        <w:t>odbiorcy</w:t>
      </w:r>
      <w:r w:rsidRPr="007579B0">
        <w:rPr>
          <w:lang w:val="pl-PL"/>
        </w:rPr>
        <w:t xml:space="preserve">, iż Trybunał wymaga, by osoby oskarżone otrzymywały pomoc obrońcy </w:t>
      </w:r>
      <w:r w:rsidR="002B1D08" w:rsidRPr="007579B0">
        <w:rPr>
          <w:lang w:val="pl-PL"/>
        </w:rPr>
        <w:t xml:space="preserve">wyłącznie począwszy od chwili rozpoczęcia i w trakcie przesłuchania </w:t>
      </w:r>
      <w:r w:rsidR="00F05398" w:rsidRPr="007579B0">
        <w:rPr>
          <w:lang w:val="pl-PL"/>
        </w:rPr>
        <w:t>(</w:t>
      </w:r>
      <w:r w:rsidR="001379A4" w:rsidRPr="007579B0">
        <w:rPr>
          <w:lang w:val="pl-PL"/>
        </w:rPr>
        <w:t>bądź wyłącznie w czasie rozmowy, z której sporządzony zostanie formalny zapis w celu wykorzystania przez sąd jako materiał dowodowy</w:t>
      </w:r>
      <w:r w:rsidR="00F05398" w:rsidRPr="007579B0">
        <w:rPr>
          <w:lang w:val="pl-PL"/>
        </w:rPr>
        <w:t>).</w:t>
      </w:r>
      <w:r w:rsidR="007815B3" w:rsidRPr="007579B0">
        <w:rPr>
          <w:lang w:val="pl-PL"/>
        </w:rPr>
        <w:t xml:space="preserve"> W przyjętym tekście, począwszy od par. 55, </w:t>
      </w:r>
      <w:r w:rsidR="00F05398" w:rsidRPr="007579B0">
        <w:rPr>
          <w:lang w:val="pl-PL"/>
        </w:rPr>
        <w:t>Trybunał</w:t>
      </w:r>
      <w:r w:rsidR="007815B3" w:rsidRPr="007579B0">
        <w:rPr>
          <w:lang w:val="pl-PL"/>
        </w:rPr>
        <w:t xml:space="preserve"> koncentruje się wyłącznie na odpowiedziach udzielonych przez s</w:t>
      </w:r>
      <w:r w:rsidR="00F05398" w:rsidRPr="007579B0">
        <w:rPr>
          <w:lang w:val="pl-PL"/>
        </w:rPr>
        <w:t>karżąc</w:t>
      </w:r>
      <w:r w:rsidR="007815B3" w:rsidRPr="007579B0">
        <w:rPr>
          <w:lang w:val="pl-PL"/>
        </w:rPr>
        <w:t>ego w trakcie przesłuchania, które w późniejszym terminie zostały wykorzystane przeciwko niemu.</w:t>
      </w:r>
    </w:p>
    <w:p w:rsidR="00F05398" w:rsidRPr="007579B0" w:rsidRDefault="007815B3" w:rsidP="00D30443">
      <w:pPr>
        <w:pStyle w:val="OpiPara"/>
        <w:rPr>
          <w:lang w:val="pl-PL"/>
        </w:rPr>
      </w:pPr>
      <w:r w:rsidRPr="007579B0">
        <w:rPr>
          <w:lang w:val="pl-PL"/>
        </w:rPr>
        <w:t>W mojej opinii takie</w:t>
      </w:r>
      <w:r w:rsidR="00F05398" w:rsidRPr="007579B0">
        <w:rPr>
          <w:lang w:val="pl-PL"/>
        </w:rPr>
        <w:t xml:space="preserve"> </w:t>
      </w:r>
      <w:r w:rsidR="002B1D08" w:rsidRPr="007579B0">
        <w:rPr>
          <w:lang w:val="pl-PL"/>
        </w:rPr>
        <w:t xml:space="preserve">odczytanie </w:t>
      </w:r>
      <w:r w:rsidR="00F05398" w:rsidRPr="007579B0">
        <w:rPr>
          <w:lang w:val="pl-PL"/>
        </w:rPr>
        <w:t>wyrok</w:t>
      </w:r>
      <w:r w:rsidRPr="007579B0">
        <w:rPr>
          <w:lang w:val="pl-PL"/>
        </w:rPr>
        <w:t xml:space="preserve">u jest zbyt </w:t>
      </w:r>
      <w:r w:rsidR="002B1D08" w:rsidRPr="007579B0">
        <w:rPr>
          <w:lang w:val="pl-PL"/>
        </w:rPr>
        <w:t>wąskie</w:t>
      </w:r>
      <w:r w:rsidRPr="007579B0">
        <w:rPr>
          <w:lang w:val="pl-PL"/>
        </w:rPr>
        <w:t xml:space="preserve"> i skutkowałoby poważnym osłabieniem znaczenia decyzji </w:t>
      </w:r>
      <w:r w:rsidR="00F05398" w:rsidRPr="007579B0">
        <w:rPr>
          <w:lang w:val="pl-PL"/>
        </w:rPr>
        <w:t xml:space="preserve">Trybunału </w:t>
      </w:r>
      <w:r w:rsidRPr="007579B0">
        <w:rPr>
          <w:lang w:val="pl-PL"/>
        </w:rPr>
        <w:t xml:space="preserve">dotyczącej ochrony oskarżonego pozbawionego wolności. </w:t>
      </w:r>
      <w:r w:rsidR="002B1D08" w:rsidRPr="007579B0">
        <w:rPr>
          <w:lang w:val="pl-PL"/>
        </w:rPr>
        <w:t xml:space="preserve">Byłoby to w mojej opinii niesłuszne, jako że uzasadnienie powiązane z przesłuchaniem </w:t>
      </w:r>
      <w:r w:rsidR="00F05398" w:rsidRPr="007579B0">
        <w:rPr>
          <w:lang w:val="pl-PL"/>
        </w:rPr>
        <w:t>skarżąc</w:t>
      </w:r>
      <w:r w:rsidR="002B1D08" w:rsidRPr="007579B0">
        <w:rPr>
          <w:lang w:val="pl-PL"/>
        </w:rPr>
        <w:t xml:space="preserve">ego oraz sposobem wykorzystania przesłuchania przez sąd można nietrudno wyjaśnić troską </w:t>
      </w:r>
      <w:r w:rsidR="00F05398" w:rsidRPr="007579B0">
        <w:rPr>
          <w:lang w:val="pl-PL"/>
        </w:rPr>
        <w:t xml:space="preserve">Trybunału </w:t>
      </w:r>
      <w:r w:rsidR="002B1D08" w:rsidRPr="007579B0">
        <w:rPr>
          <w:lang w:val="pl-PL"/>
        </w:rPr>
        <w:t xml:space="preserve">o </w:t>
      </w:r>
      <w:r w:rsidR="000F16CB" w:rsidRPr="007579B0">
        <w:rPr>
          <w:lang w:val="pl-PL"/>
        </w:rPr>
        <w:t>uwzględnienie</w:t>
      </w:r>
      <w:r w:rsidR="002B1D08" w:rsidRPr="007579B0">
        <w:rPr>
          <w:lang w:val="pl-PL"/>
        </w:rPr>
        <w:t xml:space="preserve"> szczegółowych faktów danej sprawy</w:t>
      </w:r>
      <w:r w:rsidR="00F05398" w:rsidRPr="007579B0">
        <w:rPr>
          <w:lang w:val="pl-PL"/>
        </w:rPr>
        <w:t>.</w:t>
      </w:r>
    </w:p>
    <w:sectPr w:rsidR="00F05398" w:rsidRPr="007579B0" w:rsidSect="00543640">
      <w:headerReference w:type="even" r:id="rId12"/>
      <w:headerReference w:type="default" r:id="rId13"/>
      <w:footnotePr>
        <w:numRestart w:val="eachPage"/>
      </w:footnotePr>
      <w:pgSz w:w="11906" w:h="16838"/>
      <w:pgMar w:top="2274" w:right="2274" w:bottom="2274"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F8D" w:rsidRDefault="00304F8D">
      <w:r>
        <w:separator/>
      </w:r>
    </w:p>
  </w:endnote>
  <w:endnote w:type="continuationSeparator" w:id="0">
    <w:p w:rsidR="00304F8D" w:rsidRDefault="00304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Times New">
    <w:altName w:val="Times New Roman"/>
    <w:panose1 w:val="00000000000000000000"/>
    <w:charset w:val="00"/>
    <w:family w:val="roman"/>
    <w:notTrueType/>
    <w:pitch w:val="default"/>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 New (W1) CE">
    <w:altName w:val="Times New Roman"/>
    <w:panose1 w:val="00000000000000000000"/>
    <w:charset w:val="EE"/>
    <w:family w:val="roman"/>
    <w:notTrueType/>
    <w:pitch w:val="variable"/>
    <w:sig w:usb0="00000005" w:usb1="00000000" w:usb2="00000000" w:usb3="00000000" w:csb0="00000002"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F8D" w:rsidRDefault="00304F8D">
      <w:r>
        <w:separator/>
      </w:r>
    </w:p>
  </w:footnote>
  <w:footnote w:type="continuationSeparator" w:id="0">
    <w:p w:rsidR="00304F8D" w:rsidRDefault="00304F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53A" w:rsidRDefault="006A253A">
    <w:pPr>
      <w:pStyle w:val="Nagwek"/>
      <w:jc w:val="center"/>
    </w:pPr>
    <w:r>
      <w:rPr>
        <w:noProof/>
        <w:lang w:val="pl-PL" w:eastAsia="pl-PL"/>
      </w:rPr>
      <w:drawing>
        <wp:inline distT="0" distB="0" distL="0" distR="0" wp14:anchorId="00A93A48" wp14:editId="772D946D">
          <wp:extent cx="4286885" cy="17703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885" cy="1770380"/>
                  </a:xfrm>
                  <a:prstGeom prst="rect">
                    <a:avLst/>
                  </a:prstGeom>
                  <a:noFill/>
                  <a:ln>
                    <a:noFill/>
                  </a:ln>
                </pic:spPr>
              </pic:pic>
            </a:graphicData>
          </a:graphic>
        </wp:inline>
      </w:drawing>
    </w:r>
  </w:p>
  <w:p w:rsidR="006A253A" w:rsidRDefault="006A253A" w:rsidP="0048211E">
    <w:pPr>
      <w:pStyle w:val="JuHeader"/>
      <w:jc w:val="center"/>
      <w:rPr>
        <w:rStyle w:val="Numerstrony"/>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53A" w:rsidRPr="00B215C7" w:rsidRDefault="006A253A" w:rsidP="004A020F">
    <w:pPr>
      <w:pStyle w:val="JuHeader"/>
      <w:rPr>
        <w:lang w:val="pl-PL"/>
      </w:rPr>
    </w:pPr>
    <w:r>
      <w:rPr>
        <w:rStyle w:val="Numerstrony"/>
      </w:rPr>
      <w:fldChar w:fldCharType="begin"/>
    </w:r>
    <w:r w:rsidRPr="00B215C7">
      <w:rPr>
        <w:rStyle w:val="Numerstrony"/>
        <w:lang w:val="pl-PL"/>
      </w:rPr>
      <w:instrText xml:space="preserve"> PAGE </w:instrText>
    </w:r>
    <w:r>
      <w:rPr>
        <w:rStyle w:val="Numerstrony"/>
      </w:rPr>
      <w:fldChar w:fldCharType="separate"/>
    </w:r>
    <w:r w:rsidR="006268AF">
      <w:rPr>
        <w:rStyle w:val="Numerstrony"/>
        <w:noProof/>
        <w:lang w:val="pl-PL"/>
      </w:rPr>
      <w:t>22</w:t>
    </w:r>
    <w:r>
      <w:rPr>
        <w:rStyle w:val="Numerstrony"/>
      </w:rPr>
      <w:fldChar w:fldCharType="end"/>
    </w:r>
    <w:r w:rsidRPr="00B215C7">
      <w:rPr>
        <w:lang w:val="pl-PL"/>
      </w:rPr>
      <w:tab/>
      <w:t>WYROK w sprawie SALDUZ przeciwko TURCJI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53A" w:rsidRPr="00B215C7" w:rsidRDefault="006A253A" w:rsidP="00D01612">
    <w:pPr>
      <w:pStyle w:val="JuHeader"/>
      <w:rPr>
        <w:lang w:val="pl-PL"/>
      </w:rPr>
    </w:pPr>
    <w:r>
      <w:tab/>
    </w:r>
    <w:r w:rsidRPr="00B215C7">
      <w:rPr>
        <w:lang w:val="pl-PL"/>
      </w:rPr>
      <w:t>WYROK w sprawie SALDUZ przeciwko TURCJI</w:t>
    </w:r>
    <w:r w:rsidRPr="00B215C7">
      <w:rPr>
        <w:lang w:val="pl-PL"/>
      </w:rPr>
      <w:tab/>
    </w:r>
    <w:r>
      <w:rPr>
        <w:rStyle w:val="Numerstrony"/>
      </w:rPr>
      <w:fldChar w:fldCharType="begin"/>
    </w:r>
    <w:r w:rsidRPr="00B215C7">
      <w:rPr>
        <w:rStyle w:val="Numerstrony"/>
        <w:lang w:val="pl-PL"/>
      </w:rPr>
      <w:instrText xml:space="preserve"> PAGE </w:instrText>
    </w:r>
    <w:r>
      <w:rPr>
        <w:rStyle w:val="Numerstrony"/>
      </w:rPr>
      <w:fldChar w:fldCharType="separate"/>
    </w:r>
    <w:r w:rsidR="00B908F0">
      <w:rPr>
        <w:rStyle w:val="Numerstrony"/>
        <w:noProof/>
        <w:lang w:val="pl-PL"/>
      </w:rPr>
      <w:t>23</w:t>
    </w:r>
    <w:r>
      <w:rPr>
        <w:rStyle w:val="Numerstrony"/>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53A" w:rsidRPr="00B215C7" w:rsidRDefault="006A253A" w:rsidP="004A020F">
    <w:pPr>
      <w:pStyle w:val="JuHeader"/>
      <w:rPr>
        <w:lang w:val="pl-PL"/>
      </w:rPr>
    </w:pPr>
    <w:r>
      <w:rPr>
        <w:rStyle w:val="Numerstrony"/>
      </w:rPr>
      <w:fldChar w:fldCharType="begin"/>
    </w:r>
    <w:r w:rsidRPr="00B215C7">
      <w:rPr>
        <w:rStyle w:val="Numerstrony"/>
        <w:lang w:val="pl-PL"/>
      </w:rPr>
      <w:instrText xml:space="preserve"> PAGE </w:instrText>
    </w:r>
    <w:r>
      <w:rPr>
        <w:rStyle w:val="Numerstrony"/>
      </w:rPr>
      <w:fldChar w:fldCharType="separate"/>
    </w:r>
    <w:r w:rsidR="00C1733D">
      <w:rPr>
        <w:rStyle w:val="Numerstrony"/>
        <w:noProof/>
        <w:lang w:val="pl-PL"/>
      </w:rPr>
      <w:t>28</w:t>
    </w:r>
    <w:r>
      <w:rPr>
        <w:rStyle w:val="Numerstrony"/>
      </w:rPr>
      <w:fldChar w:fldCharType="end"/>
    </w:r>
    <w:r w:rsidRPr="00B215C7">
      <w:rPr>
        <w:lang w:val="pl-PL"/>
      </w:rPr>
      <w:tab/>
      <w:t>WYROK w sprawie</w:t>
    </w:r>
    <w:r>
      <w:rPr>
        <w:lang w:val="pl-PL"/>
      </w:rPr>
      <w:t xml:space="preserve"> </w:t>
    </w:r>
    <w:r w:rsidRPr="00B215C7">
      <w:rPr>
        <w:lang w:val="pl-PL"/>
      </w:rPr>
      <w:t>SALDUZ przeciwko TURCJI – ZDANIA ODRĘBNE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53A" w:rsidRPr="00B215C7" w:rsidRDefault="006A253A" w:rsidP="00D01612">
    <w:pPr>
      <w:pStyle w:val="JuHeader"/>
      <w:rPr>
        <w:lang w:val="pl-PL"/>
      </w:rPr>
    </w:pPr>
    <w:r>
      <w:tab/>
    </w:r>
    <w:r w:rsidRPr="00B215C7">
      <w:rPr>
        <w:lang w:val="pl-PL"/>
      </w:rPr>
      <w:t>WYROK w sprawie SALDUZ przeciwko TURCJI – ZDANIA ODRĘBNE</w:t>
    </w:r>
    <w:r w:rsidRPr="00B215C7">
      <w:rPr>
        <w:lang w:val="pl-PL"/>
      </w:rPr>
      <w:tab/>
    </w:r>
    <w:r>
      <w:rPr>
        <w:rStyle w:val="Numerstrony"/>
      </w:rPr>
      <w:fldChar w:fldCharType="begin"/>
    </w:r>
    <w:r w:rsidRPr="00B215C7">
      <w:rPr>
        <w:rStyle w:val="Numerstrony"/>
        <w:lang w:val="pl-PL"/>
      </w:rPr>
      <w:instrText xml:space="preserve"> PAGE </w:instrText>
    </w:r>
    <w:r>
      <w:rPr>
        <w:rStyle w:val="Numerstrony"/>
      </w:rPr>
      <w:fldChar w:fldCharType="separate"/>
    </w:r>
    <w:r w:rsidR="00C1733D">
      <w:rPr>
        <w:rStyle w:val="Numerstrony"/>
        <w:noProof/>
        <w:lang w:val="pl-PL"/>
      </w:rPr>
      <w:t>29</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BE3C10"/>
    <w:lvl w:ilvl="0">
      <w:start w:val="1"/>
      <w:numFmt w:val="decimal"/>
      <w:pStyle w:val="Listanumerowana5"/>
      <w:lvlText w:val="%1."/>
      <w:lvlJc w:val="left"/>
      <w:pPr>
        <w:tabs>
          <w:tab w:val="num" w:pos="1492"/>
        </w:tabs>
        <w:ind w:left="1492" w:hanging="360"/>
      </w:pPr>
      <w:rPr>
        <w:rFonts w:cs="Times New Roman"/>
      </w:rPr>
    </w:lvl>
  </w:abstractNum>
  <w:abstractNum w:abstractNumId="1">
    <w:nsid w:val="FFFFFF7D"/>
    <w:multiLevelType w:val="singleLevel"/>
    <w:tmpl w:val="FB1E4748"/>
    <w:lvl w:ilvl="0">
      <w:start w:val="1"/>
      <w:numFmt w:val="decimal"/>
      <w:pStyle w:val="Listanumerowana4"/>
      <w:lvlText w:val="%1."/>
      <w:lvlJc w:val="left"/>
      <w:pPr>
        <w:tabs>
          <w:tab w:val="num" w:pos="1209"/>
        </w:tabs>
        <w:ind w:left="1209" w:hanging="360"/>
      </w:pPr>
      <w:rPr>
        <w:rFonts w:cs="Times New Roman"/>
      </w:rPr>
    </w:lvl>
  </w:abstractNum>
  <w:abstractNum w:abstractNumId="2">
    <w:nsid w:val="FFFFFF7E"/>
    <w:multiLevelType w:val="singleLevel"/>
    <w:tmpl w:val="8F3A1404"/>
    <w:lvl w:ilvl="0">
      <w:start w:val="1"/>
      <w:numFmt w:val="decimal"/>
      <w:pStyle w:val="Listanumerowana3"/>
      <w:lvlText w:val="%1."/>
      <w:lvlJc w:val="left"/>
      <w:pPr>
        <w:tabs>
          <w:tab w:val="num" w:pos="926"/>
        </w:tabs>
        <w:ind w:left="926" w:hanging="360"/>
      </w:pPr>
      <w:rPr>
        <w:rFonts w:cs="Times New Roman"/>
      </w:rPr>
    </w:lvl>
  </w:abstractNum>
  <w:abstractNum w:abstractNumId="3">
    <w:nsid w:val="FFFFFF7F"/>
    <w:multiLevelType w:val="singleLevel"/>
    <w:tmpl w:val="D76272AC"/>
    <w:lvl w:ilvl="0">
      <w:start w:val="1"/>
      <w:numFmt w:val="decimal"/>
      <w:pStyle w:val="Listanumerowana2"/>
      <w:lvlText w:val="%1."/>
      <w:lvlJc w:val="left"/>
      <w:pPr>
        <w:tabs>
          <w:tab w:val="num" w:pos="643"/>
        </w:tabs>
        <w:ind w:left="643" w:hanging="360"/>
      </w:pPr>
      <w:rPr>
        <w:rFonts w:cs="Times New Roman"/>
      </w:rPr>
    </w:lvl>
  </w:abstractNum>
  <w:abstractNum w:abstractNumId="4">
    <w:nsid w:val="FFFFFF80"/>
    <w:multiLevelType w:val="singleLevel"/>
    <w:tmpl w:val="3B520E7C"/>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64E6393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B448A5BC"/>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030C0CA"/>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FFFFFF88"/>
    <w:multiLevelType w:val="singleLevel"/>
    <w:tmpl w:val="1FC07110"/>
    <w:lvl w:ilvl="0">
      <w:start w:val="1"/>
      <w:numFmt w:val="decimal"/>
      <w:pStyle w:val="Listanumerowana"/>
      <w:lvlText w:val="%1."/>
      <w:lvlJc w:val="left"/>
      <w:pPr>
        <w:tabs>
          <w:tab w:val="num" w:pos="360"/>
        </w:tabs>
        <w:ind w:left="360" w:hanging="360"/>
      </w:pPr>
      <w:rPr>
        <w:rFonts w:cs="Times New Roman"/>
      </w:rPr>
    </w:lvl>
  </w:abstractNum>
  <w:abstractNum w:abstractNumId="9">
    <w:nsid w:val="FFFFFF89"/>
    <w:multiLevelType w:val="singleLevel"/>
    <w:tmpl w:val="E67A7DF2"/>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233C6C98"/>
    <w:multiLevelType w:val="multilevel"/>
    <w:tmpl w:val="0409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3AA8082A"/>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42114625"/>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6D76980"/>
    <w:multiLevelType w:val="multilevel"/>
    <w:tmpl w:val="04090023"/>
    <w:styleLink w:val="Artykusekcja"/>
    <w:lvl w:ilvl="0">
      <w:start w:val="1"/>
      <w:numFmt w:val="upperRoman"/>
      <w:lvlText w:val="Artykuł %1."/>
      <w:lvlJc w:val="left"/>
      <w:rPr>
        <w:rFonts w:cs="Times New Roman"/>
      </w:rPr>
    </w:lvl>
    <w:lvl w:ilvl="1">
      <w:start w:val="1"/>
      <w:numFmt w:val="decimalZero"/>
      <w:isLgl/>
      <w:lvlText w:val="Sekcja%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4">
    <w:nsid w:val="61041842"/>
    <w:multiLevelType w:val="multilevel"/>
    <w:tmpl w:val="0409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nsid w:val="68C92C73"/>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4"/>
  </w:num>
  <w:num w:numId="15">
    <w:abstractNumId w:val="8"/>
  </w:num>
  <w:num w:numId="16">
    <w:abstractNumId w:val="10"/>
  </w:num>
  <w:num w:numId="17">
    <w:abstractNumId w:val="14"/>
  </w:num>
  <w:num w:numId="18">
    <w:abstractNumId w:val="13"/>
  </w:num>
  <w:num w:numId="19">
    <w:abstractNumId w:val="5"/>
  </w:num>
  <w:num w:numId="20">
    <w:abstractNumId w:val="3"/>
  </w:num>
  <w:num w:numId="21">
    <w:abstractNumId w:val="2"/>
  </w:num>
  <w:num w:numId="22">
    <w:abstractNumId w:val="1"/>
  </w:num>
  <w:num w:numId="23">
    <w:abstractNumId w:val="0"/>
  </w:num>
  <w:num w:numId="24">
    <w:abstractNumId w:val="12"/>
  </w:num>
  <w:num w:numId="25">
    <w:abstractNumId w:val="11"/>
  </w:num>
  <w:num w:numId="26">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57"/>
  <w:displayHorizontalDrawingGridEvery w:val="0"/>
  <w:displayVerticalDrawingGridEvery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9D7"/>
    <w:rsid w:val="000012DA"/>
    <w:rsid w:val="00001804"/>
    <w:rsid w:val="0000381A"/>
    <w:rsid w:val="000045A8"/>
    <w:rsid w:val="00006772"/>
    <w:rsid w:val="00010C5F"/>
    <w:rsid w:val="000110F3"/>
    <w:rsid w:val="00016F13"/>
    <w:rsid w:val="000174AC"/>
    <w:rsid w:val="00017F5A"/>
    <w:rsid w:val="000234E3"/>
    <w:rsid w:val="0002403B"/>
    <w:rsid w:val="00030410"/>
    <w:rsid w:val="00034534"/>
    <w:rsid w:val="00042368"/>
    <w:rsid w:val="00043BF0"/>
    <w:rsid w:val="00044AF1"/>
    <w:rsid w:val="00044C37"/>
    <w:rsid w:val="000459C5"/>
    <w:rsid w:val="000468A9"/>
    <w:rsid w:val="00051ABC"/>
    <w:rsid w:val="000531F5"/>
    <w:rsid w:val="00056EA0"/>
    <w:rsid w:val="00062345"/>
    <w:rsid w:val="00062BB7"/>
    <w:rsid w:val="000631FD"/>
    <w:rsid w:val="00063A80"/>
    <w:rsid w:val="00063FB9"/>
    <w:rsid w:val="00067871"/>
    <w:rsid w:val="00071057"/>
    <w:rsid w:val="00074F8E"/>
    <w:rsid w:val="00085109"/>
    <w:rsid w:val="000937E7"/>
    <w:rsid w:val="00096864"/>
    <w:rsid w:val="00097D78"/>
    <w:rsid w:val="000A0F9C"/>
    <w:rsid w:val="000A2DEA"/>
    <w:rsid w:val="000B06B5"/>
    <w:rsid w:val="000B2439"/>
    <w:rsid w:val="000B4D21"/>
    <w:rsid w:val="000B79D0"/>
    <w:rsid w:val="000C01D9"/>
    <w:rsid w:val="000C4564"/>
    <w:rsid w:val="000C5228"/>
    <w:rsid w:val="000C5E2D"/>
    <w:rsid w:val="000C5F24"/>
    <w:rsid w:val="000C67F4"/>
    <w:rsid w:val="000D1C06"/>
    <w:rsid w:val="000D226B"/>
    <w:rsid w:val="000D37A7"/>
    <w:rsid w:val="000D55BA"/>
    <w:rsid w:val="000D679C"/>
    <w:rsid w:val="000E16F0"/>
    <w:rsid w:val="000E1B85"/>
    <w:rsid w:val="000E4CBF"/>
    <w:rsid w:val="000E4D0C"/>
    <w:rsid w:val="000E4E39"/>
    <w:rsid w:val="000E779D"/>
    <w:rsid w:val="000F16CB"/>
    <w:rsid w:val="000F2BCD"/>
    <w:rsid w:val="000F40F2"/>
    <w:rsid w:val="000F5861"/>
    <w:rsid w:val="000F6478"/>
    <w:rsid w:val="00100A27"/>
    <w:rsid w:val="00104C2E"/>
    <w:rsid w:val="001077F8"/>
    <w:rsid w:val="0011241A"/>
    <w:rsid w:val="00112552"/>
    <w:rsid w:val="0012022B"/>
    <w:rsid w:val="00124037"/>
    <w:rsid w:val="0012431E"/>
    <w:rsid w:val="00124DE8"/>
    <w:rsid w:val="00125067"/>
    <w:rsid w:val="001250C5"/>
    <w:rsid w:val="001273CE"/>
    <w:rsid w:val="00130536"/>
    <w:rsid w:val="00136071"/>
    <w:rsid w:val="001379A4"/>
    <w:rsid w:val="00141068"/>
    <w:rsid w:val="00142456"/>
    <w:rsid w:val="00150A8A"/>
    <w:rsid w:val="001535ED"/>
    <w:rsid w:val="001536C4"/>
    <w:rsid w:val="00154AC1"/>
    <w:rsid w:val="001575C7"/>
    <w:rsid w:val="00157C7F"/>
    <w:rsid w:val="001601B7"/>
    <w:rsid w:val="00160234"/>
    <w:rsid w:val="001638F6"/>
    <w:rsid w:val="001662BA"/>
    <w:rsid w:val="00166553"/>
    <w:rsid w:val="001667B4"/>
    <w:rsid w:val="001675B9"/>
    <w:rsid w:val="001702E9"/>
    <w:rsid w:val="00182B7D"/>
    <w:rsid w:val="00183C05"/>
    <w:rsid w:val="00187F6A"/>
    <w:rsid w:val="001939CE"/>
    <w:rsid w:val="00194D7A"/>
    <w:rsid w:val="001970F0"/>
    <w:rsid w:val="001A180C"/>
    <w:rsid w:val="001A4BFF"/>
    <w:rsid w:val="001A57EE"/>
    <w:rsid w:val="001A5B90"/>
    <w:rsid w:val="001B1811"/>
    <w:rsid w:val="001B192B"/>
    <w:rsid w:val="001B3151"/>
    <w:rsid w:val="001B3C6A"/>
    <w:rsid w:val="001B5D4B"/>
    <w:rsid w:val="001B77FF"/>
    <w:rsid w:val="001C1747"/>
    <w:rsid w:val="001C2EFB"/>
    <w:rsid w:val="001C459B"/>
    <w:rsid w:val="001C637B"/>
    <w:rsid w:val="001C669C"/>
    <w:rsid w:val="001C6A9B"/>
    <w:rsid w:val="001D05F0"/>
    <w:rsid w:val="001D25B2"/>
    <w:rsid w:val="001D5850"/>
    <w:rsid w:val="001E18FE"/>
    <w:rsid w:val="001E44AA"/>
    <w:rsid w:val="001E44AB"/>
    <w:rsid w:val="001E5A1C"/>
    <w:rsid w:val="001F1727"/>
    <w:rsid w:val="0020005D"/>
    <w:rsid w:val="00203AC3"/>
    <w:rsid w:val="00203F38"/>
    <w:rsid w:val="0020677A"/>
    <w:rsid w:val="0021006A"/>
    <w:rsid w:val="00216352"/>
    <w:rsid w:val="002173B8"/>
    <w:rsid w:val="002230AF"/>
    <w:rsid w:val="0022412B"/>
    <w:rsid w:val="0022697F"/>
    <w:rsid w:val="002277A8"/>
    <w:rsid w:val="002279CC"/>
    <w:rsid w:val="00227E1E"/>
    <w:rsid w:val="002310CE"/>
    <w:rsid w:val="00233579"/>
    <w:rsid w:val="00235421"/>
    <w:rsid w:val="002355B7"/>
    <w:rsid w:val="002360A4"/>
    <w:rsid w:val="002360D8"/>
    <w:rsid w:val="00237234"/>
    <w:rsid w:val="002421FA"/>
    <w:rsid w:val="002439D8"/>
    <w:rsid w:val="00244248"/>
    <w:rsid w:val="0025045D"/>
    <w:rsid w:val="00250556"/>
    <w:rsid w:val="00256AC4"/>
    <w:rsid w:val="00256D06"/>
    <w:rsid w:val="00256D9C"/>
    <w:rsid w:val="00261DBD"/>
    <w:rsid w:val="00262291"/>
    <w:rsid w:val="00266A0F"/>
    <w:rsid w:val="00267BF8"/>
    <w:rsid w:val="002701C8"/>
    <w:rsid w:val="00272E3D"/>
    <w:rsid w:val="00274433"/>
    <w:rsid w:val="00275EB4"/>
    <w:rsid w:val="00276A15"/>
    <w:rsid w:val="00283F8B"/>
    <w:rsid w:val="00293D1F"/>
    <w:rsid w:val="00296806"/>
    <w:rsid w:val="00296EEE"/>
    <w:rsid w:val="002A1F67"/>
    <w:rsid w:val="002A2104"/>
    <w:rsid w:val="002A48C7"/>
    <w:rsid w:val="002A5607"/>
    <w:rsid w:val="002A5E5E"/>
    <w:rsid w:val="002B095A"/>
    <w:rsid w:val="002B1D08"/>
    <w:rsid w:val="002B586D"/>
    <w:rsid w:val="002C1DE0"/>
    <w:rsid w:val="002C3E13"/>
    <w:rsid w:val="002C4C01"/>
    <w:rsid w:val="002C605E"/>
    <w:rsid w:val="002C76DC"/>
    <w:rsid w:val="002D2F60"/>
    <w:rsid w:val="002D5258"/>
    <w:rsid w:val="002D5DA7"/>
    <w:rsid w:val="002D6A32"/>
    <w:rsid w:val="002E2374"/>
    <w:rsid w:val="002E56CE"/>
    <w:rsid w:val="002F29ED"/>
    <w:rsid w:val="002F3034"/>
    <w:rsid w:val="002F4050"/>
    <w:rsid w:val="002F5D96"/>
    <w:rsid w:val="002F7284"/>
    <w:rsid w:val="003016FF"/>
    <w:rsid w:val="00303B6B"/>
    <w:rsid w:val="00304F8D"/>
    <w:rsid w:val="00306EBE"/>
    <w:rsid w:val="00310A22"/>
    <w:rsid w:val="00316886"/>
    <w:rsid w:val="00317C74"/>
    <w:rsid w:val="003236A1"/>
    <w:rsid w:val="0032554A"/>
    <w:rsid w:val="00327DED"/>
    <w:rsid w:val="003303D8"/>
    <w:rsid w:val="00331BD5"/>
    <w:rsid w:val="00332766"/>
    <w:rsid w:val="00340451"/>
    <w:rsid w:val="00340DB9"/>
    <w:rsid w:val="003421AA"/>
    <w:rsid w:val="00345DCF"/>
    <w:rsid w:val="00351067"/>
    <w:rsid w:val="0035112A"/>
    <w:rsid w:val="00351266"/>
    <w:rsid w:val="00352356"/>
    <w:rsid w:val="00352C6C"/>
    <w:rsid w:val="003536AC"/>
    <w:rsid w:val="00354D55"/>
    <w:rsid w:val="00356824"/>
    <w:rsid w:val="00363CEA"/>
    <w:rsid w:val="00363E09"/>
    <w:rsid w:val="0037322F"/>
    <w:rsid w:val="00373286"/>
    <w:rsid w:val="0037369E"/>
    <w:rsid w:val="00373FA9"/>
    <w:rsid w:val="003761A0"/>
    <w:rsid w:val="0037704D"/>
    <w:rsid w:val="003801E5"/>
    <w:rsid w:val="00382144"/>
    <w:rsid w:val="00384397"/>
    <w:rsid w:val="00384945"/>
    <w:rsid w:val="00385DA0"/>
    <w:rsid w:val="0039117A"/>
    <w:rsid w:val="00396682"/>
    <w:rsid w:val="003A6A66"/>
    <w:rsid w:val="003B11DF"/>
    <w:rsid w:val="003B27FF"/>
    <w:rsid w:val="003B403C"/>
    <w:rsid w:val="003C5F60"/>
    <w:rsid w:val="003D228D"/>
    <w:rsid w:val="003D3962"/>
    <w:rsid w:val="003D494F"/>
    <w:rsid w:val="003D5F69"/>
    <w:rsid w:val="003D6883"/>
    <w:rsid w:val="003E2323"/>
    <w:rsid w:val="003E3B8A"/>
    <w:rsid w:val="003E4233"/>
    <w:rsid w:val="003E44DA"/>
    <w:rsid w:val="003E5B66"/>
    <w:rsid w:val="003F367B"/>
    <w:rsid w:val="003F7232"/>
    <w:rsid w:val="003F751E"/>
    <w:rsid w:val="00401014"/>
    <w:rsid w:val="00401F7C"/>
    <w:rsid w:val="004039E1"/>
    <w:rsid w:val="004077EE"/>
    <w:rsid w:val="004101EF"/>
    <w:rsid w:val="004225A0"/>
    <w:rsid w:val="00423801"/>
    <w:rsid w:val="00423C5E"/>
    <w:rsid w:val="004249F8"/>
    <w:rsid w:val="004256B3"/>
    <w:rsid w:val="00430FDF"/>
    <w:rsid w:val="00437875"/>
    <w:rsid w:val="00440231"/>
    <w:rsid w:val="00444E2B"/>
    <w:rsid w:val="00445828"/>
    <w:rsid w:val="0045401D"/>
    <w:rsid w:val="004553F2"/>
    <w:rsid w:val="00457BF4"/>
    <w:rsid w:val="00460CE2"/>
    <w:rsid w:val="00467184"/>
    <w:rsid w:val="00472371"/>
    <w:rsid w:val="00480504"/>
    <w:rsid w:val="0048211E"/>
    <w:rsid w:val="004821FC"/>
    <w:rsid w:val="00484461"/>
    <w:rsid w:val="004855F7"/>
    <w:rsid w:val="0049352C"/>
    <w:rsid w:val="004963C3"/>
    <w:rsid w:val="004973A2"/>
    <w:rsid w:val="004A020F"/>
    <w:rsid w:val="004A0746"/>
    <w:rsid w:val="004A1EA7"/>
    <w:rsid w:val="004A2DCC"/>
    <w:rsid w:val="004A74A2"/>
    <w:rsid w:val="004B1308"/>
    <w:rsid w:val="004B54D0"/>
    <w:rsid w:val="004B58B3"/>
    <w:rsid w:val="004B6A3D"/>
    <w:rsid w:val="004B7910"/>
    <w:rsid w:val="004C6B0B"/>
    <w:rsid w:val="004D07C9"/>
    <w:rsid w:val="004D087A"/>
    <w:rsid w:val="004D2F10"/>
    <w:rsid w:val="004D404B"/>
    <w:rsid w:val="004D4F4E"/>
    <w:rsid w:val="004D6A83"/>
    <w:rsid w:val="004D748B"/>
    <w:rsid w:val="004E0700"/>
    <w:rsid w:val="004E5B47"/>
    <w:rsid w:val="004F0250"/>
    <w:rsid w:val="004F1FB8"/>
    <w:rsid w:val="004F58B9"/>
    <w:rsid w:val="004F78C2"/>
    <w:rsid w:val="005026FD"/>
    <w:rsid w:val="005053D8"/>
    <w:rsid w:val="005053EC"/>
    <w:rsid w:val="00507426"/>
    <w:rsid w:val="0050777F"/>
    <w:rsid w:val="005122B3"/>
    <w:rsid w:val="005227AF"/>
    <w:rsid w:val="00523907"/>
    <w:rsid w:val="00524BCF"/>
    <w:rsid w:val="00530ABF"/>
    <w:rsid w:val="005340E5"/>
    <w:rsid w:val="00540030"/>
    <w:rsid w:val="00540F12"/>
    <w:rsid w:val="0054342A"/>
    <w:rsid w:val="00543640"/>
    <w:rsid w:val="00547BC0"/>
    <w:rsid w:val="005516AA"/>
    <w:rsid w:val="00553122"/>
    <w:rsid w:val="00553DBB"/>
    <w:rsid w:val="005558DB"/>
    <w:rsid w:val="00561FCA"/>
    <w:rsid w:val="005624E2"/>
    <w:rsid w:val="00563437"/>
    <w:rsid w:val="00564275"/>
    <w:rsid w:val="005660DF"/>
    <w:rsid w:val="0057211B"/>
    <w:rsid w:val="00572E94"/>
    <w:rsid w:val="0057396A"/>
    <w:rsid w:val="005803E1"/>
    <w:rsid w:val="00580A33"/>
    <w:rsid w:val="00580A91"/>
    <w:rsid w:val="00581698"/>
    <w:rsid w:val="005818BF"/>
    <w:rsid w:val="0058240F"/>
    <w:rsid w:val="00582878"/>
    <w:rsid w:val="0058299B"/>
    <w:rsid w:val="005833B6"/>
    <w:rsid w:val="00586982"/>
    <w:rsid w:val="00587536"/>
    <w:rsid w:val="005877BE"/>
    <w:rsid w:val="00590D71"/>
    <w:rsid w:val="00590F7A"/>
    <w:rsid w:val="00596568"/>
    <w:rsid w:val="005A1EBA"/>
    <w:rsid w:val="005A3538"/>
    <w:rsid w:val="005A46DB"/>
    <w:rsid w:val="005A5BE8"/>
    <w:rsid w:val="005A6B62"/>
    <w:rsid w:val="005B41D8"/>
    <w:rsid w:val="005B4D1C"/>
    <w:rsid w:val="005B53C3"/>
    <w:rsid w:val="005C1E44"/>
    <w:rsid w:val="005C494D"/>
    <w:rsid w:val="005C5761"/>
    <w:rsid w:val="005C65CB"/>
    <w:rsid w:val="005D3917"/>
    <w:rsid w:val="005D4341"/>
    <w:rsid w:val="005D685C"/>
    <w:rsid w:val="005E11E0"/>
    <w:rsid w:val="005E1A27"/>
    <w:rsid w:val="005E304D"/>
    <w:rsid w:val="005E3499"/>
    <w:rsid w:val="005E34BE"/>
    <w:rsid w:val="005F0A59"/>
    <w:rsid w:val="005F2DA6"/>
    <w:rsid w:val="005F318C"/>
    <w:rsid w:val="005F3BF6"/>
    <w:rsid w:val="005F3DCC"/>
    <w:rsid w:val="005F3E7F"/>
    <w:rsid w:val="0060220C"/>
    <w:rsid w:val="00607422"/>
    <w:rsid w:val="006221E7"/>
    <w:rsid w:val="006268AF"/>
    <w:rsid w:val="00626C01"/>
    <w:rsid w:val="006272A3"/>
    <w:rsid w:val="00627B34"/>
    <w:rsid w:val="00632E9C"/>
    <w:rsid w:val="0063392E"/>
    <w:rsid w:val="00633E9C"/>
    <w:rsid w:val="00634B67"/>
    <w:rsid w:val="00634E0B"/>
    <w:rsid w:val="006357C5"/>
    <w:rsid w:val="0063672A"/>
    <w:rsid w:val="00641563"/>
    <w:rsid w:val="006447B2"/>
    <w:rsid w:val="00650904"/>
    <w:rsid w:val="006513D4"/>
    <w:rsid w:val="006527F0"/>
    <w:rsid w:val="00652898"/>
    <w:rsid w:val="00652D59"/>
    <w:rsid w:val="006568FF"/>
    <w:rsid w:val="00656D49"/>
    <w:rsid w:val="00656FB1"/>
    <w:rsid w:val="00663A4F"/>
    <w:rsid w:val="00664465"/>
    <w:rsid w:val="00670E85"/>
    <w:rsid w:val="006715E2"/>
    <w:rsid w:val="00676C02"/>
    <w:rsid w:val="00676C06"/>
    <w:rsid w:val="00677FEF"/>
    <w:rsid w:val="00682112"/>
    <w:rsid w:val="00682202"/>
    <w:rsid w:val="00682C7E"/>
    <w:rsid w:val="00683043"/>
    <w:rsid w:val="006834C0"/>
    <w:rsid w:val="00685D02"/>
    <w:rsid w:val="00686168"/>
    <w:rsid w:val="00686DD6"/>
    <w:rsid w:val="00690BD5"/>
    <w:rsid w:val="00695292"/>
    <w:rsid w:val="00695E98"/>
    <w:rsid w:val="0069644E"/>
    <w:rsid w:val="00697C99"/>
    <w:rsid w:val="006A253A"/>
    <w:rsid w:val="006A74D9"/>
    <w:rsid w:val="006B0ADE"/>
    <w:rsid w:val="006B0CC9"/>
    <w:rsid w:val="006B4401"/>
    <w:rsid w:val="006B4B04"/>
    <w:rsid w:val="006B4FE9"/>
    <w:rsid w:val="006C2735"/>
    <w:rsid w:val="006E0B6E"/>
    <w:rsid w:val="006E19BE"/>
    <w:rsid w:val="006E2A39"/>
    <w:rsid w:val="006E2DBC"/>
    <w:rsid w:val="006E43CF"/>
    <w:rsid w:val="006E5350"/>
    <w:rsid w:val="006E764E"/>
    <w:rsid w:val="006F0BB1"/>
    <w:rsid w:val="006F3DB6"/>
    <w:rsid w:val="006F4898"/>
    <w:rsid w:val="006F72D2"/>
    <w:rsid w:val="00702021"/>
    <w:rsid w:val="007030A6"/>
    <w:rsid w:val="007033F6"/>
    <w:rsid w:val="00703ED5"/>
    <w:rsid w:val="007128DC"/>
    <w:rsid w:val="00712F3B"/>
    <w:rsid w:val="00713267"/>
    <w:rsid w:val="0071416E"/>
    <w:rsid w:val="00715057"/>
    <w:rsid w:val="00716079"/>
    <w:rsid w:val="00716B80"/>
    <w:rsid w:val="0071740D"/>
    <w:rsid w:val="00720B45"/>
    <w:rsid w:val="00723100"/>
    <w:rsid w:val="007248ED"/>
    <w:rsid w:val="0072703B"/>
    <w:rsid w:val="00727F1E"/>
    <w:rsid w:val="00737A54"/>
    <w:rsid w:val="00751228"/>
    <w:rsid w:val="007535A9"/>
    <w:rsid w:val="007537D7"/>
    <w:rsid w:val="007549E5"/>
    <w:rsid w:val="00754CCF"/>
    <w:rsid w:val="007577CF"/>
    <w:rsid w:val="007579B0"/>
    <w:rsid w:val="00763CF0"/>
    <w:rsid w:val="007640BC"/>
    <w:rsid w:val="007663F7"/>
    <w:rsid w:val="00766689"/>
    <w:rsid w:val="00770C90"/>
    <w:rsid w:val="00771C37"/>
    <w:rsid w:val="00771DC8"/>
    <w:rsid w:val="00775D70"/>
    <w:rsid w:val="007765ED"/>
    <w:rsid w:val="007813D0"/>
    <w:rsid w:val="007815B3"/>
    <w:rsid w:val="007815D2"/>
    <w:rsid w:val="007820B3"/>
    <w:rsid w:val="00782D8E"/>
    <w:rsid w:val="00783969"/>
    <w:rsid w:val="007876B9"/>
    <w:rsid w:val="00790B60"/>
    <w:rsid w:val="007950E2"/>
    <w:rsid w:val="0079559F"/>
    <w:rsid w:val="007A23C1"/>
    <w:rsid w:val="007A408B"/>
    <w:rsid w:val="007B2FB0"/>
    <w:rsid w:val="007B455D"/>
    <w:rsid w:val="007B63B3"/>
    <w:rsid w:val="007B6FB4"/>
    <w:rsid w:val="007C4E8D"/>
    <w:rsid w:val="007D0850"/>
    <w:rsid w:val="007D1284"/>
    <w:rsid w:val="007D2983"/>
    <w:rsid w:val="007D3D2D"/>
    <w:rsid w:val="007D412F"/>
    <w:rsid w:val="007D7566"/>
    <w:rsid w:val="007E06F2"/>
    <w:rsid w:val="007E10F3"/>
    <w:rsid w:val="007E1361"/>
    <w:rsid w:val="007E2A98"/>
    <w:rsid w:val="007E7747"/>
    <w:rsid w:val="007E77F4"/>
    <w:rsid w:val="007E78E3"/>
    <w:rsid w:val="007F137A"/>
    <w:rsid w:val="00800546"/>
    <w:rsid w:val="008029CD"/>
    <w:rsid w:val="00804042"/>
    <w:rsid w:val="00804C95"/>
    <w:rsid w:val="00804E15"/>
    <w:rsid w:val="008054FC"/>
    <w:rsid w:val="00805C6E"/>
    <w:rsid w:val="00805E53"/>
    <w:rsid w:val="008063F6"/>
    <w:rsid w:val="00811CD5"/>
    <w:rsid w:val="00814E54"/>
    <w:rsid w:val="00817D64"/>
    <w:rsid w:val="00823BFA"/>
    <w:rsid w:val="008243F0"/>
    <w:rsid w:val="0082724A"/>
    <w:rsid w:val="00833C4A"/>
    <w:rsid w:val="008351D9"/>
    <w:rsid w:val="008379CA"/>
    <w:rsid w:val="00842853"/>
    <w:rsid w:val="00860AC6"/>
    <w:rsid w:val="00860F68"/>
    <w:rsid w:val="00861E29"/>
    <w:rsid w:val="00863E9C"/>
    <w:rsid w:val="00864D7C"/>
    <w:rsid w:val="00865138"/>
    <w:rsid w:val="00870608"/>
    <w:rsid w:val="00870B7D"/>
    <w:rsid w:val="00875277"/>
    <w:rsid w:val="00876609"/>
    <w:rsid w:val="00880F59"/>
    <w:rsid w:val="00881762"/>
    <w:rsid w:val="00883D91"/>
    <w:rsid w:val="00887350"/>
    <w:rsid w:val="008901C4"/>
    <w:rsid w:val="00890DB4"/>
    <w:rsid w:val="00897119"/>
    <w:rsid w:val="00897640"/>
    <w:rsid w:val="008A1A1A"/>
    <w:rsid w:val="008A3948"/>
    <w:rsid w:val="008A3F01"/>
    <w:rsid w:val="008A4635"/>
    <w:rsid w:val="008B0A52"/>
    <w:rsid w:val="008B2338"/>
    <w:rsid w:val="008B33F4"/>
    <w:rsid w:val="008B604F"/>
    <w:rsid w:val="008B767F"/>
    <w:rsid w:val="008C20E3"/>
    <w:rsid w:val="008C4463"/>
    <w:rsid w:val="008C6392"/>
    <w:rsid w:val="008C687C"/>
    <w:rsid w:val="008C6BC7"/>
    <w:rsid w:val="008C7CA4"/>
    <w:rsid w:val="008D41CD"/>
    <w:rsid w:val="008D51B6"/>
    <w:rsid w:val="008D5528"/>
    <w:rsid w:val="008D6975"/>
    <w:rsid w:val="008E36F2"/>
    <w:rsid w:val="008E37ED"/>
    <w:rsid w:val="008E55B8"/>
    <w:rsid w:val="008F1CA4"/>
    <w:rsid w:val="008F21DA"/>
    <w:rsid w:val="008F2791"/>
    <w:rsid w:val="008F2F79"/>
    <w:rsid w:val="009110EE"/>
    <w:rsid w:val="009143E8"/>
    <w:rsid w:val="00915806"/>
    <w:rsid w:val="00920BC2"/>
    <w:rsid w:val="00921898"/>
    <w:rsid w:val="0092194B"/>
    <w:rsid w:val="009223C8"/>
    <w:rsid w:val="00923017"/>
    <w:rsid w:val="0092672B"/>
    <w:rsid w:val="00926C64"/>
    <w:rsid w:val="009274EC"/>
    <w:rsid w:val="00927AEC"/>
    <w:rsid w:val="00932710"/>
    <w:rsid w:val="00935258"/>
    <w:rsid w:val="009352DE"/>
    <w:rsid w:val="00935D89"/>
    <w:rsid w:val="0093725F"/>
    <w:rsid w:val="00941FC9"/>
    <w:rsid w:val="009420F3"/>
    <w:rsid w:val="0094557B"/>
    <w:rsid w:val="00947D97"/>
    <w:rsid w:val="009607CB"/>
    <w:rsid w:val="00964C05"/>
    <w:rsid w:val="00966BB8"/>
    <w:rsid w:val="00974FC3"/>
    <w:rsid w:val="00975C8F"/>
    <w:rsid w:val="00977925"/>
    <w:rsid w:val="009807B8"/>
    <w:rsid w:val="00981586"/>
    <w:rsid w:val="00985B89"/>
    <w:rsid w:val="009864B6"/>
    <w:rsid w:val="00986C30"/>
    <w:rsid w:val="00991B3C"/>
    <w:rsid w:val="00991D3C"/>
    <w:rsid w:val="009949EE"/>
    <w:rsid w:val="00995FE7"/>
    <w:rsid w:val="009A0233"/>
    <w:rsid w:val="009A4F76"/>
    <w:rsid w:val="009A6F02"/>
    <w:rsid w:val="009B298D"/>
    <w:rsid w:val="009B68F9"/>
    <w:rsid w:val="009C77FB"/>
    <w:rsid w:val="009C7B9F"/>
    <w:rsid w:val="009D0928"/>
    <w:rsid w:val="009D1C60"/>
    <w:rsid w:val="009D3D6F"/>
    <w:rsid w:val="009D4932"/>
    <w:rsid w:val="009D4C68"/>
    <w:rsid w:val="009D5703"/>
    <w:rsid w:val="009D66C8"/>
    <w:rsid w:val="009E3907"/>
    <w:rsid w:val="009E585A"/>
    <w:rsid w:val="009E6405"/>
    <w:rsid w:val="009E733B"/>
    <w:rsid w:val="009F064B"/>
    <w:rsid w:val="009F0EE7"/>
    <w:rsid w:val="009F2778"/>
    <w:rsid w:val="009F4C41"/>
    <w:rsid w:val="009F721F"/>
    <w:rsid w:val="00A0029E"/>
    <w:rsid w:val="00A03A90"/>
    <w:rsid w:val="00A03F31"/>
    <w:rsid w:val="00A062E7"/>
    <w:rsid w:val="00A07CEC"/>
    <w:rsid w:val="00A10D3D"/>
    <w:rsid w:val="00A13306"/>
    <w:rsid w:val="00A135D1"/>
    <w:rsid w:val="00A13893"/>
    <w:rsid w:val="00A15BFF"/>
    <w:rsid w:val="00A16564"/>
    <w:rsid w:val="00A16917"/>
    <w:rsid w:val="00A16DE7"/>
    <w:rsid w:val="00A209C9"/>
    <w:rsid w:val="00A27D16"/>
    <w:rsid w:val="00A344C8"/>
    <w:rsid w:val="00A35130"/>
    <w:rsid w:val="00A358A9"/>
    <w:rsid w:val="00A37F3E"/>
    <w:rsid w:val="00A50DAE"/>
    <w:rsid w:val="00A52CB2"/>
    <w:rsid w:val="00A5398D"/>
    <w:rsid w:val="00A53A1D"/>
    <w:rsid w:val="00A5569F"/>
    <w:rsid w:val="00A557FF"/>
    <w:rsid w:val="00A60D4E"/>
    <w:rsid w:val="00A61157"/>
    <w:rsid w:val="00A63F0E"/>
    <w:rsid w:val="00A676BF"/>
    <w:rsid w:val="00A67B6B"/>
    <w:rsid w:val="00A76CF6"/>
    <w:rsid w:val="00A76F5E"/>
    <w:rsid w:val="00A77885"/>
    <w:rsid w:val="00A811CB"/>
    <w:rsid w:val="00A83122"/>
    <w:rsid w:val="00A84F6B"/>
    <w:rsid w:val="00A85CDA"/>
    <w:rsid w:val="00A869CB"/>
    <w:rsid w:val="00A8786D"/>
    <w:rsid w:val="00A9360B"/>
    <w:rsid w:val="00A96667"/>
    <w:rsid w:val="00AA0139"/>
    <w:rsid w:val="00AA4F4E"/>
    <w:rsid w:val="00AA7626"/>
    <w:rsid w:val="00AB193C"/>
    <w:rsid w:val="00AC1493"/>
    <w:rsid w:val="00AC1C1A"/>
    <w:rsid w:val="00AC5739"/>
    <w:rsid w:val="00AC7EF2"/>
    <w:rsid w:val="00AD21D6"/>
    <w:rsid w:val="00AD465C"/>
    <w:rsid w:val="00AD46FE"/>
    <w:rsid w:val="00AD4953"/>
    <w:rsid w:val="00AD62FB"/>
    <w:rsid w:val="00AE18F2"/>
    <w:rsid w:val="00AE262E"/>
    <w:rsid w:val="00AE2D96"/>
    <w:rsid w:val="00AE7363"/>
    <w:rsid w:val="00AF0243"/>
    <w:rsid w:val="00AF0D32"/>
    <w:rsid w:val="00AF139E"/>
    <w:rsid w:val="00AF1E0B"/>
    <w:rsid w:val="00AF28D1"/>
    <w:rsid w:val="00AF6215"/>
    <w:rsid w:val="00AF6942"/>
    <w:rsid w:val="00AF739E"/>
    <w:rsid w:val="00B07559"/>
    <w:rsid w:val="00B16D3B"/>
    <w:rsid w:val="00B17EC7"/>
    <w:rsid w:val="00B20BDA"/>
    <w:rsid w:val="00B215C7"/>
    <w:rsid w:val="00B24E8C"/>
    <w:rsid w:val="00B274A8"/>
    <w:rsid w:val="00B324F1"/>
    <w:rsid w:val="00B33A3B"/>
    <w:rsid w:val="00B41660"/>
    <w:rsid w:val="00B41D7A"/>
    <w:rsid w:val="00B42B2D"/>
    <w:rsid w:val="00B44B1B"/>
    <w:rsid w:val="00B464DB"/>
    <w:rsid w:val="00B505AF"/>
    <w:rsid w:val="00B61029"/>
    <w:rsid w:val="00B6191F"/>
    <w:rsid w:val="00B63F86"/>
    <w:rsid w:val="00B649F7"/>
    <w:rsid w:val="00B65394"/>
    <w:rsid w:val="00B71C55"/>
    <w:rsid w:val="00B73521"/>
    <w:rsid w:val="00B80CBC"/>
    <w:rsid w:val="00B816CD"/>
    <w:rsid w:val="00B832DB"/>
    <w:rsid w:val="00B908F0"/>
    <w:rsid w:val="00B92BB9"/>
    <w:rsid w:val="00B9571C"/>
    <w:rsid w:val="00B9690E"/>
    <w:rsid w:val="00B97214"/>
    <w:rsid w:val="00BA00FD"/>
    <w:rsid w:val="00BA1D27"/>
    <w:rsid w:val="00BA2508"/>
    <w:rsid w:val="00BA2F0C"/>
    <w:rsid w:val="00BA30DB"/>
    <w:rsid w:val="00BA4151"/>
    <w:rsid w:val="00BA47C6"/>
    <w:rsid w:val="00BA5650"/>
    <w:rsid w:val="00BA6F75"/>
    <w:rsid w:val="00BB39C8"/>
    <w:rsid w:val="00BB64EC"/>
    <w:rsid w:val="00BC407B"/>
    <w:rsid w:val="00BC74DC"/>
    <w:rsid w:val="00BC7F0F"/>
    <w:rsid w:val="00BD42B2"/>
    <w:rsid w:val="00BD50C1"/>
    <w:rsid w:val="00BD672C"/>
    <w:rsid w:val="00BE1CCB"/>
    <w:rsid w:val="00BE337C"/>
    <w:rsid w:val="00BF0C10"/>
    <w:rsid w:val="00BF2261"/>
    <w:rsid w:val="00BF2531"/>
    <w:rsid w:val="00BF2FD3"/>
    <w:rsid w:val="00C07DA7"/>
    <w:rsid w:val="00C10EDE"/>
    <w:rsid w:val="00C1733D"/>
    <w:rsid w:val="00C23D59"/>
    <w:rsid w:val="00C25F1A"/>
    <w:rsid w:val="00C30CDA"/>
    <w:rsid w:val="00C3518A"/>
    <w:rsid w:val="00C35FF0"/>
    <w:rsid w:val="00C36BB2"/>
    <w:rsid w:val="00C44E40"/>
    <w:rsid w:val="00C4518B"/>
    <w:rsid w:val="00C51932"/>
    <w:rsid w:val="00C5259E"/>
    <w:rsid w:val="00C5389D"/>
    <w:rsid w:val="00C61F69"/>
    <w:rsid w:val="00C66EF2"/>
    <w:rsid w:val="00C7312A"/>
    <w:rsid w:val="00C761B0"/>
    <w:rsid w:val="00C77034"/>
    <w:rsid w:val="00C80B9A"/>
    <w:rsid w:val="00C81A4D"/>
    <w:rsid w:val="00C92737"/>
    <w:rsid w:val="00C96A0A"/>
    <w:rsid w:val="00CA49C7"/>
    <w:rsid w:val="00CB4A50"/>
    <w:rsid w:val="00CC4CC8"/>
    <w:rsid w:val="00CC5446"/>
    <w:rsid w:val="00CC59F4"/>
    <w:rsid w:val="00CD38DC"/>
    <w:rsid w:val="00CD4248"/>
    <w:rsid w:val="00CD42D3"/>
    <w:rsid w:val="00CD49A7"/>
    <w:rsid w:val="00CD6975"/>
    <w:rsid w:val="00CD6FF5"/>
    <w:rsid w:val="00CD789B"/>
    <w:rsid w:val="00CE126E"/>
    <w:rsid w:val="00CE293A"/>
    <w:rsid w:val="00CF25CB"/>
    <w:rsid w:val="00CF40DC"/>
    <w:rsid w:val="00D01612"/>
    <w:rsid w:val="00D02611"/>
    <w:rsid w:val="00D059CD"/>
    <w:rsid w:val="00D0657A"/>
    <w:rsid w:val="00D13798"/>
    <w:rsid w:val="00D16DB4"/>
    <w:rsid w:val="00D1745B"/>
    <w:rsid w:val="00D23A6C"/>
    <w:rsid w:val="00D24107"/>
    <w:rsid w:val="00D2610E"/>
    <w:rsid w:val="00D30443"/>
    <w:rsid w:val="00D33EB1"/>
    <w:rsid w:val="00D35210"/>
    <w:rsid w:val="00D3544E"/>
    <w:rsid w:val="00D35E1B"/>
    <w:rsid w:val="00D4006C"/>
    <w:rsid w:val="00D431FB"/>
    <w:rsid w:val="00D4502B"/>
    <w:rsid w:val="00D50E6B"/>
    <w:rsid w:val="00D51FD1"/>
    <w:rsid w:val="00D5784E"/>
    <w:rsid w:val="00D63C9F"/>
    <w:rsid w:val="00D674CA"/>
    <w:rsid w:val="00D70C43"/>
    <w:rsid w:val="00D70D29"/>
    <w:rsid w:val="00D71E5E"/>
    <w:rsid w:val="00D71FB9"/>
    <w:rsid w:val="00D7228C"/>
    <w:rsid w:val="00D72FAE"/>
    <w:rsid w:val="00D74330"/>
    <w:rsid w:val="00D74D35"/>
    <w:rsid w:val="00D751F4"/>
    <w:rsid w:val="00D7709A"/>
    <w:rsid w:val="00D80DA1"/>
    <w:rsid w:val="00D8354E"/>
    <w:rsid w:val="00D904EB"/>
    <w:rsid w:val="00D90F55"/>
    <w:rsid w:val="00D92DA4"/>
    <w:rsid w:val="00D95191"/>
    <w:rsid w:val="00D95712"/>
    <w:rsid w:val="00DA1F34"/>
    <w:rsid w:val="00DA3E60"/>
    <w:rsid w:val="00DB1370"/>
    <w:rsid w:val="00DB26CC"/>
    <w:rsid w:val="00DC20FF"/>
    <w:rsid w:val="00DD016C"/>
    <w:rsid w:val="00DD5536"/>
    <w:rsid w:val="00DD558A"/>
    <w:rsid w:val="00DD751F"/>
    <w:rsid w:val="00DE1E34"/>
    <w:rsid w:val="00DE2A62"/>
    <w:rsid w:val="00DE41FB"/>
    <w:rsid w:val="00DE5D14"/>
    <w:rsid w:val="00DF09D7"/>
    <w:rsid w:val="00DF4089"/>
    <w:rsid w:val="00DF51F4"/>
    <w:rsid w:val="00DF648C"/>
    <w:rsid w:val="00DF732E"/>
    <w:rsid w:val="00E00655"/>
    <w:rsid w:val="00E067C5"/>
    <w:rsid w:val="00E07240"/>
    <w:rsid w:val="00E0780E"/>
    <w:rsid w:val="00E10745"/>
    <w:rsid w:val="00E10A63"/>
    <w:rsid w:val="00E11270"/>
    <w:rsid w:val="00E14A30"/>
    <w:rsid w:val="00E15866"/>
    <w:rsid w:val="00E15E1B"/>
    <w:rsid w:val="00E20033"/>
    <w:rsid w:val="00E217F2"/>
    <w:rsid w:val="00E21EFE"/>
    <w:rsid w:val="00E22E00"/>
    <w:rsid w:val="00E246F6"/>
    <w:rsid w:val="00E251BC"/>
    <w:rsid w:val="00E351F4"/>
    <w:rsid w:val="00E366D0"/>
    <w:rsid w:val="00E36D9E"/>
    <w:rsid w:val="00E3752E"/>
    <w:rsid w:val="00E44AFE"/>
    <w:rsid w:val="00E4567C"/>
    <w:rsid w:val="00E51338"/>
    <w:rsid w:val="00E56C7B"/>
    <w:rsid w:val="00E60684"/>
    <w:rsid w:val="00E61E34"/>
    <w:rsid w:val="00E620A2"/>
    <w:rsid w:val="00E6365C"/>
    <w:rsid w:val="00E63A90"/>
    <w:rsid w:val="00E654FB"/>
    <w:rsid w:val="00E67C13"/>
    <w:rsid w:val="00E701CF"/>
    <w:rsid w:val="00E73E14"/>
    <w:rsid w:val="00E73E99"/>
    <w:rsid w:val="00E7470C"/>
    <w:rsid w:val="00E83417"/>
    <w:rsid w:val="00E8632A"/>
    <w:rsid w:val="00E91820"/>
    <w:rsid w:val="00E9311D"/>
    <w:rsid w:val="00E9381A"/>
    <w:rsid w:val="00E95550"/>
    <w:rsid w:val="00E95FF5"/>
    <w:rsid w:val="00E96813"/>
    <w:rsid w:val="00E972E8"/>
    <w:rsid w:val="00EA2F1E"/>
    <w:rsid w:val="00EA482B"/>
    <w:rsid w:val="00EB24C5"/>
    <w:rsid w:val="00EB4E88"/>
    <w:rsid w:val="00EB64CF"/>
    <w:rsid w:val="00EC4A62"/>
    <w:rsid w:val="00EC561C"/>
    <w:rsid w:val="00EC58BE"/>
    <w:rsid w:val="00EC722C"/>
    <w:rsid w:val="00EC7317"/>
    <w:rsid w:val="00ED12AE"/>
    <w:rsid w:val="00ED76FA"/>
    <w:rsid w:val="00EE4F13"/>
    <w:rsid w:val="00F01933"/>
    <w:rsid w:val="00F0232D"/>
    <w:rsid w:val="00F02F69"/>
    <w:rsid w:val="00F05398"/>
    <w:rsid w:val="00F07426"/>
    <w:rsid w:val="00F120A1"/>
    <w:rsid w:val="00F13B5A"/>
    <w:rsid w:val="00F140F8"/>
    <w:rsid w:val="00F17688"/>
    <w:rsid w:val="00F1777F"/>
    <w:rsid w:val="00F215C7"/>
    <w:rsid w:val="00F2218E"/>
    <w:rsid w:val="00F2360B"/>
    <w:rsid w:val="00F273E0"/>
    <w:rsid w:val="00F319AC"/>
    <w:rsid w:val="00F42695"/>
    <w:rsid w:val="00F43833"/>
    <w:rsid w:val="00F43A78"/>
    <w:rsid w:val="00F4540E"/>
    <w:rsid w:val="00F45B1C"/>
    <w:rsid w:val="00F47D0F"/>
    <w:rsid w:val="00F51AFA"/>
    <w:rsid w:val="00F543A5"/>
    <w:rsid w:val="00F54D77"/>
    <w:rsid w:val="00F60570"/>
    <w:rsid w:val="00F6493C"/>
    <w:rsid w:val="00F663DF"/>
    <w:rsid w:val="00F6682A"/>
    <w:rsid w:val="00F66B18"/>
    <w:rsid w:val="00F728CD"/>
    <w:rsid w:val="00F73DD3"/>
    <w:rsid w:val="00F77689"/>
    <w:rsid w:val="00F77FDA"/>
    <w:rsid w:val="00F843B7"/>
    <w:rsid w:val="00F87F77"/>
    <w:rsid w:val="00F90643"/>
    <w:rsid w:val="00F9183B"/>
    <w:rsid w:val="00F91F35"/>
    <w:rsid w:val="00F92A55"/>
    <w:rsid w:val="00F93C8B"/>
    <w:rsid w:val="00FA34AD"/>
    <w:rsid w:val="00FA439A"/>
    <w:rsid w:val="00FA7BDD"/>
    <w:rsid w:val="00FA7C4D"/>
    <w:rsid w:val="00FB4A91"/>
    <w:rsid w:val="00FB4BF9"/>
    <w:rsid w:val="00FC462F"/>
    <w:rsid w:val="00FD09C7"/>
    <w:rsid w:val="00FD20F8"/>
    <w:rsid w:val="00FD441C"/>
    <w:rsid w:val="00FD5B54"/>
    <w:rsid w:val="00FD60C8"/>
    <w:rsid w:val="00FE0320"/>
    <w:rsid w:val="00FE262D"/>
    <w:rsid w:val="00FE749B"/>
    <w:rsid w:val="00FF0A64"/>
    <w:rsid w:val="00FF0ECF"/>
    <w:rsid w:val="00FF308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8901C4"/>
    <w:pPr>
      <w:suppressAutoHyphens/>
    </w:pPr>
    <w:rPr>
      <w:sz w:val="24"/>
      <w:szCs w:val="20"/>
      <w:lang w:val="en-GB" w:eastAsia="fr-FR"/>
    </w:rPr>
  </w:style>
  <w:style w:type="paragraph" w:styleId="Nagwek1">
    <w:name w:val="heading 1"/>
    <w:basedOn w:val="Normalny"/>
    <w:next w:val="Normalny"/>
    <w:link w:val="Nagwek1Znak"/>
    <w:uiPriority w:val="99"/>
    <w:qFormat/>
    <w:rsid w:val="008901C4"/>
    <w:pPr>
      <w:keepNext/>
      <w:spacing w:before="360" w:after="240"/>
      <w:jc w:val="center"/>
      <w:outlineLvl w:val="0"/>
    </w:pPr>
    <w:rPr>
      <w:b/>
      <w:sz w:val="28"/>
    </w:rPr>
  </w:style>
  <w:style w:type="paragraph" w:styleId="Nagwek2">
    <w:name w:val="heading 2"/>
    <w:basedOn w:val="Normalny"/>
    <w:next w:val="Normalny"/>
    <w:link w:val="Nagwek2Znak"/>
    <w:uiPriority w:val="99"/>
    <w:qFormat/>
    <w:rsid w:val="008901C4"/>
    <w:pPr>
      <w:keepNext/>
      <w:spacing w:before="240" w:after="120"/>
      <w:ind w:left="284" w:hanging="284"/>
      <w:outlineLvl w:val="1"/>
    </w:pPr>
    <w:rPr>
      <w:b/>
    </w:rPr>
  </w:style>
  <w:style w:type="paragraph" w:styleId="Nagwek3">
    <w:name w:val="heading 3"/>
    <w:basedOn w:val="Normalny"/>
    <w:next w:val="Normalny"/>
    <w:link w:val="Nagwek3Znak"/>
    <w:uiPriority w:val="99"/>
    <w:qFormat/>
    <w:rsid w:val="008901C4"/>
    <w:pPr>
      <w:keepNext/>
      <w:spacing w:before="120" w:after="60"/>
      <w:ind w:left="1418" w:hanging="851"/>
      <w:outlineLvl w:val="2"/>
    </w:pPr>
    <w:rPr>
      <w:i/>
    </w:rPr>
  </w:style>
  <w:style w:type="paragraph" w:styleId="Nagwek4">
    <w:name w:val="heading 4"/>
    <w:basedOn w:val="Normalny"/>
    <w:next w:val="Normalny"/>
    <w:link w:val="Nagwek4Znak"/>
    <w:uiPriority w:val="99"/>
    <w:qFormat/>
    <w:rsid w:val="00543640"/>
    <w:pPr>
      <w:widowControl w:val="0"/>
      <w:outlineLvl w:val="3"/>
    </w:pPr>
    <w:rPr>
      <w:rFonts w:ascii="Courier" w:hAnsi="Courier"/>
      <w:lang w:val="en-US" w:eastAsia="en-US"/>
    </w:rPr>
  </w:style>
  <w:style w:type="paragraph" w:styleId="Nagwek5">
    <w:name w:val="heading 5"/>
    <w:basedOn w:val="Normalny"/>
    <w:next w:val="Normalny"/>
    <w:link w:val="Nagwek5Znak"/>
    <w:uiPriority w:val="99"/>
    <w:qFormat/>
    <w:rsid w:val="00543640"/>
    <w:pPr>
      <w:widowControl w:val="0"/>
      <w:outlineLvl w:val="4"/>
    </w:pPr>
    <w:rPr>
      <w:rFonts w:ascii="Courier" w:hAnsi="Courier"/>
      <w:lang w:val="en-US" w:eastAsia="en-US"/>
    </w:rPr>
  </w:style>
  <w:style w:type="paragraph" w:styleId="Nagwek6">
    <w:name w:val="heading 6"/>
    <w:basedOn w:val="Normalny"/>
    <w:next w:val="Normalny"/>
    <w:link w:val="Nagwek6Znak"/>
    <w:uiPriority w:val="99"/>
    <w:qFormat/>
    <w:rsid w:val="00543640"/>
    <w:pPr>
      <w:widowControl w:val="0"/>
      <w:outlineLvl w:val="5"/>
    </w:pPr>
    <w:rPr>
      <w:rFonts w:ascii="Courier" w:hAnsi="Courier"/>
      <w:lang w:val="en-US" w:eastAsia="en-US"/>
    </w:rPr>
  </w:style>
  <w:style w:type="paragraph" w:styleId="Nagwek7">
    <w:name w:val="heading 7"/>
    <w:basedOn w:val="Normalny"/>
    <w:next w:val="Normalny"/>
    <w:link w:val="Nagwek7Znak"/>
    <w:uiPriority w:val="99"/>
    <w:qFormat/>
    <w:rsid w:val="00543640"/>
    <w:pPr>
      <w:widowControl w:val="0"/>
      <w:outlineLvl w:val="6"/>
    </w:pPr>
    <w:rPr>
      <w:rFonts w:ascii="Courier" w:hAnsi="Courier"/>
      <w:lang w:val="en-US" w:eastAsia="en-US"/>
    </w:rPr>
  </w:style>
  <w:style w:type="paragraph" w:styleId="Nagwek8">
    <w:name w:val="heading 8"/>
    <w:basedOn w:val="Normalny"/>
    <w:next w:val="Normalny"/>
    <w:link w:val="Nagwek8Znak"/>
    <w:uiPriority w:val="99"/>
    <w:qFormat/>
    <w:rsid w:val="00543640"/>
    <w:pPr>
      <w:widowControl w:val="0"/>
      <w:outlineLvl w:val="7"/>
    </w:pPr>
    <w:rPr>
      <w:rFonts w:ascii="Courier" w:hAnsi="Courier"/>
      <w:lang w:val="en-US" w:eastAsia="en-US"/>
    </w:rPr>
  </w:style>
  <w:style w:type="paragraph" w:styleId="Nagwek9">
    <w:name w:val="heading 9"/>
    <w:basedOn w:val="Normalny"/>
    <w:next w:val="Normalny"/>
    <w:link w:val="Nagwek9Znak"/>
    <w:uiPriority w:val="99"/>
    <w:qFormat/>
    <w:rsid w:val="00543640"/>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7114B"/>
    <w:rPr>
      <w:rFonts w:asciiTheme="majorHAnsi" w:eastAsiaTheme="majorEastAsia" w:hAnsiTheme="majorHAnsi" w:cstheme="majorBidi"/>
      <w:b/>
      <w:bCs/>
      <w:kern w:val="32"/>
      <w:sz w:val="32"/>
      <w:szCs w:val="32"/>
      <w:lang w:val="en-GB" w:eastAsia="fr-FR"/>
    </w:rPr>
  </w:style>
  <w:style w:type="character" w:customStyle="1" w:styleId="Nagwek2Znak">
    <w:name w:val="Nagłówek 2 Znak"/>
    <w:basedOn w:val="Domylnaczcionkaakapitu"/>
    <w:link w:val="Nagwek2"/>
    <w:uiPriority w:val="9"/>
    <w:semiHidden/>
    <w:rsid w:val="0057114B"/>
    <w:rPr>
      <w:rFonts w:asciiTheme="majorHAnsi" w:eastAsiaTheme="majorEastAsia" w:hAnsiTheme="majorHAnsi" w:cstheme="majorBidi"/>
      <w:b/>
      <w:bCs/>
      <w:i/>
      <w:iCs/>
      <w:sz w:val="28"/>
      <w:szCs w:val="28"/>
      <w:lang w:val="en-GB" w:eastAsia="fr-FR"/>
    </w:rPr>
  </w:style>
  <w:style w:type="character" w:customStyle="1" w:styleId="Nagwek3Znak">
    <w:name w:val="Nagłówek 3 Znak"/>
    <w:basedOn w:val="Domylnaczcionkaakapitu"/>
    <w:link w:val="Nagwek3"/>
    <w:uiPriority w:val="9"/>
    <w:semiHidden/>
    <w:rsid w:val="0057114B"/>
    <w:rPr>
      <w:rFonts w:asciiTheme="majorHAnsi" w:eastAsiaTheme="majorEastAsia" w:hAnsiTheme="majorHAnsi" w:cstheme="majorBidi"/>
      <w:b/>
      <w:bCs/>
      <w:sz w:val="26"/>
      <w:szCs w:val="26"/>
      <w:lang w:val="en-GB" w:eastAsia="fr-FR"/>
    </w:rPr>
  </w:style>
  <w:style w:type="character" w:customStyle="1" w:styleId="Nagwek4Znak">
    <w:name w:val="Nagłówek 4 Znak"/>
    <w:basedOn w:val="Domylnaczcionkaakapitu"/>
    <w:link w:val="Nagwek4"/>
    <w:uiPriority w:val="9"/>
    <w:semiHidden/>
    <w:rsid w:val="0057114B"/>
    <w:rPr>
      <w:rFonts w:asciiTheme="minorHAnsi" w:eastAsiaTheme="minorEastAsia" w:hAnsiTheme="minorHAnsi" w:cstheme="minorBidi"/>
      <w:b/>
      <w:bCs/>
      <w:sz w:val="28"/>
      <w:szCs w:val="28"/>
      <w:lang w:val="en-GB" w:eastAsia="fr-FR"/>
    </w:rPr>
  </w:style>
  <w:style w:type="character" w:customStyle="1" w:styleId="Nagwek5Znak">
    <w:name w:val="Nagłówek 5 Znak"/>
    <w:basedOn w:val="Domylnaczcionkaakapitu"/>
    <w:link w:val="Nagwek5"/>
    <w:uiPriority w:val="9"/>
    <w:semiHidden/>
    <w:rsid w:val="0057114B"/>
    <w:rPr>
      <w:rFonts w:asciiTheme="minorHAnsi" w:eastAsiaTheme="minorEastAsia" w:hAnsiTheme="minorHAnsi" w:cstheme="minorBidi"/>
      <w:b/>
      <w:bCs/>
      <w:i/>
      <w:iCs/>
      <w:sz w:val="26"/>
      <w:szCs w:val="26"/>
      <w:lang w:val="en-GB" w:eastAsia="fr-FR"/>
    </w:rPr>
  </w:style>
  <w:style w:type="character" w:customStyle="1" w:styleId="Nagwek6Znak">
    <w:name w:val="Nagłówek 6 Znak"/>
    <w:basedOn w:val="Domylnaczcionkaakapitu"/>
    <w:link w:val="Nagwek6"/>
    <w:uiPriority w:val="9"/>
    <w:semiHidden/>
    <w:rsid w:val="0057114B"/>
    <w:rPr>
      <w:rFonts w:asciiTheme="minorHAnsi" w:eastAsiaTheme="minorEastAsia" w:hAnsiTheme="minorHAnsi" w:cstheme="minorBidi"/>
      <w:b/>
      <w:bCs/>
      <w:lang w:val="en-GB" w:eastAsia="fr-FR"/>
    </w:rPr>
  </w:style>
  <w:style w:type="character" w:customStyle="1" w:styleId="Nagwek7Znak">
    <w:name w:val="Nagłówek 7 Znak"/>
    <w:basedOn w:val="Domylnaczcionkaakapitu"/>
    <w:link w:val="Nagwek7"/>
    <w:uiPriority w:val="9"/>
    <w:semiHidden/>
    <w:rsid w:val="0057114B"/>
    <w:rPr>
      <w:rFonts w:asciiTheme="minorHAnsi" w:eastAsiaTheme="minorEastAsia" w:hAnsiTheme="minorHAnsi" w:cstheme="minorBidi"/>
      <w:sz w:val="24"/>
      <w:szCs w:val="24"/>
      <w:lang w:val="en-GB" w:eastAsia="fr-FR"/>
    </w:rPr>
  </w:style>
  <w:style w:type="character" w:customStyle="1" w:styleId="Nagwek8Znak">
    <w:name w:val="Nagłówek 8 Znak"/>
    <w:basedOn w:val="Domylnaczcionkaakapitu"/>
    <w:link w:val="Nagwek8"/>
    <w:uiPriority w:val="9"/>
    <w:semiHidden/>
    <w:rsid w:val="0057114B"/>
    <w:rPr>
      <w:rFonts w:asciiTheme="minorHAnsi" w:eastAsiaTheme="minorEastAsia" w:hAnsiTheme="minorHAnsi" w:cstheme="minorBidi"/>
      <w:i/>
      <w:iCs/>
      <w:sz w:val="24"/>
      <w:szCs w:val="24"/>
      <w:lang w:val="en-GB" w:eastAsia="fr-FR"/>
    </w:rPr>
  </w:style>
  <w:style w:type="character" w:customStyle="1" w:styleId="Nagwek9Znak">
    <w:name w:val="Nagłówek 9 Znak"/>
    <w:basedOn w:val="Domylnaczcionkaakapitu"/>
    <w:link w:val="Nagwek9"/>
    <w:uiPriority w:val="9"/>
    <w:semiHidden/>
    <w:rsid w:val="0057114B"/>
    <w:rPr>
      <w:rFonts w:asciiTheme="majorHAnsi" w:eastAsiaTheme="majorEastAsia" w:hAnsiTheme="majorHAnsi" w:cstheme="majorBidi"/>
      <w:lang w:val="en-GB" w:eastAsia="fr-FR"/>
    </w:rPr>
  </w:style>
  <w:style w:type="paragraph" w:customStyle="1" w:styleId="JuPara">
    <w:name w:val="Ju_Para"/>
    <w:aliases w:val="Left,First line:  0 cm"/>
    <w:basedOn w:val="Normalny"/>
    <w:link w:val="JuParaCar"/>
    <w:uiPriority w:val="99"/>
    <w:rsid w:val="008901C4"/>
    <w:pPr>
      <w:ind w:firstLine="284"/>
      <w:jc w:val="both"/>
    </w:pPr>
  </w:style>
  <w:style w:type="paragraph" w:customStyle="1" w:styleId="JuHIRoman">
    <w:name w:val="Ju_H_I_Roman"/>
    <w:basedOn w:val="JuHHead"/>
    <w:next w:val="JuPara"/>
    <w:link w:val="JuHIRomanChar"/>
    <w:uiPriority w:val="99"/>
    <w:rsid w:val="008901C4"/>
    <w:pPr>
      <w:tabs>
        <w:tab w:val="left" w:pos="357"/>
      </w:tabs>
      <w:spacing w:before="360"/>
      <w:ind w:left="357" w:hanging="357"/>
    </w:pPr>
    <w:rPr>
      <w:sz w:val="24"/>
    </w:rPr>
  </w:style>
  <w:style w:type="paragraph" w:customStyle="1" w:styleId="JuHHead">
    <w:name w:val="Ju_H_Head"/>
    <w:basedOn w:val="Normalny"/>
    <w:next w:val="JuPara"/>
    <w:link w:val="JuHHeadChar"/>
    <w:uiPriority w:val="99"/>
    <w:rsid w:val="008901C4"/>
    <w:pPr>
      <w:keepNext/>
      <w:keepLines/>
      <w:spacing w:before="720" w:after="240"/>
      <w:jc w:val="both"/>
    </w:pPr>
    <w:rPr>
      <w:sz w:val="28"/>
    </w:rPr>
  </w:style>
  <w:style w:type="paragraph" w:styleId="Stopka">
    <w:name w:val="footer"/>
    <w:basedOn w:val="Normalny"/>
    <w:link w:val="StopkaZnak"/>
    <w:uiPriority w:val="99"/>
    <w:rsid w:val="008901C4"/>
    <w:pPr>
      <w:tabs>
        <w:tab w:val="center" w:pos="3686"/>
        <w:tab w:val="right" w:pos="7371"/>
      </w:tabs>
    </w:pPr>
    <w:rPr>
      <w:sz w:val="18"/>
    </w:rPr>
  </w:style>
  <w:style w:type="character" w:customStyle="1" w:styleId="StopkaZnak">
    <w:name w:val="Stopka Znak"/>
    <w:basedOn w:val="Domylnaczcionkaakapitu"/>
    <w:link w:val="Stopka"/>
    <w:uiPriority w:val="99"/>
    <w:semiHidden/>
    <w:rsid w:val="0057114B"/>
    <w:rPr>
      <w:sz w:val="24"/>
      <w:szCs w:val="20"/>
      <w:lang w:val="en-GB" w:eastAsia="fr-FR"/>
    </w:rPr>
  </w:style>
  <w:style w:type="paragraph" w:customStyle="1" w:styleId="JuJudges">
    <w:name w:val="Ju_Judges"/>
    <w:basedOn w:val="Normalny"/>
    <w:link w:val="JuJudgesChar"/>
    <w:uiPriority w:val="99"/>
    <w:rsid w:val="008901C4"/>
    <w:pPr>
      <w:tabs>
        <w:tab w:val="left" w:pos="567"/>
        <w:tab w:val="left" w:pos="1134"/>
      </w:tabs>
    </w:pPr>
  </w:style>
  <w:style w:type="character" w:customStyle="1" w:styleId="JuNames">
    <w:name w:val="Ju_Names"/>
    <w:uiPriority w:val="99"/>
    <w:rsid w:val="008901C4"/>
    <w:rPr>
      <w:smallCaps/>
    </w:rPr>
  </w:style>
  <w:style w:type="paragraph" w:customStyle="1" w:styleId="JuHA">
    <w:name w:val="Ju_H_A"/>
    <w:basedOn w:val="JuHIRoman"/>
    <w:next w:val="JuPara"/>
    <w:link w:val="JuHAChar"/>
    <w:uiPriority w:val="99"/>
    <w:rsid w:val="008901C4"/>
    <w:pPr>
      <w:tabs>
        <w:tab w:val="clear" w:pos="357"/>
        <w:tab w:val="left" w:pos="584"/>
      </w:tabs>
      <w:ind w:left="584" w:hanging="352"/>
    </w:pPr>
    <w:rPr>
      <w:b/>
    </w:rPr>
  </w:style>
  <w:style w:type="paragraph" w:customStyle="1" w:styleId="JuQuot">
    <w:name w:val="Ju_Quot"/>
    <w:basedOn w:val="JuPara"/>
    <w:link w:val="JuQuotChar"/>
    <w:uiPriority w:val="99"/>
    <w:rsid w:val="008901C4"/>
    <w:pPr>
      <w:spacing w:before="120" w:after="120"/>
      <w:ind w:left="425" w:firstLine="142"/>
    </w:pPr>
    <w:rPr>
      <w:sz w:val="20"/>
    </w:rPr>
  </w:style>
  <w:style w:type="paragraph" w:customStyle="1" w:styleId="JuSigned">
    <w:name w:val="Ju_Signed"/>
    <w:basedOn w:val="Normalny"/>
    <w:next w:val="JuParaLast"/>
    <w:link w:val="JuSignedChar"/>
    <w:uiPriority w:val="99"/>
    <w:rsid w:val="008901C4"/>
    <w:pPr>
      <w:tabs>
        <w:tab w:val="center" w:pos="851"/>
        <w:tab w:val="center" w:pos="6407"/>
      </w:tabs>
      <w:spacing w:before="720"/>
    </w:pPr>
  </w:style>
  <w:style w:type="paragraph" w:customStyle="1" w:styleId="JuParaLast">
    <w:name w:val="Ju_Para_Last"/>
    <w:basedOn w:val="JuPara"/>
    <w:next w:val="JuPara"/>
    <w:uiPriority w:val="99"/>
    <w:rsid w:val="008901C4"/>
    <w:pPr>
      <w:keepNext/>
      <w:keepLines/>
      <w:spacing w:before="240"/>
    </w:pPr>
  </w:style>
  <w:style w:type="paragraph" w:customStyle="1" w:styleId="JuCase">
    <w:name w:val="Ju_Case"/>
    <w:basedOn w:val="JuPara"/>
    <w:next w:val="JuPara"/>
    <w:uiPriority w:val="99"/>
    <w:rsid w:val="008901C4"/>
    <w:rPr>
      <w:b/>
    </w:rPr>
  </w:style>
  <w:style w:type="paragraph" w:customStyle="1" w:styleId="JuList">
    <w:name w:val="Ju_List"/>
    <w:basedOn w:val="JuPara"/>
    <w:uiPriority w:val="99"/>
    <w:rsid w:val="008901C4"/>
    <w:pPr>
      <w:ind w:left="340" w:hanging="340"/>
    </w:pPr>
  </w:style>
  <w:style w:type="paragraph" w:customStyle="1" w:styleId="JuHArticle">
    <w:name w:val="Ju_H_Article"/>
    <w:basedOn w:val="JuHa0"/>
    <w:next w:val="JuQuot"/>
    <w:uiPriority w:val="99"/>
    <w:rsid w:val="008901C4"/>
    <w:pPr>
      <w:ind w:left="0" w:firstLine="0"/>
      <w:jc w:val="center"/>
    </w:pPr>
  </w:style>
  <w:style w:type="paragraph" w:customStyle="1" w:styleId="JuHa0">
    <w:name w:val="Ju_H_a"/>
    <w:basedOn w:val="JuH1"/>
    <w:next w:val="JuPara"/>
    <w:link w:val="JuHaChar0"/>
    <w:uiPriority w:val="99"/>
    <w:rsid w:val="008901C4"/>
    <w:pPr>
      <w:tabs>
        <w:tab w:val="clear" w:pos="731"/>
        <w:tab w:val="left" w:pos="975"/>
      </w:tabs>
      <w:ind w:left="975" w:hanging="340"/>
    </w:pPr>
    <w:rPr>
      <w:b w:val="0"/>
    </w:rPr>
  </w:style>
  <w:style w:type="paragraph" w:customStyle="1" w:styleId="JuH1">
    <w:name w:val="Ju_H_1."/>
    <w:basedOn w:val="JuHA"/>
    <w:next w:val="JuPara"/>
    <w:link w:val="JuH1Char"/>
    <w:uiPriority w:val="99"/>
    <w:rsid w:val="008901C4"/>
    <w:pPr>
      <w:tabs>
        <w:tab w:val="clear" w:pos="584"/>
        <w:tab w:val="left" w:pos="731"/>
      </w:tabs>
      <w:spacing w:before="240" w:after="120"/>
      <w:ind w:left="732" w:hanging="301"/>
    </w:pPr>
    <w:rPr>
      <w:i/>
    </w:rPr>
  </w:style>
  <w:style w:type="paragraph" w:styleId="Tekstkomentarza">
    <w:name w:val="annotation text"/>
    <w:basedOn w:val="Normalny"/>
    <w:link w:val="TekstkomentarzaZnak"/>
    <w:uiPriority w:val="99"/>
    <w:semiHidden/>
    <w:rsid w:val="00543640"/>
    <w:rPr>
      <w:sz w:val="20"/>
    </w:rPr>
  </w:style>
  <w:style w:type="character" w:customStyle="1" w:styleId="TekstkomentarzaZnak">
    <w:name w:val="Tekst komentarza Znak"/>
    <w:basedOn w:val="Domylnaczcionkaakapitu"/>
    <w:link w:val="Tekstkomentarza"/>
    <w:uiPriority w:val="99"/>
    <w:semiHidden/>
    <w:rsid w:val="0057114B"/>
    <w:rPr>
      <w:sz w:val="20"/>
      <w:szCs w:val="20"/>
      <w:lang w:val="en-GB" w:eastAsia="fr-FR"/>
    </w:rPr>
  </w:style>
  <w:style w:type="paragraph" w:styleId="Tematkomentarza">
    <w:name w:val="annotation subject"/>
    <w:basedOn w:val="Tekstkomentarza"/>
    <w:next w:val="Tekstkomentarza"/>
    <w:link w:val="TematkomentarzaZnak"/>
    <w:uiPriority w:val="99"/>
    <w:semiHidden/>
    <w:rsid w:val="00F43833"/>
    <w:rPr>
      <w:b/>
      <w:bCs/>
    </w:rPr>
  </w:style>
  <w:style w:type="character" w:customStyle="1" w:styleId="TematkomentarzaZnak">
    <w:name w:val="Temat komentarza Znak"/>
    <w:basedOn w:val="TekstkomentarzaZnak"/>
    <w:link w:val="Tematkomentarza"/>
    <w:uiPriority w:val="99"/>
    <w:semiHidden/>
    <w:rsid w:val="0057114B"/>
    <w:rPr>
      <w:b/>
      <w:bCs/>
      <w:sz w:val="20"/>
      <w:szCs w:val="20"/>
      <w:lang w:val="en-GB" w:eastAsia="fr-FR"/>
    </w:rPr>
  </w:style>
  <w:style w:type="paragraph" w:customStyle="1" w:styleId="JuCourt">
    <w:name w:val="Ju_Court"/>
    <w:basedOn w:val="JuJudges"/>
    <w:uiPriority w:val="99"/>
    <w:rsid w:val="008901C4"/>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link w:val="TekstprzypisudolnegoZnak"/>
    <w:uiPriority w:val="99"/>
    <w:semiHidden/>
    <w:rsid w:val="008901C4"/>
    <w:pPr>
      <w:jc w:val="both"/>
    </w:pPr>
    <w:rPr>
      <w:sz w:val="20"/>
    </w:rPr>
  </w:style>
  <w:style w:type="character" w:customStyle="1" w:styleId="TekstprzypisudolnegoZnak">
    <w:name w:val="Tekst przypisu dolnego Znak"/>
    <w:basedOn w:val="Domylnaczcionkaakapitu"/>
    <w:link w:val="Tekstprzypisudolnego"/>
    <w:uiPriority w:val="99"/>
    <w:semiHidden/>
    <w:rsid w:val="0057114B"/>
    <w:rPr>
      <w:sz w:val="20"/>
      <w:szCs w:val="20"/>
      <w:lang w:val="en-GB" w:eastAsia="fr-FR"/>
    </w:rPr>
  </w:style>
  <w:style w:type="character" w:styleId="Odwoanieprzypisudolnego">
    <w:name w:val="footnote reference"/>
    <w:basedOn w:val="Domylnaczcionkaakapitu"/>
    <w:uiPriority w:val="99"/>
    <w:semiHidden/>
    <w:rsid w:val="008901C4"/>
    <w:rPr>
      <w:rFonts w:cs="Times New Roman"/>
      <w:vertAlign w:val="superscript"/>
    </w:rPr>
  </w:style>
  <w:style w:type="paragraph" w:customStyle="1" w:styleId="JuHi">
    <w:name w:val="Ju_H_i"/>
    <w:basedOn w:val="JuHa0"/>
    <w:next w:val="JuPara"/>
    <w:link w:val="JuHiChar"/>
    <w:uiPriority w:val="99"/>
    <w:rsid w:val="008901C4"/>
    <w:pPr>
      <w:tabs>
        <w:tab w:val="clear" w:pos="975"/>
        <w:tab w:val="left" w:pos="1191"/>
      </w:tabs>
      <w:ind w:left="1190" w:hanging="357"/>
    </w:pPr>
  </w:style>
  <w:style w:type="paragraph" w:styleId="Nagwek">
    <w:name w:val="header"/>
    <w:basedOn w:val="Normalny"/>
    <w:link w:val="NagwekZnak"/>
    <w:uiPriority w:val="99"/>
    <w:rsid w:val="008901C4"/>
    <w:pPr>
      <w:tabs>
        <w:tab w:val="center" w:pos="3686"/>
        <w:tab w:val="right" w:pos="7371"/>
      </w:tabs>
    </w:pPr>
    <w:rPr>
      <w:sz w:val="18"/>
    </w:rPr>
  </w:style>
  <w:style w:type="character" w:customStyle="1" w:styleId="NagwekZnak">
    <w:name w:val="Nagłówek Znak"/>
    <w:basedOn w:val="Domylnaczcionkaakapitu"/>
    <w:link w:val="Nagwek"/>
    <w:uiPriority w:val="99"/>
    <w:semiHidden/>
    <w:rsid w:val="0057114B"/>
    <w:rPr>
      <w:sz w:val="24"/>
      <w:szCs w:val="20"/>
      <w:lang w:val="en-GB" w:eastAsia="fr-FR"/>
    </w:rPr>
  </w:style>
  <w:style w:type="character" w:styleId="Numerstrony">
    <w:name w:val="page number"/>
    <w:basedOn w:val="Domylnaczcionkaakapitu"/>
    <w:uiPriority w:val="99"/>
    <w:rsid w:val="008901C4"/>
    <w:rPr>
      <w:rFonts w:cs="Times New Roman"/>
      <w:sz w:val="18"/>
    </w:rPr>
  </w:style>
  <w:style w:type="paragraph" w:customStyle="1" w:styleId="JuH">
    <w:name w:val="Ju_H_–"/>
    <w:basedOn w:val="JuHalpha"/>
    <w:next w:val="JuPara"/>
    <w:uiPriority w:val="99"/>
    <w:rsid w:val="008901C4"/>
    <w:pPr>
      <w:tabs>
        <w:tab w:val="clear" w:pos="1372"/>
      </w:tabs>
      <w:ind w:left="1236" w:firstLine="0"/>
    </w:pPr>
    <w:rPr>
      <w:i/>
    </w:rPr>
  </w:style>
  <w:style w:type="paragraph" w:customStyle="1" w:styleId="JuHalpha">
    <w:name w:val="Ju_H_alpha"/>
    <w:basedOn w:val="JuHi"/>
    <w:next w:val="JuPara"/>
    <w:uiPriority w:val="99"/>
    <w:rsid w:val="008901C4"/>
    <w:pPr>
      <w:tabs>
        <w:tab w:val="clear" w:pos="1191"/>
        <w:tab w:val="left" w:pos="1372"/>
      </w:tabs>
      <w:ind w:left="1373" w:hanging="335"/>
    </w:pPr>
    <w:rPr>
      <w:i w:val="0"/>
    </w:rPr>
  </w:style>
  <w:style w:type="paragraph" w:customStyle="1" w:styleId="JuLista">
    <w:name w:val="Ju_List_a"/>
    <w:basedOn w:val="JuList"/>
    <w:uiPriority w:val="99"/>
    <w:rsid w:val="008901C4"/>
    <w:pPr>
      <w:ind w:left="346" w:firstLine="0"/>
    </w:pPr>
  </w:style>
  <w:style w:type="paragraph" w:customStyle="1" w:styleId="JuListi">
    <w:name w:val="Ju_List_i"/>
    <w:basedOn w:val="JuLista"/>
    <w:uiPriority w:val="99"/>
    <w:rsid w:val="008901C4"/>
    <w:pPr>
      <w:ind w:left="794"/>
    </w:pPr>
  </w:style>
  <w:style w:type="character" w:styleId="Odwoaniedokomentarza">
    <w:name w:val="annotation reference"/>
    <w:basedOn w:val="Domylnaczcionkaakapitu"/>
    <w:uiPriority w:val="99"/>
    <w:semiHidden/>
    <w:rsid w:val="00543640"/>
    <w:rPr>
      <w:rFonts w:cs="Times New Roman"/>
      <w:sz w:val="16"/>
    </w:rPr>
  </w:style>
  <w:style w:type="paragraph" w:customStyle="1" w:styleId="OpiHHead">
    <w:name w:val="Opi_H_Head"/>
    <w:basedOn w:val="JuHHead"/>
    <w:next w:val="OpiPara"/>
    <w:uiPriority w:val="99"/>
    <w:rsid w:val="008901C4"/>
    <w:pPr>
      <w:spacing w:before="0"/>
      <w:jc w:val="center"/>
    </w:pPr>
  </w:style>
  <w:style w:type="paragraph" w:customStyle="1" w:styleId="OpiPara">
    <w:name w:val="Opi_Para"/>
    <w:basedOn w:val="JuPara"/>
    <w:uiPriority w:val="99"/>
    <w:rsid w:val="008901C4"/>
  </w:style>
  <w:style w:type="paragraph" w:customStyle="1" w:styleId="OpiTranslation">
    <w:name w:val="Opi_Translation"/>
    <w:basedOn w:val="OpiHHead"/>
    <w:next w:val="OpiPara"/>
    <w:uiPriority w:val="99"/>
    <w:rsid w:val="008901C4"/>
    <w:rPr>
      <w:i/>
      <w:sz w:val="24"/>
    </w:rPr>
  </w:style>
  <w:style w:type="paragraph" w:customStyle="1" w:styleId="JuInitialled">
    <w:name w:val="Ju_Initialled"/>
    <w:basedOn w:val="JuSigned"/>
    <w:uiPriority w:val="99"/>
    <w:rsid w:val="008901C4"/>
    <w:pPr>
      <w:tabs>
        <w:tab w:val="clear" w:pos="851"/>
      </w:tabs>
      <w:jc w:val="right"/>
    </w:pPr>
  </w:style>
  <w:style w:type="paragraph" w:customStyle="1" w:styleId="JuHeader">
    <w:name w:val="Ju_Header"/>
    <w:basedOn w:val="Nagwek"/>
    <w:uiPriority w:val="99"/>
    <w:rsid w:val="008901C4"/>
  </w:style>
  <w:style w:type="paragraph" w:customStyle="1" w:styleId="DecHTitle">
    <w:name w:val="Dec_H_Title"/>
    <w:basedOn w:val="Normalny"/>
    <w:uiPriority w:val="99"/>
    <w:rsid w:val="008901C4"/>
    <w:pPr>
      <w:spacing w:after="240"/>
      <w:jc w:val="center"/>
    </w:pPr>
    <w:rPr>
      <w:sz w:val="28"/>
    </w:rPr>
  </w:style>
  <w:style w:type="paragraph" w:customStyle="1" w:styleId="DecHCase">
    <w:name w:val="Dec_H_Case"/>
    <w:basedOn w:val="DecHTitle"/>
    <w:next w:val="JuPara"/>
    <w:uiPriority w:val="99"/>
    <w:rsid w:val="008901C4"/>
    <w:rPr>
      <w:sz w:val="24"/>
    </w:rPr>
  </w:style>
  <w:style w:type="paragraph" w:customStyle="1" w:styleId="DecList">
    <w:name w:val="Dec_List"/>
    <w:basedOn w:val="Normalny"/>
    <w:uiPriority w:val="99"/>
    <w:rsid w:val="008901C4"/>
    <w:pPr>
      <w:spacing w:before="240"/>
      <w:ind w:left="284"/>
      <w:jc w:val="both"/>
    </w:pPr>
  </w:style>
  <w:style w:type="paragraph" w:customStyle="1" w:styleId="JuParaSub">
    <w:name w:val="Ju_Para_Sub"/>
    <w:basedOn w:val="JuPara"/>
    <w:uiPriority w:val="99"/>
    <w:rsid w:val="008901C4"/>
    <w:pPr>
      <w:ind w:left="284"/>
    </w:pPr>
    <w:rPr>
      <w:szCs w:val="24"/>
    </w:rPr>
  </w:style>
  <w:style w:type="paragraph" w:customStyle="1" w:styleId="JuQuotSub">
    <w:name w:val="Ju_Quot_Sub"/>
    <w:basedOn w:val="JuQuot"/>
    <w:uiPriority w:val="99"/>
    <w:rsid w:val="008901C4"/>
    <w:pPr>
      <w:ind w:left="567"/>
    </w:pPr>
  </w:style>
  <w:style w:type="paragraph" w:styleId="Tekstdymka">
    <w:name w:val="Balloon Text"/>
    <w:basedOn w:val="Normalny"/>
    <w:link w:val="TekstdymkaZnak"/>
    <w:uiPriority w:val="99"/>
    <w:semiHidden/>
    <w:rsid w:val="00283F8B"/>
    <w:rPr>
      <w:rFonts w:ascii="Tahoma" w:hAnsi="Tahoma" w:cs="Tahoma"/>
      <w:sz w:val="16"/>
      <w:szCs w:val="16"/>
    </w:rPr>
  </w:style>
  <w:style w:type="character" w:customStyle="1" w:styleId="TekstdymkaZnak">
    <w:name w:val="Tekst dymka Znak"/>
    <w:basedOn w:val="Domylnaczcionkaakapitu"/>
    <w:link w:val="Tekstdymka"/>
    <w:uiPriority w:val="99"/>
    <w:semiHidden/>
    <w:rsid w:val="0057114B"/>
    <w:rPr>
      <w:sz w:val="0"/>
      <w:szCs w:val="0"/>
      <w:lang w:val="en-GB" w:eastAsia="fr-FR"/>
    </w:rPr>
  </w:style>
  <w:style w:type="paragraph" w:customStyle="1" w:styleId="PJuPara">
    <w:name w:val="P_Ju_Para"/>
    <w:basedOn w:val="Normalny"/>
    <w:uiPriority w:val="99"/>
    <w:rsid w:val="008901C4"/>
    <w:pPr>
      <w:ind w:firstLine="284"/>
      <w:jc w:val="both"/>
    </w:pPr>
  </w:style>
  <w:style w:type="paragraph" w:customStyle="1" w:styleId="PJuQuot">
    <w:name w:val="P_Ju_Quot"/>
    <w:basedOn w:val="Normalny"/>
    <w:uiPriority w:val="99"/>
    <w:rsid w:val="008901C4"/>
    <w:pPr>
      <w:spacing w:before="120" w:after="120"/>
      <w:ind w:left="403" w:firstLine="176"/>
      <w:jc w:val="both"/>
    </w:pPr>
    <w:rPr>
      <w:sz w:val="20"/>
    </w:rPr>
  </w:style>
  <w:style w:type="paragraph" w:customStyle="1" w:styleId="OpiHA">
    <w:name w:val="Opi_H_A"/>
    <w:basedOn w:val="JuHIRoman"/>
    <w:next w:val="OpiPara"/>
    <w:uiPriority w:val="99"/>
    <w:rsid w:val="008901C4"/>
    <w:pPr>
      <w:tabs>
        <w:tab w:val="clear" w:pos="357"/>
      </w:tabs>
    </w:pPr>
    <w:rPr>
      <w:b/>
    </w:rPr>
  </w:style>
  <w:style w:type="paragraph" w:customStyle="1" w:styleId="OpiH1">
    <w:name w:val="Opi_H_1."/>
    <w:basedOn w:val="OpiHA"/>
    <w:next w:val="OpiPara"/>
    <w:uiPriority w:val="99"/>
    <w:rsid w:val="008901C4"/>
    <w:pPr>
      <w:spacing w:before="240" w:after="120"/>
      <w:ind w:left="635"/>
    </w:pPr>
    <w:rPr>
      <w:b w:val="0"/>
      <w:i/>
    </w:rPr>
  </w:style>
  <w:style w:type="paragraph" w:customStyle="1" w:styleId="OpiHa0">
    <w:name w:val="Opi_H_a"/>
    <w:basedOn w:val="OpiH1"/>
    <w:next w:val="OpiPara"/>
    <w:uiPriority w:val="99"/>
    <w:rsid w:val="008901C4"/>
    <w:pPr>
      <w:ind w:left="834"/>
    </w:pPr>
    <w:rPr>
      <w:b/>
      <w:i w:val="0"/>
      <w:sz w:val="20"/>
    </w:rPr>
  </w:style>
  <w:style w:type="paragraph" w:customStyle="1" w:styleId="OpiHi">
    <w:name w:val="Opi_H_i"/>
    <w:basedOn w:val="OpiHa0"/>
    <w:next w:val="OpiPara"/>
    <w:uiPriority w:val="99"/>
    <w:rsid w:val="008901C4"/>
    <w:pPr>
      <w:ind w:left="1038"/>
    </w:pPr>
    <w:rPr>
      <w:b w:val="0"/>
      <w:i/>
    </w:rPr>
  </w:style>
  <w:style w:type="paragraph" w:customStyle="1" w:styleId="PListArticleSubject">
    <w:name w:val="P_List_ArticleSubject"/>
    <w:basedOn w:val="Normalny"/>
    <w:uiPriority w:val="99"/>
    <w:rsid w:val="008901C4"/>
    <w:pPr>
      <w:tabs>
        <w:tab w:val="left" w:pos="2977"/>
      </w:tabs>
      <w:ind w:left="2977" w:hanging="2977"/>
    </w:pPr>
  </w:style>
  <w:style w:type="paragraph" w:customStyle="1" w:styleId="OpiQuot">
    <w:name w:val="Opi_Quot"/>
    <w:basedOn w:val="JuQuot"/>
    <w:uiPriority w:val="99"/>
    <w:rsid w:val="008901C4"/>
  </w:style>
  <w:style w:type="paragraph" w:customStyle="1" w:styleId="SuCoverTitle1">
    <w:name w:val="Su_Cover_Title1"/>
    <w:basedOn w:val="Normalny"/>
    <w:next w:val="SuCoverTitle2"/>
    <w:uiPriority w:val="99"/>
    <w:rsid w:val="008901C4"/>
    <w:pPr>
      <w:spacing w:before="2500"/>
      <w:jc w:val="center"/>
    </w:pPr>
    <w:rPr>
      <w:sz w:val="22"/>
    </w:rPr>
  </w:style>
  <w:style w:type="paragraph" w:customStyle="1" w:styleId="SuCoverTitle2">
    <w:name w:val="Su_Cover_Title2"/>
    <w:basedOn w:val="SuCoverTitle1"/>
    <w:next w:val="Normalny"/>
    <w:uiPriority w:val="99"/>
    <w:rsid w:val="008901C4"/>
    <w:pPr>
      <w:spacing w:before="240"/>
    </w:pPr>
    <w:rPr>
      <w:sz w:val="18"/>
    </w:rPr>
  </w:style>
  <w:style w:type="paragraph" w:customStyle="1" w:styleId="SuPara">
    <w:name w:val="Su_Para"/>
    <w:basedOn w:val="SuKeywords"/>
    <w:uiPriority w:val="99"/>
    <w:rsid w:val="008901C4"/>
    <w:pPr>
      <w:spacing w:before="0" w:after="0"/>
    </w:pPr>
    <w:rPr>
      <w:i w:val="0"/>
    </w:rPr>
  </w:style>
  <w:style w:type="paragraph" w:customStyle="1" w:styleId="SuKeywords">
    <w:name w:val="Su_Keywords"/>
    <w:basedOn w:val="SuHHead"/>
    <w:uiPriority w:val="99"/>
    <w:rsid w:val="008901C4"/>
    <w:pPr>
      <w:spacing w:before="120"/>
    </w:pPr>
    <w:rPr>
      <w:b w:val="0"/>
      <w:i/>
    </w:rPr>
  </w:style>
  <w:style w:type="paragraph" w:customStyle="1" w:styleId="SuHHead">
    <w:name w:val="Su_H_Head"/>
    <w:basedOn w:val="SuSubject"/>
    <w:uiPriority w:val="99"/>
    <w:rsid w:val="008901C4"/>
    <w:pPr>
      <w:spacing w:after="120"/>
    </w:pPr>
  </w:style>
  <w:style w:type="paragraph" w:customStyle="1" w:styleId="SuSubject">
    <w:name w:val="Su_Subject"/>
    <w:basedOn w:val="SuSummary"/>
    <w:uiPriority w:val="99"/>
    <w:rsid w:val="008901C4"/>
    <w:pPr>
      <w:spacing w:before="360"/>
      <w:jc w:val="both"/>
    </w:pPr>
    <w:rPr>
      <w:b/>
      <w:sz w:val="22"/>
    </w:rPr>
  </w:style>
  <w:style w:type="paragraph" w:customStyle="1" w:styleId="SuSummary">
    <w:name w:val="Su_Summary"/>
    <w:basedOn w:val="Normalny"/>
    <w:next w:val="SuSubject"/>
    <w:uiPriority w:val="99"/>
    <w:rsid w:val="008901C4"/>
    <w:pPr>
      <w:spacing w:after="240"/>
      <w:jc w:val="center"/>
    </w:pPr>
  </w:style>
  <w:style w:type="paragraph" w:customStyle="1" w:styleId="PListCaseNo">
    <w:name w:val="P_List_CaseNo"/>
    <w:basedOn w:val="Normalny"/>
    <w:uiPriority w:val="99"/>
    <w:rsid w:val="008901C4"/>
    <w:pPr>
      <w:tabs>
        <w:tab w:val="left" w:pos="1276"/>
      </w:tabs>
      <w:spacing w:line="288" w:lineRule="auto"/>
      <w:ind w:left="1276" w:hanging="1276"/>
    </w:pPr>
  </w:style>
  <w:style w:type="paragraph" w:customStyle="1" w:styleId="PListCases">
    <w:name w:val="P_List_Cases"/>
    <w:basedOn w:val="Normalny"/>
    <w:uiPriority w:val="99"/>
    <w:rsid w:val="008901C4"/>
    <w:pPr>
      <w:spacing w:line="288" w:lineRule="auto"/>
    </w:pPr>
  </w:style>
  <w:style w:type="paragraph" w:customStyle="1" w:styleId="PTextIntro">
    <w:name w:val="P_Text_Intro"/>
    <w:basedOn w:val="Normalny"/>
    <w:uiPriority w:val="99"/>
    <w:rsid w:val="008901C4"/>
    <w:pPr>
      <w:jc w:val="both"/>
    </w:pPr>
    <w:rPr>
      <w:i/>
      <w:sz w:val="20"/>
    </w:rPr>
  </w:style>
  <w:style w:type="paragraph" w:customStyle="1" w:styleId="PTitleCover">
    <w:name w:val="P_Title_Cover"/>
    <w:basedOn w:val="Normalny"/>
    <w:uiPriority w:val="99"/>
    <w:rsid w:val="008901C4"/>
    <w:pPr>
      <w:spacing w:before="2500"/>
      <w:jc w:val="center"/>
    </w:pPr>
    <w:rPr>
      <w:b/>
      <w:smallCaps/>
      <w:sz w:val="30"/>
    </w:rPr>
  </w:style>
  <w:style w:type="paragraph" w:customStyle="1" w:styleId="PTitle1Alpha">
    <w:name w:val="P_Title1_Alpha"/>
    <w:basedOn w:val="Normalny"/>
    <w:next w:val="Normalny"/>
    <w:uiPriority w:val="99"/>
    <w:rsid w:val="008901C4"/>
    <w:pPr>
      <w:spacing w:after="120"/>
      <w:jc w:val="center"/>
    </w:pPr>
    <w:rPr>
      <w:b/>
      <w:smallCaps/>
      <w:sz w:val="30"/>
    </w:rPr>
  </w:style>
  <w:style w:type="paragraph" w:customStyle="1" w:styleId="PTitle1IndexArticle">
    <w:name w:val="P_Title1_IndexArticle"/>
    <w:basedOn w:val="Normalny"/>
    <w:uiPriority w:val="99"/>
    <w:rsid w:val="008901C4"/>
    <w:pPr>
      <w:spacing w:after="120"/>
      <w:jc w:val="center"/>
    </w:pPr>
    <w:rPr>
      <w:b/>
      <w:smallCaps/>
      <w:sz w:val="30"/>
    </w:rPr>
  </w:style>
  <w:style w:type="paragraph" w:customStyle="1" w:styleId="PTitle1IndexKey">
    <w:name w:val="P_Title1_IndexKey"/>
    <w:basedOn w:val="Normalny"/>
    <w:uiPriority w:val="99"/>
    <w:rsid w:val="008901C4"/>
    <w:pPr>
      <w:spacing w:after="600"/>
      <w:jc w:val="center"/>
    </w:pPr>
    <w:rPr>
      <w:b/>
      <w:smallCaps/>
      <w:sz w:val="30"/>
    </w:rPr>
  </w:style>
  <w:style w:type="paragraph" w:customStyle="1" w:styleId="PTitle1Num">
    <w:name w:val="P_Title1_Num"/>
    <w:basedOn w:val="Normalny"/>
    <w:next w:val="PListCaseNo"/>
    <w:uiPriority w:val="99"/>
    <w:rsid w:val="008901C4"/>
    <w:pPr>
      <w:spacing w:after="720"/>
      <w:jc w:val="center"/>
    </w:pPr>
    <w:rPr>
      <w:b/>
      <w:smallCaps/>
      <w:sz w:val="30"/>
    </w:rPr>
  </w:style>
  <w:style w:type="paragraph" w:customStyle="1" w:styleId="PTitle2Country">
    <w:name w:val="P_Title2_Country"/>
    <w:basedOn w:val="Normalny"/>
    <w:next w:val="PListCases"/>
    <w:uiPriority w:val="99"/>
    <w:rsid w:val="008901C4"/>
    <w:pPr>
      <w:keepNext/>
      <w:keepLines/>
      <w:spacing w:before="600" w:after="360"/>
    </w:pPr>
    <w:rPr>
      <w:b/>
    </w:rPr>
  </w:style>
  <w:style w:type="paragraph" w:customStyle="1" w:styleId="PTitle2Letters">
    <w:name w:val="P_Title2_Letters"/>
    <w:basedOn w:val="Normalny"/>
    <w:next w:val="PListCases"/>
    <w:uiPriority w:val="99"/>
    <w:rsid w:val="008901C4"/>
    <w:pPr>
      <w:keepNext/>
      <w:keepLines/>
      <w:spacing w:before="600" w:after="360"/>
    </w:pPr>
    <w:rPr>
      <w:b/>
      <w:sz w:val="28"/>
    </w:rPr>
  </w:style>
  <w:style w:type="paragraph" w:customStyle="1" w:styleId="PTitle2Part">
    <w:name w:val="P_Title2_Part"/>
    <w:basedOn w:val="Normalny"/>
    <w:uiPriority w:val="99"/>
    <w:rsid w:val="008901C4"/>
    <w:pPr>
      <w:keepNext/>
      <w:keepLines/>
      <w:spacing w:before="600" w:after="240"/>
      <w:jc w:val="center"/>
    </w:pPr>
    <w:rPr>
      <w:b/>
      <w:caps/>
    </w:rPr>
  </w:style>
  <w:style w:type="paragraph" w:customStyle="1" w:styleId="PTitle3Article">
    <w:name w:val="P_Title3_Article"/>
    <w:basedOn w:val="Normalny"/>
    <w:uiPriority w:val="99"/>
    <w:rsid w:val="008901C4"/>
    <w:pPr>
      <w:keepNext/>
      <w:keepLines/>
      <w:spacing w:before="360" w:after="120"/>
      <w:jc w:val="center"/>
    </w:pPr>
    <w:rPr>
      <w:b/>
      <w:smallCaps/>
      <w:sz w:val="22"/>
    </w:rPr>
  </w:style>
  <w:style w:type="paragraph" w:customStyle="1" w:styleId="PTitle4ArticleSub">
    <w:name w:val="P_Title4_Article_Sub"/>
    <w:basedOn w:val="PTitle3Article"/>
    <w:uiPriority w:val="99"/>
    <w:rsid w:val="008901C4"/>
    <w:pPr>
      <w:spacing w:before="240"/>
    </w:pPr>
    <w:rPr>
      <w:smallCaps w:val="0"/>
      <w:sz w:val="20"/>
    </w:rPr>
  </w:style>
  <w:style w:type="paragraph" w:customStyle="1" w:styleId="PTitle5Subject">
    <w:name w:val="P_Title5_Subject"/>
    <w:basedOn w:val="Normalny"/>
    <w:uiPriority w:val="99"/>
    <w:rsid w:val="008901C4"/>
    <w:pPr>
      <w:keepNext/>
      <w:keepLines/>
      <w:spacing w:before="240" w:after="120"/>
      <w:jc w:val="both"/>
    </w:pPr>
    <w:rPr>
      <w:b/>
      <w:i/>
    </w:rPr>
  </w:style>
  <w:style w:type="paragraph" w:customStyle="1" w:styleId="PTitle6SubjectSub">
    <w:name w:val="P_Title6_Subject_Sub"/>
    <w:basedOn w:val="Normalny"/>
    <w:uiPriority w:val="99"/>
    <w:rsid w:val="008901C4"/>
    <w:pPr>
      <w:keepNext/>
      <w:keepLines/>
      <w:spacing w:before="240" w:after="120"/>
      <w:ind w:left="284"/>
      <w:jc w:val="both"/>
    </w:pPr>
    <w:rPr>
      <w:b/>
      <w:sz w:val="20"/>
    </w:rPr>
  </w:style>
  <w:style w:type="paragraph" w:customStyle="1" w:styleId="PTitle7CaseName">
    <w:name w:val="P_Title7_CaseName"/>
    <w:basedOn w:val="Normalny"/>
    <w:uiPriority w:val="99"/>
    <w:rsid w:val="008901C4"/>
    <w:pPr>
      <w:keepLines/>
      <w:spacing w:after="240"/>
      <w:jc w:val="right"/>
    </w:pPr>
    <w:rPr>
      <w:sz w:val="22"/>
    </w:rPr>
  </w:style>
  <w:style w:type="paragraph" w:customStyle="1" w:styleId="OpiParaSub">
    <w:name w:val="Opi_Para_Sub"/>
    <w:basedOn w:val="JuParaSub"/>
    <w:uiPriority w:val="99"/>
    <w:rsid w:val="008901C4"/>
  </w:style>
  <w:style w:type="paragraph" w:customStyle="1" w:styleId="OpiQuotSub">
    <w:name w:val="Opi_Quot_Sub"/>
    <w:basedOn w:val="JuQuotSub"/>
    <w:uiPriority w:val="99"/>
    <w:rsid w:val="008901C4"/>
  </w:style>
  <w:style w:type="character" w:customStyle="1" w:styleId="JuSignedChar">
    <w:name w:val="Ju_Signed Char"/>
    <w:link w:val="JuSigned"/>
    <w:uiPriority w:val="99"/>
    <w:locked/>
    <w:rsid w:val="000E4CBF"/>
    <w:rPr>
      <w:sz w:val="24"/>
      <w:lang w:val="en-GB" w:eastAsia="fr-FR"/>
    </w:rPr>
  </w:style>
  <w:style w:type="paragraph" w:customStyle="1" w:styleId="NormalJustified">
    <w:name w:val="Normal_Justified"/>
    <w:basedOn w:val="Normalny"/>
    <w:uiPriority w:val="99"/>
    <w:rsid w:val="008901C4"/>
    <w:pPr>
      <w:jc w:val="both"/>
    </w:pPr>
  </w:style>
  <w:style w:type="character" w:customStyle="1" w:styleId="JuJudgesChar">
    <w:name w:val="Ju_Judges Char"/>
    <w:link w:val="JuJudges"/>
    <w:uiPriority w:val="99"/>
    <w:locked/>
    <w:rsid w:val="00DB26CC"/>
    <w:rPr>
      <w:sz w:val="24"/>
      <w:lang w:val="en-GB" w:eastAsia="fr-FR"/>
    </w:rPr>
  </w:style>
  <w:style w:type="character" w:styleId="Hipercze">
    <w:name w:val="Hyperlink"/>
    <w:basedOn w:val="Domylnaczcionkaakapitu"/>
    <w:uiPriority w:val="99"/>
    <w:rsid w:val="00DF09D7"/>
    <w:rPr>
      <w:rFonts w:cs="Times New Roman"/>
      <w:color w:val="0000FF"/>
      <w:u w:val="single"/>
    </w:rPr>
  </w:style>
  <w:style w:type="paragraph" w:customStyle="1" w:styleId="JuParaCharCharCharCharCharCharChar">
    <w:name w:val="Ju_Para Char Char Char Char Char Char Char"/>
    <w:basedOn w:val="Normalny"/>
    <w:uiPriority w:val="99"/>
    <w:rsid w:val="00F13B5A"/>
    <w:pPr>
      <w:ind w:firstLine="284"/>
      <w:jc w:val="both"/>
    </w:pPr>
    <w:rPr>
      <w:szCs w:val="24"/>
      <w:lang w:val="fr-FR"/>
    </w:rPr>
  </w:style>
  <w:style w:type="paragraph" w:customStyle="1" w:styleId="JuParaChar">
    <w:name w:val="Ju_Para Char"/>
    <w:basedOn w:val="Normalny"/>
    <w:link w:val="JuParaCharChar1"/>
    <w:uiPriority w:val="99"/>
    <w:rsid w:val="00F13B5A"/>
    <w:pPr>
      <w:ind w:firstLine="284"/>
      <w:jc w:val="both"/>
    </w:pPr>
    <w:rPr>
      <w:lang w:eastAsia="en-US"/>
    </w:rPr>
  </w:style>
  <w:style w:type="character" w:customStyle="1" w:styleId="JuParaCharChar1">
    <w:name w:val="Ju_Para Char Char1"/>
    <w:link w:val="JuParaChar"/>
    <w:uiPriority w:val="99"/>
    <w:locked/>
    <w:rsid w:val="00F13B5A"/>
    <w:rPr>
      <w:sz w:val="24"/>
      <w:lang w:val="en-GB" w:eastAsia="en-US"/>
    </w:rPr>
  </w:style>
  <w:style w:type="paragraph" w:customStyle="1" w:styleId="JuParaCharChar">
    <w:name w:val="Ju_Para Char Char"/>
    <w:basedOn w:val="Normalny"/>
    <w:uiPriority w:val="99"/>
    <w:rsid w:val="00F13B5A"/>
    <w:pPr>
      <w:ind w:firstLine="284"/>
      <w:jc w:val="both"/>
    </w:pPr>
    <w:rPr>
      <w:lang w:val="fr-FR"/>
    </w:rPr>
  </w:style>
  <w:style w:type="character" w:customStyle="1" w:styleId="JuParaCar">
    <w:name w:val="Ju_Para Car"/>
    <w:link w:val="JuPara"/>
    <w:uiPriority w:val="99"/>
    <w:locked/>
    <w:rsid w:val="00712F3B"/>
    <w:rPr>
      <w:sz w:val="24"/>
      <w:lang w:val="en-GB" w:eastAsia="fr-FR"/>
    </w:rPr>
  </w:style>
  <w:style w:type="character" w:customStyle="1" w:styleId="JuQuotChar">
    <w:name w:val="Ju_Quot Char"/>
    <w:basedOn w:val="JuParaCar"/>
    <w:link w:val="JuQuot"/>
    <w:uiPriority w:val="99"/>
    <w:locked/>
    <w:rsid w:val="000D679C"/>
    <w:rPr>
      <w:rFonts w:cs="Times New Roman"/>
      <w:sz w:val="24"/>
      <w:lang w:val="en-GB" w:eastAsia="fr-FR" w:bidi="ar-SA"/>
    </w:rPr>
  </w:style>
  <w:style w:type="character" w:customStyle="1" w:styleId="JuHHeadChar">
    <w:name w:val="Ju_H_Head Char"/>
    <w:link w:val="JuHHead"/>
    <w:uiPriority w:val="99"/>
    <w:locked/>
    <w:rsid w:val="00030410"/>
    <w:rPr>
      <w:sz w:val="28"/>
      <w:lang w:val="en-GB" w:eastAsia="fr-FR"/>
    </w:rPr>
  </w:style>
  <w:style w:type="character" w:customStyle="1" w:styleId="JuHIRomanChar">
    <w:name w:val="Ju_H_I_Roman Char"/>
    <w:link w:val="JuHIRoman"/>
    <w:uiPriority w:val="99"/>
    <w:locked/>
    <w:rsid w:val="00030410"/>
    <w:rPr>
      <w:sz w:val="24"/>
      <w:lang w:val="en-GB" w:eastAsia="fr-FR"/>
    </w:rPr>
  </w:style>
  <w:style w:type="character" w:customStyle="1" w:styleId="JuHAChar">
    <w:name w:val="Ju_H_A Char"/>
    <w:link w:val="JuHA"/>
    <w:uiPriority w:val="99"/>
    <w:locked/>
    <w:rsid w:val="00030410"/>
    <w:rPr>
      <w:b/>
      <w:sz w:val="24"/>
      <w:lang w:val="en-GB" w:eastAsia="fr-FR"/>
    </w:rPr>
  </w:style>
  <w:style w:type="character" w:customStyle="1" w:styleId="JuH1Char">
    <w:name w:val="Ju_H_1. Char"/>
    <w:link w:val="JuH1"/>
    <w:uiPriority w:val="99"/>
    <w:locked/>
    <w:rsid w:val="00030410"/>
    <w:rPr>
      <w:b/>
      <w:i/>
      <w:sz w:val="24"/>
      <w:lang w:val="en-GB" w:eastAsia="fr-FR"/>
    </w:rPr>
  </w:style>
  <w:style w:type="character" w:customStyle="1" w:styleId="JuHaChar0">
    <w:name w:val="Ju_H_a Char"/>
    <w:link w:val="JuHa0"/>
    <w:uiPriority w:val="99"/>
    <w:locked/>
    <w:rsid w:val="00030410"/>
    <w:rPr>
      <w:b/>
      <w:i/>
      <w:sz w:val="24"/>
      <w:lang w:val="en-GB" w:eastAsia="fr-FR"/>
    </w:rPr>
  </w:style>
  <w:style w:type="character" w:customStyle="1" w:styleId="JuHiChar">
    <w:name w:val="Ju_H_i Char"/>
    <w:basedOn w:val="JuHaChar0"/>
    <w:link w:val="JuHi"/>
    <w:uiPriority w:val="99"/>
    <w:locked/>
    <w:rsid w:val="0082724A"/>
    <w:rPr>
      <w:rFonts w:cs="Times New Roman"/>
      <w:b/>
      <w:i/>
      <w:sz w:val="24"/>
      <w:lang w:val="en-GB" w:eastAsia="fr-FR" w:bidi="ar-SA"/>
    </w:rPr>
  </w:style>
  <w:style w:type="paragraph" w:styleId="Poprawka">
    <w:name w:val="Revision"/>
    <w:hidden/>
    <w:uiPriority w:val="99"/>
    <w:semiHidden/>
    <w:rsid w:val="007549E5"/>
    <w:rPr>
      <w:sz w:val="24"/>
      <w:szCs w:val="20"/>
      <w:lang w:val="en-GB" w:eastAsia="fr-FR"/>
    </w:rPr>
  </w:style>
  <w:style w:type="paragraph" w:styleId="Bibliografia">
    <w:name w:val="Bibliography"/>
    <w:basedOn w:val="Normalny"/>
    <w:next w:val="Normalny"/>
    <w:uiPriority w:val="99"/>
    <w:semiHidden/>
    <w:rsid w:val="00677FEF"/>
  </w:style>
  <w:style w:type="paragraph" w:styleId="Tekstblokowy">
    <w:name w:val="Block Text"/>
    <w:basedOn w:val="Normalny"/>
    <w:uiPriority w:val="99"/>
    <w:rsid w:val="00677FEF"/>
    <w:pPr>
      <w:spacing w:after="120"/>
      <w:ind w:left="1440" w:right="1440"/>
    </w:pPr>
  </w:style>
  <w:style w:type="paragraph" w:styleId="Tekstpodstawowy">
    <w:name w:val="Body Text"/>
    <w:basedOn w:val="Normalny"/>
    <w:link w:val="TekstpodstawowyZnak"/>
    <w:uiPriority w:val="99"/>
    <w:rsid w:val="00677FEF"/>
    <w:pPr>
      <w:spacing w:after="120"/>
    </w:pPr>
  </w:style>
  <w:style w:type="character" w:customStyle="1" w:styleId="TekstpodstawowyZnak">
    <w:name w:val="Tekst podstawowy Znak"/>
    <w:basedOn w:val="Domylnaczcionkaakapitu"/>
    <w:link w:val="Tekstpodstawowy"/>
    <w:uiPriority w:val="99"/>
    <w:locked/>
    <w:rsid w:val="00677FEF"/>
    <w:rPr>
      <w:sz w:val="24"/>
      <w:lang w:val="en-GB" w:eastAsia="fr-FR"/>
    </w:rPr>
  </w:style>
  <w:style w:type="paragraph" w:styleId="Tekstpodstawowy2">
    <w:name w:val="Body Text 2"/>
    <w:basedOn w:val="Normalny"/>
    <w:link w:val="Tekstpodstawowy2Znak"/>
    <w:uiPriority w:val="99"/>
    <w:rsid w:val="00677FEF"/>
    <w:pPr>
      <w:spacing w:after="120" w:line="480" w:lineRule="auto"/>
    </w:pPr>
  </w:style>
  <w:style w:type="character" w:customStyle="1" w:styleId="Tekstpodstawowy2Znak">
    <w:name w:val="Tekst podstawowy 2 Znak"/>
    <w:basedOn w:val="Domylnaczcionkaakapitu"/>
    <w:link w:val="Tekstpodstawowy2"/>
    <w:uiPriority w:val="99"/>
    <w:locked/>
    <w:rsid w:val="00677FEF"/>
    <w:rPr>
      <w:sz w:val="24"/>
      <w:lang w:val="en-GB" w:eastAsia="fr-FR"/>
    </w:rPr>
  </w:style>
  <w:style w:type="paragraph" w:styleId="Tekstpodstawowy3">
    <w:name w:val="Body Text 3"/>
    <w:basedOn w:val="Normalny"/>
    <w:link w:val="Tekstpodstawowy3Znak"/>
    <w:uiPriority w:val="99"/>
    <w:rsid w:val="00677FEF"/>
    <w:pPr>
      <w:spacing w:after="120"/>
    </w:pPr>
    <w:rPr>
      <w:sz w:val="16"/>
      <w:szCs w:val="16"/>
    </w:rPr>
  </w:style>
  <w:style w:type="character" w:customStyle="1" w:styleId="Tekstpodstawowy3Znak">
    <w:name w:val="Tekst podstawowy 3 Znak"/>
    <w:basedOn w:val="Domylnaczcionkaakapitu"/>
    <w:link w:val="Tekstpodstawowy3"/>
    <w:uiPriority w:val="99"/>
    <w:locked/>
    <w:rsid w:val="00677FEF"/>
    <w:rPr>
      <w:sz w:val="16"/>
      <w:lang w:val="en-GB" w:eastAsia="fr-FR"/>
    </w:rPr>
  </w:style>
  <w:style w:type="paragraph" w:styleId="Tekstpodstawowyzwciciem">
    <w:name w:val="Body Text First Indent"/>
    <w:basedOn w:val="Tekstpodstawowy"/>
    <w:link w:val="TekstpodstawowyzwciciemZnak"/>
    <w:uiPriority w:val="99"/>
    <w:rsid w:val="00677FEF"/>
    <w:pPr>
      <w:ind w:firstLine="210"/>
    </w:pPr>
  </w:style>
  <w:style w:type="character" w:customStyle="1" w:styleId="TekstpodstawowyzwciciemZnak">
    <w:name w:val="Tekst podstawowy z wcięciem Znak"/>
    <w:basedOn w:val="TekstpodstawowyZnak"/>
    <w:link w:val="Tekstpodstawowyzwciciem"/>
    <w:uiPriority w:val="99"/>
    <w:locked/>
    <w:rsid w:val="00677FEF"/>
    <w:rPr>
      <w:rFonts w:cs="Times New Roman"/>
      <w:sz w:val="24"/>
      <w:lang w:val="en-GB" w:eastAsia="fr-FR"/>
    </w:rPr>
  </w:style>
  <w:style w:type="paragraph" w:styleId="Tekstpodstawowywcity">
    <w:name w:val="Body Text Indent"/>
    <w:basedOn w:val="Normalny"/>
    <w:link w:val="TekstpodstawowywcityZnak"/>
    <w:uiPriority w:val="99"/>
    <w:rsid w:val="00677FEF"/>
    <w:pPr>
      <w:spacing w:after="120"/>
      <w:ind w:left="283"/>
    </w:pPr>
  </w:style>
  <w:style w:type="character" w:customStyle="1" w:styleId="TekstpodstawowywcityZnak">
    <w:name w:val="Tekst podstawowy wcięty Znak"/>
    <w:basedOn w:val="Domylnaczcionkaakapitu"/>
    <w:link w:val="Tekstpodstawowywcity"/>
    <w:uiPriority w:val="99"/>
    <w:locked/>
    <w:rsid w:val="00677FEF"/>
    <w:rPr>
      <w:sz w:val="24"/>
      <w:lang w:val="en-GB" w:eastAsia="fr-FR"/>
    </w:rPr>
  </w:style>
  <w:style w:type="paragraph" w:styleId="Tekstpodstawowyzwciciem2">
    <w:name w:val="Body Text First Indent 2"/>
    <w:basedOn w:val="Tekstpodstawowywcity"/>
    <w:link w:val="Tekstpodstawowyzwciciem2Znak"/>
    <w:uiPriority w:val="99"/>
    <w:rsid w:val="00677FEF"/>
    <w:pPr>
      <w:ind w:firstLine="210"/>
    </w:pPr>
  </w:style>
  <w:style w:type="character" w:customStyle="1" w:styleId="Tekstpodstawowyzwciciem2Znak">
    <w:name w:val="Tekst podstawowy z wcięciem 2 Znak"/>
    <w:basedOn w:val="TekstpodstawowywcityZnak"/>
    <w:link w:val="Tekstpodstawowyzwciciem2"/>
    <w:uiPriority w:val="99"/>
    <w:locked/>
    <w:rsid w:val="00677FEF"/>
    <w:rPr>
      <w:rFonts w:cs="Times New Roman"/>
      <w:sz w:val="24"/>
      <w:lang w:val="en-GB" w:eastAsia="fr-FR"/>
    </w:rPr>
  </w:style>
  <w:style w:type="paragraph" w:styleId="Tekstpodstawowywcity2">
    <w:name w:val="Body Text Indent 2"/>
    <w:basedOn w:val="Normalny"/>
    <w:link w:val="Tekstpodstawowywcity2Znak"/>
    <w:uiPriority w:val="99"/>
    <w:rsid w:val="00677FEF"/>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677FEF"/>
    <w:rPr>
      <w:sz w:val="24"/>
      <w:lang w:val="en-GB" w:eastAsia="fr-FR"/>
    </w:rPr>
  </w:style>
  <w:style w:type="paragraph" w:styleId="Tekstpodstawowywcity3">
    <w:name w:val="Body Text Indent 3"/>
    <w:basedOn w:val="Normalny"/>
    <w:link w:val="Tekstpodstawowywcity3Znak"/>
    <w:uiPriority w:val="99"/>
    <w:rsid w:val="00677FE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677FEF"/>
    <w:rPr>
      <w:sz w:val="16"/>
      <w:lang w:val="en-GB" w:eastAsia="fr-FR"/>
    </w:rPr>
  </w:style>
  <w:style w:type="character" w:styleId="Tytuksiki">
    <w:name w:val="Book Title"/>
    <w:basedOn w:val="Domylnaczcionkaakapitu"/>
    <w:uiPriority w:val="99"/>
    <w:qFormat/>
    <w:rsid w:val="00677FEF"/>
    <w:rPr>
      <w:b/>
      <w:smallCaps/>
      <w:spacing w:val="5"/>
    </w:rPr>
  </w:style>
  <w:style w:type="paragraph" w:styleId="Legenda">
    <w:name w:val="caption"/>
    <w:basedOn w:val="Normalny"/>
    <w:next w:val="Normalny"/>
    <w:uiPriority w:val="99"/>
    <w:qFormat/>
    <w:rsid w:val="00677FEF"/>
    <w:rPr>
      <w:b/>
      <w:bCs/>
      <w:sz w:val="20"/>
    </w:rPr>
  </w:style>
  <w:style w:type="paragraph" w:styleId="Zwrotpoegnalny">
    <w:name w:val="Closing"/>
    <w:basedOn w:val="Normalny"/>
    <w:link w:val="ZwrotpoegnalnyZnak"/>
    <w:uiPriority w:val="99"/>
    <w:rsid w:val="00677FEF"/>
    <w:pPr>
      <w:ind w:left="4252"/>
    </w:pPr>
  </w:style>
  <w:style w:type="character" w:customStyle="1" w:styleId="ZwrotpoegnalnyZnak">
    <w:name w:val="Zwrot pożegnalny Znak"/>
    <w:basedOn w:val="Domylnaczcionkaakapitu"/>
    <w:link w:val="Zwrotpoegnalny"/>
    <w:uiPriority w:val="99"/>
    <w:locked/>
    <w:rsid w:val="00677FEF"/>
    <w:rPr>
      <w:sz w:val="24"/>
      <w:lang w:val="en-GB" w:eastAsia="fr-FR"/>
    </w:rPr>
  </w:style>
  <w:style w:type="table" w:customStyle="1" w:styleId="Grigliaacolori1">
    <w:name w:val="Griglia a colori1"/>
    <w:uiPriority w:val="99"/>
    <w:rsid w:val="00677FEF"/>
    <w:rPr>
      <w:color w:val="000000"/>
      <w:sz w:val="20"/>
      <w:szCs w:val="20"/>
      <w:lang w:val="it-IT" w:eastAsia="it-IT"/>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Kolorowasiatkaakcent2">
    <w:name w:val="Colorful Grid Accent 2"/>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F2DBDB"/>
    </w:tcPr>
    <w:tblStylePr w:type="firstRow">
      <w:rPr>
        <w:rFonts w:cs="Times New Roman"/>
        <w:b/>
        <w:bCs/>
      </w:rPr>
      <w:tblPr/>
      <w:tcPr>
        <w:shd w:val="clear" w:color="auto" w:fill="E5B8B7"/>
      </w:tcPr>
    </w:tblStylePr>
    <w:tblStylePr w:type="lastRow">
      <w:rPr>
        <w:rFonts w:cs="Times New Roman"/>
        <w:b/>
        <w:bCs/>
        <w:color w:val="000000"/>
      </w:rPr>
      <w:tblPr/>
      <w:tcPr>
        <w:shd w:val="clear" w:color="auto" w:fill="E5B8B7"/>
      </w:tcPr>
    </w:tblStylePr>
    <w:tblStylePr w:type="firstCol">
      <w:rPr>
        <w:rFonts w:cs="Times New Roman"/>
        <w:color w:val="FFFFFF"/>
      </w:rPr>
      <w:tblPr/>
      <w:tcPr>
        <w:shd w:val="clear" w:color="auto" w:fill="943634"/>
      </w:tcPr>
    </w:tblStylePr>
    <w:tblStylePr w:type="lastCol">
      <w:rPr>
        <w:rFonts w:cs="Times New Roman"/>
        <w:color w:val="FFFFFF"/>
      </w:rPr>
      <w:tblPr/>
      <w:tcPr>
        <w:shd w:val="clear" w:color="auto" w:fill="943634"/>
      </w:tcPr>
    </w:tblStylePr>
    <w:tblStylePr w:type="band1Vert">
      <w:rPr>
        <w:rFonts w:cs="Times New Roman"/>
      </w:rPr>
      <w:tblPr/>
      <w:tcPr>
        <w:shd w:val="clear" w:color="auto" w:fill="DFA7A6"/>
      </w:tcPr>
    </w:tblStylePr>
    <w:tblStylePr w:type="band1Horz">
      <w:rPr>
        <w:rFonts w:cs="Times New Roman"/>
      </w:rPr>
      <w:tblPr/>
      <w:tcPr>
        <w:shd w:val="clear" w:color="auto" w:fill="DFA7A6"/>
      </w:tcPr>
    </w:tblStylePr>
  </w:style>
  <w:style w:type="table" w:styleId="Kolorowasiatkaakcent3">
    <w:name w:val="Colorful Grid Accent 3"/>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Kolorowasiatkaakcent4">
    <w:name w:val="Colorful Grid Accent 4"/>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E5DFEC"/>
    </w:tcPr>
    <w:tblStylePr w:type="firstRow">
      <w:rPr>
        <w:rFonts w:cs="Times New Roman"/>
        <w:b/>
        <w:bCs/>
      </w:rPr>
      <w:tblPr/>
      <w:tcPr>
        <w:shd w:val="clear" w:color="auto" w:fill="CCC0D9"/>
      </w:tcPr>
    </w:tblStylePr>
    <w:tblStylePr w:type="lastRow">
      <w:rPr>
        <w:rFonts w:cs="Times New Roman"/>
        <w:b/>
        <w:bCs/>
        <w:color w:val="000000"/>
      </w:rPr>
      <w:tblPr/>
      <w:tcPr>
        <w:shd w:val="clear" w:color="auto" w:fill="CCC0D9"/>
      </w:tcPr>
    </w:tblStylePr>
    <w:tblStylePr w:type="firstCol">
      <w:rPr>
        <w:rFonts w:cs="Times New Roman"/>
        <w:color w:val="FFFFFF"/>
      </w:rPr>
      <w:tblPr/>
      <w:tcPr>
        <w:shd w:val="clear" w:color="auto" w:fill="5F497A"/>
      </w:tcPr>
    </w:tblStylePr>
    <w:tblStylePr w:type="lastCol">
      <w:rPr>
        <w:rFonts w:cs="Times New Roman"/>
        <w:color w:val="FFFFFF"/>
      </w:rPr>
      <w:tblPr/>
      <w:tcPr>
        <w:shd w:val="clear" w:color="auto" w:fill="5F497A"/>
      </w:tcPr>
    </w:tblStylePr>
    <w:tblStylePr w:type="band1Vert">
      <w:rPr>
        <w:rFonts w:cs="Times New Roman"/>
      </w:rPr>
      <w:tblPr/>
      <w:tcPr>
        <w:shd w:val="clear" w:color="auto" w:fill="BFB1D0"/>
      </w:tcPr>
    </w:tblStylePr>
    <w:tblStylePr w:type="band1Horz">
      <w:rPr>
        <w:rFonts w:cs="Times New Roman"/>
      </w:rPr>
      <w:tblPr/>
      <w:tcPr>
        <w:shd w:val="clear" w:color="auto" w:fill="BFB1D0"/>
      </w:tcPr>
    </w:tblStylePr>
  </w:style>
  <w:style w:type="table" w:styleId="Kolorowasiatkaakcent5">
    <w:name w:val="Colorful Grid Accent 5"/>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DAEEF3"/>
    </w:tcPr>
    <w:tblStylePr w:type="firstRow">
      <w:rPr>
        <w:rFonts w:cs="Times New Roman"/>
        <w:b/>
        <w:bCs/>
      </w:rPr>
      <w:tblPr/>
      <w:tcPr>
        <w:shd w:val="clear" w:color="auto" w:fill="B6DDE8"/>
      </w:tcPr>
    </w:tblStylePr>
    <w:tblStylePr w:type="lastRow">
      <w:rPr>
        <w:rFonts w:cs="Times New Roman"/>
        <w:b/>
        <w:bCs/>
        <w:color w:val="000000"/>
      </w:rPr>
      <w:tblPr/>
      <w:tcPr>
        <w:shd w:val="clear" w:color="auto" w:fill="B6DDE8"/>
      </w:tcPr>
    </w:tblStylePr>
    <w:tblStylePr w:type="firstCol">
      <w:rPr>
        <w:rFonts w:cs="Times New Roman"/>
        <w:color w:val="FFFFFF"/>
      </w:rPr>
      <w:tblPr/>
      <w:tcPr>
        <w:shd w:val="clear" w:color="auto" w:fill="31849B"/>
      </w:tcPr>
    </w:tblStylePr>
    <w:tblStylePr w:type="lastCol">
      <w:rPr>
        <w:rFonts w:cs="Times New Roman"/>
        <w:color w:val="FFFFFF"/>
      </w:rPr>
      <w:tblPr/>
      <w:tcPr>
        <w:shd w:val="clear" w:color="auto" w:fill="31849B"/>
      </w:tcPr>
    </w:tblStylePr>
    <w:tblStylePr w:type="band1Vert">
      <w:rPr>
        <w:rFonts w:cs="Times New Roman"/>
      </w:rPr>
      <w:tblPr/>
      <w:tcPr>
        <w:shd w:val="clear" w:color="auto" w:fill="A5D5E2"/>
      </w:tcPr>
    </w:tblStylePr>
    <w:tblStylePr w:type="band1Horz">
      <w:rPr>
        <w:rFonts w:cs="Times New Roman"/>
      </w:rPr>
      <w:tblPr/>
      <w:tcPr>
        <w:shd w:val="clear" w:color="auto" w:fill="A5D5E2"/>
      </w:tcPr>
    </w:tblStylePr>
  </w:style>
  <w:style w:type="table" w:styleId="Kolorowasiatkaakcent6">
    <w:name w:val="Colorful Grid Accent 6"/>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FDE9D9"/>
    </w:tcPr>
    <w:tblStylePr w:type="firstRow">
      <w:rPr>
        <w:rFonts w:cs="Times New Roman"/>
        <w:b/>
        <w:bCs/>
      </w:rPr>
      <w:tblPr/>
      <w:tcPr>
        <w:shd w:val="clear" w:color="auto" w:fill="FBD4B4"/>
      </w:tcPr>
    </w:tblStylePr>
    <w:tblStylePr w:type="lastRow">
      <w:rPr>
        <w:rFonts w:cs="Times New Roman"/>
        <w:b/>
        <w:bCs/>
        <w:color w:val="000000"/>
      </w:rPr>
      <w:tblPr/>
      <w:tcPr>
        <w:shd w:val="clear" w:color="auto" w:fill="FBD4B4"/>
      </w:tcPr>
    </w:tblStylePr>
    <w:tblStylePr w:type="firstCol">
      <w:rPr>
        <w:rFonts w:cs="Times New Roman"/>
        <w:color w:val="FFFFFF"/>
      </w:rPr>
      <w:tblPr/>
      <w:tcPr>
        <w:shd w:val="clear" w:color="auto" w:fill="E36C0A"/>
      </w:tcPr>
    </w:tblStylePr>
    <w:tblStylePr w:type="lastCol">
      <w:rPr>
        <w:rFonts w:cs="Times New Roman"/>
        <w:color w:val="FFFFFF"/>
      </w:rPr>
      <w:tblPr/>
      <w:tcPr>
        <w:shd w:val="clear" w:color="auto" w:fill="E36C0A"/>
      </w:tcPr>
    </w:tblStylePr>
    <w:tblStylePr w:type="band1Vert">
      <w:rPr>
        <w:rFonts w:cs="Times New Roman"/>
      </w:rPr>
      <w:tblPr/>
      <w:tcPr>
        <w:shd w:val="clear" w:color="auto" w:fill="FBCAA2"/>
      </w:tcPr>
    </w:tblStylePr>
    <w:tblStylePr w:type="band1Horz">
      <w:rPr>
        <w:rFonts w:cs="Times New Roman"/>
      </w:rPr>
      <w:tblPr/>
      <w:tcPr>
        <w:shd w:val="clear" w:color="auto" w:fill="FBCAA2"/>
      </w:tcPr>
    </w:tblStylePr>
  </w:style>
  <w:style w:type="table" w:customStyle="1" w:styleId="Elencoacolori1">
    <w:name w:val="Elenco a colori1"/>
    <w:uiPriority w:val="99"/>
    <w:rsid w:val="00677FEF"/>
    <w:rPr>
      <w:color w:val="000000"/>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rsid w:val="00677FEF"/>
    <w:rPr>
      <w:color w:val="000000"/>
      <w:sz w:val="20"/>
      <w:szCs w:val="20"/>
    </w:rPr>
    <w:tblPr>
      <w:tblStyleRowBandSize w:val="1"/>
      <w:tblStyleColBandSize w:val="1"/>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table" w:styleId="Kolorowalistaakcent2">
    <w:name w:val="Colorful List Accent 2"/>
    <w:basedOn w:val="Standardowy"/>
    <w:uiPriority w:val="99"/>
    <w:rsid w:val="00677FEF"/>
    <w:rPr>
      <w:color w:val="000000"/>
      <w:sz w:val="20"/>
      <w:szCs w:val="20"/>
    </w:rPr>
    <w:tblPr>
      <w:tblStyleRowBandSize w:val="1"/>
      <w:tblStyleColBandSize w:val="1"/>
    </w:tblPr>
    <w:tcPr>
      <w:shd w:val="clear" w:color="auto" w:fill="F8EDED"/>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FD3D2"/>
      </w:tcPr>
    </w:tblStylePr>
    <w:tblStylePr w:type="band1Horz">
      <w:rPr>
        <w:rFonts w:cs="Times New Roman"/>
      </w:rPr>
      <w:tblPr/>
      <w:tcPr>
        <w:shd w:val="clear" w:color="auto" w:fill="F2DBDB"/>
      </w:tcPr>
    </w:tblStylePr>
  </w:style>
  <w:style w:type="table" w:styleId="Kolorowalistaakcent3">
    <w:name w:val="Colorful List Accent 3"/>
    <w:basedOn w:val="Standardowy"/>
    <w:uiPriority w:val="99"/>
    <w:rsid w:val="00677FEF"/>
    <w:rPr>
      <w:color w:val="000000"/>
      <w:sz w:val="20"/>
      <w:szCs w:val="20"/>
    </w:rPr>
    <w:tblPr>
      <w:tblStyleRowBandSize w:val="1"/>
      <w:tblStyleColBandSize w:val="1"/>
    </w:tblPr>
    <w:tcPr>
      <w:shd w:val="clear" w:color="auto" w:fill="F5F8EE"/>
    </w:tcPr>
    <w:tblStylePr w:type="firstRow">
      <w:rPr>
        <w:rFonts w:cs="Times New Roman"/>
        <w:b/>
        <w:bCs/>
        <w:color w:val="FFFFFF"/>
      </w:rPr>
      <w:tblPr/>
      <w:tcPr>
        <w:tcBorders>
          <w:bottom w:val="single" w:sz="12" w:space="0" w:color="FFFFFF"/>
        </w:tcBorders>
        <w:shd w:val="clear" w:color="auto" w:fill="664E82"/>
      </w:tcPr>
    </w:tblStylePr>
    <w:tblStylePr w:type="lastRow">
      <w:rPr>
        <w:rFonts w:cs="Times New Roman"/>
        <w:b/>
        <w:bCs/>
        <w:color w:val="664E82"/>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6EED5"/>
      </w:tcPr>
    </w:tblStylePr>
    <w:tblStylePr w:type="band1Horz">
      <w:rPr>
        <w:rFonts w:cs="Times New Roman"/>
      </w:rPr>
      <w:tblPr/>
      <w:tcPr>
        <w:shd w:val="clear" w:color="auto" w:fill="EAF1DD"/>
      </w:tcPr>
    </w:tblStylePr>
  </w:style>
  <w:style w:type="table" w:styleId="Kolorowalistaakcent4">
    <w:name w:val="Colorful List Accent 4"/>
    <w:basedOn w:val="Standardowy"/>
    <w:uiPriority w:val="99"/>
    <w:rsid w:val="00677FEF"/>
    <w:rPr>
      <w:color w:val="000000"/>
      <w:sz w:val="20"/>
      <w:szCs w:val="20"/>
    </w:rPr>
    <w:tblPr>
      <w:tblStyleRowBandSize w:val="1"/>
      <w:tblStyleColBandSize w:val="1"/>
    </w:tblPr>
    <w:tcPr>
      <w:shd w:val="clear" w:color="auto" w:fill="F2EFF6"/>
    </w:tcPr>
    <w:tblStylePr w:type="firstRow">
      <w:rPr>
        <w:rFonts w:cs="Times New Roman"/>
        <w:b/>
        <w:bCs/>
        <w:color w:val="FFFFFF"/>
      </w:rPr>
      <w:tblPr/>
      <w:tcPr>
        <w:tcBorders>
          <w:bottom w:val="single" w:sz="12" w:space="0" w:color="FFFFFF"/>
        </w:tcBorders>
        <w:shd w:val="clear" w:color="auto" w:fill="7E9C40"/>
      </w:tcPr>
    </w:tblStylePr>
    <w:tblStylePr w:type="lastRow">
      <w:rPr>
        <w:rFonts w:cs="Times New Roman"/>
        <w:b/>
        <w:bCs/>
        <w:color w:val="7E9C40"/>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FD8E8"/>
      </w:tcPr>
    </w:tblStylePr>
    <w:tblStylePr w:type="band1Horz">
      <w:rPr>
        <w:rFonts w:cs="Times New Roman"/>
      </w:rPr>
      <w:tblPr/>
      <w:tcPr>
        <w:shd w:val="clear" w:color="auto" w:fill="E5DFEC"/>
      </w:tcPr>
    </w:tblStylePr>
  </w:style>
  <w:style w:type="table" w:styleId="Kolorowalistaakcent5">
    <w:name w:val="Colorful List Accent 5"/>
    <w:basedOn w:val="Standardowy"/>
    <w:uiPriority w:val="99"/>
    <w:rsid w:val="00677FEF"/>
    <w:rPr>
      <w:color w:val="000000"/>
      <w:sz w:val="20"/>
      <w:szCs w:val="20"/>
    </w:rPr>
    <w:tblPr>
      <w:tblStyleRowBandSize w:val="1"/>
      <w:tblStyleColBandSize w:val="1"/>
    </w:tblPr>
    <w:tcPr>
      <w:shd w:val="clear" w:color="auto" w:fill="EDF6F9"/>
    </w:tcPr>
    <w:tblStylePr w:type="firstRow">
      <w:rPr>
        <w:rFonts w:cs="Times New Roman"/>
        <w:b/>
        <w:bCs/>
        <w:color w:val="FFFFFF"/>
      </w:rPr>
      <w:tblPr/>
      <w:tcPr>
        <w:tcBorders>
          <w:bottom w:val="single" w:sz="12" w:space="0" w:color="FFFFFF"/>
        </w:tcBorders>
        <w:shd w:val="clear" w:color="auto" w:fill="F2730A"/>
      </w:tcPr>
    </w:tblStylePr>
    <w:tblStylePr w:type="lastRow">
      <w:rPr>
        <w:rFonts w:cs="Times New Roman"/>
        <w:b/>
        <w:bCs/>
        <w:color w:val="F2730A"/>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2EAF1"/>
      </w:tcPr>
    </w:tblStylePr>
    <w:tblStylePr w:type="band1Horz">
      <w:rPr>
        <w:rFonts w:cs="Times New Roman"/>
      </w:rPr>
      <w:tblPr/>
      <w:tcPr>
        <w:shd w:val="clear" w:color="auto" w:fill="DAEEF3"/>
      </w:tcPr>
    </w:tblStylePr>
  </w:style>
  <w:style w:type="table" w:styleId="Kolorowalistaakcent6">
    <w:name w:val="Colorful List Accent 6"/>
    <w:basedOn w:val="Standardowy"/>
    <w:uiPriority w:val="99"/>
    <w:rsid w:val="00677FEF"/>
    <w:rPr>
      <w:color w:val="000000"/>
      <w:sz w:val="20"/>
      <w:szCs w:val="20"/>
    </w:rPr>
    <w:tblPr>
      <w:tblStyleRowBandSize w:val="1"/>
      <w:tblStyleColBandSize w:val="1"/>
    </w:tblPr>
    <w:tcPr>
      <w:shd w:val="clear" w:color="auto" w:fill="FEF4EC"/>
    </w:tcPr>
    <w:tblStylePr w:type="firstRow">
      <w:rPr>
        <w:rFonts w:cs="Times New Roman"/>
        <w:b/>
        <w:bCs/>
        <w:color w:val="FFFFFF"/>
      </w:rPr>
      <w:tblPr/>
      <w:tcPr>
        <w:tcBorders>
          <w:bottom w:val="single" w:sz="12" w:space="0" w:color="FFFFFF"/>
        </w:tcBorders>
        <w:shd w:val="clear" w:color="auto" w:fill="348DA5"/>
      </w:tcPr>
    </w:tblStylePr>
    <w:tblStylePr w:type="lastRow">
      <w:rPr>
        <w:rFonts w:cs="Times New Roman"/>
        <w:b/>
        <w:bCs/>
        <w:color w:val="348DA5"/>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DE4D0"/>
      </w:tcPr>
    </w:tblStylePr>
    <w:tblStylePr w:type="band1Horz">
      <w:rPr>
        <w:rFonts w:cs="Times New Roman"/>
      </w:rPr>
      <w:tblPr/>
      <w:tcPr>
        <w:shd w:val="clear" w:color="auto" w:fill="FDE9D9"/>
      </w:tcPr>
    </w:tblStylePr>
  </w:style>
  <w:style w:type="table" w:customStyle="1" w:styleId="Sfondoacolori1">
    <w:name w:val="Sfondo a colori1"/>
    <w:uiPriority w:val="99"/>
    <w:rsid w:val="00677FEF"/>
    <w:rPr>
      <w:color w:val="000000"/>
      <w:sz w:val="20"/>
      <w:szCs w:val="20"/>
      <w:lang w:val="it-IT" w:eastAsia="it-IT"/>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000000"/>
      </w:tcPr>
    </w:tblStylePr>
    <w:tblStylePr w:type="firstCol">
      <w:rPr>
        <w:rFonts w:cs="Times New Roman"/>
        <w:color w:val="FFFFFF"/>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FFFFFF"/>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rsid w:val="00677FEF"/>
    <w:rPr>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rsid w:val="00677FEF"/>
    <w:rPr>
      <w:color w:val="000000"/>
      <w:sz w:val="20"/>
      <w:szCs w:val="2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772C2A"/>
      </w:tcPr>
    </w:tblStylePr>
    <w:tblStylePr w:type="firstCol">
      <w:rPr>
        <w:rFonts w:cs="Times New Roman"/>
        <w:color w:val="FFFFFF"/>
      </w:rPr>
      <w:tblPr/>
      <w:tcPr>
        <w:tcBorders>
          <w:top w:val="nil"/>
          <w:left w:val="nil"/>
          <w:bottom w:val="nil"/>
          <w:right w:val="nil"/>
          <w:insideH w:val="single" w:sz="4" w:space="0" w:color="772C2A"/>
          <w:insideV w:val="nil"/>
        </w:tcBorders>
        <w:shd w:val="clear" w:color="auto" w:fill="772C2A"/>
      </w:tcPr>
    </w:tblStylePr>
    <w:tblStylePr w:type="lastCol">
      <w:rPr>
        <w:rFonts w:cs="Times New Roman"/>
        <w:color w:val="FFFFFF"/>
      </w:rPr>
      <w:tblPr/>
      <w:tcPr>
        <w:tcBorders>
          <w:top w:val="nil"/>
          <w:left w:val="nil"/>
          <w:bottom w:val="nil"/>
          <w:right w:val="nil"/>
          <w:insideH w:val="nil"/>
          <w:insideV w:val="nil"/>
        </w:tcBorders>
        <w:shd w:val="clear" w:color="auto" w:fill="772C2A"/>
      </w:tcPr>
    </w:tblStylePr>
    <w:tblStylePr w:type="band1Vert">
      <w:rPr>
        <w:rFonts w:cs="Times New Roman"/>
      </w:rPr>
      <w:tblPr/>
      <w:tcPr>
        <w:shd w:val="clear" w:color="auto" w:fill="E5B8B7"/>
      </w:tcPr>
    </w:tblStylePr>
    <w:tblStylePr w:type="band1Horz">
      <w:rPr>
        <w:rFonts w:cs="Times New Roman"/>
      </w:rPr>
      <w:tblPr/>
      <w:tcPr>
        <w:shd w:val="clear" w:color="auto" w:fill="DFA7A6"/>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rsid w:val="00677FEF"/>
    <w:rPr>
      <w:color w:val="000000"/>
      <w:sz w:val="20"/>
      <w:szCs w:val="2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rFonts w:cs="Times New Roman"/>
        <w:b/>
        <w:bCs/>
      </w:rPr>
      <w:tblPr/>
      <w:tcPr>
        <w:tcBorders>
          <w:top w:val="nil"/>
          <w:left w:val="nil"/>
          <w:bottom w:val="single" w:sz="24" w:space="0" w:color="8064A2"/>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5E7530"/>
      </w:tcPr>
    </w:tblStylePr>
    <w:tblStylePr w:type="firstCol">
      <w:rPr>
        <w:rFonts w:cs="Times New Roman"/>
        <w:color w:val="FFFFFF"/>
      </w:rPr>
      <w:tblPr/>
      <w:tcPr>
        <w:tcBorders>
          <w:top w:val="nil"/>
          <w:left w:val="nil"/>
          <w:bottom w:val="nil"/>
          <w:right w:val="nil"/>
          <w:insideH w:val="single" w:sz="4" w:space="0" w:color="5E7530"/>
          <w:insideV w:val="nil"/>
        </w:tcBorders>
        <w:shd w:val="clear" w:color="auto" w:fill="5E7530"/>
      </w:tcPr>
    </w:tblStylePr>
    <w:tblStylePr w:type="lastCol">
      <w:rPr>
        <w:rFonts w:cs="Times New Roman"/>
        <w:color w:val="FFFFFF"/>
      </w:rPr>
      <w:tblPr/>
      <w:tcPr>
        <w:tcBorders>
          <w:top w:val="nil"/>
          <w:left w:val="nil"/>
          <w:bottom w:val="nil"/>
          <w:right w:val="nil"/>
          <w:insideH w:val="nil"/>
          <w:insideV w:val="nil"/>
        </w:tcBorders>
        <w:shd w:val="clear" w:color="auto" w:fill="5E7530"/>
      </w:tcPr>
    </w:tblStylePr>
    <w:tblStylePr w:type="band1Vert">
      <w:rPr>
        <w:rFonts w:cs="Times New Roman"/>
      </w:rPr>
      <w:tblPr/>
      <w:tcPr>
        <w:shd w:val="clear" w:color="auto" w:fill="D6E3BC"/>
      </w:tcPr>
    </w:tblStylePr>
    <w:tblStylePr w:type="band1Horz">
      <w:rPr>
        <w:rFonts w:cs="Times New Roman"/>
      </w:rPr>
      <w:tblPr/>
      <w:tcPr>
        <w:shd w:val="clear" w:color="auto" w:fill="CDDDAC"/>
      </w:tcPr>
    </w:tblStylePr>
  </w:style>
  <w:style w:type="table" w:styleId="Kolorowecieniowanieakcent4">
    <w:name w:val="Colorful Shading Accent 4"/>
    <w:basedOn w:val="Standardowy"/>
    <w:uiPriority w:val="99"/>
    <w:rsid w:val="00677FEF"/>
    <w:rPr>
      <w:color w:val="000000"/>
      <w:sz w:val="20"/>
      <w:szCs w:val="2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rFonts w:cs="Times New Roman"/>
        <w:b/>
        <w:bCs/>
      </w:rPr>
      <w:tblPr/>
      <w:tcPr>
        <w:tcBorders>
          <w:top w:val="nil"/>
          <w:left w:val="nil"/>
          <w:bottom w:val="single" w:sz="24" w:space="0" w:color="9BBB59"/>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4C3B62"/>
      </w:tcPr>
    </w:tblStylePr>
    <w:tblStylePr w:type="firstCol">
      <w:rPr>
        <w:rFonts w:cs="Times New Roman"/>
        <w:color w:val="FFFFFF"/>
      </w:rPr>
      <w:tblPr/>
      <w:tcPr>
        <w:tcBorders>
          <w:top w:val="nil"/>
          <w:left w:val="nil"/>
          <w:bottom w:val="nil"/>
          <w:right w:val="nil"/>
          <w:insideH w:val="single" w:sz="4" w:space="0" w:color="4C3B62"/>
          <w:insideV w:val="nil"/>
        </w:tcBorders>
        <w:shd w:val="clear" w:color="auto" w:fill="4C3B62"/>
      </w:tcPr>
    </w:tblStylePr>
    <w:tblStylePr w:type="lastCol">
      <w:rPr>
        <w:rFonts w:cs="Times New Roman"/>
        <w:color w:val="FFFFFF"/>
      </w:rPr>
      <w:tblPr/>
      <w:tcPr>
        <w:tcBorders>
          <w:top w:val="nil"/>
          <w:left w:val="nil"/>
          <w:bottom w:val="nil"/>
          <w:right w:val="nil"/>
          <w:insideH w:val="nil"/>
          <w:insideV w:val="nil"/>
        </w:tcBorders>
        <w:shd w:val="clear" w:color="auto" w:fill="4C3B62"/>
      </w:tcPr>
    </w:tblStylePr>
    <w:tblStylePr w:type="band1Vert">
      <w:rPr>
        <w:rFonts w:cs="Times New Roman"/>
      </w:rPr>
      <w:tblPr/>
      <w:tcPr>
        <w:shd w:val="clear" w:color="auto" w:fill="CCC0D9"/>
      </w:tcPr>
    </w:tblStylePr>
    <w:tblStylePr w:type="band1Horz">
      <w:rPr>
        <w:rFonts w:cs="Times New Roman"/>
      </w:rPr>
      <w:tblPr/>
      <w:tcPr>
        <w:shd w:val="clear" w:color="auto" w:fill="BFB1D0"/>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rsid w:val="00677FEF"/>
    <w:rPr>
      <w:color w:val="000000"/>
      <w:sz w:val="20"/>
      <w:szCs w:val="2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rFonts w:cs="Times New Roman"/>
        <w:b/>
        <w:bCs/>
      </w:rPr>
      <w:tblPr/>
      <w:tcPr>
        <w:tcBorders>
          <w:top w:val="nil"/>
          <w:left w:val="nil"/>
          <w:bottom w:val="single" w:sz="24" w:space="0" w:color="F7964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76A7C"/>
      </w:tcPr>
    </w:tblStylePr>
    <w:tblStylePr w:type="firstCol">
      <w:rPr>
        <w:rFonts w:cs="Times New Roman"/>
        <w:color w:val="FFFFFF"/>
      </w:rPr>
      <w:tblPr/>
      <w:tcPr>
        <w:tcBorders>
          <w:top w:val="nil"/>
          <w:left w:val="nil"/>
          <w:bottom w:val="nil"/>
          <w:right w:val="nil"/>
          <w:insideH w:val="single" w:sz="4" w:space="0" w:color="276A7C"/>
          <w:insideV w:val="nil"/>
        </w:tcBorders>
        <w:shd w:val="clear" w:color="auto" w:fill="276A7C"/>
      </w:tcPr>
    </w:tblStylePr>
    <w:tblStylePr w:type="lastCol">
      <w:rPr>
        <w:rFonts w:cs="Times New Roman"/>
        <w:color w:val="FFFFFF"/>
      </w:rPr>
      <w:tblPr/>
      <w:tcPr>
        <w:tcBorders>
          <w:top w:val="nil"/>
          <w:left w:val="nil"/>
          <w:bottom w:val="nil"/>
          <w:right w:val="nil"/>
          <w:insideH w:val="nil"/>
          <w:insideV w:val="nil"/>
        </w:tcBorders>
        <w:shd w:val="clear" w:color="auto" w:fill="276A7C"/>
      </w:tcPr>
    </w:tblStylePr>
    <w:tblStylePr w:type="band1Vert">
      <w:rPr>
        <w:rFonts w:cs="Times New Roman"/>
      </w:rPr>
      <w:tblPr/>
      <w:tcPr>
        <w:shd w:val="clear" w:color="auto" w:fill="B6DDE8"/>
      </w:tcPr>
    </w:tblStylePr>
    <w:tblStylePr w:type="band1Horz">
      <w:rPr>
        <w:rFonts w:cs="Times New Roman"/>
      </w:rPr>
      <w:tblPr/>
      <w:tcPr>
        <w:shd w:val="clear" w:color="auto" w:fill="A5D5E2"/>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rsid w:val="00677FEF"/>
    <w:rPr>
      <w:color w:val="000000"/>
      <w:sz w:val="20"/>
      <w:szCs w:val="2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rFonts w:cs="Times New Roman"/>
        <w:b/>
        <w:bCs/>
      </w:rPr>
      <w:tblPr/>
      <w:tcPr>
        <w:tcBorders>
          <w:top w:val="nil"/>
          <w:left w:val="nil"/>
          <w:bottom w:val="single" w:sz="24" w:space="0" w:color="4BACC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B65608"/>
      </w:tcPr>
    </w:tblStylePr>
    <w:tblStylePr w:type="firstCol">
      <w:rPr>
        <w:rFonts w:cs="Times New Roman"/>
        <w:color w:val="FFFFFF"/>
      </w:rPr>
      <w:tblPr/>
      <w:tcPr>
        <w:tcBorders>
          <w:top w:val="nil"/>
          <w:left w:val="nil"/>
          <w:bottom w:val="nil"/>
          <w:right w:val="nil"/>
          <w:insideH w:val="single" w:sz="4" w:space="0" w:color="B65608"/>
          <w:insideV w:val="nil"/>
        </w:tcBorders>
        <w:shd w:val="clear" w:color="auto" w:fill="B65608"/>
      </w:tcPr>
    </w:tblStylePr>
    <w:tblStylePr w:type="lastCol">
      <w:rPr>
        <w:rFonts w:cs="Times New Roman"/>
        <w:color w:val="FFFFFF"/>
      </w:rPr>
      <w:tblPr/>
      <w:tcPr>
        <w:tcBorders>
          <w:top w:val="nil"/>
          <w:left w:val="nil"/>
          <w:bottom w:val="nil"/>
          <w:right w:val="nil"/>
          <w:insideH w:val="nil"/>
          <w:insideV w:val="nil"/>
        </w:tcBorders>
        <w:shd w:val="clear" w:color="auto" w:fill="B65608"/>
      </w:tcPr>
    </w:tblStylePr>
    <w:tblStylePr w:type="band1Vert">
      <w:rPr>
        <w:rFonts w:cs="Times New Roman"/>
      </w:rPr>
      <w:tblPr/>
      <w:tcPr>
        <w:shd w:val="clear" w:color="auto" w:fill="FBD4B4"/>
      </w:tcPr>
    </w:tblStylePr>
    <w:tblStylePr w:type="band1Horz">
      <w:rPr>
        <w:rFonts w:cs="Times New Roman"/>
      </w:rPr>
      <w:tblPr/>
      <w:tcPr>
        <w:shd w:val="clear" w:color="auto" w:fill="FBCAA2"/>
      </w:tcPr>
    </w:tblStylePr>
    <w:tblStylePr w:type="neCell">
      <w:rPr>
        <w:rFonts w:cs="Times New Roman"/>
        <w:color w:val="000000"/>
      </w:rPr>
    </w:tblStylePr>
    <w:tblStylePr w:type="nwCell">
      <w:rPr>
        <w:rFonts w:cs="Times New Roman"/>
        <w:color w:val="000000"/>
      </w:rPr>
    </w:tblStylePr>
  </w:style>
  <w:style w:type="table" w:customStyle="1" w:styleId="Elencoscuro1">
    <w:name w:val="Elenco scuro1"/>
    <w:uiPriority w:val="99"/>
    <w:rsid w:val="00677FEF"/>
    <w:rPr>
      <w:color w:val="FFFFFF"/>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FFFFFF"/>
          <w:insideH w:val="nil"/>
          <w:insideV w:val="nil"/>
        </w:tcBorders>
        <w:shd w:val="clear" w:color="auto" w:fill="000000"/>
      </w:tcPr>
    </w:tblStylePr>
    <w:tblStylePr w:type="lastCol">
      <w:rPr>
        <w:rFonts w:cs="Times New Roman"/>
      </w:rPr>
      <w:tblPr/>
      <w:tcPr>
        <w:tcBorders>
          <w:top w:val="nil"/>
          <w:left w:val="single" w:sz="18" w:space="0" w:color="FFFFFF"/>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rsid w:val="00677FEF"/>
    <w:rPr>
      <w:color w:val="FFFFFF"/>
      <w:sz w:val="20"/>
      <w:szCs w:val="20"/>
    </w:rPr>
    <w:tblPr>
      <w:tblStyleRowBandSize w:val="1"/>
      <w:tblStyleColBandSize w:val="1"/>
    </w:tblPr>
    <w:tcPr>
      <w:shd w:val="clear" w:color="auto" w:fill="4F81B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43F60"/>
      </w:tcPr>
    </w:tblStylePr>
    <w:tblStylePr w:type="firstCol">
      <w:rPr>
        <w:rFonts w:cs="Times New Roman"/>
      </w:rPr>
      <w:tblPr/>
      <w:tcPr>
        <w:tcBorders>
          <w:top w:val="nil"/>
          <w:left w:val="nil"/>
          <w:bottom w:val="nil"/>
          <w:right w:val="single" w:sz="18" w:space="0" w:color="FFFFFF"/>
          <w:insideH w:val="nil"/>
          <w:insideV w:val="nil"/>
        </w:tcBorders>
        <w:shd w:val="clear" w:color="auto" w:fill="365F91"/>
      </w:tcPr>
    </w:tblStylePr>
    <w:tblStylePr w:type="lastCol">
      <w:rPr>
        <w:rFonts w:cs="Times New Roman"/>
      </w:rPr>
      <w:tblPr/>
      <w:tcPr>
        <w:tcBorders>
          <w:top w:val="nil"/>
          <w:left w:val="single" w:sz="18" w:space="0" w:color="FFFFFF"/>
          <w:bottom w:val="nil"/>
          <w:right w:val="nil"/>
          <w:insideH w:val="nil"/>
          <w:insideV w:val="nil"/>
        </w:tcBorders>
        <w:shd w:val="clear" w:color="auto" w:fill="365F91"/>
      </w:tcPr>
    </w:tblStylePr>
    <w:tblStylePr w:type="band1Vert">
      <w:rPr>
        <w:rFonts w:cs="Times New Roman"/>
      </w:rPr>
      <w:tblPr/>
      <w:tcPr>
        <w:tcBorders>
          <w:top w:val="nil"/>
          <w:left w:val="nil"/>
          <w:bottom w:val="nil"/>
          <w:right w:val="nil"/>
          <w:insideH w:val="nil"/>
          <w:insideV w:val="nil"/>
        </w:tcBorders>
        <w:shd w:val="clear" w:color="auto" w:fill="365F91"/>
      </w:tcPr>
    </w:tblStylePr>
    <w:tblStylePr w:type="band1Horz">
      <w:rPr>
        <w:rFonts w:cs="Times New Roman"/>
      </w:rPr>
      <w:tblPr/>
      <w:tcPr>
        <w:tcBorders>
          <w:top w:val="nil"/>
          <w:left w:val="nil"/>
          <w:bottom w:val="nil"/>
          <w:right w:val="nil"/>
          <w:insideH w:val="nil"/>
          <w:insideV w:val="nil"/>
        </w:tcBorders>
        <w:shd w:val="clear" w:color="auto" w:fill="365F91"/>
      </w:tcPr>
    </w:tblStylePr>
  </w:style>
  <w:style w:type="table" w:styleId="Ciemnalistaakcent2">
    <w:name w:val="Dark List Accent 2"/>
    <w:basedOn w:val="Standardowy"/>
    <w:uiPriority w:val="99"/>
    <w:rsid w:val="00677FEF"/>
    <w:rPr>
      <w:color w:val="FFFFFF"/>
      <w:sz w:val="20"/>
      <w:szCs w:val="20"/>
    </w:rPr>
    <w:tblPr>
      <w:tblStyleRowBandSize w:val="1"/>
      <w:tblStyleColBandSize w:val="1"/>
    </w:tblPr>
    <w:tcPr>
      <w:shd w:val="clear" w:color="auto" w:fill="C0504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22423"/>
      </w:tcPr>
    </w:tblStylePr>
    <w:tblStylePr w:type="firstCol">
      <w:rPr>
        <w:rFonts w:cs="Times New Roman"/>
      </w:rPr>
      <w:tblPr/>
      <w:tcPr>
        <w:tcBorders>
          <w:top w:val="nil"/>
          <w:left w:val="nil"/>
          <w:bottom w:val="nil"/>
          <w:right w:val="single" w:sz="18" w:space="0" w:color="FFFFFF"/>
          <w:insideH w:val="nil"/>
          <w:insideV w:val="nil"/>
        </w:tcBorders>
        <w:shd w:val="clear" w:color="auto" w:fill="943634"/>
      </w:tcPr>
    </w:tblStylePr>
    <w:tblStylePr w:type="lastCol">
      <w:rPr>
        <w:rFonts w:cs="Times New Roman"/>
      </w:rPr>
      <w:tblPr/>
      <w:tcPr>
        <w:tcBorders>
          <w:top w:val="nil"/>
          <w:left w:val="single" w:sz="18" w:space="0" w:color="FFFFFF"/>
          <w:bottom w:val="nil"/>
          <w:right w:val="nil"/>
          <w:insideH w:val="nil"/>
          <w:insideV w:val="nil"/>
        </w:tcBorders>
        <w:shd w:val="clear" w:color="auto" w:fill="943634"/>
      </w:tcPr>
    </w:tblStylePr>
    <w:tblStylePr w:type="band1Vert">
      <w:rPr>
        <w:rFonts w:cs="Times New Roman"/>
      </w:rPr>
      <w:tblPr/>
      <w:tcPr>
        <w:tcBorders>
          <w:top w:val="nil"/>
          <w:left w:val="nil"/>
          <w:bottom w:val="nil"/>
          <w:right w:val="nil"/>
          <w:insideH w:val="nil"/>
          <w:insideV w:val="nil"/>
        </w:tcBorders>
        <w:shd w:val="clear" w:color="auto" w:fill="943634"/>
      </w:tcPr>
    </w:tblStylePr>
    <w:tblStylePr w:type="band1Horz">
      <w:rPr>
        <w:rFonts w:cs="Times New Roman"/>
      </w:rPr>
      <w:tblPr/>
      <w:tcPr>
        <w:tcBorders>
          <w:top w:val="nil"/>
          <w:left w:val="nil"/>
          <w:bottom w:val="nil"/>
          <w:right w:val="nil"/>
          <w:insideH w:val="nil"/>
          <w:insideV w:val="nil"/>
        </w:tcBorders>
        <w:shd w:val="clear" w:color="auto" w:fill="943634"/>
      </w:tcPr>
    </w:tblStylePr>
  </w:style>
  <w:style w:type="table" w:styleId="Ciemnalistaakcent3">
    <w:name w:val="Dark List Accent 3"/>
    <w:basedOn w:val="Standardowy"/>
    <w:uiPriority w:val="99"/>
    <w:rsid w:val="00677FEF"/>
    <w:rPr>
      <w:color w:val="FFFFFF"/>
      <w:sz w:val="20"/>
      <w:szCs w:val="20"/>
    </w:rPr>
    <w:tblPr>
      <w:tblStyleRowBandSize w:val="1"/>
      <w:tblStyleColBandSize w:val="1"/>
    </w:tblPr>
    <w:tcPr>
      <w:shd w:val="clear" w:color="auto" w:fill="9BBB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6128"/>
      </w:tcPr>
    </w:tblStylePr>
    <w:tblStylePr w:type="firstCol">
      <w:rPr>
        <w:rFonts w:cs="Times New Roman"/>
      </w:rPr>
      <w:tblPr/>
      <w:tcPr>
        <w:tcBorders>
          <w:top w:val="nil"/>
          <w:left w:val="nil"/>
          <w:bottom w:val="nil"/>
          <w:right w:val="single" w:sz="18" w:space="0" w:color="FFFFFF"/>
          <w:insideH w:val="nil"/>
          <w:insideV w:val="nil"/>
        </w:tcBorders>
        <w:shd w:val="clear" w:color="auto" w:fill="76923C"/>
      </w:tcPr>
    </w:tblStylePr>
    <w:tblStylePr w:type="lastCol">
      <w:rPr>
        <w:rFonts w:cs="Times New Roman"/>
      </w:rPr>
      <w:tblPr/>
      <w:tcPr>
        <w:tcBorders>
          <w:top w:val="nil"/>
          <w:left w:val="single" w:sz="18" w:space="0" w:color="FFFFFF"/>
          <w:bottom w:val="nil"/>
          <w:right w:val="nil"/>
          <w:insideH w:val="nil"/>
          <w:insideV w:val="nil"/>
        </w:tcBorders>
        <w:shd w:val="clear" w:color="auto" w:fill="76923C"/>
      </w:tcPr>
    </w:tblStylePr>
    <w:tblStylePr w:type="band1Vert">
      <w:rPr>
        <w:rFonts w:cs="Times New Roman"/>
      </w:rPr>
      <w:tblPr/>
      <w:tcPr>
        <w:tcBorders>
          <w:top w:val="nil"/>
          <w:left w:val="nil"/>
          <w:bottom w:val="nil"/>
          <w:right w:val="nil"/>
          <w:insideH w:val="nil"/>
          <w:insideV w:val="nil"/>
        </w:tcBorders>
        <w:shd w:val="clear" w:color="auto" w:fill="76923C"/>
      </w:tcPr>
    </w:tblStylePr>
    <w:tblStylePr w:type="band1Horz">
      <w:rPr>
        <w:rFonts w:cs="Times New Roman"/>
      </w:rPr>
      <w:tblPr/>
      <w:tcPr>
        <w:tcBorders>
          <w:top w:val="nil"/>
          <w:left w:val="nil"/>
          <w:bottom w:val="nil"/>
          <w:right w:val="nil"/>
          <w:insideH w:val="nil"/>
          <w:insideV w:val="nil"/>
        </w:tcBorders>
        <w:shd w:val="clear" w:color="auto" w:fill="76923C"/>
      </w:tcPr>
    </w:tblStylePr>
  </w:style>
  <w:style w:type="table" w:styleId="Ciemnalistaakcent4">
    <w:name w:val="Dark List Accent 4"/>
    <w:basedOn w:val="Standardowy"/>
    <w:uiPriority w:val="99"/>
    <w:rsid w:val="00677FEF"/>
    <w:rPr>
      <w:color w:val="FFFFFF"/>
      <w:sz w:val="20"/>
      <w:szCs w:val="20"/>
    </w:rPr>
    <w:tblPr>
      <w:tblStyleRowBandSize w:val="1"/>
      <w:tblStyleColBandSize w:val="1"/>
    </w:tblPr>
    <w:tcPr>
      <w:shd w:val="clear" w:color="auto" w:fill="8064A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F3151"/>
      </w:tcPr>
    </w:tblStylePr>
    <w:tblStylePr w:type="firstCol">
      <w:rPr>
        <w:rFonts w:cs="Times New Roman"/>
      </w:rPr>
      <w:tblPr/>
      <w:tcPr>
        <w:tcBorders>
          <w:top w:val="nil"/>
          <w:left w:val="nil"/>
          <w:bottom w:val="nil"/>
          <w:right w:val="single" w:sz="18" w:space="0" w:color="FFFFFF"/>
          <w:insideH w:val="nil"/>
          <w:insideV w:val="nil"/>
        </w:tcBorders>
        <w:shd w:val="clear" w:color="auto" w:fill="5F497A"/>
      </w:tcPr>
    </w:tblStylePr>
    <w:tblStylePr w:type="lastCol">
      <w:rPr>
        <w:rFonts w:cs="Times New Roman"/>
      </w:rPr>
      <w:tblPr/>
      <w:tcPr>
        <w:tcBorders>
          <w:top w:val="nil"/>
          <w:left w:val="single" w:sz="18" w:space="0" w:color="FFFFFF"/>
          <w:bottom w:val="nil"/>
          <w:right w:val="nil"/>
          <w:insideH w:val="nil"/>
          <w:insideV w:val="nil"/>
        </w:tcBorders>
        <w:shd w:val="clear" w:color="auto" w:fill="5F497A"/>
      </w:tcPr>
    </w:tblStylePr>
    <w:tblStylePr w:type="band1Vert">
      <w:rPr>
        <w:rFonts w:cs="Times New Roman"/>
      </w:rPr>
      <w:tblPr/>
      <w:tcPr>
        <w:tcBorders>
          <w:top w:val="nil"/>
          <w:left w:val="nil"/>
          <w:bottom w:val="nil"/>
          <w:right w:val="nil"/>
          <w:insideH w:val="nil"/>
          <w:insideV w:val="nil"/>
        </w:tcBorders>
        <w:shd w:val="clear" w:color="auto" w:fill="5F497A"/>
      </w:tcPr>
    </w:tblStylePr>
    <w:tblStylePr w:type="band1Horz">
      <w:rPr>
        <w:rFonts w:cs="Times New Roman"/>
      </w:rPr>
      <w:tblPr/>
      <w:tcPr>
        <w:tcBorders>
          <w:top w:val="nil"/>
          <w:left w:val="nil"/>
          <w:bottom w:val="nil"/>
          <w:right w:val="nil"/>
          <w:insideH w:val="nil"/>
          <w:insideV w:val="nil"/>
        </w:tcBorders>
        <w:shd w:val="clear" w:color="auto" w:fill="5F497A"/>
      </w:tcPr>
    </w:tblStylePr>
  </w:style>
  <w:style w:type="table" w:styleId="Ciemnalistaakcent5">
    <w:name w:val="Dark List Accent 5"/>
    <w:basedOn w:val="Standardowy"/>
    <w:uiPriority w:val="99"/>
    <w:rsid w:val="00677FEF"/>
    <w:rPr>
      <w:color w:val="FFFFFF"/>
      <w:sz w:val="20"/>
      <w:szCs w:val="20"/>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table" w:styleId="Ciemnalistaakcent6">
    <w:name w:val="Dark List Accent 6"/>
    <w:basedOn w:val="Standardowy"/>
    <w:uiPriority w:val="99"/>
    <w:rsid w:val="00677FEF"/>
    <w:rPr>
      <w:color w:val="FFFFFF"/>
      <w:sz w:val="20"/>
      <w:szCs w:val="20"/>
    </w:rPr>
    <w:tblPr>
      <w:tblStyleRowBandSize w:val="1"/>
      <w:tblStyleColBandSize w:val="1"/>
    </w:tblPr>
    <w:tcPr>
      <w:shd w:val="clear" w:color="auto" w:fill="F7964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974706"/>
      </w:tcPr>
    </w:tblStylePr>
    <w:tblStylePr w:type="firstCol">
      <w:rPr>
        <w:rFonts w:cs="Times New Roman"/>
      </w:rPr>
      <w:tblPr/>
      <w:tcPr>
        <w:tcBorders>
          <w:top w:val="nil"/>
          <w:left w:val="nil"/>
          <w:bottom w:val="nil"/>
          <w:right w:val="single" w:sz="18" w:space="0" w:color="FFFFFF"/>
          <w:insideH w:val="nil"/>
          <w:insideV w:val="nil"/>
        </w:tcBorders>
        <w:shd w:val="clear" w:color="auto" w:fill="E36C0A"/>
      </w:tcPr>
    </w:tblStylePr>
    <w:tblStylePr w:type="lastCol">
      <w:rPr>
        <w:rFonts w:cs="Times New Roman"/>
      </w:rPr>
      <w:tblPr/>
      <w:tcPr>
        <w:tcBorders>
          <w:top w:val="nil"/>
          <w:left w:val="single" w:sz="18" w:space="0" w:color="FFFFFF"/>
          <w:bottom w:val="nil"/>
          <w:right w:val="nil"/>
          <w:insideH w:val="nil"/>
          <w:insideV w:val="nil"/>
        </w:tcBorders>
        <w:shd w:val="clear" w:color="auto" w:fill="E36C0A"/>
      </w:tcPr>
    </w:tblStylePr>
    <w:tblStylePr w:type="band1Vert">
      <w:rPr>
        <w:rFonts w:cs="Times New Roman"/>
      </w:rPr>
      <w:tblPr/>
      <w:tcPr>
        <w:tcBorders>
          <w:top w:val="nil"/>
          <w:left w:val="nil"/>
          <w:bottom w:val="nil"/>
          <w:right w:val="nil"/>
          <w:insideH w:val="nil"/>
          <w:insideV w:val="nil"/>
        </w:tcBorders>
        <w:shd w:val="clear" w:color="auto" w:fill="E36C0A"/>
      </w:tcPr>
    </w:tblStylePr>
    <w:tblStylePr w:type="band1Horz">
      <w:rPr>
        <w:rFonts w:cs="Times New Roman"/>
      </w:rPr>
      <w:tblPr/>
      <w:tcPr>
        <w:tcBorders>
          <w:top w:val="nil"/>
          <w:left w:val="nil"/>
          <w:bottom w:val="nil"/>
          <w:right w:val="nil"/>
          <w:insideH w:val="nil"/>
          <w:insideV w:val="nil"/>
        </w:tcBorders>
        <w:shd w:val="clear" w:color="auto" w:fill="E36C0A"/>
      </w:tcPr>
    </w:tblStylePr>
  </w:style>
  <w:style w:type="paragraph" w:styleId="Data">
    <w:name w:val="Date"/>
    <w:basedOn w:val="Normalny"/>
    <w:next w:val="Normalny"/>
    <w:link w:val="DataZnak"/>
    <w:uiPriority w:val="99"/>
    <w:rsid w:val="00677FEF"/>
  </w:style>
  <w:style w:type="character" w:customStyle="1" w:styleId="DataZnak">
    <w:name w:val="Data Znak"/>
    <w:basedOn w:val="Domylnaczcionkaakapitu"/>
    <w:link w:val="Data"/>
    <w:uiPriority w:val="99"/>
    <w:locked/>
    <w:rsid w:val="00677FEF"/>
    <w:rPr>
      <w:sz w:val="24"/>
      <w:lang w:val="en-GB" w:eastAsia="fr-FR"/>
    </w:rPr>
  </w:style>
  <w:style w:type="paragraph" w:styleId="Mapadokumentu">
    <w:name w:val="Document Map"/>
    <w:basedOn w:val="Normalny"/>
    <w:link w:val="MapadokumentuZnak"/>
    <w:uiPriority w:val="99"/>
    <w:rsid w:val="00677FEF"/>
    <w:rPr>
      <w:rFonts w:ascii="Tahoma" w:hAnsi="Tahoma"/>
      <w:sz w:val="16"/>
      <w:szCs w:val="16"/>
    </w:rPr>
  </w:style>
  <w:style w:type="character" w:customStyle="1" w:styleId="MapadokumentuZnak">
    <w:name w:val="Mapa dokumentu Znak"/>
    <w:basedOn w:val="Domylnaczcionkaakapitu"/>
    <w:link w:val="Mapadokumentu"/>
    <w:uiPriority w:val="99"/>
    <w:locked/>
    <w:rsid w:val="00677FEF"/>
    <w:rPr>
      <w:rFonts w:ascii="Tahoma" w:hAnsi="Tahoma"/>
      <w:sz w:val="16"/>
      <w:lang w:val="en-GB" w:eastAsia="fr-FR"/>
    </w:rPr>
  </w:style>
  <w:style w:type="paragraph" w:styleId="Podpise-mail">
    <w:name w:val="E-mail Signature"/>
    <w:basedOn w:val="Normalny"/>
    <w:link w:val="Podpise-mailZnak"/>
    <w:uiPriority w:val="99"/>
    <w:rsid w:val="00677FEF"/>
  </w:style>
  <w:style w:type="character" w:customStyle="1" w:styleId="Podpise-mailZnak">
    <w:name w:val="Podpis e-mail Znak"/>
    <w:basedOn w:val="Domylnaczcionkaakapitu"/>
    <w:link w:val="Podpise-mail"/>
    <w:uiPriority w:val="99"/>
    <w:locked/>
    <w:rsid w:val="00677FEF"/>
    <w:rPr>
      <w:sz w:val="24"/>
      <w:lang w:val="en-GB" w:eastAsia="fr-FR"/>
    </w:rPr>
  </w:style>
  <w:style w:type="character" w:styleId="Uwydatnienie">
    <w:name w:val="Emphasis"/>
    <w:basedOn w:val="Domylnaczcionkaakapitu"/>
    <w:uiPriority w:val="99"/>
    <w:qFormat/>
    <w:rsid w:val="00677FEF"/>
    <w:rPr>
      <w:rFonts w:cs="Times New Roman"/>
      <w:i/>
    </w:rPr>
  </w:style>
  <w:style w:type="character" w:styleId="Odwoanieprzypisukocowego">
    <w:name w:val="endnote reference"/>
    <w:basedOn w:val="Domylnaczcionkaakapitu"/>
    <w:uiPriority w:val="99"/>
    <w:rsid w:val="00677FEF"/>
    <w:rPr>
      <w:rFonts w:cs="Times New Roman"/>
      <w:vertAlign w:val="superscript"/>
    </w:rPr>
  </w:style>
  <w:style w:type="paragraph" w:styleId="Tekstprzypisukocowego">
    <w:name w:val="endnote text"/>
    <w:basedOn w:val="Normalny"/>
    <w:link w:val="TekstprzypisukocowegoZnak"/>
    <w:uiPriority w:val="99"/>
    <w:rsid w:val="00677FEF"/>
    <w:rPr>
      <w:sz w:val="20"/>
    </w:rPr>
  </w:style>
  <w:style w:type="character" w:customStyle="1" w:styleId="TekstprzypisukocowegoZnak">
    <w:name w:val="Tekst przypisu końcowego Znak"/>
    <w:basedOn w:val="Domylnaczcionkaakapitu"/>
    <w:link w:val="Tekstprzypisukocowego"/>
    <w:uiPriority w:val="99"/>
    <w:locked/>
    <w:rsid w:val="00677FEF"/>
    <w:rPr>
      <w:lang w:val="en-GB" w:eastAsia="fr-FR"/>
    </w:rPr>
  </w:style>
  <w:style w:type="paragraph" w:styleId="Adresnakopercie">
    <w:name w:val="envelope address"/>
    <w:basedOn w:val="Normalny"/>
    <w:uiPriority w:val="99"/>
    <w:rsid w:val="00677FEF"/>
    <w:pPr>
      <w:framePr w:w="7920" w:h="1980" w:hRule="exact" w:hSpace="180" w:wrap="auto" w:hAnchor="page" w:xAlign="center" w:yAlign="bottom"/>
      <w:ind w:left="2880"/>
    </w:pPr>
    <w:rPr>
      <w:rFonts w:ascii="Cambria" w:hAnsi="Cambria"/>
      <w:szCs w:val="24"/>
    </w:rPr>
  </w:style>
  <w:style w:type="paragraph" w:styleId="Adreszwrotnynakopercie">
    <w:name w:val="envelope return"/>
    <w:basedOn w:val="Normalny"/>
    <w:uiPriority w:val="99"/>
    <w:rsid w:val="00677FEF"/>
    <w:rPr>
      <w:rFonts w:ascii="Cambria" w:hAnsi="Cambria"/>
      <w:sz w:val="20"/>
    </w:rPr>
  </w:style>
  <w:style w:type="character" w:styleId="UyteHipercze">
    <w:name w:val="FollowedHyperlink"/>
    <w:basedOn w:val="Domylnaczcionkaakapitu"/>
    <w:uiPriority w:val="99"/>
    <w:rsid w:val="00677FEF"/>
    <w:rPr>
      <w:rFonts w:cs="Times New Roman"/>
      <w:color w:val="800080"/>
      <w:u w:val="single"/>
    </w:rPr>
  </w:style>
  <w:style w:type="character" w:styleId="HTML-akronim">
    <w:name w:val="HTML Acronym"/>
    <w:basedOn w:val="Domylnaczcionkaakapitu"/>
    <w:uiPriority w:val="99"/>
    <w:rsid w:val="00677FEF"/>
    <w:rPr>
      <w:rFonts w:cs="Times New Roman"/>
    </w:rPr>
  </w:style>
  <w:style w:type="paragraph" w:styleId="HTML-adres">
    <w:name w:val="HTML Address"/>
    <w:basedOn w:val="Normalny"/>
    <w:link w:val="HTML-adresZnak"/>
    <w:uiPriority w:val="99"/>
    <w:rsid w:val="00677FEF"/>
    <w:rPr>
      <w:i/>
      <w:iCs/>
    </w:rPr>
  </w:style>
  <w:style w:type="character" w:customStyle="1" w:styleId="HTML-adresZnak">
    <w:name w:val="HTML - adres Znak"/>
    <w:basedOn w:val="Domylnaczcionkaakapitu"/>
    <w:link w:val="HTML-adres"/>
    <w:uiPriority w:val="99"/>
    <w:locked/>
    <w:rsid w:val="00677FEF"/>
    <w:rPr>
      <w:i/>
      <w:sz w:val="24"/>
      <w:lang w:val="en-GB" w:eastAsia="fr-FR"/>
    </w:rPr>
  </w:style>
  <w:style w:type="character" w:styleId="HTML-cytat">
    <w:name w:val="HTML Cite"/>
    <w:basedOn w:val="Domylnaczcionkaakapitu"/>
    <w:uiPriority w:val="99"/>
    <w:rsid w:val="00677FEF"/>
    <w:rPr>
      <w:rFonts w:cs="Times New Roman"/>
      <w:i/>
    </w:rPr>
  </w:style>
  <w:style w:type="character" w:styleId="HTML-kod">
    <w:name w:val="HTML Code"/>
    <w:basedOn w:val="Domylnaczcionkaakapitu"/>
    <w:uiPriority w:val="99"/>
    <w:rsid w:val="00677FEF"/>
    <w:rPr>
      <w:rFonts w:ascii="Courier New" w:hAnsi="Courier New" w:cs="Times New Roman"/>
      <w:sz w:val="20"/>
    </w:rPr>
  </w:style>
  <w:style w:type="character" w:styleId="HTML-definicja">
    <w:name w:val="HTML Definition"/>
    <w:basedOn w:val="Domylnaczcionkaakapitu"/>
    <w:uiPriority w:val="99"/>
    <w:rsid w:val="00677FEF"/>
    <w:rPr>
      <w:rFonts w:cs="Times New Roman"/>
      <w:i/>
    </w:rPr>
  </w:style>
  <w:style w:type="character" w:styleId="HTML-klawiatura">
    <w:name w:val="HTML Keyboard"/>
    <w:basedOn w:val="Domylnaczcionkaakapitu"/>
    <w:uiPriority w:val="99"/>
    <w:rsid w:val="00677FEF"/>
    <w:rPr>
      <w:rFonts w:ascii="Courier New" w:hAnsi="Courier New" w:cs="Times New Roman"/>
      <w:sz w:val="20"/>
    </w:rPr>
  </w:style>
  <w:style w:type="paragraph" w:styleId="HTML-wstpniesformatowany">
    <w:name w:val="HTML Preformatted"/>
    <w:basedOn w:val="Normalny"/>
    <w:link w:val="HTML-wstpniesformatowanyZnak"/>
    <w:uiPriority w:val="99"/>
    <w:rsid w:val="00677FEF"/>
    <w:rPr>
      <w:rFonts w:ascii="Courier New" w:hAnsi="Courier New"/>
      <w:sz w:val="20"/>
    </w:rPr>
  </w:style>
  <w:style w:type="character" w:customStyle="1" w:styleId="HTML-wstpniesformatowanyZnak">
    <w:name w:val="HTML - wstępnie sformatowany Znak"/>
    <w:basedOn w:val="Domylnaczcionkaakapitu"/>
    <w:link w:val="HTML-wstpniesformatowany"/>
    <w:uiPriority w:val="99"/>
    <w:locked/>
    <w:rsid w:val="00677FEF"/>
    <w:rPr>
      <w:rFonts w:ascii="Courier New" w:hAnsi="Courier New"/>
      <w:lang w:val="en-GB" w:eastAsia="fr-FR"/>
    </w:rPr>
  </w:style>
  <w:style w:type="character" w:styleId="HTML-przykad">
    <w:name w:val="HTML Sample"/>
    <w:basedOn w:val="Domylnaczcionkaakapitu"/>
    <w:uiPriority w:val="99"/>
    <w:rsid w:val="00677FEF"/>
    <w:rPr>
      <w:rFonts w:ascii="Courier New" w:hAnsi="Courier New" w:cs="Times New Roman"/>
    </w:rPr>
  </w:style>
  <w:style w:type="character" w:styleId="HTML-staaszeroko">
    <w:name w:val="HTML Typewriter"/>
    <w:basedOn w:val="Domylnaczcionkaakapitu"/>
    <w:uiPriority w:val="99"/>
    <w:rsid w:val="00677FEF"/>
    <w:rPr>
      <w:rFonts w:ascii="Courier New" w:hAnsi="Courier New" w:cs="Times New Roman"/>
      <w:sz w:val="20"/>
    </w:rPr>
  </w:style>
  <w:style w:type="character" w:styleId="HTML-zmienna">
    <w:name w:val="HTML Variable"/>
    <w:basedOn w:val="Domylnaczcionkaakapitu"/>
    <w:uiPriority w:val="99"/>
    <w:rsid w:val="00677FEF"/>
    <w:rPr>
      <w:rFonts w:cs="Times New Roman"/>
      <w:i/>
    </w:rPr>
  </w:style>
  <w:style w:type="paragraph" w:styleId="Indeks1">
    <w:name w:val="index 1"/>
    <w:basedOn w:val="Normalny"/>
    <w:next w:val="Normalny"/>
    <w:autoRedefine/>
    <w:uiPriority w:val="99"/>
    <w:rsid w:val="00677FEF"/>
    <w:pPr>
      <w:ind w:left="240" w:hanging="240"/>
    </w:pPr>
  </w:style>
  <w:style w:type="paragraph" w:styleId="Indeks2">
    <w:name w:val="index 2"/>
    <w:basedOn w:val="Normalny"/>
    <w:next w:val="Normalny"/>
    <w:autoRedefine/>
    <w:uiPriority w:val="99"/>
    <w:rsid w:val="00677FEF"/>
    <w:pPr>
      <w:ind w:left="480" w:hanging="240"/>
    </w:pPr>
  </w:style>
  <w:style w:type="paragraph" w:styleId="Indeks3">
    <w:name w:val="index 3"/>
    <w:basedOn w:val="Normalny"/>
    <w:next w:val="Normalny"/>
    <w:autoRedefine/>
    <w:uiPriority w:val="99"/>
    <w:rsid w:val="00677FEF"/>
    <w:pPr>
      <w:ind w:left="720" w:hanging="240"/>
    </w:pPr>
  </w:style>
  <w:style w:type="paragraph" w:styleId="Indeks4">
    <w:name w:val="index 4"/>
    <w:basedOn w:val="Normalny"/>
    <w:next w:val="Normalny"/>
    <w:autoRedefine/>
    <w:uiPriority w:val="99"/>
    <w:rsid w:val="00677FEF"/>
    <w:pPr>
      <w:ind w:left="960" w:hanging="240"/>
    </w:pPr>
  </w:style>
  <w:style w:type="paragraph" w:styleId="Indeks5">
    <w:name w:val="index 5"/>
    <w:basedOn w:val="Normalny"/>
    <w:next w:val="Normalny"/>
    <w:autoRedefine/>
    <w:uiPriority w:val="99"/>
    <w:rsid w:val="00677FEF"/>
    <w:pPr>
      <w:ind w:left="1200" w:hanging="240"/>
    </w:pPr>
  </w:style>
  <w:style w:type="paragraph" w:styleId="Indeks6">
    <w:name w:val="index 6"/>
    <w:basedOn w:val="Normalny"/>
    <w:next w:val="Normalny"/>
    <w:autoRedefine/>
    <w:uiPriority w:val="99"/>
    <w:rsid w:val="00677FEF"/>
    <w:pPr>
      <w:ind w:left="1440" w:hanging="240"/>
    </w:pPr>
  </w:style>
  <w:style w:type="paragraph" w:styleId="Indeks7">
    <w:name w:val="index 7"/>
    <w:basedOn w:val="Normalny"/>
    <w:next w:val="Normalny"/>
    <w:autoRedefine/>
    <w:uiPriority w:val="99"/>
    <w:rsid w:val="00677FEF"/>
    <w:pPr>
      <w:ind w:left="1680" w:hanging="240"/>
    </w:pPr>
  </w:style>
  <w:style w:type="paragraph" w:styleId="Indeks8">
    <w:name w:val="index 8"/>
    <w:basedOn w:val="Normalny"/>
    <w:next w:val="Normalny"/>
    <w:autoRedefine/>
    <w:uiPriority w:val="99"/>
    <w:rsid w:val="00677FEF"/>
    <w:pPr>
      <w:ind w:left="1920" w:hanging="240"/>
    </w:pPr>
  </w:style>
  <w:style w:type="paragraph" w:styleId="Indeks9">
    <w:name w:val="index 9"/>
    <w:basedOn w:val="Normalny"/>
    <w:next w:val="Normalny"/>
    <w:autoRedefine/>
    <w:uiPriority w:val="99"/>
    <w:rsid w:val="00677FEF"/>
    <w:pPr>
      <w:ind w:left="2160" w:hanging="240"/>
    </w:pPr>
  </w:style>
  <w:style w:type="paragraph" w:styleId="Nagwekindeksu">
    <w:name w:val="index heading"/>
    <w:basedOn w:val="Normalny"/>
    <w:next w:val="Indeks1"/>
    <w:uiPriority w:val="99"/>
    <w:rsid w:val="00677FEF"/>
    <w:rPr>
      <w:rFonts w:ascii="Cambria" w:hAnsi="Cambria"/>
      <w:b/>
      <w:bCs/>
    </w:rPr>
  </w:style>
  <w:style w:type="character" w:styleId="Wyrnienieintensywne">
    <w:name w:val="Intense Emphasis"/>
    <w:basedOn w:val="Domylnaczcionkaakapitu"/>
    <w:uiPriority w:val="99"/>
    <w:qFormat/>
    <w:rsid w:val="00677FEF"/>
    <w:rPr>
      <w:b/>
      <w:i/>
      <w:color w:val="4F81BD"/>
    </w:rPr>
  </w:style>
  <w:style w:type="paragraph" w:styleId="Cytatintensywny">
    <w:name w:val="Intense Quote"/>
    <w:basedOn w:val="Normalny"/>
    <w:next w:val="Normalny"/>
    <w:link w:val="CytatintensywnyZnak"/>
    <w:uiPriority w:val="99"/>
    <w:qFormat/>
    <w:rsid w:val="00677FEF"/>
    <w:pPr>
      <w:pBdr>
        <w:bottom w:val="single" w:sz="4" w:space="4" w:color="4F81BD"/>
      </w:pBdr>
      <w:spacing w:before="200" w:after="280"/>
      <w:ind w:left="936" w:right="936"/>
    </w:pPr>
    <w:rPr>
      <w:b/>
      <w:bCs/>
      <w:i/>
      <w:iCs/>
      <w:color w:val="4F81BD"/>
    </w:rPr>
  </w:style>
  <w:style w:type="character" w:customStyle="1" w:styleId="CytatintensywnyZnak">
    <w:name w:val="Cytat intensywny Znak"/>
    <w:basedOn w:val="Domylnaczcionkaakapitu"/>
    <w:link w:val="Cytatintensywny"/>
    <w:uiPriority w:val="99"/>
    <w:locked/>
    <w:rsid w:val="00677FEF"/>
    <w:rPr>
      <w:b/>
      <w:i/>
      <w:color w:val="4F81BD"/>
      <w:sz w:val="24"/>
      <w:lang w:val="en-GB" w:eastAsia="fr-FR"/>
    </w:rPr>
  </w:style>
  <w:style w:type="character" w:styleId="Odwoanieintensywne">
    <w:name w:val="Intense Reference"/>
    <w:basedOn w:val="Domylnaczcionkaakapitu"/>
    <w:uiPriority w:val="99"/>
    <w:qFormat/>
    <w:rsid w:val="00677FEF"/>
    <w:rPr>
      <w:b/>
      <w:smallCaps/>
      <w:color w:val="C0504D"/>
      <w:spacing w:val="5"/>
      <w:u w:val="single"/>
    </w:rPr>
  </w:style>
  <w:style w:type="table" w:customStyle="1" w:styleId="Grigliachiara1">
    <w:name w:val="Griglia chiara1"/>
    <w:uiPriority w:val="99"/>
    <w:rsid w:val="00677FEF"/>
    <w:rPr>
      <w:sz w:val="20"/>
      <w:szCs w:val="20"/>
      <w:lang w:val="it-IT" w:eastAsia="it-IT"/>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igliachiara-Colore11">
    <w:name w:val="Griglia chiara - Colore 11"/>
    <w:uiPriority w:val="99"/>
    <w:rsid w:val="00677FEF"/>
    <w:rPr>
      <w:sz w:val="20"/>
      <w:szCs w:val="20"/>
      <w:lang w:val="it-IT" w:eastAsia="it-IT"/>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Jasnasiatkaakcent2">
    <w:name w:val="Light Grid Accent 2"/>
    <w:basedOn w:val="Standardowy"/>
    <w:uiPriority w:val="99"/>
    <w:rsid w:val="00677FEF"/>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Jasnasiatkaakcent3">
    <w:name w:val="Light Grid Accent 3"/>
    <w:basedOn w:val="Standardowy"/>
    <w:uiPriority w:val="99"/>
    <w:rsid w:val="00677FEF"/>
    <w:rPr>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Jasnasiatkaakcent4">
    <w:name w:val="Light Grid Accent 4"/>
    <w:basedOn w:val="Standardowy"/>
    <w:uiPriority w:val="99"/>
    <w:rsid w:val="00677FEF"/>
    <w:rPr>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rPr>
        <w:rFonts w:cs="Times New Roman"/>
      </w:rPr>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Jasnasiatkaakcent5">
    <w:name w:val="Light Grid Accent 5"/>
    <w:basedOn w:val="Standardowy"/>
    <w:uiPriority w:val="99"/>
    <w:rsid w:val="00677FEF"/>
    <w:rPr>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Jasnasiatkaakcent6">
    <w:name w:val="Light Grid Accent 6"/>
    <w:basedOn w:val="Standardowy"/>
    <w:uiPriority w:val="99"/>
    <w:rsid w:val="00677FEF"/>
    <w:rPr>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rPr>
        <w:rFonts w:cs="Times New Roman"/>
      </w:rPr>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Elencochiaro1">
    <w:name w:val="Elenco chiaro1"/>
    <w:uiPriority w:val="99"/>
    <w:rsid w:val="00677FEF"/>
    <w:rPr>
      <w:sz w:val="20"/>
      <w:szCs w:val="20"/>
      <w:lang w:val="it-IT" w:eastAsia="it-IT"/>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customStyle="1" w:styleId="Elencochiaro-Colore11">
    <w:name w:val="Elenco chiaro - Colore 11"/>
    <w:uiPriority w:val="99"/>
    <w:rsid w:val="00677FEF"/>
    <w:rPr>
      <w:sz w:val="20"/>
      <w:szCs w:val="20"/>
      <w:lang w:val="it-IT" w:eastAsia="it-IT"/>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styleId="Jasnalistaakcent2">
    <w:name w:val="Light List Accent 2"/>
    <w:basedOn w:val="Standardowy"/>
    <w:uiPriority w:val="99"/>
    <w:rsid w:val="00677FEF"/>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styleId="Jasnalistaakcent3">
    <w:name w:val="Light List Accent 3"/>
    <w:basedOn w:val="Standardowy"/>
    <w:uiPriority w:val="99"/>
    <w:rsid w:val="00677FEF"/>
    <w:rPr>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Jasnalistaakcent4">
    <w:name w:val="Light List Accent 4"/>
    <w:basedOn w:val="Standardowy"/>
    <w:uiPriority w:val="99"/>
    <w:rsid w:val="00677FEF"/>
    <w:rPr>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table" w:styleId="Jasnalistaakcent5">
    <w:name w:val="Light List Accent 5"/>
    <w:basedOn w:val="Standardowy"/>
    <w:uiPriority w:val="99"/>
    <w:rsid w:val="00677FEF"/>
    <w:rPr>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styleId="Jasnalistaakcent6">
    <w:name w:val="Light List Accent 6"/>
    <w:basedOn w:val="Standardowy"/>
    <w:uiPriority w:val="99"/>
    <w:rsid w:val="00677FEF"/>
    <w:rPr>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pPr>
      <w:rPr>
        <w:rFonts w:cs="Times New Roman"/>
        <w:b/>
        <w:bCs/>
        <w:color w:val="FFFFFF"/>
      </w:rPr>
      <w:tblPr/>
      <w:tcPr>
        <w:shd w:val="clear" w:color="auto" w:fill="F79646"/>
      </w:tcPr>
    </w:tblStylePr>
    <w:tblStylePr w:type="lastRow">
      <w:pPr>
        <w:spacing w:before="0" w:after="0"/>
      </w:pPr>
      <w:rPr>
        <w:rFonts w:cs="Times New Roman"/>
        <w:b/>
        <w:bCs/>
      </w:rPr>
      <w:tblPr/>
      <w:tcPr>
        <w:tcBorders>
          <w:top w:val="double" w:sz="6" w:space="0" w:color="F79646"/>
          <w:left w:val="single" w:sz="8" w:space="0" w:color="F79646"/>
          <w:bottom w:val="single" w:sz="8" w:space="0" w:color="F79646"/>
          <w:right w:val="single" w:sz="8" w:space="0" w:color="F7964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tcBorders>
      </w:tcPr>
    </w:tblStylePr>
  </w:style>
  <w:style w:type="table" w:customStyle="1" w:styleId="Sfondochiaro1">
    <w:name w:val="Sfondo chiaro1"/>
    <w:uiPriority w:val="99"/>
    <w:rsid w:val="00677FEF"/>
    <w:rPr>
      <w:color w:val="000000"/>
      <w:sz w:val="20"/>
      <w:szCs w:val="20"/>
      <w:lang w:val="it-IT" w:eastAsia="it-IT"/>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Sfondochiaro-Colore11">
    <w:name w:val="Sfondo chiaro - Colore 11"/>
    <w:uiPriority w:val="99"/>
    <w:rsid w:val="00677FEF"/>
    <w:rPr>
      <w:color w:val="365F91"/>
      <w:sz w:val="20"/>
      <w:szCs w:val="20"/>
      <w:lang w:val="it-IT" w:eastAsia="it-IT"/>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styleId="Jasnecieniowanieakcent2">
    <w:name w:val="Light Shading Accent 2"/>
    <w:basedOn w:val="Standardowy"/>
    <w:uiPriority w:val="99"/>
    <w:rsid w:val="00677FEF"/>
    <w:rPr>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styleId="Jasnecieniowanieakcent3">
    <w:name w:val="Light Shading Accent 3"/>
    <w:basedOn w:val="Standardowy"/>
    <w:uiPriority w:val="99"/>
    <w:rsid w:val="00677FEF"/>
    <w:rPr>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styleId="Jasnecieniowanieakcent4">
    <w:name w:val="Light Shading Accent 4"/>
    <w:basedOn w:val="Standardowy"/>
    <w:uiPriority w:val="99"/>
    <w:rsid w:val="00677FEF"/>
    <w:rPr>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Jasnecieniowanieakcent5">
    <w:name w:val="Light Shading Accent 5"/>
    <w:basedOn w:val="Standardowy"/>
    <w:uiPriority w:val="99"/>
    <w:rsid w:val="00677FEF"/>
    <w:rPr>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table" w:styleId="Jasnecieniowanieakcent6">
    <w:name w:val="Light Shading Accent 6"/>
    <w:basedOn w:val="Standardowy"/>
    <w:uiPriority w:val="99"/>
    <w:rsid w:val="00677FEF"/>
    <w:rPr>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la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left w:val="nil"/>
          <w:right w:val="nil"/>
          <w:insideH w:val="nil"/>
          <w:insideV w:val="nil"/>
        </w:tcBorders>
        <w:shd w:val="clear" w:color="auto" w:fill="FDE4D0"/>
      </w:tcPr>
    </w:tblStylePr>
  </w:style>
  <w:style w:type="character" w:styleId="Numerwiersza">
    <w:name w:val="line number"/>
    <w:basedOn w:val="Domylnaczcionkaakapitu"/>
    <w:uiPriority w:val="99"/>
    <w:rsid w:val="00677FEF"/>
    <w:rPr>
      <w:rFonts w:cs="Times New Roman"/>
    </w:rPr>
  </w:style>
  <w:style w:type="paragraph" w:styleId="Lista">
    <w:name w:val="List"/>
    <w:basedOn w:val="Normalny"/>
    <w:uiPriority w:val="99"/>
    <w:rsid w:val="00677FEF"/>
    <w:pPr>
      <w:ind w:left="283" w:hanging="283"/>
      <w:contextualSpacing/>
    </w:pPr>
  </w:style>
  <w:style w:type="paragraph" w:styleId="Lista2">
    <w:name w:val="List 2"/>
    <w:basedOn w:val="Normalny"/>
    <w:uiPriority w:val="99"/>
    <w:rsid w:val="00677FEF"/>
    <w:pPr>
      <w:ind w:left="566" w:hanging="283"/>
      <w:contextualSpacing/>
    </w:pPr>
  </w:style>
  <w:style w:type="paragraph" w:styleId="Lista3">
    <w:name w:val="List 3"/>
    <w:basedOn w:val="Normalny"/>
    <w:uiPriority w:val="99"/>
    <w:rsid w:val="00677FEF"/>
    <w:pPr>
      <w:ind w:left="849" w:hanging="283"/>
      <w:contextualSpacing/>
    </w:pPr>
  </w:style>
  <w:style w:type="paragraph" w:styleId="Lista4">
    <w:name w:val="List 4"/>
    <w:basedOn w:val="Normalny"/>
    <w:uiPriority w:val="99"/>
    <w:rsid w:val="00677FEF"/>
    <w:pPr>
      <w:ind w:left="1132" w:hanging="283"/>
      <w:contextualSpacing/>
    </w:pPr>
  </w:style>
  <w:style w:type="paragraph" w:styleId="Lista5">
    <w:name w:val="List 5"/>
    <w:basedOn w:val="Normalny"/>
    <w:uiPriority w:val="99"/>
    <w:rsid w:val="00677FEF"/>
    <w:pPr>
      <w:ind w:left="1415" w:hanging="283"/>
      <w:contextualSpacing/>
    </w:pPr>
  </w:style>
  <w:style w:type="paragraph" w:styleId="Listapunktowana">
    <w:name w:val="List Bullet"/>
    <w:basedOn w:val="Normalny"/>
    <w:uiPriority w:val="99"/>
    <w:rsid w:val="00677FEF"/>
    <w:pPr>
      <w:numPr>
        <w:numId w:val="11"/>
      </w:numPr>
      <w:contextualSpacing/>
    </w:pPr>
  </w:style>
  <w:style w:type="paragraph" w:styleId="Listapunktowana2">
    <w:name w:val="List Bullet 2"/>
    <w:basedOn w:val="Normalny"/>
    <w:uiPriority w:val="99"/>
    <w:rsid w:val="00677FEF"/>
    <w:pPr>
      <w:numPr>
        <w:numId w:val="12"/>
      </w:numPr>
      <w:contextualSpacing/>
    </w:pPr>
  </w:style>
  <w:style w:type="paragraph" w:styleId="Listapunktowana3">
    <w:name w:val="List Bullet 3"/>
    <w:basedOn w:val="Normalny"/>
    <w:uiPriority w:val="99"/>
    <w:rsid w:val="00677FEF"/>
    <w:pPr>
      <w:numPr>
        <w:numId w:val="13"/>
      </w:numPr>
      <w:contextualSpacing/>
    </w:pPr>
  </w:style>
  <w:style w:type="paragraph" w:styleId="Listapunktowana4">
    <w:name w:val="List Bullet 4"/>
    <w:basedOn w:val="Normalny"/>
    <w:uiPriority w:val="99"/>
    <w:rsid w:val="00677FEF"/>
    <w:pPr>
      <w:numPr>
        <w:numId w:val="19"/>
      </w:numPr>
      <w:contextualSpacing/>
    </w:pPr>
  </w:style>
  <w:style w:type="paragraph" w:styleId="Listapunktowana5">
    <w:name w:val="List Bullet 5"/>
    <w:basedOn w:val="Normalny"/>
    <w:uiPriority w:val="99"/>
    <w:rsid w:val="00677FEF"/>
    <w:pPr>
      <w:numPr>
        <w:numId w:val="14"/>
      </w:numPr>
      <w:contextualSpacing/>
    </w:pPr>
  </w:style>
  <w:style w:type="paragraph" w:styleId="Lista-kontynuacja">
    <w:name w:val="List Continue"/>
    <w:basedOn w:val="Normalny"/>
    <w:uiPriority w:val="99"/>
    <w:rsid w:val="00677FEF"/>
    <w:pPr>
      <w:spacing w:after="120"/>
      <w:ind w:left="283"/>
      <w:contextualSpacing/>
    </w:pPr>
  </w:style>
  <w:style w:type="paragraph" w:styleId="Lista-kontynuacja2">
    <w:name w:val="List Continue 2"/>
    <w:basedOn w:val="Normalny"/>
    <w:uiPriority w:val="99"/>
    <w:rsid w:val="00677FEF"/>
    <w:pPr>
      <w:spacing w:after="120"/>
      <w:ind w:left="566"/>
      <w:contextualSpacing/>
    </w:pPr>
  </w:style>
  <w:style w:type="paragraph" w:styleId="Lista-kontynuacja3">
    <w:name w:val="List Continue 3"/>
    <w:basedOn w:val="Normalny"/>
    <w:uiPriority w:val="99"/>
    <w:rsid w:val="00677FEF"/>
    <w:pPr>
      <w:spacing w:after="120"/>
      <w:ind w:left="849"/>
      <w:contextualSpacing/>
    </w:pPr>
  </w:style>
  <w:style w:type="paragraph" w:styleId="Lista-kontynuacja4">
    <w:name w:val="List Continue 4"/>
    <w:basedOn w:val="Normalny"/>
    <w:uiPriority w:val="99"/>
    <w:rsid w:val="00677FEF"/>
    <w:pPr>
      <w:spacing w:after="120"/>
      <w:ind w:left="1132"/>
      <w:contextualSpacing/>
    </w:pPr>
  </w:style>
  <w:style w:type="paragraph" w:styleId="Lista-kontynuacja5">
    <w:name w:val="List Continue 5"/>
    <w:basedOn w:val="Normalny"/>
    <w:uiPriority w:val="99"/>
    <w:rsid w:val="00677FEF"/>
    <w:pPr>
      <w:spacing w:after="120"/>
      <w:ind w:left="1415"/>
      <w:contextualSpacing/>
    </w:pPr>
  </w:style>
  <w:style w:type="paragraph" w:styleId="Listanumerowana">
    <w:name w:val="List Number"/>
    <w:basedOn w:val="Normalny"/>
    <w:uiPriority w:val="99"/>
    <w:rsid w:val="00677FEF"/>
    <w:pPr>
      <w:numPr>
        <w:numId w:val="15"/>
      </w:numPr>
      <w:contextualSpacing/>
    </w:pPr>
  </w:style>
  <w:style w:type="paragraph" w:styleId="Listanumerowana2">
    <w:name w:val="List Number 2"/>
    <w:basedOn w:val="Normalny"/>
    <w:uiPriority w:val="99"/>
    <w:rsid w:val="00677FEF"/>
    <w:pPr>
      <w:numPr>
        <w:numId w:val="20"/>
      </w:numPr>
      <w:contextualSpacing/>
    </w:pPr>
  </w:style>
  <w:style w:type="paragraph" w:styleId="Listanumerowana3">
    <w:name w:val="List Number 3"/>
    <w:basedOn w:val="Normalny"/>
    <w:uiPriority w:val="99"/>
    <w:rsid w:val="00677FEF"/>
    <w:pPr>
      <w:numPr>
        <w:numId w:val="21"/>
      </w:numPr>
      <w:contextualSpacing/>
    </w:pPr>
  </w:style>
  <w:style w:type="paragraph" w:styleId="Listanumerowana4">
    <w:name w:val="List Number 4"/>
    <w:basedOn w:val="Normalny"/>
    <w:uiPriority w:val="99"/>
    <w:rsid w:val="00677FEF"/>
    <w:pPr>
      <w:numPr>
        <w:numId w:val="22"/>
      </w:numPr>
      <w:contextualSpacing/>
    </w:pPr>
  </w:style>
  <w:style w:type="paragraph" w:styleId="Listanumerowana5">
    <w:name w:val="List Number 5"/>
    <w:basedOn w:val="Normalny"/>
    <w:uiPriority w:val="99"/>
    <w:rsid w:val="00677FEF"/>
    <w:pPr>
      <w:numPr>
        <w:numId w:val="23"/>
      </w:numPr>
      <w:contextualSpacing/>
    </w:pPr>
  </w:style>
  <w:style w:type="paragraph" w:styleId="Akapitzlist">
    <w:name w:val="List Paragraph"/>
    <w:basedOn w:val="Normalny"/>
    <w:uiPriority w:val="99"/>
    <w:qFormat/>
    <w:rsid w:val="00677FEF"/>
    <w:pPr>
      <w:ind w:left="720"/>
    </w:pPr>
  </w:style>
  <w:style w:type="paragraph" w:styleId="Tekstmakra">
    <w:name w:val="macro"/>
    <w:link w:val="TekstmakraZnak"/>
    <w:uiPriority w:val="99"/>
    <w:rsid w:val="00677FEF"/>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sz w:val="20"/>
      <w:szCs w:val="20"/>
      <w:lang w:val="en-GB" w:eastAsia="fr-FR"/>
    </w:rPr>
  </w:style>
  <w:style w:type="character" w:customStyle="1" w:styleId="TekstmakraZnak">
    <w:name w:val="Tekst makra Znak"/>
    <w:basedOn w:val="Domylnaczcionkaakapitu"/>
    <w:link w:val="Tekstmakra"/>
    <w:uiPriority w:val="99"/>
    <w:locked/>
    <w:rsid w:val="00677FEF"/>
    <w:rPr>
      <w:rFonts w:ascii="Courier New" w:hAnsi="Courier New"/>
      <w:lang w:val="en-GB" w:eastAsia="fr-FR"/>
    </w:rPr>
  </w:style>
  <w:style w:type="table" w:customStyle="1" w:styleId="Grigliamedia11">
    <w:name w:val="Griglia media 11"/>
    <w:uiPriority w:val="99"/>
    <w:rsid w:val="00677FEF"/>
    <w:rPr>
      <w:sz w:val="20"/>
      <w:szCs w:val="20"/>
      <w:lang w:val="it-IT" w:eastAsia="it-IT"/>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rsid w:val="00677FEF"/>
    <w:rPr>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redniasiatka1akcent2">
    <w:name w:val="Medium Grid 1 Accent 2"/>
    <w:basedOn w:val="Standardowy"/>
    <w:uiPriority w:val="99"/>
    <w:rsid w:val="00677FEF"/>
    <w:rPr>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rFonts w:cs="Times New Roman"/>
        <w:b/>
        <w:bCs/>
      </w:rPr>
    </w:tblStylePr>
    <w:tblStylePr w:type="lastRow">
      <w:rPr>
        <w:rFonts w:cs="Times New Roman"/>
        <w:b/>
        <w:bCs/>
      </w:rPr>
      <w:tblPr/>
      <w:tcPr>
        <w:tcBorders>
          <w:top w:val="single" w:sz="18" w:space="0" w:color="CF7B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A7A6"/>
      </w:tcPr>
    </w:tblStylePr>
    <w:tblStylePr w:type="band1Horz">
      <w:rPr>
        <w:rFonts w:cs="Times New Roman"/>
      </w:rPr>
      <w:tblPr/>
      <w:tcPr>
        <w:shd w:val="clear" w:color="auto" w:fill="DFA7A6"/>
      </w:tcPr>
    </w:tblStylePr>
  </w:style>
  <w:style w:type="table" w:styleId="redniasiatka1akcent3">
    <w:name w:val="Medium Grid 1 Accent 3"/>
    <w:basedOn w:val="Standardowy"/>
    <w:uiPriority w:val="99"/>
    <w:rsid w:val="00677FEF"/>
    <w:rPr>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rFonts w:cs="Times New Roman"/>
        <w:b/>
        <w:bCs/>
      </w:rPr>
    </w:tblStylePr>
    <w:tblStylePr w:type="lastRow">
      <w:rPr>
        <w:rFonts w:cs="Times New Roman"/>
        <w:b/>
        <w:bCs/>
      </w:rPr>
      <w:tblPr/>
      <w:tcPr>
        <w:tcBorders>
          <w:top w:val="single" w:sz="18" w:space="0" w:color="B3CC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redniasiatka1akcent4">
    <w:name w:val="Medium Grid 1 Accent 4"/>
    <w:basedOn w:val="Standardowy"/>
    <w:uiPriority w:val="99"/>
    <w:rsid w:val="00677FEF"/>
    <w:rPr>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rFonts w:cs="Times New Roman"/>
        <w:b/>
        <w:bCs/>
      </w:rPr>
    </w:tblStylePr>
    <w:tblStylePr w:type="lastRow">
      <w:rPr>
        <w:rFonts w:cs="Times New Roman"/>
        <w:b/>
        <w:bCs/>
      </w:rPr>
      <w:tblPr/>
      <w:tcPr>
        <w:tcBorders>
          <w:top w:val="single" w:sz="18" w:space="0" w:color="9F8AB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FB1D0"/>
      </w:tcPr>
    </w:tblStylePr>
    <w:tblStylePr w:type="band1Horz">
      <w:rPr>
        <w:rFonts w:cs="Times New Roman"/>
      </w:rPr>
      <w:tblPr/>
      <w:tcPr>
        <w:shd w:val="clear" w:color="auto" w:fill="BFB1D0"/>
      </w:tcPr>
    </w:tblStylePr>
  </w:style>
  <w:style w:type="table" w:styleId="redniasiatka1akcent5">
    <w:name w:val="Medium Grid 1 Accent 5"/>
    <w:basedOn w:val="Standardowy"/>
    <w:uiPriority w:val="99"/>
    <w:rsid w:val="00677FEF"/>
    <w:rPr>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cs="Times New Roman"/>
        <w:b/>
        <w:bCs/>
      </w:rPr>
    </w:tblStylePr>
    <w:tblStylePr w:type="lastRow">
      <w:rPr>
        <w:rFonts w:cs="Times New Roman"/>
        <w:b/>
        <w:bCs/>
      </w:rPr>
      <w:tblPr/>
      <w:tcPr>
        <w:tcBorders>
          <w:top w:val="single" w:sz="18" w:space="0" w:color="78C0D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5D5E2"/>
      </w:tcPr>
    </w:tblStylePr>
    <w:tblStylePr w:type="band1Horz">
      <w:rPr>
        <w:rFonts w:cs="Times New Roman"/>
      </w:rPr>
      <w:tblPr/>
      <w:tcPr>
        <w:shd w:val="clear" w:color="auto" w:fill="A5D5E2"/>
      </w:tcPr>
    </w:tblStylePr>
  </w:style>
  <w:style w:type="table" w:styleId="redniasiatka1akcent6">
    <w:name w:val="Medium Grid 1 Accent 6"/>
    <w:basedOn w:val="Standardowy"/>
    <w:uiPriority w:val="99"/>
    <w:rsid w:val="00677FEF"/>
    <w:rPr>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rFonts w:cs="Times New Roman"/>
        <w:b/>
        <w:bCs/>
      </w:rPr>
    </w:tblStylePr>
    <w:tblStylePr w:type="lastRow">
      <w:rPr>
        <w:rFonts w:cs="Times New Roman"/>
        <w:b/>
        <w:bCs/>
      </w:rPr>
      <w:tblPr/>
      <w:tcPr>
        <w:tcBorders>
          <w:top w:val="single" w:sz="18" w:space="0" w:color="F9B07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CAA2"/>
      </w:tcPr>
    </w:tblStylePr>
    <w:tblStylePr w:type="band1Horz">
      <w:rPr>
        <w:rFonts w:cs="Times New Roman"/>
      </w:rPr>
      <w:tblPr/>
      <w:tcPr>
        <w:shd w:val="clear" w:color="auto" w:fill="FBCAA2"/>
      </w:tcPr>
    </w:tblStylePr>
  </w:style>
  <w:style w:type="table" w:customStyle="1" w:styleId="Grigliamedia21">
    <w:name w:val="Griglia media 21"/>
    <w:uiPriority w:val="99"/>
    <w:rsid w:val="00677FEF"/>
    <w:rPr>
      <w:rFonts w:ascii="Cambria" w:hAnsi="Cambria"/>
      <w:color w:val="000000"/>
      <w:sz w:val="20"/>
      <w:szCs w:val="20"/>
      <w:lang w:val="it-IT" w:eastAsia="it-IT"/>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FFFFFF"/>
      </w:tcPr>
    </w:tblStylePr>
  </w:style>
  <w:style w:type="table" w:styleId="redniasiatka2akcent1">
    <w:name w:val="Medium Grid 2 Accent 1"/>
    <w:basedOn w:val="Standardowy"/>
    <w:uiPriority w:val="99"/>
    <w:rsid w:val="00677FEF"/>
    <w:rPr>
      <w:rFonts w:ascii="Cambria" w:hAnsi="Cambria"/>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rFonts w:cs="Times New Roman"/>
        <w:b/>
        <w:bCs/>
        <w:color w:val="000000"/>
      </w:rPr>
      <w:tblPr/>
      <w:tcPr>
        <w:shd w:val="clear" w:color="auto" w:fill="EDF2F8"/>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BE5F1"/>
      </w:tcPr>
    </w:tblStylePr>
    <w:tblStylePr w:type="band1Vert">
      <w:rPr>
        <w:rFonts w:cs="Times New Roman"/>
      </w:rPr>
      <w:tblPr/>
      <w:tcPr>
        <w:shd w:val="clear" w:color="auto" w:fill="A7BFDE"/>
      </w:tcPr>
    </w:tblStylePr>
    <w:tblStylePr w:type="band1Horz">
      <w:rPr>
        <w:rFonts w:cs="Times New Roman"/>
      </w:rPr>
      <w:tblPr/>
      <w:tcPr>
        <w:tcBorders>
          <w:insideH w:val="single" w:sz="6" w:space="0" w:color="4F81BD"/>
          <w:insideV w:val="single" w:sz="6" w:space="0" w:color="4F81BD"/>
        </w:tcBorders>
        <w:shd w:val="clear" w:color="auto" w:fill="A7BFDE"/>
      </w:tcPr>
    </w:tblStylePr>
    <w:tblStylePr w:type="nwCell">
      <w:rPr>
        <w:rFonts w:cs="Times New Roman"/>
      </w:rPr>
      <w:tblPr/>
      <w:tcPr>
        <w:shd w:val="clear" w:color="auto" w:fill="FFFFFF"/>
      </w:tcPr>
    </w:tblStylePr>
  </w:style>
  <w:style w:type="table" w:styleId="redniasiatka2akcent2">
    <w:name w:val="Medium Grid 2 Accent 2"/>
    <w:basedOn w:val="Standardowy"/>
    <w:uiPriority w:val="99"/>
    <w:rsid w:val="00677FEF"/>
    <w:rPr>
      <w:rFonts w:ascii="Cambria" w:hAnsi="Cambria"/>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rFonts w:cs="Times New Roman"/>
        <w:b/>
        <w:bCs/>
        <w:color w:val="000000"/>
      </w:rPr>
      <w:tblPr/>
      <w:tcPr>
        <w:shd w:val="clear" w:color="auto" w:fill="F8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F2DBDB"/>
      </w:tcPr>
    </w:tblStylePr>
    <w:tblStylePr w:type="band1Vert">
      <w:rPr>
        <w:rFonts w:cs="Times New Roman"/>
      </w:rPr>
      <w:tblPr/>
      <w:tcPr>
        <w:shd w:val="clear" w:color="auto" w:fill="DFA7A6"/>
      </w:tcPr>
    </w:tblStylePr>
    <w:tblStylePr w:type="band1Horz">
      <w:rPr>
        <w:rFonts w:cs="Times New Roman"/>
      </w:rPr>
      <w:tblPr/>
      <w:tcPr>
        <w:tcBorders>
          <w:insideH w:val="single" w:sz="6" w:space="0" w:color="C0504D"/>
          <w:insideV w:val="single" w:sz="6" w:space="0" w:color="C0504D"/>
        </w:tcBorders>
        <w:shd w:val="clear" w:color="auto" w:fill="DFA7A6"/>
      </w:tcPr>
    </w:tblStylePr>
    <w:tblStylePr w:type="nwCell">
      <w:rPr>
        <w:rFonts w:cs="Times New Roman"/>
      </w:rPr>
      <w:tblPr/>
      <w:tcPr>
        <w:shd w:val="clear" w:color="auto" w:fill="FFFFFF"/>
      </w:tcPr>
    </w:tblStylePr>
  </w:style>
  <w:style w:type="table" w:styleId="redniasiatka2akcent3">
    <w:name w:val="Medium Grid 2 Accent 3"/>
    <w:basedOn w:val="Standardowy"/>
    <w:uiPriority w:val="99"/>
    <w:rsid w:val="00677FEF"/>
    <w:rPr>
      <w:rFonts w:ascii="Cambria" w:hAnsi="Cambria"/>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rFonts w:cs="Times New Roman"/>
        <w:b/>
        <w:bCs/>
        <w:color w:val="000000"/>
      </w:rPr>
      <w:tblPr/>
      <w:tcPr>
        <w:shd w:val="clear" w:color="auto" w:fill="F5F8EE"/>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EAF1DD"/>
      </w:tcPr>
    </w:tblStylePr>
    <w:tblStylePr w:type="band1Vert">
      <w:rPr>
        <w:rFonts w:cs="Times New Roman"/>
      </w:rPr>
      <w:tblPr/>
      <w:tcPr>
        <w:shd w:val="clear" w:color="auto" w:fill="CDDDAC"/>
      </w:tcPr>
    </w:tblStylePr>
    <w:tblStylePr w:type="band1Horz">
      <w:rPr>
        <w:rFonts w:cs="Times New Roman"/>
      </w:rPr>
      <w:tblPr/>
      <w:tcPr>
        <w:tcBorders>
          <w:insideH w:val="single" w:sz="6" w:space="0" w:color="9BBB59"/>
          <w:insideV w:val="single" w:sz="6" w:space="0" w:color="9BBB59"/>
        </w:tcBorders>
        <w:shd w:val="clear" w:color="auto" w:fill="CDDDAC"/>
      </w:tcPr>
    </w:tblStylePr>
    <w:tblStylePr w:type="nwCell">
      <w:rPr>
        <w:rFonts w:cs="Times New Roman"/>
      </w:rPr>
      <w:tblPr/>
      <w:tcPr>
        <w:shd w:val="clear" w:color="auto" w:fill="FFFFFF"/>
      </w:tcPr>
    </w:tblStylePr>
  </w:style>
  <w:style w:type="table" w:styleId="redniasiatka2akcent4">
    <w:name w:val="Medium Grid 2 Accent 4"/>
    <w:basedOn w:val="Standardowy"/>
    <w:uiPriority w:val="99"/>
    <w:rsid w:val="00677FEF"/>
    <w:rPr>
      <w:rFonts w:ascii="Cambria" w:hAnsi="Cambria"/>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rFonts w:cs="Times New Roman"/>
        <w:b/>
        <w:bCs/>
        <w:color w:val="000000"/>
      </w:rPr>
      <w:tblPr/>
      <w:tcPr>
        <w:shd w:val="clear" w:color="auto" w:fill="F2EFF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E5DFEC"/>
      </w:tcPr>
    </w:tblStylePr>
    <w:tblStylePr w:type="band1Vert">
      <w:rPr>
        <w:rFonts w:cs="Times New Roman"/>
      </w:rPr>
      <w:tblPr/>
      <w:tcPr>
        <w:shd w:val="clear" w:color="auto" w:fill="BFB1D0"/>
      </w:tcPr>
    </w:tblStylePr>
    <w:tblStylePr w:type="band1Horz">
      <w:rPr>
        <w:rFonts w:cs="Times New Roman"/>
      </w:rPr>
      <w:tblPr/>
      <w:tcPr>
        <w:tcBorders>
          <w:insideH w:val="single" w:sz="6" w:space="0" w:color="8064A2"/>
          <w:insideV w:val="single" w:sz="6" w:space="0" w:color="8064A2"/>
        </w:tcBorders>
        <w:shd w:val="clear" w:color="auto" w:fill="BFB1D0"/>
      </w:tcPr>
    </w:tblStylePr>
    <w:tblStylePr w:type="nwCell">
      <w:rPr>
        <w:rFonts w:cs="Times New Roman"/>
      </w:rPr>
      <w:tblPr/>
      <w:tcPr>
        <w:shd w:val="clear" w:color="auto" w:fill="FFFFFF"/>
      </w:tcPr>
    </w:tblStylePr>
  </w:style>
  <w:style w:type="table" w:styleId="redniasiatka2akcent5">
    <w:name w:val="Medium Grid 2 Accent 5"/>
    <w:basedOn w:val="Standardowy"/>
    <w:uiPriority w:val="99"/>
    <w:rsid w:val="00677FEF"/>
    <w:rPr>
      <w:rFonts w:ascii="Cambria" w:hAnsi="Cambria"/>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cs="Times New Roman"/>
        <w:b/>
        <w:bCs/>
        <w:color w:val="000000"/>
      </w:rPr>
      <w:tblPr/>
      <w:tcPr>
        <w:shd w:val="clear" w:color="auto" w:fill="EDF6F9"/>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AEEF3"/>
      </w:tcPr>
    </w:tblStylePr>
    <w:tblStylePr w:type="band1Vert">
      <w:rPr>
        <w:rFonts w:cs="Times New Roman"/>
      </w:rPr>
      <w:tblPr/>
      <w:tcPr>
        <w:shd w:val="clear" w:color="auto" w:fill="A5D5E2"/>
      </w:tcPr>
    </w:tblStylePr>
    <w:tblStylePr w:type="band1Horz">
      <w:rPr>
        <w:rFonts w:cs="Times New Roman"/>
      </w:rPr>
      <w:tblPr/>
      <w:tcPr>
        <w:tcBorders>
          <w:insideH w:val="single" w:sz="6" w:space="0" w:color="4BACC6"/>
          <w:insideV w:val="single" w:sz="6" w:space="0" w:color="4BACC6"/>
        </w:tcBorders>
        <w:shd w:val="clear" w:color="auto" w:fill="A5D5E2"/>
      </w:tcPr>
    </w:tblStylePr>
    <w:tblStylePr w:type="nwCell">
      <w:rPr>
        <w:rFonts w:cs="Times New Roman"/>
      </w:rPr>
      <w:tblPr/>
      <w:tcPr>
        <w:shd w:val="clear" w:color="auto" w:fill="FFFFFF"/>
      </w:tcPr>
    </w:tblStylePr>
  </w:style>
  <w:style w:type="table" w:styleId="redniasiatka2akcent6">
    <w:name w:val="Medium Grid 2 Accent 6"/>
    <w:basedOn w:val="Standardowy"/>
    <w:uiPriority w:val="99"/>
    <w:rsid w:val="00677FEF"/>
    <w:rPr>
      <w:rFonts w:ascii="Cambria" w:hAnsi="Cambria"/>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rFonts w:cs="Times New Roman"/>
        <w:b/>
        <w:bCs/>
        <w:color w:val="000000"/>
      </w:rPr>
      <w:tblPr/>
      <w:tcPr>
        <w:shd w:val="clear" w:color="auto" w:fill="FEF4EC"/>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FDE9D9"/>
      </w:tcPr>
    </w:tblStylePr>
    <w:tblStylePr w:type="band1Vert">
      <w:rPr>
        <w:rFonts w:cs="Times New Roman"/>
      </w:rPr>
      <w:tblPr/>
      <w:tcPr>
        <w:shd w:val="clear" w:color="auto" w:fill="FBCAA2"/>
      </w:tcPr>
    </w:tblStylePr>
    <w:tblStylePr w:type="band1Horz">
      <w:rPr>
        <w:rFonts w:cs="Times New Roman"/>
      </w:rPr>
      <w:tblPr/>
      <w:tcPr>
        <w:tcBorders>
          <w:insideH w:val="single" w:sz="6" w:space="0" w:color="F79646"/>
          <w:insideV w:val="single" w:sz="6" w:space="0" w:color="F79646"/>
        </w:tcBorders>
        <w:shd w:val="clear" w:color="auto" w:fill="FBCAA2"/>
      </w:tcPr>
    </w:tblStylePr>
    <w:tblStylePr w:type="nwCell">
      <w:rPr>
        <w:rFonts w:cs="Times New Roman"/>
      </w:rPr>
      <w:tblPr/>
      <w:tcPr>
        <w:shd w:val="clear" w:color="auto" w:fill="FFFFFF"/>
      </w:tcPr>
    </w:tblStylePr>
  </w:style>
  <w:style w:type="table" w:customStyle="1" w:styleId="Grigliamedia31">
    <w:name w:val="Griglia media 31"/>
    <w:uiPriority w:val="99"/>
    <w:rsid w:val="00677FEF"/>
    <w:rPr>
      <w:sz w:val="20"/>
      <w:szCs w:val="20"/>
      <w:lang w:val="it-IT" w:eastAsia="it-IT"/>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siatka3akcent1">
    <w:name w:val="Medium Grid 3 Accent 1"/>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redniasiatka3akcent2">
    <w:name w:val="Medium Grid 3 Accent 2"/>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redniasiatka3akcent3">
    <w:name w:val="Medium Grid 3 Accent 3"/>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redniasiatka3akcent4">
    <w:name w:val="Medium Grid 3 Accent 4"/>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redniasiatka3akcent5">
    <w:name w:val="Medium Grid 3 Accent 5"/>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redniasiatka3akcent6">
    <w:name w:val="Medium Grid 3 Accent 6"/>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Elencomedio11">
    <w:name w:val="Elenco medio 11"/>
    <w:uiPriority w:val="99"/>
    <w:rsid w:val="00677FEF"/>
    <w:rPr>
      <w:color w:val="000000"/>
      <w:sz w:val="20"/>
      <w:szCs w:val="20"/>
      <w:lang w:val="it-IT" w:eastAsia="it-IT"/>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rFonts w:cs="Times New Roman"/>
        <w:b/>
        <w:bCs/>
        <w:color w:val="1F497D"/>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customStyle="1" w:styleId="Elencomedio1-Colore11">
    <w:name w:val="Elenco medio 1 - Colore 11"/>
    <w:uiPriority w:val="99"/>
    <w:rsid w:val="00677FEF"/>
    <w:rPr>
      <w:color w:val="000000"/>
      <w:sz w:val="20"/>
      <w:szCs w:val="20"/>
      <w:lang w:val="it-IT" w:eastAsia="it-IT"/>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rFonts w:cs="Times New Roman"/>
        <w:b/>
        <w:bCs/>
        <w:color w:val="1F497D"/>
      </w:rPr>
      <w:tblPr/>
      <w:tcPr>
        <w:tcBorders>
          <w:top w:val="single" w:sz="8" w:space="0" w:color="4F81BD"/>
          <w:bottom w:val="single" w:sz="8" w:space="0" w:color="4F81BD"/>
        </w:tcBorders>
      </w:tcPr>
    </w:tblStylePr>
    <w:tblStylePr w:type="firstCol">
      <w:rPr>
        <w:rFonts w:cs="Times New Roman"/>
        <w:b/>
        <w:bCs/>
      </w:rPr>
    </w:tblStylePr>
    <w:tblStylePr w:type="lastCol">
      <w:rPr>
        <w:rFonts w:cs="Times New Roman"/>
        <w:b/>
        <w:bCs/>
      </w:rPr>
      <w:tblPr/>
      <w:tcPr>
        <w:tcBorders>
          <w:top w:val="single" w:sz="8" w:space="0" w:color="4F81BD"/>
          <w:bottom w:val="single" w:sz="8" w:space="0" w:color="4F81BD"/>
        </w:tcBorders>
      </w:tcPr>
    </w:tblStylePr>
    <w:tblStylePr w:type="band1Vert">
      <w:rPr>
        <w:rFonts w:cs="Times New Roman"/>
      </w:rPr>
      <w:tblPr/>
      <w:tcPr>
        <w:shd w:val="clear" w:color="auto" w:fill="D3DFEE"/>
      </w:tcPr>
    </w:tblStylePr>
    <w:tblStylePr w:type="band1Horz">
      <w:rPr>
        <w:rFonts w:cs="Times New Roman"/>
      </w:rPr>
      <w:tblPr/>
      <w:tcPr>
        <w:shd w:val="clear" w:color="auto" w:fill="D3DFEE"/>
      </w:tcPr>
    </w:tblStylePr>
  </w:style>
  <w:style w:type="table" w:styleId="rednialista1akcent2">
    <w:name w:val="Medium List 1 Accent 2"/>
    <w:basedOn w:val="Standardowy"/>
    <w:uiPriority w:val="99"/>
    <w:rsid w:val="00677FEF"/>
    <w:rPr>
      <w:color w:val="000000"/>
      <w:sz w:val="20"/>
      <w:szCs w:val="2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rFonts w:cs="Times New Roman"/>
        <w:b/>
        <w:bCs/>
        <w:color w:val="1F497D"/>
      </w:rPr>
      <w:tblPr/>
      <w:tcPr>
        <w:tcBorders>
          <w:top w:val="single" w:sz="8" w:space="0" w:color="C0504D"/>
          <w:bottom w:val="single" w:sz="8" w:space="0" w:color="C0504D"/>
        </w:tcBorders>
      </w:tcPr>
    </w:tblStylePr>
    <w:tblStylePr w:type="firstCol">
      <w:rPr>
        <w:rFonts w:cs="Times New Roman"/>
        <w:b/>
        <w:bCs/>
      </w:rPr>
    </w:tblStylePr>
    <w:tblStylePr w:type="lastCol">
      <w:rPr>
        <w:rFonts w:cs="Times New Roman"/>
        <w:b/>
        <w:bCs/>
      </w:rPr>
      <w:tblPr/>
      <w:tcPr>
        <w:tcBorders>
          <w:top w:val="single" w:sz="8" w:space="0" w:color="C0504D"/>
          <w:bottom w:val="single" w:sz="8" w:space="0" w:color="C0504D"/>
        </w:tcBorders>
      </w:tcPr>
    </w:tblStylePr>
    <w:tblStylePr w:type="band1Vert">
      <w:rPr>
        <w:rFonts w:cs="Times New Roman"/>
      </w:rPr>
      <w:tblPr/>
      <w:tcPr>
        <w:shd w:val="clear" w:color="auto" w:fill="EFD3D2"/>
      </w:tcPr>
    </w:tblStylePr>
    <w:tblStylePr w:type="band1Horz">
      <w:rPr>
        <w:rFonts w:cs="Times New Roman"/>
      </w:rPr>
      <w:tblPr/>
      <w:tcPr>
        <w:shd w:val="clear" w:color="auto" w:fill="EFD3D2"/>
      </w:tcPr>
    </w:tblStylePr>
  </w:style>
  <w:style w:type="table" w:styleId="rednialista1akcent3">
    <w:name w:val="Medium List 1 Accent 3"/>
    <w:basedOn w:val="Standardowy"/>
    <w:uiPriority w:val="99"/>
    <w:rsid w:val="00677FEF"/>
    <w:rPr>
      <w:color w:val="000000"/>
      <w:sz w:val="20"/>
      <w:szCs w:val="2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rFonts w:cs="Times New Roman"/>
        <w:b/>
        <w:bCs/>
        <w:color w:val="1F497D"/>
      </w:rPr>
      <w:tblPr/>
      <w:tcPr>
        <w:tcBorders>
          <w:top w:val="single" w:sz="8" w:space="0" w:color="9BBB59"/>
          <w:bottom w:val="single" w:sz="8" w:space="0" w:color="9BBB59"/>
        </w:tcBorders>
      </w:tcPr>
    </w:tblStylePr>
    <w:tblStylePr w:type="firstCol">
      <w:rPr>
        <w:rFonts w:cs="Times New Roman"/>
        <w:b/>
        <w:bCs/>
      </w:rPr>
    </w:tblStylePr>
    <w:tblStylePr w:type="lastCol">
      <w:rPr>
        <w:rFonts w:cs="Times New Roman"/>
        <w:b/>
        <w:bCs/>
      </w:rPr>
      <w:tblPr/>
      <w:tcPr>
        <w:tcBorders>
          <w:top w:val="single" w:sz="8" w:space="0" w:color="9BBB59"/>
          <w:bottom w:val="single" w:sz="8" w:space="0" w:color="9BBB59"/>
        </w:tcBorders>
      </w:tcPr>
    </w:tblStylePr>
    <w:tblStylePr w:type="band1Vert">
      <w:rPr>
        <w:rFonts w:cs="Times New Roman"/>
      </w:rPr>
      <w:tblPr/>
      <w:tcPr>
        <w:shd w:val="clear" w:color="auto" w:fill="E6EED5"/>
      </w:tcPr>
    </w:tblStylePr>
    <w:tblStylePr w:type="band1Horz">
      <w:rPr>
        <w:rFonts w:cs="Times New Roman"/>
      </w:rPr>
      <w:tblPr/>
      <w:tcPr>
        <w:shd w:val="clear" w:color="auto" w:fill="E6EED5"/>
      </w:tcPr>
    </w:tblStylePr>
  </w:style>
  <w:style w:type="table" w:styleId="rednialista1akcent4">
    <w:name w:val="Medium List 1 Accent 4"/>
    <w:basedOn w:val="Standardowy"/>
    <w:uiPriority w:val="99"/>
    <w:rsid w:val="00677FEF"/>
    <w:rPr>
      <w:color w:val="000000"/>
      <w:sz w:val="20"/>
      <w:szCs w:val="2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rFonts w:cs="Times New Roman"/>
        <w:b/>
        <w:bCs/>
        <w:color w:val="1F497D"/>
      </w:rPr>
      <w:tblPr/>
      <w:tcPr>
        <w:tcBorders>
          <w:top w:val="single" w:sz="8" w:space="0" w:color="8064A2"/>
          <w:bottom w:val="single" w:sz="8" w:space="0" w:color="8064A2"/>
        </w:tcBorders>
      </w:tcPr>
    </w:tblStylePr>
    <w:tblStylePr w:type="firstCol">
      <w:rPr>
        <w:rFonts w:cs="Times New Roman"/>
        <w:b/>
        <w:bCs/>
      </w:rPr>
    </w:tblStylePr>
    <w:tblStylePr w:type="lastCol">
      <w:rPr>
        <w:rFonts w:cs="Times New Roman"/>
        <w:b/>
        <w:bCs/>
      </w:rPr>
      <w:tblPr/>
      <w:tcPr>
        <w:tcBorders>
          <w:top w:val="single" w:sz="8" w:space="0" w:color="8064A2"/>
          <w:bottom w:val="single" w:sz="8" w:space="0" w:color="8064A2"/>
        </w:tcBorders>
      </w:tcPr>
    </w:tblStylePr>
    <w:tblStylePr w:type="band1Vert">
      <w:rPr>
        <w:rFonts w:cs="Times New Roman"/>
      </w:rPr>
      <w:tblPr/>
      <w:tcPr>
        <w:shd w:val="clear" w:color="auto" w:fill="DFD8E8"/>
      </w:tcPr>
    </w:tblStylePr>
    <w:tblStylePr w:type="band1Horz">
      <w:rPr>
        <w:rFonts w:cs="Times New Roman"/>
      </w:rPr>
      <w:tblPr/>
      <w:tcPr>
        <w:shd w:val="clear" w:color="auto" w:fill="DFD8E8"/>
      </w:tcPr>
    </w:tblStylePr>
  </w:style>
  <w:style w:type="table" w:styleId="rednialista1akcent5">
    <w:name w:val="Medium List 1 Accent 5"/>
    <w:basedOn w:val="Standardowy"/>
    <w:uiPriority w:val="99"/>
    <w:rsid w:val="00677FEF"/>
    <w:rPr>
      <w:color w:val="000000"/>
      <w:sz w:val="20"/>
      <w:szCs w:val="2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rFonts w:cs="Times New Roman"/>
        <w:b/>
        <w:bCs/>
        <w:color w:val="1F497D"/>
      </w:rPr>
      <w:tblPr/>
      <w:tcPr>
        <w:tcBorders>
          <w:top w:val="single" w:sz="8" w:space="0" w:color="4BACC6"/>
          <w:bottom w:val="single" w:sz="8" w:space="0" w:color="4BACC6"/>
        </w:tcBorders>
      </w:tcPr>
    </w:tblStylePr>
    <w:tblStylePr w:type="firstCol">
      <w:rPr>
        <w:rFonts w:cs="Times New Roman"/>
        <w:b/>
        <w:bCs/>
      </w:rPr>
    </w:tblStylePr>
    <w:tblStylePr w:type="lastCol">
      <w:rPr>
        <w:rFonts w:cs="Times New Roman"/>
        <w:b/>
        <w:bCs/>
      </w:rPr>
      <w:tblPr/>
      <w:tcPr>
        <w:tcBorders>
          <w:top w:val="single" w:sz="8" w:space="0" w:color="4BACC6"/>
          <w:bottom w:val="single" w:sz="8" w:space="0" w:color="4BACC6"/>
        </w:tcBorders>
      </w:tcPr>
    </w:tblStylePr>
    <w:tblStylePr w:type="band1Vert">
      <w:rPr>
        <w:rFonts w:cs="Times New Roman"/>
      </w:rPr>
      <w:tblPr/>
      <w:tcPr>
        <w:shd w:val="clear" w:color="auto" w:fill="D2EAF1"/>
      </w:tcPr>
    </w:tblStylePr>
    <w:tblStylePr w:type="band1Horz">
      <w:rPr>
        <w:rFonts w:cs="Times New Roman"/>
      </w:rPr>
      <w:tblPr/>
      <w:tcPr>
        <w:shd w:val="clear" w:color="auto" w:fill="D2EAF1"/>
      </w:tcPr>
    </w:tblStylePr>
  </w:style>
  <w:style w:type="table" w:styleId="rednialista1akcent6">
    <w:name w:val="Medium List 1 Accent 6"/>
    <w:basedOn w:val="Standardowy"/>
    <w:uiPriority w:val="99"/>
    <w:rsid w:val="00677FEF"/>
    <w:rPr>
      <w:color w:val="000000"/>
      <w:sz w:val="20"/>
      <w:szCs w:val="2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rFonts w:cs="Times New Roman"/>
        <w:b/>
        <w:bCs/>
        <w:color w:val="1F497D"/>
      </w:rPr>
      <w:tblPr/>
      <w:tcPr>
        <w:tcBorders>
          <w:top w:val="single" w:sz="8" w:space="0" w:color="F79646"/>
          <w:bottom w:val="single" w:sz="8" w:space="0" w:color="F79646"/>
        </w:tcBorders>
      </w:tcPr>
    </w:tblStylePr>
    <w:tblStylePr w:type="firstCol">
      <w:rPr>
        <w:rFonts w:cs="Times New Roman"/>
        <w:b/>
        <w:bCs/>
      </w:rPr>
    </w:tblStylePr>
    <w:tblStylePr w:type="lastCol">
      <w:rPr>
        <w:rFonts w:cs="Times New Roman"/>
        <w:b/>
        <w:bCs/>
      </w:rPr>
      <w:tblPr/>
      <w:tcPr>
        <w:tcBorders>
          <w:top w:val="single" w:sz="8" w:space="0" w:color="F79646"/>
          <w:bottom w:val="single" w:sz="8" w:space="0" w:color="F79646"/>
        </w:tcBorders>
      </w:tcPr>
    </w:tblStylePr>
    <w:tblStylePr w:type="band1Vert">
      <w:rPr>
        <w:rFonts w:cs="Times New Roman"/>
      </w:rPr>
      <w:tblPr/>
      <w:tcPr>
        <w:shd w:val="clear" w:color="auto" w:fill="FDE4D0"/>
      </w:tcPr>
    </w:tblStylePr>
    <w:tblStylePr w:type="band1Horz">
      <w:rPr>
        <w:rFonts w:cs="Times New Roman"/>
      </w:rPr>
      <w:tblPr/>
      <w:tcPr>
        <w:shd w:val="clear" w:color="auto" w:fill="FDE4D0"/>
      </w:tcPr>
    </w:tblStylePr>
  </w:style>
  <w:style w:type="table" w:customStyle="1" w:styleId="Elencomedio21">
    <w:name w:val="Elenco medio 21"/>
    <w:uiPriority w:val="99"/>
    <w:rsid w:val="00677FEF"/>
    <w:rPr>
      <w:rFonts w:ascii="Cambria" w:hAnsi="Cambria"/>
      <w:color w:val="000000"/>
      <w:sz w:val="20"/>
      <w:szCs w:val="20"/>
      <w:lang w:val="it-IT" w:eastAsia="it-IT"/>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FFFFFF"/>
      </w:tcPr>
    </w:tblStylePr>
    <w:tblStylePr w:type="lastRow">
      <w:rPr>
        <w:rFonts w:cs="Times New Roman"/>
      </w:rPr>
      <w:tblPr/>
      <w:tcPr>
        <w:tcBorders>
          <w:top w:val="single" w:sz="8" w:space="0" w:color="000000"/>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000000"/>
          <w:insideH w:val="nil"/>
          <w:insideV w:val="nil"/>
        </w:tcBorders>
        <w:shd w:val="clear" w:color="auto" w:fill="FFFFFF"/>
      </w:tcPr>
    </w:tblStylePr>
    <w:tblStylePr w:type="lastCol">
      <w:rPr>
        <w:rFonts w:cs="Times New Roman"/>
      </w:rPr>
      <w:tblPr/>
      <w:tcPr>
        <w:tcBorders>
          <w:top w:val="nil"/>
          <w:left w:val="single" w:sz="8" w:space="0" w:color="000000"/>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1">
    <w:name w:val="Medium List 2 Accent 1"/>
    <w:basedOn w:val="Standardowy"/>
    <w:uiPriority w:val="99"/>
    <w:rsid w:val="00677FEF"/>
    <w:rPr>
      <w:rFonts w:ascii="Cambria" w:hAnsi="Cambria"/>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2">
    <w:name w:val="Medium List 2 Accent 2"/>
    <w:basedOn w:val="Standardowy"/>
    <w:uiPriority w:val="99"/>
    <w:rsid w:val="00677FEF"/>
    <w:rPr>
      <w:rFonts w:ascii="Cambria" w:hAnsi="Cambria"/>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rFonts w:cs="Times New Roman"/>
        <w:sz w:val="24"/>
        <w:szCs w:val="24"/>
      </w:rPr>
      <w:tblPr/>
      <w:tcPr>
        <w:tcBorders>
          <w:top w:val="nil"/>
          <w:left w:val="nil"/>
          <w:bottom w:val="single" w:sz="24" w:space="0" w:color="C0504D"/>
          <w:right w:val="nil"/>
          <w:insideH w:val="nil"/>
          <w:insideV w:val="nil"/>
        </w:tcBorders>
        <w:shd w:val="clear" w:color="auto" w:fill="FFFFFF"/>
      </w:tcPr>
    </w:tblStylePr>
    <w:tblStylePr w:type="lastRow">
      <w:rPr>
        <w:rFonts w:cs="Times New Roman"/>
      </w:rPr>
      <w:tblPr/>
      <w:tcPr>
        <w:tcBorders>
          <w:top w:val="single" w:sz="8" w:space="0" w:color="C0504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C0504D"/>
          <w:insideH w:val="nil"/>
          <w:insideV w:val="nil"/>
        </w:tcBorders>
        <w:shd w:val="clear" w:color="auto" w:fill="FFFFFF"/>
      </w:tcPr>
    </w:tblStylePr>
    <w:tblStylePr w:type="lastCol">
      <w:rPr>
        <w:rFonts w:cs="Times New Roman"/>
      </w:rPr>
      <w:tblPr/>
      <w:tcPr>
        <w:tcBorders>
          <w:top w:val="nil"/>
          <w:left w:val="single" w:sz="8" w:space="0" w:color="C0504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top w:val="nil"/>
          <w:bottom w:val="nil"/>
          <w:insideH w:val="nil"/>
          <w:insideV w:val="nil"/>
        </w:tcBorders>
        <w:shd w:val="clear" w:color="auto" w:fill="EFD3D2"/>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3">
    <w:name w:val="Medium List 2 Accent 3"/>
    <w:basedOn w:val="Standardowy"/>
    <w:uiPriority w:val="99"/>
    <w:rsid w:val="00677FEF"/>
    <w:rPr>
      <w:rFonts w:ascii="Cambria" w:hAnsi="Cambria"/>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rFonts w:cs="Times New Roman"/>
        <w:sz w:val="24"/>
        <w:szCs w:val="24"/>
      </w:rPr>
      <w:tblPr/>
      <w:tcPr>
        <w:tcBorders>
          <w:top w:val="nil"/>
          <w:left w:val="nil"/>
          <w:bottom w:val="single" w:sz="24" w:space="0" w:color="9BBB59"/>
          <w:right w:val="nil"/>
          <w:insideH w:val="nil"/>
          <w:insideV w:val="nil"/>
        </w:tcBorders>
        <w:shd w:val="clear" w:color="auto" w:fill="FFFFFF"/>
      </w:tcPr>
    </w:tblStylePr>
    <w:tblStylePr w:type="lastRow">
      <w:rPr>
        <w:rFonts w:cs="Times New Roman"/>
      </w:rPr>
      <w:tblPr/>
      <w:tcPr>
        <w:tcBorders>
          <w:top w:val="single" w:sz="8" w:space="0" w:color="9BBB59"/>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9BBB59"/>
          <w:insideH w:val="nil"/>
          <w:insideV w:val="nil"/>
        </w:tcBorders>
        <w:shd w:val="clear" w:color="auto" w:fill="FFFFFF"/>
      </w:tcPr>
    </w:tblStylePr>
    <w:tblStylePr w:type="lastCol">
      <w:rPr>
        <w:rFonts w:cs="Times New Roman"/>
      </w:rPr>
      <w:tblPr/>
      <w:tcPr>
        <w:tcBorders>
          <w:top w:val="nil"/>
          <w:left w:val="single" w:sz="8" w:space="0" w:color="9BBB59"/>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top w:val="nil"/>
          <w:bottom w:val="nil"/>
          <w:insideH w:val="nil"/>
          <w:insideV w:val="nil"/>
        </w:tcBorders>
        <w:shd w:val="clear" w:color="auto" w:fill="E6EED5"/>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4">
    <w:name w:val="Medium List 2 Accent 4"/>
    <w:basedOn w:val="Standardowy"/>
    <w:uiPriority w:val="99"/>
    <w:rsid w:val="00677FEF"/>
    <w:rPr>
      <w:rFonts w:ascii="Cambria" w:hAnsi="Cambria"/>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rFonts w:cs="Times New Roman"/>
        <w:sz w:val="24"/>
        <w:szCs w:val="24"/>
      </w:rPr>
      <w:tblPr/>
      <w:tcPr>
        <w:tcBorders>
          <w:top w:val="nil"/>
          <w:left w:val="nil"/>
          <w:bottom w:val="single" w:sz="24" w:space="0" w:color="8064A2"/>
          <w:right w:val="nil"/>
          <w:insideH w:val="nil"/>
          <w:insideV w:val="nil"/>
        </w:tcBorders>
        <w:shd w:val="clear" w:color="auto" w:fill="FFFFFF"/>
      </w:tcPr>
    </w:tblStylePr>
    <w:tblStylePr w:type="lastRow">
      <w:rPr>
        <w:rFonts w:cs="Times New Roman"/>
      </w:rPr>
      <w:tblPr/>
      <w:tcPr>
        <w:tcBorders>
          <w:top w:val="single" w:sz="8" w:space="0" w:color="8064A2"/>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8064A2"/>
          <w:insideH w:val="nil"/>
          <w:insideV w:val="nil"/>
        </w:tcBorders>
        <w:shd w:val="clear" w:color="auto" w:fill="FFFFFF"/>
      </w:tcPr>
    </w:tblStylePr>
    <w:tblStylePr w:type="lastCol">
      <w:rPr>
        <w:rFonts w:cs="Times New Roman"/>
      </w:rPr>
      <w:tblPr/>
      <w:tcPr>
        <w:tcBorders>
          <w:top w:val="nil"/>
          <w:left w:val="single" w:sz="8" w:space="0" w:color="8064A2"/>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top w:val="nil"/>
          <w:bottom w:val="nil"/>
          <w:insideH w:val="nil"/>
          <w:insideV w:val="nil"/>
        </w:tcBorders>
        <w:shd w:val="clear" w:color="auto" w:fill="DFD8E8"/>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5">
    <w:name w:val="Medium List 2 Accent 5"/>
    <w:basedOn w:val="Standardowy"/>
    <w:uiPriority w:val="99"/>
    <w:rsid w:val="00677FEF"/>
    <w:rPr>
      <w:rFonts w:ascii="Cambria" w:hAnsi="Cambria"/>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rFonts w:cs="Times New Roman"/>
        <w:sz w:val="24"/>
        <w:szCs w:val="24"/>
      </w:rPr>
      <w:tblPr/>
      <w:tcPr>
        <w:tcBorders>
          <w:top w:val="nil"/>
          <w:left w:val="nil"/>
          <w:bottom w:val="single" w:sz="24" w:space="0" w:color="4BACC6"/>
          <w:right w:val="nil"/>
          <w:insideH w:val="nil"/>
          <w:insideV w:val="nil"/>
        </w:tcBorders>
        <w:shd w:val="clear" w:color="auto" w:fill="FFFFFF"/>
      </w:tcPr>
    </w:tblStylePr>
    <w:tblStylePr w:type="lastRow">
      <w:rPr>
        <w:rFonts w:cs="Times New Roman"/>
      </w:rPr>
      <w:tblPr/>
      <w:tcPr>
        <w:tcBorders>
          <w:top w:val="single" w:sz="8" w:space="0" w:color="4BACC6"/>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BACC6"/>
          <w:insideH w:val="nil"/>
          <w:insideV w:val="nil"/>
        </w:tcBorders>
        <w:shd w:val="clear" w:color="auto" w:fill="FFFFFF"/>
      </w:tcPr>
    </w:tblStylePr>
    <w:tblStylePr w:type="lastCol">
      <w:rPr>
        <w:rFonts w:cs="Times New Roman"/>
      </w:rPr>
      <w:tblPr/>
      <w:tcPr>
        <w:tcBorders>
          <w:top w:val="nil"/>
          <w:left w:val="single" w:sz="8" w:space="0" w:color="4BACC6"/>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top w:val="nil"/>
          <w:bottom w:val="nil"/>
          <w:insideH w:val="nil"/>
          <w:insideV w:val="nil"/>
        </w:tcBorders>
        <w:shd w:val="clear" w:color="auto" w:fill="D2EAF1"/>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6">
    <w:name w:val="Medium List 2 Accent 6"/>
    <w:basedOn w:val="Standardowy"/>
    <w:uiPriority w:val="99"/>
    <w:rsid w:val="00677FEF"/>
    <w:rPr>
      <w:rFonts w:ascii="Cambria" w:hAnsi="Cambria"/>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rFonts w:cs="Times New Roman"/>
        <w:sz w:val="24"/>
        <w:szCs w:val="24"/>
      </w:rPr>
      <w:tblPr/>
      <w:tcPr>
        <w:tcBorders>
          <w:top w:val="nil"/>
          <w:left w:val="nil"/>
          <w:bottom w:val="single" w:sz="24" w:space="0" w:color="F79646"/>
          <w:right w:val="nil"/>
          <w:insideH w:val="nil"/>
          <w:insideV w:val="nil"/>
        </w:tcBorders>
        <w:shd w:val="clear" w:color="auto" w:fill="FFFFFF"/>
      </w:tcPr>
    </w:tblStylePr>
    <w:tblStylePr w:type="lastRow">
      <w:rPr>
        <w:rFonts w:cs="Times New Roman"/>
      </w:rPr>
      <w:tblPr/>
      <w:tcPr>
        <w:tcBorders>
          <w:top w:val="single" w:sz="8" w:space="0" w:color="F79646"/>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F79646"/>
          <w:insideH w:val="nil"/>
          <w:insideV w:val="nil"/>
        </w:tcBorders>
        <w:shd w:val="clear" w:color="auto" w:fill="FFFFFF"/>
      </w:tcPr>
    </w:tblStylePr>
    <w:tblStylePr w:type="lastCol">
      <w:rPr>
        <w:rFonts w:cs="Times New Roman"/>
      </w:rPr>
      <w:tblPr/>
      <w:tcPr>
        <w:tcBorders>
          <w:top w:val="nil"/>
          <w:left w:val="single" w:sz="8" w:space="0" w:color="F79646"/>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top w:val="nil"/>
          <w:bottom w:val="nil"/>
          <w:insideH w:val="nil"/>
          <w:insideV w:val="nil"/>
        </w:tcBorders>
        <w:shd w:val="clear" w:color="auto" w:fill="FDE4D0"/>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customStyle="1" w:styleId="Sfondomedio11">
    <w:name w:val="Sfondo medio 11"/>
    <w:uiPriority w:val="99"/>
    <w:rsid w:val="00677FEF"/>
    <w:rPr>
      <w:sz w:val="20"/>
      <w:szCs w:val="20"/>
      <w:lang w:val="it-IT" w:eastAsia="it-IT"/>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customStyle="1" w:styleId="Sfondomedio1-Colore11">
    <w:name w:val="Sfondo medio 1 - Colore 11"/>
    <w:uiPriority w:val="99"/>
    <w:rsid w:val="00677FEF"/>
    <w:rPr>
      <w:sz w:val="20"/>
      <w:szCs w:val="20"/>
      <w:lang w:val="it-IT" w:eastAsia="it-IT"/>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rsid w:val="00677FEF"/>
    <w:rPr>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pPr>
      <w:rPr>
        <w:rFonts w:cs="Times New Roman"/>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pPr>
      <w:rPr>
        <w:rFonts w:cs="Times New Roman"/>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FD3D2"/>
      </w:tcPr>
    </w:tblStylePr>
    <w:tblStylePr w:type="band1Horz">
      <w:rPr>
        <w:rFonts w:cs="Times New Roman"/>
      </w:rPr>
      <w:tblPr/>
      <w:tcPr>
        <w:tcBorders>
          <w:insideH w:val="nil"/>
          <w:insideV w:val="nil"/>
        </w:tcBorders>
        <w:shd w:val="clear" w:color="auto" w:fill="EFD3D2"/>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rsid w:val="00677FEF"/>
    <w:rPr>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rsid w:val="00677FEF"/>
    <w:rPr>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rsid w:val="00677FEF"/>
    <w:rPr>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pPr>
      <w:rPr>
        <w:rFonts w:cs="Times New Roman"/>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pPr>
      <w:rPr>
        <w:rFonts w:cs="Times New Roman"/>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2EAF1"/>
      </w:tcPr>
    </w:tblStylePr>
    <w:tblStylePr w:type="band1Horz">
      <w:rPr>
        <w:rFonts w:cs="Times New Roman"/>
      </w:rPr>
      <w:tblPr/>
      <w:tcPr>
        <w:tcBorders>
          <w:insideH w:val="nil"/>
          <w:insideV w:val="nil"/>
        </w:tcBorders>
        <w:shd w:val="clear" w:color="auto" w:fill="D2EAF1"/>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rsid w:val="00677FEF"/>
    <w:rPr>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pPr>
      <w:rPr>
        <w:rFonts w:cs="Times New Roman"/>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rFonts w:cs="Times New Roman"/>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4D0"/>
      </w:tcPr>
    </w:tblStylePr>
    <w:tblStylePr w:type="band1Horz">
      <w:rPr>
        <w:rFonts w:cs="Times New Roman"/>
      </w:rPr>
      <w:tblPr/>
      <w:tcPr>
        <w:tcBorders>
          <w:insideH w:val="nil"/>
          <w:insideV w:val="nil"/>
        </w:tcBorders>
        <w:shd w:val="clear" w:color="auto" w:fill="FDE4D0"/>
      </w:tcPr>
    </w:tblStylePr>
    <w:tblStylePr w:type="band2Horz">
      <w:rPr>
        <w:rFonts w:cs="Times New Roman"/>
      </w:rPr>
      <w:tblPr/>
      <w:tcPr>
        <w:tcBorders>
          <w:insideH w:val="nil"/>
          <w:insideV w:val="nil"/>
        </w:tcBorders>
      </w:tcPr>
    </w:tblStylePr>
  </w:style>
  <w:style w:type="table" w:customStyle="1" w:styleId="Sfondomedio21">
    <w:name w:val="Sfondo medio 21"/>
    <w:uiPriority w:val="99"/>
    <w:rsid w:val="00677FEF"/>
    <w:rPr>
      <w:sz w:val="20"/>
      <w:szCs w:val="20"/>
      <w:lang w:val="it-IT" w:eastAsia="it-IT"/>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FFFFFF"/>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Sfondomedio2-Colore11">
    <w:name w:val="Sfondo medio 2 - Colore 11"/>
    <w:uiPriority w:val="99"/>
    <w:rsid w:val="00677FEF"/>
    <w:rPr>
      <w:sz w:val="20"/>
      <w:szCs w:val="20"/>
      <w:lang w:val="it-IT" w:eastAsia="it-IT"/>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677FEF"/>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C0504D"/>
      </w:tcPr>
    </w:tblStylePr>
    <w:tblStylePr w:type="lastCol">
      <w:rPr>
        <w:rFonts w:cs="Times New Roman"/>
        <w:b/>
        <w:bCs/>
        <w:color w:val="FFFFFF"/>
      </w:rPr>
      <w:tblPr/>
      <w:tcPr>
        <w:tcBorders>
          <w:left w:val="nil"/>
          <w:right w:val="nil"/>
          <w:insideH w:val="nil"/>
          <w:insideV w:val="nil"/>
        </w:tcBorders>
        <w:shd w:val="clear" w:color="auto" w:fill="C0504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677FEF"/>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9BBB59"/>
      </w:tcPr>
    </w:tblStylePr>
    <w:tblStylePr w:type="lastCol">
      <w:rPr>
        <w:rFonts w:cs="Times New Roman"/>
        <w:b/>
        <w:bCs/>
        <w:color w:val="FFFFFF"/>
      </w:rPr>
      <w:tblPr/>
      <w:tcPr>
        <w:tcBorders>
          <w:left w:val="nil"/>
          <w:right w:val="nil"/>
          <w:insideH w:val="nil"/>
          <w:insideV w:val="nil"/>
        </w:tcBorders>
        <w:shd w:val="clear" w:color="auto" w:fill="9BBB5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677FEF"/>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8064A2"/>
      </w:tcPr>
    </w:tblStylePr>
    <w:tblStylePr w:type="lastCol">
      <w:rPr>
        <w:rFonts w:cs="Times New Roman"/>
        <w:b/>
        <w:bCs/>
        <w:color w:val="FFFFFF"/>
      </w:rPr>
      <w:tblPr/>
      <w:tcPr>
        <w:tcBorders>
          <w:left w:val="nil"/>
          <w:right w:val="nil"/>
          <w:insideH w:val="nil"/>
          <w:insideV w:val="nil"/>
        </w:tcBorders>
        <w:shd w:val="clear" w:color="auto" w:fill="8064A2"/>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677FEF"/>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FFFFFF"/>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677FEF"/>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79646"/>
      </w:tcPr>
    </w:tblStylePr>
    <w:tblStylePr w:type="lastCol">
      <w:rPr>
        <w:rFonts w:cs="Times New Roman"/>
        <w:b/>
        <w:bCs/>
        <w:color w:val="FFFFFF"/>
      </w:rPr>
      <w:tblPr/>
      <w:tcPr>
        <w:tcBorders>
          <w:left w:val="nil"/>
          <w:right w:val="nil"/>
          <w:insideH w:val="nil"/>
          <w:insideV w:val="nil"/>
        </w:tcBorders>
        <w:shd w:val="clear" w:color="auto" w:fill="F7964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rsid w:val="00677FE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NagwekwiadomociZnak">
    <w:name w:val="Nagłówek wiadomości Znak"/>
    <w:basedOn w:val="Domylnaczcionkaakapitu"/>
    <w:link w:val="Nagwekwiadomoci"/>
    <w:uiPriority w:val="99"/>
    <w:locked/>
    <w:rsid w:val="00677FEF"/>
    <w:rPr>
      <w:rFonts w:ascii="Cambria" w:hAnsi="Cambria"/>
      <w:sz w:val="24"/>
      <w:shd w:val="pct20" w:color="auto" w:fill="auto"/>
      <w:lang w:val="en-GB" w:eastAsia="fr-FR"/>
    </w:rPr>
  </w:style>
  <w:style w:type="paragraph" w:styleId="Bezodstpw">
    <w:name w:val="No Spacing"/>
    <w:uiPriority w:val="99"/>
    <w:qFormat/>
    <w:rsid w:val="00677FEF"/>
    <w:pPr>
      <w:suppressAutoHyphens/>
    </w:pPr>
    <w:rPr>
      <w:sz w:val="24"/>
      <w:szCs w:val="20"/>
      <w:lang w:val="en-GB" w:eastAsia="fr-FR"/>
    </w:rPr>
  </w:style>
  <w:style w:type="paragraph" w:styleId="NormalnyWeb">
    <w:name w:val="Normal (Web)"/>
    <w:basedOn w:val="Normalny"/>
    <w:uiPriority w:val="99"/>
    <w:rsid w:val="00677FEF"/>
    <w:rPr>
      <w:szCs w:val="24"/>
    </w:rPr>
  </w:style>
  <w:style w:type="paragraph" w:styleId="Wcicienormalne">
    <w:name w:val="Normal Indent"/>
    <w:basedOn w:val="Normalny"/>
    <w:uiPriority w:val="99"/>
    <w:rsid w:val="00677FEF"/>
    <w:pPr>
      <w:ind w:left="720"/>
    </w:pPr>
  </w:style>
  <w:style w:type="paragraph" w:styleId="Nagweknotatki">
    <w:name w:val="Note Heading"/>
    <w:basedOn w:val="Normalny"/>
    <w:next w:val="Normalny"/>
    <w:link w:val="NagweknotatkiZnak"/>
    <w:uiPriority w:val="99"/>
    <w:rsid w:val="00677FEF"/>
  </w:style>
  <w:style w:type="character" w:customStyle="1" w:styleId="NagweknotatkiZnak">
    <w:name w:val="Nagłówek notatki Znak"/>
    <w:basedOn w:val="Domylnaczcionkaakapitu"/>
    <w:link w:val="Nagweknotatki"/>
    <w:uiPriority w:val="99"/>
    <w:locked/>
    <w:rsid w:val="00677FEF"/>
    <w:rPr>
      <w:sz w:val="24"/>
      <w:lang w:val="en-GB" w:eastAsia="fr-FR"/>
    </w:rPr>
  </w:style>
  <w:style w:type="character" w:styleId="Tekstzastpczy">
    <w:name w:val="Placeholder Text"/>
    <w:basedOn w:val="Domylnaczcionkaakapitu"/>
    <w:uiPriority w:val="99"/>
    <w:semiHidden/>
    <w:rsid w:val="00677FEF"/>
    <w:rPr>
      <w:color w:val="808080"/>
    </w:rPr>
  </w:style>
  <w:style w:type="paragraph" w:styleId="Zwykytekst">
    <w:name w:val="Plain Text"/>
    <w:basedOn w:val="Normalny"/>
    <w:link w:val="ZwykytekstZnak"/>
    <w:uiPriority w:val="99"/>
    <w:rsid w:val="00677FEF"/>
    <w:rPr>
      <w:rFonts w:ascii="Courier New" w:hAnsi="Courier New"/>
      <w:sz w:val="20"/>
    </w:rPr>
  </w:style>
  <w:style w:type="character" w:customStyle="1" w:styleId="ZwykytekstZnak">
    <w:name w:val="Zwykły tekst Znak"/>
    <w:basedOn w:val="Domylnaczcionkaakapitu"/>
    <w:link w:val="Zwykytekst"/>
    <w:uiPriority w:val="99"/>
    <w:locked/>
    <w:rsid w:val="00677FEF"/>
    <w:rPr>
      <w:rFonts w:ascii="Courier New" w:hAnsi="Courier New"/>
      <w:lang w:val="en-GB" w:eastAsia="fr-FR"/>
    </w:rPr>
  </w:style>
  <w:style w:type="paragraph" w:styleId="Cytat">
    <w:name w:val="Quote"/>
    <w:basedOn w:val="Normalny"/>
    <w:next w:val="Normalny"/>
    <w:link w:val="CytatZnak"/>
    <w:uiPriority w:val="99"/>
    <w:qFormat/>
    <w:rsid w:val="00677FEF"/>
    <w:rPr>
      <w:i/>
      <w:iCs/>
      <w:color w:val="000000"/>
    </w:rPr>
  </w:style>
  <w:style w:type="character" w:customStyle="1" w:styleId="CytatZnak">
    <w:name w:val="Cytat Znak"/>
    <w:basedOn w:val="Domylnaczcionkaakapitu"/>
    <w:link w:val="Cytat"/>
    <w:uiPriority w:val="99"/>
    <w:locked/>
    <w:rsid w:val="00677FEF"/>
    <w:rPr>
      <w:i/>
      <w:color w:val="000000"/>
      <w:sz w:val="24"/>
      <w:lang w:val="en-GB" w:eastAsia="fr-FR"/>
    </w:rPr>
  </w:style>
  <w:style w:type="paragraph" w:styleId="Zwrotgrzecznociowy">
    <w:name w:val="Salutation"/>
    <w:basedOn w:val="Normalny"/>
    <w:next w:val="Normalny"/>
    <w:link w:val="ZwrotgrzecznociowyZnak"/>
    <w:uiPriority w:val="99"/>
    <w:rsid w:val="00677FEF"/>
  </w:style>
  <w:style w:type="character" w:customStyle="1" w:styleId="ZwrotgrzecznociowyZnak">
    <w:name w:val="Zwrot grzecznościowy Znak"/>
    <w:basedOn w:val="Domylnaczcionkaakapitu"/>
    <w:link w:val="Zwrotgrzecznociowy"/>
    <w:uiPriority w:val="99"/>
    <w:locked/>
    <w:rsid w:val="00677FEF"/>
    <w:rPr>
      <w:sz w:val="24"/>
      <w:lang w:val="en-GB" w:eastAsia="fr-FR"/>
    </w:rPr>
  </w:style>
  <w:style w:type="paragraph" w:styleId="Podpis">
    <w:name w:val="Signature"/>
    <w:basedOn w:val="Normalny"/>
    <w:link w:val="PodpisZnak"/>
    <w:uiPriority w:val="99"/>
    <w:rsid w:val="00677FEF"/>
    <w:pPr>
      <w:ind w:left="4252"/>
    </w:pPr>
  </w:style>
  <w:style w:type="character" w:customStyle="1" w:styleId="PodpisZnak">
    <w:name w:val="Podpis Znak"/>
    <w:basedOn w:val="Domylnaczcionkaakapitu"/>
    <w:link w:val="Podpis"/>
    <w:uiPriority w:val="99"/>
    <w:locked/>
    <w:rsid w:val="00677FEF"/>
    <w:rPr>
      <w:sz w:val="24"/>
      <w:lang w:val="en-GB" w:eastAsia="fr-FR"/>
    </w:rPr>
  </w:style>
  <w:style w:type="character" w:styleId="Pogrubienie">
    <w:name w:val="Strong"/>
    <w:basedOn w:val="Domylnaczcionkaakapitu"/>
    <w:uiPriority w:val="99"/>
    <w:qFormat/>
    <w:rsid w:val="00677FEF"/>
    <w:rPr>
      <w:rFonts w:cs="Times New Roman"/>
      <w:b/>
    </w:rPr>
  </w:style>
  <w:style w:type="paragraph" w:styleId="Podtytu">
    <w:name w:val="Subtitle"/>
    <w:basedOn w:val="Normalny"/>
    <w:next w:val="Normalny"/>
    <w:link w:val="PodtytuZnak"/>
    <w:uiPriority w:val="99"/>
    <w:qFormat/>
    <w:rsid w:val="00677FEF"/>
    <w:pPr>
      <w:spacing w:after="60"/>
      <w:jc w:val="center"/>
      <w:outlineLvl w:val="1"/>
    </w:pPr>
    <w:rPr>
      <w:rFonts w:ascii="Cambria" w:hAnsi="Cambria"/>
      <w:szCs w:val="24"/>
    </w:rPr>
  </w:style>
  <w:style w:type="character" w:customStyle="1" w:styleId="PodtytuZnak">
    <w:name w:val="Podtytuł Znak"/>
    <w:basedOn w:val="Domylnaczcionkaakapitu"/>
    <w:link w:val="Podtytu"/>
    <w:uiPriority w:val="99"/>
    <w:locked/>
    <w:rsid w:val="00677FEF"/>
    <w:rPr>
      <w:rFonts w:ascii="Cambria" w:hAnsi="Cambria"/>
      <w:sz w:val="24"/>
      <w:lang w:val="en-GB" w:eastAsia="fr-FR"/>
    </w:rPr>
  </w:style>
  <w:style w:type="character" w:styleId="Wyrnieniedelikatne">
    <w:name w:val="Subtle Emphasis"/>
    <w:basedOn w:val="Domylnaczcionkaakapitu"/>
    <w:uiPriority w:val="99"/>
    <w:qFormat/>
    <w:rsid w:val="00677FEF"/>
    <w:rPr>
      <w:i/>
      <w:color w:val="808080"/>
    </w:rPr>
  </w:style>
  <w:style w:type="character" w:styleId="Odwoaniedelikatne">
    <w:name w:val="Subtle Reference"/>
    <w:basedOn w:val="Domylnaczcionkaakapitu"/>
    <w:uiPriority w:val="99"/>
    <w:qFormat/>
    <w:rsid w:val="00677FEF"/>
    <w:rPr>
      <w:smallCaps/>
      <w:color w:val="C0504D"/>
      <w:u w:val="single"/>
    </w:rPr>
  </w:style>
  <w:style w:type="table" w:styleId="Tabela-Efekty3W1">
    <w:name w:val="Table 3D effects 1"/>
    <w:basedOn w:val="Standardowy"/>
    <w:uiPriority w:val="99"/>
    <w:rsid w:val="00677FEF"/>
    <w:pPr>
      <w:suppressAutoHyphens/>
    </w:pPr>
    <w:rPr>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rsid w:val="00677FEF"/>
    <w:pPr>
      <w:suppressAutoHyphens/>
    </w:pPr>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rsid w:val="00677FEF"/>
    <w:pPr>
      <w:suppressAutoHyphens/>
    </w:pPr>
    <w:rPr>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rsid w:val="00677FEF"/>
    <w:pPr>
      <w:suppressAutoHyphens/>
    </w:pPr>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rsid w:val="00677FEF"/>
    <w:pPr>
      <w:suppressAutoHyphens/>
    </w:pPr>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677FEF"/>
    <w:pPr>
      <w:suppressAutoHyphens/>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677FEF"/>
    <w:pPr>
      <w:suppressAutoHyphens/>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677FEF"/>
    <w:pPr>
      <w:suppressAutoHyphens/>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677FEF"/>
    <w:pPr>
      <w:suppressAutoHyphens/>
    </w:pPr>
    <w:rPr>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677FEF"/>
    <w:pPr>
      <w:suppressAutoHyphens/>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677FEF"/>
    <w:pPr>
      <w:suppressAutoHyphens/>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rsid w:val="00677FEF"/>
    <w:pPr>
      <w:suppressAutoHyphens/>
    </w:pPr>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rsid w:val="00677FEF"/>
    <w:pPr>
      <w:suppressAutoHyphens/>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rsid w:val="00677FEF"/>
    <w:pPr>
      <w:suppressAutoHyphens/>
    </w:pPr>
    <w:rPr>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rsid w:val="00677FEF"/>
    <w:pPr>
      <w:suppressAutoHyphens/>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rsid w:val="00677FEF"/>
    <w:pPr>
      <w:suppressAutoHyphens/>
    </w:pPr>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677FEF"/>
    <w:pPr>
      <w:suppressAutoHyphens/>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77FE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rsid w:val="00677FEF"/>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rsid w:val="00677FEF"/>
    <w:pPr>
      <w:suppressAutoHyphens/>
    </w:pPr>
    <w:rPr>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rsid w:val="00677FEF"/>
    <w:pPr>
      <w:suppressAutoHyphens/>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rsid w:val="00677FEF"/>
    <w:pPr>
      <w:suppressAutoHyphens/>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677FEF"/>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rsid w:val="00677FEF"/>
    <w:pPr>
      <w:suppressAutoHyphens/>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rsid w:val="00677FEF"/>
    <w:pPr>
      <w:suppressAutoHyphens/>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rsid w:val="00677FEF"/>
    <w:pPr>
      <w:suppressAutoHyphens/>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677FEF"/>
    <w:pPr>
      <w:suppressAutoHyphens/>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rsid w:val="00677FEF"/>
    <w:pPr>
      <w:suppressAutoHyphens/>
    </w:pPr>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rsid w:val="00677FEF"/>
    <w:pPr>
      <w:suppressAutoHyphens/>
    </w:pPr>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677FEF"/>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677FEF"/>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rsid w:val="00677FEF"/>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677FEF"/>
    <w:pPr>
      <w:suppressAutoHyphens/>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677FEF"/>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rsid w:val="00677FEF"/>
    <w:pPr>
      <w:ind w:left="240" w:hanging="240"/>
    </w:pPr>
  </w:style>
  <w:style w:type="paragraph" w:styleId="Spisilustracji">
    <w:name w:val="table of figures"/>
    <w:basedOn w:val="Normalny"/>
    <w:next w:val="Normalny"/>
    <w:uiPriority w:val="99"/>
    <w:rsid w:val="00677FEF"/>
  </w:style>
  <w:style w:type="table" w:styleId="Tabela-Profesjonalny">
    <w:name w:val="Table Professional"/>
    <w:basedOn w:val="Standardowy"/>
    <w:uiPriority w:val="99"/>
    <w:rsid w:val="00677FEF"/>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677FEF"/>
    <w:pPr>
      <w:suppressAutoHyphens/>
    </w:pPr>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677FEF"/>
    <w:pPr>
      <w:suppressAutoHyphens/>
    </w:pPr>
    <w:rPr>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677FEF"/>
    <w:pPr>
      <w:suppressAutoHyphens/>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677FEF"/>
    <w:pPr>
      <w:suppressAutoHyphens/>
    </w:pPr>
    <w:rPr>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rsid w:val="00677FEF"/>
    <w:pPr>
      <w:suppressAutoHyphens/>
    </w:pPr>
    <w:rPr>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rsid w:val="00677FEF"/>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677FEF"/>
    <w:pPr>
      <w:suppressAutoHyphens/>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677FEF"/>
    <w:pPr>
      <w:suppressAutoHyphens/>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677FEF"/>
    <w:pPr>
      <w:suppressAutoHyphens/>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ytu">
    <w:name w:val="Title"/>
    <w:basedOn w:val="Normalny"/>
    <w:next w:val="Normalny"/>
    <w:link w:val="TytuZnak"/>
    <w:uiPriority w:val="99"/>
    <w:qFormat/>
    <w:rsid w:val="00677FEF"/>
    <w:pPr>
      <w:spacing w:before="240" w:after="60"/>
      <w:jc w:val="center"/>
      <w:outlineLvl w:val="0"/>
    </w:pPr>
    <w:rPr>
      <w:rFonts w:ascii="Cambria" w:hAnsi="Cambria"/>
      <w:b/>
      <w:bCs/>
      <w:kern w:val="28"/>
      <w:sz w:val="32"/>
      <w:szCs w:val="32"/>
    </w:rPr>
  </w:style>
  <w:style w:type="character" w:customStyle="1" w:styleId="TytuZnak">
    <w:name w:val="Tytuł Znak"/>
    <w:basedOn w:val="Domylnaczcionkaakapitu"/>
    <w:link w:val="Tytu"/>
    <w:uiPriority w:val="99"/>
    <w:locked/>
    <w:rsid w:val="00677FEF"/>
    <w:rPr>
      <w:rFonts w:ascii="Cambria" w:hAnsi="Cambria"/>
      <w:b/>
      <w:kern w:val="28"/>
      <w:sz w:val="32"/>
      <w:lang w:val="en-GB" w:eastAsia="fr-FR"/>
    </w:rPr>
  </w:style>
  <w:style w:type="paragraph" w:styleId="Nagwekwykazurde">
    <w:name w:val="toa heading"/>
    <w:basedOn w:val="Normalny"/>
    <w:next w:val="Normalny"/>
    <w:uiPriority w:val="99"/>
    <w:rsid w:val="00677FEF"/>
    <w:pPr>
      <w:spacing w:before="120"/>
    </w:pPr>
    <w:rPr>
      <w:rFonts w:ascii="Cambria" w:hAnsi="Cambria"/>
      <w:b/>
      <w:bCs/>
      <w:szCs w:val="24"/>
    </w:rPr>
  </w:style>
  <w:style w:type="paragraph" w:styleId="Spistreci1">
    <w:name w:val="toc 1"/>
    <w:basedOn w:val="Normalny"/>
    <w:next w:val="Normalny"/>
    <w:autoRedefine/>
    <w:uiPriority w:val="99"/>
    <w:rsid w:val="00677FEF"/>
  </w:style>
  <w:style w:type="paragraph" w:styleId="Spistreci2">
    <w:name w:val="toc 2"/>
    <w:basedOn w:val="Normalny"/>
    <w:next w:val="Normalny"/>
    <w:autoRedefine/>
    <w:uiPriority w:val="99"/>
    <w:rsid w:val="00677FEF"/>
    <w:pPr>
      <w:ind w:left="240"/>
    </w:pPr>
  </w:style>
  <w:style w:type="paragraph" w:styleId="Spistreci3">
    <w:name w:val="toc 3"/>
    <w:basedOn w:val="Normalny"/>
    <w:next w:val="Normalny"/>
    <w:autoRedefine/>
    <w:uiPriority w:val="99"/>
    <w:rsid w:val="00677FEF"/>
    <w:pPr>
      <w:ind w:left="480"/>
    </w:pPr>
  </w:style>
  <w:style w:type="paragraph" w:styleId="Spistreci4">
    <w:name w:val="toc 4"/>
    <w:basedOn w:val="Normalny"/>
    <w:next w:val="Normalny"/>
    <w:autoRedefine/>
    <w:uiPriority w:val="99"/>
    <w:rsid w:val="00677FEF"/>
    <w:pPr>
      <w:ind w:left="720"/>
    </w:pPr>
  </w:style>
  <w:style w:type="paragraph" w:styleId="Spistreci5">
    <w:name w:val="toc 5"/>
    <w:basedOn w:val="Normalny"/>
    <w:next w:val="Normalny"/>
    <w:autoRedefine/>
    <w:uiPriority w:val="99"/>
    <w:rsid w:val="00677FEF"/>
    <w:pPr>
      <w:ind w:left="960"/>
    </w:pPr>
  </w:style>
  <w:style w:type="paragraph" w:styleId="Spistreci6">
    <w:name w:val="toc 6"/>
    <w:basedOn w:val="Normalny"/>
    <w:next w:val="Normalny"/>
    <w:autoRedefine/>
    <w:uiPriority w:val="99"/>
    <w:rsid w:val="00677FEF"/>
    <w:pPr>
      <w:ind w:left="1200"/>
    </w:pPr>
  </w:style>
  <w:style w:type="paragraph" w:styleId="Spistreci7">
    <w:name w:val="toc 7"/>
    <w:basedOn w:val="Normalny"/>
    <w:next w:val="Normalny"/>
    <w:autoRedefine/>
    <w:uiPriority w:val="99"/>
    <w:rsid w:val="00677FEF"/>
    <w:pPr>
      <w:ind w:left="1440"/>
    </w:pPr>
  </w:style>
  <w:style w:type="paragraph" w:styleId="Spistreci8">
    <w:name w:val="toc 8"/>
    <w:basedOn w:val="Normalny"/>
    <w:next w:val="Normalny"/>
    <w:autoRedefine/>
    <w:uiPriority w:val="99"/>
    <w:rsid w:val="00677FEF"/>
    <w:pPr>
      <w:ind w:left="1680"/>
    </w:pPr>
  </w:style>
  <w:style w:type="paragraph" w:styleId="Spistreci9">
    <w:name w:val="toc 9"/>
    <w:basedOn w:val="Normalny"/>
    <w:next w:val="Normalny"/>
    <w:autoRedefine/>
    <w:uiPriority w:val="99"/>
    <w:rsid w:val="00677FEF"/>
    <w:pPr>
      <w:ind w:left="1920"/>
    </w:pPr>
  </w:style>
  <w:style w:type="paragraph" w:styleId="Nagwekspisutreci">
    <w:name w:val="TOC Heading"/>
    <w:basedOn w:val="Nagwek1"/>
    <w:next w:val="Normalny"/>
    <w:uiPriority w:val="99"/>
    <w:qFormat/>
    <w:rsid w:val="00677FEF"/>
    <w:pPr>
      <w:spacing w:before="240" w:after="60"/>
      <w:jc w:val="left"/>
      <w:outlineLvl w:val="9"/>
    </w:pPr>
    <w:rPr>
      <w:rFonts w:ascii="Cambria" w:hAnsi="Cambria"/>
      <w:bCs/>
      <w:kern w:val="32"/>
      <w:sz w:val="32"/>
      <w:szCs w:val="32"/>
    </w:rPr>
  </w:style>
  <w:style w:type="character" w:customStyle="1" w:styleId="apple-converted-space">
    <w:name w:val="apple-converted-space"/>
    <w:basedOn w:val="Domylnaczcionkaakapitu"/>
    <w:uiPriority w:val="99"/>
    <w:rsid w:val="0069644E"/>
    <w:rPr>
      <w:rFonts w:cs="Times New Roman"/>
    </w:rPr>
  </w:style>
  <w:style w:type="character" w:customStyle="1" w:styleId="st">
    <w:name w:val="st"/>
    <w:basedOn w:val="Domylnaczcionkaakapitu"/>
    <w:uiPriority w:val="99"/>
    <w:rsid w:val="00932710"/>
    <w:rPr>
      <w:rFonts w:cs="Times New Roman"/>
    </w:rPr>
  </w:style>
  <w:style w:type="character" w:customStyle="1" w:styleId="highlight">
    <w:name w:val="highlight"/>
    <w:basedOn w:val="Domylnaczcionkaakapitu"/>
    <w:uiPriority w:val="99"/>
    <w:rsid w:val="005340E5"/>
    <w:rPr>
      <w:rFonts w:cs="Times New Roman"/>
    </w:rPr>
  </w:style>
  <w:style w:type="numbering" w:styleId="111111">
    <w:name w:val="Outline List 2"/>
    <w:basedOn w:val="Bezlisty"/>
    <w:uiPriority w:val="99"/>
    <w:semiHidden/>
    <w:unhideWhenUsed/>
    <w:rsid w:val="0057114B"/>
    <w:pPr>
      <w:numPr>
        <w:numId w:val="16"/>
      </w:numPr>
    </w:pPr>
  </w:style>
  <w:style w:type="numbering" w:styleId="Artykusekcja">
    <w:name w:val="Outline List 3"/>
    <w:basedOn w:val="Bezlisty"/>
    <w:uiPriority w:val="99"/>
    <w:semiHidden/>
    <w:unhideWhenUsed/>
    <w:rsid w:val="0057114B"/>
    <w:pPr>
      <w:numPr>
        <w:numId w:val="18"/>
      </w:numPr>
    </w:pPr>
  </w:style>
  <w:style w:type="numbering" w:styleId="1ai">
    <w:name w:val="Outline List 1"/>
    <w:basedOn w:val="Bezlisty"/>
    <w:uiPriority w:val="99"/>
    <w:semiHidden/>
    <w:unhideWhenUsed/>
    <w:rsid w:val="0057114B"/>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8901C4"/>
    <w:pPr>
      <w:suppressAutoHyphens/>
    </w:pPr>
    <w:rPr>
      <w:sz w:val="24"/>
      <w:szCs w:val="20"/>
      <w:lang w:val="en-GB" w:eastAsia="fr-FR"/>
    </w:rPr>
  </w:style>
  <w:style w:type="paragraph" w:styleId="Nagwek1">
    <w:name w:val="heading 1"/>
    <w:basedOn w:val="Normalny"/>
    <w:next w:val="Normalny"/>
    <w:link w:val="Nagwek1Znak"/>
    <w:uiPriority w:val="99"/>
    <w:qFormat/>
    <w:rsid w:val="008901C4"/>
    <w:pPr>
      <w:keepNext/>
      <w:spacing w:before="360" w:after="240"/>
      <w:jc w:val="center"/>
      <w:outlineLvl w:val="0"/>
    </w:pPr>
    <w:rPr>
      <w:b/>
      <w:sz w:val="28"/>
    </w:rPr>
  </w:style>
  <w:style w:type="paragraph" w:styleId="Nagwek2">
    <w:name w:val="heading 2"/>
    <w:basedOn w:val="Normalny"/>
    <w:next w:val="Normalny"/>
    <w:link w:val="Nagwek2Znak"/>
    <w:uiPriority w:val="99"/>
    <w:qFormat/>
    <w:rsid w:val="008901C4"/>
    <w:pPr>
      <w:keepNext/>
      <w:spacing w:before="240" w:after="120"/>
      <w:ind w:left="284" w:hanging="284"/>
      <w:outlineLvl w:val="1"/>
    </w:pPr>
    <w:rPr>
      <w:b/>
    </w:rPr>
  </w:style>
  <w:style w:type="paragraph" w:styleId="Nagwek3">
    <w:name w:val="heading 3"/>
    <w:basedOn w:val="Normalny"/>
    <w:next w:val="Normalny"/>
    <w:link w:val="Nagwek3Znak"/>
    <w:uiPriority w:val="99"/>
    <w:qFormat/>
    <w:rsid w:val="008901C4"/>
    <w:pPr>
      <w:keepNext/>
      <w:spacing w:before="120" w:after="60"/>
      <w:ind w:left="1418" w:hanging="851"/>
      <w:outlineLvl w:val="2"/>
    </w:pPr>
    <w:rPr>
      <w:i/>
    </w:rPr>
  </w:style>
  <w:style w:type="paragraph" w:styleId="Nagwek4">
    <w:name w:val="heading 4"/>
    <w:basedOn w:val="Normalny"/>
    <w:next w:val="Normalny"/>
    <w:link w:val="Nagwek4Znak"/>
    <w:uiPriority w:val="99"/>
    <w:qFormat/>
    <w:rsid w:val="00543640"/>
    <w:pPr>
      <w:widowControl w:val="0"/>
      <w:outlineLvl w:val="3"/>
    </w:pPr>
    <w:rPr>
      <w:rFonts w:ascii="Courier" w:hAnsi="Courier"/>
      <w:lang w:val="en-US" w:eastAsia="en-US"/>
    </w:rPr>
  </w:style>
  <w:style w:type="paragraph" w:styleId="Nagwek5">
    <w:name w:val="heading 5"/>
    <w:basedOn w:val="Normalny"/>
    <w:next w:val="Normalny"/>
    <w:link w:val="Nagwek5Znak"/>
    <w:uiPriority w:val="99"/>
    <w:qFormat/>
    <w:rsid w:val="00543640"/>
    <w:pPr>
      <w:widowControl w:val="0"/>
      <w:outlineLvl w:val="4"/>
    </w:pPr>
    <w:rPr>
      <w:rFonts w:ascii="Courier" w:hAnsi="Courier"/>
      <w:lang w:val="en-US" w:eastAsia="en-US"/>
    </w:rPr>
  </w:style>
  <w:style w:type="paragraph" w:styleId="Nagwek6">
    <w:name w:val="heading 6"/>
    <w:basedOn w:val="Normalny"/>
    <w:next w:val="Normalny"/>
    <w:link w:val="Nagwek6Znak"/>
    <w:uiPriority w:val="99"/>
    <w:qFormat/>
    <w:rsid w:val="00543640"/>
    <w:pPr>
      <w:widowControl w:val="0"/>
      <w:outlineLvl w:val="5"/>
    </w:pPr>
    <w:rPr>
      <w:rFonts w:ascii="Courier" w:hAnsi="Courier"/>
      <w:lang w:val="en-US" w:eastAsia="en-US"/>
    </w:rPr>
  </w:style>
  <w:style w:type="paragraph" w:styleId="Nagwek7">
    <w:name w:val="heading 7"/>
    <w:basedOn w:val="Normalny"/>
    <w:next w:val="Normalny"/>
    <w:link w:val="Nagwek7Znak"/>
    <w:uiPriority w:val="99"/>
    <w:qFormat/>
    <w:rsid w:val="00543640"/>
    <w:pPr>
      <w:widowControl w:val="0"/>
      <w:outlineLvl w:val="6"/>
    </w:pPr>
    <w:rPr>
      <w:rFonts w:ascii="Courier" w:hAnsi="Courier"/>
      <w:lang w:val="en-US" w:eastAsia="en-US"/>
    </w:rPr>
  </w:style>
  <w:style w:type="paragraph" w:styleId="Nagwek8">
    <w:name w:val="heading 8"/>
    <w:basedOn w:val="Normalny"/>
    <w:next w:val="Normalny"/>
    <w:link w:val="Nagwek8Znak"/>
    <w:uiPriority w:val="99"/>
    <w:qFormat/>
    <w:rsid w:val="00543640"/>
    <w:pPr>
      <w:widowControl w:val="0"/>
      <w:outlineLvl w:val="7"/>
    </w:pPr>
    <w:rPr>
      <w:rFonts w:ascii="Courier" w:hAnsi="Courier"/>
      <w:lang w:val="en-US" w:eastAsia="en-US"/>
    </w:rPr>
  </w:style>
  <w:style w:type="paragraph" w:styleId="Nagwek9">
    <w:name w:val="heading 9"/>
    <w:basedOn w:val="Normalny"/>
    <w:next w:val="Normalny"/>
    <w:link w:val="Nagwek9Znak"/>
    <w:uiPriority w:val="99"/>
    <w:qFormat/>
    <w:rsid w:val="00543640"/>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7114B"/>
    <w:rPr>
      <w:rFonts w:asciiTheme="majorHAnsi" w:eastAsiaTheme="majorEastAsia" w:hAnsiTheme="majorHAnsi" w:cstheme="majorBidi"/>
      <w:b/>
      <w:bCs/>
      <w:kern w:val="32"/>
      <w:sz w:val="32"/>
      <w:szCs w:val="32"/>
      <w:lang w:val="en-GB" w:eastAsia="fr-FR"/>
    </w:rPr>
  </w:style>
  <w:style w:type="character" w:customStyle="1" w:styleId="Nagwek2Znak">
    <w:name w:val="Nagłówek 2 Znak"/>
    <w:basedOn w:val="Domylnaczcionkaakapitu"/>
    <w:link w:val="Nagwek2"/>
    <w:uiPriority w:val="9"/>
    <w:semiHidden/>
    <w:rsid w:val="0057114B"/>
    <w:rPr>
      <w:rFonts w:asciiTheme="majorHAnsi" w:eastAsiaTheme="majorEastAsia" w:hAnsiTheme="majorHAnsi" w:cstheme="majorBidi"/>
      <w:b/>
      <w:bCs/>
      <w:i/>
      <w:iCs/>
      <w:sz w:val="28"/>
      <w:szCs w:val="28"/>
      <w:lang w:val="en-GB" w:eastAsia="fr-FR"/>
    </w:rPr>
  </w:style>
  <w:style w:type="character" w:customStyle="1" w:styleId="Nagwek3Znak">
    <w:name w:val="Nagłówek 3 Znak"/>
    <w:basedOn w:val="Domylnaczcionkaakapitu"/>
    <w:link w:val="Nagwek3"/>
    <w:uiPriority w:val="9"/>
    <w:semiHidden/>
    <w:rsid w:val="0057114B"/>
    <w:rPr>
      <w:rFonts w:asciiTheme="majorHAnsi" w:eastAsiaTheme="majorEastAsia" w:hAnsiTheme="majorHAnsi" w:cstheme="majorBidi"/>
      <w:b/>
      <w:bCs/>
      <w:sz w:val="26"/>
      <w:szCs w:val="26"/>
      <w:lang w:val="en-GB" w:eastAsia="fr-FR"/>
    </w:rPr>
  </w:style>
  <w:style w:type="character" w:customStyle="1" w:styleId="Nagwek4Znak">
    <w:name w:val="Nagłówek 4 Znak"/>
    <w:basedOn w:val="Domylnaczcionkaakapitu"/>
    <w:link w:val="Nagwek4"/>
    <w:uiPriority w:val="9"/>
    <w:semiHidden/>
    <w:rsid w:val="0057114B"/>
    <w:rPr>
      <w:rFonts w:asciiTheme="minorHAnsi" w:eastAsiaTheme="minorEastAsia" w:hAnsiTheme="minorHAnsi" w:cstheme="minorBidi"/>
      <w:b/>
      <w:bCs/>
      <w:sz w:val="28"/>
      <w:szCs w:val="28"/>
      <w:lang w:val="en-GB" w:eastAsia="fr-FR"/>
    </w:rPr>
  </w:style>
  <w:style w:type="character" w:customStyle="1" w:styleId="Nagwek5Znak">
    <w:name w:val="Nagłówek 5 Znak"/>
    <w:basedOn w:val="Domylnaczcionkaakapitu"/>
    <w:link w:val="Nagwek5"/>
    <w:uiPriority w:val="9"/>
    <w:semiHidden/>
    <w:rsid w:val="0057114B"/>
    <w:rPr>
      <w:rFonts w:asciiTheme="minorHAnsi" w:eastAsiaTheme="minorEastAsia" w:hAnsiTheme="minorHAnsi" w:cstheme="minorBidi"/>
      <w:b/>
      <w:bCs/>
      <w:i/>
      <w:iCs/>
      <w:sz w:val="26"/>
      <w:szCs w:val="26"/>
      <w:lang w:val="en-GB" w:eastAsia="fr-FR"/>
    </w:rPr>
  </w:style>
  <w:style w:type="character" w:customStyle="1" w:styleId="Nagwek6Znak">
    <w:name w:val="Nagłówek 6 Znak"/>
    <w:basedOn w:val="Domylnaczcionkaakapitu"/>
    <w:link w:val="Nagwek6"/>
    <w:uiPriority w:val="9"/>
    <w:semiHidden/>
    <w:rsid w:val="0057114B"/>
    <w:rPr>
      <w:rFonts w:asciiTheme="minorHAnsi" w:eastAsiaTheme="minorEastAsia" w:hAnsiTheme="minorHAnsi" w:cstheme="minorBidi"/>
      <w:b/>
      <w:bCs/>
      <w:lang w:val="en-GB" w:eastAsia="fr-FR"/>
    </w:rPr>
  </w:style>
  <w:style w:type="character" w:customStyle="1" w:styleId="Nagwek7Znak">
    <w:name w:val="Nagłówek 7 Znak"/>
    <w:basedOn w:val="Domylnaczcionkaakapitu"/>
    <w:link w:val="Nagwek7"/>
    <w:uiPriority w:val="9"/>
    <w:semiHidden/>
    <w:rsid w:val="0057114B"/>
    <w:rPr>
      <w:rFonts w:asciiTheme="minorHAnsi" w:eastAsiaTheme="minorEastAsia" w:hAnsiTheme="minorHAnsi" w:cstheme="minorBidi"/>
      <w:sz w:val="24"/>
      <w:szCs w:val="24"/>
      <w:lang w:val="en-GB" w:eastAsia="fr-FR"/>
    </w:rPr>
  </w:style>
  <w:style w:type="character" w:customStyle="1" w:styleId="Nagwek8Znak">
    <w:name w:val="Nagłówek 8 Znak"/>
    <w:basedOn w:val="Domylnaczcionkaakapitu"/>
    <w:link w:val="Nagwek8"/>
    <w:uiPriority w:val="9"/>
    <w:semiHidden/>
    <w:rsid w:val="0057114B"/>
    <w:rPr>
      <w:rFonts w:asciiTheme="minorHAnsi" w:eastAsiaTheme="minorEastAsia" w:hAnsiTheme="minorHAnsi" w:cstheme="minorBidi"/>
      <w:i/>
      <w:iCs/>
      <w:sz w:val="24"/>
      <w:szCs w:val="24"/>
      <w:lang w:val="en-GB" w:eastAsia="fr-FR"/>
    </w:rPr>
  </w:style>
  <w:style w:type="character" w:customStyle="1" w:styleId="Nagwek9Znak">
    <w:name w:val="Nagłówek 9 Znak"/>
    <w:basedOn w:val="Domylnaczcionkaakapitu"/>
    <w:link w:val="Nagwek9"/>
    <w:uiPriority w:val="9"/>
    <w:semiHidden/>
    <w:rsid w:val="0057114B"/>
    <w:rPr>
      <w:rFonts w:asciiTheme="majorHAnsi" w:eastAsiaTheme="majorEastAsia" w:hAnsiTheme="majorHAnsi" w:cstheme="majorBidi"/>
      <w:lang w:val="en-GB" w:eastAsia="fr-FR"/>
    </w:rPr>
  </w:style>
  <w:style w:type="paragraph" w:customStyle="1" w:styleId="JuPara">
    <w:name w:val="Ju_Para"/>
    <w:aliases w:val="Left,First line:  0 cm"/>
    <w:basedOn w:val="Normalny"/>
    <w:link w:val="JuParaCar"/>
    <w:uiPriority w:val="99"/>
    <w:rsid w:val="008901C4"/>
    <w:pPr>
      <w:ind w:firstLine="284"/>
      <w:jc w:val="both"/>
    </w:pPr>
  </w:style>
  <w:style w:type="paragraph" w:customStyle="1" w:styleId="JuHIRoman">
    <w:name w:val="Ju_H_I_Roman"/>
    <w:basedOn w:val="JuHHead"/>
    <w:next w:val="JuPara"/>
    <w:link w:val="JuHIRomanChar"/>
    <w:uiPriority w:val="99"/>
    <w:rsid w:val="008901C4"/>
    <w:pPr>
      <w:tabs>
        <w:tab w:val="left" w:pos="357"/>
      </w:tabs>
      <w:spacing w:before="360"/>
      <w:ind w:left="357" w:hanging="357"/>
    </w:pPr>
    <w:rPr>
      <w:sz w:val="24"/>
    </w:rPr>
  </w:style>
  <w:style w:type="paragraph" w:customStyle="1" w:styleId="JuHHead">
    <w:name w:val="Ju_H_Head"/>
    <w:basedOn w:val="Normalny"/>
    <w:next w:val="JuPara"/>
    <w:link w:val="JuHHeadChar"/>
    <w:uiPriority w:val="99"/>
    <w:rsid w:val="008901C4"/>
    <w:pPr>
      <w:keepNext/>
      <w:keepLines/>
      <w:spacing w:before="720" w:after="240"/>
      <w:jc w:val="both"/>
    </w:pPr>
    <w:rPr>
      <w:sz w:val="28"/>
    </w:rPr>
  </w:style>
  <w:style w:type="paragraph" w:styleId="Stopka">
    <w:name w:val="footer"/>
    <w:basedOn w:val="Normalny"/>
    <w:link w:val="StopkaZnak"/>
    <w:uiPriority w:val="99"/>
    <w:rsid w:val="008901C4"/>
    <w:pPr>
      <w:tabs>
        <w:tab w:val="center" w:pos="3686"/>
        <w:tab w:val="right" w:pos="7371"/>
      </w:tabs>
    </w:pPr>
    <w:rPr>
      <w:sz w:val="18"/>
    </w:rPr>
  </w:style>
  <w:style w:type="character" w:customStyle="1" w:styleId="StopkaZnak">
    <w:name w:val="Stopka Znak"/>
    <w:basedOn w:val="Domylnaczcionkaakapitu"/>
    <w:link w:val="Stopka"/>
    <w:uiPriority w:val="99"/>
    <w:semiHidden/>
    <w:rsid w:val="0057114B"/>
    <w:rPr>
      <w:sz w:val="24"/>
      <w:szCs w:val="20"/>
      <w:lang w:val="en-GB" w:eastAsia="fr-FR"/>
    </w:rPr>
  </w:style>
  <w:style w:type="paragraph" w:customStyle="1" w:styleId="JuJudges">
    <w:name w:val="Ju_Judges"/>
    <w:basedOn w:val="Normalny"/>
    <w:link w:val="JuJudgesChar"/>
    <w:uiPriority w:val="99"/>
    <w:rsid w:val="008901C4"/>
    <w:pPr>
      <w:tabs>
        <w:tab w:val="left" w:pos="567"/>
        <w:tab w:val="left" w:pos="1134"/>
      </w:tabs>
    </w:pPr>
  </w:style>
  <w:style w:type="character" w:customStyle="1" w:styleId="JuNames">
    <w:name w:val="Ju_Names"/>
    <w:uiPriority w:val="99"/>
    <w:rsid w:val="008901C4"/>
    <w:rPr>
      <w:smallCaps/>
    </w:rPr>
  </w:style>
  <w:style w:type="paragraph" w:customStyle="1" w:styleId="JuHA">
    <w:name w:val="Ju_H_A"/>
    <w:basedOn w:val="JuHIRoman"/>
    <w:next w:val="JuPara"/>
    <w:link w:val="JuHAChar"/>
    <w:uiPriority w:val="99"/>
    <w:rsid w:val="008901C4"/>
    <w:pPr>
      <w:tabs>
        <w:tab w:val="clear" w:pos="357"/>
        <w:tab w:val="left" w:pos="584"/>
      </w:tabs>
      <w:ind w:left="584" w:hanging="352"/>
    </w:pPr>
    <w:rPr>
      <w:b/>
    </w:rPr>
  </w:style>
  <w:style w:type="paragraph" w:customStyle="1" w:styleId="JuQuot">
    <w:name w:val="Ju_Quot"/>
    <w:basedOn w:val="JuPara"/>
    <w:link w:val="JuQuotChar"/>
    <w:uiPriority w:val="99"/>
    <w:rsid w:val="008901C4"/>
    <w:pPr>
      <w:spacing w:before="120" w:after="120"/>
      <w:ind w:left="425" w:firstLine="142"/>
    </w:pPr>
    <w:rPr>
      <w:sz w:val="20"/>
    </w:rPr>
  </w:style>
  <w:style w:type="paragraph" w:customStyle="1" w:styleId="JuSigned">
    <w:name w:val="Ju_Signed"/>
    <w:basedOn w:val="Normalny"/>
    <w:next w:val="JuParaLast"/>
    <w:link w:val="JuSignedChar"/>
    <w:uiPriority w:val="99"/>
    <w:rsid w:val="008901C4"/>
    <w:pPr>
      <w:tabs>
        <w:tab w:val="center" w:pos="851"/>
        <w:tab w:val="center" w:pos="6407"/>
      </w:tabs>
      <w:spacing w:before="720"/>
    </w:pPr>
  </w:style>
  <w:style w:type="paragraph" w:customStyle="1" w:styleId="JuParaLast">
    <w:name w:val="Ju_Para_Last"/>
    <w:basedOn w:val="JuPara"/>
    <w:next w:val="JuPara"/>
    <w:uiPriority w:val="99"/>
    <w:rsid w:val="008901C4"/>
    <w:pPr>
      <w:keepNext/>
      <w:keepLines/>
      <w:spacing w:before="240"/>
    </w:pPr>
  </w:style>
  <w:style w:type="paragraph" w:customStyle="1" w:styleId="JuCase">
    <w:name w:val="Ju_Case"/>
    <w:basedOn w:val="JuPara"/>
    <w:next w:val="JuPara"/>
    <w:uiPriority w:val="99"/>
    <w:rsid w:val="008901C4"/>
    <w:rPr>
      <w:b/>
    </w:rPr>
  </w:style>
  <w:style w:type="paragraph" w:customStyle="1" w:styleId="JuList">
    <w:name w:val="Ju_List"/>
    <w:basedOn w:val="JuPara"/>
    <w:uiPriority w:val="99"/>
    <w:rsid w:val="008901C4"/>
    <w:pPr>
      <w:ind w:left="340" w:hanging="340"/>
    </w:pPr>
  </w:style>
  <w:style w:type="paragraph" w:customStyle="1" w:styleId="JuHArticle">
    <w:name w:val="Ju_H_Article"/>
    <w:basedOn w:val="JuHa0"/>
    <w:next w:val="JuQuot"/>
    <w:uiPriority w:val="99"/>
    <w:rsid w:val="008901C4"/>
    <w:pPr>
      <w:ind w:left="0" w:firstLine="0"/>
      <w:jc w:val="center"/>
    </w:pPr>
  </w:style>
  <w:style w:type="paragraph" w:customStyle="1" w:styleId="JuHa0">
    <w:name w:val="Ju_H_a"/>
    <w:basedOn w:val="JuH1"/>
    <w:next w:val="JuPara"/>
    <w:link w:val="JuHaChar0"/>
    <w:uiPriority w:val="99"/>
    <w:rsid w:val="008901C4"/>
    <w:pPr>
      <w:tabs>
        <w:tab w:val="clear" w:pos="731"/>
        <w:tab w:val="left" w:pos="975"/>
      </w:tabs>
      <w:ind w:left="975" w:hanging="340"/>
    </w:pPr>
    <w:rPr>
      <w:b w:val="0"/>
    </w:rPr>
  </w:style>
  <w:style w:type="paragraph" w:customStyle="1" w:styleId="JuH1">
    <w:name w:val="Ju_H_1."/>
    <w:basedOn w:val="JuHA"/>
    <w:next w:val="JuPara"/>
    <w:link w:val="JuH1Char"/>
    <w:uiPriority w:val="99"/>
    <w:rsid w:val="008901C4"/>
    <w:pPr>
      <w:tabs>
        <w:tab w:val="clear" w:pos="584"/>
        <w:tab w:val="left" w:pos="731"/>
      </w:tabs>
      <w:spacing w:before="240" w:after="120"/>
      <w:ind w:left="732" w:hanging="301"/>
    </w:pPr>
    <w:rPr>
      <w:i/>
    </w:rPr>
  </w:style>
  <w:style w:type="paragraph" w:styleId="Tekstkomentarza">
    <w:name w:val="annotation text"/>
    <w:basedOn w:val="Normalny"/>
    <w:link w:val="TekstkomentarzaZnak"/>
    <w:uiPriority w:val="99"/>
    <w:semiHidden/>
    <w:rsid w:val="00543640"/>
    <w:rPr>
      <w:sz w:val="20"/>
    </w:rPr>
  </w:style>
  <w:style w:type="character" w:customStyle="1" w:styleId="TekstkomentarzaZnak">
    <w:name w:val="Tekst komentarza Znak"/>
    <w:basedOn w:val="Domylnaczcionkaakapitu"/>
    <w:link w:val="Tekstkomentarza"/>
    <w:uiPriority w:val="99"/>
    <w:semiHidden/>
    <w:rsid w:val="0057114B"/>
    <w:rPr>
      <w:sz w:val="20"/>
      <w:szCs w:val="20"/>
      <w:lang w:val="en-GB" w:eastAsia="fr-FR"/>
    </w:rPr>
  </w:style>
  <w:style w:type="paragraph" w:styleId="Tematkomentarza">
    <w:name w:val="annotation subject"/>
    <w:basedOn w:val="Tekstkomentarza"/>
    <w:next w:val="Tekstkomentarza"/>
    <w:link w:val="TematkomentarzaZnak"/>
    <w:uiPriority w:val="99"/>
    <w:semiHidden/>
    <w:rsid w:val="00F43833"/>
    <w:rPr>
      <w:b/>
      <w:bCs/>
    </w:rPr>
  </w:style>
  <w:style w:type="character" w:customStyle="1" w:styleId="TematkomentarzaZnak">
    <w:name w:val="Temat komentarza Znak"/>
    <w:basedOn w:val="TekstkomentarzaZnak"/>
    <w:link w:val="Tematkomentarza"/>
    <w:uiPriority w:val="99"/>
    <w:semiHidden/>
    <w:rsid w:val="0057114B"/>
    <w:rPr>
      <w:b/>
      <w:bCs/>
      <w:sz w:val="20"/>
      <w:szCs w:val="20"/>
      <w:lang w:val="en-GB" w:eastAsia="fr-FR"/>
    </w:rPr>
  </w:style>
  <w:style w:type="paragraph" w:customStyle="1" w:styleId="JuCourt">
    <w:name w:val="Ju_Court"/>
    <w:basedOn w:val="JuJudges"/>
    <w:uiPriority w:val="99"/>
    <w:rsid w:val="008901C4"/>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link w:val="TekstprzypisudolnegoZnak"/>
    <w:uiPriority w:val="99"/>
    <w:semiHidden/>
    <w:rsid w:val="008901C4"/>
    <w:pPr>
      <w:jc w:val="both"/>
    </w:pPr>
    <w:rPr>
      <w:sz w:val="20"/>
    </w:rPr>
  </w:style>
  <w:style w:type="character" w:customStyle="1" w:styleId="TekstprzypisudolnegoZnak">
    <w:name w:val="Tekst przypisu dolnego Znak"/>
    <w:basedOn w:val="Domylnaczcionkaakapitu"/>
    <w:link w:val="Tekstprzypisudolnego"/>
    <w:uiPriority w:val="99"/>
    <w:semiHidden/>
    <w:rsid w:val="0057114B"/>
    <w:rPr>
      <w:sz w:val="20"/>
      <w:szCs w:val="20"/>
      <w:lang w:val="en-GB" w:eastAsia="fr-FR"/>
    </w:rPr>
  </w:style>
  <w:style w:type="character" w:styleId="Odwoanieprzypisudolnego">
    <w:name w:val="footnote reference"/>
    <w:basedOn w:val="Domylnaczcionkaakapitu"/>
    <w:uiPriority w:val="99"/>
    <w:semiHidden/>
    <w:rsid w:val="008901C4"/>
    <w:rPr>
      <w:rFonts w:cs="Times New Roman"/>
      <w:vertAlign w:val="superscript"/>
    </w:rPr>
  </w:style>
  <w:style w:type="paragraph" w:customStyle="1" w:styleId="JuHi">
    <w:name w:val="Ju_H_i"/>
    <w:basedOn w:val="JuHa0"/>
    <w:next w:val="JuPara"/>
    <w:link w:val="JuHiChar"/>
    <w:uiPriority w:val="99"/>
    <w:rsid w:val="008901C4"/>
    <w:pPr>
      <w:tabs>
        <w:tab w:val="clear" w:pos="975"/>
        <w:tab w:val="left" w:pos="1191"/>
      </w:tabs>
      <w:ind w:left="1190" w:hanging="357"/>
    </w:pPr>
  </w:style>
  <w:style w:type="paragraph" w:styleId="Nagwek">
    <w:name w:val="header"/>
    <w:basedOn w:val="Normalny"/>
    <w:link w:val="NagwekZnak"/>
    <w:uiPriority w:val="99"/>
    <w:rsid w:val="008901C4"/>
    <w:pPr>
      <w:tabs>
        <w:tab w:val="center" w:pos="3686"/>
        <w:tab w:val="right" w:pos="7371"/>
      </w:tabs>
    </w:pPr>
    <w:rPr>
      <w:sz w:val="18"/>
    </w:rPr>
  </w:style>
  <w:style w:type="character" w:customStyle="1" w:styleId="NagwekZnak">
    <w:name w:val="Nagłówek Znak"/>
    <w:basedOn w:val="Domylnaczcionkaakapitu"/>
    <w:link w:val="Nagwek"/>
    <w:uiPriority w:val="99"/>
    <w:semiHidden/>
    <w:rsid w:val="0057114B"/>
    <w:rPr>
      <w:sz w:val="24"/>
      <w:szCs w:val="20"/>
      <w:lang w:val="en-GB" w:eastAsia="fr-FR"/>
    </w:rPr>
  </w:style>
  <w:style w:type="character" w:styleId="Numerstrony">
    <w:name w:val="page number"/>
    <w:basedOn w:val="Domylnaczcionkaakapitu"/>
    <w:uiPriority w:val="99"/>
    <w:rsid w:val="008901C4"/>
    <w:rPr>
      <w:rFonts w:cs="Times New Roman"/>
      <w:sz w:val="18"/>
    </w:rPr>
  </w:style>
  <w:style w:type="paragraph" w:customStyle="1" w:styleId="JuH">
    <w:name w:val="Ju_H_–"/>
    <w:basedOn w:val="JuHalpha"/>
    <w:next w:val="JuPara"/>
    <w:uiPriority w:val="99"/>
    <w:rsid w:val="008901C4"/>
    <w:pPr>
      <w:tabs>
        <w:tab w:val="clear" w:pos="1372"/>
      </w:tabs>
      <w:ind w:left="1236" w:firstLine="0"/>
    </w:pPr>
    <w:rPr>
      <w:i/>
    </w:rPr>
  </w:style>
  <w:style w:type="paragraph" w:customStyle="1" w:styleId="JuHalpha">
    <w:name w:val="Ju_H_alpha"/>
    <w:basedOn w:val="JuHi"/>
    <w:next w:val="JuPara"/>
    <w:uiPriority w:val="99"/>
    <w:rsid w:val="008901C4"/>
    <w:pPr>
      <w:tabs>
        <w:tab w:val="clear" w:pos="1191"/>
        <w:tab w:val="left" w:pos="1372"/>
      </w:tabs>
      <w:ind w:left="1373" w:hanging="335"/>
    </w:pPr>
    <w:rPr>
      <w:i w:val="0"/>
    </w:rPr>
  </w:style>
  <w:style w:type="paragraph" w:customStyle="1" w:styleId="JuLista">
    <w:name w:val="Ju_List_a"/>
    <w:basedOn w:val="JuList"/>
    <w:uiPriority w:val="99"/>
    <w:rsid w:val="008901C4"/>
    <w:pPr>
      <w:ind w:left="346" w:firstLine="0"/>
    </w:pPr>
  </w:style>
  <w:style w:type="paragraph" w:customStyle="1" w:styleId="JuListi">
    <w:name w:val="Ju_List_i"/>
    <w:basedOn w:val="JuLista"/>
    <w:uiPriority w:val="99"/>
    <w:rsid w:val="008901C4"/>
    <w:pPr>
      <w:ind w:left="794"/>
    </w:pPr>
  </w:style>
  <w:style w:type="character" w:styleId="Odwoaniedokomentarza">
    <w:name w:val="annotation reference"/>
    <w:basedOn w:val="Domylnaczcionkaakapitu"/>
    <w:uiPriority w:val="99"/>
    <w:semiHidden/>
    <w:rsid w:val="00543640"/>
    <w:rPr>
      <w:rFonts w:cs="Times New Roman"/>
      <w:sz w:val="16"/>
    </w:rPr>
  </w:style>
  <w:style w:type="paragraph" w:customStyle="1" w:styleId="OpiHHead">
    <w:name w:val="Opi_H_Head"/>
    <w:basedOn w:val="JuHHead"/>
    <w:next w:val="OpiPara"/>
    <w:uiPriority w:val="99"/>
    <w:rsid w:val="008901C4"/>
    <w:pPr>
      <w:spacing w:before="0"/>
      <w:jc w:val="center"/>
    </w:pPr>
  </w:style>
  <w:style w:type="paragraph" w:customStyle="1" w:styleId="OpiPara">
    <w:name w:val="Opi_Para"/>
    <w:basedOn w:val="JuPara"/>
    <w:uiPriority w:val="99"/>
    <w:rsid w:val="008901C4"/>
  </w:style>
  <w:style w:type="paragraph" w:customStyle="1" w:styleId="OpiTranslation">
    <w:name w:val="Opi_Translation"/>
    <w:basedOn w:val="OpiHHead"/>
    <w:next w:val="OpiPara"/>
    <w:uiPriority w:val="99"/>
    <w:rsid w:val="008901C4"/>
    <w:rPr>
      <w:i/>
      <w:sz w:val="24"/>
    </w:rPr>
  </w:style>
  <w:style w:type="paragraph" w:customStyle="1" w:styleId="JuInitialled">
    <w:name w:val="Ju_Initialled"/>
    <w:basedOn w:val="JuSigned"/>
    <w:uiPriority w:val="99"/>
    <w:rsid w:val="008901C4"/>
    <w:pPr>
      <w:tabs>
        <w:tab w:val="clear" w:pos="851"/>
      </w:tabs>
      <w:jc w:val="right"/>
    </w:pPr>
  </w:style>
  <w:style w:type="paragraph" w:customStyle="1" w:styleId="JuHeader">
    <w:name w:val="Ju_Header"/>
    <w:basedOn w:val="Nagwek"/>
    <w:uiPriority w:val="99"/>
    <w:rsid w:val="008901C4"/>
  </w:style>
  <w:style w:type="paragraph" w:customStyle="1" w:styleId="DecHTitle">
    <w:name w:val="Dec_H_Title"/>
    <w:basedOn w:val="Normalny"/>
    <w:uiPriority w:val="99"/>
    <w:rsid w:val="008901C4"/>
    <w:pPr>
      <w:spacing w:after="240"/>
      <w:jc w:val="center"/>
    </w:pPr>
    <w:rPr>
      <w:sz w:val="28"/>
    </w:rPr>
  </w:style>
  <w:style w:type="paragraph" w:customStyle="1" w:styleId="DecHCase">
    <w:name w:val="Dec_H_Case"/>
    <w:basedOn w:val="DecHTitle"/>
    <w:next w:val="JuPara"/>
    <w:uiPriority w:val="99"/>
    <w:rsid w:val="008901C4"/>
    <w:rPr>
      <w:sz w:val="24"/>
    </w:rPr>
  </w:style>
  <w:style w:type="paragraph" w:customStyle="1" w:styleId="DecList">
    <w:name w:val="Dec_List"/>
    <w:basedOn w:val="Normalny"/>
    <w:uiPriority w:val="99"/>
    <w:rsid w:val="008901C4"/>
    <w:pPr>
      <w:spacing w:before="240"/>
      <w:ind w:left="284"/>
      <w:jc w:val="both"/>
    </w:pPr>
  </w:style>
  <w:style w:type="paragraph" w:customStyle="1" w:styleId="JuParaSub">
    <w:name w:val="Ju_Para_Sub"/>
    <w:basedOn w:val="JuPara"/>
    <w:uiPriority w:val="99"/>
    <w:rsid w:val="008901C4"/>
    <w:pPr>
      <w:ind w:left="284"/>
    </w:pPr>
    <w:rPr>
      <w:szCs w:val="24"/>
    </w:rPr>
  </w:style>
  <w:style w:type="paragraph" w:customStyle="1" w:styleId="JuQuotSub">
    <w:name w:val="Ju_Quot_Sub"/>
    <w:basedOn w:val="JuQuot"/>
    <w:uiPriority w:val="99"/>
    <w:rsid w:val="008901C4"/>
    <w:pPr>
      <w:ind w:left="567"/>
    </w:pPr>
  </w:style>
  <w:style w:type="paragraph" w:styleId="Tekstdymka">
    <w:name w:val="Balloon Text"/>
    <w:basedOn w:val="Normalny"/>
    <w:link w:val="TekstdymkaZnak"/>
    <w:uiPriority w:val="99"/>
    <w:semiHidden/>
    <w:rsid w:val="00283F8B"/>
    <w:rPr>
      <w:rFonts w:ascii="Tahoma" w:hAnsi="Tahoma" w:cs="Tahoma"/>
      <w:sz w:val="16"/>
      <w:szCs w:val="16"/>
    </w:rPr>
  </w:style>
  <w:style w:type="character" w:customStyle="1" w:styleId="TekstdymkaZnak">
    <w:name w:val="Tekst dymka Znak"/>
    <w:basedOn w:val="Domylnaczcionkaakapitu"/>
    <w:link w:val="Tekstdymka"/>
    <w:uiPriority w:val="99"/>
    <w:semiHidden/>
    <w:rsid w:val="0057114B"/>
    <w:rPr>
      <w:sz w:val="0"/>
      <w:szCs w:val="0"/>
      <w:lang w:val="en-GB" w:eastAsia="fr-FR"/>
    </w:rPr>
  </w:style>
  <w:style w:type="paragraph" w:customStyle="1" w:styleId="PJuPara">
    <w:name w:val="P_Ju_Para"/>
    <w:basedOn w:val="Normalny"/>
    <w:uiPriority w:val="99"/>
    <w:rsid w:val="008901C4"/>
    <w:pPr>
      <w:ind w:firstLine="284"/>
      <w:jc w:val="both"/>
    </w:pPr>
  </w:style>
  <w:style w:type="paragraph" w:customStyle="1" w:styleId="PJuQuot">
    <w:name w:val="P_Ju_Quot"/>
    <w:basedOn w:val="Normalny"/>
    <w:uiPriority w:val="99"/>
    <w:rsid w:val="008901C4"/>
    <w:pPr>
      <w:spacing w:before="120" w:after="120"/>
      <w:ind w:left="403" w:firstLine="176"/>
      <w:jc w:val="both"/>
    </w:pPr>
    <w:rPr>
      <w:sz w:val="20"/>
    </w:rPr>
  </w:style>
  <w:style w:type="paragraph" w:customStyle="1" w:styleId="OpiHA">
    <w:name w:val="Opi_H_A"/>
    <w:basedOn w:val="JuHIRoman"/>
    <w:next w:val="OpiPara"/>
    <w:uiPriority w:val="99"/>
    <w:rsid w:val="008901C4"/>
    <w:pPr>
      <w:tabs>
        <w:tab w:val="clear" w:pos="357"/>
      </w:tabs>
    </w:pPr>
    <w:rPr>
      <w:b/>
    </w:rPr>
  </w:style>
  <w:style w:type="paragraph" w:customStyle="1" w:styleId="OpiH1">
    <w:name w:val="Opi_H_1."/>
    <w:basedOn w:val="OpiHA"/>
    <w:next w:val="OpiPara"/>
    <w:uiPriority w:val="99"/>
    <w:rsid w:val="008901C4"/>
    <w:pPr>
      <w:spacing w:before="240" w:after="120"/>
      <w:ind w:left="635"/>
    </w:pPr>
    <w:rPr>
      <w:b w:val="0"/>
      <w:i/>
    </w:rPr>
  </w:style>
  <w:style w:type="paragraph" w:customStyle="1" w:styleId="OpiHa0">
    <w:name w:val="Opi_H_a"/>
    <w:basedOn w:val="OpiH1"/>
    <w:next w:val="OpiPara"/>
    <w:uiPriority w:val="99"/>
    <w:rsid w:val="008901C4"/>
    <w:pPr>
      <w:ind w:left="834"/>
    </w:pPr>
    <w:rPr>
      <w:b/>
      <w:i w:val="0"/>
      <w:sz w:val="20"/>
    </w:rPr>
  </w:style>
  <w:style w:type="paragraph" w:customStyle="1" w:styleId="OpiHi">
    <w:name w:val="Opi_H_i"/>
    <w:basedOn w:val="OpiHa0"/>
    <w:next w:val="OpiPara"/>
    <w:uiPriority w:val="99"/>
    <w:rsid w:val="008901C4"/>
    <w:pPr>
      <w:ind w:left="1038"/>
    </w:pPr>
    <w:rPr>
      <w:b w:val="0"/>
      <w:i/>
    </w:rPr>
  </w:style>
  <w:style w:type="paragraph" w:customStyle="1" w:styleId="PListArticleSubject">
    <w:name w:val="P_List_ArticleSubject"/>
    <w:basedOn w:val="Normalny"/>
    <w:uiPriority w:val="99"/>
    <w:rsid w:val="008901C4"/>
    <w:pPr>
      <w:tabs>
        <w:tab w:val="left" w:pos="2977"/>
      </w:tabs>
      <w:ind w:left="2977" w:hanging="2977"/>
    </w:pPr>
  </w:style>
  <w:style w:type="paragraph" w:customStyle="1" w:styleId="OpiQuot">
    <w:name w:val="Opi_Quot"/>
    <w:basedOn w:val="JuQuot"/>
    <w:uiPriority w:val="99"/>
    <w:rsid w:val="008901C4"/>
  </w:style>
  <w:style w:type="paragraph" w:customStyle="1" w:styleId="SuCoverTitle1">
    <w:name w:val="Su_Cover_Title1"/>
    <w:basedOn w:val="Normalny"/>
    <w:next w:val="SuCoverTitle2"/>
    <w:uiPriority w:val="99"/>
    <w:rsid w:val="008901C4"/>
    <w:pPr>
      <w:spacing w:before="2500"/>
      <w:jc w:val="center"/>
    </w:pPr>
    <w:rPr>
      <w:sz w:val="22"/>
    </w:rPr>
  </w:style>
  <w:style w:type="paragraph" w:customStyle="1" w:styleId="SuCoverTitle2">
    <w:name w:val="Su_Cover_Title2"/>
    <w:basedOn w:val="SuCoverTitle1"/>
    <w:next w:val="Normalny"/>
    <w:uiPriority w:val="99"/>
    <w:rsid w:val="008901C4"/>
    <w:pPr>
      <w:spacing w:before="240"/>
    </w:pPr>
    <w:rPr>
      <w:sz w:val="18"/>
    </w:rPr>
  </w:style>
  <w:style w:type="paragraph" w:customStyle="1" w:styleId="SuPara">
    <w:name w:val="Su_Para"/>
    <w:basedOn w:val="SuKeywords"/>
    <w:uiPriority w:val="99"/>
    <w:rsid w:val="008901C4"/>
    <w:pPr>
      <w:spacing w:before="0" w:after="0"/>
    </w:pPr>
    <w:rPr>
      <w:i w:val="0"/>
    </w:rPr>
  </w:style>
  <w:style w:type="paragraph" w:customStyle="1" w:styleId="SuKeywords">
    <w:name w:val="Su_Keywords"/>
    <w:basedOn w:val="SuHHead"/>
    <w:uiPriority w:val="99"/>
    <w:rsid w:val="008901C4"/>
    <w:pPr>
      <w:spacing w:before="120"/>
    </w:pPr>
    <w:rPr>
      <w:b w:val="0"/>
      <w:i/>
    </w:rPr>
  </w:style>
  <w:style w:type="paragraph" w:customStyle="1" w:styleId="SuHHead">
    <w:name w:val="Su_H_Head"/>
    <w:basedOn w:val="SuSubject"/>
    <w:uiPriority w:val="99"/>
    <w:rsid w:val="008901C4"/>
    <w:pPr>
      <w:spacing w:after="120"/>
    </w:pPr>
  </w:style>
  <w:style w:type="paragraph" w:customStyle="1" w:styleId="SuSubject">
    <w:name w:val="Su_Subject"/>
    <w:basedOn w:val="SuSummary"/>
    <w:uiPriority w:val="99"/>
    <w:rsid w:val="008901C4"/>
    <w:pPr>
      <w:spacing w:before="360"/>
      <w:jc w:val="both"/>
    </w:pPr>
    <w:rPr>
      <w:b/>
      <w:sz w:val="22"/>
    </w:rPr>
  </w:style>
  <w:style w:type="paragraph" w:customStyle="1" w:styleId="SuSummary">
    <w:name w:val="Su_Summary"/>
    <w:basedOn w:val="Normalny"/>
    <w:next w:val="SuSubject"/>
    <w:uiPriority w:val="99"/>
    <w:rsid w:val="008901C4"/>
    <w:pPr>
      <w:spacing w:after="240"/>
      <w:jc w:val="center"/>
    </w:pPr>
  </w:style>
  <w:style w:type="paragraph" w:customStyle="1" w:styleId="PListCaseNo">
    <w:name w:val="P_List_CaseNo"/>
    <w:basedOn w:val="Normalny"/>
    <w:uiPriority w:val="99"/>
    <w:rsid w:val="008901C4"/>
    <w:pPr>
      <w:tabs>
        <w:tab w:val="left" w:pos="1276"/>
      </w:tabs>
      <w:spacing w:line="288" w:lineRule="auto"/>
      <w:ind w:left="1276" w:hanging="1276"/>
    </w:pPr>
  </w:style>
  <w:style w:type="paragraph" w:customStyle="1" w:styleId="PListCases">
    <w:name w:val="P_List_Cases"/>
    <w:basedOn w:val="Normalny"/>
    <w:uiPriority w:val="99"/>
    <w:rsid w:val="008901C4"/>
    <w:pPr>
      <w:spacing w:line="288" w:lineRule="auto"/>
    </w:pPr>
  </w:style>
  <w:style w:type="paragraph" w:customStyle="1" w:styleId="PTextIntro">
    <w:name w:val="P_Text_Intro"/>
    <w:basedOn w:val="Normalny"/>
    <w:uiPriority w:val="99"/>
    <w:rsid w:val="008901C4"/>
    <w:pPr>
      <w:jc w:val="both"/>
    </w:pPr>
    <w:rPr>
      <w:i/>
      <w:sz w:val="20"/>
    </w:rPr>
  </w:style>
  <w:style w:type="paragraph" w:customStyle="1" w:styleId="PTitleCover">
    <w:name w:val="P_Title_Cover"/>
    <w:basedOn w:val="Normalny"/>
    <w:uiPriority w:val="99"/>
    <w:rsid w:val="008901C4"/>
    <w:pPr>
      <w:spacing w:before="2500"/>
      <w:jc w:val="center"/>
    </w:pPr>
    <w:rPr>
      <w:b/>
      <w:smallCaps/>
      <w:sz w:val="30"/>
    </w:rPr>
  </w:style>
  <w:style w:type="paragraph" w:customStyle="1" w:styleId="PTitle1Alpha">
    <w:name w:val="P_Title1_Alpha"/>
    <w:basedOn w:val="Normalny"/>
    <w:next w:val="Normalny"/>
    <w:uiPriority w:val="99"/>
    <w:rsid w:val="008901C4"/>
    <w:pPr>
      <w:spacing w:after="120"/>
      <w:jc w:val="center"/>
    </w:pPr>
    <w:rPr>
      <w:b/>
      <w:smallCaps/>
      <w:sz w:val="30"/>
    </w:rPr>
  </w:style>
  <w:style w:type="paragraph" w:customStyle="1" w:styleId="PTitle1IndexArticle">
    <w:name w:val="P_Title1_IndexArticle"/>
    <w:basedOn w:val="Normalny"/>
    <w:uiPriority w:val="99"/>
    <w:rsid w:val="008901C4"/>
    <w:pPr>
      <w:spacing w:after="120"/>
      <w:jc w:val="center"/>
    </w:pPr>
    <w:rPr>
      <w:b/>
      <w:smallCaps/>
      <w:sz w:val="30"/>
    </w:rPr>
  </w:style>
  <w:style w:type="paragraph" w:customStyle="1" w:styleId="PTitle1IndexKey">
    <w:name w:val="P_Title1_IndexKey"/>
    <w:basedOn w:val="Normalny"/>
    <w:uiPriority w:val="99"/>
    <w:rsid w:val="008901C4"/>
    <w:pPr>
      <w:spacing w:after="600"/>
      <w:jc w:val="center"/>
    </w:pPr>
    <w:rPr>
      <w:b/>
      <w:smallCaps/>
      <w:sz w:val="30"/>
    </w:rPr>
  </w:style>
  <w:style w:type="paragraph" w:customStyle="1" w:styleId="PTitle1Num">
    <w:name w:val="P_Title1_Num"/>
    <w:basedOn w:val="Normalny"/>
    <w:next w:val="PListCaseNo"/>
    <w:uiPriority w:val="99"/>
    <w:rsid w:val="008901C4"/>
    <w:pPr>
      <w:spacing w:after="720"/>
      <w:jc w:val="center"/>
    </w:pPr>
    <w:rPr>
      <w:b/>
      <w:smallCaps/>
      <w:sz w:val="30"/>
    </w:rPr>
  </w:style>
  <w:style w:type="paragraph" w:customStyle="1" w:styleId="PTitle2Country">
    <w:name w:val="P_Title2_Country"/>
    <w:basedOn w:val="Normalny"/>
    <w:next w:val="PListCases"/>
    <w:uiPriority w:val="99"/>
    <w:rsid w:val="008901C4"/>
    <w:pPr>
      <w:keepNext/>
      <w:keepLines/>
      <w:spacing w:before="600" w:after="360"/>
    </w:pPr>
    <w:rPr>
      <w:b/>
    </w:rPr>
  </w:style>
  <w:style w:type="paragraph" w:customStyle="1" w:styleId="PTitle2Letters">
    <w:name w:val="P_Title2_Letters"/>
    <w:basedOn w:val="Normalny"/>
    <w:next w:val="PListCases"/>
    <w:uiPriority w:val="99"/>
    <w:rsid w:val="008901C4"/>
    <w:pPr>
      <w:keepNext/>
      <w:keepLines/>
      <w:spacing w:before="600" w:after="360"/>
    </w:pPr>
    <w:rPr>
      <w:b/>
      <w:sz w:val="28"/>
    </w:rPr>
  </w:style>
  <w:style w:type="paragraph" w:customStyle="1" w:styleId="PTitle2Part">
    <w:name w:val="P_Title2_Part"/>
    <w:basedOn w:val="Normalny"/>
    <w:uiPriority w:val="99"/>
    <w:rsid w:val="008901C4"/>
    <w:pPr>
      <w:keepNext/>
      <w:keepLines/>
      <w:spacing w:before="600" w:after="240"/>
      <w:jc w:val="center"/>
    </w:pPr>
    <w:rPr>
      <w:b/>
      <w:caps/>
    </w:rPr>
  </w:style>
  <w:style w:type="paragraph" w:customStyle="1" w:styleId="PTitle3Article">
    <w:name w:val="P_Title3_Article"/>
    <w:basedOn w:val="Normalny"/>
    <w:uiPriority w:val="99"/>
    <w:rsid w:val="008901C4"/>
    <w:pPr>
      <w:keepNext/>
      <w:keepLines/>
      <w:spacing w:before="360" w:after="120"/>
      <w:jc w:val="center"/>
    </w:pPr>
    <w:rPr>
      <w:b/>
      <w:smallCaps/>
      <w:sz w:val="22"/>
    </w:rPr>
  </w:style>
  <w:style w:type="paragraph" w:customStyle="1" w:styleId="PTitle4ArticleSub">
    <w:name w:val="P_Title4_Article_Sub"/>
    <w:basedOn w:val="PTitle3Article"/>
    <w:uiPriority w:val="99"/>
    <w:rsid w:val="008901C4"/>
    <w:pPr>
      <w:spacing w:before="240"/>
    </w:pPr>
    <w:rPr>
      <w:smallCaps w:val="0"/>
      <w:sz w:val="20"/>
    </w:rPr>
  </w:style>
  <w:style w:type="paragraph" w:customStyle="1" w:styleId="PTitle5Subject">
    <w:name w:val="P_Title5_Subject"/>
    <w:basedOn w:val="Normalny"/>
    <w:uiPriority w:val="99"/>
    <w:rsid w:val="008901C4"/>
    <w:pPr>
      <w:keepNext/>
      <w:keepLines/>
      <w:spacing w:before="240" w:after="120"/>
      <w:jc w:val="both"/>
    </w:pPr>
    <w:rPr>
      <w:b/>
      <w:i/>
    </w:rPr>
  </w:style>
  <w:style w:type="paragraph" w:customStyle="1" w:styleId="PTitle6SubjectSub">
    <w:name w:val="P_Title6_Subject_Sub"/>
    <w:basedOn w:val="Normalny"/>
    <w:uiPriority w:val="99"/>
    <w:rsid w:val="008901C4"/>
    <w:pPr>
      <w:keepNext/>
      <w:keepLines/>
      <w:spacing w:before="240" w:after="120"/>
      <w:ind w:left="284"/>
      <w:jc w:val="both"/>
    </w:pPr>
    <w:rPr>
      <w:b/>
      <w:sz w:val="20"/>
    </w:rPr>
  </w:style>
  <w:style w:type="paragraph" w:customStyle="1" w:styleId="PTitle7CaseName">
    <w:name w:val="P_Title7_CaseName"/>
    <w:basedOn w:val="Normalny"/>
    <w:uiPriority w:val="99"/>
    <w:rsid w:val="008901C4"/>
    <w:pPr>
      <w:keepLines/>
      <w:spacing w:after="240"/>
      <w:jc w:val="right"/>
    </w:pPr>
    <w:rPr>
      <w:sz w:val="22"/>
    </w:rPr>
  </w:style>
  <w:style w:type="paragraph" w:customStyle="1" w:styleId="OpiParaSub">
    <w:name w:val="Opi_Para_Sub"/>
    <w:basedOn w:val="JuParaSub"/>
    <w:uiPriority w:val="99"/>
    <w:rsid w:val="008901C4"/>
  </w:style>
  <w:style w:type="paragraph" w:customStyle="1" w:styleId="OpiQuotSub">
    <w:name w:val="Opi_Quot_Sub"/>
    <w:basedOn w:val="JuQuotSub"/>
    <w:uiPriority w:val="99"/>
    <w:rsid w:val="008901C4"/>
  </w:style>
  <w:style w:type="character" w:customStyle="1" w:styleId="JuSignedChar">
    <w:name w:val="Ju_Signed Char"/>
    <w:link w:val="JuSigned"/>
    <w:uiPriority w:val="99"/>
    <w:locked/>
    <w:rsid w:val="000E4CBF"/>
    <w:rPr>
      <w:sz w:val="24"/>
      <w:lang w:val="en-GB" w:eastAsia="fr-FR"/>
    </w:rPr>
  </w:style>
  <w:style w:type="paragraph" w:customStyle="1" w:styleId="NormalJustified">
    <w:name w:val="Normal_Justified"/>
    <w:basedOn w:val="Normalny"/>
    <w:uiPriority w:val="99"/>
    <w:rsid w:val="008901C4"/>
    <w:pPr>
      <w:jc w:val="both"/>
    </w:pPr>
  </w:style>
  <w:style w:type="character" w:customStyle="1" w:styleId="JuJudgesChar">
    <w:name w:val="Ju_Judges Char"/>
    <w:link w:val="JuJudges"/>
    <w:uiPriority w:val="99"/>
    <w:locked/>
    <w:rsid w:val="00DB26CC"/>
    <w:rPr>
      <w:sz w:val="24"/>
      <w:lang w:val="en-GB" w:eastAsia="fr-FR"/>
    </w:rPr>
  </w:style>
  <w:style w:type="character" w:styleId="Hipercze">
    <w:name w:val="Hyperlink"/>
    <w:basedOn w:val="Domylnaczcionkaakapitu"/>
    <w:uiPriority w:val="99"/>
    <w:rsid w:val="00DF09D7"/>
    <w:rPr>
      <w:rFonts w:cs="Times New Roman"/>
      <w:color w:val="0000FF"/>
      <w:u w:val="single"/>
    </w:rPr>
  </w:style>
  <w:style w:type="paragraph" w:customStyle="1" w:styleId="JuParaCharCharCharCharCharCharChar">
    <w:name w:val="Ju_Para Char Char Char Char Char Char Char"/>
    <w:basedOn w:val="Normalny"/>
    <w:uiPriority w:val="99"/>
    <w:rsid w:val="00F13B5A"/>
    <w:pPr>
      <w:ind w:firstLine="284"/>
      <w:jc w:val="both"/>
    </w:pPr>
    <w:rPr>
      <w:szCs w:val="24"/>
      <w:lang w:val="fr-FR"/>
    </w:rPr>
  </w:style>
  <w:style w:type="paragraph" w:customStyle="1" w:styleId="JuParaChar">
    <w:name w:val="Ju_Para Char"/>
    <w:basedOn w:val="Normalny"/>
    <w:link w:val="JuParaCharChar1"/>
    <w:uiPriority w:val="99"/>
    <w:rsid w:val="00F13B5A"/>
    <w:pPr>
      <w:ind w:firstLine="284"/>
      <w:jc w:val="both"/>
    </w:pPr>
    <w:rPr>
      <w:lang w:eastAsia="en-US"/>
    </w:rPr>
  </w:style>
  <w:style w:type="character" w:customStyle="1" w:styleId="JuParaCharChar1">
    <w:name w:val="Ju_Para Char Char1"/>
    <w:link w:val="JuParaChar"/>
    <w:uiPriority w:val="99"/>
    <w:locked/>
    <w:rsid w:val="00F13B5A"/>
    <w:rPr>
      <w:sz w:val="24"/>
      <w:lang w:val="en-GB" w:eastAsia="en-US"/>
    </w:rPr>
  </w:style>
  <w:style w:type="paragraph" w:customStyle="1" w:styleId="JuParaCharChar">
    <w:name w:val="Ju_Para Char Char"/>
    <w:basedOn w:val="Normalny"/>
    <w:uiPriority w:val="99"/>
    <w:rsid w:val="00F13B5A"/>
    <w:pPr>
      <w:ind w:firstLine="284"/>
      <w:jc w:val="both"/>
    </w:pPr>
    <w:rPr>
      <w:lang w:val="fr-FR"/>
    </w:rPr>
  </w:style>
  <w:style w:type="character" w:customStyle="1" w:styleId="JuParaCar">
    <w:name w:val="Ju_Para Car"/>
    <w:link w:val="JuPara"/>
    <w:uiPriority w:val="99"/>
    <w:locked/>
    <w:rsid w:val="00712F3B"/>
    <w:rPr>
      <w:sz w:val="24"/>
      <w:lang w:val="en-GB" w:eastAsia="fr-FR"/>
    </w:rPr>
  </w:style>
  <w:style w:type="character" w:customStyle="1" w:styleId="JuQuotChar">
    <w:name w:val="Ju_Quot Char"/>
    <w:basedOn w:val="JuParaCar"/>
    <w:link w:val="JuQuot"/>
    <w:uiPriority w:val="99"/>
    <w:locked/>
    <w:rsid w:val="000D679C"/>
    <w:rPr>
      <w:rFonts w:cs="Times New Roman"/>
      <w:sz w:val="24"/>
      <w:lang w:val="en-GB" w:eastAsia="fr-FR" w:bidi="ar-SA"/>
    </w:rPr>
  </w:style>
  <w:style w:type="character" w:customStyle="1" w:styleId="JuHHeadChar">
    <w:name w:val="Ju_H_Head Char"/>
    <w:link w:val="JuHHead"/>
    <w:uiPriority w:val="99"/>
    <w:locked/>
    <w:rsid w:val="00030410"/>
    <w:rPr>
      <w:sz w:val="28"/>
      <w:lang w:val="en-GB" w:eastAsia="fr-FR"/>
    </w:rPr>
  </w:style>
  <w:style w:type="character" w:customStyle="1" w:styleId="JuHIRomanChar">
    <w:name w:val="Ju_H_I_Roman Char"/>
    <w:link w:val="JuHIRoman"/>
    <w:uiPriority w:val="99"/>
    <w:locked/>
    <w:rsid w:val="00030410"/>
    <w:rPr>
      <w:sz w:val="24"/>
      <w:lang w:val="en-GB" w:eastAsia="fr-FR"/>
    </w:rPr>
  </w:style>
  <w:style w:type="character" w:customStyle="1" w:styleId="JuHAChar">
    <w:name w:val="Ju_H_A Char"/>
    <w:link w:val="JuHA"/>
    <w:uiPriority w:val="99"/>
    <w:locked/>
    <w:rsid w:val="00030410"/>
    <w:rPr>
      <w:b/>
      <w:sz w:val="24"/>
      <w:lang w:val="en-GB" w:eastAsia="fr-FR"/>
    </w:rPr>
  </w:style>
  <w:style w:type="character" w:customStyle="1" w:styleId="JuH1Char">
    <w:name w:val="Ju_H_1. Char"/>
    <w:link w:val="JuH1"/>
    <w:uiPriority w:val="99"/>
    <w:locked/>
    <w:rsid w:val="00030410"/>
    <w:rPr>
      <w:b/>
      <w:i/>
      <w:sz w:val="24"/>
      <w:lang w:val="en-GB" w:eastAsia="fr-FR"/>
    </w:rPr>
  </w:style>
  <w:style w:type="character" w:customStyle="1" w:styleId="JuHaChar0">
    <w:name w:val="Ju_H_a Char"/>
    <w:link w:val="JuHa0"/>
    <w:uiPriority w:val="99"/>
    <w:locked/>
    <w:rsid w:val="00030410"/>
    <w:rPr>
      <w:b/>
      <w:i/>
      <w:sz w:val="24"/>
      <w:lang w:val="en-GB" w:eastAsia="fr-FR"/>
    </w:rPr>
  </w:style>
  <w:style w:type="character" w:customStyle="1" w:styleId="JuHiChar">
    <w:name w:val="Ju_H_i Char"/>
    <w:basedOn w:val="JuHaChar0"/>
    <w:link w:val="JuHi"/>
    <w:uiPriority w:val="99"/>
    <w:locked/>
    <w:rsid w:val="0082724A"/>
    <w:rPr>
      <w:rFonts w:cs="Times New Roman"/>
      <w:b/>
      <w:i/>
      <w:sz w:val="24"/>
      <w:lang w:val="en-GB" w:eastAsia="fr-FR" w:bidi="ar-SA"/>
    </w:rPr>
  </w:style>
  <w:style w:type="paragraph" w:styleId="Poprawka">
    <w:name w:val="Revision"/>
    <w:hidden/>
    <w:uiPriority w:val="99"/>
    <w:semiHidden/>
    <w:rsid w:val="007549E5"/>
    <w:rPr>
      <w:sz w:val="24"/>
      <w:szCs w:val="20"/>
      <w:lang w:val="en-GB" w:eastAsia="fr-FR"/>
    </w:rPr>
  </w:style>
  <w:style w:type="paragraph" w:styleId="Bibliografia">
    <w:name w:val="Bibliography"/>
    <w:basedOn w:val="Normalny"/>
    <w:next w:val="Normalny"/>
    <w:uiPriority w:val="99"/>
    <w:semiHidden/>
    <w:rsid w:val="00677FEF"/>
  </w:style>
  <w:style w:type="paragraph" w:styleId="Tekstblokowy">
    <w:name w:val="Block Text"/>
    <w:basedOn w:val="Normalny"/>
    <w:uiPriority w:val="99"/>
    <w:rsid w:val="00677FEF"/>
    <w:pPr>
      <w:spacing w:after="120"/>
      <w:ind w:left="1440" w:right="1440"/>
    </w:pPr>
  </w:style>
  <w:style w:type="paragraph" w:styleId="Tekstpodstawowy">
    <w:name w:val="Body Text"/>
    <w:basedOn w:val="Normalny"/>
    <w:link w:val="TekstpodstawowyZnak"/>
    <w:uiPriority w:val="99"/>
    <w:rsid w:val="00677FEF"/>
    <w:pPr>
      <w:spacing w:after="120"/>
    </w:pPr>
  </w:style>
  <w:style w:type="character" w:customStyle="1" w:styleId="TekstpodstawowyZnak">
    <w:name w:val="Tekst podstawowy Znak"/>
    <w:basedOn w:val="Domylnaczcionkaakapitu"/>
    <w:link w:val="Tekstpodstawowy"/>
    <w:uiPriority w:val="99"/>
    <w:locked/>
    <w:rsid w:val="00677FEF"/>
    <w:rPr>
      <w:sz w:val="24"/>
      <w:lang w:val="en-GB" w:eastAsia="fr-FR"/>
    </w:rPr>
  </w:style>
  <w:style w:type="paragraph" w:styleId="Tekstpodstawowy2">
    <w:name w:val="Body Text 2"/>
    <w:basedOn w:val="Normalny"/>
    <w:link w:val="Tekstpodstawowy2Znak"/>
    <w:uiPriority w:val="99"/>
    <w:rsid w:val="00677FEF"/>
    <w:pPr>
      <w:spacing w:after="120" w:line="480" w:lineRule="auto"/>
    </w:pPr>
  </w:style>
  <w:style w:type="character" w:customStyle="1" w:styleId="Tekstpodstawowy2Znak">
    <w:name w:val="Tekst podstawowy 2 Znak"/>
    <w:basedOn w:val="Domylnaczcionkaakapitu"/>
    <w:link w:val="Tekstpodstawowy2"/>
    <w:uiPriority w:val="99"/>
    <w:locked/>
    <w:rsid w:val="00677FEF"/>
    <w:rPr>
      <w:sz w:val="24"/>
      <w:lang w:val="en-GB" w:eastAsia="fr-FR"/>
    </w:rPr>
  </w:style>
  <w:style w:type="paragraph" w:styleId="Tekstpodstawowy3">
    <w:name w:val="Body Text 3"/>
    <w:basedOn w:val="Normalny"/>
    <w:link w:val="Tekstpodstawowy3Znak"/>
    <w:uiPriority w:val="99"/>
    <w:rsid w:val="00677FEF"/>
    <w:pPr>
      <w:spacing w:after="120"/>
    </w:pPr>
    <w:rPr>
      <w:sz w:val="16"/>
      <w:szCs w:val="16"/>
    </w:rPr>
  </w:style>
  <w:style w:type="character" w:customStyle="1" w:styleId="Tekstpodstawowy3Znak">
    <w:name w:val="Tekst podstawowy 3 Znak"/>
    <w:basedOn w:val="Domylnaczcionkaakapitu"/>
    <w:link w:val="Tekstpodstawowy3"/>
    <w:uiPriority w:val="99"/>
    <w:locked/>
    <w:rsid w:val="00677FEF"/>
    <w:rPr>
      <w:sz w:val="16"/>
      <w:lang w:val="en-GB" w:eastAsia="fr-FR"/>
    </w:rPr>
  </w:style>
  <w:style w:type="paragraph" w:styleId="Tekstpodstawowyzwciciem">
    <w:name w:val="Body Text First Indent"/>
    <w:basedOn w:val="Tekstpodstawowy"/>
    <w:link w:val="TekstpodstawowyzwciciemZnak"/>
    <w:uiPriority w:val="99"/>
    <w:rsid w:val="00677FEF"/>
    <w:pPr>
      <w:ind w:firstLine="210"/>
    </w:pPr>
  </w:style>
  <w:style w:type="character" w:customStyle="1" w:styleId="TekstpodstawowyzwciciemZnak">
    <w:name w:val="Tekst podstawowy z wcięciem Znak"/>
    <w:basedOn w:val="TekstpodstawowyZnak"/>
    <w:link w:val="Tekstpodstawowyzwciciem"/>
    <w:uiPriority w:val="99"/>
    <w:locked/>
    <w:rsid w:val="00677FEF"/>
    <w:rPr>
      <w:rFonts w:cs="Times New Roman"/>
      <w:sz w:val="24"/>
      <w:lang w:val="en-GB" w:eastAsia="fr-FR"/>
    </w:rPr>
  </w:style>
  <w:style w:type="paragraph" w:styleId="Tekstpodstawowywcity">
    <w:name w:val="Body Text Indent"/>
    <w:basedOn w:val="Normalny"/>
    <w:link w:val="TekstpodstawowywcityZnak"/>
    <w:uiPriority w:val="99"/>
    <w:rsid w:val="00677FEF"/>
    <w:pPr>
      <w:spacing w:after="120"/>
      <w:ind w:left="283"/>
    </w:pPr>
  </w:style>
  <w:style w:type="character" w:customStyle="1" w:styleId="TekstpodstawowywcityZnak">
    <w:name w:val="Tekst podstawowy wcięty Znak"/>
    <w:basedOn w:val="Domylnaczcionkaakapitu"/>
    <w:link w:val="Tekstpodstawowywcity"/>
    <w:uiPriority w:val="99"/>
    <w:locked/>
    <w:rsid w:val="00677FEF"/>
    <w:rPr>
      <w:sz w:val="24"/>
      <w:lang w:val="en-GB" w:eastAsia="fr-FR"/>
    </w:rPr>
  </w:style>
  <w:style w:type="paragraph" w:styleId="Tekstpodstawowyzwciciem2">
    <w:name w:val="Body Text First Indent 2"/>
    <w:basedOn w:val="Tekstpodstawowywcity"/>
    <w:link w:val="Tekstpodstawowyzwciciem2Znak"/>
    <w:uiPriority w:val="99"/>
    <w:rsid w:val="00677FEF"/>
    <w:pPr>
      <w:ind w:firstLine="210"/>
    </w:pPr>
  </w:style>
  <w:style w:type="character" w:customStyle="1" w:styleId="Tekstpodstawowyzwciciem2Znak">
    <w:name w:val="Tekst podstawowy z wcięciem 2 Znak"/>
    <w:basedOn w:val="TekstpodstawowywcityZnak"/>
    <w:link w:val="Tekstpodstawowyzwciciem2"/>
    <w:uiPriority w:val="99"/>
    <w:locked/>
    <w:rsid w:val="00677FEF"/>
    <w:rPr>
      <w:rFonts w:cs="Times New Roman"/>
      <w:sz w:val="24"/>
      <w:lang w:val="en-GB" w:eastAsia="fr-FR"/>
    </w:rPr>
  </w:style>
  <w:style w:type="paragraph" w:styleId="Tekstpodstawowywcity2">
    <w:name w:val="Body Text Indent 2"/>
    <w:basedOn w:val="Normalny"/>
    <w:link w:val="Tekstpodstawowywcity2Znak"/>
    <w:uiPriority w:val="99"/>
    <w:rsid w:val="00677FEF"/>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677FEF"/>
    <w:rPr>
      <w:sz w:val="24"/>
      <w:lang w:val="en-GB" w:eastAsia="fr-FR"/>
    </w:rPr>
  </w:style>
  <w:style w:type="paragraph" w:styleId="Tekstpodstawowywcity3">
    <w:name w:val="Body Text Indent 3"/>
    <w:basedOn w:val="Normalny"/>
    <w:link w:val="Tekstpodstawowywcity3Znak"/>
    <w:uiPriority w:val="99"/>
    <w:rsid w:val="00677FE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677FEF"/>
    <w:rPr>
      <w:sz w:val="16"/>
      <w:lang w:val="en-GB" w:eastAsia="fr-FR"/>
    </w:rPr>
  </w:style>
  <w:style w:type="character" w:styleId="Tytuksiki">
    <w:name w:val="Book Title"/>
    <w:basedOn w:val="Domylnaczcionkaakapitu"/>
    <w:uiPriority w:val="99"/>
    <w:qFormat/>
    <w:rsid w:val="00677FEF"/>
    <w:rPr>
      <w:b/>
      <w:smallCaps/>
      <w:spacing w:val="5"/>
    </w:rPr>
  </w:style>
  <w:style w:type="paragraph" w:styleId="Legenda">
    <w:name w:val="caption"/>
    <w:basedOn w:val="Normalny"/>
    <w:next w:val="Normalny"/>
    <w:uiPriority w:val="99"/>
    <w:qFormat/>
    <w:rsid w:val="00677FEF"/>
    <w:rPr>
      <w:b/>
      <w:bCs/>
      <w:sz w:val="20"/>
    </w:rPr>
  </w:style>
  <w:style w:type="paragraph" w:styleId="Zwrotpoegnalny">
    <w:name w:val="Closing"/>
    <w:basedOn w:val="Normalny"/>
    <w:link w:val="ZwrotpoegnalnyZnak"/>
    <w:uiPriority w:val="99"/>
    <w:rsid w:val="00677FEF"/>
    <w:pPr>
      <w:ind w:left="4252"/>
    </w:pPr>
  </w:style>
  <w:style w:type="character" w:customStyle="1" w:styleId="ZwrotpoegnalnyZnak">
    <w:name w:val="Zwrot pożegnalny Znak"/>
    <w:basedOn w:val="Domylnaczcionkaakapitu"/>
    <w:link w:val="Zwrotpoegnalny"/>
    <w:uiPriority w:val="99"/>
    <w:locked/>
    <w:rsid w:val="00677FEF"/>
    <w:rPr>
      <w:sz w:val="24"/>
      <w:lang w:val="en-GB" w:eastAsia="fr-FR"/>
    </w:rPr>
  </w:style>
  <w:style w:type="table" w:customStyle="1" w:styleId="Grigliaacolori1">
    <w:name w:val="Griglia a colori1"/>
    <w:uiPriority w:val="99"/>
    <w:rsid w:val="00677FEF"/>
    <w:rPr>
      <w:color w:val="000000"/>
      <w:sz w:val="20"/>
      <w:szCs w:val="20"/>
      <w:lang w:val="it-IT" w:eastAsia="it-IT"/>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DBE5F1"/>
    </w:tcPr>
    <w:tblStylePr w:type="firstRow">
      <w:rPr>
        <w:rFonts w:cs="Times New Roman"/>
        <w:b/>
        <w:bCs/>
      </w:rPr>
      <w:tblPr/>
      <w:tcPr>
        <w:shd w:val="clear" w:color="auto" w:fill="B8CCE4"/>
      </w:tcPr>
    </w:tblStylePr>
    <w:tblStylePr w:type="lastRow">
      <w:rPr>
        <w:rFonts w:cs="Times New Roman"/>
        <w:b/>
        <w:bCs/>
        <w:color w:val="000000"/>
      </w:rPr>
      <w:tblPr/>
      <w:tcPr>
        <w:shd w:val="clear" w:color="auto" w:fill="B8CCE4"/>
      </w:tcPr>
    </w:tblStylePr>
    <w:tblStylePr w:type="firstCol">
      <w:rPr>
        <w:rFonts w:cs="Times New Roman"/>
        <w:color w:val="FFFFFF"/>
      </w:rPr>
      <w:tblPr/>
      <w:tcPr>
        <w:shd w:val="clear" w:color="auto" w:fill="365F91"/>
      </w:tcPr>
    </w:tblStylePr>
    <w:tblStylePr w:type="lastCol">
      <w:rPr>
        <w:rFonts w:cs="Times New Roman"/>
        <w:color w:val="FFFFFF"/>
      </w:rPr>
      <w:tblPr/>
      <w:tcPr>
        <w:shd w:val="clear" w:color="auto" w:fill="365F91"/>
      </w:tc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Kolorowasiatkaakcent2">
    <w:name w:val="Colorful Grid Accent 2"/>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F2DBDB"/>
    </w:tcPr>
    <w:tblStylePr w:type="firstRow">
      <w:rPr>
        <w:rFonts w:cs="Times New Roman"/>
        <w:b/>
        <w:bCs/>
      </w:rPr>
      <w:tblPr/>
      <w:tcPr>
        <w:shd w:val="clear" w:color="auto" w:fill="E5B8B7"/>
      </w:tcPr>
    </w:tblStylePr>
    <w:tblStylePr w:type="lastRow">
      <w:rPr>
        <w:rFonts w:cs="Times New Roman"/>
        <w:b/>
        <w:bCs/>
        <w:color w:val="000000"/>
      </w:rPr>
      <w:tblPr/>
      <w:tcPr>
        <w:shd w:val="clear" w:color="auto" w:fill="E5B8B7"/>
      </w:tcPr>
    </w:tblStylePr>
    <w:tblStylePr w:type="firstCol">
      <w:rPr>
        <w:rFonts w:cs="Times New Roman"/>
        <w:color w:val="FFFFFF"/>
      </w:rPr>
      <w:tblPr/>
      <w:tcPr>
        <w:shd w:val="clear" w:color="auto" w:fill="943634"/>
      </w:tcPr>
    </w:tblStylePr>
    <w:tblStylePr w:type="lastCol">
      <w:rPr>
        <w:rFonts w:cs="Times New Roman"/>
        <w:color w:val="FFFFFF"/>
      </w:rPr>
      <w:tblPr/>
      <w:tcPr>
        <w:shd w:val="clear" w:color="auto" w:fill="943634"/>
      </w:tcPr>
    </w:tblStylePr>
    <w:tblStylePr w:type="band1Vert">
      <w:rPr>
        <w:rFonts w:cs="Times New Roman"/>
      </w:rPr>
      <w:tblPr/>
      <w:tcPr>
        <w:shd w:val="clear" w:color="auto" w:fill="DFA7A6"/>
      </w:tcPr>
    </w:tblStylePr>
    <w:tblStylePr w:type="band1Horz">
      <w:rPr>
        <w:rFonts w:cs="Times New Roman"/>
      </w:rPr>
      <w:tblPr/>
      <w:tcPr>
        <w:shd w:val="clear" w:color="auto" w:fill="DFA7A6"/>
      </w:tcPr>
    </w:tblStylePr>
  </w:style>
  <w:style w:type="table" w:styleId="Kolorowasiatkaakcent3">
    <w:name w:val="Colorful Grid Accent 3"/>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Kolorowasiatkaakcent4">
    <w:name w:val="Colorful Grid Accent 4"/>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E5DFEC"/>
    </w:tcPr>
    <w:tblStylePr w:type="firstRow">
      <w:rPr>
        <w:rFonts w:cs="Times New Roman"/>
        <w:b/>
        <w:bCs/>
      </w:rPr>
      <w:tblPr/>
      <w:tcPr>
        <w:shd w:val="clear" w:color="auto" w:fill="CCC0D9"/>
      </w:tcPr>
    </w:tblStylePr>
    <w:tblStylePr w:type="lastRow">
      <w:rPr>
        <w:rFonts w:cs="Times New Roman"/>
        <w:b/>
        <w:bCs/>
        <w:color w:val="000000"/>
      </w:rPr>
      <w:tblPr/>
      <w:tcPr>
        <w:shd w:val="clear" w:color="auto" w:fill="CCC0D9"/>
      </w:tcPr>
    </w:tblStylePr>
    <w:tblStylePr w:type="firstCol">
      <w:rPr>
        <w:rFonts w:cs="Times New Roman"/>
        <w:color w:val="FFFFFF"/>
      </w:rPr>
      <w:tblPr/>
      <w:tcPr>
        <w:shd w:val="clear" w:color="auto" w:fill="5F497A"/>
      </w:tcPr>
    </w:tblStylePr>
    <w:tblStylePr w:type="lastCol">
      <w:rPr>
        <w:rFonts w:cs="Times New Roman"/>
        <w:color w:val="FFFFFF"/>
      </w:rPr>
      <w:tblPr/>
      <w:tcPr>
        <w:shd w:val="clear" w:color="auto" w:fill="5F497A"/>
      </w:tcPr>
    </w:tblStylePr>
    <w:tblStylePr w:type="band1Vert">
      <w:rPr>
        <w:rFonts w:cs="Times New Roman"/>
      </w:rPr>
      <w:tblPr/>
      <w:tcPr>
        <w:shd w:val="clear" w:color="auto" w:fill="BFB1D0"/>
      </w:tcPr>
    </w:tblStylePr>
    <w:tblStylePr w:type="band1Horz">
      <w:rPr>
        <w:rFonts w:cs="Times New Roman"/>
      </w:rPr>
      <w:tblPr/>
      <w:tcPr>
        <w:shd w:val="clear" w:color="auto" w:fill="BFB1D0"/>
      </w:tcPr>
    </w:tblStylePr>
  </w:style>
  <w:style w:type="table" w:styleId="Kolorowasiatkaakcent5">
    <w:name w:val="Colorful Grid Accent 5"/>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DAEEF3"/>
    </w:tcPr>
    <w:tblStylePr w:type="firstRow">
      <w:rPr>
        <w:rFonts w:cs="Times New Roman"/>
        <w:b/>
        <w:bCs/>
      </w:rPr>
      <w:tblPr/>
      <w:tcPr>
        <w:shd w:val="clear" w:color="auto" w:fill="B6DDE8"/>
      </w:tcPr>
    </w:tblStylePr>
    <w:tblStylePr w:type="lastRow">
      <w:rPr>
        <w:rFonts w:cs="Times New Roman"/>
        <w:b/>
        <w:bCs/>
        <w:color w:val="000000"/>
      </w:rPr>
      <w:tblPr/>
      <w:tcPr>
        <w:shd w:val="clear" w:color="auto" w:fill="B6DDE8"/>
      </w:tcPr>
    </w:tblStylePr>
    <w:tblStylePr w:type="firstCol">
      <w:rPr>
        <w:rFonts w:cs="Times New Roman"/>
        <w:color w:val="FFFFFF"/>
      </w:rPr>
      <w:tblPr/>
      <w:tcPr>
        <w:shd w:val="clear" w:color="auto" w:fill="31849B"/>
      </w:tcPr>
    </w:tblStylePr>
    <w:tblStylePr w:type="lastCol">
      <w:rPr>
        <w:rFonts w:cs="Times New Roman"/>
        <w:color w:val="FFFFFF"/>
      </w:rPr>
      <w:tblPr/>
      <w:tcPr>
        <w:shd w:val="clear" w:color="auto" w:fill="31849B"/>
      </w:tcPr>
    </w:tblStylePr>
    <w:tblStylePr w:type="band1Vert">
      <w:rPr>
        <w:rFonts w:cs="Times New Roman"/>
      </w:rPr>
      <w:tblPr/>
      <w:tcPr>
        <w:shd w:val="clear" w:color="auto" w:fill="A5D5E2"/>
      </w:tcPr>
    </w:tblStylePr>
    <w:tblStylePr w:type="band1Horz">
      <w:rPr>
        <w:rFonts w:cs="Times New Roman"/>
      </w:rPr>
      <w:tblPr/>
      <w:tcPr>
        <w:shd w:val="clear" w:color="auto" w:fill="A5D5E2"/>
      </w:tcPr>
    </w:tblStylePr>
  </w:style>
  <w:style w:type="table" w:styleId="Kolorowasiatkaakcent6">
    <w:name w:val="Colorful Grid Accent 6"/>
    <w:basedOn w:val="Standardowy"/>
    <w:uiPriority w:val="99"/>
    <w:rsid w:val="00677FEF"/>
    <w:rPr>
      <w:color w:val="000000"/>
      <w:sz w:val="20"/>
      <w:szCs w:val="20"/>
    </w:rPr>
    <w:tblPr>
      <w:tblStyleRowBandSize w:val="1"/>
      <w:tblStyleColBandSize w:val="1"/>
      <w:tblBorders>
        <w:insideH w:val="single" w:sz="4" w:space="0" w:color="FFFFFF"/>
      </w:tblBorders>
    </w:tblPr>
    <w:tcPr>
      <w:shd w:val="clear" w:color="auto" w:fill="FDE9D9"/>
    </w:tcPr>
    <w:tblStylePr w:type="firstRow">
      <w:rPr>
        <w:rFonts w:cs="Times New Roman"/>
        <w:b/>
        <w:bCs/>
      </w:rPr>
      <w:tblPr/>
      <w:tcPr>
        <w:shd w:val="clear" w:color="auto" w:fill="FBD4B4"/>
      </w:tcPr>
    </w:tblStylePr>
    <w:tblStylePr w:type="lastRow">
      <w:rPr>
        <w:rFonts w:cs="Times New Roman"/>
        <w:b/>
        <w:bCs/>
        <w:color w:val="000000"/>
      </w:rPr>
      <w:tblPr/>
      <w:tcPr>
        <w:shd w:val="clear" w:color="auto" w:fill="FBD4B4"/>
      </w:tcPr>
    </w:tblStylePr>
    <w:tblStylePr w:type="firstCol">
      <w:rPr>
        <w:rFonts w:cs="Times New Roman"/>
        <w:color w:val="FFFFFF"/>
      </w:rPr>
      <w:tblPr/>
      <w:tcPr>
        <w:shd w:val="clear" w:color="auto" w:fill="E36C0A"/>
      </w:tcPr>
    </w:tblStylePr>
    <w:tblStylePr w:type="lastCol">
      <w:rPr>
        <w:rFonts w:cs="Times New Roman"/>
        <w:color w:val="FFFFFF"/>
      </w:rPr>
      <w:tblPr/>
      <w:tcPr>
        <w:shd w:val="clear" w:color="auto" w:fill="E36C0A"/>
      </w:tcPr>
    </w:tblStylePr>
    <w:tblStylePr w:type="band1Vert">
      <w:rPr>
        <w:rFonts w:cs="Times New Roman"/>
      </w:rPr>
      <w:tblPr/>
      <w:tcPr>
        <w:shd w:val="clear" w:color="auto" w:fill="FBCAA2"/>
      </w:tcPr>
    </w:tblStylePr>
    <w:tblStylePr w:type="band1Horz">
      <w:rPr>
        <w:rFonts w:cs="Times New Roman"/>
      </w:rPr>
      <w:tblPr/>
      <w:tcPr>
        <w:shd w:val="clear" w:color="auto" w:fill="FBCAA2"/>
      </w:tcPr>
    </w:tblStylePr>
  </w:style>
  <w:style w:type="table" w:customStyle="1" w:styleId="Elencoacolori1">
    <w:name w:val="Elenco a colori1"/>
    <w:uiPriority w:val="99"/>
    <w:rsid w:val="00677FEF"/>
    <w:rPr>
      <w:color w:val="000000"/>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rsid w:val="00677FEF"/>
    <w:rPr>
      <w:color w:val="000000"/>
      <w:sz w:val="20"/>
      <w:szCs w:val="20"/>
    </w:rPr>
    <w:tblPr>
      <w:tblStyleRowBandSize w:val="1"/>
      <w:tblStyleColBandSize w:val="1"/>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table" w:styleId="Kolorowalistaakcent2">
    <w:name w:val="Colorful List Accent 2"/>
    <w:basedOn w:val="Standardowy"/>
    <w:uiPriority w:val="99"/>
    <w:rsid w:val="00677FEF"/>
    <w:rPr>
      <w:color w:val="000000"/>
      <w:sz w:val="20"/>
      <w:szCs w:val="20"/>
    </w:rPr>
    <w:tblPr>
      <w:tblStyleRowBandSize w:val="1"/>
      <w:tblStyleColBandSize w:val="1"/>
    </w:tblPr>
    <w:tcPr>
      <w:shd w:val="clear" w:color="auto" w:fill="F8EDED"/>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FD3D2"/>
      </w:tcPr>
    </w:tblStylePr>
    <w:tblStylePr w:type="band1Horz">
      <w:rPr>
        <w:rFonts w:cs="Times New Roman"/>
      </w:rPr>
      <w:tblPr/>
      <w:tcPr>
        <w:shd w:val="clear" w:color="auto" w:fill="F2DBDB"/>
      </w:tcPr>
    </w:tblStylePr>
  </w:style>
  <w:style w:type="table" w:styleId="Kolorowalistaakcent3">
    <w:name w:val="Colorful List Accent 3"/>
    <w:basedOn w:val="Standardowy"/>
    <w:uiPriority w:val="99"/>
    <w:rsid w:val="00677FEF"/>
    <w:rPr>
      <w:color w:val="000000"/>
      <w:sz w:val="20"/>
      <w:szCs w:val="20"/>
    </w:rPr>
    <w:tblPr>
      <w:tblStyleRowBandSize w:val="1"/>
      <w:tblStyleColBandSize w:val="1"/>
    </w:tblPr>
    <w:tcPr>
      <w:shd w:val="clear" w:color="auto" w:fill="F5F8EE"/>
    </w:tcPr>
    <w:tblStylePr w:type="firstRow">
      <w:rPr>
        <w:rFonts w:cs="Times New Roman"/>
        <w:b/>
        <w:bCs/>
        <w:color w:val="FFFFFF"/>
      </w:rPr>
      <w:tblPr/>
      <w:tcPr>
        <w:tcBorders>
          <w:bottom w:val="single" w:sz="12" w:space="0" w:color="FFFFFF"/>
        </w:tcBorders>
        <w:shd w:val="clear" w:color="auto" w:fill="664E82"/>
      </w:tcPr>
    </w:tblStylePr>
    <w:tblStylePr w:type="lastRow">
      <w:rPr>
        <w:rFonts w:cs="Times New Roman"/>
        <w:b/>
        <w:bCs/>
        <w:color w:val="664E82"/>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6EED5"/>
      </w:tcPr>
    </w:tblStylePr>
    <w:tblStylePr w:type="band1Horz">
      <w:rPr>
        <w:rFonts w:cs="Times New Roman"/>
      </w:rPr>
      <w:tblPr/>
      <w:tcPr>
        <w:shd w:val="clear" w:color="auto" w:fill="EAF1DD"/>
      </w:tcPr>
    </w:tblStylePr>
  </w:style>
  <w:style w:type="table" w:styleId="Kolorowalistaakcent4">
    <w:name w:val="Colorful List Accent 4"/>
    <w:basedOn w:val="Standardowy"/>
    <w:uiPriority w:val="99"/>
    <w:rsid w:val="00677FEF"/>
    <w:rPr>
      <w:color w:val="000000"/>
      <w:sz w:val="20"/>
      <w:szCs w:val="20"/>
    </w:rPr>
    <w:tblPr>
      <w:tblStyleRowBandSize w:val="1"/>
      <w:tblStyleColBandSize w:val="1"/>
    </w:tblPr>
    <w:tcPr>
      <w:shd w:val="clear" w:color="auto" w:fill="F2EFF6"/>
    </w:tcPr>
    <w:tblStylePr w:type="firstRow">
      <w:rPr>
        <w:rFonts w:cs="Times New Roman"/>
        <w:b/>
        <w:bCs/>
        <w:color w:val="FFFFFF"/>
      </w:rPr>
      <w:tblPr/>
      <w:tcPr>
        <w:tcBorders>
          <w:bottom w:val="single" w:sz="12" w:space="0" w:color="FFFFFF"/>
        </w:tcBorders>
        <w:shd w:val="clear" w:color="auto" w:fill="7E9C40"/>
      </w:tcPr>
    </w:tblStylePr>
    <w:tblStylePr w:type="lastRow">
      <w:rPr>
        <w:rFonts w:cs="Times New Roman"/>
        <w:b/>
        <w:bCs/>
        <w:color w:val="7E9C40"/>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FD8E8"/>
      </w:tcPr>
    </w:tblStylePr>
    <w:tblStylePr w:type="band1Horz">
      <w:rPr>
        <w:rFonts w:cs="Times New Roman"/>
      </w:rPr>
      <w:tblPr/>
      <w:tcPr>
        <w:shd w:val="clear" w:color="auto" w:fill="E5DFEC"/>
      </w:tcPr>
    </w:tblStylePr>
  </w:style>
  <w:style w:type="table" w:styleId="Kolorowalistaakcent5">
    <w:name w:val="Colorful List Accent 5"/>
    <w:basedOn w:val="Standardowy"/>
    <w:uiPriority w:val="99"/>
    <w:rsid w:val="00677FEF"/>
    <w:rPr>
      <w:color w:val="000000"/>
      <w:sz w:val="20"/>
      <w:szCs w:val="20"/>
    </w:rPr>
    <w:tblPr>
      <w:tblStyleRowBandSize w:val="1"/>
      <w:tblStyleColBandSize w:val="1"/>
    </w:tblPr>
    <w:tcPr>
      <w:shd w:val="clear" w:color="auto" w:fill="EDF6F9"/>
    </w:tcPr>
    <w:tblStylePr w:type="firstRow">
      <w:rPr>
        <w:rFonts w:cs="Times New Roman"/>
        <w:b/>
        <w:bCs/>
        <w:color w:val="FFFFFF"/>
      </w:rPr>
      <w:tblPr/>
      <w:tcPr>
        <w:tcBorders>
          <w:bottom w:val="single" w:sz="12" w:space="0" w:color="FFFFFF"/>
        </w:tcBorders>
        <w:shd w:val="clear" w:color="auto" w:fill="F2730A"/>
      </w:tcPr>
    </w:tblStylePr>
    <w:tblStylePr w:type="lastRow">
      <w:rPr>
        <w:rFonts w:cs="Times New Roman"/>
        <w:b/>
        <w:bCs/>
        <w:color w:val="F2730A"/>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2EAF1"/>
      </w:tcPr>
    </w:tblStylePr>
    <w:tblStylePr w:type="band1Horz">
      <w:rPr>
        <w:rFonts w:cs="Times New Roman"/>
      </w:rPr>
      <w:tblPr/>
      <w:tcPr>
        <w:shd w:val="clear" w:color="auto" w:fill="DAEEF3"/>
      </w:tcPr>
    </w:tblStylePr>
  </w:style>
  <w:style w:type="table" w:styleId="Kolorowalistaakcent6">
    <w:name w:val="Colorful List Accent 6"/>
    <w:basedOn w:val="Standardowy"/>
    <w:uiPriority w:val="99"/>
    <w:rsid w:val="00677FEF"/>
    <w:rPr>
      <w:color w:val="000000"/>
      <w:sz w:val="20"/>
      <w:szCs w:val="20"/>
    </w:rPr>
    <w:tblPr>
      <w:tblStyleRowBandSize w:val="1"/>
      <w:tblStyleColBandSize w:val="1"/>
    </w:tblPr>
    <w:tcPr>
      <w:shd w:val="clear" w:color="auto" w:fill="FEF4EC"/>
    </w:tcPr>
    <w:tblStylePr w:type="firstRow">
      <w:rPr>
        <w:rFonts w:cs="Times New Roman"/>
        <w:b/>
        <w:bCs/>
        <w:color w:val="FFFFFF"/>
      </w:rPr>
      <w:tblPr/>
      <w:tcPr>
        <w:tcBorders>
          <w:bottom w:val="single" w:sz="12" w:space="0" w:color="FFFFFF"/>
        </w:tcBorders>
        <w:shd w:val="clear" w:color="auto" w:fill="348DA5"/>
      </w:tcPr>
    </w:tblStylePr>
    <w:tblStylePr w:type="lastRow">
      <w:rPr>
        <w:rFonts w:cs="Times New Roman"/>
        <w:b/>
        <w:bCs/>
        <w:color w:val="348DA5"/>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DE4D0"/>
      </w:tcPr>
    </w:tblStylePr>
    <w:tblStylePr w:type="band1Horz">
      <w:rPr>
        <w:rFonts w:cs="Times New Roman"/>
      </w:rPr>
      <w:tblPr/>
      <w:tcPr>
        <w:shd w:val="clear" w:color="auto" w:fill="FDE9D9"/>
      </w:tcPr>
    </w:tblStylePr>
  </w:style>
  <w:style w:type="table" w:customStyle="1" w:styleId="Sfondoacolori1">
    <w:name w:val="Sfondo a colori1"/>
    <w:uiPriority w:val="99"/>
    <w:rsid w:val="00677FEF"/>
    <w:rPr>
      <w:color w:val="000000"/>
      <w:sz w:val="20"/>
      <w:szCs w:val="20"/>
      <w:lang w:val="it-IT" w:eastAsia="it-IT"/>
    </w:rPr>
    <w:tblPr>
      <w:tblStyleRowBandSize w:val="1"/>
      <w:tblStyleColBandSize w:val="1"/>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000000"/>
      </w:tcPr>
    </w:tblStylePr>
    <w:tblStylePr w:type="firstCol">
      <w:rPr>
        <w:rFonts w:cs="Times New Roman"/>
        <w:color w:val="FFFFFF"/>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FFFFFF"/>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rsid w:val="00677FEF"/>
    <w:rPr>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rsid w:val="00677FEF"/>
    <w:rPr>
      <w:color w:val="000000"/>
      <w:sz w:val="20"/>
      <w:szCs w:val="2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772C2A"/>
      </w:tcPr>
    </w:tblStylePr>
    <w:tblStylePr w:type="firstCol">
      <w:rPr>
        <w:rFonts w:cs="Times New Roman"/>
        <w:color w:val="FFFFFF"/>
      </w:rPr>
      <w:tblPr/>
      <w:tcPr>
        <w:tcBorders>
          <w:top w:val="nil"/>
          <w:left w:val="nil"/>
          <w:bottom w:val="nil"/>
          <w:right w:val="nil"/>
          <w:insideH w:val="single" w:sz="4" w:space="0" w:color="772C2A"/>
          <w:insideV w:val="nil"/>
        </w:tcBorders>
        <w:shd w:val="clear" w:color="auto" w:fill="772C2A"/>
      </w:tcPr>
    </w:tblStylePr>
    <w:tblStylePr w:type="lastCol">
      <w:rPr>
        <w:rFonts w:cs="Times New Roman"/>
        <w:color w:val="FFFFFF"/>
      </w:rPr>
      <w:tblPr/>
      <w:tcPr>
        <w:tcBorders>
          <w:top w:val="nil"/>
          <w:left w:val="nil"/>
          <w:bottom w:val="nil"/>
          <w:right w:val="nil"/>
          <w:insideH w:val="nil"/>
          <w:insideV w:val="nil"/>
        </w:tcBorders>
        <w:shd w:val="clear" w:color="auto" w:fill="772C2A"/>
      </w:tcPr>
    </w:tblStylePr>
    <w:tblStylePr w:type="band1Vert">
      <w:rPr>
        <w:rFonts w:cs="Times New Roman"/>
      </w:rPr>
      <w:tblPr/>
      <w:tcPr>
        <w:shd w:val="clear" w:color="auto" w:fill="E5B8B7"/>
      </w:tcPr>
    </w:tblStylePr>
    <w:tblStylePr w:type="band1Horz">
      <w:rPr>
        <w:rFonts w:cs="Times New Roman"/>
      </w:rPr>
      <w:tblPr/>
      <w:tcPr>
        <w:shd w:val="clear" w:color="auto" w:fill="DFA7A6"/>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rsid w:val="00677FEF"/>
    <w:rPr>
      <w:color w:val="000000"/>
      <w:sz w:val="20"/>
      <w:szCs w:val="2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rFonts w:cs="Times New Roman"/>
        <w:b/>
        <w:bCs/>
      </w:rPr>
      <w:tblPr/>
      <w:tcPr>
        <w:tcBorders>
          <w:top w:val="nil"/>
          <w:left w:val="nil"/>
          <w:bottom w:val="single" w:sz="24" w:space="0" w:color="8064A2"/>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5E7530"/>
      </w:tcPr>
    </w:tblStylePr>
    <w:tblStylePr w:type="firstCol">
      <w:rPr>
        <w:rFonts w:cs="Times New Roman"/>
        <w:color w:val="FFFFFF"/>
      </w:rPr>
      <w:tblPr/>
      <w:tcPr>
        <w:tcBorders>
          <w:top w:val="nil"/>
          <w:left w:val="nil"/>
          <w:bottom w:val="nil"/>
          <w:right w:val="nil"/>
          <w:insideH w:val="single" w:sz="4" w:space="0" w:color="5E7530"/>
          <w:insideV w:val="nil"/>
        </w:tcBorders>
        <w:shd w:val="clear" w:color="auto" w:fill="5E7530"/>
      </w:tcPr>
    </w:tblStylePr>
    <w:tblStylePr w:type="lastCol">
      <w:rPr>
        <w:rFonts w:cs="Times New Roman"/>
        <w:color w:val="FFFFFF"/>
      </w:rPr>
      <w:tblPr/>
      <w:tcPr>
        <w:tcBorders>
          <w:top w:val="nil"/>
          <w:left w:val="nil"/>
          <w:bottom w:val="nil"/>
          <w:right w:val="nil"/>
          <w:insideH w:val="nil"/>
          <w:insideV w:val="nil"/>
        </w:tcBorders>
        <w:shd w:val="clear" w:color="auto" w:fill="5E7530"/>
      </w:tcPr>
    </w:tblStylePr>
    <w:tblStylePr w:type="band1Vert">
      <w:rPr>
        <w:rFonts w:cs="Times New Roman"/>
      </w:rPr>
      <w:tblPr/>
      <w:tcPr>
        <w:shd w:val="clear" w:color="auto" w:fill="D6E3BC"/>
      </w:tcPr>
    </w:tblStylePr>
    <w:tblStylePr w:type="band1Horz">
      <w:rPr>
        <w:rFonts w:cs="Times New Roman"/>
      </w:rPr>
      <w:tblPr/>
      <w:tcPr>
        <w:shd w:val="clear" w:color="auto" w:fill="CDDDAC"/>
      </w:tcPr>
    </w:tblStylePr>
  </w:style>
  <w:style w:type="table" w:styleId="Kolorowecieniowanieakcent4">
    <w:name w:val="Colorful Shading Accent 4"/>
    <w:basedOn w:val="Standardowy"/>
    <w:uiPriority w:val="99"/>
    <w:rsid w:val="00677FEF"/>
    <w:rPr>
      <w:color w:val="000000"/>
      <w:sz w:val="20"/>
      <w:szCs w:val="2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rFonts w:cs="Times New Roman"/>
        <w:b/>
        <w:bCs/>
      </w:rPr>
      <w:tblPr/>
      <w:tcPr>
        <w:tcBorders>
          <w:top w:val="nil"/>
          <w:left w:val="nil"/>
          <w:bottom w:val="single" w:sz="24" w:space="0" w:color="9BBB59"/>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4C3B62"/>
      </w:tcPr>
    </w:tblStylePr>
    <w:tblStylePr w:type="firstCol">
      <w:rPr>
        <w:rFonts w:cs="Times New Roman"/>
        <w:color w:val="FFFFFF"/>
      </w:rPr>
      <w:tblPr/>
      <w:tcPr>
        <w:tcBorders>
          <w:top w:val="nil"/>
          <w:left w:val="nil"/>
          <w:bottom w:val="nil"/>
          <w:right w:val="nil"/>
          <w:insideH w:val="single" w:sz="4" w:space="0" w:color="4C3B62"/>
          <w:insideV w:val="nil"/>
        </w:tcBorders>
        <w:shd w:val="clear" w:color="auto" w:fill="4C3B62"/>
      </w:tcPr>
    </w:tblStylePr>
    <w:tblStylePr w:type="lastCol">
      <w:rPr>
        <w:rFonts w:cs="Times New Roman"/>
        <w:color w:val="FFFFFF"/>
      </w:rPr>
      <w:tblPr/>
      <w:tcPr>
        <w:tcBorders>
          <w:top w:val="nil"/>
          <w:left w:val="nil"/>
          <w:bottom w:val="nil"/>
          <w:right w:val="nil"/>
          <w:insideH w:val="nil"/>
          <w:insideV w:val="nil"/>
        </w:tcBorders>
        <w:shd w:val="clear" w:color="auto" w:fill="4C3B62"/>
      </w:tcPr>
    </w:tblStylePr>
    <w:tblStylePr w:type="band1Vert">
      <w:rPr>
        <w:rFonts w:cs="Times New Roman"/>
      </w:rPr>
      <w:tblPr/>
      <w:tcPr>
        <w:shd w:val="clear" w:color="auto" w:fill="CCC0D9"/>
      </w:tcPr>
    </w:tblStylePr>
    <w:tblStylePr w:type="band1Horz">
      <w:rPr>
        <w:rFonts w:cs="Times New Roman"/>
      </w:rPr>
      <w:tblPr/>
      <w:tcPr>
        <w:shd w:val="clear" w:color="auto" w:fill="BFB1D0"/>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rsid w:val="00677FEF"/>
    <w:rPr>
      <w:color w:val="000000"/>
      <w:sz w:val="20"/>
      <w:szCs w:val="2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rFonts w:cs="Times New Roman"/>
        <w:b/>
        <w:bCs/>
      </w:rPr>
      <w:tblPr/>
      <w:tcPr>
        <w:tcBorders>
          <w:top w:val="nil"/>
          <w:left w:val="nil"/>
          <w:bottom w:val="single" w:sz="24" w:space="0" w:color="F7964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76A7C"/>
      </w:tcPr>
    </w:tblStylePr>
    <w:tblStylePr w:type="firstCol">
      <w:rPr>
        <w:rFonts w:cs="Times New Roman"/>
        <w:color w:val="FFFFFF"/>
      </w:rPr>
      <w:tblPr/>
      <w:tcPr>
        <w:tcBorders>
          <w:top w:val="nil"/>
          <w:left w:val="nil"/>
          <w:bottom w:val="nil"/>
          <w:right w:val="nil"/>
          <w:insideH w:val="single" w:sz="4" w:space="0" w:color="276A7C"/>
          <w:insideV w:val="nil"/>
        </w:tcBorders>
        <w:shd w:val="clear" w:color="auto" w:fill="276A7C"/>
      </w:tcPr>
    </w:tblStylePr>
    <w:tblStylePr w:type="lastCol">
      <w:rPr>
        <w:rFonts w:cs="Times New Roman"/>
        <w:color w:val="FFFFFF"/>
      </w:rPr>
      <w:tblPr/>
      <w:tcPr>
        <w:tcBorders>
          <w:top w:val="nil"/>
          <w:left w:val="nil"/>
          <w:bottom w:val="nil"/>
          <w:right w:val="nil"/>
          <w:insideH w:val="nil"/>
          <w:insideV w:val="nil"/>
        </w:tcBorders>
        <w:shd w:val="clear" w:color="auto" w:fill="276A7C"/>
      </w:tcPr>
    </w:tblStylePr>
    <w:tblStylePr w:type="band1Vert">
      <w:rPr>
        <w:rFonts w:cs="Times New Roman"/>
      </w:rPr>
      <w:tblPr/>
      <w:tcPr>
        <w:shd w:val="clear" w:color="auto" w:fill="B6DDE8"/>
      </w:tcPr>
    </w:tblStylePr>
    <w:tblStylePr w:type="band1Horz">
      <w:rPr>
        <w:rFonts w:cs="Times New Roman"/>
      </w:rPr>
      <w:tblPr/>
      <w:tcPr>
        <w:shd w:val="clear" w:color="auto" w:fill="A5D5E2"/>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rsid w:val="00677FEF"/>
    <w:rPr>
      <w:color w:val="000000"/>
      <w:sz w:val="20"/>
      <w:szCs w:val="2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rFonts w:cs="Times New Roman"/>
        <w:b/>
        <w:bCs/>
      </w:rPr>
      <w:tblPr/>
      <w:tcPr>
        <w:tcBorders>
          <w:top w:val="nil"/>
          <w:left w:val="nil"/>
          <w:bottom w:val="single" w:sz="24" w:space="0" w:color="4BACC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B65608"/>
      </w:tcPr>
    </w:tblStylePr>
    <w:tblStylePr w:type="firstCol">
      <w:rPr>
        <w:rFonts w:cs="Times New Roman"/>
        <w:color w:val="FFFFFF"/>
      </w:rPr>
      <w:tblPr/>
      <w:tcPr>
        <w:tcBorders>
          <w:top w:val="nil"/>
          <w:left w:val="nil"/>
          <w:bottom w:val="nil"/>
          <w:right w:val="nil"/>
          <w:insideH w:val="single" w:sz="4" w:space="0" w:color="B65608"/>
          <w:insideV w:val="nil"/>
        </w:tcBorders>
        <w:shd w:val="clear" w:color="auto" w:fill="B65608"/>
      </w:tcPr>
    </w:tblStylePr>
    <w:tblStylePr w:type="lastCol">
      <w:rPr>
        <w:rFonts w:cs="Times New Roman"/>
        <w:color w:val="FFFFFF"/>
      </w:rPr>
      <w:tblPr/>
      <w:tcPr>
        <w:tcBorders>
          <w:top w:val="nil"/>
          <w:left w:val="nil"/>
          <w:bottom w:val="nil"/>
          <w:right w:val="nil"/>
          <w:insideH w:val="nil"/>
          <w:insideV w:val="nil"/>
        </w:tcBorders>
        <w:shd w:val="clear" w:color="auto" w:fill="B65608"/>
      </w:tcPr>
    </w:tblStylePr>
    <w:tblStylePr w:type="band1Vert">
      <w:rPr>
        <w:rFonts w:cs="Times New Roman"/>
      </w:rPr>
      <w:tblPr/>
      <w:tcPr>
        <w:shd w:val="clear" w:color="auto" w:fill="FBD4B4"/>
      </w:tcPr>
    </w:tblStylePr>
    <w:tblStylePr w:type="band1Horz">
      <w:rPr>
        <w:rFonts w:cs="Times New Roman"/>
      </w:rPr>
      <w:tblPr/>
      <w:tcPr>
        <w:shd w:val="clear" w:color="auto" w:fill="FBCAA2"/>
      </w:tcPr>
    </w:tblStylePr>
    <w:tblStylePr w:type="neCell">
      <w:rPr>
        <w:rFonts w:cs="Times New Roman"/>
        <w:color w:val="000000"/>
      </w:rPr>
    </w:tblStylePr>
    <w:tblStylePr w:type="nwCell">
      <w:rPr>
        <w:rFonts w:cs="Times New Roman"/>
        <w:color w:val="000000"/>
      </w:rPr>
    </w:tblStylePr>
  </w:style>
  <w:style w:type="table" w:customStyle="1" w:styleId="Elencoscuro1">
    <w:name w:val="Elenco scuro1"/>
    <w:uiPriority w:val="99"/>
    <w:rsid w:val="00677FEF"/>
    <w:rPr>
      <w:color w:val="FFFFFF"/>
      <w:sz w:val="20"/>
      <w:szCs w:val="20"/>
      <w:lang w:val="it-IT" w:eastAsia="it-IT"/>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FFFFFF"/>
          <w:insideH w:val="nil"/>
          <w:insideV w:val="nil"/>
        </w:tcBorders>
        <w:shd w:val="clear" w:color="auto" w:fill="000000"/>
      </w:tcPr>
    </w:tblStylePr>
    <w:tblStylePr w:type="lastCol">
      <w:rPr>
        <w:rFonts w:cs="Times New Roman"/>
      </w:rPr>
      <w:tblPr/>
      <w:tcPr>
        <w:tcBorders>
          <w:top w:val="nil"/>
          <w:left w:val="single" w:sz="18" w:space="0" w:color="FFFFFF"/>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rsid w:val="00677FEF"/>
    <w:rPr>
      <w:color w:val="FFFFFF"/>
      <w:sz w:val="20"/>
      <w:szCs w:val="20"/>
    </w:rPr>
    <w:tblPr>
      <w:tblStyleRowBandSize w:val="1"/>
      <w:tblStyleColBandSize w:val="1"/>
    </w:tblPr>
    <w:tcPr>
      <w:shd w:val="clear" w:color="auto" w:fill="4F81B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43F60"/>
      </w:tcPr>
    </w:tblStylePr>
    <w:tblStylePr w:type="firstCol">
      <w:rPr>
        <w:rFonts w:cs="Times New Roman"/>
      </w:rPr>
      <w:tblPr/>
      <w:tcPr>
        <w:tcBorders>
          <w:top w:val="nil"/>
          <w:left w:val="nil"/>
          <w:bottom w:val="nil"/>
          <w:right w:val="single" w:sz="18" w:space="0" w:color="FFFFFF"/>
          <w:insideH w:val="nil"/>
          <w:insideV w:val="nil"/>
        </w:tcBorders>
        <w:shd w:val="clear" w:color="auto" w:fill="365F91"/>
      </w:tcPr>
    </w:tblStylePr>
    <w:tblStylePr w:type="lastCol">
      <w:rPr>
        <w:rFonts w:cs="Times New Roman"/>
      </w:rPr>
      <w:tblPr/>
      <w:tcPr>
        <w:tcBorders>
          <w:top w:val="nil"/>
          <w:left w:val="single" w:sz="18" w:space="0" w:color="FFFFFF"/>
          <w:bottom w:val="nil"/>
          <w:right w:val="nil"/>
          <w:insideH w:val="nil"/>
          <w:insideV w:val="nil"/>
        </w:tcBorders>
        <w:shd w:val="clear" w:color="auto" w:fill="365F91"/>
      </w:tcPr>
    </w:tblStylePr>
    <w:tblStylePr w:type="band1Vert">
      <w:rPr>
        <w:rFonts w:cs="Times New Roman"/>
      </w:rPr>
      <w:tblPr/>
      <w:tcPr>
        <w:tcBorders>
          <w:top w:val="nil"/>
          <w:left w:val="nil"/>
          <w:bottom w:val="nil"/>
          <w:right w:val="nil"/>
          <w:insideH w:val="nil"/>
          <w:insideV w:val="nil"/>
        </w:tcBorders>
        <w:shd w:val="clear" w:color="auto" w:fill="365F91"/>
      </w:tcPr>
    </w:tblStylePr>
    <w:tblStylePr w:type="band1Horz">
      <w:rPr>
        <w:rFonts w:cs="Times New Roman"/>
      </w:rPr>
      <w:tblPr/>
      <w:tcPr>
        <w:tcBorders>
          <w:top w:val="nil"/>
          <w:left w:val="nil"/>
          <w:bottom w:val="nil"/>
          <w:right w:val="nil"/>
          <w:insideH w:val="nil"/>
          <w:insideV w:val="nil"/>
        </w:tcBorders>
        <w:shd w:val="clear" w:color="auto" w:fill="365F91"/>
      </w:tcPr>
    </w:tblStylePr>
  </w:style>
  <w:style w:type="table" w:styleId="Ciemnalistaakcent2">
    <w:name w:val="Dark List Accent 2"/>
    <w:basedOn w:val="Standardowy"/>
    <w:uiPriority w:val="99"/>
    <w:rsid w:val="00677FEF"/>
    <w:rPr>
      <w:color w:val="FFFFFF"/>
      <w:sz w:val="20"/>
      <w:szCs w:val="20"/>
    </w:rPr>
    <w:tblPr>
      <w:tblStyleRowBandSize w:val="1"/>
      <w:tblStyleColBandSize w:val="1"/>
    </w:tblPr>
    <w:tcPr>
      <w:shd w:val="clear" w:color="auto" w:fill="C0504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22423"/>
      </w:tcPr>
    </w:tblStylePr>
    <w:tblStylePr w:type="firstCol">
      <w:rPr>
        <w:rFonts w:cs="Times New Roman"/>
      </w:rPr>
      <w:tblPr/>
      <w:tcPr>
        <w:tcBorders>
          <w:top w:val="nil"/>
          <w:left w:val="nil"/>
          <w:bottom w:val="nil"/>
          <w:right w:val="single" w:sz="18" w:space="0" w:color="FFFFFF"/>
          <w:insideH w:val="nil"/>
          <w:insideV w:val="nil"/>
        </w:tcBorders>
        <w:shd w:val="clear" w:color="auto" w:fill="943634"/>
      </w:tcPr>
    </w:tblStylePr>
    <w:tblStylePr w:type="lastCol">
      <w:rPr>
        <w:rFonts w:cs="Times New Roman"/>
      </w:rPr>
      <w:tblPr/>
      <w:tcPr>
        <w:tcBorders>
          <w:top w:val="nil"/>
          <w:left w:val="single" w:sz="18" w:space="0" w:color="FFFFFF"/>
          <w:bottom w:val="nil"/>
          <w:right w:val="nil"/>
          <w:insideH w:val="nil"/>
          <w:insideV w:val="nil"/>
        </w:tcBorders>
        <w:shd w:val="clear" w:color="auto" w:fill="943634"/>
      </w:tcPr>
    </w:tblStylePr>
    <w:tblStylePr w:type="band1Vert">
      <w:rPr>
        <w:rFonts w:cs="Times New Roman"/>
      </w:rPr>
      <w:tblPr/>
      <w:tcPr>
        <w:tcBorders>
          <w:top w:val="nil"/>
          <w:left w:val="nil"/>
          <w:bottom w:val="nil"/>
          <w:right w:val="nil"/>
          <w:insideH w:val="nil"/>
          <w:insideV w:val="nil"/>
        </w:tcBorders>
        <w:shd w:val="clear" w:color="auto" w:fill="943634"/>
      </w:tcPr>
    </w:tblStylePr>
    <w:tblStylePr w:type="band1Horz">
      <w:rPr>
        <w:rFonts w:cs="Times New Roman"/>
      </w:rPr>
      <w:tblPr/>
      <w:tcPr>
        <w:tcBorders>
          <w:top w:val="nil"/>
          <w:left w:val="nil"/>
          <w:bottom w:val="nil"/>
          <w:right w:val="nil"/>
          <w:insideH w:val="nil"/>
          <w:insideV w:val="nil"/>
        </w:tcBorders>
        <w:shd w:val="clear" w:color="auto" w:fill="943634"/>
      </w:tcPr>
    </w:tblStylePr>
  </w:style>
  <w:style w:type="table" w:styleId="Ciemnalistaakcent3">
    <w:name w:val="Dark List Accent 3"/>
    <w:basedOn w:val="Standardowy"/>
    <w:uiPriority w:val="99"/>
    <w:rsid w:val="00677FEF"/>
    <w:rPr>
      <w:color w:val="FFFFFF"/>
      <w:sz w:val="20"/>
      <w:szCs w:val="20"/>
    </w:rPr>
    <w:tblPr>
      <w:tblStyleRowBandSize w:val="1"/>
      <w:tblStyleColBandSize w:val="1"/>
    </w:tblPr>
    <w:tcPr>
      <w:shd w:val="clear" w:color="auto" w:fill="9BBB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6128"/>
      </w:tcPr>
    </w:tblStylePr>
    <w:tblStylePr w:type="firstCol">
      <w:rPr>
        <w:rFonts w:cs="Times New Roman"/>
      </w:rPr>
      <w:tblPr/>
      <w:tcPr>
        <w:tcBorders>
          <w:top w:val="nil"/>
          <w:left w:val="nil"/>
          <w:bottom w:val="nil"/>
          <w:right w:val="single" w:sz="18" w:space="0" w:color="FFFFFF"/>
          <w:insideH w:val="nil"/>
          <w:insideV w:val="nil"/>
        </w:tcBorders>
        <w:shd w:val="clear" w:color="auto" w:fill="76923C"/>
      </w:tcPr>
    </w:tblStylePr>
    <w:tblStylePr w:type="lastCol">
      <w:rPr>
        <w:rFonts w:cs="Times New Roman"/>
      </w:rPr>
      <w:tblPr/>
      <w:tcPr>
        <w:tcBorders>
          <w:top w:val="nil"/>
          <w:left w:val="single" w:sz="18" w:space="0" w:color="FFFFFF"/>
          <w:bottom w:val="nil"/>
          <w:right w:val="nil"/>
          <w:insideH w:val="nil"/>
          <w:insideV w:val="nil"/>
        </w:tcBorders>
        <w:shd w:val="clear" w:color="auto" w:fill="76923C"/>
      </w:tcPr>
    </w:tblStylePr>
    <w:tblStylePr w:type="band1Vert">
      <w:rPr>
        <w:rFonts w:cs="Times New Roman"/>
      </w:rPr>
      <w:tblPr/>
      <w:tcPr>
        <w:tcBorders>
          <w:top w:val="nil"/>
          <w:left w:val="nil"/>
          <w:bottom w:val="nil"/>
          <w:right w:val="nil"/>
          <w:insideH w:val="nil"/>
          <w:insideV w:val="nil"/>
        </w:tcBorders>
        <w:shd w:val="clear" w:color="auto" w:fill="76923C"/>
      </w:tcPr>
    </w:tblStylePr>
    <w:tblStylePr w:type="band1Horz">
      <w:rPr>
        <w:rFonts w:cs="Times New Roman"/>
      </w:rPr>
      <w:tblPr/>
      <w:tcPr>
        <w:tcBorders>
          <w:top w:val="nil"/>
          <w:left w:val="nil"/>
          <w:bottom w:val="nil"/>
          <w:right w:val="nil"/>
          <w:insideH w:val="nil"/>
          <w:insideV w:val="nil"/>
        </w:tcBorders>
        <w:shd w:val="clear" w:color="auto" w:fill="76923C"/>
      </w:tcPr>
    </w:tblStylePr>
  </w:style>
  <w:style w:type="table" w:styleId="Ciemnalistaakcent4">
    <w:name w:val="Dark List Accent 4"/>
    <w:basedOn w:val="Standardowy"/>
    <w:uiPriority w:val="99"/>
    <w:rsid w:val="00677FEF"/>
    <w:rPr>
      <w:color w:val="FFFFFF"/>
      <w:sz w:val="20"/>
      <w:szCs w:val="20"/>
    </w:rPr>
    <w:tblPr>
      <w:tblStyleRowBandSize w:val="1"/>
      <w:tblStyleColBandSize w:val="1"/>
    </w:tblPr>
    <w:tcPr>
      <w:shd w:val="clear" w:color="auto" w:fill="8064A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F3151"/>
      </w:tcPr>
    </w:tblStylePr>
    <w:tblStylePr w:type="firstCol">
      <w:rPr>
        <w:rFonts w:cs="Times New Roman"/>
      </w:rPr>
      <w:tblPr/>
      <w:tcPr>
        <w:tcBorders>
          <w:top w:val="nil"/>
          <w:left w:val="nil"/>
          <w:bottom w:val="nil"/>
          <w:right w:val="single" w:sz="18" w:space="0" w:color="FFFFFF"/>
          <w:insideH w:val="nil"/>
          <w:insideV w:val="nil"/>
        </w:tcBorders>
        <w:shd w:val="clear" w:color="auto" w:fill="5F497A"/>
      </w:tcPr>
    </w:tblStylePr>
    <w:tblStylePr w:type="lastCol">
      <w:rPr>
        <w:rFonts w:cs="Times New Roman"/>
      </w:rPr>
      <w:tblPr/>
      <w:tcPr>
        <w:tcBorders>
          <w:top w:val="nil"/>
          <w:left w:val="single" w:sz="18" w:space="0" w:color="FFFFFF"/>
          <w:bottom w:val="nil"/>
          <w:right w:val="nil"/>
          <w:insideH w:val="nil"/>
          <w:insideV w:val="nil"/>
        </w:tcBorders>
        <w:shd w:val="clear" w:color="auto" w:fill="5F497A"/>
      </w:tcPr>
    </w:tblStylePr>
    <w:tblStylePr w:type="band1Vert">
      <w:rPr>
        <w:rFonts w:cs="Times New Roman"/>
      </w:rPr>
      <w:tblPr/>
      <w:tcPr>
        <w:tcBorders>
          <w:top w:val="nil"/>
          <w:left w:val="nil"/>
          <w:bottom w:val="nil"/>
          <w:right w:val="nil"/>
          <w:insideH w:val="nil"/>
          <w:insideV w:val="nil"/>
        </w:tcBorders>
        <w:shd w:val="clear" w:color="auto" w:fill="5F497A"/>
      </w:tcPr>
    </w:tblStylePr>
    <w:tblStylePr w:type="band1Horz">
      <w:rPr>
        <w:rFonts w:cs="Times New Roman"/>
      </w:rPr>
      <w:tblPr/>
      <w:tcPr>
        <w:tcBorders>
          <w:top w:val="nil"/>
          <w:left w:val="nil"/>
          <w:bottom w:val="nil"/>
          <w:right w:val="nil"/>
          <w:insideH w:val="nil"/>
          <w:insideV w:val="nil"/>
        </w:tcBorders>
        <w:shd w:val="clear" w:color="auto" w:fill="5F497A"/>
      </w:tcPr>
    </w:tblStylePr>
  </w:style>
  <w:style w:type="table" w:styleId="Ciemnalistaakcent5">
    <w:name w:val="Dark List Accent 5"/>
    <w:basedOn w:val="Standardowy"/>
    <w:uiPriority w:val="99"/>
    <w:rsid w:val="00677FEF"/>
    <w:rPr>
      <w:color w:val="FFFFFF"/>
      <w:sz w:val="20"/>
      <w:szCs w:val="20"/>
    </w:rPr>
    <w:tblPr>
      <w:tblStyleRowBandSize w:val="1"/>
      <w:tblStyleColBandSize w:val="1"/>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table" w:styleId="Ciemnalistaakcent6">
    <w:name w:val="Dark List Accent 6"/>
    <w:basedOn w:val="Standardowy"/>
    <w:uiPriority w:val="99"/>
    <w:rsid w:val="00677FEF"/>
    <w:rPr>
      <w:color w:val="FFFFFF"/>
      <w:sz w:val="20"/>
      <w:szCs w:val="20"/>
    </w:rPr>
    <w:tblPr>
      <w:tblStyleRowBandSize w:val="1"/>
      <w:tblStyleColBandSize w:val="1"/>
    </w:tblPr>
    <w:tcPr>
      <w:shd w:val="clear" w:color="auto" w:fill="F7964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974706"/>
      </w:tcPr>
    </w:tblStylePr>
    <w:tblStylePr w:type="firstCol">
      <w:rPr>
        <w:rFonts w:cs="Times New Roman"/>
      </w:rPr>
      <w:tblPr/>
      <w:tcPr>
        <w:tcBorders>
          <w:top w:val="nil"/>
          <w:left w:val="nil"/>
          <w:bottom w:val="nil"/>
          <w:right w:val="single" w:sz="18" w:space="0" w:color="FFFFFF"/>
          <w:insideH w:val="nil"/>
          <w:insideV w:val="nil"/>
        </w:tcBorders>
        <w:shd w:val="clear" w:color="auto" w:fill="E36C0A"/>
      </w:tcPr>
    </w:tblStylePr>
    <w:tblStylePr w:type="lastCol">
      <w:rPr>
        <w:rFonts w:cs="Times New Roman"/>
      </w:rPr>
      <w:tblPr/>
      <w:tcPr>
        <w:tcBorders>
          <w:top w:val="nil"/>
          <w:left w:val="single" w:sz="18" w:space="0" w:color="FFFFFF"/>
          <w:bottom w:val="nil"/>
          <w:right w:val="nil"/>
          <w:insideH w:val="nil"/>
          <w:insideV w:val="nil"/>
        </w:tcBorders>
        <w:shd w:val="clear" w:color="auto" w:fill="E36C0A"/>
      </w:tcPr>
    </w:tblStylePr>
    <w:tblStylePr w:type="band1Vert">
      <w:rPr>
        <w:rFonts w:cs="Times New Roman"/>
      </w:rPr>
      <w:tblPr/>
      <w:tcPr>
        <w:tcBorders>
          <w:top w:val="nil"/>
          <w:left w:val="nil"/>
          <w:bottom w:val="nil"/>
          <w:right w:val="nil"/>
          <w:insideH w:val="nil"/>
          <w:insideV w:val="nil"/>
        </w:tcBorders>
        <w:shd w:val="clear" w:color="auto" w:fill="E36C0A"/>
      </w:tcPr>
    </w:tblStylePr>
    <w:tblStylePr w:type="band1Horz">
      <w:rPr>
        <w:rFonts w:cs="Times New Roman"/>
      </w:rPr>
      <w:tblPr/>
      <w:tcPr>
        <w:tcBorders>
          <w:top w:val="nil"/>
          <w:left w:val="nil"/>
          <w:bottom w:val="nil"/>
          <w:right w:val="nil"/>
          <w:insideH w:val="nil"/>
          <w:insideV w:val="nil"/>
        </w:tcBorders>
        <w:shd w:val="clear" w:color="auto" w:fill="E36C0A"/>
      </w:tcPr>
    </w:tblStylePr>
  </w:style>
  <w:style w:type="paragraph" w:styleId="Data">
    <w:name w:val="Date"/>
    <w:basedOn w:val="Normalny"/>
    <w:next w:val="Normalny"/>
    <w:link w:val="DataZnak"/>
    <w:uiPriority w:val="99"/>
    <w:rsid w:val="00677FEF"/>
  </w:style>
  <w:style w:type="character" w:customStyle="1" w:styleId="DataZnak">
    <w:name w:val="Data Znak"/>
    <w:basedOn w:val="Domylnaczcionkaakapitu"/>
    <w:link w:val="Data"/>
    <w:uiPriority w:val="99"/>
    <w:locked/>
    <w:rsid w:val="00677FEF"/>
    <w:rPr>
      <w:sz w:val="24"/>
      <w:lang w:val="en-GB" w:eastAsia="fr-FR"/>
    </w:rPr>
  </w:style>
  <w:style w:type="paragraph" w:styleId="Mapadokumentu">
    <w:name w:val="Document Map"/>
    <w:basedOn w:val="Normalny"/>
    <w:link w:val="MapadokumentuZnak"/>
    <w:uiPriority w:val="99"/>
    <w:rsid w:val="00677FEF"/>
    <w:rPr>
      <w:rFonts w:ascii="Tahoma" w:hAnsi="Tahoma"/>
      <w:sz w:val="16"/>
      <w:szCs w:val="16"/>
    </w:rPr>
  </w:style>
  <w:style w:type="character" w:customStyle="1" w:styleId="MapadokumentuZnak">
    <w:name w:val="Mapa dokumentu Znak"/>
    <w:basedOn w:val="Domylnaczcionkaakapitu"/>
    <w:link w:val="Mapadokumentu"/>
    <w:uiPriority w:val="99"/>
    <w:locked/>
    <w:rsid w:val="00677FEF"/>
    <w:rPr>
      <w:rFonts w:ascii="Tahoma" w:hAnsi="Tahoma"/>
      <w:sz w:val="16"/>
      <w:lang w:val="en-GB" w:eastAsia="fr-FR"/>
    </w:rPr>
  </w:style>
  <w:style w:type="paragraph" w:styleId="Podpise-mail">
    <w:name w:val="E-mail Signature"/>
    <w:basedOn w:val="Normalny"/>
    <w:link w:val="Podpise-mailZnak"/>
    <w:uiPriority w:val="99"/>
    <w:rsid w:val="00677FEF"/>
  </w:style>
  <w:style w:type="character" w:customStyle="1" w:styleId="Podpise-mailZnak">
    <w:name w:val="Podpis e-mail Znak"/>
    <w:basedOn w:val="Domylnaczcionkaakapitu"/>
    <w:link w:val="Podpise-mail"/>
    <w:uiPriority w:val="99"/>
    <w:locked/>
    <w:rsid w:val="00677FEF"/>
    <w:rPr>
      <w:sz w:val="24"/>
      <w:lang w:val="en-GB" w:eastAsia="fr-FR"/>
    </w:rPr>
  </w:style>
  <w:style w:type="character" w:styleId="Uwydatnienie">
    <w:name w:val="Emphasis"/>
    <w:basedOn w:val="Domylnaczcionkaakapitu"/>
    <w:uiPriority w:val="99"/>
    <w:qFormat/>
    <w:rsid w:val="00677FEF"/>
    <w:rPr>
      <w:rFonts w:cs="Times New Roman"/>
      <w:i/>
    </w:rPr>
  </w:style>
  <w:style w:type="character" w:styleId="Odwoanieprzypisukocowego">
    <w:name w:val="endnote reference"/>
    <w:basedOn w:val="Domylnaczcionkaakapitu"/>
    <w:uiPriority w:val="99"/>
    <w:rsid w:val="00677FEF"/>
    <w:rPr>
      <w:rFonts w:cs="Times New Roman"/>
      <w:vertAlign w:val="superscript"/>
    </w:rPr>
  </w:style>
  <w:style w:type="paragraph" w:styleId="Tekstprzypisukocowego">
    <w:name w:val="endnote text"/>
    <w:basedOn w:val="Normalny"/>
    <w:link w:val="TekstprzypisukocowegoZnak"/>
    <w:uiPriority w:val="99"/>
    <w:rsid w:val="00677FEF"/>
    <w:rPr>
      <w:sz w:val="20"/>
    </w:rPr>
  </w:style>
  <w:style w:type="character" w:customStyle="1" w:styleId="TekstprzypisukocowegoZnak">
    <w:name w:val="Tekst przypisu końcowego Znak"/>
    <w:basedOn w:val="Domylnaczcionkaakapitu"/>
    <w:link w:val="Tekstprzypisukocowego"/>
    <w:uiPriority w:val="99"/>
    <w:locked/>
    <w:rsid w:val="00677FEF"/>
    <w:rPr>
      <w:lang w:val="en-GB" w:eastAsia="fr-FR"/>
    </w:rPr>
  </w:style>
  <w:style w:type="paragraph" w:styleId="Adresnakopercie">
    <w:name w:val="envelope address"/>
    <w:basedOn w:val="Normalny"/>
    <w:uiPriority w:val="99"/>
    <w:rsid w:val="00677FEF"/>
    <w:pPr>
      <w:framePr w:w="7920" w:h="1980" w:hRule="exact" w:hSpace="180" w:wrap="auto" w:hAnchor="page" w:xAlign="center" w:yAlign="bottom"/>
      <w:ind w:left="2880"/>
    </w:pPr>
    <w:rPr>
      <w:rFonts w:ascii="Cambria" w:hAnsi="Cambria"/>
      <w:szCs w:val="24"/>
    </w:rPr>
  </w:style>
  <w:style w:type="paragraph" w:styleId="Adreszwrotnynakopercie">
    <w:name w:val="envelope return"/>
    <w:basedOn w:val="Normalny"/>
    <w:uiPriority w:val="99"/>
    <w:rsid w:val="00677FEF"/>
    <w:rPr>
      <w:rFonts w:ascii="Cambria" w:hAnsi="Cambria"/>
      <w:sz w:val="20"/>
    </w:rPr>
  </w:style>
  <w:style w:type="character" w:styleId="UyteHipercze">
    <w:name w:val="FollowedHyperlink"/>
    <w:basedOn w:val="Domylnaczcionkaakapitu"/>
    <w:uiPriority w:val="99"/>
    <w:rsid w:val="00677FEF"/>
    <w:rPr>
      <w:rFonts w:cs="Times New Roman"/>
      <w:color w:val="800080"/>
      <w:u w:val="single"/>
    </w:rPr>
  </w:style>
  <w:style w:type="character" w:styleId="HTML-akronim">
    <w:name w:val="HTML Acronym"/>
    <w:basedOn w:val="Domylnaczcionkaakapitu"/>
    <w:uiPriority w:val="99"/>
    <w:rsid w:val="00677FEF"/>
    <w:rPr>
      <w:rFonts w:cs="Times New Roman"/>
    </w:rPr>
  </w:style>
  <w:style w:type="paragraph" w:styleId="HTML-adres">
    <w:name w:val="HTML Address"/>
    <w:basedOn w:val="Normalny"/>
    <w:link w:val="HTML-adresZnak"/>
    <w:uiPriority w:val="99"/>
    <w:rsid w:val="00677FEF"/>
    <w:rPr>
      <w:i/>
      <w:iCs/>
    </w:rPr>
  </w:style>
  <w:style w:type="character" w:customStyle="1" w:styleId="HTML-adresZnak">
    <w:name w:val="HTML - adres Znak"/>
    <w:basedOn w:val="Domylnaczcionkaakapitu"/>
    <w:link w:val="HTML-adres"/>
    <w:uiPriority w:val="99"/>
    <w:locked/>
    <w:rsid w:val="00677FEF"/>
    <w:rPr>
      <w:i/>
      <w:sz w:val="24"/>
      <w:lang w:val="en-GB" w:eastAsia="fr-FR"/>
    </w:rPr>
  </w:style>
  <w:style w:type="character" w:styleId="HTML-cytat">
    <w:name w:val="HTML Cite"/>
    <w:basedOn w:val="Domylnaczcionkaakapitu"/>
    <w:uiPriority w:val="99"/>
    <w:rsid w:val="00677FEF"/>
    <w:rPr>
      <w:rFonts w:cs="Times New Roman"/>
      <w:i/>
    </w:rPr>
  </w:style>
  <w:style w:type="character" w:styleId="HTML-kod">
    <w:name w:val="HTML Code"/>
    <w:basedOn w:val="Domylnaczcionkaakapitu"/>
    <w:uiPriority w:val="99"/>
    <w:rsid w:val="00677FEF"/>
    <w:rPr>
      <w:rFonts w:ascii="Courier New" w:hAnsi="Courier New" w:cs="Times New Roman"/>
      <w:sz w:val="20"/>
    </w:rPr>
  </w:style>
  <w:style w:type="character" w:styleId="HTML-definicja">
    <w:name w:val="HTML Definition"/>
    <w:basedOn w:val="Domylnaczcionkaakapitu"/>
    <w:uiPriority w:val="99"/>
    <w:rsid w:val="00677FEF"/>
    <w:rPr>
      <w:rFonts w:cs="Times New Roman"/>
      <w:i/>
    </w:rPr>
  </w:style>
  <w:style w:type="character" w:styleId="HTML-klawiatura">
    <w:name w:val="HTML Keyboard"/>
    <w:basedOn w:val="Domylnaczcionkaakapitu"/>
    <w:uiPriority w:val="99"/>
    <w:rsid w:val="00677FEF"/>
    <w:rPr>
      <w:rFonts w:ascii="Courier New" w:hAnsi="Courier New" w:cs="Times New Roman"/>
      <w:sz w:val="20"/>
    </w:rPr>
  </w:style>
  <w:style w:type="paragraph" w:styleId="HTML-wstpniesformatowany">
    <w:name w:val="HTML Preformatted"/>
    <w:basedOn w:val="Normalny"/>
    <w:link w:val="HTML-wstpniesformatowanyZnak"/>
    <w:uiPriority w:val="99"/>
    <w:rsid w:val="00677FEF"/>
    <w:rPr>
      <w:rFonts w:ascii="Courier New" w:hAnsi="Courier New"/>
      <w:sz w:val="20"/>
    </w:rPr>
  </w:style>
  <w:style w:type="character" w:customStyle="1" w:styleId="HTML-wstpniesformatowanyZnak">
    <w:name w:val="HTML - wstępnie sformatowany Znak"/>
    <w:basedOn w:val="Domylnaczcionkaakapitu"/>
    <w:link w:val="HTML-wstpniesformatowany"/>
    <w:uiPriority w:val="99"/>
    <w:locked/>
    <w:rsid w:val="00677FEF"/>
    <w:rPr>
      <w:rFonts w:ascii="Courier New" w:hAnsi="Courier New"/>
      <w:lang w:val="en-GB" w:eastAsia="fr-FR"/>
    </w:rPr>
  </w:style>
  <w:style w:type="character" w:styleId="HTML-przykad">
    <w:name w:val="HTML Sample"/>
    <w:basedOn w:val="Domylnaczcionkaakapitu"/>
    <w:uiPriority w:val="99"/>
    <w:rsid w:val="00677FEF"/>
    <w:rPr>
      <w:rFonts w:ascii="Courier New" w:hAnsi="Courier New" w:cs="Times New Roman"/>
    </w:rPr>
  </w:style>
  <w:style w:type="character" w:styleId="HTML-staaszeroko">
    <w:name w:val="HTML Typewriter"/>
    <w:basedOn w:val="Domylnaczcionkaakapitu"/>
    <w:uiPriority w:val="99"/>
    <w:rsid w:val="00677FEF"/>
    <w:rPr>
      <w:rFonts w:ascii="Courier New" w:hAnsi="Courier New" w:cs="Times New Roman"/>
      <w:sz w:val="20"/>
    </w:rPr>
  </w:style>
  <w:style w:type="character" w:styleId="HTML-zmienna">
    <w:name w:val="HTML Variable"/>
    <w:basedOn w:val="Domylnaczcionkaakapitu"/>
    <w:uiPriority w:val="99"/>
    <w:rsid w:val="00677FEF"/>
    <w:rPr>
      <w:rFonts w:cs="Times New Roman"/>
      <w:i/>
    </w:rPr>
  </w:style>
  <w:style w:type="paragraph" w:styleId="Indeks1">
    <w:name w:val="index 1"/>
    <w:basedOn w:val="Normalny"/>
    <w:next w:val="Normalny"/>
    <w:autoRedefine/>
    <w:uiPriority w:val="99"/>
    <w:rsid w:val="00677FEF"/>
    <w:pPr>
      <w:ind w:left="240" w:hanging="240"/>
    </w:pPr>
  </w:style>
  <w:style w:type="paragraph" w:styleId="Indeks2">
    <w:name w:val="index 2"/>
    <w:basedOn w:val="Normalny"/>
    <w:next w:val="Normalny"/>
    <w:autoRedefine/>
    <w:uiPriority w:val="99"/>
    <w:rsid w:val="00677FEF"/>
    <w:pPr>
      <w:ind w:left="480" w:hanging="240"/>
    </w:pPr>
  </w:style>
  <w:style w:type="paragraph" w:styleId="Indeks3">
    <w:name w:val="index 3"/>
    <w:basedOn w:val="Normalny"/>
    <w:next w:val="Normalny"/>
    <w:autoRedefine/>
    <w:uiPriority w:val="99"/>
    <w:rsid w:val="00677FEF"/>
    <w:pPr>
      <w:ind w:left="720" w:hanging="240"/>
    </w:pPr>
  </w:style>
  <w:style w:type="paragraph" w:styleId="Indeks4">
    <w:name w:val="index 4"/>
    <w:basedOn w:val="Normalny"/>
    <w:next w:val="Normalny"/>
    <w:autoRedefine/>
    <w:uiPriority w:val="99"/>
    <w:rsid w:val="00677FEF"/>
    <w:pPr>
      <w:ind w:left="960" w:hanging="240"/>
    </w:pPr>
  </w:style>
  <w:style w:type="paragraph" w:styleId="Indeks5">
    <w:name w:val="index 5"/>
    <w:basedOn w:val="Normalny"/>
    <w:next w:val="Normalny"/>
    <w:autoRedefine/>
    <w:uiPriority w:val="99"/>
    <w:rsid w:val="00677FEF"/>
    <w:pPr>
      <w:ind w:left="1200" w:hanging="240"/>
    </w:pPr>
  </w:style>
  <w:style w:type="paragraph" w:styleId="Indeks6">
    <w:name w:val="index 6"/>
    <w:basedOn w:val="Normalny"/>
    <w:next w:val="Normalny"/>
    <w:autoRedefine/>
    <w:uiPriority w:val="99"/>
    <w:rsid w:val="00677FEF"/>
    <w:pPr>
      <w:ind w:left="1440" w:hanging="240"/>
    </w:pPr>
  </w:style>
  <w:style w:type="paragraph" w:styleId="Indeks7">
    <w:name w:val="index 7"/>
    <w:basedOn w:val="Normalny"/>
    <w:next w:val="Normalny"/>
    <w:autoRedefine/>
    <w:uiPriority w:val="99"/>
    <w:rsid w:val="00677FEF"/>
    <w:pPr>
      <w:ind w:left="1680" w:hanging="240"/>
    </w:pPr>
  </w:style>
  <w:style w:type="paragraph" w:styleId="Indeks8">
    <w:name w:val="index 8"/>
    <w:basedOn w:val="Normalny"/>
    <w:next w:val="Normalny"/>
    <w:autoRedefine/>
    <w:uiPriority w:val="99"/>
    <w:rsid w:val="00677FEF"/>
    <w:pPr>
      <w:ind w:left="1920" w:hanging="240"/>
    </w:pPr>
  </w:style>
  <w:style w:type="paragraph" w:styleId="Indeks9">
    <w:name w:val="index 9"/>
    <w:basedOn w:val="Normalny"/>
    <w:next w:val="Normalny"/>
    <w:autoRedefine/>
    <w:uiPriority w:val="99"/>
    <w:rsid w:val="00677FEF"/>
    <w:pPr>
      <w:ind w:left="2160" w:hanging="240"/>
    </w:pPr>
  </w:style>
  <w:style w:type="paragraph" w:styleId="Nagwekindeksu">
    <w:name w:val="index heading"/>
    <w:basedOn w:val="Normalny"/>
    <w:next w:val="Indeks1"/>
    <w:uiPriority w:val="99"/>
    <w:rsid w:val="00677FEF"/>
    <w:rPr>
      <w:rFonts w:ascii="Cambria" w:hAnsi="Cambria"/>
      <w:b/>
      <w:bCs/>
    </w:rPr>
  </w:style>
  <w:style w:type="character" w:styleId="Wyrnienieintensywne">
    <w:name w:val="Intense Emphasis"/>
    <w:basedOn w:val="Domylnaczcionkaakapitu"/>
    <w:uiPriority w:val="99"/>
    <w:qFormat/>
    <w:rsid w:val="00677FEF"/>
    <w:rPr>
      <w:b/>
      <w:i/>
      <w:color w:val="4F81BD"/>
    </w:rPr>
  </w:style>
  <w:style w:type="paragraph" w:styleId="Cytatintensywny">
    <w:name w:val="Intense Quote"/>
    <w:basedOn w:val="Normalny"/>
    <w:next w:val="Normalny"/>
    <w:link w:val="CytatintensywnyZnak"/>
    <w:uiPriority w:val="99"/>
    <w:qFormat/>
    <w:rsid w:val="00677FEF"/>
    <w:pPr>
      <w:pBdr>
        <w:bottom w:val="single" w:sz="4" w:space="4" w:color="4F81BD"/>
      </w:pBdr>
      <w:spacing w:before="200" w:after="280"/>
      <w:ind w:left="936" w:right="936"/>
    </w:pPr>
    <w:rPr>
      <w:b/>
      <w:bCs/>
      <w:i/>
      <w:iCs/>
      <w:color w:val="4F81BD"/>
    </w:rPr>
  </w:style>
  <w:style w:type="character" w:customStyle="1" w:styleId="CytatintensywnyZnak">
    <w:name w:val="Cytat intensywny Znak"/>
    <w:basedOn w:val="Domylnaczcionkaakapitu"/>
    <w:link w:val="Cytatintensywny"/>
    <w:uiPriority w:val="99"/>
    <w:locked/>
    <w:rsid w:val="00677FEF"/>
    <w:rPr>
      <w:b/>
      <w:i/>
      <w:color w:val="4F81BD"/>
      <w:sz w:val="24"/>
      <w:lang w:val="en-GB" w:eastAsia="fr-FR"/>
    </w:rPr>
  </w:style>
  <w:style w:type="character" w:styleId="Odwoanieintensywne">
    <w:name w:val="Intense Reference"/>
    <w:basedOn w:val="Domylnaczcionkaakapitu"/>
    <w:uiPriority w:val="99"/>
    <w:qFormat/>
    <w:rsid w:val="00677FEF"/>
    <w:rPr>
      <w:b/>
      <w:smallCaps/>
      <w:color w:val="C0504D"/>
      <w:spacing w:val="5"/>
      <w:u w:val="single"/>
    </w:rPr>
  </w:style>
  <w:style w:type="table" w:customStyle="1" w:styleId="Grigliachiara1">
    <w:name w:val="Griglia chiara1"/>
    <w:uiPriority w:val="99"/>
    <w:rsid w:val="00677FEF"/>
    <w:rPr>
      <w:sz w:val="20"/>
      <w:szCs w:val="20"/>
      <w:lang w:val="it-IT" w:eastAsia="it-IT"/>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igliachiara-Colore11">
    <w:name w:val="Griglia chiara - Colore 11"/>
    <w:uiPriority w:val="99"/>
    <w:rsid w:val="00677FEF"/>
    <w:rPr>
      <w:sz w:val="20"/>
      <w:szCs w:val="20"/>
      <w:lang w:val="it-IT" w:eastAsia="it-IT"/>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Jasnasiatkaakcent2">
    <w:name w:val="Light Grid Accent 2"/>
    <w:basedOn w:val="Standardowy"/>
    <w:uiPriority w:val="99"/>
    <w:rsid w:val="00677FEF"/>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Jasnasiatkaakcent3">
    <w:name w:val="Light Grid Accent 3"/>
    <w:basedOn w:val="Standardowy"/>
    <w:uiPriority w:val="99"/>
    <w:rsid w:val="00677FEF"/>
    <w:rPr>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Jasnasiatkaakcent4">
    <w:name w:val="Light Grid Accent 4"/>
    <w:basedOn w:val="Standardowy"/>
    <w:uiPriority w:val="99"/>
    <w:rsid w:val="00677FEF"/>
    <w:rPr>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rPr>
        <w:rFonts w:cs="Times New Roman"/>
      </w:rPr>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Jasnasiatkaakcent5">
    <w:name w:val="Light Grid Accent 5"/>
    <w:basedOn w:val="Standardowy"/>
    <w:uiPriority w:val="99"/>
    <w:rsid w:val="00677FEF"/>
    <w:rPr>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Jasnasiatkaakcent6">
    <w:name w:val="Light Grid Accent 6"/>
    <w:basedOn w:val="Standardowy"/>
    <w:uiPriority w:val="99"/>
    <w:rsid w:val="00677FEF"/>
    <w:rPr>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rPr>
        <w:rFonts w:cs="Times New Roman"/>
      </w:rPr>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Elencochiaro1">
    <w:name w:val="Elenco chiaro1"/>
    <w:uiPriority w:val="99"/>
    <w:rsid w:val="00677FEF"/>
    <w:rPr>
      <w:sz w:val="20"/>
      <w:szCs w:val="20"/>
      <w:lang w:val="it-IT" w:eastAsia="it-IT"/>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customStyle="1" w:styleId="Elencochiaro-Colore11">
    <w:name w:val="Elenco chiaro - Colore 11"/>
    <w:uiPriority w:val="99"/>
    <w:rsid w:val="00677FEF"/>
    <w:rPr>
      <w:sz w:val="20"/>
      <w:szCs w:val="20"/>
      <w:lang w:val="it-IT" w:eastAsia="it-IT"/>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styleId="Jasnalistaakcent2">
    <w:name w:val="Light List Accent 2"/>
    <w:basedOn w:val="Standardowy"/>
    <w:uiPriority w:val="99"/>
    <w:rsid w:val="00677FEF"/>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styleId="Jasnalistaakcent3">
    <w:name w:val="Light List Accent 3"/>
    <w:basedOn w:val="Standardowy"/>
    <w:uiPriority w:val="99"/>
    <w:rsid w:val="00677FEF"/>
    <w:rPr>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Jasnalistaakcent4">
    <w:name w:val="Light List Accent 4"/>
    <w:basedOn w:val="Standardowy"/>
    <w:uiPriority w:val="99"/>
    <w:rsid w:val="00677FEF"/>
    <w:rPr>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table" w:styleId="Jasnalistaakcent5">
    <w:name w:val="Light List Accent 5"/>
    <w:basedOn w:val="Standardowy"/>
    <w:uiPriority w:val="99"/>
    <w:rsid w:val="00677FEF"/>
    <w:rPr>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styleId="Jasnalistaakcent6">
    <w:name w:val="Light List Accent 6"/>
    <w:basedOn w:val="Standardowy"/>
    <w:uiPriority w:val="99"/>
    <w:rsid w:val="00677FEF"/>
    <w:rPr>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pPr>
      <w:rPr>
        <w:rFonts w:cs="Times New Roman"/>
        <w:b/>
        <w:bCs/>
        <w:color w:val="FFFFFF"/>
      </w:rPr>
      <w:tblPr/>
      <w:tcPr>
        <w:shd w:val="clear" w:color="auto" w:fill="F79646"/>
      </w:tcPr>
    </w:tblStylePr>
    <w:tblStylePr w:type="lastRow">
      <w:pPr>
        <w:spacing w:before="0" w:after="0"/>
      </w:pPr>
      <w:rPr>
        <w:rFonts w:cs="Times New Roman"/>
        <w:b/>
        <w:bCs/>
      </w:rPr>
      <w:tblPr/>
      <w:tcPr>
        <w:tcBorders>
          <w:top w:val="double" w:sz="6" w:space="0" w:color="F79646"/>
          <w:left w:val="single" w:sz="8" w:space="0" w:color="F79646"/>
          <w:bottom w:val="single" w:sz="8" w:space="0" w:color="F79646"/>
          <w:right w:val="single" w:sz="8" w:space="0" w:color="F7964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tcBorders>
      </w:tcPr>
    </w:tblStylePr>
  </w:style>
  <w:style w:type="table" w:customStyle="1" w:styleId="Sfondochiaro1">
    <w:name w:val="Sfondo chiaro1"/>
    <w:uiPriority w:val="99"/>
    <w:rsid w:val="00677FEF"/>
    <w:rPr>
      <w:color w:val="000000"/>
      <w:sz w:val="20"/>
      <w:szCs w:val="20"/>
      <w:lang w:val="it-IT" w:eastAsia="it-IT"/>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Sfondochiaro-Colore11">
    <w:name w:val="Sfondo chiaro - Colore 11"/>
    <w:uiPriority w:val="99"/>
    <w:rsid w:val="00677FEF"/>
    <w:rPr>
      <w:color w:val="365F91"/>
      <w:sz w:val="20"/>
      <w:szCs w:val="20"/>
      <w:lang w:val="it-IT" w:eastAsia="it-IT"/>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styleId="Jasnecieniowanieakcent2">
    <w:name w:val="Light Shading Accent 2"/>
    <w:basedOn w:val="Standardowy"/>
    <w:uiPriority w:val="99"/>
    <w:rsid w:val="00677FEF"/>
    <w:rPr>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styleId="Jasnecieniowanieakcent3">
    <w:name w:val="Light Shading Accent 3"/>
    <w:basedOn w:val="Standardowy"/>
    <w:uiPriority w:val="99"/>
    <w:rsid w:val="00677FEF"/>
    <w:rPr>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styleId="Jasnecieniowanieakcent4">
    <w:name w:val="Light Shading Accent 4"/>
    <w:basedOn w:val="Standardowy"/>
    <w:uiPriority w:val="99"/>
    <w:rsid w:val="00677FEF"/>
    <w:rPr>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Jasnecieniowanieakcent5">
    <w:name w:val="Light Shading Accent 5"/>
    <w:basedOn w:val="Standardowy"/>
    <w:uiPriority w:val="99"/>
    <w:rsid w:val="00677FEF"/>
    <w:rPr>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table" w:styleId="Jasnecieniowanieakcent6">
    <w:name w:val="Light Shading Accent 6"/>
    <w:basedOn w:val="Standardowy"/>
    <w:uiPriority w:val="99"/>
    <w:rsid w:val="00677FEF"/>
    <w:rPr>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la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left w:val="nil"/>
          <w:right w:val="nil"/>
          <w:insideH w:val="nil"/>
          <w:insideV w:val="nil"/>
        </w:tcBorders>
        <w:shd w:val="clear" w:color="auto" w:fill="FDE4D0"/>
      </w:tcPr>
    </w:tblStylePr>
  </w:style>
  <w:style w:type="character" w:styleId="Numerwiersza">
    <w:name w:val="line number"/>
    <w:basedOn w:val="Domylnaczcionkaakapitu"/>
    <w:uiPriority w:val="99"/>
    <w:rsid w:val="00677FEF"/>
    <w:rPr>
      <w:rFonts w:cs="Times New Roman"/>
    </w:rPr>
  </w:style>
  <w:style w:type="paragraph" w:styleId="Lista">
    <w:name w:val="List"/>
    <w:basedOn w:val="Normalny"/>
    <w:uiPriority w:val="99"/>
    <w:rsid w:val="00677FEF"/>
    <w:pPr>
      <w:ind w:left="283" w:hanging="283"/>
      <w:contextualSpacing/>
    </w:pPr>
  </w:style>
  <w:style w:type="paragraph" w:styleId="Lista2">
    <w:name w:val="List 2"/>
    <w:basedOn w:val="Normalny"/>
    <w:uiPriority w:val="99"/>
    <w:rsid w:val="00677FEF"/>
    <w:pPr>
      <w:ind w:left="566" w:hanging="283"/>
      <w:contextualSpacing/>
    </w:pPr>
  </w:style>
  <w:style w:type="paragraph" w:styleId="Lista3">
    <w:name w:val="List 3"/>
    <w:basedOn w:val="Normalny"/>
    <w:uiPriority w:val="99"/>
    <w:rsid w:val="00677FEF"/>
    <w:pPr>
      <w:ind w:left="849" w:hanging="283"/>
      <w:contextualSpacing/>
    </w:pPr>
  </w:style>
  <w:style w:type="paragraph" w:styleId="Lista4">
    <w:name w:val="List 4"/>
    <w:basedOn w:val="Normalny"/>
    <w:uiPriority w:val="99"/>
    <w:rsid w:val="00677FEF"/>
    <w:pPr>
      <w:ind w:left="1132" w:hanging="283"/>
      <w:contextualSpacing/>
    </w:pPr>
  </w:style>
  <w:style w:type="paragraph" w:styleId="Lista5">
    <w:name w:val="List 5"/>
    <w:basedOn w:val="Normalny"/>
    <w:uiPriority w:val="99"/>
    <w:rsid w:val="00677FEF"/>
    <w:pPr>
      <w:ind w:left="1415" w:hanging="283"/>
      <w:contextualSpacing/>
    </w:pPr>
  </w:style>
  <w:style w:type="paragraph" w:styleId="Listapunktowana">
    <w:name w:val="List Bullet"/>
    <w:basedOn w:val="Normalny"/>
    <w:uiPriority w:val="99"/>
    <w:rsid w:val="00677FEF"/>
    <w:pPr>
      <w:numPr>
        <w:numId w:val="11"/>
      </w:numPr>
      <w:contextualSpacing/>
    </w:pPr>
  </w:style>
  <w:style w:type="paragraph" w:styleId="Listapunktowana2">
    <w:name w:val="List Bullet 2"/>
    <w:basedOn w:val="Normalny"/>
    <w:uiPriority w:val="99"/>
    <w:rsid w:val="00677FEF"/>
    <w:pPr>
      <w:numPr>
        <w:numId w:val="12"/>
      </w:numPr>
      <w:contextualSpacing/>
    </w:pPr>
  </w:style>
  <w:style w:type="paragraph" w:styleId="Listapunktowana3">
    <w:name w:val="List Bullet 3"/>
    <w:basedOn w:val="Normalny"/>
    <w:uiPriority w:val="99"/>
    <w:rsid w:val="00677FEF"/>
    <w:pPr>
      <w:numPr>
        <w:numId w:val="13"/>
      </w:numPr>
      <w:contextualSpacing/>
    </w:pPr>
  </w:style>
  <w:style w:type="paragraph" w:styleId="Listapunktowana4">
    <w:name w:val="List Bullet 4"/>
    <w:basedOn w:val="Normalny"/>
    <w:uiPriority w:val="99"/>
    <w:rsid w:val="00677FEF"/>
    <w:pPr>
      <w:numPr>
        <w:numId w:val="19"/>
      </w:numPr>
      <w:contextualSpacing/>
    </w:pPr>
  </w:style>
  <w:style w:type="paragraph" w:styleId="Listapunktowana5">
    <w:name w:val="List Bullet 5"/>
    <w:basedOn w:val="Normalny"/>
    <w:uiPriority w:val="99"/>
    <w:rsid w:val="00677FEF"/>
    <w:pPr>
      <w:numPr>
        <w:numId w:val="14"/>
      </w:numPr>
      <w:contextualSpacing/>
    </w:pPr>
  </w:style>
  <w:style w:type="paragraph" w:styleId="Lista-kontynuacja">
    <w:name w:val="List Continue"/>
    <w:basedOn w:val="Normalny"/>
    <w:uiPriority w:val="99"/>
    <w:rsid w:val="00677FEF"/>
    <w:pPr>
      <w:spacing w:after="120"/>
      <w:ind w:left="283"/>
      <w:contextualSpacing/>
    </w:pPr>
  </w:style>
  <w:style w:type="paragraph" w:styleId="Lista-kontynuacja2">
    <w:name w:val="List Continue 2"/>
    <w:basedOn w:val="Normalny"/>
    <w:uiPriority w:val="99"/>
    <w:rsid w:val="00677FEF"/>
    <w:pPr>
      <w:spacing w:after="120"/>
      <w:ind w:left="566"/>
      <w:contextualSpacing/>
    </w:pPr>
  </w:style>
  <w:style w:type="paragraph" w:styleId="Lista-kontynuacja3">
    <w:name w:val="List Continue 3"/>
    <w:basedOn w:val="Normalny"/>
    <w:uiPriority w:val="99"/>
    <w:rsid w:val="00677FEF"/>
    <w:pPr>
      <w:spacing w:after="120"/>
      <w:ind w:left="849"/>
      <w:contextualSpacing/>
    </w:pPr>
  </w:style>
  <w:style w:type="paragraph" w:styleId="Lista-kontynuacja4">
    <w:name w:val="List Continue 4"/>
    <w:basedOn w:val="Normalny"/>
    <w:uiPriority w:val="99"/>
    <w:rsid w:val="00677FEF"/>
    <w:pPr>
      <w:spacing w:after="120"/>
      <w:ind w:left="1132"/>
      <w:contextualSpacing/>
    </w:pPr>
  </w:style>
  <w:style w:type="paragraph" w:styleId="Lista-kontynuacja5">
    <w:name w:val="List Continue 5"/>
    <w:basedOn w:val="Normalny"/>
    <w:uiPriority w:val="99"/>
    <w:rsid w:val="00677FEF"/>
    <w:pPr>
      <w:spacing w:after="120"/>
      <w:ind w:left="1415"/>
      <w:contextualSpacing/>
    </w:pPr>
  </w:style>
  <w:style w:type="paragraph" w:styleId="Listanumerowana">
    <w:name w:val="List Number"/>
    <w:basedOn w:val="Normalny"/>
    <w:uiPriority w:val="99"/>
    <w:rsid w:val="00677FEF"/>
    <w:pPr>
      <w:numPr>
        <w:numId w:val="15"/>
      </w:numPr>
      <w:contextualSpacing/>
    </w:pPr>
  </w:style>
  <w:style w:type="paragraph" w:styleId="Listanumerowana2">
    <w:name w:val="List Number 2"/>
    <w:basedOn w:val="Normalny"/>
    <w:uiPriority w:val="99"/>
    <w:rsid w:val="00677FEF"/>
    <w:pPr>
      <w:numPr>
        <w:numId w:val="20"/>
      </w:numPr>
      <w:contextualSpacing/>
    </w:pPr>
  </w:style>
  <w:style w:type="paragraph" w:styleId="Listanumerowana3">
    <w:name w:val="List Number 3"/>
    <w:basedOn w:val="Normalny"/>
    <w:uiPriority w:val="99"/>
    <w:rsid w:val="00677FEF"/>
    <w:pPr>
      <w:numPr>
        <w:numId w:val="21"/>
      </w:numPr>
      <w:contextualSpacing/>
    </w:pPr>
  </w:style>
  <w:style w:type="paragraph" w:styleId="Listanumerowana4">
    <w:name w:val="List Number 4"/>
    <w:basedOn w:val="Normalny"/>
    <w:uiPriority w:val="99"/>
    <w:rsid w:val="00677FEF"/>
    <w:pPr>
      <w:numPr>
        <w:numId w:val="22"/>
      </w:numPr>
      <w:contextualSpacing/>
    </w:pPr>
  </w:style>
  <w:style w:type="paragraph" w:styleId="Listanumerowana5">
    <w:name w:val="List Number 5"/>
    <w:basedOn w:val="Normalny"/>
    <w:uiPriority w:val="99"/>
    <w:rsid w:val="00677FEF"/>
    <w:pPr>
      <w:numPr>
        <w:numId w:val="23"/>
      </w:numPr>
      <w:contextualSpacing/>
    </w:pPr>
  </w:style>
  <w:style w:type="paragraph" w:styleId="Akapitzlist">
    <w:name w:val="List Paragraph"/>
    <w:basedOn w:val="Normalny"/>
    <w:uiPriority w:val="99"/>
    <w:qFormat/>
    <w:rsid w:val="00677FEF"/>
    <w:pPr>
      <w:ind w:left="720"/>
    </w:pPr>
  </w:style>
  <w:style w:type="paragraph" w:styleId="Tekstmakra">
    <w:name w:val="macro"/>
    <w:link w:val="TekstmakraZnak"/>
    <w:uiPriority w:val="99"/>
    <w:rsid w:val="00677FEF"/>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sz w:val="20"/>
      <w:szCs w:val="20"/>
      <w:lang w:val="en-GB" w:eastAsia="fr-FR"/>
    </w:rPr>
  </w:style>
  <w:style w:type="character" w:customStyle="1" w:styleId="TekstmakraZnak">
    <w:name w:val="Tekst makra Znak"/>
    <w:basedOn w:val="Domylnaczcionkaakapitu"/>
    <w:link w:val="Tekstmakra"/>
    <w:uiPriority w:val="99"/>
    <w:locked/>
    <w:rsid w:val="00677FEF"/>
    <w:rPr>
      <w:rFonts w:ascii="Courier New" w:hAnsi="Courier New"/>
      <w:lang w:val="en-GB" w:eastAsia="fr-FR"/>
    </w:rPr>
  </w:style>
  <w:style w:type="table" w:customStyle="1" w:styleId="Grigliamedia11">
    <w:name w:val="Griglia media 11"/>
    <w:uiPriority w:val="99"/>
    <w:rsid w:val="00677FEF"/>
    <w:rPr>
      <w:sz w:val="20"/>
      <w:szCs w:val="20"/>
      <w:lang w:val="it-IT" w:eastAsia="it-IT"/>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rsid w:val="00677FEF"/>
    <w:rPr>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redniasiatka1akcent2">
    <w:name w:val="Medium Grid 1 Accent 2"/>
    <w:basedOn w:val="Standardowy"/>
    <w:uiPriority w:val="99"/>
    <w:rsid w:val="00677FEF"/>
    <w:rPr>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rFonts w:cs="Times New Roman"/>
        <w:b/>
        <w:bCs/>
      </w:rPr>
    </w:tblStylePr>
    <w:tblStylePr w:type="lastRow">
      <w:rPr>
        <w:rFonts w:cs="Times New Roman"/>
        <w:b/>
        <w:bCs/>
      </w:rPr>
      <w:tblPr/>
      <w:tcPr>
        <w:tcBorders>
          <w:top w:val="single" w:sz="18" w:space="0" w:color="CF7B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A7A6"/>
      </w:tcPr>
    </w:tblStylePr>
    <w:tblStylePr w:type="band1Horz">
      <w:rPr>
        <w:rFonts w:cs="Times New Roman"/>
      </w:rPr>
      <w:tblPr/>
      <w:tcPr>
        <w:shd w:val="clear" w:color="auto" w:fill="DFA7A6"/>
      </w:tcPr>
    </w:tblStylePr>
  </w:style>
  <w:style w:type="table" w:styleId="redniasiatka1akcent3">
    <w:name w:val="Medium Grid 1 Accent 3"/>
    <w:basedOn w:val="Standardowy"/>
    <w:uiPriority w:val="99"/>
    <w:rsid w:val="00677FEF"/>
    <w:rPr>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rFonts w:cs="Times New Roman"/>
        <w:b/>
        <w:bCs/>
      </w:rPr>
    </w:tblStylePr>
    <w:tblStylePr w:type="lastRow">
      <w:rPr>
        <w:rFonts w:cs="Times New Roman"/>
        <w:b/>
        <w:bCs/>
      </w:rPr>
      <w:tblPr/>
      <w:tcPr>
        <w:tcBorders>
          <w:top w:val="single" w:sz="18" w:space="0" w:color="B3CC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redniasiatka1akcent4">
    <w:name w:val="Medium Grid 1 Accent 4"/>
    <w:basedOn w:val="Standardowy"/>
    <w:uiPriority w:val="99"/>
    <w:rsid w:val="00677FEF"/>
    <w:rPr>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rFonts w:cs="Times New Roman"/>
        <w:b/>
        <w:bCs/>
      </w:rPr>
    </w:tblStylePr>
    <w:tblStylePr w:type="lastRow">
      <w:rPr>
        <w:rFonts w:cs="Times New Roman"/>
        <w:b/>
        <w:bCs/>
      </w:rPr>
      <w:tblPr/>
      <w:tcPr>
        <w:tcBorders>
          <w:top w:val="single" w:sz="18" w:space="0" w:color="9F8AB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FB1D0"/>
      </w:tcPr>
    </w:tblStylePr>
    <w:tblStylePr w:type="band1Horz">
      <w:rPr>
        <w:rFonts w:cs="Times New Roman"/>
      </w:rPr>
      <w:tblPr/>
      <w:tcPr>
        <w:shd w:val="clear" w:color="auto" w:fill="BFB1D0"/>
      </w:tcPr>
    </w:tblStylePr>
  </w:style>
  <w:style w:type="table" w:styleId="redniasiatka1akcent5">
    <w:name w:val="Medium Grid 1 Accent 5"/>
    <w:basedOn w:val="Standardowy"/>
    <w:uiPriority w:val="99"/>
    <w:rsid w:val="00677FEF"/>
    <w:rPr>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cs="Times New Roman"/>
        <w:b/>
        <w:bCs/>
      </w:rPr>
    </w:tblStylePr>
    <w:tblStylePr w:type="lastRow">
      <w:rPr>
        <w:rFonts w:cs="Times New Roman"/>
        <w:b/>
        <w:bCs/>
      </w:rPr>
      <w:tblPr/>
      <w:tcPr>
        <w:tcBorders>
          <w:top w:val="single" w:sz="18" w:space="0" w:color="78C0D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5D5E2"/>
      </w:tcPr>
    </w:tblStylePr>
    <w:tblStylePr w:type="band1Horz">
      <w:rPr>
        <w:rFonts w:cs="Times New Roman"/>
      </w:rPr>
      <w:tblPr/>
      <w:tcPr>
        <w:shd w:val="clear" w:color="auto" w:fill="A5D5E2"/>
      </w:tcPr>
    </w:tblStylePr>
  </w:style>
  <w:style w:type="table" w:styleId="redniasiatka1akcent6">
    <w:name w:val="Medium Grid 1 Accent 6"/>
    <w:basedOn w:val="Standardowy"/>
    <w:uiPriority w:val="99"/>
    <w:rsid w:val="00677FEF"/>
    <w:rPr>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rFonts w:cs="Times New Roman"/>
        <w:b/>
        <w:bCs/>
      </w:rPr>
    </w:tblStylePr>
    <w:tblStylePr w:type="lastRow">
      <w:rPr>
        <w:rFonts w:cs="Times New Roman"/>
        <w:b/>
        <w:bCs/>
      </w:rPr>
      <w:tblPr/>
      <w:tcPr>
        <w:tcBorders>
          <w:top w:val="single" w:sz="18" w:space="0" w:color="F9B07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CAA2"/>
      </w:tcPr>
    </w:tblStylePr>
    <w:tblStylePr w:type="band1Horz">
      <w:rPr>
        <w:rFonts w:cs="Times New Roman"/>
      </w:rPr>
      <w:tblPr/>
      <w:tcPr>
        <w:shd w:val="clear" w:color="auto" w:fill="FBCAA2"/>
      </w:tcPr>
    </w:tblStylePr>
  </w:style>
  <w:style w:type="table" w:customStyle="1" w:styleId="Grigliamedia21">
    <w:name w:val="Griglia media 21"/>
    <w:uiPriority w:val="99"/>
    <w:rsid w:val="00677FEF"/>
    <w:rPr>
      <w:rFonts w:ascii="Cambria" w:hAnsi="Cambria"/>
      <w:color w:val="000000"/>
      <w:sz w:val="20"/>
      <w:szCs w:val="20"/>
      <w:lang w:val="it-IT" w:eastAsia="it-IT"/>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FFFFFF"/>
      </w:tcPr>
    </w:tblStylePr>
  </w:style>
  <w:style w:type="table" w:styleId="redniasiatka2akcent1">
    <w:name w:val="Medium Grid 2 Accent 1"/>
    <w:basedOn w:val="Standardowy"/>
    <w:uiPriority w:val="99"/>
    <w:rsid w:val="00677FEF"/>
    <w:rPr>
      <w:rFonts w:ascii="Cambria" w:hAnsi="Cambria"/>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rFonts w:cs="Times New Roman"/>
        <w:b/>
        <w:bCs/>
        <w:color w:val="000000"/>
      </w:rPr>
      <w:tblPr/>
      <w:tcPr>
        <w:shd w:val="clear" w:color="auto" w:fill="EDF2F8"/>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BE5F1"/>
      </w:tcPr>
    </w:tblStylePr>
    <w:tblStylePr w:type="band1Vert">
      <w:rPr>
        <w:rFonts w:cs="Times New Roman"/>
      </w:rPr>
      <w:tblPr/>
      <w:tcPr>
        <w:shd w:val="clear" w:color="auto" w:fill="A7BFDE"/>
      </w:tcPr>
    </w:tblStylePr>
    <w:tblStylePr w:type="band1Horz">
      <w:rPr>
        <w:rFonts w:cs="Times New Roman"/>
      </w:rPr>
      <w:tblPr/>
      <w:tcPr>
        <w:tcBorders>
          <w:insideH w:val="single" w:sz="6" w:space="0" w:color="4F81BD"/>
          <w:insideV w:val="single" w:sz="6" w:space="0" w:color="4F81BD"/>
        </w:tcBorders>
        <w:shd w:val="clear" w:color="auto" w:fill="A7BFDE"/>
      </w:tcPr>
    </w:tblStylePr>
    <w:tblStylePr w:type="nwCell">
      <w:rPr>
        <w:rFonts w:cs="Times New Roman"/>
      </w:rPr>
      <w:tblPr/>
      <w:tcPr>
        <w:shd w:val="clear" w:color="auto" w:fill="FFFFFF"/>
      </w:tcPr>
    </w:tblStylePr>
  </w:style>
  <w:style w:type="table" w:styleId="redniasiatka2akcent2">
    <w:name w:val="Medium Grid 2 Accent 2"/>
    <w:basedOn w:val="Standardowy"/>
    <w:uiPriority w:val="99"/>
    <w:rsid w:val="00677FEF"/>
    <w:rPr>
      <w:rFonts w:ascii="Cambria" w:hAnsi="Cambria"/>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rFonts w:cs="Times New Roman"/>
        <w:b/>
        <w:bCs/>
        <w:color w:val="000000"/>
      </w:rPr>
      <w:tblPr/>
      <w:tcPr>
        <w:shd w:val="clear" w:color="auto" w:fill="F8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F2DBDB"/>
      </w:tcPr>
    </w:tblStylePr>
    <w:tblStylePr w:type="band1Vert">
      <w:rPr>
        <w:rFonts w:cs="Times New Roman"/>
      </w:rPr>
      <w:tblPr/>
      <w:tcPr>
        <w:shd w:val="clear" w:color="auto" w:fill="DFA7A6"/>
      </w:tcPr>
    </w:tblStylePr>
    <w:tblStylePr w:type="band1Horz">
      <w:rPr>
        <w:rFonts w:cs="Times New Roman"/>
      </w:rPr>
      <w:tblPr/>
      <w:tcPr>
        <w:tcBorders>
          <w:insideH w:val="single" w:sz="6" w:space="0" w:color="C0504D"/>
          <w:insideV w:val="single" w:sz="6" w:space="0" w:color="C0504D"/>
        </w:tcBorders>
        <w:shd w:val="clear" w:color="auto" w:fill="DFA7A6"/>
      </w:tcPr>
    </w:tblStylePr>
    <w:tblStylePr w:type="nwCell">
      <w:rPr>
        <w:rFonts w:cs="Times New Roman"/>
      </w:rPr>
      <w:tblPr/>
      <w:tcPr>
        <w:shd w:val="clear" w:color="auto" w:fill="FFFFFF"/>
      </w:tcPr>
    </w:tblStylePr>
  </w:style>
  <w:style w:type="table" w:styleId="redniasiatka2akcent3">
    <w:name w:val="Medium Grid 2 Accent 3"/>
    <w:basedOn w:val="Standardowy"/>
    <w:uiPriority w:val="99"/>
    <w:rsid w:val="00677FEF"/>
    <w:rPr>
      <w:rFonts w:ascii="Cambria" w:hAnsi="Cambria"/>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rFonts w:cs="Times New Roman"/>
        <w:b/>
        <w:bCs/>
        <w:color w:val="000000"/>
      </w:rPr>
      <w:tblPr/>
      <w:tcPr>
        <w:shd w:val="clear" w:color="auto" w:fill="F5F8EE"/>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EAF1DD"/>
      </w:tcPr>
    </w:tblStylePr>
    <w:tblStylePr w:type="band1Vert">
      <w:rPr>
        <w:rFonts w:cs="Times New Roman"/>
      </w:rPr>
      <w:tblPr/>
      <w:tcPr>
        <w:shd w:val="clear" w:color="auto" w:fill="CDDDAC"/>
      </w:tcPr>
    </w:tblStylePr>
    <w:tblStylePr w:type="band1Horz">
      <w:rPr>
        <w:rFonts w:cs="Times New Roman"/>
      </w:rPr>
      <w:tblPr/>
      <w:tcPr>
        <w:tcBorders>
          <w:insideH w:val="single" w:sz="6" w:space="0" w:color="9BBB59"/>
          <w:insideV w:val="single" w:sz="6" w:space="0" w:color="9BBB59"/>
        </w:tcBorders>
        <w:shd w:val="clear" w:color="auto" w:fill="CDDDAC"/>
      </w:tcPr>
    </w:tblStylePr>
    <w:tblStylePr w:type="nwCell">
      <w:rPr>
        <w:rFonts w:cs="Times New Roman"/>
      </w:rPr>
      <w:tblPr/>
      <w:tcPr>
        <w:shd w:val="clear" w:color="auto" w:fill="FFFFFF"/>
      </w:tcPr>
    </w:tblStylePr>
  </w:style>
  <w:style w:type="table" w:styleId="redniasiatka2akcent4">
    <w:name w:val="Medium Grid 2 Accent 4"/>
    <w:basedOn w:val="Standardowy"/>
    <w:uiPriority w:val="99"/>
    <w:rsid w:val="00677FEF"/>
    <w:rPr>
      <w:rFonts w:ascii="Cambria" w:hAnsi="Cambria"/>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rFonts w:cs="Times New Roman"/>
        <w:b/>
        <w:bCs/>
        <w:color w:val="000000"/>
      </w:rPr>
      <w:tblPr/>
      <w:tcPr>
        <w:shd w:val="clear" w:color="auto" w:fill="F2EFF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E5DFEC"/>
      </w:tcPr>
    </w:tblStylePr>
    <w:tblStylePr w:type="band1Vert">
      <w:rPr>
        <w:rFonts w:cs="Times New Roman"/>
      </w:rPr>
      <w:tblPr/>
      <w:tcPr>
        <w:shd w:val="clear" w:color="auto" w:fill="BFB1D0"/>
      </w:tcPr>
    </w:tblStylePr>
    <w:tblStylePr w:type="band1Horz">
      <w:rPr>
        <w:rFonts w:cs="Times New Roman"/>
      </w:rPr>
      <w:tblPr/>
      <w:tcPr>
        <w:tcBorders>
          <w:insideH w:val="single" w:sz="6" w:space="0" w:color="8064A2"/>
          <w:insideV w:val="single" w:sz="6" w:space="0" w:color="8064A2"/>
        </w:tcBorders>
        <w:shd w:val="clear" w:color="auto" w:fill="BFB1D0"/>
      </w:tcPr>
    </w:tblStylePr>
    <w:tblStylePr w:type="nwCell">
      <w:rPr>
        <w:rFonts w:cs="Times New Roman"/>
      </w:rPr>
      <w:tblPr/>
      <w:tcPr>
        <w:shd w:val="clear" w:color="auto" w:fill="FFFFFF"/>
      </w:tcPr>
    </w:tblStylePr>
  </w:style>
  <w:style w:type="table" w:styleId="redniasiatka2akcent5">
    <w:name w:val="Medium Grid 2 Accent 5"/>
    <w:basedOn w:val="Standardowy"/>
    <w:uiPriority w:val="99"/>
    <w:rsid w:val="00677FEF"/>
    <w:rPr>
      <w:rFonts w:ascii="Cambria" w:hAnsi="Cambria"/>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rFonts w:cs="Times New Roman"/>
        <w:b/>
        <w:bCs/>
        <w:color w:val="000000"/>
      </w:rPr>
      <w:tblPr/>
      <w:tcPr>
        <w:shd w:val="clear" w:color="auto" w:fill="EDF6F9"/>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AEEF3"/>
      </w:tcPr>
    </w:tblStylePr>
    <w:tblStylePr w:type="band1Vert">
      <w:rPr>
        <w:rFonts w:cs="Times New Roman"/>
      </w:rPr>
      <w:tblPr/>
      <w:tcPr>
        <w:shd w:val="clear" w:color="auto" w:fill="A5D5E2"/>
      </w:tcPr>
    </w:tblStylePr>
    <w:tblStylePr w:type="band1Horz">
      <w:rPr>
        <w:rFonts w:cs="Times New Roman"/>
      </w:rPr>
      <w:tblPr/>
      <w:tcPr>
        <w:tcBorders>
          <w:insideH w:val="single" w:sz="6" w:space="0" w:color="4BACC6"/>
          <w:insideV w:val="single" w:sz="6" w:space="0" w:color="4BACC6"/>
        </w:tcBorders>
        <w:shd w:val="clear" w:color="auto" w:fill="A5D5E2"/>
      </w:tcPr>
    </w:tblStylePr>
    <w:tblStylePr w:type="nwCell">
      <w:rPr>
        <w:rFonts w:cs="Times New Roman"/>
      </w:rPr>
      <w:tblPr/>
      <w:tcPr>
        <w:shd w:val="clear" w:color="auto" w:fill="FFFFFF"/>
      </w:tcPr>
    </w:tblStylePr>
  </w:style>
  <w:style w:type="table" w:styleId="redniasiatka2akcent6">
    <w:name w:val="Medium Grid 2 Accent 6"/>
    <w:basedOn w:val="Standardowy"/>
    <w:uiPriority w:val="99"/>
    <w:rsid w:val="00677FEF"/>
    <w:rPr>
      <w:rFonts w:ascii="Cambria" w:hAnsi="Cambria"/>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rFonts w:cs="Times New Roman"/>
        <w:b/>
        <w:bCs/>
        <w:color w:val="000000"/>
      </w:rPr>
      <w:tblPr/>
      <w:tcPr>
        <w:shd w:val="clear" w:color="auto" w:fill="FEF4EC"/>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FDE9D9"/>
      </w:tcPr>
    </w:tblStylePr>
    <w:tblStylePr w:type="band1Vert">
      <w:rPr>
        <w:rFonts w:cs="Times New Roman"/>
      </w:rPr>
      <w:tblPr/>
      <w:tcPr>
        <w:shd w:val="clear" w:color="auto" w:fill="FBCAA2"/>
      </w:tcPr>
    </w:tblStylePr>
    <w:tblStylePr w:type="band1Horz">
      <w:rPr>
        <w:rFonts w:cs="Times New Roman"/>
      </w:rPr>
      <w:tblPr/>
      <w:tcPr>
        <w:tcBorders>
          <w:insideH w:val="single" w:sz="6" w:space="0" w:color="F79646"/>
          <w:insideV w:val="single" w:sz="6" w:space="0" w:color="F79646"/>
        </w:tcBorders>
        <w:shd w:val="clear" w:color="auto" w:fill="FBCAA2"/>
      </w:tcPr>
    </w:tblStylePr>
    <w:tblStylePr w:type="nwCell">
      <w:rPr>
        <w:rFonts w:cs="Times New Roman"/>
      </w:rPr>
      <w:tblPr/>
      <w:tcPr>
        <w:shd w:val="clear" w:color="auto" w:fill="FFFFFF"/>
      </w:tcPr>
    </w:tblStylePr>
  </w:style>
  <w:style w:type="table" w:customStyle="1" w:styleId="Grigliamedia31">
    <w:name w:val="Griglia media 31"/>
    <w:uiPriority w:val="99"/>
    <w:rsid w:val="00677FEF"/>
    <w:rPr>
      <w:sz w:val="20"/>
      <w:szCs w:val="20"/>
      <w:lang w:val="it-IT" w:eastAsia="it-IT"/>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siatka3akcent1">
    <w:name w:val="Medium Grid 3 Accent 1"/>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redniasiatka3akcent2">
    <w:name w:val="Medium Grid 3 Accent 2"/>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redniasiatka3akcent3">
    <w:name w:val="Medium Grid 3 Accent 3"/>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redniasiatka3akcent4">
    <w:name w:val="Medium Grid 3 Accent 4"/>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redniasiatka3akcent5">
    <w:name w:val="Medium Grid 3 Accent 5"/>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redniasiatka3akcent6">
    <w:name w:val="Medium Grid 3 Accent 6"/>
    <w:basedOn w:val="Standardowy"/>
    <w:uiPriority w:val="99"/>
    <w:rsid w:val="00677FEF"/>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Elencomedio11">
    <w:name w:val="Elenco medio 11"/>
    <w:uiPriority w:val="99"/>
    <w:rsid w:val="00677FEF"/>
    <w:rPr>
      <w:color w:val="000000"/>
      <w:sz w:val="20"/>
      <w:szCs w:val="20"/>
      <w:lang w:val="it-IT" w:eastAsia="it-IT"/>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rFonts w:cs="Times New Roman"/>
        <w:b/>
        <w:bCs/>
        <w:color w:val="1F497D"/>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customStyle="1" w:styleId="Elencomedio1-Colore11">
    <w:name w:val="Elenco medio 1 - Colore 11"/>
    <w:uiPriority w:val="99"/>
    <w:rsid w:val="00677FEF"/>
    <w:rPr>
      <w:color w:val="000000"/>
      <w:sz w:val="20"/>
      <w:szCs w:val="20"/>
      <w:lang w:val="it-IT" w:eastAsia="it-IT"/>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rFonts w:cs="Times New Roman"/>
        <w:b/>
        <w:bCs/>
        <w:color w:val="1F497D"/>
      </w:rPr>
      <w:tblPr/>
      <w:tcPr>
        <w:tcBorders>
          <w:top w:val="single" w:sz="8" w:space="0" w:color="4F81BD"/>
          <w:bottom w:val="single" w:sz="8" w:space="0" w:color="4F81BD"/>
        </w:tcBorders>
      </w:tcPr>
    </w:tblStylePr>
    <w:tblStylePr w:type="firstCol">
      <w:rPr>
        <w:rFonts w:cs="Times New Roman"/>
        <w:b/>
        <w:bCs/>
      </w:rPr>
    </w:tblStylePr>
    <w:tblStylePr w:type="lastCol">
      <w:rPr>
        <w:rFonts w:cs="Times New Roman"/>
        <w:b/>
        <w:bCs/>
      </w:rPr>
      <w:tblPr/>
      <w:tcPr>
        <w:tcBorders>
          <w:top w:val="single" w:sz="8" w:space="0" w:color="4F81BD"/>
          <w:bottom w:val="single" w:sz="8" w:space="0" w:color="4F81BD"/>
        </w:tcBorders>
      </w:tcPr>
    </w:tblStylePr>
    <w:tblStylePr w:type="band1Vert">
      <w:rPr>
        <w:rFonts w:cs="Times New Roman"/>
      </w:rPr>
      <w:tblPr/>
      <w:tcPr>
        <w:shd w:val="clear" w:color="auto" w:fill="D3DFEE"/>
      </w:tcPr>
    </w:tblStylePr>
    <w:tblStylePr w:type="band1Horz">
      <w:rPr>
        <w:rFonts w:cs="Times New Roman"/>
      </w:rPr>
      <w:tblPr/>
      <w:tcPr>
        <w:shd w:val="clear" w:color="auto" w:fill="D3DFEE"/>
      </w:tcPr>
    </w:tblStylePr>
  </w:style>
  <w:style w:type="table" w:styleId="rednialista1akcent2">
    <w:name w:val="Medium List 1 Accent 2"/>
    <w:basedOn w:val="Standardowy"/>
    <w:uiPriority w:val="99"/>
    <w:rsid w:val="00677FEF"/>
    <w:rPr>
      <w:color w:val="000000"/>
      <w:sz w:val="20"/>
      <w:szCs w:val="2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rFonts w:cs="Times New Roman"/>
        <w:b/>
        <w:bCs/>
        <w:color w:val="1F497D"/>
      </w:rPr>
      <w:tblPr/>
      <w:tcPr>
        <w:tcBorders>
          <w:top w:val="single" w:sz="8" w:space="0" w:color="C0504D"/>
          <w:bottom w:val="single" w:sz="8" w:space="0" w:color="C0504D"/>
        </w:tcBorders>
      </w:tcPr>
    </w:tblStylePr>
    <w:tblStylePr w:type="firstCol">
      <w:rPr>
        <w:rFonts w:cs="Times New Roman"/>
        <w:b/>
        <w:bCs/>
      </w:rPr>
    </w:tblStylePr>
    <w:tblStylePr w:type="lastCol">
      <w:rPr>
        <w:rFonts w:cs="Times New Roman"/>
        <w:b/>
        <w:bCs/>
      </w:rPr>
      <w:tblPr/>
      <w:tcPr>
        <w:tcBorders>
          <w:top w:val="single" w:sz="8" w:space="0" w:color="C0504D"/>
          <w:bottom w:val="single" w:sz="8" w:space="0" w:color="C0504D"/>
        </w:tcBorders>
      </w:tcPr>
    </w:tblStylePr>
    <w:tblStylePr w:type="band1Vert">
      <w:rPr>
        <w:rFonts w:cs="Times New Roman"/>
      </w:rPr>
      <w:tblPr/>
      <w:tcPr>
        <w:shd w:val="clear" w:color="auto" w:fill="EFD3D2"/>
      </w:tcPr>
    </w:tblStylePr>
    <w:tblStylePr w:type="band1Horz">
      <w:rPr>
        <w:rFonts w:cs="Times New Roman"/>
      </w:rPr>
      <w:tblPr/>
      <w:tcPr>
        <w:shd w:val="clear" w:color="auto" w:fill="EFD3D2"/>
      </w:tcPr>
    </w:tblStylePr>
  </w:style>
  <w:style w:type="table" w:styleId="rednialista1akcent3">
    <w:name w:val="Medium List 1 Accent 3"/>
    <w:basedOn w:val="Standardowy"/>
    <w:uiPriority w:val="99"/>
    <w:rsid w:val="00677FEF"/>
    <w:rPr>
      <w:color w:val="000000"/>
      <w:sz w:val="20"/>
      <w:szCs w:val="2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rFonts w:cs="Times New Roman"/>
        <w:b/>
        <w:bCs/>
        <w:color w:val="1F497D"/>
      </w:rPr>
      <w:tblPr/>
      <w:tcPr>
        <w:tcBorders>
          <w:top w:val="single" w:sz="8" w:space="0" w:color="9BBB59"/>
          <w:bottom w:val="single" w:sz="8" w:space="0" w:color="9BBB59"/>
        </w:tcBorders>
      </w:tcPr>
    </w:tblStylePr>
    <w:tblStylePr w:type="firstCol">
      <w:rPr>
        <w:rFonts w:cs="Times New Roman"/>
        <w:b/>
        <w:bCs/>
      </w:rPr>
    </w:tblStylePr>
    <w:tblStylePr w:type="lastCol">
      <w:rPr>
        <w:rFonts w:cs="Times New Roman"/>
        <w:b/>
        <w:bCs/>
      </w:rPr>
      <w:tblPr/>
      <w:tcPr>
        <w:tcBorders>
          <w:top w:val="single" w:sz="8" w:space="0" w:color="9BBB59"/>
          <w:bottom w:val="single" w:sz="8" w:space="0" w:color="9BBB59"/>
        </w:tcBorders>
      </w:tcPr>
    </w:tblStylePr>
    <w:tblStylePr w:type="band1Vert">
      <w:rPr>
        <w:rFonts w:cs="Times New Roman"/>
      </w:rPr>
      <w:tblPr/>
      <w:tcPr>
        <w:shd w:val="clear" w:color="auto" w:fill="E6EED5"/>
      </w:tcPr>
    </w:tblStylePr>
    <w:tblStylePr w:type="band1Horz">
      <w:rPr>
        <w:rFonts w:cs="Times New Roman"/>
      </w:rPr>
      <w:tblPr/>
      <w:tcPr>
        <w:shd w:val="clear" w:color="auto" w:fill="E6EED5"/>
      </w:tcPr>
    </w:tblStylePr>
  </w:style>
  <w:style w:type="table" w:styleId="rednialista1akcent4">
    <w:name w:val="Medium List 1 Accent 4"/>
    <w:basedOn w:val="Standardowy"/>
    <w:uiPriority w:val="99"/>
    <w:rsid w:val="00677FEF"/>
    <w:rPr>
      <w:color w:val="000000"/>
      <w:sz w:val="20"/>
      <w:szCs w:val="2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rFonts w:cs="Times New Roman"/>
        <w:b/>
        <w:bCs/>
        <w:color w:val="1F497D"/>
      </w:rPr>
      <w:tblPr/>
      <w:tcPr>
        <w:tcBorders>
          <w:top w:val="single" w:sz="8" w:space="0" w:color="8064A2"/>
          <w:bottom w:val="single" w:sz="8" w:space="0" w:color="8064A2"/>
        </w:tcBorders>
      </w:tcPr>
    </w:tblStylePr>
    <w:tblStylePr w:type="firstCol">
      <w:rPr>
        <w:rFonts w:cs="Times New Roman"/>
        <w:b/>
        <w:bCs/>
      </w:rPr>
    </w:tblStylePr>
    <w:tblStylePr w:type="lastCol">
      <w:rPr>
        <w:rFonts w:cs="Times New Roman"/>
        <w:b/>
        <w:bCs/>
      </w:rPr>
      <w:tblPr/>
      <w:tcPr>
        <w:tcBorders>
          <w:top w:val="single" w:sz="8" w:space="0" w:color="8064A2"/>
          <w:bottom w:val="single" w:sz="8" w:space="0" w:color="8064A2"/>
        </w:tcBorders>
      </w:tcPr>
    </w:tblStylePr>
    <w:tblStylePr w:type="band1Vert">
      <w:rPr>
        <w:rFonts w:cs="Times New Roman"/>
      </w:rPr>
      <w:tblPr/>
      <w:tcPr>
        <w:shd w:val="clear" w:color="auto" w:fill="DFD8E8"/>
      </w:tcPr>
    </w:tblStylePr>
    <w:tblStylePr w:type="band1Horz">
      <w:rPr>
        <w:rFonts w:cs="Times New Roman"/>
      </w:rPr>
      <w:tblPr/>
      <w:tcPr>
        <w:shd w:val="clear" w:color="auto" w:fill="DFD8E8"/>
      </w:tcPr>
    </w:tblStylePr>
  </w:style>
  <w:style w:type="table" w:styleId="rednialista1akcent5">
    <w:name w:val="Medium List 1 Accent 5"/>
    <w:basedOn w:val="Standardowy"/>
    <w:uiPriority w:val="99"/>
    <w:rsid w:val="00677FEF"/>
    <w:rPr>
      <w:color w:val="000000"/>
      <w:sz w:val="20"/>
      <w:szCs w:val="2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rFonts w:cs="Times New Roman"/>
        <w:b/>
        <w:bCs/>
        <w:color w:val="1F497D"/>
      </w:rPr>
      <w:tblPr/>
      <w:tcPr>
        <w:tcBorders>
          <w:top w:val="single" w:sz="8" w:space="0" w:color="4BACC6"/>
          <w:bottom w:val="single" w:sz="8" w:space="0" w:color="4BACC6"/>
        </w:tcBorders>
      </w:tcPr>
    </w:tblStylePr>
    <w:tblStylePr w:type="firstCol">
      <w:rPr>
        <w:rFonts w:cs="Times New Roman"/>
        <w:b/>
        <w:bCs/>
      </w:rPr>
    </w:tblStylePr>
    <w:tblStylePr w:type="lastCol">
      <w:rPr>
        <w:rFonts w:cs="Times New Roman"/>
        <w:b/>
        <w:bCs/>
      </w:rPr>
      <w:tblPr/>
      <w:tcPr>
        <w:tcBorders>
          <w:top w:val="single" w:sz="8" w:space="0" w:color="4BACC6"/>
          <w:bottom w:val="single" w:sz="8" w:space="0" w:color="4BACC6"/>
        </w:tcBorders>
      </w:tcPr>
    </w:tblStylePr>
    <w:tblStylePr w:type="band1Vert">
      <w:rPr>
        <w:rFonts w:cs="Times New Roman"/>
      </w:rPr>
      <w:tblPr/>
      <w:tcPr>
        <w:shd w:val="clear" w:color="auto" w:fill="D2EAF1"/>
      </w:tcPr>
    </w:tblStylePr>
    <w:tblStylePr w:type="band1Horz">
      <w:rPr>
        <w:rFonts w:cs="Times New Roman"/>
      </w:rPr>
      <w:tblPr/>
      <w:tcPr>
        <w:shd w:val="clear" w:color="auto" w:fill="D2EAF1"/>
      </w:tcPr>
    </w:tblStylePr>
  </w:style>
  <w:style w:type="table" w:styleId="rednialista1akcent6">
    <w:name w:val="Medium List 1 Accent 6"/>
    <w:basedOn w:val="Standardowy"/>
    <w:uiPriority w:val="99"/>
    <w:rsid w:val="00677FEF"/>
    <w:rPr>
      <w:color w:val="000000"/>
      <w:sz w:val="20"/>
      <w:szCs w:val="2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rFonts w:cs="Times New Roman"/>
        <w:b/>
        <w:bCs/>
        <w:color w:val="1F497D"/>
      </w:rPr>
      <w:tblPr/>
      <w:tcPr>
        <w:tcBorders>
          <w:top w:val="single" w:sz="8" w:space="0" w:color="F79646"/>
          <w:bottom w:val="single" w:sz="8" w:space="0" w:color="F79646"/>
        </w:tcBorders>
      </w:tcPr>
    </w:tblStylePr>
    <w:tblStylePr w:type="firstCol">
      <w:rPr>
        <w:rFonts w:cs="Times New Roman"/>
        <w:b/>
        <w:bCs/>
      </w:rPr>
    </w:tblStylePr>
    <w:tblStylePr w:type="lastCol">
      <w:rPr>
        <w:rFonts w:cs="Times New Roman"/>
        <w:b/>
        <w:bCs/>
      </w:rPr>
      <w:tblPr/>
      <w:tcPr>
        <w:tcBorders>
          <w:top w:val="single" w:sz="8" w:space="0" w:color="F79646"/>
          <w:bottom w:val="single" w:sz="8" w:space="0" w:color="F79646"/>
        </w:tcBorders>
      </w:tcPr>
    </w:tblStylePr>
    <w:tblStylePr w:type="band1Vert">
      <w:rPr>
        <w:rFonts w:cs="Times New Roman"/>
      </w:rPr>
      <w:tblPr/>
      <w:tcPr>
        <w:shd w:val="clear" w:color="auto" w:fill="FDE4D0"/>
      </w:tcPr>
    </w:tblStylePr>
    <w:tblStylePr w:type="band1Horz">
      <w:rPr>
        <w:rFonts w:cs="Times New Roman"/>
      </w:rPr>
      <w:tblPr/>
      <w:tcPr>
        <w:shd w:val="clear" w:color="auto" w:fill="FDE4D0"/>
      </w:tcPr>
    </w:tblStylePr>
  </w:style>
  <w:style w:type="table" w:customStyle="1" w:styleId="Elencomedio21">
    <w:name w:val="Elenco medio 21"/>
    <w:uiPriority w:val="99"/>
    <w:rsid w:val="00677FEF"/>
    <w:rPr>
      <w:rFonts w:ascii="Cambria" w:hAnsi="Cambria"/>
      <w:color w:val="000000"/>
      <w:sz w:val="20"/>
      <w:szCs w:val="20"/>
      <w:lang w:val="it-IT" w:eastAsia="it-IT"/>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FFFFFF"/>
      </w:tcPr>
    </w:tblStylePr>
    <w:tblStylePr w:type="lastRow">
      <w:rPr>
        <w:rFonts w:cs="Times New Roman"/>
      </w:rPr>
      <w:tblPr/>
      <w:tcPr>
        <w:tcBorders>
          <w:top w:val="single" w:sz="8" w:space="0" w:color="000000"/>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000000"/>
          <w:insideH w:val="nil"/>
          <w:insideV w:val="nil"/>
        </w:tcBorders>
        <w:shd w:val="clear" w:color="auto" w:fill="FFFFFF"/>
      </w:tcPr>
    </w:tblStylePr>
    <w:tblStylePr w:type="lastCol">
      <w:rPr>
        <w:rFonts w:cs="Times New Roman"/>
      </w:rPr>
      <w:tblPr/>
      <w:tcPr>
        <w:tcBorders>
          <w:top w:val="nil"/>
          <w:left w:val="single" w:sz="8" w:space="0" w:color="000000"/>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1">
    <w:name w:val="Medium List 2 Accent 1"/>
    <w:basedOn w:val="Standardowy"/>
    <w:uiPriority w:val="99"/>
    <w:rsid w:val="00677FEF"/>
    <w:rPr>
      <w:rFonts w:ascii="Cambria" w:hAnsi="Cambria"/>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2">
    <w:name w:val="Medium List 2 Accent 2"/>
    <w:basedOn w:val="Standardowy"/>
    <w:uiPriority w:val="99"/>
    <w:rsid w:val="00677FEF"/>
    <w:rPr>
      <w:rFonts w:ascii="Cambria" w:hAnsi="Cambria"/>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rFonts w:cs="Times New Roman"/>
        <w:sz w:val="24"/>
        <w:szCs w:val="24"/>
      </w:rPr>
      <w:tblPr/>
      <w:tcPr>
        <w:tcBorders>
          <w:top w:val="nil"/>
          <w:left w:val="nil"/>
          <w:bottom w:val="single" w:sz="24" w:space="0" w:color="C0504D"/>
          <w:right w:val="nil"/>
          <w:insideH w:val="nil"/>
          <w:insideV w:val="nil"/>
        </w:tcBorders>
        <w:shd w:val="clear" w:color="auto" w:fill="FFFFFF"/>
      </w:tcPr>
    </w:tblStylePr>
    <w:tblStylePr w:type="lastRow">
      <w:rPr>
        <w:rFonts w:cs="Times New Roman"/>
      </w:rPr>
      <w:tblPr/>
      <w:tcPr>
        <w:tcBorders>
          <w:top w:val="single" w:sz="8" w:space="0" w:color="C0504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C0504D"/>
          <w:insideH w:val="nil"/>
          <w:insideV w:val="nil"/>
        </w:tcBorders>
        <w:shd w:val="clear" w:color="auto" w:fill="FFFFFF"/>
      </w:tcPr>
    </w:tblStylePr>
    <w:tblStylePr w:type="lastCol">
      <w:rPr>
        <w:rFonts w:cs="Times New Roman"/>
      </w:rPr>
      <w:tblPr/>
      <w:tcPr>
        <w:tcBorders>
          <w:top w:val="nil"/>
          <w:left w:val="single" w:sz="8" w:space="0" w:color="C0504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top w:val="nil"/>
          <w:bottom w:val="nil"/>
          <w:insideH w:val="nil"/>
          <w:insideV w:val="nil"/>
        </w:tcBorders>
        <w:shd w:val="clear" w:color="auto" w:fill="EFD3D2"/>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3">
    <w:name w:val="Medium List 2 Accent 3"/>
    <w:basedOn w:val="Standardowy"/>
    <w:uiPriority w:val="99"/>
    <w:rsid w:val="00677FEF"/>
    <w:rPr>
      <w:rFonts w:ascii="Cambria" w:hAnsi="Cambria"/>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rFonts w:cs="Times New Roman"/>
        <w:sz w:val="24"/>
        <w:szCs w:val="24"/>
      </w:rPr>
      <w:tblPr/>
      <w:tcPr>
        <w:tcBorders>
          <w:top w:val="nil"/>
          <w:left w:val="nil"/>
          <w:bottom w:val="single" w:sz="24" w:space="0" w:color="9BBB59"/>
          <w:right w:val="nil"/>
          <w:insideH w:val="nil"/>
          <w:insideV w:val="nil"/>
        </w:tcBorders>
        <w:shd w:val="clear" w:color="auto" w:fill="FFFFFF"/>
      </w:tcPr>
    </w:tblStylePr>
    <w:tblStylePr w:type="lastRow">
      <w:rPr>
        <w:rFonts w:cs="Times New Roman"/>
      </w:rPr>
      <w:tblPr/>
      <w:tcPr>
        <w:tcBorders>
          <w:top w:val="single" w:sz="8" w:space="0" w:color="9BBB59"/>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9BBB59"/>
          <w:insideH w:val="nil"/>
          <w:insideV w:val="nil"/>
        </w:tcBorders>
        <w:shd w:val="clear" w:color="auto" w:fill="FFFFFF"/>
      </w:tcPr>
    </w:tblStylePr>
    <w:tblStylePr w:type="lastCol">
      <w:rPr>
        <w:rFonts w:cs="Times New Roman"/>
      </w:rPr>
      <w:tblPr/>
      <w:tcPr>
        <w:tcBorders>
          <w:top w:val="nil"/>
          <w:left w:val="single" w:sz="8" w:space="0" w:color="9BBB59"/>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top w:val="nil"/>
          <w:bottom w:val="nil"/>
          <w:insideH w:val="nil"/>
          <w:insideV w:val="nil"/>
        </w:tcBorders>
        <w:shd w:val="clear" w:color="auto" w:fill="E6EED5"/>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4">
    <w:name w:val="Medium List 2 Accent 4"/>
    <w:basedOn w:val="Standardowy"/>
    <w:uiPriority w:val="99"/>
    <w:rsid w:val="00677FEF"/>
    <w:rPr>
      <w:rFonts w:ascii="Cambria" w:hAnsi="Cambria"/>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rFonts w:cs="Times New Roman"/>
        <w:sz w:val="24"/>
        <w:szCs w:val="24"/>
      </w:rPr>
      <w:tblPr/>
      <w:tcPr>
        <w:tcBorders>
          <w:top w:val="nil"/>
          <w:left w:val="nil"/>
          <w:bottom w:val="single" w:sz="24" w:space="0" w:color="8064A2"/>
          <w:right w:val="nil"/>
          <w:insideH w:val="nil"/>
          <w:insideV w:val="nil"/>
        </w:tcBorders>
        <w:shd w:val="clear" w:color="auto" w:fill="FFFFFF"/>
      </w:tcPr>
    </w:tblStylePr>
    <w:tblStylePr w:type="lastRow">
      <w:rPr>
        <w:rFonts w:cs="Times New Roman"/>
      </w:rPr>
      <w:tblPr/>
      <w:tcPr>
        <w:tcBorders>
          <w:top w:val="single" w:sz="8" w:space="0" w:color="8064A2"/>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8064A2"/>
          <w:insideH w:val="nil"/>
          <w:insideV w:val="nil"/>
        </w:tcBorders>
        <w:shd w:val="clear" w:color="auto" w:fill="FFFFFF"/>
      </w:tcPr>
    </w:tblStylePr>
    <w:tblStylePr w:type="lastCol">
      <w:rPr>
        <w:rFonts w:cs="Times New Roman"/>
      </w:rPr>
      <w:tblPr/>
      <w:tcPr>
        <w:tcBorders>
          <w:top w:val="nil"/>
          <w:left w:val="single" w:sz="8" w:space="0" w:color="8064A2"/>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top w:val="nil"/>
          <w:bottom w:val="nil"/>
          <w:insideH w:val="nil"/>
          <w:insideV w:val="nil"/>
        </w:tcBorders>
        <w:shd w:val="clear" w:color="auto" w:fill="DFD8E8"/>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5">
    <w:name w:val="Medium List 2 Accent 5"/>
    <w:basedOn w:val="Standardowy"/>
    <w:uiPriority w:val="99"/>
    <w:rsid w:val="00677FEF"/>
    <w:rPr>
      <w:rFonts w:ascii="Cambria" w:hAnsi="Cambria"/>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rFonts w:cs="Times New Roman"/>
        <w:sz w:val="24"/>
        <w:szCs w:val="24"/>
      </w:rPr>
      <w:tblPr/>
      <w:tcPr>
        <w:tcBorders>
          <w:top w:val="nil"/>
          <w:left w:val="nil"/>
          <w:bottom w:val="single" w:sz="24" w:space="0" w:color="4BACC6"/>
          <w:right w:val="nil"/>
          <w:insideH w:val="nil"/>
          <w:insideV w:val="nil"/>
        </w:tcBorders>
        <w:shd w:val="clear" w:color="auto" w:fill="FFFFFF"/>
      </w:tcPr>
    </w:tblStylePr>
    <w:tblStylePr w:type="lastRow">
      <w:rPr>
        <w:rFonts w:cs="Times New Roman"/>
      </w:rPr>
      <w:tblPr/>
      <w:tcPr>
        <w:tcBorders>
          <w:top w:val="single" w:sz="8" w:space="0" w:color="4BACC6"/>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BACC6"/>
          <w:insideH w:val="nil"/>
          <w:insideV w:val="nil"/>
        </w:tcBorders>
        <w:shd w:val="clear" w:color="auto" w:fill="FFFFFF"/>
      </w:tcPr>
    </w:tblStylePr>
    <w:tblStylePr w:type="lastCol">
      <w:rPr>
        <w:rFonts w:cs="Times New Roman"/>
      </w:rPr>
      <w:tblPr/>
      <w:tcPr>
        <w:tcBorders>
          <w:top w:val="nil"/>
          <w:left w:val="single" w:sz="8" w:space="0" w:color="4BACC6"/>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top w:val="nil"/>
          <w:bottom w:val="nil"/>
          <w:insideH w:val="nil"/>
          <w:insideV w:val="nil"/>
        </w:tcBorders>
        <w:shd w:val="clear" w:color="auto" w:fill="D2EAF1"/>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rednialista2akcent6">
    <w:name w:val="Medium List 2 Accent 6"/>
    <w:basedOn w:val="Standardowy"/>
    <w:uiPriority w:val="99"/>
    <w:rsid w:val="00677FEF"/>
    <w:rPr>
      <w:rFonts w:ascii="Cambria" w:hAnsi="Cambria"/>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rFonts w:cs="Times New Roman"/>
        <w:sz w:val="24"/>
        <w:szCs w:val="24"/>
      </w:rPr>
      <w:tblPr/>
      <w:tcPr>
        <w:tcBorders>
          <w:top w:val="nil"/>
          <w:left w:val="nil"/>
          <w:bottom w:val="single" w:sz="24" w:space="0" w:color="F79646"/>
          <w:right w:val="nil"/>
          <w:insideH w:val="nil"/>
          <w:insideV w:val="nil"/>
        </w:tcBorders>
        <w:shd w:val="clear" w:color="auto" w:fill="FFFFFF"/>
      </w:tcPr>
    </w:tblStylePr>
    <w:tblStylePr w:type="lastRow">
      <w:rPr>
        <w:rFonts w:cs="Times New Roman"/>
      </w:rPr>
      <w:tblPr/>
      <w:tcPr>
        <w:tcBorders>
          <w:top w:val="single" w:sz="8" w:space="0" w:color="F79646"/>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F79646"/>
          <w:insideH w:val="nil"/>
          <w:insideV w:val="nil"/>
        </w:tcBorders>
        <w:shd w:val="clear" w:color="auto" w:fill="FFFFFF"/>
      </w:tcPr>
    </w:tblStylePr>
    <w:tblStylePr w:type="lastCol">
      <w:rPr>
        <w:rFonts w:cs="Times New Roman"/>
      </w:rPr>
      <w:tblPr/>
      <w:tcPr>
        <w:tcBorders>
          <w:top w:val="nil"/>
          <w:left w:val="single" w:sz="8" w:space="0" w:color="F79646"/>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top w:val="nil"/>
          <w:bottom w:val="nil"/>
          <w:insideH w:val="nil"/>
          <w:insideV w:val="nil"/>
        </w:tcBorders>
        <w:shd w:val="clear" w:color="auto" w:fill="FDE4D0"/>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customStyle="1" w:styleId="Sfondomedio11">
    <w:name w:val="Sfondo medio 11"/>
    <w:uiPriority w:val="99"/>
    <w:rsid w:val="00677FEF"/>
    <w:rPr>
      <w:sz w:val="20"/>
      <w:szCs w:val="20"/>
      <w:lang w:val="it-IT" w:eastAsia="it-IT"/>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customStyle="1" w:styleId="Sfondomedio1-Colore11">
    <w:name w:val="Sfondo medio 1 - Colore 11"/>
    <w:uiPriority w:val="99"/>
    <w:rsid w:val="00677FEF"/>
    <w:rPr>
      <w:sz w:val="20"/>
      <w:szCs w:val="20"/>
      <w:lang w:val="it-IT" w:eastAsia="it-IT"/>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rsid w:val="00677FEF"/>
    <w:rPr>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pPr>
      <w:rPr>
        <w:rFonts w:cs="Times New Roman"/>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pPr>
      <w:rPr>
        <w:rFonts w:cs="Times New Roman"/>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FD3D2"/>
      </w:tcPr>
    </w:tblStylePr>
    <w:tblStylePr w:type="band1Horz">
      <w:rPr>
        <w:rFonts w:cs="Times New Roman"/>
      </w:rPr>
      <w:tblPr/>
      <w:tcPr>
        <w:tcBorders>
          <w:insideH w:val="nil"/>
          <w:insideV w:val="nil"/>
        </w:tcBorders>
        <w:shd w:val="clear" w:color="auto" w:fill="EFD3D2"/>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rsid w:val="00677FEF"/>
    <w:rPr>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rsid w:val="00677FEF"/>
    <w:rPr>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rsid w:val="00677FEF"/>
    <w:rPr>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pPr>
      <w:rPr>
        <w:rFonts w:cs="Times New Roman"/>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pPr>
      <w:rPr>
        <w:rFonts w:cs="Times New Roman"/>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2EAF1"/>
      </w:tcPr>
    </w:tblStylePr>
    <w:tblStylePr w:type="band1Horz">
      <w:rPr>
        <w:rFonts w:cs="Times New Roman"/>
      </w:rPr>
      <w:tblPr/>
      <w:tcPr>
        <w:tcBorders>
          <w:insideH w:val="nil"/>
          <w:insideV w:val="nil"/>
        </w:tcBorders>
        <w:shd w:val="clear" w:color="auto" w:fill="D2EAF1"/>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rsid w:val="00677FEF"/>
    <w:rPr>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pPr>
      <w:rPr>
        <w:rFonts w:cs="Times New Roman"/>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rFonts w:cs="Times New Roman"/>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4D0"/>
      </w:tcPr>
    </w:tblStylePr>
    <w:tblStylePr w:type="band1Horz">
      <w:rPr>
        <w:rFonts w:cs="Times New Roman"/>
      </w:rPr>
      <w:tblPr/>
      <w:tcPr>
        <w:tcBorders>
          <w:insideH w:val="nil"/>
          <w:insideV w:val="nil"/>
        </w:tcBorders>
        <w:shd w:val="clear" w:color="auto" w:fill="FDE4D0"/>
      </w:tcPr>
    </w:tblStylePr>
    <w:tblStylePr w:type="band2Horz">
      <w:rPr>
        <w:rFonts w:cs="Times New Roman"/>
      </w:rPr>
      <w:tblPr/>
      <w:tcPr>
        <w:tcBorders>
          <w:insideH w:val="nil"/>
          <w:insideV w:val="nil"/>
        </w:tcBorders>
      </w:tcPr>
    </w:tblStylePr>
  </w:style>
  <w:style w:type="table" w:customStyle="1" w:styleId="Sfondomedio21">
    <w:name w:val="Sfondo medio 21"/>
    <w:uiPriority w:val="99"/>
    <w:rsid w:val="00677FEF"/>
    <w:rPr>
      <w:sz w:val="20"/>
      <w:szCs w:val="20"/>
      <w:lang w:val="it-IT" w:eastAsia="it-IT"/>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FFFFFF"/>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Sfondomedio2-Colore11">
    <w:name w:val="Sfondo medio 2 - Colore 11"/>
    <w:uiPriority w:val="99"/>
    <w:rsid w:val="00677FEF"/>
    <w:rPr>
      <w:sz w:val="20"/>
      <w:szCs w:val="20"/>
      <w:lang w:val="it-IT" w:eastAsia="it-IT"/>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677FEF"/>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C0504D"/>
      </w:tcPr>
    </w:tblStylePr>
    <w:tblStylePr w:type="lastCol">
      <w:rPr>
        <w:rFonts w:cs="Times New Roman"/>
        <w:b/>
        <w:bCs/>
        <w:color w:val="FFFFFF"/>
      </w:rPr>
      <w:tblPr/>
      <w:tcPr>
        <w:tcBorders>
          <w:left w:val="nil"/>
          <w:right w:val="nil"/>
          <w:insideH w:val="nil"/>
          <w:insideV w:val="nil"/>
        </w:tcBorders>
        <w:shd w:val="clear" w:color="auto" w:fill="C0504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677FEF"/>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9BBB59"/>
      </w:tcPr>
    </w:tblStylePr>
    <w:tblStylePr w:type="lastCol">
      <w:rPr>
        <w:rFonts w:cs="Times New Roman"/>
        <w:b/>
        <w:bCs/>
        <w:color w:val="FFFFFF"/>
      </w:rPr>
      <w:tblPr/>
      <w:tcPr>
        <w:tcBorders>
          <w:left w:val="nil"/>
          <w:right w:val="nil"/>
          <w:insideH w:val="nil"/>
          <w:insideV w:val="nil"/>
        </w:tcBorders>
        <w:shd w:val="clear" w:color="auto" w:fill="9BBB5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677FEF"/>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8064A2"/>
      </w:tcPr>
    </w:tblStylePr>
    <w:tblStylePr w:type="lastCol">
      <w:rPr>
        <w:rFonts w:cs="Times New Roman"/>
        <w:b/>
        <w:bCs/>
        <w:color w:val="FFFFFF"/>
      </w:rPr>
      <w:tblPr/>
      <w:tcPr>
        <w:tcBorders>
          <w:left w:val="nil"/>
          <w:right w:val="nil"/>
          <w:insideH w:val="nil"/>
          <w:insideV w:val="nil"/>
        </w:tcBorders>
        <w:shd w:val="clear" w:color="auto" w:fill="8064A2"/>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677FEF"/>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FFFFFF"/>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677FEF"/>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79646"/>
      </w:tcPr>
    </w:tblStylePr>
    <w:tblStylePr w:type="lastCol">
      <w:rPr>
        <w:rFonts w:cs="Times New Roman"/>
        <w:b/>
        <w:bCs/>
        <w:color w:val="FFFFFF"/>
      </w:rPr>
      <w:tblPr/>
      <w:tcPr>
        <w:tcBorders>
          <w:left w:val="nil"/>
          <w:right w:val="nil"/>
          <w:insideH w:val="nil"/>
          <w:insideV w:val="nil"/>
        </w:tcBorders>
        <w:shd w:val="clear" w:color="auto" w:fill="F7964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rsid w:val="00677FE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NagwekwiadomociZnak">
    <w:name w:val="Nagłówek wiadomości Znak"/>
    <w:basedOn w:val="Domylnaczcionkaakapitu"/>
    <w:link w:val="Nagwekwiadomoci"/>
    <w:uiPriority w:val="99"/>
    <w:locked/>
    <w:rsid w:val="00677FEF"/>
    <w:rPr>
      <w:rFonts w:ascii="Cambria" w:hAnsi="Cambria"/>
      <w:sz w:val="24"/>
      <w:shd w:val="pct20" w:color="auto" w:fill="auto"/>
      <w:lang w:val="en-GB" w:eastAsia="fr-FR"/>
    </w:rPr>
  </w:style>
  <w:style w:type="paragraph" w:styleId="Bezodstpw">
    <w:name w:val="No Spacing"/>
    <w:uiPriority w:val="99"/>
    <w:qFormat/>
    <w:rsid w:val="00677FEF"/>
    <w:pPr>
      <w:suppressAutoHyphens/>
    </w:pPr>
    <w:rPr>
      <w:sz w:val="24"/>
      <w:szCs w:val="20"/>
      <w:lang w:val="en-GB" w:eastAsia="fr-FR"/>
    </w:rPr>
  </w:style>
  <w:style w:type="paragraph" w:styleId="NormalnyWeb">
    <w:name w:val="Normal (Web)"/>
    <w:basedOn w:val="Normalny"/>
    <w:uiPriority w:val="99"/>
    <w:rsid w:val="00677FEF"/>
    <w:rPr>
      <w:szCs w:val="24"/>
    </w:rPr>
  </w:style>
  <w:style w:type="paragraph" w:styleId="Wcicienormalne">
    <w:name w:val="Normal Indent"/>
    <w:basedOn w:val="Normalny"/>
    <w:uiPriority w:val="99"/>
    <w:rsid w:val="00677FEF"/>
    <w:pPr>
      <w:ind w:left="720"/>
    </w:pPr>
  </w:style>
  <w:style w:type="paragraph" w:styleId="Nagweknotatki">
    <w:name w:val="Note Heading"/>
    <w:basedOn w:val="Normalny"/>
    <w:next w:val="Normalny"/>
    <w:link w:val="NagweknotatkiZnak"/>
    <w:uiPriority w:val="99"/>
    <w:rsid w:val="00677FEF"/>
  </w:style>
  <w:style w:type="character" w:customStyle="1" w:styleId="NagweknotatkiZnak">
    <w:name w:val="Nagłówek notatki Znak"/>
    <w:basedOn w:val="Domylnaczcionkaakapitu"/>
    <w:link w:val="Nagweknotatki"/>
    <w:uiPriority w:val="99"/>
    <w:locked/>
    <w:rsid w:val="00677FEF"/>
    <w:rPr>
      <w:sz w:val="24"/>
      <w:lang w:val="en-GB" w:eastAsia="fr-FR"/>
    </w:rPr>
  </w:style>
  <w:style w:type="character" w:styleId="Tekstzastpczy">
    <w:name w:val="Placeholder Text"/>
    <w:basedOn w:val="Domylnaczcionkaakapitu"/>
    <w:uiPriority w:val="99"/>
    <w:semiHidden/>
    <w:rsid w:val="00677FEF"/>
    <w:rPr>
      <w:color w:val="808080"/>
    </w:rPr>
  </w:style>
  <w:style w:type="paragraph" w:styleId="Zwykytekst">
    <w:name w:val="Plain Text"/>
    <w:basedOn w:val="Normalny"/>
    <w:link w:val="ZwykytekstZnak"/>
    <w:uiPriority w:val="99"/>
    <w:rsid w:val="00677FEF"/>
    <w:rPr>
      <w:rFonts w:ascii="Courier New" w:hAnsi="Courier New"/>
      <w:sz w:val="20"/>
    </w:rPr>
  </w:style>
  <w:style w:type="character" w:customStyle="1" w:styleId="ZwykytekstZnak">
    <w:name w:val="Zwykły tekst Znak"/>
    <w:basedOn w:val="Domylnaczcionkaakapitu"/>
    <w:link w:val="Zwykytekst"/>
    <w:uiPriority w:val="99"/>
    <w:locked/>
    <w:rsid w:val="00677FEF"/>
    <w:rPr>
      <w:rFonts w:ascii="Courier New" w:hAnsi="Courier New"/>
      <w:lang w:val="en-GB" w:eastAsia="fr-FR"/>
    </w:rPr>
  </w:style>
  <w:style w:type="paragraph" w:styleId="Cytat">
    <w:name w:val="Quote"/>
    <w:basedOn w:val="Normalny"/>
    <w:next w:val="Normalny"/>
    <w:link w:val="CytatZnak"/>
    <w:uiPriority w:val="99"/>
    <w:qFormat/>
    <w:rsid w:val="00677FEF"/>
    <w:rPr>
      <w:i/>
      <w:iCs/>
      <w:color w:val="000000"/>
    </w:rPr>
  </w:style>
  <w:style w:type="character" w:customStyle="1" w:styleId="CytatZnak">
    <w:name w:val="Cytat Znak"/>
    <w:basedOn w:val="Domylnaczcionkaakapitu"/>
    <w:link w:val="Cytat"/>
    <w:uiPriority w:val="99"/>
    <w:locked/>
    <w:rsid w:val="00677FEF"/>
    <w:rPr>
      <w:i/>
      <w:color w:val="000000"/>
      <w:sz w:val="24"/>
      <w:lang w:val="en-GB" w:eastAsia="fr-FR"/>
    </w:rPr>
  </w:style>
  <w:style w:type="paragraph" w:styleId="Zwrotgrzecznociowy">
    <w:name w:val="Salutation"/>
    <w:basedOn w:val="Normalny"/>
    <w:next w:val="Normalny"/>
    <w:link w:val="ZwrotgrzecznociowyZnak"/>
    <w:uiPriority w:val="99"/>
    <w:rsid w:val="00677FEF"/>
  </w:style>
  <w:style w:type="character" w:customStyle="1" w:styleId="ZwrotgrzecznociowyZnak">
    <w:name w:val="Zwrot grzecznościowy Znak"/>
    <w:basedOn w:val="Domylnaczcionkaakapitu"/>
    <w:link w:val="Zwrotgrzecznociowy"/>
    <w:uiPriority w:val="99"/>
    <w:locked/>
    <w:rsid w:val="00677FEF"/>
    <w:rPr>
      <w:sz w:val="24"/>
      <w:lang w:val="en-GB" w:eastAsia="fr-FR"/>
    </w:rPr>
  </w:style>
  <w:style w:type="paragraph" w:styleId="Podpis">
    <w:name w:val="Signature"/>
    <w:basedOn w:val="Normalny"/>
    <w:link w:val="PodpisZnak"/>
    <w:uiPriority w:val="99"/>
    <w:rsid w:val="00677FEF"/>
    <w:pPr>
      <w:ind w:left="4252"/>
    </w:pPr>
  </w:style>
  <w:style w:type="character" w:customStyle="1" w:styleId="PodpisZnak">
    <w:name w:val="Podpis Znak"/>
    <w:basedOn w:val="Domylnaczcionkaakapitu"/>
    <w:link w:val="Podpis"/>
    <w:uiPriority w:val="99"/>
    <w:locked/>
    <w:rsid w:val="00677FEF"/>
    <w:rPr>
      <w:sz w:val="24"/>
      <w:lang w:val="en-GB" w:eastAsia="fr-FR"/>
    </w:rPr>
  </w:style>
  <w:style w:type="character" w:styleId="Pogrubienie">
    <w:name w:val="Strong"/>
    <w:basedOn w:val="Domylnaczcionkaakapitu"/>
    <w:uiPriority w:val="99"/>
    <w:qFormat/>
    <w:rsid w:val="00677FEF"/>
    <w:rPr>
      <w:rFonts w:cs="Times New Roman"/>
      <w:b/>
    </w:rPr>
  </w:style>
  <w:style w:type="paragraph" w:styleId="Podtytu">
    <w:name w:val="Subtitle"/>
    <w:basedOn w:val="Normalny"/>
    <w:next w:val="Normalny"/>
    <w:link w:val="PodtytuZnak"/>
    <w:uiPriority w:val="99"/>
    <w:qFormat/>
    <w:rsid w:val="00677FEF"/>
    <w:pPr>
      <w:spacing w:after="60"/>
      <w:jc w:val="center"/>
      <w:outlineLvl w:val="1"/>
    </w:pPr>
    <w:rPr>
      <w:rFonts w:ascii="Cambria" w:hAnsi="Cambria"/>
      <w:szCs w:val="24"/>
    </w:rPr>
  </w:style>
  <w:style w:type="character" w:customStyle="1" w:styleId="PodtytuZnak">
    <w:name w:val="Podtytuł Znak"/>
    <w:basedOn w:val="Domylnaczcionkaakapitu"/>
    <w:link w:val="Podtytu"/>
    <w:uiPriority w:val="99"/>
    <w:locked/>
    <w:rsid w:val="00677FEF"/>
    <w:rPr>
      <w:rFonts w:ascii="Cambria" w:hAnsi="Cambria"/>
      <w:sz w:val="24"/>
      <w:lang w:val="en-GB" w:eastAsia="fr-FR"/>
    </w:rPr>
  </w:style>
  <w:style w:type="character" w:styleId="Wyrnieniedelikatne">
    <w:name w:val="Subtle Emphasis"/>
    <w:basedOn w:val="Domylnaczcionkaakapitu"/>
    <w:uiPriority w:val="99"/>
    <w:qFormat/>
    <w:rsid w:val="00677FEF"/>
    <w:rPr>
      <w:i/>
      <w:color w:val="808080"/>
    </w:rPr>
  </w:style>
  <w:style w:type="character" w:styleId="Odwoaniedelikatne">
    <w:name w:val="Subtle Reference"/>
    <w:basedOn w:val="Domylnaczcionkaakapitu"/>
    <w:uiPriority w:val="99"/>
    <w:qFormat/>
    <w:rsid w:val="00677FEF"/>
    <w:rPr>
      <w:smallCaps/>
      <w:color w:val="C0504D"/>
      <w:u w:val="single"/>
    </w:rPr>
  </w:style>
  <w:style w:type="table" w:styleId="Tabela-Efekty3W1">
    <w:name w:val="Table 3D effects 1"/>
    <w:basedOn w:val="Standardowy"/>
    <w:uiPriority w:val="99"/>
    <w:rsid w:val="00677FEF"/>
    <w:pPr>
      <w:suppressAutoHyphens/>
    </w:pPr>
    <w:rPr>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rsid w:val="00677FEF"/>
    <w:pPr>
      <w:suppressAutoHyphens/>
    </w:pPr>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rsid w:val="00677FEF"/>
    <w:pPr>
      <w:suppressAutoHyphens/>
    </w:pPr>
    <w:rPr>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rsid w:val="00677FEF"/>
    <w:pPr>
      <w:suppressAutoHyphens/>
    </w:pPr>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rsid w:val="00677FEF"/>
    <w:pPr>
      <w:suppressAutoHyphens/>
    </w:pPr>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677FEF"/>
    <w:pPr>
      <w:suppressAutoHyphens/>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677FEF"/>
    <w:pPr>
      <w:suppressAutoHyphens/>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677FEF"/>
    <w:pPr>
      <w:suppressAutoHyphens/>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677FEF"/>
    <w:pPr>
      <w:suppressAutoHyphens/>
    </w:pPr>
    <w:rPr>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677FEF"/>
    <w:pPr>
      <w:suppressAutoHyphens/>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677FEF"/>
    <w:pPr>
      <w:suppressAutoHyphens/>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rsid w:val="00677FEF"/>
    <w:pPr>
      <w:suppressAutoHyphens/>
    </w:pPr>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rsid w:val="00677FEF"/>
    <w:pPr>
      <w:suppressAutoHyphens/>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rsid w:val="00677FEF"/>
    <w:pPr>
      <w:suppressAutoHyphens/>
    </w:pPr>
    <w:rPr>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rsid w:val="00677FEF"/>
    <w:pPr>
      <w:suppressAutoHyphens/>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rsid w:val="00677FEF"/>
    <w:pPr>
      <w:suppressAutoHyphens/>
    </w:pPr>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677FEF"/>
    <w:pPr>
      <w:suppressAutoHyphens/>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77FE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rsid w:val="00677FEF"/>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rsid w:val="00677FEF"/>
    <w:pPr>
      <w:suppressAutoHyphens/>
    </w:pPr>
    <w:rPr>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rsid w:val="00677FEF"/>
    <w:pPr>
      <w:suppressAutoHyphens/>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rsid w:val="00677FEF"/>
    <w:pPr>
      <w:suppressAutoHyphens/>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677FEF"/>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rsid w:val="00677FEF"/>
    <w:pPr>
      <w:suppressAutoHyphens/>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rsid w:val="00677FEF"/>
    <w:pPr>
      <w:suppressAutoHyphens/>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rsid w:val="00677FEF"/>
    <w:pPr>
      <w:suppressAutoHyphens/>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677FEF"/>
    <w:pPr>
      <w:suppressAutoHyphens/>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rsid w:val="00677FEF"/>
    <w:pPr>
      <w:suppressAutoHyphens/>
    </w:pPr>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rsid w:val="00677FEF"/>
    <w:pPr>
      <w:suppressAutoHyphens/>
    </w:pPr>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677FEF"/>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677FEF"/>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rsid w:val="00677FEF"/>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677FEF"/>
    <w:pPr>
      <w:suppressAutoHyphens/>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677FEF"/>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rsid w:val="00677FEF"/>
    <w:pPr>
      <w:ind w:left="240" w:hanging="240"/>
    </w:pPr>
  </w:style>
  <w:style w:type="paragraph" w:styleId="Spisilustracji">
    <w:name w:val="table of figures"/>
    <w:basedOn w:val="Normalny"/>
    <w:next w:val="Normalny"/>
    <w:uiPriority w:val="99"/>
    <w:rsid w:val="00677FEF"/>
  </w:style>
  <w:style w:type="table" w:styleId="Tabela-Profesjonalny">
    <w:name w:val="Table Professional"/>
    <w:basedOn w:val="Standardowy"/>
    <w:uiPriority w:val="99"/>
    <w:rsid w:val="00677FEF"/>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677FEF"/>
    <w:pPr>
      <w:suppressAutoHyphens/>
    </w:pPr>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677FEF"/>
    <w:pPr>
      <w:suppressAutoHyphens/>
    </w:pPr>
    <w:rPr>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677FEF"/>
    <w:pPr>
      <w:suppressAutoHyphens/>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677FEF"/>
    <w:pPr>
      <w:suppressAutoHyphens/>
    </w:pPr>
    <w:rPr>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rsid w:val="00677FEF"/>
    <w:pPr>
      <w:suppressAutoHyphens/>
    </w:pPr>
    <w:rPr>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rsid w:val="00677FEF"/>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677FEF"/>
    <w:pPr>
      <w:suppressAutoHyphens/>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677FEF"/>
    <w:pPr>
      <w:suppressAutoHyphens/>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677FEF"/>
    <w:pPr>
      <w:suppressAutoHyphens/>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ytu">
    <w:name w:val="Title"/>
    <w:basedOn w:val="Normalny"/>
    <w:next w:val="Normalny"/>
    <w:link w:val="TytuZnak"/>
    <w:uiPriority w:val="99"/>
    <w:qFormat/>
    <w:rsid w:val="00677FEF"/>
    <w:pPr>
      <w:spacing w:before="240" w:after="60"/>
      <w:jc w:val="center"/>
      <w:outlineLvl w:val="0"/>
    </w:pPr>
    <w:rPr>
      <w:rFonts w:ascii="Cambria" w:hAnsi="Cambria"/>
      <w:b/>
      <w:bCs/>
      <w:kern w:val="28"/>
      <w:sz w:val="32"/>
      <w:szCs w:val="32"/>
    </w:rPr>
  </w:style>
  <w:style w:type="character" w:customStyle="1" w:styleId="TytuZnak">
    <w:name w:val="Tytuł Znak"/>
    <w:basedOn w:val="Domylnaczcionkaakapitu"/>
    <w:link w:val="Tytu"/>
    <w:uiPriority w:val="99"/>
    <w:locked/>
    <w:rsid w:val="00677FEF"/>
    <w:rPr>
      <w:rFonts w:ascii="Cambria" w:hAnsi="Cambria"/>
      <w:b/>
      <w:kern w:val="28"/>
      <w:sz w:val="32"/>
      <w:lang w:val="en-GB" w:eastAsia="fr-FR"/>
    </w:rPr>
  </w:style>
  <w:style w:type="paragraph" w:styleId="Nagwekwykazurde">
    <w:name w:val="toa heading"/>
    <w:basedOn w:val="Normalny"/>
    <w:next w:val="Normalny"/>
    <w:uiPriority w:val="99"/>
    <w:rsid w:val="00677FEF"/>
    <w:pPr>
      <w:spacing w:before="120"/>
    </w:pPr>
    <w:rPr>
      <w:rFonts w:ascii="Cambria" w:hAnsi="Cambria"/>
      <w:b/>
      <w:bCs/>
      <w:szCs w:val="24"/>
    </w:rPr>
  </w:style>
  <w:style w:type="paragraph" w:styleId="Spistreci1">
    <w:name w:val="toc 1"/>
    <w:basedOn w:val="Normalny"/>
    <w:next w:val="Normalny"/>
    <w:autoRedefine/>
    <w:uiPriority w:val="99"/>
    <w:rsid w:val="00677FEF"/>
  </w:style>
  <w:style w:type="paragraph" w:styleId="Spistreci2">
    <w:name w:val="toc 2"/>
    <w:basedOn w:val="Normalny"/>
    <w:next w:val="Normalny"/>
    <w:autoRedefine/>
    <w:uiPriority w:val="99"/>
    <w:rsid w:val="00677FEF"/>
    <w:pPr>
      <w:ind w:left="240"/>
    </w:pPr>
  </w:style>
  <w:style w:type="paragraph" w:styleId="Spistreci3">
    <w:name w:val="toc 3"/>
    <w:basedOn w:val="Normalny"/>
    <w:next w:val="Normalny"/>
    <w:autoRedefine/>
    <w:uiPriority w:val="99"/>
    <w:rsid w:val="00677FEF"/>
    <w:pPr>
      <w:ind w:left="480"/>
    </w:pPr>
  </w:style>
  <w:style w:type="paragraph" w:styleId="Spistreci4">
    <w:name w:val="toc 4"/>
    <w:basedOn w:val="Normalny"/>
    <w:next w:val="Normalny"/>
    <w:autoRedefine/>
    <w:uiPriority w:val="99"/>
    <w:rsid w:val="00677FEF"/>
    <w:pPr>
      <w:ind w:left="720"/>
    </w:pPr>
  </w:style>
  <w:style w:type="paragraph" w:styleId="Spistreci5">
    <w:name w:val="toc 5"/>
    <w:basedOn w:val="Normalny"/>
    <w:next w:val="Normalny"/>
    <w:autoRedefine/>
    <w:uiPriority w:val="99"/>
    <w:rsid w:val="00677FEF"/>
    <w:pPr>
      <w:ind w:left="960"/>
    </w:pPr>
  </w:style>
  <w:style w:type="paragraph" w:styleId="Spistreci6">
    <w:name w:val="toc 6"/>
    <w:basedOn w:val="Normalny"/>
    <w:next w:val="Normalny"/>
    <w:autoRedefine/>
    <w:uiPriority w:val="99"/>
    <w:rsid w:val="00677FEF"/>
    <w:pPr>
      <w:ind w:left="1200"/>
    </w:pPr>
  </w:style>
  <w:style w:type="paragraph" w:styleId="Spistreci7">
    <w:name w:val="toc 7"/>
    <w:basedOn w:val="Normalny"/>
    <w:next w:val="Normalny"/>
    <w:autoRedefine/>
    <w:uiPriority w:val="99"/>
    <w:rsid w:val="00677FEF"/>
    <w:pPr>
      <w:ind w:left="1440"/>
    </w:pPr>
  </w:style>
  <w:style w:type="paragraph" w:styleId="Spistreci8">
    <w:name w:val="toc 8"/>
    <w:basedOn w:val="Normalny"/>
    <w:next w:val="Normalny"/>
    <w:autoRedefine/>
    <w:uiPriority w:val="99"/>
    <w:rsid w:val="00677FEF"/>
    <w:pPr>
      <w:ind w:left="1680"/>
    </w:pPr>
  </w:style>
  <w:style w:type="paragraph" w:styleId="Spistreci9">
    <w:name w:val="toc 9"/>
    <w:basedOn w:val="Normalny"/>
    <w:next w:val="Normalny"/>
    <w:autoRedefine/>
    <w:uiPriority w:val="99"/>
    <w:rsid w:val="00677FEF"/>
    <w:pPr>
      <w:ind w:left="1920"/>
    </w:pPr>
  </w:style>
  <w:style w:type="paragraph" w:styleId="Nagwekspisutreci">
    <w:name w:val="TOC Heading"/>
    <w:basedOn w:val="Nagwek1"/>
    <w:next w:val="Normalny"/>
    <w:uiPriority w:val="99"/>
    <w:qFormat/>
    <w:rsid w:val="00677FEF"/>
    <w:pPr>
      <w:spacing w:before="240" w:after="60"/>
      <w:jc w:val="left"/>
      <w:outlineLvl w:val="9"/>
    </w:pPr>
    <w:rPr>
      <w:rFonts w:ascii="Cambria" w:hAnsi="Cambria"/>
      <w:bCs/>
      <w:kern w:val="32"/>
      <w:sz w:val="32"/>
      <w:szCs w:val="32"/>
    </w:rPr>
  </w:style>
  <w:style w:type="character" w:customStyle="1" w:styleId="apple-converted-space">
    <w:name w:val="apple-converted-space"/>
    <w:basedOn w:val="Domylnaczcionkaakapitu"/>
    <w:uiPriority w:val="99"/>
    <w:rsid w:val="0069644E"/>
    <w:rPr>
      <w:rFonts w:cs="Times New Roman"/>
    </w:rPr>
  </w:style>
  <w:style w:type="character" w:customStyle="1" w:styleId="st">
    <w:name w:val="st"/>
    <w:basedOn w:val="Domylnaczcionkaakapitu"/>
    <w:uiPriority w:val="99"/>
    <w:rsid w:val="00932710"/>
    <w:rPr>
      <w:rFonts w:cs="Times New Roman"/>
    </w:rPr>
  </w:style>
  <w:style w:type="character" w:customStyle="1" w:styleId="highlight">
    <w:name w:val="highlight"/>
    <w:basedOn w:val="Domylnaczcionkaakapitu"/>
    <w:uiPriority w:val="99"/>
    <w:rsid w:val="005340E5"/>
    <w:rPr>
      <w:rFonts w:cs="Times New Roman"/>
    </w:rPr>
  </w:style>
  <w:style w:type="numbering" w:styleId="111111">
    <w:name w:val="Outline List 2"/>
    <w:basedOn w:val="Bezlisty"/>
    <w:uiPriority w:val="99"/>
    <w:semiHidden/>
    <w:unhideWhenUsed/>
    <w:rsid w:val="0057114B"/>
    <w:pPr>
      <w:numPr>
        <w:numId w:val="16"/>
      </w:numPr>
    </w:pPr>
  </w:style>
  <w:style w:type="numbering" w:styleId="Artykusekcja">
    <w:name w:val="Outline List 3"/>
    <w:basedOn w:val="Bezlisty"/>
    <w:uiPriority w:val="99"/>
    <w:semiHidden/>
    <w:unhideWhenUsed/>
    <w:rsid w:val="0057114B"/>
    <w:pPr>
      <w:numPr>
        <w:numId w:val="18"/>
      </w:numPr>
    </w:pPr>
  </w:style>
  <w:style w:type="numbering" w:styleId="1ai">
    <w:name w:val="Outline List 1"/>
    <w:basedOn w:val="Bezlisty"/>
    <w:uiPriority w:val="99"/>
    <w:semiHidden/>
    <w:unhideWhenUsed/>
    <w:rsid w:val="0057114B"/>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120035">
      <w:bodyDiv w:val="1"/>
      <w:marLeft w:val="0"/>
      <w:marRight w:val="0"/>
      <w:marTop w:val="0"/>
      <w:marBottom w:val="0"/>
      <w:divBdr>
        <w:top w:val="none" w:sz="0" w:space="0" w:color="auto"/>
        <w:left w:val="none" w:sz="0" w:space="0" w:color="auto"/>
        <w:bottom w:val="none" w:sz="0" w:space="0" w:color="auto"/>
        <w:right w:val="none" w:sz="0" w:space="0" w:color="auto"/>
      </w:divBdr>
      <w:divsChild>
        <w:div w:id="1459638687">
          <w:marLeft w:val="0"/>
          <w:marRight w:val="0"/>
          <w:marTop w:val="0"/>
          <w:marBottom w:val="0"/>
          <w:divBdr>
            <w:top w:val="none" w:sz="0" w:space="0" w:color="auto"/>
            <w:left w:val="none" w:sz="0" w:space="0" w:color="auto"/>
            <w:bottom w:val="none" w:sz="0" w:space="0" w:color="auto"/>
            <w:right w:val="none" w:sz="0" w:space="0" w:color="auto"/>
          </w:divBdr>
        </w:div>
        <w:div w:id="1571619809">
          <w:marLeft w:val="0"/>
          <w:marRight w:val="0"/>
          <w:marTop w:val="0"/>
          <w:marBottom w:val="0"/>
          <w:divBdr>
            <w:top w:val="none" w:sz="0" w:space="0" w:color="auto"/>
            <w:left w:val="none" w:sz="0" w:space="0" w:color="auto"/>
            <w:bottom w:val="none" w:sz="0" w:space="0" w:color="auto"/>
            <w:right w:val="none" w:sz="0" w:space="0" w:color="auto"/>
          </w:divBdr>
        </w:div>
        <w:div w:id="1787309569">
          <w:marLeft w:val="0"/>
          <w:marRight w:val="0"/>
          <w:marTop w:val="0"/>
          <w:marBottom w:val="0"/>
          <w:divBdr>
            <w:top w:val="none" w:sz="0" w:space="0" w:color="auto"/>
            <w:left w:val="none" w:sz="0" w:space="0" w:color="auto"/>
            <w:bottom w:val="none" w:sz="0" w:space="0" w:color="auto"/>
            <w:right w:val="none" w:sz="0" w:space="0" w:color="auto"/>
          </w:divBdr>
        </w:div>
        <w:div w:id="39060921">
          <w:marLeft w:val="0"/>
          <w:marRight w:val="0"/>
          <w:marTop w:val="0"/>
          <w:marBottom w:val="0"/>
          <w:divBdr>
            <w:top w:val="none" w:sz="0" w:space="0" w:color="auto"/>
            <w:left w:val="none" w:sz="0" w:space="0" w:color="auto"/>
            <w:bottom w:val="none" w:sz="0" w:space="0" w:color="auto"/>
            <w:right w:val="none" w:sz="0" w:space="0" w:color="auto"/>
          </w:divBdr>
        </w:div>
        <w:div w:id="306664805">
          <w:marLeft w:val="0"/>
          <w:marRight w:val="0"/>
          <w:marTop w:val="0"/>
          <w:marBottom w:val="0"/>
          <w:divBdr>
            <w:top w:val="none" w:sz="0" w:space="0" w:color="auto"/>
            <w:left w:val="none" w:sz="0" w:space="0" w:color="auto"/>
            <w:bottom w:val="none" w:sz="0" w:space="0" w:color="auto"/>
            <w:right w:val="none" w:sz="0" w:space="0" w:color="auto"/>
          </w:divBdr>
        </w:div>
        <w:div w:id="515273366">
          <w:marLeft w:val="0"/>
          <w:marRight w:val="0"/>
          <w:marTop w:val="0"/>
          <w:marBottom w:val="0"/>
          <w:divBdr>
            <w:top w:val="none" w:sz="0" w:space="0" w:color="auto"/>
            <w:left w:val="none" w:sz="0" w:space="0" w:color="auto"/>
            <w:bottom w:val="none" w:sz="0" w:space="0" w:color="auto"/>
            <w:right w:val="none" w:sz="0" w:space="0" w:color="auto"/>
          </w:divBdr>
        </w:div>
        <w:div w:id="333387933">
          <w:marLeft w:val="0"/>
          <w:marRight w:val="0"/>
          <w:marTop w:val="0"/>
          <w:marBottom w:val="0"/>
          <w:divBdr>
            <w:top w:val="none" w:sz="0" w:space="0" w:color="auto"/>
            <w:left w:val="none" w:sz="0" w:space="0" w:color="auto"/>
            <w:bottom w:val="none" w:sz="0" w:space="0" w:color="auto"/>
            <w:right w:val="none" w:sz="0" w:space="0" w:color="auto"/>
          </w:divBdr>
        </w:div>
        <w:div w:id="1237320103">
          <w:marLeft w:val="0"/>
          <w:marRight w:val="0"/>
          <w:marTop w:val="0"/>
          <w:marBottom w:val="0"/>
          <w:divBdr>
            <w:top w:val="none" w:sz="0" w:space="0" w:color="auto"/>
            <w:left w:val="none" w:sz="0" w:space="0" w:color="auto"/>
            <w:bottom w:val="none" w:sz="0" w:space="0" w:color="auto"/>
            <w:right w:val="none" w:sz="0" w:space="0" w:color="auto"/>
          </w:divBdr>
        </w:div>
        <w:div w:id="1866747193">
          <w:marLeft w:val="0"/>
          <w:marRight w:val="0"/>
          <w:marTop w:val="0"/>
          <w:marBottom w:val="0"/>
          <w:divBdr>
            <w:top w:val="none" w:sz="0" w:space="0" w:color="auto"/>
            <w:left w:val="none" w:sz="0" w:space="0" w:color="auto"/>
            <w:bottom w:val="none" w:sz="0" w:space="0" w:color="auto"/>
            <w:right w:val="none" w:sz="0" w:space="0" w:color="auto"/>
          </w:divBdr>
        </w:div>
        <w:div w:id="795753462">
          <w:marLeft w:val="0"/>
          <w:marRight w:val="0"/>
          <w:marTop w:val="0"/>
          <w:marBottom w:val="0"/>
          <w:divBdr>
            <w:top w:val="none" w:sz="0" w:space="0" w:color="auto"/>
            <w:left w:val="none" w:sz="0" w:space="0" w:color="auto"/>
            <w:bottom w:val="none" w:sz="0" w:space="0" w:color="auto"/>
            <w:right w:val="none" w:sz="0" w:space="0" w:color="auto"/>
          </w:divBdr>
        </w:div>
        <w:div w:id="1417944145">
          <w:marLeft w:val="0"/>
          <w:marRight w:val="0"/>
          <w:marTop w:val="0"/>
          <w:marBottom w:val="0"/>
          <w:divBdr>
            <w:top w:val="none" w:sz="0" w:space="0" w:color="auto"/>
            <w:left w:val="none" w:sz="0" w:space="0" w:color="auto"/>
            <w:bottom w:val="none" w:sz="0" w:space="0" w:color="auto"/>
            <w:right w:val="none" w:sz="0" w:space="0" w:color="auto"/>
          </w:divBdr>
        </w:div>
        <w:div w:id="1339502212">
          <w:marLeft w:val="0"/>
          <w:marRight w:val="0"/>
          <w:marTop w:val="0"/>
          <w:marBottom w:val="0"/>
          <w:divBdr>
            <w:top w:val="none" w:sz="0" w:space="0" w:color="auto"/>
            <w:left w:val="none" w:sz="0" w:space="0" w:color="auto"/>
            <w:bottom w:val="none" w:sz="0" w:space="0" w:color="auto"/>
            <w:right w:val="none" w:sz="0" w:space="0" w:color="auto"/>
          </w:divBdr>
        </w:div>
        <w:div w:id="489714890">
          <w:marLeft w:val="0"/>
          <w:marRight w:val="0"/>
          <w:marTop w:val="0"/>
          <w:marBottom w:val="0"/>
          <w:divBdr>
            <w:top w:val="none" w:sz="0" w:space="0" w:color="auto"/>
            <w:left w:val="none" w:sz="0" w:space="0" w:color="auto"/>
            <w:bottom w:val="none" w:sz="0" w:space="0" w:color="auto"/>
            <w:right w:val="none" w:sz="0" w:space="0" w:color="auto"/>
          </w:divBdr>
        </w:div>
        <w:div w:id="179635528">
          <w:marLeft w:val="0"/>
          <w:marRight w:val="0"/>
          <w:marTop w:val="0"/>
          <w:marBottom w:val="0"/>
          <w:divBdr>
            <w:top w:val="none" w:sz="0" w:space="0" w:color="auto"/>
            <w:left w:val="none" w:sz="0" w:space="0" w:color="auto"/>
            <w:bottom w:val="none" w:sz="0" w:space="0" w:color="auto"/>
            <w:right w:val="none" w:sz="0" w:space="0" w:color="auto"/>
          </w:divBdr>
        </w:div>
        <w:div w:id="326203232">
          <w:marLeft w:val="0"/>
          <w:marRight w:val="0"/>
          <w:marTop w:val="0"/>
          <w:marBottom w:val="0"/>
          <w:divBdr>
            <w:top w:val="none" w:sz="0" w:space="0" w:color="auto"/>
            <w:left w:val="none" w:sz="0" w:space="0" w:color="auto"/>
            <w:bottom w:val="none" w:sz="0" w:space="0" w:color="auto"/>
            <w:right w:val="none" w:sz="0" w:space="0" w:color="auto"/>
          </w:divBdr>
        </w:div>
        <w:div w:id="996152669">
          <w:marLeft w:val="0"/>
          <w:marRight w:val="0"/>
          <w:marTop w:val="0"/>
          <w:marBottom w:val="0"/>
          <w:divBdr>
            <w:top w:val="none" w:sz="0" w:space="0" w:color="auto"/>
            <w:left w:val="none" w:sz="0" w:space="0" w:color="auto"/>
            <w:bottom w:val="none" w:sz="0" w:space="0" w:color="auto"/>
            <w:right w:val="none" w:sz="0" w:space="0" w:color="auto"/>
          </w:divBdr>
        </w:div>
        <w:div w:id="555314652">
          <w:marLeft w:val="0"/>
          <w:marRight w:val="0"/>
          <w:marTop w:val="0"/>
          <w:marBottom w:val="0"/>
          <w:divBdr>
            <w:top w:val="none" w:sz="0" w:space="0" w:color="auto"/>
            <w:left w:val="none" w:sz="0" w:space="0" w:color="auto"/>
            <w:bottom w:val="none" w:sz="0" w:space="0" w:color="auto"/>
            <w:right w:val="none" w:sz="0" w:space="0" w:color="auto"/>
          </w:divBdr>
        </w:div>
        <w:div w:id="722600493">
          <w:marLeft w:val="0"/>
          <w:marRight w:val="0"/>
          <w:marTop w:val="0"/>
          <w:marBottom w:val="0"/>
          <w:divBdr>
            <w:top w:val="none" w:sz="0" w:space="0" w:color="auto"/>
            <w:left w:val="none" w:sz="0" w:space="0" w:color="auto"/>
            <w:bottom w:val="none" w:sz="0" w:space="0" w:color="auto"/>
            <w:right w:val="none" w:sz="0" w:space="0" w:color="auto"/>
          </w:divBdr>
        </w:div>
        <w:div w:id="146289255">
          <w:marLeft w:val="0"/>
          <w:marRight w:val="0"/>
          <w:marTop w:val="0"/>
          <w:marBottom w:val="0"/>
          <w:divBdr>
            <w:top w:val="none" w:sz="0" w:space="0" w:color="auto"/>
            <w:left w:val="none" w:sz="0" w:space="0" w:color="auto"/>
            <w:bottom w:val="none" w:sz="0" w:space="0" w:color="auto"/>
            <w:right w:val="none" w:sz="0" w:space="0" w:color="auto"/>
          </w:divBdr>
        </w:div>
        <w:div w:id="1090350648">
          <w:marLeft w:val="0"/>
          <w:marRight w:val="0"/>
          <w:marTop w:val="0"/>
          <w:marBottom w:val="0"/>
          <w:divBdr>
            <w:top w:val="none" w:sz="0" w:space="0" w:color="auto"/>
            <w:left w:val="none" w:sz="0" w:space="0" w:color="auto"/>
            <w:bottom w:val="none" w:sz="0" w:space="0" w:color="auto"/>
            <w:right w:val="none" w:sz="0" w:space="0" w:color="auto"/>
          </w:divBdr>
        </w:div>
        <w:div w:id="2022468141">
          <w:marLeft w:val="0"/>
          <w:marRight w:val="0"/>
          <w:marTop w:val="0"/>
          <w:marBottom w:val="0"/>
          <w:divBdr>
            <w:top w:val="none" w:sz="0" w:space="0" w:color="auto"/>
            <w:left w:val="none" w:sz="0" w:space="0" w:color="auto"/>
            <w:bottom w:val="none" w:sz="0" w:space="0" w:color="auto"/>
            <w:right w:val="none" w:sz="0" w:space="0" w:color="auto"/>
          </w:divBdr>
        </w:div>
        <w:div w:id="1467892554">
          <w:marLeft w:val="0"/>
          <w:marRight w:val="0"/>
          <w:marTop w:val="0"/>
          <w:marBottom w:val="0"/>
          <w:divBdr>
            <w:top w:val="none" w:sz="0" w:space="0" w:color="auto"/>
            <w:left w:val="none" w:sz="0" w:space="0" w:color="auto"/>
            <w:bottom w:val="none" w:sz="0" w:space="0" w:color="auto"/>
            <w:right w:val="none" w:sz="0" w:space="0" w:color="auto"/>
          </w:divBdr>
        </w:div>
      </w:divsChild>
    </w:div>
    <w:div w:id="1894727624">
      <w:marLeft w:val="0"/>
      <w:marRight w:val="0"/>
      <w:marTop w:val="0"/>
      <w:marBottom w:val="0"/>
      <w:divBdr>
        <w:top w:val="none" w:sz="0" w:space="0" w:color="auto"/>
        <w:left w:val="none" w:sz="0" w:space="0" w:color="auto"/>
        <w:bottom w:val="none" w:sz="0" w:space="0" w:color="auto"/>
        <w:right w:val="none" w:sz="0" w:space="0" w:color="auto"/>
      </w:divBdr>
      <w:divsChild>
        <w:div w:id="1894727617">
          <w:marLeft w:val="0"/>
          <w:marRight w:val="0"/>
          <w:marTop w:val="0"/>
          <w:marBottom w:val="0"/>
          <w:divBdr>
            <w:top w:val="none" w:sz="0" w:space="0" w:color="auto"/>
            <w:left w:val="none" w:sz="0" w:space="0" w:color="auto"/>
            <w:bottom w:val="none" w:sz="0" w:space="0" w:color="auto"/>
            <w:right w:val="none" w:sz="0" w:space="0" w:color="auto"/>
          </w:divBdr>
        </w:div>
        <w:div w:id="1894727628">
          <w:marLeft w:val="0"/>
          <w:marRight w:val="0"/>
          <w:marTop w:val="0"/>
          <w:marBottom w:val="0"/>
          <w:divBdr>
            <w:top w:val="none" w:sz="0" w:space="0" w:color="auto"/>
            <w:left w:val="none" w:sz="0" w:space="0" w:color="auto"/>
            <w:bottom w:val="none" w:sz="0" w:space="0" w:color="auto"/>
            <w:right w:val="none" w:sz="0" w:space="0" w:color="auto"/>
          </w:divBdr>
        </w:div>
      </w:divsChild>
    </w:div>
    <w:div w:id="1894727631">
      <w:marLeft w:val="0"/>
      <w:marRight w:val="0"/>
      <w:marTop w:val="0"/>
      <w:marBottom w:val="0"/>
      <w:divBdr>
        <w:top w:val="none" w:sz="0" w:space="0" w:color="auto"/>
        <w:left w:val="none" w:sz="0" w:space="0" w:color="auto"/>
        <w:bottom w:val="none" w:sz="0" w:space="0" w:color="auto"/>
        <w:right w:val="none" w:sz="0" w:space="0" w:color="auto"/>
      </w:divBdr>
      <w:divsChild>
        <w:div w:id="1894727623">
          <w:marLeft w:val="0"/>
          <w:marRight w:val="0"/>
          <w:marTop w:val="0"/>
          <w:marBottom w:val="0"/>
          <w:divBdr>
            <w:top w:val="none" w:sz="0" w:space="0" w:color="auto"/>
            <w:left w:val="none" w:sz="0" w:space="0" w:color="auto"/>
            <w:bottom w:val="none" w:sz="0" w:space="0" w:color="auto"/>
            <w:right w:val="none" w:sz="0" w:space="0" w:color="auto"/>
          </w:divBdr>
        </w:div>
        <w:div w:id="1894727630">
          <w:marLeft w:val="0"/>
          <w:marRight w:val="0"/>
          <w:marTop w:val="0"/>
          <w:marBottom w:val="0"/>
          <w:divBdr>
            <w:top w:val="none" w:sz="0" w:space="0" w:color="auto"/>
            <w:left w:val="none" w:sz="0" w:space="0" w:color="auto"/>
            <w:bottom w:val="none" w:sz="0" w:space="0" w:color="auto"/>
            <w:right w:val="none" w:sz="0" w:space="0" w:color="auto"/>
          </w:divBdr>
        </w:div>
        <w:div w:id="1894727647">
          <w:marLeft w:val="0"/>
          <w:marRight w:val="0"/>
          <w:marTop w:val="0"/>
          <w:marBottom w:val="0"/>
          <w:divBdr>
            <w:top w:val="none" w:sz="0" w:space="0" w:color="auto"/>
            <w:left w:val="none" w:sz="0" w:space="0" w:color="auto"/>
            <w:bottom w:val="none" w:sz="0" w:space="0" w:color="auto"/>
            <w:right w:val="none" w:sz="0" w:space="0" w:color="auto"/>
          </w:divBdr>
        </w:div>
      </w:divsChild>
    </w:div>
    <w:div w:id="1894727633">
      <w:marLeft w:val="0"/>
      <w:marRight w:val="0"/>
      <w:marTop w:val="0"/>
      <w:marBottom w:val="0"/>
      <w:divBdr>
        <w:top w:val="none" w:sz="0" w:space="0" w:color="auto"/>
        <w:left w:val="none" w:sz="0" w:space="0" w:color="auto"/>
        <w:bottom w:val="none" w:sz="0" w:space="0" w:color="auto"/>
        <w:right w:val="none" w:sz="0" w:space="0" w:color="auto"/>
      </w:divBdr>
      <w:divsChild>
        <w:div w:id="1894727616">
          <w:marLeft w:val="0"/>
          <w:marRight w:val="0"/>
          <w:marTop w:val="0"/>
          <w:marBottom w:val="0"/>
          <w:divBdr>
            <w:top w:val="none" w:sz="0" w:space="0" w:color="auto"/>
            <w:left w:val="none" w:sz="0" w:space="0" w:color="auto"/>
            <w:bottom w:val="none" w:sz="0" w:space="0" w:color="auto"/>
            <w:right w:val="none" w:sz="0" w:space="0" w:color="auto"/>
          </w:divBdr>
        </w:div>
        <w:div w:id="1894727618">
          <w:marLeft w:val="0"/>
          <w:marRight w:val="0"/>
          <w:marTop w:val="0"/>
          <w:marBottom w:val="0"/>
          <w:divBdr>
            <w:top w:val="none" w:sz="0" w:space="0" w:color="auto"/>
            <w:left w:val="none" w:sz="0" w:space="0" w:color="auto"/>
            <w:bottom w:val="none" w:sz="0" w:space="0" w:color="auto"/>
            <w:right w:val="none" w:sz="0" w:space="0" w:color="auto"/>
          </w:divBdr>
        </w:div>
        <w:div w:id="1894727620">
          <w:marLeft w:val="0"/>
          <w:marRight w:val="0"/>
          <w:marTop w:val="0"/>
          <w:marBottom w:val="0"/>
          <w:divBdr>
            <w:top w:val="none" w:sz="0" w:space="0" w:color="auto"/>
            <w:left w:val="none" w:sz="0" w:space="0" w:color="auto"/>
            <w:bottom w:val="none" w:sz="0" w:space="0" w:color="auto"/>
            <w:right w:val="none" w:sz="0" w:space="0" w:color="auto"/>
          </w:divBdr>
        </w:div>
        <w:div w:id="1894727621">
          <w:marLeft w:val="0"/>
          <w:marRight w:val="0"/>
          <w:marTop w:val="0"/>
          <w:marBottom w:val="0"/>
          <w:divBdr>
            <w:top w:val="none" w:sz="0" w:space="0" w:color="auto"/>
            <w:left w:val="none" w:sz="0" w:space="0" w:color="auto"/>
            <w:bottom w:val="none" w:sz="0" w:space="0" w:color="auto"/>
            <w:right w:val="none" w:sz="0" w:space="0" w:color="auto"/>
          </w:divBdr>
        </w:div>
        <w:div w:id="1894727622">
          <w:marLeft w:val="0"/>
          <w:marRight w:val="0"/>
          <w:marTop w:val="0"/>
          <w:marBottom w:val="0"/>
          <w:divBdr>
            <w:top w:val="none" w:sz="0" w:space="0" w:color="auto"/>
            <w:left w:val="none" w:sz="0" w:space="0" w:color="auto"/>
            <w:bottom w:val="none" w:sz="0" w:space="0" w:color="auto"/>
            <w:right w:val="none" w:sz="0" w:space="0" w:color="auto"/>
          </w:divBdr>
        </w:div>
        <w:div w:id="1894727634">
          <w:marLeft w:val="0"/>
          <w:marRight w:val="0"/>
          <w:marTop w:val="0"/>
          <w:marBottom w:val="0"/>
          <w:divBdr>
            <w:top w:val="none" w:sz="0" w:space="0" w:color="auto"/>
            <w:left w:val="none" w:sz="0" w:space="0" w:color="auto"/>
            <w:bottom w:val="none" w:sz="0" w:space="0" w:color="auto"/>
            <w:right w:val="none" w:sz="0" w:space="0" w:color="auto"/>
          </w:divBdr>
        </w:div>
        <w:div w:id="1894727636">
          <w:marLeft w:val="0"/>
          <w:marRight w:val="0"/>
          <w:marTop w:val="0"/>
          <w:marBottom w:val="0"/>
          <w:divBdr>
            <w:top w:val="none" w:sz="0" w:space="0" w:color="auto"/>
            <w:left w:val="none" w:sz="0" w:space="0" w:color="auto"/>
            <w:bottom w:val="none" w:sz="0" w:space="0" w:color="auto"/>
            <w:right w:val="none" w:sz="0" w:space="0" w:color="auto"/>
          </w:divBdr>
        </w:div>
        <w:div w:id="1894727638">
          <w:marLeft w:val="0"/>
          <w:marRight w:val="0"/>
          <w:marTop w:val="0"/>
          <w:marBottom w:val="0"/>
          <w:divBdr>
            <w:top w:val="none" w:sz="0" w:space="0" w:color="auto"/>
            <w:left w:val="none" w:sz="0" w:space="0" w:color="auto"/>
            <w:bottom w:val="none" w:sz="0" w:space="0" w:color="auto"/>
            <w:right w:val="none" w:sz="0" w:space="0" w:color="auto"/>
          </w:divBdr>
        </w:div>
        <w:div w:id="1894727639">
          <w:marLeft w:val="0"/>
          <w:marRight w:val="0"/>
          <w:marTop w:val="0"/>
          <w:marBottom w:val="0"/>
          <w:divBdr>
            <w:top w:val="none" w:sz="0" w:space="0" w:color="auto"/>
            <w:left w:val="none" w:sz="0" w:space="0" w:color="auto"/>
            <w:bottom w:val="none" w:sz="0" w:space="0" w:color="auto"/>
            <w:right w:val="none" w:sz="0" w:space="0" w:color="auto"/>
          </w:divBdr>
        </w:div>
        <w:div w:id="1894727640">
          <w:marLeft w:val="0"/>
          <w:marRight w:val="0"/>
          <w:marTop w:val="0"/>
          <w:marBottom w:val="0"/>
          <w:divBdr>
            <w:top w:val="none" w:sz="0" w:space="0" w:color="auto"/>
            <w:left w:val="none" w:sz="0" w:space="0" w:color="auto"/>
            <w:bottom w:val="none" w:sz="0" w:space="0" w:color="auto"/>
            <w:right w:val="none" w:sz="0" w:space="0" w:color="auto"/>
          </w:divBdr>
        </w:div>
        <w:div w:id="1894727644">
          <w:marLeft w:val="0"/>
          <w:marRight w:val="0"/>
          <w:marTop w:val="0"/>
          <w:marBottom w:val="0"/>
          <w:divBdr>
            <w:top w:val="none" w:sz="0" w:space="0" w:color="auto"/>
            <w:left w:val="none" w:sz="0" w:space="0" w:color="auto"/>
            <w:bottom w:val="none" w:sz="0" w:space="0" w:color="auto"/>
            <w:right w:val="none" w:sz="0" w:space="0" w:color="auto"/>
          </w:divBdr>
        </w:div>
        <w:div w:id="1894727645">
          <w:marLeft w:val="0"/>
          <w:marRight w:val="0"/>
          <w:marTop w:val="0"/>
          <w:marBottom w:val="0"/>
          <w:divBdr>
            <w:top w:val="none" w:sz="0" w:space="0" w:color="auto"/>
            <w:left w:val="none" w:sz="0" w:space="0" w:color="auto"/>
            <w:bottom w:val="none" w:sz="0" w:space="0" w:color="auto"/>
            <w:right w:val="none" w:sz="0" w:space="0" w:color="auto"/>
          </w:divBdr>
        </w:div>
      </w:divsChild>
    </w:div>
    <w:div w:id="1894727635">
      <w:marLeft w:val="0"/>
      <w:marRight w:val="0"/>
      <w:marTop w:val="0"/>
      <w:marBottom w:val="0"/>
      <w:divBdr>
        <w:top w:val="none" w:sz="0" w:space="0" w:color="auto"/>
        <w:left w:val="none" w:sz="0" w:space="0" w:color="auto"/>
        <w:bottom w:val="none" w:sz="0" w:space="0" w:color="auto"/>
        <w:right w:val="none" w:sz="0" w:space="0" w:color="auto"/>
      </w:divBdr>
      <w:divsChild>
        <w:div w:id="1894727625">
          <w:marLeft w:val="0"/>
          <w:marRight w:val="0"/>
          <w:marTop w:val="0"/>
          <w:marBottom w:val="0"/>
          <w:divBdr>
            <w:top w:val="none" w:sz="0" w:space="0" w:color="auto"/>
            <w:left w:val="none" w:sz="0" w:space="0" w:color="auto"/>
            <w:bottom w:val="none" w:sz="0" w:space="0" w:color="auto"/>
            <w:right w:val="none" w:sz="0" w:space="0" w:color="auto"/>
          </w:divBdr>
        </w:div>
        <w:div w:id="1894727626">
          <w:marLeft w:val="0"/>
          <w:marRight w:val="0"/>
          <w:marTop w:val="0"/>
          <w:marBottom w:val="0"/>
          <w:divBdr>
            <w:top w:val="none" w:sz="0" w:space="0" w:color="auto"/>
            <w:left w:val="none" w:sz="0" w:space="0" w:color="auto"/>
            <w:bottom w:val="none" w:sz="0" w:space="0" w:color="auto"/>
            <w:right w:val="none" w:sz="0" w:space="0" w:color="auto"/>
          </w:divBdr>
        </w:div>
        <w:div w:id="1894727629">
          <w:marLeft w:val="0"/>
          <w:marRight w:val="0"/>
          <w:marTop w:val="0"/>
          <w:marBottom w:val="0"/>
          <w:divBdr>
            <w:top w:val="none" w:sz="0" w:space="0" w:color="auto"/>
            <w:left w:val="none" w:sz="0" w:space="0" w:color="auto"/>
            <w:bottom w:val="none" w:sz="0" w:space="0" w:color="auto"/>
            <w:right w:val="none" w:sz="0" w:space="0" w:color="auto"/>
          </w:divBdr>
        </w:div>
        <w:div w:id="1894727641">
          <w:marLeft w:val="0"/>
          <w:marRight w:val="0"/>
          <w:marTop w:val="0"/>
          <w:marBottom w:val="0"/>
          <w:divBdr>
            <w:top w:val="none" w:sz="0" w:space="0" w:color="auto"/>
            <w:left w:val="none" w:sz="0" w:space="0" w:color="auto"/>
            <w:bottom w:val="none" w:sz="0" w:space="0" w:color="auto"/>
            <w:right w:val="none" w:sz="0" w:space="0" w:color="auto"/>
          </w:divBdr>
        </w:div>
        <w:div w:id="1894727646">
          <w:marLeft w:val="0"/>
          <w:marRight w:val="0"/>
          <w:marTop w:val="0"/>
          <w:marBottom w:val="0"/>
          <w:divBdr>
            <w:top w:val="none" w:sz="0" w:space="0" w:color="auto"/>
            <w:left w:val="none" w:sz="0" w:space="0" w:color="auto"/>
            <w:bottom w:val="none" w:sz="0" w:space="0" w:color="auto"/>
            <w:right w:val="none" w:sz="0" w:space="0" w:color="auto"/>
          </w:divBdr>
        </w:div>
        <w:div w:id="1894727651">
          <w:marLeft w:val="0"/>
          <w:marRight w:val="0"/>
          <w:marTop w:val="0"/>
          <w:marBottom w:val="0"/>
          <w:divBdr>
            <w:top w:val="none" w:sz="0" w:space="0" w:color="auto"/>
            <w:left w:val="none" w:sz="0" w:space="0" w:color="auto"/>
            <w:bottom w:val="none" w:sz="0" w:space="0" w:color="auto"/>
            <w:right w:val="none" w:sz="0" w:space="0" w:color="auto"/>
          </w:divBdr>
        </w:div>
        <w:div w:id="1894727653">
          <w:marLeft w:val="0"/>
          <w:marRight w:val="0"/>
          <w:marTop w:val="0"/>
          <w:marBottom w:val="0"/>
          <w:divBdr>
            <w:top w:val="none" w:sz="0" w:space="0" w:color="auto"/>
            <w:left w:val="none" w:sz="0" w:space="0" w:color="auto"/>
            <w:bottom w:val="none" w:sz="0" w:space="0" w:color="auto"/>
            <w:right w:val="none" w:sz="0" w:space="0" w:color="auto"/>
          </w:divBdr>
        </w:div>
      </w:divsChild>
    </w:div>
    <w:div w:id="1894727642">
      <w:marLeft w:val="0"/>
      <w:marRight w:val="0"/>
      <w:marTop w:val="0"/>
      <w:marBottom w:val="0"/>
      <w:divBdr>
        <w:top w:val="none" w:sz="0" w:space="0" w:color="auto"/>
        <w:left w:val="none" w:sz="0" w:space="0" w:color="auto"/>
        <w:bottom w:val="none" w:sz="0" w:space="0" w:color="auto"/>
        <w:right w:val="none" w:sz="0" w:space="0" w:color="auto"/>
      </w:divBdr>
      <w:divsChild>
        <w:div w:id="1894727619">
          <w:marLeft w:val="0"/>
          <w:marRight w:val="0"/>
          <w:marTop w:val="0"/>
          <w:marBottom w:val="0"/>
          <w:divBdr>
            <w:top w:val="none" w:sz="0" w:space="0" w:color="auto"/>
            <w:left w:val="none" w:sz="0" w:space="0" w:color="auto"/>
            <w:bottom w:val="none" w:sz="0" w:space="0" w:color="auto"/>
            <w:right w:val="none" w:sz="0" w:space="0" w:color="auto"/>
          </w:divBdr>
        </w:div>
        <w:div w:id="1894727627">
          <w:marLeft w:val="0"/>
          <w:marRight w:val="0"/>
          <w:marTop w:val="0"/>
          <w:marBottom w:val="0"/>
          <w:divBdr>
            <w:top w:val="none" w:sz="0" w:space="0" w:color="auto"/>
            <w:left w:val="none" w:sz="0" w:space="0" w:color="auto"/>
            <w:bottom w:val="none" w:sz="0" w:space="0" w:color="auto"/>
            <w:right w:val="none" w:sz="0" w:space="0" w:color="auto"/>
          </w:divBdr>
        </w:div>
        <w:div w:id="1894727632">
          <w:marLeft w:val="0"/>
          <w:marRight w:val="0"/>
          <w:marTop w:val="0"/>
          <w:marBottom w:val="0"/>
          <w:divBdr>
            <w:top w:val="none" w:sz="0" w:space="0" w:color="auto"/>
            <w:left w:val="none" w:sz="0" w:space="0" w:color="auto"/>
            <w:bottom w:val="none" w:sz="0" w:space="0" w:color="auto"/>
            <w:right w:val="none" w:sz="0" w:space="0" w:color="auto"/>
          </w:divBdr>
        </w:div>
        <w:div w:id="1894727637">
          <w:marLeft w:val="0"/>
          <w:marRight w:val="0"/>
          <w:marTop w:val="0"/>
          <w:marBottom w:val="0"/>
          <w:divBdr>
            <w:top w:val="none" w:sz="0" w:space="0" w:color="auto"/>
            <w:left w:val="none" w:sz="0" w:space="0" w:color="auto"/>
            <w:bottom w:val="none" w:sz="0" w:space="0" w:color="auto"/>
            <w:right w:val="none" w:sz="0" w:space="0" w:color="auto"/>
          </w:divBdr>
        </w:div>
        <w:div w:id="1894727648">
          <w:marLeft w:val="0"/>
          <w:marRight w:val="0"/>
          <w:marTop w:val="0"/>
          <w:marBottom w:val="0"/>
          <w:divBdr>
            <w:top w:val="none" w:sz="0" w:space="0" w:color="auto"/>
            <w:left w:val="none" w:sz="0" w:space="0" w:color="auto"/>
            <w:bottom w:val="none" w:sz="0" w:space="0" w:color="auto"/>
            <w:right w:val="none" w:sz="0" w:space="0" w:color="auto"/>
          </w:divBdr>
        </w:div>
        <w:div w:id="1894727650">
          <w:marLeft w:val="0"/>
          <w:marRight w:val="0"/>
          <w:marTop w:val="0"/>
          <w:marBottom w:val="0"/>
          <w:divBdr>
            <w:top w:val="none" w:sz="0" w:space="0" w:color="auto"/>
            <w:left w:val="none" w:sz="0" w:space="0" w:color="auto"/>
            <w:bottom w:val="none" w:sz="0" w:space="0" w:color="auto"/>
            <w:right w:val="none" w:sz="0" w:space="0" w:color="auto"/>
          </w:divBdr>
        </w:div>
        <w:div w:id="1894727652">
          <w:marLeft w:val="0"/>
          <w:marRight w:val="0"/>
          <w:marTop w:val="0"/>
          <w:marBottom w:val="0"/>
          <w:divBdr>
            <w:top w:val="none" w:sz="0" w:space="0" w:color="auto"/>
            <w:left w:val="none" w:sz="0" w:space="0" w:color="auto"/>
            <w:bottom w:val="none" w:sz="0" w:space="0" w:color="auto"/>
            <w:right w:val="none" w:sz="0" w:space="0" w:color="auto"/>
          </w:divBdr>
        </w:div>
        <w:div w:id="1894727654">
          <w:marLeft w:val="0"/>
          <w:marRight w:val="0"/>
          <w:marTop w:val="0"/>
          <w:marBottom w:val="0"/>
          <w:divBdr>
            <w:top w:val="none" w:sz="0" w:space="0" w:color="auto"/>
            <w:left w:val="none" w:sz="0" w:space="0" w:color="auto"/>
            <w:bottom w:val="none" w:sz="0" w:space="0" w:color="auto"/>
            <w:right w:val="none" w:sz="0" w:space="0" w:color="auto"/>
          </w:divBdr>
        </w:div>
      </w:divsChild>
    </w:div>
    <w:div w:id="1894727643">
      <w:marLeft w:val="0"/>
      <w:marRight w:val="0"/>
      <w:marTop w:val="0"/>
      <w:marBottom w:val="0"/>
      <w:divBdr>
        <w:top w:val="none" w:sz="0" w:space="0" w:color="auto"/>
        <w:left w:val="none" w:sz="0" w:space="0" w:color="auto"/>
        <w:bottom w:val="none" w:sz="0" w:space="0" w:color="auto"/>
        <w:right w:val="none" w:sz="0" w:space="0" w:color="auto"/>
      </w:divBdr>
      <w:divsChild>
        <w:div w:id="1894727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EF110-6350-4DDD-939C-8857E1B67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10057</Words>
  <Characters>60344</Characters>
  <Application>Microsoft Office Word</Application>
  <DocSecurity>0</DocSecurity>
  <Lines>502</Lines>
  <Paragraphs>140</Paragraphs>
  <ScaleCrop>false</ScaleCrop>
  <HeadingPairs>
    <vt:vector size="4" baseType="variant">
      <vt:variant>
        <vt:lpstr>Tytuł</vt:lpstr>
      </vt:variant>
      <vt:variant>
        <vt:i4>1</vt:i4>
      </vt:variant>
      <vt:variant>
        <vt:lpstr>Titolo</vt:lpstr>
      </vt:variant>
      <vt:variant>
        <vt:i4>1</vt:i4>
      </vt:variant>
    </vt:vector>
  </HeadingPairs>
  <TitlesOfParts>
    <vt:vector size="2" baseType="lpstr">
      <vt:lpstr>ECHR</vt:lpstr>
      <vt:lpstr>ECHR</vt:lpstr>
    </vt:vector>
  </TitlesOfParts>
  <LinksUpToDate>false</LinksUpToDate>
  <CharactersWithSpaces>70261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2008-11-24T14:24:00Z</cp:lastPrinted>
  <dcterms:created xsi:type="dcterms:W3CDTF">2014-12-09T08:55:00Z</dcterms:created>
  <dcterms:modified xsi:type="dcterms:W3CDTF">2015-02-16T13:57:00Z</dcterms:modified>
  <cp:category>ECHR Template</cp:category>
</cp:coreProperties>
</file>