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59E" w:rsidRDefault="00D2459E" w:rsidP="00D2459E">
      <w:pPr>
        <w:jc w:val="center"/>
        <w:rPr>
          <w:rFonts w:ascii="Times New Roman" w:eastAsia="Times New Roman" w:hAnsi="Times New Roman" w:cs="Times New Roman"/>
          <w:lang w:val="fr-FR"/>
        </w:rPr>
      </w:pPr>
    </w:p>
    <w:p w:rsidR="00FE75CC" w:rsidRDefault="00FE75CC" w:rsidP="00D2459E">
      <w:pPr>
        <w:jc w:val="center"/>
        <w:rPr>
          <w:rFonts w:ascii="Times New Roman" w:eastAsia="Times New Roman" w:hAnsi="Times New Roman" w:cs="Times New Roman"/>
          <w:lang w:val="fr-FR"/>
        </w:rPr>
      </w:pPr>
    </w:p>
    <w:p w:rsidR="00FE75CC" w:rsidRPr="002B31A5" w:rsidRDefault="00FE75CC" w:rsidP="00D2459E">
      <w:pPr>
        <w:jc w:val="center"/>
        <w:rPr>
          <w:rFonts w:ascii="Times New Roman" w:eastAsia="Times New Roman" w:hAnsi="Times New Roman" w:cs="Times New Roman"/>
          <w:lang w:val="fr-FR"/>
        </w:rPr>
      </w:pPr>
    </w:p>
    <w:p w:rsidR="00D2459E" w:rsidRPr="009042C4" w:rsidRDefault="00D2459E" w:rsidP="00D2459E">
      <w:pPr>
        <w:jc w:val="center"/>
        <w:rPr>
          <w:rFonts w:ascii="Times New Roman" w:eastAsia="Times New Roman" w:hAnsi="Times New Roman" w:cs="Times New Roman"/>
          <w:lang w:val="en-GB"/>
        </w:rPr>
      </w:pPr>
      <w:r w:rsidRPr="009042C4">
        <w:rPr>
          <w:rFonts w:ascii="Times New Roman" w:eastAsia="Times New Roman" w:hAnsi="Times New Roman" w:cs="Times New Roman"/>
          <w:lang w:val="en-GB"/>
        </w:rPr>
        <w:t>FOURTH SECTION</w:t>
      </w:r>
    </w:p>
    <w:p w:rsidR="00D2459E" w:rsidRDefault="00D2459E" w:rsidP="00D2459E">
      <w:pPr>
        <w:jc w:val="center"/>
        <w:rPr>
          <w:rFonts w:ascii="Times New Roman" w:eastAsia="Times New Roman" w:hAnsi="Times New Roman" w:cs="Times New Roman"/>
          <w:lang w:val="en-GB"/>
        </w:rPr>
      </w:pPr>
    </w:p>
    <w:p w:rsidR="00FE75CC" w:rsidRDefault="00FE75CC" w:rsidP="00D2459E">
      <w:pPr>
        <w:jc w:val="center"/>
        <w:rPr>
          <w:rFonts w:ascii="Times New Roman" w:eastAsia="Times New Roman" w:hAnsi="Times New Roman" w:cs="Times New Roman"/>
          <w:lang w:val="en-GB"/>
        </w:rPr>
      </w:pPr>
    </w:p>
    <w:p w:rsidR="00FE75CC" w:rsidRDefault="00FE75CC" w:rsidP="00D2459E">
      <w:pPr>
        <w:jc w:val="center"/>
        <w:rPr>
          <w:rFonts w:ascii="Times New Roman" w:eastAsia="Times New Roman" w:hAnsi="Times New Roman" w:cs="Times New Roman"/>
          <w:lang w:val="en-GB"/>
        </w:rPr>
      </w:pPr>
    </w:p>
    <w:p w:rsidR="001B69D6" w:rsidRDefault="001B69D6" w:rsidP="00D2459E">
      <w:pPr>
        <w:jc w:val="center"/>
        <w:rPr>
          <w:rFonts w:ascii="Times New Roman" w:eastAsia="Times New Roman" w:hAnsi="Times New Roman" w:cs="Times New Roman"/>
          <w:lang w:val="en-GB"/>
        </w:rPr>
      </w:pPr>
    </w:p>
    <w:p w:rsidR="00FE75CC" w:rsidRDefault="00FE75CC" w:rsidP="00D2459E">
      <w:pPr>
        <w:jc w:val="center"/>
        <w:rPr>
          <w:rFonts w:ascii="Times New Roman" w:eastAsia="Times New Roman" w:hAnsi="Times New Roman" w:cs="Times New Roman"/>
          <w:lang w:val="en-GB"/>
        </w:rPr>
      </w:pPr>
    </w:p>
    <w:p w:rsidR="00FE75CC" w:rsidRDefault="00FE75CC" w:rsidP="00D2459E">
      <w:pPr>
        <w:jc w:val="center"/>
        <w:rPr>
          <w:rFonts w:ascii="Times New Roman" w:eastAsia="Times New Roman" w:hAnsi="Times New Roman" w:cs="Times New Roman"/>
          <w:lang w:val="en-GB"/>
        </w:rPr>
      </w:pPr>
    </w:p>
    <w:p w:rsidR="00FE75CC" w:rsidRPr="009042C4" w:rsidRDefault="00FE75CC" w:rsidP="00D2459E">
      <w:pPr>
        <w:jc w:val="center"/>
        <w:rPr>
          <w:rFonts w:ascii="Times New Roman" w:eastAsia="Times New Roman" w:hAnsi="Times New Roman" w:cs="Times New Roman"/>
          <w:lang w:val="en-GB"/>
        </w:rPr>
      </w:pPr>
    </w:p>
    <w:p w:rsidR="00D2459E" w:rsidRPr="009042C4" w:rsidRDefault="00D2459E" w:rsidP="00D2459E">
      <w:pPr>
        <w:jc w:val="center"/>
        <w:rPr>
          <w:rFonts w:ascii="Times New Roman" w:eastAsia="Times New Roman" w:hAnsi="Times New Roman" w:cs="Times New Roman"/>
          <w:b/>
          <w:lang w:val="en-GB"/>
        </w:rPr>
      </w:pPr>
      <w:bookmarkStart w:id="0" w:name="To"/>
      <w:r w:rsidRPr="009042C4">
        <w:rPr>
          <w:rFonts w:ascii="Times New Roman" w:eastAsia="Times New Roman" w:hAnsi="Times New Roman" w:cs="Times New Roman"/>
          <w:b/>
          <w:lang w:val="en-GB"/>
        </w:rPr>
        <w:t xml:space="preserve">CASE OF </w:t>
      </w:r>
      <w:bookmarkEnd w:id="0"/>
      <w:r w:rsidRPr="009042C4">
        <w:rPr>
          <w:rFonts w:ascii="Times New Roman" w:eastAsia="Times New Roman" w:hAnsi="Times New Roman" w:cs="Times New Roman"/>
          <w:b/>
          <w:lang w:val="en-GB"/>
        </w:rPr>
        <w:t>BRAUN v. POLAND</w:t>
      </w:r>
    </w:p>
    <w:p w:rsidR="00D2459E" w:rsidRPr="009042C4" w:rsidRDefault="00D2459E" w:rsidP="00D2459E">
      <w:pPr>
        <w:jc w:val="center"/>
        <w:rPr>
          <w:rFonts w:ascii="Times New Roman" w:eastAsia="Times New Roman" w:hAnsi="Times New Roman" w:cs="Times New Roman"/>
          <w:lang w:val="en-GB"/>
        </w:rPr>
      </w:pPr>
    </w:p>
    <w:p w:rsidR="00D2459E" w:rsidRPr="009042C4" w:rsidRDefault="00D2459E" w:rsidP="00D2459E">
      <w:pPr>
        <w:jc w:val="center"/>
        <w:rPr>
          <w:rFonts w:ascii="Times New Roman" w:eastAsia="Times New Roman" w:hAnsi="Times New Roman" w:cs="Times New Roman"/>
          <w:i/>
          <w:lang w:val="en-GB"/>
        </w:rPr>
      </w:pPr>
      <w:r w:rsidRPr="009042C4">
        <w:rPr>
          <w:rFonts w:ascii="Times New Roman" w:eastAsia="Times New Roman" w:hAnsi="Times New Roman" w:cs="Times New Roman"/>
          <w:i/>
          <w:lang w:val="en-GB"/>
        </w:rPr>
        <w:t>(Application no. 30162/10)</w:t>
      </w:r>
    </w:p>
    <w:p w:rsidR="00D2459E" w:rsidRPr="009042C4" w:rsidRDefault="00D2459E" w:rsidP="00D2459E">
      <w:pPr>
        <w:jc w:val="center"/>
        <w:rPr>
          <w:rFonts w:ascii="Times New Roman" w:eastAsia="Times New Roman" w:hAnsi="Times New Roman" w:cs="Times New Roman"/>
          <w:lang w:val="en-GB"/>
        </w:rPr>
      </w:pPr>
    </w:p>
    <w:p w:rsidR="00D2459E" w:rsidRPr="009042C4" w:rsidRDefault="00D2459E" w:rsidP="00D2459E">
      <w:pPr>
        <w:jc w:val="center"/>
        <w:rPr>
          <w:rFonts w:ascii="Times New Roman" w:eastAsia="Times New Roman" w:hAnsi="Times New Roman" w:cs="Times New Roman"/>
          <w:lang w:val="en-GB"/>
        </w:rPr>
      </w:pPr>
    </w:p>
    <w:p w:rsidR="00D2459E" w:rsidRDefault="00D2459E" w:rsidP="00D2459E">
      <w:pPr>
        <w:jc w:val="center"/>
        <w:rPr>
          <w:rFonts w:ascii="Times New Roman" w:eastAsia="Times New Roman" w:hAnsi="Times New Roman" w:cs="Times New Roman"/>
          <w:lang w:val="en-GB"/>
        </w:rPr>
      </w:pPr>
    </w:p>
    <w:p w:rsidR="001B69D6" w:rsidRDefault="001B69D6" w:rsidP="00D2459E">
      <w:pPr>
        <w:jc w:val="center"/>
        <w:rPr>
          <w:rFonts w:ascii="Times New Roman" w:eastAsia="Times New Roman" w:hAnsi="Times New Roman" w:cs="Times New Roman"/>
          <w:lang w:val="en-GB"/>
        </w:rPr>
      </w:pPr>
    </w:p>
    <w:p w:rsidR="001B69D6" w:rsidRPr="009042C4" w:rsidRDefault="001B69D6" w:rsidP="00D2459E">
      <w:pPr>
        <w:jc w:val="center"/>
        <w:rPr>
          <w:rFonts w:ascii="Times New Roman" w:eastAsia="Times New Roman" w:hAnsi="Times New Roman" w:cs="Times New Roman"/>
          <w:lang w:val="en-GB"/>
        </w:rPr>
      </w:pPr>
    </w:p>
    <w:p w:rsidR="00D2459E" w:rsidRPr="009042C4" w:rsidRDefault="00D2459E" w:rsidP="00D2459E">
      <w:pPr>
        <w:jc w:val="center"/>
        <w:rPr>
          <w:rFonts w:ascii="Times New Roman" w:eastAsia="Times New Roman" w:hAnsi="Times New Roman" w:cs="Times New Roman"/>
          <w:lang w:val="en-GB"/>
        </w:rPr>
      </w:pPr>
    </w:p>
    <w:p w:rsidR="00D2459E" w:rsidRPr="009042C4" w:rsidRDefault="00D2459E" w:rsidP="00D2459E">
      <w:pPr>
        <w:jc w:val="center"/>
        <w:rPr>
          <w:rFonts w:ascii="Times New Roman" w:eastAsia="Times New Roman" w:hAnsi="Times New Roman" w:cs="Times New Roman"/>
          <w:lang w:val="en-GB"/>
        </w:rPr>
      </w:pPr>
    </w:p>
    <w:p w:rsidR="00D2459E" w:rsidRPr="009042C4" w:rsidRDefault="00D2459E" w:rsidP="00D2459E">
      <w:pPr>
        <w:jc w:val="center"/>
        <w:rPr>
          <w:rFonts w:ascii="Times New Roman" w:eastAsia="Times New Roman" w:hAnsi="Times New Roman" w:cs="Times New Roman"/>
          <w:lang w:val="en-GB"/>
        </w:rPr>
      </w:pPr>
    </w:p>
    <w:p w:rsidR="00D2459E" w:rsidRPr="00FE75CC" w:rsidRDefault="00FE75CC" w:rsidP="00FE75CC">
      <w:pPr>
        <w:jc w:val="center"/>
        <w:rPr>
          <w:rFonts w:ascii="Times New Roman" w:eastAsia="Times New Roman" w:hAnsi="Times New Roman" w:cs="Times New Roman"/>
          <w:szCs w:val="24"/>
          <w:lang w:val="en-GB"/>
        </w:rPr>
      </w:pPr>
      <w:r>
        <w:rPr>
          <w:rFonts w:ascii="Times New Roman" w:eastAsia="Times New Roman" w:hAnsi="Times New Roman" w:cs="Times New Roman"/>
          <w:szCs w:val="24"/>
          <w:lang w:val="en-GB"/>
        </w:rPr>
        <w:t>JUDGMENT</w:t>
      </w:r>
    </w:p>
    <w:p w:rsidR="00D2459E" w:rsidRPr="009042C4" w:rsidRDefault="00D2459E" w:rsidP="00D2459E">
      <w:pPr>
        <w:rPr>
          <w:rFonts w:ascii="Times New Roman" w:eastAsia="Times New Roman" w:hAnsi="Times New Roman" w:cs="Times New Roman"/>
          <w:lang w:val="en-GB"/>
        </w:rPr>
      </w:pPr>
    </w:p>
    <w:p w:rsidR="00FE75CC" w:rsidRDefault="00FE75CC" w:rsidP="00FE75CC">
      <w:pPr>
        <w:jc w:val="center"/>
        <w:rPr>
          <w:rFonts w:ascii="Times New Roman" w:eastAsia="Times New Roman" w:hAnsi="Times New Roman" w:cs="Times New Roman"/>
          <w:lang w:val="en-GB"/>
        </w:rPr>
      </w:pPr>
    </w:p>
    <w:p w:rsidR="00FE75CC" w:rsidRDefault="00FE75CC" w:rsidP="00FE75CC">
      <w:pPr>
        <w:jc w:val="center"/>
        <w:rPr>
          <w:rFonts w:ascii="Times New Roman" w:eastAsia="Times New Roman" w:hAnsi="Times New Roman" w:cs="Times New Roman"/>
          <w:lang w:val="en-GB"/>
        </w:rPr>
      </w:pPr>
    </w:p>
    <w:p w:rsidR="00FE75CC" w:rsidRDefault="00FE75CC" w:rsidP="00FE75CC">
      <w:pPr>
        <w:jc w:val="center"/>
        <w:rPr>
          <w:rFonts w:ascii="Times New Roman" w:eastAsia="Times New Roman" w:hAnsi="Times New Roman" w:cs="Times New Roman"/>
          <w:lang w:val="en-GB"/>
        </w:rPr>
      </w:pPr>
      <w:r>
        <w:rPr>
          <w:rFonts w:ascii="Times New Roman" w:eastAsia="Times New Roman" w:hAnsi="Times New Roman" w:cs="Times New Roman"/>
          <w:lang w:val="en-GB"/>
        </w:rPr>
        <w:t>STRASBOURG</w:t>
      </w:r>
    </w:p>
    <w:p w:rsidR="00FE75CC" w:rsidRDefault="00FE75CC" w:rsidP="00FE75CC">
      <w:pPr>
        <w:jc w:val="center"/>
        <w:rPr>
          <w:rFonts w:ascii="Times New Roman" w:eastAsia="Times New Roman" w:hAnsi="Times New Roman" w:cs="Times New Roman"/>
          <w:lang w:val="en-GB"/>
        </w:rPr>
      </w:pPr>
    </w:p>
    <w:p w:rsidR="00FE75CC" w:rsidRDefault="00FE75CC" w:rsidP="00FE75CC">
      <w:pPr>
        <w:jc w:val="center"/>
        <w:rPr>
          <w:rFonts w:ascii="Times New Roman" w:eastAsia="Times New Roman" w:hAnsi="Times New Roman" w:cs="Times New Roman"/>
          <w:lang w:val="en-GB"/>
        </w:rPr>
      </w:pPr>
      <w:r>
        <w:rPr>
          <w:rFonts w:ascii="Times New Roman" w:eastAsia="Times New Roman" w:hAnsi="Times New Roman" w:cs="Times New Roman"/>
          <w:lang w:val="en-GB"/>
        </w:rPr>
        <w:t>4 November 2014</w:t>
      </w:r>
    </w:p>
    <w:p w:rsidR="00FE75CC" w:rsidRDefault="00FE75CC" w:rsidP="00FE75CC">
      <w:pPr>
        <w:jc w:val="center"/>
        <w:rPr>
          <w:rFonts w:ascii="Times New Roman" w:eastAsia="Times New Roman" w:hAnsi="Times New Roman" w:cs="Times New Roman"/>
          <w:lang w:val="en-GB"/>
        </w:rPr>
      </w:pPr>
    </w:p>
    <w:p w:rsidR="001D094B" w:rsidRDefault="001D094B" w:rsidP="00FE75CC">
      <w:pPr>
        <w:jc w:val="center"/>
        <w:rPr>
          <w:rFonts w:ascii="Times New Roman" w:eastAsia="Times New Roman" w:hAnsi="Times New Roman" w:cs="Times New Roman"/>
          <w:lang w:val="en-GB"/>
        </w:rPr>
      </w:pPr>
    </w:p>
    <w:p w:rsidR="001D094B" w:rsidRDefault="001D094B" w:rsidP="00FE75CC">
      <w:pPr>
        <w:jc w:val="center"/>
        <w:rPr>
          <w:rFonts w:ascii="Times New Roman" w:eastAsia="Times New Roman" w:hAnsi="Times New Roman" w:cs="Times New Roman"/>
          <w:lang w:val="en-GB"/>
        </w:rPr>
      </w:pPr>
    </w:p>
    <w:p w:rsidR="00FE75CC" w:rsidRDefault="00FE75CC" w:rsidP="00FE75CC">
      <w:pPr>
        <w:jc w:val="center"/>
        <w:rPr>
          <w:rFonts w:ascii="Times New Roman" w:eastAsia="Times New Roman" w:hAnsi="Times New Roman" w:cs="Times New Roman"/>
          <w:lang w:val="en-GB"/>
        </w:rPr>
      </w:pPr>
    </w:p>
    <w:p w:rsidR="00FE75CC" w:rsidRDefault="00FE75CC" w:rsidP="00FE75CC">
      <w:pPr>
        <w:jc w:val="left"/>
        <w:rPr>
          <w:rFonts w:ascii="Times New Roman" w:eastAsia="Times New Roman" w:hAnsi="Times New Roman" w:cs="Times New Roman"/>
          <w:i/>
          <w:sz w:val="22"/>
          <w:lang w:val="en-GB"/>
        </w:rPr>
      </w:pPr>
      <w:r>
        <w:rPr>
          <w:rFonts w:ascii="Times New Roman" w:eastAsia="Times New Roman" w:hAnsi="Times New Roman" w:cs="Times New Roman"/>
          <w:i/>
          <w:sz w:val="22"/>
          <w:lang w:val="en-GB"/>
        </w:rPr>
        <w:t>This judgment will become final in the circumstances set out in Article 44 § 2 of the Convention. It may be subject to editorial revision.</w:t>
      </w:r>
    </w:p>
    <w:p w:rsidR="001B69D6" w:rsidRDefault="001B69D6" w:rsidP="00FE75CC">
      <w:pPr>
        <w:jc w:val="left"/>
        <w:rPr>
          <w:rFonts w:ascii="Times New Roman" w:eastAsia="Times New Roman" w:hAnsi="Times New Roman" w:cs="Times New Roman"/>
          <w:lang w:val="en-GB"/>
        </w:rPr>
      </w:pPr>
    </w:p>
    <w:p w:rsidR="001B69D6" w:rsidRPr="00FE75CC" w:rsidRDefault="001B69D6" w:rsidP="00FE75CC">
      <w:pPr>
        <w:jc w:val="left"/>
        <w:rPr>
          <w:rFonts w:ascii="Times New Roman" w:eastAsia="Times New Roman" w:hAnsi="Times New Roman" w:cs="Times New Roman"/>
          <w:lang w:val="en-GB"/>
        </w:rPr>
        <w:sectPr w:rsidR="001B69D6" w:rsidRPr="00FE75CC" w:rsidSect="00FE75CC">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D2459E" w:rsidRPr="009042C4" w:rsidRDefault="00D2459E" w:rsidP="00D2459E">
      <w:pPr>
        <w:ind w:firstLine="284"/>
        <w:rPr>
          <w:rFonts w:ascii="Times New Roman" w:eastAsia="Times New Roman" w:hAnsi="Times New Roman" w:cs="Times New Roman"/>
          <w:bCs/>
          <w:lang w:val="en-GB"/>
        </w:rPr>
      </w:pPr>
      <w:r w:rsidRPr="009042C4">
        <w:rPr>
          <w:rFonts w:ascii="Times New Roman" w:eastAsia="Times New Roman" w:hAnsi="Times New Roman" w:cs="Times New Roman"/>
          <w:b/>
          <w:lang w:val="en-GB"/>
        </w:rPr>
        <w:t>In the case of Braun v. Poland,</w:t>
      </w:r>
    </w:p>
    <w:p w:rsidR="00D2459E" w:rsidRPr="009042C4" w:rsidRDefault="00D2459E" w:rsidP="00D2459E">
      <w:pPr>
        <w:ind w:firstLine="284"/>
        <w:rPr>
          <w:rFonts w:ascii="Times New Roman" w:eastAsia="Times New Roman" w:hAnsi="Times New Roman" w:cs="Times New Roman"/>
          <w:bCs/>
          <w:szCs w:val="24"/>
          <w:lang w:val="en-GB"/>
        </w:rPr>
      </w:pPr>
      <w:r w:rsidRPr="009042C4">
        <w:rPr>
          <w:rFonts w:ascii="Times New Roman" w:eastAsia="Times New Roman" w:hAnsi="Times New Roman" w:cs="Times New Roman"/>
          <w:bCs/>
          <w:szCs w:val="24"/>
          <w:lang w:val="en-GB"/>
        </w:rPr>
        <w:t>The European Court of Human Rights (Fourth Section), sitting as a Chamber composed of:</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r>
      <w:r w:rsidRPr="00FE75CC">
        <w:rPr>
          <w:lang w:val="en-US"/>
        </w:rPr>
        <w:t>Ineta</w:t>
      </w:r>
      <w:r w:rsidRPr="001D094B">
        <w:rPr>
          <w:lang w:val="en-US"/>
        </w:rPr>
        <w:t xml:space="preserve"> </w:t>
      </w:r>
      <w:r w:rsidRPr="00FE75CC">
        <w:rPr>
          <w:lang w:val="en-US"/>
        </w:rPr>
        <w:t>Ziemele</w:t>
      </w:r>
      <w:r w:rsidRPr="001D094B">
        <w:rPr>
          <w:lang w:val="en-US"/>
        </w:rPr>
        <w:t>,</w:t>
      </w:r>
      <w:r w:rsidRPr="001D094B">
        <w:rPr>
          <w:i/>
          <w:lang w:val="en-US"/>
        </w:rPr>
        <w:t xml:space="preserve"> President,</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t>Päivi Hirvelä,</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t>George Nicolaou,</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t>Nona Tsotsoria,</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t>Zdravka Kalaydjieva,</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t>Krzysztof Wojtyczek,</w:t>
      </w:r>
    </w:p>
    <w:p w:rsidR="00FE75CC" w:rsidRPr="001D094B" w:rsidRDefault="00FE75CC" w:rsidP="00FE75CC">
      <w:pPr>
        <w:pStyle w:val="ECHRDecisionBody"/>
        <w:tabs>
          <w:tab w:val="clear" w:pos="1134"/>
          <w:tab w:val="left" w:pos="2713"/>
          <w:tab w:val="left" w:pos="4860"/>
        </w:tabs>
        <w:rPr>
          <w:i/>
          <w:lang w:val="en-US"/>
        </w:rPr>
      </w:pPr>
      <w:r w:rsidRPr="001D094B">
        <w:rPr>
          <w:lang w:val="en-US"/>
        </w:rPr>
        <w:tab/>
        <w:t>Faris Vehabović,</w:t>
      </w:r>
      <w:r w:rsidRPr="001D094B">
        <w:rPr>
          <w:i/>
          <w:lang w:val="en-US"/>
        </w:rPr>
        <w:t xml:space="preserve"> judges,</w:t>
      </w:r>
    </w:p>
    <w:p w:rsidR="001D094B" w:rsidRPr="001D094B" w:rsidRDefault="001D094B" w:rsidP="001D094B">
      <w:pPr>
        <w:pStyle w:val="ECHRDecisionBody"/>
        <w:rPr>
          <w:bCs/>
          <w:szCs w:val="24"/>
          <w:lang w:val="en-US"/>
        </w:rPr>
      </w:pPr>
      <w:r w:rsidRPr="00136055">
        <w:rPr>
          <w:lang w:val="en-US"/>
        </w:rPr>
        <w:t xml:space="preserve">and </w:t>
      </w:r>
      <w:r w:rsidRPr="001D094B">
        <w:rPr>
          <w:lang w:val="en-US"/>
        </w:rPr>
        <w:t>Fatoş Aracı</w:t>
      </w:r>
      <w:r w:rsidRPr="001D094B">
        <w:rPr>
          <w:rStyle w:val="JuJudgesChar"/>
          <w:lang w:val="en-US"/>
        </w:rPr>
        <w:t xml:space="preserve">, </w:t>
      </w:r>
      <w:r w:rsidRPr="001D094B">
        <w:rPr>
          <w:rStyle w:val="JuJudgesChar"/>
          <w:i/>
          <w:lang w:val="en-US"/>
        </w:rPr>
        <w:t>Deputy</w:t>
      </w:r>
      <w:r w:rsidRPr="001D094B">
        <w:rPr>
          <w:rStyle w:val="JuJudgesChar"/>
          <w:lang w:val="en-US"/>
        </w:rPr>
        <w:t xml:space="preserve"> </w:t>
      </w:r>
      <w:r w:rsidRPr="00136055">
        <w:rPr>
          <w:i/>
          <w:lang w:val="en-US"/>
        </w:rPr>
        <w:t xml:space="preserve">Section </w:t>
      </w:r>
      <w:r w:rsidRPr="00136055">
        <w:rPr>
          <w:i/>
          <w:iCs/>
          <w:lang w:val="en-US"/>
        </w:rPr>
        <w:t>Registrar</w:t>
      </w:r>
      <w:r w:rsidRPr="00136055">
        <w:rPr>
          <w:i/>
          <w:lang w:val="en-US"/>
        </w:rPr>
        <w:t>,</w:t>
      </w:r>
    </w:p>
    <w:p w:rsidR="00D2459E" w:rsidRPr="005C15C7" w:rsidRDefault="00D2459E" w:rsidP="005C15C7">
      <w:pPr>
        <w:pStyle w:val="ECHRPara"/>
        <w:rPr>
          <w:rFonts w:eastAsia="Times New Roman"/>
          <w:lang w:val="en-US"/>
        </w:rPr>
      </w:pPr>
      <w:r w:rsidRPr="005C15C7">
        <w:rPr>
          <w:rFonts w:eastAsia="Times New Roman"/>
          <w:lang w:val="en-US"/>
        </w:rPr>
        <w:t xml:space="preserve">Having deliberated in private on </w:t>
      </w:r>
      <w:r w:rsidR="00FE75CC" w:rsidRPr="00FE75CC">
        <w:rPr>
          <w:rFonts w:eastAsia="Times New Roman"/>
          <w:lang w:val="en-US"/>
        </w:rPr>
        <w:t>7 October 2014</w:t>
      </w:r>
      <w:r w:rsidRPr="005C15C7">
        <w:rPr>
          <w:rFonts w:eastAsia="Times New Roman"/>
          <w:lang w:val="en-US"/>
        </w:rPr>
        <w:t>,</w:t>
      </w:r>
    </w:p>
    <w:p w:rsidR="00D2459E" w:rsidRPr="00A10260" w:rsidRDefault="00D2459E" w:rsidP="00BF7403">
      <w:pPr>
        <w:pStyle w:val="ECHRPara"/>
        <w:rPr>
          <w:rFonts w:eastAsia="Times New Roman"/>
          <w:lang w:val="en-GB"/>
        </w:rPr>
      </w:pPr>
      <w:r w:rsidRPr="00A10260">
        <w:rPr>
          <w:rFonts w:eastAsia="Times New Roman"/>
          <w:lang w:val="en-GB"/>
        </w:rPr>
        <w:t>Delivers the following judgment, which was adopted on that date:</w:t>
      </w:r>
    </w:p>
    <w:p w:rsidR="00D2459E" w:rsidRPr="00A10260" w:rsidRDefault="00D2459E" w:rsidP="00BF7403">
      <w:pPr>
        <w:pStyle w:val="ECHRTitle1"/>
        <w:rPr>
          <w:rFonts w:eastAsia="Times New Roman"/>
          <w:lang w:val="en-GB"/>
        </w:rPr>
      </w:pPr>
      <w:r w:rsidRPr="00A10260">
        <w:rPr>
          <w:rFonts w:eastAsia="Times New Roman"/>
          <w:lang w:val="en-GB"/>
        </w:rPr>
        <w:t>PROCEDURE</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w:t>
      </w:r>
      <w:r w:rsidRPr="009042C4">
        <w:rPr>
          <w:rFonts w:eastAsia="Times New Roman"/>
        </w:rPr>
        <w:fldChar w:fldCharType="end"/>
      </w:r>
      <w:r w:rsidRPr="00A10260">
        <w:rPr>
          <w:rFonts w:eastAsia="Times New Roman"/>
          <w:lang w:val="en-GB"/>
        </w:rPr>
        <w:t>.  The case originated in an application (no. 30162/10) against the Republic of Poland lodged with the Court under Article 34 of the Convention for the Protection of Human Rights and Fundamental Freedoms (“the Convention”) by a Polish national,</w:t>
      </w:r>
      <w:r w:rsidR="00D75211">
        <w:rPr>
          <w:rFonts w:eastAsia="Times New Roman"/>
          <w:lang w:val="en-GB"/>
        </w:rPr>
        <w:t xml:space="preserve"> Mr Grzegorz Michal Braun (“the </w:t>
      </w:r>
      <w:r w:rsidRPr="00A10260">
        <w:rPr>
          <w:rFonts w:eastAsia="Times New Roman"/>
          <w:lang w:val="en-GB"/>
        </w:rPr>
        <w:t>applicant”), on 29 May 2010.</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w:t>
      </w:r>
      <w:r w:rsidRPr="009042C4">
        <w:rPr>
          <w:rFonts w:eastAsia="Times New Roman"/>
        </w:rPr>
        <w:fldChar w:fldCharType="end"/>
      </w:r>
      <w:r w:rsidRPr="00A10260">
        <w:rPr>
          <w:rFonts w:eastAsia="Times New Roman"/>
          <w:lang w:val="en-GB"/>
        </w:rPr>
        <w:t>.  The applicant was represented by Mr S. Hambura, a lawyer practising in Berlin. The Polish Government (“the Government”) were represented by their Agent, Ms J. Chrzanowska, of the Ministry of Foreign Affairs.</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w:t>
      </w:r>
      <w:r w:rsidRPr="009042C4">
        <w:rPr>
          <w:rFonts w:eastAsia="Times New Roman"/>
        </w:rPr>
        <w:fldChar w:fldCharType="end"/>
      </w:r>
      <w:r w:rsidRPr="00A10260">
        <w:rPr>
          <w:rFonts w:eastAsia="Times New Roman"/>
          <w:lang w:val="en-GB"/>
        </w:rPr>
        <w:t>.  The applicant alleged that his right to freedom of expression was breached in violation of Article 10 of the Convention.</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4</w:t>
      </w:r>
      <w:r w:rsidRPr="009042C4">
        <w:rPr>
          <w:rFonts w:eastAsia="Times New Roman"/>
        </w:rPr>
        <w:fldChar w:fldCharType="end"/>
      </w:r>
      <w:r w:rsidRPr="00A10260">
        <w:rPr>
          <w:rFonts w:eastAsia="Times New Roman"/>
          <w:lang w:val="en-GB"/>
        </w:rPr>
        <w:t xml:space="preserve">.  On </w:t>
      </w:r>
      <w:r w:rsidRPr="00A10260">
        <w:rPr>
          <w:rFonts w:eastAsia="Times New Roman"/>
          <w:szCs w:val="24"/>
          <w:lang w:val="en-GB"/>
        </w:rPr>
        <w:t>14 March 2013</w:t>
      </w:r>
      <w:r w:rsidRPr="00A10260">
        <w:rPr>
          <w:rFonts w:eastAsia="Times New Roman"/>
          <w:lang w:val="en-GB"/>
        </w:rPr>
        <w:t xml:space="preserve"> the application was communicated to the Government.</w:t>
      </w:r>
    </w:p>
    <w:p w:rsidR="00D2459E" w:rsidRPr="00A10260" w:rsidRDefault="00D2459E" w:rsidP="00BF7403">
      <w:pPr>
        <w:pStyle w:val="ECHRTitle1"/>
        <w:rPr>
          <w:rFonts w:eastAsia="Times New Roman"/>
          <w:lang w:val="en-GB"/>
        </w:rPr>
      </w:pPr>
      <w:r w:rsidRPr="00A10260">
        <w:rPr>
          <w:rFonts w:eastAsia="Times New Roman"/>
          <w:lang w:val="en-GB"/>
        </w:rPr>
        <w:t>THE FACTS</w:t>
      </w:r>
    </w:p>
    <w:p w:rsidR="00D2459E" w:rsidRPr="00A10260" w:rsidRDefault="00D2459E" w:rsidP="00BF7403">
      <w:pPr>
        <w:pStyle w:val="ECHRHeading1"/>
        <w:rPr>
          <w:rFonts w:eastAsia="Times New Roman"/>
          <w:lang w:val="en-GB"/>
        </w:rPr>
      </w:pPr>
      <w:r w:rsidRPr="00A10260">
        <w:rPr>
          <w:rFonts w:eastAsia="Times New Roman"/>
          <w:lang w:val="en-GB"/>
        </w:rPr>
        <w:t>I.  THE CIRCUMSTANCES OF THE CASE</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w:t>
      </w:r>
      <w:r w:rsidRPr="009042C4">
        <w:rPr>
          <w:rFonts w:eastAsia="Times New Roman"/>
        </w:rPr>
        <w:fldChar w:fldCharType="end"/>
      </w:r>
      <w:r w:rsidRPr="00A10260">
        <w:rPr>
          <w:rFonts w:eastAsia="Times New Roman"/>
          <w:lang w:val="en-GB"/>
        </w:rPr>
        <w:t>.  The applicant was born in 1967 and lives in Wrocław.</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6</w:t>
      </w:r>
      <w:r w:rsidRPr="009042C4">
        <w:rPr>
          <w:rFonts w:eastAsia="Times New Roman"/>
        </w:rPr>
        <w:fldChar w:fldCharType="end"/>
      </w:r>
      <w:r w:rsidRPr="00A10260">
        <w:rPr>
          <w:rFonts w:eastAsia="Times New Roman"/>
          <w:lang w:val="en-GB"/>
        </w:rPr>
        <w:t>.  The facts of the case, as submitted by the parties, may be summarised as follows.</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7</w:t>
      </w:r>
      <w:r w:rsidRPr="009042C4">
        <w:rPr>
          <w:rFonts w:eastAsia="Times New Roman"/>
        </w:rPr>
        <w:fldChar w:fldCharType="end"/>
      </w:r>
      <w:r w:rsidRPr="00A10260">
        <w:rPr>
          <w:rFonts w:eastAsia="Times New Roman"/>
          <w:lang w:val="en-GB"/>
        </w:rPr>
        <w:t>.  The applicant is a film director, historian</w:t>
      </w:r>
      <w:r w:rsidR="003462D1" w:rsidRPr="00A10260">
        <w:rPr>
          <w:rFonts w:eastAsia="Times New Roman"/>
          <w:lang w:val="en-GB"/>
        </w:rPr>
        <w:t>,</w:t>
      </w:r>
      <w:r w:rsidRPr="00A10260">
        <w:rPr>
          <w:rFonts w:eastAsia="Times New Roman"/>
          <w:lang w:val="en-GB"/>
        </w:rPr>
        <w:t xml:space="preserve"> and author of press articles often commenting on current issues. The Government contested that the applicant could be considered a journalist.</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8</w:t>
      </w:r>
      <w:r w:rsidRPr="009042C4">
        <w:rPr>
          <w:rFonts w:eastAsia="Times New Roman"/>
        </w:rPr>
        <w:fldChar w:fldCharType="end"/>
      </w:r>
      <w:r w:rsidRPr="00A10260">
        <w:rPr>
          <w:rFonts w:eastAsia="Times New Roman"/>
          <w:lang w:val="en-GB"/>
        </w:rPr>
        <w:t>.  On 20 April 2007 the applicant participated in a debate on a regional radio station, Polskie Radio Wrocław. During the debate he stated as follows:</w:t>
      </w:r>
    </w:p>
    <w:p w:rsidR="00D2459E" w:rsidRPr="009042C4" w:rsidRDefault="00D2459E" w:rsidP="00D2459E">
      <w:pPr>
        <w:spacing w:before="120" w:after="120"/>
        <w:ind w:left="425" w:firstLine="142"/>
        <w:rPr>
          <w:rFonts w:ascii="Times New Roman" w:eastAsia="Times New Roman" w:hAnsi="Times New Roman" w:cs="Times New Roman"/>
          <w:sz w:val="20"/>
          <w:lang w:val="en-GB" w:eastAsia="fr-FR"/>
        </w:rPr>
      </w:pPr>
      <w:r w:rsidRPr="009042C4">
        <w:rPr>
          <w:rFonts w:ascii="Times New Roman" w:eastAsia="Times New Roman" w:hAnsi="Times New Roman" w:cs="Times New Roman"/>
          <w:sz w:val="20"/>
          <w:lang w:val="en-GB" w:eastAsia="fr-FR"/>
        </w:rPr>
        <w:t>“... among the informers</w:t>
      </w:r>
      <w:r w:rsidR="00540FBA">
        <w:rPr>
          <w:rFonts w:ascii="Times New Roman" w:eastAsia="Times New Roman" w:hAnsi="Times New Roman" w:cs="Times New Roman"/>
          <w:sz w:val="20"/>
          <w:lang w:val="en-GB" w:eastAsia="fr-FR"/>
        </w:rPr>
        <w:t xml:space="preserve"> </w:t>
      </w:r>
      <w:r w:rsidR="004405D1">
        <w:rPr>
          <w:rFonts w:ascii="Times New Roman" w:eastAsia="Times New Roman" w:hAnsi="Times New Roman" w:cs="Times New Roman"/>
          <w:sz w:val="20"/>
          <w:lang w:val="en-GB" w:eastAsia="fr-FR"/>
        </w:rPr>
        <w:t>(</w:t>
      </w:r>
      <w:r w:rsidR="00540FBA" w:rsidRPr="00540FBA">
        <w:rPr>
          <w:rFonts w:ascii="Times New Roman" w:eastAsia="Times New Roman" w:hAnsi="Times New Roman" w:cs="Times New Roman"/>
          <w:i/>
          <w:sz w:val="20"/>
          <w:lang w:val="en-GB" w:eastAsia="fr-FR"/>
        </w:rPr>
        <w:t>informator</w:t>
      </w:r>
      <w:r w:rsidR="004405D1">
        <w:rPr>
          <w:rFonts w:ascii="Times New Roman" w:eastAsia="Times New Roman" w:hAnsi="Times New Roman" w:cs="Times New Roman"/>
          <w:i/>
          <w:sz w:val="20"/>
          <w:lang w:val="en-GB" w:eastAsia="fr-FR"/>
        </w:rPr>
        <w:t>)</w:t>
      </w:r>
      <w:r w:rsidRPr="009042C4">
        <w:rPr>
          <w:rFonts w:ascii="Times New Roman" w:eastAsia="Times New Roman" w:hAnsi="Times New Roman" w:cs="Times New Roman"/>
          <w:sz w:val="20"/>
          <w:lang w:val="en-GB" w:eastAsia="fr-FR"/>
        </w:rPr>
        <w:t xml:space="preserve"> of the [communist-era] secret po</w:t>
      </w:r>
      <w:r w:rsidR="00D75211">
        <w:rPr>
          <w:rFonts w:ascii="Times New Roman" w:eastAsia="Times New Roman" w:hAnsi="Times New Roman" w:cs="Times New Roman"/>
          <w:sz w:val="20"/>
          <w:lang w:val="en-GB" w:eastAsia="fr-FR"/>
        </w:rPr>
        <w:t>litical police is Professor [J.</w:t>
      </w:r>
      <w:r w:rsidRPr="009042C4">
        <w:rPr>
          <w:rFonts w:ascii="Times New Roman" w:eastAsia="Times New Roman" w:hAnsi="Times New Roman" w:cs="Times New Roman"/>
          <w:sz w:val="20"/>
          <w:lang w:val="en-GB" w:eastAsia="fr-FR"/>
        </w:rPr>
        <w:t>M.] – this information confirms the theory that among those who speak out the most against lustration are people who have good reasons for doing so.”</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9</w:t>
      </w:r>
      <w:r w:rsidRPr="009042C4">
        <w:rPr>
          <w:rFonts w:eastAsia="Times New Roman"/>
        </w:rPr>
        <w:fldChar w:fldCharType="end"/>
      </w:r>
      <w:r w:rsidRPr="00A10260">
        <w:rPr>
          <w:rFonts w:eastAsia="Times New Roman"/>
          <w:lang w:val="en-GB"/>
        </w:rPr>
        <w:t xml:space="preserve">.  On the same day the applicant called Mr J.M. </w:t>
      </w:r>
      <w:r w:rsidR="004663AD" w:rsidRPr="00A10260">
        <w:rPr>
          <w:rFonts w:eastAsia="Times New Roman"/>
          <w:lang w:val="en-GB"/>
        </w:rPr>
        <w:t xml:space="preserve">an “informant” </w:t>
      </w:r>
      <w:r w:rsidRPr="00A10260">
        <w:rPr>
          <w:rFonts w:eastAsia="Times New Roman"/>
          <w:lang w:val="en-GB"/>
        </w:rPr>
        <w:t>(</w:t>
      </w:r>
      <w:r w:rsidRPr="00A10260">
        <w:rPr>
          <w:rFonts w:eastAsia="Times New Roman"/>
          <w:i/>
          <w:lang w:val="en-GB"/>
        </w:rPr>
        <w:t>konfident</w:t>
      </w:r>
      <w:r w:rsidRPr="00A10260">
        <w:rPr>
          <w:rFonts w:eastAsia="Times New Roman"/>
          <w:lang w:val="en-GB"/>
        </w:rPr>
        <w:t>) on television. The matter was widely commented on in the media.</w:t>
      </w:r>
    </w:p>
    <w:p w:rsidR="00D2459E" w:rsidRPr="00A10260" w:rsidRDefault="00A10260" w:rsidP="00BF7403">
      <w:pPr>
        <w:pStyle w:val="ECHRPara"/>
        <w:rPr>
          <w:rFonts w:ascii="Times New Roman" w:hAnsi="Times New Roman" w:cs="Times New Roman"/>
          <w:lang w:val="en-GB"/>
        </w:rPr>
      </w:pPr>
      <w:r>
        <w:fldChar w:fldCharType="begin"/>
      </w:r>
      <w:r w:rsidRPr="00A10260">
        <w:rPr>
          <w:lang w:val="en-GB"/>
        </w:rPr>
        <w:instrText xml:space="preserve"> SEQ level0 \*arabic </w:instrText>
      </w:r>
      <w:r>
        <w:fldChar w:fldCharType="separate"/>
      </w:r>
      <w:r w:rsidR="000E1CAB">
        <w:rPr>
          <w:noProof/>
          <w:lang w:val="en-GB"/>
        </w:rPr>
        <w:t>10</w:t>
      </w:r>
      <w:r>
        <w:rPr>
          <w:noProof/>
        </w:rPr>
        <w:fldChar w:fldCharType="end"/>
      </w:r>
      <w:r w:rsidR="00D2459E" w:rsidRPr="00A10260">
        <w:rPr>
          <w:lang w:val="en-GB"/>
        </w:rPr>
        <w:t xml:space="preserve">.  On 17 May 2007 a special commission set up at </w:t>
      </w:r>
      <w:r w:rsidR="004F7752">
        <w:rPr>
          <w:lang w:val="en-GB"/>
        </w:rPr>
        <w:t>Wrocław</w:t>
      </w:r>
      <w:r w:rsidR="00D2459E" w:rsidRPr="00A10260">
        <w:rPr>
          <w:lang w:val="en-GB"/>
        </w:rPr>
        <w:t xml:space="preserve"> University to examine the problem of covert surveillance of academics issued a statement in the case of </w:t>
      </w:r>
      <w:r w:rsidR="002B31A5" w:rsidRPr="00A10260">
        <w:rPr>
          <w:lang w:val="en-GB"/>
        </w:rPr>
        <w:t>Mr</w:t>
      </w:r>
      <w:r w:rsidR="00D2459E" w:rsidRPr="00A10260">
        <w:rPr>
          <w:lang w:val="en-GB"/>
        </w:rPr>
        <w:t xml:space="preserve"> J.M.</w:t>
      </w:r>
      <w:r w:rsidR="003462D1" w:rsidRPr="00A10260">
        <w:rPr>
          <w:lang w:val="en-GB"/>
        </w:rPr>
        <w:t xml:space="preserve"> The statement included a </w:t>
      </w:r>
      <w:r w:rsidR="00D2459E" w:rsidRPr="00A10260">
        <w:rPr>
          <w:lang w:val="en-GB"/>
        </w:rPr>
        <w:t>list</w:t>
      </w:r>
      <w:r w:rsidR="003462D1" w:rsidRPr="00A10260">
        <w:rPr>
          <w:lang w:val="en-GB"/>
        </w:rPr>
        <w:t xml:space="preserve"> of</w:t>
      </w:r>
      <w:r w:rsidR="00D2459E" w:rsidRPr="00A10260">
        <w:rPr>
          <w:lang w:val="en-GB"/>
        </w:rPr>
        <w:t xml:space="preserve"> </w:t>
      </w:r>
      <w:r w:rsidR="00D2459E" w:rsidRPr="00A10260">
        <w:rPr>
          <w:rFonts w:ascii="Times New Roman" w:hAnsi="Times New Roman" w:cs="Times New Roman"/>
          <w:lang w:val="en-GB"/>
        </w:rPr>
        <w:t xml:space="preserve">documents concerning </w:t>
      </w:r>
      <w:r w:rsidR="002B31A5" w:rsidRPr="00A10260">
        <w:rPr>
          <w:rFonts w:ascii="Times New Roman" w:hAnsi="Times New Roman" w:cs="Times New Roman"/>
          <w:lang w:val="en-GB"/>
        </w:rPr>
        <w:t>Mr</w:t>
      </w:r>
      <w:r w:rsidR="00D2459E" w:rsidRPr="00A10260">
        <w:rPr>
          <w:rFonts w:ascii="Times New Roman" w:hAnsi="Times New Roman" w:cs="Times New Roman"/>
          <w:lang w:val="en-GB"/>
        </w:rPr>
        <w:t xml:space="preserve"> J.M.</w:t>
      </w:r>
      <w:r w:rsidR="00F03E4B" w:rsidRPr="00A10260">
        <w:rPr>
          <w:rFonts w:ascii="Times New Roman" w:hAnsi="Times New Roman" w:cs="Times New Roman"/>
          <w:lang w:val="en-GB"/>
        </w:rPr>
        <w:t>,</w:t>
      </w:r>
      <w:r w:rsidR="00D2459E" w:rsidRPr="00A10260">
        <w:rPr>
          <w:rFonts w:ascii="Times New Roman" w:hAnsi="Times New Roman" w:cs="Times New Roman"/>
          <w:lang w:val="en-GB"/>
        </w:rPr>
        <w:t xml:space="preserve"> </w:t>
      </w:r>
      <w:r w:rsidR="003462D1" w:rsidRPr="00A10260">
        <w:rPr>
          <w:rFonts w:ascii="Times New Roman" w:hAnsi="Times New Roman" w:cs="Times New Roman"/>
          <w:lang w:val="en-GB"/>
        </w:rPr>
        <w:t xml:space="preserve">which had been found in the archives. </w:t>
      </w:r>
      <w:r w:rsidR="00D2459E" w:rsidRPr="00A10260">
        <w:rPr>
          <w:rFonts w:ascii="Times New Roman" w:hAnsi="Times New Roman" w:cs="Times New Roman"/>
          <w:lang w:val="en-GB"/>
        </w:rPr>
        <w:t>The commission concluded that th</w:t>
      </w:r>
      <w:r w:rsidR="003462D1" w:rsidRPr="00A10260">
        <w:rPr>
          <w:rFonts w:ascii="Times New Roman" w:hAnsi="Times New Roman" w:cs="Times New Roman"/>
          <w:lang w:val="en-GB"/>
        </w:rPr>
        <w:t>ose</w:t>
      </w:r>
      <w:r w:rsidR="00D2459E" w:rsidRPr="00A10260">
        <w:rPr>
          <w:rFonts w:ascii="Times New Roman" w:hAnsi="Times New Roman" w:cs="Times New Roman"/>
          <w:lang w:val="en-GB"/>
        </w:rPr>
        <w:t xml:space="preserve"> documents </w:t>
      </w:r>
      <w:r w:rsidR="003462D1" w:rsidRPr="00A10260">
        <w:rPr>
          <w:rFonts w:ascii="Times New Roman" w:hAnsi="Times New Roman" w:cs="Times New Roman"/>
          <w:lang w:val="en-GB"/>
        </w:rPr>
        <w:t xml:space="preserve">had </w:t>
      </w:r>
      <w:r w:rsidR="00D2459E" w:rsidRPr="00A10260">
        <w:rPr>
          <w:rFonts w:ascii="Times New Roman" w:hAnsi="Times New Roman" w:cs="Times New Roman"/>
          <w:lang w:val="en-GB"/>
        </w:rPr>
        <w:t xml:space="preserve">not </w:t>
      </w:r>
      <w:r w:rsidR="00F03E4B" w:rsidRPr="00A10260">
        <w:rPr>
          <w:rFonts w:ascii="Times New Roman" w:hAnsi="Times New Roman" w:cs="Times New Roman"/>
          <w:lang w:val="en-GB"/>
        </w:rPr>
        <w:t xml:space="preserve">led it to the </w:t>
      </w:r>
      <w:r w:rsidR="00D2459E" w:rsidRPr="00A10260">
        <w:rPr>
          <w:rFonts w:ascii="Times New Roman" w:hAnsi="Times New Roman" w:cs="Times New Roman"/>
          <w:lang w:val="en-GB"/>
        </w:rPr>
        <w:t xml:space="preserve">unequivocal conclusion </w:t>
      </w:r>
      <w:r w:rsidR="00F03E4B" w:rsidRPr="00A10260">
        <w:rPr>
          <w:rFonts w:ascii="Times New Roman" w:hAnsi="Times New Roman" w:cs="Times New Roman"/>
          <w:lang w:val="en-GB"/>
        </w:rPr>
        <w:t xml:space="preserve">that </w:t>
      </w:r>
      <w:r w:rsidR="002B31A5" w:rsidRPr="00A10260">
        <w:rPr>
          <w:rFonts w:ascii="Times New Roman" w:hAnsi="Times New Roman" w:cs="Times New Roman"/>
          <w:lang w:val="en-GB"/>
        </w:rPr>
        <w:t>Mr</w:t>
      </w:r>
      <w:r w:rsidR="00F03E4B" w:rsidRPr="00A10260">
        <w:rPr>
          <w:rFonts w:ascii="Times New Roman" w:hAnsi="Times New Roman" w:cs="Times New Roman"/>
          <w:lang w:val="en-GB"/>
        </w:rPr>
        <w:t xml:space="preserve"> </w:t>
      </w:r>
      <w:r w:rsidR="00D2459E" w:rsidRPr="00A10260">
        <w:rPr>
          <w:rFonts w:ascii="Times New Roman" w:hAnsi="Times New Roman" w:cs="Times New Roman"/>
          <w:lang w:val="en-GB"/>
        </w:rPr>
        <w:t xml:space="preserve">J.M. had been a collaborator </w:t>
      </w:r>
      <w:r w:rsidR="003462D1" w:rsidRPr="00A10260">
        <w:rPr>
          <w:rFonts w:ascii="Times New Roman" w:hAnsi="Times New Roman" w:cs="Times New Roman"/>
          <w:lang w:val="en-GB"/>
        </w:rPr>
        <w:t xml:space="preserve">with </w:t>
      </w:r>
      <w:r w:rsidR="00D2459E" w:rsidRPr="00A10260">
        <w:rPr>
          <w:rFonts w:ascii="Times New Roman" w:hAnsi="Times New Roman" w:cs="Times New Roman"/>
          <w:lang w:val="en-GB"/>
        </w:rPr>
        <w:t xml:space="preserve">the </w:t>
      </w:r>
      <w:r w:rsidR="003462D1" w:rsidRPr="00A10260">
        <w:rPr>
          <w:rFonts w:ascii="Times New Roman" w:hAnsi="Times New Roman" w:cs="Times New Roman"/>
          <w:lang w:val="en-GB"/>
        </w:rPr>
        <w:t xml:space="preserve">secret </w:t>
      </w:r>
      <w:r w:rsidR="00D2459E" w:rsidRPr="00A10260">
        <w:rPr>
          <w:rFonts w:ascii="Times New Roman" w:hAnsi="Times New Roman" w:cs="Times New Roman"/>
          <w:lang w:val="en-GB"/>
        </w:rPr>
        <w:t>police.</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11</w:t>
      </w:r>
      <w:r w:rsidRPr="009042C4">
        <w:rPr>
          <w:rFonts w:eastAsia="Times New Roman"/>
        </w:rPr>
        <w:fldChar w:fldCharType="end"/>
      </w:r>
      <w:r w:rsidRPr="00A10260">
        <w:rPr>
          <w:rFonts w:eastAsia="Times New Roman"/>
          <w:lang w:val="en-GB"/>
        </w:rPr>
        <w:t xml:space="preserve">.  On 24 May 2007 </w:t>
      </w:r>
      <w:r w:rsidR="0037520C">
        <w:rPr>
          <w:rFonts w:eastAsia="Times New Roman"/>
          <w:lang w:val="en-GB"/>
        </w:rPr>
        <w:t xml:space="preserve">Mr </w:t>
      </w:r>
      <w:r w:rsidRPr="00A10260">
        <w:rPr>
          <w:rFonts w:eastAsia="Times New Roman"/>
          <w:lang w:val="en-GB"/>
        </w:rPr>
        <w:t>J.M. brought a civil action for protection of his personal rights against the applicant.</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12</w:t>
      </w:r>
      <w:r w:rsidRPr="009042C4">
        <w:rPr>
          <w:rFonts w:eastAsia="Times New Roman"/>
        </w:rPr>
        <w:fldChar w:fldCharType="end"/>
      </w:r>
      <w:r w:rsidRPr="00A10260">
        <w:rPr>
          <w:rFonts w:eastAsia="Times New Roman"/>
          <w:lang w:val="en-GB"/>
        </w:rPr>
        <w:t>.  On 3 July 2008 the Warsaw Regional Court allowed the action. It ordered the applicant to pay 20,000 Polish zlotys (PLN) to a charity and to reimburse the claimant PLN 5,800 for the costs of the proceedings. The applicant was also ordered to publish an apology for having damaged the claimant</w:t>
      </w:r>
      <w:r w:rsidR="00112E16">
        <w:rPr>
          <w:rFonts w:eastAsia="Times New Roman"/>
          <w:lang w:val="en-GB"/>
        </w:rPr>
        <w:t>’</w:t>
      </w:r>
      <w:r w:rsidRPr="00A10260">
        <w:rPr>
          <w:rFonts w:eastAsia="Times New Roman"/>
          <w:lang w:val="en-GB"/>
        </w:rPr>
        <w:t xml:space="preserve">s good name in six national and regional newspapers, on three national TV channels and on Radio </w:t>
      </w:r>
      <w:r w:rsidR="004F7752">
        <w:rPr>
          <w:rFonts w:eastAsia="Times New Roman"/>
          <w:lang w:val="en-GB"/>
        </w:rPr>
        <w:t>Wrocław</w:t>
      </w:r>
      <w:r w:rsidRPr="00A10260">
        <w:rPr>
          <w:rFonts w:eastAsia="Times New Roman"/>
          <w:lang w:val="en-GB"/>
        </w:rPr>
        <w:t>. The court considered that the applicant had clearly used several expressions indicating that the claimant had been a secret collaborator with the communist-era secret services. The main question to be considered was whether such statements could be considered true.</w:t>
      </w:r>
    </w:p>
    <w:p w:rsidR="00D2459E" w:rsidRPr="00A10260" w:rsidRDefault="00D2459E" w:rsidP="00BF7403">
      <w:pPr>
        <w:pStyle w:val="ECHRPara"/>
        <w:rPr>
          <w:rFonts w:eastAsia="Times New Roman"/>
          <w:lang w:val="en-GB"/>
        </w:rPr>
      </w:pPr>
      <w:r w:rsidRPr="002B31A5">
        <w:rPr>
          <w:rFonts w:eastAsia="Times New Roman"/>
        </w:rPr>
        <w:fldChar w:fldCharType="begin"/>
      </w:r>
      <w:r w:rsidRPr="00A10260">
        <w:rPr>
          <w:rFonts w:eastAsia="Times New Roman"/>
          <w:lang w:val="en-GB"/>
        </w:rPr>
        <w:instrText xml:space="preserve"> SEQ level0 \*arabic </w:instrText>
      </w:r>
      <w:r w:rsidRPr="002B31A5">
        <w:rPr>
          <w:rFonts w:eastAsia="Times New Roman"/>
        </w:rPr>
        <w:fldChar w:fldCharType="separate"/>
      </w:r>
      <w:r w:rsidR="000E1CAB">
        <w:rPr>
          <w:rFonts w:eastAsia="Times New Roman"/>
          <w:noProof/>
          <w:lang w:val="en-GB"/>
        </w:rPr>
        <w:t>13</w:t>
      </w:r>
      <w:r w:rsidRPr="002B31A5">
        <w:rPr>
          <w:rFonts w:eastAsia="Times New Roman"/>
        </w:rPr>
        <w:fldChar w:fldCharType="end"/>
      </w:r>
      <w:r w:rsidRPr="00A10260">
        <w:rPr>
          <w:rFonts w:eastAsia="Times New Roman"/>
          <w:lang w:val="en-GB"/>
        </w:rPr>
        <w:t xml:space="preserve">.  The court noted that Mr J.M. </w:t>
      </w:r>
      <w:r w:rsidR="002B31A5" w:rsidRPr="00A10260">
        <w:rPr>
          <w:rFonts w:eastAsia="Times New Roman"/>
          <w:lang w:val="en-GB"/>
        </w:rPr>
        <w:t>wa</w:t>
      </w:r>
      <w:r w:rsidRPr="00A10260">
        <w:rPr>
          <w:rFonts w:eastAsia="Times New Roman"/>
          <w:lang w:val="en-GB"/>
        </w:rPr>
        <w:t>s a distinguished linguist and well</w:t>
      </w:r>
      <w:r w:rsidR="00FE75CC">
        <w:rPr>
          <w:rFonts w:eastAsia="Times New Roman"/>
          <w:lang w:val="en-GB"/>
        </w:rPr>
        <w:noBreakHyphen/>
      </w:r>
      <w:r w:rsidRPr="00A10260">
        <w:rPr>
          <w:rFonts w:eastAsia="Times New Roman"/>
          <w:lang w:val="en-GB"/>
        </w:rPr>
        <w:t xml:space="preserve">known person in Poland. He </w:t>
      </w:r>
      <w:r w:rsidR="003462D1" w:rsidRPr="00A10260">
        <w:rPr>
          <w:rFonts w:eastAsia="Times New Roman"/>
          <w:lang w:val="en-GB"/>
        </w:rPr>
        <w:t>wa</w:t>
      </w:r>
      <w:r w:rsidRPr="00A10260">
        <w:rPr>
          <w:rFonts w:eastAsia="Times New Roman"/>
          <w:lang w:val="en-GB"/>
        </w:rPr>
        <w:t xml:space="preserve">s a member of the Polish Language </w:t>
      </w:r>
      <w:r w:rsidR="00054F10" w:rsidRPr="00A10260">
        <w:rPr>
          <w:rFonts w:eastAsia="Times New Roman"/>
          <w:lang w:val="en-GB"/>
        </w:rPr>
        <w:t xml:space="preserve">Council </w:t>
      </w:r>
      <w:r w:rsidRPr="00A10260">
        <w:rPr>
          <w:rFonts w:eastAsia="Times New Roman"/>
          <w:lang w:val="en-GB"/>
        </w:rPr>
        <w:t xml:space="preserve">and </w:t>
      </w:r>
      <w:r w:rsidR="003462D1" w:rsidRPr="00A10260">
        <w:rPr>
          <w:rFonts w:eastAsia="Times New Roman"/>
          <w:lang w:val="en-GB"/>
        </w:rPr>
        <w:t xml:space="preserve">for </w:t>
      </w:r>
      <w:r w:rsidRPr="00A10260">
        <w:rPr>
          <w:rFonts w:eastAsia="Times New Roman"/>
          <w:lang w:val="en-GB"/>
        </w:rPr>
        <w:t xml:space="preserve">many years </w:t>
      </w:r>
      <w:r w:rsidR="003462D1" w:rsidRPr="00A10260">
        <w:rPr>
          <w:rFonts w:eastAsia="Times New Roman"/>
          <w:lang w:val="en-GB"/>
        </w:rPr>
        <w:t>ha</w:t>
      </w:r>
      <w:r w:rsidR="00F96185" w:rsidRPr="00A10260">
        <w:rPr>
          <w:rFonts w:eastAsia="Times New Roman"/>
          <w:lang w:val="en-GB"/>
        </w:rPr>
        <w:t>d</w:t>
      </w:r>
      <w:r w:rsidR="003462D1" w:rsidRPr="00A10260">
        <w:rPr>
          <w:rFonts w:eastAsia="Times New Roman"/>
          <w:lang w:val="en-GB"/>
        </w:rPr>
        <w:t xml:space="preserve"> been presenting a program</w:t>
      </w:r>
      <w:r w:rsidR="00F96185" w:rsidRPr="00A10260">
        <w:rPr>
          <w:rFonts w:eastAsia="Times New Roman"/>
          <w:lang w:val="en-GB"/>
        </w:rPr>
        <w:t>me</w:t>
      </w:r>
      <w:r w:rsidRPr="00A10260">
        <w:rPr>
          <w:rFonts w:eastAsia="Times New Roman"/>
          <w:lang w:val="en-GB"/>
        </w:rPr>
        <w:t xml:space="preserve"> </w:t>
      </w:r>
      <w:r w:rsidR="003462D1" w:rsidRPr="00A10260">
        <w:rPr>
          <w:rFonts w:eastAsia="Times New Roman"/>
          <w:lang w:val="en-GB"/>
        </w:rPr>
        <w:t xml:space="preserve">on </w:t>
      </w:r>
      <w:r w:rsidRPr="00A10260">
        <w:rPr>
          <w:rFonts w:eastAsia="Times New Roman"/>
          <w:lang w:val="en-GB"/>
        </w:rPr>
        <w:t>television.</w:t>
      </w:r>
      <w:r w:rsidR="00A10260">
        <w:rPr>
          <w:rFonts w:eastAsia="Times New Roman"/>
          <w:lang w:val="en-GB"/>
        </w:rPr>
        <w:t xml:space="preserve"> </w:t>
      </w:r>
      <w:r w:rsidRPr="00A10260">
        <w:rPr>
          <w:rFonts w:eastAsia="Times New Roman"/>
          <w:lang w:val="en-GB"/>
        </w:rPr>
        <w:t xml:space="preserve">The court established that between 1975 and 1984 Mr J.M. had been summoned by agents of the secret services on five occasions for interviews in connection with applications he had made for passports and returns from stays abroad. This was not contested by the claimant, who had himself made this information public. In 1978 Mr J.M. </w:t>
      </w:r>
      <w:r w:rsidR="00F96185" w:rsidRPr="00A10260">
        <w:rPr>
          <w:rFonts w:eastAsia="Times New Roman"/>
          <w:lang w:val="en-GB"/>
        </w:rPr>
        <w:t xml:space="preserve">had been </w:t>
      </w:r>
      <w:r w:rsidRPr="00A10260">
        <w:rPr>
          <w:rFonts w:eastAsia="Times New Roman"/>
          <w:lang w:val="en-GB"/>
        </w:rPr>
        <w:t xml:space="preserve">formally registered as a secret collaborator (a “TW”). Other notes from the </w:t>
      </w:r>
      <w:r w:rsidR="00D60413" w:rsidRPr="00D60413">
        <w:rPr>
          <w:rFonts w:eastAsia="Times New Roman"/>
          <w:lang w:val="en-US"/>
        </w:rPr>
        <w:t>Institute of National Remembrance</w:t>
      </w:r>
      <w:r w:rsidR="00D60413">
        <w:rPr>
          <w:rFonts w:eastAsia="Times New Roman"/>
          <w:lang w:val="en-US"/>
        </w:rPr>
        <w:t xml:space="preserve"> (“</w:t>
      </w:r>
      <w:r w:rsidR="00D60413">
        <w:rPr>
          <w:rFonts w:eastAsia="Times New Roman"/>
          <w:lang w:val="en-GB"/>
        </w:rPr>
        <w:t>IPN”)</w:t>
      </w:r>
      <w:r w:rsidRPr="00A10260">
        <w:rPr>
          <w:rFonts w:eastAsia="Times New Roman"/>
          <w:lang w:val="en-GB"/>
        </w:rPr>
        <w:t xml:space="preserve"> archives indicated that until 1989 a two-volume file on the claimant had existed; however, the file could no longer be found at the Wrocław branch of the IPN.</w:t>
      </w:r>
    </w:p>
    <w:p w:rsidR="001B69D6" w:rsidRDefault="00D2459E" w:rsidP="00BF7403">
      <w:pPr>
        <w:pStyle w:val="ECHRPara"/>
        <w:rPr>
          <w:rFonts w:eastAsia="Times New Roman"/>
          <w:lang w:val="en-GB"/>
        </w:rPr>
      </w:pPr>
      <w:r w:rsidRPr="00A10260">
        <w:rPr>
          <w:rFonts w:eastAsia="Times New Roman"/>
          <w:lang w:val="en-GB"/>
        </w:rPr>
        <w:t>The court noted that the case of</w:t>
      </w:r>
      <w:r w:rsidR="002B31A5" w:rsidRPr="00A10260">
        <w:rPr>
          <w:rFonts w:eastAsia="Times New Roman"/>
          <w:lang w:val="en-GB"/>
        </w:rPr>
        <w:t xml:space="preserve"> Mr</w:t>
      </w:r>
      <w:r w:rsidRPr="00A10260">
        <w:rPr>
          <w:rFonts w:eastAsia="Times New Roman"/>
          <w:lang w:val="en-GB"/>
        </w:rPr>
        <w:t xml:space="preserve"> J.M. ha</w:t>
      </w:r>
      <w:r w:rsidR="003462D1" w:rsidRPr="00A10260">
        <w:rPr>
          <w:rFonts w:eastAsia="Times New Roman"/>
          <w:lang w:val="en-GB"/>
        </w:rPr>
        <w:t>d</w:t>
      </w:r>
      <w:r w:rsidRPr="00A10260">
        <w:rPr>
          <w:rFonts w:eastAsia="Times New Roman"/>
          <w:lang w:val="en-GB"/>
        </w:rPr>
        <w:t xml:space="preserve"> been </w:t>
      </w:r>
      <w:r w:rsidR="003462D1" w:rsidRPr="00A10260">
        <w:rPr>
          <w:rFonts w:eastAsia="Times New Roman"/>
          <w:lang w:val="en-GB"/>
        </w:rPr>
        <w:t xml:space="preserve">examined by a special commission set up at </w:t>
      </w:r>
      <w:r w:rsidR="004F7752">
        <w:rPr>
          <w:rFonts w:eastAsia="Times New Roman"/>
          <w:lang w:val="en-GB"/>
        </w:rPr>
        <w:t>Wrocław</w:t>
      </w:r>
      <w:r w:rsidR="003462D1" w:rsidRPr="00A10260">
        <w:rPr>
          <w:rFonts w:eastAsia="Times New Roman"/>
          <w:lang w:val="en-GB"/>
        </w:rPr>
        <w:t xml:space="preserve"> University to examine the problem of covert surveillance of academics</w:t>
      </w:r>
      <w:r w:rsidR="00F96185" w:rsidRPr="00A10260">
        <w:rPr>
          <w:rFonts w:eastAsia="Times New Roman"/>
          <w:lang w:val="en-GB"/>
        </w:rPr>
        <w:t>,</w:t>
      </w:r>
      <w:r w:rsidR="003462D1" w:rsidRPr="00A10260">
        <w:rPr>
          <w:rFonts w:eastAsia="Times New Roman"/>
          <w:lang w:val="en-GB"/>
        </w:rPr>
        <w:t xml:space="preserve"> </w:t>
      </w:r>
      <w:r w:rsidR="00F96185" w:rsidRPr="00A10260">
        <w:rPr>
          <w:rFonts w:eastAsia="Times New Roman"/>
          <w:lang w:val="en-GB"/>
        </w:rPr>
        <w:t xml:space="preserve">but that the commission </w:t>
      </w:r>
      <w:r w:rsidR="003462D1" w:rsidRPr="00A10260">
        <w:rPr>
          <w:rFonts w:eastAsia="Times New Roman"/>
          <w:lang w:val="en-GB"/>
        </w:rPr>
        <w:t>had been</w:t>
      </w:r>
      <w:r w:rsidRPr="00A10260">
        <w:rPr>
          <w:rFonts w:eastAsia="Times New Roman"/>
          <w:lang w:val="en-GB"/>
        </w:rPr>
        <w:t xml:space="preserve"> unable to reach any unequivocal conclusions.</w:t>
      </w:r>
    </w:p>
    <w:p w:rsidR="001B69D6" w:rsidRDefault="00A10260" w:rsidP="00BF7403">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0E1CAB">
        <w:rPr>
          <w:rFonts w:eastAsia="Times New Roman"/>
          <w:noProof/>
          <w:lang w:val="en-GB"/>
        </w:rPr>
        <w:t>14</w:t>
      </w:r>
      <w:r>
        <w:rPr>
          <w:rFonts w:eastAsia="Times New Roman"/>
          <w:lang w:val="en-GB"/>
        </w:rPr>
        <w:fldChar w:fldCharType="end"/>
      </w:r>
      <w:r>
        <w:rPr>
          <w:rFonts w:eastAsia="Times New Roman"/>
          <w:lang w:val="en-GB"/>
        </w:rPr>
        <w:t>.  </w:t>
      </w:r>
      <w:r w:rsidR="00D2459E" w:rsidRPr="00A10260">
        <w:rPr>
          <w:rFonts w:eastAsia="Times New Roman"/>
          <w:lang w:val="en-GB"/>
        </w:rPr>
        <w:t xml:space="preserve">The trial court heard the applicant and the claimant as well as a number of witnesses: historians (specialists on lustration), former agents of the secret services assigned to recruiting collaborators at Warsaw University, and employees of the IPN. Some of them testified that many files on secret collaborators had been destroyed when the regime fell in 1989. A few witnesses testified that they had not known of any case of fictitious registration of somebody as a secret collaborator or of a situation in which the services had kept a file on somebody for many years </w:t>
      </w:r>
      <w:r w:rsidR="00F96185" w:rsidRPr="00A10260">
        <w:rPr>
          <w:rFonts w:eastAsia="Times New Roman"/>
          <w:lang w:val="en-GB"/>
        </w:rPr>
        <w:t xml:space="preserve">even though </w:t>
      </w:r>
      <w:r w:rsidR="00D2459E" w:rsidRPr="00A10260">
        <w:rPr>
          <w:rFonts w:eastAsia="Times New Roman"/>
          <w:lang w:val="en-GB"/>
        </w:rPr>
        <w:t>he or she had not actually been collaborating.</w:t>
      </w:r>
    </w:p>
    <w:p w:rsidR="001B69D6" w:rsidRDefault="00D2459E" w:rsidP="00A10260">
      <w:pPr>
        <w:pStyle w:val="ECHRPara"/>
        <w:rPr>
          <w:rFonts w:eastAsia="Times New Roman"/>
          <w:lang w:val="en-GB"/>
        </w:rPr>
      </w:pPr>
      <w:r w:rsidRPr="00A10260">
        <w:rPr>
          <w:rFonts w:eastAsia="Times New Roman"/>
          <w:lang w:val="en-GB"/>
        </w:rPr>
        <w:t xml:space="preserve">The director of the </w:t>
      </w:r>
      <w:r w:rsidR="004F7752">
        <w:rPr>
          <w:rFonts w:eastAsia="Times New Roman"/>
          <w:lang w:val="en-GB"/>
        </w:rPr>
        <w:t>Wrocław</w:t>
      </w:r>
      <w:r w:rsidRPr="00A10260">
        <w:rPr>
          <w:rFonts w:eastAsia="Times New Roman"/>
          <w:lang w:val="en-GB"/>
        </w:rPr>
        <w:t xml:space="preserve"> branch of the IPN testified that he had heard of an instance of fictitious registration of somebody as a </w:t>
      </w:r>
      <w:r w:rsidR="00FE75CC">
        <w:rPr>
          <w:rFonts w:eastAsia="Times New Roman"/>
          <w:lang w:val="en-GB"/>
        </w:rPr>
        <w:t xml:space="preserve">TW. </w:t>
      </w:r>
      <w:r w:rsidRPr="00A10260">
        <w:rPr>
          <w:rFonts w:eastAsia="Times New Roman"/>
          <w:lang w:val="en-GB"/>
        </w:rPr>
        <w:t>However the proba</w:t>
      </w:r>
      <w:r w:rsidR="003462D1" w:rsidRPr="00A10260">
        <w:rPr>
          <w:rFonts w:eastAsia="Times New Roman"/>
          <w:lang w:val="en-GB"/>
        </w:rPr>
        <w:t>bi</w:t>
      </w:r>
      <w:r w:rsidRPr="00A10260">
        <w:rPr>
          <w:rFonts w:eastAsia="Times New Roman"/>
          <w:lang w:val="en-GB"/>
        </w:rPr>
        <w:t>lity of such</w:t>
      </w:r>
      <w:r w:rsidR="003462D1" w:rsidRPr="00A10260">
        <w:rPr>
          <w:rFonts w:eastAsia="Times New Roman"/>
          <w:lang w:val="en-GB"/>
        </w:rPr>
        <w:t xml:space="preserve"> </w:t>
      </w:r>
      <w:r w:rsidR="00F96185" w:rsidRPr="00A10260">
        <w:rPr>
          <w:rFonts w:eastAsia="Times New Roman"/>
          <w:lang w:val="en-GB"/>
        </w:rPr>
        <w:t xml:space="preserve">a </w:t>
      </w:r>
      <w:r w:rsidR="003462D1" w:rsidRPr="00A10260">
        <w:rPr>
          <w:rFonts w:eastAsia="Times New Roman"/>
          <w:lang w:val="en-GB"/>
        </w:rPr>
        <w:t>situation</w:t>
      </w:r>
      <w:r w:rsidRPr="00A10260">
        <w:rPr>
          <w:rFonts w:eastAsia="Times New Roman"/>
          <w:lang w:val="en-GB"/>
        </w:rPr>
        <w:t xml:space="preserve"> was very low. He also declared that on the basis of the available documents</w:t>
      </w:r>
      <w:r w:rsidR="00F96185" w:rsidRPr="00A10260">
        <w:rPr>
          <w:rFonts w:eastAsia="Times New Roman"/>
          <w:lang w:val="en-GB"/>
        </w:rPr>
        <w:t>,</w:t>
      </w:r>
      <w:r w:rsidRPr="00A10260">
        <w:rPr>
          <w:rFonts w:eastAsia="Times New Roman"/>
          <w:lang w:val="en-GB"/>
        </w:rPr>
        <w:t xml:space="preserve"> he would not </w:t>
      </w:r>
      <w:r w:rsidR="003462D1" w:rsidRPr="00A10260">
        <w:rPr>
          <w:rFonts w:eastAsia="Times New Roman"/>
          <w:lang w:val="en-GB"/>
        </w:rPr>
        <w:t xml:space="preserve">have </w:t>
      </w:r>
      <w:r w:rsidRPr="00A10260">
        <w:rPr>
          <w:rFonts w:eastAsia="Times New Roman"/>
          <w:lang w:val="en-GB"/>
        </w:rPr>
        <w:t>conclude</w:t>
      </w:r>
      <w:r w:rsidR="003462D1" w:rsidRPr="00A10260">
        <w:rPr>
          <w:rFonts w:eastAsia="Times New Roman"/>
          <w:lang w:val="en-GB"/>
        </w:rPr>
        <w:t>d</w:t>
      </w:r>
      <w:r w:rsidRPr="00A10260">
        <w:rPr>
          <w:rFonts w:eastAsia="Times New Roman"/>
          <w:lang w:val="en-GB"/>
        </w:rPr>
        <w:t xml:space="preserve"> that the </w:t>
      </w:r>
      <w:r w:rsidR="00054F10" w:rsidRPr="00A10260">
        <w:rPr>
          <w:rFonts w:eastAsia="Times New Roman"/>
          <w:lang w:val="en-GB"/>
        </w:rPr>
        <w:t xml:space="preserve">claimant </w:t>
      </w:r>
      <w:r w:rsidR="00F96185" w:rsidRPr="00A10260">
        <w:rPr>
          <w:rFonts w:eastAsia="Times New Roman"/>
          <w:lang w:val="en-GB"/>
        </w:rPr>
        <w:t xml:space="preserve">had been a </w:t>
      </w:r>
      <w:r w:rsidRPr="00A10260">
        <w:rPr>
          <w:rFonts w:eastAsia="Times New Roman"/>
          <w:lang w:val="en-GB"/>
        </w:rPr>
        <w:t>communist police</w:t>
      </w:r>
      <w:r w:rsidR="00F96185" w:rsidRPr="00A10260">
        <w:rPr>
          <w:rFonts w:eastAsia="Times New Roman"/>
          <w:lang w:val="en-GB"/>
        </w:rPr>
        <w:t xml:space="preserve"> informant</w:t>
      </w:r>
      <w:r w:rsidRPr="00A10260">
        <w:rPr>
          <w:rFonts w:eastAsia="Times New Roman"/>
          <w:lang w:val="en-GB"/>
        </w:rPr>
        <w:t xml:space="preserve">. Another historian called to testify declared that it </w:t>
      </w:r>
      <w:r w:rsidR="003462D1" w:rsidRPr="00A10260">
        <w:rPr>
          <w:rFonts w:eastAsia="Times New Roman"/>
          <w:lang w:val="en-GB"/>
        </w:rPr>
        <w:t>had been</w:t>
      </w:r>
      <w:r w:rsidRPr="00A10260">
        <w:rPr>
          <w:rFonts w:eastAsia="Times New Roman"/>
          <w:lang w:val="en-GB"/>
        </w:rPr>
        <w:t xml:space="preserve"> impossible to draw any unequivocal conclusions. A third historian stated that the </w:t>
      </w:r>
      <w:r w:rsidR="00054F10" w:rsidRPr="00A10260">
        <w:rPr>
          <w:rFonts w:eastAsia="Times New Roman"/>
          <w:lang w:val="en-GB"/>
        </w:rPr>
        <w:t xml:space="preserve">claimant </w:t>
      </w:r>
      <w:r w:rsidR="003462D1" w:rsidRPr="00A10260">
        <w:rPr>
          <w:rFonts w:eastAsia="Times New Roman"/>
          <w:lang w:val="en-GB"/>
        </w:rPr>
        <w:t xml:space="preserve">had been </w:t>
      </w:r>
      <w:r w:rsidRPr="00A10260">
        <w:rPr>
          <w:rFonts w:eastAsia="Times New Roman"/>
          <w:lang w:val="en-GB"/>
        </w:rPr>
        <w:t xml:space="preserve">a “real agent of the </w:t>
      </w:r>
      <w:r w:rsidR="003462D1" w:rsidRPr="00A10260">
        <w:rPr>
          <w:rFonts w:eastAsia="Times New Roman"/>
          <w:lang w:val="en-GB"/>
        </w:rPr>
        <w:t>s</w:t>
      </w:r>
      <w:r w:rsidRPr="00A10260">
        <w:rPr>
          <w:rFonts w:eastAsia="Times New Roman"/>
          <w:lang w:val="en-GB"/>
        </w:rPr>
        <w:t>ecurity service”. A fourth historian testified that the internal files of the secret services</w:t>
      </w:r>
      <w:r w:rsidR="00054F10" w:rsidRPr="00A10260">
        <w:rPr>
          <w:rFonts w:eastAsia="Times New Roman"/>
          <w:lang w:val="en-GB"/>
        </w:rPr>
        <w:t xml:space="preserve"> were reliable</w:t>
      </w:r>
      <w:r w:rsidRPr="00A10260">
        <w:rPr>
          <w:rFonts w:eastAsia="Times New Roman"/>
          <w:lang w:val="en-GB"/>
        </w:rPr>
        <w:t>; the regime would only falsify documents for external purposes. The same witness considered that on the basis of the information available to him</w:t>
      </w:r>
      <w:r w:rsidR="00F96185" w:rsidRPr="00A10260">
        <w:rPr>
          <w:rFonts w:eastAsia="Times New Roman"/>
          <w:lang w:val="en-GB"/>
        </w:rPr>
        <w:t>,</w:t>
      </w:r>
      <w:r w:rsidRPr="00A10260">
        <w:rPr>
          <w:rFonts w:eastAsia="Times New Roman"/>
          <w:lang w:val="en-GB"/>
        </w:rPr>
        <w:t xml:space="preserve"> he would also have concluded that Mr J.M. had been an intentional and secret collaborator with the communist-era secret services.</w:t>
      </w:r>
    </w:p>
    <w:p w:rsidR="001B69D6" w:rsidRDefault="00D2459E" w:rsidP="00BF7403">
      <w:pPr>
        <w:pStyle w:val="ECHRPara"/>
        <w:rPr>
          <w:rFonts w:eastAsia="Times New Roman"/>
          <w:lang w:val="en-GB"/>
        </w:rPr>
      </w:pPr>
      <w:r w:rsidRPr="00A10260">
        <w:rPr>
          <w:rFonts w:eastAsia="Times New Roman"/>
          <w:lang w:val="en-GB"/>
        </w:rPr>
        <w:t>Two other witnesses, former agents of the secret services, were unable to remember whether they had recruited Mr J.M. as a secret collaborator.</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15</w:t>
      </w:r>
      <w:r w:rsidRPr="009042C4">
        <w:rPr>
          <w:rFonts w:eastAsia="Times New Roman"/>
        </w:rPr>
        <w:fldChar w:fldCharType="end"/>
      </w:r>
      <w:r w:rsidRPr="00A10260">
        <w:rPr>
          <w:rFonts w:eastAsia="Times New Roman"/>
          <w:lang w:val="en-GB"/>
        </w:rPr>
        <w:t>.  The applicant submitted that on</w:t>
      </w:r>
      <w:r w:rsidR="00D75211">
        <w:rPr>
          <w:rFonts w:eastAsia="Times New Roman"/>
          <w:lang w:val="en-GB"/>
        </w:rPr>
        <w:t>ce he had discovered that Mr J.</w:t>
      </w:r>
      <w:r w:rsidRPr="00A10260">
        <w:rPr>
          <w:rFonts w:eastAsia="Times New Roman"/>
          <w:lang w:val="en-GB"/>
        </w:rPr>
        <w:t>M. was on the list of secret collaborators with the secret services it had been his duty to inform the public about it. His intention had not been to offend the claimant. He had acted in the general interest, taking part in a public debate on matters of considerable importance to society. Moreover, his assertion had been provoked by public statements made by the claimant, who had questioned the importance of lustration. The applicant also argued that he had not alleged that the claimant had caused harm to other people or that he had been paid for his services. The inform</w:t>
      </w:r>
      <w:r w:rsidR="00D75211">
        <w:rPr>
          <w:rFonts w:eastAsia="Times New Roman"/>
          <w:lang w:val="en-GB"/>
        </w:rPr>
        <w:t>ation provided by him - that J.</w:t>
      </w:r>
      <w:r w:rsidRPr="00A10260">
        <w:rPr>
          <w:rFonts w:eastAsia="Times New Roman"/>
          <w:lang w:val="en-GB"/>
        </w:rPr>
        <w:t>M. had been a collaborator - had therefore been truthful and given in the public interest.</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16</w:t>
      </w:r>
      <w:r w:rsidRPr="009042C4">
        <w:rPr>
          <w:rFonts w:eastAsia="Times New Roman"/>
        </w:rPr>
        <w:fldChar w:fldCharType="end"/>
      </w:r>
      <w:r w:rsidRPr="00A10260">
        <w:rPr>
          <w:rFonts w:eastAsia="Times New Roman"/>
          <w:lang w:val="en-GB"/>
        </w:rPr>
        <w:t>.  Nevertheless, the court noted that no documents confirming that the claimant had agreed to be a collaborator or that he had actively reported to the secret services were available. The court referred to the definition of collaboration contained in the 1997 Lustration Act and reiterated that coll</w:t>
      </w:r>
      <w:r w:rsidR="004F7752">
        <w:rPr>
          <w:rFonts w:eastAsia="Times New Roman"/>
          <w:lang w:val="en-GB"/>
        </w:rPr>
        <w:t xml:space="preserve">aboration had to be intentional, </w:t>
      </w:r>
      <w:r w:rsidRPr="00A10260">
        <w:rPr>
          <w:rFonts w:eastAsia="Times New Roman"/>
          <w:lang w:val="en-GB"/>
        </w:rPr>
        <w:t>secret and consist of passing on information. It concluded that registration by the secret services alone was not sufficient to consider that someone had been a secret collaborator.</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17</w:t>
      </w:r>
      <w:r w:rsidRPr="009042C4">
        <w:rPr>
          <w:rFonts w:eastAsia="Times New Roman"/>
        </w:rPr>
        <w:fldChar w:fldCharType="end"/>
      </w:r>
      <w:r w:rsidRPr="00A10260">
        <w:rPr>
          <w:rFonts w:eastAsia="Times New Roman"/>
          <w:lang w:val="en-GB"/>
        </w:rPr>
        <w:t xml:space="preserve">.  The applicant lodged an appeal against the judgment. He argued that the registration of </w:t>
      </w:r>
      <w:r w:rsidR="00A10260">
        <w:rPr>
          <w:rFonts w:eastAsia="Times New Roman"/>
          <w:lang w:val="en-GB"/>
        </w:rPr>
        <w:t xml:space="preserve">Mr </w:t>
      </w:r>
      <w:r w:rsidR="00D75211">
        <w:rPr>
          <w:rFonts w:eastAsia="Times New Roman"/>
          <w:lang w:val="en-GB"/>
        </w:rPr>
        <w:t>J.</w:t>
      </w:r>
      <w:r w:rsidRPr="00A10260">
        <w:rPr>
          <w:rFonts w:eastAsia="Times New Roman"/>
          <w:lang w:val="en-GB"/>
        </w:rPr>
        <w:t>M. as a secret collaborator by the services, in light of generally known facts, had allowed him to conclude that he</w:t>
      </w:r>
      <w:r w:rsidR="00D75211">
        <w:rPr>
          <w:rFonts w:eastAsia="Times New Roman"/>
          <w:lang w:val="en-GB"/>
        </w:rPr>
        <w:t xml:space="preserve"> had been a collaborator. Mr J.</w:t>
      </w:r>
      <w:r w:rsidRPr="00A10260">
        <w:rPr>
          <w:rFonts w:eastAsia="Times New Roman"/>
          <w:lang w:val="en-GB"/>
        </w:rPr>
        <w:t>M. had remained registered as a TW for eleven years, his files had been destroyed, and the secret services had not been known for falsifying their internal files. According to historians, in 1989 the services had only destroyed the files of important collaborators. The applicant underlined that he had acted in the general interest as the claimant had been a public figure who had recently criticised the process of lustration.</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18</w:t>
      </w:r>
      <w:r w:rsidRPr="009042C4">
        <w:rPr>
          <w:rFonts w:eastAsia="Times New Roman"/>
        </w:rPr>
        <w:fldChar w:fldCharType="end"/>
      </w:r>
      <w:r w:rsidRPr="00A10260">
        <w:rPr>
          <w:rFonts w:eastAsia="Times New Roman"/>
          <w:lang w:val="en-GB"/>
        </w:rPr>
        <w:t xml:space="preserve">.  On 29 October 2008 the Wrocław Court of Appeal dismissed the appeal. It further ordered the applicant to pay the claimant PLN 2,000 as reimbursement of the costs of the appellate proceedings. The court accepted all the findings of the first-instance court regarding the facts of the case. It considered that when personal rights had been breached by a statement of alleged facts, the illegality of such action could be excluded only if the statement contained truthful information. Acting in the general interest did not exclude responsibility for making untrue statements. In the present case there was no evidence, in the form of </w:t>
      </w:r>
      <w:r w:rsidR="00E712F9" w:rsidRPr="00A10260">
        <w:rPr>
          <w:rFonts w:eastAsia="Times New Roman"/>
          <w:lang w:val="en-GB"/>
        </w:rPr>
        <w:t xml:space="preserve">either </w:t>
      </w:r>
      <w:r w:rsidRPr="00A10260">
        <w:rPr>
          <w:rFonts w:eastAsia="Times New Roman"/>
          <w:lang w:val="en-GB"/>
        </w:rPr>
        <w:t xml:space="preserve">documents or witness statements, proving that </w:t>
      </w:r>
      <w:r w:rsidR="002B31A5" w:rsidRPr="00A10260">
        <w:rPr>
          <w:rFonts w:eastAsia="Times New Roman"/>
          <w:lang w:val="en-GB"/>
        </w:rPr>
        <w:t xml:space="preserve">Mr </w:t>
      </w:r>
      <w:r w:rsidR="00D75211">
        <w:rPr>
          <w:rFonts w:eastAsia="Times New Roman"/>
          <w:lang w:val="en-GB"/>
        </w:rPr>
        <w:t>J.</w:t>
      </w:r>
      <w:r w:rsidRPr="00A10260">
        <w:rPr>
          <w:rFonts w:eastAsia="Times New Roman"/>
          <w:lang w:val="en-GB"/>
        </w:rPr>
        <w:t>M. had indeed actively collaborated with the secret services. Therefore, in the light of the material collected in the case, the court concluded that the applicant had not proved the veracity of his statements. Furthermore, the court considered that the applicant had not fulfilled his duty to act with particular diligence and caution in making serious allegations on the basis of unconfirmed circumstantial evidence.</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19</w:t>
      </w:r>
      <w:r w:rsidRPr="009042C4">
        <w:rPr>
          <w:rFonts w:eastAsia="Times New Roman"/>
        </w:rPr>
        <w:fldChar w:fldCharType="end"/>
      </w:r>
      <w:r w:rsidRPr="00A10260">
        <w:rPr>
          <w:rFonts w:eastAsia="Times New Roman"/>
          <w:lang w:val="en-GB"/>
        </w:rPr>
        <w:t>.  The applicant lodged a cassation appeal against the judgment and requested that a hearing be held.</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20</w:t>
      </w:r>
      <w:r w:rsidRPr="009042C4">
        <w:rPr>
          <w:rFonts w:eastAsia="Times New Roman"/>
        </w:rPr>
        <w:fldChar w:fldCharType="end"/>
      </w:r>
      <w:r w:rsidRPr="00A10260">
        <w:rPr>
          <w:rFonts w:eastAsia="Times New Roman"/>
          <w:lang w:val="en-GB"/>
        </w:rPr>
        <w:t>.  At the hearing, held on 10 September 2009, the Supreme Court announced the judgment and gave an oral summary of the reasons. It dismissed the applicant</w:t>
      </w:r>
      <w:r w:rsidR="00112E16">
        <w:rPr>
          <w:rFonts w:eastAsia="Times New Roman"/>
          <w:lang w:val="en-GB"/>
        </w:rPr>
        <w:t>’</w:t>
      </w:r>
      <w:r w:rsidRPr="00A10260">
        <w:rPr>
          <w:rFonts w:eastAsia="Times New Roman"/>
          <w:lang w:val="en-GB"/>
        </w:rPr>
        <w:t>s cassation appeal but amended the text of the apology and limited its reach to one national daily newspaper and Radio Wrocław. The applicant was ordered to reimburse the claimant a further PLN 2,000 for the costs of the cassation proceedings.</w:t>
      </w:r>
    </w:p>
    <w:p w:rsidR="00D2459E" w:rsidRPr="00A10260" w:rsidRDefault="00D2459E" w:rsidP="00BF7403">
      <w:pPr>
        <w:pStyle w:val="ECHRPara"/>
        <w:rPr>
          <w:rFonts w:eastAsia="Times New Roman"/>
          <w:lang w:val="en-GB"/>
        </w:rPr>
      </w:pPr>
      <w:r w:rsidRPr="00A10260">
        <w:rPr>
          <w:rFonts w:eastAsia="Times New Roman"/>
          <w:lang w:val="en-GB"/>
        </w:rPr>
        <w:t>The text of the apology to be published by the applicant was as follows:</w:t>
      </w:r>
    </w:p>
    <w:p w:rsidR="00D2459E" w:rsidRPr="00A10260" w:rsidRDefault="00D2459E" w:rsidP="00A10260">
      <w:pPr>
        <w:pStyle w:val="ECHRParaQuote"/>
        <w:rPr>
          <w:rFonts w:eastAsia="Times New Roman"/>
          <w:lang w:val="en-GB"/>
        </w:rPr>
      </w:pPr>
      <w:r w:rsidRPr="00A10260">
        <w:rPr>
          <w:rFonts w:eastAsia="Times New Roman"/>
          <w:lang w:val="en-GB"/>
        </w:rPr>
        <w:t>“I</w:t>
      </w:r>
      <w:r w:rsidR="00D75211">
        <w:rPr>
          <w:rFonts w:eastAsia="Times New Roman"/>
          <w:lang w:val="en-GB"/>
        </w:rPr>
        <w:t xml:space="preserve"> apologise to Professor J.</w:t>
      </w:r>
      <w:r w:rsidRPr="00A10260">
        <w:rPr>
          <w:rFonts w:eastAsia="Times New Roman"/>
          <w:lang w:val="en-GB"/>
        </w:rPr>
        <w:t>M. for having made, on 20 April 2007, the untrue assertion that he had been an informer of the [communist-era] political police”.</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21</w:t>
      </w:r>
      <w:r w:rsidRPr="009042C4">
        <w:rPr>
          <w:rFonts w:eastAsia="Times New Roman"/>
        </w:rPr>
        <w:fldChar w:fldCharType="end"/>
      </w:r>
      <w:r w:rsidRPr="00A10260">
        <w:rPr>
          <w:rFonts w:eastAsia="Times New Roman"/>
          <w:lang w:val="en-GB"/>
        </w:rPr>
        <w:t>.  Following the announcement of the judgment the applicant</w:t>
      </w:r>
      <w:r w:rsidR="00112E16">
        <w:rPr>
          <w:rFonts w:eastAsia="Times New Roman"/>
          <w:lang w:val="en-GB"/>
        </w:rPr>
        <w:t>’</w:t>
      </w:r>
      <w:r w:rsidRPr="00A10260">
        <w:rPr>
          <w:rFonts w:eastAsia="Times New Roman"/>
          <w:lang w:val="en-GB"/>
        </w:rPr>
        <w:t>s lawyer requested the court to prepare written reasons and to deliver them to him. The Supreme Court</w:t>
      </w:r>
      <w:r w:rsidR="00112E16">
        <w:rPr>
          <w:rFonts w:eastAsia="Times New Roman"/>
          <w:lang w:val="en-GB"/>
        </w:rPr>
        <w:t>’</w:t>
      </w:r>
      <w:r w:rsidRPr="00A10260">
        <w:rPr>
          <w:rFonts w:eastAsia="Times New Roman"/>
          <w:lang w:val="en-GB"/>
        </w:rPr>
        <w:t>s judgment with reasons, fifteen pages long, was received by the applicant</w:t>
      </w:r>
      <w:r w:rsidR="00112E16">
        <w:rPr>
          <w:rFonts w:eastAsia="Times New Roman"/>
          <w:lang w:val="en-GB"/>
        </w:rPr>
        <w:t>’</w:t>
      </w:r>
      <w:r w:rsidRPr="00A10260">
        <w:rPr>
          <w:rFonts w:eastAsia="Times New Roman"/>
          <w:lang w:val="en-GB"/>
        </w:rPr>
        <w:t>s lawyer on 30 November 2009.</w:t>
      </w:r>
    </w:p>
    <w:p w:rsidR="00D2459E" w:rsidRPr="00A10260" w:rsidRDefault="00D2459E" w:rsidP="00BF7403">
      <w:pPr>
        <w:pStyle w:val="ECHRPara"/>
        <w:rPr>
          <w:lang w:val="en-GB"/>
        </w:rPr>
      </w:pPr>
      <w:r w:rsidRPr="00F46BFF">
        <w:rPr>
          <w:rFonts w:eastAsia="Times New Roman"/>
        </w:rPr>
        <w:fldChar w:fldCharType="begin"/>
      </w:r>
      <w:r w:rsidRPr="00A10260">
        <w:rPr>
          <w:rFonts w:eastAsia="Times New Roman"/>
          <w:lang w:val="en-GB"/>
        </w:rPr>
        <w:instrText xml:space="preserve"> SEQ level0 \*arabic </w:instrText>
      </w:r>
      <w:r w:rsidRPr="00F46BFF">
        <w:rPr>
          <w:rFonts w:eastAsia="Times New Roman"/>
        </w:rPr>
        <w:fldChar w:fldCharType="separate"/>
      </w:r>
      <w:r w:rsidR="000E1CAB">
        <w:rPr>
          <w:rFonts w:eastAsia="Times New Roman"/>
          <w:noProof/>
          <w:lang w:val="en-GB"/>
        </w:rPr>
        <w:t>22</w:t>
      </w:r>
      <w:r w:rsidRPr="00F46BFF">
        <w:rPr>
          <w:rFonts w:eastAsia="Times New Roman"/>
        </w:rPr>
        <w:fldChar w:fldCharType="end"/>
      </w:r>
      <w:r w:rsidRPr="00A10260">
        <w:rPr>
          <w:rFonts w:eastAsia="Times New Roman"/>
          <w:lang w:val="en-GB"/>
        </w:rPr>
        <w:t xml:space="preserve">.  In analysing the interplay between two competing rights </w:t>
      </w:r>
      <w:r w:rsidR="00E712F9" w:rsidRPr="00A10260">
        <w:rPr>
          <w:rFonts w:eastAsia="Times New Roman"/>
          <w:lang w:val="en-GB"/>
        </w:rPr>
        <w:t xml:space="preserve">– the right to </w:t>
      </w:r>
      <w:r w:rsidRPr="00A10260">
        <w:rPr>
          <w:rFonts w:eastAsia="Times New Roman"/>
          <w:lang w:val="en-GB"/>
        </w:rPr>
        <w:t>freedom of expression and the right to protect one</w:t>
      </w:r>
      <w:r w:rsidR="00112E16">
        <w:rPr>
          <w:rFonts w:eastAsia="Times New Roman"/>
          <w:lang w:val="en-GB"/>
        </w:rPr>
        <w:t>’</w:t>
      </w:r>
      <w:r w:rsidRPr="00A10260">
        <w:rPr>
          <w:rFonts w:eastAsia="Times New Roman"/>
          <w:lang w:val="en-GB"/>
        </w:rPr>
        <w:t xml:space="preserve">s good name </w:t>
      </w:r>
      <w:r w:rsidR="00E712F9" w:rsidRPr="00A10260">
        <w:rPr>
          <w:rFonts w:eastAsia="Times New Roman"/>
          <w:lang w:val="en-GB"/>
        </w:rPr>
        <w:t xml:space="preserve">– </w:t>
      </w:r>
      <w:r w:rsidRPr="00A10260">
        <w:rPr>
          <w:rFonts w:eastAsia="Times New Roman"/>
          <w:lang w:val="en-GB"/>
        </w:rPr>
        <w:t>the court referred to a resolution of the Supreme Court (18 February 2005, III</w:t>
      </w:r>
      <w:r w:rsidR="00FF6C28">
        <w:rPr>
          <w:rFonts w:eastAsia="Times New Roman"/>
          <w:lang w:val="en-GB"/>
        </w:rPr>
        <w:t> </w:t>
      </w:r>
      <w:r w:rsidRPr="00A10260">
        <w:rPr>
          <w:rFonts w:eastAsia="Times New Roman"/>
          <w:lang w:val="en-GB"/>
        </w:rPr>
        <w:t>CZP 53/04 OSNC 2005, nr 7-8, p 114). According to the conclusion of this resolution a journalist</w:t>
      </w:r>
      <w:r w:rsidR="00112E16">
        <w:rPr>
          <w:rFonts w:eastAsia="Times New Roman"/>
          <w:lang w:val="en-GB"/>
        </w:rPr>
        <w:t>’</w:t>
      </w:r>
      <w:r w:rsidRPr="00A10260">
        <w:rPr>
          <w:rFonts w:eastAsia="Times New Roman"/>
          <w:lang w:val="en-GB"/>
        </w:rPr>
        <w:t>s actions would not be considered illegal if they were made in the public interest and the duty to act with due diligence was fulfilled. Imposing an obligation on a journalist to prove the veracity of each statement would unjustifiably limit the freedom of the press in a democratic society. However, the Supreme Court considered that this approach could not be applied to the applicant</w:t>
      </w:r>
      <w:r w:rsidR="00112E16">
        <w:rPr>
          <w:rFonts w:eastAsia="Times New Roman"/>
          <w:lang w:val="en-GB"/>
        </w:rPr>
        <w:t>’</w:t>
      </w:r>
      <w:r w:rsidRPr="00A10260">
        <w:rPr>
          <w:rFonts w:eastAsia="Times New Roman"/>
          <w:lang w:val="en-GB"/>
        </w:rPr>
        <w:t>s case as his statement had been of a private nature and the applicant could not be considered to be a journalist with a socially necessary duty to inform. Therefore</w:t>
      </w:r>
      <w:r w:rsidR="004F7752">
        <w:rPr>
          <w:rFonts w:eastAsia="Times New Roman"/>
          <w:lang w:val="en-GB"/>
        </w:rPr>
        <w:t>,</w:t>
      </w:r>
      <w:r w:rsidRPr="00A10260">
        <w:rPr>
          <w:rFonts w:eastAsia="Times New Roman"/>
          <w:lang w:val="en-GB"/>
        </w:rPr>
        <w:t xml:space="preserve"> the interpretation of the law adopted by the lower courts </w:t>
      </w:r>
      <w:r w:rsidR="00812EC7" w:rsidRPr="00A10260">
        <w:rPr>
          <w:rFonts w:eastAsia="Times New Roman"/>
          <w:lang w:val="en-GB"/>
        </w:rPr>
        <w:t>wa</w:t>
      </w:r>
      <w:r w:rsidRPr="00A10260">
        <w:rPr>
          <w:rFonts w:eastAsia="Times New Roman"/>
          <w:lang w:val="en-GB"/>
        </w:rPr>
        <w:t xml:space="preserve">s correct. Making </w:t>
      </w:r>
      <w:r w:rsidR="00812EC7" w:rsidRPr="00A10260">
        <w:rPr>
          <w:rFonts w:eastAsia="Times New Roman"/>
          <w:lang w:val="en-GB"/>
        </w:rPr>
        <w:t>false allegations wa</w:t>
      </w:r>
      <w:r w:rsidRPr="00A10260">
        <w:rPr>
          <w:rFonts w:eastAsia="Times New Roman"/>
          <w:lang w:val="en-GB"/>
        </w:rPr>
        <w:t>s illegal</w:t>
      </w:r>
      <w:r w:rsidR="00054F10" w:rsidRPr="00A10260">
        <w:rPr>
          <w:rFonts w:eastAsia="Times New Roman"/>
          <w:lang w:val="en-GB"/>
        </w:rPr>
        <w:t>,</w:t>
      </w:r>
      <w:r w:rsidRPr="00A10260">
        <w:rPr>
          <w:rFonts w:eastAsia="Times New Roman"/>
          <w:lang w:val="en-GB"/>
        </w:rPr>
        <w:t xml:space="preserve"> whereas</w:t>
      </w:r>
      <w:r w:rsidRPr="00A10260">
        <w:rPr>
          <w:lang w:val="en-GB"/>
        </w:rPr>
        <w:t xml:space="preserve"> the question of due diligence </w:t>
      </w:r>
      <w:r w:rsidR="00812EC7" w:rsidRPr="00A10260">
        <w:rPr>
          <w:lang w:val="en-GB"/>
        </w:rPr>
        <w:t xml:space="preserve">would </w:t>
      </w:r>
      <w:r w:rsidRPr="00A10260">
        <w:rPr>
          <w:lang w:val="en-GB"/>
        </w:rPr>
        <w:t xml:space="preserve">be taken into account </w:t>
      </w:r>
      <w:r w:rsidR="00812EC7" w:rsidRPr="00A10260">
        <w:rPr>
          <w:lang w:val="en-GB"/>
        </w:rPr>
        <w:t xml:space="preserve">only </w:t>
      </w:r>
      <w:r w:rsidRPr="00A10260">
        <w:rPr>
          <w:lang w:val="en-GB"/>
        </w:rPr>
        <w:t>when assessing the fault of the</w:t>
      </w:r>
      <w:r w:rsidR="00812EC7" w:rsidRPr="00A10260">
        <w:rPr>
          <w:lang w:val="en-GB"/>
        </w:rPr>
        <w:t xml:space="preserve"> </w:t>
      </w:r>
      <w:r w:rsidR="00CE1235" w:rsidRPr="00A10260">
        <w:rPr>
          <w:lang w:val="en-GB"/>
        </w:rPr>
        <w:t>defendant</w:t>
      </w:r>
      <w:r w:rsidRPr="00A10260">
        <w:rPr>
          <w:lang w:val="en-GB"/>
        </w:rPr>
        <w:t>.</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23</w:t>
      </w:r>
      <w:r w:rsidRPr="009042C4">
        <w:rPr>
          <w:rFonts w:eastAsia="Times New Roman"/>
        </w:rPr>
        <w:fldChar w:fldCharType="end"/>
      </w:r>
      <w:r w:rsidRPr="00A10260">
        <w:rPr>
          <w:rFonts w:eastAsia="Times New Roman"/>
          <w:lang w:val="en-GB"/>
        </w:rPr>
        <w:t>.  The court agreed with the facts as established by the lower courts in particular as regards the conclusion that the statement made by the applicant had not been true. Following the approach taken in the case thus far</w:t>
      </w:r>
      <w:r w:rsidR="004F7752">
        <w:rPr>
          <w:rFonts w:eastAsia="Times New Roman"/>
          <w:lang w:val="en-GB"/>
        </w:rPr>
        <w:t>,</w:t>
      </w:r>
      <w:r w:rsidRPr="00A10260">
        <w:rPr>
          <w:rFonts w:eastAsia="Times New Roman"/>
          <w:lang w:val="en-GB"/>
        </w:rPr>
        <w:t xml:space="preserve"> the court considered that making an untrue statement that offended the personal rights of a person would always be contrary to the law. Breaching someone</w:t>
      </w:r>
      <w:r w:rsidR="00112E16">
        <w:rPr>
          <w:rFonts w:eastAsia="Times New Roman"/>
          <w:lang w:val="en-GB"/>
        </w:rPr>
        <w:t>’</w:t>
      </w:r>
      <w:r w:rsidRPr="00A10260">
        <w:rPr>
          <w:rFonts w:eastAsia="Times New Roman"/>
          <w:lang w:val="en-GB"/>
        </w:rPr>
        <w:t>s personal rights would not be against the law only if the statement could be proven to be true. An untrue statement would remain illegal even if all efforts had been made to diligently collect and examine its factual basis. In consequence, whether the applicant had acted in good faith and in the public interest or believed that the statement had been true did not influence the illegality of his action and could only be considered when assessing his financial liability for offending the personal rights of</w:t>
      </w:r>
      <w:r w:rsidR="0037520C">
        <w:rPr>
          <w:rFonts w:eastAsia="Times New Roman"/>
          <w:lang w:val="en-GB"/>
        </w:rPr>
        <w:t xml:space="preserve"> Mr</w:t>
      </w:r>
      <w:r w:rsidRPr="00A10260">
        <w:rPr>
          <w:rFonts w:eastAsia="Times New Roman"/>
          <w:lang w:val="en-GB"/>
        </w:rPr>
        <w:t xml:space="preserve"> J.M.</w:t>
      </w:r>
    </w:p>
    <w:p w:rsidR="00D2459E" w:rsidRPr="00A10260" w:rsidRDefault="00D2459E" w:rsidP="00BF7403">
      <w:pPr>
        <w:pStyle w:val="ECHRHeading1"/>
        <w:rPr>
          <w:rFonts w:eastAsia="Times New Roman"/>
          <w:lang w:val="en-GB"/>
        </w:rPr>
      </w:pPr>
      <w:r w:rsidRPr="00A10260">
        <w:rPr>
          <w:rFonts w:eastAsia="Times New Roman"/>
          <w:lang w:val="en-GB"/>
        </w:rPr>
        <w:t>II.  RELEVANT DOMESTIC LAW AND PRACTICE</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24</w:t>
      </w:r>
      <w:r w:rsidRPr="009042C4">
        <w:rPr>
          <w:rFonts w:eastAsia="Times New Roman"/>
        </w:rPr>
        <w:fldChar w:fldCharType="end"/>
      </w:r>
      <w:r w:rsidRPr="00A10260">
        <w:rPr>
          <w:rFonts w:eastAsia="Times New Roman"/>
          <w:lang w:val="en-GB"/>
        </w:rPr>
        <w:t>.  Article 23 of the Civil Code contains a non-exhaustive list of the rights known as “personal rights” (</w:t>
      </w:r>
      <w:r w:rsidRPr="00A10260">
        <w:rPr>
          <w:rFonts w:eastAsia="Times New Roman"/>
          <w:i/>
          <w:iCs/>
          <w:lang w:val="en-GB"/>
        </w:rPr>
        <w:t>dobra osobiste</w:t>
      </w:r>
      <w:r w:rsidRPr="00A10260">
        <w:rPr>
          <w:rFonts w:eastAsia="Times New Roman"/>
          <w:lang w:val="en-GB"/>
        </w:rPr>
        <w:t>). This provision states:</w:t>
      </w:r>
    </w:p>
    <w:p w:rsidR="00D2459E" w:rsidRPr="009042C4" w:rsidRDefault="00D2459E" w:rsidP="00D2459E">
      <w:pPr>
        <w:spacing w:before="120" w:after="120"/>
        <w:ind w:left="425" w:firstLine="142"/>
        <w:rPr>
          <w:rFonts w:ascii="Times New Roman" w:eastAsia="Times New Roman" w:hAnsi="Times New Roman" w:cs="Times New Roman"/>
          <w:sz w:val="20"/>
          <w:lang w:val="en-GB" w:eastAsia="fr-FR"/>
        </w:rPr>
      </w:pPr>
      <w:r w:rsidRPr="009042C4">
        <w:rPr>
          <w:rFonts w:ascii="Times New Roman" w:eastAsia="Times New Roman" w:hAnsi="Times New Roman" w:cs="Times New Roman"/>
          <w:sz w:val="20"/>
          <w:lang w:val="en-GB" w:eastAsia="fr-FR"/>
        </w:rPr>
        <w:t>“The personal rights of an individual, such as, in particular, health, liberty, reputation (</w:t>
      </w:r>
      <w:r w:rsidRPr="009042C4">
        <w:rPr>
          <w:rFonts w:ascii="Times New Roman" w:eastAsia="Times New Roman" w:hAnsi="Times New Roman" w:cs="Times New Roman"/>
          <w:i/>
          <w:sz w:val="20"/>
          <w:lang w:val="en-GB" w:eastAsia="fr-FR"/>
        </w:rPr>
        <w:t>cześć</w:t>
      </w:r>
      <w:r w:rsidRPr="009042C4">
        <w:rPr>
          <w:rFonts w:ascii="Times New Roman" w:eastAsia="Times New Roman" w:hAnsi="Times New Roman" w:cs="Times New Roman"/>
          <w:sz w:val="20"/>
          <w:lang w:val="en-GB" w:eastAsia="fr-FR"/>
        </w:rPr>
        <w:t>),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25</w:t>
      </w:r>
      <w:r w:rsidRPr="009042C4">
        <w:rPr>
          <w:rFonts w:eastAsia="Times New Roman"/>
        </w:rPr>
        <w:fldChar w:fldCharType="end"/>
      </w:r>
      <w:r w:rsidRPr="00A10260">
        <w:rPr>
          <w:rFonts w:eastAsia="Times New Roman"/>
          <w:lang w:val="en-GB"/>
        </w:rPr>
        <w:t xml:space="preserve">.  Article 24 of the Civil Code provides for ways of redressing infringements of personal rights. According to that provision, a person facing the danger of an infringement may demand that the prospective perpetrator refrain from the wrongful activity, unless it is not unlawful. Where an infringement has taken place, the person affected may, </w:t>
      </w:r>
      <w:r w:rsidRPr="00A10260">
        <w:rPr>
          <w:rFonts w:eastAsia="Times New Roman"/>
          <w:i/>
          <w:iCs/>
          <w:lang w:val="en-GB"/>
        </w:rPr>
        <w:t>inter alia</w:t>
      </w:r>
      <w:r w:rsidRPr="00A10260">
        <w:rPr>
          <w:rFonts w:eastAsia="Times New Roman"/>
          <w:lang w:val="en-GB"/>
        </w:rPr>
        <w:t>, request that the wrongdoer make a relevant statement in an appropriate form, or claim just satisfaction from him or her. If an infringement of a personal right causes financial loss, the person concerned may seek damages.</w:t>
      </w:r>
    </w:p>
    <w:p w:rsidR="00D2459E" w:rsidRPr="00A10260" w:rsidRDefault="00D2459E" w:rsidP="00BF740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26</w:t>
      </w:r>
      <w:r w:rsidRPr="009042C4">
        <w:rPr>
          <w:rFonts w:eastAsia="Times New Roman"/>
        </w:rPr>
        <w:fldChar w:fldCharType="end"/>
      </w:r>
      <w:r w:rsidRPr="00A10260">
        <w:rPr>
          <w:rFonts w:eastAsia="Times New Roman"/>
          <w:lang w:val="en-GB"/>
        </w:rPr>
        <w:t>.  The definition of collaboration was the same under the Law of 11 April 1997 on disclosing work for or service in the State</w:t>
      </w:r>
      <w:r w:rsidR="00112E16">
        <w:rPr>
          <w:rFonts w:eastAsia="Times New Roman"/>
          <w:lang w:val="en-GB"/>
        </w:rPr>
        <w:t>’</w:t>
      </w:r>
      <w:r w:rsidRPr="00A10260">
        <w:rPr>
          <w:rFonts w:eastAsia="Times New Roman"/>
          <w:lang w:val="en-GB"/>
        </w:rPr>
        <w:t>s security services or collaboration with them between 1944 and 1990 by persons exercising public functions (section 4(1) of the 1997 Lustration Act) and the new Lustration Act of 2006 (section 3 a(1)). It provided as follows:</w:t>
      </w:r>
    </w:p>
    <w:p w:rsidR="00D2459E" w:rsidRPr="009042C4" w:rsidRDefault="00D2459E" w:rsidP="00D2459E">
      <w:pPr>
        <w:spacing w:before="120" w:after="120"/>
        <w:ind w:left="425" w:firstLine="142"/>
        <w:rPr>
          <w:rFonts w:ascii="Times New Roman" w:eastAsia="Times New Roman" w:hAnsi="Times New Roman" w:cs="Times New Roman"/>
          <w:sz w:val="20"/>
          <w:lang w:val="en-GB" w:eastAsia="fr-FR"/>
        </w:rPr>
      </w:pPr>
      <w:r w:rsidRPr="009042C4">
        <w:rPr>
          <w:rFonts w:ascii="Times New Roman" w:eastAsia="Times New Roman" w:hAnsi="Times New Roman" w:cs="Times New Roman"/>
          <w:sz w:val="20"/>
          <w:lang w:val="en-GB" w:eastAsia="fr-FR"/>
        </w:rPr>
        <w:t>“Collaboration within the meaning of this law is an intentional and secret collaboration with operational or investigative branches of the State</w:t>
      </w:r>
      <w:r w:rsidR="00112E16">
        <w:rPr>
          <w:rFonts w:ascii="Times New Roman" w:eastAsia="Times New Roman" w:hAnsi="Times New Roman" w:cs="Times New Roman"/>
          <w:sz w:val="20"/>
          <w:lang w:val="en-GB" w:eastAsia="fr-FR"/>
        </w:rPr>
        <w:t>’</w:t>
      </w:r>
      <w:r w:rsidRPr="009042C4">
        <w:rPr>
          <w:rFonts w:ascii="Times New Roman" w:eastAsia="Times New Roman" w:hAnsi="Times New Roman" w:cs="Times New Roman"/>
          <w:sz w:val="20"/>
          <w:lang w:val="en-GB" w:eastAsia="fr-FR"/>
        </w:rPr>
        <w:t>s security services as a secret informer or assistant in the process of gathering information.”</w:t>
      </w:r>
    </w:p>
    <w:p w:rsidR="00D2459E" w:rsidRPr="00A10260" w:rsidRDefault="00D2459E" w:rsidP="003C2FC3">
      <w:pPr>
        <w:pStyle w:val="ECHRTitle1"/>
        <w:rPr>
          <w:rFonts w:eastAsia="Times New Roman"/>
          <w:lang w:val="en-GB"/>
        </w:rPr>
      </w:pPr>
      <w:r w:rsidRPr="00A10260">
        <w:rPr>
          <w:rFonts w:eastAsia="Times New Roman"/>
          <w:lang w:val="en-GB"/>
        </w:rPr>
        <w:t>THE LAW</w:t>
      </w:r>
    </w:p>
    <w:p w:rsidR="00D2459E" w:rsidRPr="00A10260" w:rsidRDefault="00D2459E" w:rsidP="003C2FC3">
      <w:pPr>
        <w:pStyle w:val="ECHRHeading1"/>
        <w:rPr>
          <w:rFonts w:eastAsia="Times New Roman"/>
          <w:lang w:val="en-GB"/>
        </w:rPr>
      </w:pPr>
      <w:r w:rsidRPr="00A10260">
        <w:rPr>
          <w:rFonts w:eastAsia="Times New Roman"/>
          <w:lang w:val="en-GB"/>
        </w:rPr>
        <w:t>I.  ALLEGED VIOLATION OF ARTICLE 10 OF THE CONVENTION</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27</w:t>
      </w:r>
      <w:r w:rsidRPr="009042C4">
        <w:rPr>
          <w:rFonts w:eastAsia="Times New Roman"/>
        </w:rPr>
        <w:fldChar w:fldCharType="end"/>
      </w:r>
      <w:r w:rsidRPr="00A10260">
        <w:rPr>
          <w:rFonts w:eastAsia="Times New Roman"/>
          <w:lang w:val="en-GB"/>
        </w:rPr>
        <w:t>.  The applicant complained under Article 10 of the Convention of a breach of his right to freedom of expression. This Article reads as follows:</w:t>
      </w:r>
    </w:p>
    <w:p w:rsidR="00D2459E" w:rsidRPr="009042C4" w:rsidRDefault="00D2459E" w:rsidP="00D2459E">
      <w:pPr>
        <w:spacing w:before="120" w:after="120"/>
        <w:ind w:left="425" w:firstLine="142"/>
        <w:rPr>
          <w:rFonts w:ascii="Times New Roman" w:eastAsia="Times New Roman" w:hAnsi="Times New Roman" w:cs="Times New Roman"/>
          <w:sz w:val="20"/>
          <w:lang w:val="en-GB" w:eastAsia="fr-FR"/>
        </w:rPr>
      </w:pPr>
      <w:r w:rsidRPr="009042C4">
        <w:rPr>
          <w:rFonts w:ascii="Times New Roman" w:eastAsia="Times New Roman" w:hAnsi="Times New Roman" w:cs="Times New Roman"/>
          <w:sz w:val="20"/>
          <w:lang w:val="en-GB" w:eastAsia="fr-FR"/>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D2459E" w:rsidRPr="009042C4" w:rsidRDefault="00D2459E" w:rsidP="00D2459E">
      <w:pPr>
        <w:spacing w:before="120" w:after="120"/>
        <w:ind w:left="425" w:firstLine="142"/>
        <w:rPr>
          <w:rFonts w:ascii="Times New Roman" w:eastAsia="Times New Roman" w:hAnsi="Times New Roman" w:cs="Times New Roman"/>
          <w:sz w:val="20"/>
          <w:lang w:val="en-GB" w:eastAsia="fr-FR"/>
        </w:rPr>
      </w:pPr>
      <w:r w:rsidRPr="009042C4">
        <w:rPr>
          <w:rFonts w:ascii="Times New Roman" w:eastAsia="Times New Roman" w:hAnsi="Times New Roman" w:cs="Times New Roman"/>
          <w:sz w:val="20"/>
          <w:lang w:val="en-GB" w:eastAsia="fr-FR"/>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28</w:t>
      </w:r>
      <w:r w:rsidRPr="009042C4">
        <w:rPr>
          <w:rFonts w:eastAsia="Times New Roman"/>
        </w:rPr>
        <w:fldChar w:fldCharType="end"/>
      </w:r>
      <w:r w:rsidRPr="00A10260">
        <w:rPr>
          <w:rFonts w:eastAsia="Times New Roman"/>
          <w:lang w:val="en-GB"/>
        </w:rPr>
        <w:t>.  The Government contested that argument.</w:t>
      </w:r>
    </w:p>
    <w:p w:rsidR="00D2459E" w:rsidRPr="00A10260" w:rsidRDefault="00D2459E" w:rsidP="003C2FC3">
      <w:pPr>
        <w:pStyle w:val="ECHRHeading2"/>
        <w:rPr>
          <w:rFonts w:eastAsia="Times New Roman"/>
          <w:lang w:val="en-GB"/>
        </w:rPr>
      </w:pPr>
      <w:r w:rsidRPr="00A10260">
        <w:rPr>
          <w:rFonts w:eastAsia="Times New Roman"/>
          <w:lang w:val="en-GB"/>
        </w:rPr>
        <w:t>A.  Admissibility</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29</w:t>
      </w:r>
      <w:r w:rsidRPr="009042C4">
        <w:rPr>
          <w:rFonts w:eastAsia="Times New Roman"/>
        </w:rPr>
        <w:fldChar w:fldCharType="end"/>
      </w:r>
      <w:r w:rsidRPr="00A10260">
        <w:rPr>
          <w:rFonts w:eastAsia="Times New Roman"/>
          <w:lang w:val="en-GB"/>
        </w:rPr>
        <w:t>.  The Government raised a preliminary objection that the applicant had failed to comply with the six-month time-limit as required under Article 35 § 1 of the Convention. They referred to the fact that the final judgment in the applicant</w:t>
      </w:r>
      <w:r w:rsidR="00112E16">
        <w:rPr>
          <w:rFonts w:eastAsia="Times New Roman"/>
          <w:lang w:val="en-GB"/>
        </w:rPr>
        <w:t>’</w:t>
      </w:r>
      <w:r w:rsidRPr="00A10260">
        <w:rPr>
          <w:rFonts w:eastAsia="Times New Roman"/>
          <w:lang w:val="en-GB"/>
        </w:rPr>
        <w:t>s case had been given by the Supreme Court at the hearing of 10 September 2009 while the applicant had lodged his application with the Court on 29 May 2010. The Government underlined that the applicant had not been entitled to be served automatically with a copy of the judgment with the reasoning as the judgment had been delivered at a hearing.</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30</w:t>
      </w:r>
      <w:r w:rsidRPr="009042C4">
        <w:rPr>
          <w:rFonts w:eastAsia="Times New Roman"/>
        </w:rPr>
        <w:fldChar w:fldCharType="end"/>
      </w:r>
      <w:r w:rsidRPr="00A10260">
        <w:rPr>
          <w:rFonts w:eastAsia="Times New Roman"/>
          <w:lang w:val="en-GB"/>
        </w:rPr>
        <w:t>.  The applicant disagreed. He submitted that he had had the right to be served with a copy of the Supreme Court</w:t>
      </w:r>
      <w:r w:rsidR="00112E16">
        <w:rPr>
          <w:rFonts w:eastAsia="Times New Roman"/>
          <w:lang w:val="en-GB"/>
        </w:rPr>
        <w:t>’</w:t>
      </w:r>
      <w:r w:rsidRPr="00A10260">
        <w:rPr>
          <w:rFonts w:eastAsia="Times New Roman"/>
          <w:lang w:val="en-GB"/>
        </w:rPr>
        <w:t>s judgment with the reasoning and had availed himself of that right. Moreover, an oral summary of the reasons presented at the hearing had not been a sufficient basis on which to prepare an application alleging a breach of the Convention. The applicant received that judgment with reasons on 30 November 2009 and he had lodged his application with the Court within less than six months from that date.</w:t>
      </w:r>
    </w:p>
    <w:p w:rsidR="00D2459E" w:rsidRPr="00A10260" w:rsidRDefault="00D2459E" w:rsidP="003C2FC3">
      <w:pPr>
        <w:pStyle w:val="ECHRPara"/>
        <w:rPr>
          <w:rFonts w:eastAsia="Times New Roman"/>
          <w:i/>
          <w:lang w:val="en-GB"/>
        </w:rPr>
      </w:pPr>
      <w:r w:rsidRPr="009042C4">
        <w:rPr>
          <w:rFonts w:eastAsia="Times New Roman"/>
          <w:szCs w:val="20"/>
        </w:rPr>
        <w:fldChar w:fldCharType="begin"/>
      </w:r>
      <w:r w:rsidRPr="00A10260">
        <w:rPr>
          <w:rFonts w:eastAsia="Times New Roman"/>
          <w:szCs w:val="20"/>
          <w:lang w:val="en-GB"/>
        </w:rPr>
        <w:instrText xml:space="preserve"> SEQ level0 \*arabic </w:instrText>
      </w:r>
      <w:r w:rsidRPr="009042C4">
        <w:rPr>
          <w:rFonts w:eastAsia="Times New Roman"/>
          <w:szCs w:val="20"/>
        </w:rPr>
        <w:fldChar w:fldCharType="separate"/>
      </w:r>
      <w:r w:rsidR="000E1CAB">
        <w:rPr>
          <w:rFonts w:eastAsia="Times New Roman"/>
          <w:noProof/>
          <w:szCs w:val="20"/>
          <w:lang w:val="en-GB"/>
        </w:rPr>
        <w:t>31</w:t>
      </w:r>
      <w:r w:rsidRPr="009042C4">
        <w:rPr>
          <w:rFonts w:eastAsia="Times New Roman"/>
          <w:szCs w:val="20"/>
        </w:rPr>
        <w:fldChar w:fldCharType="end"/>
      </w:r>
      <w:r w:rsidRPr="00A10260">
        <w:rPr>
          <w:rFonts w:eastAsia="Times New Roman"/>
          <w:szCs w:val="20"/>
          <w:lang w:val="en-GB"/>
        </w:rPr>
        <w:t xml:space="preserve">.  The Court notes that the Government alleged that the applicant had introduced his application out of time and that it should be rejected in accordance with Article 35 §§ 1 and 4 of the Convention. The Court observes that the Supreme Court held a hearing on 10 September 2009 at which it announced the ruling and gave the main lines of reasoning orally (see paragraph </w:t>
      </w:r>
      <w:r w:rsidR="00A10260">
        <w:rPr>
          <w:rFonts w:eastAsia="Times New Roman"/>
          <w:szCs w:val="20"/>
          <w:lang w:val="en-GB"/>
        </w:rPr>
        <w:t>20</w:t>
      </w:r>
      <w:r w:rsidRPr="00A10260">
        <w:rPr>
          <w:rFonts w:eastAsia="Times New Roman"/>
          <w:szCs w:val="20"/>
          <w:lang w:val="en-GB"/>
        </w:rPr>
        <w:t xml:space="preserve"> above). Subsequently, it was open to the applicant to apply to be served with a written copy of the full version of the reasons. The applicant</w:t>
      </w:r>
      <w:r w:rsidR="00112E16">
        <w:rPr>
          <w:rFonts w:eastAsia="Times New Roman"/>
          <w:szCs w:val="20"/>
          <w:lang w:val="en-GB"/>
        </w:rPr>
        <w:t>’</w:t>
      </w:r>
      <w:r w:rsidRPr="00A10260">
        <w:rPr>
          <w:rFonts w:eastAsia="Times New Roman"/>
          <w:szCs w:val="20"/>
          <w:lang w:val="en-GB"/>
        </w:rPr>
        <w:t xml:space="preserve">s lawyer did that and on 30 November 2009 he received the judgment with the reasoning (see paragraph </w:t>
      </w:r>
      <w:r w:rsidR="00A10260">
        <w:rPr>
          <w:rFonts w:eastAsia="Times New Roman"/>
          <w:szCs w:val="20"/>
          <w:lang w:val="en-GB"/>
        </w:rPr>
        <w:t>21</w:t>
      </w:r>
      <w:r w:rsidRPr="00A10260">
        <w:rPr>
          <w:rFonts w:eastAsia="Times New Roman"/>
          <w:szCs w:val="20"/>
          <w:lang w:val="en-GB"/>
        </w:rPr>
        <w:t xml:space="preserve"> above). While it is true that the written copy of the Supreme Court</w:t>
      </w:r>
      <w:r w:rsidR="00112E16">
        <w:rPr>
          <w:rFonts w:eastAsia="Times New Roman"/>
          <w:szCs w:val="20"/>
          <w:lang w:val="en-GB"/>
        </w:rPr>
        <w:t>’</w:t>
      </w:r>
      <w:r w:rsidRPr="00A10260">
        <w:rPr>
          <w:rFonts w:eastAsia="Times New Roman"/>
          <w:szCs w:val="20"/>
          <w:lang w:val="en-GB"/>
        </w:rPr>
        <w:t xml:space="preserve">s judgment was not served automatically, nevertheless this service was available to the applicant upon request and its long delay was exclusively the responsibility of the judicial authorities. The said judgment, which in its final version ran to fifteen pages, contained detailed legal reasoning. In those circumstances the Court considers that the object and purpose of Article 35 § 1 of the Convention are best served by counting the six-month period as running from the date of service of the written judgment (see </w:t>
      </w:r>
      <w:bookmarkStart w:id="1" w:name="HIT1"/>
      <w:bookmarkEnd w:id="1"/>
      <w:r w:rsidRPr="00A10260">
        <w:rPr>
          <w:rFonts w:eastAsia="Times New Roman"/>
          <w:bCs/>
          <w:i/>
          <w:iCs/>
          <w:szCs w:val="20"/>
          <w:lang w:val="en-GB"/>
        </w:rPr>
        <w:t>Worm</w:t>
      </w:r>
      <w:r w:rsidRPr="00A10260">
        <w:rPr>
          <w:rFonts w:eastAsia="Times New Roman"/>
          <w:i/>
          <w:iCs/>
          <w:szCs w:val="20"/>
          <w:lang w:val="en-GB"/>
        </w:rPr>
        <w:t xml:space="preserve"> v. Austria</w:t>
      </w:r>
      <w:r w:rsidRPr="00A10260">
        <w:rPr>
          <w:rFonts w:eastAsia="Times New Roman"/>
          <w:szCs w:val="20"/>
          <w:lang w:val="en-GB"/>
        </w:rPr>
        <w:t xml:space="preserve">, § 33, 29 August 1997, </w:t>
      </w:r>
      <w:r w:rsidRPr="00A10260">
        <w:rPr>
          <w:rFonts w:eastAsia="Times New Roman"/>
          <w:i/>
          <w:iCs/>
          <w:szCs w:val="20"/>
          <w:lang w:val="en-GB"/>
        </w:rPr>
        <w:t xml:space="preserve">Reports of Judgments and Decisions </w:t>
      </w:r>
      <w:r w:rsidRPr="00A10260">
        <w:rPr>
          <w:rFonts w:eastAsia="Times New Roman"/>
          <w:szCs w:val="20"/>
          <w:lang w:val="en-GB"/>
        </w:rPr>
        <w:t xml:space="preserve">1997-V, and </w:t>
      </w:r>
      <w:r w:rsidRPr="00A10260">
        <w:rPr>
          <w:rFonts w:eastAsia="Times New Roman"/>
          <w:i/>
          <w:lang w:val="en-GB"/>
        </w:rPr>
        <w:t>Jałowiecki v. Poland</w:t>
      </w:r>
      <w:r w:rsidRPr="00A10260">
        <w:rPr>
          <w:rFonts w:eastAsia="Times New Roman"/>
          <w:lang w:val="en-GB"/>
        </w:rPr>
        <w:t>, no.</w:t>
      </w:r>
      <w:r w:rsidR="00FF6C28">
        <w:rPr>
          <w:rFonts w:eastAsia="Times New Roman"/>
          <w:lang w:val="en-GB"/>
        </w:rPr>
        <w:t> </w:t>
      </w:r>
      <w:r w:rsidRPr="00A10260">
        <w:rPr>
          <w:rFonts w:eastAsia="Times New Roman"/>
          <w:lang w:val="en-GB"/>
        </w:rPr>
        <w:t>34030/07, § 21, 17 February 2009</w:t>
      </w:r>
      <w:r w:rsidRPr="00A10260">
        <w:rPr>
          <w:rFonts w:eastAsia="Times New Roman"/>
          <w:szCs w:val="20"/>
          <w:lang w:val="en-GB"/>
        </w:rPr>
        <w:t>). The applicant lodged his application with the Court on 29 May 2010, thus within less than six months from the date the judgment was served on him. It could not therefore be said that the application was introduced out of time. The Government</w:t>
      </w:r>
      <w:r w:rsidR="00112E16">
        <w:rPr>
          <w:rFonts w:eastAsia="Times New Roman"/>
          <w:szCs w:val="20"/>
          <w:lang w:val="en-GB"/>
        </w:rPr>
        <w:t>’</w:t>
      </w:r>
      <w:r w:rsidRPr="00A10260">
        <w:rPr>
          <w:rFonts w:eastAsia="Times New Roman"/>
          <w:szCs w:val="20"/>
          <w:lang w:val="en-GB"/>
        </w:rPr>
        <w:t>s objection should be dismissed.</w:t>
      </w:r>
    </w:p>
    <w:p w:rsidR="00D2459E" w:rsidRPr="00A10260" w:rsidRDefault="00D2459E" w:rsidP="003C2FC3">
      <w:pPr>
        <w:pStyle w:val="ECHRPara"/>
        <w:rPr>
          <w:rFonts w:eastAsia="Times New Roman"/>
          <w:szCs w:val="20"/>
          <w:lang w:val="en-GB"/>
        </w:rPr>
      </w:pPr>
      <w:r w:rsidRPr="009042C4">
        <w:rPr>
          <w:rFonts w:eastAsia="Times New Roman"/>
          <w:szCs w:val="20"/>
        </w:rPr>
        <w:fldChar w:fldCharType="begin"/>
      </w:r>
      <w:r w:rsidRPr="00A10260">
        <w:rPr>
          <w:rFonts w:eastAsia="Times New Roman"/>
          <w:szCs w:val="20"/>
          <w:lang w:val="en-GB"/>
        </w:rPr>
        <w:instrText xml:space="preserve"> SEQ level0 \*arabic </w:instrText>
      </w:r>
      <w:r w:rsidRPr="009042C4">
        <w:rPr>
          <w:rFonts w:eastAsia="Times New Roman"/>
          <w:szCs w:val="20"/>
        </w:rPr>
        <w:fldChar w:fldCharType="separate"/>
      </w:r>
      <w:r w:rsidR="000E1CAB">
        <w:rPr>
          <w:rFonts w:eastAsia="Times New Roman"/>
          <w:noProof/>
          <w:szCs w:val="20"/>
          <w:lang w:val="en-GB"/>
        </w:rPr>
        <w:t>32</w:t>
      </w:r>
      <w:r w:rsidRPr="009042C4">
        <w:rPr>
          <w:rFonts w:eastAsia="Times New Roman"/>
          <w:szCs w:val="20"/>
        </w:rPr>
        <w:fldChar w:fldCharType="end"/>
      </w:r>
      <w:r w:rsidRPr="00A10260">
        <w:rPr>
          <w:rFonts w:eastAsia="Times New Roman"/>
          <w:szCs w:val="20"/>
          <w:lang w:val="en-GB"/>
        </w:rPr>
        <w:t>.  The Court notes that application is not manifestly ill-founded within the meaning of Article 35 § 3 of the Convention. It further notes that it is not inadmissible on any other grounds. It must therefore be declared admissible.</w:t>
      </w:r>
    </w:p>
    <w:p w:rsidR="00D2459E" w:rsidRPr="00A10260" w:rsidRDefault="00D2459E" w:rsidP="003C2FC3">
      <w:pPr>
        <w:pStyle w:val="ECHRHeading2"/>
        <w:rPr>
          <w:rFonts w:eastAsia="Times New Roman"/>
          <w:lang w:val="en-GB"/>
        </w:rPr>
      </w:pPr>
      <w:r w:rsidRPr="00A10260">
        <w:rPr>
          <w:rFonts w:eastAsia="Times New Roman"/>
          <w:lang w:val="en-GB"/>
        </w:rPr>
        <w:t>B.  Merits</w:t>
      </w:r>
    </w:p>
    <w:p w:rsidR="00D2459E" w:rsidRPr="00A10260" w:rsidRDefault="00D2459E" w:rsidP="003C2FC3">
      <w:pPr>
        <w:pStyle w:val="ECHRHeading3"/>
        <w:rPr>
          <w:rFonts w:eastAsia="Times New Roman"/>
          <w:lang w:val="en-GB"/>
        </w:rPr>
      </w:pPr>
      <w:r w:rsidRPr="00A10260">
        <w:rPr>
          <w:rFonts w:eastAsia="Times New Roman"/>
          <w:lang w:val="en-GB"/>
        </w:rPr>
        <w:t>1.  Arguments of the parties</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33</w:t>
      </w:r>
      <w:r w:rsidRPr="009042C4">
        <w:rPr>
          <w:rFonts w:eastAsia="Times New Roman"/>
        </w:rPr>
        <w:fldChar w:fldCharType="end"/>
      </w:r>
      <w:r w:rsidRPr="00A10260">
        <w:rPr>
          <w:rFonts w:eastAsia="Times New Roman"/>
          <w:lang w:val="en-GB"/>
        </w:rPr>
        <w:t xml:space="preserve">.  The applicant submitted that he had been an active journalist for many years and had often participated in public debates on issues relating to the recent history of Poland. The radio debate from which the present case originated was one of a series of public discussions on a range of political issues, </w:t>
      </w:r>
      <w:r w:rsidR="004F7752">
        <w:rPr>
          <w:rFonts w:eastAsia="Times New Roman"/>
          <w:lang w:val="en-GB"/>
        </w:rPr>
        <w:t>including</w:t>
      </w:r>
      <w:r w:rsidRPr="00A10260">
        <w:rPr>
          <w:rFonts w:eastAsia="Times New Roman"/>
          <w:lang w:val="en-GB"/>
        </w:rPr>
        <w:t xml:space="preserve"> lustration. He had</w:t>
      </w:r>
      <w:r w:rsidR="004F7752">
        <w:rPr>
          <w:rFonts w:eastAsia="Times New Roman"/>
          <w:lang w:val="en-GB"/>
        </w:rPr>
        <w:t>,</w:t>
      </w:r>
      <w:r w:rsidRPr="00A10260">
        <w:rPr>
          <w:rFonts w:eastAsia="Times New Roman"/>
          <w:lang w:val="en-GB"/>
        </w:rPr>
        <w:t xml:space="preserve"> therefore</w:t>
      </w:r>
      <w:r w:rsidR="004F7752">
        <w:rPr>
          <w:rFonts w:eastAsia="Times New Roman"/>
          <w:lang w:val="en-GB"/>
        </w:rPr>
        <w:t>,</w:t>
      </w:r>
      <w:r w:rsidRPr="00A10260">
        <w:rPr>
          <w:rFonts w:eastAsia="Times New Roman"/>
          <w:lang w:val="en-GB"/>
        </w:rPr>
        <w:t xml:space="preserve"> been fulfilling his rightful mission to inform the public about an important matter relating to a public figure. The applicant had become aware that </w:t>
      </w:r>
      <w:r w:rsidR="00A10260">
        <w:rPr>
          <w:rFonts w:eastAsia="Times New Roman"/>
          <w:lang w:val="en-GB"/>
        </w:rPr>
        <w:t xml:space="preserve">Mr </w:t>
      </w:r>
      <w:r w:rsidRPr="00A10260">
        <w:rPr>
          <w:rFonts w:eastAsia="Times New Roman"/>
          <w:lang w:val="en-GB"/>
        </w:rPr>
        <w:t>J.M. had been a collaborator with the secret services after having consulted all the available documents and other sources which he needed to protect. He h</w:t>
      </w:r>
      <w:r w:rsidR="00D75211">
        <w:rPr>
          <w:rFonts w:eastAsia="Times New Roman"/>
          <w:lang w:val="en-GB"/>
        </w:rPr>
        <w:t>ad not intended to offend Mr J.</w:t>
      </w:r>
      <w:r w:rsidRPr="00A10260">
        <w:rPr>
          <w:rFonts w:eastAsia="Times New Roman"/>
          <w:lang w:val="en-GB"/>
        </w:rPr>
        <w:t>M. but only to contribute to a debate about the importance of lustration, which J.M had criticised. Taking into account all those elements the applicant considered that his statement did not overstep the limits of protection afforded to him by Article 10 of the Convention.</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34</w:t>
      </w:r>
      <w:r w:rsidRPr="009042C4">
        <w:rPr>
          <w:rFonts w:eastAsia="Times New Roman"/>
        </w:rPr>
        <w:fldChar w:fldCharType="end"/>
      </w:r>
      <w:r w:rsidRPr="00A10260">
        <w:rPr>
          <w:rFonts w:eastAsia="Times New Roman"/>
          <w:lang w:val="en-GB"/>
        </w:rPr>
        <w:t>.  The Government considered that the application was manifestly ill</w:t>
      </w:r>
      <w:r w:rsidR="00FF6C28">
        <w:rPr>
          <w:rFonts w:eastAsia="Times New Roman"/>
          <w:lang w:val="en-GB"/>
        </w:rPr>
        <w:noBreakHyphen/>
      </w:r>
      <w:r w:rsidRPr="00A10260">
        <w:rPr>
          <w:rFonts w:eastAsia="Times New Roman"/>
          <w:lang w:val="en-GB"/>
        </w:rPr>
        <w:t xml:space="preserve">founded. They contested that the applicant should be treated as a journalist; however, in any event he had not complied with the ethical rules of diligent and responsible journalism. He was well acquainted with the issues of lustration and had thus been aware of the nature and severity of his accusation against </w:t>
      </w:r>
      <w:r w:rsidR="00A10260">
        <w:rPr>
          <w:rFonts w:eastAsia="Times New Roman"/>
          <w:lang w:val="en-GB"/>
        </w:rPr>
        <w:t xml:space="preserve">Mr </w:t>
      </w:r>
      <w:r w:rsidRPr="00A10260">
        <w:rPr>
          <w:rFonts w:eastAsia="Times New Roman"/>
          <w:lang w:val="en-GB"/>
        </w:rPr>
        <w:t xml:space="preserve">J.M. The Government underlined that being registered by the secret services had not been the same as being an </w:t>
      </w:r>
      <w:r w:rsidR="00D010F3" w:rsidRPr="00A10260">
        <w:rPr>
          <w:rFonts w:eastAsia="Times New Roman"/>
          <w:lang w:val="en-GB"/>
        </w:rPr>
        <w:t xml:space="preserve">informant </w:t>
      </w:r>
      <w:r w:rsidRPr="00A10260">
        <w:rPr>
          <w:rFonts w:eastAsia="Times New Roman"/>
          <w:lang w:val="en-GB"/>
        </w:rPr>
        <w:t>or actual collaborator. However, the applicant had not provided any evidence supporting, even partially, his allegation.</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35</w:t>
      </w:r>
      <w:r w:rsidRPr="009042C4">
        <w:rPr>
          <w:rFonts w:eastAsia="Times New Roman"/>
        </w:rPr>
        <w:fldChar w:fldCharType="end"/>
      </w:r>
      <w:r w:rsidRPr="00A10260">
        <w:rPr>
          <w:rFonts w:eastAsia="Times New Roman"/>
          <w:lang w:val="en-GB"/>
        </w:rPr>
        <w:t>.  The Government concluded that it had been necessary in the instant case to protect the rights of Mr J.M. from untrue defamatory allegations made by the applicant. The applicant was found liable in civil proceedings and ordered to publish an apology, reimburse the claimant</w:t>
      </w:r>
      <w:r w:rsidR="00112E16">
        <w:rPr>
          <w:rFonts w:eastAsia="Times New Roman"/>
          <w:lang w:val="en-GB"/>
        </w:rPr>
        <w:t>’</w:t>
      </w:r>
      <w:r w:rsidRPr="00A10260">
        <w:rPr>
          <w:rFonts w:eastAsia="Times New Roman"/>
          <w:lang w:val="en-GB"/>
        </w:rPr>
        <w:t>s costs, and make a payment to a charity. The consequences of the interference had been much more lenient than they would have been had the applicant been convicted in criminal proceedings.</w:t>
      </w:r>
    </w:p>
    <w:p w:rsidR="00D2459E" w:rsidRPr="00A10260" w:rsidRDefault="00D2459E" w:rsidP="003C2FC3">
      <w:pPr>
        <w:pStyle w:val="ECHRHeading3"/>
        <w:rPr>
          <w:rFonts w:eastAsia="Times New Roman"/>
          <w:lang w:val="en-GB"/>
        </w:rPr>
      </w:pPr>
      <w:r w:rsidRPr="00A10260">
        <w:rPr>
          <w:rFonts w:eastAsia="Times New Roman"/>
          <w:lang w:val="en-GB"/>
        </w:rPr>
        <w:t>2.  The Court</w:t>
      </w:r>
      <w:r w:rsidR="00112E16">
        <w:rPr>
          <w:rFonts w:eastAsia="Times New Roman"/>
          <w:lang w:val="en-GB"/>
        </w:rPr>
        <w:t>’</w:t>
      </w:r>
      <w:r w:rsidRPr="00A10260">
        <w:rPr>
          <w:rFonts w:eastAsia="Times New Roman"/>
          <w:lang w:val="en-GB"/>
        </w:rPr>
        <w:t>s assessment</w:t>
      </w:r>
    </w:p>
    <w:p w:rsidR="00D2459E" w:rsidRPr="00A10260" w:rsidRDefault="00D2459E" w:rsidP="003C2FC3">
      <w:pPr>
        <w:pStyle w:val="ECHRHeading4"/>
        <w:rPr>
          <w:rFonts w:eastAsia="Times New Roman"/>
          <w:lang w:val="en-GB"/>
        </w:rPr>
      </w:pPr>
      <w:r w:rsidRPr="00A10260">
        <w:rPr>
          <w:rFonts w:eastAsia="Times New Roman"/>
          <w:lang w:val="en-GB"/>
        </w:rPr>
        <w:t>(a)  General principles</w:t>
      </w:r>
    </w:p>
    <w:p w:rsidR="00D2459E" w:rsidRPr="00A10260" w:rsidRDefault="003B4841" w:rsidP="003C2FC3">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0E1CAB">
        <w:rPr>
          <w:rFonts w:eastAsia="Times New Roman"/>
          <w:noProof/>
          <w:lang w:val="en-GB"/>
        </w:rPr>
        <w:t>36</w:t>
      </w:r>
      <w:r>
        <w:rPr>
          <w:rFonts w:eastAsia="Times New Roman"/>
          <w:lang w:val="en-GB"/>
        </w:rPr>
        <w:fldChar w:fldCharType="end"/>
      </w:r>
      <w:r>
        <w:rPr>
          <w:rFonts w:eastAsia="Times New Roman"/>
          <w:lang w:val="en-GB"/>
        </w:rPr>
        <w:t>.  </w:t>
      </w:r>
      <w:r w:rsidR="00D2459E" w:rsidRPr="00A10260">
        <w:rPr>
          <w:rFonts w:eastAsia="Times New Roman"/>
          <w:lang w:val="en-GB"/>
        </w:rPr>
        <w:t>The Court reiterates that freedom of expression, as secured in paragraph 1 of Article 10, constitutes one of the essential foundations of a democratic society and one of the basic conditions for its progress and for each individual</w:t>
      </w:r>
      <w:r w:rsidR="00112E16">
        <w:rPr>
          <w:rFonts w:eastAsia="Times New Roman"/>
          <w:lang w:val="en-GB"/>
        </w:rPr>
        <w:t>’</w:t>
      </w:r>
      <w:r w:rsidR="00D2459E" w:rsidRPr="00A10260">
        <w:rPr>
          <w:rFonts w:eastAsia="Times New Roman"/>
          <w:lang w:val="en-GB"/>
        </w:rPr>
        <w:t xml:space="preserve">s self-fulfilment. Subject to paragraph 2, it is applicable not only to “information” or “ideas” that are favourably received or regarded as inoffensive or as a matter of indifference, but also to those that offend, shock or disturb. Such are the demands of that pluralism, tolerance and broadmindedness without which there is no “democratic society” (see, among many other authorities, </w:t>
      </w:r>
      <w:r w:rsidR="00D2459E" w:rsidRPr="00A10260">
        <w:rPr>
          <w:rFonts w:eastAsia="Times New Roman"/>
          <w:i/>
          <w:lang w:val="en-GB"/>
        </w:rPr>
        <w:t>Oberschlick v. Austria (no. 1)</w:t>
      </w:r>
      <w:r w:rsidR="00D2459E" w:rsidRPr="00A10260">
        <w:rPr>
          <w:rFonts w:eastAsia="Times New Roman"/>
          <w:lang w:val="en-GB"/>
        </w:rPr>
        <w:t xml:space="preserve">, judgment of 23 May 1991, Series A no. 204, § 57, and </w:t>
      </w:r>
      <w:r w:rsidR="00D2459E" w:rsidRPr="00A10260">
        <w:rPr>
          <w:rFonts w:eastAsia="Times New Roman"/>
          <w:i/>
          <w:lang w:val="en-GB"/>
        </w:rPr>
        <w:t>Nilsen and Johnsen v. Norway</w:t>
      </w:r>
      <w:r w:rsidR="00D2459E" w:rsidRPr="00A10260">
        <w:rPr>
          <w:rFonts w:eastAsia="Times New Roman"/>
          <w:lang w:val="en-GB"/>
        </w:rPr>
        <w:t xml:space="preserve"> [GC], no. 23118/93, § 43, ECHR 1999</w:t>
      </w:r>
      <w:r w:rsidR="00D2459E" w:rsidRPr="00A10260">
        <w:rPr>
          <w:rFonts w:eastAsia="Times New Roman"/>
          <w:lang w:val="en-GB"/>
        </w:rPr>
        <w:noBreakHyphen/>
        <w:t>VIII).</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37</w:t>
      </w:r>
      <w:r w:rsidRPr="009042C4">
        <w:rPr>
          <w:rFonts w:eastAsia="Times New Roman"/>
        </w:rPr>
        <w:fldChar w:fldCharType="end"/>
      </w:r>
      <w:r w:rsidRPr="00A10260">
        <w:rPr>
          <w:rFonts w:eastAsia="Times New Roman"/>
          <w:lang w:val="en-GB"/>
        </w:rPr>
        <w:t xml:space="preserve">.  There is little scope under Article </w:t>
      </w:r>
      <w:bookmarkStart w:id="2" w:name="HIT17"/>
      <w:bookmarkEnd w:id="2"/>
      <w:r w:rsidRPr="00A10260">
        <w:rPr>
          <w:rFonts w:eastAsia="Times New Roman"/>
          <w:bCs/>
          <w:lang w:val="en-GB"/>
        </w:rPr>
        <w:t>10</w:t>
      </w:r>
      <w:r w:rsidRPr="00A10260">
        <w:rPr>
          <w:rFonts w:eastAsia="Times New Roman"/>
          <w:lang w:val="en-GB"/>
        </w:rPr>
        <w:t xml:space="preserve"> § 2 of the Convention for restrictions on political speech or on debate on questions of public interest (see </w:t>
      </w:r>
      <w:r w:rsidRPr="00A10260">
        <w:rPr>
          <w:rFonts w:eastAsia="Times New Roman"/>
          <w:i/>
          <w:iCs/>
          <w:lang w:val="en-GB"/>
        </w:rPr>
        <w:t>Sürek v. Turkey</w:t>
      </w:r>
      <w:r w:rsidRPr="00A10260">
        <w:rPr>
          <w:rFonts w:eastAsia="Times New Roman"/>
          <w:lang w:val="en-GB"/>
        </w:rPr>
        <w:t xml:space="preserve"> </w:t>
      </w:r>
      <w:r w:rsidRPr="00A10260">
        <w:rPr>
          <w:rFonts w:eastAsia="Times New Roman"/>
          <w:i/>
          <w:iCs/>
          <w:lang w:val="en-GB"/>
        </w:rPr>
        <w:t>(no. 1)</w:t>
      </w:r>
      <w:r w:rsidRPr="00A10260">
        <w:rPr>
          <w:rFonts w:eastAsia="Times New Roman"/>
          <w:lang w:val="en-GB"/>
        </w:rPr>
        <w:t xml:space="preserve"> [GC], no. 26682/95, § 61, ECHR 1999-IV).</w:t>
      </w:r>
    </w:p>
    <w:p w:rsidR="00FF28F6"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38</w:t>
      </w:r>
      <w:r w:rsidRPr="009042C4">
        <w:rPr>
          <w:rFonts w:eastAsia="Times New Roman"/>
        </w:rPr>
        <w:fldChar w:fldCharType="end"/>
      </w:r>
      <w:r w:rsidRPr="00A10260">
        <w:rPr>
          <w:rFonts w:eastAsia="Times New Roman"/>
          <w:lang w:val="en-GB"/>
        </w:rPr>
        <w:t xml:space="preserve">.  The test of whether an interference is “necessary in a democratic society” requires 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“restriction” is reconcilable with freedom of expression as protected by Article 10 (see, among many other authorities, </w:t>
      </w:r>
      <w:r w:rsidRPr="00A10260">
        <w:rPr>
          <w:rFonts w:eastAsia="Times New Roman"/>
          <w:i/>
          <w:lang w:val="en-GB"/>
        </w:rPr>
        <w:t xml:space="preserve">Perna v. Italy </w:t>
      </w:r>
      <w:r w:rsidRPr="00A10260">
        <w:rPr>
          <w:rFonts w:eastAsia="Times New Roman"/>
          <w:lang w:val="en-GB"/>
        </w:rPr>
        <w:t xml:space="preserve">[GC], no. </w:t>
      </w:r>
      <w:hyperlink r:id="rId15" w:anchor="{&quot;appno&quot;:[&quot;48898/99&quot;]}" w:tgtFrame="_blank" w:history="1">
        <w:r w:rsidRPr="00A10260">
          <w:rPr>
            <w:rFonts w:eastAsia="Times New Roman"/>
            <w:lang w:val="en-GB"/>
          </w:rPr>
          <w:t>48898/99</w:t>
        </w:r>
      </w:hyperlink>
      <w:r w:rsidRPr="00A10260">
        <w:rPr>
          <w:rFonts w:eastAsia="Times New Roman"/>
          <w:lang w:val="en-GB"/>
        </w:rPr>
        <w:t xml:space="preserve">, § 39, ECHR 2003-V, and </w:t>
      </w:r>
      <w:r w:rsidRPr="00A10260">
        <w:rPr>
          <w:rFonts w:eastAsia="Times New Roman"/>
          <w:i/>
          <w:lang w:val="en-GB"/>
        </w:rPr>
        <w:t>Association Ekin v. France</w:t>
      </w:r>
      <w:r w:rsidRPr="00A10260">
        <w:rPr>
          <w:rFonts w:eastAsia="Times New Roman"/>
          <w:lang w:val="en-GB"/>
        </w:rPr>
        <w:t xml:space="preserve">, no. </w:t>
      </w:r>
      <w:hyperlink r:id="rId16" w:anchor="{&quot;appno&quot;:[&quot;39288/98&quot;]}" w:tgtFrame="_blank" w:history="1">
        <w:r w:rsidRPr="00A10260">
          <w:rPr>
            <w:rFonts w:eastAsia="Times New Roman"/>
            <w:lang w:val="en-GB"/>
          </w:rPr>
          <w:t>39288/98</w:t>
        </w:r>
      </w:hyperlink>
      <w:r w:rsidRPr="00A10260">
        <w:rPr>
          <w:rFonts w:eastAsia="Times New Roman"/>
          <w:lang w:val="en-GB"/>
        </w:rPr>
        <w:t>, § 56, ECHR 2001-VIII).</w:t>
      </w:r>
    </w:p>
    <w:p w:rsidR="001B69D6"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39</w:t>
      </w:r>
      <w:r w:rsidRPr="009042C4">
        <w:rPr>
          <w:rFonts w:eastAsia="Times New Roman"/>
        </w:rPr>
        <w:fldChar w:fldCharType="end"/>
      </w:r>
      <w:r w:rsidRPr="00A10260">
        <w:rPr>
          <w:rFonts w:eastAsia="Times New Roman"/>
          <w:lang w:val="en-GB"/>
        </w:rPr>
        <w:t>.  Under the terms of paragraph 2 of Article 10 of the Convention, freedom of expression carries with it “duties and responsibilities”, which also apply to the media. Moreover, these “duties and responsibilities” are liable to assume significance when there is a question of attacking the reputation of a named individual and infringing the “rights of others”.</w:t>
      </w:r>
    </w:p>
    <w:p w:rsidR="00D2459E" w:rsidRPr="00A10260" w:rsidRDefault="00D2459E" w:rsidP="003C2FC3">
      <w:pPr>
        <w:pStyle w:val="ECHRPara"/>
        <w:rPr>
          <w:rFonts w:eastAsia="Times New Roman"/>
          <w:lang w:val="en-GB"/>
        </w:rPr>
      </w:pPr>
      <w:r w:rsidRPr="00A10260">
        <w:rPr>
          <w:rFonts w:eastAsia="Times New Roman"/>
          <w:lang w:val="en-GB"/>
        </w:rPr>
        <w:t xml:space="preserve">There is no doubt that Article 10 § 2 enables the reputation of others </w:t>
      </w:r>
      <w:r w:rsidR="00FF6C28">
        <w:rPr>
          <w:rFonts w:eastAsia="Times New Roman"/>
          <w:lang w:val="en-GB"/>
        </w:rPr>
        <w:noBreakHyphen/>
        <w:t> </w:t>
      </w:r>
      <w:r w:rsidRPr="00A10260">
        <w:rPr>
          <w:rFonts w:eastAsia="Times New Roman"/>
          <w:lang w:val="en-GB"/>
        </w:rPr>
        <w:t xml:space="preserve">that is to say, of all individuals – to be protected; but in such cases the requirements of such protection have to be weighed in relation to the interests of open discussion of political issues (see </w:t>
      </w:r>
      <w:r w:rsidRPr="00A10260">
        <w:rPr>
          <w:rFonts w:eastAsia="Times New Roman"/>
          <w:i/>
          <w:lang w:val="en-GB"/>
        </w:rPr>
        <w:t>Lingens</w:t>
      </w:r>
      <w:r w:rsidRPr="00A10260">
        <w:rPr>
          <w:rFonts w:eastAsia="Times New Roman"/>
          <w:lang w:val="en-GB"/>
        </w:rPr>
        <w:t>, cited above, §</w:t>
      </w:r>
      <w:r w:rsidR="00FF6C28">
        <w:rPr>
          <w:rFonts w:eastAsia="Times New Roman"/>
          <w:lang w:val="en-GB"/>
        </w:rPr>
        <w:t> </w:t>
      </w:r>
      <w:r w:rsidRPr="00A10260">
        <w:rPr>
          <w:rFonts w:eastAsia="Times New Roman"/>
          <w:lang w:val="en-GB"/>
        </w:rPr>
        <w:t>42).</w:t>
      </w:r>
    </w:p>
    <w:p w:rsidR="001B69D6" w:rsidRDefault="00001D56" w:rsidP="0033001A">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0E1CAB">
        <w:rPr>
          <w:rFonts w:eastAsia="Times New Roman"/>
          <w:noProof/>
          <w:lang w:val="en-GB"/>
        </w:rPr>
        <w:t>40</w:t>
      </w:r>
      <w:r>
        <w:rPr>
          <w:rFonts w:eastAsia="Times New Roman"/>
          <w:lang w:val="en-GB"/>
        </w:rPr>
        <w:fldChar w:fldCharType="end"/>
      </w:r>
      <w:r>
        <w:rPr>
          <w:rFonts w:eastAsia="Times New Roman"/>
          <w:lang w:val="en-GB"/>
        </w:rPr>
        <w:t>.  </w:t>
      </w:r>
      <w:r w:rsidR="00D2459E" w:rsidRPr="00A10260">
        <w:rPr>
          <w:rFonts w:eastAsia="Times New Roman"/>
          <w:lang w:val="en-GB"/>
        </w:rPr>
        <w:t xml:space="preserve">The Court reiterates that the protection of the right of journalists to impart information on issues of general interest requires that they should act in good faith and on an accurate factual basis and provide “reliable and precise” information in accordance with the ethics of journalism (see, for example, </w:t>
      </w:r>
      <w:r w:rsidR="00D2459E" w:rsidRPr="00A10260">
        <w:rPr>
          <w:rFonts w:eastAsia="Times New Roman"/>
          <w:i/>
          <w:lang w:val="en-GB"/>
        </w:rPr>
        <w:t>Fressoz and Roire</w:t>
      </w:r>
      <w:r w:rsidR="00D2459E" w:rsidRPr="00A10260">
        <w:rPr>
          <w:rFonts w:eastAsia="Times New Roman"/>
          <w:lang w:val="en-GB"/>
        </w:rPr>
        <w:t xml:space="preserve">, § 54; </w:t>
      </w:r>
      <w:r w:rsidR="00D2459E" w:rsidRPr="00A10260">
        <w:rPr>
          <w:rFonts w:eastAsia="Times New Roman"/>
          <w:i/>
          <w:lang w:val="en-GB"/>
        </w:rPr>
        <w:t>Bladet Tromsø and Stensaas</w:t>
      </w:r>
      <w:r w:rsidR="00D2459E" w:rsidRPr="00A10260">
        <w:rPr>
          <w:rFonts w:eastAsia="Times New Roman"/>
          <w:lang w:val="en-GB"/>
        </w:rPr>
        <w:t xml:space="preserve">, § 58, and </w:t>
      </w:r>
      <w:r w:rsidR="00D2459E" w:rsidRPr="00A10260">
        <w:rPr>
          <w:rFonts w:eastAsia="Times New Roman"/>
          <w:i/>
          <w:lang w:val="en-GB"/>
        </w:rPr>
        <w:t>Prager and Oberschlick,</w:t>
      </w:r>
      <w:r w:rsidR="00D2459E" w:rsidRPr="00A10260">
        <w:rPr>
          <w:rFonts w:eastAsia="Times New Roman"/>
          <w:lang w:val="en-GB"/>
        </w:rPr>
        <w:t xml:space="preserve"> § 37, all cited above). The same principles must apply to others who engage in public debate (see </w:t>
      </w:r>
      <w:r w:rsidR="00D2459E" w:rsidRPr="00A10260">
        <w:rPr>
          <w:rFonts w:eastAsia="Times New Roman"/>
          <w:i/>
          <w:lang w:val="en-GB"/>
        </w:rPr>
        <w:t>Steel and Morris v.</w:t>
      </w:r>
      <w:r w:rsidR="00FF6C28">
        <w:rPr>
          <w:rFonts w:eastAsia="Times New Roman"/>
          <w:i/>
          <w:lang w:val="en-GB"/>
        </w:rPr>
        <w:t> </w:t>
      </w:r>
      <w:r w:rsidR="00D2459E" w:rsidRPr="00A10260">
        <w:rPr>
          <w:rFonts w:eastAsia="Times New Roman"/>
          <w:i/>
          <w:lang w:val="en-GB"/>
        </w:rPr>
        <w:t>the</w:t>
      </w:r>
      <w:r w:rsidR="00FF6C28">
        <w:rPr>
          <w:rFonts w:eastAsia="Times New Roman"/>
          <w:i/>
          <w:lang w:val="en-GB"/>
        </w:rPr>
        <w:t> </w:t>
      </w:r>
      <w:r w:rsidR="00D2459E" w:rsidRPr="00A10260">
        <w:rPr>
          <w:rFonts w:eastAsia="Times New Roman"/>
          <w:i/>
          <w:lang w:val="en-GB"/>
        </w:rPr>
        <w:t>United Kingdom</w:t>
      </w:r>
      <w:r w:rsidR="00D2459E" w:rsidRPr="00A10260">
        <w:rPr>
          <w:rFonts w:eastAsia="Times New Roman"/>
          <w:lang w:val="en-GB"/>
        </w:rPr>
        <w:t>, no. 68416/01, § 90, ECHR 2005</w:t>
      </w:r>
      <w:r w:rsidR="00D2459E" w:rsidRPr="00A10260">
        <w:rPr>
          <w:rFonts w:eastAsia="Times New Roman"/>
          <w:lang w:val="en-GB"/>
        </w:rPr>
        <w:noBreakHyphen/>
        <w:t>II).</w:t>
      </w:r>
    </w:p>
    <w:p w:rsidR="00D2459E" w:rsidRPr="00A10260" w:rsidRDefault="0033001A" w:rsidP="00923FBB">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41</w:t>
      </w:r>
      <w:r w:rsidRPr="009042C4">
        <w:rPr>
          <w:rFonts w:eastAsia="Times New Roman"/>
        </w:rPr>
        <w:fldChar w:fldCharType="end"/>
      </w:r>
      <w:r w:rsidRPr="00A10260">
        <w:rPr>
          <w:rFonts w:eastAsia="Times New Roman"/>
          <w:lang w:val="en-GB"/>
        </w:rPr>
        <w:t>.  The Court</w:t>
      </w:r>
      <w:r w:rsidR="00112E16">
        <w:rPr>
          <w:rFonts w:eastAsia="Times New Roman"/>
          <w:lang w:val="en-GB"/>
        </w:rPr>
        <w:t>’</w:t>
      </w:r>
      <w:r w:rsidRPr="00A10260">
        <w:rPr>
          <w:rFonts w:eastAsia="Times New Roman"/>
          <w:lang w:val="en-GB"/>
        </w:rPr>
        <w:t xml:space="preserve">s task in exercising its supervisory function is not to take the place of the competent domestic courts but rather to review under Article 10 the decisions they have taken pursuant to their power of appreciation (see </w:t>
      </w:r>
      <w:r w:rsidRPr="00A10260">
        <w:rPr>
          <w:rFonts w:eastAsia="Times New Roman"/>
          <w:i/>
          <w:lang w:val="en-GB"/>
        </w:rPr>
        <w:t>Fressoz and Roire v. France</w:t>
      </w:r>
      <w:r w:rsidRPr="00A10260">
        <w:rPr>
          <w:rFonts w:eastAsia="Times New Roman"/>
          <w:lang w:val="en-GB"/>
        </w:rPr>
        <w:t xml:space="preserve"> [GC], no. </w:t>
      </w:r>
      <w:hyperlink r:id="rId17" w:anchor="{&quot;appno&quot;:[&quot;29183/95&quot;]}" w:tgtFrame="_blank" w:history="1">
        <w:r w:rsidRPr="00A10260">
          <w:rPr>
            <w:rFonts w:eastAsia="Times New Roman"/>
            <w:lang w:val="en-GB"/>
          </w:rPr>
          <w:t>29183/95</w:t>
        </w:r>
      </w:hyperlink>
      <w:r w:rsidRPr="00A10260">
        <w:rPr>
          <w:rFonts w:eastAsia="Times New Roman"/>
          <w:lang w:val="en-GB"/>
        </w:rPr>
        <w:t xml:space="preserve">, § 45, ECHR 1999-I). In particular, the Court must determine whether the reasons adduced by the national authorities to justify the interference were “relevant and sufficient” and whether the measure taken was “proportionate to the legitimate aims pursued” (see </w:t>
      </w:r>
      <w:r w:rsidRPr="00A10260">
        <w:rPr>
          <w:rFonts w:eastAsia="Times New Roman"/>
          <w:i/>
          <w:lang w:val="en-GB"/>
        </w:rPr>
        <w:t>Chauvy and Others v. France</w:t>
      </w:r>
      <w:r w:rsidRPr="00A10260">
        <w:rPr>
          <w:rFonts w:eastAsia="Times New Roman"/>
          <w:lang w:val="en-GB"/>
        </w:rPr>
        <w:t xml:space="preserve">, no. </w:t>
      </w:r>
      <w:hyperlink r:id="rId18" w:anchor="{&quot;appno&quot;:[&quot;64915/01&quot;]}" w:tgtFrame="_blank" w:history="1">
        <w:r w:rsidRPr="00A10260">
          <w:rPr>
            <w:rFonts w:eastAsia="Times New Roman"/>
            <w:lang w:val="en-GB"/>
          </w:rPr>
          <w:t>64915/01</w:t>
        </w:r>
      </w:hyperlink>
      <w:r w:rsidRPr="00A10260">
        <w:rPr>
          <w:rFonts w:eastAsia="Times New Roman"/>
          <w:lang w:val="en-GB"/>
        </w:rPr>
        <w:t xml:space="preserve">, § 70, ECHR 2004-VI). In doing so, the Court has to satisfy itself that the national authorities, basing themselves on an acceptable assessment of the relevant facts, applied standards which were in conformity with the principles embodied in Article 10 (see, among many other authorities, </w:t>
      </w:r>
      <w:r w:rsidRPr="00A10260">
        <w:rPr>
          <w:rFonts w:eastAsia="Times New Roman"/>
          <w:i/>
          <w:lang w:val="en-GB"/>
        </w:rPr>
        <w:t>Zana v. Turkey</w:t>
      </w:r>
      <w:r w:rsidRPr="00A10260">
        <w:rPr>
          <w:rFonts w:eastAsia="Times New Roman"/>
          <w:lang w:val="en-GB"/>
        </w:rPr>
        <w:t xml:space="preserve">, 25 November 1997, </w:t>
      </w:r>
      <w:r w:rsidRPr="00A10260">
        <w:rPr>
          <w:rFonts w:eastAsia="Times New Roman"/>
          <w:i/>
          <w:lang w:val="en-GB"/>
        </w:rPr>
        <w:t>Reports</w:t>
      </w:r>
      <w:r w:rsidRPr="00A10260">
        <w:rPr>
          <w:rFonts w:eastAsia="Times New Roman"/>
          <w:lang w:val="en-GB"/>
        </w:rPr>
        <w:t xml:space="preserve"> 1997-VII, pp. 2547-48, § 51).</w:t>
      </w:r>
    </w:p>
    <w:p w:rsidR="00D2459E" w:rsidRPr="00A10260" w:rsidRDefault="00D2459E" w:rsidP="003C2FC3">
      <w:pPr>
        <w:pStyle w:val="ECHRHeading4"/>
        <w:rPr>
          <w:rFonts w:eastAsia="Times New Roman"/>
          <w:lang w:val="en-GB"/>
        </w:rPr>
      </w:pPr>
      <w:r w:rsidRPr="00A10260">
        <w:rPr>
          <w:rFonts w:eastAsia="Times New Roman"/>
          <w:lang w:val="en-GB"/>
        </w:rPr>
        <w:t>(b)  Application of the general principles to the present case</w:t>
      </w:r>
    </w:p>
    <w:p w:rsidR="00D2459E" w:rsidRPr="00A10260" w:rsidRDefault="00D2459E" w:rsidP="00A10260">
      <w:pPr>
        <w:pStyle w:val="ECHRPara"/>
        <w:rPr>
          <w:lang w:val="en-GB"/>
        </w:rPr>
      </w:pPr>
      <w:r w:rsidRPr="003C2FC3">
        <w:rPr>
          <w:rStyle w:val="JuParaChar"/>
        </w:rPr>
        <w:fldChar w:fldCharType="begin"/>
      </w:r>
      <w:r w:rsidRPr="00A10260">
        <w:rPr>
          <w:rStyle w:val="JuParaChar"/>
          <w:lang w:val="en-GB"/>
        </w:rPr>
        <w:instrText xml:space="preserve"> SEQ level0 \*arabic </w:instrText>
      </w:r>
      <w:r w:rsidRPr="003C2FC3">
        <w:rPr>
          <w:rStyle w:val="JuParaChar"/>
        </w:rPr>
        <w:fldChar w:fldCharType="separate"/>
      </w:r>
      <w:r w:rsidR="000E1CAB">
        <w:rPr>
          <w:rStyle w:val="JuParaChar"/>
          <w:noProof/>
          <w:lang w:val="en-GB"/>
        </w:rPr>
        <w:t>42</w:t>
      </w:r>
      <w:r w:rsidRPr="003C2FC3">
        <w:rPr>
          <w:rStyle w:val="JuParaChar"/>
        </w:rPr>
        <w:fldChar w:fldCharType="end"/>
      </w:r>
      <w:r w:rsidRPr="00A10260">
        <w:rPr>
          <w:lang w:val="en-GB"/>
        </w:rPr>
        <w:t>.  The Court notes that it is undisputed that the civil proceedings against the applicant amounted to an “interference” with the exercise of his right to freedom of expression. The Court also finds, and the parties agreed on this point, that the interference complained of was prescribed by law, namely Articles 23 and 24 of the Civil Code, and was intended to pursue a legitimate aim referred to in Article 10 § 2 of the Convention to protect “the reputation or rights of others”. Thus the only point at issue is</w:t>
      </w:r>
      <w:r w:rsidRPr="009042C4">
        <w:rPr>
          <w:rFonts w:ascii="Times New Roman" w:eastAsia="Times New Roman" w:hAnsi="Times New Roman" w:cs="Times New Roman"/>
          <w:lang w:val="en-GB"/>
        </w:rPr>
        <w:t xml:space="preserve"> </w:t>
      </w:r>
      <w:r w:rsidRPr="00A10260">
        <w:rPr>
          <w:lang w:val="en-GB"/>
        </w:rPr>
        <w:t>whether the interference was “necessary in a democratic society” to achieve that aim.</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43</w:t>
      </w:r>
      <w:r w:rsidRPr="009042C4">
        <w:rPr>
          <w:rFonts w:eastAsia="Times New Roman"/>
        </w:rPr>
        <w:fldChar w:fldCharType="end"/>
      </w:r>
      <w:r w:rsidRPr="00A10260">
        <w:rPr>
          <w:rFonts w:eastAsia="Times New Roman"/>
          <w:lang w:val="en-GB"/>
        </w:rPr>
        <w:t>.  The applicant in the instant case took part in a radio debate during which he stated that the claimant,</w:t>
      </w:r>
      <w:r w:rsidR="00A10260">
        <w:rPr>
          <w:rFonts w:eastAsia="Times New Roman"/>
          <w:lang w:val="en-GB"/>
        </w:rPr>
        <w:t xml:space="preserve"> Mr</w:t>
      </w:r>
      <w:r w:rsidRPr="00A10260">
        <w:rPr>
          <w:rFonts w:eastAsia="Times New Roman"/>
          <w:lang w:val="en-GB"/>
        </w:rPr>
        <w:t xml:space="preserve"> J.M., had been a secret collaborator with the communist regime. The domestic courts examined the veracity of this statement, heard experts and researched the remaining files of the communist-era security services. Although they confirmed that the claimant had indeed been registered as a collaborator and in the past there had been a two-volume-file on him, the file in question could no longer be found. The courts thus concluded that it could not be proven that the claimant had intentionally and secretly collaborated with the regime within the meaning of the domestic law on lustration. The applicant</w:t>
      </w:r>
      <w:r w:rsidR="00112E16">
        <w:rPr>
          <w:rFonts w:eastAsia="Times New Roman"/>
          <w:lang w:val="en-GB"/>
        </w:rPr>
        <w:t>’</w:t>
      </w:r>
      <w:r w:rsidRPr="00A10260">
        <w:rPr>
          <w:rFonts w:eastAsia="Times New Roman"/>
          <w:lang w:val="en-GB"/>
        </w:rPr>
        <w:t>s statement was considered untrue. According to the domestic court</w:t>
      </w:r>
      <w:r w:rsidR="00112E16">
        <w:rPr>
          <w:rFonts w:eastAsia="Times New Roman"/>
          <w:lang w:val="en-GB"/>
        </w:rPr>
        <w:t>’</w:t>
      </w:r>
      <w:r w:rsidRPr="00A10260">
        <w:rPr>
          <w:rFonts w:eastAsia="Times New Roman"/>
          <w:lang w:val="en-GB"/>
        </w:rPr>
        <w:t>s assessment untrue statements infringing upon another person</w:t>
      </w:r>
      <w:r w:rsidR="00112E16">
        <w:rPr>
          <w:rFonts w:eastAsia="Times New Roman"/>
          <w:lang w:val="en-GB"/>
        </w:rPr>
        <w:t>’</w:t>
      </w:r>
      <w:r w:rsidRPr="00A10260">
        <w:rPr>
          <w:rFonts w:eastAsia="Times New Roman"/>
          <w:lang w:val="en-GB"/>
        </w:rPr>
        <w:t>s rights had to be considered illegal.</w:t>
      </w:r>
    </w:p>
    <w:p w:rsidR="00D2459E" w:rsidRDefault="00D2459E" w:rsidP="003C2FC3">
      <w:pPr>
        <w:pStyle w:val="ECHRPara"/>
        <w:rPr>
          <w:rFonts w:eastAsia="Times New Roman"/>
          <w:snapToGrid w:val="0"/>
          <w:szCs w:val="24"/>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44</w:t>
      </w:r>
      <w:r w:rsidRPr="009042C4">
        <w:rPr>
          <w:rFonts w:eastAsia="Times New Roman"/>
        </w:rPr>
        <w:fldChar w:fldCharType="end"/>
      </w:r>
      <w:r w:rsidRPr="00A10260">
        <w:rPr>
          <w:rFonts w:eastAsia="Times New Roman"/>
          <w:lang w:val="en-GB"/>
        </w:rPr>
        <w:t xml:space="preserve">.  The Court </w:t>
      </w:r>
      <w:r w:rsidR="009C3C0E" w:rsidRPr="00A10260">
        <w:rPr>
          <w:rFonts w:eastAsia="Times New Roman"/>
          <w:lang w:val="en-GB"/>
        </w:rPr>
        <w:t xml:space="preserve">takes note that </w:t>
      </w:r>
      <w:r w:rsidRPr="00A10260">
        <w:rPr>
          <w:rFonts w:eastAsia="Times New Roman"/>
          <w:lang w:val="en-GB"/>
        </w:rPr>
        <w:t>the accusation was serious</w:t>
      </w:r>
      <w:r w:rsidRPr="00A10260">
        <w:rPr>
          <w:rFonts w:eastAsia="Times New Roman"/>
          <w:szCs w:val="24"/>
          <w:lang w:val="en-GB"/>
        </w:rPr>
        <w:t xml:space="preserve"> for </w:t>
      </w:r>
      <w:r w:rsidR="00A10260">
        <w:rPr>
          <w:rFonts w:eastAsia="Times New Roman"/>
          <w:szCs w:val="24"/>
          <w:lang w:val="en-GB"/>
        </w:rPr>
        <w:t xml:space="preserve">Mr </w:t>
      </w:r>
      <w:r w:rsidRPr="00A10260">
        <w:rPr>
          <w:rFonts w:eastAsia="Times New Roman"/>
          <w:szCs w:val="24"/>
          <w:lang w:val="en-GB"/>
        </w:rPr>
        <w:t xml:space="preserve">J.M., who is a well-known and popular language specialist. To call </w:t>
      </w:r>
      <w:r w:rsidR="000D1ADB">
        <w:rPr>
          <w:rFonts w:eastAsia="Times New Roman"/>
          <w:szCs w:val="24"/>
          <w:lang w:val="en-GB"/>
        </w:rPr>
        <w:t>somebody</w:t>
      </w:r>
      <w:r w:rsidRPr="00A10260">
        <w:rPr>
          <w:rFonts w:eastAsia="Times New Roman"/>
          <w:szCs w:val="24"/>
          <w:lang w:val="en-GB"/>
        </w:rPr>
        <w:t xml:space="preserve"> a secret collaborator with the communist-era security services carries a</w:t>
      </w:r>
      <w:r w:rsidR="0033001A">
        <w:rPr>
          <w:rFonts w:eastAsia="Times New Roman"/>
          <w:szCs w:val="24"/>
          <w:lang w:val="en-GB"/>
        </w:rPr>
        <w:t xml:space="preserve"> </w:t>
      </w:r>
      <w:r w:rsidRPr="00A10260">
        <w:rPr>
          <w:rFonts w:eastAsia="Times New Roman"/>
          <w:szCs w:val="24"/>
          <w:lang w:val="en-GB"/>
        </w:rPr>
        <w:t xml:space="preserve">negative assessment of his behaviour in the past and is surely an attack on his good name. The Court reiterates that the right to protection of reputation is a right which is protected by Article 8 of the Convention as part of the right to respect for private life (see </w:t>
      </w:r>
      <w:r w:rsidRPr="00A10260">
        <w:rPr>
          <w:rFonts w:eastAsia="Times New Roman"/>
          <w:i/>
          <w:szCs w:val="24"/>
          <w:lang w:val="en-GB"/>
        </w:rPr>
        <w:t>Chauvy and Others</w:t>
      </w:r>
      <w:r w:rsidRPr="00A10260">
        <w:rPr>
          <w:rFonts w:eastAsia="Times New Roman"/>
          <w:szCs w:val="24"/>
          <w:lang w:val="en-GB"/>
        </w:rPr>
        <w:t xml:space="preserve">, </w:t>
      </w:r>
      <w:r w:rsidR="00E87B29">
        <w:rPr>
          <w:rFonts w:eastAsia="Times New Roman"/>
          <w:lang w:val="en-GB"/>
        </w:rPr>
        <w:t>cited above, § 70;</w:t>
      </w:r>
      <w:r w:rsidRPr="00A10260">
        <w:rPr>
          <w:rFonts w:eastAsia="Times New Roman"/>
          <w:lang w:val="en-GB"/>
        </w:rPr>
        <w:t xml:space="preserve"> </w:t>
      </w:r>
      <w:r w:rsidRPr="00A10260">
        <w:rPr>
          <w:rFonts w:eastAsia="Times New Roman"/>
          <w:i/>
          <w:lang w:val="en-GB"/>
        </w:rPr>
        <w:t>Polanco Torres and</w:t>
      </w:r>
      <w:r w:rsidRPr="00A10260">
        <w:rPr>
          <w:rFonts w:eastAsia="Times New Roman"/>
          <w:lang w:val="en-GB"/>
        </w:rPr>
        <w:t xml:space="preserve"> </w:t>
      </w:r>
      <w:r w:rsidRPr="00A10260">
        <w:rPr>
          <w:rFonts w:eastAsia="Times New Roman"/>
          <w:i/>
          <w:lang w:val="en-GB"/>
        </w:rPr>
        <w:t>Movilla Polanco v. Spain</w:t>
      </w:r>
      <w:r w:rsidRPr="00A10260">
        <w:rPr>
          <w:rFonts w:eastAsia="Times New Roman"/>
          <w:lang w:val="en-GB"/>
        </w:rPr>
        <w:t xml:space="preserve">, no. </w:t>
      </w:r>
      <w:hyperlink r:id="rId19" w:anchor="{&quot;appno&quot;:[&quot;34147/06&quot;]}" w:tgtFrame="_blank" w:history="1">
        <w:r w:rsidRPr="00A10260">
          <w:rPr>
            <w:rFonts w:eastAsia="Times New Roman"/>
            <w:lang w:val="en-GB"/>
          </w:rPr>
          <w:t>34147/06</w:t>
        </w:r>
      </w:hyperlink>
      <w:r w:rsidRPr="00A10260">
        <w:rPr>
          <w:rFonts w:eastAsia="Times New Roman"/>
          <w:lang w:val="en-GB"/>
        </w:rPr>
        <w:t>, § 40, 21</w:t>
      </w:r>
      <w:r w:rsidR="00FF6C28">
        <w:rPr>
          <w:rFonts w:eastAsia="Times New Roman"/>
          <w:lang w:val="en-GB"/>
        </w:rPr>
        <w:t> </w:t>
      </w:r>
      <w:r w:rsidRPr="00A10260">
        <w:rPr>
          <w:rFonts w:eastAsia="Times New Roman"/>
          <w:lang w:val="en-GB"/>
        </w:rPr>
        <w:t>September 2010</w:t>
      </w:r>
      <w:r w:rsidR="00E87B29">
        <w:rPr>
          <w:rFonts w:eastAsia="Times New Roman"/>
          <w:lang w:val="en-GB"/>
        </w:rPr>
        <w:t>;</w:t>
      </w:r>
      <w:r w:rsidRPr="00A10260">
        <w:rPr>
          <w:rFonts w:eastAsia="Times New Roman"/>
          <w:lang w:val="en-GB"/>
        </w:rPr>
        <w:t xml:space="preserve"> and </w:t>
      </w:r>
      <w:r w:rsidRPr="00A10260">
        <w:rPr>
          <w:rFonts w:eastAsia="Times New Roman"/>
          <w:i/>
          <w:lang w:val="en-GB"/>
        </w:rPr>
        <w:t>Couderc and Hachette Filipacchi Associés</w:t>
      </w:r>
      <w:r w:rsidRPr="00A10260">
        <w:rPr>
          <w:rFonts w:eastAsia="Times New Roman"/>
          <w:lang w:val="en-GB"/>
        </w:rPr>
        <w:t xml:space="preserve"> </w:t>
      </w:r>
      <w:r w:rsidRPr="00A10260">
        <w:rPr>
          <w:rFonts w:eastAsia="Times New Roman"/>
          <w:i/>
          <w:lang w:val="en-GB"/>
        </w:rPr>
        <w:t>v.</w:t>
      </w:r>
      <w:r w:rsidR="00FF6C28">
        <w:rPr>
          <w:rFonts w:eastAsia="Times New Roman"/>
          <w:i/>
          <w:lang w:val="en-GB"/>
        </w:rPr>
        <w:t> </w:t>
      </w:r>
      <w:r w:rsidRPr="00A10260">
        <w:rPr>
          <w:rFonts w:eastAsia="Times New Roman"/>
          <w:i/>
          <w:lang w:val="en-GB"/>
        </w:rPr>
        <w:t>France</w:t>
      </w:r>
      <w:r w:rsidRPr="00A10260">
        <w:rPr>
          <w:rFonts w:eastAsia="Times New Roman"/>
          <w:lang w:val="en-GB"/>
        </w:rPr>
        <w:t>, no. 40454/07</w:t>
      </w:r>
      <w:r w:rsidRPr="00A10260">
        <w:rPr>
          <w:rFonts w:eastAsia="Times New Roman"/>
          <w:snapToGrid w:val="0"/>
          <w:lang w:val="en-GB"/>
        </w:rPr>
        <w:t>, § 53, 12 June 2014</w:t>
      </w:r>
      <w:r w:rsidRPr="00A10260">
        <w:rPr>
          <w:rFonts w:eastAsia="Times New Roman"/>
          <w:lang w:val="en-GB"/>
        </w:rPr>
        <w:t>). The domestic authorities were therefore faced with the difficult task of balancing two conflicting values,</w:t>
      </w:r>
      <w:r w:rsidRPr="00A10260">
        <w:rPr>
          <w:rFonts w:eastAsia="Times New Roman"/>
          <w:szCs w:val="24"/>
          <w:lang w:val="en-GB"/>
        </w:rPr>
        <w:t xml:space="preserve"> namely freedom of expression of the applicant on the one hand and Mr</w:t>
      </w:r>
      <w:r w:rsidR="00FF6C28">
        <w:rPr>
          <w:rFonts w:eastAsia="Times New Roman"/>
          <w:szCs w:val="24"/>
          <w:lang w:val="en-GB"/>
        </w:rPr>
        <w:t> </w:t>
      </w:r>
      <w:r w:rsidRPr="00A10260">
        <w:rPr>
          <w:rFonts w:eastAsia="Times New Roman"/>
          <w:szCs w:val="24"/>
          <w:lang w:val="en-GB"/>
        </w:rPr>
        <w:t>J.M</w:t>
      </w:r>
      <w:r w:rsidR="00304BCD">
        <w:rPr>
          <w:rFonts w:eastAsia="Times New Roman"/>
          <w:szCs w:val="24"/>
          <w:lang w:val="en-GB"/>
        </w:rPr>
        <w:t>.</w:t>
      </w:r>
      <w:r w:rsidR="00112E16">
        <w:rPr>
          <w:rFonts w:eastAsia="Times New Roman"/>
          <w:szCs w:val="24"/>
          <w:lang w:val="en-GB"/>
        </w:rPr>
        <w:t>’</w:t>
      </w:r>
      <w:r w:rsidR="00304BCD">
        <w:rPr>
          <w:rFonts w:eastAsia="Times New Roman"/>
          <w:szCs w:val="24"/>
          <w:lang w:val="en-GB"/>
        </w:rPr>
        <w:t>s</w:t>
      </w:r>
      <w:r w:rsidRPr="00A10260">
        <w:rPr>
          <w:rFonts w:eastAsia="Times New Roman"/>
          <w:szCs w:val="24"/>
          <w:lang w:val="en-GB"/>
        </w:rPr>
        <w:t xml:space="preserve"> </w:t>
      </w:r>
      <w:r w:rsidR="00304BCD">
        <w:rPr>
          <w:rFonts w:eastAsia="Times New Roman"/>
          <w:szCs w:val="24"/>
          <w:lang w:val="en-GB"/>
        </w:rPr>
        <w:t xml:space="preserve">right to </w:t>
      </w:r>
      <w:r w:rsidRPr="00A10260">
        <w:rPr>
          <w:rFonts w:eastAsia="Times New Roman"/>
          <w:szCs w:val="24"/>
          <w:lang w:val="en-GB"/>
        </w:rPr>
        <w:t>respect for his reputation on the other (</w:t>
      </w:r>
      <w:r w:rsidR="00304BCD">
        <w:rPr>
          <w:rFonts w:eastAsia="Times New Roman"/>
          <w:szCs w:val="24"/>
          <w:lang w:val="en-GB"/>
        </w:rPr>
        <w:t xml:space="preserve">see </w:t>
      </w:r>
      <w:r w:rsidRPr="00A10260">
        <w:rPr>
          <w:rFonts w:eastAsia="Times New Roman"/>
          <w:i/>
          <w:lang w:val="en-GB"/>
        </w:rPr>
        <w:t xml:space="preserve">Axel Springer AG v. Germany </w:t>
      </w:r>
      <w:r w:rsidRPr="00A10260">
        <w:rPr>
          <w:rFonts w:eastAsia="Times New Roman"/>
          <w:lang w:val="en-GB"/>
        </w:rPr>
        <w:t>[GC], no. 39954/08</w:t>
      </w:r>
      <w:r w:rsidRPr="00A10260">
        <w:rPr>
          <w:rFonts w:eastAsia="Times New Roman"/>
          <w:snapToGrid w:val="0"/>
          <w:szCs w:val="24"/>
          <w:lang w:val="en-GB"/>
        </w:rPr>
        <w:t xml:space="preserve">, § 84, </w:t>
      </w:r>
      <w:r w:rsidRPr="00A10260">
        <w:rPr>
          <w:rFonts w:eastAsia="Times New Roman"/>
          <w:szCs w:val="24"/>
          <w:lang w:val="en-GB"/>
        </w:rPr>
        <w:t>7</w:t>
      </w:r>
      <w:r w:rsidRPr="00A10260">
        <w:rPr>
          <w:rFonts w:eastAsia="Times New Roman"/>
          <w:snapToGrid w:val="0"/>
          <w:szCs w:val="24"/>
          <w:lang w:val="en-GB"/>
        </w:rPr>
        <w:t xml:space="preserve"> February 2012).</w:t>
      </w:r>
    </w:p>
    <w:p w:rsidR="001B69D6" w:rsidRDefault="009D2E50" w:rsidP="003C2FC3">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0E1CAB">
        <w:rPr>
          <w:rFonts w:eastAsia="Times New Roman"/>
          <w:noProof/>
          <w:lang w:val="en-GB"/>
        </w:rPr>
        <w:t>45</w:t>
      </w:r>
      <w:r>
        <w:rPr>
          <w:rFonts w:eastAsia="Times New Roman"/>
          <w:lang w:val="en-GB"/>
        </w:rPr>
        <w:fldChar w:fldCharType="end"/>
      </w:r>
      <w:r>
        <w:rPr>
          <w:rFonts w:eastAsia="Times New Roman"/>
          <w:lang w:val="en-GB"/>
        </w:rPr>
        <w:t>.  </w:t>
      </w:r>
      <w:r w:rsidR="00D2459E" w:rsidRPr="00A10260">
        <w:rPr>
          <w:rFonts w:eastAsia="Times New Roman"/>
          <w:lang w:val="en-GB"/>
        </w:rPr>
        <w:t xml:space="preserve">In assessing the necessity of the interference, it is important to examine the way in which the relevant domestic authorities dealt with the case, and in particular whether they applied standards which were in conformity with the principles embodied in Article 10 of the Convention (see paragraph </w:t>
      </w:r>
      <w:r w:rsidR="00001D56" w:rsidRPr="00001D56">
        <w:rPr>
          <w:rFonts w:eastAsia="Times New Roman"/>
          <w:lang w:val="en-GB"/>
        </w:rPr>
        <w:t xml:space="preserve">41 </w:t>
      </w:r>
      <w:r w:rsidR="00D2459E" w:rsidRPr="00A10260">
        <w:rPr>
          <w:rFonts w:eastAsia="Times New Roman"/>
          <w:lang w:val="en-GB"/>
        </w:rPr>
        <w:t>above).</w:t>
      </w:r>
    </w:p>
    <w:p w:rsidR="00D2459E" w:rsidRPr="00A10260" w:rsidRDefault="00D2459E" w:rsidP="003C2FC3">
      <w:pPr>
        <w:pStyle w:val="ECHRPara"/>
        <w:rPr>
          <w:rFonts w:eastAsia="Times New Roman"/>
          <w:lang w:val="en-GB"/>
        </w:rPr>
      </w:pPr>
      <w:r w:rsidRPr="002B31A5">
        <w:rPr>
          <w:rFonts w:eastAsia="Times New Roman"/>
        </w:rPr>
        <w:fldChar w:fldCharType="begin"/>
      </w:r>
      <w:r w:rsidRPr="00A10260">
        <w:rPr>
          <w:rFonts w:eastAsia="Times New Roman"/>
          <w:lang w:val="en-GB"/>
        </w:rPr>
        <w:instrText xml:space="preserve"> SEQ level0 \*arabic </w:instrText>
      </w:r>
      <w:r w:rsidRPr="002B31A5">
        <w:rPr>
          <w:rFonts w:eastAsia="Times New Roman"/>
        </w:rPr>
        <w:fldChar w:fldCharType="separate"/>
      </w:r>
      <w:r w:rsidR="000E1CAB">
        <w:rPr>
          <w:rFonts w:eastAsia="Times New Roman"/>
          <w:noProof/>
          <w:lang w:val="en-GB"/>
        </w:rPr>
        <w:t>46</w:t>
      </w:r>
      <w:r w:rsidRPr="002B31A5">
        <w:rPr>
          <w:rFonts w:eastAsia="Times New Roman"/>
        </w:rPr>
        <w:fldChar w:fldCharType="end"/>
      </w:r>
      <w:r w:rsidRPr="00A10260">
        <w:rPr>
          <w:rFonts w:eastAsia="Times New Roman"/>
          <w:lang w:val="en-GB"/>
        </w:rPr>
        <w:t xml:space="preserve">. The Court notes that the Supreme Court differentiated </w:t>
      </w:r>
      <w:r w:rsidR="00054F10" w:rsidRPr="00A10260">
        <w:rPr>
          <w:rFonts w:eastAsia="Times New Roman"/>
          <w:lang w:val="en-GB"/>
        </w:rPr>
        <w:t xml:space="preserve">between </w:t>
      </w:r>
      <w:r w:rsidRPr="00A10260">
        <w:rPr>
          <w:rFonts w:eastAsia="Times New Roman"/>
          <w:lang w:val="en-GB"/>
        </w:rPr>
        <w:t xml:space="preserve">the standards applicable to journalists </w:t>
      </w:r>
      <w:r w:rsidR="00054F10" w:rsidRPr="00A10260">
        <w:rPr>
          <w:rFonts w:eastAsia="Times New Roman"/>
          <w:lang w:val="en-GB"/>
        </w:rPr>
        <w:t xml:space="preserve">and </w:t>
      </w:r>
      <w:r w:rsidRPr="00A10260">
        <w:rPr>
          <w:rFonts w:eastAsia="Times New Roman"/>
          <w:lang w:val="en-GB"/>
        </w:rPr>
        <w:t xml:space="preserve">those applicable to other participants </w:t>
      </w:r>
      <w:r w:rsidR="00F0086E" w:rsidRPr="00A10260">
        <w:rPr>
          <w:rFonts w:eastAsia="Times New Roman"/>
          <w:lang w:val="en-GB"/>
        </w:rPr>
        <w:t xml:space="preserve">in </w:t>
      </w:r>
      <w:r w:rsidRPr="00A10260">
        <w:rPr>
          <w:rFonts w:eastAsia="Times New Roman"/>
          <w:lang w:val="en-GB"/>
        </w:rPr>
        <w:t xml:space="preserve">the public debate. </w:t>
      </w:r>
      <w:r w:rsidR="00674F68">
        <w:rPr>
          <w:rFonts w:eastAsia="Times New Roman"/>
          <w:lang w:val="en-GB"/>
        </w:rPr>
        <w:t xml:space="preserve">It did so, without </w:t>
      </w:r>
      <w:r w:rsidR="00674F68" w:rsidRPr="00A10260">
        <w:rPr>
          <w:rFonts w:eastAsia="Times New Roman"/>
          <w:lang w:val="en-GB"/>
        </w:rPr>
        <w:t>examin</w:t>
      </w:r>
      <w:r w:rsidR="00304BCD">
        <w:rPr>
          <w:rFonts w:eastAsia="Times New Roman"/>
          <w:lang w:val="en-GB"/>
        </w:rPr>
        <w:t xml:space="preserve">ing </w:t>
      </w:r>
      <w:r w:rsidR="00674F68" w:rsidRPr="00A10260">
        <w:rPr>
          <w:rFonts w:eastAsia="Times New Roman"/>
          <w:lang w:val="en-GB"/>
        </w:rPr>
        <w:t xml:space="preserve">whether such a differentiation </w:t>
      </w:r>
      <w:r w:rsidR="00674F68">
        <w:rPr>
          <w:rFonts w:eastAsia="Times New Roman"/>
          <w:lang w:val="en-GB"/>
        </w:rPr>
        <w:t xml:space="preserve">would be </w:t>
      </w:r>
      <w:r w:rsidR="00674F68" w:rsidRPr="00A10260">
        <w:rPr>
          <w:rFonts w:eastAsia="Times New Roman"/>
          <w:lang w:val="en-GB"/>
        </w:rPr>
        <w:t>compatible with Article 10 of the Convention</w:t>
      </w:r>
      <w:r w:rsidR="00674F68">
        <w:rPr>
          <w:rFonts w:eastAsia="Times New Roman"/>
          <w:lang w:val="en-GB"/>
        </w:rPr>
        <w:t>.</w:t>
      </w:r>
      <w:r w:rsidR="00674F68" w:rsidRPr="00A10260">
        <w:rPr>
          <w:rFonts w:eastAsia="Times New Roman"/>
          <w:lang w:val="en-GB"/>
        </w:rPr>
        <w:t xml:space="preserve"> </w:t>
      </w:r>
      <w:r w:rsidRPr="00A10260">
        <w:rPr>
          <w:rFonts w:eastAsia="Times New Roman"/>
          <w:lang w:val="en-GB"/>
        </w:rPr>
        <w:t xml:space="preserve">According to the Supreme </w:t>
      </w:r>
      <w:r w:rsidR="00D71703" w:rsidRPr="00A10260">
        <w:rPr>
          <w:rFonts w:eastAsia="Times New Roman"/>
          <w:lang w:val="en-GB"/>
        </w:rPr>
        <w:t>Court</w:t>
      </w:r>
      <w:r w:rsidR="00001D56">
        <w:rPr>
          <w:rFonts w:eastAsia="Times New Roman"/>
          <w:lang w:val="en-GB"/>
        </w:rPr>
        <w:t>,</w:t>
      </w:r>
      <w:r w:rsidR="00D71703" w:rsidRPr="00A10260">
        <w:rPr>
          <w:rFonts w:eastAsia="Times New Roman"/>
          <w:lang w:val="en-GB"/>
        </w:rPr>
        <w:t xml:space="preserve"> </w:t>
      </w:r>
      <w:r w:rsidRPr="00A10260">
        <w:rPr>
          <w:rFonts w:eastAsia="Times New Roman"/>
          <w:lang w:val="en-GB"/>
        </w:rPr>
        <w:t xml:space="preserve">the standard of due diligence and good faith should be applied only to journalists who </w:t>
      </w:r>
      <w:r w:rsidR="00D71703" w:rsidRPr="00A10260">
        <w:rPr>
          <w:rFonts w:eastAsia="Times New Roman"/>
          <w:lang w:val="en-GB"/>
        </w:rPr>
        <w:t>fulfil</w:t>
      </w:r>
      <w:r w:rsidRPr="00A10260">
        <w:rPr>
          <w:rFonts w:eastAsia="Times New Roman"/>
          <w:lang w:val="en-GB"/>
        </w:rPr>
        <w:t xml:space="preserve"> an especially important social function. </w:t>
      </w:r>
      <w:r w:rsidRPr="00E34A82">
        <w:rPr>
          <w:rFonts w:eastAsia="Times New Roman"/>
          <w:lang w:val="en-GB"/>
        </w:rPr>
        <w:t xml:space="preserve">Other persons </w:t>
      </w:r>
      <w:r w:rsidR="00D71703" w:rsidRPr="00E34A82">
        <w:rPr>
          <w:rFonts w:eastAsia="Times New Roman"/>
          <w:lang w:val="en-GB"/>
        </w:rPr>
        <w:t>were required</w:t>
      </w:r>
      <w:r w:rsidR="00304BCD" w:rsidRPr="00E34A82">
        <w:rPr>
          <w:rFonts w:eastAsia="Times New Roman"/>
          <w:lang w:val="en-GB"/>
        </w:rPr>
        <w:t xml:space="preserve"> by the Supreme Court </w:t>
      </w:r>
      <w:r w:rsidRPr="00E34A82">
        <w:rPr>
          <w:rFonts w:eastAsia="Times New Roman"/>
          <w:lang w:val="en-GB"/>
        </w:rPr>
        <w:t>to meet a higher standard</w:t>
      </w:r>
      <w:r w:rsidRPr="00A10260">
        <w:rPr>
          <w:rFonts w:eastAsia="Times New Roman"/>
          <w:lang w:val="en-GB"/>
        </w:rPr>
        <w:t xml:space="preserve"> </w:t>
      </w:r>
      <w:r w:rsidR="00304BCD">
        <w:rPr>
          <w:rFonts w:eastAsia="Times New Roman"/>
          <w:lang w:val="en-GB"/>
        </w:rPr>
        <w:t xml:space="preserve">in that they were to </w:t>
      </w:r>
      <w:r w:rsidRPr="00A10260">
        <w:rPr>
          <w:rFonts w:eastAsia="Times New Roman"/>
          <w:lang w:val="en-GB"/>
        </w:rPr>
        <w:t>prov</w:t>
      </w:r>
      <w:r w:rsidR="00304BCD">
        <w:rPr>
          <w:rFonts w:eastAsia="Times New Roman"/>
          <w:lang w:val="en-GB"/>
        </w:rPr>
        <w:t>e</w:t>
      </w:r>
      <w:r w:rsidRPr="00A10260">
        <w:rPr>
          <w:rFonts w:eastAsia="Times New Roman"/>
          <w:lang w:val="en-GB"/>
        </w:rPr>
        <w:t xml:space="preserve"> the veracity of their allegations (</w:t>
      </w:r>
      <w:r w:rsidR="00D71703" w:rsidRPr="00A10260">
        <w:rPr>
          <w:rFonts w:eastAsia="Times New Roman"/>
          <w:lang w:val="en-GB"/>
        </w:rPr>
        <w:t xml:space="preserve">see </w:t>
      </w:r>
      <w:r w:rsidRPr="00A10260">
        <w:rPr>
          <w:rFonts w:eastAsia="Times New Roman"/>
          <w:lang w:val="en-GB"/>
        </w:rPr>
        <w:t xml:space="preserve">paragraph </w:t>
      </w:r>
      <w:r w:rsidR="00A10260">
        <w:rPr>
          <w:rFonts w:eastAsia="Times New Roman"/>
          <w:lang w:val="en-GB"/>
        </w:rPr>
        <w:t>22</w:t>
      </w:r>
      <w:r w:rsidRPr="00A10260">
        <w:rPr>
          <w:rFonts w:eastAsia="Times New Roman"/>
          <w:lang w:val="en-GB"/>
        </w:rPr>
        <w:t xml:space="preserve"> above). In </w:t>
      </w:r>
      <w:r w:rsidR="00304BCD">
        <w:rPr>
          <w:rFonts w:eastAsia="Times New Roman"/>
          <w:lang w:val="en-GB"/>
        </w:rPr>
        <w:t xml:space="preserve">such </w:t>
      </w:r>
      <w:r w:rsidRPr="00A10260">
        <w:rPr>
          <w:rFonts w:eastAsia="Times New Roman"/>
          <w:lang w:val="en-GB"/>
        </w:rPr>
        <w:t xml:space="preserve">case the question of due diligence </w:t>
      </w:r>
      <w:r w:rsidR="00D71703" w:rsidRPr="00A10260">
        <w:rPr>
          <w:rFonts w:eastAsia="Times New Roman"/>
          <w:lang w:val="en-GB"/>
        </w:rPr>
        <w:t xml:space="preserve">would </w:t>
      </w:r>
      <w:r w:rsidRPr="00A10260">
        <w:rPr>
          <w:rFonts w:eastAsia="Times New Roman"/>
          <w:lang w:val="en-GB"/>
        </w:rPr>
        <w:t xml:space="preserve">be taken into account only </w:t>
      </w:r>
      <w:r w:rsidR="00D71703" w:rsidRPr="00A10260">
        <w:rPr>
          <w:rFonts w:eastAsia="Times New Roman"/>
          <w:lang w:val="en-GB"/>
        </w:rPr>
        <w:t xml:space="preserve">when </w:t>
      </w:r>
      <w:r w:rsidRPr="00A10260">
        <w:rPr>
          <w:rFonts w:eastAsia="Times New Roman"/>
          <w:lang w:val="en-GB"/>
        </w:rPr>
        <w:t>establish</w:t>
      </w:r>
      <w:r w:rsidR="00D71703" w:rsidRPr="00A10260">
        <w:rPr>
          <w:rFonts w:eastAsia="Times New Roman"/>
          <w:lang w:val="en-GB"/>
        </w:rPr>
        <w:t>ing</w:t>
      </w:r>
      <w:r w:rsidRPr="00A10260">
        <w:rPr>
          <w:rFonts w:eastAsia="Times New Roman"/>
          <w:lang w:val="en-GB"/>
        </w:rPr>
        <w:t xml:space="preserve"> their fault</w:t>
      </w:r>
      <w:r w:rsidR="00674F68">
        <w:rPr>
          <w:rFonts w:eastAsia="Times New Roman"/>
          <w:lang w:val="en-GB"/>
        </w:rPr>
        <w:t xml:space="preserve"> </w:t>
      </w:r>
      <w:r w:rsidR="00304BCD">
        <w:rPr>
          <w:rFonts w:eastAsia="Times New Roman"/>
          <w:lang w:val="en-GB"/>
        </w:rPr>
        <w:t xml:space="preserve">i.e. </w:t>
      </w:r>
      <w:r w:rsidR="00674F68">
        <w:rPr>
          <w:rFonts w:eastAsia="Times New Roman"/>
          <w:lang w:val="en-GB"/>
        </w:rPr>
        <w:t>the sanction</w:t>
      </w:r>
      <w:r w:rsidRPr="00A10260">
        <w:rPr>
          <w:rFonts w:eastAsia="Times New Roman"/>
          <w:lang w:val="en-GB"/>
        </w:rPr>
        <w:t xml:space="preserve">. </w:t>
      </w:r>
      <w:r w:rsidR="009C3C0E">
        <w:rPr>
          <w:rFonts w:eastAsia="Times New Roman"/>
          <w:lang w:val="en-GB"/>
        </w:rPr>
        <w:t>In the instant case t</w:t>
      </w:r>
      <w:r w:rsidR="00674F68">
        <w:rPr>
          <w:rFonts w:eastAsia="Times New Roman"/>
          <w:lang w:val="en-GB"/>
        </w:rPr>
        <w:t xml:space="preserve">he domestic courts </w:t>
      </w:r>
      <w:r w:rsidR="00394274">
        <w:rPr>
          <w:rFonts w:eastAsia="Times New Roman"/>
          <w:lang w:val="en-GB"/>
        </w:rPr>
        <w:t xml:space="preserve">found </w:t>
      </w:r>
      <w:r w:rsidR="00674F68">
        <w:rPr>
          <w:rFonts w:eastAsia="Times New Roman"/>
          <w:lang w:val="en-GB"/>
        </w:rPr>
        <w:t xml:space="preserve">the applicant </w:t>
      </w:r>
      <w:r w:rsidR="00394274">
        <w:rPr>
          <w:rFonts w:eastAsia="Times New Roman"/>
          <w:lang w:val="en-GB"/>
        </w:rPr>
        <w:t xml:space="preserve">to be in </w:t>
      </w:r>
      <w:r w:rsidR="00674F68">
        <w:rPr>
          <w:rFonts w:eastAsia="Times New Roman"/>
          <w:lang w:val="en-GB"/>
        </w:rPr>
        <w:t xml:space="preserve">the </w:t>
      </w:r>
      <w:r w:rsidR="00113A04">
        <w:rPr>
          <w:rFonts w:eastAsia="Times New Roman"/>
          <w:lang w:val="en-GB"/>
        </w:rPr>
        <w:t>latter</w:t>
      </w:r>
      <w:r w:rsidR="00674F68">
        <w:rPr>
          <w:rFonts w:eastAsia="Times New Roman"/>
          <w:lang w:val="en-GB"/>
        </w:rPr>
        <w:t xml:space="preserve"> category, and in view of his inability to prove the truth of his statement, </w:t>
      </w:r>
      <w:r w:rsidR="00394274">
        <w:rPr>
          <w:rFonts w:eastAsia="Times New Roman"/>
          <w:lang w:val="en-GB"/>
        </w:rPr>
        <w:t xml:space="preserve">they </w:t>
      </w:r>
      <w:r w:rsidR="00674F68">
        <w:rPr>
          <w:rFonts w:eastAsia="Times New Roman"/>
          <w:lang w:val="en-GB"/>
        </w:rPr>
        <w:t>concluded that he had breached the claimant</w:t>
      </w:r>
      <w:r w:rsidR="00112E16">
        <w:rPr>
          <w:rFonts w:eastAsia="Times New Roman"/>
          <w:lang w:val="en-GB"/>
        </w:rPr>
        <w:t>’</w:t>
      </w:r>
      <w:r w:rsidR="00674F68">
        <w:rPr>
          <w:rFonts w:eastAsia="Times New Roman"/>
          <w:lang w:val="en-GB"/>
        </w:rPr>
        <w:t>s personal rights.</w:t>
      </w:r>
    </w:p>
    <w:p w:rsidR="001B69D6" w:rsidRDefault="003B4841" w:rsidP="0026258E">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0E1CAB">
        <w:rPr>
          <w:rFonts w:eastAsia="Times New Roman"/>
          <w:noProof/>
          <w:lang w:val="en-GB"/>
        </w:rPr>
        <w:t>47</w:t>
      </w:r>
      <w:r>
        <w:rPr>
          <w:rFonts w:eastAsia="Times New Roman"/>
          <w:lang w:val="en-GB"/>
        </w:rPr>
        <w:fldChar w:fldCharType="end"/>
      </w:r>
      <w:r>
        <w:rPr>
          <w:rFonts w:eastAsia="Times New Roman"/>
          <w:lang w:val="en-GB"/>
        </w:rPr>
        <w:t>.  </w:t>
      </w:r>
      <w:r w:rsidR="00D2459E" w:rsidRPr="00A10260">
        <w:rPr>
          <w:rFonts w:eastAsia="Times New Roman"/>
          <w:lang w:val="en-GB"/>
        </w:rPr>
        <w:t xml:space="preserve">The Government </w:t>
      </w:r>
      <w:r w:rsidR="00394274">
        <w:rPr>
          <w:rFonts w:eastAsia="Times New Roman"/>
          <w:lang w:val="en-GB"/>
        </w:rPr>
        <w:t xml:space="preserve">and the </w:t>
      </w:r>
      <w:r w:rsidR="00394274" w:rsidRPr="00A10260">
        <w:rPr>
          <w:rFonts w:eastAsia="Times New Roman"/>
          <w:lang w:val="en-GB"/>
        </w:rPr>
        <w:t xml:space="preserve">domestic courts </w:t>
      </w:r>
      <w:r w:rsidR="00394274">
        <w:rPr>
          <w:rFonts w:eastAsia="Times New Roman"/>
          <w:lang w:val="en-GB"/>
        </w:rPr>
        <w:t xml:space="preserve">claimed </w:t>
      </w:r>
      <w:r w:rsidR="00D2459E" w:rsidRPr="00A10260">
        <w:rPr>
          <w:rFonts w:eastAsia="Times New Roman"/>
          <w:lang w:val="en-GB"/>
        </w:rPr>
        <w:t>that the applicant was not a journalist</w:t>
      </w:r>
      <w:r w:rsidR="00394274">
        <w:rPr>
          <w:rFonts w:eastAsia="Times New Roman"/>
          <w:lang w:val="en-GB"/>
        </w:rPr>
        <w:t>. On the other hand</w:t>
      </w:r>
      <w:r w:rsidR="00D2459E" w:rsidRPr="00A10260">
        <w:rPr>
          <w:rFonts w:eastAsia="Times New Roman"/>
          <w:lang w:val="en-GB"/>
        </w:rPr>
        <w:t xml:space="preserve"> the applicant </w:t>
      </w:r>
      <w:r w:rsidR="00FE5A1F" w:rsidRPr="00A10260">
        <w:rPr>
          <w:rFonts w:eastAsia="Times New Roman"/>
          <w:lang w:val="en-GB"/>
        </w:rPr>
        <w:t xml:space="preserve">insisted </w:t>
      </w:r>
      <w:r w:rsidR="00D2459E" w:rsidRPr="00A10260">
        <w:rPr>
          <w:rFonts w:eastAsia="Times New Roman"/>
          <w:lang w:val="en-GB"/>
        </w:rPr>
        <w:t xml:space="preserve">that he </w:t>
      </w:r>
      <w:r w:rsidR="00FE5A1F" w:rsidRPr="00A10260">
        <w:rPr>
          <w:rFonts w:eastAsia="Times New Roman"/>
          <w:lang w:val="en-GB"/>
        </w:rPr>
        <w:t xml:space="preserve">had </w:t>
      </w:r>
      <w:r w:rsidR="00D2459E" w:rsidRPr="00A10260">
        <w:rPr>
          <w:rFonts w:eastAsia="Times New Roman"/>
          <w:lang w:val="en-GB"/>
        </w:rPr>
        <w:t>been active in professional journalism for many years. </w:t>
      </w:r>
      <w:r w:rsidR="00540FBA" w:rsidRPr="00A10260">
        <w:rPr>
          <w:rFonts w:eastAsia="Times New Roman"/>
          <w:lang w:val="en-GB"/>
        </w:rPr>
        <w:t xml:space="preserve">However, </w:t>
      </w:r>
      <w:r w:rsidR="00394274">
        <w:rPr>
          <w:rFonts w:eastAsia="Times New Roman"/>
          <w:lang w:val="en-GB"/>
        </w:rPr>
        <w:t xml:space="preserve">in any case </w:t>
      </w:r>
      <w:r w:rsidR="00540FBA" w:rsidRPr="00A10260">
        <w:rPr>
          <w:rFonts w:eastAsia="Times New Roman"/>
          <w:lang w:val="en-GB"/>
        </w:rPr>
        <w:t xml:space="preserve">the question </w:t>
      </w:r>
      <w:r w:rsidR="00674F68">
        <w:rPr>
          <w:rFonts w:eastAsia="Times New Roman"/>
          <w:lang w:val="en-GB"/>
        </w:rPr>
        <w:t xml:space="preserve">of </w:t>
      </w:r>
      <w:r w:rsidR="00540FBA" w:rsidRPr="00A10260">
        <w:rPr>
          <w:rFonts w:eastAsia="Times New Roman"/>
          <w:lang w:val="en-GB"/>
        </w:rPr>
        <w:t xml:space="preserve">whether the applicant </w:t>
      </w:r>
      <w:r w:rsidR="0026258E">
        <w:rPr>
          <w:rFonts w:eastAsia="Times New Roman"/>
          <w:lang w:val="en-GB"/>
        </w:rPr>
        <w:t>was a</w:t>
      </w:r>
      <w:r w:rsidR="00540FBA" w:rsidRPr="00A10260">
        <w:rPr>
          <w:rFonts w:eastAsia="Times New Roman"/>
          <w:lang w:val="en-GB"/>
        </w:rPr>
        <w:t xml:space="preserve"> journalist </w:t>
      </w:r>
      <w:r w:rsidR="0026258E">
        <w:rPr>
          <w:rFonts w:eastAsia="Times New Roman"/>
          <w:lang w:val="en-GB"/>
        </w:rPr>
        <w:t xml:space="preserve">within the meaning of the domestic law, </w:t>
      </w:r>
      <w:r w:rsidR="00540FBA" w:rsidRPr="00A10260">
        <w:rPr>
          <w:rFonts w:eastAsia="Times New Roman"/>
          <w:lang w:val="en-GB"/>
        </w:rPr>
        <w:t xml:space="preserve">is not of particular relevance </w:t>
      </w:r>
      <w:r w:rsidR="0033001A">
        <w:rPr>
          <w:rFonts w:eastAsia="Times New Roman"/>
          <w:lang w:val="en-GB"/>
        </w:rPr>
        <w:t xml:space="preserve">in the circumstances of the instant case. </w:t>
      </w:r>
      <w:r w:rsidR="0026258E">
        <w:rPr>
          <w:rFonts w:eastAsia="Times New Roman"/>
          <w:lang w:val="en-GB"/>
        </w:rPr>
        <w:t xml:space="preserve">The Court </w:t>
      </w:r>
      <w:r w:rsidR="0033001A">
        <w:rPr>
          <w:rFonts w:eastAsia="Times New Roman"/>
          <w:lang w:val="en-GB"/>
        </w:rPr>
        <w:t>reiterates that</w:t>
      </w:r>
      <w:r w:rsidR="00540FBA" w:rsidRPr="00A10260">
        <w:rPr>
          <w:rFonts w:eastAsia="Times New Roman"/>
          <w:lang w:val="en-GB"/>
        </w:rPr>
        <w:t xml:space="preserve"> the Convention offers a protection to all participants in debate</w:t>
      </w:r>
      <w:r w:rsidR="00394274">
        <w:rPr>
          <w:rFonts w:eastAsia="Times New Roman"/>
          <w:lang w:val="en-GB"/>
        </w:rPr>
        <w:t>s</w:t>
      </w:r>
      <w:r w:rsidR="0033001A">
        <w:rPr>
          <w:rFonts w:eastAsia="Times New Roman"/>
          <w:lang w:val="en-GB"/>
        </w:rPr>
        <w:t xml:space="preserve"> on </w:t>
      </w:r>
      <w:r w:rsidR="0033001A" w:rsidRPr="0033001A">
        <w:rPr>
          <w:rFonts w:eastAsia="Times New Roman"/>
          <w:lang w:val="en-GB"/>
        </w:rPr>
        <w:t>matters of legitimate public concern</w:t>
      </w:r>
      <w:r w:rsidR="00540FBA" w:rsidRPr="00A10260">
        <w:rPr>
          <w:rFonts w:eastAsia="Times New Roman"/>
          <w:lang w:val="en-GB"/>
        </w:rPr>
        <w:t>.</w:t>
      </w:r>
    </w:p>
    <w:p w:rsidR="00053264" w:rsidRDefault="002B31A5" w:rsidP="00053264">
      <w:pPr>
        <w:pStyle w:val="ECHRPara"/>
        <w:rPr>
          <w:rFonts w:eastAsia="Times New Roman"/>
          <w:lang w:val="en-GB"/>
        </w:rPr>
      </w:pPr>
      <w:r>
        <w:rPr>
          <w:rFonts w:eastAsia="Times New Roman"/>
        </w:rPr>
        <w:fldChar w:fldCharType="begin"/>
      </w:r>
      <w:r w:rsidRPr="00A10260">
        <w:rPr>
          <w:rFonts w:eastAsia="Times New Roman"/>
          <w:lang w:val="en-GB"/>
        </w:rPr>
        <w:instrText xml:space="preserve"> SEQ level0 \*arabic </w:instrText>
      </w:r>
      <w:r>
        <w:rPr>
          <w:rFonts w:eastAsia="Times New Roman"/>
        </w:rPr>
        <w:fldChar w:fldCharType="separate"/>
      </w:r>
      <w:r w:rsidR="000E1CAB">
        <w:rPr>
          <w:rFonts w:eastAsia="Times New Roman"/>
          <w:noProof/>
          <w:lang w:val="en-GB"/>
        </w:rPr>
        <w:t>48</w:t>
      </w:r>
      <w:r>
        <w:rPr>
          <w:rFonts w:eastAsia="Times New Roman"/>
        </w:rPr>
        <w:fldChar w:fldCharType="end"/>
      </w:r>
      <w:r w:rsidRPr="00A10260">
        <w:rPr>
          <w:rFonts w:eastAsia="Times New Roman"/>
          <w:lang w:val="en-GB"/>
        </w:rPr>
        <w:t>.  </w:t>
      </w:r>
      <w:r w:rsidR="00461EEB">
        <w:rPr>
          <w:rFonts w:eastAsia="Times New Roman"/>
          <w:lang w:val="en-GB"/>
        </w:rPr>
        <w:t>The Court notes that t</w:t>
      </w:r>
      <w:r w:rsidR="00461EEB" w:rsidRPr="00461EEB">
        <w:rPr>
          <w:rFonts w:eastAsia="Times New Roman"/>
          <w:lang w:val="en-GB"/>
        </w:rPr>
        <w:t xml:space="preserve">he applicant </w:t>
      </w:r>
      <w:r w:rsidR="00461EEB">
        <w:rPr>
          <w:rFonts w:eastAsia="Times New Roman"/>
          <w:lang w:val="en-GB"/>
        </w:rPr>
        <w:t xml:space="preserve">was </w:t>
      </w:r>
      <w:r w:rsidR="00461EEB" w:rsidRPr="00461EEB">
        <w:rPr>
          <w:rFonts w:eastAsia="Times New Roman"/>
          <w:lang w:val="en-GB"/>
        </w:rPr>
        <w:t>a historian, the author of press articles and television programmes, and someone who actively and publicly commented on current affairs</w:t>
      </w:r>
      <w:r w:rsidR="00461EEB">
        <w:rPr>
          <w:rFonts w:eastAsia="Times New Roman"/>
          <w:lang w:val="en-GB"/>
        </w:rPr>
        <w:t xml:space="preserve">. </w:t>
      </w:r>
      <w:r w:rsidR="00D2459E" w:rsidRPr="00A10260">
        <w:rPr>
          <w:rFonts w:eastAsia="Times New Roman"/>
          <w:lang w:val="en-GB"/>
        </w:rPr>
        <w:t xml:space="preserve">The domestic courts acknowledged that the applicant </w:t>
      </w:r>
      <w:r w:rsidR="00FE5A1F" w:rsidRPr="00A10260">
        <w:rPr>
          <w:rFonts w:eastAsia="Times New Roman"/>
          <w:lang w:val="en-GB"/>
        </w:rPr>
        <w:t xml:space="preserve">was </w:t>
      </w:r>
      <w:r w:rsidR="00D2459E" w:rsidRPr="00A10260">
        <w:rPr>
          <w:rFonts w:eastAsia="Times New Roman"/>
          <w:lang w:val="en-GB"/>
        </w:rPr>
        <w:t>a publicist and that given his professional experience</w:t>
      </w:r>
      <w:r w:rsidR="00674F68">
        <w:rPr>
          <w:rFonts w:eastAsia="Times New Roman"/>
          <w:lang w:val="en-GB"/>
        </w:rPr>
        <w:t>,</w:t>
      </w:r>
      <w:r w:rsidR="00D2459E" w:rsidRPr="00A10260">
        <w:rPr>
          <w:rFonts w:eastAsia="Times New Roman"/>
          <w:lang w:val="en-GB"/>
        </w:rPr>
        <w:t xml:space="preserve"> and </w:t>
      </w:r>
      <w:r w:rsidR="00FE5A1F" w:rsidRPr="00A10260">
        <w:rPr>
          <w:rFonts w:eastAsia="Times New Roman"/>
          <w:lang w:val="en-GB"/>
        </w:rPr>
        <w:t xml:space="preserve">the fact that </w:t>
      </w:r>
      <w:r w:rsidR="00D2459E" w:rsidRPr="00A10260">
        <w:rPr>
          <w:rFonts w:eastAsia="Times New Roman"/>
          <w:lang w:val="en-GB"/>
        </w:rPr>
        <w:t>he was</w:t>
      </w:r>
      <w:r w:rsidR="00FE5A1F" w:rsidRPr="00A10260">
        <w:rPr>
          <w:rFonts w:eastAsia="Times New Roman"/>
          <w:lang w:val="en-GB"/>
        </w:rPr>
        <w:t xml:space="preserve"> a</w:t>
      </w:r>
      <w:r w:rsidR="00D2459E" w:rsidRPr="00A10260">
        <w:rPr>
          <w:rFonts w:eastAsia="Times New Roman"/>
          <w:lang w:val="en-GB"/>
        </w:rPr>
        <w:t xml:space="preserve"> “specialist” on the subject</w:t>
      </w:r>
      <w:r w:rsidR="00FE5A1F" w:rsidRPr="00A10260">
        <w:rPr>
          <w:rFonts w:eastAsia="Times New Roman"/>
          <w:lang w:val="en-GB"/>
        </w:rPr>
        <w:t>,</w:t>
      </w:r>
      <w:r w:rsidR="00D2459E" w:rsidRPr="00A10260">
        <w:rPr>
          <w:rFonts w:eastAsia="Times New Roman"/>
          <w:lang w:val="en-GB"/>
        </w:rPr>
        <w:t xml:space="preserve"> </w:t>
      </w:r>
      <w:r w:rsidR="00FE5A1F" w:rsidRPr="00A10260">
        <w:rPr>
          <w:rFonts w:eastAsia="Times New Roman"/>
          <w:lang w:val="en-GB"/>
        </w:rPr>
        <w:t xml:space="preserve">he </w:t>
      </w:r>
      <w:r w:rsidR="00D2459E" w:rsidRPr="00A10260">
        <w:rPr>
          <w:rFonts w:eastAsia="Times New Roman"/>
          <w:lang w:val="en-GB"/>
        </w:rPr>
        <w:t xml:space="preserve">had been invited to </w:t>
      </w:r>
      <w:r w:rsidR="00FE5A1F" w:rsidRPr="00A10260">
        <w:rPr>
          <w:rFonts w:eastAsia="Times New Roman"/>
          <w:lang w:val="en-GB"/>
        </w:rPr>
        <w:t xml:space="preserve">participate in </w:t>
      </w:r>
      <w:r w:rsidR="00D2459E" w:rsidRPr="00A10260">
        <w:rPr>
          <w:rFonts w:eastAsia="Times New Roman"/>
          <w:lang w:val="en-GB"/>
        </w:rPr>
        <w:t xml:space="preserve">the radio </w:t>
      </w:r>
      <w:r w:rsidR="00D2459E" w:rsidRPr="00FF28F6">
        <w:rPr>
          <w:lang w:val="en-GB"/>
        </w:rPr>
        <w:t>program</w:t>
      </w:r>
      <w:r w:rsidR="00FE5A1F" w:rsidRPr="00FF28F6">
        <w:rPr>
          <w:lang w:val="en-GB"/>
        </w:rPr>
        <w:t>me</w:t>
      </w:r>
      <w:r w:rsidR="00461EEB">
        <w:rPr>
          <w:lang w:val="en-GB"/>
        </w:rPr>
        <w:t xml:space="preserve"> on lustration</w:t>
      </w:r>
      <w:r w:rsidR="005659B4">
        <w:rPr>
          <w:rFonts w:eastAsia="Times New Roman"/>
          <w:lang w:val="en-GB"/>
        </w:rPr>
        <w:t xml:space="preserve">. Nevertheless they found </w:t>
      </w:r>
      <w:r w:rsidR="00D2459E" w:rsidRPr="00A10260">
        <w:rPr>
          <w:rFonts w:eastAsia="Times New Roman"/>
          <w:lang w:val="en-GB"/>
        </w:rPr>
        <w:t>the applicant</w:t>
      </w:r>
      <w:r w:rsidR="00112E16">
        <w:rPr>
          <w:rFonts w:eastAsia="Times New Roman"/>
          <w:lang w:val="en-GB"/>
        </w:rPr>
        <w:t>’</w:t>
      </w:r>
      <w:r w:rsidR="00D2459E" w:rsidRPr="00A10260">
        <w:rPr>
          <w:rFonts w:eastAsia="Times New Roman"/>
          <w:lang w:val="en-GB"/>
        </w:rPr>
        <w:t xml:space="preserve">s intervention </w:t>
      </w:r>
      <w:r w:rsidR="005659B4">
        <w:rPr>
          <w:rFonts w:eastAsia="Times New Roman"/>
          <w:lang w:val="en-GB"/>
        </w:rPr>
        <w:t xml:space="preserve">to be </w:t>
      </w:r>
      <w:r w:rsidR="00D2459E" w:rsidRPr="00A10260">
        <w:rPr>
          <w:rFonts w:eastAsia="Times New Roman"/>
          <w:lang w:val="en-GB"/>
        </w:rPr>
        <w:t>of a private</w:t>
      </w:r>
      <w:r w:rsidR="00FE5A1F" w:rsidRPr="00A10260">
        <w:rPr>
          <w:rFonts w:eastAsia="Times New Roman"/>
          <w:lang w:val="en-GB"/>
        </w:rPr>
        <w:t xml:space="preserve"> nature</w:t>
      </w:r>
      <w:r w:rsidR="00D2459E" w:rsidRPr="00A10260">
        <w:rPr>
          <w:rFonts w:eastAsia="Times New Roman"/>
          <w:lang w:val="en-GB"/>
        </w:rPr>
        <w:t>.</w:t>
      </w:r>
      <w:r w:rsidR="00FE5A1F" w:rsidRPr="00A10260">
        <w:rPr>
          <w:rFonts w:eastAsia="Times New Roman"/>
          <w:lang w:val="en-GB"/>
        </w:rPr>
        <w:t xml:space="preserve"> </w:t>
      </w:r>
      <w:r w:rsidR="00461EEB">
        <w:rPr>
          <w:rFonts w:eastAsia="Times New Roman"/>
          <w:lang w:val="en-GB"/>
        </w:rPr>
        <w:t xml:space="preserve">The Court </w:t>
      </w:r>
      <w:r w:rsidR="005659B4">
        <w:rPr>
          <w:rFonts w:eastAsia="Times New Roman"/>
          <w:lang w:val="en-GB"/>
        </w:rPr>
        <w:t xml:space="preserve">also </w:t>
      </w:r>
      <w:r w:rsidR="00461EEB">
        <w:rPr>
          <w:rFonts w:eastAsia="Times New Roman"/>
          <w:lang w:val="en-GB"/>
        </w:rPr>
        <w:t xml:space="preserve">notes that </w:t>
      </w:r>
      <w:r w:rsidR="00FE5A1F" w:rsidRPr="00A10260">
        <w:rPr>
          <w:rFonts w:eastAsia="Times New Roman"/>
          <w:lang w:val="en-GB"/>
        </w:rPr>
        <w:t>when assessing the legality of his actions</w:t>
      </w:r>
      <w:r w:rsidR="00D2459E" w:rsidRPr="00A10260">
        <w:rPr>
          <w:rFonts w:eastAsia="Times New Roman"/>
          <w:lang w:val="en-GB"/>
        </w:rPr>
        <w:t xml:space="preserve"> the Supreme Court </w:t>
      </w:r>
      <w:r w:rsidRPr="00A10260">
        <w:rPr>
          <w:rFonts w:eastAsia="Times New Roman"/>
          <w:lang w:val="en-GB"/>
        </w:rPr>
        <w:t>failed to address</w:t>
      </w:r>
      <w:r w:rsidR="00D2459E" w:rsidRPr="00A10260">
        <w:rPr>
          <w:rFonts w:eastAsia="Times New Roman"/>
          <w:lang w:val="en-GB"/>
        </w:rPr>
        <w:t xml:space="preserve"> the question </w:t>
      </w:r>
      <w:r w:rsidR="00394274">
        <w:rPr>
          <w:rFonts w:eastAsia="Times New Roman"/>
          <w:lang w:val="en-GB"/>
        </w:rPr>
        <w:t xml:space="preserve">of </w:t>
      </w:r>
      <w:r w:rsidR="00D2459E" w:rsidRPr="00A10260">
        <w:rPr>
          <w:rFonts w:eastAsia="Times New Roman"/>
          <w:lang w:val="en-GB"/>
        </w:rPr>
        <w:t xml:space="preserve">whether </w:t>
      </w:r>
      <w:r w:rsidR="00461EEB">
        <w:rPr>
          <w:rFonts w:eastAsia="Times New Roman"/>
          <w:lang w:val="en-GB"/>
        </w:rPr>
        <w:t>t</w:t>
      </w:r>
      <w:r w:rsidR="00FE5A1F" w:rsidRPr="00A10260">
        <w:rPr>
          <w:rFonts w:eastAsia="Times New Roman"/>
          <w:lang w:val="en-GB"/>
        </w:rPr>
        <w:t xml:space="preserve">he </w:t>
      </w:r>
      <w:r w:rsidR="00461EEB">
        <w:rPr>
          <w:rFonts w:eastAsia="Times New Roman"/>
          <w:lang w:val="en-GB"/>
        </w:rPr>
        <w:t xml:space="preserve">applicant </w:t>
      </w:r>
      <w:r w:rsidR="00D2459E" w:rsidRPr="00A10260">
        <w:rPr>
          <w:rFonts w:eastAsia="Times New Roman"/>
          <w:lang w:val="en-GB"/>
        </w:rPr>
        <w:t>had been engaged in public debate</w:t>
      </w:r>
      <w:r w:rsidR="00FE5A1F" w:rsidRPr="00A10260">
        <w:rPr>
          <w:rFonts w:eastAsia="Times New Roman"/>
          <w:lang w:val="en-GB"/>
        </w:rPr>
        <w:t>.</w:t>
      </w:r>
    </w:p>
    <w:p w:rsidR="00B309BF" w:rsidRDefault="00A10260" w:rsidP="00053264">
      <w:pPr>
        <w:pStyle w:val="ECHRPara"/>
        <w:rPr>
          <w:rFonts w:eastAsia="Times New Roman"/>
          <w:lang w:val="en-GB"/>
        </w:rPr>
      </w:pPr>
      <w:r>
        <w:fldChar w:fldCharType="begin"/>
      </w:r>
      <w:r w:rsidRPr="00A10260">
        <w:rPr>
          <w:lang w:val="en-GB"/>
        </w:rPr>
        <w:instrText xml:space="preserve"> SEQ level0 \*arabic </w:instrText>
      </w:r>
      <w:r>
        <w:fldChar w:fldCharType="separate"/>
      </w:r>
      <w:r w:rsidR="000E1CAB">
        <w:rPr>
          <w:noProof/>
          <w:lang w:val="en-GB"/>
        </w:rPr>
        <w:t>49</w:t>
      </w:r>
      <w:r>
        <w:rPr>
          <w:noProof/>
        </w:rPr>
        <w:fldChar w:fldCharType="end"/>
      </w:r>
      <w:r w:rsidR="002B31A5" w:rsidRPr="00A10260">
        <w:rPr>
          <w:lang w:val="en-GB"/>
        </w:rPr>
        <w:t>.  </w:t>
      </w:r>
      <w:r w:rsidR="00D2459E" w:rsidRPr="00A10260">
        <w:rPr>
          <w:lang w:val="en-GB"/>
        </w:rPr>
        <w:t xml:space="preserve">The Court is not called upon to prejudge whether the applicant in the instant case </w:t>
      </w:r>
      <w:r w:rsidR="00FE5A1F" w:rsidRPr="00A10260">
        <w:rPr>
          <w:lang w:val="en-GB"/>
        </w:rPr>
        <w:t xml:space="preserve">relied </w:t>
      </w:r>
      <w:r w:rsidR="00D2459E" w:rsidRPr="00A10260">
        <w:rPr>
          <w:lang w:val="en-GB"/>
        </w:rPr>
        <w:t xml:space="preserve">on sufficiently accurate and reliable information. Nor will it decide whether the factual basis </w:t>
      </w:r>
      <w:r w:rsidR="00623720">
        <w:rPr>
          <w:lang w:val="en-GB"/>
        </w:rPr>
        <w:t xml:space="preserve">on which the applicant had relied </w:t>
      </w:r>
      <w:r w:rsidR="008204F5">
        <w:rPr>
          <w:lang w:val="en-GB"/>
        </w:rPr>
        <w:t xml:space="preserve">on </w:t>
      </w:r>
      <w:r w:rsidR="00D2459E" w:rsidRPr="00A10260">
        <w:rPr>
          <w:lang w:val="en-GB"/>
        </w:rPr>
        <w:t xml:space="preserve">justified the nature and degree of the serious allegation he </w:t>
      </w:r>
      <w:r w:rsidR="00623720">
        <w:rPr>
          <w:lang w:val="en-GB"/>
        </w:rPr>
        <w:t xml:space="preserve">had </w:t>
      </w:r>
      <w:r w:rsidR="00D2459E" w:rsidRPr="00A10260">
        <w:rPr>
          <w:lang w:val="en-GB"/>
        </w:rPr>
        <w:t>made. This was the task of the domestic courts, which are in principle better placed to assess the factual circumstances of the case.</w:t>
      </w:r>
      <w:r w:rsidR="005659B4">
        <w:rPr>
          <w:lang w:val="en-GB"/>
        </w:rPr>
        <w:t xml:space="preserve"> </w:t>
      </w:r>
      <w:r w:rsidR="0026258E" w:rsidRPr="0026258E">
        <w:rPr>
          <w:lang w:val="en-US"/>
        </w:rPr>
        <w:t>However</w:t>
      </w:r>
      <w:r w:rsidR="00DB2F59">
        <w:rPr>
          <w:lang w:val="en-US"/>
        </w:rPr>
        <w:t xml:space="preserve">, </w:t>
      </w:r>
      <w:r w:rsidR="0026258E" w:rsidRPr="0026258E">
        <w:rPr>
          <w:lang w:val="en-US"/>
        </w:rPr>
        <w:t xml:space="preserve">when deciding these issues the domestic courts </w:t>
      </w:r>
      <w:r w:rsidR="005659B4">
        <w:rPr>
          <w:lang w:val="en-US"/>
        </w:rPr>
        <w:t xml:space="preserve">should </w:t>
      </w:r>
      <w:r w:rsidR="0026258E" w:rsidRPr="0026258E">
        <w:rPr>
          <w:lang w:val="en-US"/>
        </w:rPr>
        <w:t>observe the standards of freedom of expression enshrined in the Convention</w:t>
      </w:r>
      <w:r w:rsidR="00715F0A">
        <w:rPr>
          <w:lang w:val="en-US"/>
        </w:rPr>
        <w:t>.</w:t>
      </w:r>
    </w:p>
    <w:p w:rsidR="00B309BF" w:rsidRDefault="00A10260" w:rsidP="00B309BF">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0E1CAB">
        <w:rPr>
          <w:rFonts w:eastAsia="Times New Roman"/>
          <w:noProof/>
          <w:lang w:val="en-GB"/>
        </w:rPr>
        <w:t>50</w:t>
      </w:r>
      <w:r>
        <w:rPr>
          <w:rFonts w:eastAsia="Times New Roman"/>
          <w:lang w:val="en-GB"/>
        </w:rPr>
        <w:fldChar w:fldCharType="end"/>
      </w:r>
      <w:r>
        <w:rPr>
          <w:rFonts w:eastAsia="Times New Roman"/>
          <w:lang w:val="en-GB"/>
        </w:rPr>
        <w:t>.  </w:t>
      </w:r>
      <w:r w:rsidR="00404AE9" w:rsidRPr="00404AE9">
        <w:rPr>
          <w:rFonts w:eastAsia="Times New Roman"/>
          <w:lang w:val="en-GB"/>
        </w:rPr>
        <w:t xml:space="preserve">The Court </w:t>
      </w:r>
      <w:r w:rsidR="00461EEB">
        <w:rPr>
          <w:rFonts w:eastAsia="Times New Roman"/>
          <w:lang w:val="en-GB"/>
        </w:rPr>
        <w:t xml:space="preserve">considers </w:t>
      </w:r>
      <w:r w:rsidR="00404AE9" w:rsidRPr="00404AE9">
        <w:rPr>
          <w:rFonts w:eastAsia="Times New Roman"/>
          <w:lang w:val="en-GB"/>
        </w:rPr>
        <w:t xml:space="preserve">that the applicant in the case under consideration </w:t>
      </w:r>
      <w:r w:rsidR="00404AE9" w:rsidRPr="00FF28F6">
        <w:rPr>
          <w:lang w:val="en-GB"/>
        </w:rPr>
        <w:t>had</w:t>
      </w:r>
      <w:r w:rsidR="00404AE9" w:rsidRPr="00404AE9">
        <w:rPr>
          <w:rFonts w:eastAsia="Times New Roman"/>
          <w:lang w:val="en-GB"/>
        </w:rPr>
        <w:t xml:space="preserve"> clearly been involved in a public debate on an important issue</w:t>
      </w:r>
      <w:r w:rsidR="00C44046">
        <w:rPr>
          <w:rFonts w:eastAsia="Times New Roman"/>
          <w:lang w:val="en-GB"/>
        </w:rPr>
        <w:t xml:space="preserve"> (see </w:t>
      </w:r>
      <w:r w:rsidR="00C44046" w:rsidRPr="00B668D2">
        <w:rPr>
          <w:i/>
          <w:lang w:val="en-GB"/>
        </w:rPr>
        <w:t>Vides Aizsardzības Klubs v. Latvia</w:t>
      </w:r>
      <w:r w:rsidR="00C44046" w:rsidRPr="00B668D2">
        <w:rPr>
          <w:lang w:val="en-GB"/>
        </w:rPr>
        <w:t xml:space="preserve">, no. 57829/00, § </w:t>
      </w:r>
      <w:r w:rsidR="00C44046">
        <w:rPr>
          <w:lang w:val="en-GB"/>
        </w:rPr>
        <w:t>42</w:t>
      </w:r>
      <w:r w:rsidR="00C44046" w:rsidRPr="00B668D2">
        <w:rPr>
          <w:lang w:val="en-GB"/>
        </w:rPr>
        <w:t>, 27 May 2004</w:t>
      </w:r>
      <w:r w:rsidR="00C44046">
        <w:rPr>
          <w:lang w:val="en-GB"/>
        </w:rPr>
        <w:t>)</w:t>
      </w:r>
      <w:r w:rsidR="00404AE9" w:rsidRPr="00404AE9">
        <w:rPr>
          <w:rFonts w:eastAsia="Times New Roman"/>
          <w:lang w:val="en-GB"/>
        </w:rPr>
        <w:t>. Therefore the Court is unable to accept the domestic courts</w:t>
      </w:r>
      <w:r w:rsidR="00112E16">
        <w:rPr>
          <w:rFonts w:eastAsia="Times New Roman"/>
          <w:lang w:val="en-GB"/>
        </w:rPr>
        <w:t>’</w:t>
      </w:r>
      <w:r w:rsidR="00404AE9" w:rsidRPr="00404AE9">
        <w:rPr>
          <w:rFonts w:eastAsia="Times New Roman"/>
          <w:lang w:val="en-GB"/>
        </w:rPr>
        <w:t xml:space="preserve"> approach that required the applicant to prove the veracity of his allegations. It was not justified, </w:t>
      </w:r>
      <w:r w:rsidR="008204F5">
        <w:rPr>
          <w:rFonts w:eastAsia="Times New Roman"/>
          <w:lang w:val="en-GB"/>
        </w:rPr>
        <w:t xml:space="preserve">in </w:t>
      </w:r>
      <w:r w:rsidR="00404AE9" w:rsidRPr="00404AE9">
        <w:rPr>
          <w:rFonts w:eastAsia="Times New Roman"/>
          <w:lang w:val="en-GB"/>
        </w:rPr>
        <w:t>the light of the Court</w:t>
      </w:r>
      <w:r w:rsidR="00112E16">
        <w:rPr>
          <w:rFonts w:eastAsia="Times New Roman"/>
          <w:lang w:val="en-GB"/>
        </w:rPr>
        <w:t>’</w:t>
      </w:r>
      <w:r w:rsidR="00404AE9" w:rsidRPr="00404AE9">
        <w:rPr>
          <w:rFonts w:eastAsia="Times New Roman"/>
          <w:lang w:val="en-GB"/>
        </w:rPr>
        <w:t>s case-law</w:t>
      </w:r>
      <w:r w:rsidR="00404AE9">
        <w:rPr>
          <w:rFonts w:eastAsia="Times New Roman"/>
          <w:lang w:val="en-GB"/>
        </w:rPr>
        <w:t xml:space="preserve"> and in the circumstances of the case</w:t>
      </w:r>
      <w:r w:rsidR="00404AE9" w:rsidRPr="00404AE9">
        <w:rPr>
          <w:rFonts w:eastAsia="Times New Roman"/>
          <w:lang w:val="en-GB"/>
        </w:rPr>
        <w:t xml:space="preserve">, to require the applicant </w:t>
      </w:r>
      <w:r w:rsidR="00404AE9" w:rsidRPr="00404AE9">
        <w:rPr>
          <w:rFonts w:eastAsia="Times New Roman"/>
          <w:lang w:val="en-US"/>
        </w:rPr>
        <w:t xml:space="preserve">to fulfil a standard </w:t>
      </w:r>
      <w:r w:rsidR="00404AE9">
        <w:rPr>
          <w:rFonts w:eastAsia="Times New Roman"/>
          <w:lang w:val="en-US"/>
        </w:rPr>
        <w:t xml:space="preserve">more demanding </w:t>
      </w:r>
      <w:r w:rsidR="00404AE9" w:rsidRPr="00404AE9">
        <w:rPr>
          <w:rFonts w:eastAsia="Times New Roman"/>
          <w:lang w:val="en-US"/>
        </w:rPr>
        <w:t xml:space="preserve">than </w:t>
      </w:r>
      <w:r w:rsidR="00404AE9">
        <w:rPr>
          <w:rFonts w:eastAsia="Times New Roman"/>
          <w:lang w:val="en-US"/>
        </w:rPr>
        <w:t xml:space="preserve">that </w:t>
      </w:r>
      <w:r w:rsidR="00404AE9" w:rsidRPr="00404AE9">
        <w:rPr>
          <w:rFonts w:eastAsia="Times New Roman"/>
          <w:lang w:val="en-US"/>
        </w:rPr>
        <w:t>of due diligence only on the ground that the domestic law had not considered him a journalist.</w:t>
      </w:r>
    </w:p>
    <w:p w:rsidR="0026258E" w:rsidRPr="00404AE9" w:rsidRDefault="00404AE9" w:rsidP="00B309BF">
      <w:pPr>
        <w:pStyle w:val="ECHRPara"/>
        <w:rPr>
          <w:rFonts w:eastAsia="Times New Roman"/>
          <w:snapToGrid w:val="0"/>
          <w:szCs w:val="24"/>
          <w:lang w:val="en-GB"/>
        </w:rPr>
      </w:pPr>
      <w:r w:rsidRPr="00404AE9">
        <w:rPr>
          <w:rFonts w:eastAsia="Times New Roman"/>
          <w:lang w:val="en-GB"/>
        </w:rPr>
        <w:t xml:space="preserve">The domestic courts, by following </w:t>
      </w:r>
      <w:r w:rsidRPr="00FF28F6">
        <w:rPr>
          <w:lang w:val="en-GB"/>
        </w:rPr>
        <w:t>such</w:t>
      </w:r>
      <w:r w:rsidRPr="00404AE9">
        <w:rPr>
          <w:rFonts w:eastAsia="Times New Roman"/>
          <w:lang w:val="en-GB"/>
        </w:rPr>
        <w:t xml:space="preserve"> an approach, had effectively deprived the applicant of the protection afforded by Article 10</w:t>
      </w:r>
      <w:r w:rsidR="00E34A82">
        <w:rPr>
          <w:rFonts w:eastAsia="Times New Roman"/>
          <w:lang w:val="en-GB"/>
        </w:rPr>
        <w:t>.</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51</w:t>
      </w:r>
      <w:r w:rsidRPr="009042C4">
        <w:rPr>
          <w:rFonts w:eastAsia="Times New Roman"/>
        </w:rPr>
        <w:fldChar w:fldCharType="end"/>
      </w:r>
      <w:r w:rsidRPr="00A10260">
        <w:rPr>
          <w:rFonts w:eastAsia="Times New Roman"/>
          <w:lang w:val="en-GB"/>
        </w:rPr>
        <w:t>.  Although the national authorities</w:t>
      </w:r>
      <w:r w:rsidR="00112E16">
        <w:rPr>
          <w:rFonts w:eastAsia="Times New Roman"/>
          <w:lang w:val="en-GB"/>
        </w:rPr>
        <w:t>’</w:t>
      </w:r>
      <w:r w:rsidRPr="00A10260">
        <w:rPr>
          <w:rFonts w:eastAsia="Times New Roman"/>
          <w:lang w:val="en-GB"/>
        </w:rPr>
        <w:t xml:space="preserve"> interference with the applicant</w:t>
      </w:r>
      <w:r w:rsidR="00112E16">
        <w:rPr>
          <w:rFonts w:eastAsia="Times New Roman"/>
          <w:lang w:val="en-GB"/>
        </w:rPr>
        <w:t>’</w:t>
      </w:r>
      <w:r w:rsidRPr="00A10260">
        <w:rPr>
          <w:rFonts w:eastAsia="Times New Roman"/>
          <w:lang w:val="en-GB"/>
        </w:rPr>
        <w:t>s right to freedom of expression may have been justified by a concern to restore the balance between the various competing interests at stake, the reasons relied on by the domestic courts cannot be considered relevant and sufficient under the Convention. This conclusion cannot be altered by the relatively lenient nature of the sanction imposed on the applicant.</w:t>
      </w:r>
    </w:p>
    <w:p w:rsidR="00D2459E" w:rsidRPr="00A10260" w:rsidRDefault="00D2459E" w:rsidP="003C2FC3">
      <w:pPr>
        <w:pStyle w:val="ECHRPara"/>
        <w:rPr>
          <w:rFonts w:eastAsia="Times New Roman"/>
          <w:lang w:val="en-GB"/>
        </w:rPr>
      </w:pPr>
      <w:r w:rsidRPr="00A10260">
        <w:rPr>
          <w:rFonts w:eastAsia="Times New Roman"/>
          <w:lang w:val="en-GB"/>
        </w:rPr>
        <w:t>There has accordingly been a violation of Article 10 of the Convention.</w:t>
      </w:r>
    </w:p>
    <w:p w:rsidR="00D2459E" w:rsidRPr="00A10260" w:rsidRDefault="00D2459E" w:rsidP="003C2FC3">
      <w:pPr>
        <w:pStyle w:val="ECHRHeading1"/>
        <w:rPr>
          <w:rFonts w:eastAsia="Times New Roman"/>
          <w:lang w:val="en-GB"/>
        </w:rPr>
      </w:pPr>
      <w:r w:rsidRPr="00A10260">
        <w:rPr>
          <w:rFonts w:eastAsia="Times New Roman"/>
          <w:lang w:val="en-GB"/>
        </w:rPr>
        <w:t>II.  APPLICATION OF ARTICLE 41 OF THE CONVENTION</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52</w:t>
      </w:r>
      <w:r w:rsidRPr="009042C4">
        <w:rPr>
          <w:rFonts w:eastAsia="Times New Roman"/>
        </w:rPr>
        <w:fldChar w:fldCharType="end"/>
      </w:r>
      <w:r w:rsidRPr="00A10260">
        <w:rPr>
          <w:rFonts w:eastAsia="Times New Roman"/>
          <w:lang w:val="en-GB"/>
        </w:rPr>
        <w:t>.  Article 41 of the Convention provides:</w:t>
      </w:r>
    </w:p>
    <w:p w:rsidR="00D2459E" w:rsidRPr="009042C4" w:rsidRDefault="00D2459E" w:rsidP="00D2459E">
      <w:pPr>
        <w:spacing w:before="120" w:after="120"/>
        <w:ind w:left="425" w:firstLine="142"/>
        <w:rPr>
          <w:rFonts w:ascii="Times New Roman" w:eastAsia="Times New Roman" w:hAnsi="Times New Roman" w:cs="Times New Roman"/>
          <w:sz w:val="20"/>
          <w:lang w:val="en-GB" w:eastAsia="fr-FR"/>
        </w:rPr>
      </w:pPr>
      <w:r w:rsidRPr="009042C4">
        <w:rPr>
          <w:rFonts w:ascii="Times New Roman" w:eastAsia="Times New Roman" w:hAnsi="Times New Roman" w:cs="Times New Roman"/>
          <w:sz w:val="20"/>
          <w:lang w:val="en-GB" w:eastAsia="fr-FR"/>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2459E" w:rsidRPr="00A10260" w:rsidRDefault="00D2459E" w:rsidP="003C2FC3">
      <w:pPr>
        <w:pStyle w:val="ECHRHeading2"/>
        <w:rPr>
          <w:rFonts w:eastAsia="Times New Roman"/>
          <w:lang w:val="en-GB"/>
        </w:rPr>
      </w:pPr>
      <w:r w:rsidRPr="00A10260">
        <w:rPr>
          <w:rFonts w:eastAsia="Times New Roman"/>
          <w:lang w:val="en-GB"/>
        </w:rPr>
        <w:t>A.  Damage</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53</w:t>
      </w:r>
      <w:r w:rsidRPr="009042C4">
        <w:rPr>
          <w:rFonts w:eastAsia="Times New Roman"/>
        </w:rPr>
        <w:fldChar w:fldCharType="end"/>
      </w:r>
      <w:r w:rsidRPr="00A10260">
        <w:rPr>
          <w:rFonts w:eastAsia="Times New Roman"/>
          <w:lang w:val="en-GB"/>
        </w:rPr>
        <w:t xml:space="preserve">.  The applicant claimed PLN 50,000 in respect of pecuniary damage. This sum represented PLN 2,000 and PLN 5,800 paid by the applicant to the </w:t>
      </w:r>
      <w:r w:rsidR="004F7752">
        <w:rPr>
          <w:rFonts w:eastAsia="Times New Roman"/>
          <w:lang w:val="en-GB"/>
        </w:rPr>
        <w:t>claimant</w:t>
      </w:r>
      <w:r w:rsidR="004F7752" w:rsidRPr="00A10260">
        <w:rPr>
          <w:rFonts w:eastAsia="Times New Roman"/>
          <w:lang w:val="en-GB"/>
        </w:rPr>
        <w:t xml:space="preserve"> </w:t>
      </w:r>
      <w:r w:rsidRPr="00A10260">
        <w:rPr>
          <w:rFonts w:eastAsia="Times New Roman"/>
          <w:lang w:val="en-GB"/>
        </w:rPr>
        <w:t>as reimbursement of the costs of the proceedings, PLN 20,000 paid to a charity and the costs of publishing the apology ordered by the domestic courts. The applicant attached a notice from the court</w:t>
      </w:r>
      <w:r w:rsidR="00112E16">
        <w:rPr>
          <w:rFonts w:eastAsia="Times New Roman"/>
          <w:lang w:val="en-GB"/>
        </w:rPr>
        <w:t>’</w:t>
      </w:r>
      <w:r w:rsidRPr="00A10260">
        <w:rPr>
          <w:rFonts w:eastAsia="Times New Roman"/>
          <w:lang w:val="en-GB"/>
        </w:rPr>
        <w:t xml:space="preserve">s bailiff ordering him to pay PLN 33,000 (approximately </w:t>
      </w:r>
      <w:r w:rsidR="00A777AF">
        <w:rPr>
          <w:rFonts w:eastAsia="Times New Roman"/>
          <w:lang w:val="en-GB"/>
        </w:rPr>
        <w:t xml:space="preserve">EUR </w:t>
      </w:r>
      <w:r w:rsidRPr="00A10260">
        <w:rPr>
          <w:rFonts w:eastAsia="Times New Roman"/>
          <w:lang w:val="en-GB"/>
        </w:rPr>
        <w:t>8,000 euros (EUR)) in execution of the judgments together with fees.</w:t>
      </w:r>
    </w:p>
    <w:p w:rsidR="00D2459E" w:rsidRPr="00A10260" w:rsidRDefault="00D2459E" w:rsidP="003C2FC3">
      <w:pPr>
        <w:pStyle w:val="ECHRPara"/>
        <w:rPr>
          <w:rFonts w:eastAsia="Times New Roman"/>
          <w:lang w:val="en-GB"/>
        </w:rPr>
      </w:pPr>
      <w:r w:rsidRPr="00A10260">
        <w:rPr>
          <w:rFonts w:eastAsia="Times New Roman"/>
          <w:lang w:val="en-GB"/>
        </w:rPr>
        <w:t>As regards non-pecuniary damage, the applicant claimed EUR 10,000.</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54</w:t>
      </w:r>
      <w:r w:rsidRPr="009042C4">
        <w:rPr>
          <w:rFonts w:eastAsia="Times New Roman"/>
        </w:rPr>
        <w:fldChar w:fldCharType="end"/>
      </w:r>
      <w:r w:rsidRPr="00A10260">
        <w:rPr>
          <w:rFonts w:eastAsia="Times New Roman"/>
          <w:lang w:val="en-GB"/>
        </w:rPr>
        <w:t>.  The Government considered that the claims were excessive and unsubstantiated.</w:t>
      </w:r>
    </w:p>
    <w:p w:rsidR="00D2459E" w:rsidRPr="00A10260" w:rsidRDefault="00D2459E" w:rsidP="003C2FC3">
      <w:pPr>
        <w:pStyle w:val="ECHRPara"/>
        <w:rPr>
          <w:rFonts w:eastAsia="Times New Roman"/>
          <w:i/>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55</w:t>
      </w:r>
      <w:r w:rsidRPr="009042C4">
        <w:rPr>
          <w:rFonts w:eastAsia="Times New Roman"/>
        </w:rPr>
        <w:fldChar w:fldCharType="end"/>
      </w:r>
      <w:r w:rsidRPr="00A10260">
        <w:rPr>
          <w:rFonts w:eastAsia="Times New Roman"/>
          <w:lang w:val="en-GB"/>
        </w:rPr>
        <w:t xml:space="preserve">.  The Court finds that in the circumstances of the case there is a causal link between the violation found and the alleged pecuniary damage as the first applicant referred to the amount which he was ordered to pay by the domestic courts (see </w:t>
      </w:r>
      <w:r w:rsidRPr="00A10260">
        <w:rPr>
          <w:rFonts w:eastAsia="Times New Roman"/>
          <w:i/>
          <w:lang w:val="en-GB"/>
        </w:rPr>
        <w:t>Busuioc v. Moldova</w:t>
      </w:r>
      <w:r w:rsidRPr="00A10260">
        <w:rPr>
          <w:rFonts w:eastAsia="Times New Roman"/>
          <w:lang w:val="en-GB"/>
        </w:rPr>
        <w:t xml:space="preserve">, no. </w:t>
      </w:r>
      <w:hyperlink r:id="rId20" w:anchor="{&quot;appno&quot;:[&quot;61513/00&quot;]}" w:tgtFrame="_blank" w:history="1">
        <w:r w:rsidRPr="00A10260">
          <w:rPr>
            <w:rFonts w:eastAsia="Times New Roman"/>
            <w:lang w:val="en-GB"/>
          </w:rPr>
          <w:t>61513/00</w:t>
        </w:r>
      </w:hyperlink>
      <w:r w:rsidRPr="00A10260">
        <w:rPr>
          <w:rFonts w:eastAsia="Times New Roman"/>
          <w:lang w:val="en-GB"/>
        </w:rPr>
        <w:t>, § 101, 21</w:t>
      </w:r>
      <w:r w:rsidR="00FF6C28">
        <w:rPr>
          <w:rFonts w:eastAsia="Times New Roman"/>
          <w:lang w:val="en-GB"/>
        </w:rPr>
        <w:t> </w:t>
      </w:r>
      <w:r w:rsidRPr="00A10260">
        <w:rPr>
          <w:rFonts w:eastAsia="Times New Roman"/>
          <w:lang w:val="en-GB"/>
        </w:rPr>
        <w:t xml:space="preserve">December 2004, and </w:t>
      </w:r>
      <w:r w:rsidRPr="00A10260">
        <w:rPr>
          <w:rFonts w:eastAsia="Times New Roman"/>
          <w:i/>
          <w:lang w:val="en-GB"/>
        </w:rPr>
        <w:t>Kuliś and Różycki v. Poland</w:t>
      </w:r>
      <w:r w:rsidRPr="00A10260">
        <w:rPr>
          <w:rFonts w:eastAsia="Times New Roman"/>
          <w:lang w:val="en-GB"/>
        </w:rPr>
        <w:t>, no. 27209/03</w:t>
      </w:r>
      <w:r w:rsidRPr="00A10260">
        <w:rPr>
          <w:rFonts w:eastAsia="Times New Roman"/>
          <w:szCs w:val="24"/>
          <w:lang w:val="en-GB"/>
        </w:rPr>
        <w:t xml:space="preserve">, § 44, </w:t>
      </w:r>
      <w:r w:rsidRPr="00A10260">
        <w:rPr>
          <w:rFonts w:eastAsia="Times New Roman"/>
          <w:lang w:val="en-GB"/>
        </w:rPr>
        <w:t>6</w:t>
      </w:r>
      <w:r w:rsidR="00FF6C28">
        <w:rPr>
          <w:rFonts w:eastAsia="Times New Roman"/>
          <w:lang w:val="en-GB"/>
        </w:rPr>
        <w:t> </w:t>
      </w:r>
      <w:r w:rsidRPr="00A10260">
        <w:rPr>
          <w:rFonts w:eastAsia="Times New Roman"/>
          <w:lang w:val="en-GB"/>
        </w:rPr>
        <w:t>October 2009). The Court awards the first applicant the sum claimed in full, that is, EUR 8,000.</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56</w:t>
      </w:r>
      <w:r w:rsidRPr="009042C4">
        <w:rPr>
          <w:rFonts w:eastAsia="Times New Roman"/>
        </w:rPr>
        <w:fldChar w:fldCharType="end"/>
      </w:r>
      <w:r w:rsidRPr="00A10260">
        <w:rPr>
          <w:rFonts w:eastAsia="Times New Roman"/>
          <w:lang w:val="en-GB"/>
        </w:rPr>
        <w:t>.  The Court accepts that the applicant also suffered non</w:t>
      </w:r>
      <w:r w:rsidRPr="00A10260">
        <w:rPr>
          <w:rFonts w:eastAsia="Times New Roman"/>
          <w:lang w:val="en-GB"/>
        </w:rPr>
        <w:noBreakHyphen/>
        <w:t>pecuniary damage which is not sufficiently compensated for by the finding of a violation of the Convention. Making its assessment on an equitable basis, the Court awards the applicant EUR 3,000 under this head.</w:t>
      </w:r>
    </w:p>
    <w:p w:rsidR="00D2459E" w:rsidRPr="00A10260" w:rsidRDefault="00D2459E" w:rsidP="003C2FC3">
      <w:pPr>
        <w:pStyle w:val="ECHRHeading2"/>
        <w:rPr>
          <w:rFonts w:eastAsia="Times New Roman"/>
          <w:lang w:val="en-GB"/>
        </w:rPr>
      </w:pPr>
      <w:r w:rsidRPr="00A10260">
        <w:rPr>
          <w:rFonts w:eastAsia="Times New Roman"/>
          <w:lang w:val="en-GB"/>
        </w:rPr>
        <w:t>B.  Costs and expenses</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57</w:t>
      </w:r>
      <w:r w:rsidRPr="009042C4">
        <w:rPr>
          <w:rFonts w:eastAsia="Times New Roman"/>
        </w:rPr>
        <w:fldChar w:fldCharType="end"/>
      </w:r>
      <w:r w:rsidRPr="00A10260">
        <w:rPr>
          <w:rFonts w:eastAsia="Times New Roman"/>
          <w:lang w:val="en-GB"/>
        </w:rPr>
        <w:t>.  The applicant also claimed EUR 3,000 for the costs and expenses incurred before the Court. He attached an invoice from his lawyer.</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58</w:t>
      </w:r>
      <w:r w:rsidRPr="009042C4">
        <w:rPr>
          <w:rFonts w:eastAsia="Times New Roman"/>
        </w:rPr>
        <w:fldChar w:fldCharType="end"/>
      </w:r>
      <w:r w:rsidRPr="00A10260">
        <w:rPr>
          <w:rFonts w:eastAsia="Times New Roman"/>
          <w:lang w:val="en-GB"/>
        </w:rPr>
        <w:t>.  The Government considered the applicant</w:t>
      </w:r>
      <w:r w:rsidR="00112E16">
        <w:rPr>
          <w:rFonts w:eastAsia="Times New Roman"/>
          <w:lang w:val="en-GB"/>
        </w:rPr>
        <w:t>’</w:t>
      </w:r>
      <w:r w:rsidRPr="00A10260">
        <w:rPr>
          <w:rFonts w:eastAsia="Times New Roman"/>
          <w:lang w:val="en-GB"/>
        </w:rPr>
        <w:t>s claim excessive.</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59</w:t>
      </w:r>
      <w:r w:rsidRPr="009042C4">
        <w:rPr>
          <w:rFonts w:eastAsia="Times New Roman"/>
        </w:rPr>
        <w:fldChar w:fldCharType="end"/>
      </w:r>
      <w:r w:rsidRPr="00A10260">
        <w:rPr>
          <w:rFonts w:eastAsia="Times New Roman"/>
          <w:lang w:val="en-GB"/>
        </w:rPr>
        <w:t>.  According to the Court</w:t>
      </w:r>
      <w:r w:rsidR="00112E16">
        <w:rPr>
          <w:rFonts w:eastAsia="Times New Roman"/>
          <w:lang w:val="en-GB"/>
        </w:rPr>
        <w:t>’</w:t>
      </w:r>
      <w:r w:rsidRPr="00A10260">
        <w:rPr>
          <w:rFonts w:eastAsia="Times New Roman"/>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claimed in full.</w:t>
      </w:r>
    </w:p>
    <w:p w:rsidR="00D2459E" w:rsidRPr="00A10260" w:rsidRDefault="00D2459E" w:rsidP="003C2FC3">
      <w:pPr>
        <w:pStyle w:val="ECHRHeading2"/>
        <w:rPr>
          <w:rFonts w:eastAsia="Times New Roman"/>
          <w:lang w:val="en-GB"/>
        </w:rPr>
      </w:pPr>
      <w:r w:rsidRPr="00A10260">
        <w:rPr>
          <w:rFonts w:eastAsia="Times New Roman"/>
          <w:lang w:val="en-GB"/>
        </w:rPr>
        <w:t>C.  Default interest</w:t>
      </w:r>
    </w:p>
    <w:p w:rsidR="00D2459E" w:rsidRPr="00A10260" w:rsidRDefault="00D2459E" w:rsidP="003C2FC3">
      <w:pPr>
        <w:pStyle w:val="ECHRPara"/>
        <w:rPr>
          <w:rFonts w:eastAsia="Times New Roman"/>
          <w:lang w:val="en-GB"/>
        </w:rPr>
      </w:pPr>
      <w:r w:rsidRPr="009042C4">
        <w:rPr>
          <w:rFonts w:eastAsia="Times New Roman"/>
        </w:rPr>
        <w:fldChar w:fldCharType="begin"/>
      </w:r>
      <w:r w:rsidRPr="00A10260">
        <w:rPr>
          <w:rFonts w:eastAsia="Times New Roman"/>
          <w:lang w:val="en-GB"/>
        </w:rPr>
        <w:instrText xml:space="preserve"> SEQ level0 \*arabic </w:instrText>
      </w:r>
      <w:r w:rsidRPr="009042C4">
        <w:rPr>
          <w:rFonts w:eastAsia="Times New Roman"/>
        </w:rPr>
        <w:fldChar w:fldCharType="separate"/>
      </w:r>
      <w:r w:rsidR="000E1CAB">
        <w:rPr>
          <w:rFonts w:eastAsia="Times New Roman"/>
          <w:noProof/>
          <w:lang w:val="en-GB"/>
        </w:rPr>
        <w:t>60</w:t>
      </w:r>
      <w:r w:rsidRPr="009042C4">
        <w:rPr>
          <w:rFonts w:eastAsia="Times New Roman"/>
        </w:rPr>
        <w:fldChar w:fldCharType="end"/>
      </w:r>
      <w:r w:rsidRPr="00A10260">
        <w:rPr>
          <w:rFonts w:eastAsia="Times New Roman"/>
          <w:lang w:val="en-GB"/>
        </w:rPr>
        <w:t>.  The Court considers it appropriate that the default interest rate should be based on the marginal lending rate of the European Central Bank, to which should be added three percentage points.</w:t>
      </w:r>
    </w:p>
    <w:p w:rsidR="00D2459E" w:rsidRPr="009042C4" w:rsidRDefault="0035161B" w:rsidP="00A10260">
      <w:pPr>
        <w:keepNext/>
        <w:keepLines/>
        <w:spacing w:before="720" w:after="240"/>
        <w:outlineLvl w:val="0"/>
        <w:rPr>
          <w:rFonts w:ascii="Times New Roman" w:eastAsia="Times New Roman" w:hAnsi="Times New Roman" w:cs="Times New Roman"/>
          <w:sz w:val="28"/>
          <w:lang w:val="en-GB" w:eastAsia="fr-FR"/>
        </w:rPr>
      </w:pPr>
      <w:r>
        <w:rPr>
          <w:rFonts w:ascii="Times New Roman" w:eastAsia="Times New Roman" w:hAnsi="Times New Roman" w:cs="Times New Roman"/>
          <w:sz w:val="28"/>
          <w:lang w:val="en-GB" w:eastAsia="fr-FR"/>
        </w:rPr>
        <w:t>FOR THESE REASONS, THE COURT</w:t>
      </w:r>
      <w:r w:rsidR="00D2459E" w:rsidRPr="009042C4">
        <w:rPr>
          <w:rFonts w:ascii="Times New Roman" w:eastAsia="Times New Roman" w:hAnsi="Times New Roman" w:cs="Times New Roman"/>
          <w:sz w:val="28"/>
          <w:lang w:val="en-GB" w:eastAsia="fr-FR"/>
        </w:rPr>
        <w:t>,</w:t>
      </w:r>
      <w:r>
        <w:rPr>
          <w:rFonts w:ascii="Times New Roman" w:eastAsia="Times New Roman" w:hAnsi="Times New Roman" w:cs="Times New Roman"/>
          <w:sz w:val="28"/>
          <w:lang w:val="en-GB" w:eastAsia="fr-FR"/>
        </w:rPr>
        <w:t xml:space="preserve"> </w:t>
      </w:r>
      <w:r w:rsidR="00D2459E" w:rsidRPr="009042C4">
        <w:rPr>
          <w:rFonts w:ascii="Times New Roman" w:eastAsia="Times New Roman" w:hAnsi="Times New Roman" w:cs="Times New Roman"/>
          <w:sz w:val="28"/>
          <w:lang w:val="en-GB" w:eastAsia="fr-FR"/>
        </w:rPr>
        <w:t>UNANIMOUSLY,</w:t>
      </w:r>
    </w:p>
    <w:p w:rsidR="00D2459E" w:rsidRPr="009042C4" w:rsidRDefault="00D2459E" w:rsidP="00D2459E">
      <w:pPr>
        <w:ind w:left="340" w:hanging="340"/>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1.  </w:t>
      </w:r>
      <w:r w:rsidRPr="009042C4">
        <w:rPr>
          <w:rFonts w:ascii="Times New Roman" w:eastAsia="Times New Roman" w:hAnsi="Times New Roman" w:cs="Times New Roman"/>
          <w:i/>
          <w:lang w:val="en-GB" w:eastAsia="fr-FR"/>
        </w:rPr>
        <w:t>Declares</w:t>
      </w:r>
      <w:r w:rsidRPr="009042C4">
        <w:rPr>
          <w:rFonts w:ascii="Times New Roman" w:eastAsia="Times New Roman" w:hAnsi="Times New Roman" w:cs="Times New Roman"/>
          <w:lang w:val="en-GB" w:eastAsia="fr-FR"/>
        </w:rPr>
        <w:t xml:space="preserve"> the application admissible;</w:t>
      </w:r>
    </w:p>
    <w:p w:rsidR="00D2459E" w:rsidRPr="009042C4" w:rsidRDefault="00D2459E" w:rsidP="00D2459E">
      <w:pPr>
        <w:rPr>
          <w:rFonts w:ascii="Times New Roman" w:eastAsia="Times New Roman" w:hAnsi="Times New Roman" w:cs="Times New Roman"/>
          <w:lang w:val="en-GB" w:eastAsia="fr-FR"/>
        </w:rPr>
      </w:pPr>
    </w:p>
    <w:p w:rsidR="00D2459E" w:rsidRPr="009042C4" w:rsidRDefault="00D2459E" w:rsidP="00D2459E">
      <w:pPr>
        <w:ind w:left="340" w:hanging="340"/>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2.  </w:t>
      </w:r>
      <w:r w:rsidRPr="009042C4">
        <w:rPr>
          <w:rFonts w:ascii="Times New Roman" w:eastAsia="Times New Roman" w:hAnsi="Times New Roman" w:cs="Times New Roman"/>
          <w:i/>
          <w:lang w:val="en-GB" w:eastAsia="fr-FR"/>
        </w:rPr>
        <w:t>Holds</w:t>
      </w:r>
      <w:r w:rsidRPr="009042C4">
        <w:rPr>
          <w:rFonts w:ascii="Times New Roman" w:eastAsia="Times New Roman" w:hAnsi="Times New Roman" w:cs="Times New Roman"/>
          <w:lang w:val="en-GB" w:eastAsia="fr-FR"/>
        </w:rPr>
        <w:t xml:space="preserve"> that there has been a violation of Article 10 of the Convention;</w:t>
      </w:r>
    </w:p>
    <w:p w:rsidR="00D2459E" w:rsidRPr="009042C4" w:rsidRDefault="00D2459E" w:rsidP="00D2459E">
      <w:pPr>
        <w:ind w:left="340" w:hanging="340"/>
        <w:rPr>
          <w:rFonts w:ascii="Times New Roman" w:eastAsia="Times New Roman" w:hAnsi="Times New Roman" w:cs="Times New Roman"/>
          <w:lang w:val="en-GB" w:eastAsia="fr-FR"/>
        </w:rPr>
      </w:pPr>
    </w:p>
    <w:p w:rsidR="00D2459E" w:rsidRPr="009042C4" w:rsidRDefault="00D2459E" w:rsidP="00D2459E">
      <w:pPr>
        <w:ind w:left="340" w:hanging="340"/>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3.  </w:t>
      </w:r>
      <w:r w:rsidRPr="009042C4">
        <w:rPr>
          <w:rFonts w:ascii="Times New Roman" w:eastAsia="Times New Roman" w:hAnsi="Times New Roman" w:cs="Times New Roman"/>
          <w:i/>
          <w:lang w:val="en-GB" w:eastAsia="fr-FR"/>
        </w:rPr>
        <w:t>Holds</w:t>
      </w:r>
    </w:p>
    <w:p w:rsidR="00D2459E" w:rsidRPr="009042C4" w:rsidRDefault="00D2459E" w:rsidP="00D2459E">
      <w:pPr>
        <w:ind w:left="346"/>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 xml:space="preserve">(a)  that the respondent State is to pay the applicant, within three months from the date on which the judgment becomes final in accordance with Article 44 § 2 of the Convention, the following amounts, to be converted into </w:t>
      </w:r>
      <w:r w:rsidRPr="009042C4">
        <w:rPr>
          <w:rFonts w:ascii="Times New Roman" w:eastAsia="Times New Roman" w:hAnsi="Times New Roman" w:cs="Times New Roman"/>
          <w:color w:val="000000"/>
          <w:lang w:val="en-GB" w:eastAsia="fr-FR"/>
        </w:rPr>
        <w:t>the currency of the respondent State</w:t>
      </w:r>
      <w:r w:rsidRPr="009042C4">
        <w:rPr>
          <w:rFonts w:ascii="Times New Roman" w:eastAsia="Times New Roman" w:hAnsi="Times New Roman" w:cs="Times New Roman"/>
          <w:lang w:val="en-GB" w:eastAsia="fr-FR"/>
        </w:rPr>
        <w:t xml:space="preserve"> at the rate applicable at the date of settlement:</w:t>
      </w:r>
    </w:p>
    <w:p w:rsidR="00D2459E" w:rsidRPr="009042C4" w:rsidRDefault="00D2459E" w:rsidP="00D2459E">
      <w:pPr>
        <w:ind w:left="794"/>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(i)  EUR 8,000 (eight thousand euros), plus any tax that may be chargeable, in respect of pecuniary damage;</w:t>
      </w:r>
    </w:p>
    <w:p w:rsidR="00D2459E" w:rsidRPr="009042C4" w:rsidRDefault="00D2459E" w:rsidP="00D2459E">
      <w:pPr>
        <w:ind w:left="794"/>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(ii)  EUR 3,000 (three thousand euros), plus any tax that may be chargeable, in respect of non-pecuniary damage;</w:t>
      </w:r>
    </w:p>
    <w:p w:rsidR="00D2459E" w:rsidRPr="009042C4" w:rsidRDefault="00D2459E" w:rsidP="00D2459E">
      <w:pPr>
        <w:ind w:left="794"/>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(iii)  EUR 3,000 (three thousand euros), plus any tax that may be chargeable to the applicant, in respect of costs and expenses;</w:t>
      </w:r>
    </w:p>
    <w:p w:rsidR="00D2459E" w:rsidRPr="009042C4" w:rsidRDefault="00D2459E" w:rsidP="00D2459E">
      <w:pPr>
        <w:ind w:left="346"/>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D2459E" w:rsidRPr="009042C4" w:rsidRDefault="00D2459E" w:rsidP="00D2459E">
      <w:pPr>
        <w:ind w:left="340" w:hanging="340"/>
        <w:rPr>
          <w:rFonts w:ascii="Times New Roman" w:eastAsia="Times New Roman" w:hAnsi="Times New Roman" w:cs="Times New Roman"/>
          <w:lang w:val="en-GB" w:eastAsia="fr-FR"/>
        </w:rPr>
      </w:pPr>
    </w:p>
    <w:p w:rsidR="00D2459E" w:rsidRPr="009042C4" w:rsidRDefault="00D2459E" w:rsidP="00D2459E">
      <w:pPr>
        <w:ind w:left="340" w:hanging="340"/>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4.  </w:t>
      </w:r>
      <w:r w:rsidRPr="009042C4">
        <w:rPr>
          <w:rFonts w:ascii="Times New Roman" w:eastAsia="Times New Roman" w:hAnsi="Times New Roman" w:cs="Times New Roman"/>
          <w:i/>
          <w:lang w:val="en-GB" w:eastAsia="fr-FR"/>
        </w:rPr>
        <w:t>Dismisses</w:t>
      </w:r>
      <w:r w:rsidRPr="009042C4">
        <w:rPr>
          <w:rFonts w:ascii="Times New Roman" w:eastAsia="Times New Roman" w:hAnsi="Times New Roman" w:cs="Times New Roman"/>
          <w:lang w:val="en-GB" w:eastAsia="fr-FR"/>
        </w:rPr>
        <w:t xml:space="preserve"> the remainder of the applicant</w:t>
      </w:r>
      <w:r w:rsidR="00112E16">
        <w:rPr>
          <w:rFonts w:ascii="Times New Roman" w:eastAsia="Times New Roman" w:hAnsi="Times New Roman" w:cs="Times New Roman"/>
          <w:lang w:val="en-GB" w:eastAsia="fr-FR"/>
        </w:rPr>
        <w:t>’</w:t>
      </w:r>
      <w:r w:rsidRPr="009042C4">
        <w:rPr>
          <w:rFonts w:ascii="Times New Roman" w:eastAsia="Times New Roman" w:hAnsi="Times New Roman" w:cs="Times New Roman"/>
          <w:lang w:val="en-GB" w:eastAsia="fr-FR"/>
        </w:rPr>
        <w:t>s claim for just satisfaction.</w:t>
      </w:r>
    </w:p>
    <w:p w:rsidR="00D2459E" w:rsidRPr="009042C4" w:rsidRDefault="00D2459E" w:rsidP="00D2459E">
      <w:pPr>
        <w:keepNext/>
        <w:keepLines/>
        <w:spacing w:before="240"/>
        <w:ind w:firstLine="284"/>
        <w:rPr>
          <w:rFonts w:ascii="Times New Roman" w:eastAsia="Times New Roman" w:hAnsi="Times New Roman" w:cs="Times New Roman"/>
          <w:lang w:val="en-GB" w:eastAsia="fr-FR"/>
        </w:rPr>
      </w:pPr>
      <w:r w:rsidRPr="009042C4">
        <w:rPr>
          <w:rFonts w:ascii="Times New Roman" w:eastAsia="Times New Roman" w:hAnsi="Times New Roman" w:cs="Times New Roman"/>
          <w:lang w:val="en-GB" w:eastAsia="fr-FR"/>
        </w:rPr>
        <w:t xml:space="preserve">Done in English, and notified in writing on </w:t>
      </w:r>
      <w:r w:rsidR="0035161B">
        <w:rPr>
          <w:rFonts w:ascii="Times New Roman" w:eastAsia="Times New Roman" w:hAnsi="Times New Roman" w:cs="Times New Roman"/>
          <w:lang w:val="en-GB" w:eastAsia="fr-FR"/>
        </w:rPr>
        <w:t>4 November 2014</w:t>
      </w:r>
      <w:r w:rsidRPr="009042C4">
        <w:rPr>
          <w:rFonts w:ascii="Times New Roman" w:eastAsia="Times New Roman" w:hAnsi="Times New Roman" w:cs="Times New Roman"/>
          <w:lang w:val="en-GB" w:eastAsia="fr-FR"/>
        </w:rPr>
        <w:t>, pursuant to Rule 77 §§ 2 and 3 of the Rules of Court.</w:t>
      </w:r>
    </w:p>
    <w:p w:rsidR="001D094B" w:rsidRPr="001D094B" w:rsidRDefault="001D094B" w:rsidP="001D094B">
      <w:pPr>
        <w:pStyle w:val="JuSigned"/>
        <w:keepNext/>
        <w:keepLines/>
        <w:rPr>
          <w:lang w:val="en-US"/>
        </w:rPr>
      </w:pPr>
      <w:r w:rsidRPr="001B69D6">
        <w:rPr>
          <w:lang w:val="en-US"/>
        </w:rPr>
        <w:tab/>
      </w:r>
      <w:r w:rsidRPr="001D094B">
        <w:rPr>
          <w:lang w:val="en-US"/>
        </w:rPr>
        <w:t>Fatoş Aracı</w:t>
      </w:r>
      <w:r w:rsidRPr="001D094B">
        <w:rPr>
          <w:lang w:val="en-US"/>
        </w:rPr>
        <w:tab/>
      </w:r>
      <w:r w:rsidRPr="001D094B">
        <w:rPr>
          <w:szCs w:val="24"/>
          <w:lang w:val="en-US"/>
        </w:rPr>
        <w:t>Ineta Ziemele</w:t>
      </w:r>
      <w:r w:rsidR="001B69D6">
        <w:rPr>
          <w:szCs w:val="24"/>
          <w:lang w:val="en-US"/>
        </w:rPr>
        <w:br/>
      </w:r>
      <w:r w:rsidRPr="001D094B">
        <w:rPr>
          <w:lang w:val="en-US"/>
        </w:rPr>
        <w:tab/>
        <w:t xml:space="preserve">Deputy </w:t>
      </w:r>
      <w:r w:rsidRPr="001D094B">
        <w:rPr>
          <w:iCs/>
          <w:lang w:val="en-US"/>
        </w:rPr>
        <w:t>Registrar</w:t>
      </w:r>
      <w:r w:rsidRPr="001D094B">
        <w:rPr>
          <w:lang w:val="en-US"/>
        </w:rPr>
        <w:tab/>
        <w:t>President</w:t>
      </w:r>
    </w:p>
    <w:p w:rsidR="0079187F" w:rsidRPr="00D2459E" w:rsidRDefault="0079187F" w:rsidP="00D2459E"/>
    <w:sectPr w:rsidR="0079187F" w:rsidRPr="00D2459E" w:rsidSect="00FE75CC">
      <w:headerReference w:type="even" r:id="rId21"/>
      <w:headerReference w:type="default" r:id="rId22"/>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074" w:rsidRDefault="003E6074">
      <w:r>
        <w:separator/>
      </w:r>
    </w:p>
  </w:endnote>
  <w:endnote w:type="continuationSeparator" w:id="0">
    <w:p w:rsidR="003E6074" w:rsidRDefault="003E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Default="00FE75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Default="00FE75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Pr="00150BFA" w:rsidRDefault="00FE75CC" w:rsidP="0020718E">
    <w:pPr>
      <w:jc w:val="center"/>
    </w:pPr>
    <w:r>
      <w:rPr>
        <w:noProof/>
        <w:lang w:eastAsia="ja-JP"/>
      </w:rPr>
      <w:drawing>
        <wp:inline distT="0" distB="0" distL="0" distR="0" wp14:anchorId="11F8A385" wp14:editId="0AA5E74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E75CC" w:rsidRDefault="00FE75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074" w:rsidRDefault="003E6074">
      <w:r>
        <w:separator/>
      </w:r>
    </w:p>
  </w:footnote>
  <w:footnote w:type="continuationSeparator" w:id="0">
    <w:p w:rsidR="003E6074" w:rsidRDefault="003E6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Default="00FE75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074" w:rsidRPr="00FE75CC" w:rsidRDefault="003E6074" w:rsidP="00FE75CC">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Pr="00A45145" w:rsidRDefault="00FE75CC" w:rsidP="00A45145">
    <w:pPr>
      <w:jc w:val="center"/>
    </w:pPr>
    <w:r>
      <w:rPr>
        <w:noProof/>
        <w:lang w:eastAsia="ja-JP"/>
      </w:rPr>
      <w:drawing>
        <wp:inline distT="0" distB="0" distL="0" distR="0" wp14:anchorId="7EC03F4E" wp14:editId="3049957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E6074" w:rsidRDefault="003E607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Pr="0001136E" w:rsidRDefault="00FE75CC" w:rsidP="00044ABA">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0E1CAB">
      <w:rPr>
        <w:rStyle w:val="PageNumber"/>
        <w:noProof/>
        <w:szCs w:val="18"/>
      </w:rPr>
      <w:t>1</w:t>
    </w:r>
    <w:r>
      <w:rPr>
        <w:rStyle w:val="PageNumber"/>
        <w:szCs w:val="18"/>
      </w:rPr>
      <w:fldChar w:fldCharType="end"/>
    </w:r>
    <w:r w:rsidRPr="0001136E">
      <w:tab/>
    </w:r>
    <w:r>
      <w:t>BRAUN v. POLAND</w:t>
    </w:r>
    <w:r w:rsidRPr="0001136E">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5CC" w:rsidRPr="0001136E" w:rsidRDefault="00FE75CC" w:rsidP="00044ABA">
    <w:pPr>
      <w:pStyle w:val="ECHRHeader"/>
    </w:pPr>
    <w:r w:rsidRPr="0001136E">
      <w:tab/>
    </w:r>
    <w:r>
      <w:t>BRAUN v. POLAND</w:t>
    </w:r>
    <w:r w:rsidRPr="0001136E">
      <w:t xml:space="preserve"> </w:t>
    </w:r>
    <w:r>
      <w:t>JUDGMENT</w:t>
    </w:r>
    <w:r w:rsidRPr="0001136E">
      <w:tab/>
    </w:r>
    <w:r>
      <w:rPr>
        <w:rStyle w:val="PageNumber"/>
        <w:szCs w:val="18"/>
      </w:rPr>
      <w:fldChar w:fldCharType="begin"/>
    </w:r>
    <w:r>
      <w:rPr>
        <w:rStyle w:val="PageNumber"/>
        <w:szCs w:val="18"/>
      </w:rPr>
      <w:instrText xml:space="preserve"> PAGE </w:instrText>
    </w:r>
    <w:r>
      <w:rPr>
        <w:rStyle w:val="PageNumber"/>
        <w:szCs w:val="18"/>
      </w:rPr>
      <w:fldChar w:fldCharType="separate"/>
    </w:r>
    <w:r w:rsidR="000E1CAB">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C111E"/>
    <w:rsid w:val="00001CC5"/>
    <w:rsid w:val="00001D56"/>
    <w:rsid w:val="00002DD1"/>
    <w:rsid w:val="00003B49"/>
    <w:rsid w:val="000042D1"/>
    <w:rsid w:val="00007B38"/>
    <w:rsid w:val="0001136E"/>
    <w:rsid w:val="00013894"/>
    <w:rsid w:val="000241A0"/>
    <w:rsid w:val="00033160"/>
    <w:rsid w:val="00033FD2"/>
    <w:rsid w:val="0003679E"/>
    <w:rsid w:val="00042867"/>
    <w:rsid w:val="00044ABA"/>
    <w:rsid w:val="00046C03"/>
    <w:rsid w:val="0005170E"/>
    <w:rsid w:val="00053264"/>
    <w:rsid w:val="00053A4E"/>
    <w:rsid w:val="00054F10"/>
    <w:rsid w:val="0005522C"/>
    <w:rsid w:val="00055AC1"/>
    <w:rsid w:val="0006498A"/>
    <w:rsid w:val="0007063B"/>
    <w:rsid w:val="000726F6"/>
    <w:rsid w:val="000748F5"/>
    <w:rsid w:val="00075849"/>
    <w:rsid w:val="00076A67"/>
    <w:rsid w:val="00085837"/>
    <w:rsid w:val="00085B3A"/>
    <w:rsid w:val="00090C82"/>
    <w:rsid w:val="0009409F"/>
    <w:rsid w:val="00096716"/>
    <w:rsid w:val="000A1AA3"/>
    <w:rsid w:val="000A744B"/>
    <w:rsid w:val="000C7D6C"/>
    <w:rsid w:val="000D1ADB"/>
    <w:rsid w:val="000D204C"/>
    <w:rsid w:val="000D6108"/>
    <w:rsid w:val="000E11AF"/>
    <w:rsid w:val="000E1449"/>
    <w:rsid w:val="000E1CAB"/>
    <w:rsid w:val="000E6C2C"/>
    <w:rsid w:val="000F699D"/>
    <w:rsid w:val="001047FD"/>
    <w:rsid w:val="00104AD1"/>
    <w:rsid w:val="00111D99"/>
    <w:rsid w:val="00112E16"/>
    <w:rsid w:val="00113A04"/>
    <w:rsid w:val="0011665B"/>
    <w:rsid w:val="00126213"/>
    <w:rsid w:val="00132341"/>
    <w:rsid w:val="0013290F"/>
    <w:rsid w:val="00134257"/>
    <w:rsid w:val="00136B5C"/>
    <w:rsid w:val="00151CCA"/>
    <w:rsid w:val="00157BD8"/>
    <w:rsid w:val="00165BF0"/>
    <w:rsid w:val="001702A1"/>
    <w:rsid w:val="00170824"/>
    <w:rsid w:val="00171962"/>
    <w:rsid w:val="00174A6F"/>
    <w:rsid w:val="001812B2"/>
    <w:rsid w:val="00186D40"/>
    <w:rsid w:val="001929CE"/>
    <w:rsid w:val="0019388B"/>
    <w:rsid w:val="00195378"/>
    <w:rsid w:val="00197C29"/>
    <w:rsid w:val="001A0EBE"/>
    <w:rsid w:val="001A2CB2"/>
    <w:rsid w:val="001A4129"/>
    <w:rsid w:val="001A751D"/>
    <w:rsid w:val="001B2EFC"/>
    <w:rsid w:val="001B62B1"/>
    <w:rsid w:val="001B69D6"/>
    <w:rsid w:val="001B74F7"/>
    <w:rsid w:val="001C1454"/>
    <w:rsid w:val="001C707F"/>
    <w:rsid w:val="001C7671"/>
    <w:rsid w:val="001C77A7"/>
    <w:rsid w:val="001D094B"/>
    <w:rsid w:val="001F4A6C"/>
    <w:rsid w:val="001F5586"/>
    <w:rsid w:val="002041E3"/>
    <w:rsid w:val="0020712A"/>
    <w:rsid w:val="002149F7"/>
    <w:rsid w:val="00225BE5"/>
    <w:rsid w:val="002266CD"/>
    <w:rsid w:val="002320C6"/>
    <w:rsid w:val="00252B31"/>
    <w:rsid w:val="002563F5"/>
    <w:rsid w:val="0026258E"/>
    <w:rsid w:val="00262E67"/>
    <w:rsid w:val="00265471"/>
    <w:rsid w:val="0026789F"/>
    <w:rsid w:val="00267E01"/>
    <w:rsid w:val="00271A81"/>
    <w:rsid w:val="00271D5B"/>
    <w:rsid w:val="00276090"/>
    <w:rsid w:val="0029256C"/>
    <w:rsid w:val="002928FF"/>
    <w:rsid w:val="0029457D"/>
    <w:rsid w:val="00296B76"/>
    <w:rsid w:val="002972BD"/>
    <w:rsid w:val="00297942"/>
    <w:rsid w:val="002A3A18"/>
    <w:rsid w:val="002A4296"/>
    <w:rsid w:val="002B18B7"/>
    <w:rsid w:val="002B31A5"/>
    <w:rsid w:val="002C0942"/>
    <w:rsid w:val="002C7D3E"/>
    <w:rsid w:val="002D11CF"/>
    <w:rsid w:val="002E2EAF"/>
    <w:rsid w:val="002E66EC"/>
    <w:rsid w:val="002E6A74"/>
    <w:rsid w:val="002F32E9"/>
    <w:rsid w:val="002F4BCF"/>
    <w:rsid w:val="002F6FE9"/>
    <w:rsid w:val="0030108C"/>
    <w:rsid w:val="00302008"/>
    <w:rsid w:val="003037CB"/>
    <w:rsid w:val="00304532"/>
    <w:rsid w:val="00304BCD"/>
    <w:rsid w:val="003067E0"/>
    <w:rsid w:val="003104E9"/>
    <w:rsid w:val="00311B90"/>
    <w:rsid w:val="0031573C"/>
    <w:rsid w:val="0032093A"/>
    <w:rsid w:val="00325C2B"/>
    <w:rsid w:val="0033001A"/>
    <w:rsid w:val="00332547"/>
    <w:rsid w:val="003348EB"/>
    <w:rsid w:val="00336887"/>
    <w:rsid w:val="00337600"/>
    <w:rsid w:val="003403BB"/>
    <w:rsid w:val="0034580F"/>
    <w:rsid w:val="003462D1"/>
    <w:rsid w:val="003506C9"/>
    <w:rsid w:val="0035161B"/>
    <w:rsid w:val="00355F8F"/>
    <w:rsid w:val="00371277"/>
    <w:rsid w:val="0037228D"/>
    <w:rsid w:val="0037520C"/>
    <w:rsid w:val="003810BF"/>
    <w:rsid w:val="00386A17"/>
    <w:rsid w:val="003916EC"/>
    <w:rsid w:val="00393463"/>
    <w:rsid w:val="00394274"/>
    <w:rsid w:val="00397E69"/>
    <w:rsid w:val="003A64D3"/>
    <w:rsid w:val="003B41C7"/>
    <w:rsid w:val="003B4841"/>
    <w:rsid w:val="003B50D7"/>
    <w:rsid w:val="003B759C"/>
    <w:rsid w:val="003B7737"/>
    <w:rsid w:val="003B7D9F"/>
    <w:rsid w:val="003C0744"/>
    <w:rsid w:val="003C091D"/>
    <w:rsid w:val="003C1F9D"/>
    <w:rsid w:val="003C2FC3"/>
    <w:rsid w:val="003E2006"/>
    <w:rsid w:val="003E319C"/>
    <w:rsid w:val="003E6074"/>
    <w:rsid w:val="003F3BFD"/>
    <w:rsid w:val="00401C5B"/>
    <w:rsid w:val="00403226"/>
    <w:rsid w:val="00404AE9"/>
    <w:rsid w:val="00412F5F"/>
    <w:rsid w:val="00413EFC"/>
    <w:rsid w:val="004214B5"/>
    <w:rsid w:val="004218BE"/>
    <w:rsid w:val="004221DD"/>
    <w:rsid w:val="00424590"/>
    <w:rsid w:val="004405D1"/>
    <w:rsid w:val="004406AA"/>
    <w:rsid w:val="00452CF1"/>
    <w:rsid w:val="00457A18"/>
    <w:rsid w:val="00460FAD"/>
    <w:rsid w:val="00461EEB"/>
    <w:rsid w:val="00465AD7"/>
    <w:rsid w:val="004663AD"/>
    <w:rsid w:val="00466571"/>
    <w:rsid w:val="00471505"/>
    <w:rsid w:val="00474982"/>
    <w:rsid w:val="0048121E"/>
    <w:rsid w:val="0048319D"/>
    <w:rsid w:val="00485A6F"/>
    <w:rsid w:val="004920B1"/>
    <w:rsid w:val="004925DA"/>
    <w:rsid w:val="004970F6"/>
    <w:rsid w:val="004A13BA"/>
    <w:rsid w:val="004B6E47"/>
    <w:rsid w:val="004C0174"/>
    <w:rsid w:val="004C2B35"/>
    <w:rsid w:val="004E2781"/>
    <w:rsid w:val="004E5DFC"/>
    <w:rsid w:val="004F20A3"/>
    <w:rsid w:val="004F69EB"/>
    <w:rsid w:val="004F7752"/>
    <w:rsid w:val="0050096C"/>
    <w:rsid w:val="00513446"/>
    <w:rsid w:val="00516EBF"/>
    <w:rsid w:val="00522362"/>
    <w:rsid w:val="00524FFC"/>
    <w:rsid w:val="00540FBA"/>
    <w:rsid w:val="0054189B"/>
    <w:rsid w:val="005419B6"/>
    <w:rsid w:val="00546F49"/>
    <w:rsid w:val="00556F44"/>
    <w:rsid w:val="00557CEC"/>
    <w:rsid w:val="005659B4"/>
    <w:rsid w:val="0056771C"/>
    <w:rsid w:val="005777BA"/>
    <w:rsid w:val="00577E6A"/>
    <w:rsid w:val="0058166D"/>
    <w:rsid w:val="00582D1B"/>
    <w:rsid w:val="00584A11"/>
    <w:rsid w:val="005874FF"/>
    <w:rsid w:val="0059018E"/>
    <w:rsid w:val="005944D6"/>
    <w:rsid w:val="00595C5D"/>
    <w:rsid w:val="00596285"/>
    <w:rsid w:val="00596935"/>
    <w:rsid w:val="00596FFC"/>
    <w:rsid w:val="005A3D27"/>
    <w:rsid w:val="005B16A8"/>
    <w:rsid w:val="005B4233"/>
    <w:rsid w:val="005B658E"/>
    <w:rsid w:val="005C15C7"/>
    <w:rsid w:val="005C1929"/>
    <w:rsid w:val="005C1956"/>
    <w:rsid w:val="005C2C88"/>
    <w:rsid w:val="005C41CB"/>
    <w:rsid w:val="005C6AD3"/>
    <w:rsid w:val="005C799B"/>
    <w:rsid w:val="005D1B72"/>
    <w:rsid w:val="005E384F"/>
    <w:rsid w:val="005F3220"/>
    <w:rsid w:val="005F4753"/>
    <w:rsid w:val="005F7A10"/>
    <w:rsid w:val="006053AC"/>
    <w:rsid w:val="006101D7"/>
    <w:rsid w:val="006111FF"/>
    <w:rsid w:val="00612321"/>
    <w:rsid w:val="006138EA"/>
    <w:rsid w:val="00623720"/>
    <w:rsid w:val="00625699"/>
    <w:rsid w:val="0062787C"/>
    <w:rsid w:val="00633023"/>
    <w:rsid w:val="00633478"/>
    <w:rsid w:val="00640B82"/>
    <w:rsid w:val="00645097"/>
    <w:rsid w:val="00655126"/>
    <w:rsid w:val="006639B6"/>
    <w:rsid w:val="00674F68"/>
    <w:rsid w:val="00680CFA"/>
    <w:rsid w:val="00683826"/>
    <w:rsid w:val="00692128"/>
    <w:rsid w:val="00697F14"/>
    <w:rsid w:val="006A3D9D"/>
    <w:rsid w:val="006A7C48"/>
    <w:rsid w:val="006B6F0A"/>
    <w:rsid w:val="006C111E"/>
    <w:rsid w:val="006C2B52"/>
    <w:rsid w:val="006C35C5"/>
    <w:rsid w:val="006C69B7"/>
    <w:rsid w:val="006D43C8"/>
    <w:rsid w:val="006D71BC"/>
    <w:rsid w:val="006E4EF8"/>
    <w:rsid w:val="006E6D33"/>
    <w:rsid w:val="006F329C"/>
    <w:rsid w:val="006F4751"/>
    <w:rsid w:val="007156E0"/>
    <w:rsid w:val="00715F0A"/>
    <w:rsid w:val="00730053"/>
    <w:rsid w:val="00730433"/>
    <w:rsid w:val="00733037"/>
    <w:rsid w:val="007352DD"/>
    <w:rsid w:val="00740247"/>
    <w:rsid w:val="00750E5E"/>
    <w:rsid w:val="00751C24"/>
    <w:rsid w:val="00754ABE"/>
    <w:rsid w:val="00756D5B"/>
    <w:rsid w:val="007603BB"/>
    <w:rsid w:val="0076640C"/>
    <w:rsid w:val="00776807"/>
    <w:rsid w:val="0077789B"/>
    <w:rsid w:val="0078062F"/>
    <w:rsid w:val="007827E7"/>
    <w:rsid w:val="007876F3"/>
    <w:rsid w:val="0079163D"/>
    <w:rsid w:val="0079187F"/>
    <w:rsid w:val="007A1FFE"/>
    <w:rsid w:val="007A357A"/>
    <w:rsid w:val="007A6DBA"/>
    <w:rsid w:val="007B03C9"/>
    <w:rsid w:val="007B2958"/>
    <w:rsid w:val="007C090B"/>
    <w:rsid w:val="007C1CE3"/>
    <w:rsid w:val="007C1CE5"/>
    <w:rsid w:val="007C47B6"/>
    <w:rsid w:val="007C78C3"/>
    <w:rsid w:val="007D0D75"/>
    <w:rsid w:val="007D56F1"/>
    <w:rsid w:val="007E3C71"/>
    <w:rsid w:val="007E603C"/>
    <w:rsid w:val="007F735A"/>
    <w:rsid w:val="008007FF"/>
    <w:rsid w:val="00801D03"/>
    <w:rsid w:val="00806E5F"/>
    <w:rsid w:val="00812EC7"/>
    <w:rsid w:val="00814877"/>
    <w:rsid w:val="008204F5"/>
    <w:rsid w:val="00821575"/>
    <w:rsid w:val="00823047"/>
    <w:rsid w:val="00826109"/>
    <w:rsid w:val="00826F1D"/>
    <w:rsid w:val="008357DE"/>
    <w:rsid w:val="008360BC"/>
    <w:rsid w:val="0084199C"/>
    <w:rsid w:val="00846856"/>
    <w:rsid w:val="00853345"/>
    <w:rsid w:val="008601F7"/>
    <w:rsid w:val="00864209"/>
    <w:rsid w:val="00865450"/>
    <w:rsid w:val="00867399"/>
    <w:rsid w:val="00873E44"/>
    <w:rsid w:val="008824B9"/>
    <w:rsid w:val="0088315D"/>
    <w:rsid w:val="00884205"/>
    <w:rsid w:val="00886BB5"/>
    <w:rsid w:val="00893782"/>
    <w:rsid w:val="008A4283"/>
    <w:rsid w:val="008B5BFB"/>
    <w:rsid w:val="008B67C0"/>
    <w:rsid w:val="008B76D0"/>
    <w:rsid w:val="008C39B5"/>
    <w:rsid w:val="008C60EE"/>
    <w:rsid w:val="008C6F68"/>
    <w:rsid w:val="008D7BF2"/>
    <w:rsid w:val="008E05A3"/>
    <w:rsid w:val="00900F2B"/>
    <w:rsid w:val="00901475"/>
    <w:rsid w:val="00902C28"/>
    <w:rsid w:val="009169BC"/>
    <w:rsid w:val="00923FBB"/>
    <w:rsid w:val="00927277"/>
    <w:rsid w:val="00930CD7"/>
    <w:rsid w:val="00932C7B"/>
    <w:rsid w:val="0093542E"/>
    <w:rsid w:val="0094239F"/>
    <w:rsid w:val="00956501"/>
    <w:rsid w:val="009621FB"/>
    <w:rsid w:val="00965BD4"/>
    <w:rsid w:val="009750B7"/>
    <w:rsid w:val="00983734"/>
    <w:rsid w:val="0098535B"/>
    <w:rsid w:val="0098765D"/>
    <w:rsid w:val="0099561C"/>
    <w:rsid w:val="00995F44"/>
    <w:rsid w:val="009A6925"/>
    <w:rsid w:val="009B039E"/>
    <w:rsid w:val="009B15A1"/>
    <w:rsid w:val="009C0D6B"/>
    <w:rsid w:val="009C3C0E"/>
    <w:rsid w:val="009C5183"/>
    <w:rsid w:val="009D2E50"/>
    <w:rsid w:val="009D2F79"/>
    <w:rsid w:val="009D46D7"/>
    <w:rsid w:val="009D4B87"/>
    <w:rsid w:val="009E3F29"/>
    <w:rsid w:val="009E403B"/>
    <w:rsid w:val="009F0055"/>
    <w:rsid w:val="009F07CC"/>
    <w:rsid w:val="009F18CE"/>
    <w:rsid w:val="009F1D27"/>
    <w:rsid w:val="009F24CD"/>
    <w:rsid w:val="009F3932"/>
    <w:rsid w:val="009F5625"/>
    <w:rsid w:val="00A000A9"/>
    <w:rsid w:val="00A012A5"/>
    <w:rsid w:val="00A04E02"/>
    <w:rsid w:val="00A06A89"/>
    <w:rsid w:val="00A0791F"/>
    <w:rsid w:val="00A10260"/>
    <w:rsid w:val="00A135BE"/>
    <w:rsid w:val="00A30DC6"/>
    <w:rsid w:val="00A32B81"/>
    <w:rsid w:val="00A35C98"/>
    <w:rsid w:val="00A36290"/>
    <w:rsid w:val="00A5331A"/>
    <w:rsid w:val="00A64BFB"/>
    <w:rsid w:val="00A7049C"/>
    <w:rsid w:val="00A70E5D"/>
    <w:rsid w:val="00A777AF"/>
    <w:rsid w:val="00A80135"/>
    <w:rsid w:val="00A8381C"/>
    <w:rsid w:val="00A85CF6"/>
    <w:rsid w:val="00AA0A20"/>
    <w:rsid w:val="00AA2B6A"/>
    <w:rsid w:val="00AA373E"/>
    <w:rsid w:val="00AA6CAF"/>
    <w:rsid w:val="00AA7CA2"/>
    <w:rsid w:val="00AB0594"/>
    <w:rsid w:val="00AB2166"/>
    <w:rsid w:val="00AB43D9"/>
    <w:rsid w:val="00AB5D09"/>
    <w:rsid w:val="00AB651F"/>
    <w:rsid w:val="00AC134B"/>
    <w:rsid w:val="00AC4995"/>
    <w:rsid w:val="00AC4B9B"/>
    <w:rsid w:val="00AD57B2"/>
    <w:rsid w:val="00AE2F4F"/>
    <w:rsid w:val="00AF11BC"/>
    <w:rsid w:val="00AF7C99"/>
    <w:rsid w:val="00B030BE"/>
    <w:rsid w:val="00B0594B"/>
    <w:rsid w:val="00B122EA"/>
    <w:rsid w:val="00B309BF"/>
    <w:rsid w:val="00B324A5"/>
    <w:rsid w:val="00B34BFE"/>
    <w:rsid w:val="00B3608A"/>
    <w:rsid w:val="00B4551C"/>
    <w:rsid w:val="00B460AF"/>
    <w:rsid w:val="00B46173"/>
    <w:rsid w:val="00B52010"/>
    <w:rsid w:val="00B53DA1"/>
    <w:rsid w:val="00B574E7"/>
    <w:rsid w:val="00B6108B"/>
    <w:rsid w:val="00B64488"/>
    <w:rsid w:val="00B662B2"/>
    <w:rsid w:val="00B67558"/>
    <w:rsid w:val="00B6763B"/>
    <w:rsid w:val="00B67CBD"/>
    <w:rsid w:val="00B71EE4"/>
    <w:rsid w:val="00B743BC"/>
    <w:rsid w:val="00B749BE"/>
    <w:rsid w:val="00B75E2A"/>
    <w:rsid w:val="00B81192"/>
    <w:rsid w:val="00B921A8"/>
    <w:rsid w:val="00B97D07"/>
    <w:rsid w:val="00BA4F3C"/>
    <w:rsid w:val="00BB13E6"/>
    <w:rsid w:val="00BB2A9A"/>
    <w:rsid w:val="00BC7EEE"/>
    <w:rsid w:val="00BD19AE"/>
    <w:rsid w:val="00BE50FE"/>
    <w:rsid w:val="00BE5958"/>
    <w:rsid w:val="00BF005B"/>
    <w:rsid w:val="00BF071D"/>
    <w:rsid w:val="00BF7403"/>
    <w:rsid w:val="00BF79A2"/>
    <w:rsid w:val="00C01E1C"/>
    <w:rsid w:val="00C02E48"/>
    <w:rsid w:val="00C138A5"/>
    <w:rsid w:val="00C26466"/>
    <w:rsid w:val="00C27EF9"/>
    <w:rsid w:val="00C3018F"/>
    <w:rsid w:val="00C30671"/>
    <w:rsid w:val="00C3105C"/>
    <w:rsid w:val="00C36FF3"/>
    <w:rsid w:val="00C44046"/>
    <w:rsid w:val="00C47696"/>
    <w:rsid w:val="00C53BED"/>
    <w:rsid w:val="00C577C8"/>
    <w:rsid w:val="00C61B99"/>
    <w:rsid w:val="00C63E30"/>
    <w:rsid w:val="00C73967"/>
    <w:rsid w:val="00C77E51"/>
    <w:rsid w:val="00C82DDB"/>
    <w:rsid w:val="00C84877"/>
    <w:rsid w:val="00C94023"/>
    <w:rsid w:val="00C96EBF"/>
    <w:rsid w:val="00CB28F6"/>
    <w:rsid w:val="00CC043C"/>
    <w:rsid w:val="00CC6623"/>
    <w:rsid w:val="00CD31A0"/>
    <w:rsid w:val="00CD5D90"/>
    <w:rsid w:val="00CE1235"/>
    <w:rsid w:val="00CE1C9D"/>
    <w:rsid w:val="00CE5750"/>
    <w:rsid w:val="00CF166A"/>
    <w:rsid w:val="00CF3BFB"/>
    <w:rsid w:val="00D00569"/>
    <w:rsid w:val="00D010F3"/>
    <w:rsid w:val="00D102A7"/>
    <w:rsid w:val="00D1288A"/>
    <w:rsid w:val="00D1477D"/>
    <w:rsid w:val="00D14CDD"/>
    <w:rsid w:val="00D15473"/>
    <w:rsid w:val="00D16C44"/>
    <w:rsid w:val="00D2459E"/>
    <w:rsid w:val="00D30F97"/>
    <w:rsid w:val="00D33169"/>
    <w:rsid w:val="00D333B8"/>
    <w:rsid w:val="00D353F4"/>
    <w:rsid w:val="00D357B5"/>
    <w:rsid w:val="00D44EA3"/>
    <w:rsid w:val="00D56B5D"/>
    <w:rsid w:val="00D56C9B"/>
    <w:rsid w:val="00D579A6"/>
    <w:rsid w:val="00D60413"/>
    <w:rsid w:val="00D606CE"/>
    <w:rsid w:val="00D63793"/>
    <w:rsid w:val="00D71703"/>
    <w:rsid w:val="00D72CD9"/>
    <w:rsid w:val="00D73611"/>
    <w:rsid w:val="00D75211"/>
    <w:rsid w:val="00D76B5D"/>
    <w:rsid w:val="00D90810"/>
    <w:rsid w:val="00D96CC6"/>
    <w:rsid w:val="00DB2F59"/>
    <w:rsid w:val="00DB4584"/>
    <w:rsid w:val="00DB5B90"/>
    <w:rsid w:val="00DB6D67"/>
    <w:rsid w:val="00DC2093"/>
    <w:rsid w:val="00DC5C22"/>
    <w:rsid w:val="00DE2236"/>
    <w:rsid w:val="00DE2969"/>
    <w:rsid w:val="00DE5664"/>
    <w:rsid w:val="00DE5E8F"/>
    <w:rsid w:val="00DF06A0"/>
    <w:rsid w:val="00DF1DBC"/>
    <w:rsid w:val="00E162D6"/>
    <w:rsid w:val="00E172C8"/>
    <w:rsid w:val="00E23202"/>
    <w:rsid w:val="00E307F6"/>
    <w:rsid w:val="00E32625"/>
    <w:rsid w:val="00E32971"/>
    <w:rsid w:val="00E34A82"/>
    <w:rsid w:val="00E422D1"/>
    <w:rsid w:val="00E45BBF"/>
    <w:rsid w:val="00E50968"/>
    <w:rsid w:val="00E526A4"/>
    <w:rsid w:val="00E55344"/>
    <w:rsid w:val="00E62415"/>
    <w:rsid w:val="00E633AA"/>
    <w:rsid w:val="00E712F9"/>
    <w:rsid w:val="00E81663"/>
    <w:rsid w:val="00E86F7E"/>
    <w:rsid w:val="00E87B29"/>
    <w:rsid w:val="00E904B2"/>
    <w:rsid w:val="00E9155E"/>
    <w:rsid w:val="00E91843"/>
    <w:rsid w:val="00E96FFE"/>
    <w:rsid w:val="00E973F5"/>
    <w:rsid w:val="00EA1DA6"/>
    <w:rsid w:val="00EA4C31"/>
    <w:rsid w:val="00EA4D55"/>
    <w:rsid w:val="00EB0CCC"/>
    <w:rsid w:val="00EB2A33"/>
    <w:rsid w:val="00EB41E9"/>
    <w:rsid w:val="00EB5EBC"/>
    <w:rsid w:val="00EC330A"/>
    <w:rsid w:val="00ED12C3"/>
    <w:rsid w:val="00ED3AC7"/>
    <w:rsid w:val="00EE1252"/>
    <w:rsid w:val="00EE47FF"/>
    <w:rsid w:val="00EE7911"/>
    <w:rsid w:val="00EF175D"/>
    <w:rsid w:val="00EF2384"/>
    <w:rsid w:val="00EF5FE6"/>
    <w:rsid w:val="00F0086E"/>
    <w:rsid w:val="00F03E4B"/>
    <w:rsid w:val="00F1036D"/>
    <w:rsid w:val="00F22E8B"/>
    <w:rsid w:val="00F239EF"/>
    <w:rsid w:val="00F324E0"/>
    <w:rsid w:val="00F363BA"/>
    <w:rsid w:val="00F36C29"/>
    <w:rsid w:val="00F43FF3"/>
    <w:rsid w:val="00F4569F"/>
    <w:rsid w:val="00F5124B"/>
    <w:rsid w:val="00F56597"/>
    <w:rsid w:val="00F62FA4"/>
    <w:rsid w:val="00F636D9"/>
    <w:rsid w:val="00F71040"/>
    <w:rsid w:val="00F71A6A"/>
    <w:rsid w:val="00F73D18"/>
    <w:rsid w:val="00F779A5"/>
    <w:rsid w:val="00F94742"/>
    <w:rsid w:val="00F96185"/>
    <w:rsid w:val="00FD3E2F"/>
    <w:rsid w:val="00FE5A1F"/>
    <w:rsid w:val="00FE6E31"/>
    <w:rsid w:val="00FE75CC"/>
    <w:rsid w:val="00FF28F6"/>
    <w:rsid w:val="00FF6483"/>
    <w:rsid w:val="00FF6C2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4214B5"/>
    <w:pPr>
      <w:jc w:val="both"/>
    </w:pPr>
    <w:rPr>
      <w:rFonts w:eastAsiaTheme="minorEastAsia"/>
      <w:sz w:val="24"/>
      <w:lang w:val="en-US"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
    <w:link w:val="JuParaChar"/>
    <w:uiPriority w:val="12"/>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qFormat/>
    <w:rsid w:val="004214B5"/>
    <w:pPr>
      <w:tabs>
        <w:tab w:val="left" w:pos="567"/>
        <w:tab w:val="left" w:pos="1134"/>
      </w:tabs>
      <w:jc w:val="left"/>
    </w:pPr>
    <w:rPr>
      <w:lang w:val="fr-FR" w:eastAsia="fr-FR"/>
    </w:rPr>
  </w:style>
  <w:style w:type="character" w:customStyle="1" w:styleId="JuJudgesChar">
    <w:name w:val="Ju_Judges Char"/>
    <w:link w:val="ECHRDecisionBody"/>
    <w:locked/>
    <w:rsid w:val="00D15473"/>
    <w:rPr>
      <w:rFonts w:eastAsiaTheme="minorEastAsia"/>
      <w:sz w:val="24"/>
    </w:rPr>
  </w:style>
  <w:style w:type="paragraph" w:customStyle="1" w:styleId="ECHRHeading2">
    <w:name w:val="ECHR_Heading_2"/>
    <w:aliases w:val="Ju_H_A"/>
    <w:basedOn w:val="Heading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30"/>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
    <w:next w:val="JuLista"/>
    <w:uiPriority w:val="28"/>
    <w:qFormat/>
    <w:rsid w:val="004214B5"/>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4214B5"/>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
    <w:uiPriority w:val="31"/>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214B5"/>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005fpara--char">
    <w:name w:val="ju-005fpara--char"/>
    <w:basedOn w:val="DefaultParagraphFont"/>
    <w:rsid w:val="00E55344"/>
    <w:rPr>
      <w:rFonts w:cs="Times New Roman"/>
    </w:rPr>
  </w:style>
  <w:style w:type="character" w:customStyle="1" w:styleId="JuParaCar">
    <w:name w:val="Ju_Para Car"/>
    <w:uiPriority w:val="12"/>
    <w:rsid w:val="00053A4E"/>
    <w:rPr>
      <w:rFonts w:eastAsiaTheme="minorEastAsia"/>
      <w:sz w:val="24"/>
    </w:rPr>
  </w:style>
  <w:style w:type="paragraph" w:customStyle="1" w:styleId="ListBullet31">
    <w:name w:val="List Bullet 31"/>
    <w:basedOn w:val="Normal"/>
    <w:next w:val="ListBullet3"/>
    <w:uiPriority w:val="99"/>
    <w:semiHidden/>
    <w:rsid w:val="00D2459E"/>
    <w:pPr>
      <w:tabs>
        <w:tab w:val="num" w:pos="851"/>
      </w:tabs>
      <w:ind w:left="851" w:hanging="284"/>
      <w:contextualSpacing/>
    </w:pPr>
    <w:rPr>
      <w:rFonts w:eastAsia="Times New Roman"/>
    </w:rPr>
  </w:style>
  <w:style w:type="paragraph" w:styleId="Revision">
    <w:name w:val="Revision"/>
    <w:hidden/>
    <w:uiPriority w:val="99"/>
    <w:semiHidden/>
    <w:rsid w:val="00F03E4B"/>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4214B5"/>
    <w:pPr>
      <w:jc w:val="both"/>
    </w:pPr>
    <w:rPr>
      <w:rFonts w:eastAsiaTheme="minorEastAsia"/>
      <w:sz w:val="24"/>
      <w:lang w:val="en-US"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
    <w:link w:val="JuParaChar"/>
    <w:uiPriority w:val="12"/>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qFormat/>
    <w:rsid w:val="004214B5"/>
    <w:pPr>
      <w:tabs>
        <w:tab w:val="left" w:pos="567"/>
        <w:tab w:val="left" w:pos="1134"/>
      </w:tabs>
      <w:jc w:val="left"/>
    </w:pPr>
    <w:rPr>
      <w:lang w:val="fr-FR" w:eastAsia="fr-FR"/>
    </w:rPr>
  </w:style>
  <w:style w:type="character" w:customStyle="1" w:styleId="JuJudgesChar">
    <w:name w:val="Ju_Judges Char"/>
    <w:link w:val="ECHRDecisionBody"/>
    <w:locked/>
    <w:rsid w:val="00D15473"/>
    <w:rPr>
      <w:rFonts w:eastAsiaTheme="minorEastAsia"/>
      <w:sz w:val="24"/>
    </w:rPr>
  </w:style>
  <w:style w:type="paragraph" w:customStyle="1" w:styleId="ECHRHeading2">
    <w:name w:val="ECHR_Heading_2"/>
    <w:aliases w:val="Ju_H_A"/>
    <w:basedOn w:val="Heading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30"/>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
    <w:next w:val="JuLista"/>
    <w:uiPriority w:val="28"/>
    <w:qFormat/>
    <w:rsid w:val="004214B5"/>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4214B5"/>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
    <w:uiPriority w:val="31"/>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214B5"/>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005fpara--char">
    <w:name w:val="ju-005fpara--char"/>
    <w:basedOn w:val="DefaultParagraphFont"/>
    <w:rsid w:val="00E55344"/>
    <w:rPr>
      <w:rFonts w:cs="Times New Roman"/>
    </w:rPr>
  </w:style>
  <w:style w:type="character" w:customStyle="1" w:styleId="JuParaCar">
    <w:name w:val="Ju_Para Car"/>
    <w:uiPriority w:val="12"/>
    <w:rsid w:val="00053A4E"/>
    <w:rPr>
      <w:rFonts w:eastAsiaTheme="minorEastAsia"/>
      <w:sz w:val="24"/>
    </w:rPr>
  </w:style>
  <w:style w:type="paragraph" w:customStyle="1" w:styleId="ListBullet31">
    <w:name w:val="List Bullet 31"/>
    <w:basedOn w:val="Normal"/>
    <w:next w:val="ListBullet3"/>
    <w:uiPriority w:val="99"/>
    <w:semiHidden/>
    <w:rsid w:val="00D2459E"/>
    <w:pPr>
      <w:tabs>
        <w:tab w:val="num" w:pos="851"/>
      </w:tabs>
      <w:ind w:left="851" w:hanging="284"/>
      <w:contextualSpacing/>
    </w:pPr>
    <w:rPr>
      <w:rFonts w:eastAsia="Times New Roman"/>
    </w:rPr>
  </w:style>
  <w:style w:type="paragraph" w:styleId="Revision">
    <w:name w:val="Revision"/>
    <w:hidden/>
    <w:uiPriority w:val="99"/>
    <w:semiHidden/>
    <w:rsid w:val="00F03E4B"/>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97970121">
      <w:bodyDiv w:val="1"/>
      <w:marLeft w:val="0"/>
      <w:marRight w:val="0"/>
      <w:marTop w:val="0"/>
      <w:marBottom w:val="0"/>
      <w:divBdr>
        <w:top w:val="none" w:sz="0" w:space="0" w:color="auto"/>
        <w:left w:val="none" w:sz="0" w:space="0" w:color="auto"/>
        <w:bottom w:val="none" w:sz="0" w:space="0" w:color="auto"/>
        <w:right w:val="none" w:sz="0" w:space="0" w:color="auto"/>
      </w:divBdr>
      <w:divsChild>
        <w:div w:id="353506109">
          <w:marLeft w:val="0"/>
          <w:marRight w:val="0"/>
          <w:marTop w:val="0"/>
          <w:marBottom w:val="0"/>
          <w:divBdr>
            <w:top w:val="none" w:sz="0" w:space="0" w:color="auto"/>
            <w:left w:val="none" w:sz="0" w:space="0" w:color="auto"/>
            <w:bottom w:val="none" w:sz="0" w:space="0" w:color="auto"/>
            <w:right w:val="none" w:sz="0" w:space="0" w:color="auto"/>
          </w:divBdr>
          <w:divsChild>
            <w:div w:id="1066416946">
              <w:marLeft w:val="0"/>
              <w:marRight w:val="0"/>
              <w:marTop w:val="0"/>
              <w:marBottom w:val="0"/>
              <w:divBdr>
                <w:top w:val="none" w:sz="0" w:space="0" w:color="auto"/>
                <w:left w:val="none" w:sz="0" w:space="0" w:color="auto"/>
                <w:bottom w:val="none" w:sz="0" w:space="0" w:color="auto"/>
                <w:right w:val="none" w:sz="0" w:space="0" w:color="auto"/>
              </w:divBdr>
              <w:divsChild>
                <w:div w:id="1351294136">
                  <w:marLeft w:val="0"/>
                  <w:marRight w:val="0"/>
                  <w:marTop w:val="0"/>
                  <w:marBottom w:val="0"/>
                  <w:divBdr>
                    <w:top w:val="none" w:sz="0" w:space="0" w:color="auto"/>
                    <w:left w:val="none" w:sz="0" w:space="0" w:color="auto"/>
                    <w:bottom w:val="none" w:sz="0" w:space="0" w:color="auto"/>
                    <w:right w:val="none" w:sz="0" w:space="0" w:color="auto"/>
                  </w:divBdr>
                  <w:divsChild>
                    <w:div w:id="1556355796">
                      <w:marLeft w:val="0"/>
                      <w:marRight w:val="0"/>
                      <w:marTop w:val="0"/>
                      <w:marBottom w:val="0"/>
                      <w:divBdr>
                        <w:top w:val="none" w:sz="0" w:space="0" w:color="auto"/>
                        <w:left w:val="none" w:sz="0" w:space="0" w:color="auto"/>
                        <w:bottom w:val="none" w:sz="0" w:space="0" w:color="auto"/>
                        <w:right w:val="none" w:sz="0" w:space="0" w:color="auto"/>
                      </w:divBdr>
                      <w:divsChild>
                        <w:div w:id="1522624451">
                          <w:marLeft w:val="0"/>
                          <w:marRight w:val="0"/>
                          <w:marTop w:val="0"/>
                          <w:marBottom w:val="0"/>
                          <w:divBdr>
                            <w:top w:val="none" w:sz="0" w:space="0" w:color="auto"/>
                            <w:left w:val="none" w:sz="0" w:space="0" w:color="auto"/>
                            <w:bottom w:val="none" w:sz="0" w:space="0" w:color="auto"/>
                            <w:right w:val="none" w:sz="0" w:space="0" w:color="auto"/>
                          </w:divBdr>
                          <w:divsChild>
                            <w:div w:id="1112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552463">
      <w:bodyDiv w:val="1"/>
      <w:marLeft w:val="0"/>
      <w:marRight w:val="0"/>
      <w:marTop w:val="0"/>
      <w:marBottom w:val="0"/>
      <w:divBdr>
        <w:top w:val="none" w:sz="0" w:space="0" w:color="auto"/>
        <w:left w:val="none" w:sz="0" w:space="0" w:color="auto"/>
        <w:bottom w:val="none" w:sz="0" w:space="0" w:color="auto"/>
        <w:right w:val="none" w:sz="0" w:space="0" w:color="auto"/>
      </w:divBdr>
      <w:divsChild>
        <w:div w:id="1651404632">
          <w:marLeft w:val="0"/>
          <w:marRight w:val="0"/>
          <w:marTop w:val="0"/>
          <w:marBottom w:val="0"/>
          <w:divBdr>
            <w:top w:val="none" w:sz="0" w:space="0" w:color="auto"/>
            <w:left w:val="none" w:sz="0" w:space="0" w:color="auto"/>
            <w:bottom w:val="none" w:sz="0" w:space="0" w:color="auto"/>
            <w:right w:val="none" w:sz="0" w:space="0" w:color="auto"/>
          </w:divBdr>
          <w:divsChild>
            <w:div w:id="2031955417">
              <w:marLeft w:val="0"/>
              <w:marRight w:val="0"/>
              <w:marTop w:val="0"/>
              <w:marBottom w:val="0"/>
              <w:divBdr>
                <w:top w:val="none" w:sz="0" w:space="0" w:color="auto"/>
                <w:left w:val="none" w:sz="0" w:space="0" w:color="auto"/>
                <w:bottom w:val="none" w:sz="0" w:space="0" w:color="auto"/>
                <w:right w:val="none" w:sz="0" w:space="0" w:color="auto"/>
              </w:divBdr>
              <w:divsChild>
                <w:div w:id="1455905248">
                  <w:marLeft w:val="0"/>
                  <w:marRight w:val="0"/>
                  <w:marTop w:val="0"/>
                  <w:marBottom w:val="0"/>
                  <w:divBdr>
                    <w:top w:val="none" w:sz="0" w:space="0" w:color="auto"/>
                    <w:left w:val="none" w:sz="0" w:space="0" w:color="auto"/>
                    <w:bottom w:val="none" w:sz="0" w:space="0" w:color="auto"/>
                    <w:right w:val="none" w:sz="0" w:space="0" w:color="auto"/>
                  </w:divBdr>
                  <w:divsChild>
                    <w:div w:id="2076664721">
                      <w:marLeft w:val="0"/>
                      <w:marRight w:val="0"/>
                      <w:marTop w:val="0"/>
                      <w:marBottom w:val="0"/>
                      <w:divBdr>
                        <w:top w:val="none" w:sz="0" w:space="0" w:color="auto"/>
                        <w:left w:val="none" w:sz="0" w:space="0" w:color="auto"/>
                        <w:bottom w:val="none" w:sz="0" w:space="0" w:color="auto"/>
                        <w:right w:val="none" w:sz="0" w:space="0" w:color="auto"/>
                      </w:divBdr>
                      <w:divsChild>
                        <w:div w:id="926042514">
                          <w:marLeft w:val="0"/>
                          <w:marRight w:val="0"/>
                          <w:marTop w:val="0"/>
                          <w:marBottom w:val="0"/>
                          <w:divBdr>
                            <w:top w:val="none" w:sz="0" w:space="0" w:color="auto"/>
                            <w:left w:val="none" w:sz="0" w:space="0" w:color="auto"/>
                            <w:bottom w:val="none" w:sz="0" w:space="0" w:color="auto"/>
                            <w:right w:val="none" w:sz="0" w:space="0" w:color="auto"/>
                          </w:divBdr>
                          <w:divsChild>
                            <w:div w:id="62620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936899">
      <w:bodyDiv w:val="1"/>
      <w:marLeft w:val="0"/>
      <w:marRight w:val="0"/>
      <w:marTop w:val="0"/>
      <w:marBottom w:val="0"/>
      <w:divBdr>
        <w:top w:val="none" w:sz="0" w:space="0" w:color="auto"/>
        <w:left w:val="none" w:sz="0" w:space="0" w:color="auto"/>
        <w:bottom w:val="none" w:sz="0" w:space="0" w:color="auto"/>
        <w:right w:val="none" w:sz="0" w:space="0" w:color="auto"/>
      </w:divBdr>
      <w:divsChild>
        <w:div w:id="1989048430">
          <w:marLeft w:val="0"/>
          <w:marRight w:val="0"/>
          <w:marTop w:val="0"/>
          <w:marBottom w:val="0"/>
          <w:divBdr>
            <w:top w:val="none" w:sz="0" w:space="0" w:color="auto"/>
            <w:left w:val="none" w:sz="0" w:space="0" w:color="auto"/>
            <w:bottom w:val="none" w:sz="0" w:space="0" w:color="auto"/>
            <w:right w:val="none" w:sz="0" w:space="0" w:color="auto"/>
          </w:divBdr>
          <w:divsChild>
            <w:div w:id="1465273783">
              <w:marLeft w:val="0"/>
              <w:marRight w:val="0"/>
              <w:marTop w:val="0"/>
              <w:marBottom w:val="0"/>
              <w:divBdr>
                <w:top w:val="none" w:sz="0" w:space="0" w:color="auto"/>
                <w:left w:val="none" w:sz="0" w:space="0" w:color="auto"/>
                <w:bottom w:val="none" w:sz="0" w:space="0" w:color="auto"/>
                <w:right w:val="none" w:sz="0" w:space="0" w:color="auto"/>
              </w:divBdr>
              <w:divsChild>
                <w:div w:id="1412771308">
                  <w:marLeft w:val="0"/>
                  <w:marRight w:val="0"/>
                  <w:marTop w:val="0"/>
                  <w:marBottom w:val="0"/>
                  <w:divBdr>
                    <w:top w:val="none" w:sz="0" w:space="0" w:color="auto"/>
                    <w:left w:val="none" w:sz="0" w:space="0" w:color="auto"/>
                    <w:bottom w:val="none" w:sz="0" w:space="0" w:color="auto"/>
                    <w:right w:val="none" w:sz="0" w:space="0" w:color="auto"/>
                  </w:divBdr>
                  <w:divsChild>
                    <w:div w:id="1763645260">
                      <w:marLeft w:val="0"/>
                      <w:marRight w:val="0"/>
                      <w:marTop w:val="0"/>
                      <w:marBottom w:val="0"/>
                      <w:divBdr>
                        <w:top w:val="none" w:sz="0" w:space="0" w:color="auto"/>
                        <w:left w:val="none" w:sz="0" w:space="0" w:color="auto"/>
                        <w:bottom w:val="none" w:sz="0" w:space="0" w:color="auto"/>
                        <w:right w:val="none" w:sz="0" w:space="0" w:color="auto"/>
                      </w:divBdr>
                      <w:divsChild>
                        <w:div w:id="914319850">
                          <w:marLeft w:val="0"/>
                          <w:marRight w:val="0"/>
                          <w:marTop w:val="0"/>
                          <w:marBottom w:val="0"/>
                          <w:divBdr>
                            <w:top w:val="none" w:sz="0" w:space="0" w:color="auto"/>
                            <w:left w:val="none" w:sz="0" w:space="0" w:color="auto"/>
                            <w:bottom w:val="none" w:sz="0" w:space="0" w:color="auto"/>
                            <w:right w:val="none" w:sz="0" w:space="0" w:color="auto"/>
                          </w:divBdr>
                          <w:divsChild>
                            <w:div w:id="2425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2059279">
      <w:bodyDiv w:val="1"/>
      <w:marLeft w:val="0"/>
      <w:marRight w:val="0"/>
      <w:marTop w:val="0"/>
      <w:marBottom w:val="0"/>
      <w:divBdr>
        <w:top w:val="none" w:sz="0" w:space="0" w:color="auto"/>
        <w:left w:val="none" w:sz="0" w:space="0" w:color="auto"/>
        <w:bottom w:val="none" w:sz="0" w:space="0" w:color="auto"/>
        <w:right w:val="none" w:sz="0" w:space="0" w:color="auto"/>
      </w:divBdr>
      <w:divsChild>
        <w:div w:id="95952562">
          <w:marLeft w:val="0"/>
          <w:marRight w:val="0"/>
          <w:marTop w:val="0"/>
          <w:marBottom w:val="0"/>
          <w:divBdr>
            <w:top w:val="none" w:sz="0" w:space="0" w:color="auto"/>
            <w:left w:val="none" w:sz="0" w:space="0" w:color="auto"/>
            <w:bottom w:val="none" w:sz="0" w:space="0" w:color="auto"/>
            <w:right w:val="none" w:sz="0" w:space="0" w:color="auto"/>
          </w:divBdr>
          <w:divsChild>
            <w:div w:id="793983911">
              <w:marLeft w:val="0"/>
              <w:marRight w:val="0"/>
              <w:marTop w:val="0"/>
              <w:marBottom w:val="0"/>
              <w:divBdr>
                <w:top w:val="none" w:sz="0" w:space="0" w:color="auto"/>
                <w:left w:val="none" w:sz="0" w:space="0" w:color="auto"/>
                <w:bottom w:val="none" w:sz="0" w:space="0" w:color="auto"/>
                <w:right w:val="none" w:sz="0" w:space="0" w:color="auto"/>
              </w:divBdr>
              <w:divsChild>
                <w:div w:id="1502891575">
                  <w:marLeft w:val="0"/>
                  <w:marRight w:val="0"/>
                  <w:marTop w:val="0"/>
                  <w:marBottom w:val="0"/>
                  <w:divBdr>
                    <w:top w:val="none" w:sz="0" w:space="0" w:color="auto"/>
                    <w:left w:val="none" w:sz="0" w:space="0" w:color="auto"/>
                    <w:bottom w:val="none" w:sz="0" w:space="0" w:color="auto"/>
                    <w:right w:val="none" w:sz="0" w:space="0" w:color="auto"/>
                  </w:divBdr>
                  <w:divsChild>
                    <w:div w:id="1630893273">
                      <w:marLeft w:val="0"/>
                      <w:marRight w:val="0"/>
                      <w:marTop w:val="0"/>
                      <w:marBottom w:val="0"/>
                      <w:divBdr>
                        <w:top w:val="none" w:sz="0" w:space="0" w:color="auto"/>
                        <w:left w:val="none" w:sz="0" w:space="0" w:color="auto"/>
                        <w:bottom w:val="none" w:sz="0" w:space="0" w:color="auto"/>
                        <w:right w:val="none" w:sz="0" w:space="0" w:color="auto"/>
                      </w:divBdr>
                      <w:divsChild>
                        <w:div w:id="1085079678">
                          <w:marLeft w:val="0"/>
                          <w:marRight w:val="0"/>
                          <w:marTop w:val="0"/>
                          <w:marBottom w:val="0"/>
                          <w:divBdr>
                            <w:top w:val="none" w:sz="0" w:space="0" w:color="auto"/>
                            <w:left w:val="none" w:sz="0" w:space="0" w:color="auto"/>
                            <w:bottom w:val="none" w:sz="0" w:space="0" w:color="auto"/>
                            <w:right w:val="none" w:sz="0" w:space="0" w:color="auto"/>
                          </w:divBdr>
                          <w:divsChild>
                            <w:div w:id="68806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921561">
      <w:bodyDiv w:val="1"/>
      <w:marLeft w:val="0"/>
      <w:marRight w:val="0"/>
      <w:marTop w:val="0"/>
      <w:marBottom w:val="0"/>
      <w:divBdr>
        <w:top w:val="none" w:sz="0" w:space="0" w:color="auto"/>
        <w:left w:val="none" w:sz="0" w:space="0" w:color="auto"/>
        <w:bottom w:val="none" w:sz="0" w:space="0" w:color="auto"/>
        <w:right w:val="none" w:sz="0" w:space="0" w:color="auto"/>
      </w:divBdr>
      <w:divsChild>
        <w:div w:id="1930000745">
          <w:marLeft w:val="0"/>
          <w:marRight w:val="0"/>
          <w:marTop w:val="0"/>
          <w:marBottom w:val="0"/>
          <w:divBdr>
            <w:top w:val="none" w:sz="0" w:space="0" w:color="auto"/>
            <w:left w:val="none" w:sz="0" w:space="0" w:color="auto"/>
            <w:bottom w:val="none" w:sz="0" w:space="0" w:color="auto"/>
            <w:right w:val="none" w:sz="0" w:space="0" w:color="auto"/>
          </w:divBdr>
          <w:divsChild>
            <w:div w:id="713500681">
              <w:marLeft w:val="0"/>
              <w:marRight w:val="0"/>
              <w:marTop w:val="0"/>
              <w:marBottom w:val="0"/>
              <w:divBdr>
                <w:top w:val="none" w:sz="0" w:space="0" w:color="auto"/>
                <w:left w:val="none" w:sz="0" w:space="0" w:color="auto"/>
                <w:bottom w:val="none" w:sz="0" w:space="0" w:color="auto"/>
                <w:right w:val="none" w:sz="0" w:space="0" w:color="auto"/>
              </w:divBdr>
              <w:divsChild>
                <w:div w:id="2038577591">
                  <w:marLeft w:val="0"/>
                  <w:marRight w:val="0"/>
                  <w:marTop w:val="0"/>
                  <w:marBottom w:val="0"/>
                  <w:divBdr>
                    <w:top w:val="none" w:sz="0" w:space="0" w:color="auto"/>
                    <w:left w:val="none" w:sz="0" w:space="0" w:color="auto"/>
                    <w:bottom w:val="none" w:sz="0" w:space="0" w:color="auto"/>
                    <w:right w:val="none" w:sz="0" w:space="0" w:color="auto"/>
                  </w:divBdr>
                  <w:divsChild>
                    <w:div w:id="2010791433">
                      <w:marLeft w:val="0"/>
                      <w:marRight w:val="0"/>
                      <w:marTop w:val="0"/>
                      <w:marBottom w:val="0"/>
                      <w:divBdr>
                        <w:top w:val="none" w:sz="0" w:space="0" w:color="auto"/>
                        <w:left w:val="none" w:sz="0" w:space="0" w:color="auto"/>
                        <w:bottom w:val="none" w:sz="0" w:space="0" w:color="auto"/>
                        <w:right w:val="none" w:sz="0" w:space="0" w:color="auto"/>
                      </w:divBdr>
                      <w:divsChild>
                        <w:div w:id="247234155">
                          <w:marLeft w:val="0"/>
                          <w:marRight w:val="0"/>
                          <w:marTop w:val="0"/>
                          <w:marBottom w:val="0"/>
                          <w:divBdr>
                            <w:top w:val="none" w:sz="0" w:space="0" w:color="auto"/>
                            <w:left w:val="none" w:sz="0" w:space="0" w:color="auto"/>
                            <w:bottom w:val="none" w:sz="0" w:space="0" w:color="auto"/>
                            <w:right w:val="none" w:sz="0" w:space="0" w:color="auto"/>
                          </w:divBdr>
                          <w:divsChild>
                            <w:div w:id="143243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905397">
      <w:bodyDiv w:val="1"/>
      <w:marLeft w:val="0"/>
      <w:marRight w:val="0"/>
      <w:marTop w:val="0"/>
      <w:marBottom w:val="0"/>
      <w:divBdr>
        <w:top w:val="none" w:sz="0" w:space="0" w:color="auto"/>
        <w:left w:val="none" w:sz="0" w:space="0" w:color="auto"/>
        <w:bottom w:val="none" w:sz="0" w:space="0" w:color="auto"/>
        <w:right w:val="none" w:sz="0" w:space="0" w:color="auto"/>
      </w:divBdr>
      <w:divsChild>
        <w:div w:id="1923879576">
          <w:marLeft w:val="0"/>
          <w:marRight w:val="0"/>
          <w:marTop w:val="0"/>
          <w:marBottom w:val="0"/>
          <w:divBdr>
            <w:top w:val="none" w:sz="0" w:space="0" w:color="auto"/>
            <w:left w:val="none" w:sz="0" w:space="0" w:color="auto"/>
            <w:bottom w:val="none" w:sz="0" w:space="0" w:color="auto"/>
            <w:right w:val="none" w:sz="0" w:space="0" w:color="auto"/>
          </w:divBdr>
          <w:divsChild>
            <w:div w:id="1537307923">
              <w:marLeft w:val="0"/>
              <w:marRight w:val="0"/>
              <w:marTop w:val="0"/>
              <w:marBottom w:val="0"/>
              <w:divBdr>
                <w:top w:val="none" w:sz="0" w:space="0" w:color="auto"/>
                <w:left w:val="none" w:sz="0" w:space="0" w:color="auto"/>
                <w:bottom w:val="none" w:sz="0" w:space="0" w:color="auto"/>
                <w:right w:val="none" w:sz="0" w:space="0" w:color="auto"/>
              </w:divBdr>
              <w:divsChild>
                <w:div w:id="985743977">
                  <w:marLeft w:val="0"/>
                  <w:marRight w:val="0"/>
                  <w:marTop w:val="0"/>
                  <w:marBottom w:val="0"/>
                  <w:divBdr>
                    <w:top w:val="none" w:sz="0" w:space="0" w:color="auto"/>
                    <w:left w:val="none" w:sz="0" w:space="0" w:color="auto"/>
                    <w:bottom w:val="none" w:sz="0" w:space="0" w:color="auto"/>
                    <w:right w:val="none" w:sz="0" w:space="0" w:color="auto"/>
                  </w:divBdr>
                  <w:divsChild>
                    <w:div w:id="1182890454">
                      <w:marLeft w:val="0"/>
                      <w:marRight w:val="0"/>
                      <w:marTop w:val="0"/>
                      <w:marBottom w:val="0"/>
                      <w:divBdr>
                        <w:top w:val="none" w:sz="0" w:space="0" w:color="auto"/>
                        <w:left w:val="none" w:sz="0" w:space="0" w:color="auto"/>
                        <w:bottom w:val="none" w:sz="0" w:space="0" w:color="auto"/>
                        <w:right w:val="none" w:sz="0" w:space="0" w:color="auto"/>
                      </w:divBdr>
                      <w:divsChild>
                        <w:div w:id="1245340030">
                          <w:marLeft w:val="0"/>
                          <w:marRight w:val="0"/>
                          <w:marTop w:val="0"/>
                          <w:marBottom w:val="0"/>
                          <w:divBdr>
                            <w:top w:val="none" w:sz="0" w:space="0" w:color="auto"/>
                            <w:left w:val="none" w:sz="0" w:space="0" w:color="auto"/>
                            <w:bottom w:val="none" w:sz="0" w:space="0" w:color="auto"/>
                            <w:right w:val="none" w:sz="0" w:space="0" w:color="auto"/>
                          </w:divBdr>
                          <w:divsChild>
                            <w:div w:id="11471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241284">
      <w:bodyDiv w:val="1"/>
      <w:marLeft w:val="0"/>
      <w:marRight w:val="0"/>
      <w:marTop w:val="0"/>
      <w:marBottom w:val="0"/>
      <w:divBdr>
        <w:top w:val="none" w:sz="0" w:space="0" w:color="auto"/>
        <w:left w:val="none" w:sz="0" w:space="0" w:color="auto"/>
        <w:bottom w:val="none" w:sz="0" w:space="0" w:color="auto"/>
        <w:right w:val="none" w:sz="0" w:space="0" w:color="auto"/>
      </w:divBdr>
      <w:divsChild>
        <w:div w:id="431122525">
          <w:marLeft w:val="0"/>
          <w:marRight w:val="0"/>
          <w:marTop w:val="0"/>
          <w:marBottom w:val="0"/>
          <w:divBdr>
            <w:top w:val="none" w:sz="0" w:space="0" w:color="auto"/>
            <w:left w:val="none" w:sz="0" w:space="0" w:color="auto"/>
            <w:bottom w:val="none" w:sz="0" w:space="0" w:color="auto"/>
            <w:right w:val="none" w:sz="0" w:space="0" w:color="auto"/>
          </w:divBdr>
          <w:divsChild>
            <w:div w:id="495727413">
              <w:marLeft w:val="0"/>
              <w:marRight w:val="0"/>
              <w:marTop w:val="0"/>
              <w:marBottom w:val="0"/>
              <w:divBdr>
                <w:top w:val="none" w:sz="0" w:space="0" w:color="auto"/>
                <w:left w:val="none" w:sz="0" w:space="0" w:color="auto"/>
                <w:bottom w:val="none" w:sz="0" w:space="0" w:color="auto"/>
                <w:right w:val="none" w:sz="0" w:space="0" w:color="auto"/>
              </w:divBdr>
              <w:divsChild>
                <w:div w:id="31620272">
                  <w:marLeft w:val="0"/>
                  <w:marRight w:val="0"/>
                  <w:marTop w:val="0"/>
                  <w:marBottom w:val="0"/>
                  <w:divBdr>
                    <w:top w:val="none" w:sz="0" w:space="0" w:color="auto"/>
                    <w:left w:val="none" w:sz="0" w:space="0" w:color="auto"/>
                    <w:bottom w:val="none" w:sz="0" w:space="0" w:color="auto"/>
                    <w:right w:val="none" w:sz="0" w:space="0" w:color="auto"/>
                  </w:divBdr>
                  <w:divsChild>
                    <w:div w:id="43716899">
                      <w:marLeft w:val="0"/>
                      <w:marRight w:val="0"/>
                      <w:marTop w:val="0"/>
                      <w:marBottom w:val="0"/>
                      <w:divBdr>
                        <w:top w:val="none" w:sz="0" w:space="0" w:color="auto"/>
                        <w:left w:val="none" w:sz="0" w:space="0" w:color="auto"/>
                        <w:bottom w:val="none" w:sz="0" w:space="0" w:color="auto"/>
                        <w:right w:val="none" w:sz="0" w:space="0" w:color="auto"/>
                      </w:divBdr>
                      <w:divsChild>
                        <w:div w:id="1626887841">
                          <w:marLeft w:val="0"/>
                          <w:marRight w:val="0"/>
                          <w:marTop w:val="0"/>
                          <w:marBottom w:val="0"/>
                          <w:divBdr>
                            <w:top w:val="none" w:sz="0" w:space="0" w:color="auto"/>
                            <w:left w:val="none" w:sz="0" w:space="0" w:color="auto"/>
                            <w:bottom w:val="none" w:sz="0" w:space="0" w:color="auto"/>
                            <w:right w:val="none" w:sz="0" w:space="0" w:color="auto"/>
                          </w:divBdr>
                          <w:divsChild>
                            <w:div w:id="22021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06770">
      <w:bodyDiv w:val="1"/>
      <w:marLeft w:val="0"/>
      <w:marRight w:val="0"/>
      <w:marTop w:val="0"/>
      <w:marBottom w:val="0"/>
      <w:divBdr>
        <w:top w:val="none" w:sz="0" w:space="0" w:color="auto"/>
        <w:left w:val="none" w:sz="0" w:space="0" w:color="auto"/>
        <w:bottom w:val="none" w:sz="0" w:space="0" w:color="auto"/>
        <w:right w:val="none" w:sz="0" w:space="0" w:color="auto"/>
      </w:divBdr>
      <w:divsChild>
        <w:div w:id="1971010450">
          <w:marLeft w:val="0"/>
          <w:marRight w:val="0"/>
          <w:marTop w:val="0"/>
          <w:marBottom w:val="0"/>
          <w:divBdr>
            <w:top w:val="none" w:sz="0" w:space="0" w:color="auto"/>
            <w:left w:val="none" w:sz="0" w:space="0" w:color="auto"/>
            <w:bottom w:val="none" w:sz="0" w:space="0" w:color="auto"/>
            <w:right w:val="none" w:sz="0" w:space="0" w:color="auto"/>
          </w:divBdr>
          <w:divsChild>
            <w:div w:id="1662927666">
              <w:marLeft w:val="0"/>
              <w:marRight w:val="0"/>
              <w:marTop w:val="0"/>
              <w:marBottom w:val="0"/>
              <w:divBdr>
                <w:top w:val="none" w:sz="0" w:space="0" w:color="auto"/>
                <w:left w:val="none" w:sz="0" w:space="0" w:color="auto"/>
                <w:bottom w:val="none" w:sz="0" w:space="0" w:color="auto"/>
                <w:right w:val="none" w:sz="0" w:space="0" w:color="auto"/>
              </w:divBdr>
              <w:divsChild>
                <w:div w:id="705956524">
                  <w:marLeft w:val="0"/>
                  <w:marRight w:val="0"/>
                  <w:marTop w:val="0"/>
                  <w:marBottom w:val="0"/>
                  <w:divBdr>
                    <w:top w:val="none" w:sz="0" w:space="0" w:color="auto"/>
                    <w:left w:val="none" w:sz="0" w:space="0" w:color="auto"/>
                    <w:bottom w:val="none" w:sz="0" w:space="0" w:color="auto"/>
                    <w:right w:val="none" w:sz="0" w:space="0" w:color="auto"/>
                  </w:divBdr>
                  <w:divsChild>
                    <w:div w:id="2005544637">
                      <w:marLeft w:val="0"/>
                      <w:marRight w:val="0"/>
                      <w:marTop w:val="0"/>
                      <w:marBottom w:val="0"/>
                      <w:divBdr>
                        <w:top w:val="none" w:sz="0" w:space="0" w:color="auto"/>
                        <w:left w:val="none" w:sz="0" w:space="0" w:color="auto"/>
                        <w:bottom w:val="none" w:sz="0" w:space="0" w:color="auto"/>
                        <w:right w:val="none" w:sz="0" w:space="0" w:color="auto"/>
                      </w:divBdr>
                      <w:divsChild>
                        <w:div w:id="243491149">
                          <w:marLeft w:val="0"/>
                          <w:marRight w:val="0"/>
                          <w:marTop w:val="0"/>
                          <w:marBottom w:val="0"/>
                          <w:divBdr>
                            <w:top w:val="none" w:sz="0" w:space="0" w:color="auto"/>
                            <w:left w:val="none" w:sz="0" w:space="0" w:color="auto"/>
                            <w:bottom w:val="none" w:sz="0" w:space="0" w:color="auto"/>
                            <w:right w:val="none" w:sz="0" w:space="0" w:color="auto"/>
                          </w:divBdr>
                          <w:divsChild>
                            <w:div w:id="19085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690945">
      <w:bodyDiv w:val="1"/>
      <w:marLeft w:val="0"/>
      <w:marRight w:val="0"/>
      <w:marTop w:val="0"/>
      <w:marBottom w:val="0"/>
      <w:divBdr>
        <w:top w:val="none" w:sz="0" w:space="0" w:color="auto"/>
        <w:left w:val="none" w:sz="0" w:space="0" w:color="auto"/>
        <w:bottom w:val="none" w:sz="0" w:space="0" w:color="auto"/>
        <w:right w:val="none" w:sz="0" w:space="0" w:color="auto"/>
      </w:divBdr>
      <w:divsChild>
        <w:div w:id="1441953366">
          <w:marLeft w:val="0"/>
          <w:marRight w:val="0"/>
          <w:marTop w:val="0"/>
          <w:marBottom w:val="0"/>
          <w:divBdr>
            <w:top w:val="none" w:sz="0" w:space="0" w:color="auto"/>
            <w:left w:val="none" w:sz="0" w:space="0" w:color="auto"/>
            <w:bottom w:val="none" w:sz="0" w:space="0" w:color="auto"/>
            <w:right w:val="none" w:sz="0" w:space="0" w:color="auto"/>
          </w:divBdr>
          <w:divsChild>
            <w:div w:id="1240823792">
              <w:marLeft w:val="0"/>
              <w:marRight w:val="0"/>
              <w:marTop w:val="0"/>
              <w:marBottom w:val="0"/>
              <w:divBdr>
                <w:top w:val="none" w:sz="0" w:space="0" w:color="auto"/>
                <w:left w:val="none" w:sz="0" w:space="0" w:color="auto"/>
                <w:bottom w:val="none" w:sz="0" w:space="0" w:color="auto"/>
                <w:right w:val="none" w:sz="0" w:space="0" w:color="auto"/>
              </w:divBdr>
              <w:divsChild>
                <w:div w:id="1003049611">
                  <w:marLeft w:val="0"/>
                  <w:marRight w:val="0"/>
                  <w:marTop w:val="0"/>
                  <w:marBottom w:val="0"/>
                  <w:divBdr>
                    <w:top w:val="none" w:sz="0" w:space="0" w:color="auto"/>
                    <w:left w:val="none" w:sz="0" w:space="0" w:color="auto"/>
                    <w:bottom w:val="none" w:sz="0" w:space="0" w:color="auto"/>
                    <w:right w:val="none" w:sz="0" w:space="0" w:color="auto"/>
                  </w:divBdr>
                  <w:divsChild>
                    <w:div w:id="524442679">
                      <w:marLeft w:val="0"/>
                      <w:marRight w:val="0"/>
                      <w:marTop w:val="0"/>
                      <w:marBottom w:val="0"/>
                      <w:divBdr>
                        <w:top w:val="none" w:sz="0" w:space="0" w:color="auto"/>
                        <w:left w:val="none" w:sz="0" w:space="0" w:color="auto"/>
                        <w:bottom w:val="none" w:sz="0" w:space="0" w:color="auto"/>
                        <w:right w:val="none" w:sz="0" w:space="0" w:color="auto"/>
                      </w:divBdr>
                      <w:divsChild>
                        <w:div w:id="358438875">
                          <w:marLeft w:val="0"/>
                          <w:marRight w:val="0"/>
                          <w:marTop w:val="0"/>
                          <w:marBottom w:val="0"/>
                          <w:divBdr>
                            <w:top w:val="none" w:sz="0" w:space="0" w:color="auto"/>
                            <w:left w:val="none" w:sz="0" w:space="0" w:color="auto"/>
                            <w:bottom w:val="none" w:sz="0" w:space="0" w:color="auto"/>
                            <w:right w:val="none" w:sz="0" w:space="0" w:color="auto"/>
                          </w:divBdr>
                          <w:divsChild>
                            <w:div w:id="162780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hudoc.echr.coe.int/sites/eng/Pages/search.aspx"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hudoc.echr.coe.int/sites/eng/Pages/search.aspx"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hudoc.echr.coe.int/sites/eng/Pages/search.aspx"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AF601E-E34E-4657-83EF-8BE2E89B3704}"/>
</file>

<file path=customXml/itemProps2.xml><?xml version="1.0" encoding="utf-8"?>
<ds:datastoreItem xmlns:ds="http://schemas.openxmlformats.org/officeDocument/2006/customXml" ds:itemID="{E6030F44-926B-4CAF-AF5A-40D57ECFDD2E}"/>
</file>

<file path=customXml/itemProps3.xml><?xml version="1.0" encoding="utf-8"?>
<ds:datastoreItem xmlns:ds="http://schemas.openxmlformats.org/officeDocument/2006/customXml" ds:itemID="{EA38A2A2-AD90-41EA-AE8D-FA8A979C9415}"/>
</file>

<file path=customXml/itemProps4.xml><?xml version="1.0" encoding="utf-8"?>
<ds:datastoreItem xmlns:ds="http://schemas.openxmlformats.org/officeDocument/2006/customXml" ds:itemID="{347EF0CB-7A3E-4444-9CC3-5EAF004AC1C4}"/>
</file>

<file path=docProps/app.xml><?xml version="1.0" encoding="utf-8"?>
<Properties xmlns="http://schemas.openxmlformats.org/officeDocument/2006/extended-properties" xmlns:vt="http://schemas.openxmlformats.org/officeDocument/2006/docPropsVTypes">
  <Template>Normal.dotm</Template>
  <TotalTime>0</TotalTime>
  <Pages>1</Pages>
  <Words>5565</Words>
  <Characters>31725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37216</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2014-11-04T08:53:00Z</dcterms:created>
  <dcterms:modified xsi:type="dcterms:W3CDTF">2014-11-04T08:53:00Z</dcterms:modified>
  <cp:category>ECHR Template</cp:category>
</cp:coreProperties>
</file>