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3.0 -->
  <w:body>
    <w:p w:rsidRPr="007363F3" w:rsidR="0098410D" w:rsidP="007363F3" w14:paraId="61660977" w14:textId="77777777">
      <w:pPr>
        <w:keepNext/>
        <w:keepLines/>
        <w:jc w:val="center"/>
      </w:pPr>
    </w:p>
    <w:p w:rsidRPr="007363F3" w:rsidR="0098410D" w:rsidP="007363F3" w14:paraId="2285F4AC" w14:textId="0D2A3E6A">
      <w:pPr>
        <w:pStyle w:val="DecHTitle"/>
      </w:pPr>
      <w:r w:rsidRPr="007363F3">
        <w:t>FIRST SECTION</w:t>
      </w:r>
    </w:p>
    <w:p w:rsidRPr="007363F3" w:rsidR="008E6217" w:rsidP="007363F3" w14:paraId="0808272E" w14:textId="7D91A276">
      <w:pPr>
        <w:pStyle w:val="JuTitle"/>
      </w:pPr>
      <w:r w:rsidRPr="007363F3">
        <w:rPr>
          <w:color w:val="000000" w:themeColor="text1"/>
        </w:rPr>
        <w:t xml:space="preserve">CASE OF </w:t>
      </w:r>
      <w:r w:rsidRPr="007363F3" w:rsidR="00920651">
        <w:t>ANDRZEJ RUCIŃSKI v. POLAND</w:t>
      </w:r>
    </w:p>
    <w:p w:rsidRPr="007363F3" w:rsidR="00D74888" w:rsidP="007363F3" w14:paraId="46B19193" w14:textId="17F81B55">
      <w:pPr>
        <w:pStyle w:val="ECHRCoverTitle4"/>
      </w:pPr>
      <w:r w:rsidRPr="007363F3">
        <w:t>(</w:t>
      </w:r>
      <w:r w:rsidRPr="007363F3" w:rsidR="00920651">
        <w:t>Application no.</w:t>
      </w:r>
      <w:r w:rsidRPr="007363F3">
        <w:t xml:space="preserve"> </w:t>
      </w:r>
      <w:r w:rsidRPr="007363F3" w:rsidR="00920651">
        <w:t>22716/12</w:t>
      </w:r>
      <w:r w:rsidRPr="007363F3">
        <w:t>)</w:t>
      </w:r>
    </w:p>
    <w:p w:rsidRPr="007363F3" w:rsidR="0098410D" w:rsidP="007363F3" w14:paraId="252A8A59" w14:textId="77777777">
      <w:pPr>
        <w:pStyle w:val="DecHCase"/>
      </w:pPr>
    </w:p>
    <w:p w:rsidRPr="007363F3" w:rsidR="0098410D" w:rsidP="007363F3" w14:paraId="48BC2858" w14:textId="77777777">
      <w:pPr>
        <w:pStyle w:val="DecHCase"/>
      </w:pPr>
    </w:p>
    <w:p w:rsidRPr="007363F3" w:rsidR="00AC4CD4" w:rsidP="007363F3" w14:paraId="756481FF" w14:textId="77777777">
      <w:pPr>
        <w:pStyle w:val="DecHCase"/>
      </w:pPr>
    </w:p>
    <w:p w:rsidRPr="007363F3" w:rsidR="0098410D" w:rsidP="007363F3" w14:paraId="2BDBFF29" w14:textId="77777777">
      <w:pPr>
        <w:pStyle w:val="DecHCase"/>
      </w:pPr>
    </w:p>
    <w:p w:rsidRPr="007363F3" w:rsidR="0098410D" w:rsidP="007363F3" w14:paraId="31D8948C" w14:textId="7B07BE41">
      <w:pPr>
        <w:pStyle w:val="DecHCase"/>
      </w:pPr>
      <w:r w:rsidRPr="007363F3">
        <w:t>JUDGMENT</w:t>
      </w:r>
      <w:r w:rsidRPr="007363F3" w:rsidR="00AC4CD4">
        <w:br/>
      </w:r>
      <w:bookmarkStart w:name="JUDTYPE" w:id="0"/>
      <w:r w:rsidRPr="007363F3" w:rsidR="00920651">
        <w:rPr>
          <w:i/>
        </w:rPr>
        <w:t>(Just satisfaction)</w:t>
      </w:r>
      <w:bookmarkEnd w:id="0"/>
    </w:p>
    <w:p w:rsidRPr="007363F3" w:rsidR="00D7303C" w:rsidP="007363F3" w14:paraId="1F9FAA9E" w14:textId="29D23723">
      <w:pPr>
        <w:pBdr>
          <w:top w:val="single" w:color="auto" w:sz="4" w:space="1"/>
          <w:left w:val="single" w:color="auto" w:sz="4" w:space="4"/>
          <w:bottom w:val="single" w:color="auto" w:sz="4" w:space="1"/>
          <w:right w:val="single" w:color="auto" w:sz="4" w:space="4"/>
        </w:pBdr>
        <w:jc w:val="both"/>
      </w:pPr>
      <w:r w:rsidRPr="007363F3">
        <w:t>Art 41 • Just satisfaction • Award for applicant</w:t>
      </w:r>
      <w:r w:rsidRPr="007363F3" w:rsidR="007363F3">
        <w:t>’</w:t>
      </w:r>
      <w:r w:rsidRPr="007363F3">
        <w:t xml:space="preserve">s pecuniary damage sustained from violation of Art 1 P1 </w:t>
      </w:r>
      <w:r w:rsidRPr="007363F3">
        <w:t>as a result of</w:t>
      </w:r>
      <w:r w:rsidRPr="007363F3">
        <w:t xml:space="preserve"> restrictions on his personal and business property for period of three years in the context of protracted tax proceedings • Claim for non-pecuniary damage dismissed</w:t>
      </w:r>
    </w:p>
    <w:p w:rsidRPr="007363F3" w:rsidR="00D7303C" w:rsidP="007363F3" w14:paraId="20D1CF32" w14:textId="77777777">
      <w:pPr>
        <w:pBdr>
          <w:top w:val="single" w:color="auto" w:sz="4" w:space="1"/>
          <w:left w:val="single" w:color="auto" w:sz="4" w:space="4"/>
          <w:bottom w:val="single" w:color="auto" w:sz="4" w:space="1"/>
          <w:right w:val="single" w:color="auto" w:sz="4" w:space="4"/>
        </w:pBdr>
        <w:jc w:val="center"/>
        <w:rPr>
          <w:sz w:val="20"/>
          <w:szCs w:val="20"/>
        </w:rPr>
      </w:pPr>
    </w:p>
    <w:p w:rsidRPr="007363F3" w:rsidR="00D7303C" w:rsidP="007363F3" w14:paraId="1096E7FB" w14:textId="1705F0ED">
      <w:pPr>
        <w:pBdr>
          <w:top w:val="single" w:color="auto" w:sz="4" w:space="1"/>
          <w:left w:val="single" w:color="auto" w:sz="4" w:space="4"/>
          <w:bottom w:val="single" w:color="auto" w:sz="4" w:space="1"/>
          <w:right w:val="single" w:color="auto" w:sz="4" w:space="4"/>
        </w:pBdr>
        <w:jc w:val="center"/>
        <w:rPr>
          <w:sz w:val="20"/>
          <w:szCs w:val="20"/>
        </w:rPr>
      </w:pPr>
      <w:r w:rsidRPr="007363F3">
        <w:rPr>
          <w:sz w:val="20"/>
          <w:szCs w:val="20"/>
        </w:rPr>
        <w:t>Prepared by the Registry. Does not bind the Court.</w:t>
      </w:r>
    </w:p>
    <w:p w:rsidRPr="007363F3" w:rsidR="00D7303C" w:rsidP="007363F3" w14:paraId="68589EFC" w14:textId="77777777">
      <w:pPr>
        <w:pStyle w:val="DecHCase"/>
      </w:pPr>
    </w:p>
    <w:p w:rsidRPr="007363F3" w:rsidR="0098410D" w:rsidP="007363F3" w14:paraId="5CC791BB" w14:textId="4B6121C0">
      <w:pPr>
        <w:pStyle w:val="DecHCase"/>
      </w:pPr>
      <w:r w:rsidRPr="007363F3">
        <w:t>STRASBOURG</w:t>
      </w:r>
    </w:p>
    <w:p w:rsidRPr="007363F3" w:rsidR="0098410D" w:rsidP="007363F3" w14:paraId="6F2E88B9" w14:textId="66554965">
      <w:pPr>
        <w:pStyle w:val="DecHCase"/>
      </w:pPr>
      <w:r w:rsidRPr="007363F3">
        <w:rPr>
          <w:rFonts w:ascii="Times New Roman" w:hAnsi="Times New Roman" w:cs="Times New Roman"/>
        </w:rPr>
        <w:t>8 October 2026</w:t>
      </w:r>
    </w:p>
    <w:p w:rsidRPr="007363F3" w:rsidR="00AC4CD4" w:rsidP="007363F3" w14:paraId="67402095" w14:textId="77777777">
      <w:pPr>
        <w:pStyle w:val="JuPara"/>
        <w:keepNext/>
        <w:keepLines/>
      </w:pPr>
    </w:p>
    <w:p w:rsidRPr="007363F3" w:rsidR="002422B6" w:rsidP="007363F3" w14:paraId="222EEC3E" w14:textId="046C27FB">
      <w:pPr>
        <w:keepNext/>
        <w:keepLines/>
        <w:rPr>
          <w:i/>
          <w:sz w:val="22"/>
        </w:rPr>
      </w:pPr>
      <w:r w:rsidRPr="007363F3">
        <w:rPr>
          <w:i/>
          <w:sz w:val="22"/>
        </w:rPr>
        <w:t xml:space="preserve">This judgment </w:t>
      </w:r>
      <w:r w:rsidRPr="007363F3" w:rsidR="00920651">
        <w:rPr>
          <w:i/>
          <w:sz w:val="22"/>
        </w:rPr>
        <w:t>will become final in the circumstances set out in Article 44 § 2 of the Convention. It</w:t>
      </w:r>
      <w:r w:rsidRPr="007363F3">
        <w:rPr>
          <w:i/>
          <w:sz w:val="22"/>
        </w:rPr>
        <w:t xml:space="preserve"> may be subject to editorial revision.</w:t>
      </w:r>
    </w:p>
    <w:p w:rsidRPr="007363F3" w:rsidR="0098410D" w:rsidP="007363F3" w14:paraId="7D29C084" w14:textId="77777777">
      <w:pPr>
        <w:keepNext/>
        <w:keepLines/>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363F3" w:rsidR="0098410D" w:rsidP="007363F3" w14:paraId="45CB786C" w14:textId="5F648FAB">
      <w:pPr>
        <w:pStyle w:val="JuCase"/>
        <w:keepNext/>
        <w:keepLines/>
      </w:pPr>
      <w:r w:rsidRPr="007363F3">
        <w:t xml:space="preserve">In the case of </w:t>
      </w:r>
      <w:r w:rsidRPr="007363F3" w:rsidR="00920651">
        <w:t>Andrzej Ruciński v. Poland</w:t>
      </w:r>
      <w:r w:rsidRPr="007363F3">
        <w:t>,</w:t>
      </w:r>
    </w:p>
    <w:p w:rsidRPr="007363F3" w:rsidR="009F4C8F" w:rsidP="007363F3" w14:paraId="29D79370" w14:textId="5129365C">
      <w:pPr>
        <w:pStyle w:val="JuPara"/>
        <w:keepNext/>
        <w:keepLines/>
      </w:pPr>
      <w:r w:rsidRPr="007363F3">
        <w:t>The European Court of Human Rights (</w:t>
      </w:r>
      <w:r w:rsidRPr="007363F3" w:rsidR="00920651">
        <w:t>First Section</w:t>
      </w:r>
      <w:r w:rsidRPr="007363F3">
        <w:t xml:space="preserve">), sitting as a </w:t>
      </w:r>
      <w:r w:rsidRPr="007363F3" w:rsidR="00920651">
        <w:t>Chamber</w:t>
      </w:r>
      <w:r w:rsidRPr="007363F3">
        <w:t xml:space="preserve"> composed of:</w:t>
      </w:r>
    </w:p>
    <w:p w:rsidRPr="007363F3" w:rsidR="00A92625" w:rsidP="007363F3" w14:paraId="4E3FFF1C" w14:textId="0F853C7E">
      <w:pPr>
        <w:pStyle w:val="JuJudges"/>
      </w:pPr>
      <w:r w:rsidRPr="007363F3">
        <w:tab/>
        <w:t>Ivana Jelić</w:t>
      </w:r>
      <w:r w:rsidRPr="007363F3">
        <w:rPr>
          <w:i/>
        </w:rPr>
        <w:t>, President</w:t>
      </w:r>
      <w:r w:rsidRPr="007363F3">
        <w:t>,</w:t>
      </w:r>
      <w:r w:rsidRPr="007363F3">
        <w:br/>
      </w:r>
      <w:r w:rsidRPr="007363F3">
        <w:tab/>
        <w:t>Erik Wennerström,</w:t>
      </w:r>
      <w:r w:rsidRPr="007363F3">
        <w:br/>
      </w:r>
      <w:r w:rsidRPr="007363F3">
        <w:tab/>
        <w:t>Frédéric Krenc,</w:t>
      </w:r>
      <w:r w:rsidRPr="007363F3">
        <w:br/>
      </w:r>
      <w:r w:rsidRPr="007363F3">
        <w:tab/>
        <w:t>Davor Derenčinović,</w:t>
      </w:r>
      <w:r w:rsidRPr="007363F3">
        <w:br/>
      </w:r>
      <w:r w:rsidRPr="007363F3">
        <w:tab/>
        <w:t>Alain Chablais,</w:t>
      </w:r>
      <w:r w:rsidRPr="007363F3">
        <w:br/>
      </w:r>
      <w:r w:rsidRPr="007363F3">
        <w:tab/>
        <w:t>Artūrs Kučs,</w:t>
      </w:r>
      <w:r w:rsidRPr="007363F3">
        <w:br/>
      </w:r>
      <w:r w:rsidRPr="007363F3">
        <w:tab/>
        <w:t>Anna Adamska-Gallant</w:t>
      </w:r>
      <w:r w:rsidRPr="007363F3">
        <w:rPr>
          <w:i/>
        </w:rPr>
        <w:t>, judges</w:t>
      </w:r>
      <w:r w:rsidRPr="007363F3">
        <w:t>,</w:t>
      </w:r>
      <w:r w:rsidRPr="007363F3" w:rsidR="009F4C8F">
        <w:br/>
        <w:t>and</w:t>
      </w:r>
      <w:r w:rsidRPr="007363F3" w:rsidR="005C2C62">
        <w:t xml:space="preserve"> </w:t>
      </w:r>
      <w:r w:rsidRPr="007363F3" w:rsidR="00920651">
        <w:t>Ilse Freiwirth</w:t>
      </w:r>
      <w:r w:rsidRPr="007363F3">
        <w:t xml:space="preserve">, </w:t>
      </w:r>
      <w:r w:rsidRPr="007363F3" w:rsidR="00E744E0">
        <w:rPr>
          <w:i/>
        </w:rPr>
        <w:t xml:space="preserve">Section </w:t>
      </w:r>
      <w:r w:rsidRPr="007363F3" w:rsidR="00E744E0">
        <w:rPr>
          <w:i/>
          <w:iCs/>
        </w:rPr>
        <w:t>Registrar</w:t>
      </w:r>
      <w:r w:rsidRPr="007363F3" w:rsidR="008F2465">
        <w:rPr>
          <w:i/>
        </w:rPr>
        <w:t>,</w:t>
      </w:r>
    </w:p>
    <w:p w:rsidRPr="007363F3" w:rsidR="009F4C8F" w:rsidP="007363F3" w14:paraId="082AC3B2" w14:textId="76040079">
      <w:pPr>
        <w:pStyle w:val="JuPara"/>
      </w:pPr>
      <w:bookmarkStart w:name="ITMARKHavingStart" w:id="1"/>
      <w:bookmarkEnd w:id="1"/>
      <w:r w:rsidRPr="007363F3">
        <w:t xml:space="preserve">Having deliberated in private on </w:t>
      </w:r>
      <w:r w:rsidRPr="007363F3" w:rsidR="00D43A3E">
        <w:t>1</w:t>
      </w:r>
      <w:r w:rsidRPr="007363F3" w:rsidR="00920651">
        <w:t xml:space="preserve"> September 2026</w:t>
      </w:r>
      <w:r w:rsidRPr="007363F3">
        <w:t>,</w:t>
      </w:r>
    </w:p>
    <w:p w:rsidRPr="007363F3" w:rsidR="009F4C8F" w:rsidP="007363F3" w14:paraId="6BA23411" w14:textId="77777777">
      <w:pPr>
        <w:pStyle w:val="JuPara"/>
      </w:pPr>
      <w:r w:rsidRPr="007363F3">
        <w:t>Delivers the following judgment, which was adopted on that date:</w:t>
      </w:r>
    </w:p>
    <w:p w:rsidRPr="007363F3" w:rsidR="00920651" w:rsidP="007363F3" w14:paraId="48B4570D" w14:textId="77777777">
      <w:pPr>
        <w:pStyle w:val="JuHHead"/>
        <w:numPr>
          <w:ilvl w:val="0"/>
          <w:numId w:val="9"/>
        </w:numPr>
      </w:pPr>
      <w:r w:rsidRPr="007363F3">
        <w:t>PROCEDURE</w:t>
      </w:r>
    </w:p>
    <w:p w:rsidRPr="007363F3" w:rsidR="00920651" w:rsidP="007363F3" w14:paraId="497C76B2" w14:textId="3203FF39">
      <w:pPr>
        <w:pStyle w:val="JuPara"/>
      </w:pPr>
      <w:r>
        <w:fldChar w:fldCharType="begin"/>
      </w:r>
      <w:r>
        <w:instrText xml:space="preserve"> SEQ level0 \*arabic \* MERGEFORMAT </w:instrText>
      </w:r>
      <w:r>
        <w:fldChar w:fldCharType="separate"/>
      </w:r>
      <w:r w:rsidRPr="007363F3" w:rsidR="007363F3">
        <w:rPr>
          <w:noProof/>
        </w:rPr>
        <w:t>1</w:t>
      </w:r>
      <w:r w:rsidRPr="007363F3" w:rsidR="007363F3">
        <w:rPr>
          <w:noProof/>
        </w:rPr>
        <w:fldChar w:fldCharType="end"/>
      </w:r>
      <w:r w:rsidRPr="007363F3">
        <w:t>.  The case concerns a lack of compensation for disproportionate interference by the tax authorities with the applicant</w:t>
      </w:r>
      <w:r w:rsidRPr="007363F3" w:rsidR="007363F3">
        <w:t>’</w:t>
      </w:r>
      <w:r w:rsidRPr="007363F3">
        <w:t>s business activity.</w:t>
      </w:r>
    </w:p>
    <w:p w:rsidRPr="007363F3" w:rsidR="00920651" w:rsidP="007363F3" w14:paraId="46E276DC" w14:textId="4D497D00">
      <w:pPr>
        <w:pStyle w:val="JuPara"/>
      </w:pPr>
      <w:r>
        <w:fldChar w:fldCharType="begin"/>
      </w:r>
      <w:r>
        <w:instrText xml:space="preserve"> SEQ level0 \*arabic \* MERGEFORMAT </w:instrText>
      </w:r>
      <w:r>
        <w:fldChar w:fldCharType="separate"/>
      </w:r>
      <w:r w:rsidRPr="007363F3" w:rsidR="007363F3">
        <w:rPr>
          <w:noProof/>
        </w:rPr>
        <w:t>2</w:t>
      </w:r>
      <w:r w:rsidRPr="007363F3" w:rsidR="007363F3">
        <w:rPr>
          <w:noProof/>
        </w:rPr>
        <w:fldChar w:fldCharType="end"/>
      </w:r>
      <w:r w:rsidRPr="007363F3">
        <w:t>.  In a judgment delivered on 5 October 2023 (</w:t>
      </w:r>
      <w:r w:rsidRPr="007363F3">
        <w:rPr>
          <w:i/>
          <w:iCs/>
        </w:rPr>
        <w:t>Andrzej Ruciński v. Poland</w:t>
      </w:r>
      <w:r w:rsidRPr="007363F3">
        <w:t>, no.</w:t>
      </w:r>
      <w:r w:rsidRPr="007363F3" w:rsidR="00F72701">
        <w:t xml:space="preserve"> </w:t>
      </w:r>
      <w:r w:rsidRPr="007363F3">
        <w:t>22716/12, §§ 89-93, 5</w:t>
      </w:r>
      <w:r w:rsidRPr="007363F3" w:rsidR="00F72701">
        <w:t xml:space="preserve"> </w:t>
      </w:r>
      <w:r w:rsidRPr="007363F3">
        <w:t>October 2023, “the principal judgment”), the Court held there had been a violation of Article 1 of Protocol</w:t>
      </w:r>
      <w:r w:rsidRPr="007363F3" w:rsidR="00D7303C">
        <w:t> </w:t>
      </w:r>
      <w:r w:rsidRPr="007363F3">
        <w:t>No.</w:t>
      </w:r>
      <w:r w:rsidRPr="007363F3" w:rsidR="00F72701">
        <w:t> </w:t>
      </w:r>
      <w:r w:rsidRPr="007363F3">
        <w:t>1 to the Convention on account of the absence of any compensation for the pecuniary damage caused to the applicant</w:t>
      </w:r>
      <w:r w:rsidRPr="007363F3" w:rsidR="007363F3">
        <w:t>’</w:t>
      </w:r>
      <w:r w:rsidRPr="007363F3">
        <w:t>s property by the decisions of the State authorities. The Court found that the restrictions imposed on the applicant</w:t>
      </w:r>
      <w:r w:rsidRPr="007363F3" w:rsidR="007363F3">
        <w:t>’</w:t>
      </w:r>
      <w:r w:rsidRPr="007363F3">
        <w:t>s personal and business property constituted an individual and excessive burden on him, upsetting the “fair balance” which should be struck between the protection of the right of property and the requirements of the general interest (see the principal judgment, §§ 89-93).</w:t>
      </w:r>
    </w:p>
    <w:p w:rsidRPr="007363F3" w:rsidR="00920651" w:rsidP="007363F3" w14:paraId="78F6BAD9" w14:textId="0F828984">
      <w:pPr>
        <w:pStyle w:val="JuPara"/>
      </w:pPr>
      <w:r>
        <w:fldChar w:fldCharType="begin"/>
      </w:r>
      <w:r>
        <w:instrText xml:space="preserve"> SEQ level0 \*arabic \* MERGEFORMAT </w:instrText>
      </w:r>
      <w:r>
        <w:fldChar w:fldCharType="separate"/>
      </w:r>
      <w:r w:rsidRPr="007363F3" w:rsidR="007363F3">
        <w:rPr>
          <w:noProof/>
        </w:rPr>
        <w:t>3</w:t>
      </w:r>
      <w:r w:rsidRPr="007363F3" w:rsidR="007363F3">
        <w:rPr>
          <w:noProof/>
        </w:rPr>
        <w:fldChar w:fldCharType="end"/>
      </w:r>
      <w:r w:rsidRPr="007363F3">
        <w:t>.  Under Article</w:t>
      </w:r>
      <w:r w:rsidRPr="007363F3" w:rsidR="00F72701">
        <w:t xml:space="preserve"> </w:t>
      </w:r>
      <w:r w:rsidRPr="007363F3">
        <w:t>41 of the Convention the applicant sought just satisfaction in respect of pecuniary and non-pecuniary damage, as well as costs and expenses.</w:t>
      </w:r>
    </w:p>
    <w:p w:rsidRPr="007363F3" w:rsidR="00920651" w:rsidP="007363F3" w14:paraId="2C6B0A5F" w14:textId="21E5E821">
      <w:pPr>
        <w:pStyle w:val="JuPara"/>
      </w:pPr>
      <w:r>
        <w:fldChar w:fldCharType="begin"/>
      </w:r>
      <w:r>
        <w:instrText xml:space="preserve"> SEQ level0 \*arabic \* MERGEFORMAT </w:instrText>
      </w:r>
      <w:r>
        <w:fldChar w:fldCharType="separate"/>
      </w:r>
      <w:r w:rsidRPr="007363F3" w:rsidR="007363F3">
        <w:rPr>
          <w:noProof/>
        </w:rPr>
        <w:t>4</w:t>
      </w:r>
      <w:r w:rsidRPr="007363F3" w:rsidR="007363F3">
        <w:rPr>
          <w:noProof/>
        </w:rPr>
        <w:fldChar w:fldCharType="end"/>
      </w:r>
      <w:r w:rsidRPr="007363F3">
        <w:t>.  Since the question of the application of Article 41 of the Convention was not ready for decision, the Court reserved it and invited the Government and the applicant to submit, within three months from the date on which the judgment became final, their written observations on that issue and, in particular, to notify the Court of any agreement they might reach (ibid., § 97, and point 3 of the operative provisions).</w:t>
      </w:r>
    </w:p>
    <w:p w:rsidRPr="007363F3" w:rsidR="00920651" w:rsidP="007363F3" w14:paraId="2179BBF3" w14:textId="3C2D955C">
      <w:pPr>
        <w:pStyle w:val="JuPara"/>
      </w:pPr>
      <w:r>
        <w:fldChar w:fldCharType="begin"/>
      </w:r>
      <w:r>
        <w:instrText xml:space="preserve"> SEQ level0 \*arabic \* MERGEFORMAT </w:instrText>
      </w:r>
      <w:r>
        <w:fldChar w:fldCharType="separate"/>
      </w:r>
      <w:r w:rsidRPr="007363F3" w:rsidR="007363F3">
        <w:rPr>
          <w:noProof/>
        </w:rPr>
        <w:t>5</w:t>
      </w:r>
      <w:r w:rsidRPr="007363F3" w:rsidR="007363F3">
        <w:rPr>
          <w:noProof/>
        </w:rPr>
        <w:fldChar w:fldCharType="end"/>
      </w:r>
      <w:r w:rsidRPr="007363F3">
        <w:t>.  The parties did not reach an agreement on just satisfaction within the time allocated for that purpose. The applicant and the Government filed observations, which were transmitted to the other party for comment.</w:t>
      </w:r>
    </w:p>
    <w:p w:rsidRPr="007363F3" w:rsidR="00920651" w:rsidP="007363F3" w14:paraId="562C2029" w14:textId="77777777">
      <w:pPr>
        <w:pStyle w:val="JuHHead"/>
      </w:pPr>
      <w:r w:rsidRPr="007363F3">
        <w:t>THE LAW</w:t>
      </w:r>
    </w:p>
    <w:p w:rsidRPr="007363F3" w:rsidR="00920651" w:rsidP="007363F3" w14:paraId="75DA9849" w14:textId="694F10B5">
      <w:pPr>
        <w:pStyle w:val="JuPara"/>
      </w:pPr>
      <w:r>
        <w:fldChar w:fldCharType="begin"/>
      </w:r>
      <w:r>
        <w:instrText xml:space="preserve"> SEQ level0 \*arabic \* MERGEFORMAT </w:instrText>
      </w:r>
      <w:r>
        <w:fldChar w:fldCharType="separate"/>
      </w:r>
      <w:r w:rsidRPr="007363F3" w:rsidR="007363F3">
        <w:rPr>
          <w:noProof/>
        </w:rPr>
        <w:t>6</w:t>
      </w:r>
      <w:r w:rsidRPr="007363F3" w:rsidR="007363F3">
        <w:rPr>
          <w:noProof/>
        </w:rPr>
        <w:fldChar w:fldCharType="end"/>
      </w:r>
      <w:r w:rsidRPr="007363F3">
        <w:t>.  Article</w:t>
      </w:r>
      <w:r w:rsidRPr="007363F3">
        <w:t xml:space="preserve"> </w:t>
      </w:r>
      <w:r w:rsidRPr="007363F3">
        <w:t>41 of the Convention provides:</w:t>
      </w:r>
    </w:p>
    <w:p w:rsidRPr="007363F3" w:rsidR="00920651" w:rsidP="007363F3" w14:paraId="5E112F17" w14:textId="77777777">
      <w:pPr>
        <w:pStyle w:val="JuQuot"/>
      </w:pPr>
      <w:r w:rsidRPr="007363F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363F3" w:rsidR="00920651" w:rsidP="007363F3" w14:paraId="544867E3" w14:textId="77777777">
      <w:pPr>
        <w:pStyle w:val="JuHIRoman"/>
      </w:pPr>
      <w:r w:rsidRPr="007363F3">
        <w:t>DAMAGE</w:t>
      </w:r>
    </w:p>
    <w:p w:rsidRPr="007363F3" w:rsidR="00920651" w:rsidP="007363F3" w14:paraId="78C643D5" w14:textId="77777777">
      <w:pPr>
        <w:pStyle w:val="JuHA"/>
      </w:pPr>
      <w:r w:rsidRPr="007363F3">
        <w:t>Pecuniary damage</w:t>
      </w:r>
    </w:p>
    <w:p w:rsidRPr="007363F3" w:rsidR="00920651" w:rsidP="007363F3" w14:paraId="69253072" w14:textId="07E4FC7B">
      <w:pPr>
        <w:pStyle w:val="JuH1"/>
      </w:pPr>
      <w:r w:rsidRPr="007363F3">
        <w:t>The parties</w:t>
      </w:r>
      <w:r w:rsidRPr="007363F3" w:rsidR="007363F3">
        <w:t>’</w:t>
      </w:r>
      <w:r w:rsidRPr="007363F3">
        <w:t xml:space="preserve"> submissions</w:t>
      </w:r>
    </w:p>
    <w:p w:rsidRPr="007363F3" w:rsidR="00920651" w:rsidP="007363F3" w14:paraId="52C07F2C" w14:textId="777636F0">
      <w:pPr>
        <w:pStyle w:val="JuPara"/>
      </w:pPr>
      <w:r>
        <w:fldChar w:fldCharType="begin"/>
      </w:r>
      <w:r>
        <w:instrText xml:space="preserve"> SEQ level0 \*arabic \* MERGEFORMAT </w:instrText>
      </w:r>
      <w:r>
        <w:fldChar w:fldCharType="separate"/>
      </w:r>
      <w:r w:rsidRPr="007363F3" w:rsidR="007363F3">
        <w:rPr>
          <w:noProof/>
        </w:rPr>
        <w:t>7</w:t>
      </w:r>
      <w:r w:rsidRPr="007363F3" w:rsidR="007363F3">
        <w:rPr>
          <w:noProof/>
        </w:rPr>
        <w:fldChar w:fldCharType="end"/>
      </w:r>
      <w:r w:rsidRPr="007363F3">
        <w:t>.  In his initial submissions, the applicant claimed 760,000 Polish zlotys (PLN – which he calculated as amounting to 183,132 euros (EUR) on the day he lodged his complaint with the Court) in respect of pecuniary damage. He explained that that amount was equivalent to the losses he had suffered while unable to operate his business owing to the impugned seizure measures, between 19 May 2003 and 1 June 2006. It was also in line with the award made by the first-instance court in civil proceedings.</w:t>
      </w:r>
    </w:p>
    <w:p w:rsidRPr="007363F3" w:rsidR="00920651" w:rsidP="007363F3" w14:paraId="3DDB9B31" w14:textId="0047A347">
      <w:pPr>
        <w:pStyle w:val="JuPara"/>
      </w:pPr>
      <w:r>
        <w:fldChar w:fldCharType="begin"/>
      </w:r>
      <w:r>
        <w:instrText xml:space="preserve"> SEQ level0 \*arabic \* MERGEFORMAT </w:instrText>
      </w:r>
      <w:r>
        <w:fldChar w:fldCharType="separate"/>
      </w:r>
      <w:bookmarkStart w:name="paragraph00008" w:id="2"/>
      <w:r w:rsidRPr="007363F3" w:rsidR="007363F3">
        <w:rPr>
          <w:noProof/>
        </w:rPr>
        <w:t>8</w:t>
      </w:r>
      <w:bookmarkEnd w:id="2"/>
      <w:r>
        <w:fldChar w:fldCharType="end"/>
      </w:r>
      <w:r w:rsidRPr="007363F3">
        <w:t>.  In his observations submitted after the delivery of the principal judgment, the applicant sought a total amount of PLN 1,161,143 (approximately EUR 267,600). In his opinion, that sum represented the initial amount as claimed, adjusted to take account of inflation between June 2006 and February 2024.</w:t>
      </w:r>
    </w:p>
    <w:p w:rsidRPr="007363F3" w:rsidR="00920651" w:rsidP="007363F3" w14:paraId="2CDD8955" w14:textId="78014DEE">
      <w:pPr>
        <w:pStyle w:val="JuPara"/>
        <w:tabs>
          <w:tab w:val="left" w:pos="1491"/>
        </w:tabs>
      </w:pPr>
      <w:r>
        <w:fldChar w:fldCharType="begin"/>
      </w:r>
      <w:r>
        <w:instrText xml:space="preserve"> SEQ level0 \*arabic \* MERGEFORMAT </w:instrText>
      </w:r>
      <w:r>
        <w:fldChar w:fldCharType="separate"/>
      </w:r>
      <w:bookmarkStart w:name="paragraph00009" w:id="3"/>
      <w:r w:rsidRPr="007363F3" w:rsidR="007363F3">
        <w:rPr>
          <w:noProof/>
        </w:rPr>
        <w:t>9</w:t>
      </w:r>
      <w:bookmarkEnd w:id="3"/>
      <w:r>
        <w:fldChar w:fldCharType="end"/>
      </w:r>
      <w:r w:rsidRPr="007363F3">
        <w:t>.  The Government pointed to the decisions of the higher domestic courts which had found no legal grounds on which to award the applicant compensation from the State in respect of financial losses allegedly suffered by him. They stressed that the method of calculation relied upon by the applicant (and accepted by the Szczecin Regional Court in its decision of 27 April 2010) was hypothetical, based on flawed assumptions and disregarded business fluctuations. They also emphasised that the regulations in respect of tobacco products had changed on 1 May 2004 owing to Poland</w:t>
      </w:r>
      <w:r w:rsidRPr="007363F3" w:rsidR="007363F3">
        <w:t>’</w:t>
      </w:r>
      <w:r w:rsidRPr="007363F3">
        <w:t>s accession to the European Union, and that those changes, which had directly affected the applicant</w:t>
      </w:r>
      <w:r w:rsidRPr="007363F3" w:rsidR="007363F3">
        <w:t>’</w:t>
      </w:r>
      <w:r w:rsidRPr="007363F3">
        <w:t>s business, had not been taken into account by the first</w:t>
      </w:r>
      <w:r w:rsidRPr="007363F3" w:rsidR="0036489C">
        <w:noBreakHyphen/>
      </w:r>
      <w:r w:rsidRPr="007363F3">
        <w:t>instance court in its decision, which had ultimately been quashed. Lastly, the Government pointed out that the applicant</w:t>
      </w:r>
      <w:r w:rsidRPr="007363F3" w:rsidR="007363F3">
        <w:t>’</w:t>
      </w:r>
      <w:r w:rsidRPr="007363F3">
        <w:t>s business had ceased trading as of 29</w:t>
      </w:r>
      <w:r w:rsidRPr="007363F3">
        <w:t xml:space="preserve"> </w:t>
      </w:r>
      <w:r w:rsidRPr="007363F3">
        <w:t>March 2017 (with reference to the relevant tax authority data).</w:t>
      </w:r>
    </w:p>
    <w:p w:rsidRPr="007363F3" w:rsidR="00920651" w:rsidP="007363F3" w14:paraId="49EA563F" w14:textId="556D53D5">
      <w:pPr>
        <w:pStyle w:val="JuH1"/>
      </w:pPr>
      <w:r w:rsidRPr="007363F3">
        <w:t>The Court</w:t>
      </w:r>
      <w:r w:rsidRPr="007363F3" w:rsidR="007363F3">
        <w:t>’</w:t>
      </w:r>
      <w:r w:rsidRPr="007363F3">
        <w:t>s assessment</w:t>
      </w:r>
    </w:p>
    <w:p w:rsidRPr="007363F3" w:rsidR="00920651" w:rsidP="007363F3" w14:paraId="3DFB9CF5" w14:textId="58F2ACA4">
      <w:pPr>
        <w:pStyle w:val="JuPara"/>
        <w:rPr>
          <w:i/>
          <w:iCs/>
        </w:rPr>
      </w:pPr>
      <w:r>
        <w:fldChar w:fldCharType="begin"/>
      </w:r>
      <w:r>
        <w:instrText xml:space="preserve"> SEQ level0 \*arabic \* MERGEFORMAT </w:instrText>
      </w:r>
      <w:r>
        <w:fldChar w:fldCharType="separate"/>
      </w:r>
      <w:r w:rsidRPr="007363F3" w:rsidR="007363F3">
        <w:rPr>
          <w:noProof/>
        </w:rPr>
        <w:t>10</w:t>
      </w:r>
      <w:r w:rsidRPr="007363F3" w:rsidR="007363F3">
        <w:rPr>
          <w:noProof/>
        </w:rPr>
        <w:fldChar w:fldCharType="end"/>
      </w:r>
      <w:r w:rsidRPr="007363F3">
        <w:t>.  Once a violation of a Convention provision has been found, the Court must ascertain if a direct causal link may be established between that violation and the damage alleged by the applicant. As regards claims for pecuniary losses, the Court</w:t>
      </w:r>
      <w:r w:rsidRPr="007363F3" w:rsidR="007363F3">
        <w:t>’</w:t>
      </w:r>
      <w:r w:rsidRPr="007363F3">
        <w:t xml:space="preserve">s case-law establishes that there must be a clear causal connection between the damage claimed by the applicant and the violation of the Convention and that this may, when appropriate, include compensation in respect of loss of earnings (see, among other authorities, </w:t>
      </w:r>
      <w:r w:rsidRPr="007363F3">
        <w:rPr>
          <w:i/>
        </w:rPr>
        <w:t>Barberà</w:t>
      </w:r>
      <w:r w:rsidRPr="007363F3">
        <w:rPr>
          <w:i/>
        </w:rPr>
        <w:t xml:space="preserve">, </w:t>
      </w:r>
      <w:r w:rsidRPr="007363F3">
        <w:rPr>
          <w:i/>
        </w:rPr>
        <w:t>Messegué</w:t>
      </w:r>
      <w:r w:rsidRPr="007363F3">
        <w:rPr>
          <w:i/>
        </w:rPr>
        <w:t xml:space="preserve"> </w:t>
      </w:r>
      <w:r w:rsidRPr="007363F3">
        <w:rPr>
          <w:i/>
        </w:rPr>
        <w:t xml:space="preserve">and </w:t>
      </w:r>
      <w:r w:rsidRPr="007363F3">
        <w:rPr>
          <w:i/>
        </w:rPr>
        <w:t>Jabardo</w:t>
      </w:r>
      <w:r w:rsidRPr="007363F3">
        <w:rPr>
          <w:i/>
        </w:rPr>
        <w:t xml:space="preserve"> v. Spain </w:t>
      </w:r>
      <w:r w:rsidRPr="007363F3">
        <w:t xml:space="preserve">(Article 50), 13 June 1994, </w:t>
      </w:r>
      <w:r w:rsidRPr="007363F3">
        <w:rPr>
          <w:rFonts w:ascii="Times New Roman" w:hAnsi="Times New Roman" w:cs="Times New Roman"/>
        </w:rPr>
        <w:t>§§</w:t>
      </w:r>
      <w:r w:rsidRPr="007363F3">
        <w:t> 16</w:t>
      </w:r>
      <w:r w:rsidRPr="007363F3">
        <w:noBreakHyphen/>
        <w:t>20, Series A no. 285</w:t>
      </w:r>
      <w:r w:rsidRPr="007363F3">
        <w:noBreakHyphen/>
        <w:t xml:space="preserve">C, and </w:t>
      </w:r>
      <w:r w:rsidRPr="007363F3">
        <w:rPr>
          <w:i/>
        </w:rPr>
        <w:t>Stretch v. the United Kingdom</w:t>
      </w:r>
      <w:r w:rsidRPr="007363F3">
        <w:t>,</w:t>
      </w:r>
      <w:r w:rsidRPr="007363F3">
        <w:rPr>
          <w:i/>
        </w:rPr>
        <w:t xml:space="preserve"> </w:t>
      </w:r>
      <w:r w:rsidRPr="007363F3">
        <w:t>no.</w:t>
      </w:r>
      <w:r w:rsidRPr="007363F3">
        <w:t xml:space="preserve"> </w:t>
      </w:r>
      <w:r w:rsidRPr="007363F3">
        <w:t>44277/98, § 47, 24 June 2003). Proof of pecuniary damage, the amount claimed in respect thereof and the causal link between the damage and the violations found must, in principle, be adduced by the applicant</w:t>
      </w:r>
      <w:bookmarkStart w:name="_cl16737ENDROIT" w:id="4"/>
      <w:bookmarkStart w:name="_cl4883ENDROIT" w:id="5"/>
      <w:bookmarkStart w:name="_cl19875ENDROIT" w:id="6"/>
      <w:bookmarkEnd w:id="4"/>
      <w:bookmarkEnd w:id="5"/>
      <w:r w:rsidRPr="007363F3">
        <w:t xml:space="preserve"> (see </w:t>
      </w:r>
      <w:r w:rsidRPr="007363F3">
        <w:rPr>
          <w:i/>
          <w:iCs/>
        </w:rPr>
        <w:t xml:space="preserve">Dumitru v. Romania </w:t>
      </w:r>
      <w:r w:rsidRPr="007363F3">
        <w:t>(just satisfaction), no.</w:t>
      </w:r>
      <w:r w:rsidRPr="007363F3">
        <w:t xml:space="preserve"> </w:t>
      </w:r>
      <w:r w:rsidRPr="007363F3">
        <w:t>4710/04,</w:t>
      </w:r>
      <w:r w:rsidRPr="007363F3">
        <w:rPr>
          <w:i/>
          <w:iCs/>
        </w:rPr>
        <w:t xml:space="preserve"> </w:t>
      </w:r>
      <w:r w:rsidRPr="007363F3">
        <w:t xml:space="preserve">§ 11, 3 June 2014, and </w:t>
      </w:r>
      <w:r w:rsidRPr="007363F3">
        <w:rPr>
          <w:i/>
          <w:iCs/>
        </w:rPr>
        <w:t>Zhidov</w:t>
      </w:r>
      <w:r w:rsidRPr="007363F3">
        <w:rPr>
          <w:i/>
          <w:iCs/>
        </w:rPr>
        <w:t xml:space="preserve"> and Others v. Russi</w:t>
      </w:r>
      <w:bookmarkEnd w:id="6"/>
      <w:r w:rsidRPr="007363F3">
        <w:rPr>
          <w:i/>
          <w:iCs/>
        </w:rPr>
        <w:t>a</w:t>
      </w:r>
      <w:r w:rsidRPr="007363F3">
        <w:t xml:space="preserve"> (just satisfaction), nos. 54490/10 and 3 others, § 19, 17 March 2020)</w:t>
      </w:r>
      <w:r w:rsidRPr="007363F3">
        <w:rPr>
          <w:i/>
          <w:iCs/>
        </w:rPr>
        <w:t>.</w:t>
      </w:r>
    </w:p>
    <w:p w:rsidRPr="007363F3" w:rsidR="00920651" w:rsidP="007363F3" w14:paraId="78C13652" w14:textId="77969172">
      <w:pPr>
        <w:pStyle w:val="JuPara"/>
      </w:pPr>
      <w:r>
        <w:fldChar w:fldCharType="begin"/>
      </w:r>
      <w:r>
        <w:instrText xml:space="preserve"> SEQ level0 \*arabic \* MERGEFORMAT </w:instrText>
      </w:r>
      <w:r>
        <w:fldChar w:fldCharType="separate"/>
      </w:r>
      <w:r w:rsidRPr="007363F3" w:rsidR="007363F3">
        <w:rPr>
          <w:noProof/>
        </w:rPr>
        <w:t>11</w:t>
      </w:r>
      <w:r w:rsidRPr="007363F3" w:rsidR="007363F3">
        <w:rPr>
          <w:noProof/>
        </w:rPr>
        <w:fldChar w:fldCharType="end"/>
      </w:r>
      <w:r w:rsidRPr="007363F3">
        <w:t>.  A precise calculation of the sums necessary to make complete reparation (</w:t>
      </w:r>
      <w:r w:rsidRPr="007363F3">
        <w:rPr>
          <w:i/>
          <w:iCs/>
        </w:rPr>
        <w:t>restitutio in integrum</w:t>
      </w:r>
      <w:r w:rsidRPr="007363F3">
        <w:t>) in respect of pecuniary losses suffered by applicants may be</w:t>
      </w:r>
      <w:bookmarkStart w:name="_cl20801" w:id="7"/>
      <w:r w:rsidRPr="007363F3">
        <w:t xml:space="preserve"> </w:t>
      </w:r>
      <w:bookmarkEnd w:id="7"/>
      <w:r w:rsidRPr="007363F3">
        <w:t xml:space="preserve">prevented by the inherently uncertain character of the damage flowing from a violation. An award may still be made notwithstanding the large number of imponderables involved in the assessment of future losses, though the greater the lapse of time involved, the more uncertain the link becomes between the breach and the damage. The question to be decided in such cases is the level of just satisfaction, in respect of both past and future pecuniary losses, which it is necessary to award each applicant, the matter to be determined by the Court at its discretion, having regard to what is equitable (see </w:t>
      </w:r>
      <w:r w:rsidRPr="007363F3">
        <w:rPr>
          <w:i/>
          <w:iCs/>
        </w:rPr>
        <w:t>Kurić</w:t>
      </w:r>
      <w:r w:rsidRPr="007363F3">
        <w:rPr>
          <w:i/>
          <w:iCs/>
        </w:rPr>
        <w:t xml:space="preserve"> and Others v. Slovenia </w:t>
      </w:r>
      <w:r w:rsidRPr="007363F3">
        <w:t>(just</w:t>
      </w:r>
      <w:r w:rsidRPr="007363F3" w:rsidR="00D7303C">
        <w:t xml:space="preserve"> </w:t>
      </w:r>
      <w:r w:rsidRPr="007363F3">
        <w:t>satisfaction) [GC], no. 26828/06, § 82, ECHR 2014). Moreover, where the case concerns the running of a business, any loss of profit is difficult to quantify owing to the risks inherent in business and a degree of uncertainty as to the use and the profitability of the assets acquired (</w:t>
      </w:r>
      <w:bookmarkStart w:name="_cl44094" w:id="8"/>
      <w:r w:rsidRPr="007363F3">
        <w:t xml:space="preserve">see </w:t>
      </w:r>
      <w:r w:rsidRPr="007363F3">
        <w:rPr>
          <w:i/>
          <w:iCs/>
        </w:rPr>
        <w:t xml:space="preserve">Nikolay Kostadinov v. Bulgaria </w:t>
      </w:r>
      <w:r w:rsidRPr="007363F3">
        <w:t>(just satisfaction)</w:t>
      </w:r>
      <w:bookmarkEnd w:id="8"/>
      <w:r w:rsidRPr="007363F3">
        <w:t>, no. 21743/15, § 28, 2 April 2024).</w:t>
      </w:r>
    </w:p>
    <w:bookmarkStart w:name="To" w:id="9"/>
    <w:p w:rsidRPr="007363F3" w:rsidR="00920651" w:rsidP="007363F3" w14:paraId="274DE765" w14:textId="30452CAF">
      <w:pPr>
        <w:pStyle w:val="JuPara"/>
        <w:tabs>
          <w:tab w:val="left" w:pos="5844"/>
        </w:tabs>
      </w:pPr>
      <w:r w:rsidRPr="007363F3">
        <w:fldChar w:fldCharType="begin"/>
      </w:r>
      <w:r w:rsidRPr="007363F3">
        <w:instrText xml:space="preserve"> SEQ level0 \*arabic \* MERGEFORMAT </w:instrText>
      </w:r>
      <w:r w:rsidRPr="007363F3">
        <w:fldChar w:fldCharType="separate"/>
      </w:r>
      <w:r w:rsidRPr="007363F3" w:rsidR="007363F3">
        <w:rPr>
          <w:noProof/>
        </w:rPr>
        <w:t>12</w:t>
      </w:r>
      <w:r w:rsidRPr="007363F3">
        <w:fldChar w:fldCharType="end"/>
      </w:r>
      <w:bookmarkEnd w:id="9"/>
      <w:r w:rsidRPr="007363F3">
        <w:t>.  Turning to the present case, the Court notes that it concerns a violation of the peaceful enjoyment of possessions where the interference with the applicant</w:t>
      </w:r>
      <w:r w:rsidRPr="007363F3" w:rsidR="007363F3">
        <w:t>’</w:t>
      </w:r>
      <w:r w:rsidRPr="007363F3">
        <w:t xml:space="preserve">s possessions was a control of use rather than a deprivation of possessions (see the principal judgment, §§ 67 and 85, and </w:t>
      </w:r>
      <w:bookmarkStart w:name="_cl40992" w:id="10"/>
      <w:r w:rsidRPr="007363F3">
        <w:rPr>
          <w:i/>
          <w:iCs/>
        </w:rPr>
        <w:t>Könyv</w:t>
      </w:r>
      <w:r w:rsidRPr="007363F3">
        <w:rPr>
          <w:i/>
          <w:iCs/>
        </w:rPr>
        <w:t>-Tár Kft and</w:t>
      </w:r>
      <w:r w:rsidRPr="007363F3" w:rsidR="00D7303C">
        <w:rPr>
          <w:i/>
          <w:iCs/>
        </w:rPr>
        <w:t> </w:t>
      </w:r>
      <w:r w:rsidRPr="007363F3">
        <w:rPr>
          <w:i/>
          <w:iCs/>
        </w:rPr>
        <w:t>Others v. Hungary</w:t>
      </w:r>
      <w:bookmarkEnd w:id="10"/>
      <w:r w:rsidRPr="007363F3">
        <w:t xml:space="preserve"> (just satisfaction), no. 21623/13, § 25, 5 October 2021). The principal judgment concluded that the limitations on the applicant</w:t>
      </w:r>
      <w:r w:rsidRPr="007363F3" w:rsidR="007363F3">
        <w:t>’</w:t>
      </w:r>
      <w:r w:rsidRPr="007363F3">
        <w:t>s right to use his possessions had been disproportionate, even if the legitimate aim pursued and the margin of appreciation afforded to States by the second paragraph of Article</w:t>
      </w:r>
      <w:r w:rsidRPr="007363F3" w:rsidR="00126664">
        <w:t xml:space="preserve"> </w:t>
      </w:r>
      <w:r w:rsidRPr="007363F3">
        <w:t>1 of Protocol No. 1 allowed such limitations in principle (see the principal judgment, §§</w:t>
      </w:r>
      <w:r w:rsidRPr="007363F3" w:rsidR="00126664">
        <w:t xml:space="preserve"> </w:t>
      </w:r>
      <w:r w:rsidRPr="007363F3">
        <w:t xml:space="preserve">88 and 92). Therefore, the case-law on compensation for control of use of property in the “public interest” is applicable (see </w:t>
      </w:r>
      <w:r w:rsidRPr="007363F3">
        <w:rPr>
          <w:i/>
          <w:iCs/>
        </w:rPr>
        <w:t>Könyv</w:t>
      </w:r>
      <w:r w:rsidRPr="007363F3">
        <w:rPr>
          <w:i/>
          <w:iCs/>
        </w:rPr>
        <w:t>-Tár Kft and Others</w:t>
      </w:r>
      <w:r w:rsidRPr="007363F3">
        <w:t>, cited above, § 27, with further references).</w:t>
      </w:r>
    </w:p>
    <w:p w:rsidRPr="007363F3" w:rsidR="00920651" w:rsidP="007363F3" w14:paraId="72B2CE0D" w14:textId="6F2B590E">
      <w:pPr>
        <w:pStyle w:val="JuPara"/>
        <w:tabs>
          <w:tab w:val="left" w:pos="1507"/>
        </w:tabs>
      </w:pPr>
      <w:r>
        <w:fldChar w:fldCharType="begin"/>
      </w:r>
      <w:r>
        <w:instrText xml:space="preserve"> SEQ level0 \*arabic \* MERGEFORMAT </w:instrText>
      </w:r>
      <w:r>
        <w:fldChar w:fldCharType="separate"/>
      </w:r>
      <w:r w:rsidRPr="007363F3" w:rsidR="007363F3">
        <w:rPr>
          <w:noProof/>
        </w:rPr>
        <w:t>13</w:t>
      </w:r>
      <w:r w:rsidRPr="007363F3" w:rsidR="007363F3">
        <w:rPr>
          <w:noProof/>
        </w:rPr>
        <w:fldChar w:fldCharType="end"/>
      </w:r>
      <w:r w:rsidRPr="007363F3">
        <w:t>.  The only evaluation of the applicant</w:t>
      </w:r>
      <w:r w:rsidRPr="007363F3" w:rsidR="007363F3">
        <w:t>’</w:t>
      </w:r>
      <w:r w:rsidRPr="007363F3">
        <w:t xml:space="preserve">s pecuniary losses was prepared by a court-appointed expert in 2010 </w:t>
      </w:r>
      <w:r w:rsidRPr="007363F3">
        <w:t>in the course of</w:t>
      </w:r>
      <w:r w:rsidRPr="007363F3">
        <w:t xml:space="preserve"> the proceedings at the Szczecin Regional Court (see the principal judgment, § 24). Despite the quashing of the regional court</w:t>
      </w:r>
      <w:r w:rsidRPr="007363F3" w:rsidR="007363F3">
        <w:t>’</w:t>
      </w:r>
      <w:r w:rsidRPr="007363F3">
        <w:t xml:space="preserve">s judgment by the appellate court, the finding of fact made by the regional court indicated that the applicant had suffered pecuniary damage </w:t>
      </w:r>
      <w:r w:rsidRPr="007363F3">
        <w:t>as a result of</w:t>
      </w:r>
      <w:r w:rsidRPr="007363F3">
        <w:t xml:space="preserve"> the actions by State authorities (ibid., § 90). At the same time, the Court notes the Government</w:t>
      </w:r>
      <w:r w:rsidRPr="007363F3" w:rsidR="007363F3">
        <w:t>’</w:t>
      </w:r>
      <w:r w:rsidRPr="007363F3">
        <w:t xml:space="preserve">s counter arguments to the effect that that evaluation had been based on a large degree of probability, </w:t>
      </w:r>
      <w:r w:rsidRPr="007363F3">
        <w:t xml:space="preserve">without taking into account important fluctuations of business and, in particular, new regulations in place after 1 May 2004 which directly affected the tobacco trade (see paragraph </w:t>
      </w:r>
      <w:r w:rsidRPr="007363F3">
        <w:fldChar w:fldCharType="begin"/>
      </w:r>
      <w:r w:rsidRPr="007363F3">
        <w:instrText xml:space="preserve"> REF paragraph00009 \h  \* CharFormat </w:instrText>
      </w:r>
      <w:r w:rsidRPr="007363F3">
        <w:fldChar w:fldCharType="separate"/>
      </w:r>
      <w:r w:rsidRPr="007363F3" w:rsidR="007363F3">
        <w:t>9</w:t>
      </w:r>
      <w:r w:rsidRPr="007363F3">
        <w:fldChar w:fldCharType="end"/>
      </w:r>
      <w:r w:rsidRPr="007363F3">
        <w:t xml:space="preserve"> above, and compare </w:t>
      </w:r>
      <w:r w:rsidRPr="007363F3">
        <w:rPr>
          <w:i/>
          <w:iCs/>
        </w:rPr>
        <w:t>Könyv</w:t>
      </w:r>
      <w:r w:rsidRPr="007363F3">
        <w:rPr>
          <w:i/>
          <w:iCs/>
        </w:rPr>
        <w:t>-Tár Kft and</w:t>
      </w:r>
      <w:r w:rsidRPr="007363F3" w:rsidR="00D7303C">
        <w:rPr>
          <w:i/>
          <w:iCs/>
        </w:rPr>
        <w:t> </w:t>
      </w:r>
      <w:r w:rsidRPr="007363F3">
        <w:rPr>
          <w:i/>
          <w:iCs/>
        </w:rPr>
        <w:t>Others</w:t>
      </w:r>
      <w:r w:rsidRPr="007363F3">
        <w:t xml:space="preserve">, cited above, §§ 31 and 33). Lastly, the Court notes that an award for pecuniary damage under Article 41 of the Convention is intended to put the applicant, as far as possible, in the position he would have been in had the breach not occurred, which implies that the award could be increased by a percentage reflecting national economic conditions, such as levels of inflation and rates of interest, in order to compensate for loss of value of the award over time, as claimed by the applicant (see paragraph </w:t>
      </w:r>
      <w:r w:rsidRPr="007363F3">
        <w:fldChar w:fldCharType="begin"/>
      </w:r>
      <w:r w:rsidRPr="007363F3">
        <w:instrText xml:space="preserve"> REF paragraph00008 \h  \* CharFormat </w:instrText>
      </w:r>
      <w:r w:rsidRPr="007363F3">
        <w:fldChar w:fldCharType="separate"/>
      </w:r>
      <w:r w:rsidRPr="007363F3" w:rsidR="007363F3">
        <w:t>8</w:t>
      </w:r>
      <w:r w:rsidRPr="007363F3">
        <w:fldChar w:fldCharType="end"/>
      </w:r>
      <w:r w:rsidRPr="007363F3">
        <w:t xml:space="preserve"> above; see also </w:t>
      </w:r>
      <w:r w:rsidRPr="007363F3">
        <w:rPr>
          <w:i/>
          <w:iCs/>
        </w:rPr>
        <w:t>Amato</w:t>
      </w:r>
      <w:r w:rsidRPr="007363F3" w:rsidR="00D7303C">
        <w:rPr>
          <w:i/>
          <w:iCs/>
        </w:rPr>
        <w:t> </w:t>
      </w:r>
      <w:r w:rsidRPr="007363F3">
        <w:rPr>
          <w:i/>
          <w:iCs/>
        </w:rPr>
        <w:t>Gauci v. Malta</w:t>
      </w:r>
      <w:r w:rsidRPr="007363F3">
        <w:t>, no. 47045/06, § 78, 15 September 2009).</w:t>
      </w:r>
    </w:p>
    <w:p w:rsidRPr="007363F3" w:rsidR="00920651" w:rsidP="007363F3" w14:paraId="5097CA0C" w14:textId="5D4A272A">
      <w:pPr>
        <w:pStyle w:val="JuPara"/>
      </w:pPr>
      <w:r>
        <w:fldChar w:fldCharType="begin"/>
      </w:r>
      <w:r>
        <w:instrText xml:space="preserve"> SEQ level0 \*arabic \* MERGEFORMAT </w:instrText>
      </w:r>
      <w:r>
        <w:fldChar w:fldCharType="separate"/>
      </w:r>
      <w:r w:rsidRPr="007363F3" w:rsidR="007363F3">
        <w:rPr>
          <w:noProof/>
        </w:rPr>
        <w:t>14</w:t>
      </w:r>
      <w:r w:rsidRPr="007363F3" w:rsidR="007363F3">
        <w:rPr>
          <w:noProof/>
        </w:rPr>
        <w:fldChar w:fldCharType="end"/>
      </w:r>
      <w:r w:rsidRPr="007363F3">
        <w:t>.  Having regard to the parties</w:t>
      </w:r>
      <w:r w:rsidRPr="007363F3" w:rsidR="007363F3">
        <w:t>’</w:t>
      </w:r>
      <w:r w:rsidRPr="007363F3">
        <w:t xml:space="preserve"> submissions and the above-mentioned considerations, the Court, exercising its discretion to determine what is equitable in such circumstances, awards the applicant EUR 80,000 under this head.</w:t>
      </w:r>
    </w:p>
    <w:p w:rsidRPr="007363F3" w:rsidR="00920651" w:rsidP="007363F3" w14:paraId="6A2F1BFA" w14:textId="77777777">
      <w:pPr>
        <w:pStyle w:val="JuHA"/>
      </w:pPr>
      <w:r w:rsidRPr="007363F3">
        <w:t>Non-pecuniary damage</w:t>
      </w:r>
    </w:p>
    <w:p w:rsidRPr="007363F3" w:rsidR="00920651" w:rsidP="007363F3" w14:paraId="2C513C0F" w14:textId="6107CF6C">
      <w:pPr>
        <w:pStyle w:val="JuH1"/>
      </w:pPr>
      <w:r w:rsidRPr="007363F3">
        <w:t>The parties</w:t>
      </w:r>
      <w:r w:rsidRPr="007363F3" w:rsidR="007363F3">
        <w:t>’</w:t>
      </w:r>
      <w:r w:rsidRPr="007363F3">
        <w:t xml:space="preserve"> submissions</w:t>
      </w:r>
    </w:p>
    <w:p w:rsidRPr="007363F3" w:rsidR="00920651" w:rsidP="007363F3" w14:paraId="4379D70D" w14:textId="5A71470C">
      <w:pPr>
        <w:pStyle w:val="JuPara"/>
      </w:pPr>
      <w:r>
        <w:fldChar w:fldCharType="begin"/>
      </w:r>
      <w:r>
        <w:instrText xml:space="preserve"> SEQ level0 \*arabic \* MERGEFORMAT </w:instrText>
      </w:r>
      <w:r>
        <w:fldChar w:fldCharType="separate"/>
      </w:r>
      <w:r w:rsidRPr="007363F3" w:rsidR="007363F3">
        <w:rPr>
          <w:noProof/>
        </w:rPr>
        <w:t>15</w:t>
      </w:r>
      <w:r w:rsidRPr="007363F3" w:rsidR="007363F3">
        <w:rPr>
          <w:noProof/>
        </w:rPr>
        <w:fldChar w:fldCharType="end"/>
      </w:r>
      <w:r w:rsidRPr="007363F3">
        <w:t xml:space="preserve">.  In his initial submissions, the applicant, </w:t>
      </w:r>
      <w:r w:rsidRPr="007363F3">
        <w:t>in the event that</w:t>
      </w:r>
      <w:r w:rsidRPr="007363F3">
        <w:t xml:space="preserve"> the Court did not make any award in respect of pecuniary damage, claimed EUR 100,000 in respect of non-pecuniary damage for the suffering caused by “difficulties in his professional and private life”. He did not reiterate the claim for non</w:t>
      </w:r>
      <w:r w:rsidRPr="007363F3" w:rsidR="0005753A">
        <w:noBreakHyphen/>
      </w:r>
      <w:r w:rsidRPr="007363F3">
        <w:t>pecuniary damage in his submissions after the principal judgment.</w:t>
      </w:r>
    </w:p>
    <w:p w:rsidRPr="007363F3" w:rsidR="00920651" w:rsidP="007363F3" w14:paraId="343BF221" w14:textId="67EF0F59">
      <w:pPr>
        <w:pStyle w:val="JuPara"/>
        <w:tabs>
          <w:tab w:val="left" w:pos="2821"/>
        </w:tabs>
      </w:pPr>
      <w:r>
        <w:fldChar w:fldCharType="begin"/>
      </w:r>
      <w:r>
        <w:instrText xml:space="preserve"> SEQ level0 \*arabic \* MERGEFORMAT </w:instrText>
      </w:r>
      <w:r>
        <w:fldChar w:fldCharType="separate"/>
      </w:r>
      <w:r w:rsidRPr="007363F3" w:rsidR="007363F3">
        <w:rPr>
          <w:noProof/>
        </w:rPr>
        <w:t>16</w:t>
      </w:r>
      <w:r w:rsidRPr="007363F3" w:rsidR="007363F3">
        <w:rPr>
          <w:noProof/>
        </w:rPr>
        <w:fldChar w:fldCharType="end"/>
      </w:r>
      <w:r w:rsidRPr="007363F3">
        <w:t>.  The Government considered that the finding of a violation should be regarded as constituting sufficient just satisfaction.</w:t>
      </w:r>
    </w:p>
    <w:p w:rsidRPr="007363F3" w:rsidR="00920651" w:rsidP="007363F3" w14:paraId="7AC49EBF" w14:textId="2B505ABA">
      <w:pPr>
        <w:pStyle w:val="JuH1"/>
      </w:pPr>
      <w:r w:rsidRPr="007363F3">
        <w:t>The Court</w:t>
      </w:r>
      <w:r w:rsidRPr="007363F3" w:rsidR="007363F3">
        <w:t>’</w:t>
      </w:r>
      <w:r w:rsidRPr="007363F3">
        <w:t>s assessment</w:t>
      </w:r>
    </w:p>
    <w:p w:rsidRPr="007363F3" w:rsidR="00920651" w:rsidP="007363F3" w14:paraId="640AFF85" w14:textId="79DBC6E1">
      <w:pPr>
        <w:pStyle w:val="JuPara"/>
      </w:pPr>
      <w:r>
        <w:fldChar w:fldCharType="begin"/>
      </w:r>
      <w:r>
        <w:instrText xml:space="preserve"> SEQ level0 \*arabic \* MERGEFORMAT </w:instrText>
      </w:r>
      <w:r>
        <w:fldChar w:fldCharType="separate"/>
      </w:r>
      <w:r w:rsidRPr="007363F3" w:rsidR="007363F3">
        <w:rPr>
          <w:noProof/>
        </w:rPr>
        <w:t>17</w:t>
      </w:r>
      <w:r w:rsidRPr="007363F3" w:rsidR="007363F3">
        <w:rPr>
          <w:noProof/>
        </w:rPr>
        <w:fldChar w:fldCharType="end"/>
      </w:r>
      <w:r w:rsidRPr="007363F3">
        <w:t>.  In view of the parties</w:t>
      </w:r>
      <w:r w:rsidRPr="007363F3" w:rsidR="007363F3">
        <w:t>’</w:t>
      </w:r>
      <w:r w:rsidRPr="007363F3">
        <w:t xml:space="preserve"> positions and the award made under the head of pecuniary damage, the Court does not find that a separate award should be made in respect of non-pecuniary damages.</w:t>
      </w:r>
    </w:p>
    <w:p w:rsidRPr="007363F3" w:rsidR="00920651" w:rsidP="007363F3" w14:paraId="14F96E28" w14:textId="77777777">
      <w:pPr>
        <w:pStyle w:val="JuHIRoman"/>
      </w:pPr>
      <w:r w:rsidRPr="007363F3">
        <w:t>COSTS AND EXPENSES</w:t>
      </w:r>
    </w:p>
    <w:p w:rsidRPr="007363F3" w:rsidR="00920651" w:rsidP="007363F3" w14:paraId="4003AA08" w14:textId="48AB0DDD">
      <w:pPr>
        <w:pStyle w:val="JuPara"/>
      </w:pPr>
      <w:r>
        <w:fldChar w:fldCharType="begin"/>
      </w:r>
      <w:r>
        <w:instrText xml:space="preserve"> SEQ level0 \*arabic \* MERGEFORMAT </w:instrText>
      </w:r>
      <w:r>
        <w:fldChar w:fldCharType="separate"/>
      </w:r>
      <w:r w:rsidRPr="007363F3" w:rsidR="007363F3">
        <w:rPr>
          <w:noProof/>
        </w:rPr>
        <w:t>18</w:t>
      </w:r>
      <w:r w:rsidRPr="007363F3" w:rsidR="007363F3">
        <w:rPr>
          <w:noProof/>
        </w:rPr>
        <w:fldChar w:fldCharType="end"/>
      </w:r>
      <w:r w:rsidRPr="007363F3">
        <w:t>.  In his initial submissions the applicant sought reimbursement of costs and expenses in the amount of PLN 56,000 for costs incurred during the domestic proceedings, including the award of costs of PLN 26,205 made against him (see the principal judgment, §</w:t>
      </w:r>
      <w:r w:rsidRPr="007363F3">
        <w:t xml:space="preserve"> </w:t>
      </w:r>
      <w:r w:rsidRPr="007363F3">
        <w:t>34) and, additionally, reimbursement of the costs of his legal representation before the Court in the amount of PLN 7,380. In his subsequent submissions, the applicant only claimed the PLN 56,000 in respect of the costs incurred before the domestic courts.</w:t>
      </w:r>
    </w:p>
    <w:p w:rsidRPr="007363F3" w:rsidR="00920651" w:rsidP="007363F3" w14:paraId="679EC2E8" w14:textId="0DABD199">
      <w:pPr>
        <w:pStyle w:val="JuPara"/>
      </w:pPr>
      <w:r>
        <w:fldChar w:fldCharType="begin"/>
      </w:r>
      <w:r>
        <w:instrText xml:space="preserve"> SEQ level0 \*arabic \* MERGEFORMAT </w:instrText>
      </w:r>
      <w:r>
        <w:fldChar w:fldCharType="separate"/>
      </w:r>
      <w:r w:rsidRPr="007363F3" w:rsidR="007363F3">
        <w:rPr>
          <w:noProof/>
        </w:rPr>
        <w:t>19</w:t>
      </w:r>
      <w:r w:rsidRPr="007363F3" w:rsidR="007363F3">
        <w:rPr>
          <w:noProof/>
        </w:rPr>
        <w:fldChar w:fldCharType="end"/>
      </w:r>
      <w:r w:rsidRPr="007363F3">
        <w:t>.  The Government contended that the amounts claimed under this head were not directly linked to the violation found, and that no relevant documents had been submitted.</w:t>
      </w:r>
    </w:p>
    <w:p w:rsidRPr="007363F3" w:rsidR="00920651" w:rsidP="007363F3" w14:paraId="50A81B7E" w14:textId="1454B19D">
      <w:pPr>
        <w:pStyle w:val="JuPara"/>
      </w:pPr>
      <w:r>
        <w:fldChar w:fldCharType="begin"/>
      </w:r>
      <w:r>
        <w:instrText xml:space="preserve"> SEQ level0 \*arabic \* MERGEFORMAT </w:instrText>
      </w:r>
      <w:r>
        <w:fldChar w:fldCharType="separate"/>
      </w:r>
      <w:r w:rsidRPr="007363F3" w:rsidR="007363F3">
        <w:rPr>
          <w:noProof/>
        </w:rPr>
        <w:t>20</w:t>
      </w:r>
      <w:r w:rsidRPr="007363F3" w:rsidR="007363F3">
        <w:rPr>
          <w:noProof/>
        </w:rPr>
        <w:fldChar w:fldCharType="end"/>
      </w:r>
      <w:r w:rsidRPr="007363F3">
        <w:t>.  According to the Court</w:t>
      </w:r>
      <w:r w:rsidRPr="007363F3" w:rsidR="007363F3">
        <w:t>’</w:t>
      </w:r>
      <w:r w:rsidRPr="007363F3">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awards the applicant EUR 6,190 for the costs awarded against him in the domestic proceedings and EUR 1,745 for the costs of his legal representation before the Court. The remaining claims for costs and expenses are either unrelated to the violations found or </w:t>
      </w:r>
      <w:r w:rsidRPr="007363F3">
        <w:t>unsubstantiated, and</w:t>
      </w:r>
      <w:r w:rsidRPr="007363F3">
        <w:t xml:space="preserve"> should be dismissed.</w:t>
      </w:r>
    </w:p>
    <w:p w:rsidRPr="007363F3" w:rsidR="00920651" w:rsidP="007363F3" w14:paraId="5C33891D" w14:textId="77777777">
      <w:pPr>
        <w:pStyle w:val="JuHHead"/>
      </w:pPr>
      <w:r w:rsidRPr="007363F3">
        <w:t>FOR THESE REASONS, THE COURT, UNANIMOUSLY,</w:t>
      </w:r>
    </w:p>
    <w:p w:rsidRPr="007363F3" w:rsidR="00920651" w:rsidP="007363F3" w14:paraId="36A477A3" w14:textId="77777777">
      <w:pPr>
        <w:pStyle w:val="JuList"/>
      </w:pPr>
      <w:r w:rsidRPr="007363F3">
        <w:rPr>
          <w:i/>
        </w:rPr>
        <w:t>Holds</w:t>
      </w:r>
    </w:p>
    <w:p w:rsidRPr="007363F3" w:rsidR="00920651" w:rsidP="007363F3" w14:paraId="26450555" w14:textId="5C5EA9C9">
      <w:pPr>
        <w:pStyle w:val="JuLista"/>
      </w:pPr>
      <w:r w:rsidRPr="007363F3">
        <w:t xml:space="preserve">that the respondent State is to pay the applicant, within three months from the date on which the judgment becomes final in accordance with Article 44 § 2 of the Convention, the following amounts, </w:t>
      </w:r>
      <w:r w:rsidRPr="007363F3">
        <w:rPr>
          <w:bCs/>
        </w:rPr>
        <w:t xml:space="preserve">to be converted into </w:t>
      </w:r>
      <w:r w:rsidRPr="007363F3">
        <w:rPr>
          <w:bCs/>
          <w:color w:val="000000"/>
        </w:rPr>
        <w:t>the currency of the respondent State</w:t>
      </w:r>
      <w:r w:rsidRPr="007363F3">
        <w:rPr>
          <w:color w:val="000000"/>
        </w:rPr>
        <w:t xml:space="preserve"> </w:t>
      </w:r>
      <w:r w:rsidRPr="007363F3">
        <w:t>at the rate applicable at the date of settlement:</w:t>
      </w:r>
    </w:p>
    <w:p w:rsidRPr="007363F3" w:rsidR="00920651" w:rsidP="007363F3" w14:paraId="40EA549D" w14:textId="77777777">
      <w:pPr>
        <w:pStyle w:val="JuListi"/>
      </w:pPr>
      <w:r w:rsidRPr="007363F3">
        <w:t>EUR 80,000 (eighty thousand euros) in respect of pecuniary damage;</w:t>
      </w:r>
    </w:p>
    <w:p w:rsidRPr="007363F3" w:rsidR="00920651" w:rsidP="007363F3" w14:paraId="78BCD07E" w14:textId="77777777">
      <w:pPr>
        <w:pStyle w:val="JuListi"/>
      </w:pPr>
      <w:r w:rsidRPr="007363F3">
        <w:t>EUR 7,935 (seven thousand nine hundred and thirty-five euros), plus any tax that may be chargeable to the applicant, in respect of costs and expenses;</w:t>
      </w:r>
    </w:p>
    <w:p w:rsidRPr="007363F3" w:rsidR="00920651" w:rsidP="007363F3" w14:paraId="7E975A38" w14:textId="77777777">
      <w:pPr>
        <w:pStyle w:val="JuLista"/>
      </w:pPr>
      <w:r w:rsidRPr="007363F3">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363F3" w:rsidR="004D0EC7" w:rsidP="007363F3" w14:paraId="0F6D1EA4" w14:textId="63370817">
      <w:pPr>
        <w:pStyle w:val="JuList"/>
      </w:pPr>
      <w:r w:rsidRPr="007363F3">
        <w:rPr>
          <w:i/>
        </w:rPr>
        <w:t>Dismisses</w:t>
      </w:r>
      <w:r w:rsidRPr="007363F3">
        <w:t xml:space="preserve"> the remainder of the applicant</w:t>
      </w:r>
      <w:r w:rsidRPr="007363F3" w:rsidR="007363F3">
        <w:t>’</w:t>
      </w:r>
      <w:r w:rsidRPr="007363F3">
        <w:t>s claim for just satisfaction.</w:t>
      </w:r>
    </w:p>
    <w:p w:rsidRPr="007363F3" w:rsidR="008E3A08" w:rsidP="007363F3" w14:paraId="683D3CA3" w14:textId="3F4DCECE">
      <w:pPr>
        <w:pStyle w:val="JuParaLast"/>
      </w:pPr>
      <w:r w:rsidRPr="007363F3">
        <w:t xml:space="preserve">Done in English, and notified in writing on </w:t>
      </w:r>
      <w:r w:rsidRPr="007363F3" w:rsidR="00920651">
        <w:rPr>
          <w:rFonts w:ascii="Times New Roman" w:hAnsi="Times New Roman" w:cs="Times New Roman"/>
        </w:rPr>
        <w:t>8 October 2026</w:t>
      </w:r>
      <w:r w:rsidRPr="007363F3">
        <w:t>, pursuant to Rule 77 §§ 2 and 3 of the Rules of Court.</w:t>
      </w:r>
    </w:p>
    <w:p w:rsidRPr="007363F3" w:rsidR="007E79A4" w:rsidP="007363F3" w14:paraId="54C84C1F" w14:textId="6215EF51">
      <w:pPr>
        <w:pStyle w:val="JuSigned"/>
      </w:pPr>
      <w:r w:rsidRPr="007363F3">
        <w:tab/>
      </w:r>
      <w:r w:rsidRPr="007363F3" w:rsidR="00920651">
        <w:t>Ilse Freiwirth</w:t>
      </w:r>
      <w:r w:rsidRPr="007363F3">
        <w:tab/>
      </w:r>
      <w:r w:rsidRPr="007363F3" w:rsidR="00FB4A78">
        <w:t>Ivana</w:t>
      </w:r>
      <w:r w:rsidRPr="007363F3" w:rsidR="00920651">
        <w:t xml:space="preserve"> </w:t>
      </w:r>
      <w:r w:rsidRPr="007363F3" w:rsidR="00FB4A78">
        <w:t>Jelić</w:t>
      </w:r>
      <w:r w:rsidRPr="007363F3">
        <w:br/>
      </w:r>
      <w:r w:rsidRPr="007363F3">
        <w:tab/>
      </w:r>
      <w:r w:rsidRPr="007363F3" w:rsidR="00920651">
        <w:rPr>
          <w:iCs/>
        </w:rPr>
        <w:t>Registrar</w:t>
      </w:r>
      <w:r w:rsidRPr="007363F3">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0651" w:rsidRPr="00150BFA" w:rsidP="0020718E" w14:paraId="6EBC8436" w14:textId="34178D58">
    <w:pPr>
      <w:jc w:val="center"/>
    </w:pPr>
    <w:r>
      <w:rPr>
        <w:noProof/>
        <w:lang w:val="en-US"/>
      </w:rPr>
      <w:drawing>
        <wp:inline distT="0" distB="0" distL="0" distR="0">
          <wp:extent cx="771525" cy="619125"/>
          <wp:effectExtent l="0" t="0" r="9525" b="9525"/>
          <wp:docPr id="452158094" name="Picture 45215809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5809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1E19608F" w14:textId="622EAFB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0651" w:rsidRPr="00150BFA" w:rsidP="0020718E" w14:paraId="1F87B897" w14:textId="1EA64A3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6A79AA39" w14:textId="51F0D19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FDDC877" w14:textId="45DCC0D2">
    <w:pPr>
      <w:pStyle w:val="JuHeader"/>
    </w:pPr>
    <w:r>
      <w:fldChar w:fldCharType="begin"/>
    </w:r>
    <w:r>
      <w:instrText xml:space="preserve"> PAGE  \* MERGEFORMAT </w:instrText>
    </w:r>
    <w:r>
      <w:fldChar w:fldCharType="separate"/>
    </w:r>
    <w:r>
      <w:rPr>
        <w:noProof/>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2E606F0C" w14:textId="12985022">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0651" w:rsidRPr="00A45145" w:rsidP="00A45145" w14:paraId="277BE09B" w14:textId="013ADD65">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B08D056" w14:textId="27DA6AAB">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0651" w:rsidRPr="00A45145" w:rsidP="00A45145" w14:paraId="0AFC0B80" w14:textId="44FD3636">
    <w:pPr>
      <w:jc w:val="center"/>
    </w:pPr>
    <w:r>
      <w:rPr>
        <w:noProof/>
        <w:lang w:val="en-US"/>
      </w:rPr>
      <w:drawing>
        <wp:inline distT="0" distB="0" distL="0" distR="0">
          <wp:extent cx="2962275" cy="1219200"/>
          <wp:effectExtent l="0" t="0" r="9525" b="0"/>
          <wp:docPr id="1702801427" name="Picture 17028014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0142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94659FC" w14:textId="5D313CF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2DC054AD" w14:textId="0FDB6F9A">
    <w:pPr>
      <w:pStyle w:val="JuHeader"/>
    </w:pPr>
    <w:r>
      <w:t>ANDRZEJ RUCIŃSKI v. POLAND</w:t>
    </w:r>
    <w:r w:rsidRPr="004D0EC7">
      <w:t xml:space="preserve"> </w:t>
    </w:r>
    <w:r w:rsidRPr="00920651">
      <w:t>(JUST SATISFACTION)</w:t>
    </w:r>
    <w:r>
      <w:rPr>
        <w:noProof/>
      </w:rPr>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C8517B1" w14:textId="62E956CA">
    <w:pPr>
      <w:pStyle w:val="JuHeader"/>
    </w:pPr>
    <w:r>
      <w:t>ANDRZEJ RUCIŃSKI v. POLAND</w:t>
    </w:r>
    <w:r w:rsidRPr="00882CD5">
      <w:t xml:space="preserve"> </w:t>
    </w:r>
    <w:r w:rsidRPr="00920651">
      <w:t>(JUST SATISFACTION)</w:t>
    </w:r>
    <w:r>
      <w:rPr>
        <w:noProof/>
      </w:rPr>
      <w:t xml:space="preserve"> </w:t>
    </w:r>
    <w:r w:rsidRPr="00882CD5">
      <w:t>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046300283">
    <w:abstractNumId w:val="14"/>
  </w:num>
  <w:num w:numId="2" w16cid:durableId="118501754">
    <w:abstractNumId w:val="12"/>
  </w:num>
  <w:num w:numId="3" w16cid:durableId="1248611151">
    <w:abstractNumId w:val="11"/>
  </w:num>
  <w:num w:numId="4" w16cid:durableId="662513404">
    <w:abstractNumId w:val="15"/>
  </w:num>
  <w:num w:numId="5" w16cid:durableId="1950431236">
    <w:abstractNumId w:val="13"/>
  </w:num>
  <w:num w:numId="6" w16cid:durableId="1764643352">
    <w:abstractNumId w:val="16"/>
  </w:num>
  <w:num w:numId="7" w16cid:durableId="1519077654">
    <w:abstractNumId w:val="15"/>
  </w:num>
  <w:num w:numId="8" w16cid:durableId="233514372">
    <w:abstractNumId w:val="16"/>
  </w:num>
  <w:num w:numId="9" w16cid:durableId="327026877">
    <w:abstractNumId w:val="10"/>
  </w:num>
  <w:num w:numId="10" w16cid:durableId="1395473709">
    <w:abstractNumId w:val="9"/>
  </w:num>
  <w:num w:numId="11" w16cid:durableId="332730050">
    <w:abstractNumId w:val="17"/>
  </w:num>
  <w:num w:numId="12" w16cid:durableId="1261060216">
    <w:abstractNumId w:val="7"/>
  </w:num>
  <w:num w:numId="13" w16cid:durableId="727606640">
    <w:abstractNumId w:val="6"/>
  </w:num>
  <w:num w:numId="14" w16cid:durableId="1811903890">
    <w:abstractNumId w:val="5"/>
  </w:num>
  <w:num w:numId="15" w16cid:durableId="44185027">
    <w:abstractNumId w:val="4"/>
  </w:num>
  <w:num w:numId="16" w16cid:durableId="218978822">
    <w:abstractNumId w:val="8"/>
  </w:num>
  <w:num w:numId="17" w16cid:durableId="732238369">
    <w:abstractNumId w:val="3"/>
  </w:num>
  <w:num w:numId="18" w16cid:durableId="754009356">
    <w:abstractNumId w:val="2"/>
  </w:num>
  <w:num w:numId="19" w16cid:durableId="1168908877">
    <w:abstractNumId w:val="1"/>
  </w:num>
  <w:num w:numId="20" w16cid:durableId="341133134">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651"/>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5753A"/>
    <w:rsid w:val="000602DF"/>
    <w:rsid w:val="00061B05"/>
    <w:rsid w:val="000632D5"/>
    <w:rsid w:val="000644EE"/>
    <w:rsid w:val="000712E3"/>
    <w:rsid w:val="0007780A"/>
    <w:rsid w:val="00085457"/>
    <w:rsid w:val="000925AD"/>
    <w:rsid w:val="00096FE1"/>
    <w:rsid w:val="00097A62"/>
    <w:rsid w:val="000A24EB"/>
    <w:rsid w:val="000A71AB"/>
    <w:rsid w:val="000B686A"/>
    <w:rsid w:val="000B6923"/>
    <w:rsid w:val="000B7195"/>
    <w:rsid w:val="000C5F3C"/>
    <w:rsid w:val="000C6DCC"/>
    <w:rsid w:val="000C7F83"/>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26664"/>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200"/>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43E"/>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489C"/>
    <w:rsid w:val="003710C8"/>
    <w:rsid w:val="003750BE"/>
    <w:rsid w:val="00385A36"/>
    <w:rsid w:val="00385F3D"/>
    <w:rsid w:val="0038740C"/>
    <w:rsid w:val="00387B9D"/>
    <w:rsid w:val="00387C70"/>
    <w:rsid w:val="00390294"/>
    <w:rsid w:val="0039364F"/>
    <w:rsid w:val="00396686"/>
    <w:rsid w:val="0039778E"/>
    <w:rsid w:val="00397A20"/>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5AA1"/>
    <w:rsid w:val="004F10AF"/>
    <w:rsid w:val="004F11A4"/>
    <w:rsid w:val="004F2389"/>
    <w:rsid w:val="004F304D"/>
    <w:rsid w:val="004F4290"/>
    <w:rsid w:val="004F61BE"/>
    <w:rsid w:val="004F66B1"/>
    <w:rsid w:val="00505F69"/>
    <w:rsid w:val="005114AD"/>
    <w:rsid w:val="00511C07"/>
    <w:rsid w:val="005125CB"/>
    <w:rsid w:val="00512EC4"/>
    <w:rsid w:val="0051725A"/>
    <w:rsid w:val="005173A6"/>
    <w:rsid w:val="00517BB8"/>
    <w:rsid w:val="00520354"/>
    <w:rsid w:val="00520BAA"/>
    <w:rsid w:val="005217D8"/>
    <w:rsid w:val="00525208"/>
    <w:rsid w:val="005257A5"/>
    <w:rsid w:val="00525A5D"/>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23CF7"/>
    <w:rsid w:val="0073136C"/>
    <w:rsid w:val="00731F0F"/>
    <w:rsid w:val="00733250"/>
    <w:rsid w:val="007363F3"/>
    <w:rsid w:val="00741404"/>
    <w:rsid w:val="007449E5"/>
    <w:rsid w:val="0074750E"/>
    <w:rsid w:val="00747FF0"/>
    <w:rsid w:val="00751066"/>
    <w:rsid w:val="0075566E"/>
    <w:rsid w:val="00763602"/>
    <w:rsid w:val="00764604"/>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1328"/>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0651"/>
    <w:rsid w:val="009259AC"/>
    <w:rsid w:val="00926F38"/>
    <w:rsid w:val="00927BEB"/>
    <w:rsid w:val="009333DC"/>
    <w:rsid w:val="00934301"/>
    <w:rsid w:val="00936CD1"/>
    <w:rsid w:val="00937D05"/>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B7A21"/>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1194"/>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031B"/>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3A3D"/>
    <w:rsid w:val="00D43A3E"/>
    <w:rsid w:val="00D44C2E"/>
    <w:rsid w:val="00D45299"/>
    <w:rsid w:val="00D45414"/>
    <w:rsid w:val="00D50A0A"/>
    <w:rsid w:val="00D53548"/>
    <w:rsid w:val="00D5576B"/>
    <w:rsid w:val="00D566BD"/>
    <w:rsid w:val="00D57A4D"/>
    <w:rsid w:val="00D60AA7"/>
    <w:rsid w:val="00D6435F"/>
    <w:rsid w:val="00D66471"/>
    <w:rsid w:val="00D669D4"/>
    <w:rsid w:val="00D70641"/>
    <w:rsid w:val="00D7303C"/>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701"/>
    <w:rsid w:val="00F72B14"/>
    <w:rsid w:val="00F7349B"/>
    <w:rsid w:val="00F825B6"/>
    <w:rsid w:val="00F8765F"/>
    <w:rsid w:val="00F90767"/>
    <w:rsid w:val="00F9263C"/>
    <w:rsid w:val="00FA1637"/>
    <w:rsid w:val="00FA685B"/>
    <w:rsid w:val="00FB0C01"/>
    <w:rsid w:val="00FB160C"/>
    <w:rsid w:val="00FB4A78"/>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562F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525A5D"/>
    <w:rPr>
      <w:sz w:val="24"/>
      <w:szCs w:val="24"/>
      <w:lang w:val="en-GB"/>
    </w:rPr>
  </w:style>
  <w:style w:type="paragraph" w:styleId="Heading1">
    <w:name w:val="heading 1"/>
    <w:basedOn w:val="Normal"/>
    <w:next w:val="Normal"/>
    <w:link w:val="Heading1Char"/>
    <w:uiPriority w:val="98"/>
    <w:semiHidden/>
    <w:rsid w:val="00525A5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25A5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25A5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25A5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25A5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25A5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25A5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25A5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25A5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25A5D"/>
    <w:rPr>
      <w:rFonts w:ascii="Tahoma" w:hAnsi="Tahoma" w:cs="Tahoma"/>
      <w:sz w:val="16"/>
      <w:szCs w:val="16"/>
    </w:rPr>
  </w:style>
  <w:style w:type="character" w:customStyle="1" w:styleId="BalloonTextChar">
    <w:name w:val="Balloon Text Char"/>
    <w:basedOn w:val="DefaultParagraphFont"/>
    <w:link w:val="BalloonText"/>
    <w:uiPriority w:val="98"/>
    <w:semiHidden/>
    <w:rsid w:val="00525A5D"/>
    <w:rPr>
      <w:rFonts w:ascii="Tahoma" w:hAnsi="Tahoma" w:cs="Tahoma"/>
      <w:sz w:val="16"/>
      <w:szCs w:val="16"/>
      <w:lang w:val="en-GB"/>
    </w:rPr>
  </w:style>
  <w:style w:type="character" w:styleId="BookTitle">
    <w:name w:val="Book Title"/>
    <w:uiPriority w:val="98"/>
    <w:semiHidden/>
    <w:qFormat/>
    <w:rsid w:val="00525A5D"/>
    <w:rPr>
      <w:i/>
      <w:iCs/>
      <w:smallCaps/>
      <w:spacing w:val="5"/>
    </w:rPr>
  </w:style>
  <w:style w:type="paragraph" w:customStyle="1" w:styleId="JuHeader">
    <w:name w:val="Ju_Header"/>
    <w:aliases w:val="_Header"/>
    <w:basedOn w:val="Header0"/>
    <w:uiPriority w:val="29"/>
    <w:qFormat/>
    <w:rsid w:val="00525A5D"/>
    <w:pPr>
      <w:tabs>
        <w:tab w:val="clear" w:pos="4536"/>
        <w:tab w:val="clear" w:pos="9072"/>
      </w:tabs>
      <w:jc w:val="center"/>
    </w:pPr>
    <w:rPr>
      <w:sz w:val="18"/>
    </w:rPr>
  </w:style>
  <w:style w:type="paragraph" w:customStyle="1" w:styleId="NormalJustified">
    <w:name w:val="Normal_Justified"/>
    <w:basedOn w:val="Normal"/>
    <w:semiHidden/>
    <w:rsid w:val="00525A5D"/>
    <w:pPr>
      <w:jc w:val="both"/>
    </w:pPr>
  </w:style>
  <w:style w:type="character" w:styleId="Strong">
    <w:name w:val="Strong"/>
    <w:uiPriority w:val="98"/>
    <w:semiHidden/>
    <w:qFormat/>
    <w:rsid w:val="00525A5D"/>
    <w:rPr>
      <w:b/>
      <w:bCs/>
    </w:rPr>
  </w:style>
  <w:style w:type="paragraph" w:styleId="NoSpacing">
    <w:name w:val="No Spacing"/>
    <w:basedOn w:val="Normal"/>
    <w:link w:val="NoSpacingChar"/>
    <w:uiPriority w:val="98"/>
    <w:semiHidden/>
    <w:qFormat/>
    <w:rsid w:val="00525A5D"/>
  </w:style>
  <w:style w:type="character" w:customStyle="1" w:styleId="NoSpacingChar">
    <w:name w:val="No Spacing Char"/>
    <w:basedOn w:val="DefaultParagraphFont"/>
    <w:link w:val="NoSpacing"/>
    <w:uiPriority w:val="98"/>
    <w:semiHidden/>
    <w:rsid w:val="00525A5D"/>
    <w:rPr>
      <w:sz w:val="24"/>
      <w:szCs w:val="24"/>
      <w:lang w:val="en-GB"/>
    </w:rPr>
  </w:style>
  <w:style w:type="paragraph" w:customStyle="1" w:styleId="JuQuot">
    <w:name w:val="Ju_Quot"/>
    <w:aliases w:val="_Quote"/>
    <w:basedOn w:val="NormalJustified"/>
    <w:uiPriority w:val="20"/>
    <w:qFormat/>
    <w:rsid w:val="00525A5D"/>
    <w:pPr>
      <w:spacing w:before="120" w:after="120"/>
      <w:ind w:left="425" w:firstLine="142"/>
    </w:pPr>
    <w:rPr>
      <w:sz w:val="20"/>
    </w:rPr>
  </w:style>
  <w:style w:type="table" w:styleId="GridTable1Light">
    <w:name w:val="Grid Table 1 Light"/>
    <w:basedOn w:val="TableNormal"/>
    <w:uiPriority w:val="46"/>
    <w:semiHidden/>
    <w:rsid w:val="00F727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525A5D"/>
    <w:pPr>
      <w:numPr>
        <w:numId w:val="10"/>
      </w:numPr>
      <w:spacing w:before="280" w:after="60"/>
    </w:pPr>
  </w:style>
  <w:style w:type="paragraph" w:customStyle="1" w:styleId="JuLista">
    <w:name w:val="Ju_List_a"/>
    <w:aliases w:val="_List_2"/>
    <w:basedOn w:val="NormalJustified"/>
    <w:uiPriority w:val="23"/>
    <w:rsid w:val="00525A5D"/>
    <w:pPr>
      <w:numPr>
        <w:ilvl w:val="1"/>
        <w:numId w:val="10"/>
      </w:numPr>
    </w:pPr>
  </w:style>
  <w:style w:type="paragraph" w:customStyle="1" w:styleId="JuListi">
    <w:name w:val="Ju_List_i"/>
    <w:aliases w:val="_List_3"/>
    <w:basedOn w:val="NormalJustified"/>
    <w:uiPriority w:val="23"/>
    <w:rsid w:val="00525A5D"/>
    <w:pPr>
      <w:numPr>
        <w:ilvl w:val="2"/>
        <w:numId w:val="10"/>
      </w:numPr>
    </w:pPr>
  </w:style>
  <w:style w:type="paragraph" w:customStyle="1" w:styleId="JuHArticle">
    <w:name w:val="Ju_H_Article"/>
    <w:aliases w:val="_Title_Quote"/>
    <w:basedOn w:val="Normal"/>
    <w:next w:val="JuQuot"/>
    <w:uiPriority w:val="19"/>
    <w:qFormat/>
    <w:rsid w:val="00525A5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25A5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25A5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25A5D"/>
    <w:pPr>
      <w:keepNext/>
      <w:keepLines/>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25A5D"/>
    <w:pPr>
      <w:numPr>
        <w:numId w:val="4"/>
      </w:numPr>
    </w:pPr>
  </w:style>
  <w:style w:type="paragraph" w:customStyle="1" w:styleId="JuSigned">
    <w:name w:val="Ju_Signed"/>
    <w:aliases w:val="_Signature"/>
    <w:basedOn w:val="Normal"/>
    <w:next w:val="JuPara"/>
    <w:uiPriority w:val="31"/>
    <w:qFormat/>
    <w:rsid w:val="00525A5D"/>
    <w:pPr>
      <w:tabs>
        <w:tab w:val="center" w:pos="1418"/>
        <w:tab w:val="center" w:pos="5954"/>
      </w:tabs>
      <w:spacing w:before="720"/>
    </w:pPr>
  </w:style>
  <w:style w:type="paragraph" w:styleId="Title">
    <w:name w:val="Title"/>
    <w:basedOn w:val="Normal"/>
    <w:next w:val="Normal"/>
    <w:link w:val="TitleChar"/>
    <w:uiPriority w:val="98"/>
    <w:semiHidden/>
    <w:qFormat/>
    <w:rsid w:val="00525A5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25A5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25A5D"/>
    <w:pPr>
      <w:numPr>
        <w:numId w:val="5"/>
      </w:numPr>
    </w:pPr>
  </w:style>
  <w:style w:type="numbering" w:customStyle="1" w:styleId="ECHRA1StyleNumberedList">
    <w:name w:val="ECHR_A1_Style_Numbered_List"/>
    <w:basedOn w:val="NoList"/>
    <w:rsid w:val="00525A5D"/>
    <w:pPr>
      <w:numPr>
        <w:numId w:val="6"/>
      </w:numPr>
    </w:pPr>
  </w:style>
  <w:style w:type="table" w:customStyle="1" w:styleId="ECHRTable2019">
    <w:name w:val="ECHR_Table_2019"/>
    <w:basedOn w:val="TableNormal"/>
    <w:uiPriority w:val="99"/>
    <w:rsid w:val="00525A5D"/>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25A5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25A5D"/>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25A5D"/>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25A5D"/>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525A5D"/>
    <w:pPr>
      <w:tabs>
        <w:tab w:val="center" w:pos="4536"/>
        <w:tab w:val="right" w:pos="9072"/>
      </w:tabs>
    </w:pPr>
  </w:style>
  <w:style w:type="character" w:customStyle="1" w:styleId="HeaderChar">
    <w:name w:val="Header Char"/>
    <w:basedOn w:val="DefaultParagraphFont"/>
    <w:link w:val="Header0"/>
    <w:uiPriority w:val="98"/>
    <w:semiHidden/>
    <w:rsid w:val="00525A5D"/>
    <w:rPr>
      <w:sz w:val="24"/>
      <w:szCs w:val="24"/>
      <w:lang w:val="en-GB"/>
    </w:rPr>
  </w:style>
  <w:style w:type="character" w:customStyle="1" w:styleId="Heading1Char">
    <w:name w:val="Heading 1 Char"/>
    <w:basedOn w:val="DefaultParagraphFont"/>
    <w:link w:val="Heading1"/>
    <w:uiPriority w:val="98"/>
    <w:semiHidden/>
    <w:rsid w:val="00525A5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25A5D"/>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525A5D"/>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25A5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25A5D"/>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25A5D"/>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525A5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25A5D"/>
    <w:pPr>
      <w:keepNext/>
      <w:keepLines/>
      <w:spacing w:before="240" w:after="240"/>
      <w:ind w:firstLine="284"/>
    </w:pPr>
  </w:style>
  <w:style w:type="paragraph" w:customStyle="1" w:styleId="JuJudges">
    <w:name w:val="Ju_Judges"/>
    <w:aliases w:val="_Judges"/>
    <w:basedOn w:val="Normal"/>
    <w:uiPriority w:val="32"/>
    <w:qFormat/>
    <w:rsid w:val="00525A5D"/>
    <w:pPr>
      <w:tabs>
        <w:tab w:val="left" w:pos="567"/>
        <w:tab w:val="left" w:pos="1134"/>
      </w:tabs>
    </w:pPr>
  </w:style>
  <w:style w:type="character" w:customStyle="1" w:styleId="Heading4Char">
    <w:name w:val="Heading 4 Char"/>
    <w:basedOn w:val="DefaultParagraphFont"/>
    <w:link w:val="Heading4"/>
    <w:uiPriority w:val="98"/>
    <w:semiHidden/>
    <w:rsid w:val="00525A5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25A5D"/>
    <w:pPr>
      <w:tabs>
        <w:tab w:val="center" w:pos="6407"/>
      </w:tabs>
      <w:spacing w:before="720"/>
      <w:jc w:val="right"/>
    </w:pPr>
  </w:style>
  <w:style w:type="character" w:customStyle="1" w:styleId="Heading5Char">
    <w:name w:val="Heading 5 Char"/>
    <w:basedOn w:val="DefaultParagraphFont"/>
    <w:link w:val="Heading5"/>
    <w:uiPriority w:val="98"/>
    <w:semiHidden/>
    <w:rsid w:val="00525A5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25A5D"/>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25A5D"/>
    <w:rPr>
      <w:caps w:val="0"/>
      <w:smallCaps/>
    </w:rPr>
  </w:style>
  <w:style w:type="character" w:styleId="SubtleEmphasis">
    <w:name w:val="Subtle Emphasis"/>
    <w:uiPriority w:val="98"/>
    <w:semiHidden/>
    <w:qFormat/>
    <w:rsid w:val="00525A5D"/>
    <w:rPr>
      <w:i/>
      <w:iCs/>
    </w:rPr>
  </w:style>
  <w:style w:type="table" w:customStyle="1" w:styleId="ECHRTable">
    <w:name w:val="ECHR_Table"/>
    <w:basedOn w:val="TableNormal"/>
    <w:rsid w:val="00525A5D"/>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25A5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525A5D"/>
    <w:rPr>
      <w:b/>
      <w:bCs/>
      <w:i/>
      <w:iCs/>
      <w:spacing w:val="10"/>
      <w:bdr w:val="none" w:sz="0" w:space="0" w:color="auto"/>
      <w:shd w:val="clear" w:color="auto" w:fill="auto"/>
    </w:rPr>
  </w:style>
  <w:style w:type="paragraph" w:styleId="Footer1">
    <w:name w:val="footer"/>
    <w:basedOn w:val="Normal"/>
    <w:link w:val="FooterChar"/>
    <w:uiPriority w:val="98"/>
    <w:semiHidden/>
    <w:rsid w:val="00525A5D"/>
    <w:pPr>
      <w:tabs>
        <w:tab w:val="center" w:pos="3686"/>
        <w:tab w:val="right" w:pos="7371"/>
      </w:tabs>
    </w:pPr>
  </w:style>
  <w:style w:type="character" w:customStyle="1" w:styleId="FooterChar">
    <w:name w:val="Footer Char"/>
    <w:basedOn w:val="DefaultParagraphFont"/>
    <w:link w:val="Footer1"/>
    <w:uiPriority w:val="98"/>
    <w:semiHidden/>
    <w:rsid w:val="00525A5D"/>
    <w:rPr>
      <w:sz w:val="24"/>
      <w:szCs w:val="24"/>
      <w:lang w:val="en-GB"/>
    </w:rPr>
  </w:style>
  <w:style w:type="character" w:styleId="FootnoteReference">
    <w:name w:val="footnote reference"/>
    <w:basedOn w:val="DefaultParagraphFont"/>
    <w:uiPriority w:val="98"/>
    <w:semiHidden/>
    <w:rsid w:val="00525A5D"/>
    <w:rPr>
      <w:vertAlign w:val="superscript"/>
    </w:rPr>
  </w:style>
  <w:style w:type="paragraph" w:styleId="FootnoteText">
    <w:name w:val="footnote text"/>
    <w:basedOn w:val="NormalJustified"/>
    <w:link w:val="FootnoteTextChar"/>
    <w:uiPriority w:val="98"/>
    <w:semiHidden/>
    <w:rsid w:val="00525A5D"/>
    <w:rPr>
      <w:sz w:val="20"/>
      <w:szCs w:val="20"/>
    </w:rPr>
  </w:style>
  <w:style w:type="character" w:customStyle="1" w:styleId="FootnoteTextChar">
    <w:name w:val="Footnote Text Char"/>
    <w:basedOn w:val="DefaultParagraphFont"/>
    <w:link w:val="FootnoteText"/>
    <w:uiPriority w:val="98"/>
    <w:semiHidden/>
    <w:rsid w:val="00525A5D"/>
    <w:rPr>
      <w:sz w:val="20"/>
      <w:szCs w:val="20"/>
      <w:lang w:val="en-GB"/>
    </w:rPr>
  </w:style>
  <w:style w:type="character" w:customStyle="1" w:styleId="Heading6Char">
    <w:name w:val="Heading 6 Char"/>
    <w:basedOn w:val="DefaultParagraphFont"/>
    <w:link w:val="Heading6"/>
    <w:uiPriority w:val="98"/>
    <w:semiHidden/>
    <w:rsid w:val="00525A5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25A5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25A5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25A5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25A5D"/>
    <w:rPr>
      <w:color w:val="0072BC" w:themeColor="hyperlink"/>
      <w:u w:val="single"/>
    </w:rPr>
  </w:style>
  <w:style w:type="character" w:styleId="IntenseEmphasis">
    <w:name w:val="Intense Emphasis"/>
    <w:uiPriority w:val="98"/>
    <w:semiHidden/>
    <w:qFormat/>
    <w:rsid w:val="00525A5D"/>
    <w:rPr>
      <w:b/>
      <w:bCs/>
    </w:rPr>
  </w:style>
  <w:style w:type="paragraph" w:styleId="IntenseQuote">
    <w:name w:val="Intense Quote"/>
    <w:basedOn w:val="Normal"/>
    <w:next w:val="Normal"/>
    <w:link w:val="IntenseQuoteChar"/>
    <w:uiPriority w:val="98"/>
    <w:semiHidden/>
    <w:qFormat/>
    <w:rsid w:val="00525A5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25A5D"/>
    <w:rPr>
      <w:b/>
      <w:bCs/>
      <w:i/>
      <w:iCs/>
      <w:sz w:val="24"/>
      <w:szCs w:val="24"/>
      <w:lang w:val="en-GB" w:bidi="en-US"/>
    </w:rPr>
  </w:style>
  <w:style w:type="character" w:styleId="IntenseReference">
    <w:name w:val="Intense Reference"/>
    <w:uiPriority w:val="98"/>
    <w:semiHidden/>
    <w:qFormat/>
    <w:rsid w:val="00525A5D"/>
    <w:rPr>
      <w:smallCaps/>
      <w:spacing w:val="5"/>
      <w:u w:val="single"/>
    </w:rPr>
  </w:style>
  <w:style w:type="paragraph" w:styleId="ListParagraph">
    <w:name w:val="List Paragraph"/>
    <w:basedOn w:val="Normal"/>
    <w:uiPriority w:val="98"/>
    <w:semiHidden/>
    <w:qFormat/>
    <w:rsid w:val="00525A5D"/>
    <w:pPr>
      <w:ind w:left="720"/>
      <w:contextualSpacing/>
    </w:pPr>
  </w:style>
  <w:style w:type="table" w:customStyle="1" w:styleId="LtrTableAddress">
    <w:name w:val="Ltr_Table_Address"/>
    <w:aliases w:val="ECHR_Ltr_Table_Address"/>
    <w:basedOn w:val="TableNormal"/>
    <w:uiPriority w:val="99"/>
    <w:rsid w:val="00525A5D"/>
    <w:rPr>
      <w:sz w:val="24"/>
      <w:szCs w:val="24"/>
    </w:rPr>
    <w:tblPr>
      <w:tblInd w:w="5103" w:type="dxa"/>
    </w:tblPr>
  </w:style>
  <w:style w:type="paragraph" w:styleId="Quote0">
    <w:name w:val="Quote"/>
    <w:basedOn w:val="Normal"/>
    <w:next w:val="Normal"/>
    <w:link w:val="QuoteChar"/>
    <w:uiPriority w:val="98"/>
    <w:semiHidden/>
    <w:qFormat/>
    <w:rsid w:val="00525A5D"/>
    <w:pPr>
      <w:spacing w:before="200"/>
      <w:ind w:left="360" w:right="360"/>
    </w:pPr>
    <w:rPr>
      <w:i/>
      <w:iCs/>
      <w:lang w:bidi="en-US"/>
    </w:rPr>
  </w:style>
  <w:style w:type="character" w:customStyle="1" w:styleId="QuoteChar">
    <w:name w:val="Quote Char"/>
    <w:basedOn w:val="DefaultParagraphFont"/>
    <w:link w:val="Quote0"/>
    <w:uiPriority w:val="98"/>
    <w:semiHidden/>
    <w:rsid w:val="00525A5D"/>
    <w:rPr>
      <w:i/>
      <w:iCs/>
      <w:sz w:val="24"/>
      <w:szCs w:val="24"/>
      <w:lang w:val="en-GB" w:bidi="en-US"/>
    </w:rPr>
  </w:style>
  <w:style w:type="character" w:styleId="SubtleReference">
    <w:name w:val="Subtle Reference"/>
    <w:uiPriority w:val="98"/>
    <w:semiHidden/>
    <w:qFormat/>
    <w:rsid w:val="00525A5D"/>
    <w:rPr>
      <w:smallCaps/>
    </w:rPr>
  </w:style>
  <w:style w:type="table" w:styleId="TableGrid">
    <w:name w:val="Table Grid"/>
    <w:basedOn w:val="TableNormal"/>
    <w:uiPriority w:val="59"/>
    <w:semiHidden/>
    <w:rsid w:val="00525A5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25A5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25A5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25A5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25A5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25A5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25A5D"/>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25A5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25A5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25A5D"/>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25A5D"/>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25A5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25A5D"/>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25A5D"/>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525A5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25A5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25A5D"/>
    <w:pPr>
      <w:numPr>
        <w:numId w:val="1"/>
      </w:numPr>
    </w:pPr>
  </w:style>
  <w:style w:type="paragraph" w:customStyle="1" w:styleId="JuPara">
    <w:name w:val="Ju_Para"/>
    <w:aliases w:val="_Para"/>
    <w:basedOn w:val="NormalJustified"/>
    <w:uiPriority w:val="4"/>
    <w:qFormat/>
    <w:rsid w:val="00525A5D"/>
    <w:pPr>
      <w:ind w:firstLine="284"/>
    </w:pPr>
  </w:style>
  <w:style w:type="numbering" w:styleId="1ai">
    <w:name w:val="Outline List 1"/>
    <w:basedOn w:val="NoList"/>
    <w:uiPriority w:val="99"/>
    <w:semiHidden/>
    <w:unhideWhenUsed/>
    <w:rsid w:val="00525A5D"/>
    <w:pPr>
      <w:numPr>
        <w:numId w:val="2"/>
      </w:numPr>
    </w:pPr>
  </w:style>
  <w:style w:type="table" w:customStyle="1" w:styleId="ECHRTableSimpleBox">
    <w:name w:val="ECHR_Table_Simple_Box"/>
    <w:basedOn w:val="TableNormal"/>
    <w:uiPriority w:val="99"/>
    <w:rsid w:val="00525A5D"/>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25A5D"/>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525A5D"/>
    <w:pPr>
      <w:numPr>
        <w:numId w:val="3"/>
      </w:numPr>
    </w:pPr>
  </w:style>
  <w:style w:type="table" w:customStyle="1" w:styleId="ECHRTableForInternalUse">
    <w:name w:val="ECHR_Table_For_Internal_Use"/>
    <w:basedOn w:val="TableNormal"/>
    <w:uiPriority w:val="99"/>
    <w:rsid w:val="00525A5D"/>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25A5D"/>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25A5D"/>
  </w:style>
  <w:style w:type="paragraph" w:styleId="BlockText">
    <w:name w:val="Block Text"/>
    <w:basedOn w:val="Normal"/>
    <w:uiPriority w:val="98"/>
    <w:semiHidden/>
    <w:rsid w:val="00525A5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25A5D"/>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25A5D"/>
    <w:pPr>
      <w:spacing w:after="120"/>
    </w:pPr>
  </w:style>
  <w:style w:type="character" w:customStyle="1" w:styleId="BodyTextChar">
    <w:name w:val="Body Text Char"/>
    <w:basedOn w:val="DefaultParagraphFont"/>
    <w:link w:val="BodyText"/>
    <w:uiPriority w:val="98"/>
    <w:semiHidden/>
    <w:rsid w:val="00525A5D"/>
    <w:rPr>
      <w:sz w:val="24"/>
      <w:szCs w:val="24"/>
      <w:lang w:val="en-GB"/>
    </w:rPr>
  </w:style>
  <w:style w:type="table" w:customStyle="1" w:styleId="ECHRTableOddBanded">
    <w:name w:val="ECHR_Table_Odd_Banded"/>
    <w:basedOn w:val="TableNormal"/>
    <w:uiPriority w:val="99"/>
    <w:rsid w:val="00525A5D"/>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25A5D"/>
    <w:pPr>
      <w:spacing w:after="120" w:line="480" w:lineRule="auto"/>
    </w:pPr>
  </w:style>
  <w:style w:type="table" w:customStyle="1" w:styleId="ECHRHeaderTableReduced">
    <w:name w:val="ECHR_Header_Table_Reduced"/>
    <w:basedOn w:val="TableNormal"/>
    <w:uiPriority w:val="99"/>
    <w:rsid w:val="00525A5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25A5D"/>
    <w:pPr>
      <w:ind w:firstLine="284"/>
    </w:pPr>
    <w:rPr>
      <w:b/>
    </w:rPr>
  </w:style>
  <w:style w:type="character" w:styleId="PageNumber">
    <w:name w:val="page number"/>
    <w:uiPriority w:val="98"/>
    <w:semiHidden/>
    <w:rsid w:val="00525A5D"/>
    <w:rPr>
      <w:sz w:val="18"/>
    </w:rPr>
  </w:style>
  <w:style w:type="paragraph" w:styleId="ListBullet">
    <w:name w:val="List Bullet"/>
    <w:basedOn w:val="Normal"/>
    <w:uiPriority w:val="98"/>
    <w:semiHidden/>
    <w:rsid w:val="00525A5D"/>
    <w:pPr>
      <w:numPr>
        <w:numId w:val="11"/>
      </w:numPr>
    </w:pPr>
  </w:style>
  <w:style w:type="paragraph" w:styleId="ListBullet3">
    <w:name w:val="List Bullet 3"/>
    <w:basedOn w:val="Normal"/>
    <w:uiPriority w:val="98"/>
    <w:semiHidden/>
    <w:rsid w:val="00525A5D"/>
    <w:pPr>
      <w:numPr>
        <w:numId w:val="13"/>
      </w:numPr>
      <w:contextualSpacing/>
    </w:pPr>
  </w:style>
  <w:style w:type="character" w:customStyle="1" w:styleId="BodyText2Char">
    <w:name w:val="Body Text 2 Char"/>
    <w:basedOn w:val="DefaultParagraphFont"/>
    <w:link w:val="BodyText2"/>
    <w:uiPriority w:val="98"/>
    <w:semiHidden/>
    <w:rsid w:val="00525A5D"/>
    <w:rPr>
      <w:sz w:val="24"/>
      <w:szCs w:val="24"/>
      <w:lang w:val="en-GB"/>
    </w:rPr>
  </w:style>
  <w:style w:type="paragraph" w:styleId="BodyText3">
    <w:name w:val="Body Text 3"/>
    <w:basedOn w:val="Normal"/>
    <w:link w:val="BodyText3Char"/>
    <w:uiPriority w:val="98"/>
    <w:semiHidden/>
    <w:rsid w:val="00525A5D"/>
    <w:pPr>
      <w:spacing w:after="120"/>
    </w:pPr>
    <w:rPr>
      <w:sz w:val="16"/>
      <w:szCs w:val="16"/>
    </w:rPr>
  </w:style>
  <w:style w:type="character" w:customStyle="1" w:styleId="BodyText3Char">
    <w:name w:val="Body Text 3 Char"/>
    <w:basedOn w:val="DefaultParagraphFont"/>
    <w:link w:val="BodyText3"/>
    <w:uiPriority w:val="98"/>
    <w:semiHidden/>
    <w:rsid w:val="00525A5D"/>
    <w:rPr>
      <w:sz w:val="16"/>
      <w:szCs w:val="16"/>
      <w:lang w:val="en-GB"/>
    </w:rPr>
  </w:style>
  <w:style w:type="paragraph" w:styleId="BodyTextFirstIndent">
    <w:name w:val="Body Text First Indent"/>
    <w:basedOn w:val="BodyText"/>
    <w:link w:val="BodyTextFirstIndentChar"/>
    <w:uiPriority w:val="98"/>
    <w:semiHidden/>
    <w:rsid w:val="00525A5D"/>
    <w:pPr>
      <w:spacing w:after="0"/>
      <w:ind w:firstLine="360"/>
    </w:pPr>
  </w:style>
  <w:style w:type="character" w:customStyle="1" w:styleId="BodyTextFirstIndentChar">
    <w:name w:val="Body Text First Indent Char"/>
    <w:basedOn w:val="BodyTextChar"/>
    <w:link w:val="BodyTextFirstIndent"/>
    <w:uiPriority w:val="98"/>
    <w:semiHidden/>
    <w:rsid w:val="00525A5D"/>
    <w:rPr>
      <w:sz w:val="24"/>
      <w:szCs w:val="24"/>
      <w:lang w:val="en-GB"/>
    </w:rPr>
  </w:style>
  <w:style w:type="paragraph" w:styleId="BodyTextIndent">
    <w:name w:val="Body Text Indent"/>
    <w:basedOn w:val="Normal"/>
    <w:link w:val="BodyTextIndentChar"/>
    <w:uiPriority w:val="98"/>
    <w:semiHidden/>
    <w:rsid w:val="00525A5D"/>
    <w:pPr>
      <w:spacing w:after="120"/>
      <w:ind w:left="283"/>
    </w:pPr>
  </w:style>
  <w:style w:type="character" w:customStyle="1" w:styleId="BodyTextIndentChar">
    <w:name w:val="Body Text Indent Char"/>
    <w:basedOn w:val="DefaultParagraphFont"/>
    <w:link w:val="BodyTextIndent"/>
    <w:uiPriority w:val="98"/>
    <w:semiHidden/>
    <w:rsid w:val="00525A5D"/>
    <w:rPr>
      <w:sz w:val="24"/>
      <w:szCs w:val="24"/>
      <w:lang w:val="en-GB"/>
    </w:rPr>
  </w:style>
  <w:style w:type="paragraph" w:styleId="BodyTextFirstIndent2">
    <w:name w:val="Body Text First Indent 2"/>
    <w:basedOn w:val="BodyTextIndent"/>
    <w:link w:val="BodyTextFirstIndent2Char"/>
    <w:uiPriority w:val="98"/>
    <w:semiHidden/>
    <w:rsid w:val="00525A5D"/>
    <w:pPr>
      <w:spacing w:after="0"/>
      <w:ind w:left="360" w:firstLine="360"/>
    </w:pPr>
  </w:style>
  <w:style w:type="character" w:customStyle="1" w:styleId="BodyTextFirstIndent2Char">
    <w:name w:val="Body Text First Indent 2 Char"/>
    <w:basedOn w:val="BodyTextIndentChar"/>
    <w:link w:val="BodyTextFirstIndent2"/>
    <w:uiPriority w:val="98"/>
    <w:semiHidden/>
    <w:rsid w:val="00525A5D"/>
    <w:rPr>
      <w:sz w:val="24"/>
      <w:szCs w:val="24"/>
      <w:lang w:val="en-GB"/>
    </w:rPr>
  </w:style>
  <w:style w:type="paragraph" w:styleId="BodyTextIndent2">
    <w:name w:val="Body Text Indent 2"/>
    <w:basedOn w:val="Normal"/>
    <w:link w:val="BodyTextIndent2Char"/>
    <w:uiPriority w:val="98"/>
    <w:semiHidden/>
    <w:rsid w:val="00525A5D"/>
    <w:pPr>
      <w:spacing w:after="120" w:line="480" w:lineRule="auto"/>
      <w:ind w:left="283"/>
    </w:pPr>
  </w:style>
  <w:style w:type="character" w:customStyle="1" w:styleId="BodyTextIndent2Char">
    <w:name w:val="Body Text Indent 2 Char"/>
    <w:basedOn w:val="DefaultParagraphFont"/>
    <w:link w:val="BodyTextIndent2"/>
    <w:uiPriority w:val="98"/>
    <w:semiHidden/>
    <w:rsid w:val="00525A5D"/>
    <w:rPr>
      <w:sz w:val="24"/>
      <w:szCs w:val="24"/>
      <w:lang w:val="en-GB"/>
    </w:rPr>
  </w:style>
  <w:style w:type="paragraph" w:styleId="BodyTextIndent3">
    <w:name w:val="Body Text Indent 3"/>
    <w:basedOn w:val="Normal"/>
    <w:link w:val="BodyTextIndent3Char"/>
    <w:uiPriority w:val="98"/>
    <w:semiHidden/>
    <w:rsid w:val="00525A5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25A5D"/>
    <w:rPr>
      <w:sz w:val="16"/>
      <w:szCs w:val="16"/>
      <w:lang w:val="en-GB"/>
    </w:rPr>
  </w:style>
  <w:style w:type="paragraph" w:styleId="Caption">
    <w:name w:val="caption"/>
    <w:basedOn w:val="Normal"/>
    <w:next w:val="Normal"/>
    <w:uiPriority w:val="98"/>
    <w:semiHidden/>
    <w:qFormat/>
    <w:rsid w:val="00525A5D"/>
    <w:pPr>
      <w:spacing w:after="200"/>
    </w:pPr>
    <w:rPr>
      <w:b/>
      <w:bCs/>
      <w:color w:val="0072BC" w:themeColor="accent1"/>
      <w:sz w:val="18"/>
      <w:szCs w:val="18"/>
    </w:rPr>
  </w:style>
  <w:style w:type="paragraph" w:styleId="Closing">
    <w:name w:val="Closing"/>
    <w:basedOn w:val="Normal"/>
    <w:link w:val="ClosingChar"/>
    <w:uiPriority w:val="98"/>
    <w:semiHidden/>
    <w:rsid w:val="00525A5D"/>
    <w:pPr>
      <w:ind w:left="4252"/>
    </w:pPr>
  </w:style>
  <w:style w:type="character" w:customStyle="1" w:styleId="ClosingChar">
    <w:name w:val="Closing Char"/>
    <w:basedOn w:val="DefaultParagraphFont"/>
    <w:link w:val="Closing"/>
    <w:uiPriority w:val="98"/>
    <w:semiHidden/>
    <w:rsid w:val="00525A5D"/>
    <w:rPr>
      <w:sz w:val="24"/>
      <w:szCs w:val="24"/>
      <w:lang w:val="en-GB"/>
    </w:rPr>
  </w:style>
  <w:style w:type="table" w:styleId="ColorfulGrid">
    <w:name w:val="Colorful Grid"/>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25A5D"/>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25A5D"/>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25A5D"/>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25A5D"/>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25A5D"/>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25A5D"/>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25A5D"/>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25A5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25A5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25A5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25A5D"/>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25A5D"/>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25A5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25A5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25A5D"/>
    <w:rPr>
      <w:sz w:val="16"/>
      <w:szCs w:val="16"/>
    </w:rPr>
  </w:style>
  <w:style w:type="paragraph" w:styleId="CommentText">
    <w:name w:val="annotation text"/>
    <w:basedOn w:val="Normal"/>
    <w:link w:val="CommentTextChar"/>
    <w:uiPriority w:val="98"/>
    <w:semiHidden/>
    <w:rsid w:val="00525A5D"/>
    <w:rPr>
      <w:sz w:val="20"/>
      <w:szCs w:val="20"/>
    </w:rPr>
  </w:style>
  <w:style w:type="character" w:customStyle="1" w:styleId="CommentTextChar">
    <w:name w:val="Comment Text Char"/>
    <w:basedOn w:val="DefaultParagraphFont"/>
    <w:link w:val="CommentText"/>
    <w:uiPriority w:val="98"/>
    <w:semiHidden/>
    <w:rsid w:val="00525A5D"/>
    <w:rPr>
      <w:sz w:val="20"/>
      <w:szCs w:val="20"/>
      <w:lang w:val="en-GB"/>
    </w:rPr>
  </w:style>
  <w:style w:type="paragraph" w:styleId="CommentSubject">
    <w:name w:val="annotation subject"/>
    <w:basedOn w:val="CommentText"/>
    <w:next w:val="CommentText"/>
    <w:link w:val="CommentSubjectChar"/>
    <w:uiPriority w:val="98"/>
    <w:semiHidden/>
    <w:rsid w:val="00525A5D"/>
    <w:rPr>
      <w:b/>
      <w:bCs/>
    </w:rPr>
  </w:style>
  <w:style w:type="character" w:customStyle="1" w:styleId="CommentSubjectChar">
    <w:name w:val="Comment Subject Char"/>
    <w:basedOn w:val="CommentTextChar"/>
    <w:link w:val="CommentSubject"/>
    <w:uiPriority w:val="98"/>
    <w:semiHidden/>
    <w:rsid w:val="00525A5D"/>
    <w:rPr>
      <w:b/>
      <w:bCs/>
      <w:sz w:val="20"/>
      <w:szCs w:val="20"/>
      <w:lang w:val="en-GB"/>
    </w:rPr>
  </w:style>
  <w:style w:type="table" w:styleId="DarkList">
    <w:name w:val="Dark List"/>
    <w:basedOn w:val="TableNormal"/>
    <w:uiPriority w:val="70"/>
    <w:semiHidden/>
    <w:rsid w:val="00525A5D"/>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25A5D"/>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25A5D"/>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25A5D"/>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25A5D"/>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25A5D"/>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25A5D"/>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25A5D"/>
  </w:style>
  <w:style w:type="character" w:customStyle="1" w:styleId="DateChar">
    <w:name w:val="Date Char"/>
    <w:basedOn w:val="DefaultParagraphFont"/>
    <w:link w:val="Date"/>
    <w:uiPriority w:val="98"/>
    <w:semiHidden/>
    <w:rsid w:val="00525A5D"/>
    <w:rPr>
      <w:sz w:val="24"/>
      <w:szCs w:val="24"/>
      <w:lang w:val="en-GB"/>
    </w:rPr>
  </w:style>
  <w:style w:type="paragraph" w:styleId="DocumentMap">
    <w:name w:val="Document Map"/>
    <w:basedOn w:val="Normal"/>
    <w:link w:val="DocumentMapChar"/>
    <w:uiPriority w:val="98"/>
    <w:semiHidden/>
    <w:rsid w:val="00525A5D"/>
    <w:rPr>
      <w:rFonts w:ascii="Tahoma" w:hAnsi="Tahoma" w:cs="Tahoma"/>
      <w:sz w:val="16"/>
      <w:szCs w:val="16"/>
    </w:rPr>
  </w:style>
  <w:style w:type="character" w:customStyle="1" w:styleId="DocumentMapChar">
    <w:name w:val="Document Map Char"/>
    <w:basedOn w:val="DefaultParagraphFont"/>
    <w:link w:val="DocumentMap"/>
    <w:uiPriority w:val="98"/>
    <w:semiHidden/>
    <w:rsid w:val="00525A5D"/>
    <w:rPr>
      <w:rFonts w:ascii="Tahoma" w:hAnsi="Tahoma" w:cs="Tahoma"/>
      <w:sz w:val="16"/>
      <w:szCs w:val="16"/>
      <w:lang w:val="en-GB"/>
    </w:rPr>
  </w:style>
  <w:style w:type="paragraph" w:styleId="E-mailSignature">
    <w:name w:val="E-mail Signature"/>
    <w:basedOn w:val="Normal"/>
    <w:link w:val="E-mailSignatureChar"/>
    <w:uiPriority w:val="98"/>
    <w:semiHidden/>
    <w:rsid w:val="00525A5D"/>
  </w:style>
  <w:style w:type="character" w:customStyle="1" w:styleId="E-mailSignatureChar">
    <w:name w:val="E-mail Signature Char"/>
    <w:basedOn w:val="DefaultParagraphFont"/>
    <w:link w:val="E-mailSignature"/>
    <w:uiPriority w:val="98"/>
    <w:semiHidden/>
    <w:rsid w:val="00525A5D"/>
    <w:rPr>
      <w:sz w:val="24"/>
      <w:szCs w:val="24"/>
      <w:lang w:val="en-GB"/>
    </w:rPr>
  </w:style>
  <w:style w:type="character" w:styleId="EndnoteReference">
    <w:name w:val="endnote reference"/>
    <w:basedOn w:val="DefaultParagraphFont"/>
    <w:uiPriority w:val="98"/>
    <w:semiHidden/>
    <w:rsid w:val="00525A5D"/>
    <w:rPr>
      <w:vertAlign w:val="superscript"/>
    </w:rPr>
  </w:style>
  <w:style w:type="paragraph" w:styleId="EndnoteText">
    <w:name w:val="endnote text"/>
    <w:basedOn w:val="Normal"/>
    <w:link w:val="EndnoteTextChar"/>
    <w:uiPriority w:val="98"/>
    <w:semiHidden/>
    <w:rsid w:val="00525A5D"/>
    <w:rPr>
      <w:sz w:val="20"/>
      <w:szCs w:val="20"/>
    </w:rPr>
  </w:style>
  <w:style w:type="character" w:customStyle="1" w:styleId="EndnoteTextChar">
    <w:name w:val="Endnote Text Char"/>
    <w:basedOn w:val="DefaultParagraphFont"/>
    <w:link w:val="EndnoteText"/>
    <w:uiPriority w:val="98"/>
    <w:semiHidden/>
    <w:rsid w:val="00525A5D"/>
    <w:rPr>
      <w:sz w:val="20"/>
      <w:szCs w:val="20"/>
      <w:lang w:val="en-GB"/>
    </w:rPr>
  </w:style>
  <w:style w:type="paragraph" w:styleId="EnvelopeAddress">
    <w:name w:val="envelope address"/>
    <w:basedOn w:val="Normal"/>
    <w:uiPriority w:val="98"/>
    <w:semiHidden/>
    <w:rsid w:val="00525A5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25A5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25A5D"/>
    <w:rPr>
      <w:color w:val="7030A0" w:themeColor="followedHyperlink"/>
      <w:u w:val="single"/>
    </w:rPr>
  </w:style>
  <w:style w:type="character" w:styleId="HTMLAcronym">
    <w:name w:val="HTML Acronym"/>
    <w:basedOn w:val="DefaultParagraphFont"/>
    <w:uiPriority w:val="98"/>
    <w:semiHidden/>
    <w:rsid w:val="00525A5D"/>
  </w:style>
  <w:style w:type="paragraph" w:styleId="HTMLAddress">
    <w:name w:val="HTML Address"/>
    <w:basedOn w:val="Normal"/>
    <w:link w:val="HTMLAddressChar"/>
    <w:uiPriority w:val="98"/>
    <w:semiHidden/>
    <w:rsid w:val="00525A5D"/>
    <w:rPr>
      <w:i/>
      <w:iCs/>
    </w:rPr>
  </w:style>
  <w:style w:type="character" w:customStyle="1" w:styleId="HTMLAddressChar">
    <w:name w:val="HTML Address Char"/>
    <w:basedOn w:val="DefaultParagraphFont"/>
    <w:link w:val="HTMLAddress"/>
    <w:uiPriority w:val="98"/>
    <w:semiHidden/>
    <w:rsid w:val="00525A5D"/>
    <w:rPr>
      <w:i/>
      <w:iCs/>
      <w:sz w:val="24"/>
      <w:szCs w:val="24"/>
      <w:lang w:val="en-GB"/>
    </w:rPr>
  </w:style>
  <w:style w:type="character" w:styleId="HTMLCite">
    <w:name w:val="HTML Cite"/>
    <w:basedOn w:val="DefaultParagraphFont"/>
    <w:uiPriority w:val="98"/>
    <w:semiHidden/>
    <w:rsid w:val="00525A5D"/>
    <w:rPr>
      <w:i/>
      <w:iCs/>
    </w:rPr>
  </w:style>
  <w:style w:type="character" w:styleId="HTMLCode">
    <w:name w:val="HTML Code"/>
    <w:basedOn w:val="DefaultParagraphFont"/>
    <w:uiPriority w:val="98"/>
    <w:semiHidden/>
    <w:rsid w:val="00525A5D"/>
    <w:rPr>
      <w:rFonts w:ascii="Consolas" w:hAnsi="Consolas" w:cs="Consolas"/>
      <w:sz w:val="20"/>
      <w:szCs w:val="20"/>
    </w:rPr>
  </w:style>
  <w:style w:type="character" w:styleId="HTMLDefinition">
    <w:name w:val="HTML Definition"/>
    <w:basedOn w:val="DefaultParagraphFont"/>
    <w:uiPriority w:val="98"/>
    <w:semiHidden/>
    <w:rsid w:val="00525A5D"/>
    <w:rPr>
      <w:i/>
      <w:iCs/>
    </w:rPr>
  </w:style>
  <w:style w:type="character" w:styleId="HTMLKeyboard">
    <w:name w:val="HTML Keyboard"/>
    <w:basedOn w:val="DefaultParagraphFont"/>
    <w:uiPriority w:val="98"/>
    <w:semiHidden/>
    <w:rsid w:val="00525A5D"/>
    <w:rPr>
      <w:rFonts w:ascii="Consolas" w:hAnsi="Consolas" w:cs="Consolas"/>
      <w:sz w:val="20"/>
      <w:szCs w:val="20"/>
    </w:rPr>
  </w:style>
  <w:style w:type="paragraph" w:styleId="HTMLPreformatted">
    <w:name w:val="HTML Preformatted"/>
    <w:basedOn w:val="Normal"/>
    <w:link w:val="HTMLPreformattedChar"/>
    <w:uiPriority w:val="98"/>
    <w:semiHidden/>
    <w:rsid w:val="00525A5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25A5D"/>
    <w:rPr>
      <w:rFonts w:ascii="Consolas" w:hAnsi="Consolas" w:cs="Consolas"/>
      <w:sz w:val="20"/>
      <w:szCs w:val="20"/>
      <w:lang w:val="en-GB"/>
    </w:rPr>
  </w:style>
  <w:style w:type="character" w:styleId="HTMLSample">
    <w:name w:val="HTML Sample"/>
    <w:basedOn w:val="DefaultParagraphFont"/>
    <w:uiPriority w:val="98"/>
    <w:semiHidden/>
    <w:rsid w:val="00525A5D"/>
    <w:rPr>
      <w:rFonts w:ascii="Consolas" w:hAnsi="Consolas" w:cs="Consolas"/>
      <w:sz w:val="24"/>
      <w:szCs w:val="24"/>
    </w:rPr>
  </w:style>
  <w:style w:type="character" w:styleId="HTMLTypewriter">
    <w:name w:val="HTML Typewriter"/>
    <w:basedOn w:val="DefaultParagraphFont"/>
    <w:uiPriority w:val="98"/>
    <w:semiHidden/>
    <w:rsid w:val="00525A5D"/>
    <w:rPr>
      <w:rFonts w:ascii="Consolas" w:hAnsi="Consolas" w:cs="Consolas"/>
      <w:sz w:val="20"/>
      <w:szCs w:val="20"/>
    </w:rPr>
  </w:style>
  <w:style w:type="character" w:styleId="HTMLVariable">
    <w:name w:val="HTML Variable"/>
    <w:basedOn w:val="DefaultParagraphFont"/>
    <w:uiPriority w:val="98"/>
    <w:semiHidden/>
    <w:rsid w:val="00525A5D"/>
    <w:rPr>
      <w:i/>
      <w:iCs/>
    </w:rPr>
  </w:style>
  <w:style w:type="paragraph" w:styleId="Index1">
    <w:name w:val="index 1"/>
    <w:basedOn w:val="Normal"/>
    <w:next w:val="Normal"/>
    <w:autoRedefine/>
    <w:uiPriority w:val="98"/>
    <w:semiHidden/>
    <w:rsid w:val="00525A5D"/>
    <w:pPr>
      <w:ind w:left="240" w:hanging="240"/>
    </w:pPr>
  </w:style>
  <w:style w:type="paragraph" w:styleId="Index2">
    <w:name w:val="index 2"/>
    <w:basedOn w:val="Normal"/>
    <w:next w:val="Normal"/>
    <w:autoRedefine/>
    <w:uiPriority w:val="98"/>
    <w:semiHidden/>
    <w:rsid w:val="00525A5D"/>
    <w:pPr>
      <w:ind w:left="480" w:hanging="240"/>
    </w:pPr>
  </w:style>
  <w:style w:type="paragraph" w:styleId="Index3">
    <w:name w:val="index 3"/>
    <w:basedOn w:val="Normal"/>
    <w:next w:val="Normal"/>
    <w:autoRedefine/>
    <w:uiPriority w:val="98"/>
    <w:semiHidden/>
    <w:rsid w:val="00525A5D"/>
    <w:pPr>
      <w:ind w:left="720" w:hanging="240"/>
    </w:pPr>
  </w:style>
  <w:style w:type="paragraph" w:styleId="Index4">
    <w:name w:val="index 4"/>
    <w:basedOn w:val="Normal"/>
    <w:next w:val="Normal"/>
    <w:autoRedefine/>
    <w:uiPriority w:val="98"/>
    <w:semiHidden/>
    <w:rsid w:val="00525A5D"/>
    <w:pPr>
      <w:ind w:left="960" w:hanging="240"/>
    </w:pPr>
  </w:style>
  <w:style w:type="paragraph" w:styleId="Index5">
    <w:name w:val="index 5"/>
    <w:basedOn w:val="Normal"/>
    <w:next w:val="Normal"/>
    <w:autoRedefine/>
    <w:uiPriority w:val="98"/>
    <w:semiHidden/>
    <w:rsid w:val="00525A5D"/>
    <w:pPr>
      <w:ind w:left="1200" w:hanging="240"/>
    </w:pPr>
  </w:style>
  <w:style w:type="paragraph" w:styleId="Index6">
    <w:name w:val="index 6"/>
    <w:basedOn w:val="Normal"/>
    <w:next w:val="Normal"/>
    <w:autoRedefine/>
    <w:uiPriority w:val="98"/>
    <w:semiHidden/>
    <w:rsid w:val="00525A5D"/>
    <w:pPr>
      <w:ind w:left="1440" w:hanging="240"/>
    </w:pPr>
  </w:style>
  <w:style w:type="paragraph" w:styleId="Index7">
    <w:name w:val="index 7"/>
    <w:basedOn w:val="Normal"/>
    <w:next w:val="Normal"/>
    <w:autoRedefine/>
    <w:uiPriority w:val="98"/>
    <w:semiHidden/>
    <w:rsid w:val="00525A5D"/>
    <w:pPr>
      <w:ind w:left="1680" w:hanging="240"/>
    </w:pPr>
  </w:style>
  <w:style w:type="paragraph" w:styleId="Index8">
    <w:name w:val="index 8"/>
    <w:basedOn w:val="Normal"/>
    <w:next w:val="Normal"/>
    <w:autoRedefine/>
    <w:uiPriority w:val="98"/>
    <w:semiHidden/>
    <w:rsid w:val="00525A5D"/>
    <w:pPr>
      <w:ind w:left="1920" w:hanging="240"/>
    </w:pPr>
  </w:style>
  <w:style w:type="paragraph" w:styleId="Index9">
    <w:name w:val="index 9"/>
    <w:basedOn w:val="Normal"/>
    <w:next w:val="Normal"/>
    <w:autoRedefine/>
    <w:uiPriority w:val="98"/>
    <w:semiHidden/>
    <w:rsid w:val="00525A5D"/>
    <w:pPr>
      <w:ind w:left="2160" w:hanging="240"/>
    </w:pPr>
  </w:style>
  <w:style w:type="paragraph" w:styleId="IndexHeading">
    <w:name w:val="index heading"/>
    <w:basedOn w:val="Normal"/>
    <w:next w:val="Index1"/>
    <w:uiPriority w:val="98"/>
    <w:semiHidden/>
    <w:rsid w:val="00525A5D"/>
    <w:rPr>
      <w:rFonts w:asciiTheme="majorHAnsi" w:eastAsiaTheme="majorEastAsia" w:hAnsiTheme="majorHAnsi" w:cstheme="majorBidi"/>
      <w:b/>
      <w:bCs/>
    </w:rPr>
  </w:style>
  <w:style w:type="table" w:styleId="LightGrid">
    <w:name w:val="Light Grid"/>
    <w:basedOn w:val="TableNormal"/>
    <w:uiPriority w:val="62"/>
    <w:semiHidden/>
    <w:rsid w:val="00525A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25A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25A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25A5D"/>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25A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25A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25A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25A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25A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25A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25A5D"/>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25A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25A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25A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25A5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25A5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25A5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25A5D"/>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25A5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25A5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25A5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25A5D"/>
  </w:style>
  <w:style w:type="paragraph" w:styleId="List">
    <w:name w:val="List"/>
    <w:basedOn w:val="Normal"/>
    <w:uiPriority w:val="98"/>
    <w:semiHidden/>
    <w:rsid w:val="00525A5D"/>
    <w:pPr>
      <w:ind w:left="283" w:hanging="283"/>
      <w:contextualSpacing/>
    </w:pPr>
  </w:style>
  <w:style w:type="paragraph" w:styleId="List20">
    <w:name w:val="List 2"/>
    <w:basedOn w:val="Normal"/>
    <w:uiPriority w:val="98"/>
    <w:semiHidden/>
    <w:rsid w:val="00525A5D"/>
    <w:pPr>
      <w:ind w:left="566" w:hanging="283"/>
      <w:contextualSpacing/>
    </w:pPr>
  </w:style>
  <w:style w:type="paragraph" w:styleId="List30">
    <w:name w:val="List 3"/>
    <w:basedOn w:val="Normal"/>
    <w:uiPriority w:val="98"/>
    <w:semiHidden/>
    <w:rsid w:val="00525A5D"/>
    <w:pPr>
      <w:ind w:left="849" w:hanging="283"/>
      <w:contextualSpacing/>
    </w:pPr>
  </w:style>
  <w:style w:type="paragraph" w:styleId="List4">
    <w:name w:val="List 4"/>
    <w:basedOn w:val="Normal"/>
    <w:uiPriority w:val="98"/>
    <w:semiHidden/>
    <w:rsid w:val="00525A5D"/>
    <w:pPr>
      <w:ind w:left="1132" w:hanging="283"/>
      <w:contextualSpacing/>
    </w:pPr>
  </w:style>
  <w:style w:type="paragraph" w:styleId="List5">
    <w:name w:val="List 5"/>
    <w:basedOn w:val="Normal"/>
    <w:uiPriority w:val="98"/>
    <w:semiHidden/>
    <w:rsid w:val="00525A5D"/>
    <w:pPr>
      <w:ind w:left="1415" w:hanging="283"/>
      <w:contextualSpacing/>
    </w:pPr>
  </w:style>
  <w:style w:type="paragraph" w:styleId="ListBullet2">
    <w:name w:val="List Bullet 2"/>
    <w:basedOn w:val="Normal"/>
    <w:uiPriority w:val="98"/>
    <w:semiHidden/>
    <w:rsid w:val="00525A5D"/>
    <w:pPr>
      <w:numPr>
        <w:numId w:val="12"/>
      </w:numPr>
      <w:contextualSpacing/>
    </w:pPr>
  </w:style>
  <w:style w:type="paragraph" w:styleId="ListBullet4">
    <w:name w:val="List Bullet 4"/>
    <w:basedOn w:val="Normal"/>
    <w:uiPriority w:val="98"/>
    <w:semiHidden/>
    <w:rsid w:val="00525A5D"/>
    <w:pPr>
      <w:numPr>
        <w:numId w:val="14"/>
      </w:numPr>
      <w:contextualSpacing/>
    </w:pPr>
  </w:style>
  <w:style w:type="paragraph" w:styleId="ListBullet5">
    <w:name w:val="List Bullet 5"/>
    <w:basedOn w:val="Normal"/>
    <w:uiPriority w:val="98"/>
    <w:semiHidden/>
    <w:rsid w:val="00525A5D"/>
    <w:pPr>
      <w:numPr>
        <w:numId w:val="15"/>
      </w:numPr>
      <w:contextualSpacing/>
    </w:pPr>
  </w:style>
  <w:style w:type="paragraph" w:styleId="ListContinue">
    <w:name w:val="List Continue"/>
    <w:basedOn w:val="Normal"/>
    <w:uiPriority w:val="98"/>
    <w:semiHidden/>
    <w:rsid w:val="00525A5D"/>
    <w:pPr>
      <w:spacing w:after="120"/>
      <w:ind w:left="283"/>
      <w:contextualSpacing/>
    </w:pPr>
  </w:style>
  <w:style w:type="paragraph" w:styleId="ListContinue2">
    <w:name w:val="List Continue 2"/>
    <w:basedOn w:val="Normal"/>
    <w:uiPriority w:val="98"/>
    <w:semiHidden/>
    <w:rsid w:val="00525A5D"/>
    <w:pPr>
      <w:spacing w:after="120"/>
      <w:ind w:left="566"/>
      <w:contextualSpacing/>
    </w:pPr>
  </w:style>
  <w:style w:type="paragraph" w:styleId="ListContinue3">
    <w:name w:val="List Continue 3"/>
    <w:basedOn w:val="Normal"/>
    <w:uiPriority w:val="98"/>
    <w:semiHidden/>
    <w:rsid w:val="00525A5D"/>
    <w:pPr>
      <w:spacing w:after="120"/>
      <w:ind w:left="849"/>
      <w:contextualSpacing/>
    </w:pPr>
  </w:style>
  <w:style w:type="paragraph" w:styleId="ListContinue4">
    <w:name w:val="List Continue 4"/>
    <w:basedOn w:val="Normal"/>
    <w:uiPriority w:val="98"/>
    <w:semiHidden/>
    <w:rsid w:val="00525A5D"/>
    <w:pPr>
      <w:spacing w:after="120"/>
      <w:ind w:left="1132"/>
      <w:contextualSpacing/>
    </w:pPr>
  </w:style>
  <w:style w:type="paragraph" w:styleId="ListContinue5">
    <w:name w:val="List Continue 5"/>
    <w:basedOn w:val="Normal"/>
    <w:uiPriority w:val="98"/>
    <w:semiHidden/>
    <w:rsid w:val="00525A5D"/>
    <w:pPr>
      <w:spacing w:after="120"/>
      <w:ind w:left="1415"/>
      <w:contextualSpacing/>
    </w:pPr>
  </w:style>
  <w:style w:type="paragraph" w:styleId="ListNumber">
    <w:name w:val="List Number"/>
    <w:basedOn w:val="Normal"/>
    <w:uiPriority w:val="98"/>
    <w:semiHidden/>
    <w:rsid w:val="00525A5D"/>
    <w:pPr>
      <w:numPr>
        <w:numId w:val="16"/>
      </w:numPr>
      <w:contextualSpacing/>
    </w:pPr>
  </w:style>
  <w:style w:type="paragraph" w:styleId="ListNumber2">
    <w:name w:val="List Number 2"/>
    <w:basedOn w:val="Normal"/>
    <w:uiPriority w:val="98"/>
    <w:semiHidden/>
    <w:rsid w:val="00525A5D"/>
    <w:pPr>
      <w:numPr>
        <w:numId w:val="17"/>
      </w:numPr>
      <w:contextualSpacing/>
    </w:pPr>
  </w:style>
  <w:style w:type="paragraph" w:styleId="ListNumber3">
    <w:name w:val="List Number 3"/>
    <w:basedOn w:val="Normal"/>
    <w:uiPriority w:val="98"/>
    <w:semiHidden/>
    <w:rsid w:val="00525A5D"/>
    <w:pPr>
      <w:numPr>
        <w:numId w:val="18"/>
      </w:numPr>
      <w:contextualSpacing/>
    </w:pPr>
  </w:style>
  <w:style w:type="paragraph" w:styleId="ListNumber4">
    <w:name w:val="List Number 4"/>
    <w:basedOn w:val="Normal"/>
    <w:uiPriority w:val="98"/>
    <w:semiHidden/>
    <w:rsid w:val="00525A5D"/>
    <w:pPr>
      <w:numPr>
        <w:numId w:val="19"/>
      </w:numPr>
      <w:contextualSpacing/>
    </w:pPr>
  </w:style>
  <w:style w:type="paragraph" w:styleId="ListNumber5">
    <w:name w:val="List Number 5"/>
    <w:basedOn w:val="Normal"/>
    <w:uiPriority w:val="98"/>
    <w:semiHidden/>
    <w:rsid w:val="00525A5D"/>
    <w:pPr>
      <w:numPr>
        <w:numId w:val="20"/>
      </w:numPr>
      <w:contextualSpacing/>
    </w:pPr>
  </w:style>
  <w:style w:type="paragraph" w:styleId="Macro">
    <w:name w:val="macro"/>
    <w:link w:val="MacroTextChar"/>
    <w:uiPriority w:val="98"/>
    <w:semiHidden/>
    <w:rsid w:val="00525A5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25A5D"/>
    <w:rPr>
      <w:rFonts w:ascii="Consolas" w:hAnsi="Consolas" w:eastAsiaTheme="minorEastAsia" w:cs="Consolas"/>
      <w:sz w:val="20"/>
      <w:szCs w:val="20"/>
    </w:rPr>
  </w:style>
  <w:style w:type="table" w:styleId="MediumGrid1">
    <w:name w:val="Medium Grid 1"/>
    <w:basedOn w:val="TableNormal"/>
    <w:uiPriority w:val="67"/>
    <w:semiHidden/>
    <w:rsid w:val="00525A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25A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25A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25A5D"/>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25A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25A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25A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25A5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25A5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25A5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25A5D"/>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25A5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25A5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25A5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25A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25A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25A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25A5D"/>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25A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25A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25A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25A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25A5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25A5D"/>
    <w:rPr>
      <w:rFonts w:ascii="Times New Roman" w:hAnsi="Times New Roman" w:cs="Times New Roman"/>
    </w:rPr>
  </w:style>
  <w:style w:type="paragraph" w:styleId="NormalIndent">
    <w:name w:val="Normal Indent"/>
    <w:basedOn w:val="Normal"/>
    <w:uiPriority w:val="98"/>
    <w:semiHidden/>
    <w:rsid w:val="00525A5D"/>
    <w:pPr>
      <w:ind w:left="720"/>
    </w:pPr>
  </w:style>
  <w:style w:type="paragraph" w:styleId="NoteHeading">
    <w:name w:val="Note Heading"/>
    <w:basedOn w:val="Normal"/>
    <w:next w:val="Normal"/>
    <w:link w:val="NoteHeadingChar"/>
    <w:uiPriority w:val="98"/>
    <w:semiHidden/>
    <w:rsid w:val="00525A5D"/>
  </w:style>
  <w:style w:type="character" w:customStyle="1" w:styleId="NoteHeadingChar">
    <w:name w:val="Note Heading Char"/>
    <w:basedOn w:val="DefaultParagraphFont"/>
    <w:link w:val="NoteHeading"/>
    <w:uiPriority w:val="98"/>
    <w:semiHidden/>
    <w:rsid w:val="00525A5D"/>
    <w:rPr>
      <w:sz w:val="24"/>
      <w:szCs w:val="24"/>
      <w:lang w:val="en-GB"/>
    </w:rPr>
  </w:style>
  <w:style w:type="character" w:styleId="PlaceholderText">
    <w:name w:val="Placeholder Text"/>
    <w:basedOn w:val="DefaultParagraphFont"/>
    <w:uiPriority w:val="98"/>
    <w:semiHidden/>
    <w:rsid w:val="00525A5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25A5D"/>
    <w:rPr>
      <w:rFonts w:ascii="Consolas" w:hAnsi="Consolas" w:cs="Consolas"/>
      <w:sz w:val="21"/>
      <w:szCs w:val="21"/>
    </w:rPr>
  </w:style>
  <w:style w:type="character" w:customStyle="1" w:styleId="PlainTextChar">
    <w:name w:val="Plain Text Char"/>
    <w:basedOn w:val="DefaultParagraphFont"/>
    <w:link w:val="PlainText"/>
    <w:uiPriority w:val="98"/>
    <w:semiHidden/>
    <w:rsid w:val="00525A5D"/>
    <w:rPr>
      <w:rFonts w:ascii="Consolas" w:hAnsi="Consolas" w:cs="Consolas"/>
      <w:sz w:val="21"/>
      <w:szCs w:val="21"/>
      <w:lang w:val="en-GB"/>
    </w:rPr>
  </w:style>
  <w:style w:type="paragraph" w:styleId="Salutation">
    <w:name w:val="Salutation"/>
    <w:basedOn w:val="Normal"/>
    <w:next w:val="Normal"/>
    <w:link w:val="SalutationChar"/>
    <w:uiPriority w:val="98"/>
    <w:semiHidden/>
    <w:rsid w:val="00525A5D"/>
  </w:style>
  <w:style w:type="character" w:customStyle="1" w:styleId="SalutationChar">
    <w:name w:val="Salutation Char"/>
    <w:basedOn w:val="DefaultParagraphFont"/>
    <w:link w:val="Salutation"/>
    <w:uiPriority w:val="98"/>
    <w:semiHidden/>
    <w:rsid w:val="00525A5D"/>
    <w:rPr>
      <w:sz w:val="24"/>
      <w:szCs w:val="24"/>
      <w:lang w:val="en-GB"/>
    </w:rPr>
  </w:style>
  <w:style w:type="paragraph" w:styleId="Signature0">
    <w:name w:val="Signature"/>
    <w:basedOn w:val="Normal"/>
    <w:link w:val="SignatureChar"/>
    <w:uiPriority w:val="98"/>
    <w:semiHidden/>
    <w:rsid w:val="00525A5D"/>
    <w:pPr>
      <w:ind w:left="4252"/>
    </w:pPr>
  </w:style>
  <w:style w:type="character" w:customStyle="1" w:styleId="SignatureChar">
    <w:name w:val="Signature Char"/>
    <w:basedOn w:val="DefaultParagraphFont"/>
    <w:link w:val="Signature0"/>
    <w:uiPriority w:val="98"/>
    <w:semiHidden/>
    <w:rsid w:val="00525A5D"/>
    <w:rPr>
      <w:sz w:val="24"/>
      <w:szCs w:val="24"/>
      <w:lang w:val="en-GB"/>
    </w:rPr>
  </w:style>
  <w:style w:type="table" w:styleId="Table3Deffects1">
    <w:name w:val="Table 3D effects 1"/>
    <w:basedOn w:val="TableNormal"/>
    <w:uiPriority w:val="99"/>
    <w:semiHidden/>
    <w:unhideWhenUsed/>
    <w:rsid w:val="00525A5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25A5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25A5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25A5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25A5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25A5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25A5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25A5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25A5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25A5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25A5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25A5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25A5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25A5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25A5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25A5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25A5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25A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25A5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25A5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25A5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25A5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25A5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25A5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25A5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25A5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25A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25A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25A5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25A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25A5D"/>
    <w:pPr>
      <w:ind w:left="240" w:hanging="240"/>
    </w:pPr>
  </w:style>
  <w:style w:type="paragraph" w:styleId="TableofFigures">
    <w:name w:val="table of figures"/>
    <w:basedOn w:val="Normal"/>
    <w:next w:val="Normal"/>
    <w:uiPriority w:val="98"/>
    <w:semiHidden/>
    <w:rsid w:val="00525A5D"/>
  </w:style>
  <w:style w:type="table" w:styleId="TableProfessional">
    <w:name w:val="Table Professional"/>
    <w:basedOn w:val="TableNormal"/>
    <w:uiPriority w:val="99"/>
    <w:semiHidden/>
    <w:unhideWhenUsed/>
    <w:rsid w:val="00525A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25A5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25A5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25A5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25A5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25A5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25A5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25A5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25A5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25A5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25A5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25A5D"/>
    <w:pPr>
      <w:spacing w:after="100"/>
      <w:ind w:left="1680"/>
    </w:pPr>
  </w:style>
  <w:style w:type="paragraph" w:styleId="TOC9">
    <w:name w:val="toc 9"/>
    <w:basedOn w:val="Normal"/>
    <w:next w:val="Normal"/>
    <w:autoRedefine/>
    <w:uiPriority w:val="98"/>
    <w:semiHidden/>
    <w:rsid w:val="00525A5D"/>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25A5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25A5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25A5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525A5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25A5D"/>
    <w:pPr>
      <w:numPr>
        <w:numId w:val="7"/>
      </w:numPr>
      <w:spacing w:before="60" w:after="60"/>
    </w:pPr>
  </w:style>
  <w:style w:type="paragraph" w:customStyle="1" w:styleId="ECHRBullet2">
    <w:name w:val="ECHR_Bullet_2"/>
    <w:aliases w:val="_Bul_2"/>
    <w:basedOn w:val="ECHRBullet1"/>
    <w:uiPriority w:val="23"/>
    <w:semiHidden/>
    <w:rsid w:val="00525A5D"/>
    <w:pPr>
      <w:numPr>
        <w:ilvl w:val="1"/>
      </w:numPr>
    </w:pPr>
  </w:style>
  <w:style w:type="paragraph" w:customStyle="1" w:styleId="ECHRBullet3">
    <w:name w:val="ECHR_Bullet_3"/>
    <w:aliases w:val="_Bul_3"/>
    <w:basedOn w:val="ECHRBullet2"/>
    <w:uiPriority w:val="23"/>
    <w:semiHidden/>
    <w:rsid w:val="00525A5D"/>
    <w:pPr>
      <w:numPr>
        <w:ilvl w:val="2"/>
      </w:numPr>
    </w:pPr>
  </w:style>
  <w:style w:type="paragraph" w:customStyle="1" w:styleId="ECHRBullet4">
    <w:name w:val="ECHR_Bullet_4"/>
    <w:aliases w:val="_Bul_4"/>
    <w:basedOn w:val="ECHRBullet3"/>
    <w:uiPriority w:val="23"/>
    <w:semiHidden/>
    <w:rsid w:val="00525A5D"/>
    <w:pPr>
      <w:numPr>
        <w:ilvl w:val="3"/>
      </w:numPr>
    </w:pPr>
  </w:style>
  <w:style w:type="paragraph" w:customStyle="1" w:styleId="ECHRConfidential">
    <w:name w:val="ECHR_Confidential"/>
    <w:aliases w:val="_Confidential"/>
    <w:basedOn w:val="Normal"/>
    <w:next w:val="Normal"/>
    <w:uiPriority w:val="42"/>
    <w:semiHidden/>
    <w:qFormat/>
    <w:rsid w:val="00525A5D"/>
    <w:pPr>
      <w:jc w:val="right"/>
    </w:pPr>
    <w:rPr>
      <w:color w:val="C00000"/>
      <w:sz w:val="20"/>
    </w:rPr>
  </w:style>
  <w:style w:type="paragraph" w:customStyle="1" w:styleId="ECHRDecisionBody">
    <w:name w:val="ECHR_Decision_Body"/>
    <w:aliases w:val="_Decision_Body"/>
    <w:basedOn w:val="NormalJustified"/>
    <w:uiPriority w:val="54"/>
    <w:semiHidden/>
    <w:rsid w:val="00525A5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25A5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25A5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25A5D"/>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25A5D"/>
    <w:pPr>
      <w:jc w:val="right"/>
    </w:pPr>
    <w:rPr>
      <w:sz w:val="20"/>
    </w:rPr>
  </w:style>
  <w:style w:type="paragraph" w:customStyle="1" w:styleId="ECHRHeaderRefIt">
    <w:name w:val="ECHR_Header_Ref_It"/>
    <w:aliases w:val="_Ref_Ital"/>
    <w:basedOn w:val="Normal"/>
    <w:next w:val="ECHRHeaderDate"/>
    <w:uiPriority w:val="43"/>
    <w:semiHidden/>
    <w:qFormat/>
    <w:rsid w:val="00525A5D"/>
    <w:pPr>
      <w:jc w:val="right"/>
    </w:pPr>
    <w:rPr>
      <w:i/>
      <w:sz w:val="20"/>
    </w:rPr>
  </w:style>
  <w:style w:type="paragraph" w:customStyle="1" w:styleId="ECHRHeading9">
    <w:name w:val="ECHR_Heading_9"/>
    <w:aliases w:val="_Head_9"/>
    <w:basedOn w:val="Heading9"/>
    <w:uiPriority w:val="17"/>
    <w:semiHidden/>
    <w:rsid w:val="00525A5D"/>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25A5D"/>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25A5D"/>
    <w:pPr>
      <w:numPr>
        <w:numId w:val="8"/>
      </w:numPr>
      <w:spacing w:before="60" w:after="60"/>
    </w:pPr>
  </w:style>
  <w:style w:type="paragraph" w:customStyle="1" w:styleId="ECHRNumberedList2">
    <w:name w:val="ECHR_Numbered_List_2"/>
    <w:aliases w:val="_Num_2"/>
    <w:basedOn w:val="ECHRNumberedList1"/>
    <w:uiPriority w:val="23"/>
    <w:semiHidden/>
    <w:rsid w:val="00525A5D"/>
    <w:pPr>
      <w:numPr>
        <w:ilvl w:val="1"/>
      </w:numPr>
    </w:pPr>
  </w:style>
  <w:style w:type="paragraph" w:customStyle="1" w:styleId="ECHRNumberedList3">
    <w:name w:val="ECHR_Numbered_List_3"/>
    <w:aliases w:val="_Num_3"/>
    <w:basedOn w:val="ECHRNumberedList2"/>
    <w:uiPriority w:val="23"/>
    <w:semiHidden/>
    <w:rsid w:val="00525A5D"/>
    <w:pPr>
      <w:numPr>
        <w:ilvl w:val="2"/>
      </w:numPr>
    </w:pPr>
  </w:style>
  <w:style w:type="paragraph" w:customStyle="1" w:styleId="ECHRParaHanging">
    <w:name w:val="ECHR_Para_Hanging"/>
    <w:aliases w:val="_Hanging"/>
    <w:basedOn w:val="NormalJustified"/>
    <w:uiPriority w:val="8"/>
    <w:semiHidden/>
    <w:qFormat/>
    <w:rsid w:val="00525A5D"/>
    <w:pPr>
      <w:ind w:left="567" w:hanging="567"/>
    </w:pPr>
  </w:style>
  <w:style w:type="paragraph" w:customStyle="1" w:styleId="ECHRParaIndent">
    <w:name w:val="ECHR_Para_Indent"/>
    <w:aliases w:val="_Indent"/>
    <w:basedOn w:val="NormalJustified"/>
    <w:uiPriority w:val="7"/>
    <w:semiHidden/>
    <w:qFormat/>
    <w:rsid w:val="00525A5D"/>
    <w:pPr>
      <w:spacing w:before="120" w:after="120"/>
      <w:ind w:left="284"/>
    </w:pPr>
  </w:style>
  <w:style w:type="character" w:customStyle="1" w:styleId="ECHRRed">
    <w:name w:val="ECHR_Red"/>
    <w:aliases w:val="_Red"/>
    <w:basedOn w:val="DefaultParagraphFont"/>
    <w:uiPriority w:val="15"/>
    <w:semiHidden/>
    <w:qFormat/>
    <w:rsid w:val="00525A5D"/>
    <w:rPr>
      <w:color w:val="C00000" w:themeColor="accent2"/>
    </w:rPr>
  </w:style>
  <w:style w:type="paragraph" w:customStyle="1" w:styleId="DecList">
    <w:name w:val="Dec_List"/>
    <w:aliases w:val="_List"/>
    <w:basedOn w:val="JuList"/>
    <w:uiPriority w:val="22"/>
    <w:rsid w:val="00525A5D"/>
    <w:pPr>
      <w:numPr>
        <w:numId w:val="0"/>
      </w:numPr>
      <w:ind w:left="284"/>
    </w:pPr>
  </w:style>
  <w:style w:type="table" w:customStyle="1" w:styleId="ECHRTable2">
    <w:name w:val="ECHR_Table_2"/>
    <w:basedOn w:val="TableNormal"/>
    <w:uiPriority w:val="99"/>
    <w:rsid w:val="00525A5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25A5D"/>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25A5D"/>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25A5D"/>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25A5D"/>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25A5D"/>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25A5D"/>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25A5D"/>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25A5D"/>
    <w:pPr>
      <w:outlineLvl w:val="0"/>
    </w:pPr>
  </w:style>
  <w:style w:type="paragraph" w:customStyle="1" w:styleId="ECHRTitleTOC1">
    <w:name w:val="ECHR_Title_TOC_1"/>
    <w:aliases w:val="_Title_L_TOC"/>
    <w:basedOn w:val="ECHRTitle1"/>
    <w:next w:val="Normal"/>
    <w:uiPriority w:val="27"/>
    <w:semiHidden/>
    <w:qFormat/>
    <w:rsid w:val="00525A5D"/>
    <w:pPr>
      <w:outlineLvl w:val="0"/>
    </w:pPr>
  </w:style>
  <w:style w:type="paragraph" w:customStyle="1" w:styleId="ECHRPlaceholder">
    <w:name w:val="ECHR_Placeholder"/>
    <w:aliases w:val="_Placeholder"/>
    <w:basedOn w:val="JuSigned"/>
    <w:uiPriority w:val="31"/>
    <w:rsid w:val="00525A5D"/>
    <w:rPr>
      <w:color w:val="FFFFFF"/>
    </w:rPr>
  </w:style>
  <w:style w:type="paragraph" w:customStyle="1" w:styleId="ECHRSpacer">
    <w:name w:val="ECHR_Spacer"/>
    <w:aliases w:val="_Spacer"/>
    <w:basedOn w:val="Normal"/>
    <w:uiPriority w:val="45"/>
    <w:semiHidden/>
    <w:rsid w:val="00525A5D"/>
    <w:rPr>
      <w:sz w:val="4"/>
    </w:rPr>
  </w:style>
  <w:style w:type="table" w:customStyle="1" w:styleId="ECHRTableGrey">
    <w:name w:val="ECHR_Table_Grey"/>
    <w:basedOn w:val="TableNormal"/>
    <w:uiPriority w:val="99"/>
    <w:rsid w:val="00525A5D"/>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525A5D"/>
    <w:rPr>
      <w:color w:val="605E5C"/>
      <w:shd w:val="clear" w:color="auto" w:fill="E1DFDD"/>
    </w:rPr>
  </w:style>
  <w:style w:type="table" w:styleId="GridTable1LightAccent1">
    <w:name w:val="Grid Table 1 Light Accent 1"/>
    <w:basedOn w:val="TableNormal"/>
    <w:uiPriority w:val="46"/>
    <w:semiHidden/>
    <w:rsid w:val="00F7270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7270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7270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7270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7270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7270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7270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7270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7270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7270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7270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7270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7270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7270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7270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7270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7270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7270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7270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7270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7270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7270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7270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7270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7270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7270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7270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727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7270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7270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7270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7270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7270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7270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7270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7270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7270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7270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7270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7270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7270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7270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F72701"/>
    <w:rPr>
      <w:color w:val="2B579A"/>
      <w:shd w:val="clear" w:color="auto" w:fill="E1DFDD"/>
    </w:rPr>
  </w:style>
  <w:style w:type="table" w:styleId="ListTable1Light">
    <w:name w:val="List Table 1 Light"/>
    <w:basedOn w:val="TableNormal"/>
    <w:uiPriority w:val="46"/>
    <w:semiHidden/>
    <w:rsid w:val="00F7270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7270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7270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7270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7270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7270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7270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7270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7270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7270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7270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7270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7270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7270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7270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7270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7270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7270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7270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7270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7270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7270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7270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7270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7270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7270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7270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7270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7270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7270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7270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7270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7270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7270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7270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7270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7270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7270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7270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7270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7270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7270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7270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7270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7270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7270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7270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7270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7270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F72701"/>
    <w:rPr>
      <w:color w:val="2B579A"/>
      <w:shd w:val="clear" w:color="auto" w:fill="E1DFDD"/>
    </w:rPr>
  </w:style>
  <w:style w:type="table" w:styleId="PlainTable1">
    <w:name w:val="Plain Table 1"/>
    <w:basedOn w:val="TableNormal"/>
    <w:uiPriority w:val="41"/>
    <w:semiHidden/>
    <w:rsid w:val="00F7270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7270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7270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7270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7270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F72701"/>
    <w:rPr>
      <w:u w:val="dotted"/>
    </w:rPr>
  </w:style>
  <w:style w:type="character" w:styleId="SmartLink">
    <w:name w:val="Smart Link"/>
    <w:basedOn w:val="DefaultParagraphFont"/>
    <w:uiPriority w:val="99"/>
    <w:semiHidden/>
    <w:unhideWhenUsed/>
    <w:rsid w:val="00F72701"/>
    <w:rPr>
      <w:color w:val="0000FF"/>
      <w:u w:val="single"/>
      <w:shd w:val="clear" w:color="auto" w:fill="F3F2F1"/>
    </w:rPr>
  </w:style>
  <w:style w:type="table" w:styleId="GridTableLight">
    <w:name w:val="Grid Table Light"/>
    <w:basedOn w:val="TableNormal"/>
    <w:uiPriority w:val="40"/>
    <w:semiHidden/>
    <w:rsid w:val="00F727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2231</Words>
  <Characters>11472</Characters>
  <Application>Microsoft Office Word</Application>
  <DocSecurity>0</DocSecurity>
  <Lines>234</Lines>
  <Paragraphs>68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cp:lastPrinted>2026-09-04T15:24:00Z</cp:lastPrinted>
  <dcterms:created xsi:type="dcterms:W3CDTF">2026-10-06T13:30:00Z</dcterms:created>
  <dcterms:modified xsi:type="dcterms:W3CDTF">2026-10-06T13:30:00Z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791357</vt:lpwstr>
  </property>
  <property fmtid="{D5CDD505-2E9C-101B-9397-08002B2CF9AE}" pid="3" name="cstLanguage">
    <vt:i4>2057</vt:i4>
  </property>
  <property fmtid="{D5CDD505-2E9C-101B-9397-08002B2CF9AE}" pid="4" name="RegisteredNo">
    <vt:lpwstr>22716/12</vt:lpwstr>
  </property>
</Properties>
</file>