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AE699" w14:textId="77777777" w:rsidR="00FB0460" w:rsidRPr="007D3422" w:rsidRDefault="00FB0460" w:rsidP="000E31B3">
      <w:pPr>
        <w:rPr>
          <w:rFonts w:ascii="Times New Roman" w:hAnsi="Times New Roman" w:cs="Times New Roman"/>
          <w:noProof/>
          <w:lang w:val="pl-PL"/>
        </w:rPr>
      </w:pPr>
    </w:p>
    <w:p w14:paraId="42FD5C2A" w14:textId="77777777" w:rsidR="007A4070" w:rsidRPr="007D3422" w:rsidRDefault="007A4070" w:rsidP="000E31B3">
      <w:pPr>
        <w:rPr>
          <w:lang w:val="pl-PL"/>
        </w:rPr>
      </w:pPr>
    </w:p>
    <w:p w14:paraId="0CC59645" w14:textId="77777777" w:rsidR="000E31B3" w:rsidRPr="007D3422" w:rsidRDefault="000E31B3" w:rsidP="000E31B3">
      <w:pPr>
        <w:rPr>
          <w:lang w:val="pl-PL"/>
        </w:rPr>
      </w:pPr>
    </w:p>
    <w:p w14:paraId="132294D5" w14:textId="77777777" w:rsidR="007A4070" w:rsidRPr="007D3422" w:rsidRDefault="00000000" w:rsidP="000E31B3">
      <w:pPr>
        <w:pStyle w:val="DecHTitle"/>
        <w:rPr>
          <w:lang w:val="pl-PL"/>
        </w:rPr>
      </w:pPr>
      <w:r w:rsidRPr="007D3422">
        <w:rPr>
          <w:lang w:val="pl-PL"/>
        </w:rPr>
        <w:t>PIERWSZA SEKCJA</w:t>
      </w:r>
    </w:p>
    <w:p w14:paraId="30B478F6" w14:textId="301C7CD2" w:rsidR="007A4070" w:rsidRPr="007D3422" w:rsidRDefault="00000000" w:rsidP="000E31B3">
      <w:pPr>
        <w:pStyle w:val="JuTitle"/>
        <w:rPr>
          <w:lang w:val="pl-PL"/>
        </w:rPr>
      </w:pPr>
      <w:r w:rsidRPr="007D3422">
        <w:rPr>
          <w:bCs/>
          <w:lang w:val="pl-PL"/>
        </w:rPr>
        <w:t xml:space="preserve">SPRAWA BĄCLER </w:t>
      </w:r>
      <w:r w:rsidR="00AC2C0A" w:rsidRPr="007D3422">
        <w:rPr>
          <w:bCs/>
          <w:lang w:val="pl-PL"/>
        </w:rPr>
        <w:t>p</w:t>
      </w:r>
      <w:r w:rsidR="00AC2C0A">
        <w:rPr>
          <w:bCs/>
          <w:lang w:val="pl-PL"/>
        </w:rPr>
        <w:t>.</w:t>
      </w:r>
      <w:r w:rsidR="00AC2C0A" w:rsidRPr="007D3422">
        <w:rPr>
          <w:bCs/>
          <w:lang w:val="pl-PL"/>
        </w:rPr>
        <w:t xml:space="preserve"> </w:t>
      </w:r>
      <w:r w:rsidRPr="007D3422">
        <w:rPr>
          <w:bCs/>
          <w:lang w:val="pl-PL"/>
        </w:rPr>
        <w:t>POLSCE</w:t>
      </w:r>
    </w:p>
    <w:p w14:paraId="16913715" w14:textId="77777777" w:rsidR="007A4070" w:rsidRPr="007D3422" w:rsidRDefault="00000000" w:rsidP="000E31B3">
      <w:pPr>
        <w:pStyle w:val="ECHRCoverTitle4"/>
        <w:rPr>
          <w:lang w:val="pl-PL"/>
        </w:rPr>
      </w:pPr>
      <w:r w:rsidRPr="007D3422">
        <w:rPr>
          <w:iCs/>
          <w:lang w:val="pl-PL"/>
        </w:rPr>
        <w:t>(</w:t>
      </w:r>
      <w:r w:rsidRPr="007D3422">
        <w:rPr>
          <w:iCs/>
          <w:noProof/>
          <w:lang w:val="pl-PL"/>
        </w:rPr>
        <w:t>Skarga nr</w:t>
      </w:r>
      <w:r w:rsidRPr="007D3422">
        <w:rPr>
          <w:iCs/>
          <w:lang w:val="pl-PL"/>
        </w:rPr>
        <w:t xml:space="preserve"> 47190/16)</w:t>
      </w:r>
    </w:p>
    <w:p w14:paraId="5BFADF91" w14:textId="77777777" w:rsidR="007A4070" w:rsidRPr="007D3422" w:rsidRDefault="007A4070" w:rsidP="000E31B3">
      <w:pPr>
        <w:pStyle w:val="DecHCase"/>
        <w:rPr>
          <w:lang w:val="pl-PL"/>
        </w:rPr>
      </w:pPr>
    </w:p>
    <w:p w14:paraId="425FADB2" w14:textId="77777777" w:rsidR="007A4070" w:rsidRPr="007D3422" w:rsidRDefault="007A4070" w:rsidP="000E31B3">
      <w:pPr>
        <w:pStyle w:val="DecHCase"/>
        <w:rPr>
          <w:lang w:val="pl-PL"/>
        </w:rPr>
      </w:pPr>
    </w:p>
    <w:p w14:paraId="6B974E58" w14:textId="77777777" w:rsidR="007A4070" w:rsidRPr="007D3422" w:rsidRDefault="007A4070" w:rsidP="000E31B3">
      <w:pPr>
        <w:pStyle w:val="DecHCase"/>
        <w:rPr>
          <w:lang w:val="pl-PL"/>
        </w:rPr>
      </w:pPr>
    </w:p>
    <w:p w14:paraId="26A56727" w14:textId="77777777" w:rsidR="007A4070" w:rsidRPr="007D3422" w:rsidRDefault="007A4070" w:rsidP="000E31B3">
      <w:pPr>
        <w:pStyle w:val="DecHCase"/>
        <w:rPr>
          <w:lang w:val="pl-PL"/>
        </w:rPr>
      </w:pPr>
    </w:p>
    <w:p w14:paraId="32730D46" w14:textId="77777777" w:rsidR="007A4070" w:rsidRPr="007D3422" w:rsidRDefault="00000000" w:rsidP="000E31B3">
      <w:pPr>
        <w:pStyle w:val="DecHCase"/>
        <w:rPr>
          <w:lang w:val="pl-PL"/>
        </w:rPr>
      </w:pPr>
      <w:r w:rsidRPr="007D3422">
        <w:rPr>
          <w:lang w:val="pl-PL"/>
        </w:rPr>
        <w:t>WYROK</w:t>
      </w:r>
      <w:r w:rsidRPr="007D3422">
        <w:rPr>
          <w:lang w:val="pl-PL"/>
        </w:rPr>
        <w:br/>
      </w:r>
    </w:p>
    <w:p w14:paraId="02D10290" w14:textId="77777777" w:rsidR="007A4070" w:rsidRPr="007D3422" w:rsidRDefault="00000000" w:rsidP="000E31B3">
      <w:pPr>
        <w:pStyle w:val="DecHCase"/>
        <w:rPr>
          <w:lang w:val="pl-PL"/>
        </w:rPr>
      </w:pPr>
      <w:r w:rsidRPr="007D3422">
        <w:rPr>
          <w:lang w:val="pl-PL"/>
        </w:rPr>
        <w:t>STRASBURG</w:t>
      </w:r>
    </w:p>
    <w:p w14:paraId="275BF068" w14:textId="77777777" w:rsidR="00FB0460" w:rsidRPr="007D3422" w:rsidRDefault="00000000" w:rsidP="000E31B3">
      <w:pPr>
        <w:pStyle w:val="DecHCase"/>
        <w:rPr>
          <w:noProof/>
          <w:lang w:val="pl-PL"/>
        </w:rPr>
      </w:pPr>
      <w:r w:rsidRPr="007D3422">
        <w:rPr>
          <w:noProof/>
          <w:lang w:val="pl-PL"/>
        </w:rPr>
        <w:t>3 września 2026 r.</w:t>
      </w:r>
    </w:p>
    <w:p w14:paraId="0D229210" w14:textId="77777777" w:rsidR="007A4070" w:rsidRPr="007D3422" w:rsidRDefault="007A4070" w:rsidP="000E31B3">
      <w:pPr>
        <w:pStyle w:val="DecHCase"/>
        <w:rPr>
          <w:lang w:val="pl-PL"/>
        </w:rPr>
      </w:pPr>
    </w:p>
    <w:p w14:paraId="024A36D9" w14:textId="77777777" w:rsidR="000E31B3" w:rsidRPr="007D3422" w:rsidRDefault="000E31B3" w:rsidP="000E31B3">
      <w:pPr>
        <w:pStyle w:val="JuPara"/>
        <w:rPr>
          <w:lang w:val="pl-PL"/>
        </w:rPr>
      </w:pPr>
    </w:p>
    <w:p w14:paraId="7426DDCC" w14:textId="77777777" w:rsidR="000E31B3" w:rsidRPr="007D3422" w:rsidRDefault="000E31B3" w:rsidP="000E31B3">
      <w:pPr>
        <w:pStyle w:val="JuPara"/>
        <w:rPr>
          <w:lang w:val="pl-PL"/>
        </w:rPr>
      </w:pPr>
    </w:p>
    <w:p w14:paraId="1217D972" w14:textId="77777777" w:rsidR="000E31B3" w:rsidRPr="007D3422" w:rsidRDefault="000E31B3" w:rsidP="000E31B3">
      <w:pPr>
        <w:pStyle w:val="JuPara"/>
        <w:rPr>
          <w:lang w:val="pl-PL"/>
        </w:rPr>
      </w:pPr>
    </w:p>
    <w:p w14:paraId="37FD980C" w14:textId="77777777" w:rsidR="000E31B3" w:rsidRPr="007D3422" w:rsidRDefault="000E31B3" w:rsidP="000E31B3">
      <w:pPr>
        <w:pStyle w:val="JuPara"/>
        <w:rPr>
          <w:lang w:val="pl-PL"/>
        </w:rPr>
      </w:pPr>
    </w:p>
    <w:p w14:paraId="16BECF97" w14:textId="77777777" w:rsidR="00516B59" w:rsidRPr="007D3422" w:rsidRDefault="00000000" w:rsidP="000E31B3">
      <w:pPr>
        <w:jc w:val="center"/>
        <w:rPr>
          <w:rFonts w:ascii="Times New Roman" w:hAnsi="Times New Roman" w:cs="Times New Roman"/>
          <w:i/>
          <w:sz w:val="22"/>
          <w:lang w:val="pl-PL"/>
        </w:rPr>
      </w:pPr>
      <w:r w:rsidRPr="007D3422">
        <w:rPr>
          <w:i/>
          <w:iCs/>
          <w:sz w:val="22"/>
          <w:lang w:val="pl-PL"/>
        </w:rPr>
        <w:t xml:space="preserve">Niniejszy wyrok </w:t>
      </w:r>
      <w:r w:rsidRPr="007D3422">
        <w:rPr>
          <w:i/>
          <w:iCs/>
          <w:noProof/>
          <w:sz w:val="22"/>
          <w:lang w:val="pl-PL"/>
        </w:rPr>
        <w:t>jest ostateczny</w:t>
      </w:r>
      <w:r w:rsidRPr="007D3422">
        <w:rPr>
          <w:i/>
          <w:iCs/>
          <w:sz w:val="22"/>
          <w:lang w:val="pl-PL"/>
        </w:rPr>
        <w:t>. Może podlegać korekcie wydawniczej</w:t>
      </w:r>
      <w:r w:rsidRPr="007D3422">
        <w:rPr>
          <w:rFonts w:ascii="Times New Roman" w:hAnsi="Times New Roman"/>
          <w:i/>
          <w:iCs/>
          <w:sz w:val="22"/>
          <w:lang w:val="pl-PL"/>
        </w:rPr>
        <w:t>.</w:t>
      </w:r>
    </w:p>
    <w:p w14:paraId="312E956B" w14:textId="77777777" w:rsidR="00516B59" w:rsidRPr="007D3422" w:rsidRDefault="00516B59" w:rsidP="000E31B3">
      <w:pPr>
        <w:ind w:left="720"/>
        <w:rPr>
          <w:rFonts w:ascii="Times New Roman" w:hAnsi="Times New Roman" w:cs="Times New Roman"/>
          <w:sz w:val="22"/>
          <w:lang w:val="pl-PL"/>
        </w:rPr>
      </w:pPr>
    </w:p>
    <w:p w14:paraId="6327013C" w14:textId="77777777" w:rsidR="000E31B3" w:rsidRPr="007D3422" w:rsidRDefault="000E31B3" w:rsidP="000E31B3">
      <w:pPr>
        <w:ind w:left="720"/>
        <w:rPr>
          <w:rFonts w:ascii="Times New Roman" w:hAnsi="Times New Roman" w:cs="Times New Roman"/>
          <w:sz w:val="22"/>
          <w:lang w:val="pl-PL"/>
        </w:rPr>
        <w:sectPr w:rsidR="000E31B3" w:rsidRPr="007D3422" w:rsidSect="00902601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6A67530E" w14:textId="4FED59C8" w:rsidR="004344E6" w:rsidRPr="007D3422" w:rsidRDefault="00000000" w:rsidP="000E31B3">
      <w:pPr>
        <w:pStyle w:val="JuCase"/>
        <w:rPr>
          <w:lang w:val="pl-PL"/>
        </w:rPr>
      </w:pPr>
      <w:r w:rsidRPr="007D3422">
        <w:rPr>
          <w:bCs/>
          <w:lang w:val="pl-PL"/>
        </w:rPr>
        <w:lastRenderedPageBreak/>
        <w:t xml:space="preserve">W sprawie Bącler </w:t>
      </w:r>
      <w:r w:rsidR="00C67185" w:rsidRPr="007D3422">
        <w:rPr>
          <w:bCs/>
          <w:lang w:val="pl-PL"/>
        </w:rPr>
        <w:t>p</w:t>
      </w:r>
      <w:r w:rsidR="00C67185">
        <w:rPr>
          <w:bCs/>
          <w:lang w:val="pl-PL"/>
        </w:rPr>
        <w:t>.</w:t>
      </w:r>
      <w:r w:rsidR="00C67185" w:rsidRPr="007D3422">
        <w:rPr>
          <w:bCs/>
          <w:lang w:val="pl-PL"/>
        </w:rPr>
        <w:t xml:space="preserve"> </w:t>
      </w:r>
      <w:r w:rsidRPr="007D3422">
        <w:rPr>
          <w:bCs/>
          <w:lang w:val="pl-PL"/>
        </w:rPr>
        <w:t xml:space="preserve">Polsce </w:t>
      </w:r>
    </w:p>
    <w:p w14:paraId="18EA2E62" w14:textId="5F9A3129" w:rsidR="004344E6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t>Europejski Trybunał Praw Człowieka (pierwsza sekcja), zasiadając jako</w:t>
      </w:r>
      <w:r w:rsidR="00A13BA6">
        <w:rPr>
          <w:lang w:val="pl-PL"/>
        </w:rPr>
        <w:t> </w:t>
      </w:r>
      <w:r w:rsidRPr="007D3422">
        <w:rPr>
          <w:lang w:val="pl-PL"/>
        </w:rPr>
        <w:t xml:space="preserve">komitet </w:t>
      </w:r>
      <w:r w:rsidRPr="007D3422">
        <w:rPr>
          <w:noProof/>
          <w:lang w:val="pl-PL"/>
        </w:rPr>
        <w:t>w składzie:</w:t>
      </w:r>
    </w:p>
    <w:p w14:paraId="6B022776" w14:textId="3326D6BE" w:rsidR="004344E6" w:rsidRPr="007D3422" w:rsidRDefault="00000000" w:rsidP="000E31B3">
      <w:pPr>
        <w:pStyle w:val="JuJudges"/>
        <w:rPr>
          <w:lang w:val="pl-PL"/>
        </w:rPr>
      </w:pPr>
      <w:r w:rsidRPr="007D3422">
        <w:rPr>
          <w:lang w:val="pl-PL"/>
        </w:rPr>
        <w:tab/>
        <w:t>Davor Derenčinović</w:t>
      </w:r>
      <w:r w:rsidRPr="007D3422">
        <w:rPr>
          <w:i/>
          <w:iCs/>
          <w:lang w:val="pl-PL"/>
        </w:rPr>
        <w:t>, przewodniczący</w:t>
      </w:r>
      <w:r w:rsidRPr="007D3422">
        <w:rPr>
          <w:lang w:val="pl-PL"/>
        </w:rPr>
        <w:t>,</w:t>
      </w:r>
      <w:r w:rsidRPr="007D3422">
        <w:rPr>
          <w:lang w:val="pl-PL"/>
        </w:rPr>
        <w:br/>
      </w:r>
      <w:r w:rsidRPr="007D3422">
        <w:rPr>
          <w:lang w:val="pl-PL"/>
        </w:rPr>
        <w:tab/>
        <w:t>Artūrs Kučs,</w:t>
      </w:r>
      <w:r w:rsidRPr="007D3422">
        <w:rPr>
          <w:lang w:val="pl-PL"/>
        </w:rPr>
        <w:br/>
      </w:r>
      <w:r w:rsidRPr="007D3422">
        <w:rPr>
          <w:lang w:val="pl-PL"/>
        </w:rPr>
        <w:tab/>
        <w:t>Anna Adamska-Gallant</w:t>
      </w:r>
      <w:r w:rsidRPr="007D3422">
        <w:rPr>
          <w:i/>
          <w:iCs/>
          <w:lang w:val="pl-PL"/>
        </w:rPr>
        <w:t>, sędziowie</w:t>
      </w:r>
      <w:r w:rsidRPr="007D3422">
        <w:rPr>
          <w:lang w:val="pl-PL"/>
        </w:rPr>
        <w:t>,</w:t>
      </w:r>
      <w:r w:rsidRPr="007D3422">
        <w:rPr>
          <w:lang w:val="pl-PL"/>
        </w:rPr>
        <w:br/>
      </w:r>
      <w:r w:rsidR="00213214">
        <w:rPr>
          <w:lang w:val="pl-PL"/>
        </w:rPr>
        <w:t>oraz</w:t>
      </w:r>
      <w:r w:rsidRPr="007D3422">
        <w:rPr>
          <w:lang w:val="pl-PL"/>
        </w:rPr>
        <w:t xml:space="preserve"> </w:t>
      </w:r>
      <w:r w:rsidRPr="007D3422">
        <w:rPr>
          <w:noProof/>
          <w:lang w:val="pl-PL"/>
        </w:rPr>
        <w:t>Liv Tigerstedt</w:t>
      </w:r>
      <w:r w:rsidRPr="007D3422">
        <w:rPr>
          <w:lang w:val="pl-PL"/>
        </w:rPr>
        <w:t xml:space="preserve">, </w:t>
      </w:r>
      <w:r w:rsidRPr="007D3422">
        <w:rPr>
          <w:i/>
          <w:iCs/>
          <w:noProof/>
          <w:lang w:val="pl-PL"/>
        </w:rPr>
        <w:t>zastępczyni kanclerza</w:t>
      </w:r>
      <w:r w:rsidRPr="007D3422">
        <w:rPr>
          <w:i/>
          <w:iCs/>
          <w:lang w:val="pl-PL"/>
        </w:rPr>
        <w:t xml:space="preserve"> sekcji</w:t>
      </w:r>
      <w:r w:rsidRPr="007D3422">
        <w:rPr>
          <w:lang w:val="pl-PL"/>
        </w:rPr>
        <w:t>,</w:t>
      </w:r>
    </w:p>
    <w:p w14:paraId="4CB0CD1B" w14:textId="77777777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t>uwzględniając:</w:t>
      </w:r>
    </w:p>
    <w:p w14:paraId="35B96CBC" w14:textId="3942AE7C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t>skargę (nr 47190/16) przeciwko Rzeczypospolitej Polskiej wniesioną do</w:t>
      </w:r>
      <w:r w:rsidR="00A13BA6">
        <w:rPr>
          <w:lang w:val="pl-PL"/>
        </w:rPr>
        <w:t> </w:t>
      </w:r>
      <w:r w:rsidRPr="007D3422">
        <w:rPr>
          <w:lang w:val="pl-PL"/>
        </w:rPr>
        <w:t xml:space="preserve">Trybunału </w:t>
      </w:r>
      <w:r w:rsidR="0077640F" w:rsidRPr="007D3422">
        <w:rPr>
          <w:lang w:val="pl-PL"/>
        </w:rPr>
        <w:t xml:space="preserve">w dniu 29 lipca 2016 r. </w:t>
      </w:r>
      <w:r w:rsidRPr="007D3422">
        <w:rPr>
          <w:lang w:val="pl-PL"/>
        </w:rPr>
        <w:t>na podstawie art. 34 Konwencji o</w:t>
      </w:r>
      <w:r w:rsidR="00A13BA6">
        <w:rPr>
          <w:lang w:val="pl-PL"/>
        </w:rPr>
        <w:t> </w:t>
      </w:r>
      <w:r w:rsidRPr="007D3422">
        <w:rPr>
          <w:lang w:val="pl-PL"/>
        </w:rPr>
        <w:t>ochronie praw człowieka i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podstawowych wolności („Konwencja”) przez obywatela tego państwa, Mariusza Bąclera („skarżący”), urodzonego w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1974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r.,</w:t>
      </w:r>
    </w:p>
    <w:p w14:paraId="258D3FAA" w14:textId="2D0069B8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t>decyzję o przekazaniu do wiadomości Rządu Rzeczypospolitej Polskiej („Rząd”), reprezentowanego przez jego pełnomocników, najpierw A.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Kozińską-Makowską, a następnie P. Wierdaka, oboje z Ministerstwa Spraw Zagranicznych, zarzutu skarżącego dotyczącego braku dostępu do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sądu w świetle art. 6 ust. 1 Konwencji oraz o uznaniu skargi za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niedopuszczalną w pozostałym zakresie,</w:t>
      </w:r>
    </w:p>
    <w:p w14:paraId="36D02EA8" w14:textId="77777777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t>uwagi stron,</w:t>
      </w:r>
    </w:p>
    <w:p w14:paraId="6B9AAAF6" w14:textId="178F6B2A" w:rsidR="004344E6" w:rsidRPr="007D3422" w:rsidRDefault="0077640F" w:rsidP="000E31B3">
      <w:pPr>
        <w:pStyle w:val="JuPara"/>
        <w:rPr>
          <w:lang w:val="pl-PL"/>
        </w:rPr>
      </w:pPr>
      <w:r>
        <w:rPr>
          <w:lang w:val="pl-PL"/>
        </w:rPr>
        <w:t>o</w:t>
      </w:r>
      <w:r w:rsidRPr="007D3422">
        <w:rPr>
          <w:lang w:val="pl-PL"/>
        </w:rPr>
        <w:t xml:space="preserve">bradując na posiedzeniu </w:t>
      </w:r>
      <w:r w:rsidRPr="0077640F">
        <w:rPr>
          <w:lang w:val="pl-PL"/>
        </w:rPr>
        <w:t xml:space="preserve">niejawnym </w:t>
      </w:r>
      <w:r w:rsidRPr="007D3422">
        <w:rPr>
          <w:lang w:val="pl-PL"/>
        </w:rPr>
        <w:t>w dniu 2 lipca 2026</w:t>
      </w:r>
      <w:r>
        <w:rPr>
          <w:lang w:val="pl-PL"/>
        </w:rPr>
        <w:t> </w:t>
      </w:r>
      <w:r w:rsidRPr="007D3422">
        <w:rPr>
          <w:lang w:val="pl-PL"/>
        </w:rPr>
        <w:t>r.,</w:t>
      </w:r>
    </w:p>
    <w:p w14:paraId="279D8798" w14:textId="77777777" w:rsidR="00876F03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t>wydaje następujący wyrok, który został przyjęty w tym dniu:</w:t>
      </w:r>
    </w:p>
    <w:p w14:paraId="61679F2B" w14:textId="77777777" w:rsidR="00FB0460" w:rsidRPr="007D3422" w:rsidRDefault="00000000" w:rsidP="000E31B3">
      <w:pPr>
        <w:pStyle w:val="JuHHead"/>
        <w:numPr>
          <w:ilvl w:val="0"/>
          <w:numId w:val="1"/>
        </w:numPr>
        <w:rPr>
          <w:lang w:val="pl-PL"/>
        </w:rPr>
      </w:pPr>
      <w:r w:rsidRPr="007D3422">
        <w:rPr>
          <w:bCs w:val="0"/>
          <w:lang w:val="pl-PL"/>
        </w:rPr>
        <w:t>PRZEDMIOT SPRAWY</w:t>
      </w:r>
    </w:p>
    <w:p w14:paraId="5F52235D" w14:textId="5BE847FA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Niniejsza sprawa dotyczy naruszenia </w:t>
      </w:r>
      <w:r w:rsidR="005C5F8B" w:rsidRPr="007D3422">
        <w:rPr>
          <w:lang w:val="pl-PL"/>
        </w:rPr>
        <w:t>prawa</w:t>
      </w:r>
      <w:r w:rsidR="005C5F8B">
        <w:rPr>
          <w:lang w:val="pl-PL"/>
        </w:rPr>
        <w:t xml:space="preserve"> </w:t>
      </w:r>
      <w:r w:rsidRPr="007D3422">
        <w:rPr>
          <w:lang w:val="pl-PL"/>
        </w:rPr>
        <w:t xml:space="preserve">do </w:t>
      </w:r>
      <w:r w:rsidR="00CD15C5">
        <w:rPr>
          <w:lang w:val="pl-PL"/>
        </w:rPr>
        <w:t>sądu</w:t>
      </w:r>
      <w:r w:rsidRPr="007D3422">
        <w:rPr>
          <w:lang w:val="pl-PL"/>
        </w:rPr>
        <w:t xml:space="preserve"> którego – w opinii skarżącego – doświadczył on w związku z</w:t>
      </w:r>
      <w:r w:rsidR="00A13BA6">
        <w:rPr>
          <w:lang w:val="pl-PL"/>
        </w:rPr>
        <w:t> </w:t>
      </w:r>
      <w:r w:rsidRPr="007D3422">
        <w:rPr>
          <w:lang w:val="pl-PL"/>
        </w:rPr>
        <w:t>nałożonym na niego obowiązkiem uiszczenia zbyt wysokiej, zdaniem skarżącego, opłaty sądowej za wniesienie pozwu o odszkodowanie.</w:t>
      </w:r>
    </w:p>
    <w:p w14:paraId="6D239274" w14:textId="2FDF3077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2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W okresie, w którym miały miejsce zdarzenia będące przedmiotem sprawy, skarżący przebywał na oddziale szpitalnym </w:t>
      </w:r>
      <w:r w:rsidR="00F60403">
        <w:rPr>
          <w:lang w:val="pl-PL"/>
        </w:rPr>
        <w:t>zakładu karnego</w:t>
      </w:r>
      <w:r w:rsidRPr="007D3422">
        <w:rPr>
          <w:lang w:val="pl-PL"/>
        </w:rPr>
        <w:t xml:space="preserve"> w P. W</w:t>
      </w:r>
      <w:r w:rsidR="00F60403">
        <w:rPr>
          <w:lang w:val="pl-PL"/>
        </w:rPr>
        <w:t> </w:t>
      </w:r>
      <w:r w:rsidRPr="007D3422">
        <w:rPr>
          <w:lang w:val="pl-PL"/>
        </w:rPr>
        <w:t xml:space="preserve">październiku 2015 r. skarżący wniósł przeciwko kierownikowi wyżej wymienionego </w:t>
      </w:r>
      <w:r w:rsidR="00F60403">
        <w:rPr>
          <w:lang w:val="pl-PL"/>
        </w:rPr>
        <w:t xml:space="preserve">zakładu karnego </w:t>
      </w:r>
      <w:r w:rsidRPr="007D3422">
        <w:rPr>
          <w:lang w:val="pl-PL"/>
        </w:rPr>
        <w:t>powództwo o odszkodowanie z tytułu szkody, jaką skarżący miał ponieść w wyniku braku odpowiedniej opieki medycznej w zakładzie karnym. Skarżący zarzucał administracji więziennej, że nie wywiązała się ze swoich obowiązków, ponieważ nie zapewniła mu aparatu CPAP (urządzenia wspomagającego oddychanie); twierdził, że</w:t>
      </w:r>
      <w:r w:rsidR="00A13BA6">
        <w:rPr>
          <w:lang w:val="pl-PL"/>
        </w:rPr>
        <w:t> </w:t>
      </w:r>
      <w:r w:rsidRPr="007D3422">
        <w:rPr>
          <w:lang w:val="pl-PL"/>
        </w:rPr>
        <w:t>w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okresie od stycznia do kwietnia 2015 r. był pozbawiony dostępu do tego urządzenia. Skarżący utrzymywał, że odczuwał zmęczenie i był narażony na</w:t>
      </w:r>
      <w:r w:rsidR="005B1167">
        <w:rPr>
          <w:lang w:val="pl-PL"/>
        </w:rPr>
        <w:t> </w:t>
      </w:r>
      <w:r w:rsidRPr="007D3422">
        <w:rPr>
          <w:lang w:val="pl-PL"/>
        </w:rPr>
        <w:t>ryzyko pogorszenia się stanu zdrowia, a z zaświadczenia sporządzonego przez lekarza specjalistę w tej dziedzinie wynikało, że bez urządzenia</w:t>
      </w:r>
      <w:r w:rsidR="002C5D94">
        <w:rPr>
          <w:lang w:val="pl-PL"/>
        </w:rPr>
        <w:t xml:space="preserve">, o którym mowa </w:t>
      </w:r>
      <w:r w:rsidRPr="007D3422">
        <w:rPr>
          <w:lang w:val="pl-PL"/>
        </w:rPr>
        <w:t>skarżący nie mógł zostać osadzony w</w:t>
      </w:r>
      <w:r w:rsidR="00A13BA6">
        <w:rPr>
          <w:lang w:val="pl-PL"/>
        </w:rPr>
        <w:t> </w:t>
      </w:r>
      <w:r w:rsidRPr="007D3422">
        <w:rPr>
          <w:lang w:val="pl-PL"/>
        </w:rPr>
        <w:t xml:space="preserve">zakładzie karnym. Skarżący dodał, że cierpi na cukrzycę typu 2, schorzenia układu sercowo-naczyniowego, ciężką postać bezdechu sennego, hipoksemię nocną, </w:t>
      </w:r>
      <w:r w:rsidRPr="007D3422">
        <w:rPr>
          <w:lang w:val="pl-PL"/>
        </w:rPr>
        <w:lastRenderedPageBreak/>
        <w:t>nadmierną senność w ciągu dnia, łuszczycę oraz zespół stresu pourazowego. Skarżący domagał się 120</w:t>
      </w:r>
      <w:r w:rsidR="00AB15F2">
        <w:rPr>
          <w:lang w:val="pl-PL"/>
        </w:rPr>
        <w:t> </w:t>
      </w:r>
      <w:r w:rsidRPr="007D3422">
        <w:rPr>
          <w:lang w:val="pl-PL"/>
        </w:rPr>
        <w:t>000 złotych polskich (PLN), czyli około 30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000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 xml:space="preserve">euro (EUR), tytułem </w:t>
      </w:r>
      <w:r w:rsidR="00CD15C5">
        <w:rPr>
          <w:lang w:val="pl-PL"/>
        </w:rPr>
        <w:t>odszkodowania za poniesioną szkodę</w:t>
      </w:r>
      <w:r w:rsidRPr="007D3422">
        <w:rPr>
          <w:lang w:val="pl-PL"/>
        </w:rPr>
        <w:t>. Złożył również wniosek o zwolnienie z kosztów postępowania.</w:t>
      </w:r>
    </w:p>
    <w:p w14:paraId="08B66D05" w14:textId="6E561A69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3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W dniu 27 listopada 2015 r. Sąd Okręgowy w Poznaniu (dalej „sąd”) zwolnił skarżącego z obowiązku uiszczenia części opłaty za wniesienie pozwu, wynoszącej ponad 600 PLN (około 150 EUR). Sąd </w:t>
      </w:r>
      <w:r w:rsidR="00C1121B" w:rsidRPr="007D3422">
        <w:rPr>
          <w:lang w:val="pl-PL"/>
        </w:rPr>
        <w:t>prze</w:t>
      </w:r>
      <w:r w:rsidR="00C1121B">
        <w:rPr>
          <w:lang w:val="pl-PL"/>
        </w:rPr>
        <w:t>ds</w:t>
      </w:r>
      <w:r w:rsidR="00C1121B" w:rsidRPr="007D3422">
        <w:rPr>
          <w:lang w:val="pl-PL"/>
        </w:rPr>
        <w:t xml:space="preserve">tawił </w:t>
      </w:r>
      <w:r w:rsidRPr="007D3422">
        <w:rPr>
          <w:lang w:val="pl-PL"/>
        </w:rPr>
        <w:t xml:space="preserve">następujące uzasadnienie. Skarżący </w:t>
      </w:r>
      <w:r w:rsidR="00B351D2">
        <w:rPr>
          <w:lang w:val="pl-PL"/>
        </w:rPr>
        <w:t>przebywał</w:t>
      </w:r>
      <w:r w:rsidR="00B351D2" w:rsidRPr="007D3422">
        <w:rPr>
          <w:lang w:val="pl-PL"/>
        </w:rPr>
        <w:t xml:space="preserve"> </w:t>
      </w:r>
      <w:r w:rsidRPr="007D3422">
        <w:rPr>
          <w:lang w:val="pl-PL"/>
        </w:rPr>
        <w:t xml:space="preserve">pod opieką administracji więziennej i </w:t>
      </w:r>
      <w:r w:rsidR="00CD15C5">
        <w:rPr>
          <w:lang w:val="pl-PL"/>
        </w:rPr>
        <w:t>mógł</w:t>
      </w:r>
      <w:r w:rsidR="00B351D2">
        <w:rPr>
          <w:lang w:val="pl-PL"/>
        </w:rPr>
        <w:t xml:space="preserve"> od tamtego momentu zacząć</w:t>
      </w:r>
      <w:r w:rsidRPr="007D3422">
        <w:rPr>
          <w:lang w:val="pl-PL"/>
        </w:rPr>
        <w:t xml:space="preserve"> </w:t>
      </w:r>
      <w:r w:rsidR="00B351D2">
        <w:rPr>
          <w:lang w:val="pl-PL"/>
        </w:rPr>
        <w:t xml:space="preserve">gromadzić </w:t>
      </w:r>
      <w:r w:rsidRPr="007D3422">
        <w:rPr>
          <w:lang w:val="pl-PL"/>
        </w:rPr>
        <w:t>środki finansowe niezbędne do</w:t>
      </w:r>
      <w:r w:rsidR="00A13BA6">
        <w:rPr>
          <w:lang w:val="pl-PL"/>
        </w:rPr>
        <w:t> </w:t>
      </w:r>
      <w:r w:rsidRPr="007D3422">
        <w:rPr>
          <w:lang w:val="pl-PL"/>
        </w:rPr>
        <w:t>przeprowadzenia postępowania. Otrzymywał bowiem regularnie wsparcie finansowe od</w:t>
      </w:r>
      <w:r w:rsidR="005B1167">
        <w:rPr>
          <w:lang w:val="pl-PL"/>
        </w:rPr>
        <w:t> </w:t>
      </w:r>
      <w:r w:rsidRPr="007D3422">
        <w:rPr>
          <w:lang w:val="pl-PL"/>
        </w:rPr>
        <w:t>swoich bliskich, a od lipca 2015 r. otrzymał od nich 1</w:t>
      </w:r>
      <w:r w:rsidR="00AB15F2">
        <w:rPr>
          <w:lang w:val="pl-PL"/>
        </w:rPr>
        <w:t> </w:t>
      </w:r>
      <w:r w:rsidRPr="007D3422">
        <w:rPr>
          <w:lang w:val="pl-PL"/>
        </w:rPr>
        <w:t xml:space="preserve">250 PLN, z czego </w:t>
      </w:r>
      <w:r w:rsidR="00512A29">
        <w:rPr>
          <w:lang w:val="pl-PL"/>
        </w:rPr>
        <w:t>dokładnie</w:t>
      </w:r>
      <w:r w:rsidRPr="007D3422">
        <w:rPr>
          <w:lang w:val="pl-PL"/>
        </w:rPr>
        <w:t xml:space="preserve"> 550 PLN </w:t>
      </w:r>
      <w:r w:rsidR="00512A29">
        <w:rPr>
          <w:lang w:val="pl-PL"/>
        </w:rPr>
        <w:t>zostało użytych</w:t>
      </w:r>
      <w:r w:rsidR="00512A29" w:rsidRPr="007D3422">
        <w:rPr>
          <w:lang w:val="pl-PL"/>
        </w:rPr>
        <w:t xml:space="preserve"> </w:t>
      </w:r>
      <w:r w:rsidRPr="007D3422">
        <w:rPr>
          <w:lang w:val="pl-PL"/>
        </w:rPr>
        <w:t>w</w:t>
      </w:r>
      <w:r w:rsidR="00A13BA6">
        <w:rPr>
          <w:lang w:val="pl-PL"/>
        </w:rPr>
        <w:t> </w:t>
      </w:r>
      <w:r w:rsidR="00CD15C5">
        <w:rPr>
          <w:lang w:val="pl-PL"/>
        </w:rPr>
        <w:t>kantynie</w:t>
      </w:r>
      <w:r w:rsidR="00CD15C5" w:rsidRPr="007D3422">
        <w:rPr>
          <w:lang w:val="pl-PL"/>
        </w:rPr>
        <w:t xml:space="preserve"> </w:t>
      </w:r>
      <w:r w:rsidRPr="007D3422">
        <w:rPr>
          <w:lang w:val="pl-PL"/>
        </w:rPr>
        <w:t>więziennej, a 75 PLN nadal pozostawało do jego dyspozycji. Z</w:t>
      </w:r>
      <w:r w:rsidR="00A13BA6">
        <w:rPr>
          <w:lang w:val="pl-PL"/>
        </w:rPr>
        <w:t> </w:t>
      </w:r>
      <w:r w:rsidRPr="007D3422">
        <w:rPr>
          <w:lang w:val="pl-PL"/>
        </w:rPr>
        <w:t xml:space="preserve">materiałów sprawy nie wynikało, aby wydatki poniesione przez skarżącego były „niezbędne” </w:t>
      </w:r>
      <w:r w:rsidR="00512A29" w:rsidRPr="00512A29">
        <w:t>w rozumieniu mających zastosowanie przepisów w tej dziedzinie</w:t>
      </w:r>
      <w:r w:rsidRPr="007D3422">
        <w:rPr>
          <w:lang w:val="pl-PL"/>
        </w:rPr>
        <w:t>.</w:t>
      </w:r>
    </w:p>
    <w:p w14:paraId="59811C7A" w14:textId="757E6257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4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Skarżący złożył odwołanie od </w:t>
      </w:r>
      <w:r w:rsidR="00124D43">
        <w:rPr>
          <w:lang w:val="pl-PL"/>
        </w:rPr>
        <w:t>wspomnianej</w:t>
      </w:r>
      <w:r w:rsidR="00D3514C">
        <w:rPr>
          <w:lang w:val="pl-PL"/>
        </w:rPr>
        <w:t xml:space="preserve"> decyzji</w:t>
      </w:r>
      <w:r w:rsidRPr="007D3422">
        <w:rPr>
          <w:lang w:val="pl-PL"/>
        </w:rPr>
        <w:t xml:space="preserve">, </w:t>
      </w:r>
      <w:r w:rsidR="00512A29">
        <w:rPr>
          <w:lang w:val="pl-PL"/>
        </w:rPr>
        <w:t>utrzymując, że znajdował się w</w:t>
      </w:r>
      <w:r w:rsidR="005B1167">
        <w:rPr>
          <w:lang w:val="pl-PL"/>
        </w:rPr>
        <w:t> </w:t>
      </w:r>
      <w:r w:rsidR="00512A29">
        <w:rPr>
          <w:lang w:val="pl-PL"/>
        </w:rPr>
        <w:t>niedostatku</w:t>
      </w:r>
      <w:r w:rsidRPr="007D3422">
        <w:rPr>
          <w:lang w:val="pl-PL"/>
        </w:rPr>
        <w:t>, i</w:t>
      </w:r>
      <w:r w:rsidR="00A13BA6">
        <w:rPr>
          <w:lang w:val="pl-PL"/>
        </w:rPr>
        <w:t> tłumacząc</w:t>
      </w:r>
      <w:r w:rsidRPr="007D3422">
        <w:rPr>
          <w:lang w:val="pl-PL"/>
        </w:rPr>
        <w:t>, że musiał utrzymywać się</w:t>
      </w:r>
      <w:r w:rsidR="00735903">
        <w:rPr>
          <w:lang w:val="pl-PL"/>
        </w:rPr>
        <w:t>,</w:t>
      </w:r>
      <w:r w:rsidRPr="007D3422">
        <w:rPr>
          <w:lang w:val="pl-PL"/>
        </w:rPr>
        <w:t xml:space="preserve"> dysponując kwotą 1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 xml:space="preserve">250 PLN, o której wspomniał sąd, nie przez sześć, lecz dziesięć miesięcy, </w:t>
      </w:r>
      <w:r w:rsidR="00A13BA6">
        <w:rPr>
          <w:lang w:val="pl-PL"/>
        </w:rPr>
        <w:t>oraz że</w:t>
      </w:r>
      <w:r w:rsidR="00A13BA6" w:rsidRPr="007D3422">
        <w:rPr>
          <w:lang w:val="pl-PL"/>
        </w:rPr>
        <w:t xml:space="preserve"> </w:t>
      </w:r>
      <w:r w:rsidRPr="007D3422">
        <w:rPr>
          <w:lang w:val="pl-PL"/>
        </w:rPr>
        <w:t>przeznaczył ją na zakup produktów, których nie</w:t>
      </w:r>
      <w:r w:rsidR="005B1167">
        <w:rPr>
          <w:lang w:val="pl-PL"/>
        </w:rPr>
        <w:t> </w:t>
      </w:r>
      <w:r w:rsidR="00A13BA6">
        <w:rPr>
          <w:lang w:val="pl-PL"/>
        </w:rPr>
        <w:t>zdołała zapewnić</w:t>
      </w:r>
      <w:r w:rsidRPr="007D3422">
        <w:rPr>
          <w:lang w:val="pl-PL"/>
        </w:rPr>
        <w:t xml:space="preserve"> administracja więzienna (artykuły higieniczne i</w:t>
      </w:r>
      <w:r w:rsidR="005B1167">
        <w:rPr>
          <w:lang w:val="pl-PL"/>
        </w:rPr>
        <w:t> </w:t>
      </w:r>
      <w:r w:rsidRPr="007D3422">
        <w:rPr>
          <w:lang w:val="pl-PL"/>
        </w:rPr>
        <w:t>żywność dla osób z alergią lub łuszczycą, a także suplementy diety zawierające witaminy).</w:t>
      </w:r>
    </w:p>
    <w:p w14:paraId="492E4EFC" w14:textId="00372763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5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W dniu 19 stycznia 2016 r. sąd oddalił odwołanie skarżącego. </w:t>
      </w:r>
      <w:r w:rsidR="00B351D2">
        <w:rPr>
          <w:lang w:val="pl-PL"/>
        </w:rPr>
        <w:t>U</w:t>
      </w:r>
      <w:r w:rsidRPr="007D3422">
        <w:rPr>
          <w:lang w:val="pl-PL"/>
        </w:rPr>
        <w:t>znał</w:t>
      </w:r>
      <w:r w:rsidR="002D0A99">
        <w:rPr>
          <w:lang w:val="pl-PL"/>
        </w:rPr>
        <w:t xml:space="preserve"> on</w:t>
      </w:r>
      <w:r w:rsidRPr="007D3422">
        <w:rPr>
          <w:lang w:val="pl-PL"/>
        </w:rPr>
        <w:t>, że sąd pierwszej instancji słusznie stwierdził, iż skarżący był w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 xml:space="preserve">stanie uiścić kwoty wymagane za wniesienie pozwu, i dodał, że skoro skarżący wiedział, iż zamierza wszcząć przedmiotowe postępowanie, mógł zgromadzić niezbędne </w:t>
      </w:r>
      <w:r w:rsidR="00C511FC">
        <w:rPr>
          <w:lang w:val="pl-PL"/>
        </w:rPr>
        <w:t xml:space="preserve">na ten cel </w:t>
      </w:r>
      <w:r w:rsidRPr="007D3422">
        <w:rPr>
          <w:lang w:val="pl-PL"/>
        </w:rPr>
        <w:t xml:space="preserve">środki </w:t>
      </w:r>
      <w:r w:rsidR="00ED2A65" w:rsidRPr="00ED2A65">
        <w:t>przed je</w:t>
      </w:r>
      <w:r w:rsidR="00ED2A65">
        <w:t>go</w:t>
      </w:r>
      <w:r w:rsidR="00ED2A65" w:rsidRPr="00ED2A65">
        <w:t xml:space="preserve"> </w:t>
      </w:r>
      <w:r w:rsidR="00ED2A65">
        <w:t>wniesieniem</w:t>
      </w:r>
      <w:r w:rsidRPr="007D3422">
        <w:rPr>
          <w:lang w:val="pl-PL"/>
        </w:rPr>
        <w:t xml:space="preserve">, zamiast wydawać otrzymane pieniądze w </w:t>
      </w:r>
      <w:r w:rsidR="00CD15C5">
        <w:rPr>
          <w:lang w:val="pl-PL"/>
        </w:rPr>
        <w:t>kantynie</w:t>
      </w:r>
      <w:r w:rsidRPr="007D3422">
        <w:rPr>
          <w:lang w:val="pl-PL"/>
        </w:rPr>
        <w:t>. Sąd uznał ponadto, że twierdzenia skarżącego dotyczące jego stanu zdrowia oraz sposobu, w jaki wydawał pieniądze, nie znalazły potwierdzenia w żadnych dowodach.</w:t>
      </w:r>
    </w:p>
    <w:p w14:paraId="1098EB26" w14:textId="7211430D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6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Skarżący został wezwany do uiszczenia w ciągu siedmiu dni opłaty </w:t>
      </w:r>
      <w:r w:rsidR="00CD15C5">
        <w:rPr>
          <w:lang w:val="pl-PL"/>
        </w:rPr>
        <w:t>od</w:t>
      </w:r>
      <w:r w:rsidRPr="007D3422">
        <w:rPr>
          <w:lang w:val="pl-PL"/>
        </w:rPr>
        <w:t xml:space="preserve"> pozwu. </w:t>
      </w:r>
      <w:r w:rsidR="00016D6F" w:rsidRPr="007D3422">
        <w:rPr>
          <w:lang w:val="pl-PL"/>
        </w:rPr>
        <w:t xml:space="preserve">W dniu </w:t>
      </w:r>
      <w:r w:rsidRPr="007D3422">
        <w:rPr>
          <w:lang w:val="pl-PL"/>
        </w:rPr>
        <w:t>1 lutego 2016 r. zwrócił się do sądu z</w:t>
      </w:r>
      <w:r w:rsidR="005B1167">
        <w:rPr>
          <w:lang w:val="pl-PL"/>
        </w:rPr>
        <w:t> </w:t>
      </w:r>
      <w:r w:rsidRPr="007D3422">
        <w:rPr>
          <w:lang w:val="pl-PL"/>
        </w:rPr>
        <w:t>wnioskiem o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zezwolenie na spłatę tej kwoty w ratach.</w:t>
      </w:r>
    </w:p>
    <w:p w14:paraId="5581BCDD" w14:textId="42FEE077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7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W dniu 16 lutego 2016 r. sąd stwierdził, że opłata wymagana za</w:t>
      </w:r>
      <w:r w:rsidR="005B1167">
        <w:rPr>
          <w:lang w:val="pl-PL"/>
        </w:rPr>
        <w:t> </w:t>
      </w:r>
      <w:r w:rsidRPr="007D3422">
        <w:rPr>
          <w:lang w:val="pl-PL"/>
        </w:rPr>
        <w:t xml:space="preserve">wniesienie pozwu nie została uiszczona, i </w:t>
      </w:r>
      <w:r w:rsidR="00ED2A65" w:rsidRPr="00ED2A65">
        <w:t xml:space="preserve">zważywszy, że </w:t>
      </w:r>
      <w:r w:rsidR="001E3C60">
        <w:t>jej</w:t>
      </w:r>
      <w:r w:rsidR="00ED2A65" w:rsidRPr="00ED2A65">
        <w:t xml:space="preserve"> spłata w kilku miesięcznych ratach nie była przewidziana przez </w:t>
      </w:r>
      <w:r w:rsidR="00CD15C5">
        <w:t>obowiązujące przepisy</w:t>
      </w:r>
      <w:r w:rsidRPr="007D3422">
        <w:rPr>
          <w:lang w:val="pl-PL"/>
        </w:rPr>
        <w:t>, nakazał zwrot pozwu o odszkodowanie skarżącemu.</w:t>
      </w:r>
    </w:p>
    <w:p w14:paraId="6D373CA1" w14:textId="46F6028E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8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W dniu 18 kwietnia 2016 r. Sąd Apelacyjny w Poznaniu oddalił odwołanie wniesione przez skarżącego od </w:t>
      </w:r>
      <w:r w:rsidR="00124D43">
        <w:rPr>
          <w:lang w:val="pl-PL"/>
        </w:rPr>
        <w:t>wspomnianej</w:t>
      </w:r>
      <w:r w:rsidR="00D3514C">
        <w:rPr>
          <w:lang w:val="pl-PL"/>
        </w:rPr>
        <w:t xml:space="preserve"> decyzji</w:t>
      </w:r>
      <w:r w:rsidRPr="007D3422">
        <w:rPr>
          <w:lang w:val="pl-PL"/>
        </w:rPr>
        <w:t>.</w:t>
      </w:r>
    </w:p>
    <w:p w14:paraId="7B1DDE3A" w14:textId="67E9C735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9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Powołując się na art. 6 ust. 1 Konwencji, skarżący twierdzi, że jego prawo </w:t>
      </w:r>
      <w:r w:rsidR="00CD15C5">
        <w:rPr>
          <w:lang w:val="pl-PL"/>
        </w:rPr>
        <w:t xml:space="preserve">dostępu do sądu </w:t>
      </w:r>
      <w:r w:rsidRPr="007D3422">
        <w:rPr>
          <w:lang w:val="pl-PL"/>
        </w:rPr>
        <w:t>zostało naruszone w</w:t>
      </w:r>
      <w:r w:rsidR="00FF163E">
        <w:rPr>
          <w:lang w:val="pl-PL"/>
        </w:rPr>
        <w:t> </w:t>
      </w:r>
      <w:r w:rsidRPr="007D3422">
        <w:rPr>
          <w:lang w:val="pl-PL"/>
        </w:rPr>
        <w:t>związku z nałożonym na niego obowiązkiem uiszczenia opłaty w</w:t>
      </w:r>
      <w:r w:rsidR="009F42C5">
        <w:rPr>
          <w:lang w:val="pl-PL"/>
        </w:rPr>
        <w:t> </w:t>
      </w:r>
      <w:r w:rsidRPr="007D3422">
        <w:rPr>
          <w:lang w:val="pl-PL"/>
        </w:rPr>
        <w:t>wysokości 600 PLN za wniesienie pozwu o odszkodowanie.</w:t>
      </w:r>
    </w:p>
    <w:p w14:paraId="43E34D15" w14:textId="77777777" w:rsidR="00FB0460" w:rsidRPr="007D3422" w:rsidRDefault="00000000" w:rsidP="000E31B3">
      <w:pPr>
        <w:pStyle w:val="JuHHead"/>
        <w:numPr>
          <w:ilvl w:val="0"/>
          <w:numId w:val="1"/>
        </w:numPr>
        <w:rPr>
          <w:lang w:val="pl-PL"/>
        </w:rPr>
      </w:pPr>
      <w:r w:rsidRPr="007D3422">
        <w:rPr>
          <w:bCs w:val="0"/>
          <w:lang w:val="pl-PL"/>
        </w:rPr>
        <w:lastRenderedPageBreak/>
        <w:t>OCENA TRYBUNAŁU</w:t>
      </w:r>
    </w:p>
    <w:p w14:paraId="0210FBC5" w14:textId="5D6DA067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10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Stwierdzając, że zarzut nie jest w sposób oczywisty nieuzasadniony ani niedopuszczalny z jakiegokolwiek innego powodu na podstawie art.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35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Konwencji, Trybunał uznaje go za dopuszczalny.</w:t>
      </w:r>
    </w:p>
    <w:p w14:paraId="60975F93" w14:textId="4F00D816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11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Rząd uważa, że w niniejszej sprawie nie doszło do naruszenia art.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6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 xml:space="preserve">ust. 1 Konwencji. Rząd utrzymuje, że opłatę związaną z </w:t>
      </w:r>
      <w:r w:rsidR="00B531CD" w:rsidRPr="007D3422">
        <w:rPr>
          <w:lang w:val="pl-PL"/>
        </w:rPr>
        <w:t>pozwem skarżącego</w:t>
      </w:r>
      <w:r w:rsidRPr="007D3422">
        <w:rPr>
          <w:lang w:val="pl-PL"/>
        </w:rPr>
        <w:t xml:space="preserve"> ustalono zgodnie z odpowiednimi przepisami w tej dziedzinie</w:t>
      </w:r>
      <w:r w:rsidR="00651FBB">
        <w:rPr>
          <w:lang w:val="pl-PL"/>
        </w:rPr>
        <w:t>,</w:t>
      </w:r>
      <w:r w:rsidRPr="007D3422">
        <w:rPr>
          <w:lang w:val="pl-PL"/>
        </w:rPr>
        <w:t xml:space="preserve"> i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uważa, że nie była ona nieproporcjonalna w stosunku do sytuacji finansowej skarżącego. Rząd twierdzi ponadto, że sądy krajowe zwolniły skarżącego z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obowiązku uiszczenia kwoty odpowiadającej 90% należnej opłaty za</w:t>
      </w:r>
      <w:r w:rsidR="00FF163E">
        <w:rPr>
          <w:lang w:val="pl-PL"/>
        </w:rPr>
        <w:t> </w:t>
      </w:r>
      <w:r w:rsidRPr="007D3422">
        <w:rPr>
          <w:lang w:val="pl-PL"/>
        </w:rPr>
        <w:t xml:space="preserve">wniesienie pozwu, a kwota, której od niego żądano, stanowiła zaledwie 0,5% całkowitej kwoty </w:t>
      </w:r>
      <w:r w:rsidR="00B531CD">
        <w:t>wniesionego przez niego roszczenia</w:t>
      </w:r>
      <w:r w:rsidRPr="007D3422">
        <w:rPr>
          <w:lang w:val="pl-PL"/>
        </w:rPr>
        <w:t>. W opinii Rządu skarżący zawyżył swoje roszczenia, a gdyby je</w:t>
      </w:r>
      <w:r w:rsidR="005B1167">
        <w:rPr>
          <w:lang w:val="pl-PL"/>
        </w:rPr>
        <w:t> </w:t>
      </w:r>
      <w:r w:rsidRPr="007D3422">
        <w:rPr>
          <w:lang w:val="pl-PL"/>
        </w:rPr>
        <w:t xml:space="preserve">obniżył, należna opłata uległaby odpowiedniemu zmniejszeniu. Rząd dodaje, że decyzja nakazująca zwrot pozwu skarżącemu nie miała powagi rzeczy osądzonej, a zatem </w:t>
      </w:r>
      <w:r w:rsidR="00B531CD">
        <w:rPr>
          <w:lang w:val="pl-PL"/>
        </w:rPr>
        <w:t>skarżący miał</w:t>
      </w:r>
      <w:r w:rsidRPr="007D3422">
        <w:rPr>
          <w:lang w:val="pl-PL"/>
        </w:rPr>
        <w:t xml:space="preserve"> możliwość ponownego wniesienia przedmiotowego pozwu aż do upływu terminu przedawnienia.</w:t>
      </w:r>
    </w:p>
    <w:p w14:paraId="2A3A6E49" w14:textId="77777777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12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Skarżący odrzuca argumenty Rządu.</w:t>
      </w:r>
    </w:p>
    <w:bookmarkStart w:id="0" w:name="P13"/>
    <w:p w14:paraId="1EA5B5DF" w14:textId="38ACB7A5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13</w:t>
      </w:r>
      <w:r w:rsidRPr="007D3422">
        <w:rPr>
          <w:lang w:val="pl-PL"/>
        </w:rPr>
        <w:fldChar w:fldCharType="end"/>
      </w:r>
      <w:bookmarkEnd w:id="0"/>
      <w:r w:rsidRPr="007D3422">
        <w:rPr>
          <w:lang w:val="pl-PL"/>
        </w:rPr>
        <w:t xml:space="preserve">.  Ogólne zasady mające zastosowanie w tego rodzaju sprawach przedstawiono w wielu orzeczeniach (zob. np. </w:t>
      </w:r>
      <w:r w:rsidRPr="007D3422">
        <w:rPr>
          <w:i/>
          <w:iCs/>
          <w:lang w:val="pl-PL"/>
        </w:rPr>
        <w:t>Kreuz przeciwko Polsce</w:t>
      </w:r>
      <w:r w:rsidRPr="007D3422">
        <w:rPr>
          <w:lang w:val="pl-PL"/>
        </w:rPr>
        <w:t xml:space="preserve"> </w:t>
      </w:r>
      <w:r w:rsidRPr="007D3422">
        <w:rPr>
          <w:i/>
          <w:iCs/>
          <w:lang w:val="pl-PL"/>
        </w:rPr>
        <w:t>(nr</w:t>
      </w:r>
      <w:r w:rsidR="00507196" w:rsidRPr="007D3422">
        <w:rPr>
          <w:i/>
          <w:iCs/>
          <w:lang w:val="pl-PL"/>
        </w:rPr>
        <w:t> </w:t>
      </w:r>
      <w:r w:rsidRPr="007D3422">
        <w:rPr>
          <w:i/>
          <w:iCs/>
          <w:lang w:val="pl-PL"/>
        </w:rPr>
        <w:t>1)</w:t>
      </w:r>
      <w:r w:rsidRPr="007D3422">
        <w:rPr>
          <w:lang w:val="pl-PL"/>
        </w:rPr>
        <w:t xml:space="preserve">, skarga nr 28249/95, ETPC 2001-VI, </w:t>
      </w:r>
      <w:r w:rsidRPr="007D3422">
        <w:rPr>
          <w:i/>
          <w:iCs/>
          <w:lang w:val="pl-PL"/>
        </w:rPr>
        <w:t>Nieruchomości sp. z o.o. przeciwko Polsce</w:t>
      </w:r>
      <w:r w:rsidR="009A7DC5" w:rsidRPr="002029A5">
        <w:rPr>
          <w:lang w:val="pl-PL"/>
        </w:rPr>
        <w:t xml:space="preserve">, </w:t>
      </w:r>
      <w:r w:rsidR="009A7DC5" w:rsidRPr="009A7DC5">
        <w:rPr>
          <w:lang w:val="pl-PL"/>
        </w:rPr>
        <w:t xml:space="preserve">skarga </w:t>
      </w:r>
      <w:r w:rsidR="009A7DC5" w:rsidRPr="002029A5">
        <w:rPr>
          <w:lang w:val="pl-PL"/>
        </w:rPr>
        <w:t>nr 32740/06,</w:t>
      </w:r>
      <w:r w:rsidRPr="007D3422">
        <w:rPr>
          <w:lang w:val="pl-PL"/>
        </w:rPr>
        <w:t xml:space="preserve"> § 29, 2 lutego 2010 r.</w:t>
      </w:r>
      <w:r w:rsidR="009A7DC5">
        <w:rPr>
          <w:lang w:val="pl-PL"/>
        </w:rPr>
        <w:t>,</w:t>
      </w:r>
      <w:r w:rsidRPr="007D3422">
        <w:rPr>
          <w:lang w:val="pl-PL"/>
        </w:rPr>
        <w:t xml:space="preserve"> oraz </w:t>
      </w:r>
      <w:r w:rsidRPr="007D3422">
        <w:rPr>
          <w:i/>
          <w:iCs/>
          <w:lang w:val="pl-PL"/>
        </w:rPr>
        <w:t>Elcomp sp. z o.o. przeciwko Polsce</w:t>
      </w:r>
      <w:r w:rsidRPr="007D3422">
        <w:rPr>
          <w:lang w:val="pl-PL"/>
        </w:rPr>
        <w:t xml:space="preserve">, </w:t>
      </w:r>
      <w:r w:rsidR="009A7DC5" w:rsidRPr="009A7DC5">
        <w:rPr>
          <w:lang w:val="pl-PL"/>
        </w:rPr>
        <w:t xml:space="preserve">skarga </w:t>
      </w:r>
      <w:r w:rsidRPr="007D3422">
        <w:rPr>
          <w:lang w:val="pl-PL"/>
        </w:rPr>
        <w:t>nr 37492/05, § 42, 19 kwietnia 2011 r.).</w:t>
      </w:r>
    </w:p>
    <w:p w14:paraId="563EED33" w14:textId="550E424D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14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W niniejszej sprawie Trybunał zauważa, że pozew wniesiony o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odszkodowanie za szkodę, jaką – zdaniem skarżącego – poniósł on z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powodu braku odpowiedniej opieki medycznej w zakładzie karnym, został zwrócony skarżącemu z powodu nieuiszczenia opłaty wymaganej za</w:t>
      </w:r>
      <w:r w:rsidR="005B1167">
        <w:rPr>
          <w:lang w:val="pl-PL"/>
        </w:rPr>
        <w:t> </w:t>
      </w:r>
      <w:r w:rsidRPr="007D3422">
        <w:rPr>
          <w:lang w:val="pl-PL"/>
        </w:rPr>
        <w:t xml:space="preserve">wniesienie tego </w:t>
      </w:r>
      <w:r w:rsidR="00B531CD">
        <w:rPr>
          <w:lang w:val="pl-PL"/>
        </w:rPr>
        <w:t>pozwu</w:t>
      </w:r>
      <w:r w:rsidRPr="007D3422">
        <w:rPr>
          <w:lang w:val="pl-PL"/>
        </w:rPr>
        <w:t xml:space="preserve">. Trybunał zauważa, że kwota </w:t>
      </w:r>
      <w:r w:rsidR="007A79EA">
        <w:rPr>
          <w:lang w:val="pl-PL"/>
        </w:rPr>
        <w:t>tej opłaty</w:t>
      </w:r>
      <w:r w:rsidRPr="007D3422">
        <w:rPr>
          <w:lang w:val="pl-PL"/>
        </w:rPr>
        <w:t xml:space="preserve"> stanowiła procent od sumy 120</w:t>
      </w:r>
      <w:r w:rsidR="00AB15F2">
        <w:rPr>
          <w:lang w:val="pl-PL"/>
        </w:rPr>
        <w:t> </w:t>
      </w:r>
      <w:r w:rsidRPr="007D3422">
        <w:rPr>
          <w:lang w:val="pl-PL"/>
        </w:rPr>
        <w:t>000 PLN, jakiej domagał się skarżący we</w:t>
      </w:r>
      <w:r w:rsidR="005B1167">
        <w:rPr>
          <w:lang w:val="pl-PL"/>
        </w:rPr>
        <w:t> </w:t>
      </w:r>
      <w:r w:rsidRPr="007D3422">
        <w:rPr>
          <w:lang w:val="pl-PL"/>
        </w:rPr>
        <w:t xml:space="preserve">wniesionym pozwie. Trybunał </w:t>
      </w:r>
      <w:r w:rsidR="007A79EA" w:rsidRPr="007A79EA">
        <w:rPr>
          <w:lang w:val="pl-PL"/>
        </w:rPr>
        <w:t>odnotowuje</w:t>
      </w:r>
      <w:r w:rsidRPr="007D3422">
        <w:rPr>
          <w:lang w:val="pl-PL"/>
        </w:rPr>
        <w:t>, że sądy krajowe zwolniły skarżącego z</w:t>
      </w:r>
      <w:r w:rsidR="007A79EA">
        <w:rPr>
          <w:lang w:val="pl-PL"/>
        </w:rPr>
        <w:t> </w:t>
      </w:r>
      <w:r w:rsidRPr="007D3422">
        <w:rPr>
          <w:lang w:val="pl-PL"/>
        </w:rPr>
        <w:t>obowiązku pokrycia kosztów związanych z jego pozwem w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części przekraczającej 600 PLN.</w:t>
      </w:r>
    </w:p>
    <w:p w14:paraId="471E986A" w14:textId="4CF531A8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15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Trybunał zauważa, że w wyniku </w:t>
      </w:r>
      <w:r w:rsidR="00B531CD">
        <w:t>orze</w:t>
      </w:r>
      <w:r w:rsidR="000A3277">
        <w:t>c</w:t>
      </w:r>
      <w:r w:rsidR="00B531CD">
        <w:t>zeń sądów krajowych</w:t>
      </w:r>
      <w:r w:rsidR="000A3277">
        <w:t xml:space="preserve"> </w:t>
      </w:r>
      <w:r w:rsidRPr="007D3422">
        <w:rPr>
          <w:lang w:val="pl-PL"/>
        </w:rPr>
        <w:t>skarżący musiał odstąpić od</w:t>
      </w:r>
      <w:r w:rsidR="005B1167">
        <w:rPr>
          <w:lang w:val="pl-PL"/>
        </w:rPr>
        <w:t> </w:t>
      </w:r>
      <w:r w:rsidRPr="007D3422">
        <w:rPr>
          <w:lang w:val="pl-PL"/>
        </w:rPr>
        <w:t>roszczenia, a jego sprawa nie mogła zostać rozpatrzona przez sąd.</w:t>
      </w:r>
    </w:p>
    <w:p w14:paraId="7BCA0102" w14:textId="71D8FAFA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16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Trybunał odnotowuje, że z uzasadnień </w:t>
      </w:r>
      <w:r w:rsidR="00124D43">
        <w:rPr>
          <w:lang w:val="pl-PL"/>
        </w:rPr>
        <w:t>rzeczonych decyzji</w:t>
      </w:r>
      <w:r w:rsidRPr="007D3422">
        <w:rPr>
          <w:lang w:val="pl-PL"/>
        </w:rPr>
        <w:t xml:space="preserve"> nie wynika, aby pozew o odszkodowanie wniesiony przez skarżącego był bezzasadny lub z góry skazany na</w:t>
      </w:r>
      <w:r w:rsidR="005B1167">
        <w:rPr>
          <w:lang w:val="pl-PL"/>
        </w:rPr>
        <w:t> </w:t>
      </w:r>
      <w:r w:rsidRPr="007D3422">
        <w:rPr>
          <w:lang w:val="pl-PL"/>
        </w:rPr>
        <w:t>niepowodzenie. Trybunał zauważa, że celem postępowania wszczętego przez skarżącego było uzyskanie odszkodowania za szkodę, jaką miał ponieść w wyniku zaniedbania zarzucanego służbie medycznej zakładu karnego, gdy ta nie zapewniła skarżącemu sprzętu medycznego wymaganego ze względu na jego stan zdrowia.</w:t>
      </w:r>
    </w:p>
    <w:p w14:paraId="0F959627" w14:textId="634BB97F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lastRenderedPageBreak/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17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Trybunał zwraca uwagę, że sądy krajowe uznały, iż skarżący był w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 xml:space="preserve">stanie uiścić opłatę w wysokości 600 PLN za wniesienie pozwu. </w:t>
      </w:r>
      <w:r w:rsidR="007A5A5E">
        <w:rPr>
          <w:lang w:val="pl-PL"/>
        </w:rPr>
        <w:t>Otóż, z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 xml:space="preserve">uzasadnienia zaskarżonych </w:t>
      </w:r>
      <w:r w:rsidR="00B531CD">
        <w:rPr>
          <w:lang w:val="pl-PL"/>
        </w:rPr>
        <w:t>orzeczeń</w:t>
      </w:r>
      <w:r w:rsidR="007A5A5E" w:rsidRPr="007D3422">
        <w:rPr>
          <w:lang w:val="pl-PL"/>
        </w:rPr>
        <w:t xml:space="preserve"> </w:t>
      </w:r>
      <w:r w:rsidRPr="007D3422">
        <w:rPr>
          <w:lang w:val="pl-PL"/>
        </w:rPr>
        <w:t>wynika jednak, że w okresie, w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którym miały miejsce zdarzenia będące przedmiotem sprawy, skarżący dysponował jedynie kwotą 75 PLN, czyli około ośmiokrotnie niższą od</w:t>
      </w:r>
      <w:r w:rsidR="005B1167">
        <w:rPr>
          <w:lang w:val="pl-PL"/>
        </w:rPr>
        <w:t> </w:t>
      </w:r>
      <w:r w:rsidRPr="007D3422">
        <w:rPr>
          <w:lang w:val="pl-PL"/>
        </w:rPr>
        <w:t>wysokości opłaty, której uiszczenia od niego wymagano. Z</w:t>
      </w:r>
      <w:r w:rsidR="005B1167">
        <w:rPr>
          <w:lang w:val="pl-PL"/>
        </w:rPr>
        <w:t> </w:t>
      </w:r>
      <w:r w:rsidR="00B531CD">
        <w:rPr>
          <w:lang w:val="pl-PL"/>
        </w:rPr>
        <w:t>orzeczeń</w:t>
      </w:r>
      <w:r w:rsidR="002C5D94">
        <w:rPr>
          <w:lang w:val="pl-PL"/>
        </w:rPr>
        <w:t xml:space="preserve">, o których mowa </w:t>
      </w:r>
      <w:r w:rsidRPr="007D3422">
        <w:rPr>
          <w:lang w:val="pl-PL"/>
        </w:rPr>
        <w:t>wynika ponadto, że</w:t>
      </w:r>
      <w:r w:rsidR="005B1167">
        <w:rPr>
          <w:lang w:val="pl-PL"/>
        </w:rPr>
        <w:t> </w:t>
      </w:r>
      <w:r w:rsidRPr="007D3422">
        <w:rPr>
          <w:lang w:val="pl-PL"/>
        </w:rPr>
        <w:t>skarżący nie wykonywał wówczas żadnej pracy w zakładzie karnym, w</w:t>
      </w:r>
      <w:r w:rsidR="005B1167">
        <w:rPr>
          <w:lang w:val="pl-PL"/>
        </w:rPr>
        <w:t> </w:t>
      </w:r>
      <w:r w:rsidRPr="007D3422">
        <w:rPr>
          <w:lang w:val="pl-PL"/>
        </w:rPr>
        <w:t>którym przebywał, ani nie miał stałego źródła dochodów, z wyjątkiem sporadycznej pomocy udzielanej mu przez bliskich. Trybunał uważa, że</w:t>
      </w:r>
      <w:r w:rsidR="005B1167">
        <w:rPr>
          <w:lang w:val="pl-PL"/>
        </w:rPr>
        <w:t> </w:t>
      </w:r>
      <w:r w:rsidRPr="007D3422">
        <w:rPr>
          <w:lang w:val="pl-PL"/>
        </w:rPr>
        <w:t xml:space="preserve">skarżący bez wątpienia znajdował się w </w:t>
      </w:r>
      <w:r w:rsidR="007A5A5E">
        <w:rPr>
          <w:lang w:val="pl-PL"/>
        </w:rPr>
        <w:t>niedostatku</w:t>
      </w:r>
      <w:r w:rsidRPr="007D3422">
        <w:rPr>
          <w:lang w:val="pl-PL"/>
        </w:rPr>
        <w:t>.</w:t>
      </w:r>
    </w:p>
    <w:p w14:paraId="78AE0359" w14:textId="1AE210B2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18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Trybunał zauważa, że sądy krajowe uznały, iż skoro skarżący otrzymał kilka miesięcy wcześniej od swoich bliskich kwotę 1 250 PLN, był</w:t>
      </w:r>
      <w:r w:rsidR="005B1167">
        <w:rPr>
          <w:lang w:val="pl-PL"/>
        </w:rPr>
        <w:t> </w:t>
      </w:r>
      <w:r w:rsidRPr="007D3422">
        <w:rPr>
          <w:lang w:val="pl-PL"/>
        </w:rPr>
        <w:t>w stanie zgromadzić z wyprzedzeniem środki niezbędne do pokrycia kosztów postępowania. W tej kwestii Trybunał jest zdania, że wspomniane sądy – które uznały, iż skarżący powinien był zaoszczędzić na ten cel pewną kwotę – oparły się na hipotezach niemających rzeczywistego potwierdzenia w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materiałach dowodowych przedstawionych im przez skarżącego (zob.,</w:t>
      </w:r>
      <w:r w:rsidR="005B1167">
        <w:rPr>
          <w:lang w:val="pl-PL"/>
        </w:rPr>
        <w:t> </w:t>
      </w:r>
      <w:r w:rsidRPr="007D3422">
        <w:rPr>
          <w:lang w:val="pl-PL"/>
        </w:rPr>
        <w:t>odpowiednio</w:t>
      </w:r>
      <w:r w:rsidRPr="007D3422">
        <w:rPr>
          <w:i/>
          <w:iCs/>
          <w:lang w:val="pl-PL"/>
        </w:rPr>
        <w:t>,</w:t>
      </w:r>
      <w:r w:rsidRPr="007D3422">
        <w:rPr>
          <w:lang w:val="pl-PL"/>
        </w:rPr>
        <w:t xml:space="preserve"> </w:t>
      </w:r>
      <w:r w:rsidRPr="007D3422">
        <w:rPr>
          <w:i/>
          <w:iCs/>
          <w:lang w:val="pl-PL"/>
        </w:rPr>
        <w:t>Kreuz</w:t>
      </w:r>
      <w:r w:rsidRPr="007D3422">
        <w:rPr>
          <w:lang w:val="pl-PL"/>
        </w:rPr>
        <w:t xml:space="preserve">, § 63, </w:t>
      </w:r>
      <w:r w:rsidRPr="007D3422">
        <w:rPr>
          <w:i/>
          <w:iCs/>
          <w:lang w:val="pl-PL"/>
        </w:rPr>
        <w:t>op.cit.</w:t>
      </w:r>
      <w:r w:rsidR="00CB4DD6" w:rsidRPr="003E488B">
        <w:rPr>
          <w:lang w:val="pl-PL"/>
        </w:rPr>
        <w:t>,</w:t>
      </w:r>
      <w:r w:rsidRPr="007D3422">
        <w:rPr>
          <w:lang w:val="pl-PL"/>
        </w:rPr>
        <w:t xml:space="preserve"> i</w:t>
      </w:r>
      <w:r w:rsidR="007D3422" w:rsidRPr="003E488B">
        <w:rPr>
          <w:lang w:val="pl-PL"/>
        </w:rPr>
        <w:t xml:space="preserve"> </w:t>
      </w:r>
      <w:r w:rsidRPr="007D3422">
        <w:rPr>
          <w:i/>
          <w:iCs/>
          <w:lang w:val="pl-PL"/>
        </w:rPr>
        <w:t>Nieruchomości</w:t>
      </w:r>
      <w:r w:rsidRPr="007D3422">
        <w:rPr>
          <w:lang w:val="pl-PL"/>
        </w:rPr>
        <w:t xml:space="preserve">, § 35, </w:t>
      </w:r>
      <w:r w:rsidRPr="007D3422">
        <w:rPr>
          <w:i/>
          <w:iCs/>
          <w:lang w:val="pl-PL"/>
        </w:rPr>
        <w:t>op.cit.</w:t>
      </w:r>
      <w:r w:rsidRPr="007D3422">
        <w:rPr>
          <w:lang w:val="pl-PL"/>
        </w:rPr>
        <w:t>). Trybunał zauważa ponadto, że skarżący był osobą pełnoletnią, a jego bliscy nie ponosili wobec niego żadnego obowiązku alimentacyjnego.</w:t>
      </w:r>
    </w:p>
    <w:p w14:paraId="46C35B7A" w14:textId="2E68743C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19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W tych okolicznościach oraz biorąc pod uwagę powyższe argumenty, Trybunał uznaje, że nałożony na skarżącego obowiązek uiszczenia opłaty w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 xml:space="preserve">wysokości 600 PLN za wniesienie pozwu o odszkodowanie stanowił nieproporcjonalne ograniczenie jego prawa dostępu do </w:t>
      </w:r>
      <w:r w:rsidR="005C5F8B">
        <w:rPr>
          <w:lang w:val="pl-PL"/>
        </w:rPr>
        <w:t>sądu</w:t>
      </w:r>
    </w:p>
    <w:p w14:paraId="4F9931C2" w14:textId="77777777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20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Doszło zatem do naruszenia art. 6 ust. 1 Konwencji.</w:t>
      </w:r>
    </w:p>
    <w:p w14:paraId="4316C288" w14:textId="77777777" w:rsidR="00FB0460" w:rsidRPr="007D3422" w:rsidRDefault="00000000" w:rsidP="000E31B3">
      <w:pPr>
        <w:pStyle w:val="JuHHead"/>
        <w:numPr>
          <w:ilvl w:val="0"/>
          <w:numId w:val="1"/>
        </w:numPr>
        <w:rPr>
          <w:lang w:val="pl-PL"/>
        </w:rPr>
      </w:pPr>
      <w:r w:rsidRPr="007D3422">
        <w:rPr>
          <w:bCs w:val="0"/>
          <w:lang w:val="pl-PL"/>
        </w:rPr>
        <w:t>ZASTOSOWANIE ART. 41 KONWENCJI</w:t>
      </w:r>
    </w:p>
    <w:p w14:paraId="5B31BA30" w14:textId="4C6F44E7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21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Skarżący domaga się 60</w:t>
      </w:r>
      <w:r w:rsidR="00AB15F2">
        <w:rPr>
          <w:lang w:val="pl-PL"/>
        </w:rPr>
        <w:t> </w:t>
      </w:r>
      <w:r w:rsidRPr="007D3422">
        <w:rPr>
          <w:lang w:val="pl-PL"/>
        </w:rPr>
        <w:t>000 PLN, czyli około 15</w:t>
      </w:r>
      <w:r w:rsidR="00AB15F2">
        <w:rPr>
          <w:lang w:val="pl-PL"/>
        </w:rPr>
        <w:t> </w:t>
      </w:r>
      <w:r w:rsidRPr="007D3422">
        <w:rPr>
          <w:lang w:val="pl-PL"/>
        </w:rPr>
        <w:t xml:space="preserve">000 EUR, tytułem zadośćuczynienia za szkodę niemajątkową, jaką, jego zdaniem, </w:t>
      </w:r>
      <w:r w:rsidR="005C5F8B" w:rsidRPr="007D3422">
        <w:rPr>
          <w:lang w:val="pl-PL"/>
        </w:rPr>
        <w:t>poniósł</w:t>
      </w:r>
      <w:r w:rsidRPr="007D3422">
        <w:rPr>
          <w:lang w:val="pl-PL"/>
        </w:rPr>
        <w:t xml:space="preserve"> oraz 320</w:t>
      </w:r>
      <w:r w:rsidR="009303CE">
        <w:rPr>
          <w:lang w:val="pl-PL"/>
        </w:rPr>
        <w:t> </w:t>
      </w:r>
      <w:r w:rsidRPr="007D3422">
        <w:rPr>
          <w:lang w:val="pl-PL"/>
        </w:rPr>
        <w:t>PLN, czyli około 80 EUR, z tytułu kosztów i wydatków,</w:t>
      </w:r>
      <w:r w:rsidR="00B7587D">
        <w:rPr>
          <w:lang w:val="pl-PL"/>
        </w:rPr>
        <w:t xml:space="preserve"> </w:t>
      </w:r>
      <w:r w:rsidRPr="007D3422">
        <w:rPr>
          <w:lang w:val="pl-PL"/>
        </w:rPr>
        <w:t>które, jak</w:t>
      </w:r>
      <w:r w:rsidR="005B1167">
        <w:rPr>
          <w:lang w:val="pl-PL"/>
        </w:rPr>
        <w:t> </w:t>
      </w:r>
      <w:r w:rsidRPr="007D3422">
        <w:rPr>
          <w:lang w:val="pl-PL"/>
        </w:rPr>
        <w:t>twierdzi, poniósł w postępowaniu przed Trybunałem.</w:t>
      </w:r>
    </w:p>
    <w:p w14:paraId="1DC0BB07" w14:textId="5DFD9DAA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22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 xml:space="preserve">.  Rząd uważa, że roszczenia wniesione przez skarżącego tytułem zadośćuczynienia za szkodę niemajątkową są wygórowane i nieuzasadnione. </w:t>
      </w:r>
      <w:r w:rsidR="00F22A5F">
        <w:rPr>
          <w:lang w:val="pl-PL"/>
        </w:rPr>
        <w:t>Zarzucił ponadto, że</w:t>
      </w:r>
      <w:r w:rsidR="005B1167">
        <w:rPr>
          <w:lang w:val="pl-PL"/>
        </w:rPr>
        <w:t> </w:t>
      </w:r>
      <w:r w:rsidR="0079416C">
        <w:rPr>
          <w:lang w:val="pl-PL"/>
        </w:rPr>
        <w:t>skarżący</w:t>
      </w:r>
      <w:r w:rsidR="00F22A5F">
        <w:rPr>
          <w:lang w:val="pl-PL"/>
        </w:rPr>
        <w:t xml:space="preserve"> nie przedłożył</w:t>
      </w:r>
      <w:r w:rsidRPr="007D3422">
        <w:rPr>
          <w:lang w:val="pl-PL"/>
        </w:rPr>
        <w:t xml:space="preserve"> żadnych istotnych dokumentów na poparcie </w:t>
      </w:r>
      <w:r w:rsidR="00B7587D">
        <w:rPr>
          <w:lang w:val="pl-PL"/>
        </w:rPr>
        <w:t>swojego żądania</w:t>
      </w:r>
      <w:r w:rsidRPr="007D3422">
        <w:rPr>
          <w:lang w:val="pl-PL"/>
        </w:rPr>
        <w:t xml:space="preserve"> o przyznanie zwrotu kosztów i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wydatków.</w:t>
      </w:r>
    </w:p>
    <w:p w14:paraId="05D3AB20" w14:textId="24F901F5" w:rsidR="00FB0460" w:rsidRPr="007D3422" w:rsidRDefault="00000000" w:rsidP="000E31B3">
      <w:pPr>
        <w:pStyle w:val="JuPara"/>
        <w:rPr>
          <w:lang w:val="pl-PL"/>
        </w:rPr>
      </w:pPr>
      <w:r w:rsidRPr="007D3422">
        <w:rPr>
          <w:lang w:val="pl-PL"/>
        </w:rPr>
        <w:fldChar w:fldCharType="begin"/>
      </w:r>
      <w:r w:rsidRPr="007D3422">
        <w:rPr>
          <w:lang w:val="pl-PL"/>
        </w:rPr>
        <w:instrText xml:space="preserve"> SEQ level0 \*arabic \* MERGEFORMAT </w:instrText>
      </w:r>
      <w:r w:rsidRPr="007D3422">
        <w:rPr>
          <w:lang w:val="pl-PL"/>
        </w:rPr>
        <w:fldChar w:fldCharType="separate"/>
      </w:r>
      <w:r w:rsidRPr="007D3422">
        <w:rPr>
          <w:noProof/>
          <w:lang w:val="pl-PL"/>
        </w:rPr>
        <w:t>23</w:t>
      </w:r>
      <w:r w:rsidRPr="007D3422">
        <w:rPr>
          <w:noProof/>
          <w:lang w:val="pl-PL"/>
        </w:rPr>
        <w:fldChar w:fldCharType="end"/>
      </w:r>
      <w:r w:rsidRPr="007D3422">
        <w:rPr>
          <w:lang w:val="pl-PL"/>
        </w:rPr>
        <w:t>.  Biorąc pod uwagę dokumenty znajdujące się w posiadaniu Trybunału oraz jego orzecznictwo, Trybunał zasądza na rzecz skarżącego kwotę 7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800</w:t>
      </w:r>
      <w:r w:rsidR="00507196" w:rsidRPr="007D3422">
        <w:rPr>
          <w:lang w:val="pl-PL"/>
        </w:rPr>
        <w:t> </w:t>
      </w:r>
      <w:r w:rsidRPr="007D3422">
        <w:rPr>
          <w:lang w:val="pl-PL"/>
        </w:rPr>
        <w:t>EUR tytułem zadośćuczynienia za szkodę niemajątkową, powiększoną o</w:t>
      </w:r>
      <w:r w:rsidR="003C6F6E">
        <w:rPr>
          <w:lang w:val="pl-PL"/>
        </w:rPr>
        <w:t> </w:t>
      </w:r>
      <w:r w:rsidRPr="007D3422">
        <w:rPr>
          <w:lang w:val="pl-PL"/>
        </w:rPr>
        <w:t xml:space="preserve">ewentualną kwotę należną od skarżącego z tytułu podatku od tej kwoty, oraz oddala </w:t>
      </w:r>
      <w:r w:rsidR="005C5F8B">
        <w:rPr>
          <w:lang w:val="pl-PL"/>
        </w:rPr>
        <w:t>wniosek skarżącego dotyczący</w:t>
      </w:r>
      <w:r w:rsidR="00F22A5F" w:rsidRPr="007D3422">
        <w:rPr>
          <w:lang w:val="pl-PL"/>
        </w:rPr>
        <w:t xml:space="preserve"> </w:t>
      </w:r>
      <w:r w:rsidRPr="007D3422">
        <w:rPr>
          <w:lang w:val="pl-PL"/>
        </w:rPr>
        <w:t>kosztów i wydatków związanych z postępowaniem przed Trybunałem.</w:t>
      </w:r>
    </w:p>
    <w:p w14:paraId="2458AB37" w14:textId="620E5DD4" w:rsidR="00FB0460" w:rsidRPr="007D3422" w:rsidRDefault="00000000" w:rsidP="0079416C">
      <w:pPr>
        <w:pStyle w:val="JuHHead"/>
        <w:numPr>
          <w:ilvl w:val="0"/>
          <w:numId w:val="1"/>
        </w:numPr>
        <w:rPr>
          <w:lang w:val="pl-PL"/>
        </w:rPr>
      </w:pPr>
      <w:r w:rsidRPr="007D3422">
        <w:rPr>
          <w:bCs w:val="0"/>
          <w:lang w:val="pl-PL"/>
        </w:rPr>
        <w:lastRenderedPageBreak/>
        <w:t>Z POWYŻSZYCH WZGLĘDÓW TRYBUNAŁ JEDNOMYŚLNIE</w:t>
      </w:r>
    </w:p>
    <w:p w14:paraId="78AD267B" w14:textId="473AC053" w:rsidR="00FB0460" w:rsidRPr="007D3422" w:rsidRDefault="004520C1" w:rsidP="000E31B3">
      <w:pPr>
        <w:pStyle w:val="JuList"/>
        <w:numPr>
          <w:ilvl w:val="0"/>
          <w:numId w:val="18"/>
        </w:numPr>
        <w:rPr>
          <w:lang w:val="pl-PL"/>
        </w:rPr>
      </w:pPr>
      <w:r>
        <w:rPr>
          <w:i/>
          <w:iCs/>
          <w:lang w:val="pl-PL"/>
        </w:rPr>
        <w:t>u</w:t>
      </w:r>
      <w:r w:rsidRPr="007D3422">
        <w:rPr>
          <w:i/>
          <w:iCs/>
          <w:lang w:val="pl-PL"/>
        </w:rPr>
        <w:t>znaje</w:t>
      </w:r>
      <w:r w:rsidRPr="007D3422">
        <w:rPr>
          <w:lang w:val="pl-PL"/>
        </w:rPr>
        <w:t xml:space="preserve"> skargę za dopuszczalną;</w:t>
      </w:r>
    </w:p>
    <w:p w14:paraId="25AA4428" w14:textId="402D718D" w:rsidR="00FB0460" w:rsidRPr="007D3422" w:rsidRDefault="004051C8" w:rsidP="000E31B3">
      <w:pPr>
        <w:pStyle w:val="JuList"/>
        <w:numPr>
          <w:ilvl w:val="0"/>
          <w:numId w:val="18"/>
        </w:numPr>
        <w:rPr>
          <w:lang w:val="pl-PL"/>
        </w:rPr>
      </w:pPr>
      <w:r>
        <w:rPr>
          <w:i/>
          <w:iCs/>
          <w:lang w:val="pl-PL"/>
        </w:rPr>
        <w:t>stwierdza</w:t>
      </w:r>
      <w:r w:rsidRPr="007D3422">
        <w:rPr>
          <w:lang w:val="pl-PL"/>
        </w:rPr>
        <w:t>, że doszło do naruszenia art. 6 ust. 1 Konwencji;</w:t>
      </w:r>
    </w:p>
    <w:p w14:paraId="10057598" w14:textId="3F992CEF" w:rsidR="00FB0460" w:rsidRPr="007D3422" w:rsidRDefault="004051C8" w:rsidP="000E31B3">
      <w:pPr>
        <w:pStyle w:val="JuList"/>
        <w:numPr>
          <w:ilvl w:val="0"/>
          <w:numId w:val="18"/>
        </w:numPr>
        <w:rPr>
          <w:lang w:val="pl-PL"/>
        </w:rPr>
      </w:pPr>
      <w:r>
        <w:rPr>
          <w:i/>
          <w:iCs/>
          <w:lang w:val="pl-PL"/>
        </w:rPr>
        <w:t>stwierdza</w:t>
      </w:r>
      <w:r w:rsidRPr="007D3422">
        <w:rPr>
          <w:i/>
          <w:iCs/>
          <w:lang w:val="pl-PL"/>
        </w:rPr>
        <w:t>,</w:t>
      </w:r>
    </w:p>
    <w:p w14:paraId="3C7D1180" w14:textId="473AE52A" w:rsidR="00FB0460" w:rsidRPr="007D3422" w:rsidRDefault="00000000" w:rsidP="000E31B3">
      <w:pPr>
        <w:pStyle w:val="JuLista"/>
        <w:numPr>
          <w:ilvl w:val="1"/>
          <w:numId w:val="18"/>
        </w:numPr>
        <w:rPr>
          <w:lang w:val="pl-PL"/>
        </w:rPr>
      </w:pPr>
      <w:r w:rsidRPr="007D3422">
        <w:rPr>
          <w:lang w:val="pl-PL"/>
        </w:rPr>
        <w:t xml:space="preserve">że pozwane państwo </w:t>
      </w:r>
      <w:r w:rsidR="0084092E">
        <w:rPr>
          <w:lang w:val="pl-PL"/>
        </w:rPr>
        <w:t>winno,</w:t>
      </w:r>
      <w:r w:rsidRPr="007D3422">
        <w:rPr>
          <w:lang w:val="pl-PL"/>
        </w:rPr>
        <w:t xml:space="preserve"> wypłacić skarżącemu tytułem zadośćuczynienia za szkodę niemajątkową, w terminie trzech miesięcy, kwotę 7</w:t>
      </w:r>
      <w:r w:rsidR="004051C8">
        <w:rPr>
          <w:lang w:val="pl-PL"/>
        </w:rPr>
        <w:t> </w:t>
      </w:r>
      <w:r w:rsidRPr="007D3422">
        <w:rPr>
          <w:lang w:val="pl-PL"/>
        </w:rPr>
        <w:t>800 EUR (siedem tysięcy osiemset euro)</w:t>
      </w:r>
      <w:r w:rsidR="007D3422">
        <w:rPr>
          <w:lang w:val="pl-PL"/>
        </w:rPr>
        <w:t>,</w:t>
      </w:r>
      <w:r w:rsidRPr="007D3422">
        <w:rPr>
          <w:lang w:val="pl-PL"/>
        </w:rPr>
        <w:t xml:space="preserve"> plus wszelkie kwoty, które mogą być należne z tytułu podatku od tej kwoty, w przeliczeniu na walutę pozwanego państwa według kursu obowiązującego w dniu rozliczenia</w:t>
      </w:r>
      <w:r w:rsidR="004051C8">
        <w:rPr>
          <w:lang w:val="pl-PL"/>
        </w:rPr>
        <w:t>;</w:t>
      </w:r>
    </w:p>
    <w:p w14:paraId="251527B4" w14:textId="0882B733" w:rsidR="00FB0460" w:rsidRPr="007D3422" w:rsidRDefault="00000000" w:rsidP="000E31B3">
      <w:pPr>
        <w:pStyle w:val="JuLista"/>
        <w:numPr>
          <w:ilvl w:val="1"/>
          <w:numId w:val="18"/>
        </w:numPr>
        <w:rPr>
          <w:lang w:val="pl-PL"/>
        </w:rPr>
      </w:pPr>
      <w:r w:rsidRPr="007D3422">
        <w:rPr>
          <w:lang w:val="pl-PL"/>
        </w:rPr>
        <w:t xml:space="preserve">że od upływu </w:t>
      </w:r>
      <w:r w:rsidR="002948AC" w:rsidRPr="002948AC">
        <w:rPr>
          <w:lang w:val="pl-PL"/>
        </w:rPr>
        <w:t xml:space="preserve">wyżej wskazanego terminu aż do momentu uregulowania należności, należne będą odsetki zwykłe od tej kwoty, naliczone według stopy równej marginalnej stopie procentowej </w:t>
      </w:r>
      <w:r w:rsidRPr="007D3422">
        <w:rPr>
          <w:lang w:val="pl-PL"/>
        </w:rPr>
        <w:t>Europejskiego Banku Centralnego obowiązującej w tym okresie, powiększonej o trzy punkty procentowe;</w:t>
      </w:r>
    </w:p>
    <w:p w14:paraId="37A0F3D1" w14:textId="7A809314" w:rsidR="00876F03" w:rsidRPr="007D3422" w:rsidRDefault="004051C8" w:rsidP="000E31B3">
      <w:pPr>
        <w:pStyle w:val="JuList"/>
        <w:rPr>
          <w:lang w:val="pl-PL"/>
        </w:rPr>
      </w:pPr>
      <w:r>
        <w:rPr>
          <w:i/>
          <w:iCs/>
          <w:lang w:val="pl-PL"/>
        </w:rPr>
        <w:t>oddala</w:t>
      </w:r>
      <w:r w:rsidRPr="007D3422">
        <w:rPr>
          <w:lang w:val="pl-PL"/>
        </w:rPr>
        <w:t xml:space="preserve"> żądanie słusznego zadośćuczynienia w pozostałym zakresie.</w:t>
      </w:r>
    </w:p>
    <w:p w14:paraId="34B66115" w14:textId="741C14AD" w:rsidR="00893F30" w:rsidRPr="007D3422" w:rsidRDefault="00000000" w:rsidP="000E31B3">
      <w:pPr>
        <w:pStyle w:val="JuParaLast"/>
        <w:rPr>
          <w:lang w:val="pl-PL"/>
        </w:rPr>
      </w:pPr>
      <w:r w:rsidRPr="007D3422">
        <w:rPr>
          <w:lang w:val="pl-PL"/>
        </w:rPr>
        <w:t xml:space="preserve">Sporządzono w języku francuskim i </w:t>
      </w:r>
      <w:r w:rsidR="00627AB7">
        <w:rPr>
          <w:lang w:val="pl-PL"/>
        </w:rPr>
        <w:t>notyfikowano na piśmie</w:t>
      </w:r>
      <w:r w:rsidR="00357F8F">
        <w:rPr>
          <w:lang w:val="pl-PL"/>
        </w:rPr>
        <w:t xml:space="preserve"> </w:t>
      </w:r>
      <w:r w:rsidRPr="007D3422">
        <w:rPr>
          <w:lang w:val="pl-PL"/>
        </w:rPr>
        <w:t>w dniu 3</w:t>
      </w:r>
      <w:r w:rsidR="00357F8F">
        <w:rPr>
          <w:lang w:val="pl-PL"/>
        </w:rPr>
        <w:t> </w:t>
      </w:r>
      <w:r w:rsidRPr="007D3422">
        <w:rPr>
          <w:lang w:val="pl-PL"/>
        </w:rPr>
        <w:t>września 2026 r., zgodnie z Regułą 77 §§ 2 i 3 Regulaminu Trybunału.</w:t>
      </w:r>
    </w:p>
    <w:p w14:paraId="53B73965" w14:textId="3F108528" w:rsidR="00F94531" w:rsidRPr="007D3422" w:rsidRDefault="00F94531" w:rsidP="0084092E">
      <w:pPr>
        <w:pStyle w:val="ECHRPlaceholder"/>
        <w:jc w:val="center"/>
        <w:rPr>
          <w:lang w:val="pl-PL"/>
        </w:rPr>
      </w:pPr>
    </w:p>
    <w:p w14:paraId="20075B5E" w14:textId="77777777" w:rsidR="0084092E" w:rsidRDefault="00000000" w:rsidP="0084092E">
      <w:pPr>
        <w:ind w:firstLine="720"/>
        <w:jc w:val="center"/>
        <w:rPr>
          <w:lang w:val="pl-PL"/>
        </w:rPr>
      </w:pPr>
      <w:r w:rsidRPr="007D3422">
        <w:rPr>
          <w:noProof/>
          <w:lang w:val="pl-PL"/>
        </w:rPr>
        <w:t>Liv Tigerstedt</w:t>
      </w:r>
      <w:r w:rsidRPr="007D3422">
        <w:rPr>
          <w:lang w:val="pl-PL"/>
        </w:rPr>
        <w:tab/>
      </w:r>
      <w:r w:rsidR="0084092E">
        <w:rPr>
          <w:lang w:val="pl-PL"/>
        </w:rPr>
        <w:tab/>
      </w:r>
      <w:r w:rsidR="0084092E">
        <w:rPr>
          <w:lang w:val="pl-PL"/>
        </w:rPr>
        <w:tab/>
      </w:r>
      <w:r w:rsidR="0084092E">
        <w:rPr>
          <w:lang w:val="pl-PL"/>
        </w:rPr>
        <w:tab/>
      </w:r>
      <w:r w:rsidRPr="007D3422">
        <w:rPr>
          <w:noProof/>
          <w:lang w:val="pl-PL"/>
        </w:rPr>
        <w:t>Davor Derenčinović</w:t>
      </w:r>
    </w:p>
    <w:p w14:paraId="0FAE51A2" w14:textId="1B6DBF28" w:rsidR="00876F03" w:rsidRPr="007D3422" w:rsidRDefault="00000000" w:rsidP="0084092E">
      <w:pPr>
        <w:jc w:val="center"/>
        <w:rPr>
          <w:lang w:val="pl-PL"/>
        </w:rPr>
      </w:pPr>
      <w:r w:rsidRPr="007D3422">
        <w:rPr>
          <w:noProof/>
          <w:lang w:val="pl-PL"/>
        </w:rPr>
        <w:t>Zastępczyni Kanclerza</w:t>
      </w:r>
      <w:r w:rsidRPr="007D3422">
        <w:rPr>
          <w:lang w:val="pl-PL"/>
        </w:rPr>
        <w:tab/>
      </w:r>
      <w:r w:rsidR="0084092E">
        <w:rPr>
          <w:lang w:val="pl-PL"/>
        </w:rPr>
        <w:tab/>
        <w:t xml:space="preserve">     </w:t>
      </w:r>
      <w:r w:rsidRPr="007D3422">
        <w:rPr>
          <w:noProof/>
          <w:lang w:val="pl-PL"/>
        </w:rPr>
        <w:t>Przewodniczący</w:t>
      </w:r>
    </w:p>
    <w:sectPr w:rsidR="00876F03" w:rsidRPr="007D3422">
      <w:headerReference w:type="even" r:id="rId13"/>
      <w:headerReference w:type="default" r:id="rId14"/>
      <w:foot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908C5" w14:textId="77777777" w:rsidR="00910141" w:rsidRDefault="00910141">
      <w:r>
        <w:separator/>
      </w:r>
    </w:p>
  </w:endnote>
  <w:endnote w:type="continuationSeparator" w:id="0">
    <w:p w14:paraId="02CB26F7" w14:textId="77777777" w:rsidR="00910141" w:rsidRDefault="00910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CA1CC" w14:textId="77777777" w:rsidR="00954AD6" w:rsidRPr="00FB0460" w:rsidRDefault="00000000" w:rsidP="00954AD6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 \* MERGEFORMAT </w:instrText>
    </w:r>
    <w:r>
      <w:rPr>
        <w:lang w:val="pl"/>
      </w:rPr>
      <w:fldChar w:fldCharType="separate"/>
    </w:r>
    <w:r>
      <w:rPr>
        <w:noProof/>
        <w:lang w:val="pl"/>
      </w:rPr>
      <w:t>2</w:t>
    </w:r>
    <w:r>
      <w:rPr>
        <w:lang w:val="p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62EE3" w14:textId="77777777" w:rsidR="00FB0460" w:rsidRPr="00150BFA" w:rsidRDefault="00000000" w:rsidP="0020718E">
    <w:pPr>
      <w:jc w:val="center"/>
    </w:pPr>
    <w:r>
      <w:rPr>
        <w:noProof/>
        <w:lang w:val="pl"/>
      </w:rPr>
      <w:drawing>
        <wp:inline distT="0" distB="0" distL="0" distR="0" wp14:anchorId="17519730" wp14:editId="3021C8C2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B186F8" w14:textId="77777777" w:rsidR="008A046A" w:rsidRPr="00FB0460" w:rsidRDefault="008A046A" w:rsidP="00F27D13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503F2" w14:textId="77777777" w:rsidR="00FB0460" w:rsidRPr="00150BFA" w:rsidRDefault="00000000" w:rsidP="0020718E">
    <w:pPr>
      <w:jc w:val="center"/>
    </w:pPr>
    <w:r>
      <w:rPr>
        <w:noProof/>
        <w:lang w:val="pl"/>
      </w:rPr>
      <w:drawing>
        <wp:inline distT="0" distB="0" distL="0" distR="0" wp14:anchorId="4FCFC319" wp14:editId="707C6847">
          <wp:extent cx="771525" cy="619125"/>
          <wp:effectExtent l="0" t="0" r="9525" b="9525"/>
          <wp:docPr id="1042894546" name="Picture 104289454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2894546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C5283E" w14:textId="77777777" w:rsidR="00902601" w:rsidRPr="00FB0460" w:rsidRDefault="00902601" w:rsidP="00902601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40F31" w14:textId="77777777" w:rsidR="008A046A" w:rsidRPr="00D01935" w:rsidRDefault="00000000" w:rsidP="00662882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 \* MERGEFORMAT </w:instrText>
    </w:r>
    <w:r>
      <w:rPr>
        <w:lang w:val="pl"/>
      </w:rPr>
      <w:fldChar w:fldCharType="separate"/>
    </w:r>
    <w:r>
      <w:rPr>
        <w:noProof/>
        <w:lang w:val="pl"/>
      </w:rPr>
      <w:t>2</w:t>
    </w:r>
    <w:r>
      <w:rPr>
        <w:lang w:val="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DBF87" w14:textId="77777777" w:rsidR="00910141" w:rsidRDefault="00910141">
      <w:r>
        <w:separator/>
      </w:r>
    </w:p>
  </w:footnote>
  <w:footnote w:type="continuationSeparator" w:id="0">
    <w:p w14:paraId="75DE79E9" w14:textId="77777777" w:rsidR="00910141" w:rsidRDefault="00910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FF9E7" w14:textId="77777777" w:rsidR="00FB0460" w:rsidRPr="00A45145" w:rsidRDefault="00000000" w:rsidP="00A45145">
    <w:pPr>
      <w:jc w:val="center"/>
    </w:pPr>
    <w:r>
      <w:rPr>
        <w:noProof/>
        <w:lang w:val="pl"/>
      </w:rPr>
      <w:drawing>
        <wp:inline distT="0" distB="0" distL="0" distR="0" wp14:anchorId="30CA8E6E" wp14:editId="65C6D120">
          <wp:extent cx="2962275" cy="1219200"/>
          <wp:effectExtent l="0" t="0" r="9525" b="0"/>
          <wp:docPr id="658815468" name="Picture 658815468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815468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F2B636" w14:textId="77777777" w:rsidR="008A046A" w:rsidRPr="00FB0460" w:rsidRDefault="008A046A" w:rsidP="009840A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BF393" w14:textId="77777777" w:rsidR="00FB0460" w:rsidRPr="00A45145" w:rsidRDefault="00000000" w:rsidP="00A45145">
    <w:pPr>
      <w:jc w:val="center"/>
    </w:pPr>
    <w:r>
      <w:rPr>
        <w:noProof/>
        <w:lang w:val="pl"/>
      </w:rPr>
      <w:drawing>
        <wp:inline distT="0" distB="0" distL="0" distR="0" wp14:anchorId="1B1F766C" wp14:editId="210ECCB3">
          <wp:extent cx="2962275" cy="1219200"/>
          <wp:effectExtent l="0" t="0" r="9525" b="0"/>
          <wp:docPr id="405113947" name="Picture 40511394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5113947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C4D07" w14:textId="77777777" w:rsidR="00902601" w:rsidRPr="00FB0460" w:rsidRDefault="00902601" w:rsidP="00902601">
    <w:pPr>
      <w:jc w:val="center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D61AA" w14:textId="0F1EA51D" w:rsidR="008A046A" w:rsidRPr="007D3422" w:rsidRDefault="008A046A" w:rsidP="00A21624">
    <w:pPr>
      <w:pStyle w:val="JuHeader"/>
      <w:rPr>
        <w:lang w:val="pl-PL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188B7" w14:textId="77777777" w:rsidR="008A046A" w:rsidRPr="007D3422" w:rsidRDefault="00000000" w:rsidP="00662882">
    <w:pPr>
      <w:pStyle w:val="JuHeader"/>
      <w:rPr>
        <w:lang w:val="pl-PL"/>
      </w:rPr>
    </w:pPr>
    <w:r>
      <w:rPr>
        <w:lang w:val="pl"/>
      </w:rPr>
      <w:t xml:space="preserve">WYROK W SPRAWIE BĄCLER przeciwko POLSCE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EE20E2DE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%6.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7222064C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%3."/>
      <w:lvlJc w:val="left"/>
      <w:pPr>
        <w:ind w:left="907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67FD1241"/>
    <w:multiLevelType w:val="hybridMultilevel"/>
    <w:tmpl w:val="F6D86CC2"/>
    <w:lvl w:ilvl="0" w:tplc="61183116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842C258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B900AAEC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BFD00D6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53044C4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FFF29C2A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9DE2742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3D7E8F2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846CA07A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319508640">
    <w:abstractNumId w:val="9"/>
  </w:num>
  <w:num w:numId="2" w16cid:durableId="2085032202">
    <w:abstractNumId w:val="13"/>
  </w:num>
  <w:num w:numId="3" w16cid:durableId="1341348131">
    <w:abstractNumId w:val="11"/>
  </w:num>
  <w:num w:numId="4" w16cid:durableId="1544362256">
    <w:abstractNumId w:val="10"/>
  </w:num>
  <w:num w:numId="5" w16cid:durableId="843934528">
    <w:abstractNumId w:val="14"/>
  </w:num>
  <w:num w:numId="6" w16cid:durableId="835338239">
    <w:abstractNumId w:val="12"/>
  </w:num>
  <w:num w:numId="7" w16cid:durableId="1639996750">
    <w:abstractNumId w:val="15"/>
  </w:num>
  <w:num w:numId="8" w16cid:durableId="1177840526">
    <w:abstractNumId w:val="16"/>
  </w:num>
  <w:num w:numId="9" w16cid:durableId="1942371482">
    <w:abstractNumId w:val="7"/>
  </w:num>
  <w:num w:numId="10" w16cid:durableId="232013791">
    <w:abstractNumId w:val="6"/>
  </w:num>
  <w:num w:numId="11" w16cid:durableId="479806278">
    <w:abstractNumId w:val="5"/>
  </w:num>
  <w:num w:numId="12" w16cid:durableId="461577706">
    <w:abstractNumId w:val="4"/>
  </w:num>
  <w:num w:numId="13" w16cid:durableId="1129207739">
    <w:abstractNumId w:val="8"/>
  </w:num>
  <w:num w:numId="14" w16cid:durableId="1815833809">
    <w:abstractNumId w:val="3"/>
  </w:num>
  <w:num w:numId="15" w16cid:durableId="1678654670">
    <w:abstractNumId w:val="2"/>
  </w:num>
  <w:num w:numId="16" w16cid:durableId="2002850002">
    <w:abstractNumId w:val="1"/>
  </w:num>
  <w:num w:numId="17" w16cid:durableId="1762331613">
    <w:abstractNumId w:val="0"/>
  </w:num>
  <w:num w:numId="18" w16cid:durableId="1488285690">
    <w:abstractNumId w:val="12"/>
    <w:lvlOverride w:ilvl="1">
      <w:lvl w:ilvl="1">
        <w:start w:val="1"/>
        <w:numFmt w:val="lowerLetter"/>
        <w:pStyle w:val="JuLista"/>
        <w:lvlText w:val="%2)"/>
        <w:lvlJc w:val="left"/>
        <w:pPr>
          <w:tabs>
            <w:tab w:val="num" w:pos="680"/>
          </w:tabs>
          <w:ind w:left="680" w:hanging="340"/>
        </w:pPr>
      </w:lvl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AppNatAutre" w:val="0"/>
    <w:docVar w:name="DocVarPREMATURE" w:val="0"/>
    <w:docVar w:name="EMM" w:val="0"/>
    <w:docVar w:name="ETRANSMISSION" w:val="PAR VOIE ÈLECTRONIQUE UNIQUEMENT"/>
    <w:docVar w:name="L4_1Annex" w:val="0"/>
    <w:docVar w:name="L4_1Anonymity" w:val="0"/>
    <w:docVar w:name="NBEMMDOC" w:val="0"/>
    <w:docVar w:name="Plural" w:val="0"/>
    <w:docVar w:name="SignForeName" w:val="0"/>
    <w:docVar w:name="SndCaseNumber" w:val="Error!Nodocumentvariablesupplied."/>
  </w:docVars>
  <w:rsids>
    <w:rsidRoot w:val="00FB0460"/>
    <w:rsid w:val="000041F8"/>
    <w:rsid w:val="000042A8"/>
    <w:rsid w:val="00004308"/>
    <w:rsid w:val="00005BF0"/>
    <w:rsid w:val="00007154"/>
    <w:rsid w:val="0000733F"/>
    <w:rsid w:val="000103AE"/>
    <w:rsid w:val="00011D69"/>
    <w:rsid w:val="00012AD3"/>
    <w:rsid w:val="00015C2D"/>
    <w:rsid w:val="00015F00"/>
    <w:rsid w:val="00016D6F"/>
    <w:rsid w:val="00022C1D"/>
    <w:rsid w:val="00034987"/>
    <w:rsid w:val="00051015"/>
    <w:rsid w:val="000602DF"/>
    <w:rsid w:val="00061B05"/>
    <w:rsid w:val="000632D5"/>
    <w:rsid w:val="000644EE"/>
    <w:rsid w:val="00066F0C"/>
    <w:rsid w:val="000675A9"/>
    <w:rsid w:val="00080ECE"/>
    <w:rsid w:val="0008621D"/>
    <w:rsid w:val="00086E4E"/>
    <w:rsid w:val="00086E70"/>
    <w:rsid w:val="0009057B"/>
    <w:rsid w:val="000925AD"/>
    <w:rsid w:val="000A20EB"/>
    <w:rsid w:val="000A24EB"/>
    <w:rsid w:val="000A3277"/>
    <w:rsid w:val="000B2C01"/>
    <w:rsid w:val="000B3A28"/>
    <w:rsid w:val="000B5D17"/>
    <w:rsid w:val="000B6923"/>
    <w:rsid w:val="000C5F3C"/>
    <w:rsid w:val="000C6DCC"/>
    <w:rsid w:val="000D04C2"/>
    <w:rsid w:val="000D47AA"/>
    <w:rsid w:val="000D721F"/>
    <w:rsid w:val="000E069B"/>
    <w:rsid w:val="000E0E82"/>
    <w:rsid w:val="000E1DC5"/>
    <w:rsid w:val="000E223F"/>
    <w:rsid w:val="000E31B3"/>
    <w:rsid w:val="000E4AC8"/>
    <w:rsid w:val="000E7D45"/>
    <w:rsid w:val="000F1305"/>
    <w:rsid w:val="000F19D8"/>
    <w:rsid w:val="000F7851"/>
    <w:rsid w:val="00104E23"/>
    <w:rsid w:val="00111B0C"/>
    <w:rsid w:val="00114294"/>
    <w:rsid w:val="00117CD2"/>
    <w:rsid w:val="00120075"/>
    <w:rsid w:val="00120D6C"/>
    <w:rsid w:val="00124D43"/>
    <w:rsid w:val="001257EC"/>
    <w:rsid w:val="0012661A"/>
    <w:rsid w:val="00133D33"/>
    <w:rsid w:val="00134D64"/>
    <w:rsid w:val="00135A30"/>
    <w:rsid w:val="0013612C"/>
    <w:rsid w:val="00137FF6"/>
    <w:rsid w:val="00141650"/>
    <w:rsid w:val="00150BFA"/>
    <w:rsid w:val="001625AD"/>
    <w:rsid w:val="00162967"/>
    <w:rsid w:val="00162A12"/>
    <w:rsid w:val="0016395C"/>
    <w:rsid w:val="00166530"/>
    <w:rsid w:val="00181508"/>
    <w:rsid w:val="001832BD"/>
    <w:rsid w:val="001943B5"/>
    <w:rsid w:val="00194C5B"/>
    <w:rsid w:val="00195134"/>
    <w:rsid w:val="001A145B"/>
    <w:rsid w:val="001A2684"/>
    <w:rsid w:val="001A674C"/>
    <w:rsid w:val="001B3B24"/>
    <w:rsid w:val="001C0F98"/>
    <w:rsid w:val="001C2A42"/>
    <w:rsid w:val="001C2B5C"/>
    <w:rsid w:val="001C6A7B"/>
    <w:rsid w:val="001D63ED"/>
    <w:rsid w:val="001D7348"/>
    <w:rsid w:val="001E035B"/>
    <w:rsid w:val="001E0961"/>
    <w:rsid w:val="001E3237"/>
    <w:rsid w:val="001E3C60"/>
    <w:rsid w:val="001E3EAE"/>
    <w:rsid w:val="001E6F32"/>
    <w:rsid w:val="001F2145"/>
    <w:rsid w:val="001F39F4"/>
    <w:rsid w:val="001F6262"/>
    <w:rsid w:val="001F67B0"/>
    <w:rsid w:val="001F7B3D"/>
    <w:rsid w:val="00204F24"/>
    <w:rsid w:val="00205F9F"/>
    <w:rsid w:val="0020718E"/>
    <w:rsid w:val="00210338"/>
    <w:rsid w:val="002115FC"/>
    <w:rsid w:val="00212184"/>
    <w:rsid w:val="00213214"/>
    <w:rsid w:val="0021423C"/>
    <w:rsid w:val="00217913"/>
    <w:rsid w:val="00230D00"/>
    <w:rsid w:val="00231364"/>
    <w:rsid w:val="00231DF7"/>
    <w:rsid w:val="00231FD1"/>
    <w:rsid w:val="002339E0"/>
    <w:rsid w:val="00233CF8"/>
    <w:rsid w:val="0023575D"/>
    <w:rsid w:val="00237148"/>
    <w:rsid w:val="0024222D"/>
    <w:rsid w:val="00244B0E"/>
    <w:rsid w:val="00244F6C"/>
    <w:rsid w:val="002532C5"/>
    <w:rsid w:val="002546AE"/>
    <w:rsid w:val="00256F45"/>
    <w:rsid w:val="00260C03"/>
    <w:rsid w:val="0026540E"/>
    <w:rsid w:val="00275123"/>
    <w:rsid w:val="00282240"/>
    <w:rsid w:val="002948AC"/>
    <w:rsid w:val="002948AD"/>
    <w:rsid w:val="0029739C"/>
    <w:rsid w:val="002A01CC"/>
    <w:rsid w:val="002A61B1"/>
    <w:rsid w:val="002A663C"/>
    <w:rsid w:val="002B444B"/>
    <w:rsid w:val="002B5887"/>
    <w:rsid w:val="002B7E83"/>
    <w:rsid w:val="002C0E27"/>
    <w:rsid w:val="002C3040"/>
    <w:rsid w:val="002C5D94"/>
    <w:rsid w:val="002D022D"/>
    <w:rsid w:val="002D0A99"/>
    <w:rsid w:val="002D24BB"/>
    <w:rsid w:val="002E18C1"/>
    <w:rsid w:val="002F29AA"/>
    <w:rsid w:val="002F2AF7"/>
    <w:rsid w:val="002F4174"/>
    <w:rsid w:val="002F7E1C"/>
    <w:rsid w:val="00301A75"/>
    <w:rsid w:val="00302F70"/>
    <w:rsid w:val="0030336F"/>
    <w:rsid w:val="0030375E"/>
    <w:rsid w:val="0030660C"/>
    <w:rsid w:val="00312A30"/>
    <w:rsid w:val="00316323"/>
    <w:rsid w:val="00320F72"/>
    <w:rsid w:val="003244EE"/>
    <w:rsid w:val="0032463E"/>
    <w:rsid w:val="00326224"/>
    <w:rsid w:val="00337EE4"/>
    <w:rsid w:val="00340FFD"/>
    <w:rsid w:val="003471AF"/>
    <w:rsid w:val="003506B1"/>
    <w:rsid w:val="00356AC7"/>
    <w:rsid w:val="00357F8F"/>
    <w:rsid w:val="003609FA"/>
    <w:rsid w:val="00361D45"/>
    <w:rsid w:val="00367B4F"/>
    <w:rsid w:val="003710C8"/>
    <w:rsid w:val="003722CE"/>
    <w:rsid w:val="003750BE"/>
    <w:rsid w:val="00387B9D"/>
    <w:rsid w:val="00387DFB"/>
    <w:rsid w:val="0039364F"/>
    <w:rsid w:val="00396686"/>
    <w:rsid w:val="0039778E"/>
    <w:rsid w:val="003A37B8"/>
    <w:rsid w:val="003B4941"/>
    <w:rsid w:val="003B6A2E"/>
    <w:rsid w:val="003C423B"/>
    <w:rsid w:val="003C5714"/>
    <w:rsid w:val="003C6B9F"/>
    <w:rsid w:val="003C6E2A"/>
    <w:rsid w:val="003C6F6E"/>
    <w:rsid w:val="003D0299"/>
    <w:rsid w:val="003D32BE"/>
    <w:rsid w:val="003E3FE3"/>
    <w:rsid w:val="003E488B"/>
    <w:rsid w:val="003E6D80"/>
    <w:rsid w:val="003E7A9C"/>
    <w:rsid w:val="003F05FA"/>
    <w:rsid w:val="003F244A"/>
    <w:rsid w:val="003F30B8"/>
    <w:rsid w:val="003F4C45"/>
    <w:rsid w:val="003F5F7B"/>
    <w:rsid w:val="003F7D64"/>
    <w:rsid w:val="00401F7D"/>
    <w:rsid w:val="00402ADA"/>
    <w:rsid w:val="004051C8"/>
    <w:rsid w:val="0041177B"/>
    <w:rsid w:val="00414300"/>
    <w:rsid w:val="00425C67"/>
    <w:rsid w:val="00427E7A"/>
    <w:rsid w:val="00431C07"/>
    <w:rsid w:val="004344E6"/>
    <w:rsid w:val="00436C49"/>
    <w:rsid w:val="0044318F"/>
    <w:rsid w:val="00445366"/>
    <w:rsid w:val="00447F5B"/>
    <w:rsid w:val="004520C1"/>
    <w:rsid w:val="00453D2F"/>
    <w:rsid w:val="00456549"/>
    <w:rsid w:val="004604A0"/>
    <w:rsid w:val="00461DB0"/>
    <w:rsid w:val="00463926"/>
    <w:rsid w:val="00464C9A"/>
    <w:rsid w:val="00474F3D"/>
    <w:rsid w:val="00477E3A"/>
    <w:rsid w:val="004839C4"/>
    <w:rsid w:val="00483E5F"/>
    <w:rsid w:val="00484EA4"/>
    <w:rsid w:val="00485FF9"/>
    <w:rsid w:val="004907F0"/>
    <w:rsid w:val="0049140B"/>
    <w:rsid w:val="004923A5"/>
    <w:rsid w:val="00496197"/>
    <w:rsid w:val="00496BFB"/>
    <w:rsid w:val="00497764"/>
    <w:rsid w:val="004A15C7"/>
    <w:rsid w:val="004A2AA9"/>
    <w:rsid w:val="004B013B"/>
    <w:rsid w:val="004B112B"/>
    <w:rsid w:val="004C01E4"/>
    <w:rsid w:val="004C086C"/>
    <w:rsid w:val="004C14C4"/>
    <w:rsid w:val="004C1A3F"/>
    <w:rsid w:val="004C1F56"/>
    <w:rsid w:val="004C27BC"/>
    <w:rsid w:val="004C5352"/>
    <w:rsid w:val="004D15F3"/>
    <w:rsid w:val="004D51C3"/>
    <w:rsid w:val="004D5311"/>
    <w:rsid w:val="004D5DCC"/>
    <w:rsid w:val="004E22F1"/>
    <w:rsid w:val="004F10AF"/>
    <w:rsid w:val="004F11A4"/>
    <w:rsid w:val="004F2389"/>
    <w:rsid w:val="004F304D"/>
    <w:rsid w:val="004F61BE"/>
    <w:rsid w:val="004F66B1"/>
    <w:rsid w:val="00507196"/>
    <w:rsid w:val="00510D77"/>
    <w:rsid w:val="00511C07"/>
    <w:rsid w:val="00512A29"/>
    <w:rsid w:val="00516967"/>
    <w:rsid w:val="00516B59"/>
    <w:rsid w:val="005173A6"/>
    <w:rsid w:val="00520BAA"/>
    <w:rsid w:val="00520BC2"/>
    <w:rsid w:val="00522ABA"/>
    <w:rsid w:val="00525208"/>
    <w:rsid w:val="005257A5"/>
    <w:rsid w:val="005264C0"/>
    <w:rsid w:val="00526A8A"/>
    <w:rsid w:val="00527725"/>
    <w:rsid w:val="00531DF2"/>
    <w:rsid w:val="005442EE"/>
    <w:rsid w:val="00546D3A"/>
    <w:rsid w:val="00547353"/>
    <w:rsid w:val="005474E7"/>
    <w:rsid w:val="005512A3"/>
    <w:rsid w:val="005578CE"/>
    <w:rsid w:val="00562781"/>
    <w:rsid w:val="005631B4"/>
    <w:rsid w:val="00566D9D"/>
    <w:rsid w:val="00566E2B"/>
    <w:rsid w:val="0057271C"/>
    <w:rsid w:val="00572845"/>
    <w:rsid w:val="00576986"/>
    <w:rsid w:val="00592772"/>
    <w:rsid w:val="00592C8D"/>
    <w:rsid w:val="00594B9A"/>
    <w:rsid w:val="0059574A"/>
    <w:rsid w:val="005A1B9B"/>
    <w:rsid w:val="005A6751"/>
    <w:rsid w:val="005B092E"/>
    <w:rsid w:val="005B1167"/>
    <w:rsid w:val="005B152C"/>
    <w:rsid w:val="005B1EE0"/>
    <w:rsid w:val="005B2B24"/>
    <w:rsid w:val="005B4425"/>
    <w:rsid w:val="005B4B94"/>
    <w:rsid w:val="005C353F"/>
    <w:rsid w:val="005C3EE8"/>
    <w:rsid w:val="005C5494"/>
    <w:rsid w:val="005C5F8B"/>
    <w:rsid w:val="005D34F9"/>
    <w:rsid w:val="005D4190"/>
    <w:rsid w:val="005D67A3"/>
    <w:rsid w:val="005E2988"/>
    <w:rsid w:val="005E3085"/>
    <w:rsid w:val="005F51E1"/>
    <w:rsid w:val="0060717D"/>
    <w:rsid w:val="00610F7A"/>
    <w:rsid w:val="00611C80"/>
    <w:rsid w:val="00612BB6"/>
    <w:rsid w:val="00613B21"/>
    <w:rsid w:val="00620692"/>
    <w:rsid w:val="006242CA"/>
    <w:rsid w:val="00627507"/>
    <w:rsid w:val="00627AB7"/>
    <w:rsid w:val="00633717"/>
    <w:rsid w:val="006344E1"/>
    <w:rsid w:val="006361FD"/>
    <w:rsid w:val="00651FBB"/>
    <w:rsid w:val="006545C4"/>
    <w:rsid w:val="00654B7E"/>
    <w:rsid w:val="0066137C"/>
    <w:rsid w:val="00661971"/>
    <w:rsid w:val="00661CE8"/>
    <w:rsid w:val="006623D9"/>
    <w:rsid w:val="00662882"/>
    <w:rsid w:val="0066550C"/>
    <w:rsid w:val="006716F2"/>
    <w:rsid w:val="006779BD"/>
    <w:rsid w:val="00682BF2"/>
    <w:rsid w:val="00683BD2"/>
    <w:rsid w:val="006859CE"/>
    <w:rsid w:val="00686E85"/>
    <w:rsid w:val="00687A95"/>
    <w:rsid w:val="00691270"/>
    <w:rsid w:val="00694BA8"/>
    <w:rsid w:val="006A037C"/>
    <w:rsid w:val="006A23E9"/>
    <w:rsid w:val="006A2534"/>
    <w:rsid w:val="006A36F4"/>
    <w:rsid w:val="006A406F"/>
    <w:rsid w:val="006A5D3A"/>
    <w:rsid w:val="006A5EF0"/>
    <w:rsid w:val="006C23D4"/>
    <w:rsid w:val="006C475E"/>
    <w:rsid w:val="006C7BB0"/>
    <w:rsid w:val="006D15AF"/>
    <w:rsid w:val="006D3237"/>
    <w:rsid w:val="006E1090"/>
    <w:rsid w:val="006E2E37"/>
    <w:rsid w:val="006E3CF1"/>
    <w:rsid w:val="006E7E80"/>
    <w:rsid w:val="006F158C"/>
    <w:rsid w:val="006F48CA"/>
    <w:rsid w:val="006F64DD"/>
    <w:rsid w:val="00715127"/>
    <w:rsid w:val="00715E8E"/>
    <w:rsid w:val="007172B0"/>
    <w:rsid w:val="00723580"/>
    <w:rsid w:val="00723755"/>
    <w:rsid w:val="00724AE2"/>
    <w:rsid w:val="00726339"/>
    <w:rsid w:val="00730B5C"/>
    <w:rsid w:val="0073136C"/>
    <w:rsid w:val="00731F0F"/>
    <w:rsid w:val="00733250"/>
    <w:rsid w:val="00735903"/>
    <w:rsid w:val="00735951"/>
    <w:rsid w:val="00741404"/>
    <w:rsid w:val="00741423"/>
    <w:rsid w:val="007449E5"/>
    <w:rsid w:val="00747FF0"/>
    <w:rsid w:val="007612E2"/>
    <w:rsid w:val="00764D4E"/>
    <w:rsid w:val="00765A1F"/>
    <w:rsid w:val="00775B6D"/>
    <w:rsid w:val="0077640F"/>
    <w:rsid w:val="00776D68"/>
    <w:rsid w:val="0078300D"/>
    <w:rsid w:val="007850EE"/>
    <w:rsid w:val="00785B95"/>
    <w:rsid w:val="00790AAD"/>
    <w:rsid w:val="00790E96"/>
    <w:rsid w:val="00793366"/>
    <w:rsid w:val="0079416C"/>
    <w:rsid w:val="00794E99"/>
    <w:rsid w:val="007971FF"/>
    <w:rsid w:val="007A4070"/>
    <w:rsid w:val="007A5A5E"/>
    <w:rsid w:val="007A716F"/>
    <w:rsid w:val="007A79EA"/>
    <w:rsid w:val="007B270A"/>
    <w:rsid w:val="007C0695"/>
    <w:rsid w:val="007C419A"/>
    <w:rsid w:val="007C4CC8"/>
    <w:rsid w:val="007C5426"/>
    <w:rsid w:val="007C5798"/>
    <w:rsid w:val="007D3422"/>
    <w:rsid w:val="007D4832"/>
    <w:rsid w:val="007E1AF2"/>
    <w:rsid w:val="007E21B2"/>
    <w:rsid w:val="007E2C4E"/>
    <w:rsid w:val="007F1905"/>
    <w:rsid w:val="00801300"/>
    <w:rsid w:val="008024E5"/>
    <w:rsid w:val="00802C64"/>
    <w:rsid w:val="0080523A"/>
    <w:rsid w:val="00805E52"/>
    <w:rsid w:val="008061D0"/>
    <w:rsid w:val="00810B38"/>
    <w:rsid w:val="008204C7"/>
    <w:rsid w:val="00820992"/>
    <w:rsid w:val="00823602"/>
    <w:rsid w:val="008255F5"/>
    <w:rsid w:val="0083014E"/>
    <w:rsid w:val="0083214A"/>
    <w:rsid w:val="00834220"/>
    <w:rsid w:val="0084092E"/>
    <w:rsid w:val="00845723"/>
    <w:rsid w:val="00851EF9"/>
    <w:rsid w:val="008577FD"/>
    <w:rsid w:val="00860B03"/>
    <w:rsid w:val="0086497A"/>
    <w:rsid w:val="008713A1"/>
    <w:rsid w:val="00873D9C"/>
    <w:rsid w:val="008748BE"/>
    <w:rsid w:val="008754AB"/>
    <w:rsid w:val="00876A02"/>
    <w:rsid w:val="00876F03"/>
    <w:rsid w:val="008773C5"/>
    <w:rsid w:val="0088060C"/>
    <w:rsid w:val="00884261"/>
    <w:rsid w:val="00885893"/>
    <w:rsid w:val="00891107"/>
    <w:rsid w:val="00893576"/>
    <w:rsid w:val="00893E73"/>
    <w:rsid w:val="00893F30"/>
    <w:rsid w:val="00895F5B"/>
    <w:rsid w:val="008A046A"/>
    <w:rsid w:val="008A3178"/>
    <w:rsid w:val="008B02DC"/>
    <w:rsid w:val="008B2698"/>
    <w:rsid w:val="008B57CE"/>
    <w:rsid w:val="008C26DE"/>
    <w:rsid w:val="008D093E"/>
    <w:rsid w:val="008D2225"/>
    <w:rsid w:val="008D4752"/>
    <w:rsid w:val="008E271C"/>
    <w:rsid w:val="008E418E"/>
    <w:rsid w:val="008E5BC6"/>
    <w:rsid w:val="008E6A25"/>
    <w:rsid w:val="008E7A1B"/>
    <w:rsid w:val="008F5193"/>
    <w:rsid w:val="009013A7"/>
    <w:rsid w:val="009017FB"/>
    <w:rsid w:val="009017FC"/>
    <w:rsid w:val="009020E3"/>
    <w:rsid w:val="00902601"/>
    <w:rsid w:val="0090506B"/>
    <w:rsid w:val="009050C9"/>
    <w:rsid w:val="009066FC"/>
    <w:rsid w:val="00910141"/>
    <w:rsid w:val="009140A3"/>
    <w:rsid w:val="009144A2"/>
    <w:rsid w:val="0091510C"/>
    <w:rsid w:val="0092190C"/>
    <w:rsid w:val="009259AC"/>
    <w:rsid w:val="00926F38"/>
    <w:rsid w:val="009303CE"/>
    <w:rsid w:val="00934301"/>
    <w:rsid w:val="00936CD1"/>
    <w:rsid w:val="009375A5"/>
    <w:rsid w:val="00941747"/>
    <w:rsid w:val="00941EFB"/>
    <w:rsid w:val="00947AFB"/>
    <w:rsid w:val="00951D7D"/>
    <w:rsid w:val="00954AD6"/>
    <w:rsid w:val="00961E57"/>
    <w:rsid w:val="00962AE8"/>
    <w:rsid w:val="009630C7"/>
    <w:rsid w:val="00972B55"/>
    <w:rsid w:val="009743B7"/>
    <w:rsid w:val="00975039"/>
    <w:rsid w:val="00977227"/>
    <w:rsid w:val="0098228B"/>
    <w:rsid w:val="009828DA"/>
    <w:rsid w:val="009840A2"/>
    <w:rsid w:val="00985BAB"/>
    <w:rsid w:val="009A7DC5"/>
    <w:rsid w:val="009B1B5F"/>
    <w:rsid w:val="009B6673"/>
    <w:rsid w:val="009C191B"/>
    <w:rsid w:val="009C2BD6"/>
    <w:rsid w:val="009C4729"/>
    <w:rsid w:val="009D0541"/>
    <w:rsid w:val="009D2F52"/>
    <w:rsid w:val="009D5ECC"/>
    <w:rsid w:val="009E0E2A"/>
    <w:rsid w:val="009E16D2"/>
    <w:rsid w:val="009E1F32"/>
    <w:rsid w:val="009E776C"/>
    <w:rsid w:val="009F42C5"/>
    <w:rsid w:val="00A00672"/>
    <w:rsid w:val="00A04D8B"/>
    <w:rsid w:val="00A065BF"/>
    <w:rsid w:val="00A132AD"/>
    <w:rsid w:val="00A13BA6"/>
    <w:rsid w:val="00A1726E"/>
    <w:rsid w:val="00A204CF"/>
    <w:rsid w:val="00A21624"/>
    <w:rsid w:val="00A23D49"/>
    <w:rsid w:val="00A26556"/>
    <w:rsid w:val="00A27004"/>
    <w:rsid w:val="00A30C29"/>
    <w:rsid w:val="00A34DD6"/>
    <w:rsid w:val="00A36819"/>
    <w:rsid w:val="00A36989"/>
    <w:rsid w:val="00A43628"/>
    <w:rsid w:val="00A43AA3"/>
    <w:rsid w:val="00A45145"/>
    <w:rsid w:val="00A4783F"/>
    <w:rsid w:val="00A54192"/>
    <w:rsid w:val="00A6035E"/>
    <w:rsid w:val="00A60C9B"/>
    <w:rsid w:val="00A6144C"/>
    <w:rsid w:val="00A64112"/>
    <w:rsid w:val="00A66617"/>
    <w:rsid w:val="00A671F8"/>
    <w:rsid w:val="00A673A4"/>
    <w:rsid w:val="00A724AE"/>
    <w:rsid w:val="00A73329"/>
    <w:rsid w:val="00A75785"/>
    <w:rsid w:val="00A8094B"/>
    <w:rsid w:val="00A82359"/>
    <w:rsid w:val="00A865D2"/>
    <w:rsid w:val="00A94C20"/>
    <w:rsid w:val="00A970E2"/>
    <w:rsid w:val="00AA227F"/>
    <w:rsid w:val="00AA315D"/>
    <w:rsid w:val="00AA3BC7"/>
    <w:rsid w:val="00AA5E4E"/>
    <w:rsid w:val="00AA754A"/>
    <w:rsid w:val="00AB099E"/>
    <w:rsid w:val="00AB15F2"/>
    <w:rsid w:val="00AB4328"/>
    <w:rsid w:val="00AB5628"/>
    <w:rsid w:val="00AC00C2"/>
    <w:rsid w:val="00AC2C0A"/>
    <w:rsid w:val="00AC5872"/>
    <w:rsid w:val="00AD2473"/>
    <w:rsid w:val="00AE0A2E"/>
    <w:rsid w:val="00AE273B"/>
    <w:rsid w:val="00AE354C"/>
    <w:rsid w:val="00AE75DC"/>
    <w:rsid w:val="00AF4B07"/>
    <w:rsid w:val="00AF6186"/>
    <w:rsid w:val="00AF7A3A"/>
    <w:rsid w:val="00B009F4"/>
    <w:rsid w:val="00B031C3"/>
    <w:rsid w:val="00B160DB"/>
    <w:rsid w:val="00B20836"/>
    <w:rsid w:val="00B20F1A"/>
    <w:rsid w:val="00B235BB"/>
    <w:rsid w:val="00B25320"/>
    <w:rsid w:val="00B25943"/>
    <w:rsid w:val="00B25D3B"/>
    <w:rsid w:val="00B27A44"/>
    <w:rsid w:val="00B30BBF"/>
    <w:rsid w:val="00B33C03"/>
    <w:rsid w:val="00B351D2"/>
    <w:rsid w:val="00B44E56"/>
    <w:rsid w:val="00B46543"/>
    <w:rsid w:val="00B47D33"/>
    <w:rsid w:val="00B52BE0"/>
    <w:rsid w:val="00B531CD"/>
    <w:rsid w:val="00B54133"/>
    <w:rsid w:val="00B54C43"/>
    <w:rsid w:val="00B701ED"/>
    <w:rsid w:val="00B751F4"/>
    <w:rsid w:val="00B7587D"/>
    <w:rsid w:val="00B8086C"/>
    <w:rsid w:val="00B840F7"/>
    <w:rsid w:val="00B861B4"/>
    <w:rsid w:val="00B86DFE"/>
    <w:rsid w:val="00B90990"/>
    <w:rsid w:val="00B922FF"/>
    <w:rsid w:val="00B9281E"/>
    <w:rsid w:val="00B93925"/>
    <w:rsid w:val="00B95187"/>
    <w:rsid w:val="00BA2D55"/>
    <w:rsid w:val="00BA3D7F"/>
    <w:rsid w:val="00BA71B1"/>
    <w:rsid w:val="00BB0637"/>
    <w:rsid w:val="00BB345F"/>
    <w:rsid w:val="00BB352A"/>
    <w:rsid w:val="00BB5CA3"/>
    <w:rsid w:val="00BB68EA"/>
    <w:rsid w:val="00BC1C27"/>
    <w:rsid w:val="00BC1F03"/>
    <w:rsid w:val="00BC6BBF"/>
    <w:rsid w:val="00BD1572"/>
    <w:rsid w:val="00BE14E3"/>
    <w:rsid w:val="00BE3774"/>
    <w:rsid w:val="00BE41E5"/>
    <w:rsid w:val="00BF18DB"/>
    <w:rsid w:val="00BF4109"/>
    <w:rsid w:val="00BF4B9C"/>
    <w:rsid w:val="00BF4CC3"/>
    <w:rsid w:val="00C00E59"/>
    <w:rsid w:val="00C054C7"/>
    <w:rsid w:val="00C057B5"/>
    <w:rsid w:val="00C1121B"/>
    <w:rsid w:val="00C149F0"/>
    <w:rsid w:val="00C22687"/>
    <w:rsid w:val="00C25983"/>
    <w:rsid w:val="00C32E4D"/>
    <w:rsid w:val="00C330A3"/>
    <w:rsid w:val="00C333A0"/>
    <w:rsid w:val="00C36408"/>
    <w:rsid w:val="00C36A81"/>
    <w:rsid w:val="00C41974"/>
    <w:rsid w:val="00C45616"/>
    <w:rsid w:val="00C511FC"/>
    <w:rsid w:val="00C53F4A"/>
    <w:rsid w:val="00C54125"/>
    <w:rsid w:val="00C55B54"/>
    <w:rsid w:val="00C6098E"/>
    <w:rsid w:val="00C6152C"/>
    <w:rsid w:val="00C61D3B"/>
    <w:rsid w:val="00C67185"/>
    <w:rsid w:val="00C74810"/>
    <w:rsid w:val="00C81ACF"/>
    <w:rsid w:val="00C90D68"/>
    <w:rsid w:val="00C93291"/>
    <w:rsid w:val="00C939FE"/>
    <w:rsid w:val="00C95EA3"/>
    <w:rsid w:val="00CA4BDA"/>
    <w:rsid w:val="00CA7C61"/>
    <w:rsid w:val="00CB1F66"/>
    <w:rsid w:val="00CB2951"/>
    <w:rsid w:val="00CB4DD6"/>
    <w:rsid w:val="00CD15C5"/>
    <w:rsid w:val="00CD282B"/>
    <w:rsid w:val="00CD323A"/>
    <w:rsid w:val="00CD4C35"/>
    <w:rsid w:val="00CD7369"/>
    <w:rsid w:val="00CE0B0E"/>
    <w:rsid w:val="00CE3831"/>
    <w:rsid w:val="00CE57AB"/>
    <w:rsid w:val="00D00ABB"/>
    <w:rsid w:val="00D01935"/>
    <w:rsid w:val="00D02781"/>
    <w:rsid w:val="00D02EEC"/>
    <w:rsid w:val="00D03551"/>
    <w:rsid w:val="00D06A63"/>
    <w:rsid w:val="00D07E0E"/>
    <w:rsid w:val="00D11478"/>
    <w:rsid w:val="00D15ED0"/>
    <w:rsid w:val="00D21B3E"/>
    <w:rsid w:val="00D21C26"/>
    <w:rsid w:val="00D21FED"/>
    <w:rsid w:val="00D24251"/>
    <w:rsid w:val="00D343E2"/>
    <w:rsid w:val="00D3514C"/>
    <w:rsid w:val="00D361A2"/>
    <w:rsid w:val="00D405AF"/>
    <w:rsid w:val="00D44C2E"/>
    <w:rsid w:val="00D45414"/>
    <w:rsid w:val="00D54FF1"/>
    <w:rsid w:val="00D55E2C"/>
    <w:rsid w:val="00D566BD"/>
    <w:rsid w:val="00D57A4D"/>
    <w:rsid w:val="00D60AA7"/>
    <w:rsid w:val="00D62A67"/>
    <w:rsid w:val="00D6435F"/>
    <w:rsid w:val="00D75E28"/>
    <w:rsid w:val="00D772C2"/>
    <w:rsid w:val="00D8008E"/>
    <w:rsid w:val="00D82C45"/>
    <w:rsid w:val="00D908A8"/>
    <w:rsid w:val="00D977B6"/>
    <w:rsid w:val="00DA3634"/>
    <w:rsid w:val="00DA4A31"/>
    <w:rsid w:val="00DA7B04"/>
    <w:rsid w:val="00DB36C2"/>
    <w:rsid w:val="00DB5CBD"/>
    <w:rsid w:val="00DC169B"/>
    <w:rsid w:val="00DC2AB9"/>
    <w:rsid w:val="00DC63F0"/>
    <w:rsid w:val="00DD10E5"/>
    <w:rsid w:val="00DD5382"/>
    <w:rsid w:val="00DD6EE5"/>
    <w:rsid w:val="00DE2362"/>
    <w:rsid w:val="00DE386C"/>
    <w:rsid w:val="00DE4D35"/>
    <w:rsid w:val="00DF098B"/>
    <w:rsid w:val="00DF11C4"/>
    <w:rsid w:val="00DF210C"/>
    <w:rsid w:val="00DF4B6A"/>
    <w:rsid w:val="00E02C09"/>
    <w:rsid w:val="00E04D59"/>
    <w:rsid w:val="00E07DA1"/>
    <w:rsid w:val="00E123CB"/>
    <w:rsid w:val="00E20E13"/>
    <w:rsid w:val="00E21DBC"/>
    <w:rsid w:val="00E24D1B"/>
    <w:rsid w:val="00E275D7"/>
    <w:rsid w:val="00E27DBE"/>
    <w:rsid w:val="00E32AB1"/>
    <w:rsid w:val="00E36C71"/>
    <w:rsid w:val="00E37E79"/>
    <w:rsid w:val="00E40404"/>
    <w:rsid w:val="00E459C6"/>
    <w:rsid w:val="00E47589"/>
    <w:rsid w:val="00E60FB5"/>
    <w:rsid w:val="00E64915"/>
    <w:rsid w:val="00E661D4"/>
    <w:rsid w:val="00E70091"/>
    <w:rsid w:val="00E70B20"/>
    <w:rsid w:val="00E720F5"/>
    <w:rsid w:val="00E76D47"/>
    <w:rsid w:val="00E8285F"/>
    <w:rsid w:val="00E849F7"/>
    <w:rsid w:val="00E90302"/>
    <w:rsid w:val="00E90E77"/>
    <w:rsid w:val="00E97396"/>
    <w:rsid w:val="00EA185E"/>
    <w:rsid w:val="00EA592A"/>
    <w:rsid w:val="00EB14E4"/>
    <w:rsid w:val="00EB182B"/>
    <w:rsid w:val="00EB32A5"/>
    <w:rsid w:val="00EB34ED"/>
    <w:rsid w:val="00EB4A37"/>
    <w:rsid w:val="00EB7BE0"/>
    <w:rsid w:val="00EC315E"/>
    <w:rsid w:val="00EC523C"/>
    <w:rsid w:val="00EC58D1"/>
    <w:rsid w:val="00ED077C"/>
    <w:rsid w:val="00ED1190"/>
    <w:rsid w:val="00ED2A65"/>
    <w:rsid w:val="00ED6544"/>
    <w:rsid w:val="00EE0277"/>
    <w:rsid w:val="00EE3E00"/>
    <w:rsid w:val="00EE5DD2"/>
    <w:rsid w:val="00EF34CB"/>
    <w:rsid w:val="00EF6ADC"/>
    <w:rsid w:val="00EF6E2D"/>
    <w:rsid w:val="00F00A79"/>
    <w:rsid w:val="00F00E86"/>
    <w:rsid w:val="00F0318A"/>
    <w:rsid w:val="00F07C1E"/>
    <w:rsid w:val="00F105DB"/>
    <w:rsid w:val="00F132BC"/>
    <w:rsid w:val="00F13D80"/>
    <w:rsid w:val="00F16AAA"/>
    <w:rsid w:val="00F21161"/>
    <w:rsid w:val="00F218EF"/>
    <w:rsid w:val="00F21BC7"/>
    <w:rsid w:val="00F22A5F"/>
    <w:rsid w:val="00F25EFC"/>
    <w:rsid w:val="00F266A2"/>
    <w:rsid w:val="00F27D13"/>
    <w:rsid w:val="00F32269"/>
    <w:rsid w:val="00F56A6F"/>
    <w:rsid w:val="00F5709C"/>
    <w:rsid w:val="00F60403"/>
    <w:rsid w:val="00F626DA"/>
    <w:rsid w:val="00F64EF1"/>
    <w:rsid w:val="00F659F3"/>
    <w:rsid w:val="00F72E80"/>
    <w:rsid w:val="00F83589"/>
    <w:rsid w:val="00F8765F"/>
    <w:rsid w:val="00F90767"/>
    <w:rsid w:val="00F912E4"/>
    <w:rsid w:val="00F94531"/>
    <w:rsid w:val="00F9588E"/>
    <w:rsid w:val="00FA0688"/>
    <w:rsid w:val="00FA5125"/>
    <w:rsid w:val="00FA685B"/>
    <w:rsid w:val="00FB0460"/>
    <w:rsid w:val="00FB0C01"/>
    <w:rsid w:val="00FC04E5"/>
    <w:rsid w:val="00FC18F2"/>
    <w:rsid w:val="00FC39E5"/>
    <w:rsid w:val="00FC3A78"/>
    <w:rsid w:val="00FD1005"/>
    <w:rsid w:val="00FD61AA"/>
    <w:rsid w:val="00FD6C75"/>
    <w:rsid w:val="00FD7649"/>
    <w:rsid w:val="00FE71B3"/>
    <w:rsid w:val="00FF163E"/>
    <w:rsid w:val="00FF1C45"/>
    <w:rsid w:val="00FF42C5"/>
    <w:rsid w:val="00FF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60B2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EF6ADC"/>
    <w:rPr>
      <w:sz w:val="24"/>
      <w:szCs w:val="24"/>
      <w:lang w:val="fr-FR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EF6ADC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EF6ADC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EF6ADC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EF6ADC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EF6ADC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EF6ADC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EF6ADC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EF6ADC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EF6ADC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EF6A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EF6ADC"/>
    <w:rPr>
      <w:rFonts w:ascii="Tahoma" w:hAnsi="Tahoma" w:cs="Tahoma"/>
      <w:sz w:val="16"/>
      <w:szCs w:val="16"/>
      <w:lang w:val="fr-FR"/>
    </w:rPr>
  </w:style>
  <w:style w:type="character" w:styleId="Tytuksiki">
    <w:name w:val="Book Title"/>
    <w:uiPriority w:val="98"/>
    <w:semiHidden/>
    <w:qFormat/>
    <w:rsid w:val="00EF6ADC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EF6ADC"/>
    <w:pPr>
      <w:tabs>
        <w:tab w:val="clear" w:pos="4536"/>
        <w:tab w:val="clear" w:pos="9072"/>
      </w:tabs>
      <w:jc w:val="center"/>
    </w:pPr>
    <w:rPr>
      <w:sz w:val="18"/>
    </w:rPr>
  </w:style>
  <w:style w:type="table" w:styleId="Tabelasiatki1jasna">
    <w:name w:val="Grid Table 1 Light"/>
    <w:basedOn w:val="Standardowy"/>
    <w:uiPriority w:val="46"/>
    <w:semiHidden/>
    <w:rsid w:val="00EC523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ogrubienie">
    <w:name w:val="Strong"/>
    <w:uiPriority w:val="98"/>
    <w:semiHidden/>
    <w:qFormat/>
    <w:rsid w:val="00EF6ADC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EF6ADC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EF6ADC"/>
    <w:rPr>
      <w:sz w:val="24"/>
      <w:szCs w:val="24"/>
      <w:lang w:val="fr-FR"/>
    </w:rPr>
  </w:style>
  <w:style w:type="paragraph" w:customStyle="1" w:styleId="JuQuot">
    <w:name w:val="Ju_Quot"/>
    <w:aliases w:val="_Quote"/>
    <w:basedOn w:val="NormalJustified"/>
    <w:uiPriority w:val="20"/>
    <w:qFormat/>
    <w:rsid w:val="00EF6ADC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EF6ADC"/>
    <w:pPr>
      <w:numPr>
        <w:numId w:val="6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EF6ADC"/>
    <w:pPr>
      <w:numPr>
        <w:ilvl w:val="1"/>
        <w:numId w:val="6"/>
      </w:numPr>
    </w:pPr>
  </w:style>
  <w:style w:type="paragraph" w:customStyle="1" w:styleId="JuListi">
    <w:name w:val="Ju_List_i"/>
    <w:aliases w:val="_List_3"/>
    <w:basedOn w:val="NormalJustified"/>
    <w:uiPriority w:val="23"/>
    <w:rsid w:val="00EF6ADC"/>
    <w:pPr>
      <w:numPr>
        <w:ilvl w:val="2"/>
        <w:numId w:val="6"/>
      </w:numPr>
    </w:p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EF6ADC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EF6ADC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EF6ADC"/>
    <w:pPr>
      <w:keepNext/>
      <w:keepLines/>
      <w:tabs>
        <w:tab w:val="right" w:pos="7938"/>
      </w:tabs>
      <w:ind w:firstLine="0"/>
      <w:jc w:val="center"/>
    </w:pPr>
    <w:rPr>
      <w:i/>
    </w:rPr>
  </w:style>
  <w:style w:type="numbering" w:customStyle="1" w:styleId="ECHRA1StyleBulletedSquare">
    <w:name w:val="ECHR_A1_Style_Bulleted_Square"/>
    <w:basedOn w:val="Bezlisty"/>
    <w:rsid w:val="00EF6ADC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EF6ADC"/>
    <w:pPr>
      <w:keepNext/>
      <w:keepLines/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List">
    <w:name w:val="ECHR_A1_Style_List"/>
    <w:basedOn w:val="Bezlisty"/>
    <w:uiPriority w:val="99"/>
    <w:rsid w:val="00EF6ADC"/>
    <w:pPr>
      <w:numPr>
        <w:numId w:val="6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EF6ADC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EF6ADC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EF6ADC"/>
    <w:rPr>
      <w:rFonts w:asciiTheme="majorHAnsi" w:eastAsiaTheme="majorEastAsia" w:hAnsiTheme="majorHAnsi" w:cstheme="majorBidi"/>
      <w:spacing w:val="5"/>
      <w:sz w:val="52"/>
      <w:szCs w:val="52"/>
      <w:lang w:val="fr-FR" w:bidi="en-US"/>
    </w:rPr>
  </w:style>
  <w:style w:type="numbering" w:customStyle="1" w:styleId="ECHRA1StyleNumberedList">
    <w:name w:val="ECHR_A1_Style_Numbered_List"/>
    <w:basedOn w:val="Bezlisty"/>
    <w:rsid w:val="00EF6ADC"/>
    <w:pPr>
      <w:numPr>
        <w:numId w:val="7"/>
      </w:numPr>
    </w:pPr>
  </w:style>
  <w:style w:type="table" w:customStyle="1" w:styleId="ECHRTable2019">
    <w:name w:val="ECHR_Table_2019"/>
    <w:basedOn w:val="Standardowy"/>
    <w:uiPriority w:val="99"/>
    <w:rsid w:val="00EF6ADC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A00672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EF6ADC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EF6ADC"/>
    <w:pPr>
      <w:tabs>
        <w:tab w:val="center" w:pos="6407"/>
      </w:tabs>
      <w:spacing w:before="720"/>
      <w:jc w:val="right"/>
    </w:p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EF6ADC"/>
    <w:pPr>
      <w:keepNext/>
      <w:keepLines/>
      <w:numPr>
        <w:ilvl w:val="1"/>
        <w:numId w:val="1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EF6ADC"/>
    <w:pPr>
      <w:keepNext/>
      <w:keepLines/>
      <w:numPr>
        <w:ilvl w:val="2"/>
        <w:numId w:val="1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EF6ADC"/>
    <w:pPr>
      <w:keepNext/>
      <w:keepLines/>
      <w:numPr>
        <w:ilvl w:val="3"/>
        <w:numId w:val="1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EF6A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EF6ADC"/>
    <w:rPr>
      <w:sz w:val="24"/>
      <w:szCs w:val="24"/>
      <w:lang w:val="fr-FR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EF6ADC"/>
    <w:rPr>
      <w:rFonts w:asciiTheme="majorHAnsi" w:eastAsiaTheme="majorEastAsia" w:hAnsiTheme="majorHAnsi" w:cstheme="majorBidi"/>
      <w:b/>
      <w:bCs/>
      <w:color w:val="333333"/>
      <w:sz w:val="28"/>
      <w:szCs w:val="28"/>
      <w:lang w:val="fr-FR"/>
    </w:rPr>
  </w:style>
  <w:style w:type="paragraph" w:customStyle="1" w:styleId="JuHa0">
    <w:name w:val="Ju_H_a"/>
    <w:aliases w:val="_Head_5"/>
    <w:basedOn w:val="Nagwek5"/>
    <w:next w:val="JuPara"/>
    <w:uiPriority w:val="17"/>
    <w:rsid w:val="00EF6ADC"/>
    <w:pPr>
      <w:keepNext/>
      <w:keepLines/>
      <w:numPr>
        <w:ilvl w:val="4"/>
        <w:numId w:val="1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EF6ADC"/>
    <w:pPr>
      <w:keepNext/>
      <w:keepLines/>
      <w:numPr>
        <w:ilvl w:val="5"/>
        <w:numId w:val="1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EF6ADC"/>
    <w:rPr>
      <w:rFonts w:asciiTheme="majorHAnsi" w:eastAsiaTheme="majorEastAsia" w:hAnsiTheme="majorHAnsi" w:cstheme="majorBidi"/>
      <w:b/>
      <w:bCs/>
      <w:color w:val="4D4D4D"/>
      <w:sz w:val="26"/>
      <w:szCs w:val="26"/>
      <w:lang w:val="fr-FR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EF6ADC"/>
    <w:pPr>
      <w:keepNext/>
      <w:keepLines/>
      <w:numPr>
        <w:ilvl w:val="6"/>
        <w:numId w:val="1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EF6ADC"/>
    <w:pPr>
      <w:keepNext/>
      <w:keepLines/>
      <w:numPr>
        <w:ilvl w:val="7"/>
        <w:numId w:val="1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EF6ADC"/>
    <w:rPr>
      <w:rFonts w:asciiTheme="majorHAnsi" w:eastAsiaTheme="majorEastAsia" w:hAnsiTheme="majorHAnsi" w:cstheme="majorBidi"/>
      <w:b/>
      <w:bCs/>
      <w:color w:val="5F5F5F"/>
      <w:lang w:val="fr-FR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EF6ADC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EF6ADC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EF6ADC"/>
    <w:rPr>
      <w:rFonts w:asciiTheme="majorHAnsi" w:eastAsiaTheme="majorEastAsia" w:hAnsiTheme="majorHAnsi" w:cstheme="majorBidi"/>
      <w:b/>
      <w:bCs/>
      <w:i/>
      <w:iCs/>
      <w:color w:val="777777"/>
      <w:lang w:val="fr-FR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EF6ADC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EF6ADC"/>
    <w:rPr>
      <w:rFonts w:asciiTheme="majorHAnsi" w:eastAsiaTheme="majorEastAsia" w:hAnsiTheme="majorHAnsi" w:cstheme="majorBidi"/>
      <w:b/>
      <w:bCs/>
      <w:color w:val="808080"/>
      <w:lang w:val="fr-FR"/>
    </w:rPr>
  </w:style>
  <w:style w:type="character" w:customStyle="1" w:styleId="JUNAMES">
    <w:name w:val="JU_NAMES"/>
    <w:aliases w:val="_Ju_Names"/>
    <w:uiPriority w:val="33"/>
    <w:qFormat/>
    <w:rsid w:val="00EF6ADC"/>
    <w:rPr>
      <w:caps w:val="0"/>
      <w:smallCaps/>
    </w:rPr>
  </w:style>
  <w:style w:type="paragraph" w:customStyle="1" w:styleId="NormalJustified">
    <w:name w:val="Normal_Justified"/>
    <w:basedOn w:val="Normalny"/>
    <w:semiHidden/>
    <w:rsid w:val="00EF6ADC"/>
    <w:pPr>
      <w:jc w:val="both"/>
    </w:pPr>
  </w:style>
  <w:style w:type="character" w:styleId="Wyrnieniedelikatne">
    <w:name w:val="Subtle Emphasis"/>
    <w:uiPriority w:val="98"/>
    <w:semiHidden/>
    <w:qFormat/>
    <w:rsid w:val="00EF6ADC"/>
    <w:rPr>
      <w:i/>
      <w:iCs/>
    </w:rPr>
  </w:style>
  <w:style w:type="table" w:customStyle="1" w:styleId="ECHRTable">
    <w:name w:val="ECHR_Table"/>
    <w:basedOn w:val="Standardowy"/>
    <w:rsid w:val="00EF6ADC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EF6AD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character" w:styleId="Uwydatnienie">
    <w:name w:val="Emphasis"/>
    <w:uiPriority w:val="98"/>
    <w:semiHidden/>
    <w:qFormat/>
    <w:rsid w:val="00EF6AD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EF6ADC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EF6ADC"/>
    <w:rPr>
      <w:sz w:val="24"/>
      <w:szCs w:val="24"/>
      <w:lang w:val="fr-FR"/>
    </w:rPr>
  </w:style>
  <w:style w:type="character" w:styleId="Odwoanieprzypisudolnego">
    <w:name w:val="footnote reference"/>
    <w:basedOn w:val="Domylnaczcionkaakapitu"/>
    <w:uiPriority w:val="98"/>
    <w:semiHidden/>
    <w:rsid w:val="00EF6ADC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EF6AD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EF6ADC"/>
    <w:rPr>
      <w:sz w:val="20"/>
      <w:szCs w:val="20"/>
      <w:lang w:val="fr-FR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EF6ADC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fr-FR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EF6ADC"/>
    <w:rPr>
      <w:rFonts w:asciiTheme="majorHAnsi" w:eastAsiaTheme="majorEastAsia" w:hAnsiTheme="majorHAnsi" w:cstheme="majorBidi"/>
      <w:i/>
      <w:iCs/>
      <w:lang w:val="fr-FR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EF6ADC"/>
    <w:rPr>
      <w:rFonts w:asciiTheme="majorHAnsi" w:eastAsiaTheme="majorEastAsia" w:hAnsiTheme="majorHAnsi" w:cstheme="majorBidi"/>
      <w:sz w:val="20"/>
      <w:szCs w:val="20"/>
      <w:lang w:val="fr-FR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EF6ADC"/>
    <w:rPr>
      <w:rFonts w:asciiTheme="majorHAnsi" w:eastAsiaTheme="majorEastAsia" w:hAnsiTheme="majorHAnsi" w:cstheme="majorBidi"/>
      <w:i/>
      <w:iCs/>
      <w:spacing w:val="5"/>
      <w:sz w:val="20"/>
      <w:szCs w:val="20"/>
      <w:lang w:val="fr-FR" w:bidi="en-US"/>
    </w:rPr>
  </w:style>
  <w:style w:type="character" w:styleId="Hipercze">
    <w:name w:val="Hyperlink"/>
    <w:basedOn w:val="Domylnaczcionkaakapitu"/>
    <w:uiPriority w:val="98"/>
    <w:semiHidden/>
    <w:rsid w:val="00EF6ADC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EF6ADC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EF6AD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EF6ADC"/>
    <w:rPr>
      <w:b/>
      <w:bCs/>
      <w:i/>
      <w:iCs/>
      <w:sz w:val="24"/>
      <w:szCs w:val="24"/>
      <w:lang w:val="fr-FR" w:bidi="en-US"/>
    </w:rPr>
  </w:style>
  <w:style w:type="character" w:styleId="Odwoanieintensywne">
    <w:name w:val="Intense Reference"/>
    <w:uiPriority w:val="98"/>
    <w:semiHidden/>
    <w:qFormat/>
    <w:rsid w:val="00EF6ADC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EF6ADC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EF6ADC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EF6ADC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EF6ADC"/>
    <w:rPr>
      <w:i/>
      <w:iCs/>
      <w:sz w:val="24"/>
      <w:szCs w:val="24"/>
      <w:lang w:val="fr-FR" w:bidi="en-US"/>
    </w:rPr>
  </w:style>
  <w:style w:type="character" w:styleId="Odwoaniedelikatne">
    <w:name w:val="Subtle Reference"/>
    <w:uiPriority w:val="98"/>
    <w:semiHidden/>
    <w:qFormat/>
    <w:rsid w:val="00EF6ADC"/>
    <w:rPr>
      <w:smallCaps/>
    </w:rPr>
  </w:style>
  <w:style w:type="table" w:styleId="Tabela-Siatka">
    <w:name w:val="Table Grid"/>
    <w:basedOn w:val="Standardowy"/>
    <w:uiPriority w:val="59"/>
    <w:semiHidden/>
    <w:rsid w:val="00EF6ADC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EF6ADC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EF6ADC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EF6ADC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EF6ADC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EF6ADC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EF6AD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EF6ADC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EF6ADC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EF6ADC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EF6ADC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EF6ADC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EF6ADC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EF6ADC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EF6ADC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EF6ADC"/>
    <w:rPr>
      <w:rFonts w:asciiTheme="majorHAnsi" w:eastAsiaTheme="majorEastAsia" w:hAnsiTheme="majorHAnsi" w:cstheme="majorBidi"/>
      <w:i/>
      <w:iCs/>
      <w:spacing w:val="13"/>
      <w:sz w:val="24"/>
      <w:szCs w:val="24"/>
      <w:lang w:val="fr-FR" w:bidi="en-US"/>
    </w:rPr>
  </w:style>
  <w:style w:type="numbering" w:styleId="111111">
    <w:name w:val="Outline List 2"/>
    <w:basedOn w:val="Bezlisty"/>
    <w:uiPriority w:val="99"/>
    <w:semiHidden/>
    <w:unhideWhenUsed/>
    <w:rsid w:val="00EF6ADC"/>
    <w:pPr>
      <w:numPr>
        <w:numId w:val="2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EF6ADC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EF6ADC"/>
    <w:pPr>
      <w:numPr>
        <w:numId w:val="3"/>
      </w:numPr>
    </w:pPr>
  </w:style>
  <w:style w:type="table" w:customStyle="1" w:styleId="ECHRTableSimpleBox">
    <w:name w:val="ECHR_Table_Simple_Box"/>
    <w:basedOn w:val="Standardowy"/>
    <w:uiPriority w:val="99"/>
    <w:rsid w:val="00EF6ADC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EF6ADC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EF6ADC"/>
    <w:pPr>
      <w:numPr>
        <w:numId w:val="4"/>
      </w:numPr>
    </w:pPr>
  </w:style>
  <w:style w:type="table" w:customStyle="1" w:styleId="ECHRTableForInternalUse">
    <w:name w:val="ECHR_Table_For_Internal_Use"/>
    <w:basedOn w:val="Standardowy"/>
    <w:uiPriority w:val="99"/>
    <w:rsid w:val="00EF6ADC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EF6ADC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EF6ADC"/>
  </w:style>
  <w:style w:type="paragraph" w:styleId="Tekstblokowy">
    <w:name w:val="Block Text"/>
    <w:basedOn w:val="Normalny"/>
    <w:uiPriority w:val="98"/>
    <w:semiHidden/>
    <w:rsid w:val="00EF6ADC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EF6ADC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EF6AD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EF6ADC"/>
    <w:rPr>
      <w:sz w:val="24"/>
      <w:szCs w:val="24"/>
      <w:lang w:val="fr-FR"/>
    </w:rPr>
  </w:style>
  <w:style w:type="table" w:customStyle="1" w:styleId="ECHRTableOddBanded">
    <w:name w:val="ECHR_Table_Odd_Banded"/>
    <w:basedOn w:val="Standardowy"/>
    <w:uiPriority w:val="99"/>
    <w:rsid w:val="00EF6ADC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EF6ADC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EF6ADC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EF6ADC"/>
    <w:pPr>
      <w:ind w:firstLine="284"/>
    </w:pPr>
    <w:rPr>
      <w:b/>
    </w:rPr>
  </w:style>
  <w:style w:type="character" w:styleId="Numerstrony">
    <w:name w:val="page number"/>
    <w:uiPriority w:val="98"/>
    <w:semiHidden/>
    <w:rsid w:val="00EF6ADC"/>
    <w:rPr>
      <w:sz w:val="18"/>
    </w:rPr>
  </w:style>
  <w:style w:type="paragraph" w:styleId="Listapunktowana2">
    <w:name w:val="List Bullet 2"/>
    <w:basedOn w:val="Normalny"/>
    <w:uiPriority w:val="98"/>
    <w:semiHidden/>
    <w:rsid w:val="00EF6ADC"/>
    <w:pPr>
      <w:numPr>
        <w:numId w:val="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EF6ADC"/>
    <w:rPr>
      <w:sz w:val="24"/>
      <w:szCs w:val="24"/>
      <w:lang w:val="fr-FR"/>
    </w:rPr>
  </w:style>
  <w:style w:type="paragraph" w:styleId="Tekstpodstawowy3">
    <w:name w:val="Body Text 3"/>
    <w:basedOn w:val="Normalny"/>
    <w:link w:val="Tekstpodstawowy3Znak"/>
    <w:uiPriority w:val="98"/>
    <w:semiHidden/>
    <w:rsid w:val="00EF6AD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EF6ADC"/>
    <w:rPr>
      <w:sz w:val="16"/>
      <w:szCs w:val="16"/>
      <w:lang w:val="fr-FR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EF6ADC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EF6ADC"/>
    <w:rPr>
      <w:sz w:val="24"/>
      <w:szCs w:val="24"/>
      <w:lang w:val="fr-FR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EF6A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EF6ADC"/>
    <w:rPr>
      <w:sz w:val="24"/>
      <w:szCs w:val="24"/>
      <w:lang w:val="fr-FR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EF6ADC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EF6ADC"/>
    <w:rPr>
      <w:sz w:val="24"/>
      <w:szCs w:val="24"/>
      <w:lang w:val="fr-FR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EF6A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EF6ADC"/>
    <w:rPr>
      <w:sz w:val="24"/>
      <w:szCs w:val="24"/>
      <w:lang w:val="fr-FR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EF6AD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EF6ADC"/>
    <w:rPr>
      <w:sz w:val="16"/>
      <w:szCs w:val="16"/>
      <w:lang w:val="fr-FR"/>
    </w:rPr>
  </w:style>
  <w:style w:type="paragraph" w:styleId="Legenda">
    <w:name w:val="caption"/>
    <w:basedOn w:val="Normalny"/>
    <w:next w:val="Normalny"/>
    <w:uiPriority w:val="98"/>
    <w:semiHidden/>
    <w:qFormat/>
    <w:rsid w:val="00EF6ADC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EF6ADC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EF6ADC"/>
    <w:rPr>
      <w:sz w:val="24"/>
      <w:szCs w:val="24"/>
      <w:lang w:val="fr-FR"/>
    </w:rPr>
  </w:style>
  <w:style w:type="table" w:styleId="Kolorowasiatka">
    <w:name w:val="Colorful Grid"/>
    <w:basedOn w:val="Standardowy"/>
    <w:uiPriority w:val="73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EF6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EF6AD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EF6ADC"/>
    <w:rPr>
      <w:sz w:val="20"/>
      <w:szCs w:val="20"/>
      <w:lang w:val="fr-FR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EF6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EF6ADC"/>
    <w:rPr>
      <w:b/>
      <w:bCs/>
      <w:sz w:val="20"/>
      <w:szCs w:val="20"/>
      <w:lang w:val="fr-FR"/>
    </w:rPr>
  </w:style>
  <w:style w:type="table" w:styleId="Ciemnalista">
    <w:name w:val="Dark List"/>
    <w:basedOn w:val="Standardowy"/>
    <w:uiPriority w:val="70"/>
    <w:semiHidden/>
    <w:rsid w:val="00EF6AD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EF6AD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EF6AD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EF6AD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EF6AD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EF6AD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EF6ADC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EF6ADC"/>
  </w:style>
  <w:style w:type="character" w:customStyle="1" w:styleId="DataZnak">
    <w:name w:val="Data Znak"/>
    <w:basedOn w:val="Domylnaczcionkaakapitu"/>
    <w:link w:val="Data"/>
    <w:uiPriority w:val="98"/>
    <w:semiHidden/>
    <w:rsid w:val="00EF6ADC"/>
    <w:rPr>
      <w:sz w:val="24"/>
      <w:szCs w:val="24"/>
      <w:lang w:val="fr-FR"/>
    </w:rPr>
  </w:style>
  <w:style w:type="paragraph" w:styleId="Mapadokumentu">
    <w:name w:val="Document Map"/>
    <w:basedOn w:val="Normalny"/>
    <w:link w:val="MapadokumentuZnak"/>
    <w:uiPriority w:val="98"/>
    <w:semiHidden/>
    <w:rsid w:val="00EF6ADC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EF6ADC"/>
    <w:rPr>
      <w:rFonts w:ascii="Tahoma" w:hAnsi="Tahoma" w:cs="Tahoma"/>
      <w:sz w:val="16"/>
      <w:szCs w:val="16"/>
      <w:lang w:val="fr-FR"/>
    </w:rPr>
  </w:style>
  <w:style w:type="paragraph" w:styleId="Podpise-mail">
    <w:name w:val="E-mail Signature"/>
    <w:basedOn w:val="Normalny"/>
    <w:link w:val="Podpise-mailZnak"/>
    <w:uiPriority w:val="98"/>
    <w:semiHidden/>
    <w:rsid w:val="00EF6ADC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EF6ADC"/>
    <w:rPr>
      <w:sz w:val="24"/>
      <w:szCs w:val="24"/>
      <w:lang w:val="fr-FR"/>
    </w:rPr>
  </w:style>
  <w:style w:type="character" w:styleId="Odwoanieprzypisukocowego">
    <w:name w:val="endnote reference"/>
    <w:basedOn w:val="Domylnaczcionkaakapitu"/>
    <w:uiPriority w:val="98"/>
    <w:semiHidden/>
    <w:rsid w:val="00EF6AD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EF6AD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EF6ADC"/>
    <w:rPr>
      <w:sz w:val="20"/>
      <w:szCs w:val="20"/>
      <w:lang w:val="fr-FR"/>
    </w:rPr>
  </w:style>
  <w:style w:type="paragraph" w:styleId="Adresnakopercie">
    <w:name w:val="envelope address"/>
    <w:basedOn w:val="Normalny"/>
    <w:uiPriority w:val="98"/>
    <w:semiHidden/>
    <w:rsid w:val="00EF6ADC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EF6ADC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EF6ADC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EF6ADC"/>
  </w:style>
  <w:style w:type="paragraph" w:styleId="HTML-adres">
    <w:name w:val="HTML Address"/>
    <w:basedOn w:val="Normalny"/>
    <w:link w:val="HTML-adresZnak"/>
    <w:uiPriority w:val="98"/>
    <w:semiHidden/>
    <w:rsid w:val="00EF6ADC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EF6ADC"/>
    <w:rPr>
      <w:i/>
      <w:iCs/>
      <w:sz w:val="24"/>
      <w:szCs w:val="24"/>
      <w:lang w:val="fr-FR"/>
    </w:rPr>
  </w:style>
  <w:style w:type="character" w:styleId="HTML-cytat">
    <w:name w:val="HTML Cite"/>
    <w:basedOn w:val="Domylnaczcionkaakapitu"/>
    <w:uiPriority w:val="98"/>
    <w:semiHidden/>
    <w:rsid w:val="00EF6ADC"/>
    <w:rPr>
      <w:i/>
      <w:iCs/>
    </w:rPr>
  </w:style>
  <w:style w:type="character" w:styleId="HTML-kod">
    <w:name w:val="HTML Code"/>
    <w:basedOn w:val="Domylnaczcionkaakapitu"/>
    <w:uiPriority w:val="98"/>
    <w:semiHidden/>
    <w:rsid w:val="00EF6ADC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EF6ADC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EF6ADC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EF6ADC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EF6ADC"/>
    <w:rPr>
      <w:rFonts w:ascii="Consolas" w:hAnsi="Consolas" w:cs="Consolas"/>
      <w:sz w:val="20"/>
      <w:szCs w:val="20"/>
      <w:lang w:val="fr-FR"/>
    </w:rPr>
  </w:style>
  <w:style w:type="character" w:styleId="HTML-przykad">
    <w:name w:val="HTML Sample"/>
    <w:basedOn w:val="Domylnaczcionkaakapitu"/>
    <w:uiPriority w:val="98"/>
    <w:semiHidden/>
    <w:rsid w:val="00EF6ADC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EF6ADC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EF6ADC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EF6ADC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EF6ADC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EF6ADC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EF6ADC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EF6ADC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EF6ADC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EF6ADC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EF6ADC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EF6ADC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EF6ADC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EF6ADC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EF6ADC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EF6ADC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EF6ADC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EF6ADC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EF6ADC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EF6ADC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EF6ADC"/>
  </w:style>
  <w:style w:type="paragraph" w:styleId="Lista">
    <w:name w:val="List"/>
    <w:basedOn w:val="Normalny"/>
    <w:uiPriority w:val="98"/>
    <w:semiHidden/>
    <w:rsid w:val="00EF6ADC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EF6ADC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EF6ADC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EF6ADC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EF6ADC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EF6ADC"/>
    <w:pPr>
      <w:numPr>
        <w:numId w:val="8"/>
      </w:numPr>
    </w:pPr>
  </w:style>
  <w:style w:type="paragraph" w:styleId="Listapunktowana3">
    <w:name w:val="List Bullet 3"/>
    <w:basedOn w:val="Normalny"/>
    <w:uiPriority w:val="98"/>
    <w:semiHidden/>
    <w:rsid w:val="00EF6ADC"/>
    <w:pPr>
      <w:numPr>
        <w:numId w:val="10"/>
      </w:numPr>
      <w:contextualSpacing/>
    </w:pPr>
  </w:style>
  <w:style w:type="paragraph" w:styleId="Listapunktowana4">
    <w:name w:val="List Bullet 4"/>
    <w:basedOn w:val="Normalny"/>
    <w:uiPriority w:val="98"/>
    <w:semiHidden/>
    <w:rsid w:val="00EF6ADC"/>
    <w:pPr>
      <w:numPr>
        <w:numId w:val="11"/>
      </w:numPr>
      <w:contextualSpacing/>
    </w:pPr>
  </w:style>
  <w:style w:type="paragraph" w:styleId="Listapunktowana5">
    <w:name w:val="List Bullet 5"/>
    <w:basedOn w:val="Normalny"/>
    <w:uiPriority w:val="98"/>
    <w:semiHidden/>
    <w:rsid w:val="00EF6ADC"/>
    <w:pPr>
      <w:numPr>
        <w:numId w:val="12"/>
      </w:numPr>
      <w:contextualSpacing/>
    </w:pPr>
  </w:style>
  <w:style w:type="paragraph" w:styleId="Lista-kontynuacja">
    <w:name w:val="List Continue"/>
    <w:basedOn w:val="Normalny"/>
    <w:uiPriority w:val="98"/>
    <w:semiHidden/>
    <w:rsid w:val="00EF6ADC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EF6ADC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EF6ADC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EF6ADC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EF6ADC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EF6ADC"/>
    <w:pPr>
      <w:numPr>
        <w:numId w:val="13"/>
      </w:numPr>
      <w:contextualSpacing/>
    </w:pPr>
  </w:style>
  <w:style w:type="paragraph" w:styleId="Listanumerowana2">
    <w:name w:val="List Number 2"/>
    <w:basedOn w:val="Normalny"/>
    <w:uiPriority w:val="98"/>
    <w:semiHidden/>
    <w:rsid w:val="00EF6ADC"/>
    <w:pPr>
      <w:numPr>
        <w:numId w:val="14"/>
      </w:numPr>
      <w:contextualSpacing/>
    </w:pPr>
  </w:style>
  <w:style w:type="paragraph" w:styleId="Listanumerowana3">
    <w:name w:val="List Number 3"/>
    <w:basedOn w:val="Normalny"/>
    <w:uiPriority w:val="98"/>
    <w:semiHidden/>
    <w:rsid w:val="00EF6ADC"/>
    <w:pPr>
      <w:numPr>
        <w:numId w:val="15"/>
      </w:numPr>
      <w:contextualSpacing/>
    </w:pPr>
  </w:style>
  <w:style w:type="paragraph" w:styleId="Listanumerowana4">
    <w:name w:val="List Number 4"/>
    <w:basedOn w:val="Normalny"/>
    <w:uiPriority w:val="98"/>
    <w:semiHidden/>
    <w:rsid w:val="00EF6ADC"/>
    <w:pPr>
      <w:numPr>
        <w:numId w:val="16"/>
      </w:numPr>
      <w:contextualSpacing/>
    </w:pPr>
  </w:style>
  <w:style w:type="paragraph" w:styleId="Listanumerowana5">
    <w:name w:val="List Number 5"/>
    <w:basedOn w:val="Normalny"/>
    <w:uiPriority w:val="98"/>
    <w:semiHidden/>
    <w:rsid w:val="00EF6ADC"/>
    <w:pPr>
      <w:numPr>
        <w:numId w:val="17"/>
      </w:numPr>
      <w:contextualSpacing/>
    </w:pPr>
  </w:style>
  <w:style w:type="paragraph" w:styleId="Tekstmakra">
    <w:name w:val="macro"/>
    <w:link w:val="TekstmakraZnak"/>
    <w:uiPriority w:val="98"/>
    <w:semiHidden/>
    <w:rsid w:val="00EF6AD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EF6ADC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EF6ADC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EF6ADC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EF6ADC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EF6AD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EF6ADC"/>
    <w:rPr>
      <w:rFonts w:asciiTheme="majorHAnsi" w:eastAsiaTheme="majorEastAsia" w:hAnsiTheme="majorHAnsi" w:cstheme="majorBidi"/>
      <w:sz w:val="24"/>
      <w:szCs w:val="24"/>
      <w:shd w:val="pct20" w:color="auto" w:fill="auto"/>
      <w:lang w:val="fr-FR"/>
    </w:rPr>
  </w:style>
  <w:style w:type="paragraph" w:styleId="NormalnyWeb">
    <w:name w:val="Normal (Web)"/>
    <w:basedOn w:val="Normalny"/>
    <w:uiPriority w:val="98"/>
    <w:semiHidden/>
    <w:rsid w:val="00EF6ADC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EF6ADC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EF6ADC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EF6ADC"/>
    <w:rPr>
      <w:sz w:val="24"/>
      <w:szCs w:val="24"/>
      <w:lang w:val="fr-FR"/>
    </w:rPr>
  </w:style>
  <w:style w:type="character" w:styleId="Tekstzastpczy">
    <w:name w:val="Placeholder Text"/>
    <w:basedOn w:val="Domylnaczcionkaakapitu"/>
    <w:uiPriority w:val="98"/>
    <w:semiHidden/>
    <w:rsid w:val="00EF6ADC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EF6ADC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EF6ADC"/>
    <w:rPr>
      <w:rFonts w:ascii="Consolas" w:hAnsi="Consolas" w:cs="Consolas"/>
      <w:sz w:val="21"/>
      <w:szCs w:val="21"/>
      <w:lang w:val="fr-FR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EF6ADC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EF6ADC"/>
    <w:rPr>
      <w:sz w:val="24"/>
      <w:szCs w:val="24"/>
      <w:lang w:val="fr-FR"/>
    </w:rPr>
  </w:style>
  <w:style w:type="paragraph" w:styleId="Podpis">
    <w:name w:val="Signature"/>
    <w:basedOn w:val="Normalny"/>
    <w:link w:val="PodpisZnak"/>
    <w:uiPriority w:val="98"/>
    <w:semiHidden/>
    <w:rsid w:val="00EF6ADC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EF6ADC"/>
    <w:rPr>
      <w:sz w:val="24"/>
      <w:szCs w:val="24"/>
      <w:lang w:val="fr-FR"/>
    </w:rPr>
  </w:style>
  <w:style w:type="table" w:styleId="Tabela-Efekty3D1">
    <w:name w:val="Table 3D effects 1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EF6ADC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1">
    <w:name w:val="Table Colorful 1"/>
    <w:basedOn w:val="Standardowy"/>
    <w:uiPriority w:val="99"/>
    <w:semiHidden/>
    <w:unhideWhenUsed/>
    <w:rsid w:val="00EF6ADC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2">
    <w:name w:val="Table Colorful 2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kolorowa3">
    <w:name w:val="Table Colorful 3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EF6ADC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EF6ADC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EF6ADC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EF6ADC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EF6ADC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EF6ADC"/>
  </w:style>
  <w:style w:type="table" w:styleId="Tabela-Profesjonalny">
    <w:name w:val="Table Professional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EF6ADC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EF6ADC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EF6ADC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EF6ADC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EF6ADC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893F30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29"/>
    <w:semiHidden/>
    <w:rsid w:val="00EF6ADC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EF6ADC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EF6ADC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EF6ADC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EF6ADC"/>
    <w:pPr>
      <w:numPr>
        <w:numId w:val="5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EF6ADC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EF6ADC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EF6ADC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EF6ADC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EF6ADC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EF6ADC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EF6ADC"/>
    <w:rPr>
      <w:rFonts w:ascii="Arial" w:hAnsi="Arial"/>
      <w:i/>
      <w:color w:val="002856"/>
      <w:sz w:val="32"/>
      <w:szCs w:val="24"/>
      <w:lang w:val="fr-FR"/>
    </w:rPr>
  </w:style>
  <w:style w:type="paragraph" w:customStyle="1" w:styleId="ECHRFooterLineLandscape">
    <w:name w:val="ECHR_Footer_Line_Landscape"/>
    <w:aliases w:val="_Footer_Line_Landscape"/>
    <w:basedOn w:val="Normalny"/>
    <w:uiPriority w:val="29"/>
    <w:semiHidden/>
    <w:rsid w:val="00EF6ADC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EF6ADC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EF6ADC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EF6ADC"/>
    <w:pPr>
      <w:keepNext/>
      <w:keepLines/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EF6ADC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EF6ADC"/>
    <w:pPr>
      <w:numPr>
        <w:numId w:val="7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EF6ADC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EF6ADC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EF6ADC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EF6ADC"/>
    <w:pPr>
      <w:spacing w:before="120" w:after="120"/>
      <w:ind w:left="567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EF6ADC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EF6ADC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EF6ADC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EF6ADC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EF6ADC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EF6ADC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EF6ADC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EF6AD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EF6AD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EF6ADC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EF6ADC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EF6ADC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EF6ADC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EF6ADC"/>
    <w:rPr>
      <w:sz w:val="4"/>
    </w:rPr>
  </w:style>
  <w:style w:type="table" w:customStyle="1" w:styleId="ECHRTableGrey">
    <w:name w:val="ECHR_Table_Grey"/>
    <w:basedOn w:val="Standardowy"/>
    <w:uiPriority w:val="99"/>
    <w:rsid w:val="00EF6ADC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884261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FB0460"/>
    <w:rPr>
      <w:sz w:val="24"/>
      <w:szCs w:val="24"/>
      <w:lang w:val="fr-FR"/>
    </w:rPr>
  </w:style>
  <w:style w:type="table" w:styleId="Tabelasiatki1jasnaakcent1">
    <w:name w:val="Grid Table 1 Light Accent 1"/>
    <w:basedOn w:val="Standardowy"/>
    <w:uiPriority w:val="46"/>
    <w:semiHidden/>
    <w:rsid w:val="00EC523C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EC523C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EC523C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EC523C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EC523C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EC523C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EC523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EC523C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EC523C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EC523C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EC523C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EC523C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EC523C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EC52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EC52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EC52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EC52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EC52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EC52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EC52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EC523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EC523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EC523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EC523C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EC523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EC523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EC523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EC523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EC523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EC523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EC523C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EC523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EC523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EC523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styleId="Hasztag">
    <w:name w:val="Hashtag"/>
    <w:basedOn w:val="Domylnaczcionkaakapitu"/>
    <w:uiPriority w:val="99"/>
    <w:semiHidden/>
    <w:unhideWhenUsed/>
    <w:rsid w:val="00EC523C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EC52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EC52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EC52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EC52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EC52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EC52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EC523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EC523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EC523C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EC523C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EC523C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EC523C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EC523C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EC523C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EC523C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EC523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EC523C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EC523C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EC523C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EC523C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EC523C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EC523C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EC523C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EC523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EC523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EC523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EC523C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EC523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EC523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EC523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EC523C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EC523C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EC523C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EC523C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EC523C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EC523C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EC523C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Wzmianka">
    <w:name w:val="Mention"/>
    <w:basedOn w:val="Domylnaczcionkaakapitu"/>
    <w:uiPriority w:val="99"/>
    <w:semiHidden/>
    <w:unhideWhenUsed/>
    <w:rsid w:val="00EC523C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EC523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EC523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EC523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EC523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EC523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Inteligentnyhiperlink">
    <w:name w:val="Smart Hyperlink"/>
    <w:basedOn w:val="Domylnaczcionkaakapitu"/>
    <w:uiPriority w:val="99"/>
    <w:semiHidden/>
    <w:unhideWhenUsed/>
    <w:rsid w:val="00EC523C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EC523C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EC523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7D3422"/>
    <w:rPr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86608-82F1-4D1E-8CD5-774D30786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10816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ModifiedBy/>
  <cp:revision>1</cp:revision>
  <dcterms:created xsi:type="dcterms:W3CDTF">2026-09-24T11:09:00Z</dcterms:created>
  <dcterms:modified xsi:type="dcterms:W3CDTF">2026-11-05T09:59:00Z</dcterms:modified>
  <cp:category/>
</cp:coreProperties>
</file>