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0E31B3" w:rsidR="00FB0460" w:rsidP="000E31B3" w14:paraId="163A3447" w14:textId="77777777">
      <w:pPr>
        <w:rPr>
          <w:rFonts w:ascii="Times New Roman" w:hAnsi="Times New Roman" w:cs="Times New Roman"/>
          <w:noProof/>
        </w:rPr>
      </w:pPr>
    </w:p>
    <w:p w:rsidRPr="000E31B3" w:rsidR="007A4070" w:rsidP="000E31B3" w14:paraId="5529140C" w14:textId="77777777"/>
    <w:p w:rsidRPr="000E31B3" w:rsidR="000E31B3" w:rsidP="000E31B3" w14:paraId="3BAD9C21" w14:textId="77777777"/>
    <w:p w:rsidRPr="000E31B3" w:rsidR="007A4070" w:rsidP="000E31B3" w14:paraId="23F2EC13" w14:textId="3BDF495F">
      <w:pPr>
        <w:pStyle w:val="DecHTitle"/>
      </w:pPr>
      <w:r w:rsidRPr="000E31B3">
        <w:t>PREMIÈRE SECTION</w:t>
      </w:r>
    </w:p>
    <w:p w:rsidRPr="000E31B3" w:rsidR="007A4070" w:rsidP="000E31B3" w14:paraId="395754F7" w14:textId="4C5C1281">
      <w:pPr>
        <w:pStyle w:val="JuTitle"/>
      </w:pPr>
      <w:r w:rsidRPr="000E31B3">
        <w:t xml:space="preserve">AFFAIRE </w:t>
      </w:r>
      <w:r w:rsidRPr="000E31B3" w:rsidR="00FB0460">
        <w:t>BĄCLER c. POLOGNE</w:t>
      </w:r>
    </w:p>
    <w:p w:rsidRPr="000E31B3" w:rsidR="007A4070" w:rsidP="000E31B3" w14:paraId="0F607BAB" w14:textId="0712F6B7">
      <w:pPr>
        <w:pStyle w:val="ECHRCoverTitle4"/>
      </w:pPr>
      <w:r w:rsidRPr="000E31B3">
        <w:t>(</w:t>
      </w:r>
      <w:r w:rsidRPr="000E31B3" w:rsidR="00FB0460">
        <w:rPr>
          <w:noProof/>
        </w:rPr>
        <w:t>Requête n</w:t>
      </w:r>
      <w:r w:rsidRPr="000E31B3" w:rsidR="00FB0460">
        <w:rPr>
          <w:noProof/>
          <w:vertAlign w:val="superscript"/>
        </w:rPr>
        <w:t>o</w:t>
      </w:r>
      <w:r w:rsidRPr="000E31B3" w:rsidR="003244EE">
        <w:t xml:space="preserve"> </w:t>
      </w:r>
      <w:r w:rsidRPr="000E31B3" w:rsidR="00FB0460">
        <w:t>47190/16</w:t>
      </w:r>
      <w:r w:rsidRPr="000E31B3">
        <w:t>)</w:t>
      </w:r>
    </w:p>
    <w:p w:rsidRPr="000E31B3" w:rsidR="007A4070" w:rsidP="000E31B3" w14:paraId="03750F90" w14:textId="77777777">
      <w:pPr>
        <w:pStyle w:val="DecHCase"/>
      </w:pPr>
    </w:p>
    <w:p w:rsidRPr="000E31B3" w:rsidR="007A4070" w:rsidP="000E31B3" w14:paraId="3CE2C2E2" w14:textId="77777777">
      <w:pPr>
        <w:pStyle w:val="DecHCase"/>
      </w:pPr>
    </w:p>
    <w:p w:rsidRPr="000E31B3" w:rsidR="007A4070" w:rsidP="000E31B3" w14:paraId="625B1B16" w14:textId="77777777">
      <w:pPr>
        <w:pStyle w:val="DecHCase"/>
      </w:pPr>
    </w:p>
    <w:p w:rsidRPr="000E31B3" w:rsidR="007A4070" w:rsidP="000E31B3" w14:paraId="08B0EF78" w14:textId="77777777">
      <w:pPr>
        <w:pStyle w:val="DecHCase"/>
      </w:pPr>
    </w:p>
    <w:p w:rsidRPr="000E31B3" w:rsidR="007A4070" w:rsidP="000E31B3" w14:paraId="06DF73FD" w14:textId="472D76AC">
      <w:pPr>
        <w:pStyle w:val="DecHCase"/>
      </w:pPr>
      <w:r w:rsidRPr="000E31B3">
        <w:t>ARRÊT</w:t>
      </w:r>
      <w:r w:rsidRPr="000E31B3">
        <w:br/>
      </w:r>
    </w:p>
    <w:p w:rsidRPr="000E31B3" w:rsidR="007A4070" w:rsidP="000E31B3" w14:paraId="45715686" w14:textId="77777777">
      <w:pPr>
        <w:pStyle w:val="DecHCase"/>
      </w:pPr>
      <w:r w:rsidRPr="000E31B3">
        <w:t>STRASBOURG</w:t>
      </w:r>
    </w:p>
    <w:p w:rsidRPr="000E31B3" w:rsidR="00FB0460" w:rsidP="000E31B3" w14:paraId="2505100A" w14:textId="77777777">
      <w:pPr>
        <w:pStyle w:val="DecHCase"/>
        <w:rPr>
          <w:noProof/>
        </w:rPr>
      </w:pPr>
      <w:r w:rsidRPr="000E31B3">
        <w:rPr>
          <w:noProof/>
        </w:rPr>
        <w:t>3 septembre 2026</w:t>
      </w:r>
    </w:p>
    <w:p w:rsidRPr="000E31B3" w:rsidR="007A4070" w:rsidP="000E31B3" w14:paraId="36F3EFD5" w14:textId="51F45245">
      <w:pPr>
        <w:pStyle w:val="DecHCase"/>
      </w:pPr>
    </w:p>
    <w:p w:rsidRPr="000E31B3" w:rsidR="000E31B3" w:rsidP="000E31B3" w14:paraId="766E80F8" w14:textId="77777777">
      <w:pPr>
        <w:pStyle w:val="JuPara"/>
      </w:pPr>
    </w:p>
    <w:p w:rsidRPr="000E31B3" w:rsidR="000E31B3" w:rsidP="000E31B3" w14:paraId="00F80A1D" w14:textId="77777777">
      <w:pPr>
        <w:pStyle w:val="JuPara"/>
      </w:pPr>
    </w:p>
    <w:p w:rsidRPr="000E31B3" w:rsidR="000E31B3" w:rsidP="000E31B3" w14:paraId="51CF07C0" w14:textId="77777777">
      <w:pPr>
        <w:pStyle w:val="JuPara"/>
      </w:pPr>
    </w:p>
    <w:p w:rsidRPr="000E31B3" w:rsidR="000E31B3" w:rsidP="000E31B3" w14:paraId="766DD3AD" w14:textId="77777777">
      <w:pPr>
        <w:pStyle w:val="JuPara"/>
      </w:pPr>
    </w:p>
    <w:p w:rsidRPr="000E31B3" w:rsidR="00516B59" w:rsidP="000E31B3" w14:paraId="47449406" w14:textId="262FE393">
      <w:pPr>
        <w:jc w:val="center"/>
        <w:rPr>
          <w:rFonts w:ascii="Times New Roman" w:hAnsi="Times New Roman" w:cs="Times New Roman"/>
          <w:i/>
          <w:sz w:val="22"/>
        </w:rPr>
      </w:pPr>
      <w:r w:rsidRPr="000E31B3">
        <w:rPr>
          <w:i/>
          <w:sz w:val="22"/>
        </w:rPr>
        <w:t>Cet arrêt</w:t>
      </w:r>
      <w:r w:rsidRPr="000E31B3" w:rsidR="00FB0460">
        <w:rPr>
          <w:i/>
          <w:sz w:val="22"/>
        </w:rPr>
        <w:t xml:space="preserve"> </w:t>
      </w:r>
      <w:r w:rsidRPr="000E31B3" w:rsidR="00FB0460">
        <w:rPr>
          <w:i/>
          <w:noProof/>
          <w:sz w:val="22"/>
        </w:rPr>
        <w:t>est définitif</w:t>
      </w:r>
      <w:r w:rsidRPr="000E31B3">
        <w:rPr>
          <w:i/>
          <w:sz w:val="22"/>
        </w:rPr>
        <w:t>. Il peut subir des retouches de fo</w:t>
      </w:r>
      <w:r w:rsidRPr="000E31B3">
        <w:rPr>
          <w:rFonts w:ascii="Times New Roman" w:hAnsi="Times New Roman" w:cs="Times New Roman"/>
          <w:i/>
          <w:sz w:val="22"/>
        </w:rPr>
        <w:t>rme.</w:t>
      </w:r>
    </w:p>
    <w:p w:rsidRPr="000E31B3" w:rsidR="00516B59" w:rsidP="000E31B3" w14:paraId="23A9FCFA" w14:textId="77777777">
      <w:pPr>
        <w:ind w:left="720"/>
        <w:rPr>
          <w:rFonts w:ascii="Times New Roman" w:hAnsi="Times New Roman" w:cs="Times New Roman"/>
          <w:sz w:val="22"/>
        </w:rPr>
      </w:pPr>
    </w:p>
    <w:p w:rsidRPr="000E31B3" w:rsidR="000E31B3" w:rsidP="000E31B3" w14:paraId="2CEF7542" w14:textId="77777777">
      <w:pPr>
        <w:ind w:left="720"/>
        <w:rPr>
          <w:rFonts w:ascii="Times New Roman" w:hAnsi="Times New Roman" w:cs="Times New Roman"/>
          <w:sz w:val="22"/>
        </w:rPr>
        <w:sectPr w:rsidSect="0090260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E31B3" w:rsidR="004344E6" w:rsidP="000E31B3" w14:paraId="79723EF6" w14:textId="68545829">
      <w:pPr>
        <w:pStyle w:val="JuCase"/>
      </w:pPr>
      <w:r w:rsidRPr="000E31B3">
        <w:t>En l</w:t>
      </w:r>
      <w:r w:rsidRPr="000E31B3" w:rsidR="000E31B3">
        <w:t>’</w:t>
      </w:r>
      <w:r w:rsidRPr="000E31B3">
        <w:t xml:space="preserve">affaire </w:t>
      </w:r>
      <w:r w:rsidRPr="000E31B3" w:rsidR="00FB0460">
        <w:t>Bącler</w:t>
      </w:r>
      <w:r w:rsidRPr="000E31B3" w:rsidR="00FB0460">
        <w:t xml:space="preserve"> c. Pologne</w:t>
      </w:r>
      <w:r w:rsidRPr="000E31B3">
        <w:t>,</w:t>
      </w:r>
    </w:p>
    <w:p w:rsidRPr="000E31B3" w:rsidR="004344E6" w:rsidP="000E31B3" w14:paraId="2EE66957" w14:textId="1A8F94FD">
      <w:pPr>
        <w:pStyle w:val="JuPara"/>
      </w:pPr>
      <w:r w:rsidRPr="000E31B3">
        <w:t>La Cour européenne des droits de l</w:t>
      </w:r>
      <w:r w:rsidRPr="000E31B3" w:rsidR="000E31B3">
        <w:t>’</w:t>
      </w:r>
      <w:r w:rsidRPr="000E31B3">
        <w:t>homme (</w:t>
      </w:r>
      <w:r w:rsidRPr="000E31B3" w:rsidR="00FB0460">
        <w:t>première section</w:t>
      </w:r>
      <w:r w:rsidRPr="000E31B3">
        <w:t xml:space="preserve">), siégeant en </w:t>
      </w:r>
      <w:r w:rsidRPr="000E31B3" w:rsidR="00FB0460">
        <w:rPr>
          <w:noProof/>
          <w:color w:val="000000"/>
        </w:rPr>
        <w:t>un</w:t>
      </w:r>
      <w:r w:rsidRPr="000E31B3" w:rsidR="00FB0460">
        <w:rPr>
          <w:noProof/>
        </w:rPr>
        <w:t xml:space="preserve"> comité composé</w:t>
      </w:r>
      <w:r w:rsidRPr="000E31B3">
        <w:t xml:space="preserve"> de :</w:t>
      </w:r>
    </w:p>
    <w:p w:rsidRPr="000E31B3" w:rsidR="004344E6" w:rsidP="000E31B3" w14:paraId="5863FFC0" w14:textId="25708F00">
      <w:pPr>
        <w:pStyle w:val="JuJudges"/>
      </w:pPr>
      <w:r w:rsidRPr="000E31B3">
        <w:tab/>
        <w:t>Davor Derenčinović</w:t>
      </w:r>
      <w:r w:rsidRPr="000E31B3">
        <w:rPr>
          <w:i/>
        </w:rPr>
        <w:t>, président</w:t>
      </w:r>
      <w:r w:rsidRPr="000E31B3">
        <w:t>,</w:t>
      </w:r>
      <w:r w:rsidRPr="000E31B3">
        <w:br/>
      </w:r>
      <w:r w:rsidRPr="000E31B3">
        <w:tab/>
        <w:t xml:space="preserve">Artūrs </w:t>
      </w:r>
      <w:r w:rsidRPr="000E31B3">
        <w:t>Kučs</w:t>
      </w:r>
      <w:r w:rsidRPr="000E31B3">
        <w:t>,</w:t>
      </w:r>
      <w:r w:rsidRPr="000E31B3">
        <w:br/>
      </w:r>
      <w:r w:rsidRPr="000E31B3">
        <w:tab/>
        <w:t>Anna Adamska-Gallant</w:t>
      </w:r>
      <w:r w:rsidRPr="000E31B3">
        <w:rPr>
          <w:i/>
        </w:rPr>
        <w:t>, juges</w:t>
      </w:r>
      <w:r w:rsidRPr="000E31B3">
        <w:t>,</w:t>
      </w:r>
      <w:r w:rsidRPr="000E31B3">
        <w:br/>
        <w:t xml:space="preserve">et de </w:t>
      </w:r>
      <w:r w:rsidRPr="000E31B3" w:rsidR="00FB0460">
        <w:rPr>
          <w:noProof/>
        </w:rPr>
        <w:t>Liv Tigerstedt</w:t>
      </w:r>
      <w:r w:rsidRPr="000E31B3">
        <w:t xml:space="preserve">, </w:t>
      </w:r>
      <w:r w:rsidRPr="000E31B3" w:rsidR="00FB0460">
        <w:rPr>
          <w:i/>
          <w:noProof/>
        </w:rPr>
        <w:t>greffière adjointe</w:t>
      </w:r>
      <w:r w:rsidRPr="000E31B3" w:rsidR="001C6A7B">
        <w:rPr>
          <w:i/>
          <w:iCs/>
        </w:rPr>
        <w:t xml:space="preserve"> d</w:t>
      </w:r>
      <w:r w:rsidRPr="000E31B3" w:rsidR="001C6A7B">
        <w:rPr>
          <w:i/>
        </w:rPr>
        <w:t>e section</w:t>
      </w:r>
      <w:r w:rsidRPr="000E31B3">
        <w:t>,</w:t>
      </w:r>
    </w:p>
    <w:p w:rsidRPr="000E31B3" w:rsidR="00FB0460" w:rsidP="000E31B3" w14:paraId="0F575E17" w14:textId="77777777">
      <w:pPr>
        <w:pStyle w:val="JuPara"/>
      </w:pPr>
      <w:r w:rsidRPr="000E31B3">
        <w:t>Vu :</w:t>
      </w:r>
    </w:p>
    <w:p w:rsidRPr="000E31B3" w:rsidR="00FB0460" w:rsidP="000E31B3" w14:paraId="25C15D11" w14:textId="761A8DFF">
      <w:pPr>
        <w:pStyle w:val="JuPara"/>
      </w:pPr>
      <w:r w:rsidRPr="000E31B3">
        <w:t>la</w:t>
      </w:r>
      <w:r w:rsidRPr="000E31B3">
        <w:t xml:space="preserve"> requête (n</w:t>
      </w:r>
      <w:r w:rsidRPr="000E31B3">
        <w:rPr>
          <w:vertAlign w:val="superscript"/>
        </w:rPr>
        <w:t>o</w:t>
      </w:r>
      <w:r w:rsidRPr="000E31B3">
        <w:t> 47190/16) dirigée contre la République de Pologne et dont un ressortissant de cet État, M. Mariusz Bącler (« le requérant »), né en 1974, a saisi la Cour le 29 juillet 2016 en vertu de l</w:t>
      </w:r>
      <w:r w:rsidRPr="000E31B3" w:rsidR="000E31B3">
        <w:t>’</w:t>
      </w:r>
      <w:r w:rsidRPr="000E31B3">
        <w:t>article 34 de la Convention de sauvegarde des droits de l</w:t>
      </w:r>
      <w:r w:rsidRPr="000E31B3" w:rsidR="000E31B3">
        <w:t>’</w:t>
      </w:r>
      <w:r w:rsidRPr="000E31B3">
        <w:t>homme et des libertés fondamentales (« la Convention »),</w:t>
      </w:r>
    </w:p>
    <w:p w:rsidRPr="000E31B3" w:rsidR="00FB0460" w:rsidP="000E31B3" w14:paraId="061C1E4F" w14:textId="1756AFA4">
      <w:pPr>
        <w:pStyle w:val="JuPara"/>
      </w:pPr>
      <w:r w:rsidRPr="000E31B3">
        <w:t>la</w:t>
      </w:r>
      <w:r w:rsidRPr="000E31B3">
        <w:t xml:space="preserve"> décision de porter à la connaissance du gouvernement polonais (« le Gouvernement »), représenté par ses agents, d</w:t>
      </w:r>
      <w:r w:rsidRPr="000E31B3" w:rsidR="000E31B3">
        <w:t>’</w:t>
      </w:r>
      <w:r w:rsidRPr="000E31B3">
        <w:t>abord M</w:t>
      </w:r>
      <w:r w:rsidRPr="000E31B3">
        <w:rPr>
          <w:vertAlign w:val="superscript"/>
        </w:rPr>
        <w:t>me</w:t>
      </w:r>
      <w:r w:rsidRPr="000E31B3">
        <w:t> A. Kozińska</w:t>
      </w:r>
      <w:r w:rsidRPr="000E31B3">
        <w:noBreakHyphen/>
        <w:t xml:space="preserve">Makowska, puis M. P. </w:t>
      </w:r>
      <w:r w:rsidRPr="000E31B3">
        <w:t>Wierdak</w:t>
      </w:r>
      <w:r w:rsidRPr="000E31B3">
        <w:t>, tous deux du ministère des Affaires étrangères, le grief tiré par le requérant, sous l</w:t>
      </w:r>
      <w:r w:rsidRPr="000E31B3" w:rsidR="000E31B3">
        <w:t>’</w:t>
      </w:r>
      <w:r w:rsidRPr="000E31B3">
        <w:t>angle de l</w:t>
      </w:r>
      <w:r w:rsidRPr="000E31B3" w:rsidR="000E31B3">
        <w:t>’</w:t>
      </w:r>
      <w:r w:rsidRPr="000E31B3">
        <w:t>article</w:t>
      </w:r>
      <w:r w:rsidRPr="000E31B3" w:rsidR="009D5ECC">
        <w:t> </w:t>
      </w:r>
      <w:r w:rsidRPr="000E31B3">
        <w:t>6 § 1 de la Convention, d</w:t>
      </w:r>
      <w:r w:rsidRPr="000E31B3" w:rsidR="000E31B3">
        <w:t>’</w:t>
      </w:r>
      <w:r w:rsidRPr="000E31B3">
        <w:t>un défaut d</w:t>
      </w:r>
      <w:r w:rsidRPr="000E31B3" w:rsidR="000E31B3">
        <w:t>’</w:t>
      </w:r>
      <w:r w:rsidRPr="000E31B3">
        <w:t>accès à un tribunal et de déclarer le restant de la requête irrecevable,</w:t>
      </w:r>
    </w:p>
    <w:p w:rsidRPr="000E31B3" w:rsidR="00FB0460" w:rsidP="000E31B3" w14:paraId="7FC37AF6" w14:textId="77777777">
      <w:pPr>
        <w:pStyle w:val="JuPara"/>
      </w:pPr>
      <w:r w:rsidRPr="000E31B3">
        <w:t>les</w:t>
      </w:r>
      <w:r w:rsidRPr="000E31B3">
        <w:t xml:space="preserve"> observations des parties,</w:t>
      </w:r>
    </w:p>
    <w:p w:rsidRPr="000E31B3" w:rsidR="004344E6" w:rsidP="000E31B3" w14:paraId="0A47699D" w14:textId="0FA40FF0">
      <w:pPr>
        <w:pStyle w:val="JuPara"/>
      </w:pPr>
      <w:r w:rsidRPr="000E31B3">
        <w:t xml:space="preserve">Après en avoir délibéré en chambre du conseil le </w:t>
      </w:r>
      <w:r w:rsidRPr="000E31B3" w:rsidR="00FB0460">
        <w:t>2 juillet 2026</w:t>
      </w:r>
      <w:r w:rsidRPr="000E31B3">
        <w:t>,</w:t>
      </w:r>
    </w:p>
    <w:p w:rsidRPr="000E31B3" w:rsidR="00876F03" w:rsidP="000E31B3" w14:paraId="70AB716B" w14:textId="67656EB7">
      <w:pPr>
        <w:pStyle w:val="JuPara"/>
      </w:pPr>
      <w:r w:rsidRPr="000E31B3">
        <w:t>Rend l</w:t>
      </w:r>
      <w:r w:rsidRPr="000E31B3" w:rsidR="000E31B3">
        <w:t>’</w:t>
      </w:r>
      <w:r w:rsidRPr="000E31B3">
        <w:t>arrêt que voici</w:t>
      </w:r>
      <w:r w:rsidRPr="000E31B3">
        <w:t>, adopté à cette date :</w:t>
      </w:r>
    </w:p>
    <w:p w:rsidRPr="000E31B3" w:rsidR="00FB0460" w:rsidP="000E31B3" w14:paraId="7C2AF759" w14:textId="1A47B5CD">
      <w:pPr>
        <w:pStyle w:val="JuHHead"/>
        <w:numPr>
          <w:ilvl w:val="0"/>
          <w:numId w:val="1"/>
        </w:numPr>
      </w:pPr>
      <w:r w:rsidRPr="000E31B3">
        <w:t>OBJET DE L</w:t>
      </w:r>
      <w:r w:rsidRPr="000E31B3" w:rsidR="000E31B3">
        <w:t>’</w:t>
      </w:r>
      <w:r w:rsidRPr="000E31B3">
        <w:t>AFFAIRE</w:t>
      </w:r>
    </w:p>
    <w:p w:rsidRPr="000E31B3" w:rsidR="00FB0460" w:rsidP="000E31B3" w14:paraId="17601DAD" w14:textId="178C992A">
      <w:pPr>
        <w:pStyle w:val="JuPara"/>
      </w:pPr>
      <w:r>
        <w:fldChar w:fldCharType="begin"/>
      </w:r>
      <w:r>
        <w:instrText xml:space="preserve"> SEQ level0 \*arabic \* MERGEFORMAT </w:instrText>
      </w:r>
      <w:r>
        <w:fldChar w:fldCharType="separate"/>
      </w:r>
      <w:r w:rsidRPr="000E31B3" w:rsidR="000E31B3">
        <w:rPr>
          <w:noProof/>
        </w:rPr>
        <w:t>1</w:t>
      </w:r>
      <w:r w:rsidRPr="000E31B3" w:rsidR="000E31B3">
        <w:rPr>
          <w:noProof/>
        </w:rPr>
        <w:fldChar w:fldCharType="end"/>
      </w:r>
      <w:r w:rsidRPr="000E31B3">
        <w:t>.  La présente affaire concerne l</w:t>
      </w:r>
      <w:r w:rsidRPr="000E31B3" w:rsidR="000E31B3">
        <w:t>’</w:t>
      </w:r>
      <w:r w:rsidRPr="000E31B3">
        <w:t>atteinte au droit à un tribunal que le requérant estime avoir subi à raison de l</w:t>
      </w:r>
      <w:r w:rsidRPr="000E31B3" w:rsidR="000E31B3">
        <w:t>’</w:t>
      </w:r>
      <w:r w:rsidRPr="000E31B3">
        <w:t>obligation qui lui a été faite de payer des frais de justice, trop élevés selon lui, pour le dépôt d</w:t>
      </w:r>
      <w:r w:rsidRPr="000E31B3" w:rsidR="000E31B3">
        <w:t>’</w:t>
      </w:r>
      <w:r w:rsidRPr="000E31B3">
        <w:t>une demande d</w:t>
      </w:r>
      <w:r w:rsidRPr="000E31B3" w:rsidR="000E31B3">
        <w:t>’</w:t>
      </w:r>
      <w:r w:rsidRPr="000E31B3">
        <w:t>indemnisation.</w:t>
      </w:r>
    </w:p>
    <w:p w:rsidRPr="000E31B3" w:rsidR="00FB0460" w:rsidP="000E31B3" w14:paraId="5D5F3190" w14:textId="7CCD6BE2">
      <w:pPr>
        <w:pStyle w:val="JuPara"/>
      </w:pPr>
      <w:r>
        <w:fldChar w:fldCharType="begin"/>
      </w:r>
      <w:r>
        <w:instrText xml:space="preserve"> SEQ level0 \*arabic \* MERGEFORMAT </w:instrText>
      </w:r>
      <w:r>
        <w:fldChar w:fldCharType="separate"/>
      </w:r>
      <w:r w:rsidRPr="000E31B3" w:rsidR="000E31B3">
        <w:rPr>
          <w:noProof/>
        </w:rPr>
        <w:t>2</w:t>
      </w:r>
      <w:r w:rsidRPr="000E31B3" w:rsidR="000E31B3">
        <w:rPr>
          <w:noProof/>
        </w:rPr>
        <w:fldChar w:fldCharType="end"/>
      </w:r>
      <w:r w:rsidRPr="000E31B3">
        <w:t>.  À l</w:t>
      </w:r>
      <w:r w:rsidRPr="000E31B3" w:rsidR="000E31B3">
        <w:t>’</w:t>
      </w:r>
      <w:r w:rsidRPr="000E31B3">
        <w:t>époque des faits, le requérant était incarcéré au sein de l</w:t>
      </w:r>
      <w:r w:rsidRPr="000E31B3" w:rsidR="000E31B3">
        <w:t>’</w:t>
      </w:r>
      <w:r w:rsidRPr="000E31B3">
        <w:t>unité hospitalière de la maison d</w:t>
      </w:r>
      <w:r w:rsidRPr="000E31B3" w:rsidR="000E31B3">
        <w:t>’</w:t>
      </w:r>
      <w:r w:rsidRPr="000E31B3">
        <w:t>arrêt de P. En octobre 2015, il engagea contre le responsable de ladite maison d</w:t>
      </w:r>
      <w:r w:rsidRPr="000E31B3" w:rsidR="000E31B3">
        <w:t>’</w:t>
      </w:r>
      <w:r w:rsidRPr="000E31B3">
        <w:t>arrêt une action en indemnisation du préjudice qu</w:t>
      </w:r>
      <w:r w:rsidRPr="000E31B3" w:rsidR="000E31B3">
        <w:t>’</w:t>
      </w:r>
      <w:r w:rsidRPr="000E31B3">
        <w:t>il disait avoir subi en raison d</w:t>
      </w:r>
      <w:r w:rsidRPr="000E31B3" w:rsidR="000E31B3">
        <w:t>’</w:t>
      </w:r>
      <w:r w:rsidRPr="000E31B3">
        <w:t>une absence de prise en charge médicale adéquate en milieu carcéral. Il reprochait à l</w:t>
      </w:r>
      <w:r w:rsidRPr="000E31B3" w:rsidR="000E31B3">
        <w:t>’</w:t>
      </w:r>
      <w:r w:rsidRPr="000E31B3">
        <w:t>administration pénitentiaire d</w:t>
      </w:r>
      <w:r w:rsidRPr="000E31B3" w:rsidR="000E31B3">
        <w:t>’</w:t>
      </w:r>
      <w:r w:rsidRPr="000E31B3">
        <w:t>avoir manqué à ses obligations en ne lui fournissant pas d</w:t>
      </w:r>
      <w:r w:rsidRPr="000E31B3" w:rsidR="000E31B3">
        <w:t>’</w:t>
      </w:r>
      <w:r w:rsidRPr="000E31B3">
        <w:t>appareillage CPAP (une machine de respiration assistée), alléguant avoir été privé de ce dispositif entre janvier et avril 2015. Il soutenait qu</w:t>
      </w:r>
      <w:r w:rsidRPr="000E31B3" w:rsidR="000E31B3">
        <w:t>’</w:t>
      </w:r>
      <w:r w:rsidRPr="000E31B3">
        <w:t>il avait ressenti de la fatigue et avait été exposé à un risque de détérioration de son état de santé, et qu</w:t>
      </w:r>
      <w:r w:rsidRPr="000E31B3" w:rsidR="000E31B3">
        <w:t>’</w:t>
      </w:r>
      <w:r w:rsidRPr="000E31B3">
        <w:t>il ressortait d</w:t>
      </w:r>
      <w:r w:rsidRPr="000E31B3" w:rsidR="000E31B3">
        <w:t>’</w:t>
      </w:r>
      <w:r w:rsidRPr="000E31B3">
        <w:t>un certificat établi par un médecin spécialiste en la matière que sans le dispositif en question il ne pouvait être incarcéré. Il ajoutait qu</w:t>
      </w:r>
      <w:r w:rsidRPr="000E31B3" w:rsidR="000E31B3">
        <w:t>’</w:t>
      </w:r>
      <w:r w:rsidRPr="000E31B3">
        <w:t>il souffrait de diabète de type 2, de problèmes cardiovasculaires, d</w:t>
      </w:r>
      <w:r w:rsidRPr="000E31B3" w:rsidR="000E31B3">
        <w:t>’</w:t>
      </w:r>
      <w:r w:rsidRPr="000E31B3">
        <w:t>apnée sévère, d</w:t>
      </w:r>
      <w:r w:rsidRPr="000E31B3" w:rsidR="000E31B3">
        <w:t>’</w:t>
      </w:r>
      <w:r w:rsidRPr="000E31B3">
        <w:t>hypoxémie nocturne, de somnolence diurne excessive, de psoriasis et d</w:t>
      </w:r>
      <w:r w:rsidRPr="000E31B3" w:rsidR="000E31B3">
        <w:t>’</w:t>
      </w:r>
      <w:r w:rsidRPr="000E31B3">
        <w:t xml:space="preserve">un syndrome de stress post traumatique. Il réclamait 120 000 zlotys polonais ((PLN), soit environ 30 000 euros (EUR)), en réparation du </w:t>
      </w:r>
      <w:r w:rsidRPr="000E31B3">
        <w:t>dommage invoqué. Il présenta également une demande d</w:t>
      </w:r>
      <w:r w:rsidRPr="000E31B3" w:rsidR="000E31B3">
        <w:t>’</w:t>
      </w:r>
      <w:r w:rsidRPr="000E31B3">
        <w:t>exonération du paiement des frais de procédure.</w:t>
      </w:r>
    </w:p>
    <w:p w:rsidRPr="000E31B3" w:rsidR="00FB0460" w:rsidP="000E31B3" w14:paraId="27FD589A" w14:textId="2EBF8CA4">
      <w:pPr>
        <w:pStyle w:val="JuPara"/>
      </w:pPr>
      <w:r>
        <w:fldChar w:fldCharType="begin"/>
      </w:r>
      <w:r>
        <w:instrText xml:space="preserve"> SEQ level0 \*arabic \* MERGEFORMAT </w:instrText>
      </w:r>
      <w:r>
        <w:fldChar w:fldCharType="separate"/>
      </w:r>
      <w:r w:rsidRPr="000E31B3" w:rsidR="000E31B3">
        <w:rPr>
          <w:noProof/>
        </w:rPr>
        <w:t>3</w:t>
      </w:r>
      <w:r w:rsidRPr="000E31B3" w:rsidR="000E31B3">
        <w:rPr>
          <w:noProof/>
        </w:rPr>
        <w:fldChar w:fldCharType="end"/>
      </w:r>
      <w:r w:rsidRPr="000E31B3">
        <w:t>.  Le 27 novembre 2015, le tribunal régional de Pozna</w:t>
      </w:r>
      <w:r w:rsidRPr="000E31B3">
        <w:rPr>
          <w:rFonts w:cstheme="minorHAnsi"/>
        </w:rPr>
        <w:t>ń</w:t>
      </w:r>
      <w:r w:rsidRPr="000E31B3">
        <w:t xml:space="preserve"> (ci-après « le tribunal ») exonéra le requérant du paiement de la part des frais exigibles pour le dépôt de sa demande excédant 600 PLN (environ 150 EUR). Il tint le raisonnement suivant. Le requérant était pris en charge par l</w:t>
      </w:r>
      <w:r w:rsidRPr="000E31B3" w:rsidR="000E31B3">
        <w:t>’</w:t>
      </w:r>
      <w:r w:rsidRPr="000E31B3">
        <w:t>administration carcérale et il aurait dès lors pu réunir l</w:t>
      </w:r>
      <w:r w:rsidRPr="000E31B3" w:rsidR="000E31B3">
        <w:t>’</w:t>
      </w:r>
      <w:r w:rsidRPr="000E31B3">
        <w:t>argent nécessaire à la procédure. Il bénéficiait en effet d</w:t>
      </w:r>
      <w:r w:rsidRPr="000E31B3" w:rsidR="000E31B3">
        <w:t>’</w:t>
      </w:r>
      <w:r w:rsidRPr="000E31B3">
        <w:t>un soutien financier régulier de ses proches et, depuis le mois de juillet 2015, il avait reçu 1 250 PLN de leur part, dont en particulier 550 PLN avaient été utilisés à la cantine de la prison et 75 PLN étaient toujours à sa disposition. Il ne ressortait pas des éléments du dossier que les dépenses effectuées par le requérant eussent été « indispensables », au sens de la législation pertinente en la matière.</w:t>
      </w:r>
    </w:p>
    <w:p w:rsidRPr="000E31B3" w:rsidR="00FB0460" w:rsidP="000E31B3" w14:paraId="3D3CC604" w14:textId="65E2F723">
      <w:pPr>
        <w:pStyle w:val="JuPara"/>
      </w:pPr>
      <w:r>
        <w:fldChar w:fldCharType="begin"/>
      </w:r>
      <w:r>
        <w:instrText xml:space="preserve"> SEQ level0 \*arabic \* MERGEFORMAT </w:instrText>
      </w:r>
      <w:r>
        <w:fldChar w:fldCharType="separate"/>
      </w:r>
      <w:r w:rsidRPr="000E31B3" w:rsidR="000E31B3">
        <w:rPr>
          <w:noProof/>
        </w:rPr>
        <w:t>4</w:t>
      </w:r>
      <w:r w:rsidRPr="000E31B3" w:rsidR="000E31B3">
        <w:rPr>
          <w:noProof/>
        </w:rPr>
        <w:fldChar w:fldCharType="end"/>
      </w:r>
      <w:r w:rsidRPr="000E31B3">
        <w:t>.  Le requérant forma un recours contre ladite décision, soutenant qu</w:t>
      </w:r>
      <w:r w:rsidRPr="000E31B3" w:rsidR="000E31B3">
        <w:t>’</w:t>
      </w:r>
      <w:r w:rsidRPr="000E31B3">
        <w:t>il était indigent et expliquant qu</w:t>
      </w:r>
      <w:r w:rsidRPr="000E31B3" w:rsidR="000E31B3">
        <w:t>’</w:t>
      </w:r>
      <w:r w:rsidRPr="000E31B3">
        <w:t>il avait dû vivre avec la somme de 1 250</w:t>
      </w:r>
      <w:r w:rsidRPr="000E31B3" w:rsidR="00612BB6">
        <w:t> </w:t>
      </w:r>
      <w:r w:rsidRPr="000E31B3">
        <w:t>PLN mentionnée par le tribunal non pas pendant six, mais dix mois et qu</w:t>
      </w:r>
      <w:r w:rsidRPr="000E31B3" w:rsidR="000E31B3">
        <w:t>’</w:t>
      </w:r>
      <w:r w:rsidRPr="000E31B3">
        <w:t>il l</w:t>
      </w:r>
      <w:r w:rsidRPr="000E31B3" w:rsidR="000E31B3">
        <w:t>’</w:t>
      </w:r>
      <w:r w:rsidRPr="000E31B3">
        <w:t>avait utilisée pour acheter les produits non fournis par l</w:t>
      </w:r>
      <w:r w:rsidRPr="000E31B3" w:rsidR="000E31B3">
        <w:t>’</w:t>
      </w:r>
      <w:r w:rsidRPr="000E31B3">
        <w:t>administration pénitentiaire (des produits d</w:t>
      </w:r>
      <w:r w:rsidRPr="000E31B3" w:rsidR="000E31B3">
        <w:t>’</w:t>
      </w:r>
      <w:r w:rsidRPr="000E31B3">
        <w:t>hygiène et alimentaires pour personnes allergiques ou atteintes du psoriasis ainsi que des compléments alimentaires vitaminés).</w:t>
      </w:r>
    </w:p>
    <w:p w:rsidRPr="000E31B3" w:rsidR="00FB0460" w:rsidP="000E31B3" w14:paraId="5F855886" w14:textId="49267816">
      <w:pPr>
        <w:pStyle w:val="JuPara"/>
      </w:pPr>
      <w:r>
        <w:fldChar w:fldCharType="begin"/>
      </w:r>
      <w:r>
        <w:instrText xml:space="preserve"> SEQ level0 \*arabic \* MERGEFORMAT </w:instrText>
      </w:r>
      <w:r>
        <w:fldChar w:fldCharType="separate"/>
      </w:r>
      <w:r w:rsidRPr="000E31B3" w:rsidR="000E31B3">
        <w:rPr>
          <w:noProof/>
        </w:rPr>
        <w:t>5</w:t>
      </w:r>
      <w:r w:rsidRPr="000E31B3" w:rsidR="000E31B3">
        <w:rPr>
          <w:noProof/>
        </w:rPr>
        <w:fldChar w:fldCharType="end"/>
      </w:r>
      <w:r w:rsidRPr="000E31B3">
        <w:t>.  Le 19 janvier 2016, le tribunal rejeta le recours du requérant. Il considéra que le tribunal de première instance avait estimé à bon droit qu</w:t>
      </w:r>
      <w:r w:rsidRPr="000E31B3" w:rsidR="000E31B3">
        <w:t>’</w:t>
      </w:r>
      <w:r w:rsidRPr="000E31B3">
        <w:t>il était en mesure d</w:t>
      </w:r>
      <w:r w:rsidRPr="000E31B3" w:rsidR="000E31B3">
        <w:t>’</w:t>
      </w:r>
      <w:r w:rsidRPr="000E31B3">
        <w:t>acquitter les sommes exigées pour le dépôt de sa demande, ajoutant que dès lors qu</w:t>
      </w:r>
      <w:r w:rsidRPr="000E31B3" w:rsidR="000E31B3">
        <w:t>’</w:t>
      </w:r>
      <w:r w:rsidRPr="000E31B3">
        <w:t>il savait qu</w:t>
      </w:r>
      <w:r w:rsidRPr="000E31B3" w:rsidR="000E31B3">
        <w:t>’</w:t>
      </w:r>
      <w:r w:rsidRPr="000E31B3">
        <w:t>il allait intenter la procédure en question, il aurait pu réunir l</w:t>
      </w:r>
      <w:r w:rsidRPr="000E31B3" w:rsidR="000E31B3">
        <w:t>’</w:t>
      </w:r>
      <w:r w:rsidRPr="000E31B3">
        <w:t>argent nécessaire à celle-ci préalablement à son introduction, plutôt que de dépenser les sommes reçues à la cantine. Il retint en outre que les allégations du requérant concernant son état de santé et la manière dont il avait dépensé son argent n</w:t>
      </w:r>
      <w:r w:rsidRPr="000E31B3" w:rsidR="000E31B3">
        <w:t>’</w:t>
      </w:r>
      <w:r w:rsidRPr="000E31B3">
        <w:t>étaient corroborées par aucun élément de preuve.</w:t>
      </w:r>
    </w:p>
    <w:p w:rsidRPr="000E31B3" w:rsidR="00FB0460" w:rsidP="000E31B3" w14:paraId="19A1FB0D" w14:textId="4D866293">
      <w:pPr>
        <w:pStyle w:val="JuPara"/>
      </w:pPr>
      <w:r>
        <w:fldChar w:fldCharType="begin"/>
      </w:r>
      <w:r>
        <w:instrText xml:space="preserve"> SEQ level0 \*arabic \* MERGEFORMAT </w:instrText>
      </w:r>
      <w:r>
        <w:fldChar w:fldCharType="separate"/>
      </w:r>
      <w:r w:rsidRPr="000E31B3" w:rsidR="000E31B3">
        <w:rPr>
          <w:noProof/>
        </w:rPr>
        <w:t>6</w:t>
      </w:r>
      <w:r w:rsidRPr="000E31B3" w:rsidR="000E31B3">
        <w:rPr>
          <w:noProof/>
        </w:rPr>
        <w:fldChar w:fldCharType="end"/>
      </w:r>
      <w:r w:rsidRPr="000E31B3">
        <w:t>.  Le requérant fut invité à payer sous sept jours les frais exigibles pour le dépôt de sa demande. Le 1</w:t>
      </w:r>
      <w:r w:rsidRPr="000E31B3">
        <w:rPr>
          <w:vertAlign w:val="superscript"/>
        </w:rPr>
        <w:t>er</w:t>
      </w:r>
      <w:r w:rsidRPr="000E31B3">
        <w:t xml:space="preserve"> février 2016, il demanda au tribunal de lui permettre de les régler en plusieurs versements.</w:t>
      </w:r>
    </w:p>
    <w:p w:rsidRPr="000E31B3" w:rsidR="00FB0460" w:rsidP="000E31B3" w14:paraId="7628EA8D" w14:textId="5E5E7C69">
      <w:pPr>
        <w:pStyle w:val="JuPara"/>
      </w:pPr>
      <w:r>
        <w:fldChar w:fldCharType="begin"/>
      </w:r>
      <w:r>
        <w:instrText xml:space="preserve"> SEQ level0 \*arabic \* MERGEFORMAT </w:instrText>
      </w:r>
      <w:r>
        <w:fldChar w:fldCharType="separate"/>
      </w:r>
      <w:r w:rsidRPr="000E31B3" w:rsidR="000E31B3">
        <w:rPr>
          <w:noProof/>
        </w:rPr>
        <w:t>7</w:t>
      </w:r>
      <w:r w:rsidRPr="000E31B3" w:rsidR="000E31B3">
        <w:rPr>
          <w:noProof/>
        </w:rPr>
        <w:fldChar w:fldCharType="end"/>
      </w:r>
      <w:r w:rsidRPr="000E31B3">
        <w:t>.  Le 16 février 2016, le tribunal constata que les frais exigés pour le dépôt de la demande n</w:t>
      </w:r>
      <w:r w:rsidRPr="000E31B3" w:rsidR="000E31B3">
        <w:t>’</w:t>
      </w:r>
      <w:r w:rsidRPr="000E31B3">
        <w:t>avaient pas été acquittés et, retenant que leur paiement en plusieurs mensualités n</w:t>
      </w:r>
      <w:r w:rsidRPr="000E31B3" w:rsidR="000E31B3">
        <w:t>’</w:t>
      </w:r>
      <w:r w:rsidRPr="000E31B3">
        <w:t>était pas autorisé par la législation pertinente en l</w:t>
      </w:r>
      <w:r w:rsidRPr="000E31B3" w:rsidR="000E31B3">
        <w:t>’</w:t>
      </w:r>
      <w:r w:rsidRPr="000E31B3">
        <w:t>espèce, il ordonna le renvoi de la demande indemnitaire au requérant.</w:t>
      </w:r>
    </w:p>
    <w:p w:rsidRPr="000E31B3" w:rsidR="00FB0460" w:rsidP="000E31B3" w14:paraId="6FB4AA47" w14:textId="1059F321">
      <w:pPr>
        <w:pStyle w:val="JuPara"/>
      </w:pPr>
      <w:r>
        <w:fldChar w:fldCharType="begin"/>
      </w:r>
      <w:r>
        <w:instrText xml:space="preserve"> SEQ level0 \*arabic \* MERGEFORMAT </w:instrText>
      </w:r>
      <w:r>
        <w:fldChar w:fldCharType="separate"/>
      </w:r>
      <w:r w:rsidRPr="000E31B3" w:rsidR="000E31B3">
        <w:rPr>
          <w:noProof/>
        </w:rPr>
        <w:t>8</w:t>
      </w:r>
      <w:r w:rsidRPr="000E31B3" w:rsidR="000E31B3">
        <w:rPr>
          <w:noProof/>
        </w:rPr>
        <w:fldChar w:fldCharType="end"/>
      </w:r>
      <w:r w:rsidRPr="000E31B3">
        <w:t>.  Le 18 avril 2016, le recours que le requérant avait introduit contre ladite décision fut rejeté par la cour d</w:t>
      </w:r>
      <w:r w:rsidRPr="000E31B3" w:rsidR="000E31B3">
        <w:t>’</w:t>
      </w:r>
      <w:r w:rsidRPr="000E31B3">
        <w:t>appel de Pozna</w:t>
      </w:r>
      <w:r w:rsidRPr="000E31B3">
        <w:rPr>
          <w:rFonts w:cstheme="minorHAnsi"/>
        </w:rPr>
        <w:t>ń</w:t>
      </w:r>
      <w:r w:rsidRPr="000E31B3">
        <w:t>.</w:t>
      </w:r>
    </w:p>
    <w:p w:rsidRPr="000E31B3" w:rsidR="00FB0460" w:rsidP="000E31B3" w14:paraId="15BB7BD5" w14:textId="7BB3C598">
      <w:pPr>
        <w:pStyle w:val="JuPara"/>
      </w:pPr>
      <w:r>
        <w:fldChar w:fldCharType="begin"/>
      </w:r>
      <w:r>
        <w:instrText xml:space="preserve"> SEQ level0 \*arabic \* MERGEFORMAT </w:instrText>
      </w:r>
      <w:r>
        <w:fldChar w:fldCharType="separate"/>
      </w:r>
      <w:r w:rsidRPr="000E31B3" w:rsidR="000E31B3">
        <w:rPr>
          <w:noProof/>
        </w:rPr>
        <w:t>9</w:t>
      </w:r>
      <w:r w:rsidRPr="000E31B3" w:rsidR="000E31B3">
        <w:rPr>
          <w:noProof/>
        </w:rPr>
        <w:fldChar w:fldCharType="end"/>
      </w:r>
      <w:r w:rsidRPr="000E31B3">
        <w:t>.  Invoquant l</w:t>
      </w:r>
      <w:r w:rsidRPr="000E31B3" w:rsidR="000E31B3">
        <w:t>’</w:t>
      </w:r>
      <w:r w:rsidRPr="000E31B3">
        <w:t>article 6 § 1 de la Convention, le requérant soutient que son droit d</w:t>
      </w:r>
      <w:r w:rsidRPr="000E31B3" w:rsidR="000E31B3">
        <w:t>’</w:t>
      </w:r>
      <w:r w:rsidRPr="000E31B3">
        <w:t>accès à un tribunal a été méconnu à raison de l</w:t>
      </w:r>
      <w:r w:rsidRPr="000E31B3" w:rsidR="000E31B3">
        <w:t>’</w:t>
      </w:r>
      <w:r w:rsidRPr="000E31B3">
        <w:t>obligation qui lui a été faite de payer 600 PLN pour le dépôt de sa demande d</w:t>
      </w:r>
      <w:r w:rsidRPr="000E31B3" w:rsidR="000E31B3">
        <w:t>’</w:t>
      </w:r>
      <w:r w:rsidRPr="000E31B3">
        <w:t>indemnisation.</w:t>
      </w:r>
    </w:p>
    <w:p w:rsidRPr="000E31B3" w:rsidR="00FB0460" w:rsidP="000E31B3" w14:paraId="548A6741" w14:textId="77777777">
      <w:pPr>
        <w:pStyle w:val="JuHHead"/>
        <w:numPr>
          <w:ilvl w:val="0"/>
          <w:numId w:val="1"/>
        </w:numPr>
      </w:pPr>
      <w:r w:rsidRPr="000E31B3">
        <w:t>APPR</w:t>
      </w:r>
      <w:r w:rsidRPr="000E31B3">
        <w:rPr>
          <w:rFonts w:cstheme="majorHAnsi"/>
        </w:rPr>
        <w:t>É</w:t>
      </w:r>
      <w:r w:rsidRPr="000E31B3">
        <w:t>CIATION DE LA COUR</w:t>
      </w:r>
    </w:p>
    <w:p w:rsidRPr="000E31B3" w:rsidR="00FB0460" w:rsidP="000E31B3" w14:paraId="5CA81063" w14:textId="7869FD2A">
      <w:pPr>
        <w:pStyle w:val="JuPara"/>
      </w:pPr>
      <w:r>
        <w:fldChar w:fldCharType="begin"/>
      </w:r>
      <w:r>
        <w:instrText xml:space="preserve"> SEQ level0 \*arabic \* MERGEFORMAT </w:instrText>
      </w:r>
      <w:r>
        <w:fldChar w:fldCharType="separate"/>
      </w:r>
      <w:r w:rsidRPr="000E31B3" w:rsidR="000E31B3">
        <w:rPr>
          <w:noProof/>
        </w:rPr>
        <w:t>10</w:t>
      </w:r>
      <w:r w:rsidRPr="000E31B3" w:rsidR="000E31B3">
        <w:rPr>
          <w:noProof/>
        </w:rPr>
        <w:fldChar w:fldCharType="end"/>
      </w:r>
      <w:r w:rsidRPr="000E31B3">
        <w:t>.  Constatant que le grief n</w:t>
      </w:r>
      <w:r w:rsidRPr="000E31B3" w:rsidR="000E31B3">
        <w:t>’</w:t>
      </w:r>
      <w:r w:rsidRPr="000E31B3">
        <w:t>est pas manifestement mal fondé ni irrecevable pour un autre motif visé à l</w:t>
      </w:r>
      <w:r w:rsidRPr="000E31B3" w:rsidR="000E31B3">
        <w:t>’</w:t>
      </w:r>
      <w:r w:rsidRPr="000E31B3">
        <w:t>article 35 de la Convention, la Cour le déclare recevable.</w:t>
      </w:r>
    </w:p>
    <w:p w:rsidRPr="000E31B3" w:rsidR="00FB0460" w:rsidP="000E31B3" w14:paraId="368995C2" w14:textId="73FE8202">
      <w:pPr>
        <w:pStyle w:val="JuPara"/>
      </w:pPr>
      <w:r>
        <w:fldChar w:fldCharType="begin"/>
      </w:r>
      <w:r>
        <w:instrText xml:space="preserve"> SEQ level0 \*arabic \* MERGEFORMAT </w:instrText>
      </w:r>
      <w:r>
        <w:fldChar w:fldCharType="separate"/>
      </w:r>
      <w:r w:rsidRPr="000E31B3" w:rsidR="000E31B3">
        <w:rPr>
          <w:noProof/>
        </w:rPr>
        <w:t>11</w:t>
      </w:r>
      <w:r w:rsidRPr="000E31B3" w:rsidR="000E31B3">
        <w:rPr>
          <w:noProof/>
        </w:rPr>
        <w:fldChar w:fldCharType="end"/>
      </w:r>
      <w:r w:rsidRPr="000E31B3">
        <w:t>.  Le Gouvernement estime qu</w:t>
      </w:r>
      <w:r w:rsidRPr="000E31B3" w:rsidR="000E31B3">
        <w:t>’</w:t>
      </w:r>
      <w:r w:rsidRPr="000E31B3">
        <w:t>aucune violation de l</w:t>
      </w:r>
      <w:r w:rsidRPr="000E31B3" w:rsidR="000E31B3">
        <w:t>’</w:t>
      </w:r>
      <w:r w:rsidRPr="000E31B3">
        <w:t>article 6 § 1 de la Convention n</w:t>
      </w:r>
      <w:r w:rsidRPr="000E31B3" w:rsidR="000E31B3">
        <w:t>’</w:t>
      </w:r>
      <w:r w:rsidRPr="000E31B3">
        <w:t>est à relever dans la présente affaire. Il soutient que les frais afférents à la demande du requérant ont été fixés en application de la législation pertinente en la matière, et considère qu</w:t>
      </w:r>
      <w:r w:rsidRPr="000E31B3" w:rsidR="000E31B3">
        <w:t>’</w:t>
      </w:r>
      <w:r w:rsidRPr="000E31B3">
        <w:t>ils n</w:t>
      </w:r>
      <w:r w:rsidRPr="000E31B3" w:rsidR="000E31B3">
        <w:t>’</w:t>
      </w:r>
      <w:r w:rsidRPr="000E31B3">
        <w:t>étaient pas disproportionnés par rapport à la situation financière de l</w:t>
      </w:r>
      <w:r w:rsidRPr="000E31B3" w:rsidR="000E31B3">
        <w:t>’</w:t>
      </w:r>
      <w:r w:rsidRPr="000E31B3">
        <w:t>intéressé. Il argue en outre que les juridictions nationales ont exonéré le requérant du paiement d</w:t>
      </w:r>
      <w:r w:rsidRPr="000E31B3" w:rsidR="000E31B3">
        <w:t>’</w:t>
      </w:r>
      <w:r w:rsidRPr="000E31B3">
        <w:t>une part équivalant à 90 % des frais exigibles pour le dépôt de sa demande, et que le montant réclamé à l</w:t>
      </w:r>
      <w:r w:rsidRPr="000E31B3" w:rsidR="000E31B3">
        <w:t>’</w:t>
      </w:r>
      <w:r w:rsidRPr="000E31B3">
        <w:t>intéressé équivalait à peine à 0,5 % du montant total des prétentions formulées par lui. Selon le Gouvernement, le requérant a surévalué ses prétentions, et s</w:t>
      </w:r>
      <w:r w:rsidRPr="000E31B3" w:rsidR="000E31B3">
        <w:t>’</w:t>
      </w:r>
      <w:r w:rsidRPr="000E31B3">
        <w:t>il les avait revues à la baisse, les frais exigibles en auraient été réduits d</w:t>
      </w:r>
      <w:r w:rsidRPr="000E31B3" w:rsidR="000E31B3">
        <w:t>’</w:t>
      </w:r>
      <w:r w:rsidRPr="000E31B3">
        <w:t>autant. Il ajoute que la décision ordonnant le renvoi de la demande au requérant n</w:t>
      </w:r>
      <w:r w:rsidRPr="000E31B3" w:rsidR="000E31B3">
        <w:t>’</w:t>
      </w:r>
      <w:r w:rsidRPr="000E31B3">
        <w:t>était pas revêtue de l</w:t>
      </w:r>
      <w:r w:rsidRPr="000E31B3" w:rsidR="000E31B3">
        <w:t>’</w:t>
      </w:r>
      <w:r w:rsidRPr="000E31B3">
        <w:t>autorité de la chose jugée et que, par conséquent, l</w:t>
      </w:r>
      <w:r w:rsidRPr="000E31B3" w:rsidR="000E31B3">
        <w:t>’</w:t>
      </w:r>
      <w:r w:rsidRPr="000E31B3">
        <w:t>intéressé avait la possibilité de réintroduire ladite demande, ce jusqu</w:t>
      </w:r>
      <w:r w:rsidRPr="000E31B3" w:rsidR="000E31B3">
        <w:t>’</w:t>
      </w:r>
      <w:r w:rsidRPr="000E31B3">
        <w:t>à l</w:t>
      </w:r>
      <w:r w:rsidRPr="000E31B3" w:rsidR="000E31B3">
        <w:t>’</w:t>
      </w:r>
      <w:r w:rsidRPr="000E31B3">
        <w:t>expiration du délai de prescription.</w:t>
      </w:r>
    </w:p>
    <w:p w:rsidRPr="000E31B3" w:rsidR="00FB0460" w:rsidP="000E31B3" w14:paraId="57430D9D" w14:textId="54488823">
      <w:pPr>
        <w:pStyle w:val="JuPara"/>
      </w:pPr>
      <w:r>
        <w:fldChar w:fldCharType="begin"/>
      </w:r>
      <w:r>
        <w:instrText xml:space="preserve"> SEQ level0 \*arabic \* MERGEFORMAT </w:instrText>
      </w:r>
      <w:r>
        <w:fldChar w:fldCharType="separate"/>
      </w:r>
      <w:r w:rsidRPr="000E31B3" w:rsidR="000E31B3">
        <w:rPr>
          <w:noProof/>
        </w:rPr>
        <w:t>12</w:t>
      </w:r>
      <w:r w:rsidRPr="000E31B3" w:rsidR="000E31B3">
        <w:rPr>
          <w:noProof/>
        </w:rPr>
        <w:fldChar w:fldCharType="end"/>
      </w:r>
      <w:r w:rsidRPr="000E31B3">
        <w:t>.  Le requérant conteste les arguments du Gouvernement.</w:t>
      </w:r>
    </w:p>
    <w:bookmarkStart w:name="P13" w:id="0"/>
    <w:p w:rsidRPr="000E31B3" w:rsidR="00FB0460" w:rsidP="000E31B3" w14:paraId="426E2D95" w14:textId="5DBF59EE">
      <w:pPr>
        <w:pStyle w:val="JuPara"/>
      </w:pPr>
      <w:r w:rsidRPr="000E31B3">
        <w:fldChar w:fldCharType="begin"/>
      </w:r>
      <w:r w:rsidRPr="000E31B3">
        <w:instrText xml:space="preserve"> SEQ level0 \*arabic \* MERGEFORMAT </w:instrText>
      </w:r>
      <w:r w:rsidRPr="000E31B3">
        <w:fldChar w:fldCharType="separate"/>
      </w:r>
      <w:r w:rsidRPr="000E31B3" w:rsidR="000E31B3">
        <w:rPr>
          <w:noProof/>
        </w:rPr>
        <w:t>13</w:t>
      </w:r>
      <w:r w:rsidRPr="000E31B3">
        <w:fldChar w:fldCharType="end"/>
      </w:r>
      <w:bookmarkEnd w:id="0"/>
      <w:r w:rsidRPr="000E31B3">
        <w:t>.  Les principes généraux applicables dans ce type d</w:t>
      </w:r>
      <w:r w:rsidRPr="000E31B3" w:rsidR="000E31B3">
        <w:t>’</w:t>
      </w:r>
      <w:r w:rsidRPr="000E31B3">
        <w:t xml:space="preserve">affaires ont été exposés dans de nombreux arrêts (voir, par exemple, </w:t>
      </w:r>
      <w:r w:rsidRPr="000E31B3">
        <w:rPr>
          <w:i/>
          <w:iCs/>
        </w:rPr>
        <w:t>Kreuz c. Pologne</w:t>
      </w:r>
      <w:r w:rsidRPr="000E31B3">
        <w:t xml:space="preserve"> </w:t>
      </w:r>
      <w:r w:rsidRPr="000E31B3">
        <w:rPr>
          <w:i/>
          <w:iCs/>
        </w:rPr>
        <w:t>(n</w:t>
      </w:r>
      <w:r w:rsidRPr="000E31B3">
        <w:rPr>
          <w:i/>
          <w:iCs/>
          <w:vertAlign w:val="superscript"/>
        </w:rPr>
        <w:t>o</w:t>
      </w:r>
      <w:r w:rsidRPr="000E31B3">
        <w:rPr>
          <w:i/>
          <w:iCs/>
        </w:rPr>
        <w:t xml:space="preserve"> 1)</w:t>
      </w:r>
      <w:r w:rsidRPr="000E31B3">
        <w:t>, n</w:t>
      </w:r>
      <w:r w:rsidRPr="000E31B3">
        <w:rPr>
          <w:vertAlign w:val="superscript"/>
        </w:rPr>
        <w:t>o</w:t>
      </w:r>
      <w:r w:rsidRPr="000E31B3">
        <w:t xml:space="preserve"> 28249/95, CEDH 2001-VI, </w:t>
      </w:r>
      <w:r w:rsidRPr="000E31B3">
        <w:rPr>
          <w:i/>
          <w:iCs/>
        </w:rPr>
        <w:t>Nieruchomo</w:t>
      </w:r>
      <w:r w:rsidRPr="000E31B3">
        <w:rPr>
          <w:rFonts w:cstheme="minorHAnsi"/>
          <w:i/>
          <w:iCs/>
        </w:rPr>
        <w:t>ś</w:t>
      </w:r>
      <w:r w:rsidRPr="000E31B3">
        <w:rPr>
          <w:i/>
          <w:iCs/>
        </w:rPr>
        <w:t>ci</w:t>
      </w:r>
      <w:r w:rsidRPr="000E31B3">
        <w:rPr>
          <w:i/>
          <w:iCs/>
        </w:rPr>
        <w:t xml:space="preserve"> </w:t>
      </w:r>
      <w:r w:rsidRPr="000E31B3">
        <w:rPr>
          <w:i/>
          <w:iCs/>
        </w:rPr>
        <w:t>sp</w:t>
      </w:r>
      <w:r w:rsidRPr="000E31B3">
        <w:rPr>
          <w:i/>
          <w:iCs/>
        </w:rPr>
        <w:t xml:space="preserve">. </w:t>
      </w:r>
      <w:r w:rsidRPr="000E31B3">
        <w:rPr>
          <w:i/>
          <w:iCs/>
        </w:rPr>
        <w:t>z</w:t>
      </w:r>
      <w:r w:rsidRPr="000E31B3">
        <w:rPr>
          <w:i/>
          <w:iCs/>
        </w:rPr>
        <w:t xml:space="preserve"> </w:t>
      </w:r>
      <w:r w:rsidRPr="000E31B3">
        <w:rPr>
          <w:i/>
          <w:iCs/>
        </w:rPr>
        <w:t>o.o</w:t>
      </w:r>
      <w:r w:rsidRPr="000E31B3">
        <w:rPr>
          <w:i/>
          <w:iCs/>
        </w:rPr>
        <w:t>. c. Pologne</w:t>
      </w:r>
      <w:r w:rsidRPr="000E31B3">
        <w:t>, n</w:t>
      </w:r>
      <w:r w:rsidRPr="000E31B3">
        <w:rPr>
          <w:vertAlign w:val="superscript"/>
        </w:rPr>
        <w:t>o</w:t>
      </w:r>
      <w:r w:rsidRPr="000E31B3">
        <w:t xml:space="preserve"> 32740/06, § 29, 2 février 2010, et </w:t>
      </w:r>
      <w:r w:rsidRPr="000E31B3">
        <w:rPr>
          <w:i/>
          <w:iCs/>
        </w:rPr>
        <w:t>Elcomp</w:t>
      </w:r>
      <w:r w:rsidRPr="000E31B3">
        <w:rPr>
          <w:i/>
          <w:iCs/>
        </w:rPr>
        <w:t xml:space="preserve"> </w:t>
      </w:r>
      <w:r w:rsidRPr="000E31B3">
        <w:rPr>
          <w:i/>
          <w:iCs/>
        </w:rPr>
        <w:t>sp</w:t>
      </w:r>
      <w:r w:rsidRPr="000E31B3">
        <w:rPr>
          <w:i/>
          <w:iCs/>
        </w:rPr>
        <w:t xml:space="preserve">. </w:t>
      </w:r>
      <w:r w:rsidRPr="000E31B3">
        <w:rPr>
          <w:i/>
          <w:iCs/>
        </w:rPr>
        <w:t>z</w:t>
      </w:r>
      <w:r w:rsidRPr="000E31B3">
        <w:rPr>
          <w:i/>
          <w:iCs/>
        </w:rPr>
        <w:t xml:space="preserve"> </w:t>
      </w:r>
      <w:r w:rsidRPr="000E31B3">
        <w:rPr>
          <w:i/>
          <w:iCs/>
        </w:rPr>
        <w:t>o.o</w:t>
      </w:r>
      <w:r w:rsidRPr="000E31B3">
        <w:rPr>
          <w:i/>
          <w:iCs/>
        </w:rPr>
        <w:t>. c. Pologne</w:t>
      </w:r>
      <w:r w:rsidRPr="000E31B3">
        <w:t>, n</w:t>
      </w:r>
      <w:r w:rsidRPr="000E31B3">
        <w:rPr>
          <w:vertAlign w:val="superscript"/>
        </w:rPr>
        <w:t>o</w:t>
      </w:r>
      <w:r w:rsidRPr="000E31B3">
        <w:t> 37492/05, § 42, 19 avril 2011).</w:t>
      </w:r>
    </w:p>
    <w:p w:rsidRPr="000E31B3" w:rsidR="00FB0460" w:rsidP="000E31B3" w14:paraId="17D77609" w14:textId="2E596B32">
      <w:pPr>
        <w:pStyle w:val="JuPara"/>
      </w:pPr>
      <w:r>
        <w:fldChar w:fldCharType="begin"/>
      </w:r>
      <w:r>
        <w:instrText xml:space="preserve"> SEQ level0 \*arabic \* MERGEFORMAT </w:instrText>
      </w:r>
      <w:r>
        <w:fldChar w:fldCharType="separate"/>
      </w:r>
      <w:r w:rsidRPr="000E31B3" w:rsidR="000E31B3">
        <w:rPr>
          <w:noProof/>
        </w:rPr>
        <w:t>14</w:t>
      </w:r>
      <w:r w:rsidRPr="000E31B3" w:rsidR="000E31B3">
        <w:rPr>
          <w:noProof/>
        </w:rPr>
        <w:fldChar w:fldCharType="end"/>
      </w:r>
      <w:r w:rsidRPr="000E31B3">
        <w:t>.  En l</w:t>
      </w:r>
      <w:r w:rsidRPr="000E31B3" w:rsidR="000E31B3">
        <w:t>’</w:t>
      </w:r>
      <w:r w:rsidRPr="000E31B3">
        <w:t>espèce, la Cour relève que la demande tendant à l</w:t>
      </w:r>
      <w:r w:rsidRPr="000E31B3" w:rsidR="000E31B3">
        <w:t>’</w:t>
      </w:r>
      <w:r w:rsidRPr="000E31B3">
        <w:t>indemnisation du préjudice que le requérant affirmait avoir subi en raison d</w:t>
      </w:r>
      <w:r w:rsidRPr="000E31B3" w:rsidR="000E31B3">
        <w:t>’</w:t>
      </w:r>
      <w:r w:rsidRPr="000E31B3">
        <w:t>une absence de prise en charge médicale adéquate en milieu carcéral a été renvoyée à l</w:t>
      </w:r>
      <w:r w:rsidRPr="000E31B3" w:rsidR="000E31B3">
        <w:t>’</w:t>
      </w:r>
      <w:r w:rsidRPr="000E31B3">
        <w:t>intéressé, au motif que les frais exigés pour le dépôt de ce recours n</w:t>
      </w:r>
      <w:r w:rsidRPr="000E31B3" w:rsidR="000E31B3">
        <w:t>’</w:t>
      </w:r>
      <w:r w:rsidRPr="000E31B3">
        <w:t>avaient pas été acquittés. Elle observe que le montant de ceux-ci correspondait à un pourcentage de la somme de 120 000 PLN réclamée par l</w:t>
      </w:r>
      <w:r w:rsidRPr="000E31B3" w:rsidR="000E31B3">
        <w:t>’</w:t>
      </w:r>
      <w:r w:rsidRPr="000E31B3">
        <w:t>intéressé dans sa demande. Elle note que le requérant a été exonéré par les juridictions internes du paiement des frais afférents à sa demande pour la part excédant 600 PLN.</w:t>
      </w:r>
    </w:p>
    <w:p w:rsidRPr="000E31B3" w:rsidR="00FB0460" w:rsidP="000E31B3" w14:paraId="3FD806FE" w14:textId="5A32EC71">
      <w:pPr>
        <w:pStyle w:val="JuPara"/>
      </w:pPr>
      <w:r>
        <w:fldChar w:fldCharType="begin"/>
      </w:r>
      <w:r>
        <w:instrText xml:space="preserve"> SEQ level0 \*arabic \* MERGEFORMAT </w:instrText>
      </w:r>
      <w:r>
        <w:fldChar w:fldCharType="separate"/>
      </w:r>
      <w:r w:rsidRPr="000E31B3" w:rsidR="000E31B3">
        <w:rPr>
          <w:noProof/>
        </w:rPr>
        <w:t>15</w:t>
      </w:r>
      <w:r w:rsidRPr="000E31B3" w:rsidR="000E31B3">
        <w:rPr>
          <w:noProof/>
        </w:rPr>
        <w:fldChar w:fldCharType="end"/>
      </w:r>
      <w:r w:rsidRPr="000E31B3">
        <w:t>.  La Cour observe qu</w:t>
      </w:r>
      <w:r w:rsidRPr="000E31B3" w:rsidR="000E31B3">
        <w:t>’</w:t>
      </w:r>
      <w:r w:rsidRPr="000E31B3">
        <w:t>en conséquence des décisions des juridictions nationales, le requérant a dû se désister de sa demande et sa cause n</w:t>
      </w:r>
      <w:r w:rsidRPr="000E31B3" w:rsidR="000E31B3">
        <w:t>’</w:t>
      </w:r>
      <w:r w:rsidRPr="000E31B3">
        <w:t>a pu être examinée par un tribunal.</w:t>
      </w:r>
    </w:p>
    <w:p w:rsidRPr="000E31B3" w:rsidR="00FB0460" w:rsidP="000E31B3" w14:paraId="5D91224D" w14:textId="4BD220B5">
      <w:pPr>
        <w:pStyle w:val="JuPara"/>
      </w:pPr>
      <w:r>
        <w:fldChar w:fldCharType="begin"/>
      </w:r>
      <w:r>
        <w:instrText xml:space="preserve"> SEQ level0 \*arabic \* MERGEFORMAT </w:instrText>
      </w:r>
      <w:r>
        <w:fldChar w:fldCharType="separate"/>
      </w:r>
      <w:r w:rsidRPr="000E31B3" w:rsidR="000E31B3">
        <w:rPr>
          <w:noProof/>
        </w:rPr>
        <w:t>16</w:t>
      </w:r>
      <w:r w:rsidRPr="000E31B3" w:rsidR="000E31B3">
        <w:rPr>
          <w:noProof/>
        </w:rPr>
        <w:fldChar w:fldCharType="end"/>
      </w:r>
      <w:r w:rsidRPr="000E31B3">
        <w:t>.  Elle note qu</w:t>
      </w:r>
      <w:r w:rsidRPr="000E31B3" w:rsidR="000E31B3">
        <w:t>’</w:t>
      </w:r>
      <w:r w:rsidRPr="000E31B3">
        <w:t>il ne ressort pas des motifs desdites décisions que la demande d</w:t>
      </w:r>
      <w:r w:rsidRPr="000E31B3" w:rsidR="000E31B3">
        <w:t>’</w:t>
      </w:r>
      <w:r w:rsidRPr="000E31B3">
        <w:t>indemnisation formulée par le requérant ait été farfelue ou manifestement vouée à l</w:t>
      </w:r>
      <w:r w:rsidRPr="000E31B3" w:rsidR="000E31B3">
        <w:t>’</w:t>
      </w:r>
      <w:r w:rsidRPr="000E31B3">
        <w:t>échec. Elle observe que la procédure engagée par l</w:t>
      </w:r>
      <w:r w:rsidRPr="000E31B3" w:rsidR="000E31B3">
        <w:t>’</w:t>
      </w:r>
      <w:r w:rsidRPr="000E31B3">
        <w:t>intéressé visait à l</w:t>
      </w:r>
      <w:r w:rsidRPr="000E31B3" w:rsidR="000E31B3">
        <w:t>’</w:t>
      </w:r>
      <w:r w:rsidRPr="000E31B3">
        <w:t>obtention d</w:t>
      </w:r>
      <w:r w:rsidRPr="000E31B3" w:rsidR="000E31B3">
        <w:t>’</w:t>
      </w:r>
      <w:r w:rsidRPr="000E31B3">
        <w:t>une indemnisation du préjudice qu</w:t>
      </w:r>
      <w:r w:rsidRPr="000E31B3" w:rsidR="000E31B3">
        <w:t>’</w:t>
      </w:r>
      <w:r w:rsidRPr="000E31B3">
        <w:t>il disait avoir subi en raison d</w:t>
      </w:r>
      <w:r w:rsidRPr="000E31B3" w:rsidR="000E31B3">
        <w:t>’</w:t>
      </w:r>
      <w:r w:rsidRPr="000E31B3">
        <w:t>un manquement qu</w:t>
      </w:r>
      <w:r w:rsidRPr="000E31B3" w:rsidR="000E31B3">
        <w:t>’</w:t>
      </w:r>
      <w:r w:rsidRPr="000E31B3">
        <w:t>il reprochait au service de santé d</w:t>
      </w:r>
      <w:r w:rsidRPr="000E31B3" w:rsidR="000E31B3">
        <w:t>’</w:t>
      </w:r>
      <w:r w:rsidRPr="000E31B3">
        <w:t>une maison d</w:t>
      </w:r>
      <w:r w:rsidRPr="000E31B3" w:rsidR="000E31B3">
        <w:t>’</w:t>
      </w:r>
      <w:r w:rsidRPr="000E31B3">
        <w:t>arrêt, lequel ne lui aurait pas fourni le dispositif médical que son état de santé exigeait.</w:t>
      </w:r>
    </w:p>
    <w:p w:rsidRPr="000E31B3" w:rsidR="00FB0460" w:rsidP="000E31B3" w14:paraId="23DDD09F" w14:textId="7D0D42A0">
      <w:pPr>
        <w:pStyle w:val="JuPara"/>
      </w:pPr>
      <w:r>
        <w:fldChar w:fldCharType="begin"/>
      </w:r>
      <w:r>
        <w:instrText xml:space="preserve"> SEQ level0 \*arabic \* MERGEFORMAT </w:instrText>
      </w:r>
      <w:r>
        <w:fldChar w:fldCharType="separate"/>
      </w:r>
      <w:r w:rsidRPr="000E31B3" w:rsidR="000E31B3">
        <w:rPr>
          <w:noProof/>
        </w:rPr>
        <w:t>17</w:t>
      </w:r>
      <w:r w:rsidRPr="000E31B3" w:rsidR="000E31B3">
        <w:rPr>
          <w:noProof/>
        </w:rPr>
        <w:fldChar w:fldCharType="end"/>
      </w:r>
      <w:r w:rsidRPr="000E31B3">
        <w:t>.  La Cour relève que les juridictions nationales ont estimé que le requérant pouvait payer 600 PLN pour le dépôt de sa demande. Or, il ressort des motifs des décisions incriminées qu</w:t>
      </w:r>
      <w:r w:rsidRPr="000E31B3" w:rsidR="000E31B3">
        <w:t>’</w:t>
      </w:r>
      <w:r w:rsidRPr="000E31B3">
        <w:t>à l</w:t>
      </w:r>
      <w:r w:rsidRPr="000E31B3" w:rsidR="000E31B3">
        <w:t>’</w:t>
      </w:r>
      <w:r w:rsidRPr="000E31B3">
        <w:t>époque des faits, l</w:t>
      </w:r>
      <w:r w:rsidRPr="000E31B3" w:rsidR="000E31B3">
        <w:t>’</w:t>
      </w:r>
      <w:r w:rsidRPr="000E31B3">
        <w:t>intéressé ne disposait que de 75 PLN, soit une somme environ huit fois inférieure au montant des frais exigé de lui. Les décisions en question indiquent en outre que le requérant n</w:t>
      </w:r>
      <w:r w:rsidRPr="000E31B3" w:rsidR="000E31B3">
        <w:t>’</w:t>
      </w:r>
      <w:r w:rsidRPr="000E31B3">
        <w:t>exerçait alors aucun emploi à la maison d</w:t>
      </w:r>
      <w:r w:rsidRPr="000E31B3" w:rsidR="000E31B3">
        <w:t>’</w:t>
      </w:r>
      <w:r w:rsidRPr="000E31B3">
        <w:t>arrêt dans laquelle il était incarcéré, et qu</w:t>
      </w:r>
      <w:r w:rsidRPr="000E31B3" w:rsidR="000E31B3">
        <w:t>’</w:t>
      </w:r>
      <w:r w:rsidRPr="000E31B3">
        <w:t>il n</w:t>
      </w:r>
      <w:r w:rsidRPr="000E31B3" w:rsidR="000E31B3">
        <w:t>’</w:t>
      </w:r>
      <w:r w:rsidRPr="000E31B3">
        <w:t>avait pas de ressources régulières, à l</w:t>
      </w:r>
      <w:r w:rsidRPr="000E31B3" w:rsidR="000E31B3">
        <w:t>’</w:t>
      </w:r>
      <w:r w:rsidRPr="000E31B3">
        <w:t>exception d</w:t>
      </w:r>
      <w:r w:rsidRPr="000E31B3" w:rsidR="000E31B3">
        <w:t>’</w:t>
      </w:r>
      <w:r w:rsidRPr="000E31B3">
        <w:t>une aide fournie occasionnellement par ses proches. Elle considère que l</w:t>
      </w:r>
      <w:r w:rsidRPr="000E31B3" w:rsidR="000E31B3">
        <w:t>’</w:t>
      </w:r>
      <w:r w:rsidRPr="000E31B3">
        <w:t>intéressé se trouvait, à n</w:t>
      </w:r>
      <w:r w:rsidRPr="000E31B3" w:rsidR="000E31B3">
        <w:t>’</w:t>
      </w:r>
      <w:r w:rsidRPr="000E31B3">
        <w:t>en pas douter, en situation d</w:t>
      </w:r>
      <w:r w:rsidRPr="000E31B3" w:rsidR="000E31B3">
        <w:t>’</w:t>
      </w:r>
      <w:r w:rsidRPr="000E31B3">
        <w:t>indigence.</w:t>
      </w:r>
    </w:p>
    <w:p w:rsidRPr="000E31B3" w:rsidR="00FB0460" w:rsidP="000E31B3" w14:paraId="0F9925C7" w14:textId="02A6336E">
      <w:pPr>
        <w:pStyle w:val="JuPara"/>
      </w:pPr>
      <w:r>
        <w:fldChar w:fldCharType="begin"/>
      </w:r>
      <w:r>
        <w:instrText xml:space="preserve"> SEQ level0 \*arabic \* MERGEFORMAT </w:instrText>
      </w:r>
      <w:r>
        <w:fldChar w:fldCharType="separate"/>
      </w:r>
      <w:r w:rsidRPr="000E31B3" w:rsidR="000E31B3">
        <w:rPr>
          <w:noProof/>
        </w:rPr>
        <w:t>18</w:t>
      </w:r>
      <w:r w:rsidRPr="000E31B3" w:rsidR="000E31B3">
        <w:rPr>
          <w:noProof/>
        </w:rPr>
        <w:fldChar w:fldCharType="end"/>
      </w:r>
      <w:r w:rsidRPr="000E31B3">
        <w:t>.  La Cour observe que les juridictions nationales ont estimé que, dès lors que le requérant avait reçu de ses proches, quelques mois auparavant, la somme de 1 250 PLN, il était en mesure de réunir au préalable les fonds nécessaires pour payer les frais de procédure. Sur ce point, elle est d</w:t>
      </w:r>
      <w:r w:rsidRPr="000E31B3" w:rsidR="000E31B3">
        <w:t>’</w:t>
      </w:r>
      <w:r w:rsidRPr="000E31B3">
        <w:t>avis que lesdites juridictions – qui ont considéré que le requérant aurait dû économiser une somme d</w:t>
      </w:r>
      <w:r w:rsidRPr="000E31B3" w:rsidR="000E31B3">
        <w:t>’</w:t>
      </w:r>
      <w:r w:rsidRPr="000E31B3">
        <w:t>argent à cette fin – se sont livrées à des hypothèses qui n</w:t>
      </w:r>
      <w:r w:rsidRPr="000E31B3" w:rsidR="000E31B3">
        <w:t>’</w:t>
      </w:r>
      <w:r w:rsidRPr="000E31B3">
        <w:t>étaient pas véritablement corroborées par les éléments factuels que l</w:t>
      </w:r>
      <w:r w:rsidRPr="000E31B3" w:rsidR="000E31B3">
        <w:t>’</w:t>
      </w:r>
      <w:r w:rsidRPr="000E31B3">
        <w:t xml:space="preserve">intéressé leur avait présentés (voir, </w:t>
      </w:r>
      <w:r w:rsidRPr="000E31B3">
        <w:rPr>
          <w:i/>
          <w:iCs/>
        </w:rPr>
        <w:t>mutatis mutandis,</w:t>
      </w:r>
      <w:r w:rsidRPr="000E31B3">
        <w:t xml:space="preserve"> </w:t>
      </w:r>
      <w:r w:rsidRPr="000E31B3">
        <w:rPr>
          <w:i/>
          <w:iCs/>
        </w:rPr>
        <w:t>Kreuz</w:t>
      </w:r>
      <w:r w:rsidRPr="000E31B3">
        <w:t>, § 63, et</w:t>
      </w:r>
      <w:r w:rsidRPr="000E31B3">
        <w:rPr>
          <w:i/>
          <w:iCs/>
        </w:rPr>
        <w:t xml:space="preserve"> </w:t>
      </w:r>
      <w:r w:rsidRPr="000E31B3">
        <w:rPr>
          <w:i/>
          <w:iCs/>
        </w:rPr>
        <w:t>Nieruchomo</w:t>
      </w:r>
      <w:r w:rsidRPr="000E31B3">
        <w:rPr>
          <w:rFonts w:cstheme="minorHAnsi"/>
          <w:i/>
          <w:iCs/>
        </w:rPr>
        <w:t>ś</w:t>
      </w:r>
      <w:r w:rsidRPr="000E31B3">
        <w:rPr>
          <w:i/>
          <w:iCs/>
        </w:rPr>
        <w:t>ci</w:t>
      </w:r>
      <w:r w:rsidRPr="000E31B3">
        <w:t>, §</w:t>
      </w:r>
      <w:r w:rsidRPr="000E31B3" w:rsidR="00687A95">
        <w:t> </w:t>
      </w:r>
      <w:r w:rsidRPr="000E31B3">
        <w:t>35, tous deux précités). Elle note, de plus, que le requérant était adulte et que ses proches n</w:t>
      </w:r>
      <w:r w:rsidRPr="000E31B3" w:rsidR="000E31B3">
        <w:t>’</w:t>
      </w:r>
      <w:r w:rsidRPr="000E31B3">
        <w:t>étaient tenus par aucune obligation alimentaire envers lui.</w:t>
      </w:r>
    </w:p>
    <w:p w:rsidRPr="000E31B3" w:rsidR="00FB0460" w:rsidP="000E31B3" w14:paraId="014AF7BF" w14:textId="35092599">
      <w:pPr>
        <w:pStyle w:val="JuPara"/>
      </w:pPr>
      <w:r>
        <w:fldChar w:fldCharType="begin"/>
      </w:r>
      <w:r>
        <w:instrText xml:space="preserve"> SEQ level0 \*arabic \* MERGEFORMAT </w:instrText>
      </w:r>
      <w:r>
        <w:fldChar w:fldCharType="separate"/>
      </w:r>
      <w:r w:rsidRPr="000E31B3" w:rsidR="000E31B3">
        <w:rPr>
          <w:noProof/>
        </w:rPr>
        <w:t>19</w:t>
      </w:r>
      <w:r w:rsidRPr="000E31B3" w:rsidR="000E31B3">
        <w:rPr>
          <w:noProof/>
        </w:rPr>
        <w:fldChar w:fldCharType="end"/>
      </w:r>
      <w:r w:rsidRPr="000E31B3">
        <w:t>.  Dans ces circonstances, et compte tenu des éléments qui précèdent, la Cour estime que l</w:t>
      </w:r>
      <w:r w:rsidRPr="000E31B3" w:rsidR="000E31B3">
        <w:t>’</w:t>
      </w:r>
      <w:r w:rsidRPr="000E31B3">
        <w:t>obligation faite au requérant de payer 600 PLN pour le dépôt de sa demande d</w:t>
      </w:r>
      <w:r w:rsidRPr="000E31B3" w:rsidR="000E31B3">
        <w:t>’</w:t>
      </w:r>
      <w:r w:rsidRPr="000E31B3">
        <w:t>indemnisation a constitué une restriction disproportionnée à son droit d</w:t>
      </w:r>
      <w:r w:rsidRPr="000E31B3" w:rsidR="000E31B3">
        <w:t>’</w:t>
      </w:r>
      <w:r w:rsidRPr="000E31B3">
        <w:t>accès à un tribunal.</w:t>
      </w:r>
    </w:p>
    <w:p w:rsidRPr="000E31B3" w:rsidR="00FB0460" w:rsidP="000E31B3" w14:paraId="340F138F" w14:textId="4633B842">
      <w:pPr>
        <w:pStyle w:val="JuPara"/>
      </w:pPr>
      <w:r>
        <w:fldChar w:fldCharType="begin"/>
      </w:r>
      <w:r>
        <w:instrText xml:space="preserve"> SEQ level0 \*arabic \* MERGEFORMAT </w:instrText>
      </w:r>
      <w:r>
        <w:fldChar w:fldCharType="separate"/>
      </w:r>
      <w:r w:rsidRPr="000E31B3" w:rsidR="000E31B3">
        <w:rPr>
          <w:noProof/>
        </w:rPr>
        <w:t>20</w:t>
      </w:r>
      <w:r w:rsidRPr="000E31B3" w:rsidR="000E31B3">
        <w:rPr>
          <w:noProof/>
        </w:rPr>
        <w:fldChar w:fldCharType="end"/>
      </w:r>
      <w:r w:rsidRPr="000E31B3">
        <w:t>.  Partant, il y a eu violation de l</w:t>
      </w:r>
      <w:r w:rsidRPr="000E31B3" w:rsidR="000E31B3">
        <w:t>’</w:t>
      </w:r>
      <w:r w:rsidRPr="000E31B3">
        <w:t>article 6 § 1 de la Convention.</w:t>
      </w:r>
    </w:p>
    <w:p w:rsidRPr="000E31B3" w:rsidR="00FB0460" w:rsidP="000E31B3" w14:paraId="416E1F21" w14:textId="6A8846B9">
      <w:pPr>
        <w:pStyle w:val="JuHHead"/>
        <w:numPr>
          <w:ilvl w:val="0"/>
          <w:numId w:val="1"/>
        </w:numPr>
      </w:pPr>
      <w:r w:rsidRPr="000E31B3">
        <w:t>APPLICATION DE L</w:t>
      </w:r>
      <w:r w:rsidRPr="000E31B3" w:rsidR="000E31B3">
        <w:t>’</w:t>
      </w:r>
      <w:r w:rsidRPr="000E31B3">
        <w:t>ARTICLE 41 DE LA CONVENTION</w:t>
      </w:r>
    </w:p>
    <w:p w:rsidRPr="000E31B3" w:rsidR="00FB0460" w:rsidP="000E31B3" w14:paraId="38AD1396" w14:textId="06B08309">
      <w:pPr>
        <w:pStyle w:val="JuPara"/>
      </w:pPr>
      <w:r>
        <w:fldChar w:fldCharType="begin"/>
      </w:r>
      <w:r>
        <w:instrText xml:space="preserve"> SEQ level0 \*arabic \* MERGEFORMAT </w:instrText>
      </w:r>
      <w:r>
        <w:fldChar w:fldCharType="separate"/>
      </w:r>
      <w:r w:rsidRPr="000E31B3" w:rsidR="000E31B3">
        <w:rPr>
          <w:noProof/>
        </w:rPr>
        <w:t>21</w:t>
      </w:r>
      <w:r w:rsidRPr="000E31B3" w:rsidR="000E31B3">
        <w:rPr>
          <w:noProof/>
        </w:rPr>
        <w:fldChar w:fldCharType="end"/>
      </w:r>
      <w:r w:rsidRPr="000E31B3">
        <w:t>.  Le requérant demande 60 000 PLN, soit environ 15 000 EUR, au titre du dommage moral qu</w:t>
      </w:r>
      <w:r w:rsidRPr="000E31B3" w:rsidR="000E31B3">
        <w:t>’</w:t>
      </w:r>
      <w:r w:rsidRPr="000E31B3">
        <w:t>il estime avoir subi et 320 PLN, soit environ 80</w:t>
      </w:r>
      <w:r w:rsidRPr="000E31B3" w:rsidR="00687A95">
        <w:t> </w:t>
      </w:r>
      <w:r w:rsidRPr="000E31B3">
        <w:t>EUR, au titre des frais et dépens qu</w:t>
      </w:r>
      <w:r w:rsidRPr="000E31B3" w:rsidR="000E31B3">
        <w:t>’</w:t>
      </w:r>
      <w:r w:rsidRPr="000E31B3">
        <w:t>il dit avoir engagés aux fins de la procédure menée devant la Cour.</w:t>
      </w:r>
    </w:p>
    <w:p w:rsidRPr="000E31B3" w:rsidR="00FB0460" w:rsidP="000E31B3" w14:paraId="62D53483" w14:textId="6DD9C8F3">
      <w:pPr>
        <w:pStyle w:val="JuPara"/>
      </w:pPr>
      <w:r>
        <w:fldChar w:fldCharType="begin"/>
      </w:r>
      <w:r>
        <w:instrText xml:space="preserve"> SEQ level0 \*arabic \* MERGEFORMAT </w:instrText>
      </w:r>
      <w:r>
        <w:fldChar w:fldCharType="separate"/>
      </w:r>
      <w:r w:rsidRPr="000E31B3" w:rsidR="000E31B3">
        <w:rPr>
          <w:noProof/>
        </w:rPr>
        <w:t>22</w:t>
      </w:r>
      <w:r w:rsidRPr="000E31B3" w:rsidR="000E31B3">
        <w:rPr>
          <w:noProof/>
        </w:rPr>
        <w:fldChar w:fldCharType="end"/>
      </w:r>
      <w:r w:rsidRPr="000E31B3">
        <w:t>.  Le Gouvernement considère que les prétentions soumises par le requérant au titre du dommage moral sont exorbitantes et injustifiées. Il allègue en outre que l</w:t>
      </w:r>
      <w:r w:rsidRPr="000E31B3" w:rsidR="000E31B3">
        <w:t>’</w:t>
      </w:r>
      <w:r w:rsidRPr="000E31B3">
        <w:t>intéressé n</w:t>
      </w:r>
      <w:r w:rsidRPr="000E31B3" w:rsidR="000E31B3">
        <w:t>’</w:t>
      </w:r>
      <w:r w:rsidRPr="000E31B3">
        <w:t>a soumis aucun document pertinent à l</w:t>
      </w:r>
      <w:r w:rsidRPr="000E31B3" w:rsidR="000E31B3">
        <w:t>’</w:t>
      </w:r>
      <w:r w:rsidRPr="000E31B3">
        <w:t>appui de sa demande d</w:t>
      </w:r>
      <w:r w:rsidRPr="000E31B3" w:rsidR="000E31B3">
        <w:t>’</w:t>
      </w:r>
      <w:r w:rsidRPr="000E31B3">
        <w:t>octroi d</w:t>
      </w:r>
      <w:r w:rsidRPr="000E31B3" w:rsidR="000E31B3">
        <w:t>’</w:t>
      </w:r>
      <w:r w:rsidRPr="000E31B3">
        <w:t>une indemnité pour frais et dépens.</w:t>
      </w:r>
    </w:p>
    <w:p w:rsidRPr="000E31B3" w:rsidR="00FB0460" w:rsidP="000E31B3" w14:paraId="619E9613" w14:textId="5FCDB257">
      <w:pPr>
        <w:pStyle w:val="JuPara"/>
      </w:pPr>
      <w:r>
        <w:fldChar w:fldCharType="begin"/>
      </w:r>
      <w:r>
        <w:instrText xml:space="preserve"> SEQ level0 \*arabic \* MERGEFORMAT </w:instrText>
      </w:r>
      <w:r>
        <w:fldChar w:fldCharType="separate"/>
      </w:r>
      <w:r w:rsidRPr="000E31B3" w:rsidR="000E31B3">
        <w:rPr>
          <w:noProof/>
        </w:rPr>
        <w:t>23</w:t>
      </w:r>
      <w:r w:rsidRPr="000E31B3" w:rsidR="000E31B3">
        <w:rPr>
          <w:noProof/>
        </w:rPr>
        <w:fldChar w:fldCharType="end"/>
      </w:r>
      <w:r w:rsidRPr="000E31B3">
        <w:t>.  Compte tenu des documents en sa possession et de sa jurisprudence, la Cour alloue au requérant la somme de 7 800 EUR pour dommage moral, plus tout montant pouvant être dû à titre d</w:t>
      </w:r>
      <w:r w:rsidRPr="000E31B3" w:rsidR="000E31B3">
        <w:t>’</w:t>
      </w:r>
      <w:r w:rsidRPr="000E31B3">
        <w:t>impôt sur cette somme par lui, et rejette la demande formulée par l</w:t>
      </w:r>
      <w:r w:rsidRPr="000E31B3" w:rsidR="000E31B3">
        <w:t>’</w:t>
      </w:r>
      <w:r w:rsidRPr="000E31B3">
        <w:t>intéressé au titre des frais et dépens afférents à la procédure suivie devant elle.</w:t>
      </w:r>
    </w:p>
    <w:p w:rsidRPr="000E31B3" w:rsidR="00FB0460" w:rsidP="000E31B3" w14:paraId="16713F91" w14:textId="32AE4BB6">
      <w:pPr>
        <w:pStyle w:val="JuHHead"/>
        <w:numPr>
          <w:ilvl w:val="0"/>
          <w:numId w:val="1"/>
        </w:numPr>
      </w:pPr>
      <w:r w:rsidRPr="000E31B3">
        <w:t>PAR CES MOTIFS, LA COUR, À L</w:t>
      </w:r>
      <w:r w:rsidRPr="000E31B3" w:rsidR="000E31B3">
        <w:t>’</w:t>
      </w:r>
      <w:r w:rsidRPr="000E31B3">
        <w:t>UNANIMITÉ,</w:t>
      </w:r>
    </w:p>
    <w:p w:rsidRPr="000E31B3" w:rsidR="00FB0460" w:rsidP="000E31B3" w14:paraId="11A049D0" w14:textId="77777777">
      <w:pPr>
        <w:pStyle w:val="JuList"/>
        <w:numPr>
          <w:ilvl w:val="0"/>
          <w:numId w:val="18"/>
        </w:numPr>
      </w:pPr>
      <w:r w:rsidRPr="000E31B3">
        <w:rPr>
          <w:i/>
          <w:iCs/>
        </w:rPr>
        <w:t>Déclare</w:t>
      </w:r>
      <w:r w:rsidRPr="000E31B3">
        <w:t xml:space="preserve"> la requête recevable ;</w:t>
      </w:r>
    </w:p>
    <w:p w:rsidRPr="000E31B3" w:rsidR="00FB0460" w:rsidP="000E31B3" w14:paraId="4D3C6383" w14:textId="03A1C8DC">
      <w:pPr>
        <w:pStyle w:val="JuList"/>
        <w:numPr>
          <w:ilvl w:val="0"/>
          <w:numId w:val="18"/>
        </w:numPr>
      </w:pPr>
      <w:r w:rsidRPr="000E31B3">
        <w:rPr>
          <w:i/>
          <w:iCs/>
        </w:rPr>
        <w:t>Dit</w:t>
      </w:r>
      <w:r w:rsidRPr="000E31B3">
        <w:t xml:space="preserve"> qu</w:t>
      </w:r>
      <w:r w:rsidRPr="000E31B3" w:rsidR="000E31B3">
        <w:t>’</w:t>
      </w:r>
      <w:r w:rsidRPr="000E31B3">
        <w:t>il y a eu violation de l</w:t>
      </w:r>
      <w:r w:rsidRPr="000E31B3" w:rsidR="000E31B3">
        <w:t>’</w:t>
      </w:r>
      <w:r w:rsidRPr="000E31B3">
        <w:t>article 6 § 1 de la Convention ;</w:t>
      </w:r>
    </w:p>
    <w:p w:rsidRPr="000E31B3" w:rsidR="00FB0460" w:rsidP="000E31B3" w14:paraId="20C28636" w14:textId="77777777">
      <w:pPr>
        <w:pStyle w:val="JuList"/>
        <w:numPr>
          <w:ilvl w:val="0"/>
          <w:numId w:val="18"/>
        </w:numPr>
      </w:pPr>
      <w:r w:rsidRPr="000E31B3">
        <w:rPr>
          <w:i/>
          <w:iCs/>
        </w:rPr>
        <w:t>Dit</w:t>
      </w:r>
      <w:r w:rsidRPr="000E31B3">
        <w:t>,</w:t>
      </w:r>
    </w:p>
    <w:p w:rsidRPr="000E31B3" w:rsidR="00FB0460" w:rsidP="000E31B3" w14:paraId="61A3957D" w14:textId="7691ED33">
      <w:pPr>
        <w:pStyle w:val="JuLista"/>
        <w:numPr>
          <w:ilvl w:val="1"/>
          <w:numId w:val="18"/>
        </w:numPr>
      </w:pPr>
      <w:r w:rsidRPr="000E31B3">
        <w:t>que</w:t>
      </w:r>
      <w:r w:rsidRPr="000E31B3">
        <w:t xml:space="preserve"> l</w:t>
      </w:r>
      <w:r w:rsidRPr="000E31B3" w:rsidR="000E31B3">
        <w:t>’</w:t>
      </w:r>
      <w:r w:rsidRPr="000E31B3">
        <w:t>État défendeur doit verser au requérant, dans un délai de trois mois, 7 800 EUR (sept mille huit cents euros) pour dommage moral, plus tout montant pouvant être dû à titre d</w:t>
      </w:r>
      <w:r w:rsidRPr="000E31B3" w:rsidR="000E31B3">
        <w:t>’</w:t>
      </w:r>
      <w:r w:rsidRPr="000E31B3">
        <w:t>impôt sur cette somme, à convertir dans la monnaie de l</w:t>
      </w:r>
      <w:r w:rsidRPr="000E31B3" w:rsidR="000E31B3">
        <w:t>’</w:t>
      </w:r>
      <w:r w:rsidRPr="000E31B3">
        <w:t>État défendeur au taux applicable à la date du règlement :</w:t>
      </w:r>
    </w:p>
    <w:p w:rsidRPr="000E31B3" w:rsidR="00FB0460" w:rsidP="000E31B3" w14:paraId="5BAACE60" w14:textId="3DBF6BA9">
      <w:pPr>
        <w:pStyle w:val="JuLista"/>
        <w:numPr>
          <w:ilvl w:val="1"/>
          <w:numId w:val="18"/>
        </w:numPr>
      </w:pPr>
      <w:r w:rsidRPr="000E31B3">
        <w:t>qu</w:t>
      </w:r>
      <w:r w:rsidRPr="000E31B3" w:rsidR="000E31B3">
        <w:t>’</w:t>
      </w:r>
      <w:r w:rsidRPr="000E31B3">
        <w:t>à</w:t>
      </w:r>
      <w:r w:rsidRPr="000E31B3">
        <w:t xml:space="preserve"> compter de l</w:t>
      </w:r>
      <w:r w:rsidRPr="000E31B3" w:rsidR="000E31B3">
        <w:t>’</w:t>
      </w:r>
      <w:r w:rsidRPr="000E31B3">
        <w:t>expiration dudit délai et jusqu</w:t>
      </w:r>
      <w:r w:rsidRPr="000E31B3" w:rsidR="000E31B3">
        <w:t>’</w:t>
      </w:r>
      <w:r w:rsidRPr="000E31B3">
        <w:t>au versement, ce montant sera à majorer d</w:t>
      </w:r>
      <w:r w:rsidRPr="000E31B3" w:rsidR="000E31B3">
        <w:t>’</w:t>
      </w:r>
      <w:r w:rsidRPr="000E31B3">
        <w:t>un intérêt simple à un taux égal à celui de la facilité de prêt marginal de la Banque centrale européenne applicable pendant cette période, augmenté de trois points de pourcentage ;</w:t>
      </w:r>
    </w:p>
    <w:p w:rsidRPr="000E31B3" w:rsidR="00876F03" w:rsidP="000E31B3" w14:paraId="42BC1D47" w14:textId="77777777">
      <w:pPr>
        <w:pStyle w:val="JuList"/>
      </w:pPr>
      <w:r w:rsidRPr="000E31B3">
        <w:rPr>
          <w:i/>
          <w:iCs/>
        </w:rPr>
        <w:t xml:space="preserve">Rejette </w:t>
      </w:r>
      <w:r w:rsidRPr="000E31B3">
        <w:t>la demande de satisfaction équitable pour le surplus.</w:t>
      </w:r>
    </w:p>
    <w:p w:rsidRPr="000E31B3" w:rsidR="00893F30" w:rsidP="000E31B3" w14:paraId="45BC15EB" w14:textId="4636BC99">
      <w:pPr>
        <w:pStyle w:val="JuParaLast"/>
      </w:pPr>
      <w:r w:rsidRPr="000E31B3">
        <w:t xml:space="preserve">Fait en français, puis communiqué par écrit le </w:t>
      </w:r>
      <w:r w:rsidRPr="000E31B3" w:rsidR="00FB0460">
        <w:t>3 septembre 2026</w:t>
      </w:r>
      <w:r w:rsidRPr="000E31B3">
        <w:t>, en application de l</w:t>
      </w:r>
      <w:r w:rsidRPr="000E31B3" w:rsidR="000E31B3">
        <w:t>’</w:t>
      </w:r>
      <w:r w:rsidRPr="000E31B3">
        <w:t>article 77 §§ 2 et 3 du règlement.</w:t>
      </w:r>
    </w:p>
    <w:p w:rsidRPr="000E31B3" w:rsidR="00F94531" w:rsidP="000E31B3" w14:paraId="5BA1AC24" w14:textId="7BD9A665">
      <w:pPr>
        <w:pStyle w:val="ECHRPlaceholder"/>
      </w:pPr>
      <w:r w:rsidRPr="000E31B3">
        <w:tab/>
      </w:r>
    </w:p>
    <w:p w:rsidRPr="000E31B3" w:rsidR="00876F03" w:rsidP="000E31B3" w14:paraId="6455BDC3" w14:textId="3B598A09">
      <w:pPr>
        <w:pStyle w:val="JuSigned"/>
        <w:rPr>
          <w:noProof/>
        </w:rPr>
      </w:pPr>
      <w:r w:rsidRPr="000E31B3">
        <w:tab/>
      </w:r>
      <w:r w:rsidRPr="000E31B3" w:rsidR="00FB0460">
        <w:rPr>
          <w:noProof/>
        </w:rPr>
        <w:t>Liv Tigerstedt</w:t>
      </w:r>
      <w:r w:rsidRPr="000E31B3" w:rsidR="004344E6">
        <w:tab/>
      </w:r>
      <w:r w:rsidRPr="000E31B3" w:rsidR="00FB0460">
        <w:rPr>
          <w:noProof/>
        </w:rPr>
        <w:t>Davor Derenčinović</w:t>
      </w:r>
      <w:r w:rsidRPr="000E31B3" w:rsidR="004344E6">
        <w:br/>
      </w:r>
      <w:r w:rsidRPr="000E31B3" w:rsidR="004344E6">
        <w:tab/>
      </w:r>
      <w:r w:rsidRPr="000E31B3" w:rsidR="00FB0460">
        <w:rPr>
          <w:noProof/>
        </w:rPr>
        <w:t>Greffière adjointe</w:t>
      </w:r>
      <w:r w:rsidRPr="000E31B3" w:rsidR="009E0E2A">
        <w:rPr>
          <w:iCs/>
        </w:rPr>
        <w:tab/>
      </w:r>
      <w:r w:rsidRPr="000E31B3" w:rsidR="00FB0460">
        <w:rPr>
          <w:noProof/>
        </w:rPr>
        <w:t>Président</w:t>
      </w:r>
    </w:p>
    <w:p w:rsidRPr="000E31B3" w:rsidR="000E31B3" w:rsidP="000E31B3" w14:paraId="47071632" w14:textId="77777777">
      <w:pPr>
        <w:pStyle w:val="JuPara"/>
      </w:pPr>
    </w:p>
    <w:p w:rsidRPr="000E31B3" w:rsidR="00876F03" w:rsidP="000E31B3" w14:paraId="467AB2C3" w14:textId="72F1C43D"/>
    <w:sectPr>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B0460" w:rsidP="00954AD6" w14:paraId="62395503" w14:textId="03FFF744">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0460" w:rsidRPr="00150BFA" w:rsidP="0020718E" w14:paraId="36AA75CB" w14:textId="226657D8">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A046A" w:rsidRPr="00FB0460" w:rsidP="00F27D13" w14:paraId="5C6B4716" w14:textId="6BD9ED0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0460" w:rsidRPr="00150BFA" w:rsidP="0020718E" w14:paraId="13966053" w14:textId="18F72811">
    <w:pPr>
      <w:jc w:val="center"/>
    </w:pPr>
    <w:r>
      <w:rPr>
        <w:noProof/>
        <w:lang w:val="en-US"/>
      </w:rPr>
      <w:drawing>
        <wp:inline distT="0" distB="0" distL="0" distR="0">
          <wp:extent cx="771525" cy="619125"/>
          <wp:effectExtent l="0" t="0" r="9525" b="9525"/>
          <wp:docPr id="1042894546" name="Picture 10428945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945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B0460" w:rsidP="00902601" w14:paraId="4BEC4CF4" w14:textId="32F26AC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A046A" w:rsidRPr="00D01935" w:rsidP="00662882" w14:paraId="096FF4D6" w14:textId="0F1B0787">
    <w:pPr>
      <w:pStyle w:val="JuHeader"/>
    </w:pPr>
    <w:r>
      <w:fldChar w:fldCharType="begin"/>
    </w:r>
    <w:r>
      <w:instrText xml:space="preserve"> PAGE  \* MERGEFORMAT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C523C" w14:paraId="5AE7BA6C"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0460" w:rsidRPr="00A45145" w:rsidP="00A45145" w14:paraId="4CFBB147" w14:textId="554E89E3">
    <w:pPr>
      <w:jc w:val="center"/>
    </w:pPr>
    <w:r>
      <w:rPr>
        <w:noProof/>
        <w:lang w:val="en-US"/>
      </w:rPr>
      <w:drawing>
        <wp:inline distT="0" distB="0" distL="0" distR="0">
          <wp:extent cx="2962275" cy="1219200"/>
          <wp:effectExtent l="0" t="0" r="9525" b="0"/>
          <wp:docPr id="658815468" name="Picture 6588154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1546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A046A" w:rsidRPr="00FB0460" w:rsidP="009840A2" w14:paraId="23CCA400" w14:textId="1B4230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B0460" w:rsidRPr="00A45145" w:rsidP="00A45145" w14:paraId="48888F9C" w14:textId="2A1AE9D9">
    <w:pPr>
      <w:jc w:val="center"/>
    </w:pPr>
    <w:r>
      <w:rPr>
        <w:noProof/>
        <w:lang w:val="en-US"/>
      </w:rPr>
      <w:drawing>
        <wp:inline distT="0" distB="0" distL="0" distR="0">
          <wp:extent cx="2962275" cy="1219200"/>
          <wp:effectExtent l="0" t="0" r="9525" b="0"/>
          <wp:docPr id="405113947" name="Picture 4051139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1394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B0460" w:rsidP="00902601" w14:paraId="068E8DCC" w14:textId="7EF8CE9A">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A046A" w:rsidRPr="00592C8D" w:rsidP="00A21624" w14:paraId="6B5945D2" w14:textId="476CC996">
    <w:pPr>
      <w:pStyle w:val="JuHeader"/>
      <w:rPr>
        <w:lang w:val="en-US"/>
      </w:rPr>
    </w:pPr>
    <w:r w:rsidRPr="00592C8D">
      <w:rPr>
        <w:lang w:val="en-US"/>
      </w:rPr>
      <w:t>ARRÊT</w:t>
    </w:r>
    <w:r w:rsidRPr="00592C8D" w:rsidR="00256F45">
      <w:rPr>
        <w:lang w:val="en-US"/>
      </w:rPr>
      <w:t xml:space="preserve"> </w:t>
    </w:r>
    <w:r w:rsidR="00FB0460">
      <w:rPr>
        <w:lang w:val="en-US"/>
      </w:rPr>
      <w:t>BĄCLER c. POLOGNE</w:t>
    </w:r>
    <w:r w:rsidRPr="00592C8D" w:rsidR="00FB0460">
      <w:rPr>
        <w:noProof/>
        <w:lang w:val="en-US"/>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A046A" w:rsidRPr="00662882" w:rsidP="00662882" w14:paraId="3E2B5A90" w14:textId="1D055FA4">
    <w:pPr>
      <w:pStyle w:val="JuHeader"/>
    </w:pPr>
    <w:r w:rsidRPr="00592C8D">
      <w:rPr>
        <w:lang w:val="en-US"/>
      </w:rPr>
      <w:t>ARRÊT</w:t>
    </w:r>
    <w:r w:rsidRPr="00592C8D" w:rsidR="00162967">
      <w:rPr>
        <w:lang w:val="en-US"/>
      </w:rPr>
      <w:t xml:space="preserve"> </w:t>
    </w:r>
    <w:r w:rsidR="00FB0460">
      <w:rPr>
        <w:lang w:val="en-US"/>
      </w:rPr>
      <w:t>BĄCLER c. POLOGNE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319508640">
    <w:abstractNumId w:val="9"/>
  </w:num>
  <w:num w:numId="2" w16cid:durableId="2085032202">
    <w:abstractNumId w:val="13"/>
  </w:num>
  <w:num w:numId="3" w16cid:durableId="1341348131">
    <w:abstractNumId w:val="11"/>
  </w:num>
  <w:num w:numId="4" w16cid:durableId="1544362256">
    <w:abstractNumId w:val="10"/>
  </w:num>
  <w:num w:numId="5" w16cid:durableId="843934528">
    <w:abstractNumId w:val="14"/>
  </w:num>
  <w:num w:numId="6" w16cid:durableId="835338239">
    <w:abstractNumId w:val="12"/>
  </w:num>
  <w:num w:numId="7" w16cid:durableId="1639996750">
    <w:abstractNumId w:val="15"/>
  </w:num>
  <w:num w:numId="8" w16cid:durableId="1177840526">
    <w:abstractNumId w:val="16"/>
  </w:num>
  <w:num w:numId="9" w16cid:durableId="1942371482">
    <w:abstractNumId w:val="7"/>
  </w:num>
  <w:num w:numId="10" w16cid:durableId="232013791">
    <w:abstractNumId w:val="6"/>
  </w:num>
  <w:num w:numId="11" w16cid:durableId="479806278">
    <w:abstractNumId w:val="5"/>
  </w:num>
  <w:num w:numId="12" w16cid:durableId="461577706">
    <w:abstractNumId w:val="4"/>
  </w:num>
  <w:num w:numId="13" w16cid:durableId="1129207739">
    <w:abstractNumId w:val="8"/>
  </w:num>
  <w:num w:numId="14" w16cid:durableId="1815833809">
    <w:abstractNumId w:val="3"/>
  </w:num>
  <w:num w:numId="15" w16cid:durableId="1678654670">
    <w:abstractNumId w:val="2"/>
  </w:num>
  <w:num w:numId="16" w16cid:durableId="2002850002">
    <w:abstractNumId w:val="1"/>
  </w:num>
  <w:num w:numId="17" w16cid:durableId="1762331613">
    <w:abstractNumId w:val="0"/>
  </w:num>
  <w:num w:numId="18" w16cid:durableId="1488285690">
    <w:abstractNumId w:val="12"/>
    <w:lvlOverride w:ilvl="1">
      <w:lvl w:ilvl="1">
        <w:start w:val="1"/>
        <w:numFmt w:val="lowerLetter"/>
        <w:pStyle w:val="JuLista"/>
        <w:lvlText w:val="%2)"/>
        <w:lvlJc w:val="left"/>
        <w:pPr>
          <w:tabs>
            <w:tab w:val="num" w:pos="680"/>
          </w:tabs>
          <w:ind w:left="680" w:hanging="340"/>
        </w:p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60"/>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6F0C"/>
    <w:rsid w:val="000675A9"/>
    <w:rsid w:val="00080ECE"/>
    <w:rsid w:val="0008621D"/>
    <w:rsid w:val="00086E4E"/>
    <w:rsid w:val="00086E70"/>
    <w:rsid w:val="0009057B"/>
    <w:rsid w:val="000925AD"/>
    <w:rsid w:val="000A20EB"/>
    <w:rsid w:val="000A24EB"/>
    <w:rsid w:val="000B3A28"/>
    <w:rsid w:val="000B5D17"/>
    <w:rsid w:val="000B6923"/>
    <w:rsid w:val="000C5F3C"/>
    <w:rsid w:val="000C6DCC"/>
    <w:rsid w:val="000D04C2"/>
    <w:rsid w:val="000D47AA"/>
    <w:rsid w:val="000D721F"/>
    <w:rsid w:val="000E069B"/>
    <w:rsid w:val="000E0E82"/>
    <w:rsid w:val="000E1DC5"/>
    <w:rsid w:val="000E223F"/>
    <w:rsid w:val="000E31B3"/>
    <w:rsid w:val="000E4AC8"/>
    <w:rsid w:val="000E7D45"/>
    <w:rsid w:val="000F1305"/>
    <w:rsid w:val="000F19D8"/>
    <w:rsid w:val="000F7851"/>
    <w:rsid w:val="00104E23"/>
    <w:rsid w:val="00111B0C"/>
    <w:rsid w:val="00117CD2"/>
    <w:rsid w:val="00120075"/>
    <w:rsid w:val="00120D6C"/>
    <w:rsid w:val="001257EC"/>
    <w:rsid w:val="00133D33"/>
    <w:rsid w:val="00134D64"/>
    <w:rsid w:val="00135A30"/>
    <w:rsid w:val="0013612C"/>
    <w:rsid w:val="00137FF6"/>
    <w:rsid w:val="00141650"/>
    <w:rsid w:val="00150BFA"/>
    <w:rsid w:val="001625AD"/>
    <w:rsid w:val="00162967"/>
    <w:rsid w:val="00162A12"/>
    <w:rsid w:val="0016395C"/>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237"/>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E18C1"/>
    <w:rsid w:val="002F29AA"/>
    <w:rsid w:val="002F2AF7"/>
    <w:rsid w:val="002F4174"/>
    <w:rsid w:val="002F7E1C"/>
    <w:rsid w:val="00301A75"/>
    <w:rsid w:val="00302F70"/>
    <w:rsid w:val="0030336F"/>
    <w:rsid w:val="0030375E"/>
    <w:rsid w:val="0030660C"/>
    <w:rsid w:val="00312A30"/>
    <w:rsid w:val="00316323"/>
    <w:rsid w:val="00320F72"/>
    <w:rsid w:val="003244EE"/>
    <w:rsid w:val="0032463E"/>
    <w:rsid w:val="00326224"/>
    <w:rsid w:val="00337EE4"/>
    <w:rsid w:val="00340FFD"/>
    <w:rsid w:val="003471AF"/>
    <w:rsid w:val="003506B1"/>
    <w:rsid w:val="00356AC7"/>
    <w:rsid w:val="003609FA"/>
    <w:rsid w:val="00361D45"/>
    <w:rsid w:val="00367B4F"/>
    <w:rsid w:val="003710C8"/>
    <w:rsid w:val="003722CE"/>
    <w:rsid w:val="003750BE"/>
    <w:rsid w:val="00387B9D"/>
    <w:rsid w:val="00387DFB"/>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02ADA"/>
    <w:rsid w:val="0041177B"/>
    <w:rsid w:val="00414300"/>
    <w:rsid w:val="00425C67"/>
    <w:rsid w:val="00427E7A"/>
    <w:rsid w:val="00431C07"/>
    <w:rsid w:val="004344E6"/>
    <w:rsid w:val="00436C49"/>
    <w:rsid w:val="0044318F"/>
    <w:rsid w:val="00445366"/>
    <w:rsid w:val="00447F5B"/>
    <w:rsid w:val="00456549"/>
    <w:rsid w:val="004604A0"/>
    <w:rsid w:val="00461DB0"/>
    <w:rsid w:val="00463926"/>
    <w:rsid w:val="00464C9A"/>
    <w:rsid w:val="00474F3D"/>
    <w:rsid w:val="00477E3A"/>
    <w:rsid w:val="004839C4"/>
    <w:rsid w:val="00483E5F"/>
    <w:rsid w:val="00484EA4"/>
    <w:rsid w:val="00485FF9"/>
    <w:rsid w:val="004907F0"/>
    <w:rsid w:val="0049140B"/>
    <w:rsid w:val="004923A5"/>
    <w:rsid w:val="00496197"/>
    <w:rsid w:val="00496BFB"/>
    <w:rsid w:val="004A15C7"/>
    <w:rsid w:val="004A2AA9"/>
    <w:rsid w:val="004B013B"/>
    <w:rsid w:val="004B112B"/>
    <w:rsid w:val="004C01E4"/>
    <w:rsid w:val="004C086C"/>
    <w:rsid w:val="004C14C4"/>
    <w:rsid w:val="004C1A3F"/>
    <w:rsid w:val="004C1F56"/>
    <w:rsid w:val="004C27BC"/>
    <w:rsid w:val="004C5352"/>
    <w:rsid w:val="004D15F3"/>
    <w:rsid w:val="004D51C3"/>
    <w:rsid w:val="004D5311"/>
    <w:rsid w:val="004D5DCC"/>
    <w:rsid w:val="004E22F1"/>
    <w:rsid w:val="004F10AF"/>
    <w:rsid w:val="004F11A4"/>
    <w:rsid w:val="004F2389"/>
    <w:rsid w:val="004F304D"/>
    <w:rsid w:val="004F61BE"/>
    <w:rsid w:val="004F66B1"/>
    <w:rsid w:val="00510D77"/>
    <w:rsid w:val="00511C07"/>
    <w:rsid w:val="00516967"/>
    <w:rsid w:val="00516B59"/>
    <w:rsid w:val="005173A6"/>
    <w:rsid w:val="00520BAA"/>
    <w:rsid w:val="00520BC2"/>
    <w:rsid w:val="00522ABA"/>
    <w:rsid w:val="00525208"/>
    <w:rsid w:val="005257A5"/>
    <w:rsid w:val="005264C0"/>
    <w:rsid w:val="00526A8A"/>
    <w:rsid w:val="00527725"/>
    <w:rsid w:val="00531DF2"/>
    <w:rsid w:val="005442EE"/>
    <w:rsid w:val="00547353"/>
    <w:rsid w:val="005474E7"/>
    <w:rsid w:val="005512A3"/>
    <w:rsid w:val="005578CE"/>
    <w:rsid w:val="00562781"/>
    <w:rsid w:val="005631B4"/>
    <w:rsid w:val="00566D9D"/>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C5494"/>
    <w:rsid w:val="005D34F9"/>
    <w:rsid w:val="005D4190"/>
    <w:rsid w:val="005D67A3"/>
    <w:rsid w:val="005E2988"/>
    <w:rsid w:val="005E3085"/>
    <w:rsid w:val="005F51E1"/>
    <w:rsid w:val="0060717D"/>
    <w:rsid w:val="00610F7A"/>
    <w:rsid w:val="00611C80"/>
    <w:rsid w:val="00612BB6"/>
    <w:rsid w:val="00613B21"/>
    <w:rsid w:val="00620692"/>
    <w:rsid w:val="006242CA"/>
    <w:rsid w:val="00627507"/>
    <w:rsid w:val="00633717"/>
    <w:rsid w:val="006344E1"/>
    <w:rsid w:val="006361FD"/>
    <w:rsid w:val="006545C4"/>
    <w:rsid w:val="00654B7E"/>
    <w:rsid w:val="0066137C"/>
    <w:rsid w:val="00661971"/>
    <w:rsid w:val="00661CE8"/>
    <w:rsid w:val="006623D9"/>
    <w:rsid w:val="00662882"/>
    <w:rsid w:val="0066550C"/>
    <w:rsid w:val="006716F2"/>
    <w:rsid w:val="006779BD"/>
    <w:rsid w:val="00682BF2"/>
    <w:rsid w:val="00683BD2"/>
    <w:rsid w:val="006859CE"/>
    <w:rsid w:val="00687A95"/>
    <w:rsid w:val="00691270"/>
    <w:rsid w:val="00694BA8"/>
    <w:rsid w:val="006A037C"/>
    <w:rsid w:val="006A2534"/>
    <w:rsid w:val="006A36F4"/>
    <w:rsid w:val="006A406F"/>
    <w:rsid w:val="006A5D3A"/>
    <w:rsid w:val="006C23D4"/>
    <w:rsid w:val="006C475E"/>
    <w:rsid w:val="006C7BB0"/>
    <w:rsid w:val="006D3237"/>
    <w:rsid w:val="006E2E37"/>
    <w:rsid w:val="006E3CF1"/>
    <w:rsid w:val="006E7E80"/>
    <w:rsid w:val="006F158C"/>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300D"/>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1AF2"/>
    <w:rsid w:val="007E21B2"/>
    <w:rsid w:val="007E2C4E"/>
    <w:rsid w:val="007F1905"/>
    <w:rsid w:val="00801300"/>
    <w:rsid w:val="008024E5"/>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773C5"/>
    <w:rsid w:val="0088060C"/>
    <w:rsid w:val="00884261"/>
    <w:rsid w:val="00885893"/>
    <w:rsid w:val="00891107"/>
    <w:rsid w:val="00893576"/>
    <w:rsid w:val="00893E73"/>
    <w:rsid w:val="00893F30"/>
    <w:rsid w:val="00895F5B"/>
    <w:rsid w:val="008A046A"/>
    <w:rsid w:val="008B02DC"/>
    <w:rsid w:val="008B2698"/>
    <w:rsid w:val="008B57CE"/>
    <w:rsid w:val="008C26DE"/>
    <w:rsid w:val="008D093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1E57"/>
    <w:rsid w:val="009630C7"/>
    <w:rsid w:val="00972B55"/>
    <w:rsid w:val="009743B7"/>
    <w:rsid w:val="00975039"/>
    <w:rsid w:val="00977227"/>
    <w:rsid w:val="0098228B"/>
    <w:rsid w:val="009828DA"/>
    <w:rsid w:val="009840A2"/>
    <w:rsid w:val="00985BAB"/>
    <w:rsid w:val="009B1B5F"/>
    <w:rsid w:val="009B6673"/>
    <w:rsid w:val="009C191B"/>
    <w:rsid w:val="009C2BD6"/>
    <w:rsid w:val="009D0541"/>
    <w:rsid w:val="009D2F52"/>
    <w:rsid w:val="009D5ECC"/>
    <w:rsid w:val="009E0E2A"/>
    <w:rsid w:val="009E16D2"/>
    <w:rsid w:val="009E1F32"/>
    <w:rsid w:val="009E776C"/>
    <w:rsid w:val="00A00672"/>
    <w:rsid w:val="00A04D8B"/>
    <w:rsid w:val="00A065BF"/>
    <w:rsid w:val="00A132AD"/>
    <w:rsid w:val="00A1726E"/>
    <w:rsid w:val="00A204CF"/>
    <w:rsid w:val="00A21624"/>
    <w:rsid w:val="00A23D49"/>
    <w:rsid w:val="00A26556"/>
    <w:rsid w:val="00A27004"/>
    <w:rsid w:val="00A30C29"/>
    <w:rsid w:val="00A34DD6"/>
    <w:rsid w:val="00A36819"/>
    <w:rsid w:val="00A36989"/>
    <w:rsid w:val="00A43628"/>
    <w:rsid w:val="00A43AA3"/>
    <w:rsid w:val="00A45145"/>
    <w:rsid w:val="00A4783F"/>
    <w:rsid w:val="00A54192"/>
    <w:rsid w:val="00A6035E"/>
    <w:rsid w:val="00A60C9B"/>
    <w:rsid w:val="00A6144C"/>
    <w:rsid w:val="00A66617"/>
    <w:rsid w:val="00A671F8"/>
    <w:rsid w:val="00A673A4"/>
    <w:rsid w:val="00A724AE"/>
    <w:rsid w:val="00A73329"/>
    <w:rsid w:val="00A75785"/>
    <w:rsid w:val="00A8094B"/>
    <w:rsid w:val="00A82359"/>
    <w:rsid w:val="00A865D2"/>
    <w:rsid w:val="00A94C20"/>
    <w:rsid w:val="00AA227F"/>
    <w:rsid w:val="00AA3BC7"/>
    <w:rsid w:val="00AA5E4E"/>
    <w:rsid w:val="00AA754A"/>
    <w:rsid w:val="00AB099E"/>
    <w:rsid w:val="00AB4328"/>
    <w:rsid w:val="00AB5628"/>
    <w:rsid w:val="00AC00C2"/>
    <w:rsid w:val="00AC5872"/>
    <w:rsid w:val="00AD2473"/>
    <w:rsid w:val="00AE0A2E"/>
    <w:rsid w:val="00AE354C"/>
    <w:rsid w:val="00AE75DC"/>
    <w:rsid w:val="00AF4B07"/>
    <w:rsid w:val="00AF6186"/>
    <w:rsid w:val="00AF7A3A"/>
    <w:rsid w:val="00B009F4"/>
    <w:rsid w:val="00B031C3"/>
    <w:rsid w:val="00B160DB"/>
    <w:rsid w:val="00B20836"/>
    <w:rsid w:val="00B20F1A"/>
    <w:rsid w:val="00B235BB"/>
    <w:rsid w:val="00B25320"/>
    <w:rsid w:val="00B25943"/>
    <w:rsid w:val="00B25D3B"/>
    <w:rsid w:val="00B27A44"/>
    <w:rsid w:val="00B30BBF"/>
    <w:rsid w:val="00B33C03"/>
    <w:rsid w:val="00B44E56"/>
    <w:rsid w:val="00B46543"/>
    <w:rsid w:val="00B47D33"/>
    <w:rsid w:val="00B52BE0"/>
    <w:rsid w:val="00B54133"/>
    <w:rsid w:val="00B54C43"/>
    <w:rsid w:val="00B701ED"/>
    <w:rsid w:val="00B751F4"/>
    <w:rsid w:val="00B8086C"/>
    <w:rsid w:val="00B840F7"/>
    <w:rsid w:val="00B861B4"/>
    <w:rsid w:val="00B86DFE"/>
    <w:rsid w:val="00B90990"/>
    <w:rsid w:val="00B922FF"/>
    <w:rsid w:val="00B9281E"/>
    <w:rsid w:val="00B93925"/>
    <w:rsid w:val="00B95187"/>
    <w:rsid w:val="00BA2D55"/>
    <w:rsid w:val="00BA3D7F"/>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61D3B"/>
    <w:rsid w:val="00C74810"/>
    <w:rsid w:val="00C81ACF"/>
    <w:rsid w:val="00C90D68"/>
    <w:rsid w:val="00C93291"/>
    <w:rsid w:val="00C939FE"/>
    <w:rsid w:val="00CA4BDA"/>
    <w:rsid w:val="00CA7C61"/>
    <w:rsid w:val="00CB1F66"/>
    <w:rsid w:val="00CB2951"/>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10E5"/>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E79"/>
    <w:rsid w:val="00E40404"/>
    <w:rsid w:val="00E459C6"/>
    <w:rsid w:val="00E47589"/>
    <w:rsid w:val="00E64915"/>
    <w:rsid w:val="00E661D4"/>
    <w:rsid w:val="00E70091"/>
    <w:rsid w:val="00E70B20"/>
    <w:rsid w:val="00E720F5"/>
    <w:rsid w:val="00E76D47"/>
    <w:rsid w:val="00E8285F"/>
    <w:rsid w:val="00E849F7"/>
    <w:rsid w:val="00E90302"/>
    <w:rsid w:val="00E90E77"/>
    <w:rsid w:val="00E97396"/>
    <w:rsid w:val="00EA185E"/>
    <w:rsid w:val="00EA592A"/>
    <w:rsid w:val="00EB14E4"/>
    <w:rsid w:val="00EB182B"/>
    <w:rsid w:val="00EB32A5"/>
    <w:rsid w:val="00EB34ED"/>
    <w:rsid w:val="00EB4A37"/>
    <w:rsid w:val="00EB7BE0"/>
    <w:rsid w:val="00EC315E"/>
    <w:rsid w:val="00EC523C"/>
    <w:rsid w:val="00EC58D1"/>
    <w:rsid w:val="00ED077C"/>
    <w:rsid w:val="00ED1190"/>
    <w:rsid w:val="00ED6544"/>
    <w:rsid w:val="00EE0277"/>
    <w:rsid w:val="00EE3E00"/>
    <w:rsid w:val="00EE5DD2"/>
    <w:rsid w:val="00EF34CB"/>
    <w:rsid w:val="00EF6ADC"/>
    <w:rsid w:val="00EF6E2D"/>
    <w:rsid w:val="00F00A79"/>
    <w:rsid w:val="00F00E86"/>
    <w:rsid w:val="00F0318A"/>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0688"/>
    <w:rsid w:val="00FA685B"/>
    <w:rsid w:val="00FB0460"/>
    <w:rsid w:val="00FB0C01"/>
    <w:rsid w:val="00FC04E5"/>
    <w:rsid w:val="00FC18F2"/>
    <w:rsid w:val="00FC39E5"/>
    <w:rsid w:val="00FC3A78"/>
    <w:rsid w:val="00FD1005"/>
    <w:rsid w:val="00FD61AA"/>
    <w:rsid w:val="00FD6C75"/>
    <w:rsid w:val="00FD7649"/>
    <w:rsid w:val="00FE71B3"/>
    <w:rsid w:val="00FF1C45"/>
    <w:rsid w:val="00FF42C5"/>
    <w:rsid w:val="00FF5ADE"/>
  </w:rsids>
  <w:docVars>
    <w:docVar w:name="ApplicationsApp" w:val="1"/>
    <w:docVar w:name="AppNatAutre" w:val="0"/>
    <w:docVar w:name="DocVarPREMATURE" w:val="0"/>
    <w:docVar w:name="EMM" w:val="0"/>
    <w:docVar w:name="ETRANSMISSION" w:val="PAR VOIE ÈLECTRONIQUE UNIQUEMENT"/>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4A617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EF6ADC"/>
    <w:rPr>
      <w:sz w:val="24"/>
      <w:szCs w:val="24"/>
      <w:lang w:val="fr-FR"/>
    </w:rPr>
  </w:style>
  <w:style w:type="paragraph" w:styleId="Heading1">
    <w:name w:val="heading 1"/>
    <w:basedOn w:val="Normal"/>
    <w:next w:val="Normal"/>
    <w:link w:val="Heading1Char"/>
    <w:uiPriority w:val="98"/>
    <w:semiHidden/>
    <w:rsid w:val="00EF6AD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F6AD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F6AD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F6AD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F6AD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F6AD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F6AD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F6AD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F6AD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F6ADC"/>
    <w:rPr>
      <w:rFonts w:ascii="Tahoma" w:hAnsi="Tahoma" w:cs="Tahoma"/>
      <w:sz w:val="16"/>
      <w:szCs w:val="16"/>
    </w:rPr>
  </w:style>
  <w:style w:type="character" w:customStyle="1" w:styleId="BalloonTextChar">
    <w:name w:val="Balloon Text Char"/>
    <w:basedOn w:val="DefaultParagraphFont"/>
    <w:link w:val="BalloonText"/>
    <w:uiPriority w:val="98"/>
    <w:semiHidden/>
    <w:rsid w:val="00EF6ADC"/>
    <w:rPr>
      <w:rFonts w:ascii="Tahoma" w:hAnsi="Tahoma" w:cs="Tahoma"/>
      <w:sz w:val="16"/>
      <w:szCs w:val="16"/>
      <w:lang w:val="fr-FR"/>
    </w:rPr>
  </w:style>
  <w:style w:type="character" w:styleId="BookTitle">
    <w:name w:val="Book Title"/>
    <w:uiPriority w:val="98"/>
    <w:semiHidden/>
    <w:qFormat/>
    <w:rsid w:val="00EF6ADC"/>
    <w:rPr>
      <w:i/>
      <w:iCs/>
      <w:smallCaps/>
      <w:spacing w:val="5"/>
    </w:rPr>
  </w:style>
  <w:style w:type="paragraph" w:customStyle="1" w:styleId="JuHeader">
    <w:name w:val="Ju_Header"/>
    <w:aliases w:val="_Header"/>
    <w:basedOn w:val="Header0"/>
    <w:uiPriority w:val="29"/>
    <w:qFormat/>
    <w:rsid w:val="00EF6ADC"/>
    <w:pPr>
      <w:tabs>
        <w:tab w:val="clear" w:pos="4536"/>
        <w:tab w:val="clear" w:pos="9072"/>
      </w:tabs>
      <w:jc w:val="center"/>
    </w:pPr>
    <w:rPr>
      <w:sz w:val="18"/>
    </w:rPr>
  </w:style>
  <w:style w:type="table" w:styleId="GridTable1Light">
    <w:name w:val="Grid Table 1 Light"/>
    <w:basedOn w:val="TableNormal"/>
    <w:uiPriority w:val="46"/>
    <w:semiHidden/>
    <w:rsid w:val="00EC523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uiPriority w:val="98"/>
    <w:semiHidden/>
    <w:qFormat/>
    <w:rsid w:val="00EF6ADC"/>
    <w:rPr>
      <w:b/>
      <w:bCs/>
    </w:rPr>
  </w:style>
  <w:style w:type="paragraph" w:styleId="NoSpacing">
    <w:name w:val="No Spacing"/>
    <w:basedOn w:val="Normal"/>
    <w:link w:val="NoSpacingChar"/>
    <w:uiPriority w:val="98"/>
    <w:semiHidden/>
    <w:qFormat/>
    <w:rsid w:val="00EF6ADC"/>
  </w:style>
  <w:style w:type="character" w:customStyle="1" w:styleId="NoSpacingChar">
    <w:name w:val="No Spacing Char"/>
    <w:basedOn w:val="DefaultParagraphFont"/>
    <w:link w:val="NoSpacing"/>
    <w:uiPriority w:val="98"/>
    <w:semiHidden/>
    <w:rsid w:val="00EF6ADC"/>
    <w:rPr>
      <w:sz w:val="24"/>
      <w:szCs w:val="24"/>
      <w:lang w:val="fr-FR"/>
    </w:rPr>
  </w:style>
  <w:style w:type="paragraph" w:customStyle="1" w:styleId="JuQuot">
    <w:name w:val="Ju_Quot"/>
    <w:aliases w:val="_Quote"/>
    <w:basedOn w:val="NormalJustified"/>
    <w:uiPriority w:val="20"/>
    <w:qFormat/>
    <w:rsid w:val="00EF6ADC"/>
    <w:pPr>
      <w:spacing w:before="120" w:after="120"/>
      <w:ind w:left="425" w:firstLine="142"/>
    </w:pPr>
    <w:rPr>
      <w:sz w:val="20"/>
    </w:rPr>
  </w:style>
  <w:style w:type="paragraph" w:customStyle="1" w:styleId="JuList">
    <w:name w:val="Ju_List"/>
    <w:aliases w:val="_List_1"/>
    <w:basedOn w:val="NormalJustified"/>
    <w:uiPriority w:val="23"/>
    <w:qFormat/>
    <w:rsid w:val="00EF6ADC"/>
    <w:pPr>
      <w:numPr>
        <w:numId w:val="6"/>
      </w:numPr>
      <w:spacing w:before="280" w:after="60"/>
    </w:pPr>
  </w:style>
  <w:style w:type="paragraph" w:customStyle="1" w:styleId="JuLista">
    <w:name w:val="Ju_List_a"/>
    <w:aliases w:val="_List_2"/>
    <w:basedOn w:val="NormalJustified"/>
    <w:uiPriority w:val="23"/>
    <w:rsid w:val="00EF6ADC"/>
    <w:pPr>
      <w:numPr>
        <w:ilvl w:val="1"/>
        <w:numId w:val="6"/>
      </w:numPr>
    </w:pPr>
  </w:style>
  <w:style w:type="paragraph" w:customStyle="1" w:styleId="JuListi">
    <w:name w:val="Ju_List_i"/>
    <w:aliases w:val="_List_3"/>
    <w:basedOn w:val="NormalJustified"/>
    <w:uiPriority w:val="23"/>
    <w:rsid w:val="00EF6ADC"/>
    <w:pPr>
      <w:numPr>
        <w:ilvl w:val="2"/>
        <w:numId w:val="6"/>
      </w:numPr>
    </w:pPr>
  </w:style>
  <w:style w:type="paragraph" w:customStyle="1" w:styleId="DecHTitle">
    <w:name w:val="Dec_H_Title"/>
    <w:aliases w:val="_Title_1"/>
    <w:basedOn w:val="JuPara"/>
    <w:next w:val="JuPara"/>
    <w:uiPriority w:val="38"/>
    <w:qFormat/>
    <w:rsid w:val="00EF6ADC"/>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EF6ADC"/>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EF6ADC"/>
    <w:pPr>
      <w:keepNext/>
      <w:keepLines/>
      <w:tabs>
        <w:tab w:val="right" w:pos="7938"/>
      </w:tabs>
      <w:ind w:firstLine="0"/>
      <w:jc w:val="center"/>
    </w:pPr>
    <w:rPr>
      <w:i/>
    </w:rPr>
  </w:style>
  <w:style w:type="numbering" w:customStyle="1" w:styleId="ECHRA1StyleBulletedSquare">
    <w:name w:val="ECHR_A1_Style_Bulleted_Square"/>
    <w:basedOn w:val="NoList"/>
    <w:rsid w:val="00EF6ADC"/>
    <w:pPr>
      <w:numPr>
        <w:numId w:val="5"/>
      </w:numPr>
    </w:pPr>
  </w:style>
  <w:style w:type="paragraph" w:customStyle="1" w:styleId="JuHHead">
    <w:name w:val="Ju_H_Head"/>
    <w:aliases w:val="_Head_1"/>
    <w:basedOn w:val="Heading1"/>
    <w:next w:val="JuPara"/>
    <w:uiPriority w:val="17"/>
    <w:qFormat/>
    <w:rsid w:val="00EF6ADC"/>
    <w:pPr>
      <w:keepNext/>
      <w:keepLines/>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EF6ADC"/>
    <w:pPr>
      <w:numPr>
        <w:numId w:val="6"/>
      </w:numPr>
    </w:pPr>
  </w:style>
  <w:style w:type="paragraph" w:customStyle="1" w:styleId="JuSigned">
    <w:name w:val="Ju_Signed"/>
    <w:aliases w:val="_Signature"/>
    <w:basedOn w:val="Normal"/>
    <w:next w:val="JuPara"/>
    <w:uiPriority w:val="31"/>
    <w:qFormat/>
    <w:rsid w:val="00EF6ADC"/>
    <w:pPr>
      <w:tabs>
        <w:tab w:val="center" w:pos="1418"/>
        <w:tab w:val="center" w:pos="5954"/>
      </w:tabs>
      <w:spacing w:before="720"/>
    </w:pPr>
  </w:style>
  <w:style w:type="paragraph" w:styleId="Title">
    <w:name w:val="Title"/>
    <w:basedOn w:val="Normal"/>
    <w:next w:val="Normal"/>
    <w:link w:val="TitleChar"/>
    <w:uiPriority w:val="98"/>
    <w:semiHidden/>
    <w:qFormat/>
    <w:rsid w:val="00EF6AD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F6ADC"/>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EF6ADC"/>
    <w:pPr>
      <w:numPr>
        <w:numId w:val="7"/>
      </w:numPr>
    </w:pPr>
  </w:style>
  <w:style w:type="table" w:customStyle="1" w:styleId="ECHRTable2019">
    <w:name w:val="ECHR_Table_2019"/>
    <w:basedOn w:val="TableNormal"/>
    <w:uiPriority w:val="99"/>
    <w:rsid w:val="00EF6AD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EF6AD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EF6ADC"/>
    <w:pPr>
      <w:tabs>
        <w:tab w:val="center" w:pos="6407"/>
      </w:tabs>
      <w:spacing w:before="720"/>
      <w:jc w:val="right"/>
    </w:pPr>
  </w:style>
  <w:style w:type="paragraph" w:customStyle="1" w:styleId="JuHIRoman">
    <w:name w:val="Ju_H_I_Roman"/>
    <w:aliases w:val="_Head_2"/>
    <w:basedOn w:val="Heading2"/>
    <w:next w:val="JuPara"/>
    <w:uiPriority w:val="17"/>
    <w:qFormat/>
    <w:rsid w:val="00EF6ADC"/>
    <w:pPr>
      <w:keepNext/>
      <w:keepLines/>
      <w:numPr>
        <w:ilvl w:val="1"/>
        <w:numId w:val="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F6ADC"/>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F6ADC"/>
    <w:pPr>
      <w:keepNext/>
      <w:keepLines/>
      <w:numPr>
        <w:ilvl w:val="3"/>
        <w:numId w:val="1"/>
      </w:numPr>
      <w:spacing w:before="100" w:beforeAutospacing="1" w:after="120"/>
      <w:jc w:val="both"/>
    </w:pPr>
    <w:rPr>
      <w:b w:val="0"/>
      <w:color w:val="auto"/>
      <w:sz w:val="24"/>
    </w:rPr>
  </w:style>
  <w:style w:type="paragraph" w:styleId="Header0">
    <w:name w:val="header"/>
    <w:basedOn w:val="Normal"/>
    <w:link w:val="HeaderChar"/>
    <w:uiPriority w:val="98"/>
    <w:semiHidden/>
    <w:rsid w:val="00EF6ADC"/>
    <w:pPr>
      <w:tabs>
        <w:tab w:val="center" w:pos="4536"/>
        <w:tab w:val="right" w:pos="9072"/>
      </w:tabs>
    </w:pPr>
  </w:style>
  <w:style w:type="character" w:customStyle="1" w:styleId="HeaderChar">
    <w:name w:val="Header Char"/>
    <w:basedOn w:val="DefaultParagraphFont"/>
    <w:link w:val="Header0"/>
    <w:uiPriority w:val="98"/>
    <w:semiHidden/>
    <w:rsid w:val="00EF6ADC"/>
    <w:rPr>
      <w:sz w:val="24"/>
      <w:szCs w:val="24"/>
      <w:lang w:val="fr-FR"/>
    </w:rPr>
  </w:style>
  <w:style w:type="character" w:customStyle="1" w:styleId="Heading1Char">
    <w:name w:val="Heading 1 Char"/>
    <w:basedOn w:val="DefaultParagraphFont"/>
    <w:link w:val="Heading1"/>
    <w:uiPriority w:val="98"/>
    <w:semiHidden/>
    <w:rsid w:val="00EF6ADC"/>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EF6ADC"/>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EF6ADC"/>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F6ADC"/>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EF6ADC"/>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F6ADC"/>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EF6ADC"/>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EF6ADC"/>
    <w:pPr>
      <w:keepNext/>
      <w:keepLines/>
      <w:spacing w:before="240" w:after="240"/>
      <w:ind w:firstLine="284"/>
    </w:pPr>
  </w:style>
  <w:style w:type="paragraph" w:customStyle="1" w:styleId="JuJudges">
    <w:name w:val="Ju_Judges"/>
    <w:aliases w:val="_Judges"/>
    <w:basedOn w:val="Normal"/>
    <w:uiPriority w:val="32"/>
    <w:qFormat/>
    <w:rsid w:val="00EF6ADC"/>
    <w:pPr>
      <w:tabs>
        <w:tab w:val="left" w:pos="567"/>
        <w:tab w:val="left" w:pos="1134"/>
      </w:tabs>
    </w:pPr>
  </w:style>
  <w:style w:type="character" w:customStyle="1" w:styleId="Heading4Char">
    <w:name w:val="Heading 4 Char"/>
    <w:basedOn w:val="DefaultParagraphFont"/>
    <w:link w:val="Heading4"/>
    <w:uiPriority w:val="98"/>
    <w:semiHidden/>
    <w:rsid w:val="00EF6ADC"/>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EF6ADC"/>
    <w:rPr>
      <w:vanish w:val="0"/>
      <w:color w:val="auto"/>
      <w:sz w:val="14"/>
      <w:bdr w:val="none" w:sz="0" w:space="0" w:color="auto"/>
      <w:shd w:val="clear" w:color="auto" w:fill="FFFFFF" w:themeFill="background1" w:themeFillTint="33"/>
    </w:rPr>
  </w:style>
  <w:style w:type="character" w:customStyle="1" w:styleId="Heading5Char">
    <w:name w:val="Heading 5 Char"/>
    <w:basedOn w:val="DefaultParagraphFont"/>
    <w:link w:val="Heading5"/>
    <w:uiPriority w:val="98"/>
    <w:semiHidden/>
    <w:rsid w:val="00EF6ADC"/>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EF6ADC"/>
    <w:rPr>
      <w:caps w:val="0"/>
      <w:smallCaps/>
    </w:rPr>
  </w:style>
  <w:style w:type="paragraph" w:customStyle="1" w:styleId="NormalJustified">
    <w:name w:val="Normal_Justified"/>
    <w:basedOn w:val="Normal"/>
    <w:semiHidden/>
    <w:rsid w:val="00EF6ADC"/>
    <w:pPr>
      <w:jc w:val="both"/>
    </w:pPr>
  </w:style>
  <w:style w:type="character" w:styleId="SubtleEmphasis">
    <w:name w:val="Subtle Emphasis"/>
    <w:uiPriority w:val="98"/>
    <w:semiHidden/>
    <w:qFormat/>
    <w:rsid w:val="00EF6ADC"/>
    <w:rPr>
      <w:i/>
      <w:iCs/>
    </w:rPr>
  </w:style>
  <w:style w:type="table" w:customStyle="1" w:styleId="ECHRTable">
    <w:name w:val="ECHR_Table"/>
    <w:basedOn w:val="TableNormal"/>
    <w:rsid w:val="00EF6AD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F6AD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EF6ADC"/>
    <w:rPr>
      <w:b/>
      <w:bCs/>
      <w:i/>
      <w:iCs/>
      <w:spacing w:val="10"/>
      <w:bdr w:val="none" w:sz="0" w:space="0" w:color="auto"/>
      <w:shd w:val="clear" w:color="auto" w:fill="auto"/>
    </w:rPr>
  </w:style>
  <w:style w:type="paragraph" w:styleId="Footer1">
    <w:name w:val="footer"/>
    <w:basedOn w:val="Normal"/>
    <w:link w:val="FooterChar"/>
    <w:uiPriority w:val="98"/>
    <w:semiHidden/>
    <w:rsid w:val="00EF6ADC"/>
    <w:pPr>
      <w:tabs>
        <w:tab w:val="center" w:pos="3686"/>
        <w:tab w:val="right" w:pos="7371"/>
      </w:tabs>
    </w:pPr>
  </w:style>
  <w:style w:type="character" w:customStyle="1" w:styleId="FooterChar">
    <w:name w:val="Footer Char"/>
    <w:basedOn w:val="DefaultParagraphFont"/>
    <w:link w:val="Footer1"/>
    <w:uiPriority w:val="98"/>
    <w:semiHidden/>
    <w:rsid w:val="00EF6ADC"/>
    <w:rPr>
      <w:sz w:val="24"/>
      <w:szCs w:val="24"/>
      <w:lang w:val="fr-FR"/>
    </w:rPr>
  </w:style>
  <w:style w:type="character" w:styleId="FootnoteReference">
    <w:name w:val="footnote reference"/>
    <w:basedOn w:val="DefaultParagraphFont"/>
    <w:uiPriority w:val="98"/>
    <w:semiHidden/>
    <w:rsid w:val="00EF6ADC"/>
    <w:rPr>
      <w:vertAlign w:val="superscript"/>
    </w:rPr>
  </w:style>
  <w:style w:type="paragraph" w:styleId="FootnoteText">
    <w:name w:val="footnote text"/>
    <w:basedOn w:val="NormalJustified"/>
    <w:link w:val="FootnoteTextChar"/>
    <w:uiPriority w:val="98"/>
    <w:semiHidden/>
    <w:rsid w:val="00EF6ADC"/>
    <w:rPr>
      <w:sz w:val="20"/>
      <w:szCs w:val="20"/>
    </w:rPr>
  </w:style>
  <w:style w:type="character" w:customStyle="1" w:styleId="FootnoteTextChar">
    <w:name w:val="Footnote Text Char"/>
    <w:basedOn w:val="DefaultParagraphFont"/>
    <w:link w:val="FootnoteText"/>
    <w:uiPriority w:val="98"/>
    <w:semiHidden/>
    <w:rsid w:val="00EF6ADC"/>
    <w:rPr>
      <w:sz w:val="20"/>
      <w:szCs w:val="20"/>
      <w:lang w:val="fr-FR"/>
    </w:rPr>
  </w:style>
  <w:style w:type="character" w:customStyle="1" w:styleId="Heading6Char">
    <w:name w:val="Heading 6 Char"/>
    <w:basedOn w:val="DefaultParagraphFont"/>
    <w:link w:val="Heading6"/>
    <w:uiPriority w:val="98"/>
    <w:semiHidden/>
    <w:rsid w:val="00EF6ADC"/>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EF6ADC"/>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EF6ADC"/>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EF6ADC"/>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EF6ADC"/>
    <w:rPr>
      <w:color w:val="0072BC" w:themeColor="hyperlink"/>
      <w:u w:val="single"/>
    </w:rPr>
  </w:style>
  <w:style w:type="character" w:styleId="IntenseEmphasis">
    <w:name w:val="Intense Emphasis"/>
    <w:uiPriority w:val="98"/>
    <w:semiHidden/>
    <w:qFormat/>
    <w:rsid w:val="00EF6ADC"/>
    <w:rPr>
      <w:b/>
      <w:bCs/>
    </w:rPr>
  </w:style>
  <w:style w:type="paragraph" w:styleId="IntenseQuote">
    <w:name w:val="Intense Quote"/>
    <w:basedOn w:val="Normal"/>
    <w:next w:val="Normal"/>
    <w:link w:val="IntenseQuoteChar"/>
    <w:uiPriority w:val="98"/>
    <w:semiHidden/>
    <w:qFormat/>
    <w:rsid w:val="00EF6AD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F6ADC"/>
    <w:rPr>
      <w:b/>
      <w:bCs/>
      <w:i/>
      <w:iCs/>
      <w:sz w:val="24"/>
      <w:szCs w:val="24"/>
      <w:lang w:val="fr-FR" w:bidi="en-US"/>
    </w:rPr>
  </w:style>
  <w:style w:type="character" w:styleId="IntenseReference">
    <w:name w:val="Intense Reference"/>
    <w:uiPriority w:val="98"/>
    <w:semiHidden/>
    <w:qFormat/>
    <w:rsid w:val="00EF6ADC"/>
    <w:rPr>
      <w:smallCaps/>
      <w:spacing w:val="5"/>
      <w:u w:val="single"/>
    </w:rPr>
  </w:style>
  <w:style w:type="paragraph" w:styleId="ListParagraph">
    <w:name w:val="List Paragraph"/>
    <w:basedOn w:val="Normal"/>
    <w:uiPriority w:val="98"/>
    <w:semiHidden/>
    <w:qFormat/>
    <w:rsid w:val="00EF6ADC"/>
    <w:pPr>
      <w:ind w:left="720"/>
      <w:contextualSpacing/>
    </w:pPr>
  </w:style>
  <w:style w:type="table" w:customStyle="1" w:styleId="LtrTableAddress">
    <w:name w:val="Ltr_Table_Address"/>
    <w:aliases w:val="ECHR_Ltr_Table_Address"/>
    <w:basedOn w:val="TableNormal"/>
    <w:uiPriority w:val="99"/>
    <w:rsid w:val="00EF6ADC"/>
    <w:rPr>
      <w:sz w:val="24"/>
      <w:szCs w:val="24"/>
    </w:rPr>
    <w:tblPr>
      <w:tblInd w:w="5103" w:type="dxa"/>
    </w:tblPr>
  </w:style>
  <w:style w:type="paragraph" w:styleId="Quote0">
    <w:name w:val="Quote"/>
    <w:basedOn w:val="Normal"/>
    <w:next w:val="Normal"/>
    <w:link w:val="QuoteChar"/>
    <w:uiPriority w:val="98"/>
    <w:semiHidden/>
    <w:qFormat/>
    <w:rsid w:val="00EF6ADC"/>
    <w:pPr>
      <w:spacing w:before="200"/>
      <w:ind w:left="360" w:right="360"/>
    </w:pPr>
    <w:rPr>
      <w:i/>
      <w:iCs/>
      <w:lang w:bidi="en-US"/>
    </w:rPr>
  </w:style>
  <w:style w:type="character" w:customStyle="1" w:styleId="QuoteChar">
    <w:name w:val="Quote Char"/>
    <w:basedOn w:val="DefaultParagraphFont"/>
    <w:link w:val="Quote0"/>
    <w:uiPriority w:val="98"/>
    <w:semiHidden/>
    <w:rsid w:val="00EF6ADC"/>
    <w:rPr>
      <w:i/>
      <w:iCs/>
      <w:sz w:val="24"/>
      <w:szCs w:val="24"/>
      <w:lang w:val="fr-FR" w:bidi="en-US"/>
    </w:rPr>
  </w:style>
  <w:style w:type="character" w:styleId="SubtleReference">
    <w:name w:val="Subtle Reference"/>
    <w:uiPriority w:val="98"/>
    <w:semiHidden/>
    <w:qFormat/>
    <w:rsid w:val="00EF6ADC"/>
    <w:rPr>
      <w:smallCaps/>
    </w:rPr>
  </w:style>
  <w:style w:type="table" w:styleId="TableGrid">
    <w:name w:val="Table Grid"/>
    <w:basedOn w:val="TableNormal"/>
    <w:uiPriority w:val="59"/>
    <w:semiHidden/>
    <w:rsid w:val="00EF6AD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F6AD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F6AD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F6AD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F6AD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F6AD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F6AD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F6AD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F6AD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F6AD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F6AD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F6AD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F6AD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F6AD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EF6AD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F6ADC"/>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EF6ADC"/>
    <w:pPr>
      <w:numPr>
        <w:numId w:val="2"/>
      </w:numPr>
    </w:pPr>
  </w:style>
  <w:style w:type="paragraph" w:customStyle="1" w:styleId="JuPara">
    <w:name w:val="Ju_Para"/>
    <w:aliases w:val="_Para"/>
    <w:basedOn w:val="NormalJustified"/>
    <w:link w:val="JuParaChar"/>
    <w:uiPriority w:val="4"/>
    <w:qFormat/>
    <w:rsid w:val="00EF6ADC"/>
    <w:pPr>
      <w:ind w:firstLine="284"/>
    </w:pPr>
  </w:style>
  <w:style w:type="numbering" w:styleId="1ai">
    <w:name w:val="Outline List 1"/>
    <w:basedOn w:val="NoList"/>
    <w:uiPriority w:val="99"/>
    <w:semiHidden/>
    <w:unhideWhenUsed/>
    <w:rsid w:val="00EF6ADC"/>
    <w:pPr>
      <w:numPr>
        <w:numId w:val="3"/>
      </w:numPr>
    </w:pPr>
  </w:style>
  <w:style w:type="table" w:customStyle="1" w:styleId="ECHRTableSimpleBox">
    <w:name w:val="ECHR_Table_Simple_Box"/>
    <w:basedOn w:val="TableNormal"/>
    <w:uiPriority w:val="99"/>
    <w:rsid w:val="00EF6AD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F6AD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F6ADC"/>
    <w:pPr>
      <w:numPr>
        <w:numId w:val="4"/>
      </w:numPr>
    </w:pPr>
  </w:style>
  <w:style w:type="table" w:customStyle="1" w:styleId="ECHRTableForInternalUse">
    <w:name w:val="ECHR_Table_For_Internal_Use"/>
    <w:basedOn w:val="TableNormal"/>
    <w:uiPriority w:val="99"/>
    <w:rsid w:val="00EF6AD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F6AD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F6ADC"/>
  </w:style>
  <w:style w:type="paragraph" w:styleId="BlockText">
    <w:name w:val="Block Text"/>
    <w:basedOn w:val="Normal"/>
    <w:uiPriority w:val="98"/>
    <w:semiHidden/>
    <w:rsid w:val="00EF6AD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F6AD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F6ADC"/>
    <w:pPr>
      <w:spacing w:after="120"/>
    </w:pPr>
  </w:style>
  <w:style w:type="character" w:customStyle="1" w:styleId="BodyTextChar">
    <w:name w:val="Body Text Char"/>
    <w:basedOn w:val="DefaultParagraphFont"/>
    <w:link w:val="BodyText"/>
    <w:uiPriority w:val="98"/>
    <w:semiHidden/>
    <w:rsid w:val="00EF6ADC"/>
    <w:rPr>
      <w:sz w:val="24"/>
      <w:szCs w:val="24"/>
      <w:lang w:val="fr-FR"/>
    </w:rPr>
  </w:style>
  <w:style w:type="table" w:customStyle="1" w:styleId="ECHRTableOddBanded">
    <w:name w:val="ECHR_Table_Odd_Banded"/>
    <w:basedOn w:val="TableNormal"/>
    <w:uiPriority w:val="99"/>
    <w:rsid w:val="00EF6AD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F6ADC"/>
    <w:pPr>
      <w:spacing w:after="120" w:line="480" w:lineRule="auto"/>
    </w:pPr>
  </w:style>
  <w:style w:type="table" w:customStyle="1" w:styleId="ECHRHeaderTableReduced">
    <w:name w:val="ECHR_Header_Table_Reduced"/>
    <w:basedOn w:val="TableNormal"/>
    <w:uiPriority w:val="99"/>
    <w:rsid w:val="00EF6AD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F6ADC"/>
    <w:pPr>
      <w:ind w:firstLine="284"/>
    </w:pPr>
    <w:rPr>
      <w:b/>
    </w:rPr>
  </w:style>
  <w:style w:type="character" w:styleId="PageNumber">
    <w:name w:val="page number"/>
    <w:uiPriority w:val="98"/>
    <w:semiHidden/>
    <w:rsid w:val="00EF6ADC"/>
    <w:rPr>
      <w:sz w:val="18"/>
    </w:rPr>
  </w:style>
  <w:style w:type="paragraph" w:styleId="ListBullet2">
    <w:name w:val="List Bullet 2"/>
    <w:basedOn w:val="Normal"/>
    <w:uiPriority w:val="98"/>
    <w:semiHidden/>
    <w:rsid w:val="00EF6ADC"/>
    <w:pPr>
      <w:numPr>
        <w:numId w:val="9"/>
      </w:numPr>
      <w:contextualSpacing/>
    </w:pPr>
  </w:style>
  <w:style w:type="character" w:customStyle="1" w:styleId="BodyText2Char">
    <w:name w:val="Body Text 2 Char"/>
    <w:basedOn w:val="DefaultParagraphFont"/>
    <w:link w:val="BodyText2"/>
    <w:uiPriority w:val="98"/>
    <w:semiHidden/>
    <w:rsid w:val="00EF6ADC"/>
    <w:rPr>
      <w:sz w:val="24"/>
      <w:szCs w:val="24"/>
      <w:lang w:val="fr-FR"/>
    </w:rPr>
  </w:style>
  <w:style w:type="paragraph" w:styleId="BodyText3">
    <w:name w:val="Body Text 3"/>
    <w:basedOn w:val="Normal"/>
    <w:link w:val="BodyText3Char"/>
    <w:uiPriority w:val="98"/>
    <w:semiHidden/>
    <w:rsid w:val="00EF6ADC"/>
    <w:pPr>
      <w:spacing w:after="120"/>
    </w:pPr>
    <w:rPr>
      <w:sz w:val="16"/>
      <w:szCs w:val="16"/>
    </w:rPr>
  </w:style>
  <w:style w:type="character" w:customStyle="1" w:styleId="BodyText3Char">
    <w:name w:val="Body Text 3 Char"/>
    <w:basedOn w:val="DefaultParagraphFont"/>
    <w:link w:val="BodyText3"/>
    <w:uiPriority w:val="98"/>
    <w:semiHidden/>
    <w:rsid w:val="00EF6ADC"/>
    <w:rPr>
      <w:sz w:val="16"/>
      <w:szCs w:val="16"/>
      <w:lang w:val="fr-FR"/>
    </w:rPr>
  </w:style>
  <w:style w:type="paragraph" w:styleId="BodyTextFirstIndent">
    <w:name w:val="Body Text First Indent"/>
    <w:basedOn w:val="BodyText"/>
    <w:link w:val="BodyTextFirstIndentChar"/>
    <w:uiPriority w:val="98"/>
    <w:semiHidden/>
    <w:rsid w:val="00EF6ADC"/>
    <w:pPr>
      <w:spacing w:after="0"/>
      <w:ind w:firstLine="360"/>
    </w:pPr>
  </w:style>
  <w:style w:type="character" w:customStyle="1" w:styleId="BodyTextFirstIndentChar">
    <w:name w:val="Body Text First Indent Char"/>
    <w:basedOn w:val="BodyTextChar"/>
    <w:link w:val="BodyTextFirstIndent"/>
    <w:uiPriority w:val="98"/>
    <w:semiHidden/>
    <w:rsid w:val="00EF6ADC"/>
    <w:rPr>
      <w:sz w:val="24"/>
      <w:szCs w:val="24"/>
      <w:lang w:val="fr-FR"/>
    </w:rPr>
  </w:style>
  <w:style w:type="paragraph" w:styleId="BodyTextIndent">
    <w:name w:val="Body Text Indent"/>
    <w:basedOn w:val="Normal"/>
    <w:link w:val="BodyTextIndentChar"/>
    <w:uiPriority w:val="98"/>
    <w:semiHidden/>
    <w:rsid w:val="00EF6ADC"/>
    <w:pPr>
      <w:spacing w:after="120"/>
      <w:ind w:left="283"/>
    </w:pPr>
  </w:style>
  <w:style w:type="character" w:customStyle="1" w:styleId="BodyTextIndentChar">
    <w:name w:val="Body Text Indent Char"/>
    <w:basedOn w:val="DefaultParagraphFont"/>
    <w:link w:val="BodyTextIndent"/>
    <w:uiPriority w:val="98"/>
    <w:semiHidden/>
    <w:rsid w:val="00EF6ADC"/>
    <w:rPr>
      <w:sz w:val="24"/>
      <w:szCs w:val="24"/>
      <w:lang w:val="fr-FR"/>
    </w:rPr>
  </w:style>
  <w:style w:type="paragraph" w:styleId="BodyTextFirstIndent2">
    <w:name w:val="Body Text First Indent 2"/>
    <w:basedOn w:val="BodyTextIndent"/>
    <w:link w:val="BodyTextFirstIndent2Char"/>
    <w:uiPriority w:val="98"/>
    <w:semiHidden/>
    <w:rsid w:val="00EF6ADC"/>
    <w:pPr>
      <w:spacing w:after="0"/>
      <w:ind w:left="360" w:firstLine="360"/>
    </w:pPr>
  </w:style>
  <w:style w:type="character" w:customStyle="1" w:styleId="BodyTextFirstIndent2Char">
    <w:name w:val="Body Text First Indent 2 Char"/>
    <w:basedOn w:val="BodyTextIndentChar"/>
    <w:link w:val="BodyTextFirstIndent2"/>
    <w:uiPriority w:val="98"/>
    <w:semiHidden/>
    <w:rsid w:val="00EF6ADC"/>
    <w:rPr>
      <w:sz w:val="24"/>
      <w:szCs w:val="24"/>
      <w:lang w:val="fr-FR"/>
    </w:rPr>
  </w:style>
  <w:style w:type="paragraph" w:styleId="BodyTextIndent2">
    <w:name w:val="Body Text Indent 2"/>
    <w:basedOn w:val="Normal"/>
    <w:link w:val="BodyTextIndent2Char"/>
    <w:uiPriority w:val="98"/>
    <w:semiHidden/>
    <w:rsid w:val="00EF6ADC"/>
    <w:pPr>
      <w:spacing w:after="120" w:line="480" w:lineRule="auto"/>
      <w:ind w:left="283"/>
    </w:pPr>
  </w:style>
  <w:style w:type="character" w:customStyle="1" w:styleId="BodyTextIndent2Char">
    <w:name w:val="Body Text Indent 2 Char"/>
    <w:basedOn w:val="DefaultParagraphFont"/>
    <w:link w:val="BodyTextIndent2"/>
    <w:uiPriority w:val="98"/>
    <w:semiHidden/>
    <w:rsid w:val="00EF6ADC"/>
    <w:rPr>
      <w:sz w:val="24"/>
      <w:szCs w:val="24"/>
      <w:lang w:val="fr-FR"/>
    </w:rPr>
  </w:style>
  <w:style w:type="paragraph" w:styleId="BodyTextIndent3">
    <w:name w:val="Body Text Indent 3"/>
    <w:basedOn w:val="Normal"/>
    <w:link w:val="BodyTextIndent3Char"/>
    <w:uiPriority w:val="98"/>
    <w:semiHidden/>
    <w:rsid w:val="00EF6AD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F6ADC"/>
    <w:rPr>
      <w:sz w:val="16"/>
      <w:szCs w:val="16"/>
      <w:lang w:val="fr-FR"/>
    </w:rPr>
  </w:style>
  <w:style w:type="paragraph" w:styleId="Caption">
    <w:name w:val="caption"/>
    <w:basedOn w:val="Normal"/>
    <w:next w:val="Normal"/>
    <w:uiPriority w:val="98"/>
    <w:semiHidden/>
    <w:qFormat/>
    <w:rsid w:val="00EF6ADC"/>
    <w:pPr>
      <w:spacing w:after="200"/>
    </w:pPr>
    <w:rPr>
      <w:b/>
      <w:bCs/>
      <w:color w:val="0072BC" w:themeColor="accent1"/>
      <w:sz w:val="18"/>
      <w:szCs w:val="18"/>
    </w:rPr>
  </w:style>
  <w:style w:type="paragraph" w:styleId="Closing">
    <w:name w:val="Closing"/>
    <w:basedOn w:val="Normal"/>
    <w:link w:val="ClosingChar"/>
    <w:uiPriority w:val="98"/>
    <w:semiHidden/>
    <w:rsid w:val="00EF6ADC"/>
    <w:pPr>
      <w:ind w:left="4252"/>
    </w:pPr>
  </w:style>
  <w:style w:type="character" w:customStyle="1" w:styleId="ClosingChar">
    <w:name w:val="Closing Char"/>
    <w:basedOn w:val="DefaultParagraphFont"/>
    <w:link w:val="Closing"/>
    <w:uiPriority w:val="98"/>
    <w:semiHidden/>
    <w:rsid w:val="00EF6ADC"/>
    <w:rPr>
      <w:sz w:val="24"/>
      <w:szCs w:val="24"/>
      <w:lang w:val="fr-FR"/>
    </w:rPr>
  </w:style>
  <w:style w:type="table" w:styleId="ColorfulGrid">
    <w:name w:val="Colorful Grid"/>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F6AD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F6AD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F6AD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F6AD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F6AD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F6AD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F6AD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F6AD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F6AD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F6AD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F6AD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F6AD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F6AD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F6AD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F6AD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F6ADC"/>
    <w:rPr>
      <w:sz w:val="16"/>
      <w:szCs w:val="16"/>
    </w:rPr>
  </w:style>
  <w:style w:type="paragraph" w:styleId="CommentText">
    <w:name w:val="annotation text"/>
    <w:basedOn w:val="Normal"/>
    <w:link w:val="CommentTextChar"/>
    <w:uiPriority w:val="98"/>
    <w:semiHidden/>
    <w:rsid w:val="00EF6ADC"/>
    <w:rPr>
      <w:sz w:val="20"/>
      <w:szCs w:val="20"/>
    </w:rPr>
  </w:style>
  <w:style w:type="character" w:customStyle="1" w:styleId="CommentTextChar">
    <w:name w:val="Comment Text Char"/>
    <w:basedOn w:val="DefaultParagraphFont"/>
    <w:link w:val="CommentText"/>
    <w:uiPriority w:val="98"/>
    <w:semiHidden/>
    <w:rsid w:val="00EF6ADC"/>
    <w:rPr>
      <w:sz w:val="20"/>
      <w:szCs w:val="20"/>
      <w:lang w:val="fr-FR"/>
    </w:rPr>
  </w:style>
  <w:style w:type="paragraph" w:styleId="CommentSubject">
    <w:name w:val="annotation subject"/>
    <w:basedOn w:val="CommentText"/>
    <w:next w:val="CommentText"/>
    <w:link w:val="CommentSubjectChar"/>
    <w:uiPriority w:val="98"/>
    <w:semiHidden/>
    <w:rsid w:val="00EF6ADC"/>
    <w:rPr>
      <w:b/>
      <w:bCs/>
    </w:rPr>
  </w:style>
  <w:style w:type="character" w:customStyle="1" w:styleId="CommentSubjectChar">
    <w:name w:val="Comment Subject Char"/>
    <w:basedOn w:val="CommentTextChar"/>
    <w:link w:val="CommentSubject"/>
    <w:uiPriority w:val="98"/>
    <w:semiHidden/>
    <w:rsid w:val="00EF6ADC"/>
    <w:rPr>
      <w:b/>
      <w:bCs/>
      <w:sz w:val="20"/>
      <w:szCs w:val="20"/>
      <w:lang w:val="fr-FR"/>
    </w:rPr>
  </w:style>
  <w:style w:type="table" w:styleId="DarkList">
    <w:name w:val="Dark List"/>
    <w:basedOn w:val="TableNormal"/>
    <w:uiPriority w:val="70"/>
    <w:semiHidden/>
    <w:rsid w:val="00EF6AD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F6AD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F6AD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F6AD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F6AD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F6AD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F6AD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F6ADC"/>
  </w:style>
  <w:style w:type="character" w:customStyle="1" w:styleId="DateChar">
    <w:name w:val="Date Char"/>
    <w:basedOn w:val="DefaultParagraphFont"/>
    <w:link w:val="Date"/>
    <w:uiPriority w:val="98"/>
    <w:semiHidden/>
    <w:rsid w:val="00EF6ADC"/>
    <w:rPr>
      <w:sz w:val="24"/>
      <w:szCs w:val="24"/>
      <w:lang w:val="fr-FR"/>
    </w:rPr>
  </w:style>
  <w:style w:type="paragraph" w:styleId="DocumentMap">
    <w:name w:val="Document Map"/>
    <w:basedOn w:val="Normal"/>
    <w:link w:val="DocumentMapChar"/>
    <w:uiPriority w:val="98"/>
    <w:semiHidden/>
    <w:rsid w:val="00EF6ADC"/>
    <w:rPr>
      <w:rFonts w:ascii="Tahoma" w:hAnsi="Tahoma" w:cs="Tahoma"/>
      <w:sz w:val="16"/>
      <w:szCs w:val="16"/>
    </w:rPr>
  </w:style>
  <w:style w:type="character" w:customStyle="1" w:styleId="DocumentMapChar">
    <w:name w:val="Document Map Char"/>
    <w:basedOn w:val="DefaultParagraphFont"/>
    <w:link w:val="DocumentMap"/>
    <w:uiPriority w:val="98"/>
    <w:semiHidden/>
    <w:rsid w:val="00EF6ADC"/>
    <w:rPr>
      <w:rFonts w:ascii="Tahoma" w:hAnsi="Tahoma" w:cs="Tahoma"/>
      <w:sz w:val="16"/>
      <w:szCs w:val="16"/>
      <w:lang w:val="fr-FR"/>
    </w:rPr>
  </w:style>
  <w:style w:type="paragraph" w:styleId="E-mailSignature">
    <w:name w:val="E-mail Signature"/>
    <w:basedOn w:val="Normal"/>
    <w:link w:val="E-mailSignatureChar"/>
    <w:uiPriority w:val="98"/>
    <w:semiHidden/>
    <w:rsid w:val="00EF6ADC"/>
  </w:style>
  <w:style w:type="character" w:customStyle="1" w:styleId="E-mailSignatureChar">
    <w:name w:val="E-mail Signature Char"/>
    <w:basedOn w:val="DefaultParagraphFont"/>
    <w:link w:val="E-mailSignature"/>
    <w:uiPriority w:val="98"/>
    <w:semiHidden/>
    <w:rsid w:val="00EF6ADC"/>
    <w:rPr>
      <w:sz w:val="24"/>
      <w:szCs w:val="24"/>
      <w:lang w:val="fr-FR"/>
    </w:rPr>
  </w:style>
  <w:style w:type="character" w:styleId="EndnoteReference">
    <w:name w:val="endnote reference"/>
    <w:basedOn w:val="DefaultParagraphFont"/>
    <w:uiPriority w:val="98"/>
    <w:semiHidden/>
    <w:rsid w:val="00EF6ADC"/>
    <w:rPr>
      <w:vertAlign w:val="superscript"/>
    </w:rPr>
  </w:style>
  <w:style w:type="paragraph" w:styleId="EndnoteText">
    <w:name w:val="endnote text"/>
    <w:basedOn w:val="Normal"/>
    <w:link w:val="EndnoteTextChar"/>
    <w:uiPriority w:val="98"/>
    <w:semiHidden/>
    <w:rsid w:val="00EF6ADC"/>
    <w:rPr>
      <w:sz w:val="20"/>
      <w:szCs w:val="20"/>
    </w:rPr>
  </w:style>
  <w:style w:type="character" w:customStyle="1" w:styleId="EndnoteTextChar">
    <w:name w:val="Endnote Text Char"/>
    <w:basedOn w:val="DefaultParagraphFont"/>
    <w:link w:val="EndnoteText"/>
    <w:uiPriority w:val="98"/>
    <w:semiHidden/>
    <w:rsid w:val="00EF6ADC"/>
    <w:rPr>
      <w:sz w:val="20"/>
      <w:szCs w:val="20"/>
      <w:lang w:val="fr-FR"/>
    </w:rPr>
  </w:style>
  <w:style w:type="paragraph" w:styleId="EnvelopeAddress">
    <w:name w:val="envelope address"/>
    <w:basedOn w:val="Normal"/>
    <w:uiPriority w:val="98"/>
    <w:semiHidden/>
    <w:rsid w:val="00EF6AD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F6AD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F6ADC"/>
    <w:rPr>
      <w:color w:val="7030A0" w:themeColor="followedHyperlink"/>
      <w:u w:val="single"/>
    </w:rPr>
  </w:style>
  <w:style w:type="character" w:styleId="HTMLAcronym">
    <w:name w:val="HTML Acronym"/>
    <w:basedOn w:val="DefaultParagraphFont"/>
    <w:uiPriority w:val="98"/>
    <w:semiHidden/>
    <w:rsid w:val="00EF6ADC"/>
  </w:style>
  <w:style w:type="paragraph" w:styleId="HTMLAddress">
    <w:name w:val="HTML Address"/>
    <w:basedOn w:val="Normal"/>
    <w:link w:val="HTMLAddressChar"/>
    <w:uiPriority w:val="98"/>
    <w:semiHidden/>
    <w:rsid w:val="00EF6ADC"/>
    <w:rPr>
      <w:i/>
      <w:iCs/>
    </w:rPr>
  </w:style>
  <w:style w:type="character" w:customStyle="1" w:styleId="HTMLAddressChar">
    <w:name w:val="HTML Address Char"/>
    <w:basedOn w:val="DefaultParagraphFont"/>
    <w:link w:val="HTMLAddress"/>
    <w:uiPriority w:val="98"/>
    <w:semiHidden/>
    <w:rsid w:val="00EF6ADC"/>
    <w:rPr>
      <w:i/>
      <w:iCs/>
      <w:sz w:val="24"/>
      <w:szCs w:val="24"/>
      <w:lang w:val="fr-FR"/>
    </w:rPr>
  </w:style>
  <w:style w:type="character" w:styleId="HTMLCite">
    <w:name w:val="HTML Cite"/>
    <w:basedOn w:val="DefaultParagraphFont"/>
    <w:uiPriority w:val="98"/>
    <w:semiHidden/>
    <w:rsid w:val="00EF6ADC"/>
    <w:rPr>
      <w:i/>
      <w:iCs/>
    </w:rPr>
  </w:style>
  <w:style w:type="character" w:styleId="HTMLCode">
    <w:name w:val="HTML Code"/>
    <w:basedOn w:val="DefaultParagraphFont"/>
    <w:uiPriority w:val="98"/>
    <w:semiHidden/>
    <w:rsid w:val="00EF6ADC"/>
    <w:rPr>
      <w:rFonts w:ascii="Consolas" w:hAnsi="Consolas" w:cs="Consolas"/>
      <w:sz w:val="20"/>
      <w:szCs w:val="20"/>
    </w:rPr>
  </w:style>
  <w:style w:type="character" w:styleId="HTMLDefinition">
    <w:name w:val="HTML Definition"/>
    <w:basedOn w:val="DefaultParagraphFont"/>
    <w:uiPriority w:val="98"/>
    <w:semiHidden/>
    <w:rsid w:val="00EF6ADC"/>
    <w:rPr>
      <w:i/>
      <w:iCs/>
    </w:rPr>
  </w:style>
  <w:style w:type="character" w:styleId="HTMLKeyboard">
    <w:name w:val="HTML Keyboard"/>
    <w:basedOn w:val="DefaultParagraphFont"/>
    <w:uiPriority w:val="98"/>
    <w:semiHidden/>
    <w:rsid w:val="00EF6ADC"/>
    <w:rPr>
      <w:rFonts w:ascii="Consolas" w:hAnsi="Consolas" w:cs="Consolas"/>
      <w:sz w:val="20"/>
      <w:szCs w:val="20"/>
    </w:rPr>
  </w:style>
  <w:style w:type="paragraph" w:styleId="HTMLPreformatted">
    <w:name w:val="HTML Preformatted"/>
    <w:basedOn w:val="Normal"/>
    <w:link w:val="HTMLPreformattedChar"/>
    <w:uiPriority w:val="98"/>
    <w:semiHidden/>
    <w:rsid w:val="00EF6AD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F6ADC"/>
    <w:rPr>
      <w:rFonts w:ascii="Consolas" w:hAnsi="Consolas" w:cs="Consolas"/>
      <w:sz w:val="20"/>
      <w:szCs w:val="20"/>
      <w:lang w:val="fr-FR"/>
    </w:rPr>
  </w:style>
  <w:style w:type="character" w:styleId="HTMLSample">
    <w:name w:val="HTML Sample"/>
    <w:basedOn w:val="DefaultParagraphFont"/>
    <w:uiPriority w:val="98"/>
    <w:semiHidden/>
    <w:rsid w:val="00EF6ADC"/>
    <w:rPr>
      <w:rFonts w:ascii="Consolas" w:hAnsi="Consolas" w:cs="Consolas"/>
      <w:sz w:val="24"/>
      <w:szCs w:val="24"/>
    </w:rPr>
  </w:style>
  <w:style w:type="character" w:styleId="HTMLTypewriter">
    <w:name w:val="HTML Typewriter"/>
    <w:basedOn w:val="DefaultParagraphFont"/>
    <w:uiPriority w:val="98"/>
    <w:semiHidden/>
    <w:rsid w:val="00EF6ADC"/>
    <w:rPr>
      <w:rFonts w:ascii="Consolas" w:hAnsi="Consolas" w:cs="Consolas"/>
      <w:sz w:val="20"/>
      <w:szCs w:val="20"/>
    </w:rPr>
  </w:style>
  <w:style w:type="character" w:styleId="HTMLVariable">
    <w:name w:val="HTML Variable"/>
    <w:basedOn w:val="DefaultParagraphFont"/>
    <w:uiPriority w:val="98"/>
    <w:semiHidden/>
    <w:rsid w:val="00EF6ADC"/>
    <w:rPr>
      <w:i/>
      <w:iCs/>
    </w:rPr>
  </w:style>
  <w:style w:type="paragraph" w:styleId="Index1">
    <w:name w:val="index 1"/>
    <w:basedOn w:val="Normal"/>
    <w:next w:val="Normal"/>
    <w:autoRedefine/>
    <w:uiPriority w:val="98"/>
    <w:semiHidden/>
    <w:rsid w:val="00EF6ADC"/>
    <w:pPr>
      <w:ind w:left="240" w:hanging="240"/>
    </w:pPr>
  </w:style>
  <w:style w:type="paragraph" w:styleId="Index2">
    <w:name w:val="index 2"/>
    <w:basedOn w:val="Normal"/>
    <w:next w:val="Normal"/>
    <w:autoRedefine/>
    <w:uiPriority w:val="98"/>
    <w:semiHidden/>
    <w:rsid w:val="00EF6ADC"/>
    <w:pPr>
      <w:ind w:left="480" w:hanging="240"/>
    </w:pPr>
  </w:style>
  <w:style w:type="paragraph" w:styleId="Index3">
    <w:name w:val="index 3"/>
    <w:basedOn w:val="Normal"/>
    <w:next w:val="Normal"/>
    <w:autoRedefine/>
    <w:uiPriority w:val="98"/>
    <w:semiHidden/>
    <w:rsid w:val="00EF6ADC"/>
    <w:pPr>
      <w:ind w:left="720" w:hanging="240"/>
    </w:pPr>
  </w:style>
  <w:style w:type="paragraph" w:styleId="Index4">
    <w:name w:val="index 4"/>
    <w:basedOn w:val="Normal"/>
    <w:next w:val="Normal"/>
    <w:autoRedefine/>
    <w:uiPriority w:val="98"/>
    <w:semiHidden/>
    <w:rsid w:val="00EF6ADC"/>
    <w:pPr>
      <w:ind w:left="960" w:hanging="240"/>
    </w:pPr>
  </w:style>
  <w:style w:type="paragraph" w:styleId="Index5">
    <w:name w:val="index 5"/>
    <w:basedOn w:val="Normal"/>
    <w:next w:val="Normal"/>
    <w:autoRedefine/>
    <w:uiPriority w:val="98"/>
    <w:semiHidden/>
    <w:rsid w:val="00EF6ADC"/>
    <w:pPr>
      <w:ind w:left="1200" w:hanging="240"/>
    </w:pPr>
  </w:style>
  <w:style w:type="paragraph" w:styleId="Index6">
    <w:name w:val="index 6"/>
    <w:basedOn w:val="Normal"/>
    <w:next w:val="Normal"/>
    <w:autoRedefine/>
    <w:uiPriority w:val="98"/>
    <w:semiHidden/>
    <w:rsid w:val="00EF6ADC"/>
    <w:pPr>
      <w:ind w:left="1440" w:hanging="240"/>
    </w:pPr>
  </w:style>
  <w:style w:type="paragraph" w:styleId="Index7">
    <w:name w:val="index 7"/>
    <w:basedOn w:val="Normal"/>
    <w:next w:val="Normal"/>
    <w:autoRedefine/>
    <w:uiPriority w:val="98"/>
    <w:semiHidden/>
    <w:rsid w:val="00EF6ADC"/>
    <w:pPr>
      <w:ind w:left="1680" w:hanging="240"/>
    </w:pPr>
  </w:style>
  <w:style w:type="paragraph" w:styleId="Index8">
    <w:name w:val="index 8"/>
    <w:basedOn w:val="Normal"/>
    <w:next w:val="Normal"/>
    <w:autoRedefine/>
    <w:uiPriority w:val="98"/>
    <w:semiHidden/>
    <w:rsid w:val="00EF6ADC"/>
    <w:pPr>
      <w:ind w:left="1920" w:hanging="240"/>
    </w:pPr>
  </w:style>
  <w:style w:type="paragraph" w:styleId="Index9">
    <w:name w:val="index 9"/>
    <w:basedOn w:val="Normal"/>
    <w:next w:val="Normal"/>
    <w:autoRedefine/>
    <w:uiPriority w:val="98"/>
    <w:semiHidden/>
    <w:rsid w:val="00EF6ADC"/>
    <w:pPr>
      <w:ind w:left="2160" w:hanging="240"/>
    </w:pPr>
  </w:style>
  <w:style w:type="paragraph" w:styleId="IndexHeading">
    <w:name w:val="index heading"/>
    <w:basedOn w:val="Normal"/>
    <w:next w:val="Index1"/>
    <w:uiPriority w:val="98"/>
    <w:semiHidden/>
    <w:rsid w:val="00EF6ADC"/>
    <w:rPr>
      <w:rFonts w:asciiTheme="majorHAnsi" w:eastAsiaTheme="majorEastAsia" w:hAnsiTheme="majorHAnsi" w:cstheme="majorBidi"/>
      <w:b/>
      <w:bCs/>
    </w:rPr>
  </w:style>
  <w:style w:type="table" w:styleId="LightGrid">
    <w:name w:val="Light Grid"/>
    <w:basedOn w:val="TableNormal"/>
    <w:uiPriority w:val="62"/>
    <w:semiHidden/>
    <w:rsid w:val="00EF6A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F6A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F6A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F6AD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F6A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F6A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F6A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F6A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F6A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F6A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F6AD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F6A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F6A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F6A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F6AD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F6AD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F6AD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F6AD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F6AD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F6AD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F6AD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F6ADC"/>
  </w:style>
  <w:style w:type="paragraph" w:styleId="List">
    <w:name w:val="List"/>
    <w:basedOn w:val="Normal"/>
    <w:uiPriority w:val="98"/>
    <w:semiHidden/>
    <w:rsid w:val="00EF6ADC"/>
    <w:pPr>
      <w:ind w:left="283" w:hanging="283"/>
      <w:contextualSpacing/>
    </w:pPr>
  </w:style>
  <w:style w:type="paragraph" w:styleId="List20">
    <w:name w:val="List 2"/>
    <w:basedOn w:val="Normal"/>
    <w:uiPriority w:val="98"/>
    <w:semiHidden/>
    <w:rsid w:val="00EF6ADC"/>
    <w:pPr>
      <w:ind w:left="566" w:hanging="283"/>
      <w:contextualSpacing/>
    </w:pPr>
  </w:style>
  <w:style w:type="paragraph" w:styleId="List30">
    <w:name w:val="List 3"/>
    <w:basedOn w:val="Normal"/>
    <w:uiPriority w:val="98"/>
    <w:semiHidden/>
    <w:rsid w:val="00EF6ADC"/>
    <w:pPr>
      <w:ind w:left="849" w:hanging="283"/>
      <w:contextualSpacing/>
    </w:pPr>
  </w:style>
  <w:style w:type="paragraph" w:styleId="List4">
    <w:name w:val="List 4"/>
    <w:basedOn w:val="Normal"/>
    <w:uiPriority w:val="98"/>
    <w:semiHidden/>
    <w:rsid w:val="00EF6ADC"/>
    <w:pPr>
      <w:ind w:left="1132" w:hanging="283"/>
      <w:contextualSpacing/>
    </w:pPr>
  </w:style>
  <w:style w:type="paragraph" w:styleId="List5">
    <w:name w:val="List 5"/>
    <w:basedOn w:val="Normal"/>
    <w:uiPriority w:val="98"/>
    <w:semiHidden/>
    <w:rsid w:val="00EF6ADC"/>
    <w:pPr>
      <w:ind w:left="1415" w:hanging="283"/>
      <w:contextualSpacing/>
    </w:pPr>
  </w:style>
  <w:style w:type="paragraph" w:styleId="ListBullet">
    <w:name w:val="List Bullet"/>
    <w:basedOn w:val="Normal"/>
    <w:uiPriority w:val="98"/>
    <w:semiHidden/>
    <w:rsid w:val="00EF6ADC"/>
    <w:pPr>
      <w:numPr>
        <w:numId w:val="8"/>
      </w:numPr>
    </w:pPr>
  </w:style>
  <w:style w:type="paragraph" w:styleId="ListBullet3">
    <w:name w:val="List Bullet 3"/>
    <w:basedOn w:val="Normal"/>
    <w:uiPriority w:val="98"/>
    <w:semiHidden/>
    <w:rsid w:val="00EF6ADC"/>
    <w:pPr>
      <w:numPr>
        <w:numId w:val="10"/>
      </w:numPr>
      <w:contextualSpacing/>
    </w:pPr>
  </w:style>
  <w:style w:type="paragraph" w:styleId="ListBullet4">
    <w:name w:val="List Bullet 4"/>
    <w:basedOn w:val="Normal"/>
    <w:uiPriority w:val="98"/>
    <w:semiHidden/>
    <w:rsid w:val="00EF6ADC"/>
    <w:pPr>
      <w:numPr>
        <w:numId w:val="11"/>
      </w:numPr>
      <w:contextualSpacing/>
    </w:pPr>
  </w:style>
  <w:style w:type="paragraph" w:styleId="ListBullet5">
    <w:name w:val="List Bullet 5"/>
    <w:basedOn w:val="Normal"/>
    <w:uiPriority w:val="98"/>
    <w:semiHidden/>
    <w:rsid w:val="00EF6ADC"/>
    <w:pPr>
      <w:numPr>
        <w:numId w:val="12"/>
      </w:numPr>
      <w:contextualSpacing/>
    </w:pPr>
  </w:style>
  <w:style w:type="paragraph" w:styleId="ListContinue">
    <w:name w:val="List Continue"/>
    <w:basedOn w:val="Normal"/>
    <w:uiPriority w:val="98"/>
    <w:semiHidden/>
    <w:rsid w:val="00EF6ADC"/>
    <w:pPr>
      <w:spacing w:after="120"/>
      <w:ind w:left="283"/>
      <w:contextualSpacing/>
    </w:pPr>
  </w:style>
  <w:style w:type="paragraph" w:styleId="ListContinue2">
    <w:name w:val="List Continue 2"/>
    <w:basedOn w:val="Normal"/>
    <w:uiPriority w:val="98"/>
    <w:semiHidden/>
    <w:rsid w:val="00EF6ADC"/>
    <w:pPr>
      <w:spacing w:after="120"/>
      <w:ind w:left="566"/>
      <w:contextualSpacing/>
    </w:pPr>
  </w:style>
  <w:style w:type="paragraph" w:styleId="ListContinue3">
    <w:name w:val="List Continue 3"/>
    <w:basedOn w:val="Normal"/>
    <w:uiPriority w:val="98"/>
    <w:semiHidden/>
    <w:rsid w:val="00EF6ADC"/>
    <w:pPr>
      <w:spacing w:after="120"/>
      <w:ind w:left="849"/>
      <w:contextualSpacing/>
    </w:pPr>
  </w:style>
  <w:style w:type="paragraph" w:styleId="ListContinue4">
    <w:name w:val="List Continue 4"/>
    <w:basedOn w:val="Normal"/>
    <w:uiPriority w:val="98"/>
    <w:semiHidden/>
    <w:rsid w:val="00EF6ADC"/>
    <w:pPr>
      <w:spacing w:after="120"/>
      <w:ind w:left="1132"/>
      <w:contextualSpacing/>
    </w:pPr>
  </w:style>
  <w:style w:type="paragraph" w:styleId="ListContinue5">
    <w:name w:val="List Continue 5"/>
    <w:basedOn w:val="Normal"/>
    <w:uiPriority w:val="98"/>
    <w:semiHidden/>
    <w:rsid w:val="00EF6ADC"/>
    <w:pPr>
      <w:spacing w:after="120"/>
      <w:ind w:left="1415"/>
      <w:contextualSpacing/>
    </w:pPr>
  </w:style>
  <w:style w:type="paragraph" w:styleId="ListNumber">
    <w:name w:val="List Number"/>
    <w:basedOn w:val="Normal"/>
    <w:uiPriority w:val="98"/>
    <w:semiHidden/>
    <w:rsid w:val="00EF6ADC"/>
    <w:pPr>
      <w:numPr>
        <w:numId w:val="13"/>
      </w:numPr>
      <w:contextualSpacing/>
    </w:pPr>
  </w:style>
  <w:style w:type="paragraph" w:styleId="ListNumber2">
    <w:name w:val="List Number 2"/>
    <w:basedOn w:val="Normal"/>
    <w:uiPriority w:val="98"/>
    <w:semiHidden/>
    <w:rsid w:val="00EF6ADC"/>
    <w:pPr>
      <w:numPr>
        <w:numId w:val="14"/>
      </w:numPr>
      <w:contextualSpacing/>
    </w:pPr>
  </w:style>
  <w:style w:type="paragraph" w:styleId="ListNumber3">
    <w:name w:val="List Number 3"/>
    <w:basedOn w:val="Normal"/>
    <w:uiPriority w:val="98"/>
    <w:semiHidden/>
    <w:rsid w:val="00EF6ADC"/>
    <w:pPr>
      <w:numPr>
        <w:numId w:val="15"/>
      </w:numPr>
      <w:contextualSpacing/>
    </w:pPr>
  </w:style>
  <w:style w:type="paragraph" w:styleId="ListNumber4">
    <w:name w:val="List Number 4"/>
    <w:basedOn w:val="Normal"/>
    <w:uiPriority w:val="98"/>
    <w:semiHidden/>
    <w:rsid w:val="00EF6ADC"/>
    <w:pPr>
      <w:numPr>
        <w:numId w:val="16"/>
      </w:numPr>
      <w:contextualSpacing/>
    </w:pPr>
  </w:style>
  <w:style w:type="paragraph" w:styleId="ListNumber5">
    <w:name w:val="List Number 5"/>
    <w:basedOn w:val="Normal"/>
    <w:uiPriority w:val="98"/>
    <w:semiHidden/>
    <w:rsid w:val="00EF6ADC"/>
    <w:pPr>
      <w:numPr>
        <w:numId w:val="17"/>
      </w:numPr>
      <w:contextualSpacing/>
    </w:pPr>
  </w:style>
  <w:style w:type="paragraph" w:styleId="Macro">
    <w:name w:val="macro"/>
    <w:link w:val="MacroTextChar"/>
    <w:uiPriority w:val="98"/>
    <w:semiHidden/>
    <w:rsid w:val="00EF6AD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F6ADC"/>
    <w:rPr>
      <w:rFonts w:ascii="Consolas" w:hAnsi="Consolas" w:eastAsiaTheme="minorEastAsia" w:cs="Consolas"/>
      <w:sz w:val="20"/>
      <w:szCs w:val="20"/>
    </w:rPr>
  </w:style>
  <w:style w:type="table" w:styleId="MediumGrid1">
    <w:name w:val="Medium Grid 1"/>
    <w:basedOn w:val="TableNormal"/>
    <w:uiPriority w:val="67"/>
    <w:semiHidden/>
    <w:rsid w:val="00EF6A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F6A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F6A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F6AD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F6A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F6A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F6A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F6AD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F6AD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F6AD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F6AD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F6AD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F6AD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F6AD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F6AD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F6A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F6A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F6A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F6A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F6AD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F6A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F6A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F6A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F6A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F6A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F6ADC"/>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EF6ADC"/>
    <w:rPr>
      <w:rFonts w:ascii="Times New Roman" w:hAnsi="Times New Roman" w:cs="Times New Roman"/>
    </w:rPr>
  </w:style>
  <w:style w:type="paragraph" w:styleId="NormalIndent">
    <w:name w:val="Normal Indent"/>
    <w:basedOn w:val="Normal"/>
    <w:uiPriority w:val="98"/>
    <w:semiHidden/>
    <w:rsid w:val="00EF6ADC"/>
    <w:pPr>
      <w:ind w:left="720"/>
    </w:pPr>
  </w:style>
  <w:style w:type="paragraph" w:styleId="NoteHeading">
    <w:name w:val="Note Heading"/>
    <w:basedOn w:val="Normal"/>
    <w:next w:val="Normal"/>
    <w:link w:val="NoteHeadingChar"/>
    <w:uiPriority w:val="98"/>
    <w:semiHidden/>
    <w:rsid w:val="00EF6ADC"/>
  </w:style>
  <w:style w:type="character" w:customStyle="1" w:styleId="NoteHeadingChar">
    <w:name w:val="Note Heading Char"/>
    <w:basedOn w:val="DefaultParagraphFont"/>
    <w:link w:val="NoteHeading"/>
    <w:uiPriority w:val="98"/>
    <w:semiHidden/>
    <w:rsid w:val="00EF6ADC"/>
    <w:rPr>
      <w:sz w:val="24"/>
      <w:szCs w:val="24"/>
      <w:lang w:val="fr-FR"/>
    </w:rPr>
  </w:style>
  <w:style w:type="character" w:styleId="PlaceholderText">
    <w:name w:val="Placeholder Text"/>
    <w:basedOn w:val="DefaultParagraphFont"/>
    <w:uiPriority w:val="98"/>
    <w:semiHidden/>
    <w:rsid w:val="00EF6AD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F6ADC"/>
    <w:rPr>
      <w:rFonts w:ascii="Consolas" w:hAnsi="Consolas" w:cs="Consolas"/>
      <w:sz w:val="21"/>
      <w:szCs w:val="21"/>
    </w:rPr>
  </w:style>
  <w:style w:type="character" w:customStyle="1" w:styleId="PlainTextChar">
    <w:name w:val="Plain Text Char"/>
    <w:basedOn w:val="DefaultParagraphFont"/>
    <w:link w:val="PlainText"/>
    <w:uiPriority w:val="98"/>
    <w:semiHidden/>
    <w:rsid w:val="00EF6ADC"/>
    <w:rPr>
      <w:rFonts w:ascii="Consolas" w:hAnsi="Consolas" w:cs="Consolas"/>
      <w:sz w:val="21"/>
      <w:szCs w:val="21"/>
      <w:lang w:val="fr-FR"/>
    </w:rPr>
  </w:style>
  <w:style w:type="paragraph" w:styleId="Salutation">
    <w:name w:val="Salutation"/>
    <w:basedOn w:val="Normal"/>
    <w:next w:val="Normal"/>
    <w:link w:val="SalutationChar"/>
    <w:uiPriority w:val="98"/>
    <w:semiHidden/>
    <w:rsid w:val="00EF6ADC"/>
  </w:style>
  <w:style w:type="character" w:customStyle="1" w:styleId="SalutationChar">
    <w:name w:val="Salutation Char"/>
    <w:basedOn w:val="DefaultParagraphFont"/>
    <w:link w:val="Salutation"/>
    <w:uiPriority w:val="98"/>
    <w:semiHidden/>
    <w:rsid w:val="00EF6ADC"/>
    <w:rPr>
      <w:sz w:val="24"/>
      <w:szCs w:val="24"/>
      <w:lang w:val="fr-FR"/>
    </w:rPr>
  </w:style>
  <w:style w:type="paragraph" w:styleId="Signature0">
    <w:name w:val="Signature"/>
    <w:basedOn w:val="Normal"/>
    <w:link w:val="SignatureChar"/>
    <w:uiPriority w:val="98"/>
    <w:semiHidden/>
    <w:rsid w:val="00EF6ADC"/>
    <w:pPr>
      <w:ind w:left="4252"/>
    </w:pPr>
  </w:style>
  <w:style w:type="character" w:customStyle="1" w:styleId="SignatureChar">
    <w:name w:val="Signature Char"/>
    <w:basedOn w:val="DefaultParagraphFont"/>
    <w:link w:val="Signature0"/>
    <w:uiPriority w:val="98"/>
    <w:semiHidden/>
    <w:rsid w:val="00EF6ADC"/>
    <w:rPr>
      <w:sz w:val="24"/>
      <w:szCs w:val="24"/>
      <w:lang w:val="fr-FR"/>
    </w:rPr>
  </w:style>
  <w:style w:type="table" w:styleId="Table3Deffects1">
    <w:name w:val="Table 3D effects 1"/>
    <w:basedOn w:val="TableNormal"/>
    <w:uiPriority w:val="99"/>
    <w:semiHidden/>
    <w:unhideWhenUsed/>
    <w:rsid w:val="00EF6AD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F6AD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F6AD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F6AD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F6AD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F6AD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F6AD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F6AD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F6AD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F6AD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F6AD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F6AD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F6AD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F6AD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F6AD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F6AD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F6AD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F6A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F6AD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F6AD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F6AD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F6A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F6AD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F6AD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F6AD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F6AD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F6AD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F6AD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F6A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F6A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F6A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F6AD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F6A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F6ADC"/>
    <w:pPr>
      <w:ind w:left="240" w:hanging="240"/>
    </w:pPr>
  </w:style>
  <w:style w:type="paragraph" w:styleId="TableofFigures">
    <w:name w:val="table of figures"/>
    <w:basedOn w:val="Normal"/>
    <w:next w:val="Normal"/>
    <w:uiPriority w:val="98"/>
    <w:semiHidden/>
    <w:rsid w:val="00EF6ADC"/>
  </w:style>
  <w:style w:type="table" w:styleId="TableProfessional">
    <w:name w:val="Table Professional"/>
    <w:basedOn w:val="TableNormal"/>
    <w:uiPriority w:val="99"/>
    <w:semiHidden/>
    <w:unhideWhenUsed/>
    <w:rsid w:val="00EF6A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F6AD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F6AD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F6AD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F6AD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F6AD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F6AD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F6AD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F6AD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F6AD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F6AD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F6AD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F6ADC"/>
    <w:pPr>
      <w:spacing w:after="100"/>
      <w:ind w:left="1680"/>
    </w:pPr>
  </w:style>
  <w:style w:type="paragraph" w:styleId="TOC9">
    <w:name w:val="toc 9"/>
    <w:basedOn w:val="Normal"/>
    <w:next w:val="Normal"/>
    <w:autoRedefine/>
    <w:uiPriority w:val="98"/>
    <w:semiHidden/>
    <w:rsid w:val="00EF6ADC"/>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EF6AD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F6AD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F6AD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F6AD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F6ADC"/>
    <w:pPr>
      <w:numPr>
        <w:numId w:val="5"/>
      </w:numPr>
      <w:spacing w:before="60" w:after="60"/>
    </w:pPr>
  </w:style>
  <w:style w:type="paragraph" w:customStyle="1" w:styleId="ECHRBullet2">
    <w:name w:val="ECHR_Bullet_2"/>
    <w:aliases w:val="_Bul_2"/>
    <w:basedOn w:val="ECHRBullet1"/>
    <w:uiPriority w:val="23"/>
    <w:semiHidden/>
    <w:rsid w:val="00EF6ADC"/>
    <w:pPr>
      <w:numPr>
        <w:ilvl w:val="1"/>
      </w:numPr>
    </w:pPr>
  </w:style>
  <w:style w:type="paragraph" w:customStyle="1" w:styleId="ECHRBullet3">
    <w:name w:val="ECHR_Bullet_3"/>
    <w:aliases w:val="_Bul_3"/>
    <w:basedOn w:val="ECHRBullet2"/>
    <w:uiPriority w:val="23"/>
    <w:semiHidden/>
    <w:rsid w:val="00EF6ADC"/>
    <w:pPr>
      <w:numPr>
        <w:ilvl w:val="2"/>
      </w:numPr>
    </w:pPr>
  </w:style>
  <w:style w:type="paragraph" w:customStyle="1" w:styleId="ECHRBullet4">
    <w:name w:val="ECHR_Bullet_4"/>
    <w:aliases w:val="_Bul_4"/>
    <w:basedOn w:val="ECHRBullet3"/>
    <w:uiPriority w:val="23"/>
    <w:semiHidden/>
    <w:rsid w:val="00EF6ADC"/>
    <w:pPr>
      <w:numPr>
        <w:ilvl w:val="3"/>
      </w:numPr>
    </w:pPr>
  </w:style>
  <w:style w:type="paragraph" w:customStyle="1" w:styleId="ECHRConfidential">
    <w:name w:val="ECHR_Confidential"/>
    <w:aliases w:val="_Confidential"/>
    <w:basedOn w:val="Normal"/>
    <w:next w:val="Normal"/>
    <w:uiPriority w:val="42"/>
    <w:semiHidden/>
    <w:qFormat/>
    <w:rsid w:val="00EF6ADC"/>
    <w:pPr>
      <w:jc w:val="right"/>
    </w:pPr>
    <w:rPr>
      <w:color w:val="C00000"/>
      <w:sz w:val="20"/>
    </w:rPr>
  </w:style>
  <w:style w:type="paragraph" w:customStyle="1" w:styleId="ECHRDecisionBody">
    <w:name w:val="ECHR_Decision_Body"/>
    <w:aliases w:val="_Decision_Body"/>
    <w:basedOn w:val="NormalJustified"/>
    <w:uiPriority w:val="54"/>
    <w:semiHidden/>
    <w:rsid w:val="00EF6AD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F6AD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F6ADC"/>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EF6AD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F6ADC"/>
    <w:pPr>
      <w:jc w:val="right"/>
    </w:pPr>
    <w:rPr>
      <w:sz w:val="20"/>
    </w:rPr>
  </w:style>
  <w:style w:type="paragraph" w:customStyle="1" w:styleId="ECHRHeaderRefIt">
    <w:name w:val="ECHR_Header_Ref_It"/>
    <w:aliases w:val="_Ref_Ital"/>
    <w:basedOn w:val="Normal"/>
    <w:next w:val="ECHRHeaderDate"/>
    <w:uiPriority w:val="43"/>
    <w:semiHidden/>
    <w:qFormat/>
    <w:rsid w:val="00EF6ADC"/>
    <w:pPr>
      <w:jc w:val="right"/>
    </w:pPr>
    <w:rPr>
      <w:i/>
      <w:sz w:val="20"/>
    </w:rPr>
  </w:style>
  <w:style w:type="paragraph" w:customStyle="1" w:styleId="ECHRHeading9">
    <w:name w:val="ECHR_Heading_9"/>
    <w:aliases w:val="_Head_9"/>
    <w:basedOn w:val="Heading9"/>
    <w:uiPriority w:val="17"/>
    <w:semiHidden/>
    <w:rsid w:val="00EF6ADC"/>
    <w:pPr>
      <w:keepNext/>
      <w:keepLines/>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F6AD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F6ADC"/>
    <w:pPr>
      <w:numPr>
        <w:numId w:val="7"/>
      </w:numPr>
      <w:spacing w:before="60" w:after="60"/>
    </w:pPr>
  </w:style>
  <w:style w:type="paragraph" w:customStyle="1" w:styleId="ECHRNumberedList2">
    <w:name w:val="ECHR_Numbered_List_2"/>
    <w:aliases w:val="_Num_2"/>
    <w:basedOn w:val="ECHRNumberedList1"/>
    <w:uiPriority w:val="23"/>
    <w:semiHidden/>
    <w:rsid w:val="00EF6ADC"/>
    <w:pPr>
      <w:numPr>
        <w:ilvl w:val="1"/>
      </w:numPr>
    </w:pPr>
  </w:style>
  <w:style w:type="paragraph" w:customStyle="1" w:styleId="ECHRNumberedList3">
    <w:name w:val="ECHR_Numbered_List_3"/>
    <w:aliases w:val="_Num_3"/>
    <w:basedOn w:val="ECHRNumberedList2"/>
    <w:uiPriority w:val="23"/>
    <w:semiHidden/>
    <w:rsid w:val="00EF6ADC"/>
    <w:pPr>
      <w:numPr>
        <w:ilvl w:val="2"/>
      </w:numPr>
    </w:pPr>
  </w:style>
  <w:style w:type="paragraph" w:customStyle="1" w:styleId="ECHRParaHanging">
    <w:name w:val="ECHR_Para_Hanging"/>
    <w:aliases w:val="_Hanging"/>
    <w:basedOn w:val="NormalJustified"/>
    <w:uiPriority w:val="8"/>
    <w:semiHidden/>
    <w:qFormat/>
    <w:rsid w:val="00EF6ADC"/>
    <w:pPr>
      <w:ind w:left="567" w:hanging="567"/>
    </w:pPr>
  </w:style>
  <w:style w:type="paragraph" w:customStyle="1" w:styleId="ECHRParaIndent">
    <w:name w:val="ECHR_Para_Indent"/>
    <w:aliases w:val="_Indent"/>
    <w:basedOn w:val="NormalJustified"/>
    <w:uiPriority w:val="7"/>
    <w:semiHidden/>
    <w:qFormat/>
    <w:rsid w:val="00EF6ADC"/>
    <w:pPr>
      <w:spacing w:before="120" w:after="120"/>
      <w:ind w:left="567"/>
    </w:pPr>
  </w:style>
  <w:style w:type="character" w:customStyle="1" w:styleId="ECHRRed">
    <w:name w:val="ECHR_Red"/>
    <w:aliases w:val="_Red"/>
    <w:basedOn w:val="DefaultParagraphFont"/>
    <w:uiPriority w:val="15"/>
    <w:semiHidden/>
    <w:qFormat/>
    <w:rsid w:val="00EF6ADC"/>
    <w:rPr>
      <w:color w:val="C00000" w:themeColor="accent2"/>
    </w:rPr>
  </w:style>
  <w:style w:type="paragraph" w:customStyle="1" w:styleId="DecList">
    <w:name w:val="Dec_List"/>
    <w:aliases w:val="_List"/>
    <w:basedOn w:val="JuList"/>
    <w:uiPriority w:val="22"/>
    <w:rsid w:val="00EF6ADC"/>
    <w:pPr>
      <w:numPr>
        <w:numId w:val="0"/>
      </w:numPr>
      <w:ind w:left="284"/>
    </w:pPr>
  </w:style>
  <w:style w:type="table" w:customStyle="1" w:styleId="ECHRTable2">
    <w:name w:val="ECHR_Table_2"/>
    <w:basedOn w:val="TableNormal"/>
    <w:uiPriority w:val="99"/>
    <w:rsid w:val="00EF6AD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F6AD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F6AD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F6AD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F6AD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F6AD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F6AD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F6AD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F6ADC"/>
    <w:pPr>
      <w:outlineLvl w:val="0"/>
    </w:pPr>
  </w:style>
  <w:style w:type="paragraph" w:customStyle="1" w:styleId="ECHRTitleTOC1">
    <w:name w:val="ECHR_Title_TOC_1"/>
    <w:aliases w:val="_Title_L_TOC"/>
    <w:basedOn w:val="ECHRTitle1"/>
    <w:next w:val="Normal"/>
    <w:uiPriority w:val="27"/>
    <w:semiHidden/>
    <w:qFormat/>
    <w:rsid w:val="00EF6ADC"/>
    <w:pPr>
      <w:outlineLvl w:val="0"/>
    </w:pPr>
  </w:style>
  <w:style w:type="paragraph" w:customStyle="1" w:styleId="ECHRPlaceholder">
    <w:name w:val="ECHR_Placeholder"/>
    <w:aliases w:val="_Placeholder"/>
    <w:basedOn w:val="JuSigned"/>
    <w:uiPriority w:val="31"/>
    <w:rsid w:val="00EF6ADC"/>
    <w:rPr>
      <w:color w:val="FFFFFF"/>
    </w:rPr>
  </w:style>
  <w:style w:type="paragraph" w:customStyle="1" w:styleId="ECHRSpacer">
    <w:name w:val="ECHR_Spacer"/>
    <w:aliases w:val="_Spacer"/>
    <w:basedOn w:val="Normal"/>
    <w:uiPriority w:val="45"/>
    <w:semiHidden/>
    <w:rsid w:val="00EF6ADC"/>
    <w:rPr>
      <w:sz w:val="4"/>
    </w:rPr>
  </w:style>
  <w:style w:type="table" w:customStyle="1" w:styleId="ECHRTableGrey">
    <w:name w:val="ECHR_Table_Grey"/>
    <w:basedOn w:val="TableNormal"/>
    <w:uiPriority w:val="99"/>
    <w:rsid w:val="00EF6AD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FB0460"/>
    <w:rPr>
      <w:sz w:val="24"/>
      <w:szCs w:val="24"/>
      <w:lang w:val="fr-FR"/>
    </w:rPr>
  </w:style>
  <w:style w:type="table" w:styleId="GridTable1LightAccent1">
    <w:name w:val="Grid Table 1 Light Accent 1"/>
    <w:basedOn w:val="TableNormal"/>
    <w:uiPriority w:val="46"/>
    <w:semiHidden/>
    <w:rsid w:val="00EC523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C523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C523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C523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C523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C523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C523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C523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C523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C523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C523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C523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C523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C52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C523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C523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C523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C523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C523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C523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C52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C523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C523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C523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C523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C523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C523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C52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C523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C523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C523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C523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C523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C523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C523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C523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C523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C523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C523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C523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C523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C523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EC523C"/>
    <w:rPr>
      <w:color w:val="2B579A"/>
      <w:shd w:val="clear" w:color="auto" w:fill="E1DFDD"/>
    </w:rPr>
  </w:style>
  <w:style w:type="table" w:styleId="ListTable1Light">
    <w:name w:val="List Table 1 Light"/>
    <w:basedOn w:val="TableNormal"/>
    <w:uiPriority w:val="46"/>
    <w:semiHidden/>
    <w:rsid w:val="00EC523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C523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C523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C523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C523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C523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C523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C523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C523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C523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C523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C523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C523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C523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C523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C523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C523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C523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C523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C523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C523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C52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C523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C523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C523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C523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C523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C523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C523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C523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C523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C523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C523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C523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C523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C523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C523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C523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C523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C523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C523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C523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C523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C523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C523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C523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C523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C523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C523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EC523C"/>
    <w:rPr>
      <w:color w:val="2B579A"/>
      <w:shd w:val="clear" w:color="auto" w:fill="E1DFDD"/>
    </w:rPr>
  </w:style>
  <w:style w:type="table" w:styleId="PlainTable1">
    <w:name w:val="Plain Table 1"/>
    <w:basedOn w:val="TableNormal"/>
    <w:uiPriority w:val="41"/>
    <w:semiHidden/>
    <w:rsid w:val="00EC523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C523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C523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C523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C52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EC523C"/>
    <w:rPr>
      <w:u w:val="dotted"/>
    </w:rPr>
  </w:style>
  <w:style w:type="character" w:styleId="SmartLink">
    <w:name w:val="Smart Link"/>
    <w:basedOn w:val="DefaultParagraphFont"/>
    <w:uiPriority w:val="99"/>
    <w:semiHidden/>
    <w:unhideWhenUsed/>
    <w:rsid w:val="00EC523C"/>
    <w:rPr>
      <w:color w:val="0000FF"/>
      <w:u w:val="single"/>
      <w:shd w:val="clear" w:color="auto" w:fill="F3F2F1"/>
    </w:rPr>
  </w:style>
  <w:style w:type="table" w:styleId="GridTableLight">
    <w:name w:val="Grid Table Light"/>
    <w:basedOn w:val="TableNormal"/>
    <w:uiPriority w:val="40"/>
    <w:semiHidden/>
    <w:rsid w:val="00EC5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2128</Words>
  <Characters>10876</Characters>
  <Application>Microsoft Office Word</Application>
  <DocSecurity>0</DocSecurity>
  <Lines>213</Lines>
  <Paragraphs>53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2</cp:revision>
  <dcterms:created xsi:type="dcterms:W3CDTF">2026-09-02T15:06:00Z</dcterms:created>
  <dcterms:modified xsi:type="dcterms:W3CDTF">2026-09-02T15:51:00Z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1230683</vt:lpwstr>
  </property>
  <property fmtid="{D5CDD505-2E9C-101B-9397-08002B2CF9AE}" pid="3" name="cstLanguage">
    <vt:i4>1036</vt:i4>
  </property>
  <property fmtid="{D5CDD505-2E9C-101B-9397-08002B2CF9AE}" pid="4" name="eDOCS AutoSave">
    <vt:lpwstr>20260902171655351</vt:lpwstr>
  </property>
  <property fmtid="{D5CDD505-2E9C-101B-9397-08002B2CF9AE}" pid="5" name="RegisteredNo">
    <vt:lpwstr>47190/16</vt:lpwstr>
  </property>
</Properties>
</file>