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38F511" w14:textId="27007286" w:rsidR="001E046A" w:rsidRPr="006F3EF2" w:rsidRDefault="00170F78" w:rsidP="00A43A36">
      <w:pPr>
        <w:jc w:val="center"/>
        <w:rPr>
          <w:rFonts w:ascii="Times New Roman" w:hAnsi="Times New Roman" w:cs="Times New Roman"/>
          <w:noProof/>
          <w:sz w:val="28"/>
          <w:szCs w:val="28"/>
        </w:rPr>
      </w:pPr>
      <w:r w:rsidRPr="006F3EF2">
        <w:rPr>
          <w:rFonts w:ascii="Times New Roman" w:hAnsi="Times New Roman" w:cs="Times New Roman"/>
          <w:noProof/>
          <w:sz w:val="28"/>
          <w:szCs w:val="28"/>
        </w:rPr>
        <w:t>EUROPEJSKI TRYBUNAŁ PRAW CZŁOWIEKA</w:t>
      </w:r>
    </w:p>
    <w:p w14:paraId="591E521C" w14:textId="77777777" w:rsidR="0098410D" w:rsidRPr="00A43A36" w:rsidRDefault="0098410D" w:rsidP="00A43A36">
      <w:pPr>
        <w:jc w:val="center"/>
      </w:pPr>
    </w:p>
    <w:p w14:paraId="7B40DA34" w14:textId="77777777" w:rsidR="0098410D" w:rsidRPr="00A43A36" w:rsidRDefault="001871A2" w:rsidP="00A43A36">
      <w:pPr>
        <w:pStyle w:val="DecHTitle"/>
      </w:pPr>
      <w:r>
        <w:t>SEKCJA PIERWSZA</w:t>
      </w:r>
    </w:p>
    <w:p w14:paraId="01FFFB86" w14:textId="77777777" w:rsidR="008E6217" w:rsidRPr="00A43A36" w:rsidRDefault="001871A2" w:rsidP="00A43A36">
      <w:pPr>
        <w:pStyle w:val="JuTitle"/>
      </w:pPr>
      <w:r>
        <w:rPr>
          <w:color w:val="000000" w:themeColor="text1"/>
        </w:rPr>
        <w:t xml:space="preserve">SPRAWA </w:t>
      </w:r>
      <w:r>
        <w:t>I.W. przeciwko POLSCE</w:t>
      </w:r>
    </w:p>
    <w:p w14:paraId="5460F641" w14:textId="77777777" w:rsidR="00D74888" w:rsidRPr="00A43A36" w:rsidRDefault="001871A2" w:rsidP="00A43A36">
      <w:pPr>
        <w:pStyle w:val="ECHRCoverTitle4"/>
      </w:pPr>
      <w:r>
        <w:t>(Skarga nr 17271/21)</w:t>
      </w:r>
    </w:p>
    <w:p w14:paraId="26D40CC2" w14:textId="77777777" w:rsidR="0098410D" w:rsidRPr="00A43A36" w:rsidRDefault="0098410D" w:rsidP="00A43A36">
      <w:pPr>
        <w:pStyle w:val="DecHCase"/>
      </w:pPr>
    </w:p>
    <w:p w14:paraId="2FFA4399" w14:textId="77777777" w:rsidR="0054716E" w:rsidRPr="00A43A36" w:rsidRDefault="0054716E" w:rsidP="00A43A36">
      <w:pPr>
        <w:pStyle w:val="DecHCase"/>
      </w:pPr>
    </w:p>
    <w:p w14:paraId="2F00053F" w14:textId="77777777" w:rsidR="0054716E" w:rsidRPr="00A43A36" w:rsidRDefault="0054716E" w:rsidP="00A43A36">
      <w:pPr>
        <w:pStyle w:val="DecHCase"/>
      </w:pPr>
    </w:p>
    <w:p w14:paraId="2ED6125C" w14:textId="77777777" w:rsidR="0098410D" w:rsidRPr="00A43A36" w:rsidRDefault="0098410D" w:rsidP="00A43A36">
      <w:pPr>
        <w:pStyle w:val="DecHCase"/>
      </w:pPr>
    </w:p>
    <w:p w14:paraId="658B3068" w14:textId="77777777" w:rsidR="00AC4CD4" w:rsidRPr="00A43A36" w:rsidRDefault="00AC4CD4" w:rsidP="00A43A36">
      <w:pPr>
        <w:pStyle w:val="DecHCase"/>
      </w:pPr>
    </w:p>
    <w:p w14:paraId="27CCEF95" w14:textId="77777777" w:rsidR="0098410D" w:rsidRPr="00A43A36" w:rsidRDefault="0098410D" w:rsidP="00A43A36">
      <w:pPr>
        <w:pStyle w:val="DecHCase"/>
      </w:pPr>
    </w:p>
    <w:p w14:paraId="7C0FECE2" w14:textId="77777777" w:rsidR="0098410D" w:rsidRPr="00A43A36" w:rsidRDefault="001871A2" w:rsidP="00A43A36">
      <w:pPr>
        <w:pStyle w:val="DecHCase"/>
      </w:pPr>
      <w:r>
        <w:t>WYROK</w:t>
      </w:r>
      <w:r>
        <w:br/>
      </w:r>
    </w:p>
    <w:p w14:paraId="09FF9E6E" w14:textId="77777777" w:rsidR="0098410D" w:rsidRPr="00A43A36" w:rsidRDefault="001871A2" w:rsidP="00A43A36">
      <w:pPr>
        <w:pStyle w:val="DecHCase"/>
      </w:pPr>
      <w:r>
        <w:t>STRASBURG</w:t>
      </w:r>
    </w:p>
    <w:p w14:paraId="2E6D8D0C" w14:textId="77777777" w:rsidR="0098410D" w:rsidRPr="00A43A36" w:rsidRDefault="001871A2" w:rsidP="00A43A36">
      <w:pPr>
        <w:pStyle w:val="DecHCase"/>
      </w:pPr>
      <w:r>
        <w:rPr>
          <w:rFonts w:ascii="Times New Roman" w:hAnsi="Times New Roman"/>
        </w:rPr>
        <w:t>3 września 2026 r.</w:t>
      </w:r>
    </w:p>
    <w:p w14:paraId="3BC8C9D8" w14:textId="77777777" w:rsidR="00AC4CD4" w:rsidRPr="00A43A36" w:rsidRDefault="00AC4CD4" w:rsidP="00A43A36">
      <w:pPr>
        <w:pStyle w:val="JuPara"/>
        <w:jc w:val="center"/>
      </w:pPr>
    </w:p>
    <w:p w14:paraId="20F43E0F" w14:textId="77777777" w:rsidR="002422B6" w:rsidRPr="00A43A36" w:rsidRDefault="001871A2" w:rsidP="006F3EF2">
      <w:pPr>
        <w:jc w:val="center"/>
        <w:rPr>
          <w:i/>
          <w:sz w:val="22"/>
        </w:rPr>
      </w:pPr>
      <w:r>
        <w:rPr>
          <w:i/>
          <w:sz w:val="22"/>
        </w:rPr>
        <w:t>Wyrok może podlegać korekcie wydawniczej.</w:t>
      </w:r>
    </w:p>
    <w:p w14:paraId="54FD9014" w14:textId="77777777" w:rsidR="0098410D" w:rsidRPr="00A43A36" w:rsidRDefault="0098410D" w:rsidP="00A43A36">
      <w:pPr>
        <w:sectPr w:rsidR="0098410D" w:rsidRPr="00A43A36" w:rsidSect="00D66471">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1E8D25CF" w14:textId="77777777" w:rsidR="0098410D" w:rsidRPr="00A43A36" w:rsidRDefault="001871A2" w:rsidP="00A43A36">
      <w:pPr>
        <w:pStyle w:val="JuCase"/>
      </w:pPr>
      <w:r>
        <w:lastRenderedPageBreak/>
        <w:t>W sprawie I.W. przeciwko Polsce</w:t>
      </w:r>
    </w:p>
    <w:p w14:paraId="27F0482C" w14:textId="724674E1" w:rsidR="009F4C8F" w:rsidRPr="00A43A36" w:rsidRDefault="001871A2" w:rsidP="00A43A36">
      <w:pPr>
        <w:pStyle w:val="JuPara"/>
      </w:pPr>
      <w:r>
        <w:t>Europejski Trybunał Praw Człowieka (</w:t>
      </w:r>
      <w:r w:rsidR="00170F78">
        <w:t>S</w:t>
      </w:r>
      <w:r>
        <w:t xml:space="preserve">ekcja </w:t>
      </w:r>
      <w:r w:rsidR="00170F78">
        <w:t>P</w:t>
      </w:r>
      <w:r>
        <w:t>ierwsza), zasiadając jako Komitet w składzie:</w:t>
      </w:r>
    </w:p>
    <w:p w14:paraId="480D8EE2" w14:textId="304900C1" w:rsidR="00A92625" w:rsidRPr="00A43A36" w:rsidRDefault="001871A2" w:rsidP="00A43A36">
      <w:pPr>
        <w:pStyle w:val="JuJudges"/>
      </w:pPr>
      <w:r>
        <w:tab/>
      </w:r>
      <w:proofErr w:type="spellStart"/>
      <w:r>
        <w:t>Davor</w:t>
      </w:r>
      <w:proofErr w:type="spellEnd"/>
      <w:r>
        <w:t xml:space="preserve"> </w:t>
      </w:r>
      <w:proofErr w:type="spellStart"/>
      <w:r>
        <w:t>Derenčinović</w:t>
      </w:r>
      <w:proofErr w:type="spellEnd"/>
      <w:r>
        <w:rPr>
          <w:i/>
        </w:rPr>
        <w:t xml:space="preserve">, </w:t>
      </w:r>
      <w:r w:rsidR="00170F78">
        <w:rPr>
          <w:i/>
        </w:rPr>
        <w:t>p</w:t>
      </w:r>
      <w:r>
        <w:rPr>
          <w:i/>
        </w:rPr>
        <w:t>rzewodniczący</w:t>
      </w:r>
      <w:r>
        <w:t>,</w:t>
      </w:r>
      <w:r>
        <w:br/>
      </w:r>
      <w:r>
        <w:tab/>
      </w:r>
      <w:proofErr w:type="spellStart"/>
      <w:r>
        <w:t>Artūrs</w:t>
      </w:r>
      <w:proofErr w:type="spellEnd"/>
      <w:r>
        <w:t xml:space="preserve"> </w:t>
      </w:r>
      <w:proofErr w:type="spellStart"/>
      <w:r>
        <w:t>Kučs</w:t>
      </w:r>
      <w:proofErr w:type="spellEnd"/>
      <w:r>
        <w:t>,</w:t>
      </w:r>
      <w:r>
        <w:br/>
      </w:r>
      <w:r>
        <w:tab/>
        <w:t>Anna Adamska-Gallant</w:t>
      </w:r>
      <w:r>
        <w:rPr>
          <w:i/>
        </w:rPr>
        <w:t>, sędziowie</w:t>
      </w:r>
      <w:r>
        <w:t>,</w:t>
      </w:r>
      <w:r>
        <w:br/>
        <w:t xml:space="preserve"> oraz </w:t>
      </w:r>
      <w:proofErr w:type="spellStart"/>
      <w:r>
        <w:t>Liv</w:t>
      </w:r>
      <w:proofErr w:type="spellEnd"/>
      <w:r>
        <w:t xml:space="preserve"> </w:t>
      </w:r>
      <w:proofErr w:type="spellStart"/>
      <w:r>
        <w:t>Tigerstedt</w:t>
      </w:r>
      <w:proofErr w:type="spellEnd"/>
      <w:r>
        <w:t xml:space="preserve">, </w:t>
      </w:r>
      <w:r>
        <w:rPr>
          <w:i/>
          <w:iCs/>
        </w:rPr>
        <w:t xml:space="preserve">zastępczyni </w:t>
      </w:r>
      <w:r w:rsidR="00170F78">
        <w:rPr>
          <w:i/>
          <w:iCs/>
        </w:rPr>
        <w:t>k</w:t>
      </w:r>
      <w:r>
        <w:rPr>
          <w:i/>
          <w:iCs/>
        </w:rPr>
        <w:t>anclerza Sekcji</w:t>
      </w:r>
      <w:r>
        <w:t>,</w:t>
      </w:r>
    </w:p>
    <w:p w14:paraId="4B2F5835" w14:textId="77777777" w:rsidR="001E046A" w:rsidRPr="00A43A36" w:rsidRDefault="001871A2" w:rsidP="00A43A36">
      <w:pPr>
        <w:pStyle w:val="JuPara"/>
      </w:pPr>
      <w:r>
        <w:t>mając na uwadze:</w:t>
      </w:r>
    </w:p>
    <w:p w14:paraId="7257B681" w14:textId="7BAEB949" w:rsidR="001E046A" w:rsidRPr="00A43A36" w:rsidRDefault="001871A2" w:rsidP="00A43A36">
      <w:pPr>
        <w:pStyle w:val="JuPara"/>
      </w:pPr>
      <w:r>
        <w:t>skargę (nr 17271/21) przeciwko Rzeczypospolitej Polskiej wniesioną do</w:t>
      </w:r>
      <w:r w:rsidR="00A25470">
        <w:t> </w:t>
      </w:r>
      <w:r>
        <w:t>Trybunału na podstawie art. 34 Konwencji o ochronie praw człowieka i podstawowych wolności („Konwencja”) w dniu 17 marca 2021 r. przez obywatelkę polską, I.W. („skarżąca”), urodzoną w 1972 r., zamieszkał</w:t>
      </w:r>
      <w:r w:rsidR="00A25470">
        <w:t>ą</w:t>
      </w:r>
      <w:r>
        <w:t xml:space="preserve"> w</w:t>
      </w:r>
      <w:r w:rsidR="00A25470">
        <w:t> </w:t>
      </w:r>
      <w:r>
        <w:t>Gdyni i reprezentowan</w:t>
      </w:r>
      <w:r w:rsidR="00A25470">
        <w:t>ą</w:t>
      </w:r>
      <w:r>
        <w:t>, po udzieleniu jej pomocy prawnej, przez p</w:t>
      </w:r>
      <w:r w:rsidR="00170F78">
        <w:t>ana</w:t>
      </w:r>
      <w:r w:rsidR="00A25470">
        <w:t> </w:t>
      </w:r>
      <w:r>
        <w:t>M.</w:t>
      </w:r>
      <w:r w:rsidR="00A25470">
        <w:t> </w:t>
      </w:r>
      <w:r>
        <w:t>Drzewickiego, prawnika praktykującego w Gdańsku;</w:t>
      </w:r>
    </w:p>
    <w:p w14:paraId="2A01571E" w14:textId="35FBA70B" w:rsidR="001E046A" w:rsidRPr="00A43A36" w:rsidRDefault="001871A2" w:rsidP="00A43A36">
      <w:pPr>
        <w:pStyle w:val="JuPara"/>
      </w:pPr>
      <w:r>
        <w:t>decyzję o zakomunikowaniu sprawy rządowi Rzeczypospolitej Polskiej („</w:t>
      </w:r>
      <w:r w:rsidR="00170F78">
        <w:t>r</w:t>
      </w:r>
      <w:r>
        <w:t>ząd”), reprezentowanemu przez swojego pełnomocnika, p</w:t>
      </w:r>
      <w:r w:rsidR="00170F78">
        <w:t xml:space="preserve">ana </w:t>
      </w:r>
      <w:r>
        <w:t>J. Sobczaka, a</w:t>
      </w:r>
      <w:r w:rsidR="00A25470">
        <w:t> </w:t>
      </w:r>
      <w:r>
        <w:t>następnie przez p</w:t>
      </w:r>
      <w:r w:rsidR="00CC07A1">
        <w:t>anią</w:t>
      </w:r>
      <w:r>
        <w:t xml:space="preserve"> A. Kozińską-Makowską z Ministerstwa Spraw Zagranicznych;</w:t>
      </w:r>
    </w:p>
    <w:p w14:paraId="1077F53D" w14:textId="27D0A384" w:rsidR="001E046A" w:rsidRPr="00A43A36" w:rsidRDefault="001871A2" w:rsidP="00A43A36">
      <w:pPr>
        <w:pStyle w:val="JuPara"/>
      </w:pPr>
      <w:r>
        <w:t>decyzję o nieujawnianiu nazwiska skarżące</w:t>
      </w:r>
      <w:r w:rsidR="00A25470">
        <w:t>j</w:t>
      </w:r>
      <w:r>
        <w:t>;</w:t>
      </w:r>
    </w:p>
    <w:p w14:paraId="6507E8BE" w14:textId="77777777" w:rsidR="001E046A" w:rsidRPr="00A43A36" w:rsidRDefault="001871A2" w:rsidP="00A43A36">
      <w:pPr>
        <w:pStyle w:val="JuPara"/>
      </w:pPr>
      <w:r>
        <w:t>uwagi stron,</w:t>
      </w:r>
    </w:p>
    <w:p w14:paraId="7B78BB14" w14:textId="1244334E" w:rsidR="009F4C8F" w:rsidRPr="00A43A36" w:rsidRDefault="00170F78" w:rsidP="00A43A36">
      <w:pPr>
        <w:pStyle w:val="JuPara"/>
      </w:pPr>
      <w:r w:rsidRPr="00170F78">
        <w:t xml:space="preserve">po naradzie na posiedzeniu niejawnym </w:t>
      </w:r>
      <w:r w:rsidR="001871A2">
        <w:t>w dniu 2 lipca 2026 r.,</w:t>
      </w:r>
    </w:p>
    <w:p w14:paraId="61ADEA58" w14:textId="77777777" w:rsidR="009F4C8F" w:rsidRPr="00A43A36" w:rsidRDefault="001871A2" w:rsidP="00A43A36">
      <w:pPr>
        <w:pStyle w:val="JuPara"/>
      </w:pPr>
      <w:r>
        <w:t>wydaje następujący wyrok, który został przyjęty w tym dniu:</w:t>
      </w:r>
    </w:p>
    <w:p w14:paraId="68042A60" w14:textId="77777777" w:rsidR="001E046A" w:rsidRPr="00A43A36" w:rsidRDefault="001871A2" w:rsidP="00A43A36">
      <w:pPr>
        <w:pStyle w:val="JuHHead"/>
      </w:pPr>
      <w:r>
        <w:t>PRZEDMIOT SPRAWY</w:t>
      </w:r>
    </w:p>
    <w:p w14:paraId="02DAA11C" w14:textId="5D70F6CC" w:rsidR="001E046A" w:rsidRPr="00A43A36" w:rsidRDefault="00A43A36" w:rsidP="00A43A36">
      <w:pPr>
        <w:pStyle w:val="JuPara"/>
      </w:pPr>
      <w:r w:rsidRPr="00A43A36">
        <w:fldChar w:fldCharType="begin"/>
      </w:r>
      <w:r>
        <w:instrText xml:space="preserve"> SEQ level0 \*arabic \* MERGEFORMAT </w:instrText>
      </w:r>
      <w:r w:rsidRPr="00A43A36">
        <w:fldChar w:fldCharType="separate"/>
      </w:r>
      <w:r w:rsidR="00A25470">
        <w:rPr>
          <w:noProof/>
        </w:rPr>
        <w:t>1</w:t>
      </w:r>
      <w:r w:rsidRPr="00A43A36">
        <w:fldChar w:fldCharType="end"/>
      </w:r>
      <w:r>
        <w:t>.</w:t>
      </w:r>
      <w:r w:rsidR="00A30840">
        <w:t xml:space="preserve"> </w:t>
      </w:r>
      <w:r>
        <w:t>Sprawa dotyczy odmowy zwolnienia skarżącej od kosztów sądowych, która to odmowa doprowadziła do odrzucenia wniesionego przez nią pozwu.</w:t>
      </w:r>
    </w:p>
    <w:p w14:paraId="186368CB" w14:textId="3E844D8D" w:rsidR="001E046A" w:rsidRPr="00A43A36" w:rsidRDefault="00A25470" w:rsidP="00A43A36">
      <w:pPr>
        <w:pStyle w:val="JuPara"/>
      </w:pPr>
      <w:fldSimple w:instr=" SEQ level0 \*arabic \* MERGEFORMAT ">
        <w:bookmarkStart w:id="0" w:name="paragraph00002"/>
        <w:r>
          <w:rPr>
            <w:noProof/>
          </w:rPr>
          <w:t>2</w:t>
        </w:r>
        <w:bookmarkEnd w:id="0"/>
      </w:fldSimple>
      <w:r w:rsidR="001871A2">
        <w:t>.</w:t>
      </w:r>
      <w:r w:rsidR="00A30840">
        <w:t xml:space="preserve"> </w:t>
      </w:r>
      <w:r w:rsidR="001871A2">
        <w:t>W grudniu 2019 r. skarżąca wniosła pozew przeciwko swojemu byłemu pracodawcy. Domagała się w nim odszkodowania w wysokości 250</w:t>
      </w:r>
      <w:r>
        <w:t> </w:t>
      </w:r>
      <w:r w:rsidR="001871A2">
        <w:t>000 polskich złotych (PLN – co stanowi równowartość około 58 700 euro (EUR)) oraz przeprosin za krzywdę</w:t>
      </w:r>
      <w:r>
        <w:t xml:space="preserve"> rzekomo doznaną</w:t>
      </w:r>
      <w:r w:rsidR="001871A2">
        <w:t xml:space="preserve"> w związku z</w:t>
      </w:r>
      <w:r>
        <w:t> </w:t>
      </w:r>
      <w:r w:rsidR="001871A2">
        <w:t>molestowaniem w miejscu pracy, którego, jak twierdziła, doświadczała przez cztery lata, a także za wynikającą z niego niezdolność do pracy. Złożyła wniosek o przyznanie pomocy prawnej oraz o zwolnienie od obowiązujących kosztów sądowych w wysokości 12</w:t>
      </w:r>
      <w:r w:rsidR="0030020E">
        <w:t> </w:t>
      </w:r>
      <w:r w:rsidR="001871A2">
        <w:t>500 PLN (około 3000 EUR). Na</w:t>
      </w:r>
      <w:r>
        <w:t> </w:t>
      </w:r>
      <w:r w:rsidR="001871A2">
        <w:t>potwierdzenie złożyła oświadczenie o majątku – z którego wynikało, że</w:t>
      </w:r>
      <w:r>
        <w:t> </w:t>
      </w:r>
      <w:r w:rsidR="001871A2">
        <w:t>nie posiadała żadnych dochodów, a jej zadłużenie wynosiło około 70</w:t>
      </w:r>
      <w:r w:rsidR="0030020E">
        <w:t> </w:t>
      </w:r>
      <w:r w:rsidR="001871A2">
        <w:t>000 PLN (około 16</w:t>
      </w:r>
      <w:r w:rsidR="0030020E">
        <w:t> </w:t>
      </w:r>
      <w:r w:rsidR="001871A2">
        <w:t>400 EUR) – a także zaświadczenia o posiadaniu statusu osoby bezrobotnej i o braku prawa do zasiłku dla bezrobotnych.</w:t>
      </w:r>
    </w:p>
    <w:p w14:paraId="38B80160" w14:textId="7E75B43C" w:rsidR="001E046A" w:rsidRPr="00A43A36" w:rsidRDefault="00A43A36" w:rsidP="00A43A36">
      <w:pPr>
        <w:pStyle w:val="JuPara"/>
      </w:pPr>
      <w:r w:rsidRPr="00A43A36">
        <w:fldChar w:fldCharType="begin"/>
      </w:r>
      <w:r>
        <w:instrText xml:space="preserve"> SEQ level0 \*arabic \* MERGEFORMAT </w:instrText>
      </w:r>
      <w:r w:rsidRPr="00A43A36">
        <w:fldChar w:fldCharType="separate"/>
      </w:r>
      <w:r w:rsidR="00A25470">
        <w:rPr>
          <w:noProof/>
        </w:rPr>
        <w:t>3</w:t>
      </w:r>
      <w:r w:rsidRPr="00A43A36">
        <w:fldChar w:fldCharType="end"/>
      </w:r>
      <w:r>
        <w:t>.</w:t>
      </w:r>
      <w:r w:rsidR="00A30840">
        <w:t xml:space="preserve"> </w:t>
      </w:r>
      <w:r>
        <w:t>W dniu 5 lutego 2020 r. Sąd Okręgowy w Gdańsku nakazał skarżącej udzielić dodatkowych informacji. Między innymi zwrócono się do niej o</w:t>
      </w:r>
      <w:r w:rsidR="00A25470">
        <w:t> </w:t>
      </w:r>
      <w:r>
        <w:t>wskazanie, czy otrzymała już kwotę 45</w:t>
      </w:r>
      <w:r w:rsidR="0030020E">
        <w:t> </w:t>
      </w:r>
      <w:r>
        <w:t>000 PLN (około 10</w:t>
      </w:r>
      <w:r w:rsidR="0030020E">
        <w:t> </w:t>
      </w:r>
      <w:r>
        <w:t>600 EUR), która została jej przyznana w ramach odrębnego postępowania przeciwko byłemu pracodawcy.</w:t>
      </w:r>
    </w:p>
    <w:p w14:paraId="06199140" w14:textId="049070C4" w:rsidR="001E046A" w:rsidRPr="00A43A36" w:rsidRDefault="00A25470" w:rsidP="00A43A36">
      <w:pPr>
        <w:pStyle w:val="JuPara"/>
      </w:pPr>
      <w:fldSimple w:instr=" SEQ level0 \*arabic \* MERGEFORMAT ">
        <w:bookmarkStart w:id="1" w:name="paragraph00004"/>
        <w:r>
          <w:rPr>
            <w:noProof/>
          </w:rPr>
          <w:t>4</w:t>
        </w:r>
        <w:bookmarkEnd w:id="1"/>
      </w:fldSimple>
      <w:r w:rsidR="001871A2">
        <w:t>.</w:t>
      </w:r>
      <w:r w:rsidR="00A30840">
        <w:t xml:space="preserve"> </w:t>
      </w:r>
      <w:r w:rsidR="001871A2">
        <w:t>Skarżąca odpowiedziała, że otrzymuje miesięczne stypendium w</w:t>
      </w:r>
      <w:r w:rsidR="004C0FA2">
        <w:t> </w:t>
      </w:r>
      <w:r w:rsidR="001871A2">
        <w:t>wysokości 700 PLN (około 165 EUR) w ramach studiów, kwoty ze</w:t>
      </w:r>
      <w:r w:rsidR="004C0FA2">
        <w:t> </w:t>
      </w:r>
      <w:r w:rsidR="001871A2">
        <w:t>sporadycznych prywatnych pożyczek oraz wsparcie od rodziców i syna. Potwierdziła, że w marcu 2019 r. otrzymała kwotę, o której wspomniał Sąd Okręgowy, ale stwierdziła, że wykorzystała ją już do spłaty części swojego zadłużenia.</w:t>
      </w:r>
    </w:p>
    <w:p w14:paraId="1DE601C5" w14:textId="3442B232" w:rsidR="001E046A" w:rsidRPr="00A43A36" w:rsidRDefault="00A25470" w:rsidP="00A43A36">
      <w:pPr>
        <w:pStyle w:val="JuPara"/>
      </w:pPr>
      <w:fldSimple w:instr=" SEQ level0 \*arabic \* MERGEFORMAT ">
        <w:bookmarkStart w:id="2" w:name="paragraph00005"/>
        <w:r>
          <w:rPr>
            <w:noProof/>
          </w:rPr>
          <w:t>5</w:t>
        </w:r>
        <w:bookmarkEnd w:id="2"/>
      </w:fldSimple>
      <w:r w:rsidR="001871A2">
        <w:t>.</w:t>
      </w:r>
      <w:r w:rsidR="00A30840">
        <w:t xml:space="preserve"> </w:t>
      </w:r>
      <w:r w:rsidR="001871A2">
        <w:t>W dniu 5 kwietnia 2020 r. Sąd Okręgowy oddalił wnioski o przyznanie pomocy prawnej oraz o zwolnienie z kosztów sądowych, uznając, że skarżąca nie przedstawiła wyczerpujących informacji. Sąd zauważył, że</w:t>
      </w:r>
      <w:r w:rsidR="004C0FA2">
        <w:t> </w:t>
      </w:r>
      <w:r w:rsidR="001871A2">
        <w:t>w</w:t>
      </w:r>
      <w:r w:rsidR="004C0FA2">
        <w:t> </w:t>
      </w:r>
      <w:r w:rsidR="001871A2">
        <w:t>oświadczeniu o majątku skarżąca nie wykazała żadnych dochodów, podczas gdy jej wydatki (nieobejmujące między innymi wyżywienia i</w:t>
      </w:r>
      <w:r w:rsidR="004C0FA2">
        <w:t> </w:t>
      </w:r>
      <w:r w:rsidR="001871A2">
        <w:t>odzieży) opiewały na kwotę około 1050 PLN (około 250 EUR) miesięcznie; skarżąca nie wyjaśniła w uzasadniony sposób, jak te wydatki zostały pokryte. Sąd Okręgowy nie uznał za przekonujące twierdzenia, że skarżąca i jej mąż utrzymywali się wyłącznie z pożyczek udzielonych przez jej rodziców, których to pożyczek również nie uwzględniono w oświadczeniu. Sąd Okręgowy uznał również, że skarżąca posiadała wystarczające kwalifikacje do tego, by znaleźć zatrudnienie, oraz że nie wyjaśniła, dlaczego jej rzekomo chory mąż nie złożył wniosku o zasiłek z tytułu niezdolności do pracy. Zauważył również, że skarżąca poinformowała Sąd o stypendium dopiero po</w:t>
      </w:r>
      <w:r w:rsidR="004C0FA2">
        <w:t> </w:t>
      </w:r>
      <w:r w:rsidR="001871A2">
        <w:t>otrzymaniu wezwania do udzielenia dodatkowych informacji, i doszedł do</w:t>
      </w:r>
      <w:r w:rsidR="004C0FA2">
        <w:t> </w:t>
      </w:r>
      <w:r w:rsidR="001871A2">
        <w:t>wniosku, iż możliwe jest, że nie ujawniła ona również innych źródeł dochodów.</w:t>
      </w:r>
    </w:p>
    <w:p w14:paraId="1BDE9AEA" w14:textId="7DBAFB55" w:rsidR="001E046A" w:rsidRPr="00A43A36" w:rsidRDefault="00A43A36" w:rsidP="00A43A36">
      <w:pPr>
        <w:pStyle w:val="JuPara"/>
      </w:pPr>
      <w:r w:rsidRPr="00A43A36">
        <w:fldChar w:fldCharType="begin"/>
      </w:r>
      <w:r>
        <w:instrText xml:space="preserve"> SEQ level0 \*arabic \* MERGEFORMAT </w:instrText>
      </w:r>
      <w:r w:rsidRPr="00A43A36">
        <w:fldChar w:fldCharType="separate"/>
      </w:r>
      <w:r w:rsidR="00A25470">
        <w:rPr>
          <w:noProof/>
        </w:rPr>
        <w:t>6</w:t>
      </w:r>
      <w:r w:rsidRPr="00A43A36">
        <w:fldChar w:fldCharType="end"/>
      </w:r>
      <w:r>
        <w:t>.</w:t>
      </w:r>
      <w:r w:rsidR="00A30840">
        <w:t xml:space="preserve"> </w:t>
      </w:r>
      <w:r>
        <w:t>W odniesieniu do kwoty, którą wcześniej przyznano skarżącej, Sąd Okręgowy uznał, że skarżąca powinna była zaoszczędzić jej część, a</w:t>
      </w:r>
      <w:r w:rsidR="004C0FA2">
        <w:t> </w:t>
      </w:r>
      <w:r>
        <w:t>w</w:t>
      </w:r>
      <w:r w:rsidR="004C0FA2">
        <w:t> </w:t>
      </w:r>
      <w:r>
        <w:t>odniesieniu do jej zadłużenia Sąd stwierdził, że Skarb Państwa nie może przejąć obowiązku uiszczania opłat sądowych za osoby, które postanowiły poprawić swój standard życia, biorąc pożyczki.</w:t>
      </w:r>
    </w:p>
    <w:p w14:paraId="45E9CD43" w14:textId="0948DD8C" w:rsidR="001E046A" w:rsidRPr="00A43A36" w:rsidRDefault="00A25470" w:rsidP="00A43A36">
      <w:pPr>
        <w:pStyle w:val="JuPara"/>
      </w:pPr>
      <w:fldSimple w:instr=" SEQ level0 \*arabic \* MERGEFORMAT ">
        <w:bookmarkStart w:id="3" w:name="paragraph00007"/>
        <w:r>
          <w:rPr>
            <w:noProof/>
          </w:rPr>
          <w:t>7</w:t>
        </w:r>
        <w:bookmarkEnd w:id="3"/>
      </w:fldSimple>
      <w:r w:rsidR="001871A2">
        <w:t>.</w:t>
      </w:r>
      <w:r w:rsidR="00A30840">
        <w:t xml:space="preserve"> </w:t>
      </w:r>
      <w:r w:rsidR="001871A2">
        <w:t>Skarżąca złożyła zażalenie, w którym stwierdziła, że nie posiada stałego dochodu. Dodała, że dopiero niedawno lokalny ośrodek pomocy społecznej przyznał jej i jej mężowi zasiłek stały oraz pomoc żywnościową (w łącznej wysokości 728 PLN (około 170 EUR) miesięcznie).</w:t>
      </w:r>
    </w:p>
    <w:p w14:paraId="35745D68" w14:textId="4B680C77" w:rsidR="001E046A" w:rsidRPr="00A43A36" w:rsidRDefault="00A25470" w:rsidP="00A43A36">
      <w:pPr>
        <w:pStyle w:val="JuPara"/>
      </w:pPr>
      <w:fldSimple w:instr=" SEQ level0 \*arabic \* MERGEFORMAT ">
        <w:bookmarkStart w:id="4" w:name="paragraph00008"/>
        <w:r>
          <w:rPr>
            <w:noProof/>
          </w:rPr>
          <w:t>8</w:t>
        </w:r>
        <w:bookmarkEnd w:id="4"/>
      </w:fldSimple>
      <w:r w:rsidR="001871A2">
        <w:t>.</w:t>
      </w:r>
      <w:r w:rsidR="00A30840">
        <w:t xml:space="preserve"> </w:t>
      </w:r>
      <w:r w:rsidR="001871A2">
        <w:t>W dniu 28 sierpnia 2020 r. Sąd Okręgowy oddalił zażalenie, stwierdzając, że mimo trudnej sytuacji skarżąca była w stanie uiścić opłatę. Najważniejszym czynnikiem w mniemaniu Sądu było to, że skarżącej nie udało się zaoszczędzić części uprzednio wypłaconej kwoty. Chociaż uznano, że przyznano jej zasiłki przeznaczone dla osób niezdolnych do pracy, pojawiły się wątpliwości, dlaczego ona i jej mąż nie ubiegali się o inne świadczenia finansowane z ubezpieczenia społecznego.</w:t>
      </w:r>
    </w:p>
    <w:p w14:paraId="4C301EFF" w14:textId="71B30B71" w:rsidR="001E046A" w:rsidRPr="00A43A36" w:rsidRDefault="00A25470" w:rsidP="00A43A36">
      <w:pPr>
        <w:pStyle w:val="JuPara"/>
      </w:pPr>
      <w:fldSimple w:instr=" SEQ level0 \*arabic \* MERGEFORMAT ">
        <w:bookmarkStart w:id="5" w:name="paragraph00009"/>
        <w:r>
          <w:rPr>
            <w:noProof/>
          </w:rPr>
          <w:t>9</w:t>
        </w:r>
        <w:bookmarkEnd w:id="5"/>
      </w:fldSimple>
      <w:r w:rsidR="001871A2">
        <w:t>.</w:t>
      </w:r>
      <w:r w:rsidR="00A30840">
        <w:t xml:space="preserve"> </w:t>
      </w:r>
      <w:r w:rsidR="001871A2">
        <w:t>W dniu 23 listopada 2020 r. Sąd Okręgowy zwrócił nieopłacony pozew.</w:t>
      </w:r>
    </w:p>
    <w:p w14:paraId="6D21E9A9" w14:textId="7CCAE290" w:rsidR="001E046A" w:rsidRPr="00A43A36" w:rsidRDefault="00A43A36" w:rsidP="00A43A36">
      <w:pPr>
        <w:pStyle w:val="JuPara"/>
      </w:pPr>
      <w:r w:rsidRPr="00A43A36">
        <w:fldChar w:fldCharType="begin"/>
      </w:r>
      <w:r>
        <w:instrText xml:space="preserve"> SEQ level0 \*arabic \* MERGEFORMAT </w:instrText>
      </w:r>
      <w:r w:rsidRPr="00A43A36">
        <w:fldChar w:fldCharType="separate"/>
      </w:r>
      <w:r w:rsidR="00A25470">
        <w:rPr>
          <w:noProof/>
        </w:rPr>
        <w:t>10</w:t>
      </w:r>
      <w:r w:rsidRPr="00A43A36">
        <w:fldChar w:fldCharType="end"/>
      </w:r>
      <w:r>
        <w:t>.</w:t>
      </w:r>
      <w:r w:rsidR="00A30840">
        <w:t xml:space="preserve"> </w:t>
      </w:r>
      <w:r>
        <w:t>Przed Trybunałem skarżąca zarzuciła, że oddalenie jej wniosku o</w:t>
      </w:r>
      <w:r w:rsidR="004C0FA2">
        <w:t> </w:t>
      </w:r>
      <w:r>
        <w:t>zwolnienie od kosztów sądowych spowodowało nieproporcjonalne ograniczenie jej prawa dostępu do sądu, zagwarantowanego w art. 6 ust. 1 Konwencji.</w:t>
      </w:r>
    </w:p>
    <w:p w14:paraId="490DEE1B" w14:textId="77777777" w:rsidR="001E046A" w:rsidRPr="00A43A36" w:rsidRDefault="001871A2" w:rsidP="00A43A36">
      <w:pPr>
        <w:pStyle w:val="JuHHead"/>
        <w:numPr>
          <w:ilvl w:val="0"/>
          <w:numId w:val="2"/>
        </w:numPr>
      </w:pPr>
      <w:r>
        <w:lastRenderedPageBreak/>
        <w:t>OCENA TRYBUNAŁU</w:t>
      </w:r>
    </w:p>
    <w:p w14:paraId="3674696F" w14:textId="27A21500" w:rsidR="001E046A" w:rsidRPr="00A43A36" w:rsidRDefault="00A43A36" w:rsidP="00A43A36">
      <w:pPr>
        <w:pStyle w:val="JuPara"/>
      </w:pPr>
      <w:r w:rsidRPr="00A43A36">
        <w:fldChar w:fldCharType="begin"/>
      </w:r>
      <w:r>
        <w:instrText xml:space="preserve"> SEQ level0 \*arabic \* MERGEFORMAT </w:instrText>
      </w:r>
      <w:r w:rsidRPr="00A43A36">
        <w:fldChar w:fldCharType="separate"/>
      </w:r>
      <w:r w:rsidR="00A25470">
        <w:rPr>
          <w:noProof/>
        </w:rPr>
        <w:t>11</w:t>
      </w:r>
      <w:r w:rsidRPr="00A43A36">
        <w:fldChar w:fldCharType="end"/>
      </w:r>
      <w:r>
        <w:t>.</w:t>
      </w:r>
      <w:r w:rsidR="00A30840">
        <w:t xml:space="preserve"> </w:t>
      </w:r>
      <w:r>
        <w:t xml:space="preserve">Rząd stwierdził, że skarżąca nie wyczerpała krajowych środków prawnych, nie wnosząc zażalenia </w:t>
      </w:r>
      <w:r w:rsidR="0030020E">
        <w:t xml:space="preserve">na </w:t>
      </w:r>
      <w:r>
        <w:t>postanowieni</w:t>
      </w:r>
      <w:r w:rsidR="0030020E">
        <w:t>e</w:t>
      </w:r>
      <w:r>
        <w:t xml:space="preserve"> o zwrocie pozwu (zob.</w:t>
      </w:r>
      <w:r w:rsidR="007B1B6A">
        <w:t> </w:t>
      </w:r>
      <w:r>
        <w:t xml:space="preserve">par. </w:t>
      </w:r>
      <w:r w:rsidRPr="00A43A36">
        <w:fldChar w:fldCharType="begin"/>
      </w:r>
      <w:r w:rsidRPr="00A43A36">
        <w:instrText xml:space="preserve"> REF paragraph00009 \h  \* CharFormat </w:instrText>
      </w:r>
      <w:r w:rsidRPr="00A43A36">
        <w:fldChar w:fldCharType="separate"/>
      </w:r>
      <w:r w:rsidR="00A25470">
        <w:t>9</w:t>
      </w:r>
      <w:r w:rsidRPr="00A43A36">
        <w:fldChar w:fldCharType="end"/>
      </w:r>
      <w:r>
        <w:t xml:space="preserve"> powyżej). Trybunał powtarza, że skarżący są zobowiązani do</w:t>
      </w:r>
      <w:r w:rsidR="007B1B6A">
        <w:t> </w:t>
      </w:r>
      <w:r>
        <w:t>skorzystania wyłącznie ze środków odwoławczych, które umożliwiają bezpośrednie zaradzenie sytuacji i dają uzasadnione szanse na powodzenie (</w:t>
      </w:r>
      <w:bookmarkStart w:id="6" w:name="_cl39121THECOURTSASSESSMENT"/>
      <w:r>
        <w:t>zob. </w:t>
      </w:r>
      <w:r>
        <w:rPr>
          <w:i/>
        </w:rPr>
        <w:t xml:space="preserve">Vučković i </w:t>
      </w:r>
      <w:r w:rsidR="007B1B6A">
        <w:rPr>
          <w:i/>
        </w:rPr>
        <w:t xml:space="preserve">Inni </w:t>
      </w:r>
      <w:r>
        <w:rPr>
          <w:i/>
        </w:rPr>
        <w:t>przeciwko Serbii</w:t>
      </w:r>
      <w:bookmarkEnd w:id="6"/>
      <w:r>
        <w:t xml:space="preserve"> (zastrzeżenie wstępne) [WI], skarga nr 17153/11 i 29 innych, § 73, 25 marca 2014 r.). W niniejszej sprawie Trybunał stwierdza, że skarżąca skorzystała z krajowego środka odwoławczego, wnosząc zażalenie od postanowienia z dnia 5 kwietnia 2020</w:t>
      </w:r>
      <w:r w:rsidR="00DC3DEE">
        <w:t> </w:t>
      </w:r>
      <w:r>
        <w:t xml:space="preserve">r. o oddaleniu jej wniosku o zwolnienie od kosztów sądowych (zob. par. </w:t>
      </w:r>
      <w:r w:rsidRPr="00A43A36">
        <w:fldChar w:fldCharType="begin"/>
      </w:r>
      <w:r w:rsidRPr="00A43A36">
        <w:instrText xml:space="preserve"> REF paragraph00007 \h  \* CharFormat </w:instrText>
      </w:r>
      <w:r w:rsidRPr="00A43A36">
        <w:fldChar w:fldCharType="separate"/>
      </w:r>
      <w:r w:rsidR="00A25470">
        <w:t>7</w:t>
      </w:r>
      <w:r w:rsidRPr="00A43A36">
        <w:fldChar w:fldCharType="end"/>
      </w:r>
      <w:r>
        <w:t xml:space="preserve"> powyżej).</w:t>
      </w:r>
    </w:p>
    <w:p w14:paraId="2AFDA92F" w14:textId="100C7573" w:rsidR="001E046A" w:rsidRPr="00A43A36" w:rsidRDefault="00A43A36" w:rsidP="00A43A36">
      <w:pPr>
        <w:pStyle w:val="JuPara"/>
      </w:pPr>
      <w:r w:rsidRPr="00A43A36">
        <w:fldChar w:fldCharType="begin"/>
      </w:r>
      <w:r>
        <w:instrText xml:space="preserve"> SEQ level0 \*arabic \* MERGEFORMAT </w:instrText>
      </w:r>
      <w:r w:rsidRPr="00A43A36">
        <w:fldChar w:fldCharType="separate"/>
      </w:r>
      <w:r w:rsidR="00A25470">
        <w:rPr>
          <w:noProof/>
        </w:rPr>
        <w:t>12</w:t>
      </w:r>
      <w:r w:rsidRPr="00A43A36">
        <w:fldChar w:fldCharType="end"/>
      </w:r>
      <w:r>
        <w:t>.</w:t>
      </w:r>
      <w:r w:rsidR="00A30840">
        <w:t xml:space="preserve"> </w:t>
      </w:r>
      <w:r>
        <w:t>Jeśli chodzi o możliwość wniesienia zażalenia od późniejszego postanowienia o zwrocie pozwu, Trybunał nie jest przekonany, że takie zażalenie byłoby skuteczne, ponieważ sąd odwoławczy nie byłby upoważniony do ponownego rozpatrzenia odmowy zwolnienia skarżącej od</w:t>
      </w:r>
      <w:r w:rsidR="00DC3DEE">
        <w:t> </w:t>
      </w:r>
      <w:r>
        <w:t>kosztów sądowych, jako że kwestia ta została już rozstrzygnięta w</w:t>
      </w:r>
      <w:r w:rsidR="00DC3DEE">
        <w:t> </w:t>
      </w:r>
      <w:r>
        <w:t xml:space="preserve">prawomocnym postanowieniu z dnia 28 sierpnia 2020 r. (zob. par. </w:t>
      </w:r>
      <w:r w:rsidRPr="00A43A36">
        <w:fldChar w:fldCharType="begin"/>
      </w:r>
      <w:r w:rsidRPr="00A43A36">
        <w:instrText xml:space="preserve"> REF paragraph00008 \h  \* CharFormat </w:instrText>
      </w:r>
      <w:r w:rsidRPr="00A43A36">
        <w:fldChar w:fldCharType="separate"/>
      </w:r>
      <w:r w:rsidR="00A25470">
        <w:t>8</w:t>
      </w:r>
      <w:r w:rsidRPr="00A43A36">
        <w:fldChar w:fldCharType="end"/>
      </w:r>
      <w:r>
        <w:t xml:space="preserve"> powyżej). Wynika z tego, że rzeczone zastrzeżenie wstępne należy odrzucić.</w:t>
      </w:r>
    </w:p>
    <w:p w14:paraId="60502C17" w14:textId="49026517" w:rsidR="001E046A" w:rsidRPr="00A43A36" w:rsidRDefault="00A43A36" w:rsidP="00A43A36">
      <w:pPr>
        <w:pStyle w:val="JuPara"/>
      </w:pPr>
      <w:r w:rsidRPr="00A43A36">
        <w:fldChar w:fldCharType="begin"/>
      </w:r>
      <w:r>
        <w:instrText xml:space="preserve"> SEQ level0 \*arabic \* MERGEFORMAT </w:instrText>
      </w:r>
      <w:r w:rsidRPr="00A43A36">
        <w:fldChar w:fldCharType="separate"/>
      </w:r>
      <w:r w:rsidR="00A25470">
        <w:rPr>
          <w:noProof/>
        </w:rPr>
        <w:t>13</w:t>
      </w:r>
      <w:r w:rsidRPr="00A43A36">
        <w:fldChar w:fldCharType="end"/>
      </w:r>
      <w:r>
        <w:t>.</w:t>
      </w:r>
      <w:r w:rsidR="00A30840">
        <w:t xml:space="preserve"> </w:t>
      </w:r>
      <w:r>
        <w:t>Trybunał zauważa, że zarzut nie jest w sposób oczywisty nieuzasadniony w rozumieniu art. 35 ust.</w:t>
      </w:r>
      <w:r w:rsidR="00DC3DEE">
        <w:t xml:space="preserve"> </w:t>
      </w:r>
      <w:r>
        <w:t>3</w:t>
      </w:r>
      <w:r w:rsidR="00DC3DEE">
        <w:t xml:space="preserve"> </w:t>
      </w:r>
      <w:r>
        <w:t>lit.</w:t>
      </w:r>
      <w:r w:rsidR="00DC3DEE">
        <w:t xml:space="preserve"> </w:t>
      </w:r>
      <w:r>
        <w:t>a) Konwencji ani nie jest niedopuszczalny z jakichkolwiek innych względów. Należy go zatem uznać za dopuszczalny.</w:t>
      </w:r>
    </w:p>
    <w:p w14:paraId="7EB85B26" w14:textId="7BECF28D" w:rsidR="001E046A" w:rsidRPr="00A43A36" w:rsidRDefault="00A43A36" w:rsidP="00A43A36">
      <w:pPr>
        <w:pStyle w:val="JuPara"/>
      </w:pPr>
      <w:r w:rsidRPr="00A43A36">
        <w:fldChar w:fldCharType="begin"/>
      </w:r>
      <w:r>
        <w:instrText xml:space="preserve"> SEQ level0 \*arabic \* MERGEFORMAT </w:instrText>
      </w:r>
      <w:r w:rsidRPr="00A43A36">
        <w:fldChar w:fldCharType="separate"/>
      </w:r>
      <w:r w:rsidR="00A25470">
        <w:rPr>
          <w:noProof/>
        </w:rPr>
        <w:t>14</w:t>
      </w:r>
      <w:r w:rsidRPr="00A43A36">
        <w:fldChar w:fldCharType="end"/>
      </w:r>
      <w:r>
        <w:t>.</w:t>
      </w:r>
      <w:r w:rsidR="00A30840">
        <w:t xml:space="preserve"> </w:t>
      </w:r>
      <w:r>
        <w:t>Ogólne zasady dotyczące dostępu do sądu zostały podsumowane w</w:t>
      </w:r>
      <w:r w:rsidR="00DC3DEE">
        <w:t> </w:t>
      </w:r>
      <w:r>
        <w:t xml:space="preserve">wyroku w sprawie </w:t>
      </w:r>
      <w:bookmarkStart w:id="7" w:name="_cl40008THECOURTSASSESSMENT"/>
      <w:r>
        <w:rPr>
          <w:i/>
        </w:rPr>
        <w:t>Zubac przeciwko Chorwacji</w:t>
      </w:r>
      <w:bookmarkEnd w:id="7"/>
      <w:r>
        <w:t xml:space="preserve"> ([WI], skarga nr 40160/12, §§ 76</w:t>
      </w:r>
      <w:r w:rsidR="00541FEB">
        <w:t>-</w:t>
      </w:r>
      <w:r>
        <w:t xml:space="preserve">79, 5 kwietnia 2018 r.), a w kontekście nieuiszczenia opłat sądowych – w wyroku w sprawie </w:t>
      </w:r>
      <w:r>
        <w:rPr>
          <w:i/>
        </w:rPr>
        <w:t>Kreuz przeciwko Polsce</w:t>
      </w:r>
      <w:r>
        <w:t xml:space="preserve"> (skarga nr 28249/95, §§ 52</w:t>
      </w:r>
      <w:r w:rsidR="00541FEB">
        <w:t>-</w:t>
      </w:r>
      <w:r>
        <w:t>57, ETPC 2001-VI).</w:t>
      </w:r>
    </w:p>
    <w:p w14:paraId="018DB71F" w14:textId="4C220B33" w:rsidR="001E046A" w:rsidRPr="00A43A36" w:rsidRDefault="00A43A36" w:rsidP="00A43A36">
      <w:pPr>
        <w:pStyle w:val="JuPara"/>
      </w:pPr>
      <w:r w:rsidRPr="00A43A36">
        <w:fldChar w:fldCharType="begin"/>
      </w:r>
      <w:r>
        <w:instrText xml:space="preserve"> SEQ level0 \*arabic \* MERGEFORMAT </w:instrText>
      </w:r>
      <w:r w:rsidRPr="00A43A36">
        <w:fldChar w:fldCharType="separate"/>
      </w:r>
      <w:r w:rsidR="00A25470">
        <w:rPr>
          <w:noProof/>
        </w:rPr>
        <w:t>15</w:t>
      </w:r>
      <w:r w:rsidRPr="00A43A36">
        <w:fldChar w:fldCharType="end"/>
      </w:r>
      <w:r>
        <w:t>.</w:t>
      </w:r>
      <w:r w:rsidR="00A30840">
        <w:t xml:space="preserve"> </w:t>
      </w:r>
      <w:r>
        <w:t>Trybunał zauważa, że orzeczenia krajowe oparte były zasadniczo na</w:t>
      </w:r>
      <w:r w:rsidR="00541FEB">
        <w:t> </w:t>
      </w:r>
      <w:r>
        <w:t>trzech głównych powodach: i) niekompletność i niewiarygodność oświadczeń skarżącej; ii) nieoszczędzenie przez skarżącą części kwoty, którą uprzednio jej przyznano; iii) niepodjęcie, ani przez skarżącą, ani przez jej męża, nowego zatrudnienia ani nieubieganie się przez nich o świadczenia z</w:t>
      </w:r>
      <w:r w:rsidR="00541FEB">
        <w:t> </w:t>
      </w:r>
      <w:r>
        <w:t>ubezpieczenia społecznego.</w:t>
      </w:r>
    </w:p>
    <w:p w14:paraId="34B6CC8C" w14:textId="511486A8" w:rsidR="001E046A" w:rsidRPr="00A43A36" w:rsidRDefault="00A43A36" w:rsidP="00A43A36">
      <w:pPr>
        <w:pStyle w:val="JuPara"/>
      </w:pPr>
      <w:r w:rsidRPr="00A43A36">
        <w:fldChar w:fldCharType="begin"/>
      </w:r>
      <w:r>
        <w:instrText xml:space="preserve"> SEQ level0 \*arabic \* MERGEFORMAT </w:instrText>
      </w:r>
      <w:r w:rsidRPr="00A43A36">
        <w:fldChar w:fldCharType="separate"/>
      </w:r>
      <w:r w:rsidR="00A25470">
        <w:rPr>
          <w:noProof/>
        </w:rPr>
        <w:t>16</w:t>
      </w:r>
      <w:r w:rsidRPr="00A43A36">
        <w:fldChar w:fldCharType="end"/>
      </w:r>
      <w:r>
        <w:t>.</w:t>
      </w:r>
      <w:r w:rsidR="00A30840">
        <w:t xml:space="preserve"> </w:t>
      </w:r>
      <w:r>
        <w:t>Trybunał zauważa, że Sąd Okręgowy zarzucił skarżącej, iż nie wyjaśniła w dostatecznym stopniu swojej sytuacji finansowej. Faktycznie we</w:t>
      </w:r>
      <w:r w:rsidR="00541FEB">
        <w:t> </w:t>
      </w:r>
      <w:r>
        <w:t>wstępnych oświadczeniach skarżąca nie zadeklarowała żadnych dochodów, a jedynym załączonym dokumentem było zaświadczenie o</w:t>
      </w:r>
      <w:r w:rsidR="00541FEB">
        <w:t> </w:t>
      </w:r>
      <w:r>
        <w:t xml:space="preserve">statusie osoby bezrobotnej (zob. par. </w:t>
      </w:r>
      <w:r w:rsidRPr="00A43A36">
        <w:fldChar w:fldCharType="begin"/>
      </w:r>
      <w:r w:rsidRPr="00A43A36">
        <w:instrText xml:space="preserve"> REF paragraph00002 \h  \* CharFormat </w:instrText>
      </w:r>
      <w:r w:rsidRPr="00A43A36">
        <w:fldChar w:fldCharType="separate"/>
      </w:r>
      <w:r w:rsidR="00A25470">
        <w:t>2</w:t>
      </w:r>
      <w:r w:rsidRPr="00A43A36">
        <w:fldChar w:fldCharType="end"/>
      </w:r>
      <w:r>
        <w:t xml:space="preserve"> powyżej). W odpowiedzi na</w:t>
      </w:r>
      <w:r w:rsidR="00541FEB">
        <w:t> </w:t>
      </w:r>
      <w:r>
        <w:t xml:space="preserve">wezwanie do udzielenia dodatkowych informacji skarżąca przedstawiła jednak bardziej szczegółowy opis swojej sytuacji i załączyła odpowiednie dokumenty, w tym wyciągi bankowe z ostatnich sześciu miesięcy, ostatnią deklarację podatkową oraz dokumenty dotyczące egzekucji długów jej i jej </w:t>
      </w:r>
      <w:r>
        <w:lastRenderedPageBreak/>
        <w:t xml:space="preserve">męża (zob. par. </w:t>
      </w:r>
      <w:r w:rsidRPr="00A43A36">
        <w:fldChar w:fldCharType="begin"/>
      </w:r>
      <w:r w:rsidRPr="00A43A36">
        <w:instrText xml:space="preserve"> REF paragraph00004 \h  \* CharFormat </w:instrText>
      </w:r>
      <w:r w:rsidRPr="00A43A36">
        <w:fldChar w:fldCharType="separate"/>
      </w:r>
      <w:r w:rsidR="00A25470">
        <w:t>4</w:t>
      </w:r>
      <w:r w:rsidRPr="00A43A36">
        <w:fldChar w:fldCharType="end"/>
      </w:r>
      <w:r>
        <w:t xml:space="preserve"> powyżej). Sąd Okręgowy uznał jednak wyjaśnienia skarżącej za ogółem niewiarygodne i stwierdził, iż możliwe jest, że skarżąca ukrywała swoje dochody (zob. par. </w:t>
      </w:r>
      <w:r w:rsidRPr="00A43A36">
        <w:fldChar w:fldCharType="begin"/>
      </w:r>
      <w:r w:rsidRPr="00A43A36">
        <w:instrText xml:space="preserve"> REF paragraph00005 \h  \* CharFormat </w:instrText>
      </w:r>
      <w:r w:rsidRPr="00A43A36">
        <w:fldChar w:fldCharType="separate"/>
      </w:r>
      <w:r w:rsidR="00A25470">
        <w:t>5</w:t>
      </w:r>
      <w:r w:rsidRPr="00A43A36">
        <w:fldChar w:fldCharType="end"/>
      </w:r>
      <w:r>
        <w:t xml:space="preserve"> powyżej).</w:t>
      </w:r>
    </w:p>
    <w:p w14:paraId="63D1D7BF" w14:textId="1B7EC0C9" w:rsidR="001E046A" w:rsidRPr="00A43A36" w:rsidRDefault="00A43A36" w:rsidP="00A43A36">
      <w:pPr>
        <w:pStyle w:val="JuPara"/>
      </w:pPr>
      <w:r w:rsidRPr="00A43A36">
        <w:fldChar w:fldCharType="begin"/>
      </w:r>
      <w:r>
        <w:instrText xml:space="preserve"> SEQ level0 \*arabic \* MERGEFORMAT </w:instrText>
      </w:r>
      <w:r w:rsidRPr="00A43A36">
        <w:fldChar w:fldCharType="separate"/>
      </w:r>
      <w:r w:rsidR="00A25470">
        <w:rPr>
          <w:noProof/>
        </w:rPr>
        <w:t>17</w:t>
      </w:r>
      <w:r w:rsidRPr="00A43A36">
        <w:fldChar w:fldCharType="end"/>
      </w:r>
      <w:r>
        <w:t>.</w:t>
      </w:r>
      <w:r w:rsidR="00A30840">
        <w:t xml:space="preserve"> </w:t>
      </w:r>
      <w:r>
        <w:t>Mając na uwadze, że to przede wszystkim do sądów krajowych należy badanie przedłożonych im dowodów, Trybunał nie jest przekonany co</w:t>
      </w:r>
      <w:r w:rsidR="00541FEB">
        <w:t> </w:t>
      </w:r>
      <w:r>
        <w:t>do</w:t>
      </w:r>
      <w:r w:rsidR="00541FEB">
        <w:t> </w:t>
      </w:r>
      <w:r>
        <w:t>tego, czy taka argumentacja sprzyjała osiągnięciu właściwej równowagi między interesem państwa w pobieraniu opłat sądowych od</w:t>
      </w:r>
      <w:r w:rsidR="00541FEB">
        <w:t> </w:t>
      </w:r>
      <w:r>
        <w:t>pozwów a interesem skarżącej w rozpatrzeniu jej sprawy przez sąd. Z</w:t>
      </w:r>
      <w:r w:rsidR="00541FEB">
        <w:t> </w:t>
      </w:r>
      <w:r>
        <w:t>dokumentów urzędowych w aktach sprawy, których wiarygodność nie budziła wątpliwości, wynikało, że skarżąca pobierała świadczenia socjalne dla osób ubogich. Była również poważnie zadłużona i toczyło się przeciwko niej kilka postępowań egzekucyjnych, z których część została umorzona ze</w:t>
      </w:r>
      <w:r w:rsidR="00541FEB">
        <w:t> </w:t>
      </w:r>
      <w:r>
        <w:t>względu na brak realnych szans na odzyskanie należności. Wydaje się, że</w:t>
      </w:r>
      <w:r w:rsidR="00541FEB">
        <w:t> </w:t>
      </w:r>
      <w:r>
        <w:t>Sąd Okręgowy nie przywiązał odpowiedniej wagi do tych okoliczności i</w:t>
      </w:r>
      <w:r w:rsidR="006859D7">
        <w:t> </w:t>
      </w:r>
      <w:r>
        <w:t>nie przedstawił żadnego uzasadnienia pominięcia dokumentów, które je</w:t>
      </w:r>
      <w:r w:rsidR="00541FEB">
        <w:t> </w:t>
      </w:r>
      <w:r>
        <w:t>potwierdzały.</w:t>
      </w:r>
    </w:p>
    <w:p w14:paraId="044EAB45" w14:textId="68B6AC1E" w:rsidR="001E046A" w:rsidRPr="00A43A36" w:rsidRDefault="00A43A36" w:rsidP="00A43A36">
      <w:pPr>
        <w:pStyle w:val="JuPara"/>
      </w:pPr>
      <w:r w:rsidRPr="00A43A36">
        <w:fldChar w:fldCharType="begin"/>
      </w:r>
      <w:r>
        <w:instrText xml:space="preserve"> SEQ level0 \*arabic \* MERGEFORMAT </w:instrText>
      </w:r>
      <w:r w:rsidRPr="00A43A36">
        <w:fldChar w:fldCharType="separate"/>
      </w:r>
      <w:r w:rsidR="00A25470">
        <w:rPr>
          <w:noProof/>
        </w:rPr>
        <w:t>18</w:t>
      </w:r>
      <w:r w:rsidRPr="00A43A36">
        <w:fldChar w:fldCharType="end"/>
      </w:r>
      <w:r>
        <w:t>.</w:t>
      </w:r>
      <w:r w:rsidR="00A30840">
        <w:t xml:space="preserve"> </w:t>
      </w:r>
      <w:r>
        <w:t>Jeśli chodzi o fakt, że skarżąca nie zgromadziła wcześniej środków finansowych, należy zauważyć, że Sąd Okręgowy wyraźnie stwierdził, iż</w:t>
      </w:r>
      <w:r w:rsidR="00541FEB">
        <w:t> </w:t>
      </w:r>
      <w:r>
        <w:t xml:space="preserve">była to główna przyczyna oddalenia jej wniosku o zwolnienie (zob. par. </w:t>
      </w:r>
      <w:r w:rsidRPr="00A43A36">
        <w:fldChar w:fldCharType="begin"/>
      </w:r>
      <w:r w:rsidRPr="00A43A36">
        <w:instrText xml:space="preserve"> REF paragraph00008 \h  \* CharFormat </w:instrText>
      </w:r>
      <w:r w:rsidRPr="00A43A36">
        <w:fldChar w:fldCharType="separate"/>
      </w:r>
      <w:r w:rsidR="00A25470">
        <w:t>8</w:t>
      </w:r>
      <w:r w:rsidRPr="00A43A36">
        <w:fldChar w:fldCharType="end"/>
      </w:r>
      <w:r>
        <w:t xml:space="preserve"> powyżej). Skarżącej przyznano kwotę 45 000 PLN osiem miesięcy przed wniesieniem przedmiotowego pozwu (zob. par.</w:t>
      </w:r>
      <w:r w:rsidR="00620BE5">
        <w:t xml:space="preserve"> </w:t>
      </w:r>
      <w:r w:rsidRPr="00A43A36">
        <w:fldChar w:fldCharType="begin"/>
      </w:r>
      <w:r w:rsidRPr="00A43A36">
        <w:instrText xml:space="preserve"> REF paragraph00004 \h  \* CharFormat </w:instrText>
      </w:r>
      <w:r w:rsidRPr="00A43A36">
        <w:fldChar w:fldCharType="separate"/>
      </w:r>
      <w:r w:rsidR="00A25470">
        <w:t>4</w:t>
      </w:r>
      <w:r w:rsidRPr="00A43A36">
        <w:fldChar w:fldCharType="end"/>
      </w:r>
      <w:r>
        <w:t xml:space="preserve"> powyżej) i przed Trybunałem nie podważono faktu, że większość tej kwoty skarżąca przeznaczyła na spłatę swoich długów. Trybunał uznaje, że kwota ta</w:t>
      </w:r>
      <w:r w:rsidR="00620BE5">
        <w:t> </w:t>
      </w:r>
      <w:r>
        <w:t xml:space="preserve">stanowiła jedyny znaczący składnik jej majątku i nie można było zasadnie oczekiwać, że przeznaczy znaczną jej część na uiszczenie opłat sądowych, zamiast na spłatę zaciągniętych długów lub zaspokojenie podstawowych potrzeb życiowych (zob. </w:t>
      </w:r>
      <w:r>
        <w:rPr>
          <w:i/>
        </w:rPr>
        <w:t>mutatis mutandis</w:t>
      </w:r>
      <w:r>
        <w:t xml:space="preserve">, </w:t>
      </w:r>
      <w:r>
        <w:rPr>
          <w:i/>
        </w:rPr>
        <w:t>Kordos przeciwko Polsce</w:t>
      </w:r>
      <w:r>
        <w:t>, skarga nr 26397/02, § 36, 26 maja 2009 r.).</w:t>
      </w:r>
    </w:p>
    <w:p w14:paraId="590D2F03" w14:textId="42F5F794" w:rsidR="001E046A" w:rsidRPr="00A43A36" w:rsidRDefault="00A43A36" w:rsidP="00A43A36">
      <w:pPr>
        <w:pStyle w:val="JuPara"/>
      </w:pPr>
      <w:r w:rsidRPr="00A43A36">
        <w:fldChar w:fldCharType="begin"/>
      </w:r>
      <w:r>
        <w:instrText xml:space="preserve"> SEQ level0 \*arabic \* MERGEFORMAT </w:instrText>
      </w:r>
      <w:r w:rsidRPr="00A43A36">
        <w:fldChar w:fldCharType="separate"/>
      </w:r>
      <w:r w:rsidR="00A25470">
        <w:rPr>
          <w:noProof/>
        </w:rPr>
        <w:t>19</w:t>
      </w:r>
      <w:r w:rsidRPr="00A43A36">
        <w:fldChar w:fldCharType="end"/>
      </w:r>
      <w:r>
        <w:t>.</w:t>
      </w:r>
      <w:r w:rsidR="00A30840">
        <w:t xml:space="preserve"> </w:t>
      </w:r>
      <w:r>
        <w:t>Trybunał zauważa ponadto, że Sąd Okręgowy na wstępie uznał, iż</w:t>
      </w:r>
      <w:r w:rsidR="00620BE5">
        <w:t> </w:t>
      </w:r>
      <w:r>
        <w:t>skarżąca posiadała wystarczające umiejętności i doświadczenie, by znaleźć zatrudnienie. Rozpatrując zażalenie, Sąd dodał, że nie jest jasne, dlaczego skarżąca i jej mąż nie ubiegali się o zasiłek z tytułu niezdolności do pracy w</w:t>
      </w:r>
      <w:r w:rsidR="00620BE5">
        <w:t> </w:t>
      </w:r>
      <w:r>
        <w:t xml:space="preserve">ramach ubezpieczenia społecznego. Mimo to Trybunał musi jednak stwierdzić, że ocena sytuacji skarżącej oparta była raczej na jej hipotetycznej zdolności zarobkowania niż na faktach dostarczonych (zob. </w:t>
      </w:r>
      <w:r>
        <w:rPr>
          <w:i/>
        </w:rPr>
        <w:t>Jedamski i</w:t>
      </w:r>
      <w:r w:rsidR="00620BE5">
        <w:rPr>
          <w:i/>
        </w:rPr>
        <w:t> </w:t>
      </w:r>
      <w:r>
        <w:rPr>
          <w:i/>
        </w:rPr>
        <w:t>Jedamska przeciwko Polsce</w:t>
      </w:r>
      <w:r>
        <w:t>, nr 73547/01, § 63, 26 lipca 2005 r.).</w:t>
      </w:r>
    </w:p>
    <w:p w14:paraId="69D161BA" w14:textId="1ED1756E" w:rsidR="001E046A" w:rsidRPr="00A43A36" w:rsidRDefault="00A43A36" w:rsidP="00A43A36">
      <w:pPr>
        <w:pStyle w:val="JuPara"/>
      </w:pPr>
      <w:r w:rsidRPr="00A43A36">
        <w:fldChar w:fldCharType="begin"/>
      </w:r>
      <w:r>
        <w:instrText xml:space="preserve"> SEQ level0 \*arabic \* MERGEFORMAT </w:instrText>
      </w:r>
      <w:r w:rsidRPr="00A43A36">
        <w:fldChar w:fldCharType="separate"/>
      </w:r>
      <w:r w:rsidR="00A25470">
        <w:rPr>
          <w:noProof/>
        </w:rPr>
        <w:t>20</w:t>
      </w:r>
      <w:r w:rsidRPr="00A43A36">
        <w:fldChar w:fldCharType="end"/>
      </w:r>
      <w:r>
        <w:t>.</w:t>
      </w:r>
      <w:r w:rsidR="00A30840">
        <w:t xml:space="preserve"> </w:t>
      </w:r>
      <w:r>
        <w:t>Ponadto w swoich uwagach Rząd stwierdził, że wysoka kwota opłaty, wynosząca 5% wartości przedmiotu sporu, wynikała bezpośrednio z</w:t>
      </w:r>
      <w:r w:rsidR="00620BE5">
        <w:t> </w:t>
      </w:r>
      <w:r>
        <w:t xml:space="preserve">zawyżenia roszczenia skarżącej. Trybunał zauważa jednak, że ani sądy krajowe nie poruszyły tej kwestii, ani </w:t>
      </w:r>
      <w:r w:rsidR="00836F12">
        <w:t>r</w:t>
      </w:r>
      <w:r>
        <w:t xml:space="preserve">ząd nie przedłożył żadnych odpowiednich materiałów na poparcie swojego stanowiska. W związku z tym Trybunał nie dostrzega wystarczających podstaw, by uznać, że wartość przedmiotu sporu była znacznie przesadzona lub nierzeczywista (por. </w:t>
      </w:r>
      <w:r>
        <w:rPr>
          <w:i/>
        </w:rPr>
        <w:t>Zelcer przeciwko Polsce</w:t>
      </w:r>
      <w:r>
        <w:t xml:space="preserve"> (dec.), skarga nr 38774/05, 5 lipca 2011 r., oraz, </w:t>
      </w:r>
      <w:r>
        <w:rPr>
          <w:i/>
        </w:rPr>
        <w:t xml:space="preserve">mutatis </w:t>
      </w:r>
      <w:r>
        <w:rPr>
          <w:i/>
        </w:rPr>
        <w:lastRenderedPageBreak/>
        <w:t>mutandis</w:t>
      </w:r>
      <w:r>
        <w:t xml:space="preserve">, </w:t>
      </w:r>
      <w:r>
        <w:rPr>
          <w:i/>
        </w:rPr>
        <w:t>Kupiec przeciwko Polsce</w:t>
      </w:r>
      <w:r>
        <w:t>, skarga nr 16828/02, § 47, 3 lutego 2009</w:t>
      </w:r>
      <w:r w:rsidR="00620BE5">
        <w:t> </w:t>
      </w:r>
      <w:r>
        <w:t>r.).</w:t>
      </w:r>
    </w:p>
    <w:p w14:paraId="209EFC08" w14:textId="6492B9BA" w:rsidR="001E046A" w:rsidRPr="00A43A36" w:rsidRDefault="00A43A36" w:rsidP="00A43A36">
      <w:pPr>
        <w:pStyle w:val="JuPara"/>
      </w:pPr>
      <w:r w:rsidRPr="00A43A36">
        <w:fldChar w:fldCharType="begin"/>
      </w:r>
      <w:r>
        <w:instrText xml:space="preserve"> SEQ level0 \*arabic \* MERGEFORMAT </w:instrText>
      </w:r>
      <w:r w:rsidRPr="00A43A36">
        <w:fldChar w:fldCharType="separate"/>
      </w:r>
      <w:r w:rsidR="00A25470">
        <w:rPr>
          <w:noProof/>
        </w:rPr>
        <w:t>21</w:t>
      </w:r>
      <w:r w:rsidRPr="00A43A36">
        <w:fldChar w:fldCharType="end"/>
      </w:r>
      <w:r>
        <w:t>.</w:t>
      </w:r>
      <w:r w:rsidR="00A30840">
        <w:t xml:space="preserve"> </w:t>
      </w:r>
      <w:r>
        <w:t xml:space="preserve">Ponadto Trybunał zauważa, że Sąd Okręgowy mógł zwolnić skarżącą z części opłaty od pozwu, ale się na to nie zdecydował (por. </w:t>
      </w:r>
      <w:r>
        <w:rPr>
          <w:i/>
        </w:rPr>
        <w:t>Buczek przeciwko Polsce</w:t>
      </w:r>
      <w:r>
        <w:t>, skarga nr 31667/12, § 29, 14 czerwca 2016 r.).</w:t>
      </w:r>
    </w:p>
    <w:p w14:paraId="0E37821F" w14:textId="6BEBFA52" w:rsidR="001E046A" w:rsidRPr="00A43A36" w:rsidRDefault="00A43A36" w:rsidP="00A43A36">
      <w:pPr>
        <w:pStyle w:val="JuPara"/>
      </w:pPr>
      <w:r w:rsidRPr="00A43A36">
        <w:fldChar w:fldCharType="begin"/>
      </w:r>
      <w:r>
        <w:instrText xml:space="preserve"> SEQ level0 \*arabic \* MERGEFORMAT </w:instrText>
      </w:r>
      <w:r w:rsidRPr="00A43A36">
        <w:fldChar w:fldCharType="separate"/>
      </w:r>
      <w:r w:rsidR="00A25470">
        <w:rPr>
          <w:noProof/>
        </w:rPr>
        <w:t>22</w:t>
      </w:r>
      <w:r w:rsidRPr="00A43A36">
        <w:fldChar w:fldCharType="end"/>
      </w:r>
      <w:r>
        <w:t>.</w:t>
      </w:r>
      <w:r w:rsidR="00A30840">
        <w:t xml:space="preserve"> </w:t>
      </w:r>
      <w:r>
        <w:t xml:space="preserve">Trybunał zwraca również uwagę, że zgodnie z polskim postępowaniem cywilnym kwestia opłat sądowych rozpatrywana jest zazwyczaj na początkowym etapie postępowania. W niniejszej sprawie doprowadziło to do tego, że sąd pierwszej instancji od razu zwrócił pozew skarżącej (zob. par. </w:t>
      </w:r>
      <w:r w:rsidRPr="00A43A36">
        <w:fldChar w:fldCharType="begin"/>
      </w:r>
      <w:r w:rsidRPr="00A43A36">
        <w:instrText xml:space="preserve"> REF paragraph00009 \h  \* CharFormat </w:instrText>
      </w:r>
      <w:r w:rsidRPr="00A43A36">
        <w:fldChar w:fldCharType="separate"/>
      </w:r>
      <w:r w:rsidR="00A25470">
        <w:t>9</w:t>
      </w:r>
      <w:r w:rsidRPr="00A43A36">
        <w:fldChar w:fldCharType="end"/>
      </w:r>
      <w:r>
        <w:t xml:space="preserve"> powyżej), w wyniku czego jego istota nigdy nie została zbadana (zob. </w:t>
      </w:r>
      <w:r>
        <w:rPr>
          <w:i/>
        </w:rPr>
        <w:t>Kreuz</w:t>
      </w:r>
      <w:r>
        <w:t xml:space="preserve">, cytowany powyżej, § 66, oraz </w:t>
      </w:r>
      <w:r>
        <w:rPr>
          <w:i/>
        </w:rPr>
        <w:t>Nieruchomości Sp. z o.o. przeciwko Polsce</w:t>
      </w:r>
      <w:r>
        <w:t>, skarga nr 32740/06, § 36, 2 lutego 2010 r.).</w:t>
      </w:r>
    </w:p>
    <w:p w14:paraId="0287901E" w14:textId="56EF0F41" w:rsidR="001E046A" w:rsidRPr="00A43A36" w:rsidRDefault="00A43A36" w:rsidP="00A43A36">
      <w:pPr>
        <w:pStyle w:val="JuPara"/>
      </w:pPr>
      <w:r w:rsidRPr="00A43A36">
        <w:fldChar w:fldCharType="begin"/>
      </w:r>
      <w:r>
        <w:instrText xml:space="preserve"> SEQ level0 \*arabic \* MERGEFORMAT </w:instrText>
      </w:r>
      <w:r w:rsidRPr="00A43A36">
        <w:fldChar w:fldCharType="separate"/>
      </w:r>
      <w:r w:rsidR="00A25470">
        <w:rPr>
          <w:noProof/>
        </w:rPr>
        <w:t>23</w:t>
      </w:r>
      <w:r w:rsidRPr="00A43A36">
        <w:fldChar w:fldCharType="end"/>
      </w:r>
      <w:r>
        <w:t>.</w:t>
      </w:r>
      <w:r w:rsidR="00A30840">
        <w:t xml:space="preserve"> </w:t>
      </w:r>
      <w:r>
        <w:t xml:space="preserve">Mając na uwadze, że ograniczenia o charakterze czysto finansowym, które nie mają żadnego związku z tym, czy pozew ma szanse powodzenia, powinny podlegać szczególnie rygorystycznej kontroli z punktu widzenia interesu wymiaru sprawiedliwości (zob. </w:t>
      </w:r>
      <w:r>
        <w:rPr>
          <w:i/>
        </w:rPr>
        <w:t>Nalbant i Inni przeciwko Turcji</w:t>
      </w:r>
      <w:r>
        <w:t>, skarga nr 59914/16, § 35, 3 maja 2022 r.), Trybunał stwierdza, że</w:t>
      </w:r>
      <w:r w:rsidR="00620BE5">
        <w:t> </w:t>
      </w:r>
      <w:r>
        <w:t>w</w:t>
      </w:r>
      <w:r w:rsidR="00620BE5">
        <w:t> </w:t>
      </w:r>
      <w:r>
        <w:t>okolicznościach niniejszej sprawy odmowa zwolnienia skarżącej od</w:t>
      </w:r>
      <w:r w:rsidR="00620BE5">
        <w:t> </w:t>
      </w:r>
      <w:r>
        <w:t>kosztów sądowy</w:t>
      </w:r>
      <w:r w:rsidR="00620BE5">
        <w:t>ch</w:t>
      </w:r>
      <w:r>
        <w:t xml:space="preserve"> naruszyła samą istotę jej prawa dostępu do sądu.</w:t>
      </w:r>
    </w:p>
    <w:p w14:paraId="25B092DC" w14:textId="2C290702" w:rsidR="001E046A" w:rsidRPr="00A43A36" w:rsidRDefault="00A43A36" w:rsidP="00A43A36">
      <w:pPr>
        <w:pStyle w:val="JuPara"/>
      </w:pPr>
      <w:r w:rsidRPr="00A43A36">
        <w:fldChar w:fldCharType="begin"/>
      </w:r>
      <w:r>
        <w:instrText xml:space="preserve"> SEQ level0 \*arabic \* MERGEFORMAT </w:instrText>
      </w:r>
      <w:r w:rsidRPr="00A43A36">
        <w:fldChar w:fldCharType="separate"/>
      </w:r>
      <w:r w:rsidR="00A25470">
        <w:rPr>
          <w:noProof/>
        </w:rPr>
        <w:t>24</w:t>
      </w:r>
      <w:r w:rsidRPr="00A43A36">
        <w:fldChar w:fldCharType="end"/>
      </w:r>
      <w:r>
        <w:t>.</w:t>
      </w:r>
      <w:r w:rsidR="00A30840">
        <w:t xml:space="preserve"> </w:t>
      </w:r>
      <w:r>
        <w:t>W związku z powyższym doszło do naruszenia art. 6 ust. 1 Konwencji.</w:t>
      </w:r>
    </w:p>
    <w:p w14:paraId="01FED21A" w14:textId="77777777" w:rsidR="001E046A" w:rsidRPr="00A43A36" w:rsidRDefault="001871A2" w:rsidP="00A43A36">
      <w:pPr>
        <w:pStyle w:val="JuHHead"/>
        <w:numPr>
          <w:ilvl w:val="0"/>
          <w:numId w:val="2"/>
        </w:numPr>
      </w:pPr>
      <w:r>
        <w:rPr>
          <w:caps w:val="0"/>
        </w:rPr>
        <w:t>ZASTOSOWANIE ART. 41 KONWENCJI</w:t>
      </w:r>
    </w:p>
    <w:p w14:paraId="27CEE133" w14:textId="390AA68A" w:rsidR="001E046A" w:rsidRPr="00A43A36" w:rsidRDefault="00A43A36" w:rsidP="00A43A36">
      <w:pPr>
        <w:pStyle w:val="JuPara"/>
      </w:pPr>
      <w:r w:rsidRPr="00A43A36">
        <w:fldChar w:fldCharType="begin"/>
      </w:r>
      <w:r>
        <w:instrText xml:space="preserve"> SEQ level0 \*arabic \* MERGEFORMAT </w:instrText>
      </w:r>
      <w:r w:rsidRPr="00A43A36">
        <w:fldChar w:fldCharType="separate"/>
      </w:r>
      <w:r w:rsidR="00A25470">
        <w:rPr>
          <w:noProof/>
        </w:rPr>
        <w:t>25</w:t>
      </w:r>
      <w:r w:rsidRPr="00A43A36">
        <w:fldChar w:fldCharType="end"/>
      </w:r>
      <w:r>
        <w:t>.</w:t>
      </w:r>
      <w:r w:rsidR="00A30840">
        <w:t xml:space="preserve"> </w:t>
      </w:r>
      <w:r>
        <w:t>Skarżąca domagała się kwoty 20</w:t>
      </w:r>
      <w:r w:rsidR="00836F12">
        <w:t> </w:t>
      </w:r>
      <w:r>
        <w:t>000 euro (EUR) tytułem zadośćuczynienia za szkodę niemajątkową i kwoty 58</w:t>
      </w:r>
      <w:r w:rsidR="00836F12">
        <w:t> </w:t>
      </w:r>
      <w:r>
        <w:t>000 EUR tytułem odszkodowania za szkodę majątkową. Skarżąca domagała się również kwoty 840 EUR tytułem kosztów i wydatków poniesionych przed Trybunałem.</w:t>
      </w:r>
    </w:p>
    <w:p w14:paraId="46A22C62" w14:textId="68A3D06D" w:rsidR="001E046A" w:rsidRPr="00A43A36" w:rsidRDefault="00A43A36" w:rsidP="00A43A36">
      <w:pPr>
        <w:pStyle w:val="JuPara"/>
      </w:pPr>
      <w:r w:rsidRPr="00A43A36">
        <w:fldChar w:fldCharType="begin"/>
      </w:r>
      <w:r>
        <w:instrText xml:space="preserve"> SEQ level0 \*arabic \* MERGEFORMAT </w:instrText>
      </w:r>
      <w:r w:rsidRPr="00A43A36">
        <w:fldChar w:fldCharType="separate"/>
      </w:r>
      <w:r w:rsidR="00A25470">
        <w:rPr>
          <w:noProof/>
        </w:rPr>
        <w:t>26</w:t>
      </w:r>
      <w:r w:rsidRPr="00A43A36">
        <w:fldChar w:fldCharType="end"/>
      </w:r>
      <w:r>
        <w:t>.</w:t>
      </w:r>
      <w:r w:rsidR="00A30840">
        <w:t xml:space="preserve"> </w:t>
      </w:r>
      <w:r>
        <w:t>Rząd zakwestionował te roszczenia jako bezpodstawne i</w:t>
      </w:r>
      <w:r w:rsidR="00620BE5">
        <w:t> </w:t>
      </w:r>
      <w:r>
        <w:t>wygórowane.</w:t>
      </w:r>
    </w:p>
    <w:p w14:paraId="568D87B0" w14:textId="6F7FCCB2" w:rsidR="001E046A" w:rsidRPr="00A43A36" w:rsidRDefault="00A43A36" w:rsidP="00A43A36">
      <w:pPr>
        <w:pStyle w:val="JuPara"/>
      </w:pPr>
      <w:r w:rsidRPr="00A43A36">
        <w:fldChar w:fldCharType="begin"/>
      </w:r>
      <w:r>
        <w:instrText xml:space="preserve"> SEQ level0 \*arabic \* MERGEFORMAT </w:instrText>
      </w:r>
      <w:r w:rsidRPr="00A43A36">
        <w:fldChar w:fldCharType="separate"/>
      </w:r>
      <w:r w:rsidR="00A25470">
        <w:rPr>
          <w:noProof/>
        </w:rPr>
        <w:t>27</w:t>
      </w:r>
      <w:r w:rsidRPr="00A43A36">
        <w:fldChar w:fldCharType="end"/>
      </w:r>
      <w:r>
        <w:t>.</w:t>
      </w:r>
      <w:r w:rsidR="00A30840">
        <w:t xml:space="preserve"> </w:t>
      </w:r>
      <w:r>
        <w:t>Trybunał nie może spekulować, jaki byłby wynik postępowania krajowego, gdyby pozew skarżącej został przyjęty i zbadany co do jego istoty. W związku z tym Trybunał odrzuca roszczenie dotyczące szkody majątkowej (</w:t>
      </w:r>
      <w:bookmarkStart w:id="8" w:name="_cl44593APPLICATIONOFARTICLE41OFTHECONVE"/>
      <w:r>
        <w:t xml:space="preserve">zob. </w:t>
      </w:r>
      <w:r>
        <w:rPr>
          <w:i/>
        </w:rPr>
        <w:t>Suren Antonyan przeciwko Armenii</w:t>
      </w:r>
      <w:bookmarkEnd w:id="8"/>
      <w:r>
        <w:t>, skarga nr 20140/23, §</w:t>
      </w:r>
      <w:r w:rsidR="00620BE5">
        <w:t> </w:t>
      </w:r>
      <w:r>
        <w:t>147, 23 stycznia 2025 r.). Trybunał przyznaje niemniej skarżącej kwotę 7800 EUR tytułem zadośćuczynienia za szkodę niemajątkową, powiększoną o podatki, jakie mogą być należne od skarżącej.</w:t>
      </w:r>
    </w:p>
    <w:p w14:paraId="0E9B4DD9" w14:textId="14DCC679" w:rsidR="001E046A" w:rsidRPr="00A43A36" w:rsidRDefault="00A43A36" w:rsidP="00A43A36">
      <w:pPr>
        <w:pStyle w:val="JuPara"/>
      </w:pPr>
      <w:r w:rsidRPr="00A43A36">
        <w:fldChar w:fldCharType="begin"/>
      </w:r>
      <w:r>
        <w:instrText xml:space="preserve"> SEQ level0 \*arabic \* MERGEFORMAT </w:instrText>
      </w:r>
      <w:r w:rsidRPr="00A43A36">
        <w:fldChar w:fldCharType="separate"/>
      </w:r>
      <w:r w:rsidR="00A25470">
        <w:rPr>
          <w:noProof/>
        </w:rPr>
        <w:t>28</w:t>
      </w:r>
      <w:r w:rsidRPr="00A43A36">
        <w:fldChar w:fldCharType="end"/>
      </w:r>
      <w:r>
        <w:t>.</w:t>
      </w:r>
      <w:r w:rsidR="00A30840">
        <w:t xml:space="preserve"> </w:t>
      </w:r>
      <w:r>
        <w:t>Trybunał zauważa ponadto, że w odniesieniu do kosztów i wydatków skarżąca nie domagała się kwot przekraczających ryczałtową kwotę 850 EUR, którą jej pełnomocnik otrzymał już w ramach systemu pomocy prawnej Trybunału.</w:t>
      </w:r>
    </w:p>
    <w:p w14:paraId="77062850" w14:textId="74B6C288" w:rsidR="001E046A" w:rsidRPr="00A43A36" w:rsidRDefault="001871A2" w:rsidP="00A43A36">
      <w:pPr>
        <w:pStyle w:val="JuHHead"/>
        <w:numPr>
          <w:ilvl w:val="0"/>
          <w:numId w:val="2"/>
        </w:numPr>
      </w:pPr>
      <w:r>
        <w:t xml:space="preserve">Z TYCH </w:t>
      </w:r>
      <w:r w:rsidR="00836F12">
        <w:t xml:space="preserve">Powodów </w:t>
      </w:r>
      <w:r>
        <w:t>TRYBUNAŁ JEDNOGŁOŚNIE</w:t>
      </w:r>
    </w:p>
    <w:p w14:paraId="424584E4" w14:textId="77777777" w:rsidR="001E046A" w:rsidRPr="00A43A36" w:rsidRDefault="001871A2" w:rsidP="00A43A36">
      <w:pPr>
        <w:pStyle w:val="JuList"/>
      </w:pPr>
      <w:r>
        <w:rPr>
          <w:i/>
          <w:iCs/>
        </w:rPr>
        <w:t>uznaje</w:t>
      </w:r>
      <w:r>
        <w:t xml:space="preserve"> skargę za dopuszczalną;</w:t>
      </w:r>
    </w:p>
    <w:p w14:paraId="0007F42D" w14:textId="77777777" w:rsidR="001E046A" w:rsidRPr="00A43A36" w:rsidRDefault="001871A2" w:rsidP="00A43A36">
      <w:pPr>
        <w:pStyle w:val="JuList"/>
      </w:pPr>
      <w:r>
        <w:rPr>
          <w:i/>
        </w:rPr>
        <w:lastRenderedPageBreak/>
        <w:t>stwierdza</w:t>
      </w:r>
      <w:r>
        <w:t>, że doszło do naruszenia art. 6 ust. 1 Konwencji;</w:t>
      </w:r>
    </w:p>
    <w:p w14:paraId="4C2F118D" w14:textId="77777777" w:rsidR="001E046A" w:rsidRPr="00A43A36" w:rsidRDefault="001871A2" w:rsidP="00A43A36">
      <w:pPr>
        <w:pStyle w:val="JuList"/>
      </w:pPr>
      <w:r>
        <w:rPr>
          <w:i/>
        </w:rPr>
        <w:t>orzeka,</w:t>
      </w:r>
    </w:p>
    <w:p w14:paraId="44C138B2" w14:textId="2251CC8D" w:rsidR="001E046A" w:rsidRPr="00A43A36" w:rsidRDefault="001871A2" w:rsidP="00A43A36">
      <w:pPr>
        <w:pStyle w:val="JuLista"/>
        <w:numPr>
          <w:ilvl w:val="1"/>
          <w:numId w:val="1"/>
        </w:numPr>
      </w:pPr>
      <w:r>
        <w:t xml:space="preserve">że pozwane państwo winno w terminie trzech miesięcy uiścić na rzecz skarżącej kwotę 7800 EUR (siedem tysięcy osiemset euro) tytułem zadośćuczynienia za szkodę niemajątkową, powiększoną o wszelkie należne podatki, przeliczoną na walutę pozwanego państwa według kursu obowiązującego w </w:t>
      </w:r>
      <w:r w:rsidR="00836F12">
        <w:t xml:space="preserve">dacie </w:t>
      </w:r>
      <w:r>
        <w:t>płatności;</w:t>
      </w:r>
    </w:p>
    <w:p w14:paraId="43A8F069" w14:textId="0C8E40AD" w:rsidR="001E046A" w:rsidRPr="00A43A36" w:rsidRDefault="001871A2" w:rsidP="00A43A36">
      <w:pPr>
        <w:pStyle w:val="JuLista"/>
        <w:numPr>
          <w:ilvl w:val="1"/>
          <w:numId w:val="1"/>
        </w:numPr>
      </w:pPr>
      <w:r>
        <w:t>że od upływu wyżej wskazanego terminu trzech miesięcy do</w:t>
      </w:r>
      <w:r w:rsidR="00620BE5">
        <w:t> </w:t>
      </w:r>
      <w:r w:rsidR="00C91CB0" w:rsidRPr="00C91CB0">
        <w:t xml:space="preserve">daty płatności </w:t>
      </w:r>
      <w:proofErr w:type="gramStart"/>
      <w:r w:rsidR="00C91CB0" w:rsidRPr="00C91CB0">
        <w:t xml:space="preserve">przysługiwać </w:t>
      </w:r>
      <w:r>
        <w:t xml:space="preserve"> będą</w:t>
      </w:r>
      <w:proofErr w:type="gramEnd"/>
      <w:r>
        <w:t xml:space="preserve"> odsetki zwykłe od określonej powyżej kwoty, naliczone według stopy równej marginalnej stopie procentowej Europejskiego Banku Centralnego obowiązującej w tym okresie, powiększonej o trzy punkty procentowe;</w:t>
      </w:r>
    </w:p>
    <w:p w14:paraId="431BCDA0" w14:textId="3E470FF8" w:rsidR="004D0EC7" w:rsidRPr="00A43A36" w:rsidRDefault="001871A2" w:rsidP="00A43A36">
      <w:pPr>
        <w:pStyle w:val="JuList"/>
      </w:pPr>
      <w:r>
        <w:rPr>
          <w:i/>
        </w:rPr>
        <w:t>oddala</w:t>
      </w:r>
      <w:r>
        <w:t xml:space="preserve"> pozostał</w:t>
      </w:r>
      <w:r w:rsidR="00C91CB0">
        <w:t xml:space="preserve">e </w:t>
      </w:r>
      <w:r>
        <w:t>roszczeni</w:t>
      </w:r>
      <w:r w:rsidR="00C91CB0">
        <w:t>e</w:t>
      </w:r>
      <w:r>
        <w:t xml:space="preserve"> skarżącej </w:t>
      </w:r>
      <w:r w:rsidR="00C91CB0">
        <w:t xml:space="preserve">dotyczące </w:t>
      </w:r>
      <w:r>
        <w:t>słuszne</w:t>
      </w:r>
      <w:r w:rsidR="00C91CB0">
        <w:t>go</w:t>
      </w:r>
      <w:r>
        <w:t xml:space="preserve"> zadośćuczynieni</w:t>
      </w:r>
      <w:r w:rsidR="00C91CB0">
        <w:t>a</w:t>
      </w:r>
      <w:r>
        <w:t>.</w:t>
      </w:r>
    </w:p>
    <w:p w14:paraId="1CAC5908" w14:textId="473C6E04" w:rsidR="008E3A08" w:rsidRPr="00A43A36" w:rsidRDefault="001871A2" w:rsidP="00A43A36">
      <w:pPr>
        <w:pStyle w:val="JuParaLast"/>
      </w:pPr>
      <w:r>
        <w:t xml:space="preserve">Sporządzono w języku angielskim i </w:t>
      </w:r>
      <w:r w:rsidR="00C91CB0" w:rsidRPr="00C91CB0">
        <w:t>notyfikowano</w:t>
      </w:r>
      <w:r w:rsidR="00C91CB0" w:rsidRPr="00C91CB0" w:rsidDel="00C91CB0">
        <w:t xml:space="preserve"> </w:t>
      </w:r>
      <w:r w:rsidR="00C91CB0">
        <w:t xml:space="preserve">na piśmie </w:t>
      </w:r>
      <w:r>
        <w:t xml:space="preserve">w dniu </w:t>
      </w:r>
      <w:r>
        <w:rPr>
          <w:rFonts w:ascii="Times New Roman" w:hAnsi="Times New Roman"/>
        </w:rPr>
        <w:t>3</w:t>
      </w:r>
      <w:r w:rsidR="009E7093">
        <w:rPr>
          <w:rFonts w:ascii="Times New Roman" w:hAnsi="Times New Roman"/>
        </w:rPr>
        <w:t> </w:t>
      </w:r>
      <w:r>
        <w:rPr>
          <w:rFonts w:ascii="Times New Roman" w:hAnsi="Times New Roman"/>
        </w:rPr>
        <w:t>września 2026 r.</w:t>
      </w:r>
      <w:r>
        <w:t>, zgodnie z Regułą 77 §§ 2 i 3 Regulaminu Trybunału.</w:t>
      </w:r>
    </w:p>
    <w:p w14:paraId="1AE03C95" w14:textId="77777777" w:rsidR="007E79A4" w:rsidRPr="00A43A36" w:rsidRDefault="001871A2" w:rsidP="00A43A36">
      <w:pPr>
        <w:pStyle w:val="ECHRPlaceholder"/>
        <w:rPr>
          <w:szCs w:val="22"/>
        </w:rPr>
      </w:pPr>
      <w:r>
        <w:tab/>
      </w:r>
    </w:p>
    <w:p w14:paraId="2780EE35" w14:textId="77777777" w:rsidR="007E79A4" w:rsidRPr="00A43A36" w:rsidRDefault="001871A2" w:rsidP="00A43A36">
      <w:pPr>
        <w:pStyle w:val="JuSigned"/>
      </w:pPr>
      <w:r>
        <w:tab/>
        <w:t>Liv Tigerstedt</w:t>
      </w:r>
      <w:r>
        <w:tab/>
        <w:t>Davor Derenčinović</w:t>
      </w:r>
      <w:r>
        <w:br/>
      </w:r>
      <w:r>
        <w:tab/>
        <w:t>Zastępczyni Kanclerza</w:t>
      </w:r>
      <w:r>
        <w:tab/>
        <w:t>Przewodniczący</w:t>
      </w:r>
    </w:p>
    <w:p w14:paraId="183F2513" w14:textId="77777777" w:rsidR="00675AF2" w:rsidRPr="00A43A36" w:rsidRDefault="00675AF2" w:rsidP="00A43A36">
      <w:pPr>
        <w:pStyle w:val="JuPara"/>
      </w:pPr>
    </w:p>
    <w:p w14:paraId="497DF7C2" w14:textId="77777777" w:rsidR="00182EBA" w:rsidRPr="00A43A36" w:rsidRDefault="00182EBA" w:rsidP="00A43A36"/>
    <w:sectPr w:rsidR="00182EBA" w:rsidRPr="00A43A36" w:rsidSect="007D370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4461E6" w14:textId="77777777" w:rsidR="00C91078" w:rsidRDefault="00C91078">
      <w:r>
        <w:separator/>
      </w:r>
    </w:p>
  </w:endnote>
  <w:endnote w:type="continuationSeparator" w:id="0">
    <w:p w14:paraId="2C531E6D" w14:textId="77777777" w:rsidR="00C91078" w:rsidRDefault="00C910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1BE83" w14:textId="77777777" w:rsidR="001E046A" w:rsidRPr="00150BFA" w:rsidRDefault="001871A2" w:rsidP="00303C12">
    <w:pPr>
      <w:jc w:val="center"/>
    </w:pPr>
    <w:r>
      <w:rPr>
        <w:noProof/>
      </w:rPr>
      <w:drawing>
        <wp:inline distT="0" distB="0" distL="0" distR="0" wp14:anchorId="7D3B1326" wp14:editId="5E5A86CC">
          <wp:extent cx="771525" cy="619125"/>
          <wp:effectExtent l="0" t="0" r="9525" b="9525"/>
          <wp:docPr id="1550232016" name="Picture 60920793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207932"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08865C0B" w14:textId="77777777" w:rsidR="0098410D" w:rsidRPr="001E046A" w:rsidRDefault="0098410D" w:rsidP="00303C12">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E2587" w14:textId="77777777" w:rsidR="001E046A" w:rsidRPr="00150BFA" w:rsidRDefault="001871A2" w:rsidP="00303C12">
    <w:pPr>
      <w:jc w:val="center"/>
    </w:pPr>
    <w:r>
      <w:rPr>
        <w:noProof/>
      </w:rPr>
      <w:drawing>
        <wp:inline distT="0" distB="0" distL="0" distR="0" wp14:anchorId="08B1A75F" wp14:editId="226E98AB">
          <wp:extent cx="771525" cy="619125"/>
          <wp:effectExtent l="0" t="0" r="9525" b="9525"/>
          <wp:docPr id="1190452700"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46D27EFD" w14:textId="77777777" w:rsidR="009E7A6F" w:rsidRPr="001E046A" w:rsidRDefault="009E7A6F" w:rsidP="009E7A6F">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218CFB" w14:textId="77777777" w:rsidR="00182EBA" w:rsidRDefault="001871A2" w:rsidP="009A115C">
    <w:pPr>
      <w:pStyle w:val="JuHeader"/>
    </w:pPr>
    <w:r>
      <w:fldChar w:fldCharType="begin"/>
    </w:r>
    <w:r>
      <w:instrText xml:space="preserve"> PAGE  \* MERGEFORMAT </w:instrText>
    </w:r>
    <w:r>
      <w:fldChar w:fldCharType="separate"/>
    </w:r>
    <w:r>
      <w:t>1</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3625C" w14:textId="77777777" w:rsidR="00182EBA" w:rsidRPr="000B7195" w:rsidRDefault="001871A2" w:rsidP="007D3701">
    <w:pPr>
      <w:pStyle w:val="JuHeade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D0BF11" w14:textId="77777777" w:rsidR="00C91078" w:rsidRDefault="00C91078">
      <w:r>
        <w:separator/>
      </w:r>
    </w:p>
  </w:footnote>
  <w:footnote w:type="continuationSeparator" w:id="0">
    <w:p w14:paraId="4D5AB037" w14:textId="77777777" w:rsidR="00C91078" w:rsidRDefault="00C910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ACDC1" w14:textId="77777777" w:rsidR="001E046A" w:rsidRPr="00A45145" w:rsidRDefault="001871A2" w:rsidP="00303C12">
    <w:pPr>
      <w:jc w:val="center"/>
    </w:pPr>
    <w:r>
      <w:rPr>
        <w:noProof/>
      </w:rPr>
      <w:drawing>
        <wp:inline distT="0" distB="0" distL="0" distR="0" wp14:anchorId="721259FA" wp14:editId="4512CC79">
          <wp:extent cx="2962275" cy="1219200"/>
          <wp:effectExtent l="0" t="0" r="9525" b="0"/>
          <wp:docPr id="1479213793"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4D342E05" w14:textId="77777777" w:rsidR="0098410D" w:rsidRPr="001E046A" w:rsidRDefault="0098410D" w:rsidP="00303C12">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FFACE" w14:textId="77777777" w:rsidR="001E046A" w:rsidRPr="00A45145" w:rsidRDefault="001871A2" w:rsidP="00303C12">
    <w:pPr>
      <w:jc w:val="center"/>
    </w:pPr>
    <w:r>
      <w:rPr>
        <w:noProof/>
      </w:rPr>
      <w:drawing>
        <wp:inline distT="0" distB="0" distL="0" distR="0" wp14:anchorId="51F232D3" wp14:editId="5394A603">
          <wp:extent cx="2962275" cy="1219200"/>
          <wp:effectExtent l="0" t="0" r="9525" b="0"/>
          <wp:docPr id="554203070" name="Picture 27301117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011174"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7DD55D91" w14:textId="77777777" w:rsidR="0098410D" w:rsidRPr="001E046A" w:rsidRDefault="0098410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77762" w14:textId="77777777" w:rsidR="00182EBA" w:rsidRPr="004D0EC7" w:rsidRDefault="001871A2" w:rsidP="004D0EC7">
    <w:pPr>
      <w:pStyle w:val="JuHeader"/>
    </w:pPr>
    <w:r>
      <w:t>WYROK W SPRAWIE I.W. PRZECIWKO POLSCE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842443" w14:textId="77777777" w:rsidR="00182EBA" w:rsidRPr="00882CD5" w:rsidRDefault="001871A2" w:rsidP="007D3701">
    <w:pPr>
      <w:pStyle w:val="JuHeader"/>
    </w:pPr>
    <w:r>
      <w:t>WYROK W SPRAWIE I.W. PRZECIWKO POLSCE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E0D4CD3A">
      <w:start w:val="1"/>
      <w:numFmt w:val="bullet"/>
      <w:pStyle w:val="Listapunktowana"/>
      <w:lvlText w:val=""/>
      <w:lvlJc w:val="left"/>
      <w:pPr>
        <w:tabs>
          <w:tab w:val="num" w:pos="851"/>
        </w:tabs>
        <w:ind w:left="568" w:firstLine="0"/>
      </w:pPr>
      <w:rPr>
        <w:rFonts w:ascii="Wingdings" w:hAnsi="Wingdings" w:hint="default"/>
        <w:color w:val="808080"/>
        <w:sz w:val="16"/>
      </w:rPr>
    </w:lvl>
    <w:lvl w:ilvl="1" w:tplc="E2242C3A" w:tentative="1">
      <w:start w:val="1"/>
      <w:numFmt w:val="bullet"/>
      <w:lvlText w:val="o"/>
      <w:lvlJc w:val="left"/>
      <w:pPr>
        <w:tabs>
          <w:tab w:val="num" w:pos="1724"/>
        </w:tabs>
        <w:ind w:left="1724" w:hanging="360"/>
      </w:pPr>
      <w:rPr>
        <w:rFonts w:ascii="Courier New" w:hAnsi="Courier New" w:cs="Courier New" w:hint="default"/>
      </w:rPr>
    </w:lvl>
    <w:lvl w:ilvl="2" w:tplc="0B94A502" w:tentative="1">
      <w:start w:val="1"/>
      <w:numFmt w:val="bullet"/>
      <w:lvlText w:val=""/>
      <w:lvlJc w:val="left"/>
      <w:pPr>
        <w:tabs>
          <w:tab w:val="num" w:pos="2444"/>
        </w:tabs>
        <w:ind w:left="2444" w:hanging="360"/>
      </w:pPr>
      <w:rPr>
        <w:rFonts w:ascii="Wingdings" w:hAnsi="Wingdings" w:hint="default"/>
      </w:rPr>
    </w:lvl>
    <w:lvl w:ilvl="3" w:tplc="D5CCB00A" w:tentative="1">
      <w:start w:val="1"/>
      <w:numFmt w:val="bullet"/>
      <w:lvlText w:val=""/>
      <w:lvlJc w:val="left"/>
      <w:pPr>
        <w:tabs>
          <w:tab w:val="num" w:pos="3164"/>
        </w:tabs>
        <w:ind w:left="3164" w:hanging="360"/>
      </w:pPr>
      <w:rPr>
        <w:rFonts w:ascii="Symbol" w:hAnsi="Symbol" w:hint="default"/>
      </w:rPr>
    </w:lvl>
    <w:lvl w:ilvl="4" w:tplc="0D3041CA" w:tentative="1">
      <w:start w:val="1"/>
      <w:numFmt w:val="bullet"/>
      <w:lvlText w:val="o"/>
      <w:lvlJc w:val="left"/>
      <w:pPr>
        <w:tabs>
          <w:tab w:val="num" w:pos="3884"/>
        </w:tabs>
        <w:ind w:left="3884" w:hanging="360"/>
      </w:pPr>
      <w:rPr>
        <w:rFonts w:ascii="Courier New" w:hAnsi="Courier New" w:cs="Courier New" w:hint="default"/>
      </w:rPr>
    </w:lvl>
    <w:lvl w:ilvl="5" w:tplc="50DC6EA0" w:tentative="1">
      <w:start w:val="1"/>
      <w:numFmt w:val="bullet"/>
      <w:lvlText w:val=""/>
      <w:lvlJc w:val="left"/>
      <w:pPr>
        <w:tabs>
          <w:tab w:val="num" w:pos="4604"/>
        </w:tabs>
        <w:ind w:left="4604" w:hanging="360"/>
      </w:pPr>
      <w:rPr>
        <w:rFonts w:ascii="Wingdings" w:hAnsi="Wingdings" w:hint="default"/>
      </w:rPr>
    </w:lvl>
    <w:lvl w:ilvl="6" w:tplc="71F6895A" w:tentative="1">
      <w:start w:val="1"/>
      <w:numFmt w:val="bullet"/>
      <w:lvlText w:val=""/>
      <w:lvlJc w:val="left"/>
      <w:pPr>
        <w:tabs>
          <w:tab w:val="num" w:pos="5324"/>
        </w:tabs>
        <w:ind w:left="5324" w:hanging="360"/>
      </w:pPr>
      <w:rPr>
        <w:rFonts w:ascii="Symbol" w:hAnsi="Symbol" w:hint="default"/>
      </w:rPr>
    </w:lvl>
    <w:lvl w:ilvl="7" w:tplc="E766C94A" w:tentative="1">
      <w:start w:val="1"/>
      <w:numFmt w:val="bullet"/>
      <w:lvlText w:val="o"/>
      <w:lvlJc w:val="left"/>
      <w:pPr>
        <w:tabs>
          <w:tab w:val="num" w:pos="6044"/>
        </w:tabs>
        <w:ind w:left="6044" w:hanging="360"/>
      </w:pPr>
      <w:rPr>
        <w:rFonts w:ascii="Courier New" w:hAnsi="Courier New" w:cs="Courier New" w:hint="default"/>
      </w:rPr>
    </w:lvl>
    <w:lvl w:ilvl="8" w:tplc="BBD2F688" w:tentative="1">
      <w:start w:val="1"/>
      <w:numFmt w:val="bullet"/>
      <w:lvlText w:val=""/>
      <w:lvlJc w:val="left"/>
      <w:pPr>
        <w:tabs>
          <w:tab w:val="num" w:pos="6764"/>
        </w:tabs>
        <w:ind w:left="6764" w:hanging="360"/>
      </w:pPr>
      <w:rPr>
        <w:rFonts w:ascii="Wingdings" w:hAnsi="Wingdings" w:hint="default"/>
      </w:rPr>
    </w:lvl>
  </w:abstractNum>
  <w:num w:numId="1" w16cid:durableId="1950431236">
    <w:abstractNumId w:val="13"/>
  </w:num>
  <w:num w:numId="2" w16cid:durableId="327026877">
    <w:abstractNumId w:val="10"/>
  </w:num>
  <w:num w:numId="3" w16cid:durableId="356080681">
    <w:abstractNumId w:val="14"/>
  </w:num>
  <w:num w:numId="4" w16cid:durableId="1505896167">
    <w:abstractNumId w:val="12"/>
  </w:num>
  <w:num w:numId="5" w16cid:durableId="601646483">
    <w:abstractNumId w:val="11"/>
  </w:num>
  <w:num w:numId="6" w16cid:durableId="1985431330">
    <w:abstractNumId w:val="17"/>
  </w:num>
  <w:num w:numId="7" w16cid:durableId="885603945">
    <w:abstractNumId w:val="7"/>
  </w:num>
  <w:num w:numId="8" w16cid:durableId="285475760">
    <w:abstractNumId w:val="6"/>
  </w:num>
  <w:num w:numId="9" w16cid:durableId="476190384">
    <w:abstractNumId w:val="5"/>
  </w:num>
  <w:num w:numId="10" w16cid:durableId="74135549">
    <w:abstractNumId w:val="4"/>
  </w:num>
  <w:num w:numId="11" w16cid:durableId="422655036">
    <w:abstractNumId w:val="8"/>
  </w:num>
  <w:num w:numId="12" w16cid:durableId="534193582">
    <w:abstractNumId w:val="3"/>
  </w:num>
  <w:num w:numId="13" w16cid:durableId="973874834">
    <w:abstractNumId w:val="2"/>
  </w:num>
  <w:num w:numId="14" w16cid:durableId="1520465813">
    <w:abstractNumId w:val="1"/>
  </w:num>
  <w:num w:numId="15" w16cid:durableId="1381317315">
    <w:abstractNumId w:val="0"/>
  </w:num>
  <w:num w:numId="16" w16cid:durableId="2024745619">
    <w:abstractNumId w:val="15"/>
  </w:num>
  <w:num w:numId="17" w16cid:durableId="2127504460">
    <w:abstractNumId w:val="13"/>
  </w:num>
  <w:num w:numId="18" w16cid:durableId="815604378">
    <w:abstractNumId w:val="16"/>
  </w:num>
  <w:num w:numId="19" w16cid:durableId="1413430970">
    <w:abstractNumId w:val="15"/>
  </w:num>
  <w:num w:numId="20" w16cid:durableId="1708213900">
    <w:abstractNumId w:val="16"/>
  </w:num>
  <w:num w:numId="21" w16cid:durableId="2091736033">
    <w:abstractNumId w:val="10"/>
  </w:num>
  <w:num w:numId="22" w16cid:durableId="1104151250">
    <w:abstractNumId w:val="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AppNatAutre" w:val="1"/>
    <w:docVar w:name="DocVarPREMATURE" w:val="0"/>
    <w:docVar w:name="EMM" w:val="0"/>
    <w:docVar w:name="ETRANSMISSION" w:val="BY E-TRANSMISSION ONLY"/>
    <w:docVar w:name="L4_1Annex" w:val="0"/>
    <w:docVar w:name="L4_1Anonymity" w:val="1"/>
    <w:docVar w:name="L4_1AppNatList" w:val="Georgian, grec"/>
    <w:docVar w:name="NBEMMDOC" w:val="0"/>
    <w:docVar w:name="Plural" w:val="0"/>
    <w:docVar w:name="SignForeName" w:val="0"/>
    <w:docVar w:name="SndCaseNumber" w:val="Error!Nodocumentvariablesupplied."/>
  </w:docVars>
  <w:rsids>
    <w:rsidRoot w:val="001E046A"/>
    <w:rsid w:val="000041F8"/>
    <w:rsid w:val="000042A8"/>
    <w:rsid w:val="00004308"/>
    <w:rsid w:val="00005BF0"/>
    <w:rsid w:val="0000617D"/>
    <w:rsid w:val="00007154"/>
    <w:rsid w:val="000103AE"/>
    <w:rsid w:val="00011D69"/>
    <w:rsid w:val="00012AD3"/>
    <w:rsid w:val="00015C2D"/>
    <w:rsid w:val="00015F00"/>
    <w:rsid w:val="0001768D"/>
    <w:rsid w:val="00022C1D"/>
    <w:rsid w:val="0002592F"/>
    <w:rsid w:val="00027232"/>
    <w:rsid w:val="00031428"/>
    <w:rsid w:val="00034987"/>
    <w:rsid w:val="00041560"/>
    <w:rsid w:val="000602DF"/>
    <w:rsid w:val="000615DC"/>
    <w:rsid w:val="00061B05"/>
    <w:rsid w:val="000632D5"/>
    <w:rsid w:val="000644EE"/>
    <w:rsid w:val="000712E3"/>
    <w:rsid w:val="0007780A"/>
    <w:rsid w:val="00085457"/>
    <w:rsid w:val="000925AD"/>
    <w:rsid w:val="00096FE1"/>
    <w:rsid w:val="00097A62"/>
    <w:rsid w:val="000A24EB"/>
    <w:rsid w:val="000B686A"/>
    <w:rsid w:val="000B6923"/>
    <w:rsid w:val="000B7195"/>
    <w:rsid w:val="000C5F3C"/>
    <w:rsid w:val="000C6DCC"/>
    <w:rsid w:val="000D47AA"/>
    <w:rsid w:val="000D69BE"/>
    <w:rsid w:val="000D721F"/>
    <w:rsid w:val="000E069B"/>
    <w:rsid w:val="000E0E82"/>
    <w:rsid w:val="000E1DC5"/>
    <w:rsid w:val="000E223F"/>
    <w:rsid w:val="000E46B8"/>
    <w:rsid w:val="000E7D45"/>
    <w:rsid w:val="000F52F4"/>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0BFA"/>
    <w:rsid w:val="001561B6"/>
    <w:rsid w:val="00162A12"/>
    <w:rsid w:val="00166530"/>
    <w:rsid w:val="00170027"/>
    <w:rsid w:val="00170F78"/>
    <w:rsid w:val="00182EBA"/>
    <w:rsid w:val="001832BD"/>
    <w:rsid w:val="00186C14"/>
    <w:rsid w:val="001871A2"/>
    <w:rsid w:val="001943B5"/>
    <w:rsid w:val="00195134"/>
    <w:rsid w:val="001A020C"/>
    <w:rsid w:val="001A145B"/>
    <w:rsid w:val="001A3E09"/>
    <w:rsid w:val="001A674C"/>
    <w:rsid w:val="001B3B24"/>
    <w:rsid w:val="001C055B"/>
    <w:rsid w:val="001C0F98"/>
    <w:rsid w:val="001C2A42"/>
    <w:rsid w:val="001D63ED"/>
    <w:rsid w:val="001D7348"/>
    <w:rsid w:val="001E035B"/>
    <w:rsid w:val="001E046A"/>
    <w:rsid w:val="001E0961"/>
    <w:rsid w:val="001E3EAE"/>
    <w:rsid w:val="001E6857"/>
    <w:rsid w:val="001E6F32"/>
    <w:rsid w:val="001F2145"/>
    <w:rsid w:val="001F6262"/>
    <w:rsid w:val="001F67B0"/>
    <w:rsid w:val="001F6D1C"/>
    <w:rsid w:val="001F7B3D"/>
    <w:rsid w:val="00202752"/>
    <w:rsid w:val="0020335A"/>
    <w:rsid w:val="002052BC"/>
    <w:rsid w:val="00205F9F"/>
    <w:rsid w:val="00210338"/>
    <w:rsid w:val="002115FC"/>
    <w:rsid w:val="0021423C"/>
    <w:rsid w:val="0022178B"/>
    <w:rsid w:val="00226C89"/>
    <w:rsid w:val="00230D00"/>
    <w:rsid w:val="00231DF7"/>
    <w:rsid w:val="00231FD1"/>
    <w:rsid w:val="002339E0"/>
    <w:rsid w:val="00233CF8"/>
    <w:rsid w:val="0023575D"/>
    <w:rsid w:val="00235964"/>
    <w:rsid w:val="00237148"/>
    <w:rsid w:val="0024222D"/>
    <w:rsid w:val="002422B6"/>
    <w:rsid w:val="00244B0E"/>
    <w:rsid w:val="00244F6C"/>
    <w:rsid w:val="00246B89"/>
    <w:rsid w:val="00252C4E"/>
    <w:rsid w:val="002532C5"/>
    <w:rsid w:val="00254DF2"/>
    <w:rsid w:val="00260C03"/>
    <w:rsid w:val="00263036"/>
    <w:rsid w:val="0026439A"/>
    <w:rsid w:val="0026540E"/>
    <w:rsid w:val="00265854"/>
    <w:rsid w:val="00275123"/>
    <w:rsid w:val="00281B7C"/>
    <w:rsid w:val="00282240"/>
    <w:rsid w:val="00282BD8"/>
    <w:rsid w:val="00287AD5"/>
    <w:rsid w:val="002934D0"/>
    <w:rsid w:val="00293676"/>
    <w:rsid w:val="00293BD9"/>
    <w:rsid w:val="002948AD"/>
    <w:rsid w:val="002A01CC"/>
    <w:rsid w:val="002A399A"/>
    <w:rsid w:val="002A613A"/>
    <w:rsid w:val="002A61B1"/>
    <w:rsid w:val="002A663C"/>
    <w:rsid w:val="002B444B"/>
    <w:rsid w:val="002B5887"/>
    <w:rsid w:val="002B5B43"/>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020E"/>
    <w:rsid w:val="00301A75"/>
    <w:rsid w:val="00302F70"/>
    <w:rsid w:val="0030336F"/>
    <w:rsid w:val="0030375E"/>
    <w:rsid w:val="00303C12"/>
    <w:rsid w:val="00310621"/>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E6D80"/>
    <w:rsid w:val="003E7BCC"/>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0FA2"/>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05F69"/>
    <w:rsid w:val="00511C07"/>
    <w:rsid w:val="005125CB"/>
    <w:rsid w:val="00512EC4"/>
    <w:rsid w:val="0051725A"/>
    <w:rsid w:val="005173A6"/>
    <w:rsid w:val="00517BB8"/>
    <w:rsid w:val="00520354"/>
    <w:rsid w:val="00520BAA"/>
    <w:rsid w:val="005217D8"/>
    <w:rsid w:val="00525208"/>
    <w:rsid w:val="005257A5"/>
    <w:rsid w:val="00525A5D"/>
    <w:rsid w:val="005264C0"/>
    <w:rsid w:val="00526A8A"/>
    <w:rsid w:val="00527FB1"/>
    <w:rsid w:val="00530FE6"/>
    <w:rsid w:val="00531DF2"/>
    <w:rsid w:val="0053315C"/>
    <w:rsid w:val="00537476"/>
    <w:rsid w:val="00541FEB"/>
    <w:rsid w:val="005442EE"/>
    <w:rsid w:val="00545DA6"/>
    <w:rsid w:val="0054716E"/>
    <w:rsid w:val="00547353"/>
    <w:rsid w:val="005474E7"/>
    <w:rsid w:val="005512A3"/>
    <w:rsid w:val="005578CE"/>
    <w:rsid w:val="00560288"/>
    <w:rsid w:val="00562781"/>
    <w:rsid w:val="00562B6C"/>
    <w:rsid w:val="0057271C"/>
    <w:rsid w:val="00572845"/>
    <w:rsid w:val="005879A2"/>
    <w:rsid w:val="00592772"/>
    <w:rsid w:val="0059574A"/>
    <w:rsid w:val="005A1B9B"/>
    <w:rsid w:val="005A2221"/>
    <w:rsid w:val="005A2E79"/>
    <w:rsid w:val="005A6751"/>
    <w:rsid w:val="005B0566"/>
    <w:rsid w:val="005B092E"/>
    <w:rsid w:val="005B152C"/>
    <w:rsid w:val="005B1EE0"/>
    <w:rsid w:val="005B2B24"/>
    <w:rsid w:val="005B4425"/>
    <w:rsid w:val="005B4B94"/>
    <w:rsid w:val="005C2C62"/>
    <w:rsid w:val="005C3EE8"/>
    <w:rsid w:val="005D2F2A"/>
    <w:rsid w:val="005D34F9"/>
    <w:rsid w:val="005D4190"/>
    <w:rsid w:val="005D67A3"/>
    <w:rsid w:val="005E2988"/>
    <w:rsid w:val="005E3085"/>
    <w:rsid w:val="005F0EB3"/>
    <w:rsid w:val="005F51E1"/>
    <w:rsid w:val="00611C80"/>
    <w:rsid w:val="00620692"/>
    <w:rsid w:val="00620BE5"/>
    <w:rsid w:val="00623885"/>
    <w:rsid w:val="006242CA"/>
    <w:rsid w:val="00627507"/>
    <w:rsid w:val="00633717"/>
    <w:rsid w:val="006344E1"/>
    <w:rsid w:val="00643524"/>
    <w:rsid w:val="0064393B"/>
    <w:rsid w:val="00645CF2"/>
    <w:rsid w:val="00653BED"/>
    <w:rsid w:val="006545C4"/>
    <w:rsid w:val="00661971"/>
    <w:rsid w:val="00661CE8"/>
    <w:rsid w:val="006623D9"/>
    <w:rsid w:val="006642A5"/>
    <w:rsid w:val="0066550C"/>
    <w:rsid w:val="00665BD2"/>
    <w:rsid w:val="006716F2"/>
    <w:rsid w:val="00675AF2"/>
    <w:rsid w:val="00682BF2"/>
    <w:rsid w:val="0068573E"/>
    <w:rsid w:val="006859CE"/>
    <w:rsid w:val="006859D7"/>
    <w:rsid w:val="00691270"/>
    <w:rsid w:val="00694BA8"/>
    <w:rsid w:val="006A037C"/>
    <w:rsid w:val="006A0C84"/>
    <w:rsid w:val="006A36F4"/>
    <w:rsid w:val="006A406F"/>
    <w:rsid w:val="006A4E97"/>
    <w:rsid w:val="006A5D3A"/>
    <w:rsid w:val="006B1942"/>
    <w:rsid w:val="006C23D4"/>
    <w:rsid w:val="006C7BB0"/>
    <w:rsid w:val="006D3237"/>
    <w:rsid w:val="006D3663"/>
    <w:rsid w:val="006E2E37"/>
    <w:rsid w:val="006E3CF1"/>
    <w:rsid w:val="006E4012"/>
    <w:rsid w:val="006E66A2"/>
    <w:rsid w:val="006E68A3"/>
    <w:rsid w:val="006E7E80"/>
    <w:rsid w:val="006F1C2D"/>
    <w:rsid w:val="006F3EF2"/>
    <w:rsid w:val="006F48CA"/>
    <w:rsid w:val="006F64DD"/>
    <w:rsid w:val="006F712D"/>
    <w:rsid w:val="00715127"/>
    <w:rsid w:val="00715A8E"/>
    <w:rsid w:val="00715E8E"/>
    <w:rsid w:val="00723580"/>
    <w:rsid w:val="00723755"/>
    <w:rsid w:val="0073136C"/>
    <w:rsid w:val="00731F0F"/>
    <w:rsid w:val="00733250"/>
    <w:rsid w:val="00741404"/>
    <w:rsid w:val="007449E5"/>
    <w:rsid w:val="0074750E"/>
    <w:rsid w:val="00747FF0"/>
    <w:rsid w:val="00751066"/>
    <w:rsid w:val="0075566E"/>
    <w:rsid w:val="00763602"/>
    <w:rsid w:val="00764D4E"/>
    <w:rsid w:val="00765A1F"/>
    <w:rsid w:val="00775B6D"/>
    <w:rsid w:val="00776D68"/>
    <w:rsid w:val="00781140"/>
    <w:rsid w:val="0078323E"/>
    <w:rsid w:val="007849C2"/>
    <w:rsid w:val="007850EE"/>
    <w:rsid w:val="00785B95"/>
    <w:rsid w:val="00790E96"/>
    <w:rsid w:val="007926FD"/>
    <w:rsid w:val="00793366"/>
    <w:rsid w:val="0079666C"/>
    <w:rsid w:val="007A716F"/>
    <w:rsid w:val="007B1B6A"/>
    <w:rsid w:val="007B270A"/>
    <w:rsid w:val="007B4182"/>
    <w:rsid w:val="007C0695"/>
    <w:rsid w:val="007C419A"/>
    <w:rsid w:val="007C4CC8"/>
    <w:rsid w:val="007C5426"/>
    <w:rsid w:val="007C5798"/>
    <w:rsid w:val="007C5D3A"/>
    <w:rsid w:val="007D1ECD"/>
    <w:rsid w:val="007D3701"/>
    <w:rsid w:val="007D4832"/>
    <w:rsid w:val="007E21B2"/>
    <w:rsid w:val="007E2C4E"/>
    <w:rsid w:val="007E2C8C"/>
    <w:rsid w:val="007E51BA"/>
    <w:rsid w:val="007E73D7"/>
    <w:rsid w:val="007E79A4"/>
    <w:rsid w:val="007F1905"/>
    <w:rsid w:val="007F27E4"/>
    <w:rsid w:val="007F3437"/>
    <w:rsid w:val="00802C64"/>
    <w:rsid w:val="00805E52"/>
    <w:rsid w:val="008061D0"/>
    <w:rsid w:val="00810B38"/>
    <w:rsid w:val="008204C7"/>
    <w:rsid w:val="00820992"/>
    <w:rsid w:val="00821328"/>
    <w:rsid w:val="00823602"/>
    <w:rsid w:val="008255F5"/>
    <w:rsid w:val="00826890"/>
    <w:rsid w:val="0083014E"/>
    <w:rsid w:val="0083214A"/>
    <w:rsid w:val="00834220"/>
    <w:rsid w:val="00836805"/>
    <w:rsid w:val="00836F12"/>
    <w:rsid w:val="00845723"/>
    <w:rsid w:val="00847F31"/>
    <w:rsid w:val="008519E7"/>
    <w:rsid w:val="00851EF9"/>
    <w:rsid w:val="008577FD"/>
    <w:rsid w:val="00860B03"/>
    <w:rsid w:val="0086497A"/>
    <w:rsid w:val="0086538E"/>
    <w:rsid w:val="00867066"/>
    <w:rsid w:val="008713A1"/>
    <w:rsid w:val="00872584"/>
    <w:rsid w:val="008754AB"/>
    <w:rsid w:val="0088060C"/>
    <w:rsid w:val="00882CD5"/>
    <w:rsid w:val="00883151"/>
    <w:rsid w:val="00893576"/>
    <w:rsid w:val="00893E73"/>
    <w:rsid w:val="008B02DC"/>
    <w:rsid w:val="008B092C"/>
    <w:rsid w:val="008B57CE"/>
    <w:rsid w:val="008C26DE"/>
    <w:rsid w:val="008D1668"/>
    <w:rsid w:val="008D2225"/>
    <w:rsid w:val="008D4752"/>
    <w:rsid w:val="008D5A13"/>
    <w:rsid w:val="008E271C"/>
    <w:rsid w:val="008E3A08"/>
    <w:rsid w:val="008E418E"/>
    <w:rsid w:val="008E5BC6"/>
    <w:rsid w:val="008E6217"/>
    <w:rsid w:val="008E6A25"/>
    <w:rsid w:val="008F2465"/>
    <w:rsid w:val="008F2554"/>
    <w:rsid w:val="008F3AEC"/>
    <w:rsid w:val="008F4D80"/>
    <w:rsid w:val="008F5193"/>
    <w:rsid w:val="008F6B36"/>
    <w:rsid w:val="009013A7"/>
    <w:rsid w:val="009017FB"/>
    <w:rsid w:val="009017FC"/>
    <w:rsid w:val="00903BF2"/>
    <w:rsid w:val="0090506B"/>
    <w:rsid w:val="009050C9"/>
    <w:rsid w:val="009066FC"/>
    <w:rsid w:val="009140A3"/>
    <w:rsid w:val="009144A2"/>
    <w:rsid w:val="0091510C"/>
    <w:rsid w:val="009259AC"/>
    <w:rsid w:val="00926F38"/>
    <w:rsid w:val="00927BEB"/>
    <w:rsid w:val="009333DC"/>
    <w:rsid w:val="00934301"/>
    <w:rsid w:val="00936CD1"/>
    <w:rsid w:val="0094131C"/>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9372D"/>
    <w:rsid w:val="009952DA"/>
    <w:rsid w:val="009A115C"/>
    <w:rsid w:val="009A7FC1"/>
    <w:rsid w:val="009B1606"/>
    <w:rsid w:val="009B1B5F"/>
    <w:rsid w:val="009B6673"/>
    <w:rsid w:val="009C191B"/>
    <w:rsid w:val="009C2BD6"/>
    <w:rsid w:val="009D57AA"/>
    <w:rsid w:val="009E1F32"/>
    <w:rsid w:val="009E2CC2"/>
    <w:rsid w:val="009E47A2"/>
    <w:rsid w:val="009E7093"/>
    <w:rsid w:val="009E776C"/>
    <w:rsid w:val="009E7A6F"/>
    <w:rsid w:val="009F4C8F"/>
    <w:rsid w:val="00A02972"/>
    <w:rsid w:val="00A05588"/>
    <w:rsid w:val="00A15601"/>
    <w:rsid w:val="00A1726E"/>
    <w:rsid w:val="00A204CF"/>
    <w:rsid w:val="00A21D2B"/>
    <w:rsid w:val="00A22745"/>
    <w:rsid w:val="00A23D49"/>
    <w:rsid w:val="00A25470"/>
    <w:rsid w:val="00A27004"/>
    <w:rsid w:val="00A30840"/>
    <w:rsid w:val="00A308CE"/>
    <w:rsid w:val="00A30C29"/>
    <w:rsid w:val="00A34DD6"/>
    <w:rsid w:val="00A35683"/>
    <w:rsid w:val="00A36819"/>
    <w:rsid w:val="00A36989"/>
    <w:rsid w:val="00A41D86"/>
    <w:rsid w:val="00A43628"/>
    <w:rsid w:val="00A43A36"/>
    <w:rsid w:val="00A45145"/>
    <w:rsid w:val="00A51D0F"/>
    <w:rsid w:val="00A54192"/>
    <w:rsid w:val="00A57147"/>
    <w:rsid w:val="00A6035E"/>
    <w:rsid w:val="00A6144C"/>
    <w:rsid w:val="00A6295C"/>
    <w:rsid w:val="00A66617"/>
    <w:rsid w:val="00A671F8"/>
    <w:rsid w:val="00A673A4"/>
    <w:rsid w:val="00A724AE"/>
    <w:rsid w:val="00A73329"/>
    <w:rsid w:val="00A82359"/>
    <w:rsid w:val="00A865D2"/>
    <w:rsid w:val="00A87C10"/>
    <w:rsid w:val="00A90BCD"/>
    <w:rsid w:val="00A92625"/>
    <w:rsid w:val="00A94C20"/>
    <w:rsid w:val="00A95D81"/>
    <w:rsid w:val="00AA1B09"/>
    <w:rsid w:val="00AA227F"/>
    <w:rsid w:val="00AA3BC7"/>
    <w:rsid w:val="00AA754A"/>
    <w:rsid w:val="00AB099E"/>
    <w:rsid w:val="00AB4328"/>
    <w:rsid w:val="00AC38DE"/>
    <w:rsid w:val="00AC4CD4"/>
    <w:rsid w:val="00AE0A2E"/>
    <w:rsid w:val="00AE354C"/>
    <w:rsid w:val="00AF070D"/>
    <w:rsid w:val="00AF4B07"/>
    <w:rsid w:val="00AF6186"/>
    <w:rsid w:val="00AF7A3A"/>
    <w:rsid w:val="00B02587"/>
    <w:rsid w:val="00B049D1"/>
    <w:rsid w:val="00B153A0"/>
    <w:rsid w:val="00B160DB"/>
    <w:rsid w:val="00B20836"/>
    <w:rsid w:val="00B235BB"/>
    <w:rsid w:val="00B27A44"/>
    <w:rsid w:val="00B30BBF"/>
    <w:rsid w:val="00B33C03"/>
    <w:rsid w:val="00B4421F"/>
    <w:rsid w:val="00B44E56"/>
    <w:rsid w:val="00B45917"/>
    <w:rsid w:val="00B46543"/>
    <w:rsid w:val="00B47D33"/>
    <w:rsid w:val="00B52BE0"/>
    <w:rsid w:val="00B54133"/>
    <w:rsid w:val="00B55A8D"/>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56A7"/>
    <w:rsid w:val="00BC6BBF"/>
    <w:rsid w:val="00BD1572"/>
    <w:rsid w:val="00BD2C32"/>
    <w:rsid w:val="00BE14E3"/>
    <w:rsid w:val="00BE3774"/>
    <w:rsid w:val="00BE41E5"/>
    <w:rsid w:val="00BE4CE2"/>
    <w:rsid w:val="00BF118F"/>
    <w:rsid w:val="00BF4109"/>
    <w:rsid w:val="00BF4CC3"/>
    <w:rsid w:val="00C054C7"/>
    <w:rsid w:val="00C057B5"/>
    <w:rsid w:val="00C07D0E"/>
    <w:rsid w:val="00C115C3"/>
    <w:rsid w:val="00C15547"/>
    <w:rsid w:val="00C1672D"/>
    <w:rsid w:val="00C22687"/>
    <w:rsid w:val="00C2466F"/>
    <w:rsid w:val="00C24711"/>
    <w:rsid w:val="00C26A92"/>
    <w:rsid w:val="00C26B1C"/>
    <w:rsid w:val="00C32E4D"/>
    <w:rsid w:val="00C333A0"/>
    <w:rsid w:val="00C36A81"/>
    <w:rsid w:val="00C41974"/>
    <w:rsid w:val="00C44A2C"/>
    <w:rsid w:val="00C44F09"/>
    <w:rsid w:val="00C477F7"/>
    <w:rsid w:val="00C509A6"/>
    <w:rsid w:val="00C53F4A"/>
    <w:rsid w:val="00C54125"/>
    <w:rsid w:val="00C55B54"/>
    <w:rsid w:val="00C57B9F"/>
    <w:rsid w:val="00C6098E"/>
    <w:rsid w:val="00C6152C"/>
    <w:rsid w:val="00C71424"/>
    <w:rsid w:val="00C74810"/>
    <w:rsid w:val="00C90D68"/>
    <w:rsid w:val="00C91078"/>
    <w:rsid w:val="00C91CB0"/>
    <w:rsid w:val="00C939FE"/>
    <w:rsid w:val="00CA4BDA"/>
    <w:rsid w:val="00CB13E3"/>
    <w:rsid w:val="00CB1F66"/>
    <w:rsid w:val="00CB232C"/>
    <w:rsid w:val="00CB2951"/>
    <w:rsid w:val="00CB4277"/>
    <w:rsid w:val="00CC07A1"/>
    <w:rsid w:val="00CC5067"/>
    <w:rsid w:val="00CD11D3"/>
    <w:rsid w:val="00CD282B"/>
    <w:rsid w:val="00CD447B"/>
    <w:rsid w:val="00CD4C35"/>
    <w:rsid w:val="00CD7369"/>
    <w:rsid w:val="00CE0B0E"/>
    <w:rsid w:val="00CE3831"/>
    <w:rsid w:val="00CF2397"/>
    <w:rsid w:val="00CF25EE"/>
    <w:rsid w:val="00D00ABB"/>
    <w:rsid w:val="00D02EEC"/>
    <w:rsid w:val="00D03551"/>
    <w:rsid w:val="00D04315"/>
    <w:rsid w:val="00D045F0"/>
    <w:rsid w:val="00D06A63"/>
    <w:rsid w:val="00D07E0E"/>
    <w:rsid w:val="00D10CD6"/>
    <w:rsid w:val="00D11478"/>
    <w:rsid w:val="00D15ED0"/>
    <w:rsid w:val="00D164BF"/>
    <w:rsid w:val="00D21B3E"/>
    <w:rsid w:val="00D21FED"/>
    <w:rsid w:val="00D23048"/>
    <w:rsid w:val="00D24251"/>
    <w:rsid w:val="00D26E72"/>
    <w:rsid w:val="00D343E2"/>
    <w:rsid w:val="00D361A2"/>
    <w:rsid w:val="00D36EBC"/>
    <w:rsid w:val="00D37272"/>
    <w:rsid w:val="00D44C2E"/>
    <w:rsid w:val="00D45414"/>
    <w:rsid w:val="00D50A0A"/>
    <w:rsid w:val="00D53548"/>
    <w:rsid w:val="00D5576B"/>
    <w:rsid w:val="00D566BD"/>
    <w:rsid w:val="00D57A4D"/>
    <w:rsid w:val="00D60AA7"/>
    <w:rsid w:val="00D6435F"/>
    <w:rsid w:val="00D66471"/>
    <w:rsid w:val="00D669D4"/>
    <w:rsid w:val="00D70641"/>
    <w:rsid w:val="00D74888"/>
    <w:rsid w:val="00D7488B"/>
    <w:rsid w:val="00D75E28"/>
    <w:rsid w:val="00D76F3B"/>
    <w:rsid w:val="00D772C2"/>
    <w:rsid w:val="00D77673"/>
    <w:rsid w:val="00D8008E"/>
    <w:rsid w:val="00D82C45"/>
    <w:rsid w:val="00D908A8"/>
    <w:rsid w:val="00D977B6"/>
    <w:rsid w:val="00DA1223"/>
    <w:rsid w:val="00DA4A31"/>
    <w:rsid w:val="00DA7B04"/>
    <w:rsid w:val="00DB36C2"/>
    <w:rsid w:val="00DC00A8"/>
    <w:rsid w:val="00DC169B"/>
    <w:rsid w:val="00DC2AB9"/>
    <w:rsid w:val="00DC3DEE"/>
    <w:rsid w:val="00DC63F0"/>
    <w:rsid w:val="00DD37EA"/>
    <w:rsid w:val="00DD6EE5"/>
    <w:rsid w:val="00DE1394"/>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557AA"/>
    <w:rsid w:val="00E63EC7"/>
    <w:rsid w:val="00E64915"/>
    <w:rsid w:val="00E64D3A"/>
    <w:rsid w:val="00E652A4"/>
    <w:rsid w:val="00E661D4"/>
    <w:rsid w:val="00E67565"/>
    <w:rsid w:val="00E70091"/>
    <w:rsid w:val="00E70D2E"/>
    <w:rsid w:val="00E720F5"/>
    <w:rsid w:val="00E744E0"/>
    <w:rsid w:val="00E76D47"/>
    <w:rsid w:val="00E827BC"/>
    <w:rsid w:val="00E838A6"/>
    <w:rsid w:val="00E849F7"/>
    <w:rsid w:val="00E90302"/>
    <w:rsid w:val="00E91D05"/>
    <w:rsid w:val="00E9262D"/>
    <w:rsid w:val="00E9424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176BA"/>
    <w:rsid w:val="00F21161"/>
    <w:rsid w:val="00F218EF"/>
    <w:rsid w:val="00F21BC7"/>
    <w:rsid w:val="00F266A2"/>
    <w:rsid w:val="00F32269"/>
    <w:rsid w:val="00F35B7A"/>
    <w:rsid w:val="00F56A6F"/>
    <w:rsid w:val="00F5709C"/>
    <w:rsid w:val="00F60B85"/>
    <w:rsid w:val="00F64EF1"/>
    <w:rsid w:val="00F72498"/>
    <w:rsid w:val="00F72B14"/>
    <w:rsid w:val="00F7349B"/>
    <w:rsid w:val="00F8765F"/>
    <w:rsid w:val="00F90767"/>
    <w:rsid w:val="00F9263C"/>
    <w:rsid w:val="00F96A2E"/>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1F2"/>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5A28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F176BA"/>
    <w:rPr>
      <w:sz w:val="24"/>
      <w:szCs w:val="24"/>
    </w:rPr>
  </w:style>
  <w:style w:type="paragraph" w:styleId="Nagwek1">
    <w:name w:val="heading 1"/>
    <w:basedOn w:val="Normalny"/>
    <w:next w:val="Normalny"/>
    <w:link w:val="Nagwek1Znak"/>
    <w:uiPriority w:val="98"/>
    <w:semiHidden/>
    <w:rsid w:val="00F176BA"/>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F176BA"/>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F176BA"/>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F176BA"/>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F176BA"/>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F176B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F176BA"/>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F176BA"/>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F176BA"/>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F176BA"/>
    <w:rPr>
      <w:rFonts w:ascii="Tahoma" w:hAnsi="Tahoma" w:cs="Tahoma"/>
      <w:sz w:val="16"/>
      <w:szCs w:val="16"/>
    </w:rPr>
  </w:style>
  <w:style w:type="character" w:customStyle="1" w:styleId="TekstdymkaZnak">
    <w:name w:val="Tekst dymka Znak"/>
    <w:basedOn w:val="Domylnaczcionkaakapitu"/>
    <w:link w:val="Tekstdymka"/>
    <w:uiPriority w:val="98"/>
    <w:semiHidden/>
    <w:rsid w:val="00F176BA"/>
    <w:rPr>
      <w:rFonts w:ascii="Tahoma" w:hAnsi="Tahoma" w:cs="Tahoma"/>
      <w:sz w:val="16"/>
      <w:szCs w:val="16"/>
      <w:lang w:val="pl-PL"/>
    </w:rPr>
  </w:style>
  <w:style w:type="character" w:styleId="Tytuksiki">
    <w:name w:val="Book Title"/>
    <w:uiPriority w:val="98"/>
    <w:semiHidden/>
    <w:qFormat/>
    <w:rsid w:val="00F176BA"/>
    <w:rPr>
      <w:i/>
      <w:iCs/>
      <w:smallCaps/>
      <w:spacing w:val="5"/>
    </w:rPr>
  </w:style>
  <w:style w:type="paragraph" w:customStyle="1" w:styleId="JuHeader">
    <w:name w:val="Ju_Header"/>
    <w:aliases w:val="_Header"/>
    <w:basedOn w:val="Nagwek"/>
    <w:uiPriority w:val="29"/>
    <w:qFormat/>
    <w:rsid w:val="00F176BA"/>
    <w:pPr>
      <w:tabs>
        <w:tab w:val="clear" w:pos="4536"/>
        <w:tab w:val="clear" w:pos="9072"/>
      </w:tabs>
      <w:jc w:val="center"/>
    </w:pPr>
    <w:rPr>
      <w:sz w:val="18"/>
    </w:rPr>
  </w:style>
  <w:style w:type="paragraph" w:customStyle="1" w:styleId="NormalJustified">
    <w:name w:val="Normal_Justified"/>
    <w:basedOn w:val="Normalny"/>
    <w:semiHidden/>
    <w:rsid w:val="00F176BA"/>
    <w:pPr>
      <w:jc w:val="both"/>
    </w:pPr>
  </w:style>
  <w:style w:type="character" w:styleId="Pogrubienie">
    <w:name w:val="Strong"/>
    <w:uiPriority w:val="98"/>
    <w:semiHidden/>
    <w:qFormat/>
    <w:rsid w:val="00F176BA"/>
    <w:rPr>
      <w:b/>
      <w:bCs/>
    </w:rPr>
  </w:style>
  <w:style w:type="paragraph" w:styleId="Bezodstpw">
    <w:name w:val="No Spacing"/>
    <w:basedOn w:val="Normalny"/>
    <w:link w:val="BezodstpwZnak"/>
    <w:uiPriority w:val="98"/>
    <w:semiHidden/>
    <w:qFormat/>
    <w:rsid w:val="00F176BA"/>
  </w:style>
  <w:style w:type="character" w:customStyle="1" w:styleId="BezodstpwZnak">
    <w:name w:val="Bez odstępów Znak"/>
    <w:basedOn w:val="Domylnaczcionkaakapitu"/>
    <w:link w:val="Bezodstpw"/>
    <w:uiPriority w:val="98"/>
    <w:semiHidden/>
    <w:rsid w:val="00F176BA"/>
    <w:rPr>
      <w:sz w:val="24"/>
      <w:szCs w:val="24"/>
      <w:lang w:val="pl-PL"/>
    </w:rPr>
  </w:style>
  <w:style w:type="paragraph" w:customStyle="1" w:styleId="JuQuot">
    <w:name w:val="Ju_Quot"/>
    <w:aliases w:val="_Quote"/>
    <w:basedOn w:val="NormalJustified"/>
    <w:uiPriority w:val="20"/>
    <w:qFormat/>
    <w:rsid w:val="00F176BA"/>
    <w:pPr>
      <w:spacing w:before="120" w:after="120"/>
      <w:ind w:left="425" w:firstLine="142"/>
    </w:pPr>
    <w:rPr>
      <w:sz w:val="20"/>
    </w:rPr>
  </w:style>
  <w:style w:type="paragraph" w:customStyle="1" w:styleId="DummyStyle">
    <w:name w:val="Dummy_Style"/>
    <w:aliases w:val="_Dummy"/>
    <w:basedOn w:val="Normalny"/>
    <w:semiHidden/>
    <w:qFormat/>
    <w:rsid w:val="00F176BA"/>
    <w:rPr>
      <w:color w:val="00B050"/>
      <w:sz w:val="22"/>
    </w:rPr>
  </w:style>
  <w:style w:type="paragraph" w:customStyle="1" w:styleId="JuList">
    <w:name w:val="Ju_List"/>
    <w:aliases w:val="_List_1"/>
    <w:basedOn w:val="NormalJustified"/>
    <w:uiPriority w:val="23"/>
    <w:qFormat/>
    <w:rsid w:val="00F176BA"/>
    <w:pPr>
      <w:numPr>
        <w:numId w:val="22"/>
      </w:numPr>
      <w:spacing w:before="280" w:after="60"/>
    </w:pPr>
  </w:style>
  <w:style w:type="paragraph" w:customStyle="1" w:styleId="JuLista">
    <w:name w:val="Ju_List_a"/>
    <w:aliases w:val="_List_2"/>
    <w:basedOn w:val="NormalJustified"/>
    <w:uiPriority w:val="23"/>
    <w:rsid w:val="00F176BA"/>
    <w:pPr>
      <w:numPr>
        <w:ilvl w:val="1"/>
        <w:numId w:val="22"/>
      </w:numPr>
    </w:pPr>
  </w:style>
  <w:style w:type="paragraph" w:customStyle="1" w:styleId="JuListi">
    <w:name w:val="Ju_List_i"/>
    <w:aliases w:val="_List_3"/>
    <w:basedOn w:val="NormalJustified"/>
    <w:uiPriority w:val="23"/>
    <w:rsid w:val="00F176BA"/>
    <w:pPr>
      <w:numPr>
        <w:ilvl w:val="2"/>
        <w:numId w:val="22"/>
      </w:numPr>
    </w:pPr>
  </w:style>
  <w:style w:type="paragraph" w:customStyle="1" w:styleId="JuHArticle">
    <w:name w:val="Ju_H_Article"/>
    <w:aliases w:val="_Title_Quote"/>
    <w:basedOn w:val="Normalny"/>
    <w:next w:val="JuQuot"/>
    <w:uiPriority w:val="19"/>
    <w:qFormat/>
    <w:rsid w:val="00F176BA"/>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F176BA"/>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F176BA"/>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F176BA"/>
    <w:pPr>
      <w:keepNext/>
      <w:keepLines/>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F176BA"/>
    <w:pPr>
      <w:numPr>
        <w:numId w:val="16"/>
      </w:numPr>
    </w:pPr>
  </w:style>
  <w:style w:type="paragraph" w:customStyle="1" w:styleId="JuSigned">
    <w:name w:val="Ju_Signed"/>
    <w:aliases w:val="_Signature"/>
    <w:basedOn w:val="Normalny"/>
    <w:next w:val="JuPara"/>
    <w:uiPriority w:val="31"/>
    <w:qFormat/>
    <w:rsid w:val="00F176BA"/>
    <w:pPr>
      <w:tabs>
        <w:tab w:val="center" w:pos="1418"/>
        <w:tab w:val="center" w:pos="5954"/>
      </w:tabs>
      <w:spacing w:before="720"/>
    </w:pPr>
  </w:style>
  <w:style w:type="paragraph" w:styleId="Tytu">
    <w:name w:val="Title"/>
    <w:basedOn w:val="Normalny"/>
    <w:next w:val="Normalny"/>
    <w:link w:val="TytuZnak"/>
    <w:uiPriority w:val="98"/>
    <w:semiHidden/>
    <w:qFormat/>
    <w:rsid w:val="00F176B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F176BA"/>
    <w:rPr>
      <w:rFonts w:asciiTheme="majorHAnsi" w:eastAsiaTheme="majorEastAsia" w:hAnsiTheme="majorHAnsi" w:cstheme="majorBidi"/>
      <w:spacing w:val="5"/>
      <w:sz w:val="52"/>
      <w:szCs w:val="52"/>
      <w:lang w:val="pl-PL" w:bidi="en-US"/>
    </w:rPr>
  </w:style>
  <w:style w:type="numbering" w:customStyle="1" w:styleId="ECHRA1StyleList">
    <w:name w:val="ECHR_A1_Style_List"/>
    <w:basedOn w:val="Bezlisty"/>
    <w:uiPriority w:val="99"/>
    <w:rsid w:val="00F176BA"/>
    <w:pPr>
      <w:numPr>
        <w:numId w:val="1"/>
      </w:numPr>
    </w:pPr>
  </w:style>
  <w:style w:type="numbering" w:customStyle="1" w:styleId="ECHRA1StyleNumberedList">
    <w:name w:val="ECHR_A1_Style_Numbered_List"/>
    <w:basedOn w:val="Bezlisty"/>
    <w:rsid w:val="00F176BA"/>
    <w:pPr>
      <w:numPr>
        <w:numId w:val="18"/>
      </w:numPr>
    </w:pPr>
  </w:style>
  <w:style w:type="table" w:customStyle="1" w:styleId="ECHRTable2019">
    <w:name w:val="ECHR_Table_2019"/>
    <w:basedOn w:val="Standardowy"/>
    <w:uiPriority w:val="99"/>
    <w:rsid w:val="00F176BA"/>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F176BA"/>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F176BA"/>
    <w:pPr>
      <w:keepNext/>
      <w:keepLines/>
      <w:numPr>
        <w:ilvl w:val="1"/>
        <w:numId w:val="21"/>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F176BA"/>
    <w:pPr>
      <w:keepNext/>
      <w:keepLines/>
      <w:numPr>
        <w:ilvl w:val="2"/>
        <w:numId w:val="21"/>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F176BA"/>
    <w:pPr>
      <w:keepNext/>
      <w:keepLines/>
      <w:numPr>
        <w:ilvl w:val="3"/>
        <w:numId w:val="21"/>
      </w:numPr>
      <w:spacing w:before="100" w:beforeAutospacing="1" w:after="120"/>
      <w:jc w:val="both"/>
    </w:pPr>
    <w:rPr>
      <w:b w:val="0"/>
      <w:color w:val="auto"/>
      <w:sz w:val="24"/>
    </w:rPr>
  </w:style>
  <w:style w:type="paragraph" w:styleId="Nagwek">
    <w:name w:val="header"/>
    <w:basedOn w:val="Normalny"/>
    <w:link w:val="NagwekZnak"/>
    <w:uiPriority w:val="98"/>
    <w:semiHidden/>
    <w:rsid w:val="00F176BA"/>
    <w:pPr>
      <w:tabs>
        <w:tab w:val="center" w:pos="4536"/>
        <w:tab w:val="right" w:pos="9072"/>
      </w:tabs>
    </w:pPr>
  </w:style>
  <w:style w:type="character" w:customStyle="1" w:styleId="NagwekZnak">
    <w:name w:val="Nagłówek Znak"/>
    <w:basedOn w:val="Domylnaczcionkaakapitu"/>
    <w:link w:val="Nagwek"/>
    <w:uiPriority w:val="98"/>
    <w:semiHidden/>
    <w:rsid w:val="00F176BA"/>
    <w:rPr>
      <w:sz w:val="24"/>
      <w:szCs w:val="24"/>
      <w:lang w:val="pl-PL"/>
    </w:rPr>
  </w:style>
  <w:style w:type="character" w:customStyle="1" w:styleId="Nagwek1Znak">
    <w:name w:val="Nagłówek 1 Znak"/>
    <w:basedOn w:val="Domylnaczcionkaakapitu"/>
    <w:link w:val="Nagwek1"/>
    <w:uiPriority w:val="98"/>
    <w:semiHidden/>
    <w:rsid w:val="00F176BA"/>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agwek5"/>
    <w:next w:val="JuPara"/>
    <w:uiPriority w:val="17"/>
    <w:rsid w:val="00F176BA"/>
    <w:pPr>
      <w:keepNext/>
      <w:keepLines/>
      <w:numPr>
        <w:ilvl w:val="4"/>
        <w:numId w:val="21"/>
      </w:numPr>
      <w:spacing w:before="100" w:beforeAutospacing="1" w:after="120"/>
      <w:jc w:val="both"/>
    </w:pPr>
    <w:rPr>
      <w:color w:val="auto"/>
      <w:sz w:val="20"/>
    </w:rPr>
  </w:style>
  <w:style w:type="paragraph" w:customStyle="1" w:styleId="JuHi">
    <w:name w:val="Ju_H_i"/>
    <w:aliases w:val="_Head_6"/>
    <w:basedOn w:val="Nagwek6"/>
    <w:next w:val="JuPara"/>
    <w:uiPriority w:val="17"/>
    <w:rsid w:val="00F176BA"/>
    <w:pPr>
      <w:keepNext/>
      <w:keepLines/>
      <w:numPr>
        <w:ilvl w:val="5"/>
        <w:numId w:val="21"/>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F176BA"/>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agwek7"/>
    <w:next w:val="JuPara"/>
    <w:uiPriority w:val="17"/>
    <w:rsid w:val="00F176BA"/>
    <w:pPr>
      <w:keepNext/>
      <w:keepLines/>
      <w:numPr>
        <w:ilvl w:val="6"/>
        <w:numId w:val="21"/>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F176BA"/>
    <w:pPr>
      <w:keepNext/>
      <w:keepLines/>
      <w:numPr>
        <w:ilvl w:val="7"/>
        <w:numId w:val="21"/>
      </w:numPr>
      <w:spacing w:before="100" w:beforeAutospacing="1" w:after="120"/>
      <w:jc w:val="both"/>
    </w:pPr>
    <w:rPr>
      <w:i/>
    </w:rPr>
  </w:style>
  <w:style w:type="character" w:customStyle="1" w:styleId="Nagwek3Znak">
    <w:name w:val="Nagłówek 3 Znak"/>
    <w:basedOn w:val="Domylnaczcionkaakapitu"/>
    <w:link w:val="Nagwek3"/>
    <w:uiPriority w:val="98"/>
    <w:semiHidden/>
    <w:rsid w:val="00F176BA"/>
    <w:rPr>
      <w:rFonts w:asciiTheme="majorHAnsi" w:eastAsiaTheme="majorEastAsia" w:hAnsiTheme="majorHAnsi" w:cstheme="majorBidi"/>
      <w:b/>
      <w:bCs/>
      <w:color w:val="5F5F5F"/>
      <w:lang w:val="pl-PL"/>
    </w:rPr>
  </w:style>
  <w:style w:type="paragraph" w:customStyle="1" w:styleId="JuParaLast">
    <w:name w:val="Ju_Para_Last"/>
    <w:aliases w:val="_Para_Spaced"/>
    <w:basedOn w:val="NormalJustified"/>
    <w:uiPriority w:val="5"/>
    <w:qFormat/>
    <w:rsid w:val="00F176BA"/>
    <w:pPr>
      <w:keepNext/>
      <w:keepLines/>
      <w:spacing w:before="240" w:after="240"/>
      <w:ind w:firstLine="284"/>
    </w:pPr>
  </w:style>
  <w:style w:type="paragraph" w:customStyle="1" w:styleId="JuJudges">
    <w:name w:val="Ju_Judges"/>
    <w:aliases w:val="_Judges"/>
    <w:basedOn w:val="Normalny"/>
    <w:uiPriority w:val="32"/>
    <w:qFormat/>
    <w:rsid w:val="00F176BA"/>
    <w:pPr>
      <w:tabs>
        <w:tab w:val="left" w:pos="567"/>
        <w:tab w:val="left" w:pos="1134"/>
      </w:tabs>
    </w:pPr>
  </w:style>
  <w:style w:type="character" w:customStyle="1" w:styleId="Nagwek4Znak">
    <w:name w:val="Nagłówek 4 Znak"/>
    <w:basedOn w:val="Domylnaczcionkaakapitu"/>
    <w:link w:val="Nagwek4"/>
    <w:uiPriority w:val="98"/>
    <w:semiHidden/>
    <w:rsid w:val="00F176BA"/>
    <w:rPr>
      <w:rFonts w:asciiTheme="majorHAnsi" w:eastAsiaTheme="majorEastAsia" w:hAnsiTheme="majorHAnsi" w:cstheme="majorBidi"/>
      <w:b/>
      <w:bCs/>
      <w:i/>
      <w:iCs/>
      <w:color w:val="777777"/>
      <w:lang w:val="pl-PL"/>
    </w:rPr>
  </w:style>
  <w:style w:type="paragraph" w:customStyle="1" w:styleId="JuInitialled">
    <w:name w:val="Ju_Initialled"/>
    <w:aliases w:val="_Right"/>
    <w:basedOn w:val="Normalny"/>
    <w:uiPriority w:val="30"/>
    <w:qFormat/>
    <w:rsid w:val="00F176BA"/>
    <w:pPr>
      <w:tabs>
        <w:tab w:val="center" w:pos="6407"/>
      </w:tabs>
      <w:spacing w:before="720"/>
      <w:jc w:val="right"/>
    </w:pPr>
  </w:style>
  <w:style w:type="character" w:customStyle="1" w:styleId="Nagwek5Znak">
    <w:name w:val="Nagłówek 5 Znak"/>
    <w:basedOn w:val="Domylnaczcionkaakapitu"/>
    <w:link w:val="Nagwek5"/>
    <w:uiPriority w:val="98"/>
    <w:semiHidden/>
    <w:rsid w:val="00F176BA"/>
    <w:rPr>
      <w:rFonts w:asciiTheme="majorHAnsi" w:eastAsiaTheme="majorEastAsia" w:hAnsiTheme="majorHAnsi" w:cstheme="majorBidi"/>
      <w:b/>
      <w:bCs/>
      <w:color w:val="808080"/>
      <w:lang w:val="pl-PL"/>
    </w:rPr>
  </w:style>
  <w:style w:type="character" w:customStyle="1" w:styleId="JuITMark">
    <w:name w:val="Ju_ITMark"/>
    <w:aliases w:val="_ITMark"/>
    <w:basedOn w:val="Domylnaczcionkaakapitu"/>
    <w:uiPriority w:val="54"/>
    <w:qFormat/>
    <w:rsid w:val="00F176BA"/>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F176BA"/>
    <w:rPr>
      <w:caps w:val="0"/>
      <w:smallCaps/>
    </w:rPr>
  </w:style>
  <w:style w:type="character" w:styleId="Wyrnieniedelikatne">
    <w:name w:val="Subtle Emphasis"/>
    <w:uiPriority w:val="98"/>
    <w:semiHidden/>
    <w:qFormat/>
    <w:rsid w:val="00F176BA"/>
    <w:rPr>
      <w:i/>
      <w:iCs/>
    </w:rPr>
  </w:style>
  <w:style w:type="table" w:customStyle="1" w:styleId="ECHRTable">
    <w:name w:val="ECHR_Table"/>
    <w:basedOn w:val="Standardowy"/>
    <w:rsid w:val="00F176BA"/>
    <w:rPr>
      <w:rFonts w:eastAsia="Times New Roman" w:cs="Times New Roman"/>
      <w:sz w:val="20"/>
      <w:szCs w:val="20"/>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F176BA"/>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Uwydatnienie">
    <w:name w:val="Emphasis"/>
    <w:uiPriority w:val="98"/>
    <w:semiHidden/>
    <w:qFormat/>
    <w:rsid w:val="00F176BA"/>
    <w:rPr>
      <w:b/>
      <w:bCs/>
      <w:i/>
      <w:iCs/>
      <w:spacing w:val="10"/>
      <w:bdr w:val="none" w:sz="0" w:space="0" w:color="auto"/>
      <w:shd w:val="clear" w:color="auto" w:fill="auto"/>
    </w:rPr>
  </w:style>
  <w:style w:type="paragraph" w:styleId="Stopka">
    <w:name w:val="footer"/>
    <w:basedOn w:val="Normalny"/>
    <w:link w:val="StopkaZnak"/>
    <w:uiPriority w:val="98"/>
    <w:semiHidden/>
    <w:rsid w:val="00F176BA"/>
    <w:pPr>
      <w:tabs>
        <w:tab w:val="center" w:pos="3686"/>
        <w:tab w:val="right" w:pos="7371"/>
      </w:tabs>
    </w:pPr>
  </w:style>
  <w:style w:type="character" w:customStyle="1" w:styleId="StopkaZnak">
    <w:name w:val="Stopka Znak"/>
    <w:basedOn w:val="Domylnaczcionkaakapitu"/>
    <w:link w:val="Stopka"/>
    <w:uiPriority w:val="98"/>
    <w:semiHidden/>
    <w:rsid w:val="00F176BA"/>
    <w:rPr>
      <w:sz w:val="24"/>
      <w:szCs w:val="24"/>
      <w:lang w:val="pl-PL"/>
    </w:rPr>
  </w:style>
  <w:style w:type="character" w:styleId="Odwoanieprzypisudolnego">
    <w:name w:val="footnote reference"/>
    <w:basedOn w:val="Domylnaczcionkaakapitu"/>
    <w:uiPriority w:val="98"/>
    <w:semiHidden/>
    <w:rsid w:val="00F176BA"/>
    <w:rPr>
      <w:vertAlign w:val="superscript"/>
    </w:rPr>
  </w:style>
  <w:style w:type="paragraph" w:styleId="Tekstprzypisudolnego">
    <w:name w:val="footnote text"/>
    <w:basedOn w:val="NormalJustified"/>
    <w:link w:val="TekstprzypisudolnegoZnak"/>
    <w:uiPriority w:val="98"/>
    <w:semiHidden/>
    <w:rsid w:val="00F176BA"/>
    <w:rPr>
      <w:sz w:val="20"/>
      <w:szCs w:val="20"/>
    </w:rPr>
  </w:style>
  <w:style w:type="character" w:customStyle="1" w:styleId="TekstprzypisudolnegoZnak">
    <w:name w:val="Tekst przypisu dolnego Znak"/>
    <w:basedOn w:val="Domylnaczcionkaakapitu"/>
    <w:link w:val="Tekstprzypisudolnego"/>
    <w:uiPriority w:val="98"/>
    <w:semiHidden/>
    <w:rsid w:val="00F176BA"/>
    <w:rPr>
      <w:sz w:val="20"/>
      <w:szCs w:val="20"/>
      <w:lang w:val="pl-PL"/>
    </w:rPr>
  </w:style>
  <w:style w:type="character" w:customStyle="1" w:styleId="Nagwek6Znak">
    <w:name w:val="Nagłówek 6 Znak"/>
    <w:basedOn w:val="Domylnaczcionkaakapitu"/>
    <w:link w:val="Nagwek6"/>
    <w:uiPriority w:val="98"/>
    <w:semiHidden/>
    <w:rsid w:val="00F176BA"/>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F176BA"/>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F176BA"/>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F176BA"/>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F176BA"/>
    <w:rPr>
      <w:color w:val="0072BC" w:themeColor="hyperlink"/>
      <w:u w:val="single"/>
    </w:rPr>
  </w:style>
  <w:style w:type="character" w:styleId="Wyrnienieintensywne">
    <w:name w:val="Intense Emphasis"/>
    <w:uiPriority w:val="98"/>
    <w:semiHidden/>
    <w:qFormat/>
    <w:rsid w:val="00F176BA"/>
    <w:rPr>
      <w:b/>
      <w:bCs/>
    </w:rPr>
  </w:style>
  <w:style w:type="paragraph" w:styleId="Cytatintensywny">
    <w:name w:val="Intense Quote"/>
    <w:basedOn w:val="Normalny"/>
    <w:next w:val="Normalny"/>
    <w:link w:val="CytatintensywnyZnak"/>
    <w:uiPriority w:val="98"/>
    <w:semiHidden/>
    <w:qFormat/>
    <w:rsid w:val="00F176BA"/>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F176BA"/>
    <w:rPr>
      <w:b/>
      <w:bCs/>
      <w:i/>
      <w:iCs/>
      <w:sz w:val="24"/>
      <w:szCs w:val="24"/>
      <w:lang w:val="pl-PL" w:bidi="en-US"/>
    </w:rPr>
  </w:style>
  <w:style w:type="character" w:styleId="Odwoanieintensywne">
    <w:name w:val="Intense Reference"/>
    <w:uiPriority w:val="98"/>
    <w:semiHidden/>
    <w:qFormat/>
    <w:rsid w:val="00F176BA"/>
    <w:rPr>
      <w:smallCaps/>
      <w:spacing w:val="5"/>
      <w:u w:val="single"/>
    </w:rPr>
  </w:style>
  <w:style w:type="paragraph" w:styleId="Akapitzlist">
    <w:name w:val="List Paragraph"/>
    <w:basedOn w:val="Normalny"/>
    <w:uiPriority w:val="98"/>
    <w:semiHidden/>
    <w:qFormat/>
    <w:rsid w:val="00F176BA"/>
    <w:pPr>
      <w:ind w:left="720"/>
      <w:contextualSpacing/>
    </w:pPr>
  </w:style>
  <w:style w:type="table" w:customStyle="1" w:styleId="LtrTableAddress">
    <w:name w:val="Ltr_Table_Address"/>
    <w:aliases w:val="ECHR_Ltr_Table_Address"/>
    <w:basedOn w:val="Standardowy"/>
    <w:uiPriority w:val="99"/>
    <w:rsid w:val="00F176BA"/>
    <w:rPr>
      <w:sz w:val="24"/>
      <w:szCs w:val="24"/>
    </w:rPr>
    <w:tblPr>
      <w:tblInd w:w="5103" w:type="dxa"/>
    </w:tblPr>
  </w:style>
  <w:style w:type="paragraph" w:styleId="Cytat">
    <w:name w:val="Quote"/>
    <w:basedOn w:val="Normalny"/>
    <w:next w:val="Normalny"/>
    <w:link w:val="CytatZnak"/>
    <w:uiPriority w:val="98"/>
    <w:semiHidden/>
    <w:qFormat/>
    <w:rsid w:val="00F176BA"/>
    <w:pPr>
      <w:spacing w:before="200"/>
      <w:ind w:left="360" w:right="360"/>
    </w:pPr>
    <w:rPr>
      <w:i/>
      <w:iCs/>
      <w:lang w:bidi="en-US"/>
    </w:rPr>
  </w:style>
  <w:style w:type="character" w:customStyle="1" w:styleId="CytatZnak">
    <w:name w:val="Cytat Znak"/>
    <w:basedOn w:val="Domylnaczcionkaakapitu"/>
    <w:link w:val="Cytat"/>
    <w:uiPriority w:val="98"/>
    <w:semiHidden/>
    <w:rsid w:val="00F176BA"/>
    <w:rPr>
      <w:i/>
      <w:iCs/>
      <w:sz w:val="24"/>
      <w:szCs w:val="24"/>
      <w:lang w:val="pl-PL" w:bidi="en-US"/>
    </w:rPr>
  </w:style>
  <w:style w:type="character" w:styleId="Odwoaniedelikatne">
    <w:name w:val="Subtle Reference"/>
    <w:uiPriority w:val="98"/>
    <w:semiHidden/>
    <w:qFormat/>
    <w:rsid w:val="00F176BA"/>
    <w:rPr>
      <w:smallCaps/>
    </w:rPr>
  </w:style>
  <w:style w:type="table" w:styleId="Tabela-Siatka">
    <w:name w:val="Table Grid"/>
    <w:basedOn w:val="Standardowy"/>
    <w:uiPriority w:val="59"/>
    <w:semiHidden/>
    <w:rsid w:val="00F176B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F176BA"/>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F176BA"/>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F176BA"/>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F176BA"/>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F176BA"/>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F176BA"/>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Standardowy"/>
    <w:uiPriority w:val="99"/>
    <w:rsid w:val="00F176BA"/>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F176BA"/>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F176BA"/>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F176BA"/>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Standardowy"/>
    <w:uiPriority w:val="99"/>
    <w:rsid w:val="00F176B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Standardowy"/>
    <w:uiPriority w:val="99"/>
    <w:rsid w:val="00F176BA"/>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F176BA"/>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Podtytu">
    <w:name w:val="Subtitle"/>
    <w:basedOn w:val="Normalny"/>
    <w:next w:val="Normalny"/>
    <w:link w:val="PodtytuZnak"/>
    <w:uiPriority w:val="98"/>
    <w:semiHidden/>
    <w:qFormat/>
    <w:rsid w:val="00F176BA"/>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F176BA"/>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F176BA"/>
    <w:pPr>
      <w:numPr>
        <w:numId w:val="3"/>
      </w:numPr>
    </w:pPr>
  </w:style>
  <w:style w:type="paragraph" w:customStyle="1" w:styleId="JuPara">
    <w:name w:val="Ju_Para"/>
    <w:aliases w:val="_Para"/>
    <w:basedOn w:val="NormalJustified"/>
    <w:uiPriority w:val="4"/>
    <w:qFormat/>
    <w:rsid w:val="00F176BA"/>
    <w:pPr>
      <w:ind w:firstLine="284"/>
    </w:pPr>
  </w:style>
  <w:style w:type="numbering" w:styleId="1ai">
    <w:name w:val="Outline List 1"/>
    <w:basedOn w:val="Bezlisty"/>
    <w:uiPriority w:val="99"/>
    <w:semiHidden/>
    <w:unhideWhenUsed/>
    <w:rsid w:val="00F176BA"/>
    <w:pPr>
      <w:numPr>
        <w:numId w:val="4"/>
      </w:numPr>
    </w:pPr>
  </w:style>
  <w:style w:type="table" w:customStyle="1" w:styleId="ECHRTableSimpleBox">
    <w:name w:val="ECHR_Table_Simple_Box"/>
    <w:basedOn w:val="Standardowy"/>
    <w:uiPriority w:val="99"/>
    <w:rsid w:val="00F176BA"/>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Standardowy"/>
    <w:uiPriority w:val="99"/>
    <w:rsid w:val="00F176BA"/>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ykusekcja">
    <w:name w:val="Outline List 3"/>
    <w:basedOn w:val="Bezlisty"/>
    <w:uiPriority w:val="99"/>
    <w:semiHidden/>
    <w:unhideWhenUsed/>
    <w:rsid w:val="00F176BA"/>
    <w:pPr>
      <w:numPr>
        <w:numId w:val="5"/>
      </w:numPr>
    </w:pPr>
  </w:style>
  <w:style w:type="table" w:customStyle="1" w:styleId="ECHRTableForInternalUse">
    <w:name w:val="ECHR_Table_For_Internal_Use"/>
    <w:basedOn w:val="Standardowy"/>
    <w:uiPriority w:val="99"/>
    <w:rsid w:val="00F176BA"/>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Standardowy"/>
    <w:uiPriority w:val="99"/>
    <w:rsid w:val="00F176BA"/>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F176BA"/>
  </w:style>
  <w:style w:type="paragraph" w:styleId="Tekstblokowy">
    <w:name w:val="Block Text"/>
    <w:basedOn w:val="Normalny"/>
    <w:uiPriority w:val="98"/>
    <w:semiHidden/>
    <w:rsid w:val="00F176B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F176BA"/>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F176BA"/>
    <w:pPr>
      <w:spacing w:after="120"/>
    </w:pPr>
  </w:style>
  <w:style w:type="character" w:customStyle="1" w:styleId="TekstpodstawowyZnak">
    <w:name w:val="Tekst podstawowy Znak"/>
    <w:basedOn w:val="Domylnaczcionkaakapitu"/>
    <w:link w:val="Tekstpodstawowy"/>
    <w:uiPriority w:val="98"/>
    <w:semiHidden/>
    <w:rsid w:val="00F176BA"/>
    <w:rPr>
      <w:sz w:val="24"/>
      <w:szCs w:val="24"/>
      <w:lang w:val="pl-PL"/>
    </w:rPr>
  </w:style>
  <w:style w:type="table" w:customStyle="1" w:styleId="ECHRTableOddBanded">
    <w:name w:val="ECHR_Table_Odd_Banded"/>
    <w:basedOn w:val="Standardowy"/>
    <w:uiPriority w:val="99"/>
    <w:rsid w:val="00F176BA"/>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F176BA"/>
    <w:pPr>
      <w:spacing w:after="120" w:line="480" w:lineRule="auto"/>
    </w:pPr>
  </w:style>
  <w:style w:type="table" w:customStyle="1" w:styleId="ECHRHeaderTableReduced">
    <w:name w:val="ECHR_Header_Table_Reduced"/>
    <w:basedOn w:val="Standardowy"/>
    <w:uiPriority w:val="99"/>
    <w:rsid w:val="00F176B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F176BA"/>
    <w:pPr>
      <w:ind w:firstLine="284"/>
    </w:pPr>
    <w:rPr>
      <w:b/>
    </w:rPr>
  </w:style>
  <w:style w:type="character" w:styleId="Numerstrony">
    <w:name w:val="page number"/>
    <w:uiPriority w:val="98"/>
    <w:semiHidden/>
    <w:rsid w:val="00F176BA"/>
    <w:rPr>
      <w:sz w:val="18"/>
    </w:rPr>
  </w:style>
  <w:style w:type="paragraph" w:styleId="Listapunktowana">
    <w:name w:val="List Bullet"/>
    <w:basedOn w:val="Normalny"/>
    <w:uiPriority w:val="98"/>
    <w:semiHidden/>
    <w:rsid w:val="00F176BA"/>
    <w:pPr>
      <w:numPr>
        <w:numId w:val="6"/>
      </w:numPr>
    </w:pPr>
  </w:style>
  <w:style w:type="paragraph" w:styleId="Listapunktowana3">
    <w:name w:val="List Bullet 3"/>
    <w:basedOn w:val="Normalny"/>
    <w:uiPriority w:val="98"/>
    <w:semiHidden/>
    <w:rsid w:val="00F176BA"/>
    <w:pPr>
      <w:numPr>
        <w:numId w:val="8"/>
      </w:numPr>
      <w:contextualSpacing/>
    </w:pPr>
  </w:style>
  <w:style w:type="character" w:customStyle="1" w:styleId="Tekstpodstawowy2Znak">
    <w:name w:val="Tekst podstawowy 2 Znak"/>
    <w:basedOn w:val="Domylnaczcionkaakapitu"/>
    <w:link w:val="Tekstpodstawowy2"/>
    <w:uiPriority w:val="98"/>
    <w:semiHidden/>
    <w:rsid w:val="00F176BA"/>
    <w:rPr>
      <w:sz w:val="24"/>
      <w:szCs w:val="24"/>
      <w:lang w:val="pl-PL"/>
    </w:rPr>
  </w:style>
  <w:style w:type="paragraph" w:styleId="Tekstpodstawowy3">
    <w:name w:val="Body Text 3"/>
    <w:basedOn w:val="Normalny"/>
    <w:link w:val="Tekstpodstawowy3Znak"/>
    <w:uiPriority w:val="98"/>
    <w:semiHidden/>
    <w:rsid w:val="00F176BA"/>
    <w:pPr>
      <w:spacing w:after="120"/>
    </w:pPr>
    <w:rPr>
      <w:sz w:val="16"/>
      <w:szCs w:val="16"/>
    </w:rPr>
  </w:style>
  <w:style w:type="character" w:customStyle="1" w:styleId="Tekstpodstawowy3Znak">
    <w:name w:val="Tekst podstawowy 3 Znak"/>
    <w:basedOn w:val="Domylnaczcionkaakapitu"/>
    <w:link w:val="Tekstpodstawowy3"/>
    <w:uiPriority w:val="98"/>
    <w:semiHidden/>
    <w:rsid w:val="00F176BA"/>
    <w:rPr>
      <w:sz w:val="16"/>
      <w:szCs w:val="16"/>
      <w:lang w:val="pl-PL"/>
    </w:rPr>
  </w:style>
  <w:style w:type="paragraph" w:styleId="Tekstpodstawowyzwciciem">
    <w:name w:val="Body Text First Indent"/>
    <w:basedOn w:val="Tekstpodstawowy"/>
    <w:link w:val="TekstpodstawowyzwciciemZnak"/>
    <w:uiPriority w:val="98"/>
    <w:semiHidden/>
    <w:rsid w:val="00F176BA"/>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F176BA"/>
    <w:rPr>
      <w:sz w:val="24"/>
      <w:szCs w:val="24"/>
      <w:lang w:val="pl-PL"/>
    </w:rPr>
  </w:style>
  <w:style w:type="paragraph" w:styleId="Tekstpodstawowywcity">
    <w:name w:val="Body Text Indent"/>
    <w:basedOn w:val="Normalny"/>
    <w:link w:val="TekstpodstawowywcityZnak"/>
    <w:uiPriority w:val="98"/>
    <w:semiHidden/>
    <w:rsid w:val="00F176BA"/>
    <w:pPr>
      <w:spacing w:after="120"/>
      <w:ind w:left="283"/>
    </w:pPr>
  </w:style>
  <w:style w:type="character" w:customStyle="1" w:styleId="TekstpodstawowywcityZnak">
    <w:name w:val="Tekst podstawowy wcięty Znak"/>
    <w:basedOn w:val="Domylnaczcionkaakapitu"/>
    <w:link w:val="Tekstpodstawowywcity"/>
    <w:uiPriority w:val="98"/>
    <w:semiHidden/>
    <w:rsid w:val="00F176BA"/>
    <w:rPr>
      <w:sz w:val="24"/>
      <w:szCs w:val="24"/>
      <w:lang w:val="pl-PL"/>
    </w:rPr>
  </w:style>
  <w:style w:type="paragraph" w:styleId="Tekstpodstawowyzwciciem2">
    <w:name w:val="Body Text First Indent 2"/>
    <w:basedOn w:val="Tekstpodstawowywcity"/>
    <w:link w:val="Tekstpodstawowyzwciciem2Znak"/>
    <w:uiPriority w:val="98"/>
    <w:semiHidden/>
    <w:rsid w:val="00F176BA"/>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F176BA"/>
    <w:rPr>
      <w:sz w:val="24"/>
      <w:szCs w:val="24"/>
      <w:lang w:val="pl-PL"/>
    </w:rPr>
  </w:style>
  <w:style w:type="paragraph" w:styleId="Tekstpodstawowywcity2">
    <w:name w:val="Body Text Indent 2"/>
    <w:basedOn w:val="Normalny"/>
    <w:link w:val="Tekstpodstawowywcity2Znak"/>
    <w:uiPriority w:val="98"/>
    <w:semiHidden/>
    <w:rsid w:val="00F176BA"/>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F176BA"/>
    <w:rPr>
      <w:sz w:val="24"/>
      <w:szCs w:val="24"/>
      <w:lang w:val="pl-PL"/>
    </w:rPr>
  </w:style>
  <w:style w:type="paragraph" w:styleId="Tekstpodstawowywcity3">
    <w:name w:val="Body Text Indent 3"/>
    <w:basedOn w:val="Normalny"/>
    <w:link w:val="Tekstpodstawowywcity3Znak"/>
    <w:uiPriority w:val="98"/>
    <w:semiHidden/>
    <w:rsid w:val="00F176B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F176BA"/>
    <w:rPr>
      <w:sz w:val="16"/>
      <w:szCs w:val="16"/>
      <w:lang w:val="pl-PL"/>
    </w:rPr>
  </w:style>
  <w:style w:type="paragraph" w:styleId="Legenda">
    <w:name w:val="caption"/>
    <w:basedOn w:val="Normalny"/>
    <w:next w:val="Normalny"/>
    <w:uiPriority w:val="98"/>
    <w:semiHidden/>
    <w:qFormat/>
    <w:rsid w:val="00F176BA"/>
    <w:pPr>
      <w:spacing w:after="200"/>
    </w:pPr>
    <w:rPr>
      <w:b/>
      <w:bCs/>
      <w:color w:val="0072BC" w:themeColor="accent1"/>
      <w:sz w:val="18"/>
      <w:szCs w:val="18"/>
    </w:rPr>
  </w:style>
  <w:style w:type="paragraph" w:styleId="Zwrotpoegnalny">
    <w:name w:val="Closing"/>
    <w:basedOn w:val="Normalny"/>
    <w:link w:val="ZwrotpoegnalnyZnak"/>
    <w:uiPriority w:val="98"/>
    <w:semiHidden/>
    <w:rsid w:val="00F176BA"/>
    <w:pPr>
      <w:ind w:left="4252"/>
    </w:pPr>
  </w:style>
  <w:style w:type="character" w:customStyle="1" w:styleId="ZwrotpoegnalnyZnak">
    <w:name w:val="Zwrot pożegnalny Znak"/>
    <w:basedOn w:val="Domylnaczcionkaakapitu"/>
    <w:link w:val="Zwrotpoegnalny"/>
    <w:uiPriority w:val="98"/>
    <w:semiHidden/>
    <w:rsid w:val="00F176BA"/>
    <w:rPr>
      <w:sz w:val="24"/>
      <w:szCs w:val="24"/>
      <w:lang w:val="pl-PL"/>
    </w:rPr>
  </w:style>
  <w:style w:type="table" w:styleId="Kolorowasiatka">
    <w:name w:val="Colorful Grid"/>
    <w:basedOn w:val="Standardowy"/>
    <w:uiPriority w:val="73"/>
    <w:semiHidden/>
    <w:rsid w:val="00F176BA"/>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F176BA"/>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F176BA"/>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F176BA"/>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Kolorowasiatkaakcent4">
    <w:name w:val="Colorful Grid Accent 4"/>
    <w:basedOn w:val="Standardowy"/>
    <w:uiPriority w:val="73"/>
    <w:semiHidden/>
    <w:rsid w:val="00F176BA"/>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F176BA"/>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F176BA"/>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F176BA"/>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F176BA"/>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F176BA"/>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F176BA"/>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Kolorowalistaakcent4">
    <w:name w:val="Colorful List Accent 4"/>
    <w:basedOn w:val="Standardowy"/>
    <w:uiPriority w:val="72"/>
    <w:semiHidden/>
    <w:rsid w:val="00F176BA"/>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F176BA"/>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F176BA"/>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F176B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F176B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F176B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F176BA"/>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Kolorowecieniowanieakcent4">
    <w:name w:val="Colorful Shading Accent 4"/>
    <w:basedOn w:val="Standardowy"/>
    <w:uiPriority w:val="71"/>
    <w:semiHidden/>
    <w:rsid w:val="00F176BA"/>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F176B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F176B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F176BA"/>
    <w:rPr>
      <w:sz w:val="16"/>
      <w:szCs w:val="16"/>
    </w:rPr>
  </w:style>
  <w:style w:type="paragraph" w:styleId="Tekstkomentarza">
    <w:name w:val="annotation text"/>
    <w:basedOn w:val="Normalny"/>
    <w:link w:val="TekstkomentarzaZnak"/>
    <w:uiPriority w:val="98"/>
    <w:semiHidden/>
    <w:rsid w:val="00F176BA"/>
    <w:rPr>
      <w:sz w:val="20"/>
      <w:szCs w:val="20"/>
    </w:rPr>
  </w:style>
  <w:style w:type="character" w:customStyle="1" w:styleId="TekstkomentarzaZnak">
    <w:name w:val="Tekst komentarza Znak"/>
    <w:basedOn w:val="Domylnaczcionkaakapitu"/>
    <w:link w:val="Tekstkomentarza"/>
    <w:uiPriority w:val="98"/>
    <w:semiHidden/>
    <w:rsid w:val="00F176BA"/>
    <w:rPr>
      <w:sz w:val="20"/>
      <w:szCs w:val="20"/>
      <w:lang w:val="pl-PL"/>
    </w:rPr>
  </w:style>
  <w:style w:type="paragraph" w:styleId="Tematkomentarza">
    <w:name w:val="annotation subject"/>
    <w:basedOn w:val="Tekstkomentarza"/>
    <w:next w:val="Tekstkomentarza"/>
    <w:link w:val="TematkomentarzaZnak"/>
    <w:uiPriority w:val="98"/>
    <w:semiHidden/>
    <w:rsid w:val="00F176BA"/>
    <w:rPr>
      <w:b/>
      <w:bCs/>
    </w:rPr>
  </w:style>
  <w:style w:type="character" w:customStyle="1" w:styleId="TematkomentarzaZnak">
    <w:name w:val="Temat komentarza Znak"/>
    <w:basedOn w:val="TekstkomentarzaZnak"/>
    <w:link w:val="Tematkomentarza"/>
    <w:uiPriority w:val="98"/>
    <w:semiHidden/>
    <w:rsid w:val="00F176BA"/>
    <w:rPr>
      <w:b/>
      <w:bCs/>
      <w:sz w:val="20"/>
      <w:szCs w:val="20"/>
      <w:lang w:val="pl-PL"/>
    </w:rPr>
  </w:style>
  <w:style w:type="table" w:styleId="Ciemnalista">
    <w:name w:val="Dark List"/>
    <w:basedOn w:val="Standardowy"/>
    <w:uiPriority w:val="70"/>
    <w:semiHidden/>
    <w:rsid w:val="00F176BA"/>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F176BA"/>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F176BA"/>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F176BA"/>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Ciemnalistaakcent4">
    <w:name w:val="Dark List Accent 4"/>
    <w:basedOn w:val="Standardowy"/>
    <w:uiPriority w:val="70"/>
    <w:semiHidden/>
    <w:rsid w:val="00F176BA"/>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F176BA"/>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F176BA"/>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F176BA"/>
  </w:style>
  <w:style w:type="character" w:customStyle="1" w:styleId="DataZnak">
    <w:name w:val="Data Znak"/>
    <w:basedOn w:val="Domylnaczcionkaakapitu"/>
    <w:link w:val="Data"/>
    <w:uiPriority w:val="98"/>
    <w:semiHidden/>
    <w:rsid w:val="00F176BA"/>
    <w:rPr>
      <w:sz w:val="24"/>
      <w:szCs w:val="24"/>
      <w:lang w:val="pl-PL"/>
    </w:rPr>
  </w:style>
  <w:style w:type="paragraph" w:styleId="Mapadokumentu">
    <w:name w:val="Document Map"/>
    <w:basedOn w:val="Normalny"/>
    <w:link w:val="MapadokumentuZnak"/>
    <w:uiPriority w:val="98"/>
    <w:semiHidden/>
    <w:rsid w:val="00F176BA"/>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F176BA"/>
    <w:rPr>
      <w:rFonts w:ascii="Tahoma" w:hAnsi="Tahoma" w:cs="Tahoma"/>
      <w:sz w:val="16"/>
      <w:szCs w:val="16"/>
      <w:lang w:val="pl-PL"/>
    </w:rPr>
  </w:style>
  <w:style w:type="paragraph" w:styleId="Podpise-mail">
    <w:name w:val="E-mail Signature"/>
    <w:basedOn w:val="Normalny"/>
    <w:link w:val="Podpise-mailZnak"/>
    <w:uiPriority w:val="98"/>
    <w:semiHidden/>
    <w:rsid w:val="00F176BA"/>
  </w:style>
  <w:style w:type="character" w:customStyle="1" w:styleId="Podpise-mailZnak">
    <w:name w:val="Podpis e-mail Znak"/>
    <w:basedOn w:val="Domylnaczcionkaakapitu"/>
    <w:link w:val="Podpise-mail"/>
    <w:uiPriority w:val="98"/>
    <w:semiHidden/>
    <w:rsid w:val="00F176BA"/>
    <w:rPr>
      <w:sz w:val="24"/>
      <w:szCs w:val="24"/>
      <w:lang w:val="pl-PL"/>
    </w:rPr>
  </w:style>
  <w:style w:type="character" w:styleId="Odwoanieprzypisukocowego">
    <w:name w:val="endnote reference"/>
    <w:basedOn w:val="Domylnaczcionkaakapitu"/>
    <w:uiPriority w:val="98"/>
    <w:semiHidden/>
    <w:rsid w:val="00F176BA"/>
    <w:rPr>
      <w:vertAlign w:val="superscript"/>
    </w:rPr>
  </w:style>
  <w:style w:type="paragraph" w:styleId="Tekstprzypisukocowego">
    <w:name w:val="endnote text"/>
    <w:basedOn w:val="Normalny"/>
    <w:link w:val="TekstprzypisukocowegoZnak"/>
    <w:uiPriority w:val="98"/>
    <w:semiHidden/>
    <w:rsid w:val="00F176BA"/>
    <w:rPr>
      <w:sz w:val="20"/>
      <w:szCs w:val="20"/>
    </w:rPr>
  </w:style>
  <w:style w:type="character" w:customStyle="1" w:styleId="TekstprzypisukocowegoZnak">
    <w:name w:val="Tekst przypisu końcowego Znak"/>
    <w:basedOn w:val="Domylnaczcionkaakapitu"/>
    <w:link w:val="Tekstprzypisukocowego"/>
    <w:uiPriority w:val="98"/>
    <w:semiHidden/>
    <w:rsid w:val="00F176BA"/>
    <w:rPr>
      <w:sz w:val="20"/>
      <w:szCs w:val="20"/>
      <w:lang w:val="pl-PL"/>
    </w:rPr>
  </w:style>
  <w:style w:type="paragraph" w:styleId="Adresnakopercie">
    <w:name w:val="envelope address"/>
    <w:basedOn w:val="Normalny"/>
    <w:uiPriority w:val="98"/>
    <w:semiHidden/>
    <w:rsid w:val="00F176BA"/>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F176BA"/>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F176BA"/>
    <w:rPr>
      <w:color w:val="7030A0" w:themeColor="followedHyperlink"/>
      <w:u w:val="single"/>
    </w:rPr>
  </w:style>
  <w:style w:type="character" w:styleId="HTML-akronim">
    <w:name w:val="HTML Acronym"/>
    <w:basedOn w:val="Domylnaczcionkaakapitu"/>
    <w:uiPriority w:val="98"/>
    <w:semiHidden/>
    <w:rsid w:val="00F176BA"/>
  </w:style>
  <w:style w:type="paragraph" w:styleId="HTML-adres">
    <w:name w:val="HTML Address"/>
    <w:basedOn w:val="Normalny"/>
    <w:link w:val="HTML-adresZnak"/>
    <w:uiPriority w:val="98"/>
    <w:semiHidden/>
    <w:rsid w:val="00F176BA"/>
    <w:rPr>
      <w:i/>
      <w:iCs/>
    </w:rPr>
  </w:style>
  <w:style w:type="character" w:customStyle="1" w:styleId="HTML-adresZnak">
    <w:name w:val="HTML - adres Znak"/>
    <w:basedOn w:val="Domylnaczcionkaakapitu"/>
    <w:link w:val="HTML-adres"/>
    <w:uiPriority w:val="98"/>
    <w:semiHidden/>
    <w:rsid w:val="00F176BA"/>
    <w:rPr>
      <w:i/>
      <w:iCs/>
      <w:sz w:val="24"/>
      <w:szCs w:val="24"/>
      <w:lang w:val="pl-PL"/>
    </w:rPr>
  </w:style>
  <w:style w:type="character" w:styleId="HTML-cytat">
    <w:name w:val="HTML Cite"/>
    <w:basedOn w:val="Domylnaczcionkaakapitu"/>
    <w:uiPriority w:val="98"/>
    <w:semiHidden/>
    <w:rsid w:val="00F176BA"/>
    <w:rPr>
      <w:i/>
      <w:iCs/>
    </w:rPr>
  </w:style>
  <w:style w:type="character" w:styleId="HTML-kod">
    <w:name w:val="HTML Code"/>
    <w:basedOn w:val="Domylnaczcionkaakapitu"/>
    <w:uiPriority w:val="98"/>
    <w:semiHidden/>
    <w:rsid w:val="00F176BA"/>
    <w:rPr>
      <w:rFonts w:ascii="Consolas" w:hAnsi="Consolas" w:cs="Consolas"/>
      <w:sz w:val="20"/>
      <w:szCs w:val="20"/>
    </w:rPr>
  </w:style>
  <w:style w:type="character" w:styleId="HTML-definicja">
    <w:name w:val="HTML Definition"/>
    <w:basedOn w:val="Domylnaczcionkaakapitu"/>
    <w:uiPriority w:val="98"/>
    <w:semiHidden/>
    <w:rsid w:val="00F176BA"/>
    <w:rPr>
      <w:i/>
      <w:iCs/>
    </w:rPr>
  </w:style>
  <w:style w:type="character" w:styleId="HTML-klawiatura">
    <w:name w:val="HTML Keyboard"/>
    <w:basedOn w:val="Domylnaczcionkaakapitu"/>
    <w:uiPriority w:val="98"/>
    <w:semiHidden/>
    <w:rsid w:val="00F176BA"/>
    <w:rPr>
      <w:rFonts w:ascii="Consolas" w:hAnsi="Consolas" w:cs="Consolas"/>
      <w:sz w:val="20"/>
      <w:szCs w:val="20"/>
    </w:rPr>
  </w:style>
  <w:style w:type="paragraph" w:styleId="HTML-wstpniesformatowany">
    <w:name w:val="HTML Preformatted"/>
    <w:basedOn w:val="Normalny"/>
    <w:link w:val="HTML-wstpniesformatowanyZnak"/>
    <w:uiPriority w:val="98"/>
    <w:semiHidden/>
    <w:rsid w:val="00F176BA"/>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F176BA"/>
    <w:rPr>
      <w:rFonts w:ascii="Consolas" w:hAnsi="Consolas" w:cs="Consolas"/>
      <w:sz w:val="20"/>
      <w:szCs w:val="20"/>
      <w:lang w:val="pl-PL"/>
    </w:rPr>
  </w:style>
  <w:style w:type="character" w:styleId="HTML-przykad">
    <w:name w:val="HTML Sample"/>
    <w:basedOn w:val="Domylnaczcionkaakapitu"/>
    <w:uiPriority w:val="98"/>
    <w:semiHidden/>
    <w:rsid w:val="00F176BA"/>
    <w:rPr>
      <w:rFonts w:ascii="Consolas" w:hAnsi="Consolas" w:cs="Consolas"/>
      <w:sz w:val="24"/>
      <w:szCs w:val="24"/>
    </w:rPr>
  </w:style>
  <w:style w:type="character" w:styleId="HTML-staaszeroko">
    <w:name w:val="HTML Typewriter"/>
    <w:basedOn w:val="Domylnaczcionkaakapitu"/>
    <w:uiPriority w:val="98"/>
    <w:semiHidden/>
    <w:rsid w:val="00F176BA"/>
    <w:rPr>
      <w:rFonts w:ascii="Consolas" w:hAnsi="Consolas" w:cs="Consolas"/>
      <w:sz w:val="20"/>
      <w:szCs w:val="20"/>
    </w:rPr>
  </w:style>
  <w:style w:type="character" w:styleId="HTML-zmienna">
    <w:name w:val="HTML Variable"/>
    <w:basedOn w:val="Domylnaczcionkaakapitu"/>
    <w:uiPriority w:val="98"/>
    <w:semiHidden/>
    <w:rsid w:val="00F176BA"/>
    <w:rPr>
      <w:i/>
      <w:iCs/>
    </w:rPr>
  </w:style>
  <w:style w:type="paragraph" w:styleId="Indeks1">
    <w:name w:val="index 1"/>
    <w:basedOn w:val="Normalny"/>
    <w:next w:val="Normalny"/>
    <w:autoRedefine/>
    <w:uiPriority w:val="98"/>
    <w:semiHidden/>
    <w:rsid w:val="00F176BA"/>
    <w:pPr>
      <w:ind w:left="240" w:hanging="240"/>
    </w:pPr>
  </w:style>
  <w:style w:type="paragraph" w:styleId="Indeks2">
    <w:name w:val="index 2"/>
    <w:basedOn w:val="Normalny"/>
    <w:next w:val="Normalny"/>
    <w:autoRedefine/>
    <w:uiPriority w:val="98"/>
    <w:semiHidden/>
    <w:rsid w:val="00F176BA"/>
    <w:pPr>
      <w:ind w:left="480" w:hanging="240"/>
    </w:pPr>
  </w:style>
  <w:style w:type="paragraph" w:styleId="Indeks3">
    <w:name w:val="index 3"/>
    <w:basedOn w:val="Normalny"/>
    <w:next w:val="Normalny"/>
    <w:autoRedefine/>
    <w:uiPriority w:val="98"/>
    <w:semiHidden/>
    <w:rsid w:val="00F176BA"/>
    <w:pPr>
      <w:ind w:left="720" w:hanging="240"/>
    </w:pPr>
  </w:style>
  <w:style w:type="paragraph" w:styleId="Indeks4">
    <w:name w:val="index 4"/>
    <w:basedOn w:val="Normalny"/>
    <w:next w:val="Normalny"/>
    <w:autoRedefine/>
    <w:uiPriority w:val="98"/>
    <w:semiHidden/>
    <w:rsid w:val="00F176BA"/>
    <w:pPr>
      <w:ind w:left="960" w:hanging="240"/>
    </w:pPr>
  </w:style>
  <w:style w:type="paragraph" w:styleId="Indeks5">
    <w:name w:val="index 5"/>
    <w:basedOn w:val="Normalny"/>
    <w:next w:val="Normalny"/>
    <w:autoRedefine/>
    <w:uiPriority w:val="98"/>
    <w:semiHidden/>
    <w:rsid w:val="00F176BA"/>
    <w:pPr>
      <w:ind w:left="1200" w:hanging="240"/>
    </w:pPr>
  </w:style>
  <w:style w:type="paragraph" w:styleId="Indeks6">
    <w:name w:val="index 6"/>
    <w:basedOn w:val="Normalny"/>
    <w:next w:val="Normalny"/>
    <w:autoRedefine/>
    <w:uiPriority w:val="98"/>
    <w:semiHidden/>
    <w:rsid w:val="00F176BA"/>
    <w:pPr>
      <w:ind w:left="1440" w:hanging="240"/>
    </w:pPr>
  </w:style>
  <w:style w:type="paragraph" w:styleId="Indeks7">
    <w:name w:val="index 7"/>
    <w:basedOn w:val="Normalny"/>
    <w:next w:val="Normalny"/>
    <w:autoRedefine/>
    <w:uiPriority w:val="98"/>
    <w:semiHidden/>
    <w:rsid w:val="00F176BA"/>
    <w:pPr>
      <w:ind w:left="1680" w:hanging="240"/>
    </w:pPr>
  </w:style>
  <w:style w:type="paragraph" w:styleId="Indeks8">
    <w:name w:val="index 8"/>
    <w:basedOn w:val="Normalny"/>
    <w:next w:val="Normalny"/>
    <w:autoRedefine/>
    <w:uiPriority w:val="98"/>
    <w:semiHidden/>
    <w:rsid w:val="00F176BA"/>
    <w:pPr>
      <w:ind w:left="1920" w:hanging="240"/>
    </w:pPr>
  </w:style>
  <w:style w:type="paragraph" w:styleId="Indeks9">
    <w:name w:val="index 9"/>
    <w:basedOn w:val="Normalny"/>
    <w:next w:val="Normalny"/>
    <w:autoRedefine/>
    <w:uiPriority w:val="98"/>
    <w:semiHidden/>
    <w:rsid w:val="00F176BA"/>
    <w:pPr>
      <w:ind w:left="2160" w:hanging="240"/>
    </w:pPr>
  </w:style>
  <w:style w:type="paragraph" w:styleId="Nagwekindeksu">
    <w:name w:val="index heading"/>
    <w:basedOn w:val="Normalny"/>
    <w:next w:val="Indeks1"/>
    <w:uiPriority w:val="98"/>
    <w:semiHidden/>
    <w:rsid w:val="00F176BA"/>
    <w:rPr>
      <w:rFonts w:asciiTheme="majorHAnsi" w:eastAsiaTheme="majorEastAsia" w:hAnsiTheme="majorHAnsi" w:cstheme="majorBidi"/>
      <w:b/>
      <w:bCs/>
    </w:rPr>
  </w:style>
  <w:style w:type="table" w:styleId="Jasnasiatka">
    <w:name w:val="Light Grid"/>
    <w:basedOn w:val="Standardowy"/>
    <w:uiPriority w:val="62"/>
    <w:semiHidden/>
    <w:rsid w:val="00F176B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F176B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F176B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F176BA"/>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Jasnasiatkaakcent4">
    <w:name w:val="Light Grid Accent 4"/>
    <w:basedOn w:val="Standardowy"/>
    <w:uiPriority w:val="62"/>
    <w:semiHidden/>
    <w:rsid w:val="00F176B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F176B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F176B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F176B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F176B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F176B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F176BA"/>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Jasnalistaakcent4">
    <w:name w:val="Light List Accent 4"/>
    <w:basedOn w:val="Standardowy"/>
    <w:uiPriority w:val="61"/>
    <w:semiHidden/>
    <w:rsid w:val="00F176B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F176B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F176B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F176B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F176B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F176B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F176BA"/>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Jasnecieniowanieakcent4">
    <w:name w:val="Light Shading Accent 4"/>
    <w:basedOn w:val="Standardowy"/>
    <w:uiPriority w:val="60"/>
    <w:semiHidden/>
    <w:rsid w:val="00F176B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F176B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F176B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F176BA"/>
  </w:style>
  <w:style w:type="paragraph" w:styleId="Lista">
    <w:name w:val="List"/>
    <w:basedOn w:val="Normalny"/>
    <w:uiPriority w:val="98"/>
    <w:semiHidden/>
    <w:rsid w:val="00F176BA"/>
    <w:pPr>
      <w:ind w:left="283" w:hanging="283"/>
      <w:contextualSpacing/>
    </w:pPr>
  </w:style>
  <w:style w:type="paragraph" w:styleId="Lista2">
    <w:name w:val="List 2"/>
    <w:basedOn w:val="Normalny"/>
    <w:uiPriority w:val="98"/>
    <w:semiHidden/>
    <w:rsid w:val="00F176BA"/>
    <w:pPr>
      <w:ind w:left="566" w:hanging="283"/>
      <w:contextualSpacing/>
    </w:pPr>
  </w:style>
  <w:style w:type="paragraph" w:styleId="Lista3">
    <w:name w:val="List 3"/>
    <w:basedOn w:val="Normalny"/>
    <w:uiPriority w:val="98"/>
    <w:semiHidden/>
    <w:rsid w:val="00F176BA"/>
    <w:pPr>
      <w:ind w:left="849" w:hanging="283"/>
      <w:contextualSpacing/>
    </w:pPr>
  </w:style>
  <w:style w:type="paragraph" w:styleId="Lista4">
    <w:name w:val="List 4"/>
    <w:basedOn w:val="Normalny"/>
    <w:uiPriority w:val="98"/>
    <w:semiHidden/>
    <w:rsid w:val="00F176BA"/>
    <w:pPr>
      <w:ind w:left="1132" w:hanging="283"/>
      <w:contextualSpacing/>
    </w:pPr>
  </w:style>
  <w:style w:type="paragraph" w:styleId="Lista5">
    <w:name w:val="List 5"/>
    <w:basedOn w:val="Normalny"/>
    <w:uiPriority w:val="98"/>
    <w:semiHidden/>
    <w:rsid w:val="00F176BA"/>
    <w:pPr>
      <w:ind w:left="1415" w:hanging="283"/>
      <w:contextualSpacing/>
    </w:pPr>
  </w:style>
  <w:style w:type="paragraph" w:styleId="Listapunktowana2">
    <w:name w:val="List Bullet 2"/>
    <w:basedOn w:val="Normalny"/>
    <w:uiPriority w:val="98"/>
    <w:semiHidden/>
    <w:rsid w:val="00F176BA"/>
    <w:pPr>
      <w:numPr>
        <w:numId w:val="7"/>
      </w:numPr>
      <w:contextualSpacing/>
    </w:pPr>
  </w:style>
  <w:style w:type="paragraph" w:styleId="Listapunktowana4">
    <w:name w:val="List Bullet 4"/>
    <w:basedOn w:val="Normalny"/>
    <w:uiPriority w:val="98"/>
    <w:semiHidden/>
    <w:rsid w:val="00F176BA"/>
    <w:pPr>
      <w:numPr>
        <w:numId w:val="9"/>
      </w:numPr>
      <w:contextualSpacing/>
    </w:pPr>
  </w:style>
  <w:style w:type="paragraph" w:styleId="Listapunktowana5">
    <w:name w:val="List Bullet 5"/>
    <w:basedOn w:val="Normalny"/>
    <w:uiPriority w:val="98"/>
    <w:semiHidden/>
    <w:rsid w:val="00F176BA"/>
    <w:pPr>
      <w:numPr>
        <w:numId w:val="10"/>
      </w:numPr>
      <w:contextualSpacing/>
    </w:pPr>
  </w:style>
  <w:style w:type="paragraph" w:styleId="Lista-kontynuacja">
    <w:name w:val="List Continue"/>
    <w:basedOn w:val="Normalny"/>
    <w:uiPriority w:val="98"/>
    <w:semiHidden/>
    <w:rsid w:val="00F176BA"/>
    <w:pPr>
      <w:spacing w:after="120"/>
      <w:ind w:left="283"/>
      <w:contextualSpacing/>
    </w:pPr>
  </w:style>
  <w:style w:type="paragraph" w:styleId="Lista-kontynuacja2">
    <w:name w:val="List Continue 2"/>
    <w:basedOn w:val="Normalny"/>
    <w:uiPriority w:val="98"/>
    <w:semiHidden/>
    <w:rsid w:val="00F176BA"/>
    <w:pPr>
      <w:spacing w:after="120"/>
      <w:ind w:left="566"/>
      <w:contextualSpacing/>
    </w:pPr>
  </w:style>
  <w:style w:type="paragraph" w:styleId="Lista-kontynuacja3">
    <w:name w:val="List Continue 3"/>
    <w:basedOn w:val="Normalny"/>
    <w:uiPriority w:val="98"/>
    <w:semiHidden/>
    <w:rsid w:val="00F176BA"/>
    <w:pPr>
      <w:spacing w:after="120"/>
      <w:ind w:left="849"/>
      <w:contextualSpacing/>
    </w:pPr>
  </w:style>
  <w:style w:type="paragraph" w:styleId="Lista-kontynuacja4">
    <w:name w:val="List Continue 4"/>
    <w:basedOn w:val="Normalny"/>
    <w:uiPriority w:val="98"/>
    <w:semiHidden/>
    <w:rsid w:val="00F176BA"/>
    <w:pPr>
      <w:spacing w:after="120"/>
      <w:ind w:left="1132"/>
      <w:contextualSpacing/>
    </w:pPr>
  </w:style>
  <w:style w:type="paragraph" w:styleId="Lista-kontynuacja5">
    <w:name w:val="List Continue 5"/>
    <w:basedOn w:val="Normalny"/>
    <w:uiPriority w:val="98"/>
    <w:semiHidden/>
    <w:rsid w:val="00F176BA"/>
    <w:pPr>
      <w:spacing w:after="120"/>
      <w:ind w:left="1415"/>
      <w:contextualSpacing/>
    </w:pPr>
  </w:style>
  <w:style w:type="paragraph" w:styleId="Listanumerowana">
    <w:name w:val="List Number"/>
    <w:basedOn w:val="Normalny"/>
    <w:uiPriority w:val="98"/>
    <w:semiHidden/>
    <w:rsid w:val="00F176BA"/>
    <w:pPr>
      <w:numPr>
        <w:numId w:val="11"/>
      </w:numPr>
      <w:contextualSpacing/>
    </w:pPr>
  </w:style>
  <w:style w:type="paragraph" w:styleId="Listanumerowana2">
    <w:name w:val="List Number 2"/>
    <w:basedOn w:val="Normalny"/>
    <w:uiPriority w:val="98"/>
    <w:semiHidden/>
    <w:rsid w:val="00F176BA"/>
    <w:pPr>
      <w:numPr>
        <w:numId w:val="12"/>
      </w:numPr>
      <w:contextualSpacing/>
    </w:pPr>
  </w:style>
  <w:style w:type="paragraph" w:styleId="Listanumerowana3">
    <w:name w:val="List Number 3"/>
    <w:basedOn w:val="Normalny"/>
    <w:uiPriority w:val="98"/>
    <w:semiHidden/>
    <w:rsid w:val="00F176BA"/>
    <w:pPr>
      <w:numPr>
        <w:numId w:val="13"/>
      </w:numPr>
      <w:contextualSpacing/>
    </w:pPr>
  </w:style>
  <w:style w:type="paragraph" w:styleId="Listanumerowana4">
    <w:name w:val="List Number 4"/>
    <w:basedOn w:val="Normalny"/>
    <w:uiPriority w:val="98"/>
    <w:semiHidden/>
    <w:rsid w:val="00F176BA"/>
    <w:pPr>
      <w:numPr>
        <w:numId w:val="14"/>
      </w:numPr>
      <w:contextualSpacing/>
    </w:pPr>
  </w:style>
  <w:style w:type="paragraph" w:styleId="Listanumerowana5">
    <w:name w:val="List Number 5"/>
    <w:basedOn w:val="Normalny"/>
    <w:uiPriority w:val="98"/>
    <w:semiHidden/>
    <w:rsid w:val="00F176BA"/>
    <w:pPr>
      <w:numPr>
        <w:numId w:val="15"/>
      </w:numPr>
      <w:contextualSpacing/>
    </w:pPr>
  </w:style>
  <w:style w:type="paragraph" w:styleId="Tekstmakra">
    <w:name w:val="macro"/>
    <w:link w:val="TekstmakraZnak"/>
    <w:uiPriority w:val="98"/>
    <w:semiHidden/>
    <w:rsid w:val="00F176BA"/>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F176BA"/>
    <w:rPr>
      <w:rFonts w:ascii="Consolas" w:eastAsiaTheme="minorEastAsia" w:hAnsi="Consolas" w:cs="Consolas"/>
      <w:sz w:val="20"/>
      <w:szCs w:val="20"/>
    </w:rPr>
  </w:style>
  <w:style w:type="table" w:styleId="redniasiatka1">
    <w:name w:val="Medium Grid 1"/>
    <w:basedOn w:val="Standardowy"/>
    <w:uiPriority w:val="67"/>
    <w:semiHidden/>
    <w:rsid w:val="00F176B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F176B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F176B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F176BA"/>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redniasiatka1akcent4">
    <w:name w:val="Medium Grid 1 Accent 4"/>
    <w:basedOn w:val="Standardowy"/>
    <w:uiPriority w:val="67"/>
    <w:semiHidden/>
    <w:rsid w:val="00F176B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F176B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F176B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F176B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siatka2akcent1">
    <w:name w:val="Medium Grid 2 Accent 1"/>
    <w:basedOn w:val="Standardowy"/>
    <w:uiPriority w:val="68"/>
    <w:semiHidden/>
    <w:rsid w:val="00F176B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redniasiatka2akcent2">
    <w:name w:val="Medium Grid 2 Accent 2"/>
    <w:basedOn w:val="Standardowy"/>
    <w:uiPriority w:val="68"/>
    <w:semiHidden/>
    <w:rsid w:val="00F176B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redniasiatka2akcent3">
    <w:name w:val="Medium Grid 2 Accent 3"/>
    <w:basedOn w:val="Standardowy"/>
    <w:uiPriority w:val="68"/>
    <w:semiHidden/>
    <w:rsid w:val="00F176BA"/>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redniasiatka2akcent4">
    <w:name w:val="Medium Grid 2 Accent 4"/>
    <w:basedOn w:val="Standardowy"/>
    <w:uiPriority w:val="68"/>
    <w:semiHidden/>
    <w:rsid w:val="00F176B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redniasiatka2akcent5">
    <w:name w:val="Medium Grid 2 Accent 5"/>
    <w:basedOn w:val="Standardowy"/>
    <w:uiPriority w:val="68"/>
    <w:semiHidden/>
    <w:rsid w:val="00F176B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redniasiatka2akcent6">
    <w:name w:val="Medium Grid 2 Accent 6"/>
    <w:basedOn w:val="Standardowy"/>
    <w:uiPriority w:val="68"/>
    <w:semiHidden/>
    <w:rsid w:val="00F176B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redniasiatka3">
    <w:name w:val="Medium Grid 3"/>
    <w:basedOn w:val="Standardowy"/>
    <w:uiPriority w:val="69"/>
    <w:semiHidden/>
    <w:rsid w:val="00F176B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redniasiatka3akcent1">
    <w:name w:val="Medium Grid 3 Accent 1"/>
    <w:basedOn w:val="Standardowy"/>
    <w:uiPriority w:val="69"/>
    <w:semiHidden/>
    <w:rsid w:val="00F176B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F176B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F176B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redniasiatka3akcent4">
    <w:name w:val="Medium Grid 3 Accent 4"/>
    <w:basedOn w:val="Standardowy"/>
    <w:uiPriority w:val="69"/>
    <w:semiHidden/>
    <w:rsid w:val="00F176B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F176B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F176B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rednialista1">
    <w:name w:val="Medium List 1"/>
    <w:basedOn w:val="Standardowy"/>
    <w:uiPriority w:val="65"/>
    <w:semiHidden/>
    <w:rsid w:val="00F176B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F176B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F176B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F176BA"/>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rednialista1akcent4">
    <w:name w:val="Medium List 1 Accent 4"/>
    <w:basedOn w:val="Standardowy"/>
    <w:uiPriority w:val="65"/>
    <w:semiHidden/>
    <w:rsid w:val="00F176B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F176B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F176B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F176B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F176B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F176B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F176BA"/>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F176B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F176B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F176B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ecieniowanie1">
    <w:name w:val="Medium Shading 1"/>
    <w:basedOn w:val="Standardowy"/>
    <w:uiPriority w:val="63"/>
    <w:semiHidden/>
    <w:rsid w:val="00F176B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F176B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F176B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F176BA"/>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F176B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F176B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F176B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F176B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F176B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F176B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F176B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F176B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F176B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F176B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F176B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F176BA"/>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F176BA"/>
    <w:rPr>
      <w:rFonts w:ascii="Times New Roman" w:hAnsi="Times New Roman" w:cs="Times New Roman"/>
    </w:rPr>
  </w:style>
  <w:style w:type="paragraph" w:styleId="Wcicienormalne">
    <w:name w:val="Normal Indent"/>
    <w:basedOn w:val="Normalny"/>
    <w:uiPriority w:val="98"/>
    <w:semiHidden/>
    <w:rsid w:val="00F176BA"/>
    <w:pPr>
      <w:ind w:left="720"/>
    </w:pPr>
  </w:style>
  <w:style w:type="paragraph" w:styleId="Nagweknotatki">
    <w:name w:val="Note Heading"/>
    <w:basedOn w:val="Normalny"/>
    <w:next w:val="Normalny"/>
    <w:link w:val="NagweknotatkiZnak"/>
    <w:uiPriority w:val="98"/>
    <w:semiHidden/>
    <w:rsid w:val="00F176BA"/>
  </w:style>
  <w:style w:type="character" w:customStyle="1" w:styleId="NagweknotatkiZnak">
    <w:name w:val="Nagłówek notatki Znak"/>
    <w:basedOn w:val="Domylnaczcionkaakapitu"/>
    <w:link w:val="Nagweknotatki"/>
    <w:uiPriority w:val="98"/>
    <w:semiHidden/>
    <w:rsid w:val="00F176BA"/>
    <w:rPr>
      <w:sz w:val="24"/>
      <w:szCs w:val="24"/>
      <w:lang w:val="pl-PL"/>
    </w:rPr>
  </w:style>
  <w:style w:type="character" w:styleId="Tekstzastpczy">
    <w:name w:val="Placeholder Text"/>
    <w:basedOn w:val="Domylnaczcionkaakapitu"/>
    <w:uiPriority w:val="98"/>
    <w:semiHidden/>
    <w:rsid w:val="00F176BA"/>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F176BA"/>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F176BA"/>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F176BA"/>
  </w:style>
  <w:style w:type="character" w:customStyle="1" w:styleId="ZwrotgrzecznociowyZnak">
    <w:name w:val="Zwrot grzecznościowy Znak"/>
    <w:basedOn w:val="Domylnaczcionkaakapitu"/>
    <w:link w:val="Zwrotgrzecznociowy"/>
    <w:uiPriority w:val="98"/>
    <w:semiHidden/>
    <w:rsid w:val="00F176BA"/>
    <w:rPr>
      <w:sz w:val="24"/>
      <w:szCs w:val="24"/>
      <w:lang w:val="pl-PL"/>
    </w:rPr>
  </w:style>
  <w:style w:type="paragraph" w:styleId="Podpis">
    <w:name w:val="Signature"/>
    <w:basedOn w:val="Normalny"/>
    <w:link w:val="PodpisZnak"/>
    <w:uiPriority w:val="98"/>
    <w:semiHidden/>
    <w:rsid w:val="00F176BA"/>
    <w:pPr>
      <w:ind w:left="4252"/>
    </w:pPr>
  </w:style>
  <w:style w:type="character" w:customStyle="1" w:styleId="PodpisZnak">
    <w:name w:val="Podpis Znak"/>
    <w:basedOn w:val="Domylnaczcionkaakapitu"/>
    <w:link w:val="Podpis"/>
    <w:uiPriority w:val="98"/>
    <w:semiHidden/>
    <w:rsid w:val="00F176BA"/>
    <w:rPr>
      <w:sz w:val="24"/>
      <w:szCs w:val="24"/>
      <w:lang w:val="pl-PL"/>
    </w:rPr>
  </w:style>
  <w:style w:type="table" w:styleId="Tabela-Efekty3D1">
    <w:name w:val="Table 3D effects 1"/>
    <w:basedOn w:val="Standardowy"/>
    <w:uiPriority w:val="99"/>
    <w:semiHidden/>
    <w:unhideWhenUsed/>
    <w:rsid w:val="00F176B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F176B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F176B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F176B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F176B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F176B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F176B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a1">
    <w:name w:val="Table Colorful 1"/>
    <w:basedOn w:val="Standardowy"/>
    <w:uiPriority w:val="99"/>
    <w:semiHidden/>
    <w:unhideWhenUsed/>
    <w:rsid w:val="00F176B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a2">
    <w:name w:val="Table Colorful 2"/>
    <w:basedOn w:val="Standardowy"/>
    <w:uiPriority w:val="99"/>
    <w:semiHidden/>
    <w:unhideWhenUsed/>
    <w:rsid w:val="00F176B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a3">
    <w:name w:val="Table Colorful 3"/>
    <w:basedOn w:val="Standardowy"/>
    <w:uiPriority w:val="99"/>
    <w:semiHidden/>
    <w:unhideWhenUsed/>
    <w:rsid w:val="00F176B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F176B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F176B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F176B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F176B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F176B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F176B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F176B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F176B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F176B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F176B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F176B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F176B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F176B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F176B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F176B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F176B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F176B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F176B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F176B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F176B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F176B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F176B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F176B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F176BA"/>
    <w:pPr>
      <w:ind w:left="240" w:hanging="240"/>
    </w:pPr>
  </w:style>
  <w:style w:type="paragraph" w:styleId="Spisilustracji">
    <w:name w:val="table of figures"/>
    <w:basedOn w:val="Normalny"/>
    <w:next w:val="Normalny"/>
    <w:uiPriority w:val="98"/>
    <w:semiHidden/>
    <w:rsid w:val="00F176BA"/>
  </w:style>
  <w:style w:type="table" w:styleId="Tabela-Profesjonalny">
    <w:name w:val="Table Professional"/>
    <w:basedOn w:val="Standardowy"/>
    <w:uiPriority w:val="99"/>
    <w:semiHidden/>
    <w:unhideWhenUsed/>
    <w:rsid w:val="00F176B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F176B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F176B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F176B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F176B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F176B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F176B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F176B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F176B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F176B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F176BA"/>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F176BA"/>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F176BA"/>
    <w:pPr>
      <w:spacing w:after="100"/>
      <w:ind w:left="1680"/>
    </w:pPr>
  </w:style>
  <w:style w:type="paragraph" w:styleId="Spistreci9">
    <w:name w:val="toc 9"/>
    <w:basedOn w:val="Normalny"/>
    <w:next w:val="Normalny"/>
    <w:autoRedefine/>
    <w:uiPriority w:val="98"/>
    <w:semiHidden/>
    <w:rsid w:val="00F176BA"/>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F176BA"/>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F176BA"/>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F176BA"/>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F176BA"/>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F176BA"/>
    <w:pPr>
      <w:numPr>
        <w:numId w:val="19"/>
      </w:numPr>
      <w:spacing w:before="60" w:after="60"/>
    </w:pPr>
  </w:style>
  <w:style w:type="paragraph" w:customStyle="1" w:styleId="ECHRBullet2">
    <w:name w:val="ECHR_Bullet_2"/>
    <w:aliases w:val="_Bul_2"/>
    <w:basedOn w:val="ECHRBullet1"/>
    <w:uiPriority w:val="23"/>
    <w:semiHidden/>
    <w:rsid w:val="00F176BA"/>
    <w:pPr>
      <w:numPr>
        <w:ilvl w:val="1"/>
      </w:numPr>
    </w:pPr>
  </w:style>
  <w:style w:type="paragraph" w:customStyle="1" w:styleId="ECHRBullet3">
    <w:name w:val="ECHR_Bullet_3"/>
    <w:aliases w:val="_Bul_3"/>
    <w:basedOn w:val="ECHRBullet2"/>
    <w:uiPriority w:val="23"/>
    <w:semiHidden/>
    <w:rsid w:val="00F176BA"/>
    <w:pPr>
      <w:numPr>
        <w:ilvl w:val="2"/>
      </w:numPr>
    </w:pPr>
  </w:style>
  <w:style w:type="paragraph" w:customStyle="1" w:styleId="ECHRBullet4">
    <w:name w:val="ECHR_Bullet_4"/>
    <w:aliases w:val="_Bul_4"/>
    <w:basedOn w:val="ECHRBullet3"/>
    <w:uiPriority w:val="23"/>
    <w:semiHidden/>
    <w:rsid w:val="00F176BA"/>
    <w:pPr>
      <w:numPr>
        <w:ilvl w:val="3"/>
      </w:numPr>
    </w:pPr>
  </w:style>
  <w:style w:type="paragraph" w:customStyle="1" w:styleId="ECHRConfidential">
    <w:name w:val="ECHR_Confidential"/>
    <w:aliases w:val="_Confidential"/>
    <w:basedOn w:val="Normalny"/>
    <w:next w:val="Normalny"/>
    <w:uiPriority w:val="42"/>
    <w:semiHidden/>
    <w:qFormat/>
    <w:rsid w:val="00F176BA"/>
    <w:pPr>
      <w:jc w:val="right"/>
    </w:pPr>
    <w:rPr>
      <w:color w:val="C00000"/>
      <w:sz w:val="20"/>
    </w:rPr>
  </w:style>
  <w:style w:type="paragraph" w:customStyle="1" w:styleId="ECHRDecisionBody">
    <w:name w:val="ECHR_Decision_Body"/>
    <w:aliases w:val="_Decision_Body"/>
    <w:basedOn w:val="NormalJustified"/>
    <w:uiPriority w:val="54"/>
    <w:semiHidden/>
    <w:rsid w:val="00F176BA"/>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F176BA"/>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F176BA"/>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semiHidden/>
    <w:rsid w:val="00F176BA"/>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ny"/>
    <w:uiPriority w:val="44"/>
    <w:semiHidden/>
    <w:qFormat/>
    <w:rsid w:val="00F176BA"/>
    <w:pPr>
      <w:jc w:val="right"/>
    </w:pPr>
    <w:rPr>
      <w:sz w:val="20"/>
    </w:rPr>
  </w:style>
  <w:style w:type="paragraph" w:customStyle="1" w:styleId="ECHRHeaderRefIt">
    <w:name w:val="ECHR_Header_Ref_It"/>
    <w:aliases w:val="_Ref_Ital"/>
    <w:basedOn w:val="Normalny"/>
    <w:next w:val="ECHRHeaderDate"/>
    <w:uiPriority w:val="43"/>
    <w:semiHidden/>
    <w:qFormat/>
    <w:rsid w:val="00F176BA"/>
    <w:pPr>
      <w:jc w:val="right"/>
    </w:pPr>
    <w:rPr>
      <w:i/>
      <w:sz w:val="20"/>
    </w:rPr>
  </w:style>
  <w:style w:type="paragraph" w:customStyle="1" w:styleId="ECHRHeading9">
    <w:name w:val="ECHR_Heading_9"/>
    <w:aliases w:val="_Head_9"/>
    <w:basedOn w:val="Nagwek9"/>
    <w:uiPriority w:val="17"/>
    <w:semiHidden/>
    <w:rsid w:val="00F176BA"/>
    <w:pPr>
      <w:keepNext/>
      <w:keepLines/>
      <w:numPr>
        <w:ilvl w:val="8"/>
        <w:numId w:val="21"/>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F176BA"/>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F176BA"/>
    <w:pPr>
      <w:numPr>
        <w:numId w:val="20"/>
      </w:numPr>
      <w:spacing w:before="60" w:after="60"/>
    </w:pPr>
  </w:style>
  <w:style w:type="paragraph" w:customStyle="1" w:styleId="ECHRNumberedList2">
    <w:name w:val="ECHR_Numbered_List_2"/>
    <w:aliases w:val="_Num_2"/>
    <w:basedOn w:val="ECHRNumberedList1"/>
    <w:uiPriority w:val="23"/>
    <w:semiHidden/>
    <w:rsid w:val="00F176BA"/>
    <w:pPr>
      <w:numPr>
        <w:ilvl w:val="1"/>
      </w:numPr>
    </w:pPr>
  </w:style>
  <w:style w:type="paragraph" w:customStyle="1" w:styleId="ECHRNumberedList3">
    <w:name w:val="ECHR_Numbered_List_3"/>
    <w:aliases w:val="_Num_3"/>
    <w:basedOn w:val="ECHRNumberedList2"/>
    <w:uiPriority w:val="23"/>
    <w:semiHidden/>
    <w:rsid w:val="00F176BA"/>
    <w:pPr>
      <w:numPr>
        <w:ilvl w:val="2"/>
      </w:numPr>
    </w:pPr>
  </w:style>
  <w:style w:type="paragraph" w:customStyle="1" w:styleId="ECHRParaHanging">
    <w:name w:val="ECHR_Para_Hanging"/>
    <w:aliases w:val="_Hanging"/>
    <w:basedOn w:val="NormalJustified"/>
    <w:uiPriority w:val="8"/>
    <w:semiHidden/>
    <w:qFormat/>
    <w:rsid w:val="00F176BA"/>
    <w:pPr>
      <w:ind w:left="567" w:hanging="567"/>
    </w:pPr>
  </w:style>
  <w:style w:type="paragraph" w:customStyle="1" w:styleId="ECHRParaIndent">
    <w:name w:val="ECHR_Para_Indent"/>
    <w:aliases w:val="_Indent"/>
    <w:basedOn w:val="NormalJustified"/>
    <w:uiPriority w:val="7"/>
    <w:semiHidden/>
    <w:qFormat/>
    <w:rsid w:val="00F176BA"/>
    <w:pPr>
      <w:spacing w:before="120" w:after="120"/>
      <w:ind w:left="284"/>
    </w:pPr>
  </w:style>
  <w:style w:type="character" w:customStyle="1" w:styleId="ECHRRed">
    <w:name w:val="ECHR_Red"/>
    <w:aliases w:val="_Red"/>
    <w:basedOn w:val="Domylnaczcionkaakapitu"/>
    <w:uiPriority w:val="15"/>
    <w:semiHidden/>
    <w:qFormat/>
    <w:rsid w:val="00F176BA"/>
    <w:rPr>
      <w:color w:val="C00000" w:themeColor="accent2"/>
    </w:rPr>
  </w:style>
  <w:style w:type="paragraph" w:customStyle="1" w:styleId="DecList">
    <w:name w:val="Dec_List"/>
    <w:aliases w:val="_List"/>
    <w:basedOn w:val="JuList"/>
    <w:uiPriority w:val="22"/>
    <w:rsid w:val="00F176BA"/>
    <w:pPr>
      <w:numPr>
        <w:numId w:val="0"/>
      </w:numPr>
      <w:ind w:left="284"/>
    </w:pPr>
  </w:style>
  <w:style w:type="table" w:customStyle="1" w:styleId="ECHRTable2">
    <w:name w:val="ECHR_Table_2"/>
    <w:basedOn w:val="Standardowy"/>
    <w:uiPriority w:val="99"/>
    <w:rsid w:val="00F176B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F176BA"/>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ny"/>
    <w:next w:val="Normalny"/>
    <w:uiPriority w:val="28"/>
    <w:semiHidden/>
    <w:qFormat/>
    <w:rsid w:val="00F176BA"/>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ny"/>
    <w:next w:val="Normalny"/>
    <w:uiPriority w:val="28"/>
    <w:semiHidden/>
    <w:qFormat/>
    <w:rsid w:val="00F176BA"/>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ny"/>
    <w:next w:val="Normalny"/>
    <w:uiPriority w:val="28"/>
    <w:semiHidden/>
    <w:qFormat/>
    <w:rsid w:val="00F176BA"/>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ny"/>
    <w:next w:val="Normalny"/>
    <w:uiPriority w:val="26"/>
    <w:semiHidden/>
    <w:qFormat/>
    <w:rsid w:val="00F176BA"/>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ny"/>
    <w:next w:val="Normalny"/>
    <w:uiPriority w:val="26"/>
    <w:semiHidden/>
    <w:qFormat/>
    <w:rsid w:val="00F176BA"/>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ny"/>
    <w:next w:val="Normalny"/>
    <w:uiPriority w:val="26"/>
    <w:semiHidden/>
    <w:qFormat/>
    <w:rsid w:val="00F176BA"/>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ny"/>
    <w:uiPriority w:val="25"/>
    <w:semiHidden/>
    <w:qFormat/>
    <w:rsid w:val="00F176BA"/>
    <w:pPr>
      <w:outlineLvl w:val="0"/>
    </w:pPr>
  </w:style>
  <w:style w:type="paragraph" w:customStyle="1" w:styleId="ECHRTitleTOC1">
    <w:name w:val="ECHR_Title_TOC_1"/>
    <w:aliases w:val="_Title_L_TOC"/>
    <w:basedOn w:val="ECHRTitle1"/>
    <w:next w:val="Normalny"/>
    <w:uiPriority w:val="27"/>
    <w:semiHidden/>
    <w:qFormat/>
    <w:rsid w:val="00F176BA"/>
    <w:pPr>
      <w:outlineLvl w:val="0"/>
    </w:pPr>
  </w:style>
  <w:style w:type="paragraph" w:customStyle="1" w:styleId="ECHRPlaceholder">
    <w:name w:val="ECHR_Placeholder"/>
    <w:aliases w:val="_Placeholder"/>
    <w:basedOn w:val="JuSigned"/>
    <w:uiPriority w:val="31"/>
    <w:rsid w:val="00F176BA"/>
    <w:rPr>
      <w:color w:val="FFFFFF"/>
    </w:rPr>
  </w:style>
  <w:style w:type="paragraph" w:customStyle="1" w:styleId="ECHRSpacer">
    <w:name w:val="ECHR_Spacer"/>
    <w:aliases w:val="_Spacer"/>
    <w:basedOn w:val="Normalny"/>
    <w:uiPriority w:val="45"/>
    <w:semiHidden/>
    <w:rsid w:val="00F176BA"/>
    <w:rPr>
      <w:sz w:val="4"/>
    </w:rPr>
  </w:style>
  <w:style w:type="table" w:customStyle="1" w:styleId="ECHRTableGrey">
    <w:name w:val="ECHR_Table_Grey"/>
    <w:basedOn w:val="Standardowy"/>
    <w:uiPriority w:val="99"/>
    <w:rsid w:val="00F176BA"/>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styleId="Nierozpoznanawzmianka">
    <w:name w:val="Unresolved Mention"/>
    <w:basedOn w:val="Domylnaczcionkaakapitu"/>
    <w:uiPriority w:val="99"/>
    <w:semiHidden/>
    <w:unhideWhenUsed/>
    <w:rsid w:val="00F176BA"/>
    <w:rPr>
      <w:color w:val="605E5C"/>
      <w:shd w:val="clear" w:color="auto" w:fill="E1DFDD"/>
    </w:rPr>
  </w:style>
  <w:style w:type="table" w:styleId="Tabelasiatki1jasna">
    <w:name w:val="Grid Table 1 Light"/>
    <w:basedOn w:val="Standardowy"/>
    <w:uiPriority w:val="46"/>
    <w:semiHidden/>
    <w:rsid w:val="002A399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asiatki1jasnaakcent1">
    <w:name w:val="Grid Table 1 Light Accent 1"/>
    <w:basedOn w:val="Standardowy"/>
    <w:uiPriority w:val="46"/>
    <w:semiHidden/>
    <w:rsid w:val="002A399A"/>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2A399A"/>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2A399A"/>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2A399A"/>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2A399A"/>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2A399A"/>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2A399A"/>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2A399A"/>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2A399A"/>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2A399A"/>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2akcent4">
    <w:name w:val="Grid Table 2 Accent 4"/>
    <w:basedOn w:val="Standardowy"/>
    <w:uiPriority w:val="47"/>
    <w:semiHidden/>
    <w:rsid w:val="002A399A"/>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2A399A"/>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2A399A"/>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2A399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2A399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2A399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2A399A"/>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Tabelasiatki3akcent4">
    <w:name w:val="Grid Table 3 Accent 4"/>
    <w:basedOn w:val="Standardowy"/>
    <w:uiPriority w:val="48"/>
    <w:semiHidden/>
    <w:rsid w:val="002A399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2A399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2A399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2A399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2A399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2A399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2A399A"/>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4akcent4">
    <w:name w:val="Grid Table 4 Accent 4"/>
    <w:basedOn w:val="Standardowy"/>
    <w:uiPriority w:val="49"/>
    <w:semiHidden/>
    <w:rsid w:val="002A399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2A399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2A399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2A399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2A399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2A399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2A399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Tabelasiatki5ciemnaakcent4">
    <w:name w:val="Grid Table 5 Dark Accent 4"/>
    <w:basedOn w:val="Standardowy"/>
    <w:uiPriority w:val="50"/>
    <w:semiHidden/>
    <w:rsid w:val="002A399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2A399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2A399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2A399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2A399A"/>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2A399A"/>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2A399A"/>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6kolorowaakcent4">
    <w:name w:val="Grid Table 6 Colorful Accent 4"/>
    <w:basedOn w:val="Standardowy"/>
    <w:uiPriority w:val="51"/>
    <w:semiHidden/>
    <w:rsid w:val="002A399A"/>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2A399A"/>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2A399A"/>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2A399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2A399A"/>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2A399A"/>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2A399A"/>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Tabelasiatki7kolorowaakcent4">
    <w:name w:val="Grid Table 7 Colorful Accent 4"/>
    <w:basedOn w:val="Standardowy"/>
    <w:uiPriority w:val="52"/>
    <w:semiHidden/>
    <w:rsid w:val="002A399A"/>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2A399A"/>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2A399A"/>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styleId="Hasztag">
    <w:name w:val="Hashtag"/>
    <w:basedOn w:val="Domylnaczcionkaakapitu"/>
    <w:uiPriority w:val="99"/>
    <w:semiHidden/>
    <w:unhideWhenUsed/>
    <w:rsid w:val="002A399A"/>
    <w:rPr>
      <w:color w:val="2B579A"/>
      <w:shd w:val="clear" w:color="auto" w:fill="E1DFDD"/>
    </w:rPr>
  </w:style>
  <w:style w:type="table" w:styleId="Tabelalisty1jasna">
    <w:name w:val="List Table 1 Light"/>
    <w:basedOn w:val="Standardowy"/>
    <w:uiPriority w:val="46"/>
    <w:semiHidden/>
    <w:rsid w:val="002A399A"/>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2A399A"/>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2A399A"/>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2A399A"/>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1jasnaakcent4">
    <w:name w:val="List Table 1 Light Accent 4"/>
    <w:basedOn w:val="Standardowy"/>
    <w:uiPriority w:val="46"/>
    <w:semiHidden/>
    <w:rsid w:val="002A399A"/>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2A399A"/>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2A399A"/>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2A399A"/>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2A399A"/>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2A399A"/>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2A399A"/>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2akcent4">
    <w:name w:val="List Table 2 Accent 4"/>
    <w:basedOn w:val="Standardowy"/>
    <w:uiPriority w:val="47"/>
    <w:semiHidden/>
    <w:rsid w:val="002A399A"/>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2A399A"/>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2A399A"/>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2A399A"/>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2A399A"/>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2A399A"/>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2A399A"/>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Tabelalisty3akcent4">
    <w:name w:val="List Table 3 Accent 4"/>
    <w:basedOn w:val="Standardowy"/>
    <w:uiPriority w:val="48"/>
    <w:semiHidden/>
    <w:rsid w:val="002A399A"/>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2A399A"/>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2A399A"/>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2A399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2A399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2A399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2A399A"/>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4akcent4">
    <w:name w:val="List Table 4 Accent 4"/>
    <w:basedOn w:val="Standardowy"/>
    <w:uiPriority w:val="49"/>
    <w:semiHidden/>
    <w:rsid w:val="002A399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2A399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2A399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2A399A"/>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2A399A"/>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2A399A"/>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2A399A"/>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2A399A"/>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2A399A"/>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2A399A"/>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2A399A"/>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2A399A"/>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2A399A"/>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2A399A"/>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6kolorowaakcent4">
    <w:name w:val="List Table 6 Colorful Accent 4"/>
    <w:basedOn w:val="Standardowy"/>
    <w:uiPriority w:val="51"/>
    <w:semiHidden/>
    <w:rsid w:val="002A399A"/>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2A399A"/>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2A399A"/>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2A399A"/>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2A399A"/>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2A399A"/>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2A399A"/>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2A399A"/>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2A399A"/>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2A399A"/>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Wzmianka">
    <w:name w:val="Mention"/>
    <w:basedOn w:val="Domylnaczcionkaakapitu"/>
    <w:uiPriority w:val="99"/>
    <w:semiHidden/>
    <w:unhideWhenUsed/>
    <w:rsid w:val="002A399A"/>
    <w:rPr>
      <w:color w:val="2B579A"/>
      <w:shd w:val="clear" w:color="auto" w:fill="E1DFDD"/>
    </w:rPr>
  </w:style>
  <w:style w:type="table" w:styleId="Zwykatabela1">
    <w:name w:val="Plain Table 1"/>
    <w:basedOn w:val="Standardowy"/>
    <w:uiPriority w:val="41"/>
    <w:semiHidden/>
    <w:rsid w:val="002A399A"/>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2">
    <w:name w:val="Plain Table 2"/>
    <w:basedOn w:val="Standardowy"/>
    <w:uiPriority w:val="42"/>
    <w:semiHidden/>
    <w:rsid w:val="002A399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2A399A"/>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2A399A"/>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5">
    <w:name w:val="Plain Table 5"/>
    <w:basedOn w:val="Standardowy"/>
    <w:uiPriority w:val="45"/>
    <w:semiHidden/>
    <w:rsid w:val="002A399A"/>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Inteligentnyhiperlink">
    <w:name w:val="Smart Hyperlink"/>
    <w:basedOn w:val="Domylnaczcionkaakapitu"/>
    <w:uiPriority w:val="99"/>
    <w:semiHidden/>
    <w:unhideWhenUsed/>
    <w:rsid w:val="002A399A"/>
    <w:rPr>
      <w:u w:val="dotted"/>
    </w:rPr>
  </w:style>
  <w:style w:type="character" w:styleId="Inteligentnylink">
    <w:name w:val="Smart Link"/>
    <w:basedOn w:val="Domylnaczcionkaakapitu"/>
    <w:uiPriority w:val="99"/>
    <w:semiHidden/>
    <w:unhideWhenUsed/>
    <w:rsid w:val="002A399A"/>
    <w:rPr>
      <w:color w:val="0000FF"/>
      <w:u w:val="single"/>
      <w:shd w:val="clear" w:color="auto" w:fill="F3F2F1"/>
    </w:rPr>
  </w:style>
  <w:style w:type="table" w:styleId="Siatkatabelijasna">
    <w:name w:val="Grid Table Light"/>
    <w:basedOn w:val="Standardowy"/>
    <w:uiPriority w:val="40"/>
    <w:semiHidden/>
    <w:rsid w:val="002A399A"/>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oprawka">
    <w:name w:val="Revision"/>
    <w:hidden/>
    <w:uiPriority w:val="99"/>
    <w:semiHidden/>
    <w:rsid w:val="00A3084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2273</Words>
  <Characters>13639</Characters>
  <Application>Microsoft Office Word</Application>
  <DocSecurity>0</DocSecurity>
  <Lines>113</Lines>
  <Paragraphs>31</Paragraphs>
  <ScaleCrop>false</ScaleCrop>
  <HeadingPairs>
    <vt:vector size="4" baseType="variant">
      <vt:variant>
        <vt:lpstr>Tytuł</vt:lpstr>
      </vt:variant>
      <vt:variant>
        <vt:i4>1</vt:i4>
      </vt:variant>
      <vt:variant>
        <vt:lpstr>Nagłówki</vt:lpstr>
      </vt:variant>
      <vt:variant>
        <vt:i4>5</vt:i4>
      </vt:variant>
    </vt:vector>
  </HeadingPairs>
  <TitlesOfParts>
    <vt:vector size="6" baseType="lpstr">
      <vt:lpstr/>
      <vt:lpstr>SEKCJA PIERWSZA</vt:lpstr>
      <vt:lpstr>PRZEDMIOT SPRAWY</vt:lpstr>
      <vt:lpstr>OCENA TRYBUNAŁU</vt:lpstr>
      <vt:lpstr>ZASTOSOWANIE ART. 41 KONWENCJI</vt:lpstr>
      <vt:lpstr>Z TYCH PRZYCZYN Powodów TRYBUNAŁ JEDNOGŁOŚNIE</vt:lpstr>
    </vt:vector>
  </TitlesOfParts>
  <Company/>
  <LinksUpToDate>false</LinksUpToDate>
  <CharactersWithSpaces>15881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1</cp:revision>
  <dcterms:created xsi:type="dcterms:W3CDTF">2026-09-18T13:13:00Z</dcterms:created>
  <dcterms:modified xsi:type="dcterms:W3CDTF">2026-09-30T09:21:00Z</dcterms:modified>
  <cp:category/>
</cp:coreProperties>
</file>