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A43A36" w:rsidR="001E046A" w:rsidP="00A43A36" w14:paraId="3BCB5B8B" w14:textId="77777777">
      <w:pPr>
        <w:jc w:val="center"/>
        <w:rPr>
          <w:rFonts w:ascii="Times New Roman" w:hAnsi="Times New Roman" w:cs="Times New Roman"/>
          <w:noProof/>
        </w:rPr>
      </w:pPr>
    </w:p>
    <w:p w:rsidRPr="00A43A36" w:rsidR="0098410D" w:rsidP="00A43A36" w14:paraId="0383C009" w14:textId="77777777">
      <w:pPr>
        <w:jc w:val="center"/>
      </w:pPr>
    </w:p>
    <w:p w:rsidRPr="00A43A36" w:rsidR="0098410D" w:rsidP="00A43A36" w14:paraId="706AD941" w14:textId="77777777">
      <w:pPr>
        <w:pStyle w:val="DecHTitle"/>
      </w:pPr>
      <w:r w:rsidRPr="00A43A36">
        <w:t>FIRST SECTION</w:t>
      </w:r>
    </w:p>
    <w:p w:rsidRPr="00A43A36" w:rsidR="008E6217" w:rsidP="00A43A36" w14:paraId="4E1D9776" w14:textId="77777777">
      <w:pPr>
        <w:pStyle w:val="JuTitle"/>
      </w:pPr>
      <w:r w:rsidRPr="00A43A36">
        <w:rPr>
          <w:color w:val="000000" w:themeColor="text1"/>
        </w:rPr>
        <w:t xml:space="preserve">CASE OF </w:t>
      </w:r>
      <w:r w:rsidRPr="00A43A36" w:rsidR="001E046A">
        <w:t>I.W. v. POLAND</w:t>
      </w:r>
    </w:p>
    <w:p w:rsidRPr="00A43A36" w:rsidR="00D74888" w:rsidP="00A43A36" w14:paraId="604865A7" w14:textId="77777777">
      <w:pPr>
        <w:pStyle w:val="ECHRCoverTitle4"/>
      </w:pPr>
      <w:r w:rsidRPr="00A43A36">
        <w:t>(</w:t>
      </w:r>
      <w:r w:rsidRPr="00A43A36" w:rsidR="001E046A">
        <w:rPr>
          <w:noProof/>
        </w:rPr>
        <w:t>Application no.</w:t>
      </w:r>
      <w:r w:rsidRPr="00A43A36">
        <w:t xml:space="preserve"> </w:t>
      </w:r>
      <w:r w:rsidRPr="00A43A36" w:rsidR="001E046A">
        <w:t>17271/21</w:t>
      </w:r>
      <w:r w:rsidRPr="00A43A36">
        <w:t>)</w:t>
      </w:r>
    </w:p>
    <w:p w:rsidRPr="00A43A36" w:rsidR="0098410D" w:rsidP="00A43A36" w14:paraId="5470A510" w14:textId="77777777">
      <w:pPr>
        <w:pStyle w:val="DecHCase"/>
      </w:pPr>
    </w:p>
    <w:p w:rsidRPr="00A43A36" w:rsidR="0054716E" w:rsidP="00A43A36" w14:paraId="00793826" w14:textId="77777777">
      <w:pPr>
        <w:pStyle w:val="DecHCase"/>
      </w:pPr>
    </w:p>
    <w:p w:rsidRPr="00A43A36" w:rsidR="0054716E" w:rsidP="00A43A36" w14:paraId="456BBB68" w14:textId="77777777">
      <w:pPr>
        <w:pStyle w:val="DecHCase"/>
      </w:pPr>
    </w:p>
    <w:p w:rsidRPr="00A43A36" w:rsidR="0098410D" w:rsidP="00A43A36" w14:paraId="51016810" w14:textId="77777777">
      <w:pPr>
        <w:pStyle w:val="DecHCase"/>
      </w:pPr>
    </w:p>
    <w:p w:rsidRPr="00A43A36" w:rsidR="00AC4CD4" w:rsidP="00A43A36" w14:paraId="3E02069A" w14:textId="77777777">
      <w:pPr>
        <w:pStyle w:val="DecHCase"/>
      </w:pPr>
    </w:p>
    <w:p w:rsidRPr="00A43A36" w:rsidR="0098410D" w:rsidP="00A43A36" w14:paraId="6EC42526" w14:textId="77777777">
      <w:pPr>
        <w:pStyle w:val="DecHCase"/>
      </w:pPr>
    </w:p>
    <w:p w:rsidRPr="00A43A36" w:rsidR="0098410D" w:rsidP="00A43A36" w14:paraId="75D20F86" w14:textId="77777777">
      <w:pPr>
        <w:pStyle w:val="DecHCase"/>
      </w:pPr>
      <w:r w:rsidRPr="00A43A36">
        <w:t>JUDGMENT</w:t>
      </w:r>
      <w:r w:rsidRPr="00A43A36" w:rsidR="00AC4CD4">
        <w:br/>
      </w:r>
    </w:p>
    <w:p w:rsidRPr="00A43A36" w:rsidR="0098410D" w:rsidP="00A43A36" w14:paraId="16AA771A" w14:textId="77777777">
      <w:pPr>
        <w:pStyle w:val="DecHCase"/>
      </w:pPr>
      <w:r w:rsidRPr="00A43A36">
        <w:t>STRASBOURG</w:t>
      </w:r>
    </w:p>
    <w:p w:rsidRPr="00A43A36" w:rsidR="0098410D" w:rsidP="00A43A36" w14:paraId="24A7D7D2" w14:textId="77777777">
      <w:pPr>
        <w:pStyle w:val="DecHCase"/>
      </w:pPr>
      <w:r w:rsidRPr="00A43A36">
        <w:rPr>
          <w:rFonts w:ascii="Times New Roman" w:hAnsi="Times New Roman" w:cs="Times New Roman"/>
        </w:rPr>
        <w:t>3 September 2026</w:t>
      </w:r>
    </w:p>
    <w:p w:rsidRPr="00A43A36" w:rsidR="00AC4CD4" w:rsidP="00A43A36" w14:paraId="560F4FAE" w14:textId="77777777">
      <w:pPr>
        <w:pStyle w:val="JuPara"/>
        <w:jc w:val="center"/>
      </w:pPr>
    </w:p>
    <w:p w:rsidRPr="00A43A36" w:rsidR="002422B6" w:rsidP="00A43A36" w14:paraId="2470AF7D" w14:textId="77777777">
      <w:pPr>
        <w:rPr>
          <w:i/>
          <w:sz w:val="22"/>
        </w:rPr>
      </w:pPr>
      <w:r w:rsidRPr="00A43A36">
        <w:rPr>
          <w:i/>
          <w:sz w:val="22"/>
        </w:rPr>
        <w:t xml:space="preserve">This judgment </w:t>
      </w:r>
      <w:r w:rsidRPr="00A43A36" w:rsidR="001E046A">
        <w:rPr>
          <w:i/>
          <w:noProof/>
          <w:sz w:val="22"/>
        </w:rPr>
        <w:t>is final but it</w:t>
      </w:r>
      <w:r w:rsidRPr="00A43A36">
        <w:rPr>
          <w:i/>
          <w:sz w:val="22"/>
        </w:rPr>
        <w:t xml:space="preserve"> may be subject to editorial revision.</w:t>
      </w:r>
    </w:p>
    <w:p w:rsidRPr="00A43A36" w:rsidR="0098410D" w:rsidP="00A43A36" w14:paraId="120909C2"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43A36" w:rsidR="0098410D" w:rsidP="00A43A36" w14:paraId="7FC8058E" w14:textId="77777777">
      <w:pPr>
        <w:pStyle w:val="JuCase"/>
      </w:pPr>
      <w:r w:rsidRPr="00A43A36">
        <w:t xml:space="preserve">In the case of </w:t>
      </w:r>
      <w:r w:rsidRPr="00A43A36" w:rsidR="001E046A">
        <w:t>I.W. v. Poland</w:t>
      </w:r>
      <w:r w:rsidRPr="00A43A36">
        <w:t>,</w:t>
      </w:r>
    </w:p>
    <w:p w:rsidRPr="00A43A36" w:rsidR="009F4C8F" w:rsidP="00A43A36" w14:paraId="378A0DA0" w14:textId="77777777">
      <w:pPr>
        <w:pStyle w:val="JuPara"/>
      </w:pPr>
      <w:r w:rsidRPr="00A43A36">
        <w:t>The European Court of Human Rights (</w:t>
      </w:r>
      <w:r w:rsidRPr="00A43A36" w:rsidR="001E046A">
        <w:t>First Section</w:t>
      </w:r>
      <w:r w:rsidRPr="00A43A36">
        <w:t xml:space="preserve">), sitting as a </w:t>
      </w:r>
      <w:r w:rsidRPr="00A43A36" w:rsidR="001E046A">
        <w:rPr>
          <w:noProof/>
        </w:rPr>
        <w:t>Committee</w:t>
      </w:r>
      <w:r w:rsidRPr="00A43A36">
        <w:t xml:space="preserve"> composed of:</w:t>
      </w:r>
    </w:p>
    <w:p w:rsidRPr="00A43A36" w:rsidR="00A92625" w:rsidP="00A43A36" w14:paraId="46398279" w14:textId="5224B3A8">
      <w:pPr>
        <w:pStyle w:val="JuJudges"/>
      </w:pPr>
      <w:r w:rsidRPr="00A43A36">
        <w:tab/>
        <w:t>Davor Derenčinović</w:t>
      </w:r>
      <w:r w:rsidRPr="00A43A36">
        <w:rPr>
          <w:i/>
        </w:rPr>
        <w:t>, President</w:t>
      </w:r>
      <w:r w:rsidRPr="00A43A36">
        <w:t>,</w:t>
      </w:r>
      <w:r w:rsidRPr="00A43A36">
        <w:br/>
      </w:r>
      <w:r w:rsidRPr="00A43A36">
        <w:tab/>
        <w:t>Artūrs Kučs,</w:t>
      </w:r>
      <w:r w:rsidRPr="00A43A36">
        <w:br/>
      </w:r>
      <w:r w:rsidRPr="00A43A36">
        <w:tab/>
        <w:t>Anna Adamska-Gallant</w:t>
      </w:r>
      <w:r w:rsidRPr="00A43A36">
        <w:rPr>
          <w:i/>
        </w:rPr>
        <w:t>, judges</w:t>
      </w:r>
      <w:r w:rsidRPr="00A43A36">
        <w:t>,</w:t>
      </w:r>
      <w:r w:rsidRPr="00A43A36" w:rsidR="009F4C8F">
        <w:br/>
        <w:t>and</w:t>
      </w:r>
      <w:r w:rsidRPr="00A43A36" w:rsidR="005C2C62">
        <w:t xml:space="preserve"> </w:t>
      </w:r>
      <w:r w:rsidRPr="00A43A36" w:rsidR="001E046A">
        <w:rPr>
          <w:rFonts w:eastAsia="PMingLiU"/>
          <w:noProof/>
        </w:rPr>
        <w:t>Liv Tigerstedt</w:t>
      </w:r>
      <w:r w:rsidRPr="00A43A36">
        <w:t xml:space="preserve">, </w:t>
      </w:r>
      <w:r w:rsidRPr="00A43A36" w:rsidR="001E046A">
        <w:rPr>
          <w:i/>
          <w:iCs/>
          <w:noProof/>
        </w:rPr>
        <w:t xml:space="preserve">Deputy </w:t>
      </w:r>
      <w:r w:rsidRPr="00A43A36" w:rsidR="00E744E0">
        <w:rPr>
          <w:i/>
        </w:rPr>
        <w:t xml:space="preserve">Section </w:t>
      </w:r>
      <w:r w:rsidRPr="00A43A36" w:rsidR="00E744E0">
        <w:rPr>
          <w:i/>
          <w:iCs/>
        </w:rPr>
        <w:t>Registrar</w:t>
      </w:r>
      <w:r w:rsidRPr="00A43A36" w:rsidR="008F2465">
        <w:rPr>
          <w:i/>
        </w:rPr>
        <w:t>,</w:t>
      </w:r>
    </w:p>
    <w:p w:rsidRPr="00A43A36" w:rsidR="001E046A" w:rsidP="00A43A36" w14:paraId="274F4382" w14:textId="77777777">
      <w:pPr>
        <w:pStyle w:val="JuPara"/>
      </w:pPr>
      <w:r w:rsidRPr="00A43A36">
        <w:t>Having regard to:</w:t>
      </w:r>
    </w:p>
    <w:p w:rsidRPr="00A43A36" w:rsidR="001E046A" w:rsidP="00A43A36" w14:paraId="26DDAD1E" w14:textId="77777777">
      <w:pPr>
        <w:pStyle w:val="JuPara"/>
      </w:pPr>
      <w:r w:rsidRPr="00A43A36">
        <w:t xml:space="preserve">the application (no. 17271/21) against the Republic of Poland lodged with the Court under Article 34 of the Convention for the Protection of Human Rights and Fundamental Freedoms (“the Convention”) on 17 March 2021 by a Polish national, I.W. (“the applicant”), who was born in 1972 and lives in Gdynia, and, having been granted legal aid, was represented by Mr M. Drzewicki, a lawyer practising in </w:t>
      </w:r>
      <w:r w:rsidRPr="00A43A36">
        <w:t>Gdańsk</w:t>
      </w:r>
      <w:r w:rsidRPr="00A43A36">
        <w:t>;</w:t>
      </w:r>
    </w:p>
    <w:p w:rsidRPr="00A43A36" w:rsidR="001E046A" w:rsidP="00A43A36" w14:paraId="2147180A" w14:textId="77777777">
      <w:pPr>
        <w:pStyle w:val="JuPara"/>
      </w:pPr>
      <w:r w:rsidRPr="00A43A36">
        <w:t>the decision to give notice of the application to the Polish Government (“the Government”), represented by their Agent, Mr J. Sobczak and, subsequently, by Ms A. Kozińska-Makowska, of the Ministry of Foreign Affairs;</w:t>
      </w:r>
    </w:p>
    <w:p w:rsidRPr="00A43A36" w:rsidR="001E046A" w:rsidP="00A43A36" w14:paraId="3F71FDB1" w14:textId="7F6C9D18">
      <w:pPr>
        <w:pStyle w:val="JuPara"/>
      </w:pPr>
      <w:r w:rsidRPr="00A43A36">
        <w:t>the decision not to disclose the applicant</w:t>
      </w:r>
      <w:r w:rsidRPr="00A43A36" w:rsidR="00A43A36">
        <w:t>’</w:t>
      </w:r>
      <w:r w:rsidRPr="00A43A36">
        <w:t>s name;</w:t>
      </w:r>
    </w:p>
    <w:p w:rsidRPr="00A43A36" w:rsidR="001E046A" w:rsidP="00A43A36" w14:paraId="131E42C6" w14:textId="4345CB85">
      <w:pPr>
        <w:pStyle w:val="JuPara"/>
      </w:pPr>
      <w:r w:rsidRPr="00A43A36">
        <w:t>the parties</w:t>
      </w:r>
      <w:r w:rsidRPr="00A43A36" w:rsidR="00A43A36">
        <w:t>’</w:t>
      </w:r>
      <w:r w:rsidRPr="00A43A36">
        <w:t xml:space="preserve"> observations;</w:t>
      </w:r>
    </w:p>
    <w:p w:rsidRPr="00A43A36" w:rsidR="009F4C8F" w:rsidP="00A43A36" w14:paraId="5D16656E" w14:textId="77777777">
      <w:pPr>
        <w:pStyle w:val="JuPara"/>
      </w:pPr>
      <w:r w:rsidRPr="00A43A36">
        <w:t xml:space="preserve">Having deliberated in private on </w:t>
      </w:r>
      <w:r w:rsidRPr="00A43A36" w:rsidR="001E046A">
        <w:t>2 July 2026</w:t>
      </w:r>
      <w:r w:rsidRPr="00A43A36">
        <w:t>,</w:t>
      </w:r>
    </w:p>
    <w:p w:rsidRPr="00A43A36" w:rsidR="009F4C8F" w:rsidP="00A43A36" w14:paraId="3F3E2812" w14:textId="77777777">
      <w:pPr>
        <w:pStyle w:val="JuPara"/>
      </w:pPr>
      <w:r w:rsidRPr="00A43A36">
        <w:t>Delivers the following judgment, which was adopted on that date:</w:t>
      </w:r>
    </w:p>
    <w:p w:rsidRPr="00A43A36" w:rsidR="001E046A" w:rsidP="00A43A36" w14:paraId="4E93FEB9" w14:textId="77777777">
      <w:pPr>
        <w:pStyle w:val="JuHHead"/>
      </w:pPr>
      <w:r w:rsidRPr="00A43A36">
        <w:t>SUBJECT MATTER OF THE CASE</w:t>
      </w:r>
    </w:p>
    <w:p w:rsidRPr="00A43A36" w:rsidR="001E046A" w:rsidP="00A43A36" w14:paraId="1E9FE44A" w14:textId="56AE79C8">
      <w:pPr>
        <w:pStyle w:val="JuPara"/>
      </w:pPr>
      <w:r>
        <w:fldChar w:fldCharType="begin"/>
      </w:r>
      <w:r>
        <w:instrText xml:space="preserve"> SEQ level0 \*arabic \* MERGEFORMAT </w:instrText>
      </w:r>
      <w:r>
        <w:fldChar w:fldCharType="separate"/>
      </w:r>
      <w:r w:rsidRPr="00A43A36" w:rsidR="00A43A36">
        <w:rPr>
          <w:noProof/>
        </w:rPr>
        <w:t>1</w:t>
      </w:r>
      <w:r w:rsidRPr="00A43A36" w:rsidR="00A43A36">
        <w:rPr>
          <w:noProof/>
        </w:rPr>
        <w:fldChar w:fldCharType="end"/>
      </w:r>
      <w:r w:rsidRPr="00A43A36">
        <w:t>.  The case concerns the refusal to grant the applicant an exemption from the payment of a court fee, which led to the rejection of her civil action.</w:t>
      </w:r>
    </w:p>
    <w:p w:rsidRPr="00A43A36" w:rsidR="001E046A" w:rsidP="00A43A36" w14:paraId="77059FA1" w14:textId="6BFB3956">
      <w:pPr>
        <w:pStyle w:val="JuPara"/>
      </w:pPr>
      <w:r>
        <w:fldChar w:fldCharType="begin"/>
      </w:r>
      <w:r>
        <w:instrText xml:space="preserve"> SEQ level0 \*arabic \* MERGEFORMAT </w:instrText>
      </w:r>
      <w:r>
        <w:fldChar w:fldCharType="separate"/>
      </w:r>
      <w:bookmarkStart w:name="paragraph00002" w:id="0"/>
      <w:r w:rsidRPr="00A43A36" w:rsidR="00A43A36">
        <w:rPr>
          <w:noProof/>
        </w:rPr>
        <w:t>2</w:t>
      </w:r>
      <w:bookmarkEnd w:id="0"/>
      <w:r>
        <w:fldChar w:fldCharType="end"/>
      </w:r>
      <w:r w:rsidRPr="00A43A36">
        <w:t>.  In December 2019 the applicant lodged a civil action against her former employer. She sought 250,000 Polish zlotys (PLN – equivalent to approximately 58,700 euros (EUR)) in compensation and an apology for the damage allegedly caused by harassment in the workplace, which she claimed to have suffered for four years, and her resulting inability to work. She applied for legal aid and for an exemption from the applicable court fee of PLN</w:t>
      </w:r>
      <w:r w:rsidRPr="00A43A36" w:rsidR="00265854">
        <w:t> </w:t>
      </w:r>
      <w:r w:rsidRPr="00A43A36">
        <w:t>12,500 (approximately EUR 3,000). In support, she submitted her declaration of means showing that she had no income and had debts amounting to approximately PLN 70,000 (approximately EUR 16,400), together with certificates confirming that she was unemployed and ineligible for unemployment benefits.</w:t>
      </w:r>
    </w:p>
    <w:p w:rsidRPr="00A43A36" w:rsidR="001E046A" w:rsidP="00A43A36" w14:paraId="2DC9DEE6" w14:textId="1F86E6CC">
      <w:pPr>
        <w:pStyle w:val="JuPara"/>
      </w:pPr>
      <w:r>
        <w:fldChar w:fldCharType="begin"/>
      </w:r>
      <w:r>
        <w:instrText xml:space="preserve"> SEQ level0 \*arabic \* MERGEFORMAT </w:instrText>
      </w:r>
      <w:r>
        <w:fldChar w:fldCharType="separate"/>
      </w:r>
      <w:r w:rsidRPr="00A43A36" w:rsidR="00A43A36">
        <w:rPr>
          <w:noProof/>
        </w:rPr>
        <w:t>3</w:t>
      </w:r>
      <w:r w:rsidRPr="00A43A36" w:rsidR="00A43A36">
        <w:rPr>
          <w:noProof/>
        </w:rPr>
        <w:fldChar w:fldCharType="end"/>
      </w:r>
      <w:r w:rsidRPr="00A43A36">
        <w:t xml:space="preserve">.  On 5 February 2020 the </w:t>
      </w:r>
      <w:r w:rsidRPr="00A43A36">
        <w:t>Gdańsk</w:t>
      </w:r>
      <w:r w:rsidRPr="00A43A36">
        <w:t xml:space="preserve"> Regional Court (</w:t>
      </w:r>
      <w:r w:rsidRPr="00A43A36">
        <w:rPr>
          <w:i/>
          <w:iCs/>
        </w:rPr>
        <w:t>Sąd</w:t>
      </w:r>
      <w:r w:rsidRPr="00A43A36">
        <w:rPr>
          <w:i/>
          <w:iCs/>
        </w:rPr>
        <w:t xml:space="preserve"> </w:t>
      </w:r>
      <w:r w:rsidRPr="00A43A36">
        <w:rPr>
          <w:i/>
          <w:iCs/>
        </w:rPr>
        <w:t>Okręgowy</w:t>
      </w:r>
      <w:r w:rsidRPr="00A43A36">
        <w:t>) ordered the applicant to provide additional information. Among other things, she was requested to indicate whether she had already received the PLN 45,000 (approximately EUR 10,600) awarded to her in a separate set of proceedings against the former employer.</w:t>
      </w:r>
    </w:p>
    <w:p w:rsidRPr="00A43A36" w:rsidR="001E046A" w:rsidP="00A43A36" w14:paraId="3478D753" w14:textId="51B9E44B">
      <w:pPr>
        <w:pStyle w:val="JuPara"/>
      </w:pPr>
      <w:r>
        <w:fldChar w:fldCharType="begin"/>
      </w:r>
      <w:r>
        <w:instrText xml:space="preserve"> SEQ level0 \*arabic \* MERGEFORMAT </w:instrText>
      </w:r>
      <w:r>
        <w:fldChar w:fldCharType="separate"/>
      </w:r>
      <w:bookmarkStart w:name="paragraph00004" w:id="1"/>
      <w:r w:rsidRPr="00A43A36" w:rsidR="00A43A36">
        <w:rPr>
          <w:noProof/>
        </w:rPr>
        <w:t>4</w:t>
      </w:r>
      <w:bookmarkEnd w:id="1"/>
      <w:r>
        <w:fldChar w:fldCharType="end"/>
      </w:r>
      <w:r w:rsidRPr="00A43A36">
        <w:t>.  The applicant replied that she was receiving a monthly stipend of PLN 700 (approximately EUR 165) from her studies, occasional private loans and support from her parents and her son. She confirmed that in March 2019 she had received the award mentioned by the Regional Court, but that she had already spent it to repay part of her debts.</w:t>
      </w:r>
    </w:p>
    <w:p w:rsidRPr="00A43A36" w:rsidR="001E046A" w:rsidP="00A43A36" w14:paraId="1AE966B8" w14:textId="303B90E0">
      <w:pPr>
        <w:pStyle w:val="JuPara"/>
      </w:pPr>
      <w:r>
        <w:fldChar w:fldCharType="begin"/>
      </w:r>
      <w:r>
        <w:instrText xml:space="preserve"> SEQ level0 \*arabic \* MERGEFORMAT </w:instrText>
      </w:r>
      <w:r>
        <w:fldChar w:fldCharType="separate"/>
      </w:r>
      <w:bookmarkStart w:name="paragraph00005" w:id="2"/>
      <w:r w:rsidRPr="00A43A36" w:rsidR="00A43A36">
        <w:rPr>
          <w:noProof/>
        </w:rPr>
        <w:t>5</w:t>
      </w:r>
      <w:bookmarkEnd w:id="2"/>
      <w:r>
        <w:fldChar w:fldCharType="end"/>
      </w:r>
      <w:r w:rsidRPr="00A43A36">
        <w:t xml:space="preserve">.  On 5 April 2020 the Regional Court dismissed the applications for legal aid and exemption from court fees, considering that the applicant had failed to provide exhaustive information. It noted that she had indicated no income in her declaration of means, whereas her expenses (which did not include, </w:t>
      </w:r>
      <w:r w:rsidRPr="00A43A36">
        <w:rPr>
          <w:i/>
          <w:iCs/>
        </w:rPr>
        <w:t>inter alia</w:t>
      </w:r>
      <w:r w:rsidRPr="00A43A36">
        <w:t xml:space="preserve">, food and clothing) amounted to approximately PLN 1,050 (approximately EUR 250) per month and there had been no reasonable explanation of how these expenses had been covered. The Regional Court was not convinced that the applicant and her husband lived only </w:t>
      </w:r>
      <w:r w:rsidRPr="00A43A36">
        <w:t>off of</w:t>
      </w:r>
      <w:r w:rsidRPr="00A43A36">
        <w:t xml:space="preserve"> loans, which were also not indicated in her declaration, given by her parents. The Regional Court also held that the applicant had sufficient qualifications to find employment and that she had failed to explain why her allegedly ill husband had not applied for incapacity benefits. It also noted that the applicant had informed it of the stipend only after the request for additional information and concluded that it might be the case that she had also failed to disclose other sources of income.</w:t>
      </w:r>
    </w:p>
    <w:p w:rsidRPr="00A43A36" w:rsidR="001E046A" w:rsidP="00A43A36" w14:paraId="071652F9" w14:textId="030225A2">
      <w:pPr>
        <w:pStyle w:val="JuPara"/>
      </w:pPr>
      <w:r>
        <w:fldChar w:fldCharType="begin"/>
      </w:r>
      <w:r>
        <w:instrText xml:space="preserve"> SEQ level0 \*arabic \* MERGEFORMAT </w:instrText>
      </w:r>
      <w:r>
        <w:fldChar w:fldCharType="separate"/>
      </w:r>
      <w:r w:rsidRPr="00A43A36" w:rsidR="00A43A36">
        <w:rPr>
          <w:noProof/>
        </w:rPr>
        <w:t>6</w:t>
      </w:r>
      <w:r w:rsidRPr="00A43A36" w:rsidR="00A43A36">
        <w:rPr>
          <w:noProof/>
        </w:rPr>
        <w:fldChar w:fldCharType="end"/>
      </w:r>
      <w:r w:rsidRPr="00A43A36">
        <w:t>.  As regards the previous award, the Regional Court considered that the applicant should have saved a part of it and, referring to her debts, stated that the State Treasury could not assume the obligation to pay court fees for those who had decided to improve their standard of living by taking out loans.</w:t>
      </w:r>
    </w:p>
    <w:p w:rsidRPr="00A43A36" w:rsidR="001E046A" w:rsidP="00A43A36" w14:paraId="7E79E1C9" w14:textId="70AF90A3">
      <w:pPr>
        <w:pStyle w:val="JuPara"/>
      </w:pPr>
      <w:r>
        <w:fldChar w:fldCharType="begin"/>
      </w:r>
      <w:r>
        <w:instrText xml:space="preserve"> SEQ level0 \*arabic \* MERGEFORMAT </w:instrText>
      </w:r>
      <w:r>
        <w:fldChar w:fldCharType="separate"/>
      </w:r>
      <w:bookmarkStart w:name="paragraph00007" w:id="3"/>
      <w:r w:rsidRPr="00A43A36" w:rsidR="00A43A36">
        <w:rPr>
          <w:noProof/>
        </w:rPr>
        <w:t>7</w:t>
      </w:r>
      <w:bookmarkEnd w:id="3"/>
      <w:r>
        <w:fldChar w:fldCharType="end"/>
      </w:r>
      <w:r w:rsidRPr="00A43A36">
        <w:t>.  The applicant appealed, arguing that she had no regular income. She added that only recently the local social welfare authority had granted her and her husband a social assistance benefit (</w:t>
      </w:r>
      <w:r w:rsidRPr="00A43A36">
        <w:rPr>
          <w:i/>
          <w:iCs/>
        </w:rPr>
        <w:t>zasiłek</w:t>
      </w:r>
      <w:r w:rsidRPr="00A43A36">
        <w:rPr>
          <w:i/>
          <w:iCs/>
        </w:rPr>
        <w:t xml:space="preserve"> </w:t>
      </w:r>
      <w:r w:rsidRPr="00A43A36">
        <w:rPr>
          <w:i/>
          <w:iCs/>
        </w:rPr>
        <w:t>stały</w:t>
      </w:r>
      <w:r w:rsidRPr="00A43A36">
        <w:t>) and food assistance (amounting to a total of PLN 728 (approximately EUR 170</w:t>
      </w:r>
      <w:r w:rsidRPr="00A43A36" w:rsidR="00310621">
        <w:t>)</w:t>
      </w:r>
      <w:r w:rsidRPr="00A43A36">
        <w:t xml:space="preserve"> per month).</w:t>
      </w:r>
    </w:p>
    <w:p w:rsidRPr="00A43A36" w:rsidR="001E046A" w:rsidP="00A43A36" w14:paraId="24D7D93A" w14:textId="4904D31E">
      <w:pPr>
        <w:pStyle w:val="JuPara"/>
      </w:pPr>
      <w:r>
        <w:fldChar w:fldCharType="begin"/>
      </w:r>
      <w:r>
        <w:instrText xml:space="preserve"> SEQ level0 \*arabic \* MERGEFORMAT </w:instrText>
      </w:r>
      <w:r>
        <w:fldChar w:fldCharType="separate"/>
      </w:r>
      <w:bookmarkStart w:name="paragraph00008" w:id="4"/>
      <w:r w:rsidRPr="00A43A36" w:rsidR="00A43A36">
        <w:rPr>
          <w:noProof/>
        </w:rPr>
        <w:t>8</w:t>
      </w:r>
      <w:bookmarkEnd w:id="4"/>
      <w:r>
        <w:fldChar w:fldCharType="end"/>
      </w:r>
      <w:r w:rsidRPr="00A43A36">
        <w:t>.  On 28 August 2020 the Regional Court dismissed the appeal, stating that despite her difficult situation, the applicant could afford to pay the fee. It held that the most important factor was her failure to save a part of the previous award. While acknowledging that she had been granted benefits addressed to those unable to work, it raised doubts as to why she and her husband had not applied for other benefits financed by social insurance.</w:t>
      </w:r>
    </w:p>
    <w:p w:rsidRPr="00A43A36" w:rsidR="001E046A" w:rsidP="00A43A36" w14:paraId="07B54DA1" w14:textId="210EFE70">
      <w:pPr>
        <w:pStyle w:val="JuPara"/>
      </w:pPr>
      <w:r>
        <w:fldChar w:fldCharType="begin"/>
      </w:r>
      <w:r>
        <w:instrText xml:space="preserve"> SEQ level0 \*arabic \* MERGEFORMAT </w:instrText>
      </w:r>
      <w:r>
        <w:fldChar w:fldCharType="separate"/>
      </w:r>
      <w:bookmarkStart w:name="paragraph00009" w:id="5"/>
      <w:r w:rsidRPr="00A43A36" w:rsidR="00A43A36">
        <w:rPr>
          <w:noProof/>
        </w:rPr>
        <w:t>9</w:t>
      </w:r>
      <w:bookmarkEnd w:id="5"/>
      <w:r>
        <w:fldChar w:fldCharType="end"/>
      </w:r>
      <w:r w:rsidRPr="00A43A36">
        <w:t>.  On 23 November 2020 the Regional Court returned the applicant</w:t>
      </w:r>
      <w:r w:rsidRPr="00A43A36" w:rsidR="00A43A36">
        <w:t>’</w:t>
      </w:r>
      <w:r w:rsidRPr="00A43A36">
        <w:t>s claim as unpaid.</w:t>
      </w:r>
    </w:p>
    <w:p w:rsidRPr="00A43A36" w:rsidR="001E046A" w:rsidP="00A43A36" w14:paraId="516FDEDF" w14:textId="58CFD892">
      <w:pPr>
        <w:pStyle w:val="JuPara"/>
      </w:pPr>
      <w:r>
        <w:fldChar w:fldCharType="begin"/>
      </w:r>
      <w:r>
        <w:instrText xml:space="preserve"> SEQ level0 \*arabic \* MERGEFORMAT </w:instrText>
      </w:r>
      <w:r>
        <w:fldChar w:fldCharType="separate"/>
      </w:r>
      <w:r w:rsidRPr="00A43A36" w:rsidR="00A43A36">
        <w:rPr>
          <w:noProof/>
        </w:rPr>
        <w:t>10</w:t>
      </w:r>
      <w:r w:rsidRPr="00A43A36" w:rsidR="00A43A36">
        <w:rPr>
          <w:noProof/>
        </w:rPr>
        <w:fldChar w:fldCharType="end"/>
      </w:r>
      <w:r w:rsidRPr="00A43A36">
        <w:t>.  Before the Court, the applicant complained that the dismissal of her application for an exemption from the court fee had resulted in the disproportionate restriction of her right of access to court, as guaranteed by Article 6 § 1 of the Convention.</w:t>
      </w:r>
    </w:p>
    <w:p w:rsidRPr="00A43A36" w:rsidR="001E046A" w:rsidP="00A43A36" w14:paraId="4BC5F27E" w14:textId="615C4A4F">
      <w:pPr>
        <w:pStyle w:val="JuHHead"/>
        <w:numPr>
          <w:ilvl w:val="0"/>
          <w:numId w:val="2"/>
        </w:numPr>
      </w:pPr>
      <w:r w:rsidRPr="00A43A36">
        <w:t>THE COURT</w:t>
      </w:r>
      <w:r w:rsidRPr="00A43A36" w:rsidR="00A43A36">
        <w:t>’</w:t>
      </w:r>
      <w:r w:rsidRPr="00A43A36">
        <w:t>S ASSESSMENT</w:t>
      </w:r>
    </w:p>
    <w:p w:rsidRPr="00A43A36" w:rsidR="001E046A" w:rsidP="00A43A36" w14:paraId="03F4B1AE" w14:textId="0F2BF49D">
      <w:pPr>
        <w:pStyle w:val="JuPara"/>
      </w:pPr>
      <w:r>
        <w:fldChar w:fldCharType="begin"/>
      </w:r>
      <w:r>
        <w:instrText xml:space="preserve"> SEQ level0 \*arabic \* MERGEFORMAT </w:instrText>
      </w:r>
      <w:r>
        <w:fldChar w:fldCharType="separate"/>
      </w:r>
      <w:r w:rsidRPr="00A43A36" w:rsidR="00A43A36">
        <w:rPr>
          <w:noProof/>
        </w:rPr>
        <w:t>11</w:t>
      </w:r>
      <w:r w:rsidRPr="00A43A36" w:rsidR="00A43A36">
        <w:rPr>
          <w:noProof/>
        </w:rPr>
        <w:fldChar w:fldCharType="end"/>
      </w:r>
      <w:r w:rsidRPr="00A43A36">
        <w:t xml:space="preserve">.  The Government submitted that the applicant had failed to exhaust domestic remedies by not appealing against the decision to return her claim (see paragraph </w:t>
      </w:r>
      <w:r w:rsidRPr="00A43A36">
        <w:fldChar w:fldCharType="begin"/>
      </w:r>
      <w:r w:rsidRPr="00A43A36">
        <w:instrText xml:space="preserve"> REF paragraph00009 \h  \* CharFormat </w:instrText>
      </w:r>
      <w:r w:rsidRPr="00A43A36">
        <w:fldChar w:fldCharType="separate"/>
      </w:r>
      <w:r w:rsidRPr="00A43A36" w:rsidR="00A43A36">
        <w:t>9</w:t>
      </w:r>
      <w:r w:rsidRPr="00A43A36">
        <w:fldChar w:fldCharType="end"/>
      </w:r>
      <w:r w:rsidRPr="00A43A36">
        <w:t xml:space="preserve"> above). The Court reiterates that applicants are only required to have recourse to remedies which </w:t>
      </w:r>
      <w:r w:rsidRPr="00A43A36">
        <w:t>are capable of remedying</w:t>
      </w:r>
      <w:r w:rsidRPr="00A43A36">
        <w:t xml:space="preserve"> directly the impugned </w:t>
      </w:r>
      <w:r w:rsidRPr="00A43A36">
        <w:t>state of affairs</w:t>
      </w:r>
      <w:r w:rsidRPr="00A43A36">
        <w:t xml:space="preserve"> and offer reasonable prospects of success (</w:t>
      </w:r>
      <w:bookmarkStart w:name="_cl39121THECOURTSASSESSMENT" w:id="6"/>
      <w:r w:rsidRPr="00A43A36">
        <w:t>see</w:t>
      </w:r>
      <w:r w:rsidRPr="00A43A36" w:rsidR="00310621">
        <w:t> </w:t>
      </w:r>
      <w:r w:rsidRPr="00A43A36">
        <w:rPr>
          <w:i/>
          <w:iCs/>
        </w:rPr>
        <w:t>Vučković and Others v. Serbia</w:t>
      </w:r>
      <w:bookmarkEnd w:id="6"/>
      <w:r w:rsidRPr="00A43A36">
        <w:t xml:space="preserve"> (preliminary objection) [GC], nos. 17153/11 and 29 others, § 73, 25 March 2014). In the present case, the Court observes that the applicant availed herself of a domestic remedy by appealing against the decision of 5 April 2020 to dismiss her request for exemption from court fees (see paragraph </w:t>
      </w:r>
      <w:r w:rsidRPr="00A43A36">
        <w:fldChar w:fldCharType="begin"/>
      </w:r>
      <w:r w:rsidRPr="00A43A36">
        <w:instrText xml:space="preserve"> REF paragraph00007 \h  \* CharFormat </w:instrText>
      </w:r>
      <w:r w:rsidRPr="00A43A36">
        <w:fldChar w:fldCharType="separate"/>
      </w:r>
      <w:r w:rsidRPr="00A43A36" w:rsidR="00A43A36">
        <w:t>7</w:t>
      </w:r>
      <w:r w:rsidRPr="00A43A36">
        <w:fldChar w:fldCharType="end"/>
      </w:r>
      <w:r w:rsidRPr="00A43A36">
        <w:t xml:space="preserve"> above).</w:t>
      </w:r>
    </w:p>
    <w:p w:rsidRPr="00A43A36" w:rsidR="001E046A" w:rsidP="00A43A36" w14:paraId="5D5114E2" w14:textId="08F21016">
      <w:pPr>
        <w:pStyle w:val="JuPara"/>
      </w:pPr>
      <w:r>
        <w:fldChar w:fldCharType="begin"/>
      </w:r>
      <w:r>
        <w:instrText xml:space="preserve"> SEQ level0 \*arabic \* MERGEFORMAT </w:instrText>
      </w:r>
      <w:r>
        <w:fldChar w:fldCharType="separate"/>
      </w:r>
      <w:r w:rsidRPr="00A43A36" w:rsidR="00A43A36">
        <w:rPr>
          <w:noProof/>
        </w:rPr>
        <w:t>12</w:t>
      </w:r>
      <w:r w:rsidRPr="00A43A36" w:rsidR="00A43A36">
        <w:rPr>
          <w:noProof/>
        </w:rPr>
        <w:fldChar w:fldCharType="end"/>
      </w:r>
      <w:r w:rsidRPr="00A43A36">
        <w:t>.  As regards a possibility of appealing against the subsequent decision to return her claim, the Court is not persuaded that such appeal would have been effective, since the appellate court would not be in a position to re</w:t>
      </w:r>
      <w:r w:rsidRPr="00A43A36">
        <w:noBreakHyphen/>
        <w:t>examine the refusal to exempt the applicant from court fees, that question having been already determined by the final decision of 28 August 2020 (see</w:t>
      </w:r>
      <w:r w:rsidRPr="00A43A36" w:rsidR="00310621">
        <w:t> </w:t>
      </w:r>
      <w:r w:rsidRPr="00A43A36">
        <w:t xml:space="preserve">paragraph </w:t>
      </w:r>
      <w:r w:rsidRPr="00A43A36">
        <w:fldChar w:fldCharType="begin"/>
      </w:r>
      <w:r w:rsidRPr="00A43A36">
        <w:instrText xml:space="preserve"> REF paragraph00008 \h  \* CharFormat </w:instrText>
      </w:r>
      <w:r w:rsidRPr="00A43A36">
        <w:fldChar w:fldCharType="separate"/>
      </w:r>
      <w:r w:rsidRPr="00A43A36" w:rsidR="00A43A36">
        <w:t>8</w:t>
      </w:r>
      <w:r w:rsidRPr="00A43A36">
        <w:fldChar w:fldCharType="end"/>
      </w:r>
      <w:r w:rsidRPr="00A43A36">
        <w:t xml:space="preserve"> above). It follows that this preliminary objection must be dismissed.</w:t>
      </w:r>
    </w:p>
    <w:p w:rsidRPr="00A43A36" w:rsidR="001E046A" w:rsidP="00A43A36" w14:paraId="0A9B168B" w14:textId="667292C9">
      <w:pPr>
        <w:pStyle w:val="JuPara"/>
      </w:pPr>
      <w:r>
        <w:fldChar w:fldCharType="begin"/>
      </w:r>
      <w:r>
        <w:instrText xml:space="preserve"> SEQ level0 \*arabic \* MERGEFORMAT </w:instrText>
      </w:r>
      <w:r>
        <w:fldChar w:fldCharType="separate"/>
      </w:r>
      <w:r w:rsidRPr="00A43A36" w:rsidR="00A43A36">
        <w:rPr>
          <w:noProof/>
        </w:rPr>
        <w:t>13</w:t>
      </w:r>
      <w:r w:rsidRPr="00A43A36" w:rsidR="00A43A36">
        <w:rPr>
          <w:noProof/>
        </w:rPr>
        <w:fldChar w:fldCharType="end"/>
      </w:r>
      <w:r w:rsidRPr="00A43A36">
        <w:t>.  The Court notes that this complaint is not manifestly ill-founded within the meaning of Article 35 § 3 (a) of the Convention or inadmissible on any other grounds. It must therefore be declared admissible.</w:t>
      </w:r>
    </w:p>
    <w:p w:rsidRPr="00A43A36" w:rsidR="001E046A" w:rsidP="00A43A36" w14:paraId="7ABC904F" w14:textId="511037C7">
      <w:pPr>
        <w:pStyle w:val="JuPara"/>
      </w:pPr>
      <w:r>
        <w:fldChar w:fldCharType="begin"/>
      </w:r>
      <w:r>
        <w:instrText xml:space="preserve"> SEQ level0 \*arabic \* MERGEFORMAT </w:instrText>
      </w:r>
      <w:r>
        <w:fldChar w:fldCharType="separate"/>
      </w:r>
      <w:r w:rsidRPr="00A43A36" w:rsidR="00A43A36">
        <w:rPr>
          <w:noProof/>
        </w:rPr>
        <w:t>14</w:t>
      </w:r>
      <w:r w:rsidRPr="00A43A36" w:rsidR="00A43A36">
        <w:rPr>
          <w:noProof/>
        </w:rPr>
        <w:fldChar w:fldCharType="end"/>
      </w:r>
      <w:r w:rsidRPr="00A43A36">
        <w:t xml:space="preserve">.  The general principles concerning access to court have been summarised in </w:t>
      </w:r>
      <w:bookmarkStart w:name="_cl40008THECOURTSASSESSMENT" w:id="7"/>
      <w:r w:rsidRPr="00A43A36">
        <w:rPr>
          <w:i/>
          <w:iCs/>
        </w:rPr>
        <w:t>Zubac v. Croatia</w:t>
      </w:r>
      <w:bookmarkEnd w:id="7"/>
      <w:r w:rsidRPr="00A43A36">
        <w:t xml:space="preserve"> ([GC], no. 40160/12, §§ 76-79, 5 April 2018) and, in the context of failure to pay court fees, in </w:t>
      </w:r>
      <w:r w:rsidRPr="00A43A36">
        <w:rPr>
          <w:i/>
          <w:iCs/>
        </w:rPr>
        <w:t>Kreuz v. Poland</w:t>
      </w:r>
      <w:r w:rsidRPr="00A43A36">
        <w:t xml:space="preserve"> (no. 28249/95, §§ 52-57, ECHR 2001-VI).</w:t>
      </w:r>
    </w:p>
    <w:p w:rsidRPr="00A43A36" w:rsidR="001E046A" w:rsidP="00A43A36" w14:paraId="2EF92149" w14:textId="1E09B89D">
      <w:pPr>
        <w:pStyle w:val="JuPara"/>
      </w:pPr>
      <w:r>
        <w:fldChar w:fldCharType="begin"/>
      </w:r>
      <w:r>
        <w:instrText xml:space="preserve"> SEQ level0 \*arabic \* MERGEFORMAT </w:instrText>
      </w:r>
      <w:r>
        <w:fldChar w:fldCharType="separate"/>
      </w:r>
      <w:r w:rsidRPr="00A43A36" w:rsidR="00A43A36">
        <w:rPr>
          <w:noProof/>
        </w:rPr>
        <w:t>15</w:t>
      </w:r>
      <w:r w:rsidRPr="00A43A36" w:rsidR="00A43A36">
        <w:rPr>
          <w:noProof/>
        </w:rPr>
        <w:fldChar w:fldCharType="end"/>
      </w:r>
      <w:r w:rsidRPr="00A43A36">
        <w:t>.  The Court notes that the domestic decisions were essentially based on three main reasons: (</w:t>
      </w:r>
      <w:r w:rsidRPr="00A43A36">
        <w:t>i</w:t>
      </w:r>
      <w:r w:rsidRPr="00A43A36">
        <w:t>) the incompleteness and unreliability of the applicant</w:t>
      </w:r>
      <w:r w:rsidRPr="00A43A36" w:rsidR="00A43A36">
        <w:t>’</w:t>
      </w:r>
      <w:r w:rsidRPr="00A43A36">
        <w:t>s submissions, (ii) her failure to set aside part of her previous award, and (iii) her and her husband</w:t>
      </w:r>
      <w:r w:rsidRPr="00A43A36" w:rsidR="00A43A36">
        <w:t>’</w:t>
      </w:r>
      <w:r w:rsidRPr="00A43A36">
        <w:t>s failure to resume work or to apply for social insurance benefits.</w:t>
      </w:r>
    </w:p>
    <w:p w:rsidRPr="00A43A36" w:rsidR="001E046A" w:rsidP="00A43A36" w14:paraId="267EA74B" w14:textId="628A1B52">
      <w:pPr>
        <w:pStyle w:val="JuPara"/>
      </w:pPr>
      <w:r>
        <w:fldChar w:fldCharType="begin"/>
      </w:r>
      <w:r>
        <w:instrText xml:space="preserve"> SEQ level0 \*arabic \* MERGEFORMAT </w:instrText>
      </w:r>
      <w:r>
        <w:fldChar w:fldCharType="separate"/>
      </w:r>
      <w:r w:rsidRPr="00A43A36" w:rsidR="00A43A36">
        <w:rPr>
          <w:noProof/>
        </w:rPr>
        <w:t>16</w:t>
      </w:r>
      <w:r w:rsidRPr="00A43A36" w:rsidR="00A43A36">
        <w:rPr>
          <w:noProof/>
        </w:rPr>
        <w:fldChar w:fldCharType="end"/>
      </w:r>
      <w:r w:rsidRPr="00A43A36">
        <w:t xml:space="preserve">.  The Court notes that the Regional Court reproached the applicant for failing to sufficiently explain her financial situation. Indeed, she declared no income in her initial submissions and the only document attached was her unemployment certificate (see paragraph </w:t>
      </w:r>
      <w:r w:rsidRPr="00A43A36">
        <w:fldChar w:fldCharType="begin"/>
      </w:r>
      <w:r w:rsidRPr="00A43A36">
        <w:instrText xml:space="preserve"> REF paragraph00002 \h  \* CharFormat </w:instrText>
      </w:r>
      <w:r w:rsidRPr="00A43A36">
        <w:fldChar w:fldCharType="separate"/>
      </w:r>
      <w:r w:rsidRPr="00A43A36" w:rsidR="00A43A36">
        <w:t>2</w:t>
      </w:r>
      <w:r w:rsidRPr="00A43A36">
        <w:fldChar w:fldCharType="end"/>
      </w:r>
      <w:r w:rsidRPr="00A43A36">
        <w:t xml:space="preserve"> above). However, in her response to the request for additional information, she gave a more complex account of her situation and attached relevant documents, including her bank statements for the preceding six months, her most recent tax return and documents concerning the enforcement of her and her husband</w:t>
      </w:r>
      <w:r w:rsidRPr="00A43A36" w:rsidR="00A43A36">
        <w:t>’</w:t>
      </w:r>
      <w:r w:rsidRPr="00A43A36">
        <w:t>s debts (see</w:t>
      </w:r>
      <w:r w:rsidRPr="00A43A36" w:rsidR="00310621">
        <w:t> </w:t>
      </w:r>
      <w:r w:rsidRPr="00A43A36">
        <w:t xml:space="preserve">paragraph </w:t>
      </w:r>
      <w:r w:rsidRPr="00A43A36">
        <w:fldChar w:fldCharType="begin"/>
      </w:r>
      <w:r w:rsidRPr="00A43A36">
        <w:instrText xml:space="preserve"> REF paragraph00004 \h  \* CharFormat </w:instrText>
      </w:r>
      <w:r w:rsidRPr="00A43A36">
        <w:fldChar w:fldCharType="separate"/>
      </w:r>
      <w:r w:rsidRPr="00A43A36" w:rsidR="00A43A36">
        <w:t>4</w:t>
      </w:r>
      <w:r w:rsidRPr="00A43A36">
        <w:fldChar w:fldCharType="end"/>
      </w:r>
      <w:r w:rsidRPr="00A43A36">
        <w:t xml:space="preserve"> above). Nevertheless, the Regional Court found her submissions unreliable overall and concluded that it might be the case that she was concealing her income (see paragraphs </w:t>
      </w:r>
      <w:r w:rsidRPr="00A43A36">
        <w:fldChar w:fldCharType="begin"/>
      </w:r>
      <w:r w:rsidRPr="00A43A36">
        <w:instrText xml:space="preserve"> REF paragraph00005 \h  \* CharFormat </w:instrText>
      </w:r>
      <w:r w:rsidRPr="00A43A36">
        <w:fldChar w:fldCharType="separate"/>
      </w:r>
      <w:r w:rsidRPr="00A43A36" w:rsidR="00A43A36">
        <w:t>5</w:t>
      </w:r>
      <w:r w:rsidRPr="00A43A36">
        <w:fldChar w:fldCharType="end"/>
      </w:r>
      <w:r w:rsidRPr="00A43A36">
        <w:t xml:space="preserve"> above).</w:t>
      </w:r>
    </w:p>
    <w:p w:rsidRPr="00A43A36" w:rsidR="001E046A" w:rsidP="00A43A36" w14:paraId="63E49D71" w14:textId="2A048313">
      <w:pPr>
        <w:pStyle w:val="JuPara"/>
      </w:pPr>
      <w:r>
        <w:fldChar w:fldCharType="begin"/>
      </w:r>
      <w:r>
        <w:instrText xml:space="preserve"> SEQ level0 \*arabic \* MERGEFORMAT </w:instrText>
      </w:r>
      <w:r>
        <w:fldChar w:fldCharType="separate"/>
      </w:r>
      <w:r w:rsidRPr="00A43A36" w:rsidR="00A43A36">
        <w:rPr>
          <w:noProof/>
        </w:rPr>
        <w:t>17</w:t>
      </w:r>
      <w:r w:rsidRPr="00A43A36" w:rsidR="00A43A36">
        <w:rPr>
          <w:noProof/>
        </w:rPr>
        <w:fldChar w:fldCharType="end"/>
      </w:r>
      <w:r w:rsidRPr="00A43A36">
        <w:t xml:space="preserve">.  Bearing in mind that it is primarily for the domestic courts to examine the evidence before them, the Court is not convinced that such reasoning was </w:t>
      </w:r>
      <w:r w:rsidRPr="00A43A36">
        <w:t>conducive to striking the proper balance between the interests of the State in collecting court fees for dealing with claims and the applicant</w:t>
      </w:r>
      <w:r w:rsidRPr="00A43A36" w:rsidR="00A43A36">
        <w:t>’</w:t>
      </w:r>
      <w:r w:rsidRPr="00A43A36">
        <w:t>s interests in having her case heard by a court. The official documents in the case file, the reliability of which were not called into question, showed that the applicant was receiving social benefits for indigent persons. She was also heavily indebted and faced several sets of enforcement proceedings, some of which had been discontinued owing to the absence of any realistic prospect of recovery. The Regional Court appears not to have given adequate weight to these circumstances and provided no explanation for disregarding the documents that proved them.</w:t>
      </w:r>
    </w:p>
    <w:p w:rsidRPr="00A43A36" w:rsidR="001E046A" w:rsidP="00A43A36" w14:paraId="5478F6E7" w14:textId="4EA58815">
      <w:pPr>
        <w:pStyle w:val="JuPara"/>
      </w:pPr>
      <w:r>
        <w:fldChar w:fldCharType="begin"/>
      </w:r>
      <w:r>
        <w:instrText xml:space="preserve"> SEQ level0 \*arabic \* MERGEFORMAT </w:instrText>
      </w:r>
      <w:r>
        <w:fldChar w:fldCharType="separate"/>
      </w:r>
      <w:r w:rsidRPr="00A43A36" w:rsidR="00A43A36">
        <w:rPr>
          <w:noProof/>
        </w:rPr>
        <w:t>18</w:t>
      </w:r>
      <w:r w:rsidRPr="00A43A36" w:rsidR="00A43A36">
        <w:rPr>
          <w:noProof/>
        </w:rPr>
        <w:fldChar w:fldCharType="end"/>
      </w:r>
      <w:r w:rsidRPr="00A43A36">
        <w:t>.  Turning to the applicant</w:t>
      </w:r>
      <w:r w:rsidRPr="00A43A36" w:rsidR="00A43A36">
        <w:t>’</w:t>
      </w:r>
      <w:r w:rsidRPr="00A43A36">
        <w:t xml:space="preserve">s failure to save money beforehand, it is noted that the Regional Court expressly stated that this was the main reason for dismissing her exemption request (see paragraph </w:t>
      </w:r>
      <w:r w:rsidRPr="00A43A36">
        <w:fldChar w:fldCharType="begin"/>
      </w:r>
      <w:r w:rsidRPr="00A43A36">
        <w:instrText xml:space="preserve"> REF paragraph00008 \h  \* CharFormat </w:instrText>
      </w:r>
      <w:r w:rsidRPr="00A43A36">
        <w:fldChar w:fldCharType="separate"/>
      </w:r>
      <w:r w:rsidRPr="00A43A36" w:rsidR="00A43A36">
        <w:t>8</w:t>
      </w:r>
      <w:r w:rsidRPr="00A43A36">
        <w:fldChar w:fldCharType="end"/>
      </w:r>
      <w:r w:rsidRPr="00A43A36">
        <w:t xml:space="preserve"> above). The applicant had received PLN 45,000 eight months before lodging the claim in issue (see</w:t>
      </w:r>
      <w:r w:rsidRPr="00A43A36" w:rsidR="00310621">
        <w:t> </w:t>
      </w:r>
      <w:r w:rsidRPr="00A43A36">
        <w:t>paragraph </w:t>
      </w:r>
      <w:r w:rsidRPr="00A43A36">
        <w:fldChar w:fldCharType="begin"/>
      </w:r>
      <w:r w:rsidRPr="00A43A36">
        <w:instrText xml:space="preserve"> REF paragraph00004 \h  \* CharFormat </w:instrText>
      </w:r>
      <w:r w:rsidRPr="00A43A36">
        <w:fldChar w:fldCharType="separate"/>
      </w:r>
      <w:r w:rsidRPr="00A43A36" w:rsidR="00A43A36">
        <w:t>4</w:t>
      </w:r>
      <w:r w:rsidRPr="00A43A36">
        <w:fldChar w:fldCharType="end"/>
      </w:r>
      <w:r w:rsidRPr="00A43A36">
        <w:t xml:space="preserve"> above) and it was not disputed before the Court that she had spent most of that sum on repaying her debts. The Court considers that this amount was her only significant asset and it was not reasonable to expect her to spend a substantial part of it on the payment of the court fees rather than on settling her accrued debts or on securing her basic living needs (see, </w:t>
      </w:r>
      <w:r w:rsidRPr="00A43A36">
        <w:rPr>
          <w:i/>
          <w:iCs/>
        </w:rPr>
        <w:t>mutatis mutandis</w:t>
      </w:r>
      <w:r w:rsidRPr="00A43A36">
        <w:t xml:space="preserve">, </w:t>
      </w:r>
      <w:r w:rsidRPr="00A43A36">
        <w:rPr>
          <w:i/>
          <w:iCs/>
        </w:rPr>
        <w:t>Kordos v. Poland</w:t>
      </w:r>
      <w:r w:rsidRPr="00A43A36">
        <w:t>, no. 26397/02, § 36, 26 May 2009).</w:t>
      </w:r>
    </w:p>
    <w:p w:rsidRPr="00A43A36" w:rsidR="001E046A" w:rsidP="00A43A36" w14:paraId="3FA4E99D" w14:textId="3C2583E8">
      <w:pPr>
        <w:pStyle w:val="JuPara"/>
      </w:pPr>
      <w:r>
        <w:fldChar w:fldCharType="begin"/>
      </w:r>
      <w:r>
        <w:instrText xml:space="preserve"> SEQ level0 \*arabic \* MERGEFORMAT </w:instrText>
      </w:r>
      <w:r>
        <w:fldChar w:fldCharType="separate"/>
      </w:r>
      <w:r w:rsidRPr="00A43A36" w:rsidR="00A43A36">
        <w:rPr>
          <w:noProof/>
        </w:rPr>
        <w:t>19</w:t>
      </w:r>
      <w:r w:rsidRPr="00A43A36" w:rsidR="00A43A36">
        <w:rPr>
          <w:noProof/>
        </w:rPr>
        <w:fldChar w:fldCharType="end"/>
      </w:r>
      <w:r w:rsidRPr="00A43A36">
        <w:t>.  The Court further observes that the Regional Court initially considered that the applicant had sufficient skills and experience to obtain employment. On appeal, it added that it was unclear why she and her husband had not applied for incapacity benefits from social insurance. That said, the Court cannot but find that the assessment of the applicant</w:t>
      </w:r>
      <w:r w:rsidRPr="00A43A36" w:rsidR="00A43A36">
        <w:t>’</w:t>
      </w:r>
      <w:r w:rsidRPr="00A43A36">
        <w:t xml:space="preserve">s situation was largely based on her hypothetical earning capacity rather than on the facts supplied (see </w:t>
      </w:r>
      <w:r w:rsidRPr="00A43A36">
        <w:rPr>
          <w:i/>
          <w:iCs/>
        </w:rPr>
        <w:t>Jedamski</w:t>
      </w:r>
      <w:r w:rsidRPr="00A43A36">
        <w:rPr>
          <w:i/>
          <w:iCs/>
        </w:rPr>
        <w:t xml:space="preserve"> and </w:t>
      </w:r>
      <w:r w:rsidRPr="00A43A36">
        <w:rPr>
          <w:i/>
          <w:iCs/>
        </w:rPr>
        <w:t>Jedamska</w:t>
      </w:r>
      <w:r w:rsidRPr="00A43A36">
        <w:rPr>
          <w:i/>
          <w:iCs/>
        </w:rPr>
        <w:t xml:space="preserve"> v. Poland</w:t>
      </w:r>
      <w:r w:rsidRPr="00A43A36">
        <w:t>, no. 73547/01, § 63, 26 July 2005).</w:t>
      </w:r>
    </w:p>
    <w:p w:rsidRPr="00A43A36" w:rsidR="001E046A" w:rsidP="00A43A36" w14:paraId="34A302E1" w14:textId="3302CEB2">
      <w:pPr>
        <w:pStyle w:val="JuPara"/>
      </w:pPr>
      <w:r>
        <w:fldChar w:fldCharType="begin"/>
      </w:r>
      <w:r>
        <w:instrText xml:space="preserve"> SEQ level0 \*arabic \* MERGEFORMAT </w:instrText>
      </w:r>
      <w:r>
        <w:fldChar w:fldCharType="separate"/>
      </w:r>
      <w:r w:rsidRPr="00A43A36" w:rsidR="00A43A36">
        <w:rPr>
          <w:noProof/>
        </w:rPr>
        <w:t>20</w:t>
      </w:r>
      <w:r w:rsidRPr="00A43A36" w:rsidR="00A43A36">
        <w:rPr>
          <w:noProof/>
        </w:rPr>
        <w:fldChar w:fldCharType="end"/>
      </w:r>
      <w:r w:rsidRPr="00A43A36">
        <w:t>.  In addition, the Government submitted in their observations that the high amount of the fee, calculated at 5% of the amount sought, had been a direct result of the inflated value of the applicant</w:t>
      </w:r>
      <w:r w:rsidRPr="00A43A36" w:rsidR="00A43A36">
        <w:t>’</w:t>
      </w:r>
      <w:r w:rsidRPr="00A43A36">
        <w:t xml:space="preserve">s claim. However, the Court notes that neither did the domestic courts raise this issue, nor did the Government submit any relevant material in support of their allegation. Consequently, it does not discern sufficient grounds to accept that it was grossly exaggerated or unrealistic (compare </w:t>
      </w:r>
      <w:r w:rsidRPr="00A43A36">
        <w:rPr>
          <w:i/>
          <w:iCs/>
        </w:rPr>
        <w:t>Zelcer v. Poland</w:t>
      </w:r>
      <w:r w:rsidRPr="00A43A36">
        <w:t xml:space="preserve"> (dec.), no. 38774/05, 5 July 2011, </w:t>
      </w:r>
      <w:r w:rsidRPr="00A43A36">
        <w:t>and,</w:t>
      </w:r>
      <w:r w:rsidRPr="00A43A36">
        <w:t xml:space="preserve"> </w:t>
      </w:r>
      <w:r w:rsidRPr="00A43A36">
        <w:rPr>
          <w:i/>
          <w:iCs/>
        </w:rPr>
        <w:t>mutatis mutandis</w:t>
      </w:r>
      <w:r w:rsidRPr="00A43A36">
        <w:t xml:space="preserve">, </w:t>
      </w:r>
      <w:r w:rsidRPr="00A43A36">
        <w:rPr>
          <w:i/>
        </w:rPr>
        <w:t>Kupiec v. Poland</w:t>
      </w:r>
      <w:r w:rsidRPr="00A43A36">
        <w:rPr>
          <w:iCs/>
        </w:rPr>
        <w:t>, no. </w:t>
      </w:r>
      <w:r w:rsidRPr="00A43A36">
        <w:t>16828/02, § 47, 3 February 2009).</w:t>
      </w:r>
    </w:p>
    <w:p w:rsidRPr="00A43A36" w:rsidR="001E046A" w:rsidP="00A43A36" w14:paraId="6CB23938" w14:textId="4019829B">
      <w:pPr>
        <w:pStyle w:val="JuPara"/>
      </w:pPr>
      <w:r>
        <w:fldChar w:fldCharType="begin"/>
      </w:r>
      <w:r>
        <w:instrText xml:space="preserve"> SEQ level0 \*arabic \* MERGEFORMAT </w:instrText>
      </w:r>
      <w:r>
        <w:fldChar w:fldCharType="separate"/>
      </w:r>
      <w:r w:rsidRPr="00A43A36" w:rsidR="00A43A36">
        <w:rPr>
          <w:noProof/>
        </w:rPr>
        <w:t>21</w:t>
      </w:r>
      <w:r w:rsidRPr="00A43A36" w:rsidR="00A43A36">
        <w:rPr>
          <w:noProof/>
        </w:rPr>
        <w:fldChar w:fldCharType="end"/>
      </w:r>
      <w:r w:rsidRPr="00A43A36">
        <w:t xml:space="preserve">.  Furthermore, the Court observes that the Regional Court could have but did not opt to grant a partial exemption from the court fee (compare </w:t>
      </w:r>
      <w:r w:rsidRPr="00A43A36">
        <w:rPr>
          <w:i/>
          <w:iCs/>
        </w:rPr>
        <w:t>Buczek v. Poland</w:t>
      </w:r>
      <w:r w:rsidRPr="00A43A36">
        <w:t>, no. 31667/12, § 29, 14 June 2016).</w:t>
      </w:r>
    </w:p>
    <w:p w:rsidRPr="00A43A36" w:rsidR="001E046A" w:rsidP="00A43A36" w14:paraId="0C49FE20" w14:textId="270E5985">
      <w:pPr>
        <w:pStyle w:val="JuPara"/>
      </w:pPr>
      <w:r>
        <w:fldChar w:fldCharType="begin"/>
      </w:r>
      <w:r>
        <w:instrText xml:space="preserve"> SEQ level0 \*arabic \* MERGEFORMAT </w:instrText>
      </w:r>
      <w:r>
        <w:fldChar w:fldCharType="separate"/>
      </w:r>
      <w:r w:rsidRPr="00A43A36" w:rsidR="00A43A36">
        <w:rPr>
          <w:noProof/>
        </w:rPr>
        <w:t>22</w:t>
      </w:r>
      <w:r w:rsidRPr="00A43A36" w:rsidR="00A43A36">
        <w:rPr>
          <w:noProof/>
        </w:rPr>
        <w:fldChar w:fldCharType="end"/>
      </w:r>
      <w:r w:rsidRPr="00A43A36">
        <w:t>.  The Court also notes that, under Polish civil procedure, the issue of court fees is normally examined at the preliminary stage of proceedings. In the present case, this led to the applicant</w:t>
      </w:r>
      <w:r w:rsidRPr="00A43A36" w:rsidR="00A43A36">
        <w:t>’</w:t>
      </w:r>
      <w:r w:rsidRPr="00A43A36">
        <w:t xml:space="preserve">s claim being returned at the outset by the first-instance court (see paragraph </w:t>
      </w:r>
      <w:r w:rsidRPr="00A43A36">
        <w:fldChar w:fldCharType="begin"/>
      </w:r>
      <w:r w:rsidRPr="00A43A36">
        <w:instrText xml:space="preserve"> REF paragraph00009 \h  \* CharFormat </w:instrText>
      </w:r>
      <w:r w:rsidRPr="00A43A36">
        <w:fldChar w:fldCharType="separate"/>
      </w:r>
      <w:r w:rsidRPr="00A43A36" w:rsidR="00A43A36">
        <w:t>9</w:t>
      </w:r>
      <w:r w:rsidRPr="00A43A36">
        <w:fldChar w:fldCharType="end"/>
      </w:r>
      <w:r w:rsidRPr="00A43A36">
        <w:t xml:space="preserve"> above), with the result that its </w:t>
      </w:r>
      <w:r w:rsidRPr="00A43A36">
        <w:t xml:space="preserve">merits were never examined (see </w:t>
      </w:r>
      <w:r w:rsidRPr="00A43A36">
        <w:rPr>
          <w:i/>
          <w:iCs/>
        </w:rPr>
        <w:t>Kreuz</w:t>
      </w:r>
      <w:r w:rsidRPr="00A43A36">
        <w:t xml:space="preserve">, cited above, § 66, and </w:t>
      </w:r>
      <w:r w:rsidRPr="00A43A36">
        <w:rPr>
          <w:i/>
          <w:iCs/>
        </w:rPr>
        <w:t>Nieruchomości</w:t>
      </w:r>
      <w:r w:rsidRPr="00A43A36">
        <w:rPr>
          <w:i/>
          <w:iCs/>
        </w:rPr>
        <w:t xml:space="preserve"> Sp. z </w:t>
      </w:r>
      <w:r w:rsidRPr="00A43A36">
        <w:rPr>
          <w:i/>
          <w:iCs/>
        </w:rPr>
        <w:t>o.o.</w:t>
      </w:r>
      <w:r w:rsidRPr="00A43A36">
        <w:rPr>
          <w:i/>
          <w:iCs/>
        </w:rPr>
        <w:t xml:space="preserve"> v. Poland</w:t>
      </w:r>
      <w:r w:rsidRPr="00A43A36">
        <w:t>, no. 32740/06, § 36, 2 February 2010).</w:t>
      </w:r>
    </w:p>
    <w:p w:rsidRPr="00A43A36" w:rsidR="001E046A" w:rsidP="00A43A36" w14:paraId="0DA6D0F1" w14:textId="4FC2C662">
      <w:pPr>
        <w:pStyle w:val="JuPara"/>
      </w:pPr>
      <w:r>
        <w:fldChar w:fldCharType="begin"/>
      </w:r>
      <w:r>
        <w:instrText xml:space="preserve"> SEQ level0 \*arabic \* MERGEFORMAT </w:instrText>
      </w:r>
      <w:r>
        <w:fldChar w:fldCharType="separate"/>
      </w:r>
      <w:r w:rsidRPr="00A43A36" w:rsidR="00A43A36">
        <w:rPr>
          <w:noProof/>
        </w:rPr>
        <w:t>23</w:t>
      </w:r>
      <w:r w:rsidRPr="00A43A36" w:rsidR="00A43A36">
        <w:rPr>
          <w:noProof/>
        </w:rPr>
        <w:fldChar w:fldCharType="end"/>
      </w:r>
      <w:r w:rsidRPr="00A43A36">
        <w:t xml:space="preserve">.  Bearing in mind that restrictions of a purely financial nature which are completely unrelated to the prospects of success of the claim should be subjected to a particularly rigorous scrutiny from the point of view of the interests of justice (see </w:t>
      </w:r>
      <w:r w:rsidRPr="00A43A36">
        <w:rPr>
          <w:i/>
          <w:iCs/>
        </w:rPr>
        <w:t>Nalbant and Others v. Turkey</w:t>
      </w:r>
      <w:r w:rsidRPr="00A43A36">
        <w:t>, no. 59914/16, § 35, 3 May 2022), the Court concludes that, in the circumstances, the refusal to grant the applicant an exemption from the court fee impaired the very essence of her right of access to a court.</w:t>
      </w:r>
    </w:p>
    <w:p w:rsidRPr="00A43A36" w:rsidR="001E046A" w:rsidP="00A43A36" w14:paraId="53AA73AF" w14:textId="6D8BAC03">
      <w:pPr>
        <w:pStyle w:val="JuPara"/>
      </w:pPr>
      <w:r>
        <w:fldChar w:fldCharType="begin"/>
      </w:r>
      <w:r>
        <w:instrText xml:space="preserve"> SEQ level0 \*arabic \* MERGEFORMAT </w:instrText>
      </w:r>
      <w:r>
        <w:fldChar w:fldCharType="separate"/>
      </w:r>
      <w:r w:rsidRPr="00A43A36" w:rsidR="00A43A36">
        <w:rPr>
          <w:noProof/>
        </w:rPr>
        <w:t>24</w:t>
      </w:r>
      <w:r w:rsidRPr="00A43A36" w:rsidR="00A43A36">
        <w:rPr>
          <w:noProof/>
        </w:rPr>
        <w:fldChar w:fldCharType="end"/>
      </w:r>
      <w:r w:rsidRPr="00A43A36">
        <w:t>.  There has accordingly been a violation of Article 6 § 1 of the Convention.</w:t>
      </w:r>
    </w:p>
    <w:p w:rsidRPr="00A43A36" w:rsidR="001E046A" w:rsidP="00A43A36" w14:paraId="4D24DB03" w14:textId="77777777">
      <w:pPr>
        <w:pStyle w:val="JuHHead"/>
        <w:numPr>
          <w:ilvl w:val="0"/>
          <w:numId w:val="2"/>
        </w:numPr>
      </w:pPr>
      <w:r w:rsidRPr="00A43A36">
        <w:rPr>
          <w:caps w:val="0"/>
        </w:rPr>
        <w:t>APPLICATION OF ARTICLE 41 OF THE CONVENTION</w:t>
      </w:r>
    </w:p>
    <w:p w:rsidRPr="00A43A36" w:rsidR="001E046A" w:rsidP="00A43A36" w14:paraId="19F2E526" w14:textId="66374166">
      <w:pPr>
        <w:pStyle w:val="JuPara"/>
      </w:pPr>
      <w:r>
        <w:fldChar w:fldCharType="begin"/>
      </w:r>
      <w:r>
        <w:instrText xml:space="preserve"> SEQ level0 \*arabic \* MERGEFORMAT </w:instrText>
      </w:r>
      <w:r>
        <w:fldChar w:fldCharType="separate"/>
      </w:r>
      <w:r w:rsidRPr="00A43A36" w:rsidR="00A43A36">
        <w:rPr>
          <w:noProof/>
        </w:rPr>
        <w:t>25</w:t>
      </w:r>
      <w:r w:rsidRPr="00A43A36" w:rsidR="00A43A36">
        <w:rPr>
          <w:noProof/>
        </w:rPr>
        <w:fldChar w:fldCharType="end"/>
      </w:r>
      <w:r w:rsidRPr="00A43A36">
        <w:t>.  The applicant claimed 20,000 euros (EUR) in respect of non</w:t>
      </w:r>
      <w:r w:rsidRPr="00A43A36" w:rsidR="00836805">
        <w:noBreakHyphen/>
      </w:r>
      <w:r w:rsidRPr="00A43A36">
        <w:t>pecuniary damage and EUR 58,000 – the equivalent of her rejected claim in euros – in respect of pecuniary damage. She also claimed EUR 840 in respect of costs and expenses incurred before the Court.</w:t>
      </w:r>
    </w:p>
    <w:p w:rsidRPr="00A43A36" w:rsidR="001E046A" w:rsidP="00A43A36" w14:paraId="164D9B3B" w14:textId="41EE7AF6">
      <w:pPr>
        <w:pStyle w:val="JuPara"/>
      </w:pPr>
      <w:r>
        <w:fldChar w:fldCharType="begin"/>
      </w:r>
      <w:r>
        <w:instrText xml:space="preserve"> SEQ level0 \*arabic \* MERGEFORMAT </w:instrText>
      </w:r>
      <w:r>
        <w:fldChar w:fldCharType="separate"/>
      </w:r>
      <w:r w:rsidRPr="00A43A36" w:rsidR="00A43A36">
        <w:rPr>
          <w:noProof/>
        </w:rPr>
        <w:t>26</w:t>
      </w:r>
      <w:r w:rsidRPr="00A43A36" w:rsidR="00A43A36">
        <w:rPr>
          <w:noProof/>
        </w:rPr>
        <w:fldChar w:fldCharType="end"/>
      </w:r>
      <w:r w:rsidRPr="00A43A36">
        <w:t>.  The Government contested the above claims as unsubstantiated and exorbitant.</w:t>
      </w:r>
    </w:p>
    <w:p w:rsidRPr="00A43A36" w:rsidR="001E046A" w:rsidP="00A43A36" w14:paraId="3A48D14B" w14:textId="7B6DE72B">
      <w:pPr>
        <w:pStyle w:val="JuPara"/>
      </w:pPr>
      <w:r>
        <w:fldChar w:fldCharType="begin"/>
      </w:r>
      <w:r>
        <w:instrText xml:space="preserve"> SEQ level0 \*arabic \* MERGEFORMAT </w:instrText>
      </w:r>
      <w:r>
        <w:fldChar w:fldCharType="separate"/>
      </w:r>
      <w:r w:rsidRPr="00A43A36" w:rsidR="00A43A36">
        <w:rPr>
          <w:noProof/>
        </w:rPr>
        <w:t>27</w:t>
      </w:r>
      <w:r w:rsidRPr="00A43A36" w:rsidR="00A43A36">
        <w:rPr>
          <w:noProof/>
        </w:rPr>
        <w:fldChar w:fldCharType="end"/>
      </w:r>
      <w:r w:rsidRPr="00A43A36">
        <w:t>.  The Court cannot speculate on what the outcome of the domestic proceedings would have been if the applicant</w:t>
      </w:r>
      <w:r w:rsidRPr="00A43A36" w:rsidR="00A43A36">
        <w:t>’</w:t>
      </w:r>
      <w:r w:rsidRPr="00A43A36">
        <w:t>s claim had been accepted for examination on the merits. It therefore rejects the claim in respect of pecuniary damage (</w:t>
      </w:r>
      <w:bookmarkStart w:name="_cl44593APPLICATIONOFARTICLE41OFTHECONVE" w:id="8"/>
      <w:r w:rsidRPr="00A43A36">
        <w:t xml:space="preserve">see </w:t>
      </w:r>
      <w:r w:rsidRPr="00A43A36">
        <w:rPr>
          <w:i/>
          <w:iCs/>
        </w:rPr>
        <w:t>Suren Antonyan v. Armenia</w:t>
      </w:r>
      <w:bookmarkEnd w:id="8"/>
      <w:r w:rsidRPr="00A43A36">
        <w:t>, no. 20140/23, § 147, 23 January 2025). However, it awards the applicant EUR 7,800 in respect of non-pecuniary damage, plus any tax that may be chargeable to the applicant.</w:t>
      </w:r>
    </w:p>
    <w:p w:rsidRPr="00A43A36" w:rsidR="001E046A" w:rsidP="00A43A36" w14:paraId="16920031" w14:textId="3781F74D">
      <w:pPr>
        <w:pStyle w:val="JuPara"/>
      </w:pPr>
      <w:r>
        <w:fldChar w:fldCharType="begin"/>
      </w:r>
      <w:r>
        <w:instrText xml:space="preserve"> SEQ level0 \*arabic \* MERGEFORMAT </w:instrText>
      </w:r>
      <w:r>
        <w:fldChar w:fldCharType="separate"/>
      </w:r>
      <w:r w:rsidRPr="00A43A36" w:rsidR="00A43A36">
        <w:rPr>
          <w:noProof/>
        </w:rPr>
        <w:t>28</w:t>
      </w:r>
      <w:r w:rsidRPr="00A43A36" w:rsidR="00A43A36">
        <w:rPr>
          <w:noProof/>
        </w:rPr>
        <w:fldChar w:fldCharType="end"/>
      </w:r>
      <w:r w:rsidRPr="00A43A36">
        <w:t xml:space="preserve">.  The Court further notes that, in respect of costs and expenses, the applicant did not claim any sums </w:t>
      </w:r>
      <w:r w:rsidRPr="00A43A36">
        <w:t>in excess of</w:t>
      </w:r>
      <w:r w:rsidRPr="00A43A36">
        <w:t xml:space="preserve"> the lump sum of EUR 850 that her representative had already received under the Court</w:t>
      </w:r>
      <w:r w:rsidRPr="00A43A36" w:rsidR="00A43A36">
        <w:t>’</w:t>
      </w:r>
      <w:r w:rsidRPr="00A43A36">
        <w:t>s legal aid scheme.</w:t>
      </w:r>
    </w:p>
    <w:p w:rsidRPr="00A43A36" w:rsidR="001E046A" w:rsidP="00A43A36" w14:paraId="7A1E1863" w14:textId="77777777">
      <w:pPr>
        <w:pStyle w:val="JuHHead"/>
        <w:numPr>
          <w:ilvl w:val="0"/>
          <w:numId w:val="2"/>
        </w:numPr>
      </w:pPr>
      <w:r w:rsidRPr="00A43A36">
        <w:t>FOR THESE REASONS, THE COURT, UNANIMOUSLY,</w:t>
      </w:r>
    </w:p>
    <w:p w:rsidRPr="00A43A36" w:rsidR="001E046A" w:rsidP="00A43A36" w14:paraId="6F9A7DD5" w14:textId="77777777">
      <w:pPr>
        <w:pStyle w:val="JuList"/>
      </w:pPr>
      <w:r w:rsidRPr="00A43A36">
        <w:rPr>
          <w:i/>
        </w:rPr>
        <w:t>Declares</w:t>
      </w:r>
      <w:r w:rsidRPr="00A43A36">
        <w:t xml:space="preserve"> the application admissible;</w:t>
      </w:r>
    </w:p>
    <w:p w:rsidRPr="00A43A36" w:rsidR="001E046A" w:rsidP="00A43A36" w14:paraId="14DA3590" w14:textId="77777777">
      <w:pPr>
        <w:pStyle w:val="JuList"/>
      </w:pPr>
      <w:r w:rsidRPr="00A43A36">
        <w:rPr>
          <w:i/>
        </w:rPr>
        <w:t>Holds</w:t>
      </w:r>
      <w:r w:rsidRPr="00A43A36">
        <w:t xml:space="preserve"> that there has been a violation of Article 6 § 1 of the Convention;</w:t>
      </w:r>
    </w:p>
    <w:p w:rsidRPr="00A43A36" w:rsidR="001E046A" w:rsidP="00A43A36" w14:paraId="12459F6B" w14:textId="77777777">
      <w:pPr>
        <w:pStyle w:val="JuList"/>
      </w:pPr>
      <w:r w:rsidRPr="00A43A36">
        <w:rPr>
          <w:i/>
          <w:iCs/>
        </w:rPr>
        <w:t>Holds</w:t>
      </w:r>
    </w:p>
    <w:p w:rsidRPr="00A43A36" w:rsidR="001E046A" w:rsidP="00A43A36" w14:paraId="14019800" w14:textId="77777777">
      <w:pPr>
        <w:pStyle w:val="JuLista"/>
        <w:numPr>
          <w:ilvl w:val="1"/>
          <w:numId w:val="1"/>
        </w:numPr>
      </w:pPr>
      <w:r w:rsidRPr="00A43A36">
        <w:t>that the respondent State is to pay the applicant, within three months, EUR 7,800 (seven thousand eight hundred euros), plus any tax that may be chargeable, in respect of non-pecuniary damage, to be converted into</w:t>
      </w:r>
      <w:r w:rsidRPr="00A43A36">
        <w:rPr>
          <w:color w:val="000000"/>
        </w:rPr>
        <w:t xml:space="preserve"> the currency of the respondent State </w:t>
      </w:r>
      <w:r w:rsidRPr="00A43A36">
        <w:t>at the rate applicable at the date of settlement:</w:t>
      </w:r>
    </w:p>
    <w:p w:rsidRPr="00A43A36" w:rsidR="001E046A" w:rsidP="00A43A36" w14:paraId="1C310075" w14:textId="77777777">
      <w:pPr>
        <w:pStyle w:val="JuLista"/>
        <w:numPr>
          <w:ilvl w:val="1"/>
          <w:numId w:val="1"/>
        </w:numPr>
      </w:pPr>
      <w:r w:rsidRPr="00A43A36">
        <w:t xml:space="preserve">that from the expiry of the above-mentioned three months until settlement simple interest shall be payable on the above amount at a </w:t>
      </w:r>
      <w:r w:rsidRPr="00A43A36">
        <w:t>rate equal to the marginal lending rate of the European Central Bank during the default period plus three percentage points;</w:t>
      </w:r>
    </w:p>
    <w:p w:rsidRPr="00A43A36" w:rsidR="004D0EC7" w:rsidP="00A43A36" w14:paraId="1EEB54C9" w14:textId="6054236F">
      <w:pPr>
        <w:pStyle w:val="JuList"/>
      </w:pPr>
      <w:r w:rsidRPr="00A43A36">
        <w:rPr>
          <w:i/>
        </w:rPr>
        <w:t xml:space="preserve">Dismisses </w:t>
      </w:r>
      <w:r w:rsidRPr="00A43A36">
        <w:t>the remainder of the applicant</w:t>
      </w:r>
      <w:r w:rsidRPr="00A43A36" w:rsidR="00A43A36">
        <w:t>’</w:t>
      </w:r>
      <w:r w:rsidRPr="00A43A36">
        <w:t>s claim for just satisfaction.</w:t>
      </w:r>
    </w:p>
    <w:p w:rsidRPr="00A43A36" w:rsidR="008E3A08" w:rsidP="00A43A36" w14:paraId="4520530C" w14:textId="77777777">
      <w:pPr>
        <w:pStyle w:val="JuParaLast"/>
      </w:pPr>
      <w:r w:rsidRPr="00A43A36">
        <w:t xml:space="preserve">Done in English, and notified in writing on </w:t>
      </w:r>
      <w:r w:rsidRPr="00A43A36" w:rsidR="001E046A">
        <w:rPr>
          <w:rFonts w:ascii="Times New Roman" w:hAnsi="Times New Roman" w:cs="Times New Roman"/>
        </w:rPr>
        <w:t>3 September 2026</w:t>
      </w:r>
      <w:r w:rsidRPr="00A43A36">
        <w:t>, pursuant to Rule 77 §§ 2 and 3 of the Rules of Court.</w:t>
      </w:r>
    </w:p>
    <w:p w:rsidRPr="00A43A36" w:rsidR="007E79A4" w:rsidP="00A43A36" w14:paraId="041EDDC3" w14:textId="4B2C970E">
      <w:pPr>
        <w:pStyle w:val="ECHRPlaceholder"/>
        <w:rPr>
          <w:szCs w:val="22"/>
        </w:rPr>
      </w:pPr>
      <w:r w:rsidRPr="00A43A36">
        <w:tab/>
      </w:r>
    </w:p>
    <w:p w:rsidRPr="00A43A36" w:rsidR="007E79A4" w:rsidP="00A43A36" w14:paraId="2F2E329F" w14:textId="77777777">
      <w:pPr>
        <w:pStyle w:val="JuSigned"/>
      </w:pPr>
      <w:r w:rsidRPr="00A43A36">
        <w:tab/>
      </w:r>
      <w:r w:rsidRPr="00A43A36" w:rsidR="001E046A">
        <w:rPr>
          <w:noProof/>
        </w:rPr>
        <w:t>Liv Tigerstedt</w:t>
      </w:r>
      <w:r w:rsidRPr="00A43A36">
        <w:tab/>
      </w:r>
      <w:r w:rsidRPr="00A43A36" w:rsidR="001E046A">
        <w:rPr>
          <w:noProof/>
        </w:rPr>
        <w:t>Davor Derenčinović</w:t>
      </w:r>
      <w:r w:rsidRPr="00A43A36">
        <w:br/>
      </w:r>
      <w:r w:rsidRPr="00A43A36">
        <w:tab/>
      </w:r>
      <w:r w:rsidRPr="00A43A36" w:rsidR="001E046A">
        <w:rPr>
          <w:noProof/>
        </w:rPr>
        <w:t>Deputy Registrar</w:t>
      </w:r>
      <w:r w:rsidRPr="00A43A36">
        <w:tab/>
        <w:t>President</w:t>
      </w:r>
    </w:p>
    <w:p w:rsidRPr="00A43A36" w:rsidR="00675AF2" w:rsidP="00A43A36" w14:paraId="1A58BAC2" w14:textId="77777777">
      <w:pPr>
        <w:pStyle w:val="JuPara"/>
      </w:pPr>
    </w:p>
    <w:p w:rsidRPr="00A43A36" w:rsidR="00182EBA" w:rsidP="00A43A36" w14:paraId="59015268" w14:textId="77777777"/>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176BA" w14:paraId="6049EF91"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046A" w:rsidRPr="00150BFA" w:rsidP="00303C12" w14:paraId="166AE1AD" w14:textId="77777777">
    <w:pPr>
      <w:jc w:val="center"/>
    </w:pPr>
    <w:r>
      <w:rPr>
        <w:noProof/>
        <w:lang w:val="en-US"/>
      </w:rPr>
      <w:drawing>
        <wp:inline distT="0" distB="0" distL="0" distR="0">
          <wp:extent cx="771525" cy="619125"/>
          <wp:effectExtent l="0" t="0" r="9525" b="9525"/>
          <wp:docPr id="609207932" name="Picture 6092079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079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1E046A" w:rsidP="00303C12" w14:paraId="1D6058FB"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046A" w:rsidRPr="00150BFA" w:rsidP="00303C12" w14:paraId="6E5A2645"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1E046A" w:rsidP="009E7A6F" w14:paraId="137B0C65"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2A106C05" w14:textId="77777777">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294E9AAD" w14:textId="77777777">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176BA" w14:paraId="6CF0F96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046A" w:rsidRPr="00A45145" w:rsidP="00303C12" w14:paraId="6D3B36ED"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E046A" w:rsidP="00303C12" w14:paraId="13B72261"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046A" w:rsidRPr="00A45145" w:rsidP="00303C12" w14:paraId="4F5D1C62" w14:textId="77777777">
    <w:pPr>
      <w:jc w:val="center"/>
    </w:pPr>
    <w:r>
      <w:rPr>
        <w:noProof/>
        <w:lang w:val="en-US"/>
      </w:rPr>
      <w:drawing>
        <wp:inline distT="0" distB="0" distL="0" distR="0">
          <wp:extent cx="2962275" cy="1219200"/>
          <wp:effectExtent l="0" t="0" r="9525" b="0"/>
          <wp:docPr id="273011174" name="Picture 27301117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1117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1E046A" w14:paraId="4216BA76"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0354D39" w14:textId="77777777">
    <w:pPr>
      <w:pStyle w:val="JuHeader"/>
    </w:pPr>
    <w:r>
      <w:t>I.W.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1B74078" w14:textId="77777777">
    <w:pPr>
      <w:pStyle w:val="JuHeader"/>
    </w:pPr>
    <w:r>
      <w:t>I.W.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950431236">
    <w:abstractNumId w:val="13"/>
  </w:num>
  <w:num w:numId="2" w16cid:durableId="327026877">
    <w:abstractNumId w:val="10"/>
  </w:num>
  <w:num w:numId="3" w16cid:durableId="356080681">
    <w:abstractNumId w:val="14"/>
  </w:num>
  <w:num w:numId="4" w16cid:durableId="1505896167">
    <w:abstractNumId w:val="12"/>
  </w:num>
  <w:num w:numId="5" w16cid:durableId="601646483">
    <w:abstractNumId w:val="11"/>
  </w:num>
  <w:num w:numId="6" w16cid:durableId="1985431330">
    <w:abstractNumId w:val="17"/>
  </w:num>
  <w:num w:numId="7" w16cid:durableId="885603945">
    <w:abstractNumId w:val="7"/>
  </w:num>
  <w:num w:numId="8" w16cid:durableId="285475760">
    <w:abstractNumId w:val="6"/>
  </w:num>
  <w:num w:numId="9" w16cid:durableId="476190384">
    <w:abstractNumId w:val="5"/>
  </w:num>
  <w:num w:numId="10" w16cid:durableId="74135549">
    <w:abstractNumId w:val="4"/>
  </w:num>
  <w:num w:numId="11" w16cid:durableId="422655036">
    <w:abstractNumId w:val="8"/>
  </w:num>
  <w:num w:numId="12" w16cid:durableId="534193582">
    <w:abstractNumId w:val="3"/>
  </w:num>
  <w:num w:numId="13" w16cid:durableId="973874834">
    <w:abstractNumId w:val="2"/>
  </w:num>
  <w:num w:numId="14" w16cid:durableId="1520465813">
    <w:abstractNumId w:val="1"/>
  </w:num>
  <w:num w:numId="15" w16cid:durableId="1381317315">
    <w:abstractNumId w:val="0"/>
  </w:num>
  <w:num w:numId="16" w16cid:durableId="2024745619">
    <w:abstractNumId w:val="15"/>
  </w:num>
  <w:num w:numId="17" w16cid:durableId="2127504460">
    <w:abstractNumId w:val="13"/>
  </w:num>
  <w:num w:numId="18" w16cid:durableId="815604378">
    <w:abstractNumId w:val="16"/>
  </w:num>
  <w:num w:numId="19" w16cid:durableId="1413430970">
    <w:abstractNumId w:val="15"/>
  </w:num>
  <w:num w:numId="20" w16cid:durableId="1708213900">
    <w:abstractNumId w:val="16"/>
  </w:num>
  <w:num w:numId="21" w16cid:durableId="2091736033">
    <w:abstractNumId w:val="10"/>
  </w:num>
  <w:num w:numId="22" w16cid:durableId="1104151250">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6A"/>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86C14"/>
    <w:rsid w:val="001943B5"/>
    <w:rsid w:val="00195134"/>
    <w:rsid w:val="001A020C"/>
    <w:rsid w:val="001A145B"/>
    <w:rsid w:val="001A3E09"/>
    <w:rsid w:val="001A674C"/>
    <w:rsid w:val="001B3B24"/>
    <w:rsid w:val="001C055B"/>
    <w:rsid w:val="001C0F98"/>
    <w:rsid w:val="001C2A42"/>
    <w:rsid w:val="001D63ED"/>
    <w:rsid w:val="001D7348"/>
    <w:rsid w:val="001E035B"/>
    <w:rsid w:val="001E046A"/>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65854"/>
    <w:rsid w:val="00275123"/>
    <w:rsid w:val="00281B7C"/>
    <w:rsid w:val="00282240"/>
    <w:rsid w:val="00282BD8"/>
    <w:rsid w:val="00287AD5"/>
    <w:rsid w:val="002934D0"/>
    <w:rsid w:val="00293676"/>
    <w:rsid w:val="00293BD9"/>
    <w:rsid w:val="002948AD"/>
    <w:rsid w:val="002A01CC"/>
    <w:rsid w:val="002A399A"/>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03C12"/>
    <w:rsid w:val="00310621"/>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5A5D"/>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0288"/>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C5D3A"/>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1328"/>
    <w:rsid w:val="00823602"/>
    <w:rsid w:val="008255F5"/>
    <w:rsid w:val="00826890"/>
    <w:rsid w:val="0083014E"/>
    <w:rsid w:val="0083214A"/>
    <w:rsid w:val="00834220"/>
    <w:rsid w:val="00836805"/>
    <w:rsid w:val="00845723"/>
    <w:rsid w:val="00847F31"/>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3BF2"/>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3A36"/>
    <w:rsid w:val="00A45145"/>
    <w:rsid w:val="00A51D0F"/>
    <w:rsid w:val="00A54192"/>
    <w:rsid w:val="00A57147"/>
    <w:rsid w:val="00A6035E"/>
    <w:rsid w:val="00A6144C"/>
    <w:rsid w:val="00A6295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4B07"/>
    <w:rsid w:val="00AF6186"/>
    <w:rsid w:val="00AF7A3A"/>
    <w:rsid w:val="00B02587"/>
    <w:rsid w:val="00B049D1"/>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466F"/>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45F0"/>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77673"/>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1394"/>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6BA"/>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1"/>
    <w:docVar w:name="DocVarPREMATURE" w:val="0"/>
    <w:docVar w:name="EMM" w:val="0"/>
    <w:docVar w:name="ETRANSMISSION" w:val="BY E-TRANSMISSION ONLY"/>
    <w:docVar w:name="L4_1Annex" w:val="0"/>
    <w:docVar w:name="L4_1Anonymity" w:val="1"/>
    <w:docVar w:name="L4_1AppNatList" w:val="Georgian, grec"/>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3911E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176BA"/>
    <w:rPr>
      <w:sz w:val="24"/>
      <w:szCs w:val="24"/>
      <w:lang w:val="en-GB"/>
    </w:rPr>
  </w:style>
  <w:style w:type="paragraph" w:styleId="Heading1">
    <w:name w:val="heading 1"/>
    <w:basedOn w:val="Normal"/>
    <w:next w:val="Normal"/>
    <w:link w:val="Heading1Char"/>
    <w:uiPriority w:val="98"/>
    <w:semiHidden/>
    <w:rsid w:val="00F176B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176B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176B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176B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176B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176B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176B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176B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176B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176BA"/>
    <w:rPr>
      <w:rFonts w:ascii="Tahoma" w:hAnsi="Tahoma" w:cs="Tahoma"/>
      <w:sz w:val="16"/>
      <w:szCs w:val="16"/>
    </w:rPr>
  </w:style>
  <w:style w:type="character" w:customStyle="1" w:styleId="BalloonTextChar">
    <w:name w:val="Balloon Text Char"/>
    <w:basedOn w:val="DefaultParagraphFont"/>
    <w:link w:val="BalloonText"/>
    <w:uiPriority w:val="98"/>
    <w:semiHidden/>
    <w:rsid w:val="00F176BA"/>
    <w:rPr>
      <w:rFonts w:ascii="Tahoma" w:hAnsi="Tahoma" w:cs="Tahoma"/>
      <w:sz w:val="16"/>
      <w:szCs w:val="16"/>
      <w:lang w:val="en-GB"/>
    </w:rPr>
  </w:style>
  <w:style w:type="character" w:styleId="BookTitle">
    <w:name w:val="Book Title"/>
    <w:uiPriority w:val="98"/>
    <w:semiHidden/>
    <w:qFormat/>
    <w:rsid w:val="00F176BA"/>
    <w:rPr>
      <w:i/>
      <w:iCs/>
      <w:smallCaps/>
      <w:spacing w:val="5"/>
    </w:rPr>
  </w:style>
  <w:style w:type="paragraph" w:customStyle="1" w:styleId="JuHeader">
    <w:name w:val="Ju_Header"/>
    <w:aliases w:val="_Header"/>
    <w:basedOn w:val="Header0"/>
    <w:uiPriority w:val="29"/>
    <w:qFormat/>
    <w:rsid w:val="00F176BA"/>
    <w:pPr>
      <w:tabs>
        <w:tab w:val="clear" w:pos="4536"/>
        <w:tab w:val="clear" w:pos="9072"/>
      </w:tabs>
      <w:jc w:val="center"/>
    </w:pPr>
    <w:rPr>
      <w:sz w:val="18"/>
    </w:rPr>
  </w:style>
  <w:style w:type="paragraph" w:customStyle="1" w:styleId="NormalJustified">
    <w:name w:val="Normal_Justified"/>
    <w:basedOn w:val="Normal"/>
    <w:semiHidden/>
    <w:rsid w:val="00F176BA"/>
    <w:pPr>
      <w:jc w:val="both"/>
    </w:pPr>
  </w:style>
  <w:style w:type="character" w:styleId="Strong">
    <w:name w:val="Strong"/>
    <w:uiPriority w:val="98"/>
    <w:semiHidden/>
    <w:qFormat/>
    <w:rsid w:val="00F176BA"/>
    <w:rPr>
      <w:b/>
      <w:bCs/>
    </w:rPr>
  </w:style>
  <w:style w:type="paragraph" w:styleId="NoSpacing">
    <w:name w:val="No Spacing"/>
    <w:basedOn w:val="Normal"/>
    <w:link w:val="NoSpacingChar"/>
    <w:uiPriority w:val="98"/>
    <w:semiHidden/>
    <w:qFormat/>
    <w:rsid w:val="00F176BA"/>
  </w:style>
  <w:style w:type="character" w:customStyle="1" w:styleId="NoSpacingChar">
    <w:name w:val="No Spacing Char"/>
    <w:basedOn w:val="DefaultParagraphFont"/>
    <w:link w:val="NoSpacing"/>
    <w:uiPriority w:val="98"/>
    <w:semiHidden/>
    <w:rsid w:val="00F176BA"/>
    <w:rPr>
      <w:sz w:val="24"/>
      <w:szCs w:val="24"/>
      <w:lang w:val="en-GB"/>
    </w:rPr>
  </w:style>
  <w:style w:type="paragraph" w:customStyle="1" w:styleId="JuQuot">
    <w:name w:val="Ju_Quot"/>
    <w:aliases w:val="_Quote"/>
    <w:basedOn w:val="NormalJustified"/>
    <w:uiPriority w:val="20"/>
    <w:qFormat/>
    <w:rsid w:val="00F176BA"/>
    <w:pPr>
      <w:spacing w:before="120" w:after="120"/>
      <w:ind w:left="425" w:firstLine="142"/>
    </w:pPr>
    <w:rPr>
      <w:sz w:val="20"/>
    </w:rPr>
  </w:style>
  <w:style w:type="paragraph" w:customStyle="1" w:styleId="DummyStyle">
    <w:name w:val="Dummy_Style"/>
    <w:aliases w:val="_Dummy"/>
    <w:basedOn w:val="Normal"/>
    <w:semiHidden/>
    <w:qFormat/>
    <w:rsid w:val="00F176BA"/>
    <w:rPr>
      <w:color w:val="00B050"/>
      <w:sz w:val="22"/>
    </w:rPr>
  </w:style>
  <w:style w:type="paragraph" w:customStyle="1" w:styleId="JuList">
    <w:name w:val="Ju_List"/>
    <w:aliases w:val="_List_1"/>
    <w:basedOn w:val="NormalJustified"/>
    <w:uiPriority w:val="23"/>
    <w:qFormat/>
    <w:rsid w:val="00F176BA"/>
    <w:pPr>
      <w:numPr>
        <w:numId w:val="22"/>
      </w:numPr>
      <w:spacing w:before="280" w:after="60"/>
    </w:pPr>
  </w:style>
  <w:style w:type="paragraph" w:customStyle="1" w:styleId="JuLista">
    <w:name w:val="Ju_List_a"/>
    <w:aliases w:val="_List_2"/>
    <w:basedOn w:val="NormalJustified"/>
    <w:uiPriority w:val="23"/>
    <w:rsid w:val="00F176BA"/>
    <w:pPr>
      <w:numPr>
        <w:ilvl w:val="1"/>
        <w:numId w:val="22"/>
      </w:numPr>
    </w:pPr>
  </w:style>
  <w:style w:type="paragraph" w:customStyle="1" w:styleId="JuListi">
    <w:name w:val="Ju_List_i"/>
    <w:aliases w:val="_List_3"/>
    <w:basedOn w:val="NormalJustified"/>
    <w:uiPriority w:val="23"/>
    <w:rsid w:val="00F176BA"/>
    <w:pPr>
      <w:numPr>
        <w:ilvl w:val="2"/>
        <w:numId w:val="22"/>
      </w:numPr>
    </w:pPr>
  </w:style>
  <w:style w:type="paragraph" w:customStyle="1" w:styleId="JuHArticle">
    <w:name w:val="Ju_H_Article"/>
    <w:aliases w:val="_Title_Quote"/>
    <w:basedOn w:val="Normal"/>
    <w:next w:val="JuQuot"/>
    <w:uiPriority w:val="19"/>
    <w:qFormat/>
    <w:rsid w:val="00F176B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176B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176B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176BA"/>
    <w:pPr>
      <w:keepNext/>
      <w:keepLines/>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176BA"/>
    <w:pPr>
      <w:numPr>
        <w:numId w:val="16"/>
      </w:numPr>
    </w:pPr>
  </w:style>
  <w:style w:type="paragraph" w:customStyle="1" w:styleId="JuSigned">
    <w:name w:val="Ju_Signed"/>
    <w:aliases w:val="_Signature"/>
    <w:basedOn w:val="Normal"/>
    <w:next w:val="JuPara"/>
    <w:uiPriority w:val="31"/>
    <w:qFormat/>
    <w:rsid w:val="00F176BA"/>
    <w:pPr>
      <w:tabs>
        <w:tab w:val="center" w:pos="1418"/>
        <w:tab w:val="center" w:pos="5954"/>
      </w:tabs>
      <w:spacing w:before="720"/>
    </w:pPr>
  </w:style>
  <w:style w:type="paragraph" w:styleId="Title">
    <w:name w:val="Title"/>
    <w:basedOn w:val="Normal"/>
    <w:next w:val="Normal"/>
    <w:link w:val="TitleChar"/>
    <w:uiPriority w:val="98"/>
    <w:semiHidden/>
    <w:qFormat/>
    <w:rsid w:val="00F176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176B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176BA"/>
    <w:pPr>
      <w:numPr>
        <w:numId w:val="1"/>
      </w:numPr>
    </w:pPr>
  </w:style>
  <w:style w:type="numbering" w:customStyle="1" w:styleId="ECHRA1StyleNumberedList">
    <w:name w:val="ECHR_A1_Style_Numbered_List"/>
    <w:basedOn w:val="NoList"/>
    <w:rsid w:val="00F176BA"/>
    <w:pPr>
      <w:numPr>
        <w:numId w:val="18"/>
      </w:numPr>
    </w:pPr>
  </w:style>
  <w:style w:type="table" w:customStyle="1" w:styleId="ECHRTable2019">
    <w:name w:val="ECHR_Table_2019"/>
    <w:basedOn w:val="TableNormal"/>
    <w:uiPriority w:val="99"/>
    <w:rsid w:val="00F176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F176B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176BA"/>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176BA"/>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176BA"/>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F176BA"/>
    <w:pPr>
      <w:tabs>
        <w:tab w:val="center" w:pos="4536"/>
        <w:tab w:val="right" w:pos="9072"/>
      </w:tabs>
    </w:pPr>
  </w:style>
  <w:style w:type="character" w:customStyle="1" w:styleId="HeaderChar">
    <w:name w:val="Header Char"/>
    <w:basedOn w:val="DefaultParagraphFont"/>
    <w:link w:val="Header0"/>
    <w:uiPriority w:val="98"/>
    <w:semiHidden/>
    <w:rsid w:val="00F176BA"/>
    <w:rPr>
      <w:sz w:val="24"/>
      <w:szCs w:val="24"/>
      <w:lang w:val="en-GB"/>
    </w:rPr>
  </w:style>
  <w:style w:type="character" w:customStyle="1" w:styleId="Heading1Char">
    <w:name w:val="Heading 1 Char"/>
    <w:basedOn w:val="DefaultParagraphFont"/>
    <w:link w:val="Heading1"/>
    <w:uiPriority w:val="98"/>
    <w:semiHidden/>
    <w:rsid w:val="00F176B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176BA"/>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F176BA"/>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176B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176BA"/>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176BA"/>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F176B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176BA"/>
    <w:pPr>
      <w:keepNext/>
      <w:keepLines/>
      <w:spacing w:before="240" w:after="240"/>
      <w:ind w:firstLine="284"/>
    </w:pPr>
  </w:style>
  <w:style w:type="paragraph" w:customStyle="1" w:styleId="JuJudges">
    <w:name w:val="Ju_Judges"/>
    <w:aliases w:val="_Judges"/>
    <w:basedOn w:val="Normal"/>
    <w:uiPriority w:val="32"/>
    <w:qFormat/>
    <w:rsid w:val="00F176BA"/>
    <w:pPr>
      <w:tabs>
        <w:tab w:val="left" w:pos="567"/>
        <w:tab w:val="left" w:pos="1134"/>
      </w:tabs>
    </w:pPr>
  </w:style>
  <w:style w:type="character" w:customStyle="1" w:styleId="Heading4Char">
    <w:name w:val="Heading 4 Char"/>
    <w:basedOn w:val="DefaultParagraphFont"/>
    <w:link w:val="Heading4"/>
    <w:uiPriority w:val="98"/>
    <w:semiHidden/>
    <w:rsid w:val="00F176B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176BA"/>
    <w:pPr>
      <w:tabs>
        <w:tab w:val="center" w:pos="6407"/>
      </w:tabs>
      <w:spacing w:before="720"/>
      <w:jc w:val="right"/>
    </w:pPr>
  </w:style>
  <w:style w:type="character" w:customStyle="1" w:styleId="Heading5Char">
    <w:name w:val="Heading 5 Char"/>
    <w:basedOn w:val="DefaultParagraphFont"/>
    <w:link w:val="Heading5"/>
    <w:uiPriority w:val="98"/>
    <w:semiHidden/>
    <w:rsid w:val="00F176B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176B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F176BA"/>
    <w:rPr>
      <w:caps w:val="0"/>
      <w:smallCaps/>
    </w:rPr>
  </w:style>
  <w:style w:type="character" w:styleId="SubtleEmphasis">
    <w:name w:val="Subtle Emphasis"/>
    <w:uiPriority w:val="98"/>
    <w:semiHidden/>
    <w:qFormat/>
    <w:rsid w:val="00F176BA"/>
    <w:rPr>
      <w:i/>
      <w:iCs/>
    </w:rPr>
  </w:style>
  <w:style w:type="table" w:customStyle="1" w:styleId="ECHRTable">
    <w:name w:val="ECHR_Table"/>
    <w:basedOn w:val="TableNormal"/>
    <w:rsid w:val="00F176B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176B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F176BA"/>
    <w:rPr>
      <w:b/>
      <w:bCs/>
      <w:i/>
      <w:iCs/>
      <w:spacing w:val="10"/>
      <w:bdr w:val="none" w:sz="0" w:space="0" w:color="auto"/>
      <w:shd w:val="clear" w:color="auto" w:fill="auto"/>
    </w:rPr>
  </w:style>
  <w:style w:type="paragraph" w:styleId="Footer1">
    <w:name w:val="footer"/>
    <w:basedOn w:val="Normal"/>
    <w:link w:val="FooterChar"/>
    <w:uiPriority w:val="98"/>
    <w:semiHidden/>
    <w:rsid w:val="00F176BA"/>
    <w:pPr>
      <w:tabs>
        <w:tab w:val="center" w:pos="3686"/>
        <w:tab w:val="right" w:pos="7371"/>
      </w:tabs>
    </w:pPr>
  </w:style>
  <w:style w:type="character" w:customStyle="1" w:styleId="FooterChar">
    <w:name w:val="Footer Char"/>
    <w:basedOn w:val="DefaultParagraphFont"/>
    <w:link w:val="Footer1"/>
    <w:uiPriority w:val="98"/>
    <w:semiHidden/>
    <w:rsid w:val="00F176BA"/>
    <w:rPr>
      <w:sz w:val="24"/>
      <w:szCs w:val="24"/>
      <w:lang w:val="en-GB"/>
    </w:rPr>
  </w:style>
  <w:style w:type="character" w:styleId="FootnoteReference">
    <w:name w:val="footnote reference"/>
    <w:basedOn w:val="DefaultParagraphFont"/>
    <w:uiPriority w:val="98"/>
    <w:semiHidden/>
    <w:rsid w:val="00F176BA"/>
    <w:rPr>
      <w:vertAlign w:val="superscript"/>
    </w:rPr>
  </w:style>
  <w:style w:type="paragraph" w:styleId="FootnoteText">
    <w:name w:val="footnote text"/>
    <w:basedOn w:val="NormalJustified"/>
    <w:link w:val="FootnoteTextChar"/>
    <w:uiPriority w:val="98"/>
    <w:semiHidden/>
    <w:rsid w:val="00F176BA"/>
    <w:rPr>
      <w:sz w:val="20"/>
      <w:szCs w:val="20"/>
    </w:rPr>
  </w:style>
  <w:style w:type="character" w:customStyle="1" w:styleId="FootnoteTextChar">
    <w:name w:val="Footnote Text Char"/>
    <w:basedOn w:val="DefaultParagraphFont"/>
    <w:link w:val="FootnoteText"/>
    <w:uiPriority w:val="98"/>
    <w:semiHidden/>
    <w:rsid w:val="00F176BA"/>
    <w:rPr>
      <w:sz w:val="20"/>
      <w:szCs w:val="20"/>
      <w:lang w:val="en-GB"/>
    </w:rPr>
  </w:style>
  <w:style w:type="character" w:customStyle="1" w:styleId="Heading6Char">
    <w:name w:val="Heading 6 Char"/>
    <w:basedOn w:val="DefaultParagraphFont"/>
    <w:link w:val="Heading6"/>
    <w:uiPriority w:val="98"/>
    <w:semiHidden/>
    <w:rsid w:val="00F176B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176B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176B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176B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176BA"/>
    <w:rPr>
      <w:color w:val="0072BC" w:themeColor="hyperlink"/>
      <w:u w:val="single"/>
    </w:rPr>
  </w:style>
  <w:style w:type="character" w:styleId="IntenseEmphasis">
    <w:name w:val="Intense Emphasis"/>
    <w:uiPriority w:val="98"/>
    <w:semiHidden/>
    <w:qFormat/>
    <w:rsid w:val="00F176BA"/>
    <w:rPr>
      <w:b/>
      <w:bCs/>
    </w:rPr>
  </w:style>
  <w:style w:type="paragraph" w:styleId="IntenseQuote">
    <w:name w:val="Intense Quote"/>
    <w:basedOn w:val="Normal"/>
    <w:next w:val="Normal"/>
    <w:link w:val="IntenseQuoteChar"/>
    <w:uiPriority w:val="98"/>
    <w:semiHidden/>
    <w:qFormat/>
    <w:rsid w:val="00F176B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176BA"/>
    <w:rPr>
      <w:b/>
      <w:bCs/>
      <w:i/>
      <w:iCs/>
      <w:sz w:val="24"/>
      <w:szCs w:val="24"/>
      <w:lang w:val="en-GB" w:bidi="en-US"/>
    </w:rPr>
  </w:style>
  <w:style w:type="character" w:styleId="IntenseReference">
    <w:name w:val="Intense Reference"/>
    <w:uiPriority w:val="98"/>
    <w:semiHidden/>
    <w:qFormat/>
    <w:rsid w:val="00F176BA"/>
    <w:rPr>
      <w:smallCaps/>
      <w:spacing w:val="5"/>
      <w:u w:val="single"/>
    </w:rPr>
  </w:style>
  <w:style w:type="paragraph" w:styleId="ListParagraph">
    <w:name w:val="List Paragraph"/>
    <w:basedOn w:val="Normal"/>
    <w:uiPriority w:val="98"/>
    <w:semiHidden/>
    <w:qFormat/>
    <w:rsid w:val="00F176BA"/>
    <w:pPr>
      <w:ind w:left="720"/>
      <w:contextualSpacing/>
    </w:pPr>
  </w:style>
  <w:style w:type="table" w:customStyle="1" w:styleId="LtrTableAddress">
    <w:name w:val="Ltr_Table_Address"/>
    <w:aliases w:val="ECHR_Ltr_Table_Address"/>
    <w:basedOn w:val="TableNormal"/>
    <w:uiPriority w:val="99"/>
    <w:rsid w:val="00F176BA"/>
    <w:rPr>
      <w:sz w:val="24"/>
      <w:szCs w:val="24"/>
    </w:rPr>
    <w:tblPr>
      <w:tblInd w:w="5103" w:type="dxa"/>
    </w:tblPr>
  </w:style>
  <w:style w:type="paragraph" w:styleId="Quote0">
    <w:name w:val="Quote"/>
    <w:basedOn w:val="Normal"/>
    <w:next w:val="Normal"/>
    <w:link w:val="QuoteChar"/>
    <w:uiPriority w:val="98"/>
    <w:semiHidden/>
    <w:qFormat/>
    <w:rsid w:val="00F176BA"/>
    <w:pPr>
      <w:spacing w:before="200"/>
      <w:ind w:left="360" w:right="360"/>
    </w:pPr>
    <w:rPr>
      <w:i/>
      <w:iCs/>
      <w:lang w:bidi="en-US"/>
    </w:rPr>
  </w:style>
  <w:style w:type="character" w:customStyle="1" w:styleId="QuoteChar">
    <w:name w:val="Quote Char"/>
    <w:basedOn w:val="DefaultParagraphFont"/>
    <w:link w:val="Quote0"/>
    <w:uiPriority w:val="98"/>
    <w:semiHidden/>
    <w:rsid w:val="00F176BA"/>
    <w:rPr>
      <w:i/>
      <w:iCs/>
      <w:sz w:val="24"/>
      <w:szCs w:val="24"/>
      <w:lang w:val="en-GB" w:bidi="en-US"/>
    </w:rPr>
  </w:style>
  <w:style w:type="character" w:styleId="SubtleReference">
    <w:name w:val="Subtle Reference"/>
    <w:uiPriority w:val="98"/>
    <w:semiHidden/>
    <w:qFormat/>
    <w:rsid w:val="00F176BA"/>
    <w:rPr>
      <w:smallCaps/>
    </w:rPr>
  </w:style>
  <w:style w:type="table" w:styleId="TableGrid">
    <w:name w:val="Table Grid"/>
    <w:basedOn w:val="TableNormal"/>
    <w:uiPriority w:val="59"/>
    <w:semiHidden/>
    <w:rsid w:val="00F176B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176B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176B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176B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176B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176B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176B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F176B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176B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176B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176B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F176B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176B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176B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F176B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176B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176BA"/>
    <w:pPr>
      <w:numPr>
        <w:numId w:val="3"/>
      </w:numPr>
    </w:pPr>
  </w:style>
  <w:style w:type="paragraph" w:customStyle="1" w:styleId="JuPara">
    <w:name w:val="Ju_Para"/>
    <w:aliases w:val="_Para"/>
    <w:basedOn w:val="NormalJustified"/>
    <w:uiPriority w:val="4"/>
    <w:qFormat/>
    <w:rsid w:val="00F176BA"/>
    <w:pPr>
      <w:ind w:firstLine="284"/>
    </w:pPr>
  </w:style>
  <w:style w:type="numbering" w:styleId="1ai">
    <w:name w:val="Outline List 1"/>
    <w:basedOn w:val="NoList"/>
    <w:uiPriority w:val="99"/>
    <w:semiHidden/>
    <w:unhideWhenUsed/>
    <w:rsid w:val="00F176BA"/>
    <w:pPr>
      <w:numPr>
        <w:numId w:val="4"/>
      </w:numPr>
    </w:pPr>
  </w:style>
  <w:style w:type="table" w:customStyle="1" w:styleId="ECHRTableSimpleBox">
    <w:name w:val="ECHR_Table_Simple_Box"/>
    <w:basedOn w:val="TableNormal"/>
    <w:uiPriority w:val="99"/>
    <w:rsid w:val="00F176B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F176B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F176BA"/>
    <w:pPr>
      <w:numPr>
        <w:numId w:val="5"/>
      </w:numPr>
    </w:pPr>
  </w:style>
  <w:style w:type="table" w:customStyle="1" w:styleId="ECHRTableForInternalUse">
    <w:name w:val="ECHR_Table_For_Internal_Use"/>
    <w:basedOn w:val="TableNormal"/>
    <w:uiPriority w:val="99"/>
    <w:rsid w:val="00F176B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F176B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176BA"/>
  </w:style>
  <w:style w:type="paragraph" w:styleId="BlockText">
    <w:name w:val="Block Text"/>
    <w:basedOn w:val="Normal"/>
    <w:uiPriority w:val="98"/>
    <w:semiHidden/>
    <w:rsid w:val="00F176B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176B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176BA"/>
    <w:pPr>
      <w:spacing w:after="120"/>
    </w:pPr>
  </w:style>
  <w:style w:type="character" w:customStyle="1" w:styleId="BodyTextChar">
    <w:name w:val="Body Text Char"/>
    <w:basedOn w:val="DefaultParagraphFont"/>
    <w:link w:val="BodyText"/>
    <w:uiPriority w:val="98"/>
    <w:semiHidden/>
    <w:rsid w:val="00F176BA"/>
    <w:rPr>
      <w:sz w:val="24"/>
      <w:szCs w:val="24"/>
      <w:lang w:val="en-GB"/>
    </w:rPr>
  </w:style>
  <w:style w:type="table" w:customStyle="1" w:styleId="ECHRTableOddBanded">
    <w:name w:val="ECHR_Table_Odd_Banded"/>
    <w:basedOn w:val="TableNormal"/>
    <w:uiPriority w:val="99"/>
    <w:rsid w:val="00F176B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176BA"/>
    <w:pPr>
      <w:spacing w:after="120" w:line="480" w:lineRule="auto"/>
    </w:pPr>
  </w:style>
  <w:style w:type="table" w:customStyle="1" w:styleId="ECHRHeaderTableReduced">
    <w:name w:val="ECHR_Header_Table_Reduced"/>
    <w:basedOn w:val="TableNormal"/>
    <w:uiPriority w:val="99"/>
    <w:rsid w:val="00F176B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176BA"/>
    <w:pPr>
      <w:ind w:firstLine="284"/>
    </w:pPr>
    <w:rPr>
      <w:b/>
    </w:rPr>
  </w:style>
  <w:style w:type="character" w:styleId="PageNumber">
    <w:name w:val="page number"/>
    <w:uiPriority w:val="98"/>
    <w:semiHidden/>
    <w:rsid w:val="00F176BA"/>
    <w:rPr>
      <w:sz w:val="18"/>
    </w:rPr>
  </w:style>
  <w:style w:type="paragraph" w:styleId="ListBullet">
    <w:name w:val="List Bullet"/>
    <w:basedOn w:val="Normal"/>
    <w:uiPriority w:val="98"/>
    <w:semiHidden/>
    <w:rsid w:val="00F176BA"/>
    <w:pPr>
      <w:numPr>
        <w:numId w:val="6"/>
      </w:numPr>
    </w:pPr>
  </w:style>
  <w:style w:type="paragraph" w:styleId="ListBullet3">
    <w:name w:val="List Bullet 3"/>
    <w:basedOn w:val="Normal"/>
    <w:uiPriority w:val="98"/>
    <w:semiHidden/>
    <w:rsid w:val="00F176BA"/>
    <w:pPr>
      <w:numPr>
        <w:numId w:val="8"/>
      </w:numPr>
      <w:contextualSpacing/>
    </w:pPr>
  </w:style>
  <w:style w:type="character" w:customStyle="1" w:styleId="BodyText2Char">
    <w:name w:val="Body Text 2 Char"/>
    <w:basedOn w:val="DefaultParagraphFont"/>
    <w:link w:val="BodyText2"/>
    <w:uiPriority w:val="98"/>
    <w:semiHidden/>
    <w:rsid w:val="00F176BA"/>
    <w:rPr>
      <w:sz w:val="24"/>
      <w:szCs w:val="24"/>
      <w:lang w:val="en-GB"/>
    </w:rPr>
  </w:style>
  <w:style w:type="paragraph" w:styleId="BodyText3">
    <w:name w:val="Body Text 3"/>
    <w:basedOn w:val="Normal"/>
    <w:link w:val="BodyText3Char"/>
    <w:uiPriority w:val="98"/>
    <w:semiHidden/>
    <w:rsid w:val="00F176BA"/>
    <w:pPr>
      <w:spacing w:after="120"/>
    </w:pPr>
    <w:rPr>
      <w:sz w:val="16"/>
      <w:szCs w:val="16"/>
    </w:rPr>
  </w:style>
  <w:style w:type="character" w:customStyle="1" w:styleId="BodyText3Char">
    <w:name w:val="Body Text 3 Char"/>
    <w:basedOn w:val="DefaultParagraphFont"/>
    <w:link w:val="BodyText3"/>
    <w:uiPriority w:val="98"/>
    <w:semiHidden/>
    <w:rsid w:val="00F176BA"/>
    <w:rPr>
      <w:sz w:val="16"/>
      <w:szCs w:val="16"/>
      <w:lang w:val="en-GB"/>
    </w:rPr>
  </w:style>
  <w:style w:type="paragraph" w:styleId="BodyTextFirstIndent">
    <w:name w:val="Body Text First Indent"/>
    <w:basedOn w:val="BodyText"/>
    <w:link w:val="BodyTextFirstIndentChar"/>
    <w:uiPriority w:val="98"/>
    <w:semiHidden/>
    <w:rsid w:val="00F176BA"/>
    <w:pPr>
      <w:spacing w:after="0"/>
      <w:ind w:firstLine="360"/>
    </w:pPr>
  </w:style>
  <w:style w:type="character" w:customStyle="1" w:styleId="BodyTextFirstIndentChar">
    <w:name w:val="Body Text First Indent Char"/>
    <w:basedOn w:val="BodyTextChar"/>
    <w:link w:val="BodyTextFirstIndent"/>
    <w:uiPriority w:val="98"/>
    <w:semiHidden/>
    <w:rsid w:val="00F176BA"/>
    <w:rPr>
      <w:sz w:val="24"/>
      <w:szCs w:val="24"/>
      <w:lang w:val="en-GB"/>
    </w:rPr>
  </w:style>
  <w:style w:type="paragraph" w:styleId="BodyTextIndent">
    <w:name w:val="Body Text Indent"/>
    <w:basedOn w:val="Normal"/>
    <w:link w:val="BodyTextIndentChar"/>
    <w:uiPriority w:val="98"/>
    <w:semiHidden/>
    <w:rsid w:val="00F176BA"/>
    <w:pPr>
      <w:spacing w:after="120"/>
      <w:ind w:left="283"/>
    </w:pPr>
  </w:style>
  <w:style w:type="character" w:customStyle="1" w:styleId="BodyTextIndentChar">
    <w:name w:val="Body Text Indent Char"/>
    <w:basedOn w:val="DefaultParagraphFont"/>
    <w:link w:val="BodyTextIndent"/>
    <w:uiPriority w:val="98"/>
    <w:semiHidden/>
    <w:rsid w:val="00F176BA"/>
    <w:rPr>
      <w:sz w:val="24"/>
      <w:szCs w:val="24"/>
      <w:lang w:val="en-GB"/>
    </w:rPr>
  </w:style>
  <w:style w:type="paragraph" w:styleId="BodyTextFirstIndent2">
    <w:name w:val="Body Text First Indent 2"/>
    <w:basedOn w:val="BodyTextIndent"/>
    <w:link w:val="BodyTextFirstIndent2Char"/>
    <w:uiPriority w:val="98"/>
    <w:semiHidden/>
    <w:rsid w:val="00F176BA"/>
    <w:pPr>
      <w:spacing w:after="0"/>
      <w:ind w:left="360" w:firstLine="360"/>
    </w:pPr>
  </w:style>
  <w:style w:type="character" w:customStyle="1" w:styleId="BodyTextFirstIndent2Char">
    <w:name w:val="Body Text First Indent 2 Char"/>
    <w:basedOn w:val="BodyTextIndentChar"/>
    <w:link w:val="BodyTextFirstIndent2"/>
    <w:uiPriority w:val="98"/>
    <w:semiHidden/>
    <w:rsid w:val="00F176BA"/>
    <w:rPr>
      <w:sz w:val="24"/>
      <w:szCs w:val="24"/>
      <w:lang w:val="en-GB"/>
    </w:rPr>
  </w:style>
  <w:style w:type="paragraph" w:styleId="BodyTextIndent2">
    <w:name w:val="Body Text Indent 2"/>
    <w:basedOn w:val="Normal"/>
    <w:link w:val="BodyTextIndent2Char"/>
    <w:uiPriority w:val="98"/>
    <w:semiHidden/>
    <w:rsid w:val="00F176BA"/>
    <w:pPr>
      <w:spacing w:after="120" w:line="480" w:lineRule="auto"/>
      <w:ind w:left="283"/>
    </w:pPr>
  </w:style>
  <w:style w:type="character" w:customStyle="1" w:styleId="BodyTextIndent2Char">
    <w:name w:val="Body Text Indent 2 Char"/>
    <w:basedOn w:val="DefaultParagraphFont"/>
    <w:link w:val="BodyTextIndent2"/>
    <w:uiPriority w:val="98"/>
    <w:semiHidden/>
    <w:rsid w:val="00F176BA"/>
    <w:rPr>
      <w:sz w:val="24"/>
      <w:szCs w:val="24"/>
      <w:lang w:val="en-GB"/>
    </w:rPr>
  </w:style>
  <w:style w:type="paragraph" w:styleId="BodyTextIndent3">
    <w:name w:val="Body Text Indent 3"/>
    <w:basedOn w:val="Normal"/>
    <w:link w:val="BodyTextIndent3Char"/>
    <w:uiPriority w:val="98"/>
    <w:semiHidden/>
    <w:rsid w:val="00F176B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176BA"/>
    <w:rPr>
      <w:sz w:val="16"/>
      <w:szCs w:val="16"/>
      <w:lang w:val="en-GB"/>
    </w:rPr>
  </w:style>
  <w:style w:type="paragraph" w:styleId="Caption">
    <w:name w:val="caption"/>
    <w:basedOn w:val="Normal"/>
    <w:next w:val="Normal"/>
    <w:uiPriority w:val="98"/>
    <w:semiHidden/>
    <w:qFormat/>
    <w:rsid w:val="00F176BA"/>
    <w:pPr>
      <w:spacing w:after="200"/>
    </w:pPr>
    <w:rPr>
      <w:b/>
      <w:bCs/>
      <w:color w:val="0072BC" w:themeColor="accent1"/>
      <w:sz w:val="18"/>
      <w:szCs w:val="18"/>
    </w:rPr>
  </w:style>
  <w:style w:type="paragraph" w:styleId="Closing">
    <w:name w:val="Closing"/>
    <w:basedOn w:val="Normal"/>
    <w:link w:val="ClosingChar"/>
    <w:uiPriority w:val="98"/>
    <w:semiHidden/>
    <w:rsid w:val="00F176BA"/>
    <w:pPr>
      <w:ind w:left="4252"/>
    </w:pPr>
  </w:style>
  <w:style w:type="character" w:customStyle="1" w:styleId="ClosingChar">
    <w:name w:val="Closing Char"/>
    <w:basedOn w:val="DefaultParagraphFont"/>
    <w:link w:val="Closing"/>
    <w:uiPriority w:val="98"/>
    <w:semiHidden/>
    <w:rsid w:val="00F176BA"/>
    <w:rPr>
      <w:sz w:val="24"/>
      <w:szCs w:val="24"/>
      <w:lang w:val="en-GB"/>
    </w:rPr>
  </w:style>
  <w:style w:type="table" w:styleId="ColorfulGrid">
    <w:name w:val="Colorful Grid"/>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176B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176B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176B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176B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F176B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176B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176B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176B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176B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176B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176B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F176B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176B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176B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176BA"/>
    <w:rPr>
      <w:sz w:val="16"/>
      <w:szCs w:val="16"/>
    </w:rPr>
  </w:style>
  <w:style w:type="paragraph" w:styleId="CommentText">
    <w:name w:val="annotation text"/>
    <w:basedOn w:val="Normal"/>
    <w:link w:val="CommentTextChar"/>
    <w:uiPriority w:val="98"/>
    <w:semiHidden/>
    <w:rsid w:val="00F176BA"/>
    <w:rPr>
      <w:sz w:val="20"/>
      <w:szCs w:val="20"/>
    </w:rPr>
  </w:style>
  <w:style w:type="character" w:customStyle="1" w:styleId="CommentTextChar">
    <w:name w:val="Comment Text Char"/>
    <w:basedOn w:val="DefaultParagraphFont"/>
    <w:link w:val="CommentText"/>
    <w:uiPriority w:val="98"/>
    <w:semiHidden/>
    <w:rsid w:val="00F176BA"/>
    <w:rPr>
      <w:sz w:val="20"/>
      <w:szCs w:val="20"/>
      <w:lang w:val="en-GB"/>
    </w:rPr>
  </w:style>
  <w:style w:type="paragraph" w:styleId="CommentSubject">
    <w:name w:val="annotation subject"/>
    <w:basedOn w:val="CommentText"/>
    <w:next w:val="CommentText"/>
    <w:link w:val="CommentSubjectChar"/>
    <w:uiPriority w:val="98"/>
    <w:semiHidden/>
    <w:rsid w:val="00F176BA"/>
    <w:rPr>
      <w:b/>
      <w:bCs/>
    </w:rPr>
  </w:style>
  <w:style w:type="character" w:customStyle="1" w:styleId="CommentSubjectChar">
    <w:name w:val="Comment Subject Char"/>
    <w:basedOn w:val="CommentTextChar"/>
    <w:link w:val="CommentSubject"/>
    <w:uiPriority w:val="98"/>
    <w:semiHidden/>
    <w:rsid w:val="00F176BA"/>
    <w:rPr>
      <w:b/>
      <w:bCs/>
      <w:sz w:val="20"/>
      <w:szCs w:val="20"/>
      <w:lang w:val="en-GB"/>
    </w:rPr>
  </w:style>
  <w:style w:type="table" w:styleId="DarkList">
    <w:name w:val="Dark List"/>
    <w:basedOn w:val="TableNormal"/>
    <w:uiPriority w:val="70"/>
    <w:semiHidden/>
    <w:rsid w:val="00F176B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176B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176B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176B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F176B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176B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176B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176BA"/>
  </w:style>
  <w:style w:type="character" w:customStyle="1" w:styleId="DateChar">
    <w:name w:val="Date Char"/>
    <w:basedOn w:val="DefaultParagraphFont"/>
    <w:link w:val="Date"/>
    <w:uiPriority w:val="98"/>
    <w:semiHidden/>
    <w:rsid w:val="00F176BA"/>
    <w:rPr>
      <w:sz w:val="24"/>
      <w:szCs w:val="24"/>
      <w:lang w:val="en-GB"/>
    </w:rPr>
  </w:style>
  <w:style w:type="paragraph" w:styleId="DocumentMap">
    <w:name w:val="Document Map"/>
    <w:basedOn w:val="Normal"/>
    <w:link w:val="DocumentMapChar"/>
    <w:uiPriority w:val="98"/>
    <w:semiHidden/>
    <w:rsid w:val="00F176BA"/>
    <w:rPr>
      <w:rFonts w:ascii="Tahoma" w:hAnsi="Tahoma" w:cs="Tahoma"/>
      <w:sz w:val="16"/>
      <w:szCs w:val="16"/>
    </w:rPr>
  </w:style>
  <w:style w:type="character" w:customStyle="1" w:styleId="DocumentMapChar">
    <w:name w:val="Document Map Char"/>
    <w:basedOn w:val="DefaultParagraphFont"/>
    <w:link w:val="DocumentMap"/>
    <w:uiPriority w:val="98"/>
    <w:semiHidden/>
    <w:rsid w:val="00F176BA"/>
    <w:rPr>
      <w:rFonts w:ascii="Tahoma" w:hAnsi="Tahoma" w:cs="Tahoma"/>
      <w:sz w:val="16"/>
      <w:szCs w:val="16"/>
      <w:lang w:val="en-GB"/>
    </w:rPr>
  </w:style>
  <w:style w:type="paragraph" w:styleId="E-mailSignature">
    <w:name w:val="E-mail Signature"/>
    <w:basedOn w:val="Normal"/>
    <w:link w:val="E-mailSignatureChar"/>
    <w:uiPriority w:val="98"/>
    <w:semiHidden/>
    <w:rsid w:val="00F176BA"/>
  </w:style>
  <w:style w:type="character" w:customStyle="1" w:styleId="E-mailSignatureChar">
    <w:name w:val="E-mail Signature Char"/>
    <w:basedOn w:val="DefaultParagraphFont"/>
    <w:link w:val="E-mailSignature"/>
    <w:uiPriority w:val="98"/>
    <w:semiHidden/>
    <w:rsid w:val="00F176BA"/>
    <w:rPr>
      <w:sz w:val="24"/>
      <w:szCs w:val="24"/>
      <w:lang w:val="en-GB"/>
    </w:rPr>
  </w:style>
  <w:style w:type="character" w:styleId="EndnoteReference">
    <w:name w:val="endnote reference"/>
    <w:basedOn w:val="DefaultParagraphFont"/>
    <w:uiPriority w:val="98"/>
    <w:semiHidden/>
    <w:rsid w:val="00F176BA"/>
    <w:rPr>
      <w:vertAlign w:val="superscript"/>
    </w:rPr>
  </w:style>
  <w:style w:type="paragraph" w:styleId="EndnoteText">
    <w:name w:val="endnote text"/>
    <w:basedOn w:val="Normal"/>
    <w:link w:val="EndnoteTextChar"/>
    <w:uiPriority w:val="98"/>
    <w:semiHidden/>
    <w:rsid w:val="00F176BA"/>
    <w:rPr>
      <w:sz w:val="20"/>
      <w:szCs w:val="20"/>
    </w:rPr>
  </w:style>
  <w:style w:type="character" w:customStyle="1" w:styleId="EndnoteTextChar">
    <w:name w:val="Endnote Text Char"/>
    <w:basedOn w:val="DefaultParagraphFont"/>
    <w:link w:val="EndnoteText"/>
    <w:uiPriority w:val="98"/>
    <w:semiHidden/>
    <w:rsid w:val="00F176BA"/>
    <w:rPr>
      <w:sz w:val="20"/>
      <w:szCs w:val="20"/>
      <w:lang w:val="en-GB"/>
    </w:rPr>
  </w:style>
  <w:style w:type="paragraph" w:styleId="EnvelopeAddress">
    <w:name w:val="envelope address"/>
    <w:basedOn w:val="Normal"/>
    <w:uiPriority w:val="98"/>
    <w:semiHidden/>
    <w:rsid w:val="00F176B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176B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176BA"/>
    <w:rPr>
      <w:color w:val="7030A0" w:themeColor="followedHyperlink"/>
      <w:u w:val="single"/>
    </w:rPr>
  </w:style>
  <w:style w:type="character" w:styleId="HTMLAcronym">
    <w:name w:val="HTML Acronym"/>
    <w:basedOn w:val="DefaultParagraphFont"/>
    <w:uiPriority w:val="98"/>
    <w:semiHidden/>
    <w:rsid w:val="00F176BA"/>
  </w:style>
  <w:style w:type="paragraph" w:styleId="HTMLAddress">
    <w:name w:val="HTML Address"/>
    <w:basedOn w:val="Normal"/>
    <w:link w:val="HTMLAddressChar"/>
    <w:uiPriority w:val="98"/>
    <w:semiHidden/>
    <w:rsid w:val="00F176BA"/>
    <w:rPr>
      <w:i/>
      <w:iCs/>
    </w:rPr>
  </w:style>
  <w:style w:type="character" w:customStyle="1" w:styleId="HTMLAddressChar">
    <w:name w:val="HTML Address Char"/>
    <w:basedOn w:val="DefaultParagraphFont"/>
    <w:link w:val="HTMLAddress"/>
    <w:uiPriority w:val="98"/>
    <w:semiHidden/>
    <w:rsid w:val="00F176BA"/>
    <w:rPr>
      <w:i/>
      <w:iCs/>
      <w:sz w:val="24"/>
      <w:szCs w:val="24"/>
      <w:lang w:val="en-GB"/>
    </w:rPr>
  </w:style>
  <w:style w:type="character" w:styleId="HTMLCite">
    <w:name w:val="HTML Cite"/>
    <w:basedOn w:val="DefaultParagraphFont"/>
    <w:uiPriority w:val="98"/>
    <w:semiHidden/>
    <w:rsid w:val="00F176BA"/>
    <w:rPr>
      <w:i/>
      <w:iCs/>
    </w:rPr>
  </w:style>
  <w:style w:type="character" w:styleId="HTMLCode">
    <w:name w:val="HTML Code"/>
    <w:basedOn w:val="DefaultParagraphFont"/>
    <w:uiPriority w:val="98"/>
    <w:semiHidden/>
    <w:rsid w:val="00F176BA"/>
    <w:rPr>
      <w:rFonts w:ascii="Consolas" w:hAnsi="Consolas" w:cs="Consolas"/>
      <w:sz w:val="20"/>
      <w:szCs w:val="20"/>
    </w:rPr>
  </w:style>
  <w:style w:type="character" w:styleId="HTMLDefinition">
    <w:name w:val="HTML Definition"/>
    <w:basedOn w:val="DefaultParagraphFont"/>
    <w:uiPriority w:val="98"/>
    <w:semiHidden/>
    <w:rsid w:val="00F176BA"/>
    <w:rPr>
      <w:i/>
      <w:iCs/>
    </w:rPr>
  </w:style>
  <w:style w:type="character" w:styleId="HTMLKeyboard">
    <w:name w:val="HTML Keyboard"/>
    <w:basedOn w:val="DefaultParagraphFont"/>
    <w:uiPriority w:val="98"/>
    <w:semiHidden/>
    <w:rsid w:val="00F176BA"/>
    <w:rPr>
      <w:rFonts w:ascii="Consolas" w:hAnsi="Consolas" w:cs="Consolas"/>
      <w:sz w:val="20"/>
      <w:szCs w:val="20"/>
    </w:rPr>
  </w:style>
  <w:style w:type="paragraph" w:styleId="HTMLPreformatted">
    <w:name w:val="HTML Preformatted"/>
    <w:basedOn w:val="Normal"/>
    <w:link w:val="HTMLPreformattedChar"/>
    <w:uiPriority w:val="98"/>
    <w:semiHidden/>
    <w:rsid w:val="00F176B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176BA"/>
    <w:rPr>
      <w:rFonts w:ascii="Consolas" w:hAnsi="Consolas" w:cs="Consolas"/>
      <w:sz w:val="20"/>
      <w:szCs w:val="20"/>
      <w:lang w:val="en-GB"/>
    </w:rPr>
  </w:style>
  <w:style w:type="character" w:styleId="HTMLSample">
    <w:name w:val="HTML Sample"/>
    <w:basedOn w:val="DefaultParagraphFont"/>
    <w:uiPriority w:val="98"/>
    <w:semiHidden/>
    <w:rsid w:val="00F176BA"/>
    <w:rPr>
      <w:rFonts w:ascii="Consolas" w:hAnsi="Consolas" w:cs="Consolas"/>
      <w:sz w:val="24"/>
      <w:szCs w:val="24"/>
    </w:rPr>
  </w:style>
  <w:style w:type="character" w:styleId="HTMLTypewriter">
    <w:name w:val="HTML Typewriter"/>
    <w:basedOn w:val="DefaultParagraphFont"/>
    <w:uiPriority w:val="98"/>
    <w:semiHidden/>
    <w:rsid w:val="00F176BA"/>
    <w:rPr>
      <w:rFonts w:ascii="Consolas" w:hAnsi="Consolas" w:cs="Consolas"/>
      <w:sz w:val="20"/>
      <w:szCs w:val="20"/>
    </w:rPr>
  </w:style>
  <w:style w:type="character" w:styleId="HTMLVariable">
    <w:name w:val="HTML Variable"/>
    <w:basedOn w:val="DefaultParagraphFont"/>
    <w:uiPriority w:val="98"/>
    <w:semiHidden/>
    <w:rsid w:val="00F176BA"/>
    <w:rPr>
      <w:i/>
      <w:iCs/>
    </w:rPr>
  </w:style>
  <w:style w:type="paragraph" w:styleId="Index1">
    <w:name w:val="index 1"/>
    <w:basedOn w:val="Normal"/>
    <w:next w:val="Normal"/>
    <w:autoRedefine/>
    <w:uiPriority w:val="98"/>
    <w:semiHidden/>
    <w:rsid w:val="00F176BA"/>
    <w:pPr>
      <w:ind w:left="240" w:hanging="240"/>
    </w:pPr>
  </w:style>
  <w:style w:type="paragraph" w:styleId="Index2">
    <w:name w:val="index 2"/>
    <w:basedOn w:val="Normal"/>
    <w:next w:val="Normal"/>
    <w:autoRedefine/>
    <w:uiPriority w:val="98"/>
    <w:semiHidden/>
    <w:rsid w:val="00F176BA"/>
    <w:pPr>
      <w:ind w:left="480" w:hanging="240"/>
    </w:pPr>
  </w:style>
  <w:style w:type="paragraph" w:styleId="Index3">
    <w:name w:val="index 3"/>
    <w:basedOn w:val="Normal"/>
    <w:next w:val="Normal"/>
    <w:autoRedefine/>
    <w:uiPriority w:val="98"/>
    <w:semiHidden/>
    <w:rsid w:val="00F176BA"/>
    <w:pPr>
      <w:ind w:left="720" w:hanging="240"/>
    </w:pPr>
  </w:style>
  <w:style w:type="paragraph" w:styleId="Index4">
    <w:name w:val="index 4"/>
    <w:basedOn w:val="Normal"/>
    <w:next w:val="Normal"/>
    <w:autoRedefine/>
    <w:uiPriority w:val="98"/>
    <w:semiHidden/>
    <w:rsid w:val="00F176BA"/>
    <w:pPr>
      <w:ind w:left="960" w:hanging="240"/>
    </w:pPr>
  </w:style>
  <w:style w:type="paragraph" w:styleId="Index5">
    <w:name w:val="index 5"/>
    <w:basedOn w:val="Normal"/>
    <w:next w:val="Normal"/>
    <w:autoRedefine/>
    <w:uiPriority w:val="98"/>
    <w:semiHidden/>
    <w:rsid w:val="00F176BA"/>
    <w:pPr>
      <w:ind w:left="1200" w:hanging="240"/>
    </w:pPr>
  </w:style>
  <w:style w:type="paragraph" w:styleId="Index6">
    <w:name w:val="index 6"/>
    <w:basedOn w:val="Normal"/>
    <w:next w:val="Normal"/>
    <w:autoRedefine/>
    <w:uiPriority w:val="98"/>
    <w:semiHidden/>
    <w:rsid w:val="00F176BA"/>
    <w:pPr>
      <w:ind w:left="1440" w:hanging="240"/>
    </w:pPr>
  </w:style>
  <w:style w:type="paragraph" w:styleId="Index7">
    <w:name w:val="index 7"/>
    <w:basedOn w:val="Normal"/>
    <w:next w:val="Normal"/>
    <w:autoRedefine/>
    <w:uiPriority w:val="98"/>
    <w:semiHidden/>
    <w:rsid w:val="00F176BA"/>
    <w:pPr>
      <w:ind w:left="1680" w:hanging="240"/>
    </w:pPr>
  </w:style>
  <w:style w:type="paragraph" w:styleId="Index8">
    <w:name w:val="index 8"/>
    <w:basedOn w:val="Normal"/>
    <w:next w:val="Normal"/>
    <w:autoRedefine/>
    <w:uiPriority w:val="98"/>
    <w:semiHidden/>
    <w:rsid w:val="00F176BA"/>
    <w:pPr>
      <w:ind w:left="1920" w:hanging="240"/>
    </w:pPr>
  </w:style>
  <w:style w:type="paragraph" w:styleId="Index9">
    <w:name w:val="index 9"/>
    <w:basedOn w:val="Normal"/>
    <w:next w:val="Normal"/>
    <w:autoRedefine/>
    <w:uiPriority w:val="98"/>
    <w:semiHidden/>
    <w:rsid w:val="00F176BA"/>
    <w:pPr>
      <w:ind w:left="2160" w:hanging="240"/>
    </w:pPr>
  </w:style>
  <w:style w:type="paragraph" w:styleId="IndexHeading">
    <w:name w:val="index heading"/>
    <w:basedOn w:val="Normal"/>
    <w:next w:val="Index1"/>
    <w:uiPriority w:val="98"/>
    <w:semiHidden/>
    <w:rsid w:val="00F176BA"/>
    <w:rPr>
      <w:rFonts w:asciiTheme="majorHAnsi" w:eastAsiaTheme="majorEastAsia" w:hAnsiTheme="majorHAnsi" w:cstheme="majorBidi"/>
      <w:b/>
      <w:bCs/>
    </w:rPr>
  </w:style>
  <w:style w:type="table" w:styleId="LightGrid">
    <w:name w:val="Light Grid"/>
    <w:basedOn w:val="TableNormal"/>
    <w:uiPriority w:val="62"/>
    <w:semiHidden/>
    <w:rsid w:val="00F176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176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176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176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F176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176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176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176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176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176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176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F176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176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176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176B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176B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176B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176B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F176B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176B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176B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176BA"/>
  </w:style>
  <w:style w:type="paragraph" w:styleId="List">
    <w:name w:val="List"/>
    <w:basedOn w:val="Normal"/>
    <w:uiPriority w:val="98"/>
    <w:semiHidden/>
    <w:rsid w:val="00F176BA"/>
    <w:pPr>
      <w:ind w:left="283" w:hanging="283"/>
      <w:contextualSpacing/>
    </w:pPr>
  </w:style>
  <w:style w:type="paragraph" w:styleId="List20">
    <w:name w:val="List 2"/>
    <w:basedOn w:val="Normal"/>
    <w:uiPriority w:val="98"/>
    <w:semiHidden/>
    <w:rsid w:val="00F176BA"/>
    <w:pPr>
      <w:ind w:left="566" w:hanging="283"/>
      <w:contextualSpacing/>
    </w:pPr>
  </w:style>
  <w:style w:type="paragraph" w:styleId="List30">
    <w:name w:val="List 3"/>
    <w:basedOn w:val="Normal"/>
    <w:uiPriority w:val="98"/>
    <w:semiHidden/>
    <w:rsid w:val="00F176BA"/>
    <w:pPr>
      <w:ind w:left="849" w:hanging="283"/>
      <w:contextualSpacing/>
    </w:pPr>
  </w:style>
  <w:style w:type="paragraph" w:styleId="List4">
    <w:name w:val="List 4"/>
    <w:basedOn w:val="Normal"/>
    <w:uiPriority w:val="98"/>
    <w:semiHidden/>
    <w:rsid w:val="00F176BA"/>
    <w:pPr>
      <w:ind w:left="1132" w:hanging="283"/>
      <w:contextualSpacing/>
    </w:pPr>
  </w:style>
  <w:style w:type="paragraph" w:styleId="List5">
    <w:name w:val="List 5"/>
    <w:basedOn w:val="Normal"/>
    <w:uiPriority w:val="98"/>
    <w:semiHidden/>
    <w:rsid w:val="00F176BA"/>
    <w:pPr>
      <w:ind w:left="1415" w:hanging="283"/>
      <w:contextualSpacing/>
    </w:pPr>
  </w:style>
  <w:style w:type="paragraph" w:styleId="ListBullet2">
    <w:name w:val="List Bullet 2"/>
    <w:basedOn w:val="Normal"/>
    <w:uiPriority w:val="98"/>
    <w:semiHidden/>
    <w:rsid w:val="00F176BA"/>
    <w:pPr>
      <w:numPr>
        <w:numId w:val="7"/>
      </w:numPr>
      <w:contextualSpacing/>
    </w:pPr>
  </w:style>
  <w:style w:type="paragraph" w:styleId="ListBullet4">
    <w:name w:val="List Bullet 4"/>
    <w:basedOn w:val="Normal"/>
    <w:uiPriority w:val="98"/>
    <w:semiHidden/>
    <w:rsid w:val="00F176BA"/>
    <w:pPr>
      <w:numPr>
        <w:numId w:val="9"/>
      </w:numPr>
      <w:contextualSpacing/>
    </w:pPr>
  </w:style>
  <w:style w:type="paragraph" w:styleId="ListBullet5">
    <w:name w:val="List Bullet 5"/>
    <w:basedOn w:val="Normal"/>
    <w:uiPriority w:val="98"/>
    <w:semiHidden/>
    <w:rsid w:val="00F176BA"/>
    <w:pPr>
      <w:numPr>
        <w:numId w:val="10"/>
      </w:numPr>
      <w:contextualSpacing/>
    </w:pPr>
  </w:style>
  <w:style w:type="paragraph" w:styleId="ListContinue">
    <w:name w:val="List Continue"/>
    <w:basedOn w:val="Normal"/>
    <w:uiPriority w:val="98"/>
    <w:semiHidden/>
    <w:rsid w:val="00F176BA"/>
    <w:pPr>
      <w:spacing w:after="120"/>
      <w:ind w:left="283"/>
      <w:contextualSpacing/>
    </w:pPr>
  </w:style>
  <w:style w:type="paragraph" w:styleId="ListContinue2">
    <w:name w:val="List Continue 2"/>
    <w:basedOn w:val="Normal"/>
    <w:uiPriority w:val="98"/>
    <w:semiHidden/>
    <w:rsid w:val="00F176BA"/>
    <w:pPr>
      <w:spacing w:after="120"/>
      <w:ind w:left="566"/>
      <w:contextualSpacing/>
    </w:pPr>
  </w:style>
  <w:style w:type="paragraph" w:styleId="ListContinue3">
    <w:name w:val="List Continue 3"/>
    <w:basedOn w:val="Normal"/>
    <w:uiPriority w:val="98"/>
    <w:semiHidden/>
    <w:rsid w:val="00F176BA"/>
    <w:pPr>
      <w:spacing w:after="120"/>
      <w:ind w:left="849"/>
      <w:contextualSpacing/>
    </w:pPr>
  </w:style>
  <w:style w:type="paragraph" w:styleId="ListContinue4">
    <w:name w:val="List Continue 4"/>
    <w:basedOn w:val="Normal"/>
    <w:uiPriority w:val="98"/>
    <w:semiHidden/>
    <w:rsid w:val="00F176BA"/>
    <w:pPr>
      <w:spacing w:after="120"/>
      <w:ind w:left="1132"/>
      <w:contextualSpacing/>
    </w:pPr>
  </w:style>
  <w:style w:type="paragraph" w:styleId="ListContinue5">
    <w:name w:val="List Continue 5"/>
    <w:basedOn w:val="Normal"/>
    <w:uiPriority w:val="98"/>
    <w:semiHidden/>
    <w:rsid w:val="00F176BA"/>
    <w:pPr>
      <w:spacing w:after="120"/>
      <w:ind w:left="1415"/>
      <w:contextualSpacing/>
    </w:pPr>
  </w:style>
  <w:style w:type="paragraph" w:styleId="ListNumber">
    <w:name w:val="List Number"/>
    <w:basedOn w:val="Normal"/>
    <w:uiPriority w:val="98"/>
    <w:semiHidden/>
    <w:rsid w:val="00F176BA"/>
    <w:pPr>
      <w:numPr>
        <w:numId w:val="11"/>
      </w:numPr>
      <w:contextualSpacing/>
    </w:pPr>
  </w:style>
  <w:style w:type="paragraph" w:styleId="ListNumber2">
    <w:name w:val="List Number 2"/>
    <w:basedOn w:val="Normal"/>
    <w:uiPriority w:val="98"/>
    <w:semiHidden/>
    <w:rsid w:val="00F176BA"/>
    <w:pPr>
      <w:numPr>
        <w:numId w:val="12"/>
      </w:numPr>
      <w:contextualSpacing/>
    </w:pPr>
  </w:style>
  <w:style w:type="paragraph" w:styleId="ListNumber3">
    <w:name w:val="List Number 3"/>
    <w:basedOn w:val="Normal"/>
    <w:uiPriority w:val="98"/>
    <w:semiHidden/>
    <w:rsid w:val="00F176BA"/>
    <w:pPr>
      <w:numPr>
        <w:numId w:val="13"/>
      </w:numPr>
      <w:contextualSpacing/>
    </w:pPr>
  </w:style>
  <w:style w:type="paragraph" w:styleId="ListNumber4">
    <w:name w:val="List Number 4"/>
    <w:basedOn w:val="Normal"/>
    <w:uiPriority w:val="98"/>
    <w:semiHidden/>
    <w:rsid w:val="00F176BA"/>
    <w:pPr>
      <w:numPr>
        <w:numId w:val="14"/>
      </w:numPr>
      <w:contextualSpacing/>
    </w:pPr>
  </w:style>
  <w:style w:type="paragraph" w:styleId="ListNumber5">
    <w:name w:val="List Number 5"/>
    <w:basedOn w:val="Normal"/>
    <w:uiPriority w:val="98"/>
    <w:semiHidden/>
    <w:rsid w:val="00F176BA"/>
    <w:pPr>
      <w:numPr>
        <w:numId w:val="15"/>
      </w:numPr>
      <w:contextualSpacing/>
    </w:pPr>
  </w:style>
  <w:style w:type="paragraph" w:styleId="Macro">
    <w:name w:val="macro"/>
    <w:link w:val="MacroTextChar"/>
    <w:uiPriority w:val="98"/>
    <w:semiHidden/>
    <w:rsid w:val="00F176B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F176BA"/>
    <w:rPr>
      <w:rFonts w:ascii="Consolas" w:hAnsi="Consolas" w:eastAsiaTheme="minorEastAsia" w:cs="Consolas"/>
      <w:sz w:val="20"/>
      <w:szCs w:val="20"/>
    </w:rPr>
  </w:style>
  <w:style w:type="table" w:styleId="MediumGrid1">
    <w:name w:val="Medium Grid 1"/>
    <w:basedOn w:val="TableNormal"/>
    <w:uiPriority w:val="67"/>
    <w:semiHidden/>
    <w:rsid w:val="00F176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176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176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176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F176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176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176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F176B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176B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176B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176B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F176B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176B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176B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F176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176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176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176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176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176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176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176B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176B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176BA"/>
    <w:rPr>
      <w:rFonts w:ascii="Times New Roman" w:hAnsi="Times New Roman" w:cs="Times New Roman"/>
    </w:rPr>
  </w:style>
  <w:style w:type="paragraph" w:styleId="NormalIndent">
    <w:name w:val="Normal Indent"/>
    <w:basedOn w:val="Normal"/>
    <w:uiPriority w:val="98"/>
    <w:semiHidden/>
    <w:rsid w:val="00F176BA"/>
    <w:pPr>
      <w:ind w:left="720"/>
    </w:pPr>
  </w:style>
  <w:style w:type="paragraph" w:styleId="NoteHeading">
    <w:name w:val="Note Heading"/>
    <w:basedOn w:val="Normal"/>
    <w:next w:val="Normal"/>
    <w:link w:val="NoteHeadingChar"/>
    <w:uiPriority w:val="98"/>
    <w:semiHidden/>
    <w:rsid w:val="00F176BA"/>
  </w:style>
  <w:style w:type="character" w:customStyle="1" w:styleId="NoteHeadingChar">
    <w:name w:val="Note Heading Char"/>
    <w:basedOn w:val="DefaultParagraphFont"/>
    <w:link w:val="NoteHeading"/>
    <w:uiPriority w:val="98"/>
    <w:semiHidden/>
    <w:rsid w:val="00F176BA"/>
    <w:rPr>
      <w:sz w:val="24"/>
      <w:szCs w:val="24"/>
      <w:lang w:val="en-GB"/>
    </w:rPr>
  </w:style>
  <w:style w:type="character" w:styleId="PlaceholderText">
    <w:name w:val="Placeholder Text"/>
    <w:basedOn w:val="DefaultParagraphFont"/>
    <w:uiPriority w:val="98"/>
    <w:semiHidden/>
    <w:rsid w:val="00F176B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176BA"/>
    <w:rPr>
      <w:rFonts w:ascii="Consolas" w:hAnsi="Consolas" w:cs="Consolas"/>
      <w:sz w:val="21"/>
      <w:szCs w:val="21"/>
    </w:rPr>
  </w:style>
  <w:style w:type="character" w:customStyle="1" w:styleId="PlainTextChar">
    <w:name w:val="Plain Text Char"/>
    <w:basedOn w:val="DefaultParagraphFont"/>
    <w:link w:val="PlainText"/>
    <w:uiPriority w:val="98"/>
    <w:semiHidden/>
    <w:rsid w:val="00F176BA"/>
    <w:rPr>
      <w:rFonts w:ascii="Consolas" w:hAnsi="Consolas" w:cs="Consolas"/>
      <w:sz w:val="21"/>
      <w:szCs w:val="21"/>
      <w:lang w:val="en-GB"/>
    </w:rPr>
  </w:style>
  <w:style w:type="paragraph" w:styleId="Salutation">
    <w:name w:val="Salutation"/>
    <w:basedOn w:val="Normal"/>
    <w:next w:val="Normal"/>
    <w:link w:val="SalutationChar"/>
    <w:uiPriority w:val="98"/>
    <w:semiHidden/>
    <w:rsid w:val="00F176BA"/>
  </w:style>
  <w:style w:type="character" w:customStyle="1" w:styleId="SalutationChar">
    <w:name w:val="Salutation Char"/>
    <w:basedOn w:val="DefaultParagraphFont"/>
    <w:link w:val="Salutation"/>
    <w:uiPriority w:val="98"/>
    <w:semiHidden/>
    <w:rsid w:val="00F176BA"/>
    <w:rPr>
      <w:sz w:val="24"/>
      <w:szCs w:val="24"/>
      <w:lang w:val="en-GB"/>
    </w:rPr>
  </w:style>
  <w:style w:type="paragraph" w:styleId="Signature0">
    <w:name w:val="Signature"/>
    <w:basedOn w:val="Normal"/>
    <w:link w:val="SignatureChar"/>
    <w:uiPriority w:val="98"/>
    <w:semiHidden/>
    <w:rsid w:val="00F176BA"/>
    <w:pPr>
      <w:ind w:left="4252"/>
    </w:pPr>
  </w:style>
  <w:style w:type="character" w:customStyle="1" w:styleId="SignatureChar">
    <w:name w:val="Signature Char"/>
    <w:basedOn w:val="DefaultParagraphFont"/>
    <w:link w:val="Signature0"/>
    <w:uiPriority w:val="98"/>
    <w:semiHidden/>
    <w:rsid w:val="00F176BA"/>
    <w:rPr>
      <w:sz w:val="24"/>
      <w:szCs w:val="24"/>
      <w:lang w:val="en-GB"/>
    </w:rPr>
  </w:style>
  <w:style w:type="table" w:styleId="Table3Deffects1">
    <w:name w:val="Table 3D effects 1"/>
    <w:basedOn w:val="TableNormal"/>
    <w:uiPriority w:val="99"/>
    <w:semiHidden/>
    <w:unhideWhenUsed/>
    <w:rsid w:val="00F176B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176B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176B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176B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176B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176B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176B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176B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176B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176B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176B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176B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176B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176B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176B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176B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176B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176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176B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176B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176B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176B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176B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176B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176B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176B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176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176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176B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176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176BA"/>
    <w:pPr>
      <w:ind w:left="240" w:hanging="240"/>
    </w:pPr>
  </w:style>
  <w:style w:type="paragraph" w:styleId="TableofFigures">
    <w:name w:val="table of figures"/>
    <w:basedOn w:val="Normal"/>
    <w:next w:val="Normal"/>
    <w:uiPriority w:val="98"/>
    <w:semiHidden/>
    <w:rsid w:val="00F176BA"/>
  </w:style>
  <w:style w:type="table" w:styleId="TableProfessional">
    <w:name w:val="Table Professional"/>
    <w:basedOn w:val="TableNormal"/>
    <w:uiPriority w:val="99"/>
    <w:semiHidden/>
    <w:unhideWhenUsed/>
    <w:rsid w:val="00F176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176B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176B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176B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176B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176B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176B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176B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176B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176B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176B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176BA"/>
    <w:pPr>
      <w:spacing w:after="100"/>
      <w:ind w:left="1680"/>
    </w:pPr>
  </w:style>
  <w:style w:type="paragraph" w:styleId="TOC9">
    <w:name w:val="toc 9"/>
    <w:basedOn w:val="Normal"/>
    <w:next w:val="Normal"/>
    <w:autoRedefine/>
    <w:uiPriority w:val="98"/>
    <w:semiHidden/>
    <w:rsid w:val="00F176B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F176B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176B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176B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176B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176BA"/>
    <w:pPr>
      <w:numPr>
        <w:numId w:val="19"/>
      </w:numPr>
      <w:spacing w:before="60" w:after="60"/>
    </w:pPr>
  </w:style>
  <w:style w:type="paragraph" w:customStyle="1" w:styleId="ECHRBullet2">
    <w:name w:val="ECHR_Bullet_2"/>
    <w:aliases w:val="_Bul_2"/>
    <w:basedOn w:val="ECHRBullet1"/>
    <w:uiPriority w:val="23"/>
    <w:semiHidden/>
    <w:rsid w:val="00F176BA"/>
    <w:pPr>
      <w:numPr>
        <w:ilvl w:val="1"/>
      </w:numPr>
    </w:pPr>
  </w:style>
  <w:style w:type="paragraph" w:customStyle="1" w:styleId="ECHRBullet3">
    <w:name w:val="ECHR_Bullet_3"/>
    <w:aliases w:val="_Bul_3"/>
    <w:basedOn w:val="ECHRBullet2"/>
    <w:uiPriority w:val="23"/>
    <w:semiHidden/>
    <w:rsid w:val="00F176BA"/>
    <w:pPr>
      <w:numPr>
        <w:ilvl w:val="2"/>
      </w:numPr>
    </w:pPr>
  </w:style>
  <w:style w:type="paragraph" w:customStyle="1" w:styleId="ECHRBullet4">
    <w:name w:val="ECHR_Bullet_4"/>
    <w:aliases w:val="_Bul_4"/>
    <w:basedOn w:val="ECHRBullet3"/>
    <w:uiPriority w:val="23"/>
    <w:semiHidden/>
    <w:rsid w:val="00F176BA"/>
    <w:pPr>
      <w:numPr>
        <w:ilvl w:val="3"/>
      </w:numPr>
    </w:pPr>
  </w:style>
  <w:style w:type="paragraph" w:customStyle="1" w:styleId="ECHRConfidential">
    <w:name w:val="ECHR_Confidential"/>
    <w:aliases w:val="_Confidential"/>
    <w:basedOn w:val="Normal"/>
    <w:next w:val="Normal"/>
    <w:uiPriority w:val="42"/>
    <w:semiHidden/>
    <w:qFormat/>
    <w:rsid w:val="00F176BA"/>
    <w:pPr>
      <w:jc w:val="right"/>
    </w:pPr>
    <w:rPr>
      <w:color w:val="C00000"/>
      <w:sz w:val="20"/>
    </w:rPr>
  </w:style>
  <w:style w:type="paragraph" w:customStyle="1" w:styleId="ECHRDecisionBody">
    <w:name w:val="ECHR_Decision_Body"/>
    <w:aliases w:val="_Decision_Body"/>
    <w:basedOn w:val="NormalJustified"/>
    <w:uiPriority w:val="54"/>
    <w:semiHidden/>
    <w:rsid w:val="00F176B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176B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176B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176B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F176BA"/>
    <w:pPr>
      <w:jc w:val="right"/>
    </w:pPr>
    <w:rPr>
      <w:sz w:val="20"/>
    </w:rPr>
  </w:style>
  <w:style w:type="paragraph" w:customStyle="1" w:styleId="ECHRHeaderRefIt">
    <w:name w:val="ECHR_Header_Ref_It"/>
    <w:aliases w:val="_Ref_Ital"/>
    <w:basedOn w:val="Normal"/>
    <w:next w:val="ECHRHeaderDate"/>
    <w:uiPriority w:val="43"/>
    <w:semiHidden/>
    <w:qFormat/>
    <w:rsid w:val="00F176BA"/>
    <w:pPr>
      <w:jc w:val="right"/>
    </w:pPr>
    <w:rPr>
      <w:i/>
      <w:sz w:val="20"/>
    </w:rPr>
  </w:style>
  <w:style w:type="paragraph" w:customStyle="1" w:styleId="ECHRHeading9">
    <w:name w:val="ECHR_Heading_9"/>
    <w:aliases w:val="_Head_9"/>
    <w:basedOn w:val="Heading9"/>
    <w:uiPriority w:val="17"/>
    <w:semiHidden/>
    <w:rsid w:val="00F176BA"/>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176B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176BA"/>
    <w:pPr>
      <w:numPr>
        <w:numId w:val="20"/>
      </w:numPr>
      <w:spacing w:before="60" w:after="60"/>
    </w:pPr>
  </w:style>
  <w:style w:type="paragraph" w:customStyle="1" w:styleId="ECHRNumberedList2">
    <w:name w:val="ECHR_Numbered_List_2"/>
    <w:aliases w:val="_Num_2"/>
    <w:basedOn w:val="ECHRNumberedList1"/>
    <w:uiPriority w:val="23"/>
    <w:semiHidden/>
    <w:rsid w:val="00F176BA"/>
    <w:pPr>
      <w:numPr>
        <w:ilvl w:val="1"/>
      </w:numPr>
    </w:pPr>
  </w:style>
  <w:style w:type="paragraph" w:customStyle="1" w:styleId="ECHRNumberedList3">
    <w:name w:val="ECHR_Numbered_List_3"/>
    <w:aliases w:val="_Num_3"/>
    <w:basedOn w:val="ECHRNumberedList2"/>
    <w:uiPriority w:val="23"/>
    <w:semiHidden/>
    <w:rsid w:val="00F176BA"/>
    <w:pPr>
      <w:numPr>
        <w:ilvl w:val="2"/>
      </w:numPr>
    </w:pPr>
  </w:style>
  <w:style w:type="paragraph" w:customStyle="1" w:styleId="ECHRParaHanging">
    <w:name w:val="ECHR_Para_Hanging"/>
    <w:aliases w:val="_Hanging"/>
    <w:basedOn w:val="NormalJustified"/>
    <w:uiPriority w:val="8"/>
    <w:semiHidden/>
    <w:qFormat/>
    <w:rsid w:val="00F176BA"/>
    <w:pPr>
      <w:ind w:left="567" w:hanging="567"/>
    </w:pPr>
  </w:style>
  <w:style w:type="paragraph" w:customStyle="1" w:styleId="ECHRParaIndent">
    <w:name w:val="ECHR_Para_Indent"/>
    <w:aliases w:val="_Indent"/>
    <w:basedOn w:val="NormalJustified"/>
    <w:uiPriority w:val="7"/>
    <w:semiHidden/>
    <w:qFormat/>
    <w:rsid w:val="00F176BA"/>
    <w:pPr>
      <w:spacing w:before="120" w:after="120"/>
      <w:ind w:left="284"/>
    </w:pPr>
  </w:style>
  <w:style w:type="character" w:customStyle="1" w:styleId="ECHRRed">
    <w:name w:val="ECHR_Red"/>
    <w:aliases w:val="_Red"/>
    <w:basedOn w:val="DefaultParagraphFont"/>
    <w:uiPriority w:val="15"/>
    <w:semiHidden/>
    <w:qFormat/>
    <w:rsid w:val="00F176BA"/>
    <w:rPr>
      <w:color w:val="C00000" w:themeColor="accent2"/>
    </w:rPr>
  </w:style>
  <w:style w:type="paragraph" w:customStyle="1" w:styleId="DecList">
    <w:name w:val="Dec_List"/>
    <w:aliases w:val="_List"/>
    <w:basedOn w:val="JuList"/>
    <w:uiPriority w:val="22"/>
    <w:rsid w:val="00F176BA"/>
    <w:pPr>
      <w:numPr>
        <w:numId w:val="0"/>
      </w:numPr>
      <w:ind w:left="284"/>
    </w:pPr>
  </w:style>
  <w:style w:type="table" w:customStyle="1" w:styleId="ECHRTable2">
    <w:name w:val="ECHR_Table_2"/>
    <w:basedOn w:val="TableNormal"/>
    <w:uiPriority w:val="99"/>
    <w:rsid w:val="00F176B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176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F176B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F176B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F176B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F176B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F176B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F176B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F176BA"/>
    <w:pPr>
      <w:outlineLvl w:val="0"/>
    </w:pPr>
  </w:style>
  <w:style w:type="paragraph" w:customStyle="1" w:styleId="ECHRTitleTOC1">
    <w:name w:val="ECHR_Title_TOC_1"/>
    <w:aliases w:val="_Title_L_TOC"/>
    <w:basedOn w:val="ECHRTitle1"/>
    <w:next w:val="Normal"/>
    <w:uiPriority w:val="27"/>
    <w:semiHidden/>
    <w:qFormat/>
    <w:rsid w:val="00F176BA"/>
    <w:pPr>
      <w:outlineLvl w:val="0"/>
    </w:pPr>
  </w:style>
  <w:style w:type="paragraph" w:customStyle="1" w:styleId="ECHRPlaceholder">
    <w:name w:val="ECHR_Placeholder"/>
    <w:aliases w:val="_Placeholder"/>
    <w:basedOn w:val="JuSigned"/>
    <w:uiPriority w:val="31"/>
    <w:rsid w:val="00F176BA"/>
    <w:rPr>
      <w:color w:val="FFFFFF"/>
    </w:rPr>
  </w:style>
  <w:style w:type="paragraph" w:customStyle="1" w:styleId="ECHRSpacer">
    <w:name w:val="ECHR_Spacer"/>
    <w:aliases w:val="_Spacer"/>
    <w:basedOn w:val="Normal"/>
    <w:uiPriority w:val="45"/>
    <w:semiHidden/>
    <w:rsid w:val="00F176BA"/>
    <w:rPr>
      <w:sz w:val="4"/>
    </w:rPr>
  </w:style>
  <w:style w:type="table" w:customStyle="1" w:styleId="ECHRTableGrey">
    <w:name w:val="ECHR_Table_Grey"/>
    <w:basedOn w:val="TableNormal"/>
    <w:uiPriority w:val="99"/>
    <w:rsid w:val="00F176B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176BA"/>
    <w:rPr>
      <w:color w:val="605E5C"/>
      <w:shd w:val="clear" w:color="auto" w:fill="E1DFDD"/>
    </w:rPr>
  </w:style>
  <w:style w:type="table" w:styleId="GridTable1Light">
    <w:name w:val="Grid Table 1 Light"/>
    <w:basedOn w:val="TableNormal"/>
    <w:uiPriority w:val="46"/>
    <w:semiHidden/>
    <w:rsid w:val="002A399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2A399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A399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A399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A399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A399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A399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A399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A399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A399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A399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2A399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A399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A399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A399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A399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A399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A399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2A399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A399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A399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A399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A399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A399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A399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2A399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A399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A399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A399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A399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A399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A399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2A399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A399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A399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A399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A399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A399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A399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2A399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A399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A399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2A399A"/>
    <w:rPr>
      <w:color w:val="2B579A"/>
      <w:shd w:val="clear" w:color="auto" w:fill="E1DFDD"/>
    </w:rPr>
  </w:style>
  <w:style w:type="table" w:styleId="ListTable1Light">
    <w:name w:val="List Table 1 Light"/>
    <w:basedOn w:val="TableNormal"/>
    <w:uiPriority w:val="46"/>
    <w:semiHidden/>
    <w:rsid w:val="002A399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A399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A399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A399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2A399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A399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A399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A399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A399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A399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A399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2A399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A399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A399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A399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A399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A399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A399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2A399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A399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A399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A399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A399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A399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A399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2A399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A399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A399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A399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A399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A399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A399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A399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A399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A399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A399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A399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A399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A399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2A399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A399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A399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A399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A399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A399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A399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A399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A399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A399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2A399A"/>
    <w:rPr>
      <w:color w:val="2B579A"/>
      <w:shd w:val="clear" w:color="auto" w:fill="E1DFDD"/>
    </w:rPr>
  </w:style>
  <w:style w:type="table" w:styleId="PlainTable1">
    <w:name w:val="Plain Table 1"/>
    <w:basedOn w:val="TableNormal"/>
    <w:uiPriority w:val="41"/>
    <w:semiHidden/>
    <w:rsid w:val="002A399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2A399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A399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A399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2A399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2A399A"/>
    <w:rPr>
      <w:u w:val="dotted"/>
    </w:rPr>
  </w:style>
  <w:style w:type="character" w:styleId="SmartLink">
    <w:name w:val="Smart Link"/>
    <w:basedOn w:val="DefaultParagraphFont"/>
    <w:uiPriority w:val="99"/>
    <w:semiHidden/>
    <w:unhideWhenUsed/>
    <w:rsid w:val="002A399A"/>
    <w:rPr>
      <w:color w:val="0000FF"/>
      <w:u w:val="single"/>
      <w:shd w:val="clear" w:color="auto" w:fill="F3F2F1"/>
    </w:rPr>
  </w:style>
  <w:style w:type="table" w:styleId="GridTableLight">
    <w:name w:val="Grid Table Light"/>
    <w:basedOn w:val="TableNormal"/>
    <w:uiPriority w:val="40"/>
    <w:semiHidden/>
    <w:rsid w:val="002A399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2559</Words>
  <Characters>12978</Characters>
  <Application>Microsoft Office Word</Application>
  <DocSecurity>0</DocSecurity>
  <Lines>259</Lines>
  <Paragraphs>75</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5</cp:revision>
  <dcterms:created xsi:type="dcterms:W3CDTF">2026-07-03T12:56:00Z</dcterms:created>
  <dcterms:modified xsi:type="dcterms:W3CDTF">2026-09-01T09:55:00Z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1616778</vt:lpwstr>
  </property>
  <property fmtid="{D5CDD505-2E9C-101B-9397-08002B2CF9AE}" pid="3" name="cstLanguage">
    <vt:i4>2057</vt:i4>
  </property>
  <property fmtid="{D5CDD505-2E9C-101B-9397-08002B2CF9AE}" pid="4" name="RegisteredNo">
    <vt:lpwstr>17271/21</vt:lpwstr>
  </property>
</Properties>
</file>