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 Generated by Aspose.Words for .NET 25.3.0 -->
  <w:body>
    <w:p w:rsidRPr="00F00EB4" w:rsidR="00B32591" w:rsidP="00F00EB4" w14:paraId="5F4FBA8B" w14:textId="07B5872D">
      <w:pPr>
        <w:jc w:val="center"/>
      </w:pPr>
    </w:p>
    <w:p w:rsidRPr="00F00EB4" w:rsidR="00B32591" w:rsidP="00F00EB4" w14:paraId="10B45B50" w14:textId="7972885A">
      <w:pPr>
        <w:jc w:val="center"/>
        <w:rPr>
          <w:sz w:val="4"/>
          <w:szCs w:val="4"/>
        </w:rPr>
      </w:pPr>
    </w:p>
    <w:p w:rsidRPr="00F00EB4" w:rsidR="00B32591" w:rsidP="00F00EB4" w14:paraId="721FC65B" w14:textId="44CFEE9D">
      <w:pPr>
        <w:pStyle w:val="DecHTitle"/>
      </w:pPr>
      <w:r w:rsidRPr="00F00EB4">
        <w:t>FIRST SECTION</w:t>
      </w:r>
    </w:p>
    <w:p w:rsidRPr="00F00EB4" w:rsidR="00B32591" w:rsidP="00F00EB4" w14:paraId="48097709" w14:textId="77777777">
      <w:pPr>
        <w:pStyle w:val="DecHTitle"/>
      </w:pPr>
      <w:r w:rsidRPr="00F00EB4">
        <w:t>DECISION</w:t>
      </w:r>
    </w:p>
    <w:p w:rsidRPr="00F00EB4" w:rsidR="00B32591" w:rsidP="00F00EB4" w14:paraId="2E28765A" w14:textId="26985721">
      <w:pPr>
        <w:pStyle w:val="DecHCase"/>
        <w:rPr>
          <w:noProof/>
        </w:rPr>
      </w:pPr>
      <w:r w:rsidRPr="00F00EB4">
        <w:rPr>
          <w:noProof/>
        </w:rPr>
        <w:t>Application no.</w:t>
      </w:r>
      <w:r w:rsidRPr="00F00EB4" w:rsidR="006267D3">
        <w:t xml:space="preserve"> </w:t>
      </w:r>
      <w:r w:rsidRPr="00F00EB4">
        <w:t>22360/25</w:t>
      </w:r>
      <w:r w:rsidRPr="00F00EB4" w:rsidR="006267D3">
        <w:br/>
      </w:r>
      <w:r w:rsidRPr="00F00EB4">
        <w:rPr>
          <w:noProof/>
        </w:rPr>
        <w:t xml:space="preserve">Agnieszka Wioletta BRYGIDYR-DOROSZ </w:t>
      </w:r>
      <w:r w:rsidRPr="00F00EB4" w:rsidR="006267D3">
        <w:t xml:space="preserve">against </w:t>
      </w:r>
      <w:r w:rsidRPr="00F00EB4">
        <w:t>Poland</w:t>
      </w:r>
      <w:r w:rsidRPr="00F00EB4">
        <w:rPr>
          <w:noProof/>
          <w:sz w:val="20"/>
          <w:lang w:eastAsia="en-GB"/>
        </w:rPr>
        <w:br/>
      </w:r>
      <w:r w:rsidRPr="00F00EB4">
        <w:rPr>
          <w:noProof/>
        </w:rPr>
        <w:t xml:space="preserve">and </w:t>
      </w:r>
      <w:r w:rsidRPr="00F00EB4" w:rsidR="00111093">
        <w:rPr>
          <w:noProof/>
        </w:rPr>
        <w:t>3</w:t>
      </w:r>
      <w:r w:rsidRPr="00F00EB4">
        <w:rPr>
          <w:noProof/>
        </w:rPr>
        <w:t xml:space="preserve"> other applications</w:t>
      </w:r>
      <w:r w:rsidRPr="00F00EB4" w:rsidR="00AE740C">
        <w:rPr>
          <w:noProof/>
        </w:rPr>
        <w:br/>
        <w:t>(see list appended)</w:t>
      </w:r>
    </w:p>
    <w:p w:rsidRPr="00F00EB4" w:rsidR="00B32591" w:rsidP="00F00EB4" w14:paraId="61512B9E" w14:textId="7FCB9DF7">
      <w:pPr>
        <w:rPr>
          <w:sz w:val="2"/>
          <w:szCs w:val="2"/>
        </w:rPr>
      </w:pPr>
    </w:p>
    <w:p w:rsidRPr="00F00EB4" w:rsidR="0041545E" w:rsidP="00F00EB4" w14:paraId="02032CD6" w14:textId="2089ACEC">
      <w:pPr>
        <w:pStyle w:val="JuPara"/>
      </w:pPr>
      <w:r w:rsidRPr="00F00EB4">
        <w:t xml:space="preserve">The European Court of Human Rights (First Section), sitting on </w:t>
      </w:r>
      <w:r w:rsidRPr="00F00EB4" w:rsidR="00111093">
        <w:t>9 July 2026</w:t>
      </w:r>
      <w:r w:rsidRPr="00F00EB4">
        <w:t xml:space="preserve"> as a Committee composed of:</w:t>
      </w:r>
    </w:p>
    <w:p w:rsidRPr="00F00EB4" w:rsidR="0041545E" w:rsidP="00F00EB4" w14:paraId="4EDBB873" w14:textId="57D4F732">
      <w:pPr>
        <w:pStyle w:val="JuJudges"/>
        <w:rPr>
          <w:iCs/>
        </w:rPr>
      </w:pPr>
      <w:r w:rsidRPr="00F00EB4">
        <w:tab/>
        <w:t>Raffaele Sabato</w:t>
      </w:r>
      <w:r w:rsidRPr="00F00EB4">
        <w:rPr>
          <w:i/>
        </w:rPr>
        <w:t>, President</w:t>
      </w:r>
      <w:r w:rsidRPr="00F00EB4">
        <w:t>,</w:t>
      </w:r>
      <w:r w:rsidRPr="00F00EB4">
        <w:br/>
      </w:r>
      <w:r w:rsidRPr="00F00EB4">
        <w:tab/>
        <w:t>Frédéric Krenc,</w:t>
      </w:r>
      <w:r w:rsidRPr="00F00EB4">
        <w:br/>
      </w:r>
      <w:r w:rsidRPr="00F00EB4">
        <w:tab/>
        <w:t>Anna Adamska-Gallant</w:t>
      </w:r>
      <w:r w:rsidRPr="00F00EB4">
        <w:rPr>
          <w:i/>
        </w:rPr>
        <w:t>, judges</w:t>
      </w:r>
      <w:r w:rsidRPr="00F00EB4">
        <w:t>,</w:t>
      </w:r>
      <w:r w:rsidRPr="00F00EB4">
        <w:br/>
        <w:t xml:space="preserve">and Liv Tigerstedt, </w:t>
      </w:r>
      <w:r w:rsidRPr="00F00EB4">
        <w:rPr>
          <w:i/>
        </w:rPr>
        <w:t>Deputy</w:t>
      </w:r>
      <w:r w:rsidRPr="00F00EB4">
        <w:t xml:space="preserve"> </w:t>
      </w:r>
      <w:r w:rsidRPr="00F00EB4">
        <w:rPr>
          <w:i/>
          <w:iCs/>
        </w:rPr>
        <w:t>Section Registrar</w:t>
      </w:r>
      <w:r w:rsidRPr="00F00EB4">
        <w:rPr>
          <w:i/>
        </w:rPr>
        <w:t>,</w:t>
      </w:r>
    </w:p>
    <w:p w:rsidRPr="00F00EB4" w:rsidR="0041545E" w:rsidP="00F00EB4" w14:paraId="5E400226" w14:textId="77777777">
      <w:pPr>
        <w:pStyle w:val="JuPara"/>
      </w:pPr>
      <w:r w:rsidRPr="00F00EB4">
        <w:t>Having regard to:</w:t>
      </w:r>
    </w:p>
    <w:p w:rsidRPr="00F00EB4" w:rsidR="0041545E" w:rsidP="00F00EB4" w14:paraId="589F4BA3" w14:textId="32678D28">
      <w:pPr>
        <w:pStyle w:val="JuPara"/>
      </w:pPr>
      <w:r w:rsidRPr="00F00EB4">
        <w:t>the applications (nos. 22360/2</w:t>
      </w:r>
      <w:r w:rsidRPr="00F00EB4" w:rsidR="003B748C">
        <w:t>5 and 3 others</w:t>
      </w:r>
      <w:r w:rsidRPr="00F00EB4">
        <w:t>) against the Republic of Poland lodged with the Court under Article 34 of the Convention for the Protection of Human Rights and Fundamental Freedoms (“the Convention”) on</w:t>
      </w:r>
      <w:r w:rsidRPr="00F00EB4" w:rsidR="003B748C">
        <w:t xml:space="preserve"> the dates indicated in the appended table</w:t>
      </w:r>
      <w:r w:rsidRPr="00F00EB4">
        <w:t>, by a Polish national, Ms Agnieszka Wioletta Brygidyr</w:t>
      </w:r>
      <w:r w:rsidRPr="00F00EB4">
        <w:noBreakHyphen/>
        <w:t>Dorosz (“the</w:t>
      </w:r>
      <w:r w:rsidRPr="00F00EB4" w:rsidR="00111093">
        <w:t> </w:t>
      </w:r>
      <w:r w:rsidRPr="00F00EB4">
        <w:t>applicant”), who was born in</w:t>
      </w:r>
      <w:r w:rsidRPr="00F00EB4" w:rsidR="00F00EB4">
        <w:t> </w:t>
      </w:r>
      <w:r w:rsidRPr="00F00EB4">
        <w:t>1978, lives in Warsaw and was represented by Mr Paweł Buczek, a lawyer practising in Warsaw;</w:t>
      </w:r>
    </w:p>
    <w:p w:rsidRPr="00F00EB4" w:rsidR="0041545E" w:rsidP="00F00EB4" w14:paraId="72259244" w14:textId="77777777">
      <w:pPr>
        <w:pStyle w:val="JuPara"/>
      </w:pPr>
      <w:r w:rsidRPr="00F00EB4">
        <w:t>Having deliberated, decides as follows:</w:t>
      </w:r>
    </w:p>
    <w:p w:rsidRPr="00F00EB4" w:rsidR="0041545E" w:rsidP="00F00EB4" w14:paraId="266923AE" w14:textId="420DF4D4">
      <w:pPr>
        <w:pStyle w:val="JuHHead"/>
      </w:pPr>
      <w:r w:rsidRPr="00F00EB4">
        <w:t>SUBJECT MATTER OF THE CASE</w:t>
      </w:r>
    </w:p>
    <w:p w:rsidRPr="00F00EB4" w:rsidR="0041545E" w:rsidP="00F00EB4" w14:paraId="3C3BD5C8" w14:textId="03E764F7">
      <w:pPr>
        <w:pStyle w:val="JuPara"/>
      </w:pPr>
      <w:r>
        <w:fldChar w:fldCharType="begin"/>
      </w:r>
      <w:r>
        <w:instrText xml:space="preserve"> SEQ level0 \*arabic \* MERGEFORMAT </w:instrText>
      </w:r>
      <w:r>
        <w:fldChar w:fldCharType="separate"/>
      </w:r>
      <w:r w:rsidRPr="00F00EB4" w:rsidR="00F00EB4">
        <w:rPr>
          <w:noProof/>
        </w:rPr>
        <w:t>1</w:t>
      </w:r>
      <w:r w:rsidRPr="00F00EB4" w:rsidR="00F00EB4">
        <w:rPr>
          <w:noProof/>
        </w:rPr>
        <w:fldChar w:fldCharType="end"/>
      </w:r>
      <w:r w:rsidRPr="00F00EB4">
        <w:t>.  The case concerns a complaint by the applicant, an ordinary court judge, that she had no procedural avenue by which to challenge the rulings of higher courts which had quashed judgments she had taken part in delivering as a member of the judicial panel. The higher courts had annulled those judgments on the grounds that the applicant had been appointed by way of a procedure involving the recomposed National Council of the Judiciary (“NCJ”) and that the judicial formations which had included her had not met the standards of independence and impartiality.</w:t>
      </w:r>
    </w:p>
    <w:p w:rsidRPr="00F00EB4" w:rsidR="0041545E" w:rsidP="00F00EB4" w14:paraId="20C7BACC" w14:textId="7533CE10">
      <w:pPr>
        <w:pStyle w:val="JuHA"/>
      </w:pPr>
      <w:r w:rsidRPr="00F00EB4">
        <w:t>The applicant</w:t>
      </w:r>
      <w:r w:rsidRPr="00F00EB4" w:rsidR="00F00EB4">
        <w:t>’</w:t>
      </w:r>
      <w:r w:rsidRPr="00F00EB4">
        <w:t>s background and judicial career</w:t>
      </w:r>
    </w:p>
    <w:p w:rsidRPr="00F00EB4" w:rsidR="0041545E" w:rsidP="00F00EB4" w14:paraId="2955ED2B" w14:textId="521B70B9">
      <w:pPr>
        <w:pStyle w:val="JuPara"/>
      </w:pPr>
      <w:r>
        <w:fldChar w:fldCharType="begin"/>
      </w:r>
      <w:r>
        <w:instrText xml:space="preserve"> SEQ level0 \*arabic \* MERGEFORMAT </w:instrText>
      </w:r>
      <w:r>
        <w:fldChar w:fldCharType="separate"/>
      </w:r>
      <w:r w:rsidRPr="00F00EB4" w:rsidR="00F00EB4">
        <w:rPr>
          <w:noProof/>
        </w:rPr>
        <w:t>2</w:t>
      </w:r>
      <w:r w:rsidRPr="00F00EB4" w:rsidR="00F00EB4">
        <w:rPr>
          <w:noProof/>
        </w:rPr>
        <w:fldChar w:fldCharType="end"/>
      </w:r>
      <w:r w:rsidRPr="00F00EB4">
        <w:t>.  The applicant was a public prosecutor between 2008 and 2020. In 2019 she applied for a vacant judicial position at the Warsaw-Praga Regional Court. The relevant appointment procedure was conducted by the NCJ, which had been recomposed under the Amending Act of 12 July 2017 on the National Council of the Judiciary and certain other statutes (</w:t>
      </w:r>
      <w:r w:rsidRPr="00F00EB4">
        <w:rPr>
          <w:i/>
          <w:iCs/>
        </w:rPr>
        <w:t>Ustawa</w:t>
      </w:r>
      <w:r w:rsidRPr="00F00EB4">
        <w:rPr>
          <w:i/>
          <w:iCs/>
        </w:rPr>
        <w:t xml:space="preserve"> o </w:t>
      </w:r>
      <w:r w:rsidRPr="00F00EB4">
        <w:rPr>
          <w:i/>
          <w:iCs/>
        </w:rPr>
        <w:t>zmianie</w:t>
      </w:r>
      <w:r w:rsidRPr="00F00EB4">
        <w:rPr>
          <w:i/>
          <w:iCs/>
        </w:rPr>
        <w:t xml:space="preserve"> </w:t>
      </w:r>
      <w:r w:rsidRPr="00F00EB4">
        <w:rPr>
          <w:i/>
          <w:iCs/>
        </w:rPr>
        <w:t>ustawy</w:t>
      </w:r>
      <w:r w:rsidRPr="00F00EB4">
        <w:rPr>
          <w:i/>
          <w:iCs/>
        </w:rPr>
        <w:t xml:space="preserve"> o </w:t>
      </w:r>
      <w:r w:rsidRPr="00F00EB4">
        <w:rPr>
          <w:i/>
          <w:iCs/>
        </w:rPr>
        <w:t>Krajowej</w:t>
      </w:r>
      <w:r w:rsidRPr="00F00EB4">
        <w:rPr>
          <w:i/>
          <w:iCs/>
        </w:rPr>
        <w:t xml:space="preserve"> </w:t>
      </w:r>
      <w:r w:rsidRPr="00F00EB4">
        <w:rPr>
          <w:i/>
          <w:iCs/>
        </w:rPr>
        <w:t>Radzie</w:t>
      </w:r>
      <w:r w:rsidRPr="00F00EB4">
        <w:rPr>
          <w:i/>
          <w:iCs/>
        </w:rPr>
        <w:t xml:space="preserve"> </w:t>
      </w:r>
      <w:r w:rsidRPr="00F00EB4">
        <w:rPr>
          <w:i/>
          <w:iCs/>
        </w:rPr>
        <w:t>Sądownictwa</w:t>
      </w:r>
      <w:r w:rsidRPr="00F00EB4">
        <w:rPr>
          <w:i/>
          <w:iCs/>
        </w:rPr>
        <w:t xml:space="preserve"> </w:t>
      </w:r>
      <w:r w:rsidRPr="00F00EB4">
        <w:rPr>
          <w:i/>
          <w:iCs/>
        </w:rPr>
        <w:t>oraz</w:t>
      </w:r>
      <w:r w:rsidRPr="00F00EB4">
        <w:rPr>
          <w:i/>
          <w:iCs/>
        </w:rPr>
        <w:t xml:space="preserve"> </w:t>
      </w:r>
      <w:r w:rsidRPr="00F00EB4">
        <w:rPr>
          <w:i/>
          <w:iCs/>
        </w:rPr>
        <w:t>niektórych</w:t>
      </w:r>
      <w:r w:rsidRPr="00F00EB4">
        <w:rPr>
          <w:i/>
          <w:iCs/>
        </w:rPr>
        <w:t xml:space="preserve"> </w:t>
      </w:r>
      <w:r w:rsidRPr="00F00EB4">
        <w:rPr>
          <w:i/>
          <w:iCs/>
        </w:rPr>
        <w:t>innych</w:t>
      </w:r>
      <w:r w:rsidRPr="00F00EB4">
        <w:rPr>
          <w:i/>
          <w:iCs/>
        </w:rPr>
        <w:t xml:space="preserve"> </w:t>
      </w:r>
      <w:r w:rsidRPr="00F00EB4">
        <w:rPr>
          <w:i/>
          <w:iCs/>
        </w:rPr>
        <w:t>ustaw</w:t>
      </w:r>
      <w:r w:rsidRPr="00F00EB4">
        <w:t xml:space="preserve">; for context, see </w:t>
      </w:r>
      <w:r w:rsidRPr="00F00EB4">
        <w:rPr>
          <w:i/>
          <w:iCs/>
        </w:rPr>
        <w:t>Wałęsa v. Poland</w:t>
      </w:r>
      <w:r w:rsidRPr="00F00EB4">
        <w:t>, no. 50849/21, §§ 2-4, 23 November 2023).</w:t>
      </w:r>
    </w:p>
    <w:p w:rsidRPr="00F00EB4" w:rsidR="0041545E" w:rsidP="00F00EB4" w14:paraId="607841EB" w14:textId="3077EC99">
      <w:pPr>
        <w:pStyle w:val="JuPara"/>
      </w:pPr>
      <w:r>
        <w:fldChar w:fldCharType="begin"/>
      </w:r>
      <w:r>
        <w:instrText xml:space="preserve"> SEQ level0 \*arabic \* MERGEFORMAT </w:instrText>
      </w:r>
      <w:r>
        <w:fldChar w:fldCharType="separate"/>
      </w:r>
      <w:r w:rsidRPr="00F00EB4" w:rsidR="00F00EB4">
        <w:rPr>
          <w:noProof/>
        </w:rPr>
        <w:t>3</w:t>
      </w:r>
      <w:r w:rsidRPr="00F00EB4" w:rsidR="00F00EB4">
        <w:rPr>
          <w:noProof/>
        </w:rPr>
        <w:fldChar w:fldCharType="end"/>
      </w:r>
      <w:r w:rsidRPr="00F00EB4">
        <w:t>.  On 26 July 2019 the NCJ issued a resolution (no. 782/2019) by which it submitted to the President of the Republic a motion for the applicant</w:t>
      </w:r>
      <w:r w:rsidRPr="00F00EB4" w:rsidR="00F00EB4">
        <w:t>’</w:t>
      </w:r>
      <w:r w:rsidRPr="00F00EB4">
        <w:t>s appointment to the Warsaw-Praga Regional Court. On 4 May 2020 the President of the Republic decided to appoint the applicant to that post, where she adjudicated in criminal matters.</w:t>
      </w:r>
    </w:p>
    <w:p w:rsidRPr="00F00EB4" w:rsidR="0041545E" w:rsidP="00F00EB4" w14:paraId="0085B02A" w14:textId="7B873437">
      <w:pPr>
        <w:pStyle w:val="JuPara"/>
      </w:pPr>
      <w:r>
        <w:fldChar w:fldCharType="begin"/>
      </w:r>
      <w:r>
        <w:instrText xml:space="preserve"> SEQ level0 \*arabic \* MERGEFORMAT </w:instrText>
      </w:r>
      <w:r>
        <w:fldChar w:fldCharType="separate"/>
      </w:r>
      <w:r w:rsidRPr="00F00EB4" w:rsidR="00F00EB4">
        <w:rPr>
          <w:noProof/>
        </w:rPr>
        <w:t>4</w:t>
      </w:r>
      <w:r w:rsidRPr="00F00EB4" w:rsidR="00F00EB4">
        <w:rPr>
          <w:noProof/>
        </w:rPr>
        <w:fldChar w:fldCharType="end"/>
      </w:r>
      <w:r w:rsidRPr="00F00EB4">
        <w:t>.  In March 2023 the Minister of Justice seconded the applicant to the Warsaw Court of Appeal.</w:t>
      </w:r>
    </w:p>
    <w:bookmarkStart w:name="paragraph00005" w:id="0"/>
    <w:p w:rsidRPr="00F00EB4" w:rsidR="0041545E" w:rsidP="00F00EB4" w14:paraId="23C3DBEE" w14:textId="6E5EA231">
      <w:pPr>
        <w:pStyle w:val="JuPara"/>
      </w:pPr>
      <w:r w:rsidRPr="00F00EB4">
        <w:fldChar w:fldCharType="begin"/>
      </w:r>
      <w:r w:rsidRPr="00F00EB4">
        <w:instrText xml:space="preserve"> SEQ level0 \*arabic \* MERGEFORMAT </w:instrText>
      </w:r>
      <w:r w:rsidRPr="00F00EB4">
        <w:fldChar w:fldCharType="separate"/>
      </w:r>
      <w:r w:rsidRPr="00F00EB4" w:rsidR="00F00EB4">
        <w:rPr>
          <w:noProof/>
        </w:rPr>
        <w:t>5</w:t>
      </w:r>
      <w:r w:rsidRPr="00F00EB4">
        <w:rPr>
          <w:noProof/>
        </w:rPr>
        <w:fldChar w:fldCharType="end"/>
      </w:r>
      <w:bookmarkEnd w:id="0"/>
      <w:r w:rsidRPr="00F00EB4">
        <w:t>.  Subsequently, the applicant applied for a vacancy at that court, and on 6 September 2023 the NCJ issued a resolution (no. 756/2023) by which it submitted a motion for the applicant</w:t>
      </w:r>
      <w:r w:rsidRPr="00F00EB4" w:rsidR="00F00EB4">
        <w:t>’</w:t>
      </w:r>
      <w:r w:rsidRPr="00F00EB4">
        <w:t>s appointment to the post. On 15 November 2023 the President of the Republic decided to appoint the applicant to the Warsaw Court of Appeal, where she currently adjudicates in criminal matters.</w:t>
      </w:r>
    </w:p>
    <w:p w:rsidRPr="00F00EB4" w:rsidR="0041545E" w:rsidP="00F00EB4" w14:paraId="2BD8F46F" w14:textId="5B11BA8E">
      <w:pPr>
        <w:pStyle w:val="JuHA"/>
      </w:pPr>
      <w:r w:rsidRPr="00F00EB4">
        <w:t>The applicant</w:t>
      </w:r>
      <w:r w:rsidRPr="00F00EB4" w:rsidR="00F00EB4">
        <w:t>’</w:t>
      </w:r>
      <w:r w:rsidRPr="00F00EB4">
        <w:t>s relevant judicial activity and its subsequent review by higher courts</w:t>
      </w:r>
    </w:p>
    <w:p w:rsidRPr="00F00EB4" w:rsidR="0041545E" w:rsidP="00F00EB4" w14:paraId="3D26036E" w14:textId="77777777">
      <w:pPr>
        <w:pStyle w:val="JuH1"/>
      </w:pPr>
      <w:r w:rsidRPr="00F00EB4">
        <w:t>Warsaw-Praga Regional Court</w:t>
      </w:r>
    </w:p>
    <w:p w:rsidRPr="00F00EB4" w:rsidR="0041545E" w:rsidP="00F00EB4" w14:paraId="765E5E86" w14:textId="64BA4D5D">
      <w:pPr>
        <w:pStyle w:val="JuPara"/>
      </w:pPr>
      <w:r>
        <w:fldChar w:fldCharType="begin"/>
      </w:r>
      <w:r>
        <w:instrText xml:space="preserve"> SEQ level0 \*arabic \* MERGEFORMAT </w:instrText>
      </w:r>
      <w:r>
        <w:fldChar w:fldCharType="separate"/>
      </w:r>
      <w:r w:rsidRPr="00F00EB4" w:rsidR="00F00EB4">
        <w:rPr>
          <w:noProof/>
        </w:rPr>
        <w:t>6</w:t>
      </w:r>
      <w:r w:rsidRPr="00F00EB4" w:rsidR="00F00EB4">
        <w:rPr>
          <w:noProof/>
        </w:rPr>
        <w:fldChar w:fldCharType="end"/>
      </w:r>
      <w:r w:rsidRPr="00F00EB4">
        <w:t>.  On 6 June 2022 the Warsaw-Praga Regional Court, sitting as a panel of three judges including the applicant, convicted the defendant in the proceedings before it and sentenced him to imprisonment. The defendant</w:t>
      </w:r>
      <w:r w:rsidRPr="00F00EB4" w:rsidR="00F00EB4">
        <w:t>’</w:t>
      </w:r>
      <w:r w:rsidRPr="00F00EB4">
        <w:t>s lawyer lodged an appeal.</w:t>
      </w:r>
    </w:p>
    <w:bookmarkStart w:name="paragraph00007" w:id="1"/>
    <w:p w:rsidRPr="00F00EB4" w:rsidR="0041545E" w:rsidP="00F00EB4" w14:paraId="1D5D2ED2" w14:textId="2DDCE457">
      <w:pPr>
        <w:pStyle w:val="JuPara"/>
      </w:pPr>
      <w:r w:rsidRPr="00F00EB4">
        <w:fldChar w:fldCharType="begin"/>
      </w:r>
      <w:r w:rsidRPr="00F00EB4">
        <w:instrText xml:space="preserve"> SEQ level0 \*arabic \* MERGEFORMAT </w:instrText>
      </w:r>
      <w:r w:rsidRPr="00F00EB4">
        <w:fldChar w:fldCharType="separate"/>
      </w:r>
      <w:r w:rsidRPr="00F00EB4" w:rsidR="00F00EB4">
        <w:rPr>
          <w:noProof/>
        </w:rPr>
        <w:t>7</w:t>
      </w:r>
      <w:r w:rsidRPr="00F00EB4">
        <w:rPr>
          <w:noProof/>
        </w:rPr>
        <w:fldChar w:fldCharType="end"/>
      </w:r>
      <w:bookmarkEnd w:id="1"/>
      <w:r w:rsidRPr="00F00EB4">
        <w:t>.  On 11 March 2025 the Warsaw Court of Appeal quashed the impugned judgment and remitted the case for review, having found that the composition of the first-instance court had been unlawful (see paragraphs </w:t>
      </w:r>
      <w:r w:rsidRPr="00F00EB4">
        <w:fldChar w:fldCharType="begin"/>
      </w:r>
      <w:r w:rsidRPr="00F00EB4" w:rsidR="00F225EB">
        <w:instrText xml:space="preserve">REF paragraph00010 \h \* CharFormat </w:instrText>
      </w:r>
      <w:r w:rsidRPr="00F00EB4">
        <w:fldChar w:fldCharType="separate"/>
      </w:r>
      <w:r w:rsidRPr="00F00EB4" w:rsidR="00F00EB4">
        <w:t>10</w:t>
      </w:r>
      <w:r w:rsidRPr="00F00EB4">
        <w:fldChar w:fldCharType="end"/>
      </w:r>
      <w:r w:rsidRPr="00F00EB4">
        <w:t>-</w:t>
      </w:r>
      <w:r w:rsidRPr="00F00EB4">
        <w:fldChar w:fldCharType="begin"/>
      </w:r>
      <w:r w:rsidRPr="00F00EB4" w:rsidR="00F225EB">
        <w:instrText xml:space="preserve">REF paragraph00011 \h \* CharFormat </w:instrText>
      </w:r>
      <w:r w:rsidRPr="00F00EB4">
        <w:fldChar w:fldCharType="separate"/>
      </w:r>
      <w:r w:rsidRPr="00F00EB4" w:rsidR="00F00EB4">
        <w:t>11</w:t>
      </w:r>
      <w:r w:rsidRPr="00F00EB4">
        <w:fldChar w:fldCharType="end"/>
      </w:r>
      <w:r w:rsidRPr="00F00EB4">
        <w:t xml:space="preserve"> below).</w:t>
      </w:r>
    </w:p>
    <w:p w:rsidRPr="00F00EB4" w:rsidR="0041545E" w:rsidP="00F00EB4" w14:paraId="1AD9F6BF" w14:textId="77777777">
      <w:pPr>
        <w:pStyle w:val="JuH1"/>
      </w:pPr>
      <w:r w:rsidRPr="00F00EB4">
        <w:t>Warsaw Court of Appeal</w:t>
      </w:r>
    </w:p>
    <w:p w:rsidRPr="00F00EB4" w:rsidR="0041545E" w:rsidP="00F00EB4" w14:paraId="36DBC9AA" w14:textId="493D963E">
      <w:pPr>
        <w:pStyle w:val="JuPara"/>
      </w:pPr>
      <w:r>
        <w:fldChar w:fldCharType="begin"/>
      </w:r>
      <w:r>
        <w:instrText xml:space="preserve"> SEQ level0 \*arabic \* MERGEFORMAT </w:instrText>
      </w:r>
      <w:r>
        <w:fldChar w:fldCharType="separate"/>
      </w:r>
      <w:r w:rsidRPr="00F00EB4" w:rsidR="00F00EB4">
        <w:rPr>
          <w:noProof/>
        </w:rPr>
        <w:t>8</w:t>
      </w:r>
      <w:r w:rsidRPr="00F00EB4" w:rsidR="00F00EB4">
        <w:rPr>
          <w:noProof/>
        </w:rPr>
        <w:fldChar w:fldCharType="end"/>
      </w:r>
      <w:r w:rsidRPr="00F00EB4">
        <w:t>.  Following her appointment to the Warsaw Court of Appeal (see</w:t>
      </w:r>
      <w:r w:rsidRPr="00F00EB4" w:rsidR="00111093">
        <w:t> </w:t>
      </w:r>
      <w:r w:rsidRPr="00F00EB4">
        <w:t>paragraph </w:t>
      </w:r>
      <w:r w:rsidRPr="00F00EB4">
        <w:fldChar w:fldCharType="begin"/>
      </w:r>
      <w:r w:rsidRPr="00F00EB4" w:rsidR="00F225EB">
        <w:instrText xml:space="preserve">REF paragraph00005 \h \* CharFormat </w:instrText>
      </w:r>
      <w:r w:rsidRPr="00F00EB4">
        <w:fldChar w:fldCharType="separate"/>
      </w:r>
      <w:r w:rsidRPr="00F00EB4" w:rsidR="00F00EB4">
        <w:t>5</w:t>
      </w:r>
      <w:r w:rsidRPr="00F00EB4">
        <w:fldChar w:fldCharType="end"/>
      </w:r>
      <w:r w:rsidRPr="00F00EB4">
        <w:t xml:space="preserve"> above), between 5 and 10 July 2024 the applicant delivered, as a member of three-judge formations of that court, three judgments reviewing appeals against first-instance convictions. The judgments in question were appealed against before the Supreme Court.</w:t>
      </w:r>
    </w:p>
    <w:bookmarkStart w:name="paragraph00009" w:id="2"/>
    <w:p w:rsidRPr="00F00EB4" w:rsidR="0041545E" w:rsidP="00F00EB4" w14:paraId="28D45527" w14:textId="24527FC2">
      <w:pPr>
        <w:pStyle w:val="JuPara"/>
      </w:pPr>
      <w:r w:rsidRPr="00F00EB4">
        <w:fldChar w:fldCharType="begin"/>
      </w:r>
      <w:r w:rsidRPr="00F00EB4">
        <w:instrText xml:space="preserve"> SEQ level0 \*arabic \* MERGEFORMAT </w:instrText>
      </w:r>
      <w:r w:rsidRPr="00F00EB4">
        <w:fldChar w:fldCharType="separate"/>
      </w:r>
      <w:r w:rsidRPr="00F00EB4" w:rsidR="00F00EB4">
        <w:rPr>
          <w:noProof/>
        </w:rPr>
        <w:t>9</w:t>
      </w:r>
      <w:r w:rsidRPr="00F00EB4">
        <w:rPr>
          <w:noProof/>
        </w:rPr>
        <w:fldChar w:fldCharType="end"/>
      </w:r>
      <w:bookmarkEnd w:id="2"/>
      <w:r w:rsidRPr="00F00EB4">
        <w:t xml:space="preserve">.  Between 14 May and </w:t>
      </w:r>
      <w:r w:rsidRPr="00F00EB4">
        <w:t>30 June 2025</w:t>
      </w:r>
      <w:r w:rsidRPr="00F00EB4">
        <w:t xml:space="preserve"> the Supreme Court quashed all three judgments on account of the unlawful composition of the second-instance bench (see paragraphs </w:t>
      </w:r>
      <w:r w:rsidRPr="00F00EB4">
        <w:fldChar w:fldCharType="begin"/>
      </w:r>
      <w:r w:rsidRPr="00F00EB4" w:rsidR="00F225EB">
        <w:instrText xml:space="preserve">REF paragraph00010 \h \* CharFormat </w:instrText>
      </w:r>
      <w:r w:rsidRPr="00F00EB4">
        <w:fldChar w:fldCharType="separate"/>
      </w:r>
      <w:r w:rsidRPr="00F00EB4" w:rsidR="00F00EB4">
        <w:t>10</w:t>
      </w:r>
      <w:r w:rsidRPr="00F00EB4">
        <w:fldChar w:fldCharType="end"/>
      </w:r>
      <w:r w:rsidRPr="00F00EB4">
        <w:t>-</w:t>
      </w:r>
      <w:r w:rsidRPr="00F00EB4">
        <w:fldChar w:fldCharType="begin"/>
      </w:r>
      <w:r w:rsidRPr="00F00EB4" w:rsidR="00F225EB">
        <w:instrText xml:space="preserve">REF paragraph00011 \h \* CharFormat </w:instrText>
      </w:r>
      <w:r w:rsidRPr="00F00EB4">
        <w:fldChar w:fldCharType="separate"/>
      </w:r>
      <w:r w:rsidRPr="00F00EB4" w:rsidR="00F00EB4">
        <w:t>11</w:t>
      </w:r>
      <w:r w:rsidRPr="00F00EB4">
        <w:fldChar w:fldCharType="end"/>
      </w:r>
      <w:r w:rsidRPr="00F00EB4">
        <w:t xml:space="preserve"> below).</w:t>
      </w:r>
    </w:p>
    <w:p w:rsidRPr="00F00EB4" w:rsidR="0041545E" w:rsidP="00F00EB4" w14:paraId="74D37D33" w14:textId="77777777">
      <w:pPr>
        <w:pStyle w:val="JuH1"/>
      </w:pPr>
      <w:r w:rsidRPr="00F00EB4">
        <w:t>Relevant findings of higher courts</w:t>
      </w:r>
    </w:p>
    <w:bookmarkStart w:name="paragraph00010" w:id="3"/>
    <w:p w:rsidRPr="00F00EB4" w:rsidR="0041545E" w:rsidP="00F00EB4" w14:paraId="70770B08" w14:textId="03311627">
      <w:pPr>
        <w:pStyle w:val="JuPara"/>
      </w:pPr>
      <w:r w:rsidRPr="00F00EB4">
        <w:fldChar w:fldCharType="begin"/>
      </w:r>
      <w:r w:rsidRPr="00F00EB4">
        <w:instrText xml:space="preserve"> SEQ level0 \*arabic \* MERGEFORMAT </w:instrText>
      </w:r>
      <w:r w:rsidRPr="00F00EB4">
        <w:fldChar w:fldCharType="separate"/>
      </w:r>
      <w:r w:rsidRPr="00F00EB4" w:rsidR="00F00EB4">
        <w:rPr>
          <w:noProof/>
        </w:rPr>
        <w:t>10</w:t>
      </w:r>
      <w:r w:rsidRPr="00F00EB4">
        <w:rPr>
          <w:noProof/>
        </w:rPr>
        <w:fldChar w:fldCharType="end"/>
      </w:r>
      <w:bookmarkEnd w:id="3"/>
      <w:r w:rsidRPr="00F00EB4">
        <w:t>.  In each case, both the Warsaw Court of Appeal (see paragraph </w:t>
      </w:r>
      <w:r w:rsidRPr="00F00EB4">
        <w:fldChar w:fldCharType="begin"/>
      </w:r>
      <w:r w:rsidRPr="00F00EB4" w:rsidR="00F225EB">
        <w:instrText xml:space="preserve">REF paragraph00007 \h \* CharFormat </w:instrText>
      </w:r>
      <w:r w:rsidRPr="00F00EB4">
        <w:fldChar w:fldCharType="separate"/>
      </w:r>
      <w:r w:rsidRPr="00F00EB4" w:rsidR="00F00EB4">
        <w:t>7</w:t>
      </w:r>
      <w:r w:rsidRPr="00F00EB4">
        <w:fldChar w:fldCharType="end"/>
      </w:r>
      <w:r w:rsidRPr="00F00EB4">
        <w:t xml:space="preserve"> above) and the Supreme Court (see paragraph </w:t>
      </w:r>
      <w:r w:rsidRPr="00F00EB4">
        <w:fldChar w:fldCharType="begin"/>
      </w:r>
      <w:r w:rsidRPr="00F00EB4" w:rsidR="00F225EB">
        <w:instrText xml:space="preserve">REF paragraph00009 \h \* CharFormat </w:instrText>
      </w:r>
      <w:r w:rsidRPr="00F00EB4">
        <w:fldChar w:fldCharType="separate"/>
      </w:r>
      <w:r w:rsidRPr="00F00EB4" w:rsidR="00F00EB4">
        <w:t>9</w:t>
      </w:r>
      <w:r w:rsidRPr="00F00EB4">
        <w:fldChar w:fldCharType="end"/>
      </w:r>
      <w:r w:rsidRPr="00F00EB4">
        <w:t xml:space="preserve"> above) relied on the fact that the applicant had been appointed to her judicial office by way of a procedure involving the recomposed NCJ to find that judicial formations which had included her had not been lawfully composed (Article 439 § 1 (2) of the Code of Criminal Procedure). In addition, the Warsaw Court of Appeal expressly held that, for the same reasons, the impugned judgment given by the applicant at first instance had violated the defendant</w:t>
      </w:r>
      <w:r w:rsidRPr="00F00EB4" w:rsidR="00F00EB4">
        <w:t>’</w:t>
      </w:r>
      <w:r w:rsidRPr="00F00EB4">
        <w:t>s rights under Article 6 of the Convention.</w:t>
      </w:r>
    </w:p>
    <w:bookmarkStart w:name="paragraph00011" w:id="4"/>
    <w:p w:rsidRPr="00F00EB4" w:rsidR="0041545E" w:rsidP="00F00EB4" w14:paraId="21EF1557" w14:textId="0A48601F">
      <w:pPr>
        <w:pStyle w:val="JuPara"/>
      </w:pPr>
      <w:r w:rsidRPr="00F00EB4">
        <w:fldChar w:fldCharType="begin"/>
      </w:r>
      <w:r w:rsidRPr="00F00EB4">
        <w:instrText xml:space="preserve"> SEQ level0 \*arabic \* MERGEFORMAT </w:instrText>
      </w:r>
      <w:r w:rsidRPr="00F00EB4">
        <w:fldChar w:fldCharType="separate"/>
      </w:r>
      <w:r w:rsidRPr="00F00EB4" w:rsidR="00F00EB4">
        <w:rPr>
          <w:noProof/>
        </w:rPr>
        <w:t>11</w:t>
      </w:r>
      <w:r w:rsidRPr="00F00EB4">
        <w:rPr>
          <w:noProof/>
        </w:rPr>
        <w:fldChar w:fldCharType="end"/>
      </w:r>
      <w:bookmarkEnd w:id="4"/>
      <w:r w:rsidRPr="00F00EB4">
        <w:t>.  In making their findings, the domestic courts referred to the resolution of 23 January 2020 (case no. BSA I-4110-1/20) given by the joined Civil, Criminal and Labour and Social Security Chambers of the Supreme Court (see</w:t>
      </w:r>
      <w:bookmarkStart w:name="_cl41335SUBJECTMATTEROFTHECASE" w:id="5"/>
      <w:r w:rsidRPr="00F00EB4">
        <w:t xml:space="preserve"> </w:t>
      </w:r>
      <w:r w:rsidRPr="00F00EB4">
        <w:rPr>
          <w:i/>
          <w:iCs/>
        </w:rPr>
        <w:t xml:space="preserve">Advance Pharma sp. z </w:t>
      </w:r>
      <w:r w:rsidRPr="00F00EB4">
        <w:rPr>
          <w:i/>
          <w:iCs/>
        </w:rPr>
        <w:t>o.o</w:t>
      </w:r>
      <w:r w:rsidRPr="00F00EB4">
        <w:rPr>
          <w:i/>
          <w:iCs/>
        </w:rPr>
        <w:t xml:space="preserve"> v. Poland</w:t>
      </w:r>
      <w:bookmarkEnd w:id="5"/>
      <w:r w:rsidRPr="00F00EB4">
        <w:t>, no. 1469/20, §§ 127-40, 3 February 2022) and the guidance provided therein.</w:t>
      </w:r>
    </w:p>
    <w:p w:rsidRPr="00F00EB4" w:rsidR="0041545E" w:rsidP="00F00EB4" w14:paraId="6C125F94" w14:textId="77777777">
      <w:pPr>
        <w:pStyle w:val="JuHA"/>
      </w:pPr>
      <w:r w:rsidRPr="00F00EB4">
        <w:t>Complaint</w:t>
      </w:r>
    </w:p>
    <w:p w:rsidRPr="00F00EB4" w:rsidR="0041545E" w:rsidP="00F00EB4" w14:paraId="17E99AB8" w14:textId="16F21363">
      <w:pPr>
        <w:pStyle w:val="JuPara"/>
      </w:pPr>
      <w:r>
        <w:fldChar w:fldCharType="begin"/>
      </w:r>
      <w:r>
        <w:instrText xml:space="preserve"> SEQ level0 \*arabic \* MERGEFORMAT </w:instrText>
      </w:r>
      <w:r>
        <w:fldChar w:fldCharType="separate"/>
      </w:r>
      <w:r w:rsidRPr="00F00EB4" w:rsidR="00F00EB4">
        <w:rPr>
          <w:noProof/>
        </w:rPr>
        <w:t>12</w:t>
      </w:r>
      <w:r w:rsidRPr="00F00EB4" w:rsidR="00F00EB4">
        <w:rPr>
          <w:noProof/>
        </w:rPr>
        <w:fldChar w:fldCharType="end"/>
      </w:r>
      <w:r w:rsidRPr="00F00EB4">
        <w:t>.  The applicant complained that she had had no way of appealing against the final domestic judgments, which, in her view, had challenged her status as a judge. She relied on Article 6 § 1 of the Convention (in</w:t>
      </w:r>
      <w:r w:rsidRPr="00F00EB4" w:rsidR="00F225EB">
        <w:t xml:space="preserve"> </w:t>
      </w:r>
      <w:r w:rsidRPr="00F00EB4">
        <w:t>all</w:t>
      </w:r>
      <w:r w:rsidRPr="00F00EB4" w:rsidR="00F225EB">
        <w:t xml:space="preserve"> </w:t>
      </w:r>
      <w:r w:rsidRPr="00F00EB4">
        <w:t>applications) and Article 13 of the Convention (in applications nos. 29741/25, 35079/25 and 35089/25).</w:t>
      </w:r>
    </w:p>
    <w:p w:rsidRPr="00F00EB4" w:rsidR="0041545E" w:rsidP="00F00EB4" w14:paraId="77E13252" w14:textId="5A3DF143">
      <w:pPr>
        <w:pStyle w:val="JuHHead"/>
      </w:pPr>
      <w:r w:rsidRPr="00F00EB4">
        <w:t>THE COURT</w:t>
      </w:r>
      <w:r w:rsidRPr="00F00EB4" w:rsidR="00F00EB4">
        <w:t>’</w:t>
      </w:r>
      <w:r w:rsidRPr="00F00EB4">
        <w:t>S ASSESSMENT</w:t>
      </w:r>
    </w:p>
    <w:p w:rsidRPr="00F00EB4" w:rsidR="0041545E" w:rsidP="00F00EB4" w14:paraId="15547DCF" w14:textId="1931470C">
      <w:pPr>
        <w:pStyle w:val="JuPara"/>
      </w:pPr>
      <w:r>
        <w:fldChar w:fldCharType="begin"/>
      </w:r>
      <w:r>
        <w:instrText xml:space="preserve"> SEQ level0 \*arabic \* MERGEFORMAT </w:instrText>
      </w:r>
      <w:r>
        <w:fldChar w:fldCharType="separate"/>
      </w:r>
      <w:r w:rsidRPr="00F00EB4" w:rsidR="00F00EB4">
        <w:rPr>
          <w:noProof/>
        </w:rPr>
        <w:t>13</w:t>
      </w:r>
      <w:r w:rsidRPr="00F00EB4" w:rsidR="00F00EB4">
        <w:rPr>
          <w:noProof/>
        </w:rPr>
        <w:fldChar w:fldCharType="end"/>
      </w:r>
      <w:r w:rsidRPr="00F00EB4">
        <w:t>.  Having regard to the similar subject matter of the applications, the Court finds it appropriate to examine them jointly in a single decision.</w:t>
      </w:r>
    </w:p>
    <w:p w:rsidRPr="00F00EB4" w:rsidR="0041545E" w:rsidP="00F00EB4" w14:paraId="656B3827" w14:textId="2EC0B6D5">
      <w:pPr>
        <w:pStyle w:val="JuPara"/>
      </w:pPr>
      <w:r>
        <w:fldChar w:fldCharType="begin"/>
      </w:r>
      <w:r>
        <w:instrText xml:space="preserve"> SEQ level0 \*arabic \* MERGEFORMAT </w:instrText>
      </w:r>
      <w:r>
        <w:fldChar w:fldCharType="separate"/>
      </w:r>
      <w:r w:rsidRPr="00F00EB4" w:rsidR="00F00EB4">
        <w:rPr>
          <w:noProof/>
        </w:rPr>
        <w:t>14</w:t>
      </w:r>
      <w:r w:rsidRPr="00F00EB4" w:rsidR="00F00EB4">
        <w:rPr>
          <w:noProof/>
        </w:rPr>
        <w:fldChar w:fldCharType="end"/>
      </w:r>
      <w:r w:rsidRPr="00F00EB4">
        <w:t>.  The Court considers that the applicant</w:t>
      </w:r>
      <w:r w:rsidRPr="00F00EB4" w:rsidR="00F00EB4">
        <w:t>’</w:t>
      </w:r>
      <w:r w:rsidRPr="00F00EB4">
        <w:t xml:space="preserve">s complaint falls to be examined under Article 6 of the Convention alone (see </w:t>
      </w:r>
      <w:r w:rsidRPr="00F00EB4">
        <w:rPr>
          <w:i/>
          <w:iCs/>
        </w:rPr>
        <w:t>Radomilja</w:t>
      </w:r>
      <w:r w:rsidRPr="00F00EB4">
        <w:rPr>
          <w:i/>
          <w:iCs/>
        </w:rPr>
        <w:t xml:space="preserve"> and Others v. Croatia</w:t>
      </w:r>
      <w:r w:rsidRPr="00F00EB4">
        <w:t> [GC], nos. 37685/10 and 22768/12, § 126, 20</w:t>
      </w:r>
      <w:r w:rsidRPr="00F00EB4" w:rsidR="00F225EB">
        <w:t xml:space="preserve"> </w:t>
      </w:r>
      <w:r w:rsidRPr="00F00EB4">
        <w:t>March 2018).</w:t>
      </w:r>
    </w:p>
    <w:bookmarkStart w:name="paragraph00015" w:id="6"/>
    <w:p w:rsidRPr="00F00EB4" w:rsidR="0041545E" w:rsidP="00F00EB4" w14:paraId="5D5614B8" w14:textId="616119C3">
      <w:pPr>
        <w:pStyle w:val="JuPara"/>
      </w:pPr>
      <w:r w:rsidRPr="00F00EB4">
        <w:fldChar w:fldCharType="begin"/>
      </w:r>
      <w:r w:rsidRPr="00F00EB4">
        <w:instrText xml:space="preserve"> SEQ level0 \*arabic \* MERGEFORMAT </w:instrText>
      </w:r>
      <w:r w:rsidRPr="00F00EB4">
        <w:fldChar w:fldCharType="separate"/>
      </w:r>
      <w:r w:rsidRPr="00F00EB4" w:rsidR="00F00EB4">
        <w:rPr>
          <w:noProof/>
        </w:rPr>
        <w:t>15</w:t>
      </w:r>
      <w:r w:rsidRPr="00F00EB4">
        <w:rPr>
          <w:noProof/>
        </w:rPr>
        <w:fldChar w:fldCharType="end"/>
      </w:r>
      <w:bookmarkEnd w:id="6"/>
      <w:r w:rsidRPr="00F00EB4">
        <w:t>.  The Court notes, at the outset, that the present applications belong to a series of cases concerning the overhaul of the judiciary in Poland which was initiated in 2017 and has been implemented by successive amending laws (for</w:t>
      </w:r>
      <w:r w:rsidRPr="00F00EB4" w:rsidR="00111093">
        <w:t> </w:t>
      </w:r>
      <w:r w:rsidRPr="00F00EB4">
        <w:t>an overview of the Court</w:t>
      </w:r>
      <w:r w:rsidRPr="00F00EB4" w:rsidR="00F00EB4">
        <w:t>’</w:t>
      </w:r>
      <w:r w:rsidRPr="00F00EB4">
        <w:t>s case-law on the matter, see </w:t>
      </w:r>
      <w:r w:rsidRPr="00F00EB4">
        <w:rPr>
          <w:i/>
          <w:iCs/>
        </w:rPr>
        <w:t>Wałęsa</w:t>
      </w:r>
      <w:r w:rsidRPr="00F00EB4">
        <w:t>, cited above, §§</w:t>
      </w:r>
      <w:r w:rsidRPr="00F00EB4" w:rsidR="00F225EB">
        <w:t xml:space="preserve"> </w:t>
      </w:r>
      <w:r w:rsidRPr="00F00EB4">
        <w:t>2</w:t>
      </w:r>
      <w:r w:rsidRPr="00F00EB4">
        <w:noBreakHyphen/>
        <w:t xml:space="preserve">4). The applications under review are </w:t>
      </w:r>
      <w:r w:rsidRPr="00F00EB4">
        <w:t>similar to</w:t>
      </w:r>
      <w:r w:rsidRPr="00F00EB4">
        <w:t xml:space="preserve"> those in </w:t>
      </w:r>
      <w:r w:rsidRPr="00F00EB4">
        <w:rPr>
          <w:i/>
          <w:iCs/>
        </w:rPr>
        <w:t>Manowska</w:t>
      </w:r>
      <w:r w:rsidRPr="00F00EB4">
        <w:rPr>
          <w:i/>
          <w:iCs/>
        </w:rPr>
        <w:t xml:space="preserve"> and Others v.</w:t>
      </w:r>
      <w:r w:rsidRPr="00F00EB4" w:rsidR="00F225EB">
        <w:rPr>
          <w:i/>
          <w:iCs/>
        </w:rPr>
        <w:t xml:space="preserve"> </w:t>
      </w:r>
      <w:r w:rsidRPr="00F00EB4">
        <w:rPr>
          <w:i/>
          <w:iCs/>
        </w:rPr>
        <w:t xml:space="preserve">Poland </w:t>
      </w:r>
      <w:r w:rsidRPr="00F00EB4">
        <w:t>((dec.), nos. 51455/21 and 5 others, 1</w:t>
      </w:r>
      <w:r w:rsidRPr="00F00EB4" w:rsidR="00F225EB">
        <w:t> </w:t>
      </w:r>
      <w:r w:rsidRPr="00F00EB4">
        <w:t xml:space="preserve">April 2025) in that they were lodged by a judge appointed with the participation of </w:t>
      </w:r>
      <w:r w:rsidRPr="00F00EB4">
        <w:t>the recomposed NCJ</w:t>
      </w:r>
      <w:r>
        <w:rPr>
          <w:rStyle w:val="FootnoteReference"/>
        </w:rPr>
        <w:footnoteReference w:id="2"/>
      </w:r>
      <w:r w:rsidRPr="00F00EB4">
        <w:t xml:space="preserve">. The novelty of the present case is that the applicant is an ordinary court judge (as opposed to the applicants in </w:t>
      </w:r>
      <w:r w:rsidRPr="00F00EB4">
        <w:rPr>
          <w:i/>
          <w:iCs/>
        </w:rPr>
        <w:t>Manowska</w:t>
      </w:r>
      <w:r w:rsidRPr="00F00EB4">
        <w:rPr>
          <w:i/>
          <w:iCs/>
        </w:rPr>
        <w:t xml:space="preserve"> and</w:t>
      </w:r>
      <w:r w:rsidRPr="00F00EB4" w:rsidR="00111093">
        <w:rPr>
          <w:i/>
          <w:iCs/>
        </w:rPr>
        <w:t> </w:t>
      </w:r>
      <w:r w:rsidRPr="00F00EB4">
        <w:rPr>
          <w:i/>
          <w:iCs/>
        </w:rPr>
        <w:t>Others</w:t>
      </w:r>
      <w:r w:rsidRPr="00F00EB4">
        <w:t>, cited above, who had been appointed to the Supreme Court).</w:t>
      </w:r>
    </w:p>
    <w:p w:rsidRPr="00F00EB4" w:rsidR="0041545E" w:rsidP="00F00EB4" w14:paraId="4A65CDE8" w14:textId="20013A42">
      <w:pPr>
        <w:pStyle w:val="JuPara"/>
      </w:pPr>
      <w:r>
        <w:fldChar w:fldCharType="begin"/>
      </w:r>
      <w:r>
        <w:instrText xml:space="preserve"> SEQ level0 \*arabic \* MERGEFORMAT </w:instrText>
      </w:r>
      <w:r>
        <w:fldChar w:fldCharType="separate"/>
      </w:r>
      <w:r w:rsidRPr="00F00EB4" w:rsidR="00F00EB4">
        <w:rPr>
          <w:noProof/>
        </w:rPr>
        <w:t>16</w:t>
      </w:r>
      <w:r w:rsidRPr="00F00EB4" w:rsidR="00F00EB4">
        <w:rPr>
          <w:noProof/>
        </w:rPr>
        <w:fldChar w:fldCharType="end"/>
      </w:r>
      <w:r w:rsidRPr="00F00EB4">
        <w:t>.  The applicant essentially complained, under Article 6 of the Convention, that she had been unable to challenge, in court, final domestic judgments that had annulled rulings delivered with her participation. She</w:t>
      </w:r>
      <w:r w:rsidRPr="00F00EB4" w:rsidR="00111093">
        <w:t> </w:t>
      </w:r>
      <w:r w:rsidRPr="00F00EB4">
        <w:t xml:space="preserve">contended that her case was </w:t>
      </w:r>
      <w:r w:rsidRPr="00F00EB4">
        <w:t>similar to</w:t>
      </w:r>
      <w:r w:rsidRPr="00F00EB4">
        <w:t xml:space="preserve"> </w:t>
      </w:r>
      <w:bookmarkStart w:name="_cl40842THECOURTSASSESSMENT" w:id="7"/>
      <w:r w:rsidRPr="00F00EB4">
        <w:rPr>
          <w:i/>
          <w:iCs/>
        </w:rPr>
        <w:t xml:space="preserve">Broda and </w:t>
      </w:r>
      <w:r w:rsidRPr="00F00EB4">
        <w:rPr>
          <w:i/>
          <w:iCs/>
        </w:rPr>
        <w:t>Bojara</w:t>
      </w:r>
      <w:r w:rsidRPr="00F00EB4">
        <w:rPr>
          <w:i/>
          <w:iCs/>
        </w:rPr>
        <w:t xml:space="preserve"> v. Poland</w:t>
      </w:r>
      <w:bookmarkEnd w:id="7"/>
      <w:r w:rsidRPr="00F00EB4">
        <w:t xml:space="preserve"> (nos. 26691/18 and 27367/18, 29 June 2021) and argued that her complaint concerned the fact that, as a judge, she did not have a legal remedy available to her </w:t>
      </w:r>
      <w:r w:rsidRPr="00F00EB4">
        <w:t>in the event that</w:t>
      </w:r>
      <w:r w:rsidRPr="00F00EB4">
        <w:t xml:space="preserve"> another court challenged her judicial status.</w:t>
      </w:r>
    </w:p>
    <w:p w:rsidRPr="00F00EB4" w:rsidR="0041545E" w:rsidP="00F00EB4" w14:paraId="3E9908CF" w14:textId="04B3058A">
      <w:pPr>
        <w:pStyle w:val="JuPara"/>
      </w:pPr>
      <w:r>
        <w:fldChar w:fldCharType="begin"/>
      </w:r>
      <w:r>
        <w:instrText xml:space="preserve"> SEQ level0 \*arabic \* MERGEFORMAT </w:instrText>
      </w:r>
      <w:r>
        <w:fldChar w:fldCharType="separate"/>
      </w:r>
      <w:r w:rsidRPr="00F00EB4" w:rsidR="00F00EB4">
        <w:rPr>
          <w:noProof/>
        </w:rPr>
        <w:t>17</w:t>
      </w:r>
      <w:r w:rsidRPr="00F00EB4" w:rsidR="00F00EB4">
        <w:rPr>
          <w:noProof/>
        </w:rPr>
        <w:fldChar w:fldCharType="end"/>
      </w:r>
      <w:r w:rsidRPr="00F00EB4">
        <w:t>.  Against that background, in determining whether the applicant sufficiently substantiated her complaint under Article 6 of the Convention, the Court reiterates that the complaints which an applicant proposes to make under Article</w:t>
      </w:r>
      <w:r w:rsidRPr="00F00EB4" w:rsidR="00F225EB">
        <w:t xml:space="preserve"> </w:t>
      </w:r>
      <w:r w:rsidRPr="00F00EB4">
        <w:t>6 must contain all the parameters necessary for the Court to define the issue it will be called upon to examine (see</w:t>
      </w:r>
      <w:bookmarkStart w:name="_cl42558" w:id="8"/>
      <w:r w:rsidRPr="00F00EB4">
        <w:t xml:space="preserve"> </w:t>
      </w:r>
      <w:r w:rsidRPr="00F00EB4">
        <w:rPr>
          <w:i/>
          <w:iCs/>
        </w:rPr>
        <w:t>Grosam</w:t>
      </w:r>
      <w:r w:rsidRPr="00F00EB4">
        <w:rPr>
          <w:i/>
          <w:iCs/>
        </w:rPr>
        <w:t xml:space="preserve"> v. the Czech Republic</w:t>
      </w:r>
      <w:bookmarkEnd w:id="8"/>
      <w:r w:rsidRPr="00F00EB4">
        <w:t xml:space="preserve"> [GC], no. 19750/13, § 89, 1 June 2023). It must be stressed that the scope of application of Article 6 of the Convention is very broad and that the Court</w:t>
      </w:r>
      <w:r w:rsidRPr="00F00EB4" w:rsidR="00F00EB4">
        <w:t>’</w:t>
      </w:r>
      <w:r w:rsidRPr="00F00EB4">
        <w:t xml:space="preserve">s examination is necessarily delimited by the specific complaints submitted to it (see </w:t>
      </w:r>
      <w:r w:rsidRPr="00F00EB4">
        <w:rPr>
          <w:i/>
          <w:iCs/>
        </w:rPr>
        <w:t>Ramos Nunes de Carvalho e Sá v. Portugal</w:t>
      </w:r>
      <w:r w:rsidRPr="00F00EB4">
        <w:t xml:space="preserve"> [GC], nos. </w:t>
      </w:r>
      <w:bookmarkStart w:name="_cl34833THECOURTSASSESSMENT" w:id="9"/>
      <w:r w:rsidRPr="00F00EB4">
        <w:t>55391/13 and 2 others, § 104, 6 November</w:t>
      </w:r>
      <w:bookmarkEnd w:id="9"/>
      <w:r w:rsidRPr="00F00EB4">
        <w:t xml:space="preserve"> 2018). The Court has no power to substitute itself for the applicant and formulate new complaints simply </w:t>
      </w:r>
      <w:r w:rsidRPr="00F00EB4">
        <w:t>on the basis of</w:t>
      </w:r>
      <w:r w:rsidRPr="00F00EB4">
        <w:t xml:space="preserve"> the arguments and facts advanced (see </w:t>
      </w:r>
      <w:r w:rsidRPr="00F00EB4">
        <w:rPr>
          <w:i/>
          <w:iCs/>
        </w:rPr>
        <w:t>Grosam</w:t>
      </w:r>
      <w:r w:rsidRPr="00F00EB4">
        <w:t>, cited above, § 91).</w:t>
      </w:r>
    </w:p>
    <w:p w:rsidRPr="00F00EB4" w:rsidR="0041545E" w:rsidP="00F00EB4" w14:paraId="0FF3CAA3" w14:textId="5CAA8126">
      <w:pPr>
        <w:pStyle w:val="JuPara"/>
      </w:pPr>
      <w:r>
        <w:fldChar w:fldCharType="begin"/>
      </w:r>
      <w:r>
        <w:instrText xml:space="preserve"> SEQ level0 \*arabic \* MERGEFORMAT </w:instrText>
      </w:r>
      <w:r>
        <w:fldChar w:fldCharType="separate"/>
      </w:r>
      <w:r w:rsidRPr="00F00EB4" w:rsidR="00F00EB4">
        <w:rPr>
          <w:noProof/>
        </w:rPr>
        <w:t>18</w:t>
      </w:r>
      <w:r w:rsidRPr="00F00EB4" w:rsidR="00F00EB4">
        <w:rPr>
          <w:noProof/>
        </w:rPr>
        <w:fldChar w:fldCharType="end"/>
      </w:r>
      <w:r w:rsidRPr="00F00EB4">
        <w:t xml:space="preserve">.  The Court further reiterates that it may declare an application inadmissible as being manifestly ill-founded where the applicant simply cites one or more provisions of the Convention without explaining in what way they have been breached (see </w:t>
      </w:r>
      <w:r w:rsidRPr="00F00EB4">
        <w:rPr>
          <w:i/>
          <w:iCs/>
        </w:rPr>
        <w:t>Baillard v. France</w:t>
      </w:r>
      <w:r w:rsidRPr="00F00EB4">
        <w:t xml:space="preserve"> (dec.), no. 6032/04, 25 September 2008; compare also </w:t>
      </w:r>
      <w:r w:rsidRPr="00F00EB4">
        <w:rPr>
          <w:i/>
          <w:iCs/>
        </w:rPr>
        <w:t xml:space="preserve">Polat v. Türkiye </w:t>
      </w:r>
      <w:r w:rsidRPr="00F00EB4">
        <w:t>(dec.) [Committee], no. 22278/20, § 11, 12 November 2024).</w:t>
      </w:r>
    </w:p>
    <w:p w:rsidRPr="00F00EB4" w:rsidR="0041545E" w:rsidP="00F00EB4" w14:paraId="16B1961A" w14:textId="1311D5CB">
      <w:pPr>
        <w:pStyle w:val="JuPara"/>
      </w:pPr>
      <w:r>
        <w:fldChar w:fldCharType="begin"/>
      </w:r>
      <w:r>
        <w:instrText xml:space="preserve"> SEQ level0 \*arabic \* MERGEFORMAT </w:instrText>
      </w:r>
      <w:r>
        <w:fldChar w:fldCharType="separate"/>
      </w:r>
      <w:r w:rsidRPr="00F00EB4" w:rsidR="00F00EB4">
        <w:rPr>
          <w:noProof/>
        </w:rPr>
        <w:t>19</w:t>
      </w:r>
      <w:r w:rsidRPr="00F00EB4" w:rsidR="00F00EB4">
        <w:rPr>
          <w:noProof/>
        </w:rPr>
        <w:fldChar w:fldCharType="end"/>
      </w:r>
      <w:r w:rsidRPr="00F00EB4">
        <w:t>.  In the present case, the applicant – a judge who was represented by a lawyer – merely referred to Article 6 § 1 of the Convention and alleged that she had been wrongfully denied access to judicial review. However, she neither specified which right was at issue nor elaborated on its nature.</w:t>
      </w:r>
    </w:p>
    <w:p w:rsidRPr="00F00EB4" w:rsidR="0041545E" w:rsidP="00F00EB4" w14:paraId="35D8107A" w14:textId="278F191B">
      <w:pPr>
        <w:pStyle w:val="JuPara"/>
      </w:pPr>
      <w:r>
        <w:fldChar w:fldCharType="begin"/>
      </w:r>
      <w:r>
        <w:instrText xml:space="preserve"> SEQ level0 \*arabic \* MERGEFORMAT </w:instrText>
      </w:r>
      <w:r>
        <w:fldChar w:fldCharType="separate"/>
      </w:r>
      <w:r w:rsidRPr="00F00EB4" w:rsidR="00F00EB4">
        <w:rPr>
          <w:noProof/>
        </w:rPr>
        <w:t>20</w:t>
      </w:r>
      <w:r w:rsidRPr="00F00EB4" w:rsidR="00F00EB4">
        <w:rPr>
          <w:noProof/>
        </w:rPr>
        <w:fldChar w:fldCharType="end"/>
      </w:r>
      <w:r w:rsidRPr="00F00EB4">
        <w:t>.  In this connection, the Court reiterates that for Article 6 § 1 in its civil limb to be applicable, there must be a “dispute” (“</w:t>
      </w:r>
      <w:r w:rsidRPr="00F00EB4">
        <w:rPr>
          <w:i/>
          <w:iCs/>
        </w:rPr>
        <w:t>contestation</w:t>
      </w:r>
      <w:r w:rsidRPr="00F00EB4">
        <w:t xml:space="preserve">” in French) regarding a “right” which can be said, at least on arguable grounds, to be recognised under domestic law, irrespective of whether it is protected under the Convention. The dispute must be genuine and serious; it may relate not only to the actual existence of a right but also to its scope and the manner of its exercise; and, finally, the result of the proceedings must be directly </w:t>
      </w:r>
      <w:r w:rsidRPr="00F00EB4">
        <w:t>decisive for the right in question, mere tenuous connections or remote consequences not being sufficient to bring Article 6 § 1 into play (see</w:t>
      </w:r>
      <w:r w:rsidRPr="00F00EB4" w:rsidR="00F225EB">
        <w:t xml:space="preserve"> </w:t>
      </w:r>
      <w:r w:rsidRPr="00F00EB4">
        <w:rPr>
          <w:i/>
          <w:iCs/>
        </w:rPr>
        <w:t>Denisov</w:t>
      </w:r>
      <w:r w:rsidRPr="00F00EB4" w:rsidR="00F225EB">
        <w:rPr>
          <w:i/>
          <w:iCs/>
        </w:rPr>
        <w:t xml:space="preserve"> </w:t>
      </w:r>
      <w:r w:rsidRPr="00F00EB4">
        <w:rPr>
          <w:i/>
          <w:iCs/>
        </w:rPr>
        <w:t xml:space="preserve">v. Ukraine </w:t>
      </w:r>
      <w:r w:rsidRPr="00F00EB4">
        <w:t xml:space="preserve">[GC], no. 76639/11, § 44, 25 September 2018; </w:t>
      </w:r>
      <w:r w:rsidRPr="00F00EB4">
        <w:rPr>
          <w:i/>
          <w:iCs/>
        </w:rPr>
        <w:t>Grzęda</w:t>
      </w:r>
      <w:r w:rsidRPr="00F00EB4">
        <w:rPr>
          <w:i/>
          <w:iCs/>
        </w:rPr>
        <w:t xml:space="preserve"> v. Poland</w:t>
      </w:r>
      <w:r w:rsidRPr="00F00EB4">
        <w:t xml:space="preserve"> [GC], no. 43572/18, § 257, 15 March 2022; and </w:t>
      </w:r>
      <w:r w:rsidRPr="00F00EB4">
        <w:rPr>
          <w:i/>
          <w:iCs/>
        </w:rPr>
        <w:t>Grosam</w:t>
      </w:r>
      <w:r w:rsidRPr="00F00EB4">
        <w:t>, cited above, § 108, all with further references). Lastly, the right must be a</w:t>
      </w:r>
      <w:r w:rsidRPr="00F00EB4" w:rsidR="00F225EB">
        <w:t xml:space="preserve"> </w:t>
      </w:r>
      <w:r w:rsidRPr="00F00EB4">
        <w:t xml:space="preserve">“civil” right (see </w:t>
      </w:r>
      <w:r w:rsidRPr="00F00EB4">
        <w:rPr>
          <w:i/>
          <w:iCs/>
        </w:rPr>
        <w:t>Grzęda</w:t>
      </w:r>
      <w:r w:rsidRPr="00F00EB4">
        <w:t>, cited above, § 257, and</w:t>
      </w:r>
      <w:bookmarkStart w:name="_cl44377THECOURTSASSESSMENT" w:id="10"/>
      <w:r w:rsidRPr="00F00EB4">
        <w:t xml:space="preserve"> </w:t>
      </w:r>
      <w:r w:rsidRPr="00F00EB4">
        <w:rPr>
          <w:i/>
          <w:iCs/>
        </w:rPr>
        <w:t>Fabbri and Others v. San Marino</w:t>
      </w:r>
      <w:bookmarkEnd w:id="10"/>
      <w:r w:rsidRPr="00F00EB4">
        <w:t> [GC], nos. 6319/21 and 2 others, § 76, 24 September 2024).</w:t>
      </w:r>
    </w:p>
    <w:p w:rsidRPr="00F00EB4" w:rsidR="0041545E" w:rsidP="00F00EB4" w14:paraId="3CFCF887" w14:textId="19A8A2D4">
      <w:pPr>
        <w:pStyle w:val="JuPara"/>
      </w:pPr>
      <w:r>
        <w:fldChar w:fldCharType="begin"/>
      </w:r>
      <w:r>
        <w:instrText xml:space="preserve"> SEQ level0 \*arabic \* MERGEFORMAT </w:instrText>
      </w:r>
      <w:r>
        <w:fldChar w:fldCharType="separate"/>
      </w:r>
      <w:r w:rsidRPr="00F00EB4" w:rsidR="00F00EB4">
        <w:rPr>
          <w:noProof/>
        </w:rPr>
        <w:t>21</w:t>
      </w:r>
      <w:r w:rsidRPr="00F00EB4" w:rsidR="00F00EB4">
        <w:rPr>
          <w:noProof/>
        </w:rPr>
        <w:fldChar w:fldCharType="end"/>
      </w:r>
      <w:r w:rsidRPr="00F00EB4">
        <w:t>.  The applicant</w:t>
      </w:r>
      <w:r w:rsidRPr="00F00EB4" w:rsidR="00F00EB4">
        <w:t>’</w:t>
      </w:r>
      <w:r w:rsidRPr="00F00EB4">
        <w:t xml:space="preserve">s only explicit argument in support of her complaint relied on the alleged similarities between her case and that of </w:t>
      </w:r>
      <w:r w:rsidRPr="00F00EB4">
        <w:rPr>
          <w:i/>
          <w:iCs/>
        </w:rPr>
        <w:t>Broda and</w:t>
      </w:r>
      <w:r w:rsidRPr="00F00EB4" w:rsidR="00F225EB">
        <w:rPr>
          <w:i/>
          <w:iCs/>
        </w:rPr>
        <w:t xml:space="preserve"> </w:t>
      </w:r>
      <w:r w:rsidRPr="00F00EB4">
        <w:rPr>
          <w:i/>
          <w:iCs/>
        </w:rPr>
        <w:t>Bojara</w:t>
      </w:r>
      <w:r w:rsidRPr="00F00EB4">
        <w:rPr>
          <w:i/>
          <w:iCs/>
        </w:rPr>
        <w:t xml:space="preserve"> </w:t>
      </w:r>
      <w:r w:rsidRPr="00F00EB4">
        <w:t>(cited above). In this connection, the Court would point out that, in the latter case, it considered that judges must be protected against arbitrary action by the executive, and that only a review by an independent judicial body of the lawfulness of such an action (in that case, the premature termination of the applicants</w:t>
      </w:r>
      <w:r w:rsidRPr="00F00EB4" w:rsidR="00F00EB4">
        <w:t>’</w:t>
      </w:r>
      <w:r w:rsidRPr="00F00EB4">
        <w:t xml:space="preserve"> duties as vice-presidents of a court) can render this right effective (</w:t>
      </w:r>
      <w:r w:rsidRPr="00F00EB4">
        <w:rPr>
          <w:i/>
          <w:iCs/>
        </w:rPr>
        <w:t>ibid</w:t>
      </w:r>
      <w:r w:rsidRPr="00F00EB4">
        <w:t xml:space="preserve">., § 146 </w:t>
      </w:r>
      <w:r w:rsidRPr="00F00EB4">
        <w:rPr>
          <w:i/>
          <w:iCs/>
        </w:rPr>
        <w:t>in fine</w:t>
      </w:r>
      <w:r w:rsidRPr="00F00EB4">
        <w:t>). Since, in the present case, the applicant</w:t>
      </w:r>
      <w:r w:rsidRPr="00F00EB4" w:rsidR="00F00EB4">
        <w:t>’</w:t>
      </w:r>
      <w:r w:rsidRPr="00F00EB4">
        <w:t xml:space="preserve">s complaint refers neither to any actions by the executive, nor to the termination of any of her duties, the Court does not consider the judgment in </w:t>
      </w:r>
      <w:r w:rsidRPr="00F00EB4">
        <w:rPr>
          <w:i/>
          <w:iCs/>
        </w:rPr>
        <w:t xml:space="preserve">Broda and </w:t>
      </w:r>
      <w:r w:rsidRPr="00F00EB4">
        <w:rPr>
          <w:i/>
          <w:iCs/>
        </w:rPr>
        <w:t>Bojara</w:t>
      </w:r>
      <w:r w:rsidRPr="00F00EB4">
        <w:t xml:space="preserve"> to be relevant.</w:t>
      </w:r>
    </w:p>
    <w:p w:rsidRPr="00F00EB4" w:rsidR="0041545E" w:rsidP="00F00EB4" w14:paraId="4FD73593" w14:textId="177D18EC">
      <w:pPr>
        <w:pStyle w:val="JuPara"/>
      </w:pPr>
      <w:r>
        <w:fldChar w:fldCharType="begin"/>
      </w:r>
      <w:r>
        <w:instrText xml:space="preserve"> SEQ level0 \*arabic \* MERGEFORMAT </w:instrText>
      </w:r>
      <w:r>
        <w:fldChar w:fldCharType="separate"/>
      </w:r>
      <w:r w:rsidRPr="00F00EB4" w:rsidR="00F00EB4">
        <w:rPr>
          <w:noProof/>
        </w:rPr>
        <w:t>22</w:t>
      </w:r>
      <w:r w:rsidRPr="00F00EB4" w:rsidR="00F00EB4">
        <w:rPr>
          <w:noProof/>
        </w:rPr>
        <w:fldChar w:fldCharType="end"/>
      </w:r>
      <w:r w:rsidRPr="00F00EB4">
        <w:t>.  Accordingly, in so far as the applicant complained of the lack of access to a court as guaranteed by Article 6 of the Convention, the Court cannot but note that she failed to indicate, let alone duly substantiate, circumstances which would have enabled it to examine the applicability of that provision; notably, she did not demonstrate the existence of a genuine and serious “dispute” regarding a specific “right” for which the result of the proceedings would be directly decisive. Were the Court to delve into these aspects of the complaint, it would necessarily second-guess the applicant</w:t>
      </w:r>
      <w:r w:rsidRPr="00F00EB4" w:rsidR="00F00EB4">
        <w:t>’</w:t>
      </w:r>
      <w:r w:rsidRPr="00F00EB4">
        <w:t xml:space="preserve">s complaints, a task which is not for it to undertake (see </w:t>
      </w:r>
      <w:r w:rsidRPr="00F00EB4">
        <w:rPr>
          <w:i/>
          <w:iCs/>
        </w:rPr>
        <w:t>Grosam</w:t>
      </w:r>
      <w:r w:rsidRPr="00F00EB4">
        <w:rPr>
          <w:i/>
          <w:iCs/>
        </w:rPr>
        <w:t xml:space="preserve">, </w:t>
      </w:r>
      <w:r w:rsidRPr="00F00EB4">
        <w:t>cited above, § 90). The Court concludes that the applicant has failed to adequately substantiate her complaint.</w:t>
      </w:r>
    </w:p>
    <w:p w:rsidRPr="00F00EB4" w:rsidR="0041545E" w:rsidP="00F00EB4" w14:paraId="406F9FA3" w14:textId="55DF6528">
      <w:pPr>
        <w:pStyle w:val="JuPara"/>
      </w:pPr>
      <w:r>
        <w:fldChar w:fldCharType="begin"/>
      </w:r>
      <w:r>
        <w:instrText xml:space="preserve"> SEQ level0 \*arabic \* MERGEFORMAT </w:instrText>
      </w:r>
      <w:r>
        <w:fldChar w:fldCharType="separate"/>
      </w:r>
      <w:r w:rsidRPr="00F00EB4" w:rsidR="00F00EB4">
        <w:rPr>
          <w:noProof/>
        </w:rPr>
        <w:t>23</w:t>
      </w:r>
      <w:r w:rsidRPr="00F00EB4" w:rsidR="00F00EB4">
        <w:rPr>
          <w:noProof/>
        </w:rPr>
        <w:fldChar w:fldCharType="end"/>
      </w:r>
      <w:r w:rsidRPr="00F00EB4">
        <w:t>.  It follows that the complaint under Article 6 is manifestly ill</w:t>
      </w:r>
      <w:r w:rsidRPr="00F00EB4">
        <w:noBreakHyphen/>
        <w:t>founded and the applications must be rejected in accordance with Article 35 §§ 3 (a) and 4 of the Convention.</w:t>
      </w:r>
    </w:p>
    <w:p w:rsidRPr="00F00EB4" w:rsidR="0041545E" w:rsidP="00F00EB4" w14:paraId="154C038A" w14:textId="34C70FF9">
      <w:pPr>
        <w:pStyle w:val="DecList"/>
      </w:pPr>
      <w:r w:rsidRPr="00F00EB4">
        <w:t>For these reasons, the Court, unanimously,</w:t>
      </w:r>
    </w:p>
    <w:p w:rsidRPr="00F00EB4" w:rsidR="0041545E" w:rsidP="00F00EB4" w14:paraId="20307803" w14:textId="77777777">
      <w:pPr>
        <w:pStyle w:val="DecList"/>
        <w:keepNext/>
        <w:keepLines/>
        <w:rPr>
          <w:i/>
        </w:rPr>
      </w:pPr>
      <w:r w:rsidRPr="00F00EB4">
        <w:rPr>
          <w:i/>
        </w:rPr>
        <w:t>Decides</w:t>
      </w:r>
      <w:r w:rsidRPr="00F00EB4">
        <w:t xml:space="preserve"> to join the applications;</w:t>
      </w:r>
    </w:p>
    <w:p w:rsidRPr="00F00EB4" w:rsidR="0041545E" w:rsidP="00F00EB4" w14:paraId="7E78CB60" w14:textId="77777777">
      <w:pPr>
        <w:pStyle w:val="DecList"/>
        <w:keepNext/>
        <w:keepLines/>
      </w:pPr>
      <w:r w:rsidRPr="00F00EB4">
        <w:rPr>
          <w:i/>
        </w:rPr>
        <w:t>Declares</w:t>
      </w:r>
      <w:r w:rsidRPr="00F00EB4">
        <w:t xml:space="preserve"> the applications inadmissible.</w:t>
      </w:r>
    </w:p>
    <w:p w:rsidRPr="00F00EB4" w:rsidR="00BD1692" w:rsidP="00F00EB4" w14:paraId="738AF519" w14:textId="37F81C7B">
      <w:pPr>
        <w:pStyle w:val="JuParaLast"/>
        <w:rPr>
          <w:sz w:val="14"/>
        </w:rPr>
      </w:pPr>
      <w:r w:rsidRPr="00F00EB4">
        <w:t xml:space="preserve">Done in English and notified in writing on </w:t>
      </w:r>
      <w:r w:rsidRPr="00F00EB4" w:rsidR="0041545E">
        <w:rPr>
          <w:noProof/>
        </w:rPr>
        <w:t>10 September 2026</w:t>
      </w:r>
      <w:r w:rsidRPr="00F00EB4">
        <w:t>.</w:t>
      </w:r>
    </w:p>
    <w:p w:rsidRPr="00F00EB4" w:rsidR="00BD1692" w:rsidP="00F00EB4" w14:paraId="34E9AF0D" w14:textId="53541F07">
      <w:pPr>
        <w:pStyle w:val="ECHRPlaceholder"/>
        <w:keepNext/>
        <w:keepLines/>
      </w:pPr>
      <w:r w:rsidRPr="00F00EB4">
        <w:tab/>
      </w:r>
    </w:p>
    <w:p w:rsidRPr="00F00EB4" w:rsidR="00B32591" w:rsidP="00F00EB4" w14:paraId="03ED6004" w14:textId="1A65A165">
      <w:pPr>
        <w:pStyle w:val="JuSigned"/>
        <w:keepNext/>
        <w:keepLines/>
      </w:pPr>
      <w:r w:rsidRPr="00F00EB4">
        <w:tab/>
      </w:r>
      <w:r w:rsidRPr="00F00EB4" w:rsidR="0041545E">
        <w:rPr>
          <w:rFonts w:eastAsia="PMingLiU"/>
          <w:noProof/>
        </w:rPr>
        <w:t>Liv Tigerstedt</w:t>
      </w:r>
      <w:r w:rsidRPr="00F00EB4" w:rsidR="001D1233">
        <w:tab/>
      </w:r>
      <w:r w:rsidRPr="00F00EB4" w:rsidR="0041545E">
        <w:rPr>
          <w:noProof/>
        </w:rPr>
        <w:t>Raffaele Sabato</w:t>
      </w:r>
      <w:r w:rsidRPr="00F00EB4" w:rsidR="001D1233">
        <w:br/>
      </w:r>
      <w:r w:rsidRPr="00F00EB4" w:rsidR="001D1233">
        <w:tab/>
      </w:r>
      <w:r w:rsidRPr="00F00EB4" w:rsidR="0041545E">
        <w:rPr>
          <w:noProof/>
        </w:rPr>
        <w:t>Deputy Registrar</w:t>
      </w:r>
      <w:r w:rsidRPr="00F00EB4" w:rsidR="006267D3">
        <w:tab/>
        <w:t>President</w:t>
      </w:r>
    </w:p>
    <w:p w:rsidRPr="00F00EB4" w:rsidR="00043655" w:rsidP="00F00EB4" w14:paraId="2754137F" w14:textId="77777777">
      <w:pPr>
        <w:pStyle w:val="JuPara"/>
      </w:pPr>
    </w:p>
    <w:p w:rsidRPr="00F00EB4" w:rsidR="00043655" w:rsidP="00F00EB4" w14:paraId="44273B55" w14:textId="343B8862">
      <w:r w:rsidRPr="00F00EB4">
        <w:br w:type="page"/>
      </w:r>
    </w:p>
    <w:p w:rsidRPr="00F00EB4" w:rsidR="00043655" w:rsidP="00F00EB4" w14:paraId="5D3916DF" w14:textId="6AEBE646">
      <w:pPr>
        <w:pStyle w:val="JuPara"/>
        <w:jc w:val="center"/>
      </w:pPr>
      <w:r w:rsidRPr="00F00EB4">
        <w:t>APPENDIX</w:t>
      </w:r>
    </w:p>
    <w:p w:rsidRPr="00F00EB4" w:rsidR="00043655" w:rsidP="00F00EB4" w14:paraId="1B46C9CF" w14:textId="7F77966E">
      <w:pPr>
        <w:pStyle w:val="JuPara"/>
        <w:jc w:val="left"/>
      </w:pPr>
      <w:r w:rsidRPr="00F00EB4">
        <w:t>List of cases:</w:t>
      </w:r>
    </w:p>
    <w:p w:rsidRPr="00F00EB4" w:rsidR="00043655" w:rsidP="00F00EB4" w14:paraId="6F9BAFD8" w14:textId="77777777">
      <w:pPr>
        <w:pStyle w:val="JuPara"/>
        <w:jc w:val="left"/>
      </w:pPr>
    </w:p>
    <w:tbl>
      <w:tblPr>
        <w:tblStyle w:val="ECHRListTable"/>
        <w:tblW w:w="0" w:type="auto"/>
        <w:tblInd w:w="279" w:type="dxa"/>
        <w:tblLook w:val="0420"/>
      </w:tblPr>
      <w:tblGrid>
        <w:gridCol w:w="570"/>
        <w:gridCol w:w="1790"/>
        <w:gridCol w:w="2823"/>
        <w:gridCol w:w="1310"/>
      </w:tblGrid>
      <w:tr w:rsidTr="00043655" w14:paraId="4820D87B" w14:textId="77777777">
        <w:tblPrEx>
          <w:tblW w:w="0" w:type="auto"/>
          <w:tblInd w:w="279" w:type="dxa"/>
          <w:tblLook w:val="0420"/>
        </w:tblPrEx>
        <w:trPr>
          <w:divId w:val="873150068"/>
        </w:trPr>
        <w:tc>
          <w:tcPr>
            <w:tcW w:w="291" w:type="dxa"/>
            <w:hideMark/>
          </w:tcPr>
          <w:p w:rsidRPr="00F00EB4" w:rsidR="00043655" w:rsidP="00F00EB4" w14:paraId="6E8EF77A" w14:textId="77777777">
            <w:pPr>
              <w:rPr>
                <w:rFonts w:eastAsia="Times New Roman"/>
              </w:rPr>
            </w:pPr>
            <w:bookmarkStart w:name="AppTableStart" w:id="11"/>
            <w:bookmarkEnd w:id="11"/>
            <w:r w:rsidRPr="00F00EB4">
              <w:rPr>
                <w:rFonts w:eastAsia="Times New Roman"/>
              </w:rPr>
              <w:t>No.</w:t>
            </w:r>
          </w:p>
        </w:tc>
        <w:tc>
          <w:tcPr>
            <w:tcW w:w="0" w:type="auto"/>
            <w:hideMark/>
          </w:tcPr>
          <w:p w:rsidRPr="00F00EB4" w:rsidR="00043655" w:rsidP="00F00EB4" w14:paraId="7DB8E8C5" w14:textId="77777777">
            <w:pPr>
              <w:rPr>
                <w:rFonts w:eastAsia="Times New Roman"/>
              </w:rPr>
            </w:pPr>
            <w:r w:rsidRPr="00F00EB4">
              <w:rPr>
                <w:rFonts w:eastAsia="Times New Roman"/>
              </w:rPr>
              <w:t>Application no.</w:t>
            </w:r>
          </w:p>
        </w:tc>
        <w:tc>
          <w:tcPr>
            <w:tcW w:w="0" w:type="auto"/>
            <w:hideMark/>
          </w:tcPr>
          <w:p w:rsidRPr="00F00EB4" w:rsidR="00043655" w:rsidP="00F00EB4" w14:paraId="39C6CBAC" w14:textId="77777777">
            <w:pPr>
              <w:rPr>
                <w:rFonts w:eastAsia="Times New Roman"/>
              </w:rPr>
            </w:pPr>
            <w:r w:rsidRPr="00F00EB4">
              <w:rPr>
                <w:rFonts w:eastAsia="Times New Roman"/>
              </w:rPr>
              <w:t>Case name</w:t>
            </w:r>
          </w:p>
        </w:tc>
        <w:tc>
          <w:tcPr>
            <w:tcW w:w="0" w:type="auto"/>
            <w:hideMark/>
          </w:tcPr>
          <w:p w:rsidRPr="00F00EB4" w:rsidR="00043655" w:rsidP="00F00EB4" w14:paraId="1A8053F0" w14:textId="77777777">
            <w:pPr>
              <w:rPr>
                <w:rFonts w:eastAsia="Times New Roman"/>
              </w:rPr>
            </w:pPr>
            <w:r w:rsidRPr="00F00EB4">
              <w:rPr>
                <w:rFonts w:eastAsia="Times New Roman"/>
              </w:rPr>
              <w:t>Lodged on</w:t>
            </w:r>
          </w:p>
        </w:tc>
      </w:tr>
      <w:tr w:rsidTr="00043655" w14:paraId="259CAFE0" w14:textId="77777777">
        <w:tblPrEx>
          <w:tblW w:w="0" w:type="auto"/>
          <w:tblInd w:w="279" w:type="dxa"/>
          <w:tblLook w:val="0420"/>
        </w:tblPrEx>
        <w:trPr>
          <w:divId w:val="873150068"/>
        </w:trPr>
        <w:tc>
          <w:tcPr>
            <w:tcW w:w="291" w:type="dxa"/>
            <w:hideMark/>
          </w:tcPr>
          <w:p w:rsidRPr="00F00EB4" w:rsidR="00043655" w:rsidP="00F00EB4" w14:paraId="2F1DCCAA" w14:textId="77777777">
            <w:pPr>
              <w:rPr>
                <w:rFonts w:eastAsia="Times New Roman"/>
              </w:rPr>
            </w:pPr>
            <w:r w:rsidRPr="00F00EB4">
              <w:rPr>
                <w:rFonts w:eastAsia="Times New Roman"/>
              </w:rPr>
              <w:t>1.</w:t>
            </w:r>
          </w:p>
        </w:tc>
        <w:tc>
          <w:tcPr>
            <w:tcW w:w="0" w:type="auto"/>
            <w:hideMark/>
          </w:tcPr>
          <w:p w:rsidRPr="00F00EB4" w:rsidR="00043655" w:rsidP="00F00EB4" w14:paraId="25415167" w14:textId="77777777">
            <w:pPr>
              <w:rPr>
                <w:rFonts w:eastAsia="Times New Roman"/>
              </w:rPr>
            </w:pPr>
            <w:r w:rsidRPr="00F00EB4">
              <w:rPr>
                <w:rFonts w:eastAsia="Times New Roman"/>
              </w:rPr>
              <w:t>22360/25</w:t>
            </w:r>
          </w:p>
        </w:tc>
        <w:tc>
          <w:tcPr>
            <w:tcW w:w="0" w:type="auto"/>
            <w:hideMark/>
          </w:tcPr>
          <w:p w:rsidRPr="00F00EB4" w:rsidR="00043655" w:rsidP="00F00EB4" w14:paraId="55DCA65F" w14:textId="77777777">
            <w:pPr>
              <w:rPr>
                <w:rFonts w:eastAsia="Times New Roman"/>
              </w:rPr>
            </w:pPr>
            <w:r w:rsidRPr="00F00EB4">
              <w:rPr>
                <w:rFonts w:eastAsia="Times New Roman"/>
              </w:rPr>
              <w:t>Brygidyr</w:t>
            </w:r>
            <w:r w:rsidRPr="00F00EB4">
              <w:rPr>
                <w:rFonts w:eastAsia="Times New Roman"/>
              </w:rPr>
              <w:t>-Dorosz v. Poland</w:t>
            </w:r>
          </w:p>
        </w:tc>
        <w:tc>
          <w:tcPr>
            <w:tcW w:w="0" w:type="auto"/>
            <w:hideMark/>
          </w:tcPr>
          <w:p w:rsidRPr="00F00EB4" w:rsidR="00043655" w:rsidP="00F00EB4" w14:paraId="0CE76F12" w14:textId="77777777">
            <w:pPr>
              <w:rPr>
                <w:rFonts w:eastAsia="Times New Roman"/>
              </w:rPr>
            </w:pPr>
            <w:r w:rsidRPr="00F00EB4">
              <w:rPr>
                <w:rFonts w:eastAsia="Times New Roman"/>
              </w:rPr>
              <w:t>11/07/2025</w:t>
            </w:r>
          </w:p>
        </w:tc>
      </w:tr>
      <w:tr w:rsidTr="00043655" w14:paraId="0B4E4B20" w14:textId="77777777">
        <w:tblPrEx>
          <w:tblW w:w="0" w:type="auto"/>
          <w:tblInd w:w="279" w:type="dxa"/>
          <w:tblLook w:val="0420"/>
        </w:tblPrEx>
        <w:trPr>
          <w:divId w:val="873150068"/>
        </w:trPr>
        <w:tc>
          <w:tcPr>
            <w:tcW w:w="291" w:type="dxa"/>
            <w:hideMark/>
          </w:tcPr>
          <w:p w:rsidRPr="00F00EB4" w:rsidR="00043655" w:rsidP="00F00EB4" w14:paraId="0713EFE8" w14:textId="77777777">
            <w:pPr>
              <w:rPr>
                <w:rFonts w:eastAsia="Times New Roman"/>
              </w:rPr>
            </w:pPr>
            <w:r w:rsidRPr="00F00EB4">
              <w:rPr>
                <w:rFonts w:eastAsia="Times New Roman"/>
              </w:rPr>
              <w:t>2.</w:t>
            </w:r>
          </w:p>
        </w:tc>
        <w:tc>
          <w:tcPr>
            <w:tcW w:w="0" w:type="auto"/>
            <w:hideMark/>
          </w:tcPr>
          <w:p w:rsidRPr="00F00EB4" w:rsidR="00043655" w:rsidP="00F00EB4" w14:paraId="22E74E5B" w14:textId="77777777">
            <w:pPr>
              <w:rPr>
                <w:rFonts w:eastAsia="Times New Roman"/>
              </w:rPr>
            </w:pPr>
            <w:r w:rsidRPr="00F00EB4">
              <w:rPr>
                <w:rFonts w:eastAsia="Times New Roman"/>
              </w:rPr>
              <w:t>29741/25</w:t>
            </w:r>
          </w:p>
        </w:tc>
        <w:tc>
          <w:tcPr>
            <w:tcW w:w="0" w:type="auto"/>
            <w:hideMark/>
          </w:tcPr>
          <w:p w:rsidRPr="00F00EB4" w:rsidR="00043655" w:rsidP="00F00EB4" w14:paraId="1EB5BFF1" w14:textId="18875252">
            <w:pPr>
              <w:rPr>
                <w:rFonts w:eastAsia="Times New Roman"/>
              </w:rPr>
            </w:pPr>
            <w:r w:rsidRPr="00F00EB4">
              <w:rPr>
                <w:rFonts w:eastAsia="Times New Roman"/>
              </w:rPr>
              <w:t>B</w:t>
            </w:r>
            <w:r w:rsidRPr="00F00EB4" w:rsidR="00E44894">
              <w:rPr>
                <w:rFonts w:eastAsia="Times New Roman"/>
              </w:rPr>
              <w:t>r</w:t>
            </w:r>
            <w:r w:rsidRPr="00F00EB4">
              <w:rPr>
                <w:rFonts w:eastAsia="Times New Roman"/>
              </w:rPr>
              <w:t>ygidyr</w:t>
            </w:r>
            <w:r w:rsidRPr="00F00EB4">
              <w:rPr>
                <w:rFonts w:eastAsia="Times New Roman"/>
              </w:rPr>
              <w:t>-Dorosz v. Poland</w:t>
            </w:r>
          </w:p>
        </w:tc>
        <w:tc>
          <w:tcPr>
            <w:tcW w:w="0" w:type="auto"/>
            <w:hideMark/>
          </w:tcPr>
          <w:p w:rsidRPr="00F00EB4" w:rsidR="00043655" w:rsidP="00F00EB4" w14:paraId="3D9153F2" w14:textId="77777777">
            <w:pPr>
              <w:rPr>
                <w:rFonts w:eastAsia="Times New Roman"/>
              </w:rPr>
            </w:pPr>
            <w:r w:rsidRPr="00F00EB4">
              <w:rPr>
                <w:rFonts w:eastAsia="Times New Roman"/>
              </w:rPr>
              <w:t>14/09/2025</w:t>
            </w:r>
          </w:p>
        </w:tc>
      </w:tr>
      <w:tr w:rsidTr="00043655" w14:paraId="15718EBB" w14:textId="77777777">
        <w:tblPrEx>
          <w:tblW w:w="0" w:type="auto"/>
          <w:tblInd w:w="279" w:type="dxa"/>
          <w:tblLook w:val="0420"/>
        </w:tblPrEx>
        <w:trPr>
          <w:divId w:val="873150068"/>
        </w:trPr>
        <w:tc>
          <w:tcPr>
            <w:tcW w:w="291" w:type="dxa"/>
            <w:hideMark/>
          </w:tcPr>
          <w:p w:rsidRPr="00F00EB4" w:rsidR="00043655" w:rsidP="00F00EB4" w14:paraId="55A4C6CB" w14:textId="77777777">
            <w:pPr>
              <w:rPr>
                <w:rFonts w:eastAsia="Times New Roman"/>
              </w:rPr>
            </w:pPr>
            <w:r w:rsidRPr="00F00EB4">
              <w:rPr>
                <w:rFonts w:eastAsia="Times New Roman"/>
              </w:rPr>
              <w:t>3.</w:t>
            </w:r>
          </w:p>
        </w:tc>
        <w:tc>
          <w:tcPr>
            <w:tcW w:w="0" w:type="auto"/>
            <w:hideMark/>
          </w:tcPr>
          <w:p w:rsidRPr="00F00EB4" w:rsidR="00043655" w:rsidP="00F00EB4" w14:paraId="2D6B2E1E" w14:textId="77777777">
            <w:pPr>
              <w:rPr>
                <w:rFonts w:eastAsia="Times New Roman"/>
              </w:rPr>
            </w:pPr>
            <w:r w:rsidRPr="00F00EB4">
              <w:rPr>
                <w:rFonts w:eastAsia="Times New Roman"/>
              </w:rPr>
              <w:t>35079/25</w:t>
            </w:r>
          </w:p>
        </w:tc>
        <w:tc>
          <w:tcPr>
            <w:tcW w:w="0" w:type="auto"/>
            <w:hideMark/>
          </w:tcPr>
          <w:p w:rsidRPr="00F00EB4" w:rsidR="00043655" w:rsidP="00F00EB4" w14:paraId="03D4FC9C" w14:textId="1A6DC206">
            <w:pPr>
              <w:rPr>
                <w:rFonts w:eastAsia="Times New Roman"/>
              </w:rPr>
            </w:pPr>
            <w:r w:rsidRPr="00F00EB4">
              <w:rPr>
                <w:rFonts w:eastAsia="Times New Roman"/>
              </w:rPr>
              <w:t>B</w:t>
            </w:r>
            <w:r w:rsidRPr="00F00EB4" w:rsidR="00E44894">
              <w:rPr>
                <w:rFonts w:eastAsia="Times New Roman"/>
              </w:rPr>
              <w:t>r</w:t>
            </w:r>
            <w:r w:rsidRPr="00F00EB4">
              <w:rPr>
                <w:rFonts w:eastAsia="Times New Roman"/>
              </w:rPr>
              <w:t>ygidyr</w:t>
            </w:r>
            <w:r w:rsidRPr="00F00EB4">
              <w:rPr>
                <w:rFonts w:eastAsia="Times New Roman"/>
              </w:rPr>
              <w:t>-Dorosz v. Poland</w:t>
            </w:r>
          </w:p>
        </w:tc>
        <w:tc>
          <w:tcPr>
            <w:tcW w:w="0" w:type="auto"/>
            <w:hideMark/>
          </w:tcPr>
          <w:p w:rsidRPr="00F00EB4" w:rsidR="00043655" w:rsidP="00F00EB4" w14:paraId="1CEB99A2" w14:textId="77777777">
            <w:pPr>
              <w:rPr>
                <w:rFonts w:eastAsia="Times New Roman"/>
              </w:rPr>
            </w:pPr>
            <w:r w:rsidRPr="00F00EB4">
              <w:rPr>
                <w:rFonts w:eastAsia="Times New Roman"/>
              </w:rPr>
              <w:t>25/10/2025</w:t>
            </w:r>
          </w:p>
        </w:tc>
      </w:tr>
      <w:tr w:rsidTr="00043655" w14:paraId="18A53E99" w14:textId="77777777">
        <w:tblPrEx>
          <w:tblW w:w="0" w:type="auto"/>
          <w:tblInd w:w="279" w:type="dxa"/>
          <w:tblLook w:val="0420"/>
        </w:tblPrEx>
        <w:trPr>
          <w:divId w:val="873150068"/>
        </w:trPr>
        <w:tc>
          <w:tcPr>
            <w:tcW w:w="291" w:type="dxa"/>
            <w:hideMark/>
          </w:tcPr>
          <w:p w:rsidRPr="00F00EB4" w:rsidR="00043655" w:rsidP="00F00EB4" w14:paraId="407D5C39" w14:textId="77777777">
            <w:pPr>
              <w:rPr>
                <w:rFonts w:eastAsia="Times New Roman"/>
              </w:rPr>
            </w:pPr>
            <w:r w:rsidRPr="00F00EB4">
              <w:rPr>
                <w:rFonts w:eastAsia="Times New Roman"/>
              </w:rPr>
              <w:t>4.</w:t>
            </w:r>
          </w:p>
        </w:tc>
        <w:tc>
          <w:tcPr>
            <w:tcW w:w="0" w:type="auto"/>
            <w:hideMark/>
          </w:tcPr>
          <w:p w:rsidRPr="00F00EB4" w:rsidR="00043655" w:rsidP="00F00EB4" w14:paraId="2447CAB4" w14:textId="77777777">
            <w:pPr>
              <w:rPr>
                <w:rFonts w:eastAsia="Times New Roman"/>
              </w:rPr>
            </w:pPr>
            <w:r w:rsidRPr="00F00EB4">
              <w:rPr>
                <w:rFonts w:eastAsia="Times New Roman"/>
              </w:rPr>
              <w:t>35089/25</w:t>
            </w:r>
          </w:p>
        </w:tc>
        <w:tc>
          <w:tcPr>
            <w:tcW w:w="0" w:type="auto"/>
            <w:hideMark/>
          </w:tcPr>
          <w:p w:rsidRPr="00F00EB4" w:rsidR="00043655" w:rsidP="00F00EB4" w14:paraId="7138269E" w14:textId="7FB9166D">
            <w:pPr>
              <w:rPr>
                <w:rFonts w:eastAsia="Times New Roman"/>
              </w:rPr>
            </w:pPr>
            <w:r w:rsidRPr="00F00EB4">
              <w:rPr>
                <w:rFonts w:eastAsia="Times New Roman"/>
              </w:rPr>
              <w:t>B</w:t>
            </w:r>
            <w:r w:rsidRPr="00F00EB4" w:rsidR="00E44894">
              <w:rPr>
                <w:rFonts w:eastAsia="Times New Roman"/>
              </w:rPr>
              <w:t>r</w:t>
            </w:r>
            <w:r w:rsidRPr="00F00EB4">
              <w:rPr>
                <w:rFonts w:eastAsia="Times New Roman"/>
              </w:rPr>
              <w:t>ygidyr</w:t>
            </w:r>
            <w:r w:rsidRPr="00F00EB4">
              <w:rPr>
                <w:rFonts w:eastAsia="Times New Roman"/>
              </w:rPr>
              <w:t>-Dorosz v. Poland</w:t>
            </w:r>
          </w:p>
        </w:tc>
        <w:tc>
          <w:tcPr>
            <w:tcW w:w="0" w:type="auto"/>
            <w:hideMark/>
          </w:tcPr>
          <w:p w:rsidRPr="00F00EB4" w:rsidR="00043655" w:rsidP="00F00EB4" w14:paraId="122E6354" w14:textId="77777777">
            <w:pPr>
              <w:rPr>
                <w:rFonts w:eastAsia="Times New Roman"/>
              </w:rPr>
            </w:pPr>
            <w:r w:rsidRPr="00F00EB4">
              <w:rPr>
                <w:rFonts w:eastAsia="Times New Roman"/>
              </w:rPr>
              <w:t>30/10/2025</w:t>
            </w:r>
          </w:p>
        </w:tc>
      </w:tr>
    </w:tbl>
    <w:p w:rsidRPr="00F00EB4" w:rsidR="00043655" w:rsidP="00F00EB4" w14:paraId="165F2616" w14:textId="77777777">
      <w:pPr>
        <w:divId w:val="873150068"/>
        <w:rPr>
          <w:rFonts w:eastAsia="Times New Roman"/>
        </w:rPr>
      </w:pPr>
    </w:p>
    <w:p w:rsidRPr="00F00EB4" w:rsidR="00043655" w:rsidP="00F00EB4" w14:paraId="323495B0" w14:textId="77777777">
      <w:pPr>
        <w:pStyle w:val="JuPara"/>
        <w:jc w:val="center"/>
      </w:pPr>
    </w:p>
    <w:sectPr w:rsidSect="0076040F">
      <w:headerReference w:type="even" r:id="rId6"/>
      <w:headerReference w:type="default" r:id="rId7"/>
      <w:footerReference w:type="even" r:id="rId8"/>
      <w:footerReference w:type="default" r:id="rId9"/>
      <w:headerReference w:type="first" r:id="rId10"/>
      <w:footerReference w:type="first" r:id="rId11"/>
      <w:endnotePr>
        <w:numFmt w:val="decimal"/>
      </w:endnotePr>
      <w:pgSz w:w="11906" w:h="16838" w:code="9"/>
      <w:pgMar w:top="2274" w:right="2274" w:bottom="2274" w:left="2274" w:header="1701" w:footer="720" w:gutter="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32591" w:rsidRPr="0041545E" w:rsidP="000D61E7" w14:paraId="0660C589" w14:textId="4F947F9F">
    <w:pPr>
      <w:pStyle w:val="JuHeader"/>
    </w:pPr>
    <w:r>
      <w:fldChar w:fldCharType="begin"/>
    </w:r>
    <w:r>
      <w:instrText xml:space="preserve"> PAGE  \* MERGEFORMAT </w:instrText>
    </w:r>
    <w:r>
      <w:fldChar w:fldCharType="separate"/>
    </w:r>
    <w:r>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32591" w:rsidRPr="0041545E" w:rsidP="000D61E7" w14:paraId="53FFF6ED" w14:textId="09BE1DD6">
    <w:pPr>
      <w:pStyle w:val="JuHeader"/>
    </w:pPr>
    <w:r>
      <w:fldChar w:fldCharType="begin"/>
    </w:r>
    <w:r>
      <w:instrText xml:space="preserve"> PAGE  \* MERGEFORMAT </w:instrText>
    </w:r>
    <w:r>
      <w:fldChar w:fldCharType="separate"/>
    </w:r>
    <w:r>
      <w:rPr>
        <w:noProof/>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1545E" w:rsidRPr="00150BFA" w:rsidP="0020718E" w14:paraId="2ADDAB89" w14:textId="38499793">
    <w:pPr>
      <w:jc w:val="center"/>
    </w:pPr>
    <w:r w:rsidRPr="0041545E">
      <w:rPr>
        <w:noProof/>
      </w:rPr>
      <w:drawing>
        <wp:inline distT="0" distB="0" distL="0" distR="0">
          <wp:extent cx="771525" cy="619125"/>
          <wp:effectExtent l="0" t="0" r="9525" b="9525"/>
          <wp:docPr id="995299521" name="Picture 995299521"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299521"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rsidR="00B32591" w:rsidRPr="0041545E" w:rsidP="002E2C77" w14:paraId="7E2619FB" w14:textId="5EFD58EE">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footnote w:type="separator" w:id="0">
    <w:p w:rsidR="00420CD2" w:rsidRPr="0041545E" w14:paraId="0607E401" w14:textId="77777777">
      <w:r w:rsidRPr="0041545E">
        <w:separator/>
      </w:r>
    </w:p>
  </w:footnote>
  <w:footnote w:type="continuationSeparator" w:id="1">
    <w:p w:rsidR="00420CD2" w:rsidRPr="0041545E" w14:paraId="004F3CE8" w14:textId="77777777">
      <w:r w:rsidRPr="0041545E">
        <w:continuationSeparator/>
      </w:r>
    </w:p>
  </w:footnote>
  <w:footnote w:id="2">
    <w:p w:rsidR="0041545E" w:rsidRPr="0041545E" w:rsidP="0041545E" w14:paraId="59F7889C" w14:textId="4F336FF5">
      <w:pPr>
        <w:pStyle w:val="FootnoteText"/>
      </w:pPr>
      <w:r w:rsidRPr="00972373">
        <w:rPr>
          <w:rStyle w:val="FootnoteReference"/>
        </w:rPr>
        <w:footnoteRef/>
      </w:r>
      <w:r w:rsidRPr="00972373">
        <w:rPr>
          <w:rStyle w:val="FootnoteReference"/>
        </w:rPr>
        <w:t xml:space="preserve"> </w:t>
      </w:r>
      <w:r w:rsidRPr="00972373">
        <w:t xml:space="preserve">It should be noted, however, that the applicants in </w:t>
      </w:r>
      <w:r w:rsidRPr="00972373">
        <w:rPr>
          <w:i/>
          <w:iCs/>
        </w:rPr>
        <w:t>Manowska and Others</w:t>
      </w:r>
      <w:r w:rsidRPr="00972373">
        <w:t xml:space="preserve"> complained about domestic proceedings that had been initiated at the request of another person and had concerned the NCJ resolution which had served as the basis for their appointment, and not about the judicial review of rulings given with their participation.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32591" w:rsidRPr="0041545E" w:rsidP="0076040F" w14:paraId="1DF6B877" w14:textId="36725450">
    <w:pPr>
      <w:pStyle w:val="JuHeader"/>
    </w:pPr>
    <w:r>
      <w:t>BRYGIDYR-DOROSZ v. POLAND</w:t>
    </w:r>
    <w:r w:rsidRPr="0041545E">
      <w:rPr>
        <w:noProof/>
      </w:rPr>
      <w:t xml:space="preserve"> AND OTHER APPLICATIONS</w:t>
    </w:r>
    <w:r w:rsidRPr="0041545E" w:rsidR="006267D3">
      <w:t xml:space="preserve"> DECISION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B32591" w:rsidRPr="0041545E" w:rsidP="000D61E7" w14:paraId="72C9E83E" w14:textId="25CFBA41">
    <w:pPr>
      <w:pStyle w:val="JuHeader"/>
    </w:pPr>
    <w:r>
      <w:t>BRYGIDYR-DOROSZ v. POLAND</w:t>
    </w:r>
    <w:r w:rsidRPr="0041545E">
      <w:rPr>
        <w:noProof/>
      </w:rPr>
      <w:t xml:space="preserve"> AND OTHER APPLICATIONS</w:t>
    </w:r>
    <w:r w:rsidRPr="0041545E" w:rsidR="006267D3">
      <w:t xml:space="preserve"> DECISION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p w:rsidR="0041545E" w:rsidRPr="00A45145" w:rsidP="00A45145" w14:paraId="760B3C77" w14:textId="5213E6FA">
    <w:pPr>
      <w:jc w:val="center"/>
    </w:pPr>
    <w:r>
      <w:rPr>
        <w:noProof/>
        <w:lang w:val="en-US"/>
      </w:rPr>
      <w:drawing>
        <wp:inline distT="0" distB="0" distL="0" distR="0">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xmlns:r="http://schemas.openxmlformats.org/officeDocument/2006/relationships" r:embed="rId1">
                    <a:extLst>
                      <a:ext xmlns:a="http://schemas.openxmlformats.org/drawingml/2006/main"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rsidR="00B32591" w:rsidRPr="0041545E" w:rsidP="00EA1004" w14:paraId="7A0009E6" w14:textId="278FC8B7">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mc:Ignorable="w14 w15 wp14 w16se w16cid">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67FD1241"/>
    <w:multiLevelType w:val="hybridMultilevel"/>
    <w:tmpl w:val="F6D86CC2"/>
    <w:lvl w:ilvl="0">
      <w:start w:val="1"/>
      <w:numFmt w:val="bullet"/>
      <w:pStyle w:val="ListBullet"/>
      <w:lvlText w:val=""/>
      <w:lvlJc w:val="left"/>
      <w:pPr>
        <w:tabs>
          <w:tab w:val="num" w:pos="851"/>
        </w:tabs>
        <w:ind w:left="568" w:firstLine="0"/>
      </w:pPr>
      <w:rPr>
        <w:rFonts w:ascii="Wingdings" w:hAnsi="Wingdings" w:hint="default"/>
        <w:color w:val="808080"/>
        <w:sz w:val="16"/>
      </w:rPr>
    </w:lvl>
    <w:lvl w:ilvl="1" w:tentative="1">
      <w:start w:val="1"/>
      <w:numFmt w:val="bullet"/>
      <w:lvlText w:val="o"/>
      <w:lvlJc w:val="left"/>
      <w:pPr>
        <w:tabs>
          <w:tab w:val="num" w:pos="1724"/>
        </w:tabs>
        <w:ind w:left="1724" w:hanging="360"/>
      </w:pPr>
      <w:rPr>
        <w:rFonts w:ascii="Courier New" w:hAnsi="Courier New" w:cs="Courier New" w:hint="default"/>
      </w:rPr>
    </w:lvl>
    <w:lvl w:ilvl="2" w:tentative="1">
      <w:start w:val="1"/>
      <w:numFmt w:val="bullet"/>
      <w:lvlText w:val=""/>
      <w:lvlJc w:val="left"/>
      <w:pPr>
        <w:tabs>
          <w:tab w:val="num" w:pos="2444"/>
        </w:tabs>
        <w:ind w:left="2444" w:hanging="360"/>
      </w:pPr>
      <w:rPr>
        <w:rFonts w:ascii="Wingdings" w:hAnsi="Wingdings" w:hint="default"/>
      </w:rPr>
    </w:lvl>
    <w:lvl w:ilvl="3" w:tentative="1">
      <w:start w:val="1"/>
      <w:numFmt w:val="bullet"/>
      <w:lvlText w:val=""/>
      <w:lvlJc w:val="left"/>
      <w:pPr>
        <w:tabs>
          <w:tab w:val="num" w:pos="3164"/>
        </w:tabs>
        <w:ind w:left="3164" w:hanging="360"/>
      </w:pPr>
      <w:rPr>
        <w:rFonts w:ascii="Symbol" w:hAnsi="Symbol" w:hint="default"/>
      </w:rPr>
    </w:lvl>
    <w:lvl w:ilvl="4" w:tentative="1">
      <w:start w:val="1"/>
      <w:numFmt w:val="bullet"/>
      <w:lvlText w:val="o"/>
      <w:lvlJc w:val="left"/>
      <w:pPr>
        <w:tabs>
          <w:tab w:val="num" w:pos="3884"/>
        </w:tabs>
        <w:ind w:left="3884" w:hanging="360"/>
      </w:pPr>
      <w:rPr>
        <w:rFonts w:ascii="Courier New" w:hAnsi="Courier New" w:cs="Courier New" w:hint="default"/>
      </w:rPr>
    </w:lvl>
    <w:lvl w:ilvl="5" w:tentative="1">
      <w:start w:val="1"/>
      <w:numFmt w:val="bullet"/>
      <w:lvlText w:val=""/>
      <w:lvlJc w:val="left"/>
      <w:pPr>
        <w:tabs>
          <w:tab w:val="num" w:pos="4604"/>
        </w:tabs>
        <w:ind w:left="4604" w:hanging="360"/>
      </w:pPr>
      <w:rPr>
        <w:rFonts w:ascii="Wingdings" w:hAnsi="Wingdings" w:hint="default"/>
      </w:rPr>
    </w:lvl>
    <w:lvl w:ilvl="6" w:tentative="1">
      <w:start w:val="1"/>
      <w:numFmt w:val="bullet"/>
      <w:lvlText w:val=""/>
      <w:lvlJc w:val="left"/>
      <w:pPr>
        <w:tabs>
          <w:tab w:val="num" w:pos="5324"/>
        </w:tabs>
        <w:ind w:left="5324" w:hanging="360"/>
      </w:pPr>
      <w:rPr>
        <w:rFonts w:ascii="Symbol" w:hAnsi="Symbol" w:hint="default"/>
      </w:rPr>
    </w:lvl>
    <w:lvl w:ilvl="7" w:tentative="1">
      <w:start w:val="1"/>
      <w:numFmt w:val="bullet"/>
      <w:lvlText w:val="o"/>
      <w:lvlJc w:val="left"/>
      <w:pPr>
        <w:tabs>
          <w:tab w:val="num" w:pos="6044"/>
        </w:tabs>
        <w:ind w:left="6044" w:hanging="360"/>
      </w:pPr>
      <w:rPr>
        <w:rFonts w:ascii="Courier New" w:hAnsi="Courier New" w:cs="Courier New" w:hint="default"/>
      </w:rPr>
    </w:lvl>
    <w:lvl w:ilvl="8" w:tentative="1">
      <w:start w:val="1"/>
      <w:numFmt w:val="bullet"/>
      <w:lvlText w:val=""/>
      <w:lvlJc w:val="left"/>
      <w:pPr>
        <w:tabs>
          <w:tab w:val="num" w:pos="6764"/>
        </w:tabs>
        <w:ind w:left="6764" w:hanging="360"/>
      </w:pPr>
      <w:rPr>
        <w:rFonts w:ascii="Wingdings" w:hAnsi="Wingdings" w:hint="default"/>
      </w:rPr>
    </w:lvl>
  </w:abstractNum>
  <w:num w:numId="1" w16cid:durableId="1311791710">
    <w:abstractNumId w:val="14"/>
  </w:num>
  <w:num w:numId="2" w16cid:durableId="300963854">
    <w:abstractNumId w:val="12"/>
  </w:num>
  <w:num w:numId="3" w16cid:durableId="1440249556">
    <w:abstractNumId w:val="11"/>
  </w:num>
  <w:num w:numId="4" w16cid:durableId="27874899">
    <w:abstractNumId w:val="15"/>
  </w:num>
  <w:num w:numId="5" w16cid:durableId="1952738355">
    <w:abstractNumId w:val="13"/>
  </w:num>
  <w:num w:numId="6" w16cid:durableId="557742038">
    <w:abstractNumId w:val="16"/>
  </w:num>
  <w:num w:numId="7" w16cid:durableId="522792004">
    <w:abstractNumId w:val="15"/>
  </w:num>
  <w:num w:numId="8" w16cid:durableId="1627393485">
    <w:abstractNumId w:val="16"/>
  </w:num>
  <w:num w:numId="9" w16cid:durableId="2107385991">
    <w:abstractNumId w:val="10"/>
  </w:num>
  <w:num w:numId="10" w16cid:durableId="502941051">
    <w:abstractNumId w:val="9"/>
  </w:num>
  <w:num w:numId="11" w16cid:durableId="937493321">
    <w:abstractNumId w:val="17"/>
  </w:num>
  <w:num w:numId="12" w16cid:durableId="856626653">
    <w:abstractNumId w:val="7"/>
  </w:num>
  <w:num w:numId="13" w16cid:durableId="1808819913">
    <w:abstractNumId w:val="6"/>
  </w:num>
  <w:num w:numId="14" w16cid:durableId="76876268">
    <w:abstractNumId w:val="5"/>
  </w:num>
  <w:num w:numId="15" w16cid:durableId="1664821265">
    <w:abstractNumId w:val="4"/>
  </w:num>
  <w:num w:numId="16" w16cid:durableId="1214541009">
    <w:abstractNumId w:val="8"/>
  </w:num>
  <w:num w:numId="17" w16cid:durableId="1785733083">
    <w:abstractNumId w:val="3"/>
  </w:num>
  <w:num w:numId="18" w16cid:durableId="1132669697">
    <w:abstractNumId w:val="2"/>
  </w:num>
  <w:num w:numId="19" w16cid:durableId="1933201420">
    <w:abstractNumId w:val="1"/>
  </w:num>
  <w:num w:numId="20" w16cid:durableId="565846581">
    <w:abstractNumId w:val="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proofState w:spelling="clean" w:grammar="clean"/>
  <w:stylePaneFormatFilter w:val="D024" w:allStyles="0" w:alternateStyleNames="1" w:clearFormatting="1" w:customStyles="0" w:directFormattingOnNumbering="0" w:directFormattingOnParagraphs="0" w:directFormattingOnRuns="0" w:directFormattingOnTables="0" w:headingStyles="1" w:latentStyles="1" w:numberingStyles="0" w:stylesInUse="0" w:tableStyles="0" w:top3HeadingStyles="0" w:visibleStyles="1"/>
  <w:defaultTabStop w:val="720"/>
  <w:hyphenationZone w:val="425"/>
  <w:evenAndOddHeaders/>
  <w:characterSpacingControl w:val="doNotCompress"/>
  <w:footnotePr>
    <w:footnote w:id="0"/>
    <w:footnote w:id="1"/>
  </w:footnotePr>
  <w:endnotePr>
    <w:numFmt w:val="decimal"/>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545E"/>
    <w:rsid w:val="000216DE"/>
    <w:rsid w:val="0003303F"/>
    <w:rsid w:val="00043655"/>
    <w:rsid w:val="00095FD8"/>
    <w:rsid w:val="000B1FA9"/>
    <w:rsid w:val="000D61E7"/>
    <w:rsid w:val="000E3A89"/>
    <w:rsid w:val="00111093"/>
    <w:rsid w:val="00132029"/>
    <w:rsid w:val="00144EBC"/>
    <w:rsid w:val="00150BFA"/>
    <w:rsid w:val="001D1233"/>
    <w:rsid w:val="001E5B02"/>
    <w:rsid w:val="001F782A"/>
    <w:rsid w:val="0020718E"/>
    <w:rsid w:val="00223591"/>
    <w:rsid w:val="002A7443"/>
    <w:rsid w:val="002B3D22"/>
    <w:rsid w:val="002E2C77"/>
    <w:rsid w:val="00307231"/>
    <w:rsid w:val="003445F2"/>
    <w:rsid w:val="003B50D7"/>
    <w:rsid w:val="003B748C"/>
    <w:rsid w:val="003D443B"/>
    <w:rsid w:val="003E3C60"/>
    <w:rsid w:val="0041545E"/>
    <w:rsid w:val="00420CD2"/>
    <w:rsid w:val="00452087"/>
    <w:rsid w:val="00464268"/>
    <w:rsid w:val="00481602"/>
    <w:rsid w:val="004A4C71"/>
    <w:rsid w:val="004B4E73"/>
    <w:rsid w:val="00526FF1"/>
    <w:rsid w:val="005E51A3"/>
    <w:rsid w:val="005E56C2"/>
    <w:rsid w:val="005F11CB"/>
    <w:rsid w:val="006262FA"/>
    <w:rsid w:val="006267D3"/>
    <w:rsid w:val="006300E9"/>
    <w:rsid w:val="00653EF4"/>
    <w:rsid w:val="00655F86"/>
    <w:rsid w:val="00656B81"/>
    <w:rsid w:val="006D4D63"/>
    <w:rsid w:val="006E123B"/>
    <w:rsid w:val="007054A5"/>
    <w:rsid w:val="007055BD"/>
    <w:rsid w:val="00726BA7"/>
    <w:rsid w:val="0076040F"/>
    <w:rsid w:val="0078750E"/>
    <w:rsid w:val="007907C0"/>
    <w:rsid w:val="007A74FC"/>
    <w:rsid w:val="007B2364"/>
    <w:rsid w:val="007D6831"/>
    <w:rsid w:val="00812D10"/>
    <w:rsid w:val="00831ADC"/>
    <w:rsid w:val="008D10E4"/>
    <w:rsid w:val="008F0A92"/>
    <w:rsid w:val="008F7189"/>
    <w:rsid w:val="00956B2A"/>
    <w:rsid w:val="0096293E"/>
    <w:rsid w:val="009656DE"/>
    <w:rsid w:val="00972373"/>
    <w:rsid w:val="009B6F49"/>
    <w:rsid w:val="009C21E8"/>
    <w:rsid w:val="009E01FB"/>
    <w:rsid w:val="00A26556"/>
    <w:rsid w:val="00A36EFF"/>
    <w:rsid w:val="00A45145"/>
    <w:rsid w:val="00AA5AEE"/>
    <w:rsid w:val="00AA6CE3"/>
    <w:rsid w:val="00AC58E5"/>
    <w:rsid w:val="00AE740C"/>
    <w:rsid w:val="00B140D3"/>
    <w:rsid w:val="00B32591"/>
    <w:rsid w:val="00BA2583"/>
    <w:rsid w:val="00BD1692"/>
    <w:rsid w:val="00BD6E56"/>
    <w:rsid w:val="00C247F7"/>
    <w:rsid w:val="00C42C12"/>
    <w:rsid w:val="00C52488"/>
    <w:rsid w:val="00C702DB"/>
    <w:rsid w:val="00C8038F"/>
    <w:rsid w:val="00CB3BD9"/>
    <w:rsid w:val="00D415D6"/>
    <w:rsid w:val="00DB393A"/>
    <w:rsid w:val="00DB6354"/>
    <w:rsid w:val="00DC6B29"/>
    <w:rsid w:val="00E44894"/>
    <w:rsid w:val="00E5464B"/>
    <w:rsid w:val="00EA1004"/>
    <w:rsid w:val="00EA2042"/>
    <w:rsid w:val="00EE38CA"/>
    <w:rsid w:val="00F00EB4"/>
    <w:rsid w:val="00F0534F"/>
    <w:rsid w:val="00F225EB"/>
    <w:rsid w:val="00F24AB9"/>
    <w:rsid w:val="00FC2655"/>
  </w:rsids>
  <w:docVars>
    <w:docVar w:name="ApplicationsApp" w:val="3"/>
    <w:docVar w:name="AppNatAutre" w:val="0"/>
    <w:docVar w:name="DocVarPREMATURE" w:val="0"/>
    <w:docVar w:name="EMM" w:val="0"/>
    <w:docVar w:name="ETRANSMISSION" w:val="BY E-TRANSMISSION ONLY"/>
    <w:docVar w:name="L4_1Annex" w:val="0"/>
    <w:docVar w:name="L4_1Anonymity" w:val="0"/>
    <w:docVar w:name="NBApplication" w:val="2"/>
    <w:docVar w:name="NBEMMDOC" w:val="0"/>
    <w:docVar w:name="Plural" w:val="3"/>
    <w:docVar w:name="SignForeName" w:val="0"/>
    <w:docVar w:name="SndCaseNumber" w:val="Error!Nodocumentvariablesupplied."/>
  </w:docVar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14:docId w14:val="5906A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6">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qFormat="1"/>
    <w:lsdException w:name="heading 6" w:semiHidden="1" w:unhideWhenUsed="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semiHidden/>
    <w:rsid w:val="007054A5"/>
    <w:rPr>
      <w:sz w:val="24"/>
      <w:szCs w:val="24"/>
      <w:lang w:val="en-GB"/>
    </w:rPr>
  </w:style>
  <w:style w:type="paragraph" w:styleId="Heading1">
    <w:name w:val="heading 1"/>
    <w:basedOn w:val="Normal"/>
    <w:next w:val="Normal"/>
    <w:link w:val="Heading1Char"/>
    <w:uiPriority w:val="98"/>
    <w:semiHidden/>
    <w:rsid w:val="007054A5"/>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7054A5"/>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7054A5"/>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7054A5"/>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7054A5"/>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7054A5"/>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7054A5"/>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7054A5"/>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7054A5"/>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uSigned">
    <w:name w:val="Ju_Signed"/>
    <w:aliases w:val="_Signature"/>
    <w:basedOn w:val="Normal"/>
    <w:next w:val="JuPara"/>
    <w:uiPriority w:val="31"/>
    <w:qFormat/>
    <w:rsid w:val="007054A5"/>
    <w:pPr>
      <w:tabs>
        <w:tab w:val="center" w:pos="1418"/>
        <w:tab w:val="center" w:pos="5954"/>
      </w:tabs>
      <w:spacing w:before="720"/>
    </w:pPr>
  </w:style>
  <w:style w:type="paragraph" w:customStyle="1" w:styleId="JuPara">
    <w:name w:val="Ju_Para"/>
    <w:aliases w:val="_Para"/>
    <w:basedOn w:val="NormalJustified"/>
    <w:uiPriority w:val="4"/>
    <w:qFormat/>
    <w:rsid w:val="007054A5"/>
    <w:pPr>
      <w:ind w:firstLine="284"/>
    </w:pPr>
  </w:style>
  <w:style w:type="character" w:styleId="PageNumber">
    <w:name w:val="page number"/>
    <w:uiPriority w:val="98"/>
    <w:semiHidden/>
    <w:rsid w:val="007054A5"/>
    <w:rPr>
      <w:sz w:val="18"/>
    </w:rPr>
  </w:style>
  <w:style w:type="character" w:styleId="CommentReference">
    <w:name w:val="annotation reference"/>
    <w:basedOn w:val="DefaultParagraphFont"/>
    <w:uiPriority w:val="98"/>
    <w:semiHidden/>
    <w:rsid w:val="007054A5"/>
    <w:rPr>
      <w:sz w:val="16"/>
      <w:szCs w:val="16"/>
    </w:rPr>
  </w:style>
  <w:style w:type="paragraph" w:styleId="CommentText">
    <w:name w:val="annotation text"/>
    <w:basedOn w:val="Normal"/>
    <w:link w:val="CommentTextChar"/>
    <w:uiPriority w:val="98"/>
    <w:semiHidden/>
    <w:rsid w:val="007054A5"/>
    <w:rPr>
      <w:sz w:val="20"/>
      <w:szCs w:val="20"/>
    </w:rPr>
  </w:style>
  <w:style w:type="character" w:customStyle="1" w:styleId="CommentTextChar">
    <w:name w:val="Comment Text Char"/>
    <w:basedOn w:val="DefaultParagraphFont"/>
    <w:link w:val="CommentText"/>
    <w:uiPriority w:val="98"/>
    <w:semiHidden/>
    <w:rsid w:val="007054A5"/>
    <w:rPr>
      <w:sz w:val="20"/>
      <w:szCs w:val="20"/>
      <w:lang w:val="en-GB"/>
    </w:rPr>
  </w:style>
  <w:style w:type="paragraph" w:customStyle="1" w:styleId="DecHTitle">
    <w:name w:val="Dec_H_Title"/>
    <w:aliases w:val="_Title_1"/>
    <w:basedOn w:val="JuPara"/>
    <w:next w:val="JuPara"/>
    <w:uiPriority w:val="38"/>
    <w:qFormat/>
    <w:rsid w:val="007054A5"/>
    <w:pPr>
      <w:keepNext/>
      <w:keepLines/>
      <w:spacing w:after="240"/>
      <w:ind w:firstLine="0"/>
      <w:jc w:val="center"/>
      <w:outlineLvl w:val="0"/>
    </w:pPr>
    <w:rPr>
      <w:rFonts w:asciiTheme="majorHAnsi" w:hAnsiTheme="majorHAnsi"/>
      <w:sz w:val="28"/>
    </w:rPr>
  </w:style>
  <w:style w:type="paragraph" w:customStyle="1" w:styleId="DecHCase">
    <w:name w:val="Dec_H_Case"/>
    <w:aliases w:val="_Title_3"/>
    <w:basedOn w:val="JuPara"/>
    <w:next w:val="JuPara"/>
    <w:uiPriority w:val="38"/>
    <w:qFormat/>
    <w:rsid w:val="007054A5"/>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7054A5"/>
    <w:pPr>
      <w:keepNext/>
      <w:keepLines/>
      <w:spacing w:before="1320" w:after="280"/>
      <w:contextualSpacing/>
      <w:jc w:val="center"/>
    </w:pPr>
    <w:rPr>
      <w:b/>
    </w:rPr>
  </w:style>
  <w:style w:type="paragraph" w:customStyle="1" w:styleId="JuHeader">
    <w:name w:val="Ju_Header"/>
    <w:aliases w:val="_Header"/>
    <w:basedOn w:val="Header0"/>
    <w:uiPriority w:val="29"/>
    <w:qFormat/>
    <w:rsid w:val="007054A5"/>
    <w:pPr>
      <w:tabs>
        <w:tab w:val="clear" w:pos="4536"/>
        <w:tab w:val="clear" w:pos="9072"/>
      </w:tabs>
      <w:jc w:val="center"/>
    </w:pPr>
    <w:rPr>
      <w:sz w:val="18"/>
    </w:rPr>
  </w:style>
  <w:style w:type="paragraph" w:styleId="Header0">
    <w:name w:val="header"/>
    <w:basedOn w:val="Normal"/>
    <w:link w:val="HeaderChar"/>
    <w:uiPriority w:val="98"/>
    <w:semiHidden/>
    <w:rsid w:val="007054A5"/>
    <w:pPr>
      <w:tabs>
        <w:tab w:val="center" w:pos="4536"/>
        <w:tab w:val="right" w:pos="9072"/>
      </w:tabs>
    </w:pPr>
  </w:style>
  <w:style w:type="character" w:customStyle="1" w:styleId="HeaderChar">
    <w:name w:val="Header Char"/>
    <w:basedOn w:val="DefaultParagraphFont"/>
    <w:link w:val="Header0"/>
    <w:uiPriority w:val="98"/>
    <w:semiHidden/>
    <w:rsid w:val="007054A5"/>
    <w:rPr>
      <w:sz w:val="24"/>
      <w:szCs w:val="24"/>
      <w:lang w:val="en-GB"/>
    </w:rPr>
  </w:style>
  <w:style w:type="paragraph" w:styleId="BalloonText">
    <w:name w:val="Balloon Text"/>
    <w:basedOn w:val="Normal"/>
    <w:link w:val="BalloonTextChar"/>
    <w:uiPriority w:val="98"/>
    <w:semiHidden/>
    <w:rsid w:val="007054A5"/>
    <w:rPr>
      <w:rFonts w:ascii="Tahoma" w:hAnsi="Tahoma" w:cs="Tahoma"/>
      <w:sz w:val="16"/>
      <w:szCs w:val="16"/>
    </w:rPr>
  </w:style>
  <w:style w:type="character" w:customStyle="1" w:styleId="BalloonTextChar">
    <w:name w:val="Balloon Text Char"/>
    <w:basedOn w:val="DefaultParagraphFont"/>
    <w:link w:val="BalloonText"/>
    <w:uiPriority w:val="98"/>
    <w:semiHidden/>
    <w:rsid w:val="007054A5"/>
    <w:rPr>
      <w:rFonts w:ascii="Tahoma" w:hAnsi="Tahoma" w:cs="Tahoma"/>
      <w:sz w:val="16"/>
      <w:szCs w:val="16"/>
      <w:lang w:val="en-GB"/>
    </w:rPr>
  </w:style>
  <w:style w:type="table" w:styleId="GridTable1Light">
    <w:name w:val="Grid Table 1 Light"/>
    <w:basedOn w:val="TableNormal"/>
    <w:uiPriority w:val="46"/>
    <w:semiHidden/>
    <w:rsid w:val="0097237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NormalJustified">
    <w:name w:val="Normal_Justified"/>
    <w:basedOn w:val="Normal"/>
    <w:semiHidden/>
    <w:rsid w:val="007054A5"/>
    <w:pPr>
      <w:jc w:val="both"/>
    </w:pPr>
  </w:style>
  <w:style w:type="paragraph" w:customStyle="1" w:styleId="JuQuot">
    <w:name w:val="Ju_Quot"/>
    <w:aliases w:val="_Quote"/>
    <w:basedOn w:val="NormalJustified"/>
    <w:uiPriority w:val="20"/>
    <w:qFormat/>
    <w:rsid w:val="007054A5"/>
    <w:pPr>
      <w:spacing w:before="120" w:after="120"/>
      <w:ind w:left="425" w:firstLine="142"/>
    </w:pPr>
    <w:rPr>
      <w:sz w:val="20"/>
    </w:rPr>
  </w:style>
  <w:style w:type="paragraph" w:customStyle="1" w:styleId="ECHRCoverTitle4">
    <w:name w:val="ECHR_Cover_Title_4"/>
    <w:aliases w:val="_Title_4"/>
    <w:basedOn w:val="JuPara"/>
    <w:next w:val="JuPara"/>
    <w:uiPriority w:val="38"/>
    <w:qFormat/>
    <w:rsid w:val="007054A5"/>
    <w:pPr>
      <w:keepNext/>
      <w:keepLines/>
      <w:tabs>
        <w:tab w:val="right" w:pos="7938"/>
      </w:tabs>
      <w:ind w:firstLine="0"/>
      <w:jc w:val="center"/>
    </w:pPr>
    <w:rPr>
      <w:i/>
    </w:rPr>
  </w:style>
  <w:style w:type="table" w:customStyle="1" w:styleId="ECHRDNTable">
    <w:name w:val="ECHR_DN_Table"/>
    <w:basedOn w:val="TableNormal"/>
    <w:uiPriority w:val="99"/>
    <w:rsid w:val="007054A5"/>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0" w:leftChars="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numbering" w:customStyle="1" w:styleId="ECHRA1StyleBulletedSquare">
    <w:name w:val="ECHR_A1_Style_Bulleted_Square"/>
    <w:basedOn w:val="NoList"/>
    <w:rsid w:val="007054A5"/>
    <w:pPr>
      <w:numPr>
        <w:numId w:val="4"/>
      </w:numPr>
    </w:pPr>
  </w:style>
  <w:style w:type="numbering" w:customStyle="1" w:styleId="ECHRA1StyleList">
    <w:name w:val="ECHR_A1_Style_List"/>
    <w:basedOn w:val="NoList"/>
    <w:uiPriority w:val="99"/>
    <w:rsid w:val="007054A5"/>
    <w:pPr>
      <w:numPr>
        <w:numId w:val="5"/>
      </w:numPr>
    </w:pPr>
  </w:style>
  <w:style w:type="paragraph" w:customStyle="1" w:styleId="JuHArticle">
    <w:name w:val="Ju_H_Article"/>
    <w:aliases w:val="_Title_Quote"/>
    <w:basedOn w:val="Normal"/>
    <w:next w:val="JuQuot"/>
    <w:uiPriority w:val="19"/>
    <w:qFormat/>
    <w:rsid w:val="007054A5"/>
    <w:pPr>
      <w:keepNext/>
      <w:spacing w:before="100" w:beforeAutospacing="1" w:after="120"/>
      <w:contextualSpacing/>
      <w:jc w:val="center"/>
    </w:pPr>
    <w:rPr>
      <w:b/>
      <w:sz w:val="20"/>
    </w:rPr>
  </w:style>
  <w:style w:type="numbering" w:customStyle="1" w:styleId="ECHRA1StyleNumberedList">
    <w:name w:val="ECHR_A1_Style_Numbered_List"/>
    <w:basedOn w:val="NoList"/>
    <w:rsid w:val="007054A5"/>
    <w:pPr>
      <w:numPr>
        <w:numId w:val="6"/>
      </w:numPr>
    </w:pPr>
  </w:style>
  <w:style w:type="table" w:customStyle="1" w:styleId="ECHRHeaderTable">
    <w:name w:val="ECHR_Header_Table"/>
    <w:basedOn w:val="TableNormal"/>
    <w:uiPriority w:val="99"/>
    <w:rsid w:val="007054A5"/>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customStyle="1" w:styleId="JuHHead">
    <w:name w:val="Ju_H_Head"/>
    <w:aliases w:val="_Head_1"/>
    <w:basedOn w:val="Heading1"/>
    <w:next w:val="JuPara"/>
    <w:uiPriority w:val="17"/>
    <w:qFormat/>
    <w:rsid w:val="007054A5"/>
    <w:pPr>
      <w:keepNext/>
      <w:keepLines/>
      <w:spacing w:before="100" w:beforeAutospacing="1" w:after="240"/>
      <w:contextualSpacing w:val="0"/>
      <w:jc w:val="both"/>
    </w:pPr>
    <w:rPr>
      <w:b w:val="0"/>
      <w:caps/>
      <w:color w:val="auto"/>
    </w:rPr>
  </w:style>
  <w:style w:type="paragraph" w:customStyle="1" w:styleId="JuInitialled">
    <w:name w:val="Ju_Initialled"/>
    <w:aliases w:val="_Right"/>
    <w:basedOn w:val="Normal"/>
    <w:uiPriority w:val="30"/>
    <w:qFormat/>
    <w:rsid w:val="007054A5"/>
    <w:pPr>
      <w:tabs>
        <w:tab w:val="center" w:pos="6407"/>
      </w:tabs>
      <w:spacing w:before="720"/>
      <w:jc w:val="right"/>
    </w:pPr>
  </w:style>
  <w:style w:type="table" w:customStyle="1" w:styleId="ECHRHeaderTableReduced">
    <w:name w:val="ECHR_Header_Table_Reduced"/>
    <w:basedOn w:val="TableNormal"/>
    <w:uiPriority w:val="99"/>
    <w:rsid w:val="007054A5"/>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character" w:customStyle="1" w:styleId="JUNAMES">
    <w:name w:val="JU_NAMES"/>
    <w:aliases w:val="_Ju_Names"/>
    <w:uiPriority w:val="33"/>
    <w:qFormat/>
    <w:rsid w:val="007054A5"/>
    <w:rPr>
      <w:caps w:val="0"/>
      <w:smallCaps/>
    </w:rPr>
  </w:style>
  <w:style w:type="character" w:customStyle="1" w:styleId="JuITMark">
    <w:name w:val="Ju_ITMark"/>
    <w:aliases w:val="_ITMark"/>
    <w:basedOn w:val="DefaultParagraphFont"/>
    <w:uiPriority w:val="54"/>
    <w:qFormat/>
    <w:rsid w:val="007054A5"/>
    <w:rPr>
      <w:vanish w:val="0"/>
      <w:color w:val="auto"/>
      <w:sz w:val="14"/>
      <w:bdr w:val="none" w:sz="0" w:space="0" w:color="auto"/>
      <w:shd w:val="clear" w:color="auto" w:fill="FFFFFF" w:themeFill="background1" w:themeFillTint="33"/>
    </w:rPr>
  </w:style>
  <w:style w:type="table" w:customStyle="1" w:styleId="ECHRTable2019">
    <w:name w:val="ECHR_Table_2019"/>
    <w:basedOn w:val="TableNormal"/>
    <w:uiPriority w:val="99"/>
    <w:rsid w:val="007054A5"/>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JuCourt">
    <w:name w:val="Ju_Court"/>
    <w:aliases w:val="_Court_Names"/>
    <w:basedOn w:val="Normal"/>
    <w:next w:val="Normal"/>
    <w:uiPriority w:val="32"/>
    <w:qFormat/>
    <w:rsid w:val="007054A5"/>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7054A5"/>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character" w:customStyle="1" w:styleId="Heading1Char">
    <w:name w:val="Heading 1 Char"/>
    <w:basedOn w:val="DefaultParagraphFont"/>
    <w:link w:val="Heading1"/>
    <w:uiPriority w:val="98"/>
    <w:semiHidden/>
    <w:rsid w:val="007054A5"/>
    <w:rPr>
      <w:rFonts w:asciiTheme="majorHAnsi" w:eastAsiaTheme="majorEastAsia" w:hAnsiTheme="majorHAnsi" w:cstheme="majorBidi"/>
      <w:b/>
      <w:bCs/>
      <w:color w:val="333333"/>
      <w:sz w:val="28"/>
      <w:szCs w:val="28"/>
      <w:lang w:val="en-GB"/>
    </w:rPr>
  </w:style>
  <w:style w:type="paragraph" w:customStyle="1" w:styleId="JuHA">
    <w:name w:val="Ju_H_A"/>
    <w:aliases w:val="_Head_3"/>
    <w:basedOn w:val="Heading3"/>
    <w:next w:val="JuPara"/>
    <w:uiPriority w:val="17"/>
    <w:qFormat/>
    <w:rsid w:val="007054A5"/>
    <w:pPr>
      <w:keepNext/>
      <w:keepLines/>
      <w:numPr>
        <w:ilvl w:val="2"/>
        <w:numId w:val="9"/>
      </w:numPr>
      <w:spacing w:before="100" w:beforeAutospacing="1" w:after="240" w:line="240" w:lineRule="auto"/>
      <w:jc w:val="both"/>
    </w:pPr>
    <w:rPr>
      <w:color w:val="auto"/>
      <w:sz w:val="24"/>
    </w:rPr>
  </w:style>
  <w:style w:type="character" w:customStyle="1" w:styleId="Heading2Char">
    <w:name w:val="Heading 2 Char"/>
    <w:basedOn w:val="DefaultParagraphFont"/>
    <w:link w:val="Heading2"/>
    <w:uiPriority w:val="98"/>
    <w:semiHidden/>
    <w:rsid w:val="007054A5"/>
    <w:rPr>
      <w:rFonts w:asciiTheme="majorHAnsi" w:eastAsiaTheme="majorEastAsia" w:hAnsiTheme="majorHAnsi" w:cstheme="majorBidi"/>
      <w:b/>
      <w:bCs/>
      <w:color w:val="4D4D4D"/>
      <w:sz w:val="26"/>
      <w:szCs w:val="26"/>
      <w:lang w:val="en-GB"/>
    </w:rPr>
  </w:style>
  <w:style w:type="paragraph" w:customStyle="1" w:styleId="JuH1">
    <w:name w:val="Ju_H_1."/>
    <w:aliases w:val="_Head_4"/>
    <w:basedOn w:val="Heading4"/>
    <w:next w:val="JuPara"/>
    <w:uiPriority w:val="17"/>
    <w:rsid w:val="007054A5"/>
    <w:pPr>
      <w:keepNext/>
      <w:keepLines/>
      <w:numPr>
        <w:ilvl w:val="3"/>
        <w:numId w:val="9"/>
      </w:numPr>
      <w:spacing w:before="100" w:beforeAutospacing="1" w:after="120"/>
      <w:jc w:val="both"/>
    </w:pPr>
    <w:rPr>
      <w:b w:val="0"/>
      <w:color w:val="auto"/>
      <w:sz w:val="24"/>
    </w:rPr>
  </w:style>
  <w:style w:type="character" w:customStyle="1" w:styleId="Heading3Char">
    <w:name w:val="Heading 3 Char"/>
    <w:basedOn w:val="DefaultParagraphFont"/>
    <w:link w:val="Heading3"/>
    <w:uiPriority w:val="98"/>
    <w:semiHidden/>
    <w:rsid w:val="007054A5"/>
    <w:rPr>
      <w:rFonts w:asciiTheme="majorHAnsi" w:eastAsiaTheme="majorEastAsia" w:hAnsiTheme="majorHAnsi" w:cstheme="majorBidi"/>
      <w:b/>
      <w:bCs/>
      <w:color w:val="5F5F5F"/>
      <w:lang w:val="en-GB"/>
    </w:rPr>
  </w:style>
  <w:style w:type="paragraph" w:customStyle="1" w:styleId="JuHa0">
    <w:name w:val="Ju_H_a"/>
    <w:aliases w:val="_Head_5"/>
    <w:basedOn w:val="Heading5"/>
    <w:next w:val="JuPara"/>
    <w:uiPriority w:val="17"/>
    <w:rsid w:val="007054A5"/>
    <w:pPr>
      <w:keepNext/>
      <w:keepLines/>
      <w:numPr>
        <w:ilvl w:val="4"/>
        <w:numId w:val="9"/>
      </w:numPr>
      <w:spacing w:before="100" w:beforeAutospacing="1" w:after="120"/>
      <w:jc w:val="both"/>
    </w:pPr>
    <w:rPr>
      <w:color w:val="auto"/>
      <w:sz w:val="20"/>
    </w:rPr>
  </w:style>
  <w:style w:type="character" w:customStyle="1" w:styleId="Heading4Char">
    <w:name w:val="Heading 4 Char"/>
    <w:basedOn w:val="DefaultParagraphFont"/>
    <w:link w:val="Heading4"/>
    <w:uiPriority w:val="98"/>
    <w:semiHidden/>
    <w:rsid w:val="007054A5"/>
    <w:rPr>
      <w:rFonts w:asciiTheme="majorHAnsi" w:eastAsiaTheme="majorEastAsia" w:hAnsiTheme="majorHAnsi" w:cstheme="majorBidi"/>
      <w:b/>
      <w:bCs/>
      <w:i/>
      <w:iCs/>
      <w:color w:val="777777"/>
      <w:lang w:val="en-GB"/>
    </w:rPr>
  </w:style>
  <w:style w:type="paragraph" w:customStyle="1" w:styleId="JuHi">
    <w:name w:val="Ju_H_i"/>
    <w:aliases w:val="_Head_6"/>
    <w:basedOn w:val="Heading6"/>
    <w:next w:val="JuPara"/>
    <w:uiPriority w:val="17"/>
    <w:rsid w:val="007054A5"/>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5Char">
    <w:name w:val="Heading 5 Char"/>
    <w:basedOn w:val="DefaultParagraphFont"/>
    <w:link w:val="Heading5"/>
    <w:uiPriority w:val="98"/>
    <w:semiHidden/>
    <w:rsid w:val="007054A5"/>
    <w:rPr>
      <w:rFonts w:asciiTheme="majorHAnsi" w:eastAsiaTheme="majorEastAsia" w:hAnsiTheme="majorHAnsi" w:cstheme="majorBidi"/>
      <w:b/>
      <w:bCs/>
      <w:color w:val="808080"/>
      <w:lang w:val="en-GB"/>
    </w:rPr>
  </w:style>
  <w:style w:type="paragraph" w:customStyle="1" w:styleId="JuHalpha">
    <w:name w:val="Ju_H_alpha"/>
    <w:aliases w:val="_Head_7"/>
    <w:basedOn w:val="Heading7"/>
    <w:next w:val="JuPara"/>
    <w:uiPriority w:val="17"/>
    <w:rsid w:val="007054A5"/>
    <w:pPr>
      <w:keepNext/>
      <w:keepLines/>
      <w:numPr>
        <w:ilvl w:val="6"/>
        <w:numId w:val="9"/>
      </w:numPr>
      <w:tabs>
        <w:tab w:val="left" w:pos="1361"/>
      </w:tabs>
      <w:spacing w:before="100" w:beforeAutospacing="1" w:after="120"/>
      <w:jc w:val="both"/>
    </w:pPr>
    <w:rPr>
      <w:i w:val="0"/>
      <w:sz w:val="20"/>
    </w:rPr>
  </w:style>
  <w:style w:type="character" w:customStyle="1" w:styleId="Heading6Char">
    <w:name w:val="Heading 6 Char"/>
    <w:basedOn w:val="DefaultParagraphFont"/>
    <w:link w:val="Heading6"/>
    <w:uiPriority w:val="98"/>
    <w:semiHidden/>
    <w:rsid w:val="007054A5"/>
    <w:rPr>
      <w:rFonts w:asciiTheme="majorHAnsi" w:eastAsiaTheme="majorEastAsia" w:hAnsiTheme="majorHAnsi" w:cstheme="majorBidi"/>
      <w:b/>
      <w:bCs/>
      <w:i/>
      <w:iCs/>
      <w:color w:val="7F7F7F" w:themeColor="text1" w:themeTint="80"/>
      <w:lang w:val="en-GB" w:bidi="en-US"/>
    </w:rPr>
  </w:style>
  <w:style w:type="paragraph" w:customStyle="1" w:styleId="JuH">
    <w:name w:val="Ju_H_–"/>
    <w:aliases w:val="_Head_8"/>
    <w:basedOn w:val="Heading8"/>
    <w:next w:val="JuPara"/>
    <w:uiPriority w:val="17"/>
    <w:rsid w:val="007054A5"/>
    <w:pPr>
      <w:keepNext/>
      <w:keepLines/>
      <w:numPr>
        <w:ilvl w:val="7"/>
        <w:numId w:val="9"/>
      </w:numPr>
      <w:spacing w:before="100" w:beforeAutospacing="1" w:after="120"/>
      <w:jc w:val="both"/>
    </w:pPr>
    <w:rPr>
      <w:i/>
    </w:rPr>
  </w:style>
  <w:style w:type="character" w:customStyle="1" w:styleId="Heading7Char">
    <w:name w:val="Heading 7 Char"/>
    <w:basedOn w:val="DefaultParagraphFont"/>
    <w:link w:val="Heading7"/>
    <w:uiPriority w:val="98"/>
    <w:semiHidden/>
    <w:rsid w:val="007054A5"/>
    <w:rPr>
      <w:rFonts w:asciiTheme="majorHAnsi" w:eastAsiaTheme="majorEastAsia" w:hAnsiTheme="majorHAnsi" w:cstheme="majorBidi"/>
      <w:i/>
      <w:iCs/>
      <w:lang w:val="en-GB" w:bidi="en-US"/>
    </w:rPr>
  </w:style>
  <w:style w:type="paragraph" w:customStyle="1" w:styleId="JuParaLast">
    <w:name w:val="Ju_Para_Last"/>
    <w:aliases w:val="_Para_Spaced,ECHR_Para_Spaced"/>
    <w:basedOn w:val="NormalJustified"/>
    <w:uiPriority w:val="5"/>
    <w:qFormat/>
    <w:rsid w:val="007054A5"/>
    <w:pPr>
      <w:keepNext/>
      <w:keepLines/>
      <w:spacing w:before="240" w:after="240"/>
      <w:ind w:firstLine="284"/>
    </w:pPr>
  </w:style>
  <w:style w:type="table" w:customStyle="1" w:styleId="ECHRTableBoxHeader">
    <w:name w:val="ECHR_Table_Box_Header"/>
    <w:basedOn w:val="TableNormal"/>
    <w:rsid w:val="007054A5"/>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paragraph" w:customStyle="1" w:styleId="JuJudges">
    <w:name w:val="Ju_Judges"/>
    <w:aliases w:val="_Judges"/>
    <w:basedOn w:val="Normal"/>
    <w:uiPriority w:val="32"/>
    <w:qFormat/>
    <w:rsid w:val="007054A5"/>
    <w:pPr>
      <w:tabs>
        <w:tab w:val="left" w:pos="567"/>
        <w:tab w:val="left" w:pos="1134"/>
      </w:tabs>
    </w:pPr>
  </w:style>
  <w:style w:type="paragraph" w:customStyle="1" w:styleId="JuList">
    <w:name w:val="Ju_List"/>
    <w:aliases w:val="_List_1"/>
    <w:basedOn w:val="NormalJustified"/>
    <w:uiPriority w:val="23"/>
    <w:qFormat/>
    <w:rsid w:val="007054A5"/>
    <w:pPr>
      <w:numPr>
        <w:numId w:val="10"/>
      </w:numPr>
      <w:spacing w:before="280" w:after="60"/>
    </w:pPr>
  </w:style>
  <w:style w:type="paragraph" w:customStyle="1" w:styleId="JuLista">
    <w:name w:val="Ju_List_a"/>
    <w:aliases w:val="_List_2"/>
    <w:basedOn w:val="NormalJustified"/>
    <w:uiPriority w:val="23"/>
    <w:rsid w:val="007054A5"/>
    <w:pPr>
      <w:numPr>
        <w:ilvl w:val="1"/>
        <w:numId w:val="10"/>
      </w:numPr>
    </w:pPr>
  </w:style>
  <w:style w:type="paragraph" w:customStyle="1" w:styleId="JuListi">
    <w:name w:val="Ju_List_i"/>
    <w:aliases w:val="_List_3"/>
    <w:basedOn w:val="NormalJustified"/>
    <w:uiPriority w:val="23"/>
    <w:rsid w:val="007054A5"/>
    <w:pPr>
      <w:numPr>
        <w:ilvl w:val="2"/>
        <w:numId w:val="10"/>
      </w:numPr>
    </w:pPr>
  </w:style>
  <w:style w:type="table" w:customStyle="1" w:styleId="ECHRTableFax">
    <w:name w:val="ECHR_Table_Fax"/>
    <w:basedOn w:val="TableNormal"/>
    <w:uiPriority w:val="99"/>
    <w:rsid w:val="007054A5"/>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ForInternalUse">
    <w:name w:val="ECHR_Table_For_Internal_Use"/>
    <w:basedOn w:val="TableNormal"/>
    <w:uiPriority w:val="99"/>
    <w:rsid w:val="007054A5"/>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TableMemo">
    <w:name w:val="ECHR_Table_Memo"/>
    <w:basedOn w:val="TableNormal"/>
    <w:uiPriority w:val="99"/>
    <w:rsid w:val="007054A5"/>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character" w:customStyle="1" w:styleId="Heading8Char">
    <w:name w:val="Heading 8 Char"/>
    <w:basedOn w:val="DefaultParagraphFont"/>
    <w:link w:val="Heading8"/>
    <w:uiPriority w:val="98"/>
    <w:semiHidden/>
    <w:rsid w:val="007054A5"/>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7054A5"/>
    <w:rPr>
      <w:rFonts w:asciiTheme="majorHAnsi" w:eastAsiaTheme="majorEastAsia" w:hAnsiTheme="majorHAnsi" w:cstheme="majorBidi"/>
      <w:i/>
      <w:iCs/>
      <w:spacing w:val="5"/>
      <w:sz w:val="20"/>
      <w:szCs w:val="20"/>
      <w:lang w:val="en-GB" w:bidi="en-US"/>
    </w:rPr>
  </w:style>
  <w:style w:type="paragraph" w:styleId="Title">
    <w:name w:val="Title"/>
    <w:basedOn w:val="Normal"/>
    <w:next w:val="Normal"/>
    <w:link w:val="TitleChar"/>
    <w:uiPriority w:val="98"/>
    <w:semiHidden/>
    <w:qFormat/>
    <w:rsid w:val="007054A5"/>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semiHidden/>
    <w:rsid w:val="007054A5"/>
    <w:rPr>
      <w:rFonts w:asciiTheme="majorHAnsi" w:eastAsiaTheme="majorEastAsia" w:hAnsiTheme="majorHAnsi" w:cstheme="majorBidi"/>
      <w:spacing w:val="5"/>
      <w:sz w:val="52"/>
      <w:szCs w:val="52"/>
      <w:lang w:val="en-GB" w:bidi="en-US"/>
    </w:rPr>
  </w:style>
  <w:style w:type="paragraph" w:styleId="Subtitle">
    <w:name w:val="Subtitle"/>
    <w:basedOn w:val="Normal"/>
    <w:next w:val="Normal"/>
    <w:link w:val="SubtitleChar"/>
    <w:uiPriority w:val="98"/>
    <w:semiHidden/>
    <w:qFormat/>
    <w:rsid w:val="007054A5"/>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semiHidden/>
    <w:rsid w:val="007054A5"/>
    <w:rPr>
      <w:rFonts w:asciiTheme="majorHAnsi" w:eastAsiaTheme="majorEastAsia" w:hAnsiTheme="majorHAnsi" w:cstheme="majorBidi"/>
      <w:i/>
      <w:iCs/>
      <w:spacing w:val="13"/>
      <w:sz w:val="24"/>
      <w:szCs w:val="24"/>
      <w:lang w:val="en-GB" w:bidi="en-US"/>
    </w:rPr>
  </w:style>
  <w:style w:type="character" w:styleId="Strong">
    <w:name w:val="Strong"/>
    <w:uiPriority w:val="98"/>
    <w:semiHidden/>
    <w:qFormat/>
    <w:rsid w:val="007054A5"/>
    <w:rPr>
      <w:b/>
      <w:bCs/>
    </w:rPr>
  </w:style>
  <w:style w:type="character" w:styleId="Emphasis">
    <w:name w:val="Emphasis"/>
    <w:uiPriority w:val="98"/>
    <w:semiHidden/>
    <w:qFormat/>
    <w:rsid w:val="007054A5"/>
    <w:rPr>
      <w:b/>
      <w:bCs/>
      <w:i/>
      <w:iCs/>
      <w:spacing w:val="10"/>
      <w:bdr w:val="none" w:sz="0" w:space="0" w:color="auto"/>
      <w:shd w:val="clear" w:color="auto" w:fill="auto"/>
    </w:rPr>
  </w:style>
  <w:style w:type="paragraph" w:styleId="NoSpacing">
    <w:name w:val="No Spacing"/>
    <w:basedOn w:val="Normal"/>
    <w:link w:val="NoSpacingChar"/>
    <w:uiPriority w:val="98"/>
    <w:semiHidden/>
    <w:qFormat/>
    <w:rsid w:val="007054A5"/>
  </w:style>
  <w:style w:type="character" w:customStyle="1" w:styleId="NoSpacingChar">
    <w:name w:val="No Spacing Char"/>
    <w:basedOn w:val="DefaultParagraphFont"/>
    <w:link w:val="NoSpacing"/>
    <w:uiPriority w:val="98"/>
    <w:semiHidden/>
    <w:rsid w:val="007054A5"/>
    <w:rPr>
      <w:sz w:val="24"/>
      <w:szCs w:val="24"/>
      <w:lang w:val="en-GB"/>
    </w:rPr>
  </w:style>
  <w:style w:type="paragraph" w:styleId="ListParagraph">
    <w:name w:val="List Paragraph"/>
    <w:basedOn w:val="Normal"/>
    <w:uiPriority w:val="98"/>
    <w:semiHidden/>
    <w:qFormat/>
    <w:rsid w:val="007054A5"/>
    <w:pPr>
      <w:ind w:left="720"/>
      <w:contextualSpacing/>
    </w:pPr>
  </w:style>
  <w:style w:type="paragraph" w:styleId="Quote0">
    <w:name w:val="Quote"/>
    <w:basedOn w:val="Normal"/>
    <w:next w:val="Normal"/>
    <w:link w:val="QuoteChar"/>
    <w:uiPriority w:val="98"/>
    <w:semiHidden/>
    <w:qFormat/>
    <w:rsid w:val="007054A5"/>
    <w:pPr>
      <w:spacing w:before="200"/>
      <w:ind w:left="360" w:right="360"/>
    </w:pPr>
    <w:rPr>
      <w:i/>
      <w:iCs/>
      <w:lang w:bidi="en-US"/>
    </w:rPr>
  </w:style>
  <w:style w:type="character" w:customStyle="1" w:styleId="QuoteChar">
    <w:name w:val="Quote Char"/>
    <w:basedOn w:val="DefaultParagraphFont"/>
    <w:link w:val="Quote0"/>
    <w:uiPriority w:val="98"/>
    <w:semiHidden/>
    <w:rsid w:val="007054A5"/>
    <w:rPr>
      <w:i/>
      <w:iCs/>
      <w:sz w:val="24"/>
      <w:szCs w:val="24"/>
      <w:lang w:val="en-GB" w:bidi="en-US"/>
    </w:rPr>
  </w:style>
  <w:style w:type="paragraph" w:styleId="IntenseQuote">
    <w:name w:val="Intense Quote"/>
    <w:basedOn w:val="Normal"/>
    <w:next w:val="Normal"/>
    <w:link w:val="IntenseQuoteChar"/>
    <w:uiPriority w:val="98"/>
    <w:semiHidden/>
    <w:qFormat/>
    <w:rsid w:val="007054A5"/>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semiHidden/>
    <w:rsid w:val="007054A5"/>
    <w:rPr>
      <w:b/>
      <w:bCs/>
      <w:i/>
      <w:iCs/>
      <w:sz w:val="24"/>
      <w:szCs w:val="24"/>
      <w:lang w:val="en-GB" w:bidi="en-US"/>
    </w:rPr>
  </w:style>
  <w:style w:type="character" w:styleId="SubtleEmphasis">
    <w:name w:val="Subtle Emphasis"/>
    <w:uiPriority w:val="98"/>
    <w:semiHidden/>
    <w:qFormat/>
    <w:rsid w:val="007054A5"/>
    <w:rPr>
      <w:i/>
      <w:iCs/>
    </w:rPr>
  </w:style>
  <w:style w:type="character" w:styleId="IntenseEmphasis">
    <w:name w:val="Intense Emphasis"/>
    <w:uiPriority w:val="98"/>
    <w:semiHidden/>
    <w:qFormat/>
    <w:rsid w:val="007054A5"/>
    <w:rPr>
      <w:b/>
      <w:bCs/>
    </w:rPr>
  </w:style>
  <w:style w:type="character" w:styleId="SubtleReference">
    <w:name w:val="Subtle Reference"/>
    <w:uiPriority w:val="98"/>
    <w:semiHidden/>
    <w:qFormat/>
    <w:rsid w:val="007054A5"/>
    <w:rPr>
      <w:smallCaps/>
    </w:rPr>
  </w:style>
  <w:style w:type="character" w:styleId="IntenseReference">
    <w:name w:val="Intense Reference"/>
    <w:uiPriority w:val="98"/>
    <w:semiHidden/>
    <w:qFormat/>
    <w:rsid w:val="007054A5"/>
    <w:rPr>
      <w:smallCaps/>
      <w:spacing w:val="5"/>
      <w:u w:val="single"/>
    </w:rPr>
  </w:style>
  <w:style w:type="character" w:styleId="BookTitle">
    <w:name w:val="Book Title"/>
    <w:uiPriority w:val="98"/>
    <w:semiHidden/>
    <w:qFormat/>
    <w:rsid w:val="007054A5"/>
    <w:rPr>
      <w:i/>
      <w:iCs/>
      <w:smallCaps/>
      <w:spacing w:val="5"/>
    </w:rPr>
  </w:style>
  <w:style w:type="paragraph" w:styleId="TOCHeading">
    <w:name w:val="TOC Heading"/>
    <w:basedOn w:val="Normal"/>
    <w:next w:val="Normal"/>
    <w:uiPriority w:val="98"/>
    <w:semiHidden/>
    <w:qFormat/>
    <w:rsid w:val="007054A5"/>
    <w:pPr>
      <w:keepNext/>
      <w:keepLines/>
      <w:spacing w:before="240"/>
      <w:contextualSpacing/>
      <w:jc w:val="center"/>
    </w:pPr>
    <w:rPr>
      <w:rFonts w:asciiTheme="majorHAnsi" w:hAnsiTheme="majorHAnsi"/>
      <w:b/>
      <w:color w:val="424242" w:themeColor="accent3" w:themeShade="BF"/>
      <w:sz w:val="28"/>
    </w:rPr>
  </w:style>
  <w:style w:type="numbering" w:styleId="111111">
    <w:name w:val="Outline List 2"/>
    <w:basedOn w:val="NoList"/>
    <w:uiPriority w:val="99"/>
    <w:semiHidden/>
    <w:unhideWhenUsed/>
    <w:rsid w:val="007054A5"/>
    <w:pPr>
      <w:numPr>
        <w:numId w:val="1"/>
      </w:numPr>
    </w:pPr>
  </w:style>
  <w:style w:type="numbering" w:styleId="1ai">
    <w:name w:val="Outline List 1"/>
    <w:basedOn w:val="NoList"/>
    <w:uiPriority w:val="99"/>
    <w:semiHidden/>
    <w:unhideWhenUsed/>
    <w:rsid w:val="007054A5"/>
    <w:pPr>
      <w:numPr>
        <w:numId w:val="2"/>
      </w:numPr>
    </w:pPr>
  </w:style>
  <w:style w:type="numbering" w:styleId="ArticleSection">
    <w:name w:val="Outline List 3"/>
    <w:basedOn w:val="NoList"/>
    <w:uiPriority w:val="99"/>
    <w:semiHidden/>
    <w:unhideWhenUsed/>
    <w:rsid w:val="007054A5"/>
    <w:pPr>
      <w:numPr>
        <w:numId w:val="3"/>
      </w:numPr>
    </w:pPr>
  </w:style>
  <w:style w:type="paragraph" w:styleId="Bibliography">
    <w:name w:val="Bibliography"/>
    <w:basedOn w:val="Normal"/>
    <w:next w:val="Normal"/>
    <w:uiPriority w:val="98"/>
    <w:semiHidden/>
    <w:rsid w:val="007054A5"/>
  </w:style>
  <w:style w:type="paragraph" w:styleId="BlockText">
    <w:name w:val="Block Text"/>
    <w:basedOn w:val="Normal"/>
    <w:uiPriority w:val="98"/>
    <w:semiHidden/>
    <w:rsid w:val="007054A5"/>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8"/>
    <w:semiHidden/>
    <w:rsid w:val="007054A5"/>
    <w:pPr>
      <w:spacing w:after="120"/>
    </w:pPr>
  </w:style>
  <w:style w:type="character" w:customStyle="1" w:styleId="BodyTextChar">
    <w:name w:val="Body Text Char"/>
    <w:basedOn w:val="DefaultParagraphFont"/>
    <w:link w:val="BodyText"/>
    <w:uiPriority w:val="98"/>
    <w:semiHidden/>
    <w:rsid w:val="007054A5"/>
    <w:rPr>
      <w:sz w:val="24"/>
      <w:szCs w:val="24"/>
      <w:lang w:val="en-GB"/>
    </w:rPr>
  </w:style>
  <w:style w:type="paragraph" w:styleId="BodyText2">
    <w:name w:val="Body Text 2"/>
    <w:basedOn w:val="Normal"/>
    <w:link w:val="BodyText2Char"/>
    <w:uiPriority w:val="98"/>
    <w:semiHidden/>
    <w:rsid w:val="007054A5"/>
    <w:pPr>
      <w:spacing w:after="120" w:line="480" w:lineRule="auto"/>
    </w:pPr>
  </w:style>
  <w:style w:type="character" w:customStyle="1" w:styleId="BodyText2Char">
    <w:name w:val="Body Text 2 Char"/>
    <w:basedOn w:val="DefaultParagraphFont"/>
    <w:link w:val="BodyText2"/>
    <w:uiPriority w:val="98"/>
    <w:semiHidden/>
    <w:rsid w:val="007054A5"/>
    <w:rPr>
      <w:sz w:val="24"/>
      <w:szCs w:val="24"/>
      <w:lang w:val="en-GB"/>
    </w:rPr>
  </w:style>
  <w:style w:type="paragraph" w:styleId="BodyText3">
    <w:name w:val="Body Text 3"/>
    <w:basedOn w:val="Normal"/>
    <w:link w:val="BodyText3Char"/>
    <w:uiPriority w:val="98"/>
    <w:semiHidden/>
    <w:rsid w:val="007054A5"/>
    <w:pPr>
      <w:spacing w:after="120"/>
    </w:pPr>
    <w:rPr>
      <w:sz w:val="16"/>
      <w:szCs w:val="16"/>
    </w:rPr>
  </w:style>
  <w:style w:type="character" w:customStyle="1" w:styleId="BodyText3Char">
    <w:name w:val="Body Text 3 Char"/>
    <w:basedOn w:val="DefaultParagraphFont"/>
    <w:link w:val="BodyText3"/>
    <w:uiPriority w:val="98"/>
    <w:semiHidden/>
    <w:rsid w:val="007054A5"/>
    <w:rPr>
      <w:sz w:val="16"/>
      <w:szCs w:val="16"/>
      <w:lang w:val="en-GB"/>
    </w:rPr>
  </w:style>
  <w:style w:type="paragraph" w:styleId="BodyTextFirstIndent">
    <w:name w:val="Body Text First Indent"/>
    <w:basedOn w:val="BodyText"/>
    <w:link w:val="BodyTextFirstIndentChar"/>
    <w:uiPriority w:val="98"/>
    <w:semiHidden/>
    <w:rsid w:val="007054A5"/>
    <w:pPr>
      <w:spacing w:after="0"/>
      <w:ind w:firstLine="360"/>
    </w:pPr>
  </w:style>
  <w:style w:type="character" w:customStyle="1" w:styleId="BodyTextFirstIndentChar">
    <w:name w:val="Body Text First Indent Char"/>
    <w:basedOn w:val="BodyTextChar"/>
    <w:link w:val="BodyTextFirstIndent"/>
    <w:uiPriority w:val="98"/>
    <w:semiHidden/>
    <w:rsid w:val="007054A5"/>
    <w:rPr>
      <w:sz w:val="24"/>
      <w:szCs w:val="24"/>
      <w:lang w:val="en-GB"/>
    </w:rPr>
  </w:style>
  <w:style w:type="paragraph" w:styleId="BodyTextIndent">
    <w:name w:val="Body Text Indent"/>
    <w:basedOn w:val="Normal"/>
    <w:link w:val="BodyTextIndentChar"/>
    <w:uiPriority w:val="98"/>
    <w:semiHidden/>
    <w:rsid w:val="007054A5"/>
    <w:pPr>
      <w:spacing w:after="120"/>
      <w:ind w:left="283"/>
    </w:pPr>
  </w:style>
  <w:style w:type="character" w:customStyle="1" w:styleId="BodyTextIndentChar">
    <w:name w:val="Body Text Indent Char"/>
    <w:basedOn w:val="DefaultParagraphFont"/>
    <w:link w:val="BodyTextIndent"/>
    <w:uiPriority w:val="98"/>
    <w:semiHidden/>
    <w:rsid w:val="007054A5"/>
    <w:rPr>
      <w:sz w:val="24"/>
      <w:szCs w:val="24"/>
      <w:lang w:val="en-GB"/>
    </w:rPr>
  </w:style>
  <w:style w:type="paragraph" w:styleId="BodyTextFirstIndent2">
    <w:name w:val="Body Text First Indent 2"/>
    <w:basedOn w:val="BodyTextIndent"/>
    <w:link w:val="BodyTextFirstIndent2Char"/>
    <w:uiPriority w:val="98"/>
    <w:semiHidden/>
    <w:rsid w:val="007054A5"/>
    <w:pPr>
      <w:spacing w:after="0"/>
      <w:ind w:left="360" w:firstLine="360"/>
    </w:pPr>
  </w:style>
  <w:style w:type="character" w:customStyle="1" w:styleId="BodyTextFirstIndent2Char">
    <w:name w:val="Body Text First Indent 2 Char"/>
    <w:basedOn w:val="BodyTextIndentChar"/>
    <w:link w:val="BodyTextFirstIndent2"/>
    <w:uiPriority w:val="98"/>
    <w:semiHidden/>
    <w:rsid w:val="007054A5"/>
    <w:rPr>
      <w:sz w:val="24"/>
      <w:szCs w:val="24"/>
      <w:lang w:val="en-GB"/>
    </w:rPr>
  </w:style>
  <w:style w:type="paragraph" w:styleId="BodyTextIndent2">
    <w:name w:val="Body Text Indent 2"/>
    <w:basedOn w:val="Normal"/>
    <w:link w:val="BodyTextIndent2Char"/>
    <w:uiPriority w:val="98"/>
    <w:semiHidden/>
    <w:rsid w:val="007054A5"/>
    <w:pPr>
      <w:spacing w:after="120" w:line="480" w:lineRule="auto"/>
      <w:ind w:left="283"/>
    </w:pPr>
  </w:style>
  <w:style w:type="character" w:customStyle="1" w:styleId="BodyTextIndent2Char">
    <w:name w:val="Body Text Indent 2 Char"/>
    <w:basedOn w:val="DefaultParagraphFont"/>
    <w:link w:val="BodyTextIndent2"/>
    <w:uiPriority w:val="98"/>
    <w:semiHidden/>
    <w:rsid w:val="007054A5"/>
    <w:rPr>
      <w:sz w:val="24"/>
      <w:szCs w:val="24"/>
      <w:lang w:val="en-GB"/>
    </w:rPr>
  </w:style>
  <w:style w:type="paragraph" w:styleId="BodyTextIndent3">
    <w:name w:val="Body Text Indent 3"/>
    <w:basedOn w:val="Normal"/>
    <w:link w:val="BodyTextIndent3Char"/>
    <w:uiPriority w:val="98"/>
    <w:semiHidden/>
    <w:rsid w:val="007054A5"/>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7054A5"/>
    <w:rPr>
      <w:sz w:val="16"/>
      <w:szCs w:val="16"/>
      <w:lang w:val="en-GB"/>
    </w:rPr>
  </w:style>
  <w:style w:type="paragraph" w:styleId="Caption">
    <w:name w:val="caption"/>
    <w:basedOn w:val="Normal"/>
    <w:next w:val="Normal"/>
    <w:uiPriority w:val="98"/>
    <w:semiHidden/>
    <w:qFormat/>
    <w:rsid w:val="007054A5"/>
    <w:pPr>
      <w:spacing w:after="200"/>
    </w:pPr>
    <w:rPr>
      <w:b/>
      <w:bCs/>
      <w:color w:val="0072BC" w:themeColor="accent1"/>
      <w:sz w:val="18"/>
      <w:szCs w:val="18"/>
    </w:rPr>
  </w:style>
  <w:style w:type="paragraph" w:styleId="Closing">
    <w:name w:val="Closing"/>
    <w:basedOn w:val="Normal"/>
    <w:link w:val="ClosingChar"/>
    <w:uiPriority w:val="98"/>
    <w:semiHidden/>
    <w:rsid w:val="007054A5"/>
    <w:pPr>
      <w:ind w:left="4252"/>
    </w:pPr>
  </w:style>
  <w:style w:type="character" w:customStyle="1" w:styleId="ClosingChar">
    <w:name w:val="Closing Char"/>
    <w:basedOn w:val="DefaultParagraphFont"/>
    <w:link w:val="Closing"/>
    <w:uiPriority w:val="98"/>
    <w:semiHidden/>
    <w:rsid w:val="007054A5"/>
    <w:rPr>
      <w:sz w:val="24"/>
      <w:szCs w:val="24"/>
      <w:lang w:val="en-GB"/>
    </w:rPr>
  </w:style>
  <w:style w:type="table" w:styleId="ColorfulGrid">
    <w:name w:val="Colorful Grid"/>
    <w:basedOn w:val="TableNormal"/>
    <w:uiPriority w:val="73"/>
    <w:semiHidden/>
    <w:rsid w:val="007054A5"/>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7054A5"/>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7054A5"/>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7054A5"/>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ColorfulGridAccent4">
    <w:name w:val="Colorful Grid Accent 4"/>
    <w:basedOn w:val="TableNormal"/>
    <w:uiPriority w:val="73"/>
    <w:semiHidden/>
    <w:rsid w:val="007054A5"/>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7054A5"/>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7054A5"/>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7054A5"/>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7054A5"/>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7054A5"/>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7054A5"/>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ColorfulListAccent4">
    <w:name w:val="Colorful List Accent 4"/>
    <w:basedOn w:val="TableNormal"/>
    <w:uiPriority w:val="72"/>
    <w:semiHidden/>
    <w:rsid w:val="007054A5"/>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7054A5"/>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7054A5"/>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7054A5"/>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7054A5"/>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7054A5"/>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7054A5"/>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ColorfulShadingAccent4">
    <w:name w:val="Colorful Shading Accent 4"/>
    <w:basedOn w:val="TableNormal"/>
    <w:uiPriority w:val="71"/>
    <w:semiHidden/>
    <w:rsid w:val="007054A5"/>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7054A5"/>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7054A5"/>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8"/>
    <w:semiHidden/>
    <w:rsid w:val="007054A5"/>
    <w:rPr>
      <w:b/>
      <w:bCs/>
    </w:rPr>
  </w:style>
  <w:style w:type="character" w:customStyle="1" w:styleId="CommentSubjectChar">
    <w:name w:val="Comment Subject Char"/>
    <w:basedOn w:val="CommentTextChar"/>
    <w:link w:val="CommentSubject"/>
    <w:uiPriority w:val="98"/>
    <w:semiHidden/>
    <w:rsid w:val="007054A5"/>
    <w:rPr>
      <w:b/>
      <w:bCs/>
      <w:sz w:val="20"/>
      <w:szCs w:val="20"/>
      <w:lang w:val="en-GB"/>
    </w:rPr>
  </w:style>
  <w:style w:type="table" w:styleId="DarkList">
    <w:name w:val="Dark List"/>
    <w:basedOn w:val="TableNormal"/>
    <w:uiPriority w:val="70"/>
    <w:semiHidden/>
    <w:rsid w:val="007054A5"/>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7054A5"/>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7054A5"/>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7054A5"/>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DarkListAccent4">
    <w:name w:val="Dark List Accent 4"/>
    <w:basedOn w:val="TableNormal"/>
    <w:uiPriority w:val="70"/>
    <w:semiHidden/>
    <w:rsid w:val="007054A5"/>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7054A5"/>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7054A5"/>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7054A5"/>
  </w:style>
  <w:style w:type="character" w:customStyle="1" w:styleId="DateChar">
    <w:name w:val="Date Char"/>
    <w:basedOn w:val="DefaultParagraphFont"/>
    <w:link w:val="Date"/>
    <w:uiPriority w:val="98"/>
    <w:semiHidden/>
    <w:rsid w:val="007054A5"/>
    <w:rPr>
      <w:sz w:val="24"/>
      <w:szCs w:val="24"/>
      <w:lang w:val="en-GB"/>
    </w:rPr>
  </w:style>
  <w:style w:type="paragraph" w:styleId="DocumentMap">
    <w:name w:val="Document Map"/>
    <w:basedOn w:val="Normal"/>
    <w:link w:val="DocumentMapChar"/>
    <w:uiPriority w:val="98"/>
    <w:semiHidden/>
    <w:rsid w:val="007054A5"/>
    <w:rPr>
      <w:rFonts w:ascii="Tahoma" w:hAnsi="Tahoma" w:cs="Tahoma"/>
      <w:sz w:val="16"/>
      <w:szCs w:val="16"/>
    </w:rPr>
  </w:style>
  <w:style w:type="character" w:customStyle="1" w:styleId="DocumentMapChar">
    <w:name w:val="Document Map Char"/>
    <w:basedOn w:val="DefaultParagraphFont"/>
    <w:link w:val="DocumentMap"/>
    <w:uiPriority w:val="98"/>
    <w:semiHidden/>
    <w:rsid w:val="007054A5"/>
    <w:rPr>
      <w:rFonts w:ascii="Tahoma" w:hAnsi="Tahoma" w:cs="Tahoma"/>
      <w:sz w:val="16"/>
      <w:szCs w:val="16"/>
      <w:lang w:val="en-GB"/>
    </w:rPr>
  </w:style>
  <w:style w:type="paragraph" w:styleId="E-mailSignature">
    <w:name w:val="E-mail Signature"/>
    <w:basedOn w:val="Normal"/>
    <w:link w:val="E-mailSignatureChar"/>
    <w:uiPriority w:val="98"/>
    <w:semiHidden/>
    <w:rsid w:val="007054A5"/>
  </w:style>
  <w:style w:type="character" w:customStyle="1" w:styleId="E-mailSignatureChar">
    <w:name w:val="E-mail Signature Char"/>
    <w:basedOn w:val="DefaultParagraphFont"/>
    <w:link w:val="E-mailSignature"/>
    <w:uiPriority w:val="98"/>
    <w:semiHidden/>
    <w:rsid w:val="007054A5"/>
    <w:rPr>
      <w:sz w:val="24"/>
      <w:szCs w:val="24"/>
      <w:lang w:val="en-GB"/>
    </w:rPr>
  </w:style>
  <w:style w:type="character" w:styleId="EndnoteReference">
    <w:name w:val="endnote reference"/>
    <w:basedOn w:val="DefaultParagraphFont"/>
    <w:uiPriority w:val="98"/>
    <w:semiHidden/>
    <w:rsid w:val="007054A5"/>
    <w:rPr>
      <w:vertAlign w:val="superscript"/>
    </w:rPr>
  </w:style>
  <w:style w:type="paragraph" w:styleId="EndnoteText">
    <w:name w:val="endnote text"/>
    <w:basedOn w:val="Normal"/>
    <w:link w:val="EndnoteTextChar"/>
    <w:uiPriority w:val="98"/>
    <w:semiHidden/>
    <w:rsid w:val="007054A5"/>
    <w:rPr>
      <w:sz w:val="20"/>
      <w:szCs w:val="20"/>
    </w:rPr>
  </w:style>
  <w:style w:type="character" w:customStyle="1" w:styleId="EndnoteTextChar">
    <w:name w:val="Endnote Text Char"/>
    <w:basedOn w:val="DefaultParagraphFont"/>
    <w:link w:val="EndnoteText"/>
    <w:uiPriority w:val="98"/>
    <w:semiHidden/>
    <w:rsid w:val="007054A5"/>
    <w:rPr>
      <w:sz w:val="20"/>
      <w:szCs w:val="20"/>
      <w:lang w:val="en-GB"/>
    </w:rPr>
  </w:style>
  <w:style w:type="paragraph" w:styleId="EnvelopeAddress">
    <w:name w:val="envelope address"/>
    <w:basedOn w:val="Normal"/>
    <w:uiPriority w:val="98"/>
    <w:semiHidden/>
    <w:rsid w:val="007054A5"/>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7054A5"/>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7054A5"/>
    <w:rPr>
      <w:color w:val="7030A0" w:themeColor="followedHyperlink"/>
      <w:u w:val="single"/>
    </w:rPr>
  </w:style>
  <w:style w:type="character" w:styleId="FootnoteReference">
    <w:name w:val="footnote reference"/>
    <w:basedOn w:val="DefaultParagraphFont"/>
    <w:uiPriority w:val="98"/>
    <w:semiHidden/>
    <w:rsid w:val="007054A5"/>
    <w:rPr>
      <w:vertAlign w:val="superscript"/>
    </w:rPr>
  </w:style>
  <w:style w:type="paragraph" w:styleId="FootnoteText">
    <w:name w:val="footnote text"/>
    <w:basedOn w:val="NormalJustified"/>
    <w:link w:val="FootnoteTextChar"/>
    <w:uiPriority w:val="98"/>
    <w:semiHidden/>
    <w:rsid w:val="007054A5"/>
    <w:rPr>
      <w:sz w:val="20"/>
      <w:szCs w:val="20"/>
    </w:rPr>
  </w:style>
  <w:style w:type="character" w:customStyle="1" w:styleId="FootnoteTextChar">
    <w:name w:val="Footnote Text Char"/>
    <w:basedOn w:val="DefaultParagraphFont"/>
    <w:link w:val="FootnoteText"/>
    <w:uiPriority w:val="98"/>
    <w:semiHidden/>
    <w:rsid w:val="007054A5"/>
    <w:rPr>
      <w:sz w:val="20"/>
      <w:szCs w:val="20"/>
      <w:lang w:val="en-GB"/>
    </w:rPr>
  </w:style>
  <w:style w:type="character" w:styleId="HTMLAcronym">
    <w:name w:val="HTML Acronym"/>
    <w:basedOn w:val="DefaultParagraphFont"/>
    <w:uiPriority w:val="98"/>
    <w:semiHidden/>
    <w:rsid w:val="007054A5"/>
  </w:style>
  <w:style w:type="paragraph" w:styleId="HTMLAddress">
    <w:name w:val="HTML Address"/>
    <w:basedOn w:val="Normal"/>
    <w:link w:val="HTMLAddressChar"/>
    <w:uiPriority w:val="98"/>
    <w:semiHidden/>
    <w:rsid w:val="007054A5"/>
    <w:rPr>
      <w:i/>
      <w:iCs/>
    </w:rPr>
  </w:style>
  <w:style w:type="character" w:customStyle="1" w:styleId="HTMLAddressChar">
    <w:name w:val="HTML Address Char"/>
    <w:basedOn w:val="DefaultParagraphFont"/>
    <w:link w:val="HTMLAddress"/>
    <w:uiPriority w:val="98"/>
    <w:semiHidden/>
    <w:rsid w:val="007054A5"/>
    <w:rPr>
      <w:i/>
      <w:iCs/>
      <w:sz w:val="24"/>
      <w:szCs w:val="24"/>
      <w:lang w:val="en-GB"/>
    </w:rPr>
  </w:style>
  <w:style w:type="character" w:styleId="HTMLCite">
    <w:name w:val="HTML Cite"/>
    <w:basedOn w:val="DefaultParagraphFont"/>
    <w:uiPriority w:val="98"/>
    <w:semiHidden/>
    <w:rsid w:val="007054A5"/>
    <w:rPr>
      <w:i/>
      <w:iCs/>
    </w:rPr>
  </w:style>
  <w:style w:type="character" w:styleId="HTMLCode">
    <w:name w:val="HTML Code"/>
    <w:basedOn w:val="DefaultParagraphFont"/>
    <w:uiPriority w:val="98"/>
    <w:semiHidden/>
    <w:rsid w:val="007054A5"/>
    <w:rPr>
      <w:rFonts w:ascii="Consolas" w:hAnsi="Consolas" w:cs="Consolas"/>
      <w:sz w:val="20"/>
      <w:szCs w:val="20"/>
    </w:rPr>
  </w:style>
  <w:style w:type="character" w:styleId="HTMLDefinition">
    <w:name w:val="HTML Definition"/>
    <w:basedOn w:val="DefaultParagraphFont"/>
    <w:uiPriority w:val="98"/>
    <w:semiHidden/>
    <w:rsid w:val="007054A5"/>
    <w:rPr>
      <w:i/>
      <w:iCs/>
    </w:rPr>
  </w:style>
  <w:style w:type="character" w:styleId="HTMLKeyboard">
    <w:name w:val="HTML Keyboard"/>
    <w:basedOn w:val="DefaultParagraphFont"/>
    <w:uiPriority w:val="98"/>
    <w:semiHidden/>
    <w:rsid w:val="007054A5"/>
    <w:rPr>
      <w:rFonts w:ascii="Consolas" w:hAnsi="Consolas" w:cs="Consolas"/>
      <w:sz w:val="20"/>
      <w:szCs w:val="20"/>
    </w:rPr>
  </w:style>
  <w:style w:type="paragraph" w:styleId="HTMLPreformatted">
    <w:name w:val="HTML Preformatted"/>
    <w:basedOn w:val="Normal"/>
    <w:link w:val="HTMLPreformattedChar"/>
    <w:uiPriority w:val="98"/>
    <w:semiHidden/>
    <w:rsid w:val="007054A5"/>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7054A5"/>
    <w:rPr>
      <w:rFonts w:ascii="Consolas" w:hAnsi="Consolas" w:cs="Consolas"/>
      <w:sz w:val="20"/>
      <w:szCs w:val="20"/>
      <w:lang w:val="en-GB"/>
    </w:rPr>
  </w:style>
  <w:style w:type="character" w:styleId="HTMLSample">
    <w:name w:val="HTML Sample"/>
    <w:basedOn w:val="DefaultParagraphFont"/>
    <w:uiPriority w:val="98"/>
    <w:semiHidden/>
    <w:rsid w:val="007054A5"/>
    <w:rPr>
      <w:rFonts w:ascii="Consolas" w:hAnsi="Consolas" w:cs="Consolas"/>
      <w:sz w:val="24"/>
      <w:szCs w:val="24"/>
    </w:rPr>
  </w:style>
  <w:style w:type="character" w:styleId="HTMLTypewriter">
    <w:name w:val="HTML Typewriter"/>
    <w:basedOn w:val="DefaultParagraphFont"/>
    <w:uiPriority w:val="98"/>
    <w:semiHidden/>
    <w:rsid w:val="007054A5"/>
    <w:rPr>
      <w:rFonts w:ascii="Consolas" w:hAnsi="Consolas" w:cs="Consolas"/>
      <w:sz w:val="20"/>
      <w:szCs w:val="20"/>
    </w:rPr>
  </w:style>
  <w:style w:type="character" w:styleId="HTMLVariable">
    <w:name w:val="HTML Variable"/>
    <w:basedOn w:val="DefaultParagraphFont"/>
    <w:uiPriority w:val="98"/>
    <w:semiHidden/>
    <w:rsid w:val="007054A5"/>
    <w:rPr>
      <w:i/>
      <w:iCs/>
    </w:rPr>
  </w:style>
  <w:style w:type="character" w:styleId="Hyperlink">
    <w:name w:val="Hyperlink"/>
    <w:basedOn w:val="DefaultParagraphFont"/>
    <w:uiPriority w:val="98"/>
    <w:semiHidden/>
    <w:rsid w:val="007054A5"/>
    <w:rPr>
      <w:color w:val="0072BC" w:themeColor="hyperlink"/>
      <w:u w:val="single"/>
    </w:rPr>
  </w:style>
  <w:style w:type="paragraph" w:styleId="Index1">
    <w:name w:val="index 1"/>
    <w:basedOn w:val="Normal"/>
    <w:next w:val="Normal"/>
    <w:autoRedefine/>
    <w:uiPriority w:val="98"/>
    <w:semiHidden/>
    <w:rsid w:val="007054A5"/>
    <w:pPr>
      <w:ind w:left="240" w:hanging="240"/>
    </w:pPr>
  </w:style>
  <w:style w:type="paragraph" w:styleId="Index2">
    <w:name w:val="index 2"/>
    <w:basedOn w:val="Normal"/>
    <w:next w:val="Normal"/>
    <w:autoRedefine/>
    <w:uiPriority w:val="98"/>
    <w:semiHidden/>
    <w:rsid w:val="007054A5"/>
    <w:pPr>
      <w:ind w:left="480" w:hanging="240"/>
    </w:pPr>
  </w:style>
  <w:style w:type="paragraph" w:styleId="Index3">
    <w:name w:val="index 3"/>
    <w:basedOn w:val="Normal"/>
    <w:next w:val="Normal"/>
    <w:autoRedefine/>
    <w:uiPriority w:val="98"/>
    <w:semiHidden/>
    <w:rsid w:val="007054A5"/>
    <w:pPr>
      <w:ind w:left="720" w:hanging="240"/>
    </w:pPr>
  </w:style>
  <w:style w:type="paragraph" w:styleId="Index4">
    <w:name w:val="index 4"/>
    <w:basedOn w:val="Normal"/>
    <w:next w:val="Normal"/>
    <w:autoRedefine/>
    <w:uiPriority w:val="98"/>
    <w:semiHidden/>
    <w:rsid w:val="007054A5"/>
    <w:pPr>
      <w:ind w:left="960" w:hanging="240"/>
    </w:pPr>
  </w:style>
  <w:style w:type="paragraph" w:styleId="Index5">
    <w:name w:val="index 5"/>
    <w:basedOn w:val="Normal"/>
    <w:next w:val="Normal"/>
    <w:autoRedefine/>
    <w:uiPriority w:val="98"/>
    <w:semiHidden/>
    <w:rsid w:val="007054A5"/>
    <w:pPr>
      <w:ind w:left="1200" w:hanging="240"/>
    </w:pPr>
  </w:style>
  <w:style w:type="paragraph" w:styleId="Index6">
    <w:name w:val="index 6"/>
    <w:basedOn w:val="Normal"/>
    <w:next w:val="Normal"/>
    <w:autoRedefine/>
    <w:uiPriority w:val="98"/>
    <w:semiHidden/>
    <w:rsid w:val="007054A5"/>
    <w:pPr>
      <w:ind w:left="1440" w:hanging="240"/>
    </w:pPr>
  </w:style>
  <w:style w:type="paragraph" w:styleId="Index7">
    <w:name w:val="index 7"/>
    <w:basedOn w:val="Normal"/>
    <w:next w:val="Normal"/>
    <w:autoRedefine/>
    <w:uiPriority w:val="98"/>
    <w:semiHidden/>
    <w:rsid w:val="007054A5"/>
    <w:pPr>
      <w:ind w:left="1680" w:hanging="240"/>
    </w:pPr>
  </w:style>
  <w:style w:type="paragraph" w:styleId="Index8">
    <w:name w:val="index 8"/>
    <w:basedOn w:val="Normal"/>
    <w:next w:val="Normal"/>
    <w:autoRedefine/>
    <w:uiPriority w:val="98"/>
    <w:semiHidden/>
    <w:rsid w:val="007054A5"/>
    <w:pPr>
      <w:ind w:left="1920" w:hanging="240"/>
    </w:pPr>
  </w:style>
  <w:style w:type="paragraph" w:styleId="Index9">
    <w:name w:val="index 9"/>
    <w:basedOn w:val="Normal"/>
    <w:next w:val="Normal"/>
    <w:autoRedefine/>
    <w:uiPriority w:val="98"/>
    <w:semiHidden/>
    <w:rsid w:val="007054A5"/>
    <w:pPr>
      <w:ind w:left="2160" w:hanging="240"/>
    </w:pPr>
  </w:style>
  <w:style w:type="paragraph" w:styleId="IndexHeading">
    <w:name w:val="index heading"/>
    <w:basedOn w:val="Normal"/>
    <w:next w:val="Index1"/>
    <w:uiPriority w:val="98"/>
    <w:semiHidden/>
    <w:rsid w:val="007054A5"/>
    <w:rPr>
      <w:rFonts w:asciiTheme="majorHAnsi" w:eastAsiaTheme="majorEastAsia" w:hAnsiTheme="majorHAnsi" w:cstheme="majorBidi"/>
      <w:b/>
      <w:bCs/>
    </w:rPr>
  </w:style>
  <w:style w:type="table" w:styleId="LightGrid">
    <w:name w:val="Light Grid"/>
    <w:basedOn w:val="TableNormal"/>
    <w:uiPriority w:val="62"/>
    <w:semiHidden/>
    <w:rsid w:val="007054A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7054A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7054A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7054A5"/>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LightGridAccent4">
    <w:name w:val="Light Grid Accent 4"/>
    <w:basedOn w:val="TableNormal"/>
    <w:uiPriority w:val="62"/>
    <w:semiHidden/>
    <w:rsid w:val="007054A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7054A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7054A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7054A5"/>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7054A5"/>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7054A5"/>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7054A5"/>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LightListAccent4">
    <w:name w:val="Light List Accent 4"/>
    <w:basedOn w:val="TableNormal"/>
    <w:uiPriority w:val="61"/>
    <w:semiHidden/>
    <w:rsid w:val="007054A5"/>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7054A5"/>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7054A5"/>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7054A5"/>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7054A5"/>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7054A5"/>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7054A5"/>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LightShadingAccent4">
    <w:name w:val="Light Shading Accent 4"/>
    <w:basedOn w:val="TableNormal"/>
    <w:uiPriority w:val="60"/>
    <w:semiHidden/>
    <w:rsid w:val="007054A5"/>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7054A5"/>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7054A5"/>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7054A5"/>
  </w:style>
  <w:style w:type="paragraph" w:styleId="List">
    <w:name w:val="List"/>
    <w:basedOn w:val="Normal"/>
    <w:uiPriority w:val="98"/>
    <w:semiHidden/>
    <w:rsid w:val="007054A5"/>
    <w:pPr>
      <w:ind w:left="283" w:hanging="283"/>
      <w:contextualSpacing/>
    </w:pPr>
  </w:style>
  <w:style w:type="paragraph" w:styleId="List20">
    <w:name w:val="List 2"/>
    <w:basedOn w:val="Normal"/>
    <w:uiPriority w:val="98"/>
    <w:semiHidden/>
    <w:rsid w:val="007054A5"/>
    <w:pPr>
      <w:ind w:left="566" w:hanging="283"/>
      <w:contextualSpacing/>
    </w:pPr>
  </w:style>
  <w:style w:type="paragraph" w:styleId="List30">
    <w:name w:val="List 3"/>
    <w:basedOn w:val="Normal"/>
    <w:uiPriority w:val="98"/>
    <w:semiHidden/>
    <w:rsid w:val="007054A5"/>
    <w:pPr>
      <w:ind w:left="849" w:hanging="283"/>
      <w:contextualSpacing/>
    </w:pPr>
  </w:style>
  <w:style w:type="paragraph" w:styleId="List4">
    <w:name w:val="List 4"/>
    <w:basedOn w:val="Normal"/>
    <w:uiPriority w:val="98"/>
    <w:semiHidden/>
    <w:rsid w:val="007054A5"/>
    <w:pPr>
      <w:ind w:left="1132" w:hanging="283"/>
      <w:contextualSpacing/>
    </w:pPr>
  </w:style>
  <w:style w:type="paragraph" w:styleId="List5">
    <w:name w:val="List 5"/>
    <w:basedOn w:val="Normal"/>
    <w:uiPriority w:val="98"/>
    <w:semiHidden/>
    <w:rsid w:val="007054A5"/>
    <w:pPr>
      <w:ind w:left="1415" w:hanging="283"/>
      <w:contextualSpacing/>
    </w:pPr>
  </w:style>
  <w:style w:type="paragraph" w:styleId="ListBullet">
    <w:name w:val="List Bullet"/>
    <w:basedOn w:val="Normal"/>
    <w:uiPriority w:val="98"/>
    <w:semiHidden/>
    <w:rsid w:val="007054A5"/>
    <w:pPr>
      <w:numPr>
        <w:numId w:val="11"/>
      </w:numPr>
    </w:pPr>
  </w:style>
  <w:style w:type="paragraph" w:styleId="ListBullet2">
    <w:name w:val="List Bullet 2"/>
    <w:basedOn w:val="Normal"/>
    <w:uiPriority w:val="98"/>
    <w:semiHidden/>
    <w:rsid w:val="007054A5"/>
    <w:pPr>
      <w:numPr>
        <w:numId w:val="12"/>
      </w:numPr>
      <w:contextualSpacing/>
    </w:pPr>
  </w:style>
  <w:style w:type="paragraph" w:styleId="ListBullet3">
    <w:name w:val="List Bullet 3"/>
    <w:basedOn w:val="Normal"/>
    <w:uiPriority w:val="98"/>
    <w:semiHidden/>
    <w:rsid w:val="007054A5"/>
    <w:pPr>
      <w:numPr>
        <w:numId w:val="13"/>
      </w:numPr>
      <w:contextualSpacing/>
    </w:pPr>
  </w:style>
  <w:style w:type="paragraph" w:styleId="ListBullet4">
    <w:name w:val="List Bullet 4"/>
    <w:basedOn w:val="Normal"/>
    <w:uiPriority w:val="98"/>
    <w:semiHidden/>
    <w:rsid w:val="007054A5"/>
    <w:pPr>
      <w:numPr>
        <w:numId w:val="14"/>
      </w:numPr>
      <w:contextualSpacing/>
    </w:pPr>
  </w:style>
  <w:style w:type="paragraph" w:styleId="ListBullet5">
    <w:name w:val="List Bullet 5"/>
    <w:basedOn w:val="Normal"/>
    <w:uiPriority w:val="98"/>
    <w:semiHidden/>
    <w:rsid w:val="007054A5"/>
    <w:pPr>
      <w:numPr>
        <w:numId w:val="15"/>
      </w:numPr>
      <w:contextualSpacing/>
    </w:pPr>
  </w:style>
  <w:style w:type="paragraph" w:styleId="ListContinue">
    <w:name w:val="List Continue"/>
    <w:basedOn w:val="Normal"/>
    <w:uiPriority w:val="98"/>
    <w:semiHidden/>
    <w:rsid w:val="007054A5"/>
    <w:pPr>
      <w:spacing w:after="120"/>
      <w:ind w:left="283"/>
      <w:contextualSpacing/>
    </w:pPr>
  </w:style>
  <w:style w:type="paragraph" w:styleId="ListContinue2">
    <w:name w:val="List Continue 2"/>
    <w:basedOn w:val="Normal"/>
    <w:uiPriority w:val="98"/>
    <w:semiHidden/>
    <w:rsid w:val="007054A5"/>
    <w:pPr>
      <w:spacing w:after="120"/>
      <w:ind w:left="566"/>
      <w:contextualSpacing/>
    </w:pPr>
  </w:style>
  <w:style w:type="paragraph" w:styleId="ListContinue3">
    <w:name w:val="List Continue 3"/>
    <w:basedOn w:val="Normal"/>
    <w:uiPriority w:val="98"/>
    <w:semiHidden/>
    <w:rsid w:val="007054A5"/>
    <w:pPr>
      <w:spacing w:after="120"/>
      <w:ind w:left="849"/>
      <w:contextualSpacing/>
    </w:pPr>
  </w:style>
  <w:style w:type="paragraph" w:styleId="ListContinue4">
    <w:name w:val="List Continue 4"/>
    <w:basedOn w:val="Normal"/>
    <w:uiPriority w:val="98"/>
    <w:semiHidden/>
    <w:rsid w:val="007054A5"/>
    <w:pPr>
      <w:spacing w:after="120"/>
      <w:ind w:left="1132"/>
      <w:contextualSpacing/>
    </w:pPr>
  </w:style>
  <w:style w:type="paragraph" w:styleId="ListContinue5">
    <w:name w:val="List Continue 5"/>
    <w:basedOn w:val="Normal"/>
    <w:uiPriority w:val="98"/>
    <w:semiHidden/>
    <w:rsid w:val="007054A5"/>
    <w:pPr>
      <w:spacing w:after="120"/>
      <w:ind w:left="1415"/>
      <w:contextualSpacing/>
    </w:pPr>
  </w:style>
  <w:style w:type="paragraph" w:styleId="ListNumber">
    <w:name w:val="List Number"/>
    <w:basedOn w:val="Normal"/>
    <w:uiPriority w:val="98"/>
    <w:semiHidden/>
    <w:rsid w:val="007054A5"/>
    <w:pPr>
      <w:numPr>
        <w:numId w:val="16"/>
      </w:numPr>
      <w:contextualSpacing/>
    </w:pPr>
  </w:style>
  <w:style w:type="paragraph" w:styleId="ListNumber2">
    <w:name w:val="List Number 2"/>
    <w:basedOn w:val="Normal"/>
    <w:uiPriority w:val="98"/>
    <w:semiHidden/>
    <w:rsid w:val="007054A5"/>
    <w:pPr>
      <w:numPr>
        <w:numId w:val="17"/>
      </w:numPr>
      <w:contextualSpacing/>
    </w:pPr>
  </w:style>
  <w:style w:type="paragraph" w:styleId="ListNumber3">
    <w:name w:val="List Number 3"/>
    <w:basedOn w:val="Normal"/>
    <w:uiPriority w:val="98"/>
    <w:semiHidden/>
    <w:rsid w:val="007054A5"/>
    <w:pPr>
      <w:numPr>
        <w:numId w:val="18"/>
      </w:numPr>
      <w:contextualSpacing/>
    </w:pPr>
  </w:style>
  <w:style w:type="paragraph" w:styleId="ListNumber4">
    <w:name w:val="List Number 4"/>
    <w:basedOn w:val="Normal"/>
    <w:uiPriority w:val="98"/>
    <w:semiHidden/>
    <w:rsid w:val="007054A5"/>
    <w:pPr>
      <w:numPr>
        <w:numId w:val="19"/>
      </w:numPr>
      <w:contextualSpacing/>
    </w:pPr>
  </w:style>
  <w:style w:type="paragraph" w:styleId="ListNumber5">
    <w:name w:val="List Number 5"/>
    <w:basedOn w:val="Normal"/>
    <w:uiPriority w:val="98"/>
    <w:semiHidden/>
    <w:rsid w:val="007054A5"/>
    <w:pPr>
      <w:numPr>
        <w:numId w:val="20"/>
      </w:numPr>
      <w:contextualSpacing/>
    </w:pPr>
  </w:style>
  <w:style w:type="paragraph" w:styleId="Macro">
    <w:name w:val="macro"/>
    <w:link w:val="MacroTextChar"/>
    <w:uiPriority w:val="98"/>
    <w:semiHidden/>
    <w:rsid w:val="007054A5"/>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eastAsiaTheme="minorEastAsia" w:cs="Consolas"/>
      <w:sz w:val="20"/>
      <w:szCs w:val="20"/>
    </w:rPr>
  </w:style>
  <w:style w:type="character" w:customStyle="1" w:styleId="MacroTextChar">
    <w:name w:val="Macro Text Char"/>
    <w:basedOn w:val="DefaultParagraphFont"/>
    <w:link w:val="Macro"/>
    <w:uiPriority w:val="98"/>
    <w:semiHidden/>
    <w:rsid w:val="007054A5"/>
    <w:rPr>
      <w:rFonts w:ascii="Consolas" w:hAnsi="Consolas" w:eastAsiaTheme="minorEastAsia" w:cs="Consolas"/>
      <w:sz w:val="20"/>
      <w:szCs w:val="20"/>
    </w:rPr>
  </w:style>
  <w:style w:type="table" w:styleId="MediumGrid1">
    <w:name w:val="Medium Grid 1"/>
    <w:basedOn w:val="TableNormal"/>
    <w:uiPriority w:val="67"/>
    <w:semiHidden/>
    <w:rsid w:val="007054A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7054A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7054A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7054A5"/>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MediumGrid1Accent4">
    <w:name w:val="Medium Grid 1 Accent 4"/>
    <w:basedOn w:val="TableNormal"/>
    <w:uiPriority w:val="67"/>
    <w:semiHidden/>
    <w:rsid w:val="007054A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7054A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7054A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7054A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rsid w:val="007054A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rsid w:val="007054A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rsid w:val="007054A5"/>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rsid w:val="007054A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rsid w:val="007054A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rsid w:val="007054A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rsid w:val="007054A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rsid w:val="007054A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MediumGrid3Accent2">
    <w:name w:val="Medium Grid 3 Accent 2"/>
    <w:basedOn w:val="TableNormal"/>
    <w:uiPriority w:val="69"/>
    <w:semiHidden/>
    <w:rsid w:val="007054A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MediumGrid3Accent3">
    <w:name w:val="Medium Grid 3 Accent 3"/>
    <w:basedOn w:val="TableNormal"/>
    <w:uiPriority w:val="69"/>
    <w:semiHidden/>
    <w:rsid w:val="007054A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MediumGrid3Accent4">
    <w:name w:val="Medium Grid 3 Accent 4"/>
    <w:basedOn w:val="TableNormal"/>
    <w:uiPriority w:val="69"/>
    <w:semiHidden/>
    <w:rsid w:val="007054A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MediumGrid3Accent5">
    <w:name w:val="Medium Grid 3 Accent 5"/>
    <w:basedOn w:val="TableNormal"/>
    <w:uiPriority w:val="69"/>
    <w:semiHidden/>
    <w:rsid w:val="007054A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MediumGrid3Accent6">
    <w:name w:val="Medium Grid 3 Accent 6"/>
    <w:basedOn w:val="TableNormal"/>
    <w:uiPriority w:val="69"/>
    <w:semiHidden/>
    <w:rsid w:val="007054A5"/>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MediumList1">
    <w:name w:val="Medium List 1"/>
    <w:basedOn w:val="TableNormal"/>
    <w:uiPriority w:val="65"/>
    <w:semiHidden/>
    <w:rsid w:val="007054A5"/>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7054A5"/>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7054A5"/>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7054A5"/>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MediumList1Accent4">
    <w:name w:val="Medium List 1 Accent 4"/>
    <w:basedOn w:val="TableNormal"/>
    <w:uiPriority w:val="65"/>
    <w:semiHidden/>
    <w:rsid w:val="007054A5"/>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7054A5"/>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7054A5"/>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7054A5"/>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7054A5"/>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7054A5"/>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7054A5"/>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7054A5"/>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7054A5"/>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7054A5"/>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rsid w:val="007054A5"/>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7054A5"/>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7054A5"/>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7054A5"/>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7054A5"/>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7054A5"/>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7054A5"/>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7054A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7054A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7054A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7054A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7054A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7054A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7054A5"/>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7054A5"/>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7054A5"/>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7054A5"/>
    <w:rPr>
      <w:rFonts w:ascii="Times New Roman" w:hAnsi="Times New Roman" w:cs="Times New Roman"/>
    </w:rPr>
  </w:style>
  <w:style w:type="paragraph" w:styleId="NormalIndent">
    <w:name w:val="Normal Indent"/>
    <w:basedOn w:val="Normal"/>
    <w:uiPriority w:val="98"/>
    <w:semiHidden/>
    <w:rsid w:val="007054A5"/>
    <w:pPr>
      <w:ind w:left="720"/>
    </w:pPr>
  </w:style>
  <w:style w:type="table" w:customStyle="1" w:styleId="ECHRTableNoLines">
    <w:name w:val="ECHR_Table_No_Lines"/>
    <w:basedOn w:val="TableNormal"/>
    <w:uiPriority w:val="99"/>
    <w:rsid w:val="007054A5"/>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table" w:customStyle="1" w:styleId="ECHRTableSimpleBox">
    <w:name w:val="ECHR_Table_Simple_Box"/>
    <w:basedOn w:val="TableNormal"/>
    <w:uiPriority w:val="99"/>
    <w:rsid w:val="007054A5"/>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character" w:styleId="PlaceholderText">
    <w:name w:val="Placeholder Text"/>
    <w:basedOn w:val="DefaultParagraphFont"/>
    <w:uiPriority w:val="98"/>
    <w:semiHidden/>
    <w:rsid w:val="007054A5"/>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7054A5"/>
    <w:rPr>
      <w:rFonts w:ascii="Consolas" w:hAnsi="Consolas" w:cs="Consolas"/>
      <w:sz w:val="21"/>
      <w:szCs w:val="21"/>
    </w:rPr>
  </w:style>
  <w:style w:type="character" w:customStyle="1" w:styleId="PlainTextChar">
    <w:name w:val="Plain Text Char"/>
    <w:basedOn w:val="DefaultParagraphFont"/>
    <w:link w:val="PlainText"/>
    <w:uiPriority w:val="98"/>
    <w:semiHidden/>
    <w:rsid w:val="007054A5"/>
    <w:rPr>
      <w:rFonts w:ascii="Consolas" w:hAnsi="Consolas" w:cs="Consolas"/>
      <w:sz w:val="21"/>
      <w:szCs w:val="21"/>
      <w:lang w:val="en-GB"/>
    </w:rPr>
  </w:style>
  <w:style w:type="paragraph" w:styleId="Salutation">
    <w:name w:val="Salutation"/>
    <w:basedOn w:val="Normal"/>
    <w:next w:val="Normal"/>
    <w:link w:val="SalutationChar"/>
    <w:uiPriority w:val="98"/>
    <w:semiHidden/>
    <w:rsid w:val="007054A5"/>
  </w:style>
  <w:style w:type="character" w:customStyle="1" w:styleId="SalutationChar">
    <w:name w:val="Salutation Char"/>
    <w:basedOn w:val="DefaultParagraphFont"/>
    <w:link w:val="Salutation"/>
    <w:uiPriority w:val="98"/>
    <w:semiHidden/>
    <w:rsid w:val="007054A5"/>
    <w:rPr>
      <w:sz w:val="24"/>
      <w:szCs w:val="24"/>
      <w:lang w:val="en-GB"/>
    </w:rPr>
  </w:style>
  <w:style w:type="paragraph" w:styleId="Signature0">
    <w:name w:val="Signature"/>
    <w:basedOn w:val="Normal"/>
    <w:link w:val="SignatureChar"/>
    <w:uiPriority w:val="98"/>
    <w:semiHidden/>
    <w:rsid w:val="007054A5"/>
    <w:pPr>
      <w:ind w:left="4252"/>
    </w:pPr>
  </w:style>
  <w:style w:type="character" w:customStyle="1" w:styleId="SignatureChar">
    <w:name w:val="Signature Char"/>
    <w:basedOn w:val="DefaultParagraphFont"/>
    <w:link w:val="Signature0"/>
    <w:uiPriority w:val="98"/>
    <w:semiHidden/>
    <w:rsid w:val="007054A5"/>
    <w:rPr>
      <w:sz w:val="24"/>
      <w:szCs w:val="24"/>
      <w:lang w:val="en-GB"/>
    </w:rPr>
  </w:style>
  <w:style w:type="table" w:styleId="Table3Deffects1">
    <w:name w:val="Table 3D effects 1"/>
    <w:basedOn w:val="TableNormal"/>
    <w:uiPriority w:val="99"/>
    <w:semiHidden/>
    <w:unhideWhenUsed/>
    <w:rsid w:val="007054A5"/>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7054A5"/>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7054A5"/>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7054A5"/>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7054A5"/>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7054A5"/>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7054A5"/>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7054A5"/>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7054A5"/>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7054A5"/>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7054A5"/>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7054A5"/>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7054A5"/>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7054A5"/>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7054A5"/>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7054A5"/>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7054A5"/>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59"/>
    <w:semiHidden/>
    <w:rsid w:val="007054A5"/>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7054A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7054A5"/>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7054A5"/>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7054A5"/>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7054A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7054A5"/>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7054A5"/>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7054A5"/>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7054A5"/>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7054A5"/>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7054A5"/>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7054A5"/>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7054A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7054A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7054A5"/>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7054A5"/>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7054A5"/>
    <w:pPr>
      <w:ind w:left="240" w:hanging="240"/>
    </w:pPr>
  </w:style>
  <w:style w:type="paragraph" w:styleId="TableofFigures">
    <w:name w:val="table of figures"/>
    <w:basedOn w:val="Normal"/>
    <w:next w:val="Normal"/>
    <w:uiPriority w:val="98"/>
    <w:semiHidden/>
    <w:rsid w:val="007054A5"/>
  </w:style>
  <w:style w:type="table" w:styleId="TableProfessional">
    <w:name w:val="Table Professional"/>
    <w:basedOn w:val="TableNormal"/>
    <w:uiPriority w:val="99"/>
    <w:semiHidden/>
    <w:unhideWhenUsed/>
    <w:rsid w:val="007054A5"/>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054A5"/>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054A5"/>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054A5"/>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7054A5"/>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7054A5"/>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7054A5"/>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7054A5"/>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7054A5"/>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7054A5"/>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8"/>
    <w:semiHidden/>
    <w:rsid w:val="007054A5"/>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TOC1">
    <w:name w:val="toc 1"/>
    <w:basedOn w:val="Normal"/>
    <w:next w:val="Normal"/>
    <w:autoRedefine/>
    <w:uiPriority w:val="98"/>
    <w:semiHidden/>
    <w:rsid w:val="007054A5"/>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7054A5"/>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7054A5"/>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7054A5"/>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7054A5"/>
    <w:pPr>
      <w:tabs>
        <w:tab w:val="right" w:leader="dot" w:pos="7371"/>
      </w:tabs>
      <w:spacing w:after="60" w:line="240" w:lineRule="exact"/>
      <w:ind w:left="1701" w:right="567" w:hanging="340"/>
    </w:pPr>
    <w:rPr>
      <w:sz w:val="20"/>
    </w:rPr>
  </w:style>
  <w:style w:type="paragraph" w:styleId="TOC6">
    <w:name w:val="toc 6"/>
    <w:basedOn w:val="Normal"/>
    <w:next w:val="Normal"/>
    <w:autoRedefine/>
    <w:uiPriority w:val="98"/>
    <w:semiHidden/>
    <w:rsid w:val="007054A5"/>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7054A5"/>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7054A5"/>
    <w:pPr>
      <w:spacing w:after="100"/>
      <w:ind w:left="1680"/>
    </w:pPr>
  </w:style>
  <w:style w:type="paragraph" w:styleId="TOC9">
    <w:name w:val="toc 9"/>
    <w:basedOn w:val="Normal"/>
    <w:next w:val="Normal"/>
    <w:autoRedefine/>
    <w:uiPriority w:val="98"/>
    <w:semiHidden/>
    <w:rsid w:val="007054A5"/>
    <w:pPr>
      <w:spacing w:after="100"/>
      <w:ind w:left="1920"/>
    </w:pPr>
  </w:style>
  <w:style w:type="paragraph" w:customStyle="1" w:styleId="ECHRFooter">
    <w:name w:val="ECHR_Footer"/>
    <w:aliases w:val="Footer_ECHR"/>
    <w:basedOn w:val="Footer1"/>
    <w:uiPriority w:val="57"/>
    <w:semiHidden/>
    <w:rsid w:val="00987A64"/>
    <w:rPr>
      <w:sz w:val="8"/>
    </w:rPr>
  </w:style>
  <w:style w:type="paragraph" w:customStyle="1" w:styleId="Footer">
    <w:name w:val="_Footer"/>
    <w:aliases w:val="Footer_"/>
    <w:basedOn w:val="Footer1"/>
    <w:uiPriority w:val="57"/>
    <w:semiHidden/>
    <w:rsid w:val="000D61E7"/>
    <w:rPr>
      <w:sz w:val="8"/>
    </w:rPr>
  </w:style>
  <w:style w:type="paragraph" w:styleId="Footer1">
    <w:name w:val="footer"/>
    <w:basedOn w:val="Normal"/>
    <w:link w:val="FooterChar"/>
    <w:uiPriority w:val="98"/>
    <w:semiHidden/>
    <w:rsid w:val="007054A5"/>
    <w:pPr>
      <w:tabs>
        <w:tab w:val="center" w:pos="3686"/>
        <w:tab w:val="right" w:pos="7371"/>
      </w:tabs>
    </w:pPr>
  </w:style>
  <w:style w:type="character" w:customStyle="1" w:styleId="FooterChar">
    <w:name w:val="Footer Char"/>
    <w:basedOn w:val="DefaultParagraphFont"/>
    <w:link w:val="Footer1"/>
    <w:uiPriority w:val="98"/>
    <w:semiHidden/>
    <w:rsid w:val="007054A5"/>
    <w:rPr>
      <w:sz w:val="24"/>
      <w:szCs w:val="24"/>
      <w:lang w:val="en-GB"/>
    </w:rPr>
  </w:style>
  <w:style w:type="paragraph" w:customStyle="1" w:styleId="ECHRFooterLine">
    <w:name w:val="ECHR_Footer_Line"/>
    <w:aliases w:val="_Footer_Line"/>
    <w:basedOn w:val="Normal"/>
    <w:next w:val="Normal"/>
    <w:uiPriority w:val="30"/>
    <w:semiHidden/>
    <w:rsid w:val="007054A5"/>
    <w:pPr>
      <w:pBdr>
        <w:top w:val="single" w:sz="6" w:space="1" w:color="5F5F5F"/>
      </w:pBdr>
      <w:tabs>
        <w:tab w:val="center" w:pos="3686"/>
        <w:tab w:val="right" w:pos="7371"/>
      </w:tabs>
      <w:ind w:left="-1474" w:right="-1474"/>
    </w:pPr>
    <w:rPr>
      <w:color w:val="5F5F5F"/>
    </w:rPr>
  </w:style>
  <w:style w:type="table" w:customStyle="1" w:styleId="ECHRListTable">
    <w:name w:val="ECHR_List_Table"/>
    <w:basedOn w:val="TableNormal"/>
    <w:uiPriority w:val="99"/>
    <w:rsid w:val="00043655"/>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customStyle="1" w:styleId="JuCase">
    <w:name w:val="Ju_Case"/>
    <w:aliases w:val="_Case_Name"/>
    <w:basedOn w:val="NormalJustified"/>
    <w:next w:val="JuPara"/>
    <w:uiPriority w:val="32"/>
    <w:rsid w:val="007054A5"/>
    <w:pPr>
      <w:ind w:firstLine="284"/>
    </w:pPr>
    <w:rPr>
      <w:b/>
    </w:rPr>
  </w:style>
  <w:style w:type="paragraph" w:styleId="NoteHeading">
    <w:name w:val="Note Heading"/>
    <w:basedOn w:val="Normal"/>
    <w:next w:val="Normal"/>
    <w:link w:val="NoteHeadingChar"/>
    <w:uiPriority w:val="98"/>
    <w:semiHidden/>
    <w:rsid w:val="007054A5"/>
  </w:style>
  <w:style w:type="character" w:customStyle="1" w:styleId="NoteHeadingChar">
    <w:name w:val="Note Heading Char"/>
    <w:basedOn w:val="DefaultParagraphFont"/>
    <w:link w:val="NoteHeading"/>
    <w:uiPriority w:val="98"/>
    <w:semiHidden/>
    <w:rsid w:val="007054A5"/>
    <w:rPr>
      <w:sz w:val="24"/>
      <w:szCs w:val="24"/>
      <w:lang w:val="en-GB"/>
    </w:rPr>
  </w:style>
  <w:style w:type="paragraph" w:customStyle="1" w:styleId="ECHRHeaderLandscape">
    <w:name w:val="ECHR_Header_Landscape"/>
    <w:aliases w:val="_Header_Landscape"/>
    <w:basedOn w:val="JuHeader"/>
    <w:uiPriority w:val="29"/>
    <w:semiHidden/>
    <w:rsid w:val="007054A5"/>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7054A5"/>
    <w:pPr>
      <w:numPr>
        <w:numId w:val="7"/>
      </w:numPr>
      <w:spacing w:before="60" w:after="60"/>
    </w:pPr>
  </w:style>
  <w:style w:type="paragraph" w:customStyle="1" w:styleId="ECHRBullet2">
    <w:name w:val="ECHR_Bullet_2"/>
    <w:aliases w:val="_Bul_2"/>
    <w:basedOn w:val="ECHRBullet1"/>
    <w:uiPriority w:val="23"/>
    <w:semiHidden/>
    <w:rsid w:val="007054A5"/>
    <w:pPr>
      <w:numPr>
        <w:ilvl w:val="1"/>
      </w:numPr>
    </w:pPr>
  </w:style>
  <w:style w:type="paragraph" w:customStyle="1" w:styleId="ECHRBullet3">
    <w:name w:val="ECHR_Bullet_3"/>
    <w:aliases w:val="_Bul_3"/>
    <w:basedOn w:val="ECHRBullet2"/>
    <w:uiPriority w:val="23"/>
    <w:semiHidden/>
    <w:rsid w:val="007054A5"/>
    <w:pPr>
      <w:numPr>
        <w:ilvl w:val="2"/>
      </w:numPr>
    </w:pPr>
  </w:style>
  <w:style w:type="paragraph" w:customStyle="1" w:styleId="ECHRBullet4">
    <w:name w:val="ECHR_Bullet_4"/>
    <w:aliases w:val="_Bul_4"/>
    <w:basedOn w:val="ECHRBullet3"/>
    <w:uiPriority w:val="23"/>
    <w:semiHidden/>
    <w:rsid w:val="007054A5"/>
    <w:pPr>
      <w:numPr>
        <w:ilvl w:val="3"/>
      </w:numPr>
    </w:pPr>
  </w:style>
  <w:style w:type="paragraph" w:customStyle="1" w:styleId="ECHRConfidential">
    <w:name w:val="ECHR_Confidential"/>
    <w:aliases w:val="_Confidential"/>
    <w:basedOn w:val="Normal"/>
    <w:next w:val="Normal"/>
    <w:uiPriority w:val="42"/>
    <w:semiHidden/>
    <w:qFormat/>
    <w:rsid w:val="007054A5"/>
    <w:pPr>
      <w:jc w:val="right"/>
    </w:pPr>
    <w:rPr>
      <w:color w:val="C00000"/>
      <w:sz w:val="20"/>
    </w:rPr>
  </w:style>
  <w:style w:type="paragraph" w:customStyle="1" w:styleId="ECHRDecisionBody">
    <w:name w:val="ECHR_Decision_Body"/>
    <w:aliases w:val="_Decision_Body"/>
    <w:basedOn w:val="NormalJustified"/>
    <w:uiPriority w:val="54"/>
    <w:semiHidden/>
    <w:rsid w:val="007054A5"/>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7054A5"/>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7054A5"/>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7054A5"/>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
    <w:uiPriority w:val="44"/>
    <w:semiHidden/>
    <w:qFormat/>
    <w:rsid w:val="007054A5"/>
    <w:pPr>
      <w:jc w:val="right"/>
    </w:pPr>
    <w:rPr>
      <w:sz w:val="20"/>
    </w:rPr>
  </w:style>
  <w:style w:type="paragraph" w:customStyle="1" w:styleId="ECHRHeaderRefIt">
    <w:name w:val="ECHR_Header_Ref_It"/>
    <w:aliases w:val="_Ref_Ital"/>
    <w:basedOn w:val="Normal"/>
    <w:next w:val="ECHRHeaderDate"/>
    <w:uiPriority w:val="43"/>
    <w:semiHidden/>
    <w:qFormat/>
    <w:rsid w:val="007054A5"/>
    <w:pPr>
      <w:jc w:val="right"/>
    </w:pPr>
    <w:rPr>
      <w:i/>
      <w:sz w:val="20"/>
    </w:rPr>
  </w:style>
  <w:style w:type="paragraph" w:customStyle="1" w:styleId="ECHRHeading9">
    <w:name w:val="ECHR_Heading_9"/>
    <w:aliases w:val="_Head_9"/>
    <w:basedOn w:val="Heading9"/>
    <w:uiPriority w:val="17"/>
    <w:semiHidden/>
    <w:rsid w:val="007054A5"/>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7054A5"/>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7054A5"/>
    <w:pPr>
      <w:numPr>
        <w:numId w:val="8"/>
      </w:numPr>
      <w:spacing w:before="60" w:after="60"/>
    </w:pPr>
  </w:style>
  <w:style w:type="paragraph" w:customStyle="1" w:styleId="ECHRNumberedList2">
    <w:name w:val="ECHR_Numbered_List_2"/>
    <w:aliases w:val="_Num_2"/>
    <w:basedOn w:val="ECHRNumberedList1"/>
    <w:uiPriority w:val="23"/>
    <w:semiHidden/>
    <w:rsid w:val="007054A5"/>
    <w:pPr>
      <w:numPr>
        <w:ilvl w:val="1"/>
      </w:numPr>
    </w:pPr>
  </w:style>
  <w:style w:type="paragraph" w:customStyle="1" w:styleId="ECHRNumberedList3">
    <w:name w:val="ECHR_Numbered_List_3"/>
    <w:aliases w:val="_Num_3"/>
    <w:basedOn w:val="ECHRNumberedList2"/>
    <w:uiPriority w:val="23"/>
    <w:semiHidden/>
    <w:rsid w:val="007054A5"/>
    <w:pPr>
      <w:numPr>
        <w:ilvl w:val="2"/>
      </w:numPr>
    </w:pPr>
  </w:style>
  <w:style w:type="paragraph" w:customStyle="1" w:styleId="ECHRParaHanging">
    <w:name w:val="ECHR_Para_Hanging"/>
    <w:aliases w:val="_Hanging"/>
    <w:basedOn w:val="NormalJustified"/>
    <w:uiPriority w:val="8"/>
    <w:semiHidden/>
    <w:qFormat/>
    <w:rsid w:val="007054A5"/>
    <w:pPr>
      <w:ind w:left="567" w:hanging="567"/>
    </w:pPr>
  </w:style>
  <w:style w:type="paragraph" w:customStyle="1" w:styleId="ECHRParaIndent">
    <w:name w:val="ECHR_Para_Indent"/>
    <w:aliases w:val="_Indent"/>
    <w:basedOn w:val="NormalJustified"/>
    <w:uiPriority w:val="7"/>
    <w:semiHidden/>
    <w:qFormat/>
    <w:rsid w:val="007054A5"/>
    <w:pPr>
      <w:spacing w:before="120" w:after="120"/>
      <w:ind w:left="284"/>
    </w:pPr>
  </w:style>
  <w:style w:type="character" w:customStyle="1" w:styleId="ECHRRed">
    <w:name w:val="ECHR_Red"/>
    <w:aliases w:val="_Red"/>
    <w:basedOn w:val="DefaultParagraphFont"/>
    <w:uiPriority w:val="15"/>
    <w:semiHidden/>
    <w:qFormat/>
    <w:rsid w:val="007054A5"/>
    <w:rPr>
      <w:color w:val="C00000" w:themeColor="accent2"/>
    </w:rPr>
  </w:style>
  <w:style w:type="paragraph" w:customStyle="1" w:styleId="DecList">
    <w:name w:val="Dec_List"/>
    <w:aliases w:val="_List"/>
    <w:basedOn w:val="JuList"/>
    <w:uiPriority w:val="22"/>
    <w:rsid w:val="007054A5"/>
    <w:pPr>
      <w:numPr>
        <w:numId w:val="0"/>
      </w:numPr>
      <w:ind w:left="284"/>
    </w:pPr>
  </w:style>
  <w:style w:type="table" w:customStyle="1" w:styleId="ECHRTable">
    <w:name w:val="ECHR_Table"/>
    <w:basedOn w:val="TableNormal"/>
    <w:rsid w:val="007054A5"/>
    <w:rPr>
      <w:rFonts w:eastAsia="Times New Roman" w:cs="Times New Roman"/>
      <w:sz w:val="20"/>
      <w:szCs w:val="20"/>
      <w:lang w:val="en-GB"/>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2">
    <w:name w:val="ECHR_Table_2"/>
    <w:basedOn w:val="TableNormal"/>
    <w:uiPriority w:val="99"/>
    <w:rsid w:val="007054A5"/>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7054A5"/>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
    <w:next w:val="Normal"/>
    <w:uiPriority w:val="28"/>
    <w:semiHidden/>
    <w:qFormat/>
    <w:rsid w:val="007054A5"/>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
    <w:next w:val="Normal"/>
    <w:uiPriority w:val="28"/>
    <w:semiHidden/>
    <w:qFormat/>
    <w:rsid w:val="007054A5"/>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
    <w:next w:val="Normal"/>
    <w:uiPriority w:val="28"/>
    <w:semiHidden/>
    <w:qFormat/>
    <w:rsid w:val="007054A5"/>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
    <w:next w:val="Normal"/>
    <w:uiPriority w:val="26"/>
    <w:semiHidden/>
    <w:qFormat/>
    <w:rsid w:val="007054A5"/>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
    <w:next w:val="Normal"/>
    <w:uiPriority w:val="26"/>
    <w:semiHidden/>
    <w:qFormat/>
    <w:rsid w:val="007054A5"/>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
    <w:next w:val="Normal"/>
    <w:uiPriority w:val="26"/>
    <w:semiHidden/>
    <w:qFormat/>
    <w:rsid w:val="007054A5"/>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
    <w:uiPriority w:val="25"/>
    <w:semiHidden/>
    <w:qFormat/>
    <w:rsid w:val="007054A5"/>
    <w:pPr>
      <w:outlineLvl w:val="0"/>
    </w:pPr>
  </w:style>
  <w:style w:type="paragraph" w:customStyle="1" w:styleId="ECHRTitleTOC1">
    <w:name w:val="ECHR_Title_TOC_1"/>
    <w:aliases w:val="_Title_L_TOC"/>
    <w:basedOn w:val="ECHRTitle1"/>
    <w:next w:val="Normal"/>
    <w:uiPriority w:val="27"/>
    <w:semiHidden/>
    <w:qFormat/>
    <w:rsid w:val="007054A5"/>
    <w:pPr>
      <w:outlineLvl w:val="0"/>
    </w:pPr>
  </w:style>
  <w:style w:type="table" w:customStyle="1" w:styleId="LtrTableAddress">
    <w:name w:val="Ltr_Table_Address"/>
    <w:aliases w:val="ECHR_Ltr_Table_Address"/>
    <w:basedOn w:val="TableNormal"/>
    <w:uiPriority w:val="99"/>
    <w:rsid w:val="007054A5"/>
    <w:rPr>
      <w:sz w:val="24"/>
      <w:szCs w:val="24"/>
    </w:rPr>
    <w:tblPr>
      <w:tblInd w:w="5103" w:type="dxa"/>
    </w:tblPr>
  </w:style>
  <w:style w:type="table" w:customStyle="1" w:styleId="PCFTableStyle">
    <w:name w:val="PCF_Table_Style"/>
    <w:aliases w:val="ECHR_PCF_Table_Style"/>
    <w:basedOn w:val="TableNormal"/>
    <w:uiPriority w:val="99"/>
    <w:rsid w:val="007054A5"/>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120" w:beforeLines="0" w:beforeAutospacing="0" w:after="120" w:afterLines="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UGTable">
    <w:name w:val="UG_Table"/>
    <w:aliases w:val="ECHR_UG_Table"/>
    <w:basedOn w:val="TableNormal"/>
    <w:uiPriority w:val="99"/>
    <w:rsid w:val="007054A5"/>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7054A5"/>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customStyle="1" w:styleId="ECHRPlaceholder">
    <w:name w:val="ECHR_Placeholder"/>
    <w:aliases w:val="_Placeholder"/>
    <w:basedOn w:val="JuSigned"/>
    <w:uiPriority w:val="31"/>
    <w:rsid w:val="007054A5"/>
    <w:rPr>
      <w:color w:val="FFFFFF"/>
    </w:rPr>
  </w:style>
  <w:style w:type="paragraph" w:customStyle="1" w:styleId="ECHRSpacer">
    <w:name w:val="ECHR_Spacer"/>
    <w:aliases w:val="_Spacer"/>
    <w:basedOn w:val="Normal"/>
    <w:uiPriority w:val="45"/>
    <w:semiHidden/>
    <w:rsid w:val="007054A5"/>
    <w:rPr>
      <w:sz w:val="4"/>
    </w:rPr>
  </w:style>
  <w:style w:type="table" w:customStyle="1" w:styleId="ECHRTableGrey">
    <w:name w:val="ECHR_Table_Grey"/>
    <w:basedOn w:val="TableNormal"/>
    <w:uiPriority w:val="99"/>
    <w:rsid w:val="007054A5"/>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table" w:customStyle="1" w:styleId="ECHRTableOddBanded">
    <w:name w:val="ECHR_Table_Odd_Banded"/>
    <w:basedOn w:val="TableNormal"/>
    <w:uiPriority w:val="99"/>
    <w:rsid w:val="007054A5"/>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character" w:styleId="UnresolvedMention">
    <w:name w:val="Unresolved Mention"/>
    <w:basedOn w:val="DefaultParagraphFont"/>
    <w:uiPriority w:val="99"/>
    <w:semiHidden/>
    <w:unhideWhenUsed/>
    <w:rsid w:val="007054A5"/>
    <w:rPr>
      <w:color w:val="605E5C"/>
      <w:shd w:val="clear" w:color="auto" w:fill="E1DFDD"/>
    </w:rPr>
  </w:style>
  <w:style w:type="table" w:styleId="GridTable1LightAccent1">
    <w:name w:val="Grid Table 1 Light Accent 1"/>
    <w:basedOn w:val="TableNormal"/>
    <w:uiPriority w:val="46"/>
    <w:semiHidden/>
    <w:rsid w:val="00972373"/>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972373"/>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972373"/>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972373"/>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972373"/>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972373"/>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972373"/>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972373"/>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972373"/>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972373"/>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2Accent4">
    <w:name w:val="Grid Table 2 Accent 4"/>
    <w:basedOn w:val="TableNormal"/>
    <w:uiPriority w:val="47"/>
    <w:semiHidden/>
    <w:rsid w:val="00972373"/>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972373"/>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972373"/>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97237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97237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97237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97237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3Accent4">
    <w:name w:val="Grid Table 3 Accent 4"/>
    <w:basedOn w:val="TableNormal"/>
    <w:uiPriority w:val="48"/>
    <w:semiHidden/>
    <w:rsid w:val="0097237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97237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97237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97237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97237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97237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97237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4Accent4">
    <w:name w:val="Grid Table 4 Accent 4"/>
    <w:basedOn w:val="TableNormal"/>
    <w:uiPriority w:val="49"/>
    <w:semiHidden/>
    <w:rsid w:val="0097237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97237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97237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97237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97237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97237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97237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GridTable5DarkAccent4">
    <w:name w:val="Grid Table 5 Dark Accent 4"/>
    <w:basedOn w:val="TableNormal"/>
    <w:uiPriority w:val="50"/>
    <w:semiHidden/>
    <w:rsid w:val="0097237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97237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972373"/>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97237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97237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97237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97237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GridTable6ColorfulAccent4">
    <w:name w:val="Grid Table 6 Colorful Accent 4"/>
    <w:basedOn w:val="TableNormal"/>
    <w:uiPriority w:val="51"/>
    <w:semiHidden/>
    <w:rsid w:val="0097237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97237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97237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972373"/>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972373"/>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972373"/>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972373"/>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GridTable7ColorfulAccent4">
    <w:name w:val="Grid Table 7 Colorful Accent 4"/>
    <w:basedOn w:val="TableNormal"/>
    <w:uiPriority w:val="52"/>
    <w:semiHidden/>
    <w:rsid w:val="00972373"/>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972373"/>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972373"/>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styleId="Hashtag">
    <w:name w:val="Hashtag"/>
    <w:basedOn w:val="DefaultParagraphFont"/>
    <w:uiPriority w:val="99"/>
    <w:semiHidden/>
    <w:unhideWhenUsed/>
    <w:rsid w:val="00972373"/>
    <w:rPr>
      <w:color w:val="2B579A"/>
      <w:shd w:val="clear" w:color="auto" w:fill="E1DFDD"/>
    </w:rPr>
  </w:style>
  <w:style w:type="table" w:styleId="ListTable1Light">
    <w:name w:val="List Table 1 Light"/>
    <w:basedOn w:val="TableNormal"/>
    <w:uiPriority w:val="46"/>
    <w:semiHidden/>
    <w:rsid w:val="00972373"/>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972373"/>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972373"/>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972373"/>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1LightAccent4">
    <w:name w:val="List Table 1 Light Accent 4"/>
    <w:basedOn w:val="TableNormal"/>
    <w:uiPriority w:val="46"/>
    <w:semiHidden/>
    <w:rsid w:val="00972373"/>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972373"/>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972373"/>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972373"/>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972373"/>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972373"/>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972373"/>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2Accent4">
    <w:name w:val="List Table 2 Accent 4"/>
    <w:basedOn w:val="TableNormal"/>
    <w:uiPriority w:val="47"/>
    <w:semiHidden/>
    <w:rsid w:val="00972373"/>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972373"/>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972373"/>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972373"/>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972373"/>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972373"/>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972373"/>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ListTable3Accent4">
    <w:name w:val="List Table 3 Accent 4"/>
    <w:basedOn w:val="TableNormal"/>
    <w:uiPriority w:val="48"/>
    <w:semiHidden/>
    <w:rsid w:val="00972373"/>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972373"/>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972373"/>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972373"/>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972373"/>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972373"/>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972373"/>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4Accent4">
    <w:name w:val="List Table 4 Accent 4"/>
    <w:basedOn w:val="TableNormal"/>
    <w:uiPriority w:val="49"/>
    <w:semiHidden/>
    <w:rsid w:val="00972373"/>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972373"/>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972373"/>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972373"/>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972373"/>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972373"/>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972373"/>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972373"/>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972373"/>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972373"/>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972373"/>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972373"/>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972373"/>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972373"/>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ListTable6ColorfulAccent4">
    <w:name w:val="List Table 6 Colorful Accent 4"/>
    <w:basedOn w:val="TableNormal"/>
    <w:uiPriority w:val="51"/>
    <w:semiHidden/>
    <w:rsid w:val="00972373"/>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972373"/>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972373"/>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972373"/>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972373"/>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972373"/>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972373"/>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972373"/>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972373"/>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972373"/>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Mention">
    <w:name w:val="Mention"/>
    <w:basedOn w:val="DefaultParagraphFont"/>
    <w:uiPriority w:val="99"/>
    <w:semiHidden/>
    <w:unhideWhenUsed/>
    <w:rsid w:val="00972373"/>
    <w:rPr>
      <w:color w:val="2B579A"/>
      <w:shd w:val="clear" w:color="auto" w:fill="E1DFDD"/>
    </w:rPr>
  </w:style>
  <w:style w:type="table" w:styleId="PlainTable1">
    <w:name w:val="Plain Table 1"/>
    <w:basedOn w:val="TableNormal"/>
    <w:uiPriority w:val="41"/>
    <w:semiHidden/>
    <w:rsid w:val="0097237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semiHidden/>
    <w:rsid w:val="00972373"/>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972373"/>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972373"/>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semiHidden/>
    <w:rsid w:val="00972373"/>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SmartHyperlink">
    <w:name w:val="Smart Hyperlink"/>
    <w:basedOn w:val="DefaultParagraphFont"/>
    <w:uiPriority w:val="99"/>
    <w:semiHidden/>
    <w:unhideWhenUsed/>
    <w:rsid w:val="00972373"/>
    <w:rPr>
      <w:u w:val="dotted"/>
    </w:rPr>
  </w:style>
  <w:style w:type="character" w:styleId="SmartLink">
    <w:name w:val="Smart Link"/>
    <w:basedOn w:val="DefaultParagraphFont"/>
    <w:uiPriority w:val="99"/>
    <w:semiHidden/>
    <w:unhideWhenUsed/>
    <w:rsid w:val="00972373"/>
    <w:rPr>
      <w:color w:val="0000FF"/>
      <w:u w:val="single"/>
      <w:shd w:val="clear" w:color="auto" w:fill="F3F2F1"/>
    </w:rPr>
  </w:style>
  <w:style w:type="table" w:styleId="GridTableLight">
    <w:name w:val="Grid Table Light"/>
    <w:basedOn w:val="TableNormal"/>
    <w:uiPriority w:val="40"/>
    <w:semiHidden/>
    <w:rsid w:val="0097237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5405745">
      <w:bodyDiv w:val="1"/>
      <w:marLeft w:val="0"/>
      <w:marRight w:val="0"/>
      <w:marTop w:val="0"/>
      <w:marBottom w:val="0"/>
      <w:divBdr>
        <w:top w:val="none" w:sz="0" w:space="0" w:color="auto"/>
        <w:left w:val="none" w:sz="0" w:space="0" w:color="auto"/>
        <w:bottom w:val="none" w:sz="0" w:space="0" w:color="auto"/>
        <w:right w:val="none" w:sz="0" w:space="0" w:color="auto"/>
      </w:divBdr>
    </w:div>
    <w:div w:id="873150068">
      <w:bodyDiv w:val="1"/>
      <w:marLeft w:val="0"/>
      <w:marRight w:val="0"/>
      <w:marTop w:val="0"/>
      <w:marBottom w:val="0"/>
      <w:divBdr>
        <w:top w:val="none" w:sz="0" w:space="0" w:color="auto"/>
        <w:left w:val="none" w:sz="0" w:space="0" w:color="auto"/>
        <w:bottom w:val="none" w:sz="0" w:space="0" w:color="auto"/>
        <w:right w:val="none" w:sz="0" w:space="0" w:color="auto"/>
      </w:divBdr>
    </w:div>
    <w:div w:id="1682387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header" Target="header3.xml" /><Relationship Id="rId11" Type="http://schemas.openxmlformats.org/officeDocument/2006/relationships/footer" Target="footer3.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customXml" Target="../customXml/item1.xml" /><Relationship Id="rId6" Type="http://schemas.openxmlformats.org/officeDocument/2006/relationships/header" Target="header1.xml" /><Relationship Id="rId7" Type="http://schemas.openxmlformats.org/officeDocument/2006/relationships/header" Target="header2.xml" /><Relationship Id="rId8" Type="http://schemas.openxmlformats.org/officeDocument/2006/relationships/footer" Target="footer1.xml" /><Relationship Id="rId9" Type="http://schemas.openxmlformats.org/officeDocument/2006/relationships/footer" Target="footer2.xml" /></Relationships>
</file>

<file path=word/_rels/footer3.xml.rels><?xml version="1.0" encoding="utf-8" standalone="yes"?><Relationships xmlns="http://schemas.openxmlformats.org/package/2006/relationships"><Relationship Id="rId1" Type="http://schemas.openxmlformats.org/officeDocument/2006/relationships/image" Target="media/image2.png" /></Relationships>
</file>

<file path=word/_rels/header3.xml.rels><?xml version="1.0" encoding="utf-8" standalone="yes"?><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D660E-415E-4998-9B61-2168D4318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75</TotalTime>
  <Pages>7</Pages>
  <Words>2126</Words>
  <Characters>10825</Characters>
  <Application>Microsoft Office Word</Application>
  <DocSecurity>0</DocSecurity>
  <Lines>235</Lines>
  <Paragraphs>88</Paragraphs>
  <ScaleCrop>false</ScaleCrop>
  <HeadingPairs>
    <vt:vector size="2" baseType="variant">
      <vt:variant>
        <vt:lpstr>Title</vt:lpstr>
      </vt:variant>
      <vt:variant>
        <vt:i4>1</vt:i4>
      </vt:variant>
    </vt:vector>
  </HeadingPairs>
  <TitlesOfParts>
    <vt:vector size="1" baseType="lpstr">
      <vt:lpstr>ECHR</vt:lpstr>
    </vt:vector>
  </TitlesOfParts>
  <Company/>
  <LinksUpToDate>false</LinksUpToDate>
  <CharactersWithSpaces>12863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DC</dc:subject>
  <cp:revision>11</cp:revision>
  <dcterms:created xsi:type="dcterms:W3CDTF">2026-07-09T12:59:00Z</dcterms:created>
  <dcterms:modified xsi:type="dcterms:W3CDTF">2026-09-07T08:19:00Z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2172642</vt:lpwstr>
  </property>
  <property fmtid="{D5CDD505-2E9C-101B-9397-08002B2CF9AE}" pid="3" name="cstLanguage">
    <vt:i4>2057</vt:i4>
  </property>
  <property fmtid="{D5CDD505-2E9C-101B-9397-08002B2CF9AE}" pid="4" name="RegisteredNo">
    <vt:lpwstr>22360/25</vt:lpwstr>
  </property>
</Properties>
</file>