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B7D0B" w14:textId="77777777" w:rsidR="0098410D" w:rsidRPr="0064767C" w:rsidRDefault="0098410D" w:rsidP="0064767C">
      <w:pPr>
        <w:jc w:val="center"/>
      </w:pPr>
    </w:p>
    <w:p w14:paraId="23591545" w14:textId="77777777" w:rsidR="0098410D" w:rsidRPr="009E50F7" w:rsidRDefault="00000000" w:rsidP="0064767C">
      <w:pPr>
        <w:pStyle w:val="DecHTitle"/>
        <w:rPr>
          <w:lang w:val="pl-PL"/>
        </w:rPr>
      </w:pPr>
      <w:r>
        <w:rPr>
          <w:lang w:val="pl"/>
        </w:rPr>
        <w:t>SEKCJA PIERWSZA</w:t>
      </w:r>
    </w:p>
    <w:p w14:paraId="2B91BEBA" w14:textId="77777777" w:rsidR="008E6217" w:rsidRPr="009E50F7" w:rsidRDefault="00000000" w:rsidP="00F8752A">
      <w:pPr>
        <w:pStyle w:val="JuTitle"/>
        <w:keepNext w:val="0"/>
        <w:keepLines w:val="0"/>
        <w:spacing w:before="840"/>
        <w:rPr>
          <w:lang w:val="pl-PL"/>
        </w:rPr>
      </w:pPr>
      <w:r>
        <w:rPr>
          <w:bCs/>
          <w:color w:val="000000" w:themeColor="text1"/>
          <w:lang w:val="pl"/>
        </w:rPr>
        <w:t xml:space="preserve">SPRAWA </w:t>
      </w:r>
      <w:r>
        <w:rPr>
          <w:bCs/>
          <w:lang w:val="pl"/>
        </w:rPr>
        <w:t>GEORGIOS PAPADOPOULOS przeciwko CYPROWI</w:t>
      </w:r>
    </w:p>
    <w:p w14:paraId="114EA410" w14:textId="77777777" w:rsidR="00D74888" w:rsidRPr="009E50F7" w:rsidRDefault="00000000" w:rsidP="0064767C">
      <w:pPr>
        <w:pStyle w:val="ECHRCoverTitle4"/>
        <w:keepNext w:val="0"/>
        <w:keepLines w:val="0"/>
        <w:rPr>
          <w:lang w:val="pl-PL"/>
        </w:rPr>
      </w:pPr>
      <w:r>
        <w:rPr>
          <w:iCs/>
          <w:lang w:val="pl"/>
        </w:rPr>
        <w:t>(Skarga nr 21454/21)</w:t>
      </w:r>
    </w:p>
    <w:p w14:paraId="10F8C006" w14:textId="77777777" w:rsidR="0098410D" w:rsidRPr="009E50F7" w:rsidRDefault="0098410D" w:rsidP="0064767C">
      <w:pPr>
        <w:pStyle w:val="DecHCase"/>
        <w:keepNext w:val="0"/>
        <w:keepLines w:val="0"/>
        <w:rPr>
          <w:lang w:val="pl-PL"/>
        </w:rPr>
      </w:pPr>
    </w:p>
    <w:p w14:paraId="31EB6139" w14:textId="77777777" w:rsidR="0098410D" w:rsidRPr="009E50F7" w:rsidRDefault="0098410D" w:rsidP="0064767C">
      <w:pPr>
        <w:pStyle w:val="DecHCase"/>
        <w:keepNext w:val="0"/>
        <w:keepLines w:val="0"/>
        <w:rPr>
          <w:lang w:val="pl-PL"/>
        </w:rPr>
      </w:pPr>
    </w:p>
    <w:p w14:paraId="2DFDA6A5" w14:textId="77777777" w:rsidR="0098410D" w:rsidRPr="009E50F7" w:rsidRDefault="00000000" w:rsidP="00F8752A">
      <w:pPr>
        <w:pStyle w:val="DecHCase"/>
        <w:keepNext w:val="0"/>
        <w:keepLines w:val="0"/>
        <w:spacing w:after="480"/>
        <w:rPr>
          <w:lang w:val="pl-PL"/>
        </w:rPr>
      </w:pPr>
      <w:r>
        <w:rPr>
          <w:lang w:val="pl"/>
        </w:rPr>
        <w:t>WYROK</w:t>
      </w:r>
    </w:p>
    <w:p w14:paraId="76EEC0BC" w14:textId="67555593" w:rsidR="005018D0" w:rsidRPr="009E50F7" w:rsidRDefault="00000000" w:rsidP="0064767C">
      <w:pPr>
        <w:pBdr>
          <w:top w:val="single" w:sz="4" w:space="1" w:color="auto"/>
          <w:left w:val="single" w:sz="4" w:space="4" w:color="auto"/>
          <w:bottom w:val="single" w:sz="4" w:space="1" w:color="auto"/>
          <w:right w:val="single" w:sz="4" w:space="4" w:color="auto"/>
        </w:pBdr>
        <w:jc w:val="both"/>
        <w:rPr>
          <w:lang w:val="pl-PL"/>
        </w:rPr>
      </w:pPr>
      <w:r>
        <w:rPr>
          <w:lang w:val="pl"/>
        </w:rPr>
        <w:t>Art. 3 ust. 1 • Wybór ciała ustawodawczego • Decyzje wyborcze unieważniające trzykrotnie oświadczenie o wyborze skarżącego na posła do parlamentu po jego mianowaniu jako pierwszego rezerwowego na mandat, z</w:t>
      </w:r>
      <w:r w:rsidR="009E50F7">
        <w:rPr>
          <w:lang w:val="pl"/>
        </w:rPr>
        <w:t> </w:t>
      </w:r>
      <w:r>
        <w:rPr>
          <w:lang w:val="pl"/>
        </w:rPr>
        <w:t>którego zrezygnowa</w:t>
      </w:r>
      <w:r w:rsidR="00EF11E9">
        <w:rPr>
          <w:lang w:val="pl"/>
        </w:rPr>
        <w:t>no</w:t>
      </w:r>
      <w:r>
        <w:rPr>
          <w:lang w:val="pl"/>
        </w:rPr>
        <w:t xml:space="preserve"> przed rozpoczęciem kadencji parlamentarnej • Unieważnienie mandatu skarżącego z powodu braku ram prawnych i</w:t>
      </w:r>
      <w:r w:rsidR="009E50F7">
        <w:rPr>
          <w:lang w:val="pl"/>
        </w:rPr>
        <w:t> </w:t>
      </w:r>
      <w:r>
        <w:rPr>
          <w:lang w:val="pl"/>
        </w:rPr>
        <w:t>konstytucyjnych regulujących możliwość obsadzenia mandatu, który zwolnił się przed rozpoczęciem kadencji parlamentarnej • Brak rozstrzygnięcia tej kwestii poprzez interwencję ustawodawczą lub sądową, co skutkowało pozostawaniem nieobsadzonego mandatu parlamentarnego przez dłuższy czas • Ingerencja nie jest „zgodna z prawem”</w:t>
      </w:r>
    </w:p>
    <w:p w14:paraId="4064E05C" w14:textId="77777777" w:rsidR="005018D0" w:rsidRPr="009E50F7" w:rsidRDefault="005018D0" w:rsidP="0064767C">
      <w:pPr>
        <w:pBdr>
          <w:top w:val="single" w:sz="4" w:space="1" w:color="auto"/>
          <w:left w:val="single" w:sz="4" w:space="4" w:color="auto"/>
          <w:bottom w:val="single" w:sz="4" w:space="1" w:color="auto"/>
          <w:right w:val="single" w:sz="4" w:space="4" w:color="auto"/>
        </w:pBdr>
        <w:jc w:val="center"/>
        <w:rPr>
          <w:sz w:val="20"/>
          <w:szCs w:val="20"/>
          <w:lang w:val="pl-PL"/>
        </w:rPr>
      </w:pPr>
    </w:p>
    <w:p w14:paraId="79001132" w14:textId="77777777" w:rsidR="005018D0" w:rsidRPr="009E50F7" w:rsidRDefault="00000000" w:rsidP="0064767C">
      <w:pPr>
        <w:pBdr>
          <w:top w:val="single" w:sz="4" w:space="1" w:color="auto"/>
          <w:left w:val="single" w:sz="4" w:space="4" w:color="auto"/>
          <w:bottom w:val="single" w:sz="4" w:space="1" w:color="auto"/>
          <w:right w:val="single" w:sz="4" w:space="4" w:color="auto"/>
        </w:pBdr>
        <w:jc w:val="center"/>
        <w:rPr>
          <w:sz w:val="20"/>
          <w:szCs w:val="20"/>
          <w:lang w:val="pl-PL"/>
        </w:rPr>
      </w:pPr>
      <w:r>
        <w:rPr>
          <w:sz w:val="20"/>
          <w:szCs w:val="20"/>
          <w:lang w:val="pl"/>
        </w:rPr>
        <w:t>Dokument przygotowała Kancelaria. Nie jest wiążący dla Trybunału.</w:t>
      </w:r>
    </w:p>
    <w:p w14:paraId="12A09AF6" w14:textId="77777777" w:rsidR="005018D0" w:rsidRPr="009E50F7" w:rsidRDefault="005018D0" w:rsidP="00F8752A">
      <w:pPr>
        <w:pStyle w:val="DecHCase"/>
        <w:keepNext w:val="0"/>
        <w:keepLines w:val="0"/>
        <w:spacing w:after="120"/>
        <w:rPr>
          <w:lang w:val="pl-PL"/>
        </w:rPr>
      </w:pPr>
    </w:p>
    <w:p w14:paraId="36658325" w14:textId="77777777" w:rsidR="0098410D" w:rsidRPr="009E50F7" w:rsidRDefault="00000000" w:rsidP="0064767C">
      <w:pPr>
        <w:pStyle w:val="DecHCase"/>
        <w:keepNext w:val="0"/>
        <w:keepLines w:val="0"/>
        <w:rPr>
          <w:lang w:val="pl-PL"/>
        </w:rPr>
      </w:pPr>
      <w:r>
        <w:rPr>
          <w:lang w:val="pl"/>
        </w:rPr>
        <w:t>STRASBURG</w:t>
      </w:r>
    </w:p>
    <w:p w14:paraId="6F64E99F" w14:textId="77777777" w:rsidR="0098410D" w:rsidRPr="009E50F7" w:rsidRDefault="00000000" w:rsidP="0064767C">
      <w:pPr>
        <w:pStyle w:val="DecHCase"/>
        <w:keepNext w:val="0"/>
        <w:keepLines w:val="0"/>
        <w:rPr>
          <w:lang w:val="pl-PL"/>
        </w:rPr>
      </w:pPr>
      <w:r>
        <w:rPr>
          <w:rFonts w:ascii="Times New Roman" w:hAnsi="Times New Roman" w:cs="Times New Roman"/>
          <w:lang w:val="pl"/>
        </w:rPr>
        <w:t>9 października 2025 r.</w:t>
      </w:r>
    </w:p>
    <w:p w14:paraId="0D636809" w14:textId="77777777" w:rsidR="00AC4CD4" w:rsidRPr="009E50F7" w:rsidRDefault="00AC4CD4" w:rsidP="0064767C">
      <w:pPr>
        <w:pStyle w:val="JuPara"/>
        <w:rPr>
          <w:lang w:val="pl-PL"/>
        </w:rPr>
      </w:pPr>
    </w:p>
    <w:p w14:paraId="399ACAB5" w14:textId="77777777" w:rsidR="00F8752A" w:rsidRPr="009E50F7" w:rsidRDefault="00000000" w:rsidP="00F8752A">
      <w:pPr>
        <w:pStyle w:val="jucase0"/>
        <w:ind w:firstLine="0"/>
        <w:jc w:val="center"/>
        <w:rPr>
          <w:color w:val="FF0000"/>
          <w:sz w:val="28"/>
          <w:szCs w:val="28"/>
          <w:u w:val="single"/>
          <w:lang w:val="pl-PL"/>
        </w:rPr>
      </w:pPr>
      <w:bookmarkStart w:id="0" w:name="_Hlk212559382"/>
      <w:r>
        <w:rPr>
          <w:color w:val="FF0000"/>
          <w:sz w:val="28"/>
          <w:szCs w:val="28"/>
          <w:u w:val="single"/>
          <w:lang w:val="pl"/>
        </w:rPr>
        <w:t>OSTATECZNY</w:t>
      </w:r>
    </w:p>
    <w:p w14:paraId="025F4664" w14:textId="77777777" w:rsidR="00F8752A" w:rsidRPr="009E50F7" w:rsidRDefault="00F8752A" w:rsidP="00F8752A">
      <w:pPr>
        <w:pStyle w:val="jucase0"/>
        <w:ind w:firstLine="0"/>
        <w:jc w:val="center"/>
        <w:rPr>
          <w:b w:val="0"/>
          <w:bCs w:val="0"/>
          <w:color w:val="FF0000"/>
          <w:u w:val="single"/>
          <w:lang w:val="pl-PL"/>
        </w:rPr>
      </w:pPr>
    </w:p>
    <w:p w14:paraId="1C1C2C7E" w14:textId="77777777" w:rsidR="00F8752A" w:rsidRPr="009E50F7" w:rsidRDefault="00000000" w:rsidP="00F8752A">
      <w:pPr>
        <w:pStyle w:val="jucase0"/>
        <w:ind w:firstLine="0"/>
        <w:jc w:val="center"/>
        <w:rPr>
          <w:b w:val="0"/>
          <w:color w:val="FF0000"/>
          <w:sz w:val="28"/>
          <w:szCs w:val="28"/>
          <w:lang w:val="pl-PL"/>
        </w:rPr>
      </w:pPr>
      <w:r>
        <w:rPr>
          <w:b w:val="0"/>
          <w:bCs w:val="0"/>
          <w:color w:val="FF0000"/>
          <w:sz w:val="28"/>
          <w:szCs w:val="28"/>
          <w:lang w:val="pl"/>
        </w:rPr>
        <w:t>09/01/2026</w:t>
      </w:r>
    </w:p>
    <w:p w14:paraId="7FE3A029" w14:textId="77777777" w:rsidR="00F8752A" w:rsidRPr="009E50F7" w:rsidRDefault="00F8752A" w:rsidP="00F8752A">
      <w:pPr>
        <w:pStyle w:val="jupara0"/>
        <w:ind w:firstLine="0"/>
        <w:jc w:val="center"/>
        <w:rPr>
          <w:lang w:val="pl-PL"/>
        </w:rPr>
      </w:pPr>
    </w:p>
    <w:p w14:paraId="5A843330" w14:textId="77777777" w:rsidR="002422B6" w:rsidRPr="009E50F7" w:rsidRDefault="00000000" w:rsidP="00F8752A">
      <w:pPr>
        <w:jc w:val="center"/>
        <w:rPr>
          <w:i/>
          <w:sz w:val="22"/>
          <w:lang w:val="pl-PL"/>
        </w:rPr>
      </w:pPr>
      <w:r>
        <w:rPr>
          <w:i/>
          <w:iCs/>
          <w:sz w:val="22"/>
          <w:szCs w:val="22"/>
          <w:lang w:val="pl"/>
        </w:rPr>
        <w:lastRenderedPageBreak/>
        <w:t xml:space="preserve">Wyrok stał się ostateczny na podstawie art. 44 ust. 2 Konwencji. </w:t>
      </w:r>
      <w:r>
        <w:rPr>
          <w:sz w:val="22"/>
          <w:szCs w:val="22"/>
          <w:lang w:val="pl"/>
        </w:rPr>
        <w:br/>
      </w:r>
      <w:r>
        <w:rPr>
          <w:i/>
          <w:iCs/>
          <w:sz w:val="22"/>
          <w:szCs w:val="22"/>
          <w:lang w:val="pl"/>
        </w:rPr>
        <w:t>Wyrok może podlegać korekcie wydawniczej.</w:t>
      </w:r>
      <w:bookmarkEnd w:id="0"/>
    </w:p>
    <w:p w14:paraId="1CACA0AA" w14:textId="77777777" w:rsidR="0098410D" w:rsidRPr="009E50F7" w:rsidRDefault="0098410D" w:rsidP="0064767C">
      <w:pPr>
        <w:rPr>
          <w:lang w:val="pl-PL"/>
        </w:rPr>
        <w:sectPr w:rsidR="0098410D" w:rsidRPr="009E50F7"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59C66A3" w14:textId="77777777" w:rsidR="0098410D" w:rsidRPr="009E50F7" w:rsidRDefault="00000000" w:rsidP="0064767C">
      <w:pPr>
        <w:pStyle w:val="JuCase"/>
        <w:rPr>
          <w:lang w:val="pl-PL"/>
        </w:rPr>
      </w:pPr>
      <w:r>
        <w:rPr>
          <w:bCs/>
          <w:lang w:val="pl"/>
        </w:rPr>
        <w:lastRenderedPageBreak/>
        <w:t xml:space="preserve">W sprawie Georgios </w:t>
      </w:r>
      <w:proofErr w:type="spellStart"/>
      <w:r>
        <w:rPr>
          <w:bCs/>
          <w:lang w:val="pl"/>
        </w:rPr>
        <w:t>Papadopoulos</w:t>
      </w:r>
      <w:proofErr w:type="spellEnd"/>
      <w:r>
        <w:rPr>
          <w:bCs/>
          <w:lang w:val="pl"/>
        </w:rPr>
        <w:t xml:space="preserve"> przeciwko Cyprowi</w:t>
      </w:r>
    </w:p>
    <w:p w14:paraId="7C1A3CA0" w14:textId="77777777" w:rsidR="009F4C8F" w:rsidRPr="009E50F7" w:rsidRDefault="00000000" w:rsidP="0064767C">
      <w:pPr>
        <w:pStyle w:val="JuPara"/>
        <w:rPr>
          <w:lang w:val="pl-PL"/>
        </w:rPr>
      </w:pPr>
      <w:r>
        <w:rPr>
          <w:lang w:val="pl"/>
        </w:rPr>
        <w:t>Europejski Trybunał Praw Człowieka (Sekcja Pierwsza), zasiadając jako Izba w składzie:</w:t>
      </w:r>
    </w:p>
    <w:p w14:paraId="1594B5EC" w14:textId="77777777" w:rsidR="00A92625" w:rsidRPr="009E50F7" w:rsidRDefault="00000000" w:rsidP="0064767C">
      <w:pPr>
        <w:pStyle w:val="JuJudges"/>
        <w:rPr>
          <w:lang w:val="pl"/>
        </w:rPr>
      </w:pPr>
      <w:r>
        <w:rPr>
          <w:lang w:val="pl"/>
        </w:rPr>
        <w:tab/>
        <w:t xml:space="preserve">Ivana </w:t>
      </w:r>
      <w:proofErr w:type="spellStart"/>
      <w:r>
        <w:rPr>
          <w:lang w:val="pl"/>
        </w:rPr>
        <w:t>Jelić</w:t>
      </w:r>
      <w:proofErr w:type="spellEnd"/>
      <w:r>
        <w:rPr>
          <w:i/>
          <w:iCs/>
          <w:lang w:val="pl"/>
        </w:rPr>
        <w:t>, Przewodnicząca</w:t>
      </w:r>
      <w:r>
        <w:rPr>
          <w:lang w:val="pl"/>
        </w:rPr>
        <w:t>,</w:t>
      </w:r>
      <w:r>
        <w:rPr>
          <w:lang w:val="pl"/>
        </w:rPr>
        <w:br/>
      </w:r>
      <w:r>
        <w:rPr>
          <w:lang w:val="pl"/>
        </w:rPr>
        <w:tab/>
        <w:t xml:space="preserve">Erik </w:t>
      </w:r>
      <w:proofErr w:type="spellStart"/>
      <w:r>
        <w:rPr>
          <w:lang w:val="pl"/>
        </w:rPr>
        <w:t>Wennerström</w:t>
      </w:r>
      <w:proofErr w:type="spellEnd"/>
      <w:r>
        <w:rPr>
          <w:lang w:val="pl"/>
        </w:rPr>
        <w:t>,</w:t>
      </w:r>
      <w:r>
        <w:rPr>
          <w:lang w:val="pl"/>
        </w:rPr>
        <w:br/>
      </w:r>
      <w:r>
        <w:rPr>
          <w:lang w:val="pl"/>
        </w:rPr>
        <w:tab/>
        <w:t xml:space="preserve">Georgios A. </w:t>
      </w:r>
      <w:proofErr w:type="spellStart"/>
      <w:r>
        <w:rPr>
          <w:lang w:val="pl"/>
        </w:rPr>
        <w:t>Serghides</w:t>
      </w:r>
      <w:proofErr w:type="spellEnd"/>
      <w:r>
        <w:rPr>
          <w:lang w:val="pl"/>
        </w:rPr>
        <w:t>,</w:t>
      </w:r>
      <w:r>
        <w:rPr>
          <w:lang w:val="pl"/>
        </w:rPr>
        <w:br/>
      </w:r>
      <w:r>
        <w:rPr>
          <w:lang w:val="pl"/>
        </w:rPr>
        <w:tab/>
      </w:r>
      <w:proofErr w:type="spellStart"/>
      <w:r>
        <w:rPr>
          <w:lang w:val="pl"/>
        </w:rPr>
        <w:t>Raffaele</w:t>
      </w:r>
      <w:proofErr w:type="spellEnd"/>
      <w:r>
        <w:rPr>
          <w:lang w:val="pl"/>
        </w:rPr>
        <w:t xml:space="preserve"> </w:t>
      </w:r>
      <w:proofErr w:type="spellStart"/>
      <w:r>
        <w:rPr>
          <w:lang w:val="pl"/>
        </w:rPr>
        <w:t>Sabato</w:t>
      </w:r>
      <w:proofErr w:type="spellEnd"/>
      <w:r>
        <w:rPr>
          <w:lang w:val="pl"/>
        </w:rPr>
        <w:t>,</w:t>
      </w:r>
      <w:r>
        <w:rPr>
          <w:lang w:val="pl"/>
        </w:rPr>
        <w:br/>
      </w:r>
      <w:r>
        <w:rPr>
          <w:lang w:val="pl"/>
        </w:rPr>
        <w:tab/>
        <w:t xml:space="preserve">Alain </w:t>
      </w:r>
      <w:proofErr w:type="spellStart"/>
      <w:r>
        <w:rPr>
          <w:lang w:val="pl"/>
        </w:rPr>
        <w:t>Chablais</w:t>
      </w:r>
      <w:proofErr w:type="spellEnd"/>
      <w:r>
        <w:rPr>
          <w:lang w:val="pl"/>
        </w:rPr>
        <w:t>,</w:t>
      </w:r>
      <w:r>
        <w:rPr>
          <w:lang w:val="pl"/>
        </w:rPr>
        <w:br/>
      </w:r>
      <w:r>
        <w:rPr>
          <w:lang w:val="pl"/>
        </w:rPr>
        <w:tab/>
      </w:r>
      <w:proofErr w:type="spellStart"/>
      <w:r>
        <w:rPr>
          <w:lang w:val="pl"/>
        </w:rPr>
        <w:t>Artūrs</w:t>
      </w:r>
      <w:proofErr w:type="spellEnd"/>
      <w:r>
        <w:rPr>
          <w:lang w:val="pl"/>
        </w:rPr>
        <w:t xml:space="preserve"> </w:t>
      </w:r>
      <w:proofErr w:type="spellStart"/>
      <w:r>
        <w:rPr>
          <w:lang w:val="pl"/>
        </w:rPr>
        <w:t>Kučs</w:t>
      </w:r>
      <w:proofErr w:type="spellEnd"/>
      <w:r>
        <w:rPr>
          <w:lang w:val="pl"/>
        </w:rPr>
        <w:t>,</w:t>
      </w:r>
      <w:r>
        <w:rPr>
          <w:lang w:val="pl"/>
        </w:rPr>
        <w:br/>
      </w:r>
      <w:r>
        <w:rPr>
          <w:lang w:val="pl"/>
        </w:rPr>
        <w:tab/>
        <w:t>Anna Adamska-Gallant</w:t>
      </w:r>
      <w:r>
        <w:rPr>
          <w:i/>
          <w:iCs/>
          <w:lang w:val="pl"/>
        </w:rPr>
        <w:t>, sędziowie</w:t>
      </w:r>
      <w:r>
        <w:rPr>
          <w:lang w:val="pl"/>
        </w:rPr>
        <w:t>,</w:t>
      </w:r>
      <w:r>
        <w:rPr>
          <w:lang w:val="pl"/>
        </w:rPr>
        <w:br/>
        <w:t xml:space="preserve">i </w:t>
      </w:r>
      <w:proofErr w:type="spellStart"/>
      <w:r>
        <w:rPr>
          <w:lang w:val="pl"/>
        </w:rPr>
        <w:t>Liv</w:t>
      </w:r>
      <w:proofErr w:type="spellEnd"/>
      <w:r>
        <w:rPr>
          <w:lang w:val="pl"/>
        </w:rPr>
        <w:t xml:space="preserve"> </w:t>
      </w:r>
      <w:proofErr w:type="spellStart"/>
      <w:r>
        <w:rPr>
          <w:lang w:val="pl"/>
        </w:rPr>
        <w:t>Tigerstedt</w:t>
      </w:r>
      <w:proofErr w:type="spellEnd"/>
      <w:r>
        <w:rPr>
          <w:lang w:val="pl"/>
        </w:rPr>
        <w:t xml:space="preserve">, </w:t>
      </w:r>
      <w:r>
        <w:rPr>
          <w:i/>
          <w:iCs/>
          <w:lang w:val="pl"/>
        </w:rPr>
        <w:t>zastępca Kanclerza Sekcji,</w:t>
      </w:r>
    </w:p>
    <w:p w14:paraId="0513D284" w14:textId="77777777" w:rsidR="001C1CE3" w:rsidRPr="009E50F7" w:rsidRDefault="00000000" w:rsidP="0064767C">
      <w:pPr>
        <w:pStyle w:val="JuPara"/>
        <w:rPr>
          <w:lang w:val="pl-PL"/>
        </w:rPr>
      </w:pPr>
      <w:r>
        <w:rPr>
          <w:lang w:val="pl"/>
        </w:rPr>
        <w:t>mając na uwadze:</w:t>
      </w:r>
    </w:p>
    <w:p w14:paraId="647FB2C5" w14:textId="77777777" w:rsidR="001C1CE3" w:rsidRPr="009E50F7" w:rsidRDefault="00000000" w:rsidP="0064767C">
      <w:pPr>
        <w:pStyle w:val="JuPara"/>
        <w:rPr>
          <w:lang w:val="pl-PL"/>
        </w:rPr>
      </w:pPr>
      <w:r>
        <w:rPr>
          <w:lang w:val="pl"/>
        </w:rPr>
        <w:t xml:space="preserve">skargę (nr 21454/21) przeciwko Republice Cypryjskiej wniesioną do Trybunału 21 kwietnia 2021 r. na podstawie art. 34 Konwencji o ochronie praw człowieka i podstawowych wolności („Konwencja”) przez obywatela Cypru, </w:t>
      </w:r>
      <w:proofErr w:type="spellStart"/>
      <w:r>
        <w:rPr>
          <w:lang w:val="pl"/>
        </w:rPr>
        <w:t>Georgiosa</w:t>
      </w:r>
      <w:proofErr w:type="spellEnd"/>
      <w:r>
        <w:rPr>
          <w:lang w:val="pl"/>
        </w:rPr>
        <w:t xml:space="preserve"> </w:t>
      </w:r>
      <w:proofErr w:type="spellStart"/>
      <w:r>
        <w:rPr>
          <w:lang w:val="pl"/>
        </w:rPr>
        <w:t>Papadopoulosa</w:t>
      </w:r>
      <w:proofErr w:type="spellEnd"/>
      <w:r>
        <w:rPr>
          <w:lang w:val="pl"/>
        </w:rPr>
        <w:t xml:space="preserve"> („skarżący”);</w:t>
      </w:r>
    </w:p>
    <w:p w14:paraId="11FA1ED7" w14:textId="77777777" w:rsidR="001C1CE3" w:rsidRPr="009E50F7" w:rsidRDefault="00000000" w:rsidP="0064767C">
      <w:pPr>
        <w:pStyle w:val="JuPara"/>
        <w:rPr>
          <w:lang w:val="pl-PL"/>
        </w:rPr>
      </w:pPr>
      <w:r>
        <w:rPr>
          <w:lang w:val="pl"/>
        </w:rPr>
        <w:t>decyzję o zawiadomieniu Rządu Cypru („Rządu”) o skardze;</w:t>
      </w:r>
    </w:p>
    <w:p w14:paraId="437DC777" w14:textId="77777777" w:rsidR="001C1CE3" w:rsidRPr="009E50F7" w:rsidRDefault="00000000" w:rsidP="0064767C">
      <w:pPr>
        <w:pStyle w:val="JuPara"/>
        <w:rPr>
          <w:lang w:val="pl-PL"/>
        </w:rPr>
      </w:pPr>
      <w:r>
        <w:rPr>
          <w:lang w:val="pl"/>
        </w:rPr>
        <w:t>uwagi stron;</w:t>
      </w:r>
    </w:p>
    <w:p w14:paraId="4B5A0442" w14:textId="77777777" w:rsidR="009F4C8F" w:rsidRPr="009E50F7" w:rsidRDefault="00000000" w:rsidP="0064767C">
      <w:pPr>
        <w:pStyle w:val="JuPara"/>
        <w:rPr>
          <w:lang w:val="pl-PL"/>
        </w:rPr>
      </w:pPr>
      <w:r>
        <w:rPr>
          <w:lang w:val="pl"/>
        </w:rPr>
        <w:t>obradując na posiedzeniu niejawnym w dniach 6 maja i 16 września 2025 r.,</w:t>
      </w:r>
    </w:p>
    <w:p w14:paraId="5762449F" w14:textId="77777777" w:rsidR="009F4C8F" w:rsidRPr="009E50F7" w:rsidRDefault="00000000" w:rsidP="0064767C">
      <w:pPr>
        <w:pStyle w:val="JuPara"/>
        <w:rPr>
          <w:lang w:val="pl-PL"/>
        </w:rPr>
      </w:pPr>
      <w:r>
        <w:rPr>
          <w:lang w:val="pl"/>
        </w:rPr>
        <w:t>wydaje następujący wyrok, który został przyjęty w ostatnim z wyżej wymienionych dni:</w:t>
      </w:r>
    </w:p>
    <w:p w14:paraId="6FEF7022" w14:textId="77777777" w:rsidR="001C1CE3" w:rsidRPr="009E50F7" w:rsidRDefault="00000000" w:rsidP="0064767C">
      <w:pPr>
        <w:pStyle w:val="JuHHead"/>
        <w:numPr>
          <w:ilvl w:val="0"/>
          <w:numId w:val="0"/>
        </w:numPr>
        <w:rPr>
          <w:lang w:val="pl-PL"/>
        </w:rPr>
      </w:pPr>
      <w:r>
        <w:rPr>
          <w:bCs w:val="0"/>
          <w:lang w:val="pl"/>
        </w:rPr>
        <w:t>WPROWADZENIE</w:t>
      </w:r>
    </w:p>
    <w:p w14:paraId="4FADC987" w14:textId="405BFA8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1</w:t>
      </w:r>
      <w:r>
        <w:rPr>
          <w:noProof/>
          <w:lang w:val="pl"/>
        </w:rPr>
        <w:fldChar w:fldCharType="end"/>
      </w:r>
      <w:r>
        <w:rPr>
          <w:lang w:val="pl"/>
        </w:rPr>
        <w:t>.  Sprawa dotyczy decyzji Sądu Wyborczego, który kilkakrotnie unieważnił oświadczenie dotyczące wyboru skarżącego na posła do parlamentu.</w:t>
      </w:r>
    </w:p>
    <w:p w14:paraId="59191F93" w14:textId="77777777" w:rsidR="001C1CE3" w:rsidRPr="0064767C" w:rsidRDefault="00000000" w:rsidP="0064767C">
      <w:pPr>
        <w:pStyle w:val="JuHHead"/>
      </w:pPr>
      <w:r>
        <w:rPr>
          <w:bCs w:val="0"/>
          <w:lang w:val="pl"/>
        </w:rPr>
        <w:t>STAN FAKTYCZNY</w:t>
      </w:r>
    </w:p>
    <w:p w14:paraId="33DD3AF2" w14:textId="02586F8C"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2</w:t>
      </w:r>
      <w:r>
        <w:rPr>
          <w:noProof/>
          <w:lang w:val="pl"/>
        </w:rPr>
        <w:fldChar w:fldCharType="end"/>
      </w:r>
      <w:r>
        <w:rPr>
          <w:lang w:val="pl"/>
        </w:rPr>
        <w:t xml:space="preserve">.  Skarżący urodził się w 1965 r. i mieszka w </w:t>
      </w:r>
      <w:proofErr w:type="spellStart"/>
      <w:r>
        <w:rPr>
          <w:lang w:val="pl"/>
        </w:rPr>
        <w:t>Limassol</w:t>
      </w:r>
      <w:proofErr w:type="spellEnd"/>
      <w:r>
        <w:rPr>
          <w:lang w:val="pl"/>
        </w:rPr>
        <w:t xml:space="preserve">. Skarżący był reprezentowany przez A. </w:t>
      </w:r>
      <w:proofErr w:type="spellStart"/>
      <w:r>
        <w:rPr>
          <w:lang w:val="pl"/>
        </w:rPr>
        <w:t>Kyprizoglou</w:t>
      </w:r>
      <w:proofErr w:type="spellEnd"/>
      <w:r>
        <w:rPr>
          <w:lang w:val="pl"/>
        </w:rPr>
        <w:t>, prawnika praktykującego w</w:t>
      </w:r>
      <w:r w:rsidR="009E50F7">
        <w:rPr>
          <w:lang w:val="pl"/>
        </w:rPr>
        <w:t> </w:t>
      </w:r>
      <w:proofErr w:type="spellStart"/>
      <w:r>
        <w:rPr>
          <w:lang w:val="pl"/>
        </w:rPr>
        <w:t>Limassol</w:t>
      </w:r>
      <w:proofErr w:type="spellEnd"/>
      <w:r>
        <w:rPr>
          <w:lang w:val="pl"/>
        </w:rPr>
        <w:t>.</w:t>
      </w:r>
    </w:p>
    <w:p w14:paraId="492B2902"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3</w:t>
      </w:r>
      <w:r>
        <w:rPr>
          <w:noProof/>
          <w:lang w:val="pl"/>
        </w:rPr>
        <w:fldChar w:fldCharType="end"/>
      </w:r>
      <w:r>
        <w:rPr>
          <w:lang w:val="pl"/>
        </w:rPr>
        <w:t xml:space="preserve">.  Rząd był reprezentowany przez swojego pełnomocnika, G. L. </w:t>
      </w:r>
      <w:proofErr w:type="spellStart"/>
      <w:r>
        <w:rPr>
          <w:lang w:val="pl"/>
        </w:rPr>
        <w:t>Savvides</w:t>
      </w:r>
      <w:proofErr w:type="spellEnd"/>
      <w:r>
        <w:rPr>
          <w:lang w:val="pl"/>
        </w:rPr>
        <w:t>, prokuratora generalnego Republiki Cypryjskiej.</w:t>
      </w:r>
    </w:p>
    <w:p w14:paraId="17D11C6D"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4</w:t>
      </w:r>
      <w:r>
        <w:rPr>
          <w:noProof/>
          <w:lang w:val="pl"/>
        </w:rPr>
        <w:fldChar w:fldCharType="end"/>
      </w:r>
      <w:r>
        <w:rPr>
          <w:lang w:val="pl"/>
        </w:rPr>
        <w:t>.  Stan faktyczny sprawy można streścić w poniższy sposób.</w:t>
      </w:r>
    </w:p>
    <w:p w14:paraId="4C3C4E40" w14:textId="77777777" w:rsidR="001C1CE3" w:rsidRPr="0064767C" w:rsidRDefault="00000000" w:rsidP="0064767C">
      <w:pPr>
        <w:pStyle w:val="JuHIRoman"/>
      </w:pPr>
      <w:r>
        <w:rPr>
          <w:bCs w:val="0"/>
          <w:lang w:val="pl"/>
        </w:rPr>
        <w:t>KONTEKST SPRAWY</w:t>
      </w:r>
    </w:p>
    <w:p w14:paraId="4092C01F"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5</w:t>
      </w:r>
      <w:r>
        <w:rPr>
          <w:noProof/>
          <w:lang w:val="pl"/>
        </w:rPr>
        <w:fldChar w:fldCharType="end"/>
      </w:r>
      <w:r>
        <w:rPr>
          <w:lang w:val="pl"/>
        </w:rPr>
        <w:t xml:space="preserve">.  Wybory parlamentarne na Cyprze odbywają się w systemie proporcjonalnym z listami otwartymi. Wyborcy wybierają najpierw listę partyjną, a następnie mogą wskazać określoną liczbę głosów preferencyjnych (w zależności od okręgu wyborczego) dotyczących kandydatów z tej listy. </w:t>
      </w:r>
      <w:r>
        <w:rPr>
          <w:lang w:val="pl"/>
        </w:rPr>
        <w:lastRenderedPageBreak/>
        <w:t xml:space="preserve">Mandaty są rozdzielane na podstawie liczby głosów oddanych na partie przy zastosowaniu metody </w:t>
      </w:r>
      <w:proofErr w:type="spellStart"/>
      <w:r>
        <w:rPr>
          <w:lang w:val="pl"/>
        </w:rPr>
        <w:t>Hare’a</w:t>
      </w:r>
      <w:proofErr w:type="spellEnd"/>
      <w:r>
        <w:rPr>
          <w:lang w:val="pl"/>
        </w:rPr>
        <w:t xml:space="preserve"> – jednocześnie obowiązują dodatkowe progi mające na celu zapewnienie sprawiedliwej reprezentacji. Pierwszy podział mandatów odbywa się na szczeblu okręgu. Drugi etap podziału mandatów odbywa się na szczeblu krajowym (zob. paragrafy </w:t>
      </w:r>
      <w:r>
        <w:rPr>
          <w:lang w:val="pl"/>
        </w:rPr>
        <w:fldChar w:fldCharType="begin"/>
      </w:r>
      <w:r>
        <w:rPr>
          <w:lang w:val="pl"/>
        </w:rPr>
        <w:instrText xml:space="preserve"> REF ELECTIONLAW_S32 \h  \* MERGEFORMAT </w:instrText>
      </w:r>
      <w:r>
        <w:rPr>
          <w:lang w:val="pl"/>
        </w:rPr>
      </w:r>
      <w:r>
        <w:rPr>
          <w:lang w:val="pl"/>
        </w:rPr>
        <w:fldChar w:fldCharType="separate"/>
      </w:r>
      <w:r>
        <w:rPr>
          <w:lang w:val="pl"/>
        </w:rPr>
        <w:t>44</w:t>
      </w:r>
      <w:r>
        <w:rPr>
          <w:lang w:val="pl"/>
        </w:rPr>
        <w:fldChar w:fldCharType="end"/>
      </w:r>
      <w:r>
        <w:rPr>
          <w:lang w:val="pl"/>
        </w:rPr>
        <w:t>–</w:t>
      </w:r>
      <w:r>
        <w:rPr>
          <w:lang w:val="pl"/>
        </w:rPr>
        <w:fldChar w:fldCharType="begin"/>
      </w:r>
      <w:r>
        <w:rPr>
          <w:lang w:val="pl"/>
        </w:rPr>
        <w:instrText xml:space="preserve"> REF ELECTIONLAW_S33_second_distribution \h  \* MERGEFORMAT </w:instrText>
      </w:r>
      <w:r>
        <w:rPr>
          <w:lang w:val="pl"/>
        </w:rPr>
      </w:r>
      <w:r>
        <w:rPr>
          <w:lang w:val="pl"/>
        </w:rPr>
        <w:fldChar w:fldCharType="separate"/>
      </w:r>
      <w:r>
        <w:rPr>
          <w:lang w:val="pl"/>
        </w:rPr>
        <w:t>45</w:t>
      </w:r>
      <w:r>
        <w:rPr>
          <w:lang w:val="pl"/>
        </w:rPr>
        <w:fldChar w:fldCharType="end"/>
      </w:r>
      <w:r>
        <w:rPr>
          <w:lang w:val="pl"/>
        </w:rPr>
        <w:t xml:space="preserve"> and </w:t>
      </w:r>
      <w:r>
        <w:rPr>
          <w:lang w:val="pl"/>
        </w:rPr>
        <w:fldChar w:fldCharType="begin"/>
      </w:r>
      <w:r>
        <w:rPr>
          <w:lang w:val="pl"/>
        </w:rPr>
        <w:instrText xml:space="preserve"> REF Venice_table \h  \* MERGEFORMAT </w:instrText>
      </w:r>
      <w:r>
        <w:rPr>
          <w:lang w:val="pl"/>
        </w:rPr>
      </w:r>
      <w:r>
        <w:rPr>
          <w:lang w:val="pl"/>
        </w:rPr>
        <w:fldChar w:fldCharType="separate"/>
      </w:r>
      <w:r>
        <w:rPr>
          <w:lang w:val="pl"/>
        </w:rPr>
        <w:t>51</w:t>
      </w:r>
      <w:r>
        <w:rPr>
          <w:lang w:val="pl"/>
        </w:rPr>
        <w:fldChar w:fldCharType="end"/>
      </w:r>
      <w:r>
        <w:rPr>
          <w:lang w:val="pl"/>
        </w:rPr>
        <w:t>–</w:t>
      </w:r>
      <w:r>
        <w:rPr>
          <w:lang w:val="pl"/>
        </w:rPr>
        <w:fldChar w:fldCharType="begin"/>
      </w:r>
      <w:r>
        <w:rPr>
          <w:lang w:val="pl"/>
        </w:rPr>
        <w:instrText xml:space="preserve"> REF OSCE \h  \* MERGEFORMAT </w:instrText>
      </w:r>
      <w:r>
        <w:rPr>
          <w:lang w:val="pl"/>
        </w:rPr>
      </w:r>
      <w:r>
        <w:rPr>
          <w:lang w:val="pl"/>
        </w:rPr>
        <w:fldChar w:fldCharType="separate"/>
      </w:r>
      <w:r>
        <w:rPr>
          <w:lang w:val="pl"/>
        </w:rPr>
        <w:t>52</w:t>
      </w:r>
      <w:r>
        <w:rPr>
          <w:lang w:val="pl"/>
        </w:rPr>
        <w:fldChar w:fldCharType="end"/>
      </w:r>
      <w:r>
        <w:rPr>
          <w:lang w:val="pl"/>
        </w:rPr>
        <w:t xml:space="preserve"> poniżej).</w:t>
      </w:r>
    </w:p>
    <w:p w14:paraId="58E13B0E"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6</w:t>
      </w:r>
      <w:r>
        <w:rPr>
          <w:noProof/>
          <w:lang w:val="pl"/>
        </w:rPr>
        <w:fldChar w:fldCharType="end"/>
      </w:r>
      <w:r>
        <w:rPr>
          <w:lang w:val="pl"/>
        </w:rPr>
        <w:t>.  22 maja 2016 r. odbyły się wybory parlamentarne.</w:t>
      </w:r>
    </w:p>
    <w:p w14:paraId="53A3611A" w14:textId="53F45206"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7</w:t>
      </w:r>
      <w:r>
        <w:rPr>
          <w:noProof/>
          <w:lang w:val="pl"/>
        </w:rPr>
        <w:fldChar w:fldCharType="end"/>
      </w:r>
      <w:r>
        <w:rPr>
          <w:lang w:val="pl"/>
        </w:rPr>
        <w:t>.  </w:t>
      </w:r>
      <w:r w:rsidR="00470549">
        <w:rPr>
          <w:lang w:val="pl"/>
        </w:rPr>
        <w:t xml:space="preserve"> Skarżący </w:t>
      </w:r>
      <w:r>
        <w:rPr>
          <w:lang w:val="pl"/>
        </w:rPr>
        <w:t>i E.T. byli kandydatami w tych wyborach z ramienia Ruchu Solidarnościowego (</w:t>
      </w:r>
      <w:proofErr w:type="spellStart"/>
      <w:r>
        <w:rPr>
          <w:lang w:val="pl"/>
        </w:rPr>
        <w:t>Kίνημ</w:t>
      </w:r>
      <w:proofErr w:type="spellEnd"/>
      <w:r>
        <w:rPr>
          <w:lang w:val="pl"/>
        </w:rPr>
        <w:t xml:space="preserve">α </w:t>
      </w:r>
      <w:proofErr w:type="spellStart"/>
      <w:r>
        <w:rPr>
          <w:lang w:val="pl"/>
        </w:rPr>
        <w:t>Αλληλεγγύη</w:t>
      </w:r>
      <w:proofErr w:type="spellEnd"/>
      <w:r>
        <w:rPr>
          <w:lang w:val="pl"/>
        </w:rPr>
        <w:t xml:space="preserve"> – „Solidarność”) w okręgu wyborczym </w:t>
      </w:r>
      <w:proofErr w:type="spellStart"/>
      <w:r>
        <w:rPr>
          <w:lang w:val="pl"/>
        </w:rPr>
        <w:t>Limassol</w:t>
      </w:r>
      <w:proofErr w:type="spellEnd"/>
      <w:r>
        <w:rPr>
          <w:lang w:val="pl"/>
        </w:rPr>
        <w:t>. W tamtym czasie E.T. pełniła funkcję przewodniczącej Solidarności oraz była posłanką do Parlamentu Europejskiego (PE).</w:t>
      </w:r>
    </w:p>
    <w:bookmarkStart w:id="1" w:name="CRO_VOTES_SEATSCOUNT"/>
    <w:p w14:paraId="3DD0F431" w14:textId="544CE33B"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8</w:t>
      </w:r>
      <w:r>
        <w:rPr>
          <w:lang w:val="pl"/>
        </w:rPr>
        <w:fldChar w:fldCharType="end"/>
      </w:r>
      <w:bookmarkEnd w:id="1"/>
      <w:r>
        <w:rPr>
          <w:lang w:val="pl"/>
        </w:rPr>
        <w:t xml:space="preserve">.  Po zakończeniu wyborów </w:t>
      </w:r>
      <w:r w:rsidR="001A32B1">
        <w:rPr>
          <w:lang w:val="pl"/>
        </w:rPr>
        <w:t>G</w:t>
      </w:r>
      <w:r>
        <w:rPr>
          <w:lang w:val="pl"/>
        </w:rPr>
        <w:t xml:space="preserve">łówny </w:t>
      </w:r>
      <w:r w:rsidR="001A32B1">
        <w:rPr>
          <w:lang w:val="pl"/>
        </w:rPr>
        <w:t>K</w:t>
      </w:r>
      <w:r>
        <w:rPr>
          <w:lang w:val="pl"/>
        </w:rPr>
        <w:t xml:space="preserve">omisarz </w:t>
      </w:r>
      <w:r w:rsidR="001A32B1">
        <w:rPr>
          <w:lang w:val="pl"/>
        </w:rPr>
        <w:t>W</w:t>
      </w:r>
      <w:r>
        <w:rPr>
          <w:lang w:val="pl"/>
        </w:rPr>
        <w:t>yborczy („GKW”) przystąpił do podziału pięćdziesięciu sześciu mandatów parlamentarnych między partie polityczne w każdym okręgu wyborczym, stosując następującą procedurę podziału w dwóch turach (π</w:t>
      </w:r>
      <w:proofErr w:type="spellStart"/>
      <w:r>
        <w:rPr>
          <w:lang w:val="pl"/>
        </w:rPr>
        <w:t>ρώτη</w:t>
      </w:r>
      <w:proofErr w:type="spellEnd"/>
      <w:r>
        <w:rPr>
          <w:lang w:val="pl"/>
        </w:rPr>
        <w:t xml:space="preserve"> και </w:t>
      </w:r>
      <w:proofErr w:type="spellStart"/>
      <w:r>
        <w:rPr>
          <w:lang w:val="pl"/>
        </w:rPr>
        <w:t>δεύτερη</w:t>
      </w:r>
      <w:proofErr w:type="spellEnd"/>
      <w:r>
        <w:rPr>
          <w:lang w:val="pl"/>
        </w:rPr>
        <w:t xml:space="preserve"> κατα</w:t>
      </w:r>
      <w:proofErr w:type="spellStart"/>
      <w:r>
        <w:rPr>
          <w:lang w:val="pl"/>
        </w:rPr>
        <w:t>νομή</w:t>
      </w:r>
      <w:proofErr w:type="spellEnd"/>
      <w:r>
        <w:rPr>
          <w:lang w:val="pl"/>
        </w:rPr>
        <w:t xml:space="preserve">) (zob. paragrafy </w:t>
      </w:r>
      <w:r>
        <w:rPr>
          <w:lang w:val="pl"/>
        </w:rPr>
        <w:fldChar w:fldCharType="begin"/>
      </w:r>
      <w:r>
        <w:rPr>
          <w:lang w:val="pl"/>
        </w:rPr>
        <w:instrText xml:space="preserve"> REF ELECTIONLAW_S32 \h  \* MERGEFORMAT </w:instrText>
      </w:r>
      <w:r>
        <w:rPr>
          <w:lang w:val="pl"/>
        </w:rPr>
      </w:r>
      <w:r>
        <w:rPr>
          <w:lang w:val="pl"/>
        </w:rPr>
        <w:fldChar w:fldCharType="separate"/>
      </w:r>
      <w:r>
        <w:rPr>
          <w:lang w:val="pl"/>
        </w:rPr>
        <w:t>44</w:t>
      </w:r>
      <w:r>
        <w:rPr>
          <w:lang w:val="pl"/>
        </w:rPr>
        <w:fldChar w:fldCharType="end"/>
      </w:r>
      <w:r>
        <w:rPr>
          <w:lang w:val="pl"/>
        </w:rPr>
        <w:t xml:space="preserve"> i </w:t>
      </w:r>
      <w:r>
        <w:rPr>
          <w:lang w:val="pl"/>
        </w:rPr>
        <w:fldChar w:fldCharType="begin"/>
      </w:r>
      <w:r>
        <w:rPr>
          <w:lang w:val="pl"/>
        </w:rPr>
        <w:instrText xml:space="preserve"> REF ELECTIONLAW_S33_second_distribution \h  \* MERGEFORMAT </w:instrText>
      </w:r>
      <w:r>
        <w:rPr>
          <w:lang w:val="pl"/>
        </w:rPr>
      </w:r>
      <w:r>
        <w:rPr>
          <w:lang w:val="pl"/>
        </w:rPr>
        <w:fldChar w:fldCharType="separate"/>
      </w:r>
      <w:r>
        <w:rPr>
          <w:lang w:val="pl"/>
        </w:rPr>
        <w:t>45</w:t>
      </w:r>
      <w:r>
        <w:rPr>
          <w:lang w:val="pl"/>
        </w:rPr>
        <w:fldChar w:fldCharType="end"/>
      </w:r>
      <w:r>
        <w:rPr>
          <w:lang w:val="pl"/>
        </w:rPr>
        <w:t xml:space="preserve"> poniżej):</w:t>
      </w:r>
    </w:p>
    <w:p w14:paraId="1434DC29" w14:textId="77777777" w:rsidR="001C1CE3" w:rsidRPr="009E50F7" w:rsidRDefault="001C1CE3" w:rsidP="0064767C">
      <w:pPr>
        <w:pStyle w:val="JuPara"/>
        <w:rPr>
          <w:lang w:val="pl-PL"/>
        </w:rPr>
      </w:pPr>
    </w:p>
    <w:tbl>
      <w:tblPr>
        <w:tblStyle w:val="Tabela-Siatka"/>
        <w:tblW w:w="8782"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5"/>
        <w:gridCol w:w="1016"/>
        <w:gridCol w:w="1173"/>
        <w:gridCol w:w="1350"/>
        <w:gridCol w:w="934"/>
        <w:gridCol w:w="1110"/>
        <w:gridCol w:w="1154"/>
      </w:tblGrid>
      <w:tr w:rsidR="00445ED5" w14:paraId="6738C971" w14:textId="77777777" w:rsidTr="00CB22D0">
        <w:trPr>
          <w:trHeight w:val="263"/>
        </w:trPr>
        <w:tc>
          <w:tcPr>
            <w:tcW w:w="2072" w:type="dxa"/>
          </w:tcPr>
          <w:p w14:paraId="4AEEDB00" w14:textId="77777777" w:rsidR="001C1CE3" w:rsidRPr="0064767C" w:rsidRDefault="00000000" w:rsidP="0064767C">
            <w:pPr>
              <w:pStyle w:val="JuPara"/>
              <w:ind w:firstLine="0"/>
              <w:rPr>
                <w:b/>
                <w:bCs/>
              </w:rPr>
            </w:pPr>
            <w:r>
              <w:rPr>
                <w:b/>
                <w:bCs/>
                <w:lang w:val="pl"/>
              </w:rPr>
              <w:t>Partia polityczna</w:t>
            </w:r>
          </w:p>
        </w:tc>
        <w:tc>
          <w:tcPr>
            <w:tcW w:w="6710" w:type="dxa"/>
            <w:gridSpan w:val="6"/>
          </w:tcPr>
          <w:p w14:paraId="48545B21" w14:textId="77777777" w:rsidR="001C1CE3" w:rsidRPr="0064767C" w:rsidRDefault="00000000" w:rsidP="0064767C">
            <w:pPr>
              <w:pStyle w:val="JuPara"/>
              <w:ind w:firstLine="0"/>
              <w:jc w:val="center"/>
              <w:rPr>
                <w:b/>
                <w:bCs/>
              </w:rPr>
            </w:pPr>
            <w:r>
              <w:rPr>
                <w:b/>
                <w:bCs/>
                <w:lang w:val="pl"/>
              </w:rPr>
              <w:t>Okręgi wyborcze</w:t>
            </w:r>
          </w:p>
        </w:tc>
      </w:tr>
      <w:tr w:rsidR="00445ED5" w14:paraId="7CF302A7" w14:textId="77777777" w:rsidTr="00CB22D0">
        <w:trPr>
          <w:trHeight w:val="276"/>
        </w:trPr>
        <w:tc>
          <w:tcPr>
            <w:tcW w:w="2072" w:type="dxa"/>
          </w:tcPr>
          <w:p w14:paraId="0894E6B2" w14:textId="77777777" w:rsidR="001C1CE3" w:rsidRPr="0064767C" w:rsidRDefault="001C1CE3" w:rsidP="0064767C">
            <w:pPr>
              <w:pStyle w:val="JuPara"/>
              <w:ind w:firstLine="0"/>
              <w:rPr>
                <w:b/>
                <w:bCs/>
              </w:rPr>
            </w:pPr>
          </w:p>
        </w:tc>
        <w:tc>
          <w:tcPr>
            <w:tcW w:w="966" w:type="dxa"/>
          </w:tcPr>
          <w:p w14:paraId="5362EAB1" w14:textId="77777777" w:rsidR="001C1CE3" w:rsidRPr="0064767C" w:rsidRDefault="00000000" w:rsidP="0064767C">
            <w:pPr>
              <w:pStyle w:val="JuPara"/>
              <w:ind w:firstLine="0"/>
              <w:rPr>
                <w:b/>
                <w:bCs/>
              </w:rPr>
            </w:pPr>
            <w:r>
              <w:rPr>
                <w:b/>
                <w:bCs/>
                <w:lang w:val="pl"/>
              </w:rPr>
              <w:t xml:space="preserve">Nikozja </w:t>
            </w:r>
          </w:p>
        </w:tc>
        <w:tc>
          <w:tcPr>
            <w:tcW w:w="1180" w:type="dxa"/>
          </w:tcPr>
          <w:p w14:paraId="14D272B4" w14:textId="77777777" w:rsidR="001C1CE3" w:rsidRPr="0064767C" w:rsidRDefault="00000000" w:rsidP="0064767C">
            <w:pPr>
              <w:pStyle w:val="JuPara"/>
              <w:ind w:firstLine="0"/>
              <w:rPr>
                <w:b/>
                <w:bCs/>
              </w:rPr>
            </w:pPr>
            <w:proofErr w:type="spellStart"/>
            <w:r>
              <w:rPr>
                <w:b/>
                <w:bCs/>
                <w:lang w:val="pl"/>
              </w:rPr>
              <w:t>Limassol</w:t>
            </w:r>
            <w:proofErr w:type="spellEnd"/>
          </w:p>
        </w:tc>
        <w:tc>
          <w:tcPr>
            <w:tcW w:w="1315" w:type="dxa"/>
          </w:tcPr>
          <w:p w14:paraId="6887142B" w14:textId="77777777" w:rsidR="001C1CE3" w:rsidRPr="0064767C" w:rsidRDefault="00000000" w:rsidP="0064767C">
            <w:pPr>
              <w:pStyle w:val="JuPara"/>
              <w:ind w:firstLine="0"/>
              <w:rPr>
                <w:b/>
                <w:bCs/>
              </w:rPr>
            </w:pPr>
            <w:r>
              <w:rPr>
                <w:b/>
                <w:bCs/>
                <w:lang w:val="pl"/>
              </w:rPr>
              <w:t>Famagusta</w:t>
            </w:r>
          </w:p>
        </w:tc>
        <w:tc>
          <w:tcPr>
            <w:tcW w:w="964" w:type="dxa"/>
          </w:tcPr>
          <w:p w14:paraId="211D98FA" w14:textId="77777777" w:rsidR="001C1CE3" w:rsidRPr="0064767C" w:rsidRDefault="00000000" w:rsidP="0064767C">
            <w:pPr>
              <w:pStyle w:val="JuPara"/>
              <w:ind w:firstLine="0"/>
              <w:rPr>
                <w:b/>
                <w:bCs/>
              </w:rPr>
            </w:pPr>
            <w:r>
              <w:rPr>
                <w:b/>
                <w:bCs/>
                <w:lang w:val="pl"/>
              </w:rPr>
              <w:t>Pafos</w:t>
            </w:r>
          </w:p>
        </w:tc>
        <w:tc>
          <w:tcPr>
            <w:tcW w:w="1102" w:type="dxa"/>
          </w:tcPr>
          <w:p w14:paraId="0782831E" w14:textId="77777777" w:rsidR="001C1CE3" w:rsidRPr="0064767C" w:rsidRDefault="00000000" w:rsidP="0064767C">
            <w:pPr>
              <w:pStyle w:val="JuPara"/>
              <w:ind w:firstLine="0"/>
              <w:rPr>
                <w:b/>
                <w:bCs/>
              </w:rPr>
            </w:pPr>
            <w:r>
              <w:rPr>
                <w:b/>
                <w:bCs/>
                <w:lang w:val="pl"/>
              </w:rPr>
              <w:t>Larnaka</w:t>
            </w:r>
          </w:p>
        </w:tc>
        <w:tc>
          <w:tcPr>
            <w:tcW w:w="1181" w:type="dxa"/>
          </w:tcPr>
          <w:p w14:paraId="34ECD6A3" w14:textId="77777777" w:rsidR="001C1CE3" w:rsidRPr="0064767C" w:rsidRDefault="00000000" w:rsidP="0064767C">
            <w:pPr>
              <w:pStyle w:val="JuPara"/>
              <w:ind w:firstLine="0"/>
              <w:rPr>
                <w:b/>
                <w:bCs/>
              </w:rPr>
            </w:pPr>
            <w:proofErr w:type="spellStart"/>
            <w:r>
              <w:rPr>
                <w:b/>
                <w:bCs/>
                <w:lang w:val="pl"/>
              </w:rPr>
              <w:t>Kirenia</w:t>
            </w:r>
            <w:proofErr w:type="spellEnd"/>
          </w:p>
        </w:tc>
      </w:tr>
      <w:tr w:rsidR="00445ED5" w14:paraId="24CE510A" w14:textId="77777777" w:rsidTr="00CB22D0">
        <w:trPr>
          <w:trHeight w:val="526"/>
        </w:trPr>
        <w:tc>
          <w:tcPr>
            <w:tcW w:w="2072" w:type="dxa"/>
          </w:tcPr>
          <w:p w14:paraId="11B9BFE6" w14:textId="77777777" w:rsidR="001C1CE3" w:rsidRPr="0064767C" w:rsidRDefault="00000000" w:rsidP="0064767C">
            <w:pPr>
              <w:pStyle w:val="JuPara"/>
              <w:ind w:firstLine="0"/>
              <w:jc w:val="left"/>
            </w:pPr>
            <w:r>
              <w:rPr>
                <w:lang w:val="pl"/>
              </w:rPr>
              <w:t>Zgromadzenie Demokratyczne</w:t>
            </w:r>
          </w:p>
          <w:p w14:paraId="1E039E84" w14:textId="77777777" w:rsidR="001C1CE3" w:rsidRPr="0064767C" w:rsidRDefault="00000000" w:rsidP="0064767C">
            <w:pPr>
              <w:pStyle w:val="JuPara"/>
              <w:ind w:firstLine="0"/>
              <w:jc w:val="left"/>
              <w:rPr>
                <w:b/>
                <w:bCs/>
              </w:rPr>
            </w:pPr>
            <w:r>
              <w:rPr>
                <w:lang w:val="pl"/>
              </w:rPr>
              <w:t>(DISY)</w:t>
            </w:r>
          </w:p>
        </w:tc>
        <w:tc>
          <w:tcPr>
            <w:tcW w:w="966" w:type="dxa"/>
          </w:tcPr>
          <w:p w14:paraId="0BE4FE21" w14:textId="77777777" w:rsidR="001C1CE3" w:rsidRPr="0064767C" w:rsidRDefault="00000000" w:rsidP="0064767C">
            <w:pPr>
              <w:pStyle w:val="JuPara"/>
              <w:ind w:firstLine="0"/>
            </w:pPr>
            <w:r>
              <w:rPr>
                <w:lang w:val="pl"/>
              </w:rPr>
              <w:t>6</w:t>
            </w:r>
          </w:p>
        </w:tc>
        <w:tc>
          <w:tcPr>
            <w:tcW w:w="1180" w:type="dxa"/>
          </w:tcPr>
          <w:p w14:paraId="6AF5F919" w14:textId="77777777" w:rsidR="001C1CE3" w:rsidRPr="0064767C" w:rsidRDefault="00000000" w:rsidP="0064767C">
            <w:pPr>
              <w:pStyle w:val="JuPara"/>
              <w:ind w:firstLine="0"/>
            </w:pPr>
            <w:r>
              <w:rPr>
                <w:lang w:val="pl"/>
              </w:rPr>
              <w:t>3</w:t>
            </w:r>
          </w:p>
        </w:tc>
        <w:tc>
          <w:tcPr>
            <w:tcW w:w="1315" w:type="dxa"/>
          </w:tcPr>
          <w:p w14:paraId="79622E5D" w14:textId="77777777" w:rsidR="001C1CE3" w:rsidRPr="0064767C" w:rsidRDefault="00000000" w:rsidP="0064767C">
            <w:pPr>
              <w:pStyle w:val="JuPara"/>
              <w:ind w:firstLine="0"/>
            </w:pPr>
            <w:r>
              <w:rPr>
                <w:lang w:val="pl"/>
              </w:rPr>
              <w:t>4</w:t>
            </w:r>
          </w:p>
        </w:tc>
        <w:tc>
          <w:tcPr>
            <w:tcW w:w="964" w:type="dxa"/>
          </w:tcPr>
          <w:p w14:paraId="46999068" w14:textId="77777777" w:rsidR="001C1CE3" w:rsidRPr="0064767C" w:rsidRDefault="00000000" w:rsidP="0064767C">
            <w:pPr>
              <w:pStyle w:val="JuPara"/>
              <w:ind w:firstLine="0"/>
            </w:pPr>
            <w:r>
              <w:rPr>
                <w:lang w:val="pl"/>
              </w:rPr>
              <w:t>1</w:t>
            </w:r>
          </w:p>
        </w:tc>
        <w:tc>
          <w:tcPr>
            <w:tcW w:w="1102" w:type="dxa"/>
          </w:tcPr>
          <w:p w14:paraId="0C45D1E8" w14:textId="77777777" w:rsidR="001C1CE3" w:rsidRPr="0064767C" w:rsidRDefault="00000000" w:rsidP="0064767C">
            <w:pPr>
              <w:pStyle w:val="JuPara"/>
              <w:ind w:firstLine="0"/>
            </w:pPr>
            <w:r>
              <w:rPr>
                <w:lang w:val="pl"/>
              </w:rPr>
              <w:t>2</w:t>
            </w:r>
          </w:p>
        </w:tc>
        <w:tc>
          <w:tcPr>
            <w:tcW w:w="1181" w:type="dxa"/>
          </w:tcPr>
          <w:p w14:paraId="6D9268E0" w14:textId="77777777" w:rsidR="001C1CE3" w:rsidRPr="0064767C" w:rsidRDefault="00000000" w:rsidP="0064767C">
            <w:pPr>
              <w:pStyle w:val="JuPara"/>
              <w:ind w:firstLine="0"/>
            </w:pPr>
            <w:r>
              <w:rPr>
                <w:lang w:val="pl"/>
              </w:rPr>
              <w:t>2</w:t>
            </w:r>
          </w:p>
        </w:tc>
      </w:tr>
      <w:tr w:rsidR="00445ED5" w14:paraId="56297848" w14:textId="77777777" w:rsidTr="00CB22D0">
        <w:trPr>
          <w:trHeight w:val="803"/>
        </w:trPr>
        <w:tc>
          <w:tcPr>
            <w:tcW w:w="2072" w:type="dxa"/>
          </w:tcPr>
          <w:p w14:paraId="1A07A342" w14:textId="77777777" w:rsidR="001C1CE3" w:rsidRPr="009E50F7" w:rsidRDefault="00000000" w:rsidP="0064767C">
            <w:pPr>
              <w:pStyle w:val="JuPara"/>
              <w:ind w:firstLine="0"/>
              <w:jc w:val="left"/>
              <w:rPr>
                <w:lang w:val="pl-PL"/>
              </w:rPr>
            </w:pPr>
            <w:r>
              <w:rPr>
                <w:lang w:val="pl"/>
              </w:rPr>
              <w:t>Postępowa Partia Ludzi Pracy</w:t>
            </w:r>
          </w:p>
          <w:p w14:paraId="320EDE6A" w14:textId="77777777" w:rsidR="001C1CE3" w:rsidRPr="009E50F7" w:rsidRDefault="00000000" w:rsidP="0064767C">
            <w:pPr>
              <w:pStyle w:val="JuPara"/>
              <w:ind w:firstLine="0"/>
              <w:jc w:val="left"/>
              <w:rPr>
                <w:b/>
                <w:bCs/>
                <w:lang w:val="pl-PL"/>
              </w:rPr>
            </w:pPr>
            <w:r>
              <w:rPr>
                <w:lang w:val="pl"/>
              </w:rPr>
              <w:t xml:space="preserve">(AKEL) </w:t>
            </w:r>
          </w:p>
        </w:tc>
        <w:tc>
          <w:tcPr>
            <w:tcW w:w="966" w:type="dxa"/>
          </w:tcPr>
          <w:p w14:paraId="7F774E43" w14:textId="77777777" w:rsidR="001C1CE3" w:rsidRPr="0064767C" w:rsidRDefault="00000000" w:rsidP="0064767C">
            <w:pPr>
              <w:pStyle w:val="JuPara"/>
              <w:ind w:firstLine="0"/>
            </w:pPr>
            <w:r>
              <w:rPr>
                <w:lang w:val="pl"/>
              </w:rPr>
              <w:t>5</w:t>
            </w:r>
          </w:p>
        </w:tc>
        <w:tc>
          <w:tcPr>
            <w:tcW w:w="1180" w:type="dxa"/>
          </w:tcPr>
          <w:p w14:paraId="1F0264AA" w14:textId="77777777" w:rsidR="001C1CE3" w:rsidRPr="0064767C" w:rsidRDefault="00000000" w:rsidP="0064767C">
            <w:pPr>
              <w:pStyle w:val="JuPara"/>
              <w:ind w:firstLine="0"/>
            </w:pPr>
            <w:r>
              <w:rPr>
                <w:lang w:val="pl"/>
              </w:rPr>
              <w:t>4</w:t>
            </w:r>
          </w:p>
        </w:tc>
        <w:tc>
          <w:tcPr>
            <w:tcW w:w="1315" w:type="dxa"/>
          </w:tcPr>
          <w:p w14:paraId="39DC9F35" w14:textId="77777777" w:rsidR="001C1CE3" w:rsidRPr="0064767C" w:rsidRDefault="00000000" w:rsidP="0064767C">
            <w:pPr>
              <w:pStyle w:val="JuPara"/>
              <w:ind w:firstLine="0"/>
            </w:pPr>
            <w:r>
              <w:rPr>
                <w:lang w:val="pl"/>
              </w:rPr>
              <w:t>3</w:t>
            </w:r>
          </w:p>
        </w:tc>
        <w:tc>
          <w:tcPr>
            <w:tcW w:w="964" w:type="dxa"/>
          </w:tcPr>
          <w:p w14:paraId="5FD478BD" w14:textId="77777777" w:rsidR="001C1CE3" w:rsidRPr="0064767C" w:rsidRDefault="00000000" w:rsidP="0064767C">
            <w:pPr>
              <w:pStyle w:val="JuPara"/>
              <w:ind w:firstLine="0"/>
            </w:pPr>
            <w:r>
              <w:rPr>
                <w:lang w:val="pl"/>
              </w:rPr>
              <w:t>1</w:t>
            </w:r>
          </w:p>
        </w:tc>
        <w:tc>
          <w:tcPr>
            <w:tcW w:w="1102" w:type="dxa"/>
          </w:tcPr>
          <w:p w14:paraId="7528C53F" w14:textId="77777777" w:rsidR="001C1CE3" w:rsidRPr="0064767C" w:rsidRDefault="00000000" w:rsidP="0064767C">
            <w:pPr>
              <w:pStyle w:val="JuPara"/>
              <w:ind w:firstLine="0"/>
            </w:pPr>
            <w:r>
              <w:rPr>
                <w:lang w:val="pl"/>
              </w:rPr>
              <w:t>2</w:t>
            </w:r>
          </w:p>
        </w:tc>
        <w:tc>
          <w:tcPr>
            <w:tcW w:w="1181" w:type="dxa"/>
          </w:tcPr>
          <w:p w14:paraId="3823F2E1" w14:textId="77777777" w:rsidR="001C1CE3" w:rsidRPr="0064767C" w:rsidRDefault="00000000" w:rsidP="0064767C">
            <w:pPr>
              <w:pStyle w:val="JuPara"/>
              <w:ind w:firstLine="0"/>
            </w:pPr>
            <w:r>
              <w:rPr>
                <w:lang w:val="pl"/>
              </w:rPr>
              <w:t>1</w:t>
            </w:r>
          </w:p>
        </w:tc>
      </w:tr>
      <w:tr w:rsidR="00445ED5" w14:paraId="2A546706" w14:textId="77777777" w:rsidTr="00CB22D0">
        <w:trPr>
          <w:trHeight w:val="539"/>
        </w:trPr>
        <w:tc>
          <w:tcPr>
            <w:tcW w:w="2072" w:type="dxa"/>
          </w:tcPr>
          <w:p w14:paraId="0FF83422" w14:textId="77777777" w:rsidR="001C1CE3" w:rsidRPr="0064767C" w:rsidRDefault="00000000" w:rsidP="0064767C">
            <w:pPr>
              <w:pStyle w:val="JuPara"/>
              <w:ind w:firstLine="0"/>
              <w:jc w:val="left"/>
            </w:pPr>
            <w:r>
              <w:rPr>
                <w:lang w:val="pl"/>
              </w:rPr>
              <w:t>Partia Demokratyczna</w:t>
            </w:r>
          </w:p>
          <w:p w14:paraId="3FF4A4E3" w14:textId="77777777" w:rsidR="001C1CE3" w:rsidRPr="0064767C" w:rsidRDefault="00000000" w:rsidP="0064767C">
            <w:pPr>
              <w:pStyle w:val="JuPara"/>
              <w:ind w:firstLine="0"/>
              <w:jc w:val="left"/>
              <w:rPr>
                <w:b/>
                <w:bCs/>
              </w:rPr>
            </w:pPr>
            <w:r>
              <w:rPr>
                <w:lang w:val="pl"/>
              </w:rPr>
              <w:t>(DIKO)</w:t>
            </w:r>
          </w:p>
        </w:tc>
        <w:tc>
          <w:tcPr>
            <w:tcW w:w="966" w:type="dxa"/>
          </w:tcPr>
          <w:p w14:paraId="27667C92" w14:textId="77777777" w:rsidR="001C1CE3" w:rsidRPr="0064767C" w:rsidRDefault="00000000" w:rsidP="0064767C">
            <w:pPr>
              <w:pStyle w:val="JuPara"/>
              <w:ind w:firstLine="0"/>
            </w:pPr>
            <w:r>
              <w:rPr>
                <w:lang w:val="pl"/>
              </w:rPr>
              <w:t>3</w:t>
            </w:r>
          </w:p>
        </w:tc>
        <w:tc>
          <w:tcPr>
            <w:tcW w:w="1180" w:type="dxa"/>
          </w:tcPr>
          <w:p w14:paraId="21C5BA4B" w14:textId="77777777" w:rsidR="001C1CE3" w:rsidRPr="0064767C" w:rsidRDefault="00000000" w:rsidP="0064767C">
            <w:pPr>
              <w:pStyle w:val="JuPara"/>
              <w:ind w:firstLine="0"/>
            </w:pPr>
            <w:r>
              <w:rPr>
                <w:lang w:val="pl"/>
              </w:rPr>
              <w:t>2</w:t>
            </w:r>
          </w:p>
        </w:tc>
        <w:tc>
          <w:tcPr>
            <w:tcW w:w="1315" w:type="dxa"/>
          </w:tcPr>
          <w:p w14:paraId="39888D23" w14:textId="77777777" w:rsidR="001C1CE3" w:rsidRPr="0064767C" w:rsidRDefault="00000000" w:rsidP="0064767C">
            <w:pPr>
              <w:pStyle w:val="JuPara"/>
              <w:ind w:firstLine="0"/>
            </w:pPr>
            <w:r>
              <w:rPr>
                <w:lang w:val="pl"/>
              </w:rPr>
              <w:t>1</w:t>
            </w:r>
          </w:p>
        </w:tc>
        <w:tc>
          <w:tcPr>
            <w:tcW w:w="964" w:type="dxa"/>
          </w:tcPr>
          <w:p w14:paraId="469B52E7" w14:textId="77777777" w:rsidR="001C1CE3" w:rsidRPr="0064767C" w:rsidRDefault="00000000" w:rsidP="0064767C">
            <w:pPr>
              <w:pStyle w:val="JuPara"/>
              <w:ind w:firstLine="0"/>
            </w:pPr>
            <w:r>
              <w:rPr>
                <w:lang w:val="pl"/>
              </w:rPr>
              <w:t>1</w:t>
            </w:r>
          </w:p>
        </w:tc>
        <w:tc>
          <w:tcPr>
            <w:tcW w:w="1102" w:type="dxa"/>
          </w:tcPr>
          <w:p w14:paraId="4FC843EE" w14:textId="77777777" w:rsidR="001C1CE3" w:rsidRPr="0064767C" w:rsidRDefault="00000000" w:rsidP="0064767C">
            <w:pPr>
              <w:pStyle w:val="JuPara"/>
              <w:ind w:firstLine="0"/>
            </w:pPr>
            <w:r>
              <w:rPr>
                <w:lang w:val="pl"/>
              </w:rPr>
              <w:t>2</w:t>
            </w:r>
          </w:p>
        </w:tc>
        <w:tc>
          <w:tcPr>
            <w:tcW w:w="1181" w:type="dxa"/>
          </w:tcPr>
          <w:p w14:paraId="50E2DD66" w14:textId="77777777" w:rsidR="001C1CE3" w:rsidRPr="0064767C" w:rsidRDefault="00000000" w:rsidP="0064767C">
            <w:pPr>
              <w:pStyle w:val="JuPara"/>
              <w:ind w:firstLine="0"/>
            </w:pPr>
            <w:r>
              <w:rPr>
                <w:lang w:val="pl"/>
              </w:rPr>
              <w:t>–</w:t>
            </w:r>
          </w:p>
        </w:tc>
      </w:tr>
      <w:tr w:rsidR="00445ED5" w14:paraId="4375041C" w14:textId="77777777" w:rsidTr="00CB22D0">
        <w:trPr>
          <w:trHeight w:val="803"/>
        </w:trPr>
        <w:tc>
          <w:tcPr>
            <w:tcW w:w="2072" w:type="dxa"/>
          </w:tcPr>
          <w:p w14:paraId="03012A46" w14:textId="77777777" w:rsidR="001C1CE3" w:rsidRPr="009E50F7" w:rsidRDefault="00000000" w:rsidP="0064767C">
            <w:pPr>
              <w:pStyle w:val="JuPara"/>
              <w:ind w:firstLine="0"/>
              <w:jc w:val="left"/>
              <w:rPr>
                <w:lang w:val="pl-PL"/>
              </w:rPr>
            </w:pPr>
            <w:r>
              <w:rPr>
                <w:lang w:val="pl"/>
              </w:rPr>
              <w:t>Ruch na rzecz Socjaldemokracji</w:t>
            </w:r>
          </w:p>
          <w:p w14:paraId="5EBF71C8" w14:textId="77777777" w:rsidR="001C1CE3" w:rsidRPr="009E50F7" w:rsidRDefault="00000000" w:rsidP="0064767C">
            <w:pPr>
              <w:pStyle w:val="JuPara"/>
              <w:ind w:firstLine="0"/>
              <w:jc w:val="left"/>
              <w:rPr>
                <w:b/>
                <w:bCs/>
                <w:lang w:val="pl-PL"/>
              </w:rPr>
            </w:pPr>
            <w:r>
              <w:rPr>
                <w:lang w:val="pl"/>
              </w:rPr>
              <w:t xml:space="preserve">(EDEK) </w:t>
            </w:r>
          </w:p>
        </w:tc>
        <w:tc>
          <w:tcPr>
            <w:tcW w:w="966" w:type="dxa"/>
          </w:tcPr>
          <w:p w14:paraId="717CE1E5" w14:textId="77777777" w:rsidR="001C1CE3" w:rsidRPr="0064767C" w:rsidRDefault="00000000" w:rsidP="0064767C">
            <w:pPr>
              <w:pStyle w:val="JuPara"/>
              <w:ind w:firstLine="0"/>
            </w:pPr>
            <w:r>
              <w:rPr>
                <w:lang w:val="pl"/>
              </w:rPr>
              <w:t>1</w:t>
            </w:r>
          </w:p>
        </w:tc>
        <w:tc>
          <w:tcPr>
            <w:tcW w:w="1180" w:type="dxa"/>
          </w:tcPr>
          <w:p w14:paraId="5EF2EFAC" w14:textId="77777777" w:rsidR="001C1CE3" w:rsidRPr="0064767C" w:rsidRDefault="00000000" w:rsidP="0064767C">
            <w:pPr>
              <w:pStyle w:val="JuPara"/>
              <w:ind w:firstLine="0"/>
            </w:pPr>
            <w:r>
              <w:rPr>
                <w:lang w:val="pl"/>
              </w:rPr>
              <w:t>1</w:t>
            </w:r>
          </w:p>
        </w:tc>
        <w:tc>
          <w:tcPr>
            <w:tcW w:w="1315" w:type="dxa"/>
          </w:tcPr>
          <w:p w14:paraId="28E17F77" w14:textId="77777777" w:rsidR="001C1CE3" w:rsidRPr="0064767C" w:rsidRDefault="00000000" w:rsidP="0064767C">
            <w:pPr>
              <w:pStyle w:val="JuPara"/>
              <w:ind w:firstLine="0"/>
            </w:pPr>
            <w:r>
              <w:rPr>
                <w:lang w:val="pl"/>
              </w:rPr>
              <w:t>–</w:t>
            </w:r>
          </w:p>
        </w:tc>
        <w:tc>
          <w:tcPr>
            <w:tcW w:w="964" w:type="dxa"/>
          </w:tcPr>
          <w:p w14:paraId="6DE3B3DF" w14:textId="77777777" w:rsidR="001C1CE3" w:rsidRPr="0064767C" w:rsidRDefault="00000000" w:rsidP="0064767C">
            <w:pPr>
              <w:pStyle w:val="JuPara"/>
              <w:ind w:firstLine="0"/>
            </w:pPr>
            <w:r>
              <w:rPr>
                <w:lang w:val="pl"/>
              </w:rPr>
              <w:t>1</w:t>
            </w:r>
          </w:p>
        </w:tc>
        <w:tc>
          <w:tcPr>
            <w:tcW w:w="1102" w:type="dxa"/>
          </w:tcPr>
          <w:p w14:paraId="53786254" w14:textId="77777777" w:rsidR="001C1CE3" w:rsidRPr="0064767C" w:rsidRDefault="00000000" w:rsidP="0064767C">
            <w:pPr>
              <w:pStyle w:val="JuPara"/>
              <w:ind w:firstLine="0"/>
            </w:pPr>
            <w:r>
              <w:rPr>
                <w:lang w:val="pl"/>
              </w:rPr>
              <w:t>–</w:t>
            </w:r>
          </w:p>
        </w:tc>
        <w:tc>
          <w:tcPr>
            <w:tcW w:w="1181" w:type="dxa"/>
          </w:tcPr>
          <w:p w14:paraId="4C611525" w14:textId="77777777" w:rsidR="001C1CE3" w:rsidRPr="0064767C" w:rsidRDefault="00000000" w:rsidP="0064767C">
            <w:pPr>
              <w:pStyle w:val="JuPara"/>
              <w:ind w:firstLine="0"/>
            </w:pPr>
            <w:r>
              <w:rPr>
                <w:lang w:val="pl"/>
              </w:rPr>
              <w:t>–</w:t>
            </w:r>
          </w:p>
        </w:tc>
      </w:tr>
      <w:tr w:rsidR="00445ED5" w14:paraId="3C726F92" w14:textId="77777777" w:rsidTr="00CB22D0">
        <w:trPr>
          <w:trHeight w:val="263"/>
        </w:trPr>
        <w:tc>
          <w:tcPr>
            <w:tcW w:w="2072" w:type="dxa"/>
          </w:tcPr>
          <w:p w14:paraId="7B2B6D93" w14:textId="77777777" w:rsidR="001C1CE3" w:rsidRPr="0064767C" w:rsidRDefault="00000000" w:rsidP="0064767C">
            <w:pPr>
              <w:pStyle w:val="JuPara"/>
              <w:ind w:firstLine="0"/>
              <w:jc w:val="left"/>
              <w:rPr>
                <w:b/>
                <w:bCs/>
              </w:rPr>
            </w:pPr>
            <w:r>
              <w:rPr>
                <w:lang w:val="pl"/>
              </w:rPr>
              <w:t>Sojusz Obywatelski</w:t>
            </w:r>
          </w:p>
        </w:tc>
        <w:tc>
          <w:tcPr>
            <w:tcW w:w="966" w:type="dxa"/>
          </w:tcPr>
          <w:p w14:paraId="4C17A493" w14:textId="77777777" w:rsidR="001C1CE3" w:rsidRPr="0064767C" w:rsidRDefault="00000000" w:rsidP="0064767C">
            <w:pPr>
              <w:pStyle w:val="JuPara"/>
              <w:ind w:firstLine="0"/>
            </w:pPr>
            <w:r>
              <w:rPr>
                <w:lang w:val="pl"/>
              </w:rPr>
              <w:t>1</w:t>
            </w:r>
          </w:p>
        </w:tc>
        <w:tc>
          <w:tcPr>
            <w:tcW w:w="1180" w:type="dxa"/>
          </w:tcPr>
          <w:p w14:paraId="42118520" w14:textId="77777777" w:rsidR="001C1CE3" w:rsidRPr="0064767C" w:rsidRDefault="00000000" w:rsidP="0064767C">
            <w:pPr>
              <w:pStyle w:val="JuPara"/>
              <w:ind w:firstLine="0"/>
            </w:pPr>
            <w:r>
              <w:rPr>
                <w:lang w:val="pl"/>
              </w:rPr>
              <w:t>1</w:t>
            </w:r>
          </w:p>
        </w:tc>
        <w:tc>
          <w:tcPr>
            <w:tcW w:w="1315" w:type="dxa"/>
          </w:tcPr>
          <w:p w14:paraId="352D01C7" w14:textId="77777777" w:rsidR="001C1CE3" w:rsidRPr="0064767C" w:rsidRDefault="00000000" w:rsidP="0064767C">
            <w:pPr>
              <w:pStyle w:val="JuPara"/>
              <w:ind w:firstLine="0"/>
            </w:pPr>
            <w:r>
              <w:rPr>
                <w:lang w:val="pl"/>
              </w:rPr>
              <w:t>1</w:t>
            </w:r>
          </w:p>
        </w:tc>
        <w:tc>
          <w:tcPr>
            <w:tcW w:w="964" w:type="dxa"/>
          </w:tcPr>
          <w:p w14:paraId="1AAA1160" w14:textId="77777777" w:rsidR="001C1CE3" w:rsidRPr="0064767C" w:rsidRDefault="00000000" w:rsidP="0064767C">
            <w:pPr>
              <w:pStyle w:val="JuPara"/>
              <w:ind w:firstLine="0"/>
            </w:pPr>
            <w:r>
              <w:rPr>
                <w:lang w:val="pl"/>
              </w:rPr>
              <w:t>–</w:t>
            </w:r>
          </w:p>
        </w:tc>
        <w:tc>
          <w:tcPr>
            <w:tcW w:w="1102" w:type="dxa"/>
          </w:tcPr>
          <w:p w14:paraId="096960CD" w14:textId="77777777" w:rsidR="001C1CE3" w:rsidRPr="0064767C" w:rsidRDefault="00000000" w:rsidP="0064767C">
            <w:pPr>
              <w:pStyle w:val="JuPara"/>
              <w:ind w:firstLine="0"/>
            </w:pPr>
            <w:r>
              <w:rPr>
                <w:lang w:val="pl"/>
              </w:rPr>
              <w:t>–</w:t>
            </w:r>
          </w:p>
        </w:tc>
        <w:tc>
          <w:tcPr>
            <w:tcW w:w="1181" w:type="dxa"/>
          </w:tcPr>
          <w:p w14:paraId="2AB3528B" w14:textId="77777777" w:rsidR="001C1CE3" w:rsidRPr="0064767C" w:rsidRDefault="00000000" w:rsidP="0064767C">
            <w:pPr>
              <w:pStyle w:val="JuPara"/>
              <w:ind w:firstLine="0"/>
            </w:pPr>
            <w:r>
              <w:rPr>
                <w:lang w:val="pl"/>
              </w:rPr>
              <w:t>–</w:t>
            </w:r>
          </w:p>
        </w:tc>
      </w:tr>
      <w:tr w:rsidR="00445ED5" w14:paraId="2501FC2B" w14:textId="77777777" w:rsidTr="00CB22D0">
        <w:trPr>
          <w:trHeight w:val="263"/>
        </w:trPr>
        <w:tc>
          <w:tcPr>
            <w:tcW w:w="2072" w:type="dxa"/>
          </w:tcPr>
          <w:p w14:paraId="0D2EFC0C" w14:textId="77777777" w:rsidR="001C1CE3" w:rsidRPr="0064767C" w:rsidRDefault="00000000" w:rsidP="0064767C">
            <w:pPr>
              <w:pStyle w:val="JuPara"/>
              <w:ind w:firstLine="0"/>
              <w:jc w:val="left"/>
              <w:rPr>
                <w:b/>
                <w:bCs/>
              </w:rPr>
            </w:pPr>
            <w:r>
              <w:rPr>
                <w:lang w:val="pl"/>
              </w:rPr>
              <w:t xml:space="preserve">Solidarność </w:t>
            </w:r>
          </w:p>
        </w:tc>
        <w:tc>
          <w:tcPr>
            <w:tcW w:w="966" w:type="dxa"/>
          </w:tcPr>
          <w:p w14:paraId="5E882130" w14:textId="77777777" w:rsidR="001C1CE3" w:rsidRPr="0064767C" w:rsidRDefault="00000000" w:rsidP="0064767C">
            <w:pPr>
              <w:pStyle w:val="JuPara"/>
              <w:ind w:firstLine="0"/>
            </w:pPr>
            <w:r>
              <w:rPr>
                <w:lang w:val="pl"/>
              </w:rPr>
              <w:t>1</w:t>
            </w:r>
          </w:p>
        </w:tc>
        <w:tc>
          <w:tcPr>
            <w:tcW w:w="1180" w:type="dxa"/>
          </w:tcPr>
          <w:p w14:paraId="276E1D8F" w14:textId="77777777" w:rsidR="001C1CE3" w:rsidRPr="0064767C" w:rsidRDefault="00000000" w:rsidP="0064767C">
            <w:pPr>
              <w:pStyle w:val="JuPara"/>
              <w:ind w:firstLine="0"/>
            </w:pPr>
            <w:r>
              <w:rPr>
                <w:lang w:val="pl"/>
              </w:rPr>
              <w:t>1</w:t>
            </w:r>
          </w:p>
        </w:tc>
        <w:tc>
          <w:tcPr>
            <w:tcW w:w="1315" w:type="dxa"/>
          </w:tcPr>
          <w:p w14:paraId="4670B8BC" w14:textId="77777777" w:rsidR="001C1CE3" w:rsidRPr="0064767C" w:rsidRDefault="00000000" w:rsidP="0064767C">
            <w:pPr>
              <w:pStyle w:val="JuPara"/>
              <w:ind w:firstLine="0"/>
            </w:pPr>
            <w:r>
              <w:rPr>
                <w:lang w:val="pl"/>
              </w:rPr>
              <w:t>1</w:t>
            </w:r>
          </w:p>
        </w:tc>
        <w:tc>
          <w:tcPr>
            <w:tcW w:w="964" w:type="dxa"/>
          </w:tcPr>
          <w:p w14:paraId="6D6BF091" w14:textId="77777777" w:rsidR="001C1CE3" w:rsidRPr="0064767C" w:rsidRDefault="00000000" w:rsidP="0064767C">
            <w:pPr>
              <w:pStyle w:val="JuPara"/>
              <w:ind w:firstLine="0"/>
            </w:pPr>
            <w:r>
              <w:rPr>
                <w:lang w:val="pl"/>
              </w:rPr>
              <w:t>–</w:t>
            </w:r>
          </w:p>
        </w:tc>
        <w:tc>
          <w:tcPr>
            <w:tcW w:w="1102" w:type="dxa"/>
          </w:tcPr>
          <w:p w14:paraId="60F8D692" w14:textId="77777777" w:rsidR="001C1CE3" w:rsidRPr="0064767C" w:rsidRDefault="00000000" w:rsidP="0064767C">
            <w:pPr>
              <w:pStyle w:val="JuPara"/>
              <w:ind w:firstLine="0"/>
            </w:pPr>
            <w:r>
              <w:rPr>
                <w:lang w:val="pl"/>
              </w:rPr>
              <w:t>–</w:t>
            </w:r>
          </w:p>
        </w:tc>
        <w:tc>
          <w:tcPr>
            <w:tcW w:w="1181" w:type="dxa"/>
          </w:tcPr>
          <w:p w14:paraId="454C8E75" w14:textId="77777777" w:rsidR="001C1CE3" w:rsidRPr="0064767C" w:rsidRDefault="00000000" w:rsidP="0064767C">
            <w:pPr>
              <w:pStyle w:val="JuPara"/>
              <w:ind w:firstLine="0"/>
            </w:pPr>
            <w:r>
              <w:rPr>
                <w:lang w:val="pl"/>
              </w:rPr>
              <w:t>–</w:t>
            </w:r>
          </w:p>
        </w:tc>
      </w:tr>
      <w:tr w:rsidR="00445ED5" w14:paraId="2532655A" w14:textId="77777777" w:rsidTr="00CB22D0">
        <w:trPr>
          <w:trHeight w:val="539"/>
        </w:trPr>
        <w:tc>
          <w:tcPr>
            <w:tcW w:w="2072" w:type="dxa"/>
          </w:tcPr>
          <w:p w14:paraId="5833B30B" w14:textId="44C44A1F" w:rsidR="001C1CE3" w:rsidRPr="009E50F7" w:rsidRDefault="00000000" w:rsidP="0064767C">
            <w:pPr>
              <w:pStyle w:val="JuPara"/>
              <w:ind w:firstLine="0"/>
              <w:jc w:val="left"/>
              <w:rPr>
                <w:b/>
                <w:bCs/>
                <w:lang w:val="pl-PL"/>
              </w:rPr>
            </w:pPr>
            <w:r>
              <w:rPr>
                <w:lang w:val="pl"/>
              </w:rPr>
              <w:t xml:space="preserve">Zieloni – Sojusz Obywatelski </w:t>
            </w:r>
          </w:p>
        </w:tc>
        <w:tc>
          <w:tcPr>
            <w:tcW w:w="966" w:type="dxa"/>
          </w:tcPr>
          <w:p w14:paraId="52689A64" w14:textId="77777777" w:rsidR="001C1CE3" w:rsidRPr="0064767C" w:rsidRDefault="00000000" w:rsidP="0064767C">
            <w:pPr>
              <w:pStyle w:val="JuPara"/>
              <w:ind w:firstLine="0"/>
            </w:pPr>
            <w:r>
              <w:rPr>
                <w:lang w:val="pl"/>
              </w:rPr>
              <w:t>2</w:t>
            </w:r>
          </w:p>
        </w:tc>
        <w:tc>
          <w:tcPr>
            <w:tcW w:w="1180" w:type="dxa"/>
          </w:tcPr>
          <w:p w14:paraId="11F7CFAA" w14:textId="77777777" w:rsidR="001C1CE3" w:rsidRPr="0064767C" w:rsidRDefault="00000000" w:rsidP="0064767C">
            <w:pPr>
              <w:pStyle w:val="JuPara"/>
              <w:ind w:firstLine="0"/>
            </w:pPr>
            <w:r>
              <w:rPr>
                <w:lang w:val="pl"/>
              </w:rPr>
              <w:t>–</w:t>
            </w:r>
          </w:p>
        </w:tc>
        <w:tc>
          <w:tcPr>
            <w:tcW w:w="1315" w:type="dxa"/>
          </w:tcPr>
          <w:p w14:paraId="6AE65E5C" w14:textId="77777777" w:rsidR="001C1CE3" w:rsidRPr="0064767C" w:rsidRDefault="00000000" w:rsidP="0064767C">
            <w:pPr>
              <w:pStyle w:val="JuPara"/>
              <w:ind w:firstLine="0"/>
            </w:pPr>
            <w:r>
              <w:rPr>
                <w:lang w:val="pl"/>
              </w:rPr>
              <w:t>–</w:t>
            </w:r>
          </w:p>
        </w:tc>
        <w:tc>
          <w:tcPr>
            <w:tcW w:w="964" w:type="dxa"/>
          </w:tcPr>
          <w:p w14:paraId="22BED2B4" w14:textId="77777777" w:rsidR="001C1CE3" w:rsidRPr="0064767C" w:rsidRDefault="00000000" w:rsidP="0064767C">
            <w:pPr>
              <w:pStyle w:val="JuPara"/>
              <w:ind w:firstLine="0"/>
            </w:pPr>
            <w:r>
              <w:rPr>
                <w:lang w:val="pl"/>
              </w:rPr>
              <w:t>–</w:t>
            </w:r>
          </w:p>
        </w:tc>
        <w:tc>
          <w:tcPr>
            <w:tcW w:w="1102" w:type="dxa"/>
          </w:tcPr>
          <w:p w14:paraId="0DA610CC" w14:textId="77777777" w:rsidR="001C1CE3" w:rsidRPr="0064767C" w:rsidRDefault="00000000" w:rsidP="0064767C">
            <w:pPr>
              <w:pStyle w:val="JuPara"/>
              <w:ind w:firstLine="0"/>
            </w:pPr>
            <w:r>
              <w:rPr>
                <w:lang w:val="pl"/>
              </w:rPr>
              <w:t>–</w:t>
            </w:r>
          </w:p>
        </w:tc>
        <w:tc>
          <w:tcPr>
            <w:tcW w:w="1181" w:type="dxa"/>
          </w:tcPr>
          <w:p w14:paraId="36DF0793" w14:textId="77777777" w:rsidR="001C1CE3" w:rsidRPr="0064767C" w:rsidRDefault="00000000" w:rsidP="0064767C">
            <w:pPr>
              <w:pStyle w:val="JuPara"/>
              <w:ind w:firstLine="0"/>
            </w:pPr>
            <w:r>
              <w:rPr>
                <w:lang w:val="pl"/>
              </w:rPr>
              <w:t>–</w:t>
            </w:r>
          </w:p>
        </w:tc>
      </w:tr>
      <w:tr w:rsidR="00445ED5" w14:paraId="082E8337" w14:textId="77777777" w:rsidTr="00CB22D0">
        <w:trPr>
          <w:trHeight w:val="803"/>
        </w:trPr>
        <w:tc>
          <w:tcPr>
            <w:tcW w:w="2072" w:type="dxa"/>
          </w:tcPr>
          <w:p w14:paraId="1966E419" w14:textId="77777777" w:rsidR="001C1CE3" w:rsidRPr="0064767C" w:rsidRDefault="00000000" w:rsidP="0064767C">
            <w:pPr>
              <w:pStyle w:val="JuPara"/>
              <w:ind w:firstLine="0"/>
              <w:jc w:val="left"/>
            </w:pPr>
            <w:r>
              <w:rPr>
                <w:lang w:val="pl"/>
              </w:rPr>
              <w:t>Narodowy Front Ludowy</w:t>
            </w:r>
          </w:p>
          <w:p w14:paraId="1B49419D" w14:textId="77777777" w:rsidR="001C1CE3" w:rsidRPr="0064767C" w:rsidRDefault="00000000" w:rsidP="0064767C">
            <w:pPr>
              <w:pStyle w:val="JuPara"/>
              <w:ind w:firstLine="0"/>
              <w:jc w:val="left"/>
              <w:rPr>
                <w:b/>
                <w:bCs/>
              </w:rPr>
            </w:pPr>
            <w:r>
              <w:rPr>
                <w:lang w:val="pl"/>
              </w:rPr>
              <w:t>(ELAM)</w:t>
            </w:r>
          </w:p>
        </w:tc>
        <w:tc>
          <w:tcPr>
            <w:tcW w:w="966" w:type="dxa"/>
          </w:tcPr>
          <w:p w14:paraId="6466F628" w14:textId="77777777" w:rsidR="001C1CE3" w:rsidRPr="0064767C" w:rsidRDefault="00000000" w:rsidP="0064767C">
            <w:pPr>
              <w:pStyle w:val="JuPara"/>
              <w:ind w:firstLine="0"/>
            </w:pPr>
            <w:r>
              <w:rPr>
                <w:lang w:val="pl"/>
              </w:rPr>
              <w:t>1</w:t>
            </w:r>
          </w:p>
        </w:tc>
        <w:tc>
          <w:tcPr>
            <w:tcW w:w="1180" w:type="dxa"/>
          </w:tcPr>
          <w:p w14:paraId="5CFE395E" w14:textId="77777777" w:rsidR="001C1CE3" w:rsidRPr="0064767C" w:rsidRDefault="00000000" w:rsidP="0064767C">
            <w:pPr>
              <w:pStyle w:val="JuPara"/>
              <w:ind w:firstLine="0"/>
            </w:pPr>
            <w:r>
              <w:rPr>
                <w:lang w:val="pl"/>
              </w:rPr>
              <w:t>–</w:t>
            </w:r>
          </w:p>
        </w:tc>
        <w:tc>
          <w:tcPr>
            <w:tcW w:w="1315" w:type="dxa"/>
          </w:tcPr>
          <w:p w14:paraId="1FEBA703" w14:textId="77777777" w:rsidR="001C1CE3" w:rsidRPr="0064767C" w:rsidRDefault="00000000" w:rsidP="0064767C">
            <w:pPr>
              <w:pStyle w:val="JuPara"/>
              <w:ind w:firstLine="0"/>
            </w:pPr>
            <w:r>
              <w:rPr>
                <w:lang w:val="pl"/>
              </w:rPr>
              <w:t>1</w:t>
            </w:r>
          </w:p>
        </w:tc>
        <w:tc>
          <w:tcPr>
            <w:tcW w:w="964" w:type="dxa"/>
          </w:tcPr>
          <w:p w14:paraId="2E72EC17" w14:textId="77777777" w:rsidR="001C1CE3" w:rsidRPr="0064767C" w:rsidRDefault="00000000" w:rsidP="0064767C">
            <w:pPr>
              <w:pStyle w:val="JuPara"/>
              <w:ind w:firstLine="0"/>
            </w:pPr>
            <w:r>
              <w:rPr>
                <w:lang w:val="pl"/>
              </w:rPr>
              <w:t>–</w:t>
            </w:r>
          </w:p>
        </w:tc>
        <w:tc>
          <w:tcPr>
            <w:tcW w:w="1102" w:type="dxa"/>
          </w:tcPr>
          <w:p w14:paraId="09D80B92" w14:textId="77777777" w:rsidR="001C1CE3" w:rsidRPr="0064767C" w:rsidRDefault="00000000" w:rsidP="0064767C">
            <w:pPr>
              <w:pStyle w:val="JuPara"/>
              <w:ind w:firstLine="0"/>
            </w:pPr>
            <w:r>
              <w:rPr>
                <w:lang w:val="pl"/>
              </w:rPr>
              <w:t>–</w:t>
            </w:r>
          </w:p>
        </w:tc>
        <w:tc>
          <w:tcPr>
            <w:tcW w:w="1181" w:type="dxa"/>
          </w:tcPr>
          <w:p w14:paraId="40409204" w14:textId="77777777" w:rsidR="001C1CE3" w:rsidRPr="0064767C" w:rsidRDefault="00000000" w:rsidP="0064767C">
            <w:pPr>
              <w:pStyle w:val="JuPara"/>
              <w:ind w:firstLine="0"/>
            </w:pPr>
            <w:r>
              <w:rPr>
                <w:lang w:val="pl"/>
              </w:rPr>
              <w:t>–</w:t>
            </w:r>
          </w:p>
        </w:tc>
      </w:tr>
    </w:tbl>
    <w:p w14:paraId="7B6C8DB3" w14:textId="77777777" w:rsidR="001C1CE3" w:rsidRPr="0064767C" w:rsidRDefault="001C1CE3" w:rsidP="0064767C">
      <w:pPr>
        <w:pStyle w:val="JuPara"/>
        <w:ind w:firstLine="0"/>
        <w:rPr>
          <w:b/>
          <w:bCs/>
        </w:rPr>
      </w:pPr>
    </w:p>
    <w:bookmarkStart w:id="2" w:name="E_T_declaredMP"/>
    <w:p w14:paraId="0E84F920" w14:textId="50FCB136"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9</w:t>
      </w:r>
      <w:r>
        <w:rPr>
          <w:lang w:val="pl"/>
        </w:rPr>
        <w:fldChar w:fldCharType="end"/>
      </w:r>
      <w:bookmarkEnd w:id="2"/>
      <w:r>
        <w:rPr>
          <w:lang w:val="pl"/>
        </w:rPr>
        <w:t>.  Następnie zakończono proces wyłaniania wybranych kandydatów z</w:t>
      </w:r>
      <w:r w:rsidR="009E50F7">
        <w:rPr>
          <w:lang w:val="pl"/>
        </w:rPr>
        <w:t> </w:t>
      </w:r>
      <w:r>
        <w:rPr>
          <w:lang w:val="pl"/>
        </w:rPr>
        <w:t xml:space="preserve">poszczególnych partii, w wyniku czego 23 maja 2016 r. GKW ogłosił, że E.T. została wybrana na posłankę do cypryjskiej Izby Reprezentantów (parlamentu) z ramienia partii Solidarność jako kandydatka, która uzyskała </w:t>
      </w:r>
      <w:r>
        <w:rPr>
          <w:lang w:val="pl"/>
        </w:rPr>
        <w:lastRenderedPageBreak/>
        <w:t xml:space="preserve">najwięcej głosów dla tej partii w okręgu wyborczym </w:t>
      </w:r>
      <w:proofErr w:type="spellStart"/>
      <w:r>
        <w:rPr>
          <w:lang w:val="pl"/>
        </w:rPr>
        <w:t>Limassol</w:t>
      </w:r>
      <w:proofErr w:type="spellEnd"/>
      <w:r>
        <w:rPr>
          <w:lang w:val="pl"/>
        </w:rPr>
        <w:t>, w którym Solidarności przyznano jedno miejsce. Oświadczenie o objęciu mandatu wraz z oświadczeniami dotyczącymi wszystkich pozostałych wybranych posłów, opublikowano tego samego dnia w Dzienniku Urzędowym Republiki Cypryjskiej (zob. paragraf </w:t>
      </w:r>
      <w:r>
        <w:rPr>
          <w:lang w:val="pl"/>
        </w:rPr>
        <w:fldChar w:fldCharType="begin"/>
      </w:r>
      <w:r>
        <w:rPr>
          <w:lang w:val="pl"/>
        </w:rPr>
        <w:instrText xml:space="preserve"> REF ELECTIONLAW_S34 \h  \* MERGEFORMAT </w:instrText>
      </w:r>
      <w:r>
        <w:rPr>
          <w:lang w:val="pl"/>
        </w:rPr>
      </w:r>
      <w:r>
        <w:rPr>
          <w:lang w:val="pl"/>
        </w:rPr>
        <w:fldChar w:fldCharType="separate"/>
      </w:r>
      <w:r>
        <w:rPr>
          <w:lang w:val="pl"/>
        </w:rPr>
        <w:t>46</w:t>
      </w:r>
      <w:r>
        <w:rPr>
          <w:lang w:val="pl"/>
        </w:rPr>
        <w:fldChar w:fldCharType="end"/>
      </w:r>
      <w:r>
        <w:rPr>
          <w:lang w:val="pl"/>
        </w:rPr>
        <w:t xml:space="preserve"> poniżej).</w:t>
      </w:r>
    </w:p>
    <w:p w14:paraId="1E560616" w14:textId="5BC25BFA"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10</w:t>
      </w:r>
      <w:r>
        <w:rPr>
          <w:noProof/>
          <w:lang w:val="pl"/>
        </w:rPr>
        <w:fldChar w:fldCharType="end"/>
      </w:r>
      <w:r>
        <w:rPr>
          <w:lang w:val="pl"/>
        </w:rPr>
        <w:t>.  27 maja 2016 r. E.T. poinformowała GKW o swojej decyzji o</w:t>
      </w:r>
      <w:r w:rsidR="009E50F7">
        <w:rPr>
          <w:lang w:val="pl"/>
        </w:rPr>
        <w:t> </w:t>
      </w:r>
      <w:r>
        <w:rPr>
          <w:lang w:val="pl"/>
        </w:rPr>
        <w:t>nieobjęciu mandatu, ponieważ wolała zachować mandat posłanki do Parlamentu Europejskiego.</w:t>
      </w:r>
    </w:p>
    <w:p w14:paraId="65343C14"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11</w:t>
      </w:r>
      <w:r>
        <w:rPr>
          <w:noProof/>
          <w:lang w:val="pl"/>
        </w:rPr>
        <w:fldChar w:fldCharType="end"/>
      </w:r>
      <w:r>
        <w:rPr>
          <w:lang w:val="pl"/>
        </w:rPr>
        <w:t>.  Problem polegał na tym, że w ówczesnym prawie krajowym przewidziano jedynie możliwość obsadzenia mandatu, który zwolnił się po rozpoczęciu kadencji parlamentu. Nie uwzględniono w nim sytuacji, w której wybrany poseł postanowił nie objąć mandatu przed rozpoczęciem kadencji parlamentu.</w:t>
      </w:r>
    </w:p>
    <w:p w14:paraId="1FF1AD0D" w14:textId="6495C76B" w:rsidR="001C1CE3" w:rsidRPr="009E50F7" w:rsidRDefault="00000000" w:rsidP="0064767C">
      <w:pPr>
        <w:pStyle w:val="JuHIRoman"/>
        <w:rPr>
          <w:lang w:val="pl-PL"/>
        </w:rPr>
      </w:pPr>
      <w:r>
        <w:rPr>
          <w:bCs w:val="0"/>
          <w:lang w:val="pl"/>
        </w:rPr>
        <w:t>PIERWSZE OŚWIADCZENIE DOTYCZĄCE KANDYDATA JAKO WYBRANEGO NAPOSŁA I PÓŹNIEJSZE UNIEWAŻNIENIE</w:t>
      </w:r>
    </w:p>
    <w:bookmarkStart w:id="3" w:name="FirstAppointmentApplicant"/>
    <w:bookmarkStart w:id="4" w:name="CRO_1STDECLARATION"/>
    <w:p w14:paraId="158880C6" w14:textId="5A9719CE"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12</w:t>
      </w:r>
      <w:r>
        <w:rPr>
          <w:lang w:val="pl"/>
        </w:rPr>
        <w:fldChar w:fldCharType="end"/>
      </w:r>
      <w:bookmarkEnd w:id="3"/>
      <w:bookmarkEnd w:id="4"/>
      <w:r>
        <w:rPr>
          <w:lang w:val="pl"/>
        </w:rPr>
        <w:t>.  31 maja 2016 r. GKW, kierując się opinią doradczą prokuratora generalnego, zastosował – odpowiednio – art. 35 ust. 1 ustawy o wyborach posłów do Izby Reprezentantów z 1972 r. („</w:t>
      </w:r>
      <w:r w:rsidR="00EF11E9">
        <w:rPr>
          <w:lang w:val="pl"/>
        </w:rPr>
        <w:t>P</w:t>
      </w:r>
      <w:r>
        <w:rPr>
          <w:lang w:val="pl"/>
        </w:rPr>
        <w:t xml:space="preserve">rawo </w:t>
      </w:r>
      <w:r w:rsidR="00EF11E9">
        <w:rPr>
          <w:lang w:val="pl"/>
        </w:rPr>
        <w:t>W</w:t>
      </w:r>
      <w:r>
        <w:rPr>
          <w:lang w:val="pl"/>
        </w:rPr>
        <w:t xml:space="preserve">yborcze”) w brzmieniu obowiązującym w tamtym czasie (zob. paragraf </w:t>
      </w:r>
      <w:r>
        <w:rPr>
          <w:lang w:val="pl"/>
        </w:rPr>
        <w:fldChar w:fldCharType="begin"/>
      </w:r>
      <w:r>
        <w:rPr>
          <w:lang w:val="pl"/>
        </w:rPr>
        <w:instrText xml:space="preserve"> REF ELECTIONLAW_S35_A \h </w:instrText>
      </w:r>
      <w:r>
        <w:rPr>
          <w:color w:val="0072BC" w:themeColor="accent1"/>
          <w:lang w:val="pl"/>
        </w:rPr>
        <w:instrText xml:space="preserve"> \* MERGEFORMAT </w:instrText>
      </w:r>
      <w:r>
        <w:rPr>
          <w:lang w:val="pl"/>
        </w:rPr>
      </w:r>
      <w:r>
        <w:rPr>
          <w:lang w:val="pl"/>
        </w:rPr>
        <w:fldChar w:fldCharType="separate"/>
      </w:r>
      <w:r>
        <w:rPr>
          <w:lang w:val="pl"/>
        </w:rPr>
        <w:t>43</w:t>
      </w:r>
      <w:r>
        <w:rPr>
          <w:lang w:val="pl"/>
        </w:rPr>
        <w:fldChar w:fldCharType="end"/>
      </w:r>
      <w:r>
        <w:rPr>
          <w:lang w:val="pl"/>
        </w:rPr>
        <w:t xml:space="preserve"> poniżej). W związku z</w:t>
      </w:r>
      <w:r w:rsidR="009E50F7">
        <w:rPr>
          <w:lang w:val="pl"/>
        </w:rPr>
        <w:t> </w:t>
      </w:r>
      <w:r>
        <w:rPr>
          <w:lang w:val="pl"/>
        </w:rPr>
        <w:t xml:space="preserve">tym GKW oświadczył, że skarżący, który zajął drugie miejsce na liście Solidarności, został wybrany na posła z okręgu wyborczego </w:t>
      </w:r>
      <w:proofErr w:type="spellStart"/>
      <w:r>
        <w:rPr>
          <w:lang w:val="pl"/>
        </w:rPr>
        <w:t>Limassol</w:t>
      </w:r>
      <w:proofErr w:type="spellEnd"/>
      <w:r>
        <w:rPr>
          <w:lang w:val="pl"/>
        </w:rPr>
        <w:t>.</w:t>
      </w:r>
    </w:p>
    <w:p w14:paraId="30C0F67C"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13</w:t>
      </w:r>
      <w:r>
        <w:rPr>
          <w:noProof/>
          <w:lang w:val="pl"/>
        </w:rPr>
        <w:fldChar w:fldCharType="end"/>
      </w:r>
      <w:r>
        <w:rPr>
          <w:lang w:val="pl"/>
        </w:rPr>
        <w:t>.  2 czerwca 2016 r. skarżący złożył w parlamencie odpowiednie ślubowanie zgodnie z art. 69 konstytucji (zob. paragraf </w:t>
      </w:r>
      <w:r>
        <w:rPr>
          <w:lang w:val="pl"/>
        </w:rPr>
        <w:fldChar w:fldCharType="begin"/>
      </w:r>
      <w:r>
        <w:rPr>
          <w:lang w:val="pl"/>
        </w:rPr>
        <w:instrText xml:space="preserve"> REF CONSTITUTION_A69_affirmation \h  \* MERGEFORMAT </w:instrText>
      </w:r>
      <w:r>
        <w:rPr>
          <w:lang w:val="pl"/>
        </w:rPr>
      </w:r>
      <w:r>
        <w:rPr>
          <w:lang w:val="pl"/>
        </w:rPr>
        <w:fldChar w:fldCharType="separate"/>
      </w:r>
      <w:r>
        <w:rPr>
          <w:lang w:val="pl"/>
        </w:rPr>
        <w:t>40</w:t>
      </w:r>
      <w:r>
        <w:rPr>
          <w:lang w:val="pl"/>
        </w:rPr>
        <w:fldChar w:fldCharType="end"/>
      </w:r>
      <w:r>
        <w:rPr>
          <w:lang w:val="pl"/>
        </w:rPr>
        <w:t xml:space="preserve"> poniżej).</w:t>
      </w:r>
    </w:p>
    <w:bookmarkStart w:id="5" w:name="MrAMandMrDD"/>
    <w:p w14:paraId="75BCC29E"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14</w:t>
      </w:r>
      <w:r>
        <w:rPr>
          <w:lang w:val="pl"/>
        </w:rPr>
        <w:fldChar w:fldCharType="end"/>
      </w:r>
      <w:bookmarkEnd w:id="5"/>
      <w:r>
        <w:rPr>
          <w:lang w:val="pl"/>
        </w:rPr>
        <w:t xml:space="preserve">.  21 lipca 2016 r. A.M., kandydat Zgromadzenia Demokratycznego („DISY”), startujący z okręgu wyborczego </w:t>
      </w:r>
      <w:proofErr w:type="spellStart"/>
      <w:r>
        <w:rPr>
          <w:lang w:val="pl"/>
        </w:rPr>
        <w:t>Limassol</w:t>
      </w:r>
      <w:proofErr w:type="spellEnd"/>
      <w:r>
        <w:rPr>
          <w:lang w:val="pl"/>
        </w:rPr>
        <w:t xml:space="preserve">, który nie uzyskał mandatu w wyborach parlamentarnych w 2016 r., oraz D.D., wyborca z tego samego okręgu, zaskarżyli decyzję GKW do Sądu Wyborczego (skarga wyborcza nr 2/2016). </w:t>
      </w:r>
    </w:p>
    <w:bookmarkStart w:id="6" w:name="FirstElectoralCourtdecision"/>
    <w:p w14:paraId="658323DA"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15</w:t>
      </w:r>
      <w:r>
        <w:rPr>
          <w:lang w:val="pl"/>
        </w:rPr>
        <w:fldChar w:fldCharType="end"/>
      </w:r>
      <w:bookmarkEnd w:id="6"/>
      <w:r>
        <w:rPr>
          <w:lang w:val="pl"/>
        </w:rPr>
        <w:t xml:space="preserve">.  31 maja 2017 r. Sąd Wyborczy jednogłośnie unieważnił wybór skarżącego oraz oświadczenie o mianowaniu go posłem z okręgu wyborczego </w:t>
      </w:r>
      <w:proofErr w:type="spellStart"/>
      <w:r>
        <w:rPr>
          <w:lang w:val="pl"/>
        </w:rPr>
        <w:t>Limassol</w:t>
      </w:r>
      <w:proofErr w:type="spellEnd"/>
      <w:r>
        <w:rPr>
          <w:lang w:val="pl"/>
        </w:rPr>
        <w:t>.</w:t>
      </w:r>
    </w:p>
    <w:bookmarkStart w:id="7" w:name="Petition2_2016_majority"/>
    <w:p w14:paraId="73035728"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16</w:t>
      </w:r>
      <w:r>
        <w:rPr>
          <w:lang w:val="pl"/>
        </w:rPr>
        <w:fldChar w:fldCharType="end"/>
      </w:r>
      <w:bookmarkEnd w:id="7"/>
      <w:r>
        <w:rPr>
          <w:lang w:val="pl"/>
        </w:rPr>
        <w:t xml:space="preserve">.  Zdaniem sądu strony zgodziły się co do tego, że E.T. została wybrana na posłankę, ale nigdy nie miała statusu posłanki, ponieważ nie spełniła formalnego warunku złożenia ślubowania przed objęciem stanowiska – wyraźnie wymaganego przez art. 69 konstytucji (zob. paragraf </w:t>
      </w:r>
      <w:r>
        <w:rPr>
          <w:lang w:val="pl"/>
        </w:rPr>
        <w:fldChar w:fldCharType="begin"/>
      </w:r>
      <w:r>
        <w:rPr>
          <w:lang w:val="pl"/>
        </w:rPr>
        <w:instrText xml:space="preserve"> REF CONSTITUTION_A69_affirmation \h  \* MERGEFORMAT </w:instrText>
      </w:r>
      <w:r>
        <w:rPr>
          <w:lang w:val="pl"/>
        </w:rPr>
      </w:r>
      <w:r>
        <w:rPr>
          <w:lang w:val="pl"/>
        </w:rPr>
        <w:fldChar w:fldCharType="separate"/>
      </w:r>
      <w:r>
        <w:rPr>
          <w:lang w:val="pl"/>
        </w:rPr>
        <w:t>40</w:t>
      </w:r>
      <w:r>
        <w:rPr>
          <w:lang w:val="pl"/>
        </w:rPr>
        <w:fldChar w:fldCharType="end"/>
      </w:r>
      <w:r>
        <w:rPr>
          <w:lang w:val="pl"/>
        </w:rPr>
        <w:t xml:space="preserve"> poniżej).</w:t>
      </w:r>
    </w:p>
    <w:p w14:paraId="62338820" w14:textId="1E4527B3" w:rsidR="001C1CE3" w:rsidRPr="009E50F7" w:rsidRDefault="00000000" w:rsidP="0064767C">
      <w:pPr>
        <w:pStyle w:val="JuPara"/>
        <w:rPr>
          <w:lang w:val="pl-PL"/>
        </w:rPr>
      </w:pPr>
      <w:r>
        <w:rPr>
          <w:lang w:val="pl"/>
        </w:rPr>
        <w:t xml:space="preserve">Strony uzgodniły również, że mandat parlamentarny E.T. nie zwolnił się w trakcie trwania kadencji, jak określono w art. 35 ust. 1 </w:t>
      </w:r>
      <w:r w:rsidR="00B41620">
        <w:rPr>
          <w:lang w:val="pl"/>
        </w:rPr>
        <w:t>P</w:t>
      </w:r>
      <w:r>
        <w:rPr>
          <w:lang w:val="pl"/>
        </w:rPr>
        <w:t xml:space="preserve">rawa </w:t>
      </w:r>
      <w:r w:rsidR="00B41620">
        <w:rPr>
          <w:lang w:val="pl"/>
        </w:rPr>
        <w:t>W</w:t>
      </w:r>
      <w:r>
        <w:rPr>
          <w:lang w:val="pl"/>
        </w:rPr>
        <w:t>yborczego.</w:t>
      </w:r>
    </w:p>
    <w:p w14:paraId="6DFA115C" w14:textId="159230C2" w:rsidR="001C1CE3" w:rsidRPr="009E50F7" w:rsidRDefault="00000000" w:rsidP="0064767C">
      <w:pPr>
        <w:pStyle w:val="JuPara"/>
        <w:rPr>
          <w:lang w:val="pl-PL"/>
        </w:rPr>
      </w:pPr>
      <w:r>
        <w:rPr>
          <w:lang w:val="pl"/>
        </w:rPr>
        <w:t>Sąd ponadto orzekł, że art. 66 ust. 2 konstytucji, który został zmieniony w</w:t>
      </w:r>
      <w:r w:rsidR="009E50F7">
        <w:rPr>
          <w:lang w:val="pl"/>
        </w:rPr>
        <w:t> </w:t>
      </w:r>
      <w:r>
        <w:rPr>
          <w:lang w:val="pl"/>
        </w:rPr>
        <w:t xml:space="preserve">1996 r. (zob. paragraf </w:t>
      </w:r>
      <w:r>
        <w:rPr>
          <w:lang w:val="pl"/>
        </w:rPr>
        <w:fldChar w:fldCharType="begin"/>
      </w:r>
      <w:r>
        <w:rPr>
          <w:lang w:val="pl"/>
        </w:rPr>
        <w:instrText xml:space="preserve"> REF CONSTITUTION_A66_vacancy \h </w:instrText>
      </w:r>
      <w:r>
        <w:rPr>
          <w:lang w:val="pl"/>
        </w:rPr>
      </w:r>
      <w:r>
        <w:rPr>
          <w:lang w:val="pl"/>
        </w:rPr>
        <w:fldChar w:fldCharType="separate"/>
      </w:r>
      <w:r>
        <w:rPr>
          <w:noProof/>
          <w:lang w:val="pl"/>
        </w:rPr>
        <w:t>39</w:t>
      </w:r>
      <w:r>
        <w:rPr>
          <w:lang w:val="pl"/>
        </w:rPr>
        <w:fldChar w:fldCharType="end"/>
      </w:r>
      <w:r>
        <w:rPr>
          <w:lang w:val="pl"/>
        </w:rPr>
        <w:t xml:space="preserve"> poniżej), stanowi, iż wakat na stanowisku poselskim należy obsadzić w sposób przewidziany przez ustawę (w niniejszej sprawie – </w:t>
      </w:r>
      <w:r w:rsidR="00EF11E9">
        <w:rPr>
          <w:lang w:val="pl"/>
        </w:rPr>
        <w:t>P</w:t>
      </w:r>
      <w:r>
        <w:rPr>
          <w:lang w:val="pl"/>
        </w:rPr>
        <w:t xml:space="preserve">rawo </w:t>
      </w:r>
      <w:r w:rsidR="00EF11E9">
        <w:rPr>
          <w:lang w:val="pl"/>
        </w:rPr>
        <w:t>W</w:t>
      </w:r>
      <w:r>
        <w:rPr>
          <w:lang w:val="pl"/>
        </w:rPr>
        <w:t xml:space="preserve">yborcze), a niekoniecznie w drodze wyborów uzupełniających, jak miało to miejsce przed nowelizacją z 1996 r. Sąd </w:t>
      </w:r>
      <w:r>
        <w:rPr>
          <w:lang w:val="pl"/>
        </w:rPr>
        <w:lastRenderedPageBreak/>
        <w:t>w</w:t>
      </w:r>
      <w:r w:rsidR="009E50F7">
        <w:rPr>
          <w:lang w:val="pl"/>
        </w:rPr>
        <w:t> </w:t>
      </w:r>
      <w:r>
        <w:rPr>
          <w:lang w:val="pl"/>
        </w:rPr>
        <w:t>szczególności uznał, że art. 66 konstytucji nie zawiera przepisu dotyczącego obsadzania zwolnionego mandatu poselskiego przed rozpoczęciem nowej kadencji parlamentu.</w:t>
      </w:r>
    </w:p>
    <w:p w14:paraId="2D78D92E" w14:textId="6491BDAB" w:rsidR="001C1CE3" w:rsidRPr="009E50F7" w:rsidRDefault="00000000" w:rsidP="0064767C">
      <w:pPr>
        <w:pStyle w:val="JuPara"/>
        <w:rPr>
          <w:lang w:val="pl-PL"/>
        </w:rPr>
      </w:pPr>
      <w:r>
        <w:rPr>
          <w:lang w:val="pl"/>
        </w:rPr>
        <w:t xml:space="preserve">Sąd orzekł, że kwestia spornego mandatu bez wątpienia pojawiła się przed rozpoczęciem kadencji parlamentu. Art. 35 ust. 1 </w:t>
      </w:r>
      <w:r w:rsidR="00B41620">
        <w:rPr>
          <w:lang w:val="pl"/>
        </w:rPr>
        <w:t>P</w:t>
      </w:r>
      <w:r>
        <w:rPr>
          <w:lang w:val="pl"/>
        </w:rPr>
        <w:t xml:space="preserve">rawa </w:t>
      </w:r>
      <w:r w:rsidR="00B41620">
        <w:rPr>
          <w:lang w:val="pl"/>
        </w:rPr>
        <w:t>W</w:t>
      </w:r>
      <w:r>
        <w:rPr>
          <w:lang w:val="pl"/>
        </w:rPr>
        <w:t>yborczego regulował jedynie sytuacje, w których mandat zostaje zwolniony po rozpoczęciu kadencji parlamentu. W związku z tym – wobec braku jednoznacznego przepisu ustawowego – GKW w sposób niedopuszczalny zastosował</w:t>
      </w:r>
      <w:r w:rsidR="0098304A">
        <w:rPr>
          <w:i/>
          <w:iCs/>
          <w:lang w:val="pl"/>
        </w:rPr>
        <w:t xml:space="preserve"> przez analogię</w:t>
      </w:r>
      <w:r>
        <w:rPr>
          <w:lang w:val="pl"/>
        </w:rPr>
        <w:t xml:space="preserve"> art. 35 ust. 1 prawa wyborczego.</w:t>
      </w:r>
    </w:p>
    <w:p w14:paraId="10307CC6" w14:textId="607EB8BD" w:rsidR="001C1CE3" w:rsidRPr="009E50F7" w:rsidRDefault="00000000" w:rsidP="0064767C">
      <w:pPr>
        <w:pStyle w:val="JuHIRoman"/>
        <w:rPr>
          <w:lang w:val="pl-PL"/>
        </w:rPr>
      </w:pPr>
      <w:r>
        <w:rPr>
          <w:bCs w:val="0"/>
          <w:lang w:val="pl"/>
        </w:rPr>
        <w:t>DRUGIE OŚWIADCZENIE DOTYCZĄCE KANDYDATA JAKO WYBRANEGO NA POSŁA I PÓŹNIEJSZE UNIEWAŻNIENIE</w:t>
      </w:r>
    </w:p>
    <w:p w14:paraId="2F2F8136" w14:textId="4644301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17</w:t>
      </w:r>
      <w:r>
        <w:rPr>
          <w:noProof/>
          <w:lang w:val="pl"/>
        </w:rPr>
        <w:fldChar w:fldCharType="end"/>
      </w:r>
      <w:r>
        <w:rPr>
          <w:lang w:val="pl"/>
        </w:rPr>
        <w:t xml:space="preserve">.  30 czerwca 2017 r. parlament zmienił art. 35 ust. 1 na mocy </w:t>
      </w:r>
      <w:r w:rsidR="00B41620">
        <w:rPr>
          <w:lang w:val="pl"/>
        </w:rPr>
        <w:t>P</w:t>
      </w:r>
      <w:r>
        <w:rPr>
          <w:lang w:val="pl"/>
        </w:rPr>
        <w:t xml:space="preserve">rawa </w:t>
      </w:r>
      <w:r w:rsidR="00B41620">
        <w:rPr>
          <w:lang w:val="pl"/>
        </w:rPr>
        <w:t>W</w:t>
      </w:r>
      <w:r>
        <w:rPr>
          <w:lang w:val="pl"/>
        </w:rPr>
        <w:t>yborczego (nowelizacja) z 2017 r. (ustawa nr 82(I)/2017), wprowadzając koncepcję „nieobjętego” mandatu parlamentarnego oraz stanowiąc, że nowy przepis ma zastosowanie do mandatów, które nie zostały objęte, nie zostały przyjęte lub zostały zwolnione przed rozpoczęciem kadencji parlamentarnej według stanu na dzień wejścia w życie tej ustawy (zob. paragraf </w:t>
      </w:r>
      <w:r>
        <w:rPr>
          <w:lang w:val="pl"/>
        </w:rPr>
        <w:fldChar w:fldCharType="begin"/>
      </w:r>
      <w:r>
        <w:rPr>
          <w:lang w:val="pl"/>
        </w:rPr>
        <w:instrText xml:space="preserve"> REF ELECTIONLAW_S35_B \h  \* MERGEFORMAT </w:instrText>
      </w:r>
      <w:r>
        <w:rPr>
          <w:lang w:val="pl"/>
        </w:rPr>
      </w:r>
      <w:r>
        <w:rPr>
          <w:lang w:val="pl"/>
        </w:rPr>
        <w:fldChar w:fldCharType="separate"/>
      </w:r>
      <w:r>
        <w:rPr>
          <w:lang w:val="pl"/>
        </w:rPr>
        <w:t>48</w:t>
      </w:r>
      <w:r>
        <w:rPr>
          <w:lang w:val="pl"/>
        </w:rPr>
        <w:fldChar w:fldCharType="end"/>
      </w:r>
      <w:r>
        <w:rPr>
          <w:lang w:val="pl"/>
        </w:rPr>
        <w:t xml:space="preserve"> poniżej).</w:t>
      </w:r>
    </w:p>
    <w:bookmarkStart w:id="8" w:name="SecondAppointmentApplicant"/>
    <w:p w14:paraId="4C7CC0D2" w14:textId="6BBC5DE3"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18</w:t>
      </w:r>
      <w:r>
        <w:rPr>
          <w:lang w:val="pl"/>
        </w:rPr>
        <w:fldChar w:fldCharType="end"/>
      </w:r>
      <w:bookmarkEnd w:id="8"/>
      <w:r>
        <w:rPr>
          <w:lang w:val="pl"/>
        </w:rPr>
        <w:t xml:space="preserve">.  5 lipca 2017 r. GKW oraz komisarz wyborczy okręgu </w:t>
      </w:r>
      <w:proofErr w:type="spellStart"/>
      <w:r>
        <w:rPr>
          <w:lang w:val="pl"/>
        </w:rPr>
        <w:t>Limassol</w:t>
      </w:r>
      <w:proofErr w:type="spellEnd"/>
      <w:r>
        <w:rPr>
          <w:lang w:val="pl"/>
        </w:rPr>
        <w:t>, stosując zmieniony art. 35 ust. 1, ogłosili skarżącego posłem wybranym z</w:t>
      </w:r>
      <w:r w:rsidR="009E50F7">
        <w:rPr>
          <w:lang w:val="pl"/>
        </w:rPr>
        <w:t> </w:t>
      </w:r>
      <w:r>
        <w:rPr>
          <w:lang w:val="pl"/>
        </w:rPr>
        <w:t xml:space="preserve">okręgu </w:t>
      </w:r>
      <w:proofErr w:type="spellStart"/>
      <w:r>
        <w:rPr>
          <w:lang w:val="pl"/>
        </w:rPr>
        <w:t>Limassol</w:t>
      </w:r>
      <w:proofErr w:type="spellEnd"/>
      <w:r>
        <w:rPr>
          <w:lang w:val="pl"/>
        </w:rPr>
        <w:t>.</w:t>
      </w:r>
    </w:p>
    <w:p w14:paraId="68FE07B6"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19</w:t>
      </w:r>
      <w:r>
        <w:rPr>
          <w:noProof/>
          <w:lang w:val="pl"/>
        </w:rPr>
        <w:fldChar w:fldCharType="end"/>
      </w:r>
      <w:r>
        <w:rPr>
          <w:lang w:val="pl"/>
        </w:rPr>
        <w:t>.  7 lipca 2017 r. skarżący złożył ślubowanie w parlamencie i objął swoje stanowisko.</w:t>
      </w:r>
    </w:p>
    <w:p w14:paraId="747ABFA2" w14:textId="641D9F37" w:rsidR="001C1CE3" w:rsidRPr="009E50F7" w:rsidRDefault="00000000" w:rsidP="0064767C">
      <w:pPr>
        <w:pStyle w:val="JuPara"/>
        <w:rPr>
          <w:rFonts w:eastAsia="Calibri"/>
          <w:lang w:val="pl-PL"/>
        </w:rPr>
      </w:pPr>
      <w:r>
        <w:rPr>
          <w:lang w:val="pl"/>
        </w:rPr>
        <w:fldChar w:fldCharType="begin"/>
      </w:r>
      <w:r>
        <w:rPr>
          <w:lang w:val="pl"/>
        </w:rPr>
        <w:instrText xml:space="preserve"> SEQ level0 \*arabic \* MERGEFORMAT </w:instrText>
      </w:r>
      <w:r>
        <w:rPr>
          <w:lang w:val="pl"/>
        </w:rPr>
        <w:fldChar w:fldCharType="separate"/>
      </w:r>
      <w:r>
        <w:rPr>
          <w:noProof/>
          <w:lang w:val="pl"/>
        </w:rPr>
        <w:t>20</w:t>
      </w:r>
      <w:r>
        <w:rPr>
          <w:lang w:val="pl"/>
        </w:rPr>
        <w:fldChar w:fldCharType="end"/>
      </w:r>
      <w:r>
        <w:rPr>
          <w:lang w:val="pl"/>
        </w:rPr>
        <w:t xml:space="preserve">.  1 września 2017 r. A.M. i D.D. (zob. paragraf </w:t>
      </w:r>
      <w:r>
        <w:rPr>
          <w:lang w:val="pl"/>
        </w:rPr>
        <w:fldChar w:fldCharType="begin"/>
      </w:r>
      <w:r>
        <w:rPr>
          <w:lang w:val="pl"/>
        </w:rPr>
        <w:instrText xml:space="preserve"> REF MrAMandMrDD \h  \* MERGEFORMAT </w:instrText>
      </w:r>
      <w:r>
        <w:rPr>
          <w:lang w:val="pl"/>
        </w:rPr>
      </w:r>
      <w:r>
        <w:rPr>
          <w:lang w:val="pl"/>
        </w:rPr>
        <w:fldChar w:fldCharType="separate"/>
      </w:r>
      <w:r>
        <w:rPr>
          <w:lang w:val="pl"/>
        </w:rPr>
        <w:t>14</w:t>
      </w:r>
      <w:r>
        <w:rPr>
          <w:lang w:val="pl"/>
        </w:rPr>
        <w:fldChar w:fldCharType="end"/>
      </w:r>
      <w:r>
        <w:rPr>
          <w:lang w:val="pl"/>
        </w:rPr>
        <w:t xml:space="preserve"> powyżej) złożyli do Sądu Wyborczego nową skargę wyborczą (nr 1/2017), w której zakwestionowali wybór skarżącego oraz ogłoszenie o wyborze go na posła (zob. paragraf </w:t>
      </w:r>
      <w:r>
        <w:rPr>
          <w:lang w:val="pl"/>
        </w:rPr>
        <w:fldChar w:fldCharType="begin"/>
      </w:r>
      <w:r>
        <w:rPr>
          <w:lang w:val="pl"/>
        </w:rPr>
        <w:instrText xml:space="preserve"> REF SecondAppointmentApplicant \h  \* MERGEFORMAT </w:instrText>
      </w:r>
      <w:r>
        <w:rPr>
          <w:lang w:val="pl"/>
        </w:rPr>
      </w:r>
      <w:r>
        <w:rPr>
          <w:lang w:val="pl"/>
        </w:rPr>
        <w:fldChar w:fldCharType="separate"/>
      </w:r>
      <w:r>
        <w:rPr>
          <w:lang w:val="pl"/>
        </w:rPr>
        <w:t>18</w:t>
      </w:r>
      <w:r>
        <w:rPr>
          <w:lang w:val="pl"/>
        </w:rPr>
        <w:fldChar w:fldCharType="end"/>
      </w:r>
      <w:r>
        <w:rPr>
          <w:lang w:val="pl"/>
        </w:rPr>
        <w:t xml:space="preserve"> powyżej). Twierdzili między innymi, że parlament uchwalił ustawę naruszającą precedens ustanowiony orzeczeniem Sądu Wyborczego, mając na celu mianowanie skarżącego posłem po wyborach w maju 2016 r. W ten sposób parlament ograniczył prawo obywateli do wyboru posłów w</w:t>
      </w:r>
      <w:r w:rsidR="009E50F7">
        <w:rPr>
          <w:lang w:val="pl"/>
        </w:rPr>
        <w:t> </w:t>
      </w:r>
      <w:r>
        <w:rPr>
          <w:lang w:val="pl"/>
        </w:rPr>
        <w:t xml:space="preserve">drodze głosowania, co stanowi naruszenie art. 66 konstytucji (zob. paragraf </w:t>
      </w:r>
      <w:r>
        <w:rPr>
          <w:lang w:val="pl"/>
        </w:rPr>
        <w:fldChar w:fldCharType="begin"/>
      </w:r>
      <w:r>
        <w:rPr>
          <w:lang w:val="pl"/>
        </w:rPr>
        <w:instrText xml:space="preserve"> REF CONSTITUTION_A66_vacancy \h  \* MERGEFORMAT </w:instrText>
      </w:r>
      <w:r>
        <w:rPr>
          <w:lang w:val="pl"/>
        </w:rPr>
      </w:r>
      <w:r>
        <w:rPr>
          <w:lang w:val="pl"/>
        </w:rPr>
        <w:fldChar w:fldCharType="separate"/>
      </w:r>
      <w:r>
        <w:rPr>
          <w:lang w:val="pl"/>
        </w:rPr>
        <w:t>39</w:t>
      </w:r>
      <w:r>
        <w:rPr>
          <w:lang w:val="pl"/>
        </w:rPr>
        <w:fldChar w:fldCharType="end"/>
      </w:r>
      <w:r>
        <w:rPr>
          <w:lang w:val="pl"/>
        </w:rPr>
        <w:t xml:space="preserve"> poniżej).</w:t>
      </w:r>
    </w:p>
    <w:p w14:paraId="2416A6FC" w14:textId="3703A1AD" w:rsidR="001C1CE3" w:rsidRPr="009E50F7" w:rsidRDefault="00000000" w:rsidP="0064767C">
      <w:pPr>
        <w:pStyle w:val="JuPara"/>
        <w:rPr>
          <w:rFonts w:eastAsia="Calibri"/>
          <w:lang w:val="pl-PL"/>
        </w:rPr>
      </w:pPr>
      <w:r>
        <w:rPr>
          <w:rFonts w:eastAsia="Calibri"/>
          <w:lang w:val="pl"/>
        </w:rPr>
        <w:fldChar w:fldCharType="begin"/>
      </w:r>
      <w:r>
        <w:rPr>
          <w:rFonts w:eastAsia="Calibri"/>
          <w:lang w:val="pl"/>
        </w:rPr>
        <w:instrText xml:space="preserve"> SEQ level0 \*arabic \* MERGEFORMAT </w:instrText>
      </w:r>
      <w:r>
        <w:rPr>
          <w:rFonts w:eastAsia="Calibri"/>
          <w:lang w:val="pl"/>
        </w:rPr>
        <w:fldChar w:fldCharType="separate"/>
      </w:r>
      <w:r>
        <w:rPr>
          <w:rFonts w:eastAsia="Calibri"/>
          <w:noProof/>
          <w:lang w:val="pl"/>
        </w:rPr>
        <w:t>21</w:t>
      </w:r>
      <w:r>
        <w:rPr>
          <w:rFonts w:eastAsia="Calibri"/>
          <w:lang w:val="pl"/>
        </w:rPr>
        <w:fldChar w:fldCharType="end"/>
      </w:r>
      <w:r>
        <w:rPr>
          <w:rFonts w:eastAsia="Calibri"/>
          <w:lang w:val="pl"/>
        </w:rPr>
        <w:t>.  Strony postępowania, w tym skarżący, twierdziły, że stanowisko można obsadzić wyłącznie zgodnie z przepisami ustawy. Zważywszy na istniejącą w tej kwestii lukę prawną, na którą zwrócił uwagę Sąd Wyborczy, jedyną możliwością obsadzenia mandatu było uchwalenie specjalnej ustawy w tej sprawie. Art. 35 ust. 2, który dotyczył wyborów uzupełniających, odnosił się do tych samych warunków, co art. 35 ust. 1. W związku z tym art. 35 ust. 2, podobnie jak art. 35 ust. 1, mógłby mieć zastosowanie jedynie w</w:t>
      </w:r>
      <w:r w:rsidR="009E50F7">
        <w:rPr>
          <w:rFonts w:eastAsia="Calibri"/>
          <w:lang w:val="pl"/>
        </w:rPr>
        <w:t> </w:t>
      </w:r>
      <w:r>
        <w:rPr>
          <w:rFonts w:eastAsia="Calibri"/>
          <w:lang w:val="pl"/>
        </w:rPr>
        <w:t>przypadku, gdyby w trakcie kadencji parlamentu „zwolnił się” mandat, a</w:t>
      </w:r>
      <w:r w:rsidR="009E50F7">
        <w:rPr>
          <w:rFonts w:eastAsia="Calibri"/>
          <w:lang w:val="pl"/>
        </w:rPr>
        <w:t> </w:t>
      </w:r>
      <w:r>
        <w:rPr>
          <w:rFonts w:eastAsia="Calibri"/>
          <w:lang w:val="pl"/>
        </w:rPr>
        <w:t>z</w:t>
      </w:r>
      <w:r w:rsidR="009E50F7">
        <w:rPr>
          <w:rFonts w:eastAsia="Calibri"/>
          <w:lang w:val="pl"/>
        </w:rPr>
        <w:t> </w:t>
      </w:r>
      <w:r>
        <w:rPr>
          <w:rFonts w:eastAsia="Calibri"/>
          <w:lang w:val="pl"/>
        </w:rPr>
        <w:t xml:space="preserve">jakiegoś powodu nie można by było zastosować art. 35 ust. 1. Wobec braku „zwolnionego” mandatu nie można było również zastosować rozwiązania polegającego na przeprowadzeniu wyborów uzupełniających na </w:t>
      </w:r>
      <w:r>
        <w:rPr>
          <w:rFonts w:eastAsia="Calibri"/>
          <w:lang w:val="pl"/>
        </w:rPr>
        <w:lastRenderedPageBreak/>
        <w:t>podstawie art. 35 ust. 2. Ponadto strony postępowania twierdziły, że konstytucja nie przewiduje wyborów uzupełniających. Przeciwnie, w drodze trzeciej nowelizacji konstytucji zmieniono art. 66, zastępując dotychczasowy art. 66 ust. 2, w którym przewidziano automatyczne przeprowadzenie wyborów uzupełniających w przypadku „zwolnienia” mandatu. Pierwotne przepisy dotyczące wyborów uzupełniających zostały dostosowane do potrzeb systemu większościowego, natomiast celem zmiany było uczynienie systemu wyborczego powszechnym i zgodnym z systemem proporcjonalnym, tak aby wybrani kandydaci piastowali mandaty parlamentarne zgodnie z kolejnością na liście, w tym również kandydaci, którzy zajęli kolejne miejsca.</w:t>
      </w:r>
    </w:p>
    <w:p w14:paraId="1410D237" w14:textId="516D76BA"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22</w:t>
      </w:r>
      <w:r>
        <w:rPr>
          <w:noProof/>
          <w:lang w:val="pl"/>
        </w:rPr>
        <w:fldChar w:fldCharType="end"/>
      </w:r>
      <w:r>
        <w:rPr>
          <w:lang w:val="pl"/>
        </w:rPr>
        <w:t xml:space="preserve">.  30 kwietnia 2018 r. Sąd Wyborczy, większością głosów sześciu do pięciu, po raz drugi unieważnił wybór skarżącego oraz ogłoszenie go posłem z okręgu wyborczego </w:t>
      </w:r>
      <w:proofErr w:type="spellStart"/>
      <w:r>
        <w:rPr>
          <w:lang w:val="pl"/>
        </w:rPr>
        <w:t>Limassol</w:t>
      </w:r>
      <w:proofErr w:type="spellEnd"/>
      <w:r>
        <w:rPr>
          <w:lang w:val="pl"/>
        </w:rPr>
        <w:t xml:space="preserve">. Ponadto sąd uznał </w:t>
      </w:r>
      <w:r w:rsidR="00EF11E9">
        <w:rPr>
          <w:lang w:val="pl"/>
        </w:rPr>
        <w:t>P</w:t>
      </w:r>
      <w:r>
        <w:rPr>
          <w:lang w:val="pl"/>
        </w:rPr>
        <w:t xml:space="preserve">rawo </w:t>
      </w:r>
      <w:r w:rsidR="00EF11E9">
        <w:rPr>
          <w:lang w:val="pl"/>
        </w:rPr>
        <w:t>W</w:t>
      </w:r>
      <w:r>
        <w:rPr>
          <w:lang w:val="pl"/>
        </w:rPr>
        <w:t>yborcze (nowelizacja) z 2017 r. za niezgodne z konstytucją, a konkretnie przepis dotyczący obsadzania „nieobjętego” mandatu w parlamencie.</w:t>
      </w:r>
    </w:p>
    <w:bookmarkStart w:id="9" w:name="Petition1_2017_majority"/>
    <w:p w14:paraId="645D3217" w14:textId="00BD6CAE"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23</w:t>
      </w:r>
      <w:r>
        <w:rPr>
          <w:lang w:val="pl"/>
        </w:rPr>
        <w:fldChar w:fldCharType="end"/>
      </w:r>
      <w:bookmarkEnd w:id="9"/>
      <w:r>
        <w:rPr>
          <w:lang w:val="pl"/>
        </w:rPr>
        <w:t>.  Sędziowie większości orzekli, że konstytucja (art. 66) odnosi się wyłącznie do sytuacji, w której mandat parlamentarny „zwolnił się”, a nie do sytuacji, w której mandat „nie został objęty” – koncepcja ta nie została w niej uwzględniona. Art. 71 konstytucji, który określał możliwości związane z</w:t>
      </w:r>
      <w:r w:rsidR="009E50F7">
        <w:rPr>
          <w:lang w:val="pl"/>
        </w:rPr>
        <w:t> </w:t>
      </w:r>
      <w:r>
        <w:rPr>
          <w:lang w:val="pl"/>
        </w:rPr>
        <w:t>wakującym mandatem, również nie odnosił się do takiej sytuacji. Status parlamentarzysty uzyskiwano po złożeniu ślubowania przed parlamentem, a</w:t>
      </w:r>
      <w:r w:rsidR="009E50F7">
        <w:rPr>
          <w:lang w:val="pl"/>
        </w:rPr>
        <w:t> </w:t>
      </w:r>
      <w:r>
        <w:rPr>
          <w:lang w:val="pl"/>
        </w:rPr>
        <w:t xml:space="preserve">nie na mocy oświadczenia GKW. E.T. nigdy nie złożyła ślubowania przed parlamentem – co byłoby niezgodne z jej statusem posłanki do Parlamentu Europejskiego – i zrzekła się mandatu przed rozpoczęciem kadencji, dlatego mandat ten nigdy nie został zwolniony, lecz pozostał „nieobjęty”. W związku z tym nie można było zastosować przewidzianej w prawie wyborczym procedury nadzwyczajnej dotyczącej obsadzania zwolnionych mandatów, która była zgodna z systemem proporcjonalnym. W wyniku zrzeczenia się mandatu oraz niezłożenia przez E.T. ślubowania w parlamencie mandat ten nie został objęty ani przez E.T., ani przez Solidarność, w związku z czym nigdy nie powstało zwolnione miejsce należące do Solidarności. Unieważnienie przez Sąd Wyborczy oświadczenia w sprawie objęcia mandatu poselskiego przez skarżącego nie spowodowało zwolnienia tego mandatu, lecz potwierdziło jego status jako „nieobjętego”. W związku z tym sąd uznał, że mandat ten w świetle prawa nie należał do Solidarności i jako taki nie mógł zostać przyznany kandydatowi, który zajął drugie miejsce na liście Solidarności w </w:t>
      </w:r>
      <w:proofErr w:type="spellStart"/>
      <w:r>
        <w:rPr>
          <w:lang w:val="pl"/>
        </w:rPr>
        <w:t>Limassol</w:t>
      </w:r>
      <w:proofErr w:type="spellEnd"/>
      <w:r>
        <w:rPr>
          <w:lang w:val="pl"/>
        </w:rPr>
        <w:t>.</w:t>
      </w:r>
    </w:p>
    <w:p w14:paraId="66577957" w14:textId="3D10D4DA" w:rsidR="001C1CE3" w:rsidRPr="009E50F7" w:rsidRDefault="00000000" w:rsidP="0064767C">
      <w:pPr>
        <w:pStyle w:val="JuPara"/>
        <w:rPr>
          <w:lang w:val="pl-PL"/>
        </w:rPr>
      </w:pPr>
      <w:r>
        <w:rPr>
          <w:lang w:val="pl"/>
        </w:rPr>
        <w:t xml:space="preserve">Chociaż większość nie zaprzeczyła, że parlament posiada ogólne uprawnienia do stanowienia prawa we wszystkich sprawach (zob. paragraf </w:t>
      </w:r>
      <w:r>
        <w:rPr>
          <w:lang w:val="pl"/>
        </w:rPr>
        <w:fldChar w:fldCharType="begin"/>
      </w:r>
      <w:r>
        <w:rPr>
          <w:lang w:val="pl"/>
        </w:rPr>
        <w:instrText xml:space="preserve"> REF CONSTITUTION_A61 \h  \* MERGEFORMAT </w:instrText>
      </w:r>
      <w:r>
        <w:rPr>
          <w:lang w:val="pl"/>
        </w:rPr>
      </w:r>
      <w:r>
        <w:rPr>
          <w:lang w:val="pl"/>
        </w:rPr>
        <w:fldChar w:fldCharType="separate"/>
      </w:r>
      <w:r>
        <w:rPr>
          <w:lang w:val="pl"/>
        </w:rPr>
        <w:t>35</w:t>
      </w:r>
      <w:r>
        <w:rPr>
          <w:lang w:val="pl"/>
        </w:rPr>
        <w:fldChar w:fldCharType="end"/>
      </w:r>
      <w:r>
        <w:rPr>
          <w:lang w:val="pl"/>
        </w:rPr>
        <w:t xml:space="preserve"> poniżej), podkreśliła jednak, że uprawnienia te należy wykonywać zgodnie z postanowieniami i duchem konstytucji. Sąd zauważył, że jedynie w przypadku zwolnienia mandatu zajmowanego dotychczas przez daną partię mandat ten można by – w drodze wyjątku – przyznać kandydatowi tej partii, </w:t>
      </w:r>
      <w:r>
        <w:rPr>
          <w:lang w:val="pl"/>
        </w:rPr>
        <w:lastRenderedPageBreak/>
        <w:t>który zajął drugie miejsce, bez konieczności przeprowadzania wyborów. W</w:t>
      </w:r>
      <w:r w:rsidR="009E50F7">
        <w:rPr>
          <w:lang w:val="pl"/>
        </w:rPr>
        <w:t> </w:t>
      </w:r>
      <w:r>
        <w:rPr>
          <w:lang w:val="pl"/>
        </w:rPr>
        <w:t xml:space="preserve">przypadkach, w których wyjątek ten nie miał zastosowania, art. 65 i 66 konstytucji (zob. paragrafy </w:t>
      </w:r>
      <w:r>
        <w:rPr>
          <w:lang w:val="pl"/>
        </w:rPr>
        <w:fldChar w:fldCharType="begin"/>
      </w:r>
      <w:r>
        <w:rPr>
          <w:lang w:val="pl"/>
        </w:rPr>
        <w:instrText xml:space="preserve"> REF CONSTITUTION_A65_termOffice \h  \* MERGEFORMAT </w:instrText>
      </w:r>
      <w:r>
        <w:rPr>
          <w:lang w:val="pl"/>
        </w:rPr>
      </w:r>
      <w:r>
        <w:rPr>
          <w:lang w:val="pl"/>
        </w:rPr>
        <w:fldChar w:fldCharType="separate"/>
      </w:r>
      <w:r>
        <w:rPr>
          <w:lang w:val="pl"/>
        </w:rPr>
        <w:t>38</w:t>
      </w:r>
      <w:r>
        <w:rPr>
          <w:lang w:val="pl"/>
        </w:rPr>
        <w:fldChar w:fldCharType="end"/>
      </w:r>
      <w:r>
        <w:rPr>
          <w:lang w:val="pl"/>
        </w:rPr>
        <w:t xml:space="preserve"> i </w:t>
      </w:r>
      <w:r>
        <w:rPr>
          <w:lang w:val="pl"/>
        </w:rPr>
        <w:fldChar w:fldCharType="begin"/>
      </w:r>
      <w:r>
        <w:rPr>
          <w:lang w:val="pl"/>
        </w:rPr>
        <w:instrText xml:space="preserve"> REF CONSTITUTION_A66_vacancy \h  \* MERGEFORMAT </w:instrText>
      </w:r>
      <w:r>
        <w:rPr>
          <w:lang w:val="pl"/>
        </w:rPr>
      </w:r>
      <w:r>
        <w:rPr>
          <w:lang w:val="pl"/>
        </w:rPr>
        <w:fldChar w:fldCharType="separate"/>
      </w:r>
      <w:r>
        <w:rPr>
          <w:lang w:val="pl"/>
        </w:rPr>
        <w:t>39</w:t>
      </w:r>
      <w:r>
        <w:rPr>
          <w:lang w:val="pl"/>
        </w:rPr>
        <w:fldChar w:fldCharType="end"/>
      </w:r>
      <w:r>
        <w:rPr>
          <w:lang w:val="pl"/>
        </w:rPr>
        <w:t xml:space="preserve"> poniżej) nakazywały przeprowadzenie wyborów poselskich oraz wyborów powszechnych w celu obsadzenia wszystkich pięćdziesięciu sześciu mandatów parlamentarnych. Przedmiotowe artykuły gwarantowały demokratyczną zasadę suwerenności ludu, która wymagała wyboru parlamentarzystów przez naród.</w:t>
      </w:r>
    </w:p>
    <w:p w14:paraId="44D6E867" w14:textId="66F1BE02" w:rsidR="001C1CE3" w:rsidRPr="009E50F7" w:rsidRDefault="00000000" w:rsidP="0064767C">
      <w:pPr>
        <w:pStyle w:val="JuPara"/>
        <w:rPr>
          <w:lang w:val="pl-PL"/>
        </w:rPr>
      </w:pPr>
      <w:r>
        <w:rPr>
          <w:lang w:val="pl"/>
        </w:rPr>
        <w:t xml:space="preserve">Sąd uznał, że chociaż początkowo nie istniało prawo do obsadzenia mandatu poprzez wybór kandydata, który zajął drugie miejsce – ponieważ mandat ten nie był od początku zajęty – parlament przyznał jednak skarżącemu takie prawo z mocą wsteczną na mocy </w:t>
      </w:r>
      <w:r w:rsidR="00B41620">
        <w:rPr>
          <w:lang w:val="pl"/>
        </w:rPr>
        <w:t>P</w:t>
      </w:r>
      <w:r>
        <w:rPr>
          <w:lang w:val="pl"/>
        </w:rPr>
        <w:t xml:space="preserve">rawa </w:t>
      </w:r>
      <w:r w:rsidR="00B41620">
        <w:rPr>
          <w:lang w:val="pl"/>
        </w:rPr>
        <w:t>W</w:t>
      </w:r>
      <w:r>
        <w:rPr>
          <w:lang w:val="pl"/>
        </w:rPr>
        <w:t>yborczego (nowelizacja) z 2017 r. Było to sprzeczne z zasadą niedziałania prawa wstecz, zgodnie z którą ustanowienie praw z mocą wsteczną jest niedopuszczalne, nawet w drodze nowelizacji ustawy.</w:t>
      </w:r>
    </w:p>
    <w:p w14:paraId="039EA38B" w14:textId="7A0EC329"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24</w:t>
      </w:r>
      <w:r>
        <w:rPr>
          <w:noProof/>
          <w:lang w:val="pl"/>
        </w:rPr>
        <w:fldChar w:fldCharType="end"/>
      </w:r>
      <w:r>
        <w:rPr>
          <w:lang w:val="pl"/>
        </w:rPr>
        <w:t>.  Sędziowie mniejszości byli zdania, że parlament zmienił ustawę w</w:t>
      </w:r>
      <w:r w:rsidR="009E50F7">
        <w:rPr>
          <w:lang w:val="pl"/>
        </w:rPr>
        <w:t> </w:t>
      </w:r>
      <w:r>
        <w:rPr>
          <w:lang w:val="pl"/>
        </w:rPr>
        <w:t>celu wypełnienia luki prawnej wskazanej przez Sąd Wyborczy, dostosowując ją do obowiązujących przepisów bez naruszania precedensu ustanowionego w sprawie skargi wyborczej nr 2/2016. Wnoszący skargę (A.M. i D.D.) zgłosili sprzeciw wobec decyzji ustawodawcy o bezpośrednim zastosowaniu art. 35 ust. 1 zamiast przeprowadzenia wyborów uzupełniających. GKW twierdził natomiast, że wybory uzupełniające są sprzeczne z systemem proporcjonalnym określonym w art. 66 ust. 2 konstytucji, który przedkłada partie nad kandydatów indywidualnych. Sąd Wyborczy mógłby interweniować jedynie w przypadku, gdyby ustawa naruszała konstytucję, co jednak nie miało miejsca. Decyzja ciał ustawodawczych była zgodna z cypryjskim systemem wyborczym oraz współczesnymi trendami demokratycznymi, co znalazło odzwierciedlenie w trzeciej nowelizacji konstytucji. Brak w konstytucji przepisu dotyczącego „nieobjętych” mandatów nie ograniczył ogólnych uprawnień ustawodawczych parlamentu wynikających z art. 61. W związku z tym parlament miał obowiązek wypełnić lukę prawną wskazaną przez Sąd Wyborczy, co też uczynił.</w:t>
      </w:r>
    </w:p>
    <w:p w14:paraId="77F4C317" w14:textId="3022A898" w:rsidR="001C1CE3" w:rsidRPr="009E50F7" w:rsidRDefault="00000000" w:rsidP="0064767C">
      <w:pPr>
        <w:pStyle w:val="JuHIRoman"/>
        <w:rPr>
          <w:lang w:val="pl-PL"/>
        </w:rPr>
      </w:pPr>
      <w:r>
        <w:rPr>
          <w:bCs w:val="0"/>
          <w:lang w:val="pl"/>
        </w:rPr>
        <w:t>TRZECIE OŚWIADCZENIE DOTYCZĄCE KANDYDATA JAKO WYBRANEGO NA POSŁA I PÓŹNIEJSZE UNIEWAŻNIENIE</w:t>
      </w:r>
    </w:p>
    <w:bookmarkStart w:id="10" w:name="FACTS_ConstitutionAmended"/>
    <w:p w14:paraId="03ED4105" w14:textId="0E40F0B5"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25</w:t>
      </w:r>
      <w:r>
        <w:rPr>
          <w:lang w:val="pl"/>
        </w:rPr>
        <w:fldChar w:fldCharType="end"/>
      </w:r>
      <w:bookmarkEnd w:id="10"/>
      <w:r>
        <w:rPr>
          <w:lang w:val="pl"/>
        </w:rPr>
        <w:t>.  3 października 2019 r. parlament zmienił art. 66 i 71 konstytucji w</w:t>
      </w:r>
      <w:r w:rsidR="009E50F7">
        <w:rPr>
          <w:lang w:val="pl"/>
        </w:rPr>
        <w:t> </w:t>
      </w:r>
      <w:r>
        <w:rPr>
          <w:lang w:val="pl"/>
        </w:rPr>
        <w:t xml:space="preserve">drodze dwunastej nowelizacji konstytucji (ustawa nr 128(I)/2019 – zob. paragrafy </w:t>
      </w:r>
      <w:r>
        <w:rPr>
          <w:lang w:val="pl"/>
        </w:rPr>
        <w:fldChar w:fldCharType="begin"/>
      </w:r>
      <w:r>
        <w:rPr>
          <w:lang w:val="pl"/>
        </w:rPr>
        <w:instrText xml:space="preserve"> REF CONSTITUTION_A66_vacancy \h  \* MERGEFORMAT </w:instrText>
      </w:r>
      <w:r>
        <w:rPr>
          <w:lang w:val="pl"/>
        </w:rPr>
      </w:r>
      <w:r>
        <w:rPr>
          <w:lang w:val="pl"/>
        </w:rPr>
        <w:fldChar w:fldCharType="separate"/>
      </w:r>
      <w:r>
        <w:rPr>
          <w:lang w:val="pl"/>
        </w:rPr>
        <w:t>39</w:t>
      </w:r>
      <w:r>
        <w:rPr>
          <w:lang w:val="pl"/>
        </w:rPr>
        <w:fldChar w:fldCharType="end"/>
      </w:r>
      <w:r>
        <w:rPr>
          <w:lang w:val="pl"/>
        </w:rPr>
        <w:t xml:space="preserve"> i </w:t>
      </w:r>
      <w:r>
        <w:rPr>
          <w:lang w:val="pl"/>
        </w:rPr>
        <w:fldChar w:fldCharType="begin"/>
      </w:r>
      <w:r>
        <w:rPr>
          <w:lang w:val="pl"/>
        </w:rPr>
        <w:instrText xml:space="preserve"> REF CONSTITUTION_A71_vacated_seat \h  \* MERGEFORMAT </w:instrText>
      </w:r>
      <w:r>
        <w:rPr>
          <w:lang w:val="pl"/>
        </w:rPr>
      </w:r>
      <w:r>
        <w:rPr>
          <w:lang w:val="pl"/>
        </w:rPr>
        <w:fldChar w:fldCharType="separate"/>
      </w:r>
      <w:r>
        <w:rPr>
          <w:lang w:val="pl"/>
        </w:rPr>
        <w:t>41</w:t>
      </w:r>
      <w:r>
        <w:rPr>
          <w:lang w:val="pl"/>
        </w:rPr>
        <w:fldChar w:fldCharType="end"/>
      </w:r>
      <w:r>
        <w:rPr>
          <w:lang w:val="pl"/>
        </w:rPr>
        <w:t xml:space="preserve"> poniżej), aby między innymi uwzględnić terminy „zrzeczenia się” („</w:t>
      </w:r>
      <w:r>
        <w:rPr>
          <w:i/>
          <w:iCs/>
          <w:lang w:val="pl"/>
        </w:rPr>
        <w:t>αποπ</w:t>
      </w:r>
      <w:proofErr w:type="spellStart"/>
      <w:r>
        <w:rPr>
          <w:i/>
          <w:iCs/>
          <w:lang w:val="pl"/>
        </w:rPr>
        <w:t>οιηθείσ</w:t>
      </w:r>
      <w:proofErr w:type="spellEnd"/>
      <w:r>
        <w:rPr>
          <w:i/>
          <w:iCs/>
          <w:lang w:val="pl"/>
        </w:rPr>
        <w:t>α</w:t>
      </w:r>
      <w:r>
        <w:rPr>
          <w:lang w:val="pl"/>
        </w:rPr>
        <w:t>”), „nieobjęcia” („</w:t>
      </w:r>
      <w:proofErr w:type="spellStart"/>
      <w:r>
        <w:rPr>
          <w:i/>
          <w:iCs/>
          <w:lang w:val="pl"/>
        </w:rPr>
        <w:t>μη</w:t>
      </w:r>
      <w:proofErr w:type="spellEnd"/>
      <w:r>
        <w:rPr>
          <w:i/>
          <w:iCs/>
          <w:lang w:val="pl"/>
        </w:rPr>
        <w:t xml:space="preserve"> κατα</w:t>
      </w:r>
      <w:proofErr w:type="spellStart"/>
      <w:r>
        <w:rPr>
          <w:i/>
          <w:iCs/>
          <w:lang w:val="pl"/>
        </w:rPr>
        <w:t>ληφθείσ</w:t>
      </w:r>
      <w:proofErr w:type="spellEnd"/>
      <w:r>
        <w:rPr>
          <w:i/>
          <w:iCs/>
          <w:lang w:val="pl"/>
        </w:rPr>
        <w:t>α</w:t>
      </w:r>
      <w:r>
        <w:rPr>
          <w:lang w:val="pl"/>
        </w:rPr>
        <w:t>”) oraz „zwolnienia” („</w:t>
      </w:r>
      <w:proofErr w:type="spellStart"/>
      <w:r>
        <w:rPr>
          <w:i/>
          <w:iCs/>
          <w:lang w:val="pl"/>
        </w:rPr>
        <w:t>κενωθείσ</w:t>
      </w:r>
      <w:proofErr w:type="spellEnd"/>
      <w:r>
        <w:rPr>
          <w:i/>
          <w:iCs/>
          <w:lang w:val="pl"/>
        </w:rPr>
        <w:t>α</w:t>
      </w:r>
      <w:r>
        <w:rPr>
          <w:lang w:val="pl"/>
        </w:rPr>
        <w:t>”) mandatu.</w:t>
      </w:r>
    </w:p>
    <w:p w14:paraId="3FE41371" w14:textId="5A1376CC"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26</w:t>
      </w:r>
      <w:r>
        <w:rPr>
          <w:noProof/>
          <w:lang w:val="pl"/>
        </w:rPr>
        <w:fldChar w:fldCharType="end"/>
      </w:r>
      <w:r>
        <w:rPr>
          <w:lang w:val="pl"/>
        </w:rPr>
        <w:t xml:space="preserve">.  15 października 2019 r. parlament zmienił również art. 35 </w:t>
      </w:r>
      <w:r w:rsidR="00B41620">
        <w:rPr>
          <w:lang w:val="pl"/>
        </w:rPr>
        <w:t>P</w:t>
      </w:r>
      <w:r>
        <w:rPr>
          <w:lang w:val="pl"/>
        </w:rPr>
        <w:t xml:space="preserve">rawa </w:t>
      </w:r>
      <w:r w:rsidR="00B41620">
        <w:rPr>
          <w:lang w:val="pl"/>
        </w:rPr>
        <w:t>W</w:t>
      </w:r>
      <w:r>
        <w:rPr>
          <w:lang w:val="pl"/>
        </w:rPr>
        <w:t xml:space="preserve">yborczego w drodze nowelizacji z 2019 r. (ustawa nr 131(I)/2019 – zob. paragraf </w:t>
      </w:r>
      <w:r>
        <w:rPr>
          <w:lang w:val="pl"/>
        </w:rPr>
        <w:fldChar w:fldCharType="begin"/>
      </w:r>
      <w:r>
        <w:rPr>
          <w:lang w:val="pl"/>
        </w:rPr>
        <w:instrText xml:space="preserve"> REF ELECTIONLAW_S35_C \h  \* MERGEFORMAT </w:instrText>
      </w:r>
      <w:r>
        <w:rPr>
          <w:lang w:val="pl"/>
        </w:rPr>
      </w:r>
      <w:r>
        <w:rPr>
          <w:lang w:val="pl"/>
        </w:rPr>
        <w:fldChar w:fldCharType="separate"/>
      </w:r>
      <w:r>
        <w:rPr>
          <w:lang w:val="pl"/>
        </w:rPr>
        <w:t>49</w:t>
      </w:r>
      <w:r>
        <w:rPr>
          <w:lang w:val="pl"/>
        </w:rPr>
        <w:fldChar w:fldCharType="end"/>
      </w:r>
      <w:r>
        <w:rPr>
          <w:lang w:val="pl"/>
        </w:rPr>
        <w:t xml:space="preserve"> poniżej), by uregulować sytuację, w której osoba wybrana zmarła </w:t>
      </w:r>
      <w:r>
        <w:rPr>
          <w:lang w:val="pl"/>
        </w:rPr>
        <w:lastRenderedPageBreak/>
        <w:t>lub zrzekła się mandatu przed odpowiednim ślubowaniem w Parlamencie, lub w której nie objęto lub zrzeczono się mandatu w trakcie lub po wejściu w</w:t>
      </w:r>
      <w:r w:rsidR="009E50F7">
        <w:rPr>
          <w:lang w:val="pl"/>
        </w:rPr>
        <w:t> </w:t>
      </w:r>
      <w:r>
        <w:rPr>
          <w:lang w:val="pl"/>
        </w:rPr>
        <w:t>życie tych zmian.</w:t>
      </w:r>
    </w:p>
    <w:bookmarkStart w:id="11" w:name="ThirdDeclaration"/>
    <w:p w14:paraId="2BCA997D"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27</w:t>
      </w:r>
      <w:r>
        <w:rPr>
          <w:lang w:val="pl"/>
        </w:rPr>
        <w:fldChar w:fldCharType="end"/>
      </w:r>
      <w:bookmarkEnd w:id="11"/>
      <w:r>
        <w:rPr>
          <w:lang w:val="pl"/>
        </w:rPr>
        <w:t xml:space="preserve">.  29 października 2019 r. komisarz wyborczy okręgu wyborczego </w:t>
      </w:r>
      <w:proofErr w:type="spellStart"/>
      <w:r>
        <w:rPr>
          <w:lang w:val="pl"/>
        </w:rPr>
        <w:t>Limassol</w:t>
      </w:r>
      <w:proofErr w:type="spellEnd"/>
      <w:r>
        <w:rPr>
          <w:lang w:val="pl"/>
        </w:rPr>
        <w:t xml:space="preserve"> ogłosił, że skarżący został posłem z tego okręgu.</w:t>
      </w:r>
    </w:p>
    <w:p w14:paraId="166F162C" w14:textId="3D5B7E2F"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28</w:t>
      </w:r>
      <w:r>
        <w:rPr>
          <w:noProof/>
          <w:lang w:val="pl"/>
        </w:rPr>
        <w:fldChar w:fldCharType="end"/>
      </w:r>
      <w:r>
        <w:rPr>
          <w:lang w:val="pl"/>
        </w:rPr>
        <w:t>.  1 listopada 2019 r. skarżący złożył odpowiednie ślubowanie w</w:t>
      </w:r>
      <w:r w:rsidR="009E50F7">
        <w:rPr>
          <w:lang w:val="pl"/>
        </w:rPr>
        <w:t> </w:t>
      </w:r>
      <w:r>
        <w:rPr>
          <w:lang w:val="pl"/>
        </w:rPr>
        <w:t>parlamencie.</w:t>
      </w:r>
    </w:p>
    <w:p w14:paraId="3EB24D95" w14:textId="5019B23F"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29</w:t>
      </w:r>
      <w:r>
        <w:rPr>
          <w:noProof/>
          <w:lang w:val="pl"/>
        </w:rPr>
        <w:fldChar w:fldCharType="end"/>
      </w:r>
      <w:r>
        <w:rPr>
          <w:lang w:val="pl"/>
        </w:rPr>
        <w:t xml:space="preserve">.  18 grudnia 2019 r. A.M. i D.D. wnieśli do Sądu Wyborczego nową skargę wyborczą (nr 1/2019). Twierdzili oni między innymi, że </w:t>
      </w:r>
      <w:r w:rsidR="00EF11E9">
        <w:rPr>
          <w:lang w:val="pl"/>
        </w:rPr>
        <w:t>P</w:t>
      </w:r>
      <w:r>
        <w:rPr>
          <w:lang w:val="pl"/>
        </w:rPr>
        <w:t xml:space="preserve">rawo </w:t>
      </w:r>
      <w:r w:rsidR="00EF11E9">
        <w:rPr>
          <w:lang w:val="pl"/>
        </w:rPr>
        <w:t>W</w:t>
      </w:r>
      <w:r>
        <w:rPr>
          <w:lang w:val="pl"/>
        </w:rPr>
        <w:t>yborcze (nowelizacja) z 2019 r. narusza zasadę powagi rzeczy osądzonej w</w:t>
      </w:r>
      <w:r w:rsidR="009E50F7">
        <w:rPr>
          <w:lang w:val="pl"/>
        </w:rPr>
        <w:t> </w:t>
      </w:r>
      <w:r>
        <w:rPr>
          <w:lang w:val="pl"/>
        </w:rPr>
        <w:t xml:space="preserve">odniesieniu do wcześniejszych orzeczeń Sądu Wyborczego. Twierdzili ponadto, że ustawa została zastosowana z mocą wsteczną w odniesieniu do wyborów w 2016 r. i zastąpiła wolę obywateli w kwestii wyboru ciała ustawodawczego. Utrzymywali oni, że fakt wprowadzenia zmian także do konstytucji nie daje ciału ustawodawczemu uprawnień do działania wbrew logice konstytucji i zasadzie suwerenności ludu. </w:t>
      </w:r>
      <w:r w:rsidR="005B1E0D">
        <w:rPr>
          <w:lang w:val="pl"/>
        </w:rPr>
        <w:t xml:space="preserve"> Ponownie pokreślili</w:t>
      </w:r>
      <w:r>
        <w:rPr>
          <w:lang w:val="pl"/>
        </w:rPr>
        <w:t>, że jedynym rozwiązaniem tej kwestii zgodnym z konstytucją i prawem jest przeprowadzenie wyborów uzupełniających.</w:t>
      </w:r>
    </w:p>
    <w:p w14:paraId="59571E6D" w14:textId="2702F0AB"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30</w:t>
      </w:r>
      <w:r>
        <w:rPr>
          <w:noProof/>
          <w:lang w:val="pl"/>
        </w:rPr>
        <w:fldChar w:fldCharType="end"/>
      </w:r>
      <w:r>
        <w:rPr>
          <w:lang w:val="pl"/>
        </w:rPr>
        <w:t xml:space="preserve">.  Z kolei skarżący twierdził, że zgodnie z trzecią nowelizacją konstytucji zasadą konstytucyjną jest wybór partii, a nie kandydata, a wybory uzupełniające nie są już preferowaną metodą. Prawo </w:t>
      </w:r>
      <w:r w:rsidR="00EF11E9">
        <w:rPr>
          <w:lang w:val="pl"/>
        </w:rPr>
        <w:t>W</w:t>
      </w:r>
      <w:r>
        <w:rPr>
          <w:lang w:val="pl"/>
        </w:rPr>
        <w:t>yborcze (nowelizacja) z 2019 r. nie stanowiło naruszenia dotychczasowej praktyki, ponieważ zostało uchwalone w następstwie dwunastej nowelizacji konstytucji i</w:t>
      </w:r>
      <w:r w:rsidR="009E50F7">
        <w:rPr>
          <w:lang w:val="pl"/>
        </w:rPr>
        <w:t> </w:t>
      </w:r>
      <w:r>
        <w:rPr>
          <w:lang w:val="pl"/>
        </w:rPr>
        <w:t xml:space="preserve">w związku z tym było w pełni zgodne z przepisami konstytucyjnymi. Wnoszący skargę nie ponieśli żadnej szkody, ponieważ zmiana przepisów nie wpłynęła na sposób przydzielania mandatów partiom. W związku z tym </w:t>
      </w:r>
      <w:r w:rsidR="00EF11E9">
        <w:rPr>
          <w:lang w:val="pl"/>
        </w:rPr>
        <w:t>P</w:t>
      </w:r>
      <w:r>
        <w:rPr>
          <w:lang w:val="pl"/>
        </w:rPr>
        <w:t xml:space="preserve">rawo </w:t>
      </w:r>
      <w:r w:rsidR="00EF11E9">
        <w:rPr>
          <w:lang w:val="pl"/>
        </w:rPr>
        <w:t>W</w:t>
      </w:r>
      <w:r>
        <w:rPr>
          <w:lang w:val="pl"/>
        </w:rPr>
        <w:t>yborcze (nowelizacja) z 2019 r. zagwarantowało wyniki wyborów oraz wolę obywateli wyrażoną 22 maja 2016 r.</w:t>
      </w:r>
    </w:p>
    <w:p w14:paraId="7E371881" w14:textId="7EF5BE2C"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31</w:t>
      </w:r>
      <w:r>
        <w:rPr>
          <w:noProof/>
          <w:lang w:val="pl"/>
        </w:rPr>
        <w:fldChar w:fldCharType="end"/>
      </w:r>
      <w:r>
        <w:rPr>
          <w:lang w:val="pl"/>
        </w:rPr>
        <w:t xml:space="preserve">.  29 października 2020 r. Sąd Wyborczy – większością głosów dziesięciu do jednego – orzekł, że wybór skarżącego na posła oraz ogłoszenie tego wyboru przez komisarza wyborczego są nieważne z powodu niekonstytucyjnego i niezgodnego z prawem przepisu wydanego na podstawie przepisów dwunastej nowelizacji konstytucji oraz </w:t>
      </w:r>
      <w:r w:rsidR="00B41620">
        <w:rPr>
          <w:lang w:val="pl"/>
        </w:rPr>
        <w:t>P</w:t>
      </w:r>
      <w:r>
        <w:rPr>
          <w:lang w:val="pl"/>
        </w:rPr>
        <w:t xml:space="preserve">rawa </w:t>
      </w:r>
      <w:r w:rsidR="00B41620">
        <w:rPr>
          <w:lang w:val="pl"/>
        </w:rPr>
        <w:t>W</w:t>
      </w:r>
      <w:r>
        <w:rPr>
          <w:lang w:val="pl"/>
        </w:rPr>
        <w:t>yborczego (nowelizacja) z 2019 r.</w:t>
      </w:r>
    </w:p>
    <w:bookmarkStart w:id="12" w:name="Petition3_2019_majority"/>
    <w:p w14:paraId="22B4160F" w14:textId="23F067D4"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32</w:t>
      </w:r>
      <w:r>
        <w:rPr>
          <w:lang w:val="pl"/>
        </w:rPr>
        <w:fldChar w:fldCharType="end"/>
      </w:r>
      <w:bookmarkEnd w:id="12"/>
      <w:r>
        <w:rPr>
          <w:lang w:val="pl"/>
        </w:rPr>
        <w:t xml:space="preserve">.  Sąd uznał, że zmiany te naruszają zasadę niedziałania prawa wstecz oraz ostatecznego charakteru orzeczeń Sądu Wyborczego, ponieważ dotyczą one z mocą wsteczną spornego mandatu z wyborów w maju 2016 r. </w:t>
      </w:r>
      <w:r w:rsidR="00F73B34">
        <w:rPr>
          <w:lang w:val="pl"/>
        </w:rPr>
        <w:t>W</w:t>
      </w:r>
      <w:r>
        <w:rPr>
          <w:lang w:val="pl"/>
        </w:rPr>
        <w:t xml:space="preserve">prowadzając po raz pierwszy doktrynę podstawowej struktury, sąd orzekł, że chociaż parlament może wprowadzać zmiany do przepisów konstytucyjnych, nie może podważać podstawowej struktury ani zasad konstytucji. Sąd uwzględnił krytykę tej doktryny, ale podkreślił jej rolę w ochronie demokracji, umożliwiającą sądom interweniowanie w przypadku „niekonstytucjonalnych zmian w ustawie zasadniczej”. Wobec braku klauzul </w:t>
      </w:r>
      <w:r w:rsidR="000509BC">
        <w:rPr>
          <w:lang w:val="pl"/>
        </w:rPr>
        <w:lastRenderedPageBreak/>
        <w:t xml:space="preserve">wieczystych </w:t>
      </w:r>
      <w:r>
        <w:rPr>
          <w:lang w:val="pl"/>
        </w:rPr>
        <w:t>niektóre systemy prawne uznawały pośrednie ograniczenia zakresu zmian konstytucji.</w:t>
      </w:r>
    </w:p>
    <w:p w14:paraId="71BF0767" w14:textId="0FBD2274" w:rsidR="001C1CE3" w:rsidRPr="009E50F7" w:rsidRDefault="00000000" w:rsidP="0064767C">
      <w:pPr>
        <w:pStyle w:val="JuPara"/>
        <w:rPr>
          <w:lang w:val="pl-PL"/>
        </w:rPr>
      </w:pPr>
      <w:r>
        <w:rPr>
          <w:lang w:val="pl"/>
        </w:rPr>
        <w:t>Sąd uznał, że art. 66 konstytucji mógł zostać zmieniony, ponieważ nie został on ujęty w podstawowych artykułach konstytucji. Nie można było jednak zmienić zasady suwerenności ludu, w tym sensie, że o wyniku wyborów powinny decydować wyniki głosowania w wyborach powszechnych. Spór wyborczy został rozstrzygnięty na podstawie skarg nr</w:t>
      </w:r>
      <w:r w:rsidR="009E50F7">
        <w:rPr>
          <w:lang w:val="pl"/>
        </w:rPr>
        <w:t> </w:t>
      </w:r>
      <w:r>
        <w:rPr>
          <w:lang w:val="pl"/>
        </w:rPr>
        <w:t>2/2016 i 1/2017, zgodnie z art. 145 konstytucji (zob. ust. </w:t>
      </w:r>
      <w:r>
        <w:rPr>
          <w:lang w:val="pl"/>
        </w:rPr>
        <w:fldChar w:fldCharType="begin"/>
      </w:r>
      <w:r>
        <w:rPr>
          <w:lang w:val="pl"/>
        </w:rPr>
        <w:instrText xml:space="preserve"> REF CONSTITUTION_A145 \h  \* MERGEFORMAT </w:instrText>
      </w:r>
      <w:r>
        <w:rPr>
          <w:lang w:val="pl"/>
        </w:rPr>
      </w:r>
      <w:r>
        <w:rPr>
          <w:lang w:val="pl"/>
        </w:rPr>
        <w:fldChar w:fldCharType="separate"/>
      </w:r>
      <w:r>
        <w:rPr>
          <w:lang w:val="pl"/>
        </w:rPr>
        <w:t>42</w:t>
      </w:r>
      <w:r>
        <w:rPr>
          <w:lang w:val="pl"/>
        </w:rPr>
        <w:fldChar w:fldCharType="end"/>
      </w:r>
      <w:r>
        <w:rPr>
          <w:lang w:val="pl"/>
        </w:rPr>
        <w:t xml:space="preserve"> poniżej). W związku z tym dwunasta nowelizacja konstytucji nie może mieć zastosowania (</w:t>
      </w:r>
      <w:proofErr w:type="spellStart"/>
      <w:r>
        <w:rPr>
          <w:i/>
          <w:iCs/>
          <w:lang w:val="pl"/>
        </w:rPr>
        <w:t>δεν</w:t>
      </w:r>
      <w:proofErr w:type="spellEnd"/>
      <w:r>
        <w:rPr>
          <w:i/>
          <w:iCs/>
          <w:lang w:val="pl"/>
        </w:rPr>
        <w:t xml:space="preserve"> μπ</w:t>
      </w:r>
      <w:proofErr w:type="spellStart"/>
      <w:r>
        <w:rPr>
          <w:i/>
          <w:iCs/>
          <w:lang w:val="pl"/>
        </w:rPr>
        <w:t>ορεί</w:t>
      </w:r>
      <w:proofErr w:type="spellEnd"/>
      <w:r>
        <w:rPr>
          <w:i/>
          <w:iCs/>
          <w:lang w:val="pl"/>
        </w:rPr>
        <w:t xml:space="preserve"> να </w:t>
      </w:r>
      <w:proofErr w:type="spellStart"/>
      <w:r>
        <w:rPr>
          <w:i/>
          <w:iCs/>
          <w:lang w:val="pl"/>
        </w:rPr>
        <w:t>έχει</w:t>
      </w:r>
      <w:proofErr w:type="spellEnd"/>
      <w:r>
        <w:rPr>
          <w:i/>
          <w:iCs/>
          <w:lang w:val="pl"/>
        </w:rPr>
        <w:t xml:space="preserve"> </w:t>
      </w:r>
      <w:proofErr w:type="spellStart"/>
      <w:r>
        <w:rPr>
          <w:i/>
          <w:iCs/>
          <w:lang w:val="pl"/>
        </w:rPr>
        <w:t>ισχύ</w:t>
      </w:r>
      <w:proofErr w:type="spellEnd"/>
      <w:r>
        <w:rPr>
          <w:lang w:val="pl"/>
        </w:rPr>
        <w:t>) do spraw, w których Sąd Wyborczy wydał już orzeczenie.</w:t>
      </w:r>
    </w:p>
    <w:p w14:paraId="488BDEF9" w14:textId="77777777" w:rsidR="001C1CE3" w:rsidRPr="009E50F7" w:rsidRDefault="00000000" w:rsidP="0064767C">
      <w:pPr>
        <w:pStyle w:val="JuPara"/>
        <w:rPr>
          <w:lang w:val="pl-PL"/>
        </w:rPr>
      </w:pPr>
      <w:r>
        <w:rPr>
          <w:lang w:val="pl"/>
        </w:rPr>
        <w:t>Sąd stwierdził ponadto, że orzeczenia Sądu Wyborczego opierały się wyraźnie na zasadzie suwerenności ludu, a za zgodne z prawem uznaje się wybory przeprowadzone zgodnie z zasadą wyrażania woli ludu w kwestii wyboru ciała ustawodawczego.</w:t>
      </w:r>
    </w:p>
    <w:p w14:paraId="38F5C74E" w14:textId="341EDA94" w:rsidR="001C1CE3" w:rsidRPr="009E50F7" w:rsidRDefault="00000000" w:rsidP="0064767C">
      <w:pPr>
        <w:pStyle w:val="JuPara"/>
        <w:rPr>
          <w:color w:val="0072BC" w:themeColor="accent1"/>
          <w:lang w:val="pl-PL"/>
        </w:rPr>
      </w:pPr>
      <w:r>
        <w:rPr>
          <w:lang w:val="pl"/>
        </w:rPr>
        <w:t xml:space="preserve">Sąd podkreślił, że początkiem sprawy było pismo E.T. skierowane do GKW, ponieważ swoją decyzję podjęła ona poza kadencją parlamentarną. Sąd Wyborczy orzekł, że w świetle prawa mandat ten nigdy nie był </w:t>
      </w:r>
      <w:r w:rsidR="00CC7F50">
        <w:rPr>
          <w:lang w:val="pl"/>
        </w:rPr>
        <w:t xml:space="preserve"> objęty </w:t>
      </w:r>
      <w:r>
        <w:rPr>
          <w:lang w:val="pl"/>
        </w:rPr>
        <w:t>przez Solidarność, więc skarżący, jako kandydat, który zajął drugie miejsce, nie mógł się o niego ubiegać. Zmiany konstytucji miały na celu unieważnienie orzeczeń Sądu Wyborczego, ale nie mogły mieć zastosowania do mandatu, który nigdy nie został obsadzony. Zmiany te doprowadziły do wyboru skarżącego w drodze specjalnych przepisów, a nie w ramach wolnych wyborów powszechnych lub wyborów uzupełniających, co podważyło zasadę suwerenności ludu. Sąd wyjaśnił, że zmiany konstytucyjne i prawne, uchwalone przez parlament, byłyby do przyjęcia, gdyby dotyczyły wyłącznie przyszłych spraw. Ponadto sąd skrytykował parlament za obejście orzeczeń sądowych i naruszenie zasady podziału władzy poprzez niedopuszczalną zmianę konstytucji.</w:t>
      </w:r>
    </w:p>
    <w:p w14:paraId="47EBD4CD" w14:textId="4B16EC0C" w:rsidR="001C1CE3" w:rsidRPr="009E50F7" w:rsidRDefault="00000000" w:rsidP="0064767C">
      <w:pPr>
        <w:pStyle w:val="JuPara"/>
        <w:rPr>
          <w:lang w:val="pl-PL"/>
        </w:rPr>
      </w:pPr>
      <w:r>
        <w:rPr>
          <w:lang w:val="pl"/>
        </w:rPr>
        <w:t>Wreszcie sąd uznał, że gdyby art. 35 ust. 4 został zastosowany w sposób obejmujący również sprawę skarżącego, stanowiłoby to wyraźne naruszenie zasady równości wynikającej z art. 28 konstytucji. Stałoby się tak z tego powodu, że parlament, poprzez odpowiednie przepisy, mianował konkretną osobę na posła, pozbawiając tym samym innych kandydatów, takich jak A.M., prawa do swobodnego udziału w wyborach uzupełniających, a</w:t>
      </w:r>
      <w:r w:rsidR="009E50F7">
        <w:rPr>
          <w:lang w:val="pl"/>
        </w:rPr>
        <w:t> </w:t>
      </w:r>
      <w:r>
        <w:rPr>
          <w:lang w:val="pl"/>
        </w:rPr>
        <w:t>wyborców, takich jak D.D., prawa do tego, by ich głosy zostały policzone zgodnie z ich wolą.</w:t>
      </w:r>
    </w:p>
    <w:p w14:paraId="3D4F91AB" w14:textId="7E0E4902" w:rsidR="001C1CE3" w:rsidRPr="009E50F7" w:rsidRDefault="00000000" w:rsidP="0064767C">
      <w:pPr>
        <w:pStyle w:val="JuPara"/>
        <w:rPr>
          <w:lang w:val="pl-PL"/>
        </w:rPr>
      </w:pPr>
      <w:r>
        <w:rPr>
          <w:lang w:val="pl"/>
        </w:rPr>
        <w:t xml:space="preserve">W związku z tym sąd orzekł, że wybór i ogłoszenie skarżącego posłem były nieważne z powodu niezgodnego z konstytucją i niezgodnego z prawem przepisu wydanego na podstawie dwunastej nowelizacji </w:t>
      </w:r>
      <w:r w:rsidR="00B41620">
        <w:rPr>
          <w:lang w:val="pl"/>
        </w:rPr>
        <w:t>K</w:t>
      </w:r>
      <w:r>
        <w:rPr>
          <w:lang w:val="pl"/>
        </w:rPr>
        <w:t xml:space="preserve">onstytucji oraz </w:t>
      </w:r>
      <w:r w:rsidR="00B41620">
        <w:rPr>
          <w:lang w:val="pl"/>
        </w:rPr>
        <w:t>P</w:t>
      </w:r>
      <w:r>
        <w:rPr>
          <w:lang w:val="pl"/>
        </w:rPr>
        <w:t xml:space="preserve">rawa </w:t>
      </w:r>
      <w:r w:rsidR="00B41620">
        <w:rPr>
          <w:lang w:val="pl"/>
        </w:rPr>
        <w:t>W</w:t>
      </w:r>
      <w:r>
        <w:rPr>
          <w:lang w:val="pl"/>
        </w:rPr>
        <w:t>yborczego (nowelizacja) z 2019 r. Ponadto sąd uznał, że gdyby art. 35 ust. 4 ustawy miał zastosowanie w sposób obejmujący okoliczności niniejszej sprawy, nadałoby to moc wsteczną przepisowi, który wszedł w</w:t>
      </w:r>
      <w:r w:rsidR="009E50F7">
        <w:rPr>
          <w:lang w:val="pl"/>
        </w:rPr>
        <w:t> </w:t>
      </w:r>
      <w:r>
        <w:rPr>
          <w:lang w:val="pl"/>
        </w:rPr>
        <w:t>życie z dniem jego ogłoszenia, czyli 15 października 2019 r.</w:t>
      </w:r>
    </w:p>
    <w:p w14:paraId="309414C1" w14:textId="4739CBEC" w:rsidR="001C1CE3" w:rsidRPr="009E50F7" w:rsidRDefault="0064767C" w:rsidP="0064767C">
      <w:pPr>
        <w:pStyle w:val="JuPara"/>
        <w:rPr>
          <w:lang w:val="pl-PL"/>
        </w:rPr>
      </w:pPr>
      <w:r>
        <w:lastRenderedPageBreak/>
        <w:fldChar w:fldCharType="begin"/>
      </w:r>
      <w:r w:rsidRPr="009E50F7">
        <w:rPr>
          <w:lang w:val="pl-PL"/>
        </w:rPr>
        <w:instrText xml:space="preserve"> SEQ level0 \*arabic \* MERGEFORMAT </w:instrText>
      </w:r>
      <w:r>
        <w:fldChar w:fldCharType="separate"/>
      </w:r>
      <w:r>
        <w:rPr>
          <w:noProof/>
          <w:lang w:val="pl"/>
        </w:rPr>
        <w:t>33</w:t>
      </w:r>
      <w:r>
        <w:rPr>
          <w:noProof/>
          <w:lang w:val="pl"/>
        </w:rPr>
        <w:fldChar w:fldCharType="end"/>
      </w:r>
      <w:r>
        <w:rPr>
          <w:lang w:val="pl"/>
        </w:rPr>
        <w:t xml:space="preserve">.  Sędzia zgłaszający zdanie odrębne sprzeciwił się zastosowaniu doktryny podstawowej struktury, twierdząc, że zmiany w </w:t>
      </w:r>
      <w:r w:rsidR="00B41620">
        <w:rPr>
          <w:lang w:val="pl"/>
        </w:rPr>
        <w:t>K</w:t>
      </w:r>
      <w:r>
        <w:rPr>
          <w:lang w:val="pl"/>
        </w:rPr>
        <w:t xml:space="preserve">onstytucji i </w:t>
      </w:r>
      <w:r w:rsidR="00B41620">
        <w:rPr>
          <w:lang w:val="pl"/>
        </w:rPr>
        <w:t>P</w:t>
      </w:r>
      <w:r>
        <w:rPr>
          <w:lang w:val="pl"/>
        </w:rPr>
        <w:t xml:space="preserve">rawie </w:t>
      </w:r>
      <w:r w:rsidR="00B41620">
        <w:rPr>
          <w:lang w:val="pl"/>
        </w:rPr>
        <w:t>W</w:t>
      </w:r>
      <w:r>
        <w:rPr>
          <w:lang w:val="pl"/>
        </w:rPr>
        <w:t xml:space="preserve">yborczym usprawniły system wyborczy bez naruszania podstawowej struktury konstytucji. Twierdził, że zasada suwerenności ludu została zachowana, ponieważ obsadzenie mandatu przez kandydata, który zajął drugie miejsce, było zgodne z art. 66 </w:t>
      </w:r>
      <w:r w:rsidR="00B41620">
        <w:rPr>
          <w:lang w:val="pl"/>
        </w:rPr>
        <w:t>K</w:t>
      </w:r>
      <w:r>
        <w:rPr>
          <w:lang w:val="pl"/>
        </w:rPr>
        <w:t xml:space="preserve">onstytucji oraz z </w:t>
      </w:r>
      <w:r w:rsidR="00B41620">
        <w:rPr>
          <w:lang w:val="pl"/>
        </w:rPr>
        <w:t>P</w:t>
      </w:r>
      <w:r>
        <w:rPr>
          <w:lang w:val="pl"/>
        </w:rPr>
        <w:t xml:space="preserve">rawem </w:t>
      </w:r>
      <w:r w:rsidR="00B41620">
        <w:rPr>
          <w:lang w:val="pl"/>
        </w:rPr>
        <w:t>W</w:t>
      </w:r>
      <w:r>
        <w:rPr>
          <w:lang w:val="pl"/>
        </w:rPr>
        <w:t>yborczym, które przewidują przeprowadzenie wyborów uzupełniających jedynie w</w:t>
      </w:r>
      <w:r w:rsidR="009E50F7">
        <w:rPr>
          <w:lang w:val="pl"/>
        </w:rPr>
        <w:t> </w:t>
      </w:r>
      <w:r>
        <w:rPr>
          <w:lang w:val="pl"/>
        </w:rPr>
        <w:t>sytuacji, gdy inne rozwiązania są niemożliwe. Sędzia stwierdził, że ograniczenie możliwości wprowadzania zmian do konstytucji przez parlament stanowiłoby ograniczenie suwerenności ludu. Podkreślił, że cypryjski system wyborczy kładzie nacisk na wybór partii, odzwierciedlając realia polityczne, skuteczność głosowania oraz zgodność preferencji wyborców z szerszymi celami tych, którzy ubiegają się o władzę.</w:t>
      </w:r>
    </w:p>
    <w:p w14:paraId="3BECFC77" w14:textId="77777777" w:rsidR="001C1CE3" w:rsidRPr="0064767C" w:rsidRDefault="00000000" w:rsidP="0064767C">
      <w:pPr>
        <w:pStyle w:val="JuHHead"/>
      </w:pPr>
      <w:r>
        <w:rPr>
          <w:bCs w:val="0"/>
          <w:lang w:val="pl"/>
        </w:rPr>
        <w:t>ODPOWIEDNIE RAMY PRAWNE</w:t>
      </w:r>
    </w:p>
    <w:p w14:paraId="0D9E3E98" w14:textId="77777777" w:rsidR="001C1CE3" w:rsidRPr="0064767C" w:rsidRDefault="00000000" w:rsidP="0064767C">
      <w:pPr>
        <w:pStyle w:val="JuHIRoman"/>
      </w:pPr>
      <w:r>
        <w:rPr>
          <w:bCs w:val="0"/>
          <w:caps w:val="0"/>
          <w:lang w:val="pl"/>
        </w:rPr>
        <w:t xml:space="preserve"> KONSTYTUCJA</w:t>
      </w:r>
    </w:p>
    <w:bookmarkStart w:id="13" w:name="CONSTITUTION_A31_right_to_vote"/>
    <w:p w14:paraId="0AD40D23"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34</w:t>
      </w:r>
      <w:r>
        <w:rPr>
          <w:lang w:val="pl"/>
        </w:rPr>
        <w:fldChar w:fldCharType="end"/>
      </w:r>
      <w:bookmarkEnd w:id="13"/>
      <w:r>
        <w:rPr>
          <w:lang w:val="pl"/>
        </w:rPr>
        <w:t>.  Art. 31 gwarantuje prawo do głosowania.</w:t>
      </w:r>
    </w:p>
    <w:bookmarkStart w:id="14" w:name="CONSTITUTION_A61"/>
    <w:p w14:paraId="0408A8DF"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35</w:t>
      </w:r>
      <w:r>
        <w:rPr>
          <w:lang w:val="pl"/>
        </w:rPr>
        <w:fldChar w:fldCharType="end"/>
      </w:r>
      <w:bookmarkEnd w:id="14"/>
      <w:r>
        <w:rPr>
          <w:lang w:val="pl"/>
        </w:rPr>
        <w:t>.  Art. 61 stanowi, że uprawnienia ustawodawcze przysługują parlamentowi.</w:t>
      </w:r>
    </w:p>
    <w:bookmarkStart w:id="15" w:name="CONSTITUTION_A63_right_to_beregistered"/>
    <w:p w14:paraId="5B432C7B"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36</w:t>
      </w:r>
      <w:r>
        <w:rPr>
          <w:lang w:val="pl"/>
        </w:rPr>
        <w:fldChar w:fldCharType="end"/>
      </w:r>
      <w:bookmarkEnd w:id="15"/>
      <w:r>
        <w:rPr>
          <w:lang w:val="pl"/>
        </w:rPr>
        <w:t>.  Art. 63 gwarantuje prawo do wpisania na listę wyborców.</w:t>
      </w:r>
    </w:p>
    <w:bookmarkStart w:id="16" w:name="CONSTITUTION_A64_eligibility"/>
    <w:p w14:paraId="3B0E50BD" w14:textId="1F029953"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37</w:t>
      </w:r>
      <w:r>
        <w:rPr>
          <w:lang w:val="pl"/>
        </w:rPr>
        <w:fldChar w:fldCharType="end"/>
      </w:r>
      <w:bookmarkEnd w:id="16"/>
      <w:r>
        <w:rPr>
          <w:lang w:val="pl"/>
        </w:rPr>
        <w:t>.  W art. 64 określono warunki kwalifikujące do kandydowania w</w:t>
      </w:r>
      <w:r w:rsidR="009E50F7">
        <w:rPr>
          <w:lang w:val="pl"/>
        </w:rPr>
        <w:t> </w:t>
      </w:r>
      <w:r>
        <w:rPr>
          <w:lang w:val="pl"/>
        </w:rPr>
        <w:t>wyborach do parlamentu.</w:t>
      </w:r>
    </w:p>
    <w:bookmarkStart w:id="17" w:name="CONSTITUTION_A65_termOffice"/>
    <w:p w14:paraId="2F3C2546"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38</w:t>
      </w:r>
      <w:r>
        <w:rPr>
          <w:lang w:val="pl"/>
        </w:rPr>
        <w:fldChar w:fldCharType="end"/>
      </w:r>
      <w:bookmarkEnd w:id="17"/>
      <w:r>
        <w:rPr>
          <w:lang w:val="pl"/>
        </w:rPr>
        <w:t>.  Art. 65 stanowi:</w:t>
      </w:r>
    </w:p>
    <w:p w14:paraId="316EB444" w14:textId="77777777" w:rsidR="001C1CE3" w:rsidRPr="009E50F7" w:rsidRDefault="00000000" w:rsidP="0064767C">
      <w:pPr>
        <w:pStyle w:val="JuQuot"/>
        <w:rPr>
          <w:lang w:val="pl-PL"/>
        </w:rPr>
      </w:pPr>
      <w:r>
        <w:rPr>
          <w:lang w:val="pl"/>
        </w:rPr>
        <w:t>„1. Kadencja Izby Reprezentantów trwa pięć lat.</w:t>
      </w:r>
    </w:p>
    <w:p w14:paraId="7F065344" w14:textId="77777777" w:rsidR="001C1CE3" w:rsidRPr="009E50F7" w:rsidRDefault="00000000" w:rsidP="0064767C">
      <w:pPr>
        <w:pStyle w:val="JuQuot"/>
        <w:rPr>
          <w:lang w:val="pl-PL"/>
        </w:rPr>
      </w:pPr>
      <w:r>
        <w:rPr>
          <w:lang w:val="pl"/>
        </w:rPr>
        <w:t>Kadencja pierwszej Izby Reprezentantów rozpocznie się w dniu wejścia w życie niniejszej konstytucji.</w:t>
      </w:r>
    </w:p>
    <w:p w14:paraId="30B54B3E" w14:textId="77777777" w:rsidR="001C1CE3" w:rsidRPr="009E50F7" w:rsidRDefault="00000000" w:rsidP="009E50F7">
      <w:pPr>
        <w:pStyle w:val="JuQuot"/>
        <w:ind w:firstLine="0"/>
        <w:rPr>
          <w:lang w:val="pl-PL"/>
        </w:rPr>
      </w:pPr>
      <w:r>
        <w:rPr>
          <w:lang w:val="pl"/>
        </w:rPr>
        <w:t>2.  Izba w ustępującym składzie pełni swoje funkcje do momentu objęcia urzędu przez nowo wybraną Izbę, zgodnie z ustępem pierwszym niniejszego artykułu”.</w:t>
      </w:r>
    </w:p>
    <w:bookmarkStart w:id="18" w:name="CONSTITUTION_A66_vacancy"/>
    <w:p w14:paraId="361466F6"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39</w:t>
      </w:r>
      <w:r>
        <w:rPr>
          <w:lang w:val="pl"/>
        </w:rPr>
        <w:fldChar w:fldCharType="end"/>
      </w:r>
      <w:bookmarkEnd w:id="18"/>
      <w:r>
        <w:rPr>
          <w:lang w:val="pl"/>
        </w:rPr>
        <w:t>.  Art. 66 pierwotnie stanowił, że w przypadku zwolnienia się mandatu w parlamencie przeprowadza się wybory uzupełniające, jak następuje:</w:t>
      </w:r>
    </w:p>
    <w:p w14:paraId="47BEB240" w14:textId="77777777" w:rsidR="001C1CE3" w:rsidRPr="009E50F7" w:rsidRDefault="00000000" w:rsidP="0064767C">
      <w:pPr>
        <w:pStyle w:val="JuQuot"/>
        <w:rPr>
          <w:lang w:val="pl-PL"/>
        </w:rPr>
      </w:pPr>
      <w:r>
        <w:rPr>
          <w:lang w:val="pl"/>
        </w:rPr>
        <w:t>„1. Wybory powszechne do Izby Reprezentantów odbywają się w drugą niedzielę miesiąca poprzedzającego bezpośrednio miesiąc, w którym wygasa kadencja ustępującej Izby.</w:t>
      </w:r>
    </w:p>
    <w:p w14:paraId="79C914A4" w14:textId="77777777" w:rsidR="001C1CE3" w:rsidRPr="009E50F7" w:rsidRDefault="00000000" w:rsidP="0064767C">
      <w:pPr>
        <w:pStyle w:val="JuQuot"/>
        <w:rPr>
          <w:lang w:val="pl-PL"/>
        </w:rPr>
      </w:pPr>
      <w:r>
        <w:rPr>
          <w:lang w:val="pl"/>
        </w:rPr>
        <w:t>2. Zwolniony mandat w parlamencie zostanie obsadzony w drodze wyborów uzupełniających, które odbędą się w terminie nieprzekraczającym czterdziestu pięciu dni od powstania wakatu, w dniu wyznaczonym przez Izbę Reprezentantów.</w:t>
      </w:r>
    </w:p>
    <w:p w14:paraId="3229DE27" w14:textId="77777777" w:rsidR="001C1CE3" w:rsidRPr="009E50F7" w:rsidRDefault="00000000" w:rsidP="0064767C">
      <w:pPr>
        <w:pStyle w:val="JuQuot"/>
        <w:rPr>
          <w:lang w:val="pl-PL"/>
        </w:rPr>
      </w:pPr>
      <w:r>
        <w:rPr>
          <w:lang w:val="pl"/>
        </w:rPr>
        <w:t>3. [...]”.</w:t>
      </w:r>
    </w:p>
    <w:p w14:paraId="0B3C3A57" w14:textId="79062464" w:rsidR="001C1CE3" w:rsidRPr="009E50F7" w:rsidRDefault="00000000" w:rsidP="0064767C">
      <w:pPr>
        <w:pStyle w:val="JuPara"/>
        <w:rPr>
          <w:lang w:val="pl-PL"/>
        </w:rPr>
      </w:pPr>
      <w:r>
        <w:rPr>
          <w:lang w:val="pl"/>
        </w:rPr>
        <w:t xml:space="preserve">W 1996 r. została ona zmieniona w drodze trzeciej nowelizacji konstytucji (ustawa nr 115(I)/1996). Zgodnie z preambułą ustawy nr 115(I)/1996 zmiana ta wynikała z faktu, że parlament przyjął system proporcjonalny, który uznano za najbardziej zgodny z zasadami współczesnych demokracji </w:t>
      </w:r>
      <w:r>
        <w:rPr>
          <w:lang w:val="pl"/>
        </w:rPr>
        <w:lastRenderedPageBreak/>
        <w:t>i</w:t>
      </w:r>
      <w:r w:rsidR="009E50F7">
        <w:rPr>
          <w:lang w:val="pl"/>
        </w:rPr>
        <w:t> </w:t>
      </w:r>
      <w:r>
        <w:rPr>
          <w:lang w:val="pl"/>
        </w:rPr>
        <w:t>zapewniający bardziej sprawiedliwe odzwierciedlenie woli obywateli. W</w:t>
      </w:r>
      <w:r w:rsidR="009E50F7">
        <w:rPr>
          <w:lang w:val="pl"/>
        </w:rPr>
        <w:t> </w:t>
      </w:r>
      <w:r>
        <w:rPr>
          <w:lang w:val="pl"/>
        </w:rPr>
        <w:t>szczególności w art. 66 ust. 2 wprowadzono następujące zmiany:</w:t>
      </w:r>
    </w:p>
    <w:p w14:paraId="2096C99D" w14:textId="77777777" w:rsidR="001C1CE3" w:rsidRPr="009E50F7" w:rsidRDefault="00000000" w:rsidP="0064767C">
      <w:pPr>
        <w:pStyle w:val="JuQuot"/>
        <w:rPr>
          <w:lang w:val="pl-PL"/>
        </w:rPr>
      </w:pPr>
      <w:r>
        <w:rPr>
          <w:lang w:val="pl"/>
        </w:rPr>
        <w:t>„(2) Zwolniony mandat w parlamencie należy obsadzić w terminie nieprzekraczającym czterdziestu pięciu dni od momentu jego zwolnienia, w sposób przewidziany przez ustawę”.</w:t>
      </w:r>
    </w:p>
    <w:p w14:paraId="53C153BE" w14:textId="2CC16261" w:rsidR="001C1CE3" w:rsidRPr="009E50F7" w:rsidRDefault="00000000" w:rsidP="0064767C">
      <w:pPr>
        <w:pStyle w:val="JuPara"/>
        <w:rPr>
          <w:lang w:val="pl-PL"/>
        </w:rPr>
      </w:pPr>
      <w:r>
        <w:rPr>
          <w:lang w:val="pl"/>
        </w:rPr>
        <w:t xml:space="preserve">Ustawą mającą zastosowanie do celów art. 66 </w:t>
      </w:r>
      <w:r w:rsidR="00ED2E84">
        <w:rPr>
          <w:lang w:val="pl"/>
        </w:rPr>
        <w:t>K</w:t>
      </w:r>
      <w:r>
        <w:rPr>
          <w:lang w:val="pl"/>
        </w:rPr>
        <w:t xml:space="preserve">onstytucji było </w:t>
      </w:r>
      <w:r w:rsidR="00EF11E9">
        <w:rPr>
          <w:lang w:val="pl"/>
        </w:rPr>
        <w:t>P</w:t>
      </w:r>
      <w:r>
        <w:rPr>
          <w:lang w:val="pl"/>
        </w:rPr>
        <w:t xml:space="preserve">rawo </w:t>
      </w:r>
      <w:r w:rsidR="00EF11E9">
        <w:rPr>
          <w:lang w:val="pl"/>
        </w:rPr>
        <w:t>W</w:t>
      </w:r>
      <w:r>
        <w:rPr>
          <w:lang w:val="pl"/>
        </w:rPr>
        <w:t>yborcze.</w:t>
      </w:r>
    </w:p>
    <w:p w14:paraId="3AB67358" w14:textId="77777777" w:rsidR="001C1CE3" w:rsidRPr="009E50F7" w:rsidRDefault="00000000" w:rsidP="0064767C">
      <w:pPr>
        <w:pStyle w:val="JuPara"/>
        <w:rPr>
          <w:lang w:val="pl-PL"/>
        </w:rPr>
      </w:pPr>
      <w:r>
        <w:rPr>
          <w:lang w:val="pl"/>
        </w:rPr>
        <w:t xml:space="preserve">W 2019 r. art. 66 został ponownie zmieniony (zob. paragraf </w:t>
      </w:r>
      <w:r>
        <w:rPr>
          <w:lang w:val="pl"/>
        </w:rPr>
        <w:fldChar w:fldCharType="begin"/>
      </w:r>
      <w:r>
        <w:rPr>
          <w:lang w:val="pl"/>
        </w:rPr>
        <w:instrText xml:space="preserve"> REF FACTS_ConstitutionAmended \h  \* MERGEFORMAT </w:instrText>
      </w:r>
      <w:r>
        <w:rPr>
          <w:lang w:val="pl"/>
        </w:rPr>
      </w:r>
      <w:r>
        <w:rPr>
          <w:lang w:val="pl"/>
        </w:rPr>
        <w:fldChar w:fldCharType="separate"/>
      </w:r>
      <w:r>
        <w:rPr>
          <w:lang w:val="pl"/>
        </w:rPr>
        <w:t>25</w:t>
      </w:r>
      <w:r>
        <w:rPr>
          <w:lang w:val="pl"/>
        </w:rPr>
        <w:fldChar w:fldCharType="end"/>
      </w:r>
      <w:r>
        <w:rPr>
          <w:lang w:val="pl"/>
        </w:rPr>
        <w:t xml:space="preserve"> powyżej). W obecnym brzmieniu stanowi on, co następuje:</w:t>
      </w:r>
    </w:p>
    <w:p w14:paraId="0473D036" w14:textId="77777777" w:rsidR="001C1CE3" w:rsidRPr="009E50F7" w:rsidRDefault="00000000" w:rsidP="0064767C">
      <w:pPr>
        <w:pStyle w:val="JuQuot"/>
        <w:rPr>
          <w:lang w:val="pl-PL"/>
        </w:rPr>
      </w:pPr>
      <w:r>
        <w:rPr>
          <w:lang w:val="pl"/>
        </w:rPr>
        <w:t>„1. Wybory powszechne do Izby Reprezentantów odbywają się w drugą niedzielę miesiąca poprzedzającego bezpośrednio miesiąc, w którym wygasa kadencja ustępującej Izby.</w:t>
      </w:r>
    </w:p>
    <w:p w14:paraId="6A0767E7" w14:textId="0311E613" w:rsidR="001C1CE3" w:rsidRPr="009E50F7" w:rsidRDefault="00000000" w:rsidP="0064767C">
      <w:pPr>
        <w:pStyle w:val="JuQuot"/>
        <w:rPr>
          <w:lang w:val="pl-PL"/>
        </w:rPr>
      </w:pPr>
      <w:r>
        <w:rPr>
          <w:lang w:val="pl"/>
        </w:rPr>
        <w:t>2. (1) Mandat parlamentarny, z którego zrezygnowano (</w:t>
      </w:r>
      <w:r>
        <w:rPr>
          <w:i/>
          <w:iCs/>
          <w:lang w:val="pl"/>
        </w:rPr>
        <w:t>αποπ</w:t>
      </w:r>
      <w:proofErr w:type="spellStart"/>
      <w:r>
        <w:rPr>
          <w:i/>
          <w:iCs/>
          <w:lang w:val="pl"/>
        </w:rPr>
        <w:t>οιηθείσ</w:t>
      </w:r>
      <w:proofErr w:type="spellEnd"/>
      <w:r>
        <w:rPr>
          <w:i/>
          <w:iCs/>
          <w:lang w:val="pl"/>
        </w:rPr>
        <w:t>α</w:t>
      </w:r>
      <w:r>
        <w:rPr>
          <w:lang w:val="pl"/>
        </w:rPr>
        <w:t>), który nie został objęty (</w:t>
      </w:r>
      <w:proofErr w:type="spellStart"/>
      <w:r>
        <w:rPr>
          <w:i/>
          <w:iCs/>
          <w:lang w:val="pl"/>
        </w:rPr>
        <w:t>μη</w:t>
      </w:r>
      <w:proofErr w:type="spellEnd"/>
      <w:r>
        <w:rPr>
          <w:lang w:val="pl"/>
        </w:rPr>
        <w:t xml:space="preserve"> </w:t>
      </w:r>
      <w:r>
        <w:rPr>
          <w:i/>
          <w:iCs/>
          <w:lang w:val="pl"/>
        </w:rPr>
        <w:t>κατα</w:t>
      </w:r>
      <w:proofErr w:type="spellStart"/>
      <w:r>
        <w:rPr>
          <w:i/>
          <w:iCs/>
          <w:lang w:val="pl"/>
        </w:rPr>
        <w:t>ληφθείσ</w:t>
      </w:r>
      <w:proofErr w:type="spellEnd"/>
      <w:r>
        <w:rPr>
          <w:i/>
          <w:iCs/>
          <w:lang w:val="pl"/>
        </w:rPr>
        <w:t>α</w:t>
      </w:r>
      <w:r>
        <w:rPr>
          <w:lang w:val="pl"/>
        </w:rPr>
        <w:t>) lub który został zwolniony (</w:t>
      </w:r>
      <w:proofErr w:type="spellStart"/>
      <w:r>
        <w:rPr>
          <w:i/>
          <w:iCs/>
          <w:lang w:val="pl"/>
        </w:rPr>
        <w:t>κενωθείσ</w:t>
      </w:r>
      <w:proofErr w:type="spellEnd"/>
      <w:r>
        <w:rPr>
          <w:i/>
          <w:iCs/>
          <w:lang w:val="pl"/>
        </w:rPr>
        <w:t>α</w:t>
      </w:r>
      <w:r>
        <w:rPr>
          <w:lang w:val="pl"/>
        </w:rPr>
        <w:t>), obsadza się w</w:t>
      </w:r>
      <w:r w:rsidR="009E50F7">
        <w:rPr>
          <w:lang w:val="pl"/>
        </w:rPr>
        <w:t> </w:t>
      </w:r>
      <w:r>
        <w:rPr>
          <w:lang w:val="pl"/>
        </w:rPr>
        <w:t>sposób przewidziany przez ustawę.</w:t>
      </w:r>
    </w:p>
    <w:p w14:paraId="392A0347" w14:textId="79C7DA2D" w:rsidR="001C1CE3" w:rsidRPr="009E50F7" w:rsidRDefault="00000000" w:rsidP="0064767C">
      <w:pPr>
        <w:pStyle w:val="JuQuot"/>
        <w:ind w:left="567" w:firstLine="153"/>
        <w:rPr>
          <w:lang w:val="pl-PL"/>
        </w:rPr>
      </w:pPr>
      <w:r>
        <w:rPr>
          <w:lang w:val="pl"/>
        </w:rPr>
        <w:t xml:space="preserve">(2) </w:t>
      </w:r>
      <w:r w:rsidR="00482C07">
        <w:rPr>
          <w:lang w:val="pl"/>
        </w:rPr>
        <w:t xml:space="preserve">punkt </w:t>
      </w:r>
      <w:r>
        <w:rPr>
          <w:lang w:val="pl"/>
        </w:rPr>
        <w:t>1 ma zastosowanie w odniesieniu do mandatu parlamentarnego, z którego zrezygnowano, którego nie objęto lub który zwolniono w dniu wejścia w życie dwunastej nowelizacji konstytucji z 2019 r. lub po tej dacie.</w:t>
      </w:r>
    </w:p>
    <w:p w14:paraId="1BCC8606" w14:textId="77777777" w:rsidR="001C1CE3" w:rsidRPr="009E50F7" w:rsidRDefault="00000000" w:rsidP="0064767C">
      <w:pPr>
        <w:pStyle w:val="JuQuot"/>
        <w:ind w:left="567" w:firstLine="153"/>
        <w:rPr>
          <w:lang w:val="pl-PL"/>
        </w:rPr>
      </w:pPr>
      <w:r>
        <w:rPr>
          <w:lang w:val="pl"/>
        </w:rPr>
        <w:t>(3) [...]”</w:t>
      </w:r>
    </w:p>
    <w:bookmarkStart w:id="19" w:name="CONSTITUTION_A69_affirmation"/>
    <w:p w14:paraId="103E55BF"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40</w:t>
      </w:r>
      <w:r>
        <w:rPr>
          <w:lang w:val="pl"/>
        </w:rPr>
        <w:fldChar w:fldCharType="end"/>
      </w:r>
      <w:bookmarkEnd w:id="19"/>
      <w:r>
        <w:rPr>
          <w:lang w:val="pl"/>
        </w:rPr>
        <w:t>.  Art. 69 stanowi, że przed objęciem stanowiska poseł musi złożyć ślubowanie podczas publicznego posiedzenia parlamentu.</w:t>
      </w:r>
    </w:p>
    <w:bookmarkStart w:id="20" w:name="CONSTITUTION_A71_vacated_seat"/>
    <w:p w14:paraId="426C3164"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41</w:t>
      </w:r>
      <w:r>
        <w:rPr>
          <w:lang w:val="pl"/>
        </w:rPr>
        <w:fldChar w:fldCharType="end"/>
      </w:r>
      <w:bookmarkEnd w:id="20"/>
      <w:r>
        <w:rPr>
          <w:lang w:val="pl"/>
        </w:rPr>
        <w:t>.  W 2019 r. w art. 71 wprowadzono zmianę polegającą na dodaniu drugiego ustępu. W obecnym brzmieniu stanowi on, co następuje:</w:t>
      </w:r>
    </w:p>
    <w:p w14:paraId="4BAF9B39" w14:textId="77777777" w:rsidR="001C1CE3" w:rsidRPr="009E50F7" w:rsidRDefault="00000000" w:rsidP="0064767C">
      <w:pPr>
        <w:pStyle w:val="JuQuot"/>
        <w:rPr>
          <w:lang w:val="pl-PL"/>
        </w:rPr>
      </w:pPr>
      <w:r>
        <w:rPr>
          <w:lang w:val="pl"/>
        </w:rPr>
        <w:t>„(1) Mandat posła zostaje zwolniony:</w:t>
      </w:r>
    </w:p>
    <w:p w14:paraId="2AE2C801" w14:textId="77777777" w:rsidR="001C1CE3" w:rsidRPr="009E50F7" w:rsidRDefault="00000000" w:rsidP="0064767C">
      <w:pPr>
        <w:pStyle w:val="JuQuot"/>
        <w:rPr>
          <w:lang w:val="pl-PL"/>
        </w:rPr>
      </w:pPr>
      <w:r>
        <w:rPr>
          <w:lang w:val="pl"/>
        </w:rPr>
        <w:t>a) w przypadku jego śmierci;</w:t>
      </w:r>
    </w:p>
    <w:p w14:paraId="591F9039" w14:textId="77777777" w:rsidR="001C1CE3" w:rsidRPr="009E50F7" w:rsidRDefault="00000000" w:rsidP="0064767C">
      <w:pPr>
        <w:pStyle w:val="JuQuot"/>
        <w:rPr>
          <w:lang w:val="pl-PL"/>
        </w:rPr>
      </w:pPr>
      <w:r>
        <w:rPr>
          <w:lang w:val="pl"/>
        </w:rPr>
        <w:t>b) w wyniku złożenia pisemnej rezygnacji;</w:t>
      </w:r>
    </w:p>
    <w:p w14:paraId="2AECCDF3" w14:textId="77777777" w:rsidR="001C1CE3" w:rsidRPr="009E50F7" w:rsidRDefault="00000000" w:rsidP="0064767C">
      <w:pPr>
        <w:pStyle w:val="JuQuot"/>
        <w:rPr>
          <w:lang w:val="pl-PL"/>
        </w:rPr>
      </w:pPr>
      <w:r>
        <w:rPr>
          <w:lang w:val="pl"/>
        </w:rPr>
        <w:t>c) w przypadku wystąpienia którejkolwiek z okoliczności, o których mowa w art. 64 lit. c) i d), lub w przypadku utraty przez niego obywatelstwa Republiki; lub</w:t>
      </w:r>
    </w:p>
    <w:p w14:paraId="59A5A4B0" w14:textId="77777777" w:rsidR="001C1CE3" w:rsidRPr="009E50F7" w:rsidRDefault="00000000" w:rsidP="0064767C">
      <w:pPr>
        <w:pStyle w:val="JuQuot"/>
        <w:rPr>
          <w:lang w:val="pl-PL"/>
        </w:rPr>
      </w:pPr>
      <w:r>
        <w:rPr>
          <w:lang w:val="pl"/>
        </w:rPr>
        <w:t>d) w przypadku objęcia przez niego stanowiska, o którym mowa w art. 70.</w:t>
      </w:r>
    </w:p>
    <w:p w14:paraId="42ABE3BB" w14:textId="434303F4" w:rsidR="001C1CE3" w:rsidRPr="009E50F7" w:rsidRDefault="00000000" w:rsidP="0064767C">
      <w:pPr>
        <w:pStyle w:val="JuQuot"/>
        <w:rPr>
          <w:lang w:val="pl-PL"/>
        </w:rPr>
      </w:pPr>
      <w:r>
        <w:rPr>
          <w:lang w:val="pl"/>
        </w:rPr>
        <w:t>(2) Uznaje się, że zrzeczono się mandatu parlamentarnego lub nie objęto go w</w:t>
      </w:r>
      <w:r w:rsidR="009E50F7">
        <w:rPr>
          <w:lang w:val="pl"/>
        </w:rPr>
        <w:t> </w:t>
      </w:r>
      <w:r>
        <w:rPr>
          <w:lang w:val="pl"/>
        </w:rPr>
        <w:t>przypadku, gdy wybrany kandydat przed ogłoszeniem go posłem umrze lub zdecyduje się nie skorzystać z prawa do ogłoszenia go posłem, albo gdy po ogłoszeniu go posłem, a przed złożeniem ślubowania, zgodnie z art. 69, umrze lub zdecyduje się nie objąć stanowiska”.</w:t>
      </w:r>
    </w:p>
    <w:bookmarkStart w:id="21" w:name="CONSTITUTION_A145"/>
    <w:p w14:paraId="574C5712" w14:textId="64873230"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42</w:t>
      </w:r>
      <w:r>
        <w:rPr>
          <w:lang w:val="pl"/>
        </w:rPr>
        <w:fldChar w:fldCharType="end"/>
      </w:r>
      <w:bookmarkEnd w:id="21"/>
      <w:r>
        <w:rPr>
          <w:lang w:val="pl"/>
        </w:rPr>
        <w:t>.  Zgodnie z art. 145 Sąd Wyborczy, który przejął uprawnienia Najwyższego Sądu Konstytucyjnego, posiada wyłączną właściwość w</w:t>
      </w:r>
      <w:r w:rsidR="009E50F7">
        <w:rPr>
          <w:lang w:val="pl"/>
        </w:rPr>
        <w:t> </w:t>
      </w:r>
      <w:r>
        <w:rPr>
          <w:lang w:val="pl"/>
        </w:rPr>
        <w:t>przedmiocie ostatecznego rozstrzygania wszelkich skarg wyborczych wniesionych na podstawie przepisów prawa wyborczego, dotyczących między innymi wyborów posłów.</w:t>
      </w:r>
    </w:p>
    <w:p w14:paraId="26B53B16" w14:textId="7B6A246A" w:rsidR="001C1CE3" w:rsidRPr="009E50F7" w:rsidRDefault="00000000" w:rsidP="0064767C">
      <w:pPr>
        <w:pStyle w:val="JuHIRoman"/>
        <w:rPr>
          <w:lang w:val="pl-PL"/>
        </w:rPr>
      </w:pPr>
      <w:r>
        <w:rPr>
          <w:bCs w:val="0"/>
          <w:caps w:val="0"/>
          <w:lang w:val="pl"/>
        </w:rPr>
        <w:lastRenderedPageBreak/>
        <w:t>USTAWA O WYBORACH CZŁONKÓW IZBY REPREZENTANTÓW Z 1979 R. – USTAWA NR 72/1979 (Z</w:t>
      </w:r>
      <w:r w:rsidR="009E50F7">
        <w:rPr>
          <w:bCs w:val="0"/>
          <w:caps w:val="0"/>
          <w:lang w:val="pl"/>
        </w:rPr>
        <w:t> </w:t>
      </w:r>
      <w:r>
        <w:rPr>
          <w:bCs w:val="0"/>
          <w:caps w:val="0"/>
          <w:lang w:val="pl"/>
        </w:rPr>
        <w:t>PÓŹNIEJSZYMI ZMIANAMI – „PRAWO WYBORCZE”)</w:t>
      </w:r>
    </w:p>
    <w:bookmarkStart w:id="22" w:name="ELECTIONLAW_S35_A"/>
    <w:p w14:paraId="11A883E7" w14:textId="7B2E8EFC"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43</w:t>
      </w:r>
      <w:r>
        <w:rPr>
          <w:lang w:val="pl"/>
        </w:rPr>
        <w:fldChar w:fldCharType="end"/>
      </w:r>
      <w:bookmarkEnd w:id="22"/>
      <w:r>
        <w:rPr>
          <w:lang w:val="pl"/>
        </w:rPr>
        <w:t xml:space="preserve">.  Art. 2 </w:t>
      </w:r>
      <w:r w:rsidR="00B41620">
        <w:rPr>
          <w:lang w:val="pl"/>
        </w:rPr>
        <w:t>P</w:t>
      </w:r>
      <w:r>
        <w:rPr>
          <w:lang w:val="pl"/>
        </w:rPr>
        <w:t xml:space="preserve">rawa </w:t>
      </w:r>
      <w:r w:rsidR="00B41620">
        <w:rPr>
          <w:lang w:val="pl"/>
        </w:rPr>
        <w:t>W</w:t>
      </w:r>
      <w:r>
        <w:rPr>
          <w:lang w:val="pl"/>
        </w:rPr>
        <w:t>yborczego stanowi, w zakresie istotnym dla sprawy, co następuje:</w:t>
      </w:r>
    </w:p>
    <w:p w14:paraId="08D8DE48" w14:textId="77777777" w:rsidR="001C1CE3" w:rsidRPr="009E50F7" w:rsidRDefault="00000000" w:rsidP="0064767C">
      <w:pPr>
        <w:pStyle w:val="JuQuot"/>
        <w:rPr>
          <w:lang w:val="pl-PL"/>
        </w:rPr>
      </w:pPr>
      <w:r>
        <w:rPr>
          <w:lang w:val="pl"/>
        </w:rPr>
        <w:t>„»wybory uzupełniające« oznaczają wybory mające na celu obsadzenie zwolnionego mandatu w Izbie Reprezentantów;</w:t>
      </w:r>
    </w:p>
    <w:p w14:paraId="02D42DD4" w14:textId="77777777" w:rsidR="001C1CE3" w:rsidRPr="009E50F7" w:rsidRDefault="00000000" w:rsidP="0064767C">
      <w:pPr>
        <w:pStyle w:val="JuQuot"/>
        <w:rPr>
          <w:lang w:val="pl-PL"/>
        </w:rPr>
      </w:pPr>
      <w:r>
        <w:rPr>
          <w:lang w:val="pl"/>
        </w:rPr>
        <w:t>»wybory powszechne« oznaczają wybory mające na celu obsadzenie wszystkich mandatów w Izbie Reprezentantów;</w:t>
      </w:r>
    </w:p>
    <w:p w14:paraId="20EEBDF0" w14:textId="77777777" w:rsidR="001C1CE3" w:rsidRPr="009E50F7" w:rsidRDefault="00000000" w:rsidP="0064767C">
      <w:pPr>
        <w:pStyle w:val="JuQuot"/>
        <w:rPr>
          <w:lang w:val="pl-PL"/>
        </w:rPr>
      </w:pPr>
      <w:r>
        <w:rPr>
          <w:lang w:val="pl"/>
        </w:rPr>
        <w:t>»wybory« oznaczają wszelkie wybory mające na celu wybór członka Izby Reprezentantów, w tym wybory uzupełniające i wybory powszechne”.</w:t>
      </w:r>
    </w:p>
    <w:bookmarkStart w:id="23" w:name="ELECTIONLAW_S32"/>
    <w:p w14:paraId="01F96235"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44</w:t>
      </w:r>
      <w:r>
        <w:rPr>
          <w:lang w:val="pl"/>
        </w:rPr>
        <w:fldChar w:fldCharType="end"/>
      </w:r>
      <w:bookmarkEnd w:id="23"/>
      <w:r>
        <w:rPr>
          <w:lang w:val="pl"/>
        </w:rPr>
        <w:t>.  Art. 32 stanowi, co następuje:</w:t>
      </w:r>
    </w:p>
    <w:p w14:paraId="57393058" w14:textId="77777777" w:rsidR="001C1CE3" w:rsidRPr="009E50F7" w:rsidRDefault="00000000" w:rsidP="0064767C">
      <w:pPr>
        <w:pStyle w:val="JuHArticle"/>
        <w:rPr>
          <w:bCs/>
          <w:lang w:val="pl-PL"/>
        </w:rPr>
      </w:pPr>
      <w:r>
        <w:rPr>
          <w:bCs/>
          <w:lang w:val="pl"/>
        </w:rPr>
        <w:t>Artykuł 32 – Pierwszy podział mandatów</w:t>
      </w:r>
    </w:p>
    <w:p w14:paraId="48007670" w14:textId="77777777" w:rsidR="001C1CE3" w:rsidRPr="009E50F7" w:rsidRDefault="00000000" w:rsidP="0064767C">
      <w:pPr>
        <w:pStyle w:val="JuQuot"/>
        <w:rPr>
          <w:lang w:val="pl-PL"/>
        </w:rPr>
      </w:pPr>
      <w:r>
        <w:rPr>
          <w:lang w:val="pl"/>
        </w:rPr>
        <w:t>„(1) Po zamknięciu lokali wyborczych komisarz wyborczy każdego okręgu wyborczego przystępuje do gromadzenia i klasyfikowania wyników wyborów w swoim okręgu zgodnie z określoną procedurą.</w:t>
      </w:r>
    </w:p>
    <w:p w14:paraId="54CC88B1" w14:textId="59C0FC75" w:rsidR="001C1CE3" w:rsidRPr="009E50F7" w:rsidRDefault="00000000" w:rsidP="0064767C">
      <w:pPr>
        <w:pStyle w:val="JuQuot"/>
        <w:rPr>
          <w:lang w:val="pl-PL"/>
        </w:rPr>
      </w:pPr>
      <w:r>
        <w:rPr>
          <w:lang w:val="pl"/>
        </w:rPr>
        <w:t>(2) Komisarz wyborczy – niezwłocznie po zebraniu i sklasyfikowaniu wyników wyborów w swoim okręgu wyborczym – przystępuje do pierwszego podziału mandatów oraz ogłoszenia kandydatów, którzy zostali wybrani, zgodnie z</w:t>
      </w:r>
      <w:r w:rsidR="009E50F7">
        <w:rPr>
          <w:lang w:val="pl"/>
        </w:rPr>
        <w:t> </w:t>
      </w:r>
      <w:r>
        <w:rPr>
          <w:lang w:val="pl"/>
        </w:rPr>
        <w:t>postanowieniami niniejszego artykułu.</w:t>
      </w:r>
    </w:p>
    <w:p w14:paraId="45A4DE9E" w14:textId="0FF21955" w:rsidR="001C1CE3" w:rsidRPr="009E50F7" w:rsidRDefault="00000000" w:rsidP="0064767C">
      <w:pPr>
        <w:pStyle w:val="JuQuot"/>
        <w:rPr>
          <w:lang w:val="pl-PL"/>
        </w:rPr>
      </w:pPr>
      <w:r>
        <w:rPr>
          <w:lang w:val="pl"/>
        </w:rPr>
        <w:t>Poświadczony odpis wyżej wymienionego dokumentu, zawierający informacje o</w:t>
      </w:r>
      <w:r w:rsidR="009E50F7">
        <w:rPr>
          <w:lang w:val="pl"/>
        </w:rPr>
        <w:t> ł</w:t>
      </w:r>
      <w:r>
        <w:rPr>
          <w:lang w:val="pl"/>
        </w:rPr>
        <w:t xml:space="preserve">ącznej liczbie </w:t>
      </w:r>
      <w:r w:rsidR="009E50F7">
        <w:rPr>
          <w:lang w:val="pl"/>
        </w:rPr>
        <w:t>niewykorzystanych</w:t>
      </w:r>
      <w:r>
        <w:rPr>
          <w:lang w:val="pl"/>
        </w:rPr>
        <w:t xml:space="preserve"> głosów pozostałych w jego okręgu wyborczym, przypadających na uczestniczące partie, koalicje (</w:t>
      </w:r>
      <w:proofErr w:type="spellStart"/>
      <w:r>
        <w:rPr>
          <w:i/>
          <w:iCs/>
          <w:lang w:val="pl"/>
        </w:rPr>
        <w:t>συν</w:t>
      </w:r>
      <w:proofErr w:type="spellEnd"/>
      <w:r>
        <w:rPr>
          <w:i/>
          <w:iCs/>
          <w:lang w:val="pl"/>
        </w:rPr>
        <w:t>ασπισμό</w:t>
      </w:r>
      <w:r>
        <w:rPr>
          <w:lang w:val="pl"/>
        </w:rPr>
        <w:t>) partii, wspólne listy wyborcze/grupy (</w:t>
      </w:r>
      <w:proofErr w:type="spellStart"/>
      <w:r>
        <w:rPr>
          <w:i/>
          <w:iCs/>
          <w:lang w:val="pl"/>
        </w:rPr>
        <w:t>συνδυ</w:t>
      </w:r>
      <w:proofErr w:type="spellEnd"/>
      <w:r>
        <w:rPr>
          <w:i/>
          <w:iCs/>
          <w:lang w:val="pl"/>
        </w:rPr>
        <w:t>ασμό</w:t>
      </w:r>
      <w:r>
        <w:rPr>
          <w:lang w:val="pl"/>
        </w:rPr>
        <w:t xml:space="preserve">) kandydatów niezależnych oraz poszczególnych kandydatów niezależnych, należy niezwłocznie przesłać do </w:t>
      </w:r>
      <w:r w:rsidR="001A32B1">
        <w:rPr>
          <w:lang w:val="pl"/>
        </w:rPr>
        <w:t>G</w:t>
      </w:r>
      <w:r>
        <w:rPr>
          <w:lang w:val="pl"/>
        </w:rPr>
        <w:t xml:space="preserve">łównego </w:t>
      </w:r>
      <w:r w:rsidR="001A32B1">
        <w:rPr>
          <w:lang w:val="pl"/>
        </w:rPr>
        <w:t>K</w:t>
      </w:r>
      <w:r>
        <w:rPr>
          <w:lang w:val="pl"/>
        </w:rPr>
        <w:t xml:space="preserve">omisarza </w:t>
      </w:r>
      <w:r w:rsidR="001A32B1">
        <w:rPr>
          <w:lang w:val="pl"/>
        </w:rPr>
        <w:t>W</w:t>
      </w:r>
      <w:r>
        <w:rPr>
          <w:lang w:val="pl"/>
        </w:rPr>
        <w:t>yborczego (</w:t>
      </w:r>
      <w:proofErr w:type="spellStart"/>
      <w:r>
        <w:rPr>
          <w:i/>
          <w:iCs/>
          <w:lang w:val="pl"/>
        </w:rPr>
        <w:t>Γενικό</w:t>
      </w:r>
      <w:proofErr w:type="spellEnd"/>
      <w:r>
        <w:rPr>
          <w:i/>
          <w:iCs/>
          <w:lang w:val="pl"/>
        </w:rPr>
        <w:t xml:space="preserve"> </w:t>
      </w:r>
      <w:proofErr w:type="spellStart"/>
      <w:r>
        <w:rPr>
          <w:i/>
          <w:iCs/>
          <w:lang w:val="pl"/>
        </w:rPr>
        <w:t>Eφopo</w:t>
      </w:r>
      <w:proofErr w:type="spellEnd"/>
      <w:r>
        <w:rPr>
          <w:i/>
          <w:iCs/>
          <w:lang w:val="pl"/>
        </w:rPr>
        <w:t xml:space="preserve"> </w:t>
      </w:r>
      <w:proofErr w:type="spellStart"/>
      <w:r>
        <w:rPr>
          <w:i/>
          <w:iCs/>
          <w:lang w:val="pl"/>
        </w:rPr>
        <w:t>Εκλογής</w:t>
      </w:r>
      <w:proofErr w:type="spellEnd"/>
      <w:r>
        <w:rPr>
          <w:lang w:val="pl"/>
        </w:rPr>
        <w:t>) przy użyciu najbezpieczniejszej metody.</w:t>
      </w:r>
    </w:p>
    <w:p w14:paraId="60FD37F3" w14:textId="61275C16" w:rsidR="001C1CE3" w:rsidRPr="009E50F7" w:rsidRDefault="00000000" w:rsidP="0064767C">
      <w:pPr>
        <w:pStyle w:val="JuQuot"/>
        <w:rPr>
          <w:lang w:val="pl-PL"/>
        </w:rPr>
      </w:pPr>
      <w:r>
        <w:rPr>
          <w:lang w:val="pl"/>
        </w:rPr>
        <w:t>(3) W tym celu całkowitą liczbę ważnych głosów oddanych w okręgu wyborczym dzieli się przez liczbę mandatów przyznanych temu okręgowi. Wynik tego dzielenia – z pominięciem ułamków – stanowi kwotę wyborczą, przez którą należy podzielić liczbę głosów uzyskanych przez każdą grupę/wspólną listę wyborczą, czyli całkowitą liczbę ważnych głosów oddanych na nią w okręgu wyborczym, a każda grupa/wspólna lista wyborcza otrzyma tyle mandatów, ile razy kwota wyborcza mieści się w całości w</w:t>
      </w:r>
      <w:r w:rsidR="009E50F7">
        <w:rPr>
          <w:lang w:val="pl"/>
        </w:rPr>
        <w:t> </w:t>
      </w:r>
      <w:r>
        <w:rPr>
          <w:lang w:val="pl"/>
        </w:rPr>
        <w:t>liczbie uzyskanych przez nią głosów.</w:t>
      </w:r>
    </w:p>
    <w:p w14:paraId="6D585C56" w14:textId="77777777" w:rsidR="001C1CE3" w:rsidRPr="009E50F7" w:rsidRDefault="00000000" w:rsidP="0064767C">
      <w:pPr>
        <w:pStyle w:val="JuQuot"/>
        <w:rPr>
          <w:lang w:val="pl-PL"/>
        </w:rPr>
      </w:pPr>
      <w:r>
        <w:rPr>
          <w:lang w:val="pl"/>
        </w:rPr>
        <w:t>W okręgu wyborczym, w którym wybiera się tylko jednego posła do Izby Reprezentantów, mandat przyznaje się partii lub koalicji partii, która uzyskała większość względną, albo kandydatowi niezależnemu lub grupie kandydatów niezależnych, którzy uzyskali większość względną.</w:t>
      </w:r>
    </w:p>
    <w:p w14:paraId="71DB4121" w14:textId="77777777" w:rsidR="001C1CE3" w:rsidRPr="009E50F7" w:rsidRDefault="00000000" w:rsidP="0064767C">
      <w:pPr>
        <w:pStyle w:val="JuQuot"/>
        <w:rPr>
          <w:lang w:val="pl-PL"/>
        </w:rPr>
      </w:pPr>
      <w:r>
        <w:rPr>
          <w:lang w:val="pl"/>
        </w:rPr>
        <w:t>Kandydat niezależny, który uzyska liczbę głosów równą progowi wyborczemu lub większą od niego, otrzymuje jedno miejsce.</w:t>
      </w:r>
    </w:p>
    <w:p w14:paraId="035E92CB" w14:textId="54FBB4C4" w:rsidR="001C1CE3" w:rsidRPr="009E50F7" w:rsidRDefault="00000000" w:rsidP="0064767C">
      <w:pPr>
        <w:pStyle w:val="JuQuot"/>
        <w:rPr>
          <w:lang w:val="pl-PL"/>
        </w:rPr>
      </w:pPr>
      <w:r>
        <w:rPr>
          <w:lang w:val="pl"/>
        </w:rPr>
        <w:t>(4) Mandaty przyznane każdej grupie/wspólnej liście wyborczej zgodnie z</w:t>
      </w:r>
      <w:r w:rsidR="009E50F7">
        <w:rPr>
          <w:lang w:val="pl"/>
        </w:rPr>
        <w:t> </w:t>
      </w:r>
      <w:r>
        <w:rPr>
          <w:lang w:val="pl"/>
        </w:rPr>
        <w:t>powyższymi przepisami zajmują kandydaci, którzy – w kolejności malejącej – uzyskali największą liczbę głosów preferencyjnych, a w przypadku braku takich kandydatów – w kolejności, w jakiej zostali wymienieni na karcie do głosowania.</w:t>
      </w:r>
    </w:p>
    <w:p w14:paraId="5E321657" w14:textId="77777777" w:rsidR="001C1CE3" w:rsidRPr="009E50F7" w:rsidRDefault="00000000" w:rsidP="0064767C">
      <w:pPr>
        <w:pStyle w:val="JuQuot"/>
        <w:rPr>
          <w:lang w:val="pl-PL"/>
        </w:rPr>
      </w:pPr>
      <w:r>
        <w:rPr>
          <w:lang w:val="pl"/>
        </w:rPr>
        <w:lastRenderedPageBreak/>
        <w:t>W przypadku remisu między dwoma lub więcej kandydatami z danej grupy/wspólnej listy wyborczej, a liczba mandatów przyznanych tej grupie/wspólnej liście wyborczej jest mniejsza niż liczba kandydatów, którzy uzyskali taką samą liczbę głosów (</w:t>
      </w:r>
      <w:proofErr w:type="spellStart"/>
      <w:r>
        <w:rPr>
          <w:i/>
          <w:iCs/>
          <w:lang w:val="pl"/>
        </w:rPr>
        <w:t>ισοψηφησάντων</w:t>
      </w:r>
      <w:proofErr w:type="spellEnd"/>
      <w:r>
        <w:rPr>
          <w:lang w:val="pl"/>
        </w:rPr>
        <w:t>), o wyniku decyduje losowanie (</w:t>
      </w:r>
      <w:proofErr w:type="spellStart"/>
      <w:r>
        <w:rPr>
          <w:i/>
          <w:iCs/>
          <w:lang w:val="pl"/>
        </w:rPr>
        <w:t>κλήρωση</w:t>
      </w:r>
      <w:proofErr w:type="spellEnd"/>
      <w:r>
        <w:rPr>
          <w:lang w:val="pl"/>
        </w:rPr>
        <w:t>) przeprowadzone przez przewodniczącego komisji wyborczej w obecności kandydatów, a kandydat, którego nazwisko zostanie wylosowane, zostanie ogłoszony członkiem Izby Reprezentantów.</w:t>
      </w:r>
    </w:p>
    <w:p w14:paraId="428FE1F8" w14:textId="77777777" w:rsidR="001C1CE3" w:rsidRPr="009E50F7" w:rsidRDefault="00000000" w:rsidP="0064767C">
      <w:pPr>
        <w:pStyle w:val="JuQuot"/>
        <w:rPr>
          <w:lang w:val="pl-PL"/>
        </w:rPr>
      </w:pPr>
      <w:r>
        <w:rPr>
          <w:lang w:val="pl"/>
        </w:rPr>
        <w:t>Grupa lub wspólna lista wyborcza, w skład której wchodzi mniej kandydatów niż wynosi liczba mandatów przyznanych jej w okręgu wyborczym na mocy niniejszego artykułu, otrzymuje tylko tyle mandatów, ilu ma kandydatów.</w:t>
      </w:r>
    </w:p>
    <w:p w14:paraId="24DCC32F" w14:textId="18474343" w:rsidR="001C1CE3" w:rsidRPr="009E50F7" w:rsidRDefault="00000000" w:rsidP="0064767C">
      <w:pPr>
        <w:pStyle w:val="JuQuot"/>
        <w:rPr>
          <w:lang w:val="pl-PL"/>
        </w:rPr>
      </w:pPr>
      <w:r>
        <w:rPr>
          <w:lang w:val="pl"/>
        </w:rPr>
        <w:t xml:space="preserve">(5) Główny </w:t>
      </w:r>
      <w:r w:rsidR="001A32B1">
        <w:rPr>
          <w:lang w:val="pl"/>
        </w:rPr>
        <w:t>K</w:t>
      </w:r>
      <w:r>
        <w:rPr>
          <w:lang w:val="pl"/>
        </w:rPr>
        <w:t xml:space="preserve">omisarz </w:t>
      </w:r>
      <w:r w:rsidR="001A32B1">
        <w:rPr>
          <w:lang w:val="pl"/>
        </w:rPr>
        <w:t>W</w:t>
      </w:r>
      <w:r>
        <w:rPr>
          <w:lang w:val="pl"/>
        </w:rPr>
        <w:t>yborczy sporządza – na podstawie protokołów sporządzonych przez komisarzy wyborczych – tabelę wyników (</w:t>
      </w:r>
      <w:proofErr w:type="spellStart"/>
      <w:r>
        <w:rPr>
          <w:i/>
          <w:iCs/>
          <w:lang w:val="pl"/>
        </w:rPr>
        <w:t>συντάσσει</w:t>
      </w:r>
      <w:proofErr w:type="spellEnd"/>
      <w:r>
        <w:rPr>
          <w:i/>
          <w:iCs/>
          <w:lang w:val="pl"/>
        </w:rPr>
        <w:t xml:space="preserve"> π</w:t>
      </w:r>
      <w:proofErr w:type="spellStart"/>
      <w:r>
        <w:rPr>
          <w:i/>
          <w:iCs/>
          <w:lang w:val="pl"/>
        </w:rPr>
        <w:t>ίν</w:t>
      </w:r>
      <w:proofErr w:type="spellEnd"/>
      <w:r>
        <w:rPr>
          <w:i/>
          <w:iCs/>
          <w:lang w:val="pl"/>
        </w:rPr>
        <w:t>ακα</w:t>
      </w:r>
      <w:r>
        <w:rPr>
          <w:lang w:val="pl"/>
        </w:rPr>
        <w:t>) dla każdego okręgu wyborczego, zawierającą:</w:t>
      </w:r>
    </w:p>
    <w:p w14:paraId="44389E9E" w14:textId="77777777" w:rsidR="001C1CE3" w:rsidRPr="009E50F7" w:rsidRDefault="00000000" w:rsidP="0064767C">
      <w:pPr>
        <w:pStyle w:val="JuQuot"/>
        <w:rPr>
          <w:lang w:val="pl-PL"/>
        </w:rPr>
      </w:pPr>
      <w:r>
        <w:rPr>
          <w:lang w:val="pl"/>
        </w:rPr>
        <w:t>a) liczbę wyborców w okręgu wyborczym;</w:t>
      </w:r>
    </w:p>
    <w:p w14:paraId="4B29E43F" w14:textId="77777777" w:rsidR="001C1CE3" w:rsidRPr="009E50F7" w:rsidRDefault="00000000" w:rsidP="0064767C">
      <w:pPr>
        <w:pStyle w:val="JuQuot"/>
        <w:rPr>
          <w:lang w:val="pl-PL"/>
        </w:rPr>
      </w:pPr>
      <w:r>
        <w:rPr>
          <w:lang w:val="pl"/>
        </w:rPr>
        <w:t>b) łączną liczbę wyborców, którzy oddali głos w tym okręgu;</w:t>
      </w:r>
    </w:p>
    <w:p w14:paraId="21261E5A" w14:textId="77777777" w:rsidR="001C1CE3" w:rsidRPr="009E50F7" w:rsidRDefault="00000000" w:rsidP="0064767C">
      <w:pPr>
        <w:pStyle w:val="JuQuot"/>
        <w:rPr>
          <w:lang w:val="pl-PL"/>
        </w:rPr>
      </w:pPr>
      <w:r>
        <w:rPr>
          <w:lang w:val="pl"/>
        </w:rPr>
        <w:t>c) liczbę ważnych kart do głosowania;</w:t>
      </w:r>
    </w:p>
    <w:p w14:paraId="4E6737E3" w14:textId="77777777" w:rsidR="001C1CE3" w:rsidRPr="009E50F7" w:rsidRDefault="00000000" w:rsidP="0064767C">
      <w:pPr>
        <w:pStyle w:val="JuQuot"/>
        <w:rPr>
          <w:lang w:val="pl-PL"/>
        </w:rPr>
      </w:pPr>
      <w:r>
        <w:rPr>
          <w:lang w:val="pl"/>
        </w:rPr>
        <w:t>c1) liczbę pustych kart do głosowania uznanych za nieważne;</w:t>
      </w:r>
    </w:p>
    <w:p w14:paraId="68D7ED75" w14:textId="77777777" w:rsidR="001C1CE3" w:rsidRPr="009E50F7" w:rsidRDefault="00000000" w:rsidP="0064767C">
      <w:pPr>
        <w:pStyle w:val="JuQuot"/>
        <w:rPr>
          <w:lang w:val="pl-PL"/>
        </w:rPr>
      </w:pPr>
      <w:r>
        <w:rPr>
          <w:lang w:val="pl"/>
        </w:rPr>
        <w:t>Na potrzeby niniejszego podpunktu termin „pusta karta do głosowania” ma znaczenie nadane mu w art. 31 ust. 5.</w:t>
      </w:r>
    </w:p>
    <w:p w14:paraId="3EBD9438" w14:textId="77777777" w:rsidR="001C1CE3" w:rsidRPr="009E50F7" w:rsidRDefault="00000000" w:rsidP="0064767C">
      <w:pPr>
        <w:pStyle w:val="JuQuot"/>
        <w:rPr>
          <w:lang w:val="pl-PL"/>
        </w:rPr>
      </w:pPr>
      <w:r>
        <w:rPr>
          <w:lang w:val="pl"/>
        </w:rPr>
        <w:t>d) liczbę nieważnych kart do głosowania;</w:t>
      </w:r>
    </w:p>
    <w:p w14:paraId="09EC05B5" w14:textId="77777777" w:rsidR="001C1CE3" w:rsidRPr="009E50F7" w:rsidRDefault="00000000" w:rsidP="0064767C">
      <w:pPr>
        <w:pStyle w:val="JuQuot"/>
        <w:rPr>
          <w:lang w:val="pl-PL"/>
        </w:rPr>
      </w:pPr>
      <w:r>
        <w:rPr>
          <w:lang w:val="pl"/>
        </w:rPr>
        <w:t>e) poparcie wyborcze dla każdej grupy/wspólnej listy wyborczej oraz dla każdego kandydata niezależnego, to znaczy łączną liczbę ważnych głosów oddanych na każdego kandydata w okręgu wyborczym;</w:t>
      </w:r>
    </w:p>
    <w:p w14:paraId="3EA3B0AB" w14:textId="77777777" w:rsidR="001C1CE3" w:rsidRPr="009E50F7" w:rsidRDefault="00000000" w:rsidP="0064767C">
      <w:pPr>
        <w:pStyle w:val="JuQuot"/>
        <w:rPr>
          <w:lang w:val="pl-PL"/>
        </w:rPr>
      </w:pPr>
      <w:r>
        <w:rPr>
          <w:lang w:val="pl"/>
        </w:rPr>
        <w:t>f) liczbę mandatów przyznanych w ramach pierwszego podziału/przydziału każdej grupie/wspólnej liście wyborczej oraz kandydatowi niezależnemu, wraz z podaniem liczby kandydatów wchodzących w skład każdej grupy/koalicji;</w:t>
      </w:r>
    </w:p>
    <w:p w14:paraId="28BD67A4" w14:textId="77777777" w:rsidR="001C1CE3" w:rsidRPr="009E50F7" w:rsidRDefault="00000000" w:rsidP="0064767C">
      <w:pPr>
        <w:pStyle w:val="JuQuot"/>
        <w:rPr>
          <w:lang w:val="pl-PL"/>
        </w:rPr>
      </w:pPr>
      <w:r>
        <w:rPr>
          <w:lang w:val="pl"/>
        </w:rPr>
        <w:t>g) łączną liczbę mandatów pozostałych do przydzielenia w okręgu wyborczym po pierwszym podziale/przydziale; oraz</w:t>
      </w:r>
    </w:p>
    <w:p w14:paraId="053DB80D" w14:textId="77777777" w:rsidR="001C1CE3" w:rsidRPr="009E50F7" w:rsidRDefault="00000000" w:rsidP="0064767C">
      <w:pPr>
        <w:pStyle w:val="JuQuot"/>
        <w:rPr>
          <w:lang w:val="pl-PL"/>
        </w:rPr>
      </w:pPr>
      <w:r>
        <w:rPr>
          <w:lang w:val="pl"/>
        </w:rPr>
        <w:t>h) łączną pozostałą liczbę niewykorzystanych głosów z pierwszego podziału, w skali całej Republiki, przypadającą na partie, koalicje partii, ugrupowania/wspólne listy wyborcze kandydatów niezależnych oraz poszczególnych kandydatów niezależnych biorących udział w wyborach.</w:t>
      </w:r>
    </w:p>
    <w:p w14:paraId="2BCA8A6A" w14:textId="77777777" w:rsidR="001C1CE3" w:rsidRPr="009E50F7" w:rsidRDefault="00000000" w:rsidP="0064767C">
      <w:pPr>
        <w:pStyle w:val="JuQuot"/>
        <w:rPr>
          <w:lang w:val="pl-PL"/>
        </w:rPr>
      </w:pPr>
      <w:r>
        <w:rPr>
          <w:lang w:val="pl"/>
        </w:rPr>
        <w:t>Podczas sporządzania list może być obecny jeden przedstawiciel każdej grupy/wspólnej listy wyborczej oraz kandydaci niezależni”.</w:t>
      </w:r>
    </w:p>
    <w:bookmarkStart w:id="24" w:name="ELECTIONLAW_S33_second_distribution"/>
    <w:p w14:paraId="142CC71F" w14:textId="45A5BA0C"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45</w:t>
      </w:r>
      <w:r>
        <w:rPr>
          <w:lang w:val="pl"/>
        </w:rPr>
        <w:fldChar w:fldCharType="end"/>
      </w:r>
      <w:bookmarkEnd w:id="24"/>
      <w:r>
        <w:rPr>
          <w:lang w:val="pl"/>
        </w:rPr>
        <w:t>.  W art. 33 określono drugi podział mandatów parlamentarnych, jak następuje</w:t>
      </w:r>
      <w:r w:rsidR="00EB3E99">
        <w:rPr>
          <w:lang w:val="pl"/>
        </w:rPr>
        <w:t>:</w:t>
      </w:r>
    </w:p>
    <w:p w14:paraId="14DFB619" w14:textId="53064B37" w:rsidR="001C1CE3" w:rsidRPr="009E50F7" w:rsidRDefault="00465EAB" w:rsidP="0064767C">
      <w:pPr>
        <w:pStyle w:val="JuHArticle"/>
        <w:rPr>
          <w:lang w:val="pl-PL"/>
        </w:rPr>
      </w:pPr>
      <w:r>
        <w:rPr>
          <w:bCs/>
          <w:lang w:val="pl"/>
        </w:rPr>
        <w:t xml:space="preserve"> Artykuł </w:t>
      </w:r>
      <w:r w:rsidR="00000000">
        <w:rPr>
          <w:bCs/>
          <w:lang w:val="pl"/>
        </w:rPr>
        <w:t>33 – Drugi podział mandatów</w:t>
      </w:r>
    </w:p>
    <w:p w14:paraId="65599BA5" w14:textId="5F688B33" w:rsidR="001C1CE3" w:rsidRPr="009E50F7" w:rsidRDefault="00000000" w:rsidP="0064767C">
      <w:pPr>
        <w:pStyle w:val="JuQuot"/>
        <w:rPr>
          <w:lang w:val="pl-PL"/>
        </w:rPr>
      </w:pPr>
      <w:r>
        <w:rPr>
          <w:lang w:val="pl"/>
        </w:rPr>
        <w:t xml:space="preserve">„(1) Jeżeli po podziale/przydziale mandatów w poszczególnych okręgach wyborczych, dokonanym zgodnie z przepisami art. 32, pozostaną mandaty nieprzydzielone (w tym mandaty nieprzydzielone na mocy art. 32 ust. 4), </w:t>
      </w:r>
      <w:r w:rsidR="001A32B1">
        <w:rPr>
          <w:lang w:val="pl"/>
        </w:rPr>
        <w:t>G</w:t>
      </w:r>
      <w:r>
        <w:rPr>
          <w:lang w:val="pl"/>
        </w:rPr>
        <w:t xml:space="preserve">łówny </w:t>
      </w:r>
      <w:r w:rsidR="001A32B1">
        <w:rPr>
          <w:lang w:val="pl"/>
        </w:rPr>
        <w:t>K</w:t>
      </w:r>
      <w:r>
        <w:rPr>
          <w:lang w:val="pl"/>
        </w:rPr>
        <w:t xml:space="preserve">omisarz </w:t>
      </w:r>
      <w:r w:rsidR="001A32B1">
        <w:rPr>
          <w:lang w:val="pl"/>
        </w:rPr>
        <w:t>W</w:t>
      </w:r>
      <w:r>
        <w:rPr>
          <w:lang w:val="pl"/>
        </w:rPr>
        <w:t>yborczy dokonuje podziału tych mandatów na terenie całej Republiki, traktując ją jako jeden okręg wyborczy.</w:t>
      </w:r>
    </w:p>
    <w:p w14:paraId="39B4FC7B" w14:textId="77777777" w:rsidR="001C1CE3" w:rsidRPr="009E50F7" w:rsidRDefault="00000000" w:rsidP="0064767C">
      <w:pPr>
        <w:pStyle w:val="JuQuot"/>
        <w:rPr>
          <w:lang w:val="pl-PL"/>
        </w:rPr>
      </w:pPr>
      <w:r>
        <w:rPr>
          <w:lang w:val="pl"/>
        </w:rPr>
        <w:lastRenderedPageBreak/>
        <w:t>(2) a) Z zastrzeżeniem postanowień ust. 2 lit. c), podział mandatów nieprzydzielonych na podstawie ust. 1 następuje pomiędzy niezależne partie lub koalicje partii, które uzyskały:</w:t>
      </w:r>
    </w:p>
    <w:p w14:paraId="6F46D7F7" w14:textId="77777777" w:rsidR="001C1CE3" w:rsidRPr="009E50F7" w:rsidRDefault="00000000" w:rsidP="0064767C">
      <w:pPr>
        <w:pStyle w:val="JuQuot"/>
        <w:rPr>
          <w:lang w:val="pl-PL"/>
        </w:rPr>
      </w:pPr>
      <w:r>
        <w:rPr>
          <w:lang w:val="pl"/>
        </w:rPr>
        <w:t>(i) partie niezależne – co najmniej 3,6 % wszystkich ważnych głosów oddanych na całym terytorium Republiki;</w:t>
      </w:r>
    </w:p>
    <w:p w14:paraId="0BD82468" w14:textId="77777777" w:rsidR="001C1CE3" w:rsidRPr="009E50F7" w:rsidRDefault="00000000" w:rsidP="0064767C">
      <w:pPr>
        <w:pStyle w:val="JuQuot"/>
        <w:rPr>
          <w:lang w:val="pl-PL"/>
        </w:rPr>
      </w:pPr>
      <w:r>
        <w:rPr>
          <w:lang w:val="pl"/>
        </w:rPr>
        <w:t>(ii) koalicje dwóch partii: co najmniej 10 %; oraz</w:t>
      </w:r>
    </w:p>
    <w:p w14:paraId="7DF95F0D" w14:textId="77777777" w:rsidR="001C1CE3" w:rsidRPr="009E50F7" w:rsidRDefault="00000000" w:rsidP="0064767C">
      <w:pPr>
        <w:pStyle w:val="JuQuot"/>
        <w:rPr>
          <w:lang w:val="pl-PL"/>
        </w:rPr>
      </w:pPr>
      <w:r>
        <w:rPr>
          <w:lang w:val="pl"/>
        </w:rPr>
        <w:t>(iii) koalicje więcej niż dwóch partii: co najmniej 20 %.</w:t>
      </w:r>
    </w:p>
    <w:p w14:paraId="62C07B8B" w14:textId="4E3066B7" w:rsidR="001C1CE3" w:rsidRPr="009E50F7" w:rsidRDefault="00000000" w:rsidP="0064767C">
      <w:pPr>
        <w:pStyle w:val="JuQuot"/>
        <w:rPr>
          <w:lang w:val="pl-PL"/>
        </w:rPr>
      </w:pPr>
      <w:r>
        <w:rPr>
          <w:lang w:val="pl"/>
        </w:rPr>
        <w:t>b) Jeżeli tylko jedna partia lub jedna koalicja osiągnęła określone powyżej progi procentowe, uczestniczy ona w drugim podziale/przydziale mandatów wraz z kolejną pod względem poparcia wyborczego partią niezależną, pod warunkiem</w:t>
      </w:r>
      <w:r w:rsidR="00465EAB">
        <w:rPr>
          <w:lang w:val="pl"/>
        </w:rPr>
        <w:t>,</w:t>
      </w:r>
      <w:r>
        <w:rPr>
          <w:lang w:val="pl"/>
        </w:rPr>
        <w:t xml:space="preserve"> że jej wynik procentowy jest wyższy od wyniku każdej z poszczególnych partii wchodzących w</w:t>
      </w:r>
      <w:r w:rsidR="009E50F7">
        <w:rPr>
          <w:lang w:val="pl"/>
        </w:rPr>
        <w:t> </w:t>
      </w:r>
      <w:r>
        <w:rPr>
          <w:lang w:val="pl"/>
        </w:rPr>
        <w:t>skład koalicji. W przeciwnym razie w drugim podziale mandatów bierze udział koalicja partii, która uzyskała najwyższy średni odsetek poparcia wyborczego (obliczony poprzez podzielenie łącznego odsetka poparcia koalicji przez liczbę uczestniczących partii).</w:t>
      </w:r>
    </w:p>
    <w:p w14:paraId="0D506D39" w14:textId="5B0910A6" w:rsidR="001C1CE3" w:rsidRPr="009E50F7" w:rsidRDefault="00000000" w:rsidP="0064767C">
      <w:pPr>
        <w:pStyle w:val="JuQuot"/>
        <w:rPr>
          <w:lang w:val="pl-PL"/>
        </w:rPr>
      </w:pPr>
      <w:r>
        <w:rPr>
          <w:lang w:val="pl"/>
        </w:rPr>
        <w:t>Jeżeli żadna partia ani żadna koalicja partii nie uzyskała odpowiednich procentowych wyników określonych powyżej, w drugim podziale/przydziale mandatów uczestniczą jedynie dwie partie, albo jedna partia i koalicja partii, albo dwie koalicje partii. [Do udziału dopuszcza się te partie/koalicje], których wynik wyborczy nie osiągnął odpowiedniego minimalnego progu dla drugiego podziału mandatów, a różnica w</w:t>
      </w:r>
      <w:r w:rsidR="009E50F7">
        <w:rPr>
          <w:lang w:val="pl"/>
        </w:rPr>
        <w:t> </w:t>
      </w:r>
      <w:r>
        <w:rPr>
          <w:lang w:val="pl"/>
        </w:rPr>
        <w:t>stosunku do tego progu jest najmniejsza.</w:t>
      </w:r>
    </w:p>
    <w:p w14:paraId="617AE27F" w14:textId="77777777" w:rsidR="001C1CE3" w:rsidRPr="009E50F7" w:rsidRDefault="00000000" w:rsidP="0064767C">
      <w:pPr>
        <w:pStyle w:val="JuQuot"/>
        <w:rPr>
          <w:lang w:val="pl-PL"/>
        </w:rPr>
      </w:pPr>
      <w:r>
        <w:rPr>
          <w:lang w:val="pl"/>
        </w:rPr>
        <w:t>c) Niezależnie od postanowień lit. a) i b) powyżej, niezależne partie biorące udział w drugim podziale/przydziale mandatów mają prawo do drugiego mandatu otrzymanego w wyniku tego podziału/przydziału tylko wtedy, gdy uzyskały co najmniej 3,6 % wszystkich ważnych głosów oddanych na całym terytorium Republiki.</w:t>
      </w:r>
    </w:p>
    <w:p w14:paraId="42500438" w14:textId="77777777" w:rsidR="001C1CE3" w:rsidRPr="009E50F7" w:rsidRDefault="00000000" w:rsidP="0064767C">
      <w:pPr>
        <w:pStyle w:val="JuQuot"/>
        <w:rPr>
          <w:lang w:val="pl-PL"/>
        </w:rPr>
      </w:pPr>
      <w:r>
        <w:rPr>
          <w:lang w:val="pl"/>
        </w:rPr>
        <w:t>(3) Na potrzeby drugiego podziału należy zsumować łączne niewykorzystane pozostałe głosy z pierwszego podziału wszystkich partii i koalicji partii uczestniczących w drugim podziale na terenie całej Republiki. Wynik tej sumy należy podzielić przez liczbę mandatów, które nie zostały jeszcze przydzielone. Wynik tego dzielenia – z pominięciem ułamków – stanowi kwotę wyborczą dla drugiego podziału.</w:t>
      </w:r>
    </w:p>
    <w:p w14:paraId="12BEA945" w14:textId="77777777" w:rsidR="001C1CE3" w:rsidRPr="009E50F7" w:rsidRDefault="00000000" w:rsidP="0064767C">
      <w:pPr>
        <w:pStyle w:val="JuQuot"/>
        <w:rPr>
          <w:lang w:val="pl-PL"/>
        </w:rPr>
      </w:pPr>
      <w:r>
        <w:rPr>
          <w:lang w:val="pl"/>
        </w:rPr>
        <w:t>Ponadto, z wykorzystaniem tej kwoty wyborczej, łączna suma niewykorzystanych pozostałych głosów z pierwszego podziału/przydziału wszystkich partii i koalicji partii uczestniczących w drugim podziale na terenie całej Republiki zostanie podzielona oddzielnie, a iloraz każdego z tych podziałów – ponownie z pominięciem ułamków – wskaże liczbę mandatów, jaką każda partia lub koalicja partii otrzyma w drugim podziale/przydziale.</w:t>
      </w:r>
    </w:p>
    <w:p w14:paraId="37707623" w14:textId="77777777" w:rsidR="001C1CE3" w:rsidRPr="009E50F7" w:rsidRDefault="00000000" w:rsidP="0064767C">
      <w:pPr>
        <w:pStyle w:val="JuQuot"/>
        <w:rPr>
          <w:lang w:val="pl-PL"/>
        </w:rPr>
      </w:pPr>
      <w:r>
        <w:rPr>
          <w:lang w:val="pl"/>
        </w:rPr>
        <w:t>(4) Mandaty przydzielone każdej partii na mocy ust. 3 rozdziela się w następujący sposób:</w:t>
      </w:r>
    </w:p>
    <w:p w14:paraId="7070EDC9" w14:textId="2E0B2B33" w:rsidR="001C1CE3" w:rsidRPr="009E50F7" w:rsidRDefault="00000000" w:rsidP="0064767C">
      <w:pPr>
        <w:pStyle w:val="JuQuot"/>
        <w:rPr>
          <w:lang w:val="pl-PL"/>
        </w:rPr>
      </w:pPr>
      <w:r>
        <w:rPr>
          <w:lang w:val="pl"/>
        </w:rPr>
        <w:t>a) Jeżeli w ramach drugiego podziału ma zostać przyznany tylko jeden mandat, przyznaje się go grupie/wspólnej liście wyborczej uprawnionej do jego otrzymania w</w:t>
      </w:r>
      <w:r w:rsidR="009E50F7">
        <w:rPr>
          <w:lang w:val="pl"/>
        </w:rPr>
        <w:t> </w:t>
      </w:r>
      <w:r>
        <w:rPr>
          <w:lang w:val="pl"/>
        </w:rPr>
        <w:t>okręgu wyborczym, do którego ten mandat należy;</w:t>
      </w:r>
    </w:p>
    <w:p w14:paraId="375F2664" w14:textId="77777777" w:rsidR="001C1CE3" w:rsidRPr="009E50F7" w:rsidRDefault="00000000" w:rsidP="0064767C">
      <w:pPr>
        <w:pStyle w:val="JuQuot"/>
        <w:rPr>
          <w:lang w:val="pl-PL"/>
        </w:rPr>
      </w:pPr>
      <w:r>
        <w:rPr>
          <w:lang w:val="pl"/>
        </w:rPr>
        <w:t>b) Jeżeli w ramach drugiego podziału ma zostać przyznany więcej niż jeden mandat, a wszystkie te mandaty zostaną przyznane jednej partii lub koalicji partii, przydziela się je grupom/wspólnym listom wyborczym tej partii lub koalicji partii, w zależności od przypadku, w okręgach wyborczych, do których te mandaty należą. Jeżeli mandaty te zostaną przyznane więcej niż jednej partii lub koalicji partii, rozdziela się je między tymi partiami lub koalicjami w następujący sposób:</w:t>
      </w:r>
    </w:p>
    <w:p w14:paraId="5850933B" w14:textId="77777777" w:rsidR="001C1CE3" w:rsidRPr="009E50F7" w:rsidRDefault="00000000" w:rsidP="0064767C">
      <w:pPr>
        <w:pStyle w:val="JuQuot"/>
        <w:rPr>
          <w:lang w:val="pl-PL"/>
        </w:rPr>
      </w:pPr>
      <w:r>
        <w:rPr>
          <w:lang w:val="pl"/>
        </w:rPr>
        <w:lastRenderedPageBreak/>
        <w:t>Partie lub koalicje partii uprawnione do mandatów zostaną uszeregowane według liczby niewykorzystanych głosów pozostałych z pierwszego podziału/przydziału mandatów w całej Republice, gdzie partie lub ich koalicje z największą niewykorzystaną pozostałą liczbą głosów zajmą pierwsze miejsce.</w:t>
      </w:r>
    </w:p>
    <w:p w14:paraId="262D3486" w14:textId="77777777" w:rsidR="001C1CE3" w:rsidRPr="009E50F7" w:rsidRDefault="00000000" w:rsidP="0064767C">
      <w:pPr>
        <w:pStyle w:val="JuQuot"/>
        <w:rPr>
          <w:lang w:val="pl-PL"/>
        </w:rPr>
      </w:pPr>
      <w:r>
        <w:rPr>
          <w:lang w:val="pl"/>
        </w:rPr>
        <w:t>Następnie w każdym okręgu wyborczym, w którym pozostały nieprzydzielone mandaty, należy określić niewykorzystane pozostałe głosy z pierwszego podziału/przydziału dla każdej grupy/wspólnej listy wyborczej lub koalicji partii uczestniczących w drugim podziale/przydziale. Mandaty z drugiego podziału/przydziału zostaną przyznane, po jednym, grupom lub koalicjom partii uprawnionym do ich otrzymania, w następujący sposób:</w:t>
      </w:r>
    </w:p>
    <w:p w14:paraId="2F44B659" w14:textId="5D110E34" w:rsidR="001C1CE3" w:rsidRPr="009E50F7" w:rsidRDefault="00000000" w:rsidP="0064767C">
      <w:pPr>
        <w:pStyle w:val="JuQuot"/>
        <w:rPr>
          <w:lang w:val="pl-PL"/>
        </w:rPr>
      </w:pPr>
      <w:r>
        <w:rPr>
          <w:lang w:val="pl"/>
        </w:rPr>
        <w:t>Zaczynając od partii lub koalicji partii, która uzyskała najwyższą niewykorzystaną liczbę pozostałych głosów w pierwszym podziale mandatów w całej Republice, pierwszy z dostępnych przyznaje się tej partii/wspólnej liście wyborczej w okręgu wyborczym, w którym uzyskała ona najwyższą niewykorzystaną pozostałą liczbę głosów, pod warunkiem</w:t>
      </w:r>
      <w:r w:rsidR="00E6274A">
        <w:rPr>
          <w:lang w:val="pl"/>
        </w:rPr>
        <w:t>,</w:t>
      </w:r>
      <w:r>
        <w:rPr>
          <w:lang w:val="pl"/>
        </w:rPr>
        <w:t xml:space="preserve"> że w okręgu tym pozostaje mandat do przydzielenia. W</w:t>
      </w:r>
      <w:r w:rsidR="009E50F7">
        <w:rPr>
          <w:lang w:val="pl"/>
        </w:rPr>
        <w:t> </w:t>
      </w:r>
      <w:r>
        <w:rPr>
          <w:lang w:val="pl"/>
        </w:rPr>
        <w:t>przeciwnym razie mandat ten zostanie przyznany okręgowi wyborczemu, w którym dana partia lub koalicja partii uzyskała kolejną najwyższą niewykorzystaną pozostałą liczbę głosów.</w:t>
      </w:r>
    </w:p>
    <w:p w14:paraId="7A143A9D" w14:textId="77777777" w:rsidR="001C1CE3" w:rsidRPr="009E50F7" w:rsidRDefault="00000000" w:rsidP="0064767C">
      <w:pPr>
        <w:pStyle w:val="JuQuot"/>
        <w:rPr>
          <w:lang w:val="pl-PL"/>
        </w:rPr>
      </w:pPr>
      <w:r>
        <w:rPr>
          <w:lang w:val="pl"/>
        </w:rPr>
        <w:t>Proces ten należy powtarzać kolejno w odniesieniu do partii lub koalicji partii, która uzyskała drugą co do wielkości niewykorzystaną liczbę głosów pozostałą w pierwszym podziale/przydziale, a następnie w odniesieniu do pozostałych partii lub koalicji partii, w zależności od przypadku, aż do zakończenia ustalania kolejności wszystkich partii i koalicji partii uczestniczących w drugim podziale/przydziale. Następnie proces ten należy powtórzyć, zaczynając od okręgu wyborczego, w którym dana partia lub grupa partii posiada kolejną najwyższą niewykorzystaną pozostałą liczbę głosów, i tak dalej, kontynuując w tej samej kolejności, aż do wyczerpania całkowitej liczby mandatów, do których każda partia lub koalicja partii ma prawo w ramach drugiego podziału/przydziału.</w:t>
      </w:r>
    </w:p>
    <w:p w14:paraId="75198168" w14:textId="65E1CE25" w:rsidR="001C1CE3" w:rsidRPr="009E50F7" w:rsidRDefault="00000000" w:rsidP="0064767C">
      <w:pPr>
        <w:pStyle w:val="JuQuot"/>
        <w:rPr>
          <w:lang w:val="pl-PL"/>
        </w:rPr>
      </w:pPr>
      <w:r>
        <w:rPr>
          <w:lang w:val="pl"/>
        </w:rPr>
        <w:t>c) Wszelkie mandaty pozostałe do przydzielenia po drugim podziale/przydziale (w</w:t>
      </w:r>
      <w:r w:rsidR="009E50F7">
        <w:rPr>
          <w:lang w:val="pl"/>
        </w:rPr>
        <w:t> </w:t>
      </w:r>
      <w:r>
        <w:rPr>
          <w:lang w:val="pl"/>
        </w:rPr>
        <w:t>tym te, które nie zostały przydzielone na mocy lit. d)) przyznaje się, po kolei, partii lub koalicji partii, która uzyskała najwyższą niewykorzystaną liczbę głosów pozostałą z drugiego podziału/przydziału, pod warunkiem</w:t>
      </w:r>
      <w:r w:rsidR="00E6274A">
        <w:rPr>
          <w:lang w:val="pl"/>
        </w:rPr>
        <w:t>,</w:t>
      </w:r>
      <w:r>
        <w:rPr>
          <w:lang w:val="pl"/>
        </w:rPr>
        <w:t xml:space="preserve"> że partia ta uzyskała co najmniej 7,2 % ogółu ważnych głosów na całym terytorium Republiki, a koalicja partii uzyskała wyniki procentowe określone w ust. (2). [Mandaty te] przyznaje się grupom partii lub koalicjom partii, które są do nich uprawnione zgodnie z postanowieniami lit. b), w</w:t>
      </w:r>
      <w:r w:rsidR="009E50F7">
        <w:rPr>
          <w:lang w:val="pl"/>
        </w:rPr>
        <w:t> </w:t>
      </w:r>
      <w:r>
        <w:rPr>
          <w:lang w:val="pl"/>
        </w:rPr>
        <w:t>sposób proporcjonalny.</w:t>
      </w:r>
    </w:p>
    <w:p w14:paraId="6E867408" w14:textId="77777777" w:rsidR="001C1CE3" w:rsidRPr="009E50F7" w:rsidRDefault="00000000" w:rsidP="0064767C">
      <w:pPr>
        <w:pStyle w:val="JuQuot"/>
        <w:rPr>
          <w:lang w:val="pl-PL"/>
        </w:rPr>
      </w:pPr>
      <w:r>
        <w:rPr>
          <w:lang w:val="pl"/>
        </w:rPr>
        <w:t>d) Mandaty przydzielone każdej partii na mocy niniejszego artykułu obejmują jej kandydaci zgodnie z art. 32 ust. 4”.</w:t>
      </w:r>
    </w:p>
    <w:bookmarkStart w:id="25" w:name="ELECTIONLAW_S34"/>
    <w:p w14:paraId="371E3D7C" w14:textId="4DBCB1D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46</w:t>
      </w:r>
      <w:r>
        <w:rPr>
          <w:lang w:val="pl"/>
        </w:rPr>
        <w:fldChar w:fldCharType="end"/>
      </w:r>
      <w:bookmarkEnd w:id="25"/>
      <w:r>
        <w:rPr>
          <w:lang w:val="pl"/>
        </w:rPr>
        <w:t xml:space="preserve">.  Art. 34 </w:t>
      </w:r>
      <w:r w:rsidR="00005217">
        <w:rPr>
          <w:lang w:val="pl"/>
        </w:rPr>
        <w:t>P</w:t>
      </w:r>
      <w:r>
        <w:rPr>
          <w:lang w:val="pl"/>
        </w:rPr>
        <w:t xml:space="preserve">rawa </w:t>
      </w:r>
      <w:r w:rsidR="00005217">
        <w:rPr>
          <w:lang w:val="pl"/>
        </w:rPr>
        <w:t>W</w:t>
      </w:r>
      <w:r>
        <w:rPr>
          <w:lang w:val="pl"/>
        </w:rPr>
        <w:t>yborczego reguluje kwestię ogłaszania przez GKW wyników wyborów posłów, jak następuje:</w:t>
      </w:r>
    </w:p>
    <w:p w14:paraId="1E298B27" w14:textId="77777777" w:rsidR="001C1CE3" w:rsidRPr="009E50F7" w:rsidRDefault="00000000" w:rsidP="0064767C">
      <w:pPr>
        <w:pStyle w:val="JuHArticle"/>
        <w:rPr>
          <w:bCs/>
          <w:lang w:val="pl-PL"/>
        </w:rPr>
      </w:pPr>
      <w:r>
        <w:rPr>
          <w:bCs/>
          <w:lang w:val="pl"/>
        </w:rPr>
        <w:t>Artykuł 34 – Ogłoszenie wyboru posła</w:t>
      </w:r>
    </w:p>
    <w:p w14:paraId="3ACC071F" w14:textId="1DE3191E" w:rsidR="001C1CE3" w:rsidRPr="009E50F7" w:rsidRDefault="00000000" w:rsidP="0064767C">
      <w:pPr>
        <w:pStyle w:val="JuQuot"/>
        <w:rPr>
          <w:lang w:val="pl-PL"/>
        </w:rPr>
      </w:pPr>
      <w:r>
        <w:rPr>
          <w:lang w:val="pl"/>
        </w:rPr>
        <w:t xml:space="preserve">„(1) Główny </w:t>
      </w:r>
      <w:r w:rsidR="006120BE">
        <w:rPr>
          <w:lang w:val="pl"/>
        </w:rPr>
        <w:t>K</w:t>
      </w:r>
      <w:r>
        <w:rPr>
          <w:lang w:val="pl"/>
        </w:rPr>
        <w:t xml:space="preserve">omisarz </w:t>
      </w:r>
      <w:r w:rsidR="006120BE">
        <w:rPr>
          <w:lang w:val="pl"/>
        </w:rPr>
        <w:t>W</w:t>
      </w:r>
      <w:r>
        <w:rPr>
          <w:lang w:val="pl"/>
        </w:rPr>
        <w:t>yborczy, po zakończeniu podziału/przydziału mandatów oraz ustaleniu listy wybranych kandydatów, ogłasza ich nazwiska</w:t>
      </w:r>
      <w:r w:rsidR="006120BE">
        <w:rPr>
          <w:lang w:val="pl"/>
        </w:rPr>
        <w:t xml:space="preserve"> indywidualnie </w:t>
      </w:r>
      <w:r>
        <w:rPr>
          <w:lang w:val="pl"/>
        </w:rPr>
        <w:t>i</w:t>
      </w:r>
      <w:r w:rsidR="009E50F7">
        <w:rPr>
          <w:lang w:val="pl"/>
        </w:rPr>
        <w:t> </w:t>
      </w:r>
      <w:r>
        <w:rPr>
          <w:lang w:val="pl"/>
        </w:rPr>
        <w:t>publikuje je w Dzienniku Urzędowym Republiki.</w:t>
      </w:r>
    </w:p>
    <w:p w14:paraId="403A13B1" w14:textId="22B3BE43" w:rsidR="001C1CE3" w:rsidRPr="009E50F7" w:rsidRDefault="00000000" w:rsidP="0064767C">
      <w:pPr>
        <w:pStyle w:val="JuQuot"/>
        <w:rPr>
          <w:lang w:val="pl-PL"/>
        </w:rPr>
      </w:pPr>
      <w:r>
        <w:rPr>
          <w:lang w:val="pl"/>
        </w:rPr>
        <w:t xml:space="preserve">(2) Główny </w:t>
      </w:r>
      <w:r w:rsidR="006120BE">
        <w:rPr>
          <w:lang w:val="pl"/>
        </w:rPr>
        <w:t>K</w:t>
      </w:r>
      <w:r>
        <w:rPr>
          <w:lang w:val="pl"/>
        </w:rPr>
        <w:t xml:space="preserve">omisarz </w:t>
      </w:r>
      <w:r w:rsidR="006120BE">
        <w:rPr>
          <w:lang w:val="pl"/>
        </w:rPr>
        <w:t>W</w:t>
      </w:r>
      <w:r>
        <w:rPr>
          <w:lang w:val="pl"/>
        </w:rPr>
        <w:t xml:space="preserve">yborczy poświadcza następnie, na każdym akcie wyborczym przekazanym mu przez poszczególnych komisarzy wyborczych w celu przekazania go </w:t>
      </w:r>
      <w:r w:rsidR="00CA0D74">
        <w:rPr>
          <w:lang w:val="pl"/>
        </w:rPr>
        <w:t>M</w:t>
      </w:r>
      <w:r>
        <w:rPr>
          <w:lang w:val="pl"/>
        </w:rPr>
        <w:t>inistrowi [</w:t>
      </w:r>
      <w:r w:rsidR="00CA0D74">
        <w:rPr>
          <w:lang w:val="pl"/>
        </w:rPr>
        <w:t>S</w:t>
      </w:r>
      <w:r>
        <w:rPr>
          <w:lang w:val="pl"/>
        </w:rPr>
        <w:t xml:space="preserve">praw </w:t>
      </w:r>
      <w:r w:rsidR="00CA0D74">
        <w:rPr>
          <w:lang w:val="pl"/>
        </w:rPr>
        <w:t>W</w:t>
      </w:r>
      <w:r>
        <w:rPr>
          <w:lang w:val="pl"/>
        </w:rPr>
        <w:t xml:space="preserve">ewnętrznych], poszczególne wyniki wyborów oraz nazwiska </w:t>
      </w:r>
      <w:r>
        <w:rPr>
          <w:lang w:val="pl"/>
        </w:rPr>
        <w:lastRenderedPageBreak/>
        <w:t xml:space="preserve">wybranych członków Izby Reprezentantów, a następnie przesyła dokument </w:t>
      </w:r>
      <w:r w:rsidR="00CA0D74">
        <w:rPr>
          <w:lang w:val="pl"/>
        </w:rPr>
        <w:t>M</w:t>
      </w:r>
      <w:r>
        <w:rPr>
          <w:lang w:val="pl"/>
        </w:rPr>
        <w:t>inistrowi [</w:t>
      </w:r>
      <w:r w:rsidR="00CA0D74">
        <w:rPr>
          <w:lang w:val="pl"/>
        </w:rPr>
        <w:t>S</w:t>
      </w:r>
      <w:r>
        <w:rPr>
          <w:lang w:val="pl"/>
        </w:rPr>
        <w:t xml:space="preserve">praw </w:t>
      </w:r>
      <w:r w:rsidR="00CA0D74">
        <w:rPr>
          <w:lang w:val="pl"/>
        </w:rPr>
        <w:t>W</w:t>
      </w:r>
      <w:r>
        <w:rPr>
          <w:lang w:val="pl"/>
        </w:rPr>
        <w:t>ewnętrznych]”.</w:t>
      </w:r>
    </w:p>
    <w:p w14:paraId="0F124891" w14:textId="66D013F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47</w:t>
      </w:r>
      <w:r>
        <w:rPr>
          <w:noProof/>
          <w:lang w:val="pl"/>
        </w:rPr>
        <w:fldChar w:fldCharType="end"/>
      </w:r>
      <w:r>
        <w:rPr>
          <w:lang w:val="pl"/>
        </w:rPr>
        <w:t xml:space="preserve">.  Art. 35 </w:t>
      </w:r>
      <w:r w:rsidR="008E6CAA">
        <w:rPr>
          <w:lang w:val="pl"/>
        </w:rPr>
        <w:t>P</w:t>
      </w:r>
      <w:r>
        <w:rPr>
          <w:lang w:val="pl"/>
        </w:rPr>
        <w:t xml:space="preserve">rawa </w:t>
      </w:r>
      <w:r w:rsidR="008E6CAA">
        <w:rPr>
          <w:lang w:val="pl"/>
        </w:rPr>
        <w:t>W</w:t>
      </w:r>
      <w:r>
        <w:rPr>
          <w:lang w:val="pl"/>
        </w:rPr>
        <w:t>yborczego, zmieniony w drodze nowelizacji z 1996 r. (ustawa nr 118(I)/1996), stanowił, co następuje:</w:t>
      </w:r>
    </w:p>
    <w:p w14:paraId="4B769F4B" w14:textId="77777777" w:rsidR="001C1CE3" w:rsidRPr="009E50F7" w:rsidRDefault="00000000" w:rsidP="0064767C">
      <w:pPr>
        <w:pStyle w:val="JuHArticle"/>
        <w:rPr>
          <w:lang w:val="pl-PL"/>
        </w:rPr>
      </w:pPr>
      <w:r>
        <w:rPr>
          <w:bCs/>
          <w:lang w:val="pl"/>
        </w:rPr>
        <w:t xml:space="preserve">Artykuł 35 – Obsadzenie zwolnionego mandatu parlamentarnego </w:t>
      </w:r>
    </w:p>
    <w:p w14:paraId="20C9D810" w14:textId="08A9F7DA" w:rsidR="001C1CE3" w:rsidRPr="009E50F7" w:rsidRDefault="00000000" w:rsidP="0064767C">
      <w:pPr>
        <w:pStyle w:val="JuQuot"/>
        <w:rPr>
          <w:lang w:val="pl-PL"/>
        </w:rPr>
      </w:pPr>
      <w:r>
        <w:rPr>
          <w:lang w:val="pl"/>
        </w:rPr>
        <w:t>„(1) Z zastrzeżeniem przepisów ust. 2, jeżeli w trakcie kadencji parlamentu z</w:t>
      </w:r>
      <w:r w:rsidR="009E50F7">
        <w:rPr>
          <w:lang w:val="pl"/>
        </w:rPr>
        <w:t> </w:t>
      </w:r>
      <w:r>
        <w:rPr>
          <w:lang w:val="pl"/>
        </w:rPr>
        <w:t>jakiegokolwiek powodu zwolni się mandat w parlamencie, mandat ten zostanie obsadzony w ciągu czterdziestu pięciu dni na mocy ogłoszenia przez komisarza wyborczego [...] posłem do parlamentu kandydata, który w momencie ogłoszenia pozostaje przy życiu, reprezentującego ten sam okręg wyborczy, z tej samej listy wyborczej danej partii, koalicji partii lub grupy niezależnych kandydatów; który w</w:t>
      </w:r>
      <w:r w:rsidR="009E50F7">
        <w:rPr>
          <w:lang w:val="pl"/>
        </w:rPr>
        <w:t> </w:t>
      </w:r>
      <w:r>
        <w:rPr>
          <w:lang w:val="pl"/>
        </w:rPr>
        <w:t xml:space="preserve">przypadku partii lub koalicji partii [...] nadal należy do tej samej partii lub koalicji partii w momencie zwolnienia mandatu i który zostałby wybrany w powszechnych wyborach parlamentarnych, gdyby osoba zajmująca zwolniony mandat oraz inni kandydaci z tej listy zrzekli się swoich praw wynikających z niniejszego ustępu lub nie kwalifikowali się na mocy niniejszego ustępu z powodu śmierci lub ponieważ </w:t>
      </w:r>
      <w:r w:rsidR="009E50F7">
        <w:rPr>
          <w:lang w:val="pl"/>
        </w:rPr>
        <w:t>w </w:t>
      </w:r>
      <w:r>
        <w:rPr>
          <w:lang w:val="pl"/>
        </w:rPr>
        <w:t xml:space="preserve">momencie zwolnienia mandatu nie należeli do tej samej partii lub koalicji partii, nie uzyskali większej liczby głosów preferencyjnych [niż on] lub nie byli lub nie mogli być uznani – na podstawie akapitu drugiego art. 32 ust. 4 – za wyprzedzających go:  </w:t>
      </w:r>
    </w:p>
    <w:p w14:paraId="7A72B327" w14:textId="77777777" w:rsidR="001C1CE3" w:rsidRPr="009E50F7" w:rsidRDefault="00000000" w:rsidP="0064767C">
      <w:pPr>
        <w:pStyle w:val="JuQuot"/>
        <w:rPr>
          <w:color w:val="0072BC" w:themeColor="accent1"/>
          <w:lang w:val="pl-PL"/>
        </w:rPr>
      </w:pPr>
      <w:r>
        <w:rPr>
          <w:lang w:val="pl"/>
        </w:rPr>
        <w:t>W przypadku remisu między dwoma kandydatami lub większą ich liczbą kandydatów z tej samej listy stosuje się, odpowiednio, przepisy art. 32 ust. 4 akapit drugi</w:t>
      </w:r>
      <w:r>
        <w:rPr>
          <w:color w:val="0072BC" w:themeColor="accent1"/>
          <w:lang w:val="pl"/>
        </w:rPr>
        <w:t>.</w:t>
      </w:r>
    </w:p>
    <w:p w14:paraId="1D4FDB1A" w14:textId="77777777" w:rsidR="001C1CE3" w:rsidRPr="009E50F7" w:rsidRDefault="00000000" w:rsidP="0064767C">
      <w:pPr>
        <w:pStyle w:val="JuQuot"/>
        <w:rPr>
          <w:lang w:val="pl-PL"/>
        </w:rPr>
      </w:pPr>
      <w:r>
        <w:rPr>
          <w:lang w:val="pl"/>
        </w:rPr>
        <w:t>(2) Jeżeli nie jest możliwe obsadzenie zwolnionego mandatu na podstawie ust. 1, przeprowadza się wybory uzupełniające zgodnie z przepisami art. 35A niniejszej [ustawy]”.</w:t>
      </w:r>
    </w:p>
    <w:bookmarkStart w:id="26" w:name="ELECTIONLAW_S35_B"/>
    <w:p w14:paraId="1B9538B5" w14:textId="75A02F2D"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48</w:t>
      </w:r>
      <w:r>
        <w:rPr>
          <w:lang w:val="pl"/>
        </w:rPr>
        <w:fldChar w:fldCharType="end"/>
      </w:r>
      <w:bookmarkEnd w:id="26"/>
      <w:r>
        <w:rPr>
          <w:lang w:val="pl"/>
        </w:rPr>
        <w:t xml:space="preserve">.  Art. 35 </w:t>
      </w:r>
      <w:r w:rsidR="00733760">
        <w:rPr>
          <w:lang w:val="pl"/>
        </w:rPr>
        <w:t>P</w:t>
      </w:r>
      <w:r>
        <w:rPr>
          <w:lang w:val="pl"/>
        </w:rPr>
        <w:t xml:space="preserve">rawa </w:t>
      </w:r>
      <w:r w:rsidR="00733760">
        <w:rPr>
          <w:lang w:val="pl"/>
        </w:rPr>
        <w:t>W</w:t>
      </w:r>
      <w:r>
        <w:rPr>
          <w:lang w:val="pl"/>
        </w:rPr>
        <w:t>yborczego, w brzmieniu zmienionym w drodze nowelizacji z 2017 r., stanowił, co następuje:</w:t>
      </w:r>
    </w:p>
    <w:p w14:paraId="46AD3D70" w14:textId="77777777" w:rsidR="001C1CE3" w:rsidRPr="009E50F7" w:rsidRDefault="00000000" w:rsidP="0064767C">
      <w:pPr>
        <w:pStyle w:val="JuHArticle"/>
        <w:rPr>
          <w:lang w:val="pl-PL"/>
        </w:rPr>
      </w:pPr>
      <w:r>
        <w:rPr>
          <w:bCs/>
          <w:lang w:val="pl"/>
        </w:rPr>
        <w:t>Artykuł 35 – Obsadzenie nieobjętego lub zwolnionego mandatu parlamentarnego</w:t>
      </w:r>
    </w:p>
    <w:p w14:paraId="7F1AC8AD" w14:textId="77777777" w:rsidR="001C1CE3" w:rsidRPr="009E50F7" w:rsidRDefault="00000000" w:rsidP="0064767C">
      <w:pPr>
        <w:pStyle w:val="JuQuot"/>
        <w:rPr>
          <w:lang w:val="pl-PL"/>
        </w:rPr>
      </w:pPr>
      <w:r>
        <w:rPr>
          <w:lang w:val="pl"/>
        </w:rPr>
        <w:t>„(1) Z zastrzeżeniem postanowień ust. 2, jeżeli z jakiegokolwiek powodu:</w:t>
      </w:r>
    </w:p>
    <w:p w14:paraId="419190A1" w14:textId="77777777" w:rsidR="001C1CE3" w:rsidRPr="009E50F7" w:rsidRDefault="00000000" w:rsidP="0064767C">
      <w:pPr>
        <w:pStyle w:val="JuQuot"/>
        <w:rPr>
          <w:lang w:val="pl-PL"/>
        </w:rPr>
      </w:pPr>
      <w:r>
        <w:rPr>
          <w:lang w:val="pl"/>
        </w:rPr>
        <w:t>a) kandydat przed rozpoczęciem kadencji parlamentarnej umrze lub nie obejmie mandatu parlamentarnego, na który został wybrany; lub</w:t>
      </w:r>
    </w:p>
    <w:p w14:paraId="08664D07" w14:textId="77777777" w:rsidR="001C1CE3" w:rsidRPr="009E50F7" w:rsidRDefault="00000000" w:rsidP="0064767C">
      <w:pPr>
        <w:pStyle w:val="JuQuot"/>
        <w:rPr>
          <w:lang w:val="pl-PL"/>
        </w:rPr>
      </w:pPr>
      <w:r>
        <w:rPr>
          <w:lang w:val="pl"/>
        </w:rPr>
        <w:t>b) w trakcie kadencji parlamentu zwolni się mandat parlamentarny,</w:t>
      </w:r>
    </w:p>
    <w:p w14:paraId="57A5C588" w14:textId="4664042D" w:rsidR="001C1CE3" w:rsidRPr="009E50F7" w:rsidRDefault="00000000" w:rsidP="0064767C">
      <w:pPr>
        <w:pStyle w:val="JuQuot"/>
        <w:rPr>
          <w:lang w:val="pl-PL"/>
        </w:rPr>
      </w:pPr>
      <w:r>
        <w:rPr>
          <w:lang w:val="pl"/>
        </w:rPr>
        <w:t>mandat ten zostanie obsadzony w ciągu czterdziestu pięciu dni na mocy ogłoszenia przez komisarza wyborczego […] posłem do parlamentu kandydata, który w momencie ogłoszenia pozostaje przy życiu, reprezentującego ten sam okręg wyborczy, z listy wyborczej, partii, koalicji partii lub grupy niezależnych kandydatów, który w</w:t>
      </w:r>
      <w:r w:rsidR="009E50F7">
        <w:rPr>
          <w:lang w:val="pl"/>
        </w:rPr>
        <w:t> </w:t>
      </w:r>
      <w:r>
        <w:rPr>
          <w:lang w:val="pl"/>
        </w:rPr>
        <w:t xml:space="preserve">przypadku partii lub koalicji partii […] nadal należy do tej samej partii lub koalicji partii w momencie śmierci lub nieobjęcia lub zwolnienia mandatu i który zostałby wybrany w powszechnych wyborach parlamentarnych, gdyby osoba, która zmarła, nie przyjęła mandatu lub sprawowała mandat w momencie jego zwolnienia, a wszyscy inni kandydaci z tej listy zrzekli się swoich praw na mocy niniejszego ustępu lub nie kwalifikowali się na mocy niniejszego ustępu z powodu śmierci lub ponieważ w momencie śmierci, nieprzyjęcia lub zwolnienia mandatu nie należeli do tej samej partii lub koalicji partii, nie otrzymali większej liczby głosów preferencyjnych niż on lub nie byli lub nie mogli być uznani – na podstawie akapitu drugiego art. 32 ust. 4 – za wyprzedzających go: </w:t>
      </w:r>
    </w:p>
    <w:p w14:paraId="0D97D0E5" w14:textId="71DE57DD" w:rsidR="001C1CE3" w:rsidRPr="009E50F7" w:rsidRDefault="00000000" w:rsidP="0064767C">
      <w:pPr>
        <w:pStyle w:val="JuQuot"/>
        <w:rPr>
          <w:lang w:val="pl-PL"/>
        </w:rPr>
      </w:pPr>
      <w:r>
        <w:rPr>
          <w:lang w:val="pl"/>
        </w:rPr>
        <w:lastRenderedPageBreak/>
        <w:t>W przypadku remisu między dwoma kandydatami lub większą liczbą kandydatów z</w:t>
      </w:r>
      <w:r w:rsidR="009E50F7">
        <w:rPr>
          <w:lang w:val="pl"/>
        </w:rPr>
        <w:t> </w:t>
      </w:r>
      <w:r>
        <w:rPr>
          <w:lang w:val="pl"/>
        </w:rPr>
        <w:t>tej samej listy stosuje się, odpowiednio, przepisy art. 32 ust. 4 akapit drugi.</w:t>
      </w:r>
    </w:p>
    <w:p w14:paraId="1435968B" w14:textId="2DCD12C7" w:rsidR="001C1CE3" w:rsidRPr="009E50F7" w:rsidRDefault="00000000" w:rsidP="0064767C">
      <w:pPr>
        <w:pStyle w:val="JuQuot"/>
        <w:rPr>
          <w:lang w:val="pl-PL"/>
        </w:rPr>
      </w:pPr>
      <w:r>
        <w:rPr>
          <w:lang w:val="pl"/>
        </w:rPr>
        <w:t>(1A) przepisy ust. 1 mają zastosowanie w odniesieniu do mandatu parlamentarnego, który nie został obsadzony lub jest nieobsadzony w dniu wejścia w życie [</w:t>
      </w:r>
      <w:r w:rsidR="001F7049">
        <w:rPr>
          <w:lang w:val="pl"/>
        </w:rPr>
        <w:t>P</w:t>
      </w:r>
      <w:r>
        <w:rPr>
          <w:lang w:val="pl"/>
        </w:rPr>
        <w:t xml:space="preserve">rawa </w:t>
      </w:r>
      <w:r w:rsidR="001F7049">
        <w:rPr>
          <w:lang w:val="pl"/>
        </w:rPr>
        <w:t>W</w:t>
      </w:r>
      <w:r>
        <w:rPr>
          <w:lang w:val="pl"/>
        </w:rPr>
        <w:t>yborczego (nowelizacja)] z 2017 r. lub po tej dacie.</w:t>
      </w:r>
    </w:p>
    <w:p w14:paraId="66DD128F" w14:textId="77777777" w:rsidR="001C1CE3" w:rsidRPr="009E50F7" w:rsidRDefault="00000000" w:rsidP="0064767C">
      <w:pPr>
        <w:pStyle w:val="JuQuot"/>
        <w:rPr>
          <w:lang w:val="pl-PL"/>
        </w:rPr>
      </w:pPr>
      <w:r>
        <w:rPr>
          <w:lang w:val="pl"/>
        </w:rPr>
        <w:t>(2) Jeżeli nie jest możliwe obsadzenie zwolnionego mandatu na podstawie ust. 1, przeprowadza się wybory uzupełniające zgodnie z przepisami art. 35A niniejszej [ustawy]”.</w:t>
      </w:r>
    </w:p>
    <w:bookmarkStart w:id="27" w:name="ELECTIONLAW_S35_C"/>
    <w:p w14:paraId="4A1DDD67" w14:textId="0BD9ACD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49</w:t>
      </w:r>
      <w:r>
        <w:rPr>
          <w:lang w:val="pl"/>
        </w:rPr>
        <w:fldChar w:fldCharType="end"/>
      </w:r>
      <w:bookmarkEnd w:id="27"/>
      <w:r>
        <w:rPr>
          <w:lang w:val="pl"/>
        </w:rPr>
        <w:t xml:space="preserve">.  Artykuł 35, w brzmieniu zmienionym </w:t>
      </w:r>
      <w:r w:rsidR="001F7049">
        <w:rPr>
          <w:lang w:val="pl"/>
        </w:rPr>
        <w:t>P</w:t>
      </w:r>
      <w:r>
        <w:rPr>
          <w:lang w:val="pl"/>
        </w:rPr>
        <w:t xml:space="preserve">rawem </w:t>
      </w:r>
      <w:r w:rsidR="001F7049">
        <w:rPr>
          <w:lang w:val="pl"/>
        </w:rPr>
        <w:t>W</w:t>
      </w:r>
      <w:r>
        <w:rPr>
          <w:lang w:val="pl"/>
        </w:rPr>
        <w:t>yborczym (nowelizacja) z 2019 r., stanowi obecnie, co następuje:</w:t>
      </w:r>
    </w:p>
    <w:p w14:paraId="76C39002" w14:textId="77777777" w:rsidR="001C1CE3" w:rsidRPr="009E50F7" w:rsidRDefault="00000000" w:rsidP="0064767C">
      <w:pPr>
        <w:pStyle w:val="JuHArticle"/>
        <w:rPr>
          <w:lang w:val="pl-PL"/>
        </w:rPr>
      </w:pPr>
      <w:r>
        <w:rPr>
          <w:bCs/>
          <w:lang w:val="pl"/>
        </w:rPr>
        <w:t xml:space="preserve">Artykuł 35 – Obsadzenie zwolnionego mandatu parlamentarnego </w:t>
      </w:r>
    </w:p>
    <w:p w14:paraId="47788387" w14:textId="49F983F8" w:rsidR="001C1CE3" w:rsidRPr="009E50F7" w:rsidRDefault="00000000" w:rsidP="0064767C">
      <w:pPr>
        <w:pStyle w:val="JuQuot"/>
        <w:rPr>
          <w:lang w:val="pl-PL"/>
        </w:rPr>
      </w:pPr>
      <w:r>
        <w:rPr>
          <w:lang w:val="pl"/>
        </w:rPr>
        <w:t>„(1) Z zastrzeżeniem przepisów ust. 2, jeżeli w trakcie kadencji parlamentu z</w:t>
      </w:r>
      <w:r w:rsidR="009E50F7">
        <w:rPr>
          <w:lang w:val="pl"/>
        </w:rPr>
        <w:t> </w:t>
      </w:r>
      <w:r>
        <w:rPr>
          <w:lang w:val="pl"/>
        </w:rPr>
        <w:t>jakiegokolwiek powodu zwolni się mandat w parlamencie, mandat ten zostanie obsadzony w ciągu czterdziestu pięciu dni na mocy ogłoszenia przez komisarza wyborczego […] posłem do parlamentu kandydata, który w momencie ogłoszenia pozostaje przy życiu, reprezentującego ten sam okręg wyborczy z ramienia partii, koalicji partii lub grupy kandydatów niezależnych; który w przypadku partii lub koalicji partii […] nadal należy do tej samej partii lub koalicji partii w momencie zwolnienia mandatu i który zostałby wybrany w powszechnych wyborach parlamentarnych, gdyby osoba zajmująca zwolniony mandat i wszyscy inni kandydaci z tej listy zrzekli się swoich praw na mocy niniejszego ustępu lub nie kwalifikowali się na mocy niniejszego ustępu z powodu śmierci lub ponieważ w momencie zwolnienia mandatu nie należeli do tej samej partii lub koalicji partii, nie otrzymali większej liczby głosów preferencyjnych niż on lub nie byli lub nie mogli być uznani – na podstawie art. 32 ust. 4 – za wyprzedzających go:</w:t>
      </w:r>
    </w:p>
    <w:p w14:paraId="755AB3F9" w14:textId="6E8F69F6" w:rsidR="001C1CE3" w:rsidRPr="009E50F7" w:rsidRDefault="00000000" w:rsidP="0064767C">
      <w:pPr>
        <w:pStyle w:val="JuQuot"/>
        <w:rPr>
          <w:lang w:val="pl-PL"/>
        </w:rPr>
      </w:pPr>
      <w:r>
        <w:rPr>
          <w:lang w:val="pl"/>
        </w:rPr>
        <w:t>W przypadku remisu między dwoma kandydatami lub większą liczbą kandydatów z</w:t>
      </w:r>
      <w:r w:rsidR="009E50F7">
        <w:rPr>
          <w:lang w:val="pl"/>
        </w:rPr>
        <w:t> </w:t>
      </w:r>
      <w:r>
        <w:rPr>
          <w:lang w:val="pl"/>
        </w:rPr>
        <w:t>tej samej listy stosuje się, odpowiednio, przepisy art. 32 ust. 4 akapit drugi.</w:t>
      </w:r>
    </w:p>
    <w:p w14:paraId="33B740CF" w14:textId="77777777" w:rsidR="001C1CE3" w:rsidRPr="009E50F7" w:rsidRDefault="00000000" w:rsidP="0064767C">
      <w:pPr>
        <w:pStyle w:val="JuQuot"/>
        <w:rPr>
          <w:lang w:val="pl-PL"/>
        </w:rPr>
      </w:pPr>
      <w:r>
        <w:rPr>
          <w:lang w:val="pl"/>
        </w:rPr>
        <w:t>(2) Jeżeli nie jest możliwe obsadzenie zwolnionego miejsca zgodnie z ust. 1, przeprowadza się wybory uzupełniające zgodnie z przepisami art. 35A niniejszej [ustawy].</w:t>
      </w:r>
    </w:p>
    <w:p w14:paraId="183E07AA" w14:textId="77777777" w:rsidR="001C1CE3" w:rsidRPr="009E50F7" w:rsidRDefault="00000000" w:rsidP="0064767C">
      <w:pPr>
        <w:pStyle w:val="JuQuot"/>
        <w:rPr>
          <w:lang w:val="pl-PL"/>
        </w:rPr>
      </w:pPr>
      <w:r>
        <w:rPr>
          <w:lang w:val="pl"/>
        </w:rPr>
        <w:t xml:space="preserve">(3) Przepisy ust. 1 i 2 stosuje się, </w:t>
      </w:r>
      <w:r>
        <w:rPr>
          <w:i/>
          <w:iCs/>
          <w:lang w:val="pl"/>
        </w:rPr>
        <w:t xml:space="preserve">mutatis mutandis, </w:t>
      </w:r>
      <w:r>
        <w:rPr>
          <w:lang w:val="pl"/>
        </w:rPr>
        <w:t>w przypadku, gdy:</w:t>
      </w:r>
    </w:p>
    <w:p w14:paraId="1EB8BCA8" w14:textId="47082D70" w:rsidR="001C1CE3" w:rsidRPr="009E50F7" w:rsidRDefault="00000000" w:rsidP="0064767C">
      <w:pPr>
        <w:pStyle w:val="JuQuot"/>
        <w:rPr>
          <w:lang w:val="pl-PL"/>
        </w:rPr>
      </w:pPr>
      <w:r>
        <w:rPr>
          <w:lang w:val="pl"/>
        </w:rPr>
        <w:t xml:space="preserve">a) wybrany kandydat, przed ogłoszeniem wyników zgodnie z postanowieniami art. </w:t>
      </w:r>
      <w:r w:rsidR="009E50F7">
        <w:rPr>
          <w:lang w:val="pl"/>
        </w:rPr>
        <w:t> </w:t>
      </w:r>
      <w:r>
        <w:rPr>
          <w:lang w:val="pl"/>
        </w:rPr>
        <w:t>34, umrze lub zrzeknie się prawa do ogłoszenia go posłem,</w:t>
      </w:r>
    </w:p>
    <w:p w14:paraId="302A3FD7" w14:textId="77777777" w:rsidR="001C1CE3" w:rsidRPr="009E50F7" w:rsidRDefault="00000000" w:rsidP="0064767C">
      <w:pPr>
        <w:pStyle w:val="JuQuot"/>
        <w:rPr>
          <w:lang w:val="pl-PL"/>
        </w:rPr>
      </w:pPr>
      <w:r>
        <w:rPr>
          <w:lang w:val="pl"/>
        </w:rPr>
        <w:t>b) wybrany kandydat umrze lub zrzeknie się mandatu parlamentarnego od momentu złożenia oświadczenia w sprawie objęcia mandatu, a przed złożeniem ślubowania zgodnie z art. 69 konstytucji.</w:t>
      </w:r>
    </w:p>
    <w:p w14:paraId="5FDFE788" w14:textId="56AB0EE2" w:rsidR="001C1CE3" w:rsidRPr="009E50F7" w:rsidRDefault="00000000" w:rsidP="0064767C">
      <w:pPr>
        <w:pStyle w:val="JuQuot"/>
        <w:rPr>
          <w:lang w:val="pl-PL"/>
        </w:rPr>
      </w:pPr>
      <w:r>
        <w:rPr>
          <w:lang w:val="pl"/>
        </w:rPr>
        <w:t>(4) Przepisy ust. 1 i 3 mają również zastosowanie w odniesieniu do mandatu parlamentarnego, który nie został objęty lub z którego nie zrezygnowano w dniu wejścia w życie [</w:t>
      </w:r>
      <w:r w:rsidR="00870F45">
        <w:rPr>
          <w:lang w:val="pl"/>
        </w:rPr>
        <w:t>P</w:t>
      </w:r>
      <w:r>
        <w:rPr>
          <w:lang w:val="pl"/>
        </w:rPr>
        <w:t xml:space="preserve">rawa </w:t>
      </w:r>
      <w:r w:rsidR="00870F45">
        <w:rPr>
          <w:lang w:val="pl"/>
        </w:rPr>
        <w:t>W</w:t>
      </w:r>
      <w:r>
        <w:rPr>
          <w:lang w:val="pl"/>
        </w:rPr>
        <w:t>yborczego (nowelizacja)] z 2019 r. lub po tej dacie.</w:t>
      </w:r>
    </w:p>
    <w:p w14:paraId="2BC230BD" w14:textId="77777777" w:rsidR="001C1CE3" w:rsidRPr="009E50F7" w:rsidRDefault="00000000" w:rsidP="0064767C">
      <w:pPr>
        <w:pStyle w:val="JuQuot"/>
        <w:rPr>
          <w:lang w:val="pl-PL"/>
        </w:rPr>
      </w:pPr>
      <w:r>
        <w:rPr>
          <w:lang w:val="pl"/>
        </w:rPr>
        <w:t>„Obsadzenie mandatu, który nie został objęty lub z którego zrezygnowano w wyżej wymienionym terminie, nastąpi w ciągu piętnastu (15) dni od daty wejścia w życie wyżej wymienionej [ustawy]”.</w:t>
      </w:r>
    </w:p>
    <w:p w14:paraId="53D47E74" w14:textId="77777777" w:rsidR="001C1CE3" w:rsidRPr="0064767C" w:rsidRDefault="00000000" w:rsidP="0064767C">
      <w:pPr>
        <w:pStyle w:val="JuHIRoman"/>
      </w:pPr>
      <w:r>
        <w:rPr>
          <w:bCs w:val="0"/>
          <w:caps w:val="0"/>
          <w:lang w:val="pl"/>
        </w:rPr>
        <w:lastRenderedPageBreak/>
        <w:t>ISTOTNE AKTY MIĘDZYNARODOWE</w:t>
      </w:r>
    </w:p>
    <w:p w14:paraId="1A040009" w14:textId="77777777" w:rsidR="001C1CE3" w:rsidRPr="009E50F7" w:rsidRDefault="00000000" w:rsidP="0064767C">
      <w:pPr>
        <w:pStyle w:val="JuHA"/>
        <w:rPr>
          <w:lang w:val="pl-PL"/>
        </w:rPr>
      </w:pPr>
      <w:r>
        <w:rPr>
          <w:lang w:val="pl"/>
        </w:rPr>
        <w:t>Raport dotyczący proporcjonalnych systemów wyborczych: Przydział mandatów w ramach list wyborczych (listy otwarte/zamknięte) według Europejskiej Komisji na rzecz Demokracji przez Prawo (Komisja Wenecka)</w:t>
      </w:r>
    </w:p>
    <w:p w14:paraId="26820F38"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50</w:t>
      </w:r>
      <w:r>
        <w:rPr>
          <w:lang w:val="pl"/>
        </w:rPr>
        <w:fldChar w:fldCharType="end"/>
      </w:r>
      <w:r>
        <w:rPr>
          <w:lang w:val="pl"/>
        </w:rPr>
        <w:t>.  Na 102. sesji plenarnej w dniach 20–21 marca 2015 r. Komisja Wenecka przyjęła raport dotyczący proporcjonalnych systemów wyborczych (CDL-AD(2015)001). Raport porównawczy zawiera przegląd systemów list partyjnych (a w szczególności kwestii przydzielania mandatów w ramach list partyjnych) stosowanych w wyborach parlamentarnych w państwach członkowskich Komisji Weneckiej.</w:t>
      </w:r>
    </w:p>
    <w:bookmarkStart w:id="28" w:name="Venice_table"/>
    <w:p w14:paraId="668EA8CA" w14:textId="3ACF1026"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51</w:t>
      </w:r>
      <w:r>
        <w:rPr>
          <w:lang w:val="pl"/>
        </w:rPr>
        <w:fldChar w:fldCharType="end"/>
      </w:r>
      <w:bookmarkEnd w:id="28"/>
      <w:r>
        <w:rPr>
          <w:lang w:val="pl"/>
        </w:rPr>
        <w:t>.  Na potrzeby raportu porównawczego sekretariat Komisji Weneckiej opracował tabelę zawierającą obowiązujące przepisy prawne dotyczące systemów wyborczych i metod podziału mandatów w 61 krajach, w tym na Cyprze. W odniesieniu do Cypru w tabeli (CDL(2014)058) odnotowano, w</w:t>
      </w:r>
      <w:r w:rsidR="009E50F7">
        <w:rPr>
          <w:lang w:val="pl"/>
        </w:rPr>
        <w:t> </w:t>
      </w:r>
      <w:r>
        <w:rPr>
          <w:lang w:val="pl"/>
        </w:rPr>
        <w:t>zakresie istotnym dla sprawy, co następuje:</w:t>
      </w:r>
    </w:p>
    <w:p w14:paraId="09EE383C" w14:textId="77777777" w:rsidR="001C1CE3" w:rsidRPr="009E50F7" w:rsidRDefault="00000000" w:rsidP="0064767C">
      <w:pPr>
        <w:pStyle w:val="JuQuot"/>
        <w:rPr>
          <w:lang w:val="pl-PL"/>
        </w:rPr>
      </w:pPr>
      <w:r>
        <w:rPr>
          <w:lang w:val="pl"/>
        </w:rPr>
        <w:t>„</w:t>
      </w:r>
      <w:r>
        <w:rPr>
          <w:u w:val="single"/>
          <w:lang w:val="pl"/>
        </w:rPr>
        <w:t>System reprezentacji</w:t>
      </w:r>
      <w:r>
        <w:rPr>
          <w:lang w:val="pl"/>
        </w:rPr>
        <w:t>:</w:t>
      </w:r>
    </w:p>
    <w:p w14:paraId="12F00A06" w14:textId="77777777" w:rsidR="001C1CE3" w:rsidRPr="009E50F7" w:rsidRDefault="00000000" w:rsidP="0064767C">
      <w:pPr>
        <w:pStyle w:val="JuQuot"/>
        <w:rPr>
          <w:lang w:val="pl-PL"/>
        </w:rPr>
      </w:pPr>
      <w:r>
        <w:rPr>
          <w:lang w:val="pl"/>
        </w:rPr>
        <w:t>System proporcjonalny</w:t>
      </w:r>
    </w:p>
    <w:p w14:paraId="1DBD52D0" w14:textId="77777777" w:rsidR="001C1CE3" w:rsidRPr="009E50F7" w:rsidRDefault="00000000" w:rsidP="0064767C">
      <w:pPr>
        <w:pStyle w:val="JuQuot"/>
        <w:rPr>
          <w:lang w:val="pl-PL"/>
        </w:rPr>
      </w:pPr>
      <w:r>
        <w:rPr>
          <w:lang w:val="pl"/>
        </w:rPr>
        <w:t xml:space="preserve">[...] Na potrzeby przeprowadzenia wyborów Republika [Cypryjska] podzielona jest na sześć okręgów wyborczych, które odpowiadają sześciu okręgom administracyjnym. Pięćdziesiąt sześć mandatów parlamentarnych rozdzielanych jest między poszczególne okręgi wyborcze na podstawie liczby zarejestrowanych wyborców w każdym okręgu wyborczym, w następujący sposób. Nikozja 20 [mandatów], </w:t>
      </w:r>
      <w:proofErr w:type="spellStart"/>
      <w:r>
        <w:rPr>
          <w:lang w:val="pl"/>
        </w:rPr>
        <w:t>Limassol</w:t>
      </w:r>
      <w:proofErr w:type="spellEnd"/>
      <w:r>
        <w:rPr>
          <w:lang w:val="pl"/>
        </w:rPr>
        <w:t xml:space="preserve"> 12 [mandatów], Famagusta 11 [mandatów], Larnaka 6 [mandatów], Pafos 4 [mandaty], </w:t>
      </w:r>
      <w:proofErr w:type="spellStart"/>
      <w:r>
        <w:rPr>
          <w:lang w:val="pl"/>
        </w:rPr>
        <w:t>Kirenia</w:t>
      </w:r>
      <w:proofErr w:type="spellEnd"/>
      <w:r>
        <w:rPr>
          <w:lang w:val="pl"/>
        </w:rPr>
        <w:t xml:space="preserve"> 3 [mandaty]. W wyborach parlamentarnych w 1995 r. wprowadzono system proporcjonalny. Każda partia polityczna, której uda się zdobyć 1/56 wszystkich ważnych głosów oddanych na Cyprze, ma praktycznie zagwarantowane co najmniej jedno miejsce w parlamencie.</w:t>
      </w:r>
    </w:p>
    <w:p w14:paraId="031EA5BF" w14:textId="77777777" w:rsidR="001C1CE3" w:rsidRPr="009E50F7" w:rsidRDefault="00000000" w:rsidP="0064767C">
      <w:pPr>
        <w:pStyle w:val="JuQuot"/>
        <w:rPr>
          <w:lang w:val="pl-PL"/>
        </w:rPr>
      </w:pPr>
      <w:r>
        <w:rPr>
          <w:lang w:val="pl"/>
        </w:rPr>
        <w:t>[...]</w:t>
      </w:r>
    </w:p>
    <w:p w14:paraId="49C93BFF" w14:textId="77777777" w:rsidR="001C1CE3" w:rsidRPr="009E50F7" w:rsidRDefault="00000000" w:rsidP="0064767C">
      <w:pPr>
        <w:pStyle w:val="JuQuot"/>
        <w:rPr>
          <w:lang w:val="pl-PL"/>
        </w:rPr>
      </w:pPr>
      <w:r>
        <w:rPr>
          <w:u w:val="single"/>
          <w:lang w:val="pl"/>
        </w:rPr>
        <w:t>Systemy proporcjonalne, metody podziału mandatów:</w:t>
      </w:r>
    </w:p>
    <w:p w14:paraId="480F748A" w14:textId="77777777" w:rsidR="001C1CE3" w:rsidRPr="009E50F7" w:rsidRDefault="00000000" w:rsidP="0064767C">
      <w:pPr>
        <w:pStyle w:val="JuQuot"/>
        <w:rPr>
          <w:lang w:val="pl-PL"/>
        </w:rPr>
      </w:pPr>
      <w:r>
        <w:rPr>
          <w:lang w:val="pl"/>
        </w:rPr>
        <w:t xml:space="preserve">Największa pozostała liczba głosów, wzór </w:t>
      </w:r>
      <w:proofErr w:type="spellStart"/>
      <w:r>
        <w:rPr>
          <w:lang w:val="pl"/>
        </w:rPr>
        <w:t>Hare'a</w:t>
      </w:r>
      <w:proofErr w:type="spellEnd"/>
    </w:p>
    <w:p w14:paraId="13F6A6E1" w14:textId="2D36151C" w:rsidR="001C1CE3" w:rsidRPr="009E50F7" w:rsidRDefault="00000000" w:rsidP="0064767C">
      <w:pPr>
        <w:pStyle w:val="JuQuot"/>
        <w:rPr>
          <w:lang w:val="pl-PL"/>
        </w:rPr>
      </w:pPr>
      <w:r>
        <w:rPr>
          <w:lang w:val="pl"/>
        </w:rPr>
        <w:t xml:space="preserve">Mandaty są rozdzielane między listy w obrębie każdego okręgu wyborczego poprzez podzielenie łącznej liczby głosów oddanych na każdą listę przez kwotę wyborczą (metoda największej pozostałej liczby głosów z wykorzystaniem ilorazu </w:t>
      </w:r>
      <w:proofErr w:type="spellStart"/>
      <w:r>
        <w:rPr>
          <w:lang w:val="pl"/>
        </w:rPr>
        <w:t>Hare’a</w:t>
      </w:r>
      <w:proofErr w:type="spellEnd"/>
      <w:r>
        <w:rPr>
          <w:lang w:val="pl"/>
        </w:rPr>
        <w:t>). Pozostałe mandaty są rozdzielane między partie lub koalicje partii, które zdobyły co najmniej jeden mandat w dowolnym okręgu wyborczym w ramach pierwszego podziału, lub – w przypadku pojedynczych partii – uzyskały co najmniej 1,8 % wszystkich ważnych głosów oddanych na całej wyspie (w przypadku koalicji co najmniej dwóch partii wartości te wynoszą odpowiednio 10 % i 20 %). Niezależnie od powyższego, aby listy pojedynczych partii biorących udział w drugim podziale mandatów uzyskały prawo do drugiego mandatu, wymagane jest uzyskanie 3,6 % ogólnej liczby oddanych głosów.</w:t>
      </w:r>
    </w:p>
    <w:p w14:paraId="786CC9EB" w14:textId="77777777" w:rsidR="001C1CE3" w:rsidRPr="009E50F7" w:rsidRDefault="00000000" w:rsidP="0064767C">
      <w:pPr>
        <w:pStyle w:val="JuQuot"/>
        <w:rPr>
          <w:u w:val="single"/>
          <w:lang w:val="pl-PL"/>
        </w:rPr>
      </w:pPr>
      <w:r>
        <w:rPr>
          <w:u w:val="single"/>
          <w:lang w:val="pl"/>
        </w:rPr>
        <w:t>Systemy proporcjonalne: system list partyjnych zamkniętych czy otwartych?</w:t>
      </w:r>
    </w:p>
    <w:p w14:paraId="008B47D1" w14:textId="28903E7F" w:rsidR="001C1CE3" w:rsidRPr="009E50F7" w:rsidRDefault="00000000" w:rsidP="0064767C">
      <w:pPr>
        <w:pStyle w:val="JuQuot"/>
        <w:rPr>
          <w:lang w:val="pl-PL"/>
        </w:rPr>
      </w:pPr>
      <w:r>
        <w:rPr>
          <w:lang w:val="pl"/>
        </w:rPr>
        <w:lastRenderedPageBreak/>
        <w:t xml:space="preserve">System list otwartych, </w:t>
      </w:r>
      <w:r w:rsidR="003B3368">
        <w:rPr>
          <w:lang w:val="pl"/>
        </w:rPr>
        <w:t xml:space="preserve"> z możliwością wskazania kilku preferencji</w:t>
      </w:r>
    </w:p>
    <w:p w14:paraId="7A4ED1BF" w14:textId="77777777" w:rsidR="001C1CE3" w:rsidRPr="009E50F7" w:rsidRDefault="00000000" w:rsidP="0064767C">
      <w:pPr>
        <w:pStyle w:val="JuQuot"/>
        <w:rPr>
          <w:u w:val="single"/>
          <w:lang w:val="pl-PL"/>
        </w:rPr>
      </w:pPr>
      <w:r>
        <w:rPr>
          <w:u w:val="single"/>
          <w:lang w:val="pl"/>
        </w:rPr>
        <w:t>Systemy proporcjonalne, metody podziału mandatów w ramach list:</w:t>
      </w:r>
    </w:p>
    <w:p w14:paraId="3CD18EC3" w14:textId="77777777" w:rsidR="001C1CE3" w:rsidRPr="009E50F7" w:rsidRDefault="00000000" w:rsidP="0064767C">
      <w:pPr>
        <w:pStyle w:val="JuQuot"/>
        <w:rPr>
          <w:lang w:val="pl-PL"/>
        </w:rPr>
      </w:pPr>
      <w:r>
        <w:rPr>
          <w:lang w:val="pl"/>
        </w:rPr>
        <w:t xml:space="preserve"> Kilka głosów preferencyjnych</w:t>
      </w:r>
    </w:p>
    <w:p w14:paraId="4E5EB651" w14:textId="2CAE1D34" w:rsidR="001C1CE3" w:rsidRPr="009E50F7" w:rsidRDefault="00000000" w:rsidP="0064767C">
      <w:pPr>
        <w:pStyle w:val="JuQuot"/>
        <w:rPr>
          <w:lang w:val="pl-PL"/>
        </w:rPr>
      </w:pPr>
      <w:r>
        <w:rPr>
          <w:lang w:val="pl"/>
        </w:rPr>
        <w:t>Wyborcy najpierw wybierają listę jednej partii (lub koalicji partii albo pojedynczego kandydata niezależnego), a następnie, w ramach tej listy, mogą wskazać jednego kandydata na każde cztery mandaty do obsadzenia w swoim okręgu wyborczym. W</w:t>
      </w:r>
      <w:r w:rsidR="009E50F7">
        <w:rPr>
          <w:lang w:val="pl"/>
        </w:rPr>
        <w:t> </w:t>
      </w:r>
      <w:r>
        <w:rPr>
          <w:lang w:val="pl"/>
        </w:rPr>
        <w:t>przypadku okręgów wyborczych, w których do obsadzenia jest mniej niż trzy mandaty, można zaznaczyć tylko jeden głos preferencyjny. Liderzy partii lub inni kandydaci stojący na czele koalicji nie muszą uzyskać głosów preferencyjnych, aby zostać wybrani.</w:t>
      </w:r>
    </w:p>
    <w:p w14:paraId="22851559" w14:textId="4027A9C5" w:rsidR="001C1CE3" w:rsidRPr="009E50F7" w:rsidRDefault="00000000" w:rsidP="0064767C">
      <w:pPr>
        <w:pStyle w:val="JuQuot"/>
        <w:rPr>
          <w:lang w:val="pl-PL"/>
        </w:rPr>
      </w:pPr>
      <w:r>
        <w:rPr>
          <w:lang w:val="pl"/>
        </w:rPr>
        <w:t>[Zgodnie z prawem wyborczym] ugrupowanie polityczne może uczestniczyć w</w:t>
      </w:r>
      <w:r w:rsidR="009E50F7">
        <w:rPr>
          <w:lang w:val="pl"/>
        </w:rPr>
        <w:t> </w:t>
      </w:r>
      <w:r>
        <w:rPr>
          <w:lang w:val="pl"/>
        </w:rPr>
        <w:t>drugim podziale mandatów tylko wtedy, gdy spełnione są następujące kryteria:</w:t>
      </w:r>
    </w:p>
    <w:p w14:paraId="6690BB97" w14:textId="77777777" w:rsidR="001C1CE3" w:rsidRPr="009E50F7" w:rsidRDefault="00000000" w:rsidP="0064767C">
      <w:pPr>
        <w:pStyle w:val="JuQuot"/>
        <w:rPr>
          <w:lang w:val="pl-PL"/>
        </w:rPr>
      </w:pPr>
      <w:r>
        <w:rPr>
          <w:lang w:val="pl"/>
        </w:rPr>
        <w:t>– partie, które uzyskały co najmniej 1/56 ogólnej liczby głosów oddanych w całym kraju,</w:t>
      </w:r>
    </w:p>
    <w:p w14:paraId="59797BE7" w14:textId="77777777" w:rsidR="001C1CE3" w:rsidRPr="009E50F7" w:rsidRDefault="00000000" w:rsidP="0064767C">
      <w:pPr>
        <w:pStyle w:val="JuQuot"/>
        <w:rPr>
          <w:lang w:val="pl-PL"/>
        </w:rPr>
      </w:pPr>
      <w:r>
        <w:rPr>
          <w:lang w:val="pl"/>
        </w:rPr>
        <w:t>– koalicje dwóch partii, których łączny wynik wyborczy wynosi co najmniej dziesięć procent (10 %)</w:t>
      </w:r>
    </w:p>
    <w:p w14:paraId="249323E9" w14:textId="77777777" w:rsidR="001C1CE3" w:rsidRPr="009E50F7" w:rsidRDefault="00000000" w:rsidP="0064767C">
      <w:pPr>
        <w:pStyle w:val="JuQuot"/>
        <w:rPr>
          <w:lang w:val="pl-PL"/>
        </w:rPr>
      </w:pPr>
      <w:r>
        <w:rPr>
          <w:lang w:val="pl"/>
        </w:rPr>
        <w:t>– koalicje co najmniej trzech partii, których łączny wynik wyborczy wynosi co najmniej 20 procent (20 %) [...]</w:t>
      </w:r>
    </w:p>
    <w:p w14:paraId="3BD57710" w14:textId="683A9944" w:rsidR="001C1CE3" w:rsidRPr="009E50F7" w:rsidRDefault="00000000" w:rsidP="0064767C">
      <w:pPr>
        <w:pStyle w:val="JuQuot"/>
        <w:rPr>
          <w:lang w:val="pl-PL"/>
        </w:rPr>
      </w:pPr>
      <w:r>
        <w:rPr>
          <w:lang w:val="pl"/>
        </w:rPr>
        <w:t xml:space="preserve">Przydział mandatów kandydatom na pierwszym i drugim etapie odbywa się na podstawie łącznej liczby głosów oddanych na kandydatów każdej partii [art. 32 ust. 4 </w:t>
      </w:r>
      <w:r w:rsidR="00DA23B3">
        <w:rPr>
          <w:lang w:val="pl"/>
        </w:rPr>
        <w:t>P</w:t>
      </w:r>
      <w:r>
        <w:rPr>
          <w:lang w:val="pl"/>
        </w:rPr>
        <w:t xml:space="preserve">rawa </w:t>
      </w:r>
      <w:r w:rsidR="00DA23B3">
        <w:rPr>
          <w:lang w:val="pl"/>
        </w:rPr>
        <w:t>W</w:t>
      </w:r>
      <w:r>
        <w:rPr>
          <w:lang w:val="pl"/>
        </w:rPr>
        <w:t>yborczego] [...]</w:t>
      </w:r>
    </w:p>
    <w:p w14:paraId="07457D5A" w14:textId="7E75BEA0" w:rsidR="001C1CE3" w:rsidRPr="009E50F7" w:rsidRDefault="00000000" w:rsidP="0064767C">
      <w:pPr>
        <w:pStyle w:val="JuQuot"/>
        <w:rPr>
          <w:b/>
          <w:bCs/>
          <w:lang w:val="pl-PL"/>
        </w:rPr>
      </w:pPr>
      <w:r>
        <w:rPr>
          <w:lang w:val="pl"/>
        </w:rPr>
        <w:t>Liderzy partii oraz liderzy koalicji partyjnych są wykluczeni z głosowania preferencyjnego. Zajmują oni czołowe miejsca na liście wyborczej partii i przypisuje się im tyle głosów, ile wynosi łączna liczba ważnych głosów oddanych na tę partię w</w:t>
      </w:r>
      <w:r w:rsidR="009E50F7">
        <w:rPr>
          <w:lang w:val="pl"/>
        </w:rPr>
        <w:t> </w:t>
      </w:r>
      <w:r>
        <w:rPr>
          <w:lang w:val="pl"/>
        </w:rPr>
        <w:t>skali kraju.</w:t>
      </w:r>
    </w:p>
    <w:p w14:paraId="0FE6A5B0" w14:textId="2E257CA0" w:rsidR="001C1CE3" w:rsidRPr="009E50F7" w:rsidRDefault="00000000" w:rsidP="0064767C">
      <w:pPr>
        <w:pStyle w:val="JuHA"/>
        <w:rPr>
          <w:lang w:val="pl-PL"/>
        </w:rPr>
      </w:pPr>
      <w:r>
        <w:rPr>
          <w:lang w:val="pl"/>
        </w:rPr>
        <w:t>Raport Organizacji Bezpieczeństwa i Współpracy w Europie (OBWE) zatytułowany „Cypr, wybory parlamentarne, 22</w:t>
      </w:r>
      <w:r w:rsidR="009E50F7">
        <w:rPr>
          <w:lang w:val="pl"/>
        </w:rPr>
        <w:t> </w:t>
      </w:r>
      <w:r>
        <w:rPr>
          <w:lang w:val="pl"/>
        </w:rPr>
        <w:t>maja</w:t>
      </w:r>
      <w:r w:rsidR="009E50F7">
        <w:rPr>
          <w:lang w:val="pl"/>
        </w:rPr>
        <w:t> </w:t>
      </w:r>
      <w:r>
        <w:rPr>
          <w:lang w:val="pl"/>
        </w:rPr>
        <w:t>2016 r.: raport z misji oceny potrzeb”</w:t>
      </w:r>
    </w:p>
    <w:bookmarkStart w:id="29" w:name="OSCE"/>
    <w:p w14:paraId="1E6F0910" w14:textId="77777777"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52</w:t>
      </w:r>
      <w:r>
        <w:rPr>
          <w:lang w:val="pl"/>
        </w:rPr>
        <w:fldChar w:fldCharType="end"/>
      </w:r>
      <w:bookmarkEnd w:id="29"/>
      <w:r>
        <w:rPr>
          <w:lang w:val="pl"/>
        </w:rPr>
        <w:t>.  W swoim raporcie z dnia 30 marca 2016 r. OBWE odnotowała, co następuje:</w:t>
      </w:r>
    </w:p>
    <w:p w14:paraId="24BB602A" w14:textId="77777777" w:rsidR="001C1CE3" w:rsidRPr="009E50F7" w:rsidRDefault="00000000" w:rsidP="0064767C">
      <w:pPr>
        <w:pStyle w:val="JuQuot"/>
        <w:rPr>
          <w:lang w:val="pl-PL"/>
        </w:rPr>
      </w:pPr>
      <w:r>
        <w:rPr>
          <w:lang w:val="pl"/>
        </w:rPr>
        <w:t>„RAMY PRAWNE I SYSTEM WYBORCZY</w:t>
      </w:r>
    </w:p>
    <w:p w14:paraId="4364EB52" w14:textId="77777777" w:rsidR="001C1CE3" w:rsidRPr="009E50F7" w:rsidRDefault="00000000" w:rsidP="0064767C">
      <w:pPr>
        <w:pStyle w:val="JuQuot"/>
        <w:rPr>
          <w:lang w:val="pl-PL"/>
        </w:rPr>
      </w:pPr>
      <w:r>
        <w:rPr>
          <w:lang w:val="pl"/>
        </w:rPr>
        <w:t xml:space="preserve">[...] Parlament wybierany jest w systemie proporcjonalnym z sześciu okręgów wielomandatowych. Okręgi wyborcze pokrywają się z sześcioma okręgami administracyjnymi, w tym z okręgami, które nie znajdują się pod kontrolą rządu. Liczba mandatów przyznawanych w każdym z tych okręgów zależy od liczby zarejestrowanych wyborców [Nikozja – 20 mandatów, </w:t>
      </w:r>
      <w:proofErr w:type="spellStart"/>
      <w:r>
        <w:rPr>
          <w:lang w:val="pl"/>
        </w:rPr>
        <w:t>Limassol</w:t>
      </w:r>
      <w:proofErr w:type="spellEnd"/>
      <w:r>
        <w:rPr>
          <w:lang w:val="pl"/>
        </w:rPr>
        <w:t xml:space="preserve"> – 12 mandatów, Famagusta – 11 mandatów, Larnaka – 6 mandatów, Pafos – 4 mandaty, </w:t>
      </w:r>
      <w:proofErr w:type="spellStart"/>
      <w:r>
        <w:rPr>
          <w:lang w:val="pl"/>
        </w:rPr>
        <w:t>Kirenia</w:t>
      </w:r>
      <w:proofErr w:type="spellEnd"/>
      <w:r>
        <w:rPr>
          <w:lang w:val="pl"/>
        </w:rPr>
        <w:t xml:space="preserve"> – 3 mandaty]. Wyborcy mogą wskazać preferowanych kandydatów z listy partyjnej, na którą oddają głos. Liczba głosów preferencyjnych nie może przekraczać jednego na każde cztery mandaty w danym okręgu wyborczym.</w:t>
      </w:r>
    </w:p>
    <w:p w14:paraId="11A48E3F" w14:textId="77777777" w:rsidR="001C1CE3" w:rsidRPr="009E50F7" w:rsidRDefault="00000000" w:rsidP="0064767C">
      <w:pPr>
        <w:pStyle w:val="JuQuot"/>
        <w:rPr>
          <w:lang w:val="pl-PL"/>
        </w:rPr>
      </w:pPr>
      <w:r>
        <w:rPr>
          <w:lang w:val="pl"/>
        </w:rPr>
        <w:t xml:space="preserve">Pierwszy podział mandatów odbywa się na poziomie okręgu. Współczynnik wyborczy dla danego okręgu oblicza się poprzez podzielenie liczby ważnych głosów przez liczbę mandatów w tym okręgu. Drugi etap podziału mandatów odbywa się na </w:t>
      </w:r>
      <w:r>
        <w:rPr>
          <w:lang w:val="pl"/>
        </w:rPr>
        <w:lastRenderedPageBreak/>
        <w:t>szczeblu krajowym. W grudniu 2015 r., zaledwie pięć miesięcy przed planowanymi wyborami, parlament przyjął zmiany w ordynacji wyborczej, w tym podwyższenie progu uprawniającego partie polityczne do udziału w drugim etapie podziału mandatów z 1,8 do 3,6 procent ważnych głosów uzyskanych w całym kraju. [...]</w:t>
      </w:r>
    </w:p>
    <w:p w14:paraId="70F1B81D" w14:textId="77777777" w:rsidR="001C1CE3" w:rsidRPr="009E50F7" w:rsidRDefault="00000000" w:rsidP="0064767C">
      <w:pPr>
        <w:pStyle w:val="JuQuot"/>
        <w:rPr>
          <w:lang w:val="pl-PL"/>
        </w:rPr>
      </w:pPr>
      <w:r>
        <w:rPr>
          <w:lang w:val="pl"/>
        </w:rPr>
        <w:t>ADMINISTRACJA WYBORCZA</w:t>
      </w:r>
    </w:p>
    <w:p w14:paraId="04311757" w14:textId="4D59C732" w:rsidR="001C1CE3" w:rsidRPr="009E50F7" w:rsidRDefault="00000000" w:rsidP="0064767C">
      <w:pPr>
        <w:pStyle w:val="JuQuot"/>
        <w:rPr>
          <w:lang w:val="pl-PL"/>
        </w:rPr>
      </w:pPr>
      <w:r>
        <w:rPr>
          <w:lang w:val="pl"/>
        </w:rPr>
        <w:t xml:space="preserve">Administracja wyborcza na wszystkich szczeblach składa się głównie z urzędników służby cywilnej. Ministerstwo Spraw Wewnętrznych (MSW) jest głównym organem odpowiedzialnym za organizację wyborów parlamentarnych. Po ogłoszeniu terminu wyborów </w:t>
      </w:r>
      <w:r w:rsidR="00007064">
        <w:rPr>
          <w:lang w:val="pl"/>
        </w:rPr>
        <w:t>M</w:t>
      </w:r>
      <w:r>
        <w:rPr>
          <w:lang w:val="pl"/>
        </w:rPr>
        <w:t xml:space="preserve">inister </w:t>
      </w:r>
      <w:r w:rsidR="00007064">
        <w:rPr>
          <w:lang w:val="pl"/>
        </w:rPr>
        <w:t>S</w:t>
      </w:r>
      <w:r>
        <w:rPr>
          <w:lang w:val="pl"/>
        </w:rPr>
        <w:t xml:space="preserve">praw </w:t>
      </w:r>
      <w:r w:rsidR="00007064">
        <w:rPr>
          <w:lang w:val="pl"/>
        </w:rPr>
        <w:t>W</w:t>
      </w:r>
      <w:r>
        <w:rPr>
          <w:lang w:val="pl"/>
        </w:rPr>
        <w:t xml:space="preserve">ewnętrznych mianuje </w:t>
      </w:r>
      <w:r w:rsidR="00007064">
        <w:rPr>
          <w:lang w:val="pl"/>
        </w:rPr>
        <w:t>S</w:t>
      </w:r>
      <w:r>
        <w:rPr>
          <w:lang w:val="pl"/>
        </w:rPr>
        <w:t xml:space="preserve">tałego </w:t>
      </w:r>
      <w:r w:rsidR="00007064">
        <w:rPr>
          <w:lang w:val="pl"/>
        </w:rPr>
        <w:t>S</w:t>
      </w:r>
      <w:r>
        <w:rPr>
          <w:lang w:val="pl"/>
        </w:rPr>
        <w:t xml:space="preserve">ekretarza </w:t>
      </w:r>
      <w:r w:rsidR="00007064">
        <w:rPr>
          <w:lang w:val="pl"/>
        </w:rPr>
        <w:t>M</w:t>
      </w:r>
      <w:r>
        <w:rPr>
          <w:lang w:val="pl"/>
        </w:rPr>
        <w:t>inisterstwa na stanowisko [</w:t>
      </w:r>
      <w:r w:rsidR="00007064">
        <w:rPr>
          <w:lang w:val="pl"/>
        </w:rPr>
        <w:t>G</w:t>
      </w:r>
      <w:r>
        <w:rPr>
          <w:lang w:val="pl"/>
        </w:rPr>
        <w:t xml:space="preserve">łównego] </w:t>
      </w:r>
      <w:r w:rsidR="00007064">
        <w:rPr>
          <w:lang w:val="pl"/>
        </w:rPr>
        <w:t>K</w:t>
      </w:r>
      <w:r>
        <w:rPr>
          <w:lang w:val="pl"/>
        </w:rPr>
        <w:t xml:space="preserve">omisarza </w:t>
      </w:r>
      <w:r w:rsidR="00007064">
        <w:rPr>
          <w:lang w:val="pl"/>
        </w:rPr>
        <w:t>W</w:t>
      </w:r>
      <w:r>
        <w:rPr>
          <w:lang w:val="pl"/>
        </w:rPr>
        <w:t>yborczego odpowiedzialnego za organizację wyborów, przy wsparciu Centralnego Biura Wyborczego MSW, które ma charakter stały.</w:t>
      </w:r>
    </w:p>
    <w:p w14:paraId="6A59202C" w14:textId="77777777" w:rsidR="001C1CE3" w:rsidRPr="009E50F7" w:rsidRDefault="00000000" w:rsidP="0064767C">
      <w:pPr>
        <w:pStyle w:val="JuQuot"/>
        <w:rPr>
          <w:lang w:val="pl-PL"/>
        </w:rPr>
      </w:pPr>
      <w:r>
        <w:rPr>
          <w:lang w:val="pl"/>
        </w:rPr>
        <w:t>Urzędnicy okręgowi z sześciu jednostek administracyjnych kraju są mianowani okręgowymi komisarzami wyborczymi i odpowiadają za organizację wyborów na szczeblu okręgowym. [...]</w:t>
      </w:r>
    </w:p>
    <w:p w14:paraId="78342155" w14:textId="77777777" w:rsidR="001C1CE3" w:rsidRPr="009E50F7" w:rsidRDefault="00000000" w:rsidP="0064767C">
      <w:pPr>
        <w:pStyle w:val="JuQuot"/>
        <w:rPr>
          <w:lang w:val="pl-PL"/>
        </w:rPr>
      </w:pPr>
      <w:r>
        <w:rPr>
          <w:lang w:val="pl"/>
        </w:rPr>
        <w:t>[...] SKARGI I ODWOŁANIA</w:t>
      </w:r>
    </w:p>
    <w:p w14:paraId="02EFA28F" w14:textId="191EB6E1" w:rsidR="001C1CE3" w:rsidRPr="009E50F7" w:rsidRDefault="00000000" w:rsidP="0064767C">
      <w:pPr>
        <w:pStyle w:val="JuQuot"/>
        <w:rPr>
          <w:lang w:val="pl-PL"/>
        </w:rPr>
      </w:pPr>
      <w:r>
        <w:rPr>
          <w:lang w:val="pl"/>
        </w:rPr>
        <w:t>Skargi dotyczące administracji wyborczej, w tym rejestracji kandydatów i wyborców, należy kierować do okręgowych komisarzy wyborczych. W dniu wyborów skargi można składać do rozpatrujących je przewodniczących komisji wyborczych w lokalach wyborczych. Od ich decyzji przysługuje odwołanie do [</w:t>
      </w:r>
      <w:r w:rsidR="00EF649A">
        <w:rPr>
          <w:lang w:val="pl"/>
        </w:rPr>
        <w:t>G</w:t>
      </w:r>
      <w:r>
        <w:rPr>
          <w:lang w:val="pl"/>
        </w:rPr>
        <w:t xml:space="preserve">łównego] </w:t>
      </w:r>
      <w:r w:rsidR="00EF649A">
        <w:rPr>
          <w:lang w:val="pl"/>
        </w:rPr>
        <w:t>K</w:t>
      </w:r>
      <w:r>
        <w:rPr>
          <w:lang w:val="pl"/>
        </w:rPr>
        <w:t xml:space="preserve">omisarza </w:t>
      </w:r>
      <w:r w:rsidR="00EF649A">
        <w:rPr>
          <w:lang w:val="pl"/>
        </w:rPr>
        <w:t>W</w:t>
      </w:r>
      <w:r>
        <w:rPr>
          <w:lang w:val="pl"/>
        </w:rPr>
        <w:t>yborczego, a następnie do Sądu Najwyższego.</w:t>
      </w:r>
    </w:p>
    <w:p w14:paraId="3E3BF1FC" w14:textId="46E9A636" w:rsidR="001C1CE3" w:rsidRPr="009E50F7" w:rsidRDefault="00000000" w:rsidP="0064767C">
      <w:pPr>
        <w:pStyle w:val="JuQuot"/>
        <w:rPr>
          <w:lang w:val="pl-PL"/>
        </w:rPr>
      </w:pPr>
      <w:r>
        <w:rPr>
          <w:lang w:val="pl"/>
        </w:rPr>
        <w:t xml:space="preserve">Skargi dotyczące wyników wyborów mogą być składane do Sądu Najwyższego – pełniącego w okresie wyborczym funkcję Sądu Wyborczego – przez </w:t>
      </w:r>
      <w:r w:rsidR="00EF649A">
        <w:rPr>
          <w:lang w:val="pl"/>
        </w:rPr>
        <w:t>P</w:t>
      </w:r>
      <w:r>
        <w:rPr>
          <w:lang w:val="pl"/>
        </w:rPr>
        <w:t xml:space="preserve">rokuratora </w:t>
      </w:r>
      <w:r w:rsidR="00EF649A">
        <w:rPr>
          <w:lang w:val="pl"/>
        </w:rPr>
        <w:t>G</w:t>
      </w:r>
      <w:r>
        <w:rPr>
          <w:lang w:val="pl"/>
        </w:rPr>
        <w:t>eneralnego, wyborcę, kandydata, a także każdą osobę twierdzącą, że doszło do naruszenia jej praw wyborczych. Sąd Wyborczy jest pierwszą i ostatnią instancją rozpatrującą skargi dotyczące wyników wyborów. Zmiany w prawie wyborczym wprowadzone w 2015 r. wydłużyły termin składania skarg z jednego do dwóch miesięcy od daty ogłoszenia wyników wyborów.</w:t>
      </w:r>
    </w:p>
    <w:p w14:paraId="1CBF2692" w14:textId="77777777" w:rsidR="001C1CE3" w:rsidRPr="009E50F7" w:rsidRDefault="00000000" w:rsidP="0064767C">
      <w:pPr>
        <w:pStyle w:val="JuQuot"/>
        <w:rPr>
          <w:lang w:val="pl-PL"/>
        </w:rPr>
      </w:pPr>
      <w:r>
        <w:rPr>
          <w:lang w:val="pl"/>
        </w:rPr>
        <w:t>WNIOSEK I ZALECENIE</w:t>
      </w:r>
    </w:p>
    <w:p w14:paraId="6C37673C" w14:textId="77777777" w:rsidR="001C1CE3" w:rsidRPr="009E50F7" w:rsidRDefault="00000000" w:rsidP="0064767C">
      <w:pPr>
        <w:pStyle w:val="JuQuot"/>
        <w:rPr>
          <w:lang w:val="pl-PL"/>
        </w:rPr>
      </w:pPr>
      <w:r>
        <w:rPr>
          <w:lang w:val="pl"/>
        </w:rPr>
        <w:t>W ramach misji oceny potrzeb (NAM) OBWE/ODIHR odnotowano pełne zaufanie wszystkich rozmówców do uczciwości procesu wyborczego oraz do profesjonalizmu i bezstronności organów wyborczych. Nie zgłoszono żadnych poważnych zastrzeżeń dotyczących przestrzegania podstawowych wolności, przejrzystości procesu wyborczego, rejestracji wyborców i kandydatów, a także przebiegu wyborów w dniu głosowania. Wielu rozmówców NAM OBWE/ODIHR wyraziło zaniepokojenie niektórymi niedawnymi zmianami, a także terminem i procedurą ich uchwalenia. Omówiono kilka wcześniejszych zaleceń OBWE/ODIHR dotyczących finansowania partii politycznych i kampanii wyborczych.</w:t>
      </w:r>
    </w:p>
    <w:p w14:paraId="24804B7B" w14:textId="77777777" w:rsidR="001C1CE3" w:rsidRPr="009E50F7" w:rsidRDefault="00000000" w:rsidP="0064767C">
      <w:pPr>
        <w:pStyle w:val="JuQuot"/>
        <w:rPr>
          <w:lang w:val="pl-PL"/>
        </w:rPr>
      </w:pPr>
      <w:r>
        <w:rPr>
          <w:lang w:val="pl"/>
        </w:rPr>
        <w:t>W świetle powyższego oraz faktu, że większość rozmówców NAM OBWE/ODIHR wyraziła opinię, iż działania ODIHR związane z wyborami przyniosłyby jedynie ograniczoną wartość dodaną, NAM OBWE/ODIHR nie zaleca podejmowania działań związanych z wyborami w związku z wyborami parlamentarnymi w 2016 r. [...]”.</w:t>
      </w:r>
    </w:p>
    <w:p w14:paraId="68DC69B3" w14:textId="77777777" w:rsidR="001C1CE3" w:rsidRPr="0064767C" w:rsidRDefault="00000000" w:rsidP="0064767C">
      <w:pPr>
        <w:pStyle w:val="JuHHead"/>
      </w:pPr>
      <w:r>
        <w:rPr>
          <w:bCs w:val="0"/>
          <w:lang w:val="pl"/>
        </w:rPr>
        <w:lastRenderedPageBreak/>
        <w:t>STAN PRAWNY</w:t>
      </w:r>
    </w:p>
    <w:p w14:paraId="6ACFE4D2" w14:textId="77777777" w:rsidR="001C1CE3" w:rsidRPr="009E50F7" w:rsidRDefault="00000000" w:rsidP="0064767C">
      <w:pPr>
        <w:pStyle w:val="JuHIRoman"/>
        <w:rPr>
          <w:lang w:val="pl-PL"/>
        </w:rPr>
      </w:pPr>
      <w:r>
        <w:rPr>
          <w:bCs w:val="0"/>
          <w:lang w:val="pl"/>
        </w:rPr>
        <w:t>ZARZUCANE NARUSZENIE ART. 3 protokołu nr 1 do KONWENCJI</w:t>
      </w:r>
    </w:p>
    <w:p w14:paraId="448A429A" w14:textId="5A5D7E38"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53</w:t>
      </w:r>
      <w:r>
        <w:rPr>
          <w:noProof/>
          <w:lang w:val="pl"/>
        </w:rPr>
        <w:fldChar w:fldCharType="end"/>
      </w:r>
      <w:r>
        <w:rPr>
          <w:lang w:val="pl"/>
        </w:rPr>
        <w:t>.  Skarżący podniósł zarzut naruszenia prawa do kandydowania w</w:t>
      </w:r>
      <w:r w:rsidR="009E50F7">
        <w:rPr>
          <w:lang w:val="pl"/>
        </w:rPr>
        <w:t> </w:t>
      </w:r>
      <w:r>
        <w:rPr>
          <w:lang w:val="pl"/>
        </w:rPr>
        <w:t>wyborach oraz prawa wyborców do wyboru ciała ustawodawczego, zgodnie z art. 3 protokołu nr 1 do Konwencji, który brzmi następująco:</w:t>
      </w:r>
    </w:p>
    <w:p w14:paraId="0729E098" w14:textId="11F58164" w:rsidR="001C1CE3" w:rsidRPr="009E50F7" w:rsidRDefault="00000000" w:rsidP="0064767C">
      <w:pPr>
        <w:pStyle w:val="JuQuot"/>
        <w:rPr>
          <w:lang w:val="pl-PL"/>
        </w:rPr>
      </w:pPr>
      <w:r>
        <w:rPr>
          <w:lang w:val="pl"/>
        </w:rPr>
        <w:t>„Wysokie Układające się Strony zobowiązują się organizować w rozsądnych odstępach czasu wolne wybory</w:t>
      </w:r>
      <w:r w:rsidR="00495D99">
        <w:rPr>
          <w:lang w:val="pl"/>
        </w:rPr>
        <w:t>,</w:t>
      </w:r>
      <w:r>
        <w:rPr>
          <w:lang w:val="pl"/>
        </w:rPr>
        <w:t xml:space="preserve"> oparte na tajnym głosowaniu, w warunkach zapewniających swobodę wyrażania opinii ludności w wyborze ciała ustawodawczego”.</w:t>
      </w:r>
    </w:p>
    <w:p w14:paraId="6C99E81B" w14:textId="77777777" w:rsidR="001C1CE3" w:rsidRPr="0064767C" w:rsidRDefault="00000000" w:rsidP="0064767C">
      <w:pPr>
        <w:pStyle w:val="JuHA"/>
      </w:pPr>
      <w:r>
        <w:rPr>
          <w:lang w:val="pl"/>
        </w:rPr>
        <w:t>Dopuszczalność</w:t>
      </w:r>
    </w:p>
    <w:p w14:paraId="676A392F" w14:textId="77777777" w:rsidR="001C1CE3" w:rsidRPr="0064767C" w:rsidRDefault="00000000" w:rsidP="0064767C">
      <w:pPr>
        <w:pStyle w:val="JuH1"/>
      </w:pPr>
      <w:r>
        <w:rPr>
          <w:bCs w:val="0"/>
          <w:lang w:val="pl"/>
        </w:rPr>
        <w:t>Dotrzymanie sześciomiesięcznego terminu</w:t>
      </w:r>
    </w:p>
    <w:p w14:paraId="7120B722" w14:textId="10E34570" w:rsidR="001C1CE3" w:rsidRPr="009E50F7" w:rsidRDefault="00000000" w:rsidP="0064767C">
      <w:pPr>
        <w:pStyle w:val="JuPara"/>
        <w:rPr>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54</w:t>
      </w:r>
      <w:r>
        <w:rPr>
          <w:lang w:val="pl"/>
        </w:rPr>
        <w:fldChar w:fldCharType="end"/>
      </w:r>
      <w:r>
        <w:rPr>
          <w:lang w:val="pl"/>
        </w:rPr>
        <w:t>.  Rząd nie wniósł zastrzeżeń dotyczących nieprzestrzegania zasady sześciomiesięcznego terminu</w:t>
      </w:r>
      <w:r>
        <w:rPr>
          <w:rStyle w:val="Odwoanieprzypisudolnego"/>
          <w:lang w:val="pl"/>
        </w:rPr>
        <w:footnoteReference w:id="1"/>
      </w:r>
      <w:r>
        <w:rPr>
          <w:lang w:val="pl"/>
        </w:rPr>
        <w:t>. Trybunał orzekł jednak wcześniej, że zasada sześciomiesięcznego terminu stanowi normę porządku publicznego i</w:t>
      </w:r>
      <w:r w:rsidR="009E50F7">
        <w:rPr>
          <w:lang w:val="pl"/>
        </w:rPr>
        <w:t> </w:t>
      </w:r>
      <w:r>
        <w:rPr>
          <w:lang w:val="pl"/>
        </w:rPr>
        <w:t>w</w:t>
      </w:r>
      <w:r w:rsidR="009E50F7">
        <w:rPr>
          <w:lang w:val="pl"/>
        </w:rPr>
        <w:t> </w:t>
      </w:r>
      <w:r>
        <w:rPr>
          <w:lang w:val="pl"/>
        </w:rPr>
        <w:t>związku z tym jest uprawniony do jej stosowania z urzędu (zob.</w:t>
      </w:r>
      <w:bookmarkStart w:id="30" w:name="_cl34743THELAW"/>
      <w:r w:rsidR="00495D99">
        <w:rPr>
          <w:lang w:val="pl"/>
        </w:rPr>
        <w:t xml:space="preserve"> </w:t>
      </w:r>
      <w:proofErr w:type="spellStart"/>
      <w:r>
        <w:rPr>
          <w:i/>
          <w:iCs/>
          <w:lang w:val="pl"/>
        </w:rPr>
        <w:t>Radomilja</w:t>
      </w:r>
      <w:proofErr w:type="spellEnd"/>
      <w:r>
        <w:rPr>
          <w:i/>
          <w:iCs/>
          <w:lang w:val="pl"/>
        </w:rPr>
        <w:t xml:space="preserve"> i Inni przeciwko Chorwacji</w:t>
      </w:r>
      <w:bookmarkEnd w:id="30"/>
      <w:r>
        <w:rPr>
          <w:lang w:val="pl"/>
        </w:rPr>
        <w:t xml:space="preserve"> [WI], nr 37685/10 i 22768/12, § 138, 20 marca 2018 r.; </w:t>
      </w:r>
      <w:proofErr w:type="spellStart"/>
      <w:r>
        <w:rPr>
          <w:i/>
          <w:iCs/>
          <w:lang w:val="pl"/>
        </w:rPr>
        <w:t>Sabri</w:t>
      </w:r>
      <w:proofErr w:type="spellEnd"/>
      <w:r>
        <w:rPr>
          <w:i/>
          <w:iCs/>
          <w:lang w:val="pl"/>
        </w:rPr>
        <w:t xml:space="preserve"> </w:t>
      </w:r>
      <w:proofErr w:type="spellStart"/>
      <w:r>
        <w:rPr>
          <w:i/>
          <w:iCs/>
          <w:lang w:val="pl"/>
        </w:rPr>
        <w:t>Güneş</w:t>
      </w:r>
      <w:proofErr w:type="spellEnd"/>
      <w:r>
        <w:rPr>
          <w:i/>
          <w:iCs/>
          <w:lang w:val="pl"/>
        </w:rPr>
        <w:t xml:space="preserve"> przeciwko </w:t>
      </w:r>
      <w:r>
        <w:rPr>
          <w:lang w:val="pl"/>
        </w:rPr>
        <w:t xml:space="preserve">Turcji [WI], nr 27396/06, § 29, 29 czerwca 2012 r.; oraz </w:t>
      </w:r>
      <w:proofErr w:type="spellStart"/>
      <w:r>
        <w:rPr>
          <w:i/>
          <w:iCs/>
          <w:lang w:val="pl"/>
        </w:rPr>
        <w:t>Blečić</w:t>
      </w:r>
      <w:proofErr w:type="spellEnd"/>
      <w:r>
        <w:rPr>
          <w:i/>
          <w:iCs/>
          <w:lang w:val="pl"/>
        </w:rPr>
        <w:t xml:space="preserve"> przeciwko Chorwacji </w:t>
      </w:r>
      <w:r>
        <w:rPr>
          <w:lang w:val="pl"/>
        </w:rPr>
        <w:t>[WI], nr 59532/00, § 68, ECHR 2006-III). Trybunał zbada zatem kwestię zgodności z zasadą sześciomiesięcznego terminu w odniesieniu do zarzutów skarżącego.</w:t>
      </w:r>
    </w:p>
    <w:p w14:paraId="0F1E853F" w14:textId="6D9214C1" w:rsidR="001C1CE3" w:rsidRPr="009E50F7" w:rsidRDefault="00000000" w:rsidP="0064767C">
      <w:pPr>
        <w:pStyle w:val="JuPara"/>
        <w:rPr>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55</w:t>
      </w:r>
      <w:r>
        <w:rPr>
          <w:lang w:val="pl"/>
        </w:rPr>
        <w:fldChar w:fldCharType="end"/>
      </w:r>
      <w:r>
        <w:rPr>
          <w:lang w:val="pl"/>
        </w:rPr>
        <w:t xml:space="preserve">.  Zważywszy, że oświadczenie w sprawie objęcia mandatu parlamentarnego przez skarżącego zostało unieważnione aż trzykrotnie, Sąd uważa za istotne wyjaśnienie tej kwestii. W pierwszym postępowaniu Sąd Wyborczy stwierdził – pokrótce – istnienie luki prawnej. W drugim postępowaniu </w:t>
      </w:r>
      <w:r w:rsidR="00107BD7">
        <w:rPr>
          <w:lang w:val="pl"/>
        </w:rPr>
        <w:t>S</w:t>
      </w:r>
      <w:r w:rsidR="00107BD7">
        <w:rPr>
          <w:lang w:val="pl"/>
        </w:rPr>
        <w:t xml:space="preserve">ąd </w:t>
      </w:r>
      <w:r>
        <w:rPr>
          <w:lang w:val="pl"/>
        </w:rPr>
        <w:t>potwierdził to ustalenie, stwierdzając, że nie nastąpiła zmiana okoliczności – pomimo zmiany ustawy – ponieważ konstytucja nadal nie przewiduje „nieobsadzonego” mandatu. W trzecim postępowaniu sąd ponownie rozpatrzył kwestię zgodności „wypełnienia” wspomnianej luki prawnej z przepisami konstytucji.</w:t>
      </w:r>
      <w:r>
        <w:rPr>
          <w:color w:val="0072BC" w:themeColor="accent1"/>
          <w:lang w:val="pl"/>
        </w:rPr>
        <w:t xml:space="preserve"> </w:t>
      </w:r>
      <w:r>
        <w:rPr>
          <w:lang w:val="pl"/>
        </w:rPr>
        <w:t xml:space="preserve">Wszystkie trzy orzeczenia, które były ze sobą ściśle powiązane i dały początek serii oświadczeń wydanych przez GKW, dotyczyły ostatecznie wyników wyborów z maja 2016 r. Pomimo unieważnienia wyboru skarżącego za każdym razem – co powodowało, że mandat parlamentarny wielokrotnie pozostawał nieobsadzony – nie przeprowadzono nowych wyborów, a sąd za każdym razem musiał </w:t>
      </w:r>
      <w:r>
        <w:rPr>
          <w:lang w:val="pl"/>
        </w:rPr>
        <w:lastRenderedPageBreak/>
        <w:t>(ponownie) rozpatrywać wolę wyborców wyrażoną w wyborach z maja 2016</w:t>
      </w:r>
      <w:r w:rsidR="009E50F7">
        <w:rPr>
          <w:lang w:val="pl"/>
        </w:rPr>
        <w:t> </w:t>
      </w:r>
      <w:r>
        <w:rPr>
          <w:lang w:val="pl"/>
        </w:rPr>
        <w:t>r. Z tego powodu Trybunał uważa, że w okolicznościach niniejszej sprawy okres, w którym mandat parlamentarny skarżącego był przedmiotem sporu, należy traktować jako całość dla celów zasady sześciomiesięcznego terminu.</w:t>
      </w:r>
    </w:p>
    <w:p w14:paraId="20EA78F6" w14:textId="77777777" w:rsidR="001C1CE3" w:rsidRPr="009E50F7" w:rsidRDefault="00000000" w:rsidP="0064767C">
      <w:pPr>
        <w:pStyle w:val="JuPara"/>
        <w:rPr>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56</w:t>
      </w:r>
      <w:r>
        <w:rPr>
          <w:lang w:val="pl"/>
        </w:rPr>
        <w:fldChar w:fldCharType="end"/>
      </w:r>
      <w:r>
        <w:rPr>
          <w:lang w:val="pl"/>
        </w:rPr>
        <w:t>.  W związku z tym skargi skarżącego dotyczące orzeczeń sądów krajowych, które stanowiły sytuację o charakterze ciągłym, zostały wniesione w terminie sześciu miesięcy.</w:t>
      </w:r>
    </w:p>
    <w:p w14:paraId="5E2F3C3F" w14:textId="77777777" w:rsidR="001C1CE3" w:rsidRPr="0064767C" w:rsidRDefault="00000000" w:rsidP="0064767C">
      <w:pPr>
        <w:pStyle w:val="JuH1"/>
      </w:pPr>
      <w:r>
        <w:rPr>
          <w:bCs w:val="0"/>
          <w:lang w:val="pl"/>
        </w:rPr>
        <w:t>Niewyczerpanie środków</w:t>
      </w:r>
    </w:p>
    <w:p w14:paraId="552736A5"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57</w:t>
      </w:r>
      <w:r>
        <w:rPr>
          <w:noProof/>
          <w:lang w:val="pl"/>
        </w:rPr>
        <w:fldChar w:fldCharType="end"/>
      </w:r>
      <w:r>
        <w:rPr>
          <w:lang w:val="pl"/>
        </w:rPr>
        <w:t>.  Rząd twierdził, że skarżący nie wyczerpał krajowych środków odwoławczych, ponieważ w żadnej z trzech skarg wyborczych nie powołał się na swoje prawa wynikające z art. 3 Protokołu nr 1 do Konwencji.</w:t>
      </w:r>
    </w:p>
    <w:p w14:paraId="5C683826"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58</w:t>
      </w:r>
      <w:r>
        <w:rPr>
          <w:noProof/>
          <w:lang w:val="pl"/>
        </w:rPr>
        <w:fldChar w:fldCharType="end"/>
      </w:r>
      <w:r>
        <w:rPr>
          <w:lang w:val="pl"/>
        </w:rPr>
        <w:t>.  Skarżący nie podziela tego stanowiska.</w:t>
      </w:r>
    </w:p>
    <w:p w14:paraId="253EEC56" w14:textId="6E9B5D92"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59</w:t>
      </w:r>
      <w:r>
        <w:rPr>
          <w:noProof/>
          <w:lang w:val="pl"/>
        </w:rPr>
        <w:fldChar w:fldCharType="end"/>
      </w:r>
      <w:r>
        <w:rPr>
          <w:lang w:val="pl"/>
        </w:rPr>
        <w:t xml:space="preserve">.  Trybunał przypomina, że zasadę wyczerpania krajowych środków odwoławczych należy stosować „z pewną dozą elastyczności i bez nadmiernego formalizmu”; wystarczy, aby zarzuty, które mają zostać podniesione później w Strasburgu, zostały zgłoszone przed organami krajowymi „przynajmniej co do istoty oraz z zachowaniem wymogów formalnych i terminów określonych w prawie krajowym” (zob. </w:t>
      </w:r>
      <w:bookmarkStart w:id="31" w:name="_cl25971"/>
      <w:proofErr w:type="spellStart"/>
      <w:r>
        <w:rPr>
          <w:i/>
          <w:iCs/>
          <w:lang w:val="pl"/>
        </w:rPr>
        <w:t>Fressoz</w:t>
      </w:r>
      <w:proofErr w:type="spellEnd"/>
      <w:r>
        <w:rPr>
          <w:i/>
          <w:iCs/>
          <w:lang w:val="pl"/>
        </w:rPr>
        <w:t xml:space="preserve"> i</w:t>
      </w:r>
      <w:r w:rsidR="009E50F7">
        <w:rPr>
          <w:i/>
          <w:iCs/>
          <w:lang w:val="pl"/>
        </w:rPr>
        <w:t> </w:t>
      </w:r>
      <w:proofErr w:type="spellStart"/>
      <w:r>
        <w:rPr>
          <w:i/>
          <w:iCs/>
          <w:lang w:val="pl"/>
        </w:rPr>
        <w:t>Roire</w:t>
      </w:r>
      <w:proofErr w:type="spellEnd"/>
      <w:r>
        <w:rPr>
          <w:i/>
          <w:iCs/>
          <w:lang w:val="pl"/>
        </w:rPr>
        <w:t xml:space="preserve"> przeciwko Francji</w:t>
      </w:r>
      <w:bookmarkEnd w:id="31"/>
      <w:r>
        <w:rPr>
          <w:lang w:val="pl"/>
        </w:rPr>
        <w:t xml:space="preserve"> [WI], nr 29183/95, § 38, ECHR 1999-I).</w:t>
      </w:r>
    </w:p>
    <w:p w14:paraId="79FD739C" w14:textId="74634494"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60</w:t>
      </w:r>
      <w:r>
        <w:rPr>
          <w:noProof/>
          <w:lang w:val="pl"/>
        </w:rPr>
        <w:fldChar w:fldCharType="end"/>
      </w:r>
      <w:r>
        <w:rPr>
          <w:lang w:val="pl"/>
        </w:rPr>
        <w:t>.  Skarżący startował w wyborach, trzykrotnie został ogłoszony posłem, a wyniki tych wyborów zostały unieważnione przez Sąd Wyborczy. We</w:t>
      </w:r>
      <w:r w:rsidR="009E50F7">
        <w:rPr>
          <w:lang w:val="pl"/>
        </w:rPr>
        <w:t> </w:t>
      </w:r>
      <w:r>
        <w:rPr>
          <w:lang w:val="pl"/>
        </w:rPr>
        <w:t xml:space="preserve">wszystkich skargach wyborczych wniesionych do sądu krajowego skarżący bronił swojego prawa do kandydowania w wyborach, powołując się na przepisy </w:t>
      </w:r>
      <w:r w:rsidR="00607237">
        <w:rPr>
          <w:lang w:val="pl"/>
        </w:rPr>
        <w:t>K</w:t>
      </w:r>
      <w:r w:rsidR="00607237">
        <w:rPr>
          <w:lang w:val="pl"/>
        </w:rPr>
        <w:t xml:space="preserve">onstytucji </w:t>
      </w:r>
      <w:r>
        <w:rPr>
          <w:lang w:val="pl"/>
        </w:rPr>
        <w:t>i prawo krajowe. Rozpatrując skargi wyborcze, Sąd Wyborczy pośrednio wypowiedział się na temat jego prawa do bycia wybranym oraz prawa wyborców do wyboru ciała ustawodawczego. W związku z tym argumenty prawne przedstawione przez skarżącego przed tym sądem obejmowały zarzut dotyczący art. 3 Protokołu nr 1, który został podniesiony – przynajmniej co do istoty – na szczeblu krajowym.</w:t>
      </w:r>
    </w:p>
    <w:p w14:paraId="0B4915BF"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61</w:t>
      </w:r>
      <w:r>
        <w:rPr>
          <w:noProof/>
          <w:lang w:val="pl"/>
        </w:rPr>
        <w:fldChar w:fldCharType="end"/>
      </w:r>
      <w:r>
        <w:rPr>
          <w:lang w:val="pl"/>
        </w:rPr>
        <w:t>.  Zastrzeżenie Rządu dotyczące niewyczerpania krajowych środków odwoławczych należy zatem oddalić.</w:t>
      </w:r>
    </w:p>
    <w:p w14:paraId="0DD3ED6C" w14:textId="77777777" w:rsidR="001C1CE3" w:rsidRPr="0064767C" w:rsidRDefault="00000000" w:rsidP="0064767C">
      <w:pPr>
        <w:pStyle w:val="JuH1"/>
      </w:pPr>
      <w:r>
        <w:rPr>
          <w:bCs w:val="0"/>
          <w:lang w:val="pl"/>
        </w:rPr>
        <w:t>Wniosek w sprawie dopuszczalności</w:t>
      </w:r>
    </w:p>
    <w:p w14:paraId="16480215" w14:textId="77777777" w:rsidR="001C1CE3" w:rsidRPr="0064767C" w:rsidRDefault="00000000" w:rsidP="0064767C">
      <w:pPr>
        <w:pStyle w:val="JuPara"/>
        <w:rPr>
          <w:bCs/>
        </w:rPr>
      </w:pPr>
      <w:r>
        <w:rPr>
          <w:lang w:val="pl"/>
        </w:rPr>
        <w:fldChar w:fldCharType="begin"/>
      </w:r>
      <w:r>
        <w:rPr>
          <w:lang w:val="pl"/>
        </w:rPr>
        <w:instrText xml:space="preserve"> SEQ level0 \*arabic \* MERGEFORMAT </w:instrText>
      </w:r>
      <w:r>
        <w:rPr>
          <w:lang w:val="pl"/>
        </w:rPr>
        <w:fldChar w:fldCharType="separate"/>
      </w:r>
      <w:r>
        <w:rPr>
          <w:noProof/>
          <w:lang w:val="pl"/>
        </w:rPr>
        <w:t>62</w:t>
      </w:r>
      <w:r>
        <w:rPr>
          <w:lang w:val="pl"/>
        </w:rPr>
        <w:fldChar w:fldCharType="end"/>
      </w:r>
      <w:r>
        <w:rPr>
          <w:lang w:val="pl"/>
        </w:rPr>
        <w:t>.  Trybunał zauważa, że skarga nie jest w sposób oczywisty nieuzasadniona ani niedopuszczalna na jakiejkolwiek innej podstawie wymienionej w art. 35 Konwencji. Należy ją zatem uznać za dopuszczalną.</w:t>
      </w:r>
    </w:p>
    <w:p w14:paraId="63849BCB" w14:textId="77777777" w:rsidR="001C1CE3" w:rsidRPr="0064767C" w:rsidRDefault="00000000" w:rsidP="0064767C">
      <w:pPr>
        <w:pStyle w:val="JuHA"/>
      </w:pPr>
      <w:r>
        <w:rPr>
          <w:lang w:val="pl"/>
        </w:rPr>
        <w:lastRenderedPageBreak/>
        <w:t>Przedmiot skargi</w:t>
      </w:r>
    </w:p>
    <w:p w14:paraId="7159B57A" w14:textId="77777777" w:rsidR="001C1CE3" w:rsidRPr="0064767C" w:rsidRDefault="00000000" w:rsidP="0064767C">
      <w:pPr>
        <w:pStyle w:val="JuH1"/>
      </w:pPr>
      <w:r>
        <w:rPr>
          <w:bCs w:val="0"/>
          <w:lang w:val="pl"/>
        </w:rPr>
        <w:t>Stanowiska stron</w:t>
      </w:r>
    </w:p>
    <w:p w14:paraId="1993F765"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63</w:t>
      </w:r>
      <w:r>
        <w:rPr>
          <w:noProof/>
          <w:lang w:val="pl"/>
        </w:rPr>
        <w:fldChar w:fldCharType="end"/>
      </w:r>
      <w:r>
        <w:rPr>
          <w:lang w:val="pl"/>
        </w:rPr>
        <w:t>.  Skarżący nie przedstawił żadnych uwag dotyczących przedmiotu skargi.</w:t>
      </w:r>
    </w:p>
    <w:p w14:paraId="5C868AB9" w14:textId="4A26F070"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64</w:t>
      </w:r>
      <w:r>
        <w:rPr>
          <w:noProof/>
          <w:lang w:val="pl"/>
        </w:rPr>
        <w:fldChar w:fldCharType="end"/>
      </w:r>
      <w:r>
        <w:rPr>
          <w:lang w:val="pl"/>
        </w:rPr>
        <w:t xml:space="preserve">.  Rząd stwierdził, że bezsporne jest, iż E.T. zrzekła się mandatu poselskiego poza kadencją parlamentu. W związku z tym, wobec braku jednoznacznego przepisu ustawowego, pierwsze orzeczenie Sądu Wyborczego – zgodnie z którym art. 35 ust. 1 </w:t>
      </w:r>
      <w:r w:rsidR="006F615D">
        <w:rPr>
          <w:lang w:val="pl"/>
        </w:rPr>
        <w:t>P</w:t>
      </w:r>
      <w:r>
        <w:rPr>
          <w:lang w:val="pl"/>
        </w:rPr>
        <w:t xml:space="preserve">rawa </w:t>
      </w:r>
      <w:r w:rsidR="006F615D">
        <w:rPr>
          <w:lang w:val="pl"/>
        </w:rPr>
        <w:t>W</w:t>
      </w:r>
      <w:r>
        <w:rPr>
          <w:lang w:val="pl"/>
        </w:rPr>
        <w:t xml:space="preserve">yborczego nie </w:t>
      </w:r>
      <w:r w:rsidR="006F615D">
        <w:rPr>
          <w:lang w:val="pl"/>
        </w:rPr>
        <w:t xml:space="preserve"> mógł być zastosowany przez analogię</w:t>
      </w:r>
      <w:r>
        <w:rPr>
          <w:i/>
          <w:iCs/>
          <w:lang w:val="pl"/>
        </w:rPr>
        <w:t xml:space="preserve"> </w:t>
      </w:r>
      <w:r>
        <w:rPr>
          <w:lang w:val="pl"/>
        </w:rPr>
        <w:t>– opierało się na przewidywalnej interpretacji ustawy i konstytucji. Orzeczenie to miało na celu osiągnięcie uprawnionego celu, jakim jest zachowanie zgodności z prawem oraz ochrona praw innych osób, takich jak A.M. (jako kandydat) i D.D. (jako wyborca), i</w:t>
      </w:r>
      <w:r w:rsidR="009E50F7">
        <w:rPr>
          <w:lang w:val="pl"/>
        </w:rPr>
        <w:t> </w:t>
      </w:r>
      <w:r>
        <w:rPr>
          <w:lang w:val="pl"/>
        </w:rPr>
        <w:t>było ono proporcjonalne względem tych celów.</w:t>
      </w:r>
    </w:p>
    <w:p w14:paraId="3084BB6B" w14:textId="2D821B5F" w:rsidR="001C1CE3" w:rsidRPr="009E50F7" w:rsidRDefault="00000000" w:rsidP="0064767C">
      <w:pPr>
        <w:pStyle w:val="JuPara"/>
        <w:rPr>
          <w:lang w:val="pl-PL"/>
        </w:rPr>
      </w:pPr>
      <w:r>
        <w:rPr>
          <w:lang w:val="pl"/>
        </w:rPr>
        <w:t xml:space="preserve">To samo można powiedzieć o drugim orzeczeniu Sądu Wyborczego. Sąd orzekł wówczas, że choć parlament miał prawo do stanowienia prawa – czego dowodem było wprowadzenie przez niego koncepcji „nieobjętego” mandatu parlamentarnego – to wprowadzane przez niego przepisy nie mogły być sprzeczne z </w:t>
      </w:r>
      <w:r w:rsidR="008247C8">
        <w:rPr>
          <w:lang w:val="pl"/>
        </w:rPr>
        <w:t>K</w:t>
      </w:r>
      <w:r w:rsidR="008247C8">
        <w:rPr>
          <w:lang w:val="pl"/>
        </w:rPr>
        <w:t>onstytucją</w:t>
      </w:r>
      <w:r>
        <w:rPr>
          <w:lang w:val="pl"/>
        </w:rPr>
        <w:t xml:space="preserve">. Art. 66 ust. 2 </w:t>
      </w:r>
      <w:r w:rsidR="000F5648">
        <w:rPr>
          <w:lang w:val="pl"/>
        </w:rPr>
        <w:t>K</w:t>
      </w:r>
      <w:r>
        <w:rPr>
          <w:lang w:val="pl"/>
        </w:rPr>
        <w:t xml:space="preserve">onstytucji dotyczył wyłącznie sytuacji, w której zwolnił się mandat parlamentarny, a nie sytuacji, w której mandat ten „nie został objęty”. W związku z tym sąd w sposób uzasadniony i zgodny z przewidywalnymi skutkami orzekł, że zmiana, poprzez którą wprowadzono pojęcie „nieobjętego” mandatu, była niezgodna z </w:t>
      </w:r>
      <w:r w:rsidR="008247C8">
        <w:rPr>
          <w:lang w:val="pl"/>
        </w:rPr>
        <w:t>K</w:t>
      </w:r>
      <w:r w:rsidR="008247C8">
        <w:rPr>
          <w:lang w:val="pl"/>
        </w:rPr>
        <w:t>onstytucją</w:t>
      </w:r>
      <w:r>
        <w:rPr>
          <w:lang w:val="pl"/>
        </w:rPr>
        <w:t xml:space="preserve">. Sąd wyjaśnił, że skoro mandat w ogóle nie został obsadzony, to w świetle prawa nigdy nie został on przyznany Solidarności. W związku z tym nie można było zastosować systemu </w:t>
      </w:r>
      <w:r w:rsidR="000F5648">
        <w:rPr>
          <w:lang w:val="pl"/>
        </w:rPr>
        <w:t xml:space="preserve"> proporcjonalnej reprezentacji </w:t>
      </w:r>
      <w:r>
        <w:rPr>
          <w:lang w:val="pl"/>
        </w:rPr>
        <w:t xml:space="preserve">– poprzez wybór kandydata zajmującego drugie miejsce na liście Solidarności w </w:t>
      </w:r>
      <w:proofErr w:type="spellStart"/>
      <w:r>
        <w:rPr>
          <w:lang w:val="pl"/>
        </w:rPr>
        <w:t>Limassol</w:t>
      </w:r>
      <w:proofErr w:type="spellEnd"/>
      <w:r>
        <w:rPr>
          <w:lang w:val="pl"/>
        </w:rPr>
        <w:t>. Wyłącznie w wyjątkowych przypadkach i gdy mandat „zwolnił się” konstytucja przewidywała przekazanie go kandydatowi, który zajął drugie miejsce; w pozostałych przypadkach nakazywała ona wybór posłów w</w:t>
      </w:r>
      <w:r w:rsidR="009E50F7">
        <w:rPr>
          <w:lang w:val="pl"/>
        </w:rPr>
        <w:t> </w:t>
      </w:r>
      <w:r>
        <w:rPr>
          <w:lang w:val="pl"/>
        </w:rPr>
        <w:t>wyborach powszechnych. W ten sposób dochowano zasad demokracji i</w:t>
      </w:r>
      <w:r w:rsidR="009E50F7">
        <w:rPr>
          <w:lang w:val="pl"/>
        </w:rPr>
        <w:t> </w:t>
      </w:r>
      <w:r>
        <w:rPr>
          <w:lang w:val="pl"/>
        </w:rPr>
        <w:t>suwerenności ludu oraz wyeliminowano możliwość przyznania mandatu partii, która nigdy wcześniej go nie posiadała.</w:t>
      </w:r>
    </w:p>
    <w:p w14:paraId="6F16B409" w14:textId="4A2E7F24" w:rsidR="001C1CE3" w:rsidRPr="009E50F7" w:rsidRDefault="00000000" w:rsidP="0064767C">
      <w:pPr>
        <w:pStyle w:val="JuPara"/>
        <w:rPr>
          <w:lang w:val="pl-PL"/>
        </w:rPr>
      </w:pPr>
      <w:r>
        <w:rPr>
          <w:lang w:val="pl"/>
        </w:rPr>
        <w:t>W odniesieniu do trzeciego orzeczenia Sądu Wyborczego Rząd stwierdził, że było ono zgodne z zasadą niedziałania prawa wstecz, powagą rzeczy osądzonej poprzednich orzeczeń oraz zasadą suwerenności ludu w ramach podstawowej struktury konstytucji. Zamiarem sądu było uniknięcie sytuacji wyboru posłów w wyniku wprowadzenia ukierunkowanych przepisów. W</w:t>
      </w:r>
      <w:r w:rsidR="009E50F7">
        <w:rPr>
          <w:lang w:val="pl"/>
        </w:rPr>
        <w:t> </w:t>
      </w:r>
      <w:r>
        <w:rPr>
          <w:lang w:val="pl"/>
        </w:rPr>
        <w:t>ten sposób zapewniono prawo kandydatów, takich jak A.M., do wolnych wyborów uzupełniających, a także prawo wyborców, takich jak D.D., do tego, by ich głosy zostały policzone zgodnie z ich wolą. Decyzja ta miała na celu osiągnięcie uprawnionego celu, jakim jest ochrona zasad praworządności, w tym legalności i pewności prawa, poprzez przestrzeganie zasady powagi rzeczy osądzonej [</w:t>
      </w:r>
      <w:r>
        <w:rPr>
          <w:i/>
          <w:iCs/>
          <w:lang w:val="pl"/>
        </w:rPr>
        <w:t>res iudicata</w:t>
      </w:r>
      <w:r>
        <w:rPr>
          <w:lang w:val="pl"/>
        </w:rPr>
        <w:t>] oraz uzasadnienia [</w:t>
      </w:r>
      <w:r>
        <w:rPr>
          <w:i/>
          <w:iCs/>
          <w:lang w:val="pl"/>
        </w:rPr>
        <w:t xml:space="preserve">ratio </w:t>
      </w:r>
      <w:proofErr w:type="spellStart"/>
      <w:r>
        <w:rPr>
          <w:i/>
          <w:iCs/>
          <w:lang w:val="pl"/>
        </w:rPr>
        <w:lastRenderedPageBreak/>
        <w:t>decidendi</w:t>
      </w:r>
      <w:proofErr w:type="spellEnd"/>
      <w:r>
        <w:rPr>
          <w:lang w:val="pl"/>
        </w:rPr>
        <w:t>] orzeczeń sądowych. Rząd twierdził ponadto, że decyzja ta była proporcjonalna względem realizowanych uprawnionych celów, ponieważ nie było innego sposobu na przestrzeganie powyższych zasad niż unieważnienie wyboru skarżącego i ogłoszenia o objęciu przez niego mandatu poselskiego.</w:t>
      </w:r>
    </w:p>
    <w:p w14:paraId="5505B800" w14:textId="77777777" w:rsidR="001C1CE3" w:rsidRPr="0064767C" w:rsidRDefault="00000000" w:rsidP="0064767C">
      <w:pPr>
        <w:pStyle w:val="JuH1"/>
      </w:pPr>
      <w:r>
        <w:rPr>
          <w:bCs w:val="0"/>
          <w:lang w:val="pl"/>
        </w:rPr>
        <w:t>Ocena Trybunału</w:t>
      </w:r>
    </w:p>
    <w:p w14:paraId="5770C638" w14:textId="77777777" w:rsidR="001C1CE3" w:rsidRPr="0064767C" w:rsidRDefault="00000000" w:rsidP="0064767C">
      <w:pPr>
        <w:pStyle w:val="JuHa0"/>
      </w:pPr>
      <w:r>
        <w:rPr>
          <w:lang w:val="pl"/>
        </w:rPr>
        <w:t>Zasady ogólne</w:t>
      </w:r>
    </w:p>
    <w:p w14:paraId="1C71339A" w14:textId="06B018CB"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65</w:t>
      </w:r>
      <w:r>
        <w:rPr>
          <w:noProof/>
          <w:lang w:val="pl"/>
        </w:rPr>
        <w:fldChar w:fldCharType="end"/>
      </w:r>
      <w:r>
        <w:rPr>
          <w:lang w:val="pl"/>
        </w:rPr>
        <w:t>.  Trybunał ponownie podkreśla, że prawa zagwarantowane w</w:t>
      </w:r>
      <w:r w:rsidR="009E50F7">
        <w:rPr>
          <w:lang w:val="pl"/>
        </w:rPr>
        <w:t> </w:t>
      </w:r>
      <w:r>
        <w:rPr>
          <w:lang w:val="pl"/>
        </w:rPr>
        <w:t>art.</w:t>
      </w:r>
      <w:r w:rsidR="009E50F7">
        <w:rPr>
          <w:lang w:val="pl"/>
        </w:rPr>
        <w:t> </w:t>
      </w:r>
      <w:r>
        <w:rPr>
          <w:lang w:val="pl"/>
        </w:rPr>
        <w:t>3</w:t>
      </w:r>
      <w:r w:rsidR="009E50F7">
        <w:rPr>
          <w:lang w:val="pl"/>
        </w:rPr>
        <w:t> P</w:t>
      </w:r>
      <w:r>
        <w:rPr>
          <w:lang w:val="pl"/>
        </w:rPr>
        <w:t xml:space="preserve">rotokołu nr 1 do Konwencji mają kluczowe znaczenie dla stworzenia i utrzymania podstaw skutecznej i prawdziwej demokracji opartej na zasadach praworządności (zob. </w:t>
      </w:r>
      <w:bookmarkStart w:id="32" w:name="_cl39838THELAW"/>
      <w:proofErr w:type="spellStart"/>
      <w:r>
        <w:rPr>
          <w:i/>
          <w:iCs/>
          <w:lang w:val="pl"/>
        </w:rPr>
        <w:t>Ždanoka</w:t>
      </w:r>
      <w:proofErr w:type="spellEnd"/>
      <w:r>
        <w:rPr>
          <w:i/>
          <w:iCs/>
          <w:lang w:val="pl"/>
        </w:rPr>
        <w:t xml:space="preserve"> przeciwko Łotwie</w:t>
      </w:r>
      <w:bookmarkEnd w:id="32"/>
      <w:r>
        <w:rPr>
          <w:lang w:val="pl"/>
        </w:rPr>
        <w:t xml:space="preserve"> [WI], nr</w:t>
      </w:r>
      <w:r w:rsidR="009E50F7">
        <w:rPr>
          <w:lang w:val="pl"/>
        </w:rPr>
        <w:t> </w:t>
      </w:r>
      <w:r>
        <w:rPr>
          <w:lang w:val="pl"/>
        </w:rPr>
        <w:t>58278/00, § 103, ECHR 2006</w:t>
      </w:r>
      <w:r>
        <w:rPr>
          <w:lang w:val="pl"/>
        </w:rPr>
        <w:noBreakHyphen/>
        <w:t>IV). Ponadto w art. 3 Protokołu nr 1 zawarte są prawa</w:t>
      </w:r>
      <w:r w:rsidR="00044CE3">
        <w:rPr>
          <w:lang w:val="pl"/>
        </w:rPr>
        <w:t xml:space="preserve"> podmiotowe</w:t>
      </w:r>
      <w:r>
        <w:rPr>
          <w:lang w:val="pl"/>
        </w:rPr>
        <w:t xml:space="preserve"> do głosowania i do kandydowania w wyborach. Chociaż prawa te są ważne, nie mają one charakteru bezwzględnego i istnieje możliwość wprowadzenia dorozumianych ograniczeń. W swoich wewnętrznych porządkach prawnych państwa-strony uzależniają prawo do głosowania i prawo do kandydowania w wyborach od spełnienia warunków, które co do zasady nie są wykluczone na mocy art. 3 Protokołu nr 1. W tej sferze przysługuje im szeroki margines oceny – zwłaszcza w odniesieniu do biernego aspektu praw, a mianowicie prawa do kandydowania w wyborach (zob.</w:t>
      </w:r>
      <w:r>
        <w:rPr>
          <w:i/>
          <w:iCs/>
          <w:lang w:val="pl"/>
        </w:rPr>
        <w:t xml:space="preserve"> </w:t>
      </w:r>
      <w:proofErr w:type="spellStart"/>
      <w:r w:rsidR="00044CE3">
        <w:rPr>
          <w:i/>
          <w:iCs/>
          <w:lang w:val="pl"/>
        </w:rPr>
        <w:t>Ž</w:t>
      </w:r>
      <w:r>
        <w:rPr>
          <w:i/>
          <w:iCs/>
          <w:lang w:val="pl"/>
        </w:rPr>
        <w:t>danoka</w:t>
      </w:r>
      <w:proofErr w:type="spellEnd"/>
      <w:r>
        <w:rPr>
          <w:lang w:val="pl"/>
        </w:rPr>
        <w:t xml:space="preserve">, </w:t>
      </w:r>
      <w:proofErr w:type="spellStart"/>
      <w:r>
        <w:rPr>
          <w:i/>
          <w:iCs/>
          <w:lang w:val="pl"/>
        </w:rPr>
        <w:t>op.cit</w:t>
      </w:r>
      <w:proofErr w:type="spellEnd"/>
      <w:r>
        <w:rPr>
          <w:i/>
          <w:iCs/>
          <w:lang w:val="pl"/>
        </w:rPr>
        <w:t>.</w:t>
      </w:r>
      <w:r>
        <w:rPr>
          <w:lang w:val="pl"/>
        </w:rPr>
        <w:t xml:space="preserve">, § 115 i </w:t>
      </w:r>
      <w:proofErr w:type="spellStart"/>
      <w:r>
        <w:rPr>
          <w:i/>
          <w:iCs/>
          <w:lang w:val="pl"/>
        </w:rPr>
        <w:t>Davydov</w:t>
      </w:r>
      <w:proofErr w:type="spellEnd"/>
      <w:r>
        <w:rPr>
          <w:i/>
          <w:iCs/>
          <w:lang w:val="pl"/>
        </w:rPr>
        <w:t xml:space="preserve"> i Inni przeciwko Rosji</w:t>
      </w:r>
      <w:r>
        <w:rPr>
          <w:lang w:val="pl"/>
        </w:rPr>
        <w:t xml:space="preserve">, nr 75947/11, § 286, 30 maja 2017 r.) – jednak to do Trybunału należy ostateczna ocena, czy wymogi tego przepisu zostały spełnione. W szczególności Trybunał musi się upewnić, że warunki te nie ograniczają przedmiotowych praw w stopniu, który naruszałby ich istotę i pozbawiał je skuteczności; że zostały one nałożone w celu osiągnięcia uprawnionego celu; że zastosowane środki nie są nieproporcjonalne ani arbitralne; oraz że nie ograniczają one swobodnego wyrażania opinii obywateli w wyborze ciała ustawodawczego (zob. m.in. </w:t>
      </w:r>
      <w:bookmarkStart w:id="33" w:name="_cl44204THELAW"/>
      <w:proofErr w:type="spellStart"/>
      <w:r>
        <w:rPr>
          <w:i/>
          <w:iCs/>
          <w:lang w:val="pl"/>
        </w:rPr>
        <w:t>Kokëdhima</w:t>
      </w:r>
      <w:proofErr w:type="spellEnd"/>
      <w:r>
        <w:rPr>
          <w:i/>
          <w:iCs/>
          <w:lang w:val="pl"/>
        </w:rPr>
        <w:t xml:space="preserve"> przeciwko Albanii</w:t>
      </w:r>
      <w:bookmarkEnd w:id="33"/>
      <w:r>
        <w:rPr>
          <w:lang w:val="pl"/>
        </w:rPr>
        <w:t xml:space="preserve">, nr 55159/16, § 49, 11 czerwca 2024 r., oraz </w:t>
      </w:r>
      <w:proofErr w:type="spellStart"/>
      <w:r>
        <w:rPr>
          <w:i/>
          <w:iCs/>
          <w:lang w:val="pl"/>
        </w:rPr>
        <w:t>Labita</w:t>
      </w:r>
      <w:proofErr w:type="spellEnd"/>
      <w:r>
        <w:rPr>
          <w:i/>
          <w:iCs/>
          <w:lang w:val="pl"/>
        </w:rPr>
        <w:t xml:space="preserve"> przeciwko Włochom</w:t>
      </w:r>
      <w:r>
        <w:rPr>
          <w:lang w:val="pl"/>
        </w:rPr>
        <w:t xml:space="preserve"> [WI], nr 26772/95, § 201, ECHR 2000</w:t>
      </w:r>
      <w:r>
        <w:rPr>
          <w:lang w:val="pl"/>
        </w:rPr>
        <w:noBreakHyphen/>
        <w:t>IV).  Trybunał bierze również pod uwagę, czy środek był „zgodny z prawem”, co oznacza, że ma on podstawę w prawie krajowym, jest zgodny z zasadą praworządności oraz spełnia minimalne standardy dostępności i</w:t>
      </w:r>
      <w:r w:rsidR="009E50F7">
        <w:rPr>
          <w:lang w:val="pl"/>
        </w:rPr>
        <w:t> </w:t>
      </w:r>
      <w:r>
        <w:rPr>
          <w:lang w:val="pl"/>
        </w:rPr>
        <w:t xml:space="preserve">przewidywalności (zob. </w:t>
      </w:r>
      <w:proofErr w:type="spellStart"/>
      <w:r>
        <w:rPr>
          <w:i/>
          <w:iCs/>
          <w:lang w:val="pl"/>
        </w:rPr>
        <w:t>Kokëdhima</w:t>
      </w:r>
      <w:proofErr w:type="spellEnd"/>
      <w:r>
        <w:rPr>
          <w:lang w:val="pl"/>
        </w:rPr>
        <w:t xml:space="preserve">, </w:t>
      </w:r>
      <w:proofErr w:type="spellStart"/>
      <w:r>
        <w:rPr>
          <w:i/>
          <w:iCs/>
          <w:lang w:val="pl"/>
        </w:rPr>
        <w:t>op.cit</w:t>
      </w:r>
      <w:proofErr w:type="spellEnd"/>
      <w:r>
        <w:rPr>
          <w:i/>
          <w:iCs/>
          <w:lang w:val="pl"/>
        </w:rPr>
        <w:t>.</w:t>
      </w:r>
      <w:r>
        <w:rPr>
          <w:lang w:val="pl"/>
        </w:rPr>
        <w:t>, §§ 50–56).</w:t>
      </w:r>
    </w:p>
    <w:p w14:paraId="3DD56BF1" w14:textId="533DC255"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66</w:t>
      </w:r>
      <w:r>
        <w:rPr>
          <w:noProof/>
          <w:lang w:val="pl"/>
        </w:rPr>
        <w:fldChar w:fldCharType="end"/>
      </w:r>
      <w:r>
        <w:rPr>
          <w:lang w:val="pl"/>
        </w:rPr>
        <w:t>.  W szczególności żadne z ewentualnych warunków nie mogą utrudniać swobodnego wyrażania woli obywateli przy wyborze ciała ustawodawczego – innymi słowy, muszą one odzwierciedlać, a nie udaremniać dążenie do zachowania integralności i skuteczności procedury wyborczej mającej na celu wyłonienie woli obywateli w drodze powszechnych wyborów (zob.</w:t>
      </w:r>
      <w:bookmarkStart w:id="34" w:name="_cl27545THELAW"/>
      <w:r w:rsidR="009C6B18">
        <w:rPr>
          <w:lang w:val="pl"/>
        </w:rPr>
        <w:t xml:space="preserve"> </w:t>
      </w:r>
      <w:proofErr w:type="spellStart"/>
      <w:r>
        <w:rPr>
          <w:i/>
          <w:iCs/>
          <w:lang w:val="pl"/>
        </w:rPr>
        <w:t>Hirst</w:t>
      </w:r>
      <w:proofErr w:type="spellEnd"/>
      <w:r>
        <w:rPr>
          <w:i/>
          <w:iCs/>
          <w:lang w:val="pl"/>
        </w:rPr>
        <w:t xml:space="preserve"> przeciwko Zjednoczonemu Królestwu (nr 2)</w:t>
      </w:r>
      <w:bookmarkEnd w:id="34"/>
      <w:r>
        <w:rPr>
          <w:lang w:val="pl"/>
        </w:rPr>
        <w:t xml:space="preserve"> [WI], nr 74025/01, § 62, ECHR 2005-IX). Ponadto, gdy wola obywateli zostanie wyrażona w sposób wolny i demokratyczny, żadna późniejsza zmiana w organizacji systemu wyborczego nie może podważać </w:t>
      </w:r>
      <w:r>
        <w:rPr>
          <w:lang w:val="pl"/>
        </w:rPr>
        <w:lastRenderedPageBreak/>
        <w:t xml:space="preserve">tego wyboru, chyba że istnieją istotne powody związane z porządkiem demokratycznym (zob. </w:t>
      </w:r>
      <w:proofErr w:type="spellStart"/>
      <w:r>
        <w:rPr>
          <w:i/>
          <w:iCs/>
          <w:lang w:val="pl"/>
        </w:rPr>
        <w:t>Lykourezos</w:t>
      </w:r>
      <w:proofErr w:type="spellEnd"/>
      <w:r>
        <w:rPr>
          <w:i/>
          <w:iCs/>
          <w:lang w:val="pl"/>
        </w:rPr>
        <w:t xml:space="preserve"> przeciwko Grecji</w:t>
      </w:r>
      <w:r>
        <w:rPr>
          <w:lang w:val="pl"/>
        </w:rPr>
        <w:t>, nr 33554/03, § 54, ECHR 2006-VIII). Trybunał ponadto już orzekł, że przepis ten gwarantuje każdemu obywatelowi prawo do kandydowania w wyborach oraz, po jego wyborze, do sprawowania mandatu (</w:t>
      </w:r>
      <w:bookmarkStart w:id="35" w:name="_cl35506THELAW"/>
      <w:r>
        <w:rPr>
          <w:lang w:val="pl"/>
        </w:rPr>
        <w:t xml:space="preserve">zob. </w:t>
      </w:r>
      <w:proofErr w:type="spellStart"/>
      <w:r>
        <w:rPr>
          <w:i/>
          <w:iCs/>
          <w:lang w:val="pl"/>
        </w:rPr>
        <w:t>Sadak</w:t>
      </w:r>
      <w:proofErr w:type="spellEnd"/>
      <w:r>
        <w:rPr>
          <w:i/>
          <w:iCs/>
          <w:lang w:val="pl"/>
        </w:rPr>
        <w:t xml:space="preserve"> i Inni przeciwko Turcji (nr 2)</w:t>
      </w:r>
      <w:bookmarkEnd w:id="35"/>
      <w:r>
        <w:rPr>
          <w:lang w:val="pl"/>
        </w:rPr>
        <w:t>, nr 25144/94 i 8 innych, § 33, ECHR 2002-IV). Art. 3 Protokołu nr 1 zawiera zasadę charakterystyczną dla skutecznej demokracji politycznej i</w:t>
      </w:r>
      <w:r w:rsidR="009E50F7">
        <w:rPr>
          <w:lang w:val="pl"/>
        </w:rPr>
        <w:t> </w:t>
      </w:r>
      <w:r>
        <w:rPr>
          <w:lang w:val="pl"/>
        </w:rPr>
        <w:t>w</w:t>
      </w:r>
      <w:r w:rsidR="009E50F7">
        <w:rPr>
          <w:lang w:val="pl"/>
        </w:rPr>
        <w:t> </w:t>
      </w:r>
      <w:r>
        <w:rPr>
          <w:lang w:val="pl"/>
        </w:rPr>
        <w:t xml:space="preserve">związku z tym ma zasadnicze znaczenie w systemie Konwencji (zob. </w:t>
      </w:r>
      <w:bookmarkStart w:id="36" w:name="_cl31463THELAW"/>
      <w:proofErr w:type="spellStart"/>
      <w:r>
        <w:rPr>
          <w:i/>
          <w:iCs/>
          <w:lang w:val="pl"/>
        </w:rPr>
        <w:t>Mathieu-Mohin</w:t>
      </w:r>
      <w:proofErr w:type="spellEnd"/>
      <w:r>
        <w:rPr>
          <w:i/>
          <w:iCs/>
          <w:lang w:val="pl"/>
        </w:rPr>
        <w:t xml:space="preserve"> i </w:t>
      </w:r>
      <w:proofErr w:type="spellStart"/>
      <w:r>
        <w:rPr>
          <w:i/>
          <w:iCs/>
          <w:lang w:val="pl"/>
        </w:rPr>
        <w:t>Clerfayt</w:t>
      </w:r>
      <w:proofErr w:type="spellEnd"/>
      <w:r>
        <w:rPr>
          <w:i/>
          <w:iCs/>
          <w:lang w:val="pl"/>
        </w:rPr>
        <w:t xml:space="preserve"> przeciwko Belgii</w:t>
      </w:r>
      <w:bookmarkEnd w:id="36"/>
      <w:r>
        <w:rPr>
          <w:lang w:val="pl"/>
        </w:rPr>
        <w:t>, 2 marca 1987 r., § 47, Seria A nr 113).</w:t>
      </w:r>
    </w:p>
    <w:p w14:paraId="3F9AE3F4" w14:textId="77777777" w:rsidR="001C1CE3" w:rsidRPr="0064767C" w:rsidRDefault="00000000" w:rsidP="0064767C">
      <w:pPr>
        <w:pStyle w:val="JuHa0"/>
      </w:pPr>
      <w:r>
        <w:rPr>
          <w:lang w:val="pl"/>
        </w:rPr>
        <w:t>Zastosowanie w niniejszej sprawie</w:t>
      </w:r>
    </w:p>
    <w:p w14:paraId="3427D498" w14:textId="7EE06BB0"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67</w:t>
      </w:r>
      <w:r>
        <w:rPr>
          <w:noProof/>
          <w:lang w:val="pl"/>
        </w:rPr>
        <w:fldChar w:fldCharType="end"/>
      </w:r>
      <w:r>
        <w:rPr>
          <w:lang w:val="pl"/>
        </w:rPr>
        <w:t>.</w:t>
      </w:r>
      <w:r>
        <w:rPr>
          <w:b/>
          <w:bCs/>
          <w:lang w:val="pl"/>
        </w:rPr>
        <w:t>  </w:t>
      </w:r>
      <w:r>
        <w:rPr>
          <w:lang w:val="pl"/>
        </w:rPr>
        <w:t xml:space="preserve">Na wstępie Trybunał zauważa, że sposób przeprowadzenia wyborów, późniejszy podział mandatów parlamentarnych przez GKW – w tym przyznanie jednego mandatu dla Solidarności w </w:t>
      </w:r>
      <w:proofErr w:type="spellStart"/>
      <w:r>
        <w:rPr>
          <w:lang w:val="pl"/>
        </w:rPr>
        <w:t>Limassol</w:t>
      </w:r>
      <w:proofErr w:type="spellEnd"/>
      <w:r>
        <w:rPr>
          <w:lang w:val="pl"/>
        </w:rPr>
        <w:t xml:space="preserve"> – oraz ustalenie listy wybranych kandydatów nigdy nie zostały zakwestionowane ani unieważnione. Podział ten opierał się na zsumowaniu głosów oddanych na poszczególne partie oraz zastosowaniu systemu proporcjonalnego, zgodnie z wymogami prawa krajowego (zob. paragrafy</w:t>
      </w:r>
      <w:r w:rsidR="009C6B18">
        <w:rPr>
          <w:lang w:val="pl"/>
        </w:rPr>
        <w:t xml:space="preserve"> </w:t>
      </w:r>
      <w:r>
        <w:rPr>
          <w:lang w:val="pl"/>
        </w:rPr>
        <w:fldChar w:fldCharType="begin"/>
      </w:r>
      <w:r>
        <w:rPr>
          <w:lang w:val="pl"/>
        </w:rPr>
        <w:instrText xml:space="preserve"> REF ELECTIONLAW_S32 \h  \* MERGEFORMAT </w:instrText>
      </w:r>
      <w:r>
        <w:rPr>
          <w:lang w:val="pl"/>
        </w:rPr>
      </w:r>
      <w:r>
        <w:rPr>
          <w:lang w:val="pl"/>
        </w:rPr>
        <w:fldChar w:fldCharType="separate"/>
      </w:r>
      <w:r>
        <w:rPr>
          <w:lang w:val="pl"/>
        </w:rPr>
        <w:t>44</w:t>
      </w:r>
      <w:r>
        <w:rPr>
          <w:lang w:val="pl"/>
        </w:rPr>
        <w:fldChar w:fldCharType="end"/>
      </w:r>
      <w:r>
        <w:rPr>
          <w:lang w:val="pl"/>
        </w:rPr>
        <w:t xml:space="preserve"> i </w:t>
      </w:r>
      <w:r>
        <w:rPr>
          <w:lang w:val="pl"/>
        </w:rPr>
        <w:fldChar w:fldCharType="begin"/>
      </w:r>
      <w:r>
        <w:rPr>
          <w:lang w:val="pl"/>
        </w:rPr>
        <w:instrText xml:space="preserve"> REF ELECTIONLAW_S33_second_distribution \h  \* MERGEFORMAT </w:instrText>
      </w:r>
      <w:r>
        <w:rPr>
          <w:lang w:val="pl"/>
        </w:rPr>
      </w:r>
      <w:r>
        <w:rPr>
          <w:lang w:val="pl"/>
        </w:rPr>
        <w:fldChar w:fldCharType="separate"/>
      </w:r>
      <w:r>
        <w:rPr>
          <w:lang w:val="pl"/>
        </w:rPr>
        <w:t>45</w:t>
      </w:r>
      <w:r>
        <w:rPr>
          <w:lang w:val="pl"/>
        </w:rPr>
        <w:fldChar w:fldCharType="end"/>
      </w:r>
      <w:r>
        <w:rPr>
          <w:lang w:val="pl"/>
        </w:rPr>
        <w:t xml:space="preserve"> powyżej). W tym kontekście Trybunał odnotowuje raport misji OBWE ds. oceny potrzeb w sprawie wyborów z maja 2016 r., w którym wszyscy rozmówcy wyrazili pełne zaufanie do uczciwości procesu wyborczego oraz do profesjonalizmu i</w:t>
      </w:r>
      <w:r w:rsidR="009E50F7">
        <w:rPr>
          <w:lang w:val="pl"/>
        </w:rPr>
        <w:t> </w:t>
      </w:r>
      <w:r>
        <w:rPr>
          <w:lang w:val="pl"/>
        </w:rPr>
        <w:t>bezstronności organów wyborczych. Nie zgłoszono żadnych zastrzeżeń dotyczących przejrzystości procesu wyborczego, rejestracji wyborców i</w:t>
      </w:r>
      <w:r w:rsidR="009E50F7">
        <w:rPr>
          <w:lang w:val="pl"/>
        </w:rPr>
        <w:t> </w:t>
      </w:r>
      <w:r>
        <w:rPr>
          <w:lang w:val="pl"/>
        </w:rPr>
        <w:t xml:space="preserve">kandydatów, a także przebiegu wyborów w dniu głosowania (zob. paragraf </w:t>
      </w:r>
      <w:r>
        <w:rPr>
          <w:lang w:val="pl"/>
        </w:rPr>
        <w:fldChar w:fldCharType="begin"/>
      </w:r>
      <w:r>
        <w:rPr>
          <w:lang w:val="pl"/>
        </w:rPr>
        <w:instrText xml:space="preserve"> REF OSCE \h  \* MERGEFORMAT </w:instrText>
      </w:r>
      <w:r>
        <w:rPr>
          <w:lang w:val="pl"/>
        </w:rPr>
      </w:r>
      <w:r>
        <w:rPr>
          <w:lang w:val="pl"/>
        </w:rPr>
        <w:fldChar w:fldCharType="separate"/>
      </w:r>
      <w:r>
        <w:rPr>
          <w:lang w:val="pl"/>
        </w:rPr>
        <w:t>52</w:t>
      </w:r>
      <w:r>
        <w:rPr>
          <w:lang w:val="pl"/>
        </w:rPr>
        <w:fldChar w:fldCharType="end"/>
      </w:r>
      <w:r>
        <w:rPr>
          <w:lang w:val="pl"/>
        </w:rPr>
        <w:t xml:space="preserve"> powyżej). Oświadczenie GKW dotyczące podziału mandatów parlamentarnych i ustalenia listy wybranych kandydatów, opublikowane w</w:t>
      </w:r>
      <w:r w:rsidR="009E50F7">
        <w:rPr>
          <w:lang w:val="pl"/>
        </w:rPr>
        <w:t> </w:t>
      </w:r>
      <w:r>
        <w:rPr>
          <w:lang w:val="pl"/>
        </w:rPr>
        <w:t xml:space="preserve">Dzienniku Urzędowym 23 maja 2016 r., nie zostało zakwestionowane (zob. paragrafy </w:t>
      </w:r>
      <w:r>
        <w:rPr>
          <w:lang w:val="pl"/>
        </w:rPr>
        <w:fldChar w:fldCharType="begin"/>
      </w:r>
      <w:r>
        <w:rPr>
          <w:lang w:val="pl"/>
        </w:rPr>
        <w:instrText xml:space="preserve"> REF CRO_VOTES_SEATSCOUNT \h  \* MERGEFORMAT </w:instrText>
      </w:r>
      <w:r>
        <w:rPr>
          <w:lang w:val="pl"/>
        </w:rPr>
      </w:r>
      <w:r>
        <w:rPr>
          <w:lang w:val="pl"/>
        </w:rPr>
        <w:fldChar w:fldCharType="separate"/>
      </w:r>
      <w:r>
        <w:rPr>
          <w:lang w:val="pl"/>
        </w:rPr>
        <w:t>8</w:t>
      </w:r>
      <w:r>
        <w:rPr>
          <w:lang w:val="pl"/>
        </w:rPr>
        <w:fldChar w:fldCharType="end"/>
      </w:r>
      <w:r>
        <w:rPr>
          <w:lang w:val="pl"/>
        </w:rPr>
        <w:t xml:space="preserve"> i </w:t>
      </w:r>
      <w:r>
        <w:rPr>
          <w:lang w:val="pl"/>
        </w:rPr>
        <w:fldChar w:fldCharType="begin"/>
      </w:r>
      <w:r>
        <w:rPr>
          <w:lang w:val="pl"/>
        </w:rPr>
        <w:instrText xml:space="preserve"> REF E_T_declaredMP \h  \* MERGEFORMAT </w:instrText>
      </w:r>
      <w:r>
        <w:rPr>
          <w:lang w:val="pl"/>
        </w:rPr>
      </w:r>
      <w:r>
        <w:rPr>
          <w:lang w:val="pl"/>
        </w:rPr>
        <w:fldChar w:fldCharType="separate"/>
      </w:r>
      <w:r>
        <w:rPr>
          <w:lang w:val="pl"/>
        </w:rPr>
        <w:t>9</w:t>
      </w:r>
      <w:r>
        <w:rPr>
          <w:lang w:val="pl"/>
        </w:rPr>
        <w:fldChar w:fldCharType="end"/>
      </w:r>
      <w:r>
        <w:rPr>
          <w:lang w:val="pl"/>
        </w:rPr>
        <w:t xml:space="preserve"> powyżej).</w:t>
      </w:r>
    </w:p>
    <w:p w14:paraId="77139399" w14:textId="23A4D573"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68</w:t>
      </w:r>
      <w:r>
        <w:rPr>
          <w:noProof/>
          <w:lang w:val="pl"/>
        </w:rPr>
        <w:fldChar w:fldCharType="end"/>
      </w:r>
      <w:r>
        <w:rPr>
          <w:lang w:val="pl"/>
        </w:rPr>
        <w:t xml:space="preserve">.  Problem pojawił się później, gdy E.T., kandydatka ogłoszona jako wybrana na posłankę z ramienia Solidarności w okręgu wyborczym </w:t>
      </w:r>
      <w:proofErr w:type="spellStart"/>
      <w:r>
        <w:rPr>
          <w:lang w:val="pl"/>
        </w:rPr>
        <w:t>Limassol</w:t>
      </w:r>
      <w:proofErr w:type="spellEnd"/>
      <w:r>
        <w:rPr>
          <w:lang w:val="pl"/>
        </w:rPr>
        <w:t xml:space="preserve">, zrezygnowała z mandatu przed objęciem stanowiska. Cypryjski system prawny początkowo nie regulował tej ewentualności w sposób wyraźny. W związku z tym Trybunał ponownie podkreśla, że przepisy regulujące prawa wyborcze muszą być zrozumiałe, przewidywalne i zgodne z zasadą praworządności (zob.  </w:t>
      </w:r>
      <w:proofErr w:type="spellStart"/>
      <w:r>
        <w:rPr>
          <w:i/>
          <w:iCs/>
          <w:lang w:val="pl"/>
        </w:rPr>
        <w:t>Kokëdhima</w:t>
      </w:r>
      <w:proofErr w:type="spellEnd"/>
      <w:r>
        <w:rPr>
          <w:lang w:val="pl"/>
        </w:rPr>
        <w:t xml:space="preserve">, </w:t>
      </w:r>
      <w:proofErr w:type="spellStart"/>
      <w:r>
        <w:rPr>
          <w:i/>
          <w:iCs/>
          <w:lang w:val="pl"/>
        </w:rPr>
        <w:t>op.cit</w:t>
      </w:r>
      <w:proofErr w:type="spellEnd"/>
      <w:r>
        <w:rPr>
          <w:i/>
          <w:iCs/>
          <w:lang w:val="pl"/>
        </w:rPr>
        <w:t>.</w:t>
      </w:r>
      <w:r>
        <w:rPr>
          <w:lang w:val="pl"/>
        </w:rPr>
        <w:t>, § 56). Sytuacja, w której mandat nie został objęty przed</w:t>
      </w:r>
      <w:r w:rsidR="0051040A">
        <w:rPr>
          <w:lang w:val="pl"/>
        </w:rPr>
        <w:t xml:space="preserve"> zebraniem się</w:t>
      </w:r>
      <w:r>
        <w:rPr>
          <w:lang w:val="pl"/>
        </w:rPr>
        <w:t xml:space="preserve"> parlamentu, choć na Cyprze nowa, nie była nieprzewidywalna, ponieważ mogła mieć miejsce nie tylko w przypadku, gdyby wybrany poseł odmówił objęcia mandatu, ale także z innych powodów, takich jak śmierć osoby wybranej na posła.</w:t>
      </w:r>
    </w:p>
    <w:p w14:paraId="45124041"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69</w:t>
      </w:r>
      <w:r>
        <w:rPr>
          <w:noProof/>
          <w:lang w:val="pl"/>
        </w:rPr>
        <w:fldChar w:fldCharType="end"/>
      </w:r>
      <w:r>
        <w:rPr>
          <w:lang w:val="pl"/>
        </w:rPr>
        <w:t xml:space="preserve">.  Niezależnie od tego, gdy problem stał się oczywisty, obowiązkiem władz było znalezienie szybkiego i skutecznego rozwiązania. Mimo że GKW trzykrotnie ogłaszał zwycięstwo skarżącego, jego mandat był za każdym razem unieważniany przez Sąd Wyborczy z powodu braku – w opinii tego </w:t>
      </w:r>
      <w:r>
        <w:rPr>
          <w:lang w:val="pl"/>
        </w:rPr>
        <w:lastRenderedPageBreak/>
        <w:t>sądu – podstawy prawnej i konstytucyjnej, która jednoznacznie zezwalałaby na takie zastąpienie. Działania legislacyjne mające na celu konkretne rozwiązanie tej kwestii zostały uznane za niezgodne z konstytucją lub za mające moc wsteczną.</w:t>
      </w:r>
    </w:p>
    <w:p w14:paraId="6837D833" w14:textId="3F67A275"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70</w:t>
      </w:r>
      <w:r>
        <w:rPr>
          <w:noProof/>
          <w:lang w:val="pl"/>
        </w:rPr>
        <w:fldChar w:fldCharType="end"/>
      </w:r>
      <w:r>
        <w:rPr>
          <w:lang w:val="pl"/>
        </w:rPr>
        <w:t xml:space="preserve">.  Brak wystarczająco precyzyjnego i przewidywalnego przepisu ustawowego nie został również uzupełniony przez praktykę sądów krajowych (zob., </w:t>
      </w:r>
      <w:r w:rsidR="00816F90">
        <w:rPr>
          <w:lang w:val="pl"/>
        </w:rPr>
        <w:t xml:space="preserve"> </w:t>
      </w:r>
      <w:r w:rsidR="00816F90" w:rsidRPr="00816F90">
        <w:rPr>
          <w:i/>
          <w:iCs/>
          <w:lang w:val="pl-PL"/>
        </w:rPr>
        <w:t>mutatis mutandis</w:t>
      </w:r>
      <w:r>
        <w:rPr>
          <w:i/>
          <w:iCs/>
          <w:lang w:val="pl"/>
        </w:rPr>
        <w:t xml:space="preserve">, </w:t>
      </w:r>
      <w:bookmarkStart w:id="37" w:name="_cl38896THELAW"/>
      <w:proofErr w:type="spellStart"/>
      <w:r>
        <w:rPr>
          <w:i/>
          <w:iCs/>
          <w:lang w:val="pl"/>
        </w:rPr>
        <w:t>Vijatović</w:t>
      </w:r>
      <w:proofErr w:type="spellEnd"/>
      <w:r>
        <w:rPr>
          <w:i/>
          <w:iCs/>
          <w:lang w:val="pl"/>
        </w:rPr>
        <w:t xml:space="preserve"> przeciwko Chorwacji</w:t>
      </w:r>
      <w:bookmarkEnd w:id="37"/>
      <w:r>
        <w:rPr>
          <w:i/>
          <w:iCs/>
          <w:lang w:val="pl"/>
        </w:rPr>
        <w:t xml:space="preserve">, </w:t>
      </w:r>
      <w:r>
        <w:rPr>
          <w:lang w:val="pl"/>
        </w:rPr>
        <w:t xml:space="preserve">nr 50200/13, §§ 54–55, 16 lutego 2016 r., w kontekście art. 1 Protokołu nr 1). O ile Sąd Wyborczy zasugerował, że właściwym rozwiązaniem mogłyby być wybory powszechne lub uzupełniające na podstawie art. 65 lub 66 </w:t>
      </w:r>
      <w:r w:rsidR="00816F90">
        <w:rPr>
          <w:lang w:val="pl"/>
        </w:rPr>
        <w:t>K</w:t>
      </w:r>
      <w:r>
        <w:rPr>
          <w:lang w:val="pl"/>
        </w:rPr>
        <w:t xml:space="preserve">onstytucji (zob. paragrafy </w:t>
      </w:r>
      <w:r>
        <w:rPr>
          <w:lang w:val="pl"/>
        </w:rPr>
        <w:fldChar w:fldCharType="begin"/>
      </w:r>
      <w:r>
        <w:rPr>
          <w:lang w:val="pl"/>
        </w:rPr>
        <w:instrText xml:space="preserve"> REF Petition1_2017_majority \h  \* MERGEFORMAT </w:instrText>
      </w:r>
      <w:r>
        <w:rPr>
          <w:lang w:val="pl"/>
        </w:rPr>
      </w:r>
      <w:r>
        <w:rPr>
          <w:lang w:val="pl"/>
        </w:rPr>
        <w:fldChar w:fldCharType="separate"/>
      </w:r>
      <w:r>
        <w:rPr>
          <w:lang w:val="pl"/>
        </w:rPr>
        <w:t>23</w:t>
      </w:r>
      <w:r>
        <w:rPr>
          <w:lang w:val="pl"/>
        </w:rPr>
        <w:fldChar w:fldCharType="end"/>
      </w:r>
      <w:r>
        <w:rPr>
          <w:lang w:val="pl"/>
        </w:rPr>
        <w:t xml:space="preserve"> i </w:t>
      </w:r>
      <w:r>
        <w:rPr>
          <w:lang w:val="pl"/>
        </w:rPr>
        <w:fldChar w:fldCharType="begin"/>
      </w:r>
      <w:r>
        <w:rPr>
          <w:lang w:val="pl"/>
        </w:rPr>
        <w:instrText xml:space="preserve"> REF Petition3_2019_majority \h  \* MERGEFORMAT </w:instrText>
      </w:r>
      <w:r>
        <w:rPr>
          <w:lang w:val="pl"/>
        </w:rPr>
      </w:r>
      <w:r>
        <w:rPr>
          <w:lang w:val="pl"/>
        </w:rPr>
        <w:fldChar w:fldCharType="separate"/>
      </w:r>
      <w:r>
        <w:rPr>
          <w:lang w:val="pl"/>
        </w:rPr>
        <w:t>32</w:t>
      </w:r>
      <w:r>
        <w:rPr>
          <w:lang w:val="pl"/>
        </w:rPr>
        <w:fldChar w:fldCharType="end"/>
      </w:r>
      <w:r>
        <w:rPr>
          <w:lang w:val="pl"/>
        </w:rPr>
        <w:t xml:space="preserve"> powyżej), o tyle nie przedstawił żadnego wyjaśnienia, w jaki sposób mogłoby to nastąpić zgodnie z prawem. Wydaje się, że ani art. 65, ani art. 66 </w:t>
      </w:r>
      <w:r w:rsidR="00816F90">
        <w:rPr>
          <w:lang w:val="pl"/>
        </w:rPr>
        <w:t>K</w:t>
      </w:r>
      <w:r>
        <w:rPr>
          <w:lang w:val="pl"/>
        </w:rPr>
        <w:t xml:space="preserve">onstytucji (zob. paragrafy </w:t>
      </w:r>
      <w:r>
        <w:rPr>
          <w:lang w:val="pl"/>
        </w:rPr>
        <w:fldChar w:fldCharType="begin"/>
      </w:r>
      <w:r>
        <w:rPr>
          <w:lang w:val="pl"/>
        </w:rPr>
        <w:instrText xml:space="preserve"> REF CONSTITUTION_A65_termOffice \h  \* MERGEFORMAT </w:instrText>
      </w:r>
      <w:r>
        <w:rPr>
          <w:lang w:val="pl"/>
        </w:rPr>
      </w:r>
      <w:r>
        <w:rPr>
          <w:lang w:val="pl"/>
        </w:rPr>
        <w:fldChar w:fldCharType="separate"/>
      </w:r>
      <w:r>
        <w:rPr>
          <w:lang w:val="pl"/>
        </w:rPr>
        <w:t>38</w:t>
      </w:r>
      <w:r>
        <w:rPr>
          <w:lang w:val="pl"/>
        </w:rPr>
        <w:fldChar w:fldCharType="end"/>
      </w:r>
      <w:r>
        <w:rPr>
          <w:lang w:val="pl"/>
        </w:rPr>
        <w:t xml:space="preserve"> i </w:t>
      </w:r>
      <w:r>
        <w:rPr>
          <w:lang w:val="pl"/>
        </w:rPr>
        <w:fldChar w:fldCharType="begin"/>
      </w:r>
      <w:r>
        <w:rPr>
          <w:lang w:val="pl"/>
        </w:rPr>
        <w:instrText xml:space="preserve"> REF CONSTITUTION_A66_vacancy \h  \* MERGEFORMAT </w:instrText>
      </w:r>
      <w:r>
        <w:rPr>
          <w:lang w:val="pl"/>
        </w:rPr>
      </w:r>
      <w:r>
        <w:rPr>
          <w:lang w:val="pl"/>
        </w:rPr>
        <w:fldChar w:fldCharType="separate"/>
      </w:r>
      <w:r>
        <w:rPr>
          <w:lang w:val="pl"/>
        </w:rPr>
        <w:t>39</w:t>
      </w:r>
      <w:r>
        <w:rPr>
          <w:lang w:val="pl"/>
        </w:rPr>
        <w:fldChar w:fldCharType="end"/>
      </w:r>
      <w:r>
        <w:rPr>
          <w:lang w:val="pl"/>
        </w:rPr>
        <w:t xml:space="preserve"> powyżej) nie odnoszą się do sytuacji, w której mandat pozostaje „nieobsadzony”. Art. 66 ust. 2 konstytucji przewidywał jedynie możliwość obsadzenia „zwolnionego mandatu parlamentarnego […] w sposób przewidziany przez ustawę”, a mianowicie przez </w:t>
      </w:r>
      <w:r w:rsidR="00816F90">
        <w:rPr>
          <w:lang w:val="pl"/>
        </w:rPr>
        <w:t>P</w:t>
      </w:r>
      <w:r>
        <w:rPr>
          <w:lang w:val="pl"/>
        </w:rPr>
        <w:t xml:space="preserve">rawo </w:t>
      </w:r>
      <w:r w:rsidR="00816F90">
        <w:rPr>
          <w:lang w:val="pl"/>
        </w:rPr>
        <w:t>W</w:t>
      </w:r>
      <w:r>
        <w:rPr>
          <w:lang w:val="pl"/>
        </w:rPr>
        <w:t xml:space="preserve">yborcze. Art. 35 ust. 2 </w:t>
      </w:r>
      <w:r w:rsidR="00816F90">
        <w:rPr>
          <w:lang w:val="pl"/>
        </w:rPr>
        <w:t>P</w:t>
      </w:r>
      <w:r>
        <w:rPr>
          <w:lang w:val="pl"/>
        </w:rPr>
        <w:t xml:space="preserve">rawa </w:t>
      </w:r>
      <w:r w:rsidR="00816F90">
        <w:rPr>
          <w:lang w:val="pl"/>
        </w:rPr>
        <w:t>W</w:t>
      </w:r>
      <w:r>
        <w:rPr>
          <w:lang w:val="pl"/>
        </w:rPr>
        <w:t>yborczego, w brzmieniu wówczas obowiązującym, zezwalał również wyłącznie na przeprowadzenie wyborów uzupełniających w przypadku mandatów „[zwolnione] z</w:t>
      </w:r>
      <w:r w:rsidR="009E50F7">
        <w:rPr>
          <w:lang w:val="pl"/>
        </w:rPr>
        <w:t> </w:t>
      </w:r>
      <w:r>
        <w:rPr>
          <w:lang w:val="pl"/>
        </w:rPr>
        <w:t xml:space="preserve">jakiegokolwiek powodu w trakcie kadencji parlamentu” (zob. paragraf </w:t>
      </w:r>
      <w:r>
        <w:rPr>
          <w:lang w:val="pl"/>
        </w:rPr>
        <w:fldChar w:fldCharType="begin"/>
      </w:r>
      <w:r>
        <w:rPr>
          <w:lang w:val="pl"/>
        </w:rPr>
        <w:instrText xml:space="preserve"> REF ELECTIONLAW_S35_A \h  \* MERGEFORMAT </w:instrText>
      </w:r>
      <w:r>
        <w:rPr>
          <w:lang w:val="pl"/>
        </w:rPr>
      </w:r>
      <w:r>
        <w:rPr>
          <w:lang w:val="pl"/>
        </w:rPr>
        <w:fldChar w:fldCharType="separate"/>
      </w:r>
      <w:r>
        <w:rPr>
          <w:lang w:val="pl"/>
        </w:rPr>
        <w:t>43</w:t>
      </w:r>
      <w:r>
        <w:rPr>
          <w:lang w:val="pl"/>
        </w:rPr>
        <w:fldChar w:fldCharType="end"/>
      </w:r>
      <w:r>
        <w:rPr>
          <w:lang w:val="pl"/>
        </w:rPr>
        <w:t xml:space="preserve"> powyżej). W niniejszej sprawie sporną kwestią było przede wszystkim to, że z mandatu zrezygnowano przed rozpoczęciem kadencji parlamentarnej – a</w:t>
      </w:r>
      <w:r w:rsidR="009E50F7">
        <w:rPr>
          <w:lang w:val="pl"/>
        </w:rPr>
        <w:t> </w:t>
      </w:r>
      <w:r>
        <w:rPr>
          <w:lang w:val="pl"/>
        </w:rPr>
        <w:t>zatem był to mandat „nieobjęty” – dlatego wydaje się, że przeprowadzenie wyborów uzupełniających było prawnie niemożliwe, podobnie jak mianowanie kandydata, który zajął drugie miejsce uznano za niedopuszczalne.</w:t>
      </w:r>
    </w:p>
    <w:bookmarkStart w:id="38" w:name="NOTCOURTSROLE"/>
    <w:p w14:paraId="416E0D85" w14:textId="1139D236" w:rsidR="001C1CE3" w:rsidRPr="009E50F7" w:rsidRDefault="00000000" w:rsidP="0064767C">
      <w:pPr>
        <w:pStyle w:val="JuPara"/>
        <w:rPr>
          <w:lang w:val="pl-PL"/>
        </w:rPr>
      </w:pPr>
      <w:r>
        <w:rPr>
          <w:lang w:val="pl"/>
        </w:rPr>
        <w:fldChar w:fldCharType="begin"/>
      </w:r>
      <w:r>
        <w:rPr>
          <w:lang w:val="pl"/>
        </w:rPr>
        <w:instrText xml:space="preserve"> SEQ level0 \*arabic \* MERGEFORMAT </w:instrText>
      </w:r>
      <w:r>
        <w:rPr>
          <w:lang w:val="pl"/>
        </w:rPr>
        <w:fldChar w:fldCharType="separate"/>
      </w:r>
      <w:r>
        <w:rPr>
          <w:noProof/>
          <w:lang w:val="pl"/>
        </w:rPr>
        <w:t>71</w:t>
      </w:r>
      <w:r>
        <w:rPr>
          <w:lang w:val="pl"/>
        </w:rPr>
        <w:fldChar w:fldCharType="end"/>
      </w:r>
      <w:bookmarkEnd w:id="38"/>
      <w:r>
        <w:rPr>
          <w:lang w:val="pl"/>
        </w:rPr>
        <w:t>.  Trybunał podkreśla, że nie do niego należy rozstrzyganie, jaka metoda była właściwa do obsadzenia spornego mandatu parlamentarnego – czy poprzez mianowanie kandydata, który zajął drugie miejsce w wyborach, czy też poprzez przeprowadzenie wyborów uzupełniających. Niemniej okoliczności niniejszej sprawy wskazują na niezdolność władz krajowych do skutecznego rozstrzygnięcia tej kwestii. O ile Trybunał nie ma wątpliwości, że ta niezdolność nie była zamierzona, i dostrzega problemy natury konstytucyjnej wynikające z tej nowej sytuacji, o tyle w jej rezultacie mandat parlamentarny pozostawał nieobsadzone przez dłuższy czas między wielokrotnym unieważnianiem i przywracaniem mandatu skarżącego, a</w:t>
      </w:r>
      <w:r w:rsidR="009E50F7">
        <w:rPr>
          <w:lang w:val="pl"/>
        </w:rPr>
        <w:t> </w:t>
      </w:r>
      <w:r>
        <w:rPr>
          <w:lang w:val="pl"/>
        </w:rPr>
        <w:t>sprawa pozostawała nierozstrzygnięta przez niemal całą kadencję parlamentarną.</w:t>
      </w:r>
    </w:p>
    <w:p w14:paraId="36097DDC" w14:textId="0723EF00"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72</w:t>
      </w:r>
      <w:r>
        <w:rPr>
          <w:noProof/>
          <w:lang w:val="pl"/>
        </w:rPr>
        <w:fldChar w:fldCharType="end"/>
      </w:r>
      <w:r>
        <w:rPr>
          <w:lang w:val="pl"/>
        </w:rPr>
        <w:t>.  Zarówno skarżący, jak i wyborcy znaleźli się w prawnym impasie. Nie istniał żaden mechanizm – czy to w postaci mianowania kandydata z</w:t>
      </w:r>
      <w:r w:rsidR="009E50F7">
        <w:rPr>
          <w:lang w:val="pl"/>
        </w:rPr>
        <w:t> </w:t>
      </w:r>
      <w:r>
        <w:rPr>
          <w:lang w:val="pl"/>
        </w:rPr>
        <w:t>drugiego miejsca, czy też przeprowadzenia wyborów uzupełniających – który można by zastosować w celu obsadzenia mandatu, GKW zgodnie z</w:t>
      </w:r>
      <w:r w:rsidR="009E50F7">
        <w:rPr>
          <w:lang w:val="pl"/>
        </w:rPr>
        <w:t> </w:t>
      </w:r>
      <w:r>
        <w:rPr>
          <w:lang w:val="pl"/>
        </w:rPr>
        <w:t xml:space="preserve">przepisami art. 32 i 33 </w:t>
      </w:r>
      <w:r w:rsidR="00E70ED8">
        <w:rPr>
          <w:lang w:val="pl"/>
        </w:rPr>
        <w:t>P</w:t>
      </w:r>
      <w:r>
        <w:rPr>
          <w:lang w:val="pl"/>
        </w:rPr>
        <w:t xml:space="preserve">rawa </w:t>
      </w:r>
      <w:r w:rsidR="00E70ED8">
        <w:rPr>
          <w:lang w:val="pl"/>
        </w:rPr>
        <w:t>W</w:t>
      </w:r>
      <w:r>
        <w:rPr>
          <w:lang w:val="pl"/>
        </w:rPr>
        <w:t xml:space="preserve">yborczego przydzielił Solidarności w dniu 23 maja 2016 r. Brak działania ze strony władz krajowych w celu wypełnienia </w:t>
      </w:r>
      <w:r>
        <w:rPr>
          <w:lang w:val="pl"/>
        </w:rPr>
        <w:lastRenderedPageBreak/>
        <w:t>tej luki prawnej lub zapewnienia zgodnej z prawem alternatywy ostatecznie uniemożliwił realizację woli obywateli (wyrażonej 22 maja 2016 r.).</w:t>
      </w:r>
    </w:p>
    <w:p w14:paraId="252E32E5" w14:textId="3CF306F8"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73</w:t>
      </w:r>
      <w:r>
        <w:rPr>
          <w:noProof/>
          <w:lang w:val="pl"/>
        </w:rPr>
        <w:fldChar w:fldCharType="end"/>
      </w:r>
      <w:r>
        <w:rPr>
          <w:lang w:val="pl"/>
        </w:rPr>
        <w:t>.  Biorąc pod uwagę brak przepisów prawnych regulujących tę – w</w:t>
      </w:r>
      <w:r w:rsidR="009E50F7">
        <w:rPr>
          <w:lang w:val="pl"/>
        </w:rPr>
        <w:t> </w:t>
      </w:r>
      <w:r>
        <w:rPr>
          <w:lang w:val="pl"/>
        </w:rPr>
        <w:t>innych przypadkach – przewidywalną sytuację, w której mandat parlamentarny nie zostaje objęty przed rozpoczęciem kadencji parlamentarnej, a także fakt, że władze krajowe nie rozstrzygnęły tej kwestii w drodze interwencji ustawodawczej lub sądowej – co skutkowało pozostawaniem mandatu parlamentarnego nieobsadzonego przez dłuższy czas – Trybunał stwierdza, że ingerencja w niniejszej sprawie nie była „zgodna z prawem” w rozumieniu Konwencji.</w:t>
      </w:r>
    </w:p>
    <w:p w14:paraId="78634A16" w14:textId="77777777" w:rsidR="001C1CE3" w:rsidRPr="009E50F7" w:rsidRDefault="0064767C" w:rsidP="0064767C">
      <w:pPr>
        <w:pStyle w:val="JuPara"/>
        <w:rPr>
          <w:lang w:val="pl-PL"/>
        </w:rPr>
      </w:pPr>
      <w:r>
        <w:fldChar w:fldCharType="begin"/>
      </w:r>
      <w:r w:rsidRPr="009E50F7">
        <w:rPr>
          <w:lang w:val="pl-PL"/>
        </w:rPr>
        <w:instrText xml:space="preserve"> SEQ level0 \*arabic \* MERGEFORMAT </w:instrText>
      </w:r>
      <w:r>
        <w:fldChar w:fldCharType="separate"/>
      </w:r>
      <w:r>
        <w:rPr>
          <w:noProof/>
          <w:lang w:val="pl"/>
        </w:rPr>
        <w:t>74</w:t>
      </w:r>
      <w:r>
        <w:rPr>
          <w:noProof/>
          <w:lang w:val="pl"/>
        </w:rPr>
        <w:fldChar w:fldCharType="end"/>
      </w:r>
      <w:r>
        <w:rPr>
          <w:lang w:val="pl"/>
        </w:rPr>
        <w:t>.  Tym samym doszło do naruszenia art. 3 Protokołu nr 1 do Konwencji.</w:t>
      </w:r>
    </w:p>
    <w:p w14:paraId="141E3876" w14:textId="77777777" w:rsidR="001C1CE3" w:rsidRPr="0064767C" w:rsidRDefault="00000000" w:rsidP="0064767C">
      <w:pPr>
        <w:pStyle w:val="JuHIRoman"/>
        <w:rPr>
          <w:rFonts w:eastAsia="Times New Roman"/>
        </w:rPr>
      </w:pPr>
      <w:r>
        <w:rPr>
          <w:rFonts w:eastAsia="Times New Roman"/>
          <w:bCs w:val="0"/>
          <w:lang w:val="pl"/>
        </w:rPr>
        <w:t>ZASTOSOWANIE ART. 41 KONWENCJI</w:t>
      </w:r>
    </w:p>
    <w:p w14:paraId="6668D41E" w14:textId="77777777" w:rsidR="001C1CE3" w:rsidRPr="0064767C" w:rsidRDefault="00000000" w:rsidP="0064767C">
      <w:pPr>
        <w:pStyle w:val="JuPara"/>
        <w:rPr>
          <w:rFonts w:eastAsia="Times New Roman"/>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75</w:t>
      </w:r>
      <w:r>
        <w:rPr>
          <w:rFonts w:eastAsia="Times New Roman"/>
          <w:lang w:val="pl"/>
        </w:rPr>
        <w:fldChar w:fldCharType="end"/>
      </w:r>
      <w:r>
        <w:rPr>
          <w:rFonts w:eastAsia="Times New Roman"/>
          <w:lang w:val="pl"/>
        </w:rPr>
        <w:t>.  Art. 41 Konwencji stanowi:</w:t>
      </w:r>
    </w:p>
    <w:p w14:paraId="5E9E6727" w14:textId="77777777" w:rsidR="001C1CE3" w:rsidRPr="009E50F7" w:rsidRDefault="00000000" w:rsidP="0064767C">
      <w:pPr>
        <w:pStyle w:val="JuQuot"/>
        <w:rPr>
          <w:rFonts w:eastAsia="Times New Roman"/>
          <w:lang w:val="pl-PL"/>
        </w:rPr>
      </w:pPr>
      <w:r>
        <w:rPr>
          <w:rFonts w:eastAsia="Times New Roman"/>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7DE81E5A" w14:textId="77777777" w:rsidR="001C1CE3" w:rsidRPr="0064767C" w:rsidRDefault="00000000" w:rsidP="0064767C">
      <w:pPr>
        <w:pStyle w:val="JuHA"/>
        <w:rPr>
          <w:rFonts w:eastAsia="Times New Roman"/>
        </w:rPr>
      </w:pPr>
      <w:r>
        <w:rPr>
          <w:lang w:val="pl"/>
        </w:rPr>
        <w:t>Szkoda</w:t>
      </w:r>
    </w:p>
    <w:p w14:paraId="4CE16512" w14:textId="77777777" w:rsidR="001C1CE3" w:rsidRPr="0064767C" w:rsidRDefault="00000000" w:rsidP="0064767C">
      <w:pPr>
        <w:pStyle w:val="JuH1"/>
      </w:pPr>
      <w:r>
        <w:rPr>
          <w:bCs w:val="0"/>
          <w:lang w:val="pl"/>
        </w:rPr>
        <w:t>Stanowiska stron</w:t>
      </w:r>
    </w:p>
    <w:p w14:paraId="7DEF3F79" w14:textId="77777777" w:rsidR="001C1CE3" w:rsidRPr="009E50F7" w:rsidRDefault="00000000" w:rsidP="0064767C">
      <w:pPr>
        <w:pStyle w:val="JuPara"/>
        <w:rPr>
          <w:rFonts w:eastAsia="Times New Roman"/>
          <w:bCs/>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76</w:t>
      </w:r>
      <w:r>
        <w:rPr>
          <w:rFonts w:eastAsia="Times New Roman"/>
          <w:lang w:val="pl"/>
        </w:rPr>
        <w:fldChar w:fldCharType="end"/>
      </w:r>
      <w:r>
        <w:rPr>
          <w:rFonts w:eastAsia="Times New Roman"/>
          <w:lang w:val="pl"/>
        </w:rPr>
        <w:t>.  Skarżący domagał się kwoty 20 000 euro (EUR) tytułem zadośćuczynienia za szkodę niemajątkową. Ponadto domagał się zapłaty następujących kwot z tytułu poniesionej szkody majątkowej:</w:t>
      </w:r>
    </w:p>
    <w:p w14:paraId="5E63004A" w14:textId="77777777" w:rsidR="001C1CE3" w:rsidRPr="009E50F7" w:rsidRDefault="00000000" w:rsidP="0064767C">
      <w:pPr>
        <w:pStyle w:val="JuPara"/>
        <w:rPr>
          <w:rFonts w:eastAsia="Times New Roman"/>
          <w:bCs/>
          <w:lang w:val="pl-PL"/>
        </w:rPr>
      </w:pPr>
      <w:r>
        <w:rPr>
          <w:rFonts w:eastAsia="Times New Roman"/>
          <w:lang w:val="pl"/>
        </w:rPr>
        <w:t>– 237 561,74 EUR wraz z kwotą odpowiadającą wysokości trzynastej pensji (premii rocznej) oraz odsetkami ustawowymi od całej kwoty, stanowiącej dochód, jaki uzyskałby, gdyby jego prawa nie zostały naruszone;</w:t>
      </w:r>
    </w:p>
    <w:p w14:paraId="170EF020" w14:textId="77777777" w:rsidR="001C1CE3" w:rsidRPr="009E50F7" w:rsidRDefault="00000000" w:rsidP="0064767C">
      <w:pPr>
        <w:pStyle w:val="JuPara"/>
        <w:rPr>
          <w:rFonts w:eastAsia="Times New Roman"/>
          <w:bCs/>
          <w:lang w:val="pl-PL"/>
        </w:rPr>
      </w:pPr>
      <w:r>
        <w:rPr>
          <w:rFonts w:eastAsia="Times New Roman"/>
          <w:lang w:val="pl"/>
        </w:rPr>
        <w:t>– utraty dodatkowej emerytury – o nieokreślonej wysokości – przysługującej posłom, wynoszącej 75 % ich ostatniego miesięcznego wynagrodzenia; oraz</w:t>
      </w:r>
    </w:p>
    <w:p w14:paraId="331EBBEA" w14:textId="7BC9A2C9" w:rsidR="001C1CE3" w:rsidRPr="009E50F7" w:rsidRDefault="00000000" w:rsidP="0064767C">
      <w:pPr>
        <w:pStyle w:val="JuPara"/>
        <w:rPr>
          <w:rFonts w:eastAsia="Times New Roman"/>
          <w:bCs/>
          <w:lang w:val="pl-PL"/>
        </w:rPr>
      </w:pPr>
      <w:r>
        <w:rPr>
          <w:rFonts w:eastAsia="Times New Roman"/>
          <w:lang w:val="pl"/>
        </w:rPr>
        <w:t xml:space="preserve">– jednorazowego odszkodowania – również w nieokreślonej wysokości – z tytułu pełnienia funkcji posła przez jedną kadencję, zgodnie z </w:t>
      </w:r>
      <w:r w:rsidR="0097032F">
        <w:rPr>
          <w:rFonts w:eastAsia="Times New Roman"/>
          <w:lang w:val="pl"/>
        </w:rPr>
        <w:t>U</w:t>
      </w:r>
      <w:r>
        <w:rPr>
          <w:rFonts w:eastAsia="Times New Roman"/>
          <w:lang w:val="pl"/>
        </w:rPr>
        <w:t>stawą o</w:t>
      </w:r>
      <w:r w:rsidR="009E50F7">
        <w:rPr>
          <w:rFonts w:eastAsia="Times New Roman"/>
          <w:lang w:val="pl"/>
        </w:rPr>
        <w:t> </w:t>
      </w:r>
      <w:r w:rsidR="0097032F">
        <w:rPr>
          <w:rFonts w:eastAsia="Times New Roman"/>
          <w:lang w:val="pl"/>
        </w:rPr>
        <w:t>E</w:t>
      </w:r>
      <w:r>
        <w:rPr>
          <w:rFonts w:eastAsia="Times New Roman"/>
          <w:lang w:val="pl"/>
        </w:rPr>
        <w:t xml:space="preserve">meryturach </w:t>
      </w:r>
      <w:r w:rsidR="0097032F">
        <w:rPr>
          <w:rFonts w:eastAsia="Times New Roman"/>
          <w:lang w:val="pl"/>
        </w:rPr>
        <w:t>U</w:t>
      </w:r>
      <w:r>
        <w:rPr>
          <w:rFonts w:eastAsia="Times New Roman"/>
          <w:lang w:val="pl"/>
        </w:rPr>
        <w:t xml:space="preserve">rzędników </w:t>
      </w:r>
      <w:r w:rsidR="0097032F">
        <w:rPr>
          <w:rFonts w:eastAsia="Times New Roman"/>
          <w:lang w:val="pl"/>
        </w:rPr>
        <w:t>P</w:t>
      </w:r>
      <w:r>
        <w:rPr>
          <w:rFonts w:eastAsia="Times New Roman"/>
          <w:lang w:val="pl"/>
        </w:rPr>
        <w:t>aństwowych (zasady ogólne) z 2011 r. (ustawa nr 88(I)/2011).</w:t>
      </w:r>
    </w:p>
    <w:p w14:paraId="3D1BD401" w14:textId="77777777" w:rsidR="001C1CE3" w:rsidRPr="009E50F7" w:rsidRDefault="00000000" w:rsidP="0064767C">
      <w:pPr>
        <w:pStyle w:val="JuPara"/>
        <w:rPr>
          <w:rFonts w:eastAsia="Times New Roman"/>
          <w:bCs/>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77</w:t>
      </w:r>
      <w:r>
        <w:rPr>
          <w:rFonts w:eastAsia="Times New Roman"/>
          <w:lang w:val="pl"/>
        </w:rPr>
        <w:fldChar w:fldCharType="end"/>
      </w:r>
      <w:r>
        <w:rPr>
          <w:rFonts w:eastAsia="Times New Roman"/>
          <w:lang w:val="pl"/>
        </w:rPr>
        <w:t>.  Rząd sprzeciwił się powyższym roszczeniom. Twierdził, że roszczenia skarżącego dotyczące odszkodowania za szkodę majątkową były nieuzasadnione i bezpodstawne. Rząd twierdził ponadto, że gdyby Trybunał nie podzielał jego stanowiska, wszelkie odszkodowanie pieniężne powinno być ograniczone do kwoty 132 122,93 EUR, odpowiadającej wynagrodzeniu netto, które skarżący otrzymałby, gdyby pozostał na stanowisku przez kolejne 26 miesięcy, aż do końca kadencji parlamentarnej, biorąc pod uwagę, że zasiadał on już łącznie 34 miesiące w Parlamencie.</w:t>
      </w:r>
    </w:p>
    <w:p w14:paraId="6FA0F597" w14:textId="77777777" w:rsidR="001C1CE3" w:rsidRPr="0064767C" w:rsidRDefault="00000000" w:rsidP="0064767C">
      <w:pPr>
        <w:pStyle w:val="JuH1"/>
        <w:rPr>
          <w:rFonts w:eastAsia="Times New Roman"/>
        </w:rPr>
      </w:pPr>
      <w:r>
        <w:rPr>
          <w:bCs w:val="0"/>
          <w:lang w:val="pl"/>
        </w:rPr>
        <w:lastRenderedPageBreak/>
        <w:t>Ocena Trybunału</w:t>
      </w:r>
    </w:p>
    <w:p w14:paraId="0CFA89C9" w14:textId="2D21D848" w:rsidR="001C1CE3" w:rsidRPr="009E50F7" w:rsidRDefault="00000000" w:rsidP="0064767C">
      <w:pPr>
        <w:pStyle w:val="JuPara"/>
        <w:rPr>
          <w:rFonts w:eastAsia="Times New Roman"/>
          <w:bCs/>
          <w:lang w:val="pl-PL"/>
        </w:rPr>
      </w:pPr>
      <w:r>
        <w:rPr>
          <w:lang w:val="pl"/>
        </w:rPr>
        <w:fldChar w:fldCharType="begin"/>
      </w:r>
      <w:r>
        <w:rPr>
          <w:lang w:val="pl"/>
        </w:rPr>
        <w:instrText xml:space="preserve"> SEQ level0 \*arabic \* MERGEFORMAT </w:instrText>
      </w:r>
      <w:r>
        <w:rPr>
          <w:lang w:val="pl"/>
        </w:rPr>
        <w:fldChar w:fldCharType="separate"/>
      </w:r>
      <w:r>
        <w:rPr>
          <w:noProof/>
          <w:lang w:val="pl"/>
        </w:rPr>
        <w:t>78</w:t>
      </w:r>
      <w:r>
        <w:rPr>
          <w:lang w:val="pl"/>
        </w:rPr>
        <w:fldChar w:fldCharType="end"/>
      </w:r>
      <w:r>
        <w:rPr>
          <w:lang w:val="pl"/>
        </w:rPr>
        <w:t>.  Trybunał uznał, że nie do niego należy rozstrzyganie, jaka metoda była właściwa do obsadzenia spornego mandatu parlamentarnego (zob. paragraf </w:t>
      </w:r>
      <w:r>
        <w:rPr>
          <w:lang w:val="pl"/>
        </w:rPr>
        <w:fldChar w:fldCharType="begin"/>
      </w:r>
      <w:r>
        <w:rPr>
          <w:lang w:val="pl"/>
        </w:rPr>
        <w:instrText xml:space="preserve"> REF NOTCOURTSROLE \h </w:instrText>
      </w:r>
      <w:r>
        <w:rPr>
          <w:lang w:val="pl"/>
        </w:rPr>
      </w:r>
      <w:r>
        <w:rPr>
          <w:lang w:val="pl"/>
        </w:rPr>
        <w:fldChar w:fldCharType="separate"/>
      </w:r>
      <w:r>
        <w:rPr>
          <w:noProof/>
          <w:lang w:val="pl"/>
        </w:rPr>
        <w:t>71</w:t>
      </w:r>
      <w:r>
        <w:rPr>
          <w:lang w:val="pl"/>
        </w:rPr>
        <w:fldChar w:fldCharType="end"/>
      </w:r>
      <w:r>
        <w:rPr>
          <w:lang w:val="pl"/>
        </w:rPr>
        <w:t xml:space="preserve"> powyżej). Co za tym idzie nie można spekulować, czy mandat zostałby na pewno przyznany skarżącemu, a zatem nie wykazano związku przyczynowego między zarzucaną stratą finansową a stwierdzonym naruszeniem (zob. </w:t>
      </w:r>
      <w:r w:rsidR="0097032F">
        <w:rPr>
          <w:lang w:val="pl"/>
        </w:rPr>
        <w:t xml:space="preserve"> </w:t>
      </w:r>
      <w:r w:rsidR="0097032F" w:rsidRPr="0097032F">
        <w:rPr>
          <w:i/>
          <w:iCs/>
          <w:lang w:val="pl-PL"/>
        </w:rPr>
        <w:t>mutatis mutandis</w:t>
      </w:r>
      <w:r>
        <w:rPr>
          <w:lang w:val="pl"/>
        </w:rPr>
        <w:t xml:space="preserve">, </w:t>
      </w:r>
      <w:bookmarkStart w:id="39" w:name="_cl32370THELAW"/>
      <w:proofErr w:type="spellStart"/>
      <w:r>
        <w:rPr>
          <w:i/>
          <w:iCs/>
          <w:lang w:val="pl"/>
        </w:rPr>
        <w:t>Mugemangango</w:t>
      </w:r>
      <w:proofErr w:type="spellEnd"/>
      <w:r>
        <w:rPr>
          <w:i/>
          <w:iCs/>
          <w:lang w:val="pl"/>
        </w:rPr>
        <w:t xml:space="preserve"> przeciwko Belgii</w:t>
      </w:r>
      <w:bookmarkEnd w:id="39"/>
      <w:r>
        <w:rPr>
          <w:lang w:val="pl"/>
        </w:rPr>
        <w:t xml:space="preserve"> [WI], nr</w:t>
      </w:r>
      <w:r w:rsidR="009E50F7">
        <w:rPr>
          <w:lang w:val="pl"/>
        </w:rPr>
        <w:t> </w:t>
      </w:r>
      <w:r>
        <w:rPr>
          <w:lang w:val="pl"/>
        </w:rPr>
        <w:t>310/15, § 143, 10 lipca 2020 r.). Trybunał zatem oddala to roszczenie.</w:t>
      </w:r>
    </w:p>
    <w:p w14:paraId="0284951A" w14:textId="77777777" w:rsidR="001C1CE3" w:rsidRPr="009E50F7" w:rsidRDefault="00000000" w:rsidP="0064767C">
      <w:pPr>
        <w:pStyle w:val="JuPara"/>
        <w:rPr>
          <w:rFonts w:eastAsia="Times New Roman"/>
          <w:bCs/>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79</w:t>
      </w:r>
      <w:r>
        <w:rPr>
          <w:rFonts w:eastAsia="Times New Roman"/>
          <w:lang w:val="pl"/>
        </w:rPr>
        <w:fldChar w:fldCharType="end"/>
      </w:r>
      <w:r>
        <w:rPr>
          <w:rFonts w:eastAsia="Times New Roman"/>
          <w:lang w:val="pl"/>
        </w:rPr>
        <w:t>.  Trybunał przyznaje skarżącemu kwotę 8 000 EUR z tytułu zadośćuczynienia za szkodę niemajątkową, powiększoną o wszelkie należne podatki.</w:t>
      </w:r>
    </w:p>
    <w:p w14:paraId="3358B8F3" w14:textId="77777777" w:rsidR="001C1CE3" w:rsidRPr="0064767C" w:rsidRDefault="00000000" w:rsidP="0064767C">
      <w:pPr>
        <w:pStyle w:val="JuHA"/>
      </w:pPr>
      <w:r>
        <w:rPr>
          <w:lang w:val="pl"/>
        </w:rPr>
        <w:t>Koszty i wydatki</w:t>
      </w:r>
    </w:p>
    <w:p w14:paraId="6DBC0616" w14:textId="77777777" w:rsidR="001C1CE3" w:rsidRPr="009E50F7" w:rsidRDefault="00000000" w:rsidP="0064767C">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80</w:t>
      </w:r>
      <w:r>
        <w:rPr>
          <w:rFonts w:eastAsia="Times New Roman"/>
          <w:lang w:val="pl"/>
        </w:rPr>
        <w:fldChar w:fldCharType="end"/>
      </w:r>
      <w:r>
        <w:rPr>
          <w:rFonts w:eastAsia="Times New Roman"/>
          <w:lang w:val="pl"/>
        </w:rPr>
        <w:t>.  Skarżący domagała się również kwoty 10 000 EUR tytułem kosztów i wydatków poniesionych przed Trybunałem.</w:t>
      </w:r>
    </w:p>
    <w:p w14:paraId="61427998" w14:textId="77777777" w:rsidR="001C1CE3" w:rsidRPr="009E50F7" w:rsidRDefault="00000000" w:rsidP="0064767C">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81</w:t>
      </w:r>
      <w:r>
        <w:rPr>
          <w:rFonts w:eastAsia="Times New Roman"/>
          <w:lang w:val="pl"/>
        </w:rPr>
        <w:fldChar w:fldCharType="end"/>
      </w:r>
      <w:r>
        <w:rPr>
          <w:rFonts w:eastAsia="Times New Roman"/>
          <w:lang w:val="pl"/>
        </w:rPr>
        <w:t>.  Rząd sprzeciwił się temu roszczeniu.</w:t>
      </w:r>
    </w:p>
    <w:p w14:paraId="4E3FA2F2" w14:textId="77777777" w:rsidR="001C1CE3" w:rsidRPr="009E50F7" w:rsidRDefault="00000000" w:rsidP="0064767C">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 MERGEFORMAT </w:instrText>
      </w:r>
      <w:r>
        <w:rPr>
          <w:rFonts w:eastAsia="Times New Roman"/>
          <w:lang w:val="pl"/>
        </w:rPr>
        <w:fldChar w:fldCharType="separate"/>
      </w:r>
      <w:r>
        <w:rPr>
          <w:rFonts w:eastAsia="Times New Roman"/>
          <w:noProof/>
          <w:lang w:val="pl"/>
        </w:rPr>
        <w:t>82</w:t>
      </w:r>
      <w:r>
        <w:rPr>
          <w:rFonts w:eastAsia="Times New Roman"/>
          <w:lang w:val="pl"/>
        </w:rPr>
        <w:fldChar w:fldCharType="end"/>
      </w:r>
      <w:r>
        <w:rPr>
          <w:rFonts w:eastAsia="Times New Roman"/>
          <w:lang w:val="pl"/>
        </w:rPr>
        <w:t>.  Zgodnie z orzecznictwem Trybunału skarżącemu przysługuje prawo do zwrotu poniesionych kosztów i wydatków wówczas, gdy wykazał, że były one rzeczywiście i koniecznie poniesione oraz że są uzasadnione co do wysokości. Zgodnie z Regułą 60 Regulaminu Trybunału skarżący ma ponadto obowiązek przedłożyć szczegółowy wykaz wszystkich roszczeń wraz z wszelkimi istotnymi dokumentami potwierdzającymi. Trybunał zauważa, że skarżący nie przedłożył szczegółowych rachunków ani faktur na poparcie swojego roszczenia (Reguła 60 §§ 1 i 2 Regulaminu). Uwzględniając dokumenty znajdujące się w posiadaniu Trybunału i wyżej wskazane kryteria, Trybunał oddala roszczenie o zwrot kosztów i wydatków.</w:t>
      </w:r>
    </w:p>
    <w:p w14:paraId="7A5AF8E0" w14:textId="77777777" w:rsidR="001C1CE3" w:rsidRPr="0064767C" w:rsidRDefault="00000000" w:rsidP="0064767C">
      <w:pPr>
        <w:pStyle w:val="JuHHead"/>
        <w:numPr>
          <w:ilvl w:val="0"/>
          <w:numId w:val="1"/>
        </w:numPr>
      </w:pPr>
      <w:r>
        <w:rPr>
          <w:bCs w:val="0"/>
          <w:lang w:val="pl"/>
        </w:rPr>
        <w:t>Z POWYŻSZYCH WZGLĘDÓW TRYBUNAŁ JEDNOGŁOŚNIE</w:t>
      </w:r>
    </w:p>
    <w:p w14:paraId="0F0A96D9" w14:textId="77777777" w:rsidR="001C1CE3" w:rsidRPr="009E50F7" w:rsidRDefault="00000000" w:rsidP="0064767C">
      <w:pPr>
        <w:pStyle w:val="JuList"/>
        <w:numPr>
          <w:ilvl w:val="0"/>
          <w:numId w:val="2"/>
        </w:numPr>
        <w:rPr>
          <w:lang w:val="pl-PL"/>
        </w:rPr>
      </w:pPr>
      <w:r>
        <w:rPr>
          <w:i/>
          <w:iCs/>
          <w:lang w:val="pl"/>
        </w:rPr>
        <w:t>Oddala</w:t>
      </w:r>
      <w:r>
        <w:rPr>
          <w:lang w:val="pl"/>
        </w:rPr>
        <w:t xml:space="preserve"> zastrzeżenie wstępne Rządu dotyczące niewyczerpania krajowych środków odwoławczych;</w:t>
      </w:r>
    </w:p>
    <w:p w14:paraId="2449C4D9" w14:textId="77777777" w:rsidR="001C1CE3" w:rsidRPr="0064767C" w:rsidRDefault="00000000" w:rsidP="0064767C">
      <w:pPr>
        <w:pStyle w:val="JuList"/>
      </w:pPr>
      <w:r>
        <w:rPr>
          <w:i/>
          <w:iCs/>
          <w:lang w:val="pl"/>
        </w:rPr>
        <w:t>Uznaje</w:t>
      </w:r>
      <w:r>
        <w:rPr>
          <w:lang w:val="pl"/>
        </w:rPr>
        <w:t xml:space="preserve"> skargę za dopuszczalną;</w:t>
      </w:r>
    </w:p>
    <w:p w14:paraId="3D116D48" w14:textId="77777777" w:rsidR="001C1CE3" w:rsidRPr="009E50F7" w:rsidRDefault="00000000" w:rsidP="0064767C">
      <w:pPr>
        <w:pStyle w:val="JuList"/>
        <w:rPr>
          <w:lang w:val="pl-PL"/>
        </w:rPr>
      </w:pPr>
      <w:r>
        <w:rPr>
          <w:i/>
          <w:iCs/>
          <w:lang w:val="pl"/>
        </w:rPr>
        <w:t>Orzeka</w:t>
      </w:r>
      <w:r>
        <w:rPr>
          <w:lang w:val="pl"/>
        </w:rPr>
        <w:t>, że doszło do naruszenia art. 3 Protokołu nr 1 do Konwencji;</w:t>
      </w:r>
    </w:p>
    <w:p w14:paraId="609A42B0" w14:textId="77777777" w:rsidR="001C1CE3" w:rsidRPr="0064767C" w:rsidRDefault="00000000" w:rsidP="0064767C">
      <w:pPr>
        <w:pStyle w:val="JuList"/>
      </w:pPr>
      <w:r>
        <w:rPr>
          <w:i/>
          <w:iCs/>
          <w:lang w:val="pl"/>
        </w:rPr>
        <w:t>Orzeka,</w:t>
      </w:r>
    </w:p>
    <w:p w14:paraId="18FD4A7C" w14:textId="77777777" w:rsidR="001C1CE3" w:rsidRPr="009E50F7" w:rsidRDefault="00000000" w:rsidP="0064767C">
      <w:pPr>
        <w:pStyle w:val="JuLista"/>
        <w:rPr>
          <w:lang w:val="pl-PL"/>
        </w:rPr>
      </w:pPr>
      <w:r>
        <w:rPr>
          <w:lang w:val="pl"/>
        </w:rPr>
        <w:t xml:space="preserve">że pozwane państwo winno, w terminie 3 miesięcy od daty, w której niniejszy wyrok stanie się ostateczny zgodnie z art. 44 ust. 2 Konwencji, uiścić na rzecz skarżącego kwotę 8 000 EUR (osiem </w:t>
      </w:r>
      <w:r>
        <w:rPr>
          <w:lang w:val="pl"/>
        </w:rPr>
        <w:lastRenderedPageBreak/>
        <w:t>tysięcy euro), tytułem zadośćuczynienia za szkodę niemajątkową,  powiększoną o wszelkie należne podatki;</w:t>
      </w:r>
    </w:p>
    <w:p w14:paraId="481F23C7" w14:textId="77777777" w:rsidR="001C1CE3" w:rsidRPr="009E50F7" w:rsidRDefault="00000000" w:rsidP="0064767C">
      <w:pPr>
        <w:pStyle w:val="JuLista"/>
        <w:rPr>
          <w:lang w:val="pl-PL"/>
        </w:rPr>
      </w:pPr>
      <w:r>
        <w:rPr>
          <w:lang w:val="pl"/>
        </w:rP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6DAC73FD" w14:textId="77777777" w:rsidR="004D0EC7" w:rsidRPr="009E50F7" w:rsidRDefault="00000000" w:rsidP="0064767C">
      <w:pPr>
        <w:pStyle w:val="JuList"/>
        <w:rPr>
          <w:lang w:val="pl-PL"/>
        </w:rPr>
      </w:pPr>
      <w:r>
        <w:rPr>
          <w:i/>
          <w:iCs/>
          <w:lang w:val="pl"/>
        </w:rPr>
        <w:t>Oddala</w:t>
      </w:r>
      <w:r>
        <w:rPr>
          <w:lang w:val="pl"/>
        </w:rPr>
        <w:t xml:space="preserve"> pozostałą część roszczenia skarżącego dotyczącego słusznego zadośćuczynienia.</w:t>
      </w:r>
    </w:p>
    <w:p w14:paraId="0BEAA3EE" w14:textId="77777777" w:rsidR="008E3A08" w:rsidRPr="009E50F7" w:rsidRDefault="00000000" w:rsidP="0064767C">
      <w:pPr>
        <w:pStyle w:val="JuParaLast"/>
        <w:rPr>
          <w:lang w:val="pl-PL"/>
        </w:rPr>
      </w:pPr>
      <w:r>
        <w:rPr>
          <w:lang w:val="pl"/>
        </w:rPr>
        <w:t xml:space="preserve">Sporządzono w języku angielskim i obwieszczono pisemnie dnia </w:t>
      </w:r>
      <w:r>
        <w:rPr>
          <w:rFonts w:ascii="Times New Roman" w:hAnsi="Times New Roman"/>
          <w:lang w:val="pl"/>
        </w:rPr>
        <w:t>9 października 2025 r</w:t>
      </w:r>
      <w:r>
        <w:rPr>
          <w:lang w:val="pl"/>
        </w:rPr>
        <w:t>., zgodnie z Regułą 77 §§ 2 i 3 Regulaminu Trybunału.</w:t>
      </w:r>
    </w:p>
    <w:p w14:paraId="439F8E0B" w14:textId="77777777" w:rsidR="007E79A4" w:rsidRPr="009E50F7" w:rsidRDefault="00000000" w:rsidP="0064767C">
      <w:pPr>
        <w:pStyle w:val="JuSigned"/>
        <w:rPr>
          <w:lang w:val="pl-PL"/>
        </w:rPr>
      </w:pPr>
      <w:r>
        <w:rPr>
          <w:lang w:val="pl"/>
        </w:rPr>
        <w:tab/>
      </w:r>
      <w:proofErr w:type="spellStart"/>
      <w:r>
        <w:rPr>
          <w:lang w:val="pl"/>
        </w:rPr>
        <w:t>Liv</w:t>
      </w:r>
      <w:proofErr w:type="spellEnd"/>
      <w:r>
        <w:rPr>
          <w:lang w:val="pl"/>
        </w:rPr>
        <w:t xml:space="preserve"> </w:t>
      </w:r>
      <w:proofErr w:type="spellStart"/>
      <w:r>
        <w:rPr>
          <w:lang w:val="pl"/>
        </w:rPr>
        <w:t>Tigerstedt</w:t>
      </w:r>
      <w:proofErr w:type="spellEnd"/>
      <w:r>
        <w:rPr>
          <w:lang w:val="pl"/>
        </w:rPr>
        <w:tab/>
        <w:t xml:space="preserve">Ivana </w:t>
      </w:r>
      <w:proofErr w:type="spellStart"/>
      <w:r>
        <w:rPr>
          <w:lang w:val="pl"/>
        </w:rPr>
        <w:t>Jelić</w:t>
      </w:r>
      <w:proofErr w:type="spellEnd"/>
      <w:r>
        <w:rPr>
          <w:lang w:val="pl"/>
        </w:rPr>
        <w:br/>
      </w:r>
      <w:r>
        <w:rPr>
          <w:lang w:val="pl"/>
        </w:rPr>
        <w:tab/>
        <w:t>Zastępca Kanclerza</w:t>
      </w:r>
      <w:r>
        <w:rPr>
          <w:lang w:val="pl"/>
        </w:rPr>
        <w:tab/>
        <w:t>Przewodniczący</w:t>
      </w:r>
    </w:p>
    <w:sectPr w:rsidR="007E79A4" w:rsidRPr="009E50F7"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F20E9" w14:textId="77777777" w:rsidR="00E64045" w:rsidRDefault="00E64045">
      <w:r>
        <w:separator/>
      </w:r>
    </w:p>
  </w:endnote>
  <w:endnote w:type="continuationSeparator" w:id="0">
    <w:p w14:paraId="32B988D5" w14:textId="77777777" w:rsidR="00E64045" w:rsidRDefault="00E64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50F31" w14:textId="77777777" w:rsidR="001C1CE3" w:rsidRPr="00150BFA" w:rsidRDefault="00000000" w:rsidP="0020718E">
    <w:pPr>
      <w:jc w:val="center"/>
    </w:pPr>
    <w:r>
      <w:rPr>
        <w:noProof/>
        <w:lang w:val="pl"/>
      </w:rPr>
      <w:drawing>
        <wp:inline distT="0" distB="0" distL="0" distR="0" wp14:anchorId="733576C5" wp14:editId="651A4C77">
          <wp:extent cx="771525" cy="619125"/>
          <wp:effectExtent l="0" t="0" r="9525" b="9525"/>
          <wp:docPr id="497626209" name="Picture 49762620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62620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60E4B38D"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9B316" w14:textId="77777777" w:rsidR="001C1CE3" w:rsidRPr="00150BFA" w:rsidRDefault="00000000" w:rsidP="0020718E">
    <w:pPr>
      <w:jc w:val="center"/>
    </w:pPr>
    <w:r>
      <w:rPr>
        <w:noProof/>
        <w:lang w:val="pl"/>
      </w:rPr>
      <w:drawing>
        <wp:inline distT="0" distB="0" distL="0" distR="0" wp14:anchorId="634CA763" wp14:editId="0EBE61C7">
          <wp:extent cx="771525" cy="619125"/>
          <wp:effectExtent l="0" t="0" r="9525" b="9525"/>
          <wp:docPr id="1308132170" name="Picture 130813217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13217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C8824E4"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0C88B" w14:textId="77777777" w:rsidR="00182EBA" w:rsidRDefault="00000000" w:rsidP="009A115C">
    <w:pPr>
      <w:pStyle w:val="JuHeader"/>
    </w:pPr>
    <w:r>
      <w:rPr>
        <w:lang w:val="pl"/>
      </w:rPr>
      <w:fldChar w:fldCharType="begin"/>
    </w:r>
    <w:r>
      <w:rPr>
        <w:lang w:val="pl"/>
      </w:rPr>
      <w:instrText xml:space="preserve"> PAGE  \* MERGEFORMAT </w:instrText>
    </w:r>
    <w:r>
      <w:rPr>
        <w:lang w:val="pl"/>
      </w:rPr>
      <w:fldChar w:fldCharType="separate"/>
    </w:r>
    <w:r>
      <w:rPr>
        <w:noProof/>
        <w:lang w:val="pl"/>
      </w:rPr>
      <w:t>2</w:t>
    </w:r>
    <w:r>
      <w:rPr>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4D804" w14:textId="77777777" w:rsidR="00182EBA" w:rsidRPr="000B7195" w:rsidRDefault="00000000" w:rsidP="007D3701">
    <w:pPr>
      <w:pStyle w:val="JuHeader"/>
    </w:pPr>
    <w:r>
      <w:rPr>
        <w:lang w:val="pl"/>
      </w:rPr>
      <w:fldChar w:fldCharType="begin"/>
    </w:r>
    <w:r>
      <w:rPr>
        <w:lang w:val="pl"/>
      </w:rPr>
      <w:instrText xml:space="preserve"> PAGE  \* MERGEFORMAT </w:instrText>
    </w:r>
    <w:r>
      <w:rPr>
        <w:lang w:val="pl"/>
      </w:rPr>
      <w:fldChar w:fldCharType="separate"/>
    </w:r>
    <w:r>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31B64" w14:textId="77777777" w:rsidR="00E64045" w:rsidRPr="00E67565" w:rsidRDefault="00E64045" w:rsidP="0098410D">
      <w:r>
        <w:separator/>
      </w:r>
    </w:p>
  </w:footnote>
  <w:footnote w:type="continuationSeparator" w:id="0">
    <w:p w14:paraId="4CE727E1" w14:textId="77777777" w:rsidR="00E64045" w:rsidRPr="00E67565" w:rsidRDefault="00E64045" w:rsidP="0098410D">
      <w:r>
        <w:continuationSeparator/>
      </w:r>
    </w:p>
  </w:footnote>
  <w:footnote w:id="1">
    <w:p w14:paraId="38B9B67B" w14:textId="77777777" w:rsidR="001C1CE3" w:rsidRPr="009E50F7" w:rsidRDefault="00000000" w:rsidP="001C1CE3">
      <w:pPr>
        <w:pStyle w:val="Tekstprzypisudolnego"/>
        <w:rPr>
          <w:lang w:val="pl-PL"/>
        </w:rPr>
      </w:pPr>
      <w:r>
        <w:rPr>
          <w:rStyle w:val="Odwoanieprzypisudolnego"/>
          <w:lang w:val="pl"/>
        </w:rPr>
        <w:footnoteRef/>
      </w:r>
      <w:r>
        <w:rPr>
          <w:rStyle w:val="Odwoanieprzypisudolnego"/>
          <w:lang w:val="pl"/>
        </w:rPr>
        <w:t xml:space="preserve"> </w:t>
      </w:r>
      <w:r>
        <w:rPr>
          <w:lang w:val="pl"/>
        </w:rPr>
        <w:t>W Protokole nr 15 do Konwencji skrócono termin przewidziany w art. 35 ust. 1 Konwencji do czterech miesięcy od wydania ostatecznego orzeczenia krajowego. W niniejszej sprawie sześciomiesięczny termin nadal ma jednak zastosowanie, ponieważ ostateczne orzeczenie krajowe zostało wydane przed dniem 1 lutego 2022 r., czyli datą wejścia w życie nowego przepisu (zgodnie z art. 8 ust. 3 Protokołu nr 15 do Konwencji).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334B5" w14:textId="77777777" w:rsidR="001C1CE3" w:rsidRPr="00A45145" w:rsidRDefault="00000000" w:rsidP="00A45145">
    <w:pPr>
      <w:jc w:val="center"/>
    </w:pPr>
    <w:r>
      <w:rPr>
        <w:noProof/>
        <w:lang w:val="pl"/>
      </w:rPr>
      <w:drawing>
        <wp:inline distT="0" distB="0" distL="0" distR="0" wp14:anchorId="692061A8" wp14:editId="1A4F672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7389F0D9"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F35E1" w14:textId="77777777" w:rsidR="001C1CE3" w:rsidRPr="00A45145" w:rsidRDefault="00000000" w:rsidP="00A45145">
    <w:pPr>
      <w:jc w:val="center"/>
    </w:pPr>
    <w:r>
      <w:rPr>
        <w:noProof/>
        <w:lang w:val="pl"/>
      </w:rPr>
      <w:drawing>
        <wp:inline distT="0" distB="0" distL="0" distR="0" wp14:anchorId="3CF45676" wp14:editId="04A5AF8F">
          <wp:extent cx="2962275" cy="1219200"/>
          <wp:effectExtent l="0" t="0" r="9525" b="0"/>
          <wp:docPr id="960508762" name="Picture 96050876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0876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4EC2EB27"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C28B3" w14:textId="77777777" w:rsidR="00182EBA" w:rsidRPr="009E50F7" w:rsidRDefault="00000000" w:rsidP="004D0EC7">
    <w:pPr>
      <w:pStyle w:val="JuHeader"/>
      <w:rPr>
        <w:lang w:val="pl-PL"/>
      </w:rPr>
    </w:pPr>
    <w:r>
      <w:rPr>
        <w:lang w:val="pl"/>
      </w:rPr>
      <w:t>WYROK W SPRAWIE GEORGIOS PAPADOPOULOS przeciwko CYPROWI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16E7B" w14:textId="77777777" w:rsidR="00182EBA" w:rsidRPr="009E50F7" w:rsidRDefault="00000000" w:rsidP="007D3701">
    <w:pPr>
      <w:pStyle w:val="JuHeader"/>
      <w:rPr>
        <w:lang w:val="pl-PL"/>
      </w:rPr>
    </w:pPr>
    <w:r>
      <w:rPr>
        <w:lang w:val="pl"/>
      </w:rPr>
      <w:t>WYROK W SPRAWIE GEORGIOS PAPADOPOULOS przeciwko CYPROWI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2B583346">
      <w:start w:val="1"/>
      <w:numFmt w:val="bullet"/>
      <w:pStyle w:val="Listapunktowana"/>
      <w:lvlText w:val=""/>
      <w:lvlJc w:val="left"/>
      <w:pPr>
        <w:tabs>
          <w:tab w:val="num" w:pos="851"/>
        </w:tabs>
        <w:ind w:left="568" w:firstLine="0"/>
      </w:pPr>
      <w:rPr>
        <w:rFonts w:ascii="Wingdings" w:hAnsi="Wingdings" w:hint="default"/>
        <w:color w:val="808080"/>
        <w:sz w:val="16"/>
      </w:rPr>
    </w:lvl>
    <w:lvl w:ilvl="1" w:tplc="59B4A148" w:tentative="1">
      <w:start w:val="1"/>
      <w:numFmt w:val="bullet"/>
      <w:lvlText w:val="o"/>
      <w:lvlJc w:val="left"/>
      <w:pPr>
        <w:tabs>
          <w:tab w:val="num" w:pos="1724"/>
        </w:tabs>
        <w:ind w:left="1724" w:hanging="360"/>
      </w:pPr>
      <w:rPr>
        <w:rFonts w:ascii="Courier New" w:hAnsi="Courier New" w:cs="Courier New" w:hint="default"/>
      </w:rPr>
    </w:lvl>
    <w:lvl w:ilvl="2" w:tplc="BFE8D5E0" w:tentative="1">
      <w:start w:val="1"/>
      <w:numFmt w:val="bullet"/>
      <w:lvlText w:val=""/>
      <w:lvlJc w:val="left"/>
      <w:pPr>
        <w:tabs>
          <w:tab w:val="num" w:pos="2444"/>
        </w:tabs>
        <w:ind w:left="2444" w:hanging="360"/>
      </w:pPr>
      <w:rPr>
        <w:rFonts w:ascii="Wingdings" w:hAnsi="Wingdings" w:hint="default"/>
      </w:rPr>
    </w:lvl>
    <w:lvl w:ilvl="3" w:tplc="B36CB616" w:tentative="1">
      <w:start w:val="1"/>
      <w:numFmt w:val="bullet"/>
      <w:lvlText w:val=""/>
      <w:lvlJc w:val="left"/>
      <w:pPr>
        <w:tabs>
          <w:tab w:val="num" w:pos="3164"/>
        </w:tabs>
        <w:ind w:left="3164" w:hanging="360"/>
      </w:pPr>
      <w:rPr>
        <w:rFonts w:ascii="Symbol" w:hAnsi="Symbol" w:hint="default"/>
      </w:rPr>
    </w:lvl>
    <w:lvl w:ilvl="4" w:tplc="0032B87E" w:tentative="1">
      <w:start w:val="1"/>
      <w:numFmt w:val="bullet"/>
      <w:lvlText w:val="o"/>
      <w:lvlJc w:val="left"/>
      <w:pPr>
        <w:tabs>
          <w:tab w:val="num" w:pos="3884"/>
        </w:tabs>
        <w:ind w:left="3884" w:hanging="360"/>
      </w:pPr>
      <w:rPr>
        <w:rFonts w:ascii="Courier New" w:hAnsi="Courier New" w:cs="Courier New" w:hint="default"/>
      </w:rPr>
    </w:lvl>
    <w:lvl w:ilvl="5" w:tplc="7052665A" w:tentative="1">
      <w:start w:val="1"/>
      <w:numFmt w:val="bullet"/>
      <w:lvlText w:val=""/>
      <w:lvlJc w:val="left"/>
      <w:pPr>
        <w:tabs>
          <w:tab w:val="num" w:pos="4604"/>
        </w:tabs>
        <w:ind w:left="4604" w:hanging="360"/>
      </w:pPr>
      <w:rPr>
        <w:rFonts w:ascii="Wingdings" w:hAnsi="Wingdings" w:hint="default"/>
      </w:rPr>
    </w:lvl>
    <w:lvl w:ilvl="6" w:tplc="F8903E16" w:tentative="1">
      <w:start w:val="1"/>
      <w:numFmt w:val="bullet"/>
      <w:lvlText w:val=""/>
      <w:lvlJc w:val="left"/>
      <w:pPr>
        <w:tabs>
          <w:tab w:val="num" w:pos="5324"/>
        </w:tabs>
        <w:ind w:left="5324" w:hanging="360"/>
      </w:pPr>
      <w:rPr>
        <w:rFonts w:ascii="Symbol" w:hAnsi="Symbol" w:hint="default"/>
      </w:rPr>
    </w:lvl>
    <w:lvl w:ilvl="7" w:tplc="433E20C6" w:tentative="1">
      <w:start w:val="1"/>
      <w:numFmt w:val="bullet"/>
      <w:lvlText w:val="o"/>
      <w:lvlJc w:val="left"/>
      <w:pPr>
        <w:tabs>
          <w:tab w:val="num" w:pos="6044"/>
        </w:tabs>
        <w:ind w:left="6044" w:hanging="360"/>
      </w:pPr>
      <w:rPr>
        <w:rFonts w:ascii="Courier New" w:hAnsi="Courier New" w:cs="Courier New" w:hint="default"/>
      </w:rPr>
    </w:lvl>
    <w:lvl w:ilvl="8" w:tplc="A51222F0"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924413949">
    <w:abstractNumId w:val="18"/>
  </w:num>
  <w:num w:numId="2" w16cid:durableId="12317748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2222835">
    <w:abstractNumId w:val="14"/>
  </w:num>
  <w:num w:numId="4" w16cid:durableId="762647376">
    <w:abstractNumId w:val="12"/>
  </w:num>
  <w:num w:numId="5" w16cid:durableId="1831675788">
    <w:abstractNumId w:val="11"/>
  </w:num>
  <w:num w:numId="6" w16cid:durableId="292173089">
    <w:abstractNumId w:val="17"/>
  </w:num>
  <w:num w:numId="7" w16cid:durableId="268199293">
    <w:abstractNumId w:val="7"/>
  </w:num>
  <w:num w:numId="8" w16cid:durableId="836261899">
    <w:abstractNumId w:val="6"/>
  </w:num>
  <w:num w:numId="9" w16cid:durableId="1580752954">
    <w:abstractNumId w:val="5"/>
  </w:num>
  <w:num w:numId="10" w16cid:durableId="1145199542">
    <w:abstractNumId w:val="4"/>
  </w:num>
  <w:num w:numId="11" w16cid:durableId="1663197715">
    <w:abstractNumId w:val="8"/>
  </w:num>
  <w:num w:numId="12" w16cid:durableId="1587228191">
    <w:abstractNumId w:val="3"/>
  </w:num>
  <w:num w:numId="13" w16cid:durableId="76906226">
    <w:abstractNumId w:val="2"/>
  </w:num>
  <w:num w:numId="14" w16cid:durableId="1453865507">
    <w:abstractNumId w:val="1"/>
  </w:num>
  <w:num w:numId="15" w16cid:durableId="922837190">
    <w:abstractNumId w:val="0"/>
  </w:num>
  <w:num w:numId="16" w16cid:durableId="1996757254">
    <w:abstractNumId w:val="15"/>
  </w:num>
  <w:num w:numId="17" w16cid:durableId="1481071294">
    <w:abstractNumId w:val="13"/>
  </w:num>
  <w:num w:numId="18" w16cid:durableId="1511261826">
    <w:abstractNumId w:val="16"/>
  </w:num>
  <w:num w:numId="19" w16cid:durableId="336083191">
    <w:abstractNumId w:val="15"/>
  </w:num>
  <w:num w:numId="20" w16cid:durableId="1180390636">
    <w:abstractNumId w:val="16"/>
  </w:num>
  <w:num w:numId="21" w16cid:durableId="923563425">
    <w:abstractNumId w:val="10"/>
  </w:num>
  <w:num w:numId="22" w16cid:durableId="896665494">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 w:name="Plural" w:val="0"/>
  </w:docVars>
  <w:rsids>
    <w:rsidRoot w:val="001C1CE3"/>
    <w:rsid w:val="00003D34"/>
    <w:rsid w:val="000041F8"/>
    <w:rsid w:val="000042A8"/>
    <w:rsid w:val="00004308"/>
    <w:rsid w:val="00005217"/>
    <w:rsid w:val="00005BF0"/>
    <w:rsid w:val="0000617D"/>
    <w:rsid w:val="00007064"/>
    <w:rsid w:val="00007154"/>
    <w:rsid w:val="00007CBA"/>
    <w:rsid w:val="000103AE"/>
    <w:rsid w:val="00011D69"/>
    <w:rsid w:val="00012AD3"/>
    <w:rsid w:val="00015C2D"/>
    <w:rsid w:val="00015F00"/>
    <w:rsid w:val="0001768D"/>
    <w:rsid w:val="00022C1D"/>
    <w:rsid w:val="0002592F"/>
    <w:rsid w:val="0002701A"/>
    <w:rsid w:val="00031428"/>
    <w:rsid w:val="00034987"/>
    <w:rsid w:val="00041560"/>
    <w:rsid w:val="00044CE3"/>
    <w:rsid w:val="000509BC"/>
    <w:rsid w:val="000602DF"/>
    <w:rsid w:val="00061B05"/>
    <w:rsid w:val="000632D5"/>
    <w:rsid w:val="000644EE"/>
    <w:rsid w:val="000712E3"/>
    <w:rsid w:val="0007780A"/>
    <w:rsid w:val="00085457"/>
    <w:rsid w:val="000925AD"/>
    <w:rsid w:val="00096FE1"/>
    <w:rsid w:val="00097A62"/>
    <w:rsid w:val="000A24EB"/>
    <w:rsid w:val="000A7016"/>
    <w:rsid w:val="000B686A"/>
    <w:rsid w:val="000B6923"/>
    <w:rsid w:val="000B7195"/>
    <w:rsid w:val="000C5F3C"/>
    <w:rsid w:val="000C600A"/>
    <w:rsid w:val="000C6DCC"/>
    <w:rsid w:val="000D47AA"/>
    <w:rsid w:val="000D721F"/>
    <w:rsid w:val="000E069B"/>
    <w:rsid w:val="000E0E82"/>
    <w:rsid w:val="000E1947"/>
    <w:rsid w:val="000E1DC5"/>
    <w:rsid w:val="000E223F"/>
    <w:rsid w:val="000E46B8"/>
    <w:rsid w:val="000E7D45"/>
    <w:rsid w:val="000F52F4"/>
    <w:rsid w:val="000F5648"/>
    <w:rsid w:val="000F7851"/>
    <w:rsid w:val="00101505"/>
    <w:rsid w:val="00104E23"/>
    <w:rsid w:val="00107BD7"/>
    <w:rsid w:val="00110DA8"/>
    <w:rsid w:val="00111B0C"/>
    <w:rsid w:val="00112C33"/>
    <w:rsid w:val="00120D6C"/>
    <w:rsid w:val="001257EC"/>
    <w:rsid w:val="00133D33"/>
    <w:rsid w:val="00134B6A"/>
    <w:rsid w:val="00134D64"/>
    <w:rsid w:val="00135A30"/>
    <w:rsid w:val="0013612C"/>
    <w:rsid w:val="00137FF6"/>
    <w:rsid w:val="00141650"/>
    <w:rsid w:val="00150BFA"/>
    <w:rsid w:val="001561B6"/>
    <w:rsid w:val="00156992"/>
    <w:rsid w:val="00162A12"/>
    <w:rsid w:val="00166530"/>
    <w:rsid w:val="00170027"/>
    <w:rsid w:val="001732FA"/>
    <w:rsid w:val="00182EBA"/>
    <w:rsid w:val="001832BD"/>
    <w:rsid w:val="001943B5"/>
    <w:rsid w:val="00195134"/>
    <w:rsid w:val="00197453"/>
    <w:rsid w:val="001A020C"/>
    <w:rsid w:val="001A145B"/>
    <w:rsid w:val="001A32B1"/>
    <w:rsid w:val="001A3E09"/>
    <w:rsid w:val="001A5A07"/>
    <w:rsid w:val="001A674C"/>
    <w:rsid w:val="001B3B24"/>
    <w:rsid w:val="001C055B"/>
    <w:rsid w:val="001C0F98"/>
    <w:rsid w:val="001C1CE3"/>
    <w:rsid w:val="001C2A42"/>
    <w:rsid w:val="001C6F48"/>
    <w:rsid w:val="001D63ED"/>
    <w:rsid w:val="001D7348"/>
    <w:rsid w:val="001E035B"/>
    <w:rsid w:val="001E0961"/>
    <w:rsid w:val="001E3EAE"/>
    <w:rsid w:val="001E6857"/>
    <w:rsid w:val="001E6F32"/>
    <w:rsid w:val="001F2145"/>
    <w:rsid w:val="001F6262"/>
    <w:rsid w:val="001F67B0"/>
    <w:rsid w:val="001F7049"/>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470"/>
    <w:rsid w:val="00301A75"/>
    <w:rsid w:val="00302F70"/>
    <w:rsid w:val="0030336F"/>
    <w:rsid w:val="0030375E"/>
    <w:rsid w:val="00312A30"/>
    <w:rsid w:val="003201D8"/>
    <w:rsid w:val="00320F72"/>
    <w:rsid w:val="0032463E"/>
    <w:rsid w:val="00326224"/>
    <w:rsid w:val="00337EE4"/>
    <w:rsid w:val="00340FFD"/>
    <w:rsid w:val="00345C41"/>
    <w:rsid w:val="003475BD"/>
    <w:rsid w:val="003506B1"/>
    <w:rsid w:val="00355877"/>
    <w:rsid w:val="00356AC7"/>
    <w:rsid w:val="003609FA"/>
    <w:rsid w:val="0036201C"/>
    <w:rsid w:val="003710C8"/>
    <w:rsid w:val="0037304F"/>
    <w:rsid w:val="003750BE"/>
    <w:rsid w:val="00385A36"/>
    <w:rsid w:val="00385F3D"/>
    <w:rsid w:val="0038740C"/>
    <w:rsid w:val="00387B9D"/>
    <w:rsid w:val="00387C70"/>
    <w:rsid w:val="00390294"/>
    <w:rsid w:val="0039364F"/>
    <w:rsid w:val="00396686"/>
    <w:rsid w:val="0039778E"/>
    <w:rsid w:val="003B3368"/>
    <w:rsid w:val="003B4941"/>
    <w:rsid w:val="003C5714"/>
    <w:rsid w:val="003C6B9F"/>
    <w:rsid w:val="003C6E2A"/>
    <w:rsid w:val="003C76E9"/>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4E79"/>
    <w:rsid w:val="004355AC"/>
    <w:rsid w:val="00436275"/>
    <w:rsid w:val="00436C49"/>
    <w:rsid w:val="00443D98"/>
    <w:rsid w:val="00445366"/>
    <w:rsid w:val="00445ED5"/>
    <w:rsid w:val="00447F5B"/>
    <w:rsid w:val="00461DB0"/>
    <w:rsid w:val="00463926"/>
    <w:rsid w:val="00464AB7"/>
    <w:rsid w:val="00464C9A"/>
    <w:rsid w:val="00465EAB"/>
    <w:rsid w:val="00470549"/>
    <w:rsid w:val="00474F3D"/>
    <w:rsid w:val="00477E3A"/>
    <w:rsid w:val="00482C07"/>
    <w:rsid w:val="00483E5F"/>
    <w:rsid w:val="00485FF9"/>
    <w:rsid w:val="0049049B"/>
    <w:rsid w:val="004907F0"/>
    <w:rsid w:val="0049140B"/>
    <w:rsid w:val="004923A5"/>
    <w:rsid w:val="0049310E"/>
    <w:rsid w:val="00494BD9"/>
    <w:rsid w:val="004950E2"/>
    <w:rsid w:val="00495D99"/>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7C25"/>
    <w:rsid w:val="004F10AF"/>
    <w:rsid w:val="004F11A4"/>
    <w:rsid w:val="004F2389"/>
    <w:rsid w:val="004F304D"/>
    <w:rsid w:val="004F3601"/>
    <w:rsid w:val="004F4290"/>
    <w:rsid w:val="004F61BE"/>
    <w:rsid w:val="004F66B1"/>
    <w:rsid w:val="005018D0"/>
    <w:rsid w:val="00505F69"/>
    <w:rsid w:val="0051040A"/>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1FB7"/>
    <w:rsid w:val="00562781"/>
    <w:rsid w:val="00562B6C"/>
    <w:rsid w:val="00570BEF"/>
    <w:rsid w:val="0057271C"/>
    <w:rsid w:val="00572845"/>
    <w:rsid w:val="005879A2"/>
    <w:rsid w:val="00592772"/>
    <w:rsid w:val="00593913"/>
    <w:rsid w:val="0059574A"/>
    <w:rsid w:val="005A1B9B"/>
    <w:rsid w:val="005A2221"/>
    <w:rsid w:val="005A2E79"/>
    <w:rsid w:val="005A6751"/>
    <w:rsid w:val="005B01BA"/>
    <w:rsid w:val="005B092E"/>
    <w:rsid w:val="005B152C"/>
    <w:rsid w:val="005B1E0D"/>
    <w:rsid w:val="005B1EE0"/>
    <w:rsid w:val="005B2B24"/>
    <w:rsid w:val="005B4425"/>
    <w:rsid w:val="005B4B94"/>
    <w:rsid w:val="005B6748"/>
    <w:rsid w:val="005C2C62"/>
    <w:rsid w:val="005C3EE8"/>
    <w:rsid w:val="005D2F2A"/>
    <w:rsid w:val="005D34F9"/>
    <w:rsid w:val="005D4190"/>
    <w:rsid w:val="005D5B7D"/>
    <w:rsid w:val="005D67A3"/>
    <w:rsid w:val="005E1E91"/>
    <w:rsid w:val="005E2988"/>
    <w:rsid w:val="005E3085"/>
    <w:rsid w:val="005F0EB3"/>
    <w:rsid w:val="005F51E1"/>
    <w:rsid w:val="00607237"/>
    <w:rsid w:val="00611C80"/>
    <w:rsid w:val="006120BE"/>
    <w:rsid w:val="00620692"/>
    <w:rsid w:val="0062075A"/>
    <w:rsid w:val="00622DC3"/>
    <w:rsid w:val="00623885"/>
    <w:rsid w:val="006242CA"/>
    <w:rsid w:val="00627507"/>
    <w:rsid w:val="00633717"/>
    <w:rsid w:val="006344E1"/>
    <w:rsid w:val="00643524"/>
    <w:rsid w:val="0064393B"/>
    <w:rsid w:val="00645CF2"/>
    <w:rsid w:val="0064767C"/>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15D"/>
    <w:rsid w:val="006F64DD"/>
    <w:rsid w:val="006F712D"/>
    <w:rsid w:val="00715127"/>
    <w:rsid w:val="00715DB1"/>
    <w:rsid w:val="00715E8E"/>
    <w:rsid w:val="00716F6C"/>
    <w:rsid w:val="00721458"/>
    <w:rsid w:val="00723580"/>
    <w:rsid w:val="00723755"/>
    <w:rsid w:val="0073136C"/>
    <w:rsid w:val="00731F0F"/>
    <w:rsid w:val="00733250"/>
    <w:rsid w:val="0073376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4897"/>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5E5B"/>
    <w:rsid w:val="008061D0"/>
    <w:rsid w:val="00810B38"/>
    <w:rsid w:val="00816F90"/>
    <w:rsid w:val="008204C7"/>
    <w:rsid w:val="00820992"/>
    <w:rsid w:val="00823602"/>
    <w:rsid w:val="008247C8"/>
    <w:rsid w:val="008255F5"/>
    <w:rsid w:val="00826890"/>
    <w:rsid w:val="0083014E"/>
    <w:rsid w:val="0083214A"/>
    <w:rsid w:val="00834220"/>
    <w:rsid w:val="00843EF7"/>
    <w:rsid w:val="00845723"/>
    <w:rsid w:val="008519E7"/>
    <w:rsid w:val="00851EF9"/>
    <w:rsid w:val="00854A4A"/>
    <w:rsid w:val="008577FD"/>
    <w:rsid w:val="00860B03"/>
    <w:rsid w:val="0086497A"/>
    <w:rsid w:val="0086538E"/>
    <w:rsid w:val="00867066"/>
    <w:rsid w:val="00870F45"/>
    <w:rsid w:val="008713A1"/>
    <w:rsid w:val="00872584"/>
    <w:rsid w:val="008754AB"/>
    <w:rsid w:val="0088060C"/>
    <w:rsid w:val="00882CD5"/>
    <w:rsid w:val="00883151"/>
    <w:rsid w:val="00887EE3"/>
    <w:rsid w:val="00893576"/>
    <w:rsid w:val="00893E73"/>
    <w:rsid w:val="008B02DC"/>
    <w:rsid w:val="008B092C"/>
    <w:rsid w:val="008B1296"/>
    <w:rsid w:val="008B57CE"/>
    <w:rsid w:val="008C26DE"/>
    <w:rsid w:val="008C7498"/>
    <w:rsid w:val="008D1668"/>
    <w:rsid w:val="008D2225"/>
    <w:rsid w:val="008D4752"/>
    <w:rsid w:val="008D5A13"/>
    <w:rsid w:val="008E271C"/>
    <w:rsid w:val="008E3A08"/>
    <w:rsid w:val="008E418E"/>
    <w:rsid w:val="008E5BC6"/>
    <w:rsid w:val="008E6217"/>
    <w:rsid w:val="008E6A25"/>
    <w:rsid w:val="008E6CAA"/>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5667"/>
    <w:rsid w:val="00936CD1"/>
    <w:rsid w:val="0094131C"/>
    <w:rsid w:val="00941747"/>
    <w:rsid w:val="00941EFB"/>
    <w:rsid w:val="009472A9"/>
    <w:rsid w:val="00947AFB"/>
    <w:rsid w:val="00951AA3"/>
    <w:rsid w:val="00951D7D"/>
    <w:rsid w:val="00956D0C"/>
    <w:rsid w:val="009630C7"/>
    <w:rsid w:val="0097032F"/>
    <w:rsid w:val="00972B55"/>
    <w:rsid w:val="009743B7"/>
    <w:rsid w:val="0098228B"/>
    <w:rsid w:val="009828DA"/>
    <w:rsid w:val="0098304A"/>
    <w:rsid w:val="0098410D"/>
    <w:rsid w:val="00985BAB"/>
    <w:rsid w:val="00986B3C"/>
    <w:rsid w:val="009A115C"/>
    <w:rsid w:val="009A7FC1"/>
    <w:rsid w:val="009B1606"/>
    <w:rsid w:val="009B1B5F"/>
    <w:rsid w:val="009B6673"/>
    <w:rsid w:val="009C191B"/>
    <w:rsid w:val="009C1C9F"/>
    <w:rsid w:val="009C2BD6"/>
    <w:rsid w:val="009C6B18"/>
    <w:rsid w:val="009D57AA"/>
    <w:rsid w:val="009E1F32"/>
    <w:rsid w:val="009E2494"/>
    <w:rsid w:val="009E2CC2"/>
    <w:rsid w:val="009E47A2"/>
    <w:rsid w:val="009E50F7"/>
    <w:rsid w:val="009E710E"/>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55D"/>
    <w:rsid w:val="00A34DD6"/>
    <w:rsid w:val="00A35683"/>
    <w:rsid w:val="00A36819"/>
    <w:rsid w:val="00A36989"/>
    <w:rsid w:val="00A41D86"/>
    <w:rsid w:val="00A43628"/>
    <w:rsid w:val="00A45145"/>
    <w:rsid w:val="00A51D0F"/>
    <w:rsid w:val="00A54192"/>
    <w:rsid w:val="00A57147"/>
    <w:rsid w:val="00A6035E"/>
    <w:rsid w:val="00A6144C"/>
    <w:rsid w:val="00A61581"/>
    <w:rsid w:val="00A66617"/>
    <w:rsid w:val="00A671F8"/>
    <w:rsid w:val="00A673A4"/>
    <w:rsid w:val="00A724AE"/>
    <w:rsid w:val="00A73329"/>
    <w:rsid w:val="00A81B83"/>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D5605"/>
    <w:rsid w:val="00AE0A2E"/>
    <w:rsid w:val="00AE2EE4"/>
    <w:rsid w:val="00AE354C"/>
    <w:rsid w:val="00AF12C5"/>
    <w:rsid w:val="00AF4B07"/>
    <w:rsid w:val="00AF6186"/>
    <w:rsid w:val="00AF7A3A"/>
    <w:rsid w:val="00B02587"/>
    <w:rsid w:val="00B027D6"/>
    <w:rsid w:val="00B049D1"/>
    <w:rsid w:val="00B14793"/>
    <w:rsid w:val="00B153A0"/>
    <w:rsid w:val="00B160DB"/>
    <w:rsid w:val="00B20836"/>
    <w:rsid w:val="00B235BB"/>
    <w:rsid w:val="00B23EE6"/>
    <w:rsid w:val="00B27A44"/>
    <w:rsid w:val="00B30BBF"/>
    <w:rsid w:val="00B325FE"/>
    <w:rsid w:val="00B33C03"/>
    <w:rsid w:val="00B41620"/>
    <w:rsid w:val="00B4421F"/>
    <w:rsid w:val="00B44E56"/>
    <w:rsid w:val="00B45917"/>
    <w:rsid w:val="00B46543"/>
    <w:rsid w:val="00B47D33"/>
    <w:rsid w:val="00B52BE0"/>
    <w:rsid w:val="00B54133"/>
    <w:rsid w:val="00B55A8D"/>
    <w:rsid w:val="00B67596"/>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173"/>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10F7"/>
    <w:rsid w:val="00C32E4D"/>
    <w:rsid w:val="00C333A0"/>
    <w:rsid w:val="00C36A81"/>
    <w:rsid w:val="00C412FB"/>
    <w:rsid w:val="00C41974"/>
    <w:rsid w:val="00C44A2C"/>
    <w:rsid w:val="00C44F09"/>
    <w:rsid w:val="00C477F7"/>
    <w:rsid w:val="00C509A6"/>
    <w:rsid w:val="00C50A1B"/>
    <w:rsid w:val="00C53F4A"/>
    <w:rsid w:val="00C54125"/>
    <w:rsid w:val="00C55B54"/>
    <w:rsid w:val="00C6098E"/>
    <w:rsid w:val="00C6152C"/>
    <w:rsid w:val="00C71424"/>
    <w:rsid w:val="00C74810"/>
    <w:rsid w:val="00C90D68"/>
    <w:rsid w:val="00C939FE"/>
    <w:rsid w:val="00CA0D74"/>
    <w:rsid w:val="00CA4BDA"/>
    <w:rsid w:val="00CB13E3"/>
    <w:rsid w:val="00CB1F66"/>
    <w:rsid w:val="00CB232C"/>
    <w:rsid w:val="00CB2951"/>
    <w:rsid w:val="00CB4277"/>
    <w:rsid w:val="00CC5067"/>
    <w:rsid w:val="00CC7F50"/>
    <w:rsid w:val="00CD11D3"/>
    <w:rsid w:val="00CD282B"/>
    <w:rsid w:val="00CD447B"/>
    <w:rsid w:val="00CD4C35"/>
    <w:rsid w:val="00CD7369"/>
    <w:rsid w:val="00CE0B0E"/>
    <w:rsid w:val="00CE3831"/>
    <w:rsid w:val="00CF07BF"/>
    <w:rsid w:val="00CF2397"/>
    <w:rsid w:val="00D00ABB"/>
    <w:rsid w:val="00D02EEC"/>
    <w:rsid w:val="00D03551"/>
    <w:rsid w:val="00D04090"/>
    <w:rsid w:val="00D04315"/>
    <w:rsid w:val="00D06A63"/>
    <w:rsid w:val="00D07E0E"/>
    <w:rsid w:val="00D10BC9"/>
    <w:rsid w:val="00D10CD6"/>
    <w:rsid w:val="00D11478"/>
    <w:rsid w:val="00D15ED0"/>
    <w:rsid w:val="00D164BF"/>
    <w:rsid w:val="00D21B3E"/>
    <w:rsid w:val="00D21FED"/>
    <w:rsid w:val="00D23048"/>
    <w:rsid w:val="00D24251"/>
    <w:rsid w:val="00D26E72"/>
    <w:rsid w:val="00D343E2"/>
    <w:rsid w:val="00D361A2"/>
    <w:rsid w:val="00D37272"/>
    <w:rsid w:val="00D4365B"/>
    <w:rsid w:val="00D44C2E"/>
    <w:rsid w:val="00D45414"/>
    <w:rsid w:val="00D50A0A"/>
    <w:rsid w:val="00D53548"/>
    <w:rsid w:val="00D5576B"/>
    <w:rsid w:val="00D566BD"/>
    <w:rsid w:val="00D57A4D"/>
    <w:rsid w:val="00D60AA7"/>
    <w:rsid w:val="00D6435F"/>
    <w:rsid w:val="00D66471"/>
    <w:rsid w:val="00D669D4"/>
    <w:rsid w:val="00D70641"/>
    <w:rsid w:val="00D71118"/>
    <w:rsid w:val="00D74888"/>
    <w:rsid w:val="00D7488B"/>
    <w:rsid w:val="00D75E28"/>
    <w:rsid w:val="00D772C2"/>
    <w:rsid w:val="00D8008E"/>
    <w:rsid w:val="00D82C45"/>
    <w:rsid w:val="00D908A8"/>
    <w:rsid w:val="00D977B6"/>
    <w:rsid w:val="00DA1223"/>
    <w:rsid w:val="00DA23B3"/>
    <w:rsid w:val="00DA379F"/>
    <w:rsid w:val="00DA4A31"/>
    <w:rsid w:val="00DA7B04"/>
    <w:rsid w:val="00DB36C2"/>
    <w:rsid w:val="00DB5809"/>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13D9F"/>
    <w:rsid w:val="00E16DF9"/>
    <w:rsid w:val="00E20E13"/>
    <w:rsid w:val="00E21DBC"/>
    <w:rsid w:val="00E27223"/>
    <w:rsid w:val="00E275D7"/>
    <w:rsid w:val="00E27DBE"/>
    <w:rsid w:val="00E32AB1"/>
    <w:rsid w:val="00E32C80"/>
    <w:rsid w:val="00E36C71"/>
    <w:rsid w:val="00E40404"/>
    <w:rsid w:val="00E4126A"/>
    <w:rsid w:val="00E42A06"/>
    <w:rsid w:val="00E459C6"/>
    <w:rsid w:val="00E47589"/>
    <w:rsid w:val="00E557AA"/>
    <w:rsid w:val="00E6274A"/>
    <w:rsid w:val="00E63EC7"/>
    <w:rsid w:val="00E64045"/>
    <w:rsid w:val="00E64915"/>
    <w:rsid w:val="00E64D3A"/>
    <w:rsid w:val="00E661D4"/>
    <w:rsid w:val="00E67565"/>
    <w:rsid w:val="00E70091"/>
    <w:rsid w:val="00E707B6"/>
    <w:rsid w:val="00E70D2E"/>
    <w:rsid w:val="00E70ED8"/>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3E99"/>
    <w:rsid w:val="00EB447C"/>
    <w:rsid w:val="00EB7BE0"/>
    <w:rsid w:val="00EC315E"/>
    <w:rsid w:val="00ED077C"/>
    <w:rsid w:val="00ED10A9"/>
    <w:rsid w:val="00ED1190"/>
    <w:rsid w:val="00ED2E84"/>
    <w:rsid w:val="00ED34AC"/>
    <w:rsid w:val="00ED6544"/>
    <w:rsid w:val="00EE0277"/>
    <w:rsid w:val="00EE2899"/>
    <w:rsid w:val="00EE3E00"/>
    <w:rsid w:val="00EE5DD2"/>
    <w:rsid w:val="00EF11E9"/>
    <w:rsid w:val="00EF36C5"/>
    <w:rsid w:val="00EF3DB4"/>
    <w:rsid w:val="00EF649A"/>
    <w:rsid w:val="00F00A79"/>
    <w:rsid w:val="00F00D13"/>
    <w:rsid w:val="00F00E86"/>
    <w:rsid w:val="00F02E2D"/>
    <w:rsid w:val="00F07C1E"/>
    <w:rsid w:val="00F105DB"/>
    <w:rsid w:val="00F1071A"/>
    <w:rsid w:val="00F132BC"/>
    <w:rsid w:val="00F13D80"/>
    <w:rsid w:val="00F15B4D"/>
    <w:rsid w:val="00F16A7C"/>
    <w:rsid w:val="00F16AAA"/>
    <w:rsid w:val="00F1709C"/>
    <w:rsid w:val="00F21161"/>
    <w:rsid w:val="00F218EF"/>
    <w:rsid w:val="00F21BC7"/>
    <w:rsid w:val="00F23C13"/>
    <w:rsid w:val="00F266A2"/>
    <w:rsid w:val="00F32269"/>
    <w:rsid w:val="00F35B7A"/>
    <w:rsid w:val="00F37D1B"/>
    <w:rsid w:val="00F5320B"/>
    <w:rsid w:val="00F56A6F"/>
    <w:rsid w:val="00F5709C"/>
    <w:rsid w:val="00F60B85"/>
    <w:rsid w:val="00F64EF1"/>
    <w:rsid w:val="00F72498"/>
    <w:rsid w:val="00F72B14"/>
    <w:rsid w:val="00F7349B"/>
    <w:rsid w:val="00F73B34"/>
    <w:rsid w:val="00F8752A"/>
    <w:rsid w:val="00F8765F"/>
    <w:rsid w:val="00F90767"/>
    <w:rsid w:val="00F9263C"/>
    <w:rsid w:val="00FA1637"/>
    <w:rsid w:val="00FA685B"/>
    <w:rsid w:val="00FB0C01"/>
    <w:rsid w:val="00FB5934"/>
    <w:rsid w:val="00FC18F2"/>
    <w:rsid w:val="00FC2A17"/>
    <w:rsid w:val="00FC38CF"/>
    <w:rsid w:val="00FC39E5"/>
    <w:rsid w:val="00FC3A78"/>
    <w:rsid w:val="00FC604B"/>
    <w:rsid w:val="00FC7CBA"/>
    <w:rsid w:val="00FD1005"/>
    <w:rsid w:val="00FD1F7F"/>
    <w:rsid w:val="00FD2C6E"/>
    <w:rsid w:val="00FD6C75"/>
    <w:rsid w:val="00FD7972"/>
    <w:rsid w:val="00FE0401"/>
    <w:rsid w:val="00FE2EF2"/>
    <w:rsid w:val="00FE71B3"/>
    <w:rsid w:val="00FF2CC6"/>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739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5018D0"/>
    <w:rPr>
      <w:sz w:val="24"/>
      <w:szCs w:val="24"/>
      <w:lang w:val="en-GB"/>
    </w:rPr>
  </w:style>
  <w:style w:type="paragraph" w:styleId="Nagwek1">
    <w:name w:val="heading 1"/>
    <w:basedOn w:val="Normalny"/>
    <w:next w:val="Normalny"/>
    <w:link w:val="Nagwek1Znak"/>
    <w:uiPriority w:val="98"/>
    <w:semiHidden/>
    <w:rsid w:val="00FC7CB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FC7CB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FC7CB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FC7CB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FC7CB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FC7CB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FC7CB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FC7CB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FC7CB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FC7CBA"/>
    <w:rPr>
      <w:rFonts w:ascii="Tahoma" w:hAnsi="Tahoma" w:cs="Tahoma"/>
      <w:sz w:val="16"/>
      <w:szCs w:val="16"/>
    </w:rPr>
  </w:style>
  <w:style w:type="character" w:customStyle="1" w:styleId="TekstdymkaZnak">
    <w:name w:val="Tekst dymka Znak"/>
    <w:basedOn w:val="Domylnaczcionkaakapitu"/>
    <w:link w:val="Tekstdymka"/>
    <w:uiPriority w:val="98"/>
    <w:semiHidden/>
    <w:rsid w:val="00FC7CBA"/>
    <w:rPr>
      <w:rFonts w:ascii="Tahoma" w:hAnsi="Tahoma" w:cs="Tahoma"/>
      <w:sz w:val="16"/>
      <w:szCs w:val="16"/>
      <w:lang w:val="en-GB"/>
    </w:rPr>
  </w:style>
  <w:style w:type="character" w:styleId="Tytuksiki">
    <w:name w:val="Book Title"/>
    <w:uiPriority w:val="98"/>
    <w:semiHidden/>
    <w:qFormat/>
    <w:rsid w:val="00FC7CBA"/>
    <w:rPr>
      <w:i/>
      <w:iCs/>
      <w:smallCaps/>
      <w:spacing w:val="5"/>
    </w:rPr>
  </w:style>
  <w:style w:type="paragraph" w:customStyle="1" w:styleId="JuHeader">
    <w:name w:val="Ju_Header"/>
    <w:aliases w:val="_Header"/>
    <w:basedOn w:val="Nagwek"/>
    <w:uiPriority w:val="29"/>
    <w:qFormat/>
    <w:rsid w:val="00FC7CBA"/>
    <w:pPr>
      <w:tabs>
        <w:tab w:val="clear" w:pos="4536"/>
        <w:tab w:val="clear" w:pos="9072"/>
      </w:tabs>
      <w:jc w:val="center"/>
    </w:pPr>
    <w:rPr>
      <w:sz w:val="18"/>
    </w:rPr>
  </w:style>
  <w:style w:type="paragraph" w:customStyle="1" w:styleId="NormalJustified">
    <w:name w:val="Normal_Justified"/>
    <w:basedOn w:val="Normalny"/>
    <w:semiHidden/>
    <w:rsid w:val="00FC7CBA"/>
    <w:pPr>
      <w:jc w:val="both"/>
    </w:pPr>
  </w:style>
  <w:style w:type="character" w:styleId="Pogrubienie">
    <w:name w:val="Strong"/>
    <w:uiPriority w:val="98"/>
    <w:semiHidden/>
    <w:qFormat/>
    <w:rsid w:val="00FC7CBA"/>
    <w:rPr>
      <w:b/>
      <w:bCs/>
    </w:rPr>
  </w:style>
  <w:style w:type="paragraph" w:styleId="Bezodstpw">
    <w:name w:val="No Spacing"/>
    <w:basedOn w:val="Normalny"/>
    <w:link w:val="BezodstpwZnak"/>
    <w:uiPriority w:val="98"/>
    <w:semiHidden/>
    <w:qFormat/>
    <w:rsid w:val="00FC7CBA"/>
  </w:style>
  <w:style w:type="character" w:customStyle="1" w:styleId="BezodstpwZnak">
    <w:name w:val="Bez odstępów Znak"/>
    <w:basedOn w:val="Domylnaczcionkaakapitu"/>
    <w:link w:val="Bezodstpw"/>
    <w:uiPriority w:val="98"/>
    <w:semiHidden/>
    <w:rsid w:val="00FC7CBA"/>
    <w:rPr>
      <w:sz w:val="24"/>
      <w:szCs w:val="24"/>
      <w:lang w:val="en-GB"/>
    </w:rPr>
  </w:style>
  <w:style w:type="paragraph" w:customStyle="1" w:styleId="JuQuot">
    <w:name w:val="Ju_Quot"/>
    <w:aliases w:val="_Quote"/>
    <w:basedOn w:val="NormalJustified"/>
    <w:uiPriority w:val="20"/>
    <w:qFormat/>
    <w:rsid w:val="00FC7CBA"/>
    <w:pPr>
      <w:spacing w:before="120" w:after="120"/>
      <w:ind w:left="425" w:firstLine="142"/>
    </w:pPr>
    <w:rPr>
      <w:sz w:val="20"/>
    </w:rPr>
  </w:style>
  <w:style w:type="paragraph" w:customStyle="1" w:styleId="JuList">
    <w:name w:val="Ju_List"/>
    <w:aliases w:val="_List_1"/>
    <w:basedOn w:val="NormalJustified"/>
    <w:uiPriority w:val="23"/>
    <w:qFormat/>
    <w:rsid w:val="00FC7CBA"/>
    <w:pPr>
      <w:numPr>
        <w:numId w:val="22"/>
      </w:numPr>
      <w:spacing w:before="280" w:after="60"/>
    </w:pPr>
  </w:style>
  <w:style w:type="paragraph" w:customStyle="1" w:styleId="JuLista">
    <w:name w:val="Ju_List_a"/>
    <w:aliases w:val="_List_2"/>
    <w:basedOn w:val="NormalJustified"/>
    <w:uiPriority w:val="23"/>
    <w:rsid w:val="00FC7CBA"/>
    <w:pPr>
      <w:numPr>
        <w:ilvl w:val="1"/>
        <w:numId w:val="22"/>
      </w:numPr>
    </w:pPr>
  </w:style>
  <w:style w:type="paragraph" w:customStyle="1" w:styleId="JuListi">
    <w:name w:val="Ju_List_i"/>
    <w:aliases w:val="_List_3"/>
    <w:basedOn w:val="NormalJustified"/>
    <w:uiPriority w:val="23"/>
    <w:rsid w:val="00FC7CBA"/>
    <w:pPr>
      <w:numPr>
        <w:ilvl w:val="2"/>
        <w:numId w:val="22"/>
      </w:numPr>
    </w:pPr>
  </w:style>
  <w:style w:type="paragraph" w:customStyle="1" w:styleId="JuHArticle">
    <w:name w:val="Ju_H_Article"/>
    <w:aliases w:val="_Title_Quote"/>
    <w:basedOn w:val="Normalny"/>
    <w:next w:val="JuQuot"/>
    <w:uiPriority w:val="19"/>
    <w:qFormat/>
    <w:rsid w:val="00FC7CB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C7CB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C7CB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FC7CBA"/>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FC7CBA"/>
    <w:pPr>
      <w:numPr>
        <w:numId w:val="16"/>
      </w:numPr>
    </w:pPr>
  </w:style>
  <w:style w:type="paragraph" w:customStyle="1" w:styleId="JuSigned">
    <w:name w:val="Ju_Signed"/>
    <w:aliases w:val="_Signature"/>
    <w:basedOn w:val="Normalny"/>
    <w:next w:val="JuPara"/>
    <w:uiPriority w:val="31"/>
    <w:qFormat/>
    <w:rsid w:val="00FC7CBA"/>
    <w:pPr>
      <w:tabs>
        <w:tab w:val="center" w:pos="1418"/>
        <w:tab w:val="center" w:pos="5954"/>
      </w:tabs>
      <w:spacing w:before="720"/>
    </w:pPr>
  </w:style>
  <w:style w:type="paragraph" w:styleId="Tytu">
    <w:name w:val="Title"/>
    <w:basedOn w:val="Normalny"/>
    <w:next w:val="Normalny"/>
    <w:link w:val="TytuZnak"/>
    <w:uiPriority w:val="98"/>
    <w:semiHidden/>
    <w:qFormat/>
    <w:rsid w:val="00FC7CB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FC7CB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FC7CBA"/>
    <w:pPr>
      <w:numPr>
        <w:numId w:val="17"/>
      </w:numPr>
    </w:pPr>
  </w:style>
  <w:style w:type="numbering" w:customStyle="1" w:styleId="ECHRA1StyleNumberedList">
    <w:name w:val="ECHR_A1_Style_Numbered_List"/>
    <w:basedOn w:val="Bezlisty"/>
    <w:rsid w:val="00FC7CBA"/>
    <w:pPr>
      <w:numPr>
        <w:numId w:val="18"/>
      </w:numPr>
    </w:pPr>
  </w:style>
  <w:style w:type="table" w:customStyle="1" w:styleId="ECHRTable2019">
    <w:name w:val="ECHR_Table_2019"/>
    <w:basedOn w:val="Standardowy"/>
    <w:uiPriority w:val="99"/>
    <w:rsid w:val="00FC7CB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FC7CB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FC7CBA"/>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FC7CBA"/>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FC7CBA"/>
    <w:pPr>
      <w:keepNext/>
      <w:keepLines/>
      <w:numPr>
        <w:ilvl w:val="3"/>
        <w:numId w:val="21"/>
      </w:numPr>
      <w:spacing w:before="100" w:beforeAutospacing="1" w:after="120"/>
      <w:jc w:val="both"/>
    </w:pPr>
    <w:rPr>
      <w:b w:val="0"/>
      <w:color w:val="auto"/>
      <w:sz w:val="24"/>
    </w:rPr>
  </w:style>
  <w:style w:type="paragraph" w:styleId="Nagwek">
    <w:name w:val="header"/>
    <w:basedOn w:val="Normalny"/>
    <w:link w:val="NagwekZnak"/>
    <w:uiPriority w:val="98"/>
    <w:semiHidden/>
    <w:rsid w:val="00FC7CBA"/>
    <w:pPr>
      <w:tabs>
        <w:tab w:val="center" w:pos="4536"/>
        <w:tab w:val="right" w:pos="9072"/>
      </w:tabs>
    </w:pPr>
  </w:style>
  <w:style w:type="character" w:customStyle="1" w:styleId="NagwekZnak">
    <w:name w:val="Nagłówek Znak"/>
    <w:basedOn w:val="Domylnaczcionkaakapitu"/>
    <w:link w:val="Nagwek"/>
    <w:uiPriority w:val="98"/>
    <w:semiHidden/>
    <w:rsid w:val="00FC7CBA"/>
    <w:rPr>
      <w:sz w:val="24"/>
      <w:szCs w:val="24"/>
      <w:lang w:val="en-GB"/>
    </w:rPr>
  </w:style>
  <w:style w:type="character" w:customStyle="1" w:styleId="Nagwek1Znak">
    <w:name w:val="Nagłówek 1 Znak"/>
    <w:basedOn w:val="Domylnaczcionkaakapitu"/>
    <w:link w:val="Nagwek1"/>
    <w:uiPriority w:val="98"/>
    <w:semiHidden/>
    <w:rsid w:val="00FC7CB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FC7CBA"/>
    <w:pPr>
      <w:keepNext/>
      <w:keepLines/>
      <w:numPr>
        <w:ilvl w:val="4"/>
        <w:numId w:val="21"/>
      </w:numPr>
      <w:spacing w:before="100" w:beforeAutospacing="1" w:after="120"/>
      <w:jc w:val="both"/>
    </w:pPr>
    <w:rPr>
      <w:color w:val="auto"/>
      <w:sz w:val="20"/>
    </w:rPr>
  </w:style>
  <w:style w:type="paragraph" w:customStyle="1" w:styleId="JuHi">
    <w:name w:val="Ju_H_i"/>
    <w:aliases w:val="_Head_6"/>
    <w:basedOn w:val="Nagwek6"/>
    <w:next w:val="JuPara"/>
    <w:uiPriority w:val="17"/>
    <w:rsid w:val="00FC7CBA"/>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FC7CB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FC7CBA"/>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FC7CBA"/>
    <w:pPr>
      <w:keepNext/>
      <w:keepLines/>
      <w:numPr>
        <w:ilvl w:val="7"/>
        <w:numId w:val="21"/>
      </w:numPr>
      <w:spacing w:before="100" w:beforeAutospacing="1" w:after="120"/>
      <w:jc w:val="both"/>
    </w:pPr>
    <w:rPr>
      <w:i/>
    </w:rPr>
  </w:style>
  <w:style w:type="character" w:customStyle="1" w:styleId="Nagwek3Znak">
    <w:name w:val="Nagłówek 3 Znak"/>
    <w:basedOn w:val="Domylnaczcionkaakapitu"/>
    <w:link w:val="Nagwek3"/>
    <w:uiPriority w:val="98"/>
    <w:semiHidden/>
    <w:rsid w:val="00FC7CB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C7CBA"/>
    <w:pPr>
      <w:keepNext/>
      <w:keepLines/>
      <w:spacing w:before="240" w:after="240"/>
      <w:ind w:firstLine="284"/>
    </w:pPr>
  </w:style>
  <w:style w:type="paragraph" w:customStyle="1" w:styleId="JuJudges">
    <w:name w:val="Ju_Judges"/>
    <w:aliases w:val="_Judges"/>
    <w:basedOn w:val="Normalny"/>
    <w:uiPriority w:val="32"/>
    <w:qFormat/>
    <w:rsid w:val="00FC7CBA"/>
    <w:pPr>
      <w:tabs>
        <w:tab w:val="left" w:pos="567"/>
        <w:tab w:val="left" w:pos="1134"/>
      </w:tabs>
    </w:pPr>
  </w:style>
  <w:style w:type="character" w:customStyle="1" w:styleId="Nagwek4Znak">
    <w:name w:val="Nagłówek 4 Znak"/>
    <w:basedOn w:val="Domylnaczcionkaakapitu"/>
    <w:link w:val="Nagwek4"/>
    <w:uiPriority w:val="98"/>
    <w:semiHidden/>
    <w:rsid w:val="00FC7CB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FC7CBA"/>
    <w:pPr>
      <w:tabs>
        <w:tab w:val="center" w:pos="6407"/>
      </w:tabs>
      <w:spacing w:before="720"/>
      <w:jc w:val="right"/>
    </w:pPr>
  </w:style>
  <w:style w:type="character" w:customStyle="1" w:styleId="Nagwek5Znak">
    <w:name w:val="Nagłówek 5 Znak"/>
    <w:basedOn w:val="Domylnaczcionkaakapitu"/>
    <w:link w:val="Nagwek5"/>
    <w:uiPriority w:val="98"/>
    <w:semiHidden/>
    <w:rsid w:val="00FC7CBA"/>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FC7CBA"/>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FC7CBA"/>
    <w:rPr>
      <w:caps w:val="0"/>
      <w:smallCaps/>
    </w:rPr>
  </w:style>
  <w:style w:type="character" w:styleId="Wyrnieniedelikatne">
    <w:name w:val="Subtle Emphasis"/>
    <w:uiPriority w:val="98"/>
    <w:semiHidden/>
    <w:qFormat/>
    <w:rsid w:val="00FC7CBA"/>
    <w:rPr>
      <w:i/>
      <w:iCs/>
    </w:rPr>
  </w:style>
  <w:style w:type="table" w:customStyle="1" w:styleId="ECHRTable">
    <w:name w:val="ECHR_Table"/>
    <w:basedOn w:val="Standardowy"/>
    <w:rsid w:val="00FC7CBA"/>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FC7CB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FC7CBA"/>
    <w:rPr>
      <w:b/>
      <w:bCs/>
      <w:i/>
      <w:iCs/>
      <w:spacing w:val="10"/>
      <w:bdr w:val="none" w:sz="0" w:space="0" w:color="auto"/>
      <w:shd w:val="clear" w:color="auto" w:fill="auto"/>
    </w:rPr>
  </w:style>
  <w:style w:type="paragraph" w:styleId="Stopka">
    <w:name w:val="footer"/>
    <w:basedOn w:val="Normalny"/>
    <w:link w:val="StopkaZnak"/>
    <w:uiPriority w:val="98"/>
    <w:semiHidden/>
    <w:rsid w:val="00FC7CBA"/>
    <w:pPr>
      <w:tabs>
        <w:tab w:val="center" w:pos="3686"/>
        <w:tab w:val="right" w:pos="7371"/>
      </w:tabs>
    </w:pPr>
  </w:style>
  <w:style w:type="character" w:customStyle="1" w:styleId="StopkaZnak">
    <w:name w:val="Stopka Znak"/>
    <w:basedOn w:val="Domylnaczcionkaakapitu"/>
    <w:link w:val="Stopka"/>
    <w:uiPriority w:val="98"/>
    <w:semiHidden/>
    <w:rsid w:val="00FC7CBA"/>
    <w:rPr>
      <w:sz w:val="24"/>
      <w:szCs w:val="24"/>
      <w:lang w:val="en-GB"/>
    </w:rPr>
  </w:style>
  <w:style w:type="character" w:styleId="Odwoanieprzypisudolnego">
    <w:name w:val="footnote reference"/>
    <w:basedOn w:val="Domylnaczcionkaakapitu"/>
    <w:uiPriority w:val="98"/>
    <w:semiHidden/>
    <w:rsid w:val="00FC7CBA"/>
    <w:rPr>
      <w:vertAlign w:val="superscript"/>
    </w:rPr>
  </w:style>
  <w:style w:type="paragraph" w:styleId="Tekstprzypisudolnego">
    <w:name w:val="footnote text"/>
    <w:basedOn w:val="NormalJustified"/>
    <w:link w:val="TekstprzypisudolnegoZnak"/>
    <w:uiPriority w:val="98"/>
    <w:semiHidden/>
    <w:rsid w:val="00FC7CBA"/>
    <w:rPr>
      <w:sz w:val="20"/>
      <w:szCs w:val="20"/>
    </w:rPr>
  </w:style>
  <w:style w:type="character" w:customStyle="1" w:styleId="TekstprzypisudolnegoZnak">
    <w:name w:val="Tekst przypisu dolnego Znak"/>
    <w:basedOn w:val="Domylnaczcionkaakapitu"/>
    <w:link w:val="Tekstprzypisudolnego"/>
    <w:uiPriority w:val="98"/>
    <w:semiHidden/>
    <w:rsid w:val="00FC7CBA"/>
    <w:rPr>
      <w:sz w:val="20"/>
      <w:szCs w:val="20"/>
      <w:lang w:val="en-GB"/>
    </w:rPr>
  </w:style>
  <w:style w:type="character" w:customStyle="1" w:styleId="Nagwek6Znak">
    <w:name w:val="Nagłówek 6 Znak"/>
    <w:basedOn w:val="Domylnaczcionkaakapitu"/>
    <w:link w:val="Nagwek6"/>
    <w:uiPriority w:val="98"/>
    <w:semiHidden/>
    <w:rsid w:val="00FC7CBA"/>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FC7CBA"/>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FC7CBA"/>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FC7CBA"/>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FC7CBA"/>
    <w:rPr>
      <w:color w:val="0072BC" w:themeColor="hyperlink"/>
      <w:u w:val="single"/>
    </w:rPr>
  </w:style>
  <w:style w:type="character" w:styleId="Wyrnienieintensywne">
    <w:name w:val="Intense Emphasis"/>
    <w:uiPriority w:val="98"/>
    <w:semiHidden/>
    <w:qFormat/>
    <w:rsid w:val="00FC7CBA"/>
    <w:rPr>
      <w:b/>
      <w:bCs/>
    </w:rPr>
  </w:style>
  <w:style w:type="paragraph" w:styleId="Cytatintensywny">
    <w:name w:val="Intense Quote"/>
    <w:basedOn w:val="Normalny"/>
    <w:next w:val="Normalny"/>
    <w:link w:val="CytatintensywnyZnak"/>
    <w:uiPriority w:val="98"/>
    <w:semiHidden/>
    <w:qFormat/>
    <w:rsid w:val="00FC7CB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FC7CBA"/>
    <w:rPr>
      <w:b/>
      <w:bCs/>
      <w:i/>
      <w:iCs/>
      <w:sz w:val="24"/>
      <w:szCs w:val="24"/>
      <w:lang w:val="en-GB" w:bidi="en-US"/>
    </w:rPr>
  </w:style>
  <w:style w:type="character" w:styleId="Odwoanieintensywne">
    <w:name w:val="Intense Reference"/>
    <w:uiPriority w:val="98"/>
    <w:semiHidden/>
    <w:qFormat/>
    <w:rsid w:val="00FC7CBA"/>
    <w:rPr>
      <w:smallCaps/>
      <w:spacing w:val="5"/>
      <w:u w:val="single"/>
    </w:rPr>
  </w:style>
  <w:style w:type="paragraph" w:styleId="Akapitzlist">
    <w:name w:val="List Paragraph"/>
    <w:basedOn w:val="Normalny"/>
    <w:uiPriority w:val="98"/>
    <w:semiHidden/>
    <w:qFormat/>
    <w:rsid w:val="00FC7CBA"/>
    <w:pPr>
      <w:ind w:left="720"/>
      <w:contextualSpacing/>
    </w:pPr>
  </w:style>
  <w:style w:type="table" w:customStyle="1" w:styleId="LtrTableAddress">
    <w:name w:val="Ltr_Table_Address"/>
    <w:aliases w:val="ECHR_Ltr_Table_Address"/>
    <w:basedOn w:val="Standardowy"/>
    <w:uiPriority w:val="99"/>
    <w:rsid w:val="00FC7CBA"/>
    <w:rPr>
      <w:sz w:val="24"/>
      <w:szCs w:val="24"/>
    </w:rPr>
    <w:tblPr>
      <w:tblInd w:w="5103" w:type="dxa"/>
    </w:tblPr>
  </w:style>
  <w:style w:type="paragraph" w:styleId="Cytat">
    <w:name w:val="Quote"/>
    <w:basedOn w:val="Normalny"/>
    <w:next w:val="Normalny"/>
    <w:link w:val="CytatZnak"/>
    <w:uiPriority w:val="98"/>
    <w:semiHidden/>
    <w:qFormat/>
    <w:rsid w:val="00FC7CBA"/>
    <w:pPr>
      <w:spacing w:before="200"/>
      <w:ind w:left="360" w:right="360"/>
    </w:pPr>
    <w:rPr>
      <w:i/>
      <w:iCs/>
      <w:lang w:bidi="en-US"/>
    </w:rPr>
  </w:style>
  <w:style w:type="character" w:customStyle="1" w:styleId="CytatZnak">
    <w:name w:val="Cytat Znak"/>
    <w:basedOn w:val="Domylnaczcionkaakapitu"/>
    <w:link w:val="Cytat"/>
    <w:uiPriority w:val="98"/>
    <w:semiHidden/>
    <w:rsid w:val="00FC7CBA"/>
    <w:rPr>
      <w:i/>
      <w:iCs/>
      <w:sz w:val="24"/>
      <w:szCs w:val="24"/>
      <w:lang w:val="en-GB" w:bidi="en-US"/>
    </w:rPr>
  </w:style>
  <w:style w:type="character" w:styleId="Odwoaniedelikatne">
    <w:name w:val="Subtle Reference"/>
    <w:uiPriority w:val="98"/>
    <w:semiHidden/>
    <w:qFormat/>
    <w:rsid w:val="00FC7CBA"/>
    <w:rPr>
      <w:smallCaps/>
    </w:rPr>
  </w:style>
  <w:style w:type="table" w:styleId="Tabela-Siatka">
    <w:name w:val="Table Grid"/>
    <w:basedOn w:val="Standardowy"/>
    <w:uiPriority w:val="59"/>
    <w:semiHidden/>
    <w:rsid w:val="00FC7CB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FC7CB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FC7CB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FC7CB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FC7CB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FC7CB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FC7CB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FC7CB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FC7CB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FC7CB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FC7CB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FC7CB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FC7CB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FC7CB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FC7CB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FC7CBA"/>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FC7CBA"/>
    <w:pPr>
      <w:numPr>
        <w:numId w:val="3"/>
      </w:numPr>
    </w:pPr>
  </w:style>
  <w:style w:type="paragraph" w:customStyle="1" w:styleId="JuPara">
    <w:name w:val="Ju_Para"/>
    <w:aliases w:val="_Para"/>
    <w:basedOn w:val="NormalJustified"/>
    <w:link w:val="JuParaChar"/>
    <w:uiPriority w:val="4"/>
    <w:qFormat/>
    <w:rsid w:val="00FC7CBA"/>
    <w:pPr>
      <w:ind w:firstLine="284"/>
    </w:pPr>
  </w:style>
  <w:style w:type="numbering" w:styleId="1ai">
    <w:name w:val="Outline List 1"/>
    <w:basedOn w:val="Bezlisty"/>
    <w:uiPriority w:val="99"/>
    <w:semiHidden/>
    <w:unhideWhenUsed/>
    <w:rsid w:val="00FC7CBA"/>
    <w:pPr>
      <w:numPr>
        <w:numId w:val="4"/>
      </w:numPr>
    </w:pPr>
  </w:style>
  <w:style w:type="table" w:customStyle="1" w:styleId="ECHRTableSimpleBox">
    <w:name w:val="ECHR_Table_Simple_Box"/>
    <w:basedOn w:val="Standardowy"/>
    <w:uiPriority w:val="99"/>
    <w:rsid w:val="00FC7CB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FC7CB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FC7CBA"/>
    <w:pPr>
      <w:numPr>
        <w:numId w:val="5"/>
      </w:numPr>
    </w:pPr>
  </w:style>
  <w:style w:type="table" w:customStyle="1" w:styleId="ECHRTableForInternalUse">
    <w:name w:val="ECHR_Table_For_Internal_Use"/>
    <w:basedOn w:val="Standardowy"/>
    <w:uiPriority w:val="99"/>
    <w:rsid w:val="00FC7CB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FC7CB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FC7CBA"/>
  </w:style>
  <w:style w:type="paragraph" w:styleId="Tekstblokowy">
    <w:name w:val="Block Text"/>
    <w:basedOn w:val="Normalny"/>
    <w:uiPriority w:val="98"/>
    <w:semiHidden/>
    <w:rsid w:val="00FC7CB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FC7CB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FC7CBA"/>
    <w:pPr>
      <w:spacing w:after="120"/>
    </w:pPr>
  </w:style>
  <w:style w:type="character" w:customStyle="1" w:styleId="TekstpodstawowyZnak">
    <w:name w:val="Tekst podstawowy Znak"/>
    <w:basedOn w:val="Domylnaczcionkaakapitu"/>
    <w:link w:val="Tekstpodstawowy"/>
    <w:uiPriority w:val="98"/>
    <w:semiHidden/>
    <w:rsid w:val="00FC7CBA"/>
    <w:rPr>
      <w:sz w:val="24"/>
      <w:szCs w:val="24"/>
      <w:lang w:val="en-GB"/>
    </w:rPr>
  </w:style>
  <w:style w:type="table" w:customStyle="1" w:styleId="ECHRTableOddBanded">
    <w:name w:val="ECHR_Table_Odd_Banded"/>
    <w:basedOn w:val="Standardowy"/>
    <w:uiPriority w:val="99"/>
    <w:rsid w:val="00FC7CB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FC7CBA"/>
    <w:pPr>
      <w:spacing w:after="120" w:line="480" w:lineRule="auto"/>
    </w:pPr>
  </w:style>
  <w:style w:type="table" w:customStyle="1" w:styleId="ECHRHeaderTableReduced">
    <w:name w:val="ECHR_Header_Table_Reduced"/>
    <w:basedOn w:val="Standardowy"/>
    <w:uiPriority w:val="99"/>
    <w:rsid w:val="00FC7CB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FC7CBA"/>
    <w:pPr>
      <w:ind w:firstLine="284"/>
    </w:pPr>
    <w:rPr>
      <w:b/>
    </w:rPr>
  </w:style>
  <w:style w:type="character" w:styleId="Numerstrony">
    <w:name w:val="page number"/>
    <w:uiPriority w:val="98"/>
    <w:semiHidden/>
    <w:rsid w:val="00FC7CBA"/>
    <w:rPr>
      <w:sz w:val="18"/>
    </w:rPr>
  </w:style>
  <w:style w:type="paragraph" w:styleId="Listapunktowana">
    <w:name w:val="List Bullet"/>
    <w:basedOn w:val="Normalny"/>
    <w:uiPriority w:val="98"/>
    <w:semiHidden/>
    <w:rsid w:val="00FC7CBA"/>
    <w:pPr>
      <w:numPr>
        <w:numId w:val="6"/>
      </w:numPr>
    </w:pPr>
  </w:style>
  <w:style w:type="paragraph" w:styleId="Listapunktowana3">
    <w:name w:val="List Bullet 3"/>
    <w:basedOn w:val="Normalny"/>
    <w:uiPriority w:val="98"/>
    <w:semiHidden/>
    <w:rsid w:val="00FC7CBA"/>
    <w:pPr>
      <w:numPr>
        <w:numId w:val="8"/>
      </w:numPr>
      <w:contextualSpacing/>
    </w:pPr>
  </w:style>
  <w:style w:type="character" w:customStyle="1" w:styleId="Tekstpodstawowy2Znak">
    <w:name w:val="Tekst podstawowy 2 Znak"/>
    <w:basedOn w:val="Domylnaczcionkaakapitu"/>
    <w:link w:val="Tekstpodstawowy2"/>
    <w:uiPriority w:val="98"/>
    <w:semiHidden/>
    <w:rsid w:val="00FC7CBA"/>
    <w:rPr>
      <w:sz w:val="24"/>
      <w:szCs w:val="24"/>
      <w:lang w:val="en-GB"/>
    </w:rPr>
  </w:style>
  <w:style w:type="paragraph" w:styleId="Tekstpodstawowy3">
    <w:name w:val="Body Text 3"/>
    <w:basedOn w:val="Normalny"/>
    <w:link w:val="Tekstpodstawowy3Znak"/>
    <w:uiPriority w:val="98"/>
    <w:semiHidden/>
    <w:rsid w:val="00FC7CBA"/>
    <w:pPr>
      <w:spacing w:after="120"/>
    </w:pPr>
    <w:rPr>
      <w:sz w:val="16"/>
      <w:szCs w:val="16"/>
    </w:rPr>
  </w:style>
  <w:style w:type="character" w:customStyle="1" w:styleId="Tekstpodstawowy3Znak">
    <w:name w:val="Tekst podstawowy 3 Znak"/>
    <w:basedOn w:val="Domylnaczcionkaakapitu"/>
    <w:link w:val="Tekstpodstawowy3"/>
    <w:uiPriority w:val="98"/>
    <w:semiHidden/>
    <w:rsid w:val="00FC7CBA"/>
    <w:rPr>
      <w:sz w:val="16"/>
      <w:szCs w:val="16"/>
      <w:lang w:val="en-GB"/>
    </w:rPr>
  </w:style>
  <w:style w:type="paragraph" w:styleId="Tekstpodstawowyzwciciem">
    <w:name w:val="Body Text First Indent"/>
    <w:basedOn w:val="Tekstpodstawowy"/>
    <w:link w:val="TekstpodstawowyzwciciemZnak"/>
    <w:uiPriority w:val="98"/>
    <w:semiHidden/>
    <w:rsid w:val="00FC7CB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FC7CBA"/>
    <w:rPr>
      <w:sz w:val="24"/>
      <w:szCs w:val="24"/>
      <w:lang w:val="en-GB"/>
    </w:rPr>
  </w:style>
  <w:style w:type="paragraph" w:styleId="Tekstpodstawowywcity">
    <w:name w:val="Body Text Indent"/>
    <w:basedOn w:val="Normalny"/>
    <w:link w:val="TekstpodstawowywcityZnak"/>
    <w:uiPriority w:val="98"/>
    <w:semiHidden/>
    <w:rsid w:val="00FC7CBA"/>
    <w:pPr>
      <w:spacing w:after="120"/>
      <w:ind w:left="283"/>
    </w:pPr>
  </w:style>
  <w:style w:type="character" w:customStyle="1" w:styleId="TekstpodstawowywcityZnak">
    <w:name w:val="Tekst podstawowy wcięty Znak"/>
    <w:basedOn w:val="Domylnaczcionkaakapitu"/>
    <w:link w:val="Tekstpodstawowywcity"/>
    <w:uiPriority w:val="98"/>
    <w:semiHidden/>
    <w:rsid w:val="00FC7CBA"/>
    <w:rPr>
      <w:sz w:val="24"/>
      <w:szCs w:val="24"/>
      <w:lang w:val="en-GB"/>
    </w:rPr>
  </w:style>
  <w:style w:type="paragraph" w:styleId="Tekstpodstawowyzwciciem2">
    <w:name w:val="Body Text First Indent 2"/>
    <w:basedOn w:val="Tekstpodstawowywcity"/>
    <w:link w:val="Tekstpodstawowyzwciciem2Znak"/>
    <w:uiPriority w:val="98"/>
    <w:semiHidden/>
    <w:rsid w:val="00FC7CB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FC7CBA"/>
    <w:rPr>
      <w:sz w:val="24"/>
      <w:szCs w:val="24"/>
      <w:lang w:val="en-GB"/>
    </w:rPr>
  </w:style>
  <w:style w:type="paragraph" w:styleId="Tekstpodstawowywcity2">
    <w:name w:val="Body Text Indent 2"/>
    <w:basedOn w:val="Normalny"/>
    <w:link w:val="Tekstpodstawowywcity2Znak"/>
    <w:uiPriority w:val="98"/>
    <w:semiHidden/>
    <w:rsid w:val="00FC7CB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FC7CBA"/>
    <w:rPr>
      <w:sz w:val="24"/>
      <w:szCs w:val="24"/>
      <w:lang w:val="en-GB"/>
    </w:rPr>
  </w:style>
  <w:style w:type="paragraph" w:styleId="Tekstpodstawowywcity3">
    <w:name w:val="Body Text Indent 3"/>
    <w:basedOn w:val="Normalny"/>
    <w:link w:val="Tekstpodstawowywcity3Znak"/>
    <w:uiPriority w:val="98"/>
    <w:semiHidden/>
    <w:rsid w:val="00FC7CB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FC7CBA"/>
    <w:rPr>
      <w:sz w:val="16"/>
      <w:szCs w:val="16"/>
      <w:lang w:val="en-GB"/>
    </w:rPr>
  </w:style>
  <w:style w:type="paragraph" w:styleId="Legenda">
    <w:name w:val="caption"/>
    <w:basedOn w:val="Normalny"/>
    <w:next w:val="Normalny"/>
    <w:uiPriority w:val="98"/>
    <w:semiHidden/>
    <w:qFormat/>
    <w:rsid w:val="00FC7CBA"/>
    <w:pPr>
      <w:spacing w:after="200"/>
    </w:pPr>
    <w:rPr>
      <w:b/>
      <w:bCs/>
      <w:color w:val="0072BC" w:themeColor="accent1"/>
      <w:sz w:val="18"/>
      <w:szCs w:val="18"/>
    </w:rPr>
  </w:style>
  <w:style w:type="paragraph" w:styleId="Zwrotpoegnalny">
    <w:name w:val="Closing"/>
    <w:basedOn w:val="Normalny"/>
    <w:link w:val="ZwrotpoegnalnyZnak"/>
    <w:uiPriority w:val="98"/>
    <w:semiHidden/>
    <w:rsid w:val="00FC7CBA"/>
    <w:pPr>
      <w:ind w:left="4252"/>
    </w:pPr>
  </w:style>
  <w:style w:type="character" w:customStyle="1" w:styleId="ZwrotpoegnalnyZnak">
    <w:name w:val="Zwrot pożegnalny Znak"/>
    <w:basedOn w:val="Domylnaczcionkaakapitu"/>
    <w:link w:val="Zwrotpoegnalny"/>
    <w:uiPriority w:val="98"/>
    <w:semiHidden/>
    <w:rsid w:val="00FC7CBA"/>
    <w:rPr>
      <w:sz w:val="24"/>
      <w:szCs w:val="24"/>
      <w:lang w:val="en-GB"/>
    </w:rPr>
  </w:style>
  <w:style w:type="table" w:styleId="Kolorowasiatka">
    <w:name w:val="Colorful Grid"/>
    <w:basedOn w:val="Standardowy"/>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FC7CB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FC7CB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FC7CB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FC7CB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FC7CB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FC7CB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FC7CB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FC7CB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FC7CB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FC7CB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FC7CB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FC7CB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FC7CB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FC7CB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FC7CB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FC7CBA"/>
    <w:rPr>
      <w:sz w:val="16"/>
      <w:szCs w:val="16"/>
    </w:rPr>
  </w:style>
  <w:style w:type="paragraph" w:styleId="Tekstkomentarza">
    <w:name w:val="annotation text"/>
    <w:basedOn w:val="Normalny"/>
    <w:link w:val="TekstkomentarzaZnak"/>
    <w:uiPriority w:val="98"/>
    <w:semiHidden/>
    <w:rsid w:val="00FC7CBA"/>
    <w:rPr>
      <w:sz w:val="20"/>
      <w:szCs w:val="20"/>
    </w:rPr>
  </w:style>
  <w:style w:type="character" w:customStyle="1" w:styleId="TekstkomentarzaZnak">
    <w:name w:val="Tekst komentarza Znak"/>
    <w:basedOn w:val="Domylnaczcionkaakapitu"/>
    <w:link w:val="Tekstkomentarza"/>
    <w:uiPriority w:val="98"/>
    <w:rsid w:val="00FC7CBA"/>
    <w:rPr>
      <w:sz w:val="20"/>
      <w:szCs w:val="20"/>
      <w:lang w:val="en-GB"/>
    </w:rPr>
  </w:style>
  <w:style w:type="paragraph" w:styleId="Tematkomentarza">
    <w:name w:val="annotation subject"/>
    <w:basedOn w:val="Tekstkomentarza"/>
    <w:next w:val="Tekstkomentarza"/>
    <w:link w:val="TematkomentarzaZnak"/>
    <w:uiPriority w:val="98"/>
    <w:semiHidden/>
    <w:rsid w:val="00FC7CBA"/>
    <w:rPr>
      <w:b/>
      <w:bCs/>
    </w:rPr>
  </w:style>
  <w:style w:type="character" w:customStyle="1" w:styleId="TematkomentarzaZnak">
    <w:name w:val="Temat komentarza Znak"/>
    <w:basedOn w:val="TekstkomentarzaZnak"/>
    <w:link w:val="Tematkomentarza"/>
    <w:uiPriority w:val="98"/>
    <w:semiHidden/>
    <w:rsid w:val="00FC7CBA"/>
    <w:rPr>
      <w:b/>
      <w:bCs/>
      <w:sz w:val="20"/>
      <w:szCs w:val="20"/>
      <w:lang w:val="en-GB"/>
    </w:rPr>
  </w:style>
  <w:style w:type="table" w:styleId="Ciemnalista">
    <w:name w:val="Dark List"/>
    <w:basedOn w:val="Standardowy"/>
    <w:uiPriority w:val="70"/>
    <w:semiHidden/>
    <w:rsid w:val="00FC7CB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FC7CB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FC7CB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FC7CB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FC7CB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FC7CB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FC7CB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FC7CBA"/>
  </w:style>
  <w:style w:type="character" w:customStyle="1" w:styleId="DataZnak">
    <w:name w:val="Data Znak"/>
    <w:basedOn w:val="Domylnaczcionkaakapitu"/>
    <w:link w:val="Data"/>
    <w:uiPriority w:val="98"/>
    <w:semiHidden/>
    <w:rsid w:val="00FC7CBA"/>
    <w:rPr>
      <w:sz w:val="24"/>
      <w:szCs w:val="24"/>
      <w:lang w:val="en-GB"/>
    </w:rPr>
  </w:style>
  <w:style w:type="paragraph" w:styleId="Mapadokumentu">
    <w:name w:val="Document Map"/>
    <w:basedOn w:val="Normalny"/>
    <w:link w:val="MapadokumentuZnak"/>
    <w:uiPriority w:val="98"/>
    <w:semiHidden/>
    <w:rsid w:val="00FC7CB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FC7CBA"/>
    <w:rPr>
      <w:rFonts w:ascii="Tahoma" w:hAnsi="Tahoma" w:cs="Tahoma"/>
      <w:sz w:val="16"/>
      <w:szCs w:val="16"/>
      <w:lang w:val="en-GB"/>
    </w:rPr>
  </w:style>
  <w:style w:type="paragraph" w:styleId="Podpise-mail">
    <w:name w:val="E-mail Signature"/>
    <w:basedOn w:val="Normalny"/>
    <w:link w:val="Podpise-mailZnak"/>
    <w:uiPriority w:val="98"/>
    <w:semiHidden/>
    <w:rsid w:val="00FC7CBA"/>
  </w:style>
  <w:style w:type="character" w:customStyle="1" w:styleId="Podpise-mailZnak">
    <w:name w:val="Podpis e-mail Znak"/>
    <w:basedOn w:val="Domylnaczcionkaakapitu"/>
    <w:link w:val="Podpise-mail"/>
    <w:uiPriority w:val="98"/>
    <w:semiHidden/>
    <w:rsid w:val="00FC7CBA"/>
    <w:rPr>
      <w:sz w:val="24"/>
      <w:szCs w:val="24"/>
      <w:lang w:val="en-GB"/>
    </w:rPr>
  </w:style>
  <w:style w:type="character" w:styleId="Odwoanieprzypisukocowego">
    <w:name w:val="endnote reference"/>
    <w:basedOn w:val="Domylnaczcionkaakapitu"/>
    <w:uiPriority w:val="98"/>
    <w:semiHidden/>
    <w:rsid w:val="00FC7CBA"/>
    <w:rPr>
      <w:vertAlign w:val="superscript"/>
    </w:rPr>
  </w:style>
  <w:style w:type="paragraph" w:styleId="Tekstprzypisukocowego">
    <w:name w:val="endnote text"/>
    <w:basedOn w:val="Normalny"/>
    <w:link w:val="TekstprzypisukocowegoZnak"/>
    <w:uiPriority w:val="98"/>
    <w:semiHidden/>
    <w:rsid w:val="00FC7CBA"/>
    <w:rPr>
      <w:sz w:val="20"/>
      <w:szCs w:val="20"/>
    </w:rPr>
  </w:style>
  <w:style w:type="character" w:customStyle="1" w:styleId="TekstprzypisukocowegoZnak">
    <w:name w:val="Tekst przypisu końcowego Znak"/>
    <w:basedOn w:val="Domylnaczcionkaakapitu"/>
    <w:link w:val="Tekstprzypisukocowego"/>
    <w:uiPriority w:val="98"/>
    <w:semiHidden/>
    <w:rsid w:val="00FC7CBA"/>
    <w:rPr>
      <w:sz w:val="20"/>
      <w:szCs w:val="20"/>
      <w:lang w:val="en-GB"/>
    </w:rPr>
  </w:style>
  <w:style w:type="paragraph" w:styleId="Adresnakopercie">
    <w:name w:val="envelope address"/>
    <w:basedOn w:val="Normalny"/>
    <w:uiPriority w:val="98"/>
    <w:semiHidden/>
    <w:rsid w:val="00FC7CB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FC7CB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FC7CBA"/>
    <w:rPr>
      <w:color w:val="7030A0" w:themeColor="followedHyperlink"/>
      <w:u w:val="single"/>
    </w:rPr>
  </w:style>
  <w:style w:type="character" w:styleId="HTML-akronim">
    <w:name w:val="HTML Acronym"/>
    <w:basedOn w:val="Domylnaczcionkaakapitu"/>
    <w:uiPriority w:val="98"/>
    <w:semiHidden/>
    <w:rsid w:val="00FC7CBA"/>
  </w:style>
  <w:style w:type="paragraph" w:styleId="HTML-adres">
    <w:name w:val="HTML Address"/>
    <w:basedOn w:val="Normalny"/>
    <w:link w:val="HTML-adresZnak"/>
    <w:uiPriority w:val="98"/>
    <w:semiHidden/>
    <w:rsid w:val="00FC7CBA"/>
    <w:rPr>
      <w:i/>
      <w:iCs/>
    </w:rPr>
  </w:style>
  <w:style w:type="character" w:customStyle="1" w:styleId="HTML-adresZnak">
    <w:name w:val="HTML - adres Znak"/>
    <w:basedOn w:val="Domylnaczcionkaakapitu"/>
    <w:link w:val="HTML-adres"/>
    <w:uiPriority w:val="98"/>
    <w:semiHidden/>
    <w:rsid w:val="00FC7CBA"/>
    <w:rPr>
      <w:i/>
      <w:iCs/>
      <w:sz w:val="24"/>
      <w:szCs w:val="24"/>
      <w:lang w:val="en-GB"/>
    </w:rPr>
  </w:style>
  <w:style w:type="character" w:styleId="HTML-cytat">
    <w:name w:val="HTML Cite"/>
    <w:basedOn w:val="Domylnaczcionkaakapitu"/>
    <w:uiPriority w:val="98"/>
    <w:semiHidden/>
    <w:rsid w:val="00FC7CBA"/>
    <w:rPr>
      <w:i/>
      <w:iCs/>
    </w:rPr>
  </w:style>
  <w:style w:type="character" w:styleId="HTML-kod">
    <w:name w:val="HTML Code"/>
    <w:basedOn w:val="Domylnaczcionkaakapitu"/>
    <w:uiPriority w:val="98"/>
    <w:semiHidden/>
    <w:rsid w:val="00FC7CBA"/>
    <w:rPr>
      <w:rFonts w:ascii="Consolas" w:hAnsi="Consolas" w:cs="Consolas"/>
      <w:sz w:val="20"/>
      <w:szCs w:val="20"/>
    </w:rPr>
  </w:style>
  <w:style w:type="character" w:styleId="HTML-definicja">
    <w:name w:val="HTML Definition"/>
    <w:basedOn w:val="Domylnaczcionkaakapitu"/>
    <w:uiPriority w:val="98"/>
    <w:semiHidden/>
    <w:rsid w:val="00FC7CBA"/>
    <w:rPr>
      <w:i/>
      <w:iCs/>
    </w:rPr>
  </w:style>
  <w:style w:type="character" w:styleId="HTML-klawiatura">
    <w:name w:val="HTML Keyboard"/>
    <w:basedOn w:val="Domylnaczcionkaakapitu"/>
    <w:uiPriority w:val="98"/>
    <w:semiHidden/>
    <w:rsid w:val="00FC7CBA"/>
    <w:rPr>
      <w:rFonts w:ascii="Consolas" w:hAnsi="Consolas" w:cs="Consolas"/>
      <w:sz w:val="20"/>
      <w:szCs w:val="20"/>
    </w:rPr>
  </w:style>
  <w:style w:type="paragraph" w:styleId="HTML-wstpniesformatowany">
    <w:name w:val="HTML Preformatted"/>
    <w:basedOn w:val="Normalny"/>
    <w:link w:val="HTML-wstpniesformatowanyZnak"/>
    <w:uiPriority w:val="98"/>
    <w:semiHidden/>
    <w:rsid w:val="00FC7CB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FC7CBA"/>
    <w:rPr>
      <w:rFonts w:ascii="Consolas" w:hAnsi="Consolas" w:cs="Consolas"/>
      <w:sz w:val="20"/>
      <w:szCs w:val="20"/>
      <w:lang w:val="en-GB"/>
    </w:rPr>
  </w:style>
  <w:style w:type="character" w:styleId="HTML-przykad">
    <w:name w:val="HTML Sample"/>
    <w:basedOn w:val="Domylnaczcionkaakapitu"/>
    <w:uiPriority w:val="98"/>
    <w:semiHidden/>
    <w:rsid w:val="00FC7CBA"/>
    <w:rPr>
      <w:rFonts w:ascii="Consolas" w:hAnsi="Consolas" w:cs="Consolas"/>
      <w:sz w:val="24"/>
      <w:szCs w:val="24"/>
    </w:rPr>
  </w:style>
  <w:style w:type="character" w:styleId="HTML-staaszeroko">
    <w:name w:val="HTML Typewriter"/>
    <w:basedOn w:val="Domylnaczcionkaakapitu"/>
    <w:uiPriority w:val="98"/>
    <w:semiHidden/>
    <w:rsid w:val="00FC7CBA"/>
    <w:rPr>
      <w:rFonts w:ascii="Consolas" w:hAnsi="Consolas" w:cs="Consolas"/>
      <w:sz w:val="20"/>
      <w:szCs w:val="20"/>
    </w:rPr>
  </w:style>
  <w:style w:type="character" w:styleId="HTML-zmienna">
    <w:name w:val="HTML Variable"/>
    <w:basedOn w:val="Domylnaczcionkaakapitu"/>
    <w:uiPriority w:val="98"/>
    <w:semiHidden/>
    <w:rsid w:val="00FC7CBA"/>
    <w:rPr>
      <w:i/>
      <w:iCs/>
    </w:rPr>
  </w:style>
  <w:style w:type="paragraph" w:styleId="Indeks1">
    <w:name w:val="index 1"/>
    <w:basedOn w:val="Normalny"/>
    <w:next w:val="Normalny"/>
    <w:autoRedefine/>
    <w:uiPriority w:val="98"/>
    <w:semiHidden/>
    <w:rsid w:val="00FC7CBA"/>
    <w:pPr>
      <w:ind w:left="240" w:hanging="240"/>
    </w:pPr>
  </w:style>
  <w:style w:type="paragraph" w:styleId="Indeks2">
    <w:name w:val="index 2"/>
    <w:basedOn w:val="Normalny"/>
    <w:next w:val="Normalny"/>
    <w:autoRedefine/>
    <w:uiPriority w:val="98"/>
    <w:semiHidden/>
    <w:rsid w:val="00FC7CBA"/>
    <w:pPr>
      <w:ind w:left="480" w:hanging="240"/>
    </w:pPr>
  </w:style>
  <w:style w:type="paragraph" w:styleId="Indeks3">
    <w:name w:val="index 3"/>
    <w:basedOn w:val="Normalny"/>
    <w:next w:val="Normalny"/>
    <w:autoRedefine/>
    <w:uiPriority w:val="98"/>
    <w:semiHidden/>
    <w:rsid w:val="00FC7CBA"/>
    <w:pPr>
      <w:ind w:left="720" w:hanging="240"/>
    </w:pPr>
  </w:style>
  <w:style w:type="paragraph" w:styleId="Indeks4">
    <w:name w:val="index 4"/>
    <w:basedOn w:val="Normalny"/>
    <w:next w:val="Normalny"/>
    <w:autoRedefine/>
    <w:uiPriority w:val="98"/>
    <w:semiHidden/>
    <w:rsid w:val="00FC7CBA"/>
    <w:pPr>
      <w:ind w:left="960" w:hanging="240"/>
    </w:pPr>
  </w:style>
  <w:style w:type="paragraph" w:styleId="Indeks5">
    <w:name w:val="index 5"/>
    <w:basedOn w:val="Normalny"/>
    <w:next w:val="Normalny"/>
    <w:autoRedefine/>
    <w:uiPriority w:val="98"/>
    <w:semiHidden/>
    <w:rsid w:val="00FC7CBA"/>
    <w:pPr>
      <w:ind w:left="1200" w:hanging="240"/>
    </w:pPr>
  </w:style>
  <w:style w:type="paragraph" w:styleId="Indeks6">
    <w:name w:val="index 6"/>
    <w:basedOn w:val="Normalny"/>
    <w:next w:val="Normalny"/>
    <w:autoRedefine/>
    <w:uiPriority w:val="98"/>
    <w:semiHidden/>
    <w:rsid w:val="00FC7CBA"/>
    <w:pPr>
      <w:ind w:left="1440" w:hanging="240"/>
    </w:pPr>
  </w:style>
  <w:style w:type="paragraph" w:styleId="Indeks7">
    <w:name w:val="index 7"/>
    <w:basedOn w:val="Normalny"/>
    <w:next w:val="Normalny"/>
    <w:autoRedefine/>
    <w:uiPriority w:val="98"/>
    <w:semiHidden/>
    <w:rsid w:val="00FC7CBA"/>
    <w:pPr>
      <w:ind w:left="1680" w:hanging="240"/>
    </w:pPr>
  </w:style>
  <w:style w:type="paragraph" w:styleId="Indeks8">
    <w:name w:val="index 8"/>
    <w:basedOn w:val="Normalny"/>
    <w:next w:val="Normalny"/>
    <w:autoRedefine/>
    <w:uiPriority w:val="98"/>
    <w:semiHidden/>
    <w:rsid w:val="00FC7CBA"/>
    <w:pPr>
      <w:ind w:left="1920" w:hanging="240"/>
    </w:pPr>
  </w:style>
  <w:style w:type="paragraph" w:styleId="Indeks9">
    <w:name w:val="index 9"/>
    <w:basedOn w:val="Normalny"/>
    <w:next w:val="Normalny"/>
    <w:autoRedefine/>
    <w:uiPriority w:val="98"/>
    <w:semiHidden/>
    <w:rsid w:val="00FC7CBA"/>
    <w:pPr>
      <w:ind w:left="2160" w:hanging="240"/>
    </w:pPr>
  </w:style>
  <w:style w:type="paragraph" w:styleId="Nagwekindeksu">
    <w:name w:val="index heading"/>
    <w:basedOn w:val="Normalny"/>
    <w:next w:val="Indeks1"/>
    <w:uiPriority w:val="98"/>
    <w:semiHidden/>
    <w:rsid w:val="00FC7CBA"/>
    <w:rPr>
      <w:rFonts w:asciiTheme="majorHAnsi" w:eastAsiaTheme="majorEastAsia" w:hAnsiTheme="majorHAnsi" w:cstheme="majorBidi"/>
      <w:b/>
      <w:bCs/>
    </w:rPr>
  </w:style>
  <w:style w:type="table" w:styleId="Jasnasiatka">
    <w:name w:val="Light Grid"/>
    <w:basedOn w:val="Standardowy"/>
    <w:uiPriority w:val="62"/>
    <w:semiHidden/>
    <w:rsid w:val="00FC7CB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FC7CB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FC7CB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FC7CB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FC7CB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FC7CB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FC7CB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FC7CB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FC7CB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FC7CB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FC7CB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FC7CB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FC7CB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FC7CB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FC7CB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FC7CB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FC7CB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FC7CB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FC7CB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FC7CB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FC7CB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FC7CBA"/>
  </w:style>
  <w:style w:type="paragraph" w:styleId="Lista">
    <w:name w:val="List"/>
    <w:basedOn w:val="Normalny"/>
    <w:uiPriority w:val="98"/>
    <w:semiHidden/>
    <w:rsid w:val="00FC7CBA"/>
    <w:pPr>
      <w:ind w:left="283" w:hanging="283"/>
      <w:contextualSpacing/>
    </w:pPr>
  </w:style>
  <w:style w:type="paragraph" w:styleId="Lista2">
    <w:name w:val="List 2"/>
    <w:basedOn w:val="Normalny"/>
    <w:uiPriority w:val="98"/>
    <w:semiHidden/>
    <w:rsid w:val="00FC7CBA"/>
    <w:pPr>
      <w:ind w:left="566" w:hanging="283"/>
      <w:contextualSpacing/>
    </w:pPr>
  </w:style>
  <w:style w:type="paragraph" w:styleId="Lista3">
    <w:name w:val="List 3"/>
    <w:basedOn w:val="Normalny"/>
    <w:uiPriority w:val="98"/>
    <w:semiHidden/>
    <w:rsid w:val="00FC7CBA"/>
    <w:pPr>
      <w:ind w:left="849" w:hanging="283"/>
      <w:contextualSpacing/>
    </w:pPr>
  </w:style>
  <w:style w:type="paragraph" w:styleId="Lista4">
    <w:name w:val="List 4"/>
    <w:basedOn w:val="Normalny"/>
    <w:uiPriority w:val="98"/>
    <w:semiHidden/>
    <w:rsid w:val="00FC7CBA"/>
    <w:pPr>
      <w:ind w:left="1132" w:hanging="283"/>
      <w:contextualSpacing/>
    </w:pPr>
  </w:style>
  <w:style w:type="paragraph" w:styleId="Lista5">
    <w:name w:val="List 5"/>
    <w:basedOn w:val="Normalny"/>
    <w:uiPriority w:val="98"/>
    <w:semiHidden/>
    <w:rsid w:val="00FC7CBA"/>
    <w:pPr>
      <w:ind w:left="1415" w:hanging="283"/>
      <w:contextualSpacing/>
    </w:pPr>
  </w:style>
  <w:style w:type="paragraph" w:styleId="Listapunktowana2">
    <w:name w:val="List Bullet 2"/>
    <w:basedOn w:val="Normalny"/>
    <w:uiPriority w:val="98"/>
    <w:semiHidden/>
    <w:rsid w:val="00FC7CBA"/>
    <w:pPr>
      <w:numPr>
        <w:numId w:val="7"/>
      </w:numPr>
      <w:contextualSpacing/>
    </w:pPr>
  </w:style>
  <w:style w:type="paragraph" w:styleId="Listapunktowana4">
    <w:name w:val="List Bullet 4"/>
    <w:basedOn w:val="Normalny"/>
    <w:uiPriority w:val="98"/>
    <w:semiHidden/>
    <w:rsid w:val="00FC7CBA"/>
    <w:pPr>
      <w:numPr>
        <w:numId w:val="9"/>
      </w:numPr>
      <w:contextualSpacing/>
    </w:pPr>
  </w:style>
  <w:style w:type="paragraph" w:styleId="Listapunktowana5">
    <w:name w:val="List Bullet 5"/>
    <w:basedOn w:val="Normalny"/>
    <w:uiPriority w:val="98"/>
    <w:semiHidden/>
    <w:rsid w:val="00FC7CBA"/>
    <w:pPr>
      <w:numPr>
        <w:numId w:val="10"/>
      </w:numPr>
      <w:contextualSpacing/>
    </w:pPr>
  </w:style>
  <w:style w:type="paragraph" w:styleId="Lista-kontynuacja">
    <w:name w:val="List Continue"/>
    <w:basedOn w:val="Normalny"/>
    <w:uiPriority w:val="98"/>
    <w:semiHidden/>
    <w:rsid w:val="00FC7CBA"/>
    <w:pPr>
      <w:spacing w:after="120"/>
      <w:ind w:left="283"/>
      <w:contextualSpacing/>
    </w:pPr>
  </w:style>
  <w:style w:type="paragraph" w:styleId="Lista-kontynuacja2">
    <w:name w:val="List Continue 2"/>
    <w:basedOn w:val="Normalny"/>
    <w:uiPriority w:val="98"/>
    <w:semiHidden/>
    <w:rsid w:val="00FC7CBA"/>
    <w:pPr>
      <w:spacing w:after="120"/>
      <w:ind w:left="566"/>
      <w:contextualSpacing/>
    </w:pPr>
  </w:style>
  <w:style w:type="paragraph" w:styleId="Lista-kontynuacja3">
    <w:name w:val="List Continue 3"/>
    <w:basedOn w:val="Normalny"/>
    <w:uiPriority w:val="98"/>
    <w:semiHidden/>
    <w:rsid w:val="00FC7CBA"/>
    <w:pPr>
      <w:spacing w:after="120"/>
      <w:ind w:left="849"/>
      <w:contextualSpacing/>
    </w:pPr>
  </w:style>
  <w:style w:type="paragraph" w:styleId="Lista-kontynuacja4">
    <w:name w:val="List Continue 4"/>
    <w:basedOn w:val="Normalny"/>
    <w:uiPriority w:val="98"/>
    <w:semiHidden/>
    <w:rsid w:val="00FC7CBA"/>
    <w:pPr>
      <w:spacing w:after="120"/>
      <w:ind w:left="1132"/>
      <w:contextualSpacing/>
    </w:pPr>
  </w:style>
  <w:style w:type="paragraph" w:styleId="Lista-kontynuacja5">
    <w:name w:val="List Continue 5"/>
    <w:basedOn w:val="Normalny"/>
    <w:uiPriority w:val="98"/>
    <w:semiHidden/>
    <w:rsid w:val="00FC7CBA"/>
    <w:pPr>
      <w:spacing w:after="120"/>
      <w:ind w:left="1415"/>
      <w:contextualSpacing/>
    </w:pPr>
  </w:style>
  <w:style w:type="paragraph" w:styleId="Listanumerowana">
    <w:name w:val="List Number"/>
    <w:basedOn w:val="Normalny"/>
    <w:uiPriority w:val="98"/>
    <w:semiHidden/>
    <w:rsid w:val="00FC7CBA"/>
    <w:pPr>
      <w:numPr>
        <w:numId w:val="11"/>
      </w:numPr>
      <w:contextualSpacing/>
    </w:pPr>
  </w:style>
  <w:style w:type="paragraph" w:styleId="Listanumerowana2">
    <w:name w:val="List Number 2"/>
    <w:basedOn w:val="Normalny"/>
    <w:uiPriority w:val="98"/>
    <w:semiHidden/>
    <w:rsid w:val="00FC7CBA"/>
    <w:pPr>
      <w:numPr>
        <w:numId w:val="12"/>
      </w:numPr>
      <w:contextualSpacing/>
    </w:pPr>
  </w:style>
  <w:style w:type="paragraph" w:styleId="Listanumerowana3">
    <w:name w:val="List Number 3"/>
    <w:basedOn w:val="Normalny"/>
    <w:uiPriority w:val="98"/>
    <w:semiHidden/>
    <w:rsid w:val="00FC7CBA"/>
    <w:pPr>
      <w:numPr>
        <w:numId w:val="13"/>
      </w:numPr>
      <w:contextualSpacing/>
    </w:pPr>
  </w:style>
  <w:style w:type="paragraph" w:styleId="Listanumerowana4">
    <w:name w:val="List Number 4"/>
    <w:basedOn w:val="Normalny"/>
    <w:uiPriority w:val="98"/>
    <w:semiHidden/>
    <w:rsid w:val="00FC7CBA"/>
    <w:pPr>
      <w:numPr>
        <w:numId w:val="14"/>
      </w:numPr>
      <w:contextualSpacing/>
    </w:pPr>
  </w:style>
  <w:style w:type="paragraph" w:styleId="Listanumerowana5">
    <w:name w:val="List Number 5"/>
    <w:basedOn w:val="Normalny"/>
    <w:uiPriority w:val="98"/>
    <w:semiHidden/>
    <w:rsid w:val="00FC7CBA"/>
    <w:pPr>
      <w:numPr>
        <w:numId w:val="15"/>
      </w:numPr>
      <w:contextualSpacing/>
    </w:pPr>
  </w:style>
  <w:style w:type="paragraph" w:styleId="Tekstmakra">
    <w:name w:val="macro"/>
    <w:link w:val="TekstmakraZnak"/>
    <w:uiPriority w:val="98"/>
    <w:semiHidden/>
    <w:rsid w:val="00FC7CB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FC7CBA"/>
    <w:rPr>
      <w:rFonts w:ascii="Consolas" w:eastAsiaTheme="minorEastAsia" w:hAnsi="Consolas" w:cs="Consolas"/>
      <w:sz w:val="20"/>
      <w:szCs w:val="20"/>
    </w:rPr>
  </w:style>
  <w:style w:type="table" w:styleId="redniasiatka1">
    <w:name w:val="Medium Grid 1"/>
    <w:basedOn w:val="Standardowy"/>
    <w:uiPriority w:val="67"/>
    <w:semiHidden/>
    <w:rsid w:val="00FC7CB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FC7CB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FC7CB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FC7CB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FC7CB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FC7CB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FC7CB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FC7C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FC7CB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FC7CB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FC7CB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FC7CB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FC7CB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FC7CB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FC7CB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FC7CB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FC7CB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FC7CB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FC7CB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FC7CB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FC7CB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FC7CB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FC7CB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FC7C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FC7CB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FC7CBA"/>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FC7CBA"/>
    <w:rPr>
      <w:rFonts w:ascii="Times New Roman" w:hAnsi="Times New Roman" w:cs="Times New Roman"/>
    </w:rPr>
  </w:style>
  <w:style w:type="paragraph" w:styleId="Wcicienormalne">
    <w:name w:val="Normal Indent"/>
    <w:basedOn w:val="Normalny"/>
    <w:uiPriority w:val="98"/>
    <w:semiHidden/>
    <w:rsid w:val="00FC7CBA"/>
    <w:pPr>
      <w:ind w:left="720"/>
    </w:pPr>
  </w:style>
  <w:style w:type="paragraph" w:styleId="Nagweknotatki">
    <w:name w:val="Note Heading"/>
    <w:basedOn w:val="Normalny"/>
    <w:next w:val="Normalny"/>
    <w:link w:val="NagweknotatkiZnak"/>
    <w:uiPriority w:val="98"/>
    <w:semiHidden/>
    <w:rsid w:val="00FC7CBA"/>
  </w:style>
  <w:style w:type="character" w:customStyle="1" w:styleId="NagweknotatkiZnak">
    <w:name w:val="Nagłówek notatki Znak"/>
    <w:basedOn w:val="Domylnaczcionkaakapitu"/>
    <w:link w:val="Nagweknotatki"/>
    <w:uiPriority w:val="98"/>
    <w:semiHidden/>
    <w:rsid w:val="00FC7CBA"/>
    <w:rPr>
      <w:sz w:val="24"/>
      <w:szCs w:val="24"/>
      <w:lang w:val="en-GB"/>
    </w:rPr>
  </w:style>
  <w:style w:type="character" w:styleId="Tekstzastpczy">
    <w:name w:val="Placeholder Text"/>
    <w:basedOn w:val="Domylnaczcionkaakapitu"/>
    <w:uiPriority w:val="98"/>
    <w:semiHidden/>
    <w:rsid w:val="00FC7CB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FC7CB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FC7CBA"/>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FC7CBA"/>
  </w:style>
  <w:style w:type="character" w:customStyle="1" w:styleId="ZwrotgrzecznociowyZnak">
    <w:name w:val="Zwrot grzecznościowy Znak"/>
    <w:basedOn w:val="Domylnaczcionkaakapitu"/>
    <w:link w:val="Zwrotgrzecznociowy"/>
    <w:uiPriority w:val="98"/>
    <w:semiHidden/>
    <w:rsid w:val="00FC7CBA"/>
    <w:rPr>
      <w:sz w:val="24"/>
      <w:szCs w:val="24"/>
      <w:lang w:val="en-GB"/>
    </w:rPr>
  </w:style>
  <w:style w:type="paragraph" w:styleId="Podpis">
    <w:name w:val="Signature"/>
    <w:basedOn w:val="Normalny"/>
    <w:link w:val="PodpisZnak"/>
    <w:uiPriority w:val="98"/>
    <w:semiHidden/>
    <w:rsid w:val="00FC7CBA"/>
    <w:pPr>
      <w:ind w:left="4252"/>
    </w:pPr>
  </w:style>
  <w:style w:type="character" w:customStyle="1" w:styleId="PodpisZnak">
    <w:name w:val="Podpis Znak"/>
    <w:basedOn w:val="Domylnaczcionkaakapitu"/>
    <w:link w:val="Podpis"/>
    <w:uiPriority w:val="98"/>
    <w:semiHidden/>
    <w:rsid w:val="00FC7CBA"/>
    <w:rPr>
      <w:sz w:val="24"/>
      <w:szCs w:val="24"/>
      <w:lang w:val="en-GB"/>
    </w:rPr>
  </w:style>
  <w:style w:type="table" w:styleId="Tabela-Efekty3D1">
    <w:name w:val="Table 3D effects 1"/>
    <w:basedOn w:val="Standardowy"/>
    <w:uiPriority w:val="99"/>
    <w:semiHidden/>
    <w:unhideWhenUsed/>
    <w:rsid w:val="00FC7CB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FC7CB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FC7CB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FC7CB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FC7CB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FC7CB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FC7CB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a1">
    <w:name w:val="Table Colorful 1"/>
    <w:basedOn w:val="Standardowy"/>
    <w:uiPriority w:val="99"/>
    <w:semiHidden/>
    <w:unhideWhenUsed/>
    <w:rsid w:val="00FC7CB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a2">
    <w:name w:val="Table Colorful 2"/>
    <w:basedOn w:val="Standardowy"/>
    <w:uiPriority w:val="99"/>
    <w:semiHidden/>
    <w:unhideWhenUsed/>
    <w:rsid w:val="00FC7CB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a3">
    <w:name w:val="Table Colorful 3"/>
    <w:basedOn w:val="Standardowy"/>
    <w:uiPriority w:val="99"/>
    <w:semiHidden/>
    <w:unhideWhenUsed/>
    <w:rsid w:val="00FC7CB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FC7CB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FC7CB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FC7CB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FC7CB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FC7CB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FC7CB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FC7CB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FC7C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FC7CB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FC7CB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FC7CB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FC7CB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FC7CB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FC7CB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FC7CB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C7CB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FC7CB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FC7CB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FC7CB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FC7C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FC7CB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FC7CB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FC7CB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FC7CBA"/>
    <w:pPr>
      <w:ind w:left="240" w:hanging="240"/>
    </w:pPr>
  </w:style>
  <w:style w:type="paragraph" w:styleId="Spisilustracji">
    <w:name w:val="table of figures"/>
    <w:basedOn w:val="Normalny"/>
    <w:next w:val="Normalny"/>
    <w:uiPriority w:val="98"/>
    <w:semiHidden/>
    <w:rsid w:val="00FC7CBA"/>
  </w:style>
  <w:style w:type="table" w:styleId="Tabela-Profesjonalny">
    <w:name w:val="Table Professional"/>
    <w:basedOn w:val="Standardowy"/>
    <w:uiPriority w:val="99"/>
    <w:semiHidden/>
    <w:unhideWhenUsed/>
    <w:rsid w:val="00FC7C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FC7CB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FC7CB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FC7CB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FC7CB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FC7CB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FC7CB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FC7CB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FC7CB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FC7CB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FC7CB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FC7CB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FC7CBA"/>
    <w:pPr>
      <w:spacing w:after="100"/>
      <w:ind w:left="1680"/>
    </w:pPr>
  </w:style>
  <w:style w:type="paragraph" w:styleId="Spistreci9">
    <w:name w:val="toc 9"/>
    <w:basedOn w:val="Normalny"/>
    <w:next w:val="Normalny"/>
    <w:autoRedefine/>
    <w:uiPriority w:val="98"/>
    <w:semiHidden/>
    <w:rsid w:val="00FC7CB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FC7CB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C7CB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FC7CB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FC7CB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C7CBA"/>
    <w:pPr>
      <w:numPr>
        <w:numId w:val="19"/>
      </w:numPr>
      <w:spacing w:before="60" w:after="60"/>
    </w:pPr>
  </w:style>
  <w:style w:type="paragraph" w:customStyle="1" w:styleId="ECHRBullet2">
    <w:name w:val="ECHR_Bullet_2"/>
    <w:aliases w:val="_Bul_2"/>
    <w:basedOn w:val="ECHRBullet1"/>
    <w:uiPriority w:val="23"/>
    <w:semiHidden/>
    <w:rsid w:val="00FC7CBA"/>
    <w:pPr>
      <w:numPr>
        <w:ilvl w:val="1"/>
      </w:numPr>
    </w:pPr>
  </w:style>
  <w:style w:type="paragraph" w:customStyle="1" w:styleId="ECHRBullet3">
    <w:name w:val="ECHR_Bullet_3"/>
    <w:aliases w:val="_Bul_3"/>
    <w:basedOn w:val="ECHRBullet2"/>
    <w:uiPriority w:val="23"/>
    <w:semiHidden/>
    <w:rsid w:val="00FC7CBA"/>
    <w:pPr>
      <w:numPr>
        <w:ilvl w:val="2"/>
      </w:numPr>
    </w:pPr>
  </w:style>
  <w:style w:type="paragraph" w:customStyle="1" w:styleId="ECHRBullet4">
    <w:name w:val="ECHR_Bullet_4"/>
    <w:aliases w:val="_Bul_4"/>
    <w:basedOn w:val="ECHRBullet3"/>
    <w:uiPriority w:val="23"/>
    <w:semiHidden/>
    <w:rsid w:val="00FC7CBA"/>
    <w:pPr>
      <w:numPr>
        <w:ilvl w:val="3"/>
      </w:numPr>
    </w:pPr>
  </w:style>
  <w:style w:type="paragraph" w:customStyle="1" w:styleId="ECHRConfidential">
    <w:name w:val="ECHR_Confidential"/>
    <w:aliases w:val="_Confidential"/>
    <w:basedOn w:val="Normalny"/>
    <w:next w:val="Normalny"/>
    <w:uiPriority w:val="42"/>
    <w:semiHidden/>
    <w:qFormat/>
    <w:rsid w:val="00FC7CBA"/>
    <w:pPr>
      <w:jc w:val="right"/>
    </w:pPr>
    <w:rPr>
      <w:color w:val="C00000"/>
      <w:sz w:val="20"/>
    </w:rPr>
  </w:style>
  <w:style w:type="paragraph" w:customStyle="1" w:styleId="ECHRDecisionBody">
    <w:name w:val="ECHR_Decision_Body"/>
    <w:aliases w:val="_Decision_Body"/>
    <w:basedOn w:val="NormalJustified"/>
    <w:uiPriority w:val="54"/>
    <w:semiHidden/>
    <w:rsid w:val="00FC7CB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FC7CB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FC7CBA"/>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FC7CB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FC7CBA"/>
    <w:pPr>
      <w:jc w:val="right"/>
    </w:pPr>
    <w:rPr>
      <w:sz w:val="20"/>
    </w:rPr>
  </w:style>
  <w:style w:type="paragraph" w:customStyle="1" w:styleId="ECHRHeaderRefIt">
    <w:name w:val="ECHR_Header_Ref_It"/>
    <w:aliases w:val="_Ref_Ital"/>
    <w:basedOn w:val="Normalny"/>
    <w:next w:val="ECHRHeaderDate"/>
    <w:uiPriority w:val="43"/>
    <w:qFormat/>
    <w:rsid w:val="00FC7CBA"/>
    <w:pPr>
      <w:jc w:val="right"/>
    </w:pPr>
    <w:rPr>
      <w:i/>
      <w:sz w:val="20"/>
    </w:rPr>
  </w:style>
  <w:style w:type="paragraph" w:customStyle="1" w:styleId="ECHRHeading9">
    <w:name w:val="ECHR_Heading_9"/>
    <w:aliases w:val="_Head_9"/>
    <w:basedOn w:val="Nagwek9"/>
    <w:uiPriority w:val="17"/>
    <w:semiHidden/>
    <w:rsid w:val="00FC7CBA"/>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FC7CB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FC7CBA"/>
    <w:pPr>
      <w:numPr>
        <w:numId w:val="20"/>
      </w:numPr>
      <w:spacing w:before="60" w:after="60"/>
    </w:pPr>
  </w:style>
  <w:style w:type="paragraph" w:customStyle="1" w:styleId="ECHRNumberedList2">
    <w:name w:val="ECHR_Numbered_List_2"/>
    <w:aliases w:val="_Num_2"/>
    <w:basedOn w:val="ECHRNumberedList1"/>
    <w:uiPriority w:val="23"/>
    <w:semiHidden/>
    <w:rsid w:val="00FC7CBA"/>
    <w:pPr>
      <w:numPr>
        <w:ilvl w:val="1"/>
      </w:numPr>
    </w:pPr>
  </w:style>
  <w:style w:type="paragraph" w:customStyle="1" w:styleId="ECHRNumberedList3">
    <w:name w:val="ECHR_Numbered_List_3"/>
    <w:aliases w:val="_Num_3"/>
    <w:basedOn w:val="ECHRNumberedList2"/>
    <w:uiPriority w:val="23"/>
    <w:semiHidden/>
    <w:rsid w:val="00FC7CBA"/>
    <w:pPr>
      <w:numPr>
        <w:ilvl w:val="2"/>
      </w:numPr>
    </w:pPr>
  </w:style>
  <w:style w:type="paragraph" w:customStyle="1" w:styleId="ECHRParaHanging">
    <w:name w:val="ECHR_Para_Hanging"/>
    <w:aliases w:val="_Hanging"/>
    <w:basedOn w:val="NormalJustified"/>
    <w:uiPriority w:val="8"/>
    <w:semiHidden/>
    <w:qFormat/>
    <w:rsid w:val="00FC7CBA"/>
    <w:pPr>
      <w:ind w:left="567" w:hanging="567"/>
    </w:pPr>
  </w:style>
  <w:style w:type="paragraph" w:customStyle="1" w:styleId="ECHRParaIndent">
    <w:name w:val="ECHR_Para_Indent"/>
    <w:aliases w:val="_Indent"/>
    <w:basedOn w:val="NormalJustified"/>
    <w:uiPriority w:val="7"/>
    <w:semiHidden/>
    <w:qFormat/>
    <w:rsid w:val="00FC7CBA"/>
    <w:pPr>
      <w:spacing w:before="120" w:after="120"/>
      <w:ind w:left="284"/>
    </w:pPr>
  </w:style>
  <w:style w:type="character" w:customStyle="1" w:styleId="ECHRRed">
    <w:name w:val="ECHR_Red"/>
    <w:aliases w:val="_Red"/>
    <w:basedOn w:val="Domylnaczcionkaakapitu"/>
    <w:uiPriority w:val="15"/>
    <w:semiHidden/>
    <w:qFormat/>
    <w:rsid w:val="00FC7CBA"/>
    <w:rPr>
      <w:color w:val="C00000" w:themeColor="accent2"/>
    </w:rPr>
  </w:style>
  <w:style w:type="paragraph" w:customStyle="1" w:styleId="DecList">
    <w:name w:val="Dec_List"/>
    <w:aliases w:val="_List"/>
    <w:basedOn w:val="JuList"/>
    <w:uiPriority w:val="22"/>
    <w:rsid w:val="00FC7CBA"/>
    <w:pPr>
      <w:numPr>
        <w:numId w:val="0"/>
      </w:numPr>
      <w:ind w:left="284"/>
    </w:pPr>
  </w:style>
  <w:style w:type="table" w:customStyle="1" w:styleId="ECHRTable2">
    <w:name w:val="ECHR_Table_2"/>
    <w:basedOn w:val="Standardowy"/>
    <w:uiPriority w:val="99"/>
    <w:rsid w:val="00FC7CB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FC7CB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FC7CB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FC7CB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FC7CB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FC7CB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FC7CB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FC7CB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FC7CBA"/>
    <w:pPr>
      <w:outlineLvl w:val="0"/>
    </w:pPr>
  </w:style>
  <w:style w:type="paragraph" w:customStyle="1" w:styleId="ECHRTitleTOC1">
    <w:name w:val="ECHR_Title_TOC_1"/>
    <w:aliases w:val="_Title_L_TOC"/>
    <w:basedOn w:val="ECHRTitle1"/>
    <w:next w:val="Normalny"/>
    <w:uiPriority w:val="27"/>
    <w:semiHidden/>
    <w:qFormat/>
    <w:rsid w:val="00FC7CBA"/>
    <w:pPr>
      <w:outlineLvl w:val="0"/>
    </w:pPr>
  </w:style>
  <w:style w:type="paragraph" w:customStyle="1" w:styleId="ECHRPlaceholder">
    <w:name w:val="ECHR_Placeholder"/>
    <w:aliases w:val="_Placeholder"/>
    <w:basedOn w:val="JuSigned"/>
    <w:uiPriority w:val="31"/>
    <w:rsid w:val="00FC7CBA"/>
    <w:rPr>
      <w:color w:val="FFFFFF"/>
    </w:rPr>
  </w:style>
  <w:style w:type="paragraph" w:customStyle="1" w:styleId="ECHRSpacer">
    <w:name w:val="ECHR_Spacer"/>
    <w:aliases w:val="_Spacer"/>
    <w:basedOn w:val="Normalny"/>
    <w:uiPriority w:val="45"/>
    <w:semiHidden/>
    <w:rsid w:val="00FC7CBA"/>
    <w:rPr>
      <w:sz w:val="4"/>
    </w:rPr>
  </w:style>
  <w:style w:type="table" w:customStyle="1" w:styleId="ECHRTableGrey">
    <w:name w:val="ECHR_Table_Grey"/>
    <w:basedOn w:val="Standardowy"/>
    <w:uiPriority w:val="99"/>
    <w:rsid w:val="00FC7CB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FC7CBA"/>
    <w:rPr>
      <w:color w:val="605E5C"/>
      <w:shd w:val="clear" w:color="auto" w:fill="E1DFDD"/>
    </w:rPr>
  </w:style>
  <w:style w:type="character" w:customStyle="1" w:styleId="JuParaChar">
    <w:name w:val="Ju_Para Char"/>
    <w:aliases w:val="_Para Char"/>
    <w:link w:val="JuPara"/>
    <w:uiPriority w:val="4"/>
    <w:rsid w:val="001C1CE3"/>
    <w:rPr>
      <w:sz w:val="24"/>
      <w:szCs w:val="24"/>
      <w:lang w:val="en-GB"/>
    </w:rPr>
  </w:style>
  <w:style w:type="table" w:styleId="Tabelasiatki1jasna">
    <w:name w:val="Grid Table 1 Light"/>
    <w:basedOn w:val="Standardowy"/>
    <w:uiPriority w:val="46"/>
    <w:semiHidden/>
    <w:rsid w:val="001C1CE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1C1CE3"/>
    <w:pPr>
      <w:numPr>
        <w:ilvl w:val="0"/>
        <w:numId w:val="0"/>
      </w:numPr>
      <w:tabs>
        <w:tab w:val="num" w:pos="1701"/>
      </w:tabs>
      <w:spacing w:before="60" w:after="60" w:line="240" w:lineRule="exact"/>
      <w:ind w:left="1703" w:hanging="284"/>
      <w:contextualSpacing/>
    </w:pPr>
    <w:rPr>
      <w:sz w:val="22"/>
      <w:lang w:val="fr-FR" w:eastAsia="fr-FR"/>
    </w:rPr>
  </w:style>
  <w:style w:type="table" w:styleId="Tabelasiatki1jasnaakcent1">
    <w:name w:val="Grid Table 1 Light Accent 1"/>
    <w:basedOn w:val="Standardowy"/>
    <w:uiPriority w:val="46"/>
    <w:semiHidden/>
    <w:rsid w:val="001C1CE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1C1CE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1C1CE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1C1CE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1C1CE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1C1CE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1C1CE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1C1CE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1C1CE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1C1CE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1C1CE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1C1CE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1C1CE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1C1C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1C1C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1C1C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1C1CE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1C1C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1C1C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1C1C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1C1C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1C1C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1C1C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1C1CE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1C1C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1C1C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1C1C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1C1C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1C1CE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1C1CE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1C1CE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1C1CE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1C1CE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1C1CE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1C1CE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1C1CE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1C1CE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1C1CE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1C1CE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1C1CE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1C1CE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1C1CE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1C1CE3"/>
    <w:rPr>
      <w:color w:val="2B579A"/>
      <w:shd w:val="clear" w:color="auto" w:fill="E1DFDD"/>
    </w:rPr>
  </w:style>
  <w:style w:type="table" w:styleId="Tabelalisty1jasna">
    <w:name w:val="List Table 1 Light"/>
    <w:basedOn w:val="Standardowy"/>
    <w:uiPriority w:val="46"/>
    <w:semiHidden/>
    <w:rsid w:val="001C1CE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1C1CE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1C1CE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1C1CE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1C1CE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1C1CE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1C1CE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1C1CE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1C1CE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1C1CE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1C1CE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1C1CE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1C1CE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1C1CE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1C1CE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1C1CE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1C1CE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1C1CE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1C1CE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1C1CE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1C1CE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1C1CE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1C1CE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1C1CE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1C1CE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1C1CE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1C1CE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1C1CE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1C1CE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1C1CE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1C1CE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1C1CE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1C1CE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1C1CE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1C1CE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1C1CE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1C1CE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1C1CE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1C1CE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1C1CE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1C1CE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1C1CE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1C1CE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1C1CE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1C1CE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1C1CE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1C1CE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1C1CE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1C1CE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1C1CE3"/>
    <w:rPr>
      <w:color w:val="2B579A"/>
      <w:shd w:val="clear" w:color="auto" w:fill="E1DFDD"/>
    </w:rPr>
  </w:style>
  <w:style w:type="table" w:styleId="Zwykatabela1">
    <w:name w:val="Plain Table 1"/>
    <w:basedOn w:val="Standardowy"/>
    <w:uiPriority w:val="41"/>
    <w:semiHidden/>
    <w:rsid w:val="001C1CE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1C1CE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1C1CE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1C1CE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1C1CE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1C1CE3"/>
    <w:rPr>
      <w:u w:val="dotted"/>
    </w:rPr>
  </w:style>
  <w:style w:type="character" w:styleId="Inteligentnylink">
    <w:name w:val="Smart Link"/>
    <w:basedOn w:val="Domylnaczcionkaakapitu"/>
    <w:uiPriority w:val="99"/>
    <w:semiHidden/>
    <w:unhideWhenUsed/>
    <w:rsid w:val="001C1CE3"/>
    <w:rPr>
      <w:color w:val="0000FF"/>
      <w:u w:val="single"/>
      <w:shd w:val="clear" w:color="auto" w:fill="F3F2F1"/>
    </w:rPr>
  </w:style>
  <w:style w:type="table" w:styleId="Siatkatabelijasna">
    <w:name w:val="Grid Table Light"/>
    <w:basedOn w:val="Standardowy"/>
    <w:uiPriority w:val="40"/>
    <w:semiHidden/>
    <w:rsid w:val="001C1CE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1C1CE3"/>
    <w:rPr>
      <w:sz w:val="24"/>
      <w:szCs w:val="24"/>
      <w:lang w:val="en-GB"/>
    </w:rPr>
  </w:style>
  <w:style w:type="paragraph" w:customStyle="1" w:styleId="jupara0">
    <w:name w:val="jupara"/>
    <w:basedOn w:val="Normalny"/>
    <w:rsid w:val="00F8752A"/>
    <w:pPr>
      <w:ind w:firstLine="284"/>
      <w:jc w:val="both"/>
    </w:pPr>
    <w:rPr>
      <w:rFonts w:ascii="Times New Roman" w:eastAsia="Times New Roman" w:hAnsi="Times New Roman" w:cs="Times New Roman"/>
      <w:lang w:eastAsia="en-GB"/>
    </w:rPr>
  </w:style>
  <w:style w:type="paragraph" w:customStyle="1" w:styleId="jucase0">
    <w:name w:val="jucase"/>
    <w:basedOn w:val="Normalny"/>
    <w:rsid w:val="00F8752A"/>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11092</Words>
  <Characters>66557</Characters>
  <Application>Microsoft Office Word</Application>
  <DocSecurity>0</DocSecurity>
  <Lines>554</Lines>
  <Paragraphs>154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2026-04-13T13:03:00Z</dcterms:created>
  <dcterms:modified xsi:type="dcterms:W3CDTF">2026-07-30T14:02:00Z</dcterms:modified>
  <cp:category/>
</cp:coreProperties>
</file>