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57FE3" w14:textId="77777777" w:rsidR="0098410D" w:rsidRPr="005F28E3" w:rsidRDefault="0098410D" w:rsidP="005F28E3">
      <w:pPr>
        <w:jc w:val="center"/>
      </w:pPr>
    </w:p>
    <w:p w14:paraId="116802CE" w14:textId="77777777" w:rsidR="0098410D" w:rsidRPr="005F28E3" w:rsidRDefault="00D7687C" w:rsidP="005F28E3">
      <w:pPr>
        <w:pStyle w:val="DecHTitle"/>
        <w:keepNext w:val="0"/>
        <w:keepLines w:val="0"/>
      </w:pPr>
      <w:r>
        <w:t>SEKCJA PIĄTA</w:t>
      </w:r>
    </w:p>
    <w:p w14:paraId="5E405C6B" w14:textId="77777777" w:rsidR="008E6217" w:rsidRPr="005F28E3" w:rsidRDefault="00D7687C" w:rsidP="005F28E3">
      <w:pPr>
        <w:pStyle w:val="JuTitle"/>
        <w:keepNext w:val="0"/>
        <w:keepLines w:val="0"/>
      </w:pPr>
      <w:r>
        <w:rPr>
          <w:color w:val="000000" w:themeColor="text1"/>
        </w:rPr>
        <w:t xml:space="preserve">SPRAWA </w:t>
      </w:r>
      <w:r>
        <w:t xml:space="preserve">ORTEGA </w:t>
      </w:r>
      <w:proofErr w:type="spellStart"/>
      <w:r>
        <w:t>ORTEGA</w:t>
      </w:r>
      <w:proofErr w:type="spellEnd"/>
      <w:r>
        <w:t xml:space="preserve"> przeciwko HISZPANII</w:t>
      </w:r>
    </w:p>
    <w:p w14:paraId="66266EED" w14:textId="77777777" w:rsidR="00D74888" w:rsidRPr="005F28E3" w:rsidRDefault="00D7687C" w:rsidP="005F28E3">
      <w:pPr>
        <w:pStyle w:val="ECHRCoverTitle4"/>
        <w:keepNext w:val="0"/>
        <w:keepLines w:val="0"/>
      </w:pPr>
      <w:r>
        <w:t>(skarga nr 36325/22)</w:t>
      </w:r>
    </w:p>
    <w:p w14:paraId="6B7A762D" w14:textId="77777777" w:rsidR="0098410D" w:rsidRPr="005F28E3" w:rsidRDefault="0098410D" w:rsidP="005F28E3">
      <w:pPr>
        <w:pStyle w:val="DecHCase"/>
        <w:keepNext w:val="0"/>
        <w:keepLines w:val="0"/>
      </w:pPr>
    </w:p>
    <w:p w14:paraId="541494C2" w14:textId="77777777" w:rsidR="0098410D" w:rsidRPr="005F28E3" w:rsidRDefault="00D7687C" w:rsidP="005F28E3">
      <w:pPr>
        <w:pStyle w:val="DecHCase"/>
        <w:keepNext w:val="0"/>
        <w:keepLines w:val="0"/>
      </w:pPr>
      <w:r>
        <w:t>WYROK</w:t>
      </w:r>
    </w:p>
    <w:p w14:paraId="349BAC6C" w14:textId="77777777" w:rsidR="008C49C4" w:rsidRPr="005F28E3" w:rsidRDefault="00D7687C" w:rsidP="005F28E3">
      <w:pPr>
        <w:pBdr>
          <w:top w:val="single" w:sz="4" w:space="1" w:color="auto"/>
          <w:left w:val="single" w:sz="4" w:space="4" w:color="auto"/>
          <w:bottom w:val="single" w:sz="4" w:space="1" w:color="auto"/>
          <w:right w:val="single" w:sz="4" w:space="4" w:color="auto"/>
        </w:pBdr>
        <w:jc w:val="both"/>
        <w:rPr>
          <w:sz w:val="20"/>
          <w:szCs w:val="20"/>
        </w:rPr>
      </w:pPr>
      <w:r>
        <w:rPr>
          <w:sz w:val="20"/>
        </w:rPr>
        <w:t>Art. 14 (+ art. 8) - Dyskryminacja - Pozytywne obowiązki - Utrzymanie przez sądy krajowe decyzji o zwolnieniu skarżącej, która miała stanowić odwet za skuteczne dochodzenie roszczenia dotyczącego dyskryminacji płacowej ze względu na płeć - Zwolnienie ze względu na ujawnienie informacji o wynagrodzeniach przez skarżącą będącą kierownikiem działu finansowego - Pozytywny obowiązek państw polegający na zapewnieniu skutecznej ochrony przed odwetem ze strony pracodawców w następstwie dochodzenia roszczeń z tytułu dyskryminacji ze względu na płeć - Wadliwość podejścia sądów krajowych - Brak uwzględnienia skutku, że zwolnienie skarżącej oznaczało naruszenie ochrony przed dyskryminacją ze względu na płeć zapewnionej jej w odrębnym postępowaniu - Nieprzypisanie odpowiedniej wagi kontekstowi uporczywej dyskryminacji ze względu na płeć wobec skarżącej i jej bezskutecznych prób położenia temu kresu wewnętrznie - Nieprzypisanie odpowiedniej wagi celowi ujawnienia prywatnych informacji i niezwrócenie uwagi na ograniczony wpływ tego ujawnienia - Nieprzypisanie odpowiedniej wagi surowości środka, który mógłby wskazywać na motyw odwetowy - Niewystarczające powody podane w uzasadnieniu utrzymania w mocy decyzji o zwolnieniu w świetle okoliczności sprawy - Niewykonanie pozytywnych obowiązków polegających na zapewnieniu skutecznej ochrony przed dyskryminacją ze względu na płeć w kontekście zatrudnienia i równego wynagrodzenia</w:t>
      </w:r>
    </w:p>
    <w:p w14:paraId="53326BD2" w14:textId="77777777" w:rsidR="008C49C4" w:rsidRPr="005F28E3" w:rsidRDefault="008C49C4" w:rsidP="005F28E3">
      <w:pPr>
        <w:pBdr>
          <w:top w:val="single" w:sz="4" w:space="1" w:color="auto"/>
          <w:left w:val="single" w:sz="4" w:space="4" w:color="auto"/>
          <w:bottom w:val="single" w:sz="4" w:space="1" w:color="auto"/>
          <w:right w:val="single" w:sz="4" w:space="4" w:color="auto"/>
        </w:pBdr>
        <w:jc w:val="center"/>
        <w:rPr>
          <w:sz w:val="16"/>
          <w:szCs w:val="16"/>
        </w:rPr>
      </w:pPr>
    </w:p>
    <w:p w14:paraId="505F4728" w14:textId="024BC91F" w:rsidR="008C49C4" w:rsidRPr="005F28E3" w:rsidRDefault="00FC3C71" w:rsidP="005F28E3">
      <w:pPr>
        <w:pBdr>
          <w:top w:val="single" w:sz="4" w:space="1" w:color="auto"/>
          <w:left w:val="single" w:sz="4" w:space="4" w:color="auto"/>
          <w:bottom w:val="single" w:sz="4" w:space="1" w:color="auto"/>
          <w:right w:val="single" w:sz="4" w:space="4" w:color="auto"/>
        </w:pBdr>
        <w:jc w:val="center"/>
        <w:rPr>
          <w:sz w:val="16"/>
          <w:szCs w:val="16"/>
        </w:rPr>
      </w:pPr>
      <w:r>
        <w:rPr>
          <w:sz w:val="16"/>
        </w:rPr>
        <w:t>Streszczenie przygotowała Kancelaria</w:t>
      </w:r>
      <w:r w:rsidR="00DA5AEB">
        <w:rPr>
          <w:sz w:val="16"/>
        </w:rPr>
        <w:t xml:space="preserve"> Trybunału</w:t>
      </w:r>
      <w:r w:rsidR="00D7687C">
        <w:rPr>
          <w:sz w:val="16"/>
        </w:rPr>
        <w:t xml:space="preserve">. Nie </w:t>
      </w:r>
      <w:r>
        <w:rPr>
          <w:sz w:val="16"/>
        </w:rPr>
        <w:t xml:space="preserve">jest wiążące </w:t>
      </w:r>
      <w:r w:rsidR="00DA5AEB">
        <w:rPr>
          <w:sz w:val="16"/>
        </w:rPr>
        <w:t>dla</w:t>
      </w:r>
      <w:r w:rsidR="00A83B6C">
        <w:rPr>
          <w:sz w:val="16"/>
        </w:rPr>
        <w:t xml:space="preserve"> </w:t>
      </w:r>
      <w:r w:rsidR="00D7687C">
        <w:rPr>
          <w:sz w:val="16"/>
        </w:rPr>
        <w:t>Trybunału.</w:t>
      </w:r>
    </w:p>
    <w:p w14:paraId="7239AAA3" w14:textId="77777777" w:rsidR="008C49C4" w:rsidRPr="005F28E3" w:rsidRDefault="008C49C4" w:rsidP="005F28E3">
      <w:pPr>
        <w:pStyle w:val="DecHCase"/>
        <w:keepNext w:val="0"/>
        <w:keepLines w:val="0"/>
      </w:pPr>
    </w:p>
    <w:p w14:paraId="295418A4" w14:textId="77777777" w:rsidR="0098410D" w:rsidRPr="005F28E3" w:rsidRDefault="00D7687C" w:rsidP="005F28E3">
      <w:pPr>
        <w:pStyle w:val="DecHCase"/>
        <w:keepNext w:val="0"/>
        <w:keepLines w:val="0"/>
      </w:pPr>
      <w:r>
        <w:t>STRASBURG</w:t>
      </w:r>
    </w:p>
    <w:p w14:paraId="1A4214F0" w14:textId="77777777" w:rsidR="0098410D" w:rsidRPr="005F28E3" w:rsidRDefault="00D7687C" w:rsidP="005F28E3">
      <w:pPr>
        <w:pStyle w:val="DecHCase"/>
        <w:keepNext w:val="0"/>
        <w:keepLines w:val="0"/>
      </w:pPr>
      <w:r>
        <w:rPr>
          <w:rFonts w:ascii="Times New Roman" w:hAnsi="Times New Roman"/>
        </w:rPr>
        <w:t>4 grudnia 2025 r.</w:t>
      </w:r>
    </w:p>
    <w:p w14:paraId="7429E7FE" w14:textId="77777777" w:rsidR="00AC4CD4" w:rsidRPr="005F28E3" w:rsidRDefault="00AC4CD4" w:rsidP="005F28E3">
      <w:pPr>
        <w:pStyle w:val="JuPara"/>
      </w:pPr>
    </w:p>
    <w:p w14:paraId="06B5ECF2" w14:textId="2296920F" w:rsidR="002422B6" w:rsidRPr="005F28E3" w:rsidRDefault="007C0B85" w:rsidP="005F28E3">
      <w:pPr>
        <w:rPr>
          <w:i/>
          <w:sz w:val="22"/>
        </w:rPr>
      </w:pPr>
      <w:r>
        <w:rPr>
          <w:i/>
          <w:sz w:val="22"/>
        </w:rPr>
        <w:lastRenderedPageBreak/>
        <w:t>Niniejszy w</w:t>
      </w:r>
      <w:r w:rsidR="00D7687C">
        <w:rPr>
          <w:i/>
          <w:sz w:val="22"/>
        </w:rPr>
        <w:t xml:space="preserve">yrok stanie się ostateczny </w:t>
      </w:r>
      <w:r w:rsidR="00FC3C71">
        <w:rPr>
          <w:i/>
          <w:sz w:val="22"/>
        </w:rPr>
        <w:t>na podstawie</w:t>
      </w:r>
      <w:r w:rsidR="00D7687C">
        <w:rPr>
          <w:i/>
          <w:sz w:val="22"/>
        </w:rPr>
        <w:t xml:space="preserve"> art. 44 ust. 2 Konwencji. </w:t>
      </w:r>
      <w:r w:rsidR="00FC3C71">
        <w:rPr>
          <w:i/>
          <w:sz w:val="22"/>
        </w:rPr>
        <w:t>Wyrok m</w:t>
      </w:r>
      <w:r w:rsidR="00D7687C">
        <w:rPr>
          <w:i/>
          <w:sz w:val="22"/>
        </w:rPr>
        <w:t>oże podlegać korekcie wydawniczej.</w:t>
      </w:r>
    </w:p>
    <w:p w14:paraId="0C4FA229" w14:textId="77777777" w:rsidR="0098410D" w:rsidRPr="005F28E3" w:rsidRDefault="0098410D" w:rsidP="005F28E3">
      <w:pPr>
        <w:sectPr w:rsidR="0098410D" w:rsidRPr="005F28E3"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60CB2BE" w14:textId="77777777" w:rsidR="0098410D" w:rsidRPr="005F28E3" w:rsidRDefault="00D7687C" w:rsidP="005F28E3">
      <w:pPr>
        <w:pStyle w:val="JuCase"/>
      </w:pPr>
      <w:r>
        <w:lastRenderedPageBreak/>
        <w:t xml:space="preserve">W sprawie Ortega </w:t>
      </w:r>
      <w:proofErr w:type="spellStart"/>
      <w:r>
        <w:t>Ortega</w:t>
      </w:r>
      <w:proofErr w:type="spellEnd"/>
      <w:r>
        <w:t xml:space="preserve"> przeciwko Hiszpanii,</w:t>
      </w:r>
    </w:p>
    <w:p w14:paraId="1032178A" w14:textId="77777777" w:rsidR="009F4C8F" w:rsidRPr="005F28E3" w:rsidRDefault="00D7687C" w:rsidP="005F28E3">
      <w:pPr>
        <w:pStyle w:val="JuPara"/>
      </w:pPr>
      <w:r>
        <w:t>Europejski Trybunał Praw Człowieka (Sekcja Piąta), zasiadając jako Izba w składzie:</w:t>
      </w:r>
    </w:p>
    <w:p w14:paraId="6CBDCDEA" w14:textId="3D3218E7" w:rsidR="00A92625" w:rsidRPr="005F28E3" w:rsidRDefault="00D7687C" w:rsidP="005F28E3">
      <w:pPr>
        <w:pStyle w:val="JuJudges"/>
      </w:pPr>
      <w:r>
        <w:tab/>
      </w:r>
      <w:proofErr w:type="spellStart"/>
      <w:r>
        <w:t>Kateřina</w:t>
      </w:r>
      <w:proofErr w:type="spellEnd"/>
      <w:r>
        <w:t xml:space="preserve"> </w:t>
      </w:r>
      <w:proofErr w:type="spellStart"/>
      <w:r>
        <w:t>Šimáčková</w:t>
      </w:r>
      <w:proofErr w:type="spellEnd"/>
      <w:r>
        <w:rPr>
          <w:i/>
        </w:rPr>
        <w:t xml:space="preserve">, </w:t>
      </w:r>
      <w:r w:rsidR="00A83B6C">
        <w:rPr>
          <w:i/>
        </w:rPr>
        <w:t>P</w:t>
      </w:r>
      <w:r>
        <w:rPr>
          <w:i/>
        </w:rPr>
        <w:t>rzewodnicząca</w:t>
      </w:r>
      <w:r>
        <w:t>,</w:t>
      </w:r>
      <w:r>
        <w:br/>
      </w:r>
      <w:r>
        <w:tab/>
      </w:r>
      <w:proofErr w:type="spellStart"/>
      <w:r>
        <w:t>María</w:t>
      </w:r>
      <w:proofErr w:type="spellEnd"/>
      <w:r>
        <w:t xml:space="preserve"> </w:t>
      </w:r>
      <w:proofErr w:type="spellStart"/>
      <w:r>
        <w:t>Elósegui</w:t>
      </w:r>
      <w:proofErr w:type="spellEnd"/>
      <w:r>
        <w:t>,</w:t>
      </w:r>
      <w:r>
        <w:br/>
      </w:r>
      <w:r>
        <w:tab/>
        <w:t xml:space="preserve">Gilberto </w:t>
      </w:r>
      <w:proofErr w:type="spellStart"/>
      <w:r>
        <w:t>Felici</w:t>
      </w:r>
      <w:proofErr w:type="spellEnd"/>
      <w:r>
        <w:t>,</w:t>
      </w:r>
      <w:r>
        <w:br/>
      </w:r>
      <w:r>
        <w:tab/>
        <w:t xml:space="preserve">Andreas </w:t>
      </w:r>
      <w:proofErr w:type="spellStart"/>
      <w:r>
        <w:t>Zünd</w:t>
      </w:r>
      <w:proofErr w:type="spellEnd"/>
      <w:r>
        <w:t>,</w:t>
      </w:r>
      <w:r>
        <w:br/>
      </w:r>
      <w:r>
        <w:tab/>
        <w:t xml:space="preserve">Diana </w:t>
      </w:r>
      <w:proofErr w:type="spellStart"/>
      <w:r>
        <w:t>Sârcu</w:t>
      </w:r>
      <w:proofErr w:type="spellEnd"/>
      <w:r>
        <w:t>,</w:t>
      </w:r>
      <w:r>
        <w:br/>
      </w:r>
      <w:r>
        <w:tab/>
      </w:r>
      <w:proofErr w:type="spellStart"/>
      <w:r>
        <w:t>Mykola</w:t>
      </w:r>
      <w:proofErr w:type="spellEnd"/>
      <w:r>
        <w:t xml:space="preserve"> </w:t>
      </w:r>
      <w:proofErr w:type="spellStart"/>
      <w:r>
        <w:t>Gnatovskyy</w:t>
      </w:r>
      <w:proofErr w:type="spellEnd"/>
      <w:r>
        <w:t>,</w:t>
      </w:r>
      <w:r>
        <w:br/>
      </w:r>
      <w:r>
        <w:tab/>
      </w:r>
      <w:proofErr w:type="spellStart"/>
      <w:r>
        <w:t>Vahe</w:t>
      </w:r>
      <w:proofErr w:type="spellEnd"/>
      <w:r>
        <w:t xml:space="preserve"> </w:t>
      </w:r>
      <w:proofErr w:type="spellStart"/>
      <w:r>
        <w:t>Grigoryan</w:t>
      </w:r>
      <w:proofErr w:type="spellEnd"/>
      <w:r>
        <w:rPr>
          <w:i/>
        </w:rPr>
        <w:t>, sędziowie</w:t>
      </w:r>
      <w:r>
        <w:t>,</w:t>
      </w:r>
      <w:r>
        <w:br/>
        <w:t xml:space="preserve">oraz Victor </w:t>
      </w:r>
      <w:proofErr w:type="spellStart"/>
      <w:r>
        <w:t>Soloveytchik</w:t>
      </w:r>
      <w:proofErr w:type="spellEnd"/>
      <w:r>
        <w:t xml:space="preserve">, </w:t>
      </w:r>
      <w:r>
        <w:rPr>
          <w:i/>
        </w:rPr>
        <w:t>Kanclerz Sekcji,</w:t>
      </w:r>
    </w:p>
    <w:p w14:paraId="48918078" w14:textId="77777777" w:rsidR="006377D2" w:rsidRPr="005F28E3" w:rsidRDefault="00D7687C" w:rsidP="005F28E3">
      <w:pPr>
        <w:pStyle w:val="JuPara"/>
      </w:pPr>
      <w:r>
        <w:t>mając na uwadze:</w:t>
      </w:r>
    </w:p>
    <w:p w14:paraId="10FA5C2E" w14:textId="77777777" w:rsidR="006377D2" w:rsidRPr="005F28E3" w:rsidRDefault="00D7687C" w:rsidP="005F28E3">
      <w:pPr>
        <w:pStyle w:val="JuPara"/>
      </w:pPr>
      <w:r>
        <w:t xml:space="preserve">skargę (nr 36325/22) przeciwko Królestwu Hiszpanii wniesioną do Trybunału na podstawie art. 34 Konwencji o ochronie praw człowieka i podstawowych wolności („Konwencję”) przez obywatelkę Hiszpanii, panią Marię de la </w:t>
      </w:r>
      <w:proofErr w:type="spellStart"/>
      <w:r>
        <w:t>Peñę</w:t>
      </w:r>
      <w:proofErr w:type="spellEnd"/>
      <w:r>
        <w:t xml:space="preserve"> Ortegę </w:t>
      </w:r>
      <w:proofErr w:type="spellStart"/>
      <w:r>
        <w:t>Ortegę</w:t>
      </w:r>
      <w:proofErr w:type="spellEnd"/>
      <w:r>
        <w:t xml:space="preserve"> („skarżącą”), w dniu 12 lipca 2022 r;</w:t>
      </w:r>
    </w:p>
    <w:p w14:paraId="6FAF095B" w14:textId="77777777" w:rsidR="006377D2" w:rsidRPr="005F28E3" w:rsidRDefault="00D7687C" w:rsidP="005F28E3">
      <w:pPr>
        <w:pStyle w:val="JuPara"/>
      </w:pPr>
      <w:r>
        <w:t>decyzję o zakomunikowaniu sprawy rządowi hiszpańskiemu („rządowi”);</w:t>
      </w:r>
    </w:p>
    <w:p w14:paraId="2906CE30" w14:textId="77777777" w:rsidR="006377D2" w:rsidRPr="005F28E3" w:rsidRDefault="00D7687C" w:rsidP="005F28E3">
      <w:pPr>
        <w:pStyle w:val="JuPara"/>
      </w:pPr>
      <w:r>
        <w:t>uwagi stron;</w:t>
      </w:r>
    </w:p>
    <w:p w14:paraId="0520D119" w14:textId="056E0027" w:rsidR="009F4C8F" w:rsidRPr="005F28E3" w:rsidRDefault="00D34265" w:rsidP="005F28E3">
      <w:pPr>
        <w:pStyle w:val="JuPara"/>
      </w:pPr>
      <w:r>
        <w:t xml:space="preserve">po naradzie </w:t>
      </w:r>
      <w:r w:rsidR="00D7687C">
        <w:t>na posiedzeniu niejawnym w dniu 12 listopada 2025 r.</w:t>
      </w:r>
    </w:p>
    <w:p w14:paraId="57024E66" w14:textId="77777777" w:rsidR="009F4C8F" w:rsidRPr="005F28E3" w:rsidRDefault="00D7687C" w:rsidP="005F28E3">
      <w:pPr>
        <w:pStyle w:val="JuPara"/>
      </w:pPr>
      <w:r>
        <w:t>wydaje następujący wyrok, który w tym dniu został przyjęty:</w:t>
      </w:r>
    </w:p>
    <w:p w14:paraId="0E86803D" w14:textId="77777777" w:rsidR="006377D2" w:rsidRPr="005F28E3" w:rsidRDefault="00D7687C" w:rsidP="005F28E3">
      <w:pPr>
        <w:pStyle w:val="JuHHead"/>
        <w:numPr>
          <w:ilvl w:val="0"/>
          <w:numId w:val="0"/>
        </w:numPr>
      </w:pPr>
      <w:r>
        <w:t>WPROWADZENIE</w:t>
      </w:r>
    </w:p>
    <w:p w14:paraId="58F26E30" w14:textId="3BC10046" w:rsidR="006377D2" w:rsidRPr="005F28E3" w:rsidRDefault="00650006" w:rsidP="005F28E3">
      <w:pPr>
        <w:pStyle w:val="JuPara"/>
      </w:pPr>
      <w:fldSimple w:instr=" SEQ level0 \*arabic \* MERGEFORMAT ">
        <w:r>
          <w:rPr>
            <w:noProof/>
          </w:rPr>
          <w:t>1</w:t>
        </w:r>
      </w:fldSimple>
      <w:r w:rsidR="00D7687C">
        <w:t>.</w:t>
      </w:r>
      <w:r>
        <w:t xml:space="preserve"> </w:t>
      </w:r>
      <w:r w:rsidR="00D7687C">
        <w:t>Skarga dotyczy zarzucanego braku zapewnienia przez sądy krajowe odpowiedniej ochrony przed działaniami odwetowymi w postępowaniu sądowym dotyczącym zwolnienia skarżącej z pracy. Porusza ona kwestie wynikające z art. 8 i 14 Konwencji.</w:t>
      </w:r>
    </w:p>
    <w:p w14:paraId="677A12F5" w14:textId="77777777" w:rsidR="006377D2" w:rsidRPr="005F28E3" w:rsidRDefault="00D7687C" w:rsidP="005F28E3">
      <w:pPr>
        <w:pStyle w:val="JuHHead"/>
      </w:pPr>
      <w:r>
        <w:t>STAN FAKTYCZNY</w:t>
      </w:r>
    </w:p>
    <w:p w14:paraId="513633F1" w14:textId="68087C35" w:rsidR="006377D2" w:rsidRPr="005F28E3" w:rsidRDefault="00650006" w:rsidP="005F28E3">
      <w:pPr>
        <w:pStyle w:val="JuPara"/>
      </w:pPr>
      <w:fldSimple w:instr=" SEQ level0 \*arabic \* MERGEFORMAT ">
        <w:r>
          <w:rPr>
            <w:noProof/>
          </w:rPr>
          <w:t>2</w:t>
        </w:r>
      </w:fldSimple>
      <w:r w:rsidR="00D7687C">
        <w:t>.</w:t>
      </w:r>
      <w:r>
        <w:t xml:space="preserve"> </w:t>
      </w:r>
      <w:r w:rsidR="00D7687C">
        <w:t xml:space="preserve">Skarżąca urodziła się w 1969 r. i mieszka w </w:t>
      </w:r>
      <w:proofErr w:type="spellStart"/>
      <w:r w:rsidR="00D7687C">
        <w:t>Alhaurín</w:t>
      </w:r>
      <w:proofErr w:type="spellEnd"/>
      <w:r w:rsidR="00D7687C">
        <w:t xml:space="preserve"> de la </w:t>
      </w:r>
      <w:proofErr w:type="spellStart"/>
      <w:r w:rsidR="00D7687C">
        <w:t>Torre</w:t>
      </w:r>
      <w:proofErr w:type="spellEnd"/>
      <w:r w:rsidR="00D7687C">
        <w:t xml:space="preserve">. Skarżąca była reprezentowana przez A. Del </w:t>
      </w:r>
      <w:proofErr w:type="spellStart"/>
      <w:r w:rsidR="00D7687C">
        <w:t>Castillo</w:t>
      </w:r>
      <w:proofErr w:type="spellEnd"/>
      <w:r w:rsidR="00D7687C">
        <w:t xml:space="preserve"> Garcię, adwokata praktykującego</w:t>
      </w:r>
      <w:r w:rsidR="00DE1CBB">
        <w:t xml:space="preserve">   </w:t>
      </w:r>
      <w:r w:rsidR="00D7687C">
        <w:t>w Maladze.</w:t>
      </w:r>
    </w:p>
    <w:p w14:paraId="277396D1" w14:textId="361CE8A6" w:rsidR="006377D2" w:rsidRPr="005F28E3" w:rsidRDefault="00650006" w:rsidP="005F28E3">
      <w:pPr>
        <w:pStyle w:val="JuPara"/>
      </w:pPr>
      <w:fldSimple w:instr=" SEQ level0 \*arabic \* MERGEFORMAT ">
        <w:r>
          <w:rPr>
            <w:noProof/>
          </w:rPr>
          <w:t>3</w:t>
        </w:r>
      </w:fldSimple>
      <w:r w:rsidR="00D7687C">
        <w:t>.</w:t>
      </w:r>
      <w:r>
        <w:t xml:space="preserve"> </w:t>
      </w:r>
      <w:r w:rsidR="00D7687C">
        <w:t xml:space="preserve">Rząd był reprezentowany przez </w:t>
      </w:r>
      <w:proofErr w:type="spellStart"/>
      <w:r w:rsidR="00D7687C">
        <w:t>współpełnomocnika</w:t>
      </w:r>
      <w:proofErr w:type="spellEnd"/>
      <w:r w:rsidR="00D7687C">
        <w:t xml:space="preserve">, H.E. </w:t>
      </w:r>
      <w:proofErr w:type="spellStart"/>
      <w:r w:rsidR="00D7687C">
        <w:t>Nicolás</w:t>
      </w:r>
      <w:proofErr w:type="spellEnd"/>
      <w:r w:rsidR="00D7687C">
        <w:t xml:space="preserve"> </w:t>
      </w:r>
      <w:proofErr w:type="spellStart"/>
      <w:r w:rsidR="00D7687C">
        <w:t>Martínez</w:t>
      </w:r>
      <w:proofErr w:type="spellEnd"/>
      <w:r w:rsidR="00D7687C">
        <w:t>.</w:t>
      </w:r>
    </w:p>
    <w:p w14:paraId="186DA9D8" w14:textId="7BB969FE" w:rsidR="006377D2" w:rsidRPr="005F28E3" w:rsidRDefault="00650006" w:rsidP="005F28E3">
      <w:pPr>
        <w:pStyle w:val="JuPara"/>
      </w:pPr>
      <w:fldSimple w:instr=" SEQ level0 \*arabic \* MERGEFORMAT ">
        <w:r>
          <w:rPr>
            <w:noProof/>
          </w:rPr>
          <w:t>4</w:t>
        </w:r>
      </w:fldSimple>
      <w:r w:rsidR="00D7687C">
        <w:t>.</w:t>
      </w:r>
      <w:r>
        <w:t xml:space="preserve"> </w:t>
      </w:r>
      <w:r w:rsidR="00D7687C">
        <w:t>Okoliczności faktyczne sprawy można streścić w następujący sposób.</w:t>
      </w:r>
    </w:p>
    <w:p w14:paraId="421975BF" w14:textId="6D4170CB" w:rsidR="006377D2" w:rsidRPr="005F28E3" w:rsidRDefault="00650006" w:rsidP="005F28E3">
      <w:pPr>
        <w:pStyle w:val="JuPara"/>
      </w:pPr>
      <w:fldSimple w:instr=" SEQ level0 \*arabic \* MERGEFORMAT ">
        <w:r>
          <w:rPr>
            <w:noProof/>
          </w:rPr>
          <w:t>5</w:t>
        </w:r>
      </w:fldSimple>
      <w:r w:rsidR="00D7687C">
        <w:t>.</w:t>
      </w:r>
      <w:r>
        <w:t xml:space="preserve"> </w:t>
      </w:r>
      <w:r w:rsidR="00D7687C">
        <w:t>W latach 1994-2017 skarżąca pracowała dla spółki świadczącej usługi administracyjne na rzecz banku i innych spółek należących do grupy kapitałowej banku. Skarżąca była kierownikiem działu finansowego i w ramach swoich obowiązków nadzorowała listy płac pracowników. W 2017 r. była zaangażowana w trzy różne postępowania sądowe przeciwko spółce.</w:t>
      </w:r>
    </w:p>
    <w:p w14:paraId="65C6F5A7" w14:textId="77777777" w:rsidR="006377D2" w:rsidRPr="005F28E3" w:rsidRDefault="00D7687C" w:rsidP="005F28E3">
      <w:pPr>
        <w:pStyle w:val="JuHIRoman"/>
      </w:pPr>
      <w:r>
        <w:lastRenderedPageBreak/>
        <w:t>Postępowanie w przedmiocie roszczenia SKARŻĄCEJ z tytułu dyskryminacji</w:t>
      </w:r>
    </w:p>
    <w:bookmarkStart w:id="0" w:name="paragraph00006"/>
    <w:p w14:paraId="1CCAFCA2" w14:textId="0ED85F37"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6</w:t>
      </w:r>
      <w:r w:rsidRPr="005F28E3">
        <w:fldChar w:fldCharType="end"/>
      </w:r>
      <w:bookmarkEnd w:id="0"/>
      <w:r>
        <w:t>.</w:t>
      </w:r>
      <w:r w:rsidR="00650006">
        <w:t xml:space="preserve"> </w:t>
      </w:r>
      <w:r w:rsidR="00AF7FF1">
        <w:t xml:space="preserve">W dniu </w:t>
      </w:r>
      <w:r>
        <w:t>6 kwietnia 2017 r. skarżąca wniosła o wszczęcie postępowania pojednawczego (</w:t>
      </w:r>
      <w:proofErr w:type="spellStart"/>
      <w:r>
        <w:rPr>
          <w:i/>
        </w:rPr>
        <w:t>papeleta</w:t>
      </w:r>
      <w:proofErr w:type="spellEnd"/>
      <w:r>
        <w:rPr>
          <w:i/>
        </w:rPr>
        <w:t xml:space="preserve"> de </w:t>
      </w:r>
      <w:proofErr w:type="spellStart"/>
      <w:r>
        <w:rPr>
          <w:i/>
        </w:rPr>
        <w:t>conciliación</w:t>
      </w:r>
      <w:proofErr w:type="spellEnd"/>
      <w:r>
        <w:t>) przeciwko pracodawcy w Centrum Mediacji, Arbitrażu i Postępowań Pojednawczych. Twierdziła, że była dyskryminowana ze względu na płeć, ponieważ otrzymywała niższe wynagrodzenie niż jej współpracownicy zajmujący takie same stanowiska, z których wszyscy byli mężczyznami. Zażądała równego wynagrodzenia i odszkodowania pieniężnego. Wniosek skarżącej zawierał szczegółowe rozliczenie kwot otrzymywanych przez każdego kierownika działu z tytułu różnych składników płacy, w tym wynagrodzeń i dodatków motywacyjnych, na przestrzeni kilku lat.</w:t>
      </w:r>
    </w:p>
    <w:p w14:paraId="324A9B15" w14:textId="6024E8D2" w:rsidR="006377D2" w:rsidRPr="005F28E3" w:rsidRDefault="00650006" w:rsidP="005F28E3">
      <w:pPr>
        <w:pStyle w:val="JuPara"/>
      </w:pPr>
      <w:fldSimple w:instr=" SEQ level0 \*arabic \* MERGEFORMAT ">
        <w:r>
          <w:rPr>
            <w:noProof/>
          </w:rPr>
          <w:t>7</w:t>
        </w:r>
      </w:fldSimple>
      <w:r w:rsidR="00D7687C">
        <w:t>.</w:t>
      </w:r>
      <w:r>
        <w:t xml:space="preserve"> </w:t>
      </w:r>
      <w:r w:rsidR="00D7687C">
        <w:t>Wobec braku ugody, 8 czerwca 2017 r. skarżąca złożyła pozew sądowy o ochronę jej praw podstawowych (</w:t>
      </w:r>
      <w:r w:rsidR="00D7687C">
        <w:rPr>
          <w:i/>
        </w:rPr>
        <w:t xml:space="preserve">tutela de </w:t>
      </w:r>
      <w:proofErr w:type="spellStart"/>
      <w:r w:rsidR="00D7687C">
        <w:rPr>
          <w:i/>
        </w:rPr>
        <w:t>derechos</w:t>
      </w:r>
      <w:proofErr w:type="spellEnd"/>
      <w:r w:rsidR="00D7687C">
        <w:rPr>
          <w:i/>
        </w:rPr>
        <w:t xml:space="preserve"> </w:t>
      </w:r>
      <w:proofErr w:type="spellStart"/>
      <w:r w:rsidR="00D7687C">
        <w:rPr>
          <w:i/>
        </w:rPr>
        <w:t>fundamentales</w:t>
      </w:r>
      <w:proofErr w:type="spellEnd"/>
      <w:r w:rsidR="00D7687C">
        <w:t>) na podstawie art. 177 ustawy o postępowaniu w sprawach z zakresu prawa pracy, ponawiając swoje roszczenia i domagając się równego wynagrodzenia oraz odszkodowania za szkodę majątkową, jaką poniosła z powodu tej dyskryminacji. Podobnie jak poprzedni wniosek w postępowaniu pojednawczym, pozew sądowy również zawierał szczegółowy opis składników wynagrodzeń jej współpracowników. Wykorzystanie tych danych nie zostało zakwestionowane przez spółkę.</w:t>
      </w:r>
    </w:p>
    <w:p w14:paraId="732C525D" w14:textId="360DEC30" w:rsidR="006377D2" w:rsidRPr="005F28E3" w:rsidRDefault="00650006" w:rsidP="005F28E3">
      <w:pPr>
        <w:pStyle w:val="JuPara"/>
      </w:pPr>
      <w:fldSimple w:instr=" SEQ level0 \*arabic \* MERGEFORMAT ">
        <w:r>
          <w:rPr>
            <w:noProof/>
          </w:rPr>
          <w:t>8</w:t>
        </w:r>
      </w:fldSimple>
      <w:r w:rsidR="00D7687C">
        <w:t>.</w:t>
      </w:r>
      <w:r>
        <w:t xml:space="preserve"> </w:t>
      </w:r>
      <w:r w:rsidR="00AF7FF1">
        <w:t xml:space="preserve">W dniu </w:t>
      </w:r>
      <w:r w:rsidR="00D7687C">
        <w:t>10 sierpnia 2017 r. Sąd Pracy nr 2 w Maladze uwzględnił roszczenie skarżącej.</w:t>
      </w:r>
    </w:p>
    <w:p w14:paraId="06609C8B" w14:textId="117574C6" w:rsidR="006377D2" w:rsidRPr="005F28E3" w:rsidRDefault="00650006" w:rsidP="005F28E3">
      <w:pPr>
        <w:pStyle w:val="JuPara"/>
      </w:pPr>
      <w:fldSimple w:instr=" SEQ level0 \*arabic \* MERGEFORMAT ">
        <w:r>
          <w:rPr>
            <w:noProof/>
          </w:rPr>
          <w:t>9</w:t>
        </w:r>
      </w:fldSimple>
      <w:r w:rsidR="00D7687C">
        <w:t>.</w:t>
      </w:r>
      <w:r>
        <w:t xml:space="preserve"> </w:t>
      </w:r>
      <w:r w:rsidR="00D7687C">
        <w:t>Sąd Pracy zauważył, że przedsiębiorstwo spółki było podzielone na cztery działy i że wszyscy kierownicy działów, z wyjątkiem skarżącej, byli mężczyznami. Ich płace obejmowały dwa elementy: wynagrodzenie zasadnicze i dodatek motywacyjny – nie istniał jednak żaden obiektywny system przyznawania tych dodatków i następowało to na podstawie jednostronnej i uznaniowej decyzji spółki.</w:t>
      </w:r>
    </w:p>
    <w:bookmarkStart w:id="1" w:name="paragraph00010"/>
    <w:p w14:paraId="4362438F" w14:textId="3A042F23"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10</w:t>
      </w:r>
      <w:r w:rsidRPr="005F28E3">
        <w:fldChar w:fldCharType="end"/>
      </w:r>
      <w:bookmarkEnd w:id="1"/>
      <w:r>
        <w:t>.</w:t>
      </w:r>
      <w:r w:rsidR="00650006">
        <w:t xml:space="preserve"> </w:t>
      </w:r>
      <w:r>
        <w:t xml:space="preserve">Na podstawie danych zawartych w pozwie skarżącej - i nie sprzeciwiając się ich wykorzystaniu - sąd pracy porównał wynagrodzenie skarżącej z wynagrodzeniami innych osób zajmujących takie same stanowiska. Zauważył, że w latach 2010-2017 dodatki motywacyjne wypłacane innym kierownikom działów były coraz większe, podczas gdy dodatki motywacyjne wypłacane skarżącej pozostały niezmienione lub nawet uległy zmniejszeniu w poszczególnych okresach. W 2017 r. spółka podjęła decyzję o zniesieniu dodatków motywacyjnych, a odpowiednie kwoty zostały skonsolidowane w wynagrodzeniu każdego kierownika działu. W rezultacie skarżąca otrzymywała skonsolidowane roczne wynagrodzenie w wysokości 33 672 euro, które było niższe niż w poprzednich latach (35 000 EUR w 2010 r. i 38 722 EUR w 2016 r.), podczas gdy jej </w:t>
      </w:r>
      <w:proofErr w:type="spellStart"/>
      <w:r>
        <w:t>odpowiednicy</w:t>
      </w:r>
      <w:proofErr w:type="spellEnd"/>
      <w:r>
        <w:t xml:space="preserve"> otrzymywali skonsolidowane wynagrodzenia w wysokości od 43 000 EUR do 49 000 EUR. W rezultacie w przedmiotowym okresie wszyscy kierownicy </w:t>
      </w:r>
      <w:r>
        <w:lastRenderedPageBreak/>
        <w:t>poszczególnych działów otrzymali podwyżki wynagrodzeń w wysokości od 22% do 34%, z wyjątkiem skarżącej, której wynagrodzenie zostało obniżone o 3,83%. W ten sposób różnica w wynagrodzeniach wzrosła z mniej niż 1 000 EUR do 14 000 EUR rocznie. Ponadto odmówiono jej przyznania poszczególnych premii, jakie przyznano jej odpowiednikom i przyznano jej niższą kwotę.</w:t>
      </w:r>
    </w:p>
    <w:p w14:paraId="2BC68E3B" w14:textId="545DA279" w:rsidR="006377D2" w:rsidRPr="005F28E3" w:rsidRDefault="00650006" w:rsidP="005F28E3">
      <w:pPr>
        <w:pStyle w:val="JuPara"/>
      </w:pPr>
      <w:fldSimple w:instr=" SEQ level0 \*arabic \* MERGEFORMAT ">
        <w:r>
          <w:rPr>
            <w:noProof/>
          </w:rPr>
          <w:t>11</w:t>
        </w:r>
      </w:fldSimple>
      <w:r w:rsidR="00D7687C">
        <w:t>.</w:t>
      </w:r>
      <w:r>
        <w:t xml:space="preserve"> </w:t>
      </w:r>
      <w:r w:rsidR="00D7687C">
        <w:t>Sąd pracy uznał, że fakty te wskazywały na istnienie nieuzasadnionych różnic w wynagrodzeniu zarzucanych przez skarżącą, które miały związek z płcią kierowników działów oraz budziły „podejrzenie” dyskryminującego traktowania. W tych okolicznościach na spółce spoczywał ciężar uzasadnienia, że takie różnice płac były uzasadnione i oparte na obiektywnych podstawach. Postępowanie dowodowe wykazało jednak, że różnica w płacach była wynikiem jednostronnych i stopniowych decyzji dyrektora zarządzającego spółki, który przyznawał dodatki motywacyjne w sposób uznaniowy, bez żadnych obiektywnych kryteriów, co zostało potwierdzone przez niego oraz innych kierowników działów. Spółka nie wykazała, jakoby różne dodatki motywacyjne były uzależnione od poziomu wyników lub osiągnięć czy od większego znaczenia strategicznego niektórych działów w porównaniu z innymi. Podsumowując, spółka nie zdołała uwolnić się od zarzutu, ponieważ nie było dowodów na to, że praca wykonywana przez powódkę miała niższą wartość niż praca jej odpowiedników w kontekście działalności spółki.</w:t>
      </w:r>
    </w:p>
    <w:bookmarkStart w:id="2" w:name="paragraph00012"/>
    <w:p w14:paraId="7B4B39A2" w14:textId="4D87455B"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12</w:t>
      </w:r>
      <w:r w:rsidRPr="005F28E3">
        <w:fldChar w:fldCharType="end"/>
      </w:r>
      <w:bookmarkEnd w:id="2"/>
      <w:r>
        <w:t>.</w:t>
      </w:r>
      <w:r w:rsidR="00650006">
        <w:t xml:space="preserve"> </w:t>
      </w:r>
      <w:r>
        <w:t>Sąd Pracy stwierdził zatem istnienie dyskryminacji ze względu na płeć w odniesieniu do wynagrodzenia skarżącej. Nakazał spółce dostosowanie wynagrodzenia skarżącej od stycznia 2017 r. do podwyżki przyznanej jej odpowiednikom (tj. do 48 950,16 EUR) oraz wypłatę odszkodowania w wysokości 35 000 EUR za szkody spowodowane tą dyskryminacją, w tym szkodę niemajątkową.</w:t>
      </w:r>
    </w:p>
    <w:bookmarkStart w:id="3" w:name="paragraph00013"/>
    <w:p w14:paraId="0FEEF1A4" w14:textId="4FB68459"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13</w:t>
      </w:r>
      <w:r w:rsidRPr="005F28E3">
        <w:fldChar w:fldCharType="end"/>
      </w:r>
      <w:bookmarkEnd w:id="3"/>
      <w:r>
        <w:t>.</w:t>
      </w:r>
      <w:r w:rsidR="00650006">
        <w:t xml:space="preserve"> </w:t>
      </w:r>
      <w:r w:rsidR="00FD12D7">
        <w:t xml:space="preserve">W dniu </w:t>
      </w:r>
      <w:r>
        <w:t xml:space="preserve">14 lutego 2018 r. Wyższy Trybunał Andaluzji oddalił odwołanie złożone przez spółkę i utrzymał w mocy wyrok sądu pracy. Powtórzył przy tym, że zostało wykazane, iż skarżąca otrzymywała niższe wynagrodzenie niż jej </w:t>
      </w:r>
      <w:proofErr w:type="spellStart"/>
      <w:r>
        <w:t>odpowiednicy</w:t>
      </w:r>
      <w:proofErr w:type="spellEnd"/>
      <w:r>
        <w:t xml:space="preserve"> zajmujące takie same stanowiska, zaś spółka nie dowiodła, że różnica ta miała obiektywne i racjonalne uzasadnienie. Trybunał ten stwierdził, co następuje:</w:t>
      </w:r>
    </w:p>
    <w:p w14:paraId="5CB8E8BC" w14:textId="77777777" w:rsidR="006377D2" w:rsidRPr="005F28E3" w:rsidRDefault="00D7687C" w:rsidP="005F28E3">
      <w:pPr>
        <w:pStyle w:val="JuQuot"/>
      </w:pPr>
      <w:r>
        <w:t xml:space="preserve">„Bezsporne jest, że w ostatnich latach [skarżąca] otrzymywała niższe wynagrodzenie niż pozostali kierownicy działów, wszyscy będący mężczyznami. Zważywszy na te oznaki dyskryminacji spółka powinna była wykazać, że różnica w wynagrodzeniu [skarżącej] względem pracowników zaszeregowanych do podobnej kategorii zawodowej, mających podobne kwalifikacje i zajmujących równorzędne stanowiska (kierownicy działów), miała obiektywne i racjonalne uzasadnienie, wolne od jakichkolwiek dyskryminacyjnych zamiarów. Takiego uzasadnienia nie przedstawiono w przedmiotowej sprawie, a [spółka] wskazała jedynie, że w latach poprzedzających [sporny okres] [...] skarżąca otrzymywała wynagrodzenie, które było nawet wyższe niż wynagrodzenie innych kierowników działów, że różne działy mają różne obowiązki i odpowiedzialność oraz że w firmie są inni kierownicy (przedstawiciele regionalni), w tym mężczyźni, którzy otrzymują niższe wynagrodzenie niż ich żeńskie </w:t>
      </w:r>
      <w:r>
        <w:lastRenderedPageBreak/>
        <w:t>odpowiedniczki. W żaden sposób nie stanowi to obiektywnego i rozsądnego uzasadnienia odmiennego traktowania [skarżącej] w ostatnich latach w zakresie wynagrodzenia, zwłaszcza biorąc pod uwagę, że nie określono ani wyjaśniono zakresu, w jakim dział [skarżącej] miałby mniejsze uprawnienia i mniejszą odpowiedzialność niż pozostałe działy spółki, oraz że w przedmiotowym postępowaniu [spółkę] nie zarzucono dyskryminacji ze względu na płeć w odniesieniu do wszystkich jej pracownic, ale tylko i wyłącznie w odniesieniu do [skarżącej]. W konsekwencji, ponieważ spółka nie obaliła zarzutu istnienia dyskryminacji [skarżącej] w zakresie wynagrodzenia względem jej męskich odpowiedników, odwołanie musi zostać oddalone, a wyrok sądu pierwszej instancji stwierdzający naruszenie prawa do równości i niedyskryminacji ze względu na płeć w odniesieniu do wynagrodzenia musi zostać utrzymany w mocy".</w:t>
      </w:r>
    </w:p>
    <w:p w14:paraId="3CC54B10" w14:textId="2891E542" w:rsidR="006377D2" w:rsidRPr="005F28E3" w:rsidRDefault="00D7687C" w:rsidP="005F28E3">
      <w:pPr>
        <w:pStyle w:val="JuPara"/>
        <w:rPr>
          <w:color w:val="000000" w:themeColor="text1"/>
        </w:rPr>
      </w:pPr>
      <w:r>
        <w:rPr>
          <w:color w:val="000000" w:themeColor="text1"/>
        </w:rPr>
        <w:t>Uznał, że nakazanie wypłaty godziwego wynagrodzenia począwszy od stycznia 2017 r. było logicznym następstwem stwierdzenia naruszenia praw skarżącego, jako że stanowiło odpowiedni środek naprawienia szkody. Na taki wniosek nie miał wpływu fakt, że w maju 2017 r. skarżąca została zwolniona, ponieważ wynagrodzenie powinno być wypłacane do tej daty, niezależnie od jakichkolwiek orzeczeń sądowych dotyczących zwolnienia, w przypadku zakwestionowania zasadności zwolnienia przez skarżącą.</w:t>
      </w:r>
    </w:p>
    <w:bookmarkStart w:id="4" w:name="paragraph00014"/>
    <w:p w14:paraId="77DD8BB0" w14:textId="3E0597CB"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14</w:t>
      </w:r>
      <w:r w:rsidRPr="005F28E3">
        <w:fldChar w:fldCharType="end"/>
      </w:r>
      <w:bookmarkEnd w:id="4"/>
      <w:r>
        <w:t>.</w:t>
      </w:r>
      <w:r w:rsidR="00650006">
        <w:t xml:space="preserve"> </w:t>
      </w:r>
      <w:r w:rsidR="00FD12D7">
        <w:t xml:space="preserve">W dniu </w:t>
      </w:r>
      <w:r>
        <w:t>9 stycznia 2019 r. Sąd Najwyższy uznał wniesioną przez spółkę skargę kasacyjną za niedopuszczalną, a wyrok Wyższego Trybunału stał się prawomocny. W dniu 15 marca 2019 r. odszkodowanie zostało wypłacone skarżącej.</w:t>
      </w:r>
    </w:p>
    <w:p w14:paraId="0944C7D7" w14:textId="77777777" w:rsidR="006377D2" w:rsidRPr="005F28E3" w:rsidRDefault="00D7687C" w:rsidP="005F28E3">
      <w:pPr>
        <w:pStyle w:val="JuHIRoman"/>
      </w:pPr>
      <w:r>
        <w:t>postępowanie w sprawie ZWOLNIENIA SKARŻĄCEJ</w:t>
      </w:r>
    </w:p>
    <w:bookmarkStart w:id="5" w:name="paragraph00015"/>
    <w:p w14:paraId="2EB341F9" w14:textId="6C66B8EE"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15</w:t>
      </w:r>
      <w:r w:rsidRPr="005F28E3">
        <w:fldChar w:fldCharType="end"/>
      </w:r>
      <w:bookmarkEnd w:id="5"/>
      <w:r>
        <w:t>.</w:t>
      </w:r>
      <w:r w:rsidR="00650006">
        <w:t xml:space="preserve"> </w:t>
      </w:r>
      <w:r w:rsidR="00FD12D7">
        <w:t xml:space="preserve">W dniu </w:t>
      </w:r>
      <w:r>
        <w:t>2 maja 2017 r. skarżąca została zwolniona z pracy. W piśmie informującym ją o zwolnieniu spółka stwierdziła, że skarżąca naruszyła obowiązek zachowania poufności oraz instrukcje spółki dotyczące ochrony danych osobowych. W szczególności skarżąca ujawniła dane osobowe we wniosku o postępowanie pojednawcze i udostępniła je pocztą elektroniczną stronom trzecim. W piśmie stwierdzono:</w:t>
      </w:r>
    </w:p>
    <w:p w14:paraId="2DF6B025" w14:textId="77777777" w:rsidR="006377D2" w:rsidRPr="005F28E3" w:rsidRDefault="00D7687C" w:rsidP="005F28E3">
      <w:pPr>
        <w:pStyle w:val="JuQuot"/>
      </w:pPr>
      <w:r>
        <w:t>"Jednym z podstawowych obowiązków na tym stanowisku jest obowiązek zachowania poufności, ponieważ [spółka], z racji prowadzonej działalności, zarządza dokumentami zawierającymi wysoce wrażliwe i poufne informacje. Obowiązek ten obejmuje nie tylko zakaz ujawniania danych podatkowych, handlowych lub innego rodzaju danych dotyczących klientów firmy, ale także bezwzględny zakaz wykorzystywania danych osobowych, do których można uzyskać dostęp podczas pełnienia funkcji, w innym celu niż wykonywanie powierzonych zadań.</w:t>
      </w:r>
    </w:p>
    <w:p w14:paraId="6BD0483E" w14:textId="3907540E" w:rsidR="006377D2" w:rsidRPr="005F28E3" w:rsidRDefault="00D7687C" w:rsidP="005F28E3">
      <w:pPr>
        <w:pStyle w:val="JuQuot"/>
      </w:pPr>
      <w:r>
        <w:t>Z wiadomości e-mail z 7 kwietnia 2017 r. zarząd spółki dowiedział się, że w dniu 6 kwietnia złożyła Pani wniosek o postępowanie pojednawcze [w sprawie dyskryminacji płacowej] [...] Aby uzasadnić swoje roszczenie, dołączyła Pani szczegółowe informacje o miesięcznych i rocznych wynagrodzeniach oraz rocznych dodatkach motywacyjnych pozostałych czterech kierowników działów, podając ich imiona i nazwiska, za okres od 2006 do 2016 r. Są to wysoce wrażliwe i poufne informacje, do których miała Pani dostęp w związku z pełnieniem funkcji kierownika działu finansowego.</w:t>
      </w:r>
    </w:p>
    <w:p w14:paraId="30705355" w14:textId="77777777" w:rsidR="006377D2" w:rsidRPr="005F28E3" w:rsidRDefault="00D7687C" w:rsidP="005F28E3">
      <w:pPr>
        <w:pStyle w:val="JuQuot"/>
      </w:pPr>
      <w:r>
        <w:lastRenderedPageBreak/>
        <w:t>Oczywistym jest, że takie zachowanie stanowi rażące naruszenie podstawowych obowiązków w zakresie poufności, tajemnicy zawodowej i ochrony danych przewidzianych w odpowiednich przepisach prawa i może nawet stanowić przestępstwo.</w:t>
      </w:r>
    </w:p>
    <w:p w14:paraId="6039B16E" w14:textId="77777777" w:rsidR="006377D2" w:rsidRPr="005F28E3" w:rsidRDefault="00D7687C" w:rsidP="005F28E3">
      <w:pPr>
        <w:pStyle w:val="JuQuot"/>
      </w:pPr>
      <w:r>
        <w:t>Ponadto Pani zachowanie stanowi poważne naruszenie instrukcji wydanych przez spółkę [...] w celu ochrony danych dotyczących płac i wynagrodzeń pracowników spółki, a także obowiązku zachowania i [ochrony] tajemnicy zawodowej [...].</w:t>
      </w:r>
    </w:p>
    <w:p w14:paraId="2058A2BA" w14:textId="77777777" w:rsidR="006377D2" w:rsidRPr="005F28E3" w:rsidRDefault="00D7687C" w:rsidP="005F28E3">
      <w:pPr>
        <w:pStyle w:val="JuQuot"/>
      </w:pPr>
      <w:r>
        <w:t>Spółka zarejestrowała kilka plików danych w rejestrze ogólnym Hiszpańskiej Agencji Ochrony Danych, w tym plik o nazwie "Zasoby ludzkie". Ten plik danych [...] do którego miała Pani dostęp podczas wykonywania swoich funkcji, służy do zarządzania wynagrodzeniami i zasobami ludzkimi oraz ma przypisany [średni] poziom bezpieczeństwa [...]</w:t>
      </w:r>
    </w:p>
    <w:p w14:paraId="03678447" w14:textId="345A1B3D" w:rsidR="006377D2" w:rsidRPr="005F28E3" w:rsidRDefault="00D7687C" w:rsidP="005F28E3">
      <w:pPr>
        <w:pStyle w:val="JuQuot"/>
      </w:pPr>
      <w:r>
        <w:t>[…] Jest Pani świadoma znaczenia poszanowania bezpieczeństwa danych osobowych zawartych w tych plikach i w tym celu otrzymała Pani przewodnik szkoleniowy dotyczący bezpieczeństwa informacj</w:t>
      </w:r>
      <w:r w:rsidR="00650006">
        <w:t xml:space="preserve">i </w:t>
      </w:r>
      <w:r>
        <w:t>[...] Przewodnik ten, podpisany przez użytkownika, zawiera najistotniejsze zasady, których należy przestrzegać podczas pracy z systemami informatycznymi dostępnymi w celu pełnienia funkcji [...]</w:t>
      </w:r>
    </w:p>
    <w:p w14:paraId="354A4EF1" w14:textId="7FD3BF0F" w:rsidR="006377D2" w:rsidRPr="005F28E3" w:rsidRDefault="00D7687C" w:rsidP="005F28E3">
      <w:pPr>
        <w:pStyle w:val="JuQuot"/>
      </w:pPr>
      <w:r>
        <w:t>Nie ma wątpliwości, że miała Pani doskonałą i dokładną wiedzę na temat powinności zawodowych i obowiązków w zakresie ochrony tych danych, określonych w odpowiednich przepisach prawa [...] Była Pani świadoma prawnej ochrony tych danych oraz obowiązku ich ochrony ciążącego na spółce, a także konsekwencji dla spółki w przypadku niepodjęcia odpowiednich środków.</w:t>
      </w:r>
    </w:p>
    <w:p w14:paraId="7EC34166" w14:textId="7955A2B9" w:rsidR="006377D2" w:rsidRPr="005F28E3" w:rsidRDefault="00D7687C" w:rsidP="005F28E3">
      <w:pPr>
        <w:pStyle w:val="JuQuot"/>
      </w:pPr>
      <w:r>
        <w:t>Niemniej jednak, z wyraźnym naruszeniem instrukcji udzielonych przez spółkę i będąc w pełni świadomą obowiązku ochrony danych osobowych, ujawniła Pani we własnym interesie w kontekście postępowania pojednawczego, dane osobowe i dane wrażliwe innych pracowników [...] podczas gdy właściwym postępowaniem byłoby zwrócenie się o dane niezbędne do dochodzenia roszczeń do sądu, który może zażądać takich informacji od spółki, która z kolei jest zobowiązana do ich przekazania sądowi bez naruszenia przepisów ustawy o ochronie danych osobowych.</w:t>
      </w:r>
    </w:p>
    <w:p w14:paraId="23B0DBB2" w14:textId="3FC36ED6" w:rsidR="006377D2" w:rsidRPr="005F28E3" w:rsidRDefault="00D7687C" w:rsidP="005F28E3">
      <w:pPr>
        <w:pStyle w:val="JuQuot"/>
      </w:pPr>
      <w:r>
        <w:t>O bezprawności Pani czynów świadczy fakt, że przebywając na urlopie z powodu niezdolności do pracy oraz mając świadomość zakazu, wywierała Pani nacisk na podwładnego</w:t>
      </w:r>
      <w:r w:rsidR="00650006">
        <w:t xml:space="preserve"> </w:t>
      </w:r>
      <w:r>
        <w:t>[...]</w:t>
      </w:r>
      <w:r w:rsidR="0024248F">
        <w:t>,</w:t>
      </w:r>
      <w:r>
        <w:t xml:space="preserve"> aby przesłał Pani listę płac z marca [2017 r.]</w:t>
      </w:r>
      <w:r w:rsidR="00650006">
        <w:t xml:space="preserve"> </w:t>
      </w:r>
      <w:r>
        <w:t>[...].</w:t>
      </w:r>
    </w:p>
    <w:p w14:paraId="52E8F608" w14:textId="77777777" w:rsidR="006377D2" w:rsidRPr="005F28E3" w:rsidRDefault="00D7687C" w:rsidP="005F28E3">
      <w:pPr>
        <w:pStyle w:val="JuQuot"/>
      </w:pPr>
      <w:r>
        <w:t>Wydarzenia te naraziły firmę na sankcje z tytułu poważnego naruszenia ustawy o ochronie danych osobowych.</w:t>
      </w:r>
    </w:p>
    <w:p w14:paraId="4E337DDA" w14:textId="69306564" w:rsidR="006377D2" w:rsidRPr="005F28E3" w:rsidRDefault="00D7687C" w:rsidP="005F28E3">
      <w:pPr>
        <w:pStyle w:val="JuQuot"/>
      </w:pPr>
      <w:r>
        <w:t>Co więcej, Pani działania nie ograniczyły się do zamieszczenia wyżej wspomnianych danych osobowych we wniosku [...], ale ujawniła je Pani również osobom trzecim spoza spółki. W szczególności z wiadomości e-mail z dnia 6 i 7 kwietnia 2017 r.</w:t>
      </w:r>
      <w:r w:rsidR="00650006">
        <w:t xml:space="preserve"> </w:t>
      </w:r>
      <w:r>
        <w:t>[...] wynika, że przed wysłaniem wniosku o postępowanie pojednawcze do spółki następujące adresy e-mail miały do niej dostęp [wymieniono adresy e-mail prawników skarżącej i osobiste konto skarżącej]</w:t>
      </w:r>
      <w:r w:rsidR="00650006">
        <w:t xml:space="preserve"> </w:t>
      </w:r>
      <w:r>
        <w:t>[...]. Co więcej, za sprawą wyżej wymienionej wiadomości e-mail z dnia 7 kwietnia 2017 r. dostęp do treści wniosku miała również inna osoba spoza spółki - M. A.</w:t>
      </w:r>
    </w:p>
    <w:p w14:paraId="286FF215" w14:textId="3A64DD52" w:rsidR="006377D2" w:rsidRPr="005F28E3" w:rsidRDefault="00D7687C" w:rsidP="005F28E3">
      <w:pPr>
        <w:pStyle w:val="JuQuot"/>
      </w:pPr>
      <w:r>
        <w:t>Powyższe fakty mają jeszcze poważniejszy charakter z dwóch powodów: (i) [spółka]</w:t>
      </w:r>
      <w:r w:rsidR="00650006">
        <w:t xml:space="preserve"> </w:t>
      </w:r>
      <w:r>
        <w:t>[...] korzysta z zaawansowanych rozwiązań zabezpieczających firmowe konta e-mail, a mimo to ujawniła Pani w kontekście swojego roszczenia dane osobowe na zewnętrzne adresy e-mail, które nie miały wymaganych zabezpieczeń, oraz (ii) uczestniczyła Pani</w:t>
      </w:r>
      <w:r w:rsidR="00650006">
        <w:t xml:space="preserve"> </w:t>
      </w:r>
      <w:r>
        <w:t>[...] w szkoleniu na temat ochrony danych</w:t>
      </w:r>
      <w:r w:rsidR="00650006">
        <w:t xml:space="preserve"> </w:t>
      </w:r>
      <w:r>
        <w:t>[...] jak wynika z dyplomu wydanego</w:t>
      </w:r>
      <w:r w:rsidR="00650006">
        <w:t xml:space="preserve"> </w:t>
      </w:r>
      <w:r>
        <w:t>[...] w listopadzie 2016 r.</w:t>
      </w:r>
    </w:p>
    <w:p w14:paraId="69A6D9F5" w14:textId="00AE9FAC" w:rsidR="006377D2" w:rsidRPr="005F28E3" w:rsidRDefault="00D7687C" w:rsidP="005F28E3">
      <w:pPr>
        <w:pStyle w:val="JuQuot"/>
      </w:pPr>
      <w:r>
        <w:lastRenderedPageBreak/>
        <w:t>Działania te stanowią rażące naruszenie instrukcji wydanych przez spółkę w wiadomości e-mail z dnia 14 listopada 2012 r. (skierowanej do Pan</w:t>
      </w:r>
      <w:r w:rsidR="00D01FD2">
        <w:t>i</w:t>
      </w:r>
      <w:r>
        <w:t>), nakazujących, aby dane dotyczące list płac pracowników nie były przedstawiane w postaci zdezagregowanej ze względu na poufność oraz w celu ochrony tych informacji.</w:t>
      </w:r>
    </w:p>
    <w:p w14:paraId="41046D09" w14:textId="77777777" w:rsidR="006377D2" w:rsidRPr="005F28E3" w:rsidRDefault="00D7687C" w:rsidP="005F28E3">
      <w:pPr>
        <w:pStyle w:val="JuQuot"/>
      </w:pPr>
      <w:r>
        <w:t>Ponadto Pani zachowanie stanowi wyraźne naruszenie postanowień dokumentu dotyczącego poufności, który podpisała Pani w lipcu 2011 r., przewidujących zakaz wykorzystywania danych osobowych, do których miała Pani dostęp w ramach wykonywania swoich funkcji, w innym celu niż wykonywanie powierzonej pracy, a także zakaz ujawniania jakiejkolwiek osobie trzeciej informacji, o których wiedziała Pani z racji wykonywania swoich obowiązków zawodowych.</w:t>
      </w:r>
    </w:p>
    <w:p w14:paraId="61D7D4B9" w14:textId="45F220FF" w:rsidR="006377D2" w:rsidRPr="005F28E3" w:rsidRDefault="00D7687C" w:rsidP="005F28E3">
      <w:pPr>
        <w:pStyle w:val="JuQuot"/>
      </w:pPr>
      <w:r>
        <w:t xml:space="preserve">Opisane fakty wskazują zatem na całkowicie świadome zachowanie z </w:t>
      </w:r>
      <w:r w:rsidR="006619F0">
        <w:t xml:space="preserve">Pani </w:t>
      </w:r>
      <w:r>
        <w:t>strony, pociągające za sobą naruszenie dobrej wiary i nadużycie zaufania w wykonywaniu powierzonych funkcji, a także na ewidentne nieprzestrzeganie instrukcji spółki. Wykorzystując swoją sytuację i stanowisko, w całkowicie nieuzasadniony sposób wykorzystała Pani wrażliwe i poufne informacje innych pracowników, przesyłając je osobom trzecim. W związku z tym dalsze utrzymywanie przez spółkę stosunków zawodowych z Panią jest niemożliwe.</w:t>
      </w:r>
    </w:p>
    <w:p w14:paraId="3008B0F9" w14:textId="624BE8BA" w:rsidR="006377D2" w:rsidRPr="005F28E3" w:rsidRDefault="00D7687C" w:rsidP="005F28E3">
      <w:pPr>
        <w:pStyle w:val="JuQuot"/>
      </w:pPr>
      <w:r>
        <w:t>Fakty te składają się na kilka poważnych naruszeń powinności zawodowych, takie jak naruszenie dobrej wiary, nadużycie zaufania przy wykonywaniu pracy oraz złamanie dyscypliny lub niestosowanie się do poleceń w miejscu pracy, uregulowane w art. 54 § 2 lit. b) i d) Statutu Pracowniczego</w:t>
      </w:r>
      <w:r w:rsidR="00650006">
        <w:t xml:space="preserve"> </w:t>
      </w:r>
      <w:r>
        <w:t>[...].</w:t>
      </w:r>
    </w:p>
    <w:p w14:paraId="587A0C49" w14:textId="77777777" w:rsidR="006377D2" w:rsidRPr="005F28E3" w:rsidRDefault="00D7687C" w:rsidP="005F28E3">
      <w:pPr>
        <w:pStyle w:val="JuQuot"/>
      </w:pPr>
      <w:r>
        <w:t>W związku z tym zarząd spółki podjął decyzję o zwolnieniu dyscyplinarnym ze skutkiem natychmiastowym w związku z naruszeniem oraz o [nałożeniu] maksymalnej sankcji ze względu na powagę naruszenia i nadużycie zaufania".</w:t>
      </w:r>
    </w:p>
    <w:p w14:paraId="5D361F77" w14:textId="1DCCC9BC" w:rsidR="006377D2" w:rsidRPr="005F28E3" w:rsidRDefault="00650006" w:rsidP="005F28E3">
      <w:pPr>
        <w:pStyle w:val="JuPara"/>
      </w:pPr>
      <w:fldSimple w:instr=" SEQ level0 \*arabic \* MERGEFORMAT ">
        <w:r>
          <w:rPr>
            <w:noProof/>
          </w:rPr>
          <w:t>16</w:t>
        </w:r>
      </w:fldSimple>
      <w:r w:rsidR="00D7687C">
        <w:t>.</w:t>
      </w:r>
      <w:r>
        <w:t xml:space="preserve"> </w:t>
      </w:r>
      <w:r w:rsidR="00D7687C">
        <w:t xml:space="preserve">W dniu 18 maja 2017 r. skarżąca złożyła wniosek o wszczęcie postępowania pojednawczego w związku z jej zwolnieniem, stwierdzając, że zostało ono oparte na nieprawdziwych podstawach, a zatem zwolnienie powinno zostać uznane za nieważne </w:t>
      </w:r>
      <w:r w:rsidR="00A83B6C">
        <w:t>lub</w:t>
      </w:r>
      <w:r w:rsidR="00D7687C">
        <w:t xml:space="preserve"> alternatywnie, niezgodne z prawem (</w:t>
      </w:r>
      <w:proofErr w:type="spellStart"/>
      <w:r w:rsidR="00D7687C">
        <w:rPr>
          <w:i/>
        </w:rPr>
        <w:t>improcedente</w:t>
      </w:r>
      <w:proofErr w:type="spellEnd"/>
      <w:r w:rsidR="00D7687C">
        <w:t>).</w:t>
      </w:r>
    </w:p>
    <w:bookmarkStart w:id="6" w:name="paragraph00017"/>
    <w:p w14:paraId="0061F4FF" w14:textId="5B6ABC20"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17</w:t>
      </w:r>
      <w:r w:rsidRPr="005F28E3">
        <w:fldChar w:fldCharType="end"/>
      </w:r>
      <w:bookmarkEnd w:id="6"/>
      <w:r>
        <w:t>.</w:t>
      </w:r>
      <w:r w:rsidR="00650006">
        <w:t xml:space="preserve"> </w:t>
      </w:r>
      <w:r>
        <w:t>Wobec braku porozumienia, w dniu 14 czerwca 2017 r. skarżąca złożyła pozew sądowy. Argumentowała, że zwolnienie stanowiło odwet za wcześniejsze roszczenie z tytułu dyskryminacji płacowej. W związku z tym zwolnienie należy uznać za nieważne, ponieważ naruszyło jej prawo do ochrony przed działaniami odwetowymi (</w:t>
      </w:r>
      <w:proofErr w:type="spellStart"/>
      <w:r>
        <w:rPr>
          <w:i/>
        </w:rPr>
        <w:t>garantía</w:t>
      </w:r>
      <w:proofErr w:type="spellEnd"/>
      <w:r>
        <w:rPr>
          <w:i/>
        </w:rPr>
        <w:t xml:space="preserve"> de </w:t>
      </w:r>
      <w:proofErr w:type="spellStart"/>
      <w:r>
        <w:rPr>
          <w:i/>
        </w:rPr>
        <w:t>indemnidad</w:t>
      </w:r>
      <w:proofErr w:type="spellEnd"/>
      <w:r>
        <w:t>). Na wypadek braku uznania pierwszego żądania, skarżąca wniosła o uznanie wypowiedzenia za niezgodne z prawem, ponieważ przyczyny podane w pisemnym powiadomieniu o zwolnieniu były nieprawdziwe.</w:t>
      </w:r>
    </w:p>
    <w:p w14:paraId="4900892B" w14:textId="57216B7D" w:rsidR="006377D2" w:rsidRPr="005F28E3" w:rsidRDefault="00650006" w:rsidP="005F28E3">
      <w:pPr>
        <w:pStyle w:val="JuPara"/>
      </w:pPr>
      <w:fldSimple w:instr=" SEQ level0 \*arabic \* MERGEFORMAT ">
        <w:r>
          <w:rPr>
            <w:noProof/>
          </w:rPr>
          <w:t>18</w:t>
        </w:r>
      </w:fldSimple>
      <w:r w:rsidR="00D7687C">
        <w:t>.</w:t>
      </w:r>
      <w:r>
        <w:t xml:space="preserve"> </w:t>
      </w:r>
      <w:r w:rsidR="006619F0">
        <w:t xml:space="preserve">W dniu </w:t>
      </w:r>
      <w:r w:rsidR="00D7687C">
        <w:t>8 lipca 2019 r. sąd pracy w Maladze nr 4 uznał zwolnienie skarżącej przez spółkę za zgodne z prawem (</w:t>
      </w:r>
      <w:proofErr w:type="spellStart"/>
      <w:r w:rsidR="00D7687C">
        <w:rPr>
          <w:i/>
        </w:rPr>
        <w:t>procedente</w:t>
      </w:r>
      <w:proofErr w:type="spellEnd"/>
      <w:r w:rsidR="00D7687C">
        <w:t>), oddalił roszczenie skarżącej i podtrzymał decyzję spółki o jej zwolnieniu.</w:t>
      </w:r>
    </w:p>
    <w:bookmarkStart w:id="7" w:name="paragraph00019"/>
    <w:p w14:paraId="349B08BF" w14:textId="3B6C8342"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19</w:t>
      </w:r>
      <w:r w:rsidRPr="005F28E3">
        <w:fldChar w:fldCharType="end"/>
      </w:r>
      <w:bookmarkEnd w:id="7"/>
      <w:r>
        <w:t>.</w:t>
      </w:r>
      <w:r w:rsidR="00650006">
        <w:t xml:space="preserve"> </w:t>
      </w:r>
      <w:r>
        <w:t xml:space="preserve">Sąd pracy uznał za udowodnione, że skarżąca wielokrotnie zwracała się o podwyżkę swojego wynagrodzenia w latach 2006-2013 i kilkakrotnie skarżyła się na różnice w wynagrodzeniu, zarówno ustnie, jak i za pośrednictwem poczty elektronicznej. Zauważył, że spółka zarejestrowała w Hiszpańskiej Agencji Ochrony Danych plik danych z zakresu zarządzania zasobami ludzkimi, z przypisanym średnim poziomem bezpieczeństwa. </w:t>
      </w:r>
      <w:r>
        <w:lastRenderedPageBreak/>
        <w:t>Ponadto zauważył, że skarżąca wiedziała o zasadach ochrony danych: podpisała oświadczenie o zachowaniu poufności, przeszła specjalne szkolenie, otrzymała od kierownictwa instrukcje pocztą elektroniczną i została poinformowana o sankcjach w przypadku nieprzestrzegania odpowiednich instrukcji. Ustalono, że w styczniu 2017 r., gdy była nieobecna, oraz w marcu 2017 r., gdy przebywała na urlopie z powodu niezdolności do pracy, poprosiła innego współpracownika o przesłanie jej listy płac. W dniu 7 kwietnia 2017 r. wysłała wiadomość e-mail do czterech osób (P.E., G.P., P.M. i M.A.) zawierającą wniosek o postępowanie pojednawcze. Wreszcie sąd pracy zauważył, że urlop skarżącej z powodu niezdolności do pracy zakończył się w sierpniu 2018 r., a jego data rozpoczęcia oraz dokładna przyczyna nie zostały ujawnione. Ponadto przed zwolnieniem skarżąca cierpiała na problemy psychologiczne i zaburzenia psychiczne, a we wrześniu 2018 r. miała ciężki epizod depresyjny.</w:t>
      </w:r>
    </w:p>
    <w:bookmarkStart w:id="8" w:name="paragraph00020"/>
    <w:p w14:paraId="3AAB4C3F" w14:textId="523340F2"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20</w:t>
      </w:r>
      <w:r w:rsidRPr="005F28E3">
        <w:fldChar w:fldCharType="end"/>
      </w:r>
      <w:bookmarkEnd w:id="8"/>
      <w:r>
        <w:t>.</w:t>
      </w:r>
      <w:r w:rsidR="00650006">
        <w:t xml:space="preserve"> </w:t>
      </w:r>
      <w:r>
        <w:t>W kwestii zarzucanego naruszenia jej prawa do ochrony przed działaniami odwetowymi, sąd pracy stwierdził, co następuje:</w:t>
      </w:r>
    </w:p>
    <w:p w14:paraId="5898E3F4" w14:textId="139E223F" w:rsidR="006377D2" w:rsidRPr="005F28E3" w:rsidRDefault="00D7687C" w:rsidP="005F28E3">
      <w:pPr>
        <w:pStyle w:val="JuQuot"/>
      </w:pPr>
      <w:r>
        <w:t xml:space="preserve">„Zgodnie z art. 181 § 2 ustawy o postępowaniu w sprawach z zakresu prawa pracy, pracownik musi przedstawić uzasadnione dowody </w:t>
      </w:r>
      <w:r w:rsidRPr="00A83B6C">
        <w:rPr>
          <w:i/>
          <w:iCs/>
        </w:rPr>
        <w:t>prima facie</w:t>
      </w:r>
      <w:r>
        <w:t xml:space="preserve"> (</w:t>
      </w:r>
      <w:proofErr w:type="spellStart"/>
      <w:r>
        <w:rPr>
          <w:i/>
        </w:rPr>
        <w:t>indicio</w:t>
      </w:r>
      <w:proofErr w:type="spellEnd"/>
      <w:r>
        <w:t>), że działania spółki naruszyły jego prawa podstawowe, które, jeśli zostaną zweryfikowane, spowodują odwrócenie ciężaru dowodu i to do pozwanego [spółki] będzie należało wykazanie, że istniało obiektywne i racjonalne uzasadnienie dla zastosowanych środków i ich proporcjonalności, odpowiednio poparte dowodami.</w:t>
      </w:r>
    </w:p>
    <w:p w14:paraId="7C6DE406" w14:textId="42D9E3C3" w:rsidR="006377D2" w:rsidRPr="005F28E3" w:rsidRDefault="00D7687C" w:rsidP="005F28E3">
      <w:pPr>
        <w:pStyle w:val="JuQuot"/>
      </w:pPr>
      <w:r>
        <w:t>[…] Zgodnie z orzecznictwem Trybunału Konstytucyjnego, w przypadku</w:t>
      </w:r>
      <w:r w:rsidR="00205BA2">
        <w:t>,</w:t>
      </w:r>
      <w:r>
        <w:t xml:space="preserve"> gdy pracownik skarży się na dyskryminujące traktowanie lub naruszenie praw podstawowych w wyniku decyzji przedsiębiorstwa, wywołując uzasadnione podejrzenie lub domniemanie prawdziwości [jego] twierdzenia, ciężar udowodnienia, że istnieje uzasadniona podstawa takiego działania musi zostać przeniesiony na pracodawcę. Jest to rzeczywisty ciężar dowodu, a nie zwykła „próba udowodnienia”, ponieważ pracodawca musi przekonać sędziego, nie o istnieniu wątpliwości, lecz o pewności, że decyzja była całkowicie niezwiązana z jakimkolwiek celem dyskryminacyjnym [...].</w:t>
      </w:r>
    </w:p>
    <w:p w14:paraId="1ED1B8F6" w14:textId="77777777" w:rsidR="006377D2" w:rsidRPr="005F28E3" w:rsidRDefault="00D7687C" w:rsidP="005F28E3">
      <w:pPr>
        <w:pStyle w:val="JuQuot"/>
      </w:pPr>
      <w:r>
        <w:t>[…]</w:t>
      </w:r>
    </w:p>
    <w:p w14:paraId="6EB175BA" w14:textId="77777777" w:rsidR="006377D2" w:rsidRPr="005F28E3" w:rsidRDefault="00D7687C" w:rsidP="005F28E3">
      <w:pPr>
        <w:pStyle w:val="JuQuot"/>
      </w:pPr>
      <w:r>
        <w:t>W przypadku powołania się na prawo do ochrony przed odwetem, naruszenie prawa do skutecznej ochrony sądowej na podstawie art. 24 Konstytucji Hiszpanii następuje nie tylko przez nieprawidłowości w postępowaniu, które skutkują pozbawieniem gwarancji proceduralnych, ale prawo to może również zostać naruszone, gdy jego wykonywanie, a także działania przygotowawcze lub niezbędne czynności podjęte przez pracownika w celu wniesienia pozwu sądowego skutkują odwetem ze strony pracodawcy [...].</w:t>
      </w:r>
    </w:p>
    <w:p w14:paraId="28FE61E6" w14:textId="70B9D361" w:rsidR="006377D2" w:rsidRPr="005F28E3" w:rsidRDefault="00D7687C" w:rsidP="005F28E3">
      <w:pPr>
        <w:pStyle w:val="JuQuot"/>
      </w:pPr>
      <w:r>
        <w:t>Aby doszło do naruszenia prawa do ochrony przed odwetem, konieczne jest uprzednie działanie ze strony pracownika i [wynikający z tego] odwet ze strony przedsiębiorstwa. Skarżąca twierdzi, że jej zwolnienie było konsekwencją skargi o dyskryminację, w szczególności po tym, jak złożyła wniosek o postępowanie pojednawcze 6 kwietnia 2017 r. Dowody podważają związek przyczynowy między tymi faktami, ponieważ dokumenty wskazują, że przed 6 kwietnia 2017 r. i przy wielu okazjach [skarżąca] zgłaszała to samo roszczenie, bez żadnych wynikających z tego sankcji ani jej zwolnienia; [raczej była] po prostu ignorowana przez firmę</w:t>
      </w:r>
      <w:r w:rsidR="00650006">
        <w:t xml:space="preserve"> </w:t>
      </w:r>
      <w:r>
        <w:t>[...].</w:t>
      </w:r>
    </w:p>
    <w:p w14:paraId="41FE7BD0" w14:textId="42D5C551" w:rsidR="006377D2" w:rsidRPr="005F28E3" w:rsidRDefault="00D7687C" w:rsidP="005F28E3">
      <w:pPr>
        <w:pStyle w:val="JuQuot"/>
      </w:pPr>
      <w:r>
        <w:lastRenderedPageBreak/>
        <w:t>Podsumowując, fakty wskazują, że nie można ustalić związku przyczynowego między wnioskiem o postępowanie pojednawcze złożonym 6 kwietnia 2017 r. a zwolnieniem skarżącej, ponieważ od 2006 r. złożyła ona kilka podobnych skarg do spółki, a spółka nie reagowała na nie. Obala to związek przyczynowy sugerowany przez skarżącą, a zatem nie ma wystarczających oznak naruszenia prawa do ochrony przed działaniami odwetowymi. Poza tym, jak zostanie wyjaśnione w dalszej części, skarżąca dopuściła się zachowania, za które grozi sankcja w postaci zwolnienia".</w:t>
      </w:r>
    </w:p>
    <w:bookmarkStart w:id="9" w:name="paragraph00021"/>
    <w:p w14:paraId="5AE0AA6F" w14:textId="79A73C9E"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21</w:t>
      </w:r>
      <w:r w:rsidRPr="005F28E3">
        <w:fldChar w:fldCharType="end"/>
      </w:r>
      <w:bookmarkEnd w:id="9"/>
      <w:r>
        <w:t>.</w:t>
      </w:r>
      <w:r w:rsidR="00650006">
        <w:t xml:space="preserve"> </w:t>
      </w:r>
      <w:r>
        <w:t>Sąd pracy ocenił następnie, czy zwolnienie można uznać za niezgodne z prawem. Zauważył, po pierwsze, że w pisemnym powiadomieniu o zwolnieniu obszernie opisano istotne fakty, przewinienie i zastosowaną sankcję. Powołując się na art. 10 i 11 ustawy o ochronie danych osobowych, sąd pracy stwierdził, że skarżąca dopuściła się bardzo poważnego wykroczenia (</w:t>
      </w:r>
      <w:proofErr w:type="spellStart"/>
      <w:r>
        <w:rPr>
          <w:i/>
        </w:rPr>
        <w:t>falta</w:t>
      </w:r>
      <w:proofErr w:type="spellEnd"/>
      <w:r>
        <w:rPr>
          <w:i/>
        </w:rPr>
        <w:t xml:space="preserve"> </w:t>
      </w:r>
      <w:proofErr w:type="spellStart"/>
      <w:r>
        <w:rPr>
          <w:i/>
        </w:rPr>
        <w:t>muy</w:t>
      </w:r>
      <w:proofErr w:type="spellEnd"/>
      <w:r>
        <w:rPr>
          <w:i/>
        </w:rPr>
        <w:t xml:space="preserve"> grave</w:t>
      </w:r>
      <w:r>
        <w:t>) z art. 54 § 2</w:t>
      </w:r>
      <w:r w:rsidR="00650006">
        <w:t xml:space="preserve"> </w:t>
      </w:r>
      <w:r>
        <w:t>lit. d) Statutu Pracowniczego i art. 35 ust. 11 krajowego układu zbiorowego pracy agencji administracyjnych obowiązującego w przedmiotowym okresie. Sąd pracy stwierdził, co następuje:</w:t>
      </w:r>
    </w:p>
    <w:p w14:paraId="77F75649" w14:textId="6F779E94" w:rsidR="006377D2" w:rsidRPr="005F28E3" w:rsidRDefault="00D7687C" w:rsidP="005F28E3">
      <w:pPr>
        <w:pStyle w:val="JuQuot"/>
      </w:pPr>
      <w:r>
        <w:t>„Na podstawie dowodów wykazano, że [skarżąca] przekazała informacje niejawne i szczególnie chronione dotyczące innych kierowników działów [spółki], zawarte w plikach danych zarejestrowanych w Hiszpańskiej Agencji Ochrony Danych, do których miała dostęp ze względu na zajmowane stanowisko, innym pracownikom spółki oraz osobom trzecim niezwiązanym ze spółką, bez zgody spółki lub osób, których one dotyczyły, wykorzystując je dla osobistej korzyści i w celu niezwiązanym z pełnionymi przez nią funkcjami”. Wniosku tego nie obala niepoparte dowodami twierdzenie skarżącej, że zebrała te informacje posługując się własną pamięcią, gdyż w każdym razie miała wiedzę o tych danych z racji funkcji pełnionych w spółce, gdyż inaczej nie miałaby do nich dostępu, i przechowywała te informacje przez lata, mimo że po dokonaniu miesięcznego przeglądu takich danych, nie miały one dłużej znaczenia w jej pracy. Fakt, że wykorzystała te informacje do wszczęcia postępowania sądowego, nie zwalnia jej ze zobowiązań podjętych wobec spółki, ponieważ niezależnie od uprawnionego celu, do którego dążyła, nie mogła jednostronnie decydować o tym, kiedy, gdzie i jak wykorzystać informacje chronione ustawą o ochronie danych osobowych. Zamiast tego powinna była skorzystać z odpowiedniego mechanizmu proceduralnego (postępowanie przygotowawcze lub przewidywane postępowanie dowodowe), aby uzyskać takie informacje, przy czym nieprzekazanie takich informacji przez spółkę rodziłoby skutki prawne przewidziane w ustawie o postępowaniu w sprawach z zakresu prawa pracy.</w:t>
      </w:r>
    </w:p>
    <w:p w14:paraId="66B63949" w14:textId="54640271" w:rsidR="006377D2" w:rsidRPr="005F28E3" w:rsidRDefault="00D7687C" w:rsidP="005F28E3">
      <w:pPr>
        <w:pStyle w:val="JuQuot"/>
      </w:pPr>
      <w:r>
        <w:t xml:space="preserve"> [...] nawet w hipotetycznej sytuacji, w której znajdowałby zastosowanie wyjątek przewidziany w art. 11 ust. 2 lit. d) ustawy o ochronie danych osobowych, i pomijając postępowanie sądowe, skarżąca</w:t>
      </w:r>
      <w:r w:rsidR="00A83B6C">
        <w:t xml:space="preserve"> </w:t>
      </w:r>
      <w:r>
        <w:t>również zostałaby uznana za osobę, która dopuściła się bardzo poważnego wykroczenia, wykorzystując i przekazując, w celu niezwiązanym z jej pracą, chronione dane osobowe innych osób, bez upoważnienia spółki lub osób, których dane dotyczą, i naruszając w ten sposób obowiązek zachowania tajemnicy określony w art. 10 ustawy o ochronie danych osobowych oraz treść oświadczenia o zachowaniu poufności, które podpisała w dniu 7 lipca 2011 r., znając doskonale instrukcje wydane przez spółkę na podstawie ustawy o ochronie danych osobowych z racji charakteru informacji, którymi zarządzała skarżąca.</w:t>
      </w:r>
    </w:p>
    <w:p w14:paraId="77C08EA4" w14:textId="42B233B1" w:rsidR="006377D2" w:rsidRPr="005F28E3" w:rsidRDefault="00D7687C" w:rsidP="005F28E3">
      <w:pPr>
        <w:pStyle w:val="JuQuot"/>
      </w:pPr>
      <w:r>
        <w:t xml:space="preserve">Postępowanie skarżącej godzi w lojalność należną od każdego pracownika wobec firmy, w której pracuje, niezależnie od niezaistnienia szkody finansowej dla firmy, jak stanowi art. 5 Statutu Pracowniczego, oraz bezpowrotnie narusza równowagę relacji </w:t>
      </w:r>
      <w:r>
        <w:lastRenderedPageBreak/>
        <w:t>między pracownikiem a pracodawcą, ponieważ takie zachowanie jest poważnym uchybieniem podlegającym karze, biorąc pod uwagę fakt, że [w przedmiotowej sprawie] pracownica nie przestrzegała podstawowych obowiązków służbowych i nadużyła zaufania pokładanego w niej przez spółkę, a przy tym znała politykę ochrony danych, zatem była świadoma swojego nagannego zachowania. „Teoria stopniowania” nie znajduje zastosowania do świadomych naruszeń dobrej wiary i lojalności strony umowy o pracę.</w:t>
      </w:r>
    </w:p>
    <w:p w14:paraId="312D23B6" w14:textId="77777777" w:rsidR="006377D2" w:rsidRPr="005F28E3" w:rsidRDefault="00D7687C" w:rsidP="005F28E3">
      <w:pPr>
        <w:pStyle w:val="JuQuot"/>
      </w:pPr>
      <w:r>
        <w:t>Ponieważ udowodnione fakty i przewinienia [skarżącej] stanowiły przewidzianą prawem podstawę do jej dyscyplinarnego zwolnienia, decyzja ta została zakwalifikowana jako zgodna z prawem na podstawie art. 54 Statutu Pracowniczego i art. 108 § 1 ustawy o postępowaniu w sprawach z zakresu prawa pracy oraz jako wywołująca skutki przewidziane w art. 55 § 7 Statutu Pracowniczego i art. 109 ustawy o postępowaniu w sprawach z zakresu prawa pracy".</w:t>
      </w:r>
    </w:p>
    <w:bookmarkStart w:id="10" w:name="paragraph00022"/>
    <w:p w14:paraId="2BBFD9F4" w14:textId="2A3A499F"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22</w:t>
      </w:r>
      <w:r w:rsidRPr="005F28E3">
        <w:fldChar w:fldCharType="end"/>
      </w:r>
      <w:bookmarkEnd w:id="10"/>
      <w:r>
        <w:t>.</w:t>
      </w:r>
      <w:r w:rsidR="00650006">
        <w:t xml:space="preserve"> </w:t>
      </w:r>
      <w:r>
        <w:t>Skarżąca odwołała się od tego wyroku. Zarzuciła, że wykluczenie działania odwetowego na podstawie tego, że wcześniejsze skargi nie spotkały się z żadną reakcją ze strony spółki, stanowiło zaprzeczenie prawa pracowników do ochrony sądowej. Takie rozumowanie oznaczałoby, że wszelkie działania odwetowe wobec pracownika, który zgłaszał skargi spółce przed złożeniem pozwu sądowego, byłyby pozbawione związku przyczynowego. Poza tym, choć we wcześniejszych skargach skarżąca uskarżała się ogólnie na różnice w wynagrodzeniu, to dopiero w postępowaniu pojednawczym po raz pierwszy argumentowała, że taka różnica wynikała z dyskryminującego traktowania ze względu na płeć. Co więcej, istniał wyraźny związek czasowy między jej wnioskiem o postępowanie pojednawcze a jej zwolnieniem, które miało miejsce w okresie krótszym niż miesiąc. Wreszcie sąd pracy nie wziął należycie pod uwagę, że odbiorcami spornej wiadomości e-mail były osoby należące do tej samej spółki lub tej samej grupy kapitałowej, co oznacza, że mogły one mieć dostęp do odpowiednich danych i że dane te zostały wykorzystane wyłącznie w celu obrony jej praw.</w:t>
      </w:r>
    </w:p>
    <w:bookmarkStart w:id="11" w:name="paragraph00023"/>
    <w:p w14:paraId="7A194180" w14:textId="0FBEB044"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23</w:t>
      </w:r>
      <w:r w:rsidRPr="005F28E3">
        <w:fldChar w:fldCharType="end"/>
      </w:r>
      <w:bookmarkEnd w:id="11"/>
      <w:r>
        <w:t>.</w:t>
      </w:r>
      <w:r w:rsidR="00650006">
        <w:t xml:space="preserve"> </w:t>
      </w:r>
      <w:r>
        <w:t>W dniu 13 maja 2020 r. Wyższy Trybunał Andaluzji, w tym samym składzie sędziowskim, który wydał wyżej wspomniany wyrok z 14 lutego 2018 r. w postępowaniu w sprawie dyskryminacji (zob. paragraf </w:t>
      </w:r>
      <w:r w:rsidRPr="005F28E3">
        <w:fldChar w:fldCharType="begin"/>
      </w:r>
      <w:r w:rsidRPr="005F28E3">
        <w:instrText xml:space="preserve">REF paragraph00013 \h \* CharFormat </w:instrText>
      </w:r>
      <w:r w:rsidRPr="005F28E3">
        <w:fldChar w:fldCharType="separate"/>
      </w:r>
      <w:r w:rsidR="00650006">
        <w:t>13</w:t>
      </w:r>
      <w:r w:rsidRPr="005F28E3">
        <w:fldChar w:fldCharType="end"/>
      </w:r>
      <w:r>
        <w:t xml:space="preserve"> powyżej), oddalił odwołanie skarżącej, stwierdzając, co następuje:</w:t>
      </w:r>
    </w:p>
    <w:p w14:paraId="35F2BFDD" w14:textId="5A87B620" w:rsidR="006377D2" w:rsidRPr="005F28E3" w:rsidRDefault="00D7687C" w:rsidP="005F28E3">
      <w:pPr>
        <w:pStyle w:val="JuQuot"/>
      </w:pPr>
      <w:r>
        <w:t>„W pisemnym powiadomieniu o zwolnieniu oznajmiono, że z wiadomości e-mail z dnia 7 kwietnia 2017 r. firma dowiedziała się, że poprzedniego dnia [skarżąca] złożyła wniosek o postępowanie pojednawcze w Centrum Mediacji, Arbitrażu i Postępowań Pojednawczych w Maladze, zarzucając istnienie luki płacowej</w:t>
      </w:r>
      <w:r w:rsidR="00650006">
        <w:t xml:space="preserve"> </w:t>
      </w:r>
      <w:r>
        <w:t xml:space="preserve">[...]. W treści wniosku znalazły się dane o wynagrodzeniach w ujęciu miesięcznym i rocznym oraz dodatkach motywacyjnych w ujęciu rocznym, otrzymywanych przez czterech kierowników działów, ze wskazaniem ich imion i nazwisk, dotyczące okresu 2006-2016. Skarżąca miała dostęp do tych informacji w związku z pełnieniem funkcji kierownika działu finansowego. Treść tego wniosku została przekazana osobom spoza spółki, ponieważ został on wysłany na osobisty adres e-mail skarżącej i adresy e-mail jej prawników, a także na adres e-mail M.A. Pomimo że skarżąca była czasowo niezdolna do pracy, to wysłała wiadomość e-mail do [pracownika] działu finansów, który był jej </w:t>
      </w:r>
      <w:r>
        <w:lastRenderedPageBreak/>
        <w:t>bezpośrednim podwładnym, z prośbą o przesłanie jej listy płac za marzec 2017 r. W odpowiedzi pracownik przesyłał jej żądane informacje.</w:t>
      </w:r>
    </w:p>
    <w:p w14:paraId="3CB75E92" w14:textId="557E9241" w:rsidR="006377D2" w:rsidRPr="005F28E3" w:rsidRDefault="00D7687C" w:rsidP="005F28E3">
      <w:pPr>
        <w:pStyle w:val="JuQuot"/>
      </w:pPr>
      <w:r>
        <w:t>W części zaskarżonego wyroku opisującej stan faktyczny zachowanie przypisane skarżącej pisemnym powiadomieniu o zwolnieniu zostało uznane za udowodnione, ponieważ zwróciła się ona do swojego podwładnego o informacje dotyczące list płac z marca 2017 r., które od niego uzyskała; wniosek o postępowanie pojednawcze zawierał wyszczególnienie wynagrodzeń kierowników działów w ujęciu miesięcznym i rocznym za lata 2006-2016, przy czym wniosek ten skarżąca przesłała w wiadomości e-mail do spółki, na wyżej wymienione adresy e-mail oraz na adres e-mail pana M.A.</w:t>
      </w:r>
    </w:p>
    <w:p w14:paraId="61B3E659" w14:textId="77777777" w:rsidR="006377D2" w:rsidRPr="005F28E3" w:rsidRDefault="00D7687C" w:rsidP="005F28E3">
      <w:pPr>
        <w:pStyle w:val="JuQuot"/>
      </w:pPr>
      <w:r>
        <w:t>Prawdą jest, że w pisemnym powiadomieniu o zwolnieniu nie wspomniano, jakoby skarżąca wysłała wyżej wymienioną wiadomość e-mail także do P.E., G.P. oraz P.M., co również zostało uznane za udowodnione [...] i że tylko konkretne fakty przytoczone w pisemnym powiadomieniu o zwolnieniu mogą być brane pod uwagę.</w:t>
      </w:r>
    </w:p>
    <w:p w14:paraId="4D98BFF8" w14:textId="4C1B99FF" w:rsidR="006377D2" w:rsidRPr="005F28E3" w:rsidRDefault="00D7687C" w:rsidP="005F28E3">
      <w:pPr>
        <w:pStyle w:val="JuQuot"/>
      </w:pPr>
      <w:r>
        <w:t>Skarżąca, zajmując stanowisko kierownika działu finansowego, miała dostęp do pliku danych o nazwie „Zasoby ludzkie”, o średnim poziomie bezpieczeństwa, na potrzeby zarządzania personelem, wynagrodzeniami i zasobami ludzkimi</w:t>
      </w:r>
      <w:r w:rsidR="00650006">
        <w:t xml:space="preserve"> </w:t>
      </w:r>
      <w:r>
        <w:t>[...] 7 lipca 2011 r. podpisała oświadczenie o zachowaniu poufności, zobowiązując się do niewykorzystywania danych osobowych, do których miała dostęp, w innym celu niż wykonywanie powierzonej jej pracy, do nieprzechowywania ich poza miejscem pracy oraz do nieprzekazywania tych danych osobom spoza spółki. Pomimo tego, po zebraniu informacji zawartych w tym pliku, wykorzystała je do uzasadnienia swojego roszczenia [z tytułu dyskryminacji], naruszając obowiązek zachowania poufności</w:t>
      </w:r>
    </w:p>
    <w:p w14:paraId="78096C8D" w14:textId="0276796D" w:rsidR="006377D2" w:rsidRPr="005F28E3" w:rsidRDefault="00D7687C" w:rsidP="005F28E3">
      <w:pPr>
        <w:pStyle w:val="JuQuot"/>
      </w:pPr>
      <w:r>
        <w:t>[…] Można poddać ocenie konflikt między obowiązkiem zachowania poufności a podstawowym prawem skarżącej do niedyskryminacji. Nawet jednak przyjąwszy, że była ona uprawniona do wykorzystania danych niejawnych spółki, do których miała dostęp z racji zajmowanego stanowiska, do uzasadnienia roszczenia [z tytułu dyskryminacji], to mimo konfliktu praw w żadnym razie nie miała prawa przekazać tych danych osobom spoza spółki, a mianowicie właścicielom ww. adresów e-mail oraz panu M.A. Pomimo zarzutów zawartych w odwołaniu, nie wykazano, że odbiorcy przedmiotowej wiadomości e-mail</w:t>
      </w:r>
      <w:r w:rsidR="00650006">
        <w:t xml:space="preserve"> </w:t>
      </w:r>
      <w:r>
        <w:t>[...] mieli wcześniejszą wiedzę na temat danych niejawnych zawartych we wniosku o postępowanie pojednawcze, przy czym nie ma w tym względzie znaczenia fakt, że dwóch z [odbiorców] pracowało w innych spółkach należących do tej samej grupy kapitałowej [....] Ponadto skarżąca nie uzyskała uprzedniej zgody swoich współpracowników na wykorzystanie danych dotyczących ich wynagrodzeń. Wysłanie wniosku o postępowanie pojednawcze do tych osób, bez uzasadnionego powodu, stanowiło rażące naruszenie sekcji 10 i 11 ustawy o ochronie danych osobowych, w związku z art. 5 § d Statutu Pracowniczego, co pociąga za sobą naruszenie dobrej wiary strony umowy, o której mowa w art. 54 § 2 (d) Statutu Pracowniczego.</w:t>
      </w:r>
    </w:p>
    <w:p w14:paraId="1C9646CD" w14:textId="77777777" w:rsidR="006377D2" w:rsidRPr="005F28E3" w:rsidRDefault="00D7687C" w:rsidP="005F28E3">
      <w:pPr>
        <w:pStyle w:val="JuQuot"/>
      </w:pPr>
      <w:r>
        <w:t xml:space="preserve">Dowód </w:t>
      </w:r>
      <w:r>
        <w:rPr>
          <w:i/>
          <w:iCs/>
        </w:rPr>
        <w:t>prima facie</w:t>
      </w:r>
      <w:r>
        <w:t xml:space="preserve"> na naruszenie prawa [skarżącej] do ochrony przed działaniami odwetowymi, wynikający z faktu, że jej zwolnienie nastąpiło po złożeniu wniosku pojednawczego w sprawie luki płacowej, został podważony, i to bardziej przez prawdziwość faktów przytoczonych w pisemnym powiadomieniu o zwolnieniu niż przez okoliczność, że skarżąca ponawiała ustne skargi przez cały okres zatrudnienia. W związku z powyższym [...] odwołanie zostaje oddalone, a wyrok [pierwszej instancji] zostaje utrzymany”.</w:t>
      </w:r>
    </w:p>
    <w:p w14:paraId="4C26D767" w14:textId="73207B7E" w:rsidR="006377D2" w:rsidRPr="005F28E3" w:rsidRDefault="00650006" w:rsidP="005F28E3">
      <w:pPr>
        <w:pStyle w:val="JuPara"/>
      </w:pPr>
      <w:fldSimple w:instr=" SEQ level0 \*arabic \* MERGEFORMAT ">
        <w:r>
          <w:rPr>
            <w:noProof/>
          </w:rPr>
          <w:t>24</w:t>
        </w:r>
      </w:fldSimple>
      <w:r w:rsidR="00D7687C">
        <w:t>.</w:t>
      </w:r>
      <w:r>
        <w:t xml:space="preserve"> </w:t>
      </w:r>
      <w:r w:rsidR="00D7687C">
        <w:t xml:space="preserve">Skarżąca wniosła następnie skargę kasacyjną, ponawiając swoje żądania i powołując się na inne wyroki, które zawierały inne rozstrzygnięcia w jej zdaniem podobnych sytuacjach. 24 marca 2021 r. Sąd Najwyższy uznał </w:t>
      </w:r>
      <w:r w:rsidR="00D7687C">
        <w:lastRenderedPageBreak/>
        <w:t>skargę kasacyjną za niedopuszczalną, stwierdzając, że dwa wyroki przytoczone jako przeciwstawne nie dotyczyły podobnych sytuacji i nie poruszały podobnych kwestii.</w:t>
      </w:r>
    </w:p>
    <w:p w14:paraId="0922555A" w14:textId="55EF9365" w:rsidR="006377D2" w:rsidRPr="005F28E3" w:rsidRDefault="00650006" w:rsidP="005F28E3">
      <w:pPr>
        <w:pStyle w:val="JuPara"/>
      </w:pPr>
      <w:fldSimple w:instr=" SEQ level0 \*arabic \* MERGEFORMAT ">
        <w:r>
          <w:rPr>
            <w:noProof/>
          </w:rPr>
          <w:t>25</w:t>
        </w:r>
      </w:fldSimple>
      <w:r w:rsidR="00D7687C">
        <w:t>.</w:t>
      </w:r>
      <w:r>
        <w:t xml:space="preserve"> </w:t>
      </w:r>
      <w:r w:rsidR="00D7687C">
        <w:t xml:space="preserve">Skarżąca wniosła skargę konstytucyjną </w:t>
      </w:r>
      <w:proofErr w:type="spellStart"/>
      <w:r w:rsidR="00D7687C">
        <w:rPr>
          <w:i/>
        </w:rPr>
        <w:t>amparo</w:t>
      </w:r>
      <w:proofErr w:type="spellEnd"/>
      <w:r w:rsidR="00D7687C">
        <w:t xml:space="preserve"> do Trybunału Konstytucyjnego, zarzucając naruszenie jej prawa do skutecznej ochrony sądowej oraz prawa do równości (odpowiednio na podstawie art. 24 i 14 Konstytucji Hiszpanii).</w:t>
      </w:r>
    </w:p>
    <w:bookmarkStart w:id="12" w:name="paragraph00026"/>
    <w:p w14:paraId="05310363" w14:textId="209A527D"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26</w:t>
      </w:r>
      <w:r w:rsidRPr="005F28E3">
        <w:fldChar w:fldCharType="end"/>
      </w:r>
      <w:bookmarkEnd w:id="12"/>
      <w:r>
        <w:t>.</w:t>
      </w:r>
      <w:r w:rsidR="00650006">
        <w:t xml:space="preserve"> </w:t>
      </w:r>
      <w:r>
        <w:t>Skarżąca powtórzyła, że powodem zwolnienia było wyłącznie wcześniejsze roszczenie przeciwko spółce z tytułu dyskryminacji ze względu na płeć w zakresie jej wynagrodzenia, a zatem zwolnienie stanowiło naruszenie jej prawa do ochrony przed działaniami odwetowymi. Podkreśliła w tym względzie bezpośredni związek czasowy między jej skargą o dyskryminację, złożoną w kwietniu 2017 r., a zwolnieniem, o którym zdecydowano w maju 2017 r. W praktyce pozbawiło to skuteczności korzystny wyrok w sprawie o dyskryminację w zakresie wynagrodzenia, ponieważ rozwiązanie umowy o pracę oznaczało, że nie otrzymała ona kwot uznanych w tym wyroku za godziwe wynagrodzenie.</w:t>
      </w:r>
    </w:p>
    <w:p w14:paraId="445BAE74" w14:textId="77777777" w:rsidR="006377D2" w:rsidRPr="005F28E3" w:rsidRDefault="00D7687C" w:rsidP="005F28E3">
      <w:pPr>
        <w:pStyle w:val="JuPara"/>
      </w:pPr>
      <w:r>
        <w:t>Skarżąca twierdziła również, że orzeczenia sądowe w sprawie jej zwolnienia były niespójne i nie uwzględniały należycie jej prawa do niedyskryminacji. W szczególności sądy uznały, że ogólne oświadczenie o zachowaniu poufności mogło ograniczać jej prawo do dochodzenia roszczenia z tytułu dyskryminacji płacowej. W związku z tym sądy nie zdołały zrównoważyć podstawowych praw skarżącej z prawem do prywatności jej współpracowników. Skarżąca podkreśliła, że uzyskała te informacje zgodnie z prawem, że informacje te były niezbędne do uargumentowania jej roszczenia, że nie było innych środków zapewniających wyższy poziom ochrony tych danych i że pracownicy, których to dotyczyło, nie ponieśli żadnej szkody, więc nie doszło do rzeczywistego naruszenia ich praw. Zarzuciła ponadto, że wykorzystanie tych danych zostało zaakceptowane w postępowaniu w sprawie o dyskryminację, zatem utrzymanie decyzji o jej zwolnieniu na tej podstawie znamionowało sprzeczność.</w:t>
      </w:r>
    </w:p>
    <w:p w14:paraId="0C40688B" w14:textId="77777777" w:rsidR="006377D2" w:rsidRPr="005F28E3" w:rsidRDefault="00D7687C" w:rsidP="005F28E3">
      <w:pPr>
        <w:pStyle w:val="JuPara"/>
      </w:pPr>
      <w:r>
        <w:t>Argumentowała, że z drugiej strony sąd pracy uznał element nieprzytoczony w pisemnym powiadomieniu o zwolnieniu - czyli wysłanie wiadomości e-mail do osób z zewnątrz - za podstawę jej zwolnienia oraz że tożsamość odbiorców, związek ze spółką oraz ich wiedza na temat odpowiednich danych nie były przedmiotem rozważań w postępowaniu przed sądem pracy.</w:t>
      </w:r>
    </w:p>
    <w:p w14:paraId="1DF74C27" w14:textId="77777777" w:rsidR="006377D2" w:rsidRPr="005F28E3" w:rsidRDefault="00D7687C" w:rsidP="005F28E3">
      <w:pPr>
        <w:pStyle w:val="JuPara"/>
      </w:pPr>
      <w:r>
        <w:t>Skarżąca domagała się uznania jej zwolnienia za nieważne, ponieważ nastąpiło naruszeniem jej praw podstawowych. Podsumowując, dyskryminujące zachowanie spółki - jak wykazały sądy krajowe - pozostało bez żadnych odpowiednich konsekwencji.</w:t>
      </w:r>
    </w:p>
    <w:bookmarkStart w:id="13" w:name="paragraph00027"/>
    <w:p w14:paraId="33313BBA" w14:textId="64A82D94"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27</w:t>
      </w:r>
      <w:r w:rsidRPr="005F28E3">
        <w:fldChar w:fldCharType="end"/>
      </w:r>
      <w:bookmarkEnd w:id="13"/>
      <w:r>
        <w:t>.</w:t>
      </w:r>
      <w:r w:rsidR="00650006">
        <w:t xml:space="preserve"> </w:t>
      </w:r>
      <w:r>
        <w:t xml:space="preserve">W celu wykazania szczególnego znaczenia konstytucyjnego skargi </w:t>
      </w:r>
      <w:proofErr w:type="spellStart"/>
      <w:r>
        <w:rPr>
          <w:i/>
        </w:rPr>
        <w:t>amparo</w:t>
      </w:r>
      <w:proofErr w:type="spellEnd"/>
      <w:r>
        <w:t xml:space="preserve">, skarżąca argumentowała, po pierwsze, że skarga porusza kwestię, w </w:t>
      </w:r>
      <w:r>
        <w:lastRenderedPageBreak/>
        <w:t>której nie ma orzecznictwa sądu konstytucyjnego. W szczególności decyzja o niedopuszczalności skargi kasacyjnej doprowadziła do naruszenia prawa do ochrony przed odwetem. Z drugiej strony, istniała potrzeba wyjaśnienia relacji między różnymi prawami (prawo do niedyskryminacji, prawo do komunikowania się i otrzymywania informacji, prawo do ochrony przed odwetem i prawo do skutecznej ochrony sądowej), na które wpływ miała odmowa dostępu do skargi kasacyjnej, skutkująca utrzymaniem w mocy odwetu na skarżącej. Szczególne znaczenie konstytucyjne skargi miało wynikać z ustalenia, czy pośrednio, z perspektywy dostępu do środka odwoławczego, możliwe byłoby utrzymanie w mocy rozstrzygnięcia naruszającego prawo do ochrony przed działaniami odwetowymi. Niezbadanie zarzucanego działania odwetowego przez Sąd Najwyższy z racji surowych kryteriów dopuszczalności skargi skutkowałoby bezkarnością spółek, które działały z naruszeniem praw podstawowych.</w:t>
      </w:r>
    </w:p>
    <w:p w14:paraId="02CD13F5" w14:textId="791CB359" w:rsidR="006377D2" w:rsidRPr="005F28E3" w:rsidRDefault="00650006" w:rsidP="005F28E3">
      <w:pPr>
        <w:pStyle w:val="JuPara"/>
      </w:pPr>
      <w:fldSimple w:instr=" SEQ level0 \*arabic \* MERGEFORMAT ">
        <w:r>
          <w:rPr>
            <w:noProof/>
          </w:rPr>
          <w:t>28</w:t>
        </w:r>
      </w:fldSimple>
      <w:r w:rsidR="00D7687C">
        <w:t>.</w:t>
      </w:r>
      <w:r w:rsidR="00891106">
        <w:t xml:space="preserve"> W dniu</w:t>
      </w:r>
      <w:r>
        <w:t xml:space="preserve"> </w:t>
      </w:r>
      <w:r w:rsidR="00D7687C">
        <w:t xml:space="preserve">17 stycznia 2022 r. Trybunał Konstytucyjny uznał skargę </w:t>
      </w:r>
      <w:proofErr w:type="spellStart"/>
      <w:r w:rsidR="00D7687C">
        <w:rPr>
          <w:i/>
        </w:rPr>
        <w:t>amparo</w:t>
      </w:r>
      <w:proofErr w:type="spellEnd"/>
      <w:r w:rsidR="00D7687C">
        <w:t xml:space="preserve"> za niedopuszczalną, stwierdzając, że skarżąca nie wywiązała się należycie z obowiązku wykazania jej szczególnego znaczenia konstytucyjnego.</w:t>
      </w:r>
    </w:p>
    <w:p w14:paraId="10835920" w14:textId="77777777" w:rsidR="006377D2" w:rsidRPr="005F28E3" w:rsidRDefault="00D7687C" w:rsidP="005F28E3">
      <w:pPr>
        <w:pStyle w:val="JuHIRoman"/>
      </w:pPr>
      <w:r>
        <w:t>POSTĘPOWANIE KARNE PRZECIWKO SKARŻĄCEJ</w:t>
      </w:r>
    </w:p>
    <w:p w14:paraId="19FEE02B" w14:textId="05B4093A" w:rsidR="006377D2" w:rsidRPr="005F28E3" w:rsidRDefault="00650006" w:rsidP="005F28E3">
      <w:pPr>
        <w:pStyle w:val="JuPara"/>
      </w:pPr>
      <w:fldSimple w:instr=" SEQ level0 \*arabic \* MERGEFORMAT ">
        <w:r>
          <w:rPr>
            <w:noProof/>
          </w:rPr>
          <w:t>29</w:t>
        </w:r>
      </w:fldSimple>
      <w:r w:rsidR="00D7687C">
        <w:t>.</w:t>
      </w:r>
      <w:r>
        <w:t xml:space="preserve"> </w:t>
      </w:r>
      <w:r w:rsidR="00891106">
        <w:t xml:space="preserve">W dniu </w:t>
      </w:r>
      <w:r w:rsidR="00D7687C">
        <w:t>30 maja 2017 r. spółka oskarżyła skarżącą o bezprawne ujawnienie tajemnic na podstawie tych samych faktów przytoczonych w pisemnym powiadomieniu o zwolnieniu.</w:t>
      </w:r>
    </w:p>
    <w:p w14:paraId="61EA9D4C" w14:textId="59EF96CA" w:rsidR="006377D2" w:rsidRPr="005F28E3" w:rsidRDefault="00650006" w:rsidP="005F28E3">
      <w:pPr>
        <w:pStyle w:val="JuPara"/>
      </w:pPr>
      <w:fldSimple w:instr=" SEQ level0 \*arabic \* MERGEFORMAT ">
        <w:r>
          <w:rPr>
            <w:noProof/>
          </w:rPr>
          <w:t>30</w:t>
        </w:r>
      </w:fldSimple>
      <w:r w:rsidR="00D7687C">
        <w:t>.</w:t>
      </w:r>
      <w:r>
        <w:t xml:space="preserve"> </w:t>
      </w:r>
      <w:r w:rsidR="00891106">
        <w:t xml:space="preserve">W dniu </w:t>
      </w:r>
      <w:r w:rsidR="00D7687C">
        <w:t>27 czerwca 2017 r. sąd śledczy nr 7 w Maladze postanowił umorzyć postępowanie (</w:t>
      </w:r>
      <w:proofErr w:type="spellStart"/>
      <w:r w:rsidR="00D7687C">
        <w:rPr>
          <w:i/>
        </w:rPr>
        <w:t>sobreseimiento</w:t>
      </w:r>
      <w:proofErr w:type="spellEnd"/>
      <w:r w:rsidR="00D7687C">
        <w:rPr>
          <w:i/>
        </w:rPr>
        <w:t xml:space="preserve"> </w:t>
      </w:r>
      <w:proofErr w:type="spellStart"/>
      <w:r w:rsidR="00D7687C">
        <w:rPr>
          <w:i/>
        </w:rPr>
        <w:t>provisional</w:t>
      </w:r>
      <w:proofErr w:type="spellEnd"/>
      <w:r w:rsidR="00D7687C">
        <w:t>), uznając, po pierwsze, że okoliczności, w których skarżąca przej</w:t>
      </w:r>
      <w:r w:rsidR="00891106">
        <w:t>ęła</w:t>
      </w:r>
      <w:r w:rsidR="00D7687C">
        <w:t xml:space="preserve"> odpowiednie dane, były niejasne, a po drugie, że celem nie było ujawnienie tajemnic ani naruszenie prawa do poszanowania życia prywatnego osób trzecich, ale wykazanie istotnych informacji w ramach postępowania przeciwko spółce.</w:t>
      </w:r>
    </w:p>
    <w:p w14:paraId="00A157FC" w14:textId="5778A457" w:rsidR="006377D2" w:rsidRPr="005F28E3" w:rsidRDefault="00650006" w:rsidP="005F28E3">
      <w:pPr>
        <w:pStyle w:val="JuPara"/>
      </w:pPr>
      <w:fldSimple w:instr=" SEQ level0 \*arabic \* MERGEFORMAT ">
        <w:r>
          <w:rPr>
            <w:noProof/>
          </w:rPr>
          <w:t>31</w:t>
        </w:r>
      </w:fldSimple>
      <w:r w:rsidR="00D7687C">
        <w:t>.</w:t>
      </w:r>
      <w:r>
        <w:t xml:space="preserve"> </w:t>
      </w:r>
      <w:r w:rsidR="00891106">
        <w:t xml:space="preserve">W dniu </w:t>
      </w:r>
      <w:r w:rsidR="00D7687C">
        <w:t xml:space="preserve">11 grudnia 2017 r. sąd </w:t>
      </w:r>
      <w:proofErr w:type="spellStart"/>
      <w:r w:rsidR="00D7687C">
        <w:rPr>
          <w:i/>
        </w:rPr>
        <w:t>Audiencia</w:t>
      </w:r>
      <w:proofErr w:type="spellEnd"/>
      <w:r w:rsidR="00D7687C">
        <w:rPr>
          <w:i/>
        </w:rPr>
        <w:t xml:space="preserve"> </w:t>
      </w:r>
      <w:proofErr w:type="spellStart"/>
      <w:r w:rsidR="00D7687C">
        <w:rPr>
          <w:i/>
        </w:rPr>
        <w:t>Provincial</w:t>
      </w:r>
      <w:proofErr w:type="spellEnd"/>
      <w:r w:rsidR="00D7687C">
        <w:t xml:space="preserve"> w Maladze uwzględnił złożone przez spółkę odwołanie od tego postanowienia. Sąd zauważył, że wykorzystanie bezprawnie uzyskanych informacji na temat wynagrodzeń w celu uzasadnienia pozwu sądowego zostało w niektórych przypadkach uznane za przestępstwo w sprawach z zakresu prawa rodzinnego i że orzecznictwo to może, co do zasady, mieć zastosowanie w innych obszarach. Z drugiej strony, sędzia śledczy nie podjął żadnych czynności śledczych w celu ustalenia sposobu, w jaki doszło do przejęcia danych. Wreszcie, nawet przyjmując, że skarżąca nie miała zamiaru ujawnić tych danych, to miała świadomość, że nie była uprawniona do dostępu do takich informacji oraz do ich ujawnienia. W związku z tym </w:t>
      </w:r>
      <w:proofErr w:type="spellStart"/>
      <w:r w:rsidR="00D7687C">
        <w:rPr>
          <w:i/>
        </w:rPr>
        <w:t>Audiencia</w:t>
      </w:r>
      <w:proofErr w:type="spellEnd"/>
      <w:r w:rsidR="00D7687C">
        <w:rPr>
          <w:i/>
        </w:rPr>
        <w:t xml:space="preserve"> </w:t>
      </w:r>
      <w:proofErr w:type="spellStart"/>
      <w:r w:rsidR="00D7687C">
        <w:rPr>
          <w:i/>
        </w:rPr>
        <w:t>Provincial</w:t>
      </w:r>
      <w:proofErr w:type="spellEnd"/>
      <w:r w:rsidR="00D7687C">
        <w:t xml:space="preserve"> odesłał sprawę do sądu śledczego w celu podjęcia czynności śledczych zgodnie z wnioskiem spółki.</w:t>
      </w:r>
    </w:p>
    <w:p w14:paraId="48B91D30" w14:textId="64BD3057" w:rsidR="006377D2" w:rsidRPr="005F28E3" w:rsidRDefault="00650006" w:rsidP="005F28E3">
      <w:pPr>
        <w:pStyle w:val="JuPara"/>
      </w:pPr>
      <w:fldSimple w:instr=" SEQ level0 \*arabic \* MERGEFORMAT ">
        <w:r>
          <w:rPr>
            <w:noProof/>
          </w:rPr>
          <w:t>32</w:t>
        </w:r>
      </w:fldSimple>
      <w:r w:rsidR="00D7687C">
        <w:t>.</w:t>
      </w:r>
      <w:r>
        <w:t xml:space="preserve"> </w:t>
      </w:r>
      <w:r w:rsidR="00D7687C">
        <w:t>Sąd śledczy, po przesłuchaniu skarżącej i kilku świadków, wydał nowe postanowienie o umorzeniu postępowania. Stwierdził, że skarżąca miała dostęp do danych z racji zajmowanego stanowiska w spółce i powtórzył, że jej celem nie było ujawnienie tajemnic ani naruszenie prawa do poszanowania życia prywatnego osób trzecich, ale wykazanie istotnych informacji w ramach postępowania w sprawie dyskryminacji przeciwko spółce. Zauważył, że w ramach postępowania uznano, że zarzucana dyskryminacja miała miejsce oraz że spółka ze swojej strony nie podniosła zarzutu, że dowody zostały uzyskane niezgodnie z prawem. Wydaje się, że to postanowienie ta nie zostało zaskarżone przez spółkę.</w:t>
      </w:r>
    </w:p>
    <w:p w14:paraId="00A18E96" w14:textId="77777777" w:rsidR="006377D2" w:rsidRPr="005F28E3" w:rsidRDefault="00D7687C" w:rsidP="005F28E3">
      <w:pPr>
        <w:pStyle w:val="JuHHead"/>
      </w:pPr>
      <w:r>
        <w:t>WŁAŚCIWE RAMY PRAWNE I PRAKTYKA</w:t>
      </w:r>
    </w:p>
    <w:p w14:paraId="50E7CEC2" w14:textId="77777777" w:rsidR="006377D2" w:rsidRPr="005F28E3" w:rsidRDefault="00D7687C" w:rsidP="005F28E3">
      <w:pPr>
        <w:pStyle w:val="JuHIRoman"/>
      </w:pPr>
      <w:r>
        <w:t>PRAWO KRAJOWE I PRAKTYKA</w:t>
      </w:r>
    </w:p>
    <w:bookmarkStart w:id="14" w:name="paragraph00033"/>
    <w:p w14:paraId="67F3C024" w14:textId="61E6FA6D"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33</w:t>
      </w:r>
      <w:r w:rsidRPr="005F28E3">
        <w:fldChar w:fldCharType="end"/>
      </w:r>
      <w:bookmarkEnd w:id="14"/>
      <w:r>
        <w:t>.</w:t>
      </w:r>
      <w:r w:rsidR="00650006">
        <w:t xml:space="preserve"> </w:t>
      </w:r>
      <w:r>
        <w:t>Ustawa instytucjonalna 3/2007 z dnia 22 marca 2007 r. o rzeczywistej równości kobiet i mężczyzn, w zakresie, w jakim ma to zastosowanie, stanowi:</w:t>
      </w:r>
    </w:p>
    <w:p w14:paraId="0D1F1E51" w14:textId="77777777" w:rsidR="006377D2" w:rsidRPr="005F28E3" w:rsidRDefault="00D7687C" w:rsidP="005F28E3">
      <w:pPr>
        <w:pStyle w:val="JuHArticle"/>
      </w:pPr>
      <w:r>
        <w:t>Artykuł 5. Równe traktowanie i równe szanse w zakresie dostępu do zatrudnienia, szkolenia zawodowego i awansu oraz warunków pracy</w:t>
      </w:r>
    </w:p>
    <w:p w14:paraId="7DDAB8DA" w14:textId="77777777" w:rsidR="006377D2" w:rsidRPr="005F28E3" w:rsidRDefault="00D7687C" w:rsidP="005F28E3">
      <w:pPr>
        <w:pStyle w:val="JuQuot"/>
      </w:pPr>
      <w:r>
        <w:t>„Na warunkach przewidzianych w odpowiednich przepisach gwarantuje się poszanowanie zasady równego traktowania i równych szans dla kobiet i mężczyzn, mającej zastosowanie w sferze zatrudnienia w sektorze prywatnym oraz publicznym, w zakresie dostępu do zatrudnienia, w tym do samozatrudnienia, szkolenia zawodowego, awansu zawodowego, warunków pracy, w tym wynagrodzeń i zwolnień, oraz członkostwa i uczestnictwa w związkach zawodowych oraz organizacjach pracodawców lub w jakiejkolwiek organizacji, której członkowie wykonują określony zawód, w tym w zakresie świadczeń przez nie przyznawanych”.</w:t>
      </w:r>
    </w:p>
    <w:p w14:paraId="4AF28293" w14:textId="77777777" w:rsidR="006377D2" w:rsidRPr="005F28E3" w:rsidRDefault="00D7687C" w:rsidP="005F28E3">
      <w:pPr>
        <w:pStyle w:val="JuHArticle"/>
      </w:pPr>
      <w:r>
        <w:t>Artykuł 9. Ochrona przed odwetem</w:t>
      </w:r>
    </w:p>
    <w:p w14:paraId="54881326" w14:textId="77777777" w:rsidR="006377D2" w:rsidRPr="005F28E3" w:rsidRDefault="00D7687C" w:rsidP="005F28E3">
      <w:pPr>
        <w:pStyle w:val="JuQuot"/>
      </w:pPr>
      <w:r>
        <w:t>„Za dyskryminację ze względu na płeć uznaje się również każde niekorzystne traktowanie lub negatywny skutek, jakiego doznała dana osoba w wyniku wniesienia skargi, roszczenia, doniesienia, pozwu lub odwołania jakiegokolwiek rodzaju, służących zapobieżeniu dyskryminacji i domaganiu się skutecznego przestrzegania zasady równego traktowania kobiet i mężczyzn”.</w:t>
      </w:r>
    </w:p>
    <w:p w14:paraId="0353792B" w14:textId="38698BA6" w:rsidR="006377D2" w:rsidRPr="005F28E3" w:rsidRDefault="00650006" w:rsidP="005F28E3">
      <w:pPr>
        <w:pStyle w:val="JuPara"/>
      </w:pPr>
      <w:fldSimple w:instr=" SEQ level0 \*arabic \* MERGEFORMAT ">
        <w:bookmarkStart w:id="15" w:name="paragraph00034"/>
        <w:r>
          <w:rPr>
            <w:noProof/>
          </w:rPr>
          <w:t>34</w:t>
        </w:r>
        <w:bookmarkEnd w:id="15"/>
      </w:fldSimple>
      <w:r w:rsidR="00D7687C">
        <w:t>.</w:t>
      </w:r>
      <w:r>
        <w:t xml:space="preserve"> </w:t>
      </w:r>
      <w:r w:rsidR="00D7687C">
        <w:t>Odpowiednie przepisy Statutu Pracowniczego, obowiązujące w przedmiotowym okresie, stanowiły, co następuje:</w:t>
      </w:r>
    </w:p>
    <w:p w14:paraId="345C0A5D" w14:textId="77777777" w:rsidR="006377D2" w:rsidRPr="005F28E3" w:rsidRDefault="00D7687C" w:rsidP="005F28E3">
      <w:pPr>
        <w:pStyle w:val="JuHArticle"/>
      </w:pPr>
      <w:r>
        <w:t>Artykuł 5. Obowiązki pracowników</w:t>
      </w:r>
    </w:p>
    <w:p w14:paraId="4A065DEA" w14:textId="77777777" w:rsidR="006377D2" w:rsidRPr="005F28E3" w:rsidRDefault="00D7687C" w:rsidP="005F28E3">
      <w:pPr>
        <w:pStyle w:val="JuQuot"/>
      </w:pPr>
      <w:r>
        <w:t>„Podstawowymi obowiązkami pracowników są:</w:t>
      </w:r>
    </w:p>
    <w:p w14:paraId="714DB977" w14:textId="77777777" w:rsidR="006377D2" w:rsidRPr="005F28E3" w:rsidRDefault="00D7687C" w:rsidP="005F28E3">
      <w:pPr>
        <w:pStyle w:val="JuQuot"/>
      </w:pPr>
      <w:r>
        <w:t>a) wykonywanie poszczególnych obowiązków związanych z zajmowanym stanowiskiem, zgodnie z zasadami dobrej wiary i należytej staranności;</w:t>
      </w:r>
    </w:p>
    <w:p w14:paraId="4DD0F3CE" w14:textId="77777777" w:rsidR="006377D2" w:rsidRPr="005F28E3" w:rsidRDefault="00D7687C" w:rsidP="005F28E3">
      <w:pPr>
        <w:pStyle w:val="JuQuot"/>
      </w:pPr>
      <w:r>
        <w:t>b) przestrzeganie przyjętych środków zapobiegania ryzyku zawodowemu;</w:t>
      </w:r>
    </w:p>
    <w:p w14:paraId="6425FD20" w14:textId="77777777" w:rsidR="006377D2" w:rsidRPr="005F28E3" w:rsidRDefault="00D7687C" w:rsidP="005F28E3">
      <w:pPr>
        <w:pStyle w:val="JuQuot"/>
      </w:pPr>
      <w:r>
        <w:lastRenderedPageBreak/>
        <w:t>c) stosowanie się do poleceń i instrukcji pracodawcy w ramach regularnego wykonywania uprawnień kierowniczych;</w:t>
      </w:r>
    </w:p>
    <w:p w14:paraId="206CA5EB" w14:textId="77777777" w:rsidR="006377D2" w:rsidRPr="005F28E3" w:rsidRDefault="00D7687C" w:rsidP="005F28E3">
      <w:pPr>
        <w:pStyle w:val="JuQuot"/>
      </w:pPr>
      <w:r>
        <w:t>d) niekonkurowanie z działalnością przedsiębiorstwa na warunkach określonych w niniejszej ustawie</w:t>
      </w:r>
    </w:p>
    <w:p w14:paraId="0325F46D" w14:textId="77777777" w:rsidR="006377D2" w:rsidRPr="005F28E3" w:rsidRDefault="00D7687C" w:rsidP="005F28E3">
      <w:pPr>
        <w:pStyle w:val="JuQuot"/>
      </w:pPr>
      <w:r>
        <w:t>e) przyczynianie się do poprawy wydajności; [oraz]</w:t>
      </w:r>
    </w:p>
    <w:p w14:paraId="621EBB15" w14:textId="77777777" w:rsidR="006377D2" w:rsidRPr="005F28E3" w:rsidRDefault="00D7687C" w:rsidP="005F28E3">
      <w:pPr>
        <w:pStyle w:val="JuQuot"/>
      </w:pPr>
      <w:r>
        <w:t>f) wszelkie inne obowiązki wynikające, w stosownych przypadkach, z odpowiednich umów o pracę.</w:t>
      </w:r>
    </w:p>
    <w:p w14:paraId="4FFC0B64" w14:textId="77777777" w:rsidR="006377D2" w:rsidRPr="005F28E3" w:rsidRDefault="00D7687C" w:rsidP="005F28E3">
      <w:pPr>
        <w:pStyle w:val="JuQuot"/>
      </w:pPr>
      <w:r>
        <w:t>[…] ”</w:t>
      </w:r>
    </w:p>
    <w:p w14:paraId="134DE85A" w14:textId="77777777" w:rsidR="006377D2" w:rsidRPr="005F28E3" w:rsidRDefault="00D7687C" w:rsidP="005F28E3">
      <w:pPr>
        <w:pStyle w:val="JuHArticle"/>
      </w:pPr>
      <w:r>
        <w:t>Artykuł 17. Zakaz dyskryminacji w stosunkach pracy</w:t>
      </w:r>
    </w:p>
    <w:p w14:paraId="2ED78330" w14:textId="7B08A752" w:rsidR="006377D2" w:rsidRPr="005F28E3" w:rsidRDefault="00D7687C" w:rsidP="005F28E3">
      <w:pPr>
        <w:pStyle w:val="JuQuot"/>
      </w:pPr>
      <w:r>
        <w:t>„1. Wszelkie postanowienia regulaminów, klauzule w układach zbiorowych, indywidualne umowy i jednostronne decyzje pracodawcy, które prowadzą do bezpośredniej lub pośredniej dyskryminacji ze względu na płeć</w:t>
      </w:r>
      <w:r w:rsidR="00650006">
        <w:t xml:space="preserve"> </w:t>
      </w:r>
      <w:r>
        <w:t>[...] w zatrudnieniu, a także w kwestiach wynagrodzenia, czasu pracy i innych warunków pracy, uznaje się za nieważne.</w:t>
      </w:r>
    </w:p>
    <w:p w14:paraId="1CD08EA6" w14:textId="77777777" w:rsidR="006377D2" w:rsidRPr="005F28E3" w:rsidRDefault="00D7687C" w:rsidP="005F28E3">
      <w:pPr>
        <w:pStyle w:val="JuQuot"/>
      </w:pPr>
      <w:r>
        <w:t>Wszelkie nakazy dyskryminacji oraz wszelkie decyzje pracodawcy stanowiące niekorzystne traktowanie pracowników w reakcji na skargę złożoną w przedsiębiorstwie, w postępowaniu administracyjnym lub sądowym, z żądaniem przestrzegania zasady równego traktowania i niedyskryminacji również uznaje się za nieważne.</w:t>
      </w:r>
    </w:p>
    <w:p w14:paraId="07FD315A" w14:textId="77777777" w:rsidR="006377D2" w:rsidRPr="005F28E3" w:rsidRDefault="00D7687C" w:rsidP="005F28E3">
      <w:pPr>
        <w:pStyle w:val="JuQuot"/>
      </w:pPr>
      <w:r>
        <w:t>[…]”.</w:t>
      </w:r>
    </w:p>
    <w:p w14:paraId="175B0245" w14:textId="77777777" w:rsidR="006377D2" w:rsidRPr="005F28E3" w:rsidRDefault="00D7687C" w:rsidP="005F28E3">
      <w:pPr>
        <w:pStyle w:val="JuHArticle"/>
      </w:pPr>
      <w:r>
        <w:t>Artykuł 54. Zwolnienie dyscyplinarne</w:t>
      </w:r>
    </w:p>
    <w:p w14:paraId="1972C9DD" w14:textId="77777777" w:rsidR="006377D2" w:rsidRPr="005F28E3" w:rsidRDefault="00D7687C" w:rsidP="005F28E3">
      <w:pPr>
        <w:pStyle w:val="JuQuot"/>
      </w:pPr>
      <w:r>
        <w:t>„1. W przypadku ciężkiego i zawinionego naruszenia umowy przez pracownika umowa o pracę może zostać rozwiązana decyzją pracodawcy o zwolnieniu pracownika.</w:t>
      </w:r>
    </w:p>
    <w:p w14:paraId="63B6F0FC" w14:textId="77777777" w:rsidR="006377D2" w:rsidRPr="005F28E3" w:rsidRDefault="00D7687C" w:rsidP="005F28E3">
      <w:pPr>
        <w:pStyle w:val="JuQuot"/>
      </w:pPr>
      <w:r>
        <w:t>2. Za naruszenia umowy uznaje się:</w:t>
      </w:r>
    </w:p>
    <w:p w14:paraId="7C47DB3F" w14:textId="77777777" w:rsidR="006377D2" w:rsidRPr="005F28E3" w:rsidRDefault="00D7687C" w:rsidP="005F28E3">
      <w:pPr>
        <w:pStyle w:val="JuQuot"/>
      </w:pPr>
      <w:r>
        <w:t>[…]</w:t>
      </w:r>
    </w:p>
    <w:p w14:paraId="6BB2E8B6" w14:textId="77777777" w:rsidR="006377D2" w:rsidRPr="005F28E3" w:rsidRDefault="00D7687C" w:rsidP="005F28E3">
      <w:pPr>
        <w:pStyle w:val="JuQuot"/>
      </w:pPr>
      <w:r>
        <w:t>b) akty niesubordynacji lub nieposłuszeństwa w pracy;</w:t>
      </w:r>
    </w:p>
    <w:p w14:paraId="49966C74" w14:textId="77777777" w:rsidR="006377D2" w:rsidRPr="005F28E3" w:rsidRDefault="00D7687C" w:rsidP="005F28E3">
      <w:pPr>
        <w:pStyle w:val="JuQuot"/>
      </w:pPr>
      <w:r>
        <w:t>[…]</w:t>
      </w:r>
    </w:p>
    <w:p w14:paraId="2ACB6BFE" w14:textId="77777777" w:rsidR="006377D2" w:rsidRPr="005F28E3" w:rsidRDefault="00D7687C" w:rsidP="005F28E3">
      <w:pPr>
        <w:pStyle w:val="JuQuot"/>
      </w:pPr>
      <w:r>
        <w:t>d) naruszenie dobrej wiary strony umowy i nadużycie zaufania podczas świadczenia pracy”.</w:t>
      </w:r>
    </w:p>
    <w:p w14:paraId="58FABE8C" w14:textId="77777777" w:rsidR="006377D2" w:rsidRPr="005F28E3" w:rsidRDefault="00D7687C" w:rsidP="005F28E3">
      <w:pPr>
        <w:pStyle w:val="JuHArticle"/>
      </w:pPr>
      <w:r>
        <w:t>Artykuł 55. Forma i skutki zwolnienia dyscyplinarnego</w:t>
      </w:r>
    </w:p>
    <w:p w14:paraId="266CE172" w14:textId="4A457918" w:rsidR="006377D2" w:rsidRPr="005F28E3" w:rsidRDefault="00D7687C" w:rsidP="005F28E3">
      <w:pPr>
        <w:pStyle w:val="JuQuot"/>
      </w:pPr>
      <w:r>
        <w:t>„1. Pracownika powiadamia się pisemnie o zwolnieniu, z podaniem powodów zwolnienia oraz daty, od której staje się ono skuteczne.</w:t>
      </w:r>
    </w:p>
    <w:p w14:paraId="3A118B0F" w14:textId="77777777" w:rsidR="006377D2" w:rsidRPr="005F28E3" w:rsidRDefault="00D7687C" w:rsidP="005F28E3">
      <w:pPr>
        <w:pStyle w:val="JuQuot"/>
      </w:pPr>
      <w:r>
        <w:t>Układy zbiorowe pracy mogą określać inne wymogi formalne dotyczące zwolnienia.</w:t>
      </w:r>
    </w:p>
    <w:p w14:paraId="4E10A493" w14:textId="77777777" w:rsidR="006377D2" w:rsidRPr="005F28E3" w:rsidRDefault="00D7687C" w:rsidP="005F28E3">
      <w:pPr>
        <w:pStyle w:val="JuQuot"/>
      </w:pPr>
      <w:r>
        <w:t>[…]</w:t>
      </w:r>
    </w:p>
    <w:p w14:paraId="6F868B58" w14:textId="77777777" w:rsidR="006377D2" w:rsidRPr="005F28E3" w:rsidRDefault="00D7687C" w:rsidP="005F28E3">
      <w:pPr>
        <w:pStyle w:val="JuQuot"/>
      </w:pPr>
      <w:r>
        <w:t>3. Zwolnienia klasyfikuje się jako zgodne z prawem, niezgodne z prawem lub nieważne (</w:t>
      </w:r>
      <w:proofErr w:type="spellStart"/>
      <w:r>
        <w:rPr>
          <w:i/>
        </w:rPr>
        <w:t>procedente</w:t>
      </w:r>
      <w:proofErr w:type="spellEnd"/>
      <w:r>
        <w:rPr>
          <w:i/>
        </w:rPr>
        <w:t xml:space="preserve">, </w:t>
      </w:r>
      <w:proofErr w:type="spellStart"/>
      <w:r>
        <w:rPr>
          <w:i/>
        </w:rPr>
        <w:t>improcedente</w:t>
      </w:r>
      <w:proofErr w:type="spellEnd"/>
      <w:r>
        <w:rPr>
          <w:i/>
        </w:rPr>
        <w:t xml:space="preserve"> o </w:t>
      </w:r>
      <w:proofErr w:type="spellStart"/>
      <w:r>
        <w:rPr>
          <w:i/>
        </w:rPr>
        <w:t>nulo</w:t>
      </w:r>
      <w:proofErr w:type="spellEnd"/>
      <w:r>
        <w:t>).</w:t>
      </w:r>
    </w:p>
    <w:p w14:paraId="179C970C" w14:textId="77777777" w:rsidR="006377D2" w:rsidRPr="005F28E3" w:rsidRDefault="00D7687C" w:rsidP="005F28E3">
      <w:pPr>
        <w:pStyle w:val="JuQuot"/>
      </w:pPr>
      <w:r>
        <w:t>4. Zwolnienie uznaje się za zgodne z prawem, jeżeli udowodniono naruszenie zarzucane w treści pisemnego powiadomienia. W przeciwnym razie zwolnienie jest niezgodne z prawem, a także jeżeli [pisemne powiadomienie] nie spełnia wymogów określonych w ust. 1.</w:t>
      </w:r>
    </w:p>
    <w:p w14:paraId="6D5B665F" w14:textId="77777777" w:rsidR="006377D2" w:rsidRPr="005F28E3" w:rsidRDefault="00D7687C" w:rsidP="005F28E3">
      <w:pPr>
        <w:pStyle w:val="JuQuot"/>
      </w:pPr>
      <w:r>
        <w:lastRenderedPageBreak/>
        <w:t>5. Zwolnienie umotywowane którąkolwiek z przesłanek dyskryminacji zakazanych przez Konstytucję lub ustawę, lub [polecone] z naruszeniem podstawowych praw i wolności pracownika, uznaje się za nieważne.</w:t>
      </w:r>
    </w:p>
    <w:p w14:paraId="6673417F" w14:textId="77777777" w:rsidR="006377D2" w:rsidRPr="005F28E3" w:rsidRDefault="00D7687C" w:rsidP="005F28E3">
      <w:pPr>
        <w:pStyle w:val="JuQuot"/>
      </w:pPr>
      <w:r>
        <w:t>[…]</w:t>
      </w:r>
    </w:p>
    <w:p w14:paraId="6EA4900F" w14:textId="77777777" w:rsidR="006377D2" w:rsidRPr="005F28E3" w:rsidRDefault="00D7687C" w:rsidP="005F28E3">
      <w:pPr>
        <w:pStyle w:val="JuQuot"/>
      </w:pPr>
      <w:r>
        <w:t>6. Niesłuszne zwolnienie skutkuje natychmiastowym przywróceniem pracownika do pracy i wypłatą nieotrzymanego wynagrodzenia.</w:t>
      </w:r>
    </w:p>
    <w:p w14:paraId="3A377102" w14:textId="77777777" w:rsidR="006377D2" w:rsidRPr="005F28E3" w:rsidRDefault="00D7687C" w:rsidP="005F28E3">
      <w:pPr>
        <w:pStyle w:val="JuQuot"/>
      </w:pPr>
      <w:r>
        <w:t>7. Zwolnienie zgodne z prawem powoduje rozwiązanie umowy o pracę [...] bez prawa do odszkodowania lub wynagrodzenia naliczanego w trakcie postępowania”.</w:t>
      </w:r>
    </w:p>
    <w:bookmarkStart w:id="16" w:name="paragraph00035"/>
    <w:p w14:paraId="7BF72061" w14:textId="4809E025"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35</w:t>
      </w:r>
      <w:r w:rsidRPr="005F28E3">
        <w:fldChar w:fldCharType="end"/>
      </w:r>
      <w:bookmarkEnd w:id="16"/>
      <w:r>
        <w:t>.</w:t>
      </w:r>
      <w:r w:rsidR="00650006">
        <w:t xml:space="preserve"> </w:t>
      </w:r>
      <w:r>
        <w:t>Odpowiednie części ustawy o postępowaniu w sprawach z zakresu prawa pracy, obowiązujące w odpowiednim czasie, brzmią następująco:</w:t>
      </w:r>
    </w:p>
    <w:p w14:paraId="52A23474" w14:textId="77777777" w:rsidR="006377D2" w:rsidRPr="005F28E3" w:rsidRDefault="00D7687C" w:rsidP="005F28E3">
      <w:pPr>
        <w:pStyle w:val="JuHArticle"/>
      </w:pPr>
      <w:r>
        <w:t>Artykuł 76. Wniosek o podjęcie czynności przygotowawczych i wstępnych</w:t>
      </w:r>
    </w:p>
    <w:p w14:paraId="33C332DD" w14:textId="0338586D" w:rsidR="006377D2" w:rsidRPr="005F28E3" w:rsidRDefault="00D7687C" w:rsidP="005F28E3">
      <w:pPr>
        <w:pStyle w:val="JuQuot"/>
      </w:pPr>
      <w:r>
        <w:t>„1. Osoba zamierzająca wnieść powództwo może zażądać od organu sądowego, aby pozwany</w:t>
      </w:r>
      <w:r w:rsidR="00650006">
        <w:t xml:space="preserve"> </w:t>
      </w:r>
      <w:r>
        <w:t>[...] przedłożył dokument, który</w:t>
      </w:r>
      <w:r w:rsidR="00650006">
        <w:t xml:space="preserve"> </w:t>
      </w:r>
      <w:r>
        <w:t>[...] jest potrzebny podczas procesu.</w:t>
      </w:r>
    </w:p>
    <w:p w14:paraId="62831143" w14:textId="77777777" w:rsidR="006377D2" w:rsidRPr="005F28E3" w:rsidRDefault="00D7687C" w:rsidP="005F28E3">
      <w:pPr>
        <w:pStyle w:val="JuQuot"/>
      </w:pPr>
      <w:r>
        <w:t>[…]</w:t>
      </w:r>
    </w:p>
    <w:p w14:paraId="593A3465" w14:textId="0AE7F5EF" w:rsidR="006377D2" w:rsidRPr="005F28E3" w:rsidRDefault="00D7687C" w:rsidP="005F28E3">
      <w:pPr>
        <w:pStyle w:val="JuQuot"/>
      </w:pPr>
      <w:r>
        <w:t>4. Jeżeli wnioskowane czynności przygotowawcze mogą mieć wpływ na prawo do życia prywatnego lub inne prawo podstawowe, sąd, w przypadku braku zgody poszkodowanego, może zezwolić na podjęcie takich czynności w formie i z gwarancjami przewidzianymi w</w:t>
      </w:r>
      <w:r w:rsidR="00650006">
        <w:t xml:space="preserve"> </w:t>
      </w:r>
      <w:r>
        <w:t>[...] Artykuł 90”</w:t>
      </w:r>
    </w:p>
    <w:p w14:paraId="28F8E69A" w14:textId="77777777" w:rsidR="006377D2" w:rsidRPr="005F28E3" w:rsidRDefault="00D7687C" w:rsidP="005F28E3">
      <w:pPr>
        <w:pStyle w:val="JuHArticle"/>
      </w:pPr>
      <w:r>
        <w:t>Artykuł 77. Wcześniejsze ujawnienie dokumentów</w:t>
      </w:r>
    </w:p>
    <w:p w14:paraId="6FB3689A" w14:textId="4D41CAC3" w:rsidR="006377D2" w:rsidRPr="005F28E3" w:rsidRDefault="00D7687C" w:rsidP="005F28E3">
      <w:pPr>
        <w:pStyle w:val="JuQuot"/>
      </w:pPr>
      <w:r>
        <w:t>„1. We wszystkich przypadkach, w których badanie ksiąg i rachunków lub innego dokumentu okaże się niezbędne w celu uzasadnienia powództwa [...] osoba, która zamierza wnieść powództwo</w:t>
      </w:r>
      <w:r w:rsidR="00650006">
        <w:t xml:space="preserve"> </w:t>
      </w:r>
      <w:r>
        <w:t>[...] może zwrócić się do sądu o dostarczenie takich dokumentów.</w:t>
      </w:r>
    </w:p>
    <w:p w14:paraId="50C0C0CC" w14:textId="1F2C32E3" w:rsidR="006377D2" w:rsidRPr="005F28E3" w:rsidRDefault="00D7687C" w:rsidP="005F28E3">
      <w:pPr>
        <w:pStyle w:val="JuQuot"/>
      </w:pPr>
      <w:r>
        <w:t>2. Sąd wydaje orzeczenie opatrzone uzasadnieniem [...] określające sposób przekazania wyżej wymienionych elementów, przyjmując, w stosownych przypadkach, niezbędne środki służące temu, by badanie zostało przeprowadzone w sposób najmniej uciążliwy i bez odbierania dokumentów ich właścicielowi. W tym celu może nakazać, aby strona posiadająca dokumenty dostarczyła zainteresowanej stronie lub powołanemu przez stronę biegłemu ds. rachunkowości ich kopie, najlepiej w formacie elektronicznym, umożliwiając porównanie kopii lub wersji z oryginałem.</w:t>
      </w:r>
    </w:p>
    <w:p w14:paraId="0DB13ED5" w14:textId="77777777" w:rsidR="006377D2" w:rsidRPr="005F28E3" w:rsidRDefault="00D7687C" w:rsidP="005F28E3">
      <w:pPr>
        <w:pStyle w:val="JuQuot"/>
      </w:pPr>
      <w:r>
        <w:t>[…]”.</w:t>
      </w:r>
    </w:p>
    <w:p w14:paraId="63C43A5B" w14:textId="77777777" w:rsidR="006377D2" w:rsidRPr="005F28E3" w:rsidRDefault="00D7687C" w:rsidP="005F28E3">
      <w:pPr>
        <w:pStyle w:val="JuHArticle"/>
      </w:pPr>
      <w:r>
        <w:t>Artykuł 90. Dopuszczalność dowodów</w:t>
      </w:r>
    </w:p>
    <w:p w14:paraId="79FFB21C" w14:textId="77777777" w:rsidR="006377D2" w:rsidRPr="005F28E3" w:rsidRDefault="00D7687C" w:rsidP="005F28E3">
      <w:pPr>
        <w:pStyle w:val="JuQuot"/>
      </w:pPr>
      <w:r>
        <w:t>„[…]</w:t>
      </w:r>
    </w:p>
    <w:p w14:paraId="6160E271" w14:textId="2D23B28B" w:rsidR="006377D2" w:rsidRPr="005F28E3" w:rsidRDefault="00D7687C" w:rsidP="005F28E3">
      <w:pPr>
        <w:pStyle w:val="JuQuot"/>
      </w:pPr>
      <w:r>
        <w:t>4. Jeżeli dostęp do dokumentów lub plików danych [...], które mogą mieć wpływ na prawo do poszanowania życia prywatnego lub inne prawa podstawowe, jest niezbędny do celów postępowania, sąd może zezwolić na takie działanie, jeżeli nie istnieją alternatywne sposoby uzyskania dowodów, w drodze uzasadnionej decyzji, po rozważeniu wchodzących w grę interesów poprzez analizę proporcjonalności i przy minimalnej ingerencji, ustalając warunki dostępu, gwarancje zachowania i przedłożenia [dowodów] w postępowaniu, gromadzenie i przekazywanie kopii oraz interwencję stron [...] w stosownych przypadkach.</w:t>
      </w:r>
    </w:p>
    <w:p w14:paraId="5CDBF612" w14:textId="77777777" w:rsidR="006377D2" w:rsidRPr="005F28E3" w:rsidRDefault="00D7687C" w:rsidP="005F28E3">
      <w:pPr>
        <w:pStyle w:val="JuQuot"/>
      </w:pPr>
      <w:r>
        <w:t>[…]”.</w:t>
      </w:r>
    </w:p>
    <w:p w14:paraId="7D7BF564" w14:textId="77777777" w:rsidR="006377D2" w:rsidRPr="005F28E3" w:rsidRDefault="00D7687C" w:rsidP="005F28E3">
      <w:pPr>
        <w:pStyle w:val="JuHArticle"/>
      </w:pPr>
      <w:r>
        <w:lastRenderedPageBreak/>
        <w:t>Artykuł 105. Stanowisko stron</w:t>
      </w:r>
    </w:p>
    <w:p w14:paraId="1781E9E7" w14:textId="77777777" w:rsidR="006377D2" w:rsidRPr="005F28E3" w:rsidRDefault="00D7687C" w:rsidP="005F28E3">
      <w:pPr>
        <w:pStyle w:val="JuQuot"/>
      </w:pPr>
      <w:r>
        <w:t>„[…]</w:t>
      </w:r>
    </w:p>
    <w:p w14:paraId="6DF6FE09" w14:textId="0EE874F0" w:rsidR="006377D2" w:rsidRPr="005F28E3" w:rsidRDefault="00D7687C" w:rsidP="005F28E3">
      <w:pPr>
        <w:pStyle w:val="JuQuot"/>
      </w:pPr>
      <w:r>
        <w:t>2. W trakcie postępowania sądowego pozwany nie może powoływać się na żadne podstawy uzasadniające zwolnienie, które są inne niż zawarte w pisemnym powiadomieniu.</w:t>
      </w:r>
    </w:p>
    <w:p w14:paraId="377C852C" w14:textId="77777777" w:rsidR="006377D2" w:rsidRPr="005F28E3" w:rsidRDefault="00D7687C" w:rsidP="005F28E3">
      <w:pPr>
        <w:pStyle w:val="JuQuot"/>
      </w:pPr>
      <w:r>
        <w:t>[…]”.</w:t>
      </w:r>
    </w:p>
    <w:p w14:paraId="3F0DC406" w14:textId="77777777" w:rsidR="006377D2" w:rsidRPr="005F28E3" w:rsidRDefault="00D7687C" w:rsidP="005F28E3">
      <w:pPr>
        <w:pStyle w:val="JuHArticle"/>
      </w:pPr>
      <w:r>
        <w:t>Artykuł 108. Kwalifikacja zwolnienia w wyroku</w:t>
      </w:r>
    </w:p>
    <w:p w14:paraId="0E25E842" w14:textId="77777777" w:rsidR="006377D2" w:rsidRPr="005F28E3" w:rsidRDefault="00D7687C" w:rsidP="005F28E3">
      <w:pPr>
        <w:pStyle w:val="JuQuot"/>
      </w:pPr>
      <w:r>
        <w:t>„1. W sentencji wyroku sędzia klasyfikuje zwolnienie jako zgodne z prawem, niezgodne z prawem lub nieważne.</w:t>
      </w:r>
    </w:p>
    <w:p w14:paraId="5F4BE9CA" w14:textId="77777777" w:rsidR="006377D2" w:rsidRPr="005F28E3" w:rsidRDefault="00D7687C" w:rsidP="005F28E3">
      <w:pPr>
        <w:pStyle w:val="JuQuot"/>
      </w:pPr>
      <w:r>
        <w:t>Zwolnienie uznaje się za zgodne z prawem, jeżeli naruszenie zarzucane w pisemnym powiadomieniu pracodawcy zostanie udowodnione. W przeciwnym razie zwolnienie zostanie to uznane za niezgodne z prawem, a także jeśli jego forma nie jest zgodna z postanowieniami art. 55 ust. 1 Statutu Pracowniczego.</w:t>
      </w:r>
    </w:p>
    <w:p w14:paraId="7E54E4F6" w14:textId="77777777" w:rsidR="006377D2" w:rsidRPr="005F28E3" w:rsidRDefault="00D7687C" w:rsidP="005F28E3">
      <w:pPr>
        <w:pStyle w:val="JuQuot"/>
      </w:pPr>
      <w:r>
        <w:t>2. Zwolnienie umotywowane którąkolwiek z przesłanek dyskryminacji wymienionych w Konstytucji lub ustawie, lub dokonane z naruszeniem podstawowych praw i wolności, uznaje się za nieważne”.</w:t>
      </w:r>
    </w:p>
    <w:p w14:paraId="19E0B7DE" w14:textId="77777777" w:rsidR="006377D2" w:rsidRPr="005F28E3" w:rsidRDefault="006377D2" w:rsidP="005F28E3">
      <w:pPr>
        <w:pStyle w:val="JuQuot"/>
      </w:pPr>
    </w:p>
    <w:p w14:paraId="5CFA74EC" w14:textId="77777777" w:rsidR="006377D2" w:rsidRPr="005F28E3" w:rsidRDefault="00D7687C" w:rsidP="005F28E3">
      <w:pPr>
        <w:pStyle w:val="JuHArticle"/>
      </w:pPr>
      <w:r>
        <w:t>Artykuł 109. Skutki zwolnienia zgodnego z prawem</w:t>
      </w:r>
    </w:p>
    <w:p w14:paraId="0F646132" w14:textId="77777777" w:rsidR="006377D2" w:rsidRPr="005F28E3" w:rsidRDefault="00D7687C" w:rsidP="005F28E3">
      <w:pPr>
        <w:pStyle w:val="JuQuot"/>
      </w:pPr>
      <w:r>
        <w:t>„Jeśli zwolnienie zostanie uznane za słuszne, to zatwierdza się rozwiązanie umowy o pracę bez prawa do odszkodowania lub wynagrodzenia naliczonego w trakcie postępowania.</w:t>
      </w:r>
    </w:p>
    <w:p w14:paraId="18F17E61" w14:textId="77777777" w:rsidR="006377D2" w:rsidRPr="005F28E3" w:rsidRDefault="00D7687C" w:rsidP="005F28E3">
      <w:pPr>
        <w:pStyle w:val="JuQuot"/>
      </w:pPr>
      <w:r>
        <w:t>[…]”.</w:t>
      </w:r>
    </w:p>
    <w:p w14:paraId="038A0018" w14:textId="77777777" w:rsidR="006377D2" w:rsidRPr="005F28E3" w:rsidRDefault="00D7687C" w:rsidP="005F28E3">
      <w:pPr>
        <w:pStyle w:val="JuHArticle"/>
      </w:pPr>
      <w:r>
        <w:t>Artykuł 177. Legitymacja procesowa</w:t>
      </w:r>
    </w:p>
    <w:p w14:paraId="60325CAD" w14:textId="77777777" w:rsidR="006377D2" w:rsidRPr="005F28E3" w:rsidRDefault="00D7687C" w:rsidP="005F28E3">
      <w:pPr>
        <w:pStyle w:val="JuQuot"/>
      </w:pPr>
      <w:r>
        <w:t>„1. Każdy pracownik lub związek zawodowy, który powołując się na uzasadnione prawo lub interes, uważa, że naruszone zostało prawo do wolności zrzeszania się, strajku lub inne podstawowe prawa i wolności, w tym zakaz dyskryminującego traktowania i nękania, może ubiegać się o ochronę w ramach tej procedury, gdy roszczenie wynika z zakresu [stosunku pracy] ....</w:t>
      </w:r>
    </w:p>
    <w:p w14:paraId="071A4F63" w14:textId="77777777" w:rsidR="006377D2" w:rsidRPr="005F28E3" w:rsidRDefault="00D7687C" w:rsidP="005F28E3">
      <w:pPr>
        <w:pStyle w:val="JuQuot"/>
      </w:pPr>
      <w:r>
        <w:t>[…]”.</w:t>
      </w:r>
    </w:p>
    <w:p w14:paraId="17644A15" w14:textId="77777777" w:rsidR="006377D2" w:rsidRPr="005F28E3" w:rsidRDefault="00D7687C" w:rsidP="005F28E3">
      <w:pPr>
        <w:pStyle w:val="JuHArticle"/>
      </w:pPr>
      <w:r>
        <w:t>Artykuł 181. Postępowanie pojednawcze i proces sądowy</w:t>
      </w:r>
    </w:p>
    <w:p w14:paraId="7D7AB52F" w14:textId="77777777" w:rsidR="006377D2" w:rsidRPr="005F28E3" w:rsidRDefault="00D7687C" w:rsidP="005F28E3">
      <w:pPr>
        <w:pStyle w:val="JuQuot"/>
      </w:pPr>
      <w:r>
        <w:t>„[…]</w:t>
      </w:r>
    </w:p>
    <w:p w14:paraId="6785B6B2" w14:textId="77777777" w:rsidR="006377D2" w:rsidRPr="005F28E3" w:rsidRDefault="00D7687C" w:rsidP="005F28E3">
      <w:pPr>
        <w:pStyle w:val="JuQuot"/>
      </w:pPr>
      <w:r>
        <w:t xml:space="preserve">2. Na rozprawie, po stwierdzeniu istnienia dowodu </w:t>
      </w:r>
      <w:r w:rsidRPr="00A83B6C">
        <w:rPr>
          <w:i/>
          <w:iCs/>
        </w:rPr>
        <w:t>prima facie</w:t>
      </w:r>
      <w:r>
        <w:t xml:space="preserve"> (</w:t>
      </w:r>
      <w:proofErr w:type="spellStart"/>
      <w:r>
        <w:rPr>
          <w:i/>
        </w:rPr>
        <w:t>indicios</w:t>
      </w:r>
      <w:proofErr w:type="spellEnd"/>
      <w:r>
        <w:t>), że naruszenie prawa podstawowego lub wolności zostało uzasadnione, obowiązkiem pozwanego jest przedstawienie obiektywnego i racjonalnego uzasadnienia, dostatecznie udowodnionego, dla przyjętych środków i ich proporcjonalności”.</w:t>
      </w:r>
    </w:p>
    <w:p w14:paraId="0FBEB6CA" w14:textId="27FF133B" w:rsidR="006377D2" w:rsidRPr="005F28E3" w:rsidRDefault="00650006" w:rsidP="005F28E3">
      <w:pPr>
        <w:pStyle w:val="JuPara"/>
      </w:pPr>
      <w:fldSimple w:instr=" SEQ level0 \*arabic \* MERGEFORMAT ">
        <w:r>
          <w:rPr>
            <w:noProof/>
          </w:rPr>
          <w:t>36</w:t>
        </w:r>
      </w:fldSimple>
      <w:r w:rsidR="00D7687C">
        <w:t>.</w:t>
      </w:r>
      <w:r>
        <w:t xml:space="preserve"> </w:t>
      </w:r>
      <w:r w:rsidR="00D7687C">
        <w:t>Zarządzenie Generalnej Dyrekcji Zatrudnienia z dnia 13 lutego 2017 r., rejestrujące i publikujące krajowy układ zbiorowy pracy dla agencji administracyjnych, w odpowiedniej części stanowi, co następuje:</w:t>
      </w:r>
    </w:p>
    <w:p w14:paraId="22771AFB" w14:textId="77777777" w:rsidR="006377D2" w:rsidRPr="005F28E3" w:rsidRDefault="00D7687C" w:rsidP="005F28E3">
      <w:pPr>
        <w:pStyle w:val="JuHArticle"/>
      </w:pPr>
      <w:r>
        <w:lastRenderedPageBreak/>
        <w:t>Artykuł 35. Przewinienie</w:t>
      </w:r>
    </w:p>
    <w:p w14:paraId="4E52E07B" w14:textId="77777777" w:rsidR="006377D2" w:rsidRPr="005F28E3" w:rsidRDefault="00D7687C" w:rsidP="005F28E3">
      <w:pPr>
        <w:pStyle w:val="JuQuot"/>
      </w:pPr>
      <w:r>
        <w:t>„[…] Za poważne przewinienie uznaje się następujące sytuacje.</w:t>
      </w:r>
    </w:p>
    <w:p w14:paraId="5C7AAB98" w14:textId="77777777" w:rsidR="006377D2" w:rsidRPr="005F28E3" w:rsidRDefault="00D7687C" w:rsidP="005F28E3">
      <w:pPr>
        <w:pStyle w:val="JuQuot"/>
      </w:pPr>
      <w:r>
        <w:t>[…]</w:t>
      </w:r>
    </w:p>
    <w:p w14:paraId="6915C90C" w14:textId="77777777" w:rsidR="006377D2" w:rsidRPr="005F28E3" w:rsidRDefault="00D7687C" w:rsidP="005F28E3">
      <w:pPr>
        <w:pStyle w:val="JuQuot"/>
      </w:pPr>
      <w:r>
        <w:t>4. Ujawnianie lub komentowanie, poza miejscem pracy, danych podatkowych, handlowych lub innych rodzajów danych dotyczących klientów przedsiębiorstwa.</w:t>
      </w:r>
    </w:p>
    <w:p w14:paraId="03CEC19B" w14:textId="77777777" w:rsidR="006377D2" w:rsidRPr="005F28E3" w:rsidRDefault="00D7687C" w:rsidP="005F28E3">
      <w:pPr>
        <w:pStyle w:val="JuQuot"/>
      </w:pPr>
      <w:r>
        <w:t>5. Kopiowanie, manipulowanie, modyfikowanie, gubienie, niszczenie lub przenoszenie, w całości lub w części, wszelkiego rodzaju plików i danych elektronicznych oraz usuwanie ich z zasobu przedsiębiorstwa”.</w:t>
      </w:r>
    </w:p>
    <w:p w14:paraId="2DE60E88" w14:textId="77777777" w:rsidR="006377D2" w:rsidRPr="005F28E3" w:rsidRDefault="00D7687C" w:rsidP="005F28E3">
      <w:pPr>
        <w:pStyle w:val="JuHArticle"/>
      </w:pPr>
      <w:r>
        <w:t>Artykuł 36. Sankcje</w:t>
      </w:r>
    </w:p>
    <w:p w14:paraId="6DC84C39" w14:textId="77777777" w:rsidR="006377D2" w:rsidRPr="005F28E3" w:rsidRDefault="00D7687C" w:rsidP="005F28E3">
      <w:pPr>
        <w:pStyle w:val="JuQuot"/>
      </w:pPr>
      <w:r>
        <w:t>„Maksymalne sankcje, które mogą zostać nałożone za przewinienia, są następujące...</w:t>
      </w:r>
    </w:p>
    <w:p w14:paraId="38211839" w14:textId="77777777" w:rsidR="006377D2" w:rsidRPr="005F28E3" w:rsidRDefault="00D7687C" w:rsidP="005F28E3">
      <w:pPr>
        <w:pStyle w:val="JuQuot"/>
      </w:pPr>
      <w:r>
        <w:t>W przypadku bardzo poważnego przewinienia: według uznania przedsiębiorstwa – zawieszenie stosunku pracy i wynagrodzenia na okres od 11 do 60 dni lub zwolnienie”.</w:t>
      </w:r>
    </w:p>
    <w:p w14:paraId="68AB23BD" w14:textId="0D2A2286" w:rsidR="006377D2" w:rsidRPr="005F28E3" w:rsidRDefault="00650006" w:rsidP="005F28E3">
      <w:pPr>
        <w:pStyle w:val="JuPara"/>
      </w:pPr>
      <w:fldSimple w:instr=" SEQ level0 \*arabic \* MERGEFORMAT ">
        <w:r>
          <w:rPr>
            <w:noProof/>
          </w:rPr>
          <w:t>37</w:t>
        </w:r>
      </w:fldSimple>
      <w:r w:rsidR="00D7687C">
        <w:t>.</w:t>
      </w:r>
      <w:r>
        <w:t xml:space="preserve"> </w:t>
      </w:r>
      <w:r w:rsidR="00D7687C">
        <w:t>Odpowiednie sekcje ustawy instytucjonalnej nr 15/1999 z dnia 13 grudnia 1999 r. o ochronie danych osobowych - następnie uchylonej ustawą instytucjonalną nr 3/2018 z dnia 5 grudnia 2018 r. o ochronie danych osobowych i prawach cyfrowych - obowiązujące w czasie istotnym dla sprawy, stanowiły, co następuje:</w:t>
      </w:r>
    </w:p>
    <w:p w14:paraId="0886EC1F" w14:textId="77777777" w:rsidR="006377D2" w:rsidRPr="005F28E3" w:rsidRDefault="00D7687C" w:rsidP="005F28E3">
      <w:pPr>
        <w:pStyle w:val="JuHArticle"/>
      </w:pPr>
      <w:r>
        <w:t>Artykuł 10 Obowiązek zachowania tajemnicy</w:t>
      </w:r>
    </w:p>
    <w:p w14:paraId="3B1D084D" w14:textId="06DAC12E" w:rsidR="006377D2" w:rsidRPr="005F28E3" w:rsidRDefault="00D7687C" w:rsidP="005F28E3">
      <w:pPr>
        <w:pStyle w:val="JuQuot"/>
      </w:pPr>
      <w:r>
        <w:t xml:space="preserve">„Osoba zarządzająca plikiem danych i osoby uczestniczące w jakiejkolwiek fazie przetwarzania danych osobowych są zobowiązane do zachowania tajemnicy zawodowej w odniesieniu do danych oraz do ich bezpiecznego przechowywania. Obowiązki te nie wygasają nawet po ustaniu stosunków z właścicielem pliku danych </w:t>
      </w:r>
      <w:r w:rsidR="00A83B6C">
        <w:t>lub</w:t>
      </w:r>
      <w:r>
        <w:t xml:space="preserve"> w stosownych przypadkach, osobą zarządzającą plikiem danych.</w:t>
      </w:r>
    </w:p>
    <w:p w14:paraId="63D43DCC" w14:textId="77777777" w:rsidR="006377D2" w:rsidRPr="005F28E3" w:rsidRDefault="00D7687C" w:rsidP="005F28E3">
      <w:pPr>
        <w:pStyle w:val="JuHArticle"/>
      </w:pPr>
      <w:r>
        <w:t>Artykuł 11 Przekazywanie danych</w:t>
      </w:r>
    </w:p>
    <w:p w14:paraId="6053B46B" w14:textId="224E0D09" w:rsidR="006377D2" w:rsidRPr="005F28E3" w:rsidRDefault="00D7687C" w:rsidP="005F28E3">
      <w:pPr>
        <w:pStyle w:val="JuQuot"/>
      </w:pPr>
      <w:r>
        <w:t xml:space="preserve">„1. Dane osobowe podlegające przetwarzaniu mogą być przekazywane osobie trzeciej wyłącznie na potrzeby realizacji celów bezpośrednio związanych z </w:t>
      </w:r>
      <w:r w:rsidR="00A1121B">
        <w:t>uprawnionymi</w:t>
      </w:r>
      <w:r>
        <w:t xml:space="preserve"> funkcjami przekazującego i przyjmującego, za uprzednią zgodą osoby, której dane dotyczą.</w:t>
      </w:r>
    </w:p>
    <w:p w14:paraId="063D49A3" w14:textId="77777777" w:rsidR="006377D2" w:rsidRPr="005F28E3" w:rsidRDefault="00D7687C" w:rsidP="005F28E3">
      <w:pPr>
        <w:pStyle w:val="JuQuot"/>
      </w:pPr>
      <w:r>
        <w:t>2. Zgoda, której mowa w poprzednim ustępie nie jest wymagana:</w:t>
      </w:r>
    </w:p>
    <w:p w14:paraId="783EA0BE" w14:textId="77777777" w:rsidR="006377D2" w:rsidRPr="005F28E3" w:rsidRDefault="00D7687C" w:rsidP="005F28E3">
      <w:pPr>
        <w:pStyle w:val="JuQuot"/>
      </w:pPr>
      <w:r>
        <w:t>[…]</w:t>
      </w:r>
    </w:p>
    <w:p w14:paraId="15A99183" w14:textId="77777777" w:rsidR="006377D2" w:rsidRPr="005F28E3" w:rsidRDefault="00D7687C" w:rsidP="005F28E3">
      <w:pPr>
        <w:pStyle w:val="JuQuot"/>
      </w:pPr>
      <w:proofErr w:type="gramStart"/>
      <w:r>
        <w:t>(d)</w:t>
      </w:r>
      <w:proofErr w:type="gramEnd"/>
      <w:r>
        <w:t xml:space="preserve"> gdy informacja, która ma zostać przekazana, jest skierowana do ... sędziów lub sądów ... w ramach wykonywania powierzonych im funkcji ..."</w:t>
      </w:r>
    </w:p>
    <w:bookmarkStart w:id="17" w:name="paragraph00038"/>
    <w:p w14:paraId="25400511" w14:textId="218139B9"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38</w:t>
      </w:r>
      <w:r w:rsidRPr="005F28E3">
        <w:fldChar w:fldCharType="end"/>
      </w:r>
      <w:bookmarkEnd w:id="17"/>
      <w:r>
        <w:t>.</w:t>
      </w:r>
      <w:r w:rsidR="00650006">
        <w:t xml:space="preserve"> </w:t>
      </w:r>
      <w:r>
        <w:t>Zgodnie z orzecznictwem Trybunału Konstytucyjnego, prawo do ochrony przed działaniami odwetowymi w kontekście zatrudnienia jest jednym z aspektów prawa do skutecznej ochrony sądowej zapisanego w art. 24 Konstytucji. Na przykład w wyroku nr 16/2006 z dnia 19 stycznia 2006 r. Trybunał Konstytucyjny stwierdził, co następuje:</w:t>
      </w:r>
    </w:p>
    <w:p w14:paraId="240F12AD" w14:textId="77777777" w:rsidR="006377D2" w:rsidRPr="005F28E3" w:rsidRDefault="00D7687C" w:rsidP="005F28E3">
      <w:pPr>
        <w:pStyle w:val="JuQuot"/>
      </w:pPr>
      <w:r>
        <w:t xml:space="preserve">" [...] naruszenie skutecznej ochrony sądowej ma miejsce nie tylko w przypadku na nieprawidłowości w postępowaniu, które skutkują pozbawieniem gwarancji procesowych, ale prawo to może zostać naruszone również wtedy, gdy jego </w:t>
      </w:r>
      <w:r>
        <w:lastRenderedPageBreak/>
        <w:t>wykonywanie lub wykonywanie czynności przygotowawczych lub wstępnych niezbędnych do [jego] wykonywania powoduje szkodliwe skutki sferze stosunków publicznych lub prywatnych dla osoby objętej [...]". W dziedzinie stosunków pracy ochrona przed odwetem oznacza niemożność zastosowania środków odwetowych wobec pracownika za korzystanie z przysługujących mu praw, z czego wynika, że wszelkie działania podjęte przez pracodawcę motywowane faktem, że pracownik wszczął postępowanie sądowe w celu uznania praw, które jego zdaniem mu przysługują, muszą zostać zakwalifikowane jako dyskryminujące i [uznane] za oczywiście nieważne, ponieważ są sprzeczne prawem podstawowym każdego pracownika, jakim jest prawo do wnoszenia indywidualnych powództw wynikających z [kwestii związanych z] jego umową o pracę.</w:t>
      </w:r>
    </w:p>
    <w:p w14:paraId="714C44D8" w14:textId="7FB09742" w:rsidR="006377D2" w:rsidRPr="005F28E3" w:rsidRDefault="00D7687C" w:rsidP="005F28E3">
      <w:pPr>
        <w:pStyle w:val="JuQuot"/>
      </w:pPr>
      <w:r>
        <w:t>Zakaz zwolnienia pracownika w reakcji na korzystanie przez pracownika z ochrony jego praw wynika również z art. 5 lit. c) Konwencji nr 158 Międzynarodowej Organizacji Pracy</w:t>
      </w:r>
      <w:r w:rsidR="00650006">
        <w:t xml:space="preserve"> </w:t>
      </w:r>
      <w:r>
        <w:t>[...] zasady, który to przepis należy wziąć pod uwagę zgodnie z art. 10 § 2 Konstytucji, do celów interpretacji praw podstawowych. Przepis ten wyraźnie wyłącza z katalogu ważnych przyczyn wypowiedzenia umowy o pracę „złożenie skargi lub udział w postępowaniu przeciwko pracodawcy obejmującym zarzucane naruszenie/zarzut naruszenia przepisów prawa lub odwołanie się do właściwych organów administracyjnych”</w:t>
      </w:r>
      <w:r w:rsidR="00650006">
        <w:t xml:space="preserve"> </w:t>
      </w:r>
      <w:r>
        <w:t>[...].</w:t>
      </w:r>
    </w:p>
    <w:p w14:paraId="15FA160C" w14:textId="7ACF2709" w:rsidR="006377D2" w:rsidRPr="005F28E3" w:rsidRDefault="00D7687C" w:rsidP="005F28E3">
      <w:pPr>
        <w:pStyle w:val="JuQuot"/>
      </w:pPr>
      <w:r>
        <w:t>Trzeba też pamiętać o znaczeniu reguły rozkładu ciężaru dowodu w</w:t>
      </w:r>
      <w:r w:rsidR="00650006">
        <w:t xml:space="preserve"> </w:t>
      </w:r>
      <w:r>
        <w:t xml:space="preserve">sprawach tego rodzaju. Zgodnie z utrwaloną doktryną tego sądu, gdy zarzuca się, że dana decyzja w rzeczywistości maskuje zachowanie naruszające prawa podstawowe strony, na wydającym decyzję spoczywa obowiązek udowodnienia, że jest ona oparta na uzasadnionych podstawach i nie ma na celu naruszenia prawa podstawowego. Jednakże, aby to przeniesienie ciężaru dowodu na pozwanego stało się skuteczne, nie wystarczy, aby powód określił zachowanie przedsiębiorstwa jako dyskryminujące; powód musi przedstawić dowody, które budzą uzasadnione podejrzenie, uprawdopodobniają lub dają podstawy do domniemania na poparcie takiego zarzutu. Jeśli takie dowody zostaną przedstawione, to pozwanym spoczywał będzie ciężar udowodnienia, że fakty motywujące jego decyzję były zgodne z prawem </w:t>
      </w:r>
      <w:r w:rsidR="00A83B6C">
        <w:t>lub</w:t>
      </w:r>
      <w:r>
        <w:t xml:space="preserve"> nawet bez uzasadnienia ich zgodności z prawem, że były one racjonalnie niezwiązane z jakimkolwiek motywem naruszającym prawa podstawowe. Wówczas pozwany nie jest zobowiązany do udowodnienia faktu negatywnego - braku dyskryminacji - ale raczej racjonalności i proporcjonalności przyjętego środka oraz jego charakteru jako całkowicie niezwiązanego z jakimkolwiek celem naruszającym prawa podstawowe”.</w:t>
      </w:r>
    </w:p>
    <w:p w14:paraId="362C7C56" w14:textId="77777777" w:rsidR="006377D2" w:rsidRPr="005F28E3" w:rsidRDefault="00D7687C" w:rsidP="005F28E3">
      <w:pPr>
        <w:pStyle w:val="JuHIRoman"/>
      </w:pPr>
      <w:r>
        <w:t>WŁAŚCIWE MATERIAŁY MIĘDZYNARODOWE</w:t>
      </w:r>
    </w:p>
    <w:bookmarkStart w:id="18" w:name="paragraph00039"/>
    <w:p w14:paraId="63AACF00" w14:textId="3E14F374"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39</w:t>
      </w:r>
      <w:r w:rsidRPr="005F28E3">
        <w:fldChar w:fldCharType="end"/>
      </w:r>
      <w:bookmarkEnd w:id="18"/>
      <w:r>
        <w:t>.</w:t>
      </w:r>
      <w:r w:rsidR="00650006">
        <w:t xml:space="preserve"> </w:t>
      </w:r>
      <w:r>
        <w:t>Europejska Karta Społeczna z 1961 r., ratyfikowana przez Hiszpanię w 1980 r., stanowi, co następuje:</w:t>
      </w:r>
    </w:p>
    <w:p w14:paraId="2AD41216" w14:textId="77777777" w:rsidR="006377D2" w:rsidRPr="005F28E3" w:rsidRDefault="00D7687C" w:rsidP="005F28E3">
      <w:pPr>
        <w:pStyle w:val="JuHArticle"/>
      </w:pPr>
      <w:r>
        <w:t>Artykuł 4. Prawo do sprawiedliwego wynagrodzenia</w:t>
      </w:r>
    </w:p>
    <w:p w14:paraId="24C69CBA" w14:textId="77777777" w:rsidR="006377D2" w:rsidRPr="005F28E3" w:rsidRDefault="00D7687C" w:rsidP="005F28E3">
      <w:pPr>
        <w:pStyle w:val="JuQuot"/>
      </w:pPr>
      <w:r>
        <w:t>„W celu zapewnienia skutecznego wykonywania prawa do sprawiedliwego wynagrodzenia, Strony zobowiązują się: […]</w:t>
      </w:r>
    </w:p>
    <w:p w14:paraId="72775107" w14:textId="77777777" w:rsidR="006377D2" w:rsidRPr="005F28E3" w:rsidRDefault="00D7687C" w:rsidP="005F28E3">
      <w:pPr>
        <w:pStyle w:val="JuQuot"/>
      </w:pPr>
      <w:r>
        <w:t>3. uznać prawo pracowników, zarówno mężczyzn, jak i kobiet, do równego wynagrodzenia za pracę jednakowej wartości [...]"</w:t>
      </w:r>
    </w:p>
    <w:p w14:paraId="666C61FE" w14:textId="77777777" w:rsidR="006377D2" w:rsidRPr="005F28E3" w:rsidRDefault="00D7687C" w:rsidP="005F28E3">
      <w:pPr>
        <w:pStyle w:val="JuPara"/>
      </w:pPr>
      <w:r>
        <w:t>Artykuł 1 Protokołu dodatkowego do Europejskiej Karty Społecznej, ratyfikowanego przez Hiszpanię w 2000 r., brzmi następująco:</w:t>
      </w:r>
    </w:p>
    <w:p w14:paraId="66F82F34" w14:textId="77777777" w:rsidR="006377D2" w:rsidRPr="005F28E3" w:rsidRDefault="00D7687C" w:rsidP="005F28E3">
      <w:pPr>
        <w:pStyle w:val="JuHArticle"/>
      </w:pPr>
      <w:r>
        <w:lastRenderedPageBreak/>
        <w:t>Artykuł 1 - Prawo do równych szans i do równego traktowania w sprawach zatrudnienia i wykonywania zawodu, bez dyskryminacji ze względu na płeć</w:t>
      </w:r>
    </w:p>
    <w:p w14:paraId="5A37C73D" w14:textId="77777777" w:rsidR="006377D2" w:rsidRPr="005F28E3" w:rsidRDefault="00D7687C" w:rsidP="005F28E3">
      <w:pPr>
        <w:pStyle w:val="JuQuot"/>
      </w:pPr>
      <w:r>
        <w:t>„1. W celu zapewnienia skutecznego wykonywania prawa do równych szans i do równego traktowania w sprawach zatrudnienia i wykonywania zawodu, bez dyskryminacji ze względu na płeć, Strony zobowiązują się uznać to prawo i podejmować odpowiednie środki dla jego zagwarantowania oraz promowania jego stosowania w następujących dziedzinach:</w:t>
      </w:r>
    </w:p>
    <w:p w14:paraId="28E357D6" w14:textId="77777777" w:rsidR="006377D2" w:rsidRPr="005F28E3" w:rsidRDefault="00D7687C" w:rsidP="005F28E3">
      <w:pPr>
        <w:pStyle w:val="JuQuot"/>
      </w:pPr>
      <w:r>
        <w:t>- dostępu do zatrudnienia, ochrony przed zwolnieniem i reintegracji zawodowej;</w:t>
      </w:r>
    </w:p>
    <w:p w14:paraId="34AD7D11" w14:textId="77777777" w:rsidR="006377D2" w:rsidRPr="005F28E3" w:rsidRDefault="00D7687C" w:rsidP="005F28E3">
      <w:pPr>
        <w:pStyle w:val="JuQuot"/>
      </w:pPr>
      <w:r>
        <w:t>- poradnictwa i szkolenia zawodowego, przekwalifikowania i readaptacji zawodowej;</w:t>
      </w:r>
    </w:p>
    <w:p w14:paraId="7EA3C439" w14:textId="77777777" w:rsidR="006377D2" w:rsidRPr="005F28E3" w:rsidRDefault="00D7687C" w:rsidP="005F28E3">
      <w:pPr>
        <w:pStyle w:val="JuQuot"/>
      </w:pPr>
      <w:r>
        <w:t>- warunków zatrudnienia i pracy, w tym wynagradzania;</w:t>
      </w:r>
    </w:p>
    <w:p w14:paraId="6BABB0BF" w14:textId="77777777" w:rsidR="006377D2" w:rsidRPr="005F28E3" w:rsidRDefault="00D7687C" w:rsidP="005F28E3">
      <w:pPr>
        <w:pStyle w:val="JuQuot"/>
      </w:pPr>
      <w:r>
        <w:t>- przebiegu kariery zawodowej, włączając w to awansowanie”.</w:t>
      </w:r>
    </w:p>
    <w:p w14:paraId="34A87AE9" w14:textId="77777777" w:rsidR="006377D2" w:rsidRPr="005F28E3" w:rsidRDefault="00D7687C" w:rsidP="005F28E3">
      <w:pPr>
        <w:pStyle w:val="JuPara"/>
      </w:pPr>
      <w:r>
        <w:t>Przepis ten został następnie włączony do art. 20 Europejskiej Karty Społecznej (zmienionej), ratyfikowanej przez Hiszpanię w 2021 r.</w:t>
      </w:r>
    </w:p>
    <w:bookmarkStart w:id="19" w:name="paragraph00040"/>
    <w:p w14:paraId="3E80094C" w14:textId="76115A1C"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40</w:t>
      </w:r>
      <w:r w:rsidRPr="005F28E3">
        <w:fldChar w:fldCharType="end"/>
      </w:r>
      <w:bookmarkEnd w:id="19"/>
      <w:r>
        <w:t>.</w:t>
      </w:r>
      <w:r w:rsidR="00650006">
        <w:t xml:space="preserve"> </w:t>
      </w:r>
      <w:r>
        <w:t>Europejski Komitet Praw Społecznych w swoich konkluzjach z 2020 r. dotyczących Hiszpanii zauważył, co następuje:</w:t>
      </w:r>
    </w:p>
    <w:p w14:paraId="50F17B7B" w14:textId="77777777" w:rsidR="006377D2" w:rsidRPr="005F28E3" w:rsidRDefault="00D7687C" w:rsidP="005F28E3">
      <w:pPr>
        <w:pStyle w:val="JuHArticle"/>
      </w:pPr>
      <w:r>
        <w:t>Artykuł 1 Protokołu dodatkowego z 1988 r. - Prawo do równych szans i do równego traktowania w sprawach zatrudnienia i wykonywania zawodu, bez dyskryminacji ze względu na płeć</w:t>
      </w:r>
    </w:p>
    <w:p w14:paraId="5B1AF37A" w14:textId="77777777" w:rsidR="006377D2" w:rsidRPr="005F28E3" w:rsidRDefault="00D7687C" w:rsidP="005F28E3">
      <w:pPr>
        <w:pStyle w:val="JuQuot"/>
        <w:rPr>
          <w:b/>
          <w:bCs/>
        </w:rPr>
      </w:pPr>
      <w:r>
        <w:rPr>
          <w:b/>
        </w:rPr>
        <w:t>„Obowiązek zagwarantowania prawa do równego wynagrodzenia za taką samą pracę lub pracę jednakowej wartości</w:t>
      </w:r>
    </w:p>
    <w:p w14:paraId="33FB6856" w14:textId="77777777" w:rsidR="006377D2" w:rsidRPr="005F28E3" w:rsidRDefault="00D7687C" w:rsidP="005F28E3">
      <w:pPr>
        <w:pStyle w:val="JuQuot"/>
      </w:pPr>
      <w:r>
        <w:t>[…]</w:t>
      </w:r>
    </w:p>
    <w:p w14:paraId="4EDE7CFD" w14:textId="77777777" w:rsidR="006377D2" w:rsidRPr="005F28E3" w:rsidRDefault="00D7687C" w:rsidP="005F28E3">
      <w:pPr>
        <w:pStyle w:val="JuQuot"/>
      </w:pPr>
      <w:r>
        <w:t>Skuteczne środki prawne</w:t>
      </w:r>
    </w:p>
    <w:p w14:paraId="486DD645" w14:textId="77777777" w:rsidR="006377D2" w:rsidRPr="005F28E3" w:rsidRDefault="00D7687C" w:rsidP="005F28E3">
      <w:pPr>
        <w:pStyle w:val="JuQuot"/>
      </w:pPr>
      <w:r>
        <w:t>Komitet przypomina, że prawo krajowe musi przewidywać odpowiednie i skuteczne środki prawne w przypadku zarzucanej dyskryminacji płacowej. Pracownicy, którzy twierdzą, że padli ofiarą dyskryminacji, muszą mieć możliwość wniesienia sprawy do sądu. Ofiarom dyskryminacji płacowej należy zagwarantować skuteczny dostęp do sądów. W związku z tym postępowanie powinno być przystępne cenowo i terminowe. Ponadto, jakikolwiek pułap wysokości odszkodowań, który może powodować, że odszkodowanie będzie niewspółmierne do poniesionej szkody i nie będzie dostatecznie odstraszające, jest sprzeczny z Kartą. Powinno nastąpić przeniesienie ciężaru dowodu, co oznacza, że w przypadku, gdy dana osoba uważa, że padła ofiarą dyskryminacji ze względu na płeć i ustali fakty, które uzasadniają przypuszczenie, że doszło do dyskryminacji, na pozwanym powinien spoczywać ciężar udowodnienia, że nie doszło do naruszenia zasady niedyskryminacji (Konkluzje XIII-5, Oświadczenie w sprawie interpretacji art. 1 Protokołu dodatkowego z 1988 r.). Pracownicy, którzy próbują egzekwować swoje prawo do równości, muszą być prawnie chronieni przed wszelkimi formami odwetu ze strony pracodawców, w tym nie tylko przed zwolnieniem, ale także przed obniżeniem stopnia zaszeregowania, zmianą warunków pracy itp.</w:t>
      </w:r>
    </w:p>
    <w:p w14:paraId="38C1DF2C" w14:textId="77777777" w:rsidR="006377D2" w:rsidRPr="005F28E3" w:rsidRDefault="00D7687C" w:rsidP="005F28E3">
      <w:pPr>
        <w:pStyle w:val="JuQuot"/>
      </w:pPr>
      <w:r>
        <w:t>[…]</w:t>
      </w:r>
    </w:p>
    <w:p w14:paraId="009B671E" w14:textId="77777777" w:rsidR="006377D2" w:rsidRPr="005F28E3" w:rsidRDefault="00D7687C" w:rsidP="005F28E3">
      <w:pPr>
        <w:pStyle w:val="JuQuot"/>
      </w:pPr>
      <w:r>
        <w:t xml:space="preserve">W raporcie stwierdzono, że ofiary dyskryminacji mają dostęp do sądów na podstawie art. 24 Konstytucji. Ponadto w odpowiedzi na szczegółowe pytania dotyczące przeniesienia ciężaru dowodu i pułapów odszkodowań dla ofiar dyskryminacji płacowej stwierdza, że przepisy przewidują przeniesienie ciężaru dowodu. Nie ma jednak konkretnych przykładów na to, jak jest to stosowane w praktyce, a Komitet zwraca się z wnioskiem, by następny raport zawierał informacje na temat liczby spraw </w:t>
      </w:r>
      <w:r>
        <w:lastRenderedPageBreak/>
        <w:t>dotyczących dyskryminacji płacowej rozpoznawanych przez hiszpańskie sądy oraz praktyki stosowanej w odniesieniu do przeniesienia ciężaru dowodu. Zwolnienia odwetowe są zabronione, a okres ochrony przed zwolnieniem po urlopie macierzyńskim lub ojcowskim został wydłużony z 9 do 12 miesięcy. Nie ma pułapów odszkodowań dla ofiar dyskryminacji płacowej.</w:t>
      </w:r>
    </w:p>
    <w:p w14:paraId="64CF8BFD" w14:textId="77777777" w:rsidR="006377D2" w:rsidRPr="005F28E3" w:rsidRDefault="00D7687C" w:rsidP="005F28E3">
      <w:pPr>
        <w:pStyle w:val="JuQuot"/>
      </w:pPr>
      <w:r>
        <w:t>[…]</w:t>
      </w:r>
    </w:p>
    <w:p w14:paraId="093A5B8E" w14:textId="77777777" w:rsidR="006377D2" w:rsidRPr="005F28E3" w:rsidRDefault="00D7687C" w:rsidP="005F28E3">
      <w:pPr>
        <w:pStyle w:val="JuQuot"/>
      </w:pPr>
      <w:r>
        <w:t>Komitet stwierdza, że sytuacja w Hiszpanii jest zgodna z art. 1 Protokołu dodatkowego z 1988 r.".</w:t>
      </w:r>
    </w:p>
    <w:p w14:paraId="1ED71215" w14:textId="255C99B2" w:rsidR="006377D2" w:rsidRPr="005F28E3" w:rsidRDefault="00650006" w:rsidP="005F28E3">
      <w:pPr>
        <w:pStyle w:val="JuPara"/>
      </w:pPr>
      <w:fldSimple w:instr=" SEQ level0 \*arabic \* MERGEFORMAT ">
        <w:r>
          <w:rPr>
            <w:noProof/>
          </w:rPr>
          <w:t>41</w:t>
        </w:r>
      </w:fldSimple>
      <w:r w:rsidR="00D7687C">
        <w:t>.</w:t>
      </w:r>
      <w:r>
        <w:t xml:space="preserve"> </w:t>
      </w:r>
      <w:r w:rsidR="00D7687C">
        <w:t>Zasada równości wynagrodzeń jest również zapisana w prawie Unii Europejskiej (UE). Artykuł 157 Traktatu o funkcjonowaniu Unii Europejskiej stanowi:</w:t>
      </w:r>
    </w:p>
    <w:p w14:paraId="3BDD6BA6" w14:textId="77777777" w:rsidR="006377D2" w:rsidRPr="005F28E3" w:rsidRDefault="00D7687C" w:rsidP="005F28E3">
      <w:pPr>
        <w:pStyle w:val="JuHArticle"/>
      </w:pPr>
      <w:r>
        <w:t>Artykuł 157</w:t>
      </w:r>
    </w:p>
    <w:p w14:paraId="387785BD" w14:textId="77777777" w:rsidR="006377D2" w:rsidRPr="005F28E3" w:rsidRDefault="00D7687C" w:rsidP="005F28E3">
      <w:pPr>
        <w:pStyle w:val="JuQuot"/>
      </w:pPr>
      <w:r>
        <w:t>„1. Każde Państwo Członkowskie zapewnia stosowanie zasady równości wynagrodzeń dla pracowników płci męskiej i żeńskiej za taką samą pracę lub pracę takiej samej wartości.</w:t>
      </w:r>
    </w:p>
    <w:p w14:paraId="5C52739B" w14:textId="77777777" w:rsidR="006377D2" w:rsidRPr="005F28E3" w:rsidRDefault="00D7687C" w:rsidP="005F28E3">
      <w:pPr>
        <w:pStyle w:val="JuQuot"/>
      </w:pPr>
      <w:r>
        <w:t>[…]”.</w:t>
      </w:r>
    </w:p>
    <w:p w14:paraId="6229FA3E" w14:textId="2C4BC09A" w:rsidR="006377D2" w:rsidRPr="005F28E3" w:rsidRDefault="00650006" w:rsidP="005F28E3">
      <w:pPr>
        <w:pStyle w:val="JuPara"/>
      </w:pPr>
      <w:fldSimple w:instr=" SEQ level0 \*arabic \* MERGEFORMAT ">
        <w:r>
          <w:rPr>
            <w:noProof/>
          </w:rPr>
          <w:t>42</w:t>
        </w:r>
      </w:fldSimple>
      <w:r w:rsidR="00D7687C">
        <w:t>.</w:t>
      </w:r>
      <w:r>
        <w:t xml:space="preserve"> </w:t>
      </w:r>
      <w:r w:rsidR="00D7687C">
        <w:t>Karta Praw Podstawowych Unii Europejskiej stanowi w tym względzie:</w:t>
      </w:r>
    </w:p>
    <w:p w14:paraId="7F71FCCE" w14:textId="77777777" w:rsidR="006377D2" w:rsidRPr="005F28E3" w:rsidRDefault="00D7687C" w:rsidP="005F28E3">
      <w:pPr>
        <w:pStyle w:val="JuHArticle"/>
      </w:pPr>
      <w:r>
        <w:t>Artykuł 23</w:t>
      </w:r>
    </w:p>
    <w:p w14:paraId="52FC5456" w14:textId="77777777" w:rsidR="006377D2" w:rsidRPr="005F28E3" w:rsidRDefault="00D7687C" w:rsidP="005F28E3">
      <w:pPr>
        <w:pStyle w:val="JuQuot"/>
      </w:pPr>
      <w:r>
        <w:t>„Równość kobiet i mężczyzn</w:t>
      </w:r>
    </w:p>
    <w:p w14:paraId="353C377E" w14:textId="77777777" w:rsidR="006377D2" w:rsidRPr="005F28E3" w:rsidRDefault="00D7687C" w:rsidP="005F28E3">
      <w:pPr>
        <w:pStyle w:val="JuQuot"/>
      </w:pPr>
      <w:r>
        <w:t>Należy zapewnić równość kobiet i mężczyzn we wszystkich dziedzinach, w tym w zakresie zatrudnienia, pracy i wynagrodzenia.</w:t>
      </w:r>
    </w:p>
    <w:p w14:paraId="6229A4DA" w14:textId="77777777" w:rsidR="006377D2" w:rsidRPr="005F28E3" w:rsidRDefault="00D7687C" w:rsidP="005F28E3">
      <w:pPr>
        <w:pStyle w:val="JuQuot"/>
      </w:pPr>
      <w:r>
        <w:t>Zasada równości nie stanowi przeszkody w utrzymywaniu lub przyjmowaniu środków zapewniających specyficzne korzyści dla osób płci niedostatecznie reprezentowanej.”</w:t>
      </w:r>
    </w:p>
    <w:bookmarkStart w:id="20" w:name="paragraph00043"/>
    <w:p w14:paraId="72A6355B" w14:textId="3F411978"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43</w:t>
      </w:r>
      <w:r w:rsidRPr="005F28E3">
        <w:fldChar w:fldCharType="end"/>
      </w:r>
      <w:bookmarkEnd w:id="20"/>
      <w:r>
        <w:t>.</w:t>
      </w:r>
      <w:r w:rsidR="00650006">
        <w:t xml:space="preserve"> </w:t>
      </w:r>
      <w:r>
        <w:t>UE przyjęła kilka dyrektyw dotyczących wdrażania zasady równego traktowania w sprawach zatrudnienia, m.in. dyrektywę 2006/54/WE Parlamentu Europejskiego i Rady z dnia 5 lipca 2006 r. w sprawie wprowadzenia w życie zasady równości szans oraz równego traktowania kobiet i mężczyzn w dziedzinie zatrudnienia i pracy, która stanowi, co następuje:</w:t>
      </w:r>
    </w:p>
    <w:p w14:paraId="6D59CF0E" w14:textId="77777777" w:rsidR="006377D2" w:rsidRPr="005F28E3" w:rsidRDefault="00D7687C" w:rsidP="005F28E3">
      <w:pPr>
        <w:pStyle w:val="JuHArticle"/>
      </w:pPr>
      <w:r>
        <w:t>Artykuł 17</w:t>
      </w:r>
    </w:p>
    <w:p w14:paraId="2969349D" w14:textId="77777777" w:rsidR="006377D2" w:rsidRPr="005F28E3" w:rsidRDefault="00D7687C" w:rsidP="005F28E3">
      <w:pPr>
        <w:pStyle w:val="JuHArticle"/>
      </w:pPr>
      <w:r>
        <w:t>Ochrona praw</w:t>
      </w:r>
    </w:p>
    <w:p w14:paraId="44142D7F" w14:textId="0CF9A00C" w:rsidR="006377D2" w:rsidRPr="005F28E3" w:rsidRDefault="00D7687C" w:rsidP="005F28E3">
      <w:pPr>
        <w:pStyle w:val="JuQuot"/>
      </w:pPr>
      <w:r>
        <w:t>„1. Państwa Członkowskie zapewniają, aby wszystkie osoby, które uważają się za pokrzywdzone w swoich prawach poprzez niestosowanie do nich zasady równego traktowania, mogły dochodzić swoich roszczeń, wynikających z niniejszej dyrektywy, przed sądem po ewentualnym zwróceniu się do innych właściwych organów, jak również, o ile Państwa te uznają to za właściwe, po wykorzystaniu procedury pojednawczej, nawet wówczas</w:t>
      </w:r>
      <w:r w:rsidR="00860C7F">
        <w:t>,</w:t>
      </w:r>
      <w:r>
        <w:t xml:space="preserve"> gdy zakończeniu uległ stosunek, w ramach którego dyskryminacja miała mieć miejsce.</w:t>
      </w:r>
    </w:p>
    <w:p w14:paraId="55223F65" w14:textId="77777777" w:rsidR="006377D2" w:rsidRPr="005F28E3" w:rsidRDefault="00D7687C" w:rsidP="005F28E3">
      <w:pPr>
        <w:pStyle w:val="JuQuot"/>
      </w:pPr>
      <w:r>
        <w:t>[…]”.</w:t>
      </w:r>
    </w:p>
    <w:p w14:paraId="1DE6F2DD" w14:textId="77777777" w:rsidR="006377D2" w:rsidRPr="005F28E3" w:rsidRDefault="00D7687C" w:rsidP="005F28E3">
      <w:pPr>
        <w:pStyle w:val="JuHArticle"/>
      </w:pPr>
      <w:r>
        <w:lastRenderedPageBreak/>
        <w:t>Artykuł 24</w:t>
      </w:r>
    </w:p>
    <w:p w14:paraId="3FFFD4B6" w14:textId="77777777" w:rsidR="006377D2" w:rsidRPr="005F28E3" w:rsidRDefault="00D7687C" w:rsidP="005F28E3">
      <w:pPr>
        <w:pStyle w:val="JuHArticle"/>
      </w:pPr>
      <w:r>
        <w:t>Ochrona przed represjami</w:t>
      </w:r>
    </w:p>
    <w:p w14:paraId="54902E72" w14:textId="77777777" w:rsidR="006377D2" w:rsidRPr="005F28E3" w:rsidRDefault="00D7687C" w:rsidP="005F28E3">
      <w:pPr>
        <w:pStyle w:val="JuQuot"/>
      </w:pPr>
      <w:r>
        <w:t>„Państwa Członkowskie wprowadzają do swoich krajowych systemów prawnych takie środki, które są konieczne do ochrony pracowników, w tym pracowników będących przedstawicielami pracowników, przewidzianych przez ustawodawstwo lub praktykę krajową, przed zwolnieniem lub innym niekorzystnym traktowaniem przez pracodawcę w odpowiedzi na skargę wniesioną w przedsiębiorstwie lub jakiekolwiek postępowanie sądowe mającą na celu zapewnienie zgodności z zasadą równego traktowania”.</w:t>
      </w:r>
    </w:p>
    <w:p w14:paraId="3A52AD92" w14:textId="6A0A6FC9" w:rsidR="006377D2" w:rsidRPr="005F28E3" w:rsidRDefault="00650006" w:rsidP="005F28E3">
      <w:pPr>
        <w:pStyle w:val="JuPara"/>
      </w:pPr>
      <w:fldSimple w:instr=" SEQ level0 \*arabic \* MERGEFORMAT ">
        <w:bookmarkStart w:id="21" w:name="paragraph00044"/>
        <w:r>
          <w:rPr>
            <w:noProof/>
          </w:rPr>
          <w:t>44</w:t>
        </w:r>
        <w:bookmarkEnd w:id="21"/>
      </w:fldSimple>
      <w:r w:rsidR="00D7687C">
        <w:t>.</w:t>
      </w:r>
      <w:r>
        <w:t xml:space="preserve"> </w:t>
      </w:r>
      <w:r w:rsidR="00D7687C">
        <w:t>Dyrektywa Parlamentu Europejskiego i Rady (UE) 2023/970 z dnia 10 maja 2023 r. w sprawie wzmocnienia stosowania zasady równości wynagrodzeń dla mężczyzn i kobiet za taką samą pracę lub pracę o takiej samej wartości za pośrednictwem mechanizmów przejrzystości wynagrodzeń oraz mechanizmów egzekwowania, reguluje prawo pracownika do otrzymywania informacji o indywidualnym i średnim poziomie wynagrodzenia. Zawiera również przepisy dotyczące sankcji mających zastosowanie w przypadku naruszenia zasady równości wynagrodzeń. Jeśli chodzi o egzekwowanie takiej zasady, dyrektywa stanowi, co następuje:</w:t>
      </w:r>
    </w:p>
    <w:p w14:paraId="10D991EF" w14:textId="77777777" w:rsidR="006377D2" w:rsidRPr="005F28E3" w:rsidRDefault="00D7687C" w:rsidP="005F28E3">
      <w:pPr>
        <w:pStyle w:val="JuHArticle"/>
      </w:pPr>
      <w:r>
        <w:t>Artykuł 14</w:t>
      </w:r>
    </w:p>
    <w:p w14:paraId="05C033C7" w14:textId="77777777" w:rsidR="006377D2" w:rsidRPr="005F28E3" w:rsidRDefault="00D7687C" w:rsidP="005F28E3">
      <w:pPr>
        <w:pStyle w:val="JuHArticle"/>
      </w:pPr>
      <w:r>
        <w:t>Ochrona praw</w:t>
      </w:r>
    </w:p>
    <w:p w14:paraId="398F0461" w14:textId="77777777" w:rsidR="006377D2" w:rsidRPr="005F28E3" w:rsidRDefault="00D7687C" w:rsidP="005F28E3">
      <w:pPr>
        <w:pStyle w:val="JuQuot"/>
      </w:pPr>
      <w:r>
        <w:t>„Państwa członkowskie zapewniają, aby po ewentualnym skorzystaniu z postępowania pojednawczego wszyscy pracownicy, którzy uważają się za pokrzywdzonych w związku z nieprzestrzeganiem zasady równości wynagrodzeń, mieli dostęp do postępowań sądowych w celu egzekwowania praw i obowiązków związanych z zasadą równości wynagrodzeń. Postępowania takie muszą być łatwo dostępne dla pracowników oraz dla osób działających w ich imieniu, także po ustaniu stosunku pracy, w ramach którego miała miejsce zarzucana dyskryminacja.”</w:t>
      </w:r>
    </w:p>
    <w:p w14:paraId="3EA7C1B9" w14:textId="77777777" w:rsidR="006377D2" w:rsidRPr="005F28E3" w:rsidRDefault="00D7687C" w:rsidP="005F28E3">
      <w:pPr>
        <w:pStyle w:val="JuHArticle"/>
      </w:pPr>
      <w:r>
        <w:t>Artykuł 25</w:t>
      </w:r>
    </w:p>
    <w:p w14:paraId="44BFB0CC" w14:textId="77777777" w:rsidR="006377D2" w:rsidRPr="005F28E3" w:rsidRDefault="00D7687C" w:rsidP="005F28E3">
      <w:pPr>
        <w:pStyle w:val="JuHArticle"/>
      </w:pPr>
      <w:r>
        <w:t>Wiktymizacja oraz ochrona przed mniej korzystnym traktowaniem</w:t>
      </w:r>
    </w:p>
    <w:p w14:paraId="08EE4CBE" w14:textId="77777777" w:rsidR="006377D2" w:rsidRPr="005F28E3" w:rsidRDefault="00D7687C" w:rsidP="005F28E3">
      <w:pPr>
        <w:pStyle w:val="JuQuot"/>
      </w:pPr>
      <w:r>
        <w:t>„1. Pracownicy i przedstawiciele pracowników nie mogą być traktowani mniej korzystnie ze względu na to, że wykonywali swoje prawa dotyczące równego wynagrodzenia lub zapewniali wsparcie innej osobie w ochronie jej praw.</w:t>
      </w:r>
    </w:p>
    <w:p w14:paraId="3902C534" w14:textId="77777777" w:rsidR="006377D2" w:rsidRPr="005F28E3" w:rsidRDefault="00D7687C" w:rsidP="005F28E3">
      <w:pPr>
        <w:pStyle w:val="JuQuot"/>
      </w:pPr>
      <w:r>
        <w:t>2. Państwa członkowskie wprowadzają do swoich krajowych systemów prawnych takie środki, jakie są konieczne do ochrony pracowników, w tym pracowników będących przedstawicielami pracowników, przed zwolnieniem lub innym niekorzystnym traktowaniem przez pracodawcę będącymi reakcją na skargę wniesioną w ramach organizacji pracodawcy lub na jakiekolwiek postępowanie administracyjne lub postępowanie sądowe do celów egzekwowania jakichkolwiek praw lub obowiązków związanych z zasadą równości wynagrodzeń”.</w:t>
      </w:r>
    </w:p>
    <w:p w14:paraId="3A542DDD" w14:textId="26869181" w:rsidR="006377D2" w:rsidRPr="005F28E3" w:rsidRDefault="00650006" w:rsidP="005F28E3">
      <w:pPr>
        <w:pStyle w:val="JuPara"/>
      </w:pPr>
      <w:fldSimple w:instr=" SEQ level0 \*arabic \* MERGEFORMAT ">
        <w:r>
          <w:rPr>
            <w:noProof/>
          </w:rPr>
          <w:t>45</w:t>
        </w:r>
      </w:fldSimple>
      <w:r w:rsidR="00D7687C">
        <w:t>.</w:t>
      </w:r>
      <w:r>
        <w:t xml:space="preserve"> </w:t>
      </w:r>
      <w:r w:rsidR="00D7687C">
        <w:t>Konwencja Międzynarodowej Organizacji Pracy (nr 100) dotycząca jednakowego wynagrodzenia z 1951 r., ratyfikowana przez Hiszpanię w 1967 r., stanowi:</w:t>
      </w:r>
    </w:p>
    <w:p w14:paraId="4A70462F" w14:textId="77777777" w:rsidR="006377D2" w:rsidRPr="005F28E3" w:rsidRDefault="00D7687C" w:rsidP="005F28E3">
      <w:pPr>
        <w:pStyle w:val="JuHArticle"/>
      </w:pPr>
      <w:r>
        <w:lastRenderedPageBreak/>
        <w:t>Artykuł 2</w:t>
      </w:r>
    </w:p>
    <w:p w14:paraId="50415D2E" w14:textId="77777777" w:rsidR="006377D2" w:rsidRPr="005F28E3" w:rsidRDefault="00D7687C" w:rsidP="005F28E3">
      <w:pPr>
        <w:pStyle w:val="JuQuot"/>
      </w:pPr>
      <w:r>
        <w:t>„1. Każdy Członek powinien popierać, za pomocą środków dostosowanych do obowiązujących metod ustalania stawek wynagrodzenia i o ile jest to zgodne z tymi metodami, zapewniać stosowanie do wszystkich pracowników zasady jednakowego wynagrodzenia pracujących kobiet i mężczyzn za pracę jednakowej wartości.”</w:t>
      </w:r>
    </w:p>
    <w:bookmarkStart w:id="22" w:name="paragraph00045"/>
    <w:p w14:paraId="76A07AF6" w14:textId="7FEF0D46"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46</w:t>
      </w:r>
      <w:r w:rsidRPr="005F28E3">
        <w:fldChar w:fldCharType="end"/>
      </w:r>
      <w:bookmarkEnd w:id="22"/>
      <w:r>
        <w:t>.</w:t>
      </w:r>
      <w:r w:rsidR="00650006">
        <w:t xml:space="preserve"> </w:t>
      </w:r>
      <w:r>
        <w:t>Powszechna Deklaracja Praw Człowieka stanowi:</w:t>
      </w:r>
    </w:p>
    <w:p w14:paraId="059A13A0" w14:textId="77777777" w:rsidR="006377D2" w:rsidRPr="005F28E3" w:rsidRDefault="00D7687C" w:rsidP="005F28E3">
      <w:pPr>
        <w:pStyle w:val="JuHArticle"/>
      </w:pPr>
      <w:r>
        <w:t>Artykuł 23</w:t>
      </w:r>
    </w:p>
    <w:p w14:paraId="02EF961A" w14:textId="77777777" w:rsidR="006377D2" w:rsidRPr="005F28E3" w:rsidRDefault="00D7687C" w:rsidP="005F28E3">
      <w:pPr>
        <w:pStyle w:val="JuQuot"/>
      </w:pPr>
      <w:r>
        <w:t>„[…]</w:t>
      </w:r>
    </w:p>
    <w:p w14:paraId="3C5E2708" w14:textId="77777777" w:rsidR="006377D2" w:rsidRPr="005F28E3" w:rsidRDefault="00D7687C" w:rsidP="005F28E3">
      <w:pPr>
        <w:pStyle w:val="JuQuot"/>
      </w:pPr>
      <w:r>
        <w:t>2. Każdy bez jakiejkolwiek dyskryminacji, ma prawo do równej płacy za równą pracę”.</w:t>
      </w:r>
    </w:p>
    <w:p w14:paraId="030C319C" w14:textId="0ECE15E6" w:rsidR="006377D2" w:rsidRPr="005F28E3" w:rsidRDefault="00650006" w:rsidP="005F28E3">
      <w:pPr>
        <w:pStyle w:val="JuPara"/>
      </w:pPr>
      <w:fldSimple w:instr=" SEQ level0 \*arabic \* MERGEFORMAT ">
        <w:bookmarkStart w:id="23" w:name="paragraph00047"/>
        <w:r>
          <w:rPr>
            <w:noProof/>
          </w:rPr>
          <w:t>47</w:t>
        </w:r>
        <w:bookmarkEnd w:id="23"/>
      </w:fldSimple>
      <w:r w:rsidR="00D7687C">
        <w:t>.</w:t>
      </w:r>
      <w:r>
        <w:t xml:space="preserve"> </w:t>
      </w:r>
      <w:r w:rsidR="00D7687C">
        <w:t>Konwencja Narodów Zjednoczonych (ONZ) w sprawie likwidacji wszelkich form dyskryminacji kobiet stanowi odpowiednio:</w:t>
      </w:r>
    </w:p>
    <w:p w14:paraId="05D7CDAC" w14:textId="77777777" w:rsidR="006377D2" w:rsidRPr="005F28E3" w:rsidRDefault="00D7687C" w:rsidP="005F28E3">
      <w:pPr>
        <w:pStyle w:val="JuHArticle"/>
      </w:pPr>
      <w:r>
        <w:t>Artykuł 11</w:t>
      </w:r>
    </w:p>
    <w:p w14:paraId="42F9E21B" w14:textId="77777777" w:rsidR="006377D2" w:rsidRPr="005F28E3" w:rsidRDefault="00D7687C" w:rsidP="005F28E3">
      <w:pPr>
        <w:pStyle w:val="JuQuot"/>
        <w:rPr>
          <w:rStyle w:val="JuParaChar"/>
          <w:sz w:val="20"/>
        </w:rPr>
      </w:pPr>
      <w:r>
        <w:rPr>
          <w:rStyle w:val="JuParaChar"/>
          <w:sz w:val="20"/>
        </w:rPr>
        <w:t>„1.</w:t>
      </w:r>
      <w:r>
        <w:t xml:space="preserve"> </w:t>
      </w:r>
      <w:r>
        <w:rPr>
          <w:rStyle w:val="JuParaChar"/>
          <w:sz w:val="20"/>
        </w:rPr>
        <w:t>Państwa Strony zobowiązują się do podjęcia wszelkich stosownych kroków w celu likwidacji dyskryminacji kobiet w dziedzinie zatrudnienia, zmierzających do zapewnienia im na zasadzie równości mężczyzn i kobiet takich samych praw, a w szczególności: […] d) prawa do równego wynagradzania, w tym również do świadczeń oraz do równego traktowania za pracę tej samej wartości, jak również do równego traktowania w ocenie jakości pracy”.</w:t>
      </w:r>
    </w:p>
    <w:p w14:paraId="0763ED22" w14:textId="77777777" w:rsidR="006377D2" w:rsidRPr="005F28E3" w:rsidRDefault="00D7687C" w:rsidP="005F28E3">
      <w:pPr>
        <w:pStyle w:val="JuHHead"/>
      </w:pPr>
      <w:r>
        <w:rPr>
          <w:rStyle w:val="JuParaChar"/>
          <w:caps w:val="0"/>
        </w:rPr>
        <w:t>PRAWO</w:t>
      </w:r>
    </w:p>
    <w:p w14:paraId="1F8CF8E9" w14:textId="77777777" w:rsidR="006377D2" w:rsidRPr="005F28E3" w:rsidRDefault="00D7687C" w:rsidP="005F28E3">
      <w:pPr>
        <w:pStyle w:val="JuHIRoman"/>
        <w:numPr>
          <w:ilvl w:val="1"/>
          <w:numId w:val="5"/>
        </w:numPr>
      </w:pPr>
      <w:r>
        <w:t>ZARZUCANE NARUSZENIE ART. 14 W ZWIĄZKU Z ART. 8</w:t>
      </w:r>
    </w:p>
    <w:bookmarkStart w:id="24" w:name="paragraph00046"/>
    <w:p w14:paraId="7E35C806" w14:textId="6CD67595"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48</w:t>
      </w:r>
      <w:r w:rsidRPr="005F28E3">
        <w:fldChar w:fldCharType="end"/>
      </w:r>
      <w:bookmarkEnd w:id="24"/>
      <w:r>
        <w:t>.</w:t>
      </w:r>
      <w:r w:rsidR="00650006">
        <w:t xml:space="preserve"> </w:t>
      </w:r>
      <w:r>
        <w:t>Skarżąca zarzuciła, że sądy krajowe, utrzymując decyzję o jej zwolnieniu, nie zapewniły jej ochrony przed odwetem za skuteczne powództwo o dyskryminację ze względu na płeć. Powołała się na art. 6 i 14 Konwencji.</w:t>
      </w:r>
    </w:p>
    <w:p w14:paraId="70479606" w14:textId="48581924" w:rsidR="006377D2" w:rsidRPr="005F28E3" w:rsidRDefault="00650006" w:rsidP="005F28E3">
      <w:pPr>
        <w:pStyle w:val="JuPara"/>
      </w:pPr>
      <w:fldSimple w:instr=" SEQ level0 \*arabic \* MERGEFORMAT ">
        <w:r>
          <w:rPr>
            <w:noProof/>
          </w:rPr>
          <w:t>49</w:t>
        </w:r>
      </w:fldSimple>
      <w:r w:rsidR="00D7687C">
        <w:t>.</w:t>
      </w:r>
      <w:r>
        <w:t xml:space="preserve"> </w:t>
      </w:r>
      <w:r w:rsidR="00D7687C">
        <w:t xml:space="preserve">Mając na uwadze swoje orzecznictwo oraz charakter powyższego zarzutu skarżącej, Trybunał, skoro na nim spoczywa ustalenie opisu okoliczności faktycznych sprawy (zob. na przykład </w:t>
      </w:r>
      <w:proofErr w:type="spellStart"/>
      <w:r w:rsidR="00D7687C">
        <w:rPr>
          <w:i/>
        </w:rPr>
        <w:t>Radomilja</w:t>
      </w:r>
      <w:proofErr w:type="spellEnd"/>
      <w:r w:rsidR="00D7687C">
        <w:rPr>
          <w:i/>
        </w:rPr>
        <w:t xml:space="preserve"> i Inni przeciwko Chorwacji</w:t>
      </w:r>
      <w:r w:rsidR="00D7687C">
        <w:t xml:space="preserve"> [WI], nr 37685/10 i 22768/12, paragraf 126, 20 marca 2018 r.), jest zdania, że podniesione kwestie należy rozpatrywać w świetle art. 14 Konwencji w związku z art. 8, który brzmi jak następuje:</w:t>
      </w:r>
    </w:p>
    <w:p w14:paraId="05534A29" w14:textId="77777777" w:rsidR="006377D2" w:rsidRPr="005F28E3" w:rsidRDefault="00D7687C" w:rsidP="005F28E3">
      <w:pPr>
        <w:pStyle w:val="JuHArticle"/>
      </w:pPr>
      <w:r>
        <w:t>Artykuł 14</w:t>
      </w:r>
    </w:p>
    <w:p w14:paraId="6750C29C" w14:textId="77777777" w:rsidR="006377D2" w:rsidRPr="005F28E3" w:rsidRDefault="00D7687C" w:rsidP="005F28E3">
      <w:pPr>
        <w:pStyle w:val="JuQuot"/>
      </w:pPr>
      <w: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p>
    <w:p w14:paraId="2046D1F6" w14:textId="77777777" w:rsidR="006377D2" w:rsidRPr="005F28E3" w:rsidRDefault="00D7687C" w:rsidP="005F28E3">
      <w:pPr>
        <w:pStyle w:val="JuHArticle"/>
      </w:pPr>
      <w:r>
        <w:lastRenderedPageBreak/>
        <w:t>Artykuł 8</w:t>
      </w:r>
    </w:p>
    <w:p w14:paraId="57F1846F" w14:textId="25C4A31D" w:rsidR="006377D2" w:rsidRPr="005F28E3" w:rsidRDefault="00D7687C" w:rsidP="005F28E3">
      <w:pPr>
        <w:pStyle w:val="JuQuot"/>
      </w:pPr>
      <w:r>
        <w:t>„1.</w:t>
      </w:r>
      <w:r w:rsidR="00650006">
        <w:t xml:space="preserve"> </w:t>
      </w:r>
      <w:r>
        <w:t>Każdy ma prawo do poszanowania swojego życia prywatnego i rodzinnego, swojego mieszkania i swojej korespondencji.</w:t>
      </w:r>
    </w:p>
    <w:p w14:paraId="67728DC2" w14:textId="6A318B35" w:rsidR="006377D2" w:rsidRPr="005F28E3" w:rsidRDefault="00D7687C" w:rsidP="005F28E3">
      <w:pPr>
        <w:pStyle w:val="JuQuot"/>
      </w:pPr>
      <w:r>
        <w:t>2.</w:t>
      </w:r>
      <w:r w:rsidR="00650006">
        <w:t xml:space="preserve"> </w:t>
      </w:r>
      <w: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30B539D9" w14:textId="77777777" w:rsidR="006377D2" w:rsidRPr="005F28E3" w:rsidRDefault="00D7687C" w:rsidP="005F28E3">
      <w:pPr>
        <w:pStyle w:val="JuHA"/>
      </w:pPr>
      <w:r>
        <w:t>Dopuszczalność</w:t>
      </w:r>
    </w:p>
    <w:p w14:paraId="337902AA" w14:textId="77777777" w:rsidR="006377D2" w:rsidRPr="005F28E3" w:rsidRDefault="00D7687C" w:rsidP="005F28E3">
      <w:pPr>
        <w:pStyle w:val="JuH1"/>
      </w:pPr>
      <w:r>
        <w:t>Zastosowanie art. 14 w związku z art. 8 Konwencji</w:t>
      </w:r>
    </w:p>
    <w:bookmarkStart w:id="25" w:name="paragraph00048"/>
    <w:p w14:paraId="4467FC83" w14:textId="32A3FC9D"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50</w:t>
      </w:r>
      <w:r w:rsidRPr="005F28E3">
        <w:fldChar w:fldCharType="end"/>
      </w:r>
      <w:bookmarkEnd w:id="25"/>
      <w:r>
        <w:t>.</w:t>
      </w:r>
      <w:r w:rsidR="00650006">
        <w:t xml:space="preserve"> </w:t>
      </w:r>
      <w:r>
        <w:t>Rząd stwierdził, że art. 8 Konwencji nie miał zastosowania do okoliczności przedmiotowej sprawy, ponieważ zwolnienie nie miało wpływu na życie prywatne i rodzinne skarżącej.</w:t>
      </w:r>
    </w:p>
    <w:p w14:paraId="644F15BD" w14:textId="34C5A6CF" w:rsidR="006377D2" w:rsidRPr="005F28E3" w:rsidRDefault="00650006" w:rsidP="005F28E3">
      <w:pPr>
        <w:pStyle w:val="JuPara"/>
      </w:pPr>
      <w:fldSimple w:instr=" SEQ level0 \*arabic \* MERGEFORMAT ">
        <w:r>
          <w:rPr>
            <w:noProof/>
          </w:rPr>
          <w:t>51</w:t>
        </w:r>
      </w:fldSimple>
      <w:r w:rsidR="00D7687C">
        <w:t>.</w:t>
      </w:r>
      <w:r>
        <w:t xml:space="preserve"> </w:t>
      </w:r>
      <w:r w:rsidR="00D7687C">
        <w:t xml:space="preserve">Chociaż skarżąca nie przedstawiła żadnych konkretnych argumentów w tym zakresie, skarżyła się, że jej zwolnienie było odwetem na niej za wcześniejsze roszczenie z tytułu dyskryminacji. Argumentowała ponadto, że zwolnienie spowodowało nałożenie na nią sankcji za wykorzystanie danych, bez których nie byłoby możliwe uzyskanie ochrony przed dyskryminacją ze względu na płeć, oraz że utrzymując w mocy decyzję o zwolnieniu, sądy krajowe </w:t>
      </w:r>
      <w:r w:rsidR="00D7687C">
        <w:rPr>
          <w:i/>
        </w:rPr>
        <w:t>de facto</w:t>
      </w:r>
      <w:r w:rsidR="00D7687C">
        <w:t xml:space="preserve"> pozbawiły praktycznego skutku wyroki wydane na jej korzyść, uznające naruszenie jej prawa do niedyskryminacji ze względu na płeć.</w:t>
      </w:r>
    </w:p>
    <w:p w14:paraId="4901DFEE" w14:textId="665DB06C" w:rsidR="006377D2" w:rsidRPr="005F28E3" w:rsidRDefault="00650006" w:rsidP="005F28E3">
      <w:pPr>
        <w:pStyle w:val="JuPara"/>
      </w:pPr>
      <w:fldSimple w:instr=" SEQ level0 \*arabic \* MERGEFORMAT ">
        <w:r>
          <w:rPr>
            <w:noProof/>
          </w:rPr>
          <w:t>52</w:t>
        </w:r>
      </w:fldSimple>
      <w:r w:rsidR="00D7687C">
        <w:t>.</w:t>
      </w:r>
      <w:r>
        <w:t xml:space="preserve"> </w:t>
      </w:r>
      <w:r w:rsidR="00D7687C">
        <w:t xml:space="preserve">Trybunał wielokrotnie orzekał, że art. 14 stanowi uzupełnienie pozostałych materialnych postanowień Konwencji i jej protokołów. Nie funkcjonuje niezależnie, ponieważ ma skutek wyłącznie w związku z „korzystaniem z praw i wolności” w nim zabezpieczonych. Chociaż zastosowanie art. 14 nie zakłada naruszenia tych </w:t>
      </w:r>
      <w:r w:rsidR="00A83B6C">
        <w:t>postanowień</w:t>
      </w:r>
      <w:r w:rsidR="00D7687C">
        <w:t xml:space="preserve"> i w tym zakresie artykuł ten jest autonomiczny, nie może być on stosowany, jeżeli sporne fakty wchodzą w zakres jednego lub kilku z pozostałych postanowień (zob. 30078/06, paragraf 124, ETPC 2012 (fragmenty) oraz </w:t>
      </w:r>
      <w:bookmarkStart w:id="26" w:name="_cl42051THELAW"/>
      <w:proofErr w:type="spellStart"/>
      <w:r w:rsidR="00D7687C">
        <w:rPr>
          <w:i/>
        </w:rPr>
        <w:t>Beeler</w:t>
      </w:r>
      <w:proofErr w:type="spellEnd"/>
      <w:r w:rsidR="00D7687C">
        <w:rPr>
          <w:i/>
        </w:rPr>
        <w:t xml:space="preserve"> przeciwko Szwajcarii</w:t>
      </w:r>
      <w:bookmarkEnd w:id="26"/>
      <w:r w:rsidR="00D7687C">
        <w:t xml:space="preserve"> [WI], nr 78630/12, paragrafy 47-48, 11 października 2022 r.).</w:t>
      </w:r>
    </w:p>
    <w:bookmarkStart w:id="27" w:name="paragraph00051"/>
    <w:p w14:paraId="67F8995B" w14:textId="1F57153B"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53</w:t>
      </w:r>
      <w:r w:rsidRPr="005F28E3">
        <w:fldChar w:fldCharType="end"/>
      </w:r>
      <w:bookmarkEnd w:id="27"/>
      <w:r>
        <w:t>.</w:t>
      </w:r>
      <w:r w:rsidR="00650006">
        <w:t xml:space="preserve"> </w:t>
      </w:r>
      <w:r>
        <w:t xml:space="preserve">Dla celów stosowania art. 14 w związku z art. 8 Trybunał ponownie zauważa, że termin „życie prywatne”, stanowi szerokie pojęcie, którego nie da się zdefiniować w sposób wyczerpujący. Obejmuje ono integralność fizyczną i moralną danej osoby, w tym niekiedy aspekty jej tożsamości fizycznej i społecznej, w tym prawo do nawiązywania i rozwijania relacji z innymi ludźmi, prawo do „rozwoju osobistego” oraz prawo do stanowienia o sobie (zob. sprawa </w:t>
      </w:r>
      <w:proofErr w:type="spellStart"/>
      <w:r>
        <w:rPr>
          <w:i/>
        </w:rPr>
        <w:t>Schüth</w:t>
      </w:r>
      <w:proofErr w:type="spellEnd"/>
      <w:r>
        <w:t xml:space="preserve"> </w:t>
      </w:r>
      <w:r>
        <w:rPr>
          <w:i/>
        </w:rPr>
        <w:t>przeciwko Niemcom</w:t>
      </w:r>
      <w:r>
        <w:t xml:space="preserve">, nr 1620/03, paragraf 53, ETPC 2010, oraz </w:t>
      </w:r>
      <w:r>
        <w:rPr>
          <w:i/>
        </w:rPr>
        <w:t>I.B. przeciwko Grecji</w:t>
      </w:r>
      <w:r>
        <w:t xml:space="preserve">, nr. 552/10, paragraf 67, ETPC 2013). Zgodnie z wcześniejszym orzecznictwem Trybunału, istnieją pewne typowe aspekty życia prywatnego, które mogą ucierpieć w następstwie odwołania, </w:t>
      </w:r>
      <w:r>
        <w:lastRenderedPageBreak/>
        <w:t xml:space="preserve">degradacji, niedopuszczenia do wykonywania zawodu lub podobnych niekorzystnych środków (zob. </w:t>
      </w:r>
      <w:proofErr w:type="spellStart"/>
      <w:r>
        <w:rPr>
          <w:i/>
        </w:rPr>
        <w:t>Denisov</w:t>
      </w:r>
      <w:proofErr w:type="spellEnd"/>
      <w:r>
        <w:rPr>
          <w:i/>
        </w:rPr>
        <w:t xml:space="preserve"> przeciwko Ukrainie</w:t>
      </w:r>
      <w:r>
        <w:t xml:space="preserve"> [WI], nr 76639/11, paragraf 115, 25 września 2018 r.). Trybunał orzekał również w sprawach, w których skarga na podstawie art. 8 opierała się na zaniechaniu ze strony władz krajowych ochrony sfery prywatnej skarżących przed ingerencją ze strony ich pracodawców (zob. </w:t>
      </w:r>
      <w:r>
        <w:rPr>
          <w:i/>
        </w:rPr>
        <w:t>Obst przeciwko Niemcom</w:t>
      </w:r>
      <w:r>
        <w:t xml:space="preserve">, nr. 425/03, 23 września 2010 r.; </w:t>
      </w:r>
      <w:proofErr w:type="spellStart"/>
      <w:r>
        <w:rPr>
          <w:i/>
        </w:rPr>
        <w:t>Schüth</w:t>
      </w:r>
      <w:proofErr w:type="spellEnd"/>
      <w:r>
        <w:t xml:space="preserve">, cyt. powyżej; </w:t>
      </w:r>
      <w:r>
        <w:rPr>
          <w:i/>
        </w:rPr>
        <w:t>I.B. przeciwko Grecji</w:t>
      </w:r>
      <w:r>
        <w:t xml:space="preserve">, cyt. powyżej; oraz </w:t>
      </w:r>
      <w:r>
        <w:rPr>
          <w:i/>
        </w:rPr>
        <w:t>Platini przeciwko Szwajcarii</w:t>
      </w:r>
      <w:r>
        <w:t xml:space="preserve"> (</w:t>
      </w:r>
      <w:proofErr w:type="spellStart"/>
      <w:r>
        <w:t>dec</w:t>
      </w:r>
      <w:proofErr w:type="spellEnd"/>
      <w:r>
        <w:t>.), nr. 526/18, paragraf 52, 11 lutego 2020 r.).</w:t>
      </w:r>
    </w:p>
    <w:p w14:paraId="4720277A" w14:textId="57E63FE5" w:rsidR="006377D2" w:rsidRPr="005F28E3" w:rsidRDefault="00650006" w:rsidP="005F28E3">
      <w:pPr>
        <w:pStyle w:val="JuPara"/>
      </w:pPr>
      <w:fldSimple w:instr=" SEQ level0 \*arabic \* MERGEFORMAT ">
        <w:r>
          <w:rPr>
            <w:noProof/>
          </w:rPr>
          <w:t>54</w:t>
        </w:r>
      </w:fldSimple>
      <w:r w:rsidR="00D7687C">
        <w:t>.</w:t>
      </w:r>
      <w:r>
        <w:t xml:space="preserve"> </w:t>
      </w:r>
      <w:r w:rsidR="00D7687C">
        <w:t>W przedmiotowej sprawie Trybunał zauważył, że zgodnie z orzeczeniami sądów krajowych, skarżąca doświadczała dyskryminacji w zakresie jej wynagrodzenia przez kilka lat. Kiedy zdecydowała się podjąć kroki prawne, została zwolniona, co jej zdaniem było odwetem za takie kroki prawne. W istocie rzeczy skarżąca zarzuca, że orzeczenia utrzymujące decyzję o jej zwolnieniu poważnie ograniczyły skutki uznania przez sądy krajowe naruszenia jej prawa do niedyskryminacji.</w:t>
      </w:r>
    </w:p>
    <w:p w14:paraId="379750FB" w14:textId="7F318FC7" w:rsidR="006377D2" w:rsidRPr="005F28E3" w:rsidRDefault="00650006" w:rsidP="005F28E3">
      <w:pPr>
        <w:pStyle w:val="JuPara"/>
      </w:pPr>
      <w:fldSimple w:instr=" SEQ level0 \*arabic \* MERGEFORMAT ">
        <w:r>
          <w:rPr>
            <w:noProof/>
          </w:rPr>
          <w:t>55</w:t>
        </w:r>
      </w:fldSimple>
      <w:r w:rsidR="00D7687C">
        <w:t>.</w:t>
      </w:r>
      <w:r>
        <w:t xml:space="preserve"> </w:t>
      </w:r>
      <w:r w:rsidR="00D7687C">
        <w:t xml:space="preserve">Trybunał wziął ponadto pod uwagę, że skarżąca pracowała dla tej samej spółki przez ponad 20 lat oraz że, według informacji przedstawionych przez strony, była bezrobotna przez prawie pięć lat po zwolnieniu. Dlatego też potwierdzenie zasadności zwolnienia skarżącej przez sądy krajowe miało bez wątpienia negatywne skutki finansowe (zob. </w:t>
      </w:r>
      <w:r w:rsidR="00D7687C">
        <w:rPr>
          <w:i/>
        </w:rPr>
        <w:t>mutatis mutandis</w:t>
      </w:r>
      <w:r w:rsidR="00D7687C">
        <w:t xml:space="preserve">, </w:t>
      </w:r>
      <w:proofErr w:type="spellStart"/>
      <w:r w:rsidR="00D7687C">
        <w:rPr>
          <w:i/>
        </w:rPr>
        <w:t>Ovcharenko</w:t>
      </w:r>
      <w:proofErr w:type="spellEnd"/>
      <w:r w:rsidR="00D7687C">
        <w:rPr>
          <w:i/>
        </w:rPr>
        <w:t xml:space="preserve"> i Kolos przeciwko Ukrainie</w:t>
      </w:r>
      <w:r w:rsidR="00D7687C">
        <w:t xml:space="preserve">, nr 27276/15 i 33692/15, paragraf 86, 12 stycznia 2023 r.). Co więcej, okoliczności, że jej zwolnienie miało charakter dyscyplinarny i wynikało z bardzo poważnego przewinienia, oraz że taka argumentacja została podtrzymana przez sądy krajowe, bezpośrednio dotykają jej integralności osobistej i kompetencji zawodowych oraz sugerują, że ucierpiała jej reputacja zawodowa (zob. </w:t>
      </w:r>
      <w:r w:rsidR="00D7687C">
        <w:rPr>
          <w:i/>
        </w:rPr>
        <w:t>mutatis mutandis</w:t>
      </w:r>
      <w:r w:rsidR="00D7687C">
        <w:t xml:space="preserve">, </w:t>
      </w:r>
      <w:proofErr w:type="spellStart"/>
      <w:r w:rsidR="00D7687C">
        <w:rPr>
          <w:i/>
        </w:rPr>
        <w:t>Ovcharenko</w:t>
      </w:r>
      <w:proofErr w:type="spellEnd"/>
      <w:r w:rsidR="00D7687C">
        <w:rPr>
          <w:i/>
        </w:rPr>
        <w:t xml:space="preserve"> i Kolos</w:t>
      </w:r>
      <w:r w:rsidR="00D7687C">
        <w:t xml:space="preserve">, cyt. powyżej, paragraf 86, oraz </w:t>
      </w:r>
      <w:proofErr w:type="spellStart"/>
      <w:r w:rsidR="00D7687C">
        <w:rPr>
          <w:i/>
        </w:rPr>
        <w:t>Oleksandr</w:t>
      </w:r>
      <w:proofErr w:type="spellEnd"/>
      <w:r w:rsidR="00D7687C">
        <w:rPr>
          <w:i/>
        </w:rPr>
        <w:t xml:space="preserve"> </w:t>
      </w:r>
      <w:proofErr w:type="spellStart"/>
      <w:r w:rsidR="00D7687C">
        <w:rPr>
          <w:i/>
        </w:rPr>
        <w:t>Volkov</w:t>
      </w:r>
      <w:proofErr w:type="spellEnd"/>
      <w:r w:rsidR="00D7687C">
        <w:rPr>
          <w:i/>
        </w:rPr>
        <w:t xml:space="preserve"> przeciwko. Ukrainie</w:t>
      </w:r>
      <w:r w:rsidR="00D7687C">
        <w:t xml:space="preserve">, nr 21722/11, paragraf 166, ETPC 2013). W opinii Trybunału taka kombinacja okoliczności ma wpływ na postrzeganie samej siebie i szacunek wobec siebie (zob. </w:t>
      </w:r>
      <w:r w:rsidR="00D7687C">
        <w:rPr>
          <w:i/>
        </w:rPr>
        <w:t>mutatis mutandis</w:t>
      </w:r>
      <w:r w:rsidR="00D7687C">
        <w:t xml:space="preserve">, </w:t>
      </w:r>
      <w:proofErr w:type="spellStart"/>
      <w:r w:rsidR="00D7687C">
        <w:rPr>
          <w:i/>
        </w:rPr>
        <w:t>Emel</w:t>
      </w:r>
      <w:proofErr w:type="spellEnd"/>
      <w:r w:rsidR="00D7687C">
        <w:rPr>
          <w:i/>
        </w:rPr>
        <w:t xml:space="preserve"> </w:t>
      </w:r>
      <w:proofErr w:type="spellStart"/>
      <w:r w:rsidR="00D7687C">
        <w:rPr>
          <w:i/>
        </w:rPr>
        <w:t>Boyraz</w:t>
      </w:r>
      <w:proofErr w:type="spellEnd"/>
      <w:r w:rsidR="00D7687C">
        <w:rPr>
          <w:i/>
        </w:rPr>
        <w:t xml:space="preserve"> przeciwko Turcji</w:t>
      </w:r>
      <w:r w:rsidR="00D7687C">
        <w:t>, nr 61960/08, paragraf 44, 2 grudnia 2014 r., w sprawie zwolnienia ze względu na płeć).</w:t>
      </w:r>
    </w:p>
    <w:bookmarkStart w:id="28" w:name="paragraph00054"/>
    <w:p w14:paraId="430A88F9" w14:textId="791FF8D9"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56</w:t>
      </w:r>
      <w:r w:rsidRPr="005F28E3">
        <w:fldChar w:fldCharType="end"/>
      </w:r>
      <w:bookmarkEnd w:id="28"/>
      <w:r>
        <w:t>.</w:t>
      </w:r>
      <w:r w:rsidR="00650006">
        <w:t xml:space="preserve"> </w:t>
      </w:r>
      <w:r>
        <w:t>Trybunał stwierdza zatem, że stan faktyczny sprawy wchodzi w zakres art. 8 Konwencji.</w:t>
      </w:r>
    </w:p>
    <w:p w14:paraId="06357F7E" w14:textId="7736E338" w:rsidR="006377D2" w:rsidRPr="005F28E3" w:rsidRDefault="00650006" w:rsidP="005F28E3">
      <w:pPr>
        <w:pStyle w:val="JuPara"/>
      </w:pPr>
      <w:fldSimple w:instr=" SEQ level0 \*arabic \* MERGEFORMAT ">
        <w:r>
          <w:rPr>
            <w:noProof/>
          </w:rPr>
          <w:t>57</w:t>
        </w:r>
      </w:fldSimple>
      <w:r w:rsidR="00D7687C">
        <w:t>.</w:t>
      </w:r>
      <w:r>
        <w:t xml:space="preserve"> </w:t>
      </w:r>
      <w:r w:rsidR="00D7687C">
        <w:t>Ponadto zauważa, że kwestia, czy art. 14 w związku z art. 8 rodzi pozytywny obowiązek ochrony w okolicznościach takich jak w przedmiotowej sprawie - w której skarżąca domagała się od sądów krajowych ochrony przed zarzucanym odwetem w następstwie skutecznego dochodzenia roszczenia z tytułu dyskryminacji ze względu na płeć - wymaga rozstrzygnięcia co do istoty.</w:t>
      </w:r>
    </w:p>
    <w:p w14:paraId="4D68BFBE" w14:textId="77777777" w:rsidR="006377D2" w:rsidRPr="005F28E3" w:rsidRDefault="00D7687C" w:rsidP="005F28E3">
      <w:pPr>
        <w:pStyle w:val="JuH1"/>
      </w:pPr>
      <w:r>
        <w:lastRenderedPageBreak/>
        <w:t>Niewyczerpanie krajowych środków odwoławczych</w:t>
      </w:r>
    </w:p>
    <w:p w14:paraId="4690B3FD" w14:textId="2201E0CE" w:rsidR="006377D2" w:rsidRPr="005F28E3" w:rsidRDefault="00650006" w:rsidP="005F28E3">
      <w:pPr>
        <w:pStyle w:val="JuPara"/>
      </w:pPr>
      <w:fldSimple w:instr=" SEQ level0 \*arabic \* MERGEFORMAT ">
        <w:r>
          <w:rPr>
            <w:noProof/>
          </w:rPr>
          <w:t>58</w:t>
        </w:r>
      </w:fldSimple>
      <w:r w:rsidR="00D7687C">
        <w:t>.</w:t>
      </w:r>
      <w:r>
        <w:t xml:space="preserve"> </w:t>
      </w:r>
      <w:r w:rsidR="00D7687C">
        <w:t xml:space="preserve">Rząd podniósł, w kontekście swojego zarzutu dotyczącego możliwości zastosowania art. 8, że skarżąca nie skarżyła się ani w sposób wyraźny, ani dorozumiany, na naruszenie art. 8 Konwencji przed sądami krajowymi. Trybunał uważa, że argument ten dotyczy kwestii wyczerpania krajowych środków odwoławczych. Rząd argumentował również, że skarżąca nie wyczerpała należycie dostępnych krajowych środków odwoławczych, ponieważ nie uzasadniła należycie szczególnego znaczenia konstytucyjnego swojej skargi </w:t>
      </w:r>
      <w:proofErr w:type="spellStart"/>
      <w:r w:rsidR="00D7687C">
        <w:rPr>
          <w:i/>
        </w:rPr>
        <w:t>amparo</w:t>
      </w:r>
      <w:proofErr w:type="spellEnd"/>
      <w:r w:rsidR="00D7687C">
        <w:t xml:space="preserve">. Przywołał w związku z w tym sprawę </w:t>
      </w:r>
      <w:r w:rsidR="00D7687C">
        <w:rPr>
          <w:i/>
        </w:rPr>
        <w:t>Alvarez Juan przeciwko Hiszpanii</w:t>
      </w:r>
      <w:r w:rsidR="00D7687C">
        <w:t xml:space="preserve"> (nr 33799/16, 29 września 2020 r.). Rząd stwierdził ponadto, że argumenty przedstawione w celu uzasadnienia takiej zasadności skargi, w szczególności te odnoszące się do niezbadania jej roszczenia co do istoty przez Sąd Najwyższy, były oczywiście chybione, ponieważ nie miały związku z zarzucanymi naruszeniami/zarzutami podniesionymi w skardze</w:t>
      </w:r>
      <w:r>
        <w:t xml:space="preserve"> </w:t>
      </w:r>
      <w:proofErr w:type="spellStart"/>
      <w:r w:rsidR="00D7687C">
        <w:rPr>
          <w:i/>
        </w:rPr>
        <w:t>amparo</w:t>
      </w:r>
      <w:proofErr w:type="spellEnd"/>
      <w:r w:rsidR="00D7687C">
        <w:t>.</w:t>
      </w:r>
    </w:p>
    <w:p w14:paraId="3855D431" w14:textId="29D5FD31" w:rsidR="006377D2" w:rsidRPr="005F28E3" w:rsidRDefault="00650006" w:rsidP="005F28E3">
      <w:pPr>
        <w:pStyle w:val="JuPara"/>
      </w:pPr>
      <w:fldSimple w:instr=" SEQ level0 \*arabic \* MERGEFORMAT ">
        <w:r>
          <w:rPr>
            <w:noProof/>
          </w:rPr>
          <w:t>59</w:t>
        </w:r>
      </w:fldSimple>
      <w:r w:rsidR="00D7687C">
        <w:t>.</w:t>
      </w:r>
      <w:r>
        <w:t xml:space="preserve"> </w:t>
      </w:r>
      <w:r w:rsidR="00D7687C">
        <w:t xml:space="preserve">Skarżąca argumentowała, że wyczerpała wszystkie dostępne środki odwoławcze i powtórzyła, że sądy krajowe nie udzieliły jej ochrony przed działaniami odwetowymi ze strony spółki. Skarżąca twierdziła również, że spełniła formalny wymóg wykazania szczególnego znaczenia konstytucyjnego jej skargi </w:t>
      </w:r>
      <w:proofErr w:type="spellStart"/>
      <w:r w:rsidR="00D7687C">
        <w:rPr>
          <w:i/>
        </w:rPr>
        <w:t>amparo</w:t>
      </w:r>
      <w:proofErr w:type="spellEnd"/>
      <w:r w:rsidR="00D7687C">
        <w:t>, jednak Trybunał Konstytucyjny uznał, że w jej sprawie takiego szczególnego znaczenia zabrakło. Faktu, że Trybunał Konstytucyjny nie uwzględnił jej argumentów, nie należy uznawać za nieskorzystanie z tego konkretnego środka odwoławczego.</w:t>
      </w:r>
    </w:p>
    <w:p w14:paraId="4FBA2920" w14:textId="036C325B" w:rsidR="006377D2" w:rsidRPr="005F28E3" w:rsidRDefault="00650006" w:rsidP="005F28E3">
      <w:pPr>
        <w:pStyle w:val="JuPara"/>
      </w:pPr>
      <w:fldSimple w:instr=" SEQ level0 \*arabic \* MERGEFORMAT ">
        <w:r>
          <w:rPr>
            <w:noProof/>
          </w:rPr>
          <w:t>60</w:t>
        </w:r>
      </w:fldSimple>
      <w:r w:rsidR="00D7687C">
        <w:t>.</w:t>
      </w:r>
      <w:r>
        <w:t xml:space="preserve"> </w:t>
      </w:r>
      <w:r w:rsidR="00D7687C">
        <w:t xml:space="preserve">Trybunał zauważa, po pierwsze, że skarżąca konsekwentnie twierdziła w toku postępowania sądowego dotyczącego jej zwolnienia, że zwolnienie było odwetem za wniesienie przez nią roszczenia z tytułu dyskryminacji przeciwko spółce i zwróciła się do sądów krajowych o utrzymanie jej prawa do ochrony przed takim odwetem (zob. paragrafy </w:t>
      </w:r>
      <w:r w:rsidR="00D7687C" w:rsidRPr="005F28E3">
        <w:fldChar w:fldCharType="begin"/>
      </w:r>
      <w:r w:rsidR="00D7687C" w:rsidRPr="005F28E3">
        <w:instrText xml:space="preserve">REF paragraph00017 \h \* CharFormat  \* MERGEFORMAT </w:instrText>
      </w:r>
      <w:r w:rsidR="00D7687C" w:rsidRPr="005F28E3">
        <w:fldChar w:fldCharType="separate"/>
      </w:r>
      <w:r>
        <w:t>17</w:t>
      </w:r>
      <w:r w:rsidR="00D7687C" w:rsidRPr="005F28E3">
        <w:fldChar w:fldCharType="end"/>
      </w:r>
      <w:r w:rsidR="00D7687C">
        <w:t xml:space="preserve">, </w:t>
      </w:r>
      <w:r w:rsidR="00D7687C" w:rsidRPr="005F28E3">
        <w:fldChar w:fldCharType="begin"/>
      </w:r>
      <w:r w:rsidR="00D7687C" w:rsidRPr="005F28E3">
        <w:instrText xml:space="preserve">REF paragraph00021 \h \* CharFormat  \* MERGEFORMAT </w:instrText>
      </w:r>
      <w:r w:rsidR="00D7687C" w:rsidRPr="005F28E3">
        <w:fldChar w:fldCharType="separate"/>
      </w:r>
      <w:r>
        <w:t>21</w:t>
      </w:r>
      <w:r w:rsidR="00D7687C" w:rsidRPr="005F28E3">
        <w:fldChar w:fldCharType="end"/>
      </w:r>
      <w:r w:rsidR="00D7687C">
        <w:t xml:space="preserve"> i </w:t>
      </w:r>
      <w:r w:rsidR="00D7687C" w:rsidRPr="005F28E3">
        <w:fldChar w:fldCharType="begin"/>
      </w:r>
      <w:r w:rsidR="00D7687C" w:rsidRPr="005F28E3">
        <w:instrText xml:space="preserve">REF paragraph00026 \h \* CharFormat  \* MERGEFORMAT </w:instrText>
      </w:r>
      <w:r w:rsidR="00D7687C" w:rsidRPr="005F28E3">
        <w:fldChar w:fldCharType="separate"/>
      </w:r>
      <w:r>
        <w:t>26</w:t>
      </w:r>
      <w:r w:rsidR="00D7687C" w:rsidRPr="005F28E3">
        <w:fldChar w:fldCharType="end"/>
      </w:r>
      <w:r w:rsidR="00D7687C">
        <w:t xml:space="preserve"> powyżej). Trybunał, mając na uwadze swoje wcześniejsze ustalenia (zob. paragrafy </w:t>
      </w:r>
      <w:r w:rsidR="00D7687C" w:rsidRPr="005F28E3">
        <w:fldChar w:fldCharType="begin"/>
      </w:r>
      <w:r w:rsidR="00D7687C" w:rsidRPr="005F28E3">
        <w:instrText xml:space="preserve">REF paragraph00051 \h \* CharFormat  \* MERGEFORMAT </w:instrText>
      </w:r>
      <w:r w:rsidR="00D7687C" w:rsidRPr="005F28E3">
        <w:fldChar w:fldCharType="separate"/>
      </w:r>
      <w:r>
        <w:t>53</w:t>
      </w:r>
      <w:r w:rsidR="00D7687C" w:rsidRPr="005F28E3">
        <w:fldChar w:fldCharType="end"/>
      </w:r>
      <w:r w:rsidR="00D7687C">
        <w:t>-</w:t>
      </w:r>
      <w:r w:rsidR="00D7687C" w:rsidRPr="005F28E3">
        <w:fldChar w:fldCharType="begin"/>
      </w:r>
      <w:r w:rsidR="00D7687C" w:rsidRPr="005F28E3">
        <w:instrText xml:space="preserve">REF paragraph00054 \h \* CharFormat  \* MERGEFORMAT </w:instrText>
      </w:r>
      <w:r w:rsidR="00D7687C" w:rsidRPr="005F28E3">
        <w:fldChar w:fldCharType="separate"/>
      </w:r>
      <w:r>
        <w:t>56</w:t>
      </w:r>
      <w:r w:rsidR="00D7687C" w:rsidRPr="005F28E3">
        <w:fldChar w:fldCharType="end"/>
      </w:r>
      <w:r w:rsidR="00D7687C">
        <w:t xml:space="preserve"> powyżej), uznaje, że takie roszczenia wchodzą w zakres art. 8 i w związku z tym stwierdza, że skarżąca skierowała do sądów krajowych, przynajmniej co do istoty, odpowiednią skargę.</w:t>
      </w:r>
    </w:p>
    <w:p w14:paraId="33C89BD9" w14:textId="0399403F" w:rsidR="006377D2" w:rsidRPr="005F28E3" w:rsidRDefault="00650006" w:rsidP="005F28E3">
      <w:pPr>
        <w:pStyle w:val="JuPara"/>
      </w:pPr>
      <w:fldSimple w:instr=" SEQ level0 \*arabic \* MERGEFORMAT ">
        <w:r>
          <w:rPr>
            <w:noProof/>
          </w:rPr>
          <w:t>61</w:t>
        </w:r>
      </w:fldSimple>
      <w:r w:rsidR="00D7687C">
        <w:t>.</w:t>
      </w:r>
      <w:r>
        <w:t xml:space="preserve"> </w:t>
      </w:r>
      <w:r w:rsidR="00D7687C">
        <w:t xml:space="preserve">Po drugie, Trybunał orzekł, że okoliczność, iż Trybunał Konstytucyjny uznał skargę </w:t>
      </w:r>
      <w:proofErr w:type="spellStart"/>
      <w:r w:rsidR="00D7687C">
        <w:rPr>
          <w:i/>
        </w:rPr>
        <w:t>amparo</w:t>
      </w:r>
      <w:proofErr w:type="spellEnd"/>
      <w:r w:rsidR="00D7687C">
        <w:t xml:space="preserve"> za niedopuszczalną ze względu na brak wymaganego szczególnego znaczenia konstytucyjnego lub, w zależności od przypadku, ze względu na to, że skarżąca nie wykazała istnienia takiego znaczenia, nie uniemożliwia Trybunałowi rozstrzygnięcia w przedmiocie dopuszczalności i zasadności skargi (zob. </w:t>
      </w:r>
      <w:proofErr w:type="spellStart"/>
      <w:r w:rsidR="00D7687C" w:rsidRPr="00A83B6C">
        <w:rPr>
          <w:i/>
          <w:iCs/>
        </w:rPr>
        <w:t>Arribas</w:t>
      </w:r>
      <w:proofErr w:type="spellEnd"/>
      <w:r w:rsidR="00D7687C" w:rsidRPr="00A83B6C">
        <w:rPr>
          <w:i/>
          <w:iCs/>
        </w:rPr>
        <w:t xml:space="preserve"> </w:t>
      </w:r>
      <w:proofErr w:type="spellStart"/>
      <w:r w:rsidR="00D7687C" w:rsidRPr="00A83B6C">
        <w:rPr>
          <w:i/>
          <w:iCs/>
        </w:rPr>
        <w:t>Antón</w:t>
      </w:r>
      <w:proofErr w:type="spellEnd"/>
      <w:r w:rsidR="00D7687C" w:rsidRPr="00A83B6C">
        <w:rPr>
          <w:i/>
          <w:iCs/>
        </w:rPr>
        <w:t xml:space="preserve"> przeciwko Hiszpanii</w:t>
      </w:r>
      <w:r w:rsidR="00D7687C">
        <w:t>, nr 16563/11, paragraf 51, 20 stycznia 2015 r. oraz sprawy tam przytoczone)</w:t>
      </w:r>
      <w:r w:rsidR="0053174D">
        <w:t xml:space="preserve"> i </w:t>
      </w:r>
      <w:r w:rsidR="00D7687C">
        <w:t xml:space="preserve">odwrotnie, całkowite niedopełnienie przez skarżącą obowiązku wykazania szczególnego znaczenia konstytucyjnego jej środka odwoławczego </w:t>
      </w:r>
      <w:proofErr w:type="spellStart"/>
      <w:r w:rsidR="00D7687C">
        <w:rPr>
          <w:i/>
        </w:rPr>
        <w:t>amparo</w:t>
      </w:r>
      <w:proofErr w:type="spellEnd"/>
      <w:r w:rsidR="00D7687C">
        <w:t xml:space="preserve"> (</w:t>
      </w:r>
      <w:r w:rsidR="00D7687C">
        <w:rPr>
          <w:i/>
        </w:rPr>
        <w:t xml:space="preserve">no </w:t>
      </w:r>
      <w:proofErr w:type="spellStart"/>
      <w:r w:rsidR="00D7687C">
        <w:rPr>
          <w:i/>
        </w:rPr>
        <w:t>haber</w:t>
      </w:r>
      <w:proofErr w:type="spellEnd"/>
      <w:r w:rsidR="00D7687C">
        <w:rPr>
          <w:i/>
        </w:rPr>
        <w:t xml:space="preserve"> </w:t>
      </w:r>
      <w:proofErr w:type="spellStart"/>
      <w:r w:rsidR="00D7687C">
        <w:rPr>
          <w:i/>
        </w:rPr>
        <w:t>satisfecho</w:t>
      </w:r>
      <w:proofErr w:type="spellEnd"/>
      <w:r w:rsidR="00D7687C">
        <w:rPr>
          <w:i/>
        </w:rPr>
        <w:t xml:space="preserve"> en modo </w:t>
      </w:r>
      <w:proofErr w:type="spellStart"/>
      <w:r w:rsidR="00D7687C">
        <w:rPr>
          <w:i/>
        </w:rPr>
        <w:t>alguno</w:t>
      </w:r>
      <w:proofErr w:type="spellEnd"/>
      <w:r w:rsidR="00D7687C">
        <w:t xml:space="preserve">) spowodowałoby niedopuszczalność skargi z powodu niewyczerpania krajowych środków odwoławczych (zob. wyrok </w:t>
      </w:r>
      <w:r w:rsidR="00D7687C">
        <w:rPr>
          <w:i/>
        </w:rPr>
        <w:t>Alvarez Juan</w:t>
      </w:r>
      <w:r w:rsidR="00D7687C">
        <w:t xml:space="preserve">, cyt. powyżej, paragrafy 49-51, w którym Trybunał uznał, że </w:t>
      </w:r>
      <w:r w:rsidR="00D7687C">
        <w:lastRenderedPageBreak/>
        <w:t>skarżąca nie dopełniła takiego obowiązku, zarówno pod względem formalnym, tj. poprzez uwzględnienie określonej części skargi wskazującej, że ma ona szczególne znaczenie konstytucyjne przynajmniej dla skarżącej, jak i merytorycznym, tj. poprzez podanie powodów, dla których skarżąca uznała, że jej środek odwoławczy ma wymagane znaczenie konstytucyjne).</w:t>
      </w:r>
    </w:p>
    <w:p w14:paraId="320FAAE6" w14:textId="4AE29E97" w:rsidR="006377D2" w:rsidRPr="005F28E3" w:rsidRDefault="00650006" w:rsidP="005F28E3">
      <w:pPr>
        <w:pStyle w:val="JuPara"/>
      </w:pPr>
      <w:fldSimple w:instr=" SEQ level0 \*arabic \* MERGEFORMAT ">
        <w:r>
          <w:rPr>
            <w:noProof/>
          </w:rPr>
          <w:t>62</w:t>
        </w:r>
      </w:fldSimple>
      <w:r w:rsidR="00D7687C">
        <w:t>.</w:t>
      </w:r>
      <w:r>
        <w:t xml:space="preserve"> </w:t>
      </w:r>
      <w:r w:rsidR="00D7687C">
        <w:t xml:space="preserve">W przedmiotowej sprawie skarżąca przedstawiła, w odrębnej części skargi do Trybunału Konstytucyjnego, powody, dla których jej </w:t>
      </w:r>
      <w:proofErr w:type="spellStart"/>
      <w:r w:rsidR="00D7687C">
        <w:rPr>
          <w:i/>
        </w:rPr>
        <w:t>amparo</w:t>
      </w:r>
      <w:proofErr w:type="spellEnd"/>
      <w:r w:rsidR="00D7687C">
        <w:t xml:space="preserve"> odwołanie miało dla niej szczególne znaczenie konstytucyjne (zob. paragraf </w:t>
      </w:r>
      <w:r w:rsidR="00D7687C" w:rsidRPr="005F28E3">
        <w:fldChar w:fldCharType="begin"/>
      </w:r>
      <w:r w:rsidR="00D7687C" w:rsidRPr="005F28E3">
        <w:instrText xml:space="preserve">REF paragraph00027 \h \* CharFormat </w:instrText>
      </w:r>
      <w:r w:rsidR="00D7687C" w:rsidRPr="005F28E3">
        <w:fldChar w:fldCharType="separate"/>
      </w:r>
      <w:r>
        <w:t>27</w:t>
      </w:r>
      <w:r w:rsidR="00D7687C" w:rsidRPr="005F28E3">
        <w:fldChar w:fldCharType="end"/>
      </w:r>
      <w:r w:rsidR="00D7687C">
        <w:t xml:space="preserve"> powyżej). Trybunał uznaje, że w wystarczającym stopniu zidentyfikował elementy, na których opierało się rzeczone szczególne znaczenie konstytucyjne, a mianowicie istnienie sytuacji kolizji praw i konieczność wyjaśnienia przez Trybunał Konstytucyjny relacji między nimi, a także niezamierzone skutki dopuszczenia do naruszenia prawa do ochrony przed odwetem poprzez powołanie się na przesłanki niedopuszczalności skargi kasacyjnej, które zdaniem skarżącej były zbyt rygorystyczne, aby mogły odpowiednio funkcjonować w ramach postępowania w sprawach z zakresu prawa pracy.</w:t>
      </w:r>
    </w:p>
    <w:p w14:paraId="1E1C15F2" w14:textId="6AD63B0B" w:rsidR="006377D2" w:rsidRPr="005F28E3" w:rsidRDefault="00650006" w:rsidP="005F28E3">
      <w:pPr>
        <w:pStyle w:val="JuPara"/>
      </w:pPr>
      <w:fldSimple w:instr=" SEQ level0 \*arabic \* MERGEFORMAT ">
        <w:r>
          <w:rPr>
            <w:noProof/>
          </w:rPr>
          <w:t>63</w:t>
        </w:r>
      </w:fldSimple>
      <w:r w:rsidR="00D7687C">
        <w:t>.</w:t>
      </w:r>
      <w:r>
        <w:t xml:space="preserve"> </w:t>
      </w:r>
      <w:r w:rsidR="00D7687C">
        <w:t xml:space="preserve">Trybunał uznaje zatem, że skarżąca dała sądom krajowym, a ostatecznie Trybunałowi Konstytucyjnemu, możliwość naprawienia zarzucanego naruszenia (zob. </w:t>
      </w:r>
      <w:proofErr w:type="spellStart"/>
      <w:r w:rsidR="00D7687C">
        <w:rPr>
          <w:i/>
        </w:rPr>
        <w:t>Saber</w:t>
      </w:r>
      <w:proofErr w:type="spellEnd"/>
      <w:r w:rsidR="00D7687C">
        <w:rPr>
          <w:i/>
        </w:rPr>
        <w:t xml:space="preserve"> i </w:t>
      </w:r>
      <w:proofErr w:type="spellStart"/>
      <w:r w:rsidR="00D7687C">
        <w:rPr>
          <w:i/>
        </w:rPr>
        <w:t>Boughassal</w:t>
      </w:r>
      <w:proofErr w:type="spellEnd"/>
      <w:r w:rsidR="00D7687C">
        <w:rPr>
          <w:i/>
        </w:rPr>
        <w:t xml:space="preserve"> przeciwko Hiszpanii</w:t>
      </w:r>
      <w:r w:rsidR="00D7687C">
        <w:t>, nr 76550/13 i 45938/14,</w:t>
      </w:r>
      <w:r w:rsidR="00BD3A68">
        <w:t xml:space="preserve"> </w:t>
      </w:r>
      <w:r w:rsidR="00D7687C">
        <w:t xml:space="preserve">paragraf 30, 18 grudnia 2018 r.). Zarzut </w:t>
      </w:r>
      <w:r w:rsidR="003F338C">
        <w:t>r</w:t>
      </w:r>
      <w:r w:rsidR="00D7687C">
        <w:t>ządu należy zatem oddalić.</w:t>
      </w:r>
    </w:p>
    <w:p w14:paraId="368296F8" w14:textId="77777777" w:rsidR="006377D2" w:rsidRPr="005F28E3" w:rsidRDefault="00D7687C" w:rsidP="005F28E3">
      <w:pPr>
        <w:pStyle w:val="JuH1"/>
      </w:pPr>
      <w:r>
        <w:t>Wnioski w przedmiocie dopuszczalności</w:t>
      </w:r>
    </w:p>
    <w:p w14:paraId="4AE66875" w14:textId="37A40132" w:rsidR="006377D2" w:rsidRPr="005F28E3" w:rsidRDefault="00650006" w:rsidP="005F28E3">
      <w:pPr>
        <w:pStyle w:val="JuPara"/>
      </w:pPr>
      <w:fldSimple w:instr=" SEQ level0 \*arabic \* MERGEFORMAT ">
        <w:r>
          <w:rPr>
            <w:noProof/>
          </w:rPr>
          <w:t>64</w:t>
        </w:r>
      </w:fldSimple>
      <w:r w:rsidR="00D7687C">
        <w:t>.</w:t>
      </w:r>
      <w:r>
        <w:t xml:space="preserve"> </w:t>
      </w:r>
      <w:r w:rsidR="00D7687C">
        <w:t xml:space="preserve">Odrzuciwszy zarzuty </w:t>
      </w:r>
      <w:r w:rsidR="003F338C">
        <w:t>r</w:t>
      </w:r>
      <w:r w:rsidR="00D7687C">
        <w:t>ządu, Trybunał zauważa, że skarga ta nie jest nie jest ani w sposób oczywisty nieuzasadniona, ani niedopuszczalna z innych powodów wymienionych w art. 35 Konwencji. Należy ją zatem uznać za dopuszczalną.</w:t>
      </w:r>
    </w:p>
    <w:p w14:paraId="04422B79" w14:textId="77777777" w:rsidR="006377D2" w:rsidRPr="005F28E3" w:rsidRDefault="00D7687C" w:rsidP="005F28E3">
      <w:pPr>
        <w:pStyle w:val="JuHA"/>
      </w:pPr>
      <w:r>
        <w:t>Przedmiot skargi</w:t>
      </w:r>
    </w:p>
    <w:p w14:paraId="798A61B3" w14:textId="77777777" w:rsidR="006377D2" w:rsidRPr="005F28E3" w:rsidRDefault="00D7687C" w:rsidP="005F28E3">
      <w:pPr>
        <w:pStyle w:val="JuH1"/>
      </w:pPr>
      <w:r>
        <w:t>Argumenty stron</w:t>
      </w:r>
    </w:p>
    <w:p w14:paraId="4CD2F854" w14:textId="77777777" w:rsidR="006377D2" w:rsidRPr="005F28E3" w:rsidRDefault="00D7687C" w:rsidP="005F28E3">
      <w:pPr>
        <w:pStyle w:val="JuHa0"/>
      </w:pPr>
      <w:r>
        <w:t>Skarżąca</w:t>
      </w:r>
    </w:p>
    <w:bookmarkStart w:id="29" w:name="paragraph00063"/>
    <w:p w14:paraId="548D825C" w14:textId="39557F44"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65</w:t>
      </w:r>
      <w:r w:rsidRPr="005F28E3">
        <w:fldChar w:fldCharType="end"/>
      </w:r>
      <w:bookmarkEnd w:id="29"/>
      <w:r>
        <w:t>.</w:t>
      </w:r>
      <w:r w:rsidR="00650006">
        <w:t xml:space="preserve"> </w:t>
      </w:r>
      <w:r>
        <w:t>Skarżąca argumentowała, że sądy krajowe nie zagwarantowały jej prawa do ochrony przed działaniami odwetowymi, utrzymując w mocy decyzję o jej zwolnieniu, która była odwetem za wcześniejsze wniesienie roszczenia z tytułu dyskryminującego traktowania w zakresie wynagrodzenia. Decydując o zwolnieniu skarżącej, spółka zadbała o to, by niezależnie od rozstrzygnięcia roszczenia z tytułu dyskryminacji, prawo skarżącej do równego wynagrodzenia nie było respektowane.</w:t>
      </w:r>
    </w:p>
    <w:p w14:paraId="53CEE713" w14:textId="29CE99BB" w:rsidR="006377D2" w:rsidRPr="005F28E3" w:rsidRDefault="00650006" w:rsidP="005F28E3">
      <w:pPr>
        <w:pStyle w:val="JuPara"/>
      </w:pPr>
      <w:fldSimple w:instr=" SEQ level0 \*arabic \* MERGEFORMAT ">
        <w:r>
          <w:rPr>
            <w:noProof/>
          </w:rPr>
          <w:t>66</w:t>
        </w:r>
      </w:fldSimple>
      <w:r w:rsidR="00D7687C">
        <w:t>.</w:t>
      </w:r>
      <w:r>
        <w:t xml:space="preserve"> </w:t>
      </w:r>
      <w:r w:rsidR="00D7687C">
        <w:t xml:space="preserve">Sądy krajowe przeoczyły fakt, że zachowanie skarżącej było odpowiednie i proporcjonalne, ponieważ musiała udowodnić istnienie dyskryminacji. Nie miała innego sposobu na uzyskanie odpowiednich </w:t>
      </w:r>
      <w:r w:rsidR="00D7687C">
        <w:lastRenderedPageBreak/>
        <w:t xml:space="preserve">informacji, a jej działania nie wyrządziły żadnej szkody współpracownikom. Jej zdaniem możliwość zwrócenia się do sądu o niezbędne informacje, przewidziana w art. 77 ustawy o postępowaniu w sprawach z zakresu prawa pracy (zob. </w:t>
      </w:r>
      <w:r w:rsidR="004B5180">
        <w:t>paragraf</w:t>
      </w:r>
      <w:r w:rsidR="00D7687C">
        <w:t xml:space="preserve"> </w:t>
      </w:r>
      <w:r w:rsidR="00D7687C" w:rsidRPr="005F28E3">
        <w:fldChar w:fldCharType="begin"/>
      </w:r>
      <w:r w:rsidR="00D7687C" w:rsidRPr="005F28E3">
        <w:instrText xml:space="preserve">REF paragraph00035 \h \* CharFormat  \* MERGEFORMAT </w:instrText>
      </w:r>
      <w:r w:rsidR="00D7687C" w:rsidRPr="005F28E3">
        <w:fldChar w:fldCharType="separate"/>
      </w:r>
      <w:r>
        <w:t>35</w:t>
      </w:r>
      <w:r w:rsidR="00D7687C" w:rsidRPr="005F28E3">
        <w:fldChar w:fldCharType="end"/>
      </w:r>
      <w:r w:rsidR="00D7687C">
        <w:t xml:space="preserve"> powyżej i </w:t>
      </w:r>
      <w:r w:rsidR="00D7687C" w:rsidRPr="005F28E3">
        <w:fldChar w:fldCharType="begin"/>
      </w:r>
      <w:r w:rsidR="00D7687C" w:rsidRPr="005F28E3">
        <w:instrText xml:space="preserve">REF paragraph00069 \h \* CharFormat  \* MERGEFORMAT </w:instrText>
      </w:r>
      <w:r w:rsidR="00D7687C" w:rsidRPr="005F28E3">
        <w:fldChar w:fldCharType="separate"/>
      </w:r>
      <w:r>
        <w:t>71</w:t>
      </w:r>
      <w:r w:rsidR="00D7687C" w:rsidRPr="005F28E3">
        <w:fldChar w:fldCharType="end"/>
      </w:r>
      <w:r w:rsidR="00D7687C">
        <w:t xml:space="preserve"> poniżej), dotyczyła jedynie sytuacji</w:t>
      </w:r>
      <w:r w:rsidR="00B24F2A">
        <w:t>,</w:t>
      </w:r>
      <w:r w:rsidR="00D7687C">
        <w:t xml:space="preserve"> gdy powód nie ma dostępu do takich informacji, zaś w przedmiotowej sprawie nie występowała taka okoliczność. Co więcej, dane zostały udostępnione tylko niektórym członkom personelu spółki, którzy mieli już dostęp do tych informacji oraz prawnikom skarżącej.</w:t>
      </w:r>
    </w:p>
    <w:p w14:paraId="4383B412" w14:textId="77E6E4A8" w:rsidR="006377D2" w:rsidRPr="005F28E3" w:rsidRDefault="00650006" w:rsidP="005F28E3">
      <w:pPr>
        <w:pStyle w:val="JuPara"/>
      </w:pPr>
      <w:fldSimple w:instr=" SEQ level0 \*arabic \* MERGEFORMAT ">
        <w:r>
          <w:rPr>
            <w:noProof/>
          </w:rPr>
          <w:t>67</w:t>
        </w:r>
      </w:fldSimple>
      <w:r w:rsidR="00D7687C">
        <w:t>.</w:t>
      </w:r>
      <w:r>
        <w:t xml:space="preserve"> </w:t>
      </w:r>
      <w:r w:rsidR="00D7687C">
        <w:t>Ponadto sądy krajowe wykorzystały odpowiednie informacje jako podstawę do stwierdzenia naruszenia jej prawa do niedyskryminacji. Ten sam sąd zbadał te same dowody, dochodząc jednak do zgoła przeciwnych wniosków w postępowaniu w sprawie dyskryminacji oraz w postępowaniu w sprawie o zwolnienie, ograniczając w ten sposób skutki wyroku stwierdzającego dyskryminację skarżącej ze względu na płeć.</w:t>
      </w:r>
    </w:p>
    <w:p w14:paraId="2E9FED28" w14:textId="75EC681B" w:rsidR="006377D2" w:rsidRPr="005F28E3" w:rsidRDefault="00650006" w:rsidP="005F28E3">
      <w:pPr>
        <w:pStyle w:val="JuPara"/>
      </w:pPr>
      <w:fldSimple w:instr=" SEQ level0 \*arabic \* MERGEFORMAT ">
        <w:r>
          <w:rPr>
            <w:noProof/>
          </w:rPr>
          <w:t>68</w:t>
        </w:r>
      </w:fldSimple>
      <w:r w:rsidR="00D7687C">
        <w:t>.</w:t>
      </w:r>
      <w:r>
        <w:t xml:space="preserve"> </w:t>
      </w:r>
      <w:r w:rsidR="00D7687C">
        <w:t xml:space="preserve">Orzeczenia sądów krajowych utrzymujące w mocy decyzję o jej zwolnieniu naruszyły jej prawo do niedyskryminacji ze względu na płeć, uznane w postępowaniu w sprawie dyskryminacji. Ze względu na rozwiązanie umowy o pracę nie doczekała się poziomu wynagrodzenia, do którego była uprawniona zgodnie z orzeczeniem sądu pracy nr 2 w Maladze (zob. </w:t>
      </w:r>
      <w:r w:rsidR="004B5180">
        <w:t>paragraf</w:t>
      </w:r>
      <w:r w:rsidR="00D7687C">
        <w:t xml:space="preserve"> </w:t>
      </w:r>
      <w:r w:rsidR="00D7687C" w:rsidRPr="005F28E3">
        <w:fldChar w:fldCharType="begin"/>
      </w:r>
      <w:r w:rsidR="00D7687C" w:rsidRPr="005F28E3">
        <w:instrText xml:space="preserve">REF paragraph00012 \h \* CharFormat </w:instrText>
      </w:r>
      <w:r w:rsidR="00D7687C" w:rsidRPr="005F28E3">
        <w:fldChar w:fldCharType="separate"/>
      </w:r>
      <w:r>
        <w:t>12</w:t>
      </w:r>
      <w:r w:rsidR="00D7687C" w:rsidRPr="005F28E3">
        <w:fldChar w:fldCharType="end"/>
      </w:r>
      <w:r w:rsidR="00D7687C">
        <w:t xml:space="preserve"> powyżej).</w:t>
      </w:r>
    </w:p>
    <w:p w14:paraId="4859F079" w14:textId="77777777" w:rsidR="006377D2" w:rsidRPr="005F28E3" w:rsidRDefault="00D7687C" w:rsidP="005F28E3">
      <w:pPr>
        <w:pStyle w:val="JuHa0"/>
      </w:pPr>
      <w:r>
        <w:t>Rząd</w:t>
      </w:r>
    </w:p>
    <w:p w14:paraId="3D6B1CBC" w14:textId="0528F3A6" w:rsidR="006377D2" w:rsidRPr="005F28E3" w:rsidRDefault="00650006" w:rsidP="005F28E3">
      <w:pPr>
        <w:pStyle w:val="JuPara"/>
      </w:pPr>
      <w:fldSimple w:instr=" SEQ level0 \*arabic \* MERGEFORMAT ">
        <w:r>
          <w:rPr>
            <w:noProof/>
          </w:rPr>
          <w:t>69</w:t>
        </w:r>
      </w:fldSimple>
      <w:r w:rsidR="00D7687C">
        <w:t>.</w:t>
      </w:r>
      <w:r>
        <w:t xml:space="preserve"> </w:t>
      </w:r>
      <w:r w:rsidR="00D7687C">
        <w:t>Rząd uznał, że wyroki sądów krajowych zawierały odpowiednie i wystarczające uzasadnienie.</w:t>
      </w:r>
    </w:p>
    <w:p w14:paraId="513A3CC6" w14:textId="2067C562" w:rsidR="006377D2" w:rsidRPr="005F28E3" w:rsidRDefault="00650006" w:rsidP="005F28E3">
      <w:pPr>
        <w:pStyle w:val="JuPara"/>
      </w:pPr>
      <w:fldSimple w:instr=" SEQ level0 \*arabic \* MERGEFORMAT ">
        <w:r>
          <w:rPr>
            <w:noProof/>
          </w:rPr>
          <w:t>70</w:t>
        </w:r>
      </w:fldSimple>
      <w:r w:rsidR="00D7687C">
        <w:t>.</w:t>
      </w:r>
      <w:r>
        <w:t xml:space="preserve"> </w:t>
      </w:r>
      <w:r w:rsidR="00D7687C">
        <w:t>W odniesieniu do prawa do ochrony przed odwetem rząd utrzymywał, jakoby sądy krajowe uznały za udowodnione, że pomimo pozorów możliwego odwetu, nie było związku przyczynowego między roszczeniem skarżącej z tytułu dyskryminacji a jej zwolnieniem. Wręcz przeciwnie, przyczyną zwolnienia było niedopełnienie przez skarżącą obowiązków zawodowych. Wobec braku zamiaru odwetowego, zwolnienie skarżącej, niezależnie od innych względów prawa krajowego, nie mogło zostać uznane za naruszenie jej praw podstawowych podlegające kontroli Trybunału.</w:t>
      </w:r>
    </w:p>
    <w:bookmarkStart w:id="30" w:name="paragraph00069"/>
    <w:p w14:paraId="423A6806" w14:textId="108AD351"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71</w:t>
      </w:r>
      <w:r w:rsidRPr="005F28E3">
        <w:fldChar w:fldCharType="end"/>
      </w:r>
      <w:bookmarkEnd w:id="30"/>
      <w:r>
        <w:t>.</w:t>
      </w:r>
      <w:r w:rsidR="00650006">
        <w:t xml:space="preserve"> </w:t>
      </w:r>
      <w:r>
        <w:t>Z drugiej strony, skarżąca miała inne możliwości legalnego uzyskania informacji potrzebnych do uzasadnienia jej roszczenia z tytułu dyskryminacji bez naruszania ciążących na niej obowiązków w zakresie zachowania poufności i ochrony danych. W szczególności mogła zażądać odpowiedniej dokumentacji od sądu, który z kolei zwróciłby się do spółki o jej przekazanie (zgodnie z art. 77 ustawy o postępowaniu w sprawach z zakresu prawa pracy - zob. paragraf </w:t>
      </w:r>
      <w:r w:rsidRPr="005F28E3">
        <w:fldChar w:fldCharType="begin"/>
      </w:r>
      <w:r w:rsidRPr="005F28E3">
        <w:instrText xml:space="preserve">REF paragraph00035 \h \* CharFormat </w:instrText>
      </w:r>
      <w:r w:rsidRPr="005F28E3">
        <w:fldChar w:fldCharType="separate"/>
      </w:r>
      <w:r w:rsidR="00650006">
        <w:t>35</w:t>
      </w:r>
      <w:r w:rsidRPr="005F28E3">
        <w:fldChar w:fldCharType="end"/>
      </w:r>
      <w:r>
        <w:t xml:space="preserve"> powyżej), ale nie przedstawiła żadnych powodów, dlaczego nie miałaby nie skorzystać z tej możliwości.</w:t>
      </w:r>
    </w:p>
    <w:p w14:paraId="55B57DD4" w14:textId="0B1614B7" w:rsidR="006377D2" w:rsidRPr="005F28E3" w:rsidRDefault="00650006" w:rsidP="005F28E3">
      <w:pPr>
        <w:pStyle w:val="JuPara"/>
      </w:pPr>
      <w:fldSimple w:instr=" SEQ level0 \*arabic \* MERGEFORMAT ">
        <w:r>
          <w:rPr>
            <w:noProof/>
          </w:rPr>
          <w:t>72</w:t>
        </w:r>
      </w:fldSimple>
      <w:r w:rsidR="00D7687C">
        <w:t>.</w:t>
      </w:r>
      <w:r>
        <w:t xml:space="preserve"> </w:t>
      </w:r>
      <w:r w:rsidR="00D7687C">
        <w:t xml:space="preserve">Rząd podkreślił, że postępowanie w sprawie dyskryminacji toczyło się już po zwolnieniu skarżącej, więc fakt, że spółka nie zakwestionowała wykorzystania danych w tym postępowaniu, był nieistotny. Poza tym fakt, że dostęp do tych danych nastąpił z naruszeniem obowiązków zawodowych </w:t>
      </w:r>
      <w:r w:rsidR="00D7687C">
        <w:lastRenderedPageBreak/>
        <w:t>skarżącej nie musiał oznaczać ich wykluczenia jako dowód zgodnie z przepisami proceduralnymi.</w:t>
      </w:r>
    </w:p>
    <w:p w14:paraId="2EA90B14" w14:textId="0962D776" w:rsidR="006377D2" w:rsidRPr="005F28E3" w:rsidRDefault="00650006" w:rsidP="005F28E3">
      <w:pPr>
        <w:pStyle w:val="JuPara"/>
      </w:pPr>
      <w:fldSimple w:instr=" SEQ level0 \*arabic \* MERGEFORMAT ">
        <w:r>
          <w:rPr>
            <w:noProof/>
          </w:rPr>
          <w:t>73</w:t>
        </w:r>
      </w:fldSimple>
      <w:r w:rsidR="00D7687C">
        <w:t>.</w:t>
      </w:r>
      <w:r>
        <w:t xml:space="preserve"> </w:t>
      </w:r>
      <w:r w:rsidR="00D7687C">
        <w:t xml:space="preserve">Wreszcie, </w:t>
      </w:r>
      <w:r w:rsidR="003F338C">
        <w:t>r</w:t>
      </w:r>
      <w:r w:rsidR="00D7687C">
        <w:t>ząd zapewnił, że ani decyzja o zwolnieniu, ani orzeczenia sądów krajowych nie mogą być uznane za powodujące dyskryminację ze względu na płeć. Skarżąca najwyraźniej otrzymała odszkodowanie zasądzone w wyroku sądu pracy nr 2 w Maladze i nie powołała się na żadne okoliczności uniemożliwiające wykonanie tego wyroku. W odniesieniu do samego zwolnienia rząd powtórzył, że nastąpiło ono z powodu naruszenia przez skarżącą obowiązków zawodowych, nie zaś z powodu jej płci czy też faktu, że złożyła skargę o dyskryminację.</w:t>
      </w:r>
    </w:p>
    <w:p w14:paraId="261AC8AC" w14:textId="77777777" w:rsidR="006377D2" w:rsidRPr="005F28E3" w:rsidRDefault="00D7687C" w:rsidP="005F28E3">
      <w:pPr>
        <w:pStyle w:val="JuH1"/>
      </w:pPr>
      <w:r>
        <w:t>Ocena Trybunału</w:t>
      </w:r>
    </w:p>
    <w:p w14:paraId="6C91301F" w14:textId="77777777" w:rsidR="006377D2" w:rsidRPr="005F28E3" w:rsidRDefault="00D7687C" w:rsidP="005F28E3">
      <w:pPr>
        <w:pStyle w:val="JuHa0"/>
      </w:pPr>
      <w:r>
        <w:t>Zasady ogólne</w:t>
      </w:r>
    </w:p>
    <w:p w14:paraId="18EFF399" w14:textId="175F0321" w:rsidR="006377D2" w:rsidRPr="005F28E3" w:rsidRDefault="00650006" w:rsidP="005F28E3">
      <w:pPr>
        <w:pStyle w:val="JuPara"/>
      </w:pPr>
      <w:fldSimple w:instr=" SEQ level0 \*arabic \* MERGEFORMAT ">
        <w:r>
          <w:rPr>
            <w:noProof/>
          </w:rPr>
          <w:t>74</w:t>
        </w:r>
      </w:fldSimple>
      <w:r w:rsidR="00D7687C">
        <w:t>.</w:t>
      </w:r>
      <w:r>
        <w:t xml:space="preserve"> </w:t>
      </w:r>
      <w:r w:rsidR="00D7687C">
        <w:t>Trybunał orzekł, że art. 14 może nakładać na państwa członkowskie pozytywne obowiązki w celu zapewnienia zgodności z zasadą niedyskryminacji w stosunkach między osobami prywatnymi. Potwierdził w tym względzie, że nie może pozostać bierny w sytuacji gdy interpretacja aktu prawnego przez sąd krajowy, czy to rozporządzenia testamentowego, prywatnej umowy, dokumentu urzędowego, przepisu ustawowego lub praktyki administracyjnej, wydaje się nieracjonalna, arbitralna lub rażąco niezgodna z zakazem dyskryminacji ustanowionym w art. 14 i szerzej z zasadami leżącymi u podstaw Konwencji (zob.</w:t>
      </w:r>
      <w:bookmarkStart w:id="31" w:name="_cl34250THELAW"/>
      <w:r w:rsidR="006545D4">
        <w:t xml:space="preserve"> </w:t>
      </w:r>
      <w:proofErr w:type="spellStart"/>
      <w:r w:rsidR="00D7687C">
        <w:rPr>
          <w:i/>
        </w:rPr>
        <w:t>Pla</w:t>
      </w:r>
      <w:proofErr w:type="spellEnd"/>
      <w:r w:rsidR="00D7687C">
        <w:rPr>
          <w:i/>
        </w:rPr>
        <w:t xml:space="preserve"> i </w:t>
      </w:r>
      <w:proofErr w:type="spellStart"/>
      <w:r w:rsidR="00D7687C">
        <w:rPr>
          <w:i/>
        </w:rPr>
        <w:t>Puncernau</w:t>
      </w:r>
      <w:proofErr w:type="spellEnd"/>
      <w:r w:rsidR="00D7687C">
        <w:rPr>
          <w:i/>
        </w:rPr>
        <w:t xml:space="preserve"> przeciwko Andorze</w:t>
      </w:r>
      <w:bookmarkEnd w:id="31"/>
      <w:r w:rsidR="00D7687C">
        <w:t xml:space="preserve">, nr 69498/01, paragraf 59, ETPC 2004-VIII, oraz </w:t>
      </w:r>
      <w:bookmarkStart w:id="32" w:name="_cl41838THELAW"/>
      <w:proofErr w:type="spellStart"/>
      <w:r w:rsidR="00D7687C">
        <w:rPr>
          <w:i/>
        </w:rPr>
        <w:t>Dimici</w:t>
      </w:r>
      <w:proofErr w:type="spellEnd"/>
      <w:r w:rsidR="00D7687C">
        <w:rPr>
          <w:i/>
        </w:rPr>
        <w:t xml:space="preserve"> przeciwko Turcji</w:t>
      </w:r>
      <w:bookmarkEnd w:id="32"/>
      <w:r w:rsidR="00D7687C">
        <w:t xml:space="preserve">, nr 70133/16, paragraf 127, 5 lipca 2022 r.). Trybunał potwierdził również, że poprawa w obszarze równości płci jest obecnie głównym celem państw członkowskich Rady Europy i należy przedstawić bardzo poważne argumenty, zanim uzna się taką różnicę w traktowaniu za zgodną z Konwencją (zob. </w:t>
      </w:r>
      <w:bookmarkStart w:id="33" w:name="_cl25169THELAW"/>
      <w:proofErr w:type="spellStart"/>
      <w:r w:rsidR="00D7687C">
        <w:rPr>
          <w:i/>
        </w:rPr>
        <w:t>Emel</w:t>
      </w:r>
      <w:proofErr w:type="spellEnd"/>
      <w:r w:rsidR="00D7687C">
        <w:rPr>
          <w:i/>
        </w:rPr>
        <w:t xml:space="preserve"> </w:t>
      </w:r>
      <w:proofErr w:type="spellStart"/>
      <w:r w:rsidR="00D7687C">
        <w:rPr>
          <w:i/>
        </w:rPr>
        <w:t>Boyraz</w:t>
      </w:r>
      <w:proofErr w:type="spellEnd"/>
      <w:r w:rsidR="00D7687C">
        <w:t>, cyt. powyżej, paragraf 51</w:t>
      </w:r>
      <w:bookmarkEnd w:id="33"/>
      <w:r w:rsidR="00D7687C">
        <w:t>).</w:t>
      </w:r>
    </w:p>
    <w:bookmarkStart w:id="34" w:name="paragraph00073"/>
    <w:p w14:paraId="4861026F" w14:textId="38DA2112"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75</w:t>
      </w:r>
      <w:r w:rsidRPr="005F28E3">
        <w:fldChar w:fldCharType="end"/>
      </w:r>
      <w:bookmarkEnd w:id="34"/>
      <w:r>
        <w:t>.</w:t>
      </w:r>
      <w:r w:rsidR="00650006">
        <w:t xml:space="preserve"> </w:t>
      </w:r>
      <w:r>
        <w:t>Trybunał orzekł również, że niezwykle ważne jest, aby osoby, które doświadczyły dyskryminującego traktowania miały możliwość sprzeciwienia się mu oraz by miały prawo do podjęcia kroków prawnych w celu uzyskania odszkodowania oraz innej pomocy (</w:t>
      </w:r>
      <w:bookmarkStart w:id="35" w:name="_cl24119THELAW"/>
      <w:r>
        <w:t xml:space="preserve">zob., w kontekście dyskryminacji członków związku zawodowego, </w:t>
      </w:r>
      <w:proofErr w:type="spellStart"/>
      <w:r>
        <w:rPr>
          <w:i/>
        </w:rPr>
        <w:t>Danilenkov</w:t>
      </w:r>
      <w:proofErr w:type="spellEnd"/>
      <w:r>
        <w:rPr>
          <w:i/>
        </w:rPr>
        <w:t xml:space="preserve"> i Inni przeciwko. Rosja</w:t>
      </w:r>
      <w:bookmarkEnd w:id="35"/>
      <w:r>
        <w:t xml:space="preserve">, nr 67336/01, paragraf 124, ETPC 2009 (fragmenty), oraz </w:t>
      </w:r>
      <w:bookmarkStart w:id="36" w:name="_cl41516THELAW"/>
      <w:proofErr w:type="spellStart"/>
      <w:r>
        <w:rPr>
          <w:i/>
        </w:rPr>
        <w:t>Zakharova</w:t>
      </w:r>
      <w:proofErr w:type="spellEnd"/>
      <w:r>
        <w:rPr>
          <w:i/>
        </w:rPr>
        <w:t xml:space="preserve"> i inni przeciwko Rosji</w:t>
      </w:r>
      <w:bookmarkEnd w:id="36"/>
      <w:r>
        <w:t xml:space="preserve">, nr 12736/10, paragraf 35, 8 marca 2022 r.). Potwierdził w związku z tym, że Państwa są zobowiązane na mocy art. 11 i 14 Konwencji do ustanowienia systemu sądowego, który zapewnia rzeczywistą i skuteczną ochronę przed dyskryminacją ze względu na przynależność do związków zawodowych (zob. </w:t>
      </w:r>
      <w:proofErr w:type="spellStart"/>
      <w:r>
        <w:rPr>
          <w:i/>
        </w:rPr>
        <w:t>Danilenkov</w:t>
      </w:r>
      <w:proofErr w:type="spellEnd"/>
      <w:r>
        <w:rPr>
          <w:i/>
        </w:rPr>
        <w:t xml:space="preserve"> i inni</w:t>
      </w:r>
      <w:r>
        <w:t xml:space="preserve">, cyt. powyżej, paragraf 124, oraz </w:t>
      </w:r>
      <w:proofErr w:type="spellStart"/>
      <w:r>
        <w:rPr>
          <w:i/>
        </w:rPr>
        <w:t>Zakharova</w:t>
      </w:r>
      <w:proofErr w:type="spellEnd"/>
      <w:r>
        <w:rPr>
          <w:i/>
        </w:rPr>
        <w:t xml:space="preserve"> i inni</w:t>
      </w:r>
      <w:r>
        <w:t>, cyt. powyżej, paragraf 35).</w:t>
      </w:r>
    </w:p>
    <w:bookmarkStart w:id="37" w:name="paragraph00074"/>
    <w:p w14:paraId="4CA72B99" w14:textId="7A47569E"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76</w:t>
      </w:r>
      <w:r w:rsidRPr="005F28E3">
        <w:fldChar w:fldCharType="end"/>
      </w:r>
      <w:bookmarkEnd w:id="37"/>
      <w:r>
        <w:t>.</w:t>
      </w:r>
      <w:r w:rsidR="00650006">
        <w:t xml:space="preserve"> </w:t>
      </w:r>
      <w:r>
        <w:t xml:space="preserve">Trybunał określił ogólne zasady dotyczące pozytywnych obowiązków państwa wynikających z art. 8 w wyroku w sprawie </w:t>
      </w:r>
      <w:bookmarkStart w:id="38" w:name="_cl30621THELAW"/>
      <w:proofErr w:type="spellStart"/>
      <w:r>
        <w:rPr>
          <w:i/>
        </w:rPr>
        <w:t>López</w:t>
      </w:r>
      <w:proofErr w:type="spellEnd"/>
      <w:r>
        <w:rPr>
          <w:i/>
        </w:rPr>
        <w:t xml:space="preserve"> </w:t>
      </w:r>
      <w:proofErr w:type="spellStart"/>
      <w:r>
        <w:rPr>
          <w:i/>
        </w:rPr>
        <w:t>Ribalda</w:t>
      </w:r>
      <w:proofErr w:type="spellEnd"/>
      <w:r>
        <w:rPr>
          <w:i/>
        </w:rPr>
        <w:t xml:space="preserve"> i inni </w:t>
      </w:r>
      <w:r>
        <w:rPr>
          <w:i/>
        </w:rPr>
        <w:lastRenderedPageBreak/>
        <w:t>przeciwko Hiszpanii</w:t>
      </w:r>
      <w:bookmarkEnd w:id="38"/>
      <w:r>
        <w:t xml:space="preserve"> [WI] (nr sprawy. 1874/13 i 8567/13 z dnia 17 października 2019 r.), który w odpowiedniej części stanowi, co następuje:</w:t>
      </w:r>
    </w:p>
    <w:p w14:paraId="44406D2A" w14:textId="0B639D54" w:rsidR="006377D2" w:rsidRPr="005F28E3" w:rsidRDefault="00D7687C" w:rsidP="005F28E3">
      <w:pPr>
        <w:pStyle w:val="JuQuot"/>
      </w:pPr>
      <w:r>
        <w:t>„110.</w:t>
      </w:r>
      <w:r w:rsidR="00650006">
        <w:t xml:space="preserve"> </w:t>
      </w:r>
      <w:r>
        <w:t xml:space="preserve">Trybunał przypomina, że o ile zasadniczym celem art. 8 jest ochrona jednostki przed arbitralną ingerencją władz publicznych, nie wiąże się on jedynie z wymogiem powstrzymania się państwa od takiej ingerencji: oprócz takiego przede wszystkim negatywnego obowiązku mogą istnieć pozytywne obowiązki nieodłącznie związane z efektywnym poszanowaniem życia prywatnego lub rodzinnego. Obowiązki takie mogą wymagać przyjęcia środków mających na celu zapewnienie poszanowania życia prywatnego nawet w sferze stosunków między jednostkami (zob. </w:t>
      </w:r>
      <w:proofErr w:type="spellStart"/>
      <w:r>
        <w:rPr>
          <w:i/>
        </w:rPr>
        <w:t>Söderman</w:t>
      </w:r>
      <w:proofErr w:type="spellEnd"/>
      <w:r>
        <w:rPr>
          <w:i/>
        </w:rPr>
        <w:t xml:space="preserve"> przeciwko Szwecji</w:t>
      </w:r>
      <w:r>
        <w:t xml:space="preserve"> [WI], nr 5786/08, paragraf 78, ETPC 2013, oraz </w:t>
      </w:r>
      <w:bookmarkStart w:id="39" w:name="_cl39065THELAW"/>
      <w:r>
        <w:t>[</w:t>
      </w:r>
      <w:r>
        <w:rPr>
          <w:i/>
        </w:rPr>
        <w:t xml:space="preserve">Von </w:t>
      </w:r>
      <w:proofErr w:type="spellStart"/>
      <w:r>
        <w:rPr>
          <w:i/>
        </w:rPr>
        <w:t>Hannover</w:t>
      </w:r>
      <w:proofErr w:type="spellEnd"/>
      <w:r>
        <w:rPr>
          <w:i/>
        </w:rPr>
        <w:t xml:space="preserve"> przeciwko Niemcom (nr 2)</w:t>
      </w:r>
      <w:bookmarkEnd w:id="39"/>
      <w:r>
        <w:t xml:space="preserve"> [WI], nr 40660/08 and 60641/08, paragraf 98, ETPC 2012]. Państwo może ponosić odpowiedzialność w sytuacji, gdy zaskarżone fakty wynikają z braku zapewnienia skarżącym możliwości korzystania z prawa zagwarantowanego w art. 8 Konwencji (zob. </w:t>
      </w:r>
      <w:bookmarkStart w:id="40" w:name="_cl21714THELAW"/>
      <w:proofErr w:type="spellStart"/>
      <w:r>
        <w:rPr>
          <w:i/>
        </w:rPr>
        <w:t>Bărbulescu</w:t>
      </w:r>
      <w:proofErr w:type="spellEnd"/>
      <w:r>
        <w:rPr>
          <w:i/>
        </w:rPr>
        <w:t xml:space="preserve"> przeciwko Rumunii</w:t>
      </w:r>
      <w:bookmarkEnd w:id="40"/>
      <w:r>
        <w:t xml:space="preserve"> [WI], nr 61496/08, paragraf 110, 5 września 2017 r., oraz </w:t>
      </w:r>
      <w:proofErr w:type="spellStart"/>
      <w:r>
        <w:rPr>
          <w:i/>
        </w:rPr>
        <w:t>Schüth</w:t>
      </w:r>
      <w:proofErr w:type="spellEnd"/>
      <w:r>
        <w:t>, [cyt. powyżej] paragrafy 54 i 57).</w:t>
      </w:r>
    </w:p>
    <w:p w14:paraId="76A8C344" w14:textId="07974CDA" w:rsidR="006377D2" w:rsidRPr="005F28E3" w:rsidRDefault="00D7687C" w:rsidP="005F28E3">
      <w:pPr>
        <w:pStyle w:val="JuQuot"/>
      </w:pPr>
      <w:r>
        <w:t>111.</w:t>
      </w:r>
      <w:r w:rsidR="00650006">
        <w:t xml:space="preserve"> </w:t>
      </w:r>
      <w:r>
        <w:t xml:space="preserve">[…] O ile trudno jest precyzyjnie określić granice między pozytywnymi i negatywnymi obowiązkami państwa wynikającymi z Konwencji, stosowane zasady są do siebie zbliżone. W obu kontekstach należy w szczególności uwzględnić sprawiedliwą równowagę, jaką należy osiągnąć między konkurencyjnymi interesami prywatnymi i publicznymi, w każdym przypadku z zastrzeżeniem przysługującego państwu marginesu uznania (zob. </w:t>
      </w:r>
      <w:proofErr w:type="spellStart"/>
      <w:r>
        <w:rPr>
          <w:i/>
        </w:rPr>
        <w:t>Palomo</w:t>
      </w:r>
      <w:proofErr w:type="spellEnd"/>
      <w:r>
        <w:rPr>
          <w:i/>
        </w:rPr>
        <w:t xml:space="preserve"> </w:t>
      </w:r>
      <w:proofErr w:type="spellStart"/>
      <w:r>
        <w:rPr>
          <w:i/>
        </w:rPr>
        <w:t>Sánchez</w:t>
      </w:r>
      <w:proofErr w:type="spellEnd"/>
      <w:r>
        <w:rPr>
          <w:i/>
        </w:rPr>
        <w:t xml:space="preserve"> i inni przeciwko Hiszpanii</w:t>
      </w:r>
      <w:r>
        <w:t xml:space="preserve"> [WI], nr 28955/06 i 3 inne, paragraf 62, ETPC 2011, oraz </w:t>
      </w:r>
      <w:proofErr w:type="spellStart"/>
      <w:r>
        <w:rPr>
          <w:i/>
        </w:rPr>
        <w:t>Bărbulescu</w:t>
      </w:r>
      <w:proofErr w:type="spellEnd"/>
      <w:r>
        <w:t xml:space="preserve">, cyt. powyżej, paragraf 112). Margines ten idzie w parze z europejskim nadzorem, obejmującym zarówno ustawodawstwo, jak i decyzje wykonawcze, nawet te wydane przez niezawisłe sądy. W ramach wykonywania funkcji nadzoru Trybunał nie ma za zadanie zająć miejsca sądów krajowych, lecz raczej dokonać weryfikacji czy, w świetle sprawy jako całości, podjęte przez nie decyzje były zgodne z odpowiednimi postanowieniami Konwencji (zob. </w:t>
      </w:r>
      <w:bookmarkStart w:id="41" w:name="_cl33895THELAW"/>
      <w:r>
        <w:rPr>
          <w:i/>
        </w:rPr>
        <w:t>Peck przeciwko Zjednoczonemu Królestwu</w:t>
      </w:r>
      <w:bookmarkEnd w:id="41"/>
      <w:r>
        <w:t>, nr. 44647/98, paragraf 77, ETPC 2003</w:t>
      </w:r>
      <w:r>
        <w:noBreakHyphen/>
        <w:t xml:space="preserve">I </w:t>
      </w:r>
      <w:r>
        <w:rPr>
          <w:i/>
        </w:rPr>
        <w:t>Peck</w:t>
      </w:r>
      <w:r>
        <w:t xml:space="preserve">, oraz </w:t>
      </w:r>
      <w:r>
        <w:rPr>
          <w:i/>
        </w:rPr>
        <w:t xml:space="preserve">Von </w:t>
      </w:r>
      <w:proofErr w:type="spellStart"/>
      <w:r>
        <w:rPr>
          <w:i/>
        </w:rPr>
        <w:t>Hannover</w:t>
      </w:r>
      <w:proofErr w:type="spellEnd"/>
      <w:r>
        <w:rPr>
          <w:i/>
        </w:rPr>
        <w:t xml:space="preserve"> (nr 2)</w:t>
      </w:r>
      <w:r>
        <w:t>, cyt. powyżej, paragraf 105).</w:t>
      </w:r>
    </w:p>
    <w:p w14:paraId="4357EDD5" w14:textId="254561A0" w:rsidR="006377D2" w:rsidRPr="005F28E3" w:rsidRDefault="00D7687C" w:rsidP="005F28E3">
      <w:pPr>
        <w:pStyle w:val="JuQuot"/>
      </w:pPr>
      <w:r>
        <w:t>112.</w:t>
      </w:r>
      <w:r w:rsidR="00650006">
        <w:t xml:space="preserve"> </w:t>
      </w:r>
      <w:r>
        <w:t xml:space="preserve">Wybór środków mających na celu zapewnienie zgodności z art. 8 Konwencji w sferze relacji między jednostkami z zasady wchodzi w zakres marginesu uznania przysługującego Układającym się Państwom. Istnieją różne metody zapewniania „poszanowania życia prywatnego”, a charakter obowiązków Państwa będzie uzależniony od konkretnego aspektu życia prywatnego (zob. </w:t>
      </w:r>
      <w:r>
        <w:rPr>
          <w:i/>
        </w:rPr>
        <w:t xml:space="preserve">Von </w:t>
      </w:r>
      <w:proofErr w:type="spellStart"/>
      <w:r>
        <w:rPr>
          <w:i/>
        </w:rPr>
        <w:t>Hannover</w:t>
      </w:r>
      <w:proofErr w:type="spellEnd"/>
      <w:r>
        <w:rPr>
          <w:i/>
        </w:rPr>
        <w:t xml:space="preserve"> (nr 2)</w:t>
      </w:r>
      <w:r>
        <w:t xml:space="preserve">, cyt. powyżej, paragraf 104; </w:t>
      </w:r>
      <w:proofErr w:type="spellStart"/>
      <w:r>
        <w:rPr>
          <w:i/>
        </w:rPr>
        <w:t>Söderman</w:t>
      </w:r>
      <w:proofErr w:type="spellEnd"/>
      <w:r>
        <w:t xml:space="preserve">, cyt. powyżej, paragraf 79; oraz </w:t>
      </w:r>
      <w:proofErr w:type="spellStart"/>
      <w:r>
        <w:rPr>
          <w:i/>
        </w:rPr>
        <w:t>Bărbulescu</w:t>
      </w:r>
      <w:proofErr w:type="spellEnd"/>
      <w:r>
        <w:t>, cyt. powyżej, paragraf 113)".</w:t>
      </w:r>
    </w:p>
    <w:p w14:paraId="1F4BCE09" w14:textId="77777777" w:rsidR="006377D2" w:rsidRPr="005F28E3" w:rsidRDefault="00D7687C" w:rsidP="005F28E3">
      <w:pPr>
        <w:pStyle w:val="JuHa0"/>
      </w:pPr>
      <w:r>
        <w:t>Zastosowanie tych zasad w przedmiotowej sprawie</w:t>
      </w:r>
    </w:p>
    <w:p w14:paraId="3A2BF7F3" w14:textId="77777777" w:rsidR="006377D2" w:rsidRPr="005F28E3" w:rsidRDefault="00D7687C" w:rsidP="005F28E3">
      <w:pPr>
        <w:pStyle w:val="JuHi"/>
      </w:pPr>
      <w:r>
        <w:t>Przedmiotowy pozytywny obowiązek</w:t>
      </w:r>
    </w:p>
    <w:p w14:paraId="43D40676" w14:textId="46267181" w:rsidR="006377D2" w:rsidRPr="005F28E3" w:rsidRDefault="00650006" w:rsidP="005F28E3">
      <w:pPr>
        <w:pStyle w:val="JuPara"/>
      </w:pPr>
      <w:fldSimple w:instr=" SEQ level0 \*arabic \* MERGEFORMAT ">
        <w:r>
          <w:rPr>
            <w:noProof/>
          </w:rPr>
          <w:t>77</w:t>
        </w:r>
      </w:fldSimple>
      <w:r w:rsidR="00D7687C">
        <w:t>.</w:t>
      </w:r>
      <w:r>
        <w:t xml:space="preserve"> </w:t>
      </w:r>
      <w:r w:rsidR="00D7687C">
        <w:t xml:space="preserve">W przedmiotowej sprawie środek, na który skarżyła się skarżąca, a mianowicie jej zwolnienie rzekomo w odwecie za skuteczne dochodzenie roszczenia z tytułu dyskryminacji ze względu na płeć, nie został nałożony przez organ państwowy, ale przez prywatną firmę. Nie budzi wątpliwości, że w postępowaniu z jej skargi dotyczącej dyskryminacji ze względu na płeć, które poprzedziło zaskarżone zwolnienie, sądy krajowe działały zgodnie z pozytywnymi obowiązkami państwa w zakresie ochrony przed dyskryminacją ze względu na płeć. W związku z tym pierwsze pytanie dla Trybunału brzmi, czy w okolicznościach przedmiotowej sprawy pozytywne </w:t>
      </w:r>
      <w:r w:rsidR="00D7687C">
        <w:lastRenderedPageBreak/>
        <w:t>obowiązki pozwanego państwa wynikające z art. 14 w związku z art. 8 Konwencji rozciągały się na zapewnienie ochrony przed zarzucanymi środkami odwetowymi w postaci zwolnienia z pracy w następstwie roszczenia z tytułu dyskryminacji ze względu na płeć.</w:t>
      </w:r>
    </w:p>
    <w:bookmarkStart w:id="42" w:name="_cl33621THELAW"/>
    <w:p w14:paraId="3808A6E6" w14:textId="12DE5146"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78</w:t>
      </w:r>
      <w:r w:rsidRPr="005F28E3">
        <w:fldChar w:fldCharType="end"/>
      </w:r>
      <w:r>
        <w:t>.</w:t>
      </w:r>
      <w:r w:rsidR="00650006">
        <w:t xml:space="preserve"> </w:t>
      </w:r>
      <w:r>
        <w:t xml:space="preserve">Trybunał stwierdził, że poprawa w obszarze równości płci jest obecnie głównym celem państw członkowskich Rady Europy (zob. </w:t>
      </w:r>
      <w:proofErr w:type="spellStart"/>
      <w:r>
        <w:rPr>
          <w:i/>
        </w:rPr>
        <w:t>Emel</w:t>
      </w:r>
      <w:proofErr w:type="spellEnd"/>
      <w:r>
        <w:rPr>
          <w:i/>
        </w:rPr>
        <w:t xml:space="preserve"> </w:t>
      </w:r>
      <w:proofErr w:type="spellStart"/>
      <w:r>
        <w:rPr>
          <w:i/>
        </w:rPr>
        <w:t>Boyraz</w:t>
      </w:r>
      <w:proofErr w:type="spellEnd"/>
      <w:r>
        <w:t xml:space="preserve">, cyt. powyżej, paragraf 51). Ponadto zauważa, że prawo do równego wynagrodzenia zostało uznane w kilku instrumentach międzynarodowych - w tym Europejskiej Karcie Społecznej, Traktacie o funkcjonowaniu Unii Europejskiej, Karcie praw podstawowych Unii Europejskiej, kilku dyrektywach UE, Konwencji Międzynarodowej Organizacji Pracy o równym wynagrodzeniu oraz Konwencji ONZ w sprawie likwidacji wszelkich form dyskryminacji kobiet - przy czym niektóre z nich obowiązują od kilkudziesięciu lat, także w odniesieniu do Hiszpanii, (zob. </w:t>
      </w:r>
      <w:r w:rsidR="004B5180">
        <w:t>paragraf</w:t>
      </w:r>
      <w:r>
        <w:t xml:space="preserve"> </w:t>
      </w:r>
      <w:r w:rsidRPr="005F28E3">
        <w:fldChar w:fldCharType="begin"/>
      </w:r>
      <w:r w:rsidRPr="005F28E3">
        <w:instrText xml:space="preserve">REF paragraph00039 \h \* CharFormat  \* MERGEFORMAT </w:instrText>
      </w:r>
      <w:r w:rsidRPr="005F28E3">
        <w:fldChar w:fldCharType="separate"/>
      </w:r>
      <w:r w:rsidR="00650006">
        <w:t>39</w:t>
      </w:r>
      <w:r w:rsidRPr="005F28E3">
        <w:fldChar w:fldCharType="end"/>
      </w:r>
      <w:r>
        <w:t>-</w:t>
      </w:r>
      <w:r w:rsidRPr="005F28E3">
        <w:fldChar w:fldCharType="begin"/>
      </w:r>
      <w:r w:rsidRPr="005F28E3">
        <w:instrText xml:space="preserve"> REF paragraph00047 \h  \* CharFormat </w:instrText>
      </w:r>
      <w:r w:rsidRPr="005F28E3">
        <w:fldChar w:fldCharType="separate"/>
      </w:r>
      <w:r w:rsidR="00650006">
        <w:t>47</w:t>
      </w:r>
      <w:r w:rsidRPr="005F28E3">
        <w:fldChar w:fldCharType="end"/>
      </w:r>
      <w:r>
        <w:t xml:space="preserve"> powyżej). W niektórych z tych instrumentów, a mianowicie w Europejskiej Karcie Społecznej i dyrektywach UE, prawo do ochrony przed środkami podejmowanymi przez pracodawcę, w szczególności rzez zwolnieniem, w reakcji a skargi, które służyły egzekwowaniu zgodności z zasadą równego traktowania, jest uważane za ważny aspekt prawa do równego wynagrodzenia (zob. </w:t>
      </w:r>
      <w:r w:rsidR="004B5180">
        <w:t>paragraf</w:t>
      </w:r>
      <w:r>
        <w:t xml:space="preserve"> </w:t>
      </w:r>
      <w:r w:rsidRPr="005F28E3">
        <w:fldChar w:fldCharType="begin"/>
      </w:r>
      <w:r w:rsidRPr="005F28E3">
        <w:instrText xml:space="preserve">REF paragraph00039 \h \* CharFormat  \* MERGEFORMAT </w:instrText>
      </w:r>
      <w:r w:rsidRPr="005F28E3">
        <w:fldChar w:fldCharType="separate"/>
      </w:r>
      <w:r w:rsidR="00650006">
        <w:t>39</w:t>
      </w:r>
      <w:r w:rsidRPr="005F28E3">
        <w:fldChar w:fldCharType="end"/>
      </w:r>
      <w:r>
        <w:t xml:space="preserve">, </w:t>
      </w:r>
      <w:r w:rsidRPr="005F28E3">
        <w:fldChar w:fldCharType="begin"/>
      </w:r>
      <w:r w:rsidRPr="005F28E3">
        <w:instrText xml:space="preserve">REF paragraph00043 \h \* CharFormat  \* MERGEFORMAT </w:instrText>
      </w:r>
      <w:r w:rsidRPr="005F28E3">
        <w:fldChar w:fldCharType="separate"/>
      </w:r>
      <w:r w:rsidR="00650006">
        <w:t>43</w:t>
      </w:r>
      <w:r w:rsidRPr="005F28E3">
        <w:fldChar w:fldCharType="end"/>
      </w:r>
      <w:r>
        <w:t xml:space="preserve"> i </w:t>
      </w:r>
      <w:r w:rsidRPr="005F28E3">
        <w:fldChar w:fldCharType="begin"/>
      </w:r>
      <w:r w:rsidRPr="005F28E3">
        <w:instrText xml:space="preserve"> REF paragraph00044 \h  \* CharFormat  \* MERGEFORMAT </w:instrText>
      </w:r>
      <w:r w:rsidRPr="005F28E3">
        <w:fldChar w:fldCharType="separate"/>
      </w:r>
      <w:r w:rsidR="00650006">
        <w:t>44</w:t>
      </w:r>
      <w:r w:rsidRPr="005F28E3">
        <w:fldChar w:fldCharType="end"/>
      </w:r>
      <w:r>
        <w:t xml:space="preserve"> powyżej).</w:t>
      </w:r>
    </w:p>
    <w:p w14:paraId="3EF78AB7" w14:textId="4DAB3EDA" w:rsidR="006377D2" w:rsidRPr="005F28E3" w:rsidRDefault="00650006" w:rsidP="005F28E3">
      <w:pPr>
        <w:pStyle w:val="JuPara"/>
      </w:pPr>
      <w:fldSimple w:instr=" SEQ level0 \*arabic \* MERGEFORMAT ">
        <w:r>
          <w:rPr>
            <w:noProof/>
          </w:rPr>
          <w:t>79</w:t>
        </w:r>
      </w:fldSimple>
      <w:r w:rsidR="00D7687C">
        <w:t>.</w:t>
      </w:r>
      <w:r>
        <w:t xml:space="preserve"> </w:t>
      </w:r>
      <w:r w:rsidR="00D7687C">
        <w:t xml:space="preserve">Trybunał stwierdził, że niezwykle ważne jest, aby osoby dotknięte dyskryminującym traktowaniem miały możliwość sprzeciwienia się mu oraz powinny mieć prawo do podjęcia kroków prawnych w celu uzyskania odszkodowania i innych form pomocy (zob. paragraf </w:t>
      </w:r>
      <w:r w:rsidR="00D7687C" w:rsidRPr="005F28E3">
        <w:fldChar w:fldCharType="begin"/>
      </w:r>
      <w:r w:rsidR="00D7687C" w:rsidRPr="005F28E3">
        <w:instrText xml:space="preserve"> REF paragraph00073 \h  \* CharFormat  \* MERGEFORMAT </w:instrText>
      </w:r>
      <w:r w:rsidR="00D7687C" w:rsidRPr="005F28E3">
        <w:fldChar w:fldCharType="separate"/>
      </w:r>
      <w:r>
        <w:t>75</w:t>
      </w:r>
      <w:r w:rsidR="00D7687C" w:rsidRPr="005F28E3">
        <w:fldChar w:fldCharType="end"/>
      </w:r>
      <w:r w:rsidR="00D7687C">
        <w:t xml:space="preserve"> powyżej). Zdaniem Trybunału prawo do podjęcia kroków prawnych byłoby poważnie ograniczone, gdyby nie towarzyszyła mu rzeczywista i skuteczna ochrona przed odwetem za takie kroki prawne. Trybunał przypomina w tym kontekście, że Konwencja ma na celu ochronę praw skutecznych, a nie iluzorycznych (zob. </w:t>
      </w:r>
      <w:r w:rsidR="00D7687C">
        <w:rPr>
          <w:i/>
        </w:rPr>
        <w:t>mutatis mutandis</w:t>
      </w:r>
      <w:r w:rsidR="00D7687C">
        <w:t xml:space="preserve">, </w:t>
      </w:r>
      <w:bookmarkStart w:id="43" w:name="_cl23940THELAW"/>
      <w:r w:rsidR="00D7687C">
        <w:rPr>
          <w:i/>
        </w:rPr>
        <w:t xml:space="preserve">Cuenca </w:t>
      </w:r>
      <w:proofErr w:type="spellStart"/>
      <w:r w:rsidR="00D7687C">
        <w:rPr>
          <w:i/>
        </w:rPr>
        <w:t>Zarzoso</w:t>
      </w:r>
      <w:proofErr w:type="spellEnd"/>
      <w:r w:rsidR="00D7687C">
        <w:rPr>
          <w:i/>
        </w:rPr>
        <w:t xml:space="preserve"> przeciwko Hiszpanii</w:t>
      </w:r>
      <w:bookmarkEnd w:id="43"/>
      <w:r w:rsidR="00D7687C">
        <w:t>, nr 23383/12, paragraf 51, 16 stycznia 2018 r.).</w:t>
      </w:r>
    </w:p>
    <w:p w14:paraId="39915B0F" w14:textId="62EC2E4D" w:rsidR="006377D2" w:rsidRPr="005F28E3" w:rsidRDefault="00650006" w:rsidP="005F28E3">
      <w:pPr>
        <w:pStyle w:val="JuPara"/>
      </w:pPr>
      <w:fldSimple w:instr=" SEQ level0 \*arabic \* MERGEFORMAT ">
        <w:r>
          <w:rPr>
            <w:noProof/>
          </w:rPr>
          <w:t>80</w:t>
        </w:r>
      </w:fldSimple>
      <w:r w:rsidR="00D7687C">
        <w:t>.</w:t>
      </w:r>
      <w:r>
        <w:t xml:space="preserve"> </w:t>
      </w:r>
      <w:r w:rsidR="00D7687C">
        <w:t>W związku z powyższym Trybunał uważa, że pozytywne obowiązki państw wynikające z art. 14 w związku z art. 8 Konwencji wymagają od nich zapewnienia rzeczywistej i skutecznej ochrony przed wszelkimi formami odwetu ze strony pracodawców w związku ze skargami wniesionymi w celu zapewnienia poszanowania prawa do niedyskryminacji ze względu na płeć (zob. paragraf </w:t>
      </w:r>
      <w:r w:rsidR="00D7687C" w:rsidRPr="005F28E3">
        <w:fldChar w:fldCharType="begin"/>
      </w:r>
      <w:r w:rsidR="00D7687C" w:rsidRPr="005F28E3">
        <w:instrText xml:space="preserve">REF paragraph00073 \h \* CharFormat  \* MERGEFORMAT </w:instrText>
      </w:r>
      <w:r w:rsidR="00D7687C" w:rsidRPr="005F28E3">
        <w:fldChar w:fldCharType="separate"/>
      </w:r>
      <w:r>
        <w:t>75</w:t>
      </w:r>
      <w:r w:rsidR="00D7687C" w:rsidRPr="005F28E3">
        <w:fldChar w:fldCharType="end"/>
      </w:r>
      <w:r w:rsidR="00D7687C">
        <w:t xml:space="preserve"> powyżej). Zatem w przypadku</w:t>
      </w:r>
      <w:r w:rsidR="006F5E03">
        <w:t>,</w:t>
      </w:r>
      <w:r w:rsidR="00D7687C">
        <w:t xml:space="preserve"> gdy sądy krajowe mają orzekać w sprawie środków rzekomo podjętych przez pracodawcę w odwecie za dochodzenie prawa do niedyskryminacji ze względu na płeć, są one zobowiązane do zapewnienia osobom zainteresowanym korzystania z praw zapisanych w art. 14 w związku z art. 8 Konwencji (zob. paragraf </w:t>
      </w:r>
      <w:r w:rsidR="00D7687C" w:rsidRPr="005F28E3">
        <w:fldChar w:fldCharType="begin"/>
      </w:r>
      <w:r w:rsidR="00D7687C" w:rsidRPr="005F28E3">
        <w:instrText xml:space="preserve">REF paragraph00074 \h \* CharFormat  \* MERGEFORMAT </w:instrText>
      </w:r>
      <w:r w:rsidR="00D7687C" w:rsidRPr="005F28E3">
        <w:fldChar w:fldCharType="separate"/>
      </w:r>
      <w:r>
        <w:t>76</w:t>
      </w:r>
      <w:r w:rsidR="00D7687C" w:rsidRPr="005F28E3">
        <w:fldChar w:fldCharType="end"/>
      </w:r>
      <w:r w:rsidR="00D7687C">
        <w:t xml:space="preserve"> powyżej). Muszą one należycie uwzględnić potencjalny odwetowy charakter kwestionowanego środka i kontekst oraz starannie wyważyć istotne interesy, przedstawiając odpowiednie i wystarczające powody uzasadniające ich decyzje.</w:t>
      </w:r>
    </w:p>
    <w:p w14:paraId="185F1A5B" w14:textId="77777777" w:rsidR="006377D2" w:rsidRPr="005F28E3" w:rsidRDefault="00D7687C" w:rsidP="005F28E3">
      <w:pPr>
        <w:pStyle w:val="JuHi"/>
      </w:pPr>
      <w:r>
        <w:lastRenderedPageBreak/>
        <w:t>Zgodność z przedmiotowym pozytywnym obowiązkiem</w:t>
      </w:r>
    </w:p>
    <w:p w14:paraId="1382C89D" w14:textId="2B426B76" w:rsidR="006377D2" w:rsidRPr="005F28E3" w:rsidRDefault="00650006" w:rsidP="005F28E3">
      <w:pPr>
        <w:pStyle w:val="JuPara"/>
      </w:pPr>
      <w:fldSimple w:instr=" SEQ level0 \*arabic \* MERGEFORMAT ">
        <w:r>
          <w:rPr>
            <w:noProof/>
          </w:rPr>
          <w:t>81</w:t>
        </w:r>
      </w:fldSimple>
      <w:r w:rsidR="00D7687C">
        <w:t>.</w:t>
      </w:r>
      <w:r>
        <w:t xml:space="preserve"> </w:t>
      </w:r>
      <w:r w:rsidR="00D7687C">
        <w:t>Trybunał zauważa, po pierwsze, że prawo krajowe przewiduje równe traktowanie mężczyzn i kobiet w kwestiach zatrudnienia i wynagrodzenia, a także ochronę przed represjami w tym zakresie (zob. paragrafy </w:t>
      </w:r>
      <w:r w:rsidR="00D7687C" w:rsidRPr="005F28E3">
        <w:fldChar w:fldCharType="begin"/>
      </w:r>
      <w:r w:rsidR="00D7687C" w:rsidRPr="005F28E3">
        <w:instrText xml:space="preserve"> REF paragraph00033 \h  \* CharFormat  \* MERGEFORMAT </w:instrText>
      </w:r>
      <w:r w:rsidR="00D7687C" w:rsidRPr="005F28E3">
        <w:fldChar w:fldCharType="separate"/>
      </w:r>
      <w:r>
        <w:t>33</w:t>
      </w:r>
      <w:r w:rsidR="00D7687C" w:rsidRPr="005F28E3">
        <w:fldChar w:fldCharType="end"/>
      </w:r>
      <w:r w:rsidR="00D7687C">
        <w:t xml:space="preserve"> i </w:t>
      </w:r>
      <w:r w:rsidR="00D7687C" w:rsidRPr="005F28E3">
        <w:fldChar w:fldCharType="begin"/>
      </w:r>
      <w:r w:rsidR="00D7687C" w:rsidRPr="005F28E3">
        <w:instrText xml:space="preserve"> REF paragraph00034 \h  \* CharFormat  \* MERGEFORMAT </w:instrText>
      </w:r>
      <w:r w:rsidR="00D7687C" w:rsidRPr="005F28E3">
        <w:fldChar w:fldCharType="separate"/>
      </w:r>
      <w:r>
        <w:t>34</w:t>
      </w:r>
      <w:r w:rsidR="00D7687C" w:rsidRPr="005F28E3">
        <w:fldChar w:fldCharType="end"/>
      </w:r>
      <w:r w:rsidR="00D7687C">
        <w:t xml:space="preserve"> powyżej), a ponadto art. 24 Konstytucji gwarantuje ofiarom dyskryminacji dostęp do sądów i ochronę przed odwetem (zob. paragraf </w:t>
      </w:r>
      <w:r w:rsidR="00D7687C" w:rsidRPr="005F28E3">
        <w:fldChar w:fldCharType="begin"/>
      </w:r>
      <w:r w:rsidR="00D7687C" w:rsidRPr="005F28E3">
        <w:instrText xml:space="preserve">REF paragraph00038 \h \* CharFormat  \* MERGEFORMAT </w:instrText>
      </w:r>
      <w:r w:rsidR="00D7687C" w:rsidRPr="005F28E3">
        <w:fldChar w:fldCharType="separate"/>
      </w:r>
      <w:r>
        <w:t>38</w:t>
      </w:r>
      <w:r w:rsidR="00D7687C" w:rsidRPr="005F28E3">
        <w:fldChar w:fldCharType="end"/>
      </w:r>
      <w:r w:rsidR="00D7687C">
        <w:t xml:space="preserve"> powyżej).</w:t>
      </w:r>
    </w:p>
    <w:p w14:paraId="1B56E151" w14:textId="75E099EE" w:rsidR="006377D2" w:rsidRPr="005F28E3" w:rsidRDefault="00650006" w:rsidP="005F28E3">
      <w:pPr>
        <w:pStyle w:val="JuPara"/>
      </w:pPr>
      <w:fldSimple w:instr=" SEQ level0 \*arabic \* MERGEFORMAT ">
        <w:r>
          <w:rPr>
            <w:noProof/>
          </w:rPr>
          <w:t>82</w:t>
        </w:r>
      </w:fldSimple>
      <w:r w:rsidR="00D7687C">
        <w:t>.</w:t>
      </w:r>
      <w:r>
        <w:t xml:space="preserve"> </w:t>
      </w:r>
      <w:r w:rsidR="00D7687C">
        <w:t xml:space="preserve">Trybunał nie dostrzega żadnych uchybień w ramach regulacyjnych obowiązujących w pozwanym państwie, które mogłyby pociągać za sobą naruszenie wyżej wymienionych pozytywnych obowiązków państwa. Ponadto zauważa w tym względzie, że Europejski Komitet Praw Społecznych stwierdził, że sytuacja w Hiszpanii w zakresie obowiązku zagwarantowania prawa do równego wynagrodzenia jest zgodna z Europejską Kartą Społeczną i jej protokołami (zob. </w:t>
      </w:r>
      <w:r w:rsidR="004B5180">
        <w:t>paragraf</w:t>
      </w:r>
      <w:r w:rsidR="00D7687C">
        <w:t xml:space="preserve"> </w:t>
      </w:r>
      <w:r w:rsidR="00D7687C" w:rsidRPr="005F28E3">
        <w:fldChar w:fldCharType="begin"/>
      </w:r>
      <w:r w:rsidR="00D7687C" w:rsidRPr="005F28E3">
        <w:instrText xml:space="preserve">REF paragraph00040 \h \* CharFormat  \* MERGEFORMAT </w:instrText>
      </w:r>
      <w:r w:rsidR="00D7687C" w:rsidRPr="005F28E3">
        <w:fldChar w:fldCharType="separate"/>
      </w:r>
      <w:r>
        <w:t>40</w:t>
      </w:r>
      <w:r w:rsidR="00D7687C" w:rsidRPr="005F28E3">
        <w:fldChar w:fldCharType="end"/>
      </w:r>
      <w:r w:rsidR="00D7687C">
        <w:t xml:space="preserve"> powyżej).</w:t>
      </w:r>
    </w:p>
    <w:bookmarkEnd w:id="42"/>
    <w:p w14:paraId="6F0E8F54" w14:textId="6323A3FE"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83</w:t>
      </w:r>
      <w:r w:rsidRPr="005F28E3">
        <w:fldChar w:fldCharType="end"/>
      </w:r>
      <w:r>
        <w:t>.</w:t>
      </w:r>
      <w:r w:rsidR="00650006">
        <w:t xml:space="preserve"> </w:t>
      </w:r>
      <w:r>
        <w:t>Trybunał ustali zatem, czy stosowanie prawa krajowego przez sądy pracy, które rozpatrywały sprawę skarżącej, zapewniało wystarczającą ochronę jej prawa do niedyskryminacji w związku z prawem do poszanowania życia prywatnego, biorąc pod uwagę odpowiedni kontekst oraz znaczenie ochrony przed działaniami odwetowymi, kiedy dyskryminacja ze względu na płeć została już stwierdzona, oraz ważąc konkurencyjne interesy.</w:t>
      </w:r>
    </w:p>
    <w:p w14:paraId="1C9D7E7B" w14:textId="4ECC2523" w:rsidR="006377D2" w:rsidRPr="005F28E3" w:rsidRDefault="00650006" w:rsidP="005F28E3">
      <w:pPr>
        <w:pStyle w:val="JuPara"/>
      </w:pPr>
      <w:fldSimple w:instr=" SEQ level0 \*arabic \* MERGEFORMAT ">
        <w:r>
          <w:rPr>
            <w:noProof/>
          </w:rPr>
          <w:t>84</w:t>
        </w:r>
      </w:fldSimple>
      <w:r w:rsidR="00D7687C">
        <w:t>.</w:t>
      </w:r>
      <w:r>
        <w:t xml:space="preserve"> </w:t>
      </w:r>
      <w:r w:rsidR="00D7687C">
        <w:t xml:space="preserve">W tym kontekście Trybunał przypomina, że interpretacja i stosowanie prawa krajowego należy przede wszystkim do sądów krajowych i że choć jego zadanie nie polega na zastępowaniu stanowiska sądów krajowych jego własnym stanowiskiem, to musi on jednak upewnić się, czy skutki ustaleń sądu krajowego są zgodne z Konwencją (zob. wyrok w sprawie </w:t>
      </w:r>
      <w:proofErr w:type="spellStart"/>
      <w:r w:rsidR="00D7687C">
        <w:rPr>
          <w:i/>
        </w:rPr>
        <w:t>Schüth</w:t>
      </w:r>
      <w:proofErr w:type="spellEnd"/>
      <w:r w:rsidR="00D7687C">
        <w:t xml:space="preserve">, cyt. powyżej, paragraf 65, i przytoczone tam orzecznictwo). Zadaniem Trybunału, który sprawuje funkcję nadzorującą, jest ustalenie, czy w świetle sprawy jako całości, powody podane przez władze krajowe w celu zbadania zwolnienia skarżącej, które miało nastąpić w odwecie, były rzeczowe i wystarczające (patrz, </w:t>
      </w:r>
      <w:r w:rsidR="00D7687C">
        <w:rPr>
          <w:i/>
        </w:rPr>
        <w:t>mutatis mutandis</w:t>
      </w:r>
      <w:r w:rsidR="00D7687C">
        <w:t xml:space="preserve">, </w:t>
      </w:r>
      <w:proofErr w:type="spellStart"/>
      <w:r w:rsidR="00D7687C">
        <w:rPr>
          <w:i/>
        </w:rPr>
        <w:t>Palomo</w:t>
      </w:r>
      <w:proofErr w:type="spellEnd"/>
      <w:r w:rsidR="00D7687C">
        <w:rPr>
          <w:i/>
        </w:rPr>
        <w:t xml:space="preserve"> </w:t>
      </w:r>
      <w:proofErr w:type="spellStart"/>
      <w:r w:rsidR="00D7687C">
        <w:rPr>
          <w:i/>
        </w:rPr>
        <w:t>Sánchez</w:t>
      </w:r>
      <w:proofErr w:type="spellEnd"/>
      <w:r w:rsidR="00D7687C">
        <w:rPr>
          <w:i/>
        </w:rPr>
        <w:t xml:space="preserve"> i Inni</w:t>
      </w:r>
      <w:r w:rsidR="00D7687C">
        <w:t>, cyt. powyżej, paragraf 63).</w:t>
      </w:r>
    </w:p>
    <w:p w14:paraId="6109FCFD" w14:textId="526B8C69" w:rsidR="006377D2" w:rsidRPr="005F28E3" w:rsidRDefault="00650006" w:rsidP="005F28E3">
      <w:pPr>
        <w:pStyle w:val="JuPara"/>
      </w:pPr>
      <w:fldSimple w:instr=" SEQ level0 \*arabic \* MERGEFORMAT ">
        <w:r>
          <w:rPr>
            <w:noProof/>
          </w:rPr>
          <w:t>85</w:t>
        </w:r>
      </w:fldSimple>
      <w:r w:rsidR="00D7687C">
        <w:t>.</w:t>
      </w:r>
      <w:r>
        <w:t xml:space="preserve"> </w:t>
      </w:r>
      <w:r w:rsidR="00D7687C">
        <w:t xml:space="preserve">Trybunał zauważa, po pierwsze, że sąd pracy odrzucił argument skarżącej dotyczący naruszenia jej prawa do ochrony przed działaniami odwetowymi na tej podstawie, że zgłoszone spółce wcześniejsze skargi na dyskryminujące traktowanie nie spowodowały żadnego działania odwetowego ze strony spółki (zob. paragraf </w:t>
      </w:r>
      <w:r w:rsidR="00D7687C" w:rsidRPr="005F28E3">
        <w:fldChar w:fldCharType="begin"/>
      </w:r>
      <w:r w:rsidR="00D7687C" w:rsidRPr="005F28E3">
        <w:instrText xml:space="preserve">REF paragraph00020 \h \* CharFormat </w:instrText>
      </w:r>
      <w:r w:rsidR="00D7687C" w:rsidRPr="005F28E3">
        <w:fldChar w:fldCharType="separate"/>
      </w:r>
      <w:r>
        <w:t>20</w:t>
      </w:r>
      <w:r w:rsidR="00D7687C" w:rsidRPr="005F28E3">
        <w:fldChar w:fldCharType="end"/>
      </w:r>
      <w:r w:rsidR="00D7687C">
        <w:t xml:space="preserve"> powyżej). Wyższy Trybunał ze swojej strony stwierdził, że podważył istnienie naruszenia prawa skarżącej do ochrony przed odwetem „bardziej przez prawdziwość faktów przytoczonych w pisemnym powiadomieniu o zwolnieniu niż przez okoliczność, że skarżąca ponawiała ustne skargi przez cały okres zatrudnienia.” (zob. paragraf </w:t>
      </w:r>
      <w:r w:rsidR="00D7687C" w:rsidRPr="005F28E3">
        <w:fldChar w:fldCharType="begin"/>
      </w:r>
      <w:r w:rsidR="00D7687C" w:rsidRPr="005F28E3">
        <w:instrText xml:space="preserve">REF paragraph00023 \h \* CharFormat </w:instrText>
      </w:r>
      <w:r w:rsidR="00D7687C" w:rsidRPr="005F28E3">
        <w:fldChar w:fldCharType="separate"/>
      </w:r>
      <w:r>
        <w:t>23</w:t>
      </w:r>
      <w:r w:rsidR="00D7687C" w:rsidRPr="005F28E3">
        <w:fldChar w:fldCharType="end"/>
      </w:r>
      <w:r w:rsidR="00D7687C">
        <w:t xml:space="preserve"> powyżej).</w:t>
      </w:r>
    </w:p>
    <w:p w14:paraId="573B5A9D" w14:textId="447E45CF" w:rsidR="006377D2" w:rsidRPr="005F28E3" w:rsidRDefault="00650006" w:rsidP="005F28E3">
      <w:pPr>
        <w:pStyle w:val="JuPara"/>
      </w:pPr>
      <w:fldSimple w:instr=" SEQ level0 \*arabic \* MERGEFORMAT ">
        <w:r>
          <w:rPr>
            <w:noProof/>
          </w:rPr>
          <w:t>86</w:t>
        </w:r>
      </w:fldSimple>
      <w:r w:rsidR="00D7687C">
        <w:t>.</w:t>
      </w:r>
      <w:r>
        <w:t xml:space="preserve"> </w:t>
      </w:r>
      <w:r w:rsidR="00D7687C">
        <w:t xml:space="preserve">Trybunał zauważył, że wyżej wspomniane rozumowanie sądów krajowych nie uwzględniało faktu, że środków odwetowych nie podejmowano dopóty, dopóki skarżąca zgłaszała problem dyskryminacji </w:t>
      </w:r>
      <w:r w:rsidR="00D7687C">
        <w:lastRenderedPageBreak/>
        <w:t xml:space="preserve">jedynie wewnętrznie, w ramach spółki, oraz że reakcja spółki uległa zmianie po złożeniu wniosku przez skarżącą 6 kwietnia 2017 r., kiedy to po raz pierwszy zgłosiła ona swoje roszczenia wobec przedsiębiorstwa przed organem zewnętrznym – administracyjnym lub sądowym. W tym momencie po raz pierwszy konflikt skarżącej z zarządem spółki wyszedł poza sferę wewnętrzną spółki i został ujawniony organom krajowym. Ponadto we wniosku z 6 kwietnia 2017 r. skarżąca po raz pierwszy podniosła kwestię różnicy w wynagrodzeniu jako godzącej w jej podstawowe prawo do niedyskryminacji ze względu na płeć (zob. </w:t>
      </w:r>
      <w:r w:rsidR="004B5180">
        <w:t>paragraf</w:t>
      </w:r>
      <w:r w:rsidR="00D7687C">
        <w:t> </w:t>
      </w:r>
      <w:r w:rsidR="00D7687C" w:rsidRPr="005F28E3">
        <w:fldChar w:fldCharType="begin"/>
      </w:r>
      <w:r w:rsidR="00D7687C" w:rsidRPr="005F28E3">
        <w:instrText xml:space="preserve">REF paragraph00022 \h \* CharFormat  \* MERGEFORMAT </w:instrText>
      </w:r>
      <w:r w:rsidR="00D7687C" w:rsidRPr="005F28E3">
        <w:fldChar w:fldCharType="separate"/>
      </w:r>
      <w:r>
        <w:t>22</w:t>
      </w:r>
      <w:r w:rsidR="00D7687C" w:rsidRPr="005F28E3">
        <w:fldChar w:fldCharType="end"/>
      </w:r>
      <w:r w:rsidR="00D7687C">
        <w:t xml:space="preserve"> powyżej), wymagając tym samym od spółki wykazania, że taka różnica miała obiektywne uzasadnienie. Zdaniem Trybunału sądy krajowe nie uwzględniły w wystarczającym stopniu odpowiedniego kontekstu, pomijając różnicę między wnioskiem skarżącej z 6 kwietnia 2017 r. a jej wcześniejszym wewnętrznym kontaktem z zarządem spółki oraz okoliczność, że zarzucany środek odwetowy nastąpił zaraz po złożeniu wspomnianego wniosku. Ponadto Trybunał nie rozumie, w jaki sposób brak reakcji pracodawcy w obliczu powtarzających się wewnętrznych skarg pracownika - co samo w sobie może wskazywać na zamiar zaniechania ochrony potencjalnie naruszonych praw - mógłby być postrzegany jako okoliczność wykluczająca jakiekolwiek odwetowe zamiary ze strony spółki, gdy konflikt eskalował do etapu postępowania administracyjnego lub sądowego.</w:t>
      </w:r>
    </w:p>
    <w:p w14:paraId="1B1017AC" w14:textId="45C8BD8F" w:rsidR="006377D2" w:rsidRPr="005F28E3" w:rsidRDefault="00650006" w:rsidP="005F28E3">
      <w:pPr>
        <w:pStyle w:val="JuPara"/>
      </w:pPr>
      <w:fldSimple w:instr=" SEQ level0 \*arabic \* MERGEFORMAT ">
        <w:r>
          <w:rPr>
            <w:noProof/>
          </w:rPr>
          <w:t>87</w:t>
        </w:r>
      </w:fldSimple>
      <w:r w:rsidR="00D7687C">
        <w:t>.</w:t>
      </w:r>
      <w:r>
        <w:t xml:space="preserve"> </w:t>
      </w:r>
      <w:r w:rsidR="00D7687C">
        <w:t>Po drugie, sądy krajowe uznały, że zwolnienie skarżącej nastąpiło z powodu bardzo poważnego przewinienia. Sądy te stwierdziły, że nawet przyjąwszy, iż skarżąca mogła wykorzystać odpowiednie prywatne dane w celu uzasadnienia swojego roszczenia, to nie była ona uprawniona do udostępnienia tych danych osobom spoza firmy, które nie miały wcześniejszej wiedzy o tych informacjach. Ponadto miała obowiązek zachowania tajemnicy w odniesieniu do danych, którymi zarządzała jako kierownik działu finansowego, w tym odpowiednich list płac, oraz nie uzyskała zgody osób, których dane dotyczyły. Takie postępowanie stanowiło zatem naruszenie przepisów Statutu Pracowniczego i ustawy instytucjonalnej o ochronie danych.</w:t>
      </w:r>
    </w:p>
    <w:p w14:paraId="5368E4C5" w14:textId="0C7F7BE1" w:rsidR="006377D2" w:rsidRPr="005F28E3" w:rsidRDefault="00650006" w:rsidP="005F28E3">
      <w:pPr>
        <w:pStyle w:val="JuPara"/>
      </w:pPr>
      <w:fldSimple w:instr=" SEQ level0 \*arabic \* MERGEFORMAT ">
        <w:r>
          <w:rPr>
            <w:noProof/>
          </w:rPr>
          <w:t>88</w:t>
        </w:r>
      </w:fldSimple>
      <w:r w:rsidR="00D7687C">
        <w:t>.</w:t>
      </w:r>
      <w:r>
        <w:t xml:space="preserve"> </w:t>
      </w:r>
      <w:r w:rsidR="00D7687C">
        <w:t>Trybunał zauważył, że w przedmiotowej sprawie sądy krajowe miały do czynienia z kilkoma kolidującymi ze sobą interesami: z jednej strony z prawem skarżącej do niedyskryminacji ze względu na płeć w kontekście zatrudnienia i jej prawem do podejmowania niezbędnych działań w obronie tego prawa, bez narażania się na działania odwetowe, a z drugiej strony z prawem do ochrony danych osobowych jej współpracowników i obowiązkiem spółki polegającym na ochronie tych danych.</w:t>
      </w:r>
    </w:p>
    <w:p w14:paraId="7A1D37C0" w14:textId="3B48E3E7" w:rsidR="006377D2" w:rsidRPr="005F28E3" w:rsidRDefault="00650006" w:rsidP="005F28E3">
      <w:pPr>
        <w:pStyle w:val="JuPara"/>
      </w:pPr>
      <w:fldSimple w:instr=" SEQ level0 \*arabic \* MERGEFORMAT ">
        <w:r>
          <w:rPr>
            <w:noProof/>
          </w:rPr>
          <w:t>89</w:t>
        </w:r>
      </w:fldSimple>
      <w:r w:rsidR="00D7687C">
        <w:t>.</w:t>
      </w:r>
      <w:r>
        <w:t xml:space="preserve"> </w:t>
      </w:r>
      <w:r w:rsidR="00D7687C">
        <w:t>Trybunał orzekł, że ochrona danych osobowych ma fundamentalne znaczenie dla korzystania przez daną osobę z jej prawa do poszanowania życia prywatnego i rodzinnego, zagwarantowanego w art. 8 Konwencji (</w:t>
      </w:r>
      <w:bookmarkStart w:id="44" w:name="_cl42384THELAW"/>
      <w:r w:rsidR="00D7687C">
        <w:t xml:space="preserve">zob. </w:t>
      </w:r>
      <w:r w:rsidR="00D7687C">
        <w:rPr>
          <w:i/>
        </w:rPr>
        <w:t>L.B. przeciwko Węgrom</w:t>
      </w:r>
      <w:bookmarkEnd w:id="44"/>
      <w:r w:rsidR="00D7687C">
        <w:t xml:space="preserve"> [WI], nr. 36345/16, paragraf 103, 9 marca 2023 r.). Trybunał przyznaje, że spółka miała obowiązek chronić prawo swoich </w:t>
      </w:r>
      <w:r w:rsidR="00D7687C">
        <w:lastRenderedPageBreak/>
        <w:t>pracowników do prywatności i że była uprawniona do podjęcia środków w celu zapewnienia wypełnienia przez swoich pracowników powinności zawodowych w tym zakresie. Przyjmuje zatem, że ujawnienie prywatnych informacji w kontekście pracy może pociągać za sobą zastosowanie środków dyscyplinarnych lub sankcji wobec pracownika. Sądy krajowe były jednak zobowiązane do zachowania równowagi między różnymi wchodzącymi w grę interesami i oceny czy zwolnienie - surowy środek dyscyplinarny - było uzasadnione w konkretnych okolicznościach sprawy, biorąc pod uwagę w szczególności odpowiedni kontekst oraz konieczność zapewnienia skutecznej ochrony przed dyskryminacją.</w:t>
      </w:r>
    </w:p>
    <w:p w14:paraId="4DF0A6F4" w14:textId="765BD641" w:rsidR="006377D2" w:rsidRPr="005F28E3" w:rsidRDefault="00650006" w:rsidP="005F28E3">
      <w:pPr>
        <w:pStyle w:val="JuPara"/>
      </w:pPr>
      <w:fldSimple w:instr=" SEQ level0 \*arabic \* MERGEFORMAT ">
        <w:bookmarkStart w:id="45" w:name="paragraph00090"/>
        <w:r>
          <w:rPr>
            <w:noProof/>
          </w:rPr>
          <w:t>90</w:t>
        </w:r>
        <w:bookmarkEnd w:id="45"/>
      </w:fldSimple>
      <w:r w:rsidR="00D7687C">
        <w:t>.</w:t>
      </w:r>
      <w:r>
        <w:t xml:space="preserve"> </w:t>
      </w:r>
      <w:r w:rsidR="00D7687C">
        <w:t>Trybunał zauważa w tym względzie, po pierwsze, że chociaż sądy krajowe nie zakwestionowały stanowiska skarżącej dotyczącego powodów ujawnienia przez nią informacji o wynagrodzeniach, to wydaje się, że nie wzięły one w wystarczającym stopniu pod uwagę faktu, że między skarżącą a spółką istniał długotrwały konflikt dotyczący dyskryminacji ze względu na płeć, że przez kilka lat skarżąca była dyskryminowana, co później przyznały sądy krajowe, oraz że wielokrotnie bezskutecznie skarżyła się kierownictwu spółki. Nie kwestionując ustalenia sądów krajowych, że ujawnienie danych płacowych stanowiło naruszenie obowiązków zawodowych skarżącej, Trybunał uznał, że wyżej wymienione elementy były bardzo istotne dla oceny kontekstu i wagi tego naruszenia, a zatem dla uzasadnienia rodzaju środka dyscyplinarnego, który pracodawca zdecydował się zastosować (bardzo surowego). Ocena powyższych faktów miała z kolei niewątpliwie znaczenie dla rozstrzygnięcia czy zwolnienie było przynajmniej częściowo motywowane chęcią odwetu.</w:t>
      </w:r>
    </w:p>
    <w:bookmarkStart w:id="46" w:name="paragraph00091"/>
    <w:p w14:paraId="2441AF31" w14:textId="052A3EC5"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91</w:t>
      </w:r>
      <w:r w:rsidRPr="005F28E3">
        <w:fldChar w:fldCharType="end"/>
      </w:r>
      <w:bookmarkEnd w:id="46"/>
      <w:r>
        <w:t>.</w:t>
      </w:r>
      <w:r w:rsidR="00650006">
        <w:t xml:space="preserve"> </w:t>
      </w:r>
      <w:r>
        <w:t>W szczególności w postępowaniu krajowym nie</w:t>
      </w:r>
      <w:r w:rsidR="00650006">
        <w:t xml:space="preserve"> </w:t>
      </w:r>
      <w:r>
        <w:t>zakwestionowano tego, że skarżąca zebrała dane o wynagrodzeniu i włączyła je do swojego roszczenia wyłącznie w celu jego uzasadnienia. Ponadto wykorzystanie takich danych jako dowodu w postępowaniu w sprawie dyskryminacji nie zostało zakwestionowane przez spółkę i stanowiło podstawę do stwierdzenia naruszenia prawa skarżącej do niedyskryminacji (zob. paragrafy </w:t>
      </w:r>
      <w:r w:rsidRPr="005F28E3">
        <w:fldChar w:fldCharType="begin"/>
      </w:r>
      <w:r w:rsidRPr="005F28E3">
        <w:instrText xml:space="preserve">REF paragraph00010 \h \* CharFormat  \* MERGEFORMAT </w:instrText>
      </w:r>
      <w:r w:rsidRPr="005F28E3">
        <w:fldChar w:fldCharType="separate"/>
      </w:r>
      <w:r w:rsidR="00650006">
        <w:t>10</w:t>
      </w:r>
      <w:r w:rsidRPr="005F28E3">
        <w:fldChar w:fldCharType="end"/>
      </w:r>
      <w:r>
        <w:noBreakHyphen/>
      </w:r>
      <w:r w:rsidRPr="005F28E3">
        <w:fldChar w:fldCharType="begin"/>
      </w:r>
      <w:r w:rsidRPr="005F28E3">
        <w:instrText xml:space="preserve">REF paragraph00012 \h \* CharFormat  \* MERGEFORMAT </w:instrText>
      </w:r>
      <w:r w:rsidRPr="005F28E3">
        <w:fldChar w:fldCharType="separate"/>
      </w:r>
      <w:r w:rsidR="00650006">
        <w:t>12</w:t>
      </w:r>
      <w:r w:rsidRPr="005F28E3">
        <w:fldChar w:fldCharType="end"/>
      </w:r>
      <w:r>
        <w:t xml:space="preserve"> powyżej; zob. </w:t>
      </w:r>
      <w:r>
        <w:rPr>
          <w:i/>
        </w:rPr>
        <w:t>mutatis mutandis</w:t>
      </w:r>
      <w:r>
        <w:t xml:space="preserve">, </w:t>
      </w:r>
      <w:bookmarkStart w:id="47" w:name="_cl40974THELAW"/>
      <w:r>
        <w:rPr>
          <w:i/>
        </w:rPr>
        <w:t>M.P. przeciwko Portugalii</w:t>
      </w:r>
      <w:bookmarkEnd w:id="47"/>
      <w:r>
        <w:t xml:space="preserve">, nr 27516/14, paragraf 48, 7 września 2021 r.). Chociaż bez wątpienia należało zwrócić uwagę, co też uczyniły sądy krajowe, że skarżąca mogła zażądać takich informacji za pośrednictwem sądów krajowych (zob. paragrafy </w:t>
      </w:r>
      <w:r w:rsidRPr="005F28E3">
        <w:fldChar w:fldCharType="begin"/>
      </w:r>
      <w:r w:rsidRPr="005F28E3">
        <w:instrText xml:space="preserve">REF paragraph00015 \h \* CharFormat  \* MERGEFORMAT </w:instrText>
      </w:r>
      <w:r w:rsidRPr="005F28E3">
        <w:fldChar w:fldCharType="separate"/>
      </w:r>
      <w:r w:rsidR="00650006">
        <w:t>15</w:t>
      </w:r>
      <w:r w:rsidRPr="005F28E3">
        <w:fldChar w:fldCharType="end"/>
      </w:r>
      <w:r>
        <w:t xml:space="preserve">, </w:t>
      </w:r>
      <w:r w:rsidRPr="005F28E3">
        <w:fldChar w:fldCharType="begin"/>
      </w:r>
      <w:r w:rsidRPr="005F28E3">
        <w:instrText xml:space="preserve">REF paragraph00021 \h \* CharFormat  \* MERGEFORMAT </w:instrText>
      </w:r>
      <w:r w:rsidRPr="005F28E3">
        <w:fldChar w:fldCharType="separate"/>
      </w:r>
      <w:r w:rsidR="00650006">
        <w:t>21</w:t>
      </w:r>
      <w:r w:rsidRPr="005F28E3">
        <w:fldChar w:fldCharType="end"/>
      </w:r>
      <w:r>
        <w:t xml:space="preserve">, </w:t>
      </w:r>
      <w:r w:rsidRPr="005F28E3">
        <w:fldChar w:fldCharType="begin"/>
      </w:r>
      <w:r w:rsidRPr="005F28E3">
        <w:instrText xml:space="preserve">REF paragraph00035 \h \* CharFormat  \* MERGEFORMAT </w:instrText>
      </w:r>
      <w:r w:rsidRPr="005F28E3">
        <w:fldChar w:fldCharType="separate"/>
      </w:r>
      <w:r w:rsidR="00650006">
        <w:t>35</w:t>
      </w:r>
      <w:r w:rsidRPr="005F28E3">
        <w:fldChar w:fldCharType="end"/>
      </w:r>
      <w:r>
        <w:t xml:space="preserve"> i </w:t>
      </w:r>
      <w:r w:rsidRPr="005F28E3">
        <w:fldChar w:fldCharType="begin"/>
      </w:r>
      <w:r w:rsidRPr="005F28E3">
        <w:instrText xml:space="preserve">REF paragraph00069 \h \* CharFormat  \* MERGEFORMAT </w:instrText>
      </w:r>
      <w:r w:rsidRPr="005F28E3">
        <w:fldChar w:fldCharType="separate"/>
      </w:r>
      <w:r w:rsidR="00650006">
        <w:t>71</w:t>
      </w:r>
      <w:r w:rsidRPr="005F28E3">
        <w:fldChar w:fldCharType="end"/>
      </w:r>
      <w:r>
        <w:t xml:space="preserve"> powyżej) oraz że nie była uprawniona do udostępniania ich osobom trzecim spoza spółki (zob. paragraf </w:t>
      </w:r>
      <w:r w:rsidRPr="005F28E3">
        <w:fldChar w:fldCharType="begin"/>
      </w:r>
      <w:r w:rsidRPr="005F28E3">
        <w:instrText xml:space="preserve">REF paragraph00023 \h \* CharFormat  \* MERGEFORMAT </w:instrText>
      </w:r>
      <w:r w:rsidRPr="005F28E3">
        <w:fldChar w:fldCharType="separate"/>
      </w:r>
      <w:r w:rsidR="00650006">
        <w:t>23</w:t>
      </w:r>
      <w:r w:rsidRPr="005F28E3">
        <w:fldChar w:fldCharType="end"/>
      </w:r>
      <w:r>
        <w:t xml:space="preserve"> powyżej), to dokonując odpowiedniej oceny zasadności zwolnienia, sądy krajowe powinny były wziąć również pod uwagę inne powiązane elementy wskazane powyżej (zob. </w:t>
      </w:r>
      <w:r>
        <w:rPr>
          <w:i/>
        </w:rPr>
        <w:t>M.P. przeciwko Portugalii</w:t>
      </w:r>
      <w:r>
        <w:t xml:space="preserve">, cyt. powyżej, paragrafy 47-52; zob. także paragraf </w:t>
      </w:r>
      <w:r w:rsidRPr="005F28E3">
        <w:fldChar w:fldCharType="begin"/>
      </w:r>
      <w:r w:rsidRPr="005F28E3">
        <w:instrText xml:space="preserve"> REF paragraph00090 \h  \* CharFormat  \* MERGEFORMAT </w:instrText>
      </w:r>
      <w:r w:rsidRPr="005F28E3">
        <w:fldChar w:fldCharType="separate"/>
      </w:r>
      <w:r w:rsidR="00650006">
        <w:t>90</w:t>
      </w:r>
      <w:r w:rsidRPr="005F28E3">
        <w:fldChar w:fldCharType="end"/>
      </w:r>
      <w:r>
        <w:t xml:space="preserve"> powyżej i paragrafy </w:t>
      </w:r>
      <w:r w:rsidRPr="005F28E3">
        <w:fldChar w:fldCharType="begin"/>
      </w:r>
      <w:r w:rsidRPr="005F28E3">
        <w:instrText xml:space="preserve">REF paragraph00094 \h \* CharFormat  \* MERGEFORMAT </w:instrText>
      </w:r>
      <w:r w:rsidRPr="005F28E3">
        <w:fldChar w:fldCharType="separate"/>
      </w:r>
      <w:r w:rsidR="00650006">
        <w:t>93</w:t>
      </w:r>
      <w:r w:rsidRPr="005F28E3">
        <w:fldChar w:fldCharType="end"/>
      </w:r>
      <w:r>
        <w:t>-</w:t>
      </w:r>
      <w:r w:rsidRPr="005F28E3">
        <w:fldChar w:fldCharType="begin"/>
      </w:r>
      <w:r w:rsidRPr="005F28E3">
        <w:instrText xml:space="preserve">REF paragraph00095 \h \* CharFormat  \* MERGEFORMAT </w:instrText>
      </w:r>
      <w:r w:rsidRPr="005F28E3">
        <w:fldChar w:fldCharType="separate"/>
      </w:r>
      <w:r w:rsidR="00650006">
        <w:t>94</w:t>
      </w:r>
      <w:r w:rsidRPr="005F28E3">
        <w:fldChar w:fldCharType="end"/>
      </w:r>
      <w:r>
        <w:t xml:space="preserve"> poniżej).</w:t>
      </w:r>
    </w:p>
    <w:p w14:paraId="06EAA865" w14:textId="3C376470" w:rsidR="006377D2" w:rsidRPr="005F28E3" w:rsidRDefault="00650006" w:rsidP="005F28E3">
      <w:pPr>
        <w:pStyle w:val="JuPara"/>
      </w:pPr>
      <w:fldSimple w:instr=" SEQ level0 \*arabic \* MERGEFORMAT ">
        <w:r>
          <w:rPr>
            <w:noProof/>
          </w:rPr>
          <w:t>92</w:t>
        </w:r>
      </w:fldSimple>
      <w:r w:rsidR="00D7687C">
        <w:t>.</w:t>
      </w:r>
      <w:r>
        <w:t xml:space="preserve"> </w:t>
      </w:r>
      <w:r w:rsidR="00D7687C">
        <w:t>Ponadto sądy krajowe nie wzięły pod uwagę faktu, że odpowiednia wiadomość e-mail był</w:t>
      </w:r>
      <w:r w:rsidR="002110F9">
        <w:t>a</w:t>
      </w:r>
      <w:r w:rsidR="00D7687C">
        <w:t xml:space="preserve"> częścią wymiany e-maili z dnia 6 i 7 kwietnia 2017 r. ściśle związanej z roszczeniem skarżącej dotyczącym dyskryminacji: </w:t>
      </w:r>
      <w:r w:rsidR="00D7687C">
        <w:lastRenderedPageBreak/>
        <w:t xml:space="preserve">prawnik skarżącej wysłał wniosek o postępowanie pojednawcze na prywatny adres e-mail skarżącej i do innego prawnika również reprezentującego skarżącą w postępowaniu pojednawczym, a ona następnie przesłała to na swoje konto firmowe, a z tego konta do czterech osób (P.E., G.P., P.M. i M.A.), informując ich, że dokument ten został przekazany do Centrum Mediacji, Arbitrażu i Postępowań Pojednawczych (zob. </w:t>
      </w:r>
      <w:r w:rsidR="004B5180">
        <w:t>paragraf</w:t>
      </w:r>
      <w:r w:rsidR="00D7687C">
        <w:t xml:space="preserve"> </w:t>
      </w:r>
      <w:r w:rsidR="00D7687C" w:rsidRPr="005F28E3">
        <w:fldChar w:fldCharType="begin"/>
      </w:r>
      <w:r w:rsidR="00D7687C" w:rsidRPr="005F28E3">
        <w:instrText xml:space="preserve"> REF paragraph00015 \h  \* CharFormat </w:instrText>
      </w:r>
      <w:r w:rsidR="00D7687C" w:rsidRPr="005F28E3">
        <w:fldChar w:fldCharType="separate"/>
      </w:r>
      <w:r>
        <w:t>15</w:t>
      </w:r>
      <w:r w:rsidR="00D7687C" w:rsidRPr="005F28E3">
        <w:fldChar w:fldCharType="end"/>
      </w:r>
      <w:r w:rsidR="00D7687C">
        <w:t xml:space="preserve">, </w:t>
      </w:r>
      <w:r w:rsidR="00D7687C" w:rsidRPr="005F28E3">
        <w:fldChar w:fldCharType="begin"/>
      </w:r>
      <w:r w:rsidR="00D7687C" w:rsidRPr="005F28E3">
        <w:instrText xml:space="preserve"> REF paragraph00019 \h  \* CharFormat </w:instrText>
      </w:r>
      <w:r w:rsidR="00D7687C" w:rsidRPr="005F28E3">
        <w:fldChar w:fldCharType="separate"/>
      </w:r>
      <w:r>
        <w:t>19</w:t>
      </w:r>
      <w:r w:rsidR="00D7687C" w:rsidRPr="005F28E3">
        <w:fldChar w:fldCharType="end"/>
      </w:r>
      <w:r w:rsidR="00D7687C">
        <w:t xml:space="preserve"> i </w:t>
      </w:r>
      <w:r w:rsidR="00D7687C" w:rsidRPr="005F28E3">
        <w:fldChar w:fldCharType="begin"/>
      </w:r>
      <w:r w:rsidR="00D7687C" w:rsidRPr="005F28E3">
        <w:instrText xml:space="preserve"> REF paragraph00023 \h  \* CharFormat </w:instrText>
      </w:r>
      <w:r w:rsidR="00D7687C" w:rsidRPr="005F28E3">
        <w:fldChar w:fldCharType="separate"/>
      </w:r>
      <w:r>
        <w:t>23</w:t>
      </w:r>
      <w:r w:rsidR="00D7687C" w:rsidRPr="005F28E3">
        <w:fldChar w:fldCharType="end"/>
      </w:r>
      <w:r w:rsidR="00D7687C">
        <w:t xml:space="preserve"> powyżej).</w:t>
      </w:r>
    </w:p>
    <w:bookmarkStart w:id="48" w:name="paragraph00094"/>
    <w:p w14:paraId="734AEA01" w14:textId="23EEE2F5"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93</w:t>
      </w:r>
      <w:r w:rsidRPr="005F28E3">
        <w:fldChar w:fldCharType="end"/>
      </w:r>
      <w:bookmarkEnd w:id="48"/>
      <w:r>
        <w:t>.</w:t>
      </w:r>
      <w:r w:rsidR="00650006">
        <w:t xml:space="preserve"> </w:t>
      </w:r>
      <w:r>
        <w:t xml:space="preserve">Z treści wyroku Wyższego Trybunału nie do końca wynika, czy uznał on, że nieprawidłowe ujawnienie informacji dotyczyło trzech, czy też czy sześciu osób (tj. pana M.A., dwóch adwokatów skarżących </w:t>
      </w:r>
      <w:r w:rsidR="00A83B6C">
        <w:t>oraz</w:t>
      </w:r>
      <w:r>
        <w:t xml:space="preserve"> potencjalnie, pana P.E., pani G.P. i pana P.M.). Tak czy inaczej, fakt, że wiadomość została skierowana do ograniczonej liczby osób, które były bezpośrednio lub pośrednio zaangażowane w konflikt między skarżącą a spółką, bez jakiegokolwiek zamiaru publicznego rozpowszechniania informacji, miał znaczenie dla oceny proporcjonalności jej zwolnienia (zob. </w:t>
      </w:r>
      <w:r>
        <w:rPr>
          <w:i/>
        </w:rPr>
        <w:t>mutatis mutandis</w:t>
      </w:r>
      <w:r>
        <w:t xml:space="preserve">, </w:t>
      </w:r>
      <w:bookmarkStart w:id="49" w:name="_cl44048THELAW"/>
      <w:proofErr w:type="spellStart"/>
      <w:r>
        <w:rPr>
          <w:i/>
        </w:rPr>
        <w:t>Dede</w:t>
      </w:r>
      <w:proofErr w:type="spellEnd"/>
      <w:r>
        <w:rPr>
          <w:i/>
        </w:rPr>
        <w:t xml:space="preserve"> przeciwko Turcji</w:t>
      </w:r>
      <w:bookmarkEnd w:id="49"/>
      <w:r>
        <w:t>, nr. 48340/20, paragraf 50, 20 lutego 2024 r., w sprawie zwolnienia skarżącego w następstwie wewnętrznej wiadomości e-mail krytykującego metody zarządzania, w którym Trybunał stwierdził naruszenie art. 10 Konwencji).</w:t>
      </w:r>
    </w:p>
    <w:bookmarkStart w:id="50" w:name="paragraph00095"/>
    <w:p w14:paraId="1C0014DD" w14:textId="0AC7F9E5" w:rsidR="006377D2" w:rsidRPr="005F28E3" w:rsidRDefault="00D7687C" w:rsidP="005F28E3">
      <w:pPr>
        <w:pStyle w:val="JuPara"/>
      </w:pPr>
      <w:r w:rsidRPr="005F28E3">
        <w:fldChar w:fldCharType="begin"/>
      </w:r>
      <w:r w:rsidRPr="005F28E3">
        <w:instrText xml:space="preserve"> SEQ level0 \*arabic \* MERGEFORMAT </w:instrText>
      </w:r>
      <w:r w:rsidRPr="005F28E3">
        <w:fldChar w:fldCharType="separate"/>
      </w:r>
      <w:r w:rsidR="00650006">
        <w:rPr>
          <w:noProof/>
        </w:rPr>
        <w:t>94</w:t>
      </w:r>
      <w:r w:rsidRPr="005F28E3">
        <w:fldChar w:fldCharType="end"/>
      </w:r>
      <w:bookmarkEnd w:id="50"/>
      <w:r>
        <w:t>.</w:t>
      </w:r>
      <w:r w:rsidR="00650006">
        <w:t xml:space="preserve"> </w:t>
      </w:r>
      <w:r>
        <w:t xml:space="preserve">Orzeczenia sądów nie zawierały również żadnej oceny wpływu ujawnienia danych osobowych na osoby, których dane dotyczyły, biorąc pod uwagę charakter danych (zob. </w:t>
      </w:r>
      <w:r>
        <w:rPr>
          <w:i/>
        </w:rPr>
        <w:t>mutatis mutandis</w:t>
      </w:r>
      <w:r>
        <w:t xml:space="preserve">, </w:t>
      </w:r>
      <w:r>
        <w:rPr>
          <w:i/>
        </w:rPr>
        <w:t xml:space="preserve">Le </w:t>
      </w:r>
      <w:proofErr w:type="spellStart"/>
      <w:r>
        <w:rPr>
          <w:i/>
        </w:rPr>
        <w:t>Marrec</w:t>
      </w:r>
      <w:proofErr w:type="spellEnd"/>
      <w:r>
        <w:rPr>
          <w:i/>
        </w:rPr>
        <w:t xml:space="preserve"> przeciwko Francji</w:t>
      </w:r>
      <w:r>
        <w:t xml:space="preserve"> (</w:t>
      </w:r>
      <w:proofErr w:type="spellStart"/>
      <w:r>
        <w:t>dec</w:t>
      </w:r>
      <w:proofErr w:type="spellEnd"/>
      <w:r>
        <w:t xml:space="preserve">.), nr. 52319/22, paragraf 78, 5 listopada 2024 r.) oraz niewątpliwy brak jakichkolwiek skarg ze strony osób, których to dotyczyło (zob. </w:t>
      </w:r>
      <w:r>
        <w:rPr>
          <w:i/>
        </w:rPr>
        <w:t>mutatis mutandis</w:t>
      </w:r>
      <w:r>
        <w:t xml:space="preserve">, </w:t>
      </w:r>
      <w:bookmarkStart w:id="51" w:name="_cl31502THELAW"/>
      <w:proofErr w:type="spellStart"/>
      <w:r>
        <w:rPr>
          <w:i/>
        </w:rPr>
        <w:t>Matúz</w:t>
      </w:r>
      <w:proofErr w:type="spellEnd"/>
      <w:r>
        <w:rPr>
          <w:i/>
        </w:rPr>
        <w:t xml:space="preserve"> przeciwko Węgrom</w:t>
      </w:r>
      <w:bookmarkEnd w:id="51"/>
      <w:r>
        <w:t>, nr 73571/10, paragraf 37, 21 października 2014 r.).</w:t>
      </w:r>
    </w:p>
    <w:p w14:paraId="4A2D165C" w14:textId="58A17029" w:rsidR="006377D2" w:rsidRPr="005F28E3" w:rsidRDefault="00650006" w:rsidP="005F28E3">
      <w:pPr>
        <w:pStyle w:val="JuPara"/>
      </w:pPr>
      <w:fldSimple w:instr=" SEQ level0 \*arabic \* MERGEFORMAT ">
        <w:r>
          <w:rPr>
            <w:noProof/>
          </w:rPr>
          <w:t>95</w:t>
        </w:r>
      </w:fldSimple>
      <w:r w:rsidR="00D7687C">
        <w:t>.</w:t>
      </w:r>
      <w:r>
        <w:t xml:space="preserve"> </w:t>
      </w:r>
      <w:r w:rsidR="00D7687C">
        <w:t>Podsumowując, w opinii Trybunału sądy krajowe utrzymały w mocy decyzję o zwolnieniu skarżącej, stosując wadliwe podejście, niezgodne z pozytywnymi obowiązkami w zakresie ochrony przed dyskryminacją. Zwolnienie skutkowało zanegowaniem ochrony przed dyskryminacją przyznanej w odrębnym postępowaniu antydyskryminacyjnym; sądy krajowe nie zajęły się tym skutkiem. Co więcej, nie nadały one wystarczającej wagi istotnym czynnikom, takim jak kontekst uporczywej dyskryminacji ze względu na płeć, której skarżąca była poddawana, wielokrotne zaniechanie ze strony spółki reakcji na próby skarżącej położenia kresu dyskryminacji za pomocą środków wewnętrznych, cel ujawnienia prywatnych informacji, ograniczony wpływ takiego ujawnienia oraz surowość środka zastosowanego wobec skarżącej, co mogło wskazywać na motyw odwetowy. Trybunał uznaje zatem, że powody podane przez sądy krajowe w celu utrzymania w mocy decyzji o zwolnieniu skarżącej nie były wystarczające w okolicznościach przedmiotowej sprawy.</w:t>
      </w:r>
    </w:p>
    <w:p w14:paraId="3EBFAA7A" w14:textId="1A4B076D" w:rsidR="006377D2" w:rsidRPr="005F28E3" w:rsidRDefault="00650006" w:rsidP="005F28E3">
      <w:pPr>
        <w:pStyle w:val="JuPara"/>
      </w:pPr>
      <w:fldSimple w:instr=" SEQ level0 \*arabic \* MERGEFORMAT ">
        <w:r>
          <w:rPr>
            <w:noProof/>
          </w:rPr>
          <w:t>96</w:t>
        </w:r>
      </w:fldSimple>
      <w:r w:rsidR="00D7687C">
        <w:t>.</w:t>
      </w:r>
      <w:r>
        <w:t xml:space="preserve"> </w:t>
      </w:r>
      <w:r w:rsidR="00D7687C">
        <w:t xml:space="preserve">Chociaż Trybunał nie może spekulować - i w istocie w przedmiotowej sprawie nie jest jego rolą decydowanie - czy staranne rozważenie powyższych czynników powinno było doprowadzić do unieważnienia </w:t>
      </w:r>
      <w:r w:rsidR="00D7687C">
        <w:lastRenderedPageBreak/>
        <w:t>zwolnienia, powyższe względy są wystarczające, aby umożliwić Trybunałowi stwierdzenie, że pozwane państwo nie dopełniło swoich pozytywnych obowiązków polegających na zapewnieniu skutecznej ochrony przed dyskryminacją ze względu na płeć w kontekście zatrudnienia i równego wynagrodzenia.</w:t>
      </w:r>
    </w:p>
    <w:p w14:paraId="59FBE91A" w14:textId="0949E8F2" w:rsidR="006377D2" w:rsidRPr="005F28E3" w:rsidRDefault="00650006" w:rsidP="005F28E3">
      <w:pPr>
        <w:pStyle w:val="JuPara"/>
      </w:pPr>
      <w:fldSimple w:instr=" SEQ level0 \*arabic \* MERGEFORMAT ">
        <w:r>
          <w:rPr>
            <w:noProof/>
          </w:rPr>
          <w:t>97</w:t>
        </w:r>
      </w:fldSimple>
      <w:r w:rsidR="00D7687C">
        <w:t>.</w:t>
      </w:r>
      <w:r>
        <w:t xml:space="preserve"> </w:t>
      </w:r>
      <w:r w:rsidR="00D7687C">
        <w:t>W związku z powyższym doszło do naruszenia art. 14 w związku z art. 8 Konwencji.</w:t>
      </w:r>
    </w:p>
    <w:p w14:paraId="302A8208" w14:textId="77777777" w:rsidR="006377D2" w:rsidRPr="005F28E3" w:rsidRDefault="00D7687C" w:rsidP="005F28E3">
      <w:pPr>
        <w:pStyle w:val="JuHIRoman"/>
      </w:pPr>
      <w:r>
        <w:t>ZASTOSOWANIE ART. 41 KONWENCJI</w:t>
      </w:r>
    </w:p>
    <w:p w14:paraId="69CB42D9" w14:textId="324F22FA" w:rsidR="006377D2" w:rsidRPr="005F28E3" w:rsidRDefault="00650006" w:rsidP="005F28E3">
      <w:pPr>
        <w:pStyle w:val="JuPara"/>
      </w:pPr>
      <w:fldSimple w:instr=" SEQ level0 \*arabic \* MERGEFORMAT ">
        <w:r>
          <w:rPr>
            <w:noProof/>
          </w:rPr>
          <w:t>98</w:t>
        </w:r>
      </w:fldSimple>
      <w:r w:rsidR="00D7687C">
        <w:t>.</w:t>
      </w:r>
      <w:r>
        <w:t xml:space="preserve"> </w:t>
      </w:r>
      <w:r w:rsidR="00D7687C">
        <w:t>Art. 41 Konwencji stanowi:</w:t>
      </w:r>
    </w:p>
    <w:p w14:paraId="35D065C9" w14:textId="77777777" w:rsidR="006377D2" w:rsidRPr="005F28E3" w:rsidRDefault="00D7687C" w:rsidP="005F28E3">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6DD9987" w14:textId="3E15EC3D" w:rsidR="006377D2" w:rsidRPr="005F28E3" w:rsidRDefault="00650006" w:rsidP="005F28E3">
      <w:pPr>
        <w:pStyle w:val="JuPara"/>
      </w:pPr>
      <w:fldSimple w:instr=" SEQ level0 \*arabic \* MERGEFORMAT ">
        <w:r>
          <w:rPr>
            <w:noProof/>
          </w:rPr>
          <w:t>99</w:t>
        </w:r>
      </w:fldSimple>
      <w:r w:rsidR="00D7687C">
        <w:t>.</w:t>
      </w:r>
      <w:r>
        <w:t xml:space="preserve"> </w:t>
      </w:r>
      <w:r w:rsidR="00D7687C">
        <w:t>Skarżąca domagała się kwoty 981 836,92 euro (EUR) tytułem zadośćuczynienia za szkodę majątkową. Kwota ta została obliczona na podstawie kwoty wynagrodzenia uznanej w postępowaniu w sprawie dyskryminacji oraz (i) liczby dni, które upłynęły między jej zwolnieniem a datą wniesienia roszczenia o słuszne zadośćuczynienie (27 marca 2024 r.), w celu obliczenia wynikającej z tego szkody; oraz (ii) liczby dni między 28 marca 2024 r. a datą, w której hipotetycznie mogłaby przejść na emeryturę (30 grudnia 2036 r.), w celu obliczenia utraty zarobków.</w:t>
      </w:r>
    </w:p>
    <w:p w14:paraId="4E578AC9" w14:textId="77777777" w:rsidR="006377D2" w:rsidRPr="005F28E3" w:rsidRDefault="00D7687C" w:rsidP="005F28E3">
      <w:pPr>
        <w:pStyle w:val="JuPara"/>
      </w:pPr>
      <w:r>
        <w:t>Ponadto skarżąca zwróciła się do sądu o przyznanie jej godziwej i rozsądnej kwoty zadośćuczynienia za szkodę niemajątkową, biorąc pod uwagę okoliczności sprawy. W szczególności podniosła, że w wyniku niesłusznego zwolnienia doznała uszczerbku na zdrowiu psychicznym, a utrata pracy, biorąc pod uwagę, że była 54-letnią kobietą, postawiła ją w trudnej sytuacji.</w:t>
      </w:r>
    </w:p>
    <w:p w14:paraId="0F742A72" w14:textId="77777777" w:rsidR="006377D2" w:rsidRPr="005F28E3" w:rsidRDefault="00D7687C" w:rsidP="005F28E3">
      <w:pPr>
        <w:pStyle w:val="JuPara"/>
      </w:pPr>
      <w:r>
        <w:t>Skarżąca nie wystąpiła z roszczeniem o zwrot poniesionych kosztów.</w:t>
      </w:r>
    </w:p>
    <w:p w14:paraId="768D20B1" w14:textId="39D410CA" w:rsidR="006377D2" w:rsidRPr="005F28E3" w:rsidRDefault="00650006" w:rsidP="005F28E3">
      <w:pPr>
        <w:pStyle w:val="JuPara"/>
      </w:pPr>
      <w:fldSimple w:instr=" SEQ level0 \*arabic \* MERGEFORMAT ">
        <w:r>
          <w:rPr>
            <w:noProof/>
          </w:rPr>
          <w:t>100</w:t>
        </w:r>
      </w:fldSimple>
      <w:r w:rsidR="00D7687C">
        <w:t>.</w:t>
      </w:r>
      <w:r>
        <w:t xml:space="preserve"> </w:t>
      </w:r>
      <w:r w:rsidR="00D7687C">
        <w:t>Rząd argumentował, że zasądzenie odszkodowania pieniężnego powinno zostać obliczone z uwzględnieniem dwóch istotnych faktów, o których skarżąca nie poinformowała Trybunału, a mianowicie, że podjęła nową pracę od 15 lutego 2022 r. oraz że między datą zwolnienia z pracy a datą rozpoczęcia nowej pracy otrzymywała różne zasiłki dla bezrobotnych. Rząd twierdził ponadto, że wobec braku jakichkolwiek wskazówek co do kwoty żądanego zadośćuczynienia za szkodę niemajątkową, nie należy przyznawać zadośćuczynienia na tej podstawie.</w:t>
      </w:r>
    </w:p>
    <w:p w14:paraId="1F2C18DE" w14:textId="01764F59" w:rsidR="006377D2" w:rsidRPr="005F28E3" w:rsidRDefault="00650006" w:rsidP="005F28E3">
      <w:pPr>
        <w:pStyle w:val="JuPara"/>
      </w:pPr>
      <w:fldSimple w:instr=" SEQ level0 \*arabic \* MERGEFORMAT ">
        <w:r>
          <w:rPr>
            <w:noProof/>
          </w:rPr>
          <w:t>101</w:t>
        </w:r>
      </w:fldSimple>
      <w:r w:rsidR="00D7687C">
        <w:t>.</w:t>
      </w:r>
      <w:r>
        <w:t xml:space="preserve"> </w:t>
      </w:r>
      <w:r w:rsidR="00D7687C">
        <w:t xml:space="preserve">Trybunał uważa, że nie ma bezpośredniego związku przyczynowego między stwierdzonym naruszeniem a zarzucaną szkodą majątkową, a w każdym razie zauważa, że skarżąca nie przedłożyła żadnych odpowiednich dokumentów na poparcie swojego roszczenia w odniesieniu do szkody majątkowej. Z tego względu Trybunał odrzuca to roszczenie. Ponadto </w:t>
      </w:r>
      <w:r w:rsidR="00D7687C">
        <w:lastRenderedPageBreak/>
        <w:t>Trybunał zauważa, że prawo krajowe przewiduje możliwość ponownego rozpatrzenia spraw zakończonych prawomocnymi orzeczeniami, które w wyroku Trybunału zostały uznane za naruszające prawa wynikające z Konwencji, na podstawie art. 236 ustawy o postępowaniu w sprawach</w:t>
      </w:r>
      <w:r>
        <w:t xml:space="preserve"> </w:t>
      </w:r>
      <w:r w:rsidR="00D7687C">
        <w:t xml:space="preserve">z zakresu prawa pracy oraz art. 510 i 511 kodeksu postępowania cywilnego, pod warunkiem że naruszenie to, ze względu na swój charakter i wagę, ma trwałe skutki i nie można ich usunąć w żaden inny sposób niż w drodze kontroli sądowej (zob. </w:t>
      </w:r>
      <w:proofErr w:type="spellStart"/>
      <w:r w:rsidR="00D7687C" w:rsidRPr="00A83B6C">
        <w:rPr>
          <w:i/>
          <w:iCs/>
        </w:rPr>
        <w:t>Valverde</w:t>
      </w:r>
      <w:proofErr w:type="spellEnd"/>
      <w:r w:rsidR="00D7687C" w:rsidRPr="00A83B6C">
        <w:rPr>
          <w:i/>
          <w:iCs/>
        </w:rPr>
        <w:t xml:space="preserve"> </w:t>
      </w:r>
      <w:proofErr w:type="spellStart"/>
      <w:r w:rsidR="00D7687C" w:rsidRPr="00A83B6C">
        <w:rPr>
          <w:i/>
          <w:iCs/>
        </w:rPr>
        <w:t>Digon</w:t>
      </w:r>
      <w:proofErr w:type="spellEnd"/>
      <w:r w:rsidR="00D7687C" w:rsidRPr="00A83B6C">
        <w:rPr>
          <w:i/>
          <w:iCs/>
        </w:rPr>
        <w:t xml:space="preserve"> przeciwko Hiszpanii</w:t>
      </w:r>
      <w:r w:rsidR="00D7687C">
        <w:t>, nr 22386/19, § 86, 26 stycznia 2023 r.).</w:t>
      </w:r>
    </w:p>
    <w:p w14:paraId="79C2CC25" w14:textId="41FA0E2E" w:rsidR="006377D2" w:rsidRPr="005F28E3" w:rsidRDefault="00650006" w:rsidP="005F28E3">
      <w:pPr>
        <w:pStyle w:val="JuPara"/>
      </w:pPr>
      <w:fldSimple w:instr=" SEQ level0 \*arabic \* MERGEFORMAT ">
        <w:r>
          <w:rPr>
            <w:noProof/>
          </w:rPr>
          <w:t>102</w:t>
        </w:r>
      </w:fldSimple>
      <w:r w:rsidR="00D7687C">
        <w:t>.</w:t>
      </w:r>
      <w:r>
        <w:t xml:space="preserve"> </w:t>
      </w:r>
      <w:r w:rsidR="00D7687C">
        <w:t>W odniesieniu do szkody niemajątkowej, mając na uwadze charakter stwierdzonego naruszenia, Trybunał uznaje za właściwe zasądzenie na rzecz skarżącej kwoty 12 000 euro tytułem szkody niemajątkowej.</w:t>
      </w:r>
    </w:p>
    <w:p w14:paraId="411E9CEE" w14:textId="77777777" w:rsidR="006377D2" w:rsidRPr="005F28E3" w:rsidRDefault="00D7687C" w:rsidP="005F28E3">
      <w:pPr>
        <w:pStyle w:val="JuHHead"/>
        <w:numPr>
          <w:ilvl w:val="0"/>
          <w:numId w:val="1"/>
        </w:numPr>
        <w:ind w:left="360" w:hanging="360"/>
      </w:pPr>
      <w:r>
        <w:t>Z TYCH PRZYCZYN TRYBUNAŁ JEDNOGŁOŚNIE,</w:t>
      </w:r>
    </w:p>
    <w:p w14:paraId="4E77291B" w14:textId="77777777" w:rsidR="006377D2" w:rsidRPr="005F28E3" w:rsidRDefault="00D7687C" w:rsidP="005F28E3">
      <w:pPr>
        <w:pStyle w:val="JuList"/>
        <w:numPr>
          <w:ilvl w:val="0"/>
          <w:numId w:val="3"/>
        </w:numPr>
        <w:ind w:left="284" w:hanging="284"/>
      </w:pPr>
      <w:r>
        <w:rPr>
          <w:i/>
        </w:rPr>
        <w:t>uznaje</w:t>
      </w:r>
      <w:r>
        <w:t xml:space="preserve"> skargę za dopuszczalną;</w:t>
      </w:r>
    </w:p>
    <w:p w14:paraId="4C70D80F" w14:textId="77777777" w:rsidR="006377D2" w:rsidRPr="005F28E3" w:rsidRDefault="00D7687C" w:rsidP="005F28E3">
      <w:pPr>
        <w:pStyle w:val="JuList"/>
        <w:numPr>
          <w:ilvl w:val="0"/>
          <w:numId w:val="3"/>
        </w:numPr>
        <w:ind w:left="340" w:hanging="340"/>
      </w:pPr>
      <w:r>
        <w:rPr>
          <w:i/>
        </w:rPr>
        <w:t>orzeka</w:t>
      </w:r>
      <w:r>
        <w:t>, że doszło do naruszenia art. 14 Konwencji w związku z art. 8 Konwencji;</w:t>
      </w:r>
    </w:p>
    <w:p w14:paraId="201D9CD4" w14:textId="77777777" w:rsidR="006377D2" w:rsidRPr="005F28E3" w:rsidRDefault="00D7687C" w:rsidP="005F28E3">
      <w:pPr>
        <w:pStyle w:val="JuList"/>
        <w:keepNext/>
        <w:keepLines/>
        <w:numPr>
          <w:ilvl w:val="0"/>
          <w:numId w:val="3"/>
        </w:numPr>
        <w:ind w:left="340" w:hanging="340"/>
      </w:pPr>
      <w:r>
        <w:rPr>
          <w:i/>
        </w:rPr>
        <w:t>orzeka,</w:t>
      </w:r>
    </w:p>
    <w:p w14:paraId="2B1641A4" w14:textId="22F09333" w:rsidR="006377D2" w:rsidRPr="005F28E3" w:rsidRDefault="00D7687C" w:rsidP="005F28E3">
      <w:pPr>
        <w:pStyle w:val="JuLista"/>
      </w:pPr>
      <w:r>
        <w:t xml:space="preserve">że pozwane państwo winno, w terminie </w:t>
      </w:r>
      <w:r w:rsidR="00A83B6C">
        <w:t>trzech miesięcy</w:t>
      </w:r>
      <w:r>
        <w:t xml:space="preserve"> od daty, w której niniejszy wyrok stanie się ostateczny zgodnie z art. 44 ust. 2 Konwencji, uiścić na rzecz skarżącej kwotę 12 000 EUR (dwunastu tysięcy euro) plus wszelkie należne podatki, tytułem zadośćuczynienia za szkodę niemajątkową;</w:t>
      </w:r>
    </w:p>
    <w:p w14:paraId="0FE0F524" w14:textId="5EB45E0D" w:rsidR="006377D2" w:rsidRPr="005F28E3" w:rsidRDefault="00D7687C" w:rsidP="005F28E3">
      <w:pPr>
        <w:pStyle w:val="JuLista"/>
      </w:pPr>
      <w:r>
        <w:t xml:space="preserve">że od upływu wyżej wskazanego terminu trzech miesięcy do </w:t>
      </w:r>
      <w:r w:rsidR="00E73622">
        <w:t>daty płatności przysługiwać</w:t>
      </w:r>
      <w:r>
        <w:t xml:space="preserve"> będą odsetki zwykłe od określonej powyżej kwoty, naliczone według stopy równej marginalnej stopie procentowej Europejskiego Banku Centralnego obowiązującej w tym okresie, powiększonej o trzy punkty procentowe;</w:t>
      </w:r>
    </w:p>
    <w:p w14:paraId="44292146" w14:textId="77777777" w:rsidR="004D0EC7" w:rsidRPr="005F28E3" w:rsidRDefault="00D7687C" w:rsidP="005F28E3">
      <w:pPr>
        <w:pStyle w:val="JuList"/>
      </w:pPr>
      <w:r>
        <w:rPr>
          <w:i/>
        </w:rPr>
        <w:t xml:space="preserve">oddala </w:t>
      </w:r>
      <w:r>
        <w:t>pozostałą część roszczenia skarżącej dotyczącego słusznego zadośćuczynienia.</w:t>
      </w:r>
    </w:p>
    <w:p w14:paraId="78EE40EF" w14:textId="4889025F" w:rsidR="008E3A08" w:rsidRPr="005F28E3" w:rsidRDefault="00D7687C" w:rsidP="005F28E3">
      <w:pPr>
        <w:pStyle w:val="JuParaLast"/>
      </w:pPr>
      <w:r>
        <w:t xml:space="preserve">Sporządzono w języku angielskim i </w:t>
      </w:r>
      <w:r w:rsidR="00E73622">
        <w:t>notyfikowano na piśmie</w:t>
      </w:r>
      <w:r>
        <w:t xml:space="preserve"> w dniu 4 grudnia 2025, zgodnie z Regułą 77 § 2 i 3 Regulaminu Trybunału.</w:t>
      </w:r>
    </w:p>
    <w:p w14:paraId="673E0E1A" w14:textId="77777777" w:rsidR="007E79A4" w:rsidRPr="005F28E3" w:rsidRDefault="00D7687C" w:rsidP="005F28E3">
      <w:pPr>
        <w:pStyle w:val="JuSigned"/>
      </w:pPr>
      <w:r>
        <w:tab/>
        <w:t xml:space="preserve">Victor </w:t>
      </w:r>
      <w:proofErr w:type="spellStart"/>
      <w:r>
        <w:t>Soloveytchik</w:t>
      </w:r>
      <w:proofErr w:type="spellEnd"/>
      <w:r>
        <w:tab/>
      </w:r>
      <w:proofErr w:type="spellStart"/>
      <w:r>
        <w:t>Kateřina</w:t>
      </w:r>
      <w:proofErr w:type="spellEnd"/>
      <w:r>
        <w:t xml:space="preserve"> </w:t>
      </w:r>
      <w:proofErr w:type="spellStart"/>
      <w:r>
        <w:t>Šimáčková</w:t>
      </w:r>
      <w:proofErr w:type="spellEnd"/>
      <w:r>
        <w:br/>
      </w:r>
      <w:r>
        <w:tab/>
        <w:t>Kanclerz</w:t>
      </w:r>
      <w:r>
        <w:tab/>
        <w:t>Przewodnicząca</w:t>
      </w:r>
    </w:p>
    <w:sectPr w:rsidR="007E79A4" w:rsidRPr="005F28E3"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61E08" w14:textId="77777777" w:rsidR="00427C77" w:rsidRDefault="00427C77">
      <w:r>
        <w:separator/>
      </w:r>
    </w:p>
  </w:endnote>
  <w:endnote w:type="continuationSeparator" w:id="0">
    <w:p w14:paraId="4B11D982" w14:textId="77777777" w:rsidR="00427C77" w:rsidRDefault="0042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B4D6E" w14:textId="77777777" w:rsidR="006377D2" w:rsidRPr="00150BFA" w:rsidRDefault="00D7687C" w:rsidP="0020718E">
    <w:pPr>
      <w:jc w:val="center"/>
    </w:pPr>
    <w:r>
      <w:rPr>
        <w:noProof/>
      </w:rPr>
      <w:drawing>
        <wp:inline distT="0" distB="0" distL="0" distR="0" wp14:anchorId="0C82F0B8" wp14:editId="1659866F">
          <wp:extent cx="771525" cy="619125"/>
          <wp:effectExtent l="0" t="0" r="9525" b="9525"/>
          <wp:docPr id="2028965032" name="Picture 20289650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650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BF64969"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1BD3" w14:textId="77777777" w:rsidR="006377D2" w:rsidRPr="00150BFA" w:rsidRDefault="00D7687C" w:rsidP="0020718E">
    <w:pPr>
      <w:jc w:val="center"/>
    </w:pPr>
    <w:r>
      <w:rPr>
        <w:noProof/>
      </w:rPr>
      <w:drawing>
        <wp:inline distT="0" distB="0" distL="0" distR="0" wp14:anchorId="4D09F6CC" wp14:editId="124DC60E">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4033B93"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6AB79" w14:textId="77777777" w:rsidR="00182EBA" w:rsidRDefault="00D7687C" w:rsidP="009A115C">
    <w:pPr>
      <w:pStyle w:val="JuHeader"/>
    </w:pPr>
    <w:r>
      <w:fldChar w:fldCharType="begin"/>
    </w:r>
    <w:r>
      <w:instrText xml:space="preserve"> PAGE  \* MERGEFORMAT </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4085" w14:textId="77777777" w:rsidR="00182EBA" w:rsidRPr="000B7195" w:rsidRDefault="00D7687C"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55B03" w14:textId="77777777" w:rsidR="00427C77" w:rsidRDefault="00427C77">
      <w:r>
        <w:separator/>
      </w:r>
    </w:p>
  </w:footnote>
  <w:footnote w:type="continuationSeparator" w:id="0">
    <w:p w14:paraId="3A2FC409" w14:textId="77777777" w:rsidR="00427C77" w:rsidRDefault="00427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75C78" w14:textId="77777777" w:rsidR="006377D2" w:rsidRPr="00A45145" w:rsidRDefault="00D7687C" w:rsidP="00A45145">
    <w:pPr>
      <w:jc w:val="center"/>
    </w:pPr>
    <w:r>
      <w:rPr>
        <w:noProof/>
      </w:rPr>
      <w:drawing>
        <wp:inline distT="0" distB="0" distL="0" distR="0" wp14:anchorId="212FD983" wp14:editId="43B832D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0C33AFE"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AFCB4" w14:textId="77777777" w:rsidR="006377D2" w:rsidRPr="00A45145" w:rsidRDefault="00D7687C" w:rsidP="00A45145">
    <w:pPr>
      <w:jc w:val="center"/>
    </w:pPr>
    <w:r>
      <w:rPr>
        <w:noProof/>
      </w:rPr>
      <w:drawing>
        <wp:inline distT="0" distB="0" distL="0" distR="0" wp14:anchorId="0386FDA9" wp14:editId="6CBDEBBF">
          <wp:extent cx="2962275" cy="1219200"/>
          <wp:effectExtent l="0" t="0" r="9525" b="0"/>
          <wp:docPr id="1249375992" name="Picture 124937599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37599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10D5F02"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5F031" w14:textId="77777777" w:rsidR="00182EBA" w:rsidRPr="004D0EC7" w:rsidRDefault="00D7687C" w:rsidP="004D0EC7">
    <w:pPr>
      <w:pStyle w:val="JuHeader"/>
    </w:pPr>
    <w:r>
      <w:t xml:space="preserve">WYROK ORTEGA </w:t>
    </w:r>
    <w:proofErr w:type="spellStart"/>
    <w:r>
      <w:t>ORTEGA</w:t>
    </w:r>
    <w:proofErr w:type="spellEnd"/>
    <w:r>
      <w:t xml:space="preserve"> przeciwko HISZPANII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55AA2" w14:textId="77777777" w:rsidR="00182EBA" w:rsidRPr="00882CD5" w:rsidRDefault="00D7687C" w:rsidP="007D3701">
    <w:pPr>
      <w:pStyle w:val="JuHeader"/>
    </w:pPr>
    <w:r>
      <w:t xml:space="preserve">WYROK ORTEGA </w:t>
    </w:r>
    <w:proofErr w:type="spellStart"/>
    <w:r>
      <w:t>ORTEGA</w:t>
    </w:r>
    <w:proofErr w:type="spellEnd"/>
    <w:r>
      <w:t xml:space="preserve"> przeciwko HISZPANII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4BC4732D"/>
    <w:multiLevelType w:val="singleLevel"/>
    <w:tmpl w:val="040C000F"/>
    <w:lvl w:ilvl="0">
      <w:start w:val="1"/>
      <w:numFmt w:val="decimal"/>
      <w:lvlText w:val="%1."/>
      <w:lvlJc w:val="left"/>
      <w:pPr>
        <w:ind w:left="720" w:hanging="360"/>
      </w:p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BD83134"/>
    <w:multiLevelType w:val="hybridMultilevel"/>
    <w:tmpl w:val="FB5C9E52"/>
    <w:lvl w:ilvl="0" w:tplc="21F2BE06">
      <w:start w:val="1"/>
      <w:numFmt w:val="lowerLetter"/>
      <w:lvlText w:val="%1)"/>
      <w:lvlJc w:val="left"/>
      <w:pPr>
        <w:ind w:left="720" w:hanging="360"/>
      </w:pPr>
    </w:lvl>
    <w:lvl w:ilvl="1" w:tplc="90462F08">
      <w:start w:val="1"/>
      <w:numFmt w:val="lowerLetter"/>
      <w:lvlText w:val="%2)"/>
      <w:lvlJc w:val="left"/>
      <w:pPr>
        <w:ind w:left="1440" w:hanging="360"/>
      </w:pPr>
    </w:lvl>
    <w:lvl w:ilvl="2" w:tplc="C6820682" w:tentative="1">
      <w:start w:val="1"/>
      <w:numFmt w:val="lowerRoman"/>
      <w:lvlText w:val="%3."/>
      <w:lvlJc w:val="right"/>
      <w:pPr>
        <w:ind w:left="2160" w:hanging="180"/>
      </w:pPr>
    </w:lvl>
    <w:lvl w:ilvl="3" w:tplc="0B7875B6" w:tentative="1">
      <w:start w:val="1"/>
      <w:numFmt w:val="decimal"/>
      <w:lvlText w:val="%4."/>
      <w:lvlJc w:val="left"/>
      <w:pPr>
        <w:ind w:left="2880" w:hanging="360"/>
      </w:pPr>
    </w:lvl>
    <w:lvl w:ilvl="4" w:tplc="61D83130" w:tentative="1">
      <w:start w:val="1"/>
      <w:numFmt w:val="lowerLetter"/>
      <w:lvlText w:val="%5."/>
      <w:lvlJc w:val="left"/>
      <w:pPr>
        <w:ind w:left="3600" w:hanging="360"/>
      </w:pPr>
    </w:lvl>
    <w:lvl w:ilvl="5" w:tplc="7094819C" w:tentative="1">
      <w:start w:val="1"/>
      <w:numFmt w:val="lowerRoman"/>
      <w:lvlText w:val="%6."/>
      <w:lvlJc w:val="right"/>
      <w:pPr>
        <w:ind w:left="4320" w:hanging="180"/>
      </w:pPr>
    </w:lvl>
    <w:lvl w:ilvl="6" w:tplc="A358DF28" w:tentative="1">
      <w:start w:val="1"/>
      <w:numFmt w:val="decimal"/>
      <w:lvlText w:val="%7."/>
      <w:lvlJc w:val="left"/>
      <w:pPr>
        <w:ind w:left="5040" w:hanging="360"/>
      </w:pPr>
    </w:lvl>
    <w:lvl w:ilvl="7" w:tplc="8778760A" w:tentative="1">
      <w:start w:val="1"/>
      <w:numFmt w:val="lowerLetter"/>
      <w:lvlText w:val="%8."/>
      <w:lvlJc w:val="left"/>
      <w:pPr>
        <w:ind w:left="5760" w:hanging="360"/>
      </w:pPr>
    </w:lvl>
    <w:lvl w:ilvl="8" w:tplc="C3D4434A" w:tentative="1">
      <w:start w:val="1"/>
      <w:numFmt w:val="lowerRoman"/>
      <w:lvlText w:val="%9."/>
      <w:lvlJc w:val="right"/>
      <w:pPr>
        <w:ind w:left="6480" w:hanging="180"/>
      </w:pPr>
    </w:lvl>
  </w:abstractNum>
  <w:abstractNum w:abstractNumId="19" w15:restartNumberingAfterBreak="0">
    <w:nsid w:val="67FD1241"/>
    <w:multiLevelType w:val="hybridMultilevel"/>
    <w:tmpl w:val="F6D86CC2"/>
    <w:lvl w:ilvl="0" w:tplc="7CDA2F64">
      <w:start w:val="1"/>
      <w:numFmt w:val="bullet"/>
      <w:pStyle w:val="Listapunktowana"/>
      <w:lvlText w:val=""/>
      <w:lvlJc w:val="left"/>
      <w:pPr>
        <w:tabs>
          <w:tab w:val="num" w:pos="851"/>
        </w:tabs>
        <w:ind w:left="568" w:firstLine="0"/>
      </w:pPr>
      <w:rPr>
        <w:rFonts w:ascii="Wingdings" w:hAnsi="Wingdings" w:hint="default"/>
        <w:color w:val="808080"/>
        <w:sz w:val="16"/>
      </w:rPr>
    </w:lvl>
    <w:lvl w:ilvl="1" w:tplc="6D18D526" w:tentative="1">
      <w:start w:val="1"/>
      <w:numFmt w:val="bullet"/>
      <w:lvlText w:val="o"/>
      <w:lvlJc w:val="left"/>
      <w:pPr>
        <w:tabs>
          <w:tab w:val="num" w:pos="1724"/>
        </w:tabs>
        <w:ind w:left="1724" w:hanging="360"/>
      </w:pPr>
      <w:rPr>
        <w:rFonts w:ascii="Courier New" w:hAnsi="Courier New" w:cs="Courier New" w:hint="default"/>
      </w:rPr>
    </w:lvl>
    <w:lvl w:ilvl="2" w:tplc="978E89CA" w:tentative="1">
      <w:start w:val="1"/>
      <w:numFmt w:val="bullet"/>
      <w:lvlText w:val=""/>
      <w:lvlJc w:val="left"/>
      <w:pPr>
        <w:tabs>
          <w:tab w:val="num" w:pos="2444"/>
        </w:tabs>
        <w:ind w:left="2444" w:hanging="360"/>
      </w:pPr>
      <w:rPr>
        <w:rFonts w:ascii="Wingdings" w:hAnsi="Wingdings" w:hint="default"/>
      </w:rPr>
    </w:lvl>
    <w:lvl w:ilvl="3" w:tplc="ACE8E32E" w:tentative="1">
      <w:start w:val="1"/>
      <w:numFmt w:val="bullet"/>
      <w:lvlText w:val=""/>
      <w:lvlJc w:val="left"/>
      <w:pPr>
        <w:tabs>
          <w:tab w:val="num" w:pos="3164"/>
        </w:tabs>
        <w:ind w:left="3164" w:hanging="360"/>
      </w:pPr>
      <w:rPr>
        <w:rFonts w:ascii="Symbol" w:hAnsi="Symbol" w:hint="default"/>
      </w:rPr>
    </w:lvl>
    <w:lvl w:ilvl="4" w:tplc="E28A6E50" w:tentative="1">
      <w:start w:val="1"/>
      <w:numFmt w:val="bullet"/>
      <w:lvlText w:val="o"/>
      <w:lvlJc w:val="left"/>
      <w:pPr>
        <w:tabs>
          <w:tab w:val="num" w:pos="3884"/>
        </w:tabs>
        <w:ind w:left="3884" w:hanging="360"/>
      </w:pPr>
      <w:rPr>
        <w:rFonts w:ascii="Courier New" w:hAnsi="Courier New" w:cs="Courier New" w:hint="default"/>
      </w:rPr>
    </w:lvl>
    <w:lvl w:ilvl="5" w:tplc="933495F0" w:tentative="1">
      <w:start w:val="1"/>
      <w:numFmt w:val="bullet"/>
      <w:lvlText w:val=""/>
      <w:lvlJc w:val="left"/>
      <w:pPr>
        <w:tabs>
          <w:tab w:val="num" w:pos="4604"/>
        </w:tabs>
        <w:ind w:left="4604" w:hanging="360"/>
      </w:pPr>
      <w:rPr>
        <w:rFonts w:ascii="Wingdings" w:hAnsi="Wingdings" w:hint="default"/>
      </w:rPr>
    </w:lvl>
    <w:lvl w:ilvl="6" w:tplc="7FC29580" w:tentative="1">
      <w:start w:val="1"/>
      <w:numFmt w:val="bullet"/>
      <w:lvlText w:val=""/>
      <w:lvlJc w:val="left"/>
      <w:pPr>
        <w:tabs>
          <w:tab w:val="num" w:pos="5324"/>
        </w:tabs>
        <w:ind w:left="5324" w:hanging="360"/>
      </w:pPr>
      <w:rPr>
        <w:rFonts w:ascii="Symbol" w:hAnsi="Symbol" w:hint="default"/>
      </w:rPr>
    </w:lvl>
    <w:lvl w:ilvl="7" w:tplc="F254449E" w:tentative="1">
      <w:start w:val="1"/>
      <w:numFmt w:val="bullet"/>
      <w:lvlText w:val="o"/>
      <w:lvlJc w:val="left"/>
      <w:pPr>
        <w:tabs>
          <w:tab w:val="num" w:pos="6044"/>
        </w:tabs>
        <w:ind w:left="6044" w:hanging="360"/>
      </w:pPr>
      <w:rPr>
        <w:rFonts w:ascii="Courier New" w:hAnsi="Courier New" w:cs="Courier New" w:hint="default"/>
      </w:rPr>
    </w:lvl>
    <w:lvl w:ilvl="8" w:tplc="F6BE9F44"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125535964">
    <w:abstractNumId w:val="20"/>
  </w:num>
  <w:num w:numId="2" w16cid:durableId="11906024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795345">
    <w:abstractNumId w:val="16"/>
  </w:num>
  <w:num w:numId="4" w16cid:durableId="1949465902">
    <w:abstractNumId w:val="18"/>
  </w:num>
  <w:num w:numId="5" w16cid:durableId="13153364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2322167">
    <w:abstractNumId w:val="14"/>
  </w:num>
  <w:num w:numId="7" w16cid:durableId="1726945844">
    <w:abstractNumId w:val="12"/>
  </w:num>
  <w:num w:numId="8" w16cid:durableId="1350906589">
    <w:abstractNumId w:val="11"/>
  </w:num>
  <w:num w:numId="9" w16cid:durableId="1842819432">
    <w:abstractNumId w:val="19"/>
  </w:num>
  <w:num w:numId="10" w16cid:durableId="392243127">
    <w:abstractNumId w:val="7"/>
  </w:num>
  <w:num w:numId="11" w16cid:durableId="2127696876">
    <w:abstractNumId w:val="6"/>
  </w:num>
  <w:num w:numId="12" w16cid:durableId="221330805">
    <w:abstractNumId w:val="5"/>
  </w:num>
  <w:num w:numId="13" w16cid:durableId="828983065">
    <w:abstractNumId w:val="4"/>
  </w:num>
  <w:num w:numId="14" w16cid:durableId="1964849674">
    <w:abstractNumId w:val="8"/>
  </w:num>
  <w:num w:numId="15" w16cid:durableId="931667658">
    <w:abstractNumId w:val="3"/>
  </w:num>
  <w:num w:numId="16" w16cid:durableId="1116486972">
    <w:abstractNumId w:val="2"/>
  </w:num>
  <w:num w:numId="17" w16cid:durableId="561521487">
    <w:abstractNumId w:val="1"/>
  </w:num>
  <w:num w:numId="18" w16cid:durableId="2060662648">
    <w:abstractNumId w:val="0"/>
  </w:num>
  <w:num w:numId="19" w16cid:durableId="1453787292">
    <w:abstractNumId w:val="15"/>
  </w:num>
  <w:num w:numId="20" w16cid:durableId="608587903">
    <w:abstractNumId w:val="13"/>
  </w:num>
  <w:num w:numId="21" w16cid:durableId="946621418">
    <w:abstractNumId w:val="17"/>
  </w:num>
  <w:num w:numId="22" w16cid:durableId="501315552">
    <w:abstractNumId w:val="15"/>
  </w:num>
  <w:num w:numId="23" w16cid:durableId="626816234">
    <w:abstractNumId w:val="17"/>
  </w:num>
  <w:num w:numId="24" w16cid:durableId="1079595404">
    <w:abstractNumId w:val="10"/>
  </w:num>
  <w:num w:numId="25" w16cid:durableId="1514454">
    <w:abstractNumId w:val="9"/>
  </w:num>
  <w:num w:numId="26" w16cid:durableId="1192718820">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6377D2"/>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67C08"/>
    <w:rsid w:val="000712E3"/>
    <w:rsid w:val="00072B19"/>
    <w:rsid w:val="0007780A"/>
    <w:rsid w:val="00085457"/>
    <w:rsid w:val="000925AD"/>
    <w:rsid w:val="0009276A"/>
    <w:rsid w:val="00096FE1"/>
    <w:rsid w:val="00097A62"/>
    <w:rsid w:val="000A24EB"/>
    <w:rsid w:val="000B686A"/>
    <w:rsid w:val="000B6923"/>
    <w:rsid w:val="000B7195"/>
    <w:rsid w:val="000C5F3C"/>
    <w:rsid w:val="000C6DCC"/>
    <w:rsid w:val="000D4621"/>
    <w:rsid w:val="000D47AA"/>
    <w:rsid w:val="000D721F"/>
    <w:rsid w:val="000D736B"/>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4E45"/>
    <w:rsid w:val="00135A30"/>
    <w:rsid w:val="0013612C"/>
    <w:rsid w:val="00137FF6"/>
    <w:rsid w:val="00141650"/>
    <w:rsid w:val="00150BFA"/>
    <w:rsid w:val="001561B6"/>
    <w:rsid w:val="00162A12"/>
    <w:rsid w:val="00166530"/>
    <w:rsid w:val="00170027"/>
    <w:rsid w:val="001725C1"/>
    <w:rsid w:val="00182EBA"/>
    <w:rsid w:val="001832BD"/>
    <w:rsid w:val="00191EA8"/>
    <w:rsid w:val="001943B5"/>
    <w:rsid w:val="00195134"/>
    <w:rsid w:val="001A020C"/>
    <w:rsid w:val="001A145B"/>
    <w:rsid w:val="001A3E09"/>
    <w:rsid w:val="001A674C"/>
    <w:rsid w:val="001B3B24"/>
    <w:rsid w:val="001C055B"/>
    <w:rsid w:val="001C0F98"/>
    <w:rsid w:val="001C2A42"/>
    <w:rsid w:val="001C6380"/>
    <w:rsid w:val="001C70DB"/>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BA2"/>
    <w:rsid w:val="00205F9F"/>
    <w:rsid w:val="0020718E"/>
    <w:rsid w:val="00210338"/>
    <w:rsid w:val="002110F9"/>
    <w:rsid w:val="002115FC"/>
    <w:rsid w:val="0021423C"/>
    <w:rsid w:val="0021775E"/>
    <w:rsid w:val="00226C89"/>
    <w:rsid w:val="00230D00"/>
    <w:rsid w:val="00231DF7"/>
    <w:rsid w:val="00231FD1"/>
    <w:rsid w:val="002339E0"/>
    <w:rsid w:val="00233CF8"/>
    <w:rsid w:val="0023575D"/>
    <w:rsid w:val="00237148"/>
    <w:rsid w:val="0024222D"/>
    <w:rsid w:val="002422B6"/>
    <w:rsid w:val="0024248F"/>
    <w:rsid w:val="00244B0E"/>
    <w:rsid w:val="00244F6C"/>
    <w:rsid w:val="00246B89"/>
    <w:rsid w:val="00252C4E"/>
    <w:rsid w:val="00253216"/>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0642"/>
    <w:rsid w:val="002A613A"/>
    <w:rsid w:val="002A61B1"/>
    <w:rsid w:val="002A663C"/>
    <w:rsid w:val="002B169F"/>
    <w:rsid w:val="002B444B"/>
    <w:rsid w:val="002B4F7E"/>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1D02"/>
    <w:rsid w:val="00302F70"/>
    <w:rsid w:val="0030336F"/>
    <w:rsid w:val="0030375E"/>
    <w:rsid w:val="00312A30"/>
    <w:rsid w:val="003201D8"/>
    <w:rsid w:val="00320F72"/>
    <w:rsid w:val="0032463E"/>
    <w:rsid w:val="00326224"/>
    <w:rsid w:val="0033209F"/>
    <w:rsid w:val="00337EE4"/>
    <w:rsid w:val="00340FFD"/>
    <w:rsid w:val="00345C41"/>
    <w:rsid w:val="003506B1"/>
    <w:rsid w:val="00354CC5"/>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B5ECD"/>
    <w:rsid w:val="003C5714"/>
    <w:rsid w:val="003C6B9F"/>
    <w:rsid w:val="003C6E2A"/>
    <w:rsid w:val="003D0299"/>
    <w:rsid w:val="003E6D80"/>
    <w:rsid w:val="003E7BCC"/>
    <w:rsid w:val="003F05FA"/>
    <w:rsid w:val="003F244A"/>
    <w:rsid w:val="003F2517"/>
    <w:rsid w:val="003F30B8"/>
    <w:rsid w:val="003F338C"/>
    <w:rsid w:val="003F4C45"/>
    <w:rsid w:val="003F5F7B"/>
    <w:rsid w:val="003F7D64"/>
    <w:rsid w:val="0040433A"/>
    <w:rsid w:val="00414300"/>
    <w:rsid w:val="00414F27"/>
    <w:rsid w:val="0041524B"/>
    <w:rsid w:val="00420703"/>
    <w:rsid w:val="00425C67"/>
    <w:rsid w:val="00427C77"/>
    <w:rsid w:val="00427E7A"/>
    <w:rsid w:val="004355AC"/>
    <w:rsid w:val="00436C49"/>
    <w:rsid w:val="00443D98"/>
    <w:rsid w:val="00445366"/>
    <w:rsid w:val="00447F5B"/>
    <w:rsid w:val="00461DB0"/>
    <w:rsid w:val="00463926"/>
    <w:rsid w:val="00464AB7"/>
    <w:rsid w:val="00464C9A"/>
    <w:rsid w:val="00474F3D"/>
    <w:rsid w:val="00477E3A"/>
    <w:rsid w:val="00480B8E"/>
    <w:rsid w:val="00483E5F"/>
    <w:rsid w:val="00485FF9"/>
    <w:rsid w:val="0049049B"/>
    <w:rsid w:val="004907F0"/>
    <w:rsid w:val="0049140B"/>
    <w:rsid w:val="004923A5"/>
    <w:rsid w:val="0049310E"/>
    <w:rsid w:val="004950E2"/>
    <w:rsid w:val="00496BFB"/>
    <w:rsid w:val="004A15C7"/>
    <w:rsid w:val="004A24A3"/>
    <w:rsid w:val="004A3201"/>
    <w:rsid w:val="004A7044"/>
    <w:rsid w:val="004B013B"/>
    <w:rsid w:val="004B112B"/>
    <w:rsid w:val="004B444E"/>
    <w:rsid w:val="004B5180"/>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4A5D"/>
    <w:rsid w:val="004F61BE"/>
    <w:rsid w:val="004F66B1"/>
    <w:rsid w:val="00501124"/>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74D"/>
    <w:rsid w:val="00531DF2"/>
    <w:rsid w:val="0053315C"/>
    <w:rsid w:val="00537476"/>
    <w:rsid w:val="00542B80"/>
    <w:rsid w:val="005442EE"/>
    <w:rsid w:val="00545DA6"/>
    <w:rsid w:val="0054716E"/>
    <w:rsid w:val="00547353"/>
    <w:rsid w:val="005474E7"/>
    <w:rsid w:val="005512A3"/>
    <w:rsid w:val="005578CE"/>
    <w:rsid w:val="005609E4"/>
    <w:rsid w:val="005615FB"/>
    <w:rsid w:val="00562781"/>
    <w:rsid w:val="00562B6C"/>
    <w:rsid w:val="0057271C"/>
    <w:rsid w:val="00572845"/>
    <w:rsid w:val="00573C24"/>
    <w:rsid w:val="00574911"/>
    <w:rsid w:val="005879A2"/>
    <w:rsid w:val="00592772"/>
    <w:rsid w:val="0059574A"/>
    <w:rsid w:val="005A1B9B"/>
    <w:rsid w:val="005A2221"/>
    <w:rsid w:val="005A2E79"/>
    <w:rsid w:val="005A423E"/>
    <w:rsid w:val="005A6751"/>
    <w:rsid w:val="005B092E"/>
    <w:rsid w:val="005B152C"/>
    <w:rsid w:val="005B1754"/>
    <w:rsid w:val="005B1EE0"/>
    <w:rsid w:val="005B2B24"/>
    <w:rsid w:val="005B4425"/>
    <w:rsid w:val="005B4B94"/>
    <w:rsid w:val="005C2C62"/>
    <w:rsid w:val="005C3EE8"/>
    <w:rsid w:val="005D0C99"/>
    <w:rsid w:val="005D2F2A"/>
    <w:rsid w:val="005D34F9"/>
    <w:rsid w:val="005D4190"/>
    <w:rsid w:val="005D67A3"/>
    <w:rsid w:val="005E2988"/>
    <w:rsid w:val="005E3085"/>
    <w:rsid w:val="005F0EB3"/>
    <w:rsid w:val="005F28E3"/>
    <w:rsid w:val="005F51E1"/>
    <w:rsid w:val="00604115"/>
    <w:rsid w:val="00604F7E"/>
    <w:rsid w:val="00611C80"/>
    <w:rsid w:val="00620692"/>
    <w:rsid w:val="00623885"/>
    <w:rsid w:val="006242CA"/>
    <w:rsid w:val="00627507"/>
    <w:rsid w:val="00633717"/>
    <w:rsid w:val="006344E1"/>
    <w:rsid w:val="006377D2"/>
    <w:rsid w:val="00643524"/>
    <w:rsid w:val="0064393B"/>
    <w:rsid w:val="00645CF2"/>
    <w:rsid w:val="00650006"/>
    <w:rsid w:val="006501D4"/>
    <w:rsid w:val="00653BED"/>
    <w:rsid w:val="006545C4"/>
    <w:rsid w:val="006545D4"/>
    <w:rsid w:val="00661971"/>
    <w:rsid w:val="006619F0"/>
    <w:rsid w:val="00661CE8"/>
    <w:rsid w:val="006623D9"/>
    <w:rsid w:val="006642A5"/>
    <w:rsid w:val="0066550C"/>
    <w:rsid w:val="00665BD2"/>
    <w:rsid w:val="006716F2"/>
    <w:rsid w:val="00675AF2"/>
    <w:rsid w:val="00675D07"/>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50B9"/>
    <w:rsid w:val="006E68A3"/>
    <w:rsid w:val="006E7E80"/>
    <w:rsid w:val="006F1C2D"/>
    <w:rsid w:val="006F48CA"/>
    <w:rsid w:val="006F5E03"/>
    <w:rsid w:val="006F64DD"/>
    <w:rsid w:val="006F712D"/>
    <w:rsid w:val="0071460C"/>
    <w:rsid w:val="00715127"/>
    <w:rsid w:val="00715E8E"/>
    <w:rsid w:val="00723580"/>
    <w:rsid w:val="00723755"/>
    <w:rsid w:val="0073136C"/>
    <w:rsid w:val="00731F0F"/>
    <w:rsid w:val="00733250"/>
    <w:rsid w:val="00741404"/>
    <w:rsid w:val="007449E5"/>
    <w:rsid w:val="0074750E"/>
    <w:rsid w:val="00747FF0"/>
    <w:rsid w:val="00751066"/>
    <w:rsid w:val="0075566E"/>
    <w:rsid w:val="00762BD5"/>
    <w:rsid w:val="00763602"/>
    <w:rsid w:val="00764D4E"/>
    <w:rsid w:val="00765A1F"/>
    <w:rsid w:val="00775B6D"/>
    <w:rsid w:val="00776D68"/>
    <w:rsid w:val="00781140"/>
    <w:rsid w:val="0078323E"/>
    <w:rsid w:val="007849C2"/>
    <w:rsid w:val="007850EE"/>
    <w:rsid w:val="00785B95"/>
    <w:rsid w:val="00790E96"/>
    <w:rsid w:val="00791BF1"/>
    <w:rsid w:val="007926FD"/>
    <w:rsid w:val="00793366"/>
    <w:rsid w:val="0079666C"/>
    <w:rsid w:val="00796E04"/>
    <w:rsid w:val="00796F99"/>
    <w:rsid w:val="007A3D3C"/>
    <w:rsid w:val="007A716F"/>
    <w:rsid w:val="007B270A"/>
    <w:rsid w:val="007B4182"/>
    <w:rsid w:val="007B6F6A"/>
    <w:rsid w:val="007C0695"/>
    <w:rsid w:val="007C0B8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1006"/>
    <w:rsid w:val="00802063"/>
    <w:rsid w:val="00802C64"/>
    <w:rsid w:val="0080391D"/>
    <w:rsid w:val="00805E44"/>
    <w:rsid w:val="00805E52"/>
    <w:rsid w:val="008061D0"/>
    <w:rsid w:val="00810A2B"/>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0C7F"/>
    <w:rsid w:val="0086497A"/>
    <w:rsid w:val="0086538E"/>
    <w:rsid w:val="00867066"/>
    <w:rsid w:val="008713A1"/>
    <w:rsid w:val="00872584"/>
    <w:rsid w:val="008754AB"/>
    <w:rsid w:val="0088060C"/>
    <w:rsid w:val="00882CD5"/>
    <w:rsid w:val="00883151"/>
    <w:rsid w:val="008869A1"/>
    <w:rsid w:val="00891106"/>
    <w:rsid w:val="00893576"/>
    <w:rsid w:val="00893E73"/>
    <w:rsid w:val="008B02DC"/>
    <w:rsid w:val="008B092C"/>
    <w:rsid w:val="008B1716"/>
    <w:rsid w:val="008B57CE"/>
    <w:rsid w:val="008C26DE"/>
    <w:rsid w:val="008C49C4"/>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9D5"/>
    <w:rsid w:val="00947AFB"/>
    <w:rsid w:val="00951AA3"/>
    <w:rsid w:val="00951D7D"/>
    <w:rsid w:val="00956D0C"/>
    <w:rsid w:val="009630C7"/>
    <w:rsid w:val="00972B55"/>
    <w:rsid w:val="009743B7"/>
    <w:rsid w:val="00975003"/>
    <w:rsid w:val="0098228B"/>
    <w:rsid w:val="009828DA"/>
    <w:rsid w:val="0098410D"/>
    <w:rsid w:val="00985BAB"/>
    <w:rsid w:val="00986B3C"/>
    <w:rsid w:val="009A115C"/>
    <w:rsid w:val="009A42E5"/>
    <w:rsid w:val="009A7F16"/>
    <w:rsid w:val="009A7FC1"/>
    <w:rsid w:val="009B1606"/>
    <w:rsid w:val="009B1B5F"/>
    <w:rsid w:val="009B6673"/>
    <w:rsid w:val="009C191B"/>
    <w:rsid w:val="009C2BD6"/>
    <w:rsid w:val="009D57AA"/>
    <w:rsid w:val="009E1F32"/>
    <w:rsid w:val="009E2CC2"/>
    <w:rsid w:val="009E47A2"/>
    <w:rsid w:val="009E776C"/>
    <w:rsid w:val="009E7A6F"/>
    <w:rsid w:val="009F4C8F"/>
    <w:rsid w:val="00A024F3"/>
    <w:rsid w:val="00A02972"/>
    <w:rsid w:val="00A05588"/>
    <w:rsid w:val="00A1121B"/>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47297"/>
    <w:rsid w:val="00A51D0F"/>
    <w:rsid w:val="00A54192"/>
    <w:rsid w:val="00A57147"/>
    <w:rsid w:val="00A6035E"/>
    <w:rsid w:val="00A6144C"/>
    <w:rsid w:val="00A653DD"/>
    <w:rsid w:val="00A66617"/>
    <w:rsid w:val="00A671F8"/>
    <w:rsid w:val="00A673A4"/>
    <w:rsid w:val="00A704E4"/>
    <w:rsid w:val="00A7154D"/>
    <w:rsid w:val="00A724AE"/>
    <w:rsid w:val="00A73329"/>
    <w:rsid w:val="00A82359"/>
    <w:rsid w:val="00A83B6C"/>
    <w:rsid w:val="00A865D2"/>
    <w:rsid w:val="00A87C10"/>
    <w:rsid w:val="00A90AA1"/>
    <w:rsid w:val="00A90BCD"/>
    <w:rsid w:val="00A91416"/>
    <w:rsid w:val="00A92625"/>
    <w:rsid w:val="00A94C20"/>
    <w:rsid w:val="00A95D81"/>
    <w:rsid w:val="00AA1B09"/>
    <w:rsid w:val="00AA227F"/>
    <w:rsid w:val="00AA3BC7"/>
    <w:rsid w:val="00AA754A"/>
    <w:rsid w:val="00AB099E"/>
    <w:rsid w:val="00AB4328"/>
    <w:rsid w:val="00AB691C"/>
    <w:rsid w:val="00AC38DE"/>
    <w:rsid w:val="00AC4CD4"/>
    <w:rsid w:val="00AE0A2E"/>
    <w:rsid w:val="00AE354C"/>
    <w:rsid w:val="00AF12C5"/>
    <w:rsid w:val="00AF29DE"/>
    <w:rsid w:val="00AF4B07"/>
    <w:rsid w:val="00AF6186"/>
    <w:rsid w:val="00AF7A3A"/>
    <w:rsid w:val="00AF7FF1"/>
    <w:rsid w:val="00B02587"/>
    <w:rsid w:val="00B049D1"/>
    <w:rsid w:val="00B11F6D"/>
    <w:rsid w:val="00B14793"/>
    <w:rsid w:val="00B153A0"/>
    <w:rsid w:val="00B160DB"/>
    <w:rsid w:val="00B20836"/>
    <w:rsid w:val="00B221D2"/>
    <w:rsid w:val="00B235BB"/>
    <w:rsid w:val="00B24F2A"/>
    <w:rsid w:val="00B27A44"/>
    <w:rsid w:val="00B30BBF"/>
    <w:rsid w:val="00B30EF7"/>
    <w:rsid w:val="00B33C03"/>
    <w:rsid w:val="00B4421F"/>
    <w:rsid w:val="00B44E56"/>
    <w:rsid w:val="00B45917"/>
    <w:rsid w:val="00B46543"/>
    <w:rsid w:val="00B46DCD"/>
    <w:rsid w:val="00B47D33"/>
    <w:rsid w:val="00B52BE0"/>
    <w:rsid w:val="00B54133"/>
    <w:rsid w:val="00B55086"/>
    <w:rsid w:val="00B55A8D"/>
    <w:rsid w:val="00B701ED"/>
    <w:rsid w:val="00B74136"/>
    <w:rsid w:val="00B748F7"/>
    <w:rsid w:val="00B8086C"/>
    <w:rsid w:val="00B81C58"/>
    <w:rsid w:val="00B861B4"/>
    <w:rsid w:val="00B86DFE"/>
    <w:rsid w:val="00B90990"/>
    <w:rsid w:val="00B922FF"/>
    <w:rsid w:val="00B9281E"/>
    <w:rsid w:val="00B93925"/>
    <w:rsid w:val="00B95187"/>
    <w:rsid w:val="00B9637D"/>
    <w:rsid w:val="00BA2D55"/>
    <w:rsid w:val="00BA71B1"/>
    <w:rsid w:val="00BB0637"/>
    <w:rsid w:val="00BB345F"/>
    <w:rsid w:val="00BB68EA"/>
    <w:rsid w:val="00BC0B99"/>
    <w:rsid w:val="00BC1C27"/>
    <w:rsid w:val="00BC56A7"/>
    <w:rsid w:val="00BC6BBF"/>
    <w:rsid w:val="00BD1572"/>
    <w:rsid w:val="00BD3A68"/>
    <w:rsid w:val="00BE0FE0"/>
    <w:rsid w:val="00BE14E3"/>
    <w:rsid w:val="00BE26EB"/>
    <w:rsid w:val="00BE3774"/>
    <w:rsid w:val="00BE3E89"/>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703"/>
    <w:rsid w:val="00C509A6"/>
    <w:rsid w:val="00C53F4A"/>
    <w:rsid w:val="00C54125"/>
    <w:rsid w:val="00C55B54"/>
    <w:rsid w:val="00C6098E"/>
    <w:rsid w:val="00C6152C"/>
    <w:rsid w:val="00C71424"/>
    <w:rsid w:val="00C74810"/>
    <w:rsid w:val="00C90D68"/>
    <w:rsid w:val="00C921B9"/>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4B76"/>
    <w:rsid w:val="00CF2397"/>
    <w:rsid w:val="00CF5490"/>
    <w:rsid w:val="00D00ABB"/>
    <w:rsid w:val="00D01FD2"/>
    <w:rsid w:val="00D02EEC"/>
    <w:rsid w:val="00D033F2"/>
    <w:rsid w:val="00D03551"/>
    <w:rsid w:val="00D04315"/>
    <w:rsid w:val="00D06A63"/>
    <w:rsid w:val="00D07E0E"/>
    <w:rsid w:val="00D102D9"/>
    <w:rsid w:val="00D10CD6"/>
    <w:rsid w:val="00D11478"/>
    <w:rsid w:val="00D15ED0"/>
    <w:rsid w:val="00D164BF"/>
    <w:rsid w:val="00D21B3E"/>
    <w:rsid w:val="00D21FED"/>
    <w:rsid w:val="00D23048"/>
    <w:rsid w:val="00D24251"/>
    <w:rsid w:val="00D26E72"/>
    <w:rsid w:val="00D34265"/>
    <w:rsid w:val="00D343E2"/>
    <w:rsid w:val="00D361A2"/>
    <w:rsid w:val="00D37272"/>
    <w:rsid w:val="00D44C2E"/>
    <w:rsid w:val="00D45414"/>
    <w:rsid w:val="00D475F8"/>
    <w:rsid w:val="00D50A0A"/>
    <w:rsid w:val="00D53548"/>
    <w:rsid w:val="00D5576B"/>
    <w:rsid w:val="00D566BD"/>
    <w:rsid w:val="00D57A4D"/>
    <w:rsid w:val="00D60AA7"/>
    <w:rsid w:val="00D6435F"/>
    <w:rsid w:val="00D66471"/>
    <w:rsid w:val="00D669D4"/>
    <w:rsid w:val="00D70641"/>
    <w:rsid w:val="00D74888"/>
    <w:rsid w:val="00D7488B"/>
    <w:rsid w:val="00D75E28"/>
    <w:rsid w:val="00D7687C"/>
    <w:rsid w:val="00D772C2"/>
    <w:rsid w:val="00D8008E"/>
    <w:rsid w:val="00D82C45"/>
    <w:rsid w:val="00D908A8"/>
    <w:rsid w:val="00D977B6"/>
    <w:rsid w:val="00DA0EAB"/>
    <w:rsid w:val="00DA1223"/>
    <w:rsid w:val="00DA4A31"/>
    <w:rsid w:val="00DA5AEB"/>
    <w:rsid w:val="00DA7B04"/>
    <w:rsid w:val="00DB36C2"/>
    <w:rsid w:val="00DC00A8"/>
    <w:rsid w:val="00DC169B"/>
    <w:rsid w:val="00DC2AB9"/>
    <w:rsid w:val="00DC63F0"/>
    <w:rsid w:val="00DD37EA"/>
    <w:rsid w:val="00DD6EE5"/>
    <w:rsid w:val="00DE1CBB"/>
    <w:rsid w:val="00DE2929"/>
    <w:rsid w:val="00DE386C"/>
    <w:rsid w:val="00DE4D35"/>
    <w:rsid w:val="00DF098B"/>
    <w:rsid w:val="00DF11C4"/>
    <w:rsid w:val="00DF210C"/>
    <w:rsid w:val="00DF4B6A"/>
    <w:rsid w:val="00E004C0"/>
    <w:rsid w:val="00E02C09"/>
    <w:rsid w:val="00E04D59"/>
    <w:rsid w:val="00E07DA1"/>
    <w:rsid w:val="00E123CB"/>
    <w:rsid w:val="00E13B09"/>
    <w:rsid w:val="00E16D0D"/>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3622"/>
    <w:rsid w:val="00E744E0"/>
    <w:rsid w:val="00E76D47"/>
    <w:rsid w:val="00E775EA"/>
    <w:rsid w:val="00E827BC"/>
    <w:rsid w:val="00E838A6"/>
    <w:rsid w:val="00E849F7"/>
    <w:rsid w:val="00E90302"/>
    <w:rsid w:val="00E91D05"/>
    <w:rsid w:val="00E9262D"/>
    <w:rsid w:val="00E94245"/>
    <w:rsid w:val="00E95C1E"/>
    <w:rsid w:val="00E97396"/>
    <w:rsid w:val="00E97EDD"/>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7EAE"/>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5D34"/>
    <w:rsid w:val="00F266A2"/>
    <w:rsid w:val="00F271E5"/>
    <w:rsid w:val="00F302B7"/>
    <w:rsid w:val="00F32269"/>
    <w:rsid w:val="00F35B7A"/>
    <w:rsid w:val="00F56A6F"/>
    <w:rsid w:val="00F5709C"/>
    <w:rsid w:val="00F60B85"/>
    <w:rsid w:val="00F64EF1"/>
    <w:rsid w:val="00F72498"/>
    <w:rsid w:val="00F72B14"/>
    <w:rsid w:val="00F7349B"/>
    <w:rsid w:val="00F8346C"/>
    <w:rsid w:val="00F852DC"/>
    <w:rsid w:val="00F8765F"/>
    <w:rsid w:val="00F90767"/>
    <w:rsid w:val="00F9263C"/>
    <w:rsid w:val="00FA1637"/>
    <w:rsid w:val="00FA1F02"/>
    <w:rsid w:val="00FA685B"/>
    <w:rsid w:val="00FB0C01"/>
    <w:rsid w:val="00FB5934"/>
    <w:rsid w:val="00FC0769"/>
    <w:rsid w:val="00FC18F2"/>
    <w:rsid w:val="00FC2A17"/>
    <w:rsid w:val="00FC38CF"/>
    <w:rsid w:val="00FC39E5"/>
    <w:rsid w:val="00FC3A78"/>
    <w:rsid w:val="00FC3C71"/>
    <w:rsid w:val="00FD1005"/>
    <w:rsid w:val="00FD12D7"/>
    <w:rsid w:val="00FD1F7F"/>
    <w:rsid w:val="00FD6C75"/>
    <w:rsid w:val="00FD7972"/>
    <w:rsid w:val="00FE0401"/>
    <w:rsid w:val="00FE57DC"/>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00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8C49C4"/>
    <w:rPr>
      <w:sz w:val="24"/>
      <w:szCs w:val="24"/>
    </w:rPr>
  </w:style>
  <w:style w:type="paragraph" w:styleId="Nagwek1">
    <w:name w:val="heading 1"/>
    <w:basedOn w:val="Normalny"/>
    <w:next w:val="Normalny"/>
    <w:link w:val="Nagwek1Znak"/>
    <w:uiPriority w:val="98"/>
    <w:semiHidden/>
    <w:rsid w:val="0033209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3209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3209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3209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3209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3209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3209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3209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3209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3209F"/>
    <w:rPr>
      <w:rFonts w:ascii="Tahoma" w:hAnsi="Tahoma" w:cs="Tahoma"/>
      <w:sz w:val="16"/>
      <w:szCs w:val="16"/>
    </w:rPr>
  </w:style>
  <w:style w:type="character" w:customStyle="1" w:styleId="TekstdymkaZnak">
    <w:name w:val="Tekst dymka Znak"/>
    <w:basedOn w:val="Domylnaczcionkaakapitu"/>
    <w:link w:val="Tekstdymka"/>
    <w:uiPriority w:val="98"/>
    <w:semiHidden/>
    <w:rsid w:val="0033209F"/>
    <w:rPr>
      <w:rFonts w:ascii="Tahoma" w:hAnsi="Tahoma" w:cs="Tahoma"/>
      <w:sz w:val="16"/>
      <w:szCs w:val="16"/>
      <w:lang w:val="pl-PL"/>
    </w:rPr>
  </w:style>
  <w:style w:type="character" w:styleId="Tytuksiki">
    <w:name w:val="Book Title"/>
    <w:uiPriority w:val="98"/>
    <w:semiHidden/>
    <w:qFormat/>
    <w:rsid w:val="0033209F"/>
    <w:rPr>
      <w:i/>
      <w:iCs/>
      <w:smallCaps/>
      <w:spacing w:val="5"/>
    </w:rPr>
  </w:style>
  <w:style w:type="paragraph" w:customStyle="1" w:styleId="JuHeader">
    <w:name w:val="Ju_Header"/>
    <w:aliases w:val="_Header"/>
    <w:basedOn w:val="Nagwek"/>
    <w:uiPriority w:val="29"/>
    <w:qFormat/>
    <w:rsid w:val="0033209F"/>
    <w:pPr>
      <w:tabs>
        <w:tab w:val="clear" w:pos="4536"/>
        <w:tab w:val="clear" w:pos="9072"/>
      </w:tabs>
      <w:jc w:val="center"/>
    </w:pPr>
    <w:rPr>
      <w:sz w:val="18"/>
    </w:rPr>
  </w:style>
  <w:style w:type="paragraph" w:customStyle="1" w:styleId="NormalJustified">
    <w:name w:val="Normal_Justified"/>
    <w:basedOn w:val="Normalny"/>
    <w:semiHidden/>
    <w:rsid w:val="0033209F"/>
    <w:pPr>
      <w:jc w:val="both"/>
    </w:pPr>
  </w:style>
  <w:style w:type="character" w:styleId="Pogrubienie">
    <w:name w:val="Strong"/>
    <w:uiPriority w:val="98"/>
    <w:semiHidden/>
    <w:qFormat/>
    <w:rsid w:val="0033209F"/>
    <w:rPr>
      <w:b/>
      <w:bCs/>
    </w:rPr>
  </w:style>
  <w:style w:type="paragraph" w:styleId="Bezodstpw">
    <w:name w:val="No Spacing"/>
    <w:basedOn w:val="Normalny"/>
    <w:link w:val="BezodstpwZnak"/>
    <w:uiPriority w:val="98"/>
    <w:semiHidden/>
    <w:qFormat/>
    <w:rsid w:val="0033209F"/>
  </w:style>
  <w:style w:type="character" w:customStyle="1" w:styleId="BezodstpwZnak">
    <w:name w:val="Bez odstępów Znak"/>
    <w:basedOn w:val="Domylnaczcionkaakapitu"/>
    <w:link w:val="Bezodstpw"/>
    <w:uiPriority w:val="98"/>
    <w:semiHidden/>
    <w:rsid w:val="0033209F"/>
    <w:rPr>
      <w:sz w:val="24"/>
      <w:szCs w:val="24"/>
      <w:lang w:val="pl-PL"/>
    </w:rPr>
  </w:style>
  <w:style w:type="paragraph" w:customStyle="1" w:styleId="JuQuot">
    <w:name w:val="Ju_Quot"/>
    <w:aliases w:val="_Quote"/>
    <w:basedOn w:val="NormalJustified"/>
    <w:uiPriority w:val="20"/>
    <w:qFormat/>
    <w:rsid w:val="0033209F"/>
    <w:pPr>
      <w:spacing w:before="120" w:after="120"/>
      <w:ind w:left="425" w:firstLine="142"/>
    </w:pPr>
    <w:rPr>
      <w:sz w:val="20"/>
    </w:rPr>
  </w:style>
  <w:style w:type="paragraph" w:customStyle="1" w:styleId="DummyStyle">
    <w:name w:val="Dummy_Style"/>
    <w:aliases w:val="_Dummy"/>
    <w:basedOn w:val="Normalny"/>
    <w:semiHidden/>
    <w:qFormat/>
    <w:rsid w:val="0033209F"/>
    <w:rPr>
      <w:color w:val="00B050"/>
      <w:sz w:val="22"/>
    </w:rPr>
  </w:style>
  <w:style w:type="paragraph" w:customStyle="1" w:styleId="JuList">
    <w:name w:val="Ju_List"/>
    <w:aliases w:val="_List_1"/>
    <w:basedOn w:val="NormalJustified"/>
    <w:uiPriority w:val="23"/>
    <w:qFormat/>
    <w:rsid w:val="0033209F"/>
    <w:pPr>
      <w:numPr>
        <w:numId w:val="25"/>
      </w:numPr>
      <w:spacing w:before="280" w:after="60"/>
    </w:pPr>
  </w:style>
  <w:style w:type="paragraph" w:customStyle="1" w:styleId="JuLista">
    <w:name w:val="Ju_List_a"/>
    <w:aliases w:val="_List_2"/>
    <w:basedOn w:val="NormalJustified"/>
    <w:uiPriority w:val="23"/>
    <w:rsid w:val="0033209F"/>
    <w:pPr>
      <w:numPr>
        <w:ilvl w:val="1"/>
        <w:numId w:val="25"/>
      </w:numPr>
    </w:pPr>
  </w:style>
  <w:style w:type="paragraph" w:customStyle="1" w:styleId="JuListi">
    <w:name w:val="Ju_List_i"/>
    <w:aliases w:val="_List_3"/>
    <w:basedOn w:val="NormalJustified"/>
    <w:uiPriority w:val="23"/>
    <w:rsid w:val="0033209F"/>
    <w:pPr>
      <w:numPr>
        <w:ilvl w:val="2"/>
        <w:numId w:val="25"/>
      </w:numPr>
    </w:pPr>
  </w:style>
  <w:style w:type="paragraph" w:customStyle="1" w:styleId="JuHArticle">
    <w:name w:val="Ju_H_Article"/>
    <w:aliases w:val="_Title_Quote"/>
    <w:basedOn w:val="Normalny"/>
    <w:next w:val="JuQuot"/>
    <w:uiPriority w:val="19"/>
    <w:qFormat/>
    <w:rsid w:val="0033209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3209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3209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3209F"/>
    <w:pPr>
      <w:keepNext/>
      <w:keepLines/>
      <w:numPr>
        <w:numId w:val="2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3209F"/>
    <w:pPr>
      <w:numPr>
        <w:numId w:val="19"/>
      </w:numPr>
    </w:pPr>
  </w:style>
  <w:style w:type="paragraph" w:customStyle="1" w:styleId="JuSigned">
    <w:name w:val="Ju_Signed"/>
    <w:aliases w:val="_Signature"/>
    <w:basedOn w:val="Normalny"/>
    <w:next w:val="JuPara"/>
    <w:uiPriority w:val="31"/>
    <w:qFormat/>
    <w:rsid w:val="0033209F"/>
    <w:pPr>
      <w:tabs>
        <w:tab w:val="center" w:pos="1418"/>
        <w:tab w:val="center" w:pos="5954"/>
      </w:tabs>
      <w:spacing w:before="720"/>
    </w:pPr>
  </w:style>
  <w:style w:type="paragraph" w:styleId="Tytu">
    <w:name w:val="Title"/>
    <w:basedOn w:val="Normalny"/>
    <w:next w:val="Normalny"/>
    <w:link w:val="TytuZnak"/>
    <w:uiPriority w:val="98"/>
    <w:semiHidden/>
    <w:qFormat/>
    <w:rsid w:val="0033209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3209F"/>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33209F"/>
    <w:pPr>
      <w:numPr>
        <w:numId w:val="20"/>
      </w:numPr>
    </w:pPr>
  </w:style>
  <w:style w:type="numbering" w:customStyle="1" w:styleId="ECHRA1StyleNumberedList">
    <w:name w:val="ECHR_A1_Style_Numbered_List"/>
    <w:basedOn w:val="Bezlisty"/>
    <w:rsid w:val="0033209F"/>
    <w:pPr>
      <w:numPr>
        <w:numId w:val="21"/>
      </w:numPr>
    </w:pPr>
  </w:style>
  <w:style w:type="table" w:customStyle="1" w:styleId="ECHRTable2019">
    <w:name w:val="ECHR_Table_2019"/>
    <w:basedOn w:val="Standardowy"/>
    <w:uiPriority w:val="99"/>
    <w:rsid w:val="0033209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3209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3209F"/>
    <w:pPr>
      <w:keepNext/>
      <w:keepLines/>
      <w:numPr>
        <w:ilvl w:val="1"/>
        <w:numId w:val="2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3209F"/>
    <w:pPr>
      <w:keepNext/>
      <w:keepLines/>
      <w:numPr>
        <w:ilvl w:val="2"/>
        <w:numId w:val="2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3209F"/>
    <w:pPr>
      <w:keepNext/>
      <w:keepLines/>
      <w:numPr>
        <w:ilvl w:val="3"/>
        <w:numId w:val="24"/>
      </w:numPr>
      <w:spacing w:before="100" w:beforeAutospacing="1" w:after="120"/>
      <w:jc w:val="both"/>
    </w:pPr>
    <w:rPr>
      <w:b w:val="0"/>
      <w:color w:val="auto"/>
      <w:sz w:val="24"/>
    </w:rPr>
  </w:style>
  <w:style w:type="paragraph" w:styleId="Nagwek">
    <w:name w:val="header"/>
    <w:basedOn w:val="Normalny"/>
    <w:link w:val="NagwekZnak"/>
    <w:uiPriority w:val="98"/>
    <w:semiHidden/>
    <w:rsid w:val="0033209F"/>
    <w:pPr>
      <w:tabs>
        <w:tab w:val="center" w:pos="4536"/>
        <w:tab w:val="right" w:pos="9072"/>
      </w:tabs>
    </w:pPr>
  </w:style>
  <w:style w:type="character" w:customStyle="1" w:styleId="NagwekZnak">
    <w:name w:val="Nagłówek Znak"/>
    <w:basedOn w:val="Domylnaczcionkaakapitu"/>
    <w:link w:val="Nagwek"/>
    <w:uiPriority w:val="98"/>
    <w:semiHidden/>
    <w:rsid w:val="0033209F"/>
    <w:rPr>
      <w:sz w:val="24"/>
      <w:szCs w:val="24"/>
      <w:lang w:val="pl-PL"/>
    </w:rPr>
  </w:style>
  <w:style w:type="character" w:customStyle="1" w:styleId="Nagwek1Znak">
    <w:name w:val="Nagłówek 1 Znak"/>
    <w:basedOn w:val="Domylnaczcionkaakapitu"/>
    <w:link w:val="Nagwek1"/>
    <w:uiPriority w:val="98"/>
    <w:semiHidden/>
    <w:rsid w:val="0033209F"/>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3209F"/>
    <w:pPr>
      <w:keepNext/>
      <w:keepLines/>
      <w:numPr>
        <w:ilvl w:val="4"/>
        <w:numId w:val="24"/>
      </w:numPr>
      <w:spacing w:before="100" w:beforeAutospacing="1" w:after="120"/>
      <w:jc w:val="both"/>
    </w:pPr>
    <w:rPr>
      <w:color w:val="auto"/>
      <w:sz w:val="20"/>
    </w:rPr>
  </w:style>
  <w:style w:type="paragraph" w:customStyle="1" w:styleId="JuHi">
    <w:name w:val="Ju_H_i"/>
    <w:aliases w:val="_Head_6"/>
    <w:basedOn w:val="Nagwek6"/>
    <w:next w:val="JuPara"/>
    <w:uiPriority w:val="17"/>
    <w:rsid w:val="0033209F"/>
    <w:pPr>
      <w:keepNext/>
      <w:keepLines/>
      <w:numPr>
        <w:ilvl w:val="5"/>
        <w:numId w:val="2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3209F"/>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3209F"/>
    <w:pPr>
      <w:keepNext/>
      <w:keepLines/>
      <w:numPr>
        <w:ilvl w:val="6"/>
        <w:numId w:val="2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3209F"/>
    <w:pPr>
      <w:keepNext/>
      <w:keepLines/>
      <w:numPr>
        <w:ilvl w:val="7"/>
        <w:numId w:val="24"/>
      </w:numPr>
      <w:spacing w:before="100" w:beforeAutospacing="1" w:after="120"/>
      <w:jc w:val="both"/>
    </w:pPr>
    <w:rPr>
      <w:i/>
    </w:rPr>
  </w:style>
  <w:style w:type="character" w:customStyle="1" w:styleId="Nagwek3Znak">
    <w:name w:val="Nagłówek 3 Znak"/>
    <w:basedOn w:val="Domylnaczcionkaakapitu"/>
    <w:link w:val="Nagwek3"/>
    <w:uiPriority w:val="98"/>
    <w:semiHidden/>
    <w:rsid w:val="0033209F"/>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3209F"/>
    <w:pPr>
      <w:keepNext/>
      <w:keepLines/>
      <w:spacing w:before="240" w:after="240"/>
      <w:ind w:firstLine="284"/>
    </w:pPr>
  </w:style>
  <w:style w:type="paragraph" w:customStyle="1" w:styleId="JuJudges">
    <w:name w:val="Ju_Judges"/>
    <w:aliases w:val="_Judges"/>
    <w:basedOn w:val="Normalny"/>
    <w:uiPriority w:val="32"/>
    <w:qFormat/>
    <w:rsid w:val="0033209F"/>
    <w:pPr>
      <w:tabs>
        <w:tab w:val="left" w:pos="567"/>
        <w:tab w:val="left" w:pos="1134"/>
      </w:tabs>
    </w:pPr>
  </w:style>
  <w:style w:type="character" w:customStyle="1" w:styleId="Nagwek4Znak">
    <w:name w:val="Nagłówek 4 Znak"/>
    <w:basedOn w:val="Domylnaczcionkaakapitu"/>
    <w:link w:val="Nagwek4"/>
    <w:uiPriority w:val="98"/>
    <w:semiHidden/>
    <w:rsid w:val="0033209F"/>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33209F"/>
    <w:pPr>
      <w:tabs>
        <w:tab w:val="center" w:pos="6407"/>
      </w:tabs>
      <w:spacing w:before="720"/>
      <w:jc w:val="right"/>
    </w:pPr>
  </w:style>
  <w:style w:type="character" w:customStyle="1" w:styleId="Nagwek5Znak">
    <w:name w:val="Nagłówek 5 Znak"/>
    <w:basedOn w:val="Domylnaczcionkaakapitu"/>
    <w:link w:val="Nagwek5"/>
    <w:uiPriority w:val="98"/>
    <w:semiHidden/>
    <w:rsid w:val="0033209F"/>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33209F"/>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3209F"/>
    <w:rPr>
      <w:caps w:val="0"/>
      <w:smallCaps/>
    </w:rPr>
  </w:style>
  <w:style w:type="character" w:styleId="Wyrnieniedelikatne">
    <w:name w:val="Subtle Emphasis"/>
    <w:uiPriority w:val="98"/>
    <w:semiHidden/>
    <w:qFormat/>
    <w:rsid w:val="0033209F"/>
    <w:rPr>
      <w:i/>
      <w:iCs/>
    </w:rPr>
  </w:style>
  <w:style w:type="table" w:customStyle="1" w:styleId="ECHRTable">
    <w:name w:val="ECHR_Table"/>
    <w:basedOn w:val="Standardowy"/>
    <w:rsid w:val="0033209F"/>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3209F"/>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33209F"/>
    <w:rPr>
      <w:b/>
      <w:bCs/>
      <w:i/>
      <w:iCs/>
      <w:spacing w:val="10"/>
      <w:bdr w:val="none" w:sz="0" w:space="0" w:color="auto"/>
      <w:shd w:val="clear" w:color="auto" w:fill="auto"/>
    </w:rPr>
  </w:style>
  <w:style w:type="paragraph" w:styleId="Stopka">
    <w:name w:val="footer"/>
    <w:basedOn w:val="Normalny"/>
    <w:link w:val="StopkaZnak"/>
    <w:uiPriority w:val="98"/>
    <w:semiHidden/>
    <w:rsid w:val="0033209F"/>
    <w:pPr>
      <w:tabs>
        <w:tab w:val="center" w:pos="3686"/>
        <w:tab w:val="right" w:pos="7371"/>
      </w:tabs>
    </w:pPr>
  </w:style>
  <w:style w:type="character" w:customStyle="1" w:styleId="StopkaZnak">
    <w:name w:val="Stopka Znak"/>
    <w:basedOn w:val="Domylnaczcionkaakapitu"/>
    <w:link w:val="Stopka"/>
    <w:uiPriority w:val="98"/>
    <w:semiHidden/>
    <w:rsid w:val="0033209F"/>
    <w:rPr>
      <w:sz w:val="24"/>
      <w:szCs w:val="24"/>
      <w:lang w:val="pl-PL"/>
    </w:rPr>
  </w:style>
  <w:style w:type="character" w:styleId="Odwoanieprzypisudolnego">
    <w:name w:val="footnote reference"/>
    <w:basedOn w:val="Domylnaczcionkaakapitu"/>
    <w:uiPriority w:val="98"/>
    <w:semiHidden/>
    <w:rsid w:val="0033209F"/>
    <w:rPr>
      <w:vertAlign w:val="superscript"/>
    </w:rPr>
  </w:style>
  <w:style w:type="paragraph" w:styleId="Tekstprzypisudolnego">
    <w:name w:val="footnote text"/>
    <w:basedOn w:val="NormalJustified"/>
    <w:link w:val="TekstprzypisudolnegoZnak"/>
    <w:uiPriority w:val="98"/>
    <w:semiHidden/>
    <w:rsid w:val="0033209F"/>
    <w:rPr>
      <w:sz w:val="20"/>
      <w:szCs w:val="20"/>
    </w:rPr>
  </w:style>
  <w:style w:type="character" w:customStyle="1" w:styleId="TekstprzypisudolnegoZnak">
    <w:name w:val="Tekst przypisu dolnego Znak"/>
    <w:basedOn w:val="Domylnaczcionkaakapitu"/>
    <w:link w:val="Tekstprzypisudolnego"/>
    <w:uiPriority w:val="98"/>
    <w:semiHidden/>
    <w:rsid w:val="0033209F"/>
    <w:rPr>
      <w:sz w:val="20"/>
      <w:szCs w:val="20"/>
      <w:lang w:val="pl-PL"/>
    </w:rPr>
  </w:style>
  <w:style w:type="character" w:customStyle="1" w:styleId="Nagwek6Znak">
    <w:name w:val="Nagłówek 6 Znak"/>
    <w:basedOn w:val="Domylnaczcionkaakapitu"/>
    <w:link w:val="Nagwek6"/>
    <w:uiPriority w:val="98"/>
    <w:semiHidden/>
    <w:rsid w:val="0033209F"/>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3209F"/>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3209F"/>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3209F"/>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3209F"/>
    <w:rPr>
      <w:color w:val="0072BC" w:themeColor="hyperlink"/>
      <w:u w:val="single"/>
    </w:rPr>
  </w:style>
  <w:style w:type="character" w:styleId="Wyrnienieintensywne">
    <w:name w:val="Intense Emphasis"/>
    <w:uiPriority w:val="98"/>
    <w:semiHidden/>
    <w:qFormat/>
    <w:rsid w:val="0033209F"/>
    <w:rPr>
      <w:b/>
      <w:bCs/>
    </w:rPr>
  </w:style>
  <w:style w:type="paragraph" w:styleId="Cytatintensywny">
    <w:name w:val="Intense Quote"/>
    <w:basedOn w:val="Normalny"/>
    <w:next w:val="Normalny"/>
    <w:link w:val="CytatintensywnyZnak"/>
    <w:uiPriority w:val="98"/>
    <w:semiHidden/>
    <w:qFormat/>
    <w:rsid w:val="0033209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3209F"/>
    <w:rPr>
      <w:b/>
      <w:bCs/>
      <w:i/>
      <w:iCs/>
      <w:sz w:val="24"/>
      <w:szCs w:val="24"/>
      <w:lang w:val="pl-PL" w:bidi="en-US"/>
    </w:rPr>
  </w:style>
  <w:style w:type="character" w:styleId="Odwoanieintensywne">
    <w:name w:val="Intense Reference"/>
    <w:uiPriority w:val="98"/>
    <w:semiHidden/>
    <w:qFormat/>
    <w:rsid w:val="0033209F"/>
    <w:rPr>
      <w:smallCaps/>
      <w:spacing w:val="5"/>
      <w:u w:val="single"/>
    </w:rPr>
  </w:style>
  <w:style w:type="paragraph" w:styleId="Akapitzlist">
    <w:name w:val="List Paragraph"/>
    <w:basedOn w:val="Normalny"/>
    <w:uiPriority w:val="98"/>
    <w:semiHidden/>
    <w:qFormat/>
    <w:rsid w:val="0033209F"/>
    <w:pPr>
      <w:ind w:left="720"/>
      <w:contextualSpacing/>
    </w:pPr>
  </w:style>
  <w:style w:type="table" w:customStyle="1" w:styleId="LtrTableAddress">
    <w:name w:val="Ltr_Table_Address"/>
    <w:aliases w:val="ECHR_Ltr_Table_Address"/>
    <w:basedOn w:val="Standardowy"/>
    <w:uiPriority w:val="99"/>
    <w:rsid w:val="0033209F"/>
    <w:rPr>
      <w:sz w:val="24"/>
      <w:szCs w:val="24"/>
    </w:rPr>
    <w:tblPr>
      <w:tblInd w:w="5103" w:type="dxa"/>
    </w:tblPr>
  </w:style>
  <w:style w:type="paragraph" w:styleId="Cytat">
    <w:name w:val="Quote"/>
    <w:basedOn w:val="Normalny"/>
    <w:next w:val="Normalny"/>
    <w:link w:val="CytatZnak"/>
    <w:uiPriority w:val="98"/>
    <w:semiHidden/>
    <w:qFormat/>
    <w:rsid w:val="0033209F"/>
    <w:pPr>
      <w:spacing w:before="200"/>
      <w:ind w:left="360" w:right="360"/>
    </w:pPr>
    <w:rPr>
      <w:i/>
      <w:iCs/>
      <w:lang w:bidi="en-US"/>
    </w:rPr>
  </w:style>
  <w:style w:type="character" w:customStyle="1" w:styleId="CytatZnak">
    <w:name w:val="Cytat Znak"/>
    <w:basedOn w:val="Domylnaczcionkaakapitu"/>
    <w:link w:val="Cytat"/>
    <w:uiPriority w:val="98"/>
    <w:semiHidden/>
    <w:rsid w:val="0033209F"/>
    <w:rPr>
      <w:i/>
      <w:iCs/>
      <w:sz w:val="24"/>
      <w:szCs w:val="24"/>
      <w:lang w:val="pl-PL" w:bidi="en-US"/>
    </w:rPr>
  </w:style>
  <w:style w:type="character" w:styleId="Odwoaniedelikatne">
    <w:name w:val="Subtle Reference"/>
    <w:uiPriority w:val="98"/>
    <w:semiHidden/>
    <w:qFormat/>
    <w:rsid w:val="0033209F"/>
    <w:rPr>
      <w:smallCaps/>
    </w:rPr>
  </w:style>
  <w:style w:type="table" w:styleId="Tabela-Siatka">
    <w:name w:val="Table Grid"/>
    <w:basedOn w:val="Standardowy"/>
    <w:uiPriority w:val="59"/>
    <w:semiHidden/>
    <w:rsid w:val="0033209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3209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3209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3209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3209F"/>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3209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3209F"/>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33209F"/>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3209F"/>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3209F"/>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3209F"/>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33209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3209F"/>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3209F"/>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33209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3209F"/>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3209F"/>
    <w:pPr>
      <w:numPr>
        <w:numId w:val="6"/>
      </w:numPr>
    </w:pPr>
  </w:style>
  <w:style w:type="paragraph" w:customStyle="1" w:styleId="JuPara">
    <w:name w:val="Ju_Para"/>
    <w:aliases w:val="_Para"/>
    <w:basedOn w:val="NormalJustified"/>
    <w:link w:val="JuParaChar"/>
    <w:uiPriority w:val="4"/>
    <w:qFormat/>
    <w:rsid w:val="0033209F"/>
    <w:pPr>
      <w:ind w:firstLine="284"/>
    </w:pPr>
  </w:style>
  <w:style w:type="numbering" w:styleId="1ai">
    <w:name w:val="Outline List 1"/>
    <w:basedOn w:val="Bezlisty"/>
    <w:uiPriority w:val="99"/>
    <w:semiHidden/>
    <w:unhideWhenUsed/>
    <w:rsid w:val="0033209F"/>
    <w:pPr>
      <w:numPr>
        <w:numId w:val="7"/>
      </w:numPr>
    </w:pPr>
  </w:style>
  <w:style w:type="table" w:customStyle="1" w:styleId="ECHRTableSimpleBox">
    <w:name w:val="ECHR_Table_Simple_Box"/>
    <w:basedOn w:val="Standardowy"/>
    <w:uiPriority w:val="99"/>
    <w:rsid w:val="0033209F"/>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33209F"/>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33209F"/>
    <w:pPr>
      <w:numPr>
        <w:numId w:val="8"/>
      </w:numPr>
    </w:pPr>
  </w:style>
  <w:style w:type="table" w:customStyle="1" w:styleId="ECHRTableForInternalUse">
    <w:name w:val="ECHR_Table_For_Internal_Use"/>
    <w:basedOn w:val="Standardowy"/>
    <w:uiPriority w:val="99"/>
    <w:rsid w:val="0033209F"/>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33209F"/>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3209F"/>
  </w:style>
  <w:style w:type="paragraph" w:styleId="Tekstblokowy">
    <w:name w:val="Block Text"/>
    <w:basedOn w:val="Normalny"/>
    <w:uiPriority w:val="98"/>
    <w:semiHidden/>
    <w:rsid w:val="0033209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3209F"/>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3209F"/>
    <w:pPr>
      <w:spacing w:after="120"/>
    </w:pPr>
  </w:style>
  <w:style w:type="character" w:customStyle="1" w:styleId="TekstpodstawowyZnak">
    <w:name w:val="Tekst podstawowy Znak"/>
    <w:basedOn w:val="Domylnaczcionkaakapitu"/>
    <w:link w:val="Tekstpodstawowy"/>
    <w:uiPriority w:val="98"/>
    <w:semiHidden/>
    <w:rsid w:val="0033209F"/>
    <w:rPr>
      <w:sz w:val="24"/>
      <w:szCs w:val="24"/>
      <w:lang w:val="pl-PL"/>
    </w:rPr>
  </w:style>
  <w:style w:type="table" w:customStyle="1" w:styleId="ECHRTableOddBanded">
    <w:name w:val="ECHR_Table_Odd_Banded"/>
    <w:basedOn w:val="Standardowy"/>
    <w:uiPriority w:val="99"/>
    <w:rsid w:val="0033209F"/>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3209F"/>
    <w:pPr>
      <w:spacing w:after="120" w:line="480" w:lineRule="auto"/>
    </w:pPr>
  </w:style>
  <w:style w:type="table" w:customStyle="1" w:styleId="ECHRHeaderTableReduced">
    <w:name w:val="ECHR_Header_Table_Reduced"/>
    <w:basedOn w:val="Standardowy"/>
    <w:uiPriority w:val="99"/>
    <w:rsid w:val="0033209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3209F"/>
    <w:pPr>
      <w:ind w:firstLine="284"/>
    </w:pPr>
    <w:rPr>
      <w:b/>
    </w:rPr>
  </w:style>
  <w:style w:type="character" w:styleId="Numerstrony">
    <w:name w:val="page number"/>
    <w:uiPriority w:val="98"/>
    <w:semiHidden/>
    <w:rsid w:val="0033209F"/>
    <w:rPr>
      <w:sz w:val="18"/>
    </w:rPr>
  </w:style>
  <w:style w:type="paragraph" w:styleId="Listapunktowana">
    <w:name w:val="List Bullet"/>
    <w:basedOn w:val="Normalny"/>
    <w:uiPriority w:val="98"/>
    <w:semiHidden/>
    <w:rsid w:val="0033209F"/>
    <w:pPr>
      <w:numPr>
        <w:numId w:val="9"/>
      </w:numPr>
    </w:pPr>
  </w:style>
  <w:style w:type="paragraph" w:styleId="Listapunktowana3">
    <w:name w:val="List Bullet 3"/>
    <w:basedOn w:val="Normalny"/>
    <w:uiPriority w:val="98"/>
    <w:semiHidden/>
    <w:rsid w:val="0033209F"/>
    <w:pPr>
      <w:numPr>
        <w:numId w:val="11"/>
      </w:numPr>
      <w:contextualSpacing/>
    </w:pPr>
  </w:style>
  <w:style w:type="character" w:customStyle="1" w:styleId="Tekstpodstawowy2Znak">
    <w:name w:val="Tekst podstawowy 2 Znak"/>
    <w:basedOn w:val="Domylnaczcionkaakapitu"/>
    <w:link w:val="Tekstpodstawowy2"/>
    <w:uiPriority w:val="98"/>
    <w:semiHidden/>
    <w:rsid w:val="0033209F"/>
    <w:rPr>
      <w:sz w:val="24"/>
      <w:szCs w:val="24"/>
      <w:lang w:val="pl-PL"/>
    </w:rPr>
  </w:style>
  <w:style w:type="paragraph" w:styleId="Tekstpodstawowy3">
    <w:name w:val="Body Text 3"/>
    <w:basedOn w:val="Normalny"/>
    <w:link w:val="Tekstpodstawowy3Znak"/>
    <w:uiPriority w:val="98"/>
    <w:semiHidden/>
    <w:rsid w:val="0033209F"/>
    <w:pPr>
      <w:spacing w:after="120"/>
    </w:pPr>
    <w:rPr>
      <w:sz w:val="16"/>
      <w:szCs w:val="16"/>
    </w:rPr>
  </w:style>
  <w:style w:type="character" w:customStyle="1" w:styleId="Tekstpodstawowy3Znak">
    <w:name w:val="Tekst podstawowy 3 Znak"/>
    <w:basedOn w:val="Domylnaczcionkaakapitu"/>
    <w:link w:val="Tekstpodstawowy3"/>
    <w:uiPriority w:val="98"/>
    <w:semiHidden/>
    <w:rsid w:val="0033209F"/>
    <w:rPr>
      <w:sz w:val="16"/>
      <w:szCs w:val="16"/>
      <w:lang w:val="pl-PL"/>
    </w:rPr>
  </w:style>
  <w:style w:type="paragraph" w:styleId="Tekstpodstawowyzwciciem">
    <w:name w:val="Body Text First Indent"/>
    <w:basedOn w:val="Tekstpodstawowy"/>
    <w:link w:val="TekstpodstawowyzwciciemZnak"/>
    <w:uiPriority w:val="98"/>
    <w:semiHidden/>
    <w:rsid w:val="0033209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3209F"/>
    <w:rPr>
      <w:sz w:val="24"/>
      <w:szCs w:val="24"/>
      <w:lang w:val="pl-PL"/>
    </w:rPr>
  </w:style>
  <w:style w:type="paragraph" w:styleId="Tekstpodstawowywcity">
    <w:name w:val="Body Text Indent"/>
    <w:basedOn w:val="Normalny"/>
    <w:link w:val="TekstpodstawowywcityZnak"/>
    <w:uiPriority w:val="98"/>
    <w:semiHidden/>
    <w:rsid w:val="0033209F"/>
    <w:pPr>
      <w:spacing w:after="120"/>
      <w:ind w:left="283"/>
    </w:pPr>
  </w:style>
  <w:style w:type="character" w:customStyle="1" w:styleId="TekstpodstawowywcityZnak">
    <w:name w:val="Tekst podstawowy wcięty Znak"/>
    <w:basedOn w:val="Domylnaczcionkaakapitu"/>
    <w:link w:val="Tekstpodstawowywcity"/>
    <w:uiPriority w:val="98"/>
    <w:semiHidden/>
    <w:rsid w:val="0033209F"/>
    <w:rPr>
      <w:sz w:val="24"/>
      <w:szCs w:val="24"/>
      <w:lang w:val="pl-PL"/>
    </w:rPr>
  </w:style>
  <w:style w:type="paragraph" w:styleId="Tekstpodstawowyzwciciem2">
    <w:name w:val="Body Text First Indent 2"/>
    <w:basedOn w:val="Tekstpodstawowywcity"/>
    <w:link w:val="Tekstpodstawowyzwciciem2Znak"/>
    <w:uiPriority w:val="98"/>
    <w:semiHidden/>
    <w:rsid w:val="0033209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3209F"/>
    <w:rPr>
      <w:sz w:val="24"/>
      <w:szCs w:val="24"/>
      <w:lang w:val="pl-PL"/>
    </w:rPr>
  </w:style>
  <w:style w:type="paragraph" w:styleId="Tekstpodstawowywcity2">
    <w:name w:val="Body Text Indent 2"/>
    <w:basedOn w:val="Normalny"/>
    <w:link w:val="Tekstpodstawowywcity2Znak"/>
    <w:uiPriority w:val="98"/>
    <w:semiHidden/>
    <w:rsid w:val="0033209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3209F"/>
    <w:rPr>
      <w:sz w:val="24"/>
      <w:szCs w:val="24"/>
      <w:lang w:val="pl-PL"/>
    </w:rPr>
  </w:style>
  <w:style w:type="paragraph" w:styleId="Tekstpodstawowywcity3">
    <w:name w:val="Body Text Indent 3"/>
    <w:basedOn w:val="Normalny"/>
    <w:link w:val="Tekstpodstawowywcity3Znak"/>
    <w:uiPriority w:val="98"/>
    <w:semiHidden/>
    <w:rsid w:val="0033209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3209F"/>
    <w:rPr>
      <w:sz w:val="16"/>
      <w:szCs w:val="16"/>
      <w:lang w:val="pl-PL"/>
    </w:rPr>
  </w:style>
  <w:style w:type="paragraph" w:styleId="Legenda">
    <w:name w:val="caption"/>
    <w:basedOn w:val="Normalny"/>
    <w:next w:val="Normalny"/>
    <w:uiPriority w:val="98"/>
    <w:semiHidden/>
    <w:qFormat/>
    <w:rsid w:val="0033209F"/>
    <w:pPr>
      <w:spacing w:after="200"/>
    </w:pPr>
    <w:rPr>
      <w:b/>
      <w:bCs/>
      <w:color w:val="0072BC" w:themeColor="accent1"/>
      <w:sz w:val="18"/>
      <w:szCs w:val="18"/>
    </w:rPr>
  </w:style>
  <w:style w:type="paragraph" w:styleId="Zwrotpoegnalny">
    <w:name w:val="Closing"/>
    <w:basedOn w:val="Normalny"/>
    <w:link w:val="ZwrotpoegnalnyZnak"/>
    <w:uiPriority w:val="98"/>
    <w:semiHidden/>
    <w:rsid w:val="0033209F"/>
    <w:pPr>
      <w:ind w:left="4252"/>
    </w:pPr>
  </w:style>
  <w:style w:type="character" w:customStyle="1" w:styleId="ZwrotpoegnalnyZnak">
    <w:name w:val="Zwrot pożegnalny Znak"/>
    <w:basedOn w:val="Domylnaczcionkaakapitu"/>
    <w:link w:val="Zwrotpoegnalny"/>
    <w:uiPriority w:val="98"/>
    <w:semiHidden/>
    <w:rsid w:val="0033209F"/>
    <w:rPr>
      <w:sz w:val="24"/>
      <w:szCs w:val="24"/>
      <w:lang w:val="pl-PL"/>
    </w:rPr>
  </w:style>
  <w:style w:type="table" w:styleId="Kolorowasiatka">
    <w:name w:val="Colorful Grid"/>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3209F"/>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3209F"/>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3209F"/>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3209F"/>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3209F"/>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33209F"/>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3209F"/>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3209F"/>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3209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3209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3209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3209F"/>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33209F"/>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3209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3209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3209F"/>
    <w:rPr>
      <w:sz w:val="16"/>
      <w:szCs w:val="16"/>
    </w:rPr>
  </w:style>
  <w:style w:type="paragraph" w:styleId="Tekstkomentarza">
    <w:name w:val="annotation text"/>
    <w:basedOn w:val="Normalny"/>
    <w:link w:val="TekstkomentarzaZnak"/>
    <w:uiPriority w:val="98"/>
    <w:semiHidden/>
    <w:rsid w:val="0033209F"/>
    <w:rPr>
      <w:sz w:val="20"/>
      <w:szCs w:val="20"/>
    </w:rPr>
  </w:style>
  <w:style w:type="character" w:customStyle="1" w:styleId="TekstkomentarzaZnak">
    <w:name w:val="Tekst komentarza Znak"/>
    <w:basedOn w:val="Domylnaczcionkaakapitu"/>
    <w:link w:val="Tekstkomentarza"/>
    <w:uiPriority w:val="98"/>
    <w:semiHidden/>
    <w:rsid w:val="0033209F"/>
    <w:rPr>
      <w:sz w:val="20"/>
      <w:szCs w:val="20"/>
      <w:lang w:val="pl-PL"/>
    </w:rPr>
  </w:style>
  <w:style w:type="paragraph" w:styleId="Tematkomentarza">
    <w:name w:val="annotation subject"/>
    <w:basedOn w:val="Tekstkomentarza"/>
    <w:next w:val="Tekstkomentarza"/>
    <w:link w:val="TematkomentarzaZnak"/>
    <w:uiPriority w:val="98"/>
    <w:semiHidden/>
    <w:rsid w:val="0033209F"/>
    <w:rPr>
      <w:b/>
      <w:bCs/>
    </w:rPr>
  </w:style>
  <w:style w:type="character" w:customStyle="1" w:styleId="TematkomentarzaZnak">
    <w:name w:val="Temat komentarza Znak"/>
    <w:basedOn w:val="TekstkomentarzaZnak"/>
    <w:link w:val="Tematkomentarza"/>
    <w:uiPriority w:val="98"/>
    <w:semiHidden/>
    <w:rsid w:val="0033209F"/>
    <w:rPr>
      <w:b/>
      <w:bCs/>
      <w:sz w:val="20"/>
      <w:szCs w:val="20"/>
      <w:lang w:val="pl-PL"/>
    </w:rPr>
  </w:style>
  <w:style w:type="table" w:styleId="Ciemnalista">
    <w:name w:val="Dark List"/>
    <w:basedOn w:val="Standardowy"/>
    <w:uiPriority w:val="70"/>
    <w:semiHidden/>
    <w:rsid w:val="0033209F"/>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3209F"/>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3209F"/>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3209F"/>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33209F"/>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3209F"/>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3209F"/>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3209F"/>
  </w:style>
  <w:style w:type="character" w:customStyle="1" w:styleId="DataZnak">
    <w:name w:val="Data Znak"/>
    <w:basedOn w:val="Domylnaczcionkaakapitu"/>
    <w:link w:val="Data"/>
    <w:uiPriority w:val="98"/>
    <w:semiHidden/>
    <w:rsid w:val="0033209F"/>
    <w:rPr>
      <w:sz w:val="24"/>
      <w:szCs w:val="24"/>
      <w:lang w:val="pl-PL"/>
    </w:rPr>
  </w:style>
  <w:style w:type="paragraph" w:styleId="Mapadokumentu">
    <w:name w:val="Document Map"/>
    <w:basedOn w:val="Normalny"/>
    <w:link w:val="MapadokumentuZnak"/>
    <w:uiPriority w:val="98"/>
    <w:semiHidden/>
    <w:rsid w:val="0033209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3209F"/>
    <w:rPr>
      <w:rFonts w:ascii="Tahoma" w:hAnsi="Tahoma" w:cs="Tahoma"/>
      <w:sz w:val="16"/>
      <w:szCs w:val="16"/>
      <w:lang w:val="pl-PL"/>
    </w:rPr>
  </w:style>
  <w:style w:type="paragraph" w:styleId="Podpise-mail">
    <w:name w:val="E-mail Signature"/>
    <w:basedOn w:val="Normalny"/>
    <w:link w:val="Podpise-mailZnak"/>
    <w:uiPriority w:val="98"/>
    <w:semiHidden/>
    <w:rsid w:val="0033209F"/>
  </w:style>
  <w:style w:type="character" w:customStyle="1" w:styleId="Podpise-mailZnak">
    <w:name w:val="Podpis e-mail Znak"/>
    <w:basedOn w:val="Domylnaczcionkaakapitu"/>
    <w:link w:val="Podpise-mail"/>
    <w:uiPriority w:val="98"/>
    <w:semiHidden/>
    <w:rsid w:val="0033209F"/>
    <w:rPr>
      <w:sz w:val="24"/>
      <w:szCs w:val="24"/>
      <w:lang w:val="pl-PL"/>
    </w:rPr>
  </w:style>
  <w:style w:type="character" w:styleId="Odwoanieprzypisukocowego">
    <w:name w:val="endnote reference"/>
    <w:basedOn w:val="Domylnaczcionkaakapitu"/>
    <w:uiPriority w:val="98"/>
    <w:semiHidden/>
    <w:rsid w:val="0033209F"/>
    <w:rPr>
      <w:vertAlign w:val="superscript"/>
    </w:rPr>
  </w:style>
  <w:style w:type="paragraph" w:styleId="Tekstprzypisukocowego">
    <w:name w:val="endnote text"/>
    <w:basedOn w:val="Normalny"/>
    <w:link w:val="TekstprzypisukocowegoZnak"/>
    <w:uiPriority w:val="98"/>
    <w:semiHidden/>
    <w:rsid w:val="0033209F"/>
    <w:rPr>
      <w:sz w:val="20"/>
      <w:szCs w:val="20"/>
    </w:rPr>
  </w:style>
  <w:style w:type="character" w:customStyle="1" w:styleId="TekstprzypisukocowegoZnak">
    <w:name w:val="Tekst przypisu końcowego Znak"/>
    <w:basedOn w:val="Domylnaczcionkaakapitu"/>
    <w:link w:val="Tekstprzypisukocowego"/>
    <w:uiPriority w:val="98"/>
    <w:semiHidden/>
    <w:rsid w:val="0033209F"/>
    <w:rPr>
      <w:sz w:val="20"/>
      <w:szCs w:val="20"/>
      <w:lang w:val="pl-PL"/>
    </w:rPr>
  </w:style>
  <w:style w:type="paragraph" w:styleId="Adresnakopercie">
    <w:name w:val="envelope address"/>
    <w:basedOn w:val="Normalny"/>
    <w:uiPriority w:val="98"/>
    <w:semiHidden/>
    <w:rsid w:val="0033209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3209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3209F"/>
    <w:rPr>
      <w:color w:val="7030A0" w:themeColor="followedHyperlink"/>
      <w:u w:val="single"/>
    </w:rPr>
  </w:style>
  <w:style w:type="character" w:styleId="HTML-akronim">
    <w:name w:val="HTML Acronym"/>
    <w:basedOn w:val="Domylnaczcionkaakapitu"/>
    <w:uiPriority w:val="98"/>
    <w:semiHidden/>
    <w:rsid w:val="0033209F"/>
  </w:style>
  <w:style w:type="paragraph" w:styleId="HTML-adres">
    <w:name w:val="HTML Address"/>
    <w:basedOn w:val="Normalny"/>
    <w:link w:val="HTML-adresZnak"/>
    <w:uiPriority w:val="98"/>
    <w:semiHidden/>
    <w:rsid w:val="0033209F"/>
    <w:rPr>
      <w:i/>
      <w:iCs/>
    </w:rPr>
  </w:style>
  <w:style w:type="character" w:customStyle="1" w:styleId="HTML-adresZnak">
    <w:name w:val="HTML - adres Znak"/>
    <w:basedOn w:val="Domylnaczcionkaakapitu"/>
    <w:link w:val="HTML-adres"/>
    <w:uiPriority w:val="98"/>
    <w:semiHidden/>
    <w:rsid w:val="0033209F"/>
    <w:rPr>
      <w:i/>
      <w:iCs/>
      <w:sz w:val="24"/>
      <w:szCs w:val="24"/>
      <w:lang w:val="pl-PL"/>
    </w:rPr>
  </w:style>
  <w:style w:type="character" w:styleId="HTML-cytat">
    <w:name w:val="HTML Cite"/>
    <w:basedOn w:val="Domylnaczcionkaakapitu"/>
    <w:uiPriority w:val="98"/>
    <w:semiHidden/>
    <w:rsid w:val="0033209F"/>
    <w:rPr>
      <w:i/>
      <w:iCs/>
    </w:rPr>
  </w:style>
  <w:style w:type="character" w:styleId="HTML-kod">
    <w:name w:val="HTML Code"/>
    <w:basedOn w:val="Domylnaczcionkaakapitu"/>
    <w:uiPriority w:val="98"/>
    <w:semiHidden/>
    <w:rsid w:val="0033209F"/>
    <w:rPr>
      <w:rFonts w:ascii="Consolas" w:hAnsi="Consolas" w:cs="Consolas"/>
      <w:sz w:val="20"/>
      <w:szCs w:val="20"/>
    </w:rPr>
  </w:style>
  <w:style w:type="character" w:styleId="HTML-definicja">
    <w:name w:val="HTML Definition"/>
    <w:basedOn w:val="Domylnaczcionkaakapitu"/>
    <w:uiPriority w:val="98"/>
    <w:semiHidden/>
    <w:rsid w:val="0033209F"/>
    <w:rPr>
      <w:i/>
      <w:iCs/>
    </w:rPr>
  </w:style>
  <w:style w:type="character" w:styleId="HTML-klawiatura">
    <w:name w:val="HTML Keyboard"/>
    <w:basedOn w:val="Domylnaczcionkaakapitu"/>
    <w:uiPriority w:val="98"/>
    <w:semiHidden/>
    <w:rsid w:val="0033209F"/>
    <w:rPr>
      <w:rFonts w:ascii="Consolas" w:hAnsi="Consolas" w:cs="Consolas"/>
      <w:sz w:val="20"/>
      <w:szCs w:val="20"/>
    </w:rPr>
  </w:style>
  <w:style w:type="paragraph" w:styleId="HTML-wstpniesformatowany">
    <w:name w:val="HTML Preformatted"/>
    <w:basedOn w:val="Normalny"/>
    <w:link w:val="HTML-wstpniesformatowanyZnak"/>
    <w:uiPriority w:val="98"/>
    <w:semiHidden/>
    <w:rsid w:val="0033209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3209F"/>
    <w:rPr>
      <w:rFonts w:ascii="Consolas" w:hAnsi="Consolas" w:cs="Consolas"/>
      <w:sz w:val="20"/>
      <w:szCs w:val="20"/>
      <w:lang w:val="pl-PL"/>
    </w:rPr>
  </w:style>
  <w:style w:type="character" w:styleId="HTML-przykad">
    <w:name w:val="HTML Sample"/>
    <w:basedOn w:val="Domylnaczcionkaakapitu"/>
    <w:uiPriority w:val="98"/>
    <w:semiHidden/>
    <w:rsid w:val="0033209F"/>
    <w:rPr>
      <w:rFonts w:ascii="Consolas" w:hAnsi="Consolas" w:cs="Consolas"/>
      <w:sz w:val="24"/>
      <w:szCs w:val="24"/>
    </w:rPr>
  </w:style>
  <w:style w:type="character" w:styleId="HTML-staaszeroko">
    <w:name w:val="HTML Typewriter"/>
    <w:basedOn w:val="Domylnaczcionkaakapitu"/>
    <w:uiPriority w:val="98"/>
    <w:semiHidden/>
    <w:rsid w:val="0033209F"/>
    <w:rPr>
      <w:rFonts w:ascii="Consolas" w:hAnsi="Consolas" w:cs="Consolas"/>
      <w:sz w:val="20"/>
      <w:szCs w:val="20"/>
    </w:rPr>
  </w:style>
  <w:style w:type="character" w:styleId="HTML-zmienna">
    <w:name w:val="HTML Variable"/>
    <w:basedOn w:val="Domylnaczcionkaakapitu"/>
    <w:uiPriority w:val="98"/>
    <w:semiHidden/>
    <w:rsid w:val="0033209F"/>
    <w:rPr>
      <w:i/>
      <w:iCs/>
    </w:rPr>
  </w:style>
  <w:style w:type="paragraph" w:styleId="Indeks1">
    <w:name w:val="index 1"/>
    <w:basedOn w:val="Normalny"/>
    <w:next w:val="Normalny"/>
    <w:autoRedefine/>
    <w:uiPriority w:val="98"/>
    <w:semiHidden/>
    <w:rsid w:val="0033209F"/>
    <w:pPr>
      <w:ind w:left="240" w:hanging="240"/>
    </w:pPr>
  </w:style>
  <w:style w:type="paragraph" w:styleId="Indeks2">
    <w:name w:val="index 2"/>
    <w:basedOn w:val="Normalny"/>
    <w:next w:val="Normalny"/>
    <w:autoRedefine/>
    <w:uiPriority w:val="98"/>
    <w:semiHidden/>
    <w:rsid w:val="0033209F"/>
    <w:pPr>
      <w:ind w:left="480" w:hanging="240"/>
    </w:pPr>
  </w:style>
  <w:style w:type="paragraph" w:styleId="Indeks3">
    <w:name w:val="index 3"/>
    <w:basedOn w:val="Normalny"/>
    <w:next w:val="Normalny"/>
    <w:autoRedefine/>
    <w:uiPriority w:val="98"/>
    <w:semiHidden/>
    <w:rsid w:val="0033209F"/>
    <w:pPr>
      <w:ind w:left="720" w:hanging="240"/>
    </w:pPr>
  </w:style>
  <w:style w:type="paragraph" w:styleId="Indeks4">
    <w:name w:val="index 4"/>
    <w:basedOn w:val="Normalny"/>
    <w:next w:val="Normalny"/>
    <w:autoRedefine/>
    <w:uiPriority w:val="98"/>
    <w:semiHidden/>
    <w:rsid w:val="0033209F"/>
    <w:pPr>
      <w:ind w:left="960" w:hanging="240"/>
    </w:pPr>
  </w:style>
  <w:style w:type="paragraph" w:styleId="Indeks5">
    <w:name w:val="index 5"/>
    <w:basedOn w:val="Normalny"/>
    <w:next w:val="Normalny"/>
    <w:autoRedefine/>
    <w:uiPriority w:val="98"/>
    <w:semiHidden/>
    <w:rsid w:val="0033209F"/>
    <w:pPr>
      <w:ind w:left="1200" w:hanging="240"/>
    </w:pPr>
  </w:style>
  <w:style w:type="paragraph" w:styleId="Indeks6">
    <w:name w:val="index 6"/>
    <w:basedOn w:val="Normalny"/>
    <w:next w:val="Normalny"/>
    <w:autoRedefine/>
    <w:uiPriority w:val="98"/>
    <w:semiHidden/>
    <w:rsid w:val="0033209F"/>
    <w:pPr>
      <w:ind w:left="1440" w:hanging="240"/>
    </w:pPr>
  </w:style>
  <w:style w:type="paragraph" w:styleId="Indeks7">
    <w:name w:val="index 7"/>
    <w:basedOn w:val="Normalny"/>
    <w:next w:val="Normalny"/>
    <w:autoRedefine/>
    <w:uiPriority w:val="98"/>
    <w:semiHidden/>
    <w:rsid w:val="0033209F"/>
    <w:pPr>
      <w:ind w:left="1680" w:hanging="240"/>
    </w:pPr>
  </w:style>
  <w:style w:type="paragraph" w:styleId="Indeks8">
    <w:name w:val="index 8"/>
    <w:basedOn w:val="Normalny"/>
    <w:next w:val="Normalny"/>
    <w:autoRedefine/>
    <w:uiPriority w:val="98"/>
    <w:semiHidden/>
    <w:rsid w:val="0033209F"/>
    <w:pPr>
      <w:ind w:left="1920" w:hanging="240"/>
    </w:pPr>
  </w:style>
  <w:style w:type="paragraph" w:styleId="Indeks9">
    <w:name w:val="index 9"/>
    <w:basedOn w:val="Normalny"/>
    <w:next w:val="Normalny"/>
    <w:autoRedefine/>
    <w:uiPriority w:val="98"/>
    <w:semiHidden/>
    <w:rsid w:val="0033209F"/>
    <w:pPr>
      <w:ind w:left="2160" w:hanging="240"/>
    </w:pPr>
  </w:style>
  <w:style w:type="paragraph" w:styleId="Nagwekindeksu">
    <w:name w:val="index heading"/>
    <w:basedOn w:val="Normalny"/>
    <w:next w:val="Indeks1"/>
    <w:uiPriority w:val="98"/>
    <w:semiHidden/>
    <w:rsid w:val="0033209F"/>
    <w:rPr>
      <w:rFonts w:asciiTheme="majorHAnsi" w:eastAsiaTheme="majorEastAsia" w:hAnsiTheme="majorHAnsi" w:cstheme="majorBidi"/>
      <w:b/>
      <w:bCs/>
    </w:rPr>
  </w:style>
  <w:style w:type="table" w:styleId="Jasnasiatka">
    <w:name w:val="Light Grid"/>
    <w:basedOn w:val="Standardowy"/>
    <w:uiPriority w:val="62"/>
    <w:semiHidden/>
    <w:rsid w:val="0033209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3209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3209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3209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33209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3209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3209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3209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3209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3209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3209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33209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3209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3209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3209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3209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3209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3209F"/>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33209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3209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3209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3209F"/>
  </w:style>
  <w:style w:type="paragraph" w:styleId="Lista">
    <w:name w:val="List"/>
    <w:basedOn w:val="Normalny"/>
    <w:uiPriority w:val="98"/>
    <w:semiHidden/>
    <w:rsid w:val="0033209F"/>
    <w:pPr>
      <w:ind w:left="283" w:hanging="283"/>
      <w:contextualSpacing/>
    </w:pPr>
  </w:style>
  <w:style w:type="paragraph" w:styleId="Lista2">
    <w:name w:val="List 2"/>
    <w:basedOn w:val="Normalny"/>
    <w:uiPriority w:val="98"/>
    <w:semiHidden/>
    <w:rsid w:val="0033209F"/>
    <w:pPr>
      <w:ind w:left="566" w:hanging="283"/>
      <w:contextualSpacing/>
    </w:pPr>
  </w:style>
  <w:style w:type="paragraph" w:styleId="Lista3">
    <w:name w:val="List 3"/>
    <w:basedOn w:val="Normalny"/>
    <w:uiPriority w:val="98"/>
    <w:semiHidden/>
    <w:rsid w:val="0033209F"/>
    <w:pPr>
      <w:ind w:left="849" w:hanging="283"/>
      <w:contextualSpacing/>
    </w:pPr>
  </w:style>
  <w:style w:type="paragraph" w:styleId="Lista4">
    <w:name w:val="List 4"/>
    <w:basedOn w:val="Normalny"/>
    <w:uiPriority w:val="98"/>
    <w:semiHidden/>
    <w:rsid w:val="0033209F"/>
    <w:pPr>
      <w:ind w:left="1132" w:hanging="283"/>
      <w:contextualSpacing/>
    </w:pPr>
  </w:style>
  <w:style w:type="paragraph" w:styleId="Lista5">
    <w:name w:val="List 5"/>
    <w:basedOn w:val="Normalny"/>
    <w:uiPriority w:val="98"/>
    <w:semiHidden/>
    <w:rsid w:val="0033209F"/>
    <w:pPr>
      <w:ind w:left="1415" w:hanging="283"/>
      <w:contextualSpacing/>
    </w:pPr>
  </w:style>
  <w:style w:type="paragraph" w:styleId="Listapunktowana2">
    <w:name w:val="List Bullet 2"/>
    <w:basedOn w:val="Normalny"/>
    <w:uiPriority w:val="98"/>
    <w:semiHidden/>
    <w:rsid w:val="0033209F"/>
    <w:pPr>
      <w:numPr>
        <w:numId w:val="10"/>
      </w:numPr>
      <w:contextualSpacing/>
    </w:pPr>
  </w:style>
  <w:style w:type="paragraph" w:styleId="Listapunktowana4">
    <w:name w:val="List Bullet 4"/>
    <w:basedOn w:val="Normalny"/>
    <w:uiPriority w:val="98"/>
    <w:semiHidden/>
    <w:rsid w:val="0033209F"/>
    <w:pPr>
      <w:numPr>
        <w:numId w:val="12"/>
      </w:numPr>
      <w:contextualSpacing/>
    </w:pPr>
  </w:style>
  <w:style w:type="paragraph" w:styleId="Listapunktowana5">
    <w:name w:val="List Bullet 5"/>
    <w:basedOn w:val="Normalny"/>
    <w:uiPriority w:val="98"/>
    <w:semiHidden/>
    <w:rsid w:val="0033209F"/>
    <w:pPr>
      <w:numPr>
        <w:numId w:val="13"/>
      </w:numPr>
      <w:contextualSpacing/>
    </w:pPr>
  </w:style>
  <w:style w:type="paragraph" w:styleId="Lista-kontynuacja">
    <w:name w:val="List Continue"/>
    <w:basedOn w:val="Normalny"/>
    <w:uiPriority w:val="98"/>
    <w:semiHidden/>
    <w:rsid w:val="0033209F"/>
    <w:pPr>
      <w:spacing w:after="120"/>
      <w:ind w:left="283"/>
      <w:contextualSpacing/>
    </w:pPr>
  </w:style>
  <w:style w:type="paragraph" w:styleId="Lista-kontynuacja2">
    <w:name w:val="List Continue 2"/>
    <w:basedOn w:val="Normalny"/>
    <w:uiPriority w:val="98"/>
    <w:semiHidden/>
    <w:rsid w:val="0033209F"/>
    <w:pPr>
      <w:spacing w:after="120"/>
      <w:ind w:left="566"/>
      <w:contextualSpacing/>
    </w:pPr>
  </w:style>
  <w:style w:type="paragraph" w:styleId="Lista-kontynuacja3">
    <w:name w:val="List Continue 3"/>
    <w:basedOn w:val="Normalny"/>
    <w:uiPriority w:val="98"/>
    <w:semiHidden/>
    <w:rsid w:val="0033209F"/>
    <w:pPr>
      <w:spacing w:after="120"/>
      <w:ind w:left="849"/>
      <w:contextualSpacing/>
    </w:pPr>
  </w:style>
  <w:style w:type="paragraph" w:styleId="Lista-kontynuacja4">
    <w:name w:val="List Continue 4"/>
    <w:basedOn w:val="Normalny"/>
    <w:uiPriority w:val="98"/>
    <w:semiHidden/>
    <w:rsid w:val="0033209F"/>
    <w:pPr>
      <w:spacing w:after="120"/>
      <w:ind w:left="1132"/>
      <w:contextualSpacing/>
    </w:pPr>
  </w:style>
  <w:style w:type="paragraph" w:styleId="Lista-kontynuacja5">
    <w:name w:val="List Continue 5"/>
    <w:basedOn w:val="Normalny"/>
    <w:uiPriority w:val="98"/>
    <w:semiHidden/>
    <w:rsid w:val="0033209F"/>
    <w:pPr>
      <w:spacing w:after="120"/>
      <w:ind w:left="1415"/>
      <w:contextualSpacing/>
    </w:pPr>
  </w:style>
  <w:style w:type="paragraph" w:styleId="Listanumerowana">
    <w:name w:val="List Number"/>
    <w:basedOn w:val="Normalny"/>
    <w:uiPriority w:val="98"/>
    <w:semiHidden/>
    <w:rsid w:val="0033209F"/>
    <w:pPr>
      <w:numPr>
        <w:numId w:val="14"/>
      </w:numPr>
      <w:contextualSpacing/>
    </w:pPr>
  </w:style>
  <w:style w:type="paragraph" w:styleId="Listanumerowana2">
    <w:name w:val="List Number 2"/>
    <w:basedOn w:val="Normalny"/>
    <w:uiPriority w:val="98"/>
    <w:semiHidden/>
    <w:rsid w:val="0033209F"/>
    <w:pPr>
      <w:numPr>
        <w:numId w:val="15"/>
      </w:numPr>
      <w:contextualSpacing/>
    </w:pPr>
  </w:style>
  <w:style w:type="paragraph" w:styleId="Listanumerowana3">
    <w:name w:val="List Number 3"/>
    <w:basedOn w:val="Normalny"/>
    <w:uiPriority w:val="98"/>
    <w:semiHidden/>
    <w:rsid w:val="0033209F"/>
    <w:pPr>
      <w:numPr>
        <w:numId w:val="16"/>
      </w:numPr>
      <w:contextualSpacing/>
    </w:pPr>
  </w:style>
  <w:style w:type="paragraph" w:styleId="Listanumerowana4">
    <w:name w:val="List Number 4"/>
    <w:basedOn w:val="Normalny"/>
    <w:uiPriority w:val="98"/>
    <w:semiHidden/>
    <w:rsid w:val="0033209F"/>
    <w:pPr>
      <w:numPr>
        <w:numId w:val="17"/>
      </w:numPr>
      <w:contextualSpacing/>
    </w:pPr>
  </w:style>
  <w:style w:type="paragraph" w:styleId="Listanumerowana5">
    <w:name w:val="List Number 5"/>
    <w:basedOn w:val="Normalny"/>
    <w:uiPriority w:val="98"/>
    <w:semiHidden/>
    <w:rsid w:val="0033209F"/>
    <w:pPr>
      <w:numPr>
        <w:numId w:val="18"/>
      </w:numPr>
      <w:contextualSpacing/>
    </w:pPr>
  </w:style>
  <w:style w:type="paragraph" w:styleId="Tekstmakra">
    <w:name w:val="macro"/>
    <w:link w:val="TekstmakraZnak"/>
    <w:uiPriority w:val="98"/>
    <w:semiHidden/>
    <w:rsid w:val="0033209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3209F"/>
    <w:rPr>
      <w:rFonts w:ascii="Consolas" w:eastAsiaTheme="minorEastAsia" w:hAnsi="Consolas" w:cs="Consolas"/>
      <w:sz w:val="20"/>
      <w:szCs w:val="20"/>
    </w:rPr>
  </w:style>
  <w:style w:type="table" w:styleId="redniasiatka1">
    <w:name w:val="Medium Grid 1"/>
    <w:basedOn w:val="Standardowy"/>
    <w:uiPriority w:val="67"/>
    <w:semiHidden/>
    <w:rsid w:val="0033209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3209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3209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3209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33209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3209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3209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3209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33209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3209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3209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3209F"/>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33209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3209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3209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3209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33209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3209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3209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3209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3209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3209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3209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3209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3209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3209F"/>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3209F"/>
    <w:rPr>
      <w:rFonts w:ascii="Times New Roman" w:hAnsi="Times New Roman" w:cs="Times New Roman"/>
    </w:rPr>
  </w:style>
  <w:style w:type="paragraph" w:styleId="Wcicienormalne">
    <w:name w:val="Normal Indent"/>
    <w:basedOn w:val="Normalny"/>
    <w:uiPriority w:val="98"/>
    <w:semiHidden/>
    <w:rsid w:val="0033209F"/>
    <w:pPr>
      <w:ind w:left="720"/>
    </w:pPr>
  </w:style>
  <w:style w:type="paragraph" w:styleId="Nagweknotatki">
    <w:name w:val="Note Heading"/>
    <w:basedOn w:val="Normalny"/>
    <w:next w:val="Normalny"/>
    <w:link w:val="NagweknotatkiZnak"/>
    <w:uiPriority w:val="98"/>
    <w:semiHidden/>
    <w:rsid w:val="0033209F"/>
  </w:style>
  <w:style w:type="character" w:customStyle="1" w:styleId="NagweknotatkiZnak">
    <w:name w:val="Nagłówek notatki Znak"/>
    <w:basedOn w:val="Domylnaczcionkaakapitu"/>
    <w:link w:val="Nagweknotatki"/>
    <w:uiPriority w:val="98"/>
    <w:semiHidden/>
    <w:rsid w:val="0033209F"/>
    <w:rPr>
      <w:sz w:val="24"/>
      <w:szCs w:val="24"/>
      <w:lang w:val="pl-PL"/>
    </w:rPr>
  </w:style>
  <w:style w:type="character" w:styleId="Tekstzastpczy">
    <w:name w:val="Placeholder Text"/>
    <w:basedOn w:val="Domylnaczcionkaakapitu"/>
    <w:uiPriority w:val="98"/>
    <w:semiHidden/>
    <w:rsid w:val="0033209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3209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3209F"/>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3209F"/>
  </w:style>
  <w:style w:type="character" w:customStyle="1" w:styleId="ZwrotgrzecznociowyZnak">
    <w:name w:val="Zwrot grzecznościowy Znak"/>
    <w:basedOn w:val="Domylnaczcionkaakapitu"/>
    <w:link w:val="Zwrotgrzecznociowy"/>
    <w:uiPriority w:val="98"/>
    <w:semiHidden/>
    <w:rsid w:val="0033209F"/>
    <w:rPr>
      <w:sz w:val="24"/>
      <w:szCs w:val="24"/>
      <w:lang w:val="pl-PL"/>
    </w:rPr>
  </w:style>
  <w:style w:type="paragraph" w:styleId="Podpis">
    <w:name w:val="Signature"/>
    <w:basedOn w:val="Normalny"/>
    <w:link w:val="PodpisZnak"/>
    <w:uiPriority w:val="98"/>
    <w:semiHidden/>
    <w:rsid w:val="0033209F"/>
    <w:pPr>
      <w:ind w:left="4252"/>
    </w:pPr>
  </w:style>
  <w:style w:type="character" w:customStyle="1" w:styleId="PodpisZnak">
    <w:name w:val="Podpis Znak"/>
    <w:basedOn w:val="Domylnaczcionkaakapitu"/>
    <w:link w:val="Podpis"/>
    <w:uiPriority w:val="98"/>
    <w:semiHidden/>
    <w:rsid w:val="0033209F"/>
    <w:rPr>
      <w:sz w:val="24"/>
      <w:szCs w:val="24"/>
      <w:lang w:val="pl-PL"/>
    </w:rPr>
  </w:style>
  <w:style w:type="table" w:styleId="Tabela-Efekty3D1">
    <w:name w:val="Table 3D effects 1"/>
    <w:basedOn w:val="Standardowy"/>
    <w:uiPriority w:val="99"/>
    <w:semiHidden/>
    <w:unhideWhenUsed/>
    <w:rsid w:val="0033209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3209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3209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3209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3209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3209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3209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a1">
    <w:name w:val="Table Colorful 1"/>
    <w:basedOn w:val="Standardowy"/>
    <w:uiPriority w:val="99"/>
    <w:semiHidden/>
    <w:unhideWhenUsed/>
    <w:rsid w:val="0033209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a2">
    <w:name w:val="Table Colorful 2"/>
    <w:basedOn w:val="Standardowy"/>
    <w:uiPriority w:val="99"/>
    <w:semiHidden/>
    <w:unhideWhenUsed/>
    <w:rsid w:val="0033209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a3">
    <w:name w:val="Table Colorful 3"/>
    <w:basedOn w:val="Standardowy"/>
    <w:uiPriority w:val="99"/>
    <w:semiHidden/>
    <w:unhideWhenUsed/>
    <w:rsid w:val="0033209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3209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3209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3209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3209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3209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3209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3209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3209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3209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3209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3209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3209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3209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3209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3209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3209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3209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3209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3209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3209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3209F"/>
    <w:pPr>
      <w:ind w:left="240" w:hanging="240"/>
    </w:pPr>
  </w:style>
  <w:style w:type="paragraph" w:styleId="Spisilustracji">
    <w:name w:val="table of figures"/>
    <w:basedOn w:val="Normalny"/>
    <w:next w:val="Normalny"/>
    <w:uiPriority w:val="98"/>
    <w:semiHidden/>
    <w:rsid w:val="0033209F"/>
  </w:style>
  <w:style w:type="table" w:styleId="Tabela-Profesjonalny">
    <w:name w:val="Table Professional"/>
    <w:basedOn w:val="Standardowy"/>
    <w:uiPriority w:val="99"/>
    <w:semiHidden/>
    <w:unhideWhenUsed/>
    <w:rsid w:val="0033209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3209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3209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3209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3209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3209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3209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3209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3209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3209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3209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3209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3209F"/>
    <w:pPr>
      <w:spacing w:after="100"/>
      <w:ind w:left="1680"/>
    </w:pPr>
  </w:style>
  <w:style w:type="paragraph" w:styleId="Spistreci9">
    <w:name w:val="toc 9"/>
    <w:basedOn w:val="Normalny"/>
    <w:next w:val="Normalny"/>
    <w:autoRedefine/>
    <w:uiPriority w:val="98"/>
    <w:semiHidden/>
    <w:rsid w:val="0033209F"/>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3209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3209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3209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3209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3209F"/>
    <w:pPr>
      <w:numPr>
        <w:numId w:val="22"/>
      </w:numPr>
      <w:spacing w:before="60" w:after="60"/>
    </w:pPr>
  </w:style>
  <w:style w:type="paragraph" w:customStyle="1" w:styleId="ECHRBullet2">
    <w:name w:val="ECHR_Bullet_2"/>
    <w:aliases w:val="_Bul_2"/>
    <w:basedOn w:val="ECHRBullet1"/>
    <w:uiPriority w:val="23"/>
    <w:semiHidden/>
    <w:rsid w:val="0033209F"/>
    <w:pPr>
      <w:numPr>
        <w:ilvl w:val="1"/>
      </w:numPr>
    </w:pPr>
  </w:style>
  <w:style w:type="paragraph" w:customStyle="1" w:styleId="ECHRBullet3">
    <w:name w:val="ECHR_Bullet_3"/>
    <w:aliases w:val="_Bul_3"/>
    <w:basedOn w:val="ECHRBullet2"/>
    <w:uiPriority w:val="23"/>
    <w:semiHidden/>
    <w:rsid w:val="0033209F"/>
    <w:pPr>
      <w:numPr>
        <w:ilvl w:val="2"/>
      </w:numPr>
    </w:pPr>
  </w:style>
  <w:style w:type="paragraph" w:customStyle="1" w:styleId="ECHRBullet4">
    <w:name w:val="ECHR_Bullet_4"/>
    <w:aliases w:val="_Bul_4"/>
    <w:basedOn w:val="ECHRBullet3"/>
    <w:uiPriority w:val="23"/>
    <w:semiHidden/>
    <w:rsid w:val="0033209F"/>
    <w:pPr>
      <w:numPr>
        <w:ilvl w:val="3"/>
      </w:numPr>
    </w:pPr>
  </w:style>
  <w:style w:type="paragraph" w:customStyle="1" w:styleId="ECHRConfidential">
    <w:name w:val="ECHR_Confidential"/>
    <w:aliases w:val="_Confidential"/>
    <w:basedOn w:val="Normalny"/>
    <w:next w:val="Normalny"/>
    <w:uiPriority w:val="42"/>
    <w:semiHidden/>
    <w:qFormat/>
    <w:rsid w:val="0033209F"/>
    <w:pPr>
      <w:jc w:val="right"/>
    </w:pPr>
    <w:rPr>
      <w:color w:val="C00000"/>
      <w:sz w:val="20"/>
    </w:rPr>
  </w:style>
  <w:style w:type="paragraph" w:customStyle="1" w:styleId="ECHRDecisionBody">
    <w:name w:val="ECHR_Decision_Body"/>
    <w:aliases w:val="_Decision_Body"/>
    <w:basedOn w:val="NormalJustified"/>
    <w:uiPriority w:val="54"/>
    <w:semiHidden/>
    <w:rsid w:val="0033209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3209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3209F"/>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3209F"/>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33209F"/>
    <w:pPr>
      <w:jc w:val="right"/>
    </w:pPr>
    <w:rPr>
      <w:sz w:val="20"/>
    </w:rPr>
  </w:style>
  <w:style w:type="paragraph" w:customStyle="1" w:styleId="ECHRHeaderRefIt">
    <w:name w:val="ECHR_Header_Ref_It"/>
    <w:aliases w:val="_Ref_Ital"/>
    <w:basedOn w:val="Normalny"/>
    <w:next w:val="ECHRHeaderDate"/>
    <w:uiPriority w:val="43"/>
    <w:qFormat/>
    <w:rsid w:val="0033209F"/>
    <w:pPr>
      <w:jc w:val="right"/>
    </w:pPr>
    <w:rPr>
      <w:i/>
      <w:sz w:val="20"/>
    </w:rPr>
  </w:style>
  <w:style w:type="paragraph" w:customStyle="1" w:styleId="ECHRHeading9">
    <w:name w:val="ECHR_Heading_9"/>
    <w:aliases w:val="_Head_9"/>
    <w:basedOn w:val="Nagwek9"/>
    <w:uiPriority w:val="17"/>
    <w:semiHidden/>
    <w:rsid w:val="0033209F"/>
    <w:pPr>
      <w:keepNext/>
      <w:keepLines/>
      <w:numPr>
        <w:ilvl w:val="8"/>
        <w:numId w:val="2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3209F"/>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3209F"/>
    <w:pPr>
      <w:numPr>
        <w:numId w:val="23"/>
      </w:numPr>
      <w:spacing w:before="60" w:after="60"/>
    </w:pPr>
  </w:style>
  <w:style w:type="paragraph" w:customStyle="1" w:styleId="ECHRNumberedList2">
    <w:name w:val="ECHR_Numbered_List_2"/>
    <w:aliases w:val="_Num_2"/>
    <w:basedOn w:val="ECHRNumberedList1"/>
    <w:uiPriority w:val="23"/>
    <w:semiHidden/>
    <w:rsid w:val="0033209F"/>
    <w:pPr>
      <w:numPr>
        <w:ilvl w:val="1"/>
      </w:numPr>
    </w:pPr>
  </w:style>
  <w:style w:type="paragraph" w:customStyle="1" w:styleId="ECHRNumberedList3">
    <w:name w:val="ECHR_Numbered_List_3"/>
    <w:aliases w:val="_Num_3"/>
    <w:basedOn w:val="ECHRNumberedList2"/>
    <w:uiPriority w:val="23"/>
    <w:semiHidden/>
    <w:rsid w:val="0033209F"/>
    <w:pPr>
      <w:numPr>
        <w:ilvl w:val="2"/>
      </w:numPr>
    </w:pPr>
  </w:style>
  <w:style w:type="paragraph" w:customStyle="1" w:styleId="ECHRParaHanging">
    <w:name w:val="ECHR_Para_Hanging"/>
    <w:aliases w:val="_Hanging"/>
    <w:basedOn w:val="NormalJustified"/>
    <w:uiPriority w:val="8"/>
    <w:semiHidden/>
    <w:qFormat/>
    <w:rsid w:val="0033209F"/>
    <w:pPr>
      <w:ind w:left="567" w:hanging="567"/>
    </w:pPr>
  </w:style>
  <w:style w:type="paragraph" w:customStyle="1" w:styleId="ECHRParaIndent">
    <w:name w:val="ECHR_Para_Indent"/>
    <w:aliases w:val="_Indent"/>
    <w:basedOn w:val="NormalJustified"/>
    <w:uiPriority w:val="7"/>
    <w:semiHidden/>
    <w:qFormat/>
    <w:rsid w:val="0033209F"/>
    <w:pPr>
      <w:spacing w:before="120" w:after="120"/>
      <w:ind w:left="284"/>
    </w:pPr>
  </w:style>
  <w:style w:type="character" w:customStyle="1" w:styleId="ECHRRed">
    <w:name w:val="ECHR_Red"/>
    <w:aliases w:val="_Red"/>
    <w:basedOn w:val="Domylnaczcionkaakapitu"/>
    <w:uiPriority w:val="15"/>
    <w:semiHidden/>
    <w:qFormat/>
    <w:rsid w:val="0033209F"/>
    <w:rPr>
      <w:color w:val="C00000" w:themeColor="accent2"/>
    </w:rPr>
  </w:style>
  <w:style w:type="paragraph" w:customStyle="1" w:styleId="DecList">
    <w:name w:val="Dec_List"/>
    <w:aliases w:val="_List"/>
    <w:basedOn w:val="JuList"/>
    <w:uiPriority w:val="22"/>
    <w:rsid w:val="0033209F"/>
    <w:pPr>
      <w:numPr>
        <w:numId w:val="0"/>
      </w:numPr>
      <w:ind w:left="284"/>
    </w:pPr>
  </w:style>
  <w:style w:type="table" w:customStyle="1" w:styleId="ECHRTable2">
    <w:name w:val="ECHR_Table_2"/>
    <w:basedOn w:val="Standardowy"/>
    <w:uiPriority w:val="99"/>
    <w:rsid w:val="0033209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3209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33209F"/>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33209F"/>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33209F"/>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33209F"/>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33209F"/>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33209F"/>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33209F"/>
    <w:pPr>
      <w:outlineLvl w:val="0"/>
    </w:pPr>
  </w:style>
  <w:style w:type="paragraph" w:customStyle="1" w:styleId="ECHRTitleTOC1">
    <w:name w:val="ECHR_Title_TOC_1"/>
    <w:aliases w:val="_Title_L_TOC"/>
    <w:basedOn w:val="ECHRTitle1"/>
    <w:next w:val="Normalny"/>
    <w:uiPriority w:val="27"/>
    <w:semiHidden/>
    <w:qFormat/>
    <w:rsid w:val="0033209F"/>
    <w:pPr>
      <w:outlineLvl w:val="0"/>
    </w:pPr>
  </w:style>
  <w:style w:type="paragraph" w:customStyle="1" w:styleId="ECHRPlaceholder">
    <w:name w:val="ECHR_Placeholder"/>
    <w:aliases w:val="_Placeholder"/>
    <w:basedOn w:val="JuSigned"/>
    <w:uiPriority w:val="31"/>
    <w:rsid w:val="0033209F"/>
    <w:rPr>
      <w:color w:val="FFFFFF"/>
    </w:rPr>
  </w:style>
  <w:style w:type="paragraph" w:customStyle="1" w:styleId="ECHRSpacer">
    <w:name w:val="ECHR_Spacer"/>
    <w:aliases w:val="_Spacer"/>
    <w:basedOn w:val="Normalny"/>
    <w:uiPriority w:val="45"/>
    <w:semiHidden/>
    <w:rsid w:val="0033209F"/>
    <w:rPr>
      <w:sz w:val="4"/>
    </w:rPr>
  </w:style>
  <w:style w:type="table" w:customStyle="1" w:styleId="ECHRTableGrey">
    <w:name w:val="ECHR_Table_Grey"/>
    <w:basedOn w:val="Standardowy"/>
    <w:uiPriority w:val="99"/>
    <w:rsid w:val="0033209F"/>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33209F"/>
    <w:rPr>
      <w:color w:val="605E5C"/>
      <w:shd w:val="clear" w:color="auto" w:fill="E1DFDD"/>
    </w:rPr>
  </w:style>
  <w:style w:type="character" w:customStyle="1" w:styleId="JuParaChar">
    <w:name w:val="Ju_Para Char"/>
    <w:aliases w:val="_Para Char"/>
    <w:link w:val="JuPara"/>
    <w:uiPriority w:val="4"/>
    <w:rsid w:val="006377D2"/>
    <w:rPr>
      <w:sz w:val="24"/>
      <w:szCs w:val="24"/>
      <w:lang w:val="pl-PL"/>
    </w:rPr>
  </w:style>
  <w:style w:type="table" w:styleId="Tabelasiatki1jasna">
    <w:name w:val="Grid Table 1 Light"/>
    <w:basedOn w:val="Standardowy"/>
    <w:uiPriority w:val="46"/>
    <w:semiHidden/>
    <w:rsid w:val="006377D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6377D2"/>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6377D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377D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6377D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377D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377D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377D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377D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377D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377D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377D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6377D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377D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377D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377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377D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377D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377D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6377D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377D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377D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377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377D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377D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377D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6377D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377D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377D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377D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377D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377D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377D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377D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6377D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377D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377D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377D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377D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377D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377D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6377D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377D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377D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377D2"/>
    <w:rPr>
      <w:color w:val="2B579A"/>
      <w:shd w:val="clear" w:color="auto" w:fill="E1DFDD"/>
    </w:rPr>
  </w:style>
  <w:style w:type="table" w:styleId="Tabelalisty1jasna">
    <w:name w:val="List Table 1 Light"/>
    <w:basedOn w:val="Standardowy"/>
    <w:uiPriority w:val="46"/>
    <w:semiHidden/>
    <w:rsid w:val="006377D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377D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377D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377D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6377D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377D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377D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377D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377D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377D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377D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6377D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377D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377D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377D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377D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377D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377D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6377D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377D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377D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377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377D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377D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377D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6377D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377D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377D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377D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377D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377D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377D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377D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377D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377D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377D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377D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377D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377D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6377D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377D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377D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377D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377D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377D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377D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377D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377D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377D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377D2"/>
    <w:rPr>
      <w:color w:val="2B579A"/>
      <w:shd w:val="clear" w:color="auto" w:fill="E1DFDD"/>
    </w:rPr>
  </w:style>
  <w:style w:type="table" w:styleId="Zwykatabela1">
    <w:name w:val="Plain Table 1"/>
    <w:basedOn w:val="Standardowy"/>
    <w:uiPriority w:val="41"/>
    <w:semiHidden/>
    <w:rsid w:val="006377D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6377D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377D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377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6377D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377D2"/>
    <w:rPr>
      <w:u w:val="dotted"/>
    </w:rPr>
  </w:style>
  <w:style w:type="character" w:styleId="Inteligentnylink">
    <w:name w:val="Smart Link"/>
    <w:basedOn w:val="Domylnaczcionkaakapitu"/>
    <w:uiPriority w:val="99"/>
    <w:semiHidden/>
    <w:unhideWhenUsed/>
    <w:rsid w:val="006377D2"/>
    <w:rPr>
      <w:color w:val="0000FF"/>
      <w:u w:val="single"/>
      <w:shd w:val="clear" w:color="auto" w:fill="F3F2F1"/>
    </w:rPr>
  </w:style>
  <w:style w:type="table" w:styleId="Siatkatabelijasna">
    <w:name w:val="Grid Table Light"/>
    <w:basedOn w:val="Standardowy"/>
    <w:uiPriority w:val="40"/>
    <w:semiHidden/>
    <w:rsid w:val="006377D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6377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15401</Words>
  <Characters>92408</Characters>
  <Application>Microsoft Office Word</Application>
  <DocSecurity>0</DocSecurity>
  <Lines>770</Lines>
  <Paragraphs>215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2026-07-01T10:44:00Z</dcterms:created>
  <dcterms:modified xsi:type="dcterms:W3CDTF">2026-07-02T11:36:00Z</dcterms:modified>
  <cp:category/>
</cp:coreProperties>
</file>