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4F1C8" w14:textId="77777777" w:rsidR="0098410D" w:rsidRPr="00710DEE" w:rsidRDefault="0098410D" w:rsidP="00710DEE">
      <w:pPr>
        <w:jc w:val="center"/>
      </w:pPr>
    </w:p>
    <w:p w14:paraId="2AFC74C7" w14:textId="77777777" w:rsidR="0098410D" w:rsidRPr="00710DEE" w:rsidRDefault="009F6771" w:rsidP="00710DEE">
      <w:pPr>
        <w:pStyle w:val="DecHTitle"/>
        <w:keepNext w:val="0"/>
        <w:keepLines w:val="0"/>
      </w:pPr>
      <w:r>
        <w:t>SEKCJA PIERWSZA</w:t>
      </w:r>
    </w:p>
    <w:p w14:paraId="3218B828" w14:textId="77777777" w:rsidR="008E6217" w:rsidRPr="00710DEE" w:rsidRDefault="009F6771" w:rsidP="00710DEE">
      <w:pPr>
        <w:pStyle w:val="JuTitle"/>
        <w:keepNext w:val="0"/>
        <w:keepLines w:val="0"/>
      </w:pPr>
      <w:r>
        <w:rPr>
          <w:color w:val="000000" w:themeColor="text1"/>
        </w:rPr>
        <w:t>SPRAWA SOBCZYŃSKA</w:t>
      </w:r>
      <w:r>
        <w:t xml:space="preserve"> I INNI przeciwko POLSCE</w:t>
      </w:r>
    </w:p>
    <w:p w14:paraId="1852B48F" w14:textId="5CB1D531" w:rsidR="00D74888" w:rsidRPr="00710DEE" w:rsidRDefault="009F6771" w:rsidP="00710DEE">
      <w:pPr>
        <w:pStyle w:val="ECHRCoverTitle4"/>
        <w:keepNext w:val="0"/>
        <w:keepLines w:val="0"/>
      </w:pPr>
      <w:r>
        <w:t>(skarga nr 62765/14 i 2 inne –</w:t>
      </w:r>
      <w:r w:rsidR="00FB33A5">
        <w:t xml:space="preserve"> </w:t>
      </w:r>
      <w:r>
        <w:t>zob. załączony wykaz)</w:t>
      </w:r>
    </w:p>
    <w:p w14:paraId="37E59B74" w14:textId="77777777" w:rsidR="0098410D" w:rsidRPr="00710DEE" w:rsidRDefault="0098410D" w:rsidP="00710DEE">
      <w:pPr>
        <w:pStyle w:val="DecHCase"/>
        <w:keepNext w:val="0"/>
        <w:keepLines w:val="0"/>
      </w:pPr>
    </w:p>
    <w:p w14:paraId="7E89923F" w14:textId="77777777" w:rsidR="0098410D" w:rsidRPr="00710DEE" w:rsidRDefault="009F6771" w:rsidP="00710DEE">
      <w:pPr>
        <w:pStyle w:val="DecHCase"/>
        <w:keepNext w:val="0"/>
        <w:keepLines w:val="0"/>
      </w:pPr>
      <w:r>
        <w:t>WYROK</w:t>
      </w:r>
    </w:p>
    <w:p w14:paraId="7EBC644F" w14:textId="604A1951" w:rsidR="00710DEE" w:rsidRPr="00710DEE" w:rsidRDefault="009F6771" w:rsidP="00710DEE">
      <w:pPr>
        <w:pBdr>
          <w:top w:val="single" w:sz="4" w:space="1" w:color="auto"/>
          <w:left w:val="single" w:sz="4" w:space="4" w:color="auto"/>
          <w:bottom w:val="single" w:sz="4" w:space="1" w:color="auto"/>
          <w:right w:val="single" w:sz="4" w:space="4" w:color="auto"/>
        </w:pBdr>
        <w:jc w:val="both"/>
        <w:rPr>
          <w:sz w:val="20"/>
          <w:szCs w:val="20"/>
        </w:rPr>
      </w:pPr>
      <w:r>
        <w:rPr>
          <w:sz w:val="20"/>
        </w:rPr>
        <w:t>Artykuł 6 ust. 1 (aspekt cywilny) • Dostęp do sądu • Brak kontroli sądowej odmowy powołania przez Prezydenta Rzeczypospolitej Polskiej asesorów sądowych na wakujące stanowiska sędziów sądu rejonowego, mimo że osoby pomyślnie przeszły przez procedurę naboru przeprowadzoną przez Krajową Radę Sądownictwa („KRS”) • Artykuł 6 ust. 1 mający zastosowanie • Rzeczywisty i poważny spór o dające się uzasadnić w prawie krajowym prawo do sprawiedliwego postępowania przy rozpoznawaniu kandydatury na</w:t>
      </w:r>
      <w:r w:rsidR="001A420B">
        <w:rPr>
          <w:sz w:val="20"/>
        </w:rPr>
        <w:t> </w:t>
      </w:r>
      <w:r>
        <w:rPr>
          <w:sz w:val="20"/>
        </w:rPr>
        <w:t xml:space="preserve">stanowisko sędziowskie, w tym prawo do ochrony przed arbitralną odmową • Niespełniony drugi warunek testu z wyroku </w:t>
      </w:r>
      <w:proofErr w:type="spellStart"/>
      <w:r>
        <w:rPr>
          <w:sz w:val="20"/>
        </w:rPr>
        <w:t>Eskelinen</w:t>
      </w:r>
      <w:proofErr w:type="spellEnd"/>
      <w:r>
        <w:rPr>
          <w:sz w:val="20"/>
        </w:rPr>
        <w:t xml:space="preserve"> • Pozbawienie skarżących, którzy spełnili ustawowe kryteria, kontroli sądowej postanowienia odmownego nie leży w interesie państwa prawa • Postanowienie nie zawierało uzasadnienia, nie podlegało żadnej formie kontroli i nosiło </w:t>
      </w:r>
      <w:r w:rsidRPr="00C43322">
        <w:rPr>
          <w:i/>
          <w:iCs/>
          <w:sz w:val="20"/>
        </w:rPr>
        <w:t>prima facie</w:t>
      </w:r>
      <w:r>
        <w:rPr>
          <w:sz w:val="20"/>
        </w:rPr>
        <w:t xml:space="preserve"> znamiona arbitralności • Naruszenie istoty prawa skarżących do</w:t>
      </w:r>
      <w:r w:rsidR="009A12AA">
        <w:rPr>
          <w:sz w:val="20"/>
        </w:rPr>
        <w:t> </w:t>
      </w:r>
      <w:r>
        <w:rPr>
          <w:sz w:val="20"/>
        </w:rPr>
        <w:t>sądu</w:t>
      </w:r>
    </w:p>
    <w:p w14:paraId="1C611A6B" w14:textId="3BBF8D96" w:rsidR="00A12393" w:rsidRPr="00710DEE" w:rsidRDefault="009F6771" w:rsidP="00710DEE">
      <w:pPr>
        <w:pBdr>
          <w:top w:val="single" w:sz="4" w:space="1" w:color="auto"/>
          <w:left w:val="single" w:sz="4" w:space="4" w:color="auto"/>
          <w:bottom w:val="single" w:sz="4" w:space="1" w:color="auto"/>
          <w:right w:val="single" w:sz="4" w:space="4" w:color="auto"/>
        </w:pBdr>
        <w:jc w:val="both"/>
        <w:rPr>
          <w:sz w:val="20"/>
          <w:szCs w:val="20"/>
        </w:rPr>
      </w:pPr>
      <w:r>
        <w:rPr>
          <w:sz w:val="20"/>
        </w:rPr>
        <w:t>Artykuł 35 ust. 1 • Skargi wniesione w mającym zastosowanie terminie sześciu miesięcy od</w:t>
      </w:r>
      <w:r w:rsidR="001A420B">
        <w:rPr>
          <w:sz w:val="20"/>
        </w:rPr>
        <w:t> </w:t>
      </w:r>
      <w:r>
        <w:rPr>
          <w:sz w:val="20"/>
        </w:rPr>
        <w:t>prawomocnego postanowienia o odmowie rozpoznania zarzutów skarżących • Skarżący dopiero po tym postanowieniu dowiedzieli się o nieskuteczności wykorzystanych krajowych środków odwoławczych • Nowa i bezprecedensowa sytuacja, w której brak było właściwego orzecznictwa wskazującego na niemożność zaskarżenia postanowienia Prezydenta o</w:t>
      </w:r>
      <w:r w:rsidR="001A420B">
        <w:rPr>
          <w:sz w:val="20"/>
        </w:rPr>
        <w:t> </w:t>
      </w:r>
      <w:r>
        <w:rPr>
          <w:sz w:val="20"/>
        </w:rPr>
        <w:t>odmowie powołania osób, które uzyskały rekomendację KRS, na stanowiska sędziowskie</w:t>
      </w:r>
    </w:p>
    <w:p w14:paraId="543F4E1E" w14:textId="77777777" w:rsidR="00710DEE" w:rsidRPr="00710DEE" w:rsidRDefault="00710DEE" w:rsidP="00710DEE">
      <w:pPr>
        <w:pBdr>
          <w:top w:val="single" w:sz="4" w:space="1" w:color="auto"/>
          <w:left w:val="single" w:sz="4" w:space="4" w:color="auto"/>
          <w:bottom w:val="single" w:sz="4" w:space="1" w:color="auto"/>
          <w:right w:val="single" w:sz="4" w:space="4" w:color="auto"/>
        </w:pBdr>
        <w:jc w:val="center"/>
        <w:rPr>
          <w:sz w:val="12"/>
          <w:szCs w:val="12"/>
        </w:rPr>
      </w:pPr>
    </w:p>
    <w:p w14:paraId="1BA4A72C" w14:textId="7D754456" w:rsidR="00710DEE" w:rsidRPr="00710DEE" w:rsidRDefault="009F6771" w:rsidP="00710DEE">
      <w:pPr>
        <w:pBdr>
          <w:top w:val="single" w:sz="4" w:space="1" w:color="auto"/>
          <w:left w:val="single" w:sz="4" w:space="4" w:color="auto"/>
          <w:bottom w:val="single" w:sz="4" w:space="1" w:color="auto"/>
          <w:right w:val="single" w:sz="4" w:space="4" w:color="auto"/>
        </w:pBdr>
        <w:jc w:val="center"/>
        <w:rPr>
          <w:sz w:val="16"/>
          <w:szCs w:val="16"/>
        </w:rPr>
      </w:pPr>
      <w:r>
        <w:rPr>
          <w:sz w:val="16"/>
        </w:rPr>
        <w:t>Streszczenie przygot</w:t>
      </w:r>
      <w:r w:rsidR="00C81EB3">
        <w:rPr>
          <w:sz w:val="16"/>
        </w:rPr>
        <w:t>owała</w:t>
      </w:r>
      <w:r>
        <w:rPr>
          <w:sz w:val="16"/>
        </w:rPr>
        <w:t xml:space="preserve"> Kancelari</w:t>
      </w:r>
      <w:r w:rsidR="00C81EB3">
        <w:rPr>
          <w:sz w:val="16"/>
        </w:rPr>
        <w:t>a</w:t>
      </w:r>
      <w:r>
        <w:rPr>
          <w:sz w:val="16"/>
        </w:rPr>
        <w:t>. Nie jest wiążące dla Trybunału.</w:t>
      </w:r>
    </w:p>
    <w:p w14:paraId="16AE0766" w14:textId="77777777" w:rsidR="00A12393" w:rsidRPr="00710DEE" w:rsidRDefault="00A12393" w:rsidP="00710DEE">
      <w:pPr>
        <w:pStyle w:val="DecHCase"/>
        <w:keepNext w:val="0"/>
        <w:keepLines w:val="0"/>
      </w:pPr>
    </w:p>
    <w:p w14:paraId="2D5E8150" w14:textId="77777777" w:rsidR="0098410D" w:rsidRPr="00710DEE" w:rsidRDefault="009F6771" w:rsidP="00710DEE">
      <w:pPr>
        <w:pStyle w:val="DecHCase"/>
        <w:keepNext w:val="0"/>
        <w:keepLines w:val="0"/>
      </w:pPr>
      <w:r>
        <w:t>STRASBURG</w:t>
      </w:r>
    </w:p>
    <w:p w14:paraId="44C009BB" w14:textId="2D4C9F87" w:rsidR="00AC4CD4" w:rsidRDefault="009F6771" w:rsidP="00FB33A5">
      <w:pPr>
        <w:pStyle w:val="DecHCase"/>
        <w:keepNext w:val="0"/>
        <w:keepLines w:val="0"/>
        <w:rPr>
          <w:rFonts w:ascii="Times New Roman" w:hAnsi="Times New Roman"/>
        </w:rPr>
      </w:pPr>
      <w:r>
        <w:rPr>
          <w:rFonts w:ascii="Times New Roman" w:hAnsi="Times New Roman"/>
        </w:rPr>
        <w:t>21 maja 2026 r.</w:t>
      </w:r>
    </w:p>
    <w:p w14:paraId="69DDF318" w14:textId="77777777" w:rsidR="00C81EB3" w:rsidRDefault="00C81EB3" w:rsidP="005A5F27">
      <w:pPr>
        <w:pStyle w:val="DecHCase"/>
        <w:keepNext w:val="0"/>
        <w:keepLines w:val="0"/>
      </w:pPr>
    </w:p>
    <w:p w14:paraId="01E2D91B" w14:textId="03CA4512" w:rsidR="0098410D" w:rsidRPr="00710DEE" w:rsidRDefault="00560618" w:rsidP="00710DEE">
      <w:pPr>
        <w:sectPr w:rsidR="0098410D" w:rsidRPr="00710DEE"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r w:rsidRPr="00560618">
        <w:rPr>
          <w:i/>
          <w:sz w:val="22"/>
        </w:rPr>
        <w:lastRenderedPageBreak/>
        <w:t>Niniejszy wyrok stanie się ostateczny na warunkach określonych w art. 44 ust. 2 Konwencji. Wyrok może podlegać korekcie wydawniczej.</w:t>
      </w:r>
    </w:p>
    <w:p w14:paraId="76AF9CAC" w14:textId="77777777" w:rsidR="0098410D" w:rsidRPr="00710DEE" w:rsidRDefault="009F6771" w:rsidP="00710DEE">
      <w:pPr>
        <w:pStyle w:val="JuCase"/>
      </w:pPr>
      <w:r>
        <w:lastRenderedPageBreak/>
        <w:t>W sprawie Sobczyńska i Inni przeciwko Polsce,</w:t>
      </w:r>
    </w:p>
    <w:p w14:paraId="4A1A77B5" w14:textId="01C88375" w:rsidR="009F4C8F" w:rsidRPr="00710DEE" w:rsidRDefault="009F6771" w:rsidP="00710DEE">
      <w:pPr>
        <w:pStyle w:val="JuPara"/>
      </w:pPr>
      <w:r>
        <w:t>Europejski Trybunał Praw Człowieka (Sekcja</w:t>
      </w:r>
      <w:r w:rsidR="001066DB" w:rsidRPr="001066DB">
        <w:t xml:space="preserve"> </w:t>
      </w:r>
      <w:r w:rsidR="001066DB">
        <w:t>Pierwsza</w:t>
      </w:r>
      <w:r>
        <w:t>), zasiadając jako Izba w składzie:</w:t>
      </w:r>
    </w:p>
    <w:p w14:paraId="746F4A05" w14:textId="1DBC9CDF" w:rsidR="00A92625" w:rsidRPr="00710DEE" w:rsidRDefault="009F6771" w:rsidP="00710DEE">
      <w:pPr>
        <w:pStyle w:val="JuJudges"/>
      </w:pPr>
      <w:r>
        <w:tab/>
        <w:t xml:space="preserve">Ivana </w:t>
      </w:r>
      <w:proofErr w:type="spellStart"/>
      <w:r>
        <w:t>Jelić</w:t>
      </w:r>
      <w:proofErr w:type="spellEnd"/>
      <w:r>
        <w:rPr>
          <w:i/>
        </w:rPr>
        <w:t xml:space="preserve">, </w:t>
      </w:r>
      <w:r w:rsidR="001066DB">
        <w:rPr>
          <w:i/>
        </w:rPr>
        <w:t>p</w:t>
      </w:r>
      <w:r>
        <w:rPr>
          <w:i/>
        </w:rPr>
        <w:t>rzewodnicząca</w:t>
      </w:r>
      <w:r>
        <w:t>,</w:t>
      </w:r>
      <w:r>
        <w:br/>
      </w:r>
      <w:r>
        <w:tab/>
      </w:r>
      <w:proofErr w:type="spellStart"/>
      <w:r>
        <w:t>Raffaele</w:t>
      </w:r>
      <w:proofErr w:type="spellEnd"/>
      <w:r>
        <w:t xml:space="preserve"> </w:t>
      </w:r>
      <w:proofErr w:type="spellStart"/>
      <w:r>
        <w:t>Sabato</w:t>
      </w:r>
      <w:proofErr w:type="spellEnd"/>
      <w:r>
        <w:t>,</w:t>
      </w:r>
      <w:r>
        <w:br/>
      </w:r>
      <w:r>
        <w:tab/>
      </w:r>
      <w:proofErr w:type="spellStart"/>
      <w:r>
        <w:t>Frédéric</w:t>
      </w:r>
      <w:proofErr w:type="spellEnd"/>
      <w:r>
        <w:t xml:space="preserve"> Krenc,</w:t>
      </w:r>
      <w:r>
        <w:br/>
      </w:r>
      <w:r>
        <w:tab/>
      </w:r>
      <w:proofErr w:type="spellStart"/>
      <w:r>
        <w:t>Davor</w:t>
      </w:r>
      <w:proofErr w:type="spellEnd"/>
      <w:r>
        <w:t xml:space="preserve"> </w:t>
      </w:r>
      <w:proofErr w:type="spellStart"/>
      <w:r>
        <w:t>Derenčinović</w:t>
      </w:r>
      <w:proofErr w:type="spellEnd"/>
      <w:r>
        <w:t>,</w:t>
      </w:r>
      <w:r>
        <w:br/>
      </w:r>
      <w:r>
        <w:tab/>
        <w:t xml:space="preserve">Alain </w:t>
      </w:r>
      <w:proofErr w:type="spellStart"/>
      <w:r>
        <w:t>Chablais</w:t>
      </w:r>
      <w:proofErr w:type="spellEnd"/>
      <w:r>
        <w:t>,</w:t>
      </w:r>
      <w:r>
        <w:br/>
      </w:r>
      <w:r>
        <w:tab/>
      </w:r>
      <w:proofErr w:type="spellStart"/>
      <w:r>
        <w:t>Artūrs</w:t>
      </w:r>
      <w:proofErr w:type="spellEnd"/>
      <w:r>
        <w:t xml:space="preserve"> </w:t>
      </w:r>
      <w:proofErr w:type="spellStart"/>
      <w:r>
        <w:t>Kučs</w:t>
      </w:r>
      <w:proofErr w:type="spellEnd"/>
      <w:r>
        <w:t>,</w:t>
      </w:r>
      <w:r>
        <w:br/>
      </w:r>
      <w:r>
        <w:tab/>
        <w:t>Anna Adamska-Gallant</w:t>
      </w:r>
      <w:r>
        <w:rPr>
          <w:i/>
        </w:rPr>
        <w:t>, sędziowie</w:t>
      </w:r>
      <w:r>
        <w:t>,</w:t>
      </w:r>
      <w:r>
        <w:br/>
        <w:t xml:space="preserve">i </w:t>
      </w:r>
      <w:proofErr w:type="spellStart"/>
      <w:r>
        <w:t>Ilse</w:t>
      </w:r>
      <w:proofErr w:type="spellEnd"/>
      <w:r>
        <w:t xml:space="preserve"> </w:t>
      </w:r>
      <w:proofErr w:type="spellStart"/>
      <w:r>
        <w:t>Freiwirth</w:t>
      </w:r>
      <w:proofErr w:type="spellEnd"/>
      <w:r>
        <w:t>,</w:t>
      </w:r>
      <w:r>
        <w:rPr>
          <w:i/>
        </w:rPr>
        <w:t xml:space="preserve"> </w:t>
      </w:r>
      <w:r w:rsidR="001066DB">
        <w:rPr>
          <w:i/>
        </w:rPr>
        <w:t>k</w:t>
      </w:r>
      <w:r>
        <w:rPr>
          <w:i/>
        </w:rPr>
        <w:t>anclerz Sekcji,</w:t>
      </w:r>
    </w:p>
    <w:p w14:paraId="6C7797E7" w14:textId="77777777" w:rsidR="00E44928" w:rsidRPr="00710DEE" w:rsidRDefault="009F6771" w:rsidP="00710DEE">
      <w:pPr>
        <w:pStyle w:val="JuPara"/>
      </w:pPr>
      <w:r>
        <w:t>mając na uwadze:</w:t>
      </w:r>
    </w:p>
    <w:p w14:paraId="430B5CF3" w14:textId="3AAF8107" w:rsidR="00E44928" w:rsidRPr="00710DEE" w:rsidRDefault="009F6771" w:rsidP="00710DEE">
      <w:pPr>
        <w:pStyle w:val="JuPara"/>
      </w:pPr>
      <w:r>
        <w:t xml:space="preserve">skargi przeciwko Polsce wniesione do Trybunału na podstawie art. 34 Konwencji o ochronie praw człowieka i podstawowych wolności („Konwencja”), tj. skargę nr 62765/14 wniesioną przez panią Aleksandrę Sobczyńską („pierwsza skarżąca”), skargę nr 62769/14 wniesioną przez pana Adriana Klepacza („drugi skarżący”) oraz skargę nr 62772/14 wniesioną przez pana Rafała </w:t>
      </w:r>
      <w:proofErr w:type="spellStart"/>
      <w:r>
        <w:t>Brukiewicza</w:t>
      </w:r>
      <w:proofErr w:type="spellEnd"/>
      <w:r>
        <w:t xml:space="preserve"> („trzeci skarżący”) – obywateli polskich – w</w:t>
      </w:r>
      <w:r w:rsidR="001A420B">
        <w:t> </w:t>
      </w:r>
      <w:r>
        <w:t>dniach wskazanych w załączonej tabeli;</w:t>
      </w:r>
    </w:p>
    <w:p w14:paraId="25F99CA3" w14:textId="67DAC754" w:rsidR="00E44928" w:rsidRPr="00710DEE" w:rsidRDefault="009F6771" w:rsidP="00710DEE">
      <w:pPr>
        <w:pStyle w:val="JuPara"/>
      </w:pPr>
      <w:r>
        <w:t>decyzję o zakomunikowaniu polskiemu rządowi („</w:t>
      </w:r>
      <w:r w:rsidR="009D5E7B">
        <w:t>r</w:t>
      </w:r>
      <w:r>
        <w:t>ząd”) sprawy dotyczącej art. 6 ust. 1 i art. 13 Konwencji i o uznaniu pozostałej części skarg za niedopuszczalną;</w:t>
      </w:r>
    </w:p>
    <w:p w14:paraId="73FAE231" w14:textId="4F1DD88A" w:rsidR="00E44928" w:rsidRPr="00710DEE" w:rsidRDefault="009F6771" w:rsidP="00710DEE">
      <w:pPr>
        <w:pStyle w:val="JuPara"/>
      </w:pPr>
      <w:r>
        <w:t xml:space="preserve">uwagi przedstawione przez pozwany </w:t>
      </w:r>
      <w:r w:rsidR="009D5E7B">
        <w:t>r</w:t>
      </w:r>
      <w:r>
        <w:t>ząd oraz przekazane w odpowiedzi uwagi skarżących;</w:t>
      </w:r>
    </w:p>
    <w:p w14:paraId="7AC46EDA" w14:textId="77777777" w:rsidR="00E44928" w:rsidRPr="00710DEE" w:rsidRDefault="009F6771" w:rsidP="00710DEE">
      <w:pPr>
        <w:pStyle w:val="JuPara"/>
      </w:pPr>
      <w:r>
        <w:t>uwagi przedstawione przez Rzecznika Praw Obywatelskich Rzeczypospolitej Polskiej oraz Stowarzyszenie Sędziów Polskich „</w:t>
      </w:r>
      <w:proofErr w:type="spellStart"/>
      <w:r>
        <w:t>Iustitia</w:t>
      </w:r>
      <w:proofErr w:type="spellEnd"/>
      <w:r>
        <w:t>”, którym Przewodnicząca Sekcji udzieliła zezwolenia na interwencję,</w:t>
      </w:r>
    </w:p>
    <w:p w14:paraId="5CDDA78A" w14:textId="47090165" w:rsidR="009F4C8F" w:rsidRPr="00710DEE" w:rsidRDefault="009D5E7B" w:rsidP="00710DEE">
      <w:pPr>
        <w:pStyle w:val="JuPara"/>
      </w:pPr>
      <w:r>
        <w:t xml:space="preserve">po naradzie </w:t>
      </w:r>
      <w:r w:rsidR="009F6771">
        <w:t>na posiedzeniu niejawnym w dniu 28 kwietnia 2026 r.,</w:t>
      </w:r>
    </w:p>
    <w:p w14:paraId="3E714D32" w14:textId="77777777" w:rsidR="009F4C8F" w:rsidRPr="00710DEE" w:rsidRDefault="009F6771" w:rsidP="00710DEE">
      <w:pPr>
        <w:pStyle w:val="JuPara"/>
      </w:pPr>
      <w:r>
        <w:t>wydaje następujący wyrok, który został przyjęty w tym dniu:</w:t>
      </w:r>
    </w:p>
    <w:p w14:paraId="1BAB5EDE" w14:textId="77777777" w:rsidR="00E44928" w:rsidRPr="00710DEE" w:rsidRDefault="009F6771" w:rsidP="00710DEE">
      <w:pPr>
        <w:pStyle w:val="JuHHead"/>
        <w:numPr>
          <w:ilvl w:val="0"/>
          <w:numId w:val="0"/>
        </w:numPr>
      </w:pPr>
      <w:r>
        <w:t>WPROWADZENIE</w:t>
      </w:r>
    </w:p>
    <w:p w14:paraId="18632D1D" w14:textId="3F8762AC"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w:t>
      </w:r>
      <w:r w:rsidRPr="00710DEE">
        <w:fldChar w:fldCharType="end"/>
      </w:r>
      <w:r>
        <w:t>.</w:t>
      </w:r>
      <w:r w:rsidR="00BF573B">
        <w:t xml:space="preserve"> </w:t>
      </w:r>
      <w:r>
        <w:t>Sprawa dotyczy odmowy powołania skarżących przez Prezydenta Rzeczypospolitej na wakujące stanowiska sędziowskie, mimo że skarżący pomyślnie przeszli przez konkursową procedurę przeprowadzoną przez Krajową Radę Sądownictwa, oraz braku jakiejkolwiek kontroli sądowej tego postanowienia. Podniesiono w niej zarzuty naruszenia art. 6 ust. 1 Konwencji.</w:t>
      </w:r>
    </w:p>
    <w:p w14:paraId="2FC6696F" w14:textId="47E1384D"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2</w:t>
      </w:r>
      <w:r w:rsidRPr="00710DEE">
        <w:fldChar w:fldCharType="end"/>
      </w:r>
      <w:r>
        <w:t>.</w:t>
      </w:r>
      <w:r w:rsidR="00BF573B">
        <w:t xml:space="preserve"> </w:t>
      </w:r>
      <w:r>
        <w:t xml:space="preserve">Choć sprawa dotyczy zagadnień związanych z ustrojem sądownictwa, istotne dla niej zdarzenia miały miejsce przed gruntowną reformą sądownictwa zapoczątkowaną w 2017 r. (ogólny zarys zob. </w:t>
      </w:r>
      <w:r>
        <w:rPr>
          <w:i/>
          <w:iCs/>
        </w:rPr>
        <w:t>Wałęsa przeciwko Polsce</w:t>
      </w:r>
      <w:r>
        <w:t>, skarga nr 50849/21, §§ 2</w:t>
      </w:r>
      <w:r>
        <w:noBreakHyphen/>
        <w:t>4, 23 listopada 2023 r.). W</w:t>
      </w:r>
      <w:r w:rsidR="001A420B">
        <w:t> </w:t>
      </w:r>
      <w:r>
        <w:t>szczególności wszystkie czynności podjęte przez Krajową Radę Sądownictwa (która przeprowadziła odnośne procedury naboru) miały miejsce przed 6 marca 2018 r. (</w:t>
      </w:r>
      <w:bookmarkStart w:id="0" w:name="_cl40859INTRODUCTION"/>
      <w:r>
        <w:t xml:space="preserve">szczegóły zob. </w:t>
      </w:r>
      <w:proofErr w:type="spellStart"/>
      <w:r>
        <w:rPr>
          <w:i/>
          <w:iCs/>
        </w:rPr>
        <w:t>Reczkowicz</w:t>
      </w:r>
      <w:proofErr w:type="spellEnd"/>
      <w:r>
        <w:rPr>
          <w:i/>
          <w:iCs/>
        </w:rPr>
        <w:t xml:space="preserve"> przeciwko Polsce</w:t>
      </w:r>
      <w:bookmarkEnd w:id="0"/>
      <w:r>
        <w:t xml:space="preserve">, </w:t>
      </w:r>
      <w:r>
        <w:lastRenderedPageBreak/>
        <w:t xml:space="preserve">skarga nr 43447/19, § 14 i §§ 271–278, 22 lipca 2021 r.), a skład Trybunału Konstytucyjnego w postępowaniach dotyczących skarżących nie konstytuował naruszenia rozpoznanego przez tutejszy Trybunał w sprawie </w:t>
      </w:r>
      <w:bookmarkStart w:id="1" w:name="_cl40698INTRODUCTION"/>
      <w:r>
        <w:rPr>
          <w:i/>
          <w:iCs/>
        </w:rPr>
        <w:t>Xero Flor w Polsce sp. z o.o. przeciwko Polsce</w:t>
      </w:r>
      <w:bookmarkEnd w:id="1"/>
      <w:r>
        <w:t xml:space="preserve"> (skarga nr 4907/18, 7 maja 2021 r.).</w:t>
      </w:r>
    </w:p>
    <w:p w14:paraId="69C78E21" w14:textId="77777777" w:rsidR="00E44928" w:rsidRPr="00710DEE" w:rsidRDefault="009F6771" w:rsidP="00710DEE">
      <w:pPr>
        <w:pStyle w:val="JuHHead"/>
      </w:pPr>
      <w:r>
        <w:t>FAKTY</w:t>
      </w:r>
    </w:p>
    <w:p w14:paraId="27A47AC8" w14:textId="2639B751"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3</w:t>
      </w:r>
      <w:r w:rsidRPr="00710DEE">
        <w:fldChar w:fldCharType="end"/>
      </w:r>
      <w:r>
        <w:t>.</w:t>
      </w:r>
      <w:r w:rsidR="00BF573B">
        <w:t xml:space="preserve"> </w:t>
      </w:r>
      <w:r>
        <w:t>Wykaz skarżących zamieszczono w załączniku.</w:t>
      </w:r>
    </w:p>
    <w:p w14:paraId="6C07089F" w14:textId="5080C1BF"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4</w:t>
      </w:r>
      <w:r w:rsidRPr="00710DEE">
        <w:fldChar w:fldCharType="end"/>
      </w:r>
      <w:r>
        <w:t>.</w:t>
      </w:r>
      <w:r w:rsidR="00BF573B">
        <w:t xml:space="preserve"> </w:t>
      </w:r>
      <w:r>
        <w:t>Rząd Rzeczypospolitej Polskiej („</w:t>
      </w:r>
      <w:r w:rsidR="00592ACB">
        <w:t>r</w:t>
      </w:r>
      <w:r>
        <w:t>ząd”) reprezentowany był przez swojego pełnomocnika p. J. Sobczaka, zastąpionego następnie przez p. A. </w:t>
      </w:r>
      <w:proofErr w:type="spellStart"/>
      <w:r>
        <w:t>Kozińską-Makowską</w:t>
      </w:r>
      <w:proofErr w:type="spellEnd"/>
      <w:r>
        <w:t xml:space="preserve"> z Ministerstwa Spraw Zagranicznych.</w:t>
      </w:r>
    </w:p>
    <w:p w14:paraId="64E29DEA" w14:textId="76959A7E"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5</w:t>
      </w:r>
      <w:r w:rsidRPr="00710DEE">
        <w:fldChar w:fldCharType="end"/>
      </w:r>
      <w:r>
        <w:t>.</w:t>
      </w:r>
      <w:r w:rsidR="00BF573B">
        <w:t xml:space="preserve"> </w:t>
      </w:r>
      <w:r>
        <w:t>Okoliczności faktyczne sprawy można streścić w następujący sposób.</w:t>
      </w:r>
    </w:p>
    <w:p w14:paraId="64D11869" w14:textId="77777777" w:rsidR="00E44928" w:rsidRPr="00710DEE" w:rsidRDefault="009F6771" w:rsidP="00710DEE">
      <w:pPr>
        <w:pStyle w:val="JuHIRoman"/>
      </w:pPr>
      <w:r>
        <w:t>Wnioski o powołanie na wakujące stanowiska sędziowskie w 2006 r.</w:t>
      </w:r>
    </w:p>
    <w:bookmarkStart w:id="2" w:name="paragraph00006"/>
    <w:p w14:paraId="44A25E65" w14:textId="2623E642"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6</w:t>
      </w:r>
      <w:r w:rsidRPr="00710DEE">
        <w:fldChar w:fldCharType="end"/>
      </w:r>
      <w:bookmarkEnd w:id="2"/>
      <w:r>
        <w:t>.</w:t>
      </w:r>
      <w:r w:rsidR="00BF573B">
        <w:t xml:space="preserve"> </w:t>
      </w:r>
      <w:r>
        <w:t xml:space="preserve">W rozpatrywanym okresie, w 2006 r., skarżący pracowali w różnych sądach rejonowych (pierwszej instancji) jako asesorzy sądowi (szczegóły zob. </w:t>
      </w:r>
      <w:r w:rsidR="00C61616">
        <w:t xml:space="preserve"> paragraf</w:t>
      </w:r>
      <w:r>
        <w:t xml:space="preserve"> </w:t>
      </w:r>
      <w:r w:rsidRPr="00710DEE">
        <w:fldChar w:fldCharType="begin"/>
      </w:r>
      <w:r w:rsidRPr="00710DEE">
        <w:instrText xml:space="preserve">REF paragraph00040 \h \* CharFormat </w:instrText>
      </w:r>
      <w:r w:rsidRPr="00710DEE">
        <w:fldChar w:fldCharType="separate"/>
      </w:r>
      <w:r w:rsidR="001A420B">
        <w:t>40</w:t>
      </w:r>
      <w:r w:rsidRPr="00710DEE">
        <w:fldChar w:fldCharType="end"/>
      </w:r>
      <w:r>
        <w:t>-</w:t>
      </w:r>
      <w:r w:rsidRPr="00710DEE">
        <w:fldChar w:fldCharType="begin"/>
      </w:r>
      <w:r w:rsidRPr="00710DEE">
        <w:instrText xml:space="preserve">REF paragraph00043 \h \* CharFormat </w:instrText>
      </w:r>
      <w:r w:rsidRPr="00710DEE">
        <w:fldChar w:fldCharType="separate"/>
      </w:r>
      <w:r w:rsidR="001A420B">
        <w:t>43</w:t>
      </w:r>
      <w:r w:rsidRPr="00710DEE">
        <w:fldChar w:fldCharType="end"/>
      </w:r>
      <w:r>
        <w:t xml:space="preserve"> poniżej).</w:t>
      </w:r>
    </w:p>
    <w:p w14:paraId="240C11E6" w14:textId="5C3BA7F9"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7</w:t>
      </w:r>
      <w:r w:rsidRPr="00710DEE">
        <w:fldChar w:fldCharType="end"/>
      </w:r>
      <w:r>
        <w:t>.</w:t>
      </w:r>
      <w:r w:rsidR="00BF573B">
        <w:t xml:space="preserve"> </w:t>
      </w:r>
      <w:r>
        <w:t xml:space="preserve">Zgodnie z właściwymi przepisami – w brzmieniu obowiązującym w omawianym okresie (zob. </w:t>
      </w:r>
      <w:r w:rsidR="00C61616">
        <w:t xml:space="preserve"> paragraf</w:t>
      </w:r>
      <w:r>
        <w:t xml:space="preserve"> </w:t>
      </w:r>
      <w:r w:rsidRPr="00710DEE">
        <w:fldChar w:fldCharType="begin"/>
      </w:r>
      <w:r w:rsidRPr="00710DEE">
        <w:instrText xml:space="preserve">REF paragraph00043 \h \* CharFormat </w:instrText>
      </w:r>
      <w:r w:rsidRPr="00710DEE">
        <w:fldChar w:fldCharType="separate"/>
      </w:r>
      <w:r w:rsidR="001A420B">
        <w:t>43</w:t>
      </w:r>
      <w:r w:rsidRPr="00710DEE">
        <w:fldChar w:fldCharType="end"/>
      </w:r>
      <w:r>
        <w:t xml:space="preserve"> poniżej) – aby zostać powołanym na stanowisko sędziego, kandydat na to stanowisko co do zasady musiał pracować w charakterze asesora sądowego przez co najmniej trzy lata.</w:t>
      </w:r>
    </w:p>
    <w:bookmarkStart w:id="3" w:name="paragraph00008"/>
    <w:p w14:paraId="7E1769C9" w14:textId="77A7D691"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8</w:t>
      </w:r>
      <w:r w:rsidRPr="00710DEE">
        <w:fldChar w:fldCharType="end"/>
      </w:r>
      <w:bookmarkEnd w:id="3"/>
      <w:r>
        <w:t>.</w:t>
      </w:r>
      <w:r w:rsidR="00BF573B">
        <w:t xml:space="preserve"> </w:t>
      </w:r>
      <w:r>
        <w:t>W 2006 r. skarżący ubiegali się o wakujące stanowiska sędziów sądów rejonowych odpowiednio w Słubicach, Jeleniej Górze i Gliwicach. Po</w:t>
      </w:r>
      <w:r w:rsidR="001A420B">
        <w:t> </w:t>
      </w:r>
      <w:r>
        <w:t>uzyskaniu pozytywnej opinii właściwych zgromadzeń ogólnych przedmiotowych sądów oraz Krajowej Rady Sądownictwa (dalej: „KRS”) – odpowiednio w październiku 2006 r., czerwcu 2006 r. i lutym 2007 r. – kandydatury skarżących zostały przedstawione przez KRS Prezydentowi Rzeczypospolitej wraz z wnioskami o powołanie.</w:t>
      </w:r>
    </w:p>
    <w:p w14:paraId="63423DED" w14:textId="77777777" w:rsidR="00E44928" w:rsidRPr="00710DEE" w:rsidRDefault="009F6771" w:rsidP="00710DEE">
      <w:pPr>
        <w:pStyle w:val="JuHIRoman"/>
      </w:pPr>
      <w:r>
        <w:t>Prezydent Rzeczypospolitej odmówił powołania skarżących postanowieniem z dnia 3 stycznia 2008 r.</w:t>
      </w:r>
    </w:p>
    <w:p w14:paraId="7F4E9B50" w14:textId="7CDF7414"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9</w:t>
      </w:r>
      <w:r w:rsidRPr="00710DEE">
        <w:fldChar w:fldCharType="end"/>
      </w:r>
      <w:r>
        <w:t>.</w:t>
      </w:r>
      <w:r w:rsidR="00BF573B">
        <w:t xml:space="preserve"> </w:t>
      </w:r>
      <w:r>
        <w:t>W sierpniu 2007 r. KRS poinformowała skarżących, że otrzymała pismo od Prezydenta Rzeczypospolitej, w którym wskazał, że nie zamierza ich powołać.</w:t>
      </w:r>
    </w:p>
    <w:bookmarkStart w:id="4" w:name="paragraph00010"/>
    <w:p w14:paraId="05A953B0" w14:textId="237529C4"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10</w:t>
      </w:r>
      <w:r w:rsidRPr="00710DEE">
        <w:fldChar w:fldCharType="end"/>
      </w:r>
      <w:bookmarkEnd w:id="4"/>
      <w:r>
        <w:t>.</w:t>
      </w:r>
      <w:r w:rsidR="00BF573B">
        <w:t xml:space="preserve"> </w:t>
      </w:r>
      <w:r>
        <w:t>W listopadzie 2007 r. skarżący skierowali do Prezydenta Rzeczypospolitej wezwanie do usunięcia naruszenia prawa, które w ich ocenie wynikało z odmowy ich powołania.</w:t>
      </w:r>
    </w:p>
    <w:bookmarkStart w:id="5" w:name="paragraph00011"/>
    <w:p w14:paraId="4BFC31B9" w14:textId="60CFF97A"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11</w:t>
      </w:r>
      <w:r w:rsidRPr="00710DEE">
        <w:fldChar w:fldCharType="end"/>
      </w:r>
      <w:bookmarkEnd w:id="5"/>
      <w:r>
        <w:t>.</w:t>
      </w:r>
      <w:r w:rsidR="00BF573B">
        <w:t xml:space="preserve"> </w:t>
      </w:r>
      <w:r>
        <w:t>W dniu 16 stycznia 2008 r. w Dzienniku Urzędowym Rzeczypospolitej Polskiej „Monitor Polski” opublikowano postanowienie wydane przez Prezydenta Rzeczypospolitej w dniu 3 stycznia 2008 r., w</w:t>
      </w:r>
      <w:r w:rsidR="001A420B">
        <w:t> </w:t>
      </w:r>
      <w:r>
        <w:t xml:space="preserve">którym odmówił </w:t>
      </w:r>
      <w:r>
        <w:lastRenderedPageBreak/>
        <w:t>powołania dziewięciu kandydatów (w tym skarżących) na różne stanowiska w systemie sądownictwa. Postanowienie to nie zawierało uzasadnienia. Był to pierwszy przypadek, w którym Prezydent Rzeczypospolitej odmówił powołania kandydatów wskazanych we wniosku KRS.</w:t>
      </w:r>
    </w:p>
    <w:p w14:paraId="250C552F" w14:textId="77777777" w:rsidR="00E44928" w:rsidRPr="00710DEE" w:rsidRDefault="009F6771" w:rsidP="00710DEE">
      <w:pPr>
        <w:pStyle w:val="JuHIRoman"/>
      </w:pPr>
      <w:r>
        <w:t>Postępowania związane z odmową powołania skarżących przez Prezydenta Rzeczypospolitej</w:t>
      </w:r>
    </w:p>
    <w:p w14:paraId="652CB0C8" w14:textId="77777777" w:rsidR="00E44928" w:rsidRPr="00710DEE" w:rsidRDefault="009F6771" w:rsidP="00710DEE">
      <w:pPr>
        <w:pStyle w:val="JuHA"/>
      </w:pPr>
      <w:r>
        <w:t>Postępowania przed sądami administracyjnymi</w:t>
      </w:r>
    </w:p>
    <w:p w14:paraId="7E86D825" w14:textId="77777777" w:rsidR="00E44928" w:rsidRPr="00710DEE" w:rsidRDefault="009F6771" w:rsidP="00710DEE">
      <w:pPr>
        <w:pStyle w:val="JuH1"/>
      </w:pPr>
      <w:r>
        <w:t>Skargi na bezczynność Prezydenta Rzeczypospolitej</w:t>
      </w:r>
    </w:p>
    <w:bookmarkStart w:id="6" w:name="paragraph00012"/>
    <w:p w14:paraId="161F0E70" w14:textId="6A6567DD"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12</w:t>
      </w:r>
      <w:r w:rsidRPr="00710DEE">
        <w:fldChar w:fldCharType="end"/>
      </w:r>
      <w:bookmarkEnd w:id="6"/>
      <w:r>
        <w:t>.</w:t>
      </w:r>
      <w:r w:rsidR="00BF573B">
        <w:t xml:space="preserve"> </w:t>
      </w:r>
      <w:r>
        <w:t xml:space="preserve">Nie otrzymawszy odpowiedzi na swoje wezwania (zob. </w:t>
      </w:r>
      <w:r w:rsidR="00C61616">
        <w:t xml:space="preserve"> paragraf</w:t>
      </w:r>
      <w:r>
        <w:t xml:space="preserve"> </w:t>
      </w:r>
      <w:r w:rsidRPr="00710DEE">
        <w:fldChar w:fldCharType="begin"/>
      </w:r>
      <w:r w:rsidRPr="00710DEE">
        <w:instrText xml:space="preserve">REF paragraph00010 \h \* CharFormat </w:instrText>
      </w:r>
      <w:r w:rsidRPr="00710DEE">
        <w:fldChar w:fldCharType="separate"/>
      </w:r>
      <w:r w:rsidR="001A420B">
        <w:t>10</w:t>
      </w:r>
      <w:r w:rsidRPr="00710DEE">
        <w:fldChar w:fldCharType="end"/>
      </w:r>
      <w:r>
        <w:t xml:space="preserve"> powyżej), w styczniu 2008 r. skarżący wnieśli do Wojewódzkiego Sądu Administracyjnego w Warszawie skargi na bezczynność Prezydenta Rzeczypospolitej.</w:t>
      </w:r>
    </w:p>
    <w:bookmarkStart w:id="7" w:name="paragraph00013"/>
    <w:p w14:paraId="40799011" w14:textId="4F4E86DD"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13</w:t>
      </w:r>
      <w:r w:rsidRPr="00710DEE">
        <w:fldChar w:fldCharType="end"/>
      </w:r>
      <w:bookmarkEnd w:id="7"/>
      <w:r>
        <w:t>.</w:t>
      </w:r>
      <w:r w:rsidR="00BF573B">
        <w:t xml:space="preserve"> </w:t>
      </w:r>
      <w:r>
        <w:t>W okresie od 25 lutego do 17 marca 2008 r. Wojewódzki Sąd Administracyjny odrzucił skargi. Orzeczenia Sądu Administracyjnego w tej kwestii opierały się na następujących podstawach:</w:t>
      </w:r>
    </w:p>
    <w:p w14:paraId="1298AA8E" w14:textId="1298B69D" w:rsidR="00E44928" w:rsidRPr="00710DEE" w:rsidRDefault="009F6771" w:rsidP="00710DEE">
      <w:pPr>
        <w:pStyle w:val="JuPara"/>
      </w:pPr>
      <w:r>
        <w:t xml:space="preserve">– zgodnie z właściwymi przepisami art. 184 Konstytucji Rzeczypospolitej oraz art. 3 § 2 ustawy – Prawo o postępowaniu przed sądami administracyjnymi („ustawa z 2002 r.” – zob. </w:t>
      </w:r>
      <w:r w:rsidR="00C61616">
        <w:t xml:space="preserve"> paragraf</w:t>
      </w:r>
      <w:r>
        <w:t xml:space="preserve"> </w:t>
      </w:r>
      <w:r w:rsidRPr="00710DEE">
        <w:fldChar w:fldCharType="begin"/>
      </w:r>
      <w:r w:rsidRPr="00710DEE">
        <w:instrText xml:space="preserve">REF paragraph00030 \h \* CharFormat </w:instrText>
      </w:r>
      <w:r w:rsidRPr="00710DEE">
        <w:fldChar w:fldCharType="separate"/>
      </w:r>
      <w:r w:rsidR="001A420B">
        <w:t>30</w:t>
      </w:r>
      <w:r w:rsidRPr="00710DEE">
        <w:fldChar w:fldCharType="end"/>
      </w:r>
      <w:r>
        <w:t xml:space="preserve"> poniżej) bezczynność administracji publicznej może być przedmiotem skargi wniesionej do sądu administracyjnego, pod warunkiem</w:t>
      </w:r>
      <w:r w:rsidR="000543C6">
        <w:t>,</w:t>
      </w:r>
      <w:r>
        <w:t xml:space="preserve"> że dana sprawa należy do właściwości tego sądu;</w:t>
      </w:r>
    </w:p>
    <w:p w14:paraId="05D3BCEA" w14:textId="7181B86D" w:rsidR="00E44928" w:rsidRPr="00710DEE" w:rsidRDefault="009F6771" w:rsidP="00710DEE">
      <w:pPr>
        <w:pStyle w:val="JuPara"/>
      </w:pPr>
      <w:r>
        <w:t>– ponieważ w niniejszej sprawie skarżący usiłowali zakwestionować sposób, w jakim Prezydent Rzeczypospolitej skorzystał ze swojej kompetencji do powoływania sędziów, ich skargi nie podlegały kontroli sądów administracyjnych. Prezydenta Rzeczypospolitej, korzystającego ze</w:t>
      </w:r>
      <w:r w:rsidR="001A420B">
        <w:t> </w:t>
      </w:r>
      <w:r>
        <w:t>swojej kompetencji, nie uznano za organ administracji publicznej. Ponadto rozstrzygnięć Prezydenta Rzeczypospolitej w tej sprawie nie można było zrównać z aktami lub czynnościami, które – jak te, o których mowa w art. 3 § 2 ustawy z 2002 r. – można zaskarżyć do sądu administracyjnego;</w:t>
      </w:r>
    </w:p>
    <w:p w14:paraId="270320BF" w14:textId="77777777" w:rsidR="00E44928" w:rsidRPr="00710DEE" w:rsidRDefault="009F6771" w:rsidP="00710DEE">
      <w:pPr>
        <w:pStyle w:val="JuPara"/>
      </w:pPr>
      <w:r>
        <w:t>– akt powołania nadawał kandydatowi na stanowisko sędziego uprawnienia sędziowskie. Powodował on powstanie stosunku publicznoprawnego między tym kandydatem a państwem, wywołującego skutki głównie w sferze instytucjonalnej. Mimo że przedmiotowy akt dotyczył osoby prywatnej, nie mieścił się w zakresie funkcji administracyjnej;</w:t>
      </w:r>
    </w:p>
    <w:p w14:paraId="3E0BFAA8" w14:textId="7C031921" w:rsidR="00E44928" w:rsidRPr="00710DEE" w:rsidRDefault="009F6771" w:rsidP="00710DEE">
      <w:pPr>
        <w:pStyle w:val="JuPara"/>
      </w:pPr>
      <w:r>
        <w:t>– chociaż na podstawie art. 10 ust. 2 Konstytucji Prezydent Rzeczypospolitej reprezentował władzę wykonawczą, nie uznano go za organ administracji publicznej. Głowa państwa dysponowała szczególnymi uprawnieniami związanymi z prowadzeniem polityki publicznej i</w:t>
      </w:r>
      <w:r w:rsidR="001A420B">
        <w:t> </w:t>
      </w:r>
      <w:r>
        <w:t>wyznaczaniem kierunków działań publicznych (oraz nadzorowaniem ich realizacji).</w:t>
      </w:r>
    </w:p>
    <w:bookmarkStart w:id="8" w:name="paragraph00014"/>
    <w:p w14:paraId="6C9BCC81" w14:textId="07A24ED9" w:rsidR="00E44928" w:rsidRPr="00710DEE" w:rsidRDefault="009F6771" w:rsidP="00710DEE">
      <w:pPr>
        <w:pStyle w:val="JuPara"/>
      </w:pPr>
      <w:r w:rsidRPr="00710DEE">
        <w:lastRenderedPageBreak/>
        <w:fldChar w:fldCharType="begin"/>
      </w:r>
      <w:r w:rsidRPr="00710DEE">
        <w:instrText xml:space="preserve"> SEQ level0 \*arabic \* MERGEFORMAT </w:instrText>
      </w:r>
      <w:r w:rsidRPr="00710DEE">
        <w:fldChar w:fldCharType="separate"/>
      </w:r>
      <w:r w:rsidR="001A420B">
        <w:rPr>
          <w:noProof/>
        </w:rPr>
        <w:t>14</w:t>
      </w:r>
      <w:r w:rsidRPr="00710DEE">
        <w:fldChar w:fldCharType="end"/>
      </w:r>
      <w:bookmarkEnd w:id="8"/>
      <w:r>
        <w:t>.</w:t>
      </w:r>
      <w:r w:rsidR="00BF573B">
        <w:t xml:space="preserve"> </w:t>
      </w:r>
      <w:r>
        <w:t>Skarżący wnieśli skargi kasacyjne od poszczególnych postanowień Wojewódzkiego Sądu Administracyjnego w Warszawie, wnosząc do</w:t>
      </w:r>
      <w:r w:rsidR="001A420B">
        <w:t> </w:t>
      </w:r>
      <w:r>
        <w:t>Naczelnego Sądu Administracyjnego o umorzenie postępowania z uwagi na to, że Prezydent Rzeczypospolitej w międzyczasie zakończył stan bezczynności, wydając postanowienie z dnia 3 stycznia 2008 r. Postanowieniami z dnia 9 października 2012 r. (w sprawach o sygn. akt I</w:t>
      </w:r>
      <w:r w:rsidR="001A420B">
        <w:t> </w:t>
      </w:r>
      <w:r>
        <w:t xml:space="preserve">OSK 1873/12 i </w:t>
      </w:r>
      <w:proofErr w:type="spellStart"/>
      <w:r>
        <w:t>I</w:t>
      </w:r>
      <w:proofErr w:type="spellEnd"/>
      <w:r>
        <w:t xml:space="preserve"> OSK 1872/12) i 16 października 2012 r. (w sprawie o sygn. akt I OSK 1871/12) Naczelny Sąd Administracyjny oddalił skargi kasacyjne, kończąc postępowanie.</w:t>
      </w:r>
    </w:p>
    <w:p w14:paraId="30016A06" w14:textId="77777777" w:rsidR="00E44928" w:rsidRPr="00710DEE" w:rsidRDefault="009F6771" w:rsidP="00710DEE">
      <w:pPr>
        <w:pStyle w:val="JuH1"/>
      </w:pPr>
      <w:r>
        <w:t>Skargi o stwierdzenie nieważności postanowienia o odmowie powołania skarżących</w:t>
      </w:r>
    </w:p>
    <w:bookmarkStart w:id="9" w:name="paragraph00015"/>
    <w:p w14:paraId="414D3714" w14:textId="4003E401"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15</w:t>
      </w:r>
      <w:r w:rsidRPr="00710DEE">
        <w:fldChar w:fldCharType="end"/>
      </w:r>
      <w:bookmarkEnd w:id="9"/>
      <w:r>
        <w:t>.</w:t>
      </w:r>
      <w:r w:rsidR="00BF573B">
        <w:t xml:space="preserve"> </w:t>
      </w:r>
      <w:r>
        <w:t xml:space="preserve">Po opublikowaniu postanowienia Prezydenta z dnia 3 stycznia 2008 r. (zob. </w:t>
      </w:r>
      <w:r w:rsidR="00C61616">
        <w:t xml:space="preserve"> paragraf</w:t>
      </w:r>
      <w:r>
        <w:t xml:space="preserve"> </w:t>
      </w:r>
      <w:r w:rsidRPr="00710DEE">
        <w:fldChar w:fldCharType="begin"/>
      </w:r>
      <w:r w:rsidRPr="00710DEE">
        <w:instrText xml:space="preserve">REF paragraph00011 \h \* CharFormat </w:instrText>
      </w:r>
      <w:r w:rsidRPr="00710DEE">
        <w:fldChar w:fldCharType="separate"/>
      </w:r>
      <w:r w:rsidR="001A420B">
        <w:t>11</w:t>
      </w:r>
      <w:r w:rsidRPr="00710DEE">
        <w:fldChar w:fldCharType="end"/>
      </w:r>
      <w:r>
        <w:t xml:space="preserve"> powyżej) skarżący wnieśli w dniu 15 lutego 2008 r. do</w:t>
      </w:r>
      <w:r w:rsidR="001A420B">
        <w:t> </w:t>
      </w:r>
      <w:r>
        <w:t>Wojewódzkiego Sądu Administracyjnego w Warszawie skargi o</w:t>
      </w:r>
      <w:r w:rsidR="001A420B">
        <w:t> </w:t>
      </w:r>
      <w:r>
        <w:t>stwierdzenie nieważności zaskarżonego postanowienia, podnosząc, że jest ono sprzeczne z wnioskami skierowanymi w ich sprawie przez KRS oraz że</w:t>
      </w:r>
      <w:r w:rsidR="001A420B">
        <w:t> </w:t>
      </w:r>
      <w:r>
        <w:t>pozbawione jest jakiegokolwiek uzasadnienia. W ich ocenie przedmiotowe postanowienie było sprzeczne z: i) art. 179 Konstytucji w</w:t>
      </w:r>
      <w:r w:rsidR="001A420B">
        <w:t> </w:t>
      </w:r>
      <w:r>
        <w:t xml:space="preserve">związku z art. 55 § 1 ustawy – Prawo o ustroju sądów powszechnych (zob. </w:t>
      </w:r>
      <w:r w:rsidR="00C61616">
        <w:t xml:space="preserve"> paragraf</w:t>
      </w:r>
      <w:r>
        <w:t xml:space="preserve"> </w:t>
      </w:r>
      <w:r w:rsidRPr="00710DEE">
        <w:fldChar w:fldCharType="begin"/>
      </w:r>
      <w:r w:rsidRPr="00710DEE">
        <w:instrText xml:space="preserve">REF paragraph00027 \h \* CharFormat </w:instrText>
      </w:r>
      <w:r w:rsidRPr="00710DEE">
        <w:fldChar w:fldCharType="separate"/>
      </w:r>
      <w:r w:rsidR="001A420B">
        <w:t>27</w:t>
      </w:r>
      <w:r w:rsidRPr="00710DEE">
        <w:fldChar w:fldCharType="end"/>
      </w:r>
      <w:r>
        <w:t xml:space="preserve"> poniżej), ii) następującymi przepisami Konstytucji (oraz wywodzonymi z nich zasadami): art. 10 ust. 2 i art. 173 (zasadami leżącymi u podstaw podziału władz oraz niezależności władzy sądowniczej od władzy wykonawczej), art. 32 i art. 60 (prawem równego dostępu do służby publicznej), art. 2 (zasadą demokratycznego państwa prawnego) oraz art. 7 (zasadą legalizmu), a także iii) art. 107 kodeksu postępowania administracyjnego (określającym obligatoryjne elementy składowe każdej decyzji administracyjnej).</w:t>
      </w:r>
    </w:p>
    <w:p w14:paraId="4A46DE5F" w14:textId="182A635B"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16</w:t>
      </w:r>
      <w:r w:rsidRPr="00710DEE">
        <w:fldChar w:fldCharType="end"/>
      </w:r>
      <w:r>
        <w:t>.</w:t>
      </w:r>
      <w:r w:rsidR="00BF573B">
        <w:t xml:space="preserve"> </w:t>
      </w:r>
      <w:r>
        <w:t xml:space="preserve">W 2011 r. Wojewódzki Sąd Administracyjny w Warszawie odrzucił skargi skarżących. Czyniąc to, oparł się na argumentach zbliżonych do tych przedstawionych w postanowieniach o niedopuszczalności skarg skarżących na bezczynność Prezydenta Rzeczypospolitej (zob. </w:t>
      </w:r>
      <w:r w:rsidR="00C61616">
        <w:t xml:space="preserve"> paragraf</w:t>
      </w:r>
      <w:r>
        <w:t xml:space="preserve"> </w:t>
      </w:r>
      <w:r w:rsidRPr="00710DEE">
        <w:fldChar w:fldCharType="begin"/>
      </w:r>
      <w:r w:rsidRPr="00710DEE">
        <w:instrText xml:space="preserve">REF paragraph00013 \h \* CharFormat </w:instrText>
      </w:r>
      <w:r w:rsidRPr="00710DEE">
        <w:fldChar w:fldCharType="separate"/>
      </w:r>
      <w:r w:rsidR="001A420B">
        <w:t>13</w:t>
      </w:r>
      <w:r w:rsidRPr="00710DEE">
        <w:fldChar w:fldCharType="end"/>
      </w:r>
      <w:r>
        <w:t xml:space="preserve"> powyżej).</w:t>
      </w:r>
    </w:p>
    <w:bookmarkStart w:id="10" w:name="paragraph00017"/>
    <w:p w14:paraId="1BCDAFC4" w14:textId="7D2E99F0"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17</w:t>
      </w:r>
      <w:r w:rsidRPr="00710DEE">
        <w:fldChar w:fldCharType="end"/>
      </w:r>
      <w:bookmarkEnd w:id="10"/>
      <w:r>
        <w:t>.</w:t>
      </w:r>
      <w:r w:rsidR="00BF573B">
        <w:t xml:space="preserve"> </w:t>
      </w:r>
      <w:r>
        <w:t xml:space="preserve">Skarżący wnieśli do Naczelnego Sądu Administracyjnego skargi kasacyjne od postanowień Wojewódzkiego Sądu Administracyjnego. Ponieważ w międzyczasie dwoje pierwszych skarżących wniosło skargi konstytucyjne do Trybunału Konstytucyjnego (zob. </w:t>
      </w:r>
      <w:r w:rsidR="00C61616">
        <w:t xml:space="preserve"> paragraf</w:t>
      </w:r>
      <w:r>
        <w:t xml:space="preserve"> </w:t>
      </w:r>
      <w:r w:rsidRPr="00710DEE">
        <w:fldChar w:fldCharType="begin"/>
      </w:r>
      <w:r w:rsidRPr="00710DEE">
        <w:instrText xml:space="preserve">REF paragraph00019 \h \* CharFormat </w:instrText>
      </w:r>
      <w:r w:rsidRPr="00710DEE">
        <w:fldChar w:fldCharType="separate"/>
      </w:r>
      <w:r w:rsidR="001A420B">
        <w:t>19</w:t>
      </w:r>
      <w:r w:rsidRPr="00710DEE">
        <w:fldChar w:fldCharType="end"/>
      </w:r>
      <w:r>
        <w:t xml:space="preserve"> poniżej), postępowanie dotyczące skarg kasacyjnych zawieszono.</w:t>
      </w:r>
    </w:p>
    <w:bookmarkStart w:id="11" w:name="paragraph00018"/>
    <w:p w14:paraId="3CDCB018" w14:textId="195C9B98"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18</w:t>
      </w:r>
      <w:r w:rsidRPr="00710DEE">
        <w:fldChar w:fldCharType="end"/>
      </w:r>
      <w:bookmarkEnd w:id="11"/>
      <w:r>
        <w:t>.</w:t>
      </w:r>
      <w:r w:rsidR="00BF573B">
        <w:t xml:space="preserve"> </w:t>
      </w:r>
      <w:r>
        <w:t xml:space="preserve">Po zakończeniu wyżej wymienionego postępowania przed Trybunałem Konstytucyjnym (zob. </w:t>
      </w:r>
      <w:r w:rsidR="00C61616">
        <w:t xml:space="preserve"> paragraf</w:t>
      </w:r>
      <w:r>
        <w:t xml:space="preserve"> </w:t>
      </w:r>
      <w:r w:rsidRPr="00710DEE">
        <w:fldChar w:fldCharType="begin"/>
      </w:r>
      <w:r w:rsidRPr="00710DEE">
        <w:instrText xml:space="preserve">REF paragraph00020 \h \* CharFormat </w:instrText>
      </w:r>
      <w:r w:rsidRPr="00710DEE">
        <w:fldChar w:fldCharType="separate"/>
      </w:r>
      <w:r w:rsidR="001A420B">
        <w:t>20</w:t>
      </w:r>
      <w:r w:rsidRPr="00710DEE">
        <w:fldChar w:fldCharType="end"/>
      </w:r>
      <w:r>
        <w:t xml:space="preserve"> poniżej) Naczelny Sąd Administracyjny podjął zawieszone postępowania i w dniu 9 października 2012 r. (w sprawach o sygn. akt I OSK 1891/12 i </w:t>
      </w:r>
      <w:proofErr w:type="spellStart"/>
      <w:r>
        <w:t>I</w:t>
      </w:r>
      <w:proofErr w:type="spellEnd"/>
      <w:r>
        <w:t xml:space="preserve"> OSK 1882/12) oraz 16</w:t>
      </w:r>
      <w:r w:rsidR="009A12AA">
        <w:t> </w:t>
      </w:r>
      <w:r>
        <w:t>października 2012 r. (w sprawie o sygn. akt I OSK 1887/12) wydał postanowienia, w których oddalił skargi kasacyjne wniesione przez skarżących, kończąc tym samym postępowanie.</w:t>
      </w:r>
    </w:p>
    <w:p w14:paraId="795C63E7" w14:textId="77777777" w:rsidR="00E44928" w:rsidRPr="00710DEE" w:rsidRDefault="009F6771" w:rsidP="00710DEE">
      <w:pPr>
        <w:pStyle w:val="JuHA"/>
      </w:pPr>
      <w:r>
        <w:lastRenderedPageBreak/>
        <w:t>Postępowania przed Trybunałem Konstytucyjnym</w:t>
      </w:r>
    </w:p>
    <w:p w14:paraId="6871974B" w14:textId="77777777" w:rsidR="00E44928" w:rsidRPr="00710DEE" w:rsidRDefault="009F6771" w:rsidP="00710DEE">
      <w:pPr>
        <w:pStyle w:val="JuH1"/>
      </w:pPr>
      <w:r>
        <w:t>Pierwsza grupa postępowań – wszczętych przez dwoje pierwszych skarżących</w:t>
      </w:r>
    </w:p>
    <w:bookmarkStart w:id="12" w:name="paragraph00019"/>
    <w:p w14:paraId="68C5F42E" w14:textId="291A7A07"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19</w:t>
      </w:r>
      <w:r w:rsidRPr="00710DEE">
        <w:fldChar w:fldCharType="end"/>
      </w:r>
      <w:bookmarkEnd w:id="12"/>
      <w:r>
        <w:t>.</w:t>
      </w:r>
      <w:r w:rsidR="00BF573B">
        <w:t xml:space="preserve"> </w:t>
      </w:r>
      <w:r>
        <w:t>W kwietniu 2008 r. pierwsza skarżąca i drugi skarżący, A.</w:t>
      </w:r>
      <w:r w:rsidR="001A420B">
        <w:t> </w:t>
      </w:r>
      <w:r>
        <w:t xml:space="preserve">Sobczyńska i A. Klepacz (wraz z jeszcze jedną osobą, której dotyczyło postanowienie Prezydenta z dnia 3 stycznia 2008 r., lecz która nie wniosła skargi do tutejszego Trybunału), wnieśli do Trybunału Konstytucyjnego skargę konstytucyjną, wnosząc o stwierdzenie, że art. 55 § 1 ustawy – Prawo o ustroju sądów powszechnych („ustawa z 2001 r.” – zob. </w:t>
      </w:r>
      <w:r w:rsidR="00C61616">
        <w:t xml:space="preserve"> paragraf</w:t>
      </w:r>
      <w:r>
        <w:t xml:space="preserve"> </w:t>
      </w:r>
      <w:r w:rsidRPr="00710DEE">
        <w:fldChar w:fldCharType="begin"/>
      </w:r>
      <w:r w:rsidRPr="00710DEE">
        <w:instrText xml:space="preserve">REF paragraph00027 \h \* CharFormat </w:instrText>
      </w:r>
      <w:r w:rsidRPr="00710DEE">
        <w:fldChar w:fldCharType="separate"/>
      </w:r>
      <w:r w:rsidR="001A420B">
        <w:t>27</w:t>
      </w:r>
      <w:r w:rsidRPr="00710DEE">
        <w:fldChar w:fldCharType="end"/>
      </w:r>
      <w:r>
        <w:t xml:space="preserve"> poniżej) – w zakresie, w jakim pozwalał Prezydentowi Rzeczypospolitej odstąpić od ich powołania bez konieczności uzasadnienia postanowienia (mimo pozytywnego zaopiniowania ich kandydatur przez KRS) – jest niezgodny z</w:t>
      </w:r>
      <w:r w:rsidR="001A420B">
        <w:t> </w:t>
      </w:r>
      <w:r>
        <w:t>następującymi przepisami Konstytucji: art. 32 (zasadą równości wobec prawa i zakazem dyskryminacji), art. 45 ust. 1 w związku z art. 77 ust. 2 (prawem do sądu) oraz art. 60 (prawem równego dostępu do służby publicznej). W swoich skargach konstytucyjnych skarżący przedstawili następujące argumenty:</w:t>
      </w:r>
    </w:p>
    <w:p w14:paraId="0D35840C" w14:textId="77777777" w:rsidR="00E44928" w:rsidRPr="00710DEE" w:rsidRDefault="009F6771" w:rsidP="00710DEE">
      <w:pPr>
        <w:pStyle w:val="JuPara"/>
      </w:pPr>
      <w:r>
        <w:t>– odmowa powołania skarżących przez Prezydenta Rzeczypospolitej stanowiła ingerencję w prawidłowe funkcjonowanie władzy sądowniczej;</w:t>
      </w:r>
    </w:p>
    <w:p w14:paraId="59177316" w14:textId="4AAA871F" w:rsidR="00E44928" w:rsidRPr="00710DEE" w:rsidRDefault="009F6771" w:rsidP="00710DEE">
      <w:pPr>
        <w:pStyle w:val="JuPara"/>
      </w:pPr>
      <w:r>
        <w:t xml:space="preserve">– gwarancje niezawisłości władzy sądowniczej i niezależności sądów odnosiły się zarówno do ich działalności orzeczniczej </w:t>
      </w:r>
      <w:r w:rsidRPr="00C43322">
        <w:rPr>
          <w:i/>
          <w:iCs/>
        </w:rPr>
        <w:t>sensu stricto</w:t>
      </w:r>
      <w:r>
        <w:t>, jak i</w:t>
      </w:r>
      <w:r w:rsidR="001A420B">
        <w:t> </w:t>
      </w:r>
      <w:r>
        <w:t>do</w:t>
      </w:r>
      <w:r w:rsidR="001A420B">
        <w:t> </w:t>
      </w:r>
      <w:r>
        <w:t>procedur nominacyjnych sędziów;</w:t>
      </w:r>
    </w:p>
    <w:p w14:paraId="73A6EBB4" w14:textId="48B7EEE6" w:rsidR="00E44928" w:rsidRPr="00710DEE" w:rsidRDefault="009F6771" w:rsidP="00710DEE">
      <w:pPr>
        <w:pStyle w:val="JuPara"/>
      </w:pPr>
      <w:r>
        <w:t>– wyżej wymieniony zakwestionowany przepis art. 55 § 1 ustawy z 2001 r. był niezgodny z konstytucyjną zasadą poszanowania godności człowieka. Skoro Prezydentowi Rzeczypospolitej przedstawiano wyłącznie wnioski o</w:t>
      </w:r>
      <w:r w:rsidR="001A420B">
        <w:t> </w:t>
      </w:r>
      <w:r>
        <w:t>powołanie tych kandydatów, którzy uprzednio spełnili wszystkie kryteria dostępu do obsadzanych stanowisk, to odmawiając powołania osób, których dotyczyło postanowienie z dnia 3 stycznia 2008 r., Prezydent Rzeczypospolitej podważył ich umiejętności zawodowe i naruszył ich dobre imię;</w:t>
      </w:r>
    </w:p>
    <w:p w14:paraId="65AD5AFD" w14:textId="22982AA8" w:rsidR="00E44928" w:rsidRPr="00710DEE" w:rsidRDefault="009F6771" w:rsidP="00710DEE">
      <w:pPr>
        <w:pStyle w:val="JuPara"/>
      </w:pPr>
      <w:r>
        <w:t>– nawet przy założeniu, że Prezydent Rzeczypospolitej może odmówić powołania kandydata na stanowisko sędziego, jego uprawnienia w tym zakresie powinny były zostać bardziej szczegółowo uregulowane w art. 55 §</w:t>
      </w:r>
      <w:r w:rsidR="009A12AA">
        <w:t> </w:t>
      </w:r>
      <w:r>
        <w:t>1 ustawy z 2001 r. Okoliczność, że – mimo jego znaczenia dla zainteresowanych kandydatów – postanowienie Prezydenta Rzeczypospolitej w tej sprawie nie było opatrzone żadnym uzasadnieniem i nie mogło zostać zaskarżone w żaden sposób, świadczyła o oczywistym uchybieniu we</w:t>
      </w:r>
      <w:r w:rsidR="001A420B">
        <w:t> </w:t>
      </w:r>
      <w:r>
        <w:t>właściwych przepisach prawa;</w:t>
      </w:r>
    </w:p>
    <w:p w14:paraId="46888CD4" w14:textId="7C22B83E" w:rsidR="00E44928" w:rsidRPr="00710DEE" w:rsidRDefault="009F6771" w:rsidP="00710DEE">
      <w:pPr>
        <w:pStyle w:val="JuPara"/>
      </w:pPr>
      <w:r>
        <w:t xml:space="preserve">– zgodnie z Konstytucją każde rozstrzygnięcie władz publicznych dotyczące praw i wolności jednostki, musiało podlegać kontroli sądowej. Ponadto, </w:t>
      </w:r>
      <w:proofErr w:type="gramStart"/>
      <w:r>
        <w:t>zważywszy</w:t>
      </w:r>
      <w:proofErr w:type="gramEnd"/>
      <w:r>
        <w:t xml:space="preserve"> że (w odniesieniu do sporów dotyczących praw i</w:t>
      </w:r>
      <w:r w:rsidR="001A420B">
        <w:t> </w:t>
      </w:r>
      <w:r>
        <w:t xml:space="preserve">wolności jednostek) w Konstytucji ustanowiono domniemanie istnienia drogi sądowej, wszelkie ograniczenia dostępu w tym zakresie mogły być </w:t>
      </w:r>
      <w:r>
        <w:lastRenderedPageBreak/>
        <w:t>stosowane wyłącznie wówczas, gdy wynikało to z wyraźnego uprawnienia konstytucyjnego. Co więcej ograniczenia tego rodzaju były dopuszczalne jedynie w przypadku kolizji danych praw i wolności z przepisem konstytucyjnym o równym lub nawet większym znaczeniu, co te prawa i</w:t>
      </w:r>
      <w:r w:rsidR="001A420B">
        <w:t> </w:t>
      </w:r>
      <w:r>
        <w:t>wolności. Z wszystkich powyższych zasad wynikało, że przedmiotowe rozstrzygnięcia Prezydenta Rzeczypospolitej, które miały charakter administracyjny, dotyczące praw i wolności jednostki, musiały podlegać kontroli sądowej;</w:t>
      </w:r>
    </w:p>
    <w:p w14:paraId="7F8F7096" w14:textId="44D06F7B" w:rsidR="00E44928" w:rsidRPr="00710DEE" w:rsidRDefault="009F6771" w:rsidP="00710DEE">
      <w:pPr>
        <w:pStyle w:val="JuPara"/>
      </w:pPr>
      <w:r>
        <w:t>– art. 55 § 1 ustawy z 2001 r. był niezgodny z zasadą równego dostępu do</w:t>
      </w:r>
      <w:r w:rsidR="001A420B">
        <w:t> </w:t>
      </w:r>
      <w:r>
        <w:t>służby publicznej wyrażoną w art. 60 Konstytucji. Skoro każdy kandydat na stanowisko sędziego musiał spełnić najsurowsze wymogi prawne w tym zakresie a kandydatury podlegały uprzedniemu rozpatrzeniu przez zgromadzenia ogólne właściwych sądów (a następnie KRS), to odrzucenie przez Prezydenta Rzeczypospolitej tak wyłonionych kandydatów – na</w:t>
      </w:r>
      <w:r w:rsidR="001A420B">
        <w:t> </w:t>
      </w:r>
      <w:r>
        <w:t>podstawie bliżej nieokreślonych kryteriów oraz bez podania żadnego uzasadnienia – stanowiło zarówno arbitralną ingerencję Prezydenta w prawo tych kandydatów do równego dostępu do służby publicznej, jak i wyraźną ich dyskryminację.</w:t>
      </w:r>
    </w:p>
    <w:bookmarkStart w:id="13" w:name="paragraph00020"/>
    <w:p w14:paraId="3CDF26F3" w14:textId="77C81BC2"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20</w:t>
      </w:r>
      <w:r w:rsidRPr="00710DEE">
        <w:fldChar w:fldCharType="end"/>
      </w:r>
      <w:bookmarkEnd w:id="13"/>
      <w:r>
        <w:t>.</w:t>
      </w:r>
      <w:r w:rsidR="00BF573B">
        <w:t xml:space="preserve"> </w:t>
      </w:r>
      <w:r>
        <w:t>W dniu 19 czerwca 2012 r. Trybunał Konstytucyjny, orzekając w</w:t>
      </w:r>
      <w:r w:rsidR="001A420B">
        <w:t> </w:t>
      </w:r>
      <w:r>
        <w:t>pełnym składzie, wydał postanowienie (w sprawie o sygn. akt SK 37/08), w którym umorzył postępowanie ze względu na niedopuszczalność wydania wyroku. W uzasadnieniu postanowienia Trybunał Konstytucyjny stwierdził, co następuje:</w:t>
      </w:r>
    </w:p>
    <w:p w14:paraId="57E606E0" w14:textId="77777777" w:rsidR="00E44928" w:rsidRPr="00710DEE" w:rsidRDefault="009F6771" w:rsidP="00710DEE">
      <w:pPr>
        <w:pStyle w:val="JuPara"/>
      </w:pPr>
      <w:r>
        <w:t>– na podstawie art. 79 Konstytucji oraz zasad wynikających ze swojego orzecznictwa Trybunał Konstytucyjny nie podejmuje kontroli stosowania przepisów Konstytucji przez władze publiczne, tylko kontroli konstytucyjności prawa;</w:t>
      </w:r>
    </w:p>
    <w:p w14:paraId="2EA2ADF8" w14:textId="52DDCAAD" w:rsidR="00E44928" w:rsidRPr="00710DEE" w:rsidRDefault="009F6771" w:rsidP="00710DEE">
      <w:pPr>
        <w:pStyle w:val="JuPara"/>
      </w:pPr>
      <w:r>
        <w:t xml:space="preserve">– wniosek z postanowienia w sprawie o sygn. akt Kpt 1/08 (zob. </w:t>
      </w:r>
      <w:r w:rsidR="00C61616">
        <w:t xml:space="preserve"> paragraf</w:t>
      </w:r>
      <w:r>
        <w:t xml:space="preserve"> </w:t>
      </w:r>
      <w:r w:rsidRPr="00710DEE">
        <w:fldChar w:fldCharType="begin"/>
      </w:r>
      <w:r w:rsidRPr="00710DEE">
        <w:instrText xml:space="preserve">REF paragraph00049 \h \* CharFormat </w:instrText>
      </w:r>
      <w:r w:rsidRPr="00710DEE">
        <w:fldChar w:fldCharType="separate"/>
      </w:r>
      <w:r w:rsidR="001A420B">
        <w:t>49</w:t>
      </w:r>
      <w:r w:rsidRPr="00710DEE">
        <w:fldChar w:fldCharType="end"/>
      </w:r>
      <w:r>
        <w:t xml:space="preserve"> poniżej) dotyczący wyczerpującego i wyłącznego charakteru art. 179 Konstytucji (który obejmował wszystkie zagadnienia związane z</w:t>
      </w:r>
      <w:r w:rsidR="001A420B">
        <w:t> </w:t>
      </w:r>
      <w:r>
        <w:t>kompetencją Prezydenta Rzeczypospolitej w zakresie powoływania sędziów) oznaczał, że wszelkie wątpliwości, jakie mogą powstać w związku z ewentualną odmową powołania przez Prezydenta Rzeczypospolitej kandydata na stanowisko sędziego mieściły się w sferze wykładni i</w:t>
      </w:r>
      <w:r w:rsidR="001A420B">
        <w:t> </w:t>
      </w:r>
      <w:r>
        <w:t>stosowania przepisów Konstytucji, a nie w sferze konstytucyjności ustaw;</w:t>
      </w:r>
    </w:p>
    <w:p w14:paraId="31F8E0D5" w14:textId="77777777" w:rsidR="00E44928" w:rsidRPr="00710DEE" w:rsidRDefault="009F6771" w:rsidP="00710DEE">
      <w:pPr>
        <w:pStyle w:val="JuPara"/>
      </w:pPr>
      <w:r>
        <w:t>– brzmienie art. 55 § 1 ustawy z 2001 r. było tożsame z brzmieniem art. 179 Konstytucji;</w:t>
      </w:r>
    </w:p>
    <w:p w14:paraId="33D607C6" w14:textId="51B82AAF" w:rsidR="00E44928" w:rsidRPr="00710DEE" w:rsidRDefault="009F6771" w:rsidP="00710DEE">
      <w:pPr>
        <w:pStyle w:val="JuPara"/>
      </w:pPr>
      <w:r>
        <w:t>– zważywszy</w:t>
      </w:r>
      <w:r w:rsidR="00BF573B">
        <w:t>,</w:t>
      </w:r>
      <w:r>
        <w:t xml:space="preserve"> że w rozpoznawanej sprawie skarżący usiłowali zaskarżyć sposób, w jaki Prezydent Rzeczypospolitej skorzystał z kompetencji przysługującej mu na podstawie art. 179 Konstytucji, ich skargi wykraczały poza zakres kontroli konstytucyjności; Trybunał Konstytucyjny nie był bowiem właściwy do kontroli stosowania Konstytucji przez władze publiczne ani do orzekania w kwestii rzekomej niezgodności praktyki Prezydenta Rzeczypospolitej z Konstytucją;</w:t>
      </w:r>
    </w:p>
    <w:p w14:paraId="34F4F9D7" w14:textId="2ACF9BF1" w:rsidR="00E44928" w:rsidRPr="00710DEE" w:rsidRDefault="009F6771" w:rsidP="00710DEE">
      <w:pPr>
        <w:pStyle w:val="JuPara"/>
      </w:pPr>
      <w:r>
        <w:lastRenderedPageBreak/>
        <w:t>– niezależnie od powyższego zarzut dotyczący rzekomego naruszenia prawa skarżących do sądu (niezgodności art. 55 § 1 ustawy z 2001 r. z art. 45 ust. 1 i art. 77 ust. 2 Konstytucji) był przedwczesny. Z jednej strony poszczególne skargi kasacyjne zainteresowanych stron zawisły przed Naczelnym Sądem Administracyjnym, z drugiej strony przedmiotem tych skarg nie było żadne ugruntowane stanowisko sądów administracyjnych w</w:t>
      </w:r>
      <w:r w:rsidR="001A420B">
        <w:t> </w:t>
      </w:r>
      <w:r>
        <w:t>tej kwestii.</w:t>
      </w:r>
    </w:p>
    <w:bookmarkStart w:id="14" w:name="paragraph00021"/>
    <w:p w14:paraId="35218ED0" w14:textId="21B52997"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21</w:t>
      </w:r>
      <w:r w:rsidRPr="00710DEE">
        <w:fldChar w:fldCharType="end"/>
      </w:r>
      <w:bookmarkEnd w:id="14"/>
      <w:r>
        <w:t>.</w:t>
      </w:r>
      <w:r w:rsidR="00BF573B">
        <w:t xml:space="preserve"> </w:t>
      </w:r>
      <w:r>
        <w:t>Trzej spośród 15 sędziów Trybunału Konstytucyjnego zgłosiło zdania odrębne, w których wskazali w szczególności, że – ze względu na znaczenie sprawy dla prawidłowego stosowania zasady demokratycznego państwa prawnego – Trybunał Konstytucyjny powinien był orzec co do istoty sprawy. Jeden z trojga sędziów zgłaszających zdanie odrębne (sędzia P. Tuleja) wskazał w swoim zdaniu odrębnym w szczególności, że:</w:t>
      </w:r>
    </w:p>
    <w:p w14:paraId="63709601" w14:textId="43A10E4F" w:rsidR="00E44928" w:rsidRPr="00710DEE" w:rsidRDefault="009F6771" w:rsidP="00710DEE">
      <w:pPr>
        <w:pStyle w:val="JuPara"/>
      </w:pPr>
      <w:r>
        <w:t>– argument większości składu orzekającego Trybunału Konstytucyjnego, jakoby przedmiot regulacji art. 55 § 1 ustawy z 2001 r. i art. 179 Konstytucji był tożsamy, nie został dostatecznie uzasadniony. Okoliczność, że przyznane Prezydentowi Rzeczypospolitej na podstawie Konstytucji uprawnienia w</w:t>
      </w:r>
      <w:r w:rsidR="001A420B">
        <w:t> </w:t>
      </w:r>
      <w:r>
        <w:t>zakresie powoływania sędziów stanowiły prerogatywę Prezydenta, nie wykluczała uregulowania sposobu, w jaki Prezydent korzysta z tych uprawnień, w drodze ustawy zwykłej. Co więcej z brzmienia art. 55 § 1 ustawy z 2001 r. wynikało, że materia w nim uregulowana była szersza niż materia uregulowana w art. 179 Konstytucji;</w:t>
      </w:r>
    </w:p>
    <w:p w14:paraId="71379966" w14:textId="3E09380F" w:rsidR="00E44928" w:rsidRPr="00710DEE" w:rsidRDefault="009F6771" w:rsidP="00710DEE">
      <w:pPr>
        <w:pStyle w:val="JuPara"/>
      </w:pPr>
      <w:r>
        <w:t xml:space="preserve">– Trybunał Konstytucyjny niesłusznie oparł się w tak znacznym stopniu na swoim postanowieniu w sprawie o sygn. akt Kpt 1/08 (zob. </w:t>
      </w:r>
      <w:r w:rsidR="00C61616">
        <w:t xml:space="preserve"> paragraf</w:t>
      </w:r>
      <w:r>
        <w:t xml:space="preserve"> </w:t>
      </w:r>
      <w:r w:rsidRPr="00710DEE">
        <w:fldChar w:fldCharType="begin"/>
      </w:r>
      <w:r w:rsidRPr="00710DEE">
        <w:instrText xml:space="preserve">REF paragraph00049 \h \* CharFormat </w:instrText>
      </w:r>
      <w:r w:rsidRPr="00710DEE">
        <w:fldChar w:fldCharType="separate"/>
      </w:r>
      <w:r w:rsidR="001A420B">
        <w:t>49</w:t>
      </w:r>
      <w:r w:rsidRPr="00710DEE">
        <w:fldChar w:fldCharType="end"/>
      </w:r>
      <w:r>
        <w:t xml:space="preserve"> poniżej). Sprawa ta nie tylko różniła się od sprawy skarżących pod względem przedmiotu, ale Trybunał Konstytucyjny sam odnotował w niej luki w</w:t>
      </w:r>
      <w:r w:rsidR="001A420B">
        <w:t> </w:t>
      </w:r>
      <w:r>
        <w:t>przepisach dotyczących powoływania sędziów przez Prezydenta Rzeczypospolitej. To właśnie ten aspekt skarżący usiłowali zaskarżyć. Ponadto doktryna prawa, na której większość składu orzekającego Trybunału Konstytucyjnego rzekomo oparła swoje rozstrzygnięcie, nie potwierdzała wniosku składu co do wyczerpującego i wyłącznego charakteru przepisów samej Konstytucji we wszystkich kwestiach dotyczących powoływania sędziów przez Prezydenta Rzeczypospolitej;</w:t>
      </w:r>
    </w:p>
    <w:p w14:paraId="7D04D39D" w14:textId="6C75352D" w:rsidR="00E44928" w:rsidRPr="00710DEE" w:rsidRDefault="009F6771" w:rsidP="00710DEE">
      <w:pPr>
        <w:pStyle w:val="JuPara"/>
      </w:pPr>
      <w:r>
        <w:t>– skarżący w istocie wyczerpali drogę prawną do wniesienia sprawy do</w:t>
      </w:r>
      <w:r w:rsidR="001A420B">
        <w:t> </w:t>
      </w:r>
      <w:r>
        <w:t>Trybunału Konstytucyjnego.</w:t>
      </w:r>
    </w:p>
    <w:p w14:paraId="3D372E17" w14:textId="77777777" w:rsidR="00E44928" w:rsidRPr="00710DEE" w:rsidRDefault="009F6771" w:rsidP="00710DEE">
      <w:pPr>
        <w:pStyle w:val="JuPara"/>
      </w:pPr>
      <w:r>
        <w:t>Wyżej wymieniony sędzia zgłaszający zdanie odrębne stwierdził również, co następuje:</w:t>
      </w:r>
    </w:p>
    <w:p w14:paraId="08EFEC2B" w14:textId="1B394F81" w:rsidR="00E44928" w:rsidRPr="00710DEE" w:rsidRDefault="009F6771" w:rsidP="00710DEE">
      <w:pPr>
        <w:pStyle w:val="JuQuot"/>
      </w:pPr>
      <w:r>
        <w:t>„Można postawić pytanie, jaki jest sens tworzenia rozbudowanych kryteriów wyboru sędziów, tworzenia wieloetapowej procedury wyłaniania kandydatów, skoro na końcu tego procesu znajduje się arbitralna niczym nieskrępowana (w szczególności nieskrępowana ustawą) decyzja Prezydenta? W jaki sposób ma być zagwarantowana konstytucyjna rola KRS, skoro w praktyce Prezydent może uruchomić równoległe opiniowanie kandydatów? Nie jest przy tym skrępowany żadnym terminem w</w:t>
      </w:r>
      <w:r w:rsidR="001A420B">
        <w:t> </w:t>
      </w:r>
      <w:r>
        <w:t>rozpoznawaniu wniosków Rady, a motywów jego decyzji, odmawiającej uwzględnienia wniosku, członkowie KRS mogą nigdy nie poznać.</w:t>
      </w:r>
    </w:p>
    <w:p w14:paraId="7743EFDB" w14:textId="02B865C1" w:rsidR="00E44928" w:rsidRPr="00710DEE" w:rsidRDefault="009F6771" w:rsidP="00710DEE">
      <w:pPr>
        <w:pStyle w:val="JuQuot"/>
      </w:pPr>
      <w:r>
        <w:lastRenderedPageBreak/>
        <w:t>Czy polskie prawo dostatecznie gwarantuje niezawisłość sędziego rozstrzygającego o sytuacji prawnej Prezydenta, np. obowiązku udzielania informacji publicznej, gdy awans sędziego będzie odbywał się we wskazany wyżej sposób? Wyposażenie Prezydenta w prerogatywę, o której mowa w art. 144 ust. 3 pkt 17 Konstytucji, powinno służyć ograniczeniu wpływu Rady Ministrów na proces powoływania sędziów i</w:t>
      </w:r>
      <w:r w:rsidR="001A420B">
        <w:t> </w:t>
      </w:r>
      <w:r>
        <w:t xml:space="preserve">wzmocnieniu niezależności władzy sądowniczej. Wyprowadzanie z charakteru tej prerogatywy ograniczeń zasady wyłączności ustawy, w </w:t>
      </w:r>
      <w:r w:rsidR="00560618">
        <w:t>sytuacji,</w:t>
      </w:r>
      <w:r>
        <w:t xml:space="preserve"> gdy zasada ta ma gwarantować ochronę praw człowieka i równowagę władz, prowadzi do skutku odwrotnego – osłabienia ochrony praw człowieka i osłabienia niezależności władzy sądowniczej.”</w:t>
      </w:r>
    </w:p>
    <w:bookmarkStart w:id="15" w:name="paragraph00022"/>
    <w:p w14:paraId="04559448" w14:textId="77244978"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22</w:t>
      </w:r>
      <w:r w:rsidRPr="00710DEE">
        <w:fldChar w:fldCharType="end"/>
      </w:r>
      <w:bookmarkEnd w:id="15"/>
      <w:r>
        <w:t>.</w:t>
      </w:r>
      <w:r w:rsidR="00BF573B">
        <w:t xml:space="preserve"> </w:t>
      </w:r>
      <w:r>
        <w:t>Powyższe zdanie odrębne, do którego argumentacji przyłączył się jeden z pozostałych sędziów zgłaszających zdanie odrębne, kończyło się konkluzją, iż art. 55 § 1 ustawy z 2001 r. – w zakresie, w jakim nie przewidywał podania przez Prezydenta Rzeczypospolitej uzasadnienia przy wydaniu postanowienia w przedmiocie odmowy powołania do pełnienia urzędu na stanowisku sędziego – jest niezgodny z art. 60 w związku z art. 32 i art. 2 Konstytucji.</w:t>
      </w:r>
    </w:p>
    <w:p w14:paraId="62263B09" w14:textId="77777777" w:rsidR="00E44928" w:rsidRPr="00710DEE" w:rsidRDefault="009F6771" w:rsidP="00710DEE">
      <w:pPr>
        <w:pStyle w:val="JuH1"/>
      </w:pPr>
      <w:r>
        <w:t>Druga grupa postępowań – wszczętych przez wszystkich troje skarżących</w:t>
      </w:r>
    </w:p>
    <w:bookmarkStart w:id="16" w:name="paragraph00023"/>
    <w:p w14:paraId="6FB3C0E7" w14:textId="585F19D2"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23</w:t>
      </w:r>
      <w:r w:rsidRPr="00710DEE">
        <w:fldChar w:fldCharType="end"/>
      </w:r>
      <w:bookmarkEnd w:id="16"/>
      <w:r>
        <w:t>.</w:t>
      </w:r>
      <w:r w:rsidR="00BF573B">
        <w:t xml:space="preserve"> </w:t>
      </w:r>
      <w:r>
        <w:t xml:space="preserve">Po zakończeniu postępowań </w:t>
      </w:r>
      <w:proofErr w:type="spellStart"/>
      <w:r>
        <w:t>sądowoadministracyjnych</w:t>
      </w:r>
      <w:proofErr w:type="spellEnd"/>
      <w:r>
        <w:t xml:space="preserve"> (zob. </w:t>
      </w:r>
      <w:r w:rsidR="00C61616">
        <w:t xml:space="preserve"> paragraf</w:t>
      </w:r>
      <w:r>
        <w:t xml:space="preserve"> </w:t>
      </w:r>
      <w:r w:rsidRPr="00710DEE">
        <w:fldChar w:fldCharType="begin"/>
      </w:r>
      <w:r w:rsidRPr="00710DEE">
        <w:instrText xml:space="preserve">REF paragraph00018 \h \* CharFormat </w:instrText>
      </w:r>
      <w:r w:rsidRPr="00710DEE">
        <w:fldChar w:fldCharType="separate"/>
      </w:r>
      <w:r w:rsidR="001A420B">
        <w:t>18</w:t>
      </w:r>
      <w:r w:rsidRPr="00710DEE">
        <w:fldChar w:fldCharType="end"/>
      </w:r>
      <w:r>
        <w:t xml:space="preserve"> powyżej) skarżący wnieśli w 2013 r. do Trybunału Konstytucyjnego skargi, które były co do istoty tożsame ze skargami wniesionymi wcześniej przez dwoje pierwszych skarżących.</w:t>
      </w:r>
    </w:p>
    <w:p w14:paraId="5DFC48B0" w14:textId="095CCEF0"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24</w:t>
      </w:r>
      <w:r w:rsidRPr="00710DEE">
        <w:fldChar w:fldCharType="end"/>
      </w:r>
      <w:r>
        <w:t>.</w:t>
      </w:r>
      <w:r w:rsidR="00BF573B">
        <w:t xml:space="preserve"> </w:t>
      </w:r>
      <w:r>
        <w:t xml:space="preserve">W dniu 12 czerwca 2013 r. Trybunał Konstytucyjny wydał jednoosobowo postanowienia (w sprawach o sygn. akt </w:t>
      </w:r>
      <w:proofErr w:type="spellStart"/>
      <w:r>
        <w:t>Ts</w:t>
      </w:r>
      <w:proofErr w:type="spellEnd"/>
      <w:r>
        <w:t xml:space="preserve"> 36/13, </w:t>
      </w:r>
      <w:proofErr w:type="spellStart"/>
      <w:r>
        <w:t>Ts</w:t>
      </w:r>
      <w:proofErr w:type="spellEnd"/>
      <w:r>
        <w:t xml:space="preserve"> 38/13 i</w:t>
      </w:r>
      <w:r w:rsidR="001A420B">
        <w:t> </w:t>
      </w:r>
      <w:proofErr w:type="spellStart"/>
      <w:r>
        <w:t>Ts</w:t>
      </w:r>
      <w:proofErr w:type="spellEnd"/>
      <w:r>
        <w:t xml:space="preserve"> 39/13), w których odmówił nadania dalszego biegu każdej ze skarg. W</w:t>
      </w:r>
      <w:r w:rsidR="001A420B">
        <w:t> </w:t>
      </w:r>
      <w:r>
        <w:t>uzasadnieniu postanowień Trybunał Konstytucyjny zauważył, że</w:t>
      </w:r>
      <w:r w:rsidR="009A12AA">
        <w:t> </w:t>
      </w:r>
      <w:r>
        <w:t xml:space="preserve">orzeczenia, którymi Naczelny Sąd Administracyjny (orzekając jako sąd ostatniej instancji) oddalił poszczególne skargi kasacyjne skarżących, zostały wydane na podstawie przepisów ustawy z 2002 r. (zob. </w:t>
      </w:r>
      <w:r w:rsidR="00C61616">
        <w:t xml:space="preserve"> paragraf</w:t>
      </w:r>
      <w:r>
        <w:t xml:space="preserve"> </w:t>
      </w:r>
      <w:r w:rsidRPr="00710DEE">
        <w:fldChar w:fldCharType="begin"/>
      </w:r>
      <w:r w:rsidRPr="00710DEE">
        <w:instrText xml:space="preserve">REF paragraph00030 \h \* CharFormat </w:instrText>
      </w:r>
      <w:r w:rsidRPr="00710DEE">
        <w:fldChar w:fldCharType="separate"/>
      </w:r>
      <w:r w:rsidR="001A420B">
        <w:t>30</w:t>
      </w:r>
      <w:r w:rsidRPr="00710DEE">
        <w:fldChar w:fldCharType="end"/>
      </w:r>
      <w:r>
        <w:t xml:space="preserve"> poniżej – dotyczących właściwości sądów administracyjnych), a nie na podstawie przepisów art. 55 § 1 ustawy z 2001 r. (których konstytucyjność skarżący kwestionowali w postępowaniu przed Trybunałem). Trybunał Konstytucyjny uznał również, że zarzut dotyczący niepodania uzasadnienia decyzji Prezydenta Rzeczypospolitej o odmowie powołania skarżących na</w:t>
      </w:r>
      <w:r w:rsidR="001A420B">
        <w:t> </w:t>
      </w:r>
      <w:r>
        <w:t>stanowiska sędziów uległ przedawnieniu. W tym względzie zauważył, że</w:t>
      </w:r>
      <w:r w:rsidR="001A420B">
        <w:t> </w:t>
      </w:r>
      <w:r>
        <w:t>skoro było oczywiste, iż postanowienie to nie podlegało zaskarżeniu, trzymiesięczny termin na wniesienie skargi konstytucyjnej rozpoczął bieg w</w:t>
      </w:r>
      <w:r w:rsidR="001A420B">
        <w:t> </w:t>
      </w:r>
      <w:r>
        <w:t xml:space="preserve">dniu, w którym przedmiotowe postanowienie doręczono zainteresowanym stronom. Wreszcie Trybunał Konstytucyjny przypomniał, że sam umorzył postępowanie dotyczące skarg wniesionych przez dwoje pierwszych skarżących (zob. </w:t>
      </w:r>
      <w:r w:rsidR="00C61616">
        <w:t xml:space="preserve"> paragraf</w:t>
      </w:r>
      <w:r>
        <w:t xml:space="preserve"> </w:t>
      </w:r>
      <w:r w:rsidRPr="00710DEE">
        <w:fldChar w:fldCharType="begin"/>
      </w:r>
      <w:r w:rsidRPr="00710DEE">
        <w:instrText xml:space="preserve">REF paragraph00020 \h \* CharFormat </w:instrText>
      </w:r>
      <w:r w:rsidRPr="00710DEE">
        <w:fldChar w:fldCharType="separate"/>
      </w:r>
      <w:r w:rsidR="001A420B">
        <w:t>20</w:t>
      </w:r>
      <w:r w:rsidRPr="00710DEE">
        <w:fldChar w:fldCharType="end"/>
      </w:r>
      <w:r>
        <w:t xml:space="preserve"> powyżej), które były podobne do skarg przed nim zawisłych.</w:t>
      </w:r>
    </w:p>
    <w:bookmarkStart w:id="17" w:name="paragraph00025"/>
    <w:p w14:paraId="327D81FF" w14:textId="487B8E9A" w:rsidR="00E44928" w:rsidRPr="00710DEE" w:rsidRDefault="009F6771" w:rsidP="00710DEE">
      <w:pPr>
        <w:pStyle w:val="JuPara"/>
      </w:pPr>
      <w:r w:rsidRPr="00710DEE">
        <w:lastRenderedPageBreak/>
        <w:fldChar w:fldCharType="begin"/>
      </w:r>
      <w:r w:rsidRPr="00710DEE">
        <w:instrText xml:space="preserve"> SEQ level0 \*arabic \* MERGEFORMAT </w:instrText>
      </w:r>
      <w:r w:rsidRPr="00710DEE">
        <w:fldChar w:fldCharType="separate"/>
      </w:r>
      <w:r w:rsidR="001A420B">
        <w:rPr>
          <w:noProof/>
        </w:rPr>
        <w:t>25</w:t>
      </w:r>
      <w:r w:rsidRPr="00710DEE">
        <w:fldChar w:fldCharType="end"/>
      </w:r>
      <w:bookmarkEnd w:id="17"/>
      <w:r>
        <w:t>.</w:t>
      </w:r>
      <w:r w:rsidR="00BF573B">
        <w:t xml:space="preserve"> </w:t>
      </w:r>
      <w:r>
        <w:t>Wszyscy troje skarżący wnieśli zażalenia, lecz Trybunał Konstytucyjny, orzekając w składzie trzech sędziów, nie uwzględnił ich postanowieniami z dnia 5 marca 2014 r. (doręczonymi pełnomocnikom skarżących w dniu 7 marca 2014 r.).</w:t>
      </w:r>
    </w:p>
    <w:p w14:paraId="13F0E95C" w14:textId="77777777" w:rsidR="00E44928" w:rsidRPr="00710DEE" w:rsidRDefault="009F6771" w:rsidP="00710DEE">
      <w:pPr>
        <w:pStyle w:val="JuHHead"/>
      </w:pPr>
      <w:r>
        <w:t>WŁAŚCIWE RAMY PRAWNE I PRAKTYKA</w:t>
      </w:r>
    </w:p>
    <w:p w14:paraId="1C351A1C" w14:textId="77777777" w:rsidR="00E44928" w:rsidRPr="00710DEE" w:rsidRDefault="009F6771" w:rsidP="00710DEE">
      <w:pPr>
        <w:pStyle w:val="JuHIRoman"/>
      </w:pPr>
      <w:r>
        <w:t>PRAWO KRAJOWE I PRAKTYKA</w:t>
      </w:r>
    </w:p>
    <w:p w14:paraId="3C3753AD" w14:textId="77777777" w:rsidR="00E44928" w:rsidRPr="00710DEE" w:rsidRDefault="009F6771" w:rsidP="00710DEE">
      <w:pPr>
        <w:pStyle w:val="JuHA"/>
      </w:pPr>
      <w:r>
        <w:t>Prawo krajowe</w:t>
      </w:r>
    </w:p>
    <w:p w14:paraId="3191F3D5" w14:textId="77777777" w:rsidR="00E44928" w:rsidRPr="00710DEE" w:rsidRDefault="009F6771" w:rsidP="00710DEE">
      <w:pPr>
        <w:pStyle w:val="JuH1"/>
      </w:pPr>
      <w:r>
        <w:t>Przepisy konstytucyjne</w:t>
      </w:r>
    </w:p>
    <w:bookmarkStart w:id="18" w:name="paragraph00026"/>
    <w:p w14:paraId="47440001" w14:textId="471A7360"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26</w:t>
      </w:r>
      <w:r w:rsidRPr="00710DEE">
        <w:fldChar w:fldCharType="end"/>
      </w:r>
      <w:bookmarkEnd w:id="18"/>
      <w:r>
        <w:t>.</w:t>
      </w:r>
      <w:r w:rsidR="00BF573B">
        <w:t xml:space="preserve"> </w:t>
      </w:r>
      <w:r>
        <w:t>Właściwe przepisy Konstytucji stanowią, co następuje:</w:t>
      </w:r>
    </w:p>
    <w:p w14:paraId="16C10719" w14:textId="77777777" w:rsidR="00E44928" w:rsidRPr="00710DEE" w:rsidRDefault="009F6771" w:rsidP="00710DEE">
      <w:pPr>
        <w:pStyle w:val="JuHArticle"/>
      </w:pPr>
      <w:r>
        <w:t>Art. 2</w:t>
      </w:r>
    </w:p>
    <w:p w14:paraId="063A10AB" w14:textId="77777777" w:rsidR="00E44928" w:rsidRPr="00710DEE" w:rsidRDefault="009F6771" w:rsidP="00710DEE">
      <w:pPr>
        <w:pStyle w:val="JuQuot"/>
      </w:pPr>
      <w:r>
        <w:t>„Rzeczpospolita Polska jest demokratycznym państwem prawnym, urzeczywistniającym zasady sprawiedliwości społecznej.”</w:t>
      </w:r>
    </w:p>
    <w:p w14:paraId="7C9E27A4" w14:textId="77777777" w:rsidR="00E44928" w:rsidRPr="00710DEE" w:rsidRDefault="009F6771" w:rsidP="00710DEE">
      <w:pPr>
        <w:pStyle w:val="JuHArticle"/>
      </w:pPr>
      <w:r>
        <w:t>Art. 7</w:t>
      </w:r>
    </w:p>
    <w:p w14:paraId="5A63AF45" w14:textId="77777777" w:rsidR="00E44928" w:rsidRPr="00710DEE" w:rsidRDefault="009F6771" w:rsidP="00710DEE">
      <w:pPr>
        <w:pStyle w:val="JuQuot"/>
      </w:pPr>
      <w:r>
        <w:t>„Organy władzy publicznej działają na podstawie i w granicach prawa.”</w:t>
      </w:r>
    </w:p>
    <w:p w14:paraId="3D47CB19" w14:textId="77777777" w:rsidR="00E44928" w:rsidRPr="00710DEE" w:rsidRDefault="009F6771" w:rsidP="00710DEE">
      <w:pPr>
        <w:pStyle w:val="JuHArticle"/>
      </w:pPr>
      <w:r>
        <w:t>Art. 10</w:t>
      </w:r>
    </w:p>
    <w:p w14:paraId="0647608B" w14:textId="77777777" w:rsidR="00E44928" w:rsidRPr="00710DEE" w:rsidRDefault="009F6771" w:rsidP="00710DEE">
      <w:pPr>
        <w:pStyle w:val="JuQuot"/>
      </w:pPr>
      <w:r>
        <w:t>„1. Ustrój Rzeczypospolitej Polskiej opiera się na podziale i równowadze władzy ustawodawczej, władzy wykonawczej i władzy sądowniczej.</w:t>
      </w:r>
    </w:p>
    <w:p w14:paraId="7B4F5B88" w14:textId="77777777" w:rsidR="00E44928" w:rsidRPr="00710DEE" w:rsidRDefault="009F6771" w:rsidP="00710DEE">
      <w:pPr>
        <w:pStyle w:val="JuQuot"/>
      </w:pPr>
      <w:r>
        <w:t>2. Władzę ustawodawczą sprawują Sejm i Senat, władzę wykonawczą Prezydent Rzeczypospolitej Polskiej i Rada Ministrów, a władzę sądowniczą sądy i trybunały.”</w:t>
      </w:r>
    </w:p>
    <w:p w14:paraId="2E776299" w14:textId="77777777" w:rsidR="00E44928" w:rsidRPr="00710DEE" w:rsidRDefault="009F6771" w:rsidP="00710DEE">
      <w:pPr>
        <w:pStyle w:val="JuHArticle"/>
      </w:pPr>
      <w:r>
        <w:t>Art. 32</w:t>
      </w:r>
    </w:p>
    <w:p w14:paraId="350E5A87" w14:textId="77777777" w:rsidR="00E44928" w:rsidRPr="00710DEE" w:rsidRDefault="009F6771" w:rsidP="00710DEE">
      <w:pPr>
        <w:pStyle w:val="JuQuot"/>
      </w:pPr>
      <w:r>
        <w:t>„1. Wszyscy są wobec prawa równi. Wszyscy mają prawo do równego traktowania przez władze publiczne.</w:t>
      </w:r>
    </w:p>
    <w:p w14:paraId="02B3C9CF" w14:textId="77777777" w:rsidR="00E44928" w:rsidRPr="00710DEE" w:rsidRDefault="009F6771" w:rsidP="00710DEE">
      <w:pPr>
        <w:pStyle w:val="JuQuot"/>
      </w:pPr>
      <w:r>
        <w:t>2. Nikt nie może być dyskryminowany w życiu politycznym, społecznym lub gospodarczym z jakiejkolwiek przyczyny.”</w:t>
      </w:r>
    </w:p>
    <w:p w14:paraId="4651B8BB" w14:textId="77777777" w:rsidR="00E44928" w:rsidRPr="00710DEE" w:rsidRDefault="009F6771" w:rsidP="00710DEE">
      <w:pPr>
        <w:pStyle w:val="JuHArticle"/>
      </w:pPr>
      <w:r>
        <w:t>Art. 45 ust. 1</w:t>
      </w:r>
    </w:p>
    <w:p w14:paraId="4828B00F" w14:textId="77777777" w:rsidR="00E44928" w:rsidRPr="00710DEE" w:rsidRDefault="009F6771" w:rsidP="00710DEE">
      <w:pPr>
        <w:pStyle w:val="JuQuot"/>
      </w:pPr>
      <w:r>
        <w:t>„Każdy ma prawo do sprawiedliwego i jawnego rozpatrzenia sprawy bez nieuzasadnionej zwłoki przez właściwy, niezależny, bezstronny i niezawisły sąd.”</w:t>
      </w:r>
    </w:p>
    <w:p w14:paraId="5BF6FCEC" w14:textId="77777777" w:rsidR="00E44928" w:rsidRPr="00710DEE" w:rsidRDefault="009F6771" w:rsidP="00710DEE">
      <w:pPr>
        <w:pStyle w:val="JuHArticle"/>
      </w:pPr>
      <w:r>
        <w:t>Art. 60</w:t>
      </w:r>
    </w:p>
    <w:p w14:paraId="2D51E2E5" w14:textId="56662E43" w:rsidR="00E44928" w:rsidRPr="00710DEE" w:rsidRDefault="009F6771" w:rsidP="00710DEE">
      <w:pPr>
        <w:pStyle w:val="JuQuot"/>
      </w:pPr>
      <w:r>
        <w:t>„Obywatele polscy korzystający z pełni praw publicznych mają prawo dostępu do</w:t>
      </w:r>
      <w:r w:rsidR="001A420B">
        <w:t> </w:t>
      </w:r>
      <w:r>
        <w:t>służby publicznej na jednakowych zasadach.”</w:t>
      </w:r>
    </w:p>
    <w:p w14:paraId="397A3A04" w14:textId="77777777" w:rsidR="00E44928" w:rsidRPr="00710DEE" w:rsidRDefault="009F6771" w:rsidP="00710DEE">
      <w:pPr>
        <w:pStyle w:val="JuHArticle"/>
      </w:pPr>
      <w:r>
        <w:t>Art. 77 ust. 2</w:t>
      </w:r>
    </w:p>
    <w:p w14:paraId="21108897" w14:textId="77777777" w:rsidR="00E44928" w:rsidRPr="00710DEE" w:rsidRDefault="009F6771" w:rsidP="00710DEE">
      <w:pPr>
        <w:pStyle w:val="JuQuot"/>
      </w:pPr>
      <w:r>
        <w:t>„Ustawa nie może nikomu zamykać drogi sądowej dochodzenia naruszonych wolności lub praw.”</w:t>
      </w:r>
    </w:p>
    <w:p w14:paraId="1254DA3B" w14:textId="77777777" w:rsidR="00E44928" w:rsidRPr="00710DEE" w:rsidRDefault="009F6771" w:rsidP="00710DEE">
      <w:pPr>
        <w:pStyle w:val="JuHArticle"/>
      </w:pPr>
      <w:r>
        <w:lastRenderedPageBreak/>
        <w:t>Art. 79 ust. 1</w:t>
      </w:r>
    </w:p>
    <w:p w14:paraId="5C44C6F3" w14:textId="668F49F9" w:rsidR="00E44928" w:rsidRPr="00710DEE" w:rsidRDefault="009F6771" w:rsidP="00710DEE">
      <w:pPr>
        <w:pStyle w:val="JuQuot"/>
      </w:pPr>
      <w:r>
        <w:t>„Każdy, czyje konstytucyjne wolności lub prawa zostały naruszone, ma prawo, na</w:t>
      </w:r>
      <w:r w:rsidR="001A420B">
        <w:t> </w:t>
      </w:r>
      <w:r>
        <w:t>zasadach określonych w ustawie, wnieść skargę do Trybunału Konstytucyjnego w</w:t>
      </w:r>
      <w:r w:rsidR="001A420B">
        <w:t> </w:t>
      </w:r>
      <w:r>
        <w:t>sprawie zgodności z Konstytucją ustawy lub innego aktu normatywnego, na</w:t>
      </w:r>
      <w:r w:rsidR="001A420B">
        <w:t> </w:t>
      </w:r>
      <w:r>
        <w:t>podstawie którego sąd lub organ administracji publicznej orzekł ostatecznie o jego wolnościach lub prawach albo o jego obowiązkach określonych w Konstytucji.”</w:t>
      </w:r>
    </w:p>
    <w:p w14:paraId="559136FC" w14:textId="77777777" w:rsidR="00E44928" w:rsidRPr="00710DEE" w:rsidRDefault="009F6771" w:rsidP="00710DEE">
      <w:pPr>
        <w:pStyle w:val="JuHArticle"/>
      </w:pPr>
      <w:r>
        <w:t>Art. 126</w:t>
      </w:r>
    </w:p>
    <w:p w14:paraId="3EF7522A" w14:textId="77777777" w:rsidR="00E44928" w:rsidRPr="00710DEE" w:rsidRDefault="009F6771" w:rsidP="00710DEE">
      <w:pPr>
        <w:pStyle w:val="JuQuot"/>
      </w:pPr>
      <w:r>
        <w:t>„1. Prezydent Rzeczypospolitej Polskiej jest najwyższym przedstawicielem Rzeczypospolitej Polskiej i gwarantem ciągłości władzy państwowej.</w:t>
      </w:r>
    </w:p>
    <w:p w14:paraId="3117EF53" w14:textId="77777777" w:rsidR="00E44928" w:rsidRPr="00710DEE" w:rsidRDefault="009F6771" w:rsidP="00710DEE">
      <w:pPr>
        <w:pStyle w:val="JuQuot"/>
      </w:pPr>
      <w:r>
        <w:t>2. Prezydent Rzeczypospolitej czuwa nad przestrzeganiem Konstytucji, stoi na straży suwerenności i bezpieczeństwa państwa oraz nienaruszalności i niepodzielności jego terytorium.</w:t>
      </w:r>
    </w:p>
    <w:p w14:paraId="7E45035D" w14:textId="77777777" w:rsidR="00E44928" w:rsidRPr="00710DEE" w:rsidRDefault="009F6771" w:rsidP="00710DEE">
      <w:pPr>
        <w:pStyle w:val="JuQuot"/>
      </w:pPr>
      <w:r>
        <w:t>3. Prezydent Rzeczypospolitej wykonuje swoje zadania w zakresie i na zasadach określonych w Konstytucji i ustawach.”</w:t>
      </w:r>
    </w:p>
    <w:p w14:paraId="389EFA2D" w14:textId="77777777" w:rsidR="00E44928" w:rsidRPr="00710DEE" w:rsidRDefault="009F6771" w:rsidP="00710DEE">
      <w:pPr>
        <w:pStyle w:val="JuHArticle"/>
      </w:pPr>
      <w:r>
        <w:t>Art. 144</w:t>
      </w:r>
    </w:p>
    <w:p w14:paraId="45F05FB2" w14:textId="36DE522B" w:rsidR="00E44928" w:rsidRPr="00710DEE" w:rsidRDefault="009F6771" w:rsidP="00710DEE">
      <w:pPr>
        <w:pStyle w:val="JuQuot"/>
      </w:pPr>
      <w:r>
        <w:t>„1. Prezydent Rzeczypospolitej, korzystając ze swoich konstytucyjnych i</w:t>
      </w:r>
      <w:r w:rsidR="001A420B">
        <w:t> </w:t>
      </w:r>
      <w:r>
        <w:t>ustawowych kompetencji, wydaje akty urzędowe.</w:t>
      </w:r>
    </w:p>
    <w:p w14:paraId="31941737" w14:textId="77777777" w:rsidR="00E44928" w:rsidRPr="00710DEE" w:rsidRDefault="009F6771" w:rsidP="00710DEE">
      <w:pPr>
        <w:pStyle w:val="JuQuot"/>
      </w:pPr>
      <w:r>
        <w:t>2. Akty urzędowe Prezydenta Rzeczypospolitej wymagają dla swojej ważności podpisu Prezesa Rady Ministrów, który przez podpisanie aktu ponosi odpowiedzialność przed Sejmem.</w:t>
      </w:r>
    </w:p>
    <w:p w14:paraId="194B73DF" w14:textId="77777777" w:rsidR="00E44928" w:rsidRPr="00710DEE" w:rsidRDefault="009F6771" w:rsidP="00710DEE">
      <w:pPr>
        <w:pStyle w:val="JuQuot"/>
      </w:pPr>
      <w:r>
        <w:t>3. Przepis ust. 2 nie dotyczy:</w:t>
      </w:r>
    </w:p>
    <w:p w14:paraId="7EA8F226" w14:textId="77777777" w:rsidR="00E44928" w:rsidRPr="00710DEE" w:rsidRDefault="009F6771" w:rsidP="00710DEE">
      <w:pPr>
        <w:pStyle w:val="JuQuot"/>
      </w:pPr>
      <w:r>
        <w:t>[…]</w:t>
      </w:r>
    </w:p>
    <w:p w14:paraId="325E883A" w14:textId="77777777" w:rsidR="00E44928" w:rsidRPr="00710DEE" w:rsidRDefault="009F6771" w:rsidP="00710DEE">
      <w:pPr>
        <w:pStyle w:val="JuQuot"/>
      </w:pPr>
      <w:r>
        <w:t>17) powoływania sędziów; [...]”</w:t>
      </w:r>
    </w:p>
    <w:p w14:paraId="6F9CEC9D" w14:textId="77777777" w:rsidR="00E44928" w:rsidRPr="00710DEE" w:rsidRDefault="009F6771" w:rsidP="00710DEE">
      <w:pPr>
        <w:pStyle w:val="JuHArticle"/>
      </w:pPr>
      <w:r>
        <w:t>Art. 173</w:t>
      </w:r>
    </w:p>
    <w:p w14:paraId="722E312D" w14:textId="77777777" w:rsidR="00E44928" w:rsidRPr="00710DEE" w:rsidRDefault="009F6771" w:rsidP="00710DEE">
      <w:pPr>
        <w:pStyle w:val="JuQuot"/>
      </w:pPr>
      <w:r>
        <w:t>„Sądy i Trybunały są władzą odrębną i niezależną od innych władz.”</w:t>
      </w:r>
    </w:p>
    <w:p w14:paraId="71218C26" w14:textId="77777777" w:rsidR="00E44928" w:rsidRPr="00710DEE" w:rsidRDefault="009F6771" w:rsidP="00710DEE">
      <w:pPr>
        <w:pStyle w:val="JuHArticle"/>
      </w:pPr>
      <w:r>
        <w:t>Art. 174</w:t>
      </w:r>
    </w:p>
    <w:p w14:paraId="2F0A70F0" w14:textId="77777777" w:rsidR="00E44928" w:rsidRPr="00710DEE" w:rsidRDefault="009F6771" w:rsidP="00710DEE">
      <w:pPr>
        <w:pStyle w:val="JuQuot"/>
      </w:pPr>
      <w:r>
        <w:t>„Sądy i Trybunały wydają wyroki w imieniu Rzeczypospolitej Polskiej.”</w:t>
      </w:r>
    </w:p>
    <w:p w14:paraId="3E9B66A7" w14:textId="77777777" w:rsidR="00E44928" w:rsidRPr="00710DEE" w:rsidRDefault="009F6771" w:rsidP="00710DEE">
      <w:pPr>
        <w:pStyle w:val="JuHArticle"/>
      </w:pPr>
      <w:r>
        <w:t>Art. 175 ust. 1</w:t>
      </w:r>
    </w:p>
    <w:p w14:paraId="6ABDE8BC" w14:textId="77777777" w:rsidR="00E44928" w:rsidRPr="00710DEE" w:rsidRDefault="009F6771" w:rsidP="00710DEE">
      <w:pPr>
        <w:pStyle w:val="JuQuot"/>
      </w:pPr>
      <w:r>
        <w:t>„Wymiar sprawiedliwości w Rzeczypospolitej Polskiej sprawują Sąd Najwyższy, sądy powszechne, sądy administracyjne oraz sądy wojskowe.”</w:t>
      </w:r>
    </w:p>
    <w:p w14:paraId="12966CDC" w14:textId="77777777" w:rsidR="00E44928" w:rsidRPr="00710DEE" w:rsidRDefault="009F6771" w:rsidP="00710DEE">
      <w:pPr>
        <w:pStyle w:val="JuHArticle"/>
      </w:pPr>
      <w:r>
        <w:t>Art. 177</w:t>
      </w:r>
    </w:p>
    <w:p w14:paraId="2FDAF15D" w14:textId="312A9AC2" w:rsidR="00E44928" w:rsidRPr="00710DEE" w:rsidRDefault="009F6771" w:rsidP="00710DEE">
      <w:pPr>
        <w:pStyle w:val="JuQuot"/>
      </w:pPr>
      <w:r>
        <w:t>„Sądy powszechne sprawują wymiar sprawiedliwości we wszystkich sprawach, z</w:t>
      </w:r>
      <w:r w:rsidR="001A420B">
        <w:t> </w:t>
      </w:r>
      <w:r>
        <w:t>wyjątkiem spraw ustawowo zastrzeżonych dla właściwości innych sądów.”</w:t>
      </w:r>
    </w:p>
    <w:p w14:paraId="7D6A5486" w14:textId="77777777" w:rsidR="00E44928" w:rsidRPr="00710DEE" w:rsidRDefault="009F6771" w:rsidP="00710DEE">
      <w:pPr>
        <w:pStyle w:val="JuHArticle"/>
      </w:pPr>
      <w:r>
        <w:t>Art. 178 ust. 1</w:t>
      </w:r>
    </w:p>
    <w:p w14:paraId="73398D6A" w14:textId="77777777" w:rsidR="00E44928" w:rsidRPr="00710DEE" w:rsidRDefault="009F6771" w:rsidP="00710DEE">
      <w:pPr>
        <w:pStyle w:val="JuQuot"/>
      </w:pPr>
      <w:r>
        <w:t>„Sędziowie w sprawowaniu swojego urzędu są niezawiśli i podlegają tylko Konstytucji oraz ustawom.”</w:t>
      </w:r>
    </w:p>
    <w:p w14:paraId="01F31BB7" w14:textId="77777777" w:rsidR="00E44928" w:rsidRPr="00710DEE" w:rsidRDefault="009F6771" w:rsidP="00710DEE">
      <w:pPr>
        <w:pStyle w:val="JuHArticle"/>
        <w:keepNext w:val="0"/>
      </w:pPr>
      <w:r>
        <w:lastRenderedPageBreak/>
        <w:t>Art. 179</w:t>
      </w:r>
    </w:p>
    <w:p w14:paraId="667AE6DD" w14:textId="77777777" w:rsidR="00E44928" w:rsidRPr="00710DEE" w:rsidRDefault="009F6771" w:rsidP="00710DEE">
      <w:pPr>
        <w:pStyle w:val="JuQuot"/>
      </w:pPr>
      <w:r>
        <w:t>„Sędziowie są powoływani przez Prezydenta Rzeczypospolitej, na wniosek Krajowej Rady Sądownictwa, na czas nieoznaczony.”</w:t>
      </w:r>
    </w:p>
    <w:p w14:paraId="13F78CA6" w14:textId="77777777" w:rsidR="00E44928" w:rsidRPr="00710DEE" w:rsidRDefault="009F6771" w:rsidP="00710DEE">
      <w:pPr>
        <w:pStyle w:val="JuHArticle"/>
      </w:pPr>
      <w:r>
        <w:t>Art. 184</w:t>
      </w:r>
    </w:p>
    <w:p w14:paraId="1ADB770D" w14:textId="2621BF5E" w:rsidR="00E44928" w:rsidRPr="00710DEE" w:rsidRDefault="009F6771" w:rsidP="00710DEE">
      <w:pPr>
        <w:pStyle w:val="JuQuot"/>
      </w:pPr>
      <w:r>
        <w:t>„Naczelny Sąd Administracyjny oraz inne sądy administracyjne sprawują, w zakresie określonym w ustawie, kontrolę działalności administracji publicznej. Kontrola ta</w:t>
      </w:r>
      <w:r w:rsidR="001A420B">
        <w:t> </w:t>
      </w:r>
      <w:r>
        <w:t>obejmuje również orzekanie o zgodności z ustawami uchwał organów samorządu terytorialnego i aktów normatywnych terenowych organów administracji rządowej.”</w:t>
      </w:r>
    </w:p>
    <w:p w14:paraId="7072F0C8" w14:textId="77777777" w:rsidR="00E44928" w:rsidRPr="00710DEE" w:rsidRDefault="009F6771" w:rsidP="00710DEE">
      <w:pPr>
        <w:pStyle w:val="JuHArticle"/>
      </w:pPr>
      <w:r>
        <w:t>Art. 186</w:t>
      </w:r>
    </w:p>
    <w:p w14:paraId="048C184E" w14:textId="77777777" w:rsidR="00E44928" w:rsidRPr="00710DEE" w:rsidRDefault="009F6771" w:rsidP="00710DEE">
      <w:pPr>
        <w:pStyle w:val="JuQuot"/>
      </w:pPr>
      <w:r>
        <w:t>„1. Krajowa Rada Sądownictwa stoi na straży niezależności sądów i niezawisłości sędziów.</w:t>
      </w:r>
    </w:p>
    <w:p w14:paraId="0D8D0E54" w14:textId="13E281F4" w:rsidR="00E44928" w:rsidRPr="00710DEE" w:rsidRDefault="009F6771" w:rsidP="00710DEE">
      <w:pPr>
        <w:pStyle w:val="JuQuot"/>
      </w:pPr>
      <w:r>
        <w:t>2. Krajowa Rada Sądownictwa może wystąpić do Trybunału Konstytucyjnego z</w:t>
      </w:r>
      <w:r w:rsidR="001A420B">
        <w:t> </w:t>
      </w:r>
      <w:r>
        <w:t>wnioskiem w sprawie zgodności z Konstytucją aktów normatywnych w zakresie, w</w:t>
      </w:r>
      <w:r w:rsidR="001A420B">
        <w:t> </w:t>
      </w:r>
      <w:r>
        <w:t>jakim dotyczą one niezależności sądów i niezawisłości sędziów.”</w:t>
      </w:r>
    </w:p>
    <w:p w14:paraId="776B6383" w14:textId="77777777" w:rsidR="00E44928" w:rsidRPr="00710DEE" w:rsidRDefault="009F6771" w:rsidP="00710DEE">
      <w:pPr>
        <w:pStyle w:val="JuHArticle"/>
      </w:pPr>
      <w:r>
        <w:t>Art. 187</w:t>
      </w:r>
    </w:p>
    <w:p w14:paraId="6DD57EDD" w14:textId="77777777" w:rsidR="00E44928" w:rsidRPr="00710DEE" w:rsidRDefault="009F6771" w:rsidP="00710DEE">
      <w:pPr>
        <w:pStyle w:val="JuQuot"/>
      </w:pPr>
      <w:r>
        <w:t>„1. Krajowa Rada Sądownictwa składa się z:</w:t>
      </w:r>
    </w:p>
    <w:p w14:paraId="3270E23E" w14:textId="77777777" w:rsidR="00E44928" w:rsidRPr="00710DEE" w:rsidRDefault="009F6771" w:rsidP="00710DEE">
      <w:pPr>
        <w:pStyle w:val="JuQuot"/>
      </w:pPr>
      <w:r>
        <w:t>1) Pierwszego Prezesa Sądu Najwyższego, Ministra Sprawiedliwości, Prezesa Naczelnego Sądu Administracyjnego i osoby powołanej przez Prezydenta Rzeczypospolitej,</w:t>
      </w:r>
    </w:p>
    <w:p w14:paraId="2FA4250A" w14:textId="77777777" w:rsidR="00E44928" w:rsidRPr="00710DEE" w:rsidRDefault="009F6771" w:rsidP="00710DEE">
      <w:pPr>
        <w:pStyle w:val="JuQuot"/>
      </w:pPr>
      <w:r>
        <w:t>2) piętnastu członków wybranych spośród sędziów Sądu Najwyższego, sądów powszechnych, sądów administracyjnych i sądów wojskowych,</w:t>
      </w:r>
    </w:p>
    <w:p w14:paraId="472DB32B" w14:textId="77777777" w:rsidR="00E44928" w:rsidRPr="00710DEE" w:rsidRDefault="009F6771" w:rsidP="00710DEE">
      <w:pPr>
        <w:pStyle w:val="JuQuot"/>
      </w:pPr>
      <w:r>
        <w:t>3) czterech członków wybranych przez Sejm spośród posłów oraz dwóch członków wybranych przez Senat spośród senatorów.</w:t>
      </w:r>
    </w:p>
    <w:p w14:paraId="3F3F5DD9" w14:textId="77777777" w:rsidR="00E44928" w:rsidRPr="00710DEE" w:rsidRDefault="009F6771" w:rsidP="00710DEE">
      <w:pPr>
        <w:pStyle w:val="JuQuot"/>
      </w:pPr>
      <w:r>
        <w:t>2. Krajowa Rada Sądownictwa wybiera spośród swoich członków przewodniczącego i dwóch wiceprzewodniczących.</w:t>
      </w:r>
    </w:p>
    <w:p w14:paraId="7D0036E1" w14:textId="77777777" w:rsidR="00E44928" w:rsidRPr="00710DEE" w:rsidRDefault="009F6771" w:rsidP="00710DEE">
      <w:pPr>
        <w:pStyle w:val="JuQuot"/>
      </w:pPr>
      <w:r>
        <w:t>3. Kadencja wybranych członków Krajowej Rady Sądownictwa trwa cztery lata.</w:t>
      </w:r>
    </w:p>
    <w:p w14:paraId="0C4648E8" w14:textId="77777777" w:rsidR="00E44928" w:rsidRPr="00710DEE" w:rsidRDefault="009F6771" w:rsidP="00710DEE">
      <w:pPr>
        <w:pStyle w:val="JuQuot"/>
      </w:pPr>
      <w:r>
        <w:t>[...]”</w:t>
      </w:r>
    </w:p>
    <w:p w14:paraId="7F67A6CC" w14:textId="77777777" w:rsidR="00E44928" w:rsidRPr="00710DEE" w:rsidRDefault="009F6771" w:rsidP="00710DEE">
      <w:pPr>
        <w:pStyle w:val="JuH1"/>
      </w:pPr>
      <w:r>
        <w:t>Ustawa – Prawo o ustroju sądów powszechnych („ustawa z 2001 r.”)</w:t>
      </w:r>
    </w:p>
    <w:p w14:paraId="4676DAFE" w14:textId="77777777" w:rsidR="00E44928" w:rsidRPr="00710DEE" w:rsidRDefault="009F6771" w:rsidP="00710DEE">
      <w:pPr>
        <w:pStyle w:val="JuHa0"/>
      </w:pPr>
      <w:r>
        <w:t>Brzmienie mające zastosowanie w sprawie skarżących</w:t>
      </w:r>
    </w:p>
    <w:bookmarkStart w:id="19" w:name="paragraph00027"/>
    <w:p w14:paraId="58BC17EA" w14:textId="5CC90403"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27</w:t>
      </w:r>
      <w:r w:rsidRPr="00710DEE">
        <w:fldChar w:fldCharType="end"/>
      </w:r>
      <w:bookmarkEnd w:id="19"/>
      <w:r>
        <w:t>.</w:t>
      </w:r>
      <w:r w:rsidR="00BF573B">
        <w:t xml:space="preserve"> </w:t>
      </w:r>
      <w:r>
        <w:t>Odpowiednie przepisy ustawy z dnia 27 lipca 2001 r.</w:t>
      </w:r>
      <w:r>
        <w:rPr>
          <w:i/>
        </w:rPr>
        <w:t xml:space="preserve"> </w:t>
      </w:r>
      <w:r>
        <w:t>Prawo o ustroju sądów powszechnych, czyli „ustawy z 2001 r.”, w brzmieniu obowiązującym między 12 września 2001 r. a 5 maja 2009 r., stanowiły, co następuje:</w:t>
      </w:r>
    </w:p>
    <w:p w14:paraId="42EE5D73" w14:textId="77777777" w:rsidR="00E44928" w:rsidRPr="00710DEE" w:rsidRDefault="009F6771" w:rsidP="00710DEE">
      <w:pPr>
        <w:pStyle w:val="JuHArticle"/>
      </w:pPr>
      <w:r>
        <w:t>Art. 55 § 1</w:t>
      </w:r>
    </w:p>
    <w:p w14:paraId="4D83DEC4" w14:textId="77777777" w:rsidR="00E44928" w:rsidRPr="00710DEE" w:rsidRDefault="009F6771" w:rsidP="00710DEE">
      <w:pPr>
        <w:pStyle w:val="JuQuot"/>
        <w:ind w:firstLine="0"/>
      </w:pPr>
      <w:r>
        <w:t>„Sędziów sądów powszechnych do pełnienia urzędu na stanowisku sędziowskim powołuje Prezydent Rzeczypospolitej Polskiej, na wniosek Krajowej Rady Sądownictwa.”</w:t>
      </w:r>
    </w:p>
    <w:p w14:paraId="5705E4CF" w14:textId="77777777" w:rsidR="00E44928" w:rsidRPr="00710DEE" w:rsidRDefault="009F6771" w:rsidP="00710DEE">
      <w:pPr>
        <w:pStyle w:val="JuHa0"/>
      </w:pPr>
      <w:r>
        <w:lastRenderedPageBreak/>
        <w:t>Zmiany wprowadzone po zdarzeniach dotyczących skarżących</w:t>
      </w:r>
    </w:p>
    <w:p w14:paraId="1827D0B6" w14:textId="26ABD4A3"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28</w:t>
      </w:r>
      <w:r w:rsidRPr="00710DEE">
        <w:fldChar w:fldCharType="end"/>
      </w:r>
      <w:r>
        <w:t>.</w:t>
      </w:r>
      <w:r w:rsidR="00BF573B">
        <w:t xml:space="preserve"> </w:t>
      </w:r>
      <w:r>
        <w:t>Ustawa z dnia 23 stycznia 2009 r. o Krajowej Szkole Sądownictwa i</w:t>
      </w:r>
      <w:r w:rsidR="001A420B">
        <w:t> </w:t>
      </w:r>
      <w:r>
        <w:t>Prokuratury znowelizowała art. 55 § 1 ustawy z 2001 r. (ze skutkiem od</w:t>
      </w:r>
      <w:r w:rsidR="001A420B">
        <w:t> </w:t>
      </w:r>
      <w:r>
        <w:t>5</w:t>
      </w:r>
      <w:r w:rsidR="001A420B">
        <w:t> </w:t>
      </w:r>
      <w:r>
        <w:t>maja 2009 r.) i wprowadziła wymóg powoływania sędziów sądów powszechnych przez Prezydenta Rzeczypospolitej Polskiej w terminie miesiąca od wpłynięcia odpowiednich wniosków Krajowej Rady Sądownictwa.</w:t>
      </w:r>
    </w:p>
    <w:bookmarkStart w:id="20" w:name="paragraph00029"/>
    <w:p w14:paraId="4A7EA517" w14:textId="620786FC"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29</w:t>
      </w:r>
      <w:r w:rsidRPr="00710DEE">
        <w:fldChar w:fldCharType="end"/>
      </w:r>
      <w:bookmarkEnd w:id="20"/>
      <w:r>
        <w:t>.</w:t>
      </w:r>
      <w:r w:rsidR="00BF573B">
        <w:t xml:space="preserve"> </w:t>
      </w:r>
      <w:r>
        <w:t xml:space="preserve">Wyrokiem z dnia 5 czerwca 2012 r. (w sprawie o sygn. akt K 18/09 – zob. </w:t>
      </w:r>
      <w:r w:rsidR="00C61616">
        <w:t xml:space="preserve"> paragraf</w:t>
      </w:r>
      <w:r>
        <w:t xml:space="preserve"> </w:t>
      </w:r>
      <w:r w:rsidRPr="00710DEE">
        <w:fldChar w:fldCharType="begin"/>
      </w:r>
      <w:r w:rsidRPr="00710DEE">
        <w:instrText xml:space="preserve">REF paragraph00051 \h \* CharFormat </w:instrText>
      </w:r>
      <w:r w:rsidRPr="00710DEE">
        <w:fldChar w:fldCharType="separate"/>
      </w:r>
      <w:r w:rsidR="001A420B">
        <w:t>51</w:t>
      </w:r>
      <w:r w:rsidRPr="00710DEE">
        <w:fldChar w:fldCharType="end"/>
      </w:r>
      <w:r>
        <w:t xml:space="preserve"> poniżej) Trybunał Konstytucyjny orzekł, że powyższa nowelizacja jest niezgodna z art. 179 oraz art. 2 Konstytucji.</w:t>
      </w:r>
    </w:p>
    <w:p w14:paraId="77904E6D" w14:textId="77777777" w:rsidR="00E44928" w:rsidRPr="00710DEE" w:rsidRDefault="009F6771" w:rsidP="00710DEE">
      <w:pPr>
        <w:pStyle w:val="JuH1"/>
      </w:pPr>
      <w:r>
        <w:t>Ustawa – Prawo o postępowaniu przed sądami administracyjnymi („ustawa z 2002 r.”)</w:t>
      </w:r>
    </w:p>
    <w:bookmarkStart w:id="21" w:name="paragraph00030"/>
    <w:p w14:paraId="761D9B17" w14:textId="55D25593"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30</w:t>
      </w:r>
      <w:r w:rsidRPr="00710DEE">
        <w:fldChar w:fldCharType="end"/>
      </w:r>
      <w:bookmarkEnd w:id="21"/>
      <w:r>
        <w:t>.</w:t>
      </w:r>
      <w:r w:rsidR="00BF573B">
        <w:t xml:space="preserve"> </w:t>
      </w:r>
      <w:r>
        <w:t>Zgodnie z art. 3 § 1 ustawy z dnia 30 sierpnia 2002 r.</w:t>
      </w:r>
      <w:r>
        <w:rPr>
          <w:i/>
        </w:rPr>
        <w:t xml:space="preserve"> </w:t>
      </w:r>
      <w:r>
        <w:t>Prawo o</w:t>
      </w:r>
      <w:r w:rsidR="001A420B">
        <w:t> </w:t>
      </w:r>
      <w:r>
        <w:t>postępowaniu przed sądami administracyjnymi, czyli „ustawy z 2002 r.”, sądy administracyjne sprawują kontrolę działalności administracji publicznej i stosują środki określone w ustawie.</w:t>
      </w:r>
    </w:p>
    <w:p w14:paraId="68D3A5FB" w14:textId="0129D50D"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31</w:t>
      </w:r>
      <w:r w:rsidRPr="00710DEE">
        <w:fldChar w:fldCharType="end"/>
      </w:r>
      <w:r>
        <w:t>.</w:t>
      </w:r>
      <w:r w:rsidR="00BF573B">
        <w:t xml:space="preserve"> </w:t>
      </w:r>
      <w:r>
        <w:t>W art. 3 § 2 ustawy z 2002 r. wymieniono akty i czynności administracji publicznej, które mogą być zaskarżone do sądów administracyjnych, w tym:</w:t>
      </w:r>
    </w:p>
    <w:p w14:paraId="1A938C4A" w14:textId="77777777" w:rsidR="00E44928" w:rsidRPr="00710DEE" w:rsidRDefault="009F6771" w:rsidP="00710DEE">
      <w:pPr>
        <w:pStyle w:val="JuPara"/>
      </w:pPr>
      <w:r>
        <w:t>– decyzje administracyjne (art. 3 § 2 pkt 1);</w:t>
      </w:r>
    </w:p>
    <w:p w14:paraId="2979C142" w14:textId="77777777" w:rsidR="00E44928" w:rsidRPr="00710DEE" w:rsidRDefault="009F6771" w:rsidP="00710DEE">
      <w:pPr>
        <w:pStyle w:val="JuPara"/>
      </w:pPr>
      <w:r>
        <w:t>– różne postanowienia wydane w postępowaniu administracyjnym (art. 3 § 2 pkt 2); oraz</w:t>
      </w:r>
    </w:p>
    <w:p w14:paraId="3EF7DAAB" w14:textId="77777777" w:rsidR="00E44928" w:rsidRPr="00710DEE" w:rsidRDefault="009F6771" w:rsidP="00710DEE">
      <w:pPr>
        <w:pStyle w:val="JuPara"/>
      </w:pPr>
      <w:r>
        <w:t>– inne niż określone w pkt 1–3 akty lub czynności z zakresu administracji publicznej dotyczące uprawnień lub obowiązków wynikających z przepisów prawa (art. 3 § 2 pkt 4).</w:t>
      </w:r>
    </w:p>
    <w:p w14:paraId="458C95DB" w14:textId="3CDF15BC"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32</w:t>
      </w:r>
      <w:r w:rsidRPr="00710DEE">
        <w:fldChar w:fldCharType="end"/>
      </w:r>
      <w:r>
        <w:t>.</w:t>
      </w:r>
      <w:r w:rsidR="00BF573B">
        <w:t xml:space="preserve"> </w:t>
      </w:r>
      <w:r>
        <w:t>Ponadto art. 3 § 2 pkt 8 ustawy z 2002 r. – w brzmieniu mającym zastosowanie w okresie istotnym dla zarzutów podniesionych przez skarżących – przewidywał, że sądy administracyjne są również właściwe do</w:t>
      </w:r>
      <w:r w:rsidR="001A420B">
        <w:t> </w:t>
      </w:r>
      <w:r>
        <w:t>rozpoznawania skarg na bezczynność organów władzy publicznej w</w:t>
      </w:r>
      <w:r w:rsidR="001A420B">
        <w:t> </w:t>
      </w:r>
      <w:r>
        <w:t>przypadkach określonych w art. 3 § 2 pkt 1–4 powyżej.</w:t>
      </w:r>
    </w:p>
    <w:p w14:paraId="3D5DD431" w14:textId="77777777" w:rsidR="00E44928" w:rsidRPr="00710DEE" w:rsidRDefault="009F6771" w:rsidP="00710DEE">
      <w:pPr>
        <w:pStyle w:val="JuH1"/>
      </w:pPr>
      <w:r>
        <w:t>Przepisy dotyczące roli KRS w procedurze nominacyjnej</w:t>
      </w:r>
    </w:p>
    <w:bookmarkStart w:id="22" w:name="paragraph00033"/>
    <w:p w14:paraId="53A22947" w14:textId="5551A81C"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33</w:t>
      </w:r>
      <w:r w:rsidRPr="00710DEE">
        <w:fldChar w:fldCharType="end"/>
      </w:r>
      <w:bookmarkEnd w:id="22"/>
      <w:r>
        <w:t>.</w:t>
      </w:r>
      <w:r w:rsidR="00BF573B">
        <w:t xml:space="preserve"> </w:t>
      </w:r>
      <w:r>
        <w:t>Zgodnie z art. 2 ust. 1 ustawy z dnia 27 lipca 2001 r. o Krajowej Radzie Sądownictwa („ustawa o KRS (z 2001 r.)”) – w brzmieniu mającym zastosowanie w omawianym okresie – KRS była uprawniona do</w:t>
      </w:r>
      <w:r w:rsidR="001A420B">
        <w:t> </w:t>
      </w:r>
      <w:r>
        <w:t>wykonywania czynności określonych w ustawach, a w szczególności do:</w:t>
      </w:r>
    </w:p>
    <w:p w14:paraId="0F165B98" w14:textId="5719171C" w:rsidR="00E44928" w:rsidRPr="00710DEE" w:rsidRDefault="009F6771" w:rsidP="00710DEE">
      <w:pPr>
        <w:pStyle w:val="JuPara"/>
      </w:pPr>
      <w:r>
        <w:t>– rozpatrywania i oceny kandydatur do pełnienia urzędu sędziowskiego na</w:t>
      </w:r>
      <w:r w:rsidR="009A12AA">
        <w:t> </w:t>
      </w:r>
      <w:r>
        <w:t>stanowiskach sędziów Sądu Najwyższego i Naczelnego Sądu Administracyjnego oraz na stanowiska sędziowskie w sądach powszechnych, w wojewódzkich sądach administracyjnych i w sądach wojskowych (art. 2 ust. 1 pkt 2);</w:t>
      </w:r>
    </w:p>
    <w:p w14:paraId="67C47EAE" w14:textId="7E5E43B8" w:rsidR="00E44928" w:rsidRPr="00710DEE" w:rsidRDefault="009F6771" w:rsidP="00710DEE">
      <w:pPr>
        <w:pStyle w:val="JuPara"/>
      </w:pPr>
      <w:r>
        <w:lastRenderedPageBreak/>
        <w:t>– przedstawiania Prezydentowi Rzeczypospolitej Polskiej wniosków o</w:t>
      </w:r>
      <w:r w:rsidR="001A420B">
        <w:t> </w:t>
      </w:r>
      <w:r>
        <w:t>powołanie sędziów w Sądzie Najwyższym, Naczelnym Sądzie Administracyjnym, sądach powszechnych, wojewódzkich sądach administracyjnych i sądach wojskowych (art. 2 ust. 1 pkt 3).</w:t>
      </w:r>
    </w:p>
    <w:p w14:paraId="783CB658" w14:textId="77777777" w:rsidR="00E44928" w:rsidRPr="00710DEE" w:rsidRDefault="009F6771" w:rsidP="00710DEE">
      <w:pPr>
        <w:pStyle w:val="JuH1"/>
      </w:pPr>
      <w:r>
        <w:t>Procedura przewidziana (w istotnym czasie) na potrzeby powoływania sędziów sądów powszechnych</w:t>
      </w:r>
    </w:p>
    <w:p w14:paraId="4C2C45B4" w14:textId="38AB252C"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34</w:t>
      </w:r>
      <w:r w:rsidRPr="00710DEE">
        <w:fldChar w:fldCharType="end"/>
      </w:r>
      <w:r>
        <w:t>.</w:t>
      </w:r>
      <w:r w:rsidR="00BF573B">
        <w:t xml:space="preserve"> </w:t>
      </w:r>
      <w:r>
        <w:t>Procedura wyłaniania i powoływania kandydatów na urząd sędziego w sądach powszechnych była wieloetapowa i uregulowana właściwymi przepisami i) Konstytucji (art. 144 ust. 3 pkt 17); ii) ustawy z 2001 r.; oraz iii) ustawy o KRS (z 2001 r.).</w:t>
      </w:r>
    </w:p>
    <w:bookmarkStart w:id="23" w:name="paragraph00035"/>
    <w:p w14:paraId="597AEE6B" w14:textId="18BDCB26"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35</w:t>
      </w:r>
      <w:r w:rsidRPr="00710DEE">
        <w:fldChar w:fldCharType="end"/>
      </w:r>
      <w:bookmarkEnd w:id="23"/>
      <w:r>
        <w:t>.</w:t>
      </w:r>
      <w:r w:rsidR="00BF573B">
        <w:t xml:space="preserve"> </w:t>
      </w:r>
      <w:r>
        <w:t>Procedura rozpoczynała się od obwieszczenia przez Ministra Sprawiedliwości o zwolnieniu stanowiska sędziowskiego w Dzienniku Urzędowym Rzeczypospolitej Polskiej „Monitor Polski”. Zainteresowani i</w:t>
      </w:r>
      <w:r w:rsidR="001A420B">
        <w:t> </w:t>
      </w:r>
      <w:r>
        <w:t>spełniający warunki kandydaci zgłaszali swoje kandydatury prezesowi właściwego sądu (w zależności od szczebla jurysdykcji, na którym powstał wakat) – (art. 57 ustawy z 2001 r.).</w:t>
      </w:r>
    </w:p>
    <w:bookmarkStart w:id="24" w:name="paragraph00036"/>
    <w:p w14:paraId="5C196B84" w14:textId="44273331"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36</w:t>
      </w:r>
      <w:r w:rsidRPr="00710DEE">
        <w:fldChar w:fldCharType="end"/>
      </w:r>
      <w:bookmarkEnd w:id="24"/>
      <w:r>
        <w:t>.</w:t>
      </w:r>
      <w:r w:rsidR="00BF573B">
        <w:t xml:space="preserve"> </w:t>
      </w:r>
      <w:r>
        <w:t>Kandydatury uznane za dopuszczalne podlegały najpierw ocenie kolegium właściwego sądu (art. 57 § 3 ustawy z 2001 r.), a następnie jego zgromadzenia ogólnego sędziów. Zgromadzenie ogólne rozstrzygało o</w:t>
      </w:r>
      <w:r w:rsidR="001A420B">
        <w:t> </w:t>
      </w:r>
      <w:r>
        <w:t>każdym zgłoszeniu w głosowaniu, którego wyniki prezes właściwego sądu przekazywał KRS (art. 58 § 2–3 ustawy z 2001 r.). Minister Sprawiedliwości wyrażał również swoją opinię o każdym z kandydatów (art. 58 § 4 ustawy z</w:t>
      </w:r>
      <w:r w:rsidR="001A420B">
        <w:t> </w:t>
      </w:r>
      <w:r>
        <w:t>2001 r.).</w:t>
      </w:r>
    </w:p>
    <w:bookmarkStart w:id="25" w:name="paragraph00037"/>
    <w:p w14:paraId="563E8F54" w14:textId="70CD81A5"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37</w:t>
      </w:r>
      <w:r w:rsidRPr="00710DEE">
        <w:fldChar w:fldCharType="end"/>
      </w:r>
      <w:bookmarkEnd w:id="25"/>
      <w:r>
        <w:t>.</w:t>
      </w:r>
      <w:r w:rsidR="00BF573B">
        <w:t xml:space="preserve"> </w:t>
      </w:r>
      <w:r>
        <w:t>Następnie KRS dokonywała wszechstronnej oceny kandydatów (art.</w:t>
      </w:r>
      <w:r w:rsidR="001A420B">
        <w:t> </w:t>
      </w:r>
      <w:r>
        <w:t xml:space="preserve">60 ustawy z 2001 r. w związku z art. 2 ust. 1 ustawy o KRS (z 2001 r.) – zob. </w:t>
      </w:r>
      <w:r w:rsidR="00C61616">
        <w:t xml:space="preserve"> paragraf</w:t>
      </w:r>
      <w:r>
        <w:t xml:space="preserve"> </w:t>
      </w:r>
      <w:r w:rsidRPr="00710DEE">
        <w:fldChar w:fldCharType="begin"/>
      </w:r>
      <w:r w:rsidRPr="00710DEE">
        <w:instrText xml:space="preserve">REF paragraph00033 \h \* CharFormat </w:instrText>
      </w:r>
      <w:r w:rsidRPr="00710DEE">
        <w:fldChar w:fldCharType="separate"/>
      </w:r>
      <w:r w:rsidR="001A420B">
        <w:t>33</w:t>
      </w:r>
      <w:r w:rsidRPr="00710DEE">
        <w:fldChar w:fldCharType="end"/>
      </w:r>
      <w:r>
        <w:t xml:space="preserve"> powyżej). Ocena dokonywana była na podstawie złożonych dokumentów oraz właściwych kryteriów (w tym kwalifikacji zawodowych, doświadczenia i nieskazitelności charakteru – art. 61 ustawy z 2001 r.). Po</w:t>
      </w:r>
      <w:r w:rsidR="001A420B">
        <w:t> </w:t>
      </w:r>
      <w:r>
        <w:t>dokonaniu tej oceny KRS wyrażała o każdym kandydacie opinię pozytywną albo negatywną. W razie opinii pozytywnej KRS przedstawiała Prezydentowi Rzeczypospolitej wniosek o powołanie danego kandydata (art. 2 ust. 1 pkt 3 ustawy o KRS (z 2001 r.)). Opinia KRS była wyrażana w formie uchwały podejmowanej na posiedzeniu plenarnym – w obecności co najmniej połowy – bezwzględną większością oddanych głosów (art. 12 ustawy o KRS (z 2001 r.)).</w:t>
      </w:r>
    </w:p>
    <w:p w14:paraId="390D6454" w14:textId="17E94FFD"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38</w:t>
      </w:r>
      <w:r w:rsidRPr="00710DEE">
        <w:fldChar w:fldCharType="end"/>
      </w:r>
      <w:r>
        <w:t>.</w:t>
      </w:r>
      <w:r w:rsidR="00BF573B">
        <w:t xml:space="preserve"> </w:t>
      </w:r>
      <w:r>
        <w:t xml:space="preserve">Na podstawie art. 179 Konstytucji i art. 55 § 1 ustawy z 2001 r. (zob. </w:t>
      </w:r>
      <w:r w:rsidR="00C61616">
        <w:t xml:space="preserve"> paragraf</w:t>
      </w:r>
      <w:r>
        <w:t xml:space="preserve"> </w:t>
      </w:r>
      <w:r w:rsidRPr="00710DEE">
        <w:fldChar w:fldCharType="begin"/>
      </w:r>
      <w:r w:rsidRPr="00710DEE">
        <w:instrText xml:space="preserve">REF paragraph00026 \h \* CharFormat </w:instrText>
      </w:r>
      <w:r w:rsidRPr="00710DEE">
        <w:fldChar w:fldCharType="separate"/>
      </w:r>
      <w:r w:rsidR="001A420B">
        <w:t>26</w:t>
      </w:r>
      <w:r w:rsidRPr="00710DEE">
        <w:fldChar w:fldCharType="end"/>
      </w:r>
      <w:r>
        <w:t>-</w:t>
      </w:r>
      <w:r w:rsidRPr="00710DEE">
        <w:fldChar w:fldCharType="begin"/>
      </w:r>
      <w:r w:rsidRPr="00710DEE">
        <w:instrText xml:space="preserve">REF paragraph00027 \h \* CharFormat </w:instrText>
      </w:r>
      <w:r w:rsidRPr="00710DEE">
        <w:fldChar w:fldCharType="separate"/>
      </w:r>
      <w:r w:rsidR="001A420B">
        <w:t>27</w:t>
      </w:r>
      <w:r w:rsidRPr="00710DEE">
        <w:fldChar w:fldCharType="end"/>
      </w:r>
      <w:r>
        <w:t xml:space="preserve"> powyżej) Prezydent Rzeczypospolitej powoływał kandydatów wskazanych we wniosku KRS.</w:t>
      </w:r>
    </w:p>
    <w:bookmarkStart w:id="26" w:name="paragraph00039"/>
    <w:p w14:paraId="51CECA0C" w14:textId="6CAE4DE9"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39</w:t>
      </w:r>
      <w:r w:rsidRPr="00710DEE">
        <w:fldChar w:fldCharType="end"/>
      </w:r>
      <w:bookmarkEnd w:id="26"/>
      <w:r>
        <w:t>.</w:t>
      </w:r>
      <w:r w:rsidR="00BF573B">
        <w:t xml:space="preserve"> </w:t>
      </w:r>
      <w:r>
        <w:t>W rozpatrywanym okresie uchwała zawierająca opinię KRS o</w:t>
      </w:r>
      <w:r w:rsidR="001A420B">
        <w:t> </w:t>
      </w:r>
      <w:r>
        <w:t>kandydacie nie wymagała pisemnego uzasadnienia i nie można było się od</w:t>
      </w:r>
      <w:r w:rsidR="001A420B">
        <w:t> </w:t>
      </w:r>
      <w:r>
        <w:t>niej odwołać (art. 13 ust. 1–2 ustawy o KRS (z 2001 r.)).</w:t>
      </w:r>
    </w:p>
    <w:p w14:paraId="052A1EE8" w14:textId="5DF0E517" w:rsidR="00E44928" w:rsidRPr="00710DEE" w:rsidRDefault="009F6771" w:rsidP="00710DEE">
      <w:pPr>
        <w:pStyle w:val="JuH1"/>
      </w:pPr>
      <w:r>
        <w:lastRenderedPageBreak/>
        <w:t>Status asesorów sądowych w świetle regulacji ustawy z 2001 r. w</w:t>
      </w:r>
      <w:r w:rsidR="001A420B">
        <w:t> </w:t>
      </w:r>
      <w:r>
        <w:t>istotnym dla sprawy czasie</w:t>
      </w:r>
    </w:p>
    <w:bookmarkStart w:id="27" w:name="paragraph00040"/>
    <w:p w14:paraId="3BF05704" w14:textId="75EFDBE7"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40</w:t>
      </w:r>
      <w:r w:rsidRPr="00710DEE">
        <w:fldChar w:fldCharType="end"/>
      </w:r>
      <w:bookmarkEnd w:id="27"/>
      <w:r>
        <w:t>.</w:t>
      </w:r>
      <w:r w:rsidR="00BF573B">
        <w:t xml:space="preserve"> </w:t>
      </w:r>
      <w:r>
        <w:t>W omawianym okresie (tj. od wejścia w życie ustawy z 2001 r. do</w:t>
      </w:r>
      <w:r w:rsidR="001A420B">
        <w:t> </w:t>
      </w:r>
      <w:r>
        <w:t>dnia 4 marca 2009 r., kiedy to przedmiotowe przepisy zostały uchylone) status asesorów sądowych był kompleksowo uregulowany w art. 134–136 ustawy z 2001 r.</w:t>
      </w:r>
    </w:p>
    <w:bookmarkStart w:id="28" w:name="paragraph00041"/>
    <w:p w14:paraId="0E46F8CB" w14:textId="0DD41B4A"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41</w:t>
      </w:r>
      <w:r w:rsidRPr="00710DEE">
        <w:fldChar w:fldCharType="end"/>
      </w:r>
      <w:bookmarkEnd w:id="28"/>
      <w:r>
        <w:t>.</w:t>
      </w:r>
      <w:r w:rsidR="00BF573B">
        <w:t xml:space="preserve"> </w:t>
      </w:r>
      <w:r>
        <w:t>Stanowisko asesora sądowego było dostępne wyłącznie dla osób, które ukończyły aplikację sądową lub prokuratorską i zdały egzamin sędziowski lub prokuratorski (art. 134 § 1). Ponadto kandydaci musieli spełniać ogólne warunki wymagane do objęcia urzędu sędziego określone w</w:t>
      </w:r>
      <w:r w:rsidR="009A12AA">
        <w:t> </w:t>
      </w:r>
      <w:r>
        <w:t>art. 61 § 1 pkt 1–4 ustawy z 2001 r. – mianowicie: posiadać obywatelstwo polskie, mieć pełną zdolność do czynności prawnych, być nieskazitelnego charakteru oraz ukończyć wyższe studia prawnicze. Ustawa z 2001 r. przewidywała ponadto, że złożenie przez asesora sądowego egzaminu sędziowskiego lub prokuratorskiego nie stanowiło wystarczającej podstawy powołania, jeżeli od jego złożenia upłynął okres dłuższy niż pięć lat, chyba że kandydat w tym czasie wykonywał właściwą pracę lub zawód prawniczy (rodzaju określonego w art. 61 § 2–3) przez okres co najmniej trzech lat (art.</w:t>
      </w:r>
      <w:r w:rsidR="009A12AA">
        <w:t> </w:t>
      </w:r>
      <w:r>
        <w:t>134 § 2).</w:t>
      </w:r>
    </w:p>
    <w:bookmarkStart w:id="29" w:name="paragraph00042"/>
    <w:p w14:paraId="53C32A09" w14:textId="1D27AECA"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42</w:t>
      </w:r>
      <w:r w:rsidRPr="00710DEE">
        <w:fldChar w:fldCharType="end"/>
      </w:r>
      <w:bookmarkEnd w:id="29"/>
      <w:r>
        <w:t>.</w:t>
      </w:r>
      <w:r w:rsidR="00BF573B">
        <w:t xml:space="preserve"> </w:t>
      </w:r>
      <w:r>
        <w:t>Kandydat na stanowisko asesora sądowego był zobowiązany złożyć wniosek o mianowanie do ministra sprawiedliwości (art. 134 § 3). Takie mianowanie było aktem uznaniowym ze strony ministra sprawiedliwości. Każdy kandydat był zobowiązany przedłożyć informację z Krajowego Rejestru Karnego oraz zaświadczenie lekarskie stwierdzające zdolność do</w:t>
      </w:r>
      <w:r w:rsidR="001A420B">
        <w:t> </w:t>
      </w:r>
      <w:r>
        <w:t>pełnienia obowiązków sędziego, zgodnie z zasadami stosowanymi wobec kandydatów na stanowisko sędziowskie (art. 134 § 3 w związku z art. 57).</w:t>
      </w:r>
    </w:p>
    <w:bookmarkStart w:id="30" w:name="paragraph00043"/>
    <w:p w14:paraId="01306E25" w14:textId="16694B1C"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43</w:t>
      </w:r>
      <w:r w:rsidRPr="00710DEE">
        <w:fldChar w:fldCharType="end"/>
      </w:r>
      <w:bookmarkEnd w:id="30"/>
      <w:r>
        <w:t>.</w:t>
      </w:r>
      <w:r w:rsidR="00BF573B">
        <w:t xml:space="preserve"> </w:t>
      </w:r>
      <w:r>
        <w:t>Po mianowaniu i złożeniu ślubowania asesorzy sądowi nabywali prawo do pełnienia czynności sędziowskich co do zasady w takim samym zakresie, co w pełni wykwalifikowani sędziowie (art. 136 § 2). Aby uzyskać prawo do objęcia stanowiska (w pełni niezawisłego) sędziego, asesor sądowy musiał pełnić swoje czynności przez co najmniej trzy lata (art. 61 § 1 pkt 7).</w:t>
      </w:r>
    </w:p>
    <w:p w14:paraId="39FE30DF" w14:textId="77777777" w:rsidR="00E44928" w:rsidRPr="00710DEE" w:rsidRDefault="009F6771" w:rsidP="00710DEE">
      <w:pPr>
        <w:pStyle w:val="JuHA"/>
      </w:pPr>
      <w:r>
        <w:t>Praktyka krajowa</w:t>
      </w:r>
    </w:p>
    <w:p w14:paraId="67A5B407" w14:textId="77777777" w:rsidR="00E44928" w:rsidRPr="00710DEE" w:rsidRDefault="009F6771" w:rsidP="00710DEE">
      <w:pPr>
        <w:pStyle w:val="JuH1"/>
      </w:pPr>
      <w:r>
        <w:t>Orzecznictwo Trybunału Konstytucyjnego</w:t>
      </w:r>
    </w:p>
    <w:p w14:paraId="5AF84DC1" w14:textId="60732ED6"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44</w:t>
      </w:r>
      <w:r w:rsidRPr="00710DEE">
        <w:fldChar w:fldCharType="end"/>
      </w:r>
      <w:r>
        <w:t>.</w:t>
      </w:r>
      <w:r w:rsidR="00BF573B">
        <w:t xml:space="preserve"> </w:t>
      </w:r>
      <w:r>
        <w:t>Zagadnienie powoływania sędziów było wielokrotnie badane przez Trybunał Konstytucyjny – w szczególności w ramach kontroli konstytucyjności ustawy z 2001 r. oraz ustawy o KRS (z 2001 r.).</w:t>
      </w:r>
    </w:p>
    <w:p w14:paraId="02CBBD75" w14:textId="3D8D2257"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45</w:t>
      </w:r>
      <w:r w:rsidRPr="00710DEE">
        <w:fldChar w:fldCharType="end"/>
      </w:r>
      <w:r>
        <w:t>.</w:t>
      </w:r>
      <w:r w:rsidR="00BF573B">
        <w:t xml:space="preserve"> </w:t>
      </w:r>
      <w:r>
        <w:t xml:space="preserve">Wyrokiem z dnia 24 października 2007 r. (w sprawie o sygn. akt SK 7/06) Trybunał Konstytucyjny orzekł o niezgodności z Konstytucją niektórych przepisów ustawy z 2001 r. z uwagi na to, że asesorom sądowym brakowało niezależności od ministra sprawiedliwości (szczegóły zob. </w:t>
      </w:r>
      <w:bookmarkStart w:id="31" w:name="_cl27477RELEVANTLEGALFRAMEWORKANDPRACTIC"/>
      <w:r>
        <w:rPr>
          <w:i/>
        </w:rPr>
        <w:t>Henryk Urban i Ryszard Urban przeciwko Polsce</w:t>
      </w:r>
      <w:bookmarkEnd w:id="31"/>
      <w:r>
        <w:t>, skarga nr 23614/08, §§ 19–24, 30</w:t>
      </w:r>
      <w:r w:rsidR="009A12AA">
        <w:t> </w:t>
      </w:r>
      <w:r>
        <w:t xml:space="preserve">listopada 2010 r.). Trybunał Konstytucyjny uznał, że asesorzy sądowi </w:t>
      </w:r>
      <w:r>
        <w:lastRenderedPageBreak/>
        <w:t>mogli być odwoływani przez ministra sprawiedliwości w dowolnej chwili w</w:t>
      </w:r>
      <w:r w:rsidR="009A12AA">
        <w:t> </w:t>
      </w:r>
      <w:r>
        <w:t>trakcie ich kadencji oraz że nie istniały odpowiednie gwarancje chroniące asesorów przed arbitralnym wykonywaniem tej kompetencji. W tym względzie Trybunał Konstytucyjny zauważył, że możliwość wpływania przez organ pozasądowy – reprezentujący władzę wykonawczą i kierowany przez osobę pełniącą funkcję polityczną – na karierę asesorów sądowych była problematyczna w świetle wymogu „niezawisłego i bezstronnego sądu”.</w:t>
      </w:r>
    </w:p>
    <w:p w14:paraId="5D2FEAE6" w14:textId="6A6B3E6B" w:rsidR="00E44928" w:rsidRPr="00710DEE" w:rsidRDefault="001A420B" w:rsidP="00710DEE">
      <w:pPr>
        <w:pStyle w:val="JuPara"/>
      </w:pPr>
      <w:fldSimple w:instr=" SEQ level0 \*arabic \* MERGEFORMAT ">
        <w:bookmarkStart w:id="32" w:name="paragraph00046"/>
        <w:r>
          <w:rPr>
            <w:noProof/>
          </w:rPr>
          <w:t>46</w:t>
        </w:r>
        <w:bookmarkEnd w:id="32"/>
      </w:fldSimple>
      <w:r w:rsidR="009F6771">
        <w:t>.</w:t>
      </w:r>
      <w:r w:rsidR="00BF573B">
        <w:t xml:space="preserve"> </w:t>
      </w:r>
      <w:r w:rsidR="009F6771">
        <w:t>Wyrokiem z dnia 29 listopada 2007 r. (w sprawie o sygn. akt SK 43/06) Trybunał Konstytucyjny uznał za niezgodne z Konstytucją niektóre przepisy ustawy o KRS (z 2001 r.) w zakresie, w jakim przyznawały KRS uprawnienie do ustalania kryteriów oceny kandydatów na stanowiska sędziowskie. Trybunał Konstytucyjny orzekł, że materia ta powinna być uregulowana w ustawie. Przy tej okazji Trybunał Konstytucyjny zbadał postępowanie wyłaniające kandydatów na stanowiska sędziowskie zarówno w świetle zasad określonych w art. 60 Konstytucji, jak i zasad wynikających z wymogów bezstronności, niezawisłości sędziowskiej oraz zakazu arbitralności. W uzasadnieniu tego wyroku Trybunał Konstytucyjny stwierdził m.in., że:</w:t>
      </w:r>
    </w:p>
    <w:p w14:paraId="125358A5" w14:textId="4EF274D6" w:rsidR="00E44928" w:rsidRPr="00710DEE" w:rsidRDefault="009F6771" w:rsidP="00710DEE">
      <w:pPr>
        <w:pStyle w:val="JuQuot"/>
      </w:pPr>
      <w:r>
        <w:t>„Art. 60 Konstytucji stanowi źródło precyzyjnie określonych konstytucyjnych praw podmiotowych, które muszą być przestrzegane przez organy władzy publicznej.</w:t>
      </w:r>
    </w:p>
    <w:p w14:paraId="227C6951" w14:textId="77777777" w:rsidR="00E44928" w:rsidRPr="00710DEE" w:rsidRDefault="009F6771" w:rsidP="00710DEE">
      <w:pPr>
        <w:pStyle w:val="JuQuot"/>
      </w:pPr>
      <w:r>
        <w:t>[…]</w:t>
      </w:r>
    </w:p>
    <w:p w14:paraId="19E104D2" w14:textId="77777777" w:rsidR="00E44928" w:rsidRPr="00710DEE" w:rsidRDefault="009F6771" w:rsidP="00710DEE">
      <w:pPr>
        <w:pStyle w:val="JuQuot"/>
      </w:pPr>
      <w:r>
        <w:t>Nie podlega dyskusji, że prawo dostępu do służby publicznej obejmuje także stanowiska sędziowskie. Szczególna ranga oraz rola sądów w zakresie realizacji konstytucyjnych wolności i praw wymaga, aby przedstawione wyżej zasady konstytucyjne były respektowane w sposób szczególnie skrupulatny przy obsadzaniu stanowisk sędziowskich. Biorąc pod uwagę konstytucyjną zasadę niezawisłości sędziów, należy wykluczyć wszelką arbitralność i dowolność w tym zakresie.</w:t>
      </w:r>
    </w:p>
    <w:p w14:paraId="6882AF33" w14:textId="77777777" w:rsidR="00E44928" w:rsidRPr="00710DEE" w:rsidRDefault="009F6771" w:rsidP="00710DEE">
      <w:pPr>
        <w:pStyle w:val="JuQuot"/>
      </w:pPr>
      <w:r>
        <w:t>[…]</w:t>
      </w:r>
    </w:p>
    <w:p w14:paraId="7888193B" w14:textId="73C73F64" w:rsidR="00E44928" w:rsidRPr="00710DEE" w:rsidRDefault="009F6771" w:rsidP="00710DEE">
      <w:pPr>
        <w:pStyle w:val="JuQuot"/>
      </w:pPr>
      <w:r>
        <w:t>Rozważane prawo obejmuje nie tylko ogólne prawo do ubiegania się o przyjęcie do</w:t>
      </w:r>
      <w:r w:rsidR="001A420B">
        <w:t> </w:t>
      </w:r>
      <w:r>
        <w:t>służby publicznej w ogóle, ale także prawo do ubiegania się o określone stanowisko w obrębie tej służby, a przedstawione wyżej gwarancje dotyczące dostępu do służby publicznej muszą odnosić się do procedur obsadzania poszczególnych rodzajów stanowisk w służbie publicznej.”</w:t>
      </w:r>
    </w:p>
    <w:bookmarkStart w:id="33" w:name="paragraph00047"/>
    <w:p w14:paraId="183CE73E" w14:textId="3C0655F6"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47</w:t>
      </w:r>
      <w:r w:rsidRPr="00710DEE">
        <w:fldChar w:fldCharType="end"/>
      </w:r>
      <w:bookmarkEnd w:id="33"/>
      <w:r>
        <w:t>.</w:t>
      </w:r>
      <w:r w:rsidR="00BF573B">
        <w:t xml:space="preserve"> </w:t>
      </w:r>
      <w:r>
        <w:t>Wyrokiem z dnia 27 maja 2008 r. (w sprawie o sygn. akt SK 57/06) Trybunał Konstytucyjny uznał za niezgodne z Konstytucją niektóre przepisy ustawy o KRS (z 2001 r.) w zakresie, w jakim wyłączały możliwość poddania kontroli sądowej uchwał KRS zawierających opinię o kandydacie na</w:t>
      </w:r>
      <w:r w:rsidR="001A420B">
        <w:t> </w:t>
      </w:r>
      <w:r>
        <w:t xml:space="preserve">stanowisko sędziowskie (zob. </w:t>
      </w:r>
      <w:r w:rsidR="00C61616">
        <w:t xml:space="preserve"> paragraf</w:t>
      </w:r>
      <w:r>
        <w:t xml:space="preserve"> </w:t>
      </w:r>
      <w:r w:rsidRPr="00710DEE">
        <w:fldChar w:fldCharType="begin"/>
      </w:r>
      <w:r w:rsidRPr="00710DEE">
        <w:instrText xml:space="preserve">REF paragraph00039 \h \* CharFormat  \* MERGEFORMAT </w:instrText>
      </w:r>
      <w:r w:rsidRPr="00710DEE">
        <w:fldChar w:fldCharType="separate"/>
      </w:r>
      <w:r w:rsidR="001A420B">
        <w:t>39</w:t>
      </w:r>
      <w:r w:rsidRPr="00710DEE">
        <w:fldChar w:fldCharType="end"/>
      </w:r>
      <w:r>
        <w:t xml:space="preserve"> powyżej). W odniesieniu do prawa równego dostępu do służby publicznej Trybunał Konstytucyjny poczynił między innymi następujące uwagi:</w:t>
      </w:r>
    </w:p>
    <w:p w14:paraId="73800445" w14:textId="0A8A4DF7" w:rsidR="00E44928" w:rsidRPr="00710DEE" w:rsidRDefault="009F6771" w:rsidP="00710DEE">
      <w:pPr>
        <w:pStyle w:val="JuQuot"/>
      </w:pPr>
      <w:r>
        <w:t>„Prawo wynikające z art. 60 Konstytucji ma charakter gwarancji formalnej, jako że</w:t>
      </w:r>
      <w:r w:rsidR="001A420B">
        <w:t> </w:t>
      </w:r>
      <w:r>
        <w:t>normy konstytucyjne, poza wymogiem obywatelstwa polskiego, nie określają przesłanek, jakie muszą być spełnione przez osoby ubiegające się o stanowisko w</w:t>
      </w:r>
      <w:r w:rsidR="001A420B">
        <w:t> </w:t>
      </w:r>
      <w:r>
        <w:t xml:space="preserve">służbie publicznej. Przepis ten nie może być zatem podstawą dochodzenia przed sądem roszczenia o dopuszczenie do pracy czy pełnienie konkretnej funkcji, </w:t>
      </w:r>
      <w:r>
        <w:lastRenderedPageBreak/>
        <w:t>zajmowanie określonego stanowiska. Dobrem chronionym przez art. 60 Konstytucji jest przejrzystość i jawność reguł stosowanych przy określaniu wymagań związanych z objęciem funkcji w służbie publicznej. W prawie gwarantowanym tym przepisem Konstytucji mieści się również weryfikowalność stosowanych kryteriów naboru do</w:t>
      </w:r>
      <w:r w:rsidR="009A12AA">
        <w:t> </w:t>
      </w:r>
      <w:r>
        <w:t>służby – władza publiczna uprawniona jest do ustalania szczególnych warunków dostępu do konkretnej służby, a więc selekcyjnego naboru do służby publicznej. Konieczne jest jednak stworzenie odpowiednich gwarancji praworządności decyzji dotyczących dostępu do służby publicznej, tak aby wykluczyć wszelką dowolność działania władzy publicznej (por. wyrok z 9 czerwca 1998 r., sygn. K 28/97).</w:t>
      </w:r>
    </w:p>
    <w:p w14:paraId="1130C79A" w14:textId="77777777" w:rsidR="00E44928" w:rsidRPr="00710DEE" w:rsidRDefault="009F6771" w:rsidP="00710DEE">
      <w:pPr>
        <w:pStyle w:val="JuQuot"/>
      </w:pPr>
      <w:r>
        <w:t>[…]</w:t>
      </w:r>
    </w:p>
    <w:p w14:paraId="17660E3A" w14:textId="1CDD0309" w:rsidR="00E44928" w:rsidRPr="00710DEE" w:rsidRDefault="009F6771" w:rsidP="00710DEE">
      <w:pPr>
        <w:pStyle w:val="JuQuot"/>
      </w:pPr>
      <w:r>
        <w:t>Procedura, w ramach której KRS ocenia kandydata do pełnienia urzędu sędziego na</w:t>
      </w:r>
      <w:r w:rsidR="001A420B">
        <w:t> </w:t>
      </w:r>
      <w:r>
        <w:t>określonym stanowisku sędziowskim i decyduje o przedstawieniu Prezydentowi Rzeczypospolitej Polskiej wniosku o powołanie na to stanowisko, dotyczy, zawartego w art. 60 Konstytucji prawa ubiegania się na jednakowych zasadach o przyjęcie do</w:t>
      </w:r>
      <w:r w:rsidR="001A420B">
        <w:t> </w:t>
      </w:r>
      <w:r>
        <w:t>służby publicznej, a zatem prawa należącego do kategorii praw i wolności konstytucyjnych, do których odnosi się bezwzględny zakaz zamykania drogi sądowej wyrażony w art. 77 ust. 2 Konstytucji. Dlatego, podkreślając w rozpatrywanej sprawie związek tego przepisu konstytucyjnego z art. 60 Konstytucji, Trybunał orzekł, że</w:t>
      </w:r>
      <w:r w:rsidR="001A420B">
        <w:t> </w:t>
      </w:r>
      <w:r>
        <w:t>całkowite wyłączenie drogi sądowej przez zaskarżony przepis art. 13 ust. 2 zdanie drugie ustawy o KRS pozostaje w sprzeczności z art. 45 ust. 1 i z art. 77 ust. 2 Konstytucji w związku z art. 60 Konstytucji.</w:t>
      </w:r>
    </w:p>
    <w:p w14:paraId="413C9226" w14:textId="3C4D5E50" w:rsidR="00E44928" w:rsidRPr="00710DEE" w:rsidRDefault="009F6771" w:rsidP="00710DEE">
      <w:pPr>
        <w:pStyle w:val="JuQuot"/>
      </w:pPr>
      <w:r>
        <w:t>Rzeczą ustawodawcy jest określenie sądu właściwego do rozpoznawania spraw oraz zakresu i procedury sądowej kontroli nad postępowaniem dotyczącym obsady stanowisk sędziowskich. Przypominając o swobodzie regulacyjnej ustawodawcy w</w:t>
      </w:r>
      <w:r w:rsidR="001A420B">
        <w:t> </w:t>
      </w:r>
      <w:r>
        <w:t>zakresie ukształtowania kontroli sądowej w kwestii powoływania na stanowiska sędziowskie, Trybunał pragnie zwrócić uwagę, że zakres tej ochrony powinien być powiązany z treścią samego prawa gwarantowanego w art. 60 Konstytucji. Nie można tracić z pola widzenia, że przedmiotem tej ochrony jest przede wszystkim formalny aspekt dostępu do służby, a więc związany z przestrzeganiem jednolitych kryteriów i</w:t>
      </w:r>
      <w:r w:rsidR="001A420B">
        <w:t> </w:t>
      </w:r>
      <w:r>
        <w:t>procedur postępowania, a nie sama ocena kwalifikacji czy też wiarygodności danej osoby z punktu widzenia kryteriów stosowanych w ramach tego postępowania. Bowiem tylko w takim zakresie, w jakim sama Konstytucja określa treść prawa dostępu do służby publicznej, konieczne staje się urzeczywistnienie gwarancji ochrony sądowej zawartej w art. 45 ust. 1 w związku z art. 77 ust. 2 Konstytucji. Prawo to zaś, jak wskazywano wyżej, wyczerpuje się w nakazie respektowania jednakowych zasad dostępu do służby.</w:t>
      </w:r>
    </w:p>
    <w:p w14:paraId="4BBF95CB" w14:textId="3C60189E" w:rsidR="00E44928" w:rsidRPr="00710DEE" w:rsidRDefault="009F6771" w:rsidP="00710DEE">
      <w:pPr>
        <w:pStyle w:val="JuQuot"/>
      </w:pPr>
      <w:r>
        <w:t>Kontrola sądowa nie stwarza więc podstaw do wkraczania w zakres kompetencji Krajowej Rady Sądownictwa, ponieważ mogłoby to oznaczać naruszenie konstytucyjnych uprawnień i kompetencji Rady wynikających z art. 179 Konstytucji. Ochrona sądowa, udzielana kandydatowi na określone stanowisko sędziowskie, obejmowałaby zatem kontrolę tego postępowania pod względem jego zgodności z</w:t>
      </w:r>
      <w:r w:rsidR="001A420B">
        <w:t> </w:t>
      </w:r>
      <w:r>
        <w:t>prawem – w takim zakresie, jak to wyżej zostało określone, a więc byłaby ograniczona do oceny zgodności z prawem zastosowanej w tej sprawie procedury oceny kandydatury i w efekcie przedstawienia Prezydentowi RP wniosku o powołanie lub odmowy objęcia danego kandydata takim wnioskiem. Poddanie kontroli sądowej wyników postępowania przed KRS w takiej indywidualnej sprawie nie może natomiast znaczyć, że sąd uczestniczyłby w decydowaniu o obsadzie określonego stanowiska sędziowskiego.”</w:t>
      </w:r>
    </w:p>
    <w:p w14:paraId="0FE26C5C" w14:textId="15054691"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48</w:t>
      </w:r>
      <w:r w:rsidRPr="00710DEE">
        <w:fldChar w:fldCharType="end"/>
      </w:r>
      <w:r>
        <w:t>.</w:t>
      </w:r>
      <w:r w:rsidR="00BF573B">
        <w:t xml:space="preserve"> </w:t>
      </w:r>
      <w:r>
        <w:t xml:space="preserve">W dniu 28 lutego 2008 r., po wydaniu przez Prezydenta Rzeczypospolitej postanowienia o odmowie powołania skarżących (zob. </w:t>
      </w:r>
      <w:r w:rsidR="00C61616">
        <w:t xml:space="preserve"> </w:t>
      </w:r>
      <w:r w:rsidR="00C61616">
        <w:lastRenderedPageBreak/>
        <w:t>paragraf</w:t>
      </w:r>
      <w:r>
        <w:t xml:space="preserve"> </w:t>
      </w:r>
      <w:r w:rsidRPr="00710DEE">
        <w:fldChar w:fldCharType="begin"/>
      </w:r>
      <w:r w:rsidRPr="00710DEE">
        <w:instrText xml:space="preserve">REF paragraph00011 \h \* CharFormat </w:instrText>
      </w:r>
      <w:r w:rsidRPr="00710DEE">
        <w:fldChar w:fldCharType="separate"/>
      </w:r>
      <w:r w:rsidR="001A420B">
        <w:t>11</w:t>
      </w:r>
      <w:r w:rsidRPr="00710DEE">
        <w:fldChar w:fldCharType="end"/>
      </w:r>
      <w:r>
        <w:t xml:space="preserve"> powyżej), Pierwszy Prezes Sądu Najwyższego skierował sprawę do</w:t>
      </w:r>
      <w:r w:rsidR="001A420B">
        <w:t> </w:t>
      </w:r>
      <w:r>
        <w:t>Trybunału Konstytucyjnego, wnosząc o rozstrzygnięcie sporu kompetencyjnego między Prezydentem Rzeczypospolitej a KRS. Na</w:t>
      </w:r>
      <w:r w:rsidR="001A420B">
        <w:t> </w:t>
      </w:r>
      <w:r>
        <w:t>poparcie swojego wniosku spytał, czy – mając na względzie i) czas, jaki upłynął od przedstawienia kandydatur skarżących Prezydentowi Rzeczypospolitej do zatwierdzenia do dnia, w którym Prezydent dokonał rozstrzygnięcia w tej kwestii, oraz ii) brak uzasadnienia zaskarżonej decyzji – Prezydent Rzeczypospolitej w międzyczasie ponownie ocenił te</w:t>
      </w:r>
      <w:r w:rsidR="001A420B">
        <w:t> </w:t>
      </w:r>
      <w:r>
        <w:t>kandydatury. Wskazał w tym względzie, że zgodnie z właściwymi przepisami Konstytucji i prawa wyłącznie KRS (jako gwarant niezależności polskich sądów) była właściwa do oceny kandydatów na stanowiska sędziowskie. W związku z tym Pierwszy Prezes Sądu Najwyższego uznał, że</w:t>
      </w:r>
      <w:r w:rsidR="001A420B">
        <w:t> </w:t>
      </w:r>
      <w:r>
        <w:t>postanowienie Prezydenta było nie tylko bezprecedensowo w najnowszej historii Polski, ale wydawało się również sprzeczne z zasadami podziału władz oraz niezależności władzy sądowniczej od władzy wykonawczej.</w:t>
      </w:r>
    </w:p>
    <w:bookmarkStart w:id="34" w:name="paragraph00049"/>
    <w:p w14:paraId="7C63B034" w14:textId="36806A63"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49</w:t>
      </w:r>
      <w:r w:rsidRPr="00710DEE">
        <w:fldChar w:fldCharType="end"/>
      </w:r>
      <w:bookmarkEnd w:id="34"/>
      <w:r>
        <w:t>.</w:t>
      </w:r>
      <w:r w:rsidR="00BF573B">
        <w:t xml:space="preserve"> </w:t>
      </w:r>
      <w:r>
        <w:t xml:space="preserve">W dniu 23 czerwca 2008 r. Trybunał Konstytucyjny wydał postanowienie (w sprawie o sygn. akt Kpt 1/08), którym umorzył postępowanie ze względu na niedopuszczalność wydania wyroku w tej sprawie (zob. </w:t>
      </w:r>
      <w:r w:rsidR="00C61616">
        <w:t xml:space="preserve"> paragraf</w:t>
      </w:r>
      <w:r>
        <w:t xml:space="preserve"> </w:t>
      </w:r>
      <w:r w:rsidRPr="00710DEE">
        <w:fldChar w:fldCharType="begin"/>
      </w:r>
      <w:r w:rsidRPr="00710DEE">
        <w:instrText xml:space="preserve">REF paragraph00020 \h \* CharFormat </w:instrText>
      </w:r>
      <w:r w:rsidRPr="00710DEE">
        <w:fldChar w:fldCharType="separate"/>
      </w:r>
      <w:r w:rsidR="001A420B">
        <w:t>20</w:t>
      </w:r>
      <w:r w:rsidRPr="00710DEE">
        <w:fldChar w:fldCharType="end"/>
      </w:r>
      <w:r>
        <w:t xml:space="preserve"> powyżej). W uzasadnieniu postanowienia Trybunał Konstytucyjny poczynił następujące uwagi:</w:t>
      </w:r>
    </w:p>
    <w:p w14:paraId="176BB03B" w14:textId="3E866785" w:rsidR="00E44928" w:rsidRPr="00710DEE" w:rsidRDefault="009F6771" w:rsidP="00710DEE">
      <w:pPr>
        <w:pStyle w:val="JuPara"/>
      </w:pPr>
      <w:r>
        <w:t>– wobec braku tożsamości kompetencji w tym zakresie po stronie poszczególnych organów nie zachodził spór kompetencyjny. Nie ulegało wątpliwości, że kompetencja do oceny i powoływania kandydatów na</w:t>
      </w:r>
      <w:r w:rsidR="001A420B">
        <w:t> </w:t>
      </w:r>
      <w:r>
        <w:t>stanowisko sędziego należała odpowiednio do KRS i do Prezydenta Rzeczypospolitej. Ponadto charakter rozstrzygnięć tych organów był różny. KRS wyrażała pozytywną albo negatywną opinię o każdym kandydacie i – w</w:t>
      </w:r>
      <w:r w:rsidR="001A420B">
        <w:t> </w:t>
      </w:r>
      <w:r>
        <w:t>razie opinii pozytywnej – przedstawiała kandydaturę Prezydentowi Rzeczypospolitej wraz z wnioskiem o powołanie na stanowisko sędziowskie. Prezydent z kolei nie mógł dokonywać czynności składających się na</w:t>
      </w:r>
      <w:r w:rsidR="001A420B">
        <w:t> </w:t>
      </w:r>
      <w:r>
        <w:t xml:space="preserve">wykonywanie kompetencji opiniowania kandydatów do pełnienia urzędu sędziowskiego i nie miał kompetencji do formułowania opinii alternatywnej w stosunku do opinii wyrażonej przez KRS; korzystał natomiast ze swojej kompetencji do powołania albo odmowy powołania na sędziów kandydatów, którzy uzyskali pozytywną opinię KRS (tj. kandydatów, którzy zostali wskazani we wniosku KRS). Gdyby w przedmiotowej sprawie Trybunał Konstytucyjny uznał swoją właściwość do rozpoznania wniosku Pierwszego Prezesa Sądu Najwyższego, </w:t>
      </w:r>
      <w:r w:rsidR="0047478E">
        <w:t>stawałby w roli sędziego oceniającego wykonywanie tych kompetencji przez Prezydenta Rzeczypospolitej.</w:t>
      </w:r>
    </w:p>
    <w:p w14:paraId="19548C4C" w14:textId="453E39AD" w:rsidR="00E44928" w:rsidRPr="00710DEE" w:rsidRDefault="009F6771" w:rsidP="00710DEE">
      <w:pPr>
        <w:pStyle w:val="JuPara"/>
      </w:pPr>
      <w:r>
        <w:t>– wystąpienie Pierwszego Prezesa Sądu Najwyższego mogło być w</w:t>
      </w:r>
      <w:r w:rsidR="001A420B">
        <w:t> </w:t>
      </w:r>
      <w:r>
        <w:t xml:space="preserve">pewnym stopniu usprawiedliwione brakiem niezbędnych regulacji dotyczących skutków ewentualnej odmowy powołania przez Prezydenta Rzeczypospolitej kandydata na stanowisko sędziowskie. Z punktu widzenia </w:t>
      </w:r>
      <w:r w:rsidR="004B6917">
        <w:t xml:space="preserve">spójności </w:t>
      </w:r>
      <w:r>
        <w:t>systemu prawnego i poprawności legislacyjnej unormowania w</w:t>
      </w:r>
      <w:r w:rsidR="001A420B">
        <w:t> </w:t>
      </w:r>
      <w:r>
        <w:t xml:space="preserve">tym zakresie byłyby niewątpliwie pożądane. Niemniej brak tego rodzaju </w:t>
      </w:r>
      <w:r>
        <w:lastRenderedPageBreak/>
        <w:t>unormowań nie prowadził wprost (zarówno ogólnie, jak i w tej konkretnej sprawie) do zaistnienia sporu kompetencyjnego między zainteresowanymi organami.</w:t>
      </w:r>
    </w:p>
    <w:p w14:paraId="5B96F050" w14:textId="7F376BF3"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50</w:t>
      </w:r>
      <w:r w:rsidRPr="00710DEE">
        <w:fldChar w:fldCharType="end"/>
      </w:r>
      <w:r>
        <w:t>.</w:t>
      </w:r>
      <w:r w:rsidR="00BF573B">
        <w:t xml:space="preserve"> </w:t>
      </w:r>
      <w:r>
        <w:t>W wyroku z dnia 15 stycznia 2009 r. (w sprawie o sygn. akt K 45/07) Trybunał Konstytucyjny zbadał niektóre przepisy ustawy z 2001 r. dotyczące delegowania sędziów oraz uprawnień nadzorczych ministra sprawiedliwości nad działalnością administracyjną sądów. Ponadto w wyroku z dnia 19</w:t>
      </w:r>
      <w:r w:rsidR="009A12AA">
        <w:t> </w:t>
      </w:r>
      <w:r>
        <w:t xml:space="preserve">listopada 2009 r. (w sprawie o sygn. akt K 62/07) Trybunał Konstytucyjny uznał za niezgodne z Konstytucją niektóre przepisy ustawy o KRS (z 2001 r.) upoważniające Prezydenta Rzeczypospolitej do określenia (w drodze aktu </w:t>
      </w:r>
      <w:proofErr w:type="spellStart"/>
      <w:r>
        <w:t>podustawowego</w:t>
      </w:r>
      <w:proofErr w:type="spellEnd"/>
      <w:r>
        <w:t>) trybu postępowania KRS przy wyłanianiu kandydatów na</w:t>
      </w:r>
      <w:r w:rsidR="001A420B">
        <w:t> </w:t>
      </w:r>
      <w:r>
        <w:t>urząd sędziego.</w:t>
      </w:r>
    </w:p>
    <w:bookmarkStart w:id="35" w:name="paragraph00051"/>
    <w:p w14:paraId="488E0973" w14:textId="7142BD05"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51</w:t>
      </w:r>
      <w:r w:rsidRPr="00710DEE">
        <w:fldChar w:fldCharType="end"/>
      </w:r>
      <w:bookmarkEnd w:id="35"/>
      <w:r>
        <w:t>.</w:t>
      </w:r>
      <w:r w:rsidR="00BF573B">
        <w:t xml:space="preserve"> </w:t>
      </w:r>
      <w:r>
        <w:t xml:space="preserve">W wyroku z dnia 5 czerwca 2012 r. (w sprawie o sygn. akt K 18/09) – wydanym w ramach prewencyjnej kontroli konstytucyjności art. 55 § 1 ustawy z 2001 r. (zob. </w:t>
      </w:r>
      <w:r w:rsidR="00C61616">
        <w:t xml:space="preserve"> paragraf</w:t>
      </w:r>
      <w:r>
        <w:t xml:space="preserve"> </w:t>
      </w:r>
      <w:r w:rsidRPr="00710DEE">
        <w:fldChar w:fldCharType="begin"/>
      </w:r>
      <w:r w:rsidRPr="00710DEE">
        <w:instrText xml:space="preserve">REF paragraph00029 \h \* CharFormat </w:instrText>
      </w:r>
      <w:r w:rsidRPr="00710DEE">
        <w:fldChar w:fldCharType="separate"/>
      </w:r>
      <w:r w:rsidR="001A420B">
        <w:t>29</w:t>
      </w:r>
      <w:r w:rsidRPr="00710DEE">
        <w:fldChar w:fldCharType="end"/>
      </w:r>
      <w:r>
        <w:t xml:space="preserve"> powyżej) – Trybunał Konstytucyjny orzekł, że</w:t>
      </w:r>
      <w:r w:rsidR="001A420B">
        <w:t> </w:t>
      </w:r>
      <w:r>
        <w:t>przepis ten jest niezgodny z Konstytucją w zakresie, w jakim nakładał wówczas na Prezydenta Rzeczypospolitej termin miesiąca na wykonanie kompetencji w zakresie powoływania sędziów, określonej w art. 179 Konstytucji. Trybunał Konstytucyjny poczynił następujące ustalenia:</w:t>
      </w:r>
    </w:p>
    <w:p w14:paraId="0C0D5932" w14:textId="29BA8208" w:rsidR="00E44928" w:rsidRPr="00710DEE" w:rsidRDefault="009F6771" w:rsidP="00710DEE">
      <w:pPr>
        <w:pStyle w:val="JuQuot"/>
      </w:pPr>
      <w:r>
        <w:t>„Sędziowie, zgodnie z art. 179 Konstytucji, są powoływani przez Prezydenta, na</w:t>
      </w:r>
      <w:r w:rsidR="001A420B">
        <w:t> </w:t>
      </w:r>
      <w:r>
        <w:t>wniosek KRS, na czas nieoznaczony. Konstytucja wskazuje zatem dwa podmioty biorące udział w procedurze nominacyjnej sędziów – Prezydenta i KRS. Procedura nominacji sędziowskiej w Konstytucji zakłada więc współpracę dwóch organów, z</w:t>
      </w:r>
      <w:r w:rsidR="001A420B">
        <w:t> </w:t>
      </w:r>
      <w:r>
        <w:t>których jeden ma bezpośredni mandat społeczny, a drugi – z uwagi na udział między innymi posłów i senatorów – dysponuje mandatem pośrednim [...]</w:t>
      </w:r>
    </w:p>
    <w:p w14:paraId="77239386" w14:textId="285A5B75" w:rsidR="00E44928" w:rsidRPr="00710DEE" w:rsidRDefault="009F6771" w:rsidP="00710DEE">
      <w:pPr>
        <w:pStyle w:val="JuQuot"/>
      </w:pPr>
      <w:r>
        <w:t xml:space="preserve">Na podstawie art. 144 ust. 3 pkt 17 Konstytucji kompetencja w zakresie powoływania sędziów należy do tych aktów urzędowych Prezydenta, które dla swej ważności nie wymagają podpisu Prezesa Rady Ministrów </w:t>
      </w:r>
      <w:proofErr w:type="gramStart"/>
      <w:r>
        <w:t>[...] .</w:t>
      </w:r>
      <w:proofErr w:type="gramEnd"/>
      <w:r>
        <w:t xml:space="preserve"> Taka kwalifikacja jest jednak nie tyle wzmocnieniem samodzielnej pozycji ustrojowej Prezydenta, ile zaakcentowaniem niezależności sądownictwa od rządu i podległych mu organów. Wymóg kontrasygnaty oznaczałby bowiem przyznanie premierowi prawa weta wobec kandydatów zaproponowanych przez KRS [...].</w:t>
      </w:r>
    </w:p>
    <w:p w14:paraId="2ADF7D02" w14:textId="7387F7D4" w:rsidR="00E44928" w:rsidRPr="00710DEE" w:rsidRDefault="009F6771" w:rsidP="00710DEE">
      <w:pPr>
        <w:pStyle w:val="JuQuot"/>
      </w:pPr>
      <w:r>
        <w:t>KRS, zgodnie z art. 186 Konstytucji, stoi na straży niezależności sądów i</w:t>
      </w:r>
      <w:r w:rsidR="001A420B">
        <w:t> </w:t>
      </w:r>
      <w:r>
        <w:t>niezawisłości sędziów, co najogólniej można skonkretyzować jako czuwanie nad brakiem zagrożeń dla niezależności sądów i niezawisłości sędziów w systemie prawnym [...]. W procedurze powoływania sędziów KRS ma z jednej strony gwarantować prawidłowy dobór kandydatów, z drugiej przejrzystość kryteriów decydujących o powołaniu na stanowisko sędziego [...].</w:t>
      </w:r>
    </w:p>
    <w:p w14:paraId="5ACB7CFB" w14:textId="77777777" w:rsidR="00E44928" w:rsidRPr="00710DEE" w:rsidRDefault="009F6771" w:rsidP="00710DEE">
      <w:pPr>
        <w:pStyle w:val="JuQuot"/>
      </w:pPr>
      <w:r>
        <w:t>Konstytucja, powierzając kompetencje w zakresie powołania sędziów Prezydentowi, przyjmuje zatem system nominacyjny sędziów, ale o ograniczonym charakterze. Akty nominacji sędziowskich nie wymagają wprawdzie kontrasygnaty, jednakże konstytucyjny wymóg wniosku KRS stanowi znaczące zawężenie swobody działania Prezydenta w tej sytuacji. Prezydent nie może bowiem powołać dowolnej osoby spełniającej wymagania stawiane kandydatom na sędziów, lecz wyłącznie osobę, której kandydatura została rozpatrzona i wskazana przez KRS [...].</w:t>
      </w:r>
    </w:p>
    <w:p w14:paraId="4B869F6C" w14:textId="77777777" w:rsidR="00E44928" w:rsidRPr="00710DEE" w:rsidRDefault="009F6771" w:rsidP="00710DEE">
      <w:pPr>
        <w:pStyle w:val="JuQuot"/>
      </w:pPr>
      <w:r>
        <w:t>[…]</w:t>
      </w:r>
    </w:p>
    <w:p w14:paraId="069EBDD7" w14:textId="2D736E0C" w:rsidR="00E44928" w:rsidRPr="00710DEE" w:rsidRDefault="009F6771" w:rsidP="00710DEE">
      <w:pPr>
        <w:pStyle w:val="JuQuot"/>
      </w:pPr>
      <w:r>
        <w:lastRenderedPageBreak/>
        <w:t xml:space="preserve">Kontrowersje budzi także </w:t>
      </w:r>
      <w:r w:rsidR="00560618">
        <w:t>kwestia</w:t>
      </w:r>
      <w:r>
        <w:t xml:space="preserve"> czy Prezydent może nie uwzględnić wniosku KRS i odmówić powołania [...] osoby do pełnienia urzędu na stanowisku sędziowskim. W</w:t>
      </w:r>
      <w:r w:rsidR="001A420B">
        <w:t> </w:t>
      </w:r>
      <w:r>
        <w:t>świetle przeważających poglądów przedstawicieli doktryny nie ulega wątpliwości, że co prawda swoboda działania Prezydenta ogranicza się do zajęcia stanowiska wobec kandydata zaproponowanego przez KRS, jednakże ujęcie kompetencji w zakresie powoływania sędziów w formę prerogatywy podkreśla, że Prezydent nie ma prawnego obowiązku uwzględnienia wniosku KRS, przy czym odmowa powinna mieć miejsce tylko w sytuacji nadzwyczajnej i musiałoby ją poprzedzać przedstawienie KRS zastrzeżeń przez zasiadającego w niej przedstawiciela Prezydenta [...] Jeśli chodzi o</w:t>
      </w:r>
      <w:r w:rsidR="001A420B">
        <w:t> </w:t>
      </w:r>
      <w:r>
        <w:t>praktykę ustrojową, to do 2007 r. nie zdarzył się wypadek odmowy uwzględnienia wniosku KRS przez Prezydenta. Praktyka uległa zmianie, gdy Prezydent postanowieniem z 3 stycznia 2008 r. [...] odmówił powołania do pełnienia urzędu na</w:t>
      </w:r>
      <w:r w:rsidR="001A420B">
        <w:t> </w:t>
      </w:r>
      <w:r>
        <w:t>stanowisku sędziego dziewięciu osób wskazanych we wniosku KRS.</w:t>
      </w:r>
    </w:p>
    <w:p w14:paraId="12E59F26" w14:textId="77777777" w:rsidR="00E44928" w:rsidRPr="00710DEE" w:rsidRDefault="009F6771" w:rsidP="00710DEE">
      <w:pPr>
        <w:pStyle w:val="JuQuot"/>
      </w:pPr>
      <w:r>
        <w:t>[…]</w:t>
      </w:r>
    </w:p>
    <w:p w14:paraId="0E173792" w14:textId="14B44FC8" w:rsidR="00E44928" w:rsidRPr="00710DEE" w:rsidRDefault="009F6771" w:rsidP="00710DEE">
      <w:pPr>
        <w:pStyle w:val="JuQuot"/>
      </w:pPr>
      <w:r>
        <w:t>[…] Kompetencja w zakresie powoływania sędziów jest na podstawie art. 144 ust. 3 pkt 17 Konstytucji prerogatywą Prezydenta, to znaczy jego osobistym uprawnieniem, które dla swej ważności nie wymaga podpisu Prezesa Rady Ministrów. Jako takie [uprawnienie to] pozostaje w sferze wyłącznej gestii i odpowiedzialności Prezydenta, aczkolwiek nie znaczy to, że może on działać całkowicie dowolnie – wiążą go zasady i</w:t>
      </w:r>
      <w:r w:rsidR="001A420B">
        <w:t> </w:t>
      </w:r>
      <w:r>
        <w:t xml:space="preserve">wartości wyrażone w Konstytucji, nad której przestrzeganiem, zgodnie z art. 126 ust. 2 Konstytucji, ma obowiązek czuwać. […] Art. 179 Konstytucji jest zatem normą kompletną, jeśli chodzi o określenie kompetencji Prezydenta w zakresie powoływania sędziów, gdyż zostały w nim uregulowane wszystkie niezbędne elementy procedury nominacyjnej. Oczywiste przy tym jest, że przepis ten nie opisuje szczegółowo całej procedury i w tym sensie nie ma charakteru </w:t>
      </w:r>
      <w:proofErr w:type="spellStart"/>
      <w:r>
        <w:t>samowykonalnego</w:t>
      </w:r>
      <w:proofErr w:type="spellEnd"/>
      <w:r>
        <w:t>. W tym zakresie realizacja przez Prezydenta jego kompetencji może być dookreślona w ustawach, jednakże pod warunkiem zachowania wyrażonej w art. 8 ust. 1 Konstytucji zasady nadrzędności Konstytucji. […]</w:t>
      </w:r>
    </w:p>
    <w:p w14:paraId="2BBB8972" w14:textId="21893B4F" w:rsidR="00E44928" w:rsidRPr="00710DEE" w:rsidRDefault="009F6771" w:rsidP="00710DEE">
      <w:pPr>
        <w:pStyle w:val="JuQuot"/>
      </w:pPr>
      <w:r>
        <w:t>[…] Nieokreślenie wprost terminu, w jakim Prezydent ma wykonać swoją kompetencję, nie oznacza, że art. 179 Konstytucji w ogóle nie odnosi się do tej kwestii. Należy go bowiem odczytywać jako obowiązek Prezydenta działania niezwłocznego (bez zbędnej zwłoki). Interpretacja taka znajduje uzasadnienie między innymi w treści art. 126 Konstytucji.</w:t>
      </w:r>
    </w:p>
    <w:p w14:paraId="5494B719" w14:textId="11B0E903" w:rsidR="00E44928" w:rsidRPr="00710DEE" w:rsidRDefault="009F6771" w:rsidP="00710DEE">
      <w:pPr>
        <w:pStyle w:val="JuQuot"/>
      </w:pPr>
      <w:r>
        <w:t xml:space="preserve">[…] Rola Prezydenta w procedurze nominacyjnej nie sprowadza się tylko do roli „notariusza”, potwierdzającego podejmowane gdzie indziej decyzje </w:t>
      </w:r>
      <w:proofErr w:type="gramStart"/>
      <w:r>
        <w:t>[...],</w:t>
      </w:r>
      <w:r w:rsidR="009378C9">
        <w:t>,</w:t>
      </w:r>
      <w:proofErr w:type="gramEnd"/>
      <w:r>
        <w:t xml:space="preserve"> lecz dokonuje on samodzielnej oceny przedstawionych mu kandydatur i w konsekwencji może odmówić uwzględnienia wniosku KRS Należy mu przyznać prawo odmowy spełnienia wysuniętych wniosków, jeżeli jego zdaniem sprzeciwiałyby się one wartościom, na</w:t>
      </w:r>
      <w:r w:rsidR="001A420B">
        <w:t> </w:t>
      </w:r>
      <w:r>
        <w:t>straży których postawiła go Konstytucja.</w:t>
      </w:r>
    </w:p>
    <w:p w14:paraId="68412E5E" w14:textId="77777777" w:rsidR="00E44928" w:rsidRPr="00710DEE" w:rsidRDefault="009F6771" w:rsidP="00710DEE">
      <w:pPr>
        <w:pStyle w:val="JuQuot"/>
      </w:pPr>
      <w:r>
        <w:t>[…] Wydaje się jednak, że doraźne zmiany w prawie nie gwarantują osiągnięcia zamierzonego celu, którym jest – zgodnie z intencjami projektodawców – prawidłowe wykonywanie przez Prezydenta kompetencji wynikających z art. 179 Konstytucji. Niezbędne do tego jest współdziałanie organów uczestniczących w procedurze powoływania sędziów – Prezydenta i KRS, do czego zobowiązuje władze Rzeczypospolitej preambuła do Konstytucji.”</w:t>
      </w:r>
    </w:p>
    <w:p w14:paraId="279CC8C2" w14:textId="77777777" w:rsidR="00E44928" w:rsidRPr="00710DEE" w:rsidRDefault="009F6771" w:rsidP="00710DEE">
      <w:pPr>
        <w:pStyle w:val="JuH1"/>
      </w:pPr>
      <w:r>
        <w:t>Orzecznictwo Naczelnego Sądu Administracyjnego</w:t>
      </w:r>
    </w:p>
    <w:bookmarkStart w:id="36" w:name="paragraph00052"/>
    <w:p w14:paraId="44CE7093" w14:textId="4AE7CDAA"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52</w:t>
      </w:r>
      <w:r w:rsidRPr="00710DEE">
        <w:fldChar w:fldCharType="end"/>
      </w:r>
      <w:bookmarkEnd w:id="36"/>
      <w:r>
        <w:t>.</w:t>
      </w:r>
      <w:r w:rsidR="00BF573B">
        <w:t xml:space="preserve"> </w:t>
      </w:r>
      <w:r>
        <w:t xml:space="preserve">Wszystkie pozostałe osoby (tj. inne niż skarżący), których dotyczyło postanowienie Prezydenta Rzeczypospolitej z dnia 3 stycznia 2008 r., </w:t>
      </w:r>
      <w:r>
        <w:lastRenderedPageBreak/>
        <w:t>również podjęły próbę poddania sprawy kontroli sądów administracyjnych. W szczególności: i) każdy z sześciorga</w:t>
      </w:r>
      <w:r>
        <w:rPr>
          <w:rStyle w:val="Odwoanieprzypisudolnego"/>
        </w:rPr>
        <w:footnoteReference w:id="1"/>
      </w:r>
      <w:r>
        <w:t xml:space="preserve"> pozostałych kandydatów zaskarżył odmowę powołania ich na sędziów przez Prezydenta Rzeczypospolitej; ii) pięcioro z nich</w:t>
      </w:r>
      <w:r>
        <w:rPr>
          <w:rStyle w:val="Odwoanieprzypisudolnego"/>
        </w:rPr>
        <w:footnoteReference w:id="2"/>
      </w:r>
      <w:r>
        <w:t xml:space="preserve"> wniosło skargi na bezczynność Prezydenta; a iii) troje z tych pięciorga</w:t>
      </w:r>
      <w:r>
        <w:rPr>
          <w:rStyle w:val="Odwoanieprzypisudolnego"/>
        </w:rPr>
        <w:footnoteReference w:id="3"/>
      </w:r>
      <w:r>
        <w:t xml:space="preserve"> wniosło skargi na „stanowisko” Prezydenta w przedmiocie niepowołania do pełnienia urzędu sędziego. Żadna z tych skarg nie był</w:t>
      </w:r>
      <w:r w:rsidR="009378C9">
        <w:t>a</w:t>
      </w:r>
      <w:r>
        <w:t xml:space="preserve"> skuteczna, ponieważ Wojewódzki Sąd Administracyjny w Warszawie uznał je za niedopuszczalne, a Naczelny Sąd Administracyjny wydał ostateczne orzeczenia, którymi oddalił skargi kasacyjne skarżących.</w:t>
      </w:r>
    </w:p>
    <w:bookmarkStart w:id="37" w:name="paragraph00053"/>
    <w:p w14:paraId="3EC196C9" w14:textId="39C9C7BA"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53</w:t>
      </w:r>
      <w:r w:rsidRPr="00710DEE">
        <w:fldChar w:fldCharType="end"/>
      </w:r>
      <w:bookmarkEnd w:id="37"/>
      <w:r>
        <w:t>.</w:t>
      </w:r>
      <w:r w:rsidR="00BF573B">
        <w:t xml:space="preserve"> </w:t>
      </w:r>
      <w:r>
        <w:t xml:space="preserve">Wśród wyżej wskazanych orzeczeń Naczelny Sąd Administracyjny wydał w dniu 17 października 2012 r. szereg niemal identycznych postanowień (w sprawach o sygn. akt I OSK 1876/12, I OSK 1877/12 i </w:t>
      </w:r>
      <w:proofErr w:type="spellStart"/>
      <w:r>
        <w:t>I</w:t>
      </w:r>
      <w:proofErr w:type="spellEnd"/>
      <w:r>
        <w:t xml:space="preserve"> OSK 1889/12), dotyczących skarg wniesionych przez jednego kandydata, w</w:t>
      </w:r>
      <w:r w:rsidR="001A420B">
        <w:t> </w:t>
      </w:r>
      <w:r>
        <w:t>których poczynił następujące uwagi:</w:t>
      </w:r>
    </w:p>
    <w:p w14:paraId="23C27FA1" w14:textId="77777777" w:rsidR="00E44928" w:rsidRPr="00710DEE" w:rsidRDefault="009F6771" w:rsidP="00710DEE">
      <w:pPr>
        <w:pStyle w:val="JuPara"/>
      </w:pPr>
      <w:r>
        <w:t>– realizowanie przez Prezydenta konstytucyjnych kompetencji powinno mieć na celu wyłącznie realizację konstytucyjnych funkcji, a nie służyć jako autonomiczne instrumenty polityczne oderwane od tych funkcji (art. 126 ust. 3 Konstytucji);</w:t>
      </w:r>
    </w:p>
    <w:p w14:paraId="77A6F876" w14:textId="77777777" w:rsidR="00E44928" w:rsidRPr="00710DEE" w:rsidRDefault="009F6771" w:rsidP="00710DEE">
      <w:pPr>
        <w:pStyle w:val="JuPara"/>
      </w:pPr>
      <w:r>
        <w:t>– o ile art. 179 Konstytucji powierzał głowie państwa formalny akt powołania, o tyle stanie na straży niezależności sądów i niezawisłości sędziów należało do KRS na podstawie art. 186 ust. 1 Konstytucji;</w:t>
      </w:r>
    </w:p>
    <w:p w14:paraId="5B96B0D0" w14:textId="0D0003AA" w:rsidR="00E44928" w:rsidRPr="00710DEE" w:rsidRDefault="009F6771" w:rsidP="00710DEE">
      <w:pPr>
        <w:pStyle w:val="JuPara"/>
      </w:pPr>
      <w:r>
        <w:t>– Prezydent nie miał uprawnienia do zastąpienia oceny kandydata wyrażonej przez KRS własną (alternatywną) oceną, lecz nie istniał też obowiązek uwzględnienia każdego wniosku KRS, jednak każda odmowa powinna mieć miejsce tylko w sytuacji nadzwyczajnej i musiałoby ją</w:t>
      </w:r>
      <w:r w:rsidR="001A420B">
        <w:t> </w:t>
      </w:r>
      <w:r>
        <w:t xml:space="preserve">poprzedzać przedstawienie zastrzeżeń przez zasiadającego w KRS przedstawiciela Prezydenta (odwołano się do rozstrzygnięć Trybunału Konstytucyjnego w sprawach Kpt 1/08 i K 18/09 – zob. odpowiednio </w:t>
      </w:r>
      <w:r w:rsidR="00C61616">
        <w:t xml:space="preserve"> paragraf</w:t>
      </w:r>
      <w:r>
        <w:t xml:space="preserve"> </w:t>
      </w:r>
      <w:r w:rsidRPr="00710DEE">
        <w:fldChar w:fldCharType="begin"/>
      </w:r>
      <w:r w:rsidRPr="00710DEE">
        <w:instrText xml:space="preserve">REF paragraph00049 \h \* CharFormat </w:instrText>
      </w:r>
      <w:r w:rsidRPr="00710DEE">
        <w:fldChar w:fldCharType="separate"/>
      </w:r>
      <w:r w:rsidR="001A420B">
        <w:t>49</w:t>
      </w:r>
      <w:r w:rsidRPr="00710DEE">
        <w:fldChar w:fldCharType="end"/>
      </w:r>
      <w:r>
        <w:t xml:space="preserve"> i </w:t>
      </w:r>
      <w:r w:rsidRPr="00710DEE">
        <w:fldChar w:fldCharType="begin"/>
      </w:r>
      <w:r w:rsidRPr="00710DEE">
        <w:instrText xml:space="preserve">REF paragraph00051 \h \* CharFormat </w:instrText>
      </w:r>
      <w:r w:rsidRPr="00710DEE">
        <w:fldChar w:fldCharType="separate"/>
      </w:r>
      <w:r w:rsidR="001A420B">
        <w:t>51</w:t>
      </w:r>
      <w:r w:rsidRPr="00710DEE">
        <w:fldChar w:fldCharType="end"/>
      </w:r>
      <w:r>
        <w:t xml:space="preserve"> powyżej);</w:t>
      </w:r>
    </w:p>
    <w:p w14:paraId="3F0A15C5" w14:textId="77777777" w:rsidR="00E44928" w:rsidRPr="00710DEE" w:rsidRDefault="009F6771" w:rsidP="00710DEE">
      <w:pPr>
        <w:pStyle w:val="JuPara"/>
      </w:pPr>
      <w:r>
        <w:t>– art. 10 i art. 173 Konstytucji podkreślały szczególną konstytucyjną pozycję władzy sądowniczej; praktyka powoływania i awansowania musiała wykluczać arbitralność i zapewniać stabilność urzędującym sędziom ubiegającym się o awans;</w:t>
      </w:r>
    </w:p>
    <w:p w14:paraId="00F20A3A" w14:textId="16B06569" w:rsidR="00E44928" w:rsidRPr="00710DEE" w:rsidRDefault="009F6771" w:rsidP="00710DEE">
      <w:pPr>
        <w:pStyle w:val="JuQuot"/>
      </w:pPr>
      <w:r>
        <w:lastRenderedPageBreak/>
        <w:t>„[...] Istniejący obecnie stan prawny może nasuwać wątpliwości co do zgodności z</w:t>
      </w:r>
      <w:r w:rsidR="001A420B">
        <w:t> </w:t>
      </w:r>
      <w:r>
        <w:t>konstytucyjnymi zasadami określonymi w art. 60 i 45 ust.1 Konstytucji</w:t>
      </w:r>
      <w:r w:rsidR="0031622F">
        <w:t>,</w:t>
      </w:r>
      <w:r>
        <w:t xml:space="preserve"> czyli prawem dostępu do służby publicznej i prawem do sądu.</w:t>
      </w:r>
    </w:p>
    <w:p w14:paraId="607EF682" w14:textId="77777777" w:rsidR="00E44928" w:rsidRPr="00710DEE" w:rsidRDefault="009F6771" w:rsidP="00710DEE">
      <w:pPr>
        <w:pStyle w:val="JuQuot"/>
      </w:pPr>
      <w:r>
        <w:t>Z pewnością orzeczeń Prezydenta, z przedstawionych wcześniej powodów, nie może kontrolować sąd administracyjny. Jednak należałoby rozważyć czy pozostawienie tej sfery całkowicie poza jakąkolwiek kontrolą nie zagraża wskazanym powyżej wartościom konstytucyjnym i nie sprzyja tworzeniu pola potencjalnych konfliktów między dwoma konstytucyjnymi organami, których cele są wspólne.</w:t>
      </w:r>
    </w:p>
    <w:p w14:paraId="01C3D636" w14:textId="082F37A1" w:rsidR="00E44928" w:rsidRPr="00710DEE" w:rsidRDefault="009F6771" w:rsidP="00710DEE">
      <w:pPr>
        <w:pStyle w:val="JuQuot"/>
      </w:pPr>
      <w:r>
        <w:t>Podstawowym zadaniem Prezydenta Rzeczypospolitej Polskiej jest czuwanie nad przestrzeganiem Konstytucji i w tym kontekście, nie odrywając od niego nawet prerogatyw osobistych Prezydenta, trzeba określać zakres jego swobodnej oceny i</w:t>
      </w:r>
      <w:r w:rsidR="001A420B">
        <w:t> </w:t>
      </w:r>
      <w:r>
        <w:t>decyzji. Konstytucja w art.173 wyodrębniła władzę sądowniczą a w kolejnych (art. 178 - 181) ustanowiła zasadę niezawisłości sędziów i niezależności sądów. Wartości te powinny, w państwie prawa, podlegać jak najściślejszej ochronie</w:t>
      </w:r>
      <w:r w:rsidR="0031622F">
        <w:t>,</w:t>
      </w:r>
      <w:r>
        <w:t xml:space="preserve"> bo od ich istnienia zależy możliwość prawidłowego wykonywania przez sądy przypisanych im zadań.</w:t>
      </w:r>
    </w:p>
    <w:p w14:paraId="50FD93A8" w14:textId="3DFC8926" w:rsidR="00E44928" w:rsidRPr="00710DEE" w:rsidRDefault="009F6771" w:rsidP="00710DEE">
      <w:pPr>
        <w:pStyle w:val="JuQuot"/>
      </w:pPr>
      <w:r>
        <w:t>Należałoby w tej sytuacji rozważyć możliwość ustanowienia normy prawnej dotyczącej [i)] konsultacji Prezydenta z Krajową Radą Sadownictwa w przypadkach, w których przedstawiony do powołania kandydat Jego zdaniem nie daje gwarancji prawidłowego sprawowania urzędu bądź też [ii)] [...] postanowienia Prezydenta poddać jednoinstancyjnej kontroli Sądu Najwyższego. Praktyka konsultacji Prezydenta i KRS funkcjonowała w praktyce przez bardzo długi okres, jednak rozpoznawana sprawa świadczy o tym, że brak ustawowego zapisu może powodować wcześniej wskazane zagrożenia.”</w:t>
      </w:r>
    </w:p>
    <w:bookmarkStart w:id="38" w:name="paragraph00054"/>
    <w:p w14:paraId="2B167D29" w14:textId="1C2644F5"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54</w:t>
      </w:r>
      <w:r w:rsidRPr="00710DEE">
        <w:fldChar w:fldCharType="end"/>
      </w:r>
      <w:bookmarkEnd w:id="38"/>
      <w:r>
        <w:t>.</w:t>
      </w:r>
      <w:r w:rsidR="00BF573B">
        <w:t xml:space="preserve"> </w:t>
      </w:r>
      <w:r>
        <w:t>Również w 2012 r. – w sprawie wszczętej przez osobę, której kandydatura na urząd sędziego została odrzucona postanowieniem Prezydenta Rzeczypospolitej innym niż postanowienie dotyczące skarżących (mianowicie postanowieniem z dnia 4 września 2008 r.) – Naczelny Sąd Administracyjny potwierdził, że nie jest właściwy do kontroli decyzji prezydenckich w sprawach powoływania sędziów; postępowanie to zostało zakończone postanowieniem Naczelnego Sądu Administracyjnego z dnia 16 października 2012 r. (w sprawie o sygn. akt I OSK 1886/12).</w:t>
      </w:r>
    </w:p>
    <w:bookmarkStart w:id="39" w:name="paragraph00055"/>
    <w:p w14:paraId="18CC524F" w14:textId="03302FCB"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55</w:t>
      </w:r>
      <w:r w:rsidRPr="00710DEE">
        <w:fldChar w:fldCharType="end"/>
      </w:r>
      <w:bookmarkEnd w:id="39"/>
      <w:r>
        <w:t>.</w:t>
      </w:r>
      <w:r w:rsidR="00BF573B">
        <w:t xml:space="preserve"> </w:t>
      </w:r>
      <w:r>
        <w:t>Ponadto w dniu 20 marca 2013 r. (w sprawie o sygn. akt I OSK 3129/12) Naczelny Sąd Administracyjny w podobny sposób oddalił skargę kasacyjną wniesioną przez jeszcze inną osobę, której kandydatura na</w:t>
      </w:r>
      <w:r w:rsidR="001A420B">
        <w:t> </w:t>
      </w:r>
      <w:r>
        <w:t>stanowisko sędziowskie została ostatecznie odrzucona postanowieniem Prezydenta Rzeczypospolitej z 2010 r. uchylającym wcześniejszą pozytywną decyzję z dnia 27 marca 2009 r. (wydaną przez poprzednią osobę sprawującą urząd Prezydenta Rzeczypospolitej).</w:t>
      </w:r>
    </w:p>
    <w:p w14:paraId="717E4DF4" w14:textId="6AA6287B"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56</w:t>
      </w:r>
      <w:r w:rsidRPr="00710DEE">
        <w:fldChar w:fldCharType="end"/>
      </w:r>
      <w:r>
        <w:t>.</w:t>
      </w:r>
      <w:r w:rsidR="00BF573B">
        <w:t xml:space="preserve"> </w:t>
      </w:r>
      <w:r>
        <w:t>W późniejszym orzecznictwie (np. postanowieniem z dnia 25</w:t>
      </w:r>
      <w:r w:rsidR="001A420B">
        <w:t> </w:t>
      </w:r>
      <w:r>
        <w:t>kwietnia 2019 r. w sprawie o sygn. akt II GZ 62/19 oraz postanowieniem z dnia 11 maja 2021 r. w sprawie o sygn. akt III OSK 3265/21) Naczelny Sąd Administracyjny potwierdził swoje stanowisko co do braku właściwości sądów administracyjnych do kontroli decyzji prezydenckich dotyczących powoływania kandydatów na urząd sędziego.</w:t>
      </w:r>
    </w:p>
    <w:bookmarkStart w:id="40" w:name="paragraph00057"/>
    <w:p w14:paraId="15817EC2" w14:textId="036BD733"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57</w:t>
      </w:r>
      <w:r w:rsidRPr="00710DEE">
        <w:fldChar w:fldCharType="end"/>
      </w:r>
      <w:bookmarkEnd w:id="40"/>
      <w:r>
        <w:t>.</w:t>
      </w:r>
      <w:r w:rsidR="00BF573B">
        <w:t xml:space="preserve"> </w:t>
      </w:r>
      <w:r>
        <w:t xml:space="preserve">Ponadto w szeregu spraw dotyczących zarzutów, że skład orzekający sądów administracyjnych był nieprawidłowy – z uwagi na to, że dani </w:t>
      </w:r>
      <w:r>
        <w:lastRenderedPageBreak/>
        <w:t xml:space="preserve">sędziowie zostali powołani na wniosek KRS w nowym składzie (zob. </w:t>
      </w:r>
      <w:bookmarkStart w:id="41" w:name="_cl43901RELEVANTLEGALFRAMEWORKANDPRACTIC"/>
      <w:r>
        <w:rPr>
          <w:i/>
        </w:rPr>
        <w:t>Wałęsa przeciwko Polsce</w:t>
      </w:r>
      <w:bookmarkEnd w:id="41"/>
      <w:r>
        <w:t>, cyt. powyżej, §§ 3-4) – Naczelny Sąd Administracyjny orzekał o skutkach prawnych wykonywania przez Prezydenta Rzeczypospolitej jego konstytucyjnej kompetencji powoływania sędziów (zob. m.in. postanowienie z dnia 27 stycznia 2020 r. w sprawie o sygn. akt I</w:t>
      </w:r>
      <w:r w:rsidR="001A420B">
        <w:t> </w:t>
      </w:r>
      <w:r>
        <w:t>OSK 1917/18 oraz wyrok z dnia 4 listopada 2021 r. w sprawie o sygn. akt III FSK 3626/21). W wyżej wymienionym wyroku Naczelny Sąd Administracyjny poczynił między innymi następujące uwagi:</w:t>
      </w:r>
    </w:p>
    <w:p w14:paraId="23E8885C" w14:textId="77777777" w:rsidR="00E44928" w:rsidRPr="00710DEE" w:rsidRDefault="009F6771" w:rsidP="00710DEE">
      <w:pPr>
        <w:pStyle w:val="JuQuot"/>
      </w:pPr>
      <w:r>
        <w:t>„W świetle art. 179 ust. 1 w zw. z art. 144 ust. 2 i ust. 3 pkt 17 Konstytucji RP nie wydaje się jednak, aby sam fakt, że powołanie sędziego jest konstytucyjną prerogatywą Prezydenta, a więc aktem osobistym wyłączonym spod kontrasygnaty Prezesa Rady Ministrów, wystarczyło do przyjęcia, że Prezydent według niczym nieskrępowanego uznania może decydować, kiedy nie jest związany wnioskiem Krajowej Rady Sądownictwa. Rolę Prezydenta w procesie powołania sędziów należy bowiem odczytywać w świetle art. 10 i art. 126 Konstytucji RP.</w:t>
      </w:r>
    </w:p>
    <w:p w14:paraId="2AC3E786" w14:textId="77777777" w:rsidR="00E44928" w:rsidRPr="00710DEE" w:rsidRDefault="009F6771" w:rsidP="00710DEE">
      <w:pPr>
        <w:pStyle w:val="JuQuot"/>
      </w:pPr>
      <w:r>
        <w:t>[…]</w:t>
      </w:r>
    </w:p>
    <w:p w14:paraId="3895B8B3" w14:textId="77777777" w:rsidR="00E44928" w:rsidRPr="00710DEE" w:rsidRDefault="009F6771" w:rsidP="00710DEE">
      <w:pPr>
        <w:pStyle w:val="JuQuot"/>
      </w:pPr>
      <w:r>
        <w:t>Funkcja gwaranta ciągłości władzy państwowej wymaga od Prezydenta podejmowania działań mających zapobiegać powstawaniu zakłóceń w przewidzianym konstytucyjnie mechanizmie funkcjonowania organów władzy państwowej, a więc także władzy sądowniczej, z czym związana jest obsada personalna stanowisk sędziowskich. Z kolei funkcja czuwania nad przestrzeganiem ustawy zasadniczej jest w istocie konstytucyjnym obowiązkiem Prezydenta w każdej sferze jego działalności, którego rzetelne wykonanie nie powinno opierać się tylko na jego subiektywnych przekonaniach co do treści i interpretacji postanowień Konstytucji, ale znajdować uzasadnienie w zasadach i wartościach konstytucyjnych.”</w:t>
      </w:r>
    </w:p>
    <w:bookmarkStart w:id="42" w:name="paragraph00058"/>
    <w:p w14:paraId="62DB8DA2" w14:textId="5B2B61D8"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58</w:t>
      </w:r>
      <w:r w:rsidRPr="00710DEE">
        <w:fldChar w:fldCharType="end"/>
      </w:r>
      <w:bookmarkEnd w:id="42"/>
      <w:r>
        <w:t>.</w:t>
      </w:r>
      <w:r w:rsidR="00BF573B">
        <w:t xml:space="preserve"> </w:t>
      </w:r>
      <w:r>
        <w:t xml:space="preserve">Ponadto w 2021 r. Naczelny Sąd Administracyjny wydał szereg wyroków dotyczących </w:t>
      </w:r>
      <w:proofErr w:type="spellStart"/>
      <w:r>
        <w:t>odwołań</w:t>
      </w:r>
      <w:proofErr w:type="spellEnd"/>
      <w:r>
        <w:t xml:space="preserve"> od uchwał podjętych przez KRS w nowym składzie (w których KRS wskazała niektórych kandydatów do powołania do</w:t>
      </w:r>
      <w:r w:rsidR="001A420B">
        <w:t> </w:t>
      </w:r>
      <w:r>
        <w:t>pełnienia urzędu sędziego Sądu Najwyższego i odmówiła wskazania innych). Naczelny Sąd Administracyjny uchylił zaskarżone uchwały, lecz orzekł, że skutki jego wyroków nie odnoszą się do ważności i skuteczności prezydenckich powołań na urząd sędziego Sądu Najwyższego dokonanych na podstawie wniosków przedstawionych przez KRS przedstawionych w</w:t>
      </w:r>
      <w:r w:rsidR="001A420B">
        <w:t> </w:t>
      </w:r>
      <w:r>
        <w:t xml:space="preserve">uchwałach poddanych kontroli (szczegóły zob. </w:t>
      </w:r>
      <w:bookmarkStart w:id="43" w:name="_cl44822RELEVANTLEGALFRAMEWORKANDPRACTIC"/>
      <w:proofErr w:type="spellStart"/>
      <w:r>
        <w:rPr>
          <w:i/>
        </w:rPr>
        <w:t>Sadomski</w:t>
      </w:r>
      <w:proofErr w:type="spellEnd"/>
      <w:r>
        <w:rPr>
          <w:i/>
        </w:rPr>
        <w:t xml:space="preserve"> przeciwko Polsce</w:t>
      </w:r>
      <w:bookmarkEnd w:id="43"/>
      <w:r>
        <w:t>, skarga nr 56297/21, §§ 9–14 oraz §§ 28–35, 9 maja 2025 r.).</w:t>
      </w:r>
    </w:p>
    <w:p w14:paraId="1BD55B31" w14:textId="77777777" w:rsidR="00E44928" w:rsidRPr="00710DEE" w:rsidRDefault="009F6771" w:rsidP="00710DEE">
      <w:pPr>
        <w:pStyle w:val="JuH1"/>
      </w:pPr>
      <w:r>
        <w:t>Orzecznictwo Sądu Najwyższego</w:t>
      </w:r>
    </w:p>
    <w:bookmarkStart w:id="44" w:name="paragraph00059"/>
    <w:p w14:paraId="63182A62" w14:textId="2A557CA7"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59</w:t>
      </w:r>
      <w:r w:rsidRPr="00710DEE">
        <w:fldChar w:fldCharType="end"/>
      </w:r>
      <w:bookmarkEnd w:id="44"/>
      <w:r>
        <w:t>.</w:t>
      </w:r>
      <w:r w:rsidR="00BF573B">
        <w:t xml:space="preserve"> </w:t>
      </w:r>
      <w:r>
        <w:t>W postanowieniu z dnia 5 listopada 2009 r. (w sprawie o sygn. akt I</w:t>
      </w:r>
      <w:r w:rsidR="001A420B">
        <w:t> </w:t>
      </w:r>
      <w:r>
        <w:t>CSK 16/09), w sprawie z powództwa o ustalenie prawa skarżącego do</w:t>
      </w:r>
      <w:r w:rsidR="001A420B">
        <w:t> </w:t>
      </w:r>
      <w:r>
        <w:t>wykonywania mandatu sędziego Trybunału Konstytucyjnego, Sąd Najwyższy uznał, że konstytucyjne prawo do sądu służy zapewnieniu efektywnej ochrony praw podmiotowych. Powstaje ono jedynie wówczas, gdy istnieje „sprawa” w znaczeniu konstytucyjnym, co może mieć miejsce wtedy, gdy ochrona praw lub interesów prywatnych jest możliwa w</w:t>
      </w:r>
      <w:r w:rsidR="001A420B">
        <w:t> </w:t>
      </w:r>
      <w:r>
        <w:t xml:space="preserve">postępowaniu sądowym. Uznano, że domaganie się ustalenia istnienia </w:t>
      </w:r>
      <w:r>
        <w:lastRenderedPageBreak/>
        <w:t>prawa do wykonywania mandatu sędziego Trybunału Konstytucyjnego odnosi się do stosunku publicznoprawnego i nie ma cech realizacji prawa podmiotowego. W związku z tym osoba dochodząca takiego żądania nie mogła powołać się na art. 45 ust. 1 i art. 77 ust. 2 Konstytucji, a spory dotyczące powierzenia lub pozbawienia mandatu sędziego Trybunału Konstytucyjnego uznano za wykraczające poza zakres kontroli sądowej.</w:t>
      </w:r>
    </w:p>
    <w:p w14:paraId="311EEBA9" w14:textId="2C9BDCB3"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60</w:t>
      </w:r>
      <w:r w:rsidRPr="00710DEE">
        <w:fldChar w:fldCharType="end"/>
      </w:r>
      <w:r>
        <w:t>.</w:t>
      </w:r>
      <w:r w:rsidR="00BF573B">
        <w:t xml:space="preserve"> </w:t>
      </w:r>
      <w:r>
        <w:t>Zagadnienie prezydenckich aktów powołania na stanowiska sędziowskie zdobyło złą sławę w orzecznictwie Sądu Najwyższego po</w:t>
      </w:r>
      <w:r w:rsidR="001A420B">
        <w:t> </w:t>
      </w:r>
      <w:r>
        <w:t>reformie KRS z 2017 r. i powołaniach sędziowskich dokonanych z</w:t>
      </w:r>
      <w:r w:rsidR="001A420B">
        <w:t> </w:t>
      </w:r>
      <w:r>
        <w:t xml:space="preserve">udziałem KRS w nowym składzie (zob. </w:t>
      </w:r>
      <w:r>
        <w:rPr>
          <w:i/>
          <w:iCs/>
        </w:rPr>
        <w:t>Wałęsa</w:t>
      </w:r>
      <w:r>
        <w:t>, cyt. powyżej, §§ 3–4). Sąd Najwyższy – często odwołując się do przytoczonego wyżej orzecznictwa Naczelnego Sądu Administracyjnego i Trybunału Konstytucyjnego – co</w:t>
      </w:r>
      <w:r w:rsidR="001A420B">
        <w:t> </w:t>
      </w:r>
      <w:r>
        <w:t>do</w:t>
      </w:r>
      <w:r w:rsidR="001A420B">
        <w:t> </w:t>
      </w:r>
      <w:r>
        <w:t>zasady potwierdził, że prezydenckie decyzje o powołaniu lub niepowołaniu sędziów były wyłączone spod kontroli sądowej. Tutejszy Trybunał zauważa jednak, że wiele z tych orzeczeń (np. wyrok z dnia 1 lipca 2019 r. w sprawie o sygn. akt I NO 70/19, postanowienie z dnia 16</w:t>
      </w:r>
      <w:r w:rsidR="001A420B">
        <w:t> </w:t>
      </w:r>
      <w:r>
        <w:t>października 2019 r. w sprawie o sygn. akt I NOZP 2/19 oraz wyrok z dnia 9 czerwca 2020 r. w sprawie o sygn. akt I NO 37/20) wydali sędziowie zasiadający w Izbie Kontroli Nadzwyczajnej i Spraw Publicznych Sądu Najwyższego (których powołano w ramach z natury wadliwej procedury z</w:t>
      </w:r>
      <w:r w:rsidR="001A420B">
        <w:t> </w:t>
      </w:r>
      <w:r>
        <w:t>udziałem KRS w nowym składzie, zgodnie z tym, co uznał Trybunał w</w:t>
      </w:r>
      <w:r w:rsidR="001A420B">
        <w:t> </w:t>
      </w:r>
      <w:r>
        <w:t xml:space="preserve">sprawie </w:t>
      </w:r>
      <w:bookmarkStart w:id="45" w:name="_cl41129RELEVANTLEGALFRAMEWORKANDPRACTIC"/>
      <w:r>
        <w:rPr>
          <w:i/>
        </w:rPr>
        <w:t>Dolińska-Ficek i Ozimek przeciwko Polsce</w:t>
      </w:r>
      <w:bookmarkEnd w:id="45"/>
      <w:r>
        <w:t>, skargi nr 49868/19 i</w:t>
      </w:r>
      <w:r w:rsidR="001A420B">
        <w:t> </w:t>
      </w:r>
      <w:r>
        <w:t>57511/19, §§ 353–354, 8 listopada 2021 r.).</w:t>
      </w:r>
    </w:p>
    <w:p w14:paraId="0A43881E" w14:textId="77777777" w:rsidR="00E44928" w:rsidRPr="00710DEE" w:rsidRDefault="009F6771" w:rsidP="00710DEE">
      <w:pPr>
        <w:pStyle w:val="JuHIRoman"/>
      </w:pPr>
      <w:r>
        <w:rPr>
          <w:caps w:val="0"/>
        </w:rPr>
        <w:t>AKTY MIĘDZYNARODOWE</w:t>
      </w:r>
    </w:p>
    <w:p w14:paraId="5BC99295" w14:textId="77777777" w:rsidR="00E44928" w:rsidRPr="00710DEE" w:rsidRDefault="009F6771" w:rsidP="00710DEE">
      <w:pPr>
        <w:pStyle w:val="JuHA"/>
      </w:pPr>
      <w:r>
        <w:t>Podsumowane już akty międzynarodowe</w:t>
      </w:r>
    </w:p>
    <w:p w14:paraId="5F0933FF" w14:textId="726E842F"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61</w:t>
      </w:r>
      <w:r w:rsidRPr="00710DEE">
        <w:fldChar w:fldCharType="end"/>
      </w:r>
      <w:r>
        <w:t>.</w:t>
      </w:r>
      <w:r w:rsidR="00BF573B">
        <w:t xml:space="preserve"> </w:t>
      </w:r>
      <w:r>
        <w:t xml:space="preserve">Właściwe akty międzynarodowe zostały szczegółowo przedstawione w wyroku Trybunału w sprawie </w:t>
      </w:r>
      <w:bookmarkStart w:id="46" w:name="_cl40234RELEVANTLEGALFRAMEWORKANDPRACTIC"/>
      <w:proofErr w:type="spellStart"/>
      <w:r>
        <w:rPr>
          <w:i/>
          <w:iCs/>
        </w:rPr>
        <w:t>Guðmundur</w:t>
      </w:r>
      <w:proofErr w:type="spellEnd"/>
      <w:r>
        <w:rPr>
          <w:i/>
          <w:iCs/>
        </w:rPr>
        <w:t xml:space="preserve"> </w:t>
      </w:r>
      <w:proofErr w:type="spellStart"/>
      <w:r>
        <w:rPr>
          <w:i/>
          <w:iCs/>
        </w:rPr>
        <w:t>Andri</w:t>
      </w:r>
      <w:proofErr w:type="spellEnd"/>
      <w:r>
        <w:rPr>
          <w:i/>
          <w:iCs/>
        </w:rPr>
        <w:t xml:space="preserve"> </w:t>
      </w:r>
      <w:proofErr w:type="spellStart"/>
      <w:r>
        <w:rPr>
          <w:i/>
          <w:iCs/>
        </w:rPr>
        <w:t>Ástráðsson</w:t>
      </w:r>
      <w:proofErr w:type="spellEnd"/>
      <w:r>
        <w:rPr>
          <w:i/>
          <w:iCs/>
        </w:rPr>
        <w:t xml:space="preserve"> przeciwko Islandii</w:t>
      </w:r>
      <w:bookmarkEnd w:id="46"/>
      <w:r>
        <w:t xml:space="preserve"> [WI] (skarga nr 26374/18, §§ 117–127, 1 grudnia 2020 r.).</w:t>
      </w:r>
    </w:p>
    <w:p w14:paraId="7F1C9D9E" w14:textId="77777777" w:rsidR="00E44928" w:rsidRPr="00710DEE" w:rsidRDefault="009F6771" w:rsidP="00710DEE">
      <w:pPr>
        <w:pStyle w:val="JuHA"/>
      </w:pPr>
      <w:r>
        <w:t>Międzynarodowy pakt praw obywatelskich i politycznych (</w:t>
      </w:r>
      <w:proofErr w:type="spellStart"/>
      <w:r>
        <w:t>MPPOiP</w:t>
      </w:r>
      <w:proofErr w:type="spellEnd"/>
      <w:r>
        <w:t>)</w:t>
      </w:r>
    </w:p>
    <w:bookmarkStart w:id="47" w:name="paragraph00062"/>
    <w:p w14:paraId="07D7AA64" w14:textId="14D1F204"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62</w:t>
      </w:r>
      <w:r w:rsidRPr="00710DEE">
        <w:fldChar w:fldCharType="end"/>
      </w:r>
      <w:bookmarkEnd w:id="47"/>
      <w:r>
        <w:t>.</w:t>
      </w:r>
      <w:r w:rsidR="00BF573B">
        <w:t xml:space="preserve"> </w:t>
      </w:r>
      <w:r>
        <w:t xml:space="preserve">Właściwe postanowienia </w:t>
      </w:r>
      <w:proofErr w:type="spellStart"/>
      <w:r>
        <w:t>MPPOiP</w:t>
      </w:r>
      <w:proofErr w:type="spellEnd"/>
      <w:r>
        <w:t xml:space="preserve"> (przyjętego przez Zgromadzenie Ogólne Organizacji Narodów Zjednoczonych w dniu 16 grudnia 1966 r.), którego Polska jest Państwem-Stroną, brzmią następująco:</w:t>
      </w:r>
    </w:p>
    <w:p w14:paraId="77B078B2" w14:textId="77777777" w:rsidR="00E44928" w:rsidRPr="00710DEE" w:rsidRDefault="009F6771" w:rsidP="00710DEE">
      <w:pPr>
        <w:pStyle w:val="JuHArticle"/>
        <w:keepLines/>
      </w:pPr>
      <w:r>
        <w:t>Artykuł 25</w:t>
      </w:r>
    </w:p>
    <w:p w14:paraId="4813319C" w14:textId="77777777" w:rsidR="00E44928" w:rsidRPr="00710DEE" w:rsidRDefault="009F6771" w:rsidP="00710DEE">
      <w:pPr>
        <w:pStyle w:val="JuQuot"/>
      </w:pPr>
      <w:r>
        <w:t>„Każdy obywatel ma prawo i możliwości, bez żadnej dyskryminacji, o której mowa w artykule 2, i bez nieuzasadnionych ograniczeń:</w:t>
      </w:r>
    </w:p>
    <w:p w14:paraId="23630BB5" w14:textId="77777777" w:rsidR="00E44928" w:rsidRPr="00710DEE" w:rsidRDefault="009F6771" w:rsidP="00710DEE">
      <w:pPr>
        <w:pStyle w:val="JuQuot"/>
      </w:pPr>
      <w:r>
        <w:t>[…]</w:t>
      </w:r>
    </w:p>
    <w:p w14:paraId="29C4F705" w14:textId="416B48EB" w:rsidR="00E44928" w:rsidRPr="00710DEE" w:rsidRDefault="009F6771" w:rsidP="00710DEE">
      <w:pPr>
        <w:pStyle w:val="JuQuot"/>
      </w:pPr>
      <w:r>
        <w:t xml:space="preserve">c) </w:t>
      </w:r>
      <w:r w:rsidR="00570EC4">
        <w:t xml:space="preserve">do </w:t>
      </w:r>
      <w:r>
        <w:t>dostępu do służby publicznej w swoim kraju na ogólnych zasadach równości.”</w:t>
      </w:r>
    </w:p>
    <w:p w14:paraId="0445539C" w14:textId="77777777" w:rsidR="00E44928" w:rsidRPr="00710DEE" w:rsidRDefault="009F6771" w:rsidP="00710DEE">
      <w:pPr>
        <w:pStyle w:val="JuHA"/>
      </w:pPr>
      <w:r>
        <w:lastRenderedPageBreak/>
        <w:t>Rada Europy</w:t>
      </w:r>
    </w:p>
    <w:p w14:paraId="72A54483" w14:textId="553E4F81" w:rsidR="00E44928" w:rsidRPr="00710DEE" w:rsidRDefault="001A420B" w:rsidP="00710DEE">
      <w:pPr>
        <w:pStyle w:val="JuPara"/>
      </w:pPr>
      <w:fldSimple w:instr=" SEQ level0 \*arabic \* MERGEFORMAT ">
        <w:bookmarkStart w:id="48" w:name="paragraph00063"/>
        <w:r>
          <w:rPr>
            <w:noProof/>
          </w:rPr>
          <w:t>63</w:t>
        </w:r>
        <w:bookmarkEnd w:id="48"/>
      </w:fldSimple>
      <w:r w:rsidR="009F6771">
        <w:t>.</w:t>
      </w:r>
      <w:r w:rsidR="00BF573B">
        <w:t xml:space="preserve"> </w:t>
      </w:r>
      <w:r w:rsidR="009F6771">
        <w:t>Następujące właściwe akty Rady Europy zostały już przedstawione w</w:t>
      </w:r>
      <w:r w:rsidR="009A12AA">
        <w:t> </w:t>
      </w:r>
      <w:r w:rsidR="009F6771">
        <w:t xml:space="preserve">wyroku Wielkiej Izby w sprawie </w:t>
      </w:r>
      <w:proofErr w:type="spellStart"/>
      <w:r w:rsidR="009F6771">
        <w:rPr>
          <w:i/>
          <w:iCs/>
        </w:rPr>
        <w:t>Guðmundur</w:t>
      </w:r>
      <w:proofErr w:type="spellEnd"/>
      <w:r w:rsidR="009F6771">
        <w:rPr>
          <w:i/>
          <w:iCs/>
        </w:rPr>
        <w:t xml:space="preserve"> </w:t>
      </w:r>
      <w:proofErr w:type="spellStart"/>
      <w:r w:rsidR="009F6771">
        <w:rPr>
          <w:i/>
          <w:iCs/>
        </w:rPr>
        <w:t>Andri</w:t>
      </w:r>
      <w:proofErr w:type="spellEnd"/>
      <w:r w:rsidR="009F6771">
        <w:rPr>
          <w:i/>
          <w:iCs/>
        </w:rPr>
        <w:t xml:space="preserve"> </w:t>
      </w:r>
      <w:proofErr w:type="spellStart"/>
      <w:r w:rsidR="009F6771">
        <w:rPr>
          <w:i/>
          <w:iCs/>
        </w:rPr>
        <w:t>Ástráðsson</w:t>
      </w:r>
      <w:proofErr w:type="spellEnd"/>
      <w:r w:rsidR="009F6771">
        <w:t xml:space="preserve"> (cyt.</w:t>
      </w:r>
      <w:r w:rsidR="009A12AA">
        <w:t> </w:t>
      </w:r>
      <w:r w:rsidR="009F6771">
        <w:t>powyżej, §§ 121–127): i) zalecenie przyjęte przez Komitet Ministrów w dniu 17 listopada 2010 r. (CM/</w:t>
      </w:r>
      <w:proofErr w:type="spellStart"/>
      <w:r w:rsidR="009F6771">
        <w:t>Rec</w:t>
      </w:r>
      <w:proofErr w:type="spellEnd"/>
      <w:r w:rsidR="009F6771">
        <w:t>(2010)12) w sprawie sędziów i ich: niezawisłości, odpowiedzialności i efektywności; ii) sprawozdanie Komisji Weneckiej dotyczące powoływań sędziów (CDL-AD(2007)028), przyjęte na</w:t>
      </w:r>
      <w:r>
        <w:t> </w:t>
      </w:r>
      <w:r w:rsidR="009F6771">
        <w:t>jej 70. sesji plenarnej (16–17 marca 2007 r.); iii) lista kontrolna dotycząca praworządności (CDL-AD(2016)007); iv) opinia Rady Konsultacyjnej Sędziów Europejskich (CCJE) nr 1 (2001) „Standardy w zakresie niezależności sądownictwa oraz nieusuwalności sędziów”; v) Wielka Karta Sędziów; vi) opinia CCJE nr 18 (2015) „Pozycja sądownictwa i jego relacje z innymi organami władz państwowych we współczesnej demokracji” z dnia 16 października 2015 r.; vii) sprawozdanie CCJE w sprawie niezawisłości i</w:t>
      </w:r>
      <w:r>
        <w:t> </w:t>
      </w:r>
      <w:r w:rsidR="009F6771">
        <w:t>bezstronności sędziów w państwach członkowskich Rady Europy w 2017 r. Ponadto w niniejszej sprawie istotne są następujące akty.</w:t>
      </w:r>
    </w:p>
    <w:p w14:paraId="49424250" w14:textId="77777777" w:rsidR="00E44928" w:rsidRPr="00710DEE" w:rsidRDefault="009F6771" w:rsidP="00710DEE">
      <w:pPr>
        <w:pStyle w:val="JuH1"/>
      </w:pPr>
      <w:r>
        <w:t>Komitet Ministrów</w:t>
      </w:r>
    </w:p>
    <w:p w14:paraId="0DF6C01F" w14:textId="77777777" w:rsidR="00E44928" w:rsidRPr="00710DEE" w:rsidRDefault="009F6771" w:rsidP="00710DEE">
      <w:pPr>
        <w:pStyle w:val="JuHa0"/>
      </w:pPr>
      <w:r>
        <w:t xml:space="preserve">Zalecenie </w:t>
      </w:r>
      <w:proofErr w:type="spellStart"/>
      <w:proofErr w:type="gramStart"/>
      <w:r>
        <w:t>Rec</w:t>
      </w:r>
      <w:proofErr w:type="spellEnd"/>
      <w:r>
        <w:t>(</w:t>
      </w:r>
      <w:proofErr w:type="gramEnd"/>
      <w:r>
        <w:t>94)12</w:t>
      </w:r>
    </w:p>
    <w:p w14:paraId="4E351C8F" w14:textId="527CEFB7" w:rsidR="00E44928" w:rsidRPr="00710DEE" w:rsidRDefault="001A420B" w:rsidP="00710DEE">
      <w:pPr>
        <w:pStyle w:val="JuPara"/>
      </w:pPr>
      <w:fldSimple w:instr=" SEQ level0 \*arabic \* MERGEFORMAT ">
        <w:bookmarkStart w:id="49" w:name="paragraph00064"/>
        <w:r>
          <w:rPr>
            <w:noProof/>
          </w:rPr>
          <w:t>64</w:t>
        </w:r>
        <w:bookmarkEnd w:id="49"/>
      </w:fldSimple>
      <w:r w:rsidR="009F6771">
        <w:t>.</w:t>
      </w:r>
      <w:r w:rsidR="00BF573B">
        <w:t xml:space="preserve"> </w:t>
      </w:r>
      <w:r w:rsidR="009F6771">
        <w:t>Zalecenie przyjęte przez Komitet Ministrów w dniu 13 października 1994 r. (</w:t>
      </w:r>
      <w:proofErr w:type="gramStart"/>
      <w:r w:rsidR="009F6771">
        <w:t>R(</w:t>
      </w:r>
      <w:proofErr w:type="gramEnd"/>
      <w:r w:rsidR="009F6771">
        <w:t>94)12) w sprawie niezawisłości, sprawności i roli sędziów w</w:t>
      </w:r>
      <w:r>
        <w:t> </w:t>
      </w:r>
      <w:r w:rsidR="009F6771">
        <w:t>odpowiedniej części stanowi:</w:t>
      </w:r>
    </w:p>
    <w:p w14:paraId="669575BC" w14:textId="77777777" w:rsidR="00E44928" w:rsidRPr="00710DEE" w:rsidRDefault="009F6771" w:rsidP="00710DEE">
      <w:pPr>
        <w:pStyle w:val="JuHArticle"/>
      </w:pPr>
      <w:r>
        <w:t>Zasada I – Zasady ogólne dotyczące niezawisłości sędziów</w:t>
      </w:r>
    </w:p>
    <w:p w14:paraId="0ED29AB2" w14:textId="779B5003" w:rsidR="00E44928" w:rsidRPr="00710DEE" w:rsidRDefault="009F6771" w:rsidP="00710DEE">
      <w:pPr>
        <w:pStyle w:val="JuQuot"/>
      </w:pPr>
      <w:r>
        <w:t>„1. Należy podjąć wszelkie niezbędne środki w celu poszanowania, ochrony i</w:t>
      </w:r>
      <w:r w:rsidR="001A420B">
        <w:t> </w:t>
      </w:r>
      <w:r>
        <w:t>wspierania niezawisłości sędziów.</w:t>
      </w:r>
    </w:p>
    <w:p w14:paraId="408559A2" w14:textId="77777777" w:rsidR="00E44928" w:rsidRPr="00710DEE" w:rsidRDefault="009F6771" w:rsidP="00710DEE">
      <w:pPr>
        <w:pStyle w:val="JuQuot"/>
      </w:pPr>
      <w:r>
        <w:t>2. W szczególności należy podjąć następujące środki:</w:t>
      </w:r>
    </w:p>
    <w:p w14:paraId="56CC73D1" w14:textId="2F2E9B84" w:rsidR="00E44928" w:rsidRPr="00710DEE" w:rsidRDefault="009F6771" w:rsidP="00710DEE">
      <w:pPr>
        <w:pStyle w:val="JuQuot"/>
      </w:pPr>
      <w:r>
        <w:t>a. Niezawisłość sędziów należy zagwarantować zgodnie z postanowieniami Konwencji i zasadami konstytucyjnymi, na przykład poprzez wprowadzenie szczególnych przepisów do konstytucji lub innych aktów prawnych albo poprzez włączenie zapisów niniejszego zalecenia do prawa wewnętrznego. Z zastrzeżeniem tradycji prawnych każdego państwa, unormowania takie mogą przewidywać na</w:t>
      </w:r>
      <w:r w:rsidR="001A420B">
        <w:t> </w:t>
      </w:r>
      <w:r>
        <w:t>przykład, co następuje:</w:t>
      </w:r>
    </w:p>
    <w:p w14:paraId="7C83FC34" w14:textId="77777777" w:rsidR="00E44928" w:rsidRPr="00710DEE" w:rsidRDefault="009F6771" w:rsidP="00710DEE">
      <w:pPr>
        <w:pStyle w:val="JuQuot"/>
        <w:ind w:left="567"/>
      </w:pPr>
      <w:r>
        <w:t>i. decyzje sędziów nie powinny być przedmiotem jakiejkolwiek rewizji dokonywanej poza ramami postępowań odwoławczych przewidzianych prawem;</w:t>
      </w:r>
    </w:p>
    <w:p w14:paraId="6E6F4A94" w14:textId="77777777" w:rsidR="00E44928" w:rsidRPr="00710DEE" w:rsidRDefault="009F6771" w:rsidP="00710DEE">
      <w:pPr>
        <w:pStyle w:val="JuQuot"/>
        <w:ind w:left="567"/>
      </w:pPr>
      <w:r>
        <w:t>ii. okres służby sędziowskiej oraz wynagrodzenie sędziów powinny być zagwarantowane ustawą;</w:t>
      </w:r>
    </w:p>
    <w:p w14:paraId="3E8CFAFD" w14:textId="77777777" w:rsidR="00E44928" w:rsidRPr="00710DEE" w:rsidRDefault="009F6771" w:rsidP="00710DEE">
      <w:pPr>
        <w:pStyle w:val="JuQuot"/>
        <w:ind w:left="567"/>
      </w:pPr>
      <w:r>
        <w:t>iii. żaden organ poza samymi sądami nie powinien rozstrzygać o swojej właściwości zdefiniowanej na mocy ustawy;</w:t>
      </w:r>
    </w:p>
    <w:p w14:paraId="4185930D" w14:textId="77777777" w:rsidR="00E44928" w:rsidRPr="00710DEE" w:rsidRDefault="009F6771" w:rsidP="00710DEE">
      <w:pPr>
        <w:pStyle w:val="JuQuot"/>
        <w:ind w:left="567"/>
      </w:pPr>
      <w:r>
        <w:t xml:space="preserve">iv. z zastrzeżeniem decyzji o amnestii, ułaskawieniu i tym podobnych ani </w:t>
      </w:r>
      <w:proofErr w:type="gramStart"/>
      <w:r>
        <w:t>rząd</w:t>
      </w:r>
      <w:proofErr w:type="gramEnd"/>
      <w:r>
        <w:t xml:space="preserve"> ani administracja nie powinny móc podejmować żadnych decyzji unieważniających orzeczenia sądowe z mocą wsteczną.</w:t>
      </w:r>
    </w:p>
    <w:p w14:paraId="3C673D14" w14:textId="433F00C2" w:rsidR="00E44928" w:rsidRPr="00710DEE" w:rsidRDefault="009F6771" w:rsidP="00710DEE">
      <w:pPr>
        <w:pStyle w:val="JuQuot"/>
      </w:pPr>
      <w:r>
        <w:lastRenderedPageBreak/>
        <w:t>b. Władza wykonawcza i ustawodawcza powinny zapewnić sędziom niezawisłość i</w:t>
      </w:r>
      <w:r w:rsidR="001A420B">
        <w:t> </w:t>
      </w:r>
      <w:r>
        <w:t>nie podejmować działań, które mogą j</w:t>
      </w:r>
      <w:r w:rsidR="007622E3">
        <w:t>ej zagrażać</w:t>
      </w:r>
      <w:r>
        <w:t>.</w:t>
      </w:r>
    </w:p>
    <w:p w14:paraId="5F9EFC8F" w14:textId="65E9F010" w:rsidR="00E44928" w:rsidRPr="00710DEE" w:rsidRDefault="009F6771" w:rsidP="00710DEE">
      <w:pPr>
        <w:pStyle w:val="JuQuot"/>
      </w:pPr>
      <w:r>
        <w:t>c. Wszelkie decyzje dotyczące kariery zawodowej sędziów powinny być oparte na</w:t>
      </w:r>
      <w:r w:rsidR="001A420B">
        <w:t> </w:t>
      </w:r>
      <w:r>
        <w:t>obiektywnych kryteriach, a wybór i kariera zawodowa sędziów powinny być oparte na kompetencjach, uwzględniając kwalifikacje, uczciwość, umiejętności i skuteczność. Organ podejmujący decyzję o wyborze i awansowaniu sędziów powinien być niezależny od rządu i administracji. W celu zagwarantowania jego niezależności przepisy powinny przewidywać na przykład wybór jego członków przez przedstawicieli sądownictwa oraz przyjmowanie treści regulaminu przez sam organ.</w:t>
      </w:r>
    </w:p>
    <w:p w14:paraId="714BE10C" w14:textId="7E124965" w:rsidR="00E44928" w:rsidRPr="00710DEE" w:rsidRDefault="009F6771" w:rsidP="00710DEE">
      <w:pPr>
        <w:pStyle w:val="JuQuot"/>
      </w:pPr>
      <w:r>
        <w:t>Jeżeli jednak przepisy czy tradycje konstytucyjne lub ustawowe pozwalają na</w:t>
      </w:r>
      <w:r w:rsidR="001A420B">
        <w:t> </w:t>
      </w:r>
      <w:r>
        <w:t>powoływanie sędziów przez rząd, powinny istnieć gwarancje zapewniające przejrzystość i praktyczną niezależność procedur powoływania oraz niemotywowanie decyzji względami innymi niż te związane z wymienionymi wyżej obiektywnymi kryteriami. Gwarancją taką może być:</w:t>
      </w:r>
    </w:p>
    <w:p w14:paraId="0705872B" w14:textId="77777777" w:rsidR="00E44928" w:rsidRPr="00710DEE" w:rsidRDefault="009F6771" w:rsidP="00710DEE">
      <w:pPr>
        <w:pStyle w:val="JuQuot"/>
        <w:ind w:left="567"/>
      </w:pPr>
      <w:r>
        <w:t>i. specjalny, właściwy, niezależny organ doradczy przy rządzie, do którego zaleceń rząd w praktyce się stosuje; lub</w:t>
      </w:r>
    </w:p>
    <w:p w14:paraId="7A1F2F32" w14:textId="77777777" w:rsidR="00E44928" w:rsidRPr="00710DEE" w:rsidRDefault="009F6771" w:rsidP="00710DEE">
      <w:pPr>
        <w:pStyle w:val="JuQuot"/>
        <w:ind w:left="567"/>
      </w:pPr>
      <w:r>
        <w:t>ii. prawo jednostki do odwołania się od decyzji do niezależnego organu; lub</w:t>
      </w:r>
    </w:p>
    <w:p w14:paraId="1962824F" w14:textId="6FC3F826" w:rsidR="00E44928" w:rsidRPr="00710DEE" w:rsidRDefault="009F6771" w:rsidP="00710DEE">
      <w:pPr>
        <w:pStyle w:val="JuQuot"/>
        <w:ind w:left="567"/>
      </w:pPr>
      <w:r>
        <w:t xml:space="preserve">iii. </w:t>
      </w:r>
      <w:r w:rsidR="00E76B1E">
        <w:t>zapewnienie ochrony</w:t>
      </w:r>
      <w:r>
        <w:t xml:space="preserve"> przez organ podejmujący decyzję, przed </w:t>
      </w:r>
      <w:proofErr w:type="spellStart"/>
      <w:r w:rsidR="00E76B1E">
        <w:t>nieuprawnionymi</w:t>
      </w:r>
      <w:r>
        <w:t>i</w:t>
      </w:r>
      <w:proofErr w:type="spellEnd"/>
      <w:r>
        <w:t xml:space="preserve"> lub niewłaściwymi wpływami.</w:t>
      </w:r>
    </w:p>
    <w:p w14:paraId="732DCEF6" w14:textId="77777777" w:rsidR="00E44928" w:rsidRDefault="009F6771" w:rsidP="00710DEE">
      <w:pPr>
        <w:pStyle w:val="JuQuot"/>
        <w:ind w:left="567"/>
      </w:pPr>
      <w:r>
        <w:t>[...]”</w:t>
      </w:r>
    </w:p>
    <w:p w14:paraId="3C9FF782" w14:textId="09A19D6B" w:rsidR="00554CAF" w:rsidRPr="00710DEE" w:rsidRDefault="00554CAF" w:rsidP="00710DEE">
      <w:pPr>
        <w:pStyle w:val="JuQuot"/>
        <w:ind w:left="567"/>
      </w:pPr>
      <w:r>
        <w:t>[</w:t>
      </w:r>
      <w:r>
        <w:rPr>
          <w:i/>
          <w:iCs/>
        </w:rPr>
        <w:t xml:space="preserve">Przyp. tłum.: brak oficjalnej polskiej wersji Zalecenia </w:t>
      </w:r>
      <w:proofErr w:type="gramStart"/>
      <w:r>
        <w:rPr>
          <w:i/>
          <w:iCs/>
        </w:rPr>
        <w:t>R(</w:t>
      </w:r>
      <w:proofErr w:type="gramEnd"/>
      <w:r>
        <w:rPr>
          <w:i/>
          <w:iCs/>
        </w:rPr>
        <w:t>94)12 – powyższa treść została przełożona przez tłumacza wyroku.</w:t>
      </w:r>
      <w:r>
        <w:t>]</w:t>
      </w:r>
    </w:p>
    <w:p w14:paraId="3F69B166" w14:textId="77777777" w:rsidR="00E44928" w:rsidRPr="00710DEE" w:rsidRDefault="009F6771" w:rsidP="00710DEE">
      <w:pPr>
        <w:pStyle w:val="JuHa0"/>
      </w:pPr>
      <w:r>
        <w:t>Zalecenie CM/</w:t>
      </w:r>
      <w:proofErr w:type="spellStart"/>
      <w:proofErr w:type="gramStart"/>
      <w:r>
        <w:t>Rec</w:t>
      </w:r>
      <w:proofErr w:type="spellEnd"/>
      <w:r>
        <w:t>(</w:t>
      </w:r>
      <w:proofErr w:type="gramEnd"/>
      <w:r>
        <w:t>2010)12</w:t>
      </w:r>
    </w:p>
    <w:p w14:paraId="54C75D9C" w14:textId="2A4B6DBD"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65</w:t>
      </w:r>
      <w:r w:rsidRPr="00710DEE">
        <w:fldChar w:fldCharType="end"/>
      </w:r>
      <w:r>
        <w:t>.</w:t>
      </w:r>
      <w:r w:rsidR="00BF573B">
        <w:t xml:space="preserve"> </w:t>
      </w:r>
      <w:r>
        <w:t>Zalecenie CM/</w:t>
      </w:r>
      <w:proofErr w:type="spellStart"/>
      <w:proofErr w:type="gramStart"/>
      <w:r>
        <w:t>Rec</w:t>
      </w:r>
      <w:proofErr w:type="spellEnd"/>
      <w:r>
        <w:t>(</w:t>
      </w:r>
      <w:proofErr w:type="gramEnd"/>
      <w:r>
        <w:t xml:space="preserve">2010)12 dotyczące sędziów i ich: niezawisłości, odpowiedzialności i efektywności (zob. </w:t>
      </w:r>
      <w:r w:rsidR="00C61616">
        <w:t xml:space="preserve"> paragraf</w:t>
      </w:r>
      <w:r>
        <w:t xml:space="preserve"> </w:t>
      </w:r>
      <w:r w:rsidRPr="00710DEE">
        <w:fldChar w:fldCharType="begin"/>
      </w:r>
      <w:r w:rsidRPr="00710DEE">
        <w:instrText xml:space="preserve"> REF paragraph00063 \h  \* CharFormat </w:instrText>
      </w:r>
      <w:r w:rsidRPr="00710DEE">
        <w:fldChar w:fldCharType="separate"/>
      </w:r>
      <w:r w:rsidR="001A420B">
        <w:t>63</w:t>
      </w:r>
      <w:r w:rsidRPr="00710DEE">
        <w:fldChar w:fldCharType="end"/>
      </w:r>
      <w:r>
        <w:t xml:space="preserve"> powyżej) zastąpiło wyżej wymienione zalecenie </w:t>
      </w:r>
      <w:proofErr w:type="spellStart"/>
      <w:proofErr w:type="gramStart"/>
      <w:r>
        <w:t>Rec</w:t>
      </w:r>
      <w:proofErr w:type="spellEnd"/>
      <w:r>
        <w:t>(</w:t>
      </w:r>
      <w:proofErr w:type="gramEnd"/>
      <w:r>
        <w:t>94)12. W istotnych częściach stanowi ono, co</w:t>
      </w:r>
      <w:r w:rsidR="001A420B">
        <w:t> </w:t>
      </w:r>
      <w:r>
        <w:t>następuje:</w:t>
      </w:r>
    </w:p>
    <w:p w14:paraId="7F5F156A" w14:textId="77777777" w:rsidR="00E44928" w:rsidRPr="00710DEE" w:rsidRDefault="009F6771" w:rsidP="00710DEE">
      <w:pPr>
        <w:pStyle w:val="JuQuot"/>
        <w:rPr>
          <w:b/>
          <w:bCs/>
        </w:rPr>
      </w:pPr>
      <w:r>
        <w:rPr>
          <w:b/>
        </w:rPr>
        <w:t>Rozdział I – Kwestie ogólne</w:t>
      </w:r>
    </w:p>
    <w:p w14:paraId="7DC58B59" w14:textId="77777777" w:rsidR="00E44928" w:rsidRPr="00710DEE" w:rsidRDefault="009F6771" w:rsidP="00710DEE">
      <w:pPr>
        <w:pStyle w:val="JuQuot"/>
        <w:rPr>
          <w:b/>
          <w:bCs/>
        </w:rPr>
      </w:pPr>
      <w:r>
        <w:rPr>
          <w:b/>
        </w:rPr>
        <w:t>Niezawisłość sędziowska i stopień jej gwarancji</w:t>
      </w:r>
    </w:p>
    <w:p w14:paraId="1E7FE1AD" w14:textId="77777777" w:rsidR="00E44928" w:rsidRPr="00710DEE" w:rsidRDefault="009F6771" w:rsidP="00710DEE">
      <w:pPr>
        <w:pStyle w:val="JuQuot"/>
      </w:pPr>
      <w:r>
        <w:t>„3. Celem niezawisłości, o której mowa w art. 6 Konwencji, jest zagwarantowanie każdemu człowiekowi podstawowego prawa do rzetelnego rozpatrzenia jego sprawy, wyłącznie na podstawie prawnej i bez jakiegokolwiek niewłaściwego wpływu.</w:t>
      </w:r>
    </w:p>
    <w:p w14:paraId="6FA23C99" w14:textId="77777777" w:rsidR="00E44928" w:rsidRPr="00710DEE" w:rsidRDefault="009F6771" w:rsidP="00710DEE">
      <w:pPr>
        <w:pStyle w:val="JuQuot"/>
      </w:pPr>
      <w:r>
        <w:t>4. Niezawisłość poszczególnych sędziów jest chroniona przez niezawisłość całego sądownictwa. Stanowi fundamentalną zasadę państwa prawa.”</w:t>
      </w:r>
    </w:p>
    <w:p w14:paraId="3DFB9A04" w14:textId="77777777" w:rsidR="00E44928" w:rsidRPr="00710DEE" w:rsidRDefault="009F6771" w:rsidP="00710DEE">
      <w:pPr>
        <w:pStyle w:val="JuQuot"/>
        <w:rPr>
          <w:b/>
          <w:bCs/>
        </w:rPr>
      </w:pPr>
      <w:r>
        <w:rPr>
          <w:b/>
        </w:rPr>
        <w:t>Rozdział II – Zewnętrzna niezawisłość</w:t>
      </w:r>
    </w:p>
    <w:p w14:paraId="78505C99" w14:textId="77777777" w:rsidR="00E44928" w:rsidRPr="00710DEE" w:rsidRDefault="009F6771" w:rsidP="00710DEE">
      <w:pPr>
        <w:pStyle w:val="JuQuot"/>
      </w:pPr>
      <w:r>
        <w:t>„11. Zewnętrzna niezawisłość sędziów nie jest przywilejem ustanowionym w ich interesie, ale ku poszanowaniu rządów prawa oraz w celu zapewnienia bezstronności procesu. Niezawisłość sędziów należy postrzegać jako gwarancję wolności, poszanowania praw człowieka i bezstronnego stosowania przepisów prawa.</w:t>
      </w:r>
    </w:p>
    <w:p w14:paraId="3DFD4EEC" w14:textId="77777777" w:rsidR="00E44928" w:rsidRPr="00710DEE" w:rsidRDefault="009F6771" w:rsidP="00710DEE">
      <w:pPr>
        <w:pStyle w:val="JuQuot"/>
        <w:rPr>
          <w:b/>
          <w:bCs/>
        </w:rPr>
      </w:pPr>
      <w:r>
        <w:rPr>
          <w:b/>
        </w:rPr>
        <w:t>Rozdział VI – Status sędziego</w:t>
      </w:r>
    </w:p>
    <w:p w14:paraId="39C97898" w14:textId="77777777" w:rsidR="00E44928" w:rsidRPr="00710DEE" w:rsidRDefault="009F6771" w:rsidP="00710DEE">
      <w:pPr>
        <w:pStyle w:val="JuQuot"/>
        <w:rPr>
          <w:b/>
          <w:bCs/>
        </w:rPr>
      </w:pPr>
      <w:r>
        <w:rPr>
          <w:b/>
        </w:rPr>
        <w:t>Wybór i kariera</w:t>
      </w:r>
    </w:p>
    <w:p w14:paraId="0124364A" w14:textId="29E2E0D3" w:rsidR="00E44928" w:rsidRPr="00710DEE" w:rsidRDefault="009F6771" w:rsidP="00710DEE">
      <w:pPr>
        <w:pStyle w:val="JuQuot"/>
      </w:pPr>
      <w:r>
        <w:lastRenderedPageBreak/>
        <w:t>„44. Decyzje dotyczące wyboru i kariery sędziowskiej powinny się opierać na</w:t>
      </w:r>
      <w:r w:rsidR="001A420B">
        <w:t> </w:t>
      </w:r>
      <w:r>
        <w:t>obiektywnych kryteriach wyznaczonych prawem lub przez upoważniony organ. Decyzje te powinny być oparte na kompetencjach, uwzględniając kwalifikacje, zdolności i umiejętności stosowania prawa z poszanowaniem godności ludzkiej.</w:t>
      </w:r>
    </w:p>
    <w:p w14:paraId="65436AE7" w14:textId="77777777" w:rsidR="00E44928" w:rsidRPr="00710DEE" w:rsidRDefault="009F6771" w:rsidP="00710DEE">
      <w:pPr>
        <w:pStyle w:val="JuQuot"/>
      </w:pPr>
      <w:r>
        <w:t>[…]</w:t>
      </w:r>
    </w:p>
    <w:p w14:paraId="66691EB2" w14:textId="77777777" w:rsidR="00E44928" w:rsidRPr="00710DEE" w:rsidRDefault="009F6771" w:rsidP="00710DEE">
      <w:pPr>
        <w:pStyle w:val="JuQuot"/>
      </w:pPr>
      <w:r>
        <w:t>46. Organ podejmujący decyzje o nominacji powinien być niezależny od władzy ustawodawczej i wykonawczej. Aby zagwarantować jego niezależność, co najmniej połowa z jego członków powinna być sędziami wybieranymi przez ich przedstawicieli.</w:t>
      </w:r>
    </w:p>
    <w:p w14:paraId="69CB84DA" w14:textId="4872EF74" w:rsidR="00E44928" w:rsidRPr="00710DEE" w:rsidRDefault="009F6771" w:rsidP="00710DEE">
      <w:pPr>
        <w:pStyle w:val="JuQuot"/>
      </w:pPr>
      <w:r>
        <w:t>47. Jednakże</w:t>
      </w:r>
      <w:r w:rsidR="0031622F">
        <w:t>,</w:t>
      </w:r>
      <w:r>
        <w:t xml:space="preserve"> gdy konstytucja lub inne akty przewidują, iż głowa państwa, rząd, władza ustawodawcza podejmują decyzje w sprawie mianowania i kariery sędziowskiej, wtedy niezależny i właściwy organ wewnątrz władzy sądowniczej (z</w:t>
      </w:r>
      <w:r w:rsidR="001A420B">
        <w:t> </w:t>
      </w:r>
      <w:r>
        <w:t>poszanowaniem regulacji dotyczących Rad Sądownictwa z rozdziału IV) powinien być upoważniony do wydawania rekomendacji, których nominujący sędziów podmiot musi przestrzegać.</w:t>
      </w:r>
    </w:p>
    <w:p w14:paraId="3FB49881" w14:textId="77777777" w:rsidR="00E44928" w:rsidRPr="00710DEE" w:rsidRDefault="009F6771" w:rsidP="00710DEE">
      <w:pPr>
        <w:pStyle w:val="JuQuot"/>
      </w:pPr>
      <w:r>
        <w:t>48. Członkowie niezależnego organu, do których odnoszą się paragrafy 46 i 47, powinni być jak najszerszą reprezentacją. Powinni posługiwać się transparentnymi procedurami, z podaniem uzasadnienia wyboru, z możliwością odwołania. Kandydaci, którzy nie zostali wybrani, powinni mieć możliwość zaskarżenia decyzji, a przynajmniej procedury, w której została ona podjęta.</w:t>
      </w:r>
    </w:p>
    <w:p w14:paraId="0E4B69A1" w14:textId="77777777" w:rsidR="00E44928" w:rsidRPr="00710DEE" w:rsidRDefault="009F6771" w:rsidP="00710DEE">
      <w:pPr>
        <w:pStyle w:val="JuPara"/>
      </w:pPr>
      <w:r>
        <w:t>Uzasadnienie do niniejszego zalecenia stanowi ponadto, co następuje:</w:t>
      </w:r>
    </w:p>
    <w:p w14:paraId="7E1FF404" w14:textId="77777777" w:rsidR="00E44928" w:rsidRDefault="009F6771" w:rsidP="00710DEE">
      <w:pPr>
        <w:pStyle w:val="JuQuot"/>
      </w:pPr>
      <w:r>
        <w:t>„13. Rozdział władzy jest podstawową gwarancją niezawisłości sądownictwa, niezależnie od tradycji prawnych państw członkowskich.”</w:t>
      </w:r>
    </w:p>
    <w:p w14:paraId="438798C1" w14:textId="07F89CD8" w:rsidR="00554CAF" w:rsidRPr="00710DEE" w:rsidRDefault="00554CAF" w:rsidP="00554CAF">
      <w:pPr>
        <w:pStyle w:val="JuQuot"/>
        <w:ind w:left="567"/>
      </w:pPr>
      <w:r>
        <w:t>[</w:t>
      </w:r>
      <w:r>
        <w:rPr>
          <w:i/>
          <w:iCs/>
        </w:rPr>
        <w:t xml:space="preserve">Przyp. tłum.: brak oficjalnej polskiej wersji Zalecenia </w:t>
      </w:r>
      <w:r w:rsidRPr="00554CAF">
        <w:rPr>
          <w:i/>
          <w:iCs/>
        </w:rPr>
        <w:t>CM/</w:t>
      </w:r>
      <w:proofErr w:type="spellStart"/>
      <w:proofErr w:type="gramStart"/>
      <w:r w:rsidRPr="00554CAF">
        <w:rPr>
          <w:i/>
          <w:iCs/>
        </w:rPr>
        <w:t>Rec</w:t>
      </w:r>
      <w:proofErr w:type="spellEnd"/>
      <w:r w:rsidRPr="00554CAF">
        <w:rPr>
          <w:i/>
          <w:iCs/>
        </w:rPr>
        <w:t>(</w:t>
      </w:r>
      <w:proofErr w:type="gramEnd"/>
      <w:r w:rsidRPr="00554CAF">
        <w:rPr>
          <w:i/>
          <w:iCs/>
        </w:rPr>
        <w:t>2010)12</w:t>
      </w:r>
      <w:r>
        <w:rPr>
          <w:i/>
          <w:iCs/>
        </w:rPr>
        <w:t xml:space="preserve">– powyższa treść została przełożona przez tłumacza wyroku oraz zaczerpnięta </w:t>
      </w:r>
      <w:r w:rsidRPr="00554CAF">
        <w:rPr>
          <w:i/>
          <w:iCs/>
        </w:rPr>
        <w:t>z przetłumaczonych</w:t>
      </w:r>
      <w:r>
        <w:rPr>
          <w:i/>
          <w:iCs/>
        </w:rPr>
        <w:t xml:space="preserve"> już fragmentów tego zalecenia w wyroku Trybunału w sprawie </w:t>
      </w:r>
      <w:proofErr w:type="spellStart"/>
      <w:r>
        <w:rPr>
          <w:i/>
          <w:iCs/>
        </w:rPr>
        <w:t>Reczkowicz</w:t>
      </w:r>
      <w:proofErr w:type="spellEnd"/>
      <w:r>
        <w:rPr>
          <w:i/>
          <w:iCs/>
        </w:rPr>
        <w:t xml:space="preserve"> przeciwko Polsce.</w:t>
      </w:r>
      <w:r>
        <w:t>]</w:t>
      </w:r>
    </w:p>
    <w:p w14:paraId="2AE135F0" w14:textId="77777777" w:rsidR="00E44928" w:rsidRPr="00710DEE" w:rsidRDefault="009F6771" w:rsidP="00710DEE">
      <w:pPr>
        <w:pStyle w:val="JuH1"/>
      </w:pPr>
      <w:r>
        <w:t>Komisja Wenecka</w:t>
      </w:r>
    </w:p>
    <w:p w14:paraId="1CDF1507" w14:textId="2ABDBC96"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66</w:t>
      </w:r>
      <w:r w:rsidRPr="00710DEE">
        <w:fldChar w:fldCharType="end"/>
      </w:r>
      <w:r>
        <w:t>.</w:t>
      </w:r>
      <w:r w:rsidR="00BF573B">
        <w:t xml:space="preserve"> </w:t>
      </w:r>
      <w:r>
        <w:t>Komisja Wenecka w opinii dotyczącej projektu ustawy o zmianie ustawy o Krajowej Radzie Sądownictwa, projektu ustawy o zmianie ustawy o Sądzie Najwyższym zgłoszonego przez Prezydenta RP oraz ustawy o</w:t>
      </w:r>
      <w:r w:rsidR="001A420B">
        <w:t> </w:t>
      </w:r>
      <w:r>
        <w:t>ustroju sądów powszechnych, którą przyjęła na 113. sesji plenarnej (Wenecja, 8–9 grudnia 2017 r., CDL-AD</w:t>
      </w:r>
      <w:r w:rsidR="0031622F">
        <w:t xml:space="preserve"> </w:t>
      </w:r>
      <w:r>
        <w:t>(2017)031), zauważyła, w zakresie w jakim jest to istotne:</w:t>
      </w:r>
    </w:p>
    <w:p w14:paraId="3536630B" w14:textId="7F25A202" w:rsidR="00E44928" w:rsidRDefault="009F6771" w:rsidP="00710DEE">
      <w:pPr>
        <w:pStyle w:val="JuQuot"/>
      </w:pPr>
      <w:r>
        <w:t xml:space="preserve">„77. Komisja Wenecka przyznaje, że powoływanie sędziów SN przez wybieranego w wyborach powszechnych Prezydenta może teoretycznie zapewniać powołanym sędziom pewien stopień demokratycznej legitymizacji, czego nie zapewnia w taki sam sposób system </w:t>
      </w:r>
      <w:proofErr w:type="spellStart"/>
      <w:r>
        <w:t>kooptacyjny</w:t>
      </w:r>
      <w:proofErr w:type="spellEnd"/>
      <w:r>
        <w:t xml:space="preserve"> w obrębie samej władzy sądowniczej. Niemniej jednak Komisja Wenecka opowiada się raczej za minimalizacją roli głowy państwa w</w:t>
      </w:r>
      <w:r w:rsidR="001A420B">
        <w:t> </w:t>
      </w:r>
      <w:r>
        <w:t>powoływaniu sędziów. W opinii CDL-</w:t>
      </w:r>
      <w:proofErr w:type="gramStart"/>
      <w:r>
        <w:t>AD(</w:t>
      </w:r>
      <w:proofErr w:type="gramEnd"/>
      <w:r>
        <w:t>2013)034 w sprawie Ukrainy Komisja Wenecka podkreśliła, że „nie zgłasza zastrzeżeń wobec powoływania sędziów przez głowę państwa, gdy jest ona związana wnioskiem rady sądownictwa i działa w sposób «ceremonialny», jedynie formalizując decyzję podjętą co do istoty przez radę sądownictwa” [pominięto przypis]. Nawet jeżeli Prezydent ma rzeczywistą (a nie ceremonialną) możliwość wyboru, jego wybór powinien być ograniczony do</w:t>
      </w:r>
      <w:r w:rsidR="001A420B">
        <w:t> </w:t>
      </w:r>
      <w:r>
        <w:t>kandydatów cieszących się istotnym poparciem w obrębie władzy sądowniczej.”</w:t>
      </w:r>
    </w:p>
    <w:p w14:paraId="226F4203" w14:textId="2196FD00" w:rsidR="00554CAF" w:rsidRPr="00710DEE" w:rsidRDefault="00554CAF" w:rsidP="00554CAF">
      <w:pPr>
        <w:pStyle w:val="JuQuot"/>
        <w:ind w:left="567"/>
      </w:pPr>
      <w:r>
        <w:lastRenderedPageBreak/>
        <w:t>[</w:t>
      </w:r>
      <w:r>
        <w:rPr>
          <w:i/>
          <w:iCs/>
        </w:rPr>
        <w:t xml:space="preserve">Przyp. tłum.: brak oficjalnej polskiej wersji opinii </w:t>
      </w:r>
      <w:r w:rsidRPr="00554CAF">
        <w:rPr>
          <w:i/>
          <w:iCs/>
        </w:rPr>
        <w:t>CDL-</w:t>
      </w:r>
      <w:proofErr w:type="gramStart"/>
      <w:r w:rsidRPr="00554CAF">
        <w:rPr>
          <w:i/>
          <w:iCs/>
        </w:rPr>
        <w:t>AD(</w:t>
      </w:r>
      <w:proofErr w:type="gramEnd"/>
      <w:r w:rsidRPr="00554CAF">
        <w:rPr>
          <w:i/>
          <w:iCs/>
        </w:rPr>
        <w:t>2017)031</w:t>
      </w:r>
      <w:r>
        <w:rPr>
          <w:i/>
          <w:iCs/>
        </w:rPr>
        <w:t xml:space="preserve"> – powyższa treść została przełożona przez tłumacza wyroku.</w:t>
      </w:r>
      <w:r>
        <w:t>]</w:t>
      </w:r>
    </w:p>
    <w:p w14:paraId="02826B00" w14:textId="77777777" w:rsidR="00E44928" w:rsidRPr="00710DEE" w:rsidRDefault="009F6771" w:rsidP="00710DEE">
      <w:pPr>
        <w:pStyle w:val="JuH1"/>
      </w:pPr>
      <w:r>
        <w:t>Rada Konsultacyjna Sędziów Europejskich</w:t>
      </w:r>
    </w:p>
    <w:bookmarkStart w:id="50" w:name="paragraph00065"/>
    <w:p w14:paraId="604F95D9" w14:textId="4BF88090"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67</w:t>
      </w:r>
      <w:r w:rsidRPr="00710DEE">
        <w:fldChar w:fldCharType="end"/>
      </w:r>
      <w:bookmarkEnd w:id="50"/>
      <w:r>
        <w:t>.</w:t>
      </w:r>
      <w:r w:rsidR="00BF573B">
        <w:t xml:space="preserve"> </w:t>
      </w:r>
      <w:r>
        <w:t>W deklaracji dotyczącej praktyki powoływania sędziów w Polsce, przyjętej przez Radę Konsultacyjną Sędziów Europejskich (CCJE) na jej 9.</w:t>
      </w:r>
      <w:r w:rsidR="009A12AA">
        <w:t> </w:t>
      </w:r>
      <w:r>
        <w:t>Zgromadzeniu Plenarnym w dniu 13 listopada 2008 r. w reakcji na</w:t>
      </w:r>
      <w:r w:rsidR="009A12AA">
        <w:t> </w:t>
      </w:r>
      <w:r>
        <w:t>odmowę powołania na sędziów przez Prezydenta Rzeczypospolitej pewnej liczby osób przedstawionych przez KRS, CCJE poczyniła następujące uwagi, których istotne części brzmią następująco:</w:t>
      </w:r>
    </w:p>
    <w:p w14:paraId="68347E2C" w14:textId="77777777" w:rsidR="00E44928" w:rsidRPr="00710DEE" w:rsidRDefault="009F6771" w:rsidP="00710DEE">
      <w:pPr>
        <w:pStyle w:val="JuQuot"/>
      </w:pPr>
      <w:r>
        <w:t>„Po należytym rozpatrzeniu powyższego zagadnienia CCJE</w:t>
      </w:r>
    </w:p>
    <w:p w14:paraId="40D954BF" w14:textId="2E34CEF9" w:rsidR="00E44928" w:rsidRDefault="009F6771" w:rsidP="00710DEE">
      <w:pPr>
        <w:pStyle w:val="JuQuot"/>
      </w:pPr>
      <w:r>
        <w:t>– przypomina przede wszystkim, że w swoim Zaleceniu nr R(94)12 Komitet Ministrów Rady Europy wyraził pogląd, iż co do zasady «organ podejmujący decyzję o wyborze [...] sędziów powinien być niezależny od rządu i administracji», a «jego członkowie» powinni być wybierani «przez przedstawicieli sądownictwa», i wezwał, nawet «jeżeli [...] przepisy czy tradycje konstytucyjne lub ustawowe pozwalają na</w:t>
      </w:r>
      <w:r w:rsidR="001A420B">
        <w:t> </w:t>
      </w:r>
      <w:r>
        <w:t>powoływanie sędziów przez rząd», do ustanowienia gwarancji «zapewniających przejrzystość i praktyczną niezależność procedur powoływania», np. w ramach których rząd «w praktyce się stosuje» do zaleceń niezależnego organu czy ustanawia się przysługujące zainteresowanemu kandydatowi «prawo [...] do odwołania się od decyzji do niezależnego organu».”</w:t>
      </w:r>
    </w:p>
    <w:p w14:paraId="3080253E" w14:textId="364CBF3C" w:rsidR="00554CAF" w:rsidRPr="00710DEE" w:rsidRDefault="00554CAF" w:rsidP="00554CAF">
      <w:pPr>
        <w:pStyle w:val="JuQuot"/>
        <w:ind w:left="567"/>
      </w:pPr>
      <w:r>
        <w:t>[</w:t>
      </w:r>
      <w:r>
        <w:rPr>
          <w:i/>
          <w:iCs/>
        </w:rPr>
        <w:t>Przyp. tłum.: brak oficjalnej polskiej wersji deklaracji – powyższa treść została przełożona przez tłumacza wyroku.</w:t>
      </w:r>
      <w:r>
        <w:t>]</w:t>
      </w:r>
    </w:p>
    <w:p w14:paraId="6C94F967" w14:textId="3AF4EF4A"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68</w:t>
      </w:r>
      <w:r w:rsidRPr="00710DEE">
        <w:fldChar w:fldCharType="end"/>
      </w:r>
      <w:r>
        <w:t>.</w:t>
      </w:r>
      <w:r w:rsidR="00BF573B">
        <w:t xml:space="preserve"> </w:t>
      </w:r>
      <w:r>
        <w:t xml:space="preserve">Opinia CCJE nr 24 (2021) w sprawie ewolucji rad sądownictwa i ich roli w niezależnych i bezstronnych systemach sądowniczych, </w:t>
      </w:r>
      <w:proofErr w:type="gramStart"/>
      <w:r>
        <w:t>CCJE(</w:t>
      </w:r>
      <w:proofErr w:type="gramEnd"/>
      <w:r>
        <w:t>2021)11, przyjęta w dniu 5 listopada 2021 r., stanowi, w zakresie istotnym dla sprawy:</w:t>
      </w:r>
    </w:p>
    <w:p w14:paraId="2A30D257" w14:textId="085BBC60" w:rsidR="00E44928" w:rsidRPr="00710DEE" w:rsidRDefault="009F6771" w:rsidP="00710DEE">
      <w:pPr>
        <w:pStyle w:val="JuQuot"/>
      </w:pPr>
      <w:r>
        <w:t>„20. [Trybunał] i TSUE orzekły, że powoływanie sędziów ma ogromne znaczenie dla niezależnego sądownictwa. CCJE zawsze stała na tym stanowisku. W konsekwencji wybór lub rekomendowanie nowych sędziów do powołania i awansu w oparciu o</w:t>
      </w:r>
      <w:r w:rsidR="001A420B">
        <w:t> </w:t>
      </w:r>
      <w:r>
        <w:t>kompetencje jest zadaniem o kluczowym znaczeniu. [...] Decyzje dotyczące kariery sędziów nie mogą być podejmowane z uwagi na lojalność wobec polityków lub innych sędziów. Poprzez wybór i awans sędziów lub składu sądu decyzje te mają wielki wpływ na przyszłe orzeczenia sądowe.</w:t>
      </w:r>
    </w:p>
    <w:p w14:paraId="2E021911" w14:textId="77777777" w:rsidR="00E44928" w:rsidRPr="00710DEE" w:rsidRDefault="009F6771" w:rsidP="00710DEE">
      <w:pPr>
        <w:pStyle w:val="JuQuot"/>
      </w:pPr>
      <w:r>
        <w:t>[…]</w:t>
      </w:r>
    </w:p>
    <w:p w14:paraId="21886344" w14:textId="77777777" w:rsidR="00E44928" w:rsidRPr="00710DEE" w:rsidRDefault="009F6771" w:rsidP="00710DEE">
      <w:pPr>
        <w:pStyle w:val="JuQuot"/>
        <w:rPr>
          <w:b/>
          <w:bCs/>
        </w:rPr>
      </w:pPr>
      <w:r>
        <w:rPr>
          <w:b/>
        </w:rPr>
        <w:t>III. Rady sądownictwa w społeczeństwie</w:t>
      </w:r>
    </w:p>
    <w:p w14:paraId="0854E320" w14:textId="77777777" w:rsidR="00E44928" w:rsidRPr="00710DEE" w:rsidRDefault="009F6771" w:rsidP="00710DEE">
      <w:pPr>
        <w:pStyle w:val="JuQuot"/>
        <w:rPr>
          <w:b/>
          <w:bCs/>
          <w:i/>
          <w:iCs/>
        </w:rPr>
      </w:pPr>
      <w:r>
        <w:rPr>
          <w:b/>
          <w:i/>
        </w:rPr>
        <w:t>1. Relacje z innymi władzami państwa</w:t>
      </w:r>
    </w:p>
    <w:p w14:paraId="3B99F7AD" w14:textId="77777777" w:rsidR="00E44928" w:rsidRPr="00710DEE" w:rsidRDefault="009F6771" w:rsidP="00710DEE">
      <w:pPr>
        <w:pStyle w:val="JuQuot"/>
      </w:pPr>
      <w:r>
        <w:t>40. Posłowie oraz przedstawiciele władzy wykonawczej muszą oczywiście przestrzegać prawa w swoich relacjach z radą sądownictwa i nie naruszać jej roli oraz funkcjonowania poprzez łamanie lub obchodzenie przepisów prawnych. Ponadto relacje z radą muszą opierać się na kulturze poszanowania praworządności oraz roli rady sądownictwa w danym państwie członkowskim.</w:t>
      </w:r>
    </w:p>
    <w:p w14:paraId="1CBF7267" w14:textId="77777777" w:rsidR="00E44928" w:rsidRPr="00710DEE" w:rsidRDefault="009F6771" w:rsidP="00710DEE">
      <w:pPr>
        <w:pStyle w:val="JuQuot"/>
      </w:pPr>
      <w:r>
        <w:t>[…]</w:t>
      </w:r>
    </w:p>
    <w:p w14:paraId="7794A8FD" w14:textId="77777777" w:rsidR="00E44928" w:rsidRPr="00710DEE" w:rsidRDefault="009F6771" w:rsidP="00710DEE">
      <w:pPr>
        <w:pStyle w:val="JuQuot"/>
        <w:keepNext/>
        <w:rPr>
          <w:b/>
          <w:bCs/>
        </w:rPr>
      </w:pPr>
      <w:r>
        <w:rPr>
          <w:b/>
        </w:rPr>
        <w:t>IV. Wnioski i zalecenia</w:t>
      </w:r>
    </w:p>
    <w:p w14:paraId="1D23EE5E" w14:textId="77777777" w:rsidR="00E44928" w:rsidRPr="00710DEE" w:rsidRDefault="009F6771" w:rsidP="00710DEE">
      <w:pPr>
        <w:pStyle w:val="JuQuot"/>
        <w:rPr>
          <w:b/>
          <w:bCs/>
        </w:rPr>
      </w:pPr>
      <w:r>
        <w:rPr>
          <w:b/>
        </w:rPr>
        <w:t>[…]</w:t>
      </w:r>
    </w:p>
    <w:p w14:paraId="067C5AC1" w14:textId="2CBD2EBB" w:rsidR="00E44928" w:rsidRDefault="009F6771" w:rsidP="00710DEE">
      <w:pPr>
        <w:pStyle w:val="JuQuot"/>
      </w:pPr>
      <w:r>
        <w:lastRenderedPageBreak/>
        <w:t>9. Decyzje dotyczące kariery sędziów nie mogą być podejmowane z uwagi na</w:t>
      </w:r>
      <w:r w:rsidR="001A420B">
        <w:t> </w:t>
      </w:r>
      <w:r>
        <w:t>lojalność wobec polityków lub innych sędziów, a powinny być podejmowane w</w:t>
      </w:r>
      <w:r w:rsidR="001A420B">
        <w:t> </w:t>
      </w:r>
      <w:r>
        <w:t>ramach przejrzystej procedury z uwzględnieniem jak najbardziej obiektywnych kryteriów. Decyzje takie muszą być uzasadnione i oparte wyłącznie na kompetencjach. Sędziom, którzy uważają, że ich prawa zostały naruszone, musi przysługiwać prawo do</w:t>
      </w:r>
      <w:r w:rsidR="001A420B">
        <w:t> </w:t>
      </w:r>
      <w:r>
        <w:t>kontroli sądowej [...]”</w:t>
      </w:r>
    </w:p>
    <w:p w14:paraId="303E364E" w14:textId="1FB3BF25" w:rsidR="00554CAF" w:rsidRPr="00710DEE" w:rsidRDefault="00554CAF" w:rsidP="00554CAF">
      <w:pPr>
        <w:pStyle w:val="JuQuot"/>
        <w:ind w:left="567"/>
      </w:pPr>
      <w:r>
        <w:t>[</w:t>
      </w:r>
      <w:r>
        <w:rPr>
          <w:i/>
          <w:iCs/>
        </w:rPr>
        <w:t>Przyp. tłum.: brak oficjalnej polskiej wersji opinii CCJE nr 24 (2021) – powyższa treść została przełożona przez tłumacza wyroku.</w:t>
      </w:r>
      <w:r>
        <w:t>]</w:t>
      </w:r>
    </w:p>
    <w:p w14:paraId="6BB23FFB" w14:textId="77777777" w:rsidR="00E44928" w:rsidRPr="00710DEE" w:rsidRDefault="009F6771" w:rsidP="00710DEE">
      <w:pPr>
        <w:pStyle w:val="JuHIRoman"/>
        <w:rPr>
          <w:szCs w:val="24"/>
        </w:rPr>
      </w:pPr>
      <w:r>
        <w:rPr>
          <w:caps w:val="0"/>
        </w:rPr>
        <w:t>PRAWO UNII EUROPEJSKIEJ</w:t>
      </w:r>
    </w:p>
    <w:p w14:paraId="304D5DEC" w14:textId="77777777" w:rsidR="00E44928" w:rsidRPr="00710DEE" w:rsidRDefault="009F6771" w:rsidP="00710DEE">
      <w:pPr>
        <w:pStyle w:val="JuHA"/>
      </w:pPr>
      <w:r>
        <w:t>Prawo Unii Europejskiej już podsumowane</w:t>
      </w:r>
    </w:p>
    <w:p w14:paraId="2318E334" w14:textId="618CB2A3"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69</w:t>
      </w:r>
      <w:r w:rsidRPr="00710DEE">
        <w:fldChar w:fldCharType="end"/>
      </w:r>
      <w:r>
        <w:t>.</w:t>
      </w:r>
      <w:r w:rsidR="00BF573B">
        <w:t xml:space="preserve"> </w:t>
      </w:r>
      <w:r>
        <w:t xml:space="preserve">Właściwe akty prawa Unii Europejskiej zostały szczegółowo przedstawione w wyrokach Trybunału w sprawach </w:t>
      </w:r>
      <w:bookmarkStart w:id="51" w:name="_cl41506RELEVANTLEGALFRAMEWORKANDPRACTIC"/>
      <w:r>
        <w:rPr>
          <w:i/>
        </w:rPr>
        <w:t>Grzęda przeciwko Polsce</w:t>
      </w:r>
      <w:bookmarkEnd w:id="51"/>
      <w:r>
        <w:t xml:space="preserve"> [WI] (skarga nr 43572/18, §§ 145–147 oraz §§ 153–159, 15 marca 2022 r.) oraz Dolińska-Ficek i Ozimek, cyt. powyżej, § 190.</w:t>
      </w:r>
    </w:p>
    <w:p w14:paraId="0CD10BC6" w14:textId="77777777" w:rsidR="00E44928" w:rsidRPr="00710DEE" w:rsidRDefault="009F6771" w:rsidP="00710DEE">
      <w:pPr>
        <w:pStyle w:val="JuHA"/>
      </w:pPr>
      <w:r>
        <w:t>Orzecznictwo Trybunału Sprawiedliwości Unii Europejskiej</w:t>
      </w:r>
    </w:p>
    <w:p w14:paraId="4ABD6227" w14:textId="6DADFF5D"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70</w:t>
      </w:r>
      <w:r w:rsidRPr="00710DEE">
        <w:fldChar w:fldCharType="end"/>
      </w:r>
      <w:r>
        <w:t>.</w:t>
      </w:r>
      <w:r w:rsidR="00BF573B">
        <w:t xml:space="preserve"> </w:t>
      </w:r>
      <w:r>
        <w:t xml:space="preserve">W dniu 20 kwietnia 2021 r. Trybunał Sprawiedliwości Unii Europejskiej (TSUE) wydał wyrok w sprawie </w:t>
      </w:r>
      <w:proofErr w:type="spellStart"/>
      <w:r>
        <w:rPr>
          <w:i/>
          <w:iCs/>
        </w:rPr>
        <w:t>Repubblika</w:t>
      </w:r>
      <w:proofErr w:type="spellEnd"/>
      <w:r>
        <w:rPr>
          <w:i/>
          <w:iCs/>
        </w:rPr>
        <w:t>, C-896/19, EU:C:2021:311</w:t>
      </w:r>
      <w:r>
        <w:t xml:space="preserve"> (szczegóły zob. </w:t>
      </w:r>
      <w:r>
        <w:rPr>
          <w:i/>
          <w:iCs/>
        </w:rPr>
        <w:t>Grzęda</w:t>
      </w:r>
      <w:r>
        <w:t>, cyt. powyżej, §§ 157–159), w</w:t>
      </w:r>
      <w:r w:rsidR="001A420B">
        <w:t> </w:t>
      </w:r>
      <w:r>
        <w:t>odpowiedzi na wniosek o wydanie orzeczenia w trybie prejudycjalnym dotyczący zgodności z prawem Unii przepisów Konstytucji Malty regulujących procedurę powoływania członków wymiaru sprawiedliwości.</w:t>
      </w:r>
    </w:p>
    <w:p w14:paraId="5E6B46FC" w14:textId="472A7F0E"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71</w:t>
      </w:r>
      <w:r w:rsidRPr="00710DEE">
        <w:fldChar w:fldCharType="end"/>
      </w:r>
      <w:r>
        <w:t>.</w:t>
      </w:r>
      <w:r w:rsidR="00BF573B">
        <w:t xml:space="preserve"> </w:t>
      </w:r>
      <w:r>
        <w:t>W zakresie istotnym dla sprawy TSUE uzasadnił wyrok następująco:</w:t>
      </w:r>
    </w:p>
    <w:p w14:paraId="548F2310" w14:textId="4459280F" w:rsidR="00E44928" w:rsidRPr="00710DEE" w:rsidRDefault="009F6771" w:rsidP="00710DEE">
      <w:pPr>
        <w:pStyle w:val="JuQuot"/>
      </w:pPr>
      <w:r>
        <w:t>„70. W drugiej kolejności należy wskazać, że – jak podkreśla w szczególności Komisja – choć premier posiada, zgodnie z przepisami krajowymi rozpatrywanymi w</w:t>
      </w:r>
      <w:r w:rsidR="001A420B">
        <w:t> </w:t>
      </w:r>
      <w:r>
        <w:t>postępowaniu głównym, określone uprawnienia w zakresie powoływania sędziów, to jednak granice korzystania z tych uprawnień stanowią wymogi doświadczenia zawodowego, które muszą spełniać kandydaci na stanowiska sędziów, i które są</w:t>
      </w:r>
      <w:r w:rsidR="001A420B">
        <w:t> </w:t>
      </w:r>
      <w:r>
        <w:t xml:space="preserve">określone w art. 96 ust. 2 i art. 100 ust. 2 </w:t>
      </w:r>
      <w:r w:rsidR="005B3BAE">
        <w:t>K</w:t>
      </w:r>
      <w:r>
        <w:t>onstytucji</w:t>
      </w:r>
    </w:p>
    <w:p w14:paraId="1240FDC6" w14:textId="2B629779" w:rsidR="00E44928" w:rsidRPr="00710DEE" w:rsidRDefault="009F6771" w:rsidP="00710DEE">
      <w:pPr>
        <w:pStyle w:val="JuQuot"/>
      </w:pPr>
      <w:r>
        <w:t>71. Ponadto, choć rzeczywiście premier może podjąć decyzję o rekomendowaniu prezydentowi republiki kandydata, który nie został zaproponowany przez komisję ds.</w:t>
      </w:r>
      <w:r w:rsidR="001A420B">
        <w:t> </w:t>
      </w:r>
      <w:r>
        <w:t>powoływania sędziów utworzoną na podstawie art. 96A konstytucji, to jednak w</w:t>
      </w:r>
      <w:r w:rsidR="001A420B">
        <w:t> </w:t>
      </w:r>
      <w:r>
        <w:t xml:space="preserve">takiej sytuacji jest on zobowiązany, zgodnie z art. 96 ust. 4 i art. 100 ust. 6 </w:t>
      </w:r>
      <w:r w:rsidR="005B3BAE">
        <w:t>K</w:t>
      </w:r>
      <w:r>
        <w:t xml:space="preserve">onstytucji, do podania powodów podjęcia tej decyzji do wiadomości izby reprezentantów oraz, z wyjątkiem mianowania pierwszego sędziego, do wiadomości publicznej w drodze oświadczenia opublikowanego w </w:t>
      </w:r>
      <w:proofErr w:type="spellStart"/>
      <w:r>
        <w:rPr>
          <w:i/>
          <w:iCs/>
        </w:rPr>
        <w:t>Gazzetta</w:t>
      </w:r>
      <w:proofErr w:type="spellEnd"/>
      <w:r>
        <w:rPr>
          <w:i/>
          <w:iCs/>
        </w:rPr>
        <w:t xml:space="preserve"> tal-</w:t>
      </w:r>
      <w:proofErr w:type="spellStart"/>
      <w:r>
        <w:rPr>
          <w:i/>
          <w:iCs/>
        </w:rPr>
        <w:t>Gvern</w:t>
      </w:r>
      <w:proofErr w:type="spellEnd"/>
      <w:r>
        <w:rPr>
          <w:i/>
          <w:iCs/>
        </w:rPr>
        <w:t xml:space="preserve"> ta’ Malta</w:t>
      </w:r>
      <w:r>
        <w:t>. O</w:t>
      </w:r>
      <w:r w:rsidR="001A420B">
        <w:t> </w:t>
      </w:r>
      <w:r>
        <w:t>ile zaś premier korzysta z tego uprawnienia jedynie w wyjątkowych przypadkach, a</w:t>
      </w:r>
      <w:r w:rsidR="001A420B">
        <w:t> </w:t>
      </w:r>
      <w:r>
        <w:t>przy tym ściśle i skutecznie przestrzega obowiązku uzasadnienia, uprawnienia te nie powodują powstania uzasadnionych wątpliwości co do niezależności wybranych kandydatów.</w:t>
      </w:r>
    </w:p>
    <w:p w14:paraId="62544A0D" w14:textId="238A3560" w:rsidR="00E44928" w:rsidRPr="00710DEE" w:rsidRDefault="009F6771" w:rsidP="00710DEE">
      <w:pPr>
        <w:pStyle w:val="JuQuot"/>
      </w:pPr>
      <w:r>
        <w:t xml:space="preserve">72. Mając na uwadze te czynniki, nie jest widoczne, by rozpatrywane w postępowaniu głównym przepisy krajowe dotyczące powoływania sędziów mogły jako takie wywoływać w przekonaniu jednostek uzasadnione wątpliwości co do niepodatności </w:t>
      </w:r>
      <w:r>
        <w:lastRenderedPageBreak/>
        <w:t>powoływanych sędziów na czynniki zewnętrzne, w szczególności na bezpośrednie lub pośrednie wpływy władzy ustawodawczej i wykonawczej, oraz co do ich neutralności względem ścierających się przed nimi interesów i prowadzić w ten sposób do braku widocznych oznak niezawisłości lub bezstronności tych sędziów, co mogłoby podważyć zaufanie, jakie sądownictwo powinno budzić w jednostkach w</w:t>
      </w:r>
      <w:r w:rsidR="001A420B">
        <w:t> </w:t>
      </w:r>
      <w:r>
        <w:t>demokratycznym społeczeństwie i w państwie prawnym.</w:t>
      </w:r>
    </w:p>
    <w:p w14:paraId="56A9CC9B" w14:textId="799CB288" w:rsidR="00E44928" w:rsidRPr="00710DEE" w:rsidRDefault="009F6771" w:rsidP="00710DEE">
      <w:pPr>
        <w:pStyle w:val="JuQuot"/>
      </w:pPr>
      <w:r>
        <w:t>73. W świetle powyższych rozważań odpowiedź na pytanie drugie powinna brzmieć następująco: art. 19 ust. 1 akapit drugi TUE należy interpretować w ten sposób, że nie stoi on na przeszkodzie przepisom krajowym, które przyznają premierowi danego państwa członkowskiego rozstrzygające uprawnienia w procesie powoływania sędziów, przewidując jednocześnie udział w tym procesie niezależnego organu, który ma w szczególności za zadanie ocenę kandydatów na stanowisko sędziego i</w:t>
      </w:r>
      <w:r w:rsidR="001A420B">
        <w:t> </w:t>
      </w:r>
      <w:r>
        <w:t>przedstawienie premierowi opinii.”</w:t>
      </w:r>
    </w:p>
    <w:p w14:paraId="4B1B4820" w14:textId="77777777" w:rsidR="00E44928" w:rsidRPr="00710DEE" w:rsidRDefault="009F6771" w:rsidP="00710DEE">
      <w:pPr>
        <w:pStyle w:val="JuHHead"/>
      </w:pPr>
      <w:r>
        <w:t>PRAWO</w:t>
      </w:r>
    </w:p>
    <w:p w14:paraId="70AACA17" w14:textId="77777777" w:rsidR="00E44928" w:rsidRPr="00710DEE" w:rsidRDefault="009F6771" w:rsidP="00710DEE">
      <w:pPr>
        <w:pStyle w:val="JuHIRoman"/>
      </w:pPr>
      <w:r>
        <w:t>POŁĄCZENIE SKARG</w:t>
      </w:r>
    </w:p>
    <w:p w14:paraId="6317C5B8" w14:textId="0059D680"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72</w:t>
      </w:r>
      <w:r w:rsidRPr="00710DEE">
        <w:fldChar w:fldCharType="end"/>
      </w:r>
      <w:r>
        <w:t>.</w:t>
      </w:r>
      <w:r w:rsidR="00BF573B">
        <w:t xml:space="preserve"> </w:t>
      </w:r>
      <w:r>
        <w:t>Mając na uwadze podobny przedmiot wniesionych skarg, Trybunał uznaje za właściwe rozpatrzenie ich łącznie i rozstrzygnięcie w jednym wyroku.</w:t>
      </w:r>
    </w:p>
    <w:p w14:paraId="22091D4E" w14:textId="77777777" w:rsidR="00E44928" w:rsidRPr="00710DEE" w:rsidRDefault="009F6771" w:rsidP="00710DEE">
      <w:pPr>
        <w:pStyle w:val="JuHIRoman"/>
      </w:pPr>
      <w:r>
        <w:t xml:space="preserve"> UWAGI WSTĘPNE</w:t>
      </w:r>
    </w:p>
    <w:p w14:paraId="52B5FDAB" w14:textId="750D277B"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73</w:t>
      </w:r>
      <w:r w:rsidRPr="00710DEE">
        <w:fldChar w:fldCharType="end"/>
      </w:r>
      <w:r>
        <w:t>.</w:t>
      </w:r>
      <w:r w:rsidR="00BF573B">
        <w:t xml:space="preserve"> </w:t>
      </w:r>
      <w:r>
        <w:t xml:space="preserve">Trybunał zauważa, że </w:t>
      </w:r>
      <w:r w:rsidR="00EC66B2">
        <w:t>r</w:t>
      </w:r>
      <w:r>
        <w:t>ząd przedstawił szereg zastrzeżeń w</w:t>
      </w:r>
      <w:r w:rsidR="001A420B">
        <w:t> </w:t>
      </w:r>
      <w:r>
        <w:t>przedmiocie dopuszczalności skarg – zarówno w całości, jak i</w:t>
      </w:r>
      <w:r w:rsidR="001A420B">
        <w:t> </w:t>
      </w:r>
      <w:r>
        <w:t>w</w:t>
      </w:r>
      <w:r w:rsidR="001A420B">
        <w:t> </w:t>
      </w:r>
      <w:r>
        <w:t>odniesieniu do poszczególnych zarzutów podniesionych przez skarżących.</w:t>
      </w:r>
    </w:p>
    <w:p w14:paraId="2AD17C23" w14:textId="563C9110"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74</w:t>
      </w:r>
      <w:r w:rsidRPr="00710DEE">
        <w:fldChar w:fldCharType="end"/>
      </w:r>
      <w:r>
        <w:t>.</w:t>
      </w:r>
      <w:r w:rsidR="00BF573B">
        <w:t xml:space="preserve"> </w:t>
      </w:r>
      <w:r>
        <w:t xml:space="preserve">W odniesieniu do skarg (w całości) </w:t>
      </w:r>
      <w:r w:rsidR="00EC66B2">
        <w:t>r</w:t>
      </w:r>
      <w:r>
        <w:t>ząd stwierdził, że są one niedopuszczalne z uwagi na to, że zostały rzekomo wniesione po terminie.</w:t>
      </w:r>
    </w:p>
    <w:p w14:paraId="41941D96" w14:textId="5108D8CB"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75</w:t>
      </w:r>
      <w:r w:rsidRPr="00710DEE">
        <w:fldChar w:fldCharType="end"/>
      </w:r>
      <w:r>
        <w:t>.</w:t>
      </w:r>
      <w:r w:rsidR="00BF573B">
        <w:t xml:space="preserve"> </w:t>
      </w:r>
      <w:r>
        <w:t xml:space="preserve">W odniesieniu do poszczególnych zarzutów na gruncie art. 6 i art. 13 Konwencji </w:t>
      </w:r>
      <w:r w:rsidR="00EC66B2">
        <w:t>r</w:t>
      </w:r>
      <w:r>
        <w:t xml:space="preserve">ząd podniósł, że są one niezgodne </w:t>
      </w:r>
      <w:proofErr w:type="spellStart"/>
      <w:r w:rsidRPr="00C43322">
        <w:rPr>
          <w:i/>
          <w:iCs/>
        </w:rPr>
        <w:t>ratione</w:t>
      </w:r>
      <w:proofErr w:type="spellEnd"/>
      <w:r w:rsidRPr="00C43322">
        <w:rPr>
          <w:i/>
          <w:iCs/>
        </w:rPr>
        <w:t xml:space="preserve"> </w:t>
      </w:r>
      <w:proofErr w:type="spellStart"/>
      <w:r w:rsidRPr="00C43322">
        <w:rPr>
          <w:i/>
          <w:iCs/>
        </w:rPr>
        <w:t>materiae</w:t>
      </w:r>
      <w:proofErr w:type="spellEnd"/>
      <w:r>
        <w:t xml:space="preserve"> z</w:t>
      </w:r>
      <w:r w:rsidR="001A420B">
        <w:t> </w:t>
      </w:r>
      <w:r>
        <w:t>Konwencją.</w:t>
      </w:r>
    </w:p>
    <w:p w14:paraId="6A3FD948" w14:textId="3623EDEC"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76</w:t>
      </w:r>
      <w:r w:rsidRPr="00710DEE">
        <w:fldChar w:fldCharType="end"/>
      </w:r>
      <w:r>
        <w:t>.</w:t>
      </w:r>
      <w:r w:rsidR="00BF573B">
        <w:t xml:space="preserve"> </w:t>
      </w:r>
      <w:r>
        <w:t xml:space="preserve">Trybunał w pierwszej kolejności zbada zastrzeżenie wstępne przedstawione przez </w:t>
      </w:r>
      <w:r w:rsidR="00EC66B2">
        <w:t>r</w:t>
      </w:r>
      <w:r>
        <w:t xml:space="preserve">ząd dotyczące dopuszczalności wszystkich skarg w całości, oparte na ich rzekomo </w:t>
      </w:r>
      <w:proofErr w:type="spellStart"/>
      <w:r>
        <w:t>poterminowym</w:t>
      </w:r>
      <w:proofErr w:type="spellEnd"/>
      <w:r>
        <w:t xml:space="preserve"> charakterze. Dopiero w razie oddalenia tego zastrzeżenia Trybunał zbada poszczególne zastrzeżenia odnoszące się do indywidualnych zarzutów podniesionych przez skarżących.</w:t>
      </w:r>
    </w:p>
    <w:p w14:paraId="2E7F9E89" w14:textId="77777777" w:rsidR="00E44928" w:rsidRPr="00710DEE" w:rsidRDefault="009F6771" w:rsidP="00710DEE">
      <w:pPr>
        <w:pStyle w:val="JuHIRoman"/>
      </w:pPr>
      <w:r>
        <w:lastRenderedPageBreak/>
        <w:t>ZASTRZEŻENIE RZĄDU DOTYCZĄCE RZEKOMO POTERMINOWEGO CHARAKTERU SKARG</w:t>
      </w:r>
    </w:p>
    <w:p w14:paraId="70F1BF83" w14:textId="77777777" w:rsidR="00E44928" w:rsidRPr="00710DEE" w:rsidRDefault="009F6771" w:rsidP="00710DEE">
      <w:pPr>
        <w:pStyle w:val="JuHA"/>
      </w:pPr>
      <w:r>
        <w:t>Stanowiska stron</w:t>
      </w:r>
    </w:p>
    <w:p w14:paraId="054D0B51" w14:textId="77777777" w:rsidR="00E44928" w:rsidRPr="00710DEE" w:rsidRDefault="009F6771" w:rsidP="00710DEE">
      <w:pPr>
        <w:pStyle w:val="JuH1"/>
      </w:pPr>
      <w:r>
        <w:t>Rząd</w:t>
      </w:r>
    </w:p>
    <w:bookmarkStart w:id="52" w:name="paragraph00074"/>
    <w:p w14:paraId="77B7C650" w14:textId="1B6B4F87"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77</w:t>
      </w:r>
      <w:r w:rsidRPr="00710DEE">
        <w:fldChar w:fldCharType="end"/>
      </w:r>
      <w:bookmarkEnd w:id="52"/>
      <w:r>
        <w:t>.</w:t>
      </w:r>
      <w:r w:rsidR="00BF573B">
        <w:t xml:space="preserve"> </w:t>
      </w:r>
      <w:r>
        <w:t>Rząd stwierdził, że wszystkie skargi zostały wniesione po</w:t>
      </w:r>
      <w:r w:rsidR="001A420B">
        <w:t> </w:t>
      </w:r>
      <w:r>
        <w:t>sześciomiesięcznym terminie</w:t>
      </w:r>
      <w:r>
        <w:rPr>
          <w:rStyle w:val="Odwoanieprzypisudolnego"/>
        </w:rPr>
        <w:footnoteReference w:id="4"/>
      </w:r>
      <w:r>
        <w:t xml:space="preserve"> określonym w art. 35 ust. 1 Konwencji. Argumentował, że w niniejszej sprawie bieg terminu rozpoczął się w dniu opublikowania każdego z zaskarżonych postanowień Prezydenta Rzeczypospolitej w Dzienniku Urzędowym.</w:t>
      </w:r>
    </w:p>
    <w:bookmarkStart w:id="53" w:name="paragraph00075"/>
    <w:p w14:paraId="603FEB7D" w14:textId="7ED6AAE2"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78</w:t>
      </w:r>
      <w:r w:rsidRPr="00710DEE">
        <w:fldChar w:fldCharType="end"/>
      </w:r>
      <w:bookmarkEnd w:id="53"/>
      <w:r>
        <w:t>.</w:t>
      </w:r>
      <w:r w:rsidR="00BF573B">
        <w:t xml:space="preserve"> </w:t>
      </w:r>
      <w:r>
        <w:t>Rząd stwierdził, że skoro było oczywiste, iż od przedmiotowych postanowień nie można było się odwołać w świetle ówcześnie obowiązującego orzecznictwa krajowego, a skarżący musieli być tego świadomi, to odwołania, które wnieśli do sądów administracyjnych, były w</w:t>
      </w:r>
      <w:r w:rsidR="001A420B">
        <w:t> </w:t>
      </w:r>
      <w:r>
        <w:t>sposób oczywisty z góry skazane na niepowodzenie i jako takie nieskuteczne.</w:t>
      </w:r>
    </w:p>
    <w:bookmarkStart w:id="54" w:name="paragraph00076"/>
    <w:p w14:paraId="0F3A0124" w14:textId="553543B5"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79</w:t>
      </w:r>
      <w:r w:rsidRPr="00710DEE">
        <w:fldChar w:fldCharType="end"/>
      </w:r>
      <w:bookmarkEnd w:id="54"/>
      <w:r>
        <w:t>.</w:t>
      </w:r>
      <w:r w:rsidR="00BF573B">
        <w:t xml:space="preserve"> </w:t>
      </w:r>
      <w:r>
        <w:t xml:space="preserve">Alternatywnie </w:t>
      </w:r>
      <w:r w:rsidR="00EC66B2">
        <w:t>r</w:t>
      </w:r>
      <w:r>
        <w:t>ząd podniósł, że skargi zostały wniesione po terminie z uwagi na to, że prawomocne decyzje krajowe zostały wydane przez Naczelny Sąd Administracyjny odpowiednio w dniach: i) 9 października 2012 r. (w odniesieniu do pierwszej skarżącej), ii) 16 października 2012 r. (w</w:t>
      </w:r>
      <w:r w:rsidR="001A420B">
        <w:t> </w:t>
      </w:r>
      <w:r>
        <w:t>odniesieniu do drugiego skarżącego) oraz iii) 12 czerwca 2013 r. (w</w:t>
      </w:r>
      <w:r w:rsidR="001A420B">
        <w:t> </w:t>
      </w:r>
      <w:r>
        <w:t>odniesieniu do trzeciego skarżącego). Rząd argumentował, że terminu do</w:t>
      </w:r>
      <w:r w:rsidR="001A420B">
        <w:t> </w:t>
      </w:r>
      <w:r>
        <w:t>wniesienia skargi do Trybunału nie można liczyć od doręczenia skarżącym postanowienia Trybunału Konstytucyjnego z dnia 5 marca 2014 r., ponieważ ta próba wszczęcia przez skarżących postępowania przed Trybunałem Konstytucyjnym była wadliwa od samego początku, a zatem z</w:t>
      </w:r>
      <w:r w:rsidR="009A12AA">
        <w:t> </w:t>
      </w:r>
      <w:r>
        <w:t>góry skazana na niepowodzenie.</w:t>
      </w:r>
    </w:p>
    <w:p w14:paraId="3F4A76AE" w14:textId="77777777" w:rsidR="00E44928" w:rsidRPr="00710DEE" w:rsidRDefault="009F6771" w:rsidP="00710DEE">
      <w:pPr>
        <w:pStyle w:val="JuH1"/>
      </w:pPr>
      <w:r>
        <w:t>Skarżący</w:t>
      </w:r>
    </w:p>
    <w:p w14:paraId="26B7B852" w14:textId="1E7A424C"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80</w:t>
      </w:r>
      <w:r w:rsidRPr="00710DEE">
        <w:fldChar w:fldCharType="end"/>
      </w:r>
      <w:r>
        <w:t>.</w:t>
      </w:r>
      <w:r w:rsidR="00BF573B">
        <w:t xml:space="preserve"> </w:t>
      </w:r>
      <w:r>
        <w:t xml:space="preserve">Skarżący odrzucili argumenty </w:t>
      </w:r>
      <w:r w:rsidR="00EC66B2">
        <w:t>r</w:t>
      </w:r>
      <w:r>
        <w:t>ządu i podnieśli, że ze względu na</w:t>
      </w:r>
      <w:r w:rsidR="001A420B">
        <w:t> </w:t>
      </w:r>
      <w:r>
        <w:t>ówcześnie bezprecedensowy charakter postanowień Prezydenta nie mogli przewidzieć, iż sądy administracyjne i Trybunał Konstytucyjny odmówią właściwości do rozpoznania ich sprawy. W ich ocenie, zważywszy</w:t>
      </w:r>
      <w:r w:rsidR="004C73BE">
        <w:t>,</w:t>
      </w:r>
      <w:r>
        <w:t xml:space="preserve"> że i) sądy administracyjne były właściwe do kontroli działań administracji publicznej; ii) katalog aktów administracyjnych podlegających ich kontroli miał charakter otwarty; a iii) Prezydent Rzeczypospolitej mógł wydawać decyzje administracyjne wpływające na prawa jednostek, mieli podstawy sądzić, </w:t>
      </w:r>
      <w:r>
        <w:lastRenderedPageBreak/>
        <w:t>że</w:t>
      </w:r>
      <w:r w:rsidR="001A420B">
        <w:t> </w:t>
      </w:r>
      <w:r>
        <w:t>sądy te były właściwe w ich sprawie i mogły stwierdzić nieważność przedmiotowego postanowienia.</w:t>
      </w:r>
    </w:p>
    <w:p w14:paraId="7126E3B9" w14:textId="534E24B7"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81</w:t>
      </w:r>
      <w:r w:rsidRPr="00710DEE">
        <w:fldChar w:fldCharType="end"/>
      </w:r>
      <w:r>
        <w:t>.</w:t>
      </w:r>
      <w:r w:rsidR="00BF573B">
        <w:t xml:space="preserve"> </w:t>
      </w:r>
      <w:r>
        <w:t>Ponadto skarżący argumentowali, że prawidłowość ich podejścia potwierdził Trybunał Konstytucyjny, który stwierdził, że muszą oni najpierw wyczerpać środek, jakim jest skarga kasacyjna wniesiona do Naczelnego Sądu Administracyjnego. Co więcej nawet przy założeniu, że postanowienie Prezydenta o odmowie powołania skarżących nie podlegało żadnemu zaskarżeniu na drodze sądowej, przepisy ustawowe, na podstawie których postanowienie to zostało wydane – w szczególności art. 55 § 1 ustawy z 2001 r. – mogły jednak podlegać kontroli konstytucyjnej Trybunału Konstytucyjnego. W konsekwencji</w:t>
      </w:r>
      <w:r w:rsidR="004C73BE">
        <w:t>,</w:t>
      </w:r>
      <w:r>
        <w:t xml:space="preserve"> skoro prawo krajowe pozwalało im</w:t>
      </w:r>
      <w:r w:rsidR="001A420B">
        <w:t> </w:t>
      </w:r>
      <w:r>
        <w:t>na</w:t>
      </w:r>
      <w:r w:rsidR="001A420B">
        <w:t> </w:t>
      </w:r>
      <w:r>
        <w:t>wniesienie skargi konstytucyjnej, każdy skarżący wniósł indywidualnie skargę do sądu administracyjnego (równolegle ze skargą konstytucyjną).</w:t>
      </w:r>
    </w:p>
    <w:p w14:paraId="7BFB2A69" w14:textId="77E368C7"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82</w:t>
      </w:r>
      <w:r w:rsidRPr="00710DEE">
        <w:fldChar w:fldCharType="end"/>
      </w:r>
      <w:r>
        <w:t>.</w:t>
      </w:r>
      <w:r w:rsidR="00BF573B">
        <w:t xml:space="preserve"> </w:t>
      </w:r>
      <w:r>
        <w:t>Skarżący podnieśli ponadto, że po niekorzystnych orzeczeniach Wojewódzkiego Sądu Administracyjnego w Warszawie odwołali się do</w:t>
      </w:r>
      <w:r w:rsidR="001A420B">
        <w:t> </w:t>
      </w:r>
      <w:r>
        <w:t>Naczelnego Sądu Administracyjnego, który zawiesił postępowanie do</w:t>
      </w:r>
      <w:r w:rsidR="001A420B">
        <w:t> </w:t>
      </w:r>
      <w:r>
        <w:t>czasu rozstrzygnięcia postępowania przed Trybunałem Konstytucyjnym. Argumentowali, że za pierwszym razem Trybunał Konstytucyjny oddalił skargi wniesione przez dwoje pierwszych skarżących, ponieważ z jednej strony w skargach zakwestionowano sposób, w jaki Prezydent zastosował właściwe przepisy, a nie same przepisy, a z drugiej strony skargi te zostały wniesione przedwcześnie, ponieważ postępowanie przed Naczelnym Sądem Administracyjnym wciąż było w toku (co potwierdzało konieczność uzyskania prawomocnego orzeczenia Naczelnego Sądu Administracyjnego oraz okoliczność, że była to droga, którą skarżący musieli wyczerpać w</w:t>
      </w:r>
      <w:r w:rsidR="001A420B">
        <w:t> </w:t>
      </w:r>
      <w:r>
        <w:t>pierwszej kolejności).</w:t>
      </w:r>
    </w:p>
    <w:p w14:paraId="6D97083C" w14:textId="6A379480"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83</w:t>
      </w:r>
      <w:r w:rsidRPr="00710DEE">
        <w:fldChar w:fldCharType="end"/>
      </w:r>
      <w:r>
        <w:t>.</w:t>
      </w:r>
      <w:r w:rsidR="00BF573B">
        <w:t xml:space="preserve"> </w:t>
      </w:r>
      <w:r>
        <w:t xml:space="preserve">Skarżący argumentowali, że z właściwych zdań odrębnych sędziów Trybunału Konstytucyjnego jasno wynikało, iż Trybunał Konstytucyjny był właściwy do orzekania w sprawie i powinien był ją rozpoznać co do istoty. Naczelny Sąd Administracyjny oddalił skargi kasacyjne, w wyniku czego środek </w:t>
      </w:r>
      <w:proofErr w:type="spellStart"/>
      <w:r>
        <w:t>sądowoadministracyjny</w:t>
      </w:r>
      <w:proofErr w:type="spellEnd"/>
      <w:r>
        <w:t xml:space="preserve"> został wyczerpany. Działając zgodnie ze</w:t>
      </w:r>
      <w:r w:rsidR="001A420B">
        <w:t> </w:t>
      </w:r>
      <w:r>
        <w:t xml:space="preserve">wskazaniami Trybunału Konstytucyjnego co do obowiązku wyczerpania środka </w:t>
      </w:r>
      <w:proofErr w:type="spellStart"/>
      <w:r>
        <w:t>sądowoadministracyjnego</w:t>
      </w:r>
      <w:proofErr w:type="spellEnd"/>
      <w:r>
        <w:t>, wszyscy skarżący wnieśli następnie skargę konstytucyjną, lecz ku ich wielkiemu zaskoczeniu Trybunał Konstytucyjny uznał, że przedmiotowe skargi wniesiono po terminie, na tej podstawie, że</w:t>
      </w:r>
      <w:r w:rsidR="001A420B">
        <w:t> </w:t>
      </w:r>
      <w:r>
        <w:t>obowiązujący termin rozpoczął bieg w dniu opublikowania postanowienia Prezydenta – mimo że Trybunał wcześniej wskazał, iż skarżący powinni byli wyczerpać środek w postaci skargi kasacyjnej przed sądami administracyjnymi. Skarżący działali zgodnie z poleceniami samego Trybunału Konstytucyjnego, w dobrej wierze, i nie mogli przewidzieć, że ich skarga zostanie ostatecznie uznana za niedopuszczalną z powodu jej wniesienia po terminie. To na tej podstawie skarżący wnieśli zażalenie na</w:t>
      </w:r>
      <w:r w:rsidR="009A12AA">
        <w:t> </w:t>
      </w:r>
      <w:r>
        <w:t xml:space="preserve">postanowienie Trybunału Konstytucyjnego, które ostatecznie nie zostało </w:t>
      </w:r>
      <w:r>
        <w:lastRenderedPageBreak/>
        <w:t>uwzględnione. Z tych względów, w ocenie skarżących, dzień, w którym doręczono im postanowienie o nieuwzględnieniu tego zażalenia, stanowił początek biegu terminu do wniesienia skarg do tutejszego Trybunału.</w:t>
      </w:r>
    </w:p>
    <w:p w14:paraId="5623DD02" w14:textId="124F6636"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84</w:t>
      </w:r>
      <w:r w:rsidRPr="00710DEE">
        <w:fldChar w:fldCharType="end"/>
      </w:r>
      <w:r>
        <w:t>.</w:t>
      </w:r>
      <w:r w:rsidR="00BF573B">
        <w:t xml:space="preserve"> </w:t>
      </w:r>
      <w:r>
        <w:t xml:space="preserve">Skarżący podnieśli, że w świetle wyżej wskazanych okoliczności argumenty </w:t>
      </w:r>
      <w:r w:rsidR="00EC66B2">
        <w:t>r</w:t>
      </w:r>
      <w:r>
        <w:t>ządu sugerujące, iż nienależycie przedłużyli sześciomiesięczny termin, były całkowicie pozbawione podstaw faktycznych, nieuzasadnione i</w:t>
      </w:r>
      <w:r w:rsidR="001A420B">
        <w:t> </w:t>
      </w:r>
      <w:r>
        <w:t>niepoparte w żadnym orzeczeniu krajowym wydanym w istotnym dla sprawy okresie. Dodali, że skoro prawo polskie nie opiera się na precedensie, a żaden przepis prawa nie stanowił, iż postanowienia Prezydenta nie podlegają kontroli sądowej, skarżący mieli prawo (a wręcz obowiązek) wyczerpać dostępne środki odwoławcze.</w:t>
      </w:r>
    </w:p>
    <w:p w14:paraId="38E26F44" w14:textId="0B10D1E7"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85</w:t>
      </w:r>
      <w:r w:rsidRPr="00710DEE">
        <w:fldChar w:fldCharType="end"/>
      </w:r>
      <w:r>
        <w:t>.</w:t>
      </w:r>
      <w:r w:rsidR="00BF573B">
        <w:t xml:space="preserve"> </w:t>
      </w:r>
      <w:r>
        <w:t xml:space="preserve">Skarżący argumentowali, że wnosząc pierwszą skargę konstytucyjną, działali przy założeniu, iż orzeczenie o niekonstytucyjności kwestionowanego przez nich przepisu ustawowego umożliwi im następnie zaspokojenie roszczenia przed sądami administracyjnymi (poprzez żądanie podjęcia postępowań prowadzonych w ich indywidualnych sprawach lub uchylenia decyzji wydanej w sprawie). Z tej perspektywy w niniejszej sprawie spełnione zostały warunki określone w sprawie </w:t>
      </w:r>
      <w:proofErr w:type="spellStart"/>
      <w:r>
        <w:rPr>
          <w:i/>
          <w:iCs/>
        </w:rPr>
        <w:t>Szott</w:t>
      </w:r>
      <w:proofErr w:type="spellEnd"/>
      <w:r>
        <w:rPr>
          <w:i/>
          <w:iCs/>
        </w:rPr>
        <w:t>-Medyńska przeciwko Polsce</w:t>
      </w:r>
      <w:r>
        <w:t xml:space="preserve"> ((</w:t>
      </w:r>
      <w:proofErr w:type="spellStart"/>
      <w:r>
        <w:t>dec</w:t>
      </w:r>
      <w:proofErr w:type="spellEnd"/>
      <w:r>
        <w:t>.), skarga nr 47414/99, 9 października 2003 r.). Skarżący dodali ponadto, że działając zgodnie z poleceniami Trybunału Konstytucyjnego, nie mogli przewidzieć, iż Trybunał Konstytucyjny orzeknie na ich niekorzyść. Rząd nie mógł się powołać, na niekorzyść skarżących, na niespójność rozstrzygnięć Trybunału Konstytucyjnego co</w:t>
      </w:r>
      <w:r w:rsidR="001A420B">
        <w:t> </w:t>
      </w:r>
      <w:r>
        <w:t>do</w:t>
      </w:r>
      <w:r w:rsidR="001A420B">
        <w:t> </w:t>
      </w:r>
      <w:r>
        <w:t>dopuszczalności dwóch skarg konstytucyjnych zainteresowanych skarżących.</w:t>
      </w:r>
    </w:p>
    <w:p w14:paraId="61D35FDD" w14:textId="77777777" w:rsidR="00E44928" w:rsidRPr="00710DEE" w:rsidRDefault="009F6771" w:rsidP="00710DEE">
      <w:pPr>
        <w:pStyle w:val="JuHA"/>
      </w:pPr>
      <w:r>
        <w:t>Ocena Trybunału</w:t>
      </w:r>
    </w:p>
    <w:p w14:paraId="05118B2A" w14:textId="77777777" w:rsidR="00E44928" w:rsidRPr="00710DEE" w:rsidRDefault="009F6771" w:rsidP="00710DEE">
      <w:pPr>
        <w:pStyle w:val="JuH1"/>
      </w:pPr>
      <w:r>
        <w:t>Zasady ogólne</w:t>
      </w:r>
    </w:p>
    <w:p w14:paraId="0D1470A0" w14:textId="1F514BCF"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86</w:t>
      </w:r>
      <w:r w:rsidRPr="00710DEE">
        <w:fldChar w:fldCharType="end"/>
      </w:r>
      <w:r>
        <w:t>.</w:t>
      </w:r>
      <w:r w:rsidR="00BF573B">
        <w:t xml:space="preserve"> </w:t>
      </w:r>
      <w:r>
        <w:t xml:space="preserve">Właściwe zasady dotyczące stosowania terminu na wniesienie skargi zostały określone w sprawie </w:t>
      </w:r>
      <w:bookmarkStart w:id="55" w:name="_cl28369THELAW"/>
      <w:proofErr w:type="spellStart"/>
      <w:r>
        <w:rPr>
          <w:i/>
        </w:rPr>
        <w:t>Jeronovičs</w:t>
      </w:r>
      <w:proofErr w:type="spellEnd"/>
      <w:r>
        <w:rPr>
          <w:i/>
        </w:rPr>
        <w:t xml:space="preserve"> przeciwko Łotwie</w:t>
      </w:r>
      <w:bookmarkEnd w:id="55"/>
      <w:r>
        <w:t xml:space="preserve"> [WI] (skarga nr</w:t>
      </w:r>
      <w:r w:rsidR="001A420B">
        <w:t> </w:t>
      </w:r>
      <w:r>
        <w:t>44898/10, §§ 74–75, 5 lipca 2016 r.):</w:t>
      </w:r>
    </w:p>
    <w:p w14:paraId="64315D99" w14:textId="631D6FDE" w:rsidR="00E44928" w:rsidRPr="00710DEE" w:rsidRDefault="009F6771" w:rsidP="00710DEE">
      <w:pPr>
        <w:pStyle w:val="JuQuot"/>
      </w:pPr>
      <w:r>
        <w:t>„74.</w:t>
      </w:r>
      <w:r w:rsidR="00BF573B">
        <w:t xml:space="preserve"> </w:t>
      </w:r>
      <w:r>
        <w:t>Zasada odnosząca się do sześciomiesięcznego terminu przewidziana w art. 35 ust. 1 ma w założeniu służyć bezpieczeństwu prawa/pewności prawa oraz [...] zapewnić, [aby] sprawy [rodzące problemy na tle] Konwencji [były] rozwiązywane w</w:t>
      </w:r>
      <w:r w:rsidR="001A420B">
        <w:t> </w:t>
      </w:r>
      <w:r>
        <w:t xml:space="preserve">[rozsądnym terminie]. Chroni ona władze i inne zainteresowane osoby przed niepewnością utrzymującą się przez dłuższy czas (zob. </w:t>
      </w:r>
      <w:proofErr w:type="spellStart"/>
      <w:r>
        <w:rPr>
          <w:i/>
          <w:iCs/>
        </w:rPr>
        <w:t>Mocanu</w:t>
      </w:r>
      <w:proofErr w:type="spellEnd"/>
      <w:r>
        <w:rPr>
          <w:i/>
          <w:iCs/>
        </w:rPr>
        <w:t xml:space="preserve"> i Inni przeciwko Rumunii</w:t>
      </w:r>
      <w:r>
        <w:t xml:space="preserve"> [WI], skargi nr 10865/09, 45886/07 i 32431/08, § 258, ETPC 2014 (fragmenty)). W końcu zapewnia, na tyle na ile to możliwe, [aby] zarzuty [były] badane wtedy, gdy są wciąż aktualne, zanim upływ czasu sprawi, iż trudno będzie ustalić odpowiednie fakty i uczyni rzetelne zbadanie zaskarżonej kwestii niemalże niemożliwym (zob. </w:t>
      </w:r>
      <w:r>
        <w:rPr>
          <w:i/>
          <w:iCs/>
        </w:rPr>
        <w:t>Kelly przeciwko Zjednoczonemu Królestwu</w:t>
      </w:r>
      <w:r>
        <w:t xml:space="preserve">, skarga nr 10626/83, decyzja Komisji z dnia 7 maja 1985 r., Decyzje i [Raporty] (DR) 42, s. 205; </w:t>
      </w:r>
      <w:proofErr w:type="spellStart"/>
      <w:r>
        <w:rPr>
          <w:i/>
          <w:iCs/>
        </w:rPr>
        <w:t>Baybora</w:t>
      </w:r>
      <w:proofErr w:type="spellEnd"/>
      <w:r>
        <w:rPr>
          <w:i/>
          <w:iCs/>
        </w:rPr>
        <w:t xml:space="preserve"> i</w:t>
      </w:r>
      <w:r w:rsidR="001A420B">
        <w:rPr>
          <w:i/>
          <w:iCs/>
        </w:rPr>
        <w:t> </w:t>
      </w:r>
      <w:r>
        <w:rPr>
          <w:i/>
          <w:iCs/>
        </w:rPr>
        <w:t>Inni przeciwko Cyprowi</w:t>
      </w:r>
      <w:r>
        <w:t xml:space="preserve"> (</w:t>
      </w:r>
      <w:proofErr w:type="spellStart"/>
      <w:r>
        <w:t>dec</w:t>
      </w:r>
      <w:proofErr w:type="spellEnd"/>
      <w:r>
        <w:t xml:space="preserve">.), skarga nr 77116/01, 22 października 2002 r.; </w:t>
      </w:r>
      <w:proofErr w:type="spellStart"/>
      <w:r>
        <w:rPr>
          <w:i/>
          <w:iCs/>
        </w:rPr>
        <w:t>Denisov</w:t>
      </w:r>
      <w:proofErr w:type="spellEnd"/>
      <w:r>
        <w:rPr>
          <w:i/>
          <w:iCs/>
        </w:rPr>
        <w:t xml:space="preserve"> przeciwko Rosji</w:t>
      </w:r>
      <w:r>
        <w:t xml:space="preserve"> (</w:t>
      </w:r>
      <w:proofErr w:type="spellStart"/>
      <w:r>
        <w:t>dec</w:t>
      </w:r>
      <w:proofErr w:type="spellEnd"/>
      <w:r>
        <w:t xml:space="preserve">.), skarga nr 33408/03, 6 maja 2004 r.; oraz </w:t>
      </w:r>
      <w:r>
        <w:rPr>
          <w:i/>
          <w:iCs/>
        </w:rPr>
        <w:t>Williams przeciwko Zjednoczonemu Królestwu</w:t>
      </w:r>
      <w:r>
        <w:t xml:space="preserve"> (</w:t>
      </w:r>
      <w:proofErr w:type="spellStart"/>
      <w:r>
        <w:t>dec</w:t>
      </w:r>
      <w:proofErr w:type="spellEnd"/>
      <w:r>
        <w:t>.), skarga nr 32567/06, 17 lutego 2009 r.).</w:t>
      </w:r>
    </w:p>
    <w:p w14:paraId="54E0AE9E" w14:textId="336F8BD5" w:rsidR="00E44928" w:rsidRPr="00710DEE" w:rsidRDefault="009F6771" w:rsidP="00710DEE">
      <w:pPr>
        <w:pStyle w:val="JuQuot"/>
        <w:spacing w:before="0" w:after="0"/>
      </w:pPr>
      <w:r>
        <w:lastRenderedPageBreak/>
        <w:t>75.</w:t>
      </w:r>
      <w:r w:rsidR="00BF573B">
        <w:t xml:space="preserve"> </w:t>
      </w:r>
      <w:r>
        <w:t xml:space="preserve">Podczas oceniania, czy skarżący zastosował się do postanowień art. 35 ust. 1, ważne jest, aby mieć na uwadze, iż wymogi zawarte w tym artykule dotyczące wyczerpania środków krajowych </w:t>
      </w:r>
      <w:proofErr w:type="gramStart"/>
      <w:r>
        <w:t>oraz[</w:t>
      </w:r>
      <w:proofErr w:type="gramEnd"/>
      <w:r>
        <w:t xml:space="preserve">sześciomiesięcznego terminu są ściśle z sobą związane (zob. </w:t>
      </w:r>
      <w:proofErr w:type="spellStart"/>
      <w:r>
        <w:rPr>
          <w:i/>
          <w:iCs/>
        </w:rPr>
        <w:t>Galstyan</w:t>
      </w:r>
      <w:proofErr w:type="spellEnd"/>
      <w:r>
        <w:rPr>
          <w:i/>
          <w:iCs/>
        </w:rPr>
        <w:t xml:space="preserve"> przeciwko Armenii</w:t>
      </w:r>
      <w:r>
        <w:t xml:space="preserve">, [skarga] nr 26986/03, § 39, 15 listopada 2007 r. oraz </w:t>
      </w:r>
      <w:r>
        <w:rPr>
          <w:i/>
          <w:iCs/>
        </w:rPr>
        <w:t>Williams</w:t>
      </w:r>
      <w:r>
        <w:t>, [cyt. powyżej]).</w:t>
      </w:r>
    </w:p>
    <w:p w14:paraId="4A97BCCA" w14:textId="2C607ACE" w:rsidR="00E44928" w:rsidRPr="00710DEE" w:rsidRDefault="009F6771" w:rsidP="00710DEE">
      <w:pPr>
        <w:pStyle w:val="JuQuot"/>
        <w:spacing w:before="0" w:after="0"/>
      </w:pPr>
      <w:r>
        <w:t xml:space="preserve">Tym samym, w </w:t>
      </w:r>
      <w:r w:rsidR="00560618">
        <w:t>sytuacji,</w:t>
      </w:r>
      <w:r>
        <w:t xml:space="preserve"> gdy skarżący nie ma dostępu do żadnego skutecznego środka, termin wygasa sześć miesięcy po dacie podjętych działań lub środków, których dotyczy skarga (zob. </w:t>
      </w:r>
      <w:proofErr w:type="spellStart"/>
      <w:r>
        <w:rPr>
          <w:i/>
          <w:iCs/>
        </w:rPr>
        <w:t>Hazar</w:t>
      </w:r>
      <w:proofErr w:type="spellEnd"/>
      <w:r>
        <w:rPr>
          <w:i/>
          <w:iCs/>
        </w:rPr>
        <w:t xml:space="preserve"> i Inni przeciwko Turcji</w:t>
      </w:r>
      <w:r>
        <w:t xml:space="preserve"> (</w:t>
      </w:r>
      <w:proofErr w:type="spellStart"/>
      <w:r>
        <w:t>dec</w:t>
      </w:r>
      <w:proofErr w:type="spellEnd"/>
      <w:r>
        <w:t>.), skarga nr 62566/00 i nast., 10 stycznia 2002 r.). Jednakże szczególne okoliczności mogą zajść w wyjątkowych sprawach, w których skarżący najpierw korzysta z krajowych środków i tylko [na</w:t>
      </w:r>
      <w:r w:rsidR="001A420B">
        <w:t> </w:t>
      </w:r>
      <w:r>
        <w:t xml:space="preserve">późniejszym etapie staje się] świadomy, czy też powinien stać się świadomy, okoliczności, które sprawiły, że środek ten jest nieskuteczny. W takiej sytuacji sześciomiesięczny termin [mógłby być] liczony od momentu, w którym skarżący [staje się] świadomy, czy też powinien [stać się] świadomy [tego,] iż zaszły takie okoliczności (zob. m.in. </w:t>
      </w:r>
      <w:proofErr w:type="spellStart"/>
      <w:r>
        <w:rPr>
          <w:i/>
          <w:iCs/>
        </w:rPr>
        <w:t>Bulut</w:t>
      </w:r>
      <w:proofErr w:type="spellEnd"/>
      <w:r>
        <w:rPr>
          <w:i/>
          <w:iCs/>
        </w:rPr>
        <w:t xml:space="preserve"> i </w:t>
      </w:r>
      <w:proofErr w:type="spellStart"/>
      <w:r>
        <w:rPr>
          <w:i/>
          <w:iCs/>
        </w:rPr>
        <w:t>Yavuz</w:t>
      </w:r>
      <w:proofErr w:type="spellEnd"/>
      <w:r>
        <w:rPr>
          <w:i/>
          <w:iCs/>
        </w:rPr>
        <w:t xml:space="preserve"> przeciwko Turcji</w:t>
      </w:r>
      <w:r>
        <w:t xml:space="preserve"> (</w:t>
      </w:r>
      <w:proofErr w:type="spellStart"/>
      <w:r>
        <w:t>dec</w:t>
      </w:r>
      <w:proofErr w:type="spellEnd"/>
      <w:r>
        <w:t>.), skarga nr 73065/01, 28</w:t>
      </w:r>
      <w:r w:rsidR="001A420B">
        <w:t> </w:t>
      </w:r>
      <w:r>
        <w:t xml:space="preserve">maja 2002 r.; </w:t>
      </w:r>
      <w:proofErr w:type="spellStart"/>
      <w:r>
        <w:rPr>
          <w:i/>
          <w:iCs/>
        </w:rPr>
        <w:t>Younger</w:t>
      </w:r>
      <w:proofErr w:type="spellEnd"/>
      <w:r>
        <w:rPr>
          <w:i/>
          <w:iCs/>
        </w:rPr>
        <w:t xml:space="preserve"> przeciwko Zjednoczonemu Królestwu</w:t>
      </w:r>
      <w:r>
        <w:t xml:space="preserve"> (</w:t>
      </w:r>
      <w:proofErr w:type="spellStart"/>
      <w:r>
        <w:t>dec</w:t>
      </w:r>
      <w:proofErr w:type="spellEnd"/>
      <w:r>
        <w:t xml:space="preserve">.), skarga nr 57420/00, ETPC 2003-I; </w:t>
      </w:r>
      <w:proofErr w:type="spellStart"/>
      <w:r>
        <w:rPr>
          <w:i/>
          <w:iCs/>
        </w:rPr>
        <w:t>Volokhy</w:t>
      </w:r>
      <w:proofErr w:type="spellEnd"/>
      <w:r>
        <w:rPr>
          <w:i/>
          <w:iCs/>
        </w:rPr>
        <w:t xml:space="preserve"> przeciwko Ukrainie</w:t>
      </w:r>
      <w:r>
        <w:t>, skarga nr 23543/02, § 37, 2</w:t>
      </w:r>
      <w:r w:rsidR="009A12AA">
        <w:t> </w:t>
      </w:r>
      <w:r>
        <w:t xml:space="preserve">listopada 2006 r.; oraz </w:t>
      </w:r>
      <w:proofErr w:type="spellStart"/>
      <w:r>
        <w:rPr>
          <w:i/>
          <w:iCs/>
        </w:rPr>
        <w:t>Varnava</w:t>
      </w:r>
      <w:proofErr w:type="spellEnd"/>
      <w:r>
        <w:rPr>
          <w:i/>
          <w:iCs/>
        </w:rPr>
        <w:t xml:space="preserve"> i Inni przeciwko Turcji</w:t>
      </w:r>
      <w:r>
        <w:t xml:space="preserve"> [WI], skargi nr 16064/90, 16065/90, 16066/90, 16068/90, 16069/90, 16070/90, 16071/90, 16072/90 i 16073/90, § 157, ETPC 2009). Podjęcie środka, który nie spełnia wymogów art. 35 ust. 1, nie będzie rozpoznawane przez Trybunał w celu ustalenia daty „ostatecznej decyzji” czy też obliczenia, kiedy rozpoczyna się bieg sześciomiesięcznego terminu (zob. </w:t>
      </w:r>
      <w:proofErr w:type="spellStart"/>
      <w:r>
        <w:rPr>
          <w:i/>
          <w:iCs/>
        </w:rPr>
        <w:t>Prystavska</w:t>
      </w:r>
      <w:proofErr w:type="spellEnd"/>
      <w:r>
        <w:rPr>
          <w:i/>
          <w:iCs/>
        </w:rPr>
        <w:t xml:space="preserve"> przeciwko Ukrainie</w:t>
      </w:r>
      <w:r>
        <w:t xml:space="preserve"> (</w:t>
      </w:r>
      <w:proofErr w:type="spellStart"/>
      <w:r>
        <w:t>dec</w:t>
      </w:r>
      <w:proofErr w:type="spellEnd"/>
      <w:r>
        <w:t xml:space="preserve">.), [skarga] nr 21287/02, 17 grudnia 2002 r.; </w:t>
      </w:r>
      <w:proofErr w:type="spellStart"/>
      <w:r>
        <w:rPr>
          <w:i/>
          <w:iCs/>
        </w:rPr>
        <w:t>Sapeyan</w:t>
      </w:r>
      <w:proofErr w:type="spellEnd"/>
      <w:r>
        <w:rPr>
          <w:i/>
          <w:iCs/>
        </w:rPr>
        <w:t xml:space="preserve"> przeciwko Armenii</w:t>
      </w:r>
      <w:r>
        <w:t xml:space="preserve">, [skarga] nr 35738/03, § 21, 13 stycznia 2009 r.; </w:t>
      </w:r>
      <w:r>
        <w:rPr>
          <w:i/>
          <w:iCs/>
        </w:rPr>
        <w:t>Tucka przeciwko Wielkiej Brytanii</w:t>
      </w:r>
      <w:r>
        <w:t xml:space="preserve"> </w:t>
      </w:r>
      <w:r>
        <w:rPr>
          <w:i/>
          <w:iCs/>
        </w:rPr>
        <w:t>(nr</w:t>
      </w:r>
      <w:r w:rsidR="001A420B">
        <w:rPr>
          <w:i/>
          <w:iCs/>
        </w:rPr>
        <w:t> </w:t>
      </w:r>
      <w:r>
        <w:rPr>
          <w:i/>
          <w:iCs/>
        </w:rPr>
        <w:t>1)</w:t>
      </w:r>
      <w:r>
        <w:t xml:space="preserve"> (</w:t>
      </w:r>
      <w:proofErr w:type="spellStart"/>
      <w:r>
        <w:t>dec</w:t>
      </w:r>
      <w:proofErr w:type="spellEnd"/>
      <w:r>
        <w:t>.), [skarga nr] 34586/10, § 14, 18 stycznia 2010 r.).</w:t>
      </w:r>
    </w:p>
    <w:p w14:paraId="3A325F9C" w14:textId="0B7B8AF1" w:rsidR="00E44928" w:rsidRDefault="009F6771" w:rsidP="00710DEE">
      <w:pPr>
        <w:pStyle w:val="JuQuot"/>
        <w:spacing w:before="0"/>
      </w:pPr>
      <w:r>
        <w:t>Z powyższego wynika, iż jeśli skarżący [korzysta ze] środka [z góry skazanego na</w:t>
      </w:r>
      <w:r w:rsidR="001A420B">
        <w:t> </w:t>
      </w:r>
      <w:r>
        <w:t>niepowodzenie], decyzja [w przedmiocie] odwołani[a] nie powinna być brana pod uwagę [przy] obliczani</w:t>
      </w:r>
      <w:r w:rsidR="004C73BE">
        <w:t xml:space="preserve"> </w:t>
      </w:r>
      <w:r>
        <w:t xml:space="preserve">u sześciomiesięcznego terminu (zob. np. </w:t>
      </w:r>
      <w:proofErr w:type="spellStart"/>
      <w:r>
        <w:rPr>
          <w:i/>
          <w:iCs/>
        </w:rPr>
        <w:t>Musayeva</w:t>
      </w:r>
      <w:proofErr w:type="spellEnd"/>
      <w:r>
        <w:rPr>
          <w:i/>
          <w:iCs/>
        </w:rPr>
        <w:t xml:space="preserve"> i inni przeciwko Rosji</w:t>
      </w:r>
      <w:r>
        <w:t xml:space="preserve"> (</w:t>
      </w:r>
      <w:proofErr w:type="spellStart"/>
      <w:r>
        <w:t>dec</w:t>
      </w:r>
      <w:proofErr w:type="spellEnd"/>
      <w:r>
        <w:t xml:space="preserve">.), [skarga] nr 74239/01, 1 [czerwca] 2006 r.; oraz </w:t>
      </w:r>
      <w:proofErr w:type="spellStart"/>
      <w:r>
        <w:rPr>
          <w:i/>
          <w:iCs/>
        </w:rPr>
        <w:t>Rezgui</w:t>
      </w:r>
      <w:proofErr w:type="spellEnd"/>
      <w:r>
        <w:rPr>
          <w:i/>
          <w:iCs/>
        </w:rPr>
        <w:t xml:space="preserve"> przeciwko Francji </w:t>
      </w:r>
      <w:r>
        <w:t>(</w:t>
      </w:r>
      <w:proofErr w:type="spellStart"/>
      <w:r>
        <w:t>dec</w:t>
      </w:r>
      <w:proofErr w:type="spellEnd"/>
      <w:r>
        <w:t>.), [skarga] nr 49859/99, ETPC 2000-XI).”</w:t>
      </w:r>
    </w:p>
    <w:p w14:paraId="107254D0" w14:textId="1B73C2BF" w:rsidR="00554CAF" w:rsidRPr="00710DEE" w:rsidRDefault="00554CAF" w:rsidP="00554CAF">
      <w:pPr>
        <w:pStyle w:val="JuQuot"/>
        <w:ind w:left="567"/>
      </w:pPr>
      <w:r>
        <w:t>[</w:t>
      </w:r>
      <w:r>
        <w:rPr>
          <w:i/>
          <w:iCs/>
        </w:rPr>
        <w:t xml:space="preserve">Przyp. tłum.: powyższa treść została zaczerpnięta </w:t>
      </w:r>
      <w:r w:rsidRPr="00554CAF">
        <w:rPr>
          <w:i/>
          <w:iCs/>
        </w:rPr>
        <w:t>z </w:t>
      </w:r>
      <w:r>
        <w:rPr>
          <w:i/>
          <w:iCs/>
        </w:rPr>
        <w:t xml:space="preserve">tłumaczenia wyroku na język polski dostępnego w bazie orzecznictwa Trybunału HUDOC, lecz w związku z licznymi błędami </w:t>
      </w:r>
      <w:r w:rsidR="001F1A23">
        <w:rPr>
          <w:i/>
          <w:iCs/>
        </w:rPr>
        <w:t>językowymi</w:t>
      </w:r>
      <w:r>
        <w:rPr>
          <w:i/>
          <w:iCs/>
        </w:rPr>
        <w:t xml:space="preserve"> i merytorycznymi wymagała interwencji tłumacza.</w:t>
      </w:r>
      <w:r>
        <w:t>]</w:t>
      </w:r>
    </w:p>
    <w:p w14:paraId="398AAF6D" w14:textId="1D8DFB92"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87</w:t>
      </w:r>
      <w:r w:rsidRPr="00710DEE">
        <w:fldChar w:fldCharType="end"/>
      </w:r>
      <w:r>
        <w:t>.</w:t>
      </w:r>
      <w:r w:rsidR="00BF573B">
        <w:t xml:space="preserve"> </w:t>
      </w:r>
      <w:r>
        <w:t xml:space="preserve">Ponadto ze względu na wzajemne powiązanie wymogów dotyczących wyczerpania krajowych środków odwoławczych oraz terminu na wniesienie skargi Trybunał przypomina zasady ogólne dotyczące wyczerpania krajowych środków odwoławczych, które zostały określone w sprawie </w:t>
      </w:r>
      <w:bookmarkStart w:id="56" w:name="_cl39121THELAW"/>
      <w:proofErr w:type="spellStart"/>
      <w:r>
        <w:rPr>
          <w:i/>
        </w:rPr>
        <w:t>Vučković</w:t>
      </w:r>
      <w:proofErr w:type="spellEnd"/>
      <w:r>
        <w:rPr>
          <w:i/>
        </w:rPr>
        <w:t xml:space="preserve"> i Inni przeciwko Serbii</w:t>
      </w:r>
      <w:bookmarkEnd w:id="56"/>
      <w:r>
        <w:t xml:space="preserve"> ((zastrzeżenie wstępne) [WI], skargi nr</w:t>
      </w:r>
      <w:r w:rsidR="001A420B">
        <w:t> </w:t>
      </w:r>
      <w:r>
        <w:t>17153/11 i 29 innych, §§ 74–76, 25 marca 2014 r.):</w:t>
      </w:r>
    </w:p>
    <w:p w14:paraId="1878B494" w14:textId="6748AFE7" w:rsidR="00E44928" w:rsidRPr="00710DEE" w:rsidRDefault="009F6771" w:rsidP="00710DEE">
      <w:pPr>
        <w:pStyle w:val="JuQuot"/>
      </w:pPr>
      <w:r>
        <w:t>„74.</w:t>
      </w:r>
      <w:r w:rsidR="00BF573B">
        <w:t xml:space="preserve"> </w:t>
      </w:r>
      <w:r>
        <w:t xml:space="preserve">Aby środek odwoławczy był skuteczny, musi umożliwiać bezpośrednie zaradzenie sytuacji i dawać uzasadnione szanse na powodzenie (zob. </w:t>
      </w:r>
      <w:proofErr w:type="spellStart"/>
      <w:r>
        <w:rPr>
          <w:i/>
        </w:rPr>
        <w:t>Balogh</w:t>
      </w:r>
      <w:proofErr w:type="spellEnd"/>
      <w:r>
        <w:rPr>
          <w:i/>
        </w:rPr>
        <w:t xml:space="preserve"> p</w:t>
      </w:r>
      <w:r>
        <w:rPr>
          <w:i/>
          <w:iCs/>
        </w:rPr>
        <w:t>rzeciwko</w:t>
      </w:r>
      <w:r>
        <w:rPr>
          <w:i/>
        </w:rPr>
        <w:t xml:space="preserve"> Węgrom</w:t>
      </w:r>
      <w:r>
        <w:t xml:space="preserve">, skarga nr 47940/99, § 30, 20 lipca 2004 r.; oraz </w:t>
      </w:r>
      <w:proofErr w:type="spellStart"/>
      <w:r>
        <w:rPr>
          <w:i/>
        </w:rPr>
        <w:t>Sejdovic</w:t>
      </w:r>
      <w:proofErr w:type="spellEnd"/>
      <w:r>
        <w:rPr>
          <w:i/>
        </w:rPr>
        <w:t xml:space="preserve"> przeciwko Włochom</w:t>
      </w:r>
      <w:r>
        <w:t xml:space="preserve"> [WI], skarga nr 56581/00, § 46, ETPC 2006</w:t>
      </w:r>
      <w:r>
        <w:noBreakHyphen/>
        <w:t>II). Istnienie samych wątpliwości co</w:t>
      </w:r>
      <w:r w:rsidR="001A420B">
        <w:t> </w:t>
      </w:r>
      <w:r>
        <w:t>do</w:t>
      </w:r>
      <w:r w:rsidR="001A420B">
        <w:t> </w:t>
      </w:r>
      <w:r>
        <w:t xml:space="preserve">szans powodzenia konkretnego środka odwoławczego, który nie jest w oczywisty sposób daremny, nie jest jednak uzasadnioną przyczyną niewyczerpania tego sposobu naprawienia szkody (zob. </w:t>
      </w:r>
      <w:proofErr w:type="spellStart"/>
      <w:r>
        <w:rPr>
          <w:i/>
          <w:iCs/>
        </w:rPr>
        <w:t>Akdivar</w:t>
      </w:r>
      <w:proofErr w:type="spellEnd"/>
      <w:r>
        <w:rPr>
          <w:i/>
          <w:iCs/>
        </w:rPr>
        <w:t xml:space="preserve"> i Inni</w:t>
      </w:r>
      <w:r>
        <w:t xml:space="preserve">, cyt. powyżej, § 71, oraz </w:t>
      </w:r>
      <w:proofErr w:type="spellStart"/>
      <w:r>
        <w:rPr>
          <w:i/>
          <w:iCs/>
        </w:rPr>
        <w:t>Scoppola</w:t>
      </w:r>
      <w:proofErr w:type="spellEnd"/>
      <w:r>
        <w:rPr>
          <w:i/>
          <w:iCs/>
        </w:rPr>
        <w:t xml:space="preserve"> przeciwko</w:t>
      </w:r>
      <w:r>
        <w:t xml:space="preserve"> </w:t>
      </w:r>
      <w:r>
        <w:rPr>
          <w:i/>
          <w:iCs/>
        </w:rPr>
        <w:t>Włochom (nr 2)</w:t>
      </w:r>
      <w:r>
        <w:t xml:space="preserve"> [WI], skarga nr 10249/03, § 70, 17 września 2009 r.).</w:t>
      </w:r>
    </w:p>
    <w:p w14:paraId="69B44C48" w14:textId="6A9129ED" w:rsidR="00E44928" w:rsidRPr="00710DEE" w:rsidRDefault="009F6771" w:rsidP="00710DEE">
      <w:pPr>
        <w:pStyle w:val="JuQuot"/>
      </w:pPr>
      <w:r>
        <w:t>75.</w:t>
      </w:r>
      <w:r w:rsidR="00BF573B">
        <w:t xml:space="preserve"> </w:t>
      </w:r>
      <w:r>
        <w:t xml:space="preserve">Jeżeli na poziomie krajowym istnieje środek umożliwiający sądom krajowym odniesienie się, przynajmniej co do istoty, do argumentu o naruszeniu danego prawa zawartego w Konwencji, to właśnie ten środek powinien zostać wyczerpany (zob. </w:t>
      </w:r>
      <w:proofErr w:type="spellStart"/>
      <w:r>
        <w:rPr>
          <w:i/>
          <w:iCs/>
        </w:rPr>
        <w:lastRenderedPageBreak/>
        <w:t>Azinas</w:t>
      </w:r>
      <w:proofErr w:type="spellEnd"/>
      <w:r>
        <w:rPr>
          <w:i/>
          <w:iCs/>
        </w:rPr>
        <w:t xml:space="preserve"> przeciwko Cyprowi</w:t>
      </w:r>
      <w:r>
        <w:t xml:space="preserve"> [WI], skarga nr 56679/00, § 38, ETPC 2004</w:t>
      </w:r>
      <w:r>
        <w:noBreakHyphen/>
        <w:t>III]). Niewystarczające jest, że skarżący mógł bez powodzenia skorzystać z innego środka odwoławczego, który mógł spowodować uchylenie zaskarżonego środka na innej podstawie, niepowiązanej z zarzutem naruszenia prawa zawartego w Konwencji. To</w:t>
      </w:r>
      <w:r w:rsidR="001A420B">
        <w:t> </w:t>
      </w:r>
      <w:r>
        <w:t>zarzut dotyczący Konwencji musiałby zostać rozpatrzony na szczeblu krajowym, żeby doszło do wyczerpania „skutecznych środków odwoławczych”. Byłoby to</w:t>
      </w:r>
      <w:r w:rsidR="001A420B">
        <w:t> </w:t>
      </w:r>
      <w:r>
        <w:t xml:space="preserve">sprzeczne z subsydiarnym charakterem mechanizmów konwencyjnych, gdyby skarżący, ignorując ewentualny argument wynikający z Konwencji, mógł powołać się na jakąś inną podstawę przed władzami krajowymi w celu zakwestionowania spornego środka, a następnie wnieść skargę do Trybunału na podstawie argumentu wynikającego z Konwencji (zob. </w:t>
      </w:r>
      <w:r>
        <w:rPr>
          <w:i/>
          <w:iCs/>
        </w:rPr>
        <w:t xml:space="preserve">Van </w:t>
      </w:r>
      <w:proofErr w:type="spellStart"/>
      <w:r>
        <w:rPr>
          <w:i/>
          <w:iCs/>
        </w:rPr>
        <w:t>Oosterwijck</w:t>
      </w:r>
      <w:proofErr w:type="spellEnd"/>
      <w:r>
        <w:rPr>
          <w:i/>
          <w:iCs/>
        </w:rPr>
        <w:t xml:space="preserve"> [przeciwko Belgii]</w:t>
      </w:r>
      <w:r>
        <w:t>, 6 listopada 1980 r., Seria A nr</w:t>
      </w:r>
      <w:r w:rsidR="009A12AA">
        <w:t> </w:t>
      </w:r>
      <w:r>
        <w:t xml:space="preserve">40, s. 16–17, §§ 33–34, oraz </w:t>
      </w:r>
      <w:proofErr w:type="spellStart"/>
      <w:r>
        <w:rPr>
          <w:i/>
          <w:iCs/>
        </w:rPr>
        <w:t>Azinas</w:t>
      </w:r>
      <w:proofErr w:type="spellEnd"/>
      <w:r>
        <w:t>, cyt. powyżej, § 38).</w:t>
      </w:r>
    </w:p>
    <w:p w14:paraId="44DF610A" w14:textId="5E025059" w:rsidR="00E44928" w:rsidRDefault="009F6771" w:rsidP="00710DEE">
      <w:pPr>
        <w:pStyle w:val="JuQuot"/>
      </w:pPr>
      <w:r>
        <w:t>76.</w:t>
      </w:r>
      <w:r w:rsidR="00BF573B">
        <w:t xml:space="preserve"> </w:t>
      </w:r>
      <w:r>
        <w:t xml:space="preserve">Trybunał często podkreślał jednak konieczność stosowania zasady wyczerpania z pewną elastycznością i bez nadmiernego formalizmu (zob. </w:t>
      </w:r>
      <w:proofErr w:type="spellStart"/>
      <w:r>
        <w:rPr>
          <w:i/>
          <w:iCs/>
        </w:rPr>
        <w:t>Ringeisen</w:t>
      </w:r>
      <w:proofErr w:type="spellEnd"/>
      <w:r>
        <w:rPr>
          <w:i/>
          <w:iCs/>
        </w:rPr>
        <w:t xml:space="preserve"> przeciwko Austrii</w:t>
      </w:r>
      <w:r>
        <w:t xml:space="preserve">, 16 lipca 1971 r., § 89, Seria A nr 13, oraz </w:t>
      </w:r>
      <w:proofErr w:type="spellStart"/>
      <w:r>
        <w:rPr>
          <w:i/>
          <w:iCs/>
        </w:rPr>
        <w:t>Akdivar</w:t>
      </w:r>
      <w:proofErr w:type="spellEnd"/>
      <w:r>
        <w:rPr>
          <w:i/>
          <w:iCs/>
        </w:rPr>
        <w:t xml:space="preserve"> i Inni</w:t>
      </w:r>
      <w:r>
        <w:t>, cyt. powyżej, § 69). Rzeczą nadmiernie formalistyczną byłoby na przykład wymaganie, by skarżący skorzystali ze środki odwoławczego, do skorzystania</w:t>
      </w:r>
      <w:r w:rsidR="004C73BE">
        <w:t>,</w:t>
      </w:r>
      <w:r>
        <w:t xml:space="preserve"> z którego nie zobowiązał ich nawet najwyższy sąd ich kraju (zob. </w:t>
      </w:r>
      <w:r>
        <w:rPr>
          <w:i/>
          <w:iCs/>
        </w:rPr>
        <w:t>D.H. i Inni przeciwko Republice Czeskiej</w:t>
      </w:r>
      <w:r>
        <w:t xml:space="preserve"> [WI], skarga nr 57325/00, §§ 117 i 118, ETPC 2007</w:t>
      </w:r>
      <w:r>
        <w:noBreakHyphen/>
        <w:t>IV).”</w:t>
      </w:r>
    </w:p>
    <w:p w14:paraId="47CACB67" w14:textId="4DB4FACC" w:rsidR="001F1A23" w:rsidRPr="00710DEE" w:rsidRDefault="001F1A23" w:rsidP="001F1A23">
      <w:pPr>
        <w:pStyle w:val="JuQuot"/>
        <w:ind w:left="567"/>
      </w:pPr>
      <w:r>
        <w:t>[</w:t>
      </w:r>
      <w:r>
        <w:rPr>
          <w:i/>
          <w:iCs/>
        </w:rPr>
        <w:t xml:space="preserve">Przyp. tłum.: brak tłumaczenia wyroku na język polski, które byłoby dostępne w bazie orzecznictwa Trybunału HUDOC – powyższa treść została przełożona przez tłumacza wyroku częściowo na podstawie tłumaczenia wyroku Trybunału w sprawie </w:t>
      </w:r>
      <w:proofErr w:type="spellStart"/>
      <w:r>
        <w:rPr>
          <w:i/>
          <w:iCs/>
        </w:rPr>
        <w:t>Boljević</w:t>
      </w:r>
      <w:proofErr w:type="spellEnd"/>
      <w:r>
        <w:rPr>
          <w:i/>
          <w:iCs/>
        </w:rPr>
        <w:t xml:space="preserve"> przeciwko Serbii.</w:t>
      </w:r>
      <w:r>
        <w:t>]</w:t>
      </w:r>
    </w:p>
    <w:p w14:paraId="489A9247" w14:textId="77777777" w:rsidR="00E44928" w:rsidRPr="00710DEE" w:rsidRDefault="009F6771" w:rsidP="00710DEE">
      <w:pPr>
        <w:pStyle w:val="JuH1"/>
      </w:pPr>
      <w:r>
        <w:t>Zastosowanie tych zasad w niniejszej sprawie</w:t>
      </w:r>
    </w:p>
    <w:p w14:paraId="6CEA78DE" w14:textId="2AB01E96"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88</w:t>
      </w:r>
      <w:r w:rsidRPr="00710DEE">
        <w:fldChar w:fldCharType="end"/>
      </w:r>
      <w:r>
        <w:t>.</w:t>
      </w:r>
      <w:r w:rsidR="00BF573B">
        <w:t xml:space="preserve"> </w:t>
      </w:r>
      <w:r>
        <w:t>Rząd zasadniczo twierdził, że od początku było jasne, iż skargi wniesione przez wszystkich skarżących do sądów administracyjnych były z</w:t>
      </w:r>
      <w:r w:rsidR="001A420B">
        <w:t> </w:t>
      </w:r>
      <w:r>
        <w:t xml:space="preserve">góry skazane na niepowodzenie (zob. </w:t>
      </w:r>
      <w:r w:rsidR="00C61616">
        <w:t xml:space="preserve"> paragraf</w:t>
      </w:r>
      <w:r>
        <w:t xml:space="preserve"> </w:t>
      </w:r>
      <w:r w:rsidRPr="00710DEE">
        <w:fldChar w:fldCharType="begin"/>
      </w:r>
      <w:r w:rsidRPr="00710DEE">
        <w:instrText xml:space="preserve">REF paragraph00074 \h \* CharFormat </w:instrText>
      </w:r>
      <w:r w:rsidRPr="00710DEE">
        <w:fldChar w:fldCharType="separate"/>
      </w:r>
      <w:r w:rsidR="001A420B">
        <w:t>77</w:t>
      </w:r>
      <w:r w:rsidRPr="00710DEE">
        <w:fldChar w:fldCharType="end"/>
      </w:r>
      <w:r>
        <w:t>-</w:t>
      </w:r>
      <w:r w:rsidRPr="00710DEE">
        <w:fldChar w:fldCharType="begin"/>
      </w:r>
      <w:r w:rsidRPr="00710DEE">
        <w:instrText xml:space="preserve">REF paragraph00075 \h \* CharFormat </w:instrText>
      </w:r>
      <w:r w:rsidRPr="00710DEE">
        <w:fldChar w:fldCharType="separate"/>
      </w:r>
      <w:r w:rsidR="001A420B">
        <w:t>78</w:t>
      </w:r>
      <w:r w:rsidRPr="00710DEE">
        <w:fldChar w:fldCharType="end"/>
      </w:r>
      <w:r>
        <w:t xml:space="preserve"> powyżej). W</w:t>
      </w:r>
      <w:r w:rsidR="001A420B">
        <w:t> </w:t>
      </w:r>
      <w:r>
        <w:t xml:space="preserve">konsekwencji, w ocenie </w:t>
      </w:r>
      <w:r w:rsidR="00EC66B2">
        <w:t>r</w:t>
      </w:r>
      <w:r>
        <w:t>ządu, wszyscy skarżący powinni byli wnieść skargi do tutejszego Trybunału w terminie sześciu miesięcy od</w:t>
      </w:r>
      <w:r w:rsidR="009A12AA">
        <w:t> </w:t>
      </w:r>
      <w:r>
        <w:t>opublikowania poszczególnych postanowień odmownych wydanych przez Prezydenta Rzeczypospolitej.</w:t>
      </w:r>
    </w:p>
    <w:p w14:paraId="7A2BDCFF" w14:textId="26BDA455"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89</w:t>
      </w:r>
      <w:r w:rsidRPr="00710DEE">
        <w:fldChar w:fldCharType="end"/>
      </w:r>
      <w:r>
        <w:t>.</w:t>
      </w:r>
      <w:r w:rsidR="00BF573B">
        <w:t xml:space="preserve"> </w:t>
      </w:r>
      <w:r>
        <w:t xml:space="preserve">Ponadto </w:t>
      </w:r>
      <w:r w:rsidR="00EC66B2">
        <w:t>r</w:t>
      </w:r>
      <w:r>
        <w:t xml:space="preserve">ząd argumentował (zob. </w:t>
      </w:r>
      <w:r w:rsidR="00C61616">
        <w:t xml:space="preserve"> paragraf</w:t>
      </w:r>
      <w:r>
        <w:t xml:space="preserve"> </w:t>
      </w:r>
      <w:r w:rsidRPr="00710DEE">
        <w:fldChar w:fldCharType="begin"/>
      </w:r>
      <w:r w:rsidRPr="00710DEE">
        <w:instrText xml:space="preserve">REF paragraph00076 \h \* CharFormat </w:instrText>
      </w:r>
      <w:r w:rsidRPr="00710DEE">
        <w:fldChar w:fldCharType="separate"/>
      </w:r>
      <w:r w:rsidR="001A420B">
        <w:t>79</w:t>
      </w:r>
      <w:r w:rsidRPr="00710DEE">
        <w:fldChar w:fldCharType="end"/>
      </w:r>
      <w:r>
        <w:t xml:space="preserve"> powyżej), że – nawet gdyby Trybunał uznał, iż próba wyczerpania drogi </w:t>
      </w:r>
      <w:proofErr w:type="spellStart"/>
      <w:r>
        <w:t>sądowoadministracyjnej</w:t>
      </w:r>
      <w:proofErr w:type="spellEnd"/>
      <w:r>
        <w:t xml:space="preserve"> nie była od początku w sposób oczywisty bezskuteczna – skarżący w sposób oczywisty błędnie postąpili, podejmując próbę wszczęcia drugiej grupy postępowań przed Trybunałem Konstytucyjnym. Zamiast tego, w ocenie </w:t>
      </w:r>
      <w:r w:rsidR="00EC66B2">
        <w:t>r</w:t>
      </w:r>
      <w:r>
        <w:t>ządu, skarżący powinni byli wnieść skargi do tutejszego Trybunału w</w:t>
      </w:r>
      <w:r w:rsidR="001A420B">
        <w:t> </w:t>
      </w:r>
      <w:r>
        <w:t>terminie sześciu miesięcy od wydania prawomocnych orzeczeń w ich postępowaniach przed sądami administracyjnymi.</w:t>
      </w:r>
    </w:p>
    <w:p w14:paraId="7FCA28AE" w14:textId="03F77CF7"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90</w:t>
      </w:r>
      <w:r w:rsidRPr="00710DEE">
        <w:fldChar w:fldCharType="end"/>
      </w:r>
      <w:r>
        <w:t>.</w:t>
      </w:r>
      <w:r w:rsidR="00BF573B">
        <w:t xml:space="preserve"> </w:t>
      </w:r>
      <w:r>
        <w:t xml:space="preserve">W tym względzie Trybunał zauważa (zob. </w:t>
      </w:r>
      <w:r w:rsidR="00C61616">
        <w:t xml:space="preserve"> paragraf</w:t>
      </w:r>
      <w:r>
        <w:t xml:space="preserve"> </w:t>
      </w:r>
      <w:r w:rsidRPr="00710DEE">
        <w:fldChar w:fldCharType="begin"/>
      </w:r>
      <w:r w:rsidRPr="00710DEE">
        <w:instrText xml:space="preserve">REF paragraph00011 \h \* CharFormat </w:instrText>
      </w:r>
      <w:r w:rsidRPr="00710DEE">
        <w:fldChar w:fldCharType="separate"/>
      </w:r>
      <w:r w:rsidR="001A420B">
        <w:t>11</w:t>
      </w:r>
      <w:r w:rsidRPr="00710DEE">
        <w:fldChar w:fldCharType="end"/>
      </w:r>
      <w:r>
        <w:t xml:space="preserve"> powyżej), że</w:t>
      </w:r>
      <w:r w:rsidR="001A420B">
        <w:t> </w:t>
      </w:r>
      <w:r>
        <w:t>postanowienie z dnia 3 stycznia 2008 r. miało charakter bezprecedensowy, jako że była to pierwsza w historii decyzja, którą Prezydent Rzeczypospolitej odmówił powołania osób przedstawionych przez KRS na stanowiska sędziowskie.</w:t>
      </w:r>
    </w:p>
    <w:p w14:paraId="098799C5" w14:textId="696499BC"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91</w:t>
      </w:r>
      <w:r w:rsidRPr="00710DEE">
        <w:fldChar w:fldCharType="end"/>
      </w:r>
      <w:r>
        <w:t>.</w:t>
      </w:r>
      <w:r w:rsidR="00BF573B">
        <w:t xml:space="preserve"> </w:t>
      </w:r>
      <w:r>
        <w:t xml:space="preserve">W związku z tym Trybunał podkreśla, że – w konkretnej sytuacji skarżących – nie było wcześniejszych podobnych postanowień Prezydenta </w:t>
      </w:r>
      <w:r>
        <w:lastRenderedPageBreak/>
        <w:t xml:space="preserve">Rzeczypospolitej, a w konsekwencji w istotnym czasie nie istniało jakiekolwiek orzecznictwo wskazujące na to, że od postanowienia Prezydenta o odrzuceniu ich kandydatur nie przysługiwał żaden środek odwoławczy. Wynika z tego, że twierdzenie </w:t>
      </w:r>
      <w:r w:rsidR="00EC66B2">
        <w:t>r</w:t>
      </w:r>
      <w:r>
        <w:t xml:space="preserve">ządu (mianowicie że skarżący powinni byli być świadomi braku kontroli sądowej na podstawie istniejącego orzecznictwa – zob. </w:t>
      </w:r>
      <w:r w:rsidR="00C61616">
        <w:t xml:space="preserve"> paragraf</w:t>
      </w:r>
      <w:r>
        <w:t xml:space="preserve"> </w:t>
      </w:r>
      <w:r w:rsidRPr="00710DEE">
        <w:fldChar w:fldCharType="begin"/>
      </w:r>
      <w:r w:rsidRPr="00710DEE">
        <w:instrText xml:space="preserve">REF paragraph00075 \h \* CharFormat </w:instrText>
      </w:r>
      <w:r w:rsidRPr="00710DEE">
        <w:fldChar w:fldCharType="separate"/>
      </w:r>
      <w:r w:rsidR="001A420B">
        <w:t>78</w:t>
      </w:r>
      <w:r w:rsidRPr="00710DEE">
        <w:fldChar w:fldCharType="end"/>
      </w:r>
      <w:r>
        <w:t xml:space="preserve"> powyżej) jest bezzasadne. W związku z tym Trybunał uznaje, że ze względu na nowy i bezprecedensowy charakter tej sytuacji nie można twierdzić, iż od początku było oczywiste, że odwołania wniesione przez skarżących do sądów administracyjnych były „w oczywiste sposób daremne” lub „z góry skazane na niepowodzenie”. Przeciwnie, Trybunał uznaje podejście skarżących za prawidłowe w zakresie, w jakim zmierzali oni do sprawienia, aby ich zarzuty zostały rozpatrzone na poziomie krajowym przed przedstawieniem ich Trybunałowi, działając tym samym zgodnie z obowiązkiem wyczerpania dostępnych krajowych środków odwoławczych. Trybunał zauważa, że dochowując tego obowiązku, skarżący stworzyli sposobność do rozwoju orzecznictwa krajowego w tym przedmiocie (por. </w:t>
      </w:r>
      <w:bookmarkStart w:id="57" w:name="_cl44987THELAW"/>
      <w:proofErr w:type="spellStart"/>
      <w:r>
        <w:rPr>
          <w:i/>
          <w:iCs/>
        </w:rPr>
        <w:t>Mansouri</w:t>
      </w:r>
      <w:proofErr w:type="spellEnd"/>
      <w:r>
        <w:rPr>
          <w:i/>
          <w:iCs/>
        </w:rPr>
        <w:t xml:space="preserve"> przeciwko Włochom</w:t>
      </w:r>
      <w:bookmarkEnd w:id="57"/>
      <w:r>
        <w:t xml:space="preserve"> (</w:t>
      </w:r>
      <w:proofErr w:type="spellStart"/>
      <w:r>
        <w:t>dec</w:t>
      </w:r>
      <w:proofErr w:type="spellEnd"/>
      <w:r>
        <w:t>.) [WI], skarga nr</w:t>
      </w:r>
      <w:r w:rsidR="001A420B">
        <w:t> </w:t>
      </w:r>
      <w:r>
        <w:t xml:space="preserve">63386/16, § 99, 29 kwietnia 2025 r. oraz </w:t>
      </w:r>
      <w:bookmarkStart w:id="58" w:name="_cl46576THELAW"/>
      <w:proofErr w:type="spellStart"/>
      <w:r>
        <w:rPr>
          <w:i/>
          <w:iCs/>
        </w:rPr>
        <w:t>Gherghina</w:t>
      </w:r>
      <w:proofErr w:type="spellEnd"/>
      <w:r>
        <w:rPr>
          <w:i/>
          <w:iCs/>
        </w:rPr>
        <w:t xml:space="preserve"> przeciwko Rumunii</w:t>
      </w:r>
      <w:bookmarkEnd w:id="58"/>
      <w:r>
        <w:t xml:space="preserve"> (</w:t>
      </w:r>
      <w:proofErr w:type="spellStart"/>
      <w:r>
        <w:t>dec</w:t>
      </w:r>
      <w:proofErr w:type="spellEnd"/>
      <w:r>
        <w:t>.) [WI], skarga nr 42219/07, § 106, 9 lipca 2015 r.).</w:t>
      </w:r>
    </w:p>
    <w:p w14:paraId="3222C61A" w14:textId="3F6915E0"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92</w:t>
      </w:r>
      <w:r w:rsidRPr="00710DEE">
        <w:fldChar w:fldCharType="end"/>
      </w:r>
      <w:r>
        <w:t>.</w:t>
      </w:r>
      <w:r w:rsidR="00BF573B">
        <w:t xml:space="preserve"> </w:t>
      </w:r>
      <w:r>
        <w:t xml:space="preserve">Trybunał rozważy teraz alternatywny argument </w:t>
      </w:r>
      <w:r w:rsidR="00EC66B2">
        <w:t>r</w:t>
      </w:r>
      <w:r>
        <w:t>ządu, oparty na</w:t>
      </w:r>
      <w:r w:rsidR="001A420B">
        <w:t> </w:t>
      </w:r>
      <w:r>
        <w:t xml:space="preserve">twierdzeniu, że skarga konstytucyjna wniesiona po zakończeniu postępowania </w:t>
      </w:r>
      <w:proofErr w:type="spellStart"/>
      <w:r>
        <w:t>sądowoadministracyjnego</w:t>
      </w:r>
      <w:proofErr w:type="spellEnd"/>
      <w:r>
        <w:t xml:space="preserve"> była w sposób oczywisty z góry skazana na niepowodzenie. W tym względzie Trybunał przypomina (jako w</w:t>
      </w:r>
      <w:r w:rsidR="001A420B">
        <w:t> </w:t>
      </w:r>
      <w:r>
        <w:t>pełni istotne) swoje powyższe ustalenia co do bezprecedensowego charakteru sytuacji, w jakiej znaleźli się skarżący w wyniku odmowy ich powołania przez Prezydenta. W konsekwencji ostrożnościowe podejście przyjęte przez tych skarżących – polegające na jednoczesnym wystąpieniu na dwie drogi prawne (z których żadna nie wydawała się wówczas w sposób oczywisty bezskuteczna) – nie może być poczytane na ich niekorzyść.</w:t>
      </w:r>
    </w:p>
    <w:bookmarkStart w:id="59" w:name="paragraph00090"/>
    <w:p w14:paraId="7B169B60" w14:textId="58321527"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93</w:t>
      </w:r>
      <w:r w:rsidRPr="00710DEE">
        <w:fldChar w:fldCharType="end"/>
      </w:r>
      <w:bookmarkEnd w:id="59"/>
      <w:r>
        <w:t>.</w:t>
      </w:r>
      <w:r w:rsidR="00BF573B">
        <w:t xml:space="preserve"> </w:t>
      </w:r>
      <w:r>
        <w:t>Argument ten jest dodatkowo wzmocniony tym, jak przebiegały właściwe postępowania krajowe oraz uzasadnieniami wydanych w nich postanowień. W szczególności w 2008 r. wszyscy skarżący wnieśli skargi do</w:t>
      </w:r>
      <w:r w:rsidR="001A420B">
        <w:t> </w:t>
      </w:r>
      <w:r>
        <w:t xml:space="preserve">sądów administracyjnych (zob. </w:t>
      </w:r>
      <w:r w:rsidR="00C61616">
        <w:t xml:space="preserve"> paragraf</w:t>
      </w:r>
      <w:r>
        <w:t xml:space="preserve"> </w:t>
      </w:r>
      <w:r w:rsidRPr="00710DEE">
        <w:fldChar w:fldCharType="begin"/>
      </w:r>
      <w:r w:rsidRPr="00710DEE">
        <w:instrText xml:space="preserve">REF paragraph00015 \h \* CharFormat </w:instrText>
      </w:r>
      <w:r w:rsidRPr="00710DEE">
        <w:fldChar w:fldCharType="separate"/>
      </w:r>
      <w:r w:rsidR="001A420B">
        <w:t>15</w:t>
      </w:r>
      <w:r w:rsidRPr="00710DEE">
        <w:fldChar w:fldCharType="end"/>
      </w:r>
      <w:r>
        <w:t xml:space="preserve"> powyżej), podczas gdy dwoje pierwszych skarżących wniosło również skargi konstytucyjne do Trybunału Konstytucyjnego (zob. </w:t>
      </w:r>
      <w:r w:rsidR="00C61616">
        <w:t xml:space="preserve"> paragraf</w:t>
      </w:r>
      <w:r>
        <w:t xml:space="preserve"> </w:t>
      </w:r>
      <w:r w:rsidRPr="00710DEE">
        <w:fldChar w:fldCharType="begin"/>
      </w:r>
      <w:r w:rsidRPr="00710DEE">
        <w:instrText xml:space="preserve">REF paragraph00019 \h \* CharFormat </w:instrText>
      </w:r>
      <w:r w:rsidRPr="00710DEE">
        <w:fldChar w:fldCharType="separate"/>
      </w:r>
      <w:r w:rsidR="001A420B">
        <w:t>19</w:t>
      </w:r>
      <w:r w:rsidRPr="00710DEE">
        <w:fldChar w:fldCharType="end"/>
      </w:r>
      <w:r>
        <w:t xml:space="preserve"> powyżej). W rezultacie postępowania wszczęte przez skarżących przed Naczelnym Sądem Administracyjnym (zob. </w:t>
      </w:r>
      <w:r w:rsidR="00C61616">
        <w:t xml:space="preserve"> paragraf</w:t>
      </w:r>
      <w:r>
        <w:t xml:space="preserve"> </w:t>
      </w:r>
      <w:r w:rsidRPr="00710DEE">
        <w:fldChar w:fldCharType="begin"/>
      </w:r>
      <w:r w:rsidRPr="00710DEE">
        <w:instrText xml:space="preserve">REF paragraph00017 \h \* CharFormat </w:instrText>
      </w:r>
      <w:r w:rsidRPr="00710DEE">
        <w:fldChar w:fldCharType="separate"/>
      </w:r>
      <w:r w:rsidR="001A420B">
        <w:t>17</w:t>
      </w:r>
      <w:r w:rsidRPr="00710DEE">
        <w:fldChar w:fldCharType="end"/>
      </w:r>
      <w:r>
        <w:t xml:space="preserve"> powyżej) zostały zawieszone do czasu rozstrzygnięcia postępowania przed Trybunałem Konstytucyjnym. Ten ostatni z kolei wydał postanowienie, w którym uznał skargi konstytucyjne – w zakresie, w jakim dotyczyły braku dostępu do sądu – za przedwczesne, zważywszy</w:t>
      </w:r>
      <w:r w:rsidR="00B66186">
        <w:t>,</w:t>
      </w:r>
      <w:r>
        <w:t xml:space="preserve"> że</w:t>
      </w:r>
      <w:r w:rsidR="001A420B">
        <w:t> </w:t>
      </w:r>
      <w:r>
        <w:t xml:space="preserve">postępowanie przed Naczelnym Sądem Administracyjnym nie zostało zakończone (zob. </w:t>
      </w:r>
      <w:r w:rsidR="00C61616">
        <w:t xml:space="preserve"> paragraf</w:t>
      </w:r>
      <w:r>
        <w:t xml:space="preserve"> </w:t>
      </w:r>
      <w:r w:rsidRPr="00710DEE">
        <w:fldChar w:fldCharType="begin"/>
      </w:r>
      <w:r w:rsidRPr="00710DEE">
        <w:instrText xml:space="preserve">REF paragraph00020 \h \* CharFormat </w:instrText>
      </w:r>
      <w:r w:rsidRPr="00710DEE">
        <w:fldChar w:fldCharType="separate"/>
      </w:r>
      <w:r w:rsidR="001A420B">
        <w:t>20</w:t>
      </w:r>
      <w:r w:rsidRPr="00710DEE">
        <w:fldChar w:fldCharType="end"/>
      </w:r>
      <w:r>
        <w:t xml:space="preserve"> powyżej). W konsekwencji po wydaniu przez Naczelny Sąd Administracyjny orzeczeń kończących właściwe postępowania (zob. </w:t>
      </w:r>
      <w:r w:rsidR="00C61616">
        <w:t xml:space="preserve"> paragraf</w:t>
      </w:r>
      <w:r>
        <w:t xml:space="preserve"> </w:t>
      </w:r>
      <w:r w:rsidRPr="00710DEE">
        <w:fldChar w:fldCharType="begin"/>
      </w:r>
      <w:r w:rsidRPr="00710DEE">
        <w:instrText xml:space="preserve">REF paragraph00018 \h \* CharFormat </w:instrText>
      </w:r>
      <w:r w:rsidRPr="00710DEE">
        <w:fldChar w:fldCharType="separate"/>
      </w:r>
      <w:r w:rsidR="001A420B">
        <w:t>18</w:t>
      </w:r>
      <w:r w:rsidRPr="00710DEE">
        <w:fldChar w:fldCharType="end"/>
      </w:r>
      <w:r>
        <w:t xml:space="preserve"> powyżej) skarżący – kierując się sugestiami zawartymi </w:t>
      </w:r>
      <w:r>
        <w:lastRenderedPageBreak/>
        <w:t>w</w:t>
      </w:r>
      <w:r w:rsidR="001A420B">
        <w:t> </w:t>
      </w:r>
      <w:r>
        <w:t>pierwszym postanowieniu Trybunału Konstytucyjnego – wnieśli nowe skargi konstytucyjne, w których podnieśli zarzuty uprzednio uznane za</w:t>
      </w:r>
      <w:r w:rsidR="001A420B">
        <w:t> </w:t>
      </w:r>
      <w:r>
        <w:t xml:space="preserve">przedwczesne (zob. </w:t>
      </w:r>
      <w:r w:rsidR="00C61616">
        <w:t xml:space="preserve"> paragraf</w:t>
      </w:r>
      <w:r>
        <w:t xml:space="preserve"> </w:t>
      </w:r>
      <w:r w:rsidRPr="00710DEE">
        <w:fldChar w:fldCharType="begin"/>
      </w:r>
      <w:r w:rsidRPr="00710DEE">
        <w:instrText xml:space="preserve">REF paragraph00023 \h \* CharFormat </w:instrText>
      </w:r>
      <w:r w:rsidRPr="00710DEE">
        <w:fldChar w:fldCharType="separate"/>
      </w:r>
      <w:r w:rsidR="001A420B">
        <w:t>23</w:t>
      </w:r>
      <w:r w:rsidRPr="00710DEE">
        <w:fldChar w:fldCharType="end"/>
      </w:r>
      <w:r>
        <w:t xml:space="preserve"> powyżej). Tutejszy Trybunał zauważa brak konsekwencji w podejściu Trybunału Konstytucyjnego, który – w drugiej grupie postępowań – wyraźnie odstąpił od swojego wcześniejszego stanowiska i uznał nowe skargi za wniesione w całości po terminie.</w:t>
      </w:r>
    </w:p>
    <w:p w14:paraId="2D539A1A" w14:textId="5E9711A7"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94</w:t>
      </w:r>
      <w:r w:rsidRPr="00710DEE">
        <w:fldChar w:fldCharType="end"/>
      </w:r>
      <w:r>
        <w:t>.</w:t>
      </w:r>
      <w:r w:rsidR="00BF573B">
        <w:t xml:space="preserve"> </w:t>
      </w:r>
      <w:r>
        <w:t xml:space="preserve">W konsekwencji Trybunał odrzuca argument </w:t>
      </w:r>
      <w:r w:rsidR="00EC66B2">
        <w:t>r</w:t>
      </w:r>
      <w:r>
        <w:t>ządu, jakoby wykorzystane krajowe środki odwoławcze (to jest skargi wniesione do sądów administracyjnych oraz skargi konstytucyjne) były w sposób oczywisty z</w:t>
      </w:r>
      <w:r w:rsidR="001A420B">
        <w:t> </w:t>
      </w:r>
      <w:r>
        <w:t>góry skazane na niepowodzenie w świetle okoliczności znanych skarżącym w istotnym dla sprawy czasie. Przyjęcie odmiennego stanowiska byłoby sprzeczne z podejściem Trybunału do zasady wyczerpania krajowych środków odwoławczych, która wymaga od skarżących korzystania ze</w:t>
      </w:r>
      <w:r w:rsidR="001A420B">
        <w:t> </w:t>
      </w:r>
      <w:r>
        <w:t xml:space="preserve">środków niebędących w oczywisty sposób bezskutecznymi (zob. </w:t>
      </w:r>
      <w:bookmarkStart w:id="60" w:name="_cl44795THELAW"/>
      <w:proofErr w:type="spellStart"/>
      <w:r>
        <w:rPr>
          <w:i/>
        </w:rPr>
        <w:t>Duarte</w:t>
      </w:r>
      <w:proofErr w:type="spellEnd"/>
      <w:r>
        <w:rPr>
          <w:i/>
        </w:rPr>
        <w:t xml:space="preserve"> </w:t>
      </w:r>
      <w:proofErr w:type="spellStart"/>
      <w:r>
        <w:rPr>
          <w:i/>
        </w:rPr>
        <w:t>Agostinho</w:t>
      </w:r>
      <w:proofErr w:type="spellEnd"/>
      <w:r>
        <w:rPr>
          <w:i/>
        </w:rPr>
        <w:t xml:space="preserve"> i Inni przeciwko Portugalii i 32 Innym</w:t>
      </w:r>
      <w:bookmarkEnd w:id="60"/>
      <w:r>
        <w:t xml:space="preserve"> (</w:t>
      </w:r>
      <w:proofErr w:type="spellStart"/>
      <w:r>
        <w:t>dec</w:t>
      </w:r>
      <w:proofErr w:type="spellEnd"/>
      <w:r>
        <w:t>.) [WI], skarga nr 39371/20, § 225, 9 kwietnia 2024 r. oraz przytoczone tam orzecznictwo). Trybunał uznaje zatem, że skarżący skorzystali z krajowych środków odwoławczych i dopiero później dowiedzieli się o ich nieskuteczności. W</w:t>
      </w:r>
      <w:r w:rsidR="00C21FB2">
        <w:t> </w:t>
      </w:r>
      <w:r>
        <w:t>związku z tym termin sześciu miesięcy powinien być liczony od chwili, w</w:t>
      </w:r>
      <w:r w:rsidR="00C21FB2">
        <w:t> </w:t>
      </w:r>
      <w:r>
        <w:t xml:space="preserve">której skarżący dowiedzieli się o tych okolicznościach (zob. </w:t>
      </w:r>
      <w:r w:rsidRPr="00C43322">
        <w:rPr>
          <w:i/>
          <w:iCs/>
        </w:rPr>
        <w:t>mutatis mutandis</w:t>
      </w:r>
      <w:r>
        <w:t xml:space="preserve"> </w:t>
      </w:r>
      <w:proofErr w:type="spellStart"/>
      <w:r>
        <w:rPr>
          <w:i/>
          <w:iCs/>
        </w:rPr>
        <w:t>Jeronovičs</w:t>
      </w:r>
      <w:proofErr w:type="spellEnd"/>
      <w:r>
        <w:t xml:space="preserve">, cyt. powyżej, § 75 oraz przytoczone tam orzecznictwo). Mając na uwadze szczególne okoliczności sprawy oraz nowość rozważanego zagadnienia na poziomie krajowym w istotnym dla sprawy czasie, Trybunał uznaje, że skarżący dowiedzieli się o nieskuteczności obu krajowych środków odwoławczych dopiero po wydaniu prawomocnego postanowienia Trybunału Konstytucyjnego o odmowie rozpoznania ich skarg (zob. </w:t>
      </w:r>
      <w:r w:rsidR="00C61616">
        <w:t xml:space="preserve"> paragraf</w:t>
      </w:r>
      <w:r>
        <w:t xml:space="preserve"> </w:t>
      </w:r>
      <w:r w:rsidRPr="00710DEE">
        <w:fldChar w:fldCharType="begin"/>
      </w:r>
      <w:r w:rsidRPr="00710DEE">
        <w:instrText xml:space="preserve">REF paragraph00025 \h \* CharFormat </w:instrText>
      </w:r>
      <w:r w:rsidRPr="00710DEE">
        <w:fldChar w:fldCharType="separate"/>
      </w:r>
      <w:r w:rsidR="001A420B">
        <w:t>25</w:t>
      </w:r>
      <w:r w:rsidRPr="00710DEE">
        <w:fldChar w:fldCharType="end"/>
      </w:r>
      <w:r>
        <w:t xml:space="preserve"> powyżej).</w:t>
      </w:r>
    </w:p>
    <w:p w14:paraId="7B4BA465" w14:textId="14F8271F"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95</w:t>
      </w:r>
      <w:r w:rsidRPr="00710DEE">
        <w:fldChar w:fldCharType="end"/>
      </w:r>
      <w:r>
        <w:t>.</w:t>
      </w:r>
      <w:r w:rsidR="00BF573B">
        <w:t xml:space="preserve"> </w:t>
      </w:r>
      <w:r>
        <w:t>W konsekwencji Trybunał stwierdza, że skarżący, wnosząc skargi do</w:t>
      </w:r>
      <w:r w:rsidR="00C21FB2">
        <w:t> </w:t>
      </w:r>
      <w:r>
        <w:t xml:space="preserve">tutejszego Trybunału w dniu 7 września 2014 r. – tj. w terminie sześciu miesięcy od doręczenia ich pełnomocnikom postanowień Trybunału Konstytucyjnego z dnia 5 marca 2014 r. (zob. </w:t>
      </w:r>
      <w:r w:rsidR="00C61616">
        <w:t xml:space="preserve"> paragraf</w:t>
      </w:r>
      <w:r>
        <w:t xml:space="preserve"> </w:t>
      </w:r>
      <w:r w:rsidRPr="00710DEE">
        <w:fldChar w:fldCharType="begin"/>
      </w:r>
      <w:r w:rsidRPr="00710DEE">
        <w:instrText xml:space="preserve">REF paragraph00025 \h \* CharFormat  \* MERGEFORMAT </w:instrText>
      </w:r>
      <w:r w:rsidRPr="00710DEE">
        <w:fldChar w:fldCharType="separate"/>
      </w:r>
      <w:r w:rsidR="001A420B">
        <w:t>25</w:t>
      </w:r>
      <w:r w:rsidRPr="00710DEE">
        <w:fldChar w:fldCharType="end"/>
      </w:r>
      <w:r>
        <w:t xml:space="preserve"> powyżej) – dochowali właściwego terminu.</w:t>
      </w:r>
    </w:p>
    <w:p w14:paraId="1FEEA570" w14:textId="42B3DDA7"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96</w:t>
      </w:r>
      <w:r w:rsidRPr="00710DEE">
        <w:fldChar w:fldCharType="end"/>
      </w:r>
      <w:r>
        <w:t>.</w:t>
      </w:r>
      <w:r w:rsidR="00BF573B">
        <w:t xml:space="preserve"> </w:t>
      </w:r>
      <w:r>
        <w:t xml:space="preserve">W świetle powyższych ustaleń Trybunał oddala zastrzeżenie wstępne </w:t>
      </w:r>
      <w:r w:rsidR="00EC66B2">
        <w:t>r</w:t>
      </w:r>
      <w:r>
        <w:t xml:space="preserve">ządu i stwierdza, że skargi zostały wniesione w obowiązującym terminie sześciu miesięcy od ostatecznej decyzji krajowej, którą (w tej konkretnej sprawie) było wydane w drugiej instancji postanowienie Trybunału Konstytucyjnego (zob. </w:t>
      </w:r>
      <w:r w:rsidR="00C61616">
        <w:t xml:space="preserve"> paragraf</w:t>
      </w:r>
      <w:r>
        <w:t xml:space="preserve"> </w:t>
      </w:r>
      <w:r w:rsidRPr="00710DEE">
        <w:fldChar w:fldCharType="begin"/>
      </w:r>
      <w:r w:rsidRPr="00710DEE">
        <w:instrText xml:space="preserve">REF paragraph00025 \h \* CharFormat  \* MERGEFORMAT </w:instrText>
      </w:r>
      <w:r w:rsidRPr="00710DEE">
        <w:fldChar w:fldCharType="separate"/>
      </w:r>
      <w:r w:rsidR="001A420B">
        <w:t>25</w:t>
      </w:r>
      <w:r w:rsidRPr="00710DEE">
        <w:fldChar w:fldCharType="end"/>
      </w:r>
      <w:r>
        <w:t xml:space="preserve"> powyżej).</w:t>
      </w:r>
    </w:p>
    <w:p w14:paraId="214D7F26" w14:textId="77777777" w:rsidR="00E44928" w:rsidRPr="00710DEE" w:rsidRDefault="009F6771" w:rsidP="00710DEE">
      <w:pPr>
        <w:pStyle w:val="JuHIRoman"/>
      </w:pPr>
      <w:r>
        <w:t>ZARZUCANE NARUSZENIE ART. 6 UST. 1 KONWENCJI</w:t>
      </w:r>
    </w:p>
    <w:p w14:paraId="351396E4" w14:textId="094B2218"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97</w:t>
      </w:r>
      <w:r w:rsidRPr="00710DEE">
        <w:fldChar w:fldCharType="end"/>
      </w:r>
      <w:r>
        <w:t>.</w:t>
      </w:r>
      <w:r w:rsidR="00BF573B">
        <w:t xml:space="preserve"> </w:t>
      </w:r>
      <w:r>
        <w:t xml:space="preserve">Powołując się na art. 6 Konwencji, skarżący zarzucili, że sądy krajowe odmówiły rozpoznania ich spraw dotyczących postanowień Prezydenta Rzeczypospolitej o odmowie powołania ich na sędziów. W rezultacie, jak </w:t>
      </w:r>
      <w:r>
        <w:lastRenderedPageBreak/>
        <w:t>argumentowali, faktycznie pozbawiono ich prawa dostępu do sądu, o którym mowa w art. 6 ust. 1 Konwencji, mającym następujące brzmienie:</w:t>
      </w:r>
    </w:p>
    <w:p w14:paraId="4B908A9C" w14:textId="77777777" w:rsidR="006C1540" w:rsidRPr="00710DEE" w:rsidRDefault="009F6771" w:rsidP="00710DEE">
      <w:pPr>
        <w:pStyle w:val="JuQuot"/>
      </w:pPr>
      <w:r>
        <w:t>„Każdy ma prawo do sprawiedliwego [...] rozpatrzenia jego sprawy [...] przez [...] sąd [...] przy rozstrzyganiu o jego prawach i obowiązkach o charakterze cywilnym [...]”</w:t>
      </w:r>
    </w:p>
    <w:p w14:paraId="03225E17" w14:textId="77777777" w:rsidR="00E44928" w:rsidRPr="00710DEE" w:rsidRDefault="009F6771" w:rsidP="00710DEE">
      <w:pPr>
        <w:pStyle w:val="JuHA"/>
      </w:pPr>
      <w:r>
        <w:t>Dopuszczalność</w:t>
      </w:r>
    </w:p>
    <w:p w14:paraId="58803C8B" w14:textId="77777777" w:rsidR="00E44928" w:rsidRPr="00710DEE" w:rsidRDefault="009F6771" w:rsidP="00710DEE">
      <w:pPr>
        <w:pStyle w:val="JuH1"/>
      </w:pPr>
      <w:r>
        <w:t>Możliwość zastosowania art. 6</w:t>
      </w:r>
    </w:p>
    <w:p w14:paraId="4A9F966F" w14:textId="77777777" w:rsidR="00E44928" w:rsidRPr="00710DEE" w:rsidRDefault="009F6771" w:rsidP="00710DEE">
      <w:pPr>
        <w:pStyle w:val="JuHa0"/>
      </w:pPr>
      <w:r>
        <w:t>Stanowiska stron</w:t>
      </w:r>
    </w:p>
    <w:p w14:paraId="675B0D6B" w14:textId="77777777" w:rsidR="00E44928" w:rsidRPr="00710DEE" w:rsidRDefault="009F6771" w:rsidP="00710DEE">
      <w:pPr>
        <w:pStyle w:val="JuHi"/>
      </w:pPr>
      <w:r>
        <w:t>Rząd</w:t>
      </w:r>
    </w:p>
    <w:p w14:paraId="2B1EADB2" w14:textId="22679EB4"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98</w:t>
      </w:r>
      <w:r w:rsidRPr="00710DEE">
        <w:fldChar w:fldCharType="end"/>
      </w:r>
      <w:r>
        <w:t>.</w:t>
      </w:r>
      <w:r w:rsidR="00BF573B">
        <w:t xml:space="preserve"> </w:t>
      </w:r>
      <w:r>
        <w:t xml:space="preserve">Rząd podniósł, że skargi są niezgodne </w:t>
      </w:r>
      <w:proofErr w:type="spellStart"/>
      <w:r w:rsidRPr="00C43322">
        <w:rPr>
          <w:i/>
          <w:iCs/>
        </w:rPr>
        <w:t>ratione</w:t>
      </w:r>
      <w:proofErr w:type="spellEnd"/>
      <w:r w:rsidRPr="00C43322">
        <w:rPr>
          <w:i/>
          <w:iCs/>
        </w:rPr>
        <w:t xml:space="preserve"> </w:t>
      </w:r>
      <w:proofErr w:type="spellStart"/>
      <w:r w:rsidRPr="00C43322">
        <w:rPr>
          <w:i/>
          <w:iCs/>
        </w:rPr>
        <w:t>materiae</w:t>
      </w:r>
      <w:proofErr w:type="spellEnd"/>
      <w:r>
        <w:t xml:space="preserve"> z właściwym postanowieniem Konwencji. W tym względzie utrzymywał, że w sprawie nie chodziło o żadne prawa „o charakterze cywilnym”, a zatem art. 6 Konwencji w jego aspekcie cywilnym nie miał zastosowania do niniejszej sprawy.</w:t>
      </w:r>
    </w:p>
    <w:p w14:paraId="52FA47C0" w14:textId="44B59711"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99</w:t>
      </w:r>
      <w:r w:rsidRPr="00710DEE">
        <w:fldChar w:fldCharType="end"/>
      </w:r>
      <w:r>
        <w:t>.</w:t>
      </w:r>
      <w:r w:rsidR="00BF573B">
        <w:t xml:space="preserve"> </w:t>
      </w:r>
      <w:r>
        <w:t>Rząd podniósł, że przepisy krajowe nie gwarantowały żadnego prawa do pełnienia funkcji związanych z wykonywaniem władzy publicznej – w</w:t>
      </w:r>
      <w:r w:rsidR="00C21FB2">
        <w:t> </w:t>
      </w:r>
      <w:r>
        <w:t xml:space="preserve">tym do bycia powołanym na urząd sędziego przez Prezydenta Rzeczypospolitej. W konsekwencji asesor sądowy i kandydat na urząd sędziego nie mogli dochodzić prawa do bycia powołanym przez Prezydenta Rzeczypospolitej, a odmowa takiego powołania przez Prezydenta nie stanowiła, w ocenie </w:t>
      </w:r>
      <w:r w:rsidR="00EC66B2">
        <w:t>r</w:t>
      </w:r>
      <w:r>
        <w:t>ządu, ingerencji w prawa podmiotowe kandydata.</w:t>
      </w:r>
    </w:p>
    <w:p w14:paraId="669F7288" w14:textId="633FDA7D"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100</w:t>
      </w:r>
      <w:r w:rsidRPr="00710DEE">
        <w:fldChar w:fldCharType="end"/>
      </w:r>
      <w:r>
        <w:t>.</w:t>
      </w:r>
      <w:r w:rsidR="00BF573B">
        <w:t xml:space="preserve"> </w:t>
      </w:r>
      <w:r>
        <w:t>Rząd podniósł, że spór wszczęty przez skarżących mieścił się w</w:t>
      </w:r>
      <w:r w:rsidR="00C21FB2">
        <w:t> </w:t>
      </w:r>
      <w:r>
        <w:t>przeważającej mierze w dziedzinie prawa publicznego i konstytucyjnego. Zauważył ponadto, że z chwilą powołania przez Prezydenta Rzeczypospolitej kandydatowi na urząd sędziego nadawano uprawnienia związane z</w:t>
      </w:r>
      <w:r w:rsidR="00C21FB2">
        <w:t> </w:t>
      </w:r>
      <w:r>
        <w:t xml:space="preserve">wykonywaniem władzy sądowniczej. Wreszcie </w:t>
      </w:r>
      <w:r w:rsidR="00EC66B2">
        <w:t>r</w:t>
      </w:r>
      <w:r>
        <w:t>ząd stwierdził, że</w:t>
      </w:r>
      <w:r w:rsidR="00C21FB2">
        <w:t> </w:t>
      </w:r>
      <w:r>
        <w:t>rozpoznawane skargi dotyczyły wyłącznie wykonywania władzy publicznej (</w:t>
      </w:r>
      <w:r w:rsidRPr="00C43322">
        <w:rPr>
          <w:i/>
          <w:iCs/>
        </w:rPr>
        <w:t xml:space="preserve">acta iure </w:t>
      </w:r>
      <w:proofErr w:type="spellStart"/>
      <w:r w:rsidRPr="00C43322">
        <w:rPr>
          <w:i/>
          <w:iCs/>
        </w:rPr>
        <w:t>imperii</w:t>
      </w:r>
      <w:proofErr w:type="spellEnd"/>
      <w:r>
        <w:t>).</w:t>
      </w:r>
    </w:p>
    <w:p w14:paraId="0DF9A6D2" w14:textId="5E2623E2"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101</w:t>
      </w:r>
      <w:r w:rsidRPr="00710DEE">
        <w:fldChar w:fldCharType="end"/>
      </w:r>
      <w:r>
        <w:t>.</w:t>
      </w:r>
      <w:r w:rsidR="00BF573B">
        <w:t xml:space="preserve"> </w:t>
      </w:r>
      <w:r>
        <w:t>Rząd utrzymywał, że postanowienie Prezydenta nie stanowiło żadnego ograniczenia prawa skarżących do dostępu do służby publicznej, ponieważ prawo to nie obejmowało prawa do wykonywania jakiegokolwiek zawodu związanego ze służbą publiczną. Podniósł, że art. 60 Konstytucji gwarantował jedynie prawo do ubiegania się o stanowisko w służbie publicznej (a nie prawo do powołania na nie). Rząd argumentował, że żadne takie prawo nie wynikało z uchwały KRS z wnioskiem o powołanie skarżących przez Prezydenta Rzeczypospolitej. Co więcej, dodał, że</w:t>
      </w:r>
      <w:r w:rsidR="00C21FB2">
        <w:t> </w:t>
      </w:r>
      <w:r>
        <w:t>skarżący</w:t>
      </w:r>
      <w:r w:rsidR="004132A1">
        <w:t xml:space="preserve"> </w:t>
      </w:r>
      <w:r>
        <w:t>jako asesorzy sądowi, nie korzystali z takich samych gwarancji niezależności, co pełnoprawni sędziowie.</w:t>
      </w:r>
    </w:p>
    <w:bookmarkStart w:id="61" w:name="paragraph00099"/>
    <w:p w14:paraId="3D8190D8" w14:textId="1EF2F8FF"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102</w:t>
      </w:r>
      <w:r w:rsidRPr="00710DEE">
        <w:fldChar w:fldCharType="end"/>
      </w:r>
      <w:bookmarkEnd w:id="61"/>
      <w:r>
        <w:t>.</w:t>
      </w:r>
      <w:r w:rsidR="00BF573B">
        <w:t xml:space="preserve"> </w:t>
      </w:r>
      <w:r>
        <w:t xml:space="preserve">Rząd stanął na stanowisku, że dwa łączne warunki testu ustanowionego w wyroku w sprawie </w:t>
      </w:r>
      <w:bookmarkStart w:id="62" w:name="_cl38910THELAW"/>
      <w:proofErr w:type="spellStart"/>
      <w:r>
        <w:rPr>
          <w:i/>
          <w:iCs/>
        </w:rPr>
        <w:t>Vilho</w:t>
      </w:r>
      <w:proofErr w:type="spellEnd"/>
      <w:r>
        <w:rPr>
          <w:i/>
          <w:iCs/>
        </w:rPr>
        <w:t xml:space="preserve"> </w:t>
      </w:r>
      <w:proofErr w:type="spellStart"/>
      <w:r>
        <w:rPr>
          <w:i/>
          <w:iCs/>
        </w:rPr>
        <w:t>Eskelinen</w:t>
      </w:r>
      <w:proofErr w:type="spellEnd"/>
      <w:r>
        <w:rPr>
          <w:i/>
          <w:iCs/>
        </w:rPr>
        <w:t xml:space="preserve"> i Inni przeciwko Finlandii</w:t>
      </w:r>
      <w:bookmarkEnd w:id="62"/>
      <w:r>
        <w:t xml:space="preserve"> [WI], skarga nr 63235/00, § 62, ETPC 2007-II) zostały w niniejszej sprawie spełnione, w wyniku czego art. 6 Konwencji nie miał zastosowania do zarzutów skarżących. Rząd powołał się na krajowe ramy prawne, które – </w:t>
      </w:r>
      <w:r>
        <w:lastRenderedPageBreak/>
        <w:t xml:space="preserve">jak argumentował – całkowicie wyłączały prezydenckie powołania sędziowskie spod kontroli sądowej, oraz na orzeczenia sądów administracyjnych, w których przyjęto, że takie powołania nie podlegają kontroli tych sądów. W ocenie </w:t>
      </w:r>
      <w:r w:rsidR="00014AF6">
        <w:t>r</w:t>
      </w:r>
      <w:r>
        <w:t>ządu postanowienia Prezydenta o powołaniu na stanowiska sędziowskie są autonomicznymi aktami prawa konstytucyjnego, a nie aktami administracyjnymi – o czym świadczy brak ustawowych zasad dotyczących ich formy, postępowania, terminów i</w:t>
      </w:r>
      <w:r w:rsidR="00C21FB2">
        <w:t> </w:t>
      </w:r>
      <w:r>
        <w:t>środków zaskarżenia oraz wymóg, by jedynie akty wyraźnie wskazane przez ustawę mogły być kwalifikowane jako decyzje administracyjne.</w:t>
      </w:r>
    </w:p>
    <w:bookmarkStart w:id="63" w:name="paragraph00100"/>
    <w:p w14:paraId="2E9E7E0B" w14:textId="4298D3A7"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103</w:t>
      </w:r>
      <w:r w:rsidRPr="00710DEE">
        <w:fldChar w:fldCharType="end"/>
      </w:r>
      <w:bookmarkEnd w:id="63"/>
      <w:r>
        <w:t>.</w:t>
      </w:r>
      <w:r w:rsidR="00BF573B">
        <w:t xml:space="preserve"> </w:t>
      </w:r>
      <w:r>
        <w:t>Rząd argumentował ponadto, że zgodnie z Konstytucją i</w:t>
      </w:r>
      <w:r w:rsidR="00C21FB2">
        <w:t> </w:t>
      </w:r>
      <w:r>
        <w:t>powiązanym orzecznictwem postanowienia w sprawie powołań sędziowskich wchodziły w zakres prerogatyw Prezydenta: nie był on</w:t>
      </w:r>
      <w:r w:rsidR="00C21FB2">
        <w:t> </w:t>
      </w:r>
      <w:r>
        <w:t xml:space="preserve">związany wnioskami KRS i mógł odmówić powołania danego kandydata, jeżeli dostrzegłby przeszkodę natury konstytucyjnej, a takie odmowy uznawano zaś za niepodlegające kognicji sądowej. Prezydent, choć jest organem władzy publicznej, nie jest uznawany za organ administracji i nie działał w ramach postępowania administracyjnego, powołując sędziów; wykonywał natomiast kompetencję konstytucyjną wywodzącą się z jego pozycji ustrojowej i mandatu demokratycznego, nadając zwycięskim kandydatom uprawnienia do wykonywania władzy sądowniczej. Poddanie tej kompetencji kontroli sądowej zaburzyłoby – jak argumentował </w:t>
      </w:r>
      <w:r w:rsidR="00014AF6">
        <w:t>r</w:t>
      </w:r>
      <w:r>
        <w:t>ząd – podział i równowagę władz, ponieważ wydanie postanowienia o powołaniu jest kompetencją osobistą, niewymagającą uzasadnienia i zwolnioną z</w:t>
      </w:r>
      <w:r w:rsidR="00C21FB2">
        <w:t> </w:t>
      </w:r>
      <w:r>
        <w:t>wymogu zewnętrznego nadzoru czy kontrasygnaty.</w:t>
      </w:r>
    </w:p>
    <w:p w14:paraId="11564218" w14:textId="7BFC90A5" w:rsidR="00E44928" w:rsidRPr="00710DEE" w:rsidRDefault="001A420B" w:rsidP="00710DEE">
      <w:pPr>
        <w:pStyle w:val="JuPara"/>
      </w:pPr>
      <w:fldSimple w:instr=" SEQ level0 \*arabic \* MERGEFORMAT ">
        <w:bookmarkStart w:id="64" w:name="paragraph00101"/>
        <w:r>
          <w:rPr>
            <w:noProof/>
          </w:rPr>
          <w:t>104</w:t>
        </w:r>
        <w:bookmarkEnd w:id="64"/>
      </w:fldSimple>
      <w:r w:rsidR="009F6771">
        <w:t>.</w:t>
      </w:r>
      <w:r w:rsidR="00BF573B">
        <w:t xml:space="preserve"> </w:t>
      </w:r>
      <w:r w:rsidR="009F6771">
        <w:t>Rząd podkreślił szczególne cechy procedury wyłaniania i</w:t>
      </w:r>
      <w:r w:rsidR="00C21FB2">
        <w:t> </w:t>
      </w:r>
      <w:r w:rsidR="009F6771">
        <w:t>powoływania kandydatów na urząd sędziego. Z jednej strony wskazał na</w:t>
      </w:r>
      <w:r w:rsidR="00C21FB2">
        <w:t> </w:t>
      </w:r>
      <w:r w:rsidR="009F6771">
        <w:t>wyłączenie nadzoru zewnętrznego na różnych etapach procedury, z</w:t>
      </w:r>
      <w:r w:rsidR="00C21FB2">
        <w:t> </w:t>
      </w:r>
      <w:r w:rsidR="009F6771">
        <w:t>drugiej zaakcentował istnienie wnikliwej, wieloszczeblowej oceny wniosków przez kilka organów, w tym kolegia i zgromadzenia ogólne sędziów właściwych sądów, KRS oraz Prezydenta Rzeczypospolitej. Rząd argumentował, że skoro ustawodawca nie przewidział możliwości wniesienia jakiegokolwiek odwołania od postanowienia Prezydenta Rzeczypospolitej, nie ulegało wątpliwości, iż postanowienia takie były wyłączone spod możliwości kontroli sądowej.</w:t>
      </w:r>
    </w:p>
    <w:p w14:paraId="35323AE2" w14:textId="50B2629B"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105</w:t>
      </w:r>
      <w:r w:rsidRPr="00710DEE">
        <w:fldChar w:fldCharType="end"/>
      </w:r>
      <w:r>
        <w:t>.</w:t>
      </w:r>
      <w:r w:rsidR="00BF573B">
        <w:t xml:space="preserve"> </w:t>
      </w:r>
      <w:r>
        <w:t>Rząd utrzymywał, że brak było podstaw do twierdzenia, że w prawie krajowym istnieje luka skutkująca brakiem środka odwoławczego przeciwko prezydenckiej odmowie powołania sędziego. Odróżnił niniejsze sprawy od</w:t>
      </w:r>
      <w:r w:rsidR="00C21FB2">
        <w:t> </w:t>
      </w:r>
      <w:r>
        <w:t xml:space="preserve">spraw </w:t>
      </w:r>
      <w:bookmarkStart w:id="65" w:name="_cl21572THELAW"/>
      <w:r>
        <w:rPr>
          <w:i/>
          <w:iCs/>
        </w:rPr>
        <w:t>Baka przeciwko Węgrom</w:t>
      </w:r>
      <w:bookmarkEnd w:id="65"/>
      <w:r>
        <w:t xml:space="preserve"> ([WI], skarga nr 20261/12, 23 czerwca 2016 r.) oraz </w:t>
      </w:r>
      <w:bookmarkStart w:id="66" w:name="_cl24379THELAW"/>
      <w:proofErr w:type="spellStart"/>
      <w:r>
        <w:rPr>
          <w:i/>
          <w:iCs/>
        </w:rPr>
        <w:t>Denisov</w:t>
      </w:r>
      <w:proofErr w:type="spellEnd"/>
      <w:r>
        <w:rPr>
          <w:i/>
          <w:iCs/>
        </w:rPr>
        <w:t xml:space="preserve"> przeciwko Ukrainie</w:t>
      </w:r>
      <w:bookmarkEnd w:id="66"/>
      <w:r>
        <w:t xml:space="preserve"> ([WI], skarga nr 76639/11, 25</w:t>
      </w:r>
      <w:r w:rsidR="009A12AA">
        <w:t> </w:t>
      </w:r>
      <w:r>
        <w:t xml:space="preserve">września 2018 r.), które dotyczyły ingerencji w prawa urzędujących sędziów. Rozpoznawane skargi dotyczyły natomiast kandydatów na urząd sędziego, którzy – w ocenie </w:t>
      </w:r>
      <w:r w:rsidR="00014AF6">
        <w:t>r</w:t>
      </w:r>
      <w:r>
        <w:t>ządu – nie mogli rościć sobie żadnego prawa do</w:t>
      </w:r>
      <w:r w:rsidR="00C21FB2">
        <w:t> </w:t>
      </w:r>
      <w:r>
        <w:t>powołania.</w:t>
      </w:r>
    </w:p>
    <w:p w14:paraId="6309B15D" w14:textId="7DEAE0D8" w:rsidR="00E44928" w:rsidRPr="00710DEE" w:rsidRDefault="00710DEE" w:rsidP="00710DEE">
      <w:pPr>
        <w:pStyle w:val="JuPara"/>
      </w:pPr>
      <w:r w:rsidRPr="00710DEE">
        <w:lastRenderedPageBreak/>
        <w:fldChar w:fldCharType="begin"/>
      </w:r>
      <w:r>
        <w:instrText xml:space="preserve"> SEQ level0 \*arabic \* MERGEFORMAT </w:instrText>
      </w:r>
      <w:r w:rsidRPr="00710DEE">
        <w:fldChar w:fldCharType="separate"/>
      </w:r>
      <w:r w:rsidR="001A420B">
        <w:rPr>
          <w:noProof/>
        </w:rPr>
        <w:t>106</w:t>
      </w:r>
      <w:r w:rsidRPr="00710DEE">
        <w:fldChar w:fldCharType="end"/>
      </w:r>
      <w:r>
        <w:t>.</w:t>
      </w:r>
      <w:r w:rsidR="00BF573B">
        <w:t xml:space="preserve"> </w:t>
      </w:r>
      <w:r>
        <w:t xml:space="preserve">W odniesieniu do drugiego kryterium testu z wyroku </w:t>
      </w:r>
      <w:proofErr w:type="spellStart"/>
      <w:r>
        <w:rPr>
          <w:i/>
          <w:iCs/>
        </w:rPr>
        <w:t>Vilho</w:t>
      </w:r>
      <w:proofErr w:type="spellEnd"/>
      <w:r>
        <w:rPr>
          <w:i/>
          <w:iCs/>
        </w:rPr>
        <w:t xml:space="preserve"> </w:t>
      </w:r>
      <w:proofErr w:type="spellStart"/>
      <w:r>
        <w:rPr>
          <w:i/>
          <w:iCs/>
        </w:rPr>
        <w:t>Eskelinen</w:t>
      </w:r>
      <w:proofErr w:type="spellEnd"/>
      <w:r>
        <w:t xml:space="preserve"> </w:t>
      </w:r>
      <w:r w:rsidR="00014AF6">
        <w:t>r</w:t>
      </w:r>
      <w:r>
        <w:t>ząd podniósł, że warunek ten również został spełniony. Wskazał, że</w:t>
      </w:r>
      <w:r w:rsidR="00C21FB2">
        <w:t> </w:t>
      </w:r>
      <w:r>
        <w:t>względy interesu ogólnego – mianowicie zachowanie równowagi instytucjonalnej między poszczególnymi władzami oraz ukształtowanie składu sądownictwa zgodnie z wartościami reprezentowanymi przez Prezydenta Rzeczypospolitej, który czerpał swoją legitymację z wyborów demokratycznych – uzasadniały pozbawienie skarżących prawa dostępu do</w:t>
      </w:r>
      <w:r w:rsidR="00C21FB2">
        <w:t> </w:t>
      </w:r>
      <w:r>
        <w:t>sądu.</w:t>
      </w:r>
    </w:p>
    <w:p w14:paraId="05E61EA5" w14:textId="36C0C2F1"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107</w:t>
      </w:r>
      <w:r w:rsidRPr="00710DEE">
        <w:fldChar w:fldCharType="end"/>
      </w:r>
      <w:r>
        <w:t>.</w:t>
      </w:r>
      <w:r w:rsidR="00BF573B">
        <w:t xml:space="preserve"> </w:t>
      </w:r>
      <w:r>
        <w:t>Rząd przyznał, że kompetencja Prezydenta do powoływania sędziów obejmowała element uznaniowy. Argumentował jednak, że kompetencja ta</w:t>
      </w:r>
      <w:r w:rsidR="00C21FB2">
        <w:t> </w:t>
      </w:r>
      <w:r>
        <w:t>nie jest nieograniczona, zważywszy</w:t>
      </w:r>
      <w:r w:rsidR="00557145">
        <w:t>,</w:t>
      </w:r>
      <w:r>
        <w:t xml:space="preserve"> że przez Prezydenta mogli zostać powołani wyłącznie kandydaci, którzy uzyskali pozytywną opinię KRS. Podniósł ponadto, że udział głowy państwa (cieszącej się silną legitymacją demokratyczną) w procesie powoływania służył wzmocnieniu legitymacji sędziów w wykonywaniu władzy sądowniczej. Rząd stwierdził, że</w:t>
      </w:r>
      <w:r w:rsidR="00C21FB2">
        <w:t> </w:t>
      </w:r>
      <w:r>
        <w:t>wprowadzenie prawa do odwołania od postanowień Prezydenta w tym kontekście zaburzyłoby równowagę między władzą sądowniczą a</w:t>
      </w:r>
      <w:r w:rsidR="00C21FB2">
        <w:t> </w:t>
      </w:r>
      <w:r>
        <w:t>wykonawczą i w istocie przyznałoby władzy sądowniczej wyłączną kontrolę nad dostępem do urzędu sędziego.</w:t>
      </w:r>
    </w:p>
    <w:p w14:paraId="68325BF5" w14:textId="25B72128"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108</w:t>
      </w:r>
      <w:r w:rsidRPr="00710DEE">
        <w:fldChar w:fldCharType="end"/>
      </w:r>
      <w:r>
        <w:t>.</w:t>
      </w:r>
      <w:r w:rsidR="00BF573B">
        <w:t xml:space="preserve"> </w:t>
      </w:r>
      <w:r>
        <w:t xml:space="preserve">Wreszcie </w:t>
      </w:r>
      <w:r w:rsidR="00014AF6">
        <w:t>r</w:t>
      </w:r>
      <w:r>
        <w:t xml:space="preserve">ząd podniósł, że z Konwencji nie wynika dla Układających się Państw żadna konkretna procedura powoływania sędziów. Powołując się na orzecznictwo Trybunału w sprawach </w:t>
      </w:r>
      <w:bookmarkStart w:id="67" w:name="_cl34833THELAW"/>
      <w:r>
        <w:rPr>
          <w:i/>
          <w:iCs/>
        </w:rPr>
        <w:t xml:space="preserve">Ramos </w:t>
      </w:r>
      <w:proofErr w:type="spellStart"/>
      <w:r>
        <w:rPr>
          <w:i/>
          <w:iCs/>
        </w:rPr>
        <w:t>Nunes</w:t>
      </w:r>
      <w:proofErr w:type="spellEnd"/>
      <w:r>
        <w:rPr>
          <w:i/>
          <w:iCs/>
        </w:rPr>
        <w:t xml:space="preserve"> de</w:t>
      </w:r>
      <w:r w:rsidR="00C21FB2">
        <w:rPr>
          <w:i/>
          <w:iCs/>
        </w:rPr>
        <w:t> </w:t>
      </w:r>
      <w:proofErr w:type="spellStart"/>
      <w:r>
        <w:rPr>
          <w:i/>
          <w:iCs/>
        </w:rPr>
        <w:t>Carvalho</w:t>
      </w:r>
      <w:proofErr w:type="spellEnd"/>
      <w:r>
        <w:rPr>
          <w:i/>
          <w:iCs/>
        </w:rPr>
        <w:t xml:space="preserve"> e </w:t>
      </w:r>
      <w:proofErr w:type="spellStart"/>
      <w:r>
        <w:rPr>
          <w:i/>
          <w:iCs/>
        </w:rPr>
        <w:t>Sá</w:t>
      </w:r>
      <w:proofErr w:type="spellEnd"/>
      <w:r>
        <w:rPr>
          <w:i/>
          <w:iCs/>
        </w:rPr>
        <w:t xml:space="preserve"> przeciwko Portugalii</w:t>
      </w:r>
      <w:bookmarkEnd w:id="67"/>
      <w:r>
        <w:t xml:space="preserve"> ([WI], skargi nr 55391/13 i 2 inne, 6</w:t>
      </w:r>
      <w:r w:rsidR="00C21FB2">
        <w:t> </w:t>
      </w:r>
      <w:r>
        <w:t xml:space="preserve">listopada 2018 r.) oraz </w:t>
      </w:r>
      <w:bookmarkStart w:id="68" w:name="_cl40234THELAW"/>
      <w:proofErr w:type="spellStart"/>
      <w:r>
        <w:rPr>
          <w:i/>
          <w:iCs/>
        </w:rPr>
        <w:t>Guðmundur</w:t>
      </w:r>
      <w:proofErr w:type="spellEnd"/>
      <w:r>
        <w:rPr>
          <w:i/>
          <w:iCs/>
        </w:rPr>
        <w:t xml:space="preserve"> </w:t>
      </w:r>
      <w:proofErr w:type="spellStart"/>
      <w:r>
        <w:rPr>
          <w:i/>
          <w:iCs/>
        </w:rPr>
        <w:t>Andri</w:t>
      </w:r>
      <w:proofErr w:type="spellEnd"/>
      <w:r>
        <w:rPr>
          <w:i/>
          <w:iCs/>
        </w:rPr>
        <w:t xml:space="preserve"> </w:t>
      </w:r>
      <w:proofErr w:type="spellStart"/>
      <w:r>
        <w:rPr>
          <w:i/>
          <w:iCs/>
        </w:rPr>
        <w:t>Ástráðsson</w:t>
      </w:r>
      <w:proofErr w:type="spellEnd"/>
      <w:r>
        <w:rPr>
          <w:i/>
          <w:iCs/>
        </w:rPr>
        <w:t xml:space="preserve"> przeciwko Islandii</w:t>
      </w:r>
      <w:bookmarkEnd w:id="68"/>
      <w:r>
        <w:t xml:space="preserve"> ([WI], skarga nr 26374/18, 1 grudnia 2020 r.), </w:t>
      </w:r>
      <w:r w:rsidR="00014AF6">
        <w:t>r</w:t>
      </w:r>
      <w:r>
        <w:t>ząd zauważył po pierwsze, że z Konwencji nie wynika dla Państw wymóg stosowania się do określonego teoretycznego modelu konstytucyjnego regulującego dopuszczalne relacje między władzą wykonawczą a sądowniczą, a po drugie że pewien stopień wzajemnego oddziaływania trzech władz jest nie tylko nieunikniony, ale i</w:t>
      </w:r>
      <w:r w:rsidR="00C21FB2">
        <w:t> </w:t>
      </w:r>
      <w:r>
        <w:t>konieczny – pod warunkiem że żadna z nich nie wkracza nadmiernie w</w:t>
      </w:r>
      <w:r w:rsidR="00C21FB2">
        <w:t> </w:t>
      </w:r>
      <w:r>
        <w:t xml:space="preserve">funkcje pozostałych. W tym względzie </w:t>
      </w:r>
      <w:r w:rsidR="00014AF6">
        <w:t>r</w:t>
      </w:r>
      <w:r>
        <w:t>ząd podniósł, że Układającym się Państwom należy przyznać margines oceny, ponieważ sądy krajowe są</w:t>
      </w:r>
      <w:r w:rsidR="00C21FB2">
        <w:t> </w:t>
      </w:r>
      <w:r>
        <w:t>co</w:t>
      </w:r>
      <w:r w:rsidR="00C21FB2">
        <w:t> </w:t>
      </w:r>
      <w:r>
        <w:t>do</w:t>
      </w:r>
      <w:r w:rsidR="00C21FB2">
        <w:t> </w:t>
      </w:r>
      <w:r>
        <w:t>zasady lepiej przygotowane niż sąd międzynarodowy do określenia, jak najlepiej chronić interesy wymiaru sprawiedliwości i rządy prawa w</w:t>
      </w:r>
      <w:r w:rsidR="00C21FB2">
        <w:t> </w:t>
      </w:r>
      <w:r>
        <w:t>społeczeństwie demokratycznym.</w:t>
      </w:r>
    </w:p>
    <w:p w14:paraId="6EFEB2CC" w14:textId="77777777" w:rsidR="00E44928" w:rsidRPr="00710DEE" w:rsidRDefault="009F6771" w:rsidP="00710DEE">
      <w:pPr>
        <w:pStyle w:val="JuHi"/>
      </w:pPr>
      <w:r>
        <w:t>Skarżący</w:t>
      </w:r>
    </w:p>
    <w:p w14:paraId="3C1E326C" w14:textId="268C2FD9"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109</w:t>
      </w:r>
      <w:r w:rsidRPr="00710DEE">
        <w:fldChar w:fldCharType="end"/>
      </w:r>
      <w:r>
        <w:t>.</w:t>
      </w:r>
      <w:r w:rsidR="00BF573B">
        <w:t xml:space="preserve"> </w:t>
      </w:r>
      <w:r>
        <w:t xml:space="preserve">Skarżący odrzucili argumenty </w:t>
      </w:r>
      <w:r w:rsidR="00014AF6">
        <w:t>r</w:t>
      </w:r>
      <w:r>
        <w:t>ządu. Argumentowali, że spór dotyczy nie prawa do bycia powołanym na sędziego (które nie było gwarantowane w prawie polskim), lecz konstytucyjnie gwarantowanego prawa równego dostępu do służby publicznej wynikającego z art. 60 Konstytucji Rzeczypospolitej Polskiej w związku z art. 45 (prawo do sądu) i</w:t>
      </w:r>
      <w:r w:rsidR="00C21FB2">
        <w:t> </w:t>
      </w:r>
      <w:r>
        <w:t xml:space="preserve">art. 77 (zakaz wyłączania kontroli sądowej w odniesieniu do niektórych praw konstytucyjnych). Powołali się na orzecznictwo Trybunału </w:t>
      </w:r>
      <w:r>
        <w:lastRenderedPageBreak/>
        <w:t>Konstytucyjnego (w szczególności wyroki w sprawach o sygn. akt SK 43/06 i SK 57/06) oraz na polską doktrynę prawa, argumentując, że art. 60 nakładał na władze publiczne obowiązki pozytywne: nabór do służby publicznej powinien być przejrzysty, niearbitralny, prowadzony na równych warunkach dla wszystkich kandydatów i podlegający kontroli sądowej co do jego legalności; bez tego prawo to stawało się iluzoryczne.</w:t>
      </w:r>
    </w:p>
    <w:p w14:paraId="6D812BE1" w14:textId="6B146648"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110</w:t>
      </w:r>
      <w:r w:rsidRPr="00710DEE">
        <w:fldChar w:fldCharType="end"/>
      </w:r>
      <w:r>
        <w:t>.</w:t>
      </w:r>
      <w:r w:rsidR="00BF573B">
        <w:t xml:space="preserve"> </w:t>
      </w:r>
      <w:r>
        <w:t>Skarżący podnieśli, że Trybunał Konstytucyjny zinterpretował art. 60 w związku z art. 45 jako przepis, z którego wynika wymóg sądowej kontroli uchwał KRS podejmowanych w ramach naboru sędziów, co</w:t>
      </w:r>
      <w:r w:rsidR="00C21FB2">
        <w:t> </w:t>
      </w:r>
      <w:r>
        <w:t>sprawiło, że ustawodawca wprowadził możliwość wniesienia odwołania do Sądu Najwyższego od uchwał KRS, traktując takie postępowanie jako „sprawę” w rozumieniu Konstytucji. W ocenie skarżących etap prezydencki był jedynie kolejnym krokiem w tej samej procedurze nominacyjnej, w</w:t>
      </w:r>
      <w:r w:rsidR="00C21FB2">
        <w:t> </w:t>
      </w:r>
      <w:r>
        <w:t>związku z czym te same gwarancje konstytucyjne (w tym prawo do sądu) musiały obejmować także postanowienie Prezydenta o odmowie powołania skarżących.</w:t>
      </w:r>
    </w:p>
    <w:p w14:paraId="0F7D3DFE" w14:textId="08A4B8D1"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111</w:t>
      </w:r>
      <w:r w:rsidRPr="00710DEE">
        <w:fldChar w:fldCharType="end"/>
      </w:r>
      <w:r>
        <w:t>.</w:t>
      </w:r>
      <w:r w:rsidR="00BF573B">
        <w:t xml:space="preserve"> </w:t>
      </w:r>
      <w:r>
        <w:t>Skarżący argumentowali, że skoro postępowania prowadzone odpowiednio przez KRS i Prezydenta Rzeczypospolitej stanowiły poszczególne etapy tej samej procedury naboru sędziów, nie było powodu, by uznać, że art. 60 Konstytucji ma zastosowanie wyłącznie do etapu prowadzonego przez KRS (a nie do etapu prowadzonego przez głowę państwa). W ich ocenie nieuzasadnione byłoby twierdzenie, że postępowanie przed KRS miało charakter administracyjny, dotyczyło prawa jednostki do</w:t>
      </w:r>
      <w:r w:rsidR="00C21FB2">
        <w:t> </w:t>
      </w:r>
      <w:r>
        <w:t>równego dostępu do służby publicznej i mieściło się w zakresie prawa do</w:t>
      </w:r>
      <w:r w:rsidR="00C21FB2">
        <w:t> </w:t>
      </w:r>
      <w:r>
        <w:t>sądu, podczas gdy powyższe nie dotyczyło postępowania prowadzonego przez Prezydenta Rzeczypospolitej (który dysponował arbitralną kompetencją decyzyjną).</w:t>
      </w:r>
    </w:p>
    <w:p w14:paraId="52BFF870" w14:textId="3252E9B1"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112</w:t>
      </w:r>
      <w:r w:rsidRPr="00710DEE">
        <w:fldChar w:fldCharType="end"/>
      </w:r>
      <w:r>
        <w:t>.</w:t>
      </w:r>
      <w:r w:rsidR="00BF573B">
        <w:t xml:space="preserve"> </w:t>
      </w:r>
      <w:r>
        <w:t>Zdaniem skarżących z powyższych okoliczności jasno wynikało, że</w:t>
      </w:r>
      <w:r w:rsidR="00C21FB2">
        <w:t> </w:t>
      </w:r>
      <w:r>
        <w:t>– w oparciu o co najmniej dające się uzasadnić przesłanki – przysługiwało im rzeczywiście uznane w prawie krajowym prawo równego dostępu do</w:t>
      </w:r>
      <w:r w:rsidR="00C21FB2">
        <w:t> </w:t>
      </w:r>
      <w:r>
        <w:t>służby publicznej w postaci prawa do zgodnej z przepisami, rzetelnej i</w:t>
      </w:r>
      <w:r w:rsidR="00C21FB2">
        <w:t> </w:t>
      </w:r>
      <w:r>
        <w:t>niearbitralnej procedury powoływania sędziów oraz że w konsekwencji – na podstawie art. 45 ust. 1 i art. 77 ust. 2 Konstytucji – powinien im</w:t>
      </w:r>
      <w:r w:rsidR="00C21FB2">
        <w:t> </w:t>
      </w:r>
      <w:r>
        <w:t>przysługiwać dostęp do sądu w celu zabezpieczenia tego prawa.</w:t>
      </w:r>
    </w:p>
    <w:p w14:paraId="29AABF40" w14:textId="5E4E43D0"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113</w:t>
      </w:r>
      <w:r w:rsidRPr="00710DEE">
        <w:fldChar w:fldCharType="end"/>
      </w:r>
      <w:r>
        <w:t>.</w:t>
      </w:r>
      <w:r w:rsidR="00BF573B">
        <w:t xml:space="preserve"> </w:t>
      </w:r>
      <w:r>
        <w:t xml:space="preserve">Skarżący wskazali, że argument </w:t>
      </w:r>
      <w:r w:rsidR="00014AF6">
        <w:t>r</w:t>
      </w:r>
      <w:r>
        <w:t xml:space="preserve">ządu, jakoby sędziowie byli wyłączeni z ochrony art. 6 Konwencji, był wyraźnie sprzeczny z zasadami określonymi przez Trybunał w jego orzecznictwie, zgodnie z którymi różne rodzaje sporów dotyczących kariery sędziów istotnie mieściły się w zakresie tego postanowienia Konwencji. Powołując się na wyrok w sprawie </w:t>
      </w:r>
      <w:bookmarkStart w:id="69" w:name="_cl40504THELAW"/>
      <w:proofErr w:type="spellStart"/>
      <w:r>
        <w:rPr>
          <w:i/>
          <w:iCs/>
        </w:rPr>
        <w:t>Bilgen</w:t>
      </w:r>
      <w:proofErr w:type="spellEnd"/>
      <w:r>
        <w:rPr>
          <w:i/>
          <w:iCs/>
        </w:rPr>
        <w:t xml:space="preserve"> przeciwko Turcji</w:t>
      </w:r>
      <w:bookmarkEnd w:id="69"/>
      <w:r>
        <w:t xml:space="preserve"> (skarga nr 1571/07, 9 marca 2021 r.), wskazali, że Trybunał orzekł, iż skarżący nie mogą być wyłączeni z ochrony art. 6 wyłącznie ze</w:t>
      </w:r>
      <w:r w:rsidR="00C21FB2">
        <w:t> </w:t>
      </w:r>
      <w:r>
        <w:t>względu na ich status sędziów. Podkreślili, że zasady, na podstawie której prawo do sądu nie przysługiwało w sporze dotyczącym statusu sędziów z</w:t>
      </w:r>
      <w:r w:rsidR="00C21FB2">
        <w:t> </w:t>
      </w:r>
      <w:r>
        <w:t>uwagi na publicznoprawny charakter danego sporu, nie można wywieść ani z Konstytucji, ani tym bardziej z Konwencji.</w:t>
      </w:r>
    </w:p>
    <w:p w14:paraId="1677B692" w14:textId="5479794D" w:rsidR="00E44928" w:rsidRPr="00710DEE" w:rsidRDefault="00710DEE" w:rsidP="00710DEE">
      <w:pPr>
        <w:pStyle w:val="JuPara"/>
      </w:pPr>
      <w:r w:rsidRPr="00710DEE">
        <w:lastRenderedPageBreak/>
        <w:fldChar w:fldCharType="begin"/>
      </w:r>
      <w:r>
        <w:instrText xml:space="preserve"> SEQ level0 \*arabic \* MERGEFORMAT </w:instrText>
      </w:r>
      <w:r w:rsidRPr="00710DEE">
        <w:fldChar w:fldCharType="separate"/>
      </w:r>
      <w:r w:rsidR="001A420B">
        <w:rPr>
          <w:noProof/>
        </w:rPr>
        <w:t>114</w:t>
      </w:r>
      <w:r w:rsidRPr="00710DEE">
        <w:fldChar w:fldCharType="end"/>
      </w:r>
      <w:r>
        <w:t>.</w:t>
      </w:r>
      <w:r w:rsidR="00BF573B">
        <w:t xml:space="preserve"> </w:t>
      </w:r>
      <w:r>
        <w:t xml:space="preserve">Powołując się na orzecznictwo Trybunału, skarżący argumentowali, że spory dotyczące równego dostępu do służby publicznej oraz spory dotyczące kariery sędziów co do zasady mieszczą się w „cywilnym” aspekcie art. 6, mimo że Konwencja nie gwarantuje prawa do powołania lub awansu jako takiego. Utrzymywali, że </w:t>
      </w:r>
      <w:r w:rsidR="00014AF6">
        <w:t>r</w:t>
      </w:r>
      <w:r>
        <w:t xml:space="preserve">ząd nie wykazał, by w niniejszej sprawie spełnione zostały warunki łączne testu z wyroku </w:t>
      </w:r>
      <w:proofErr w:type="spellStart"/>
      <w:r>
        <w:rPr>
          <w:i/>
          <w:iCs/>
        </w:rPr>
        <w:t>Vilho</w:t>
      </w:r>
      <w:proofErr w:type="spellEnd"/>
      <w:r>
        <w:rPr>
          <w:i/>
          <w:iCs/>
        </w:rPr>
        <w:t xml:space="preserve"> </w:t>
      </w:r>
      <w:proofErr w:type="spellStart"/>
      <w:r>
        <w:rPr>
          <w:i/>
          <w:iCs/>
        </w:rPr>
        <w:t>Eskelinen</w:t>
      </w:r>
      <w:proofErr w:type="spellEnd"/>
      <w:r>
        <w:t>.</w:t>
      </w:r>
    </w:p>
    <w:bookmarkStart w:id="70" w:name="paragraph00112"/>
    <w:p w14:paraId="09A3BAFC" w14:textId="5D9F5081"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115</w:t>
      </w:r>
      <w:r w:rsidRPr="00710DEE">
        <w:fldChar w:fldCharType="end"/>
      </w:r>
      <w:bookmarkEnd w:id="70"/>
      <w:r>
        <w:t>.</w:t>
      </w:r>
      <w:r w:rsidR="00BF573B">
        <w:t xml:space="preserve"> </w:t>
      </w:r>
      <w:r>
        <w:t xml:space="preserve">W odniesieniu do pierwszego warunku testu z wyroku </w:t>
      </w:r>
      <w:proofErr w:type="spellStart"/>
      <w:r>
        <w:rPr>
          <w:i/>
          <w:iCs/>
        </w:rPr>
        <w:t>Eskelinen</w:t>
      </w:r>
      <w:proofErr w:type="spellEnd"/>
      <w:r>
        <w:t xml:space="preserve"> skarżący stwierdzili, że nie dziwi ich, iż </w:t>
      </w:r>
      <w:r w:rsidR="00014AF6">
        <w:t>r</w:t>
      </w:r>
      <w:r>
        <w:t>ząd nie przytoczył żadnego przepisu prawa krajowego, który wyraźnie wyłączałby prawo do sądu wobec tych kandydatów na urząd sędziego, których kandydatury zostały odrzucone przez Prezydenta Rzeczypospolitej; taki przepis bowiem nie istniał. Argumentowali, że braku wyraźnego przepisu prawa krajowego, na</w:t>
      </w:r>
      <w:r w:rsidR="00C21FB2">
        <w:t> </w:t>
      </w:r>
      <w:r>
        <w:t xml:space="preserve">podstawie którego istniałby dostęp do sądu w takich sprawach, nie należy rozumieć jako odmowy tego prawa. Podnieśli, że – inaczej niż w sprawie </w:t>
      </w:r>
      <w:proofErr w:type="spellStart"/>
      <w:r>
        <w:rPr>
          <w:i/>
          <w:iCs/>
        </w:rPr>
        <w:t>Bilgen</w:t>
      </w:r>
      <w:proofErr w:type="spellEnd"/>
      <w:r>
        <w:t xml:space="preserve"> (cyt. powyżej), w której Trybunał stwierdził, że wyłączenie prawa dostępu do sądu zostało wyraźnie zapisane w konstytucji – w niniejszej sprawie nie tylko nie istniało takie wyłączenie, ale, przeciwnie, sama Konstytucja wyraźnie przewidywała prawo do sądu dla wszystkich, których konstytucyjnie gwarantowane prawa zostały naruszone, i zakazywała ustawodawcy zamykania im drogi w tym zakresie.</w:t>
      </w:r>
    </w:p>
    <w:p w14:paraId="69491502" w14:textId="43E05122"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116</w:t>
      </w:r>
      <w:r w:rsidRPr="00710DEE">
        <w:fldChar w:fldCharType="end"/>
      </w:r>
      <w:r>
        <w:t>.</w:t>
      </w:r>
      <w:r w:rsidR="00BF573B">
        <w:t xml:space="preserve"> </w:t>
      </w:r>
      <w:r>
        <w:t xml:space="preserve">Co do drugiego warunku skarżący podnieśli, że nawet jeżeli pewne ograniczenia dostępu do sądu w sporach dotyczących kompetencji prezydenckich byłyby do pomyślenia, Państwo nie powołało się na żadne obiektywne podstawy związane z interesami Państwa, które uzasadniałyby wyłączenie spod ochrony art. 6 sporów dotyczących powołań sędziowskich. Argumentowali, że ze względu na szczególną rolę sędziów żaden „szczególny stosunek zaufania” między sędziami a Państwem nie mógł uzasadniać pozbawienia ich dostępu do sądu w sprawach bezpośrednio dotyczących ich statusu i szerzej niezależności sądownictwa, jak Trybunał orzekł już w sprawie </w:t>
      </w:r>
      <w:proofErr w:type="spellStart"/>
      <w:r>
        <w:rPr>
          <w:i/>
          <w:iCs/>
        </w:rPr>
        <w:t>Bilgen</w:t>
      </w:r>
      <w:proofErr w:type="spellEnd"/>
      <w:r>
        <w:t>.</w:t>
      </w:r>
    </w:p>
    <w:p w14:paraId="33B7E829" w14:textId="25ACE19A"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117</w:t>
      </w:r>
      <w:r w:rsidRPr="00710DEE">
        <w:fldChar w:fldCharType="end"/>
      </w:r>
      <w:r>
        <w:t>.</w:t>
      </w:r>
      <w:r w:rsidR="00BF573B">
        <w:t xml:space="preserve"> </w:t>
      </w:r>
      <w:r>
        <w:t>Skarżący podnieśli ponadto, że prezydencka kompetencja do</w:t>
      </w:r>
      <w:r w:rsidR="00C21FB2">
        <w:t> </w:t>
      </w:r>
      <w:r>
        <w:t>powoływania sędziów różniła się jakościowo od innych prerogatyw (takich jak nadawanie orderów i odznaczeń, zarządzanie wyborów czy korzystanie z weta ustawodawczego), ponieważ bezpośrednio dotykała konstytucyjnych praw podmiotowych – w szczególności równego dostępu do</w:t>
      </w:r>
      <w:r w:rsidR="00C21FB2">
        <w:t> </w:t>
      </w:r>
      <w:r>
        <w:t>służby publicznej oraz prawa do sądu – i bezpośrednio wpływała na</w:t>
      </w:r>
      <w:r w:rsidR="00C21FB2">
        <w:t> </w:t>
      </w:r>
      <w:r>
        <w:t>niezależność i bezstronność sądownictwa. Utrzymywali, że jakakolwiek kontrola sądowa takich postanowień Prezydenta ograniczałaby się do</w:t>
      </w:r>
      <w:r w:rsidR="00C21FB2">
        <w:t> </w:t>
      </w:r>
      <w:r>
        <w:t>legalności i poszanowania granic konstytucyjnych – a nie do zastępowania uznania prezydenckiego uznaniem sędziowskim – i w związku z tym nie zaburzałaby podziału władz, lecz przeciwnie, chroniłaby praworządność. Na</w:t>
      </w:r>
      <w:r w:rsidR="00C21FB2">
        <w:t> </w:t>
      </w:r>
      <w:r>
        <w:t>poparcie swojego argumentu skarżący powołali się na ustalenia zawarte w wyroku Naczelnego Sądu Administracyjnego z dnia 29 lutego 2012 r. (w</w:t>
      </w:r>
      <w:r w:rsidR="00C21FB2">
        <w:t> </w:t>
      </w:r>
      <w:r>
        <w:t xml:space="preserve">sprawie o sygn. akt I OSK 2196/11), że „żaden organ władzy publicznej </w:t>
      </w:r>
      <w:r>
        <w:lastRenderedPageBreak/>
        <w:t>w państwie prawa nie może bowiem stać ponad tym prawem i poza władzą zwierzchnią Narodu, nawet jeśli jego legitymacja do sprawowania władzy jest bardzo silna, bo został wybrany na urząd w powszechnych, równych i</w:t>
      </w:r>
      <w:r w:rsidR="00C21FB2">
        <w:t> </w:t>
      </w:r>
      <w:r>
        <w:t>bezpośrednich wyborach”. Naczelny Sąd Administracyjny orzekł również w tym wyroku, że „</w:t>
      </w:r>
      <w:proofErr w:type="spellStart"/>
      <w:r>
        <w:t>wpaństwie</w:t>
      </w:r>
      <w:proofErr w:type="spellEnd"/>
      <w:r>
        <w:t xml:space="preserve"> prawa proces podejmowania decyzji, również dyskrecjonalnych, w pewnym zakresie powinien być transparentny, a organy władzy nie ulegając bieżącym naciskom opinii publicznej winny równocześnie liczyć się z koniecznością racjonalnego uzasadniania podejmowanych decyzji”.</w:t>
      </w:r>
    </w:p>
    <w:p w14:paraId="31523F18" w14:textId="7457A9A8"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118</w:t>
      </w:r>
      <w:r w:rsidRPr="00710DEE">
        <w:fldChar w:fldCharType="end"/>
      </w:r>
      <w:r>
        <w:t>.</w:t>
      </w:r>
      <w:r w:rsidR="00BF573B">
        <w:t xml:space="preserve"> </w:t>
      </w:r>
      <w:r>
        <w:t>Skarżący podnieśli, że wyłączenie możliwości kontroli sądowej postanowień prezydenckich w sprawie powoływania sędziów było szkodliwe dla społecznego postrzegania wymiaru sprawiedliwości. W tym względzie podkreślili, że sytuacja, w której głowa państwa może wedle uznania odrzucić kandydata na stanowisko sędziowskie (w tym w sądzie wyższej instancji i nawet z powodów czysto politycznych), może podważać zaufanie obywateli do niezależności i bezstronności sądownictwa.</w:t>
      </w:r>
    </w:p>
    <w:p w14:paraId="3B4B3929" w14:textId="621494A1"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119</w:t>
      </w:r>
      <w:r w:rsidRPr="00710DEE">
        <w:fldChar w:fldCharType="end"/>
      </w:r>
      <w:r>
        <w:t>.</w:t>
      </w:r>
      <w:r w:rsidR="00BF573B">
        <w:t xml:space="preserve"> </w:t>
      </w:r>
      <w:r>
        <w:t>Podsumowując, skarżący argumentowali, że nie było żadnego uzasadnienia dla pozbawienia ich prawa do sądu oraz że art. 6 miał zastosowanie do rozpoznawanej sprawy.</w:t>
      </w:r>
    </w:p>
    <w:p w14:paraId="4FDCB1A3" w14:textId="77777777" w:rsidR="00E44928" w:rsidRPr="00710DEE" w:rsidRDefault="009F6771" w:rsidP="00710DEE">
      <w:pPr>
        <w:pStyle w:val="JuHi"/>
      </w:pPr>
      <w:r>
        <w:t>Interweniujące strony trzecie</w:t>
      </w:r>
    </w:p>
    <w:p w14:paraId="60978897" w14:textId="77777777" w:rsidR="00E44928" w:rsidRPr="00710DEE" w:rsidRDefault="009F6771" w:rsidP="00710DEE">
      <w:pPr>
        <w:pStyle w:val="JuHalpha"/>
      </w:pPr>
      <w:r>
        <w:t>Rzecznik Praw Obywatelskich Rzeczypospolitej Polskiej</w:t>
      </w:r>
    </w:p>
    <w:p w14:paraId="305FE28C" w14:textId="4A96D568"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120</w:t>
      </w:r>
      <w:r w:rsidRPr="00710DEE">
        <w:fldChar w:fldCharType="end"/>
      </w:r>
      <w:r>
        <w:t>.</w:t>
      </w:r>
      <w:r w:rsidR="00BF573B">
        <w:t xml:space="preserve"> </w:t>
      </w:r>
      <w:r>
        <w:t>Rzecznik Praw Obywatelskich Rzeczypospolitej Polskiej podniósł, że z właściwego orzecznictwa krajowego jasno wynika, iż uprawnienie Prezydenta Rzeczypospolitej do odmowy powołania sędziów było ograniczone oraz iż postanowienia Prezydenta w tym zakresie nie podlegały kontroli sądów administracyjnych. Nie oznaczało to jednak, że decyzje prezydenckie w tym zakresie były wyłączone spod jakiejkolwiek kontroli. W</w:t>
      </w:r>
      <w:r w:rsidR="00C21FB2">
        <w:t> </w:t>
      </w:r>
      <w:r>
        <w:t>związku z tym również Prezydent Rzeczypospolitej był zobowiązany do</w:t>
      </w:r>
      <w:r w:rsidR="00C21FB2">
        <w:t> </w:t>
      </w:r>
      <w:r>
        <w:t>uzasadnienia każdej podjętej przez siebie decyzji o odmowie powołania kandydata na stanowisko sędziowskie. W ocenie Rzecznika brak możliwości zaskarżenia przez zainteresowanego kandydata postanowienia Prezydenta o</w:t>
      </w:r>
      <w:r w:rsidR="00C21FB2">
        <w:t> </w:t>
      </w:r>
      <w:r>
        <w:t>odmowie jego powołania czynił iluzorycznym obowiązek, jaki ciążył na</w:t>
      </w:r>
      <w:r w:rsidR="00C21FB2">
        <w:t> </w:t>
      </w:r>
      <w:r>
        <w:t>Prezydencie, aby podać takie uzasadnienie.</w:t>
      </w:r>
    </w:p>
    <w:p w14:paraId="6982D898" w14:textId="56DD11B1" w:rsidR="00E44928" w:rsidRPr="00710DEE" w:rsidRDefault="001A420B" w:rsidP="00710DEE">
      <w:pPr>
        <w:pStyle w:val="JuPara"/>
      </w:pPr>
      <w:fldSimple w:instr=" SEQ level0 \*arabic \* MERGEFORMAT ">
        <w:r>
          <w:rPr>
            <w:noProof/>
          </w:rPr>
          <w:t>121</w:t>
        </w:r>
      </w:fldSimple>
      <w:r w:rsidR="009F6771">
        <w:t>.</w:t>
      </w:r>
      <w:r w:rsidR="00BF573B">
        <w:t xml:space="preserve"> </w:t>
      </w:r>
      <w:r w:rsidR="009F6771">
        <w:t>Interwenient podniósł, że prawo polskie przewidywało dwuetapową procedurę wyłaniania kandydatów na stanowisko sędziego. Zważywszy, że</w:t>
      </w:r>
      <w:r w:rsidR="00C21FB2">
        <w:t> </w:t>
      </w:r>
      <w:r w:rsidR="009F6771">
        <w:t>procedura ta miała być obiektywna i rzetelna oraz służyć wyłonieniu najlepszych możliwych kandydatów, okoliczność, że jedynie pierwszy etap procedury</w:t>
      </w:r>
      <w:r w:rsidR="00557145">
        <w:t xml:space="preserve"> </w:t>
      </w:r>
      <w:r w:rsidR="009F6771">
        <w:t>przed KRS był szczegółowo uregulowany ustawą, nie pozwalała na wywnioskowanie, iż Prezydent dysponował pełną swobodą uznania. Wręcz przeciwnie, brak szczególnych uregulowań dotyczących procedury naboru na etapie, w którym wnioski KRS znajdowały się u Prezydenta, oznaczał, że Prezydent nie dysponował żadnym uznaniem.</w:t>
      </w:r>
    </w:p>
    <w:p w14:paraId="5BBC20D9" w14:textId="79FC9AED" w:rsidR="00E44928" w:rsidRPr="00710DEE" w:rsidRDefault="001A420B" w:rsidP="00710DEE">
      <w:pPr>
        <w:pStyle w:val="JuPara"/>
      </w:pPr>
      <w:fldSimple w:instr=" SEQ level0 \*arabic \* MERGEFORMAT ">
        <w:r>
          <w:rPr>
            <w:noProof/>
          </w:rPr>
          <w:t>122</w:t>
        </w:r>
      </w:fldSimple>
      <w:r w:rsidR="009F6771">
        <w:t>.</w:t>
      </w:r>
      <w:r w:rsidR="00BF573B">
        <w:t xml:space="preserve"> </w:t>
      </w:r>
      <w:r w:rsidR="009F6771">
        <w:t>Interwenient w dalszej kolejności stwierdził, że w ramach procedury przewidzianej na potrzeby powoływania kandydatów na stanowisko sędziego zainteresowanym kandydatom nie przysługiwała skuteczna ochrona sądowa z uwagi na brak możliwości zaskarżenia postanowienia Prezydenta.</w:t>
      </w:r>
    </w:p>
    <w:p w14:paraId="5B4518AB" w14:textId="6AD06EF4" w:rsidR="00E44928" w:rsidRPr="00710DEE" w:rsidRDefault="001A420B" w:rsidP="00710DEE">
      <w:pPr>
        <w:pStyle w:val="JuPara"/>
      </w:pPr>
      <w:fldSimple w:instr=" SEQ level0 \*arabic \* MERGEFORMAT ">
        <w:r>
          <w:rPr>
            <w:noProof/>
          </w:rPr>
          <w:t>123</w:t>
        </w:r>
      </w:fldSimple>
      <w:r w:rsidR="009F6771">
        <w:t>.</w:t>
      </w:r>
      <w:r w:rsidR="00BF573B">
        <w:t xml:space="preserve"> </w:t>
      </w:r>
      <w:r w:rsidR="009F6771">
        <w:t>Interwenient argumentował ponadto, że procedura powoływania kandydata na stanowisko sędziego była objęta gwarancjami prawa dostępu do sądu. Nie ulegało wątpliwości, że odmowa powołania przez Prezydenta kandydata na stanowisko sędziego przedstawionego przez KRS miała istotny wpływ na prawa o charakterze cywilnym kandydata w rozumieniu art. 6 Konwencji.</w:t>
      </w:r>
    </w:p>
    <w:p w14:paraId="04D05149" w14:textId="593D8664" w:rsidR="00E44928" w:rsidRPr="00710DEE" w:rsidRDefault="001A420B" w:rsidP="00710DEE">
      <w:pPr>
        <w:pStyle w:val="JuPara"/>
      </w:pPr>
      <w:fldSimple w:instr=" SEQ level0 \*arabic \* MERGEFORMAT ">
        <w:r>
          <w:rPr>
            <w:noProof/>
          </w:rPr>
          <w:t>124</w:t>
        </w:r>
      </w:fldSimple>
      <w:r w:rsidR="009F6771">
        <w:t>.</w:t>
      </w:r>
      <w:r w:rsidR="00BF573B">
        <w:t xml:space="preserve"> </w:t>
      </w:r>
      <w:r w:rsidR="009F6771">
        <w:t xml:space="preserve">Przytaczając sprawę </w:t>
      </w:r>
      <w:proofErr w:type="spellStart"/>
      <w:r w:rsidR="009F6771">
        <w:rPr>
          <w:i/>
          <w:iCs/>
        </w:rPr>
        <w:t>Guðmundur</w:t>
      </w:r>
      <w:proofErr w:type="spellEnd"/>
      <w:r w:rsidR="009F6771">
        <w:rPr>
          <w:i/>
          <w:iCs/>
        </w:rPr>
        <w:t xml:space="preserve"> </w:t>
      </w:r>
      <w:proofErr w:type="spellStart"/>
      <w:r w:rsidR="009F6771">
        <w:rPr>
          <w:i/>
          <w:iCs/>
        </w:rPr>
        <w:t>Andri</w:t>
      </w:r>
      <w:proofErr w:type="spellEnd"/>
      <w:r w:rsidR="009F6771">
        <w:rPr>
          <w:i/>
          <w:iCs/>
        </w:rPr>
        <w:t xml:space="preserve"> </w:t>
      </w:r>
      <w:proofErr w:type="spellStart"/>
      <w:r w:rsidR="009F6771">
        <w:rPr>
          <w:i/>
          <w:iCs/>
        </w:rPr>
        <w:t>Ástráðsson</w:t>
      </w:r>
      <w:proofErr w:type="spellEnd"/>
      <w:r w:rsidR="009F6771">
        <w:t xml:space="preserve"> (cyt. powyżej), interwenient stwierdził, że w Konwencji ustanowiono zasadę ochrony sądowej w razie rażącego naruszenia przepisów krajowych regulujących procedurę powoływania kandydatów na stanowisko sędziego, która to zasada ma na celu zapewnienie, by sądy były niezależne, bezstronne i ustanowione ustawą. W ocenie interwenienta z zasad ustanowionych w tym zakresie przez TSUE i tutejszy Trybunał wynikało, że ustrój sądów w państwie demokratycznym nie może być pozostawiony całkowicie uznaniu przedstawicieli władzy wykonawczej.</w:t>
      </w:r>
    </w:p>
    <w:p w14:paraId="46CB05FB" w14:textId="77777777" w:rsidR="00E44928" w:rsidRPr="00710DEE" w:rsidRDefault="009F6771" w:rsidP="00710DEE">
      <w:pPr>
        <w:pStyle w:val="JuHalpha"/>
      </w:pPr>
      <w:r>
        <w:t>Stowarzyszenie Sędziów Polskich „</w:t>
      </w:r>
      <w:proofErr w:type="spellStart"/>
      <w:r>
        <w:t>Iustitia</w:t>
      </w:r>
      <w:proofErr w:type="spellEnd"/>
      <w:r>
        <w:t>”</w:t>
      </w:r>
    </w:p>
    <w:p w14:paraId="75B14B51" w14:textId="28599EFE" w:rsidR="00E44928" w:rsidRPr="00710DEE" w:rsidRDefault="001A420B" w:rsidP="00710DEE">
      <w:pPr>
        <w:pStyle w:val="JuPara"/>
      </w:pPr>
      <w:fldSimple w:instr=" SEQ level0 \*arabic \* MERGEFORMAT ">
        <w:r>
          <w:rPr>
            <w:noProof/>
          </w:rPr>
          <w:t>125</w:t>
        </w:r>
      </w:fldSimple>
      <w:r w:rsidR="009F6771">
        <w:t>.</w:t>
      </w:r>
      <w:r w:rsidR="00BF573B">
        <w:t xml:space="preserve"> </w:t>
      </w:r>
      <w:r w:rsidR="009F6771">
        <w:t>Stowarzyszenie Sędziów Polskich „</w:t>
      </w:r>
      <w:proofErr w:type="spellStart"/>
      <w:r w:rsidR="009F6771">
        <w:t>Iustitia</w:t>
      </w:r>
      <w:proofErr w:type="spellEnd"/>
      <w:r w:rsidR="009F6771">
        <w:t>” („Stowarzyszenie”) podniosło, że rozpoznawane sprawy dotyczyły nie tylko indywidualnych sytuacji skarżących, ale również zagadnień najwyższej wagi związanych z</w:t>
      </w:r>
      <w:r w:rsidR="00C21FB2">
        <w:t> </w:t>
      </w:r>
      <w:r w:rsidR="009F6771">
        <w:t>niezależnością przedstawicieli władzy sądowniczej od władzy wykonawczej i polityków. Co więcej, Stowarzyszenie twierdziło, że</w:t>
      </w:r>
      <w:r w:rsidR="00C21FB2">
        <w:t> </w:t>
      </w:r>
      <w:r w:rsidR="009F6771">
        <w:t>postanowienie o odmowie powołania sędziów na wyższe stanowiska stworzyło niebezpieczny precedens, czyniąc sądownictwo jeszcze bardziej zależnym od władzy wykonawczej i naruszając tym samym zasady podziału władz oraz wzajemnej kontroli i równoważenia się władz.</w:t>
      </w:r>
    </w:p>
    <w:p w14:paraId="2DA35A2A" w14:textId="113548FF" w:rsidR="00E44928" w:rsidRPr="00710DEE" w:rsidRDefault="001A420B" w:rsidP="00710DEE">
      <w:pPr>
        <w:pStyle w:val="JuPara"/>
      </w:pPr>
      <w:fldSimple w:instr=" SEQ level0 \*arabic \* MERGEFORMAT ">
        <w:r>
          <w:rPr>
            <w:noProof/>
          </w:rPr>
          <w:t>126</w:t>
        </w:r>
      </w:fldSimple>
      <w:r w:rsidR="009F6771">
        <w:t>.</w:t>
      </w:r>
      <w:r w:rsidR="00BF573B">
        <w:t xml:space="preserve"> </w:t>
      </w:r>
      <w:r w:rsidR="009F6771">
        <w:t>Stowarzyszenie argumentowało ponadto, że przepisy regulujące procedurę wyłaniania i powoływania kandydatów na stanowisko sędziego jednoznacznie wskazywały na to, iż Prezydent Rzeczypospolitej nie dysponował prerogatywą oceny kandydatów poza uprawnieniem do</w:t>
      </w:r>
      <w:r w:rsidR="00C21FB2">
        <w:t> </w:t>
      </w:r>
      <w:r w:rsidR="009F6771">
        <w:t>powołania przedstawiciela zasiadającego w KRS i uczestniczenia w ten sposób w procesie wyłaniania kandydatów.</w:t>
      </w:r>
    </w:p>
    <w:p w14:paraId="6EC6BAEC" w14:textId="443E267E" w:rsidR="00E44928" w:rsidRPr="00710DEE" w:rsidRDefault="001A420B" w:rsidP="00710DEE">
      <w:pPr>
        <w:pStyle w:val="JuPara"/>
      </w:pPr>
      <w:fldSimple w:instr=" SEQ level0 \*arabic \* MERGEFORMAT ">
        <w:r>
          <w:rPr>
            <w:noProof/>
          </w:rPr>
          <w:t>127</w:t>
        </w:r>
      </w:fldSimple>
      <w:r w:rsidR="009F6771">
        <w:t>.</w:t>
      </w:r>
      <w:r w:rsidR="00BF573B">
        <w:t xml:space="preserve"> </w:t>
      </w:r>
      <w:r w:rsidR="009F6771">
        <w:t>Interweniujące stowarzyszenie podniosło, że możliwe było uznanie Prezydenta Rzeczypospolitej za organ wykonujący zadania z zakresu administracji publicznej oraz uznanie za decyzje administracyjne jego postanowień o odmowie powołania skarżących na wakujące stanowiska sędziowskie. Postanowienia takie wywoływały taki sam skutek jak każda decyzja administracyjna i w związku z tym powinny były zostać wydane w</w:t>
      </w:r>
      <w:r w:rsidR="00C21FB2">
        <w:t> </w:t>
      </w:r>
      <w:r w:rsidR="009F6771">
        <w:t xml:space="preserve">sposób zgodny z właściwymi procedurami administracyjnymi. </w:t>
      </w:r>
      <w:r w:rsidR="009F6771">
        <w:lastRenderedPageBreak/>
        <w:t>W</w:t>
      </w:r>
      <w:r w:rsidR="00C21FB2">
        <w:t> </w:t>
      </w:r>
      <w:r w:rsidR="009F6771">
        <w:t>konsekwencji wyżej wymienione postanowienia powinny były być uzasadnione i poddane kontroli.</w:t>
      </w:r>
    </w:p>
    <w:p w14:paraId="58FDDC61" w14:textId="1F579108" w:rsidR="00E44928" w:rsidRPr="00710DEE" w:rsidRDefault="001A420B" w:rsidP="00710DEE">
      <w:pPr>
        <w:pStyle w:val="JuPara"/>
      </w:pPr>
      <w:fldSimple w:instr=" SEQ level0 \*arabic \* MERGEFORMAT ">
        <w:r>
          <w:rPr>
            <w:noProof/>
          </w:rPr>
          <w:t>128</w:t>
        </w:r>
      </w:fldSimple>
      <w:r w:rsidR="009F6771">
        <w:t>.</w:t>
      </w:r>
      <w:r w:rsidR="00BF573B">
        <w:t xml:space="preserve"> </w:t>
      </w:r>
      <w:r w:rsidR="009F6771">
        <w:t>Stowarzyszenie wskazało, że nie tylko prawo dostępu do sądu nie zostało wyłączone dla sędziów, ale również</w:t>
      </w:r>
      <w:r w:rsidR="00557538">
        <w:t>,</w:t>
      </w:r>
      <w:r w:rsidR="009F6771">
        <w:t xml:space="preserve"> że okoliczność, iż sędziowie są</w:t>
      </w:r>
      <w:r w:rsidR="00C21FB2">
        <w:t> </w:t>
      </w:r>
      <w:r w:rsidR="009F6771">
        <w:t>przedstawicielami władzy sądowniczej (i niezależni od pozostałych władz), stanowiła dodatkowy argument na rzecz takiego dostępu. Dokonując oceny uzasadnienia przedstawionego przez państwo na poparcie wyłączenia dostępu sędziów do sądu w odniesieniu do zagadnień związanych z ich karierą zawodową i nieusuwalności z urzędu, należałoby rozważyć interes publiczny tkwiący w utrzymaniu roli, niezależności i integralności władzy sądowniczej w demokratycznym państwie funkcjonującym pod rządami prawa. Chociaż dany sędzia może być bezpośrednim beneficjentem pełnej ochrony praw przysługujących mu z tytułu art. 6, ochrona ta ostatecznie przysługuje wszystkim osobom uprawnionym do „niezawisłego i</w:t>
      </w:r>
      <w:r w:rsidR="00C21FB2">
        <w:t> </w:t>
      </w:r>
      <w:r w:rsidR="009F6771">
        <w:t>bezstronnego sądu”. Przejrzystość powoływania sędziów oraz zgodność z</w:t>
      </w:r>
      <w:r w:rsidR="00C21FB2">
        <w:t> </w:t>
      </w:r>
      <w:r w:rsidR="009F6771">
        <w:t>prawem – w szczególności z aktami dotyczącymi praw człowieka – miały kluczowe znaczenie dla zapobieżenia nienależytemu wpływowi władzy wykonawczej i ustawodawczej na niezawisłość sędziów.</w:t>
      </w:r>
    </w:p>
    <w:p w14:paraId="1DFC5DC4" w14:textId="77777777" w:rsidR="00E44928" w:rsidRPr="00710DEE" w:rsidRDefault="009F6771" w:rsidP="00710DEE">
      <w:pPr>
        <w:pStyle w:val="JuHa0"/>
      </w:pPr>
      <w:r>
        <w:t>Ocena Trybunału</w:t>
      </w:r>
    </w:p>
    <w:p w14:paraId="75A5EA96" w14:textId="77777777" w:rsidR="00E44928" w:rsidRPr="00710DEE" w:rsidRDefault="009F6771" w:rsidP="00710DEE">
      <w:pPr>
        <w:pStyle w:val="JuHi"/>
      </w:pPr>
      <w:r>
        <w:t>Zasady ogólne</w:t>
      </w:r>
    </w:p>
    <w:bookmarkStart w:id="71" w:name="paragraph00126"/>
    <w:p w14:paraId="79257A25" w14:textId="7D63B0E6"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129</w:t>
      </w:r>
      <w:r w:rsidRPr="00710DEE">
        <w:fldChar w:fldCharType="end"/>
      </w:r>
      <w:bookmarkEnd w:id="71"/>
      <w:r>
        <w:t>.</w:t>
      </w:r>
      <w:r w:rsidR="00BF573B">
        <w:t xml:space="preserve"> </w:t>
      </w:r>
      <w:r>
        <w:t>Odpowiednie zasady ogólne dotyczące możliwości stosowania art. 6 Konwencji w kontekście sporów dotyczących powoływania, kariery zawodowej i odwoływania sędziów zostały podsumowane przez Trybunał w</w:t>
      </w:r>
      <w:r w:rsidR="00C21FB2">
        <w:t> </w:t>
      </w:r>
      <w:r>
        <w:t xml:space="preserve">wyrokach w sprawach </w:t>
      </w:r>
      <w:r>
        <w:rPr>
          <w:i/>
          <w:iCs/>
        </w:rPr>
        <w:t>Baka</w:t>
      </w:r>
      <w:r>
        <w:t xml:space="preserve"> (cyt. powyżej, §§ 100–106) oraz – ostatnio, również w kontekście polskim – w sprawie </w:t>
      </w:r>
      <w:r>
        <w:rPr>
          <w:i/>
          <w:iCs/>
        </w:rPr>
        <w:t>Grzęda przeciwko Polsce</w:t>
      </w:r>
      <w:r>
        <w:t xml:space="preserve"> ([WI], skarga nr 43572/18, §§ 257–264, 15 marca 2022 r.); zob. także </w:t>
      </w:r>
      <w:r>
        <w:rPr>
          <w:i/>
          <w:iCs/>
        </w:rPr>
        <w:t>Dolińska</w:t>
      </w:r>
      <w:r w:rsidR="00C21FB2" w:rsidRPr="00C21FB2">
        <w:rPr>
          <w:rFonts w:ascii="Courier New" w:hAnsi="Courier New" w:cs="Courier New"/>
          <w:sz w:val="20"/>
          <w:szCs w:val="20"/>
        </w:rPr>
        <w:noBreakHyphen/>
      </w:r>
      <w:r>
        <w:rPr>
          <w:i/>
          <w:iCs/>
        </w:rPr>
        <w:t>Ficek i Ozimek przeciwko Polsce</w:t>
      </w:r>
      <w:r>
        <w:t>, skargi nr 49868/19 i 57511/19, §§ 220</w:t>
      </w:r>
      <w:r w:rsidR="00C21FB2" w:rsidRPr="00C21FB2">
        <w:rPr>
          <w:rFonts w:ascii="Courier New" w:hAnsi="Courier New" w:cs="Courier New"/>
          <w:sz w:val="20"/>
          <w:szCs w:val="20"/>
        </w:rPr>
        <w:noBreakHyphen/>
      </w:r>
      <w:r>
        <w:t xml:space="preserve">228, 8 listopada 2021 r.; </w:t>
      </w:r>
      <w:proofErr w:type="spellStart"/>
      <w:r>
        <w:rPr>
          <w:i/>
          <w:iCs/>
        </w:rPr>
        <w:t>Gumenyuk</w:t>
      </w:r>
      <w:proofErr w:type="spellEnd"/>
      <w:r>
        <w:rPr>
          <w:i/>
          <w:iCs/>
        </w:rPr>
        <w:t xml:space="preserve"> i Inni przeciwko Ukrainie</w:t>
      </w:r>
      <w:r>
        <w:t xml:space="preserve">, skarga nr 11423/19, §§ 44–59, 22 lipca 2021 r.; </w:t>
      </w:r>
      <w:proofErr w:type="spellStart"/>
      <w:r>
        <w:rPr>
          <w:i/>
          <w:iCs/>
        </w:rPr>
        <w:t>Eminağaoğlu</w:t>
      </w:r>
      <w:proofErr w:type="spellEnd"/>
      <w:r>
        <w:rPr>
          <w:i/>
          <w:iCs/>
        </w:rPr>
        <w:t xml:space="preserve"> przeciwko Turcji</w:t>
      </w:r>
      <w:r>
        <w:t xml:space="preserve">, skarga nr 76521/12, §§ 59–63, 9 marca 2021 r.; oraz </w:t>
      </w:r>
      <w:proofErr w:type="spellStart"/>
      <w:r>
        <w:rPr>
          <w:i/>
          <w:iCs/>
        </w:rPr>
        <w:t>Bilgen</w:t>
      </w:r>
      <w:proofErr w:type="spellEnd"/>
      <w:r>
        <w:t>, cyt. powyżej, §§</w:t>
      </w:r>
      <w:r w:rsidR="00C21FB2">
        <w:t> </w:t>
      </w:r>
      <w:r>
        <w:t>47–52 i §§ 65–68, 9 marca 2021 r.</w:t>
      </w:r>
    </w:p>
    <w:p w14:paraId="2DCBCECF" w14:textId="77777777" w:rsidR="00E44928" w:rsidRPr="00710DEE" w:rsidRDefault="009F6771" w:rsidP="00710DEE">
      <w:pPr>
        <w:pStyle w:val="JuHi"/>
      </w:pPr>
      <w:r>
        <w:t>Zastosowanie zasad ogólnych w niniejszej sprawie</w:t>
      </w:r>
    </w:p>
    <w:p w14:paraId="7EC9AE4B" w14:textId="654F97BD" w:rsidR="00E44928" w:rsidRPr="00710DEE" w:rsidRDefault="001A420B" w:rsidP="00710DEE">
      <w:pPr>
        <w:pStyle w:val="JuPara"/>
      </w:pPr>
      <w:fldSimple w:instr=" SEQ level0 \*arabic \* MERGEFORMAT ">
        <w:r>
          <w:rPr>
            <w:noProof/>
          </w:rPr>
          <w:t>130</w:t>
        </w:r>
      </w:fldSimple>
      <w:r w:rsidR="009F6771">
        <w:t>.</w:t>
      </w:r>
      <w:r w:rsidR="00BF573B">
        <w:t xml:space="preserve"> </w:t>
      </w:r>
      <w:r w:rsidR="009F6771">
        <w:t>W świetle odpowiednich zasad ogólnych, w celu ustalenia możliwości zastosowania art. 6 w niniejszej sprawie, Trybunał musi zbadać, czy i) istniało prawo; ii) zachodził „rzeczywisty” i „poważny” spór dotycząc</w:t>
      </w:r>
      <w:r w:rsidR="00557538">
        <w:t>y</w:t>
      </w:r>
      <w:r w:rsidR="009F6771">
        <w:t xml:space="preserve"> prawa; oraz iii) czy przedmiotowe prawo miało charakter „cywilny” w</w:t>
      </w:r>
      <w:r w:rsidR="00C21FB2">
        <w:t> </w:t>
      </w:r>
      <w:r w:rsidR="009F6771">
        <w:t xml:space="preserve">rozumieniu tego postanowienia Konwencji (zob. </w:t>
      </w:r>
      <w:bookmarkStart w:id="72" w:name="_cl41506THELAW"/>
      <w:r w:rsidR="009F6771">
        <w:rPr>
          <w:i/>
        </w:rPr>
        <w:t>Grzęda</w:t>
      </w:r>
      <w:bookmarkEnd w:id="72"/>
      <w:r w:rsidR="009F6771">
        <w:t>, cyt. powyżej, §</w:t>
      </w:r>
      <w:r w:rsidR="00C21FB2">
        <w:t> </w:t>
      </w:r>
      <w:r w:rsidR="009F6771">
        <w:t xml:space="preserve">257; </w:t>
      </w:r>
      <w:bookmarkStart w:id="73" w:name="_cl41535THELAW"/>
      <w:proofErr w:type="spellStart"/>
      <w:r w:rsidR="009F6771">
        <w:rPr>
          <w:i/>
        </w:rPr>
        <w:t>Gloveli</w:t>
      </w:r>
      <w:proofErr w:type="spellEnd"/>
      <w:r w:rsidR="009F6771">
        <w:rPr>
          <w:i/>
        </w:rPr>
        <w:t xml:space="preserve"> przeciwko Gruzji</w:t>
      </w:r>
      <w:bookmarkEnd w:id="73"/>
      <w:r w:rsidR="009F6771">
        <w:t xml:space="preserve">, skarga nr 18952/18, § 35, 7 kwietnia 2022 r.; </w:t>
      </w:r>
      <w:bookmarkStart w:id="74" w:name="_cl44822THELAW"/>
      <w:proofErr w:type="spellStart"/>
      <w:r w:rsidR="009F6771">
        <w:rPr>
          <w:i/>
        </w:rPr>
        <w:t>Sadomski</w:t>
      </w:r>
      <w:proofErr w:type="spellEnd"/>
      <w:r w:rsidR="009F6771">
        <w:rPr>
          <w:i/>
        </w:rPr>
        <w:t xml:space="preserve"> przeciwko Polsce</w:t>
      </w:r>
      <w:bookmarkEnd w:id="74"/>
      <w:r w:rsidR="009F6771">
        <w:t xml:space="preserve">, skarga nr 56297/21, § 51, 9 maja 2025 r.; oraz </w:t>
      </w:r>
      <w:bookmarkStart w:id="75" w:name="_cl45034THELAW"/>
      <w:proofErr w:type="spellStart"/>
      <w:r w:rsidR="009F6771">
        <w:rPr>
          <w:i/>
        </w:rPr>
        <w:t>Misiūnas</w:t>
      </w:r>
      <w:proofErr w:type="spellEnd"/>
      <w:r w:rsidR="009F6771">
        <w:rPr>
          <w:i/>
        </w:rPr>
        <w:t xml:space="preserve"> przeciwko Litwie</w:t>
      </w:r>
      <w:bookmarkEnd w:id="75"/>
      <w:r w:rsidR="009F6771">
        <w:t>, skarga nr 38687/22, § 85, 7 października 2025 r.).</w:t>
      </w:r>
    </w:p>
    <w:p w14:paraId="1A305DF2" w14:textId="77777777" w:rsidR="00E44928" w:rsidRPr="00710DEE" w:rsidRDefault="009F6771" w:rsidP="00710DEE">
      <w:pPr>
        <w:pStyle w:val="JuHalpha"/>
      </w:pPr>
      <w:r>
        <w:lastRenderedPageBreak/>
        <w:t>Istnienie prawa</w:t>
      </w:r>
    </w:p>
    <w:p w14:paraId="4C90D991" w14:textId="397D1C7B" w:rsidR="00E44928" w:rsidRPr="00710DEE" w:rsidRDefault="001A420B" w:rsidP="00710DEE">
      <w:pPr>
        <w:pStyle w:val="JuPara"/>
      </w:pPr>
      <w:fldSimple w:instr=" SEQ level0 \*arabic \* MERGEFORMAT ">
        <w:r>
          <w:rPr>
            <w:noProof/>
          </w:rPr>
          <w:t>131</w:t>
        </w:r>
      </w:fldSimple>
      <w:r w:rsidR="009F6771">
        <w:t>.</w:t>
      </w:r>
      <w:r w:rsidR="00BF573B">
        <w:t xml:space="preserve"> </w:t>
      </w:r>
      <w:r w:rsidR="009F6771">
        <w:t>Aby art. 6 ust. 1 miał zastosowanie w swoim aspekcie cywilnym, musi zachodzić spór co do prawa, o którym można powiedzieć — na</w:t>
      </w:r>
      <w:r w:rsidR="00C21FB2">
        <w:t> </w:t>
      </w:r>
      <w:r w:rsidR="009F6771">
        <w:t xml:space="preserve">podstawie co najmniej dających się uzasadnić przesłanek — że jest uznawane w przepisach krajowych (zob. </w:t>
      </w:r>
      <w:r w:rsidR="009F6771">
        <w:rPr>
          <w:i/>
          <w:iCs/>
        </w:rPr>
        <w:t>Grzęda</w:t>
      </w:r>
      <w:r w:rsidR="009F6771">
        <w:t xml:space="preserve">, cyt. powyżej, § 257). Trybunał przypomina, że punktem wyjścia muszą być przepisy właściwego prawa krajowego oraz ich wykładnia dokonywana przez sądy krajowe (zob. </w:t>
      </w:r>
      <w:bookmarkStart w:id="76" w:name="_cl34927THELAW"/>
      <w:proofErr w:type="spellStart"/>
      <w:r w:rsidR="009F6771">
        <w:rPr>
          <w:i/>
          <w:iCs/>
        </w:rPr>
        <w:t>Regner</w:t>
      </w:r>
      <w:proofErr w:type="spellEnd"/>
      <w:r w:rsidR="009F6771">
        <w:rPr>
          <w:i/>
          <w:iCs/>
        </w:rPr>
        <w:t xml:space="preserve"> przeciwko Republice Czeskiej</w:t>
      </w:r>
      <w:bookmarkEnd w:id="76"/>
      <w:r w:rsidR="009F6771">
        <w:t xml:space="preserve"> [WI], skarga nr 35289/11, § 100, 19</w:t>
      </w:r>
      <w:r w:rsidR="00C21FB2">
        <w:t> </w:t>
      </w:r>
      <w:r w:rsidR="009F6771">
        <w:t>września 2017 r. oraz przytoczone orzecznictwo).</w:t>
      </w:r>
    </w:p>
    <w:p w14:paraId="6BF7628B" w14:textId="7D0CC1C2" w:rsidR="00E44928" w:rsidRPr="00710DEE" w:rsidRDefault="001A420B" w:rsidP="00710DEE">
      <w:pPr>
        <w:pStyle w:val="JuPara"/>
      </w:pPr>
      <w:fldSimple w:instr=" SEQ level0 \*arabic \* MERGEFORMAT ">
        <w:r>
          <w:rPr>
            <w:noProof/>
          </w:rPr>
          <w:t>132</w:t>
        </w:r>
      </w:fldSimple>
      <w:r w:rsidR="009F6771">
        <w:t>.</w:t>
      </w:r>
      <w:r w:rsidR="00BF573B">
        <w:t xml:space="preserve"> </w:t>
      </w:r>
      <w:r w:rsidR="009F6771">
        <w:t xml:space="preserve">Należy zauważyć, że wbrew twierdzeniu </w:t>
      </w:r>
      <w:r w:rsidR="00014AF6">
        <w:t>r</w:t>
      </w:r>
      <w:r w:rsidR="009F6771">
        <w:t>ządu skarżący nie dochodzili przed Trybunałem prawa do wykonywania władzy publicznej; w</w:t>
      </w:r>
      <w:r w:rsidR="00C21FB2">
        <w:t> </w:t>
      </w:r>
      <w:r w:rsidR="009F6771">
        <w:t xml:space="preserve">szczególności nie dochodzili materialnego prawa do bycia powołanym przez Prezydenta Rzeczypospolitej na stanowisko sędziego (por. </w:t>
      </w:r>
      <w:r w:rsidR="009F6771">
        <w:rPr>
          <w:i/>
          <w:iCs/>
        </w:rPr>
        <w:t>Manowska i Inni przeciwko Polsce</w:t>
      </w:r>
      <w:r w:rsidR="009F6771">
        <w:t xml:space="preserve"> (</w:t>
      </w:r>
      <w:proofErr w:type="spellStart"/>
      <w:r w:rsidR="009F6771">
        <w:t>dec</w:t>
      </w:r>
      <w:proofErr w:type="spellEnd"/>
      <w:r w:rsidR="009F6771">
        <w:t>.), skargi nr 51455/21 i 5 innych, § 100, 1</w:t>
      </w:r>
      <w:r w:rsidR="00C21FB2">
        <w:t> </w:t>
      </w:r>
      <w:r w:rsidR="009F6771">
        <w:t>kwietnia 2025 r., gdzie skarżący zasadniczo twierdzili, że mają prawo do</w:t>
      </w:r>
      <w:r w:rsidR="00C21FB2">
        <w:t> </w:t>
      </w:r>
      <w:r w:rsidR="009F6771">
        <w:t>bycia powołanymi na stanowiska sędziowskie w Sądzie Najwyższym i</w:t>
      </w:r>
      <w:r w:rsidR="00C21FB2">
        <w:t> </w:t>
      </w:r>
      <w:r w:rsidR="009F6771">
        <w:t xml:space="preserve">pracy jako sędziowie Sądu Najwyższego). Skarżący przyznali, że w polskim systemie prawnym nie istniało żadne „prawo do </w:t>
      </w:r>
      <w:proofErr w:type="spellStart"/>
      <w:r w:rsidR="009F6771">
        <w:t>zostania</w:t>
      </w:r>
      <w:proofErr w:type="spellEnd"/>
      <w:r w:rsidR="009F6771">
        <w:t xml:space="preserve"> sędzią”.</w:t>
      </w:r>
    </w:p>
    <w:p w14:paraId="0C8C6AA8" w14:textId="30771462" w:rsidR="00E44928" w:rsidRPr="00710DEE" w:rsidRDefault="001A420B" w:rsidP="00710DEE">
      <w:pPr>
        <w:pStyle w:val="JuPara"/>
      </w:pPr>
      <w:fldSimple w:instr=" SEQ level0 \*arabic \* MERGEFORMAT ">
        <w:r>
          <w:rPr>
            <w:noProof/>
          </w:rPr>
          <w:t>133</w:t>
        </w:r>
      </w:fldSimple>
      <w:r w:rsidR="009F6771">
        <w:t>.</w:t>
      </w:r>
      <w:r w:rsidR="00BF573B">
        <w:t xml:space="preserve"> </w:t>
      </w:r>
      <w:r w:rsidR="009F6771">
        <w:t xml:space="preserve">Trybunał zauważa, że prawem, na które powoływali się skarżący, było prawo równego dostępu do służby publicznej określone w art. 60 Konstytucji Rzeczypospolitej Polskiej (zob. </w:t>
      </w:r>
      <w:r w:rsidR="00C61616">
        <w:t xml:space="preserve"> paragraf</w:t>
      </w:r>
      <w:r w:rsidR="009F6771">
        <w:t xml:space="preserve"> </w:t>
      </w:r>
      <w:r w:rsidR="009F6771" w:rsidRPr="00710DEE">
        <w:fldChar w:fldCharType="begin"/>
      </w:r>
      <w:r w:rsidR="009F6771" w:rsidRPr="00710DEE">
        <w:instrText xml:space="preserve">REF paragraph00026 \h \* CharFormat </w:instrText>
      </w:r>
      <w:r w:rsidR="009F6771" w:rsidRPr="00710DEE">
        <w:fldChar w:fldCharType="separate"/>
      </w:r>
      <w:r>
        <w:t>26</w:t>
      </w:r>
      <w:r w:rsidR="009F6771" w:rsidRPr="00710DEE">
        <w:fldChar w:fldCharType="end"/>
      </w:r>
      <w:r w:rsidR="009F6771">
        <w:t xml:space="preserve"> powyżej), przepisie wyraźnie przewidującym prawo dostępu do służby publicznej na podstawie zasady równości. Skarżący powołali się dodatkowo w tym względzie na art. 25 lit. c </w:t>
      </w:r>
      <w:proofErr w:type="spellStart"/>
      <w:r w:rsidR="009F6771">
        <w:t>MPPOiP</w:t>
      </w:r>
      <w:proofErr w:type="spellEnd"/>
      <w:r w:rsidR="009F6771">
        <w:t xml:space="preserve"> (zob. </w:t>
      </w:r>
      <w:r w:rsidR="00C61616">
        <w:t xml:space="preserve"> paragraf</w:t>
      </w:r>
      <w:r w:rsidR="009F6771">
        <w:t xml:space="preserve"> </w:t>
      </w:r>
      <w:r w:rsidR="009F6771" w:rsidRPr="00710DEE">
        <w:fldChar w:fldCharType="begin"/>
      </w:r>
      <w:r w:rsidR="009F6771" w:rsidRPr="00710DEE">
        <w:instrText xml:space="preserve">REF paragraph00062 \h \* CharFormat </w:instrText>
      </w:r>
      <w:r w:rsidR="009F6771" w:rsidRPr="00710DEE">
        <w:fldChar w:fldCharType="separate"/>
      </w:r>
      <w:r>
        <w:t>62</w:t>
      </w:r>
      <w:r w:rsidR="009F6771" w:rsidRPr="00710DEE">
        <w:fldChar w:fldCharType="end"/>
      </w:r>
      <w:r w:rsidR="009F6771">
        <w:t xml:space="preserve"> powyżej).</w:t>
      </w:r>
    </w:p>
    <w:p w14:paraId="01E461C3" w14:textId="6355CEDD" w:rsidR="00E44928" w:rsidRPr="00710DEE" w:rsidRDefault="001A420B" w:rsidP="00710DEE">
      <w:pPr>
        <w:pStyle w:val="JuPara"/>
      </w:pPr>
      <w:fldSimple w:instr=" SEQ level0 \*arabic \* MERGEFORMAT ">
        <w:r>
          <w:rPr>
            <w:noProof/>
          </w:rPr>
          <w:t>134</w:t>
        </w:r>
      </w:fldSimple>
      <w:r w:rsidR="009F6771">
        <w:t>.</w:t>
      </w:r>
      <w:r w:rsidR="00BF573B">
        <w:t xml:space="preserve"> </w:t>
      </w:r>
      <w:r w:rsidR="009F6771">
        <w:t xml:space="preserve">Aby ustalić, czy w niniejszej sprawie skarżącym przysługiwało takie prawo, Trybunał musi najpierw przeanalizować rzeczywisty charakter zarzutów, które podnieśli przed organami krajowymi (zob. </w:t>
      </w:r>
      <w:proofErr w:type="spellStart"/>
      <w:r w:rsidR="009F6771">
        <w:rPr>
          <w:i/>
          <w:iCs/>
        </w:rPr>
        <w:t>Bilgen</w:t>
      </w:r>
      <w:proofErr w:type="spellEnd"/>
      <w:r w:rsidR="009F6771">
        <w:t xml:space="preserve">, § 54, oraz </w:t>
      </w:r>
      <w:proofErr w:type="spellStart"/>
      <w:r w:rsidR="009F6771">
        <w:rPr>
          <w:i/>
          <w:iCs/>
        </w:rPr>
        <w:t>Gloveli</w:t>
      </w:r>
      <w:proofErr w:type="spellEnd"/>
      <w:r w:rsidR="009F6771">
        <w:t>, § 36, oba cyt. powyżej).</w:t>
      </w:r>
    </w:p>
    <w:p w14:paraId="31872831" w14:textId="58682385" w:rsidR="00E44928" w:rsidRPr="00710DEE" w:rsidRDefault="001A420B" w:rsidP="00710DEE">
      <w:pPr>
        <w:pStyle w:val="JuPara"/>
      </w:pPr>
      <w:fldSimple w:instr=" SEQ level0 \*arabic \* MERGEFORMAT ">
        <w:r>
          <w:rPr>
            <w:noProof/>
          </w:rPr>
          <w:t>135</w:t>
        </w:r>
      </w:fldSimple>
      <w:r w:rsidR="009F6771">
        <w:t>.</w:t>
      </w:r>
      <w:r w:rsidR="00BF573B">
        <w:t xml:space="preserve"> </w:t>
      </w:r>
      <w:r w:rsidR="009F6771">
        <w:t xml:space="preserve">W postępowaniach krajowych skarżący podnosili zarzuty naruszenia ich prawa równego dostępu do służby publicznej przez odmowę powołania ich przez Prezydenta na stanowiska sędziowskie (zob. </w:t>
      </w:r>
      <w:r w:rsidR="00C61616">
        <w:t xml:space="preserve"> paragraf</w:t>
      </w:r>
      <w:r w:rsidR="009F6771">
        <w:t xml:space="preserve"> </w:t>
      </w:r>
      <w:r w:rsidR="009F6771" w:rsidRPr="00710DEE">
        <w:fldChar w:fldCharType="begin"/>
      </w:r>
      <w:r w:rsidR="009F6771" w:rsidRPr="00710DEE">
        <w:instrText xml:space="preserve">REF paragraph00015 \h \* CharFormat </w:instrText>
      </w:r>
      <w:r w:rsidR="009F6771" w:rsidRPr="00710DEE">
        <w:fldChar w:fldCharType="separate"/>
      </w:r>
      <w:r>
        <w:t>15</w:t>
      </w:r>
      <w:r w:rsidR="009F6771" w:rsidRPr="00710DEE">
        <w:fldChar w:fldCharType="end"/>
      </w:r>
      <w:r w:rsidR="009F6771">
        <w:t xml:space="preserve"> oraz </w:t>
      </w:r>
      <w:r w:rsidR="009F6771" w:rsidRPr="00710DEE">
        <w:fldChar w:fldCharType="begin"/>
      </w:r>
      <w:r w:rsidR="009F6771" w:rsidRPr="00710DEE">
        <w:instrText xml:space="preserve">REF paragraph00023 \h \* CharFormat </w:instrText>
      </w:r>
      <w:r w:rsidR="009F6771" w:rsidRPr="00710DEE">
        <w:fldChar w:fldCharType="separate"/>
      </w:r>
      <w:r>
        <w:t>23</w:t>
      </w:r>
      <w:r w:rsidR="009F6771" w:rsidRPr="00710DEE">
        <w:fldChar w:fldCharType="end"/>
      </w:r>
      <w:r w:rsidR="009F6771">
        <w:t xml:space="preserve"> w</w:t>
      </w:r>
      <w:r w:rsidR="00C21FB2">
        <w:t> </w:t>
      </w:r>
      <w:r w:rsidR="009F6771">
        <w:t xml:space="preserve">związku z </w:t>
      </w:r>
      <w:r w:rsidR="009F6771" w:rsidRPr="00710DEE">
        <w:fldChar w:fldCharType="begin"/>
      </w:r>
      <w:r w:rsidR="009F6771" w:rsidRPr="00710DEE">
        <w:instrText xml:space="preserve">REF paragraph00019 \h \* CharFormat </w:instrText>
      </w:r>
      <w:r w:rsidR="009F6771" w:rsidRPr="00710DEE">
        <w:fldChar w:fldCharType="separate"/>
      </w:r>
      <w:r>
        <w:t>19</w:t>
      </w:r>
      <w:r w:rsidR="009F6771" w:rsidRPr="00710DEE">
        <w:fldChar w:fldCharType="end"/>
      </w:r>
      <w:r w:rsidR="009F6771">
        <w:t xml:space="preserve"> powyżej). Na tej podstawie zarzucali, że postanowienia, w</w:t>
      </w:r>
      <w:r w:rsidR="00C21FB2">
        <w:t> </w:t>
      </w:r>
      <w:r w:rsidR="009F6771">
        <w:t xml:space="preserve">których odrzucono ich kandydatury i które nie zawierały żadnego uzasadnienia, były arbitralne, a tym samym sprzeczne z gwarancjami właściwymi dla art. 60 Konstytucji. Trybunał uznaje zatem, że istotą przedmiotowych postępowań było prawo do sprawiedliwego postępowania przy rozpoznawaniu kandydatury na stanowisko sędziowskie (zob., mutatis mutandis, </w:t>
      </w:r>
      <w:proofErr w:type="spellStart"/>
      <w:r w:rsidR="009F6771">
        <w:rPr>
          <w:i/>
          <w:iCs/>
        </w:rPr>
        <w:t>Gloveli</w:t>
      </w:r>
      <w:proofErr w:type="spellEnd"/>
      <w:r w:rsidR="009F6771">
        <w:t xml:space="preserve">, cyt. powyżej, § 38, oraz przytoczone tam orzecznictwo). Należy w tym względzie zauważyć, że Trybunał przyjął w swoim orzecznictwie, iż prawo do zgodnej z przepisami, rzetelnej procedury awansowej można rozpatrywać jako uznane prawo w systemie krajowym, przynajmniej na dających się uzasadnić podstawach, gdy dana konstytucja krajowa i jej wykładnia dokonywana przez sąd konstytucyjny przewidują prawo równego dostępu do służby publicznej (zob. </w:t>
      </w:r>
      <w:proofErr w:type="spellStart"/>
      <w:r w:rsidR="009F6771">
        <w:rPr>
          <w:i/>
          <w:iCs/>
        </w:rPr>
        <w:t>Stylianidis</w:t>
      </w:r>
      <w:proofErr w:type="spellEnd"/>
      <w:r w:rsidR="009F6771">
        <w:rPr>
          <w:i/>
          <w:iCs/>
        </w:rPr>
        <w:t xml:space="preserve"> przeciwko </w:t>
      </w:r>
      <w:r w:rsidR="009F6771">
        <w:rPr>
          <w:i/>
          <w:iCs/>
        </w:rPr>
        <w:lastRenderedPageBreak/>
        <w:t>Cyprowi</w:t>
      </w:r>
      <w:r w:rsidR="009F6771">
        <w:t xml:space="preserve"> </w:t>
      </w:r>
      <w:r w:rsidR="009F6771">
        <w:rPr>
          <w:i/>
          <w:iCs/>
        </w:rPr>
        <w:t>(</w:t>
      </w:r>
      <w:proofErr w:type="spellStart"/>
      <w:r w:rsidR="009F6771">
        <w:rPr>
          <w:i/>
          <w:iCs/>
        </w:rPr>
        <w:t>dec</w:t>
      </w:r>
      <w:proofErr w:type="spellEnd"/>
      <w:r w:rsidR="009F6771">
        <w:rPr>
          <w:i/>
          <w:iCs/>
        </w:rPr>
        <w:t>.)</w:t>
      </w:r>
      <w:r w:rsidR="009F6771">
        <w:t>, skarga nr 24269/18, § 41, 8 lutego 2024 r. oraz przytoczone tam orzecznictwo).</w:t>
      </w:r>
    </w:p>
    <w:bookmarkStart w:id="77" w:name="paragraph00133"/>
    <w:p w14:paraId="291DBC0B" w14:textId="2E277AA9"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136</w:t>
      </w:r>
      <w:r w:rsidRPr="00710DEE">
        <w:fldChar w:fldCharType="end"/>
      </w:r>
      <w:bookmarkEnd w:id="77"/>
      <w:r>
        <w:t>.</w:t>
      </w:r>
      <w:r w:rsidR="00BF573B">
        <w:t xml:space="preserve"> </w:t>
      </w:r>
      <w:r>
        <w:t>Na tym tle Trybunał zauważa, że stwierdził już wcześniej, iż prawo polskie – a w szczególności art. 60 Konstytucji – przewiduje prawo równego dostępu do służby publicznej w kontekście sądownictwa. W wyrokach w</w:t>
      </w:r>
      <w:r w:rsidR="00C21FB2">
        <w:t> </w:t>
      </w:r>
      <w:r>
        <w:t xml:space="preserve">sprawach </w:t>
      </w:r>
      <w:bookmarkStart w:id="78" w:name="_cl41129THELAW"/>
      <w:r>
        <w:rPr>
          <w:i/>
          <w:iCs/>
        </w:rPr>
        <w:t>Dolińska-Ficek i Ozimek</w:t>
      </w:r>
      <w:r>
        <w:t xml:space="preserve"> (cyt. powyżej, §§ 82 oraz 23</w:t>
      </w:r>
      <w:bookmarkEnd w:id="78"/>
      <w:r>
        <w:t>0–231) oraz</w:t>
      </w:r>
      <w:r>
        <w:rPr>
          <w:i/>
          <w:iCs/>
        </w:rPr>
        <w:t xml:space="preserve"> </w:t>
      </w:r>
      <w:proofErr w:type="spellStart"/>
      <w:r>
        <w:rPr>
          <w:i/>
          <w:iCs/>
        </w:rPr>
        <w:t>Sadomski</w:t>
      </w:r>
      <w:proofErr w:type="spellEnd"/>
      <w:r>
        <w:t xml:space="preserve"> (cyt. powyżej, § 53) Trybunał oparł się na art. 60 Konstytucji, kwalifikując zarzuty skarżących dotyczące naboru i powoływania sędziów jako wskazujące na spór o „prawo” w rozumieniu art. 6 – mianowicie materialne prawo dostępu, na zasadzie równości, do służby publicznej (a</w:t>
      </w:r>
      <w:r w:rsidR="00C21FB2">
        <w:t> </w:t>
      </w:r>
      <w:r>
        <w:t>konkretnie do sądownictwa). Istotna różnica między wyżej wymienionymi sprawami a niniejszą sprawą polega na tym, że w tych pierwszych skarżącym zapewniono pewną formę proceduralnej kontroli przedmiotowego prawa materialnego (przy czym „jakość” tej kontroli stanowiła główne zagadnienie w tamtych sprawach); natomiast zasadniczym zagadnieniem w niniejszej sprawie jest to, że skarżącym, którzy argumentowali, iż na podstawie tego samego art. 60 Konstytucji przysługiwało im materialne prawo równego dostępu do stanowisk sędziowskich, nie zapewniono mimo to żadnej kontroli proceduralnej.</w:t>
      </w:r>
    </w:p>
    <w:bookmarkStart w:id="79" w:name="paragraph00134"/>
    <w:p w14:paraId="74C3AD1D" w14:textId="005F2B38"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137</w:t>
      </w:r>
      <w:r w:rsidRPr="00710DEE">
        <w:fldChar w:fldCharType="end"/>
      </w:r>
      <w:bookmarkEnd w:id="79"/>
      <w:r>
        <w:t>.</w:t>
      </w:r>
      <w:r w:rsidR="00BF573B">
        <w:t xml:space="preserve"> </w:t>
      </w:r>
      <w:r>
        <w:t xml:space="preserve">Trybunał zauważa ponadto, że choć Trybunał Konstytucyjny odmówił rozpoznania skarg konstytucyjnych wniesionych przez skarżących co do ich istoty (zob. </w:t>
      </w:r>
      <w:r w:rsidR="00C61616">
        <w:t xml:space="preserve"> paragraf</w:t>
      </w:r>
      <w:r>
        <w:t xml:space="preserve"> </w:t>
      </w:r>
      <w:r w:rsidRPr="00710DEE">
        <w:fldChar w:fldCharType="begin"/>
      </w:r>
      <w:r w:rsidRPr="00710DEE">
        <w:instrText xml:space="preserve">REF paragraph00020 \h \* CharFormat </w:instrText>
      </w:r>
      <w:r w:rsidRPr="00710DEE">
        <w:fldChar w:fldCharType="separate"/>
      </w:r>
      <w:r w:rsidR="001A420B">
        <w:t>20</w:t>
      </w:r>
      <w:r w:rsidRPr="00710DEE">
        <w:fldChar w:fldCharType="end"/>
      </w:r>
      <w:r>
        <w:t xml:space="preserve"> i </w:t>
      </w:r>
      <w:r w:rsidRPr="00710DEE">
        <w:fldChar w:fldCharType="begin"/>
      </w:r>
      <w:r w:rsidRPr="00710DEE">
        <w:instrText xml:space="preserve">REF paragraph00025 \h \* CharFormat </w:instrText>
      </w:r>
      <w:r w:rsidRPr="00710DEE">
        <w:fldChar w:fldCharType="separate"/>
      </w:r>
      <w:r w:rsidR="001A420B">
        <w:t>25</w:t>
      </w:r>
      <w:r w:rsidRPr="00710DEE">
        <w:fldChar w:fldCharType="end"/>
      </w:r>
      <w:r>
        <w:t xml:space="preserve"> powyżej), to wydał wcześniej orzeczenia, w których jednoznacznie potwierdził, że prawo równego dostępu do służby publicznej (przewidziane w art. 60 Konstytucji) miało zastosowanie do</w:t>
      </w:r>
      <w:r w:rsidR="00C21FB2">
        <w:t> </w:t>
      </w:r>
      <w:r>
        <w:t xml:space="preserve">postępowań dotyczących obsadzania stanowisk sędziowskich (zob. wyroki Trybunału Konstytucyjnego z dnia 29 listopada 2007 r. i 27 maja 2008 r., o których mowa w </w:t>
      </w:r>
      <w:r w:rsidR="00C61616">
        <w:t xml:space="preserve"> paragraf</w:t>
      </w:r>
      <w:r>
        <w:t xml:space="preserve"> </w:t>
      </w:r>
      <w:r w:rsidRPr="00710DEE">
        <w:fldChar w:fldCharType="begin"/>
      </w:r>
      <w:r w:rsidRPr="00710DEE">
        <w:instrText xml:space="preserve"> REF paragraph00046 \h  \* CharFormat  \* MERGEFORMAT </w:instrText>
      </w:r>
      <w:r w:rsidRPr="00710DEE">
        <w:fldChar w:fldCharType="separate"/>
      </w:r>
      <w:r w:rsidR="001A420B">
        <w:t>46</w:t>
      </w:r>
      <w:r w:rsidRPr="00710DEE">
        <w:fldChar w:fldCharType="end"/>
      </w:r>
      <w:r>
        <w:t xml:space="preserve"> i </w:t>
      </w:r>
      <w:r w:rsidRPr="00710DEE">
        <w:fldChar w:fldCharType="begin"/>
      </w:r>
      <w:r w:rsidRPr="00710DEE">
        <w:instrText xml:space="preserve">REF paragraph00047 \h \* CharFormat  \* MERGEFORMAT </w:instrText>
      </w:r>
      <w:r w:rsidRPr="00710DEE">
        <w:fldChar w:fldCharType="separate"/>
      </w:r>
      <w:r w:rsidR="001A420B">
        <w:t>47</w:t>
      </w:r>
      <w:r w:rsidRPr="00710DEE">
        <w:fldChar w:fldCharType="end"/>
      </w:r>
      <w:r>
        <w:t xml:space="preserve"> powyżej). W tym miejscu Trybunał uznaje za stosowne przypomnieć, zgodnie z tymi wyrokami, że w polskim porządku prawnym: i) prawo równego dostępu do służby publicznej obejmuje prawo do ubiegania się o określone stanowisko w tej służbie, w tym w sądownictwie; ii) o ile władze publiczne są uprawnione do ustalania szczególnych warunków dostępu do poszczególnych służb, o tyle muszą również zapewnić odpowiednie gwarancje legalności podejmowanych w tym zakresie decyzji; iii) należy wykluczyć wszelką arbitralność lub nieograniczoną swobodę uznania w sferze powołań sędziowskich. Łącznie rzecz biorąc, z elementów tych wynika, że polskie prawo konstytucyjne nie tylko statuuje ogólną zasadę równego dostępu do urzędu sędziego, ale również wymaga, by decyzje w tej materii były podejmowane w ramach przejrzystej procedury zapewniającej kandydatom ochronę przed arbitralną odmową.</w:t>
      </w:r>
    </w:p>
    <w:p w14:paraId="11D51771" w14:textId="5BE9F845" w:rsidR="00E44928" w:rsidRPr="00710DEE" w:rsidRDefault="001A420B" w:rsidP="00710DEE">
      <w:pPr>
        <w:pStyle w:val="JuPara"/>
      </w:pPr>
      <w:fldSimple w:instr=" SEQ level0 \*arabic \* MERGEFORMAT ">
        <w:r>
          <w:rPr>
            <w:noProof/>
          </w:rPr>
          <w:t>138</w:t>
        </w:r>
      </w:fldSimple>
      <w:r w:rsidR="009F6771">
        <w:t>.</w:t>
      </w:r>
      <w:r w:rsidR="00BF573B">
        <w:t xml:space="preserve"> </w:t>
      </w:r>
      <w:r w:rsidR="009F6771">
        <w:t xml:space="preserve">W tym kontekście Trybunał zauważa, że w istotnym dla sprawy czasie skarżący byli urzędującymi asesorami sądowymi, którzy zostali formalnie dopuszczeni do konkursu i zatwierdzeni przez KRS jako spełniający wszystkie ustawowe wymogi udziału we właściwej procedurze </w:t>
      </w:r>
      <w:r w:rsidR="009F6771">
        <w:lastRenderedPageBreak/>
        <w:t xml:space="preserve">powoływania sędziów (zob. </w:t>
      </w:r>
      <w:r w:rsidR="00C61616">
        <w:t xml:space="preserve"> paragraf</w:t>
      </w:r>
      <w:r w:rsidR="009F6771">
        <w:t xml:space="preserve"> </w:t>
      </w:r>
      <w:r w:rsidR="009F6771" w:rsidRPr="00710DEE">
        <w:fldChar w:fldCharType="begin"/>
      </w:r>
      <w:r w:rsidR="009F6771" w:rsidRPr="00710DEE">
        <w:instrText xml:space="preserve">REF paragraph00006 \h \* CharFormat </w:instrText>
      </w:r>
      <w:r w:rsidR="009F6771" w:rsidRPr="00710DEE">
        <w:fldChar w:fldCharType="separate"/>
      </w:r>
      <w:r>
        <w:t>6</w:t>
      </w:r>
      <w:r w:rsidR="009F6771" w:rsidRPr="00710DEE">
        <w:fldChar w:fldCharType="end"/>
      </w:r>
      <w:r w:rsidR="009F6771">
        <w:t xml:space="preserve">, </w:t>
      </w:r>
      <w:r w:rsidR="009F6771" w:rsidRPr="00710DEE">
        <w:fldChar w:fldCharType="begin"/>
      </w:r>
      <w:r w:rsidR="009F6771" w:rsidRPr="00710DEE">
        <w:instrText xml:space="preserve">REF paragraph00008 \h \* CharFormat </w:instrText>
      </w:r>
      <w:r w:rsidR="009F6771" w:rsidRPr="00710DEE">
        <w:fldChar w:fldCharType="separate"/>
      </w:r>
      <w:r>
        <w:t>8</w:t>
      </w:r>
      <w:r w:rsidR="009F6771" w:rsidRPr="00710DEE">
        <w:fldChar w:fldCharType="end"/>
      </w:r>
      <w:r w:rsidR="009F6771">
        <w:t xml:space="preserve"> i </w:t>
      </w:r>
      <w:r w:rsidR="009F6771" w:rsidRPr="00710DEE">
        <w:fldChar w:fldCharType="begin"/>
      </w:r>
      <w:r w:rsidR="009F6771" w:rsidRPr="00710DEE">
        <w:instrText xml:space="preserve">REF paragraph00037 \h \* CharFormat </w:instrText>
      </w:r>
      <w:r w:rsidR="009F6771" w:rsidRPr="00710DEE">
        <w:fldChar w:fldCharType="separate"/>
      </w:r>
      <w:r>
        <w:t>37</w:t>
      </w:r>
      <w:r w:rsidR="009F6771" w:rsidRPr="00710DEE">
        <w:fldChar w:fldCharType="end"/>
      </w:r>
      <w:r w:rsidR="009F6771">
        <w:t xml:space="preserve"> powyżej). W ocenie Trybunału skarżący – jako przedstawiciele władzy sądowniczej (zob. </w:t>
      </w:r>
      <w:r w:rsidR="00C61616">
        <w:t xml:space="preserve"> paragraf</w:t>
      </w:r>
      <w:r w:rsidR="009F6771">
        <w:t xml:space="preserve"> </w:t>
      </w:r>
      <w:r w:rsidR="009F6771" w:rsidRPr="00710DEE">
        <w:fldChar w:fldCharType="begin"/>
      </w:r>
      <w:r w:rsidR="009F6771" w:rsidRPr="00710DEE">
        <w:instrText xml:space="preserve">REF paragraph00152 \h \* CharFormat </w:instrText>
      </w:r>
      <w:r w:rsidR="009F6771" w:rsidRPr="00710DEE">
        <w:fldChar w:fldCharType="separate"/>
      </w:r>
      <w:r>
        <w:t>155</w:t>
      </w:r>
      <w:r w:rsidR="009F6771" w:rsidRPr="00710DEE">
        <w:fldChar w:fldCharType="end"/>
      </w:r>
      <w:r w:rsidR="009F6771">
        <w:t xml:space="preserve"> poniżej) oraz uprawnieni kandydaci, którzy pomyślnie pokonali wszystkie ustawowe progi – mogli twierdzić, że są objęci gwarancjami konstytucyjnymi wynikającymi z art. 60 Konstytucji. Przyjęcie odmiennego stanowiska – mianowicie</w:t>
      </w:r>
      <w:r w:rsidR="00200965">
        <w:t>,</w:t>
      </w:r>
      <w:r w:rsidR="009F6771">
        <w:t xml:space="preserve"> że prawo gwarantowane tym przepisem dotyczy jedynie końcowego etapu przed Krajową Radą Sądownictwa i przestaje mieć zastosowanie na etapie przed Prezydentem Rzeczypospolitej – pozbawiłoby prawo jakiejkolwiek praktycznego skutku.</w:t>
      </w:r>
    </w:p>
    <w:p w14:paraId="36F0FEBA" w14:textId="541D0BB8" w:rsidR="00E44928" w:rsidRPr="00710DEE" w:rsidRDefault="001A420B" w:rsidP="00710DEE">
      <w:pPr>
        <w:pStyle w:val="JuPara"/>
      </w:pPr>
      <w:fldSimple w:instr=" SEQ level0 \*arabic \* MERGEFORMAT ">
        <w:r>
          <w:rPr>
            <w:noProof/>
          </w:rPr>
          <w:t>139</w:t>
        </w:r>
      </w:fldSimple>
      <w:r w:rsidR="009F6771">
        <w:t>.</w:t>
      </w:r>
      <w:r w:rsidR="00BF573B">
        <w:t xml:space="preserve"> </w:t>
      </w:r>
      <w:r w:rsidR="009F6771">
        <w:t xml:space="preserve">Trybunał zauważa w tym względzie, że do zastosowania art. 6 ust. 1 Konwencji wystarczające jest wykazanie, że skarżący mógł na dających się uzasadnić podstawach dochodzić uprawnienia na gruncie prawa krajowego. Przy ustalaniu, czy istniała podstawa prawna dla prawa dochodzonego przez skarżącego, Trybunał, jak zauważył w sprawie </w:t>
      </w:r>
      <w:r w:rsidR="009F6771">
        <w:rPr>
          <w:i/>
          <w:iCs/>
        </w:rPr>
        <w:t>Grzęda</w:t>
      </w:r>
      <w:r w:rsidR="009F6771">
        <w:t xml:space="preserve"> (cyt. powyżej), musi jedynie ustalić, czy argumenty skarżącego były wystarczająco przekonujące – a nie czy skarżący z pewnością wygrałby sprawę, gdyby zapewniono mu dostęp do sądu (ibid., § 268). W istocie w sprawie </w:t>
      </w:r>
      <w:r w:rsidR="009F6771">
        <w:rPr>
          <w:i/>
          <w:iCs/>
        </w:rPr>
        <w:t>Grzęda</w:t>
      </w:r>
      <w:r w:rsidR="009F6771">
        <w:t xml:space="preserve"> (cyt. powyżej, §</w:t>
      </w:r>
      <w:r w:rsidR="00C21FB2">
        <w:t> </w:t>
      </w:r>
      <w:r w:rsidR="009F6771">
        <w:t xml:space="preserve">286) Trybunał uznał istnienie prawa o charakterze cywilnym do pełnienia funkcji sędziego-członka KRS przez pełną czteroletnią kadencję, wynikającego z Konstytucji i ustawodawstwa zwykłego – mimo że </w:t>
      </w:r>
      <w:r w:rsidR="00014AF6">
        <w:t>r</w:t>
      </w:r>
      <w:r w:rsidR="009F6771">
        <w:t>ząd argumentował, iż prawo krajowe wyraźnie wyłączało dostęp do</w:t>
      </w:r>
      <w:r w:rsidR="00C21FB2">
        <w:t> </w:t>
      </w:r>
      <w:r w:rsidR="009F6771">
        <w:t>jakiegokolwiek sądu w sporach dotyczących tego prawa.</w:t>
      </w:r>
    </w:p>
    <w:p w14:paraId="5668F3A5" w14:textId="28E214B9" w:rsidR="00E44928" w:rsidRPr="00710DEE" w:rsidRDefault="001A420B" w:rsidP="00710DEE">
      <w:pPr>
        <w:pStyle w:val="JuPara"/>
      </w:pPr>
      <w:fldSimple w:instr=" SEQ level0 \*arabic \* MERGEFORMAT ">
        <w:r>
          <w:rPr>
            <w:noProof/>
          </w:rPr>
          <w:t>140</w:t>
        </w:r>
      </w:fldSimple>
      <w:r w:rsidR="009F6771">
        <w:t>.</w:t>
      </w:r>
      <w:r w:rsidR="00BF573B">
        <w:t xml:space="preserve"> </w:t>
      </w:r>
      <w:r w:rsidR="009F6771">
        <w:t xml:space="preserve">W sprawie </w:t>
      </w:r>
      <w:proofErr w:type="spellStart"/>
      <w:r w:rsidR="009F6771">
        <w:rPr>
          <w:i/>
          <w:iCs/>
        </w:rPr>
        <w:t>Misiūnas</w:t>
      </w:r>
      <w:proofErr w:type="spellEnd"/>
      <w:r w:rsidR="009F6771">
        <w:t xml:space="preserve"> (cyt. powyżej, §§ 87–88) Trybunał przyjął, że</w:t>
      </w:r>
      <w:r w:rsidR="00C21FB2">
        <w:t> </w:t>
      </w:r>
      <w:r w:rsidR="009F6771">
        <w:t>na gruncie prawa litewskiego byłemu sędziemu przysługiwało dające się uzasadnić „prawo do sprawiedliwego postępowania przy rozpoznawaniu wniosku o powołanie byłego sędziego na stanowisko sędziowskie”, wynikające z właściwych ram ustawowych dotyczących kryteriów kwalifikowalności. Trybunał zasadniczo orzekł w tej sprawie, że gdy przepisy krajowe przewidują ustrukturyzowaną możliwość rozważenia kandydatur na urząd sędziego osób spełniających jasno określone kryteria prawne, rodzi to uprawnione oczekiwanie, że ich kandydatury zostaną rozpoznane w ramach zgodnej z prawem, niearbitralnej procedury (ibid., §§</w:t>
      </w:r>
      <w:r w:rsidR="00C21FB2">
        <w:t> </w:t>
      </w:r>
      <w:r w:rsidR="009F6771">
        <w:t xml:space="preserve">88 i 110). W niniejszej sprawie, podobnie jak w sprawie </w:t>
      </w:r>
      <w:proofErr w:type="spellStart"/>
      <w:r w:rsidR="009F6771">
        <w:rPr>
          <w:i/>
          <w:iCs/>
        </w:rPr>
        <w:t>Misiūnas</w:t>
      </w:r>
      <w:proofErr w:type="spellEnd"/>
      <w:r w:rsidR="009F6771">
        <w:t xml:space="preserve"> (cyt. powyżej, § 88) a inaczej niż w sprawie </w:t>
      </w:r>
      <w:proofErr w:type="spellStart"/>
      <w:r w:rsidR="009F6771">
        <w:rPr>
          <w:i/>
          <w:iCs/>
        </w:rPr>
        <w:t>Gloveli</w:t>
      </w:r>
      <w:proofErr w:type="spellEnd"/>
      <w:r w:rsidR="009F6771">
        <w:t xml:space="preserve"> (cyt. powyżej, § 40), </w:t>
      </w:r>
      <w:r w:rsidR="00014AF6">
        <w:t>r</w:t>
      </w:r>
      <w:r w:rsidR="009F6771">
        <w:t>ząd nie argumentował, że skarżący nie spełniali ustawowych wymogów udziału w</w:t>
      </w:r>
      <w:r w:rsidR="00C21FB2">
        <w:t> </w:t>
      </w:r>
      <w:r w:rsidR="009F6771">
        <w:t>procedurze powoływania sędziów. Co więcej, zważywszy, że KRS jednoznacznie potwierdziła, iż skarżący spełnili wszystkie ustawowe wymogi udziału w procedurze powoływania sędziów, Trybunał stwierdza, że</w:t>
      </w:r>
      <w:r w:rsidR="00C21FB2">
        <w:t> </w:t>
      </w:r>
      <w:r w:rsidR="009F6771">
        <w:t xml:space="preserve">uznanie, jakim Prezydent Rzeczypospolitej dysponuje na końcowym etapie powołania, nie podważa zasadności argumentu skarżących, stanowiącego, że spełnili oni wszystkie ustawowe wymogi do bycia powołanymi na stanowiska, na które zostali przedstawieni (zob., mutatis mutandis, </w:t>
      </w:r>
      <w:bookmarkStart w:id="80" w:name="_cl42572THELAW"/>
      <w:proofErr w:type="spellStart"/>
      <w:r w:rsidR="009F6771">
        <w:rPr>
          <w:i/>
          <w:iCs/>
        </w:rPr>
        <w:t>Oktay</w:t>
      </w:r>
      <w:proofErr w:type="spellEnd"/>
      <w:r w:rsidR="009F6771">
        <w:rPr>
          <w:i/>
          <w:iCs/>
        </w:rPr>
        <w:t xml:space="preserve"> Alkan przeciwko Turcji</w:t>
      </w:r>
      <w:bookmarkEnd w:id="80"/>
      <w:r w:rsidR="009F6771">
        <w:t>, skarga nr 24492/21, § 41, 20</w:t>
      </w:r>
      <w:r w:rsidR="00C21FB2">
        <w:t> </w:t>
      </w:r>
      <w:r w:rsidR="009F6771">
        <w:t>czerwca 2023 r.).</w:t>
      </w:r>
    </w:p>
    <w:p w14:paraId="1357E520" w14:textId="6B1D8D76" w:rsidR="00E44928" w:rsidRPr="00710DEE" w:rsidRDefault="001A420B" w:rsidP="00710DEE">
      <w:pPr>
        <w:pStyle w:val="JuPara"/>
      </w:pPr>
      <w:fldSimple w:instr=" SEQ level0 \*arabic \* MERGEFORMAT ">
        <w:bookmarkStart w:id="81" w:name="paragraph00138"/>
        <w:r>
          <w:rPr>
            <w:noProof/>
          </w:rPr>
          <w:t>141</w:t>
        </w:r>
        <w:bookmarkEnd w:id="81"/>
      </w:fldSimple>
      <w:r w:rsidR="009F6771">
        <w:t>.</w:t>
      </w:r>
      <w:r w:rsidR="00BF573B">
        <w:t xml:space="preserve"> </w:t>
      </w:r>
      <w:r w:rsidR="009F6771">
        <w:t>W świetle powyższych stwierdzeń oraz mając na uwadze brzmienie art. 60 Konstytucji (który przewiduje prawo dostępu do służby publicznej na</w:t>
      </w:r>
      <w:r w:rsidR="009A12AA">
        <w:t> </w:t>
      </w:r>
      <w:r w:rsidR="009F6771">
        <w:t xml:space="preserve">podstawie zasady równości) zgodnie z jego wykładnią dokonaną przez Trybunał Konstytucyjny (zob. </w:t>
      </w:r>
      <w:r w:rsidR="00C61616">
        <w:t xml:space="preserve"> paragraf</w:t>
      </w:r>
      <w:r w:rsidR="009F6771">
        <w:t xml:space="preserve"> </w:t>
      </w:r>
      <w:r w:rsidR="009F6771" w:rsidRPr="00710DEE">
        <w:fldChar w:fldCharType="begin"/>
      </w:r>
      <w:r w:rsidR="009F6771" w:rsidRPr="00710DEE">
        <w:instrText xml:space="preserve">REF paragraph00134 \h \* CharFormat </w:instrText>
      </w:r>
      <w:r w:rsidR="009F6771" w:rsidRPr="00710DEE">
        <w:fldChar w:fldCharType="separate"/>
      </w:r>
      <w:r>
        <w:t>137</w:t>
      </w:r>
      <w:r w:rsidR="009F6771" w:rsidRPr="00710DEE">
        <w:fldChar w:fldCharType="end"/>
      </w:r>
      <w:r w:rsidR="009F6771">
        <w:t xml:space="preserve"> powyżej), Trybunał stwierdza, że</w:t>
      </w:r>
      <w:r w:rsidR="00C21FB2">
        <w:t> </w:t>
      </w:r>
      <w:r w:rsidR="009F6771">
        <w:t>w</w:t>
      </w:r>
      <w:r w:rsidR="00C21FB2">
        <w:t> </w:t>
      </w:r>
      <w:r w:rsidR="009F6771">
        <w:t>niniejszej sprawie skarżący mogli – na podstawie przesłanek co</w:t>
      </w:r>
      <w:r w:rsidR="00C21FB2">
        <w:t> </w:t>
      </w:r>
      <w:r w:rsidR="009F6771">
        <w:t xml:space="preserve">najmniej dających się uzasadnić na gruncie polskich przepisów – dochodzić prawa do sprawiedliwego postępowania przy rozpoznawaniu kandydatury na stanowisko sędziowskie, w tym prawa do ochrony przed arbitralną odmową (zob., </w:t>
      </w:r>
      <w:r w:rsidR="009F6771" w:rsidRPr="00C43322">
        <w:rPr>
          <w:i/>
          <w:iCs/>
        </w:rPr>
        <w:t>mutatis mutandis</w:t>
      </w:r>
      <w:r w:rsidR="009F6771">
        <w:t xml:space="preserve">, przytoczone wyżej sprawy </w:t>
      </w:r>
      <w:proofErr w:type="spellStart"/>
      <w:r w:rsidR="009F6771">
        <w:rPr>
          <w:i/>
          <w:iCs/>
        </w:rPr>
        <w:t>Gloveli</w:t>
      </w:r>
      <w:proofErr w:type="spellEnd"/>
      <w:r w:rsidR="009F6771">
        <w:t xml:space="preserve">, §§ 38 i 41, oraz </w:t>
      </w:r>
      <w:proofErr w:type="spellStart"/>
      <w:r w:rsidR="009F6771">
        <w:rPr>
          <w:i/>
          <w:iCs/>
        </w:rPr>
        <w:t>Misiūnas</w:t>
      </w:r>
      <w:proofErr w:type="spellEnd"/>
      <w:r w:rsidR="009F6771">
        <w:t>, §§ 88–89).</w:t>
      </w:r>
    </w:p>
    <w:p w14:paraId="2DFDAA7C" w14:textId="77777777" w:rsidR="00E44928" w:rsidRPr="00710DEE" w:rsidRDefault="009F6771" w:rsidP="00710DEE">
      <w:pPr>
        <w:pStyle w:val="JuHalpha"/>
      </w:pPr>
      <w:r>
        <w:t>Spór „rzeczywisty” i „poważny”</w:t>
      </w:r>
    </w:p>
    <w:p w14:paraId="778210D0" w14:textId="67C8E692" w:rsidR="00E44928" w:rsidRPr="00710DEE" w:rsidRDefault="001A420B" w:rsidP="00710DEE">
      <w:pPr>
        <w:pStyle w:val="JuPara"/>
      </w:pPr>
      <w:fldSimple w:instr=" SEQ level0 \*arabic \* MERGEFORMAT ">
        <w:r>
          <w:rPr>
            <w:noProof/>
          </w:rPr>
          <w:t>142</w:t>
        </w:r>
      </w:fldSimple>
      <w:r w:rsidR="009F6771">
        <w:t>.</w:t>
      </w:r>
      <w:r w:rsidR="00BF573B">
        <w:t xml:space="preserve"> </w:t>
      </w:r>
      <w:r w:rsidR="009F6771">
        <w:t>Trybunał uznaje, że spór był „rzeczywisty” i „poważny”, ponieważ dotyczył dostępu do służby publicznej na podstawie zasady równości, a</w:t>
      </w:r>
      <w:r w:rsidR="00C21FB2">
        <w:t> </w:t>
      </w:r>
      <w:r w:rsidR="009F6771">
        <w:t>w</w:t>
      </w:r>
      <w:r w:rsidR="00C21FB2">
        <w:t> </w:t>
      </w:r>
      <w:r w:rsidR="009F6771">
        <w:t xml:space="preserve">szczególności rzetelności postępowania przy wyłanianiu i powoływaniu sędziów – mimo że sądy krajowe nie uwzględniły skarg, jakie wnieśli skarżący (zob., </w:t>
      </w:r>
      <w:r w:rsidR="009F6771" w:rsidRPr="00C43322">
        <w:rPr>
          <w:i/>
          <w:iCs/>
        </w:rPr>
        <w:t>mutatis mutandis</w:t>
      </w:r>
      <w:r w:rsidR="009F6771">
        <w:t xml:space="preserve">, </w:t>
      </w:r>
      <w:r w:rsidR="009F6771">
        <w:rPr>
          <w:i/>
          <w:iCs/>
        </w:rPr>
        <w:t>Fiume przeciwko Włochom</w:t>
      </w:r>
      <w:r w:rsidR="009F6771">
        <w:t>, skarga nr</w:t>
      </w:r>
      <w:r w:rsidR="00C21FB2">
        <w:t> </w:t>
      </w:r>
      <w:r w:rsidR="009F6771">
        <w:t xml:space="preserve">20774/05, § 35, 30 czerwca 2009 r.; </w:t>
      </w:r>
      <w:proofErr w:type="spellStart"/>
      <w:r w:rsidR="009F6771">
        <w:rPr>
          <w:i/>
          <w:iCs/>
        </w:rPr>
        <w:t>Gloveli</w:t>
      </w:r>
      <w:proofErr w:type="spellEnd"/>
      <w:r w:rsidR="009F6771">
        <w:t xml:space="preserve">, cyt. powyżej, § 42; </w:t>
      </w:r>
      <w:proofErr w:type="spellStart"/>
      <w:r w:rsidR="009F6771">
        <w:rPr>
          <w:i/>
          <w:iCs/>
        </w:rPr>
        <w:t>Frezadou</w:t>
      </w:r>
      <w:proofErr w:type="spellEnd"/>
      <w:r w:rsidR="009F6771">
        <w:rPr>
          <w:i/>
          <w:iCs/>
        </w:rPr>
        <w:t xml:space="preserve"> przeciwko Grecji</w:t>
      </w:r>
      <w:r w:rsidR="009F6771">
        <w:t xml:space="preserve">, skarga nr 2683/12, § 26, 8 listopada 2018 r.; oraz </w:t>
      </w:r>
      <w:proofErr w:type="spellStart"/>
      <w:r w:rsidR="009F6771">
        <w:rPr>
          <w:i/>
          <w:iCs/>
        </w:rPr>
        <w:t>Misiūnas</w:t>
      </w:r>
      <w:proofErr w:type="spellEnd"/>
      <w:r w:rsidR="009F6771">
        <w:t>, cyt. powyżej, § 90).</w:t>
      </w:r>
    </w:p>
    <w:p w14:paraId="53CBFD7D" w14:textId="77777777" w:rsidR="00E44928" w:rsidRPr="00710DEE" w:rsidRDefault="009F6771" w:rsidP="00710DEE">
      <w:pPr>
        <w:pStyle w:val="JuHalpha"/>
      </w:pPr>
      <w:r>
        <w:t xml:space="preserve">„Cywilny” charakter prawa: test z wyroku </w:t>
      </w:r>
      <w:proofErr w:type="spellStart"/>
      <w:r>
        <w:rPr>
          <w:i/>
        </w:rPr>
        <w:t>Eskelinen</w:t>
      </w:r>
      <w:proofErr w:type="spellEnd"/>
    </w:p>
    <w:p w14:paraId="53C87D0D" w14:textId="21424EE0" w:rsidR="00E44928" w:rsidRPr="00710DEE" w:rsidRDefault="001A420B" w:rsidP="00710DEE">
      <w:pPr>
        <w:pStyle w:val="JuPara"/>
      </w:pPr>
      <w:fldSimple w:instr=" SEQ level0 \*arabic \* MERGEFORMAT ">
        <w:r>
          <w:rPr>
            <w:noProof/>
          </w:rPr>
          <w:t>143</w:t>
        </w:r>
      </w:fldSimple>
      <w:r w:rsidR="009F6771">
        <w:t>.</w:t>
      </w:r>
      <w:r w:rsidR="00BF573B">
        <w:t xml:space="preserve"> </w:t>
      </w:r>
      <w:r w:rsidR="009F6771">
        <w:t xml:space="preserve">Pozostaje do </w:t>
      </w:r>
      <w:proofErr w:type="gramStart"/>
      <w:r w:rsidR="009F6771">
        <w:t>ustalenia,</w:t>
      </w:r>
      <w:proofErr w:type="gramEnd"/>
      <w:r w:rsidR="009F6771">
        <w:t xml:space="preserve"> czy charakter przedmiotowego prawa był cywilny (w autonomicznym rozumieniu art. 6 ust. 1), w świetle kryteriów wypracowanych w wyroku w sprawie </w:t>
      </w:r>
      <w:proofErr w:type="spellStart"/>
      <w:r w:rsidR="009F6771">
        <w:rPr>
          <w:i/>
          <w:iCs/>
        </w:rPr>
        <w:t>Vilho</w:t>
      </w:r>
      <w:proofErr w:type="spellEnd"/>
      <w:r w:rsidR="009F6771">
        <w:rPr>
          <w:i/>
          <w:iCs/>
        </w:rPr>
        <w:t xml:space="preserve"> </w:t>
      </w:r>
      <w:proofErr w:type="spellStart"/>
      <w:r w:rsidR="009F6771">
        <w:rPr>
          <w:i/>
          <w:iCs/>
        </w:rPr>
        <w:t>Eskelinen</w:t>
      </w:r>
      <w:proofErr w:type="spellEnd"/>
      <w:r w:rsidR="009F6771">
        <w:rPr>
          <w:i/>
          <w:iCs/>
        </w:rPr>
        <w:t xml:space="preserve"> i Inni</w:t>
      </w:r>
      <w:r w:rsidR="009F6771">
        <w:t xml:space="preserve"> (cyt. powyżej; zob. także </w:t>
      </w:r>
      <w:proofErr w:type="spellStart"/>
      <w:r w:rsidR="009F6771">
        <w:rPr>
          <w:i/>
          <w:iCs/>
        </w:rPr>
        <w:t>Gloveli</w:t>
      </w:r>
      <w:proofErr w:type="spellEnd"/>
      <w:r w:rsidR="009F6771">
        <w:t xml:space="preserve">, § 42, oraz </w:t>
      </w:r>
      <w:proofErr w:type="spellStart"/>
      <w:r w:rsidR="009F6771">
        <w:rPr>
          <w:i/>
          <w:iCs/>
        </w:rPr>
        <w:t>Misiūnas</w:t>
      </w:r>
      <w:proofErr w:type="spellEnd"/>
      <w:r w:rsidR="009F6771">
        <w:t xml:space="preserve">, § 90, oba cyt. powyżej). Trybunał powtarza, że test z wyroku w sprawie </w:t>
      </w:r>
      <w:proofErr w:type="spellStart"/>
      <w:r w:rsidR="009F6771">
        <w:rPr>
          <w:i/>
        </w:rPr>
        <w:t>Eskelinen</w:t>
      </w:r>
      <w:proofErr w:type="spellEnd"/>
      <w:r w:rsidR="009F6771">
        <w:t>, mający na celu określenie charakteru przedmiotowego prawa, obejmuje dwa łączne warunki, które muszą zostać spełnione, aby państwo mogło powołać się przed Trybunałem na status skarżącego jako urzędnika służby cywilnej dla celów wyłączenia ochrony przewidzianej art. 6, tj.: i) państwo w swoim prawie krajowym musi wyłączyć dostęp do sądu dla stanowiska lub kategorii personelu, którego sprawa dotyczy; oraz ii) takie wyłączenie musi być uzasadnione w oparciu o</w:t>
      </w:r>
      <w:r w:rsidR="00C21FB2">
        <w:t> </w:t>
      </w:r>
      <w:r w:rsidR="009F6771">
        <w:t>obiektywne przesłanki interesu państwa (zob.</w:t>
      </w:r>
      <w:r w:rsidR="009F6771">
        <w:rPr>
          <w:i/>
        </w:rPr>
        <w:t> </w:t>
      </w:r>
      <w:proofErr w:type="spellStart"/>
      <w:r w:rsidR="009F6771">
        <w:rPr>
          <w:i/>
        </w:rPr>
        <w:t>Vilho</w:t>
      </w:r>
      <w:proofErr w:type="spellEnd"/>
      <w:r w:rsidR="009F6771">
        <w:rPr>
          <w:i/>
        </w:rPr>
        <w:t xml:space="preserve"> </w:t>
      </w:r>
      <w:proofErr w:type="spellStart"/>
      <w:r w:rsidR="009F6771">
        <w:rPr>
          <w:i/>
        </w:rPr>
        <w:t>Eskelinen</w:t>
      </w:r>
      <w:proofErr w:type="spellEnd"/>
      <w:r w:rsidR="009F6771">
        <w:rPr>
          <w:i/>
        </w:rPr>
        <w:t xml:space="preserve"> i Inni</w:t>
      </w:r>
      <w:r w:rsidR="009F6771">
        <w:t xml:space="preserve">, § 62, a także </w:t>
      </w:r>
      <w:r w:rsidR="009F6771">
        <w:rPr>
          <w:i/>
        </w:rPr>
        <w:t>Grzęda</w:t>
      </w:r>
      <w:r w:rsidR="009F6771">
        <w:t>, § 292, oba cyt. powyżej).</w:t>
      </w:r>
    </w:p>
    <w:p w14:paraId="4D7230FE" w14:textId="77777777" w:rsidR="00E44928" w:rsidRPr="00710DEE" w:rsidRDefault="009F6771" w:rsidP="00710DEE">
      <w:pPr>
        <w:pStyle w:val="JuH"/>
      </w:pPr>
      <w:r>
        <w:t xml:space="preserve">Pierwszy warunek testu z wyroku </w:t>
      </w:r>
      <w:proofErr w:type="spellStart"/>
      <w:r>
        <w:t>Eskelinen</w:t>
      </w:r>
      <w:proofErr w:type="spellEnd"/>
    </w:p>
    <w:p w14:paraId="30CE4EE0" w14:textId="07D8A711" w:rsidR="00E44928" w:rsidRPr="00710DEE" w:rsidRDefault="001A420B" w:rsidP="00710DEE">
      <w:pPr>
        <w:pStyle w:val="JuPara"/>
      </w:pPr>
      <w:fldSimple w:instr=" SEQ level0 \*arabic \* MERGEFORMAT ">
        <w:r>
          <w:rPr>
            <w:noProof/>
          </w:rPr>
          <w:t>144</w:t>
        </w:r>
      </w:fldSimple>
      <w:r w:rsidR="009F6771">
        <w:t>.</w:t>
      </w:r>
      <w:r w:rsidR="00BF573B">
        <w:t xml:space="preserve"> </w:t>
      </w:r>
      <w:r w:rsidR="009F6771">
        <w:t xml:space="preserve">Trybunał zbada obecnie pierwszy warunek testu z wyroku </w:t>
      </w:r>
      <w:proofErr w:type="spellStart"/>
      <w:r w:rsidR="009F6771">
        <w:rPr>
          <w:i/>
          <w:iCs/>
        </w:rPr>
        <w:t>Eskelinen</w:t>
      </w:r>
      <w:proofErr w:type="spellEnd"/>
      <w:r w:rsidR="009F6771">
        <w:t xml:space="preserve"> – tj. czy w prawie krajowym „wyraźnie wyłączono” prawo dostępu do sądu w odniesieniu do danego stanowiska lub kategorii personelu (zob. </w:t>
      </w:r>
      <w:proofErr w:type="spellStart"/>
      <w:r w:rsidR="009F6771">
        <w:rPr>
          <w:i/>
          <w:iCs/>
        </w:rPr>
        <w:t>Vilho</w:t>
      </w:r>
      <w:proofErr w:type="spellEnd"/>
      <w:r w:rsidR="009F6771">
        <w:rPr>
          <w:i/>
          <w:iCs/>
        </w:rPr>
        <w:t xml:space="preserve"> </w:t>
      </w:r>
      <w:proofErr w:type="spellStart"/>
      <w:r w:rsidR="009F6771">
        <w:rPr>
          <w:i/>
          <w:iCs/>
        </w:rPr>
        <w:t>Eskelinen</w:t>
      </w:r>
      <w:proofErr w:type="spellEnd"/>
      <w:r w:rsidR="009F6771">
        <w:t xml:space="preserve">, cyt. powyżej, § 62) lub czy nawet bez wyraźnego przepisu w tej materii zostało jednoznacznie wykazane, że prawo krajowe wyłącza dostęp </w:t>
      </w:r>
      <w:r w:rsidR="009F6771">
        <w:lastRenderedPageBreak/>
        <w:t xml:space="preserve">do sądu w przypadku sporu danego rodzaju (zob. </w:t>
      </w:r>
      <w:r w:rsidR="009F6771">
        <w:rPr>
          <w:i/>
          <w:iCs/>
        </w:rPr>
        <w:t>Grzęda</w:t>
      </w:r>
      <w:r w:rsidR="009F6771">
        <w:t>, cyt. powyżej, §</w:t>
      </w:r>
      <w:r w:rsidR="00C21FB2">
        <w:t> </w:t>
      </w:r>
      <w:r w:rsidR="009F6771">
        <w:t>292).</w:t>
      </w:r>
    </w:p>
    <w:p w14:paraId="75B4AF9A" w14:textId="1D8DF9CA" w:rsidR="00E44928" w:rsidRPr="00710DEE" w:rsidRDefault="001A420B" w:rsidP="00710DEE">
      <w:pPr>
        <w:pStyle w:val="JuPara"/>
      </w:pPr>
      <w:fldSimple w:instr=" SEQ level0 \*arabic \* MERGEFORMAT ">
        <w:r>
          <w:rPr>
            <w:noProof/>
          </w:rPr>
          <w:t>145</w:t>
        </w:r>
      </w:fldSimple>
      <w:r w:rsidR="009F6771">
        <w:t>.</w:t>
      </w:r>
      <w:r w:rsidR="00BF573B">
        <w:t xml:space="preserve"> </w:t>
      </w:r>
      <w:r w:rsidR="009F6771">
        <w:t xml:space="preserve">Trybunał na wstępie zauważa, że niniejsza sprawa dotyczy powołania na stanowisko sędziowskie oraz że Trybunał miał już sposobność zastosować test z wyroku </w:t>
      </w:r>
      <w:proofErr w:type="spellStart"/>
      <w:r w:rsidR="009F6771">
        <w:rPr>
          <w:i/>
          <w:iCs/>
        </w:rPr>
        <w:t>Eskelinen</w:t>
      </w:r>
      <w:proofErr w:type="spellEnd"/>
      <w:r w:rsidR="009F6771">
        <w:t xml:space="preserve"> w podobnym kontekście. W</w:t>
      </w:r>
      <w:r w:rsidR="00C21FB2">
        <w:t> </w:t>
      </w:r>
      <w:r w:rsidR="009F6771">
        <w:t>szczególności w swoim dotychczasowym orzecznictwie Trybunał analizował scenariusze obejmujące: i) powołania urzędujących sędziów na</w:t>
      </w:r>
      <w:r w:rsidR="00C21FB2">
        <w:t> </w:t>
      </w:r>
      <w:r w:rsidR="009F6771">
        <w:t xml:space="preserve">inne stanowiska w obrębie systemu sądownictwa (zob. m.in. </w:t>
      </w:r>
      <w:proofErr w:type="spellStart"/>
      <w:r w:rsidR="009F6771">
        <w:rPr>
          <w:i/>
          <w:iCs/>
        </w:rPr>
        <w:t>Juričić</w:t>
      </w:r>
      <w:proofErr w:type="spellEnd"/>
      <w:r w:rsidR="009F6771">
        <w:rPr>
          <w:i/>
          <w:iCs/>
        </w:rPr>
        <w:t xml:space="preserve"> przeciwko Chorwacji</w:t>
      </w:r>
      <w:r w:rsidR="009F6771">
        <w:t xml:space="preserve">, skarga nr 58222/09, §§ 52–57, 26 lipca 2011 r.; </w:t>
      </w:r>
      <w:proofErr w:type="spellStart"/>
      <w:r w:rsidR="009F6771">
        <w:rPr>
          <w:i/>
          <w:iCs/>
        </w:rPr>
        <w:t>Dzhidzheva-Trendafilova</w:t>
      </w:r>
      <w:proofErr w:type="spellEnd"/>
      <w:r w:rsidR="009F6771">
        <w:rPr>
          <w:i/>
          <w:iCs/>
        </w:rPr>
        <w:t xml:space="preserve"> przeciwko Bułgarii </w:t>
      </w:r>
      <w:r w:rsidR="009F6771">
        <w:t>(</w:t>
      </w:r>
      <w:proofErr w:type="spellStart"/>
      <w:r w:rsidR="009F6771">
        <w:t>dec</w:t>
      </w:r>
      <w:proofErr w:type="spellEnd"/>
      <w:r w:rsidR="009F6771">
        <w:t>.), skarga nr 12628/09, 9</w:t>
      </w:r>
      <w:r w:rsidR="00C21FB2">
        <w:t> </w:t>
      </w:r>
      <w:r w:rsidR="009F6771">
        <w:t xml:space="preserve">października 2012 r.; oraz </w:t>
      </w:r>
      <w:proofErr w:type="spellStart"/>
      <w:r w:rsidR="009F6771">
        <w:rPr>
          <w:i/>
          <w:iCs/>
        </w:rPr>
        <w:t>Sadomski</w:t>
      </w:r>
      <w:proofErr w:type="spellEnd"/>
      <w:r w:rsidR="009F6771">
        <w:t>, cyt. powyżej, §§ 55–65); ii)</w:t>
      </w:r>
      <w:r w:rsidR="00C21FB2">
        <w:t> </w:t>
      </w:r>
      <w:r w:rsidR="009F6771">
        <w:t>powołania (w tym ponowne powołania) osób, które pełniły urząd sędziego w</w:t>
      </w:r>
      <w:r w:rsidR="00C21FB2">
        <w:t> </w:t>
      </w:r>
      <w:r w:rsidR="009F6771">
        <w:t xml:space="preserve">przeszłości (zob. </w:t>
      </w:r>
      <w:proofErr w:type="spellStart"/>
      <w:r w:rsidR="009F6771">
        <w:rPr>
          <w:i/>
          <w:iCs/>
        </w:rPr>
        <w:t>Gloveli</w:t>
      </w:r>
      <w:proofErr w:type="spellEnd"/>
      <w:r w:rsidR="009F6771">
        <w:t xml:space="preserve">, §§ 43–52, oraz </w:t>
      </w:r>
      <w:proofErr w:type="spellStart"/>
      <w:r w:rsidR="009F6771">
        <w:rPr>
          <w:i/>
          <w:iCs/>
        </w:rPr>
        <w:t>Misiūnas</w:t>
      </w:r>
      <w:proofErr w:type="spellEnd"/>
      <w:r w:rsidR="009F6771">
        <w:t xml:space="preserve">, §§ 91–97, oba cyt. powyżej), a także iii) pierwsze powołania na stanowiska sędziowskie kandydatów, którzy ukończyli aplikację sędziowską (zob. </w:t>
      </w:r>
      <w:proofErr w:type="spellStart"/>
      <w:r w:rsidR="009F6771">
        <w:rPr>
          <w:i/>
          <w:iCs/>
        </w:rPr>
        <w:t>Oktay</w:t>
      </w:r>
      <w:proofErr w:type="spellEnd"/>
      <w:r w:rsidR="009F6771">
        <w:rPr>
          <w:i/>
          <w:iCs/>
        </w:rPr>
        <w:t xml:space="preserve"> Alkan</w:t>
      </w:r>
      <w:r w:rsidR="009F6771">
        <w:t>, cyt. powyżej, §§ 49–58).</w:t>
      </w:r>
    </w:p>
    <w:p w14:paraId="2FC1AB0C" w14:textId="6AB48037"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146</w:t>
      </w:r>
      <w:r w:rsidRPr="00710DEE">
        <w:fldChar w:fldCharType="end"/>
      </w:r>
      <w:r>
        <w:t>.</w:t>
      </w:r>
      <w:r w:rsidR="00BF573B">
        <w:t xml:space="preserve"> </w:t>
      </w:r>
      <w:r>
        <w:t>W tym kontekście Trybunał zauważa, że sytuacja skarżących w</w:t>
      </w:r>
      <w:r w:rsidR="00C21FB2">
        <w:t> </w:t>
      </w:r>
      <w:r>
        <w:t>rozpoznawanej sprawie nie wpisuje się jednoznacznie w żaden z</w:t>
      </w:r>
      <w:r w:rsidR="00C21FB2">
        <w:t> </w:t>
      </w:r>
      <w:r>
        <w:t>przytoczonych wyżej scenariuszy.</w:t>
      </w:r>
    </w:p>
    <w:p w14:paraId="33CBA7D4" w14:textId="77777777" w:rsidR="00E44928" w:rsidRPr="00710DEE" w:rsidRDefault="009F6771" w:rsidP="00710DEE">
      <w:pPr>
        <w:pStyle w:val="JuPara"/>
      </w:pPr>
      <w:r>
        <w:t>Po pierwsze skarżący nie byli wyłącznie zewnętrznymi kandydatami ubiegającymi się o dostęp do służby w systemie sądownictwa po raz pierwszy, lecz urzędującymi asesorami sądowymi, którzy wykonywali już funkcje sędziowskie co do istoty tożsame z funkcjami pełnoprawnych sędziów na podstawie uregulowań ustawowych, w których stanowisko asesora sądowego traktuje się jako integralny, choć początkowy, etap „standardowej” kariery sędziowskiej (tj. takiej, w której osoba nie zostaje sędzią w oparciu o doświadczenie zdobyte w innym zawodzie prawniczym lub w nauce prawa).</w:t>
      </w:r>
    </w:p>
    <w:p w14:paraId="26F239E6" w14:textId="311DB56F" w:rsidR="00E44928" w:rsidRPr="00710DEE" w:rsidRDefault="009F6771" w:rsidP="00710DEE">
      <w:pPr>
        <w:pStyle w:val="JuPara"/>
      </w:pPr>
      <w:r>
        <w:t>Po drugie, inaczej niż w sprawach dotyczących czysto wewnętrznego awansu lub przeniesienia pełnoprawnych sędziów, w sytuacji skarżących zachodziły dwie następujące okoliczności: z jednej strony należeli już do</w:t>
      </w:r>
      <w:r w:rsidR="00C21FB2">
        <w:t> </w:t>
      </w:r>
      <w:r>
        <w:t>władzy sądowniczej i wykonywali funkcje orzecznicze, a z drugiej strony stanowiska, o które się ubiegali, były pierwszymi w pełni niezawisłymi urzędami sędziowskimi, dla których ustawowym warunkiem wstępnym było pełnienie funkcji asesora sądowego przez pewien minimalny okres.</w:t>
      </w:r>
    </w:p>
    <w:p w14:paraId="35A3E3C7" w14:textId="5ABE78A0" w:rsidR="00E44928" w:rsidRPr="00710DEE" w:rsidRDefault="009F6771" w:rsidP="00710DEE">
      <w:pPr>
        <w:pStyle w:val="JuPara"/>
      </w:pPr>
      <w:r>
        <w:t xml:space="preserve">Po trzecie sytuacja skarżących różniła się także od sytuacji byłych sędziów ubiegających się o ponowne powołanie (jak w sprawie </w:t>
      </w:r>
      <w:proofErr w:type="spellStart"/>
      <w:r>
        <w:rPr>
          <w:i/>
          <w:iCs/>
        </w:rPr>
        <w:t>Misiūnas</w:t>
      </w:r>
      <w:proofErr w:type="spellEnd"/>
      <w:r>
        <w:t>), ponieważ uprawnienie skarżących do bycia rozważanym na stanowiska sędziowskie wynikało w sposób bezpośredni i ciągły z pełnienia przez nich funkcji asesora sądowego oraz szczegółowych ram ustawowych regulujących przejście z tej funkcji na urząd pełnoprawnego sędziego (obejmujących wnikliwe i</w:t>
      </w:r>
      <w:r w:rsidR="00C21FB2">
        <w:t> </w:t>
      </w:r>
      <w:r>
        <w:t>niedawne zbadanie przez różne organy, czy skarżący spełniali wszystkie wymogi prawne), a nie z mandatu sprawowanego w przeszłości.</w:t>
      </w:r>
    </w:p>
    <w:p w14:paraId="6B661E1C" w14:textId="7743A0B5" w:rsidR="00E44928" w:rsidRPr="00710DEE" w:rsidRDefault="001A420B" w:rsidP="00710DEE">
      <w:pPr>
        <w:pStyle w:val="JuPara"/>
      </w:pPr>
      <w:fldSimple w:instr=" SEQ level0 \*arabic \* MERGEFORMAT ">
        <w:r>
          <w:rPr>
            <w:noProof/>
          </w:rPr>
          <w:t>147</w:t>
        </w:r>
      </w:fldSimple>
      <w:r w:rsidR="009F6771">
        <w:t>.</w:t>
      </w:r>
      <w:r w:rsidR="00BF573B">
        <w:t xml:space="preserve"> </w:t>
      </w:r>
      <w:r w:rsidR="009F6771">
        <w:t xml:space="preserve">Przechodząc do argumentów stron, Trybunał odnotowuje argument </w:t>
      </w:r>
      <w:r w:rsidR="00014AF6">
        <w:t>r</w:t>
      </w:r>
      <w:r w:rsidR="009F6771">
        <w:t xml:space="preserve">ządu, że prawo dostępu do sądu w odniesieniu do kandydata na stanowisko </w:t>
      </w:r>
      <w:r w:rsidR="009F6771">
        <w:lastRenderedPageBreak/>
        <w:t xml:space="preserve">sędziowskie było wyłączone przez polskie prawo konstytucyjne oraz przez zasadę podziału władz (zob. </w:t>
      </w:r>
      <w:r w:rsidR="00C61616">
        <w:t xml:space="preserve"> paragraf</w:t>
      </w:r>
      <w:r w:rsidR="009F6771">
        <w:t xml:space="preserve"> </w:t>
      </w:r>
      <w:r w:rsidR="009F6771" w:rsidRPr="00710DEE">
        <w:fldChar w:fldCharType="begin"/>
      </w:r>
      <w:r w:rsidR="009F6771" w:rsidRPr="00710DEE">
        <w:instrText xml:space="preserve">REF paragraph00099 \h \* CharFormat </w:instrText>
      </w:r>
      <w:r w:rsidR="009F6771" w:rsidRPr="00710DEE">
        <w:fldChar w:fldCharType="separate"/>
      </w:r>
      <w:r>
        <w:t>102</w:t>
      </w:r>
      <w:r w:rsidR="009F6771" w:rsidRPr="00710DEE">
        <w:fldChar w:fldCharType="end"/>
      </w:r>
      <w:r w:rsidR="009F6771">
        <w:t>–</w:t>
      </w:r>
      <w:r w:rsidR="009F6771" w:rsidRPr="00710DEE">
        <w:fldChar w:fldCharType="begin"/>
      </w:r>
      <w:r w:rsidR="009F6771" w:rsidRPr="00710DEE">
        <w:instrText xml:space="preserve">REF paragraph00100 \h \* CharFormat </w:instrText>
      </w:r>
      <w:r w:rsidR="009F6771" w:rsidRPr="00710DEE">
        <w:fldChar w:fldCharType="separate"/>
      </w:r>
      <w:r>
        <w:t>103</w:t>
      </w:r>
      <w:r w:rsidR="009F6771" w:rsidRPr="00710DEE">
        <w:fldChar w:fldCharType="end"/>
      </w:r>
      <w:r w:rsidR="009F6771">
        <w:t xml:space="preserve"> powyżej). Skarżący zakwestionowali ten argument i stwierdzili, że przepisy krajowe nie wyłączały wyraźnie prawa do sądu w całości wobec osób, których kandydatury na stanowiska sędziowskie zostały odrzucone (zob. </w:t>
      </w:r>
      <w:r w:rsidR="00C61616">
        <w:t xml:space="preserve"> paragraf</w:t>
      </w:r>
      <w:r w:rsidR="009F6771">
        <w:t xml:space="preserve"> </w:t>
      </w:r>
      <w:r w:rsidR="009F6771" w:rsidRPr="00710DEE">
        <w:fldChar w:fldCharType="begin"/>
      </w:r>
      <w:r w:rsidR="009F6771" w:rsidRPr="00710DEE">
        <w:instrText xml:space="preserve">REF paragraph00112 \h \* CharFormat </w:instrText>
      </w:r>
      <w:r w:rsidR="009F6771" w:rsidRPr="00710DEE">
        <w:fldChar w:fldCharType="separate"/>
      </w:r>
      <w:r>
        <w:t>115</w:t>
      </w:r>
      <w:r w:rsidR="009F6771" w:rsidRPr="00710DEE">
        <w:fldChar w:fldCharType="end"/>
      </w:r>
      <w:r w:rsidR="009F6771">
        <w:t xml:space="preserve"> powyżej).</w:t>
      </w:r>
    </w:p>
    <w:bookmarkStart w:id="82" w:name="paragraph00145"/>
    <w:p w14:paraId="479E09B0" w14:textId="5EDC68A5"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148</w:t>
      </w:r>
      <w:r w:rsidRPr="00710DEE">
        <w:fldChar w:fldCharType="end"/>
      </w:r>
      <w:bookmarkEnd w:id="82"/>
      <w:r>
        <w:t>.</w:t>
      </w:r>
      <w:r w:rsidR="00BF573B">
        <w:t xml:space="preserve"> </w:t>
      </w:r>
      <w:r>
        <w:t xml:space="preserve">Trybunał odnotowuje rozbieżne stanowiska stron co do tego, czy pierwszy warunek testu z wyroku </w:t>
      </w:r>
      <w:proofErr w:type="spellStart"/>
      <w:r>
        <w:rPr>
          <w:i/>
          <w:iCs/>
        </w:rPr>
        <w:t>Eskelinen</w:t>
      </w:r>
      <w:proofErr w:type="spellEnd"/>
      <w:r>
        <w:t xml:space="preserve"> został spełniony. Zauważa ponadto, że rozpoznawana sprawa różni się od spraw badanych wcześniej w</w:t>
      </w:r>
      <w:r w:rsidR="00C21FB2">
        <w:t> </w:t>
      </w:r>
      <w:r>
        <w:t>odniesieniu do Polski w zakresie cywilnego charakteru prawa dostępu do</w:t>
      </w:r>
      <w:r w:rsidR="00C21FB2">
        <w:t> </w:t>
      </w:r>
      <w:r>
        <w:t>stanowiska sędziowskiego w zakresie, w jakim w tamtych sprawach zarzuty skarżących dotyczyły kontroli uchwał podjętych przez KRS w</w:t>
      </w:r>
      <w:r w:rsidR="00C21FB2">
        <w:t> </w:t>
      </w:r>
      <w:r>
        <w:t xml:space="preserve">nowym składzie (tj. dotyczyły pierwszego etapu procedury nominacyjnej). W sprawie </w:t>
      </w:r>
      <w:r>
        <w:rPr>
          <w:i/>
          <w:iCs/>
        </w:rPr>
        <w:t>Dolińska-Ficek i Ozimek</w:t>
      </w:r>
      <w:r>
        <w:t xml:space="preserve"> (</w:t>
      </w:r>
      <w:hyperlink w:anchor="_cl41129THELAW" w:history="1">
        <w:r w:rsidR="00E44928">
          <w:rPr>
            <w:rStyle w:val="Hipercze"/>
          </w:rPr>
          <w:t>cyt. powyżej</w:t>
        </w:r>
      </w:hyperlink>
      <w:r>
        <w:t>, § 231) skarżący – kandydaci na stanowiska sędziowskie, którzy nie zostali przedstawieni przez KRS – mieli bezsporny dostęp do sądu w celu kontroli właściwej uchwały KRS (przy czym legalność konkretnego organu sądowego właściwego do</w:t>
      </w:r>
      <w:r w:rsidR="00C21FB2">
        <w:t> </w:t>
      </w:r>
      <w:r>
        <w:t xml:space="preserve">przeprowadzenia kontroli została w tamtej sprawie zakwestionowana przez skarżących). Ponadto w sprawie </w:t>
      </w:r>
      <w:proofErr w:type="spellStart"/>
      <w:r>
        <w:rPr>
          <w:i/>
          <w:iCs/>
        </w:rPr>
        <w:t>Sadomski</w:t>
      </w:r>
      <w:proofErr w:type="spellEnd"/>
      <w:r>
        <w:t xml:space="preserve"> (cyt. powyżej, §§ 57–65) dostęp skarżącego do sądu – w celu kontroli uchwały KRS, w której odmówiono przedstawienia wniosku o powołanie skarżącego na stanowisko sędziowskie – był ograniczony w wyniku zmian ustawodawczych wprowadzonych po wszczęciu danej procedury naboru. W niniejszej sprawie natomiast, mimo że orzecznictwo sądów administracyjnych w tej materii utrwaliło się po zdarzeniach będących źródłem zarzutów skarżących (zob. </w:t>
      </w:r>
      <w:r w:rsidR="00C61616">
        <w:t xml:space="preserve"> paragraf</w:t>
      </w:r>
      <w:r>
        <w:t xml:space="preserve"> </w:t>
      </w:r>
      <w:r w:rsidRPr="00710DEE">
        <w:fldChar w:fldCharType="begin"/>
      </w:r>
      <w:r w:rsidRPr="00710DEE">
        <w:instrText xml:space="preserve">REF paragraph00054 \h \* CharFormat </w:instrText>
      </w:r>
      <w:r w:rsidRPr="00710DEE">
        <w:fldChar w:fldCharType="separate"/>
      </w:r>
      <w:r w:rsidR="001A420B">
        <w:t>54</w:t>
      </w:r>
      <w:r w:rsidRPr="00710DEE">
        <w:fldChar w:fldCharType="end"/>
      </w:r>
      <w:r>
        <w:t>-</w:t>
      </w:r>
      <w:r w:rsidRPr="00710DEE">
        <w:fldChar w:fldCharType="begin"/>
      </w:r>
      <w:r w:rsidRPr="00710DEE">
        <w:instrText xml:space="preserve">REF paragraph00055 \h \* CharFormat </w:instrText>
      </w:r>
      <w:r w:rsidRPr="00710DEE">
        <w:fldChar w:fldCharType="separate"/>
      </w:r>
      <w:r w:rsidR="001A420B">
        <w:t>55</w:t>
      </w:r>
      <w:r w:rsidRPr="00710DEE">
        <w:fldChar w:fldCharType="end"/>
      </w:r>
      <w:r>
        <w:t xml:space="preserve"> powyżej), w czasie, w którym dochodziło do przedmiotowych zdarzeń, nie istniały żadne przepisy ustawowe ani orzecznictwo, które jasno i jednoznacznie regulowałyby kwestię uzyskania dostępu do sądu w celu zakwestionowania odmowy powołania kandydatów na stanowiska sędziowskie przez Prezydenta Rzeczypospolitej.</w:t>
      </w:r>
    </w:p>
    <w:p w14:paraId="14E685F9" w14:textId="48A7728F" w:rsidR="00E44928" w:rsidRPr="00710DEE" w:rsidRDefault="001A420B" w:rsidP="00710DEE">
      <w:pPr>
        <w:pStyle w:val="JuPara"/>
      </w:pPr>
      <w:fldSimple w:instr=" SEQ level0 \*arabic \* MERGEFORMAT ">
        <w:bookmarkStart w:id="83" w:name="paragraph00146"/>
        <w:r>
          <w:rPr>
            <w:noProof/>
          </w:rPr>
          <w:t>149</w:t>
        </w:r>
        <w:bookmarkEnd w:id="83"/>
      </w:fldSimple>
      <w:r w:rsidR="009F6771">
        <w:t>.</w:t>
      </w:r>
      <w:r w:rsidR="00BF573B">
        <w:t xml:space="preserve"> </w:t>
      </w:r>
      <w:r w:rsidR="009F6771">
        <w:t xml:space="preserve">Niezależnie od powyższego Trybunał uznaje, że kwestię tę można pozostawić otwartą, ponieważ w każdym razie – z przyczyn wskazanych poniżej – drugi warunek nie został spełniony (por. </w:t>
      </w:r>
      <w:r w:rsidR="009F6771">
        <w:rPr>
          <w:i/>
          <w:iCs/>
        </w:rPr>
        <w:t>Grzęda</w:t>
      </w:r>
      <w:r w:rsidR="009F6771">
        <w:t>, cyt. powyżej, §</w:t>
      </w:r>
      <w:r w:rsidR="00C21FB2">
        <w:t> </w:t>
      </w:r>
      <w:r w:rsidR="009F6771">
        <w:t>294).</w:t>
      </w:r>
    </w:p>
    <w:p w14:paraId="6AAE5D8C" w14:textId="77777777" w:rsidR="00E44928" w:rsidRPr="00710DEE" w:rsidRDefault="009F6771" w:rsidP="00710DEE">
      <w:pPr>
        <w:pStyle w:val="JuH"/>
      </w:pPr>
      <w:r>
        <w:t xml:space="preserve">Drugi warunek testu z wyroku </w:t>
      </w:r>
      <w:proofErr w:type="spellStart"/>
      <w:r>
        <w:t>Eskelinen</w:t>
      </w:r>
      <w:proofErr w:type="spellEnd"/>
    </w:p>
    <w:p w14:paraId="3E47B7A0" w14:textId="5AE2B203" w:rsidR="00E44928" w:rsidRPr="00710DEE" w:rsidRDefault="001A420B" w:rsidP="00710DEE">
      <w:pPr>
        <w:pStyle w:val="JuPara"/>
      </w:pPr>
      <w:fldSimple w:instr=" SEQ level0 \*arabic \* MERGEFORMAT ">
        <w:bookmarkStart w:id="84" w:name="paragraph00147"/>
        <w:r>
          <w:rPr>
            <w:noProof/>
          </w:rPr>
          <w:t>150</w:t>
        </w:r>
        <w:bookmarkEnd w:id="84"/>
      </w:fldSimple>
      <w:r w:rsidR="009F6771">
        <w:t>.</w:t>
      </w:r>
      <w:r w:rsidR="00BF573B">
        <w:t xml:space="preserve"> </w:t>
      </w:r>
      <w:r w:rsidR="009F6771">
        <w:t>Trybunał zbada obecnie, czy w niniejszej sprawie pozbawienie skarżących prawa dostępu do sądu mogło być uzasadnione na podstawie obiektywnych przesłanek interesu państwa.</w:t>
      </w:r>
    </w:p>
    <w:p w14:paraId="605C40F3" w14:textId="42E37527"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151</w:t>
      </w:r>
      <w:r w:rsidRPr="00710DEE">
        <w:fldChar w:fldCharType="end"/>
      </w:r>
      <w:r>
        <w:t>.</w:t>
      </w:r>
      <w:r w:rsidR="00BF573B">
        <w:t xml:space="preserve"> </w:t>
      </w:r>
      <w:r>
        <w:t>W tym związku Trybunał przy wielu okazjach podkreślał szczególną rolę społeczną władzy sądowej, która jako gwarant sprawiedliwości, a więc fundamentalnej wartości w praworządnym państwie, musi cieszyć się zaufaniem publicznym, jeżeli ma z powodzeniem realizować swoje zadania (zob. </w:t>
      </w:r>
      <w:r>
        <w:rPr>
          <w:i/>
          <w:iCs/>
        </w:rPr>
        <w:t>Baka</w:t>
      </w:r>
      <w:r>
        <w:t xml:space="preserve">, </w:t>
      </w:r>
      <w:proofErr w:type="spellStart"/>
      <w:r>
        <w:t>cyt</w:t>
      </w:r>
      <w:proofErr w:type="spellEnd"/>
      <w:r>
        <w:t xml:space="preserve">, powyżej., § 164, oraz przytoczone tam orzecznictwo, jak też </w:t>
      </w:r>
      <w:proofErr w:type="spellStart"/>
      <w:r>
        <w:rPr>
          <w:i/>
        </w:rPr>
        <w:lastRenderedPageBreak/>
        <w:t>Eminağaoğlu</w:t>
      </w:r>
      <w:proofErr w:type="spellEnd"/>
      <w:r>
        <w:t xml:space="preserve">, §§ 76 i 78, oraz </w:t>
      </w:r>
      <w:proofErr w:type="spellStart"/>
      <w:r>
        <w:rPr>
          <w:i/>
        </w:rPr>
        <w:t>Bilgen</w:t>
      </w:r>
      <w:proofErr w:type="spellEnd"/>
      <w:r>
        <w:t xml:space="preserve">, § 58, oba cyt. powyżej). Z uwagi na prominentne miejsce, jakie zajmuje sądownictwo wśród organów państwowych w społeczeństwie </w:t>
      </w:r>
      <w:r w:rsidR="00C43322">
        <w:t>demokratycznym</w:t>
      </w:r>
      <w:r>
        <w:t xml:space="preserve"> i znaczenie trójpodziału władzy i zabezpieczenia należności sądownictwa (zob. </w:t>
      </w:r>
      <w:r>
        <w:rPr>
          <w:i/>
        </w:rPr>
        <w:t xml:space="preserve">Ramos </w:t>
      </w:r>
      <w:proofErr w:type="spellStart"/>
      <w:r>
        <w:rPr>
          <w:i/>
        </w:rPr>
        <w:t>Nunes</w:t>
      </w:r>
      <w:proofErr w:type="spellEnd"/>
      <w:r>
        <w:rPr>
          <w:i/>
        </w:rPr>
        <w:t xml:space="preserve"> de</w:t>
      </w:r>
      <w:r w:rsidR="00C21FB2">
        <w:rPr>
          <w:i/>
        </w:rPr>
        <w:t> </w:t>
      </w:r>
      <w:proofErr w:type="spellStart"/>
      <w:r>
        <w:rPr>
          <w:i/>
        </w:rPr>
        <w:t>Carvalho</w:t>
      </w:r>
      <w:proofErr w:type="spellEnd"/>
      <w:r>
        <w:rPr>
          <w:i/>
        </w:rPr>
        <w:t xml:space="preserve"> e </w:t>
      </w:r>
      <w:proofErr w:type="spellStart"/>
      <w:r>
        <w:rPr>
          <w:i/>
        </w:rPr>
        <w:t>Sá</w:t>
      </w:r>
      <w:proofErr w:type="spellEnd"/>
      <w:r>
        <w:t xml:space="preserve">, cyt. powyżej, § 196 oraz przytoczone tam orzecznictwo), Trybunał musi zwracać szczególną uwagę na ochronę pracowników wymiaru sprawiedliwości przed środkami wpływającymi na ich status lub rozwój zawodowy, które mogłyby zagrażać ich niezawisłości i autonomii sędziowskiej. Trybunał stwierdził, że niezawisłość sędziowska jest przesłanką praworządności (zob. </w:t>
      </w:r>
      <w:proofErr w:type="spellStart"/>
      <w:r>
        <w:rPr>
          <w:i/>
          <w:iCs/>
        </w:rPr>
        <w:t>Guðmundur</w:t>
      </w:r>
      <w:proofErr w:type="spellEnd"/>
      <w:r>
        <w:rPr>
          <w:i/>
          <w:iCs/>
        </w:rPr>
        <w:t xml:space="preserve"> </w:t>
      </w:r>
      <w:proofErr w:type="spellStart"/>
      <w:r>
        <w:rPr>
          <w:i/>
          <w:iCs/>
        </w:rPr>
        <w:t>Andri</w:t>
      </w:r>
      <w:proofErr w:type="spellEnd"/>
      <w:r>
        <w:rPr>
          <w:i/>
          <w:iCs/>
        </w:rPr>
        <w:t xml:space="preserve"> </w:t>
      </w:r>
      <w:proofErr w:type="spellStart"/>
      <w:r>
        <w:rPr>
          <w:i/>
          <w:iCs/>
        </w:rPr>
        <w:t>Ástráðsson</w:t>
      </w:r>
      <w:proofErr w:type="spellEnd"/>
      <w:r>
        <w:t>, cyt.</w:t>
      </w:r>
      <w:r w:rsidR="00C21FB2">
        <w:t> </w:t>
      </w:r>
      <w:r>
        <w:t>powyżej, § 239) oraz że sędziowie mogą stać na straży praworządności i</w:t>
      </w:r>
      <w:r w:rsidR="00C21FB2">
        <w:t> </w:t>
      </w:r>
      <w:r>
        <w:t xml:space="preserve">stosowania Konwencji jedynie wówczas, gdy prawo krajowe nie pozbawia ich gwarancji wynikających z artykułów Konwencji w sprawach bezpośrednio dotyczących ich indywidualnej niezawisłości i bezstronności (zob. </w:t>
      </w:r>
      <w:r>
        <w:rPr>
          <w:i/>
          <w:iCs/>
        </w:rPr>
        <w:t>Grzęda</w:t>
      </w:r>
      <w:r>
        <w:t>, cyt. powyżej, § 264). W tym względzie, jeżeli chodzi o</w:t>
      </w:r>
      <w:r w:rsidR="00C21FB2">
        <w:t> </w:t>
      </w:r>
      <w:r>
        <w:t xml:space="preserve">określenie sądu jako „niezawisły” w rozumieniu art. 6 ust. 1, Trybunał orzekł, że należy mieć na uwadze m.in. sposób powoływania jego członków (zob. np. </w:t>
      </w:r>
      <w:r>
        <w:rPr>
          <w:i/>
          <w:iCs/>
        </w:rPr>
        <w:t xml:space="preserve">Ramos </w:t>
      </w:r>
      <w:proofErr w:type="spellStart"/>
      <w:r>
        <w:rPr>
          <w:i/>
          <w:iCs/>
        </w:rPr>
        <w:t>Nunes</w:t>
      </w:r>
      <w:proofErr w:type="spellEnd"/>
      <w:r>
        <w:rPr>
          <w:i/>
          <w:iCs/>
        </w:rPr>
        <w:t xml:space="preserve"> de </w:t>
      </w:r>
      <w:proofErr w:type="spellStart"/>
      <w:r>
        <w:rPr>
          <w:i/>
          <w:iCs/>
        </w:rPr>
        <w:t>Carvalho</w:t>
      </w:r>
      <w:proofErr w:type="spellEnd"/>
      <w:r>
        <w:rPr>
          <w:i/>
          <w:iCs/>
        </w:rPr>
        <w:t xml:space="preserve"> e </w:t>
      </w:r>
      <w:proofErr w:type="spellStart"/>
      <w:r>
        <w:rPr>
          <w:i/>
          <w:iCs/>
        </w:rPr>
        <w:t>Sá</w:t>
      </w:r>
      <w:proofErr w:type="spellEnd"/>
      <w:r>
        <w:t xml:space="preserve">, § 144, oraz </w:t>
      </w:r>
      <w:proofErr w:type="spellStart"/>
      <w:r>
        <w:rPr>
          <w:i/>
          <w:iCs/>
        </w:rPr>
        <w:t>Guðmundur</w:t>
      </w:r>
      <w:proofErr w:type="spellEnd"/>
      <w:r>
        <w:rPr>
          <w:i/>
          <w:iCs/>
        </w:rPr>
        <w:t xml:space="preserve"> </w:t>
      </w:r>
      <w:proofErr w:type="spellStart"/>
      <w:r>
        <w:rPr>
          <w:i/>
          <w:iCs/>
        </w:rPr>
        <w:t>Andri</w:t>
      </w:r>
      <w:proofErr w:type="spellEnd"/>
      <w:r>
        <w:rPr>
          <w:i/>
          <w:iCs/>
        </w:rPr>
        <w:t xml:space="preserve"> </w:t>
      </w:r>
      <w:proofErr w:type="spellStart"/>
      <w:r>
        <w:rPr>
          <w:i/>
          <w:iCs/>
        </w:rPr>
        <w:t>Ástráðsson</w:t>
      </w:r>
      <w:proofErr w:type="spellEnd"/>
      <w:r>
        <w:t xml:space="preserve">, § 230, oba cyt. powyżej). Jak stwierdził Trybunał w sprawie </w:t>
      </w:r>
      <w:proofErr w:type="spellStart"/>
      <w:r>
        <w:rPr>
          <w:i/>
          <w:iCs/>
        </w:rPr>
        <w:t>Guðmundur</w:t>
      </w:r>
      <w:proofErr w:type="spellEnd"/>
      <w:r>
        <w:rPr>
          <w:i/>
          <w:iCs/>
        </w:rPr>
        <w:t xml:space="preserve"> </w:t>
      </w:r>
      <w:proofErr w:type="spellStart"/>
      <w:r>
        <w:rPr>
          <w:i/>
          <w:iCs/>
        </w:rPr>
        <w:t>Andri</w:t>
      </w:r>
      <w:proofErr w:type="spellEnd"/>
      <w:r>
        <w:rPr>
          <w:i/>
          <w:iCs/>
        </w:rPr>
        <w:t xml:space="preserve"> </w:t>
      </w:r>
      <w:proofErr w:type="spellStart"/>
      <w:r>
        <w:rPr>
          <w:i/>
          <w:iCs/>
        </w:rPr>
        <w:t>Ástráðsson</w:t>
      </w:r>
      <w:proofErr w:type="spellEnd"/>
      <w:r>
        <w:t>, wydaje się, że państwa członkowskie są</w:t>
      </w:r>
      <w:r w:rsidR="00C21FB2">
        <w:t> </w:t>
      </w:r>
      <w:r>
        <w:t>w</w:t>
      </w:r>
      <w:r w:rsidR="00C21FB2">
        <w:t> </w:t>
      </w:r>
      <w:r>
        <w:t>znacznym stopniu jednomyślne co do tego, że wymóg „sądu ustanowionego ustawą” obejmuje proces pierwszego powołania sędziego na</w:t>
      </w:r>
      <w:r w:rsidR="00C21FB2">
        <w:t> </w:t>
      </w:r>
      <w:r>
        <w:t>urząd (ibid., § 228).</w:t>
      </w:r>
    </w:p>
    <w:bookmarkStart w:id="85" w:name="paragraph00149"/>
    <w:p w14:paraId="4E34A396" w14:textId="2B1240CC"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152</w:t>
      </w:r>
      <w:r w:rsidRPr="00710DEE">
        <w:fldChar w:fldCharType="end"/>
      </w:r>
      <w:bookmarkEnd w:id="85"/>
      <w:r>
        <w:t>.</w:t>
      </w:r>
      <w:r w:rsidR="00BF573B">
        <w:t xml:space="preserve"> </w:t>
      </w:r>
      <w:r>
        <w:t xml:space="preserve">Trybunał zauważa, że obiektywne kryteria, którym towarzyszy przejrzysty proces, są uznawane za standard przy wyłanianiu, powoływaniu i awansowaniu sędziów jako gwarancja niezawisłości i autonomii sędziowskiej, dzięki której można uniknąć arbitralnej ingerencji lub niewłaściwego korzystania z uznania (zob. </w:t>
      </w:r>
      <w:proofErr w:type="spellStart"/>
      <w:r>
        <w:rPr>
          <w:i/>
          <w:iCs/>
        </w:rPr>
        <w:t>Bilgen</w:t>
      </w:r>
      <w:proofErr w:type="spellEnd"/>
      <w:r>
        <w:t>, cyt. powyżej, § 63). W</w:t>
      </w:r>
      <w:r w:rsidR="00C21FB2">
        <w:t> </w:t>
      </w:r>
      <w:r>
        <w:t>tym względzie</w:t>
      </w:r>
      <w:r w:rsidR="00636B4B">
        <w:t>,</w:t>
      </w:r>
      <w:r>
        <w:t xml:space="preserve"> w swoim dotychczasowym orzecznictwie</w:t>
      </w:r>
      <w:r w:rsidR="00636B4B">
        <w:t>,</w:t>
      </w:r>
      <w:r>
        <w:t xml:space="preserve"> Trybunał odwoływał się do pkt 25 opinii nr 1 (2001) Rady Konsultacyjnej Sędziów Europejskich (CCJE), w którym Rada zaleca, aby „organy odpowiedzialne w</w:t>
      </w:r>
      <w:r w:rsidR="00C21FB2">
        <w:t> </w:t>
      </w:r>
      <w:r>
        <w:t>państwach członkowskich za nominacje i awanse oraz doradztwo w tym zakresie wprowadzały, publikowały i stosowały kryteria obiektywne w celu zapewnienia, by wybór i kariera zawodowa sędziów były oparte na</w:t>
      </w:r>
      <w:r w:rsidR="00C21FB2">
        <w:t> </w:t>
      </w:r>
      <w:r>
        <w:t>kompetencjach, uwzględniając kwalifikacje, uczciwość, umiejętności i</w:t>
      </w:r>
      <w:r w:rsidR="00C21FB2">
        <w:t> </w:t>
      </w:r>
      <w:r>
        <w:t xml:space="preserve">skuteczność”, oraz podkreślał znaczenie rygorów procesu powoływania sędziów sądów powszechnych w celu zapewnienia, by na stanowiska sędziowskie powoływani byli najlepiej wykwalifikowani kandydaci – zarówno pod względem kompetencji technicznych, jak i nieskazitelności charakteru (zob. </w:t>
      </w:r>
      <w:proofErr w:type="spellStart"/>
      <w:r>
        <w:rPr>
          <w:i/>
          <w:iCs/>
        </w:rPr>
        <w:t>Guðmundur</w:t>
      </w:r>
      <w:proofErr w:type="spellEnd"/>
      <w:r>
        <w:rPr>
          <w:i/>
          <w:iCs/>
        </w:rPr>
        <w:t xml:space="preserve"> </w:t>
      </w:r>
      <w:proofErr w:type="spellStart"/>
      <w:r>
        <w:rPr>
          <w:i/>
          <w:iCs/>
        </w:rPr>
        <w:t>Andri</w:t>
      </w:r>
      <w:proofErr w:type="spellEnd"/>
      <w:r>
        <w:rPr>
          <w:i/>
          <w:iCs/>
        </w:rPr>
        <w:t xml:space="preserve"> </w:t>
      </w:r>
      <w:proofErr w:type="spellStart"/>
      <w:r>
        <w:rPr>
          <w:i/>
          <w:iCs/>
        </w:rPr>
        <w:t>Ástráðsson</w:t>
      </w:r>
      <w:proofErr w:type="spellEnd"/>
      <w:r>
        <w:t xml:space="preserve">, cyt. powyżej, §§ 221–222). Trybunał stwierdził również, że prawo krajowe musi być – w miarę możliwości – sformułowane w sposób jednoznaczny, tak aby nie dopuszczać arbitralnych ingerencji w proces powoływania, w tym ze strony władzy wykonawczej (ibid., § 230). W tym względzie Trybunał zauważa, że istnieje </w:t>
      </w:r>
      <w:r>
        <w:lastRenderedPageBreak/>
        <w:t>wyraźny związek między rzetelnością procesu powoływania sędziów a</w:t>
      </w:r>
      <w:r w:rsidR="00C21FB2">
        <w:t> </w:t>
      </w:r>
      <w:r>
        <w:t xml:space="preserve">wymogiem niezawisłości sędziowskiej określonym w art. 6 ust. 1 (zob. </w:t>
      </w:r>
      <w:proofErr w:type="spellStart"/>
      <w:r>
        <w:rPr>
          <w:i/>
          <w:iCs/>
        </w:rPr>
        <w:t>Thiam</w:t>
      </w:r>
      <w:proofErr w:type="spellEnd"/>
      <w:r>
        <w:t xml:space="preserve">, skarga nr 80018/12, §§ 81–82, 18 października 2018 r.; zob. także </w:t>
      </w:r>
      <w:proofErr w:type="spellStart"/>
      <w:r>
        <w:rPr>
          <w:i/>
          <w:iCs/>
        </w:rPr>
        <w:t>Gloveli</w:t>
      </w:r>
      <w:proofErr w:type="spellEnd"/>
      <w:r>
        <w:t>, cyt. powyżej, § 50 in fine).</w:t>
      </w:r>
    </w:p>
    <w:p w14:paraId="54748E41" w14:textId="764C8D99" w:rsidR="00E44928" w:rsidRPr="00710DEE" w:rsidRDefault="001A420B" w:rsidP="00710DEE">
      <w:pPr>
        <w:pStyle w:val="JuPara"/>
      </w:pPr>
      <w:fldSimple w:instr=" SEQ level0 \*arabic \* MERGEFORMAT ">
        <w:r>
          <w:rPr>
            <w:noProof/>
          </w:rPr>
          <w:t>153</w:t>
        </w:r>
      </w:fldSimple>
      <w:r w:rsidR="009F6771">
        <w:t>.</w:t>
      </w:r>
      <w:r w:rsidR="00BF573B">
        <w:t xml:space="preserve"> </w:t>
      </w:r>
      <w:r w:rsidR="009F6771">
        <w:t xml:space="preserve">Trybunał w dalszej kolejności podkreśla, że arbitralność stanowi zaprzeczenie praworządności (zob. </w:t>
      </w:r>
      <w:r w:rsidR="009F6771">
        <w:rPr>
          <w:i/>
          <w:iCs/>
        </w:rPr>
        <w:t>Al-</w:t>
      </w:r>
      <w:proofErr w:type="spellStart"/>
      <w:r w:rsidR="009F6771">
        <w:rPr>
          <w:i/>
          <w:iCs/>
        </w:rPr>
        <w:t>Dulimi</w:t>
      </w:r>
      <w:proofErr w:type="spellEnd"/>
      <w:r w:rsidR="009F6771">
        <w:rPr>
          <w:i/>
          <w:iCs/>
        </w:rPr>
        <w:t xml:space="preserve"> i Montana Management Inc. przeciwko Szwajcarii</w:t>
      </w:r>
      <w:r w:rsidR="009F6771">
        <w:t xml:space="preserve"> [WI], skarga nr 5809/08, § 145, 21 czerwca 2016 r.) i</w:t>
      </w:r>
      <w:r w:rsidR="00C21FB2">
        <w:t> </w:t>
      </w:r>
      <w:r w:rsidR="009F6771">
        <w:t xml:space="preserve">nie może być tolerowana w odniesieniu do praw procesowych w większym stopniu niż w odniesieniu do praw materialnych. W tym sensie Konwencja jest zasadniczo instrumentem praworządności (zob. </w:t>
      </w:r>
      <w:r w:rsidR="009F6771">
        <w:rPr>
          <w:i/>
          <w:iCs/>
        </w:rPr>
        <w:t>Grzęda</w:t>
      </w:r>
      <w:r w:rsidR="009F6771">
        <w:t>, cyt. powyżej, §</w:t>
      </w:r>
      <w:r w:rsidR="00C21FB2">
        <w:t> </w:t>
      </w:r>
      <w:r w:rsidR="009F6771">
        <w:t xml:space="preserve">339). Trybunał przypomina ponadto uwagę, jaką poczynił w sprawie </w:t>
      </w:r>
      <w:proofErr w:type="spellStart"/>
      <w:r w:rsidR="009F6771" w:rsidRPr="00C43322">
        <w:rPr>
          <w:i/>
          <w:iCs/>
        </w:rPr>
        <w:t>Bilgen</w:t>
      </w:r>
      <w:proofErr w:type="spellEnd"/>
      <w:r w:rsidR="009F6771">
        <w:t xml:space="preserve"> (cyt. powyżej, § 63), że – bez podawania w wątpliwość legalności istniejących systemów powoływania sędziów w państwach członkowskich – prawo przedstawiciela władzy sądowniczej do ochrony m.in. przed arbitralnym powołaniem jest potwierdzone normami międzynarodowymi jako dopełnienie zasady niezawisłości sędziowskiej.</w:t>
      </w:r>
    </w:p>
    <w:p w14:paraId="16822883" w14:textId="71E12F53" w:rsidR="00E44928" w:rsidRPr="00710DEE" w:rsidRDefault="001A420B" w:rsidP="00710DEE">
      <w:pPr>
        <w:pStyle w:val="JuPara"/>
      </w:pPr>
      <w:fldSimple w:instr=" SEQ level0 \*arabic \* MERGEFORMAT ">
        <w:r>
          <w:rPr>
            <w:noProof/>
          </w:rPr>
          <w:t>154</w:t>
        </w:r>
      </w:fldSimple>
      <w:r w:rsidR="009F6771">
        <w:t>.</w:t>
      </w:r>
      <w:r w:rsidR="00BF573B">
        <w:t xml:space="preserve"> </w:t>
      </w:r>
      <w:r w:rsidR="009F6771">
        <w:t>Ostatnio, również w odniesieniu do Polski, Trybunał stwierdził, że</w:t>
      </w:r>
      <w:r w:rsidR="00C21FB2">
        <w:t> </w:t>
      </w:r>
      <w:r w:rsidR="009F6771">
        <w:t>przedstawiciele władzy sądowniczej powinni korzystać z ochrony przed arbitralnością ze strony władzy ustawodawczej i wykonawczej – w</w:t>
      </w:r>
      <w:r w:rsidR="00C21FB2">
        <w:t> </w:t>
      </w:r>
      <w:r w:rsidR="009F6771">
        <w:t>szczególności w związku z rozstrzygnięciem o prawie sędziego do</w:t>
      </w:r>
      <w:r w:rsidR="00C21FB2">
        <w:t> </w:t>
      </w:r>
      <w:r w:rsidR="009F6771">
        <w:t xml:space="preserve">dalszego zajmowania urzędu po osiągnięciu określonego wieku (zob. </w:t>
      </w:r>
      <w:bookmarkStart w:id="86" w:name="_cl43843THELAW"/>
      <w:r w:rsidR="009F6771">
        <w:rPr>
          <w:i/>
          <w:iCs/>
        </w:rPr>
        <w:t>Pająk i Inni przeciwko Polsce</w:t>
      </w:r>
      <w:bookmarkEnd w:id="86"/>
      <w:r w:rsidR="009F6771">
        <w:t xml:space="preserve">, skargi nr 25226/18 i 3 inne, § 139, 24 października 2023 r.) oraz w kontekście przeniesienia sędziego wbrew jego woli do innego wydziału tego samego sądu (zob. </w:t>
      </w:r>
      <w:r w:rsidR="009F6771">
        <w:rPr>
          <w:i/>
          <w:iCs/>
        </w:rPr>
        <w:t>Biliński przeciwko Polsce</w:t>
      </w:r>
      <w:r w:rsidR="009F6771">
        <w:t>, skarga nr 13278/20, §§ 60–69, 15 stycznia 2026 r.).</w:t>
      </w:r>
    </w:p>
    <w:bookmarkStart w:id="87" w:name="paragraph00152"/>
    <w:p w14:paraId="1A58D55A" w14:textId="3FD00667" w:rsidR="00E44928" w:rsidRPr="00710DEE" w:rsidRDefault="009F6771" w:rsidP="00710DEE">
      <w:pPr>
        <w:pStyle w:val="JuPara"/>
      </w:pPr>
      <w:r w:rsidRPr="00710DEE">
        <w:fldChar w:fldCharType="begin"/>
      </w:r>
      <w:r w:rsidRPr="00710DEE">
        <w:instrText xml:space="preserve"> SEQ level0 \*arabic \* MERGEFORMAT </w:instrText>
      </w:r>
      <w:r w:rsidRPr="00710DEE">
        <w:fldChar w:fldCharType="separate"/>
      </w:r>
      <w:r w:rsidR="001A420B">
        <w:rPr>
          <w:noProof/>
        </w:rPr>
        <w:t>155</w:t>
      </w:r>
      <w:r w:rsidRPr="00710DEE">
        <w:fldChar w:fldCharType="end"/>
      </w:r>
      <w:bookmarkEnd w:id="87"/>
      <w:r>
        <w:t>.</w:t>
      </w:r>
      <w:r w:rsidR="00BF573B">
        <w:t xml:space="preserve"> </w:t>
      </w:r>
      <w:r>
        <w:t xml:space="preserve">Przechodząc do okoliczności niniejszej sprawy, Trybunał zauważa, że </w:t>
      </w:r>
      <w:r w:rsidR="00014AF6">
        <w:t>r</w:t>
      </w:r>
      <w:r>
        <w:t xml:space="preserve">ząd przyznał, iż decyzja Prezydenta Rzeczypospolitej o odmowie powołania skarżących na stanowiska sędziowskie nie została poddana (ani nie podlegała) kontroli żadnego organu wykonującego władzę sądowniczą. Rząd zasadniczo argumentował jednak, że wyłączenie możliwości wystąpienia o kontrolę sądową było mimo to konieczne w okolicznościach leżących u podstaw niniejszej sprawy ze względu na konstytucyjne prerogatywy i rolę Prezydenta Rzeczypospolitej w powoływaniu sędziów (zob. </w:t>
      </w:r>
      <w:r w:rsidR="00C61616">
        <w:t xml:space="preserve"> paragraf</w:t>
      </w:r>
      <w:r>
        <w:t xml:space="preserve"> </w:t>
      </w:r>
      <w:r w:rsidRPr="00710DEE">
        <w:fldChar w:fldCharType="begin"/>
      </w:r>
      <w:r w:rsidRPr="00710DEE">
        <w:instrText xml:space="preserve">REF paragraph00100 \h \* CharFormat  \* MERGEFORMAT </w:instrText>
      </w:r>
      <w:r w:rsidRPr="00710DEE">
        <w:fldChar w:fldCharType="separate"/>
      </w:r>
      <w:r w:rsidR="001A420B">
        <w:t>103</w:t>
      </w:r>
      <w:r w:rsidRPr="00710DEE">
        <w:fldChar w:fldCharType="end"/>
      </w:r>
      <w:r>
        <w:t xml:space="preserve"> powyżej; por. </w:t>
      </w:r>
      <w:proofErr w:type="spellStart"/>
      <w:r>
        <w:rPr>
          <w:i/>
          <w:iCs/>
        </w:rPr>
        <w:t>Misiūnas</w:t>
      </w:r>
      <w:proofErr w:type="spellEnd"/>
      <w:r>
        <w:t>, cyt. powyżej, §§ 70 i 108).</w:t>
      </w:r>
    </w:p>
    <w:p w14:paraId="5CFD942B" w14:textId="55C63DD0"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156</w:t>
      </w:r>
      <w:r w:rsidRPr="00710DEE">
        <w:fldChar w:fldCharType="end"/>
      </w:r>
      <w:r>
        <w:t>.</w:t>
      </w:r>
      <w:r w:rsidR="00BF573B">
        <w:t xml:space="preserve"> </w:t>
      </w:r>
      <w:r>
        <w:t xml:space="preserve">Trybunał zauważa, że podobna (choć niespójna) wykładnia wynika z orzeczeń krajowych związanych z tymi zagadnieniami, wydanych zarówno w postępowaniach dotyczących skarżących, jak i w innych sprawach. Sądy administracyjne, jak już zauważono powyżej </w:t>
      </w:r>
      <w:proofErr w:type="gramStart"/>
      <w:r>
        <w:t>(</w:t>
      </w:r>
      <w:r w:rsidR="00C61616">
        <w:t xml:space="preserve"> paragraf</w:t>
      </w:r>
      <w:proofErr w:type="gramEnd"/>
      <w:r>
        <w:t xml:space="preserve"> </w:t>
      </w:r>
      <w:r w:rsidRPr="00710DEE">
        <w:fldChar w:fldCharType="begin"/>
      </w:r>
      <w:r w:rsidRPr="00710DEE">
        <w:instrText xml:space="preserve">REF paragraph00145 \h \* CharFormat  \* MERGEFORMAT </w:instrText>
      </w:r>
      <w:r w:rsidRPr="00710DEE">
        <w:fldChar w:fldCharType="separate"/>
      </w:r>
      <w:r w:rsidR="001A420B">
        <w:t>148</w:t>
      </w:r>
      <w:r w:rsidRPr="00710DEE">
        <w:fldChar w:fldCharType="end"/>
      </w:r>
      <w:r>
        <w:t xml:space="preserve">), wypracowały dość spójne podejście, uznając, że decyzje Prezydenta Rzeczypospolitej pozostają poza ich właściwością (wedle ustawy z 2002 r. – zob. </w:t>
      </w:r>
      <w:r w:rsidR="00C61616">
        <w:t xml:space="preserve"> paragraf</w:t>
      </w:r>
      <w:r>
        <w:t xml:space="preserve"> </w:t>
      </w:r>
      <w:r w:rsidRPr="00710DEE">
        <w:fldChar w:fldCharType="begin"/>
      </w:r>
      <w:r w:rsidRPr="00710DEE">
        <w:instrText xml:space="preserve">REF paragraph00052 \h \* CharFormat  \* MERGEFORMAT </w:instrText>
      </w:r>
      <w:r w:rsidRPr="00710DEE">
        <w:fldChar w:fldCharType="separate"/>
      </w:r>
      <w:r w:rsidR="001A420B">
        <w:t>52</w:t>
      </w:r>
      <w:r w:rsidRPr="00710DEE">
        <w:fldChar w:fldCharType="end"/>
      </w:r>
      <w:r>
        <w:t>-</w:t>
      </w:r>
      <w:r w:rsidRPr="00710DEE">
        <w:fldChar w:fldCharType="begin"/>
      </w:r>
      <w:r w:rsidRPr="00710DEE">
        <w:instrText xml:space="preserve">REF paragraph00058 \h \* CharFormat  \* MERGEFORMAT </w:instrText>
      </w:r>
      <w:r w:rsidRPr="00710DEE">
        <w:fldChar w:fldCharType="separate"/>
      </w:r>
      <w:r w:rsidR="001A420B">
        <w:t>58</w:t>
      </w:r>
      <w:r w:rsidRPr="00710DEE">
        <w:fldChar w:fldCharType="end"/>
      </w:r>
      <w:r>
        <w:t xml:space="preserve"> powyżej). Trybunał zauważa jednak, że w niektórych przypadkach (zob. </w:t>
      </w:r>
      <w:r w:rsidR="00C61616">
        <w:t xml:space="preserve"> paragraf</w:t>
      </w:r>
      <w:r>
        <w:t xml:space="preserve"> </w:t>
      </w:r>
      <w:r w:rsidRPr="00710DEE">
        <w:fldChar w:fldCharType="begin"/>
      </w:r>
      <w:r w:rsidRPr="00710DEE">
        <w:instrText xml:space="preserve">REF paragraph00053 \h \* CharFormat  \* MERGEFORMAT </w:instrText>
      </w:r>
      <w:r w:rsidRPr="00710DEE">
        <w:fldChar w:fldCharType="separate"/>
      </w:r>
      <w:r w:rsidR="001A420B">
        <w:t>53</w:t>
      </w:r>
      <w:r w:rsidRPr="00710DEE">
        <w:fldChar w:fldCharType="end"/>
      </w:r>
      <w:r>
        <w:t xml:space="preserve"> i </w:t>
      </w:r>
      <w:r w:rsidRPr="00710DEE">
        <w:fldChar w:fldCharType="begin"/>
      </w:r>
      <w:r w:rsidRPr="00710DEE">
        <w:instrText xml:space="preserve">REF paragraph00057 \h \* CharFormat  \* MERGEFORMAT </w:instrText>
      </w:r>
      <w:r w:rsidRPr="00710DEE">
        <w:fldChar w:fldCharType="separate"/>
      </w:r>
      <w:r w:rsidR="001A420B">
        <w:t>57</w:t>
      </w:r>
      <w:r w:rsidRPr="00710DEE">
        <w:fldChar w:fldCharType="end"/>
      </w:r>
      <w:r>
        <w:t xml:space="preserve"> powyżej) sądy administracyjne wykroczyły poza to ustalenie i poczyniły istotne uwagi co do zagrożenia, jakie dla konstytucyjnej zasady równego dostępu do służby publicznej (oraz dla niezależności sądownictwa </w:t>
      </w:r>
      <w:r>
        <w:lastRenderedPageBreak/>
        <w:t>w ogóle) stwarzałoby przyznanie Prezydentowi Rzeczypospolitej nieograniczonego uprawnienia do odmowy powołań sędziowskich. Co się tyczy orzeczeń Trybunału Konstytucyjnego wynikających z postanowienia Prezydenta o</w:t>
      </w:r>
      <w:r w:rsidR="00C21FB2">
        <w:t> </w:t>
      </w:r>
      <w:r>
        <w:t xml:space="preserve">odmowie powołania skarżących, nie sposób nie przypomnieć zaniepokojenia (zob. </w:t>
      </w:r>
      <w:r w:rsidR="00C61616">
        <w:t xml:space="preserve"> paragraf</w:t>
      </w:r>
      <w:r>
        <w:t xml:space="preserve"> </w:t>
      </w:r>
      <w:r w:rsidRPr="00710DEE">
        <w:fldChar w:fldCharType="begin"/>
      </w:r>
      <w:r w:rsidRPr="00710DEE">
        <w:instrText xml:space="preserve">REF paragraph00090 \h \* CharFormat  \* MERGEFORMAT </w:instrText>
      </w:r>
      <w:r w:rsidRPr="00710DEE">
        <w:fldChar w:fldCharType="separate"/>
      </w:r>
      <w:r w:rsidR="001A420B">
        <w:t>93</w:t>
      </w:r>
      <w:r w:rsidRPr="00710DEE">
        <w:fldChar w:fldCharType="end"/>
      </w:r>
      <w:r>
        <w:t xml:space="preserve"> powyżej), jakie Trybunał wyraża co do braku spójności między rozstrzygnięciami w obu grupach postępowań. Trybunał odnotowuje przy tym ustalenia Trybunału Konstytucyjnego w wyroku z dnia 5 czerwca 2012 r. (zob. </w:t>
      </w:r>
      <w:r w:rsidR="00C61616">
        <w:t xml:space="preserve"> paragraf</w:t>
      </w:r>
      <w:r>
        <w:t xml:space="preserve"> </w:t>
      </w:r>
      <w:r w:rsidRPr="00710DEE">
        <w:fldChar w:fldCharType="begin"/>
      </w:r>
      <w:r w:rsidRPr="00710DEE">
        <w:instrText xml:space="preserve">REF paragraph00051 \h \* CharFormat  \* MERGEFORMAT </w:instrText>
      </w:r>
      <w:r w:rsidRPr="00710DEE">
        <w:fldChar w:fldCharType="separate"/>
      </w:r>
      <w:r w:rsidR="001A420B">
        <w:t>51</w:t>
      </w:r>
      <w:r w:rsidRPr="00710DEE">
        <w:fldChar w:fldCharType="end"/>
      </w:r>
      <w:r>
        <w:t xml:space="preserve"> powyżej) – w szczególności w zakresie, w</w:t>
      </w:r>
      <w:r w:rsidR="00C21FB2">
        <w:t> </w:t>
      </w:r>
      <w:r>
        <w:t>jakim charakteryzują naturę kompetencji prezydenckiej jako podkreślającą niezależność władzy sądowniczej od pozostałych władz, wykonywaną w</w:t>
      </w:r>
      <w:r w:rsidR="00C21FB2">
        <w:t> </w:t>
      </w:r>
      <w:r>
        <w:t>granicach zasad i wartości wyrażonych w Konstytucji, a nie jako upoważniającą Prezydenta Rzeczypospolitej do działania całkowicie swobodnego.</w:t>
      </w:r>
    </w:p>
    <w:p w14:paraId="072A117D" w14:textId="469DA897" w:rsidR="00E44928" w:rsidRPr="00710DEE" w:rsidRDefault="001A420B" w:rsidP="00710DEE">
      <w:pPr>
        <w:pStyle w:val="JuPara"/>
      </w:pPr>
      <w:fldSimple w:instr=" SEQ level0 \*arabic \* MERGEFORMAT ">
        <w:r>
          <w:rPr>
            <w:noProof/>
          </w:rPr>
          <w:t>157</w:t>
        </w:r>
      </w:fldSimple>
      <w:r w:rsidR="009F6771">
        <w:t>.</w:t>
      </w:r>
      <w:r w:rsidR="00BF573B">
        <w:t xml:space="preserve"> </w:t>
      </w:r>
      <w:r w:rsidR="009F6771">
        <w:t xml:space="preserve">Trybunał odnotowuje argument </w:t>
      </w:r>
      <w:r w:rsidR="00014AF6">
        <w:t>r</w:t>
      </w:r>
      <w:r w:rsidR="009F6771">
        <w:t xml:space="preserve">ządu, że w istotnym dla sprawy czasie skarżący pracowali jako asesorzy sądowi (zob. </w:t>
      </w:r>
      <w:r w:rsidR="00C61616">
        <w:t xml:space="preserve"> paragraf</w:t>
      </w:r>
      <w:r w:rsidR="009F6771">
        <w:t xml:space="preserve"> </w:t>
      </w:r>
      <w:r w:rsidR="009F6771" w:rsidRPr="00710DEE">
        <w:fldChar w:fldCharType="begin"/>
      </w:r>
      <w:r w:rsidR="009F6771" w:rsidRPr="00710DEE">
        <w:instrText xml:space="preserve">REF paragraph00006 \h \* CharFormat </w:instrText>
      </w:r>
      <w:r w:rsidR="009F6771" w:rsidRPr="00710DEE">
        <w:fldChar w:fldCharType="separate"/>
      </w:r>
      <w:r>
        <w:t>6</w:t>
      </w:r>
      <w:r w:rsidR="009F6771" w:rsidRPr="00710DEE">
        <w:fldChar w:fldCharType="end"/>
      </w:r>
      <w:r w:rsidR="009F6771">
        <w:t xml:space="preserve"> powyżej), a</w:t>
      </w:r>
      <w:r w:rsidR="00C21FB2">
        <w:t> </w:t>
      </w:r>
      <w:r w:rsidR="009F6771">
        <w:t xml:space="preserve">zatem nie byli pełnoprawnymi sędziami korzystającymi z takich samych gwarancji niezawisłości. W istocie kwestia (braku) niezawisłości asesorów sądowych wedle uregulowań obowiązujących w istotnym dla sprawy czasie była już badana przez tutejszy Trybunał w sprawie </w:t>
      </w:r>
      <w:bookmarkStart w:id="88" w:name="_cl27477THELAW"/>
      <w:r w:rsidR="009F6771">
        <w:rPr>
          <w:i/>
          <w:iCs/>
        </w:rPr>
        <w:t>Henryk Urban i Ryszard Urban</w:t>
      </w:r>
      <w:r w:rsidR="009F6771">
        <w:t xml:space="preserve"> (cyt. powyżej</w:t>
      </w:r>
      <w:bookmarkEnd w:id="88"/>
      <w:r w:rsidR="009F6771">
        <w:t xml:space="preserve">). Mając to jednak na uwadze, w świetle przepisów mających zastosowanie w istotnym dla sprawy czasie (zob. </w:t>
      </w:r>
      <w:r w:rsidR="00C61616">
        <w:t xml:space="preserve"> paragraf</w:t>
      </w:r>
      <w:r w:rsidR="009F6771">
        <w:t xml:space="preserve"> </w:t>
      </w:r>
      <w:r w:rsidR="009F6771" w:rsidRPr="00710DEE">
        <w:fldChar w:fldCharType="begin"/>
      </w:r>
      <w:r w:rsidR="009F6771" w:rsidRPr="00710DEE">
        <w:instrText xml:space="preserve">REF paragraph00040 \h \* CharFormat </w:instrText>
      </w:r>
      <w:r w:rsidR="009F6771" w:rsidRPr="00710DEE">
        <w:fldChar w:fldCharType="separate"/>
      </w:r>
      <w:r>
        <w:t>40</w:t>
      </w:r>
      <w:r w:rsidR="009F6771" w:rsidRPr="00710DEE">
        <w:fldChar w:fldCharType="end"/>
      </w:r>
      <w:r w:rsidR="009F6771">
        <w:t>-</w:t>
      </w:r>
      <w:r w:rsidR="009F6771" w:rsidRPr="00710DEE">
        <w:fldChar w:fldCharType="begin"/>
      </w:r>
      <w:r w:rsidR="009F6771" w:rsidRPr="00710DEE">
        <w:instrText xml:space="preserve">REF paragraph00043 \h \* CharFormat </w:instrText>
      </w:r>
      <w:r w:rsidR="009F6771" w:rsidRPr="00710DEE">
        <w:fldChar w:fldCharType="separate"/>
      </w:r>
      <w:r>
        <w:t>43</w:t>
      </w:r>
      <w:r w:rsidR="009F6771" w:rsidRPr="00710DEE">
        <w:fldChar w:fldCharType="end"/>
      </w:r>
      <w:r w:rsidR="009F6771">
        <w:t xml:space="preserve"> powyżej) nie może być wątpliwości, że asesorzy sądowi ogółem (a skarżący w niniejszej sprawie w szczególności) byli przedstawicielami władzy sądowniczej, do których co do zasady powinny mieć zastosowanie właściwe gwarancje niezawisłości. Co więcej, nawet gdyby skarżący nie byli już przedstawicielami władzy sądowniczej (tj. np. gdyby ubiegali się o wakujące stanowiska sędziowskie na podstawie wcześniejszego doświadczenia w</w:t>
      </w:r>
      <w:r w:rsidR="00C21FB2">
        <w:t> </w:t>
      </w:r>
      <w:r w:rsidR="009F6771">
        <w:t xml:space="preserve">innych zawodach prawniczych), proces ich powołania musiałby z mocy prawa być w równym stopniu chroniony przed arbitralnością (zob. </w:t>
      </w:r>
      <w:proofErr w:type="spellStart"/>
      <w:r w:rsidR="009F6771">
        <w:rPr>
          <w:i/>
          <w:iCs/>
        </w:rPr>
        <w:t>Guðmundur</w:t>
      </w:r>
      <w:proofErr w:type="spellEnd"/>
      <w:r w:rsidR="009F6771">
        <w:rPr>
          <w:i/>
          <w:iCs/>
        </w:rPr>
        <w:t xml:space="preserve"> </w:t>
      </w:r>
      <w:proofErr w:type="spellStart"/>
      <w:r w:rsidR="009F6771">
        <w:rPr>
          <w:i/>
          <w:iCs/>
        </w:rPr>
        <w:t>Andri</w:t>
      </w:r>
      <w:proofErr w:type="spellEnd"/>
      <w:r w:rsidR="009F6771">
        <w:rPr>
          <w:i/>
          <w:iCs/>
        </w:rPr>
        <w:t xml:space="preserve"> </w:t>
      </w:r>
      <w:proofErr w:type="spellStart"/>
      <w:r w:rsidR="009F6771">
        <w:rPr>
          <w:i/>
          <w:iCs/>
        </w:rPr>
        <w:t>Ástráðsson</w:t>
      </w:r>
      <w:proofErr w:type="spellEnd"/>
      <w:r w:rsidR="009F6771">
        <w:t xml:space="preserve">, § 230, oraz </w:t>
      </w:r>
      <w:r w:rsidR="009F6771">
        <w:rPr>
          <w:i/>
          <w:iCs/>
        </w:rPr>
        <w:t>Baka</w:t>
      </w:r>
      <w:r w:rsidR="009F6771">
        <w:t xml:space="preserve">, § 105, oba cyt. powyżej; zob. także </w:t>
      </w:r>
      <w:proofErr w:type="spellStart"/>
      <w:r w:rsidR="009F6771">
        <w:rPr>
          <w:i/>
          <w:iCs/>
        </w:rPr>
        <w:t>Oktay</w:t>
      </w:r>
      <w:proofErr w:type="spellEnd"/>
      <w:r w:rsidR="009F6771">
        <w:rPr>
          <w:i/>
          <w:iCs/>
        </w:rPr>
        <w:t xml:space="preserve"> Alkan</w:t>
      </w:r>
      <w:r w:rsidR="009F6771">
        <w:t xml:space="preserve">, </w:t>
      </w:r>
      <w:hyperlink w:anchor="_cl42572THELAW" w:history="1">
        <w:r w:rsidR="00E44928">
          <w:rPr>
            <w:rStyle w:val="Hipercze"/>
          </w:rPr>
          <w:t>cyt. powyżej</w:t>
        </w:r>
      </w:hyperlink>
      <w:r w:rsidR="009F6771">
        <w:t>, § 58).</w:t>
      </w:r>
    </w:p>
    <w:p w14:paraId="73ED900B" w14:textId="29597968" w:rsidR="00E44928" w:rsidRPr="00710DEE" w:rsidRDefault="001A420B" w:rsidP="00710DEE">
      <w:pPr>
        <w:pStyle w:val="JuPara"/>
      </w:pPr>
      <w:fldSimple w:instr=" SEQ level0 \*arabic \* MERGEFORMAT ">
        <w:bookmarkStart w:id="89" w:name="paragraph00155"/>
        <w:r>
          <w:rPr>
            <w:noProof/>
          </w:rPr>
          <w:t>158</w:t>
        </w:r>
        <w:bookmarkEnd w:id="89"/>
      </w:fldSimple>
      <w:r w:rsidR="009F6771">
        <w:t>.</w:t>
      </w:r>
      <w:r w:rsidR="00BF573B">
        <w:t xml:space="preserve"> </w:t>
      </w:r>
      <w:r w:rsidR="009F6771">
        <w:t>W tym kontekście Trybunał uznaje, że – mając na względzie szczególne okoliczności niniejszej sprawy – postanowienia o odmowie powołania skarżących (asesorów sądowych, którzy spełnili ustawowe wymogi) bez podania jakiegokolwiek uzasadnienia oraz braku jakiejkolwiek kontroli sądowej tego postanowienia nie można uznać – ze względu na</w:t>
      </w:r>
      <w:r w:rsidR="00C21FB2">
        <w:t> </w:t>
      </w:r>
      <w:r w:rsidR="009F6771">
        <w:t xml:space="preserve">znaczenie ochrony niezawisłości sędziowskiej – za leżące w interesie państwa prawnego (zob. </w:t>
      </w:r>
      <w:proofErr w:type="spellStart"/>
      <w:r w:rsidR="009F6771">
        <w:rPr>
          <w:i/>
          <w:iCs/>
        </w:rPr>
        <w:t>Misiūnas</w:t>
      </w:r>
      <w:proofErr w:type="spellEnd"/>
      <w:r w:rsidR="009F6771">
        <w:t xml:space="preserve">, </w:t>
      </w:r>
      <w:hyperlink w:anchor="_cl45034THELAW" w:history="1">
        <w:r w:rsidR="00E44928">
          <w:rPr>
            <w:rStyle w:val="Hipercze"/>
          </w:rPr>
          <w:t>cyt. powyżej</w:t>
        </w:r>
      </w:hyperlink>
      <w:r w:rsidR="009F6771">
        <w:t xml:space="preserve">, § 96). Trybunał odwołuje się w tym względzie do właściwych standardów międzynarodowych, które podobnie stanowią, że każda decyzja dotycząca wyboru i kariery zawodowej sędziów – lub przynajmniej procedura, w ramach której taka decyzja jest podejmowana – powinna podlegać kontroli sądowej (ibid.; zob. także, </w:t>
      </w:r>
      <w:r w:rsidR="009F6771" w:rsidRPr="00C43322">
        <w:rPr>
          <w:i/>
          <w:iCs/>
        </w:rPr>
        <w:t>mutatis mutandis</w:t>
      </w:r>
      <w:r w:rsidR="009F6771">
        <w:t xml:space="preserve">, </w:t>
      </w:r>
      <w:proofErr w:type="spellStart"/>
      <w:r w:rsidR="009F6771">
        <w:rPr>
          <w:i/>
          <w:iCs/>
        </w:rPr>
        <w:t>Gloveli</w:t>
      </w:r>
      <w:proofErr w:type="spellEnd"/>
      <w:r w:rsidR="009F6771">
        <w:t xml:space="preserve">, cyt. powyżej, §§ 24–29). Jednocześnie Trybunał zauważa, że nie jest powołany do kontroli systemów powoływania sędziów </w:t>
      </w:r>
      <w:r w:rsidR="009F6771">
        <w:lastRenderedPageBreak/>
        <w:t xml:space="preserve">funkcjonujących w poszczególnych państwach członkowskich Rady Europy. Jak już zauważył w swoim orzecznictwie, w Europie stosuje się różnorodne systemy wyłaniania i powoływania sędziów, a decydujące znaczenie ma to, by powołani sędziowie byli wolni od wpływu lub nacisku przy wykonywaniu swojej funkcji orzeczniczej (zob. </w:t>
      </w:r>
      <w:proofErr w:type="spellStart"/>
      <w:r w:rsidR="009F6771">
        <w:rPr>
          <w:i/>
          <w:iCs/>
        </w:rPr>
        <w:t>Guðmundur</w:t>
      </w:r>
      <w:proofErr w:type="spellEnd"/>
      <w:r w:rsidR="009F6771">
        <w:rPr>
          <w:i/>
          <w:iCs/>
        </w:rPr>
        <w:t xml:space="preserve"> </w:t>
      </w:r>
      <w:proofErr w:type="spellStart"/>
      <w:r w:rsidR="009F6771">
        <w:rPr>
          <w:i/>
          <w:iCs/>
        </w:rPr>
        <w:t>Andri</w:t>
      </w:r>
      <w:proofErr w:type="spellEnd"/>
      <w:r w:rsidR="009F6771">
        <w:rPr>
          <w:i/>
          <w:iCs/>
        </w:rPr>
        <w:t xml:space="preserve"> </w:t>
      </w:r>
      <w:proofErr w:type="spellStart"/>
      <w:r w:rsidR="009F6771">
        <w:rPr>
          <w:i/>
          <w:iCs/>
        </w:rPr>
        <w:t>Ástráðsson</w:t>
      </w:r>
      <w:proofErr w:type="spellEnd"/>
      <w:r w:rsidR="009F6771">
        <w:t xml:space="preserve">, cyt. powyżej, § 207, oraz </w:t>
      </w:r>
      <w:bookmarkStart w:id="90" w:name="_cl40698THELAW"/>
      <w:r w:rsidR="009F6771">
        <w:rPr>
          <w:i/>
          <w:iCs/>
        </w:rPr>
        <w:t>Xero Flor w Polsce sp. z o.o. przeciwko Polsce</w:t>
      </w:r>
      <w:bookmarkEnd w:id="90"/>
      <w:r w:rsidR="009F6771">
        <w:t xml:space="preserve">, skarga nr 4907/18, § 252, 7 maja 2021 r.). Pojawia się jednak pytanie, czy w danym przypadku wymogi Konwencji są spełnione (zob. </w:t>
      </w:r>
      <w:proofErr w:type="spellStart"/>
      <w:r w:rsidR="009F6771">
        <w:rPr>
          <w:i/>
        </w:rPr>
        <w:t>Kleyn</w:t>
      </w:r>
      <w:proofErr w:type="spellEnd"/>
      <w:r w:rsidR="009F6771">
        <w:rPr>
          <w:i/>
        </w:rPr>
        <w:t xml:space="preserve"> i Inni przeciwko Holandii</w:t>
      </w:r>
      <w:r w:rsidR="009F6771">
        <w:t xml:space="preserve"> [WI], skargi nr 39343/98 i 3 inne, § 193, ETPC 2003</w:t>
      </w:r>
      <w:r w:rsidR="009F6771">
        <w:noBreakHyphen/>
        <w:t xml:space="preserve">VI, oraz </w:t>
      </w:r>
      <w:r w:rsidR="009F6771">
        <w:rPr>
          <w:i/>
        </w:rPr>
        <w:t>Henryk Urban and Ryszard Urban</w:t>
      </w:r>
      <w:r w:rsidR="009F6771">
        <w:t>, cyt. powyżej, § 46).</w:t>
      </w:r>
    </w:p>
    <w:p w14:paraId="7BBBF991" w14:textId="0AC6FFF0" w:rsidR="00E44928" w:rsidRPr="00710DEE" w:rsidRDefault="001A420B" w:rsidP="00710DEE">
      <w:pPr>
        <w:pStyle w:val="JuPara"/>
      </w:pPr>
      <w:fldSimple w:instr=" SEQ level0 \*arabic \* MERGEFORMAT ">
        <w:bookmarkStart w:id="91" w:name="paragraph00157"/>
        <w:r>
          <w:rPr>
            <w:noProof/>
          </w:rPr>
          <w:t>159</w:t>
        </w:r>
        <w:bookmarkEnd w:id="91"/>
      </w:fldSimple>
      <w:r w:rsidR="009F6771">
        <w:t>.</w:t>
      </w:r>
      <w:r w:rsidR="00BF573B">
        <w:t xml:space="preserve"> </w:t>
      </w:r>
      <w:r w:rsidR="009F6771">
        <w:t xml:space="preserve">Co się tyczy argumentu </w:t>
      </w:r>
      <w:r w:rsidR="00014AF6">
        <w:t>r</w:t>
      </w:r>
      <w:r w:rsidR="009F6771">
        <w:t>ządu dotyczącego równowagi instytucjonalnej, Trybunał nie jest przekonany, że przywołane względy ujawniają „obiektywne przesłanki interesu państwa”, które mogłyby uzasadniać całkowite wyłączenie prawa dostępu skarżących do sądu. O ile zachowanie właściwej równowagi między władzą wykonawczą a sądowniczą oraz uwzględnienie demokratycznej legitymacji Prezydenta – to niewątpliwie uzasadnione cele, o tyle nie mogą one same w sobie uzasadniać całkowitego wyłączenia postanowień w sprawie powołań sędziowskich spod kontroli sądowej. W ocenie Trybunału kontrola legalności i niearbitralnego charakteru takich postanowień nie zaburza równowagi instytucjonalnej ani nie niweczy kompetencji prezydenckich; przeciwnie, wzmacnia zasadę praworządności oraz postrzeganie władzy sądowniczej jako niezależnej. W</w:t>
      </w:r>
      <w:r w:rsidR="00C21FB2">
        <w:t> </w:t>
      </w:r>
      <w:r w:rsidR="009F6771">
        <w:t xml:space="preserve">związku z tym </w:t>
      </w:r>
      <w:r w:rsidR="00014AF6">
        <w:t>r</w:t>
      </w:r>
      <w:r w:rsidR="009F6771">
        <w:t>ząd nie wykazał, że pozbawienie skarżących jakiejkolwiek drogi do poddania postanowień kontroli sądowej było bezwzględnie konieczne dla zachowania równowagi instytucjonalnej lub dla ochrony interesów o wyższym priorytecie.</w:t>
      </w:r>
    </w:p>
    <w:p w14:paraId="75622E60" w14:textId="0F554E44" w:rsidR="00E44928" w:rsidRPr="00710DEE" w:rsidRDefault="001A420B" w:rsidP="00710DEE">
      <w:pPr>
        <w:pStyle w:val="JuPara"/>
      </w:pPr>
      <w:fldSimple w:instr=" SEQ level0 \*arabic \* MERGEFORMAT ">
        <w:r>
          <w:rPr>
            <w:noProof/>
          </w:rPr>
          <w:t>160</w:t>
        </w:r>
      </w:fldSimple>
      <w:r w:rsidR="009F6771">
        <w:t>.</w:t>
      </w:r>
      <w:r w:rsidR="00BF573B">
        <w:t xml:space="preserve"> </w:t>
      </w:r>
      <w:r w:rsidR="009F6771">
        <w:t xml:space="preserve">Trybunał stwierdza zatem, że drugi warunek testu z wyroku </w:t>
      </w:r>
      <w:proofErr w:type="spellStart"/>
      <w:r w:rsidR="009F6771">
        <w:rPr>
          <w:i/>
          <w:iCs/>
        </w:rPr>
        <w:t>Eskelinen</w:t>
      </w:r>
      <w:proofErr w:type="spellEnd"/>
      <w:r w:rsidR="009F6771">
        <w:t xml:space="preserve"> – mianowicie że pozbawienie skarżących prawa dostępu do sądu musi być uzasadnione na podstawie obiektywnych przesłanek interesu państwa – nie został spełniony.</w:t>
      </w:r>
    </w:p>
    <w:p w14:paraId="529A1F12" w14:textId="102E587B" w:rsidR="00E44928" w:rsidRPr="00710DEE" w:rsidRDefault="001A420B" w:rsidP="00710DEE">
      <w:pPr>
        <w:pStyle w:val="JuPara"/>
      </w:pPr>
      <w:fldSimple w:instr=" SEQ level0 \*arabic \* MERGEFORMAT ">
        <w:bookmarkStart w:id="92" w:name="paragraph00158"/>
        <w:r>
          <w:rPr>
            <w:noProof/>
          </w:rPr>
          <w:t>161</w:t>
        </w:r>
        <w:bookmarkEnd w:id="92"/>
      </w:fldSimple>
      <w:r w:rsidR="009F6771">
        <w:t>.</w:t>
      </w:r>
      <w:r w:rsidR="00BF573B">
        <w:t xml:space="preserve"> </w:t>
      </w:r>
      <w:r w:rsidR="009F6771">
        <w:t xml:space="preserve">Wynika z tego, że zastrzeżenie </w:t>
      </w:r>
      <w:r w:rsidR="00014AF6">
        <w:t>r</w:t>
      </w:r>
      <w:r w:rsidR="009F6771">
        <w:t>ządu należy oddalić, a art. 6 ust. 1 Konwencji ma zastosowanie w swoim aspekcie cywilnym.</w:t>
      </w:r>
    </w:p>
    <w:p w14:paraId="7DA6DBAA" w14:textId="77777777" w:rsidR="00E44928" w:rsidRPr="00710DEE" w:rsidRDefault="009F6771" w:rsidP="00710DEE">
      <w:pPr>
        <w:pStyle w:val="JuH1"/>
      </w:pPr>
      <w:r>
        <w:t>Wniosek co do dopuszczalności</w:t>
      </w:r>
    </w:p>
    <w:p w14:paraId="0545F8B4" w14:textId="5D05118B"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162</w:t>
      </w:r>
      <w:r w:rsidRPr="00710DEE">
        <w:fldChar w:fldCharType="end"/>
      </w:r>
      <w:r>
        <w:t>.</w:t>
      </w:r>
      <w:r w:rsidR="00BF573B">
        <w:t xml:space="preserve"> </w:t>
      </w:r>
      <w:r>
        <w:t>Trybunał zauważa, że niniejsza skarga nie jest w sposób oczywisty nieuzasadniona ani niedopuszczalna z jakichkolwiek innych powodów wymienionych w art. 35 Konwencji. Należy ją zatem uznać za dopuszczalną.</w:t>
      </w:r>
    </w:p>
    <w:p w14:paraId="6862D340" w14:textId="77777777" w:rsidR="00E44928" w:rsidRPr="00710DEE" w:rsidRDefault="009F6771" w:rsidP="00710DEE">
      <w:pPr>
        <w:pStyle w:val="JuHA"/>
      </w:pPr>
      <w:r>
        <w:lastRenderedPageBreak/>
        <w:t>Przedmiot skargi</w:t>
      </w:r>
    </w:p>
    <w:p w14:paraId="324F317E" w14:textId="77777777" w:rsidR="00E44928" w:rsidRPr="00710DEE" w:rsidRDefault="009F6771" w:rsidP="00710DEE">
      <w:pPr>
        <w:pStyle w:val="JuH1"/>
      </w:pPr>
      <w:r>
        <w:t>Stanowiska stron</w:t>
      </w:r>
    </w:p>
    <w:p w14:paraId="232A7030" w14:textId="77777777" w:rsidR="00E44928" w:rsidRPr="00710DEE" w:rsidRDefault="009F6771" w:rsidP="00710DEE">
      <w:pPr>
        <w:pStyle w:val="JuHa0"/>
      </w:pPr>
      <w:r>
        <w:t>Skarżący</w:t>
      </w:r>
    </w:p>
    <w:p w14:paraId="2E1EAADE" w14:textId="267ED771"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163</w:t>
      </w:r>
      <w:r w:rsidRPr="00710DEE">
        <w:fldChar w:fldCharType="end"/>
      </w:r>
      <w:r>
        <w:t>.</w:t>
      </w:r>
      <w:r w:rsidR="00BF573B">
        <w:t xml:space="preserve"> </w:t>
      </w:r>
      <w:r>
        <w:t>Skarżący stwierdzili, że w wyniku orzeczeń wydanych na ich niekorzyść przez Naczelny Sąd Administracyjny i Trybunał Konstytucyjny zostali pozbawieni prawa dostępu do sądu w odniesieniu do ich zarzutów dotyczących odmowy powołania ich przez Prezydenta Rzeczypospolitej na</w:t>
      </w:r>
      <w:r w:rsidR="00C21FB2">
        <w:t> </w:t>
      </w:r>
      <w:r>
        <w:t>stanowiska sędziowskie. Argumentowali, że z przyczyn od nich niezależnych ich roszczenia w tym zakresie nie zostały rozpoznane co</w:t>
      </w:r>
      <w:r w:rsidR="00C21FB2">
        <w:t> </w:t>
      </w:r>
      <w:r>
        <w:t>do</w:t>
      </w:r>
      <w:r w:rsidR="00C21FB2">
        <w:t> </w:t>
      </w:r>
      <w:r>
        <w:t>istoty przez żaden z sądów, które oceniały sytuację poszczególnych skarżących w sposób szczególnie formalistyczny. Ponadto ich zdaniem sposób, w jaki Trybunał Konstytucyjny zastosował warunki dopuszczalności skarg konstytucyjnych w kolejnych postanowieniach wydanych w drugiej grupie postępowań, był niespójny z jego wcześniejszym stanowiskiem, a</w:t>
      </w:r>
      <w:r w:rsidR="00C21FB2">
        <w:t> </w:t>
      </w:r>
      <w:r>
        <w:t>w</w:t>
      </w:r>
      <w:r w:rsidR="00C21FB2">
        <w:t> </w:t>
      </w:r>
      <w:r>
        <w:t>każdym razie podstawy powołane przy nieuwzględnieniu ich skarg były nieprzekonujące i nieuzasadnione.</w:t>
      </w:r>
    </w:p>
    <w:p w14:paraId="698DE0C9" w14:textId="6B1BCAA3"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164</w:t>
      </w:r>
      <w:r w:rsidRPr="00710DEE">
        <w:fldChar w:fldCharType="end"/>
      </w:r>
      <w:r>
        <w:t>.</w:t>
      </w:r>
      <w:r w:rsidR="00BF573B">
        <w:t xml:space="preserve"> </w:t>
      </w:r>
      <w:r>
        <w:t>Co więcej, skarżący argumentowali, że, wbrew ustaleniom Trybunału Konstytucyjnego, kwestionowali nie sposób zastosowania przez Prezydenta Rzeczypospolitej art. 55 § 1 ustawy z 2001 r., lecz samo brzmienie tego przepisu w zakresie, w jakim mógł on być interpretowany jako upoważniający głowę państwa do odrzucenia kandydata na urząd sędziego bez jakiegokolwiek uzasadnienia czy kontroli sądowej. Wskazali, że przedmiotem ich drugiej skargi konstytucyjnej był argument o</w:t>
      </w:r>
      <w:r w:rsidR="00C21FB2">
        <w:t> </w:t>
      </w:r>
      <w:r>
        <w:t>sprzeczności z Konstytucją i) braku jakiegokolwiek obowiązku po stronie Prezydenta Rzeczypospolitej do uzasadnienia odmowy powołania kandydata na urząd sędziego oraz ii) okoliczności, że postanowienie Prezydenta w tej kwestii nie podlegało kontroli (nie tylko sądów administracyjnych, ale w</w:t>
      </w:r>
      <w:r w:rsidR="00C21FB2">
        <w:t> </w:t>
      </w:r>
      <w:r>
        <w:t>ogóle). Podkreślili znaczenie możliwości poddania kontroli sądowej postanowienia Prezydenta (o odmowie powołania kandydata na urząd sędziego) nie tylko dla ich praw podstawowych, ale i dla ogólnej rzetelności procedury naboru sędziów, mającej kluczowe znaczenie dla zachowania niezawisłości sędziowskiej. Twierdzili, że pozbawienie ich prawa dostępu do</w:t>
      </w:r>
      <w:r w:rsidR="00C21FB2">
        <w:t> </w:t>
      </w:r>
      <w:r>
        <w:t>sądu w ich sprawie było sprzeczne z zasadą demokratycznego państwa prawnego. Argumentowali, że w wyniku wyżej wskazanego podejścia sądów krajowych odmówiono im dostępu do wymiaru sprawiedliwości z przyczyn, których nie sposób obiektywnie poprzeć jakimkolwiek uzasadnionym celem; doprowadziło to do naruszenia istoty ich prawa do sądu.</w:t>
      </w:r>
    </w:p>
    <w:p w14:paraId="02F56C92" w14:textId="77777777" w:rsidR="00E44928" w:rsidRPr="00710DEE" w:rsidRDefault="009F6771" w:rsidP="00710DEE">
      <w:pPr>
        <w:pStyle w:val="JuHa0"/>
      </w:pPr>
      <w:r>
        <w:t>Rząd</w:t>
      </w:r>
    </w:p>
    <w:p w14:paraId="1C52BF95" w14:textId="2439BF16" w:rsidR="00E44928" w:rsidRPr="00710DEE" w:rsidRDefault="001A420B" w:rsidP="00710DEE">
      <w:pPr>
        <w:pStyle w:val="JuPara"/>
      </w:pPr>
      <w:fldSimple w:instr=" SEQ level0 \*arabic \* MERGEFORMAT ">
        <w:bookmarkStart w:id="93" w:name="paragraph00162"/>
        <w:r>
          <w:rPr>
            <w:noProof/>
          </w:rPr>
          <w:t>165</w:t>
        </w:r>
        <w:bookmarkEnd w:id="93"/>
      </w:fldSimple>
      <w:r w:rsidR="009F6771">
        <w:t>.</w:t>
      </w:r>
      <w:r w:rsidR="00BF573B">
        <w:t xml:space="preserve"> </w:t>
      </w:r>
      <w:r w:rsidR="009F6771">
        <w:t>Rząd nie przedstawił żadnych uwag poza wskazanymi powyżej.</w:t>
      </w:r>
    </w:p>
    <w:p w14:paraId="2D8C86DB" w14:textId="77777777" w:rsidR="00E44928" w:rsidRPr="00710DEE" w:rsidRDefault="009F6771" w:rsidP="00710DEE">
      <w:pPr>
        <w:pStyle w:val="JuHa0"/>
      </w:pPr>
      <w:r>
        <w:lastRenderedPageBreak/>
        <w:t>Interweniujące strony trzecie</w:t>
      </w:r>
    </w:p>
    <w:p w14:paraId="031E543B" w14:textId="77777777" w:rsidR="00E44928" w:rsidRPr="00710DEE" w:rsidRDefault="009F6771" w:rsidP="00710DEE">
      <w:pPr>
        <w:pStyle w:val="JuHi"/>
        <w:spacing w:line="240" w:lineRule="auto"/>
      </w:pPr>
      <w:r>
        <w:t>Rzecznik Praw Obywatelskich Rzeczypospolitej Polskiej</w:t>
      </w:r>
    </w:p>
    <w:p w14:paraId="3D9218A7" w14:textId="566469CF" w:rsidR="00E44928" w:rsidRPr="00710DEE" w:rsidRDefault="001A420B" w:rsidP="00710DEE">
      <w:pPr>
        <w:pStyle w:val="JuPara"/>
      </w:pPr>
      <w:fldSimple w:instr=" SEQ level0 \*arabic \* MERGEFORMAT ">
        <w:r>
          <w:rPr>
            <w:noProof/>
          </w:rPr>
          <w:t>166</w:t>
        </w:r>
      </w:fldSimple>
      <w:r w:rsidR="009F6771">
        <w:t>.</w:t>
      </w:r>
      <w:r w:rsidR="00BF573B">
        <w:t xml:space="preserve"> </w:t>
      </w:r>
      <w:r w:rsidR="009F6771">
        <w:t>Interwenient stwierdził, że instytucjonalne i proceduralne ramy naboru sędziów zostały określone we właściwych przepisach Konstytucji. Stwierdził ponadto, że Konstytucja precyzowała również podział kompetencji między, z jednej strony, KRS (która była odpowiedzialna za</w:t>
      </w:r>
      <w:r w:rsidR="00C21FB2">
        <w:t> </w:t>
      </w:r>
      <w:r w:rsidR="009F6771">
        <w:t>ocenę kandydatur) a, z drugiej strony, Prezydentem Rzeczypospolitej (który na wniosek KRS miał powołać osobę przedstawioną na stanowisko sędziego). Rozstrzygnięcie KRS w przedmiocie tego, czy przedstawić kandydata do powołania, podlegało zaskarżeniu do Sądu Najwyższego.</w:t>
      </w:r>
    </w:p>
    <w:p w14:paraId="28C88182" w14:textId="653C1A97" w:rsidR="00E44928" w:rsidRPr="00710DEE" w:rsidRDefault="001A420B" w:rsidP="00710DEE">
      <w:pPr>
        <w:pStyle w:val="JuPara"/>
      </w:pPr>
      <w:fldSimple w:instr=" SEQ level0 \*arabic \* MERGEFORMAT ">
        <w:r>
          <w:rPr>
            <w:noProof/>
          </w:rPr>
          <w:t>167</w:t>
        </w:r>
      </w:fldSimple>
      <w:r w:rsidR="009F6771">
        <w:t>.</w:t>
      </w:r>
      <w:r w:rsidR="00BF573B">
        <w:t xml:space="preserve"> </w:t>
      </w:r>
      <w:r w:rsidR="009F6771">
        <w:t>Interwenient argumentował, że rola przypisana Prezydentowi Rzeczypospolitej w procedurze naboru sędziów nie była autonomiczna oraz że zgodnie z Konstytucją wyłącznie KRS – a nie Prezydent – miała uprawnienie do wyłaniania i oceny kandydatów. Stwierdził ponadto, że</w:t>
      </w:r>
      <w:r w:rsidR="00C21FB2">
        <w:t> </w:t>
      </w:r>
      <w:r w:rsidR="009F6771">
        <w:t>udział głowy państwa w procesie naboru sędziów był wystarczająco zagwarantowany poprzez możliwość powołania przez Prezydenta własnego przedstawiciela w skład KRS oraz poprzez udział tego przedstawiciela w</w:t>
      </w:r>
      <w:r w:rsidR="00C21FB2">
        <w:t> </w:t>
      </w:r>
      <w:r w:rsidR="009F6771">
        <w:t>działaniach KRS dotyczących wyłaniania i oceny kandydatów. Twierdzenie, że głowa państwa dysponuje uznaniową prerogatywą w sprawie powołania, było sprzeczne z określonymi w Konstytucji zasadami podziału władz i legalizmu.</w:t>
      </w:r>
    </w:p>
    <w:p w14:paraId="2F1D239B" w14:textId="4DD4FE61" w:rsidR="00E44928" w:rsidRPr="00710DEE" w:rsidRDefault="001A420B" w:rsidP="00710DEE">
      <w:pPr>
        <w:pStyle w:val="JuPara"/>
      </w:pPr>
      <w:fldSimple w:instr=" SEQ level0 \*arabic \* MERGEFORMAT ">
        <w:r>
          <w:rPr>
            <w:noProof/>
          </w:rPr>
          <w:t>168</w:t>
        </w:r>
      </w:fldSimple>
      <w:r w:rsidR="009F6771">
        <w:t>.</w:t>
      </w:r>
      <w:r w:rsidR="00BF573B">
        <w:t xml:space="preserve"> </w:t>
      </w:r>
      <w:r w:rsidR="009F6771">
        <w:t>Interwenient podniósł, że każde postanowienie prezydenckie powinno zawierać uzasadnienie. W tym względzie argumentował, że</w:t>
      </w:r>
      <w:r w:rsidR="00C21FB2">
        <w:t> </w:t>
      </w:r>
      <w:r w:rsidR="009F6771">
        <w:t>Prezydent działał na wniosek KRS (wyrażony w formie uchwały będącej wynikiem pogłębionej oceny kandydata). Taka uchwała stwarzała domniemanie, że kandydat spełnia właściwe wymogi. W konsekwencji odmowa powołania przez Prezydenta kandydata pozytywnie zaopiniowanego przez KRS nie mogła mieć charakteru uznaniowego, lecz mogła opierać się wyłącznie na przesłankach konstytucyjnych właściwych dla powoływania sędziów.</w:t>
      </w:r>
    </w:p>
    <w:p w14:paraId="0BEBC0D0" w14:textId="7F2F9BD0" w:rsidR="00E44928" w:rsidRPr="00710DEE" w:rsidRDefault="001A420B" w:rsidP="00710DEE">
      <w:pPr>
        <w:pStyle w:val="JuPara"/>
      </w:pPr>
      <w:fldSimple w:instr=" SEQ level0 \*arabic \* MERGEFORMAT ">
        <w:r>
          <w:rPr>
            <w:noProof/>
          </w:rPr>
          <w:t>169</w:t>
        </w:r>
      </w:fldSimple>
      <w:r w:rsidR="009F6771">
        <w:t>.</w:t>
      </w:r>
      <w:r w:rsidR="00BF573B">
        <w:t xml:space="preserve"> </w:t>
      </w:r>
      <w:r w:rsidR="009F6771">
        <w:t>Powoływanie sędziów przez Prezydenta Rzeczypospolitej uwypuklało relację między nimi a państwem oraz znaczenie funkcji sędziowskich. W konsekwencji mogło być postrzegane jako wzmacniające ochronę niezawisłości sędziowskiej przed czynnikami politycznymi. Natomiast arbitralna odmowa powołania sędziego niweczyła ten cel.</w:t>
      </w:r>
    </w:p>
    <w:p w14:paraId="6E509452" w14:textId="60796CD4" w:rsidR="00E44928" w:rsidRPr="00710DEE" w:rsidRDefault="001A420B" w:rsidP="00710DEE">
      <w:pPr>
        <w:pStyle w:val="JuPara"/>
      </w:pPr>
      <w:fldSimple w:instr=" SEQ level0 \*arabic \* MERGEFORMAT ">
        <w:r>
          <w:rPr>
            <w:noProof/>
          </w:rPr>
          <w:t>170</w:t>
        </w:r>
      </w:fldSimple>
      <w:r w:rsidR="009F6771">
        <w:t>.</w:t>
      </w:r>
      <w:r w:rsidR="00BF573B">
        <w:t xml:space="preserve"> </w:t>
      </w:r>
      <w:r w:rsidR="009F6771">
        <w:t>Interwenient podkreślił konieczność zapewnienia, by proces naboru sędziów był przejrzysty oraz oparty na obiektywnych kryteriach materialnych i rzetelnych regułach proceduralnych, dzięki czemu można utrzymać zaufanie stron postępowań sądowych do przedstawicieli władzy sądowniczej. Brak jakiegokolwiek uzasadnienia postanowienia Prezydenta podawał w</w:t>
      </w:r>
      <w:r w:rsidR="00C21FB2">
        <w:t> </w:t>
      </w:r>
      <w:r w:rsidR="009F6771">
        <w:t>wątpliwość cały proces naboru i groził podważeniem zaufania ogółu społeczeństwa do państwa.</w:t>
      </w:r>
    </w:p>
    <w:p w14:paraId="245706CD" w14:textId="2D50DB02" w:rsidR="00E44928" w:rsidRPr="00710DEE" w:rsidRDefault="001A420B" w:rsidP="00710DEE">
      <w:pPr>
        <w:pStyle w:val="JuPara"/>
      </w:pPr>
      <w:fldSimple w:instr=" SEQ level0 \*arabic \* MERGEFORMAT ">
        <w:r>
          <w:rPr>
            <w:noProof/>
          </w:rPr>
          <w:t>171</w:t>
        </w:r>
      </w:fldSimple>
      <w:r w:rsidR="009F6771">
        <w:t>.</w:t>
      </w:r>
      <w:r w:rsidR="00BF573B">
        <w:t xml:space="preserve"> </w:t>
      </w:r>
      <w:r w:rsidR="009F6771">
        <w:t>Z tych względów interwenient podniósł, że postanowienie Prezydenta o odmowie powołania kandydata na stanowisko sędziego mogło być wydane wyłącznie z ważnych powodów i musiało być należycie uzasadnione, tak aby zarówno zainteresowany kandydat, jak i opinia publiczna mogli zostać poinformowani, dlaczego głowa państwa podjęła taką decyzję. Kwestia uzasadnionych przesłanek dla takiej decyzji oraz zawarcia wymaganego uzasadnienia mogłaby podlegać kontroli sądowej. Kontrola taka powinna koncentrować się w szczególności na tych aspektach zaskarżonej decyzji, w których Prezydent doszedł do wniosków odmiennych niż KRS.</w:t>
      </w:r>
    </w:p>
    <w:p w14:paraId="39ACA770" w14:textId="11EE94FA" w:rsidR="00E44928" w:rsidRPr="00710DEE" w:rsidRDefault="001A420B" w:rsidP="00710DEE">
      <w:pPr>
        <w:pStyle w:val="JuPara"/>
      </w:pPr>
      <w:fldSimple w:instr=" SEQ level0 \*arabic \* MERGEFORMAT ">
        <w:r>
          <w:rPr>
            <w:noProof/>
          </w:rPr>
          <w:t>172</w:t>
        </w:r>
      </w:fldSimple>
      <w:r w:rsidR="009F6771">
        <w:t>.</w:t>
      </w:r>
      <w:r w:rsidR="00BF573B">
        <w:t xml:space="preserve"> </w:t>
      </w:r>
      <w:r w:rsidR="009F6771">
        <w:t>Wyłączenia możliwości wystąpienia o kontrolę sądową w sprawie dotyczącej powołań sędziowskich nie można w żaden sposób uzasadnić pozycją Prezydenta Rzeczypospolitej w hierarchii państwa. Interwenient argumentował, że to właśnie ze zbioru zasad leżących u podstaw praworządności w demokracji wynika wymóg, by żaden organ władzy publicznej – w tym Prezydent Rzeczypospolitej – nie był stawiany ponad prawem.</w:t>
      </w:r>
    </w:p>
    <w:p w14:paraId="2FA039AC" w14:textId="08D5E59C" w:rsidR="00E44928" w:rsidRPr="00710DEE" w:rsidRDefault="001A420B" w:rsidP="00710DEE">
      <w:pPr>
        <w:pStyle w:val="JuPara"/>
      </w:pPr>
      <w:fldSimple w:instr=" SEQ level0 \*arabic \* MERGEFORMAT ">
        <w:r>
          <w:rPr>
            <w:noProof/>
          </w:rPr>
          <w:t>173</w:t>
        </w:r>
      </w:fldSimple>
      <w:r w:rsidR="009F6771">
        <w:t>.</w:t>
      </w:r>
      <w:r w:rsidR="00BF573B">
        <w:t xml:space="preserve"> </w:t>
      </w:r>
      <w:r w:rsidR="009F6771">
        <w:t>Wreszcie interwenient argumentował, że skoro kandydat na</w:t>
      </w:r>
      <w:r w:rsidR="00C21FB2">
        <w:t> </w:t>
      </w:r>
      <w:r w:rsidR="009F6771">
        <w:t>stanowisko sędziego spełnił wszystkie wymogi dla tego stanowiska, przeszedł wszystkie etapy naboru i został pozytywnie zaopiniowany przez KRS, odmowa powołania go na stanowisko, o które się ubiegał, stanowiłaby rażące naruszenie prawa i arbitralną ingerencję (ze strony właściwego przedstawiciela władzy wykonawczej) w obszar odpowiedzialności zastrzeżony dla władzy sądowniczej.</w:t>
      </w:r>
    </w:p>
    <w:p w14:paraId="30D147FD" w14:textId="77777777" w:rsidR="00E44928" w:rsidRPr="00710DEE" w:rsidRDefault="009F6771" w:rsidP="00710DEE">
      <w:pPr>
        <w:pStyle w:val="JuHi"/>
      </w:pPr>
      <w:r>
        <w:t>Stowarzyszenie Sędziów Polskich „</w:t>
      </w:r>
      <w:proofErr w:type="spellStart"/>
      <w:r>
        <w:t>Iustitia</w:t>
      </w:r>
      <w:proofErr w:type="spellEnd"/>
      <w:r>
        <w:t>”</w:t>
      </w:r>
    </w:p>
    <w:p w14:paraId="67C379D8" w14:textId="10D63A49" w:rsidR="00E44928" w:rsidRPr="00710DEE" w:rsidRDefault="001A420B" w:rsidP="00710DEE">
      <w:pPr>
        <w:pStyle w:val="JuPara"/>
      </w:pPr>
      <w:fldSimple w:instr=" SEQ level0 \*arabic \* MERGEFORMAT ">
        <w:r>
          <w:rPr>
            <w:noProof/>
          </w:rPr>
          <w:t>174</w:t>
        </w:r>
      </w:fldSimple>
      <w:r w:rsidR="009F6771">
        <w:t>.</w:t>
      </w:r>
      <w:r w:rsidR="00BF573B">
        <w:t xml:space="preserve"> </w:t>
      </w:r>
      <w:r w:rsidR="009F6771">
        <w:t>W ocenie interweniującego stowarzyszenia niniejsza sprawa dotyczyło nie tylko indywidualnych sytuacji skarżących, ale również zagadnień najwyższej wagi związanych z niezawisłością sędziowską i</w:t>
      </w:r>
      <w:r w:rsidR="00C21FB2">
        <w:t> </w:t>
      </w:r>
      <w:r w:rsidR="009F6771">
        <w:t>podziałem władz.</w:t>
      </w:r>
    </w:p>
    <w:p w14:paraId="51263181" w14:textId="0586C73C" w:rsidR="00E44928" w:rsidRPr="00710DEE" w:rsidRDefault="001A420B" w:rsidP="00710DEE">
      <w:pPr>
        <w:pStyle w:val="JuPara"/>
      </w:pPr>
      <w:fldSimple w:instr=" SEQ level0 \*arabic \* MERGEFORMAT ">
        <w:r>
          <w:rPr>
            <w:noProof/>
          </w:rPr>
          <w:t>175</w:t>
        </w:r>
      </w:fldSimple>
      <w:r w:rsidR="009F6771">
        <w:t>.</w:t>
      </w:r>
      <w:r w:rsidR="00BF573B">
        <w:t xml:space="preserve"> </w:t>
      </w:r>
      <w:r w:rsidR="009F6771">
        <w:t>Interweniujące stowarzyszenie podniosło, że postanowienie, na</w:t>
      </w:r>
      <w:r w:rsidR="00C21FB2">
        <w:t> </w:t>
      </w:r>
      <w:r w:rsidR="009F6771">
        <w:t>mocy którego Prezydent Rzeczypospolitej w sposób nierzetelny i</w:t>
      </w:r>
      <w:r w:rsidR="00C21FB2">
        <w:t> </w:t>
      </w:r>
      <w:r w:rsidR="009F6771">
        <w:t>arbitralny odmówił powołania kandydatów na urząd sędziego, stworzyło w</w:t>
      </w:r>
      <w:r w:rsidR="00C21FB2">
        <w:t> </w:t>
      </w:r>
      <w:r w:rsidR="009F6771">
        <w:t>tym zakresie niebezpieczny precedens i uczyniła sądownictwo jeszcze bardziej zależnym od władzy wykonawczej. Argumentowało, że</w:t>
      </w:r>
      <w:r w:rsidR="00C21FB2">
        <w:t> </w:t>
      </w:r>
      <w:r w:rsidR="009F6771">
        <w:t>przedmiotowe postanowienie było w sposób oczywisty sprzeczne z zasadą podziału władz. Dodało, że kompetencje głowy państwa w zakresie powoływania sędziów były wykorzystywane jako narzędzie upolitycznienia procesu naboru i podporządkowania polskich sędziów woli przedstawicieli władzy ustawodawczej i wykonawczej, podważając tym samym niezależność sądownictwa.</w:t>
      </w:r>
    </w:p>
    <w:p w14:paraId="4145FA21" w14:textId="1E95EB91" w:rsidR="00E44928" w:rsidRPr="00710DEE" w:rsidRDefault="001A420B" w:rsidP="00710DEE">
      <w:pPr>
        <w:pStyle w:val="JuPara"/>
      </w:pPr>
      <w:fldSimple w:instr=" SEQ level0 \*arabic \* MERGEFORMAT ">
        <w:r>
          <w:rPr>
            <w:noProof/>
          </w:rPr>
          <w:t>176</w:t>
        </w:r>
      </w:fldSimple>
      <w:r w:rsidR="009F6771">
        <w:t>.</w:t>
      </w:r>
      <w:r w:rsidR="00BF573B">
        <w:t xml:space="preserve"> </w:t>
      </w:r>
      <w:r w:rsidR="009F6771">
        <w:t xml:space="preserve">Stowarzyszenie podniosło, że analiza polskiego modelu naboru sędziów wskazywała na to, iż Prezydent Rzeczypospolitej nie miał kompetencji do ponownej oceny wniosków przedstawionych mu przez KRS </w:t>
      </w:r>
      <w:r w:rsidR="009F6771">
        <w:lastRenderedPageBreak/>
        <w:t>o powołanie kandydatów na stanowiska sędziowskie. Udział głowy państwa w procesie oceny kandydatów był zagwarantowany obecnością jego przedstawiciela w KRS. Model ten wykluczał jakiekolwiek arbitralne podejmowanie decyzji w tym zakresie przez głowę państwa.</w:t>
      </w:r>
    </w:p>
    <w:p w14:paraId="34999CC8" w14:textId="787AD7F0" w:rsidR="00E44928" w:rsidRPr="00710DEE" w:rsidRDefault="001A420B" w:rsidP="00710DEE">
      <w:pPr>
        <w:pStyle w:val="JuPara"/>
      </w:pPr>
      <w:fldSimple w:instr=" SEQ level0 \*arabic \* MERGEFORMAT ">
        <w:r>
          <w:rPr>
            <w:noProof/>
          </w:rPr>
          <w:t>177</w:t>
        </w:r>
      </w:fldSimple>
      <w:r w:rsidR="009F6771">
        <w:t>.</w:t>
      </w:r>
      <w:r w:rsidR="00BF573B">
        <w:t xml:space="preserve"> </w:t>
      </w:r>
      <w:r w:rsidR="009F6771">
        <w:t>Interweniujące stowarzyszenie podniosło ponadto, że jakakolwiek uznaniowa odmowa powołania przez Prezydenta Rzeczypospolitej kandydata na urząd sędziego stanowiła realne zagrożenie dla sądowej ochrony obywateli zarówno na poziomie krajowym, jak i europejskim. Każde naruszenie reguł powoływania sędziów polegające na zwiększonym udziale organów politycznych w procesie mogło zagrozić niezależności sądownictwa. Naruszenia takie stanowiły poważne zagrożenie dla legitymacji sądownictwa – tym bardziej że w demokratycznym państwie legitymacja sędziów zależy w dużej mierze od zaufania publicznego co</w:t>
      </w:r>
      <w:r w:rsidR="00C21FB2">
        <w:t> </w:t>
      </w:r>
      <w:r w:rsidR="009F6771">
        <w:t>do</w:t>
      </w:r>
      <w:r w:rsidR="00C21FB2">
        <w:t> </w:t>
      </w:r>
      <w:r w:rsidR="009F6771">
        <w:t xml:space="preserve">ich neutralności, obiektywizmu i bezstronności oraz </w:t>
      </w:r>
      <w:proofErr w:type="spellStart"/>
      <w:r w:rsidR="009F6771">
        <w:t>nieprzynależności</w:t>
      </w:r>
      <w:proofErr w:type="spellEnd"/>
      <w:r w:rsidR="009F6771">
        <w:t xml:space="preserve"> do żadnego ugrupowania politycznego.</w:t>
      </w:r>
    </w:p>
    <w:p w14:paraId="04206181" w14:textId="1BBB1038" w:rsidR="00E44928" w:rsidRPr="00710DEE" w:rsidRDefault="001A420B" w:rsidP="00710DEE">
      <w:pPr>
        <w:pStyle w:val="JuPara"/>
      </w:pPr>
      <w:fldSimple w:instr=" SEQ level0 \*arabic \* MERGEFORMAT ">
        <w:r>
          <w:rPr>
            <w:noProof/>
          </w:rPr>
          <w:t>178</w:t>
        </w:r>
      </w:fldSimple>
      <w:r w:rsidR="009F6771">
        <w:t>.</w:t>
      </w:r>
      <w:r w:rsidR="00BF573B">
        <w:t xml:space="preserve"> </w:t>
      </w:r>
      <w:r w:rsidR="009F6771">
        <w:t>Kończąc swoje uwagi, interweniujące stowarzyszenie stwierdziło, ż</w:t>
      </w:r>
      <w:r w:rsidR="00C21FB2">
        <w:t>e </w:t>
      </w:r>
      <w:r w:rsidR="009F6771">
        <w:t>skarżącym przysługiwała na podstawie Konstytucji Rzeczypospolitej Polskiej ochrona przed uznaniową odmową powołania ich przez Prezydenta na wakujące stanowiska. W ocenie interweniującego stowarzyszenia tę</w:t>
      </w:r>
      <w:r w:rsidR="00C21FB2">
        <w:t> </w:t>
      </w:r>
      <w:r w:rsidR="009F6771">
        <w:t>odmowę – w połączeniu z pozbawieniem skarżących dostępu do sądu – należało uznać za niezgodną z zasadą rządów prawa.</w:t>
      </w:r>
    </w:p>
    <w:p w14:paraId="694931DB" w14:textId="77777777" w:rsidR="00E44928" w:rsidRPr="00710DEE" w:rsidRDefault="009F6771" w:rsidP="00710DEE">
      <w:pPr>
        <w:pStyle w:val="JuH1"/>
      </w:pPr>
      <w:r>
        <w:t>Ocena Trybunału</w:t>
      </w:r>
    </w:p>
    <w:p w14:paraId="380A8DE7" w14:textId="77777777" w:rsidR="00E44928" w:rsidRPr="00710DEE" w:rsidRDefault="009F6771" w:rsidP="00710DEE">
      <w:pPr>
        <w:pStyle w:val="JuHa0"/>
      </w:pPr>
      <w:r>
        <w:t>Zasady ogólne</w:t>
      </w:r>
    </w:p>
    <w:p w14:paraId="07F2AD9D" w14:textId="7269FBE6"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179</w:t>
      </w:r>
      <w:r w:rsidRPr="00710DEE">
        <w:fldChar w:fldCharType="end"/>
      </w:r>
      <w:r>
        <w:t>.</w:t>
      </w:r>
      <w:r w:rsidR="00BF573B">
        <w:t xml:space="preserve"> </w:t>
      </w:r>
      <w:r>
        <w:t>Prawo dostępu do sądu zostało ustanowione jako aspekt prawa do</w:t>
      </w:r>
      <w:r w:rsidR="00C21FB2">
        <w:t> </w:t>
      </w:r>
      <w:r>
        <w:t xml:space="preserve">sprawiedliwego rozpatrzenia sprawy gwarantowanego przez art. 6 ust. 1 Konwencji w sprawie </w:t>
      </w:r>
      <w:proofErr w:type="spellStart"/>
      <w:r>
        <w:rPr>
          <w:i/>
          <w:iCs/>
        </w:rPr>
        <w:t>Golder</w:t>
      </w:r>
      <w:proofErr w:type="spellEnd"/>
      <w:r>
        <w:rPr>
          <w:i/>
          <w:iCs/>
        </w:rPr>
        <w:t xml:space="preserve"> przeciwko Zjednoczonemu Królestwu</w:t>
      </w:r>
      <w:r>
        <w:t xml:space="preserve"> (21</w:t>
      </w:r>
      <w:r w:rsidR="00C21FB2">
        <w:t> </w:t>
      </w:r>
      <w:r>
        <w:t>lutego 1975 r., §§ 28–36, Seria A nr 18). W sprawie tej Trybunał uznał prawo dostępu do sądu za nieodłączny aspekt gwarancji przewidzianych w</w:t>
      </w:r>
      <w:r w:rsidR="00C21FB2">
        <w:t> </w:t>
      </w:r>
      <w:r>
        <w:t>art. 6, odwołując się do zasad praworządności i unikania uprawnień arbitralnych, które to zasady leżą u podstaw większości postanowień Konwencji. Tym samym art. 6 ust. 1 zapewnia każdemu prawo do</w:t>
      </w:r>
      <w:r w:rsidR="00C21FB2">
        <w:t> </w:t>
      </w:r>
      <w:r>
        <w:t xml:space="preserve">wystąpienia do sądu z roszczeniem dotyczącym jego praw i obowiązków o charakterze cywilnym (zob. </w:t>
      </w:r>
      <w:proofErr w:type="spellStart"/>
      <w:r>
        <w:rPr>
          <w:i/>
          <w:iCs/>
        </w:rPr>
        <w:t>Zubac</w:t>
      </w:r>
      <w:proofErr w:type="spellEnd"/>
      <w:r>
        <w:rPr>
          <w:i/>
          <w:iCs/>
        </w:rPr>
        <w:t xml:space="preserve"> przeciwko Chorwacji</w:t>
      </w:r>
      <w:r>
        <w:t xml:space="preserve"> [WI], skarga nr</w:t>
      </w:r>
      <w:r w:rsidR="00C21FB2">
        <w:t> </w:t>
      </w:r>
      <w:r>
        <w:t>40160/12, § 76, 5 kwietnia 2018 r. i przytoczone tam orzecznictwo).</w:t>
      </w:r>
    </w:p>
    <w:p w14:paraId="03FB1996" w14:textId="66F1924D" w:rsidR="00E44928" w:rsidRPr="00710DEE" w:rsidRDefault="001A420B" w:rsidP="00710DEE">
      <w:pPr>
        <w:pStyle w:val="JuPara"/>
      </w:pPr>
      <w:fldSimple w:instr=" SEQ level0 \*arabic \* MERGEFORMAT ">
        <w:bookmarkStart w:id="94" w:name="paragraph00175"/>
        <w:r>
          <w:rPr>
            <w:noProof/>
          </w:rPr>
          <w:t>180</w:t>
        </w:r>
        <w:bookmarkEnd w:id="94"/>
      </w:fldSimple>
      <w:r w:rsidR="009F6771">
        <w:t>.</w:t>
      </w:r>
      <w:r w:rsidR="00BF573B">
        <w:t xml:space="preserve"> </w:t>
      </w:r>
      <w:r w:rsidR="009F6771">
        <w:t>W odniesieniu do spraw wchodzących w zakres Konwencji, zgodnie z orzecznictwem Trybunału, gdzie nie ma dostępu do niezawisłego i</w:t>
      </w:r>
      <w:r w:rsidR="00C21FB2">
        <w:t> </w:t>
      </w:r>
      <w:r w:rsidR="009F6771">
        <w:t xml:space="preserve">bezstronnego sądu, zawsze pojawi się problem zgodności z zasadą praworządności (zob. </w:t>
      </w:r>
      <w:r w:rsidR="009F6771">
        <w:rPr>
          <w:i/>
          <w:iCs/>
        </w:rPr>
        <w:t>Grzęda</w:t>
      </w:r>
      <w:r w:rsidR="009F6771">
        <w:t xml:space="preserve">, cyt. powyżej, § 343). Trybunał sam przyznał jednak, że prawo do sądu nie jest bezwzględne i może podlegać ograniczeniom, które nie ograniczają ani nie pomniejszają dostępu danej osoby w sposób powodujący lub w zakresie powodującym naruszenie samej istoty owego prawa. Ograniczenia nie będą jednak spójne z art. 6 ust. 1, jeżeli </w:t>
      </w:r>
      <w:r w:rsidR="009F6771">
        <w:lastRenderedPageBreak/>
        <w:t xml:space="preserve">nie służą realizacji uzasadnionego celu i jeżeli nie ma rozsądnego stosunku proporcjonalności między zastosowanymi środkami a celem, do którego mają one prowadzić (zob. </w:t>
      </w:r>
      <w:r w:rsidR="009F6771">
        <w:rPr>
          <w:i/>
          <w:iCs/>
        </w:rPr>
        <w:t>Baka</w:t>
      </w:r>
      <w:r w:rsidR="009F6771">
        <w:t xml:space="preserve">, § 120, oraz </w:t>
      </w:r>
      <w:proofErr w:type="spellStart"/>
      <w:r w:rsidR="009F6771">
        <w:rPr>
          <w:i/>
          <w:iCs/>
        </w:rPr>
        <w:t>Zubac</w:t>
      </w:r>
      <w:proofErr w:type="spellEnd"/>
      <w:r w:rsidR="009F6771">
        <w:t>, § 78, oba cyt. powyżej).</w:t>
      </w:r>
    </w:p>
    <w:p w14:paraId="53112FC9" w14:textId="77777777" w:rsidR="00E44928" w:rsidRPr="00710DEE" w:rsidRDefault="009F6771" w:rsidP="00710DEE">
      <w:pPr>
        <w:pStyle w:val="JuHa0"/>
      </w:pPr>
      <w:r>
        <w:t>Zastosowanie zasad ogólnych w niniejszej sprawie</w:t>
      </w:r>
    </w:p>
    <w:p w14:paraId="556316DF" w14:textId="1B5F8CD7"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181</w:t>
      </w:r>
      <w:r w:rsidRPr="00710DEE">
        <w:fldChar w:fldCharType="end"/>
      </w:r>
      <w:r>
        <w:t>.</w:t>
      </w:r>
      <w:r w:rsidR="00BF573B">
        <w:t xml:space="preserve"> </w:t>
      </w:r>
      <w:r>
        <w:t>Trybunał pozostawił otwartą kwestię, czy pierwszy warunek testu z</w:t>
      </w:r>
      <w:r w:rsidR="00C21FB2">
        <w:t> </w:t>
      </w:r>
      <w:r>
        <w:t xml:space="preserve">wyroku </w:t>
      </w:r>
      <w:proofErr w:type="spellStart"/>
      <w:r>
        <w:rPr>
          <w:i/>
          <w:iCs/>
        </w:rPr>
        <w:t>Eskelinen</w:t>
      </w:r>
      <w:proofErr w:type="spellEnd"/>
      <w:r>
        <w:t xml:space="preserve"> został spełniony, mając na uwadze rozbieżne stanowiska stron w tej kwestii oraz to, że w każdym razie uznał drugi warunek za</w:t>
      </w:r>
      <w:r w:rsidR="00C21FB2">
        <w:t> </w:t>
      </w:r>
      <w:r>
        <w:t xml:space="preserve">niespełniony (zob. </w:t>
      </w:r>
      <w:r w:rsidR="00C61616">
        <w:t xml:space="preserve"> paragraf</w:t>
      </w:r>
      <w:r>
        <w:t xml:space="preserve"> </w:t>
      </w:r>
      <w:r w:rsidRPr="00710DEE">
        <w:fldChar w:fldCharType="begin"/>
      </w:r>
      <w:r w:rsidRPr="00710DEE">
        <w:instrText xml:space="preserve"> REF paragraph00146 \h  \* CharFormat </w:instrText>
      </w:r>
      <w:r w:rsidRPr="00710DEE">
        <w:fldChar w:fldCharType="separate"/>
      </w:r>
      <w:r w:rsidR="001A420B">
        <w:t>149</w:t>
      </w:r>
      <w:r w:rsidRPr="00710DEE">
        <w:fldChar w:fldCharType="end"/>
      </w:r>
      <w:r>
        <w:t xml:space="preserve"> powyżej). Trybunał przypomina jednak, że</w:t>
      </w:r>
      <w:r w:rsidR="00C21FB2">
        <w:t> </w:t>
      </w:r>
      <w:r w:rsidR="00014AF6">
        <w:t>r</w:t>
      </w:r>
      <w:r>
        <w:t xml:space="preserve">ząd konsekwentnie argumentował, iż prawo krajowe poza wszelką wątpliwość wyłączało dostęp skarżących do kontroli sądowej prezydenckiej odmowy ich powołania (zob. </w:t>
      </w:r>
      <w:r w:rsidR="00C61616">
        <w:t xml:space="preserve"> paragraf</w:t>
      </w:r>
      <w:r>
        <w:t xml:space="preserve"> </w:t>
      </w:r>
      <w:r w:rsidRPr="00710DEE">
        <w:fldChar w:fldCharType="begin"/>
      </w:r>
      <w:r w:rsidRPr="00710DEE">
        <w:instrText xml:space="preserve"> REF paragraph00099 \h  \* CharFormat </w:instrText>
      </w:r>
      <w:r w:rsidRPr="00710DEE">
        <w:fldChar w:fldCharType="separate"/>
      </w:r>
      <w:r w:rsidR="001A420B">
        <w:t>102</w:t>
      </w:r>
      <w:r w:rsidRPr="00710DEE">
        <w:fldChar w:fldCharType="end"/>
      </w:r>
      <w:r>
        <w:t>-</w:t>
      </w:r>
      <w:r w:rsidRPr="00710DEE">
        <w:fldChar w:fldCharType="begin"/>
      </w:r>
      <w:r w:rsidRPr="00710DEE">
        <w:instrText xml:space="preserve"> REF paragraph00101 \h  \* CharFormat </w:instrText>
      </w:r>
      <w:r w:rsidRPr="00710DEE">
        <w:fldChar w:fldCharType="separate"/>
      </w:r>
      <w:r w:rsidR="001A420B">
        <w:t>104</w:t>
      </w:r>
      <w:r w:rsidRPr="00710DEE">
        <w:fldChar w:fldCharType="end"/>
      </w:r>
      <w:r>
        <w:t xml:space="preserve"> powyżej). Trybunał stoi zatem obecnie przed oceną, czy brak dostępu do sądów krajowych – w celu spowodowania rozpoznania rzeczywistego i poważnego sporu o możliwe do</w:t>
      </w:r>
      <w:r w:rsidR="00C21FB2">
        <w:t> </w:t>
      </w:r>
      <w:r>
        <w:t xml:space="preserve">wykazania prawo skarżących do rzetelnej i wolnej od arbitralnych odmów procedury rozpoznania kandydatury na stanowisko sędziowskie (zob. </w:t>
      </w:r>
      <w:r w:rsidR="00C61616">
        <w:t xml:space="preserve"> paragraf</w:t>
      </w:r>
      <w:r>
        <w:t xml:space="preserve"> </w:t>
      </w:r>
      <w:r w:rsidRPr="00710DEE">
        <w:fldChar w:fldCharType="begin"/>
      </w:r>
      <w:r w:rsidRPr="00710DEE">
        <w:instrText xml:space="preserve"> REF paragraph00138 \h  \* CharFormat </w:instrText>
      </w:r>
      <w:r w:rsidRPr="00710DEE">
        <w:fldChar w:fldCharType="separate"/>
      </w:r>
      <w:r w:rsidR="001A420B">
        <w:t>141</w:t>
      </w:r>
      <w:r w:rsidRPr="00710DEE">
        <w:fldChar w:fldCharType="end"/>
      </w:r>
      <w:r>
        <w:t xml:space="preserve"> powyżej) – był uzasadniony w zgodzie z zasadami ogólnymi wynikającymi z orzecznictwa Trybunału (zob. </w:t>
      </w:r>
      <w:r w:rsidR="00C61616">
        <w:t xml:space="preserve"> paragraf</w:t>
      </w:r>
      <w:r>
        <w:t xml:space="preserve"> </w:t>
      </w:r>
      <w:r w:rsidRPr="00710DEE">
        <w:fldChar w:fldCharType="begin"/>
      </w:r>
      <w:r w:rsidRPr="00710DEE">
        <w:instrText xml:space="preserve"> REF paragraph00175 \h  \* CharFormat </w:instrText>
      </w:r>
      <w:r w:rsidRPr="00710DEE">
        <w:fldChar w:fldCharType="separate"/>
      </w:r>
      <w:r w:rsidR="001A420B">
        <w:t>180</w:t>
      </w:r>
      <w:r w:rsidRPr="00710DEE">
        <w:fldChar w:fldCharType="end"/>
      </w:r>
      <w:r>
        <w:t xml:space="preserve"> powyżej; por. </w:t>
      </w:r>
      <w:r>
        <w:rPr>
          <w:i/>
          <w:iCs/>
        </w:rPr>
        <w:t>Grzęda</w:t>
      </w:r>
      <w:r>
        <w:t>, cyt. powyżej, § 344).</w:t>
      </w:r>
    </w:p>
    <w:p w14:paraId="55715595" w14:textId="223084AF"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182</w:t>
      </w:r>
      <w:r w:rsidRPr="00710DEE">
        <w:fldChar w:fldCharType="end"/>
      </w:r>
      <w:r>
        <w:t>.</w:t>
      </w:r>
      <w:r w:rsidR="00BF573B">
        <w:t xml:space="preserve"> </w:t>
      </w:r>
      <w:r>
        <w:t>Zważywszy, że Trybunał stwierdził już, że drugi warunek testu z</w:t>
      </w:r>
      <w:r w:rsidR="00C21FB2">
        <w:t> </w:t>
      </w:r>
      <w:r>
        <w:t xml:space="preserve">wyroku </w:t>
      </w:r>
      <w:proofErr w:type="spellStart"/>
      <w:r>
        <w:rPr>
          <w:i/>
          <w:iCs/>
        </w:rPr>
        <w:t>Eskelinen</w:t>
      </w:r>
      <w:proofErr w:type="spellEnd"/>
      <w:r>
        <w:t xml:space="preserve"> nie został spełniony, Trybunał odsyła do swojej analizy dotyczącej kwestii możliwości zastosowania art. 6 ust. 1 (zob. </w:t>
      </w:r>
      <w:r w:rsidR="00C61616">
        <w:t xml:space="preserve"> paragraf</w:t>
      </w:r>
      <w:r>
        <w:t xml:space="preserve"> </w:t>
      </w:r>
      <w:r w:rsidRPr="00710DEE">
        <w:fldChar w:fldCharType="begin"/>
      </w:r>
      <w:r w:rsidRPr="00710DEE">
        <w:instrText xml:space="preserve"> REF paragraph00147 \h  \* CharFormat </w:instrText>
      </w:r>
      <w:r w:rsidRPr="00710DEE">
        <w:fldChar w:fldCharType="separate"/>
      </w:r>
      <w:r w:rsidR="001A420B">
        <w:t>150</w:t>
      </w:r>
      <w:r w:rsidRPr="00710DEE">
        <w:fldChar w:fldCharType="end"/>
      </w:r>
      <w:r>
        <w:t>-</w:t>
      </w:r>
      <w:r w:rsidRPr="00710DEE">
        <w:fldChar w:fldCharType="begin"/>
      </w:r>
      <w:r w:rsidRPr="00710DEE">
        <w:instrText xml:space="preserve"> REF paragraph00158 \h  \* CharFormat </w:instrText>
      </w:r>
      <w:r w:rsidRPr="00710DEE">
        <w:fldChar w:fldCharType="separate"/>
      </w:r>
      <w:r w:rsidR="001A420B">
        <w:t>161</w:t>
      </w:r>
      <w:r w:rsidRPr="00710DEE">
        <w:fldChar w:fldCharType="end"/>
      </w:r>
      <w:r>
        <w:t xml:space="preserve"> powyżej) i zauważa, że </w:t>
      </w:r>
      <w:r w:rsidR="00014AF6">
        <w:t>r</w:t>
      </w:r>
      <w:r>
        <w:t>ząd nie przedstawił żadnych dodatkowych powodów na uzasadnienie braku kontroli sądowej, lecz jedynie podtrzymał swoje argumenty co do rzekomego braku zastosowania art. 6 do sprawy (zob.</w:t>
      </w:r>
      <w:r w:rsidR="00C21FB2">
        <w:t> </w:t>
      </w:r>
      <w:r w:rsidR="00C61616">
        <w:t xml:space="preserve"> paragraf</w:t>
      </w:r>
      <w:r>
        <w:t xml:space="preserve"> </w:t>
      </w:r>
      <w:r w:rsidRPr="00710DEE">
        <w:fldChar w:fldCharType="begin"/>
      </w:r>
      <w:r w:rsidRPr="00710DEE">
        <w:instrText xml:space="preserve"> REF paragraph00162 \h  \* CharFormat </w:instrText>
      </w:r>
      <w:r w:rsidRPr="00710DEE">
        <w:fldChar w:fldCharType="separate"/>
      </w:r>
      <w:r w:rsidR="001A420B">
        <w:t>165</w:t>
      </w:r>
      <w:r w:rsidRPr="00710DEE">
        <w:fldChar w:fldCharType="end"/>
      </w:r>
      <w:r>
        <w:t xml:space="preserve"> powyżej).</w:t>
      </w:r>
    </w:p>
    <w:p w14:paraId="77ED1688" w14:textId="1AEF2A7F"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183</w:t>
      </w:r>
      <w:r w:rsidRPr="00710DEE">
        <w:fldChar w:fldCharType="end"/>
      </w:r>
      <w:r>
        <w:t>.</w:t>
      </w:r>
      <w:r w:rsidR="00BF573B">
        <w:t xml:space="preserve"> </w:t>
      </w:r>
      <w:r>
        <w:t>Trybunał uznaje przy tym za stosowne podkreślić, że ubiegając się o</w:t>
      </w:r>
      <w:r w:rsidR="00C21FB2">
        <w:t> </w:t>
      </w:r>
      <w:r>
        <w:t xml:space="preserve">powołanie na stanowiska sędziowskie, skarżący uzyskali wszystkie niezbędne poświadczenia, a następnie przeszli procedurę naboru, w toku której ich kandydatury zostały rozpatrzone i zatwierdzone przez różne organy (zob. </w:t>
      </w:r>
      <w:r w:rsidR="00C61616">
        <w:t xml:space="preserve"> paragraf</w:t>
      </w:r>
      <w:r>
        <w:t xml:space="preserve"> </w:t>
      </w:r>
      <w:r w:rsidRPr="00710DEE">
        <w:fldChar w:fldCharType="begin"/>
      </w:r>
      <w:r w:rsidRPr="00710DEE">
        <w:instrText xml:space="preserve">REF paragraph00008 \h \* CharFormat </w:instrText>
      </w:r>
      <w:r w:rsidRPr="00710DEE">
        <w:fldChar w:fldCharType="separate"/>
      </w:r>
      <w:r w:rsidR="001A420B">
        <w:t>8</w:t>
      </w:r>
      <w:r w:rsidRPr="00710DEE">
        <w:fldChar w:fldCharType="end"/>
      </w:r>
      <w:r>
        <w:t xml:space="preserve">, </w:t>
      </w:r>
      <w:r w:rsidRPr="00710DEE">
        <w:fldChar w:fldCharType="begin"/>
      </w:r>
      <w:r w:rsidRPr="00710DEE">
        <w:instrText xml:space="preserve">REF paragraph00035 \h \* CharFormat </w:instrText>
      </w:r>
      <w:r w:rsidRPr="00710DEE">
        <w:fldChar w:fldCharType="separate"/>
      </w:r>
      <w:r w:rsidR="001A420B">
        <w:t>35</w:t>
      </w:r>
      <w:r w:rsidRPr="00710DEE">
        <w:fldChar w:fldCharType="end"/>
      </w:r>
      <w:r>
        <w:t>-</w:t>
      </w:r>
      <w:r w:rsidRPr="00710DEE">
        <w:fldChar w:fldCharType="begin"/>
      </w:r>
      <w:r w:rsidRPr="00710DEE">
        <w:instrText xml:space="preserve">REF paragraph00036 \h \* CharFormat </w:instrText>
      </w:r>
      <w:r w:rsidRPr="00710DEE">
        <w:fldChar w:fldCharType="separate"/>
      </w:r>
      <w:r w:rsidR="001A420B">
        <w:t>36</w:t>
      </w:r>
      <w:r w:rsidRPr="00710DEE">
        <w:fldChar w:fldCharType="end"/>
      </w:r>
      <w:r>
        <w:t xml:space="preserve"> i </w:t>
      </w:r>
      <w:r w:rsidRPr="00710DEE">
        <w:fldChar w:fldCharType="begin"/>
      </w:r>
      <w:r w:rsidRPr="00710DEE">
        <w:instrText xml:space="preserve">REF paragraph00041 \h \* CharFormat </w:instrText>
      </w:r>
      <w:r w:rsidRPr="00710DEE">
        <w:fldChar w:fldCharType="separate"/>
      </w:r>
      <w:r w:rsidR="001A420B">
        <w:t>41</w:t>
      </w:r>
      <w:r w:rsidRPr="00710DEE">
        <w:fldChar w:fldCharType="end"/>
      </w:r>
      <w:r>
        <w:t>-</w:t>
      </w:r>
      <w:r w:rsidRPr="00710DEE">
        <w:fldChar w:fldCharType="begin"/>
      </w:r>
      <w:r w:rsidRPr="00710DEE">
        <w:instrText xml:space="preserve">REF paragraph00042 \h \* CharFormat </w:instrText>
      </w:r>
      <w:r w:rsidRPr="00710DEE">
        <w:fldChar w:fldCharType="separate"/>
      </w:r>
      <w:r w:rsidR="001A420B">
        <w:t>42</w:t>
      </w:r>
      <w:r w:rsidRPr="00710DEE">
        <w:fldChar w:fldCharType="end"/>
      </w:r>
      <w:r>
        <w:t xml:space="preserve"> powyżej). Wyraziwszy opinię o kandydaturach skarżących na podstawie kryteriów kompetencji i nieskazitelności, KRS przedstawiła następnie Prezydentowi Rzeczypospolitej wniosek o powołanie skarżących na właściwe wakujące stanowiska sędziowskie (zob. </w:t>
      </w:r>
      <w:r w:rsidR="00C61616">
        <w:t xml:space="preserve"> paragraf</w:t>
      </w:r>
      <w:r>
        <w:t xml:space="preserve"> </w:t>
      </w:r>
      <w:r w:rsidRPr="00710DEE">
        <w:fldChar w:fldCharType="begin"/>
      </w:r>
      <w:r w:rsidRPr="00710DEE">
        <w:instrText xml:space="preserve">REF paragraph00008 \h \* CharFormat </w:instrText>
      </w:r>
      <w:r w:rsidRPr="00710DEE">
        <w:fldChar w:fldCharType="separate"/>
      </w:r>
      <w:r w:rsidR="001A420B">
        <w:t>8</w:t>
      </w:r>
      <w:r w:rsidRPr="00710DEE">
        <w:fldChar w:fldCharType="end"/>
      </w:r>
      <w:r>
        <w:t xml:space="preserve"> i </w:t>
      </w:r>
      <w:r w:rsidRPr="00710DEE">
        <w:fldChar w:fldCharType="begin"/>
      </w:r>
      <w:r w:rsidRPr="00710DEE">
        <w:instrText xml:space="preserve">REF paragraph00037 \h \* CharFormat </w:instrText>
      </w:r>
      <w:r w:rsidRPr="00710DEE">
        <w:fldChar w:fldCharType="separate"/>
      </w:r>
      <w:r w:rsidR="001A420B">
        <w:t>37</w:t>
      </w:r>
      <w:r w:rsidRPr="00710DEE">
        <w:fldChar w:fldCharType="end"/>
      </w:r>
      <w:r>
        <w:t xml:space="preserve"> powyżej; por. </w:t>
      </w:r>
      <w:proofErr w:type="spellStart"/>
      <w:r>
        <w:rPr>
          <w:i/>
          <w:iCs/>
        </w:rPr>
        <w:t>Gloveli</w:t>
      </w:r>
      <w:proofErr w:type="spellEnd"/>
      <w:r>
        <w:t xml:space="preserve">, § 58, oraz </w:t>
      </w:r>
      <w:proofErr w:type="spellStart"/>
      <w:r>
        <w:rPr>
          <w:i/>
          <w:iCs/>
        </w:rPr>
        <w:t>Misiūnas</w:t>
      </w:r>
      <w:proofErr w:type="spellEnd"/>
      <w:r>
        <w:t>, § 110, oba cyt. powyżej). Elementy te prowadzą Trybunał do wniosku, że skarżący mogli zasadnie oczekiwać, iż ich kandydatury na stanowiska sędziowskie zostaną należycie rozpatrzone, z zastosowaniem przejrzystej i obiektywnej oceny wolnej od</w:t>
      </w:r>
      <w:r w:rsidR="00C21FB2">
        <w:t> </w:t>
      </w:r>
      <w:r>
        <w:t xml:space="preserve">arbitralności (zob., </w:t>
      </w:r>
      <w:r w:rsidRPr="00C43322">
        <w:rPr>
          <w:i/>
          <w:iCs/>
        </w:rPr>
        <w:t>mutatis mutandis</w:t>
      </w:r>
      <w:r>
        <w:t xml:space="preserve">, </w:t>
      </w:r>
      <w:proofErr w:type="spellStart"/>
      <w:r>
        <w:rPr>
          <w:i/>
          <w:iCs/>
        </w:rPr>
        <w:t>Guðmundur</w:t>
      </w:r>
      <w:proofErr w:type="spellEnd"/>
      <w:r>
        <w:rPr>
          <w:i/>
          <w:iCs/>
        </w:rPr>
        <w:t xml:space="preserve"> </w:t>
      </w:r>
      <w:proofErr w:type="spellStart"/>
      <w:r>
        <w:rPr>
          <w:i/>
          <w:iCs/>
        </w:rPr>
        <w:t>Andri</w:t>
      </w:r>
      <w:proofErr w:type="spellEnd"/>
      <w:r>
        <w:rPr>
          <w:i/>
          <w:iCs/>
        </w:rPr>
        <w:t xml:space="preserve"> </w:t>
      </w:r>
      <w:proofErr w:type="spellStart"/>
      <w:r>
        <w:rPr>
          <w:i/>
          <w:iCs/>
        </w:rPr>
        <w:t>Ástráðsson</w:t>
      </w:r>
      <w:proofErr w:type="spellEnd"/>
      <w:r>
        <w:t>, cyt.</w:t>
      </w:r>
      <w:r w:rsidR="00C21FB2">
        <w:t> </w:t>
      </w:r>
      <w:r>
        <w:t xml:space="preserve">powyżej, § 230; zob. także </w:t>
      </w:r>
      <w:proofErr w:type="spellStart"/>
      <w:r>
        <w:rPr>
          <w:i/>
          <w:iCs/>
        </w:rPr>
        <w:t>Misiūnas</w:t>
      </w:r>
      <w:proofErr w:type="spellEnd"/>
      <w:r>
        <w:t>, cyt. powyżej, § 110).</w:t>
      </w:r>
    </w:p>
    <w:p w14:paraId="5D8664B4" w14:textId="6C364822"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184</w:t>
      </w:r>
      <w:r w:rsidRPr="00710DEE">
        <w:fldChar w:fldCharType="end"/>
      </w:r>
      <w:r>
        <w:t>.</w:t>
      </w:r>
      <w:r w:rsidR="00BF573B">
        <w:t xml:space="preserve"> </w:t>
      </w:r>
      <w:r>
        <w:t xml:space="preserve">Trybunał mocno podkreśla wagę, jaką w instrumentach organizacji międzynarodowych i Rady Europy (zob. w szczególności </w:t>
      </w:r>
      <w:r w:rsidR="00C61616">
        <w:t xml:space="preserve"> paragraf</w:t>
      </w:r>
      <w:r>
        <w:t xml:space="preserve"> </w:t>
      </w:r>
      <w:r w:rsidRPr="00710DEE">
        <w:fldChar w:fldCharType="begin"/>
      </w:r>
      <w:r w:rsidRPr="00710DEE">
        <w:instrText xml:space="preserve"> REF paragraph00064 \h  \* CharFormat </w:instrText>
      </w:r>
      <w:r w:rsidRPr="00710DEE">
        <w:fldChar w:fldCharType="separate"/>
      </w:r>
      <w:r w:rsidR="001A420B">
        <w:t>64</w:t>
      </w:r>
      <w:r w:rsidRPr="00710DEE">
        <w:fldChar w:fldCharType="end"/>
      </w:r>
      <w:r>
        <w:t xml:space="preserve">-65 i </w:t>
      </w:r>
      <w:r w:rsidRPr="00710DEE">
        <w:fldChar w:fldCharType="begin"/>
      </w:r>
      <w:r w:rsidRPr="00710DEE">
        <w:instrText xml:space="preserve"> REF paragraph00065 \h  \* CharFormat </w:instrText>
      </w:r>
      <w:r w:rsidRPr="00710DEE">
        <w:fldChar w:fldCharType="separate"/>
      </w:r>
      <w:r w:rsidR="001A420B">
        <w:t>67</w:t>
      </w:r>
      <w:r w:rsidRPr="00710DEE">
        <w:fldChar w:fldCharType="end"/>
      </w:r>
      <w:r>
        <w:t xml:space="preserve"> powyżej) – a także w orzecznictwie sądów międzynarodowych i praktyce </w:t>
      </w:r>
      <w:r>
        <w:lastRenderedPageBreak/>
        <w:t xml:space="preserve">innych organów międzynarodowych – przywiązuje się do rzetelności proceduralnej w sprawach dotyczących wyłaniania, powoływania i kariery sędziów (zob. </w:t>
      </w:r>
      <w:proofErr w:type="spellStart"/>
      <w:r>
        <w:rPr>
          <w:i/>
          <w:iCs/>
        </w:rPr>
        <w:t>Oktay</w:t>
      </w:r>
      <w:proofErr w:type="spellEnd"/>
      <w:r>
        <w:rPr>
          <w:i/>
          <w:iCs/>
        </w:rPr>
        <w:t xml:space="preserve"> Alkan</w:t>
      </w:r>
      <w:r>
        <w:t xml:space="preserve">, cyt. powyżej, §§ 28–29 i 32–34; zob. także </w:t>
      </w:r>
      <w:proofErr w:type="spellStart"/>
      <w:r>
        <w:rPr>
          <w:i/>
          <w:iCs/>
        </w:rPr>
        <w:t>Guðmundur</w:t>
      </w:r>
      <w:proofErr w:type="spellEnd"/>
      <w:r>
        <w:rPr>
          <w:i/>
          <w:iCs/>
        </w:rPr>
        <w:t xml:space="preserve"> </w:t>
      </w:r>
      <w:proofErr w:type="spellStart"/>
      <w:r>
        <w:rPr>
          <w:i/>
          <w:iCs/>
        </w:rPr>
        <w:t>Andri</w:t>
      </w:r>
      <w:proofErr w:type="spellEnd"/>
      <w:r>
        <w:rPr>
          <w:i/>
          <w:iCs/>
        </w:rPr>
        <w:t xml:space="preserve"> </w:t>
      </w:r>
      <w:proofErr w:type="spellStart"/>
      <w:r>
        <w:rPr>
          <w:i/>
          <w:iCs/>
        </w:rPr>
        <w:t>Ástráðsson</w:t>
      </w:r>
      <w:proofErr w:type="spellEnd"/>
      <w:r>
        <w:t xml:space="preserve">, §§ 207, 215 i 226–227, oraz </w:t>
      </w:r>
      <w:r>
        <w:rPr>
          <w:i/>
          <w:iCs/>
        </w:rPr>
        <w:t>Baka</w:t>
      </w:r>
      <w:r>
        <w:t>, § 165, oba cyt. powyżej). W tym względzie Trybunał zwraca szczególną uwagę na</w:t>
      </w:r>
      <w:r w:rsidR="00C21FB2">
        <w:t> </w:t>
      </w:r>
      <w:r>
        <w:t xml:space="preserve">okoliczność, że skarżącym nie podano absolutnie żadnych powodów, dla których Prezydent Rzeczypospolitej odmówił ich powołania (zob. </w:t>
      </w:r>
      <w:r w:rsidR="00C61616">
        <w:t xml:space="preserve"> paragraf</w:t>
      </w:r>
      <w:r>
        <w:t xml:space="preserve"> </w:t>
      </w:r>
      <w:r w:rsidRPr="00710DEE">
        <w:fldChar w:fldCharType="begin"/>
      </w:r>
      <w:r w:rsidRPr="00710DEE">
        <w:instrText xml:space="preserve">REF paragraph00011 \h \* CharFormat  \* MERGEFORMAT </w:instrText>
      </w:r>
      <w:r w:rsidRPr="00710DEE">
        <w:fldChar w:fldCharType="separate"/>
      </w:r>
      <w:r w:rsidR="001A420B">
        <w:t>11</w:t>
      </w:r>
      <w:r w:rsidRPr="00710DEE">
        <w:fldChar w:fldCharType="end"/>
      </w:r>
      <w:r>
        <w:t xml:space="preserve"> powyżej), co w praktyce wyraźnie nie odpowiadało wnioskowi KRS; przede wszystkim nie przedstawiono im żadnego urzędowego postanowienia, które można by zaskarżyć do sądu (por. </w:t>
      </w:r>
      <w:proofErr w:type="spellStart"/>
      <w:r>
        <w:rPr>
          <w:i/>
          <w:iCs/>
        </w:rPr>
        <w:t>Misiūnas</w:t>
      </w:r>
      <w:proofErr w:type="spellEnd"/>
      <w:r>
        <w:t>, cyt. powyżej, § 111). W</w:t>
      </w:r>
      <w:r w:rsidR="00C21FB2">
        <w:t> </w:t>
      </w:r>
      <w:r>
        <w:t>konsekwencji uzasadnione było podejrzewanie przez skarżących, że</w:t>
      </w:r>
      <w:r w:rsidR="00C21FB2">
        <w:t> </w:t>
      </w:r>
      <w:r>
        <w:t>w</w:t>
      </w:r>
      <w:r w:rsidR="00C21FB2">
        <w:t> </w:t>
      </w:r>
      <w:r>
        <w:t xml:space="preserve">postanowieniu Prezydenta istniał element arbitralności (zob., </w:t>
      </w:r>
      <w:r w:rsidRPr="00C43322">
        <w:rPr>
          <w:i/>
          <w:iCs/>
        </w:rPr>
        <w:t>mutatis mutandis</w:t>
      </w:r>
      <w:r>
        <w:t>,</w:t>
      </w:r>
      <w:r>
        <w:rPr>
          <w:i/>
          <w:iCs/>
        </w:rPr>
        <w:t xml:space="preserve"> </w:t>
      </w:r>
      <w:proofErr w:type="spellStart"/>
      <w:r>
        <w:rPr>
          <w:i/>
          <w:iCs/>
        </w:rPr>
        <w:t>Bilgen</w:t>
      </w:r>
      <w:proofErr w:type="spellEnd"/>
      <w:r>
        <w:t>, cyt. powyżej, § 61). Trybunał nie wyklucza jednak możliwości, że zgodnie z prawem krajowym Prezydent Rzeczypospolitej mógłby wyjątkowo i pod warunkiem należytego uzasadnienia wystąpić z</w:t>
      </w:r>
      <w:r w:rsidR="00C21FB2">
        <w:t> </w:t>
      </w:r>
      <w:r>
        <w:t>wnioskiem do KRS o ponowne rozpatrzenie swojego wniosku o powołanie sędziego.</w:t>
      </w:r>
    </w:p>
    <w:p w14:paraId="07D22CA1" w14:textId="1CA0029B"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185</w:t>
      </w:r>
      <w:r w:rsidRPr="00710DEE">
        <w:fldChar w:fldCharType="end"/>
      </w:r>
      <w:r>
        <w:t>.</w:t>
      </w:r>
      <w:r w:rsidR="00BF573B">
        <w:t xml:space="preserve"> </w:t>
      </w:r>
      <w:r>
        <w:t xml:space="preserve">Przechodząc do okoliczności rozpoznawanej sprawy, Trybunał uznaje, że w sprawach, w których stawką jest kariera – a konkretnie samo powołanie – sędziego, powinny istnieć ważkie powody wyjątkowo uzasadniające brak jakiejkolwiek kontroli sądowej (zob. </w:t>
      </w:r>
      <w:r w:rsidRPr="00C43322">
        <w:rPr>
          <w:i/>
          <w:iCs/>
        </w:rPr>
        <w:t>mutatis mutandis</w:t>
      </w:r>
      <w:r>
        <w:t xml:space="preserve">, </w:t>
      </w:r>
      <w:proofErr w:type="spellStart"/>
      <w:r>
        <w:rPr>
          <w:i/>
          <w:iCs/>
        </w:rPr>
        <w:t>Bilgen</w:t>
      </w:r>
      <w:proofErr w:type="spellEnd"/>
      <w:r>
        <w:t xml:space="preserve">, § 96, oraz </w:t>
      </w:r>
      <w:proofErr w:type="spellStart"/>
      <w:r>
        <w:rPr>
          <w:i/>
          <w:iCs/>
        </w:rPr>
        <w:t>Oktay</w:t>
      </w:r>
      <w:proofErr w:type="spellEnd"/>
      <w:r>
        <w:rPr>
          <w:i/>
          <w:iCs/>
        </w:rPr>
        <w:t xml:space="preserve"> Alkan</w:t>
      </w:r>
      <w:r>
        <w:t xml:space="preserve">, § 69, oba cyt. powyżej). W niniejszej sprawie Trybunałowi nie przedstawiono jednak takich powodów (zob. </w:t>
      </w:r>
      <w:r w:rsidR="00C61616">
        <w:t xml:space="preserve"> paragraf</w:t>
      </w:r>
      <w:r>
        <w:t xml:space="preserve"> </w:t>
      </w:r>
      <w:r w:rsidRPr="00710DEE">
        <w:fldChar w:fldCharType="begin"/>
      </w:r>
      <w:r w:rsidRPr="00710DEE">
        <w:instrText xml:space="preserve"> REF paragraph00155 \h  \* CharFormat </w:instrText>
      </w:r>
      <w:r w:rsidRPr="00710DEE">
        <w:fldChar w:fldCharType="separate"/>
      </w:r>
      <w:r w:rsidR="001A420B">
        <w:t>158</w:t>
      </w:r>
      <w:r w:rsidRPr="00710DEE">
        <w:fldChar w:fldCharType="end"/>
      </w:r>
      <w:r>
        <w:t>-</w:t>
      </w:r>
      <w:r w:rsidRPr="00710DEE">
        <w:fldChar w:fldCharType="begin"/>
      </w:r>
      <w:r w:rsidRPr="00710DEE">
        <w:instrText xml:space="preserve"> REF paragraph00157 \h  \* CharFormat </w:instrText>
      </w:r>
      <w:r w:rsidRPr="00710DEE">
        <w:fldChar w:fldCharType="separate"/>
      </w:r>
      <w:r w:rsidR="001A420B">
        <w:t>159</w:t>
      </w:r>
      <w:r w:rsidRPr="00710DEE">
        <w:fldChar w:fldCharType="end"/>
      </w:r>
      <w:r>
        <w:t xml:space="preserve"> powyżej). Trybunał uznaje za istotne podkreślić, że problem w niniejszej sprawie tkwi w tym, iż postanowienie Prezydenta Rzeczypospolitej – i)</w:t>
      </w:r>
      <w:r w:rsidR="00C21FB2">
        <w:t> </w:t>
      </w:r>
      <w:r>
        <w:t>w</w:t>
      </w:r>
      <w:r w:rsidR="00C21FB2">
        <w:t> </w:t>
      </w:r>
      <w:r>
        <w:t xml:space="preserve">którym Prezydent odmówił powołania kandydatów na stanowiska sędziowskie mimo pozytywnej opinii KRS; ii) które nie zawierało uzasadnienia; iii) które nosiło </w:t>
      </w:r>
      <w:r w:rsidRPr="00C43322">
        <w:rPr>
          <w:i/>
          <w:iCs/>
        </w:rPr>
        <w:t>prima facie</w:t>
      </w:r>
      <w:r>
        <w:t xml:space="preserve"> znamiona arbitralności – nie podlegało żadnej formie kontroli, w ramach którego można byłoby ocenić zarzuty podniesione przez skarżących w tym ostatnim zakresie. Trybunał podkreśla w tym względzie, że kontrola sądowa postanowienia Prezydenta musi być ściśle niezależna, ale zauważa jednak, że zakres takiej kontroli może być w uzasadniony sposób ograniczony (zob. </w:t>
      </w:r>
      <w:r>
        <w:rPr>
          <w:i/>
          <w:iCs/>
        </w:rPr>
        <w:t xml:space="preserve">Ramos </w:t>
      </w:r>
      <w:proofErr w:type="spellStart"/>
      <w:r>
        <w:rPr>
          <w:i/>
          <w:iCs/>
        </w:rPr>
        <w:t>Nunes</w:t>
      </w:r>
      <w:proofErr w:type="spellEnd"/>
      <w:r>
        <w:rPr>
          <w:i/>
          <w:iCs/>
        </w:rPr>
        <w:t xml:space="preserve"> de</w:t>
      </w:r>
      <w:r w:rsidR="00C21FB2">
        <w:rPr>
          <w:i/>
          <w:iCs/>
        </w:rPr>
        <w:t> </w:t>
      </w:r>
      <w:proofErr w:type="spellStart"/>
      <w:r>
        <w:rPr>
          <w:i/>
          <w:iCs/>
        </w:rPr>
        <w:t>Carvalho</w:t>
      </w:r>
      <w:proofErr w:type="spellEnd"/>
      <w:r>
        <w:rPr>
          <w:i/>
          <w:iCs/>
        </w:rPr>
        <w:t xml:space="preserve"> e </w:t>
      </w:r>
      <w:proofErr w:type="spellStart"/>
      <w:r>
        <w:rPr>
          <w:i/>
          <w:iCs/>
        </w:rPr>
        <w:t>Sá</w:t>
      </w:r>
      <w:proofErr w:type="spellEnd"/>
      <w:r>
        <w:t>, cyt. powyżej, § 178), mając na uwadze, że prawem będącym przedmiotem sprawy jest prawo do rzetelnej i wolnej od</w:t>
      </w:r>
      <w:r w:rsidR="00C21FB2">
        <w:t> </w:t>
      </w:r>
      <w:r>
        <w:t xml:space="preserve">arbitralnych odmów procedury rozpoznania kandydatury na stanowisko sędziowskie, a nie prawo do powołania (zob. </w:t>
      </w:r>
      <w:r w:rsidR="00C61616">
        <w:t xml:space="preserve"> paragraf</w:t>
      </w:r>
      <w:r>
        <w:t xml:space="preserve"> </w:t>
      </w:r>
      <w:r w:rsidRPr="00710DEE">
        <w:fldChar w:fldCharType="begin"/>
      </w:r>
      <w:r w:rsidRPr="00710DEE">
        <w:instrText xml:space="preserve"> REF paragraph00138 \h  \* CharFormat  \* MERGEFORMAT </w:instrText>
      </w:r>
      <w:r w:rsidRPr="00710DEE">
        <w:fldChar w:fldCharType="separate"/>
      </w:r>
      <w:r w:rsidR="001A420B">
        <w:t>141</w:t>
      </w:r>
      <w:r w:rsidRPr="00710DEE">
        <w:fldChar w:fldCharType="end"/>
      </w:r>
      <w:r>
        <w:t xml:space="preserve"> powyżej).</w:t>
      </w:r>
    </w:p>
    <w:p w14:paraId="2506CACC" w14:textId="709DA79C"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186</w:t>
      </w:r>
      <w:r w:rsidRPr="00710DEE">
        <w:fldChar w:fldCharType="end"/>
      </w:r>
      <w:r>
        <w:t>.</w:t>
      </w:r>
      <w:r w:rsidR="00BF573B">
        <w:t xml:space="preserve"> </w:t>
      </w:r>
      <w:r>
        <w:t xml:space="preserve">Mając na uwadze wyżej wskazane czynniki oraz szczególne okoliczności rozpoznawanej sprawy, Trybunał stwierdza, że: i) skarżącym przysługiwało ustanowione w krajowym porządku prawnym ogólne prawo równego dostępu do służby publicznej w obrębie sądownictwa (zob. </w:t>
      </w:r>
      <w:r w:rsidR="00C61616">
        <w:t xml:space="preserve"> paragraf</w:t>
      </w:r>
      <w:r>
        <w:t xml:space="preserve"> </w:t>
      </w:r>
      <w:r w:rsidRPr="00710DEE">
        <w:fldChar w:fldCharType="begin"/>
      </w:r>
      <w:r w:rsidRPr="00710DEE">
        <w:instrText xml:space="preserve">REF paragraph00133 \h \* CharFormat </w:instrText>
      </w:r>
      <w:r w:rsidRPr="00710DEE">
        <w:fldChar w:fldCharType="separate"/>
      </w:r>
      <w:r w:rsidR="001A420B">
        <w:t>136</w:t>
      </w:r>
      <w:r w:rsidRPr="00710DEE">
        <w:fldChar w:fldCharType="end"/>
      </w:r>
      <w:r>
        <w:t xml:space="preserve"> powyżej); ii) rzeczone prawo ogólne (ze względu na szczególne okoliczności sprawy skarżących) przybrało postać prawa do rzetelnej procedury rozpoznania kandydatury na stanowisko sędziowskie – w tym </w:t>
      </w:r>
      <w:r>
        <w:lastRenderedPageBreak/>
        <w:t>prawa do</w:t>
      </w:r>
      <w:r w:rsidR="00C21FB2">
        <w:t> </w:t>
      </w:r>
      <w:r>
        <w:t xml:space="preserve">ochrony przed arbitralną odmową (zob. </w:t>
      </w:r>
      <w:r w:rsidR="00C61616">
        <w:t xml:space="preserve"> paragraf</w:t>
      </w:r>
      <w:r>
        <w:t xml:space="preserve"> </w:t>
      </w:r>
      <w:r w:rsidRPr="00710DEE">
        <w:fldChar w:fldCharType="begin"/>
      </w:r>
      <w:r w:rsidRPr="00710DEE">
        <w:instrText xml:space="preserve"> REF paragraph00138 \h  \* CharFormat </w:instrText>
      </w:r>
      <w:r w:rsidRPr="00710DEE">
        <w:fldChar w:fldCharType="separate"/>
      </w:r>
      <w:r w:rsidR="001A420B">
        <w:t>141</w:t>
      </w:r>
      <w:r w:rsidRPr="00710DEE">
        <w:fldChar w:fldCharType="end"/>
      </w:r>
      <w:r>
        <w:t xml:space="preserve"> powyżej); iii) zważywszy że skarżących nie poinformowano o powodach, dla których postanowiono o</w:t>
      </w:r>
      <w:r w:rsidR="00C21FB2">
        <w:t> </w:t>
      </w:r>
      <w:r>
        <w:t>odmowie ich powołania, i nie zapewniono im dostępu do jakiejkolwiek późniejszej kontroli, nie zapewniono im niezbędnej ochrony przed tym, co</w:t>
      </w:r>
      <w:r w:rsidR="00C21FB2">
        <w:t> </w:t>
      </w:r>
      <w:r>
        <w:t xml:space="preserve">można było zasadnie podejrzewać jako arbitralność w zaskarżonej postanowieniu Prezydenta Rzeczypospolitej; iv) doszło zatem do naruszenia istoty prawa skarżących do sądu (zob. </w:t>
      </w:r>
      <w:r>
        <w:rPr>
          <w:i/>
          <w:iCs/>
        </w:rPr>
        <w:t>Grzęda</w:t>
      </w:r>
      <w:r>
        <w:t xml:space="preserve">, § 349, oraz </w:t>
      </w:r>
      <w:r>
        <w:rPr>
          <w:i/>
          <w:iCs/>
        </w:rPr>
        <w:t>Baka</w:t>
      </w:r>
      <w:r>
        <w:t>, § 121, oba cyt. powyżej).</w:t>
      </w:r>
    </w:p>
    <w:p w14:paraId="109EB154" w14:textId="6B33FA6A"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187</w:t>
      </w:r>
      <w:r w:rsidRPr="00710DEE">
        <w:fldChar w:fldCharType="end"/>
      </w:r>
      <w:r>
        <w:t>.</w:t>
      </w:r>
      <w:r w:rsidR="00BF573B">
        <w:t xml:space="preserve"> </w:t>
      </w:r>
      <w:r>
        <w:t>Doszło zatem do naruszenia prawa dostępu skarżących do sądu gwarantowanego art. 6 § 1 Konwencji.</w:t>
      </w:r>
    </w:p>
    <w:p w14:paraId="3305A65A" w14:textId="77777777" w:rsidR="00E44928" w:rsidRPr="00710DEE" w:rsidRDefault="009F6771" w:rsidP="00710DEE">
      <w:pPr>
        <w:pStyle w:val="JuHIRoman"/>
      </w:pPr>
      <w:r>
        <w:t>ZARZUCANE NARUSZENIE ART. 13 KONWENCJI</w:t>
      </w:r>
    </w:p>
    <w:p w14:paraId="7ACBA56E" w14:textId="441AA054"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188</w:t>
      </w:r>
      <w:r w:rsidRPr="00710DEE">
        <w:fldChar w:fldCharType="end"/>
      </w:r>
      <w:r>
        <w:t>.</w:t>
      </w:r>
      <w:r w:rsidR="00BF573B">
        <w:t xml:space="preserve"> </w:t>
      </w:r>
      <w:r>
        <w:t>Skarżący dodatkowo zarzucili na podstawie art. 13 Konwencji, że</w:t>
      </w:r>
      <w:r w:rsidR="00C21FB2">
        <w:t> </w:t>
      </w:r>
      <w:r>
        <w:t>pozbawiono ich skutecznego środka odwoławczego w odniesieniu do</w:t>
      </w:r>
      <w:r w:rsidR="00C21FB2">
        <w:t> </w:t>
      </w:r>
      <w:r>
        <w:t>naruszenia ich prawa dostępu do sądu. Artykuł 13 Konwencji ma</w:t>
      </w:r>
      <w:r w:rsidR="008C02FC">
        <w:t> </w:t>
      </w:r>
      <w:r>
        <w:t>następujące brzmienie:</w:t>
      </w:r>
    </w:p>
    <w:p w14:paraId="71966BE3" w14:textId="77777777" w:rsidR="00E44928" w:rsidRPr="00710DEE" w:rsidRDefault="009F6771" w:rsidP="00710DEE">
      <w:pPr>
        <w:pStyle w:val="JuQuot"/>
      </w:pPr>
      <w:r>
        <w:t>„Każdy, kogo prawa i wolności zawarte w niniejszej Konwencji zostały naruszone, ma prawo do skutecznego środka odwoławczego do właściwego organu państwowego także wówczas, gdy naruszenia dokonały osoby wykonujące swoje funkcje urzędowe”.</w:t>
      </w:r>
    </w:p>
    <w:p w14:paraId="32B5D847" w14:textId="4C859F0A"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189</w:t>
      </w:r>
      <w:r w:rsidRPr="00710DEE">
        <w:fldChar w:fldCharType="end"/>
      </w:r>
      <w:r>
        <w:t>.</w:t>
      </w:r>
      <w:r w:rsidR="00BF573B">
        <w:t xml:space="preserve"> </w:t>
      </w:r>
      <w:r>
        <w:t>Trybunał zauważa, że zarzut na gruncie art. 13 jest co do istoty tożsamy z zarzutem na gruncie art. 6 ust. 1. Powtarza, że gwarancje wynikające z art. 6 ust. 1, sugerujące pełny zakres procedury sądowej, są</w:t>
      </w:r>
      <w:r w:rsidR="00C21FB2">
        <w:t> </w:t>
      </w:r>
      <w:r>
        <w:t>bardziej rygorystyczne niż gwarancje wynikające z art. 13, w związku z</w:t>
      </w:r>
      <w:r w:rsidR="00C21FB2">
        <w:t> </w:t>
      </w:r>
      <w:r>
        <w:t xml:space="preserve">czym drugie zawierają się w pierwszych (zob. na przykład </w:t>
      </w:r>
      <w:r>
        <w:rPr>
          <w:i/>
        </w:rPr>
        <w:t>Kudła przeciwko Polsce</w:t>
      </w:r>
      <w:r>
        <w:t xml:space="preserve"> [WI], nr 30210/96, § 146, ETPC 2000</w:t>
      </w:r>
      <w:r>
        <w:noBreakHyphen/>
        <w:t>XI).</w:t>
      </w:r>
    </w:p>
    <w:p w14:paraId="0536FC88" w14:textId="72FE8D1E"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190</w:t>
      </w:r>
      <w:r w:rsidRPr="00710DEE">
        <w:fldChar w:fldCharType="end"/>
      </w:r>
      <w:r>
        <w:t>.</w:t>
      </w:r>
      <w:r w:rsidR="00BF573B">
        <w:t xml:space="preserve"> </w:t>
      </w:r>
      <w:r>
        <w:t xml:space="preserve">Trybunał stwierdza w rezultacie, że nie jest konieczne oddzielne badanie dopuszczalności i przedmiotu skargi na podstawie art. 13 Konwencji (zob. </w:t>
      </w:r>
      <w:proofErr w:type="spellStart"/>
      <w:proofErr w:type="gramStart"/>
      <w:r>
        <w:rPr>
          <w:i/>
        </w:rPr>
        <w:t>Grzęda</w:t>
      </w:r>
      <w:r>
        <w:t>,</w:t>
      </w:r>
      <w:r w:rsidR="00C4082F">
        <w:t>cyt</w:t>
      </w:r>
      <w:proofErr w:type="spellEnd"/>
      <w:r w:rsidR="00C4082F">
        <w:t>.</w:t>
      </w:r>
      <w:proofErr w:type="gramEnd"/>
      <w:r w:rsidR="00C4082F">
        <w:t xml:space="preserve"> </w:t>
      </w:r>
      <w:proofErr w:type="spellStart"/>
      <w:r w:rsidR="00C4082F">
        <w:t>powużej</w:t>
      </w:r>
      <w:proofErr w:type="spellEnd"/>
      <w:r>
        <w:rPr>
          <w:i/>
          <w:iCs/>
        </w:rPr>
        <w:t>.</w:t>
      </w:r>
      <w:r>
        <w:t>, § 353).</w:t>
      </w:r>
    </w:p>
    <w:p w14:paraId="29828DA1" w14:textId="77777777" w:rsidR="00E44928" w:rsidRPr="00710DEE" w:rsidRDefault="009F6771" w:rsidP="00710DEE">
      <w:pPr>
        <w:pStyle w:val="JuHIRoman"/>
      </w:pPr>
      <w:r>
        <w:t>ZASTOSOWANIE ART. 41 KONWENCJI</w:t>
      </w:r>
    </w:p>
    <w:p w14:paraId="10801103" w14:textId="2A78AA51"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191</w:t>
      </w:r>
      <w:r w:rsidRPr="00710DEE">
        <w:fldChar w:fldCharType="end"/>
      </w:r>
      <w:r>
        <w:t>.</w:t>
      </w:r>
      <w:r w:rsidR="00BF573B">
        <w:t xml:space="preserve"> </w:t>
      </w:r>
      <w:r>
        <w:t>Art. 41 Konwencji stanowi:</w:t>
      </w:r>
    </w:p>
    <w:p w14:paraId="1C196A6C" w14:textId="77777777" w:rsidR="00E44928" w:rsidRPr="00710DEE" w:rsidRDefault="009F6771" w:rsidP="00710DEE">
      <w:pPr>
        <w:pStyle w:val="JuQuot"/>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16146BE8" w14:textId="77777777" w:rsidR="00E44928" w:rsidRPr="00710DEE" w:rsidRDefault="009F6771" w:rsidP="00710DEE">
      <w:pPr>
        <w:pStyle w:val="JuHA"/>
      </w:pPr>
      <w:r>
        <w:t>Zadośćuczynienie</w:t>
      </w:r>
    </w:p>
    <w:p w14:paraId="287C5F60" w14:textId="722AA6FC"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192</w:t>
      </w:r>
      <w:r w:rsidRPr="00710DEE">
        <w:fldChar w:fldCharType="end"/>
      </w:r>
      <w:r>
        <w:t>.</w:t>
      </w:r>
      <w:r w:rsidR="00BF573B">
        <w:t xml:space="preserve"> </w:t>
      </w:r>
      <w:r>
        <w:t>Każdy ze skarżących domagał się kwoty 20 000 euro (EUR) tytułem zadośćuczynienia za szkodę niemajątkową jako rekompensaty za cierpienie i</w:t>
      </w:r>
      <w:r w:rsidR="00C21FB2">
        <w:t> </w:t>
      </w:r>
      <w:r>
        <w:t xml:space="preserve">niepokój związane z naruszeniem ich praw. Skarżący podkreślili, </w:t>
      </w:r>
      <w:r>
        <w:lastRenderedPageBreak/>
        <w:t>że</w:t>
      </w:r>
      <w:r w:rsidR="00C21FB2">
        <w:t> </w:t>
      </w:r>
      <w:r>
        <w:t>w</w:t>
      </w:r>
      <w:r w:rsidR="00C21FB2">
        <w:t> </w:t>
      </w:r>
      <w:r>
        <w:t>wyniku nieuzasadnionej i niepopartej odmowy powołania ich na urząd, do sprawowania którego byli należycie wykwalifikowani, doznali stresu, upokorzenia, poczucia niesprawiedliwości i bezradności. Argumentowali ponadto, że skoro nie mieli ani środków do zaskarżenia odmowy przed sądem, ani do poznania jej powodów, faktycznie pozbawiono ich możliwości obrony swojej godności i dobrego imienia. Wynikało to, w ocenie skarżących, z faktu, że postanowienie Prezydenta Rzeczypospolitej zdyskwalifikowało ich – w oczach środowiska sędziowskiego i ogółu społeczeństwa – jako zarówno osoby aspirujące do pełnienia urzędu sędziego, jak i prawników oraz funkcjonariuszy publicznych. Argumentowali, że zaskarżone postanowienie Prezydenta było i nadal jest przedmiotem uwag nie tylko w środowisku sędziowskim (i szerzej kręgach prawniczych), ale również w mediach. Skarżący podnieśli, że ich osiągnięcia zawodowe (potwierdzone dotychczas pozytywnym dorobkiem) oraz wniosek KRS o powołanie ich na urząd sędziego zostały w istocie zakwestionowane. Co więcej, stwierdzili, że odmowa, brak jakiegokolwiek jej uzasadnienia oraz brak jakiejkolwiek kontroli sądowej tej odmowy powodowały poczucie przygnębienia i frustracji, brak perspektyw zawodowych oraz poczucie zawodu państwem polskim.</w:t>
      </w:r>
    </w:p>
    <w:p w14:paraId="4663B347" w14:textId="1EEC55FA"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193</w:t>
      </w:r>
      <w:r w:rsidRPr="00710DEE">
        <w:fldChar w:fldCharType="end"/>
      </w:r>
      <w:r>
        <w:t>.</w:t>
      </w:r>
      <w:r w:rsidR="00BF573B">
        <w:t xml:space="preserve"> </w:t>
      </w:r>
      <w:r>
        <w:t>Rząd podniósł, że roszczenia skarżących są bezzasadne, ponieważ zostały wniesione w sprawie, która powinna była zostać uznana za</w:t>
      </w:r>
      <w:r w:rsidR="00C21FB2">
        <w:t> </w:t>
      </w:r>
      <w:r>
        <w:t xml:space="preserve">niedopuszczalną. W związku z tym </w:t>
      </w:r>
      <w:r w:rsidR="00014AF6">
        <w:t>r</w:t>
      </w:r>
      <w:r>
        <w:t>ząd zwrócił się do Trybunału o</w:t>
      </w:r>
      <w:r w:rsidR="00C21FB2">
        <w:t> </w:t>
      </w:r>
      <w:r>
        <w:t xml:space="preserve">oddalenie w całości roszczeń w tym zakresie. Alternatywnie, gdyby Trybunał uznał inaczej i stwierdził w sprawie naruszenie, </w:t>
      </w:r>
      <w:r w:rsidR="00014AF6">
        <w:t>r</w:t>
      </w:r>
      <w:r>
        <w:t>ząd wskazał, że</w:t>
      </w:r>
      <w:r w:rsidR="00C21FB2">
        <w:t> </w:t>
      </w:r>
      <w:r>
        <w:t>stwierdzenie naruszenia powinno być uznane za wystarczające słuszne zadośćuczynienie.</w:t>
      </w:r>
    </w:p>
    <w:p w14:paraId="79E1769E" w14:textId="6BAB1196"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194</w:t>
      </w:r>
      <w:r w:rsidRPr="00710DEE">
        <w:fldChar w:fldCharType="end"/>
      </w:r>
      <w:r>
        <w:t>.</w:t>
      </w:r>
      <w:r w:rsidR="00BF573B">
        <w:t xml:space="preserve"> </w:t>
      </w:r>
      <w:r>
        <w:t>Trybunał uznaje, że skarżący musieli doznać szkody niemajątkowej, której nie zaradzi wystarczająco samo stwierdzenie naruszenia Konwencji w</w:t>
      </w:r>
      <w:r w:rsidR="00C21FB2">
        <w:t> </w:t>
      </w:r>
      <w:r>
        <w:t>niniejszym wyroku. Trybunał, dokonując oceny na zasadzie słuszności i</w:t>
      </w:r>
      <w:r w:rsidR="00C21FB2">
        <w:t> </w:t>
      </w:r>
      <w:r>
        <w:t>w</w:t>
      </w:r>
      <w:r w:rsidR="00C21FB2">
        <w:t> </w:t>
      </w:r>
      <w:r>
        <w:t>świetle wszystkich informacji będących w jego posiadaniu, uznaje za</w:t>
      </w:r>
      <w:r w:rsidR="00C21FB2">
        <w:t> </w:t>
      </w:r>
      <w:r>
        <w:t xml:space="preserve">zasadne zasądzenie na rzecz każdego ze skarżących kwoty 13 000 EUR tytułem zadośćuczynienia za szkodę niemajątkową, powiększoną o wszelkie należne podatki (zob. </w:t>
      </w:r>
      <w:r>
        <w:rPr>
          <w:i/>
          <w:iCs/>
        </w:rPr>
        <w:t>Baka</w:t>
      </w:r>
      <w:r>
        <w:t>, cyt. powyżej, § 191).</w:t>
      </w:r>
    </w:p>
    <w:p w14:paraId="599084B5" w14:textId="77777777" w:rsidR="00E44928" w:rsidRPr="00710DEE" w:rsidRDefault="009F6771" w:rsidP="00710DEE">
      <w:pPr>
        <w:pStyle w:val="JuHA"/>
      </w:pPr>
      <w:r>
        <w:t>Koszty i wydatki</w:t>
      </w:r>
    </w:p>
    <w:p w14:paraId="183FF098" w14:textId="1CCEA96C" w:rsidR="00E44928" w:rsidRPr="00710DEE" w:rsidRDefault="00710DEE" w:rsidP="00710DEE">
      <w:pPr>
        <w:pStyle w:val="JuPara"/>
      </w:pPr>
      <w:r w:rsidRPr="00710DEE">
        <w:fldChar w:fldCharType="begin"/>
      </w:r>
      <w:r>
        <w:instrText xml:space="preserve"> SEQ level0 \*arabic \* MERGEFORMAT </w:instrText>
      </w:r>
      <w:r w:rsidRPr="00710DEE">
        <w:fldChar w:fldCharType="separate"/>
      </w:r>
      <w:r w:rsidR="001A420B">
        <w:rPr>
          <w:noProof/>
        </w:rPr>
        <w:t>195</w:t>
      </w:r>
      <w:r w:rsidRPr="00710DEE">
        <w:fldChar w:fldCharType="end"/>
      </w:r>
      <w:r>
        <w:t>.</w:t>
      </w:r>
      <w:r w:rsidR="00BF573B">
        <w:t xml:space="preserve"> </w:t>
      </w:r>
      <w:r>
        <w:t>Skarżący nie domagali się zwrotu kosztów i wydatków. W związku z tym Trybunał nie zasądza żadnej kwoty z tego tytułu.</w:t>
      </w:r>
    </w:p>
    <w:p w14:paraId="67FDACB7" w14:textId="77777777" w:rsidR="00E44928" w:rsidRPr="00710DEE" w:rsidRDefault="009F6771" w:rsidP="00710DEE">
      <w:pPr>
        <w:pStyle w:val="JuHHead"/>
        <w:numPr>
          <w:ilvl w:val="0"/>
          <w:numId w:val="21"/>
        </w:numPr>
        <w:ind w:left="360" w:hanging="360"/>
      </w:pPr>
      <w:r>
        <w:t>Z POWYŻSZYCH WZGLĘDÓW TRYBUNAŁ JEDNOMYŚLNIE</w:t>
      </w:r>
    </w:p>
    <w:p w14:paraId="09D7DCD9" w14:textId="77777777" w:rsidR="00E44928" w:rsidRPr="00710DEE" w:rsidRDefault="009F6771" w:rsidP="00710DEE">
      <w:pPr>
        <w:pStyle w:val="JuList"/>
        <w:ind w:left="0" w:firstLine="0"/>
      </w:pPr>
      <w:r>
        <w:rPr>
          <w:i/>
        </w:rPr>
        <w:t>postanawia</w:t>
      </w:r>
      <w:r>
        <w:t xml:space="preserve"> połączyć skargi;</w:t>
      </w:r>
    </w:p>
    <w:p w14:paraId="394027AE" w14:textId="77777777" w:rsidR="00E44928" w:rsidRPr="00710DEE" w:rsidRDefault="009F6771" w:rsidP="00710DEE">
      <w:pPr>
        <w:pStyle w:val="JuList"/>
      </w:pPr>
      <w:r>
        <w:rPr>
          <w:i/>
        </w:rPr>
        <w:lastRenderedPageBreak/>
        <w:t>uznaje</w:t>
      </w:r>
      <w:r>
        <w:t xml:space="preserve"> zarzut dotyczący art. 6 ust. 1 Konwencji za dopuszczalny;</w:t>
      </w:r>
    </w:p>
    <w:p w14:paraId="6D3F168D" w14:textId="77777777" w:rsidR="00E44928" w:rsidRPr="00710DEE" w:rsidRDefault="009F6771" w:rsidP="00710DEE">
      <w:pPr>
        <w:pStyle w:val="JuList"/>
      </w:pPr>
      <w:r>
        <w:rPr>
          <w:i/>
        </w:rPr>
        <w:t>orzeka</w:t>
      </w:r>
      <w:r>
        <w:t>, że doszło do naruszenia art. 6 ust. 1 Konwencji;</w:t>
      </w:r>
    </w:p>
    <w:p w14:paraId="2850FEFC" w14:textId="77777777" w:rsidR="00E44928" w:rsidRPr="00710DEE" w:rsidRDefault="009F6771" w:rsidP="00710DEE">
      <w:pPr>
        <w:pStyle w:val="JuList"/>
      </w:pPr>
      <w:r>
        <w:rPr>
          <w:i/>
        </w:rPr>
        <w:t>orzeka</w:t>
      </w:r>
      <w:r>
        <w:t>, że nie ma potrzeby rozpatrywania zarzutu na gruncie art. 13 Konwencji;</w:t>
      </w:r>
    </w:p>
    <w:p w14:paraId="4652C26B" w14:textId="77777777" w:rsidR="00E44928" w:rsidRPr="00710DEE" w:rsidRDefault="009F6771" w:rsidP="00710DEE">
      <w:pPr>
        <w:pStyle w:val="JuList"/>
      </w:pPr>
      <w:r>
        <w:rPr>
          <w:i/>
        </w:rPr>
        <w:t>orzeka,</w:t>
      </w:r>
    </w:p>
    <w:p w14:paraId="6FF9578A" w14:textId="060BE4DD" w:rsidR="00E44928" w:rsidRPr="00710DEE" w:rsidRDefault="009F6771" w:rsidP="00710DEE">
      <w:pPr>
        <w:pStyle w:val="JuLista"/>
      </w:pPr>
      <w:r>
        <w:t xml:space="preserve">że pozwane państwo winno w terminie trzech miesięcy od </w:t>
      </w:r>
      <w:r w:rsidR="00DF4315">
        <w:t>daty</w:t>
      </w:r>
      <w:r>
        <w:t>, w</w:t>
      </w:r>
      <w:r w:rsidR="00C21FB2">
        <w:t> </w:t>
      </w:r>
      <w:r>
        <w:t>którym niniejszy wyrok stanie się ostateczny zgodnie z art. 44 ust.</w:t>
      </w:r>
      <w:r w:rsidR="00C21FB2">
        <w:t> </w:t>
      </w:r>
      <w:r>
        <w:t xml:space="preserve">2 Konwencji, uiścić na rzecz każdego ze skarżących kwotę 13 000 EUR (trzynaście tysięcy euro), przeliczoną na walutę pozwanego państwa według kursu obowiązującego w </w:t>
      </w:r>
      <w:r w:rsidR="00DF4315">
        <w:t xml:space="preserve">dacie </w:t>
      </w:r>
      <w:r>
        <w:t>płatności, tytułem zadośćuczynienia za szkodę niemajątkową;</w:t>
      </w:r>
    </w:p>
    <w:p w14:paraId="4BA02CB6" w14:textId="0C35E68D" w:rsidR="00E44928" w:rsidRPr="00710DEE" w:rsidRDefault="009F6771" w:rsidP="00710DEE">
      <w:pPr>
        <w:pStyle w:val="JuLista"/>
      </w:pPr>
      <w:r>
        <w:t xml:space="preserve">że od upływu wyżej wskazanego terminu trzech miesięcy </w:t>
      </w:r>
      <w:r w:rsidR="00DF4315">
        <w:t xml:space="preserve">do daty płatności przysługiwać </w:t>
      </w:r>
      <w:r>
        <w:t>będą odsetki zwykłe od określonych powyżej kwot, naliczone według stopy równej marginalnej stopie procentowej Europejskiego Banku Centralnego obowiązującej w tym okresie, powiększonej o trzy punkty procentowe;</w:t>
      </w:r>
    </w:p>
    <w:p w14:paraId="5AE02B64" w14:textId="77777777" w:rsidR="004D0EC7" w:rsidRPr="00710DEE" w:rsidRDefault="009F6771" w:rsidP="00710DEE">
      <w:pPr>
        <w:pStyle w:val="JuList"/>
      </w:pPr>
      <w:r>
        <w:rPr>
          <w:i/>
        </w:rPr>
        <w:t>oddala</w:t>
      </w:r>
      <w:r>
        <w:t xml:space="preserve"> pozostałą część roszczenia wniesionego przez skarżących, dotyczącego słusznego zadośćuczynienia.</w:t>
      </w:r>
    </w:p>
    <w:p w14:paraId="64ED7D08" w14:textId="0ADA6AA5" w:rsidR="008E3A08" w:rsidRPr="00710DEE" w:rsidRDefault="009F6771" w:rsidP="00710DEE">
      <w:pPr>
        <w:pStyle w:val="JuParaLast"/>
      </w:pPr>
      <w:r>
        <w:t xml:space="preserve">Sporządzono w języku angielskim i </w:t>
      </w:r>
      <w:r w:rsidR="00DF4315">
        <w:t>notyfikowano na piśmie</w:t>
      </w:r>
      <w:r>
        <w:t xml:space="preserve"> w dniu 21 maja 2026 r. zgodnie z Regułą 77 §§ 2 i 3 Regulaminu Trybunału.</w:t>
      </w:r>
    </w:p>
    <w:p w14:paraId="7A314051" w14:textId="2A071AF4" w:rsidR="00C21FB2" w:rsidRDefault="00C21FB2" w:rsidP="00C21FB2">
      <w:pPr>
        <w:pStyle w:val="JuSigned"/>
        <w:rPr>
          <w:lang w:val="sv-SE"/>
        </w:rPr>
      </w:pPr>
      <w:r>
        <w:tab/>
      </w:r>
      <w:r>
        <w:rPr>
          <w:lang w:val="sv-SE"/>
        </w:rPr>
        <w:t>Ilse Freiwirth</w:t>
      </w:r>
      <w:r>
        <w:rPr>
          <w:lang w:val="sv-SE"/>
        </w:rPr>
        <w:tab/>
        <w:t>Ivana Jelić</w:t>
      </w:r>
      <w:r>
        <w:rPr>
          <w:lang w:val="sv-SE"/>
        </w:rPr>
        <w:br/>
      </w:r>
      <w:r>
        <w:rPr>
          <w:lang w:val="sv-SE"/>
        </w:rPr>
        <w:tab/>
      </w:r>
      <w:r w:rsidR="00C7298E">
        <w:rPr>
          <w:iCs/>
          <w:lang w:val="sv-SE"/>
        </w:rPr>
        <w:t>Kanclerz</w:t>
      </w:r>
      <w:r>
        <w:rPr>
          <w:lang w:val="sv-SE"/>
        </w:rPr>
        <w:tab/>
        <w:t>Pr</w:t>
      </w:r>
      <w:r w:rsidR="00C7298E">
        <w:rPr>
          <w:lang w:val="sv-SE"/>
        </w:rPr>
        <w:t>zewodnicząca</w:t>
      </w:r>
    </w:p>
    <w:p w14:paraId="60BCB927" w14:textId="77777777" w:rsidR="00675AF2" w:rsidRPr="00710DEE" w:rsidRDefault="00675AF2" w:rsidP="00710DEE">
      <w:pPr>
        <w:pStyle w:val="JuPara"/>
        <w:rPr>
          <w:lang w:val="sv-SE"/>
        </w:rPr>
      </w:pPr>
    </w:p>
    <w:p w14:paraId="431802BB" w14:textId="77777777" w:rsidR="00E44928" w:rsidRPr="00710DEE" w:rsidRDefault="00E44928" w:rsidP="00710DEE">
      <w:pPr>
        <w:rPr>
          <w:color w:val="000000"/>
          <w:lang w:val="sv-SE"/>
        </w:rPr>
      </w:pPr>
    </w:p>
    <w:p w14:paraId="0B2D998D" w14:textId="77777777" w:rsidR="00E44928" w:rsidRPr="00710DEE" w:rsidRDefault="00E44928" w:rsidP="00710DEE">
      <w:pPr>
        <w:rPr>
          <w:color w:val="000000"/>
          <w:lang w:val="sv-SE"/>
        </w:rPr>
        <w:sectPr w:rsidR="00E44928" w:rsidRPr="00710DEE" w:rsidSect="00E44928">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14:paraId="6F6872FD" w14:textId="77777777" w:rsidR="00E44928" w:rsidRPr="00710DEE" w:rsidRDefault="009F6771" w:rsidP="00710DEE">
      <w:pPr>
        <w:pStyle w:val="DecHTitle"/>
      </w:pPr>
      <w:r>
        <w:lastRenderedPageBreak/>
        <w:t>ZAŁĄCZNIK</w:t>
      </w:r>
    </w:p>
    <w:p w14:paraId="151039AA" w14:textId="77777777" w:rsidR="00E44928" w:rsidRPr="00710DEE" w:rsidRDefault="009F6771" w:rsidP="00710DEE">
      <w:pPr>
        <w:pStyle w:val="DecHCase"/>
        <w:keepNext w:val="0"/>
        <w:keepLines w:val="0"/>
        <w:jc w:val="left"/>
        <w:rPr>
          <w:rFonts w:ascii="Times New Roman" w:hAnsi="Times New Roman" w:cs="Times New Roman"/>
        </w:rPr>
      </w:pPr>
      <w:r>
        <w:rPr>
          <w:rFonts w:ascii="Times New Roman" w:hAnsi="Times New Roman"/>
        </w:rPr>
        <w:t>Wykaz skarg:</w:t>
      </w:r>
    </w:p>
    <w:tbl>
      <w:tblPr>
        <w:tblStyle w:val="ECHRListTable"/>
        <w:tblW w:w="11335" w:type="dxa"/>
        <w:tblLook w:val="0420" w:firstRow="1" w:lastRow="0" w:firstColumn="0" w:lastColumn="0" w:noHBand="0" w:noVBand="1"/>
      </w:tblPr>
      <w:tblGrid>
        <w:gridCol w:w="570"/>
        <w:gridCol w:w="1418"/>
        <w:gridCol w:w="2543"/>
        <w:gridCol w:w="1364"/>
        <w:gridCol w:w="15"/>
        <w:gridCol w:w="3160"/>
        <w:gridCol w:w="15"/>
        <w:gridCol w:w="2250"/>
      </w:tblGrid>
      <w:tr w:rsidR="00562338" w14:paraId="49015163" w14:textId="77777777" w:rsidTr="00562338">
        <w:trPr>
          <w:cnfStyle w:val="100000000000" w:firstRow="1" w:lastRow="0" w:firstColumn="0" w:lastColumn="0" w:oddVBand="0" w:evenVBand="0" w:oddHBand="0" w:evenHBand="0" w:firstRowFirstColumn="0" w:firstRowLastColumn="0" w:lastRowFirstColumn="0" w:lastRowLastColumn="0"/>
        </w:trPr>
        <w:tc>
          <w:tcPr>
            <w:tcW w:w="0" w:type="auto"/>
            <w:hideMark/>
          </w:tcPr>
          <w:p w14:paraId="2A80FC03" w14:textId="77777777" w:rsidR="00E44928" w:rsidRPr="00710DEE" w:rsidRDefault="009F6771" w:rsidP="00710DEE">
            <w:pPr>
              <w:rPr>
                <w:rFonts w:eastAsia="Times New Roman"/>
              </w:rPr>
            </w:pPr>
            <w:r>
              <w:t>Lp.</w:t>
            </w:r>
          </w:p>
        </w:tc>
        <w:tc>
          <w:tcPr>
            <w:tcW w:w="1418" w:type="dxa"/>
            <w:hideMark/>
          </w:tcPr>
          <w:p w14:paraId="3150BCFB" w14:textId="77777777" w:rsidR="00E44928" w:rsidRPr="00710DEE" w:rsidRDefault="009F6771" w:rsidP="00710DEE">
            <w:pPr>
              <w:rPr>
                <w:rFonts w:eastAsia="Times New Roman"/>
              </w:rPr>
            </w:pPr>
            <w:r>
              <w:t>Nr skargi</w:t>
            </w:r>
          </w:p>
        </w:tc>
        <w:tc>
          <w:tcPr>
            <w:tcW w:w="2543" w:type="dxa"/>
            <w:hideMark/>
          </w:tcPr>
          <w:p w14:paraId="016EC460" w14:textId="77777777" w:rsidR="00E44928" w:rsidRPr="00710DEE" w:rsidRDefault="009F6771" w:rsidP="00710DEE">
            <w:pPr>
              <w:rPr>
                <w:rFonts w:eastAsia="Times New Roman"/>
              </w:rPr>
            </w:pPr>
            <w:r>
              <w:t>Nazwa sprawy</w:t>
            </w:r>
          </w:p>
        </w:tc>
        <w:tc>
          <w:tcPr>
            <w:tcW w:w="1379" w:type="dxa"/>
            <w:gridSpan w:val="2"/>
            <w:vAlign w:val="center"/>
          </w:tcPr>
          <w:p w14:paraId="11704C87" w14:textId="77777777" w:rsidR="00E44928" w:rsidRPr="00710DEE" w:rsidRDefault="009F6771" w:rsidP="00710DEE">
            <w:pPr>
              <w:rPr>
                <w:rFonts w:eastAsia="Times New Roman"/>
              </w:rPr>
            </w:pPr>
            <w:r>
              <w:t>Data wniesienia skargi</w:t>
            </w:r>
          </w:p>
        </w:tc>
        <w:tc>
          <w:tcPr>
            <w:tcW w:w="3175" w:type="dxa"/>
            <w:gridSpan w:val="2"/>
            <w:hideMark/>
          </w:tcPr>
          <w:p w14:paraId="1C348C9F" w14:textId="77777777" w:rsidR="00E44928" w:rsidRPr="00710DEE" w:rsidRDefault="009F6771" w:rsidP="00710DEE">
            <w:pPr>
              <w:rPr>
                <w:rFonts w:eastAsia="Times New Roman"/>
              </w:rPr>
            </w:pPr>
            <w:r>
              <w:t>Skarżący(-a)</w:t>
            </w:r>
            <w:r>
              <w:br/>
              <w:t>Rok urodzenia</w:t>
            </w:r>
          </w:p>
        </w:tc>
        <w:tc>
          <w:tcPr>
            <w:tcW w:w="2250" w:type="dxa"/>
            <w:hideMark/>
          </w:tcPr>
          <w:p w14:paraId="270369DF" w14:textId="77777777" w:rsidR="00E44928" w:rsidRPr="00710DEE" w:rsidRDefault="009F6771" w:rsidP="00710DEE">
            <w:pPr>
              <w:rPr>
                <w:rFonts w:eastAsia="Times New Roman"/>
              </w:rPr>
            </w:pPr>
            <w:r>
              <w:t>Pełnomocnik</w:t>
            </w:r>
          </w:p>
        </w:tc>
      </w:tr>
      <w:tr w:rsidR="00562338" w14:paraId="7E06F570" w14:textId="77777777" w:rsidTr="00562338">
        <w:tc>
          <w:tcPr>
            <w:tcW w:w="0" w:type="auto"/>
            <w:hideMark/>
          </w:tcPr>
          <w:p w14:paraId="529C1C17" w14:textId="77777777" w:rsidR="00E44928" w:rsidRPr="00710DEE" w:rsidRDefault="009F6771" w:rsidP="00710DEE">
            <w:pPr>
              <w:rPr>
                <w:rFonts w:eastAsia="Times New Roman"/>
              </w:rPr>
            </w:pPr>
            <w:r>
              <w:t>1.</w:t>
            </w:r>
          </w:p>
        </w:tc>
        <w:tc>
          <w:tcPr>
            <w:tcW w:w="1418" w:type="dxa"/>
            <w:hideMark/>
          </w:tcPr>
          <w:p w14:paraId="49EE8DB3" w14:textId="77777777" w:rsidR="00E44928" w:rsidRPr="00710DEE" w:rsidRDefault="009F6771" w:rsidP="00710DEE">
            <w:pPr>
              <w:rPr>
                <w:rFonts w:eastAsia="Times New Roman"/>
              </w:rPr>
            </w:pPr>
            <w:r>
              <w:t>62765/14</w:t>
            </w:r>
          </w:p>
        </w:tc>
        <w:tc>
          <w:tcPr>
            <w:tcW w:w="2543" w:type="dxa"/>
            <w:hideMark/>
          </w:tcPr>
          <w:p w14:paraId="5FBEE2B8" w14:textId="77777777" w:rsidR="00E44928" w:rsidRPr="00710DEE" w:rsidRDefault="009F6771" w:rsidP="00710DEE">
            <w:pPr>
              <w:rPr>
                <w:rFonts w:eastAsia="Times New Roman"/>
              </w:rPr>
            </w:pPr>
            <w:r>
              <w:t>Sobczyńska przeciwko Polsce</w:t>
            </w:r>
          </w:p>
        </w:tc>
        <w:tc>
          <w:tcPr>
            <w:tcW w:w="1364" w:type="dxa"/>
            <w:vAlign w:val="center"/>
          </w:tcPr>
          <w:p w14:paraId="390C8CC1" w14:textId="77777777" w:rsidR="00E44928" w:rsidRPr="00710DEE" w:rsidRDefault="009F6771" w:rsidP="00710DEE">
            <w:pPr>
              <w:rPr>
                <w:rFonts w:eastAsia="Times New Roman"/>
                <w:b/>
                <w:bCs/>
              </w:rPr>
            </w:pPr>
            <w:r>
              <w:t>7 września 2014 r.</w:t>
            </w:r>
          </w:p>
        </w:tc>
        <w:tc>
          <w:tcPr>
            <w:tcW w:w="3175" w:type="dxa"/>
            <w:gridSpan w:val="2"/>
            <w:hideMark/>
          </w:tcPr>
          <w:p w14:paraId="31808EC6" w14:textId="77777777" w:rsidR="00E44928" w:rsidRPr="00710DEE" w:rsidRDefault="009F6771" w:rsidP="00710DEE">
            <w:pPr>
              <w:rPr>
                <w:rFonts w:eastAsia="Times New Roman"/>
              </w:rPr>
            </w:pPr>
            <w:r>
              <w:rPr>
                <w:b/>
              </w:rPr>
              <w:t>Aleksandra SOBCZYŃSKA</w:t>
            </w:r>
            <w:r>
              <w:br/>
              <w:t>1974 r.</w:t>
            </w:r>
          </w:p>
        </w:tc>
        <w:tc>
          <w:tcPr>
            <w:tcW w:w="2265" w:type="dxa"/>
            <w:gridSpan w:val="2"/>
            <w:hideMark/>
          </w:tcPr>
          <w:p w14:paraId="2BF2006C" w14:textId="77777777" w:rsidR="00E44928" w:rsidRPr="00710DEE" w:rsidRDefault="009F6771" w:rsidP="00710DEE">
            <w:pPr>
              <w:rPr>
                <w:rFonts w:eastAsia="Times New Roman"/>
              </w:rPr>
            </w:pPr>
            <w:r>
              <w:t>Marcin CIEMIŃSKI</w:t>
            </w:r>
          </w:p>
        </w:tc>
      </w:tr>
      <w:tr w:rsidR="00562338" w14:paraId="2566A67B" w14:textId="77777777" w:rsidTr="00562338">
        <w:tc>
          <w:tcPr>
            <w:tcW w:w="0" w:type="auto"/>
            <w:hideMark/>
          </w:tcPr>
          <w:p w14:paraId="6C02D175" w14:textId="77777777" w:rsidR="00E44928" w:rsidRPr="00710DEE" w:rsidRDefault="009F6771" w:rsidP="00710DEE">
            <w:pPr>
              <w:rPr>
                <w:rFonts w:eastAsia="Times New Roman"/>
              </w:rPr>
            </w:pPr>
            <w:r>
              <w:t>2.</w:t>
            </w:r>
          </w:p>
        </w:tc>
        <w:tc>
          <w:tcPr>
            <w:tcW w:w="1418" w:type="dxa"/>
            <w:hideMark/>
          </w:tcPr>
          <w:p w14:paraId="432A5470" w14:textId="77777777" w:rsidR="00E44928" w:rsidRPr="00710DEE" w:rsidRDefault="009F6771" w:rsidP="00710DEE">
            <w:pPr>
              <w:rPr>
                <w:rFonts w:eastAsia="Times New Roman"/>
              </w:rPr>
            </w:pPr>
            <w:r>
              <w:t>62769/14</w:t>
            </w:r>
          </w:p>
        </w:tc>
        <w:tc>
          <w:tcPr>
            <w:tcW w:w="2543" w:type="dxa"/>
            <w:hideMark/>
          </w:tcPr>
          <w:p w14:paraId="49F62BEC" w14:textId="77777777" w:rsidR="00E44928" w:rsidRPr="00710DEE" w:rsidRDefault="009F6771" w:rsidP="00710DEE">
            <w:pPr>
              <w:rPr>
                <w:rFonts w:eastAsia="Times New Roman"/>
              </w:rPr>
            </w:pPr>
            <w:r>
              <w:t>Klepacz przeciwko Polsce</w:t>
            </w:r>
          </w:p>
        </w:tc>
        <w:tc>
          <w:tcPr>
            <w:tcW w:w="1364" w:type="dxa"/>
            <w:vAlign w:val="center"/>
          </w:tcPr>
          <w:p w14:paraId="03FFD168" w14:textId="77777777" w:rsidR="00E44928" w:rsidRPr="00710DEE" w:rsidRDefault="009F6771" w:rsidP="00710DEE">
            <w:pPr>
              <w:rPr>
                <w:rFonts w:eastAsia="Times New Roman"/>
                <w:b/>
                <w:bCs/>
              </w:rPr>
            </w:pPr>
            <w:r>
              <w:t>7 września 2014 r.</w:t>
            </w:r>
          </w:p>
        </w:tc>
        <w:tc>
          <w:tcPr>
            <w:tcW w:w="3175" w:type="dxa"/>
            <w:gridSpan w:val="2"/>
            <w:hideMark/>
          </w:tcPr>
          <w:p w14:paraId="08114000" w14:textId="77777777" w:rsidR="00E44928" w:rsidRPr="00710DEE" w:rsidRDefault="009F6771" w:rsidP="00710DEE">
            <w:pPr>
              <w:rPr>
                <w:rFonts w:eastAsia="Times New Roman"/>
              </w:rPr>
            </w:pPr>
            <w:r>
              <w:rPr>
                <w:b/>
              </w:rPr>
              <w:t>Adrian KLEPACZ</w:t>
            </w:r>
            <w:r>
              <w:br/>
              <w:t>1974 r.</w:t>
            </w:r>
          </w:p>
        </w:tc>
        <w:tc>
          <w:tcPr>
            <w:tcW w:w="2265" w:type="dxa"/>
            <w:gridSpan w:val="2"/>
            <w:hideMark/>
          </w:tcPr>
          <w:p w14:paraId="18D102D7" w14:textId="77777777" w:rsidR="00E44928" w:rsidRPr="00710DEE" w:rsidRDefault="009F6771" w:rsidP="00710DEE">
            <w:pPr>
              <w:rPr>
                <w:rFonts w:eastAsia="Times New Roman"/>
              </w:rPr>
            </w:pPr>
            <w:r>
              <w:t>Marcin CIEMIŃSKI</w:t>
            </w:r>
          </w:p>
        </w:tc>
      </w:tr>
      <w:tr w:rsidR="00562338" w14:paraId="4B51B013" w14:textId="77777777" w:rsidTr="00562338">
        <w:tc>
          <w:tcPr>
            <w:tcW w:w="0" w:type="auto"/>
            <w:hideMark/>
          </w:tcPr>
          <w:p w14:paraId="6E0D953F" w14:textId="77777777" w:rsidR="00E44928" w:rsidRPr="00710DEE" w:rsidRDefault="009F6771" w:rsidP="00710DEE">
            <w:pPr>
              <w:rPr>
                <w:rFonts w:eastAsia="Times New Roman"/>
              </w:rPr>
            </w:pPr>
            <w:r>
              <w:t>3.</w:t>
            </w:r>
          </w:p>
        </w:tc>
        <w:tc>
          <w:tcPr>
            <w:tcW w:w="1418" w:type="dxa"/>
            <w:hideMark/>
          </w:tcPr>
          <w:p w14:paraId="1A23868D" w14:textId="77777777" w:rsidR="00E44928" w:rsidRPr="00710DEE" w:rsidRDefault="009F6771" w:rsidP="00710DEE">
            <w:pPr>
              <w:rPr>
                <w:rFonts w:eastAsia="Times New Roman"/>
              </w:rPr>
            </w:pPr>
            <w:r>
              <w:t>62772/14</w:t>
            </w:r>
          </w:p>
        </w:tc>
        <w:tc>
          <w:tcPr>
            <w:tcW w:w="2543" w:type="dxa"/>
            <w:hideMark/>
          </w:tcPr>
          <w:p w14:paraId="5FEDA204" w14:textId="77777777" w:rsidR="00E44928" w:rsidRPr="00710DEE" w:rsidRDefault="009F6771" w:rsidP="00710DEE">
            <w:pPr>
              <w:rPr>
                <w:rFonts w:eastAsia="Times New Roman"/>
              </w:rPr>
            </w:pPr>
            <w:proofErr w:type="spellStart"/>
            <w:r>
              <w:t>Brukiewicz</w:t>
            </w:r>
            <w:proofErr w:type="spellEnd"/>
            <w:r>
              <w:t xml:space="preserve"> przeciwko Polsce</w:t>
            </w:r>
          </w:p>
        </w:tc>
        <w:tc>
          <w:tcPr>
            <w:tcW w:w="1364" w:type="dxa"/>
            <w:vAlign w:val="center"/>
          </w:tcPr>
          <w:p w14:paraId="3A6D68A4" w14:textId="77777777" w:rsidR="00E44928" w:rsidRPr="00710DEE" w:rsidRDefault="009F6771" w:rsidP="00710DEE">
            <w:pPr>
              <w:rPr>
                <w:rFonts w:eastAsia="Times New Roman"/>
                <w:b/>
                <w:bCs/>
              </w:rPr>
            </w:pPr>
            <w:r>
              <w:t>7 września 2014 r.</w:t>
            </w:r>
          </w:p>
        </w:tc>
        <w:tc>
          <w:tcPr>
            <w:tcW w:w="3175" w:type="dxa"/>
            <w:gridSpan w:val="2"/>
            <w:hideMark/>
          </w:tcPr>
          <w:p w14:paraId="125438B8" w14:textId="77777777" w:rsidR="00E44928" w:rsidRPr="00710DEE" w:rsidRDefault="009F6771" w:rsidP="00710DEE">
            <w:pPr>
              <w:rPr>
                <w:rFonts w:eastAsia="Times New Roman"/>
              </w:rPr>
            </w:pPr>
            <w:r>
              <w:rPr>
                <w:b/>
              </w:rPr>
              <w:t>Rafał BRUKIEWICZ</w:t>
            </w:r>
            <w:r>
              <w:br/>
              <w:t>1967 r.</w:t>
            </w:r>
          </w:p>
        </w:tc>
        <w:tc>
          <w:tcPr>
            <w:tcW w:w="2265" w:type="dxa"/>
            <w:gridSpan w:val="2"/>
            <w:hideMark/>
          </w:tcPr>
          <w:p w14:paraId="441095DA" w14:textId="77777777" w:rsidR="00E44928" w:rsidRPr="00710DEE" w:rsidRDefault="009F6771" w:rsidP="00710DEE">
            <w:pPr>
              <w:rPr>
                <w:rFonts w:eastAsia="Times New Roman"/>
              </w:rPr>
            </w:pPr>
            <w:r>
              <w:t>Marcin CIEMIŃSKI</w:t>
            </w:r>
          </w:p>
        </w:tc>
      </w:tr>
    </w:tbl>
    <w:p w14:paraId="0716FC4B" w14:textId="7839F0FD" w:rsidR="00182EBA" w:rsidRPr="00710DEE" w:rsidRDefault="00182EBA" w:rsidP="00710DEE"/>
    <w:sectPr w:rsidR="00182EBA" w:rsidRPr="00710DEE" w:rsidSect="00E44928">
      <w:headerReference w:type="even" r:id="rId16"/>
      <w:headerReference w:type="default" r:id="rId17"/>
      <w:footerReference w:type="even" r:id="rId18"/>
      <w:footerReference w:type="default" r:id="rId19"/>
      <w:footnotePr>
        <w:numRestart w:val="eachSect"/>
      </w:footnotePr>
      <w:pgSz w:w="16838" w:h="11906" w:orient="landscape"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6896E" w14:textId="77777777" w:rsidR="00426D30" w:rsidRDefault="00426D30">
      <w:r>
        <w:separator/>
      </w:r>
    </w:p>
  </w:endnote>
  <w:endnote w:type="continuationSeparator" w:id="0">
    <w:p w14:paraId="7E537BA0" w14:textId="77777777" w:rsidR="00426D30" w:rsidRDefault="00426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13F34" w14:textId="77777777" w:rsidR="00E44928" w:rsidRPr="00150BFA" w:rsidRDefault="009F6771" w:rsidP="0020718E">
    <w:pPr>
      <w:jc w:val="center"/>
    </w:pPr>
    <w:r>
      <w:rPr>
        <w:noProof/>
      </w:rPr>
      <w:drawing>
        <wp:inline distT="0" distB="0" distL="0" distR="0" wp14:anchorId="1D46AE5F" wp14:editId="3B9C3ECA">
          <wp:extent cx="771525" cy="619125"/>
          <wp:effectExtent l="0" t="0" r="9525" b="9525"/>
          <wp:docPr id="163845263" name="Picture 16384526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4526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6272A39A" w14:textId="77777777" w:rsidR="0098410D" w:rsidRPr="00E67565"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42A53" w14:textId="77777777" w:rsidR="00E44928" w:rsidRPr="00150BFA" w:rsidRDefault="009F6771" w:rsidP="0020718E">
    <w:pPr>
      <w:jc w:val="center"/>
    </w:pPr>
    <w:r>
      <w:rPr>
        <w:noProof/>
      </w:rPr>
      <w:drawing>
        <wp:inline distT="0" distB="0" distL="0" distR="0" wp14:anchorId="6D1A54A8" wp14:editId="262E946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399872F7" w14:textId="77777777" w:rsidR="009E7A6F" w:rsidRPr="00E67565"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A6076" w14:textId="77777777" w:rsidR="00E44928" w:rsidRDefault="009F6771" w:rsidP="009A115C">
    <w:pPr>
      <w:pStyle w:val="JuHeader"/>
    </w:pPr>
    <w:r>
      <w:fldChar w:fldCharType="begin"/>
    </w:r>
    <w:r>
      <w:instrText xml:space="preserve"> PAGE  \* MERGEFORMAT </w:instrText>
    </w:r>
    <w:r>
      <w:fldChar w:fldCharType="separate"/>
    </w:r>
    <w: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34EB2" w14:textId="77777777" w:rsidR="00E44928" w:rsidRPr="000B7195" w:rsidRDefault="009F6771" w:rsidP="007D3701">
    <w:pPr>
      <w:pStyle w:val="JuHeader"/>
    </w:pPr>
    <w:r>
      <w:fldChar w:fldCharType="begin"/>
    </w:r>
    <w:r>
      <w:instrText xml:space="preserve"> PAGE  \* MERGEFORMAT </w:instrText>
    </w:r>
    <w:r>
      <w:fldChar w:fldCharType="separate"/>
    </w:r>
    <w: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B920D" w14:textId="77777777" w:rsidR="00182EBA" w:rsidRDefault="009F6771" w:rsidP="009A115C">
    <w:pPr>
      <w:pStyle w:val="JuHeader"/>
    </w:pPr>
    <w:r>
      <w:fldChar w:fldCharType="begin"/>
    </w:r>
    <w:r>
      <w:instrText xml:space="preserve"> PAGE  \* MERGEFORMAT </w:instrText>
    </w:r>
    <w:r>
      <w:fldChar w:fldCharType="separate"/>
    </w:r>
    <w: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4AAB5" w14:textId="7B098C5C" w:rsidR="00182EBA" w:rsidRPr="00655F50" w:rsidRDefault="009F6771" w:rsidP="007D3701">
    <w:pPr>
      <w:pStyle w:val="JuHeader"/>
    </w:pPr>
    <w:r>
      <w:t>6</w:t>
    </w:r>
    <w:r w:rsidR="00326B12">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32244" w14:textId="77777777" w:rsidR="00426D30" w:rsidRPr="00E67565" w:rsidRDefault="00426D30" w:rsidP="0098410D">
      <w:r w:rsidRPr="00E67565">
        <w:separator/>
      </w:r>
    </w:p>
  </w:footnote>
  <w:footnote w:type="continuationSeparator" w:id="0">
    <w:p w14:paraId="4F44238D" w14:textId="77777777" w:rsidR="00426D30" w:rsidRPr="00E67565" w:rsidRDefault="00426D30" w:rsidP="0098410D">
      <w:r w:rsidRPr="00E67565">
        <w:continuationSeparator/>
      </w:r>
    </w:p>
  </w:footnote>
  <w:footnote w:id="1">
    <w:p w14:paraId="63FF6E68" w14:textId="429218ED" w:rsidR="00E44928" w:rsidRPr="000100EE" w:rsidRDefault="009F6771" w:rsidP="00E44928">
      <w:pPr>
        <w:pStyle w:val="Tekstprzypisudolnego"/>
      </w:pPr>
      <w:r>
        <w:rPr>
          <w:rStyle w:val="Odwoanieprzypisudolnego"/>
        </w:rPr>
        <w:footnoteRef/>
      </w:r>
      <w:r>
        <w:rPr>
          <w:rStyle w:val="Odwoanieprzypisudolnego"/>
        </w:rPr>
        <w:t xml:space="preserve"> </w:t>
      </w:r>
      <w:r>
        <w:t>Postępowania przed Naczelnym Sądem Administracyjnym umorzono w tym względzie postanowieniem z dnia 9 października 2012 r. w sprawie o sygn. akt I OSK 1883/12, postanowieniami z dnia 16 października 2012 r. w sprawach o sygn. akt I OSK 1884/12, I</w:t>
      </w:r>
      <w:r w:rsidR="001A420B">
        <w:t> </w:t>
      </w:r>
      <w:r>
        <w:t>OSK 1885/12, I OSK 1888/12 oraz postanowieniem z dnia 17 października 2012 r. w</w:t>
      </w:r>
      <w:r w:rsidR="001A420B">
        <w:t> </w:t>
      </w:r>
      <w:r>
        <w:t>sprawie o sygn. akt I OSK 1889/12.</w:t>
      </w:r>
    </w:p>
  </w:footnote>
  <w:footnote w:id="2">
    <w:p w14:paraId="593B80D1" w14:textId="77777777" w:rsidR="00E44928" w:rsidRPr="000100EE" w:rsidRDefault="009F6771" w:rsidP="00E44928">
      <w:pPr>
        <w:pStyle w:val="Tekstprzypisudolnego"/>
      </w:pPr>
      <w:r>
        <w:rPr>
          <w:rStyle w:val="Odwoanieprzypisudolnego"/>
        </w:rPr>
        <w:footnoteRef/>
      </w:r>
      <w:r>
        <w:rPr>
          <w:rStyle w:val="Odwoanieprzypisudolnego"/>
        </w:rPr>
        <w:t xml:space="preserve"> </w:t>
      </w:r>
      <w:r>
        <w:t xml:space="preserve">Ostateczne postanowienia Naczelny Sąd Administracyjny wydał w dniu 9 października 2012 r. w sprawach o sygn. akt I OSK 1874/12 i </w:t>
      </w:r>
      <w:proofErr w:type="spellStart"/>
      <w:r>
        <w:t>I</w:t>
      </w:r>
      <w:proofErr w:type="spellEnd"/>
      <w:r>
        <w:t xml:space="preserve"> OSK 1875/12, w dniu 16 października 2012 r. w sprawach o sygn. akt I OSK 1878/12 i </w:t>
      </w:r>
      <w:proofErr w:type="spellStart"/>
      <w:r>
        <w:t>I</w:t>
      </w:r>
      <w:proofErr w:type="spellEnd"/>
      <w:r>
        <w:t xml:space="preserve"> OSK 1880/12 oraz w dniu 17 października 2012 r. w sprawie o sygn. akt I OSK 1876/12.</w:t>
      </w:r>
    </w:p>
  </w:footnote>
  <w:footnote w:id="3">
    <w:p w14:paraId="5AC9C77D" w14:textId="77777777" w:rsidR="00E44928" w:rsidRPr="00DE5C99" w:rsidRDefault="009F6771" w:rsidP="00E44928">
      <w:pPr>
        <w:pStyle w:val="Tekstprzypisudolnego"/>
      </w:pPr>
      <w:r>
        <w:rPr>
          <w:rStyle w:val="Odwoanieprzypisudolnego"/>
        </w:rPr>
        <w:footnoteRef/>
      </w:r>
      <w:r>
        <w:rPr>
          <w:rStyle w:val="Odwoanieprzypisudolnego"/>
        </w:rPr>
        <w:t xml:space="preserve"> </w:t>
      </w:r>
      <w:r>
        <w:t xml:space="preserve">Ostateczne postanowienia Naczelny Sąd Administracyjny wydał w dniu 16 października 2012 r. w sprawach o sygn. akt I OSK 1879/12 i </w:t>
      </w:r>
      <w:proofErr w:type="spellStart"/>
      <w:r>
        <w:t>I</w:t>
      </w:r>
      <w:proofErr w:type="spellEnd"/>
      <w:r>
        <w:t xml:space="preserve"> OSK 1881/12 oraz w dniu 17 października 2012 r. w sprawie o sygn. akt I OSK 1877/12.</w:t>
      </w:r>
    </w:p>
  </w:footnote>
  <w:footnote w:id="4">
    <w:p w14:paraId="09F6E007" w14:textId="03A91BF2" w:rsidR="00E44928" w:rsidRPr="0011176C" w:rsidRDefault="009F6771" w:rsidP="00E44928">
      <w:pPr>
        <w:pStyle w:val="Tekstprzypisudolnego"/>
      </w:pPr>
      <w:r>
        <w:rPr>
          <w:rStyle w:val="Odwoanieprzypisudolnego"/>
        </w:rPr>
        <w:footnoteRef/>
      </w:r>
      <w:r>
        <w:rPr>
          <w:rStyle w:val="Odwoanieprzypisudolnego"/>
        </w:rPr>
        <w:t xml:space="preserve"> </w:t>
      </w:r>
      <w:r>
        <w:t>W Protokole nr 15 do Konwencji skrócono termin przewidziany w art. 35 ust. 1 Konwencji do czterech miesięcy. W niniejszej sprawie sześciomiesięczny okres nadal ma jednak zastosowanie, biorąc pod uwagę, że istotne dla sprawy zdarzenia miały miejsce przed 1</w:t>
      </w:r>
      <w:r w:rsidR="009A12AA">
        <w:t> </w:t>
      </w:r>
      <w:r>
        <w:t>lutego 2022 r., czyli przed wejściem w życie nowej zasady (zgodnie z art. 8 ust. 3 Protokołu nr 15 do Konwencji).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0C8A2" w14:textId="77777777" w:rsidR="00E44928" w:rsidRPr="00A45145" w:rsidRDefault="009F6771" w:rsidP="00A45145">
    <w:pPr>
      <w:jc w:val="center"/>
    </w:pPr>
    <w:r>
      <w:rPr>
        <w:noProof/>
      </w:rPr>
      <w:drawing>
        <wp:inline distT="0" distB="0" distL="0" distR="0" wp14:anchorId="219C8B05" wp14:editId="0D8E0AF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5F4DF01A" w14:textId="77777777" w:rsidR="0098410D" w:rsidRPr="00E67565"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D0D06" w14:textId="77777777" w:rsidR="00E44928" w:rsidRPr="00A45145" w:rsidRDefault="009F6771" w:rsidP="00A45145">
    <w:pPr>
      <w:jc w:val="center"/>
    </w:pPr>
    <w:r>
      <w:rPr>
        <w:noProof/>
      </w:rPr>
      <w:drawing>
        <wp:inline distT="0" distB="0" distL="0" distR="0" wp14:anchorId="7421A1C6" wp14:editId="49481354">
          <wp:extent cx="2962275" cy="1219200"/>
          <wp:effectExtent l="0" t="0" r="9525" b="0"/>
          <wp:docPr id="565830941" name="Picture 56583094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83094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2A7985AF" w14:textId="77777777" w:rsidR="0098410D" w:rsidRPr="00E67565"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8D5D3" w14:textId="77777777" w:rsidR="00E44928" w:rsidRPr="004D0EC7" w:rsidRDefault="009F6771" w:rsidP="004D0EC7">
    <w:pPr>
      <w:pStyle w:val="JuHeader"/>
    </w:pPr>
    <w:r>
      <w:t>WYROK W SPRAWIE SOBCZYŃSKA I INNI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8CDD2" w14:textId="77777777" w:rsidR="00E44928" w:rsidRPr="00882CD5" w:rsidRDefault="009F6771" w:rsidP="007D3701">
    <w:pPr>
      <w:pStyle w:val="JuHeader"/>
    </w:pPr>
    <w:r>
      <w:t>WYROK W SPRAWIE SOBCZYŃSKA I INNI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8AFF7" w14:textId="77777777" w:rsidR="00182EBA" w:rsidRPr="004D0EC7" w:rsidRDefault="009F6771" w:rsidP="004D0EC7">
    <w:pPr>
      <w:pStyle w:val="JuHeader"/>
    </w:pPr>
    <w:r>
      <w:t>WYROK W SPRAWIE SOBCZYŃSKA I INNI przeciwko POLSCE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FBDEA" w14:textId="77777777" w:rsidR="00182EBA" w:rsidRPr="00882CD5" w:rsidRDefault="009F6771" w:rsidP="007D3701">
    <w:pPr>
      <w:pStyle w:val="JuHeader"/>
    </w:pPr>
    <w:r>
      <w:t>WYROK W SPRAWIE SOBCZYŃSKA I INNI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99E211D"/>
    <w:multiLevelType w:val="hybridMultilevel"/>
    <w:tmpl w:val="07942F30"/>
    <w:lvl w:ilvl="0" w:tplc="50983A72">
      <w:start w:val="1"/>
      <w:numFmt w:val="decimal"/>
      <w:lvlText w:val="%1."/>
      <w:lvlJc w:val="left"/>
      <w:pPr>
        <w:ind w:left="1020" w:hanging="360"/>
      </w:pPr>
    </w:lvl>
    <w:lvl w:ilvl="1" w:tplc="A8E6F468">
      <w:start w:val="1"/>
      <w:numFmt w:val="decimal"/>
      <w:lvlText w:val="%2."/>
      <w:lvlJc w:val="left"/>
      <w:pPr>
        <w:ind w:left="1020" w:hanging="360"/>
      </w:pPr>
    </w:lvl>
    <w:lvl w:ilvl="2" w:tplc="0548D5AE">
      <w:start w:val="1"/>
      <w:numFmt w:val="decimal"/>
      <w:lvlText w:val="%3."/>
      <w:lvlJc w:val="left"/>
      <w:pPr>
        <w:ind w:left="1020" w:hanging="360"/>
      </w:pPr>
    </w:lvl>
    <w:lvl w:ilvl="3" w:tplc="F1B09D4E">
      <w:start w:val="1"/>
      <w:numFmt w:val="decimal"/>
      <w:lvlText w:val="%4."/>
      <w:lvlJc w:val="left"/>
      <w:pPr>
        <w:ind w:left="1020" w:hanging="360"/>
      </w:pPr>
    </w:lvl>
    <w:lvl w:ilvl="4" w:tplc="59A229FC">
      <w:start w:val="1"/>
      <w:numFmt w:val="decimal"/>
      <w:lvlText w:val="%5."/>
      <w:lvlJc w:val="left"/>
      <w:pPr>
        <w:ind w:left="1020" w:hanging="360"/>
      </w:pPr>
    </w:lvl>
    <w:lvl w:ilvl="5" w:tplc="FF7E1986">
      <w:start w:val="1"/>
      <w:numFmt w:val="decimal"/>
      <w:lvlText w:val="%6."/>
      <w:lvlJc w:val="left"/>
      <w:pPr>
        <w:ind w:left="1020" w:hanging="360"/>
      </w:pPr>
    </w:lvl>
    <w:lvl w:ilvl="6" w:tplc="7E6A343A">
      <w:start w:val="1"/>
      <w:numFmt w:val="decimal"/>
      <w:lvlText w:val="%7."/>
      <w:lvlJc w:val="left"/>
      <w:pPr>
        <w:ind w:left="1020" w:hanging="360"/>
      </w:pPr>
    </w:lvl>
    <w:lvl w:ilvl="7" w:tplc="F61073E8">
      <w:start w:val="1"/>
      <w:numFmt w:val="decimal"/>
      <w:lvlText w:val="%8."/>
      <w:lvlJc w:val="left"/>
      <w:pPr>
        <w:ind w:left="1020" w:hanging="360"/>
      </w:pPr>
    </w:lvl>
    <w:lvl w:ilvl="8" w:tplc="2D1CF2F2">
      <w:start w:val="1"/>
      <w:numFmt w:val="decimal"/>
      <w:lvlText w:val="%9."/>
      <w:lvlJc w:val="left"/>
      <w:pPr>
        <w:ind w:left="1020" w:hanging="360"/>
      </w:pPr>
    </w:lvl>
  </w:abstractNum>
  <w:abstractNum w:abstractNumId="11"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2" w15:restartNumberingAfterBreak="0">
    <w:nsid w:val="102210B6"/>
    <w:multiLevelType w:val="hybridMultilevel"/>
    <w:tmpl w:val="7DE40588"/>
    <w:lvl w:ilvl="0" w:tplc="D538404E">
      <w:start w:val="1"/>
      <w:numFmt w:val="decimal"/>
      <w:lvlText w:val="%1)"/>
      <w:lvlJc w:val="left"/>
      <w:pPr>
        <w:ind w:left="1020" w:hanging="360"/>
      </w:pPr>
    </w:lvl>
    <w:lvl w:ilvl="1" w:tplc="447CB02E">
      <w:start w:val="1"/>
      <w:numFmt w:val="decimal"/>
      <w:lvlText w:val="%2)"/>
      <w:lvlJc w:val="left"/>
      <w:pPr>
        <w:ind w:left="1020" w:hanging="360"/>
      </w:pPr>
    </w:lvl>
    <w:lvl w:ilvl="2" w:tplc="5DCE1956">
      <w:start w:val="1"/>
      <w:numFmt w:val="decimal"/>
      <w:lvlText w:val="%3)"/>
      <w:lvlJc w:val="left"/>
      <w:pPr>
        <w:ind w:left="1020" w:hanging="360"/>
      </w:pPr>
    </w:lvl>
    <w:lvl w:ilvl="3" w:tplc="56E0589C">
      <w:start w:val="1"/>
      <w:numFmt w:val="decimal"/>
      <w:lvlText w:val="%4)"/>
      <w:lvlJc w:val="left"/>
      <w:pPr>
        <w:ind w:left="1020" w:hanging="360"/>
      </w:pPr>
    </w:lvl>
    <w:lvl w:ilvl="4" w:tplc="B75A8E5E">
      <w:start w:val="1"/>
      <w:numFmt w:val="decimal"/>
      <w:lvlText w:val="%5)"/>
      <w:lvlJc w:val="left"/>
      <w:pPr>
        <w:ind w:left="1020" w:hanging="360"/>
      </w:pPr>
    </w:lvl>
    <w:lvl w:ilvl="5" w:tplc="11E0FF16">
      <w:start w:val="1"/>
      <w:numFmt w:val="decimal"/>
      <w:lvlText w:val="%6)"/>
      <w:lvlJc w:val="left"/>
      <w:pPr>
        <w:ind w:left="1020" w:hanging="360"/>
      </w:pPr>
    </w:lvl>
    <w:lvl w:ilvl="6" w:tplc="94D68478">
      <w:start w:val="1"/>
      <w:numFmt w:val="decimal"/>
      <w:lvlText w:val="%7)"/>
      <w:lvlJc w:val="left"/>
      <w:pPr>
        <w:ind w:left="1020" w:hanging="360"/>
      </w:pPr>
    </w:lvl>
    <w:lvl w:ilvl="7" w:tplc="97E46FCE">
      <w:start w:val="1"/>
      <w:numFmt w:val="decimal"/>
      <w:lvlText w:val="%8)"/>
      <w:lvlJc w:val="left"/>
      <w:pPr>
        <w:ind w:left="1020" w:hanging="360"/>
      </w:pPr>
    </w:lvl>
    <w:lvl w:ilvl="8" w:tplc="C3C8873C">
      <w:start w:val="1"/>
      <w:numFmt w:val="decimal"/>
      <w:lvlText w:val="%9)"/>
      <w:lvlJc w:val="left"/>
      <w:pPr>
        <w:ind w:left="1020" w:hanging="360"/>
      </w:pPr>
    </w:lvl>
  </w:abstractNum>
  <w:abstractNum w:abstractNumId="13" w15:restartNumberingAfterBreak="0">
    <w:nsid w:val="14E37D4F"/>
    <w:multiLevelType w:val="hybridMultilevel"/>
    <w:tmpl w:val="15A0F400"/>
    <w:lvl w:ilvl="0" w:tplc="52E444BE">
      <w:start w:val="1"/>
      <w:numFmt w:val="decimal"/>
      <w:lvlText w:val="%1)"/>
      <w:lvlJc w:val="left"/>
      <w:pPr>
        <w:ind w:left="1020" w:hanging="360"/>
      </w:pPr>
    </w:lvl>
    <w:lvl w:ilvl="1" w:tplc="88F6BA9C">
      <w:start w:val="1"/>
      <w:numFmt w:val="decimal"/>
      <w:lvlText w:val="%2)"/>
      <w:lvlJc w:val="left"/>
      <w:pPr>
        <w:ind w:left="1020" w:hanging="360"/>
      </w:pPr>
    </w:lvl>
    <w:lvl w:ilvl="2" w:tplc="A1605B74">
      <w:start w:val="1"/>
      <w:numFmt w:val="decimal"/>
      <w:lvlText w:val="%3)"/>
      <w:lvlJc w:val="left"/>
      <w:pPr>
        <w:ind w:left="1020" w:hanging="360"/>
      </w:pPr>
    </w:lvl>
    <w:lvl w:ilvl="3" w:tplc="F2D0DC60">
      <w:start w:val="1"/>
      <w:numFmt w:val="decimal"/>
      <w:lvlText w:val="%4)"/>
      <w:lvlJc w:val="left"/>
      <w:pPr>
        <w:ind w:left="1020" w:hanging="360"/>
      </w:pPr>
    </w:lvl>
    <w:lvl w:ilvl="4" w:tplc="05D86D78">
      <w:start w:val="1"/>
      <w:numFmt w:val="decimal"/>
      <w:lvlText w:val="%5)"/>
      <w:lvlJc w:val="left"/>
      <w:pPr>
        <w:ind w:left="1020" w:hanging="360"/>
      </w:pPr>
    </w:lvl>
    <w:lvl w:ilvl="5" w:tplc="FBFEEA2C">
      <w:start w:val="1"/>
      <w:numFmt w:val="decimal"/>
      <w:lvlText w:val="%6)"/>
      <w:lvlJc w:val="left"/>
      <w:pPr>
        <w:ind w:left="1020" w:hanging="360"/>
      </w:pPr>
    </w:lvl>
    <w:lvl w:ilvl="6" w:tplc="50309C10">
      <w:start w:val="1"/>
      <w:numFmt w:val="decimal"/>
      <w:lvlText w:val="%7)"/>
      <w:lvlJc w:val="left"/>
      <w:pPr>
        <w:ind w:left="1020" w:hanging="360"/>
      </w:pPr>
    </w:lvl>
    <w:lvl w:ilvl="7" w:tplc="9FD8D2D2">
      <w:start w:val="1"/>
      <w:numFmt w:val="decimal"/>
      <w:lvlText w:val="%8)"/>
      <w:lvlJc w:val="left"/>
      <w:pPr>
        <w:ind w:left="1020" w:hanging="360"/>
      </w:pPr>
    </w:lvl>
    <w:lvl w:ilvl="8" w:tplc="62DE47CC">
      <w:start w:val="1"/>
      <w:numFmt w:val="decimal"/>
      <w:lvlText w:val="%9)"/>
      <w:lvlJc w:val="left"/>
      <w:pPr>
        <w:ind w:left="1020" w:hanging="360"/>
      </w:pPr>
    </w:lvl>
  </w:abstractNum>
  <w:abstractNum w:abstractNumId="14"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0" w15:restartNumberingAfterBreak="0">
    <w:nsid w:val="503703B3"/>
    <w:multiLevelType w:val="hybridMultilevel"/>
    <w:tmpl w:val="3A9E1464"/>
    <w:lvl w:ilvl="0" w:tplc="A3824612">
      <w:start w:val="1"/>
      <w:numFmt w:val="decimal"/>
      <w:lvlText w:val="%1)"/>
      <w:lvlJc w:val="left"/>
      <w:pPr>
        <w:ind w:left="1020" w:hanging="360"/>
      </w:pPr>
    </w:lvl>
    <w:lvl w:ilvl="1" w:tplc="6DF25F68">
      <w:start w:val="1"/>
      <w:numFmt w:val="decimal"/>
      <w:lvlText w:val="%2)"/>
      <w:lvlJc w:val="left"/>
      <w:pPr>
        <w:ind w:left="1020" w:hanging="360"/>
      </w:pPr>
    </w:lvl>
    <w:lvl w:ilvl="2" w:tplc="7544286A">
      <w:start w:val="1"/>
      <w:numFmt w:val="decimal"/>
      <w:lvlText w:val="%3)"/>
      <w:lvlJc w:val="left"/>
      <w:pPr>
        <w:ind w:left="1020" w:hanging="360"/>
      </w:pPr>
    </w:lvl>
    <w:lvl w:ilvl="3" w:tplc="BB068ACE">
      <w:start w:val="1"/>
      <w:numFmt w:val="decimal"/>
      <w:lvlText w:val="%4)"/>
      <w:lvlJc w:val="left"/>
      <w:pPr>
        <w:ind w:left="1020" w:hanging="360"/>
      </w:pPr>
    </w:lvl>
    <w:lvl w:ilvl="4" w:tplc="7C485976">
      <w:start w:val="1"/>
      <w:numFmt w:val="decimal"/>
      <w:lvlText w:val="%5)"/>
      <w:lvlJc w:val="left"/>
      <w:pPr>
        <w:ind w:left="1020" w:hanging="360"/>
      </w:pPr>
    </w:lvl>
    <w:lvl w:ilvl="5" w:tplc="5BDA2538">
      <w:start w:val="1"/>
      <w:numFmt w:val="decimal"/>
      <w:lvlText w:val="%6)"/>
      <w:lvlJc w:val="left"/>
      <w:pPr>
        <w:ind w:left="1020" w:hanging="360"/>
      </w:pPr>
    </w:lvl>
    <w:lvl w:ilvl="6" w:tplc="5A82A200">
      <w:start w:val="1"/>
      <w:numFmt w:val="decimal"/>
      <w:lvlText w:val="%7)"/>
      <w:lvlJc w:val="left"/>
      <w:pPr>
        <w:ind w:left="1020" w:hanging="360"/>
      </w:pPr>
    </w:lvl>
    <w:lvl w:ilvl="7" w:tplc="66D0D770">
      <w:start w:val="1"/>
      <w:numFmt w:val="decimal"/>
      <w:lvlText w:val="%8)"/>
      <w:lvlJc w:val="left"/>
      <w:pPr>
        <w:ind w:left="1020" w:hanging="360"/>
      </w:pPr>
    </w:lvl>
    <w:lvl w:ilvl="8" w:tplc="76561E7A">
      <w:start w:val="1"/>
      <w:numFmt w:val="decimal"/>
      <w:lvlText w:val="%9)"/>
      <w:lvlJc w:val="left"/>
      <w:pPr>
        <w:ind w:left="1020" w:hanging="360"/>
      </w:pPr>
    </w:lvl>
  </w:abstractNum>
  <w:abstractNum w:abstractNumId="21" w15:restartNumberingAfterBreak="0">
    <w:nsid w:val="56891F16"/>
    <w:multiLevelType w:val="hybridMultilevel"/>
    <w:tmpl w:val="76DEA2C8"/>
    <w:lvl w:ilvl="0" w:tplc="38E64E44">
      <w:start w:val="1"/>
      <w:numFmt w:val="decimal"/>
      <w:lvlText w:val="%1)"/>
      <w:lvlJc w:val="left"/>
      <w:pPr>
        <w:ind w:left="1020" w:hanging="360"/>
      </w:pPr>
    </w:lvl>
    <w:lvl w:ilvl="1" w:tplc="112C2664">
      <w:start w:val="1"/>
      <w:numFmt w:val="decimal"/>
      <w:lvlText w:val="%2)"/>
      <w:lvlJc w:val="left"/>
      <w:pPr>
        <w:ind w:left="1020" w:hanging="360"/>
      </w:pPr>
    </w:lvl>
    <w:lvl w:ilvl="2" w:tplc="260AAFD2">
      <w:start w:val="1"/>
      <w:numFmt w:val="decimal"/>
      <w:lvlText w:val="%3)"/>
      <w:lvlJc w:val="left"/>
      <w:pPr>
        <w:ind w:left="1020" w:hanging="360"/>
      </w:pPr>
    </w:lvl>
    <w:lvl w:ilvl="3" w:tplc="A57887F4">
      <w:start w:val="1"/>
      <w:numFmt w:val="decimal"/>
      <w:lvlText w:val="%4)"/>
      <w:lvlJc w:val="left"/>
      <w:pPr>
        <w:ind w:left="1020" w:hanging="360"/>
      </w:pPr>
    </w:lvl>
    <w:lvl w:ilvl="4" w:tplc="083649D6">
      <w:start w:val="1"/>
      <w:numFmt w:val="decimal"/>
      <w:lvlText w:val="%5)"/>
      <w:lvlJc w:val="left"/>
      <w:pPr>
        <w:ind w:left="1020" w:hanging="360"/>
      </w:pPr>
    </w:lvl>
    <w:lvl w:ilvl="5" w:tplc="FE64DCF2">
      <w:start w:val="1"/>
      <w:numFmt w:val="decimal"/>
      <w:lvlText w:val="%6)"/>
      <w:lvlJc w:val="left"/>
      <w:pPr>
        <w:ind w:left="1020" w:hanging="360"/>
      </w:pPr>
    </w:lvl>
    <w:lvl w:ilvl="6" w:tplc="AFFE3C96">
      <w:start w:val="1"/>
      <w:numFmt w:val="decimal"/>
      <w:lvlText w:val="%7)"/>
      <w:lvlJc w:val="left"/>
      <w:pPr>
        <w:ind w:left="1020" w:hanging="360"/>
      </w:pPr>
    </w:lvl>
    <w:lvl w:ilvl="7" w:tplc="9DB4A7FE">
      <w:start w:val="1"/>
      <w:numFmt w:val="decimal"/>
      <w:lvlText w:val="%8)"/>
      <w:lvlJc w:val="left"/>
      <w:pPr>
        <w:ind w:left="1020" w:hanging="360"/>
      </w:pPr>
    </w:lvl>
    <w:lvl w:ilvl="8" w:tplc="3B22D458">
      <w:start w:val="1"/>
      <w:numFmt w:val="decimal"/>
      <w:lvlText w:val="%9)"/>
      <w:lvlJc w:val="left"/>
      <w:pPr>
        <w:ind w:left="1020" w:hanging="360"/>
      </w:pPr>
    </w:lvl>
  </w:abstractNum>
  <w:abstractNum w:abstractNumId="22" w15:restartNumberingAfterBreak="0">
    <w:nsid w:val="61874689"/>
    <w:multiLevelType w:val="hybridMultilevel"/>
    <w:tmpl w:val="73FAB74C"/>
    <w:lvl w:ilvl="0" w:tplc="8764A3C8">
      <w:start w:val="1"/>
      <w:numFmt w:val="decimal"/>
      <w:lvlText w:val="%1)"/>
      <w:lvlJc w:val="left"/>
      <w:pPr>
        <w:ind w:left="1020" w:hanging="360"/>
      </w:pPr>
    </w:lvl>
    <w:lvl w:ilvl="1" w:tplc="B148B898">
      <w:start w:val="1"/>
      <w:numFmt w:val="decimal"/>
      <w:lvlText w:val="%2)"/>
      <w:lvlJc w:val="left"/>
      <w:pPr>
        <w:ind w:left="1020" w:hanging="360"/>
      </w:pPr>
    </w:lvl>
    <w:lvl w:ilvl="2" w:tplc="3EEC2FE6">
      <w:start w:val="1"/>
      <w:numFmt w:val="decimal"/>
      <w:lvlText w:val="%3)"/>
      <w:lvlJc w:val="left"/>
      <w:pPr>
        <w:ind w:left="1020" w:hanging="360"/>
      </w:pPr>
    </w:lvl>
    <w:lvl w:ilvl="3" w:tplc="0A84EC0A">
      <w:start w:val="1"/>
      <w:numFmt w:val="decimal"/>
      <w:lvlText w:val="%4)"/>
      <w:lvlJc w:val="left"/>
      <w:pPr>
        <w:ind w:left="1020" w:hanging="360"/>
      </w:pPr>
    </w:lvl>
    <w:lvl w:ilvl="4" w:tplc="CF3A8BA6">
      <w:start w:val="1"/>
      <w:numFmt w:val="decimal"/>
      <w:lvlText w:val="%5)"/>
      <w:lvlJc w:val="left"/>
      <w:pPr>
        <w:ind w:left="1020" w:hanging="360"/>
      </w:pPr>
    </w:lvl>
    <w:lvl w:ilvl="5" w:tplc="CB168040">
      <w:start w:val="1"/>
      <w:numFmt w:val="decimal"/>
      <w:lvlText w:val="%6)"/>
      <w:lvlJc w:val="left"/>
      <w:pPr>
        <w:ind w:left="1020" w:hanging="360"/>
      </w:pPr>
    </w:lvl>
    <w:lvl w:ilvl="6" w:tplc="9A50801A">
      <w:start w:val="1"/>
      <w:numFmt w:val="decimal"/>
      <w:lvlText w:val="%7)"/>
      <w:lvlJc w:val="left"/>
      <w:pPr>
        <w:ind w:left="1020" w:hanging="360"/>
      </w:pPr>
    </w:lvl>
    <w:lvl w:ilvl="7" w:tplc="CE5ACCA4">
      <w:start w:val="1"/>
      <w:numFmt w:val="decimal"/>
      <w:lvlText w:val="%8)"/>
      <w:lvlJc w:val="left"/>
      <w:pPr>
        <w:ind w:left="1020" w:hanging="360"/>
      </w:pPr>
    </w:lvl>
    <w:lvl w:ilvl="8" w:tplc="5DAACECE">
      <w:start w:val="1"/>
      <w:numFmt w:val="decimal"/>
      <w:lvlText w:val="%9)"/>
      <w:lvlJc w:val="left"/>
      <w:pPr>
        <w:ind w:left="1020" w:hanging="360"/>
      </w:pPr>
    </w:lvl>
  </w:abstractNum>
  <w:abstractNum w:abstractNumId="23" w15:restartNumberingAfterBreak="0">
    <w:nsid w:val="67FD1241"/>
    <w:multiLevelType w:val="hybridMultilevel"/>
    <w:tmpl w:val="F6D86CC2"/>
    <w:lvl w:ilvl="0" w:tplc="6088DD42">
      <w:start w:val="1"/>
      <w:numFmt w:val="bullet"/>
      <w:pStyle w:val="Listapunktowana"/>
      <w:lvlText w:val=""/>
      <w:lvlJc w:val="left"/>
      <w:pPr>
        <w:tabs>
          <w:tab w:val="num" w:pos="851"/>
        </w:tabs>
        <w:ind w:left="568" w:firstLine="0"/>
      </w:pPr>
      <w:rPr>
        <w:rFonts w:ascii="Wingdings" w:hAnsi="Wingdings" w:hint="default"/>
        <w:color w:val="808080"/>
        <w:sz w:val="16"/>
      </w:rPr>
    </w:lvl>
    <w:lvl w:ilvl="1" w:tplc="C3F296DE" w:tentative="1">
      <w:start w:val="1"/>
      <w:numFmt w:val="bullet"/>
      <w:lvlText w:val="o"/>
      <w:lvlJc w:val="left"/>
      <w:pPr>
        <w:tabs>
          <w:tab w:val="num" w:pos="1724"/>
        </w:tabs>
        <w:ind w:left="1724" w:hanging="360"/>
      </w:pPr>
      <w:rPr>
        <w:rFonts w:ascii="Courier New" w:hAnsi="Courier New" w:cs="Courier New" w:hint="default"/>
      </w:rPr>
    </w:lvl>
    <w:lvl w:ilvl="2" w:tplc="662284F6" w:tentative="1">
      <w:start w:val="1"/>
      <w:numFmt w:val="bullet"/>
      <w:lvlText w:val=""/>
      <w:lvlJc w:val="left"/>
      <w:pPr>
        <w:tabs>
          <w:tab w:val="num" w:pos="2444"/>
        </w:tabs>
        <w:ind w:left="2444" w:hanging="360"/>
      </w:pPr>
      <w:rPr>
        <w:rFonts w:ascii="Wingdings" w:hAnsi="Wingdings" w:hint="default"/>
      </w:rPr>
    </w:lvl>
    <w:lvl w:ilvl="3" w:tplc="60EEEBE0" w:tentative="1">
      <w:start w:val="1"/>
      <w:numFmt w:val="bullet"/>
      <w:lvlText w:val=""/>
      <w:lvlJc w:val="left"/>
      <w:pPr>
        <w:tabs>
          <w:tab w:val="num" w:pos="3164"/>
        </w:tabs>
        <w:ind w:left="3164" w:hanging="360"/>
      </w:pPr>
      <w:rPr>
        <w:rFonts w:ascii="Symbol" w:hAnsi="Symbol" w:hint="default"/>
      </w:rPr>
    </w:lvl>
    <w:lvl w:ilvl="4" w:tplc="7E04CD36" w:tentative="1">
      <w:start w:val="1"/>
      <w:numFmt w:val="bullet"/>
      <w:lvlText w:val="o"/>
      <w:lvlJc w:val="left"/>
      <w:pPr>
        <w:tabs>
          <w:tab w:val="num" w:pos="3884"/>
        </w:tabs>
        <w:ind w:left="3884" w:hanging="360"/>
      </w:pPr>
      <w:rPr>
        <w:rFonts w:ascii="Courier New" w:hAnsi="Courier New" w:cs="Courier New" w:hint="default"/>
      </w:rPr>
    </w:lvl>
    <w:lvl w:ilvl="5" w:tplc="23749EB8" w:tentative="1">
      <w:start w:val="1"/>
      <w:numFmt w:val="bullet"/>
      <w:lvlText w:val=""/>
      <w:lvlJc w:val="left"/>
      <w:pPr>
        <w:tabs>
          <w:tab w:val="num" w:pos="4604"/>
        </w:tabs>
        <w:ind w:left="4604" w:hanging="360"/>
      </w:pPr>
      <w:rPr>
        <w:rFonts w:ascii="Wingdings" w:hAnsi="Wingdings" w:hint="default"/>
      </w:rPr>
    </w:lvl>
    <w:lvl w:ilvl="6" w:tplc="993C0F96" w:tentative="1">
      <w:start w:val="1"/>
      <w:numFmt w:val="bullet"/>
      <w:lvlText w:val=""/>
      <w:lvlJc w:val="left"/>
      <w:pPr>
        <w:tabs>
          <w:tab w:val="num" w:pos="5324"/>
        </w:tabs>
        <w:ind w:left="5324" w:hanging="360"/>
      </w:pPr>
      <w:rPr>
        <w:rFonts w:ascii="Symbol" w:hAnsi="Symbol" w:hint="default"/>
      </w:rPr>
    </w:lvl>
    <w:lvl w:ilvl="7" w:tplc="5BB4684C" w:tentative="1">
      <w:start w:val="1"/>
      <w:numFmt w:val="bullet"/>
      <w:lvlText w:val="o"/>
      <w:lvlJc w:val="left"/>
      <w:pPr>
        <w:tabs>
          <w:tab w:val="num" w:pos="6044"/>
        </w:tabs>
        <w:ind w:left="6044" w:hanging="360"/>
      </w:pPr>
      <w:rPr>
        <w:rFonts w:ascii="Courier New" w:hAnsi="Courier New" w:cs="Courier New" w:hint="default"/>
      </w:rPr>
    </w:lvl>
    <w:lvl w:ilvl="8" w:tplc="BDB0B18E" w:tentative="1">
      <w:start w:val="1"/>
      <w:numFmt w:val="bullet"/>
      <w:lvlText w:val=""/>
      <w:lvlJc w:val="left"/>
      <w:pPr>
        <w:tabs>
          <w:tab w:val="num" w:pos="6764"/>
        </w:tabs>
        <w:ind w:left="6764" w:hanging="360"/>
      </w:pPr>
      <w:rPr>
        <w:rFonts w:ascii="Wingdings" w:hAnsi="Wingdings" w:hint="default"/>
      </w:rPr>
    </w:lvl>
  </w:abstractNum>
  <w:abstractNum w:abstractNumId="24" w15:restartNumberingAfterBreak="0">
    <w:nsid w:val="6B3F1A2E"/>
    <w:multiLevelType w:val="hybridMultilevel"/>
    <w:tmpl w:val="F96EA82A"/>
    <w:lvl w:ilvl="0" w:tplc="232A836A">
      <w:start w:val="1"/>
      <w:numFmt w:val="decimal"/>
      <w:lvlText w:val="%1)"/>
      <w:lvlJc w:val="left"/>
      <w:pPr>
        <w:ind w:left="720" w:hanging="360"/>
      </w:pPr>
    </w:lvl>
    <w:lvl w:ilvl="1" w:tplc="F4E211C4">
      <w:start w:val="1"/>
      <w:numFmt w:val="decimal"/>
      <w:lvlText w:val="%2)"/>
      <w:lvlJc w:val="left"/>
      <w:pPr>
        <w:ind w:left="720" w:hanging="360"/>
      </w:pPr>
    </w:lvl>
    <w:lvl w:ilvl="2" w:tplc="EE3AC208">
      <w:start w:val="1"/>
      <w:numFmt w:val="decimal"/>
      <w:lvlText w:val="%3)"/>
      <w:lvlJc w:val="left"/>
      <w:pPr>
        <w:ind w:left="720" w:hanging="360"/>
      </w:pPr>
    </w:lvl>
    <w:lvl w:ilvl="3" w:tplc="20408164">
      <w:start w:val="1"/>
      <w:numFmt w:val="decimal"/>
      <w:lvlText w:val="%4)"/>
      <w:lvlJc w:val="left"/>
      <w:pPr>
        <w:ind w:left="720" w:hanging="360"/>
      </w:pPr>
    </w:lvl>
    <w:lvl w:ilvl="4" w:tplc="3C4A433A">
      <w:start w:val="1"/>
      <w:numFmt w:val="decimal"/>
      <w:lvlText w:val="%5)"/>
      <w:lvlJc w:val="left"/>
      <w:pPr>
        <w:ind w:left="720" w:hanging="360"/>
      </w:pPr>
    </w:lvl>
    <w:lvl w:ilvl="5" w:tplc="9DDEC722">
      <w:start w:val="1"/>
      <w:numFmt w:val="decimal"/>
      <w:lvlText w:val="%6)"/>
      <w:lvlJc w:val="left"/>
      <w:pPr>
        <w:ind w:left="720" w:hanging="360"/>
      </w:pPr>
    </w:lvl>
    <w:lvl w:ilvl="6" w:tplc="035AD4FE">
      <w:start w:val="1"/>
      <w:numFmt w:val="decimal"/>
      <w:lvlText w:val="%7)"/>
      <w:lvlJc w:val="left"/>
      <w:pPr>
        <w:ind w:left="720" w:hanging="360"/>
      </w:pPr>
    </w:lvl>
    <w:lvl w:ilvl="7" w:tplc="A9D61F14">
      <w:start w:val="1"/>
      <w:numFmt w:val="decimal"/>
      <w:lvlText w:val="%8)"/>
      <w:lvlJc w:val="left"/>
      <w:pPr>
        <w:ind w:left="720" w:hanging="360"/>
      </w:pPr>
    </w:lvl>
    <w:lvl w:ilvl="8" w:tplc="ADC4ED80">
      <w:start w:val="1"/>
      <w:numFmt w:val="decimal"/>
      <w:lvlText w:val="%9)"/>
      <w:lvlJc w:val="left"/>
      <w:pPr>
        <w:ind w:left="720" w:hanging="360"/>
      </w:pPr>
    </w:lvl>
  </w:abstractNum>
  <w:abstractNum w:abstractNumId="25" w15:restartNumberingAfterBreak="0">
    <w:nsid w:val="75F04EEC"/>
    <w:multiLevelType w:val="hybridMultilevel"/>
    <w:tmpl w:val="F34686C4"/>
    <w:lvl w:ilvl="0" w:tplc="9386EBDA">
      <w:start w:val="1"/>
      <w:numFmt w:val="decimal"/>
      <w:lvlText w:val="%1)"/>
      <w:lvlJc w:val="left"/>
      <w:pPr>
        <w:ind w:left="1020" w:hanging="360"/>
      </w:pPr>
    </w:lvl>
    <w:lvl w:ilvl="1" w:tplc="B934880E">
      <w:start w:val="1"/>
      <w:numFmt w:val="decimal"/>
      <w:lvlText w:val="%2)"/>
      <w:lvlJc w:val="left"/>
      <w:pPr>
        <w:ind w:left="1020" w:hanging="360"/>
      </w:pPr>
    </w:lvl>
    <w:lvl w:ilvl="2" w:tplc="21BC7B1C">
      <w:start w:val="1"/>
      <w:numFmt w:val="decimal"/>
      <w:lvlText w:val="%3)"/>
      <w:lvlJc w:val="left"/>
      <w:pPr>
        <w:ind w:left="1020" w:hanging="360"/>
      </w:pPr>
    </w:lvl>
    <w:lvl w:ilvl="3" w:tplc="3CE44C7A">
      <w:start w:val="1"/>
      <w:numFmt w:val="decimal"/>
      <w:lvlText w:val="%4)"/>
      <w:lvlJc w:val="left"/>
      <w:pPr>
        <w:ind w:left="1020" w:hanging="360"/>
      </w:pPr>
    </w:lvl>
    <w:lvl w:ilvl="4" w:tplc="49465E1A">
      <w:start w:val="1"/>
      <w:numFmt w:val="decimal"/>
      <w:lvlText w:val="%5)"/>
      <w:lvlJc w:val="left"/>
      <w:pPr>
        <w:ind w:left="1020" w:hanging="360"/>
      </w:pPr>
    </w:lvl>
    <w:lvl w:ilvl="5" w:tplc="95D69B1A">
      <w:start w:val="1"/>
      <w:numFmt w:val="decimal"/>
      <w:lvlText w:val="%6)"/>
      <w:lvlJc w:val="left"/>
      <w:pPr>
        <w:ind w:left="1020" w:hanging="360"/>
      </w:pPr>
    </w:lvl>
    <w:lvl w:ilvl="6" w:tplc="E4CE5EAC">
      <w:start w:val="1"/>
      <w:numFmt w:val="decimal"/>
      <w:lvlText w:val="%7)"/>
      <w:lvlJc w:val="left"/>
      <w:pPr>
        <w:ind w:left="1020" w:hanging="360"/>
      </w:pPr>
    </w:lvl>
    <w:lvl w:ilvl="7" w:tplc="48124BBE">
      <w:start w:val="1"/>
      <w:numFmt w:val="decimal"/>
      <w:lvlText w:val="%8)"/>
      <w:lvlJc w:val="left"/>
      <w:pPr>
        <w:ind w:left="1020" w:hanging="360"/>
      </w:pPr>
    </w:lvl>
    <w:lvl w:ilvl="8" w:tplc="4AC623DA">
      <w:start w:val="1"/>
      <w:numFmt w:val="decimal"/>
      <w:lvlText w:val="%9)"/>
      <w:lvlJc w:val="left"/>
      <w:pPr>
        <w:ind w:left="1020" w:hanging="360"/>
      </w:pPr>
    </w:lvl>
  </w:abstractNum>
  <w:abstractNum w:abstractNumId="26"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878196408">
    <w:abstractNumId w:val="17"/>
  </w:num>
  <w:num w:numId="2" w16cid:durableId="754978352">
    <w:abstractNumId w:val="15"/>
  </w:num>
  <w:num w:numId="3" w16cid:durableId="1794904661">
    <w:abstractNumId w:val="14"/>
  </w:num>
  <w:num w:numId="4" w16cid:durableId="196163834">
    <w:abstractNumId w:val="18"/>
  </w:num>
  <w:num w:numId="5" w16cid:durableId="1751272099">
    <w:abstractNumId w:val="16"/>
  </w:num>
  <w:num w:numId="6" w16cid:durableId="1642692146">
    <w:abstractNumId w:val="19"/>
  </w:num>
  <w:num w:numId="7" w16cid:durableId="434135136">
    <w:abstractNumId w:val="18"/>
  </w:num>
  <w:num w:numId="8" w16cid:durableId="578097284">
    <w:abstractNumId w:val="19"/>
  </w:num>
  <w:num w:numId="9" w16cid:durableId="1183782018">
    <w:abstractNumId w:val="11"/>
  </w:num>
  <w:num w:numId="10" w16cid:durableId="1201867154">
    <w:abstractNumId w:val="9"/>
  </w:num>
  <w:num w:numId="11" w16cid:durableId="468593734">
    <w:abstractNumId w:val="23"/>
  </w:num>
  <w:num w:numId="12" w16cid:durableId="1467626488">
    <w:abstractNumId w:val="7"/>
  </w:num>
  <w:num w:numId="13" w16cid:durableId="736516085">
    <w:abstractNumId w:val="6"/>
  </w:num>
  <w:num w:numId="14" w16cid:durableId="1900626135">
    <w:abstractNumId w:val="5"/>
  </w:num>
  <w:num w:numId="15" w16cid:durableId="180165164">
    <w:abstractNumId w:val="4"/>
  </w:num>
  <w:num w:numId="16" w16cid:durableId="287588751">
    <w:abstractNumId w:val="8"/>
  </w:num>
  <w:num w:numId="17" w16cid:durableId="1293171956">
    <w:abstractNumId w:val="3"/>
  </w:num>
  <w:num w:numId="18" w16cid:durableId="1010371988">
    <w:abstractNumId w:val="2"/>
  </w:num>
  <w:num w:numId="19" w16cid:durableId="2002387366">
    <w:abstractNumId w:val="1"/>
  </w:num>
  <w:num w:numId="20" w16cid:durableId="324631445">
    <w:abstractNumId w:val="0"/>
  </w:num>
  <w:num w:numId="21" w16cid:durableId="1389457879">
    <w:abstractNumId w:val="26"/>
  </w:num>
  <w:num w:numId="22" w16cid:durableId="1019090221">
    <w:abstractNumId w:val="22"/>
  </w:num>
  <w:num w:numId="23" w16cid:durableId="4792331">
    <w:abstractNumId w:val="21"/>
  </w:num>
  <w:num w:numId="24" w16cid:durableId="910896157">
    <w:abstractNumId w:val="12"/>
  </w:num>
  <w:num w:numId="25" w16cid:durableId="803888093">
    <w:abstractNumId w:val="13"/>
  </w:num>
  <w:num w:numId="26" w16cid:durableId="202327055">
    <w:abstractNumId w:val="10"/>
  </w:num>
  <w:num w:numId="27" w16cid:durableId="572398262">
    <w:abstractNumId w:val="25"/>
  </w:num>
  <w:num w:numId="28" w16cid:durableId="2083288340">
    <w:abstractNumId w:val="24"/>
  </w:num>
  <w:num w:numId="29" w16cid:durableId="1056129447">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3"/>
    <w:docVar w:name="EMM" w:val="0"/>
    <w:docVar w:name="LW_DocType" w:val="NORMAL"/>
    <w:docVar w:name="NBApplication" w:val="2"/>
    <w:docVar w:name="NBEMMDOC" w:val="0"/>
    <w:docVar w:name="Plural" w:val="3"/>
  </w:docVars>
  <w:rsids>
    <w:rsidRoot w:val="00E44928"/>
    <w:rsid w:val="000041F8"/>
    <w:rsid w:val="000042A8"/>
    <w:rsid w:val="00004308"/>
    <w:rsid w:val="00005BF0"/>
    <w:rsid w:val="0000617D"/>
    <w:rsid w:val="00007154"/>
    <w:rsid w:val="000100EE"/>
    <w:rsid w:val="000103AE"/>
    <w:rsid w:val="00011D69"/>
    <w:rsid w:val="00012AD3"/>
    <w:rsid w:val="00014AF6"/>
    <w:rsid w:val="00015C2D"/>
    <w:rsid w:val="00015F00"/>
    <w:rsid w:val="0001768D"/>
    <w:rsid w:val="00022C1D"/>
    <w:rsid w:val="0002592F"/>
    <w:rsid w:val="00026CB7"/>
    <w:rsid w:val="00031428"/>
    <w:rsid w:val="00034987"/>
    <w:rsid w:val="00041560"/>
    <w:rsid w:val="00046212"/>
    <w:rsid w:val="00046AA4"/>
    <w:rsid w:val="000543C6"/>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0F4C"/>
    <w:rsid w:val="00101505"/>
    <w:rsid w:val="00104E23"/>
    <w:rsid w:val="001066DB"/>
    <w:rsid w:val="00110DA8"/>
    <w:rsid w:val="0011176C"/>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420B"/>
    <w:rsid w:val="001A674C"/>
    <w:rsid w:val="001B3B24"/>
    <w:rsid w:val="001C055B"/>
    <w:rsid w:val="001C0F98"/>
    <w:rsid w:val="001C2A42"/>
    <w:rsid w:val="001D63ED"/>
    <w:rsid w:val="001D7348"/>
    <w:rsid w:val="001E035B"/>
    <w:rsid w:val="001E0961"/>
    <w:rsid w:val="001E15AC"/>
    <w:rsid w:val="001E3EAE"/>
    <w:rsid w:val="001E6857"/>
    <w:rsid w:val="001E6F32"/>
    <w:rsid w:val="001F1A23"/>
    <w:rsid w:val="001F2145"/>
    <w:rsid w:val="001F6262"/>
    <w:rsid w:val="001F67B0"/>
    <w:rsid w:val="001F7B3D"/>
    <w:rsid w:val="00200965"/>
    <w:rsid w:val="00202752"/>
    <w:rsid w:val="0020335A"/>
    <w:rsid w:val="002052BC"/>
    <w:rsid w:val="00205F9F"/>
    <w:rsid w:val="0020718E"/>
    <w:rsid w:val="00210338"/>
    <w:rsid w:val="002115FC"/>
    <w:rsid w:val="0021423C"/>
    <w:rsid w:val="00226C89"/>
    <w:rsid w:val="00230D00"/>
    <w:rsid w:val="00230E64"/>
    <w:rsid w:val="00231816"/>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A92"/>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331E"/>
    <w:rsid w:val="002C4433"/>
    <w:rsid w:val="002C5ADD"/>
    <w:rsid w:val="002C7826"/>
    <w:rsid w:val="002D022D"/>
    <w:rsid w:val="002D24BB"/>
    <w:rsid w:val="002D2FA7"/>
    <w:rsid w:val="002D47BA"/>
    <w:rsid w:val="002D77B9"/>
    <w:rsid w:val="002E46DA"/>
    <w:rsid w:val="002E51BB"/>
    <w:rsid w:val="002E7764"/>
    <w:rsid w:val="002F2AF7"/>
    <w:rsid w:val="002F69C4"/>
    <w:rsid w:val="002F7D9E"/>
    <w:rsid w:val="002F7E1C"/>
    <w:rsid w:val="00301A75"/>
    <w:rsid w:val="00302F70"/>
    <w:rsid w:val="0030336F"/>
    <w:rsid w:val="0030375E"/>
    <w:rsid w:val="00312A30"/>
    <w:rsid w:val="0031622F"/>
    <w:rsid w:val="003201D8"/>
    <w:rsid w:val="00320F72"/>
    <w:rsid w:val="0032463E"/>
    <w:rsid w:val="00326224"/>
    <w:rsid w:val="00326B12"/>
    <w:rsid w:val="00337EE4"/>
    <w:rsid w:val="00340FFD"/>
    <w:rsid w:val="00345C41"/>
    <w:rsid w:val="003506B1"/>
    <w:rsid w:val="00355877"/>
    <w:rsid w:val="00356AC7"/>
    <w:rsid w:val="003609FA"/>
    <w:rsid w:val="00366485"/>
    <w:rsid w:val="003710C8"/>
    <w:rsid w:val="003750BE"/>
    <w:rsid w:val="003753C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D7A5D"/>
    <w:rsid w:val="003E6D80"/>
    <w:rsid w:val="003E6E4F"/>
    <w:rsid w:val="003E7BCC"/>
    <w:rsid w:val="003F05FA"/>
    <w:rsid w:val="003F244A"/>
    <w:rsid w:val="003F2517"/>
    <w:rsid w:val="003F30B8"/>
    <w:rsid w:val="003F4C45"/>
    <w:rsid w:val="003F5F7B"/>
    <w:rsid w:val="003F7D64"/>
    <w:rsid w:val="0040433A"/>
    <w:rsid w:val="004132A1"/>
    <w:rsid w:val="00414300"/>
    <w:rsid w:val="00414F27"/>
    <w:rsid w:val="00420703"/>
    <w:rsid w:val="00425C67"/>
    <w:rsid w:val="00426D30"/>
    <w:rsid w:val="00427E7A"/>
    <w:rsid w:val="0043377E"/>
    <w:rsid w:val="004355AC"/>
    <w:rsid w:val="00436C49"/>
    <w:rsid w:val="00443D98"/>
    <w:rsid w:val="00445366"/>
    <w:rsid w:val="00447F5B"/>
    <w:rsid w:val="00461DB0"/>
    <w:rsid w:val="00463926"/>
    <w:rsid w:val="00464AB7"/>
    <w:rsid w:val="00464C9A"/>
    <w:rsid w:val="0047478E"/>
    <w:rsid w:val="00474E64"/>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B6917"/>
    <w:rsid w:val="004C01E4"/>
    <w:rsid w:val="004C086C"/>
    <w:rsid w:val="004C1F56"/>
    <w:rsid w:val="004C27BC"/>
    <w:rsid w:val="004C6621"/>
    <w:rsid w:val="004C727D"/>
    <w:rsid w:val="004C73BE"/>
    <w:rsid w:val="004D08B5"/>
    <w:rsid w:val="004D0EC7"/>
    <w:rsid w:val="004D15F3"/>
    <w:rsid w:val="004D3B3D"/>
    <w:rsid w:val="004D4EF1"/>
    <w:rsid w:val="004D5311"/>
    <w:rsid w:val="004D5DCC"/>
    <w:rsid w:val="004D7E45"/>
    <w:rsid w:val="004E7AB3"/>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183E"/>
    <w:rsid w:val="00524D38"/>
    <w:rsid w:val="00525208"/>
    <w:rsid w:val="005257A5"/>
    <w:rsid w:val="005264C0"/>
    <w:rsid w:val="00526A8A"/>
    <w:rsid w:val="00527FB1"/>
    <w:rsid w:val="00530FE6"/>
    <w:rsid w:val="00531DF2"/>
    <w:rsid w:val="0053315C"/>
    <w:rsid w:val="00534807"/>
    <w:rsid w:val="00537476"/>
    <w:rsid w:val="00540353"/>
    <w:rsid w:val="005442EE"/>
    <w:rsid w:val="00545DA6"/>
    <w:rsid w:val="0054716E"/>
    <w:rsid w:val="00547353"/>
    <w:rsid w:val="005474E7"/>
    <w:rsid w:val="0055000B"/>
    <w:rsid w:val="005512A3"/>
    <w:rsid w:val="00554CAF"/>
    <w:rsid w:val="00557145"/>
    <w:rsid w:val="00557538"/>
    <w:rsid w:val="005578CE"/>
    <w:rsid w:val="00560618"/>
    <w:rsid w:val="00562338"/>
    <w:rsid w:val="00562781"/>
    <w:rsid w:val="00562B6C"/>
    <w:rsid w:val="005639B0"/>
    <w:rsid w:val="00570EC4"/>
    <w:rsid w:val="0057271C"/>
    <w:rsid w:val="00572845"/>
    <w:rsid w:val="005843F7"/>
    <w:rsid w:val="005879A2"/>
    <w:rsid w:val="00592772"/>
    <w:rsid w:val="00592ACB"/>
    <w:rsid w:val="0059574A"/>
    <w:rsid w:val="005A1B9B"/>
    <w:rsid w:val="005A2221"/>
    <w:rsid w:val="005A2E79"/>
    <w:rsid w:val="005A5F27"/>
    <w:rsid w:val="005A6751"/>
    <w:rsid w:val="005B092E"/>
    <w:rsid w:val="005B152C"/>
    <w:rsid w:val="005B1EE0"/>
    <w:rsid w:val="005B2B24"/>
    <w:rsid w:val="005B3BAE"/>
    <w:rsid w:val="005B4425"/>
    <w:rsid w:val="005B4B94"/>
    <w:rsid w:val="005C2C62"/>
    <w:rsid w:val="005C3EE8"/>
    <w:rsid w:val="005D2F2A"/>
    <w:rsid w:val="005D34F9"/>
    <w:rsid w:val="005D4190"/>
    <w:rsid w:val="005D67A3"/>
    <w:rsid w:val="005E0215"/>
    <w:rsid w:val="005E2988"/>
    <w:rsid w:val="005E3085"/>
    <w:rsid w:val="005F0EB3"/>
    <w:rsid w:val="005F51E1"/>
    <w:rsid w:val="00611C80"/>
    <w:rsid w:val="00614A27"/>
    <w:rsid w:val="00620692"/>
    <w:rsid w:val="00623885"/>
    <w:rsid w:val="006242CA"/>
    <w:rsid w:val="00627507"/>
    <w:rsid w:val="00633717"/>
    <w:rsid w:val="006344E1"/>
    <w:rsid w:val="00636B4B"/>
    <w:rsid w:val="00643524"/>
    <w:rsid w:val="0064393B"/>
    <w:rsid w:val="00645CF2"/>
    <w:rsid w:val="0065306B"/>
    <w:rsid w:val="00653BED"/>
    <w:rsid w:val="006545C4"/>
    <w:rsid w:val="00655F50"/>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1540"/>
    <w:rsid w:val="006C23D4"/>
    <w:rsid w:val="006C7BB0"/>
    <w:rsid w:val="006D3237"/>
    <w:rsid w:val="006E2E37"/>
    <w:rsid w:val="006E3CF1"/>
    <w:rsid w:val="006E68A3"/>
    <w:rsid w:val="006E7E80"/>
    <w:rsid w:val="006F1C2D"/>
    <w:rsid w:val="006F48CA"/>
    <w:rsid w:val="006F64DD"/>
    <w:rsid w:val="006F712D"/>
    <w:rsid w:val="00710DEE"/>
    <w:rsid w:val="00715127"/>
    <w:rsid w:val="00715E8E"/>
    <w:rsid w:val="00723580"/>
    <w:rsid w:val="00723755"/>
    <w:rsid w:val="0073136C"/>
    <w:rsid w:val="00731F0F"/>
    <w:rsid w:val="00733250"/>
    <w:rsid w:val="00741404"/>
    <w:rsid w:val="007449E5"/>
    <w:rsid w:val="0074750E"/>
    <w:rsid w:val="00747FF0"/>
    <w:rsid w:val="00751066"/>
    <w:rsid w:val="0075566E"/>
    <w:rsid w:val="007622E3"/>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1FF8"/>
    <w:rsid w:val="007F27E4"/>
    <w:rsid w:val="007F3437"/>
    <w:rsid w:val="00802C64"/>
    <w:rsid w:val="00805E52"/>
    <w:rsid w:val="008061D0"/>
    <w:rsid w:val="00810B38"/>
    <w:rsid w:val="00812E41"/>
    <w:rsid w:val="008204C7"/>
    <w:rsid w:val="00820992"/>
    <w:rsid w:val="00822EBA"/>
    <w:rsid w:val="00823602"/>
    <w:rsid w:val="008255F5"/>
    <w:rsid w:val="00826890"/>
    <w:rsid w:val="0083014E"/>
    <w:rsid w:val="0083214A"/>
    <w:rsid w:val="00834220"/>
    <w:rsid w:val="00845723"/>
    <w:rsid w:val="008519E7"/>
    <w:rsid w:val="00851EF9"/>
    <w:rsid w:val="00853155"/>
    <w:rsid w:val="008577FD"/>
    <w:rsid w:val="00860B03"/>
    <w:rsid w:val="0086497A"/>
    <w:rsid w:val="0086538E"/>
    <w:rsid w:val="00867066"/>
    <w:rsid w:val="008713A1"/>
    <w:rsid w:val="00872584"/>
    <w:rsid w:val="008754AB"/>
    <w:rsid w:val="0088060C"/>
    <w:rsid w:val="00882CD5"/>
    <w:rsid w:val="00883151"/>
    <w:rsid w:val="00893576"/>
    <w:rsid w:val="00893E73"/>
    <w:rsid w:val="00893E97"/>
    <w:rsid w:val="008B02DC"/>
    <w:rsid w:val="008B092C"/>
    <w:rsid w:val="008B57CE"/>
    <w:rsid w:val="008C02FC"/>
    <w:rsid w:val="008C26DE"/>
    <w:rsid w:val="008D0AA0"/>
    <w:rsid w:val="008D13DD"/>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378C9"/>
    <w:rsid w:val="0094131C"/>
    <w:rsid w:val="00941747"/>
    <w:rsid w:val="00941EFB"/>
    <w:rsid w:val="00947AFB"/>
    <w:rsid w:val="00951AA3"/>
    <w:rsid w:val="00951D7D"/>
    <w:rsid w:val="00956562"/>
    <w:rsid w:val="00956D0C"/>
    <w:rsid w:val="009630C7"/>
    <w:rsid w:val="00972B55"/>
    <w:rsid w:val="009743B7"/>
    <w:rsid w:val="0098228B"/>
    <w:rsid w:val="009828DA"/>
    <w:rsid w:val="0098410D"/>
    <w:rsid w:val="00985BAB"/>
    <w:rsid w:val="00986B3C"/>
    <w:rsid w:val="009A115C"/>
    <w:rsid w:val="009A12AA"/>
    <w:rsid w:val="009A1C01"/>
    <w:rsid w:val="009A7FC1"/>
    <w:rsid w:val="009B1606"/>
    <w:rsid w:val="009B1B5F"/>
    <w:rsid w:val="009B6673"/>
    <w:rsid w:val="009C191B"/>
    <w:rsid w:val="009C2BD6"/>
    <w:rsid w:val="009D57AA"/>
    <w:rsid w:val="009D5E7B"/>
    <w:rsid w:val="009E1F32"/>
    <w:rsid w:val="009E2CC2"/>
    <w:rsid w:val="009E47A2"/>
    <w:rsid w:val="009E776C"/>
    <w:rsid w:val="009E7A6F"/>
    <w:rsid w:val="009F4C8F"/>
    <w:rsid w:val="009F6771"/>
    <w:rsid w:val="00A02972"/>
    <w:rsid w:val="00A05588"/>
    <w:rsid w:val="00A12393"/>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E527B"/>
    <w:rsid w:val="00AF12C5"/>
    <w:rsid w:val="00AF4B07"/>
    <w:rsid w:val="00AF6186"/>
    <w:rsid w:val="00AF62FE"/>
    <w:rsid w:val="00AF7A3A"/>
    <w:rsid w:val="00AF7CDC"/>
    <w:rsid w:val="00B02587"/>
    <w:rsid w:val="00B049D1"/>
    <w:rsid w:val="00B12C2B"/>
    <w:rsid w:val="00B14793"/>
    <w:rsid w:val="00B153A0"/>
    <w:rsid w:val="00B160DB"/>
    <w:rsid w:val="00B20836"/>
    <w:rsid w:val="00B22EA4"/>
    <w:rsid w:val="00B235BB"/>
    <w:rsid w:val="00B27A44"/>
    <w:rsid w:val="00B30BBF"/>
    <w:rsid w:val="00B33C03"/>
    <w:rsid w:val="00B43BB4"/>
    <w:rsid w:val="00B4421F"/>
    <w:rsid w:val="00B44E56"/>
    <w:rsid w:val="00B44EB9"/>
    <w:rsid w:val="00B45917"/>
    <w:rsid w:val="00B46543"/>
    <w:rsid w:val="00B47D33"/>
    <w:rsid w:val="00B52BE0"/>
    <w:rsid w:val="00B54133"/>
    <w:rsid w:val="00B55A8D"/>
    <w:rsid w:val="00B66186"/>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3C32"/>
    <w:rsid w:val="00BB68EA"/>
    <w:rsid w:val="00BC0B99"/>
    <w:rsid w:val="00BC1C27"/>
    <w:rsid w:val="00BC56A7"/>
    <w:rsid w:val="00BC6BBF"/>
    <w:rsid w:val="00BD1572"/>
    <w:rsid w:val="00BE14E3"/>
    <w:rsid w:val="00BE36C4"/>
    <w:rsid w:val="00BE3774"/>
    <w:rsid w:val="00BE41E5"/>
    <w:rsid w:val="00BE4CE2"/>
    <w:rsid w:val="00BF118F"/>
    <w:rsid w:val="00BF4109"/>
    <w:rsid w:val="00BF4CC3"/>
    <w:rsid w:val="00BF573B"/>
    <w:rsid w:val="00C054C7"/>
    <w:rsid w:val="00C057B5"/>
    <w:rsid w:val="00C077C2"/>
    <w:rsid w:val="00C07D0E"/>
    <w:rsid w:val="00C115C3"/>
    <w:rsid w:val="00C15178"/>
    <w:rsid w:val="00C15547"/>
    <w:rsid w:val="00C1672D"/>
    <w:rsid w:val="00C21FB2"/>
    <w:rsid w:val="00C22687"/>
    <w:rsid w:val="00C26A92"/>
    <w:rsid w:val="00C26B1C"/>
    <w:rsid w:val="00C32E4D"/>
    <w:rsid w:val="00C333A0"/>
    <w:rsid w:val="00C34C65"/>
    <w:rsid w:val="00C36A81"/>
    <w:rsid w:val="00C4082F"/>
    <w:rsid w:val="00C41974"/>
    <w:rsid w:val="00C43322"/>
    <w:rsid w:val="00C44A2C"/>
    <w:rsid w:val="00C44F09"/>
    <w:rsid w:val="00C45E08"/>
    <w:rsid w:val="00C477F7"/>
    <w:rsid w:val="00C509A6"/>
    <w:rsid w:val="00C53F4A"/>
    <w:rsid w:val="00C54125"/>
    <w:rsid w:val="00C55B54"/>
    <w:rsid w:val="00C6098E"/>
    <w:rsid w:val="00C614E6"/>
    <w:rsid w:val="00C6152C"/>
    <w:rsid w:val="00C61616"/>
    <w:rsid w:val="00C64532"/>
    <w:rsid w:val="00C71424"/>
    <w:rsid w:val="00C7298E"/>
    <w:rsid w:val="00C74810"/>
    <w:rsid w:val="00C807D3"/>
    <w:rsid w:val="00C81EB3"/>
    <w:rsid w:val="00C90D68"/>
    <w:rsid w:val="00C939FE"/>
    <w:rsid w:val="00C9417B"/>
    <w:rsid w:val="00CA4941"/>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53C"/>
    <w:rsid w:val="00D50849"/>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E5C99"/>
    <w:rsid w:val="00DF098B"/>
    <w:rsid w:val="00DF11C4"/>
    <w:rsid w:val="00DF210C"/>
    <w:rsid w:val="00DF4315"/>
    <w:rsid w:val="00DF4B6A"/>
    <w:rsid w:val="00E004C0"/>
    <w:rsid w:val="00E02C09"/>
    <w:rsid w:val="00E04D59"/>
    <w:rsid w:val="00E07DA1"/>
    <w:rsid w:val="00E123CB"/>
    <w:rsid w:val="00E13B09"/>
    <w:rsid w:val="00E20E13"/>
    <w:rsid w:val="00E21DBC"/>
    <w:rsid w:val="00E275D7"/>
    <w:rsid w:val="00E27DBE"/>
    <w:rsid w:val="00E32AB1"/>
    <w:rsid w:val="00E36C71"/>
    <w:rsid w:val="00E36FFE"/>
    <w:rsid w:val="00E40404"/>
    <w:rsid w:val="00E4126A"/>
    <w:rsid w:val="00E42A06"/>
    <w:rsid w:val="00E44928"/>
    <w:rsid w:val="00E459C6"/>
    <w:rsid w:val="00E47589"/>
    <w:rsid w:val="00E5316C"/>
    <w:rsid w:val="00E557AA"/>
    <w:rsid w:val="00E63EC7"/>
    <w:rsid w:val="00E64915"/>
    <w:rsid w:val="00E64D3A"/>
    <w:rsid w:val="00E661D4"/>
    <w:rsid w:val="00E67565"/>
    <w:rsid w:val="00E70091"/>
    <w:rsid w:val="00E70D2E"/>
    <w:rsid w:val="00E720F5"/>
    <w:rsid w:val="00E744E0"/>
    <w:rsid w:val="00E76B1E"/>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158"/>
    <w:rsid w:val="00EB447C"/>
    <w:rsid w:val="00EB7BE0"/>
    <w:rsid w:val="00EC315E"/>
    <w:rsid w:val="00EC66B2"/>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5EE0"/>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7EF1"/>
    <w:rsid w:val="00F56A6F"/>
    <w:rsid w:val="00F5709C"/>
    <w:rsid w:val="00F60B85"/>
    <w:rsid w:val="00F64EF1"/>
    <w:rsid w:val="00F72498"/>
    <w:rsid w:val="00F72B14"/>
    <w:rsid w:val="00F7349B"/>
    <w:rsid w:val="00F8765F"/>
    <w:rsid w:val="00F90767"/>
    <w:rsid w:val="00F9263C"/>
    <w:rsid w:val="00FA1637"/>
    <w:rsid w:val="00FA685B"/>
    <w:rsid w:val="00FB0C01"/>
    <w:rsid w:val="00FB33A5"/>
    <w:rsid w:val="00FB5934"/>
    <w:rsid w:val="00FC18F2"/>
    <w:rsid w:val="00FC2A17"/>
    <w:rsid w:val="00FC31DC"/>
    <w:rsid w:val="00FC38CF"/>
    <w:rsid w:val="00FC39E5"/>
    <w:rsid w:val="00FC3A78"/>
    <w:rsid w:val="00FC5F0E"/>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20CAC3E"/>
  <w15:docId w15:val="{DF8887D6-69C2-4F61-B6AD-37664D86E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99"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710DEE"/>
    <w:rPr>
      <w:sz w:val="24"/>
      <w:szCs w:val="24"/>
    </w:rPr>
  </w:style>
  <w:style w:type="paragraph" w:styleId="Nagwek1">
    <w:name w:val="heading 1"/>
    <w:basedOn w:val="Normalny"/>
    <w:next w:val="Normalny"/>
    <w:link w:val="Nagwek1Znak"/>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B5B4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B5B43"/>
    <w:rPr>
      <w:rFonts w:ascii="Tahoma" w:hAnsi="Tahoma" w:cs="Tahoma"/>
      <w:sz w:val="16"/>
      <w:szCs w:val="16"/>
    </w:rPr>
  </w:style>
  <w:style w:type="character" w:customStyle="1" w:styleId="TekstdymkaZnak">
    <w:name w:val="Tekst dymka Znak"/>
    <w:basedOn w:val="Domylnaczcionkaakapitu"/>
    <w:link w:val="Tekstdymka"/>
    <w:uiPriority w:val="98"/>
    <w:semiHidden/>
    <w:rsid w:val="002B5B43"/>
    <w:rPr>
      <w:rFonts w:ascii="Tahoma" w:hAnsi="Tahoma" w:cs="Tahoma"/>
      <w:sz w:val="16"/>
      <w:szCs w:val="16"/>
      <w:lang w:val="pl-PL"/>
    </w:rPr>
  </w:style>
  <w:style w:type="character" w:styleId="Tytuksiki">
    <w:name w:val="Book Title"/>
    <w:uiPriority w:val="98"/>
    <w:semiHidden/>
    <w:qFormat/>
    <w:rsid w:val="002B5B43"/>
    <w:rPr>
      <w:i/>
      <w:iCs/>
      <w:smallCaps/>
      <w:spacing w:val="5"/>
    </w:rPr>
  </w:style>
  <w:style w:type="paragraph" w:customStyle="1" w:styleId="JuHeader">
    <w:name w:val="Ju_Header"/>
    <w:aliases w:val="_Header"/>
    <w:basedOn w:val="Nagwek"/>
    <w:uiPriority w:val="29"/>
    <w:qFormat/>
    <w:rsid w:val="002B5B43"/>
    <w:pPr>
      <w:tabs>
        <w:tab w:val="clear" w:pos="4536"/>
        <w:tab w:val="clear" w:pos="9072"/>
      </w:tabs>
      <w:jc w:val="center"/>
    </w:pPr>
    <w:rPr>
      <w:sz w:val="18"/>
    </w:rPr>
  </w:style>
  <w:style w:type="paragraph" w:customStyle="1" w:styleId="NormalJustified">
    <w:name w:val="Normal_Justified"/>
    <w:basedOn w:val="Normalny"/>
    <w:semiHidden/>
    <w:rsid w:val="002B5B43"/>
    <w:pPr>
      <w:jc w:val="both"/>
    </w:pPr>
  </w:style>
  <w:style w:type="character" w:styleId="Pogrubienie">
    <w:name w:val="Strong"/>
    <w:uiPriority w:val="98"/>
    <w:semiHidden/>
    <w:qFormat/>
    <w:rsid w:val="002B5B43"/>
    <w:rPr>
      <w:b/>
      <w:bCs/>
    </w:rPr>
  </w:style>
  <w:style w:type="paragraph" w:styleId="Bezodstpw">
    <w:name w:val="No Spacing"/>
    <w:basedOn w:val="Normalny"/>
    <w:link w:val="BezodstpwZnak"/>
    <w:uiPriority w:val="98"/>
    <w:semiHidden/>
    <w:qFormat/>
    <w:rsid w:val="002B5B43"/>
  </w:style>
  <w:style w:type="character" w:customStyle="1" w:styleId="BezodstpwZnak">
    <w:name w:val="Bez odstępów Znak"/>
    <w:basedOn w:val="Domylnaczcionkaakapitu"/>
    <w:link w:val="Bezodstpw"/>
    <w:uiPriority w:val="98"/>
    <w:semiHidden/>
    <w:rsid w:val="002B5B43"/>
    <w:rPr>
      <w:sz w:val="24"/>
      <w:szCs w:val="24"/>
      <w:lang w:val="pl-PL"/>
    </w:rPr>
  </w:style>
  <w:style w:type="paragraph" w:customStyle="1" w:styleId="JuQuot">
    <w:name w:val="Ju_Quot"/>
    <w:aliases w:val="_Quote"/>
    <w:basedOn w:val="NormalJustified"/>
    <w:uiPriority w:val="20"/>
    <w:qFormat/>
    <w:rsid w:val="002B5B43"/>
    <w:pPr>
      <w:spacing w:before="120" w:after="120"/>
      <w:ind w:left="425" w:firstLine="142"/>
    </w:pPr>
    <w:rPr>
      <w:sz w:val="20"/>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ny"/>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B5B43"/>
    <w:pPr>
      <w:numPr>
        <w:numId w:val="4"/>
      </w:numPr>
    </w:pPr>
  </w:style>
  <w:style w:type="paragraph" w:customStyle="1" w:styleId="JuSigned">
    <w:name w:val="Ju_Signed"/>
    <w:aliases w:val="_Signature"/>
    <w:basedOn w:val="Normalny"/>
    <w:next w:val="JuPara"/>
    <w:uiPriority w:val="31"/>
    <w:qFormat/>
    <w:rsid w:val="002B5B43"/>
    <w:pPr>
      <w:tabs>
        <w:tab w:val="center" w:pos="1418"/>
        <w:tab w:val="center" w:pos="5954"/>
      </w:tabs>
      <w:spacing w:before="720"/>
    </w:pPr>
  </w:style>
  <w:style w:type="paragraph" w:styleId="Tytu">
    <w:name w:val="Title"/>
    <w:basedOn w:val="Normalny"/>
    <w:next w:val="Normalny"/>
    <w:link w:val="TytuZnak"/>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2B5B43"/>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2B5B43"/>
    <w:pPr>
      <w:numPr>
        <w:numId w:val="5"/>
      </w:numPr>
    </w:pPr>
  </w:style>
  <w:style w:type="numbering" w:customStyle="1" w:styleId="ECHRA1StyleNumberedList">
    <w:name w:val="ECHR_A1_Style_Numbered_List"/>
    <w:basedOn w:val="Bezlisty"/>
    <w:rsid w:val="002B5B43"/>
    <w:pPr>
      <w:numPr>
        <w:numId w:val="6"/>
      </w:numPr>
    </w:pPr>
  </w:style>
  <w:style w:type="table" w:customStyle="1" w:styleId="ECHRTable2019">
    <w:name w:val="ECHR_Table_2019"/>
    <w:basedOn w:val="Standardowy"/>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B5B43"/>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2B5B43"/>
    <w:pPr>
      <w:tabs>
        <w:tab w:val="center" w:pos="4536"/>
        <w:tab w:val="right" w:pos="9072"/>
      </w:tabs>
    </w:pPr>
  </w:style>
  <w:style w:type="character" w:customStyle="1" w:styleId="NagwekZnak">
    <w:name w:val="Nagłówek Znak"/>
    <w:basedOn w:val="Domylnaczcionkaakapitu"/>
    <w:link w:val="Nagwek"/>
    <w:uiPriority w:val="98"/>
    <w:semiHidden/>
    <w:rsid w:val="002B5B43"/>
    <w:rPr>
      <w:sz w:val="24"/>
      <w:szCs w:val="24"/>
      <w:lang w:val="pl-PL"/>
    </w:rPr>
  </w:style>
  <w:style w:type="character" w:customStyle="1" w:styleId="Nagwek1Znak">
    <w:name w:val="Nagłówek 1 Znak"/>
    <w:basedOn w:val="Domylnaczcionkaakapitu"/>
    <w:link w:val="Nagwek1"/>
    <w:uiPriority w:val="98"/>
    <w:semiHidden/>
    <w:rsid w:val="002B5B43"/>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B5B43"/>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B5B43"/>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2B5B43"/>
    <w:rPr>
      <w:rFonts w:asciiTheme="majorHAnsi" w:eastAsiaTheme="majorEastAsia" w:hAnsiTheme="majorHAnsi" w:cstheme="majorBidi"/>
      <w:b/>
      <w:bCs/>
      <w:color w:val="5F5F5F"/>
      <w:lang w:val="pl-PL"/>
    </w:rPr>
  </w:style>
  <w:style w:type="paragraph" w:customStyle="1" w:styleId="JuParaLast">
    <w:name w:val="Ju_Para_Last"/>
    <w:aliases w:val="_Para_Spaced,ECHR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ny"/>
    <w:uiPriority w:val="32"/>
    <w:qFormat/>
    <w:rsid w:val="002B5B43"/>
    <w:pPr>
      <w:tabs>
        <w:tab w:val="left" w:pos="567"/>
        <w:tab w:val="left" w:pos="1134"/>
      </w:tabs>
    </w:pPr>
  </w:style>
  <w:style w:type="character" w:customStyle="1" w:styleId="Nagwek4Znak">
    <w:name w:val="Nagłówek 4 Znak"/>
    <w:basedOn w:val="Domylnaczcionkaakapitu"/>
    <w:link w:val="Nagwek4"/>
    <w:uiPriority w:val="98"/>
    <w:semiHidden/>
    <w:rsid w:val="002B5B43"/>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2B5B43"/>
    <w:pPr>
      <w:tabs>
        <w:tab w:val="center" w:pos="6407"/>
      </w:tabs>
      <w:spacing w:before="720"/>
      <w:jc w:val="right"/>
    </w:pPr>
  </w:style>
  <w:style w:type="character" w:customStyle="1" w:styleId="Nagwek5Znak">
    <w:name w:val="Nagłówek 5 Znak"/>
    <w:basedOn w:val="Domylnaczcionkaakapitu"/>
    <w:link w:val="Nagwek5"/>
    <w:uiPriority w:val="98"/>
    <w:semiHidden/>
    <w:rsid w:val="002B5B43"/>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2B5B4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B5B43"/>
    <w:rPr>
      <w:caps w:val="0"/>
      <w:smallCaps/>
    </w:rPr>
  </w:style>
  <w:style w:type="character" w:styleId="Wyrnieniedelikatne">
    <w:name w:val="Subtle Emphasis"/>
    <w:uiPriority w:val="98"/>
    <w:semiHidden/>
    <w:qFormat/>
    <w:rsid w:val="002B5B43"/>
    <w:rPr>
      <w:i/>
      <w:iCs/>
    </w:rPr>
  </w:style>
  <w:style w:type="table" w:customStyle="1" w:styleId="ECHRTable">
    <w:name w:val="ECHR_Table"/>
    <w:basedOn w:val="Standardowy"/>
    <w:rsid w:val="002B5B43"/>
    <w:rPr>
      <w:rFonts w:eastAsia="Times New Roman" w:cs="Times New Roman"/>
      <w:sz w:val="20"/>
      <w:szCs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B5B43"/>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2B5B43"/>
    <w:rPr>
      <w:b/>
      <w:bCs/>
      <w:i/>
      <w:iCs/>
      <w:spacing w:val="10"/>
      <w:bdr w:val="none" w:sz="0" w:space="0" w:color="auto"/>
      <w:shd w:val="clear" w:color="auto" w:fill="auto"/>
    </w:rPr>
  </w:style>
  <w:style w:type="paragraph" w:styleId="Stopka">
    <w:name w:val="footer"/>
    <w:basedOn w:val="Normalny"/>
    <w:link w:val="StopkaZnak"/>
    <w:uiPriority w:val="98"/>
    <w:semiHidden/>
    <w:rsid w:val="002B5B43"/>
    <w:pPr>
      <w:tabs>
        <w:tab w:val="center" w:pos="3686"/>
        <w:tab w:val="right" w:pos="7371"/>
      </w:tabs>
    </w:pPr>
  </w:style>
  <w:style w:type="character" w:customStyle="1" w:styleId="StopkaZnak">
    <w:name w:val="Stopka Znak"/>
    <w:basedOn w:val="Domylnaczcionkaakapitu"/>
    <w:link w:val="Stopka"/>
    <w:uiPriority w:val="98"/>
    <w:semiHidden/>
    <w:rsid w:val="002B5B43"/>
    <w:rPr>
      <w:sz w:val="24"/>
      <w:szCs w:val="24"/>
      <w:lang w:val="pl-PL"/>
    </w:rPr>
  </w:style>
  <w:style w:type="character" w:styleId="Odwoanieprzypisudolnego">
    <w:name w:val="footnote reference"/>
    <w:basedOn w:val="Domylnaczcionkaakapitu"/>
    <w:uiPriority w:val="98"/>
    <w:semiHidden/>
    <w:rsid w:val="002B5B43"/>
    <w:rPr>
      <w:vertAlign w:val="superscript"/>
    </w:rPr>
  </w:style>
  <w:style w:type="paragraph" w:styleId="Tekstprzypisudolnego">
    <w:name w:val="footnote text"/>
    <w:basedOn w:val="NormalJustified"/>
    <w:link w:val="TekstprzypisudolnegoZnak"/>
    <w:uiPriority w:val="98"/>
    <w:semiHidden/>
    <w:rsid w:val="002B5B43"/>
    <w:rPr>
      <w:sz w:val="20"/>
      <w:szCs w:val="20"/>
    </w:rPr>
  </w:style>
  <w:style w:type="character" w:customStyle="1" w:styleId="TekstprzypisudolnegoZnak">
    <w:name w:val="Tekst przypisu dolnego Znak"/>
    <w:basedOn w:val="Domylnaczcionkaakapitu"/>
    <w:link w:val="Tekstprzypisudolnego"/>
    <w:uiPriority w:val="98"/>
    <w:semiHidden/>
    <w:rsid w:val="002B5B43"/>
    <w:rPr>
      <w:sz w:val="20"/>
      <w:szCs w:val="20"/>
      <w:lang w:val="pl-PL"/>
    </w:rPr>
  </w:style>
  <w:style w:type="character" w:customStyle="1" w:styleId="Nagwek6Znak">
    <w:name w:val="Nagłówek 6 Znak"/>
    <w:basedOn w:val="Domylnaczcionkaakapitu"/>
    <w:link w:val="Nagwek6"/>
    <w:uiPriority w:val="98"/>
    <w:semiHidden/>
    <w:rsid w:val="002B5B43"/>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2B5B43"/>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2B5B43"/>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2B5B43"/>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2B5B43"/>
    <w:rPr>
      <w:color w:val="0072BC" w:themeColor="hyperlink"/>
      <w:u w:val="single"/>
    </w:rPr>
  </w:style>
  <w:style w:type="character" w:styleId="Wyrnienieintensywne">
    <w:name w:val="Intense Emphasis"/>
    <w:uiPriority w:val="98"/>
    <w:semiHidden/>
    <w:qFormat/>
    <w:rsid w:val="002B5B43"/>
    <w:rPr>
      <w:b/>
      <w:bCs/>
    </w:rPr>
  </w:style>
  <w:style w:type="paragraph" w:styleId="Cytatintensywny">
    <w:name w:val="Intense Quote"/>
    <w:basedOn w:val="Normalny"/>
    <w:next w:val="Normalny"/>
    <w:link w:val="CytatintensywnyZnak"/>
    <w:uiPriority w:val="98"/>
    <w:semiHidden/>
    <w:qFormat/>
    <w:rsid w:val="002B5B4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2B5B43"/>
    <w:rPr>
      <w:b/>
      <w:bCs/>
      <w:i/>
      <w:iCs/>
      <w:sz w:val="24"/>
      <w:szCs w:val="24"/>
      <w:lang w:val="pl-PL" w:bidi="en-US"/>
    </w:rPr>
  </w:style>
  <w:style w:type="character" w:styleId="Odwoanieintensywne">
    <w:name w:val="Intense Reference"/>
    <w:uiPriority w:val="98"/>
    <w:semiHidden/>
    <w:qFormat/>
    <w:rsid w:val="002B5B43"/>
    <w:rPr>
      <w:smallCaps/>
      <w:spacing w:val="5"/>
      <w:u w:val="single"/>
    </w:rPr>
  </w:style>
  <w:style w:type="paragraph" w:styleId="Akapitzlist">
    <w:name w:val="List Paragraph"/>
    <w:basedOn w:val="Normalny"/>
    <w:uiPriority w:val="98"/>
    <w:semiHidden/>
    <w:qFormat/>
    <w:rsid w:val="002B5B43"/>
    <w:pPr>
      <w:ind w:left="720"/>
      <w:contextualSpacing/>
    </w:pPr>
  </w:style>
  <w:style w:type="table" w:customStyle="1" w:styleId="LtrTableAddress">
    <w:name w:val="Ltr_Table_Address"/>
    <w:aliases w:val="ECHR_Ltr_Table_Address"/>
    <w:basedOn w:val="Standardowy"/>
    <w:uiPriority w:val="99"/>
    <w:rsid w:val="002B5B43"/>
    <w:rPr>
      <w:sz w:val="24"/>
      <w:szCs w:val="24"/>
    </w:rPr>
    <w:tblPr>
      <w:tblInd w:w="5103" w:type="dxa"/>
    </w:tblPr>
  </w:style>
  <w:style w:type="paragraph" w:styleId="Cytat">
    <w:name w:val="Quote"/>
    <w:basedOn w:val="Normalny"/>
    <w:next w:val="Normalny"/>
    <w:link w:val="CytatZnak"/>
    <w:uiPriority w:val="98"/>
    <w:semiHidden/>
    <w:qFormat/>
    <w:rsid w:val="002B5B43"/>
    <w:pPr>
      <w:spacing w:before="200"/>
      <w:ind w:left="360" w:right="360"/>
    </w:pPr>
    <w:rPr>
      <w:i/>
      <w:iCs/>
      <w:lang w:bidi="en-US"/>
    </w:rPr>
  </w:style>
  <w:style w:type="character" w:customStyle="1" w:styleId="CytatZnak">
    <w:name w:val="Cytat Znak"/>
    <w:basedOn w:val="Domylnaczcionkaakapitu"/>
    <w:link w:val="Cytat"/>
    <w:uiPriority w:val="98"/>
    <w:semiHidden/>
    <w:rsid w:val="002B5B43"/>
    <w:rPr>
      <w:i/>
      <w:iCs/>
      <w:sz w:val="24"/>
      <w:szCs w:val="24"/>
      <w:lang w:val="pl-PL" w:bidi="en-US"/>
    </w:rPr>
  </w:style>
  <w:style w:type="character" w:styleId="Odwoaniedelikatne">
    <w:name w:val="Subtle Reference"/>
    <w:uiPriority w:val="98"/>
    <w:semiHidden/>
    <w:qFormat/>
    <w:rsid w:val="002B5B43"/>
    <w:rPr>
      <w:smallCaps/>
    </w:rPr>
  </w:style>
  <w:style w:type="table" w:styleId="Tabela-Siatka">
    <w:name w:val="Table Grid"/>
    <w:basedOn w:val="Standardowy"/>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B5B4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B5B4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B5B43"/>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B5B4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B5B4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2B5B43"/>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B5B43"/>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B5B4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B5B4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B5B4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B5B4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2B5B43"/>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Bezlisty"/>
    <w:uiPriority w:val="99"/>
    <w:semiHidden/>
    <w:unhideWhenUsed/>
    <w:rsid w:val="002B5B43"/>
    <w:pPr>
      <w:numPr>
        <w:numId w:val="2"/>
      </w:numPr>
    </w:pPr>
  </w:style>
  <w:style w:type="table" w:customStyle="1" w:styleId="ECHRTableSimpleBox">
    <w:name w:val="ECHR_Table_Simple_Box"/>
    <w:basedOn w:val="Standardowy"/>
    <w:uiPriority w:val="99"/>
    <w:rsid w:val="002B5B4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2B5B43"/>
    <w:pPr>
      <w:numPr>
        <w:numId w:val="3"/>
      </w:numPr>
    </w:pPr>
  </w:style>
  <w:style w:type="table" w:customStyle="1" w:styleId="ECHRTableForInternalUse">
    <w:name w:val="ECHR_Table_For_Internal_Use"/>
    <w:basedOn w:val="Standardowy"/>
    <w:uiPriority w:val="99"/>
    <w:rsid w:val="002B5B4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2B5B4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B5B43"/>
  </w:style>
  <w:style w:type="paragraph" w:styleId="Tekstblokowy">
    <w:name w:val="Block Text"/>
    <w:basedOn w:val="Normalny"/>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B5B4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B5B43"/>
    <w:pPr>
      <w:spacing w:after="120"/>
    </w:pPr>
  </w:style>
  <w:style w:type="character" w:customStyle="1" w:styleId="TekstpodstawowyZnak">
    <w:name w:val="Tekst podstawowy Znak"/>
    <w:basedOn w:val="Domylnaczcionkaakapitu"/>
    <w:link w:val="Tekstpodstawowy"/>
    <w:uiPriority w:val="98"/>
    <w:semiHidden/>
    <w:rsid w:val="002B5B43"/>
    <w:rPr>
      <w:sz w:val="24"/>
      <w:szCs w:val="24"/>
      <w:lang w:val="pl-PL"/>
    </w:rPr>
  </w:style>
  <w:style w:type="table" w:customStyle="1" w:styleId="ECHRTableOddBanded">
    <w:name w:val="ECHR_Table_Odd_Banded"/>
    <w:basedOn w:val="Standardowy"/>
    <w:uiPriority w:val="99"/>
    <w:rsid w:val="002B5B4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B5B43"/>
    <w:pPr>
      <w:spacing w:after="120" w:line="480" w:lineRule="auto"/>
    </w:pPr>
  </w:style>
  <w:style w:type="table" w:customStyle="1" w:styleId="ECHRHeaderTableReduced">
    <w:name w:val="ECHR_Header_Table_Reduced"/>
    <w:basedOn w:val="Standardowy"/>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Numerstrony">
    <w:name w:val="page number"/>
    <w:uiPriority w:val="98"/>
    <w:semiHidden/>
    <w:rsid w:val="002B5B43"/>
    <w:rPr>
      <w:sz w:val="18"/>
    </w:rPr>
  </w:style>
  <w:style w:type="paragraph" w:styleId="Listapunktowana">
    <w:name w:val="List Bullet"/>
    <w:basedOn w:val="Normalny"/>
    <w:uiPriority w:val="98"/>
    <w:semiHidden/>
    <w:rsid w:val="002B5B43"/>
    <w:pPr>
      <w:numPr>
        <w:numId w:val="11"/>
      </w:numPr>
    </w:pPr>
  </w:style>
  <w:style w:type="paragraph" w:styleId="Listapunktowana3">
    <w:name w:val="List Bullet 3"/>
    <w:basedOn w:val="Normalny"/>
    <w:uiPriority w:val="98"/>
    <w:semiHidden/>
    <w:rsid w:val="002B5B43"/>
    <w:pPr>
      <w:numPr>
        <w:numId w:val="13"/>
      </w:numPr>
      <w:contextualSpacing/>
    </w:pPr>
  </w:style>
  <w:style w:type="character" w:customStyle="1" w:styleId="Tekstpodstawowy2Znak">
    <w:name w:val="Tekst podstawowy 2 Znak"/>
    <w:basedOn w:val="Domylnaczcionkaakapitu"/>
    <w:link w:val="Tekstpodstawowy2"/>
    <w:uiPriority w:val="98"/>
    <w:semiHidden/>
    <w:rsid w:val="002B5B43"/>
    <w:rPr>
      <w:sz w:val="24"/>
      <w:szCs w:val="24"/>
      <w:lang w:val="pl-PL"/>
    </w:rPr>
  </w:style>
  <w:style w:type="paragraph" w:styleId="Tekstpodstawowy3">
    <w:name w:val="Body Text 3"/>
    <w:basedOn w:val="Normalny"/>
    <w:link w:val="Tekstpodstawowy3Znak"/>
    <w:uiPriority w:val="98"/>
    <w:semiHidden/>
    <w:rsid w:val="002B5B43"/>
    <w:pPr>
      <w:spacing w:after="120"/>
    </w:pPr>
    <w:rPr>
      <w:sz w:val="16"/>
      <w:szCs w:val="16"/>
    </w:rPr>
  </w:style>
  <w:style w:type="character" w:customStyle="1" w:styleId="Tekstpodstawowy3Znak">
    <w:name w:val="Tekst podstawowy 3 Znak"/>
    <w:basedOn w:val="Domylnaczcionkaakapitu"/>
    <w:link w:val="Tekstpodstawowy3"/>
    <w:uiPriority w:val="98"/>
    <w:semiHidden/>
    <w:rsid w:val="002B5B43"/>
    <w:rPr>
      <w:sz w:val="16"/>
      <w:szCs w:val="16"/>
      <w:lang w:val="pl-PL"/>
    </w:rPr>
  </w:style>
  <w:style w:type="paragraph" w:styleId="Tekstpodstawowyzwciciem">
    <w:name w:val="Body Text First Indent"/>
    <w:basedOn w:val="Tekstpodstawowy"/>
    <w:link w:val="TekstpodstawowyzwciciemZnak"/>
    <w:uiPriority w:val="98"/>
    <w:semiHidden/>
    <w:rsid w:val="002B5B43"/>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B5B43"/>
    <w:rPr>
      <w:sz w:val="24"/>
      <w:szCs w:val="24"/>
      <w:lang w:val="pl-PL"/>
    </w:rPr>
  </w:style>
  <w:style w:type="paragraph" w:styleId="Tekstpodstawowywcity">
    <w:name w:val="Body Text Indent"/>
    <w:basedOn w:val="Normalny"/>
    <w:link w:val="TekstpodstawowywcityZnak"/>
    <w:uiPriority w:val="98"/>
    <w:semiHidden/>
    <w:rsid w:val="002B5B43"/>
    <w:pPr>
      <w:spacing w:after="120"/>
      <w:ind w:left="283"/>
    </w:pPr>
  </w:style>
  <w:style w:type="character" w:customStyle="1" w:styleId="TekstpodstawowywcityZnak">
    <w:name w:val="Tekst podstawowy wcięty Znak"/>
    <w:basedOn w:val="Domylnaczcionkaakapitu"/>
    <w:link w:val="Tekstpodstawowywcity"/>
    <w:uiPriority w:val="98"/>
    <w:semiHidden/>
    <w:rsid w:val="002B5B43"/>
    <w:rPr>
      <w:sz w:val="24"/>
      <w:szCs w:val="24"/>
      <w:lang w:val="pl-PL"/>
    </w:rPr>
  </w:style>
  <w:style w:type="paragraph" w:styleId="Tekstpodstawowyzwciciem2">
    <w:name w:val="Body Text First Indent 2"/>
    <w:basedOn w:val="Tekstpodstawowywcity"/>
    <w:link w:val="Tekstpodstawowyzwciciem2Znak"/>
    <w:uiPriority w:val="98"/>
    <w:semiHidden/>
    <w:rsid w:val="002B5B43"/>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B5B43"/>
    <w:rPr>
      <w:sz w:val="24"/>
      <w:szCs w:val="24"/>
      <w:lang w:val="pl-PL"/>
    </w:rPr>
  </w:style>
  <w:style w:type="paragraph" w:styleId="Tekstpodstawowywcity2">
    <w:name w:val="Body Text Indent 2"/>
    <w:basedOn w:val="Normalny"/>
    <w:link w:val="Tekstpodstawowywcity2Znak"/>
    <w:uiPriority w:val="98"/>
    <w:semiHidden/>
    <w:rsid w:val="002B5B43"/>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B5B43"/>
    <w:rPr>
      <w:sz w:val="24"/>
      <w:szCs w:val="24"/>
      <w:lang w:val="pl-PL"/>
    </w:rPr>
  </w:style>
  <w:style w:type="paragraph" w:styleId="Tekstpodstawowywcity3">
    <w:name w:val="Body Text Indent 3"/>
    <w:basedOn w:val="Normalny"/>
    <w:link w:val="Tekstpodstawowywcity3Znak"/>
    <w:uiPriority w:val="98"/>
    <w:semiHidden/>
    <w:rsid w:val="002B5B4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B5B43"/>
    <w:rPr>
      <w:sz w:val="16"/>
      <w:szCs w:val="16"/>
      <w:lang w:val="pl-PL"/>
    </w:rPr>
  </w:style>
  <w:style w:type="paragraph" w:styleId="Legenda">
    <w:name w:val="caption"/>
    <w:basedOn w:val="Normalny"/>
    <w:next w:val="Normalny"/>
    <w:uiPriority w:val="98"/>
    <w:semiHidden/>
    <w:qFormat/>
    <w:rsid w:val="002B5B43"/>
    <w:pPr>
      <w:spacing w:after="200"/>
    </w:pPr>
    <w:rPr>
      <w:b/>
      <w:bCs/>
      <w:color w:val="0072BC" w:themeColor="accent1"/>
      <w:sz w:val="18"/>
      <w:szCs w:val="18"/>
    </w:rPr>
  </w:style>
  <w:style w:type="paragraph" w:styleId="Zwrotpoegnalny">
    <w:name w:val="Closing"/>
    <w:basedOn w:val="Normalny"/>
    <w:link w:val="ZwrotpoegnalnyZnak"/>
    <w:uiPriority w:val="98"/>
    <w:semiHidden/>
    <w:rsid w:val="002B5B43"/>
    <w:pPr>
      <w:ind w:left="4252"/>
    </w:pPr>
  </w:style>
  <w:style w:type="character" w:customStyle="1" w:styleId="ZwrotpoegnalnyZnak">
    <w:name w:val="Zwrot pożegnalny Znak"/>
    <w:basedOn w:val="Domylnaczcionkaakapitu"/>
    <w:link w:val="Zwrotpoegnalny"/>
    <w:uiPriority w:val="98"/>
    <w:semiHidden/>
    <w:rsid w:val="002B5B43"/>
    <w:rPr>
      <w:sz w:val="24"/>
      <w:szCs w:val="24"/>
      <w:lang w:val="pl-PL"/>
    </w:rPr>
  </w:style>
  <w:style w:type="table" w:styleId="Kolorowasiatka">
    <w:name w:val="Colorful Grid"/>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B5B4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2B5B4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B5B43"/>
    <w:rPr>
      <w:sz w:val="16"/>
      <w:szCs w:val="16"/>
    </w:rPr>
  </w:style>
  <w:style w:type="paragraph" w:styleId="Tekstkomentarza">
    <w:name w:val="annotation text"/>
    <w:basedOn w:val="Normalny"/>
    <w:link w:val="TekstkomentarzaZnak"/>
    <w:uiPriority w:val="98"/>
    <w:semiHidden/>
    <w:rsid w:val="002B5B43"/>
    <w:rPr>
      <w:sz w:val="20"/>
      <w:szCs w:val="20"/>
    </w:rPr>
  </w:style>
  <w:style w:type="character" w:customStyle="1" w:styleId="TekstkomentarzaZnak">
    <w:name w:val="Tekst komentarza Znak"/>
    <w:basedOn w:val="Domylnaczcionkaakapitu"/>
    <w:link w:val="Tekstkomentarza"/>
    <w:uiPriority w:val="98"/>
    <w:semiHidden/>
    <w:rsid w:val="002B5B43"/>
    <w:rPr>
      <w:sz w:val="20"/>
      <w:szCs w:val="20"/>
      <w:lang w:val="pl-PL"/>
    </w:rPr>
  </w:style>
  <w:style w:type="paragraph" w:styleId="Tematkomentarza">
    <w:name w:val="annotation subject"/>
    <w:basedOn w:val="Tekstkomentarza"/>
    <w:next w:val="Tekstkomentarza"/>
    <w:link w:val="TematkomentarzaZnak"/>
    <w:uiPriority w:val="98"/>
    <w:semiHidden/>
    <w:rsid w:val="002B5B43"/>
    <w:rPr>
      <w:b/>
      <w:bCs/>
    </w:rPr>
  </w:style>
  <w:style w:type="character" w:customStyle="1" w:styleId="TematkomentarzaZnak">
    <w:name w:val="Temat komentarza Znak"/>
    <w:basedOn w:val="TekstkomentarzaZnak"/>
    <w:link w:val="Tematkomentarza"/>
    <w:uiPriority w:val="98"/>
    <w:semiHidden/>
    <w:rsid w:val="002B5B43"/>
    <w:rPr>
      <w:b/>
      <w:bCs/>
      <w:sz w:val="20"/>
      <w:szCs w:val="20"/>
      <w:lang w:val="pl-PL"/>
    </w:rPr>
  </w:style>
  <w:style w:type="table" w:styleId="Ciemnalista">
    <w:name w:val="Dark List"/>
    <w:basedOn w:val="Standardowy"/>
    <w:uiPriority w:val="70"/>
    <w:semiHidden/>
    <w:rsid w:val="002B5B4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B5B4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B5B4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B5B4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2B5B4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B5B4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B5B4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B5B43"/>
  </w:style>
  <w:style w:type="character" w:customStyle="1" w:styleId="DataZnak">
    <w:name w:val="Data Znak"/>
    <w:basedOn w:val="Domylnaczcionkaakapitu"/>
    <w:link w:val="Data"/>
    <w:uiPriority w:val="98"/>
    <w:semiHidden/>
    <w:rsid w:val="002B5B43"/>
    <w:rPr>
      <w:sz w:val="24"/>
      <w:szCs w:val="24"/>
      <w:lang w:val="pl-PL"/>
    </w:rPr>
  </w:style>
  <w:style w:type="paragraph" w:styleId="Mapadokumentu">
    <w:name w:val="Document Map"/>
    <w:basedOn w:val="Normalny"/>
    <w:link w:val="MapadokumentuZnak"/>
    <w:uiPriority w:val="98"/>
    <w:semiHidden/>
    <w:rsid w:val="002B5B43"/>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B5B43"/>
    <w:rPr>
      <w:rFonts w:ascii="Tahoma" w:hAnsi="Tahoma" w:cs="Tahoma"/>
      <w:sz w:val="16"/>
      <w:szCs w:val="16"/>
      <w:lang w:val="pl-PL"/>
    </w:rPr>
  </w:style>
  <w:style w:type="paragraph" w:styleId="Podpise-mail">
    <w:name w:val="E-mail Signature"/>
    <w:basedOn w:val="Normalny"/>
    <w:link w:val="Podpise-mailZnak"/>
    <w:uiPriority w:val="98"/>
    <w:semiHidden/>
    <w:rsid w:val="002B5B43"/>
  </w:style>
  <w:style w:type="character" w:customStyle="1" w:styleId="Podpise-mailZnak">
    <w:name w:val="Podpis e-mail Znak"/>
    <w:basedOn w:val="Domylnaczcionkaakapitu"/>
    <w:link w:val="Podpise-mail"/>
    <w:uiPriority w:val="98"/>
    <w:semiHidden/>
    <w:rsid w:val="002B5B43"/>
    <w:rPr>
      <w:sz w:val="24"/>
      <w:szCs w:val="24"/>
      <w:lang w:val="pl-PL"/>
    </w:rPr>
  </w:style>
  <w:style w:type="character" w:styleId="Odwoanieprzypisukocowego">
    <w:name w:val="endnote reference"/>
    <w:basedOn w:val="Domylnaczcionkaakapitu"/>
    <w:uiPriority w:val="98"/>
    <w:semiHidden/>
    <w:rsid w:val="002B5B43"/>
    <w:rPr>
      <w:vertAlign w:val="superscript"/>
    </w:rPr>
  </w:style>
  <w:style w:type="paragraph" w:styleId="Tekstprzypisukocowego">
    <w:name w:val="endnote text"/>
    <w:basedOn w:val="Normalny"/>
    <w:link w:val="TekstprzypisukocowegoZnak"/>
    <w:uiPriority w:val="98"/>
    <w:semiHidden/>
    <w:rsid w:val="002B5B43"/>
    <w:rPr>
      <w:sz w:val="20"/>
      <w:szCs w:val="20"/>
    </w:rPr>
  </w:style>
  <w:style w:type="character" w:customStyle="1" w:styleId="TekstprzypisukocowegoZnak">
    <w:name w:val="Tekst przypisu końcowego Znak"/>
    <w:basedOn w:val="Domylnaczcionkaakapitu"/>
    <w:link w:val="Tekstprzypisukocowego"/>
    <w:uiPriority w:val="98"/>
    <w:semiHidden/>
    <w:rsid w:val="002B5B43"/>
    <w:rPr>
      <w:sz w:val="20"/>
      <w:szCs w:val="20"/>
      <w:lang w:val="pl-PL"/>
    </w:rPr>
  </w:style>
  <w:style w:type="paragraph" w:styleId="Adresnakopercie">
    <w:name w:val="envelope address"/>
    <w:basedOn w:val="Normalny"/>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B5B43"/>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B5B43"/>
    <w:rPr>
      <w:color w:val="7030A0" w:themeColor="followedHyperlink"/>
      <w:u w:val="single"/>
    </w:rPr>
  </w:style>
  <w:style w:type="character" w:styleId="HTML-akronim">
    <w:name w:val="HTML Acronym"/>
    <w:basedOn w:val="Domylnaczcionkaakapitu"/>
    <w:uiPriority w:val="98"/>
    <w:semiHidden/>
    <w:rsid w:val="002B5B43"/>
  </w:style>
  <w:style w:type="paragraph" w:styleId="HTML-adres">
    <w:name w:val="HTML Address"/>
    <w:basedOn w:val="Normalny"/>
    <w:link w:val="HTML-adresZnak"/>
    <w:uiPriority w:val="98"/>
    <w:semiHidden/>
    <w:rsid w:val="002B5B43"/>
    <w:rPr>
      <w:i/>
      <w:iCs/>
    </w:rPr>
  </w:style>
  <w:style w:type="character" w:customStyle="1" w:styleId="HTML-adresZnak">
    <w:name w:val="HTML - adres Znak"/>
    <w:basedOn w:val="Domylnaczcionkaakapitu"/>
    <w:link w:val="HTML-adres"/>
    <w:uiPriority w:val="98"/>
    <w:semiHidden/>
    <w:rsid w:val="002B5B43"/>
    <w:rPr>
      <w:i/>
      <w:iCs/>
      <w:sz w:val="24"/>
      <w:szCs w:val="24"/>
      <w:lang w:val="pl-PL"/>
    </w:rPr>
  </w:style>
  <w:style w:type="character" w:styleId="HTML-cytat">
    <w:name w:val="HTML Cite"/>
    <w:basedOn w:val="Domylnaczcionkaakapitu"/>
    <w:uiPriority w:val="98"/>
    <w:semiHidden/>
    <w:rsid w:val="002B5B43"/>
    <w:rPr>
      <w:i/>
      <w:iCs/>
    </w:rPr>
  </w:style>
  <w:style w:type="character" w:styleId="HTML-kod">
    <w:name w:val="HTML Code"/>
    <w:basedOn w:val="Domylnaczcionkaakapitu"/>
    <w:uiPriority w:val="99"/>
    <w:semiHidden/>
    <w:rsid w:val="002B5B43"/>
    <w:rPr>
      <w:rFonts w:ascii="Consolas" w:hAnsi="Consolas" w:cs="Consolas"/>
      <w:sz w:val="20"/>
      <w:szCs w:val="20"/>
    </w:rPr>
  </w:style>
  <w:style w:type="character" w:styleId="HTML-definicja">
    <w:name w:val="HTML Definition"/>
    <w:basedOn w:val="Domylnaczcionkaakapitu"/>
    <w:uiPriority w:val="98"/>
    <w:semiHidden/>
    <w:rsid w:val="002B5B43"/>
    <w:rPr>
      <w:i/>
      <w:iCs/>
    </w:rPr>
  </w:style>
  <w:style w:type="character" w:styleId="HTML-klawiatura">
    <w:name w:val="HTML Keyboard"/>
    <w:basedOn w:val="Domylnaczcionkaakapitu"/>
    <w:uiPriority w:val="98"/>
    <w:semiHidden/>
    <w:rsid w:val="002B5B43"/>
    <w:rPr>
      <w:rFonts w:ascii="Consolas" w:hAnsi="Consolas" w:cs="Consolas"/>
      <w:sz w:val="20"/>
      <w:szCs w:val="20"/>
    </w:rPr>
  </w:style>
  <w:style w:type="paragraph" w:styleId="HTML-wstpniesformatowany">
    <w:name w:val="HTML Preformatted"/>
    <w:basedOn w:val="Normalny"/>
    <w:link w:val="HTML-wstpniesformatowanyZnak"/>
    <w:uiPriority w:val="98"/>
    <w:semiHidden/>
    <w:rsid w:val="002B5B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B5B43"/>
    <w:rPr>
      <w:rFonts w:ascii="Consolas" w:hAnsi="Consolas" w:cs="Consolas"/>
      <w:sz w:val="20"/>
      <w:szCs w:val="20"/>
      <w:lang w:val="pl-PL"/>
    </w:rPr>
  </w:style>
  <w:style w:type="character" w:styleId="HTML-przykad">
    <w:name w:val="HTML Sample"/>
    <w:basedOn w:val="Domylnaczcionkaakapitu"/>
    <w:uiPriority w:val="98"/>
    <w:semiHidden/>
    <w:rsid w:val="002B5B43"/>
    <w:rPr>
      <w:rFonts w:ascii="Consolas" w:hAnsi="Consolas" w:cs="Consolas"/>
      <w:sz w:val="24"/>
      <w:szCs w:val="24"/>
    </w:rPr>
  </w:style>
  <w:style w:type="character" w:styleId="HTML-staaszeroko">
    <w:name w:val="HTML Typewriter"/>
    <w:basedOn w:val="Domylnaczcionkaakapitu"/>
    <w:uiPriority w:val="98"/>
    <w:semiHidden/>
    <w:rsid w:val="002B5B43"/>
    <w:rPr>
      <w:rFonts w:ascii="Consolas" w:hAnsi="Consolas" w:cs="Consolas"/>
      <w:sz w:val="20"/>
      <w:szCs w:val="20"/>
    </w:rPr>
  </w:style>
  <w:style w:type="character" w:styleId="HTML-zmienna">
    <w:name w:val="HTML Variable"/>
    <w:basedOn w:val="Domylnaczcionkaakapitu"/>
    <w:uiPriority w:val="98"/>
    <w:semiHidden/>
    <w:rsid w:val="002B5B43"/>
    <w:rPr>
      <w:i/>
      <w:iCs/>
    </w:rPr>
  </w:style>
  <w:style w:type="paragraph" w:styleId="Indeks1">
    <w:name w:val="index 1"/>
    <w:basedOn w:val="Normalny"/>
    <w:next w:val="Normalny"/>
    <w:autoRedefine/>
    <w:uiPriority w:val="98"/>
    <w:semiHidden/>
    <w:rsid w:val="002B5B43"/>
    <w:pPr>
      <w:ind w:left="240" w:hanging="240"/>
    </w:pPr>
  </w:style>
  <w:style w:type="paragraph" w:styleId="Indeks2">
    <w:name w:val="index 2"/>
    <w:basedOn w:val="Normalny"/>
    <w:next w:val="Normalny"/>
    <w:autoRedefine/>
    <w:uiPriority w:val="98"/>
    <w:semiHidden/>
    <w:rsid w:val="002B5B43"/>
    <w:pPr>
      <w:ind w:left="480" w:hanging="240"/>
    </w:pPr>
  </w:style>
  <w:style w:type="paragraph" w:styleId="Indeks3">
    <w:name w:val="index 3"/>
    <w:basedOn w:val="Normalny"/>
    <w:next w:val="Normalny"/>
    <w:autoRedefine/>
    <w:uiPriority w:val="98"/>
    <w:semiHidden/>
    <w:rsid w:val="002B5B43"/>
    <w:pPr>
      <w:ind w:left="720" w:hanging="240"/>
    </w:pPr>
  </w:style>
  <w:style w:type="paragraph" w:styleId="Indeks4">
    <w:name w:val="index 4"/>
    <w:basedOn w:val="Normalny"/>
    <w:next w:val="Normalny"/>
    <w:autoRedefine/>
    <w:uiPriority w:val="98"/>
    <w:semiHidden/>
    <w:rsid w:val="002B5B43"/>
    <w:pPr>
      <w:ind w:left="960" w:hanging="240"/>
    </w:pPr>
  </w:style>
  <w:style w:type="paragraph" w:styleId="Indeks5">
    <w:name w:val="index 5"/>
    <w:basedOn w:val="Normalny"/>
    <w:next w:val="Normalny"/>
    <w:autoRedefine/>
    <w:uiPriority w:val="98"/>
    <w:semiHidden/>
    <w:rsid w:val="002B5B43"/>
    <w:pPr>
      <w:ind w:left="1200" w:hanging="240"/>
    </w:pPr>
  </w:style>
  <w:style w:type="paragraph" w:styleId="Indeks6">
    <w:name w:val="index 6"/>
    <w:basedOn w:val="Normalny"/>
    <w:next w:val="Normalny"/>
    <w:autoRedefine/>
    <w:uiPriority w:val="98"/>
    <w:semiHidden/>
    <w:rsid w:val="002B5B43"/>
    <w:pPr>
      <w:ind w:left="1440" w:hanging="240"/>
    </w:pPr>
  </w:style>
  <w:style w:type="paragraph" w:styleId="Indeks7">
    <w:name w:val="index 7"/>
    <w:basedOn w:val="Normalny"/>
    <w:next w:val="Normalny"/>
    <w:autoRedefine/>
    <w:uiPriority w:val="98"/>
    <w:semiHidden/>
    <w:rsid w:val="002B5B43"/>
    <w:pPr>
      <w:ind w:left="1680" w:hanging="240"/>
    </w:pPr>
  </w:style>
  <w:style w:type="paragraph" w:styleId="Indeks8">
    <w:name w:val="index 8"/>
    <w:basedOn w:val="Normalny"/>
    <w:next w:val="Normalny"/>
    <w:autoRedefine/>
    <w:uiPriority w:val="98"/>
    <w:semiHidden/>
    <w:rsid w:val="002B5B43"/>
    <w:pPr>
      <w:ind w:left="1920" w:hanging="240"/>
    </w:pPr>
  </w:style>
  <w:style w:type="paragraph" w:styleId="Indeks9">
    <w:name w:val="index 9"/>
    <w:basedOn w:val="Normalny"/>
    <w:next w:val="Normalny"/>
    <w:autoRedefine/>
    <w:uiPriority w:val="98"/>
    <w:semiHidden/>
    <w:rsid w:val="002B5B43"/>
    <w:pPr>
      <w:ind w:left="2160" w:hanging="240"/>
    </w:pPr>
  </w:style>
  <w:style w:type="paragraph" w:styleId="Nagwekindeksu">
    <w:name w:val="index heading"/>
    <w:basedOn w:val="Normalny"/>
    <w:next w:val="Indeks1"/>
    <w:uiPriority w:val="98"/>
    <w:semiHidden/>
    <w:rsid w:val="002B5B43"/>
    <w:rPr>
      <w:rFonts w:asciiTheme="majorHAnsi" w:eastAsiaTheme="majorEastAsia" w:hAnsiTheme="majorHAnsi" w:cstheme="majorBidi"/>
      <w:b/>
      <w:bCs/>
    </w:rPr>
  </w:style>
  <w:style w:type="table" w:styleId="Jasnasiatka">
    <w:name w:val="Light Grid"/>
    <w:basedOn w:val="Standardowy"/>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B5B4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B5B43"/>
  </w:style>
  <w:style w:type="paragraph" w:styleId="Lista">
    <w:name w:val="List"/>
    <w:basedOn w:val="Normalny"/>
    <w:uiPriority w:val="98"/>
    <w:semiHidden/>
    <w:rsid w:val="002B5B43"/>
    <w:pPr>
      <w:ind w:left="283" w:hanging="283"/>
      <w:contextualSpacing/>
    </w:pPr>
  </w:style>
  <w:style w:type="paragraph" w:styleId="Lista2">
    <w:name w:val="List 2"/>
    <w:basedOn w:val="Normalny"/>
    <w:uiPriority w:val="98"/>
    <w:semiHidden/>
    <w:rsid w:val="002B5B43"/>
    <w:pPr>
      <w:ind w:left="566" w:hanging="283"/>
      <w:contextualSpacing/>
    </w:pPr>
  </w:style>
  <w:style w:type="paragraph" w:styleId="Lista3">
    <w:name w:val="List 3"/>
    <w:basedOn w:val="Normalny"/>
    <w:uiPriority w:val="98"/>
    <w:semiHidden/>
    <w:rsid w:val="002B5B43"/>
    <w:pPr>
      <w:ind w:left="849" w:hanging="283"/>
      <w:contextualSpacing/>
    </w:pPr>
  </w:style>
  <w:style w:type="paragraph" w:styleId="Lista4">
    <w:name w:val="List 4"/>
    <w:basedOn w:val="Normalny"/>
    <w:uiPriority w:val="98"/>
    <w:semiHidden/>
    <w:rsid w:val="002B5B43"/>
    <w:pPr>
      <w:ind w:left="1132" w:hanging="283"/>
      <w:contextualSpacing/>
    </w:pPr>
  </w:style>
  <w:style w:type="paragraph" w:styleId="Lista5">
    <w:name w:val="List 5"/>
    <w:basedOn w:val="Normalny"/>
    <w:uiPriority w:val="98"/>
    <w:semiHidden/>
    <w:rsid w:val="002B5B43"/>
    <w:pPr>
      <w:ind w:left="1415" w:hanging="283"/>
      <w:contextualSpacing/>
    </w:pPr>
  </w:style>
  <w:style w:type="paragraph" w:styleId="Listapunktowana2">
    <w:name w:val="List Bullet 2"/>
    <w:basedOn w:val="Normalny"/>
    <w:uiPriority w:val="98"/>
    <w:semiHidden/>
    <w:rsid w:val="002B5B43"/>
    <w:pPr>
      <w:numPr>
        <w:numId w:val="12"/>
      </w:numPr>
      <w:contextualSpacing/>
    </w:pPr>
  </w:style>
  <w:style w:type="paragraph" w:styleId="Listapunktowana4">
    <w:name w:val="List Bullet 4"/>
    <w:basedOn w:val="Normalny"/>
    <w:uiPriority w:val="98"/>
    <w:semiHidden/>
    <w:rsid w:val="002B5B43"/>
    <w:pPr>
      <w:numPr>
        <w:numId w:val="14"/>
      </w:numPr>
      <w:contextualSpacing/>
    </w:pPr>
  </w:style>
  <w:style w:type="paragraph" w:styleId="Listapunktowana5">
    <w:name w:val="List Bullet 5"/>
    <w:basedOn w:val="Normalny"/>
    <w:uiPriority w:val="98"/>
    <w:semiHidden/>
    <w:rsid w:val="002B5B43"/>
    <w:pPr>
      <w:numPr>
        <w:numId w:val="15"/>
      </w:numPr>
      <w:contextualSpacing/>
    </w:pPr>
  </w:style>
  <w:style w:type="paragraph" w:styleId="Lista-kontynuacja">
    <w:name w:val="List Continue"/>
    <w:basedOn w:val="Normalny"/>
    <w:uiPriority w:val="98"/>
    <w:semiHidden/>
    <w:rsid w:val="002B5B43"/>
    <w:pPr>
      <w:spacing w:after="120"/>
      <w:ind w:left="283"/>
      <w:contextualSpacing/>
    </w:pPr>
  </w:style>
  <w:style w:type="paragraph" w:styleId="Lista-kontynuacja2">
    <w:name w:val="List Continue 2"/>
    <w:basedOn w:val="Normalny"/>
    <w:uiPriority w:val="98"/>
    <w:semiHidden/>
    <w:rsid w:val="002B5B43"/>
    <w:pPr>
      <w:spacing w:after="120"/>
      <w:ind w:left="566"/>
      <w:contextualSpacing/>
    </w:pPr>
  </w:style>
  <w:style w:type="paragraph" w:styleId="Lista-kontynuacja3">
    <w:name w:val="List Continue 3"/>
    <w:basedOn w:val="Normalny"/>
    <w:uiPriority w:val="98"/>
    <w:semiHidden/>
    <w:rsid w:val="002B5B43"/>
    <w:pPr>
      <w:spacing w:after="120"/>
      <w:ind w:left="849"/>
      <w:contextualSpacing/>
    </w:pPr>
  </w:style>
  <w:style w:type="paragraph" w:styleId="Lista-kontynuacja4">
    <w:name w:val="List Continue 4"/>
    <w:basedOn w:val="Normalny"/>
    <w:uiPriority w:val="98"/>
    <w:semiHidden/>
    <w:rsid w:val="002B5B43"/>
    <w:pPr>
      <w:spacing w:after="120"/>
      <w:ind w:left="1132"/>
      <w:contextualSpacing/>
    </w:pPr>
  </w:style>
  <w:style w:type="paragraph" w:styleId="Lista-kontynuacja5">
    <w:name w:val="List Continue 5"/>
    <w:basedOn w:val="Normalny"/>
    <w:uiPriority w:val="98"/>
    <w:semiHidden/>
    <w:rsid w:val="002B5B43"/>
    <w:pPr>
      <w:spacing w:after="120"/>
      <w:ind w:left="1415"/>
      <w:contextualSpacing/>
    </w:pPr>
  </w:style>
  <w:style w:type="paragraph" w:styleId="Listanumerowana">
    <w:name w:val="List Number"/>
    <w:basedOn w:val="Normalny"/>
    <w:uiPriority w:val="98"/>
    <w:semiHidden/>
    <w:rsid w:val="002B5B43"/>
    <w:pPr>
      <w:numPr>
        <w:numId w:val="16"/>
      </w:numPr>
      <w:contextualSpacing/>
    </w:pPr>
  </w:style>
  <w:style w:type="paragraph" w:styleId="Listanumerowana2">
    <w:name w:val="List Number 2"/>
    <w:basedOn w:val="Normalny"/>
    <w:uiPriority w:val="98"/>
    <w:semiHidden/>
    <w:rsid w:val="002B5B43"/>
    <w:pPr>
      <w:numPr>
        <w:numId w:val="17"/>
      </w:numPr>
      <w:contextualSpacing/>
    </w:pPr>
  </w:style>
  <w:style w:type="paragraph" w:styleId="Listanumerowana3">
    <w:name w:val="List Number 3"/>
    <w:basedOn w:val="Normalny"/>
    <w:uiPriority w:val="98"/>
    <w:semiHidden/>
    <w:rsid w:val="002B5B43"/>
    <w:pPr>
      <w:numPr>
        <w:numId w:val="18"/>
      </w:numPr>
      <w:contextualSpacing/>
    </w:pPr>
  </w:style>
  <w:style w:type="paragraph" w:styleId="Listanumerowana4">
    <w:name w:val="List Number 4"/>
    <w:basedOn w:val="Normalny"/>
    <w:uiPriority w:val="98"/>
    <w:semiHidden/>
    <w:rsid w:val="002B5B43"/>
    <w:pPr>
      <w:numPr>
        <w:numId w:val="19"/>
      </w:numPr>
      <w:contextualSpacing/>
    </w:pPr>
  </w:style>
  <w:style w:type="paragraph" w:styleId="Listanumerowana5">
    <w:name w:val="List Number 5"/>
    <w:basedOn w:val="Normalny"/>
    <w:uiPriority w:val="98"/>
    <w:semiHidden/>
    <w:rsid w:val="002B5B43"/>
    <w:pPr>
      <w:numPr>
        <w:numId w:val="20"/>
      </w:numPr>
      <w:contextualSpacing/>
    </w:pPr>
  </w:style>
  <w:style w:type="paragraph" w:styleId="Tekstmakra">
    <w:name w:val="macro"/>
    <w:link w:val="TekstmakraZnak"/>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B5B43"/>
    <w:rPr>
      <w:rFonts w:ascii="Consolas" w:eastAsiaTheme="minorEastAsia" w:hAnsi="Consolas" w:cs="Consolas"/>
      <w:sz w:val="20"/>
      <w:szCs w:val="20"/>
    </w:rPr>
  </w:style>
  <w:style w:type="table" w:styleId="redniasiatka1">
    <w:name w:val="Medium Grid 1"/>
    <w:basedOn w:val="Standardowy"/>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B5B4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B5B43"/>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2B5B43"/>
    <w:rPr>
      <w:rFonts w:ascii="Times New Roman" w:hAnsi="Times New Roman" w:cs="Times New Roman"/>
    </w:rPr>
  </w:style>
  <w:style w:type="paragraph" w:styleId="Wcicienormalne">
    <w:name w:val="Normal Indent"/>
    <w:basedOn w:val="Normalny"/>
    <w:uiPriority w:val="98"/>
    <w:semiHidden/>
    <w:rsid w:val="002B5B43"/>
    <w:pPr>
      <w:ind w:left="720"/>
    </w:pPr>
  </w:style>
  <w:style w:type="paragraph" w:styleId="Nagweknotatki">
    <w:name w:val="Note Heading"/>
    <w:basedOn w:val="Normalny"/>
    <w:next w:val="Normalny"/>
    <w:link w:val="NagweknotatkiZnak"/>
    <w:uiPriority w:val="98"/>
    <w:semiHidden/>
    <w:rsid w:val="002B5B43"/>
  </w:style>
  <w:style w:type="character" w:customStyle="1" w:styleId="NagweknotatkiZnak">
    <w:name w:val="Nagłówek notatki Znak"/>
    <w:basedOn w:val="Domylnaczcionkaakapitu"/>
    <w:link w:val="Nagweknotatki"/>
    <w:uiPriority w:val="98"/>
    <w:semiHidden/>
    <w:rsid w:val="002B5B43"/>
    <w:rPr>
      <w:sz w:val="24"/>
      <w:szCs w:val="24"/>
      <w:lang w:val="pl-PL"/>
    </w:rPr>
  </w:style>
  <w:style w:type="character" w:styleId="Tekstzastpczy">
    <w:name w:val="Placeholder Text"/>
    <w:basedOn w:val="Domylnaczcionkaakapitu"/>
    <w:uiPriority w:val="98"/>
    <w:semiHidden/>
    <w:rsid w:val="002B5B43"/>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B5B43"/>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B5B43"/>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2B5B43"/>
  </w:style>
  <w:style w:type="character" w:customStyle="1" w:styleId="ZwrotgrzecznociowyZnak">
    <w:name w:val="Zwrot grzecznościowy Znak"/>
    <w:basedOn w:val="Domylnaczcionkaakapitu"/>
    <w:link w:val="Zwrotgrzecznociowy"/>
    <w:uiPriority w:val="98"/>
    <w:semiHidden/>
    <w:rsid w:val="002B5B43"/>
    <w:rPr>
      <w:sz w:val="24"/>
      <w:szCs w:val="24"/>
      <w:lang w:val="pl-PL"/>
    </w:rPr>
  </w:style>
  <w:style w:type="paragraph" w:styleId="Podpis">
    <w:name w:val="Signature"/>
    <w:basedOn w:val="Normalny"/>
    <w:link w:val="PodpisZnak"/>
    <w:uiPriority w:val="98"/>
    <w:semiHidden/>
    <w:rsid w:val="002B5B43"/>
    <w:pPr>
      <w:ind w:left="4252"/>
    </w:pPr>
  </w:style>
  <w:style w:type="character" w:customStyle="1" w:styleId="PodpisZnak">
    <w:name w:val="Podpis Znak"/>
    <w:basedOn w:val="Domylnaczcionkaakapitu"/>
    <w:link w:val="Podpis"/>
    <w:uiPriority w:val="98"/>
    <w:semiHidden/>
    <w:rsid w:val="002B5B43"/>
    <w:rPr>
      <w:sz w:val="24"/>
      <w:szCs w:val="24"/>
      <w:lang w:val="pl-PL"/>
    </w:rPr>
  </w:style>
  <w:style w:type="table" w:styleId="Tabela-Efekty3D1">
    <w:name w:val="Table 3D effects 1"/>
    <w:basedOn w:val="Standardowy"/>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a1">
    <w:name w:val="Table Colorful 1"/>
    <w:basedOn w:val="Standardowy"/>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a2">
    <w:name w:val="Table Colorful 2"/>
    <w:basedOn w:val="Standardowy"/>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a3">
    <w:name w:val="Table Colorful 3"/>
    <w:basedOn w:val="Standardowy"/>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B5B43"/>
    <w:pPr>
      <w:ind w:left="240" w:hanging="240"/>
    </w:pPr>
  </w:style>
  <w:style w:type="paragraph" w:styleId="Spisilustracji">
    <w:name w:val="table of figures"/>
    <w:basedOn w:val="Normalny"/>
    <w:next w:val="Normalny"/>
    <w:uiPriority w:val="98"/>
    <w:semiHidden/>
    <w:rsid w:val="002B5B43"/>
  </w:style>
  <w:style w:type="table" w:styleId="Tabela-Profesjonalny">
    <w:name w:val="Table Professional"/>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B5B4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B5B4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B5B43"/>
    <w:pPr>
      <w:spacing w:after="100"/>
      <w:ind w:left="1680"/>
    </w:pPr>
  </w:style>
  <w:style w:type="paragraph" w:styleId="Spistreci9">
    <w:name w:val="toc 9"/>
    <w:basedOn w:val="Normalny"/>
    <w:next w:val="Normalny"/>
    <w:autoRedefine/>
    <w:uiPriority w:val="98"/>
    <w:semiHidden/>
    <w:rsid w:val="002B5B43"/>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ny"/>
    <w:next w:val="Normalny"/>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B5B43"/>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2B5B4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2B5B43"/>
    <w:pPr>
      <w:jc w:val="right"/>
    </w:pPr>
    <w:rPr>
      <w:sz w:val="20"/>
    </w:rPr>
  </w:style>
  <w:style w:type="paragraph" w:customStyle="1" w:styleId="ECHRHeaderRefIt">
    <w:name w:val="ECHR_Header_Ref_It"/>
    <w:aliases w:val="_Ref_Ital"/>
    <w:basedOn w:val="Normalny"/>
    <w:next w:val="ECHRHeaderDate"/>
    <w:uiPriority w:val="43"/>
    <w:qFormat/>
    <w:rsid w:val="002B5B43"/>
    <w:pPr>
      <w:jc w:val="right"/>
    </w:pPr>
    <w:rPr>
      <w:i/>
      <w:sz w:val="20"/>
    </w:rPr>
  </w:style>
  <w:style w:type="paragraph" w:customStyle="1" w:styleId="ECHRHeading9">
    <w:name w:val="ECHR_Heading_9"/>
    <w:aliases w:val="_Head_9"/>
    <w:basedOn w:val="Nagwek9"/>
    <w:uiPriority w:val="17"/>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B5B4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omylnaczcionkaakapitu"/>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Standardowy"/>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2B5B4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2B5B4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2B5B4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2B5B4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2B5B4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2B5B4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2B5B43"/>
    <w:pPr>
      <w:outlineLvl w:val="0"/>
    </w:pPr>
  </w:style>
  <w:style w:type="paragraph" w:customStyle="1" w:styleId="ECHRTitleTOC1">
    <w:name w:val="ECHR_Title_TOC_1"/>
    <w:aliases w:val="_Title_L_TOC"/>
    <w:basedOn w:val="ECHRTitle1"/>
    <w:next w:val="Normalny"/>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ny"/>
    <w:uiPriority w:val="45"/>
    <w:semiHidden/>
    <w:rsid w:val="002B5B43"/>
    <w:rPr>
      <w:sz w:val="4"/>
    </w:rPr>
  </w:style>
  <w:style w:type="table" w:customStyle="1" w:styleId="ECHRTableGrey">
    <w:name w:val="ECHR_Table_Grey"/>
    <w:basedOn w:val="Standardowy"/>
    <w:uiPriority w:val="99"/>
    <w:rsid w:val="002B5B4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Nierozpoznanawzmianka">
    <w:name w:val="Unresolved Mention"/>
    <w:basedOn w:val="Domylnaczcionkaakapitu"/>
    <w:uiPriority w:val="99"/>
    <w:semiHidden/>
    <w:unhideWhenUsed/>
    <w:rsid w:val="002B5B43"/>
    <w:rPr>
      <w:color w:val="605E5C"/>
      <w:shd w:val="clear" w:color="auto" w:fill="E1DFDD"/>
    </w:rPr>
  </w:style>
  <w:style w:type="character" w:customStyle="1" w:styleId="JuParaChar">
    <w:name w:val="Ju_Para Char"/>
    <w:aliases w:val="_Para Char"/>
    <w:link w:val="JuPara"/>
    <w:uiPriority w:val="4"/>
    <w:qFormat/>
    <w:rsid w:val="00E44928"/>
    <w:rPr>
      <w:sz w:val="24"/>
      <w:szCs w:val="24"/>
      <w:lang w:val="pl-PL"/>
    </w:rPr>
  </w:style>
  <w:style w:type="table" w:customStyle="1" w:styleId="GridTable1Light1">
    <w:name w:val="Grid Table 1 Light1"/>
    <w:basedOn w:val="Standardowy"/>
    <w:uiPriority w:val="46"/>
    <w:semiHidden/>
    <w:rsid w:val="00E4492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E44928"/>
    <w:pPr>
      <w:numPr>
        <w:ilvl w:val="0"/>
        <w:numId w:val="0"/>
      </w:numPr>
      <w:tabs>
        <w:tab w:val="num" w:pos="1701"/>
      </w:tabs>
      <w:spacing w:before="60" w:after="60" w:line="240" w:lineRule="exact"/>
      <w:ind w:left="1703" w:hanging="284"/>
      <w:contextualSpacing/>
    </w:pPr>
    <w:rPr>
      <w:sz w:val="22"/>
      <w:lang w:eastAsia="fr-FR"/>
    </w:rPr>
  </w:style>
  <w:style w:type="table" w:customStyle="1" w:styleId="GridTable1Light-Accent11">
    <w:name w:val="Grid Table 1 Light - Accent 11"/>
    <w:basedOn w:val="Standardowy"/>
    <w:uiPriority w:val="46"/>
    <w:semiHidden/>
    <w:rsid w:val="00E4492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Standardowy"/>
    <w:uiPriority w:val="46"/>
    <w:semiHidden/>
    <w:rsid w:val="00E4492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Standardowy"/>
    <w:uiPriority w:val="46"/>
    <w:semiHidden/>
    <w:rsid w:val="00E44928"/>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Standardowy"/>
    <w:uiPriority w:val="46"/>
    <w:semiHidden/>
    <w:rsid w:val="00E4492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Standardowy"/>
    <w:uiPriority w:val="46"/>
    <w:semiHidden/>
    <w:rsid w:val="00E4492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Standardowy"/>
    <w:uiPriority w:val="46"/>
    <w:semiHidden/>
    <w:rsid w:val="00E4492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Standardowy"/>
    <w:uiPriority w:val="47"/>
    <w:semiHidden/>
    <w:rsid w:val="00E4492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Standardowy"/>
    <w:uiPriority w:val="47"/>
    <w:semiHidden/>
    <w:rsid w:val="00E4492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Standardowy"/>
    <w:uiPriority w:val="47"/>
    <w:semiHidden/>
    <w:rsid w:val="00E4492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Standardowy"/>
    <w:uiPriority w:val="47"/>
    <w:semiHidden/>
    <w:rsid w:val="00E44928"/>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2-Accent41">
    <w:name w:val="Grid Table 2 - Accent 41"/>
    <w:basedOn w:val="Standardowy"/>
    <w:uiPriority w:val="47"/>
    <w:semiHidden/>
    <w:rsid w:val="00E4492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Standardowy"/>
    <w:uiPriority w:val="47"/>
    <w:semiHidden/>
    <w:rsid w:val="00E4492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Standardowy"/>
    <w:uiPriority w:val="47"/>
    <w:semiHidden/>
    <w:rsid w:val="00E4492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Standardowy"/>
    <w:uiPriority w:val="48"/>
    <w:semiHidden/>
    <w:rsid w:val="00E4492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Standardowy"/>
    <w:uiPriority w:val="48"/>
    <w:semiHidden/>
    <w:rsid w:val="00E4492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Standardowy"/>
    <w:uiPriority w:val="48"/>
    <w:semiHidden/>
    <w:rsid w:val="00E4492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Standardowy"/>
    <w:uiPriority w:val="48"/>
    <w:semiHidden/>
    <w:rsid w:val="00E4492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3-Accent41">
    <w:name w:val="Grid Table 3 - Accent 41"/>
    <w:basedOn w:val="Standardowy"/>
    <w:uiPriority w:val="48"/>
    <w:semiHidden/>
    <w:rsid w:val="00E4492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Standardowy"/>
    <w:uiPriority w:val="48"/>
    <w:semiHidden/>
    <w:rsid w:val="00E4492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Standardowy"/>
    <w:uiPriority w:val="48"/>
    <w:semiHidden/>
    <w:rsid w:val="00E4492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Standardowy"/>
    <w:uiPriority w:val="49"/>
    <w:semiHidden/>
    <w:rsid w:val="00E4492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Standardowy"/>
    <w:uiPriority w:val="49"/>
    <w:semiHidden/>
    <w:rsid w:val="00E4492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Standardowy"/>
    <w:uiPriority w:val="49"/>
    <w:semiHidden/>
    <w:rsid w:val="00E4492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Standardowy"/>
    <w:uiPriority w:val="49"/>
    <w:semiHidden/>
    <w:rsid w:val="00E4492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4-Accent41">
    <w:name w:val="Grid Table 4 - Accent 41"/>
    <w:basedOn w:val="Standardowy"/>
    <w:uiPriority w:val="49"/>
    <w:semiHidden/>
    <w:rsid w:val="00E4492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Standardowy"/>
    <w:uiPriority w:val="49"/>
    <w:semiHidden/>
    <w:rsid w:val="00E4492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Standardowy"/>
    <w:uiPriority w:val="49"/>
    <w:semiHidden/>
    <w:rsid w:val="00E4492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Standardowy"/>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Standardowy"/>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Standardowy"/>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Standardowy"/>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customStyle="1" w:styleId="GridTable5Dark-Accent41">
    <w:name w:val="Grid Table 5 Dark - Accent 41"/>
    <w:basedOn w:val="Standardowy"/>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Standardowy"/>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Standardowy"/>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Standardowy"/>
    <w:uiPriority w:val="51"/>
    <w:semiHidden/>
    <w:rsid w:val="00E4492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Standardowy"/>
    <w:uiPriority w:val="51"/>
    <w:semiHidden/>
    <w:rsid w:val="00E4492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Standardowy"/>
    <w:uiPriority w:val="51"/>
    <w:semiHidden/>
    <w:rsid w:val="00E4492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Standardowy"/>
    <w:uiPriority w:val="51"/>
    <w:semiHidden/>
    <w:rsid w:val="00E4492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6Colorful-Accent41">
    <w:name w:val="Grid Table 6 Colorful - Accent 41"/>
    <w:basedOn w:val="Standardowy"/>
    <w:uiPriority w:val="51"/>
    <w:semiHidden/>
    <w:rsid w:val="00E4492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Standardowy"/>
    <w:uiPriority w:val="51"/>
    <w:semiHidden/>
    <w:rsid w:val="00E4492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Standardowy"/>
    <w:uiPriority w:val="51"/>
    <w:semiHidden/>
    <w:rsid w:val="00E4492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Standardowy"/>
    <w:uiPriority w:val="52"/>
    <w:semiHidden/>
    <w:rsid w:val="00E4492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Standardowy"/>
    <w:uiPriority w:val="52"/>
    <w:semiHidden/>
    <w:rsid w:val="00E4492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Standardowy"/>
    <w:uiPriority w:val="52"/>
    <w:semiHidden/>
    <w:rsid w:val="00E4492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Standardowy"/>
    <w:uiPriority w:val="52"/>
    <w:semiHidden/>
    <w:rsid w:val="00E4492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7Colorful-Accent41">
    <w:name w:val="Grid Table 7 Colorful - Accent 41"/>
    <w:basedOn w:val="Standardowy"/>
    <w:uiPriority w:val="52"/>
    <w:semiHidden/>
    <w:rsid w:val="00E4492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Standardowy"/>
    <w:uiPriority w:val="52"/>
    <w:semiHidden/>
    <w:rsid w:val="00E4492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Standardowy"/>
    <w:uiPriority w:val="52"/>
    <w:semiHidden/>
    <w:rsid w:val="00E4492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Standardowy"/>
    <w:uiPriority w:val="46"/>
    <w:semiHidden/>
    <w:rsid w:val="00E4492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Standardowy"/>
    <w:uiPriority w:val="46"/>
    <w:semiHidden/>
    <w:rsid w:val="00E4492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Standardowy"/>
    <w:uiPriority w:val="46"/>
    <w:semiHidden/>
    <w:rsid w:val="00E4492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Standardowy"/>
    <w:uiPriority w:val="46"/>
    <w:semiHidden/>
    <w:rsid w:val="00E44928"/>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1Light-Accent41">
    <w:name w:val="List Table 1 Light - Accent 41"/>
    <w:basedOn w:val="Standardowy"/>
    <w:uiPriority w:val="46"/>
    <w:semiHidden/>
    <w:rsid w:val="00E4492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Standardowy"/>
    <w:uiPriority w:val="46"/>
    <w:semiHidden/>
    <w:rsid w:val="00E4492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Standardowy"/>
    <w:uiPriority w:val="46"/>
    <w:semiHidden/>
    <w:rsid w:val="00E4492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Standardowy"/>
    <w:uiPriority w:val="47"/>
    <w:semiHidden/>
    <w:rsid w:val="00E4492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Standardowy"/>
    <w:uiPriority w:val="47"/>
    <w:semiHidden/>
    <w:rsid w:val="00E4492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Standardowy"/>
    <w:uiPriority w:val="47"/>
    <w:semiHidden/>
    <w:rsid w:val="00E4492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Standardowy"/>
    <w:uiPriority w:val="47"/>
    <w:semiHidden/>
    <w:rsid w:val="00E44928"/>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2-Accent41">
    <w:name w:val="List Table 2 - Accent 41"/>
    <w:basedOn w:val="Standardowy"/>
    <w:uiPriority w:val="47"/>
    <w:semiHidden/>
    <w:rsid w:val="00E4492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Standardowy"/>
    <w:uiPriority w:val="47"/>
    <w:semiHidden/>
    <w:rsid w:val="00E4492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Standardowy"/>
    <w:uiPriority w:val="47"/>
    <w:semiHidden/>
    <w:rsid w:val="00E4492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Standardowy"/>
    <w:uiPriority w:val="48"/>
    <w:semiHidden/>
    <w:rsid w:val="00E4492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Standardowy"/>
    <w:uiPriority w:val="48"/>
    <w:semiHidden/>
    <w:rsid w:val="00E4492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Standardowy"/>
    <w:uiPriority w:val="48"/>
    <w:semiHidden/>
    <w:rsid w:val="00E4492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Standardowy"/>
    <w:uiPriority w:val="48"/>
    <w:semiHidden/>
    <w:rsid w:val="00E44928"/>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customStyle="1" w:styleId="ListTable3-Accent41">
    <w:name w:val="List Table 3 - Accent 41"/>
    <w:basedOn w:val="Standardowy"/>
    <w:uiPriority w:val="48"/>
    <w:semiHidden/>
    <w:rsid w:val="00E4492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Standardowy"/>
    <w:uiPriority w:val="48"/>
    <w:semiHidden/>
    <w:rsid w:val="00E4492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Standardowy"/>
    <w:uiPriority w:val="48"/>
    <w:semiHidden/>
    <w:rsid w:val="00E4492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Standardowy"/>
    <w:uiPriority w:val="49"/>
    <w:semiHidden/>
    <w:rsid w:val="00E4492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Standardowy"/>
    <w:uiPriority w:val="49"/>
    <w:semiHidden/>
    <w:rsid w:val="00E4492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Standardowy"/>
    <w:uiPriority w:val="49"/>
    <w:semiHidden/>
    <w:rsid w:val="00E4492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Standardowy"/>
    <w:uiPriority w:val="49"/>
    <w:semiHidden/>
    <w:rsid w:val="00E4492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4-Accent41">
    <w:name w:val="List Table 4 - Accent 41"/>
    <w:basedOn w:val="Standardowy"/>
    <w:uiPriority w:val="49"/>
    <w:semiHidden/>
    <w:rsid w:val="00E4492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Standardowy"/>
    <w:uiPriority w:val="49"/>
    <w:semiHidden/>
    <w:rsid w:val="00E4492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Standardowy"/>
    <w:uiPriority w:val="49"/>
    <w:semiHidden/>
    <w:rsid w:val="00E4492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Standardowy"/>
    <w:uiPriority w:val="50"/>
    <w:semiHidden/>
    <w:rsid w:val="00E44928"/>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Standardowy"/>
    <w:uiPriority w:val="50"/>
    <w:semiHidden/>
    <w:rsid w:val="00E44928"/>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Standardowy"/>
    <w:uiPriority w:val="50"/>
    <w:semiHidden/>
    <w:rsid w:val="00E44928"/>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Standardowy"/>
    <w:uiPriority w:val="50"/>
    <w:semiHidden/>
    <w:rsid w:val="00E44928"/>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Standardowy"/>
    <w:uiPriority w:val="50"/>
    <w:semiHidden/>
    <w:rsid w:val="00E44928"/>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Standardowy"/>
    <w:uiPriority w:val="50"/>
    <w:semiHidden/>
    <w:rsid w:val="00E44928"/>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Standardowy"/>
    <w:uiPriority w:val="50"/>
    <w:semiHidden/>
    <w:rsid w:val="00E44928"/>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Standardowy"/>
    <w:uiPriority w:val="51"/>
    <w:semiHidden/>
    <w:rsid w:val="00E4492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Standardowy"/>
    <w:uiPriority w:val="51"/>
    <w:semiHidden/>
    <w:rsid w:val="00E4492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Standardowy"/>
    <w:uiPriority w:val="51"/>
    <w:semiHidden/>
    <w:rsid w:val="00E4492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Standardowy"/>
    <w:uiPriority w:val="51"/>
    <w:semiHidden/>
    <w:rsid w:val="00E44928"/>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6Colorful-Accent41">
    <w:name w:val="List Table 6 Colorful - Accent 41"/>
    <w:basedOn w:val="Standardowy"/>
    <w:uiPriority w:val="51"/>
    <w:semiHidden/>
    <w:rsid w:val="00E4492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Standardowy"/>
    <w:uiPriority w:val="51"/>
    <w:semiHidden/>
    <w:rsid w:val="00E4492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Standardowy"/>
    <w:uiPriority w:val="51"/>
    <w:semiHidden/>
    <w:rsid w:val="00E4492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Standardowy"/>
    <w:uiPriority w:val="52"/>
    <w:semiHidden/>
    <w:rsid w:val="00E4492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Standardowy"/>
    <w:uiPriority w:val="52"/>
    <w:semiHidden/>
    <w:rsid w:val="00E4492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Standardowy"/>
    <w:uiPriority w:val="52"/>
    <w:semiHidden/>
    <w:rsid w:val="00E4492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Standardowy"/>
    <w:uiPriority w:val="52"/>
    <w:semiHidden/>
    <w:rsid w:val="00E44928"/>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Standardowy"/>
    <w:uiPriority w:val="52"/>
    <w:semiHidden/>
    <w:rsid w:val="00E4492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Standardowy"/>
    <w:uiPriority w:val="52"/>
    <w:semiHidden/>
    <w:rsid w:val="00E4492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Standardowy"/>
    <w:uiPriority w:val="52"/>
    <w:semiHidden/>
    <w:rsid w:val="00E4492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Standardowy"/>
    <w:uiPriority w:val="41"/>
    <w:semiHidden/>
    <w:rsid w:val="00E4492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Standardowy"/>
    <w:uiPriority w:val="42"/>
    <w:semiHidden/>
    <w:rsid w:val="00E4492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Standardowy"/>
    <w:uiPriority w:val="43"/>
    <w:semiHidden/>
    <w:rsid w:val="00E4492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Standardowy"/>
    <w:uiPriority w:val="44"/>
    <w:semiHidden/>
    <w:rsid w:val="00E4492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Standardowy"/>
    <w:uiPriority w:val="45"/>
    <w:semiHidden/>
    <w:rsid w:val="00E4492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Standardowy"/>
    <w:uiPriority w:val="40"/>
    <w:semiHidden/>
    <w:rsid w:val="00E4492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asiatki1jasna">
    <w:name w:val="Grid Table 1 Light"/>
    <w:basedOn w:val="Standardowy"/>
    <w:uiPriority w:val="46"/>
    <w:semiHidden/>
    <w:rsid w:val="00E4492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E4492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E4492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E44928"/>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E4492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E4492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E4492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E4492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E4492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E4492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E44928"/>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E4492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E4492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E4492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E4492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E4492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E4492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E4492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E4492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E4492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E4492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E4492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E4492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E4492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E4492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E4492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E4492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E4492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E4492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E4492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E4492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E4492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E4492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E4492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E4492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E4492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E4492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E4492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E4492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E4492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E4492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E4492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ztag">
    <w:name w:val="Hashtag"/>
    <w:basedOn w:val="Domylnaczcionkaakapitu"/>
    <w:uiPriority w:val="99"/>
    <w:semiHidden/>
    <w:unhideWhenUsed/>
    <w:rsid w:val="00E44928"/>
    <w:rPr>
      <w:color w:val="2B579A"/>
      <w:shd w:val="clear" w:color="auto" w:fill="E1DFDD"/>
    </w:rPr>
  </w:style>
  <w:style w:type="table" w:styleId="Tabelalisty1jasna">
    <w:name w:val="List Table 1 Light"/>
    <w:basedOn w:val="Standardowy"/>
    <w:uiPriority w:val="46"/>
    <w:semiHidden/>
    <w:rsid w:val="00E4492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E4492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E4492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E44928"/>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E4492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E4492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E4492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E4492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E4492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E4492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E44928"/>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E4492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E4492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E4492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E4492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E4492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E4492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E44928"/>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E4492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E4492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E4492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E4492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E4492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E4492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E4492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E4492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E4492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E4492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E44928"/>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E44928"/>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E44928"/>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E44928"/>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E44928"/>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E44928"/>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E44928"/>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E4492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E4492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E4492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E44928"/>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E4492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E4492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E4492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E4492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E4492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E4492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E44928"/>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E4492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E4492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E4492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Wzmianka">
    <w:name w:val="Mention"/>
    <w:basedOn w:val="Domylnaczcionkaakapitu"/>
    <w:uiPriority w:val="99"/>
    <w:semiHidden/>
    <w:unhideWhenUsed/>
    <w:rsid w:val="00E44928"/>
    <w:rPr>
      <w:color w:val="2B579A"/>
      <w:shd w:val="clear" w:color="auto" w:fill="E1DFDD"/>
    </w:rPr>
  </w:style>
  <w:style w:type="table" w:styleId="Zwykatabela1">
    <w:name w:val="Plain Table 1"/>
    <w:basedOn w:val="Standardowy"/>
    <w:uiPriority w:val="41"/>
    <w:semiHidden/>
    <w:rsid w:val="00E4492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E4492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E4492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E4492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E4492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Inteligentnyhiperlink">
    <w:name w:val="Smart Hyperlink"/>
    <w:basedOn w:val="Domylnaczcionkaakapitu"/>
    <w:uiPriority w:val="99"/>
    <w:semiHidden/>
    <w:unhideWhenUsed/>
    <w:rsid w:val="00E44928"/>
    <w:rPr>
      <w:u w:val="dotted"/>
    </w:rPr>
  </w:style>
  <w:style w:type="character" w:styleId="Inteligentnylink">
    <w:name w:val="Smart Link"/>
    <w:basedOn w:val="Domylnaczcionkaakapitu"/>
    <w:uiPriority w:val="99"/>
    <w:semiHidden/>
    <w:unhideWhenUsed/>
    <w:rsid w:val="00E44928"/>
    <w:rPr>
      <w:color w:val="0000FF"/>
      <w:u w:val="single"/>
      <w:shd w:val="clear" w:color="auto" w:fill="F3F2F1"/>
    </w:rPr>
  </w:style>
  <w:style w:type="table" w:styleId="Siatkatabelijasna">
    <w:name w:val="Grid Table Light"/>
    <w:basedOn w:val="Standardowy"/>
    <w:uiPriority w:val="40"/>
    <w:semiHidden/>
    <w:rsid w:val="00E4492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E449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1</Pages>
  <Words>26170</Words>
  <Characters>157023</Characters>
  <Application>Microsoft Office Word</Application>
  <DocSecurity>0</DocSecurity>
  <Lines>1308</Lines>
  <Paragraphs>365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Lubecka Edyta  (DWMPC)</dc:creator>
  <cp:lastModifiedBy>Szponar Paweł  (DWMPC)</cp:lastModifiedBy>
  <cp:revision>25</cp:revision>
  <dcterms:created xsi:type="dcterms:W3CDTF">2026-06-29T07:33:00Z</dcterms:created>
  <dcterms:modified xsi:type="dcterms:W3CDTF">2026-07-01T10:26:00Z</dcterms:modified>
  <cp:category/>
</cp:coreProperties>
</file>