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BA4FA" w14:textId="77777777" w:rsidR="008E5A20" w:rsidRPr="00396538" w:rsidRDefault="00FC6BFD" w:rsidP="008E5A20">
      <w:pPr>
        <w:pStyle w:val="DecHTitle"/>
        <w:keepNext w:val="0"/>
        <w:keepLines w:val="0"/>
      </w:pPr>
      <w:r>
        <w:t>SEKCJA PIĄTA</w:t>
      </w:r>
    </w:p>
    <w:p w14:paraId="73F51296" w14:textId="1AD55F0B" w:rsidR="008E5A20" w:rsidRPr="00396538" w:rsidRDefault="00FC6BFD" w:rsidP="008E5A20">
      <w:pPr>
        <w:pStyle w:val="JuTitle"/>
        <w:keepNext w:val="0"/>
        <w:keepLines w:val="0"/>
        <w:spacing w:before="1080"/>
      </w:pPr>
      <w:r>
        <w:rPr>
          <w:color w:val="000000" w:themeColor="text1"/>
        </w:rPr>
        <w:t xml:space="preserve">SPRAWA </w:t>
      </w:r>
      <w:r>
        <w:t xml:space="preserve">CAVCA przeciwko REPUBLICE </w:t>
      </w:r>
      <w:r w:rsidR="003540D0" w:rsidRPr="003540D0">
        <w:t>MOŁDAWII</w:t>
      </w:r>
    </w:p>
    <w:p w14:paraId="1BD709CB" w14:textId="77777777" w:rsidR="008E5A20" w:rsidRPr="00396538" w:rsidRDefault="00FC6BFD" w:rsidP="008E5A20">
      <w:pPr>
        <w:pStyle w:val="ECHRCoverTitle4"/>
        <w:keepNext w:val="0"/>
        <w:keepLines w:val="0"/>
      </w:pPr>
      <w:r>
        <w:t>(skarga nr 21766/22)</w:t>
      </w:r>
    </w:p>
    <w:p w14:paraId="239F699E" w14:textId="77777777" w:rsidR="008E5A20" w:rsidRPr="00396538" w:rsidRDefault="008E5A20" w:rsidP="008E5A20">
      <w:pPr>
        <w:pStyle w:val="DecHCase"/>
        <w:keepNext w:val="0"/>
        <w:keepLines w:val="0"/>
      </w:pPr>
    </w:p>
    <w:p w14:paraId="35A3A712" w14:textId="77777777" w:rsidR="008E5A20" w:rsidRPr="00396538" w:rsidRDefault="008E5A20" w:rsidP="008E5A20">
      <w:pPr>
        <w:pStyle w:val="DecHCase"/>
        <w:keepNext w:val="0"/>
        <w:keepLines w:val="0"/>
      </w:pPr>
    </w:p>
    <w:p w14:paraId="624D1AC1" w14:textId="77777777" w:rsidR="008E5A20" w:rsidRPr="00396538" w:rsidRDefault="00FC6BFD" w:rsidP="008E5A20">
      <w:pPr>
        <w:pStyle w:val="DecHCase"/>
        <w:keepNext w:val="0"/>
        <w:keepLines w:val="0"/>
      </w:pPr>
      <w:r>
        <w:t>WYROK</w:t>
      </w:r>
    </w:p>
    <w:p w14:paraId="43084750" w14:textId="5430EFB7" w:rsidR="008E5A20" w:rsidRPr="00396538" w:rsidRDefault="00FC6BFD" w:rsidP="008E5A20">
      <w:pPr>
        <w:pBdr>
          <w:top w:val="single" w:sz="4" w:space="1" w:color="auto"/>
          <w:left w:val="single" w:sz="4" w:space="4" w:color="auto"/>
          <w:bottom w:val="single" w:sz="4" w:space="1" w:color="auto"/>
          <w:right w:val="single" w:sz="4" w:space="4" w:color="auto"/>
        </w:pBdr>
        <w:jc w:val="both"/>
        <w:rPr>
          <w:sz w:val="22"/>
          <w:szCs w:val="22"/>
        </w:rPr>
      </w:pPr>
      <w:r>
        <w:rPr>
          <w:sz w:val="22"/>
        </w:rPr>
        <w:t xml:space="preserve">Art. 6 ust. 1 (aspekt cywilny) • </w:t>
      </w:r>
      <w:r w:rsidR="001454AF" w:rsidRPr="001454AF">
        <w:rPr>
          <w:sz w:val="22"/>
        </w:rPr>
        <w:t>Rzetelne rozpatrzenie sprawy</w:t>
      </w:r>
      <w:r>
        <w:rPr>
          <w:sz w:val="22"/>
        </w:rPr>
        <w:t xml:space="preserve"> • Postępowanie dyscyplinarne przeciwko funkcjonariuszowi publicznemu, zakończone jego zwolnieniem </w:t>
      </w:r>
      <w:r w:rsidR="00E34555">
        <w:rPr>
          <w:sz w:val="22"/>
        </w:rPr>
        <w:t>ze służby</w:t>
      </w:r>
      <w:r>
        <w:rPr>
          <w:sz w:val="22"/>
        </w:rPr>
        <w:t xml:space="preserve"> po tym, jak miał on zostać nakłoniony przez funkcjonariusza państwowego działającego pod przykryciem do przyjęcia łapówki w ramach </w:t>
      </w:r>
      <w:r w:rsidR="00E34555">
        <w:rPr>
          <w:sz w:val="22"/>
        </w:rPr>
        <w:t>testu</w:t>
      </w:r>
      <w:r>
        <w:rPr>
          <w:sz w:val="22"/>
        </w:rPr>
        <w:t xml:space="preserve"> uczciwości zawodowej • art. 6 nie ma zastosowania w aspekcie karnym, lecz w aspekcie cywilnym • Gwarancje rzetelnego procesu wypracowane w orzecznictwie Trybunału w odniesieniu do prowokacji w postępowaniu karnym mają znaczenie także dla zaskarżonego postępowania cywilnego • Samo poddanie danej osoby </w:t>
      </w:r>
      <w:r w:rsidR="00C30921">
        <w:rPr>
          <w:sz w:val="22"/>
        </w:rPr>
        <w:t>testowi</w:t>
      </w:r>
      <w:r>
        <w:rPr>
          <w:sz w:val="22"/>
        </w:rPr>
        <w:t xml:space="preserve"> uczciwości zawodowej nie stanowi jeszcze prowokacji ani nie jest niezgodne z wymogami art. 6 ust. 1 • Konieczność zapewnienia silnych gwarancji proceduralnych na etapie planowania, przeprowadzania i oceny takiego </w:t>
      </w:r>
      <w:r w:rsidR="00C30921">
        <w:rPr>
          <w:sz w:val="22"/>
        </w:rPr>
        <w:t>testu</w:t>
      </w:r>
      <w:r>
        <w:rPr>
          <w:sz w:val="22"/>
        </w:rPr>
        <w:t xml:space="preserve"> • Rażące uchybienia proceduralne • Brak skutecznego zbadania przez sądy krajowe </w:t>
      </w:r>
      <w:r w:rsidR="00E34555" w:rsidRPr="00E34555">
        <w:rPr>
          <w:sz w:val="22"/>
        </w:rPr>
        <w:t>dającego się uzasadnić zarzutu prowokacji</w:t>
      </w:r>
      <w:r>
        <w:rPr>
          <w:sz w:val="22"/>
        </w:rPr>
        <w:t xml:space="preserve"> oraz nieprzestrzeganie zasady równości </w:t>
      </w:r>
      <w:r w:rsidR="00E34555">
        <w:rPr>
          <w:sz w:val="22"/>
        </w:rPr>
        <w:t>broni</w:t>
      </w:r>
      <w:r>
        <w:rPr>
          <w:sz w:val="22"/>
        </w:rPr>
        <w:t xml:space="preserve"> i kontradyktoryjności postępowania.</w:t>
      </w:r>
    </w:p>
    <w:p w14:paraId="2FA4A2CD" w14:textId="77777777" w:rsidR="008E5A20" w:rsidRPr="00396538" w:rsidRDefault="008E5A20" w:rsidP="008E5A20">
      <w:pPr>
        <w:pBdr>
          <w:top w:val="single" w:sz="4" w:space="1" w:color="auto"/>
          <w:left w:val="single" w:sz="4" w:space="4" w:color="auto"/>
          <w:bottom w:val="single" w:sz="4" w:space="1" w:color="auto"/>
          <w:right w:val="single" w:sz="4" w:space="4" w:color="auto"/>
        </w:pBdr>
        <w:jc w:val="center"/>
        <w:rPr>
          <w:sz w:val="18"/>
          <w:szCs w:val="18"/>
        </w:rPr>
      </w:pPr>
    </w:p>
    <w:p w14:paraId="5A066B09" w14:textId="001821EC" w:rsidR="008E5A20" w:rsidRPr="00396538" w:rsidRDefault="003540D0" w:rsidP="008E5A20">
      <w:pPr>
        <w:pBdr>
          <w:top w:val="single" w:sz="4" w:space="1" w:color="auto"/>
          <w:left w:val="single" w:sz="4" w:space="4" w:color="auto"/>
          <w:bottom w:val="single" w:sz="4" w:space="1" w:color="auto"/>
          <w:right w:val="single" w:sz="4" w:space="4" w:color="auto"/>
        </w:pBdr>
        <w:jc w:val="center"/>
        <w:rPr>
          <w:sz w:val="18"/>
          <w:szCs w:val="18"/>
        </w:rPr>
      </w:pPr>
      <w:r w:rsidRPr="003540D0">
        <w:rPr>
          <w:sz w:val="18"/>
        </w:rPr>
        <w:t>Streszczenie przygotowane przez Kancelarię. Nie jest wiążące dla Trybunału</w:t>
      </w:r>
      <w:r w:rsidR="00FC6BFD">
        <w:rPr>
          <w:sz w:val="18"/>
        </w:rPr>
        <w:t>.</w:t>
      </w:r>
    </w:p>
    <w:p w14:paraId="43452CEF" w14:textId="77777777" w:rsidR="008E5A20" w:rsidRPr="00396538" w:rsidRDefault="008E5A20" w:rsidP="008E5A20">
      <w:pPr>
        <w:pStyle w:val="DecHCase"/>
        <w:keepNext w:val="0"/>
        <w:keepLines w:val="0"/>
      </w:pPr>
    </w:p>
    <w:p w14:paraId="4FD99F8B" w14:textId="77777777" w:rsidR="008E5A20" w:rsidRPr="00396538" w:rsidRDefault="00FC6BFD" w:rsidP="008E5A20">
      <w:pPr>
        <w:pStyle w:val="DecHCase"/>
        <w:keepNext w:val="0"/>
        <w:keepLines w:val="0"/>
      </w:pPr>
      <w:r>
        <w:t>STRASBURG</w:t>
      </w:r>
    </w:p>
    <w:p w14:paraId="6ACA85B7" w14:textId="77777777" w:rsidR="008E5A20" w:rsidRPr="00396538" w:rsidRDefault="00FC6BFD" w:rsidP="008E5A20">
      <w:pPr>
        <w:pStyle w:val="DecHCase"/>
        <w:keepNext w:val="0"/>
        <w:keepLines w:val="0"/>
      </w:pPr>
      <w:r>
        <w:rPr>
          <w:rFonts w:ascii="Times New Roman" w:hAnsi="Times New Roman"/>
        </w:rPr>
        <w:t>9 stycznia 2025 r.</w:t>
      </w:r>
    </w:p>
    <w:p w14:paraId="76789EBC" w14:textId="77777777" w:rsidR="008E5A20" w:rsidRPr="00396538" w:rsidRDefault="00FC6BFD" w:rsidP="008E5A20">
      <w:pPr>
        <w:pStyle w:val="jucase0"/>
        <w:ind w:firstLine="0"/>
        <w:jc w:val="center"/>
        <w:rPr>
          <w:color w:val="FF0000"/>
          <w:sz w:val="28"/>
          <w:szCs w:val="28"/>
          <w:u w:val="single"/>
        </w:rPr>
      </w:pPr>
      <w:r>
        <w:rPr>
          <w:color w:val="FF0000"/>
          <w:sz w:val="28"/>
          <w:u w:val="single"/>
        </w:rPr>
        <w:t>OSTATECZNY</w:t>
      </w:r>
    </w:p>
    <w:p w14:paraId="0C6E89D0" w14:textId="77777777" w:rsidR="008E5A20" w:rsidRPr="00396538" w:rsidRDefault="008E5A20" w:rsidP="008E5A20">
      <w:pPr>
        <w:pStyle w:val="jucase0"/>
        <w:ind w:firstLine="0"/>
        <w:jc w:val="center"/>
        <w:rPr>
          <w:b w:val="0"/>
          <w:bCs w:val="0"/>
          <w:color w:val="FF0000"/>
          <w:u w:val="single"/>
        </w:rPr>
      </w:pPr>
    </w:p>
    <w:p w14:paraId="07A99941" w14:textId="77777777" w:rsidR="008E5A20" w:rsidRPr="00396538" w:rsidRDefault="00FC6BFD" w:rsidP="008E5A20">
      <w:pPr>
        <w:pStyle w:val="jucase0"/>
        <w:ind w:firstLine="0"/>
        <w:jc w:val="center"/>
        <w:rPr>
          <w:b w:val="0"/>
          <w:color w:val="FF0000"/>
          <w:sz w:val="28"/>
          <w:szCs w:val="28"/>
        </w:rPr>
      </w:pPr>
      <w:r>
        <w:rPr>
          <w:b w:val="0"/>
          <w:color w:val="FF0000"/>
          <w:sz w:val="28"/>
        </w:rPr>
        <w:t>9 kwietnia 2025 r.</w:t>
      </w:r>
    </w:p>
    <w:p w14:paraId="1068F7EE" w14:textId="77777777" w:rsidR="008E5A20" w:rsidRPr="00396538" w:rsidRDefault="008E5A20" w:rsidP="008E5A20">
      <w:pPr>
        <w:pStyle w:val="jupara0"/>
        <w:ind w:firstLine="0"/>
        <w:jc w:val="center"/>
      </w:pPr>
    </w:p>
    <w:p w14:paraId="55F62299" w14:textId="612BE354" w:rsidR="008E5A20" w:rsidRPr="00396538" w:rsidRDefault="00FE027D" w:rsidP="00FE027D">
      <w:pPr>
        <w:jc w:val="center"/>
        <w:sectPr w:rsidR="008E5A20" w:rsidRPr="00396538" w:rsidSect="008E5A20">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r w:rsidRPr="00FE027D">
        <w:rPr>
          <w:i/>
          <w:sz w:val="22"/>
        </w:rPr>
        <w:t>Niniejszy wyrok jest ostateczny</w:t>
      </w:r>
      <w:r>
        <w:rPr>
          <w:i/>
          <w:sz w:val="22"/>
        </w:rPr>
        <w:t xml:space="preserve"> </w:t>
      </w:r>
      <w:r w:rsidR="00FC6BFD">
        <w:rPr>
          <w:i/>
          <w:sz w:val="22"/>
        </w:rPr>
        <w:t>zgodnie z art. 44 ust. 2 Konwencji</w:t>
      </w:r>
      <w:r w:rsidRPr="00FE027D">
        <w:rPr>
          <w:i/>
          <w:sz w:val="22"/>
        </w:rPr>
        <w:t>, lecz może podlegać korekcie wydawniczej</w:t>
      </w:r>
      <w:r>
        <w:t>.</w:t>
      </w:r>
    </w:p>
    <w:p w14:paraId="5E9A1BBA" w14:textId="14A52B68" w:rsidR="008E5A20" w:rsidRPr="00396538" w:rsidRDefault="00FC6BFD" w:rsidP="008E5A20">
      <w:pPr>
        <w:pStyle w:val="JuCase"/>
      </w:pPr>
      <w:r>
        <w:lastRenderedPageBreak/>
        <w:t xml:space="preserve">W sprawie </w:t>
      </w:r>
      <w:proofErr w:type="spellStart"/>
      <w:r>
        <w:t>Cavca</w:t>
      </w:r>
      <w:proofErr w:type="spellEnd"/>
      <w:r>
        <w:t xml:space="preserve"> przeciwko Republice </w:t>
      </w:r>
      <w:r w:rsidR="00C30921" w:rsidRPr="00C30921">
        <w:t>Mołdawii</w:t>
      </w:r>
      <w:r>
        <w:t>,</w:t>
      </w:r>
    </w:p>
    <w:p w14:paraId="592687BC" w14:textId="7D75F85A" w:rsidR="008E5A20" w:rsidRPr="00396538" w:rsidRDefault="00FC6BFD" w:rsidP="008E5A20">
      <w:pPr>
        <w:pStyle w:val="JuPara"/>
      </w:pPr>
      <w:r>
        <w:t>Europejski Trybunał Praw Człowieka (</w:t>
      </w:r>
      <w:r w:rsidR="001B01BF">
        <w:t>S</w:t>
      </w:r>
      <w:r>
        <w:t xml:space="preserve">ekcja </w:t>
      </w:r>
      <w:r w:rsidR="001B01BF">
        <w:t>P</w:t>
      </w:r>
      <w:r>
        <w:t>iąta), zasiadając jako Izba w składzie:</w:t>
      </w:r>
    </w:p>
    <w:p w14:paraId="363216FB" w14:textId="16600274" w:rsidR="008E5A20" w:rsidRPr="007D02D3" w:rsidRDefault="00FC6BFD" w:rsidP="008E5A20">
      <w:pPr>
        <w:pStyle w:val="JuJudges"/>
        <w:rPr>
          <w:iCs/>
        </w:rPr>
      </w:pPr>
      <w:r>
        <w:tab/>
      </w:r>
      <w:proofErr w:type="spellStart"/>
      <w:r>
        <w:t>Mattias</w:t>
      </w:r>
      <w:proofErr w:type="spellEnd"/>
      <w:r>
        <w:t xml:space="preserve"> </w:t>
      </w:r>
      <w:proofErr w:type="spellStart"/>
      <w:r>
        <w:t>Guyomar</w:t>
      </w:r>
      <w:proofErr w:type="spellEnd"/>
      <w:r>
        <w:t xml:space="preserve">, </w:t>
      </w:r>
      <w:r>
        <w:rPr>
          <w:i/>
        </w:rPr>
        <w:t>Przewodniczący</w:t>
      </w:r>
      <w:r>
        <w:t>,</w:t>
      </w:r>
      <w:r>
        <w:br/>
      </w:r>
      <w:r>
        <w:tab/>
      </w:r>
      <w:proofErr w:type="spellStart"/>
      <w:r>
        <w:t>María</w:t>
      </w:r>
      <w:proofErr w:type="spellEnd"/>
      <w:r>
        <w:t xml:space="preserve"> </w:t>
      </w:r>
      <w:proofErr w:type="spellStart"/>
      <w:r>
        <w:t>Elósegui</w:t>
      </w:r>
      <w:proofErr w:type="spellEnd"/>
      <w:r>
        <w:t>,</w:t>
      </w:r>
      <w:r>
        <w:br/>
      </w:r>
      <w:r>
        <w:tab/>
      </w:r>
      <w:proofErr w:type="spellStart"/>
      <w:r>
        <w:t>Stéphanie</w:t>
      </w:r>
      <w:proofErr w:type="spellEnd"/>
      <w:r>
        <w:t xml:space="preserve"> </w:t>
      </w:r>
      <w:proofErr w:type="spellStart"/>
      <w:r>
        <w:t>Mourou-Vikström</w:t>
      </w:r>
      <w:proofErr w:type="spellEnd"/>
      <w:r>
        <w:t>,</w:t>
      </w:r>
      <w:r>
        <w:br/>
      </w:r>
      <w:r>
        <w:tab/>
        <w:t xml:space="preserve">Gilberto </w:t>
      </w:r>
      <w:proofErr w:type="spellStart"/>
      <w:r>
        <w:t>Felici</w:t>
      </w:r>
      <w:proofErr w:type="spellEnd"/>
      <w:r>
        <w:t>,</w:t>
      </w:r>
      <w:r>
        <w:br/>
      </w:r>
      <w:r>
        <w:tab/>
        <w:t xml:space="preserve">Andreas </w:t>
      </w:r>
      <w:proofErr w:type="spellStart"/>
      <w:r>
        <w:t>Zünd</w:t>
      </w:r>
      <w:proofErr w:type="spellEnd"/>
      <w:r>
        <w:t>,</w:t>
      </w:r>
      <w:r>
        <w:br/>
      </w:r>
      <w:r>
        <w:tab/>
        <w:t xml:space="preserve">Diana </w:t>
      </w:r>
      <w:proofErr w:type="spellStart"/>
      <w:r>
        <w:t>Sârcu</w:t>
      </w:r>
      <w:proofErr w:type="spellEnd"/>
      <w:r>
        <w:t>,</w:t>
      </w:r>
      <w:r>
        <w:br/>
      </w:r>
      <w:r>
        <w:tab/>
      </w:r>
      <w:proofErr w:type="spellStart"/>
      <w:r>
        <w:t>Mykola</w:t>
      </w:r>
      <w:proofErr w:type="spellEnd"/>
      <w:r>
        <w:t xml:space="preserve"> </w:t>
      </w:r>
      <w:proofErr w:type="spellStart"/>
      <w:r>
        <w:t>Gnatovskyy</w:t>
      </w:r>
      <w:proofErr w:type="spellEnd"/>
      <w:r>
        <w:t>,</w:t>
      </w:r>
      <w:r>
        <w:rPr>
          <w:i/>
        </w:rPr>
        <w:t xml:space="preserve"> sędziowie</w:t>
      </w:r>
      <w:r>
        <w:t>,</w:t>
      </w:r>
      <w:r>
        <w:br/>
        <w:t xml:space="preserve">oraz Martina Keller, </w:t>
      </w:r>
      <w:r>
        <w:rPr>
          <w:i/>
        </w:rPr>
        <w:t>Zastępc</w:t>
      </w:r>
      <w:r w:rsidR="001B01BF">
        <w:rPr>
          <w:i/>
        </w:rPr>
        <w:t>a</w:t>
      </w:r>
      <w:r>
        <w:rPr>
          <w:i/>
        </w:rPr>
        <w:t xml:space="preserve"> Kanclerza Sekcji</w:t>
      </w:r>
      <w:r>
        <w:t>,</w:t>
      </w:r>
    </w:p>
    <w:p w14:paraId="3AA8734D" w14:textId="77777777" w:rsidR="008E5A20" w:rsidRPr="00D060A7" w:rsidRDefault="00FC6BFD" w:rsidP="008E5A20">
      <w:pPr>
        <w:pStyle w:val="JuPara"/>
      </w:pPr>
      <w:r>
        <w:t>mając na uwadze:</w:t>
      </w:r>
    </w:p>
    <w:p w14:paraId="6B5C1BD3" w14:textId="1A89DFB4" w:rsidR="008E5A20" w:rsidRPr="00D060A7" w:rsidRDefault="00FC6BFD" w:rsidP="008E5A20">
      <w:pPr>
        <w:pStyle w:val="JuPara"/>
      </w:pPr>
      <w:r>
        <w:t>skargę (nr 21766/22) przeciwko Republice Mołd</w:t>
      </w:r>
      <w:r w:rsidR="00F81ED6">
        <w:t>a</w:t>
      </w:r>
      <w:r>
        <w:t>w</w:t>
      </w:r>
      <w:r w:rsidR="00F81ED6">
        <w:t>ii</w:t>
      </w:r>
      <w:r>
        <w:t>, wniesioną do</w:t>
      </w:r>
      <w:r w:rsidR="00CF6F04">
        <w:t> </w:t>
      </w:r>
      <w:r>
        <w:t>Trybunału na podstawie art. 34 Konwencji o ochronie praw człowieka i</w:t>
      </w:r>
      <w:r w:rsidR="00F81ED6">
        <w:t> </w:t>
      </w:r>
      <w:r>
        <w:t xml:space="preserve">podstawowych wolności („Konwencja”) przez obywatela mołdawskiego, pana Ivana </w:t>
      </w:r>
      <w:proofErr w:type="spellStart"/>
      <w:r>
        <w:t>Cavcę</w:t>
      </w:r>
      <w:proofErr w:type="spellEnd"/>
      <w:r>
        <w:t xml:space="preserve"> („skarżący”), w dniu 18 kwietnia 2022 r.;</w:t>
      </w:r>
    </w:p>
    <w:p w14:paraId="47A45919" w14:textId="5DA3A214" w:rsidR="008E5A20" w:rsidRPr="00D060A7" w:rsidRDefault="00FC6BFD" w:rsidP="008E5A20">
      <w:pPr>
        <w:pStyle w:val="JuPara"/>
      </w:pPr>
      <w:r>
        <w:t>decyzję o zakomunikowaniu Rządowi Mołd</w:t>
      </w:r>
      <w:r w:rsidR="00F81ED6">
        <w:t>a</w:t>
      </w:r>
      <w:r>
        <w:t>w</w:t>
      </w:r>
      <w:r w:rsidR="00F81ED6">
        <w:t>ii</w:t>
      </w:r>
      <w:r>
        <w:t xml:space="preserve"> („Rząd”) zarzutów dotyczących art. 6 ust. 1 Konwencji w zakresie </w:t>
      </w:r>
      <w:r w:rsidR="00C62D19" w:rsidRPr="00C62D19">
        <w:t>zarzutu nakłaniania do</w:t>
      </w:r>
      <w:r w:rsidR="00CF6F04">
        <w:t> </w:t>
      </w:r>
      <w:r w:rsidR="00C62D19" w:rsidRPr="00C62D19">
        <w:t>popełnienia czynów stanowiących przewinienie dyscyplinarne</w:t>
      </w:r>
      <w:r>
        <w:t xml:space="preserve"> oraz nieprzestrzegania zasady kontradyktoryjności postępowania, a także o</w:t>
      </w:r>
      <w:r w:rsidR="00CF6F04">
        <w:t> </w:t>
      </w:r>
      <w:r>
        <w:t>uznaniu pozostałej części skargi za niedopuszczalną;</w:t>
      </w:r>
    </w:p>
    <w:p w14:paraId="06FB0035" w14:textId="77777777" w:rsidR="008E5A20" w:rsidRPr="00D060A7" w:rsidRDefault="00FC6BFD" w:rsidP="008E5A20">
      <w:pPr>
        <w:pStyle w:val="JuPara"/>
      </w:pPr>
      <w:r>
        <w:t>uwagi stron;</w:t>
      </w:r>
    </w:p>
    <w:p w14:paraId="6643A8D9" w14:textId="77777777" w:rsidR="008E5A20" w:rsidRPr="00D060A7" w:rsidRDefault="00FC6BFD" w:rsidP="008E5A20">
      <w:pPr>
        <w:pStyle w:val="JuPara"/>
      </w:pPr>
      <w:r>
        <w:t>obradując na posiedzeniu niejawnym w dniu 3 grudnia 2024 r.,</w:t>
      </w:r>
    </w:p>
    <w:p w14:paraId="4CB1847E" w14:textId="77777777" w:rsidR="008E5A20" w:rsidRPr="00396538" w:rsidRDefault="00FC6BFD" w:rsidP="008E5A20">
      <w:pPr>
        <w:pStyle w:val="JuPara"/>
      </w:pPr>
      <w:r>
        <w:t>wydaje następujący wyrok, który został przyjęty w tym dniu:</w:t>
      </w:r>
    </w:p>
    <w:p w14:paraId="5134B2AF" w14:textId="77777777" w:rsidR="008E5A20" w:rsidRPr="00396538" w:rsidRDefault="00FC6BFD" w:rsidP="008E5A20">
      <w:pPr>
        <w:pStyle w:val="JuHHead"/>
        <w:numPr>
          <w:ilvl w:val="0"/>
          <w:numId w:val="0"/>
        </w:numPr>
      </w:pPr>
      <w:r>
        <w:t>WPROWADZENIE</w:t>
      </w:r>
    </w:p>
    <w:p w14:paraId="6DB7C667" w14:textId="42F3B6CF" w:rsidR="008E5A20" w:rsidRPr="00396538" w:rsidRDefault="00891FA7" w:rsidP="008E5A20">
      <w:pPr>
        <w:pStyle w:val="JuPara"/>
      </w:pPr>
      <w:r>
        <w:fldChar w:fldCharType="begin"/>
      </w:r>
      <w:r>
        <w:instrText xml:space="preserve"> SEQ level0 \*arabic \* MERGEFORMAT </w:instrText>
      </w:r>
      <w:r>
        <w:fldChar w:fldCharType="separate"/>
      </w:r>
      <w:r>
        <w:rPr>
          <w:noProof/>
        </w:rPr>
        <w:t>1</w:t>
      </w:r>
      <w:r>
        <w:rPr>
          <w:noProof/>
        </w:rPr>
        <w:fldChar w:fldCharType="end"/>
      </w:r>
      <w:r w:rsidR="008E5A20">
        <w:t>.</w:t>
      </w:r>
      <w:r w:rsidR="00E91724">
        <w:t xml:space="preserve"> </w:t>
      </w:r>
      <w:r w:rsidR="008E5A20">
        <w:t xml:space="preserve">Sprawa dotyczy </w:t>
      </w:r>
      <w:r w:rsidR="000B0A6C" w:rsidRPr="000B0A6C">
        <w:t xml:space="preserve">zarzucanego nakłonienia </w:t>
      </w:r>
      <w:r w:rsidR="008E5A20">
        <w:t>skarżącego do popełnienia przewinienia dyscyplinarnego oraz niewystarczających gwarancji proceduralnych w tym zakresie (art. 6 ust. 1 Konwencji).</w:t>
      </w:r>
    </w:p>
    <w:p w14:paraId="3E434DA9" w14:textId="77777777" w:rsidR="008E5A20" w:rsidRPr="00396538" w:rsidRDefault="00FC6BFD" w:rsidP="008E5A20">
      <w:pPr>
        <w:pStyle w:val="JuHHead"/>
      </w:pPr>
      <w:r>
        <w:t>FAKTY</w:t>
      </w:r>
    </w:p>
    <w:p w14:paraId="37072A21" w14:textId="7EDA04CD" w:rsidR="008E5A20" w:rsidRPr="00D060A7" w:rsidRDefault="00891FA7" w:rsidP="008E5A20">
      <w:pPr>
        <w:pStyle w:val="JuPara"/>
      </w:pPr>
      <w:r>
        <w:fldChar w:fldCharType="begin"/>
      </w:r>
      <w:r>
        <w:instrText xml:space="preserve"> SEQ level0 \*arabic </w:instrText>
      </w:r>
      <w:r>
        <w:fldChar w:fldCharType="separate"/>
      </w:r>
      <w:r>
        <w:rPr>
          <w:noProof/>
        </w:rPr>
        <w:t>2</w:t>
      </w:r>
      <w:r>
        <w:rPr>
          <w:noProof/>
        </w:rPr>
        <w:fldChar w:fldCharType="end"/>
      </w:r>
      <w:r w:rsidR="00FC6BFD">
        <w:t>.</w:t>
      </w:r>
      <w:r w:rsidR="00E91724">
        <w:t xml:space="preserve"> </w:t>
      </w:r>
      <w:r w:rsidR="00FC6BFD">
        <w:t xml:space="preserve">Skarżący urodził się w 1988 r. i mieszka w </w:t>
      </w:r>
      <w:proofErr w:type="spellStart"/>
      <w:r w:rsidR="00FC6BFD">
        <w:t>Cozești</w:t>
      </w:r>
      <w:proofErr w:type="spellEnd"/>
      <w:r w:rsidR="00FC6BFD">
        <w:t xml:space="preserve">. </w:t>
      </w:r>
      <w:r w:rsidR="009C4EC4">
        <w:t>R</w:t>
      </w:r>
      <w:r w:rsidR="00FC6BFD">
        <w:t xml:space="preserve">eprezentował </w:t>
      </w:r>
      <w:r w:rsidR="009C4EC4">
        <w:t xml:space="preserve">go pan </w:t>
      </w:r>
      <w:r w:rsidR="00FC6BFD">
        <w:t>I. </w:t>
      </w:r>
      <w:proofErr w:type="spellStart"/>
      <w:r w:rsidR="00FC6BFD">
        <w:t>Cobîşenco</w:t>
      </w:r>
      <w:proofErr w:type="spellEnd"/>
      <w:r w:rsidR="00FC6BFD">
        <w:t xml:space="preserve">, </w:t>
      </w:r>
      <w:r w:rsidR="009C4EC4">
        <w:t>prawnik wykonujący zawód</w:t>
      </w:r>
      <w:r w:rsidR="00FC6BFD">
        <w:t xml:space="preserve"> w Kiszyniowie.</w:t>
      </w:r>
    </w:p>
    <w:p w14:paraId="28E816BF" w14:textId="4094C6D6" w:rsidR="008E5A20" w:rsidRPr="00D060A7" w:rsidRDefault="00891FA7" w:rsidP="008E5A20">
      <w:pPr>
        <w:pStyle w:val="JuPara"/>
      </w:pPr>
      <w:r>
        <w:fldChar w:fldCharType="begin"/>
      </w:r>
      <w:r>
        <w:instrText xml:space="preserve"> SEQ level0 \*arabic </w:instrText>
      </w:r>
      <w:r>
        <w:fldChar w:fldCharType="separate"/>
      </w:r>
      <w:r>
        <w:rPr>
          <w:noProof/>
        </w:rPr>
        <w:t>3</w:t>
      </w:r>
      <w:r>
        <w:rPr>
          <w:noProof/>
        </w:rPr>
        <w:fldChar w:fldCharType="end"/>
      </w:r>
      <w:r w:rsidR="00FC6BFD">
        <w:t>.</w:t>
      </w:r>
      <w:r w:rsidR="00E91724">
        <w:t xml:space="preserve"> </w:t>
      </w:r>
      <w:r w:rsidR="00FC6BFD">
        <w:t xml:space="preserve">Rząd </w:t>
      </w:r>
      <w:r w:rsidR="009C4EC4" w:rsidRPr="009C4EC4">
        <w:t>był reprezentowany przez swojego pełnomocnika, pana</w:t>
      </w:r>
      <w:r w:rsidR="00FC6BFD">
        <w:t xml:space="preserve"> D. </w:t>
      </w:r>
      <w:proofErr w:type="spellStart"/>
      <w:r w:rsidR="00FC6BFD">
        <w:t>Obadă</w:t>
      </w:r>
      <w:proofErr w:type="spellEnd"/>
      <w:r w:rsidR="00FC6BFD">
        <w:t>.</w:t>
      </w:r>
    </w:p>
    <w:p w14:paraId="6ABD604C" w14:textId="28D079B9" w:rsidR="008E5A20" w:rsidRPr="00D060A7" w:rsidRDefault="00891FA7" w:rsidP="008E5A20">
      <w:pPr>
        <w:pStyle w:val="JuPara"/>
      </w:pPr>
      <w:r>
        <w:fldChar w:fldCharType="begin"/>
      </w:r>
      <w:r>
        <w:instrText xml:space="preserve"> SEQ level0 \*arabic </w:instrText>
      </w:r>
      <w:r>
        <w:fldChar w:fldCharType="separate"/>
      </w:r>
      <w:r>
        <w:rPr>
          <w:noProof/>
        </w:rPr>
        <w:t>4</w:t>
      </w:r>
      <w:r>
        <w:rPr>
          <w:noProof/>
        </w:rPr>
        <w:fldChar w:fldCharType="end"/>
      </w:r>
      <w:r w:rsidR="00FC6BFD">
        <w:t>.</w:t>
      </w:r>
      <w:r w:rsidR="00E91724">
        <w:t xml:space="preserve"> </w:t>
      </w:r>
      <w:r w:rsidR="00FC6BFD">
        <w:t>Fakty sprawy można streścić następująco.</w:t>
      </w:r>
    </w:p>
    <w:bookmarkStart w:id="0" w:name="p_5_start_testing_EPI"/>
    <w:p w14:paraId="7E242550" w14:textId="73250011" w:rsidR="008E5A20" w:rsidRPr="00396538" w:rsidRDefault="00FC6BFD" w:rsidP="008E5A20">
      <w:pPr>
        <w:pStyle w:val="JuPara"/>
      </w:pPr>
      <w:r w:rsidRPr="00D060A7">
        <w:fldChar w:fldCharType="begin"/>
      </w:r>
      <w:r w:rsidRPr="00D060A7">
        <w:instrText xml:space="preserve"> SEQ level0 \*arabic </w:instrText>
      </w:r>
      <w:r w:rsidRPr="00D060A7">
        <w:fldChar w:fldCharType="separate"/>
      </w:r>
      <w:r w:rsidR="00891FA7">
        <w:rPr>
          <w:noProof/>
        </w:rPr>
        <w:t>5</w:t>
      </w:r>
      <w:r w:rsidRPr="00D060A7">
        <w:fldChar w:fldCharType="end"/>
      </w:r>
      <w:bookmarkEnd w:id="0"/>
      <w:r>
        <w:t>.</w:t>
      </w:r>
      <w:r w:rsidR="00E91724">
        <w:t xml:space="preserve"> </w:t>
      </w:r>
      <w:r>
        <w:t xml:space="preserve">Skarżący był kierownikiem </w:t>
      </w:r>
      <w:r w:rsidR="009C4EC4">
        <w:t>terenowej jednostki</w:t>
      </w:r>
      <w:r>
        <w:t xml:space="preserve"> Inspektoratu Ochrony Środowiska („IOŚ”). Przed zdarzeniami stanowiącymi przedmiot sprawy </w:t>
      </w:r>
      <w:r w:rsidR="009C4EC4" w:rsidRPr="009C4EC4">
        <w:t>nigdy nie został ukarany za jakiekolwiek przewinienie dyscyplinarne</w:t>
      </w:r>
      <w:r>
        <w:t xml:space="preserve">. W dniu 29 lutego 2019 r. Krajowe Centrum Antykorupcyjne („KCA”) wszczęło procedurę </w:t>
      </w:r>
      <w:r w:rsidR="00436E50" w:rsidRPr="00436E50">
        <w:t xml:space="preserve">testowania uczciwości zawodowej </w:t>
      </w:r>
      <w:r>
        <w:t>pracowników IOŚ zgodnie z</w:t>
      </w:r>
      <w:r w:rsidR="00436E50">
        <w:t> </w:t>
      </w:r>
      <w:r>
        <w:t>ustawą nr 325 o ocenie uczciwości instytucjonalnej (zob. pkt </w:t>
      </w:r>
      <w:r w:rsidRPr="00396538">
        <w:fldChar w:fldCharType="begin"/>
      </w:r>
      <w:r w:rsidRPr="00396538">
        <w:instrText xml:space="preserve"> REF p_16_law_instit_integrity \h  \* MERGEFORMAT </w:instrText>
      </w:r>
      <w:r w:rsidRPr="00396538">
        <w:fldChar w:fldCharType="separate"/>
      </w:r>
      <w:r w:rsidR="00891FA7">
        <w:t>18</w:t>
      </w:r>
      <w:r w:rsidRPr="00396538">
        <w:fldChar w:fldCharType="end"/>
      </w:r>
      <w:r>
        <w:t xml:space="preserve"> poniżej). Na podstawie dostępnych informacji, takich jak wcześniejsze raporty, </w:t>
      </w:r>
      <w:r>
        <w:lastRenderedPageBreak/>
        <w:t xml:space="preserve">decyzja Trybunału Obrachunkowego, raporty organizacji pozarządowych, dane statystyczne oraz konkretne potwierdzone przypadki korupcji wśród pracowników IOŚ, zidentyfikowano ryzyka korupcyjne w IOŚ. Sporządzono również plan losowego </w:t>
      </w:r>
      <w:r w:rsidR="00CF6F04">
        <w:t>testowania</w:t>
      </w:r>
      <w:r>
        <w:t xml:space="preserve"> funkcjonariuszy publicznych zatrudnionych w IOŚ oraz oceny wyników i sformułowania propozycji ograniczenia tego rodzaju </w:t>
      </w:r>
      <w:proofErr w:type="spellStart"/>
      <w:r>
        <w:t>ryzyk</w:t>
      </w:r>
      <w:proofErr w:type="spellEnd"/>
      <w:r>
        <w:t xml:space="preserve"> po przeprowadzeniu </w:t>
      </w:r>
      <w:r w:rsidR="00CF6F04">
        <w:t>testu</w:t>
      </w:r>
      <w:r>
        <w:t>. W ramach procedury dotyczącej niniejszej sprawy sędzia Sądu w Kiszyniowie (</w:t>
      </w:r>
      <w:r w:rsidR="00276FD4" w:rsidRPr="00276FD4">
        <w:t>oddział</w:t>
      </w:r>
      <w:r>
        <w:t xml:space="preserve"> </w:t>
      </w:r>
      <w:proofErr w:type="spellStart"/>
      <w:r>
        <w:t>Centru</w:t>
      </w:r>
      <w:proofErr w:type="spellEnd"/>
      <w:r>
        <w:t xml:space="preserve">) zbadał, czy przeprowadzenie takich </w:t>
      </w:r>
      <w:r w:rsidR="00CF6F04">
        <w:t>testów</w:t>
      </w:r>
      <w:r>
        <w:t xml:space="preserve"> było konieczne i w jaki sposób miały one zostać przeprowadzone, a następnie zezwolił na ich przeprowadzenie decyzją z dnia 5 marca 2019 r.</w:t>
      </w:r>
    </w:p>
    <w:bookmarkStart w:id="1" w:name="p_6_the_test"/>
    <w:p w14:paraId="4BB868DF" w14:textId="351E3A13"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6</w:t>
      </w:r>
      <w:r w:rsidRPr="00396538">
        <w:fldChar w:fldCharType="end"/>
      </w:r>
      <w:bookmarkEnd w:id="1"/>
      <w:r>
        <w:t>.</w:t>
      </w:r>
      <w:r w:rsidR="00E91724">
        <w:t xml:space="preserve"> </w:t>
      </w:r>
      <w:r>
        <w:t xml:space="preserve">W dniu 22 maja 2019 r. ktoś zadzwonił do biura skarżącego, </w:t>
      </w:r>
      <w:r w:rsidR="00436E50">
        <w:t xml:space="preserve">zgłaszając </w:t>
      </w:r>
      <w:r>
        <w:t>nielegalną wycinkę drzew. W miejscu wskazanym przez osobę dzwoniącą skarżący stwierdził, że S. ściął drzewo piłą łańcuchową. W rzeczywistości S.</w:t>
      </w:r>
      <w:r w:rsidR="00CF6F04">
        <w:t> </w:t>
      </w:r>
      <w:r>
        <w:t xml:space="preserve">działał pod przykryciem </w:t>
      </w:r>
      <w:r w:rsidR="00436E50" w:rsidRPr="00436E50">
        <w:t>w celu przetestowania uczciwości zawodowej</w:t>
      </w:r>
      <w:r w:rsidR="00436E50">
        <w:t xml:space="preserve"> </w:t>
      </w:r>
      <w:r>
        <w:t xml:space="preserve">skarżącego. Zasugerował on skarżącemu, że sprawa mogłaby zostać załatwiona </w:t>
      </w:r>
      <w:r w:rsidR="00436E50" w:rsidRPr="00436E50">
        <w:t>bez przeprowadzania procedury urzędowej</w:t>
      </w:r>
      <w:r>
        <w:t xml:space="preserve">, i </w:t>
      </w:r>
      <w:r w:rsidR="00436E50" w:rsidRPr="00436E50">
        <w:t>zaoferował mu różne przedmioty tytułem łapówki</w:t>
      </w:r>
      <w:r>
        <w:t xml:space="preserve">. Skarżący odrzucił tę sugestię i sporządził protokół wykroczenia administracyjnego popełnionego przez S., nakładając na niego grzywnę. Następnie S. wrócił do biura skarżącego, aby okazać dowód uiszczenia grzywny. Skarżący poinformował go, że musi również skonfiskować </w:t>
      </w:r>
      <w:r w:rsidR="00436E50" w:rsidRPr="00436E50">
        <w:t>piłę łańcuchową użytą do popełnienia</w:t>
      </w:r>
      <w:r>
        <w:t xml:space="preserve"> wykroczenia administracyjnego. S. odpowiedział, że nie stanowi to problemu, ponieważ ma inne podobne narzędzie. Według Rządu skarżący dał S. gestem do</w:t>
      </w:r>
      <w:r w:rsidR="00CF6F04">
        <w:t> </w:t>
      </w:r>
      <w:r>
        <w:t xml:space="preserve">zrozumienia, by nic nie mówił, tak </w:t>
      </w:r>
      <w:r w:rsidR="00B11EF3" w:rsidRPr="00B11EF3">
        <w:t>aby nie zostali podsłuchani</w:t>
      </w:r>
      <w:r>
        <w:t>; następnie wyszli na zewnątrz, a skarżący powiedział mu, że musiał sporządzić protokół, ponieważ wpłynęła skarga i obecny był miejscowy leśniczy. Obiecał pomóc S. w przyszłości, jeżeli ten uprzedzi go odpowiednio wcześniej. S. zapytał, czy skarżący potrzebuje piły łańcuchowej (najwyraźniej oferując ją jako łapówkę), a skarżący odpowiedział, że tak, i wskazał mu samochód, w</w:t>
      </w:r>
      <w:r w:rsidR="00CF6F04">
        <w:t> </w:t>
      </w:r>
      <w:r>
        <w:t>którym mógł ją zostawić. S. potajemnie nagrał powyższe zdarzenia.</w:t>
      </w:r>
    </w:p>
    <w:bookmarkStart w:id="2" w:name="p_7_closed_court_dec"/>
    <w:p w14:paraId="7C9C01C2" w14:textId="0C6CA604"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7</w:t>
      </w:r>
      <w:r w:rsidRPr="00396538">
        <w:fldChar w:fldCharType="end"/>
      </w:r>
      <w:bookmarkEnd w:id="2"/>
      <w:r>
        <w:t>.</w:t>
      </w:r>
      <w:r w:rsidR="00E91724">
        <w:t xml:space="preserve"> </w:t>
      </w:r>
      <w:r>
        <w:t xml:space="preserve">W decyzji z dnia 28 stycznia 2020 r. sędzia, który uprzednio </w:t>
      </w:r>
      <w:r w:rsidR="00B11EF3" w:rsidRPr="00B11EF3">
        <w:t>zezwolił na przeprowadzenie testów</w:t>
      </w:r>
      <w:r>
        <w:t xml:space="preserve">, zbadał cały materiał dotyczący szeregu funkcjonariuszy publicznych poddanych </w:t>
      </w:r>
      <w:r w:rsidR="00CF6F04">
        <w:t>testom</w:t>
      </w:r>
      <w:r>
        <w:t xml:space="preserve"> w odpowiednim okresie, w</w:t>
      </w:r>
      <w:r w:rsidR="00CF6F04">
        <w:t> </w:t>
      </w:r>
      <w:r>
        <w:t xml:space="preserve">tym nagrania audiowizualne. Potwierdził on opisane wyżej fakty odnoszące się do skarżącego. Sędzia ustalił, że kilku funkcjonariuszy publicznych, w tym skarżący, </w:t>
      </w:r>
      <w:r w:rsidR="00B11EF3" w:rsidRPr="00B11EF3">
        <w:t>nie przeszło pomyślnie testu uczciwości zawodowej</w:t>
      </w:r>
      <w:r>
        <w:t xml:space="preserve">. Stwierdził także, że „...KCA wykazało istnienie przesłanek wskazujących, iż opisane wyżej czyny [naruszenia zasad etyki zawodowej] zostałyby popełnione przez funkcjonariuszy publicznych nawet przy braku jakiegokolwiek zaangażowania władz państwowych”. Nie podał jednak żadnych szczegółów. Skarżący i inni objęci </w:t>
      </w:r>
      <w:r w:rsidR="00CF6F04">
        <w:t>testowaniem</w:t>
      </w:r>
      <w:r>
        <w:t xml:space="preserve"> funkcjonariusze nie zostali wezwani na posiedzenie i nie mieli możliwości przedstawienia jakichkolwiek stanowisk w tym postępowaniu. Jedynie </w:t>
      </w:r>
      <w:r w:rsidR="00B11EF3" w:rsidRPr="00B11EF3">
        <w:t xml:space="preserve">instytucja objęta </w:t>
      </w:r>
      <w:r w:rsidR="00B11EF3" w:rsidRPr="00B11EF3">
        <w:lastRenderedPageBreak/>
        <w:t>testowaniem uczciwości zawodowej</w:t>
      </w:r>
      <w:r>
        <w:t xml:space="preserve"> (w niniejszej sprawie IOŚ) mogła wnieść odwołanie od tej decyzji.</w:t>
      </w:r>
    </w:p>
    <w:bookmarkStart w:id="3" w:name="p_8_disciplinary_commission_dec"/>
    <w:p w14:paraId="07FC6C03" w14:textId="14F02D59"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8</w:t>
      </w:r>
      <w:r w:rsidRPr="00396538">
        <w:fldChar w:fldCharType="end"/>
      </w:r>
      <w:bookmarkEnd w:id="3"/>
      <w:r>
        <w:t>.</w:t>
      </w:r>
      <w:r w:rsidR="00E91724">
        <w:t xml:space="preserve"> </w:t>
      </w:r>
      <w:r w:rsidR="00B11EF3" w:rsidRPr="00B11EF3">
        <w:t>W związku z decyzją</w:t>
      </w:r>
      <w:r>
        <w:t xml:space="preserve"> z dnia 28 stycznia 2020 r. KCA zwróciło się do IOŚ o zbadanie materiału sprawy i poinformowanie go o wszelkich podjętych działaniach. W dniu 8 maja 2020 r., po wysłuchaniu skarżącego, komisja dyscyplinarna IOŚ zaproponowała jego zwolnienie z pracy z uwagi na niezaliczenie </w:t>
      </w:r>
      <w:r w:rsidR="00CF6F04">
        <w:t>testu</w:t>
      </w:r>
      <w:r>
        <w:t xml:space="preserve"> uczciwości. Wskazała ona między innymi, że skarżący naruszył „</w:t>
      </w:r>
      <w:r w:rsidR="00B11EF3" w:rsidRPr="00B11EF3">
        <w:t>akty normatywne do użytku wewnętrznego</w:t>
      </w:r>
      <w:r>
        <w:t>”, mianowicie kilka przepisów ustawy o funkcjach publicznych i statusie funkcjonariuszy publicznych. W dniu 19 maja 2020 r. IOŚ podjęło na tej podstawie decyzję o</w:t>
      </w:r>
      <w:r w:rsidR="00CF6F04">
        <w:t> </w:t>
      </w:r>
      <w:r>
        <w:t>zwolnieniu skarżącego z pracy. W decyzji tej odnotowano także, że</w:t>
      </w:r>
      <w:r w:rsidR="00CF6F04">
        <w:t> </w:t>
      </w:r>
      <w:r>
        <w:t>skarżący podjął działania „w celu zaspokojenia żądań poza ramami prawa – działania, które naruszały prestiż organu publicznego, dla którego pracował – [a także dopuścił się] naruszenia zasad postępowania funkcjonariusza publicznego [oraz] naruszenia przepisów dotyczących praw i obowiązków przewidzianych ustawą...”.</w:t>
      </w:r>
    </w:p>
    <w:bookmarkStart w:id="4" w:name="p_9_challenge_in_court"/>
    <w:p w14:paraId="79C85E5E" w14:textId="593C191B"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9</w:t>
      </w:r>
      <w:r w:rsidRPr="00396538">
        <w:fldChar w:fldCharType="end"/>
      </w:r>
      <w:bookmarkEnd w:id="4"/>
      <w:r>
        <w:t>.</w:t>
      </w:r>
      <w:r w:rsidR="00E91724">
        <w:t xml:space="preserve"> </w:t>
      </w:r>
      <w:r>
        <w:t xml:space="preserve">W dniu 18 czerwca 2020 r. skarżący zaskarżył tę decyzję do sądu. Podniósł on między innymi, że został </w:t>
      </w:r>
      <w:r w:rsidR="00582680" w:rsidRPr="00582680">
        <w:t>nakłoniony</w:t>
      </w:r>
      <w:r>
        <w:t xml:space="preserve"> do popełnienia przewinienia dyscyplinarnego, a wymierzona sankcja była nieproporcjonalna.</w:t>
      </w:r>
    </w:p>
    <w:bookmarkStart w:id="5" w:name="p_10_1st_inst_court_dec"/>
    <w:p w14:paraId="16D92D98" w14:textId="26249524"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10</w:t>
      </w:r>
      <w:r w:rsidRPr="00396538">
        <w:fldChar w:fldCharType="end"/>
      </w:r>
      <w:bookmarkEnd w:id="5"/>
      <w:r>
        <w:t>.</w:t>
      </w:r>
      <w:r w:rsidR="00E91724">
        <w:t xml:space="preserve"> </w:t>
      </w:r>
      <w:r>
        <w:t>W dniu 3 listopada 2020 r. Sąd w Kiszyniowie (</w:t>
      </w:r>
      <w:r w:rsidR="00276FD4" w:rsidRPr="00276FD4">
        <w:t>oddział</w:t>
      </w:r>
      <w:r>
        <w:t xml:space="preserve"> </w:t>
      </w:r>
      <w:proofErr w:type="spellStart"/>
      <w:r>
        <w:t>Râșcani</w:t>
      </w:r>
      <w:proofErr w:type="spellEnd"/>
      <w:r>
        <w:t xml:space="preserve">) </w:t>
      </w:r>
      <w:r w:rsidR="00276FD4" w:rsidRPr="00276FD4">
        <w:t>oddalił skargę jako bezzasadną</w:t>
      </w:r>
      <w:r>
        <w:t>. Uznał, że skłonność skarżącego do</w:t>
      </w:r>
      <w:r w:rsidR="00CF6F04">
        <w:t> </w:t>
      </w:r>
      <w:r>
        <w:t>popełnienia tego rodzaju czynów wynikała z nagrań wideo wydarzeń z</w:t>
      </w:r>
      <w:r w:rsidR="00CF6F04">
        <w:t> </w:t>
      </w:r>
      <w:r>
        <w:t>dnia 22 maja 2019 r., które zostały zbadane na rozprawie, a także z faktu, że</w:t>
      </w:r>
      <w:r w:rsidR="00CF6F04">
        <w:t> </w:t>
      </w:r>
      <w:r>
        <w:t>w</w:t>
      </w:r>
      <w:r w:rsidR="00CF6F04">
        <w:t> </w:t>
      </w:r>
      <w:r>
        <w:t xml:space="preserve">międzyczasie dobrowolnie zwrócił państwu koszt piły łańcuchowej. Ponadto wyniki </w:t>
      </w:r>
      <w:r w:rsidR="00CF6F04">
        <w:t>testu</w:t>
      </w:r>
      <w:r>
        <w:t xml:space="preserve"> uczciwości zawodowej zostały potwierdzone przez sąd decyzją z dnia 28 stycznia 2020 r. Sąd odnotował między innymi oświadczenie przedstawiciela KCA. Zgodnie z tym oświadczeniem skarżący kilkakrotnie stwierdził, że musiał sporządzić protokół wykroczenia administracyjnego, ponieważ skarga została już złożona, a on nie był sam; wielokrotnie wskazywał także, że piła łańcuchowa musi zostać skonfiskowana, zaś S. odpowiadał, że nie ma z tym problemu, ponieważ ma inne podobne narzędzie; oraz że „na tle tej wcześniejszej rozmowy [dotyczącej piły], kiedy [wyszli] na zewnątrz, [S.] ponownie zapytał, czy</w:t>
      </w:r>
      <w:r w:rsidR="00CF6F04">
        <w:t> </w:t>
      </w:r>
      <w:r>
        <w:t>skarżący potrzebuje takiego narzędzia, i nie zdołał nawet dokończyć zdania, ponieważ skarżący odpowiedział mu, że tak”. Sąd nie odniósł się do</w:t>
      </w:r>
      <w:r w:rsidR="00CF6F04">
        <w:t> </w:t>
      </w:r>
      <w:r w:rsidR="006B0DCE">
        <w:t>zarzut</w:t>
      </w:r>
      <w:r>
        <w:t>u skarżącego dotyczącego prowokacji.</w:t>
      </w:r>
    </w:p>
    <w:bookmarkStart w:id="6" w:name="p_11_first_appeal"/>
    <w:p w14:paraId="24B6D3FF" w14:textId="2320C384"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11</w:t>
      </w:r>
      <w:r w:rsidRPr="00396538">
        <w:fldChar w:fldCharType="end"/>
      </w:r>
      <w:bookmarkEnd w:id="6"/>
      <w:r>
        <w:t>.</w:t>
      </w:r>
      <w:r w:rsidR="00E91724">
        <w:t xml:space="preserve"> </w:t>
      </w:r>
      <w:r>
        <w:t>Skarżący wniósł apelację, podnosząc między innymi, że nagranie wideo dokumentujące przedmiotowe zdarzenia ukazywało, jak S. oferuje mu brandy, ryby, pieniądze, a ostatecznie piłę łańcuchową. Nie było to bierne nagrywanie trwającego czynu, lecz aktywne nakłanianie do przyjęcia łapówki. Ponadto, zgodnie z art. 28 ustawy o ocenie uczciwości instytucjonalnej (zob. pkt </w:t>
      </w:r>
      <w:r w:rsidRPr="00396538">
        <w:fldChar w:fldCharType="begin"/>
      </w:r>
      <w:r w:rsidRPr="00396538">
        <w:instrText xml:space="preserve"> REF p_16_law_instit_integrity \h  \* MERGEFORMAT </w:instrText>
      </w:r>
      <w:r w:rsidRPr="00396538">
        <w:fldChar w:fldCharType="separate"/>
      </w:r>
      <w:r w:rsidR="00891FA7">
        <w:t>18</w:t>
      </w:r>
      <w:r w:rsidRPr="00396538">
        <w:fldChar w:fldCharType="end"/>
      </w:r>
      <w:r>
        <w:t xml:space="preserve"> poniżej), IOŚ miało obowiązek poinformować go, że jego uczciwość zawodowa może zostać poddana </w:t>
      </w:r>
      <w:r w:rsidR="00CF6F04">
        <w:t>testowi</w:t>
      </w:r>
      <w:r>
        <w:t xml:space="preserve">, a on </w:t>
      </w:r>
      <w:r>
        <w:lastRenderedPageBreak/>
        <w:t>powinien był poświadczyć takie zawiadomienie podpisem. W jego przypadku tak się nie stało. Dodał również, że zgodnie z prawem krajowym pracodawca miał obowiązek wypłacić mu wynagrodzenie, którego nie otrzymywał przez cały okres po bezprawnym zwolnieniu, oraz naprawić wyrządzoną mu szkodę niemajątkową, którą oszacował na równowartość dwóch przeciętnych miesięcznych wynagrodzeń.</w:t>
      </w:r>
    </w:p>
    <w:p w14:paraId="14EFA4D2" w14:textId="773D963F" w:rsidR="008E5A20" w:rsidRPr="00396538" w:rsidRDefault="00891FA7" w:rsidP="008E5A20">
      <w:pPr>
        <w:pStyle w:val="JuPara"/>
      </w:pPr>
      <w:r>
        <w:fldChar w:fldCharType="begin"/>
      </w:r>
      <w:r>
        <w:instrText xml:space="preserve"> SEQ level0 \*arabic \* MERGEFORMAT </w:instrText>
      </w:r>
      <w:r>
        <w:fldChar w:fldCharType="separate"/>
      </w:r>
      <w:r>
        <w:rPr>
          <w:noProof/>
        </w:rPr>
        <w:t>12</w:t>
      </w:r>
      <w:r>
        <w:rPr>
          <w:noProof/>
        </w:rPr>
        <w:fldChar w:fldCharType="end"/>
      </w:r>
      <w:r w:rsidR="008E5A20">
        <w:t>.</w:t>
      </w:r>
      <w:r w:rsidR="00E91724">
        <w:t xml:space="preserve"> </w:t>
      </w:r>
      <w:r w:rsidR="008E5A20">
        <w:t>W dniu 12 maja 2021 r. Sąd Apelacyjny w Kiszyniowie utrzymał w</w:t>
      </w:r>
      <w:r w:rsidR="00CF6F04">
        <w:t> </w:t>
      </w:r>
      <w:r w:rsidR="008E5A20">
        <w:t xml:space="preserve">mocy orzeczenie sądu niższej instancji, zasadniczo z tych samych powodów. Nie odniósł się do </w:t>
      </w:r>
      <w:r w:rsidR="006B0DCE">
        <w:t>zarzut</w:t>
      </w:r>
      <w:r w:rsidR="008E5A20">
        <w:t xml:space="preserve">u skarżącego dotyczącego prowokacji ani do zarzutu, że nie został poinformowany o możliwości poddania go </w:t>
      </w:r>
      <w:r w:rsidR="00D65D1C">
        <w:t xml:space="preserve">testowi </w:t>
      </w:r>
      <w:r w:rsidR="008E5A20">
        <w:t>uczciwości zawodowej.</w:t>
      </w:r>
    </w:p>
    <w:p w14:paraId="4892D532" w14:textId="556C802D" w:rsidR="008E5A20" w:rsidRPr="008B60F9" w:rsidRDefault="00891FA7" w:rsidP="008E5A20">
      <w:pPr>
        <w:pStyle w:val="JuPara"/>
      </w:pPr>
      <w:r>
        <w:fldChar w:fldCharType="begin"/>
      </w:r>
      <w:r>
        <w:instrText xml:space="preserve"> SEQ level0 \*arabic \* MERGEFORMAT </w:instrText>
      </w:r>
      <w:r>
        <w:fldChar w:fldCharType="separate"/>
      </w:r>
      <w:r>
        <w:rPr>
          <w:noProof/>
        </w:rPr>
        <w:t>13</w:t>
      </w:r>
      <w:r>
        <w:rPr>
          <w:noProof/>
        </w:rPr>
        <w:fldChar w:fldCharType="end"/>
      </w:r>
      <w:r w:rsidR="008E5A20">
        <w:t>.</w:t>
      </w:r>
      <w:r w:rsidR="00E91724">
        <w:t xml:space="preserve"> </w:t>
      </w:r>
      <w:r w:rsidR="008E5A20">
        <w:t xml:space="preserve">Skarżący zaskarżył to orzeczenie, powtarzając swoje </w:t>
      </w:r>
      <w:r w:rsidR="006B0DCE">
        <w:t>zarzut</w:t>
      </w:r>
      <w:r w:rsidR="008E5A20">
        <w:t>y, w</w:t>
      </w:r>
      <w:r w:rsidR="00CF6F04">
        <w:t> </w:t>
      </w:r>
      <w:r w:rsidR="008E5A20">
        <w:t xml:space="preserve">tym dotyczące prowokacji oraz niepoinformowania go – wbrew wymogom prawa – że jego uczciwość zawodowa może zostać poddana </w:t>
      </w:r>
      <w:r w:rsidR="00D65D1C">
        <w:t>testowi</w:t>
      </w:r>
      <w:r w:rsidR="008E5A20">
        <w:t xml:space="preserve">. Odnosząc się do tego ostatniego </w:t>
      </w:r>
      <w:r w:rsidR="006B0DCE">
        <w:t>zarzu</w:t>
      </w:r>
      <w:r w:rsidR="008E5A20">
        <w:t>tu, powołał się na sprawę F., wcześniej rozstrzygniętą przez Sąd Najwyższy (zob. pkt </w:t>
      </w:r>
      <w:r w:rsidR="008E5A20" w:rsidRPr="00396538">
        <w:fldChar w:fldCharType="begin"/>
      </w:r>
      <w:r w:rsidR="008E5A20" w:rsidRPr="00396538">
        <w:instrText xml:space="preserve"> REF p_17_CSJ_decision_case_F \h  \* MERGEFORMAT </w:instrText>
      </w:r>
      <w:r w:rsidR="008E5A20" w:rsidRPr="00396538">
        <w:fldChar w:fldCharType="separate"/>
      </w:r>
      <w:r>
        <w:t>21</w:t>
      </w:r>
      <w:r w:rsidR="008E5A20" w:rsidRPr="00396538">
        <w:fldChar w:fldCharType="end"/>
      </w:r>
      <w:r w:rsidR="008E5A20">
        <w:t xml:space="preserve"> poniżej).</w:t>
      </w:r>
    </w:p>
    <w:p w14:paraId="4409AEE3" w14:textId="48DA3C47" w:rsidR="008E5A20" w:rsidRPr="00396538" w:rsidRDefault="00891FA7" w:rsidP="008E5A20">
      <w:pPr>
        <w:pStyle w:val="JuPara"/>
      </w:pPr>
      <w:r>
        <w:fldChar w:fldCharType="begin"/>
      </w:r>
      <w:r>
        <w:instrText xml:space="preserve"> SEQ level0 \*arabic \* MERGEFORMAT </w:instrText>
      </w:r>
      <w:r>
        <w:fldChar w:fldCharType="separate"/>
      </w:r>
      <w:r>
        <w:rPr>
          <w:noProof/>
        </w:rPr>
        <w:t>14</w:t>
      </w:r>
      <w:r>
        <w:rPr>
          <w:noProof/>
        </w:rPr>
        <w:fldChar w:fldCharType="end"/>
      </w:r>
      <w:r w:rsidR="008E5A20">
        <w:t>.</w:t>
      </w:r>
      <w:r w:rsidR="00E91724">
        <w:t xml:space="preserve"> </w:t>
      </w:r>
      <w:r w:rsidR="008E5A20">
        <w:t xml:space="preserve">W dniu 27 października 2021 r. Sąd Najwyższy uznał wniesiony środek odwoławczy za niedopuszczalny. Nie odniósł się do </w:t>
      </w:r>
      <w:r w:rsidR="006B0DCE">
        <w:t>zarzu</w:t>
      </w:r>
      <w:r w:rsidR="008E5A20">
        <w:t xml:space="preserve">tu skarżącego dotyczącego prowokacji ani do zarzutu, że nie został poinformowany o możliwości poddania go </w:t>
      </w:r>
      <w:r w:rsidR="00D65D1C">
        <w:t>testowi</w:t>
      </w:r>
      <w:r w:rsidR="008E5A20">
        <w:t xml:space="preserve"> uczciwości zawodowej.</w:t>
      </w:r>
    </w:p>
    <w:p w14:paraId="42871E7F" w14:textId="0D7620DF" w:rsidR="008E5A20" w:rsidRPr="00396538" w:rsidRDefault="00891FA7" w:rsidP="008E5A20">
      <w:pPr>
        <w:pStyle w:val="JuPara"/>
      </w:pPr>
      <w:r>
        <w:fldChar w:fldCharType="begin"/>
      </w:r>
      <w:r>
        <w:instrText xml:space="preserve"> SEQ level0 \*arabic \* MERGEFORMAT </w:instrText>
      </w:r>
      <w:r>
        <w:fldChar w:fldCharType="separate"/>
      </w:r>
      <w:r>
        <w:rPr>
          <w:noProof/>
        </w:rPr>
        <w:t>15</w:t>
      </w:r>
      <w:r>
        <w:rPr>
          <w:noProof/>
        </w:rPr>
        <w:fldChar w:fldCharType="end"/>
      </w:r>
      <w:r w:rsidR="008E5A20">
        <w:t>.</w:t>
      </w:r>
      <w:r w:rsidR="00E91724">
        <w:t xml:space="preserve"> </w:t>
      </w:r>
      <w:r w:rsidR="008E5A20">
        <w:t>W dniu 15 lutego 2022 r. skarżący wniósł o wznowienie postępowania w swojej sprawie, powołując się na wyrok Trybunału Konstytucyjnego uchylający część art. 17 ustawy nr 325 (zob. pkt </w:t>
      </w:r>
      <w:r w:rsidR="008E5A20" w:rsidRPr="00396538">
        <w:fldChar w:fldCharType="begin"/>
      </w:r>
      <w:r w:rsidR="008E5A20" w:rsidRPr="00396538">
        <w:instrText xml:space="preserve"> REF p_19_Const_Court_dec \h  \* MERGEFORMAT </w:instrText>
      </w:r>
      <w:r w:rsidR="008E5A20" w:rsidRPr="00396538">
        <w:fldChar w:fldCharType="separate"/>
      </w:r>
      <w:r>
        <w:t>20</w:t>
      </w:r>
      <w:r w:rsidR="008E5A20" w:rsidRPr="00396538">
        <w:fldChar w:fldCharType="end"/>
      </w:r>
      <w:r w:rsidR="008E5A20">
        <w:t xml:space="preserve"> poniżej). Jednak decyzjami z dnia 30 maja i 5 października 2022 r. odpowiednio Sąd Apelacyjny w Kiszyniowie i Sąd Najwyższy oddaliły ten wniosek.</w:t>
      </w:r>
    </w:p>
    <w:p w14:paraId="54A9B46B" w14:textId="77777777" w:rsidR="008E5A20" w:rsidRPr="00396538" w:rsidRDefault="00FC6BFD" w:rsidP="008E5A20">
      <w:pPr>
        <w:pStyle w:val="JuHHead"/>
      </w:pPr>
      <w:r>
        <w:t>WŁAŚCIWE MATERIAŁY</w:t>
      </w:r>
    </w:p>
    <w:p w14:paraId="0D7B5540" w14:textId="77777777" w:rsidR="008E5A20" w:rsidRPr="00396538" w:rsidRDefault="00FC6BFD" w:rsidP="008E5A20">
      <w:pPr>
        <w:pStyle w:val="JuHIRoman"/>
      </w:pPr>
      <w:r>
        <w:t>Właściwe prawo krajowe i praktyka</w:t>
      </w:r>
    </w:p>
    <w:bookmarkStart w:id="7" w:name="p_16_NEW_Art_343_CPC"/>
    <w:bookmarkStart w:id="8" w:name="p_15_law_public_function"/>
    <w:bookmarkStart w:id="9" w:name="p_16_NEW_law_158"/>
    <w:p w14:paraId="4F822CB3" w14:textId="7EF0711A"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16</w:t>
      </w:r>
      <w:r w:rsidRPr="00396538">
        <w:fldChar w:fldCharType="end"/>
      </w:r>
      <w:bookmarkEnd w:id="7"/>
      <w:r>
        <w:t>.</w:t>
      </w:r>
      <w:r w:rsidR="00E91724">
        <w:t xml:space="preserve"> </w:t>
      </w:r>
      <w:r>
        <w:t>Zgodnie z art. 343</w:t>
      </w:r>
      <w:r>
        <w:rPr>
          <w:vertAlign w:val="superscript"/>
        </w:rPr>
        <w:t>8</w:t>
      </w:r>
      <w:r>
        <w:t xml:space="preserve"> kodeksu postępowania cywilnego, w brzmieniu obowiązującym w czasie zaistnienia okoliczności faktycznych, decyzja potwierdzająca wynik </w:t>
      </w:r>
      <w:r w:rsidR="00D65D1C">
        <w:t>testu</w:t>
      </w:r>
      <w:r>
        <w:t xml:space="preserve"> uczciwości zawodowej mogła zostać zaskarżona przez organ objęty oceną.</w:t>
      </w:r>
    </w:p>
    <w:bookmarkStart w:id="10" w:name="p_16_NEW_law_158_bis"/>
    <w:p w14:paraId="4FF9AE8F" w14:textId="40BE10D6"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17</w:t>
      </w:r>
      <w:r w:rsidRPr="00396538">
        <w:fldChar w:fldCharType="end"/>
      </w:r>
      <w:bookmarkEnd w:id="8"/>
      <w:bookmarkEnd w:id="9"/>
      <w:bookmarkEnd w:id="10"/>
      <w:r>
        <w:t>.</w:t>
      </w:r>
      <w:r w:rsidR="00E91724">
        <w:t xml:space="preserve"> </w:t>
      </w:r>
      <w:r>
        <w:t>Zgodnie z art. 22 ustawy o funkcjach publicznych i statusie funkcjonariuszy publicznych (nr 158-XVI z dnia 23 grudnia 2008 r.) funkcjonariusz publiczny ma między innymi obowiązek przestrzegania zasad etyki zawodowej ustanowionych prawem oraz stosowania się do art. 7 ust. 2 ustawy o ocenie uczciwości instytucjonalnej (nr 325 z dnia 23 grudnia 2013 r.).</w:t>
      </w:r>
    </w:p>
    <w:p w14:paraId="38AA947E" w14:textId="77777777" w:rsidR="008E5A20" w:rsidRPr="00396538" w:rsidRDefault="00FC6BFD" w:rsidP="008E5A20">
      <w:pPr>
        <w:pStyle w:val="JuPara"/>
      </w:pPr>
      <w:r>
        <w:t>Zgodnie z art. 58 ustawy o funkcjach publicznych i statusie funkcjonariuszy publicznych, katalog mających zastosowanie sankcji dyscyplinarnych ogranicza się do upomnienia, nagany, surowej nagany, czasowego zawieszenia prawa do awansu, degradacji oraz zwolnienia.</w:t>
      </w:r>
    </w:p>
    <w:bookmarkStart w:id="11" w:name="p_16_law_instit_integrity"/>
    <w:p w14:paraId="030F78DF" w14:textId="0A0A9FC5" w:rsidR="008E5A20" w:rsidRPr="00396538" w:rsidRDefault="00FC6BFD" w:rsidP="008E5A20">
      <w:pPr>
        <w:pStyle w:val="JuPara"/>
      </w:pPr>
      <w:r w:rsidRPr="00396538">
        <w:lastRenderedPageBreak/>
        <w:fldChar w:fldCharType="begin"/>
      </w:r>
      <w:r w:rsidRPr="00396538">
        <w:instrText xml:space="preserve"> SEQ level0 \*arabic \* MERGEFORMAT </w:instrText>
      </w:r>
      <w:r w:rsidRPr="00396538">
        <w:fldChar w:fldCharType="separate"/>
      </w:r>
      <w:r w:rsidR="00891FA7">
        <w:rPr>
          <w:noProof/>
        </w:rPr>
        <w:t>18</w:t>
      </w:r>
      <w:r w:rsidRPr="00396538">
        <w:fldChar w:fldCharType="end"/>
      </w:r>
      <w:bookmarkEnd w:id="11"/>
      <w:r>
        <w:t>.</w:t>
      </w:r>
      <w:r w:rsidR="00E91724">
        <w:t xml:space="preserve"> </w:t>
      </w:r>
      <w:r>
        <w:t>Zgodnie z art. 4 ustawy o ocenie uczciwości instytucjonalnej (nr 325 z</w:t>
      </w:r>
      <w:r w:rsidR="00CF6F04">
        <w:t> </w:t>
      </w:r>
      <w:r>
        <w:t xml:space="preserve">dnia 23 grudnia 2013 r. – „ustawa nr 325”) </w:t>
      </w:r>
      <w:r w:rsidR="00D65D1C">
        <w:t>test</w:t>
      </w:r>
      <w:r>
        <w:t xml:space="preserve"> uczciwości zawodowej polega na stworzeniu i zastosowaniu przez </w:t>
      </w:r>
      <w:r w:rsidR="00CF6F04">
        <w:t>testującego</w:t>
      </w:r>
      <w:r>
        <w:t xml:space="preserve"> wirtualnych, symulowanych sytuacji podobnych do tych, które mogą wystąpić w</w:t>
      </w:r>
      <w:r w:rsidR="00CF6F04">
        <w:t> </w:t>
      </w:r>
      <w:r>
        <w:t>środowisku pracy, przeprowadzanych w ramach działań niejawnych i</w:t>
      </w:r>
      <w:r w:rsidR="00CF6F04">
        <w:t> </w:t>
      </w:r>
      <w:r>
        <w:t xml:space="preserve">uzależnionych od zachowania </w:t>
      </w:r>
      <w:r w:rsidR="00CF6F04">
        <w:t>testowanego</w:t>
      </w:r>
      <w:r>
        <w:t xml:space="preserve"> funkcjonariusza publicznego, w</w:t>
      </w:r>
      <w:r w:rsidR="00CF6F04">
        <w:t> </w:t>
      </w:r>
      <w:r>
        <w:t>celu biernego monitorowania i nagrania jego reakcji oraz zachowania, a</w:t>
      </w:r>
      <w:r w:rsidR="00CF6F04">
        <w:t> </w:t>
      </w:r>
      <w:r>
        <w:t>tym samym określenia stopnia, w jakim klimat uczciwości zawodowej oraz ryzyko korupcji zostały naruszone w danej jednostce publicznej, w której oceniana jest uczciwość zawodowa.</w:t>
      </w:r>
    </w:p>
    <w:p w14:paraId="039CC75A" w14:textId="642FADDF" w:rsidR="008E5A20" w:rsidRPr="00396538" w:rsidRDefault="00FC6BFD" w:rsidP="008E5A20">
      <w:pPr>
        <w:pStyle w:val="JuPara"/>
      </w:pPr>
      <w:r>
        <w:t>Zgodnie z art. 7 tej ustawy funkcjonariusze publiczni mają między innymi prawo do bycia informowanymi o szczególnych wymogach uczciwości zawodowej obowiązujących w ich jednostce publicznej, jak również o</w:t>
      </w:r>
      <w:r w:rsidR="00A84705">
        <w:t> </w:t>
      </w:r>
      <w:r>
        <w:t xml:space="preserve">sankcjach dyscyplinarnych stosowanych w razie naruszenia tych wymogów. Ciążą na nich także obowiązki niedopuszczania do </w:t>
      </w:r>
      <w:proofErr w:type="spellStart"/>
      <w:r>
        <w:t>zachowań</w:t>
      </w:r>
      <w:proofErr w:type="spellEnd"/>
      <w:r>
        <w:t xml:space="preserve"> korupcyjnych oraz niezwłocznego zgłaszania takich </w:t>
      </w:r>
      <w:proofErr w:type="spellStart"/>
      <w:r>
        <w:t>zachowań</w:t>
      </w:r>
      <w:proofErr w:type="spellEnd"/>
      <w:r>
        <w:t xml:space="preserve"> i wszelkich prób zaangażowania ich w tego rodzaju działalność, znajomości i</w:t>
      </w:r>
      <w:r w:rsidR="00925634">
        <w:t> </w:t>
      </w:r>
      <w:r>
        <w:t>przestrzegania obowiązków wynikających z sektorowych i krajowych polityk antykorupcyjnych, a także przestrzegania szczególnych wymogów uczciwości zawodowej funkcjonariuszy publicznych w danym organie, o</w:t>
      </w:r>
      <w:r w:rsidR="00925634">
        <w:t> </w:t>
      </w:r>
      <w:r>
        <w:t>których zostali poinformowani.</w:t>
      </w:r>
    </w:p>
    <w:p w14:paraId="30986DFD" w14:textId="25B0C2F4" w:rsidR="008E5A20" w:rsidRPr="00396538" w:rsidRDefault="00FC6BFD" w:rsidP="008E5A20">
      <w:pPr>
        <w:pStyle w:val="JuPara"/>
      </w:pPr>
      <w:r>
        <w:t>Zgodnie z art. 8 tej ustawy przy zatrudnianiu nowych funkcjonariuszy publicznych lub w terminie dziesięciu dni od wejścia w życie ustawy w</w:t>
      </w:r>
      <w:r w:rsidR="00925634">
        <w:t> </w:t>
      </w:r>
      <w:r>
        <w:t>odniesieniu do funkcjonariuszy już zatrudnionych, organy publiczne i</w:t>
      </w:r>
      <w:r w:rsidR="00925634">
        <w:t> </w:t>
      </w:r>
      <w:r>
        <w:t xml:space="preserve">administracja lokalna mają obowiązek poinformować tych funkcjonariuszy, że ich uczciwość zawodowa może zostać poddana </w:t>
      </w:r>
      <w:r w:rsidR="004A1612">
        <w:t>test</w:t>
      </w:r>
      <w:r w:rsidR="008654AB">
        <w:t>owi</w:t>
      </w:r>
      <w:r>
        <w:t>.</w:t>
      </w:r>
    </w:p>
    <w:p w14:paraId="62C04669" w14:textId="3752ECCE" w:rsidR="008E5A20" w:rsidRPr="00396538" w:rsidRDefault="00FC6BFD" w:rsidP="008E5A20">
      <w:pPr>
        <w:pStyle w:val="JuPara"/>
      </w:pPr>
      <w:r>
        <w:t xml:space="preserve">Zgodnie z art. 11 tej ustawy, jeżeli dana osoba nie zaliczy </w:t>
      </w:r>
      <w:r w:rsidR="004A1612">
        <w:t xml:space="preserve">testu </w:t>
      </w:r>
      <w:r>
        <w:t xml:space="preserve">uczciwości zawodowej, mogą zostać wobec niej zastosowane wyłącznie sankcje dyscyplinarne, zaś dowody uzyskane w toku takiego </w:t>
      </w:r>
      <w:r w:rsidR="00CF6F04">
        <w:t>testu</w:t>
      </w:r>
      <w:r>
        <w:t xml:space="preserve"> nie mogą zostać wykorzystane w postępowaniu karnym. Wykorzystanie takich dowodów w</w:t>
      </w:r>
      <w:r w:rsidR="00925634">
        <w:t> </w:t>
      </w:r>
      <w:r>
        <w:t>postępowaniu cywilnym jest dopuszczalne, jeżeli są one istotne, dopuszczalne i wiarygodne oraz jeżeli zachowany zostaje interes publiczny, a prawa i wolności człowieka są chronione.</w:t>
      </w:r>
    </w:p>
    <w:p w14:paraId="055A0DFE" w14:textId="43B3821A" w:rsidR="008E5A20" w:rsidRPr="00396538" w:rsidRDefault="00FC6BFD" w:rsidP="008E5A20">
      <w:pPr>
        <w:pStyle w:val="JuPara"/>
      </w:pPr>
      <w:r>
        <w:t xml:space="preserve">Zgodnie z art. 13 tej ustawy proces </w:t>
      </w:r>
      <w:r w:rsidR="00CF6F04">
        <w:t>testu</w:t>
      </w:r>
      <w:r>
        <w:t xml:space="preserve"> uczciwości zawodowej rozpoczyna się od identyfikacji ryzyka korupcji w określonych organach publicznych na podstawie informacji pochodzących od różnych osób, z</w:t>
      </w:r>
      <w:r w:rsidR="00925634">
        <w:t> </w:t>
      </w:r>
      <w:r>
        <w:t>mediów oraz z dokumentów analitycznych. Następnie może dojść do</w:t>
      </w:r>
      <w:r w:rsidR="00925634">
        <w:t> </w:t>
      </w:r>
      <w:r>
        <w:t xml:space="preserve">samego </w:t>
      </w:r>
      <w:r w:rsidR="004A1612">
        <w:t>testu</w:t>
      </w:r>
      <w:r>
        <w:t xml:space="preserve"> (pod warunkiem uzyskania zezwolenia sędziego zgodnie z</w:t>
      </w:r>
      <w:r w:rsidR="00925634">
        <w:t> </w:t>
      </w:r>
      <w:r>
        <w:t>art. 14 tej ustawy) a także do analizy ryzyka i sformułowania propozycji jego wyeliminowania.</w:t>
      </w:r>
    </w:p>
    <w:p w14:paraId="6AD76AFD" w14:textId="401E0566" w:rsidR="008E5A20" w:rsidRPr="00396538" w:rsidRDefault="00FC6BFD" w:rsidP="008E5A20">
      <w:pPr>
        <w:pStyle w:val="JuPara"/>
      </w:pPr>
      <w:r>
        <w:t>Zgodnie z art. 17 tej ustawy, w brzmieniu obowiązującym przed wyrokiem Trybunału Konstytucyjnego z dnia 7 grudnia 2021 r. (zob. pkt </w:t>
      </w:r>
      <w:r w:rsidRPr="00396538">
        <w:fldChar w:fldCharType="begin"/>
      </w:r>
      <w:r w:rsidRPr="00396538">
        <w:instrText xml:space="preserve"> REF p_19_Const_Court_dec \h  \* MERGEFORMAT </w:instrText>
      </w:r>
      <w:r w:rsidRPr="00396538">
        <w:fldChar w:fldCharType="separate"/>
      </w:r>
      <w:r w:rsidR="00891FA7">
        <w:t>20</w:t>
      </w:r>
      <w:r w:rsidRPr="00396538">
        <w:fldChar w:fldCharType="end"/>
      </w:r>
      <w:r>
        <w:t xml:space="preserve"> poniżej), sędzia, który uprzednio wyraził zgodę na przeprowadzenie </w:t>
      </w:r>
      <w:r w:rsidR="004A1612">
        <w:t>testu</w:t>
      </w:r>
      <w:r>
        <w:t xml:space="preserve"> uczciwości zawodowej, badał jego wynik i rozstrzygał, czy dana osoba </w:t>
      </w:r>
      <w:r w:rsidR="004A1612">
        <w:t>test</w:t>
      </w:r>
      <w:r>
        <w:t xml:space="preserve"> </w:t>
      </w:r>
      <w:r>
        <w:lastRenderedPageBreak/>
        <w:t xml:space="preserve">zaliczyła, nie zaliczyła, czy też wynik był nierozstrzygający. Dokonując tego, sędzia weryfikował, czy </w:t>
      </w:r>
      <w:r w:rsidR="004A1612">
        <w:t>przeprowadzenie testu</w:t>
      </w:r>
      <w:r>
        <w:t xml:space="preserve"> zostało należycie autoryzowane i badał wszelkie dowody zawarte w aktach sprawy dotyczące </w:t>
      </w:r>
      <w:r w:rsidR="004A1612">
        <w:t>testu</w:t>
      </w:r>
      <w:r>
        <w:t>, w tym nagrania audiowizualne. Na wniosek organu publicznego objętego oceną sędzia mógł wydać decyzję rozstrzygającą wszelkie nierozstrzygnięte kwestie.</w:t>
      </w:r>
    </w:p>
    <w:p w14:paraId="65306212" w14:textId="7205FD0B" w:rsidR="008E5A20" w:rsidRPr="00396538" w:rsidRDefault="00FC6BFD" w:rsidP="008E5A20">
      <w:pPr>
        <w:pStyle w:val="JuPara"/>
      </w:pPr>
      <w:r>
        <w:t xml:space="preserve">Zgodnie z art. 21 tej ustawy sankcje dyscyplinarne mające zastosowanie w następstwie niezaliczenia </w:t>
      </w:r>
      <w:r w:rsidR="004A1612">
        <w:t>testu</w:t>
      </w:r>
      <w:r>
        <w:t xml:space="preserve"> uczciwości zawodowej, w tym zwolnienie, mają być nakładane zgodnie z ustawodawstwem regulującym działalność danego organu publicznego. Zarówno KCA, jak i Służba Bezpieczeństwa i</w:t>
      </w:r>
      <w:r w:rsidR="00925634">
        <w:t> </w:t>
      </w:r>
      <w:r>
        <w:t>Informacji („SBI”) mają obowiązek prowadzenia rejestrów uczciwości zawodowej funkcjonariuszy publicznych. Pracodawcy mogą uzyskać dostęp do tych rejestrów przez okres do pięciu lat od danych zdarzeń, zgodnie z</w:t>
      </w:r>
      <w:r w:rsidR="00925634">
        <w:t> </w:t>
      </w:r>
      <w:r>
        <w:t>warunkami określonymi w odpowiednim rozporządzeniu rządowym (zob.</w:t>
      </w:r>
      <w:r w:rsidR="00925634">
        <w:t> </w:t>
      </w:r>
      <w:r>
        <w:t>pkt </w:t>
      </w:r>
      <w:r w:rsidRPr="00396538">
        <w:fldChar w:fldCharType="begin"/>
      </w:r>
      <w:r w:rsidRPr="00396538">
        <w:instrText xml:space="preserve"> REF p_17_NEW_GVT_regulation_record \h  \* MERGEFORMAT </w:instrText>
      </w:r>
      <w:r w:rsidRPr="00396538">
        <w:fldChar w:fldCharType="separate"/>
      </w:r>
      <w:r w:rsidR="00891FA7">
        <w:t>19</w:t>
      </w:r>
      <w:r w:rsidRPr="00396538">
        <w:fldChar w:fldCharType="end"/>
      </w:r>
      <w:r>
        <w:t xml:space="preserve"> poniżej).</w:t>
      </w:r>
    </w:p>
    <w:p w14:paraId="0C2F379D" w14:textId="51AFA776" w:rsidR="008E5A20" w:rsidRPr="00396538" w:rsidRDefault="00FC6BFD" w:rsidP="008E5A20">
      <w:pPr>
        <w:pStyle w:val="JuPara"/>
      </w:pPr>
      <w:r>
        <w:t>Zgodnie z art. 28 ustawy nr 325, w terminie dziesięciu dni od jej opublikowania organy publiczne objęte tą ustawą miały obowiązek poinformować zatrudnionych przez siebie funkcjonariuszy publicznych, że</w:t>
      </w:r>
      <w:r w:rsidR="00925634">
        <w:t> </w:t>
      </w:r>
      <w:r>
        <w:t xml:space="preserve">ich uczciwość zawodowa może zostać poddana </w:t>
      </w:r>
      <w:r w:rsidR="004A1612">
        <w:t>testowi</w:t>
      </w:r>
      <w:r>
        <w:t>, a</w:t>
      </w:r>
      <w:r w:rsidR="00E91724">
        <w:t> </w:t>
      </w:r>
      <w:r>
        <w:t>funkcjonariusze ci mieli potwierdzić otrzymanie takiego zawiadomienia podpisem.</w:t>
      </w:r>
    </w:p>
    <w:bookmarkStart w:id="12" w:name="p_17_NEW_GVT_regulation_record"/>
    <w:p w14:paraId="0A754B2B" w14:textId="70AA0D97"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19</w:t>
      </w:r>
      <w:r w:rsidRPr="00396538">
        <w:fldChar w:fldCharType="end"/>
      </w:r>
      <w:bookmarkEnd w:id="12"/>
      <w:r>
        <w:t>.</w:t>
      </w:r>
      <w:r w:rsidR="00E91724">
        <w:t xml:space="preserve"> </w:t>
      </w:r>
      <w:r>
        <w:t>Zgodnie z rozporządzeniem rządowym dotyczącym prowadzenia i</w:t>
      </w:r>
      <w:r w:rsidR="00E91724">
        <w:t> </w:t>
      </w:r>
      <w:r>
        <w:t xml:space="preserve">wykorzystywania rejestrów uczciwości zawodowej funkcjonariuszy publicznych (nr 767 z dnia 19 września 2014 r.), celem rejestru jest zapobieżenie zatrudnianiu do pełnienia funkcji publicznych funkcjonariuszy, którzy nie wykazali się uczciwością zawodową podczas wcześniejszego </w:t>
      </w:r>
      <w:r w:rsidR="004A1612">
        <w:t>testu</w:t>
      </w:r>
      <w:r>
        <w:t>. Przyszli pracodawcy w sferze publicznej mogą zwrócić się o</w:t>
      </w:r>
      <w:r w:rsidR="00E91724">
        <w:t> </w:t>
      </w:r>
      <w:r>
        <w:t xml:space="preserve">wydanie zaświadczenia dotyczącego treści osobistego rejestru uczciwości zawodowej kandydata. Informacja o niezaliczeniu przez daną osobę wcześniejszego </w:t>
      </w:r>
      <w:r w:rsidR="004A1612">
        <w:t>testu</w:t>
      </w:r>
      <w:r>
        <w:t xml:space="preserve"> uczciwości zawodowej jest przechowywana w</w:t>
      </w:r>
      <w:r w:rsidR="00E91724">
        <w:t> </w:t>
      </w:r>
      <w:r>
        <w:t>rejestrze przez pięć lat, jeżeli stwierdzono naruszenie przepisów antykorupcyjnych oraz przez rok, jeżeli osoba ta nie zgłosiła korupcji lub działań z nią związanych.</w:t>
      </w:r>
    </w:p>
    <w:bookmarkStart w:id="13" w:name="p_19_Const_Court_dec"/>
    <w:p w14:paraId="50D16EE3" w14:textId="777F36D0"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20</w:t>
      </w:r>
      <w:r w:rsidRPr="00396538">
        <w:fldChar w:fldCharType="end"/>
      </w:r>
      <w:bookmarkEnd w:id="13"/>
      <w:r>
        <w:t>.</w:t>
      </w:r>
      <w:r w:rsidR="00E91724">
        <w:t xml:space="preserve"> </w:t>
      </w:r>
      <w:r>
        <w:t xml:space="preserve">W dniu 7 grudnia 2021 r. Trybunał Konstytucyjny wydał wyrok nr 37, w którym uznał </w:t>
      </w:r>
      <w:r w:rsidR="004A1612" w:rsidRPr="004A1612">
        <w:t>niektóre części</w:t>
      </w:r>
      <w:r>
        <w:t xml:space="preserve"> art. 17 ustawy nr 325 (zob. pkt </w:t>
      </w:r>
      <w:r w:rsidRPr="00396538">
        <w:fldChar w:fldCharType="begin"/>
      </w:r>
      <w:r w:rsidRPr="00396538">
        <w:instrText xml:space="preserve"> REF p_16_law_instit_integrity \h  \* MERGEFORMAT </w:instrText>
      </w:r>
      <w:r w:rsidRPr="00396538">
        <w:fldChar w:fldCharType="separate"/>
      </w:r>
      <w:r w:rsidR="00891FA7">
        <w:t>18</w:t>
      </w:r>
      <w:r w:rsidRPr="00396538">
        <w:fldChar w:fldCharType="end"/>
      </w:r>
      <w:r>
        <w:t xml:space="preserve"> powyżej) za niezgodn</w:t>
      </w:r>
      <w:r w:rsidR="008654AB">
        <w:t>e</w:t>
      </w:r>
      <w:r>
        <w:t xml:space="preserve"> z Konstytucją, ponieważ przepis ten skutecznie uniemożliwiał funkcjonariuszowi publicznemu udział w postępowaniu sądowym mającym ustalić, czy nie </w:t>
      </w:r>
      <w:r w:rsidR="006B0DCE" w:rsidRPr="006B0DCE">
        <w:t>przeszedł pomyślnie</w:t>
      </w:r>
      <w:r>
        <w:t xml:space="preserve"> </w:t>
      </w:r>
      <w:r w:rsidR="004A1612">
        <w:t>testu</w:t>
      </w:r>
      <w:r>
        <w:t xml:space="preserve"> uczciwości zawodowej, a tym samym popełnił przewinienie dyscyplinarne, oraz wniesienie odwołania od takiej decyzji. Trybunał Konstytucyjny stwierdził, że w każdym późniejszym postępowaniu wszczętym przez funkcjonariusza publicznego w celu uchylenia nałożonej sankcji sądy byłyby związane wcześniejszym ustaleniem dokonanym przez inny sąd co do wyniku odpowiedniego </w:t>
      </w:r>
      <w:r w:rsidR="004A1612">
        <w:t>testu</w:t>
      </w:r>
      <w:r>
        <w:t xml:space="preserve"> uczciwości zawodowej, mającym powagę rzeczy osądzonej (</w:t>
      </w:r>
      <w:r>
        <w:rPr>
          <w:i/>
        </w:rPr>
        <w:t xml:space="preserve">res </w:t>
      </w:r>
      <w:proofErr w:type="spellStart"/>
      <w:r>
        <w:rPr>
          <w:i/>
        </w:rPr>
        <w:t>judicata</w:t>
      </w:r>
      <w:proofErr w:type="spellEnd"/>
      <w:r>
        <w:t xml:space="preserve">). Nieodwracalnie naruszało to prawo do rzetelnego procesu sądowego. </w:t>
      </w:r>
      <w:r w:rsidR="008654AB">
        <w:t xml:space="preserve">Trybunał Konstytucyjny </w:t>
      </w:r>
      <w:r>
        <w:t xml:space="preserve">dodał, że jego wyrok oddziałuje wyłącznie na </w:t>
      </w:r>
      <w:r>
        <w:lastRenderedPageBreak/>
        <w:t>sprawy przyszłe; jednakże, aby</w:t>
      </w:r>
      <w:r w:rsidR="00925634">
        <w:t> </w:t>
      </w:r>
      <w:r>
        <w:t xml:space="preserve">wywrzeć natychmiastowy wpływ na sprawę będącą przedmiotem zawisłej przed nim skargi, postanowił dopuścić możliwość wniesienia przez skarżącego odwołania od decyzji sądu potwierdzającej wyniki jego </w:t>
      </w:r>
      <w:r w:rsidR="004A1612">
        <w:t>testu</w:t>
      </w:r>
      <w:r>
        <w:t xml:space="preserve"> uczciwości zawodowej.</w:t>
      </w:r>
    </w:p>
    <w:bookmarkStart w:id="14" w:name="p_17_CSJ_decision_case_F"/>
    <w:p w14:paraId="0D97D222" w14:textId="0A8C9DD7"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21</w:t>
      </w:r>
      <w:r w:rsidRPr="00396538">
        <w:fldChar w:fldCharType="end"/>
      </w:r>
      <w:bookmarkEnd w:id="14"/>
      <w:r>
        <w:t>.</w:t>
      </w:r>
      <w:r w:rsidR="00E91724">
        <w:t xml:space="preserve"> </w:t>
      </w:r>
      <w:r>
        <w:t xml:space="preserve">W dniu 16 marca 2016 r., w sprawie F. (3ra-964/16), Sąd Najwyższy uchylił orzeczenia sądów niższych instancji. Stwierdził, że F., który nie </w:t>
      </w:r>
      <w:r w:rsidR="006B0DCE" w:rsidRPr="006B0DCE">
        <w:t>przeszedł pomyślnie</w:t>
      </w:r>
      <w:r>
        <w:t xml:space="preserve"> </w:t>
      </w:r>
      <w:r w:rsidR="004A1612">
        <w:t>test</w:t>
      </w:r>
      <w:r w:rsidR="008654AB">
        <w:t>u</w:t>
      </w:r>
      <w:r>
        <w:t xml:space="preserve"> uczciwości zawodowej, nie został poinformowany – zgodnie z</w:t>
      </w:r>
      <w:r w:rsidR="00925634">
        <w:t> </w:t>
      </w:r>
      <w:r>
        <w:t xml:space="preserve">wymogami prawa – o możliwości przeprowadzania takich </w:t>
      </w:r>
      <w:r w:rsidR="004A1612">
        <w:t>testów</w:t>
      </w:r>
      <w:r>
        <w:t>. W</w:t>
      </w:r>
      <w:r w:rsidR="00925634">
        <w:t> </w:t>
      </w:r>
      <w:r>
        <w:t>konsekwencji jego zwolnienie było niezgodne z prawem, a on sam został przywrócony do pracy.</w:t>
      </w:r>
    </w:p>
    <w:p w14:paraId="146529C3" w14:textId="77777777" w:rsidR="008E5A20" w:rsidRPr="00396538" w:rsidRDefault="00FC6BFD" w:rsidP="008E5A20">
      <w:pPr>
        <w:pStyle w:val="JuHIRoman"/>
      </w:pPr>
      <w:r>
        <w:t>Właściwe materiały prawa międzynarodowego</w:t>
      </w:r>
    </w:p>
    <w:bookmarkStart w:id="15" w:name="p_21_UN_Conv_corruption"/>
    <w:p w14:paraId="07FFD54A" w14:textId="455E11AA"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22</w:t>
      </w:r>
      <w:r w:rsidRPr="00396538">
        <w:fldChar w:fldCharType="end"/>
      </w:r>
      <w:bookmarkEnd w:id="15"/>
      <w:r>
        <w:t>.</w:t>
      </w:r>
      <w:r w:rsidR="00E91724">
        <w:t xml:space="preserve"> </w:t>
      </w:r>
      <w:r>
        <w:t>Właściwe postanowienia Konwencji Narodów Zjednoczonych przeciwko korupcji (2004), ratyfikowanej przez Republikę Mołd</w:t>
      </w:r>
      <w:r w:rsidR="00F81ED6">
        <w:t>awii</w:t>
      </w:r>
      <w:r>
        <w:t xml:space="preserve"> w dniu 1 października 2007 r., stanowią, co następuje:</w:t>
      </w:r>
    </w:p>
    <w:p w14:paraId="7CA63B3D" w14:textId="77777777" w:rsidR="008E5A20" w:rsidRPr="00396538" w:rsidRDefault="00FC6BFD" w:rsidP="008E5A20">
      <w:pPr>
        <w:pStyle w:val="JuHArticle"/>
      </w:pPr>
      <w:r>
        <w:t>Artykuł 1. Określenie celu</w:t>
      </w:r>
    </w:p>
    <w:p w14:paraId="103B9EAE" w14:textId="77777777" w:rsidR="008E5A20" w:rsidRPr="00396538" w:rsidRDefault="00FC6BFD" w:rsidP="008E5A20">
      <w:pPr>
        <w:pStyle w:val="JuQuot"/>
      </w:pPr>
      <w:r>
        <w:t>„Celem niniejszej Konwencji jest:</w:t>
      </w:r>
    </w:p>
    <w:p w14:paraId="5A433514" w14:textId="5AC1E295" w:rsidR="008E5A20" w:rsidRPr="00396538" w:rsidRDefault="00FC6BFD" w:rsidP="008E5A20">
      <w:pPr>
        <w:pStyle w:val="JuQuot"/>
      </w:pPr>
      <w:r>
        <w:t xml:space="preserve">a) </w:t>
      </w:r>
      <w:r w:rsidR="00AF5AEF">
        <w:t xml:space="preserve">wspieranie </w:t>
      </w:r>
      <w:r>
        <w:t xml:space="preserve"> i wzmacnianie środków w celu skuteczniejszego i efektywniejszego zapobiegania i zwalczania korupcji;</w:t>
      </w:r>
    </w:p>
    <w:p w14:paraId="5F581F20" w14:textId="54F335DA" w:rsidR="008E5A20" w:rsidRPr="00396538" w:rsidRDefault="00FC6BFD" w:rsidP="008E5A20">
      <w:pPr>
        <w:pStyle w:val="JuQuot"/>
      </w:pPr>
      <w:r>
        <w:t xml:space="preserve">b) </w:t>
      </w:r>
      <w:r w:rsidR="006B0DCE" w:rsidRPr="006B0DCE">
        <w:t>promowanie, ułatwianie i wspieranie</w:t>
      </w:r>
      <w:r w:rsidR="006B0DCE" w:rsidRPr="006B0DCE">
        <w:t xml:space="preserve"> </w:t>
      </w:r>
      <w:r>
        <w:t xml:space="preserve">międzynarodowej współpracy i pomocy technicznej w celu zapobiegania i zwalczania korupcji, w </w:t>
      </w:r>
      <w:r w:rsidR="00AF5AEF">
        <w:t>tym odzyskiwania mienia</w:t>
      </w:r>
      <w:r>
        <w:t>;</w:t>
      </w:r>
    </w:p>
    <w:p w14:paraId="52AEE6D1" w14:textId="2DCB396B" w:rsidR="008E5A20" w:rsidRPr="00396538" w:rsidRDefault="00FC6BFD" w:rsidP="008E5A20">
      <w:pPr>
        <w:pStyle w:val="JuQuot"/>
      </w:pPr>
      <w:r>
        <w:t xml:space="preserve">c) </w:t>
      </w:r>
      <w:r w:rsidR="00AF5AEF">
        <w:t xml:space="preserve">wspieranie </w:t>
      </w:r>
      <w:r>
        <w:t xml:space="preserve"> uczciwości, odpowiedzialności i właściwego zarządzania sprawami publicznymi i mieniem publicznym”.</w:t>
      </w:r>
    </w:p>
    <w:p w14:paraId="1AD9B1C0" w14:textId="77777777" w:rsidR="008E5A20" w:rsidRPr="00396538" w:rsidRDefault="00FC6BFD" w:rsidP="008E5A20">
      <w:pPr>
        <w:pStyle w:val="JuHArticle"/>
      </w:pPr>
      <w:r>
        <w:t>Artykuł 8. Kodeksy postępowania funkcjonariuszy publicznych</w:t>
      </w:r>
    </w:p>
    <w:p w14:paraId="2C84D3B7" w14:textId="77777777" w:rsidR="008E5A20" w:rsidRPr="00396538" w:rsidRDefault="00FC6BFD" w:rsidP="008E5A20">
      <w:pPr>
        <w:pStyle w:val="JuQuot"/>
      </w:pPr>
      <w:r>
        <w:t>„...</w:t>
      </w:r>
    </w:p>
    <w:p w14:paraId="7EBAD976" w14:textId="7956F43D" w:rsidR="008E5A20" w:rsidRPr="00396538" w:rsidRDefault="00FC6BFD" w:rsidP="008E5A20">
      <w:pPr>
        <w:pStyle w:val="JuQuot"/>
      </w:pPr>
      <w:r>
        <w:t>4.</w:t>
      </w:r>
      <w:r w:rsidR="00E91724">
        <w:t xml:space="preserve"> </w:t>
      </w:r>
      <w:r>
        <w:t>Każde Państwo Strona rozważy ponadto, zgodnie z podstawowymi zasadami swojego prawa wewnętrznego, ustanowienie środków i systemów ułatwiających powiadamianie właściwych organów przez funkcjonariuszy publicznych o aktach korupcji, gdy takie akty zostaną przez nich dostrzeżone w trakcie pełnienia funkcji.</w:t>
      </w:r>
    </w:p>
    <w:p w14:paraId="613576BB" w14:textId="77777777" w:rsidR="008E5A20" w:rsidRPr="00396538" w:rsidRDefault="00FC6BFD" w:rsidP="008E5A20">
      <w:pPr>
        <w:pStyle w:val="JuQuot"/>
      </w:pPr>
      <w:r>
        <w:t>...</w:t>
      </w:r>
    </w:p>
    <w:p w14:paraId="5B18CF4E" w14:textId="3EF00938" w:rsidR="008E5A20" w:rsidRPr="00396538" w:rsidRDefault="00FC6BFD" w:rsidP="008E5A20">
      <w:pPr>
        <w:pStyle w:val="JuQuot"/>
      </w:pPr>
      <w:r>
        <w:t>6.</w:t>
      </w:r>
      <w:r w:rsidR="00E91724">
        <w:t xml:space="preserve"> </w:t>
      </w:r>
      <w:r>
        <w:t>Każde Państwo Strona rozważy podjęcie, zgodnie z podstawowymi zasadami swego prawa wewnętrznego, środków dyscyplinarnych lub innych środków w stosunku do funkcjonariuszy publicznych naruszających kodeksy lub standardy ustanowione zgodnie z niniejszym artykułem”.</w:t>
      </w:r>
    </w:p>
    <w:p w14:paraId="61D5C856" w14:textId="4B653144" w:rsidR="008E5A20" w:rsidRPr="00396538" w:rsidRDefault="00FC6BFD" w:rsidP="008E5A20">
      <w:pPr>
        <w:pStyle w:val="JuPara"/>
      </w:pPr>
      <w:r>
        <w:t xml:space="preserve">Przewodnik techniczny do Konwencji Narodów Zjednoczonych przeciwko korupcji, opracowany przez Biuro Narodów Zjednoczonych ds. Narkotyków i Przestępczości (UNODC) oraz Międzyregionalny Instytut Narodów Zjednoczonych ds. Badań nad Przestępczością i Wymiarem Sprawiedliwości (UNICRI), odnosząc się do art. 50 Konwencji przeciwko korupcji, przewiduje możliwość korzystania z operacji pod przykryciem </w:t>
      </w:r>
      <w:r>
        <w:lastRenderedPageBreak/>
        <w:t>i</w:t>
      </w:r>
      <w:r w:rsidR="00925634">
        <w:t> </w:t>
      </w:r>
      <w:r w:rsidR="0037302B">
        <w:t>operacji</w:t>
      </w:r>
      <w:r>
        <w:t xml:space="preserve"> prowokac</w:t>
      </w:r>
      <w:r w:rsidR="0037302B">
        <w:t>yjnych</w:t>
      </w:r>
      <w:r>
        <w:t>, jednocześnie ostrzegając przed problemami legalności w niektórych państwach, w szczególności w związku z obawami dotyczącymi prowokacji.</w:t>
      </w:r>
    </w:p>
    <w:bookmarkStart w:id="16" w:name="p_22_Eur_Convention_corruption"/>
    <w:p w14:paraId="617385C0" w14:textId="43B3D9DE"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23</w:t>
      </w:r>
      <w:r w:rsidRPr="00396538">
        <w:fldChar w:fldCharType="end"/>
      </w:r>
      <w:bookmarkEnd w:id="16"/>
      <w:r>
        <w:t>.</w:t>
      </w:r>
      <w:r w:rsidR="00E91724">
        <w:t xml:space="preserve"> </w:t>
      </w:r>
      <w:r>
        <w:t xml:space="preserve">Artykuł 23 </w:t>
      </w:r>
      <w:bookmarkStart w:id="17" w:name="_Hlk211969637"/>
      <w:r>
        <w:t>Prawnokarnej konwencji Rady Europy o korupcji (otwartej do podpisu dnia 27 stycznia 1999 r., ETS nr 173</w:t>
      </w:r>
      <w:bookmarkEnd w:id="17"/>
      <w:r>
        <w:t>), ratyfikowanej przez Republikę Mołd</w:t>
      </w:r>
      <w:r w:rsidR="00F81ED6">
        <w:t>awii</w:t>
      </w:r>
      <w:r>
        <w:t xml:space="preserve"> dnia 14 stycznia 2004 r., stanowi:</w:t>
      </w:r>
    </w:p>
    <w:p w14:paraId="27DEEFEB" w14:textId="77777777" w:rsidR="008E5A20" w:rsidRPr="00396538" w:rsidRDefault="00FC6BFD" w:rsidP="008E5A20">
      <w:pPr>
        <w:pStyle w:val="JuHArticle"/>
      </w:pPr>
      <w:r>
        <w:t>Środki ułatwiające gromadzenie dowodów i konfiskatę dochodów</w:t>
      </w:r>
    </w:p>
    <w:p w14:paraId="2EA6C3B1" w14:textId="5800DA1C" w:rsidR="008E5A20" w:rsidRPr="00396538" w:rsidRDefault="00FC6BFD" w:rsidP="008E5A20">
      <w:pPr>
        <w:pStyle w:val="JuQuot"/>
      </w:pPr>
      <w:r>
        <w:t>„1.</w:t>
      </w:r>
      <w:r w:rsidR="00E91724">
        <w:t xml:space="preserve"> </w:t>
      </w:r>
      <w:r>
        <w:t>Każda Strona przyjmie takie środki ustawodawcze i inne, jakie mogą być konieczne dla ułatwienia gromadzenia dowodów dotyczących przestępstw określonych zgodnie z artykułami od 2 do 14 niniejszej konwencji oraz identyfikacji, zlokalizowania, zamrożenia i zajęcia narzędzi</w:t>
      </w:r>
      <w:r w:rsidR="0037302B">
        <w:t xml:space="preserve"> służących do popełnienia przestępstw</w:t>
      </w:r>
      <w:r>
        <w:t xml:space="preserve"> i</w:t>
      </w:r>
      <w:r w:rsidR="00925634">
        <w:t> </w:t>
      </w:r>
      <w:r w:rsidR="0037302B">
        <w:t xml:space="preserve">korzyści pochodzących z korupcji </w:t>
      </w:r>
      <w:r>
        <w:t xml:space="preserve">lub mienia, którego wartość odpowiada takim dochodom, </w:t>
      </w:r>
      <w:r w:rsidR="0037302B">
        <w:t xml:space="preserve"> które mogą podlegać </w:t>
      </w:r>
      <w:r>
        <w:t>środkom ustanowionym zgodnie z ustępem 3 artykułu 19 niniejszej konwencji, włącznie z zastosowaniem, zgodnie z prawem wewnętrznym, specjalnych technik śledczych.</w:t>
      </w:r>
    </w:p>
    <w:p w14:paraId="4EAE356A" w14:textId="77777777" w:rsidR="008E5A20" w:rsidRPr="00396538" w:rsidRDefault="00FC6BFD" w:rsidP="008E5A20">
      <w:pPr>
        <w:pStyle w:val="JuQuot"/>
      </w:pPr>
      <w:r>
        <w:t>[...]”.</w:t>
      </w:r>
    </w:p>
    <w:p w14:paraId="0C4414BA" w14:textId="77777777" w:rsidR="008E5A20" w:rsidRPr="00396538" w:rsidRDefault="00FC6BFD" w:rsidP="008E5A20">
      <w:pPr>
        <w:pStyle w:val="JuPara"/>
      </w:pPr>
      <w:r>
        <w:t>Raport Wyjaśniający do powyższej Konwencji stanowi w odniesieniu do art. 23, co następuje:</w:t>
      </w:r>
    </w:p>
    <w:p w14:paraId="2ADBE8A8" w14:textId="453D826F" w:rsidR="008E5A20" w:rsidRPr="00396538" w:rsidRDefault="00FC6BFD" w:rsidP="008E5A20">
      <w:pPr>
        <w:pStyle w:val="JuQuot"/>
      </w:pPr>
      <w:r>
        <w:t>„114.  Przepis ten uwzględnia trudności związane z uzyskaniem dowodów, które mogą prowadzić do ścigania i ukarania osób, które popełniły przestępstwa korupcyjne zdefiniowane zgodnie z niniejszą Konwencją. Niemal za każdym przestępstwem korupcyjnym stoi zmowa milczenia pomiędzy osobą wręczającą łapówkę a osobą ją przyjmującą. W normalnych okolicznościach żadna z nich nie będzie zainteresowana ujawnieniem istnienia ani warunków zawartego pomiędzy nimi korupcyjnego porozumienia. Zgodnie z ustępem 1 Państwa Strony są zatem zobowiązane do przyjęcia środków, które ułatwią gromadzenie dowodów w sprawach związanych z popełnieniem jednego z przestępstw określonych w art. 2-14. Wobec wspomnianych już trudności w</w:t>
      </w:r>
      <w:r w:rsidR="00925634">
        <w:t> </w:t>
      </w:r>
      <w:r>
        <w:t>uzyskaniu dowodów przepis ten zawiera zobowiązanie Stron do dopuszczenia stosowania „specjalnych technik śledczych”. Nie zamieszczono wykazu tych technik, jednak twórcy Konwencji mieli na myśli w szczególności wykorzystanie funkcjonariuszy pod przykryciem, podsłuchiwanie rozmów telefonicznych, instalowanie podsłuchów, przechwytywanie telekomunikacji, dostęp do systemów komputerowych itd. Odniesienie do tych specjalnych technik śledczych można także znaleźć we wcześniejszych instrumentach, takich jak Konwencja Narodów Zjednoczonych z 1988 r., Konwencja Rady Europy o praniu, ujawnianiu, zajmowaniu i konfiskacie dochodów pochodzących z przestępstwa (ETS nr 141, art. 4) czy Czterdzieści zaleceń przyjętych przez Grupę Specjalną ds. Przeciwdziałania Praniu Pieniędzy (FATF). Większość z tych technik ma charakter wysoce ingerujący i może rodzić trudności konstytucyjne w zakresie ich zgodności z prawami i wolnościami podstawowymi. W związku z tym Strony mają swobodę zdecydowania, że niektóre z</w:t>
      </w:r>
      <w:r w:rsidR="00925634">
        <w:t> </w:t>
      </w:r>
      <w:r>
        <w:t>tych technik nie będą dopuszczone w ich krajowym porządku prawnym. Również odniesienie w ustępie 1 do „prawa krajowego” powinno umożliwiać Stronom obwarowanie stosowania tych specjalnych technik śledczych takimi zabezpieczeniami i gwarancjami, jakich może wymagać imperatyw ochrony praw człowieka i</w:t>
      </w:r>
      <w:r w:rsidR="00F81ED6">
        <w:t> </w:t>
      </w:r>
      <w:r>
        <w:t>podstawowych wolności”.</w:t>
      </w:r>
    </w:p>
    <w:bookmarkStart w:id="18" w:name="p_23_CE_Civil_conv_corruption"/>
    <w:p w14:paraId="51793AA4" w14:textId="190EBF97" w:rsidR="008E5A20"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24</w:t>
      </w:r>
      <w:r w:rsidRPr="00396538">
        <w:fldChar w:fldCharType="end"/>
      </w:r>
      <w:bookmarkEnd w:id="18"/>
      <w:r>
        <w:t>.  Cywilnoprawna konwencja Rady Europy o korupcji (otwarta do</w:t>
      </w:r>
      <w:r w:rsidR="00925634">
        <w:t> </w:t>
      </w:r>
      <w:r>
        <w:t xml:space="preserve">podpisu dnia 4 listopada 1999 r., ETS nr 174), ratyfikowana przez </w:t>
      </w:r>
      <w:r>
        <w:lastRenderedPageBreak/>
        <w:t>Republikę Mołd</w:t>
      </w:r>
      <w:r w:rsidR="00F81ED6">
        <w:t>awii</w:t>
      </w:r>
      <w:r>
        <w:t xml:space="preserve"> dnia 17 marca 2004 r., nakłada na Umawiające się Strony obowiązek zapewnienia w swoim prawie krajowym </w:t>
      </w:r>
    </w:p>
    <w:p w14:paraId="32CB759A" w14:textId="77777777" w:rsidR="008E5A20" w:rsidRDefault="00FC6BFD" w:rsidP="008E5A20">
      <w:pPr>
        <w:pStyle w:val="JuQuot"/>
      </w:pPr>
      <w:r>
        <w:t>„osobom, które poniosły szkodę będącą skutkiem aktów korupcji, skutecznych środków prawnych umożliwiających im ochronę ich praw i interesów, w tym możliwość uzyskania odszkodowania za poniesione szkody”.</w:t>
      </w:r>
    </w:p>
    <w:p w14:paraId="426B6E7C" w14:textId="77777777" w:rsidR="008E5A20" w:rsidRPr="00396538" w:rsidRDefault="00FC6BFD" w:rsidP="008E5A20">
      <w:pPr>
        <w:pStyle w:val="JuPara"/>
      </w:pPr>
      <w:r>
        <w:t xml:space="preserve"> Jej wykonywanie podlega nadzorowi Grupy Państw Przeciwko Korupcji (GRECO).</w:t>
      </w:r>
    </w:p>
    <w:p w14:paraId="2E7A6736" w14:textId="77777777" w:rsidR="008E5A20" w:rsidRPr="00396538" w:rsidRDefault="00FC6BFD" w:rsidP="008E5A20">
      <w:pPr>
        <w:pStyle w:val="JuPara"/>
      </w:pPr>
      <w:r>
        <w:t>art. 11 tej Konwencji (Uzyskiwanie dowodów) stanowi:</w:t>
      </w:r>
    </w:p>
    <w:p w14:paraId="28D64621" w14:textId="77777777" w:rsidR="008E5A20" w:rsidRPr="00396538" w:rsidRDefault="00FC6BFD" w:rsidP="008E5A20">
      <w:pPr>
        <w:pStyle w:val="JuQuot"/>
      </w:pPr>
      <w:r>
        <w:t>„Każda Strona zapewni w swoim prawie wewnętrznym skuteczne procedury pozyskiwania dowodów w postępowaniu cywilnym wszczętym w następstwie aktu korupcji”.</w:t>
      </w:r>
    </w:p>
    <w:bookmarkStart w:id="19" w:name="p_25_OECD"/>
    <w:p w14:paraId="3F4D2CB7" w14:textId="10D6C39F" w:rsidR="008E5A20" w:rsidRPr="00396538" w:rsidRDefault="00FC6BFD" w:rsidP="008E5A20">
      <w:pPr>
        <w:pStyle w:val="JuPara"/>
      </w:pPr>
      <w:r w:rsidRPr="00396538">
        <w:fldChar w:fldCharType="begin"/>
      </w:r>
      <w:r w:rsidRPr="00396538">
        <w:instrText xml:space="preserve"> SEQ level0 \*arabic \* MERGEFORMAT </w:instrText>
      </w:r>
      <w:r w:rsidRPr="00396538">
        <w:fldChar w:fldCharType="separate"/>
      </w:r>
      <w:r w:rsidR="00891FA7">
        <w:rPr>
          <w:noProof/>
        </w:rPr>
        <w:t>25</w:t>
      </w:r>
      <w:r w:rsidRPr="00396538">
        <w:fldChar w:fldCharType="end"/>
      </w:r>
      <w:bookmarkEnd w:id="19"/>
      <w:r>
        <w:t>.  Podręcznik Organizacji Współpracy Gospodarczej i Rozwoju (OECD) pt. „</w:t>
      </w:r>
      <w:proofErr w:type="spellStart"/>
      <w:r>
        <w:t>Managing</w:t>
      </w:r>
      <w:proofErr w:type="spellEnd"/>
      <w:r>
        <w:t xml:space="preserve"> </w:t>
      </w:r>
      <w:proofErr w:type="spellStart"/>
      <w:r>
        <w:t>Conflict</w:t>
      </w:r>
      <w:proofErr w:type="spellEnd"/>
      <w:r>
        <w:t xml:space="preserve"> of </w:t>
      </w:r>
      <w:proofErr w:type="spellStart"/>
      <w:r>
        <w:t>Interest</w:t>
      </w:r>
      <w:proofErr w:type="spellEnd"/>
      <w:r>
        <w:t xml:space="preserve"> in the Public </w:t>
      </w:r>
      <w:proofErr w:type="spellStart"/>
      <w:r>
        <w:t>Sector</w:t>
      </w:r>
      <w:proofErr w:type="spellEnd"/>
      <w:r>
        <w:t>” [</w:t>
      </w:r>
      <w:r>
        <w:rPr>
          <w:i/>
          <w:iCs/>
        </w:rPr>
        <w:t>„Zarządzanie konfliktem interesów w sektorze publicznym”</w:t>
      </w:r>
      <w:r>
        <w:t>] wskazuje, że</w:t>
      </w:r>
      <w:r w:rsidR="00925634">
        <w:t> </w:t>
      </w:r>
      <w:r>
        <w:t>„</w:t>
      </w:r>
      <w:r w:rsidR="004A1612">
        <w:t>test</w:t>
      </w:r>
      <w:r>
        <w:t xml:space="preserve"> uczciwości może stanowić skuteczne wyspecjalizowane narzędzie wykrywania korupcji”. W publikacji Organizacji Bezpieczeństwa i</w:t>
      </w:r>
      <w:r w:rsidR="00925634">
        <w:t> </w:t>
      </w:r>
      <w:r>
        <w:t xml:space="preserve">Współpracy w Europie pt. „Best </w:t>
      </w:r>
      <w:proofErr w:type="spellStart"/>
      <w:r>
        <w:t>practices</w:t>
      </w:r>
      <w:proofErr w:type="spellEnd"/>
      <w:r>
        <w:t xml:space="preserve"> in </w:t>
      </w:r>
      <w:proofErr w:type="spellStart"/>
      <w:r>
        <w:t>combating</w:t>
      </w:r>
      <w:proofErr w:type="spellEnd"/>
      <w:r>
        <w:t xml:space="preserve"> </w:t>
      </w:r>
      <w:proofErr w:type="spellStart"/>
      <w:r>
        <w:t>corruption</w:t>
      </w:r>
      <w:proofErr w:type="spellEnd"/>
      <w:r>
        <w:t>” [</w:t>
      </w:r>
      <w:r>
        <w:rPr>
          <w:i/>
          <w:iCs/>
        </w:rPr>
        <w:t>„Najlepsze praktyki w zwalczaniu korupcji”</w:t>
      </w:r>
      <w:r>
        <w:t>] stwierdzono, że „</w:t>
      </w:r>
      <w:r w:rsidR="004A1612">
        <w:t>testowanie</w:t>
      </w:r>
      <w:r>
        <w:t xml:space="preserve"> uczciwości okazało się szczególnie użytecznym narzędziem oczyszczania skorumpowanych sił policyjnych – oraz utrzymywania ich w czystości”. Ponadto wytyczne Banku Światowego pt. „</w:t>
      </w:r>
      <w:proofErr w:type="spellStart"/>
      <w:r>
        <w:t>Preventing</w:t>
      </w:r>
      <w:proofErr w:type="spellEnd"/>
      <w:r>
        <w:t xml:space="preserve"> </w:t>
      </w:r>
      <w:proofErr w:type="spellStart"/>
      <w:r>
        <w:t>Corruption</w:t>
      </w:r>
      <w:proofErr w:type="spellEnd"/>
      <w:r>
        <w:t xml:space="preserve"> in</w:t>
      </w:r>
      <w:r w:rsidR="00925634">
        <w:t> </w:t>
      </w:r>
      <w:proofErr w:type="spellStart"/>
      <w:r>
        <w:t>Prosecution</w:t>
      </w:r>
      <w:proofErr w:type="spellEnd"/>
      <w:r>
        <w:t xml:space="preserve"> </w:t>
      </w:r>
      <w:proofErr w:type="spellStart"/>
      <w:r>
        <w:t>Offices</w:t>
      </w:r>
      <w:proofErr w:type="spellEnd"/>
      <w:r>
        <w:t xml:space="preserve">: </w:t>
      </w:r>
      <w:proofErr w:type="spellStart"/>
      <w:r>
        <w:t>Understanding</w:t>
      </w:r>
      <w:proofErr w:type="spellEnd"/>
      <w:r>
        <w:t xml:space="preserve"> and </w:t>
      </w:r>
      <w:proofErr w:type="spellStart"/>
      <w:r>
        <w:t>Managing</w:t>
      </w:r>
      <w:proofErr w:type="spellEnd"/>
      <w:r>
        <w:t xml:space="preserve"> for </w:t>
      </w:r>
      <w:proofErr w:type="spellStart"/>
      <w:r>
        <w:t>Integrity</w:t>
      </w:r>
      <w:proofErr w:type="spellEnd"/>
      <w:r>
        <w:t>” [</w:t>
      </w:r>
      <w:r>
        <w:rPr>
          <w:i/>
          <w:iCs/>
        </w:rPr>
        <w:t>„Zapobieganie korupcji w prokuraturach: zrozumienie i zarządzanie w imię uczciwości”</w:t>
      </w:r>
      <w:r>
        <w:t xml:space="preserve">] określają </w:t>
      </w:r>
      <w:r w:rsidR="004A1612">
        <w:t>testowanie</w:t>
      </w:r>
      <w:r>
        <w:t xml:space="preserve"> uczciwości jako „skuteczne narzędzie wykrywania korupcji”.</w:t>
      </w:r>
    </w:p>
    <w:p w14:paraId="0EB94253" w14:textId="2A427612" w:rsidR="008E5A20" w:rsidRPr="00396538" w:rsidRDefault="00891FA7" w:rsidP="008E5A20">
      <w:pPr>
        <w:pStyle w:val="JuPara"/>
      </w:pPr>
      <w:r>
        <w:fldChar w:fldCharType="begin"/>
      </w:r>
      <w:r>
        <w:instrText xml:space="preserve"> SEQ level0 \*arabic \* MERGEFORMAT </w:instrText>
      </w:r>
      <w:r>
        <w:fldChar w:fldCharType="separate"/>
      </w:r>
      <w:r>
        <w:rPr>
          <w:noProof/>
        </w:rPr>
        <w:t>26</w:t>
      </w:r>
      <w:r>
        <w:rPr>
          <w:noProof/>
        </w:rPr>
        <w:fldChar w:fldCharType="end"/>
      </w:r>
      <w:r w:rsidR="008E5A20">
        <w:t xml:space="preserve">.  W opinii </w:t>
      </w:r>
      <w:proofErr w:type="spellStart"/>
      <w:r w:rsidR="008E5A20">
        <w:rPr>
          <w:i/>
        </w:rPr>
        <w:t>amicus</w:t>
      </w:r>
      <w:proofErr w:type="spellEnd"/>
      <w:r w:rsidR="008E5A20">
        <w:rPr>
          <w:i/>
        </w:rPr>
        <w:t xml:space="preserve"> </w:t>
      </w:r>
      <w:proofErr w:type="spellStart"/>
      <w:r w:rsidR="008E5A20">
        <w:rPr>
          <w:i/>
        </w:rPr>
        <w:t>curiae</w:t>
      </w:r>
      <w:proofErr w:type="spellEnd"/>
      <w:r w:rsidR="008E5A20">
        <w:t xml:space="preserve"> przedłożonej Trybunałowi Konstytucyjnemu Republiki Mołd</w:t>
      </w:r>
      <w:r w:rsidR="00F81ED6">
        <w:t>awii</w:t>
      </w:r>
      <w:r w:rsidR="008E5A20">
        <w:t xml:space="preserve"> w przedmiocie niektórych przepisów ustawy o</w:t>
      </w:r>
      <w:r w:rsidR="00925634">
        <w:t> </w:t>
      </w:r>
      <w:r w:rsidR="004A1612">
        <w:t>testow</w:t>
      </w:r>
      <w:r w:rsidR="008E5A20">
        <w:t>aniu uczciwości zawodowej (opinia nr 789/2014, CDL-AD</w:t>
      </w:r>
      <w:r w:rsidR="006C7414">
        <w:t xml:space="preserve"> </w:t>
      </w:r>
      <w:r w:rsidR="008E5A20">
        <w:t>(2014)039 z dnia 15 grudnia 2014 r.) Europejska Komisja na rzecz Demokracji przez Prawo (Komisja Wenecka) zauważyła między innymi (przypisy pominięto):</w:t>
      </w:r>
    </w:p>
    <w:p w14:paraId="74321575" w14:textId="05A83601" w:rsidR="008E5A20" w:rsidRPr="00396538" w:rsidRDefault="00FC6BFD" w:rsidP="008E5A20">
      <w:pPr>
        <w:pStyle w:val="JuQuot"/>
      </w:pPr>
      <w:r>
        <w:t>„10.  Ponieważ korupcja podważa praworządność i dobre rządzenie, stwarza poważne ryzyko dla ochrony praw człowieka, utrudnia rozwój gospodarczy, zagraża stabilności instytucji demokratycznych i moralnym podstawom społeczeństwa, wszelkie wysiłki podejmowane przez Mołd</w:t>
      </w:r>
      <w:r w:rsidR="00F81ED6">
        <w:t>awię</w:t>
      </w:r>
      <w:r>
        <w:t xml:space="preserve"> w celu jej zwalczania należy popierać i przyjmować z</w:t>
      </w:r>
      <w:r w:rsidR="00925634">
        <w:t> </w:t>
      </w:r>
      <w:r>
        <w:t>zadowoleniem. Ważne jest jednak również, aby wysiłki te nie zagrażały stabilności instytucji demokratycznych ani nie osłabiały niezależności i bezstronności sądownictwa.</w:t>
      </w:r>
    </w:p>
    <w:p w14:paraId="406E2942" w14:textId="77777777" w:rsidR="008E5A20" w:rsidRPr="00396538" w:rsidRDefault="00FC6BFD" w:rsidP="008E5A20">
      <w:pPr>
        <w:pStyle w:val="JuQuot"/>
      </w:pPr>
      <w:r>
        <w:t>[...]</w:t>
      </w:r>
    </w:p>
    <w:p w14:paraId="5D319746" w14:textId="71A4F8F4" w:rsidR="008E5A20" w:rsidRPr="00396538" w:rsidRDefault="00FC6BFD" w:rsidP="008E5A20">
      <w:pPr>
        <w:pStyle w:val="JuQuot"/>
      </w:pPr>
      <w:r>
        <w:t xml:space="preserve">83. [Zasady przewodnie, które można wyprowadzić z orzecznictwa Europejskiego Trybunału Praw Człowieka] wydają się być naruszane przez procedurę uczciwości zawodowej przewidzianą w ustawie nr 325: art. 4 i 10 ust. 2 nie są wystarczające dla testu „uzasadnionego podejrzenia” ani podobnej koncepcji odnoszącej się do wszczęcia indywidualnej procedury </w:t>
      </w:r>
      <w:r w:rsidR="004A1612">
        <w:t>testow</w:t>
      </w:r>
      <w:r>
        <w:t xml:space="preserve">ania uczciwości. Wysoce wątpliwe jest również, </w:t>
      </w:r>
      <w:r>
        <w:lastRenderedPageBreak/>
        <w:t>czy</w:t>
      </w:r>
      <w:r w:rsidR="00925634">
        <w:t> </w:t>
      </w:r>
      <w:r>
        <w:t>(poufny) „</w:t>
      </w:r>
      <w:r>
        <w:rPr>
          <w:i/>
          <w:iCs/>
        </w:rPr>
        <w:t xml:space="preserve">plan </w:t>
      </w:r>
      <w:r w:rsidR="004A1612">
        <w:rPr>
          <w:i/>
          <w:iCs/>
        </w:rPr>
        <w:t>testow</w:t>
      </w:r>
      <w:r>
        <w:rPr>
          <w:i/>
          <w:iCs/>
        </w:rPr>
        <w:t>ania uczciwości zawodowej</w:t>
      </w:r>
      <w:r>
        <w:t>” ustanawiany przez NAC (lub</w:t>
      </w:r>
      <w:r w:rsidR="00925634">
        <w:t> </w:t>
      </w:r>
      <w:r>
        <w:t>SBI) na podstawie art. 11 ust. 3 ustawy nr 325 spełnia minimalne wymogi formalnego upoważnienia działalności funkcjonariusza działającego pod przykryciem.</w:t>
      </w:r>
    </w:p>
    <w:p w14:paraId="52855183" w14:textId="6383CB5B" w:rsidR="008E5A20" w:rsidRPr="00396538" w:rsidRDefault="00FC6BFD" w:rsidP="008E5A20">
      <w:pPr>
        <w:pStyle w:val="JuQuot"/>
      </w:pPr>
      <w:r>
        <w:t>84.  Wreszcie, okrężna argumentacja ustawy nr 325 dotycząca „</w:t>
      </w:r>
      <w:r>
        <w:rPr>
          <w:i/>
        </w:rPr>
        <w:t>uzasadnionego ryzyka</w:t>
      </w:r>
      <w:r>
        <w:t xml:space="preserve">” (art. 4), prowadząca do prawnej fikcji niepopełnienia przestępstwa przez osobę </w:t>
      </w:r>
      <w:r w:rsidR="004A1612">
        <w:t>testują</w:t>
      </w:r>
      <w:r>
        <w:t>cą uczciwość zawodową (art. 9 ust. 5), nie może negować tego, że – z</w:t>
      </w:r>
      <w:r w:rsidR="00925634">
        <w:t> </w:t>
      </w:r>
      <w:r>
        <w:t xml:space="preserve">faktycznego punktu widzenia – osoba </w:t>
      </w:r>
      <w:r w:rsidR="004A1612">
        <w:t>testuj</w:t>
      </w:r>
      <w:r>
        <w:t>ąca, posługująca się fałszywą tożsamością, która po raz pierwszy zwraca się do sędziego z pozornie korupcyjną ofertą – choćby z wewnętrznym zastrzeżeniem co do powagi tej oferty – popełnia czyn zabroniony, a zatem musi być kwalifikowana jako prowokator”.</w:t>
      </w:r>
    </w:p>
    <w:p w14:paraId="5F94FCCF" w14:textId="0EDBBD85" w:rsidR="008E5A20" w:rsidRPr="00D060A7" w:rsidRDefault="00891FA7" w:rsidP="008E5A20">
      <w:pPr>
        <w:pStyle w:val="JuPara"/>
      </w:pPr>
      <w:r>
        <w:fldChar w:fldCharType="begin"/>
      </w:r>
      <w:r>
        <w:instrText xml:space="preserve"> SEQ level0 \*arabic \* MERGEFORMAT </w:instrText>
      </w:r>
      <w:r>
        <w:fldChar w:fldCharType="separate"/>
      </w:r>
      <w:r>
        <w:rPr>
          <w:noProof/>
        </w:rPr>
        <w:t>27</w:t>
      </w:r>
      <w:r>
        <w:rPr>
          <w:noProof/>
        </w:rPr>
        <w:fldChar w:fldCharType="end"/>
      </w:r>
      <w:r w:rsidR="008E5A20">
        <w:t>.  Odpowiednie fragmenty Podręcznika ONZ dotyczącego praktycznych środków antykorupcyjnych dla prokuratorów i śledczych (Wiedeń, 2004) brzmią następująco:</w:t>
      </w:r>
    </w:p>
    <w:p w14:paraId="71B37274" w14:textId="3E90DC10" w:rsidR="008E5A20" w:rsidRPr="00396538" w:rsidRDefault="00FC6BFD" w:rsidP="008E5A20">
      <w:pPr>
        <w:pStyle w:val="JuQuot"/>
      </w:pPr>
      <w:r>
        <w:t xml:space="preserve">ROZDZIAŁ 11. </w:t>
      </w:r>
      <w:r w:rsidR="004A1612">
        <w:t>TESTOWANIE</w:t>
      </w:r>
      <w:r>
        <w:t xml:space="preserve"> UCZCIWOŚCI</w:t>
      </w:r>
    </w:p>
    <w:p w14:paraId="0C3AC381" w14:textId="77777777" w:rsidR="008E5A20" w:rsidRPr="00396538" w:rsidRDefault="00FC6BFD" w:rsidP="008E5A20">
      <w:pPr>
        <w:pStyle w:val="JuQuot"/>
      </w:pPr>
      <w:r>
        <w:t>„[...]</w:t>
      </w:r>
    </w:p>
    <w:p w14:paraId="456AECFA" w14:textId="346019A7" w:rsidR="008E5A20" w:rsidRPr="00396538" w:rsidRDefault="00FC6BFD" w:rsidP="008E5A20">
      <w:pPr>
        <w:pStyle w:val="JuQuot"/>
      </w:pPr>
      <w:r>
        <w:t xml:space="preserve">W rezultacie </w:t>
      </w:r>
      <w:r w:rsidR="004A1612">
        <w:t>testowanie</w:t>
      </w:r>
      <w:r>
        <w:t xml:space="preserve"> uczciwości jest obecnie uznawane za skuteczny instrument służący zarówno zapobieganiu korupcji, jak i jej ściganiu. Cele </w:t>
      </w:r>
      <w:r w:rsidR="004A1612">
        <w:t>testowania</w:t>
      </w:r>
      <w:r>
        <w:t xml:space="preserve"> uczciwości są następujące:</w:t>
      </w:r>
    </w:p>
    <w:p w14:paraId="321206BE" w14:textId="77777777" w:rsidR="008E5A20" w:rsidRPr="00396538" w:rsidRDefault="00FC6BFD" w:rsidP="008E5A20">
      <w:pPr>
        <w:pStyle w:val="JuQuot"/>
      </w:pPr>
      <w:r>
        <w:t>a) ustalenie, czy dany urzędnik państwowy lub określona gałąź administracji może angażować się w praktyki korupcyjne;</w:t>
      </w:r>
    </w:p>
    <w:p w14:paraId="78996B48" w14:textId="46F453B3" w:rsidR="008E5A20" w:rsidRPr="00396538" w:rsidRDefault="00FC6BFD" w:rsidP="008E5A20">
      <w:pPr>
        <w:pStyle w:val="JuQuot"/>
      </w:pPr>
      <w:r>
        <w:t xml:space="preserve">b) zwiększenie rzeczywistego i postrzeganego ryzyka wykrycia skorumpowanych funkcjonariuszy, a tym samym odstraszanie od </w:t>
      </w:r>
      <w:proofErr w:type="spellStart"/>
      <w:r>
        <w:t>zachowań</w:t>
      </w:r>
      <w:proofErr w:type="spellEnd"/>
      <w:r>
        <w:t xml:space="preserve"> korupcyjnych i zachęcanie funkcjonariuszy do zgłaszania przypadków oferowania im łapówek (wiele rzeczywistych ofert łapówek zostanie uznanych za </w:t>
      </w:r>
      <w:r w:rsidR="00410A74">
        <w:t>testowanie</w:t>
      </w:r>
      <w:r>
        <w:t xml:space="preserve"> uczciwości i</w:t>
      </w:r>
      <w:r w:rsidR="00925634">
        <w:t> </w:t>
      </w:r>
      <w:r>
        <w:t>zgłoszonych w celu ochrony stanowiska funkcjonariusza); oraz</w:t>
      </w:r>
    </w:p>
    <w:p w14:paraId="30B59534" w14:textId="3F4D1E9D" w:rsidR="008E5A20" w:rsidRPr="00396538" w:rsidRDefault="00FC6BFD" w:rsidP="008E5A20">
      <w:pPr>
        <w:pStyle w:val="JuQuot"/>
      </w:pPr>
      <w:r>
        <w:t xml:space="preserve">c) identyfikowanie funkcjonariuszy, takich jak funkcjonariusze policji, którzy pracują w obszarach narażonych na korupcję, jako uczciwych i godnych zaufania, a zatem odpowiednich do awansu. (Z tego względu istotne jest, by każdy system </w:t>
      </w:r>
      <w:r w:rsidR="00410A74">
        <w:t>testowania</w:t>
      </w:r>
      <w:r>
        <w:t xml:space="preserve"> uczciwości zawierał elementy losowe i nie opierał się wyłącznie na podejrzeniach; zaliczenie </w:t>
      </w:r>
      <w:r w:rsidR="00410A74">
        <w:t>testu</w:t>
      </w:r>
      <w:r>
        <w:t xml:space="preserve"> uczciwości powinno być odnotowywane jako atut w aktach funkcjonariusza, a nie sugerować, że istniały wobec niego zarzuty korupcyjne, których </w:t>
      </w:r>
      <w:r w:rsidR="00410A74">
        <w:t>testowanie</w:t>
      </w:r>
      <w:r>
        <w:t xml:space="preserve"> nie potwierdziło.)</w:t>
      </w:r>
    </w:p>
    <w:p w14:paraId="4129C308" w14:textId="27F6B595" w:rsidR="008E5A20" w:rsidRPr="00396538" w:rsidRDefault="00410A74" w:rsidP="008E5A20">
      <w:pPr>
        <w:pStyle w:val="JuQuot"/>
      </w:pPr>
      <w:r>
        <w:t>Testy</w:t>
      </w:r>
      <w:r w:rsidR="00FC6BFD">
        <w:t xml:space="preserve"> uczciwości były z powodzeniem wykorzystywane do ustalenia</w:t>
      </w:r>
      <w:r w:rsidR="0037302B">
        <w:t xml:space="preserve"> </w:t>
      </w:r>
      <w:r w:rsidR="00FC6BFD">
        <w:t>czy</w:t>
      </w:r>
      <w:r w:rsidR="00925634">
        <w:t> </w:t>
      </w:r>
      <w:r w:rsidR="00FC6BFD">
        <w:t>funkcjonariusze publiczni wszelkiego rodzaju odrzucają oferty łapówek i</w:t>
      </w:r>
      <w:r w:rsidR="00925634">
        <w:t> </w:t>
      </w:r>
      <w:r w:rsidR="00FC6BFD">
        <w:t>powstrzymują się od ich żądania. Jako takie okazują się niezwykle skutecznym i</w:t>
      </w:r>
      <w:r w:rsidR="00925634">
        <w:t> </w:t>
      </w:r>
      <w:r w:rsidR="00FC6BFD">
        <w:t>opłacalnym środkiem odstraszającym od korupcji.</w:t>
      </w:r>
    </w:p>
    <w:p w14:paraId="7A2BED42" w14:textId="77777777" w:rsidR="008E5A20" w:rsidRPr="00396538" w:rsidRDefault="00FC6BFD" w:rsidP="008E5A20">
      <w:pPr>
        <w:pStyle w:val="JuQuot"/>
      </w:pPr>
      <w:r>
        <w:t>[...]</w:t>
      </w:r>
    </w:p>
    <w:p w14:paraId="0239F7A3" w14:textId="34B7865C" w:rsidR="008E5A20" w:rsidRPr="00396538" w:rsidRDefault="00FC6BFD" w:rsidP="008E5A20">
      <w:pPr>
        <w:pStyle w:val="JuQuot"/>
        <w:keepNext/>
      </w:pPr>
      <w:r>
        <w:t xml:space="preserve">C. </w:t>
      </w:r>
      <w:r w:rsidR="006B0DCE" w:rsidRPr="006B0DCE">
        <w:t>RZETELNOŚĆ</w:t>
      </w:r>
    </w:p>
    <w:p w14:paraId="04DDE908" w14:textId="319F0BB3" w:rsidR="008E5A20" w:rsidRPr="00396538" w:rsidRDefault="00FC6BFD" w:rsidP="008E5A20">
      <w:pPr>
        <w:pStyle w:val="JuQuot"/>
      </w:pPr>
      <w:r>
        <w:t>W społeczeństwach demokratycznych powszechnie uważa się za niedopuszczalne, by</w:t>
      </w:r>
      <w:r w:rsidR="00925634">
        <w:t> </w:t>
      </w:r>
      <w:r>
        <w:t xml:space="preserve">rząd angażował się w działania zachęcające jednostki do popełniania przestępstw, których w przeciwnym razie mogłyby nie popełnić. Zazwyczaj jednak jest całkowicie dopuszczalne, aby rząd obserwował, czy dana osoba jest gotowa popełnić przestępstwo w zwykłych, codziennych okolicznościach. Z tego względu </w:t>
      </w:r>
      <w:r w:rsidR="00410A74">
        <w:t>testy</w:t>
      </w:r>
      <w:r>
        <w:t xml:space="preserve"> uczciwości muszą być prowadzone z najwyższą dyscypliną. </w:t>
      </w:r>
      <w:r w:rsidR="00410A74">
        <w:t>Test</w:t>
      </w:r>
      <w:r>
        <w:t xml:space="preserve"> uczciwości, podobnie jak inne formy technik ingerujących, stanowi „agresywne” wykonywanie władzy państwowej. W celu uniknięcia zarzutów nadużycia władzy należy sporządzać nagrania audio lub wideo </w:t>
      </w:r>
      <w:r>
        <w:lastRenderedPageBreak/>
        <w:t>rzeczywistego zdarzenia, tak aby zweryfikować, czy osoba oskarżona nie działała inaczej niż z własnej woli oraz czy funkcjonariusze państwowi nie zachowywali się w</w:t>
      </w:r>
      <w:r w:rsidR="00925634">
        <w:t> </w:t>
      </w:r>
      <w:r>
        <w:t>sposób nieuczciwy ani nie stosowali przymusu. Takie nagrania pomagają również zapewnić, że państwo dysponuje wystarczającymi dowodami do skutecznego ścigania.</w:t>
      </w:r>
    </w:p>
    <w:p w14:paraId="50418FF4" w14:textId="77777777" w:rsidR="008E5A20" w:rsidRPr="00396538" w:rsidRDefault="00FC6BFD" w:rsidP="008E5A20">
      <w:pPr>
        <w:pStyle w:val="JuQuot"/>
      </w:pPr>
      <w:r>
        <w:t>[...]</w:t>
      </w:r>
    </w:p>
    <w:p w14:paraId="7E3C6F60" w14:textId="78BE16E7" w:rsidR="008E5A20" w:rsidRPr="00396538" w:rsidRDefault="00FC6BFD" w:rsidP="008E5A20">
      <w:pPr>
        <w:pStyle w:val="JuQuot"/>
      </w:pPr>
      <w:r>
        <w:t xml:space="preserve">E. </w:t>
      </w:r>
      <w:r w:rsidR="00410A74">
        <w:t>TESTY</w:t>
      </w:r>
      <w:r>
        <w:t xml:space="preserve"> UCZCIWOŚCI A WĄTPLIWOŚCI KONSTYTUCYJNE</w:t>
      </w:r>
    </w:p>
    <w:p w14:paraId="6F89AE6F" w14:textId="1ABCEE93" w:rsidR="008E5A20" w:rsidRPr="00D060A7" w:rsidRDefault="00FC6BFD" w:rsidP="008E5A20">
      <w:pPr>
        <w:pStyle w:val="JuQuot"/>
      </w:pPr>
      <w:r>
        <w:t xml:space="preserve">Chociaż </w:t>
      </w:r>
      <w:r w:rsidR="00410A74">
        <w:t>testy</w:t>
      </w:r>
      <w:r>
        <w:t xml:space="preserve"> uczciwości mogą być niezwykle skutecznym narzędziem dochodzeniowym, a zarazem doskonałym środkiem odstraszającym, nie wszystkie sądy chętnie uznają je za dopuszczalną metodę gromadzenia dowodów. Niezależnie od tego istnieją istotne powody przemawiające za ich stosowaniem. Jest to jedno z</w:t>
      </w:r>
      <w:r w:rsidR="00925634">
        <w:t> </w:t>
      </w:r>
      <w:r>
        <w:t>najskuteczniejszych narzędzi służących ujawnianiu i eliminowaniu praktyk korupcyjnych w służbach publicznych w krótkim czasie. Tam, gdzie korupcja jest zjawiskiem powszechnym, a poziom zaufania publicznego jest niski, stanowi ono jedno z nielicznych narzędzi mogących przynieść natychmiastowe rezultaty i pomóc w</w:t>
      </w:r>
      <w:r w:rsidR="00925634">
        <w:t> </w:t>
      </w:r>
      <w:r>
        <w:t>odbudowie zaufania do administracji publicznej. Nie sposób wystarczająco mocno podkreślić, że systemy prawne dopuszczające scenariusze z udziałem „prowokatora” powinny starać się zapewnić, by nigdy nie były one wykorzystywane do wywołania zachowania, które czyni przestępcami osoby, które w przeciwnym razie mogłyby zareagować uczciwie. Dlatego ważne jest, aby stopień pokusy nie był nadmierny i</w:t>
      </w:r>
      <w:r w:rsidR="00925634">
        <w:t> </w:t>
      </w:r>
      <w:r>
        <w:t>nierozsądny. [...]”.</w:t>
      </w:r>
    </w:p>
    <w:bookmarkStart w:id="20" w:name="p_28_OECD"/>
    <w:p w14:paraId="0FF5BC35" w14:textId="4ADFD951" w:rsidR="008E5A20" w:rsidRPr="00396538" w:rsidRDefault="00FC6BFD" w:rsidP="008E5A20">
      <w:pPr>
        <w:pStyle w:val="JuPara"/>
      </w:pPr>
      <w:r w:rsidRPr="00D060A7">
        <w:fldChar w:fldCharType="begin"/>
      </w:r>
      <w:r w:rsidRPr="00D060A7">
        <w:instrText xml:space="preserve"> SEQ level0 \*arabic \* MERGEFORMAT </w:instrText>
      </w:r>
      <w:r w:rsidRPr="00D060A7">
        <w:fldChar w:fldCharType="separate"/>
      </w:r>
      <w:r w:rsidR="00891FA7">
        <w:rPr>
          <w:noProof/>
        </w:rPr>
        <w:t>28</w:t>
      </w:r>
      <w:r w:rsidRPr="00D060A7">
        <w:fldChar w:fldCharType="end"/>
      </w:r>
      <w:bookmarkEnd w:id="20"/>
      <w:r>
        <w:t xml:space="preserve">.  Komisja Wenecka wydała również opinię tymczasową dotyczącą projektu ukraińskiej ustawy o </w:t>
      </w:r>
      <w:r w:rsidR="00410A74">
        <w:t>testowaniu</w:t>
      </w:r>
      <w:r>
        <w:t xml:space="preserve"> uczciwości (CDL-AD</w:t>
      </w:r>
      <w:r w:rsidR="006C7414">
        <w:t xml:space="preserve"> </w:t>
      </w:r>
      <w:r>
        <w:t xml:space="preserve">(2015)031), w której dokonała przeglądu dostępnych tekstów międzynarodowych odnoszących się do tego zagadnienia. Ostrzegła ona między innymi przed możliwością, że takie </w:t>
      </w:r>
      <w:r w:rsidR="00410A74">
        <w:t>testowanie</w:t>
      </w:r>
      <w:r>
        <w:t xml:space="preserve"> może w pewnych okolicznościach stanowić prowokację.</w:t>
      </w:r>
    </w:p>
    <w:p w14:paraId="6141F5AC" w14:textId="77777777" w:rsidR="008E5A20" w:rsidRPr="00396538" w:rsidRDefault="00FC6BFD" w:rsidP="008E5A20">
      <w:pPr>
        <w:pStyle w:val="JuHHead"/>
      </w:pPr>
      <w:r>
        <w:t>PRAWO</w:t>
      </w:r>
    </w:p>
    <w:p w14:paraId="3A7ABF12" w14:textId="24840999" w:rsidR="008E5A20" w:rsidRPr="00D060A7" w:rsidRDefault="00276FD4" w:rsidP="008E5A20">
      <w:pPr>
        <w:pStyle w:val="JuHIRoman"/>
        <w:tabs>
          <w:tab w:val="left" w:pos="567"/>
          <w:tab w:val="left" w:pos="680"/>
        </w:tabs>
        <w:ind w:left="397" w:hanging="397"/>
      </w:pPr>
      <w:r w:rsidRPr="00276FD4">
        <w:t>zarzucane naruszenie</w:t>
      </w:r>
      <w:r w:rsidR="00FC6BFD">
        <w:t xml:space="preserve"> ART. 6 UST. 1 KONWENCJI (</w:t>
      </w:r>
      <w:r>
        <w:t>ZARZUT</w:t>
      </w:r>
      <w:r w:rsidR="00FC6BFD">
        <w:t xml:space="preserve"> prowokacj</w:t>
      </w:r>
      <w:r>
        <w:t>i</w:t>
      </w:r>
      <w:r w:rsidR="00FC6BFD">
        <w:t xml:space="preserve"> oraz brak</w:t>
      </w:r>
      <w:r>
        <w:t>u</w:t>
      </w:r>
      <w:r w:rsidR="00FC6BFD">
        <w:t xml:space="preserve"> kontradyktoryjności postępowania)</w:t>
      </w:r>
    </w:p>
    <w:p w14:paraId="1200EB7C" w14:textId="48D42F9F" w:rsidR="008E5A20" w:rsidRPr="00396538" w:rsidRDefault="00FC6BFD" w:rsidP="008E5A20">
      <w:pPr>
        <w:pStyle w:val="JuPara"/>
      </w:pPr>
      <w:r w:rsidRPr="00D060A7">
        <w:fldChar w:fldCharType="begin"/>
      </w:r>
      <w:r>
        <w:instrText xml:space="preserve"> SEQ level0 \*arabic \* MERGEFORMAT </w:instrText>
      </w:r>
      <w:r w:rsidRPr="00D060A7">
        <w:fldChar w:fldCharType="separate"/>
      </w:r>
      <w:r w:rsidR="00891FA7">
        <w:rPr>
          <w:noProof/>
        </w:rPr>
        <w:t>29</w:t>
      </w:r>
      <w:r w:rsidRPr="00D060A7">
        <w:fldChar w:fldCharType="end"/>
      </w:r>
      <w:r>
        <w:t xml:space="preserve">.  Skarżący zarzucił, że został </w:t>
      </w:r>
      <w:r w:rsidR="00582680" w:rsidRPr="00582680">
        <w:t>nakłoniony</w:t>
      </w:r>
      <w:r>
        <w:t xml:space="preserve"> przez funkcjonariuszy działających w imieniu państwa, co uczyniło późniejsze postępowanie sądowe nierzetelnym. Ponadto nie miał możliwości przedstawienia swoich racji przed sądem, który decyzją z dnia 28 stycznia 2020 r. potwierdził wyniki jego </w:t>
      </w:r>
      <w:r w:rsidR="00410A74">
        <w:t>testu</w:t>
      </w:r>
      <w:r>
        <w:t xml:space="preserve"> uczciwości zawodowej. Powołał się na art. 6 ust. 1 Konwencji, którego właściwa część stanowi:</w:t>
      </w:r>
    </w:p>
    <w:p w14:paraId="4856B4A3" w14:textId="74850A21" w:rsidR="008E5A20" w:rsidRPr="00396538" w:rsidRDefault="00FC6BFD" w:rsidP="008E5A20">
      <w:pPr>
        <w:pStyle w:val="JuQuot"/>
      </w:pPr>
      <w:r>
        <w:t xml:space="preserve">„Każdy ma prawo do sprawiedliwego [...] </w:t>
      </w:r>
      <w:r w:rsidR="00276FD4" w:rsidRPr="00276FD4">
        <w:t>rozpatrzenia jego sprawy</w:t>
      </w:r>
      <w:r>
        <w:t xml:space="preserve"> [...] przez [...] sąd [...] przy rozstrzyganiu o jego prawach i obowiązkach o charakterze cywilnym albo o zasadności każdego oskarżenia w wytoczonej przeciwko niemu sprawie karnej”.</w:t>
      </w:r>
    </w:p>
    <w:p w14:paraId="415C9AB8" w14:textId="77777777" w:rsidR="008E5A20" w:rsidRPr="00C926E5" w:rsidRDefault="00FC6BFD" w:rsidP="008E5A20">
      <w:pPr>
        <w:pStyle w:val="JuHA"/>
      </w:pPr>
      <w:r>
        <w:lastRenderedPageBreak/>
        <w:t>Dopuszczalność</w:t>
      </w:r>
    </w:p>
    <w:p w14:paraId="18A865F4" w14:textId="269137BB" w:rsidR="008E5A20" w:rsidRPr="00C926E5" w:rsidRDefault="00891FA7" w:rsidP="008E5A20">
      <w:pPr>
        <w:pStyle w:val="JuPara"/>
      </w:pPr>
      <w:r>
        <w:fldChar w:fldCharType="begin"/>
      </w:r>
      <w:r>
        <w:instrText xml:space="preserve"> SEQ level0 \*arabic </w:instrText>
      </w:r>
      <w:r>
        <w:fldChar w:fldCharType="separate"/>
      </w:r>
      <w:r>
        <w:rPr>
          <w:noProof/>
        </w:rPr>
        <w:t>30</w:t>
      </w:r>
      <w:r>
        <w:rPr>
          <w:noProof/>
        </w:rPr>
        <w:fldChar w:fldCharType="end"/>
      </w:r>
      <w:r w:rsidR="00FC6BFD">
        <w:t>.  Trybunał musi najpierw ustalić, czy art. 6 Konwencji ma zastosowanie do niniejszej sprawy w aspekcie karnym czy cywilnym.</w:t>
      </w:r>
    </w:p>
    <w:p w14:paraId="0F5C04B4" w14:textId="77777777" w:rsidR="008E5A20" w:rsidRPr="00C926E5" w:rsidRDefault="00FC6BFD" w:rsidP="008E5A20">
      <w:pPr>
        <w:pStyle w:val="JuH1"/>
      </w:pPr>
      <w:r>
        <w:t>Zastosowanie art. 6 ust. 1 Konwencji w aspekcie karnym</w:t>
      </w:r>
    </w:p>
    <w:p w14:paraId="582D36AB" w14:textId="515461E6"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31</w:t>
      </w:r>
      <w:r w:rsidRPr="00C926E5">
        <w:fldChar w:fldCharType="end"/>
      </w:r>
      <w:r>
        <w:t xml:space="preserve">.  Trybunał przypomina, że ocena zastosowania art. 6 w jego aspekcie karnym opiera się na trzech kryteriach, powszechnie określanych jako kryteria z wyroku </w:t>
      </w:r>
      <w:proofErr w:type="spellStart"/>
      <w:r>
        <w:rPr>
          <w:i/>
        </w:rPr>
        <w:t>Engel</w:t>
      </w:r>
      <w:proofErr w:type="spellEnd"/>
      <w:r>
        <w:t xml:space="preserve"> (zob. </w:t>
      </w:r>
      <w:proofErr w:type="spellStart"/>
      <w:r>
        <w:rPr>
          <w:i/>
        </w:rPr>
        <w:t>Engel</w:t>
      </w:r>
      <w:proofErr w:type="spellEnd"/>
      <w:r>
        <w:rPr>
          <w:i/>
        </w:rPr>
        <w:t xml:space="preserve"> i inni przeciwko Niderlandom</w:t>
      </w:r>
      <w:r>
        <w:t>, 8 czerwca 1976 r., § 82, Seria A nr 22). Pierwszym z nich jest kwalifikacja prawna naruszenia w prawie krajowym, drugim – sam charakter naruszenia, a trzecim – charakter i stopień rygoryzmu sankcji, która grozi zainteresowanemu (zob.</w:t>
      </w:r>
      <w:r w:rsidR="00925634">
        <w:t> </w:t>
      </w:r>
      <w:r>
        <w:t xml:space="preserve">np. </w:t>
      </w:r>
      <w:bookmarkStart w:id="21" w:name="_cl40283"/>
      <w:proofErr w:type="spellStart"/>
      <w:r>
        <w:rPr>
          <w:i/>
        </w:rPr>
        <w:t>Gestur</w:t>
      </w:r>
      <w:proofErr w:type="spellEnd"/>
      <w:r>
        <w:rPr>
          <w:i/>
        </w:rPr>
        <w:t xml:space="preserve"> </w:t>
      </w:r>
      <w:proofErr w:type="spellStart"/>
      <w:r>
        <w:rPr>
          <w:i/>
        </w:rPr>
        <w:t>Jónsson</w:t>
      </w:r>
      <w:proofErr w:type="spellEnd"/>
      <w:r>
        <w:rPr>
          <w:i/>
        </w:rPr>
        <w:t xml:space="preserve"> i Ragnar Halldór Hall przeciwko Islandii</w:t>
      </w:r>
      <w:bookmarkEnd w:id="21"/>
      <w:r>
        <w:t xml:space="preserve"> [WI], nr</w:t>
      </w:r>
      <w:r w:rsidR="00925634">
        <w:t> </w:t>
      </w:r>
      <w:r>
        <w:t>68273/14 i 68271/14, § 75, 22 grudnia 2020 r.). W odniesieniu do</w:t>
      </w:r>
      <w:r w:rsidR="00925634">
        <w:t> </w:t>
      </w:r>
      <w:r>
        <w:t xml:space="preserve">trzeciego kryterium Trybunał brał również pod uwagę charakter sankcji (zob. np. </w:t>
      </w:r>
      <w:bookmarkStart w:id="22" w:name="File21"/>
      <w:proofErr w:type="spellStart"/>
      <w:r>
        <w:rPr>
          <w:i/>
        </w:rPr>
        <w:t>Öztürk</w:t>
      </w:r>
      <w:bookmarkEnd w:id="22"/>
      <w:proofErr w:type="spellEnd"/>
      <w:r>
        <w:t xml:space="preserve"> </w:t>
      </w:r>
      <w:r>
        <w:rPr>
          <w:i/>
        </w:rPr>
        <w:t>przeciwko Niemcom</w:t>
      </w:r>
      <w:r>
        <w:t>, 21 lutego 1984 r., § 50, Seria A nr 73).</w:t>
      </w:r>
    </w:p>
    <w:p w14:paraId="599730AF" w14:textId="077D26E0"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32</w:t>
      </w:r>
      <w:r w:rsidRPr="00C926E5">
        <w:fldChar w:fldCharType="end"/>
      </w:r>
      <w:r>
        <w:t xml:space="preserve">.  Strony nie kwestionowały, że skarżący nie został skazany za czyn zakwalifikowany w prawie krajowym jako „karny”; przeciwnie, został ukarany za zachowanie należące do sfery przepisów dyscyplinarnych. Wskazówki płynące z prawa krajowego pozwanego państwa mają jednak jedynie względne znaczenie (zob. np. </w:t>
      </w:r>
      <w:bookmarkStart w:id="23" w:name="_cl39946"/>
      <w:proofErr w:type="spellStart"/>
      <w:r>
        <w:rPr>
          <w:i/>
        </w:rPr>
        <w:t>Ziliberberg</w:t>
      </w:r>
      <w:proofErr w:type="spellEnd"/>
      <w:r>
        <w:rPr>
          <w:i/>
        </w:rPr>
        <w:t xml:space="preserve"> przeciwko Mołd</w:t>
      </w:r>
      <w:r w:rsidR="00F81ED6">
        <w:rPr>
          <w:i/>
        </w:rPr>
        <w:t>awii</w:t>
      </w:r>
      <w:bookmarkEnd w:id="23"/>
      <w:r>
        <w:t>, nr</w:t>
      </w:r>
      <w:r w:rsidR="00925634">
        <w:t> </w:t>
      </w:r>
      <w:r>
        <w:t>61821/00, § 30, 1 lutego 2005 r.).</w:t>
      </w:r>
    </w:p>
    <w:p w14:paraId="18339F5D" w14:textId="476D0322"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33</w:t>
      </w:r>
      <w:r w:rsidRPr="00C926E5">
        <w:fldChar w:fldCharType="end"/>
      </w:r>
      <w:r>
        <w:t>.  Konieczne jest zatem zbadanie zachowania, które doprowadziło do</w:t>
      </w:r>
      <w:r w:rsidR="00925634">
        <w:t> </w:t>
      </w:r>
      <w:r>
        <w:t>nałożenia sankcji, w świetle drugiego i trzeciego z wymienionych wyżej kryteriów. W tym kontekście Trybunał przypomina, że kryteria te mają charakter alternatywny, a nie kumulatywny: aby art. 6 miał zastosowanie, wystarczy, by dany czyn był ze swej natury „karny” z punktu widzenia Konwencji albo by skutkował sankcją, która ze względu na swój charakter i</w:t>
      </w:r>
      <w:r w:rsidR="00925634">
        <w:t> </w:t>
      </w:r>
      <w:r>
        <w:t>stopień surowości zasadniczo należy do sfery prawa karnego (tamże, § 31).</w:t>
      </w:r>
    </w:p>
    <w:p w14:paraId="0F757AF2" w14:textId="40A86AF9"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34</w:t>
      </w:r>
      <w:r w:rsidRPr="00C926E5">
        <w:fldChar w:fldCharType="end"/>
      </w:r>
      <w:r>
        <w:t>.  Jeśli chodzi o charakter zachowania, za które skarżący został ukarany, Trybunał zauważa, że zarzucono mu naruszenie kilku przepisów ustawy o</w:t>
      </w:r>
      <w:r w:rsidR="00925634">
        <w:t> </w:t>
      </w:r>
      <w:r>
        <w:t>funkcjach publicznych i statusie funkcjonariuszy publicznych („ustawa nr</w:t>
      </w:r>
      <w:r w:rsidR="00925634">
        <w:t> </w:t>
      </w:r>
      <w:r>
        <w:t>158” – zob. pkt. </w:t>
      </w:r>
      <w:r w:rsidRPr="00C926E5">
        <w:fldChar w:fldCharType="begin"/>
      </w:r>
      <w:r w:rsidRPr="00C926E5">
        <w:instrText xml:space="preserve"> REF p_16_NEW_law_158_bis \h  \* MERGEFORMAT </w:instrText>
      </w:r>
      <w:r w:rsidRPr="00C926E5">
        <w:fldChar w:fldCharType="separate"/>
      </w:r>
      <w:r w:rsidR="00891FA7">
        <w:t>17</w:t>
      </w:r>
      <w:r w:rsidRPr="00C926E5">
        <w:fldChar w:fldCharType="end"/>
      </w:r>
      <w:r>
        <w:t xml:space="preserve"> powyżej), które komisja dyscyplinarna IOŚ określiła jako akty prawne przeznaczone do użytku wewnętrznego (zob. pkt </w:t>
      </w:r>
      <w:r w:rsidRPr="00C926E5">
        <w:fldChar w:fldCharType="begin"/>
      </w:r>
      <w:r w:rsidRPr="00C926E5">
        <w:instrText xml:space="preserve"> REF p_8_disciplinary_commission_dec \h  \* MERGEFORMAT </w:instrText>
      </w:r>
      <w:r w:rsidRPr="00C926E5">
        <w:fldChar w:fldCharType="separate"/>
      </w:r>
      <w:r w:rsidR="00891FA7">
        <w:t>8</w:t>
      </w:r>
      <w:r w:rsidRPr="00C926E5">
        <w:fldChar w:fldCharType="end"/>
      </w:r>
      <w:r>
        <w:t xml:space="preserve"> powyżej). Trybunał odnotowuje, że właściwy reżim dyscyplinarny służył zapewnieniu, aby funkcjonariusze publiczni przestrzegali szczególnych reguł rządzących ich postępowaniem zawodowym. Ponadto powyższe instrumenty miały być stosowane zgodnie z przepisami regulującymi działalność każdego konkretnego organu publicznego (zob. pkt </w:t>
      </w:r>
      <w:r w:rsidRPr="00C926E5">
        <w:fldChar w:fldCharType="begin"/>
      </w:r>
      <w:r w:rsidRPr="00C926E5">
        <w:instrText xml:space="preserve"> REF p_16_law_instit_integrity \h  \* MERGEFORMAT </w:instrText>
      </w:r>
      <w:r w:rsidRPr="00C926E5">
        <w:fldChar w:fldCharType="separate"/>
      </w:r>
      <w:r w:rsidR="00891FA7">
        <w:t>18</w:t>
      </w:r>
      <w:r w:rsidRPr="00C926E5">
        <w:fldChar w:fldCharType="end"/>
      </w:r>
      <w:r>
        <w:t xml:space="preserve"> powyżej), co jeszcze bardziej ograniczało zakres ich zastosowania i czyniło wątpliwym uznanie ich za</w:t>
      </w:r>
      <w:r w:rsidR="00925634">
        <w:t> </w:t>
      </w:r>
      <w:r>
        <w:t xml:space="preserve">przepisy powszechnie obowiązujące. Chociaż niektóre aspekty nieprawidłowości, za które skarżący został ukarany dyscyplinarnie, prawdopodobnie odpowiadałyby znamionom przestępstwa korupcji, gdyby zostały ustalone poza zakresem zastosowania ustawy nr 325, pozostaje </w:t>
      </w:r>
      <w:r>
        <w:lastRenderedPageBreak/>
        <w:t xml:space="preserve">faktem, że w ramach tego reżimu prawnego sankcjonowana była postawa wykazana przez zainteresowanego w sytuacji </w:t>
      </w:r>
      <w:r w:rsidR="00410A74">
        <w:t>testowania</w:t>
      </w:r>
      <w:r>
        <w:t xml:space="preserve">, a nie popełnienie konkretnego czynu zabronionego przez ustawę. Mając na uwadze wszystkie te elementy, Trybunał uznaje, że naruszenie odpowiednich przepisów ustawy nr 158 miało nie charakter karny, lecz dyscyplinarny (zob. </w:t>
      </w:r>
      <w:bookmarkStart w:id="24" w:name="_cl32399"/>
      <w:r>
        <w:rPr>
          <w:i/>
        </w:rPr>
        <w:t>Müller-</w:t>
      </w:r>
      <w:proofErr w:type="spellStart"/>
      <w:r>
        <w:rPr>
          <w:i/>
        </w:rPr>
        <w:t>Hartburg</w:t>
      </w:r>
      <w:proofErr w:type="spellEnd"/>
      <w:r>
        <w:rPr>
          <w:i/>
        </w:rPr>
        <w:t xml:space="preserve"> przeciwko Austrii</w:t>
      </w:r>
      <w:bookmarkEnd w:id="24"/>
      <w:r>
        <w:t>, nr 47195/06, §§ 44-45, 19 lutego 2013 r.).</w:t>
      </w:r>
    </w:p>
    <w:p w14:paraId="28FA4652" w14:textId="6283197D"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35</w:t>
      </w:r>
      <w:r w:rsidRPr="00C926E5">
        <w:fldChar w:fldCharType="end"/>
      </w:r>
      <w:r>
        <w:t xml:space="preserve">.  Przechodząc do charakteru i stopnia surowości sankcji, jaka groziła skarżącemu, Trybunał przypomina, że kryterium to należy określać przez odniesienie do maksymalnej potencjalnej sankcji przewidzianej przez właściwe prawo. Rzeczywiście wymierzona kara ma znaczenie dla tej oceny, lecz nie może umniejszać wagi tego, co od początku było stawką postępowania (zob. </w:t>
      </w:r>
      <w:bookmarkStart w:id="25" w:name="_cl25460"/>
      <w:proofErr w:type="spellStart"/>
      <w:r>
        <w:rPr>
          <w:i/>
        </w:rPr>
        <w:t>Ezeh</w:t>
      </w:r>
      <w:proofErr w:type="spellEnd"/>
      <w:r>
        <w:rPr>
          <w:i/>
        </w:rPr>
        <w:t xml:space="preserve"> i Connors przeciwko Zjednoczonemu Królestwu</w:t>
      </w:r>
      <w:bookmarkEnd w:id="25"/>
      <w:r>
        <w:t xml:space="preserve"> [WI], nr 39665/98 i 40086/98, § 120, ETPC 2003-X, z dalszymi odesłaniami).</w:t>
      </w:r>
    </w:p>
    <w:p w14:paraId="2468784E" w14:textId="20104584" w:rsidR="008E5A20" w:rsidRPr="00C926E5" w:rsidRDefault="00FC6BFD" w:rsidP="008E5A20">
      <w:pPr>
        <w:pStyle w:val="JuPara"/>
      </w:pPr>
      <w:r>
        <w:t>Trybunał zauważa, że zgodnie z prawem krajowym (zob. pkt </w:t>
      </w:r>
      <w:r w:rsidRPr="00C926E5">
        <w:fldChar w:fldCharType="begin"/>
      </w:r>
      <w:r w:rsidRPr="00C926E5">
        <w:instrText xml:space="preserve"> REF p_16_NEW_law_158_bis \h  \* MERGEFORMAT </w:instrText>
      </w:r>
      <w:r w:rsidRPr="00C926E5">
        <w:fldChar w:fldCharType="separate"/>
      </w:r>
      <w:r w:rsidR="00891FA7">
        <w:t>17</w:t>
      </w:r>
      <w:r w:rsidRPr="00C926E5">
        <w:fldChar w:fldCharType="end"/>
      </w:r>
      <w:r>
        <w:t xml:space="preserve"> powyżej) sankcje grożące za przewinienie dyscyplinarne rozciągały się od upomnienia i nagany po zawieszenie prawa do awansu oraz zwolnienie. Są to typowe sankcje dyscyplinarne (zob. </w:t>
      </w:r>
      <w:r>
        <w:rPr>
          <w:i/>
        </w:rPr>
        <w:t>Müller-</w:t>
      </w:r>
      <w:proofErr w:type="spellStart"/>
      <w:r>
        <w:rPr>
          <w:i/>
        </w:rPr>
        <w:t>Hartburg</w:t>
      </w:r>
      <w:proofErr w:type="spellEnd"/>
      <w:r>
        <w:t>, cyt. wyżej, § 47). W</w:t>
      </w:r>
      <w:r w:rsidR="00925634">
        <w:t> </w:t>
      </w:r>
      <w:r>
        <w:t>szczególności skarżącemu nie groziło pozbawienie wolności ani wysoka grzywna, lecz został on zwolniony, co oznaczało, że przez pięć lat nie mógł zostać ponownie zatrudniony jako funkcjonariusz publiczny (zob. pkt </w:t>
      </w:r>
      <w:r w:rsidRPr="00C926E5">
        <w:fldChar w:fldCharType="begin"/>
      </w:r>
      <w:r w:rsidRPr="00C926E5">
        <w:instrText xml:space="preserve"> REF p_17_NEW_GVT_regulation_record \h  \* MERGEFORMAT </w:instrText>
      </w:r>
      <w:r w:rsidRPr="00C926E5">
        <w:fldChar w:fldCharType="separate"/>
      </w:r>
      <w:r w:rsidR="00891FA7">
        <w:t>19</w:t>
      </w:r>
      <w:r w:rsidRPr="00C926E5">
        <w:fldChar w:fldCharType="end"/>
      </w:r>
      <w:r>
        <w:t xml:space="preserve"> powyżej).</w:t>
      </w:r>
    </w:p>
    <w:p w14:paraId="56DC0ADF" w14:textId="538FE110"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36</w:t>
      </w:r>
      <w:r w:rsidRPr="00C926E5">
        <w:fldChar w:fldCharType="end"/>
      </w:r>
      <w:r>
        <w:t xml:space="preserve">.  W świetle powyższego Trybunał uznaje, że wskazane wyżej elementy nie mogą prowadzić do wniosku, iż postępowanie dyscyplinarne przeciwko skarżącemu dotyczyło rozstrzygnięcia o zasadności „oskarżenia w sprawie karnej” w rozumieniu art. 6 Konwencji (zob. </w:t>
      </w:r>
      <w:bookmarkStart w:id="26" w:name="_cl20668"/>
      <w:r>
        <w:rPr>
          <w:i/>
        </w:rPr>
        <w:t xml:space="preserve">Ali </w:t>
      </w:r>
      <w:proofErr w:type="spellStart"/>
      <w:r>
        <w:rPr>
          <w:i/>
        </w:rPr>
        <w:t>Rıza</w:t>
      </w:r>
      <w:proofErr w:type="spellEnd"/>
      <w:r>
        <w:rPr>
          <w:i/>
        </w:rPr>
        <w:t xml:space="preserve"> i inni przeciwko Turcji</w:t>
      </w:r>
      <w:bookmarkEnd w:id="26"/>
      <w:r>
        <w:t xml:space="preserve">, nr 30226/10 i 4 inne, § 154, 28 stycznia 2020 r., oraz </w:t>
      </w:r>
      <w:bookmarkStart w:id="27" w:name="_cl40460"/>
      <w:proofErr w:type="spellStart"/>
      <w:r>
        <w:rPr>
          <w:i/>
        </w:rPr>
        <w:t>Xhoxhaj</w:t>
      </w:r>
      <w:proofErr w:type="spellEnd"/>
      <w:r>
        <w:rPr>
          <w:i/>
        </w:rPr>
        <w:t xml:space="preserve"> przeciwko Albanii</w:t>
      </w:r>
      <w:bookmarkEnd w:id="27"/>
      <w:r>
        <w:t>, nr 15227/19, §§ 240-246, 9 lutego 2021 r.). Przepis ten nie ma zatem zastosowania do niniejszej sprawy w aspekcie karnym.</w:t>
      </w:r>
    </w:p>
    <w:p w14:paraId="5299F23D" w14:textId="77777777" w:rsidR="008E5A20" w:rsidRPr="00C926E5" w:rsidRDefault="00FC6BFD" w:rsidP="008E5A20">
      <w:pPr>
        <w:pStyle w:val="JuH1"/>
      </w:pPr>
      <w:r>
        <w:t>Zastosowanie art. 6 ust. 1 Konwencji w aspekcie cywilnym</w:t>
      </w:r>
    </w:p>
    <w:p w14:paraId="76EEF735" w14:textId="741C7B89"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37</w:t>
      </w:r>
      <w:r w:rsidRPr="00C926E5">
        <w:fldChar w:fldCharType="end"/>
      </w:r>
      <w:r>
        <w:t>.  Trybunał zauważa, że postępowanie w niniejszej sprawie dotyczyło sporu co do decyzji nakładającej na skarżącego sankcję dyscyplinarną. Co do</w:t>
      </w:r>
      <w:r w:rsidR="00925634">
        <w:t> </w:t>
      </w:r>
      <w:r>
        <w:t xml:space="preserve">istnienia „prawa”, odnotowuje, że postępowanie to miało rozstrzygające znaczenie dla praw skarżącego, ponieważ mogło doprowadzić do uchylenia nałożonej sankcji dyscyplinarnej, gdyby jego odwołanie zostało uwzględnione. Co do „cywilnego” charakteru takiego prawa, Trybunał zauważa, że prawo krajowe umożliwia funkcjonariuszowi publicznemu, wobec którego zastosowano sankcję dyscyplinarną, zaskarżenie jej do sądu, a skarżący z tego prawa skorzystał. W konsekwencji art. 6 ma zastosowanie w aspekcie cywilnym </w:t>
      </w:r>
      <w:bookmarkStart w:id="28" w:name="_cl34833"/>
      <w:bookmarkStart w:id="29" w:name="_cl30621"/>
      <w:r>
        <w:t xml:space="preserve">(zob. </w:t>
      </w:r>
      <w:r>
        <w:rPr>
          <w:i/>
        </w:rPr>
        <w:t xml:space="preserve">Ramos </w:t>
      </w:r>
      <w:proofErr w:type="spellStart"/>
      <w:r>
        <w:rPr>
          <w:i/>
        </w:rPr>
        <w:t>Nunes</w:t>
      </w:r>
      <w:proofErr w:type="spellEnd"/>
      <w:r>
        <w:rPr>
          <w:i/>
        </w:rPr>
        <w:t xml:space="preserve"> de </w:t>
      </w:r>
      <w:proofErr w:type="spellStart"/>
      <w:r>
        <w:rPr>
          <w:i/>
        </w:rPr>
        <w:t>Carvalho</w:t>
      </w:r>
      <w:proofErr w:type="spellEnd"/>
      <w:r>
        <w:rPr>
          <w:i/>
        </w:rPr>
        <w:t xml:space="preserve"> e </w:t>
      </w:r>
      <w:proofErr w:type="spellStart"/>
      <w:r>
        <w:rPr>
          <w:i/>
        </w:rPr>
        <w:t>Sá</w:t>
      </w:r>
      <w:proofErr w:type="spellEnd"/>
      <w:r>
        <w:rPr>
          <w:i/>
        </w:rPr>
        <w:t xml:space="preserve"> przeciwko Portugalii</w:t>
      </w:r>
      <w:r>
        <w:t xml:space="preserve"> [WI], nr 55391/13 i 2 inne, §§ 112 oraz 117-120, 6 listopada 2018 r.).</w:t>
      </w:r>
    </w:p>
    <w:p w14:paraId="488E9F6B" w14:textId="77777777" w:rsidR="008E5A20" w:rsidRPr="00C926E5" w:rsidRDefault="00FC6BFD" w:rsidP="008E5A20">
      <w:pPr>
        <w:pStyle w:val="JuH1"/>
      </w:pPr>
      <w:r>
        <w:lastRenderedPageBreak/>
        <w:t>Wniosek dotyczący dopuszczalności</w:t>
      </w:r>
    </w:p>
    <w:bookmarkEnd w:id="28"/>
    <w:bookmarkEnd w:id="29"/>
    <w:p w14:paraId="2286ACC1" w14:textId="69DE3F7F" w:rsidR="008E5A20" w:rsidRPr="00C926E5" w:rsidRDefault="00FC6BFD" w:rsidP="008E5A20">
      <w:pPr>
        <w:pStyle w:val="JuPara"/>
      </w:pPr>
      <w:r w:rsidRPr="00C926E5">
        <w:fldChar w:fldCharType="begin"/>
      </w:r>
      <w:r w:rsidRPr="00C926E5">
        <w:instrText xml:space="preserve"> SEQ level0 \*arabic </w:instrText>
      </w:r>
      <w:r w:rsidRPr="00C926E5">
        <w:fldChar w:fldCharType="separate"/>
      </w:r>
      <w:r w:rsidR="00891FA7">
        <w:rPr>
          <w:noProof/>
        </w:rPr>
        <w:t>38</w:t>
      </w:r>
      <w:r w:rsidRPr="00C926E5">
        <w:fldChar w:fldCharType="end"/>
      </w:r>
      <w:r>
        <w:t>.  Trybunał stwierdza, że skarga ta nie jest ani oczywiście bezzasadna, ani niedopuszczalna z jakiejkolwiek innej przyczyny wymienionej w art. 35 Konwencji. Należy ją zatem uznać za dopuszczalną.</w:t>
      </w:r>
    </w:p>
    <w:p w14:paraId="239E3CA2" w14:textId="77777777" w:rsidR="008E5A20" w:rsidRPr="00C926E5" w:rsidRDefault="00FC6BFD" w:rsidP="008E5A20">
      <w:pPr>
        <w:pStyle w:val="JuHA"/>
      </w:pPr>
      <w:r>
        <w:t>Przedmiot skargi</w:t>
      </w:r>
    </w:p>
    <w:p w14:paraId="0888E880" w14:textId="77777777" w:rsidR="008E5A20" w:rsidRPr="00C926E5" w:rsidRDefault="00FC6BFD" w:rsidP="008E5A20">
      <w:pPr>
        <w:pStyle w:val="JuH1"/>
      </w:pPr>
      <w:r>
        <w:t>Stanowiska stron</w:t>
      </w:r>
    </w:p>
    <w:p w14:paraId="074C1B38" w14:textId="6AF81DB0" w:rsidR="008E5A20" w:rsidRPr="00C926E5" w:rsidRDefault="00891FA7" w:rsidP="008E5A20">
      <w:pPr>
        <w:pStyle w:val="JuPara"/>
      </w:pPr>
      <w:r>
        <w:fldChar w:fldCharType="begin"/>
      </w:r>
      <w:r>
        <w:instrText xml:space="preserve"> SEQ level0 \*arabic </w:instrText>
      </w:r>
      <w:r>
        <w:fldChar w:fldCharType="separate"/>
      </w:r>
      <w:r>
        <w:rPr>
          <w:noProof/>
        </w:rPr>
        <w:t>39</w:t>
      </w:r>
      <w:r>
        <w:rPr>
          <w:noProof/>
        </w:rPr>
        <w:fldChar w:fldCharType="end"/>
      </w:r>
      <w:r w:rsidR="00FC6BFD">
        <w:t xml:space="preserve">.  Skarżący utrzymywał, że został </w:t>
      </w:r>
      <w:r w:rsidR="00582680" w:rsidRPr="00582680">
        <w:t>nakłoniony</w:t>
      </w:r>
      <w:r w:rsidR="00FC6BFD">
        <w:t xml:space="preserve"> przez funkcjonariuszy państwowych, co uczyniło późniejsze postępowanie sądowe nierzetelnym.</w:t>
      </w:r>
    </w:p>
    <w:bookmarkStart w:id="30" w:name="p_38_GVT_OBS"/>
    <w:p w14:paraId="0DBCE6F9" w14:textId="2CC91595" w:rsidR="008E5A20" w:rsidRPr="00D060A7" w:rsidRDefault="00FC6BFD" w:rsidP="008E5A20">
      <w:pPr>
        <w:pStyle w:val="JuPara"/>
      </w:pPr>
      <w:r w:rsidRPr="00C926E5">
        <w:fldChar w:fldCharType="begin"/>
      </w:r>
      <w:r w:rsidRPr="00C926E5">
        <w:instrText xml:space="preserve"> SEQ level0 \*arabic </w:instrText>
      </w:r>
      <w:r w:rsidRPr="00C926E5">
        <w:fldChar w:fldCharType="separate"/>
      </w:r>
      <w:r w:rsidR="00891FA7">
        <w:rPr>
          <w:noProof/>
        </w:rPr>
        <w:t>40</w:t>
      </w:r>
      <w:r w:rsidRPr="00C926E5">
        <w:fldChar w:fldCharType="end"/>
      </w:r>
      <w:bookmarkEnd w:id="30"/>
      <w:r>
        <w:t xml:space="preserve">.  Rząd twierdził, że skarżący nie </w:t>
      </w:r>
      <w:r w:rsidR="008654AB" w:rsidRPr="008654AB">
        <w:t>przeszedł pomyślnie</w:t>
      </w:r>
      <w:r>
        <w:t xml:space="preserve"> </w:t>
      </w:r>
      <w:r w:rsidR="00410A74">
        <w:t>testu</w:t>
      </w:r>
      <w:r>
        <w:t xml:space="preserve"> uczciwości zawodowej, przyjmując łapówkę w zamian za nałożenie na S. łagodniejszej sankcji. Wymogi prawne dotyczące planowania i przeprowadzania takich </w:t>
      </w:r>
      <w:r w:rsidR="00410A74">
        <w:t>testów</w:t>
      </w:r>
      <w:r>
        <w:t xml:space="preserve"> zostały zachowane. Sąd badający materiał sprawy w celu rozstrzygnięcia, czy</w:t>
      </w:r>
      <w:r w:rsidR="008654AB">
        <w:t xml:space="preserve"> </w:t>
      </w:r>
      <w:r>
        <w:t>skarżący</w:t>
      </w:r>
      <w:r w:rsidR="008654AB" w:rsidRPr="008654AB">
        <w:t xml:space="preserve"> przeszedł pomyślnie</w:t>
      </w:r>
      <w:r>
        <w:t xml:space="preserve"> </w:t>
      </w:r>
      <w:r w:rsidR="00410A74">
        <w:t>test</w:t>
      </w:r>
      <w:r>
        <w:t xml:space="preserve"> uczciwości zawodowej, przeanalizował również działania danego funkcjonariusza działającego pod przykryciem. Ustalił on, że istniały wystarczające podstawy, aby uznać, iż skarżący popełniłby dane przewinienie dyscyplinarne także bez udziału osoby </w:t>
      </w:r>
      <w:r w:rsidR="00410A74">
        <w:t>testu</w:t>
      </w:r>
      <w:r>
        <w:t>jącej.</w:t>
      </w:r>
    </w:p>
    <w:p w14:paraId="22F597B4" w14:textId="0BBEA2E7" w:rsidR="008E5A20" w:rsidRPr="00D060A7" w:rsidRDefault="00FC6BFD" w:rsidP="008E5A20">
      <w:pPr>
        <w:pStyle w:val="JuPara"/>
      </w:pPr>
      <w:r>
        <w:t>Rząd dodał, że skarżący nie sprzeciwił się próbie wręczenia łapówki, lecz zwlekał z podjęciem działań, prowadząc długie rozmowy telefoniczne i</w:t>
      </w:r>
      <w:r w:rsidR="00925634">
        <w:t> </w:t>
      </w:r>
      <w:r>
        <w:t>oświadczając, że byłby gotów przyjąć propozycje S., lecz nie mógł tego zrobić z uwagi na obecność leśniczego oraz fakt złożenia formalnej skargi. Co więcej, początkowo zapowiedział nałożenie wyższej grzywny, lecz</w:t>
      </w:r>
      <w:r w:rsidR="00925634">
        <w:t> </w:t>
      </w:r>
      <w:r>
        <w:t>następnie znalazł sposób na jej obniżenie, wchodząc tym samym w</w:t>
      </w:r>
      <w:r w:rsidR="00925634">
        <w:t> </w:t>
      </w:r>
      <w:r>
        <w:t xml:space="preserve">bezprawne porozumienie z osobą </w:t>
      </w:r>
      <w:r w:rsidR="00410A74">
        <w:t>testu</w:t>
      </w:r>
      <w:r>
        <w:t xml:space="preserve">jącą. Przyjmując łapówkę w postaci piły łańcuchowej, powiedział S., że może mu pomóc w przyszłości, jeżeli zostanie uprzedzony z wyprzedzeniem. Ponadto, poprzez zwrócenie państwu kosztu zakupu piły łańcuchowej po ujawnieniu </w:t>
      </w:r>
      <w:r w:rsidR="00410A74">
        <w:t>testu</w:t>
      </w:r>
      <w:r>
        <w:t>, przyznał się do</w:t>
      </w:r>
      <w:r w:rsidR="00925634">
        <w:t> </w:t>
      </w:r>
      <w:r>
        <w:t>przyjęcia łapówki.</w:t>
      </w:r>
    </w:p>
    <w:p w14:paraId="42C9A58A" w14:textId="27E397C2" w:rsidR="008E5A20" w:rsidRPr="00C926E5" w:rsidRDefault="00FC6BFD" w:rsidP="008E5A20">
      <w:pPr>
        <w:pStyle w:val="JuPara"/>
      </w:pPr>
      <w:r>
        <w:t xml:space="preserve">Właściwy sąd zbadał jego zarzut prowokacji i stwierdził, że do podżegania nie doszło. Sąd ten nie uznał tego </w:t>
      </w:r>
      <w:r w:rsidR="006B0DCE">
        <w:t>zarzu</w:t>
      </w:r>
      <w:r>
        <w:t>tu za rozstrzygający, ponieważ uwzględnił cały materiał sprawy, w tym nagrania wideo znajdujące się w</w:t>
      </w:r>
      <w:r w:rsidR="00925634">
        <w:t> </w:t>
      </w:r>
      <w:r>
        <w:t>aktach. Ponadto skarżący nie podniósł kwestii prowokacji przed komisją dyscyplinarną IOŚ.</w:t>
      </w:r>
    </w:p>
    <w:p w14:paraId="4CE06E1B" w14:textId="77777777" w:rsidR="008E5A20" w:rsidRPr="00C926E5" w:rsidRDefault="00FC6BFD" w:rsidP="008E5A20">
      <w:pPr>
        <w:pStyle w:val="JuH1"/>
      </w:pPr>
      <w:r>
        <w:t>Ocena Trybunału</w:t>
      </w:r>
    </w:p>
    <w:p w14:paraId="58ECECE1" w14:textId="77777777" w:rsidR="008E5A20" w:rsidRPr="00C926E5" w:rsidRDefault="00FC6BFD" w:rsidP="008E5A20">
      <w:pPr>
        <w:pStyle w:val="JuHa0"/>
      </w:pPr>
      <w:r>
        <w:t>Uwagi ogólne</w:t>
      </w:r>
    </w:p>
    <w:bookmarkStart w:id="31" w:name="p_38_general_corruption_considerations"/>
    <w:p w14:paraId="1448633C" w14:textId="6B5E3073"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41</w:t>
      </w:r>
      <w:r w:rsidRPr="00C926E5">
        <w:fldChar w:fldCharType="end"/>
      </w:r>
      <w:bookmarkEnd w:id="31"/>
      <w:r>
        <w:t>.  Trybunał jest świadomy trudności nieodłącznie związanych z</w:t>
      </w:r>
      <w:r w:rsidR="00925634">
        <w:t> </w:t>
      </w:r>
      <w:r>
        <w:t>zadaniem organów polegającym na wykrywaniu korupcji i gromadzeniu dowodów w tym zakresie. Korupcja najczęściej pozostaje niezgłoszona, ponieważ strony takich bezprawnych porozumień czerpią z nich korzyści. W</w:t>
      </w:r>
      <w:r w:rsidR="00925634">
        <w:t> </w:t>
      </w:r>
      <w:r>
        <w:t xml:space="preserve">związku z tym organy państwowe coraz częściej zmuszone są </w:t>
      </w:r>
      <w:r>
        <w:lastRenderedPageBreak/>
        <w:t>do</w:t>
      </w:r>
      <w:r w:rsidR="00925634">
        <w:t> </w:t>
      </w:r>
      <w:r>
        <w:t>korzystania z funkcjonariuszy działających pod przykryciem, informatorów i</w:t>
      </w:r>
      <w:r w:rsidR="00925634">
        <w:t> </w:t>
      </w:r>
      <w:r>
        <w:t xml:space="preserve">praktyk niejawnych. Jedną z takich praktyk jest </w:t>
      </w:r>
      <w:r w:rsidR="00410A74">
        <w:t>test</w:t>
      </w:r>
      <w:r>
        <w:t xml:space="preserve"> uczciwości zawodowej, którego celem nie jest gromadzenie dowodów na potrzeby postępowania przygotowawczego, lecz ustalenie poziomu podatności na korupcję w określonej grupie osób. Przynosi to wyraźne korzyści społeczne: organy mogą lepiej ocenić ryzyko korupcji i planować działania służące jego ograniczaniu, zaś sama możliwość, że każda oferta łapówki może potencjalnie stanowić element </w:t>
      </w:r>
      <w:r w:rsidR="00410A74">
        <w:t>testowania</w:t>
      </w:r>
      <w:r>
        <w:t xml:space="preserve"> uczciwości, ma wyraźny efekt prewencyjny.</w:t>
      </w:r>
    </w:p>
    <w:bookmarkStart w:id="32" w:name="p_38_general_corruption_considerations_2"/>
    <w:p w14:paraId="3813B310" w14:textId="12FA01D7"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42</w:t>
      </w:r>
      <w:r w:rsidRPr="00C926E5">
        <w:fldChar w:fldCharType="end"/>
      </w:r>
      <w:bookmarkEnd w:id="32"/>
      <w:r>
        <w:t>.  Ponadto korupcja stała się poważnym problemem w wielu państwach, o czym świadczy choćby treść Przewodnika technicznego do Konwencji Narodów Zjednoczonych przeciwko korupcji (zob. pkt </w:t>
      </w:r>
      <w:r w:rsidRPr="00C926E5">
        <w:fldChar w:fldCharType="begin"/>
      </w:r>
      <w:r w:rsidRPr="00C926E5">
        <w:instrText xml:space="preserve"> REF p_21_UN_Conv_corruption \h  \* MERGEFORMAT </w:instrText>
      </w:r>
      <w:r w:rsidRPr="00C926E5">
        <w:fldChar w:fldCharType="separate"/>
      </w:r>
      <w:r w:rsidR="00891FA7">
        <w:t>22</w:t>
      </w:r>
      <w:r w:rsidRPr="00C926E5">
        <w:fldChar w:fldCharType="end"/>
      </w:r>
      <w:r>
        <w:t xml:space="preserve"> powyżej), który przewiduje możliwość korzystania z operacji pod przykryciem i prowokacji, podobnie jak zestaw narzędzi OECD (zob. pkt </w:t>
      </w:r>
      <w:r w:rsidRPr="00C926E5">
        <w:fldChar w:fldCharType="begin"/>
      </w:r>
      <w:r w:rsidRPr="00C926E5">
        <w:instrText xml:space="preserve"> REF p_25_OECD \h  \* MERGEFORMAT </w:instrText>
      </w:r>
      <w:r w:rsidRPr="00C926E5">
        <w:fldChar w:fldCharType="separate"/>
      </w:r>
      <w:r w:rsidR="00891FA7">
        <w:t>25</w:t>
      </w:r>
      <w:r w:rsidRPr="00C926E5">
        <w:fldChar w:fldCharType="end"/>
      </w:r>
      <w:r>
        <w:t xml:space="preserve"> powyżej). Prawnokarna konwencja Rady Europy o korupcji (zob. pkt </w:t>
      </w:r>
      <w:r w:rsidRPr="00C926E5">
        <w:fldChar w:fldCharType="begin"/>
      </w:r>
      <w:r w:rsidRPr="00C926E5">
        <w:instrText xml:space="preserve"> REF p_22_Eur_Convention_corruption \h  \* MERGEFORMAT </w:instrText>
      </w:r>
      <w:r w:rsidRPr="00C926E5">
        <w:fldChar w:fldCharType="separate"/>
      </w:r>
      <w:r w:rsidR="00891FA7">
        <w:t>23</w:t>
      </w:r>
      <w:r w:rsidRPr="00C926E5">
        <w:fldChar w:fldCharType="end"/>
      </w:r>
      <w:r>
        <w:t xml:space="preserve"> powyżej) zezwala na stosowanie specjalnych technik śledczych, takich jak funkcjonariusz działający pod przykryciem, mogących okazać się koniecznymi do</w:t>
      </w:r>
      <w:r w:rsidR="00925634">
        <w:t> </w:t>
      </w:r>
      <w:r>
        <w:t>gromadzenia dowodów w tej dziedzinie, pod warunkiem</w:t>
      </w:r>
      <w:r w:rsidR="006C7414">
        <w:t>,</w:t>
      </w:r>
      <w:r>
        <w:t xml:space="preserve"> że ich użycie pozostaje zgodne z międzynarodowymi zobowiązaniami prawnymi państw, zwłaszcza w zakresie ochrony praw człowieka i podstawowych wolności. W</w:t>
      </w:r>
      <w:r w:rsidR="00925634">
        <w:t> </w:t>
      </w:r>
      <w:r>
        <w:t>kontekście cywilnym, choć w celu zabezpieczenia prawa ofiary do</w:t>
      </w:r>
      <w:r w:rsidR="00925634">
        <w:t> </w:t>
      </w:r>
      <w:r>
        <w:t>odszkodowania, a nie ukarania zainteresowanego funkcjonariusza publicznego, Cywilnoprawna konwencja o korupcji wymaga od państw członkowskich przewidzenia w prawie wewnętrznym skutecznych procedur pozyskiwania dowodów w postępowaniu cywilnym wszczętym w</w:t>
      </w:r>
      <w:r w:rsidR="00925634">
        <w:t> </w:t>
      </w:r>
      <w:r>
        <w:t>następstwie aktu korupcji (zob. pkt </w:t>
      </w:r>
      <w:r w:rsidRPr="00C926E5">
        <w:fldChar w:fldCharType="begin"/>
      </w:r>
      <w:r w:rsidRPr="00C926E5">
        <w:instrText xml:space="preserve"> REF p_23_CE_Civil_conv_corruption \h  \* MERGEFORMAT </w:instrText>
      </w:r>
      <w:r w:rsidRPr="00C926E5">
        <w:fldChar w:fldCharType="separate"/>
      </w:r>
      <w:r w:rsidR="00891FA7">
        <w:t>24</w:t>
      </w:r>
      <w:r w:rsidRPr="00C926E5">
        <w:fldChar w:fldCharType="end"/>
      </w:r>
      <w:r>
        <w:t xml:space="preserve"> powyżej).</w:t>
      </w:r>
    </w:p>
    <w:p w14:paraId="66C9447A" w14:textId="5BF6FDF7"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43</w:t>
      </w:r>
      <w:r w:rsidRPr="00C926E5">
        <w:fldChar w:fldCharType="end"/>
      </w:r>
      <w:r>
        <w:t>.  Zważywszy na powyższe, stosowanie specjalnych środków dochodzeniowych – w szczególności technik niejawnych – nie może samo w</w:t>
      </w:r>
      <w:r w:rsidR="00925634">
        <w:t> </w:t>
      </w:r>
      <w:r>
        <w:t xml:space="preserve">sobie naruszać prawa do rzetelnego procesu. Jednak ze względu na ryzyko prowokacji związane z takimi technikami, ich stosowanie musi mieścić się w jasno wytyczonych granicach (zob. odpowiednio </w:t>
      </w:r>
      <w:r>
        <w:rPr>
          <w:i/>
        </w:rPr>
        <w:t>mutatis mutandis</w:t>
      </w:r>
      <w:r>
        <w:t xml:space="preserve"> </w:t>
      </w:r>
      <w:bookmarkStart w:id="33" w:name="_cl34816"/>
      <w:proofErr w:type="spellStart"/>
      <w:r>
        <w:rPr>
          <w:i/>
        </w:rPr>
        <w:t>Ramanauskas</w:t>
      </w:r>
      <w:proofErr w:type="spellEnd"/>
      <w:r>
        <w:rPr>
          <w:i/>
        </w:rPr>
        <w:t xml:space="preserve"> przeciwko Litwie</w:t>
      </w:r>
      <w:bookmarkEnd w:id="33"/>
      <w:r>
        <w:t xml:space="preserve"> [WI], nr 74420/01, §§ 51 i 55, ETPC 2008).</w:t>
      </w:r>
    </w:p>
    <w:p w14:paraId="5254EA17" w14:textId="77777777" w:rsidR="008E5A20" w:rsidRPr="00C926E5" w:rsidRDefault="00FC6BFD" w:rsidP="008E5A20">
      <w:pPr>
        <w:pStyle w:val="JuHa0"/>
      </w:pPr>
      <w:r>
        <w:t>Znaczenie gwarancji rzetelnego procesu karnego dla postępowań cywilnych</w:t>
      </w:r>
    </w:p>
    <w:p w14:paraId="1EA5522B" w14:textId="3627E52A"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44</w:t>
      </w:r>
      <w:r w:rsidRPr="00C926E5">
        <w:fldChar w:fldCharType="end"/>
      </w:r>
      <w:r>
        <w:t>.  Trybunał uznaje, że dla określenia swojego podejścia do niniejszej sprawy musi najpierw rozważyć, czy – a jeśli tak, to w jakim zakresie – gwarancje rzetelnego procesu dotyczące posługiwania się prowokatorem, mające zastosowanie w postępowaniu karnym, mogą mieć znaczenie dla postępowania cywilnego prowadzącego do zwolnienia z urzędu, w</w:t>
      </w:r>
      <w:r w:rsidR="00925634">
        <w:t> </w:t>
      </w:r>
      <w:r>
        <w:t xml:space="preserve">kontekście </w:t>
      </w:r>
      <w:r w:rsidR="00410A74">
        <w:t>testowa</w:t>
      </w:r>
      <w:r>
        <w:t xml:space="preserve">nia uczciwości zawodowej funkcjonariuszy publicznych, rzekomo przeprowadzonego poprzez </w:t>
      </w:r>
      <w:r w:rsidR="00582680">
        <w:t>nakłonie</w:t>
      </w:r>
      <w:r>
        <w:t>nie ich do działań korupcyjnych.</w:t>
      </w:r>
    </w:p>
    <w:p w14:paraId="72B85928" w14:textId="54556258" w:rsidR="006C7414"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45</w:t>
      </w:r>
      <w:r w:rsidRPr="00C926E5">
        <w:fldChar w:fldCharType="end"/>
      </w:r>
      <w:r>
        <w:t>.  Trybunał miał już okazję zauważyć, że „</w:t>
      </w:r>
      <w:bookmarkStart w:id="34" w:name="lt_pId1044"/>
      <w:r>
        <w:t>choć gwarancje «rzetelne</w:t>
      </w:r>
    </w:p>
    <w:p w14:paraId="474DFEFB" w14:textId="2B3DAD3E" w:rsidR="008E5A20" w:rsidRPr="00C926E5" w:rsidRDefault="00FC6BFD" w:rsidP="008E5A20">
      <w:pPr>
        <w:pStyle w:val="JuPara"/>
      </w:pPr>
      <w:r>
        <w:lastRenderedPageBreak/>
        <w:t>go procesu» niekoniecznie są takie same w postępowaniu karnym i</w:t>
      </w:r>
      <w:r w:rsidR="00925634">
        <w:t> </w:t>
      </w:r>
      <w:r>
        <w:t>cywilnym, przy czym państwa dysponują większym marginesem swobody w sprawach cywilnych, Trybunał może jednak, badając rzetelność postępowania cywilnego, czerpać inspirację z zasad wypracowanych w</w:t>
      </w:r>
      <w:r w:rsidR="00925634">
        <w:t> </w:t>
      </w:r>
      <w:r>
        <w:t>ramach karnego aspektu art. 6</w:t>
      </w:r>
      <w:bookmarkEnd w:id="34"/>
      <w:r>
        <w:t xml:space="preserve">” (zob. </w:t>
      </w:r>
      <w:proofErr w:type="spellStart"/>
      <w:r>
        <w:rPr>
          <w:i/>
        </w:rPr>
        <w:t>López</w:t>
      </w:r>
      <w:proofErr w:type="spellEnd"/>
      <w:r>
        <w:rPr>
          <w:i/>
        </w:rPr>
        <w:t xml:space="preserve"> </w:t>
      </w:r>
      <w:proofErr w:type="spellStart"/>
      <w:r>
        <w:rPr>
          <w:i/>
        </w:rPr>
        <w:t>Ribalda</w:t>
      </w:r>
      <w:proofErr w:type="spellEnd"/>
      <w:r>
        <w:rPr>
          <w:i/>
        </w:rPr>
        <w:t xml:space="preserve"> i inni przeciwko Hiszpanii</w:t>
      </w:r>
      <w:r>
        <w:t xml:space="preserve"> [WI], nr 1874/13 i 8567/13, § 152, 17 października 2019 r.).</w:t>
      </w:r>
    </w:p>
    <w:p w14:paraId="163BC857" w14:textId="13F70D3A"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46</w:t>
      </w:r>
      <w:r w:rsidRPr="00C926E5">
        <w:fldChar w:fldCharType="end"/>
      </w:r>
      <w:r>
        <w:t>.  Trybunał zauważa, że postępowanie przeciwko skarżącemu obejmowało ocenę jego postawy i zachowania w sytuacji sztucznie wykreowanej, choć pomyślanej jako odtworzenie zdarzeń, jakie mogłyby typowo wystąpić w jego działalności zawodowej. Oczywiste jest, że dla zapewnienia rzetelności postępowania taka ocena musiała obejmować pytanie, czy zaobserwowane zachowanie ujawniało postawę niezgodną z</w:t>
      </w:r>
      <w:r w:rsidR="00925634">
        <w:t> </w:t>
      </w:r>
      <w:r>
        <w:t>wymogami służby, czy też zostało nienależycie wywołane, a tym samym nie mogło stanowić wiarygodnej podstawy do przypisania przewinienia dyscyplinarnego. W takich okolicznościach, w których skarżącemu zarzucono przewinienie dyscyplinarne, choć oczywiste wydaje się, że</w:t>
      </w:r>
      <w:r w:rsidR="00925634">
        <w:t> </w:t>
      </w:r>
      <w:r>
        <w:t>elementy podlegające udowodnieniu oraz wymagany standard dowodowy w postępowaniu prowadzonym na podstawie ustawy nr 325 nie były tożsame z tymi obowiązującymi w postępowaniu karnym, Trybunał uznaje, że</w:t>
      </w:r>
      <w:r w:rsidR="00925634">
        <w:t> </w:t>
      </w:r>
      <w:r>
        <w:t>w</w:t>
      </w:r>
      <w:r w:rsidR="00925634">
        <w:t> </w:t>
      </w:r>
      <w:r>
        <w:t>niniejszej sprawie istnieją wystarczające podstawy, by – z</w:t>
      </w:r>
      <w:r w:rsidR="00925634">
        <w:t> </w:t>
      </w:r>
      <w:r>
        <w:t>odpowiednimi modyfikacjami (zob. pkt </w:t>
      </w:r>
      <w:r w:rsidRPr="00C926E5">
        <w:fldChar w:fldCharType="begin"/>
      </w:r>
      <w:r w:rsidRPr="00C926E5">
        <w:instrText xml:space="preserve"> REF p_55_guarantees \h  \* MERGEFORMAT </w:instrText>
      </w:r>
      <w:r w:rsidRPr="00C926E5">
        <w:fldChar w:fldCharType="separate"/>
      </w:r>
      <w:r w:rsidR="00891FA7">
        <w:t>57</w:t>
      </w:r>
      <w:r w:rsidRPr="00C926E5">
        <w:fldChar w:fldCharType="end"/>
      </w:r>
      <w:r>
        <w:t xml:space="preserve"> poniżej) – czerpać inspirację z</w:t>
      </w:r>
      <w:r w:rsidR="00925634">
        <w:t> </w:t>
      </w:r>
      <w:r>
        <w:t>gwarancji rzetelnego procesu wypracowanych w jego orzecznictwie na podstawie art. 6 ust. 1 w odniesieniu do prowokacji w kontekście postępowania karnego.</w:t>
      </w:r>
    </w:p>
    <w:p w14:paraId="0E816D54" w14:textId="77777777" w:rsidR="008E5A20" w:rsidRPr="00C926E5" w:rsidRDefault="00FC6BFD" w:rsidP="008E5A20">
      <w:pPr>
        <w:pStyle w:val="JuHa0"/>
      </w:pPr>
      <w:r>
        <w:t>Ogólne zasady dotyczące gwarancji przeciwko prowokacji w postępowaniu karnym</w:t>
      </w:r>
    </w:p>
    <w:p w14:paraId="164BDA14" w14:textId="7F0D924B"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47</w:t>
      </w:r>
      <w:r w:rsidRPr="00C926E5">
        <w:fldChar w:fldCharType="end"/>
      </w:r>
      <w:r>
        <w:t>.  Trybunał wypracował zestaw zasad mających zastosowanie do</w:t>
      </w:r>
      <w:r w:rsidR="005F63DB">
        <w:t> </w:t>
      </w:r>
      <w:r>
        <w:t>prowokacji w kontekście postępowania karnego, obejmujących materialny i proceduralny test prowokacji.</w:t>
      </w:r>
    </w:p>
    <w:p w14:paraId="76F9EB55" w14:textId="77777777" w:rsidR="008E5A20" w:rsidRPr="00C926E5" w:rsidRDefault="00FC6BFD" w:rsidP="008E5A20">
      <w:pPr>
        <w:pStyle w:val="JuHi"/>
      </w:pPr>
      <w:r>
        <w:t>Materialny test prowokacji</w:t>
      </w:r>
    </w:p>
    <w:bookmarkStart w:id="35" w:name="p_49_incitement_principles_start"/>
    <w:p w14:paraId="6CC61350" w14:textId="3F8BA29D"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48</w:t>
      </w:r>
      <w:r w:rsidRPr="00C926E5">
        <w:fldChar w:fldCharType="end"/>
      </w:r>
      <w:bookmarkEnd w:id="35"/>
      <w:r>
        <w:t>.  W razie podniesienia zarzutu policyjnej prowokacji Trybunał w</w:t>
      </w:r>
      <w:r w:rsidR="005F63DB">
        <w:t> </w:t>
      </w:r>
      <w:r>
        <w:t xml:space="preserve">pierwszej kolejności dąży do ustalenia, czy taka prowokacja rzeczywiście miała miejsce (materialny test prowokacji – zob. </w:t>
      </w:r>
      <w:bookmarkStart w:id="36" w:name="_cl21671"/>
      <w:proofErr w:type="spellStart"/>
      <w:r>
        <w:rPr>
          <w:i/>
        </w:rPr>
        <w:t>Bannikova</w:t>
      </w:r>
      <w:proofErr w:type="spellEnd"/>
      <w:r>
        <w:rPr>
          <w:i/>
        </w:rPr>
        <w:t xml:space="preserve"> przeciwko Rosji</w:t>
      </w:r>
      <w:bookmarkEnd w:id="36"/>
      <w:r>
        <w:t xml:space="preserve">, nr 18757/06, § 37, 4 listopada 2010 r., oraz </w:t>
      </w:r>
      <w:bookmarkStart w:id="37" w:name="_cl40404"/>
      <w:proofErr w:type="spellStart"/>
      <w:r>
        <w:rPr>
          <w:i/>
        </w:rPr>
        <w:t>Akbay</w:t>
      </w:r>
      <w:proofErr w:type="spellEnd"/>
      <w:r>
        <w:rPr>
          <w:i/>
        </w:rPr>
        <w:t xml:space="preserve"> i inni przeciwko Niemcom</w:t>
      </w:r>
      <w:bookmarkEnd w:id="37"/>
      <w:r>
        <w:t xml:space="preserve">, nr 40495/15 i 2 inne, § 111, 15 października 2020 r.). Jeżeli do prowokacji doszło, późniejsze wykorzystanie w postępowaniu karnym przeciwko zainteresowanemu dowodów uzyskanych w ten sposób rodzi problem na tle art. 6 ust. 1 (zob. m.in. </w:t>
      </w:r>
      <w:bookmarkStart w:id="38" w:name="_cl37661"/>
      <w:proofErr w:type="spellStart"/>
      <w:r>
        <w:rPr>
          <w:i/>
        </w:rPr>
        <w:t>Teixeira</w:t>
      </w:r>
      <w:proofErr w:type="spellEnd"/>
      <w:r>
        <w:rPr>
          <w:i/>
        </w:rPr>
        <w:t xml:space="preserve"> de Castro przeciwko Portugalii</w:t>
      </w:r>
      <w:bookmarkEnd w:id="38"/>
      <w:r>
        <w:t xml:space="preserve">, 9 czerwca 1998 r., §§ 35-36, </w:t>
      </w:r>
      <w:proofErr w:type="spellStart"/>
      <w:r>
        <w:rPr>
          <w:i/>
        </w:rPr>
        <w:t>Recueil</w:t>
      </w:r>
      <w:proofErr w:type="spellEnd"/>
      <w:r>
        <w:rPr>
          <w:i/>
        </w:rPr>
        <w:t xml:space="preserve"> des </w:t>
      </w:r>
      <w:proofErr w:type="spellStart"/>
      <w:r>
        <w:rPr>
          <w:i/>
        </w:rPr>
        <w:t>arrêts</w:t>
      </w:r>
      <w:proofErr w:type="spellEnd"/>
      <w:r>
        <w:rPr>
          <w:i/>
        </w:rPr>
        <w:t xml:space="preserve"> et </w:t>
      </w:r>
      <w:proofErr w:type="spellStart"/>
      <w:r>
        <w:rPr>
          <w:i/>
        </w:rPr>
        <w:t>décisions</w:t>
      </w:r>
      <w:proofErr w:type="spellEnd"/>
      <w:r>
        <w:t xml:space="preserve"> 1998-IV, oraz </w:t>
      </w:r>
      <w:proofErr w:type="spellStart"/>
      <w:r>
        <w:rPr>
          <w:i/>
        </w:rPr>
        <w:t>Matanović</w:t>
      </w:r>
      <w:proofErr w:type="spellEnd"/>
      <w:r>
        <w:rPr>
          <w:i/>
        </w:rPr>
        <w:t xml:space="preserve"> przeciwko Chorwacji</w:t>
      </w:r>
      <w:r>
        <w:t>, nr 2742/12, § 145, 4 kwietnia 2017 r.).</w:t>
      </w:r>
    </w:p>
    <w:p w14:paraId="05DFD296" w14:textId="7785E301"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49</w:t>
      </w:r>
      <w:r w:rsidRPr="00C926E5">
        <w:fldChar w:fldCharType="end"/>
      </w:r>
      <w:r>
        <w:t xml:space="preserve">.  Policyjna prowokacja ma miejsce wtedy, gdy zaangażowani funkcjonariusze – czy to członkowie sił bezpieczeństwa, czy osoby działające </w:t>
      </w:r>
      <w:r>
        <w:lastRenderedPageBreak/>
        <w:t>na ich polecenie – nie ograniczają się do badania działalności przestępczej w</w:t>
      </w:r>
      <w:r w:rsidR="005F63DB">
        <w:t> </w:t>
      </w:r>
      <w:r>
        <w:t>zasadniczo bierny sposób, lecz wywierają na daną osobę taki wpływ, że</w:t>
      </w:r>
      <w:r w:rsidR="005F63DB">
        <w:t> </w:t>
      </w:r>
      <w:r>
        <w:t xml:space="preserve">skłaniają ją do popełnienia czynu, który w przeciwnym razie nie zostałby popełniony, w celu umożliwienia stwierdzenia przestępstwa, a więc uzyskania dowodów i wszczęcia postępowania karnego (zob. </w:t>
      </w:r>
      <w:proofErr w:type="spellStart"/>
      <w:r>
        <w:rPr>
          <w:i/>
        </w:rPr>
        <w:t>Ramanauskas</w:t>
      </w:r>
      <w:proofErr w:type="spellEnd"/>
      <w:r>
        <w:t xml:space="preserve"> [WI], cyt. wyżej, § 55).</w:t>
      </w:r>
    </w:p>
    <w:p w14:paraId="769E74F8" w14:textId="2F1BD0B8"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50</w:t>
      </w:r>
      <w:r w:rsidRPr="00C926E5">
        <w:fldChar w:fldCharType="end"/>
      </w:r>
      <w:r>
        <w:t xml:space="preserve">.  Rozstrzygając, czy dochodzenie było „zasadniczo bierne” w sprawach karnych, Trybunał bada przyczyny leżące u podstaw operacji niejawnej oraz sposób postępowania organów ją przeprowadzających. Ocenia on, czy istniały obiektywne podstawy, by podejrzewać, że dany skarżący był zaangażowany w działalność przestępczą lub miał </w:t>
      </w:r>
      <w:r w:rsidR="00A60192">
        <w:t xml:space="preserve">skłonność </w:t>
      </w:r>
      <w:r>
        <w:t xml:space="preserve">do popełnienia przestępstwa (zob. </w:t>
      </w:r>
      <w:proofErr w:type="spellStart"/>
      <w:r>
        <w:rPr>
          <w:i/>
        </w:rPr>
        <w:t>Akbay</w:t>
      </w:r>
      <w:proofErr w:type="spellEnd"/>
      <w:r>
        <w:rPr>
          <w:i/>
        </w:rPr>
        <w:t xml:space="preserve"> i inni</w:t>
      </w:r>
      <w:r>
        <w:t>, cyt. wyżej, § 114). Wytyczając granicę między uprawnioną infiltracją policyjną a nakłanianiem do popełnienia czynu, Trybunał bada dalej, czy na skarżącego wywierano presję, by czyn popełnił (tamże, § 116).</w:t>
      </w:r>
    </w:p>
    <w:p w14:paraId="37FA3BF1" w14:textId="6EB6F2CE"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51</w:t>
      </w:r>
      <w:r w:rsidRPr="00C926E5">
        <w:fldChar w:fldCharType="end"/>
      </w:r>
      <w:r>
        <w:t xml:space="preserve">.  Stosując powyższe kryteria, Trybunał nakłada ciężar dowodu na organy. To na oskarżycielu spoczywa obowiązek udowodnienia, że do prowokacji nie doszło, o ile zarzuty oskarżonego nie są całkowicie nieprawdopodobne. W praktyce organy mogą nie być w stanie sprostać temu ciężarowi z uwagi na brak formalnego zezwolenia i nadzoru nad operacją niejawną (zob. </w:t>
      </w:r>
      <w:proofErr w:type="spellStart"/>
      <w:r>
        <w:rPr>
          <w:i/>
        </w:rPr>
        <w:t>Bannikova</w:t>
      </w:r>
      <w:proofErr w:type="spellEnd"/>
      <w:r>
        <w:t>, cyt. wyżej, § 48). W tym kontekście Trybunał podkreślał potrzebę istnienia jasnej i przewidywalnej procedury autoryzacji środków dochodzeniowych oraz właściwego nadzoru nad nimi. Za</w:t>
      </w:r>
      <w:r w:rsidR="005F63DB">
        <w:t> </w:t>
      </w:r>
      <w:r>
        <w:t xml:space="preserve">najwłaściwszy środek w sprawach dotyczących operacji niejawnych uznawał nadzór sądowy (zob. </w:t>
      </w:r>
      <w:proofErr w:type="spellStart"/>
      <w:r>
        <w:rPr>
          <w:i/>
        </w:rPr>
        <w:t>Bannikova</w:t>
      </w:r>
      <w:proofErr w:type="spellEnd"/>
      <w:r>
        <w:t xml:space="preserve">, §§ 49-50, oraz </w:t>
      </w:r>
      <w:proofErr w:type="spellStart"/>
      <w:r>
        <w:rPr>
          <w:i/>
        </w:rPr>
        <w:t>Matanović</w:t>
      </w:r>
      <w:proofErr w:type="spellEnd"/>
      <w:r>
        <w:t xml:space="preserve">, § 124, oba cyt. wyżej; por. </w:t>
      </w:r>
      <w:bookmarkStart w:id="39" w:name="_cl25050"/>
      <w:r>
        <w:rPr>
          <w:i/>
        </w:rPr>
        <w:t>Edwards i Lewis przeciwko Zjednoczonemu Królestwu</w:t>
      </w:r>
      <w:bookmarkEnd w:id="39"/>
      <w:r>
        <w:t xml:space="preserve"> [WI], nr 39647/98 i 40461/98, §§ 46 i 48, ETPC 2004-X).</w:t>
      </w:r>
    </w:p>
    <w:p w14:paraId="15DA4B1E" w14:textId="77777777" w:rsidR="008E5A20" w:rsidRPr="00C926E5" w:rsidRDefault="00FC6BFD" w:rsidP="008E5A20">
      <w:pPr>
        <w:pStyle w:val="JuHi"/>
      </w:pPr>
      <w:r>
        <w:t>Proceduralny test prowokacji</w:t>
      </w:r>
    </w:p>
    <w:p w14:paraId="72808B12" w14:textId="54BE5900"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52</w:t>
      </w:r>
      <w:r w:rsidRPr="00C926E5">
        <w:fldChar w:fldCharType="end"/>
      </w:r>
      <w:r>
        <w:t xml:space="preserve">.  W celu ustalenia, czy proces był rzetelny, Trybunał wyjaśnił ponadto, że konieczne jest – jako drugi etap – przeprowadzenie proceduralnego testu prowokacji nie tylko wtedy, gdy ustalenia Trybunału w ramach testu materialnego są niejednoznaczne z powodu braku informacji w aktach, braku ujawnienia materiałów lub sprzeczności w sposobie przedstawiania zdarzeń przez strony, lecz także wtedy, gdy na podstawie testu materialnego Trybunał stwierdza, że skarżący został poddany prowokacji (zob. </w:t>
      </w:r>
      <w:proofErr w:type="spellStart"/>
      <w:r>
        <w:rPr>
          <w:i/>
        </w:rPr>
        <w:t>Matanović</w:t>
      </w:r>
      <w:proofErr w:type="spellEnd"/>
      <w:r>
        <w:t>, cyt.</w:t>
      </w:r>
      <w:r w:rsidR="005F63DB">
        <w:t> </w:t>
      </w:r>
      <w:r>
        <w:t xml:space="preserve">wyżej, § 134; </w:t>
      </w:r>
      <w:proofErr w:type="spellStart"/>
      <w:r>
        <w:rPr>
          <w:i/>
        </w:rPr>
        <w:t>Ramanauskas</w:t>
      </w:r>
      <w:proofErr w:type="spellEnd"/>
      <w:r>
        <w:rPr>
          <w:i/>
        </w:rPr>
        <w:t xml:space="preserve"> przeciwko Litwie (nr 2)</w:t>
      </w:r>
      <w:r>
        <w:t xml:space="preserve">, nr 55146/14, § 62, 20 lutego 2018 r.; oraz </w:t>
      </w:r>
      <w:proofErr w:type="spellStart"/>
      <w:r>
        <w:rPr>
          <w:i/>
        </w:rPr>
        <w:t>Akbay</w:t>
      </w:r>
      <w:proofErr w:type="spellEnd"/>
      <w:r>
        <w:rPr>
          <w:i/>
        </w:rPr>
        <w:t xml:space="preserve"> i inni</w:t>
      </w:r>
      <w:r>
        <w:t>, cyt. wyżej, § 120).</w:t>
      </w:r>
    </w:p>
    <w:p w14:paraId="48643530" w14:textId="1F2108C0"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53</w:t>
      </w:r>
      <w:r w:rsidRPr="00C926E5">
        <w:fldChar w:fldCharType="end"/>
      </w:r>
      <w:r>
        <w:t>.  Trybunał stosuje ten test proceduralny w celu ustalenia, czy sądy krajowe podjęły niezbędne działania, aby wyjaśnić okoliczności związane z</w:t>
      </w:r>
      <w:r w:rsidR="005F63DB">
        <w:t> </w:t>
      </w:r>
      <w:r>
        <w:t>dającym się obronić zarzutem prowokacji, a także czy – w razie stwierdzenia prowokacji lub w sytuacji, gdy oskarżenie nie wykazało, że</w:t>
      </w:r>
      <w:r w:rsidR="005F63DB">
        <w:t> </w:t>
      </w:r>
      <w:r>
        <w:t>do</w:t>
      </w:r>
      <w:r w:rsidR="005F63DB">
        <w:t> </w:t>
      </w:r>
      <w:r>
        <w:t xml:space="preserve">prowokacji nie doszło – wyciągnięto z tego odpowiednie wnioski zgodne z Konwencją (zob. </w:t>
      </w:r>
      <w:proofErr w:type="spellStart"/>
      <w:r>
        <w:rPr>
          <w:i/>
        </w:rPr>
        <w:t>Ramanauskas</w:t>
      </w:r>
      <w:proofErr w:type="spellEnd"/>
      <w:r>
        <w:t xml:space="preserve"> [WI], cyt. wyżej, § 70; </w:t>
      </w:r>
      <w:bookmarkStart w:id="40" w:name="_cl23608"/>
      <w:proofErr w:type="spellStart"/>
      <w:r>
        <w:t>Ciprian</w:t>
      </w:r>
      <w:proofErr w:type="spellEnd"/>
      <w:r>
        <w:t xml:space="preserve"> </w:t>
      </w:r>
      <w:proofErr w:type="spellStart"/>
      <w:r>
        <w:lastRenderedPageBreak/>
        <w:t>Vlăduț</w:t>
      </w:r>
      <w:proofErr w:type="spellEnd"/>
      <w:r>
        <w:t xml:space="preserve"> i </w:t>
      </w:r>
      <w:proofErr w:type="spellStart"/>
      <w:r>
        <w:t>Ioan</w:t>
      </w:r>
      <w:proofErr w:type="spellEnd"/>
      <w:r>
        <w:t xml:space="preserve"> </w:t>
      </w:r>
      <w:proofErr w:type="spellStart"/>
      <w:r>
        <w:t>Florin</w:t>
      </w:r>
      <w:proofErr w:type="spellEnd"/>
      <w:r>
        <w:t xml:space="preserve"> Pop przeciwko Rumunii</w:t>
      </w:r>
      <w:bookmarkEnd w:id="40"/>
      <w:r>
        <w:t xml:space="preserve">, nr 43490/07 i 44304/07, §§ 87-88, 16 lipca 2015 r.; oraz </w:t>
      </w:r>
      <w:proofErr w:type="spellStart"/>
      <w:r>
        <w:rPr>
          <w:i/>
        </w:rPr>
        <w:t>Matanović</w:t>
      </w:r>
      <w:proofErr w:type="spellEnd"/>
      <w:r>
        <w:t>, cyt. wyżej, § 135).</w:t>
      </w:r>
    </w:p>
    <w:bookmarkStart w:id="41" w:name="p_53_evidence_entrapmnt_unacceptable"/>
    <w:p w14:paraId="475951D2" w14:textId="7C169BEC"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54</w:t>
      </w:r>
      <w:r w:rsidRPr="00C926E5">
        <w:fldChar w:fldCharType="end"/>
      </w:r>
      <w:bookmarkEnd w:id="41"/>
      <w:r>
        <w:t>.  W utrwalonym orzecznictwie Trybunał wielokrotnie podkreślał, że</w:t>
      </w:r>
      <w:r w:rsidR="005F63DB">
        <w:t> </w:t>
      </w:r>
      <w:r>
        <w:t xml:space="preserve">interes publiczny związany ze zwalczaniem przestępczości nie może usprawiedliwiać wykorzystywania dowodów uzyskanych w wyniku policyjnej prowokacji, ponieważ narażałoby to oskarżonego na ryzyko definitywnego pozbawienia go rzetelnego procesu już od samego początku (zob. m.in. </w:t>
      </w:r>
      <w:r>
        <w:rPr>
          <w:i/>
        </w:rPr>
        <w:t>Edwards i Lewis</w:t>
      </w:r>
      <w:r>
        <w:t xml:space="preserve">, cyt. wyżej, §§ 46 i 48; </w:t>
      </w:r>
      <w:proofErr w:type="spellStart"/>
      <w:r>
        <w:rPr>
          <w:i/>
        </w:rPr>
        <w:t>Ramanauskas</w:t>
      </w:r>
      <w:proofErr w:type="spellEnd"/>
      <w:r>
        <w:t xml:space="preserve"> [WI], cyt.</w:t>
      </w:r>
      <w:r w:rsidR="005F63DB">
        <w:t> </w:t>
      </w:r>
      <w:r>
        <w:t xml:space="preserve">wyżej, § 54; </w:t>
      </w:r>
      <w:proofErr w:type="spellStart"/>
      <w:r>
        <w:rPr>
          <w:i/>
        </w:rPr>
        <w:t>Bannikova</w:t>
      </w:r>
      <w:proofErr w:type="spellEnd"/>
      <w:r>
        <w:t xml:space="preserve">, cyt. wyżej, § 34; </w:t>
      </w:r>
      <w:bookmarkStart w:id="42" w:name="_cl26009"/>
      <w:proofErr w:type="spellStart"/>
      <w:r>
        <w:rPr>
          <w:i/>
        </w:rPr>
        <w:t>Furcht</w:t>
      </w:r>
      <w:proofErr w:type="spellEnd"/>
      <w:r>
        <w:rPr>
          <w:i/>
        </w:rPr>
        <w:t xml:space="preserve"> przeciwko Niemcom</w:t>
      </w:r>
      <w:bookmarkEnd w:id="42"/>
      <w:r>
        <w:t>, nr</w:t>
      </w:r>
      <w:r w:rsidR="005F63DB">
        <w:t> </w:t>
      </w:r>
      <w:r>
        <w:t xml:space="preserve">54648/09, §§ 47 i 64, 23 października 2014 r.; oraz </w:t>
      </w:r>
      <w:proofErr w:type="spellStart"/>
      <w:r>
        <w:rPr>
          <w:i/>
        </w:rPr>
        <w:t>Akbay</w:t>
      </w:r>
      <w:proofErr w:type="spellEnd"/>
      <w:r>
        <w:rPr>
          <w:i/>
        </w:rPr>
        <w:t xml:space="preserve"> i inni</w:t>
      </w:r>
      <w:r>
        <w:t xml:space="preserve">, cyt. wyżej, § 123). Aby proces był rzetelny w rozumieniu art. 6 ust. 1 Konwencji, wszelkie dowody uzyskane w wyniku policyjnej prowokacji muszą zostać wyłączone albo musi znaleźć zastosowanie procedura o porównywalnych skutkach (zob. </w:t>
      </w:r>
      <w:proofErr w:type="spellStart"/>
      <w:r>
        <w:rPr>
          <w:i/>
        </w:rPr>
        <w:t>Lagutin</w:t>
      </w:r>
      <w:proofErr w:type="spellEnd"/>
      <w:r>
        <w:rPr>
          <w:i/>
        </w:rPr>
        <w:t xml:space="preserve"> i inni przeciwko Rosji</w:t>
      </w:r>
      <w:r>
        <w:t>, nr 6228/09 i 4 inne, § 117, 24</w:t>
      </w:r>
      <w:r w:rsidR="005F63DB">
        <w:t> </w:t>
      </w:r>
      <w:r>
        <w:t>kwietnia 2014 r.).</w:t>
      </w:r>
    </w:p>
    <w:p w14:paraId="48A4C7E5" w14:textId="77777777" w:rsidR="008E5A20" w:rsidRPr="00C926E5" w:rsidRDefault="00FC6BFD" w:rsidP="008E5A20">
      <w:pPr>
        <w:pStyle w:val="JuHa0"/>
      </w:pPr>
      <w:r>
        <w:t>Podejście Trybunału w niniejszej sprawie</w:t>
      </w:r>
    </w:p>
    <w:p w14:paraId="74957787" w14:textId="6DA25ACA"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55</w:t>
      </w:r>
      <w:r w:rsidRPr="00C926E5">
        <w:fldChar w:fldCharType="end"/>
      </w:r>
      <w:r>
        <w:t xml:space="preserve">.  Trybunał uważa, że choć w pewnych okolicznościach może opierać się na zasadach wypracowanych w jego orzecznictwie dotyczącym gwarancji przeciwko prowokacji w postępowaniu karnym, rozpoznając sprawy dotyczące postępowań dyscyplinarnych następujących po </w:t>
      </w:r>
      <w:r w:rsidR="00CF6F04">
        <w:t>teście</w:t>
      </w:r>
      <w:r>
        <w:t xml:space="preserve"> uczciwości, musi uwzględniać specyfikę takich</w:t>
      </w:r>
      <w:r w:rsidR="00CF6F04">
        <w:t xml:space="preserve"> testów</w:t>
      </w:r>
      <w:r>
        <w:t>. W szczególności, z uwagi na trudności w wykrywaniu i dowodzeniu konkretnych aktów korupcji (zob.</w:t>
      </w:r>
      <w:r w:rsidR="005F63DB">
        <w:t> </w:t>
      </w:r>
      <w:r>
        <w:t>pkt </w:t>
      </w:r>
      <w:r w:rsidRPr="00C926E5">
        <w:fldChar w:fldCharType="begin"/>
      </w:r>
      <w:r w:rsidRPr="00C926E5">
        <w:instrText xml:space="preserve"> REF p_38_general_corruption_considerations \h  \* MERGEFORMAT </w:instrText>
      </w:r>
      <w:r w:rsidRPr="00C926E5">
        <w:fldChar w:fldCharType="separate"/>
      </w:r>
      <w:r w:rsidR="00891FA7">
        <w:t>41</w:t>
      </w:r>
      <w:r w:rsidRPr="00C926E5">
        <w:fldChar w:fldCharType="end"/>
      </w:r>
      <w:r>
        <w:t xml:space="preserve"> i </w:t>
      </w:r>
      <w:r w:rsidRPr="00C926E5">
        <w:fldChar w:fldCharType="begin"/>
      </w:r>
      <w:r w:rsidRPr="00C926E5">
        <w:instrText xml:space="preserve"> REF p_38_general_corruption_considerations_2 \h  \* MERGEFORMAT </w:instrText>
      </w:r>
      <w:r w:rsidRPr="00C926E5">
        <w:fldChar w:fldCharType="separate"/>
      </w:r>
      <w:r w:rsidR="00891FA7">
        <w:t>42</w:t>
      </w:r>
      <w:r w:rsidRPr="00C926E5">
        <w:fldChar w:fldCharType="end"/>
      </w:r>
      <w:r>
        <w:t xml:space="preserve">powyżej), organy mogą sięgać po środki służące zbadaniu, czy określone grupy osób mają skłonność do przestrzegania zasad etyki zawodowej lub do ich naruszania. Charakter takich </w:t>
      </w:r>
      <w:r w:rsidR="00CF6F04">
        <w:t>testów</w:t>
      </w:r>
      <w:r>
        <w:t xml:space="preserve"> polega na sztucznym stworzeniu przez organy sytuacji podobnych do tych, które mogą wystąpić w kontekście działalności zawodowej osób</w:t>
      </w:r>
      <w:r w:rsidR="00CF6F04">
        <w:t xml:space="preserve"> poddawanych testom</w:t>
      </w:r>
      <w:r>
        <w:t xml:space="preserve">, tak aby </w:t>
      </w:r>
      <w:r w:rsidR="00CF6F04">
        <w:t>przetestować</w:t>
      </w:r>
      <w:r>
        <w:t xml:space="preserve"> ich reakcje. W związku z tym, mając również na uwadze brak odpowiedzialności karnej za działania popełnione w rezultacie takiego </w:t>
      </w:r>
      <w:r w:rsidR="00CF6F04">
        <w:t>testu</w:t>
      </w:r>
      <w:r>
        <w:t xml:space="preserve">, nie można uznać, że </w:t>
      </w:r>
      <w:r w:rsidR="00CF6F04">
        <w:t>testy</w:t>
      </w:r>
      <w:r>
        <w:t xml:space="preserve"> takie stanowią nakłanianie do popełnienia przestępstwa.</w:t>
      </w:r>
    </w:p>
    <w:p w14:paraId="25175FFE" w14:textId="7C3DB03C"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56</w:t>
      </w:r>
      <w:r w:rsidRPr="00C926E5">
        <w:fldChar w:fldCharType="end"/>
      </w:r>
      <w:r>
        <w:t xml:space="preserve">.  Trybunał uznaje, że poddanie danej osoby </w:t>
      </w:r>
      <w:r w:rsidR="00CF6F04">
        <w:t>testowi</w:t>
      </w:r>
      <w:r>
        <w:t xml:space="preserve"> uczciwości zawodowej, a tym samym sztuczne stworzenie sytuacji, w której weryfikowana jest jej determinacja do przestrzegania zasad etyki zawodowej, samo w sobie nie stanowi prowokacji i nie jest niezgodne z wymogami art. 6</w:t>
      </w:r>
      <w:r w:rsidR="005F63DB">
        <w:t> </w:t>
      </w:r>
      <w:r>
        <w:t>ust. 1 Konwencji.</w:t>
      </w:r>
    </w:p>
    <w:bookmarkStart w:id="43" w:name="p_55_guarantees"/>
    <w:p w14:paraId="0CCA671F" w14:textId="4CA3B203"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57</w:t>
      </w:r>
      <w:r w:rsidRPr="00C926E5">
        <w:fldChar w:fldCharType="end"/>
      </w:r>
      <w:bookmarkEnd w:id="43"/>
      <w:r>
        <w:t xml:space="preserve">.  Jednocześnie Trybunał stwierdza, że dowody niewłaściwego zachowania uzyskane w wyniku </w:t>
      </w:r>
      <w:r w:rsidR="00CF6F04">
        <w:t>testu</w:t>
      </w:r>
      <w:r>
        <w:t xml:space="preserve"> uczciwości zawodowej mogą często mieć rozstrzygające znaczenie dla wyniku postępowania dyscyplinarnego przeciwko osobie </w:t>
      </w:r>
      <w:r w:rsidR="00CF6F04">
        <w:t>testowane</w:t>
      </w:r>
      <w:r>
        <w:t xml:space="preserve">j. Dlatego musi upewnić się, że na etapie planowania, przeprowadzenia i oceny takiego </w:t>
      </w:r>
      <w:r w:rsidR="00CF6F04">
        <w:t>testu</w:t>
      </w:r>
      <w:r>
        <w:t xml:space="preserve"> obowiązują silne gwarancje proceduralne. Musi to obejmować prawo zainteresowanego do</w:t>
      </w:r>
      <w:r w:rsidR="005F63DB">
        <w:t> </w:t>
      </w:r>
      <w:r>
        <w:t xml:space="preserve">zakwestionowania wyników takiego </w:t>
      </w:r>
      <w:r w:rsidR="00CF6F04">
        <w:t>testu</w:t>
      </w:r>
      <w:r>
        <w:t xml:space="preserve"> przed sądem oraz obowiązek </w:t>
      </w:r>
      <w:r>
        <w:lastRenderedPageBreak/>
        <w:t xml:space="preserve">sądów krajowych należytego odniesienia się do podniesionych </w:t>
      </w:r>
      <w:r w:rsidR="006B0DCE">
        <w:t>zarzu</w:t>
      </w:r>
      <w:r>
        <w:t>tów, w tym do zarzutu prowokacji.</w:t>
      </w:r>
    </w:p>
    <w:p w14:paraId="4BE2CD8D" w14:textId="77777777" w:rsidR="008E5A20" w:rsidRPr="00C926E5" w:rsidRDefault="00FC6BFD" w:rsidP="008E5A20">
      <w:pPr>
        <w:pStyle w:val="JuHa0"/>
      </w:pPr>
      <w:r>
        <w:t>Zastosowanie powyższego podejścia do okoliczności faktycznych sprawy</w:t>
      </w:r>
    </w:p>
    <w:p w14:paraId="56F48A64" w14:textId="523D81FB" w:rsidR="008E5A20" w:rsidRPr="00C926E5" w:rsidRDefault="00FC6BFD" w:rsidP="008E5A20">
      <w:pPr>
        <w:pStyle w:val="JuHi"/>
      </w:pPr>
      <w:r>
        <w:t xml:space="preserve">Wstępne zaplanowanie i przeprowadzenie </w:t>
      </w:r>
      <w:r w:rsidR="00CF6F04">
        <w:t>testu</w:t>
      </w:r>
    </w:p>
    <w:p w14:paraId="7E6DF4F1" w14:textId="455F7C98"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58</w:t>
      </w:r>
      <w:r w:rsidRPr="00C926E5">
        <w:fldChar w:fldCharType="end"/>
      </w:r>
      <w:r>
        <w:t xml:space="preserve">.  W niniejszej sprawie prawo przewidywało szczegółową procedurę, zgodnie z którą sędzia miał wyrazić zgodę na przeprowadzenie </w:t>
      </w:r>
      <w:r w:rsidR="00CF6F04">
        <w:t>testu</w:t>
      </w:r>
      <w:r>
        <w:t xml:space="preserve"> uczciwości zawodowej w określonym organie publicznym po zbadaniu zarówno potrzeby takiego </w:t>
      </w:r>
      <w:r w:rsidR="00CF6F04">
        <w:t>testu</w:t>
      </w:r>
      <w:r>
        <w:t>, jak i szczegółowego sposobu jego przeprowadzenia (zob. pkt </w:t>
      </w:r>
      <w:r w:rsidRPr="00C926E5">
        <w:fldChar w:fldCharType="begin"/>
      </w:r>
      <w:r w:rsidRPr="00C926E5">
        <w:instrText xml:space="preserve"> REF p_16_law_instit_integrity \h  \* MERGEFORMAT </w:instrText>
      </w:r>
      <w:r w:rsidRPr="00C926E5">
        <w:fldChar w:fldCharType="separate"/>
      </w:r>
      <w:r w:rsidR="00891FA7">
        <w:t>18</w:t>
      </w:r>
      <w:r w:rsidRPr="00C926E5">
        <w:fldChar w:fldCharType="end"/>
      </w:r>
      <w:r>
        <w:t xml:space="preserve"> powyżej). Trybunał jest przekonany, że na tym początkowym etapie stanowiło to wystarczające gwarancje, w tym zgodę organu sądowego oraz późniejszy nadzór.</w:t>
      </w:r>
    </w:p>
    <w:p w14:paraId="5B5AC0DA" w14:textId="21E3803C"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59</w:t>
      </w:r>
      <w:r w:rsidRPr="00C926E5">
        <w:fldChar w:fldCharType="end"/>
      </w:r>
      <w:r>
        <w:t>.  </w:t>
      </w:r>
      <w:bookmarkStart w:id="44" w:name="_Hlk210661677"/>
      <w:r>
        <w:t xml:space="preserve">Przed przeprowadzeniem </w:t>
      </w:r>
      <w:r w:rsidR="00CF6F04">
        <w:t>testu</w:t>
      </w:r>
      <w:r>
        <w:t xml:space="preserve"> uczciwości w sprawie skarżącego organy nie dysponowały obiektywnymi podejrzeniami, że był on zaangażowany w działalność zakazaną lub miał </w:t>
      </w:r>
      <w:r w:rsidR="00A60192">
        <w:t xml:space="preserve">skłonność </w:t>
      </w:r>
      <w:r>
        <w:t xml:space="preserve">do udziału w takiej działalności, co stanowi istotny element przy ustalaniu, czy w postępowaniu karnym dana osoba została poddana prowokacji (zob. </w:t>
      </w:r>
      <w:proofErr w:type="spellStart"/>
      <w:r>
        <w:rPr>
          <w:i/>
        </w:rPr>
        <w:t>Ramanauskas</w:t>
      </w:r>
      <w:proofErr w:type="spellEnd"/>
      <w:r>
        <w:t xml:space="preserve"> [WI], cyt. wyżej, § 56).</w:t>
      </w:r>
      <w:bookmarkEnd w:id="44"/>
    </w:p>
    <w:p w14:paraId="43A55C69" w14:textId="10D2E2EB"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60</w:t>
      </w:r>
      <w:r w:rsidRPr="00C926E5">
        <w:fldChar w:fldCharType="end"/>
      </w:r>
      <w:r>
        <w:t xml:space="preserve">.  Celem </w:t>
      </w:r>
      <w:r w:rsidR="00CF6F04">
        <w:t>testu</w:t>
      </w:r>
      <w:r>
        <w:t xml:space="preserve"> uczciwości zawodowej nie jest jednak koniecznie weryfikacja istniejących już podejrzeń wobec zidentyfikowanej osoby. Trybunał uznaje, że tam, gdzie losowo </w:t>
      </w:r>
      <w:r w:rsidR="00CF6F04">
        <w:t>testowana</w:t>
      </w:r>
      <w:r>
        <w:t xml:space="preserve"> jest cała grupa osób, istotne jest, aby organy jasno zidentyfikowały i wykazały istnienie ryzyka </w:t>
      </w:r>
      <w:proofErr w:type="spellStart"/>
      <w:r>
        <w:t>zachowań</w:t>
      </w:r>
      <w:proofErr w:type="spellEnd"/>
      <w:r>
        <w:t xml:space="preserve"> korupcyjnych w tej grupie (w niniejszej sprawie – wśród pracowników IOŚ). W tym znaczeniu brak uprzedniej wiedzy o nagannym zachowaniu konkretnej osoby ma w kontekście </w:t>
      </w:r>
      <w:r w:rsidR="00CF6F04">
        <w:t>testu</w:t>
      </w:r>
      <w:r>
        <w:t xml:space="preserve"> uczciwości zawodowej mniejsze znaczenie niż w postępowaniu karnym. W sprawie skarżącego organy jasno zidentyfikowały ryzyko korupcji w IOŚ, co zostało także potwierdzone przez sędziego (zob. pkt </w:t>
      </w:r>
      <w:r w:rsidRPr="00C926E5">
        <w:fldChar w:fldCharType="begin"/>
      </w:r>
      <w:r w:rsidRPr="00C926E5">
        <w:instrText xml:space="preserve"> REF p_5_start_testing_EPI \h  \* MERGEFORMAT </w:instrText>
      </w:r>
      <w:r w:rsidRPr="00C926E5">
        <w:fldChar w:fldCharType="separate"/>
      </w:r>
      <w:r w:rsidR="00891FA7">
        <w:t>5</w:t>
      </w:r>
      <w:r w:rsidRPr="00C926E5">
        <w:fldChar w:fldCharType="end"/>
      </w:r>
      <w:r>
        <w:t xml:space="preserve"> powyżej).</w:t>
      </w:r>
    </w:p>
    <w:p w14:paraId="39D71398" w14:textId="04EA7847"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61</w:t>
      </w:r>
      <w:r w:rsidRPr="00C926E5">
        <w:fldChar w:fldCharType="end"/>
      </w:r>
      <w:r>
        <w:t xml:space="preserve">.  Jeśli chodzi o etap przeprowadzenia procedury </w:t>
      </w:r>
      <w:r w:rsidR="00CF6F04">
        <w:t>testowania</w:t>
      </w:r>
      <w:r>
        <w:t xml:space="preserve">, </w:t>
      </w:r>
      <w:r w:rsidR="00882394">
        <w:t>zarzu</w:t>
      </w:r>
      <w:r>
        <w:t>t skarżącego, iż padł ofiarą prowokacji, opierał się na jego twierdzeniu, że</w:t>
      </w:r>
      <w:r w:rsidR="005F63DB">
        <w:t> </w:t>
      </w:r>
      <w:r>
        <w:t>funkcjonariusz państwowy odegrał nadmiernie aktywną rolę (wielokrotnie oferując łapówkę – mimo odmowy skarżącego – oraz ponawiając tę ofertę nawet po zapłaceniu grzywny). Według Rządu nie było nierozsądne, aby</w:t>
      </w:r>
      <w:r w:rsidR="005F63DB">
        <w:t> </w:t>
      </w:r>
      <w:r>
        <w:t>S.</w:t>
      </w:r>
      <w:r w:rsidR="005F63DB">
        <w:t> </w:t>
      </w:r>
      <w:r>
        <w:t xml:space="preserve">(osoba </w:t>
      </w:r>
      <w:r w:rsidR="00CF6F04">
        <w:t>testująca</w:t>
      </w:r>
      <w:r>
        <w:t>) uznał, iż musi powtórzyć ofertę, ponieważ podczas wcześniejszej propozycji obecna była inna osoba. Rząd powoływał się także na przypisywane skarżącemu słowa, który – reagując w pewnym stopniu przychylnie na ponowioną ofertę – miał stwierdzić, że wcześniej nie mógł przyjąć propozycji z uwagi na obecność innej osoby oraz fakt złożenia formalnej skargi (zob. pkt </w:t>
      </w:r>
      <w:r w:rsidRPr="00C926E5">
        <w:fldChar w:fldCharType="begin"/>
      </w:r>
      <w:r w:rsidRPr="00C926E5">
        <w:instrText xml:space="preserve"> REF p_6_the_test \h  \* MERGEFORMAT </w:instrText>
      </w:r>
      <w:r w:rsidRPr="00C926E5">
        <w:fldChar w:fldCharType="separate"/>
      </w:r>
      <w:r w:rsidR="00891FA7">
        <w:t>6</w:t>
      </w:r>
      <w:r w:rsidRPr="00C926E5">
        <w:fldChar w:fldCharType="end"/>
      </w:r>
      <w:r>
        <w:t xml:space="preserve"> i </w:t>
      </w:r>
      <w:r w:rsidRPr="00C926E5">
        <w:fldChar w:fldCharType="begin"/>
      </w:r>
      <w:r w:rsidRPr="00C926E5">
        <w:instrText xml:space="preserve"> REF p_38_GVT_OBS \h  \* MERGEFORMAT </w:instrText>
      </w:r>
      <w:r w:rsidRPr="00C926E5">
        <w:fldChar w:fldCharType="separate"/>
      </w:r>
      <w:r w:rsidR="00891FA7">
        <w:t>40</w:t>
      </w:r>
      <w:r w:rsidRPr="00C926E5">
        <w:fldChar w:fldCharType="end"/>
      </w:r>
      <w:r>
        <w:t xml:space="preserve"> powyżej). Trybunał uważa, że mając na uwadze szczególny charakter </w:t>
      </w:r>
      <w:r w:rsidR="00CF6F04">
        <w:t>testu</w:t>
      </w:r>
      <w:r>
        <w:t xml:space="preserve"> oraz wynikającego z niego postępowania cywilnego, dla celów tej części analizy wystarczy zauważyć, że skarżący podniósł dający się obronić zarzut prowokacji; sądy krajowe miały obowiązek ustosunkować się do tego zarzutu i wyciągnąć stosowne wnioski </w:t>
      </w:r>
      <w:r>
        <w:lastRenderedPageBreak/>
        <w:t>ze swoich ustaleń. Ze swojej strony Trybunał uznaje, że w niniejszej sprawie nie ma potrzeby rozstrzygania, czy skarżący rzeczywiście został poddany prowokacji, ponieważ doszło do rażących uchybień proceduralnych, które zostaną omówione poniżej.</w:t>
      </w:r>
    </w:p>
    <w:p w14:paraId="0B1773D5" w14:textId="6D96DC72" w:rsidR="008E5A20" w:rsidRPr="00C926E5" w:rsidRDefault="00FC6BFD" w:rsidP="008E5A20">
      <w:pPr>
        <w:pStyle w:val="JuHi"/>
      </w:pPr>
      <w:r>
        <w:t xml:space="preserve">Ocena </w:t>
      </w:r>
      <w:r w:rsidR="00410A74">
        <w:t>testu</w:t>
      </w:r>
      <w:r>
        <w:t xml:space="preserve"> i gwarancje proceduralne w ujęciu ogólnym</w:t>
      </w:r>
    </w:p>
    <w:p w14:paraId="1DC35C0B" w14:textId="62DED873"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62</w:t>
      </w:r>
      <w:r w:rsidRPr="00C926E5">
        <w:fldChar w:fldCharType="end"/>
      </w:r>
      <w:r>
        <w:t xml:space="preserve">.  Przed sądami krajowymi skarżący wyraźnie podniósł </w:t>
      </w:r>
      <w:r w:rsidR="00882394">
        <w:t>zarzu</w:t>
      </w:r>
      <w:r>
        <w:t>t, iż</w:t>
      </w:r>
      <w:r w:rsidR="005F63DB">
        <w:t> </w:t>
      </w:r>
      <w:r>
        <w:t>padł ofiarą prowokacji (zob. pkt </w:t>
      </w:r>
      <w:r w:rsidRPr="00C926E5">
        <w:fldChar w:fldCharType="begin"/>
      </w:r>
      <w:r w:rsidRPr="00C926E5">
        <w:instrText xml:space="preserve"> REF p_9_challenge_in_court \h  \* MERGEFORMAT </w:instrText>
      </w:r>
      <w:r w:rsidRPr="00C926E5">
        <w:fldChar w:fldCharType="separate"/>
      </w:r>
      <w:r w:rsidR="00891FA7">
        <w:t>9</w:t>
      </w:r>
      <w:r w:rsidRPr="00C926E5">
        <w:fldChar w:fldCharType="end"/>
      </w:r>
      <w:r>
        <w:t xml:space="preserve"> i </w:t>
      </w:r>
      <w:r w:rsidRPr="00C926E5">
        <w:fldChar w:fldCharType="begin"/>
      </w:r>
      <w:r w:rsidRPr="00C926E5">
        <w:instrText xml:space="preserve"> REF p_11_first_appeal \h  \* MERGEFORMAT </w:instrText>
      </w:r>
      <w:r w:rsidRPr="00C926E5">
        <w:fldChar w:fldCharType="separate"/>
      </w:r>
      <w:r w:rsidR="00891FA7">
        <w:t>11</w:t>
      </w:r>
      <w:r w:rsidRPr="00C926E5">
        <w:fldChar w:fldCharType="end"/>
      </w:r>
      <w:r>
        <w:t xml:space="preserve"> powyżej). Rząd utrzymywał, że</w:t>
      </w:r>
      <w:r w:rsidR="005F63DB">
        <w:t> </w:t>
      </w:r>
      <w:r>
        <w:t>sądy zbadały tę kwestię i nie znalazły dowodów na to, że doszło do</w:t>
      </w:r>
      <w:r w:rsidR="005F63DB">
        <w:t> </w:t>
      </w:r>
      <w:r>
        <w:t>prowokacji. Trybunał zauważa, że jedynym sądem, który w ogóle zajął się problemem prowokacji, był Sąd w Kiszyniowie (</w:t>
      </w:r>
      <w:r w:rsidR="00276FD4" w:rsidRPr="00276FD4">
        <w:t>oddział</w:t>
      </w:r>
      <w:r>
        <w:t xml:space="preserve"> </w:t>
      </w:r>
      <w:proofErr w:type="spellStart"/>
      <w:r>
        <w:t>Centru</w:t>
      </w:r>
      <w:proofErr w:type="spellEnd"/>
      <w:r>
        <w:t>) (zob. pkt </w:t>
      </w:r>
      <w:r w:rsidRPr="00C926E5">
        <w:fldChar w:fldCharType="begin"/>
      </w:r>
      <w:r w:rsidRPr="00C926E5">
        <w:instrText xml:space="preserve"> REF p_7_closed_court_dec \h  \* MERGEFORMAT </w:instrText>
      </w:r>
      <w:r w:rsidRPr="00C926E5">
        <w:fldChar w:fldCharType="separate"/>
      </w:r>
      <w:r w:rsidR="00891FA7">
        <w:t>7</w:t>
      </w:r>
      <w:r w:rsidRPr="00C926E5">
        <w:fldChar w:fldCharType="end"/>
      </w:r>
      <w:r>
        <w:t xml:space="preserve"> powyżej). Sąd ten uznał, że skarżący naruszyłby zasady etyki zawodowej nawet bez udziału funkcjonariusza. Nie wyjaśnił jednak, w jaki sposób doszedł do tego wniosku.</w:t>
      </w:r>
    </w:p>
    <w:bookmarkStart w:id="45" w:name="p_62_entrpmnt_start"/>
    <w:p w14:paraId="6AAEC52B" w14:textId="7E0DF2E7" w:rsidR="008E5A20" w:rsidRPr="00C926E5" w:rsidRDefault="00FC6BFD" w:rsidP="008E5A20">
      <w:pPr>
        <w:pStyle w:val="JuPara"/>
      </w:pPr>
      <w:r w:rsidRPr="00C926E5">
        <w:fldChar w:fldCharType="begin"/>
      </w:r>
      <w:r w:rsidRPr="00C926E5">
        <w:instrText xml:space="preserve"> SEQ level0 \*arabic \* MERGEFORMAT </w:instrText>
      </w:r>
      <w:r w:rsidRPr="00C926E5">
        <w:fldChar w:fldCharType="separate"/>
      </w:r>
      <w:r w:rsidR="00891FA7">
        <w:rPr>
          <w:noProof/>
        </w:rPr>
        <w:t>63</w:t>
      </w:r>
      <w:r w:rsidRPr="00C926E5">
        <w:fldChar w:fldCharType="end"/>
      </w:r>
      <w:bookmarkEnd w:id="45"/>
      <w:r>
        <w:t xml:space="preserve">.  Co więcej, sąd ten rozstrzygał wyłącznie na podstawie akt sprawy, bez wysłuchania skarżącego i bez rozważenia przedstawionych przez niego dowodów i </w:t>
      </w:r>
      <w:r w:rsidR="00882394">
        <w:t>zarzu</w:t>
      </w:r>
      <w:r>
        <w:t xml:space="preserve">tów, w tym jego stanowiska w przedmiocie prowokacji. Trybunał nie jest przekonany, że kwestie takie jak to, czy skarżący padł ofiarą prowokacji, a jeśli tak – jakie skutki pociąga za sobą takie ustalenie, mogły zostać właściwie rozstrzygnięte bez wysłuchania jego samego oraz osoby </w:t>
      </w:r>
      <w:r w:rsidR="00410A74">
        <w:t>test</w:t>
      </w:r>
      <w:r w:rsidR="00CF6F04">
        <w:t>ującej</w:t>
      </w:r>
      <w:r>
        <w:t xml:space="preserve"> w postępowaniu kontradyktoryjnym. Ponadto skarżący nie mógł zaskarżyć tej decyzji, podczas gdy druga strona mogła nie tylko wnieść odwołanie, ale również zwrócić się do sądu o rozstrzygnięcie wszelkich dodatkowych kwestii (art. 17 ustawy nr 325 – zob. pkt </w:t>
      </w:r>
      <w:r w:rsidRPr="00C926E5">
        <w:fldChar w:fldCharType="begin"/>
      </w:r>
      <w:r w:rsidRPr="00C926E5">
        <w:instrText xml:space="preserve"> REF p_16_law_instit_integrity \h  \* MERGEFORMAT </w:instrText>
      </w:r>
      <w:r w:rsidRPr="00C926E5">
        <w:fldChar w:fldCharType="separate"/>
      </w:r>
      <w:r w:rsidR="00891FA7">
        <w:t>18</w:t>
      </w:r>
      <w:r w:rsidRPr="00C926E5">
        <w:fldChar w:fldCharType="end"/>
      </w:r>
      <w:r>
        <w:t xml:space="preserve"> powyżej). Rząd argumentował, że skarżący mógł przedstawić wszelkie </w:t>
      </w:r>
      <w:r w:rsidR="00882394">
        <w:t>zarzu</w:t>
      </w:r>
      <w:r>
        <w:t xml:space="preserve">ty i dowody komisji dyscyplinarnej oraz sądom rozpoznającym jego skargę na decyzję IOŚ o zwolnieniu. Jednak do tego czasu kluczowa decyzja – czy nie przeszedł on </w:t>
      </w:r>
      <w:r w:rsidR="00CF6F04">
        <w:t>testu</w:t>
      </w:r>
      <w:r>
        <w:t xml:space="preserve"> uczciwości zawodowej – została już podjęta, a sądy orzekające w</w:t>
      </w:r>
      <w:r w:rsidR="005F63DB">
        <w:t> </w:t>
      </w:r>
      <w:r>
        <w:t>sprawie zwolnienia z pracy były prawnie pozbawione możliwości ponownego zbadania tej kwestii albo pominięcia wcześniejszego rozstrzygnięcia (zob. analizę Trybunału Konstytucyjnego w pkt </w:t>
      </w:r>
      <w:r w:rsidRPr="00C926E5">
        <w:fldChar w:fldCharType="begin"/>
      </w:r>
      <w:r w:rsidRPr="00C926E5">
        <w:instrText xml:space="preserve"> REF p_19_Const_Court_dec \h  \* MERGEFORMAT </w:instrText>
      </w:r>
      <w:r w:rsidRPr="00C926E5">
        <w:fldChar w:fldCharType="separate"/>
      </w:r>
      <w:r w:rsidR="00891FA7">
        <w:t>20</w:t>
      </w:r>
      <w:r w:rsidRPr="00C926E5">
        <w:fldChar w:fldCharType="end"/>
      </w:r>
      <w:r>
        <w:t xml:space="preserve"> powyżej). W takich okolicznościach Trybunał uznaje, że ustalenie Sądu w Kiszyniowie (</w:t>
      </w:r>
      <w:r w:rsidR="00276FD4" w:rsidRPr="00276FD4">
        <w:t>oddział</w:t>
      </w:r>
      <w:r>
        <w:t xml:space="preserve"> </w:t>
      </w:r>
      <w:proofErr w:type="spellStart"/>
      <w:r>
        <w:t>Centru</w:t>
      </w:r>
      <w:proofErr w:type="spellEnd"/>
      <w:r>
        <w:t xml:space="preserve">), iż do prowokacji nie doszło, nie zostało należycie uzasadnione przez odniesienie do faktów, a tym samym nie stanowiło właściwej odpowiedzi na </w:t>
      </w:r>
      <w:r w:rsidR="006B0DCE">
        <w:t>zarzuty</w:t>
      </w:r>
      <w:r>
        <w:t xml:space="preserve"> skarżącego. Ponadto postępowanie było dotknięte uchybieniami proceduralnymi, w szczególności naruszeniem zasady </w:t>
      </w:r>
      <w:r w:rsidR="006B0DCE" w:rsidRPr="006B0DCE">
        <w:t>równości broni</w:t>
      </w:r>
      <w:r>
        <w:t>, ponieważ skarżący nie został wysłuchany ani nie mógł wnieść odwołania, podczas gdy możliwość taka przysługiwała wyłącznie drugiej stronie (zob. pkt </w:t>
      </w:r>
      <w:r w:rsidRPr="00C926E5">
        <w:fldChar w:fldCharType="begin"/>
      </w:r>
      <w:r w:rsidRPr="00C926E5">
        <w:instrText xml:space="preserve"> REF p_16_NEW_Art_343_CPC \h  \* MERGEFORMAT </w:instrText>
      </w:r>
      <w:r w:rsidRPr="00C926E5">
        <w:fldChar w:fldCharType="separate"/>
      </w:r>
      <w:r w:rsidR="00891FA7">
        <w:t>16</w:t>
      </w:r>
      <w:r w:rsidRPr="00C926E5">
        <w:fldChar w:fldCharType="end"/>
      </w:r>
      <w:r>
        <w:t xml:space="preserve"> powyżej). Fakt, że inne sądy – Sąd w Kiszyniowie (</w:t>
      </w:r>
      <w:r w:rsidR="00276FD4" w:rsidRPr="00276FD4">
        <w:t>oddział</w:t>
      </w:r>
      <w:r>
        <w:t xml:space="preserve"> </w:t>
      </w:r>
      <w:proofErr w:type="spellStart"/>
      <w:r>
        <w:t>Râșcani</w:t>
      </w:r>
      <w:proofErr w:type="spellEnd"/>
      <w:r>
        <w:t xml:space="preserve">) i Sąd Apelacyjny w Kiszyniowie – które wysłuchały stron i zbadały ich </w:t>
      </w:r>
      <w:r w:rsidR="006B0DCE">
        <w:t>zarzuty</w:t>
      </w:r>
      <w:r>
        <w:t>, nie mogły w żaden sposób zająć się kwestią prowokacji, nie poprawia tej sytuacji.</w:t>
      </w:r>
    </w:p>
    <w:p w14:paraId="4DCF0525" w14:textId="6A9A7117" w:rsidR="008E5A20" w:rsidRPr="00C926E5" w:rsidRDefault="00FC6BFD" w:rsidP="008E5A20">
      <w:pPr>
        <w:pStyle w:val="JuPara"/>
      </w:pPr>
      <w:r w:rsidRPr="00C926E5">
        <w:fldChar w:fldCharType="begin"/>
      </w:r>
      <w:r>
        <w:instrText xml:space="preserve"> SEQ level0 \*arabic \* MERGEFORMAT </w:instrText>
      </w:r>
      <w:r w:rsidRPr="00C926E5">
        <w:fldChar w:fldCharType="separate"/>
      </w:r>
      <w:r w:rsidR="00891FA7">
        <w:rPr>
          <w:noProof/>
        </w:rPr>
        <w:t>64</w:t>
      </w:r>
      <w:r w:rsidRPr="00C926E5">
        <w:fldChar w:fldCharType="end"/>
      </w:r>
      <w:r>
        <w:t xml:space="preserve">.  W świetle powyższych okoliczności Trybunał uznaje, że sądy krajowe nie wywiązały się z obowiązku skutecznego zbadania zarzutu </w:t>
      </w:r>
      <w:r>
        <w:lastRenderedPageBreak/>
        <w:t xml:space="preserve">prowokacji (zob. odpowiednio </w:t>
      </w:r>
      <w:r>
        <w:rPr>
          <w:i/>
        </w:rPr>
        <w:t>mutatis mutandis</w:t>
      </w:r>
      <w:r>
        <w:t xml:space="preserve"> </w:t>
      </w:r>
      <w:bookmarkStart w:id="46" w:name="_cl30177"/>
      <w:proofErr w:type="spellStart"/>
      <w:r>
        <w:rPr>
          <w:i/>
        </w:rPr>
        <w:t>Lagutin</w:t>
      </w:r>
      <w:proofErr w:type="spellEnd"/>
      <w:r>
        <w:rPr>
          <w:i/>
        </w:rPr>
        <w:t xml:space="preserve"> i inni</w:t>
      </w:r>
      <w:r>
        <w:t>, cyt. wyżej, § 123), a w konsekwencji nie zapewniły rzetelności postępowania, zwłaszcza w zakresie udziału skarżącego oraz jego prawa do wniesienia środka odwoławczego.</w:t>
      </w:r>
    </w:p>
    <w:p w14:paraId="1A054651" w14:textId="77777777" w:rsidR="008E5A20" w:rsidRPr="00C926E5" w:rsidRDefault="00FC6BFD" w:rsidP="008E5A20">
      <w:pPr>
        <w:pStyle w:val="JuHa0"/>
      </w:pPr>
      <w:r>
        <w:t>Konkluzja</w:t>
      </w:r>
    </w:p>
    <w:p w14:paraId="57675E27" w14:textId="108E6661" w:rsidR="008E5A20" w:rsidRPr="00C926E5" w:rsidRDefault="00891FA7" w:rsidP="008E5A20">
      <w:pPr>
        <w:pStyle w:val="JuPara"/>
      </w:pPr>
      <w:r>
        <w:fldChar w:fldCharType="begin"/>
      </w:r>
      <w:r>
        <w:instrText xml:space="preserve"> SEQ level0 \*arabic </w:instrText>
      </w:r>
      <w:r>
        <w:fldChar w:fldCharType="separate"/>
      </w:r>
      <w:r>
        <w:rPr>
          <w:noProof/>
        </w:rPr>
        <w:t>65</w:t>
      </w:r>
      <w:r>
        <w:rPr>
          <w:noProof/>
        </w:rPr>
        <w:fldChar w:fldCharType="end"/>
      </w:r>
      <w:bookmarkEnd w:id="46"/>
      <w:r w:rsidR="00FC6BFD">
        <w:t xml:space="preserve">.  Trybunał stwierdza, że sądy krajowe nie zbadały w należyty sposób </w:t>
      </w:r>
      <w:r w:rsidR="006B0DCE">
        <w:t>zarzut</w:t>
      </w:r>
      <w:r w:rsidR="00FC6BFD">
        <w:t>u skarżącego dotyczącego prowokacji ani nie zapewniły kontradyktoryjności postępowania.  W konsekwencji uznaje, że gwarancje rzetelnego procesu nie zostały w niniejszej sprawie zachowane.</w:t>
      </w:r>
    </w:p>
    <w:bookmarkStart w:id="47" w:name="p_71_TA_entrapped_conclusion"/>
    <w:bookmarkStart w:id="48" w:name="p_65_entrpmnt_end"/>
    <w:p w14:paraId="3393D802" w14:textId="18125E3D" w:rsidR="008E5A20" w:rsidRPr="00396538" w:rsidRDefault="00FC6BFD" w:rsidP="008E5A20">
      <w:pPr>
        <w:pStyle w:val="JuPara"/>
      </w:pPr>
      <w:r w:rsidRPr="00C926E5">
        <w:fldChar w:fldCharType="begin"/>
      </w:r>
      <w:r w:rsidRPr="00C926E5">
        <w:instrText xml:space="preserve"> SEQ level0 \*arabic </w:instrText>
      </w:r>
      <w:r w:rsidRPr="00C926E5">
        <w:fldChar w:fldCharType="separate"/>
      </w:r>
      <w:r w:rsidR="00891FA7">
        <w:rPr>
          <w:noProof/>
        </w:rPr>
        <w:t>66</w:t>
      </w:r>
      <w:r w:rsidRPr="00C926E5">
        <w:fldChar w:fldCharType="end"/>
      </w:r>
      <w:bookmarkEnd w:id="47"/>
      <w:bookmarkEnd w:id="48"/>
      <w:r>
        <w:t>.  Doszło zatem do naruszenia art. 6 ust. 1 Konwencji.</w:t>
      </w:r>
    </w:p>
    <w:p w14:paraId="49D29666" w14:textId="77777777" w:rsidR="008E5A20" w:rsidRPr="00D060A7" w:rsidRDefault="00FC6BFD" w:rsidP="008E5A20">
      <w:pPr>
        <w:pStyle w:val="JuHIRoman"/>
        <w:tabs>
          <w:tab w:val="left" w:pos="567"/>
          <w:tab w:val="left" w:pos="680"/>
        </w:tabs>
        <w:ind w:left="397" w:hanging="397"/>
      </w:pPr>
      <w:r>
        <w:t>ZASTOSOWANIE art. 41 KONWENCJI</w:t>
      </w:r>
    </w:p>
    <w:p w14:paraId="2EE0A072" w14:textId="739DA439" w:rsidR="008E5A20" w:rsidRPr="00D060A7" w:rsidRDefault="00891FA7" w:rsidP="008E5A20">
      <w:pPr>
        <w:pStyle w:val="JuPara"/>
      </w:pPr>
      <w:r>
        <w:fldChar w:fldCharType="begin"/>
      </w:r>
      <w:r>
        <w:instrText xml:space="preserve"> SEQ level0 \*arabic </w:instrText>
      </w:r>
      <w:r>
        <w:fldChar w:fldCharType="separate"/>
      </w:r>
      <w:r>
        <w:rPr>
          <w:noProof/>
        </w:rPr>
        <w:t>67</w:t>
      </w:r>
      <w:r>
        <w:rPr>
          <w:noProof/>
        </w:rPr>
        <w:fldChar w:fldCharType="end"/>
      </w:r>
      <w:r w:rsidR="00FC6BFD">
        <w:t>.  Art. 41 Konwencji stanowi:</w:t>
      </w:r>
    </w:p>
    <w:p w14:paraId="7A7803A3" w14:textId="5896136E" w:rsidR="008E5A20" w:rsidRPr="00396538" w:rsidRDefault="00FC6BFD" w:rsidP="008E5A20">
      <w:pPr>
        <w:pStyle w:val="JuQuot"/>
      </w:pPr>
      <w:r>
        <w:t>„Jeśli Trybunał stwierdzi, że nastąpiło naruszenie Konwencji lub jej protokołów, oraz jeśli prawo wewnętrzne zainteresowanej Wysokiej Układającej się Strony pozwala tylko na częściowe usunięcie konsekwencji tego naruszenia, Trybunał orzeka, gdy</w:t>
      </w:r>
      <w:r w:rsidR="005F63DB">
        <w:t> </w:t>
      </w:r>
      <w:r>
        <w:t>zachodzi potrzeba, słuszne zadośćuczynienie pokrzywdzonej stronie”.</w:t>
      </w:r>
    </w:p>
    <w:p w14:paraId="69307654" w14:textId="77777777" w:rsidR="008E5A20" w:rsidRPr="00396538" w:rsidRDefault="00FC6BFD" w:rsidP="008E5A20">
      <w:pPr>
        <w:pStyle w:val="JuHA"/>
        <w:numPr>
          <w:ilvl w:val="2"/>
          <w:numId w:val="1"/>
        </w:numPr>
        <w:ind w:left="510" w:hanging="340"/>
      </w:pPr>
      <w:r>
        <w:t>Szkoda</w:t>
      </w:r>
    </w:p>
    <w:p w14:paraId="033866EF" w14:textId="094BC1E3" w:rsidR="008E5A20" w:rsidRPr="00396538" w:rsidRDefault="00891FA7" w:rsidP="008E5A20">
      <w:pPr>
        <w:pStyle w:val="JuPara"/>
      </w:pPr>
      <w:r>
        <w:fldChar w:fldCharType="begin"/>
      </w:r>
      <w:r>
        <w:instrText xml:space="preserve"> SEQ level0 \*arabic </w:instrText>
      </w:r>
      <w:r>
        <w:fldChar w:fldCharType="separate"/>
      </w:r>
      <w:r>
        <w:rPr>
          <w:noProof/>
        </w:rPr>
        <w:t>68</w:t>
      </w:r>
      <w:r>
        <w:rPr>
          <w:noProof/>
        </w:rPr>
        <w:fldChar w:fldCharType="end"/>
      </w:r>
      <w:r w:rsidR="00FC6BFD">
        <w:t>.  Skarżący dochodził kwoty 12 431 euro (EUR) z tytułu szkody majątkowej, odpowiadającej wynagrodzeniu, które otrzymałby za okres po zwolnieniu z pracy. Domagał się również 10 000 EUR tytułem szkody niemajątkowej.</w:t>
      </w:r>
    </w:p>
    <w:p w14:paraId="25D1A050" w14:textId="436918E1" w:rsidR="008E5A20" w:rsidRPr="00396538" w:rsidRDefault="00891FA7" w:rsidP="008E5A20">
      <w:pPr>
        <w:pStyle w:val="JuPara"/>
      </w:pPr>
      <w:r>
        <w:fldChar w:fldCharType="begin"/>
      </w:r>
      <w:r>
        <w:instrText xml:space="preserve"> SEQ level0 \*arabic </w:instrText>
      </w:r>
      <w:r>
        <w:fldChar w:fldCharType="separate"/>
      </w:r>
      <w:r>
        <w:rPr>
          <w:noProof/>
        </w:rPr>
        <w:t>69</w:t>
      </w:r>
      <w:r>
        <w:rPr>
          <w:noProof/>
        </w:rPr>
        <w:fldChar w:fldCharType="end"/>
      </w:r>
      <w:r w:rsidR="00FC6BFD">
        <w:t>.  Rząd twierdził, że roszczenie to ma charakter hipotetyczny.</w:t>
      </w:r>
    </w:p>
    <w:p w14:paraId="75FFED76" w14:textId="5A582796" w:rsidR="008E5A20" w:rsidRPr="00396538" w:rsidRDefault="00891FA7" w:rsidP="008E5A20">
      <w:pPr>
        <w:pStyle w:val="JuPara"/>
      </w:pPr>
      <w:r>
        <w:fldChar w:fldCharType="begin"/>
      </w:r>
      <w:r>
        <w:instrText xml:space="preserve"> SEQ level0 \*arabic </w:instrText>
      </w:r>
      <w:r>
        <w:fldChar w:fldCharType="separate"/>
      </w:r>
      <w:r>
        <w:rPr>
          <w:noProof/>
        </w:rPr>
        <w:t>70</w:t>
      </w:r>
      <w:r>
        <w:rPr>
          <w:noProof/>
        </w:rPr>
        <w:fldChar w:fldCharType="end"/>
      </w:r>
      <w:r w:rsidR="00FC6BFD">
        <w:t>.  Trybunał zauważa, że w niniejszej sprawie stwierdził naruszenie art. 6 Konwencji. Niemniej nie może spekulować co do wyniku postępowania przeciwko skarżącemu, gdyby sądy należycie zajęły się kwestią prowokacji oraz gdyby umożliwiono mu przedstawienie stanowiska przed sądem, który wydał decyzję z dnia 28 stycznia 2020 r. W konsekwencji Trybunał nie dostrzega związku przyczynowego między stwierdzonymi naruszeniami a</w:t>
      </w:r>
      <w:r w:rsidR="005F63DB">
        <w:t> </w:t>
      </w:r>
      <w:r w:rsidR="00FC6BFD">
        <w:t>podnoszoną szkodą majątkową, a zatem oddala to roszczenie.</w:t>
      </w:r>
    </w:p>
    <w:p w14:paraId="7645B4E3" w14:textId="543A5C99" w:rsidR="008E5A20" w:rsidRPr="00396538" w:rsidRDefault="00891FA7" w:rsidP="008E5A20">
      <w:pPr>
        <w:pStyle w:val="JuPara"/>
      </w:pPr>
      <w:r>
        <w:fldChar w:fldCharType="begin"/>
      </w:r>
      <w:r>
        <w:instrText xml:space="preserve"> SEQ level0 \*arabic \* MERGEFORMAT </w:instrText>
      </w:r>
      <w:r>
        <w:fldChar w:fldCharType="separate"/>
      </w:r>
      <w:r>
        <w:rPr>
          <w:noProof/>
        </w:rPr>
        <w:t>71</w:t>
      </w:r>
      <w:r>
        <w:rPr>
          <w:noProof/>
        </w:rPr>
        <w:fldChar w:fldCharType="end"/>
      </w:r>
      <w:r w:rsidR="008E5A20">
        <w:t>.  Trybunał uważa również, że zważywszy na okoliczności sprawy, stwierdzenie naruszenia art. 6 ust. 1 Konwencji stanowi samo w sobie wystarczające słuszne zadośćuczynienie za wszelką szkodę niemajątkową, jaką skarżący mógł ponieść. W związku z tym nie przyznaje zadośćuczynienia z tego tytułu. Trybunał zauważa jednak, że zgodnie z</w:t>
      </w:r>
      <w:r w:rsidR="005F63DB">
        <w:t> </w:t>
      </w:r>
      <w:r w:rsidR="008E5A20">
        <w:t>prawem krajowym jego stwierdzenie naruszenia stanowi podstawę, na którą skarżący może się powołać, domagając się wznowienia postępowania.</w:t>
      </w:r>
    </w:p>
    <w:p w14:paraId="6B394D64" w14:textId="77777777" w:rsidR="008E5A20" w:rsidRPr="00396538" w:rsidRDefault="00FC6BFD" w:rsidP="008E5A20">
      <w:pPr>
        <w:pStyle w:val="JuHA"/>
        <w:numPr>
          <w:ilvl w:val="2"/>
          <w:numId w:val="1"/>
        </w:numPr>
        <w:ind w:left="510" w:hanging="340"/>
      </w:pPr>
      <w:r>
        <w:lastRenderedPageBreak/>
        <w:t>Koszty i wydatki</w:t>
      </w:r>
    </w:p>
    <w:p w14:paraId="105AE8F2" w14:textId="25C2F81D" w:rsidR="008E5A20" w:rsidRPr="00396538" w:rsidRDefault="00891FA7" w:rsidP="008E5A20">
      <w:pPr>
        <w:pStyle w:val="JuPara"/>
      </w:pPr>
      <w:r>
        <w:fldChar w:fldCharType="begin"/>
      </w:r>
      <w:r>
        <w:instrText xml:space="preserve"> SEQ level0 \*arabic </w:instrText>
      </w:r>
      <w:r>
        <w:fldChar w:fldCharType="separate"/>
      </w:r>
      <w:r>
        <w:rPr>
          <w:noProof/>
        </w:rPr>
        <w:t>72</w:t>
      </w:r>
      <w:r>
        <w:rPr>
          <w:noProof/>
        </w:rPr>
        <w:fldChar w:fldCharType="end"/>
      </w:r>
      <w:r w:rsidR="00FC6BFD">
        <w:t>.  Skarżący dochodził również kwoty 1 375 EUR tytułem kosztów i</w:t>
      </w:r>
      <w:r w:rsidR="005F63DB">
        <w:t> </w:t>
      </w:r>
      <w:r w:rsidR="00FC6BFD">
        <w:t>wydatków poniesionych przed Trybunałem, przedstawiając fragment umowy zawartej ze swoim pełnomocnikiem oraz pokwitowanie potwierdzające, że uiścił mu już równowartość 500 EUR.</w:t>
      </w:r>
    </w:p>
    <w:p w14:paraId="0AA749E2" w14:textId="3A122385" w:rsidR="008E5A20" w:rsidRPr="00396538" w:rsidRDefault="00891FA7" w:rsidP="008E5A20">
      <w:pPr>
        <w:pStyle w:val="JuPara"/>
      </w:pPr>
      <w:r>
        <w:fldChar w:fldCharType="begin"/>
      </w:r>
      <w:r>
        <w:instrText xml:space="preserve"> SEQ level0 \*arabic </w:instrText>
      </w:r>
      <w:r>
        <w:fldChar w:fldCharType="separate"/>
      </w:r>
      <w:r>
        <w:rPr>
          <w:noProof/>
        </w:rPr>
        <w:t>73</w:t>
      </w:r>
      <w:r>
        <w:rPr>
          <w:noProof/>
        </w:rPr>
        <w:fldChar w:fldCharType="end"/>
      </w:r>
      <w:r w:rsidR="00FC6BFD">
        <w:t>.  Rząd uznał, że fragment umowy nie stanowi wystarczającej podstawy roszczenia. W każdym razie dochodzona kwota była wygórowana w świetle nakładu pracy w sprawie.</w:t>
      </w:r>
    </w:p>
    <w:p w14:paraId="4ECA1EE5" w14:textId="1A3895FA" w:rsidR="008E5A20" w:rsidRPr="00C926E5" w:rsidRDefault="00891FA7" w:rsidP="008E5A20">
      <w:pPr>
        <w:pStyle w:val="JuPara"/>
      </w:pPr>
      <w:r>
        <w:fldChar w:fldCharType="begin"/>
      </w:r>
      <w:r>
        <w:instrText xml:space="preserve"> SEQ level0 \*arabic \* MERGEFORMAT </w:instrText>
      </w:r>
      <w:r>
        <w:fldChar w:fldCharType="separate"/>
      </w:r>
      <w:r>
        <w:rPr>
          <w:noProof/>
        </w:rPr>
        <w:t>74</w:t>
      </w:r>
      <w:r>
        <w:rPr>
          <w:noProof/>
        </w:rPr>
        <w:fldChar w:fldCharType="end"/>
      </w:r>
      <w:r w:rsidR="008E5A20">
        <w:t>.  Zgodnie z orzecznictwem Trybunału skarżącemu przysługuje prawo do zwrotu poniesionych kosztów i wydatków wówczas, gdy wykazał, że</w:t>
      </w:r>
      <w:r w:rsidR="005F63DB">
        <w:t> </w:t>
      </w:r>
      <w:r w:rsidR="008E5A20">
        <w:t>zostały one rzeczywiście i koniecznie poniesione oraz że są uzasadnione co do wysokości. W niniejszej sprawie, mając na uwadze posiadane dokumenty oraz powyższe kryteria, Trybunał uznaje za uzasadnione zasądzić kwotę 1 375 EUR na pokrycie kosztów wszelkiego rodzaju, powiększonych o należne podatki, które mogą obciążać skarżącego.</w:t>
      </w:r>
    </w:p>
    <w:p w14:paraId="3B100F15" w14:textId="77777777" w:rsidR="008E5A20" w:rsidRPr="00C926E5" w:rsidRDefault="00FC6BFD" w:rsidP="008E5A20">
      <w:pPr>
        <w:pStyle w:val="JuHHead"/>
        <w:numPr>
          <w:ilvl w:val="0"/>
          <w:numId w:val="1"/>
        </w:numPr>
      </w:pPr>
      <w:r>
        <w:t>Z TYCH PRZYCZYN TRYBUNAŁ JEDNOGŁOŚNIE</w:t>
      </w:r>
    </w:p>
    <w:p w14:paraId="721F74F0" w14:textId="77777777" w:rsidR="008E5A20" w:rsidRPr="00C926E5" w:rsidRDefault="00FC6BFD" w:rsidP="008E5A20">
      <w:pPr>
        <w:pStyle w:val="JuList"/>
      </w:pPr>
      <w:r>
        <w:rPr>
          <w:i/>
        </w:rPr>
        <w:t>uznaje</w:t>
      </w:r>
      <w:r>
        <w:t xml:space="preserve"> skargę na podstawie art. 6 ust. 1 Konwencji dotyczącą prowokacji oraz kontradyktoryjności postępowania za dopuszczalną;</w:t>
      </w:r>
    </w:p>
    <w:p w14:paraId="3BD61300" w14:textId="77777777" w:rsidR="008E5A20" w:rsidRPr="00C926E5" w:rsidRDefault="00FC6BFD" w:rsidP="008E5A20">
      <w:pPr>
        <w:pStyle w:val="JuList"/>
      </w:pPr>
      <w:r>
        <w:rPr>
          <w:i/>
        </w:rPr>
        <w:t>stwierdza</w:t>
      </w:r>
      <w:r>
        <w:t>, że doszło do naruszenia art. 6 ust. 1 Konwencji;</w:t>
      </w:r>
    </w:p>
    <w:p w14:paraId="1EA3AB90" w14:textId="77777777" w:rsidR="008E5A20" w:rsidRPr="00C926E5" w:rsidRDefault="00FC6BFD" w:rsidP="008E5A20">
      <w:pPr>
        <w:pStyle w:val="JuList"/>
      </w:pPr>
      <w:r>
        <w:rPr>
          <w:i/>
        </w:rPr>
        <w:t>stwierdza</w:t>
      </w:r>
      <w:r>
        <w:t>, że samo stwierdzenie naruszenia stanowi wystarczające słuszne zadośćuczynienie za wszelką szkodę niemajątkową poniesioną przez skarżącego;</w:t>
      </w:r>
    </w:p>
    <w:p w14:paraId="07F96E82" w14:textId="77777777" w:rsidR="008E5A20" w:rsidRPr="00C926E5" w:rsidRDefault="00FC6BFD" w:rsidP="008E5A20">
      <w:pPr>
        <w:pStyle w:val="JuList"/>
        <w:rPr>
          <w:i/>
          <w:iCs/>
        </w:rPr>
      </w:pPr>
      <w:r>
        <w:rPr>
          <w:i/>
        </w:rPr>
        <w:t>orzeka</w:t>
      </w:r>
    </w:p>
    <w:p w14:paraId="071137BD" w14:textId="76828E33" w:rsidR="008E5A20" w:rsidRPr="00C926E5" w:rsidRDefault="00FC6BFD" w:rsidP="008E5A20">
      <w:pPr>
        <w:pStyle w:val="JuLista"/>
      </w:pPr>
      <w:r>
        <w:t>że pozwane państwo ma wypłacić skarżącemu, w terminie trzech miesięcy od dnia, w którym wyrok stanie się ostateczny zgodnie z</w:t>
      </w:r>
      <w:r w:rsidR="005F63DB">
        <w:t> </w:t>
      </w:r>
      <w:r>
        <w:t>art. 44 ust. 2 Konwencji, kwotę 1 375 EUR (tysiąc trzysta siedemdziesiąt pięć euro), powiększoną o należne podatki, które mogą obciążać skarżącego, tytułem kosztów i wydatków, z przeliczeniem na leje mołdawskie według kursu obowiązującego w dniu zapłaty;</w:t>
      </w:r>
    </w:p>
    <w:p w14:paraId="3A93FE37" w14:textId="29E1C2F8" w:rsidR="008E5A20" w:rsidRPr="00C926E5" w:rsidRDefault="00FC6BFD" w:rsidP="008E5A20">
      <w:pPr>
        <w:pStyle w:val="JuLista"/>
      </w:pPr>
      <w:r>
        <w:t>że od upływu wyżej wskazanego terminu trzech miesięcy aż</w:t>
      </w:r>
      <w:r w:rsidR="005F63DB">
        <w:t> </w:t>
      </w:r>
      <w:r>
        <w:t>do</w:t>
      </w:r>
      <w:r w:rsidR="005F63DB">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A8C526E" w14:textId="77777777" w:rsidR="008E5A20" w:rsidRPr="00C926E5" w:rsidRDefault="00FC6BFD" w:rsidP="008E5A20">
      <w:pPr>
        <w:pStyle w:val="JuList"/>
      </w:pPr>
      <w:r>
        <w:rPr>
          <w:i/>
        </w:rPr>
        <w:t>oddala</w:t>
      </w:r>
      <w:r>
        <w:t xml:space="preserve"> pozostałą część roszczenia skarżącego o słuszne zadośćuczynienie.</w:t>
      </w:r>
    </w:p>
    <w:p w14:paraId="5443269E" w14:textId="32498E07" w:rsidR="008E5A20" w:rsidRPr="00C926E5" w:rsidRDefault="00FC6BFD" w:rsidP="008E5A20">
      <w:pPr>
        <w:pStyle w:val="JuParaLast"/>
      </w:pPr>
      <w:r>
        <w:lastRenderedPageBreak/>
        <w:t xml:space="preserve">Sporządzono w języku angielskim i obwieszczono pisemnie dnia </w:t>
      </w:r>
      <w:r>
        <w:rPr>
          <w:rFonts w:ascii="Times New Roman" w:hAnsi="Times New Roman"/>
        </w:rPr>
        <w:t>9</w:t>
      </w:r>
      <w:r w:rsidR="005F63DB">
        <w:rPr>
          <w:rFonts w:ascii="Times New Roman" w:hAnsi="Times New Roman"/>
        </w:rPr>
        <w:t> </w:t>
      </w:r>
      <w:r>
        <w:rPr>
          <w:rFonts w:ascii="Times New Roman" w:hAnsi="Times New Roman"/>
        </w:rPr>
        <w:t xml:space="preserve">stycznia 2025 r. </w:t>
      </w:r>
      <w:r>
        <w:t>zgodnie z regułą 77 §§ 2 i 3 Regulaminu Trybunału.</w:t>
      </w:r>
    </w:p>
    <w:p w14:paraId="2F2D6161" w14:textId="38FCC321" w:rsidR="008E5A20" w:rsidRPr="00396538" w:rsidRDefault="00FC6BFD" w:rsidP="008E5A20">
      <w:pPr>
        <w:pStyle w:val="JuSigned"/>
      </w:pPr>
      <w:r>
        <w:tab/>
        <w:t xml:space="preserve">Martina Keller </w:t>
      </w:r>
      <w:r w:rsidR="00891FA7">
        <w:tab/>
      </w:r>
      <w:proofErr w:type="spellStart"/>
      <w:r>
        <w:t>Mattias</w:t>
      </w:r>
      <w:proofErr w:type="spellEnd"/>
      <w:r>
        <w:t xml:space="preserve"> </w:t>
      </w:r>
      <w:proofErr w:type="spellStart"/>
      <w:r>
        <w:t>Guyomar</w:t>
      </w:r>
      <w:proofErr w:type="spellEnd"/>
      <w:r>
        <w:br/>
      </w:r>
      <w:r>
        <w:tab/>
        <w:t>Zastępc</w:t>
      </w:r>
      <w:r w:rsidR="005F63DB">
        <w:t>a</w:t>
      </w:r>
      <w:r>
        <w:t xml:space="preserve"> Kanclerza</w:t>
      </w:r>
      <w:r>
        <w:tab/>
        <w:t>Przewodniczący</w:t>
      </w:r>
    </w:p>
    <w:p w14:paraId="7AFD81E1" w14:textId="77777777" w:rsidR="00182EBA" w:rsidRPr="008E5A20" w:rsidRDefault="00182EBA" w:rsidP="008E5A20"/>
    <w:sectPr w:rsidR="00182EBA" w:rsidRPr="008E5A20"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30B96" w14:textId="77777777" w:rsidR="00D67514" w:rsidRDefault="00D67514">
      <w:r>
        <w:separator/>
      </w:r>
    </w:p>
  </w:endnote>
  <w:endnote w:type="continuationSeparator" w:id="0">
    <w:p w14:paraId="4125A0EF" w14:textId="77777777" w:rsidR="00D67514" w:rsidRDefault="00D67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94706" w14:textId="77777777" w:rsidR="008E5A20" w:rsidRPr="00396538" w:rsidRDefault="00FC6BFD" w:rsidP="0020718E">
    <w:pPr>
      <w:jc w:val="center"/>
    </w:pPr>
    <w:r>
      <w:rPr>
        <w:noProof/>
      </w:rPr>
      <w:drawing>
        <wp:inline distT="0" distB="0" distL="0" distR="0" wp14:anchorId="2E151559" wp14:editId="79E0B5E5">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5767C1B" w14:textId="77777777" w:rsidR="008E5A20" w:rsidRPr="00396538" w:rsidRDefault="008E5A20"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A5241" w14:textId="77777777" w:rsidR="008E5A20" w:rsidRPr="00396538" w:rsidRDefault="00FC6BFD" w:rsidP="00EA4188">
    <w:pPr>
      <w:jc w:val="center"/>
    </w:pPr>
    <w:r>
      <w:rPr>
        <w:noProof/>
      </w:rPr>
      <w:drawing>
        <wp:inline distT="0" distB="0" distL="0" distR="0" wp14:anchorId="21C36765" wp14:editId="6062611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C03F0" w14:textId="77777777" w:rsidR="00182EBA" w:rsidRDefault="00FC6BFD" w:rsidP="009A115C">
    <w:pPr>
      <w:pStyle w:val="JuHeader"/>
    </w:pP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8FEA" w14:textId="77777777" w:rsidR="00182EBA" w:rsidRPr="000B7195" w:rsidRDefault="00FC6BFD"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B6A8" w14:textId="77777777" w:rsidR="00D67514" w:rsidRDefault="00D67514">
      <w:r>
        <w:separator/>
      </w:r>
    </w:p>
  </w:footnote>
  <w:footnote w:type="continuationSeparator" w:id="0">
    <w:p w14:paraId="5034BC82" w14:textId="77777777" w:rsidR="00D67514" w:rsidRDefault="00D67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0DE4B" w14:textId="77777777" w:rsidR="008E5A20" w:rsidRPr="00396538" w:rsidRDefault="00FC6BFD" w:rsidP="00A45145">
    <w:pPr>
      <w:jc w:val="center"/>
    </w:pPr>
    <w:r>
      <w:rPr>
        <w:noProof/>
      </w:rPr>
      <w:drawing>
        <wp:inline distT="0" distB="0" distL="0" distR="0" wp14:anchorId="058C74BE" wp14:editId="78674D8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09CC2B4" w14:textId="77777777" w:rsidR="008E5A20" w:rsidRPr="00396538" w:rsidRDefault="008E5A20"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91490" w14:textId="77777777" w:rsidR="008E5A20" w:rsidRPr="00396538" w:rsidRDefault="00FC6BFD" w:rsidP="00A45145">
    <w:pPr>
      <w:jc w:val="center"/>
    </w:pPr>
    <w:r>
      <w:rPr>
        <w:noProof/>
      </w:rPr>
      <w:drawing>
        <wp:inline distT="0" distB="0" distL="0" distR="0" wp14:anchorId="3CAF05BB" wp14:editId="217BB45F">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EE68259" w14:textId="77777777" w:rsidR="008E5A20" w:rsidRPr="00396538" w:rsidRDefault="008E5A2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0B41E" w14:textId="6EE4D4E4" w:rsidR="00182EBA" w:rsidRPr="004D0EC7" w:rsidRDefault="00FC6BFD" w:rsidP="004D0EC7">
    <w:pPr>
      <w:pStyle w:val="JuHeader"/>
    </w:pPr>
    <w:r>
      <w:t>WYROK CAVCA przeciwko REPUBLICE MOŁD</w:t>
    </w:r>
    <w:r w:rsidR="00F81ED6">
      <w:t>AWII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63B83" w14:textId="7E2443CD" w:rsidR="00182EBA" w:rsidRPr="00882CD5" w:rsidRDefault="00FC6BFD" w:rsidP="007D3701">
    <w:pPr>
      <w:pStyle w:val="JuHeader"/>
    </w:pPr>
    <w:r>
      <w:t>WYROK CAVCA przeciwko REPUBLICE MOŁD</w:t>
    </w:r>
    <w:r w:rsidR="00F81ED6">
      <w:t>AWII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482"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3402B230">
      <w:start w:val="1"/>
      <w:numFmt w:val="bullet"/>
      <w:pStyle w:val="Listapunktowana"/>
      <w:lvlText w:val=""/>
      <w:lvlJc w:val="left"/>
      <w:pPr>
        <w:tabs>
          <w:tab w:val="num" w:pos="851"/>
        </w:tabs>
        <w:ind w:left="568" w:firstLine="0"/>
      </w:pPr>
      <w:rPr>
        <w:rFonts w:ascii="Wingdings" w:hAnsi="Wingdings" w:hint="default"/>
        <w:color w:val="808080"/>
        <w:sz w:val="16"/>
      </w:rPr>
    </w:lvl>
    <w:lvl w:ilvl="1" w:tplc="4BC2BF5E" w:tentative="1">
      <w:start w:val="1"/>
      <w:numFmt w:val="bullet"/>
      <w:lvlText w:val="o"/>
      <w:lvlJc w:val="left"/>
      <w:pPr>
        <w:tabs>
          <w:tab w:val="num" w:pos="1724"/>
        </w:tabs>
        <w:ind w:left="1724" w:hanging="360"/>
      </w:pPr>
      <w:rPr>
        <w:rFonts w:ascii="Courier New" w:hAnsi="Courier New" w:cs="Courier New" w:hint="default"/>
      </w:rPr>
    </w:lvl>
    <w:lvl w:ilvl="2" w:tplc="34CA7E44" w:tentative="1">
      <w:start w:val="1"/>
      <w:numFmt w:val="bullet"/>
      <w:lvlText w:val=""/>
      <w:lvlJc w:val="left"/>
      <w:pPr>
        <w:tabs>
          <w:tab w:val="num" w:pos="2444"/>
        </w:tabs>
        <w:ind w:left="2444" w:hanging="360"/>
      </w:pPr>
      <w:rPr>
        <w:rFonts w:ascii="Wingdings" w:hAnsi="Wingdings" w:hint="default"/>
      </w:rPr>
    </w:lvl>
    <w:lvl w:ilvl="3" w:tplc="64FED7EC" w:tentative="1">
      <w:start w:val="1"/>
      <w:numFmt w:val="bullet"/>
      <w:lvlText w:val=""/>
      <w:lvlJc w:val="left"/>
      <w:pPr>
        <w:tabs>
          <w:tab w:val="num" w:pos="3164"/>
        </w:tabs>
        <w:ind w:left="3164" w:hanging="360"/>
      </w:pPr>
      <w:rPr>
        <w:rFonts w:ascii="Symbol" w:hAnsi="Symbol" w:hint="default"/>
      </w:rPr>
    </w:lvl>
    <w:lvl w:ilvl="4" w:tplc="F1920B5C" w:tentative="1">
      <w:start w:val="1"/>
      <w:numFmt w:val="bullet"/>
      <w:lvlText w:val="o"/>
      <w:lvlJc w:val="left"/>
      <w:pPr>
        <w:tabs>
          <w:tab w:val="num" w:pos="3884"/>
        </w:tabs>
        <w:ind w:left="3884" w:hanging="360"/>
      </w:pPr>
      <w:rPr>
        <w:rFonts w:ascii="Courier New" w:hAnsi="Courier New" w:cs="Courier New" w:hint="default"/>
      </w:rPr>
    </w:lvl>
    <w:lvl w:ilvl="5" w:tplc="2BB8B460" w:tentative="1">
      <w:start w:val="1"/>
      <w:numFmt w:val="bullet"/>
      <w:lvlText w:val=""/>
      <w:lvlJc w:val="left"/>
      <w:pPr>
        <w:tabs>
          <w:tab w:val="num" w:pos="4604"/>
        </w:tabs>
        <w:ind w:left="4604" w:hanging="360"/>
      </w:pPr>
      <w:rPr>
        <w:rFonts w:ascii="Wingdings" w:hAnsi="Wingdings" w:hint="default"/>
      </w:rPr>
    </w:lvl>
    <w:lvl w:ilvl="6" w:tplc="3754DBCA" w:tentative="1">
      <w:start w:val="1"/>
      <w:numFmt w:val="bullet"/>
      <w:lvlText w:val=""/>
      <w:lvlJc w:val="left"/>
      <w:pPr>
        <w:tabs>
          <w:tab w:val="num" w:pos="5324"/>
        </w:tabs>
        <w:ind w:left="5324" w:hanging="360"/>
      </w:pPr>
      <w:rPr>
        <w:rFonts w:ascii="Symbol" w:hAnsi="Symbol" w:hint="default"/>
      </w:rPr>
    </w:lvl>
    <w:lvl w:ilvl="7" w:tplc="668A4A3C" w:tentative="1">
      <w:start w:val="1"/>
      <w:numFmt w:val="bullet"/>
      <w:lvlText w:val="o"/>
      <w:lvlJc w:val="left"/>
      <w:pPr>
        <w:tabs>
          <w:tab w:val="num" w:pos="6044"/>
        </w:tabs>
        <w:ind w:left="6044" w:hanging="360"/>
      </w:pPr>
      <w:rPr>
        <w:rFonts w:ascii="Courier New" w:hAnsi="Courier New" w:cs="Courier New" w:hint="default"/>
      </w:rPr>
    </w:lvl>
    <w:lvl w:ilvl="8" w:tplc="3AC63AC4"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507260002">
    <w:abstractNumId w:val="19"/>
  </w:num>
  <w:num w:numId="2" w16cid:durableId="1155033207">
    <w:abstractNumId w:val="17"/>
  </w:num>
  <w:num w:numId="3" w16cid:durableId="1256980491">
    <w:abstractNumId w:val="14"/>
  </w:num>
  <w:num w:numId="4" w16cid:durableId="932937322">
    <w:abstractNumId w:val="12"/>
  </w:num>
  <w:num w:numId="5" w16cid:durableId="1032724740">
    <w:abstractNumId w:val="11"/>
  </w:num>
  <w:num w:numId="6" w16cid:durableId="750733077">
    <w:abstractNumId w:val="18"/>
  </w:num>
  <w:num w:numId="7" w16cid:durableId="2034305808">
    <w:abstractNumId w:val="7"/>
  </w:num>
  <w:num w:numId="8" w16cid:durableId="1766732591">
    <w:abstractNumId w:val="6"/>
  </w:num>
  <w:num w:numId="9" w16cid:durableId="1919752739">
    <w:abstractNumId w:val="5"/>
  </w:num>
  <w:num w:numId="10" w16cid:durableId="1369337044">
    <w:abstractNumId w:val="4"/>
  </w:num>
  <w:num w:numId="11" w16cid:durableId="1214079409">
    <w:abstractNumId w:val="8"/>
  </w:num>
  <w:num w:numId="12" w16cid:durableId="586308723">
    <w:abstractNumId w:val="3"/>
  </w:num>
  <w:num w:numId="13" w16cid:durableId="1599800035">
    <w:abstractNumId w:val="2"/>
  </w:num>
  <w:num w:numId="14" w16cid:durableId="1964387443">
    <w:abstractNumId w:val="1"/>
  </w:num>
  <w:num w:numId="15" w16cid:durableId="1056079482">
    <w:abstractNumId w:val="0"/>
  </w:num>
  <w:num w:numId="16" w16cid:durableId="1524977089">
    <w:abstractNumId w:val="15"/>
  </w:num>
  <w:num w:numId="17" w16cid:durableId="1243565519">
    <w:abstractNumId w:val="13"/>
  </w:num>
  <w:num w:numId="18" w16cid:durableId="1379863163">
    <w:abstractNumId w:val="16"/>
  </w:num>
  <w:num w:numId="19" w16cid:durableId="1860050221">
    <w:abstractNumId w:val="15"/>
  </w:num>
  <w:num w:numId="20" w16cid:durableId="2044479966">
    <w:abstractNumId w:val="16"/>
  </w:num>
  <w:num w:numId="21" w16cid:durableId="1207177385">
    <w:abstractNumId w:val="10"/>
  </w:num>
  <w:num w:numId="22" w16cid:durableId="1435899111">
    <w:abstractNumId w:val="9"/>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45012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2688"/>
    <w:rsid w:val="00034987"/>
    <w:rsid w:val="00041560"/>
    <w:rsid w:val="0004365B"/>
    <w:rsid w:val="000602DF"/>
    <w:rsid w:val="00061B05"/>
    <w:rsid w:val="000632D5"/>
    <w:rsid w:val="000644EE"/>
    <w:rsid w:val="000712E3"/>
    <w:rsid w:val="0007780A"/>
    <w:rsid w:val="00085457"/>
    <w:rsid w:val="000925AD"/>
    <w:rsid w:val="00096FE1"/>
    <w:rsid w:val="00097A62"/>
    <w:rsid w:val="000A24EB"/>
    <w:rsid w:val="000B0A6C"/>
    <w:rsid w:val="000B686A"/>
    <w:rsid w:val="000B6923"/>
    <w:rsid w:val="000B7195"/>
    <w:rsid w:val="000C32E2"/>
    <w:rsid w:val="000C5F3C"/>
    <w:rsid w:val="000C6DCC"/>
    <w:rsid w:val="000D47AA"/>
    <w:rsid w:val="000D721F"/>
    <w:rsid w:val="000E069B"/>
    <w:rsid w:val="000E0E82"/>
    <w:rsid w:val="000E1DC5"/>
    <w:rsid w:val="000E223F"/>
    <w:rsid w:val="000E46B8"/>
    <w:rsid w:val="000E7D45"/>
    <w:rsid w:val="000F1C0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54AF"/>
    <w:rsid w:val="0015008D"/>
    <w:rsid w:val="001561B6"/>
    <w:rsid w:val="00157BF2"/>
    <w:rsid w:val="00162A12"/>
    <w:rsid w:val="00166530"/>
    <w:rsid w:val="00170027"/>
    <w:rsid w:val="00182EBA"/>
    <w:rsid w:val="001832BD"/>
    <w:rsid w:val="001943B5"/>
    <w:rsid w:val="00195134"/>
    <w:rsid w:val="001A020C"/>
    <w:rsid w:val="001A145B"/>
    <w:rsid w:val="001A3E09"/>
    <w:rsid w:val="001A674C"/>
    <w:rsid w:val="001B01BF"/>
    <w:rsid w:val="001B3B24"/>
    <w:rsid w:val="001C055B"/>
    <w:rsid w:val="001C0F98"/>
    <w:rsid w:val="001C1CF6"/>
    <w:rsid w:val="001C2A42"/>
    <w:rsid w:val="001C540F"/>
    <w:rsid w:val="001D3EB9"/>
    <w:rsid w:val="001D63ED"/>
    <w:rsid w:val="001D696B"/>
    <w:rsid w:val="001D7348"/>
    <w:rsid w:val="001E035B"/>
    <w:rsid w:val="001E0961"/>
    <w:rsid w:val="001E3EAE"/>
    <w:rsid w:val="001E6857"/>
    <w:rsid w:val="001E6F32"/>
    <w:rsid w:val="001F2145"/>
    <w:rsid w:val="001F3D08"/>
    <w:rsid w:val="001F6262"/>
    <w:rsid w:val="001F67B0"/>
    <w:rsid w:val="001F7B3D"/>
    <w:rsid w:val="00202752"/>
    <w:rsid w:val="0020335A"/>
    <w:rsid w:val="002052BC"/>
    <w:rsid w:val="00205F9F"/>
    <w:rsid w:val="0020718E"/>
    <w:rsid w:val="00210338"/>
    <w:rsid w:val="002115FC"/>
    <w:rsid w:val="002120A6"/>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6FD4"/>
    <w:rsid w:val="00281B7C"/>
    <w:rsid w:val="00282240"/>
    <w:rsid w:val="00282BD8"/>
    <w:rsid w:val="00285A95"/>
    <w:rsid w:val="00286F72"/>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6BD"/>
    <w:rsid w:val="002D77B9"/>
    <w:rsid w:val="002E46DA"/>
    <w:rsid w:val="002E7764"/>
    <w:rsid w:val="002F2AF7"/>
    <w:rsid w:val="002F2C5B"/>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5CB4"/>
    <w:rsid w:val="003506B1"/>
    <w:rsid w:val="00352D34"/>
    <w:rsid w:val="003540D0"/>
    <w:rsid w:val="00355877"/>
    <w:rsid w:val="00356AC7"/>
    <w:rsid w:val="003609FA"/>
    <w:rsid w:val="003710C8"/>
    <w:rsid w:val="0037302B"/>
    <w:rsid w:val="003750BE"/>
    <w:rsid w:val="00380FE6"/>
    <w:rsid w:val="00385A36"/>
    <w:rsid w:val="00385F3D"/>
    <w:rsid w:val="0038740C"/>
    <w:rsid w:val="00387B9D"/>
    <w:rsid w:val="00387C70"/>
    <w:rsid w:val="00390294"/>
    <w:rsid w:val="0039364F"/>
    <w:rsid w:val="00396538"/>
    <w:rsid w:val="00396686"/>
    <w:rsid w:val="0039778E"/>
    <w:rsid w:val="003B4941"/>
    <w:rsid w:val="003C16B4"/>
    <w:rsid w:val="003C5714"/>
    <w:rsid w:val="003C6B9F"/>
    <w:rsid w:val="003C6E2A"/>
    <w:rsid w:val="003D0299"/>
    <w:rsid w:val="003E6D80"/>
    <w:rsid w:val="003E7BCC"/>
    <w:rsid w:val="003F05FA"/>
    <w:rsid w:val="003F244A"/>
    <w:rsid w:val="003F2517"/>
    <w:rsid w:val="003F30B8"/>
    <w:rsid w:val="003F4C45"/>
    <w:rsid w:val="003F5F7B"/>
    <w:rsid w:val="003F7D64"/>
    <w:rsid w:val="004036DF"/>
    <w:rsid w:val="0040433A"/>
    <w:rsid w:val="00407684"/>
    <w:rsid w:val="00410A74"/>
    <w:rsid w:val="00414300"/>
    <w:rsid w:val="00414F27"/>
    <w:rsid w:val="00420703"/>
    <w:rsid w:val="00425C67"/>
    <w:rsid w:val="00427E7A"/>
    <w:rsid w:val="004355AC"/>
    <w:rsid w:val="00436C49"/>
    <w:rsid w:val="00436E50"/>
    <w:rsid w:val="00443D98"/>
    <w:rsid w:val="00445366"/>
    <w:rsid w:val="00447F5B"/>
    <w:rsid w:val="00450121"/>
    <w:rsid w:val="004608E5"/>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97DEF"/>
    <w:rsid w:val="004A15C7"/>
    <w:rsid w:val="004A1612"/>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73A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3C2C"/>
    <w:rsid w:val="005442EE"/>
    <w:rsid w:val="00545DA6"/>
    <w:rsid w:val="005464B4"/>
    <w:rsid w:val="0054716E"/>
    <w:rsid w:val="00547353"/>
    <w:rsid w:val="005474E7"/>
    <w:rsid w:val="005512A3"/>
    <w:rsid w:val="00552DB1"/>
    <w:rsid w:val="005578CE"/>
    <w:rsid w:val="00562781"/>
    <w:rsid w:val="00562B6C"/>
    <w:rsid w:val="0057271C"/>
    <w:rsid w:val="00572845"/>
    <w:rsid w:val="005817E8"/>
    <w:rsid w:val="00582680"/>
    <w:rsid w:val="005854A6"/>
    <w:rsid w:val="005879A2"/>
    <w:rsid w:val="00592772"/>
    <w:rsid w:val="0059574A"/>
    <w:rsid w:val="005A1B9B"/>
    <w:rsid w:val="005A2221"/>
    <w:rsid w:val="005A2E79"/>
    <w:rsid w:val="005A6751"/>
    <w:rsid w:val="005B092E"/>
    <w:rsid w:val="005B152C"/>
    <w:rsid w:val="005B1EE0"/>
    <w:rsid w:val="005B2B24"/>
    <w:rsid w:val="005B4425"/>
    <w:rsid w:val="005B4B94"/>
    <w:rsid w:val="005C18B7"/>
    <w:rsid w:val="005C1FC1"/>
    <w:rsid w:val="005C2C62"/>
    <w:rsid w:val="005C3EE8"/>
    <w:rsid w:val="005D2917"/>
    <w:rsid w:val="005D2A13"/>
    <w:rsid w:val="005D2F2A"/>
    <w:rsid w:val="005D34F9"/>
    <w:rsid w:val="005D4190"/>
    <w:rsid w:val="005D67A3"/>
    <w:rsid w:val="005E2988"/>
    <w:rsid w:val="005E3085"/>
    <w:rsid w:val="005F0B69"/>
    <w:rsid w:val="005F0EB3"/>
    <w:rsid w:val="005F51E1"/>
    <w:rsid w:val="005F63DB"/>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3F0A"/>
    <w:rsid w:val="00675AF2"/>
    <w:rsid w:val="00682BF2"/>
    <w:rsid w:val="0068573E"/>
    <w:rsid w:val="006859CE"/>
    <w:rsid w:val="00691270"/>
    <w:rsid w:val="00694BA8"/>
    <w:rsid w:val="00694F87"/>
    <w:rsid w:val="00697889"/>
    <w:rsid w:val="006A037C"/>
    <w:rsid w:val="006A0C84"/>
    <w:rsid w:val="006A36F4"/>
    <w:rsid w:val="006A406F"/>
    <w:rsid w:val="006A4E97"/>
    <w:rsid w:val="006A5D3A"/>
    <w:rsid w:val="006B0DCE"/>
    <w:rsid w:val="006B1942"/>
    <w:rsid w:val="006C23D4"/>
    <w:rsid w:val="006C2F1C"/>
    <w:rsid w:val="006C741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5409"/>
    <w:rsid w:val="007A716F"/>
    <w:rsid w:val="007B270A"/>
    <w:rsid w:val="007B4182"/>
    <w:rsid w:val="007C0695"/>
    <w:rsid w:val="007C419A"/>
    <w:rsid w:val="007C4CC8"/>
    <w:rsid w:val="007C5426"/>
    <w:rsid w:val="007C5798"/>
    <w:rsid w:val="007D02D3"/>
    <w:rsid w:val="007D1ECD"/>
    <w:rsid w:val="007D3701"/>
    <w:rsid w:val="007D4832"/>
    <w:rsid w:val="007E21B2"/>
    <w:rsid w:val="007E2C4E"/>
    <w:rsid w:val="007E2C8C"/>
    <w:rsid w:val="007E51BA"/>
    <w:rsid w:val="007E6161"/>
    <w:rsid w:val="007E73D7"/>
    <w:rsid w:val="007E79A4"/>
    <w:rsid w:val="007F1905"/>
    <w:rsid w:val="007F27E4"/>
    <w:rsid w:val="007F3437"/>
    <w:rsid w:val="00802C64"/>
    <w:rsid w:val="00805E52"/>
    <w:rsid w:val="008061D0"/>
    <w:rsid w:val="00810B38"/>
    <w:rsid w:val="008204C7"/>
    <w:rsid w:val="00820992"/>
    <w:rsid w:val="00823602"/>
    <w:rsid w:val="00823755"/>
    <w:rsid w:val="008255F5"/>
    <w:rsid w:val="00826890"/>
    <w:rsid w:val="0083014E"/>
    <w:rsid w:val="0083214A"/>
    <w:rsid w:val="00834220"/>
    <w:rsid w:val="00837B38"/>
    <w:rsid w:val="00845723"/>
    <w:rsid w:val="008519E7"/>
    <w:rsid w:val="00851EF9"/>
    <w:rsid w:val="008536FA"/>
    <w:rsid w:val="008577FD"/>
    <w:rsid w:val="00860B03"/>
    <w:rsid w:val="0086497A"/>
    <w:rsid w:val="0086538E"/>
    <w:rsid w:val="008654AB"/>
    <w:rsid w:val="00867066"/>
    <w:rsid w:val="008713A1"/>
    <w:rsid w:val="00872584"/>
    <w:rsid w:val="008754AB"/>
    <w:rsid w:val="0088060C"/>
    <w:rsid w:val="00882394"/>
    <w:rsid w:val="00882CD5"/>
    <w:rsid w:val="00883151"/>
    <w:rsid w:val="00891FA7"/>
    <w:rsid w:val="00893576"/>
    <w:rsid w:val="00893E73"/>
    <w:rsid w:val="008B02DC"/>
    <w:rsid w:val="008B092C"/>
    <w:rsid w:val="008B57CE"/>
    <w:rsid w:val="008B60F9"/>
    <w:rsid w:val="008C26DE"/>
    <w:rsid w:val="008D1668"/>
    <w:rsid w:val="008D2225"/>
    <w:rsid w:val="008D4752"/>
    <w:rsid w:val="008D55B9"/>
    <w:rsid w:val="008D5A13"/>
    <w:rsid w:val="008E271C"/>
    <w:rsid w:val="008E3A08"/>
    <w:rsid w:val="008E418E"/>
    <w:rsid w:val="008E5A20"/>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634"/>
    <w:rsid w:val="009259AC"/>
    <w:rsid w:val="00926F38"/>
    <w:rsid w:val="00927BEB"/>
    <w:rsid w:val="009333DC"/>
    <w:rsid w:val="00934301"/>
    <w:rsid w:val="00936CD1"/>
    <w:rsid w:val="0094131C"/>
    <w:rsid w:val="00941747"/>
    <w:rsid w:val="00941EFB"/>
    <w:rsid w:val="009426DD"/>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3663"/>
    <w:rsid w:val="009B6673"/>
    <w:rsid w:val="009C191B"/>
    <w:rsid w:val="009C1DD3"/>
    <w:rsid w:val="009C2BD6"/>
    <w:rsid w:val="009C4EC4"/>
    <w:rsid w:val="009D57AA"/>
    <w:rsid w:val="009E1F32"/>
    <w:rsid w:val="009E2CC2"/>
    <w:rsid w:val="009E47A2"/>
    <w:rsid w:val="009E776C"/>
    <w:rsid w:val="009E7A6F"/>
    <w:rsid w:val="009F4C8F"/>
    <w:rsid w:val="00A02972"/>
    <w:rsid w:val="00A05588"/>
    <w:rsid w:val="00A1007A"/>
    <w:rsid w:val="00A150E5"/>
    <w:rsid w:val="00A15601"/>
    <w:rsid w:val="00A1726E"/>
    <w:rsid w:val="00A204CF"/>
    <w:rsid w:val="00A21D2B"/>
    <w:rsid w:val="00A22745"/>
    <w:rsid w:val="00A23D49"/>
    <w:rsid w:val="00A25DE2"/>
    <w:rsid w:val="00A27004"/>
    <w:rsid w:val="00A308CE"/>
    <w:rsid w:val="00A30C29"/>
    <w:rsid w:val="00A34DD6"/>
    <w:rsid w:val="00A35683"/>
    <w:rsid w:val="00A36819"/>
    <w:rsid w:val="00A36989"/>
    <w:rsid w:val="00A41D86"/>
    <w:rsid w:val="00A43628"/>
    <w:rsid w:val="00A45145"/>
    <w:rsid w:val="00A51D0F"/>
    <w:rsid w:val="00A54192"/>
    <w:rsid w:val="00A57147"/>
    <w:rsid w:val="00A60192"/>
    <w:rsid w:val="00A6035E"/>
    <w:rsid w:val="00A6144C"/>
    <w:rsid w:val="00A66617"/>
    <w:rsid w:val="00A671F8"/>
    <w:rsid w:val="00A673A4"/>
    <w:rsid w:val="00A724AE"/>
    <w:rsid w:val="00A72E32"/>
    <w:rsid w:val="00A73329"/>
    <w:rsid w:val="00A82359"/>
    <w:rsid w:val="00A84705"/>
    <w:rsid w:val="00A865D2"/>
    <w:rsid w:val="00A87C10"/>
    <w:rsid w:val="00A90BCD"/>
    <w:rsid w:val="00A92625"/>
    <w:rsid w:val="00A93F1F"/>
    <w:rsid w:val="00A94C20"/>
    <w:rsid w:val="00A95D81"/>
    <w:rsid w:val="00AA1B09"/>
    <w:rsid w:val="00AA227F"/>
    <w:rsid w:val="00AA3BC7"/>
    <w:rsid w:val="00AA754A"/>
    <w:rsid w:val="00AB099E"/>
    <w:rsid w:val="00AB4328"/>
    <w:rsid w:val="00AC38DE"/>
    <w:rsid w:val="00AC4CD4"/>
    <w:rsid w:val="00AD759A"/>
    <w:rsid w:val="00AE0A2E"/>
    <w:rsid w:val="00AE354C"/>
    <w:rsid w:val="00AF12C5"/>
    <w:rsid w:val="00AF4B07"/>
    <w:rsid w:val="00AF5AEF"/>
    <w:rsid w:val="00AF6186"/>
    <w:rsid w:val="00AF7A3A"/>
    <w:rsid w:val="00B02587"/>
    <w:rsid w:val="00B049D1"/>
    <w:rsid w:val="00B11EF3"/>
    <w:rsid w:val="00B14793"/>
    <w:rsid w:val="00B153A0"/>
    <w:rsid w:val="00B160DB"/>
    <w:rsid w:val="00B2059E"/>
    <w:rsid w:val="00B20836"/>
    <w:rsid w:val="00B235BB"/>
    <w:rsid w:val="00B27A44"/>
    <w:rsid w:val="00B30BBF"/>
    <w:rsid w:val="00B33C03"/>
    <w:rsid w:val="00B34A4A"/>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45D4"/>
    <w:rsid w:val="00B95187"/>
    <w:rsid w:val="00BA2D55"/>
    <w:rsid w:val="00BA7009"/>
    <w:rsid w:val="00BA71B1"/>
    <w:rsid w:val="00BB0637"/>
    <w:rsid w:val="00BB1E33"/>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2FAD"/>
    <w:rsid w:val="00C054C7"/>
    <w:rsid w:val="00C057B5"/>
    <w:rsid w:val="00C07D0E"/>
    <w:rsid w:val="00C115C3"/>
    <w:rsid w:val="00C15547"/>
    <w:rsid w:val="00C1672D"/>
    <w:rsid w:val="00C22687"/>
    <w:rsid w:val="00C26A92"/>
    <w:rsid w:val="00C26B1C"/>
    <w:rsid w:val="00C30921"/>
    <w:rsid w:val="00C30C92"/>
    <w:rsid w:val="00C32E4D"/>
    <w:rsid w:val="00C333A0"/>
    <w:rsid w:val="00C36A81"/>
    <w:rsid w:val="00C41974"/>
    <w:rsid w:val="00C44A2C"/>
    <w:rsid w:val="00C44F09"/>
    <w:rsid w:val="00C477F7"/>
    <w:rsid w:val="00C509A6"/>
    <w:rsid w:val="00C537D5"/>
    <w:rsid w:val="00C53F4A"/>
    <w:rsid w:val="00C54125"/>
    <w:rsid w:val="00C55B54"/>
    <w:rsid w:val="00C6098E"/>
    <w:rsid w:val="00C6152C"/>
    <w:rsid w:val="00C62D19"/>
    <w:rsid w:val="00C71424"/>
    <w:rsid w:val="00C74810"/>
    <w:rsid w:val="00C90D68"/>
    <w:rsid w:val="00C926E5"/>
    <w:rsid w:val="00C939FE"/>
    <w:rsid w:val="00CA3D5D"/>
    <w:rsid w:val="00CA4BDA"/>
    <w:rsid w:val="00CB13E3"/>
    <w:rsid w:val="00CB1F66"/>
    <w:rsid w:val="00CB232C"/>
    <w:rsid w:val="00CB2951"/>
    <w:rsid w:val="00CB4277"/>
    <w:rsid w:val="00CB67C1"/>
    <w:rsid w:val="00CC5067"/>
    <w:rsid w:val="00CD11D3"/>
    <w:rsid w:val="00CD282B"/>
    <w:rsid w:val="00CD447B"/>
    <w:rsid w:val="00CD4C35"/>
    <w:rsid w:val="00CD7369"/>
    <w:rsid w:val="00CE0B0E"/>
    <w:rsid w:val="00CE3831"/>
    <w:rsid w:val="00CF2397"/>
    <w:rsid w:val="00CF6F04"/>
    <w:rsid w:val="00D00ABB"/>
    <w:rsid w:val="00D02EEC"/>
    <w:rsid w:val="00D03551"/>
    <w:rsid w:val="00D04315"/>
    <w:rsid w:val="00D060A7"/>
    <w:rsid w:val="00D06A63"/>
    <w:rsid w:val="00D07E0E"/>
    <w:rsid w:val="00D10CD6"/>
    <w:rsid w:val="00D11478"/>
    <w:rsid w:val="00D15ED0"/>
    <w:rsid w:val="00D164BF"/>
    <w:rsid w:val="00D21B3E"/>
    <w:rsid w:val="00D21FED"/>
    <w:rsid w:val="00D221E5"/>
    <w:rsid w:val="00D23048"/>
    <w:rsid w:val="00D24251"/>
    <w:rsid w:val="00D25C8F"/>
    <w:rsid w:val="00D26E72"/>
    <w:rsid w:val="00D343E2"/>
    <w:rsid w:val="00D361A2"/>
    <w:rsid w:val="00D37272"/>
    <w:rsid w:val="00D44C2E"/>
    <w:rsid w:val="00D45414"/>
    <w:rsid w:val="00D46C6B"/>
    <w:rsid w:val="00D50A0A"/>
    <w:rsid w:val="00D53548"/>
    <w:rsid w:val="00D5576B"/>
    <w:rsid w:val="00D566BD"/>
    <w:rsid w:val="00D57A4D"/>
    <w:rsid w:val="00D60AA7"/>
    <w:rsid w:val="00D6435F"/>
    <w:rsid w:val="00D65D1C"/>
    <w:rsid w:val="00D66471"/>
    <w:rsid w:val="00D669D4"/>
    <w:rsid w:val="00D67514"/>
    <w:rsid w:val="00D70641"/>
    <w:rsid w:val="00D72364"/>
    <w:rsid w:val="00D74759"/>
    <w:rsid w:val="00D74888"/>
    <w:rsid w:val="00D7488B"/>
    <w:rsid w:val="00D75E28"/>
    <w:rsid w:val="00D76500"/>
    <w:rsid w:val="00D772C2"/>
    <w:rsid w:val="00D8008E"/>
    <w:rsid w:val="00D82C45"/>
    <w:rsid w:val="00D908A8"/>
    <w:rsid w:val="00D977B6"/>
    <w:rsid w:val="00DA1223"/>
    <w:rsid w:val="00DA4A31"/>
    <w:rsid w:val="00DA7B04"/>
    <w:rsid w:val="00DB36C2"/>
    <w:rsid w:val="00DC00A8"/>
    <w:rsid w:val="00DC169B"/>
    <w:rsid w:val="00DC2166"/>
    <w:rsid w:val="00DC2AB9"/>
    <w:rsid w:val="00DC31B2"/>
    <w:rsid w:val="00DC63F0"/>
    <w:rsid w:val="00DD37EA"/>
    <w:rsid w:val="00DD423D"/>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4555"/>
    <w:rsid w:val="00E36C71"/>
    <w:rsid w:val="00E40404"/>
    <w:rsid w:val="00E4126A"/>
    <w:rsid w:val="00E42A06"/>
    <w:rsid w:val="00E459C6"/>
    <w:rsid w:val="00E47589"/>
    <w:rsid w:val="00E511DC"/>
    <w:rsid w:val="00E557AA"/>
    <w:rsid w:val="00E63628"/>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724"/>
    <w:rsid w:val="00E91D05"/>
    <w:rsid w:val="00E9262D"/>
    <w:rsid w:val="00E94245"/>
    <w:rsid w:val="00E95C1E"/>
    <w:rsid w:val="00E97396"/>
    <w:rsid w:val="00EA185E"/>
    <w:rsid w:val="00EA4188"/>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2DA7"/>
    <w:rsid w:val="00EE3E00"/>
    <w:rsid w:val="00EE5DD2"/>
    <w:rsid w:val="00EF36C5"/>
    <w:rsid w:val="00EF3DB4"/>
    <w:rsid w:val="00F00A79"/>
    <w:rsid w:val="00F00D13"/>
    <w:rsid w:val="00F00E86"/>
    <w:rsid w:val="00F04BB7"/>
    <w:rsid w:val="00F07C1E"/>
    <w:rsid w:val="00F105DB"/>
    <w:rsid w:val="00F132BC"/>
    <w:rsid w:val="00F13D80"/>
    <w:rsid w:val="00F15B4D"/>
    <w:rsid w:val="00F16A7C"/>
    <w:rsid w:val="00F16AAA"/>
    <w:rsid w:val="00F1709C"/>
    <w:rsid w:val="00F21161"/>
    <w:rsid w:val="00F218EF"/>
    <w:rsid w:val="00F21BC7"/>
    <w:rsid w:val="00F256AF"/>
    <w:rsid w:val="00F266A2"/>
    <w:rsid w:val="00F32269"/>
    <w:rsid w:val="00F35B7A"/>
    <w:rsid w:val="00F56A6F"/>
    <w:rsid w:val="00F5709C"/>
    <w:rsid w:val="00F60B85"/>
    <w:rsid w:val="00F64EF1"/>
    <w:rsid w:val="00F72498"/>
    <w:rsid w:val="00F72B14"/>
    <w:rsid w:val="00F7349B"/>
    <w:rsid w:val="00F81ED6"/>
    <w:rsid w:val="00F8765F"/>
    <w:rsid w:val="00F87C7A"/>
    <w:rsid w:val="00F90767"/>
    <w:rsid w:val="00F9263C"/>
    <w:rsid w:val="00FA1637"/>
    <w:rsid w:val="00FA685B"/>
    <w:rsid w:val="00FB0C01"/>
    <w:rsid w:val="00FB5934"/>
    <w:rsid w:val="00FC18F2"/>
    <w:rsid w:val="00FC2A17"/>
    <w:rsid w:val="00FC38CF"/>
    <w:rsid w:val="00FC39E5"/>
    <w:rsid w:val="00FC3A78"/>
    <w:rsid w:val="00FC6BFD"/>
    <w:rsid w:val="00FD1005"/>
    <w:rsid w:val="00FD1F7F"/>
    <w:rsid w:val="00FD6C75"/>
    <w:rsid w:val="00FD7972"/>
    <w:rsid w:val="00FE027D"/>
    <w:rsid w:val="00FE0401"/>
    <w:rsid w:val="00FE6A62"/>
    <w:rsid w:val="00FE71B3"/>
    <w:rsid w:val="00FE7B80"/>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57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5D2A13"/>
    <w:rPr>
      <w:sz w:val="24"/>
      <w:szCs w:val="24"/>
    </w:rPr>
  </w:style>
  <w:style w:type="paragraph" w:styleId="Nagwek1">
    <w:name w:val="heading 1"/>
    <w:basedOn w:val="Normalny"/>
    <w:next w:val="Normalny"/>
    <w:link w:val="Nagwek1Znak"/>
    <w:uiPriority w:val="98"/>
    <w:rsid w:val="00A25D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25D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25DE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25DE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25DE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25DE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25DE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25D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25D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25DE2"/>
    <w:rPr>
      <w:rFonts w:ascii="Tahoma" w:hAnsi="Tahoma" w:cs="Tahoma"/>
      <w:sz w:val="16"/>
      <w:szCs w:val="16"/>
    </w:rPr>
  </w:style>
  <w:style w:type="character" w:customStyle="1" w:styleId="TekstdymkaZnak">
    <w:name w:val="Tekst dymka Znak"/>
    <w:basedOn w:val="Domylnaczcionkaakapitu"/>
    <w:link w:val="Tekstdymka"/>
    <w:uiPriority w:val="98"/>
    <w:semiHidden/>
    <w:rsid w:val="00A25DE2"/>
    <w:rPr>
      <w:rFonts w:ascii="Tahoma" w:hAnsi="Tahoma" w:cs="Tahoma"/>
      <w:sz w:val="16"/>
      <w:szCs w:val="16"/>
      <w:lang w:val="pl-PL"/>
    </w:rPr>
  </w:style>
  <w:style w:type="character" w:styleId="Tytuksiki">
    <w:name w:val="Book Title"/>
    <w:uiPriority w:val="98"/>
    <w:qFormat/>
    <w:rsid w:val="00A25DE2"/>
    <w:rPr>
      <w:i/>
      <w:iCs/>
      <w:smallCaps/>
      <w:spacing w:val="5"/>
    </w:rPr>
  </w:style>
  <w:style w:type="paragraph" w:customStyle="1" w:styleId="JuHeader">
    <w:name w:val="Ju_Header"/>
    <w:aliases w:val="_Header"/>
    <w:basedOn w:val="Nagwek"/>
    <w:uiPriority w:val="29"/>
    <w:qFormat/>
    <w:rsid w:val="00A25DE2"/>
    <w:pPr>
      <w:tabs>
        <w:tab w:val="clear" w:pos="4536"/>
        <w:tab w:val="clear" w:pos="9072"/>
      </w:tabs>
      <w:jc w:val="center"/>
    </w:pPr>
    <w:rPr>
      <w:sz w:val="18"/>
    </w:rPr>
  </w:style>
  <w:style w:type="paragraph" w:customStyle="1" w:styleId="NormalJustified">
    <w:name w:val="Normal_Justified"/>
    <w:basedOn w:val="Normalny"/>
    <w:semiHidden/>
    <w:rsid w:val="00A25DE2"/>
    <w:pPr>
      <w:jc w:val="both"/>
    </w:pPr>
  </w:style>
  <w:style w:type="character" w:styleId="Pogrubienie">
    <w:name w:val="Strong"/>
    <w:uiPriority w:val="98"/>
    <w:qFormat/>
    <w:rsid w:val="00A25DE2"/>
    <w:rPr>
      <w:b/>
      <w:bCs/>
    </w:rPr>
  </w:style>
  <w:style w:type="paragraph" w:styleId="Bezodstpw">
    <w:name w:val="No Spacing"/>
    <w:basedOn w:val="Normalny"/>
    <w:link w:val="BezodstpwZnak"/>
    <w:uiPriority w:val="98"/>
    <w:qFormat/>
    <w:rsid w:val="00A25DE2"/>
  </w:style>
  <w:style w:type="character" w:customStyle="1" w:styleId="BezodstpwZnak">
    <w:name w:val="Bez odstępów Znak"/>
    <w:basedOn w:val="Domylnaczcionkaakapitu"/>
    <w:link w:val="Bezodstpw"/>
    <w:uiPriority w:val="98"/>
    <w:rsid w:val="00A25DE2"/>
    <w:rPr>
      <w:sz w:val="24"/>
      <w:szCs w:val="24"/>
      <w:lang w:val="pl-PL"/>
    </w:rPr>
  </w:style>
  <w:style w:type="paragraph" w:customStyle="1" w:styleId="JuQuot">
    <w:name w:val="Ju_Quot"/>
    <w:aliases w:val="_Quote"/>
    <w:basedOn w:val="NormalJustified"/>
    <w:uiPriority w:val="20"/>
    <w:qFormat/>
    <w:rsid w:val="00A25DE2"/>
    <w:pPr>
      <w:spacing w:before="120" w:after="120"/>
      <w:ind w:left="425" w:firstLine="142"/>
    </w:pPr>
    <w:rPr>
      <w:sz w:val="20"/>
    </w:rPr>
  </w:style>
  <w:style w:type="paragraph" w:customStyle="1" w:styleId="DummyStyle">
    <w:name w:val="Dummy_Style"/>
    <w:aliases w:val="_Dummy"/>
    <w:basedOn w:val="Normalny"/>
    <w:semiHidden/>
    <w:qFormat/>
    <w:rsid w:val="00A25DE2"/>
    <w:rPr>
      <w:color w:val="00B050"/>
      <w:sz w:val="22"/>
    </w:rPr>
  </w:style>
  <w:style w:type="paragraph" w:customStyle="1" w:styleId="JuList">
    <w:name w:val="Ju_List"/>
    <w:aliases w:val="_List_1"/>
    <w:basedOn w:val="NormalJustified"/>
    <w:uiPriority w:val="23"/>
    <w:qFormat/>
    <w:rsid w:val="00A25DE2"/>
    <w:pPr>
      <w:numPr>
        <w:numId w:val="22"/>
      </w:numPr>
      <w:spacing w:before="280" w:after="60"/>
    </w:pPr>
  </w:style>
  <w:style w:type="paragraph" w:customStyle="1" w:styleId="JuLista">
    <w:name w:val="Ju_List_a"/>
    <w:aliases w:val="_List_2"/>
    <w:basedOn w:val="NormalJustified"/>
    <w:uiPriority w:val="23"/>
    <w:rsid w:val="00A25DE2"/>
    <w:pPr>
      <w:numPr>
        <w:ilvl w:val="1"/>
        <w:numId w:val="22"/>
      </w:numPr>
    </w:pPr>
  </w:style>
  <w:style w:type="paragraph" w:customStyle="1" w:styleId="JuListi">
    <w:name w:val="Ju_List_i"/>
    <w:aliases w:val="_List_3"/>
    <w:basedOn w:val="NormalJustified"/>
    <w:uiPriority w:val="23"/>
    <w:rsid w:val="00A25DE2"/>
    <w:pPr>
      <w:numPr>
        <w:ilvl w:val="2"/>
        <w:numId w:val="22"/>
      </w:numPr>
    </w:pPr>
  </w:style>
  <w:style w:type="paragraph" w:customStyle="1" w:styleId="JuHArticle">
    <w:name w:val="Ju_H_Article"/>
    <w:aliases w:val="_Title_Quote"/>
    <w:basedOn w:val="Normalny"/>
    <w:next w:val="JuQuot"/>
    <w:uiPriority w:val="19"/>
    <w:qFormat/>
    <w:rsid w:val="00A25DE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5DE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5DE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25DE2"/>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25DE2"/>
    <w:pPr>
      <w:numPr>
        <w:numId w:val="16"/>
      </w:numPr>
    </w:pPr>
  </w:style>
  <w:style w:type="paragraph" w:customStyle="1" w:styleId="JuSigned">
    <w:name w:val="Ju_Signed"/>
    <w:aliases w:val="_Signature"/>
    <w:basedOn w:val="Normalny"/>
    <w:next w:val="JuPara"/>
    <w:uiPriority w:val="31"/>
    <w:qFormat/>
    <w:rsid w:val="00A25DE2"/>
    <w:pPr>
      <w:tabs>
        <w:tab w:val="center" w:pos="1418"/>
        <w:tab w:val="center" w:pos="5954"/>
      </w:tabs>
      <w:spacing w:before="720"/>
    </w:pPr>
  </w:style>
  <w:style w:type="paragraph" w:styleId="Tytu">
    <w:name w:val="Title"/>
    <w:basedOn w:val="Normalny"/>
    <w:next w:val="Normalny"/>
    <w:link w:val="TytuZnak"/>
    <w:uiPriority w:val="98"/>
    <w:qFormat/>
    <w:rsid w:val="00A25D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A25DE2"/>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25DE2"/>
    <w:pPr>
      <w:numPr>
        <w:numId w:val="17"/>
      </w:numPr>
    </w:pPr>
  </w:style>
  <w:style w:type="numbering" w:customStyle="1" w:styleId="ECHRA1StyleNumberedList">
    <w:name w:val="ECHR_A1_Style_Numbered_List"/>
    <w:basedOn w:val="Bezlisty"/>
    <w:rsid w:val="00A25DE2"/>
    <w:pPr>
      <w:numPr>
        <w:numId w:val="18"/>
      </w:numPr>
    </w:pPr>
  </w:style>
  <w:style w:type="table" w:customStyle="1" w:styleId="ECHRTable2019">
    <w:name w:val="ECHR_Table_2019"/>
    <w:basedOn w:val="Standardowy"/>
    <w:uiPriority w:val="99"/>
    <w:rsid w:val="00A25DE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25D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25DE2"/>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25DE2"/>
    <w:pPr>
      <w:keepNext/>
      <w:keepLines/>
      <w:numPr>
        <w:ilvl w:val="2"/>
        <w:numId w:val="21"/>
      </w:numPr>
      <w:spacing w:before="100" w:beforeAutospacing="1" w:after="240" w:line="240" w:lineRule="auto"/>
      <w:ind w:left="510"/>
      <w:jc w:val="both"/>
    </w:pPr>
    <w:rPr>
      <w:color w:val="auto"/>
      <w:sz w:val="24"/>
    </w:rPr>
  </w:style>
  <w:style w:type="paragraph" w:customStyle="1" w:styleId="JuH1">
    <w:name w:val="Ju_H_1."/>
    <w:aliases w:val="_Head_4"/>
    <w:basedOn w:val="Nagwek4"/>
    <w:next w:val="JuPara"/>
    <w:uiPriority w:val="17"/>
    <w:rsid w:val="00A25DE2"/>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A25DE2"/>
    <w:pPr>
      <w:tabs>
        <w:tab w:val="center" w:pos="4536"/>
        <w:tab w:val="right" w:pos="9072"/>
      </w:tabs>
    </w:pPr>
  </w:style>
  <w:style w:type="character" w:customStyle="1" w:styleId="NagwekZnak">
    <w:name w:val="Nagłówek Znak"/>
    <w:basedOn w:val="Domylnaczcionkaakapitu"/>
    <w:link w:val="Nagwek"/>
    <w:uiPriority w:val="98"/>
    <w:semiHidden/>
    <w:rsid w:val="00A25DE2"/>
    <w:rPr>
      <w:sz w:val="24"/>
      <w:szCs w:val="24"/>
      <w:lang w:val="pl-PL"/>
    </w:rPr>
  </w:style>
  <w:style w:type="character" w:customStyle="1" w:styleId="Nagwek1Znak">
    <w:name w:val="Nagłówek 1 Znak"/>
    <w:basedOn w:val="Domylnaczcionkaakapitu"/>
    <w:link w:val="Nagwek1"/>
    <w:uiPriority w:val="98"/>
    <w:rsid w:val="00A25DE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25DE2"/>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A25DE2"/>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25DE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25DE2"/>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25DE2"/>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A25DE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25DE2"/>
    <w:pPr>
      <w:keepNext/>
      <w:keepLines/>
      <w:spacing w:before="240" w:after="240"/>
      <w:ind w:firstLine="284"/>
    </w:pPr>
  </w:style>
  <w:style w:type="paragraph" w:customStyle="1" w:styleId="JuJudges">
    <w:name w:val="Ju_Judges"/>
    <w:aliases w:val="_Judges"/>
    <w:basedOn w:val="Normalny"/>
    <w:uiPriority w:val="32"/>
    <w:qFormat/>
    <w:rsid w:val="00A25DE2"/>
    <w:pPr>
      <w:tabs>
        <w:tab w:val="left" w:pos="567"/>
        <w:tab w:val="left" w:pos="1134"/>
      </w:tabs>
    </w:pPr>
  </w:style>
  <w:style w:type="character" w:customStyle="1" w:styleId="Nagwek4Znak">
    <w:name w:val="Nagłówek 4 Znak"/>
    <w:basedOn w:val="Domylnaczcionkaakapitu"/>
    <w:link w:val="Nagwek4"/>
    <w:uiPriority w:val="98"/>
    <w:semiHidden/>
    <w:rsid w:val="00A25DE2"/>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A25DE2"/>
    <w:pPr>
      <w:tabs>
        <w:tab w:val="center" w:pos="6407"/>
      </w:tabs>
      <w:spacing w:before="720"/>
      <w:jc w:val="right"/>
    </w:pPr>
  </w:style>
  <w:style w:type="character" w:customStyle="1" w:styleId="Nagwek5Znak">
    <w:name w:val="Nagłówek 5 Znak"/>
    <w:basedOn w:val="Domylnaczcionkaakapitu"/>
    <w:link w:val="Nagwek5"/>
    <w:uiPriority w:val="98"/>
    <w:semiHidden/>
    <w:rsid w:val="00A25DE2"/>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A25DE2"/>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25DE2"/>
    <w:rPr>
      <w:caps w:val="0"/>
      <w:smallCaps/>
    </w:rPr>
  </w:style>
  <w:style w:type="character" w:styleId="Wyrnieniedelikatne">
    <w:name w:val="Subtle Emphasis"/>
    <w:uiPriority w:val="98"/>
    <w:qFormat/>
    <w:rsid w:val="00A25DE2"/>
    <w:rPr>
      <w:i/>
      <w:iCs/>
    </w:rPr>
  </w:style>
  <w:style w:type="table" w:customStyle="1" w:styleId="ECHRTable">
    <w:name w:val="ECHR_Table"/>
    <w:basedOn w:val="Standardowy"/>
    <w:rsid w:val="00A25DE2"/>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25DE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qFormat/>
    <w:rsid w:val="00A25DE2"/>
    <w:rPr>
      <w:b/>
      <w:bCs/>
      <w:i/>
      <w:iCs/>
      <w:spacing w:val="10"/>
      <w:bdr w:val="none" w:sz="0" w:space="0" w:color="auto"/>
      <w:shd w:val="clear" w:color="auto" w:fill="auto"/>
    </w:rPr>
  </w:style>
  <w:style w:type="paragraph" w:styleId="Stopka">
    <w:name w:val="footer"/>
    <w:basedOn w:val="Normalny"/>
    <w:link w:val="StopkaZnak"/>
    <w:uiPriority w:val="98"/>
    <w:semiHidden/>
    <w:rsid w:val="00A25DE2"/>
    <w:pPr>
      <w:tabs>
        <w:tab w:val="center" w:pos="3686"/>
        <w:tab w:val="right" w:pos="7371"/>
      </w:tabs>
    </w:pPr>
  </w:style>
  <w:style w:type="character" w:customStyle="1" w:styleId="StopkaZnak">
    <w:name w:val="Stopka Znak"/>
    <w:basedOn w:val="Domylnaczcionkaakapitu"/>
    <w:link w:val="Stopka"/>
    <w:uiPriority w:val="98"/>
    <w:semiHidden/>
    <w:rsid w:val="00A25DE2"/>
    <w:rPr>
      <w:sz w:val="24"/>
      <w:szCs w:val="24"/>
      <w:lang w:val="pl-PL"/>
    </w:rPr>
  </w:style>
  <w:style w:type="character" w:styleId="Odwoanieprzypisudolnego">
    <w:name w:val="footnote reference"/>
    <w:basedOn w:val="Domylnaczcionkaakapitu"/>
    <w:uiPriority w:val="98"/>
    <w:semiHidden/>
    <w:rsid w:val="00A25DE2"/>
    <w:rPr>
      <w:vertAlign w:val="superscript"/>
    </w:rPr>
  </w:style>
  <w:style w:type="paragraph" w:styleId="Tekstprzypisudolnego">
    <w:name w:val="footnote text"/>
    <w:basedOn w:val="NormalJustified"/>
    <w:link w:val="TekstprzypisudolnegoZnak"/>
    <w:uiPriority w:val="98"/>
    <w:semiHidden/>
    <w:rsid w:val="00A25DE2"/>
    <w:rPr>
      <w:sz w:val="20"/>
      <w:szCs w:val="20"/>
    </w:rPr>
  </w:style>
  <w:style w:type="character" w:customStyle="1" w:styleId="TekstprzypisudolnegoZnak">
    <w:name w:val="Tekst przypisu dolnego Znak"/>
    <w:basedOn w:val="Domylnaczcionkaakapitu"/>
    <w:link w:val="Tekstprzypisudolnego"/>
    <w:uiPriority w:val="98"/>
    <w:semiHidden/>
    <w:rsid w:val="00A25DE2"/>
    <w:rPr>
      <w:sz w:val="20"/>
      <w:szCs w:val="20"/>
      <w:lang w:val="pl-PL"/>
    </w:rPr>
  </w:style>
  <w:style w:type="character" w:customStyle="1" w:styleId="Nagwek6Znak">
    <w:name w:val="Nagłówek 6 Znak"/>
    <w:basedOn w:val="Domylnaczcionkaakapitu"/>
    <w:link w:val="Nagwek6"/>
    <w:uiPriority w:val="98"/>
    <w:semiHidden/>
    <w:rsid w:val="00A25DE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25DE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25DE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25DE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25DE2"/>
    <w:rPr>
      <w:color w:val="0072BC" w:themeColor="hyperlink"/>
      <w:u w:val="single"/>
    </w:rPr>
  </w:style>
  <w:style w:type="character" w:styleId="Wyrnienieintensywne">
    <w:name w:val="Intense Emphasis"/>
    <w:uiPriority w:val="98"/>
    <w:qFormat/>
    <w:rsid w:val="00A25DE2"/>
    <w:rPr>
      <w:b/>
      <w:bCs/>
    </w:rPr>
  </w:style>
  <w:style w:type="paragraph" w:styleId="Cytatintensywny">
    <w:name w:val="Intense Quote"/>
    <w:basedOn w:val="Normalny"/>
    <w:next w:val="Normalny"/>
    <w:link w:val="CytatintensywnyZnak"/>
    <w:uiPriority w:val="98"/>
    <w:qFormat/>
    <w:rsid w:val="00A25DE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A25DE2"/>
    <w:rPr>
      <w:b/>
      <w:bCs/>
      <w:i/>
      <w:iCs/>
      <w:sz w:val="24"/>
      <w:szCs w:val="24"/>
      <w:lang w:val="pl-PL" w:bidi="en-US"/>
    </w:rPr>
  </w:style>
  <w:style w:type="character" w:styleId="Odwoanieintensywne">
    <w:name w:val="Intense Reference"/>
    <w:uiPriority w:val="98"/>
    <w:qFormat/>
    <w:rsid w:val="00A25DE2"/>
    <w:rPr>
      <w:smallCaps/>
      <w:spacing w:val="5"/>
      <w:u w:val="single"/>
    </w:rPr>
  </w:style>
  <w:style w:type="paragraph" w:styleId="Akapitzlist">
    <w:name w:val="List Paragraph"/>
    <w:basedOn w:val="Normalny"/>
    <w:uiPriority w:val="98"/>
    <w:qFormat/>
    <w:rsid w:val="00A25DE2"/>
    <w:pPr>
      <w:ind w:left="720"/>
      <w:contextualSpacing/>
    </w:pPr>
  </w:style>
  <w:style w:type="table" w:customStyle="1" w:styleId="LtrTableAddress">
    <w:name w:val="Ltr_Table_Address"/>
    <w:aliases w:val="ECHR_Ltr_Table_Address"/>
    <w:basedOn w:val="Standardowy"/>
    <w:uiPriority w:val="99"/>
    <w:rsid w:val="00A25DE2"/>
    <w:rPr>
      <w:sz w:val="24"/>
      <w:szCs w:val="24"/>
    </w:rPr>
    <w:tblPr>
      <w:tblInd w:w="5103" w:type="dxa"/>
    </w:tblPr>
  </w:style>
  <w:style w:type="paragraph" w:styleId="Cytat">
    <w:name w:val="Quote"/>
    <w:basedOn w:val="Normalny"/>
    <w:next w:val="Normalny"/>
    <w:link w:val="CytatZnak"/>
    <w:uiPriority w:val="98"/>
    <w:qFormat/>
    <w:rsid w:val="00A25DE2"/>
    <w:pPr>
      <w:spacing w:before="200"/>
      <w:ind w:left="360" w:right="360"/>
    </w:pPr>
    <w:rPr>
      <w:i/>
      <w:iCs/>
      <w:lang w:bidi="en-US"/>
    </w:rPr>
  </w:style>
  <w:style w:type="character" w:customStyle="1" w:styleId="CytatZnak">
    <w:name w:val="Cytat Znak"/>
    <w:basedOn w:val="Domylnaczcionkaakapitu"/>
    <w:link w:val="Cytat"/>
    <w:uiPriority w:val="98"/>
    <w:rsid w:val="00A25DE2"/>
    <w:rPr>
      <w:i/>
      <w:iCs/>
      <w:sz w:val="24"/>
      <w:szCs w:val="24"/>
      <w:lang w:val="pl-PL" w:bidi="en-US"/>
    </w:rPr>
  </w:style>
  <w:style w:type="character" w:styleId="Odwoaniedelikatne">
    <w:name w:val="Subtle Reference"/>
    <w:uiPriority w:val="98"/>
    <w:qFormat/>
    <w:rsid w:val="00A25DE2"/>
    <w:rPr>
      <w:smallCaps/>
    </w:rPr>
  </w:style>
  <w:style w:type="table" w:styleId="Tabela-Siatka">
    <w:name w:val="Table Grid"/>
    <w:basedOn w:val="Standardowy"/>
    <w:uiPriority w:val="59"/>
    <w:rsid w:val="00A25DE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25DE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25DE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25DE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25DE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25DE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25DE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A25DE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25DE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25DE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25DE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A25DE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25DE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25DE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qFormat/>
    <w:rsid w:val="00A25DE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A25DE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25DE2"/>
    <w:pPr>
      <w:numPr>
        <w:numId w:val="3"/>
      </w:numPr>
    </w:pPr>
  </w:style>
  <w:style w:type="paragraph" w:customStyle="1" w:styleId="JuPara">
    <w:name w:val="Ju_Para"/>
    <w:aliases w:val="_Para"/>
    <w:basedOn w:val="NormalJustified"/>
    <w:link w:val="JuParaChar"/>
    <w:uiPriority w:val="4"/>
    <w:qFormat/>
    <w:rsid w:val="00A25DE2"/>
    <w:pPr>
      <w:ind w:firstLine="284"/>
    </w:pPr>
  </w:style>
  <w:style w:type="numbering" w:styleId="1ai">
    <w:name w:val="Outline List 1"/>
    <w:basedOn w:val="Bezlisty"/>
    <w:uiPriority w:val="99"/>
    <w:semiHidden/>
    <w:unhideWhenUsed/>
    <w:rsid w:val="00A25DE2"/>
    <w:pPr>
      <w:numPr>
        <w:numId w:val="4"/>
      </w:numPr>
    </w:pPr>
  </w:style>
  <w:style w:type="table" w:customStyle="1" w:styleId="ECHRTableSimpleBox">
    <w:name w:val="ECHR_Table_Simple_Box"/>
    <w:basedOn w:val="Standardowy"/>
    <w:uiPriority w:val="99"/>
    <w:rsid w:val="00A25DE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A25DE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A25DE2"/>
    <w:pPr>
      <w:numPr>
        <w:numId w:val="5"/>
      </w:numPr>
    </w:pPr>
  </w:style>
  <w:style w:type="table" w:customStyle="1" w:styleId="ECHRTableForInternalUse">
    <w:name w:val="ECHR_Table_For_Internal_Use"/>
    <w:basedOn w:val="Standardowy"/>
    <w:uiPriority w:val="99"/>
    <w:rsid w:val="00A25DE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A25DE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25DE2"/>
  </w:style>
  <w:style w:type="paragraph" w:styleId="Tekstblokowy">
    <w:name w:val="Block Text"/>
    <w:basedOn w:val="Normalny"/>
    <w:uiPriority w:val="98"/>
    <w:semiHidden/>
    <w:rsid w:val="00A25D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25DE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25DE2"/>
    <w:pPr>
      <w:spacing w:after="120"/>
    </w:pPr>
  </w:style>
  <w:style w:type="character" w:customStyle="1" w:styleId="TekstpodstawowyZnak">
    <w:name w:val="Tekst podstawowy Znak"/>
    <w:basedOn w:val="Domylnaczcionkaakapitu"/>
    <w:link w:val="Tekstpodstawowy"/>
    <w:uiPriority w:val="98"/>
    <w:semiHidden/>
    <w:rsid w:val="00A25DE2"/>
    <w:rPr>
      <w:sz w:val="24"/>
      <w:szCs w:val="24"/>
      <w:lang w:val="pl-PL"/>
    </w:rPr>
  </w:style>
  <w:style w:type="table" w:customStyle="1" w:styleId="ECHRTableOddBanded">
    <w:name w:val="ECHR_Table_Odd_Banded"/>
    <w:basedOn w:val="Standardowy"/>
    <w:uiPriority w:val="99"/>
    <w:rsid w:val="00A25DE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25DE2"/>
    <w:pPr>
      <w:spacing w:after="120" w:line="480" w:lineRule="auto"/>
    </w:pPr>
  </w:style>
  <w:style w:type="table" w:customStyle="1" w:styleId="ECHRHeaderTableReduced">
    <w:name w:val="ECHR_Header_Table_Reduced"/>
    <w:basedOn w:val="Standardowy"/>
    <w:uiPriority w:val="99"/>
    <w:rsid w:val="00A25DE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25DE2"/>
    <w:pPr>
      <w:ind w:firstLine="284"/>
    </w:pPr>
    <w:rPr>
      <w:b/>
    </w:rPr>
  </w:style>
  <w:style w:type="character" w:styleId="Numerstrony">
    <w:name w:val="page number"/>
    <w:uiPriority w:val="98"/>
    <w:semiHidden/>
    <w:rsid w:val="00A25DE2"/>
    <w:rPr>
      <w:sz w:val="18"/>
    </w:rPr>
  </w:style>
  <w:style w:type="paragraph" w:styleId="Listapunktowana">
    <w:name w:val="List Bullet"/>
    <w:basedOn w:val="Normalny"/>
    <w:uiPriority w:val="98"/>
    <w:semiHidden/>
    <w:rsid w:val="00A25DE2"/>
    <w:pPr>
      <w:numPr>
        <w:numId w:val="6"/>
      </w:numPr>
    </w:pPr>
  </w:style>
  <w:style w:type="paragraph" w:styleId="Listapunktowana3">
    <w:name w:val="List Bullet 3"/>
    <w:basedOn w:val="Normalny"/>
    <w:uiPriority w:val="98"/>
    <w:semiHidden/>
    <w:rsid w:val="00A25DE2"/>
    <w:pPr>
      <w:numPr>
        <w:numId w:val="8"/>
      </w:numPr>
      <w:contextualSpacing/>
    </w:pPr>
  </w:style>
  <w:style w:type="character" w:customStyle="1" w:styleId="Tekstpodstawowy2Znak">
    <w:name w:val="Tekst podstawowy 2 Znak"/>
    <w:basedOn w:val="Domylnaczcionkaakapitu"/>
    <w:link w:val="Tekstpodstawowy2"/>
    <w:uiPriority w:val="98"/>
    <w:semiHidden/>
    <w:rsid w:val="00A25DE2"/>
    <w:rPr>
      <w:sz w:val="24"/>
      <w:szCs w:val="24"/>
      <w:lang w:val="pl-PL"/>
    </w:rPr>
  </w:style>
  <w:style w:type="paragraph" w:styleId="Tekstpodstawowy3">
    <w:name w:val="Body Text 3"/>
    <w:basedOn w:val="Normalny"/>
    <w:link w:val="Tekstpodstawowy3Znak"/>
    <w:uiPriority w:val="98"/>
    <w:semiHidden/>
    <w:rsid w:val="00A25DE2"/>
    <w:pPr>
      <w:spacing w:after="120"/>
    </w:pPr>
    <w:rPr>
      <w:sz w:val="16"/>
      <w:szCs w:val="16"/>
    </w:rPr>
  </w:style>
  <w:style w:type="character" w:customStyle="1" w:styleId="Tekstpodstawowy3Znak">
    <w:name w:val="Tekst podstawowy 3 Znak"/>
    <w:basedOn w:val="Domylnaczcionkaakapitu"/>
    <w:link w:val="Tekstpodstawowy3"/>
    <w:uiPriority w:val="98"/>
    <w:semiHidden/>
    <w:rsid w:val="00A25DE2"/>
    <w:rPr>
      <w:sz w:val="16"/>
      <w:szCs w:val="16"/>
      <w:lang w:val="pl-PL"/>
    </w:rPr>
  </w:style>
  <w:style w:type="paragraph" w:styleId="Tekstpodstawowyzwciciem">
    <w:name w:val="Body Text First Indent"/>
    <w:basedOn w:val="Tekstpodstawowy"/>
    <w:link w:val="TekstpodstawowyzwciciemZnak"/>
    <w:uiPriority w:val="98"/>
    <w:semiHidden/>
    <w:rsid w:val="00A25DE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25DE2"/>
    <w:rPr>
      <w:sz w:val="24"/>
      <w:szCs w:val="24"/>
      <w:lang w:val="pl-PL"/>
    </w:rPr>
  </w:style>
  <w:style w:type="paragraph" w:styleId="Tekstpodstawowywcity">
    <w:name w:val="Body Text Indent"/>
    <w:basedOn w:val="Normalny"/>
    <w:link w:val="TekstpodstawowywcityZnak"/>
    <w:uiPriority w:val="98"/>
    <w:semiHidden/>
    <w:rsid w:val="00A25DE2"/>
    <w:pPr>
      <w:spacing w:after="120"/>
      <w:ind w:left="283"/>
    </w:pPr>
  </w:style>
  <w:style w:type="character" w:customStyle="1" w:styleId="TekstpodstawowywcityZnak">
    <w:name w:val="Tekst podstawowy wcięty Znak"/>
    <w:basedOn w:val="Domylnaczcionkaakapitu"/>
    <w:link w:val="Tekstpodstawowywcity"/>
    <w:uiPriority w:val="98"/>
    <w:semiHidden/>
    <w:rsid w:val="00A25DE2"/>
    <w:rPr>
      <w:sz w:val="24"/>
      <w:szCs w:val="24"/>
      <w:lang w:val="pl-PL"/>
    </w:rPr>
  </w:style>
  <w:style w:type="paragraph" w:styleId="Tekstpodstawowyzwciciem2">
    <w:name w:val="Body Text First Indent 2"/>
    <w:basedOn w:val="Tekstpodstawowywcity"/>
    <w:link w:val="Tekstpodstawowyzwciciem2Znak"/>
    <w:uiPriority w:val="98"/>
    <w:semiHidden/>
    <w:rsid w:val="00A25DE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25DE2"/>
    <w:rPr>
      <w:sz w:val="24"/>
      <w:szCs w:val="24"/>
      <w:lang w:val="pl-PL"/>
    </w:rPr>
  </w:style>
  <w:style w:type="paragraph" w:styleId="Tekstpodstawowywcity2">
    <w:name w:val="Body Text Indent 2"/>
    <w:basedOn w:val="Normalny"/>
    <w:link w:val="Tekstpodstawowywcity2Znak"/>
    <w:uiPriority w:val="98"/>
    <w:semiHidden/>
    <w:rsid w:val="00A25DE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25DE2"/>
    <w:rPr>
      <w:sz w:val="24"/>
      <w:szCs w:val="24"/>
      <w:lang w:val="pl-PL"/>
    </w:rPr>
  </w:style>
  <w:style w:type="paragraph" w:styleId="Tekstpodstawowywcity3">
    <w:name w:val="Body Text Indent 3"/>
    <w:basedOn w:val="Normalny"/>
    <w:link w:val="Tekstpodstawowywcity3Znak"/>
    <w:uiPriority w:val="98"/>
    <w:semiHidden/>
    <w:rsid w:val="00A25D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25DE2"/>
    <w:rPr>
      <w:sz w:val="16"/>
      <w:szCs w:val="16"/>
      <w:lang w:val="pl-PL"/>
    </w:rPr>
  </w:style>
  <w:style w:type="paragraph" w:styleId="Legenda">
    <w:name w:val="caption"/>
    <w:basedOn w:val="Normalny"/>
    <w:next w:val="Normalny"/>
    <w:uiPriority w:val="98"/>
    <w:semiHidden/>
    <w:qFormat/>
    <w:rsid w:val="00A25DE2"/>
    <w:pPr>
      <w:spacing w:after="200"/>
    </w:pPr>
    <w:rPr>
      <w:b/>
      <w:bCs/>
      <w:color w:val="0072BC" w:themeColor="accent1"/>
      <w:sz w:val="18"/>
      <w:szCs w:val="18"/>
    </w:rPr>
  </w:style>
  <w:style w:type="paragraph" w:styleId="Zwrotpoegnalny">
    <w:name w:val="Closing"/>
    <w:basedOn w:val="Normalny"/>
    <w:link w:val="ZwrotpoegnalnyZnak"/>
    <w:uiPriority w:val="98"/>
    <w:semiHidden/>
    <w:rsid w:val="00A25DE2"/>
    <w:pPr>
      <w:ind w:left="4252"/>
    </w:pPr>
  </w:style>
  <w:style w:type="character" w:customStyle="1" w:styleId="ZwrotpoegnalnyZnak">
    <w:name w:val="Zwrot pożegnalny Znak"/>
    <w:basedOn w:val="Domylnaczcionkaakapitu"/>
    <w:link w:val="Zwrotpoegnalny"/>
    <w:uiPriority w:val="98"/>
    <w:semiHidden/>
    <w:rsid w:val="00A25DE2"/>
    <w:rPr>
      <w:sz w:val="24"/>
      <w:szCs w:val="24"/>
      <w:lang w:val="pl-PL"/>
    </w:rPr>
  </w:style>
  <w:style w:type="table" w:styleId="Kolorowasiatka">
    <w:name w:val="Colorful Grid"/>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25DE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25DE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25DE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25DE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A25DE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25DE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25DE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25DE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A25DE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25DE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25DE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25DE2"/>
    <w:rPr>
      <w:sz w:val="16"/>
      <w:szCs w:val="16"/>
    </w:rPr>
  </w:style>
  <w:style w:type="paragraph" w:styleId="Tekstkomentarza">
    <w:name w:val="annotation text"/>
    <w:basedOn w:val="Normalny"/>
    <w:link w:val="TekstkomentarzaZnak"/>
    <w:uiPriority w:val="98"/>
    <w:semiHidden/>
    <w:rsid w:val="00A25DE2"/>
    <w:rPr>
      <w:sz w:val="20"/>
      <w:szCs w:val="20"/>
    </w:rPr>
  </w:style>
  <w:style w:type="character" w:customStyle="1" w:styleId="TekstkomentarzaZnak">
    <w:name w:val="Tekst komentarza Znak"/>
    <w:basedOn w:val="Domylnaczcionkaakapitu"/>
    <w:link w:val="Tekstkomentarza"/>
    <w:uiPriority w:val="98"/>
    <w:semiHidden/>
    <w:rsid w:val="00A25DE2"/>
    <w:rPr>
      <w:sz w:val="20"/>
      <w:szCs w:val="20"/>
      <w:lang w:val="pl-PL"/>
    </w:rPr>
  </w:style>
  <w:style w:type="paragraph" w:styleId="Tematkomentarza">
    <w:name w:val="annotation subject"/>
    <w:basedOn w:val="Tekstkomentarza"/>
    <w:next w:val="Tekstkomentarza"/>
    <w:link w:val="TematkomentarzaZnak"/>
    <w:uiPriority w:val="98"/>
    <w:semiHidden/>
    <w:rsid w:val="00A25DE2"/>
    <w:rPr>
      <w:b/>
      <w:bCs/>
    </w:rPr>
  </w:style>
  <w:style w:type="character" w:customStyle="1" w:styleId="TematkomentarzaZnak">
    <w:name w:val="Temat komentarza Znak"/>
    <w:basedOn w:val="TekstkomentarzaZnak"/>
    <w:link w:val="Tematkomentarza"/>
    <w:uiPriority w:val="98"/>
    <w:semiHidden/>
    <w:rsid w:val="00A25DE2"/>
    <w:rPr>
      <w:b/>
      <w:bCs/>
      <w:sz w:val="20"/>
      <w:szCs w:val="20"/>
      <w:lang w:val="pl-PL"/>
    </w:rPr>
  </w:style>
  <w:style w:type="table" w:styleId="Ciemnalista">
    <w:name w:val="Dark List"/>
    <w:basedOn w:val="Standardowy"/>
    <w:uiPriority w:val="70"/>
    <w:semiHidden/>
    <w:rsid w:val="00A25DE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25DE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25DE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25DE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A25DE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25DE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25DE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25DE2"/>
  </w:style>
  <w:style w:type="character" w:customStyle="1" w:styleId="DataZnak">
    <w:name w:val="Data Znak"/>
    <w:basedOn w:val="Domylnaczcionkaakapitu"/>
    <w:link w:val="Data"/>
    <w:uiPriority w:val="98"/>
    <w:semiHidden/>
    <w:rsid w:val="00A25DE2"/>
    <w:rPr>
      <w:sz w:val="24"/>
      <w:szCs w:val="24"/>
      <w:lang w:val="pl-PL"/>
    </w:rPr>
  </w:style>
  <w:style w:type="paragraph" w:styleId="Mapadokumentu">
    <w:name w:val="Document Map"/>
    <w:basedOn w:val="Normalny"/>
    <w:link w:val="MapadokumentuZnak"/>
    <w:uiPriority w:val="98"/>
    <w:semiHidden/>
    <w:rsid w:val="00A25DE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25DE2"/>
    <w:rPr>
      <w:rFonts w:ascii="Tahoma" w:hAnsi="Tahoma" w:cs="Tahoma"/>
      <w:sz w:val="16"/>
      <w:szCs w:val="16"/>
      <w:lang w:val="pl-PL"/>
    </w:rPr>
  </w:style>
  <w:style w:type="paragraph" w:styleId="Podpise-mail">
    <w:name w:val="E-mail Signature"/>
    <w:basedOn w:val="Normalny"/>
    <w:link w:val="Podpise-mailZnak"/>
    <w:uiPriority w:val="98"/>
    <w:semiHidden/>
    <w:rsid w:val="00A25DE2"/>
  </w:style>
  <w:style w:type="character" w:customStyle="1" w:styleId="Podpise-mailZnak">
    <w:name w:val="Podpis e-mail Znak"/>
    <w:basedOn w:val="Domylnaczcionkaakapitu"/>
    <w:link w:val="Podpise-mail"/>
    <w:uiPriority w:val="98"/>
    <w:semiHidden/>
    <w:rsid w:val="00A25DE2"/>
    <w:rPr>
      <w:sz w:val="24"/>
      <w:szCs w:val="24"/>
      <w:lang w:val="pl-PL"/>
    </w:rPr>
  </w:style>
  <w:style w:type="character" w:styleId="Odwoanieprzypisukocowego">
    <w:name w:val="endnote reference"/>
    <w:basedOn w:val="Domylnaczcionkaakapitu"/>
    <w:uiPriority w:val="98"/>
    <w:semiHidden/>
    <w:rsid w:val="00A25DE2"/>
    <w:rPr>
      <w:vertAlign w:val="superscript"/>
    </w:rPr>
  </w:style>
  <w:style w:type="paragraph" w:styleId="Tekstprzypisukocowego">
    <w:name w:val="endnote text"/>
    <w:basedOn w:val="Normalny"/>
    <w:link w:val="TekstprzypisukocowegoZnak"/>
    <w:uiPriority w:val="98"/>
    <w:semiHidden/>
    <w:rsid w:val="00A25DE2"/>
    <w:rPr>
      <w:sz w:val="20"/>
      <w:szCs w:val="20"/>
    </w:rPr>
  </w:style>
  <w:style w:type="character" w:customStyle="1" w:styleId="TekstprzypisukocowegoZnak">
    <w:name w:val="Tekst przypisu końcowego Znak"/>
    <w:basedOn w:val="Domylnaczcionkaakapitu"/>
    <w:link w:val="Tekstprzypisukocowego"/>
    <w:uiPriority w:val="98"/>
    <w:semiHidden/>
    <w:rsid w:val="00A25DE2"/>
    <w:rPr>
      <w:sz w:val="20"/>
      <w:szCs w:val="20"/>
      <w:lang w:val="pl-PL"/>
    </w:rPr>
  </w:style>
  <w:style w:type="paragraph" w:styleId="Adresnakopercie">
    <w:name w:val="envelope address"/>
    <w:basedOn w:val="Normalny"/>
    <w:uiPriority w:val="98"/>
    <w:semiHidden/>
    <w:rsid w:val="00A25DE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25DE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25DE2"/>
    <w:rPr>
      <w:color w:val="7030A0" w:themeColor="followedHyperlink"/>
      <w:u w:val="single"/>
    </w:rPr>
  </w:style>
  <w:style w:type="character" w:styleId="HTML-akronim">
    <w:name w:val="HTML Acronym"/>
    <w:basedOn w:val="Domylnaczcionkaakapitu"/>
    <w:uiPriority w:val="98"/>
    <w:semiHidden/>
    <w:rsid w:val="00A25DE2"/>
  </w:style>
  <w:style w:type="paragraph" w:styleId="HTML-adres">
    <w:name w:val="HTML Address"/>
    <w:basedOn w:val="Normalny"/>
    <w:link w:val="HTML-adresZnak"/>
    <w:uiPriority w:val="98"/>
    <w:semiHidden/>
    <w:rsid w:val="00A25DE2"/>
    <w:rPr>
      <w:i/>
      <w:iCs/>
    </w:rPr>
  </w:style>
  <w:style w:type="character" w:customStyle="1" w:styleId="HTML-adresZnak">
    <w:name w:val="HTML - adres Znak"/>
    <w:basedOn w:val="Domylnaczcionkaakapitu"/>
    <w:link w:val="HTML-adres"/>
    <w:uiPriority w:val="98"/>
    <w:semiHidden/>
    <w:rsid w:val="00A25DE2"/>
    <w:rPr>
      <w:i/>
      <w:iCs/>
      <w:sz w:val="24"/>
      <w:szCs w:val="24"/>
      <w:lang w:val="pl-PL"/>
    </w:rPr>
  </w:style>
  <w:style w:type="character" w:styleId="HTML-cytat">
    <w:name w:val="HTML Cite"/>
    <w:basedOn w:val="Domylnaczcionkaakapitu"/>
    <w:uiPriority w:val="98"/>
    <w:semiHidden/>
    <w:rsid w:val="00A25DE2"/>
    <w:rPr>
      <w:i/>
      <w:iCs/>
    </w:rPr>
  </w:style>
  <w:style w:type="character" w:styleId="HTML-kod">
    <w:name w:val="HTML Code"/>
    <w:basedOn w:val="Domylnaczcionkaakapitu"/>
    <w:uiPriority w:val="98"/>
    <w:semiHidden/>
    <w:rsid w:val="00A25DE2"/>
    <w:rPr>
      <w:rFonts w:ascii="Consolas" w:hAnsi="Consolas" w:cs="Consolas"/>
      <w:sz w:val="20"/>
      <w:szCs w:val="20"/>
    </w:rPr>
  </w:style>
  <w:style w:type="character" w:styleId="HTML-definicja">
    <w:name w:val="HTML Definition"/>
    <w:basedOn w:val="Domylnaczcionkaakapitu"/>
    <w:uiPriority w:val="98"/>
    <w:semiHidden/>
    <w:rsid w:val="00A25DE2"/>
    <w:rPr>
      <w:i/>
      <w:iCs/>
    </w:rPr>
  </w:style>
  <w:style w:type="character" w:styleId="HTML-klawiatura">
    <w:name w:val="HTML Keyboard"/>
    <w:basedOn w:val="Domylnaczcionkaakapitu"/>
    <w:uiPriority w:val="98"/>
    <w:semiHidden/>
    <w:rsid w:val="00A25DE2"/>
    <w:rPr>
      <w:rFonts w:ascii="Consolas" w:hAnsi="Consolas" w:cs="Consolas"/>
      <w:sz w:val="20"/>
      <w:szCs w:val="20"/>
    </w:rPr>
  </w:style>
  <w:style w:type="paragraph" w:styleId="HTML-wstpniesformatowany">
    <w:name w:val="HTML Preformatted"/>
    <w:basedOn w:val="Normalny"/>
    <w:link w:val="HTML-wstpniesformatowanyZnak"/>
    <w:uiPriority w:val="98"/>
    <w:semiHidden/>
    <w:rsid w:val="00A25DE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25DE2"/>
    <w:rPr>
      <w:rFonts w:ascii="Consolas" w:hAnsi="Consolas" w:cs="Consolas"/>
      <w:sz w:val="20"/>
      <w:szCs w:val="20"/>
      <w:lang w:val="pl-PL"/>
    </w:rPr>
  </w:style>
  <w:style w:type="character" w:styleId="HTML-przykad">
    <w:name w:val="HTML Sample"/>
    <w:basedOn w:val="Domylnaczcionkaakapitu"/>
    <w:uiPriority w:val="98"/>
    <w:semiHidden/>
    <w:rsid w:val="00A25DE2"/>
    <w:rPr>
      <w:rFonts w:ascii="Consolas" w:hAnsi="Consolas" w:cs="Consolas"/>
      <w:sz w:val="24"/>
      <w:szCs w:val="24"/>
    </w:rPr>
  </w:style>
  <w:style w:type="character" w:styleId="HTML-staaszeroko">
    <w:name w:val="HTML Typewriter"/>
    <w:basedOn w:val="Domylnaczcionkaakapitu"/>
    <w:uiPriority w:val="98"/>
    <w:semiHidden/>
    <w:rsid w:val="00A25DE2"/>
    <w:rPr>
      <w:rFonts w:ascii="Consolas" w:hAnsi="Consolas" w:cs="Consolas"/>
      <w:sz w:val="20"/>
      <w:szCs w:val="20"/>
    </w:rPr>
  </w:style>
  <w:style w:type="character" w:styleId="HTML-zmienna">
    <w:name w:val="HTML Variable"/>
    <w:basedOn w:val="Domylnaczcionkaakapitu"/>
    <w:uiPriority w:val="98"/>
    <w:semiHidden/>
    <w:rsid w:val="00A25DE2"/>
    <w:rPr>
      <w:i/>
      <w:iCs/>
    </w:rPr>
  </w:style>
  <w:style w:type="paragraph" w:styleId="Indeks1">
    <w:name w:val="index 1"/>
    <w:basedOn w:val="Normalny"/>
    <w:next w:val="Normalny"/>
    <w:autoRedefine/>
    <w:uiPriority w:val="98"/>
    <w:semiHidden/>
    <w:rsid w:val="00A25DE2"/>
    <w:pPr>
      <w:ind w:left="240" w:hanging="240"/>
    </w:pPr>
  </w:style>
  <w:style w:type="paragraph" w:styleId="Indeks2">
    <w:name w:val="index 2"/>
    <w:basedOn w:val="Normalny"/>
    <w:next w:val="Normalny"/>
    <w:autoRedefine/>
    <w:uiPriority w:val="98"/>
    <w:semiHidden/>
    <w:rsid w:val="00A25DE2"/>
    <w:pPr>
      <w:ind w:left="480" w:hanging="240"/>
    </w:pPr>
  </w:style>
  <w:style w:type="paragraph" w:styleId="Indeks3">
    <w:name w:val="index 3"/>
    <w:basedOn w:val="Normalny"/>
    <w:next w:val="Normalny"/>
    <w:autoRedefine/>
    <w:uiPriority w:val="98"/>
    <w:semiHidden/>
    <w:rsid w:val="00A25DE2"/>
    <w:pPr>
      <w:ind w:left="720" w:hanging="240"/>
    </w:pPr>
  </w:style>
  <w:style w:type="paragraph" w:styleId="Indeks4">
    <w:name w:val="index 4"/>
    <w:basedOn w:val="Normalny"/>
    <w:next w:val="Normalny"/>
    <w:autoRedefine/>
    <w:uiPriority w:val="98"/>
    <w:semiHidden/>
    <w:rsid w:val="00A25DE2"/>
    <w:pPr>
      <w:ind w:left="960" w:hanging="240"/>
    </w:pPr>
  </w:style>
  <w:style w:type="paragraph" w:styleId="Indeks5">
    <w:name w:val="index 5"/>
    <w:basedOn w:val="Normalny"/>
    <w:next w:val="Normalny"/>
    <w:autoRedefine/>
    <w:uiPriority w:val="98"/>
    <w:semiHidden/>
    <w:rsid w:val="00A25DE2"/>
    <w:pPr>
      <w:ind w:left="1200" w:hanging="240"/>
    </w:pPr>
  </w:style>
  <w:style w:type="paragraph" w:styleId="Indeks6">
    <w:name w:val="index 6"/>
    <w:basedOn w:val="Normalny"/>
    <w:next w:val="Normalny"/>
    <w:autoRedefine/>
    <w:uiPriority w:val="98"/>
    <w:semiHidden/>
    <w:rsid w:val="00A25DE2"/>
    <w:pPr>
      <w:ind w:left="1440" w:hanging="240"/>
    </w:pPr>
  </w:style>
  <w:style w:type="paragraph" w:styleId="Indeks7">
    <w:name w:val="index 7"/>
    <w:basedOn w:val="Normalny"/>
    <w:next w:val="Normalny"/>
    <w:autoRedefine/>
    <w:uiPriority w:val="98"/>
    <w:semiHidden/>
    <w:rsid w:val="00A25DE2"/>
    <w:pPr>
      <w:ind w:left="1680" w:hanging="240"/>
    </w:pPr>
  </w:style>
  <w:style w:type="paragraph" w:styleId="Indeks8">
    <w:name w:val="index 8"/>
    <w:basedOn w:val="Normalny"/>
    <w:next w:val="Normalny"/>
    <w:autoRedefine/>
    <w:uiPriority w:val="98"/>
    <w:semiHidden/>
    <w:rsid w:val="00A25DE2"/>
    <w:pPr>
      <w:ind w:left="1920" w:hanging="240"/>
    </w:pPr>
  </w:style>
  <w:style w:type="paragraph" w:styleId="Indeks9">
    <w:name w:val="index 9"/>
    <w:basedOn w:val="Normalny"/>
    <w:next w:val="Normalny"/>
    <w:autoRedefine/>
    <w:uiPriority w:val="98"/>
    <w:semiHidden/>
    <w:rsid w:val="00A25DE2"/>
    <w:pPr>
      <w:ind w:left="2160" w:hanging="240"/>
    </w:pPr>
  </w:style>
  <w:style w:type="paragraph" w:styleId="Nagwekindeksu">
    <w:name w:val="index heading"/>
    <w:basedOn w:val="Normalny"/>
    <w:next w:val="Indeks1"/>
    <w:uiPriority w:val="98"/>
    <w:semiHidden/>
    <w:rsid w:val="00A25DE2"/>
    <w:rPr>
      <w:rFonts w:asciiTheme="majorHAnsi" w:eastAsiaTheme="majorEastAsia" w:hAnsiTheme="majorHAnsi" w:cstheme="majorBidi"/>
      <w:b/>
      <w:bCs/>
    </w:rPr>
  </w:style>
  <w:style w:type="table" w:styleId="Jasnasiatka">
    <w:name w:val="Light Grid"/>
    <w:basedOn w:val="Standardowy"/>
    <w:uiPriority w:val="62"/>
    <w:semiHidden/>
    <w:rsid w:val="00A25D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25D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25D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25DE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A25D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25D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25D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25D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25D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25D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25DE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A25D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25D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25D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25DE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25DE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25DE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25DE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A25DE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25DE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25DE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25DE2"/>
  </w:style>
  <w:style w:type="paragraph" w:styleId="Lista">
    <w:name w:val="List"/>
    <w:basedOn w:val="Normalny"/>
    <w:uiPriority w:val="98"/>
    <w:semiHidden/>
    <w:rsid w:val="00A25DE2"/>
    <w:pPr>
      <w:ind w:left="283" w:hanging="283"/>
      <w:contextualSpacing/>
    </w:pPr>
  </w:style>
  <w:style w:type="paragraph" w:styleId="Lista2">
    <w:name w:val="List 2"/>
    <w:basedOn w:val="Normalny"/>
    <w:uiPriority w:val="98"/>
    <w:semiHidden/>
    <w:rsid w:val="00A25DE2"/>
    <w:pPr>
      <w:ind w:left="566" w:hanging="283"/>
      <w:contextualSpacing/>
    </w:pPr>
  </w:style>
  <w:style w:type="paragraph" w:styleId="Lista3">
    <w:name w:val="List 3"/>
    <w:basedOn w:val="Normalny"/>
    <w:uiPriority w:val="98"/>
    <w:semiHidden/>
    <w:rsid w:val="00A25DE2"/>
    <w:pPr>
      <w:ind w:left="849" w:hanging="283"/>
      <w:contextualSpacing/>
    </w:pPr>
  </w:style>
  <w:style w:type="paragraph" w:styleId="Lista4">
    <w:name w:val="List 4"/>
    <w:basedOn w:val="Normalny"/>
    <w:uiPriority w:val="98"/>
    <w:semiHidden/>
    <w:rsid w:val="00A25DE2"/>
    <w:pPr>
      <w:ind w:left="1132" w:hanging="283"/>
      <w:contextualSpacing/>
    </w:pPr>
  </w:style>
  <w:style w:type="paragraph" w:styleId="Lista5">
    <w:name w:val="List 5"/>
    <w:basedOn w:val="Normalny"/>
    <w:uiPriority w:val="98"/>
    <w:semiHidden/>
    <w:rsid w:val="00A25DE2"/>
    <w:pPr>
      <w:ind w:left="1415" w:hanging="283"/>
      <w:contextualSpacing/>
    </w:pPr>
  </w:style>
  <w:style w:type="paragraph" w:styleId="Listapunktowana2">
    <w:name w:val="List Bullet 2"/>
    <w:basedOn w:val="Normalny"/>
    <w:uiPriority w:val="98"/>
    <w:semiHidden/>
    <w:rsid w:val="00A25DE2"/>
    <w:pPr>
      <w:numPr>
        <w:numId w:val="7"/>
      </w:numPr>
      <w:contextualSpacing/>
    </w:pPr>
  </w:style>
  <w:style w:type="paragraph" w:styleId="Listapunktowana4">
    <w:name w:val="List Bullet 4"/>
    <w:basedOn w:val="Normalny"/>
    <w:uiPriority w:val="98"/>
    <w:semiHidden/>
    <w:rsid w:val="00A25DE2"/>
    <w:pPr>
      <w:numPr>
        <w:numId w:val="9"/>
      </w:numPr>
      <w:contextualSpacing/>
    </w:pPr>
  </w:style>
  <w:style w:type="paragraph" w:styleId="Listapunktowana5">
    <w:name w:val="List Bullet 5"/>
    <w:basedOn w:val="Normalny"/>
    <w:uiPriority w:val="98"/>
    <w:semiHidden/>
    <w:rsid w:val="00A25DE2"/>
    <w:pPr>
      <w:numPr>
        <w:numId w:val="10"/>
      </w:numPr>
      <w:contextualSpacing/>
    </w:pPr>
  </w:style>
  <w:style w:type="paragraph" w:styleId="Lista-kontynuacja">
    <w:name w:val="List Continue"/>
    <w:basedOn w:val="Normalny"/>
    <w:uiPriority w:val="98"/>
    <w:semiHidden/>
    <w:rsid w:val="00A25DE2"/>
    <w:pPr>
      <w:spacing w:after="120"/>
      <w:ind w:left="283"/>
      <w:contextualSpacing/>
    </w:pPr>
  </w:style>
  <w:style w:type="paragraph" w:styleId="Lista-kontynuacja2">
    <w:name w:val="List Continue 2"/>
    <w:basedOn w:val="Normalny"/>
    <w:uiPriority w:val="98"/>
    <w:semiHidden/>
    <w:rsid w:val="00A25DE2"/>
    <w:pPr>
      <w:spacing w:after="120"/>
      <w:ind w:left="566"/>
      <w:contextualSpacing/>
    </w:pPr>
  </w:style>
  <w:style w:type="paragraph" w:styleId="Lista-kontynuacja3">
    <w:name w:val="List Continue 3"/>
    <w:basedOn w:val="Normalny"/>
    <w:uiPriority w:val="98"/>
    <w:semiHidden/>
    <w:rsid w:val="00A25DE2"/>
    <w:pPr>
      <w:spacing w:after="120"/>
      <w:ind w:left="849"/>
      <w:contextualSpacing/>
    </w:pPr>
  </w:style>
  <w:style w:type="paragraph" w:styleId="Lista-kontynuacja4">
    <w:name w:val="List Continue 4"/>
    <w:basedOn w:val="Normalny"/>
    <w:uiPriority w:val="98"/>
    <w:semiHidden/>
    <w:rsid w:val="00A25DE2"/>
    <w:pPr>
      <w:spacing w:after="120"/>
      <w:ind w:left="1132"/>
      <w:contextualSpacing/>
    </w:pPr>
  </w:style>
  <w:style w:type="paragraph" w:styleId="Lista-kontynuacja5">
    <w:name w:val="List Continue 5"/>
    <w:basedOn w:val="Normalny"/>
    <w:uiPriority w:val="98"/>
    <w:semiHidden/>
    <w:rsid w:val="00A25DE2"/>
    <w:pPr>
      <w:spacing w:after="120"/>
      <w:ind w:left="1415"/>
      <w:contextualSpacing/>
    </w:pPr>
  </w:style>
  <w:style w:type="paragraph" w:styleId="Listanumerowana">
    <w:name w:val="List Number"/>
    <w:basedOn w:val="Normalny"/>
    <w:uiPriority w:val="98"/>
    <w:semiHidden/>
    <w:rsid w:val="00A25DE2"/>
    <w:pPr>
      <w:numPr>
        <w:numId w:val="11"/>
      </w:numPr>
      <w:contextualSpacing/>
    </w:pPr>
  </w:style>
  <w:style w:type="paragraph" w:styleId="Listanumerowana2">
    <w:name w:val="List Number 2"/>
    <w:basedOn w:val="Normalny"/>
    <w:uiPriority w:val="98"/>
    <w:semiHidden/>
    <w:rsid w:val="00A25DE2"/>
    <w:pPr>
      <w:numPr>
        <w:numId w:val="12"/>
      </w:numPr>
      <w:contextualSpacing/>
    </w:pPr>
  </w:style>
  <w:style w:type="paragraph" w:styleId="Listanumerowana3">
    <w:name w:val="List Number 3"/>
    <w:basedOn w:val="Normalny"/>
    <w:uiPriority w:val="98"/>
    <w:semiHidden/>
    <w:rsid w:val="00A25DE2"/>
    <w:pPr>
      <w:numPr>
        <w:numId w:val="13"/>
      </w:numPr>
      <w:contextualSpacing/>
    </w:pPr>
  </w:style>
  <w:style w:type="paragraph" w:styleId="Listanumerowana4">
    <w:name w:val="List Number 4"/>
    <w:basedOn w:val="Normalny"/>
    <w:uiPriority w:val="98"/>
    <w:semiHidden/>
    <w:rsid w:val="00A25DE2"/>
    <w:pPr>
      <w:numPr>
        <w:numId w:val="14"/>
      </w:numPr>
      <w:contextualSpacing/>
    </w:pPr>
  </w:style>
  <w:style w:type="paragraph" w:styleId="Listanumerowana5">
    <w:name w:val="List Number 5"/>
    <w:basedOn w:val="Normalny"/>
    <w:uiPriority w:val="98"/>
    <w:semiHidden/>
    <w:rsid w:val="00A25DE2"/>
    <w:pPr>
      <w:numPr>
        <w:numId w:val="15"/>
      </w:numPr>
      <w:contextualSpacing/>
    </w:pPr>
  </w:style>
  <w:style w:type="paragraph" w:styleId="Tekstmakra">
    <w:name w:val="macro"/>
    <w:link w:val="TekstmakraZnak"/>
    <w:uiPriority w:val="98"/>
    <w:semiHidden/>
    <w:rsid w:val="00A25D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25DE2"/>
    <w:rPr>
      <w:rFonts w:ascii="Consolas" w:eastAsiaTheme="minorEastAsia" w:hAnsi="Consolas" w:cs="Consolas"/>
      <w:sz w:val="20"/>
      <w:szCs w:val="20"/>
    </w:rPr>
  </w:style>
  <w:style w:type="table" w:styleId="redniasiatka1">
    <w:name w:val="Medium Grid 1"/>
    <w:basedOn w:val="Standardowy"/>
    <w:uiPriority w:val="67"/>
    <w:semiHidden/>
    <w:rsid w:val="00A25D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25D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25D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25DE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A25D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25D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25D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A25DE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25DE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25DE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25DE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A25DE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25DE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25DE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A25D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25D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25D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25DE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25D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25D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25D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25D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25DE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25DE2"/>
    <w:rPr>
      <w:rFonts w:ascii="Times New Roman" w:hAnsi="Times New Roman" w:cs="Times New Roman"/>
    </w:rPr>
  </w:style>
  <w:style w:type="paragraph" w:styleId="Wcicienormalne">
    <w:name w:val="Normal Indent"/>
    <w:basedOn w:val="Normalny"/>
    <w:uiPriority w:val="98"/>
    <w:semiHidden/>
    <w:rsid w:val="00A25DE2"/>
    <w:pPr>
      <w:ind w:left="720"/>
    </w:pPr>
  </w:style>
  <w:style w:type="paragraph" w:styleId="Nagweknotatki">
    <w:name w:val="Note Heading"/>
    <w:basedOn w:val="Normalny"/>
    <w:next w:val="Normalny"/>
    <w:link w:val="NagweknotatkiZnak"/>
    <w:uiPriority w:val="98"/>
    <w:semiHidden/>
    <w:rsid w:val="00A25DE2"/>
  </w:style>
  <w:style w:type="character" w:customStyle="1" w:styleId="NagweknotatkiZnak">
    <w:name w:val="Nagłówek notatki Znak"/>
    <w:basedOn w:val="Domylnaczcionkaakapitu"/>
    <w:link w:val="Nagweknotatki"/>
    <w:uiPriority w:val="98"/>
    <w:semiHidden/>
    <w:rsid w:val="00A25DE2"/>
    <w:rPr>
      <w:sz w:val="24"/>
      <w:szCs w:val="24"/>
      <w:lang w:val="pl-PL"/>
    </w:rPr>
  </w:style>
  <w:style w:type="character" w:styleId="Tekstzastpczy">
    <w:name w:val="Placeholder Text"/>
    <w:basedOn w:val="Domylnaczcionkaakapitu"/>
    <w:uiPriority w:val="98"/>
    <w:semiHidden/>
    <w:rsid w:val="00A25DE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25DE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25DE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25DE2"/>
  </w:style>
  <w:style w:type="character" w:customStyle="1" w:styleId="ZwrotgrzecznociowyZnak">
    <w:name w:val="Zwrot grzecznościowy Znak"/>
    <w:basedOn w:val="Domylnaczcionkaakapitu"/>
    <w:link w:val="Zwrotgrzecznociowy"/>
    <w:uiPriority w:val="98"/>
    <w:semiHidden/>
    <w:rsid w:val="00A25DE2"/>
    <w:rPr>
      <w:sz w:val="24"/>
      <w:szCs w:val="24"/>
      <w:lang w:val="pl-PL"/>
    </w:rPr>
  </w:style>
  <w:style w:type="paragraph" w:styleId="Podpis">
    <w:name w:val="Signature"/>
    <w:basedOn w:val="Normalny"/>
    <w:link w:val="PodpisZnak"/>
    <w:uiPriority w:val="98"/>
    <w:semiHidden/>
    <w:rsid w:val="00A25DE2"/>
    <w:pPr>
      <w:ind w:left="4252"/>
    </w:pPr>
  </w:style>
  <w:style w:type="character" w:customStyle="1" w:styleId="PodpisZnak">
    <w:name w:val="Podpis Znak"/>
    <w:basedOn w:val="Domylnaczcionkaakapitu"/>
    <w:link w:val="Podpis"/>
    <w:uiPriority w:val="98"/>
    <w:semiHidden/>
    <w:rsid w:val="00A25DE2"/>
    <w:rPr>
      <w:sz w:val="24"/>
      <w:szCs w:val="24"/>
      <w:lang w:val="pl-PL"/>
    </w:rPr>
  </w:style>
  <w:style w:type="table" w:styleId="Tabela-Efekty3D1">
    <w:name w:val="Table 3D effects 1"/>
    <w:basedOn w:val="Standardowy"/>
    <w:uiPriority w:val="99"/>
    <w:semiHidden/>
    <w:unhideWhenUsed/>
    <w:rsid w:val="00A25DE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25DE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25DE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25DE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25DE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25DE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25DE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25DE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25DE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25DE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25DE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25DE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25DE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25DE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25DE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25DE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25DE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25DE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25DE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25DE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25DE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25DE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25DE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25DE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25DE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25D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25DE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25D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25DE2"/>
    <w:pPr>
      <w:ind w:left="240" w:hanging="240"/>
    </w:pPr>
  </w:style>
  <w:style w:type="paragraph" w:styleId="Spisilustracji">
    <w:name w:val="table of figures"/>
    <w:basedOn w:val="Normalny"/>
    <w:next w:val="Normalny"/>
    <w:uiPriority w:val="98"/>
    <w:semiHidden/>
    <w:rsid w:val="00A25DE2"/>
  </w:style>
  <w:style w:type="table" w:styleId="Tabela-Profesjonalny">
    <w:name w:val="Table Professional"/>
    <w:basedOn w:val="Standardowy"/>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25DE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25DE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25DE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25DE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25DE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25DE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25DE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25DE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25DE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25DE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25DE2"/>
    <w:pPr>
      <w:spacing w:after="100"/>
      <w:ind w:left="1680"/>
    </w:pPr>
  </w:style>
  <w:style w:type="paragraph" w:styleId="Spistreci9">
    <w:name w:val="toc 9"/>
    <w:basedOn w:val="Normalny"/>
    <w:next w:val="Normalny"/>
    <w:autoRedefine/>
    <w:uiPriority w:val="98"/>
    <w:semiHidden/>
    <w:rsid w:val="00A25DE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25DE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5DE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25DE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25DE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5DE2"/>
    <w:pPr>
      <w:numPr>
        <w:numId w:val="19"/>
      </w:numPr>
      <w:tabs>
        <w:tab w:val="clear" w:pos="851"/>
      </w:tabs>
      <w:spacing w:before="60" w:after="60"/>
      <w:ind w:left="0" w:firstLine="0"/>
    </w:pPr>
  </w:style>
  <w:style w:type="paragraph" w:customStyle="1" w:styleId="ECHRBullet2">
    <w:name w:val="ECHR_Bullet_2"/>
    <w:aliases w:val="_Bul_2"/>
    <w:basedOn w:val="ECHRBullet1"/>
    <w:uiPriority w:val="23"/>
    <w:semiHidden/>
    <w:rsid w:val="00A25DE2"/>
    <w:pPr>
      <w:numPr>
        <w:ilvl w:val="1"/>
      </w:numPr>
      <w:tabs>
        <w:tab w:val="clear" w:pos="1134"/>
      </w:tabs>
      <w:ind w:left="369" w:hanging="369"/>
    </w:pPr>
  </w:style>
  <w:style w:type="paragraph" w:customStyle="1" w:styleId="ECHRBullet3">
    <w:name w:val="ECHR_Bullet_3"/>
    <w:aliases w:val="_Bul_3"/>
    <w:basedOn w:val="ECHRBullet2"/>
    <w:uiPriority w:val="23"/>
    <w:semiHidden/>
    <w:rsid w:val="00A25DE2"/>
    <w:pPr>
      <w:numPr>
        <w:ilvl w:val="2"/>
      </w:numPr>
      <w:tabs>
        <w:tab w:val="clear" w:pos="1418"/>
      </w:tabs>
      <w:ind w:left="510" w:hanging="340"/>
    </w:pPr>
  </w:style>
  <w:style w:type="paragraph" w:customStyle="1" w:styleId="ECHRBullet4">
    <w:name w:val="ECHR_Bullet_4"/>
    <w:aliases w:val="_Bul_4"/>
    <w:basedOn w:val="ECHRBullet3"/>
    <w:uiPriority w:val="23"/>
    <w:semiHidden/>
    <w:rsid w:val="00A25DE2"/>
    <w:pPr>
      <w:numPr>
        <w:ilvl w:val="3"/>
      </w:numPr>
      <w:tabs>
        <w:tab w:val="clear" w:pos="1701"/>
      </w:tabs>
      <w:ind w:left="680" w:hanging="340"/>
    </w:pPr>
  </w:style>
  <w:style w:type="paragraph" w:customStyle="1" w:styleId="ECHRConfidential">
    <w:name w:val="ECHR_Confidential"/>
    <w:aliases w:val="_Confidential"/>
    <w:basedOn w:val="Normalny"/>
    <w:next w:val="Normalny"/>
    <w:uiPriority w:val="42"/>
    <w:semiHidden/>
    <w:qFormat/>
    <w:rsid w:val="00A25DE2"/>
    <w:pPr>
      <w:jc w:val="right"/>
    </w:pPr>
    <w:rPr>
      <w:color w:val="C00000"/>
      <w:sz w:val="20"/>
    </w:rPr>
  </w:style>
  <w:style w:type="paragraph" w:customStyle="1" w:styleId="ECHRDecisionBody">
    <w:name w:val="ECHR_Decision_Body"/>
    <w:aliases w:val="_Decision_Body"/>
    <w:basedOn w:val="NormalJustified"/>
    <w:uiPriority w:val="54"/>
    <w:semiHidden/>
    <w:rsid w:val="00A25DE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25DE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25DE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25DE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A25DE2"/>
    <w:pPr>
      <w:jc w:val="right"/>
    </w:pPr>
    <w:rPr>
      <w:sz w:val="20"/>
    </w:rPr>
  </w:style>
  <w:style w:type="paragraph" w:customStyle="1" w:styleId="ECHRHeaderRefIt">
    <w:name w:val="ECHR_Header_Ref_It"/>
    <w:aliases w:val="_Ref_Ital"/>
    <w:basedOn w:val="Normalny"/>
    <w:next w:val="ECHRHeaderDate"/>
    <w:uiPriority w:val="43"/>
    <w:qFormat/>
    <w:rsid w:val="00A25DE2"/>
    <w:pPr>
      <w:jc w:val="right"/>
    </w:pPr>
    <w:rPr>
      <w:i/>
      <w:sz w:val="20"/>
    </w:rPr>
  </w:style>
  <w:style w:type="paragraph" w:customStyle="1" w:styleId="ECHRHeading9">
    <w:name w:val="ECHR_Heading_9"/>
    <w:aliases w:val="_Head_9"/>
    <w:basedOn w:val="Nagwek9"/>
    <w:uiPriority w:val="17"/>
    <w:semiHidden/>
    <w:rsid w:val="00A25DE2"/>
    <w:pPr>
      <w:keepNext/>
      <w:keepLines/>
      <w:numPr>
        <w:ilvl w:val="8"/>
        <w:numId w:val="21"/>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ny"/>
    <w:uiPriority w:val="46"/>
    <w:semiHidden/>
    <w:rsid w:val="00A25DE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25DE2"/>
    <w:pPr>
      <w:numPr>
        <w:numId w:val="20"/>
      </w:numPr>
      <w:tabs>
        <w:tab w:val="clear" w:pos="964"/>
        <w:tab w:val="num" w:pos="340"/>
      </w:tabs>
      <w:spacing w:before="60" w:after="60"/>
      <w:ind w:left="340" w:hanging="340"/>
    </w:pPr>
  </w:style>
  <w:style w:type="paragraph" w:customStyle="1" w:styleId="ECHRNumberedList2">
    <w:name w:val="ECHR_Numbered_List_2"/>
    <w:aliases w:val="_Num_2"/>
    <w:basedOn w:val="ECHRNumberedList1"/>
    <w:uiPriority w:val="23"/>
    <w:semiHidden/>
    <w:rsid w:val="00A25DE2"/>
    <w:pPr>
      <w:numPr>
        <w:ilvl w:val="1"/>
      </w:numPr>
      <w:tabs>
        <w:tab w:val="clear" w:pos="1361"/>
        <w:tab w:val="num" w:pos="680"/>
      </w:tabs>
      <w:ind w:left="680" w:hanging="340"/>
    </w:pPr>
  </w:style>
  <w:style w:type="paragraph" w:customStyle="1" w:styleId="ECHRNumberedList3">
    <w:name w:val="ECHR_Numbered_List_3"/>
    <w:aliases w:val="_Num_3"/>
    <w:basedOn w:val="ECHRNumberedList2"/>
    <w:uiPriority w:val="23"/>
    <w:semiHidden/>
    <w:rsid w:val="00A25DE2"/>
    <w:pPr>
      <w:numPr>
        <w:ilvl w:val="2"/>
      </w:numPr>
      <w:tabs>
        <w:tab w:val="clear" w:pos="1758"/>
      </w:tabs>
      <w:ind w:left="1021" w:hanging="341"/>
    </w:pPr>
  </w:style>
  <w:style w:type="paragraph" w:customStyle="1" w:styleId="ECHRParaHanging">
    <w:name w:val="ECHR_Para_Hanging"/>
    <w:aliases w:val="_Hanging"/>
    <w:basedOn w:val="NormalJustified"/>
    <w:uiPriority w:val="8"/>
    <w:semiHidden/>
    <w:qFormat/>
    <w:rsid w:val="00A25DE2"/>
    <w:pPr>
      <w:ind w:left="567" w:hanging="567"/>
    </w:pPr>
  </w:style>
  <w:style w:type="paragraph" w:customStyle="1" w:styleId="ECHRParaIndent">
    <w:name w:val="ECHR_Para_Indent"/>
    <w:aliases w:val="_Indent"/>
    <w:basedOn w:val="NormalJustified"/>
    <w:uiPriority w:val="7"/>
    <w:semiHidden/>
    <w:qFormat/>
    <w:rsid w:val="00A25DE2"/>
    <w:pPr>
      <w:spacing w:before="120" w:after="120"/>
      <w:ind w:left="284"/>
    </w:pPr>
  </w:style>
  <w:style w:type="character" w:customStyle="1" w:styleId="ECHRRed">
    <w:name w:val="ECHR_Red"/>
    <w:aliases w:val="_Red"/>
    <w:basedOn w:val="Domylnaczcionkaakapitu"/>
    <w:uiPriority w:val="15"/>
    <w:semiHidden/>
    <w:qFormat/>
    <w:rsid w:val="00A25DE2"/>
    <w:rPr>
      <w:color w:val="C00000" w:themeColor="accent2"/>
    </w:rPr>
  </w:style>
  <w:style w:type="paragraph" w:customStyle="1" w:styleId="DecList">
    <w:name w:val="Dec_List"/>
    <w:aliases w:val="_List"/>
    <w:basedOn w:val="JuList"/>
    <w:uiPriority w:val="22"/>
    <w:rsid w:val="00A25DE2"/>
    <w:pPr>
      <w:numPr>
        <w:numId w:val="0"/>
      </w:numPr>
      <w:ind w:left="284"/>
    </w:pPr>
  </w:style>
  <w:style w:type="table" w:customStyle="1" w:styleId="ECHRTable2">
    <w:name w:val="ECHR_Table_2"/>
    <w:basedOn w:val="Standardowy"/>
    <w:uiPriority w:val="99"/>
    <w:rsid w:val="00A25DE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25DE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A25DE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A25DE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A25DE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A25DE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A25DE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A25DE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A25DE2"/>
    <w:pPr>
      <w:outlineLvl w:val="0"/>
    </w:pPr>
  </w:style>
  <w:style w:type="paragraph" w:customStyle="1" w:styleId="ECHRTitleTOC1">
    <w:name w:val="ECHR_Title_TOC_1"/>
    <w:aliases w:val="_Title_L_TOC"/>
    <w:basedOn w:val="ECHRTitle1"/>
    <w:next w:val="Normalny"/>
    <w:uiPriority w:val="27"/>
    <w:semiHidden/>
    <w:qFormat/>
    <w:rsid w:val="00A25DE2"/>
    <w:pPr>
      <w:outlineLvl w:val="0"/>
    </w:pPr>
  </w:style>
  <w:style w:type="paragraph" w:customStyle="1" w:styleId="ECHRPlaceholder">
    <w:name w:val="ECHR_Placeholder"/>
    <w:aliases w:val="_Placeholder"/>
    <w:basedOn w:val="JuSigned"/>
    <w:uiPriority w:val="31"/>
    <w:rsid w:val="00A25DE2"/>
    <w:rPr>
      <w:color w:val="FFFFFF"/>
    </w:rPr>
  </w:style>
  <w:style w:type="paragraph" w:customStyle="1" w:styleId="ECHRSpacer">
    <w:name w:val="ECHR_Spacer"/>
    <w:aliases w:val="_Spacer"/>
    <w:basedOn w:val="Normalny"/>
    <w:uiPriority w:val="45"/>
    <w:semiHidden/>
    <w:rsid w:val="00A25DE2"/>
    <w:rPr>
      <w:sz w:val="4"/>
    </w:rPr>
  </w:style>
  <w:style w:type="table" w:customStyle="1" w:styleId="ECHRTableGrey">
    <w:name w:val="ECHR_Table_Grey"/>
    <w:basedOn w:val="Standardowy"/>
    <w:uiPriority w:val="99"/>
    <w:rsid w:val="00A25DE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A25DE2"/>
    <w:rPr>
      <w:color w:val="605E5C"/>
      <w:shd w:val="clear" w:color="auto" w:fill="E1DFDD"/>
    </w:rPr>
  </w:style>
  <w:style w:type="character" w:customStyle="1" w:styleId="JuParaChar">
    <w:name w:val="Ju_Para Char"/>
    <w:aliases w:val="_Para Char"/>
    <w:link w:val="JuPara"/>
    <w:uiPriority w:val="4"/>
    <w:rsid w:val="00450121"/>
    <w:rPr>
      <w:sz w:val="24"/>
      <w:szCs w:val="24"/>
      <w:lang w:val="pl-PL"/>
    </w:rPr>
  </w:style>
  <w:style w:type="table" w:styleId="Tabelasiatki1jasna">
    <w:name w:val="Grid Table 1 Light"/>
    <w:basedOn w:val="Standardowy"/>
    <w:uiPriority w:val="46"/>
    <w:rsid w:val="0045012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50121"/>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rsid w:val="0045012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45012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45012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45012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45012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rsid w:val="0045012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rsid w:val="0045012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rsid w:val="0045012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rsid w:val="0045012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rsid w:val="0045012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rsid w:val="0045012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rsid w:val="0045012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rsid w:val="0045012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rsid w:val="0045012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rsid w:val="0045012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rsid w:val="0045012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rsid w:val="0045012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rsid w:val="0045012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rsid w:val="0045012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rsid w:val="0045012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rsid w:val="0045012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rsid w:val="0045012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rsid w:val="0045012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rsid w:val="0045012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rsid w:val="0045012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rsid w:val="0045012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rsid w:val="0045012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50121"/>
    <w:rPr>
      <w:color w:val="2B579A"/>
      <w:shd w:val="clear" w:color="auto" w:fill="E1DFDD"/>
    </w:rPr>
  </w:style>
  <w:style w:type="table" w:styleId="Tabelalisty1jasna">
    <w:name w:val="List Table 1 Light"/>
    <w:basedOn w:val="Standardowy"/>
    <w:uiPriority w:val="46"/>
    <w:rsid w:val="0045012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rsid w:val="0045012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rsid w:val="0045012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rsid w:val="0045012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rsid w:val="0045012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rsid w:val="0045012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rsid w:val="0045012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rsid w:val="0045012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rsid w:val="0045012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rsid w:val="0045012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rsid w:val="0045012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rsid w:val="0045012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rsid w:val="0045012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rsid w:val="0045012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rsid w:val="0045012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rsid w:val="0045012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rsid w:val="0045012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rsid w:val="0045012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rsid w:val="0045012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rsid w:val="0045012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rsid w:val="0045012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rsid w:val="0045012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45012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45012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45012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45012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45012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45012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45012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rsid w:val="0045012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rsid w:val="0045012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rsid w:val="0045012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rsid w:val="0045012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rsid w:val="0045012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rsid w:val="0045012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rsid w:val="0045012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45012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45012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45012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45012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45012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45012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50121"/>
    <w:rPr>
      <w:color w:val="2B579A"/>
      <w:shd w:val="clear" w:color="auto" w:fill="E1DFDD"/>
    </w:rPr>
  </w:style>
  <w:style w:type="table" w:styleId="Zwykatabela1">
    <w:name w:val="Plain Table 1"/>
    <w:basedOn w:val="Standardowy"/>
    <w:uiPriority w:val="41"/>
    <w:rsid w:val="0045012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45012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rsid w:val="0045012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45012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rsid w:val="0045012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50121"/>
    <w:rPr>
      <w:u w:val="dotted"/>
    </w:rPr>
  </w:style>
  <w:style w:type="character" w:styleId="Inteligentnylink">
    <w:name w:val="Smart Link"/>
    <w:basedOn w:val="Domylnaczcionkaakapitu"/>
    <w:uiPriority w:val="99"/>
    <w:semiHidden/>
    <w:unhideWhenUsed/>
    <w:rsid w:val="00450121"/>
    <w:rPr>
      <w:color w:val="0000FF"/>
      <w:u w:val="single"/>
      <w:shd w:val="clear" w:color="auto" w:fill="F3F2F1"/>
    </w:rPr>
  </w:style>
  <w:style w:type="table" w:styleId="Siatkatabelijasna">
    <w:name w:val="Grid Table Light"/>
    <w:basedOn w:val="Standardowy"/>
    <w:uiPriority w:val="40"/>
    <w:rsid w:val="0045012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450121"/>
    <w:rPr>
      <w:sz w:val="24"/>
      <w:szCs w:val="24"/>
    </w:rPr>
  </w:style>
  <w:style w:type="paragraph" w:customStyle="1" w:styleId="jupara0">
    <w:name w:val="jupara"/>
    <w:basedOn w:val="Normalny"/>
    <w:rsid w:val="000F1C05"/>
    <w:pPr>
      <w:ind w:firstLine="284"/>
      <w:jc w:val="both"/>
    </w:pPr>
    <w:rPr>
      <w:rFonts w:ascii="Times New Roman" w:eastAsia="Times New Roman" w:hAnsi="Times New Roman" w:cs="Times New Roman"/>
      <w:lang w:eastAsia="en-GB"/>
    </w:rPr>
  </w:style>
  <w:style w:type="paragraph" w:customStyle="1" w:styleId="jucase0">
    <w:name w:val="jucase"/>
    <w:basedOn w:val="Normalny"/>
    <w:rsid w:val="000F1C0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9269</Words>
  <Characters>55616</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2026-04-07T13:30:00Z</dcterms:created>
  <dcterms:modified xsi:type="dcterms:W3CDTF">2026-05-29T13:41:00Z</dcterms:modified>
  <cp:category/>
</cp:coreProperties>
</file>