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C75BF" w14:textId="77777777" w:rsidR="0098410D" w:rsidRPr="00CF7B21" w:rsidRDefault="00000000" w:rsidP="00843F1A">
      <w:pPr>
        <w:pStyle w:val="DecHTitle"/>
        <w:rPr>
          <w:lang w:val="pl-PL"/>
        </w:rPr>
      </w:pPr>
      <w:r>
        <w:rPr>
          <w:lang w:val="pl"/>
        </w:rPr>
        <w:t>SEKCJA TRZECIA</w:t>
      </w:r>
    </w:p>
    <w:p w14:paraId="6F0E198B" w14:textId="77777777" w:rsidR="008E6217" w:rsidRPr="00CF7B21" w:rsidRDefault="00000000" w:rsidP="002F214A">
      <w:pPr>
        <w:pStyle w:val="JuTitle"/>
        <w:spacing w:before="720"/>
        <w:rPr>
          <w:lang w:val="pl-PL"/>
        </w:rPr>
      </w:pPr>
      <w:r>
        <w:rPr>
          <w:bCs/>
          <w:color w:val="000000" w:themeColor="text1"/>
          <w:lang w:val="pl"/>
        </w:rPr>
        <w:t xml:space="preserve">SPRAWA </w:t>
      </w:r>
      <w:r>
        <w:rPr>
          <w:bCs/>
          <w:lang w:val="pl"/>
        </w:rPr>
        <w:t>TSATANI przeciwko GRECJI</w:t>
      </w:r>
    </w:p>
    <w:p w14:paraId="0AF6DEC3" w14:textId="77777777" w:rsidR="00D74888" w:rsidRPr="00CF7B21" w:rsidRDefault="00000000" w:rsidP="00843F1A">
      <w:pPr>
        <w:pStyle w:val="ECHRCoverTitle4"/>
        <w:rPr>
          <w:lang w:val="pl-PL"/>
        </w:rPr>
      </w:pPr>
      <w:r>
        <w:rPr>
          <w:iCs/>
          <w:lang w:val="pl"/>
        </w:rPr>
        <w:t>(Skarga nr 42514/16)</w:t>
      </w:r>
    </w:p>
    <w:p w14:paraId="3BCC9CA8" w14:textId="77777777" w:rsidR="0054716E" w:rsidRPr="00CF7B21" w:rsidRDefault="0054716E" w:rsidP="00843F1A">
      <w:pPr>
        <w:pStyle w:val="DecHCase"/>
        <w:rPr>
          <w:lang w:val="pl-PL"/>
        </w:rPr>
      </w:pPr>
    </w:p>
    <w:p w14:paraId="33A2AD40" w14:textId="77777777" w:rsidR="0098410D" w:rsidRPr="00CF7B21" w:rsidRDefault="00000000" w:rsidP="00843F1A">
      <w:pPr>
        <w:pStyle w:val="DecHCase"/>
        <w:rPr>
          <w:lang w:val="pl-PL"/>
        </w:rPr>
      </w:pPr>
      <w:r>
        <w:rPr>
          <w:lang w:val="pl"/>
        </w:rPr>
        <w:t>WYROK</w:t>
      </w:r>
      <w:r>
        <w:rPr>
          <w:lang w:val="pl"/>
        </w:rPr>
        <w:br/>
      </w:r>
    </w:p>
    <w:p w14:paraId="02DD5063" w14:textId="7D479C8D" w:rsidR="00843F1A" w:rsidRPr="00CF7B21" w:rsidRDefault="00000000" w:rsidP="00843F1A">
      <w:pPr>
        <w:pStyle w:val="JuPara"/>
        <w:pBdr>
          <w:top w:val="single" w:sz="4" w:space="1" w:color="auto"/>
          <w:left w:val="single" w:sz="4" w:space="4" w:color="auto"/>
          <w:bottom w:val="single" w:sz="4" w:space="1" w:color="auto"/>
          <w:right w:val="single" w:sz="4" w:space="4" w:color="auto"/>
        </w:pBdr>
        <w:ind w:firstLine="0"/>
        <w:rPr>
          <w:sz w:val="22"/>
          <w:szCs w:val="22"/>
          <w:lang w:val="pl-PL"/>
        </w:rPr>
      </w:pPr>
      <w:r>
        <w:rPr>
          <w:sz w:val="22"/>
          <w:szCs w:val="22"/>
          <w:lang w:val="pl"/>
        </w:rPr>
        <w:t>Art. 6 ust. 1 (aspekt cywilny) • Niezawisły i bezstronny sąd • Postępowanie dyscyplinarne przeciwko prokuratorowi, zakończone nałożeniem sankcji, wszczęte przez prezes</w:t>
      </w:r>
      <w:r w:rsidR="002E3D3B">
        <w:rPr>
          <w:sz w:val="22"/>
          <w:szCs w:val="22"/>
          <w:lang w:val="pl"/>
        </w:rPr>
        <w:t>a</w:t>
      </w:r>
      <w:r>
        <w:rPr>
          <w:sz w:val="22"/>
          <w:szCs w:val="22"/>
          <w:lang w:val="pl"/>
        </w:rPr>
        <w:t xml:space="preserve"> Sądu Kasacyjnego (SK) po przeprowadzeniu przez ni</w:t>
      </w:r>
      <w:r w:rsidR="002E3D3B">
        <w:rPr>
          <w:sz w:val="22"/>
          <w:szCs w:val="22"/>
          <w:lang w:val="pl"/>
        </w:rPr>
        <w:t>ego</w:t>
      </w:r>
      <w:r>
        <w:rPr>
          <w:sz w:val="22"/>
          <w:szCs w:val="22"/>
          <w:lang w:val="pl"/>
        </w:rPr>
        <w:t xml:space="preserve"> wstępnego postępowania wyjaśniającego oraz rozpatrzeniu wniosku skarżącej o wyłączenie prezes</w:t>
      </w:r>
      <w:r w:rsidR="002E3D3B">
        <w:rPr>
          <w:sz w:val="22"/>
          <w:szCs w:val="22"/>
          <w:lang w:val="pl"/>
        </w:rPr>
        <w:t>a</w:t>
      </w:r>
      <w:r>
        <w:rPr>
          <w:sz w:val="22"/>
          <w:szCs w:val="22"/>
          <w:lang w:val="pl"/>
        </w:rPr>
        <w:t xml:space="preserve"> SK z postępowania • Komisje dyscyplinarne SK spełni</w:t>
      </w:r>
      <w:r w:rsidR="009466CB">
        <w:rPr>
          <w:sz w:val="22"/>
          <w:szCs w:val="22"/>
          <w:lang w:val="pl"/>
        </w:rPr>
        <w:t>ły</w:t>
      </w:r>
      <w:r>
        <w:rPr>
          <w:sz w:val="22"/>
          <w:szCs w:val="22"/>
          <w:lang w:val="pl"/>
        </w:rPr>
        <w:t xml:space="preserve"> wymogi dotyczące „sądu” określone w art. 6 ust. 1 • Komisja dyscyplinarna nie uwzględniła wpływu na rzetelność postępowania oficjalnego komunikatu prasowego prezes</w:t>
      </w:r>
      <w:r w:rsidR="002E3D3B">
        <w:rPr>
          <w:sz w:val="22"/>
          <w:szCs w:val="22"/>
          <w:lang w:val="pl"/>
        </w:rPr>
        <w:t>a</w:t>
      </w:r>
      <w:r>
        <w:rPr>
          <w:sz w:val="22"/>
          <w:szCs w:val="22"/>
          <w:lang w:val="pl"/>
        </w:rPr>
        <w:t xml:space="preserve"> SK, wydanego w trakcie poufnego wstępnego postępowania wyjaśniającego, odnoszącego się do skarżącej i analizującego zasadność wniosku o wyłączenie • Oświadczenia prezes</w:t>
      </w:r>
      <w:r w:rsidR="002E3D3B">
        <w:rPr>
          <w:sz w:val="22"/>
          <w:szCs w:val="22"/>
          <w:lang w:val="pl"/>
        </w:rPr>
        <w:t>a</w:t>
      </w:r>
      <w:r>
        <w:rPr>
          <w:sz w:val="22"/>
          <w:szCs w:val="22"/>
          <w:lang w:val="pl"/>
        </w:rPr>
        <w:t xml:space="preserve"> SK są </w:t>
      </w:r>
      <w:r>
        <w:rPr>
          <w:i/>
          <w:iCs/>
          <w:sz w:val="22"/>
          <w:szCs w:val="22"/>
          <w:lang w:val="pl"/>
        </w:rPr>
        <w:t>ipso facto</w:t>
      </w:r>
      <w:r>
        <w:rPr>
          <w:sz w:val="22"/>
          <w:szCs w:val="22"/>
          <w:lang w:val="pl"/>
        </w:rPr>
        <w:t xml:space="preserve"> niezgodne z pojęciem „niezawisłego i</w:t>
      </w:r>
      <w:r w:rsidR="00CF7B21">
        <w:rPr>
          <w:sz w:val="22"/>
          <w:szCs w:val="22"/>
          <w:lang w:val="pl"/>
        </w:rPr>
        <w:t> </w:t>
      </w:r>
      <w:r>
        <w:rPr>
          <w:sz w:val="22"/>
          <w:szCs w:val="22"/>
          <w:lang w:val="pl"/>
        </w:rPr>
        <w:t>bezstronnego” sądu • Prezes SK, uosabiająca najwyższą władzę w sądach cywilnych i karnych oraz znana jako pełniąca w przeszłości tymczasowo obowiązki premiera, powinna była zachować ostrożność, aby nie sprawiać wrażenia wywierania wpływu na przebieg postępowania, zwłaszcza że prowadziła postępowanie dyscyplinarne przeciwko funkcjonariuszowi</w:t>
      </w:r>
      <w:r w:rsidR="00CF7B21">
        <w:rPr>
          <w:sz w:val="22"/>
          <w:szCs w:val="22"/>
          <w:lang w:val="pl"/>
        </w:rPr>
        <w:t xml:space="preserve"> </w:t>
      </w:r>
      <w:r>
        <w:rPr>
          <w:sz w:val="22"/>
          <w:szCs w:val="22"/>
          <w:lang w:val="pl"/>
        </w:rPr>
        <w:t>wymiaru sprawiedliwości • Nacisk na wyjątkowy kontekst sprawy • Brak obiektywnej bezstronności</w:t>
      </w:r>
    </w:p>
    <w:p w14:paraId="7F619B29" w14:textId="77777777" w:rsidR="00843F1A" w:rsidRPr="00CF7B21" w:rsidRDefault="00843F1A" w:rsidP="00843F1A">
      <w:pPr>
        <w:pStyle w:val="JuPara"/>
        <w:pBdr>
          <w:top w:val="single" w:sz="4" w:space="1" w:color="auto"/>
          <w:left w:val="single" w:sz="4" w:space="4" w:color="auto"/>
          <w:bottom w:val="single" w:sz="4" w:space="1" w:color="auto"/>
          <w:right w:val="single" w:sz="4" w:space="4" w:color="auto"/>
        </w:pBdr>
        <w:ind w:firstLine="0"/>
        <w:rPr>
          <w:sz w:val="22"/>
          <w:szCs w:val="22"/>
          <w:lang w:val="pl-PL"/>
        </w:rPr>
      </w:pPr>
    </w:p>
    <w:p w14:paraId="5E8A72C0" w14:textId="77777777" w:rsidR="00843F1A" w:rsidRPr="00CF7B21" w:rsidRDefault="00000000" w:rsidP="00843F1A">
      <w:pPr>
        <w:pStyle w:val="JuPara"/>
        <w:pBdr>
          <w:top w:val="single" w:sz="4" w:space="1" w:color="auto"/>
          <w:left w:val="single" w:sz="4" w:space="4" w:color="auto"/>
          <w:bottom w:val="single" w:sz="4" w:space="1" w:color="auto"/>
          <w:right w:val="single" w:sz="4" w:space="4" w:color="auto"/>
        </w:pBdr>
        <w:ind w:firstLine="0"/>
        <w:jc w:val="center"/>
        <w:rPr>
          <w:sz w:val="18"/>
          <w:szCs w:val="18"/>
          <w:lang w:val="pl-PL"/>
        </w:rPr>
      </w:pPr>
      <w:r>
        <w:rPr>
          <w:rFonts w:ascii="Times New Roman" w:hAnsi="Times New Roman" w:cs="Times New Roman"/>
          <w:color w:val="000000"/>
          <w:sz w:val="18"/>
          <w:szCs w:val="18"/>
          <w:lang w:val="pl"/>
        </w:rPr>
        <w:t>Dokument przygotowała Kancelaria. Nie jest wiążący dla Trybunału.</w:t>
      </w:r>
    </w:p>
    <w:p w14:paraId="00610E17" w14:textId="77777777" w:rsidR="00843F1A" w:rsidRPr="00CF7B21" w:rsidRDefault="00843F1A" w:rsidP="002F214A">
      <w:pPr>
        <w:pStyle w:val="DecHCase"/>
        <w:spacing w:after="0"/>
        <w:rPr>
          <w:lang w:val="pl-PL"/>
        </w:rPr>
      </w:pPr>
    </w:p>
    <w:p w14:paraId="26662FC5" w14:textId="77777777" w:rsidR="0098410D" w:rsidRPr="00CF7B21" w:rsidRDefault="00000000" w:rsidP="002F214A">
      <w:pPr>
        <w:pStyle w:val="DecHCase"/>
        <w:spacing w:after="200"/>
        <w:rPr>
          <w:lang w:val="pl-PL"/>
        </w:rPr>
      </w:pPr>
      <w:r>
        <w:rPr>
          <w:lang w:val="pl"/>
        </w:rPr>
        <w:t>STRASBURG</w:t>
      </w:r>
    </w:p>
    <w:p w14:paraId="394360E0" w14:textId="77777777" w:rsidR="0098410D" w:rsidRPr="00CF7B21" w:rsidRDefault="00000000" w:rsidP="002F214A">
      <w:pPr>
        <w:pStyle w:val="DecHCase"/>
        <w:spacing w:after="120"/>
        <w:rPr>
          <w:lang w:val="pl-PL"/>
        </w:rPr>
      </w:pPr>
      <w:r>
        <w:rPr>
          <w:rFonts w:ascii="Times New Roman" w:hAnsi="Times New Roman" w:cs="Times New Roman"/>
          <w:lang w:val="pl"/>
        </w:rPr>
        <w:t>14 października 2025 r.</w:t>
      </w:r>
    </w:p>
    <w:p w14:paraId="68E83E19" w14:textId="77777777" w:rsidR="00AC4CD4" w:rsidRPr="00CF7B21" w:rsidRDefault="00AC4CD4" w:rsidP="002F214A">
      <w:pPr>
        <w:pStyle w:val="JuPara"/>
        <w:spacing w:after="120"/>
        <w:rPr>
          <w:lang w:val="pl-PL"/>
        </w:rPr>
      </w:pPr>
    </w:p>
    <w:p w14:paraId="30A34549" w14:textId="77777777" w:rsidR="002F214A" w:rsidRPr="00CF7B21" w:rsidRDefault="00000000" w:rsidP="002F214A">
      <w:pPr>
        <w:pStyle w:val="jucase0"/>
        <w:ind w:firstLine="0"/>
        <w:jc w:val="center"/>
        <w:rPr>
          <w:color w:val="FF0000"/>
          <w:sz w:val="28"/>
          <w:szCs w:val="28"/>
          <w:u w:val="single"/>
          <w:lang w:val="pl-PL"/>
        </w:rPr>
      </w:pPr>
      <w:bookmarkStart w:id="0" w:name="_Hlk212559382"/>
      <w:r>
        <w:rPr>
          <w:color w:val="FF0000"/>
          <w:sz w:val="28"/>
          <w:szCs w:val="28"/>
          <w:u w:val="single"/>
          <w:lang w:val="pl"/>
        </w:rPr>
        <w:t>OSTATECZNY</w:t>
      </w:r>
    </w:p>
    <w:p w14:paraId="02A5D332" w14:textId="77777777" w:rsidR="002F214A" w:rsidRPr="00CF7B21" w:rsidRDefault="002F214A" w:rsidP="002F214A">
      <w:pPr>
        <w:pStyle w:val="jucase0"/>
        <w:ind w:firstLine="0"/>
        <w:jc w:val="center"/>
        <w:rPr>
          <w:b w:val="0"/>
          <w:bCs w:val="0"/>
          <w:color w:val="FF0000"/>
          <w:sz w:val="18"/>
          <w:szCs w:val="18"/>
          <w:u w:val="single"/>
          <w:lang w:val="pl-PL"/>
        </w:rPr>
      </w:pPr>
    </w:p>
    <w:p w14:paraId="2EA3D831" w14:textId="77777777" w:rsidR="002F214A" w:rsidRPr="00CF7B21" w:rsidRDefault="00000000" w:rsidP="002F214A">
      <w:pPr>
        <w:pStyle w:val="jucase0"/>
        <w:ind w:firstLine="0"/>
        <w:jc w:val="center"/>
        <w:rPr>
          <w:b w:val="0"/>
          <w:color w:val="FF0000"/>
          <w:sz w:val="28"/>
          <w:szCs w:val="28"/>
          <w:lang w:val="pl-PL"/>
        </w:rPr>
      </w:pPr>
      <w:r>
        <w:rPr>
          <w:b w:val="0"/>
          <w:bCs w:val="0"/>
          <w:color w:val="FF0000"/>
          <w:sz w:val="28"/>
          <w:szCs w:val="28"/>
          <w:lang w:val="pl"/>
        </w:rPr>
        <w:t>14/01/2026</w:t>
      </w:r>
    </w:p>
    <w:p w14:paraId="5EA99E07" w14:textId="77777777" w:rsidR="002F214A" w:rsidRPr="00CF7B21" w:rsidRDefault="002F214A" w:rsidP="002F214A">
      <w:pPr>
        <w:pStyle w:val="jupara0"/>
        <w:ind w:firstLine="0"/>
        <w:jc w:val="center"/>
        <w:rPr>
          <w:lang w:val="pl-PL"/>
        </w:rPr>
      </w:pPr>
    </w:p>
    <w:p w14:paraId="2C20554D" w14:textId="77777777" w:rsidR="002422B6" w:rsidRPr="00CF7B21" w:rsidRDefault="00000000" w:rsidP="002F214A">
      <w:pPr>
        <w:jc w:val="center"/>
        <w:rPr>
          <w:i/>
          <w:sz w:val="22"/>
          <w:lang w:val="pl-PL"/>
        </w:rPr>
      </w:pPr>
      <w:r>
        <w:rPr>
          <w:i/>
          <w:iCs/>
          <w:sz w:val="22"/>
          <w:szCs w:val="22"/>
          <w:lang w:val="pl"/>
        </w:rPr>
        <w:t xml:space="preserve">Wyrok stał się ostateczny na podstawie art. 44 ust. 2 Konwencji. </w:t>
      </w:r>
      <w:r>
        <w:rPr>
          <w:sz w:val="22"/>
          <w:szCs w:val="22"/>
          <w:lang w:val="pl"/>
        </w:rPr>
        <w:br/>
      </w:r>
      <w:r>
        <w:rPr>
          <w:i/>
          <w:iCs/>
          <w:sz w:val="22"/>
          <w:szCs w:val="22"/>
          <w:lang w:val="pl"/>
        </w:rPr>
        <w:t>Wyrok może podlegać korekcie wydawniczej.</w:t>
      </w:r>
      <w:bookmarkEnd w:id="0"/>
    </w:p>
    <w:p w14:paraId="6F752DE2" w14:textId="77777777" w:rsidR="0098410D" w:rsidRPr="00CF7B21" w:rsidRDefault="0098410D" w:rsidP="00843F1A">
      <w:pPr>
        <w:rPr>
          <w:lang w:val="pl-PL"/>
        </w:rPr>
        <w:sectPr w:rsidR="0098410D" w:rsidRPr="00CF7B21" w:rsidSect="00D66471">
          <w:headerReference w:type="default" r:id="rId8"/>
          <w:footerReference w:type="even" r:id="rId9"/>
          <w:footerReference w:type="default" r:id="rId10"/>
          <w:headerReference w:type="first" r:id="rId11"/>
          <w:footerReference w:type="first" r:id="rId12"/>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7D6E18CE" w14:textId="77777777" w:rsidR="0098410D" w:rsidRPr="00CF7B21" w:rsidRDefault="00000000" w:rsidP="00843F1A">
      <w:pPr>
        <w:pStyle w:val="JuCase"/>
        <w:rPr>
          <w:lang w:val="pl-PL"/>
        </w:rPr>
      </w:pPr>
      <w:r>
        <w:rPr>
          <w:bCs/>
          <w:lang w:val="pl"/>
        </w:rPr>
        <w:lastRenderedPageBreak/>
        <w:t xml:space="preserve">W sprawie </w:t>
      </w:r>
      <w:proofErr w:type="spellStart"/>
      <w:r>
        <w:rPr>
          <w:bCs/>
          <w:lang w:val="pl"/>
        </w:rPr>
        <w:t>Tsatani</w:t>
      </w:r>
      <w:proofErr w:type="spellEnd"/>
      <w:r>
        <w:rPr>
          <w:bCs/>
          <w:lang w:val="pl"/>
        </w:rPr>
        <w:t xml:space="preserve"> przeciwko Grecji</w:t>
      </w:r>
    </w:p>
    <w:p w14:paraId="03BA91A6" w14:textId="77777777" w:rsidR="009F4C8F" w:rsidRPr="00CF7B21" w:rsidRDefault="00000000" w:rsidP="00843F1A">
      <w:pPr>
        <w:pStyle w:val="JuPara"/>
        <w:rPr>
          <w:lang w:val="pl-PL"/>
        </w:rPr>
      </w:pPr>
      <w:r>
        <w:rPr>
          <w:lang w:val="pl"/>
        </w:rPr>
        <w:t>Europejski Trybunał Praw Człowieka (Sekcja Trzecia), zasiadając jako Izba w składzie:</w:t>
      </w:r>
    </w:p>
    <w:p w14:paraId="277235B1" w14:textId="77777777" w:rsidR="00A92625" w:rsidRPr="00CF7B21" w:rsidRDefault="00000000" w:rsidP="00843F1A">
      <w:pPr>
        <w:pStyle w:val="JuJudges"/>
        <w:rPr>
          <w:lang w:val="pl"/>
        </w:rPr>
      </w:pPr>
      <w:r>
        <w:rPr>
          <w:lang w:val="pl"/>
        </w:rPr>
        <w:tab/>
      </w:r>
      <w:proofErr w:type="spellStart"/>
      <w:r>
        <w:rPr>
          <w:lang w:val="pl"/>
        </w:rPr>
        <w:t>Peeter</w:t>
      </w:r>
      <w:proofErr w:type="spellEnd"/>
      <w:r>
        <w:rPr>
          <w:lang w:val="pl"/>
        </w:rPr>
        <w:t xml:space="preserve"> </w:t>
      </w:r>
      <w:proofErr w:type="spellStart"/>
      <w:r>
        <w:rPr>
          <w:lang w:val="pl"/>
        </w:rPr>
        <w:t>Roosma</w:t>
      </w:r>
      <w:proofErr w:type="spellEnd"/>
      <w:r>
        <w:rPr>
          <w:i/>
          <w:iCs/>
          <w:lang w:val="pl"/>
        </w:rPr>
        <w:t>, Przewodniczący</w:t>
      </w:r>
      <w:r>
        <w:rPr>
          <w:lang w:val="pl"/>
        </w:rPr>
        <w:t>,</w:t>
      </w:r>
      <w:r>
        <w:rPr>
          <w:lang w:val="pl"/>
        </w:rPr>
        <w:br/>
      </w:r>
      <w:r>
        <w:rPr>
          <w:lang w:val="pl"/>
        </w:rPr>
        <w:tab/>
      </w:r>
      <w:proofErr w:type="spellStart"/>
      <w:r>
        <w:rPr>
          <w:lang w:val="pl"/>
        </w:rPr>
        <w:t>Ioannis</w:t>
      </w:r>
      <w:proofErr w:type="spellEnd"/>
      <w:r>
        <w:rPr>
          <w:lang w:val="pl"/>
        </w:rPr>
        <w:t xml:space="preserve"> </w:t>
      </w:r>
      <w:proofErr w:type="spellStart"/>
      <w:r>
        <w:rPr>
          <w:lang w:val="pl"/>
        </w:rPr>
        <w:t>Ktistakis</w:t>
      </w:r>
      <w:proofErr w:type="spellEnd"/>
      <w:r>
        <w:rPr>
          <w:lang w:val="pl"/>
        </w:rPr>
        <w:t>,</w:t>
      </w:r>
      <w:r>
        <w:rPr>
          <w:lang w:val="pl"/>
        </w:rPr>
        <w:br/>
      </w:r>
      <w:r>
        <w:rPr>
          <w:lang w:val="pl"/>
        </w:rPr>
        <w:tab/>
      </w:r>
      <w:proofErr w:type="spellStart"/>
      <w:r>
        <w:rPr>
          <w:lang w:val="pl"/>
        </w:rPr>
        <w:t>Darian</w:t>
      </w:r>
      <w:proofErr w:type="spellEnd"/>
      <w:r>
        <w:rPr>
          <w:lang w:val="pl"/>
        </w:rPr>
        <w:t xml:space="preserve"> Pavli,</w:t>
      </w:r>
      <w:r>
        <w:rPr>
          <w:lang w:val="pl"/>
        </w:rPr>
        <w:br/>
      </w:r>
      <w:r>
        <w:rPr>
          <w:lang w:val="pl"/>
        </w:rPr>
        <w:tab/>
        <w:t xml:space="preserve">Diana </w:t>
      </w:r>
      <w:proofErr w:type="spellStart"/>
      <w:r>
        <w:rPr>
          <w:lang w:val="pl"/>
        </w:rPr>
        <w:t>Kovatcheva</w:t>
      </w:r>
      <w:proofErr w:type="spellEnd"/>
      <w:r>
        <w:rPr>
          <w:lang w:val="pl"/>
        </w:rPr>
        <w:t>,</w:t>
      </w:r>
      <w:r>
        <w:rPr>
          <w:lang w:val="pl"/>
        </w:rPr>
        <w:br/>
      </w:r>
      <w:r>
        <w:rPr>
          <w:lang w:val="pl"/>
        </w:rPr>
        <w:tab/>
      </w:r>
      <w:proofErr w:type="spellStart"/>
      <w:r>
        <w:rPr>
          <w:lang w:val="pl"/>
        </w:rPr>
        <w:t>Úna</w:t>
      </w:r>
      <w:proofErr w:type="spellEnd"/>
      <w:r>
        <w:rPr>
          <w:lang w:val="pl"/>
        </w:rPr>
        <w:t xml:space="preserve"> </w:t>
      </w:r>
      <w:proofErr w:type="spellStart"/>
      <w:r>
        <w:rPr>
          <w:lang w:val="pl"/>
        </w:rPr>
        <w:t>Ní</w:t>
      </w:r>
      <w:proofErr w:type="spellEnd"/>
      <w:r>
        <w:rPr>
          <w:lang w:val="pl"/>
        </w:rPr>
        <w:t xml:space="preserve"> </w:t>
      </w:r>
      <w:proofErr w:type="spellStart"/>
      <w:r>
        <w:rPr>
          <w:lang w:val="pl"/>
        </w:rPr>
        <w:t>Raifeartaigh</w:t>
      </w:r>
      <w:proofErr w:type="spellEnd"/>
      <w:r>
        <w:rPr>
          <w:lang w:val="pl"/>
        </w:rPr>
        <w:t>,</w:t>
      </w:r>
      <w:r>
        <w:rPr>
          <w:lang w:val="pl"/>
        </w:rPr>
        <w:br/>
      </w:r>
      <w:r>
        <w:rPr>
          <w:lang w:val="pl"/>
        </w:rPr>
        <w:tab/>
      </w:r>
      <w:proofErr w:type="spellStart"/>
      <w:r>
        <w:rPr>
          <w:lang w:val="pl"/>
        </w:rPr>
        <w:t>Canòlic</w:t>
      </w:r>
      <w:proofErr w:type="spellEnd"/>
      <w:r>
        <w:rPr>
          <w:lang w:val="pl"/>
        </w:rPr>
        <w:t xml:space="preserve"> </w:t>
      </w:r>
      <w:proofErr w:type="spellStart"/>
      <w:r>
        <w:rPr>
          <w:lang w:val="pl"/>
        </w:rPr>
        <w:t>Mingorance</w:t>
      </w:r>
      <w:proofErr w:type="spellEnd"/>
      <w:r>
        <w:rPr>
          <w:lang w:val="pl"/>
        </w:rPr>
        <w:t xml:space="preserve"> </w:t>
      </w:r>
      <w:proofErr w:type="spellStart"/>
      <w:r>
        <w:rPr>
          <w:lang w:val="pl"/>
        </w:rPr>
        <w:t>Cairat</w:t>
      </w:r>
      <w:proofErr w:type="spellEnd"/>
      <w:r>
        <w:rPr>
          <w:lang w:val="pl"/>
        </w:rPr>
        <w:t>,</w:t>
      </w:r>
      <w:r>
        <w:rPr>
          <w:lang w:val="pl"/>
        </w:rPr>
        <w:br/>
      </w:r>
      <w:r>
        <w:rPr>
          <w:lang w:val="pl"/>
        </w:rPr>
        <w:tab/>
      </w:r>
      <w:proofErr w:type="spellStart"/>
      <w:r>
        <w:rPr>
          <w:lang w:val="pl"/>
        </w:rPr>
        <w:t>Vasilka</w:t>
      </w:r>
      <w:proofErr w:type="spellEnd"/>
      <w:r>
        <w:rPr>
          <w:lang w:val="pl"/>
        </w:rPr>
        <w:t xml:space="preserve"> </w:t>
      </w:r>
      <w:proofErr w:type="spellStart"/>
      <w:r>
        <w:rPr>
          <w:lang w:val="pl"/>
        </w:rPr>
        <w:t>Sancin</w:t>
      </w:r>
      <w:proofErr w:type="spellEnd"/>
      <w:r>
        <w:rPr>
          <w:i/>
          <w:iCs/>
          <w:lang w:val="pl"/>
        </w:rPr>
        <w:t>, sędziowie</w:t>
      </w:r>
      <w:r>
        <w:rPr>
          <w:lang w:val="pl"/>
        </w:rPr>
        <w:t>,</w:t>
      </w:r>
      <w:r>
        <w:rPr>
          <w:lang w:val="pl"/>
        </w:rPr>
        <w:br/>
        <w:t xml:space="preserve">i Olga </w:t>
      </w:r>
      <w:proofErr w:type="spellStart"/>
      <w:r>
        <w:rPr>
          <w:lang w:val="pl"/>
        </w:rPr>
        <w:t>Chernishova</w:t>
      </w:r>
      <w:proofErr w:type="spellEnd"/>
      <w:r>
        <w:rPr>
          <w:lang w:val="pl"/>
        </w:rPr>
        <w:t xml:space="preserve">, </w:t>
      </w:r>
      <w:r>
        <w:rPr>
          <w:i/>
          <w:iCs/>
          <w:lang w:val="pl"/>
        </w:rPr>
        <w:t>Zastępca Kanclerza Sekcji,</w:t>
      </w:r>
    </w:p>
    <w:p w14:paraId="63829D77" w14:textId="77777777" w:rsidR="00FB1A8A" w:rsidRPr="00CF7B21" w:rsidRDefault="00000000" w:rsidP="00843F1A">
      <w:pPr>
        <w:pStyle w:val="JuPara"/>
        <w:rPr>
          <w:lang w:val="pl-PL"/>
        </w:rPr>
      </w:pPr>
      <w:r>
        <w:rPr>
          <w:lang w:val="pl"/>
        </w:rPr>
        <w:t>mając na uwadze:</w:t>
      </w:r>
    </w:p>
    <w:p w14:paraId="24DFDA17" w14:textId="77777777" w:rsidR="00FB1A8A" w:rsidRPr="00CF7B21" w:rsidRDefault="00000000" w:rsidP="00843F1A">
      <w:pPr>
        <w:pStyle w:val="JuPara"/>
        <w:rPr>
          <w:lang w:val="pl-PL"/>
        </w:rPr>
      </w:pPr>
      <w:r>
        <w:rPr>
          <w:lang w:val="pl"/>
        </w:rPr>
        <w:t xml:space="preserve">skargę (nr 42514/16) przeciwko Republice Greckiej wniesioną do Trybunału w dniu 20 lipca 2016 r. na podstawie art. 34 Konwencji o ochronie praw człowieka i podstawowych wolności („Konwencja”) przez obywatelkę grecką, Georgię </w:t>
      </w:r>
      <w:proofErr w:type="spellStart"/>
      <w:r>
        <w:rPr>
          <w:lang w:val="pl"/>
        </w:rPr>
        <w:t>Tsatani</w:t>
      </w:r>
      <w:proofErr w:type="spellEnd"/>
      <w:r>
        <w:rPr>
          <w:lang w:val="pl"/>
        </w:rPr>
        <w:t xml:space="preserve"> („skarżąca”);</w:t>
      </w:r>
    </w:p>
    <w:p w14:paraId="3ABE617F" w14:textId="249B39B2" w:rsidR="00FB1A8A" w:rsidRPr="00CF7B21" w:rsidRDefault="00000000" w:rsidP="00843F1A">
      <w:pPr>
        <w:pStyle w:val="JuPara"/>
        <w:rPr>
          <w:lang w:val="pl-PL"/>
        </w:rPr>
      </w:pPr>
      <w:r>
        <w:rPr>
          <w:lang w:val="pl"/>
        </w:rPr>
        <w:t xml:space="preserve">decyzję o </w:t>
      </w:r>
      <w:r w:rsidR="002C2BBA">
        <w:rPr>
          <w:lang w:val="pl"/>
        </w:rPr>
        <w:t xml:space="preserve">zakomunikowaniu </w:t>
      </w:r>
      <w:r>
        <w:rPr>
          <w:lang w:val="pl"/>
        </w:rPr>
        <w:t>Rząd</w:t>
      </w:r>
      <w:r w:rsidR="002C2BBA">
        <w:rPr>
          <w:lang w:val="pl"/>
        </w:rPr>
        <w:t>owi</w:t>
      </w:r>
      <w:r>
        <w:rPr>
          <w:lang w:val="pl"/>
        </w:rPr>
        <w:t xml:space="preserve"> Grecji („Rząd”) o skardze dotyczącej art. 6 ust. 1 Konwencji i uznaniu pozostałej część skargi za niedopuszczalną;</w:t>
      </w:r>
    </w:p>
    <w:p w14:paraId="34AF275E" w14:textId="77777777" w:rsidR="00FB1A8A" w:rsidRPr="00CF7B21" w:rsidRDefault="00000000" w:rsidP="00843F1A">
      <w:pPr>
        <w:pStyle w:val="JuPara"/>
        <w:rPr>
          <w:lang w:val="pl-PL"/>
        </w:rPr>
      </w:pPr>
      <w:r>
        <w:rPr>
          <w:lang w:val="pl"/>
        </w:rPr>
        <w:t>uwagi stron;</w:t>
      </w:r>
    </w:p>
    <w:p w14:paraId="3E862002" w14:textId="77777777" w:rsidR="00FB1A8A" w:rsidRPr="00CF7B21" w:rsidRDefault="00000000" w:rsidP="00843F1A">
      <w:pPr>
        <w:pStyle w:val="JuPara"/>
        <w:rPr>
          <w:rFonts w:asciiTheme="majorHAnsi" w:hAnsiTheme="majorHAnsi" w:cstheme="majorHAnsi"/>
          <w:lang w:val="pl-PL"/>
        </w:rPr>
      </w:pPr>
      <w:r>
        <w:rPr>
          <w:rFonts w:asciiTheme="majorHAnsi" w:hAnsiTheme="majorHAnsi" w:cstheme="majorHAnsi"/>
          <w:lang w:val="pl"/>
        </w:rPr>
        <w:t>decyzję o uznaniu za poufne dokumentów złożonych w Kancelarii jako załączniki do uwag Rządu (art. 33 Regulaminu Trybunału);</w:t>
      </w:r>
    </w:p>
    <w:p w14:paraId="3A86C4EB" w14:textId="77777777" w:rsidR="009F4C8F" w:rsidRPr="00CF7B21" w:rsidRDefault="00000000" w:rsidP="00843F1A">
      <w:pPr>
        <w:pStyle w:val="JuPara"/>
        <w:rPr>
          <w:lang w:val="pl-PL"/>
        </w:rPr>
      </w:pPr>
      <w:r>
        <w:rPr>
          <w:lang w:val="pl"/>
        </w:rPr>
        <w:t>obradując na posiedzeniu niejawnym w dniach 8 lipca i 16 września 2025 r.,</w:t>
      </w:r>
    </w:p>
    <w:p w14:paraId="5F3D3D31" w14:textId="77777777" w:rsidR="009F4C8F" w:rsidRPr="00CF7B21" w:rsidRDefault="00000000" w:rsidP="00843F1A">
      <w:pPr>
        <w:pStyle w:val="JuPara"/>
        <w:rPr>
          <w:lang w:val="pl-PL"/>
        </w:rPr>
      </w:pPr>
      <w:r>
        <w:rPr>
          <w:lang w:val="pl"/>
        </w:rPr>
        <w:t>wydaje następujący wyrok, który został przyjęty w ostatnim z wyżej wymienionych dni:</w:t>
      </w:r>
    </w:p>
    <w:p w14:paraId="4B616820" w14:textId="77777777" w:rsidR="00FB1A8A" w:rsidRPr="00CF7B21" w:rsidRDefault="00000000" w:rsidP="00843F1A">
      <w:pPr>
        <w:pStyle w:val="JuHHead"/>
        <w:numPr>
          <w:ilvl w:val="0"/>
          <w:numId w:val="0"/>
        </w:numPr>
        <w:rPr>
          <w:lang w:val="pl-PL"/>
        </w:rPr>
      </w:pPr>
      <w:r>
        <w:rPr>
          <w:bCs w:val="0"/>
          <w:lang w:val="pl"/>
        </w:rPr>
        <w:t>WPROWADZENIE</w:t>
      </w:r>
    </w:p>
    <w:p w14:paraId="72E47FF8" w14:textId="4858FE32"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1</w:t>
      </w:r>
      <w:r>
        <w:rPr>
          <w:noProof/>
          <w:lang w:val="pl"/>
        </w:rPr>
        <w:fldChar w:fldCharType="end"/>
      </w:r>
      <w:r>
        <w:rPr>
          <w:lang w:val="pl"/>
        </w:rPr>
        <w:t>.  Sprawa dotyczy postępowania dyscyplinarnego wszczętego przeciwko skarżącej, która jest prokuratorem. Skarżąca podniosła, że nie została wysłuchana przez bezstronny sąd, co stanowi naruszenie art. 6 ust. 1 Konwencji, ponieważ prezes Sądu Kasacyjnego (zwanego dalej również „SK”), która prowadziła wstępne postępowanie wyjaśniające, osobiście rozpatrzyła wniosek o wyłączenie złożony przez skarżącą przeciwko niej, a</w:t>
      </w:r>
      <w:r w:rsidR="00CF7B21">
        <w:rPr>
          <w:lang w:val="pl"/>
        </w:rPr>
        <w:t> </w:t>
      </w:r>
      <w:r>
        <w:rPr>
          <w:lang w:val="pl"/>
        </w:rPr>
        <w:t>następnie wszczęła przeciwko skarżącej postępowanie dyscyplinarne.</w:t>
      </w:r>
    </w:p>
    <w:p w14:paraId="430E3FF5" w14:textId="77777777" w:rsidR="00FB1A8A" w:rsidRPr="00843F1A" w:rsidRDefault="00000000" w:rsidP="00843F1A">
      <w:pPr>
        <w:pStyle w:val="JuHHead"/>
      </w:pPr>
      <w:r>
        <w:rPr>
          <w:bCs w:val="0"/>
          <w:lang w:val="pl"/>
        </w:rPr>
        <w:t>FAKTY</w:t>
      </w:r>
    </w:p>
    <w:p w14:paraId="14B88561" w14:textId="72011DC1"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2</w:t>
      </w:r>
      <w:r>
        <w:rPr>
          <w:noProof/>
          <w:lang w:val="pl"/>
        </w:rPr>
        <w:fldChar w:fldCharType="end"/>
      </w:r>
      <w:r>
        <w:rPr>
          <w:lang w:val="pl"/>
        </w:rPr>
        <w:t xml:space="preserve">.  Skarżąca urodziła się w 1952 r. i mieszka w Atenach. Skarżącą reprezentował T. </w:t>
      </w:r>
      <w:proofErr w:type="spellStart"/>
      <w:r>
        <w:rPr>
          <w:lang w:val="pl"/>
        </w:rPr>
        <w:t>Sofos</w:t>
      </w:r>
      <w:proofErr w:type="spellEnd"/>
      <w:r>
        <w:rPr>
          <w:lang w:val="pl"/>
        </w:rPr>
        <w:t>, prawnik prowadzący praktykę w Atenach.</w:t>
      </w:r>
    </w:p>
    <w:p w14:paraId="05E198E2" w14:textId="2FDF68E1"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3</w:t>
      </w:r>
      <w:r>
        <w:rPr>
          <w:noProof/>
          <w:lang w:val="pl"/>
        </w:rPr>
        <w:fldChar w:fldCharType="end"/>
      </w:r>
      <w:r>
        <w:rPr>
          <w:lang w:val="pl"/>
        </w:rPr>
        <w:t xml:space="preserve">.  Rząd reprezentowała jego pełnomocniczka, N. </w:t>
      </w:r>
      <w:proofErr w:type="gramStart"/>
      <w:r>
        <w:rPr>
          <w:lang w:val="pl"/>
        </w:rPr>
        <w:t>Marioli,</w:t>
      </w:r>
      <w:proofErr w:type="gramEnd"/>
      <w:r>
        <w:rPr>
          <w:lang w:val="pl"/>
        </w:rPr>
        <w:t xml:space="preserve"> oraz przedstawicielka pełnomocniczki, O. </w:t>
      </w:r>
      <w:proofErr w:type="spellStart"/>
      <w:r>
        <w:rPr>
          <w:lang w:val="pl"/>
        </w:rPr>
        <w:t>Patsopoulou</w:t>
      </w:r>
      <w:proofErr w:type="spellEnd"/>
      <w:r>
        <w:rPr>
          <w:lang w:val="pl"/>
        </w:rPr>
        <w:t xml:space="preserve"> – doradczyni Rady Prawnej Państwa.</w:t>
      </w:r>
    </w:p>
    <w:p w14:paraId="3AB2C3E2" w14:textId="77777777" w:rsidR="00FB1A8A" w:rsidRPr="00CF7B21" w:rsidRDefault="00FB1A8A" w:rsidP="00843F1A">
      <w:pPr>
        <w:pStyle w:val="JuPara"/>
        <w:rPr>
          <w:lang w:val="pl-PL"/>
        </w:rPr>
      </w:pPr>
      <w:r>
        <w:lastRenderedPageBreak/>
        <w:fldChar w:fldCharType="begin"/>
      </w:r>
      <w:r w:rsidRPr="00CF7B21">
        <w:rPr>
          <w:lang w:val="pl-PL"/>
        </w:rPr>
        <w:instrText xml:space="preserve"> SEQ level0 \*arabic \* MERGEFORMAT </w:instrText>
      </w:r>
      <w:r>
        <w:fldChar w:fldCharType="separate"/>
      </w:r>
      <w:r>
        <w:rPr>
          <w:noProof/>
          <w:lang w:val="pl"/>
        </w:rPr>
        <w:t>4</w:t>
      </w:r>
      <w:r>
        <w:rPr>
          <w:noProof/>
          <w:lang w:val="pl"/>
        </w:rPr>
        <w:fldChar w:fldCharType="end"/>
      </w:r>
      <w:r>
        <w:rPr>
          <w:lang w:val="pl"/>
        </w:rPr>
        <w:t>.  Stan faktyczny sprawy można streścić w poniższy sposób.</w:t>
      </w:r>
    </w:p>
    <w:p w14:paraId="77118E43" w14:textId="77777777" w:rsidR="00FB1A8A" w:rsidRPr="00843F1A" w:rsidRDefault="00000000" w:rsidP="00843F1A">
      <w:pPr>
        <w:pStyle w:val="JuHIRoman"/>
      </w:pPr>
      <w:r>
        <w:rPr>
          <w:bCs w:val="0"/>
          <w:lang w:val="pl"/>
        </w:rPr>
        <w:t>POSTĘPOWANIE DYSCYPLINARNE</w:t>
      </w:r>
    </w:p>
    <w:p w14:paraId="778BA662" w14:textId="77777777" w:rsidR="00FB1A8A" w:rsidRPr="00843F1A" w:rsidRDefault="00000000" w:rsidP="00843F1A">
      <w:pPr>
        <w:pStyle w:val="JuHA"/>
      </w:pPr>
      <w:r>
        <w:rPr>
          <w:lang w:val="pl"/>
        </w:rPr>
        <w:t>Wstępne postępowanie wyjaśniające</w:t>
      </w:r>
    </w:p>
    <w:bookmarkStart w:id="1" w:name="CYofficials"/>
    <w:p w14:paraId="437AFC28" w14:textId="3F9755C7"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w:t>
      </w:r>
      <w:r>
        <w:rPr>
          <w:lang w:val="pl"/>
        </w:rPr>
        <w:fldChar w:fldCharType="end"/>
      </w:r>
      <w:bookmarkEnd w:id="1"/>
      <w:r>
        <w:rPr>
          <w:lang w:val="pl"/>
        </w:rPr>
        <w:t xml:space="preserve">.  23 marca 2016 r. V.T., pełniąca wówczas funkcję prezesa SK, poinformowała skarżącą, pełniącą wówczas funkcję prokuratora przy Sądzie Apelacyjnym w Atenach, że wszczęła przeciwko niej wstępne postępowanie dyscyplinarne. V.T. podjęła działanie na podstawie pism cypryjskiego </w:t>
      </w:r>
      <w:r w:rsidR="00654D3A">
        <w:rPr>
          <w:lang w:val="pl"/>
        </w:rPr>
        <w:t>M</w:t>
      </w:r>
      <w:r>
        <w:rPr>
          <w:lang w:val="pl"/>
        </w:rPr>
        <w:t xml:space="preserve">inistra </w:t>
      </w:r>
      <w:r w:rsidR="00654D3A">
        <w:rPr>
          <w:lang w:val="pl"/>
        </w:rPr>
        <w:t>S</w:t>
      </w:r>
      <w:r>
        <w:rPr>
          <w:lang w:val="pl"/>
        </w:rPr>
        <w:t xml:space="preserve">prawiedliwości i </w:t>
      </w:r>
      <w:r w:rsidR="00654D3A">
        <w:rPr>
          <w:lang w:val="pl"/>
        </w:rPr>
        <w:t>P</w:t>
      </w:r>
      <w:r>
        <w:rPr>
          <w:lang w:val="pl"/>
        </w:rPr>
        <w:t xml:space="preserve">rokuratora </w:t>
      </w:r>
      <w:r w:rsidR="00654D3A">
        <w:rPr>
          <w:lang w:val="pl"/>
        </w:rPr>
        <w:t>G</w:t>
      </w:r>
      <w:r>
        <w:rPr>
          <w:lang w:val="pl"/>
        </w:rPr>
        <w:t>eneralnego – obydwa z</w:t>
      </w:r>
      <w:r w:rsidR="00CF7B21">
        <w:rPr>
          <w:lang w:val="pl"/>
        </w:rPr>
        <w:t> </w:t>
      </w:r>
      <w:r>
        <w:rPr>
          <w:lang w:val="pl"/>
        </w:rPr>
        <w:t>dnia</w:t>
      </w:r>
      <w:r w:rsidR="00CF7B21">
        <w:rPr>
          <w:lang w:val="pl"/>
        </w:rPr>
        <w:t> </w:t>
      </w:r>
      <w:r>
        <w:rPr>
          <w:lang w:val="pl"/>
        </w:rPr>
        <w:t>24</w:t>
      </w:r>
      <w:r w:rsidR="00CF7B21">
        <w:rPr>
          <w:lang w:val="pl"/>
        </w:rPr>
        <w:t> </w:t>
      </w:r>
      <w:r>
        <w:rPr>
          <w:lang w:val="pl"/>
        </w:rPr>
        <w:t xml:space="preserve">lutego 2016 r. – w których urzędnicy ci wyrazili zaniepokojenie decyzją skarżącej o zamknięciu </w:t>
      </w:r>
      <w:r w:rsidR="00F52F2D">
        <w:rPr>
          <w:lang w:val="pl"/>
        </w:rPr>
        <w:t xml:space="preserve">wstępnego </w:t>
      </w:r>
      <w:r>
        <w:rPr>
          <w:lang w:val="pl"/>
        </w:rPr>
        <w:t>postępowania przygotowawczego w sprawie karnej dotyczącej oszustwa – o sprawie informowały media i były w nią zamieszane osoby z Grecji i Cypru. V.T. przekazała skarżącej materiały dowodowe zebrane w ramach postępowania wyjaśniającego (zeznania świadków i dokumenty) oraz raporty sporządzone przez cypryjskich urzędników, a także wezwała skarżącą do przedłożenia pisemnego stanowiska w terminie dziesięciu dni.</w:t>
      </w:r>
    </w:p>
    <w:bookmarkStart w:id="2" w:name="CCProsecutorReport"/>
    <w:p w14:paraId="60285C6D" w14:textId="5F0B4F59"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w:t>
      </w:r>
      <w:r>
        <w:rPr>
          <w:lang w:val="pl"/>
        </w:rPr>
        <w:fldChar w:fldCharType="end"/>
      </w:r>
      <w:bookmarkEnd w:id="2"/>
      <w:r>
        <w:rPr>
          <w:lang w:val="pl"/>
        </w:rPr>
        <w:t>.  W dniu 30 marca 2016 r. skarżąca przedłożyła swoje stanowisko prokuratorowi w SK. Zwracając uwagę, że toczy się wobec niej wstępne postępowanie wyjaśniające prowadzone przez V.T., twierdziła, że wyłączną kompetencję w tej kwestii ma prokurator SK, i zwróciła się do tego ostatniego o wszczęcie postępowania wyjaśniającego. Skarżąca zarzuciła również, że D.P., wiceminister sprawiedliwości, nawiązał w przemówieniu wygłoszonym przed parlamentem 29 marca 2016 r. do tocząc</w:t>
      </w:r>
      <w:r w:rsidR="00654D3A">
        <w:rPr>
          <w:lang w:val="pl"/>
        </w:rPr>
        <w:t>ych</w:t>
      </w:r>
      <w:r>
        <w:rPr>
          <w:lang w:val="pl"/>
        </w:rPr>
        <w:t xml:space="preserve"> się przeciwko niej postępowa</w:t>
      </w:r>
      <w:r w:rsidR="00654D3A">
        <w:rPr>
          <w:lang w:val="pl"/>
        </w:rPr>
        <w:t>ń</w:t>
      </w:r>
      <w:r>
        <w:rPr>
          <w:lang w:val="pl"/>
        </w:rPr>
        <w:t xml:space="preserve"> wyjaśniając</w:t>
      </w:r>
      <w:r w:rsidR="00654D3A">
        <w:rPr>
          <w:lang w:val="pl"/>
        </w:rPr>
        <w:t>ych</w:t>
      </w:r>
      <w:r>
        <w:rPr>
          <w:lang w:val="pl"/>
        </w:rPr>
        <w:t>, mimo że miał</w:t>
      </w:r>
      <w:r w:rsidR="00654D3A">
        <w:rPr>
          <w:lang w:val="pl"/>
        </w:rPr>
        <w:t>y</w:t>
      </w:r>
      <w:r>
        <w:rPr>
          <w:lang w:val="pl"/>
        </w:rPr>
        <w:t xml:space="preserve"> on</w:t>
      </w:r>
      <w:r w:rsidR="00654D3A">
        <w:rPr>
          <w:lang w:val="pl"/>
        </w:rPr>
        <w:t>e</w:t>
      </w:r>
      <w:r>
        <w:rPr>
          <w:lang w:val="pl"/>
        </w:rPr>
        <w:t xml:space="preserve"> charakter poufny. Skarżąca zwróciła się do prokuratora SK o wszczęcie postępowania wyjaśniającego.</w:t>
      </w:r>
    </w:p>
    <w:p w14:paraId="076EAFE5" w14:textId="5682A257"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7</w:t>
      </w:r>
      <w:r>
        <w:rPr>
          <w:noProof/>
          <w:lang w:val="pl"/>
        </w:rPr>
        <w:fldChar w:fldCharType="end"/>
      </w:r>
      <w:r>
        <w:rPr>
          <w:lang w:val="pl"/>
        </w:rPr>
        <w:t>.  1 kwietnia 2016 r. skarżąca udzieliła odpowiedzi V.T. Zarzuciła, że nie wezwano jej do złożenia ustnych wyjaśnień oraz że V.T. nie wskazała w</w:t>
      </w:r>
      <w:r w:rsidR="00CF7B21">
        <w:rPr>
          <w:lang w:val="pl"/>
        </w:rPr>
        <w:t> </w:t>
      </w:r>
      <w:r>
        <w:rPr>
          <w:lang w:val="pl"/>
        </w:rPr>
        <w:t>sposób jasny czynów, stanowiących przedmiotowe wykroczenie dyscyplinarne, które miała popełnić skarżąca.</w:t>
      </w:r>
    </w:p>
    <w:p w14:paraId="3C5EA60E" w14:textId="77777777"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8</w:t>
      </w:r>
      <w:r>
        <w:rPr>
          <w:noProof/>
          <w:lang w:val="pl"/>
        </w:rPr>
        <w:fldChar w:fldCharType="end"/>
      </w:r>
      <w:r>
        <w:rPr>
          <w:lang w:val="pl"/>
        </w:rPr>
        <w:t>.  4 kwietnia 2016 r. V.T. poinformowała skarżącą, że w celu uniknięcia nieporozumień i przyspieszenia postępowania załącza szczegółowe oświadczenie określające przedmiotowe czyny, oraz wezwała skarżącą do przedstawienia pisemnego i ustnego stanowiska w nowym terminie dziesięciu dni.</w:t>
      </w:r>
    </w:p>
    <w:p w14:paraId="161533F7" w14:textId="77777777" w:rsidR="00FB1A8A" w:rsidRPr="00CF7B21" w:rsidRDefault="00000000" w:rsidP="00843F1A">
      <w:pPr>
        <w:pStyle w:val="JuHA"/>
        <w:rPr>
          <w:lang w:val="pl-PL"/>
        </w:rPr>
      </w:pPr>
      <w:r>
        <w:rPr>
          <w:lang w:val="pl"/>
        </w:rPr>
        <w:t>Wniosek o wyłączenie złożony przez skarżącą</w:t>
      </w:r>
    </w:p>
    <w:bookmarkStart w:id="3" w:name="recusalrequest1"/>
    <w:p w14:paraId="46774C25" w14:textId="68B46827"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9</w:t>
      </w:r>
      <w:r>
        <w:rPr>
          <w:lang w:val="pl"/>
        </w:rPr>
        <w:fldChar w:fldCharType="end"/>
      </w:r>
      <w:bookmarkEnd w:id="3"/>
      <w:r>
        <w:rPr>
          <w:lang w:val="pl"/>
        </w:rPr>
        <w:t xml:space="preserve">.  4 kwietnia 2016 r. skarżąca złożyła pisemną odpowiedź na zarzuty V.T. Złożyła również wniosek o wyłączenie V.T., twierdząc, że osoba ta była wcześniej zaangażowana w sprawę i w związku z tym nie może zachować </w:t>
      </w:r>
      <w:r>
        <w:rPr>
          <w:lang w:val="pl"/>
        </w:rPr>
        <w:lastRenderedPageBreak/>
        <w:t xml:space="preserve">bezstronności. W szczególności ze względu na to, że wcześniej, we wrześniu 2015 r., V.T. tymczasowo pełniła obowiązki premiera, </w:t>
      </w:r>
      <w:r w:rsidR="00123A3B">
        <w:rPr>
          <w:lang w:val="pl"/>
        </w:rPr>
        <w:t>pozosta</w:t>
      </w:r>
      <w:r w:rsidR="00E27F6F">
        <w:rPr>
          <w:lang w:val="pl"/>
        </w:rPr>
        <w:t>jąc</w:t>
      </w:r>
      <w:r>
        <w:rPr>
          <w:lang w:val="pl"/>
        </w:rPr>
        <w:t xml:space="preserve"> z</w:t>
      </w:r>
      <w:r w:rsidR="00CF7B21">
        <w:rPr>
          <w:lang w:val="pl"/>
        </w:rPr>
        <w:t> </w:t>
      </w:r>
      <w:r>
        <w:rPr>
          <w:lang w:val="pl"/>
        </w:rPr>
        <w:t xml:space="preserve">D.P., ówczesnym wiceministrem sprawiedliwości, </w:t>
      </w:r>
      <w:r w:rsidR="00123A3B">
        <w:rPr>
          <w:lang w:val="pl"/>
        </w:rPr>
        <w:t xml:space="preserve">w </w:t>
      </w:r>
      <w:r>
        <w:rPr>
          <w:lang w:val="pl"/>
        </w:rPr>
        <w:t>szczególn</w:t>
      </w:r>
      <w:r w:rsidR="00123A3B">
        <w:rPr>
          <w:lang w:val="pl"/>
        </w:rPr>
        <w:t>ych</w:t>
      </w:r>
      <w:r>
        <w:rPr>
          <w:lang w:val="pl"/>
        </w:rPr>
        <w:t xml:space="preserve"> relacj</w:t>
      </w:r>
      <w:r w:rsidR="00123A3B">
        <w:rPr>
          <w:lang w:val="pl"/>
        </w:rPr>
        <w:t>ach (jako przełożona w hierarchii służbowej)</w:t>
      </w:r>
      <w:r>
        <w:rPr>
          <w:lang w:val="pl"/>
        </w:rPr>
        <w:t>, trwając</w:t>
      </w:r>
      <w:r w:rsidR="00E27F6F">
        <w:rPr>
          <w:lang w:val="pl"/>
        </w:rPr>
        <w:t>ych</w:t>
      </w:r>
      <w:r>
        <w:rPr>
          <w:lang w:val="pl"/>
        </w:rPr>
        <w:t xml:space="preserve"> do tej pory. Skarżąca zauważyła, że D.P. w swoim wystąpieniu przed parlamentem 29 marca 2016 r. najwyraźniej wiedział o toczący</w:t>
      </w:r>
      <w:r w:rsidR="00E27F6F">
        <w:rPr>
          <w:lang w:val="pl"/>
        </w:rPr>
        <w:t>ch</w:t>
      </w:r>
      <w:r>
        <w:rPr>
          <w:lang w:val="pl"/>
        </w:rPr>
        <w:t xml:space="preserve"> się postępowani</w:t>
      </w:r>
      <w:r w:rsidR="00E27F6F">
        <w:rPr>
          <w:lang w:val="pl"/>
        </w:rPr>
        <w:t>ach</w:t>
      </w:r>
      <w:r>
        <w:rPr>
          <w:lang w:val="pl"/>
        </w:rPr>
        <w:t xml:space="preserve"> dyscyplinarny</w:t>
      </w:r>
      <w:r w:rsidR="00E27F6F">
        <w:rPr>
          <w:lang w:val="pl"/>
        </w:rPr>
        <w:t>ch</w:t>
      </w:r>
      <w:r>
        <w:rPr>
          <w:lang w:val="pl"/>
        </w:rPr>
        <w:t xml:space="preserve"> przeciwko skarżącej (zob. paragraf </w:t>
      </w:r>
      <w:r>
        <w:rPr>
          <w:lang w:val="pl"/>
        </w:rPr>
        <w:fldChar w:fldCharType="begin"/>
      </w:r>
      <w:r>
        <w:rPr>
          <w:lang w:val="pl"/>
        </w:rPr>
        <w:instrText xml:space="preserve"> REF Minister \h </w:instrText>
      </w:r>
      <w:r>
        <w:rPr>
          <w:lang w:val="pl"/>
        </w:rPr>
      </w:r>
      <w:r>
        <w:rPr>
          <w:lang w:val="pl"/>
        </w:rPr>
        <w:fldChar w:fldCharType="separate"/>
      </w:r>
      <w:r>
        <w:rPr>
          <w:noProof/>
          <w:lang w:val="pl"/>
        </w:rPr>
        <w:t>34</w:t>
      </w:r>
      <w:r>
        <w:rPr>
          <w:lang w:val="pl"/>
        </w:rPr>
        <w:fldChar w:fldCharType="end"/>
      </w:r>
      <w:r>
        <w:rPr>
          <w:lang w:val="pl"/>
        </w:rPr>
        <w:t xml:space="preserve"> poniżej). Twierdziła, że V.T. przekazała te informacje D.P., mimo że postępowani</w:t>
      </w:r>
      <w:r w:rsidR="00DD1221">
        <w:rPr>
          <w:lang w:val="pl"/>
        </w:rPr>
        <w:t>a te</w:t>
      </w:r>
      <w:r>
        <w:rPr>
          <w:lang w:val="pl"/>
        </w:rPr>
        <w:t xml:space="preserve"> miał</w:t>
      </w:r>
      <w:r w:rsidR="00DD1221">
        <w:rPr>
          <w:lang w:val="pl"/>
        </w:rPr>
        <w:t>y</w:t>
      </w:r>
      <w:r>
        <w:rPr>
          <w:lang w:val="pl"/>
        </w:rPr>
        <w:t xml:space="preserve"> charakter poufny.</w:t>
      </w:r>
    </w:p>
    <w:p w14:paraId="69B0F0DE" w14:textId="5C9D264F"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10</w:t>
      </w:r>
      <w:r>
        <w:rPr>
          <w:noProof/>
          <w:lang w:val="pl"/>
        </w:rPr>
        <w:fldChar w:fldCharType="end"/>
      </w:r>
      <w:r>
        <w:rPr>
          <w:lang w:val="pl"/>
        </w:rPr>
        <w:t xml:space="preserve">.  Skarżąca twierdziła, że V.T. nawiązała również szczególne relacje (pełniąc tymczasowo obowiązki premiera) z cypryjskimi urzędnikami, którzy zwrócili się do niej na piśmie w sprawie działań skarżącej (zob. paragraf </w:t>
      </w:r>
      <w:r>
        <w:rPr>
          <w:lang w:val="pl"/>
        </w:rPr>
        <w:fldChar w:fldCharType="begin"/>
      </w:r>
      <w:r>
        <w:rPr>
          <w:lang w:val="pl"/>
        </w:rPr>
        <w:instrText xml:space="preserve"> REF CYofficials \h </w:instrText>
      </w:r>
      <w:r>
        <w:rPr>
          <w:lang w:val="pl"/>
        </w:rPr>
      </w:r>
      <w:r>
        <w:rPr>
          <w:lang w:val="pl"/>
        </w:rPr>
        <w:fldChar w:fldCharType="separate"/>
      </w:r>
      <w:r>
        <w:rPr>
          <w:noProof/>
          <w:lang w:val="pl"/>
        </w:rPr>
        <w:t>5</w:t>
      </w:r>
      <w:r>
        <w:rPr>
          <w:lang w:val="pl"/>
        </w:rPr>
        <w:fldChar w:fldCharType="end"/>
      </w:r>
      <w:r w:rsidR="00CF7B21">
        <w:rPr>
          <w:lang w:val="pl"/>
        </w:rPr>
        <w:t> </w:t>
      </w:r>
      <w:r>
        <w:rPr>
          <w:lang w:val="pl"/>
        </w:rPr>
        <w:t>powyżej).</w:t>
      </w:r>
    </w:p>
    <w:bookmarkStart w:id="4" w:name="recusalrequest2"/>
    <w:p w14:paraId="44157527" w14:textId="77777777"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11</w:t>
      </w:r>
      <w:r>
        <w:rPr>
          <w:lang w:val="pl"/>
        </w:rPr>
        <w:fldChar w:fldCharType="end"/>
      </w:r>
      <w:bookmarkEnd w:id="4"/>
      <w:r>
        <w:rPr>
          <w:lang w:val="pl"/>
        </w:rPr>
        <w:t>.  Wreszcie skarżąca zarzuciła, że V.T. nie zachowała bezstronności, ponieważ kierowała pytania do skarżącej i świadków w sposób krzywdzący i przekazała skarżącej niekompletną kopię akt.</w:t>
      </w:r>
    </w:p>
    <w:p w14:paraId="063C205B" w14:textId="77777777" w:rsidR="00FB1A8A" w:rsidRPr="00843F1A" w:rsidRDefault="00000000" w:rsidP="00843F1A">
      <w:pPr>
        <w:pStyle w:val="JuHA"/>
      </w:pPr>
      <w:r>
        <w:rPr>
          <w:lang w:val="pl"/>
        </w:rPr>
        <w:t>Dalszy przebieg wstępnego postępowania wyjaśniającego</w:t>
      </w:r>
    </w:p>
    <w:bookmarkStart w:id="5" w:name="VTdismisses1"/>
    <w:p w14:paraId="4BB1E59A" w14:textId="77777777"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12</w:t>
      </w:r>
      <w:r>
        <w:rPr>
          <w:lang w:val="pl"/>
        </w:rPr>
        <w:fldChar w:fldCharType="end"/>
      </w:r>
      <w:bookmarkEnd w:id="5"/>
      <w:r>
        <w:rPr>
          <w:lang w:val="pl"/>
        </w:rPr>
        <w:t>.  12 kwietnia 2016 r. V.T. przekazała sprawę wiceprezesowi SK, aby ten mógł kontynuować postępowanie wyjaśniające.</w:t>
      </w:r>
    </w:p>
    <w:p w14:paraId="02C214AC" w14:textId="06E4D081"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13</w:t>
      </w:r>
      <w:r>
        <w:rPr>
          <w:noProof/>
          <w:lang w:val="pl"/>
        </w:rPr>
        <w:fldChar w:fldCharType="end"/>
      </w:r>
      <w:r>
        <w:rPr>
          <w:lang w:val="pl"/>
        </w:rPr>
        <w:t>.  W piśmie przekazującym sprawę V.T. stwierdziła, że wniosek skarżącej o wyłączenie stanowi nadużycie praw procesowych, a powody, na które skarżąca się powołała, są bezzasadne, zaś celem skarżącej było opóźnienie postępowania. W szczególności V.T. stwierdziła, że wspomniane przez skarżącą stosunki V.T. z urzędnikami cypryjskimi były ściśle ograniczone do jej oficjalnych funkcji jako tymczasowo pełniącej obowiązki premiera. Przedmiotowe wstępne postępowanie wyjaśniające nie zostało przez nią wszczęte pod naciskiem władz cypryjskich. V.T. podjęła decyzję o</w:t>
      </w:r>
      <w:r w:rsidR="00CF7B21">
        <w:rPr>
          <w:lang w:val="pl"/>
        </w:rPr>
        <w:t> </w:t>
      </w:r>
      <w:r>
        <w:rPr>
          <w:lang w:val="pl"/>
        </w:rPr>
        <w:t>samodzielnym przeprowadzeniu postępowania na podstawie art. 99 ust. 9 ustawy nr 1756/1988 ze względu na duże znaczenie społeczno-gospodarcze spraw prowadzonych przez skarżącą. Przypomniała, że na mocy tego samego przepisu ma prawo powierzyć prowadzenie postępowania innemu sędziemu. Ponadto, zgodnie z orzecznictwem SK, sposób, w jaki sędzia formułuje pytania do świadków, nie może stanowić ważnej podstawy do jego wyłączenia. V.T. dodała, że zarzut skarżącej, jakoby przekazała jej niekompletną kopię akt sprawy, stanowił nadużycie praw procesowych, ponieważ dokument, którego zdaniem skarżącej brakowało, był już jej znany.</w:t>
      </w:r>
    </w:p>
    <w:bookmarkStart w:id="6" w:name="VTdismisses2"/>
    <w:p w14:paraId="6A9FC826" w14:textId="361CE99D"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14</w:t>
      </w:r>
      <w:r>
        <w:rPr>
          <w:lang w:val="pl"/>
        </w:rPr>
        <w:fldChar w:fldCharType="end"/>
      </w:r>
      <w:bookmarkEnd w:id="6"/>
      <w:r>
        <w:rPr>
          <w:lang w:val="pl"/>
        </w:rPr>
        <w:t>.  V.T. stwierdziła, że choć wniosek skarżącej był bezzasadny, konieczne jest przekazanie sprawy wiceprezesowi SK „[...] w celu ochrony autorytetu i wiarygodności zarówno mojej funkcji instytucjonalnej, jak i</w:t>
      </w:r>
      <w:r w:rsidR="00CF7B21">
        <w:rPr>
          <w:lang w:val="pl"/>
        </w:rPr>
        <w:t> </w:t>
      </w:r>
      <w:r>
        <w:rPr>
          <w:lang w:val="pl"/>
        </w:rPr>
        <w:t>całego wymiaru sprawiedliwości [...]”.</w:t>
      </w:r>
    </w:p>
    <w:bookmarkStart w:id="7" w:name="VicePresidentComplaint"/>
    <w:p w14:paraId="0ECE4675" w14:textId="77777777"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15</w:t>
      </w:r>
      <w:r>
        <w:rPr>
          <w:lang w:val="pl"/>
        </w:rPr>
        <w:fldChar w:fldCharType="end"/>
      </w:r>
      <w:bookmarkEnd w:id="7"/>
      <w:r>
        <w:rPr>
          <w:lang w:val="pl"/>
        </w:rPr>
        <w:t xml:space="preserve">.  21 kwietnia 2016 r. skarżąca złożyła skargę do wiceprezesa SK, zarzucając V.T. opublikowanie komunikatu prasowego dotyczącego </w:t>
      </w:r>
      <w:r>
        <w:rPr>
          <w:lang w:val="pl"/>
        </w:rPr>
        <w:lastRenderedPageBreak/>
        <w:t xml:space="preserve">złożonego przez skarżącą wniosku o wyłączenie. Skarżąca przedłożyła jako dokument potwierdzający publikację prasową, w której cytowano V.T. twierdzącą, że wniosek skarżącej o wyłączenie był nieuzasadniony i stanowił nadużycie praw procesowych (zob. paragraf </w:t>
      </w:r>
      <w:r>
        <w:rPr>
          <w:lang w:val="pl"/>
        </w:rPr>
        <w:fldChar w:fldCharType="begin"/>
      </w:r>
      <w:r>
        <w:rPr>
          <w:lang w:val="pl"/>
        </w:rPr>
        <w:instrText xml:space="preserve"> REF pressRelease \h </w:instrText>
      </w:r>
      <w:r>
        <w:rPr>
          <w:lang w:val="pl"/>
        </w:rPr>
      </w:r>
      <w:r>
        <w:rPr>
          <w:lang w:val="pl"/>
        </w:rPr>
        <w:fldChar w:fldCharType="separate"/>
      </w:r>
      <w:r>
        <w:rPr>
          <w:noProof/>
          <w:lang w:val="pl"/>
        </w:rPr>
        <w:t>32</w:t>
      </w:r>
      <w:r>
        <w:rPr>
          <w:lang w:val="pl"/>
        </w:rPr>
        <w:fldChar w:fldCharType="end"/>
      </w:r>
      <w:r>
        <w:rPr>
          <w:lang w:val="pl"/>
        </w:rPr>
        <w:t xml:space="preserve"> poniżej). Skarżąca zwróciła się do wiceprezesa SK o wstrzymanie dalszych czynności w ramach wstępnego postępowania wyjaśniającego do czasu rozpatrzenia przez właściwy organ sądowy wniosku o wyłączenie V.T.</w:t>
      </w:r>
    </w:p>
    <w:bookmarkStart w:id="8" w:name="negativepublicity"/>
    <w:p w14:paraId="1A71A928" w14:textId="4BE7794A"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16</w:t>
      </w:r>
      <w:r>
        <w:rPr>
          <w:lang w:val="pl"/>
        </w:rPr>
        <w:fldChar w:fldCharType="end"/>
      </w:r>
      <w:bookmarkEnd w:id="8"/>
      <w:r>
        <w:rPr>
          <w:lang w:val="pl"/>
        </w:rPr>
        <w:t xml:space="preserve">.  5 maja 2016 r. wiceprezes SK zakończył postępowanie wyjaśniające </w:t>
      </w:r>
      <w:proofErr w:type="gramStart"/>
      <w:r>
        <w:rPr>
          <w:lang w:val="pl"/>
        </w:rPr>
        <w:t>i,</w:t>
      </w:r>
      <w:proofErr w:type="gramEnd"/>
      <w:r>
        <w:rPr>
          <w:lang w:val="pl"/>
        </w:rPr>
        <w:t xml:space="preserve"> na podstawie dowodów zebranych przez V.T. oraz pisemnego oświadczenia wyjaśniającego przedłożonego przez skarżącą V.T., zaproponował, aby V.T. wszczęła postępowanie dyscyplinarne przeciwko skarżącej. Wiceprezes SK odnotował, że skarżąca ponownie przedstawiła wniosek o wyłączenie V.T., i zauważywszy, że V.T. oddaliła 12 kwietnia 2016 r. tenże wniosek jako nadużycie praw procesowych (zob. paragrafy</w:t>
      </w:r>
      <w:r w:rsidR="00CF7B21">
        <w:rPr>
          <w:lang w:val="pl"/>
        </w:rPr>
        <w:t xml:space="preserve"> </w:t>
      </w:r>
      <w:r>
        <w:rPr>
          <w:lang w:val="pl"/>
        </w:rPr>
        <w:fldChar w:fldCharType="begin"/>
      </w:r>
      <w:r>
        <w:rPr>
          <w:lang w:val="pl"/>
        </w:rPr>
        <w:instrText xml:space="preserve"> REF VTdismisses1 \h </w:instrText>
      </w:r>
      <w:r>
        <w:rPr>
          <w:lang w:val="pl"/>
        </w:rPr>
      </w:r>
      <w:r>
        <w:rPr>
          <w:lang w:val="pl"/>
        </w:rPr>
        <w:fldChar w:fldCharType="separate"/>
      </w:r>
      <w:r>
        <w:rPr>
          <w:noProof/>
          <w:lang w:val="pl"/>
        </w:rPr>
        <w:t>12</w:t>
      </w:r>
      <w:r>
        <w:rPr>
          <w:lang w:val="pl"/>
        </w:rPr>
        <w:fldChar w:fldCharType="end"/>
      </w:r>
      <w:r>
        <w:rPr>
          <w:lang w:val="pl"/>
        </w:rPr>
        <w:t xml:space="preserve"> </w:t>
      </w:r>
      <w:r w:rsidR="00CF7B21">
        <w:rPr>
          <w:lang w:val="pl"/>
        </w:rPr>
        <w:t>i</w:t>
      </w:r>
      <w:r>
        <w:rPr>
          <w:lang w:val="pl"/>
        </w:rPr>
        <w:t xml:space="preserve"> </w:t>
      </w:r>
      <w:r>
        <w:rPr>
          <w:lang w:val="pl"/>
        </w:rPr>
        <w:fldChar w:fldCharType="begin"/>
      </w:r>
      <w:r>
        <w:rPr>
          <w:lang w:val="pl"/>
        </w:rPr>
        <w:instrText xml:space="preserve"> REF VTdismisses2 \h </w:instrText>
      </w:r>
      <w:r>
        <w:rPr>
          <w:lang w:val="pl"/>
        </w:rPr>
      </w:r>
      <w:r>
        <w:rPr>
          <w:lang w:val="pl"/>
        </w:rPr>
        <w:fldChar w:fldCharType="separate"/>
      </w:r>
      <w:r>
        <w:rPr>
          <w:noProof/>
          <w:lang w:val="pl"/>
        </w:rPr>
        <w:t>14</w:t>
      </w:r>
      <w:r>
        <w:rPr>
          <w:lang w:val="pl"/>
        </w:rPr>
        <w:fldChar w:fldCharType="end"/>
      </w:r>
      <w:r>
        <w:rPr>
          <w:lang w:val="pl"/>
        </w:rPr>
        <w:t xml:space="preserve"> powyżej), uznał go za niedopuszczalny z powodu braku legitymacji procesowej.</w:t>
      </w:r>
    </w:p>
    <w:p w14:paraId="15733548" w14:textId="77777777" w:rsidR="00FB1A8A" w:rsidRPr="00CF7B21" w:rsidRDefault="00000000" w:rsidP="00843F1A">
      <w:pPr>
        <w:pStyle w:val="JuHA"/>
        <w:rPr>
          <w:lang w:val="pl-PL"/>
        </w:rPr>
      </w:pPr>
      <w:r>
        <w:rPr>
          <w:lang w:val="pl"/>
        </w:rPr>
        <w:t>Postępowanie dyscyplinarne wszczęte przez V.T. przeciwko skarżącej</w:t>
      </w:r>
    </w:p>
    <w:p w14:paraId="7FCFC526" w14:textId="77777777"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17</w:t>
      </w:r>
      <w:r>
        <w:rPr>
          <w:noProof/>
          <w:lang w:val="pl"/>
        </w:rPr>
        <w:fldChar w:fldCharType="end"/>
      </w:r>
      <w:r>
        <w:rPr>
          <w:lang w:val="pl"/>
        </w:rPr>
        <w:t>.  24 czerwca 2016 r. V.T. wszczęła postępowanie dyscyplinarne przeciwko skarżącej i skierowała jej sprawę do siedmioosobowej komisji dyscyplinarnej Sądu Kasacyjnego („siedmioosobowa komisja dyscyplinarna”).</w:t>
      </w:r>
    </w:p>
    <w:p w14:paraId="60CB3345" w14:textId="067A7277"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18</w:t>
      </w:r>
      <w:r>
        <w:rPr>
          <w:noProof/>
          <w:lang w:val="pl"/>
        </w:rPr>
        <w:fldChar w:fldCharType="end"/>
      </w:r>
      <w:r>
        <w:rPr>
          <w:lang w:val="pl"/>
        </w:rPr>
        <w:t>.  W odniesieniu do wniosku skarżącej o wyłączenie V.T. stwierdziła, że wniosek ten jest niedopuszczalny, ponieważ nie został złożony do prokuratora SK, jak przewiduje art. 17 ust. 2 oraz art. 19 i 20 Kodeksu postępowania karnego. W związku z tym można wniosek uznać jedynie za prośbę do V.T. o wycofanie się z postępowania, nienakładającą na nią jednak żadnego obowiązku. V.T. stwierdziła ponadto, że w piśmie przekazującym sprawę z dnia 12 kwietnia 2016 r. nie oddaliła żadnego „wniosku o</w:t>
      </w:r>
      <w:r w:rsidR="00CF7B21">
        <w:rPr>
          <w:lang w:val="pl"/>
        </w:rPr>
        <w:t> </w:t>
      </w:r>
      <w:r>
        <w:rPr>
          <w:lang w:val="pl"/>
        </w:rPr>
        <w:t>wyłączenie”, lecz skorzystała z przysługującego jej na mocy art. 99 ust. 9 ustawy nr 1756/1988 prawa do powierzenia</w:t>
      </w:r>
      <w:r w:rsidR="00F52F2D">
        <w:rPr>
          <w:lang w:val="pl"/>
        </w:rPr>
        <w:t xml:space="preserve"> wstępnego</w:t>
      </w:r>
      <w:r>
        <w:rPr>
          <w:lang w:val="pl"/>
        </w:rPr>
        <w:t xml:space="preserve"> postępowania przygotowawczego innemu sędziemu i podała uzasadnienie tej decyzji. W</w:t>
      </w:r>
      <w:r w:rsidR="00CF7B21">
        <w:rPr>
          <w:lang w:val="pl"/>
        </w:rPr>
        <w:t> </w:t>
      </w:r>
      <w:r>
        <w:rPr>
          <w:lang w:val="pl"/>
        </w:rPr>
        <w:t>każdym razie V.T. zaznaczyła, że skarżąca może zgłosić przed siedmioosobową komisją dyscyplinarną swoje obawy dotyczące zarzucanej V.T. stronniczości.</w:t>
      </w:r>
    </w:p>
    <w:p w14:paraId="6E7AD0A1" w14:textId="77777777" w:rsidR="00FB1A8A" w:rsidRPr="00843F1A" w:rsidRDefault="00000000" w:rsidP="00843F1A">
      <w:pPr>
        <w:pStyle w:val="JuHA"/>
      </w:pPr>
      <w:r>
        <w:rPr>
          <w:lang w:val="pl"/>
        </w:rPr>
        <w:t>Postępowanie przed siedmioosobową komisją dyscyplinarną</w:t>
      </w:r>
    </w:p>
    <w:p w14:paraId="78A2A646" w14:textId="77777777"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19</w:t>
      </w:r>
      <w:r>
        <w:rPr>
          <w:noProof/>
          <w:lang w:val="pl"/>
        </w:rPr>
        <w:fldChar w:fldCharType="end"/>
      </w:r>
      <w:r>
        <w:rPr>
          <w:lang w:val="pl"/>
        </w:rPr>
        <w:t>.  6 lipca 2016 r. przewodniczący siedmioosobowej komisji dyscyplinarnej wezwał skarżącą do przedstawienia wyjaśnień na piśmie.</w:t>
      </w:r>
    </w:p>
    <w:p w14:paraId="12D1B9F4" w14:textId="77777777"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20</w:t>
      </w:r>
      <w:r>
        <w:rPr>
          <w:noProof/>
          <w:lang w:val="pl"/>
        </w:rPr>
        <w:fldChar w:fldCharType="end"/>
      </w:r>
      <w:r>
        <w:rPr>
          <w:lang w:val="pl"/>
        </w:rPr>
        <w:t>.  19 lipca 2016 r. skarżąca złożyła pisemną odpowiedź na zarzuty.</w:t>
      </w:r>
    </w:p>
    <w:p w14:paraId="12D7761F" w14:textId="77777777" w:rsidR="00FB1A8A" w:rsidRPr="00CF7B21" w:rsidRDefault="00FB1A8A" w:rsidP="00843F1A">
      <w:pPr>
        <w:pStyle w:val="JuPara"/>
        <w:rPr>
          <w:lang w:val="pl-PL"/>
        </w:rPr>
      </w:pPr>
      <w:r>
        <w:lastRenderedPageBreak/>
        <w:fldChar w:fldCharType="begin"/>
      </w:r>
      <w:r w:rsidRPr="00CF7B21">
        <w:rPr>
          <w:lang w:val="pl-PL"/>
        </w:rPr>
        <w:instrText xml:space="preserve"> SEQ level0 \*arabic \* MERGEFORMAT </w:instrText>
      </w:r>
      <w:r>
        <w:fldChar w:fldCharType="separate"/>
      </w:r>
      <w:r>
        <w:rPr>
          <w:noProof/>
          <w:lang w:val="pl"/>
        </w:rPr>
        <w:t>21</w:t>
      </w:r>
      <w:r>
        <w:rPr>
          <w:noProof/>
          <w:lang w:val="pl"/>
        </w:rPr>
        <w:fldChar w:fldCharType="end"/>
      </w:r>
      <w:r>
        <w:rPr>
          <w:lang w:val="pl"/>
        </w:rPr>
        <w:t>.  W dniu 16 września 2016 r. komisja wysłuchała skarżącej osobiście – przedstawiła ona swoje ustne wyjaśnienia, korzystając z pomocy adwokata.</w:t>
      </w:r>
    </w:p>
    <w:p w14:paraId="6EDB4ABE" w14:textId="6C0C94E7"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22</w:t>
      </w:r>
      <w:r>
        <w:rPr>
          <w:noProof/>
          <w:lang w:val="pl"/>
        </w:rPr>
        <w:fldChar w:fldCharType="end"/>
      </w:r>
      <w:r>
        <w:rPr>
          <w:lang w:val="pl"/>
        </w:rPr>
        <w:t xml:space="preserve">.  Postanowieniem nr 22/2016 z dnia 10 października 2016 r. komisja uznała, że skarżąca dopuściła się czynów stanowiących rażące zaniedbanie, które naruszyły powagę sądownictwa. Komisja stwierdziła, że skarżąca </w:t>
      </w:r>
      <w:proofErr w:type="gramStart"/>
      <w:r>
        <w:rPr>
          <w:lang w:val="pl"/>
        </w:rPr>
        <w:t xml:space="preserve">umorzyła </w:t>
      </w:r>
      <w:r w:rsidR="007F3DC2">
        <w:rPr>
          <w:lang w:val="pl"/>
        </w:rPr>
        <w:t xml:space="preserve"> śledztwa</w:t>
      </w:r>
      <w:proofErr w:type="gramEnd"/>
      <w:r w:rsidR="007F3DC2">
        <w:rPr>
          <w:lang w:val="pl"/>
        </w:rPr>
        <w:t xml:space="preserve"> w sprawach karnych</w:t>
      </w:r>
      <w:r>
        <w:rPr>
          <w:lang w:val="pl"/>
        </w:rPr>
        <w:t>, które należały do wyłącznej kompetencji prokuratora ds. zwalczania korupcji, oraz naruszyła porozumienie między władzami greckimi i cypryjskimi, zawarte w</w:t>
      </w:r>
      <w:r w:rsidR="00CF7B21">
        <w:rPr>
          <w:lang w:val="pl"/>
        </w:rPr>
        <w:t> </w:t>
      </w:r>
      <w:r>
        <w:rPr>
          <w:lang w:val="pl"/>
        </w:rPr>
        <w:t>kontekście Agencji Unii Europejskiej ds. Współpracy Wymiarów Sprawiedliwości w Sprawach Karnych (</w:t>
      </w:r>
      <w:proofErr w:type="spellStart"/>
      <w:r>
        <w:rPr>
          <w:lang w:val="pl"/>
        </w:rPr>
        <w:t>Eurojust</w:t>
      </w:r>
      <w:proofErr w:type="spellEnd"/>
      <w:r>
        <w:rPr>
          <w:lang w:val="pl"/>
        </w:rPr>
        <w:t>), zgodnie z którym niektóre aspekty sprawy musiały zostać zbadane przez władze cypryjskie. Komisja skazała skarżącą na sześćdziesiąt dni pozbawienia wynagrodzenia.</w:t>
      </w:r>
    </w:p>
    <w:bookmarkStart w:id="9" w:name="council7dismissrecusal"/>
    <w:p w14:paraId="6DCF3FCD" w14:textId="796A864D"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23</w:t>
      </w:r>
      <w:r>
        <w:rPr>
          <w:lang w:val="pl"/>
        </w:rPr>
        <w:fldChar w:fldCharType="end"/>
      </w:r>
      <w:bookmarkEnd w:id="9"/>
      <w:r>
        <w:rPr>
          <w:lang w:val="pl"/>
        </w:rPr>
        <w:t xml:space="preserve">.  W odniesieniu do wniosku skarżącej o wyłączenie V.T., komisja stwierdziła, że był on niedopuszczalny, ponieważ skarżąca nie złożyła go przed prokuratorem SK. Stanowisko przedstawione przez skarżącą prokuratorowi SK (zob. paragraf </w:t>
      </w:r>
      <w:r>
        <w:rPr>
          <w:lang w:val="pl"/>
        </w:rPr>
        <w:fldChar w:fldCharType="begin"/>
      </w:r>
      <w:r>
        <w:rPr>
          <w:lang w:val="pl"/>
        </w:rPr>
        <w:instrText xml:space="preserve"> REF CCProsecutorReport \h </w:instrText>
      </w:r>
      <w:r>
        <w:rPr>
          <w:lang w:val="pl"/>
        </w:rPr>
      </w:r>
      <w:r>
        <w:rPr>
          <w:lang w:val="pl"/>
        </w:rPr>
        <w:fldChar w:fldCharType="separate"/>
      </w:r>
      <w:r>
        <w:rPr>
          <w:noProof/>
          <w:lang w:val="pl"/>
        </w:rPr>
        <w:t>6</w:t>
      </w:r>
      <w:r>
        <w:rPr>
          <w:lang w:val="pl"/>
        </w:rPr>
        <w:fldChar w:fldCharType="end"/>
      </w:r>
      <w:r>
        <w:rPr>
          <w:lang w:val="pl"/>
        </w:rPr>
        <w:t xml:space="preserve"> powyżej) nie stanowiło wniosku o</w:t>
      </w:r>
      <w:r w:rsidR="00CF7B21">
        <w:rPr>
          <w:lang w:val="pl"/>
        </w:rPr>
        <w:t> </w:t>
      </w:r>
      <w:r>
        <w:rPr>
          <w:lang w:val="pl"/>
        </w:rPr>
        <w:t>wyłączenie, ponieważ skarżąca nie zawarła w nim między innymi konkretnego zarzutu dotyczącego bezstronności V.T., ani nie zarzuciła, że V.T. ujawniła informacje dotyczące postępowania wyjaśniającego. Ponadto komisja uznała, że skoro wniosek skarżącej o wyłączenie był niedopuszczalny, V.T. nie była nim w żaden sposób związana. V.T. nie oddaliła „wniosku o wyłączenie”, lecz skorzystała z przysługującego jej na mocy art. 99 ust. 9 ustawy nr 1756/1988 prawa do powierzenia</w:t>
      </w:r>
      <w:r w:rsidR="007F3DC2">
        <w:rPr>
          <w:lang w:val="pl"/>
        </w:rPr>
        <w:t xml:space="preserve"> wstępnego</w:t>
      </w:r>
      <w:r>
        <w:rPr>
          <w:lang w:val="pl"/>
        </w:rPr>
        <w:t xml:space="preserve"> postępowania przygotowawczego innemu sędziemu. W związku z tym komisja uznała, że powierzenie przez V.T. postępowania wiceprezesowi SK było zgodne z</w:t>
      </w:r>
      <w:r w:rsidR="00CF7B21">
        <w:rPr>
          <w:lang w:val="pl"/>
        </w:rPr>
        <w:t> </w:t>
      </w:r>
      <w:r>
        <w:rPr>
          <w:lang w:val="pl"/>
        </w:rPr>
        <w:t xml:space="preserve">prawem i oddaliła pisemne i ustne zastrzeżenia skarżącej, w których twierdziła ona, </w:t>
      </w:r>
      <w:proofErr w:type="gramStart"/>
      <w:r>
        <w:rPr>
          <w:lang w:val="pl"/>
        </w:rPr>
        <w:t xml:space="preserve">że </w:t>
      </w:r>
      <w:r w:rsidR="00EF3DC6">
        <w:rPr>
          <w:lang w:val="pl"/>
        </w:rPr>
        <w:t xml:space="preserve"> zachodziły</w:t>
      </w:r>
      <w:proofErr w:type="gramEnd"/>
      <w:r w:rsidR="00EF3DC6">
        <w:rPr>
          <w:lang w:val="pl"/>
        </w:rPr>
        <w:t xml:space="preserve"> postawy do uchylenia z przyczyn proceduralnych ze względu na nieważność postępowania dyscyplinarnego</w:t>
      </w:r>
      <w:r>
        <w:rPr>
          <w:lang w:val="pl"/>
        </w:rPr>
        <w:t>.</w:t>
      </w:r>
    </w:p>
    <w:p w14:paraId="42CF8127" w14:textId="06AF27B2"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24</w:t>
      </w:r>
      <w:r>
        <w:rPr>
          <w:noProof/>
          <w:lang w:val="pl"/>
        </w:rPr>
        <w:fldChar w:fldCharType="end"/>
      </w:r>
      <w:r>
        <w:rPr>
          <w:lang w:val="pl"/>
        </w:rPr>
        <w:t>.  Skarżąca odwołała się od orzeczenia komisji.</w:t>
      </w:r>
    </w:p>
    <w:p w14:paraId="2D9A7B61" w14:textId="77777777" w:rsidR="00FB1A8A" w:rsidRPr="00843F1A" w:rsidRDefault="00000000" w:rsidP="00843F1A">
      <w:pPr>
        <w:pStyle w:val="JuHA"/>
      </w:pPr>
      <w:r>
        <w:rPr>
          <w:lang w:val="pl"/>
        </w:rPr>
        <w:t>Postępowanie przed dziewięcioosobową komisją dyscyplinarną</w:t>
      </w:r>
    </w:p>
    <w:p w14:paraId="1A7BF349" w14:textId="77777777" w:rsidR="00FB1A8A" w:rsidRPr="00CF7B21" w:rsidRDefault="00FB1A8A" w:rsidP="00843F1A">
      <w:pPr>
        <w:pStyle w:val="JuPara"/>
        <w:rPr>
          <w:b/>
          <w:bCs/>
          <w:lang w:val="pl-PL"/>
        </w:rPr>
      </w:pPr>
      <w:r>
        <w:fldChar w:fldCharType="begin"/>
      </w:r>
      <w:r w:rsidRPr="00CF7B21">
        <w:rPr>
          <w:lang w:val="pl-PL"/>
        </w:rPr>
        <w:instrText xml:space="preserve"> SEQ level0 \*arabic \* MERGEFORMAT </w:instrText>
      </w:r>
      <w:r>
        <w:fldChar w:fldCharType="separate"/>
      </w:r>
      <w:bookmarkStart w:id="10" w:name="paragraph00025"/>
      <w:r>
        <w:rPr>
          <w:noProof/>
          <w:lang w:val="pl"/>
        </w:rPr>
        <w:t>25</w:t>
      </w:r>
      <w:bookmarkEnd w:id="10"/>
      <w:r>
        <w:rPr>
          <w:noProof/>
          <w:lang w:val="pl"/>
        </w:rPr>
        <w:fldChar w:fldCharType="end"/>
      </w:r>
      <w:r>
        <w:rPr>
          <w:lang w:val="pl"/>
        </w:rPr>
        <w:t>.  W dniach 9 i 10 stycznia 2017 r. sprawa skarżącej została rozpatrzona przez dziewięcioosobową komisję dyscyplinarną Sądu Kasacyjnego („dziewięcioosobowa komisja dyscyplinarna”). Podczas przesłuchania przed komisją skarżąca podniosła, że została niesłusznie narażona na negatywny rozgłos.</w:t>
      </w:r>
    </w:p>
    <w:p w14:paraId="2030F018" w14:textId="77777777"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26</w:t>
      </w:r>
      <w:r>
        <w:rPr>
          <w:noProof/>
          <w:lang w:val="pl"/>
        </w:rPr>
        <w:fldChar w:fldCharType="end"/>
      </w:r>
      <w:r>
        <w:rPr>
          <w:lang w:val="pl"/>
        </w:rPr>
        <w:t>.  16 marca 2017 r. komisja oddaliła odwołanie skarżącej postanowieniem nr 7/2017.</w:t>
      </w:r>
    </w:p>
    <w:bookmarkStart w:id="11" w:name="councilNINEdismissrecusal"/>
    <w:p w14:paraId="10778185" w14:textId="77777777"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27</w:t>
      </w:r>
      <w:r>
        <w:rPr>
          <w:lang w:val="pl"/>
        </w:rPr>
        <w:fldChar w:fldCharType="end"/>
      </w:r>
      <w:bookmarkEnd w:id="11"/>
      <w:r>
        <w:rPr>
          <w:lang w:val="pl"/>
        </w:rPr>
        <w:t xml:space="preserve">.  W odniesieniu do wniosku skarżącej o wyłączenie, komisja zauważyła, że skarżąca była świadoma, iż takie wnioski należy składać do prokuratora SK zgodnie z obowiązującymi przepisami Kodeksu postępowania karnego, które miały zastosowanie odpowiednio, ale zdecydowała się – z sobie wiadomych powodów – nie składać go do </w:t>
      </w:r>
      <w:r>
        <w:rPr>
          <w:lang w:val="pl"/>
        </w:rPr>
        <w:lastRenderedPageBreak/>
        <w:t>właściwego organu. Wniosek złożony przez skarżącą do prokuratorem SK nie stanowił wniosku o wyłączenie, ponieważ, między innymi, podpisujący go adwokat nie przedłożył pełnomocnictwa, w którym wskazano konkretne podstawy wyłączenia, na jakie się powoływano, zgodnie z art. 17 §§ 1–2 Kodeksu postępowania karnego. Ponadto prokurator SK nie podjął żadnych działań w związku z tym wnioskiem.</w:t>
      </w:r>
    </w:p>
    <w:p w14:paraId="53B072A7" w14:textId="476C9B83"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28</w:t>
      </w:r>
      <w:r>
        <w:rPr>
          <w:noProof/>
          <w:lang w:val="pl"/>
        </w:rPr>
        <w:fldChar w:fldCharType="end"/>
      </w:r>
      <w:r>
        <w:rPr>
          <w:lang w:val="pl"/>
        </w:rPr>
        <w:t>.  Komisja ustaliła, że V.T. nie oddaliła wniosku skarżącej o</w:t>
      </w:r>
      <w:r w:rsidR="00CF7B21">
        <w:rPr>
          <w:lang w:val="pl"/>
        </w:rPr>
        <w:t> </w:t>
      </w:r>
      <w:r>
        <w:rPr>
          <w:lang w:val="pl"/>
        </w:rPr>
        <w:t>wyłączenie. V.T. jedynie przekazała sprawę wiceprezesowi SK i</w:t>
      </w:r>
      <w:r w:rsidR="00CF7B21">
        <w:rPr>
          <w:lang w:val="pl"/>
        </w:rPr>
        <w:t> </w:t>
      </w:r>
      <w:r>
        <w:rPr>
          <w:lang w:val="pl"/>
        </w:rPr>
        <w:t>przedstawiła uzasadnienie, wyjaśniając w szczególności, dlaczego wniosek skarżącej o wyłączenie był niedopuszczalny i nie miał dla niej charakteru wiążącego, a także zaznaczyła, że jej własne działania miały na celu ochronę powagi sądownictwa. Ponadto V.T. wyjaśniła, że nawet gdyby wniosek skarżącej o wyłączenie miał zostać uznany za zaproszenie do wycofania się V.T. z postępowania, nie było uzasadnionej podstawy, aby to uczyniła.</w:t>
      </w:r>
    </w:p>
    <w:bookmarkStart w:id="12" w:name="CouncilDismissesRecusalGrounds"/>
    <w:p w14:paraId="332B585F" w14:textId="311A018A"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29</w:t>
      </w:r>
      <w:r>
        <w:rPr>
          <w:lang w:val="pl"/>
        </w:rPr>
        <w:fldChar w:fldCharType="end"/>
      </w:r>
      <w:bookmarkEnd w:id="12"/>
      <w:r>
        <w:rPr>
          <w:lang w:val="pl"/>
        </w:rPr>
        <w:t>.  Komisja stwierdziła również, że w każdym razie wniosek skarżącej o</w:t>
      </w:r>
      <w:r w:rsidR="00CF7B21">
        <w:rPr>
          <w:lang w:val="pl"/>
        </w:rPr>
        <w:t> </w:t>
      </w:r>
      <w:r>
        <w:rPr>
          <w:lang w:val="pl"/>
        </w:rPr>
        <w:t>wyłączenie był bezzasadny. Komisja zauważyła między innymi, że zarzuty skarżącej dotyczące tymczasowego pełnienia przez V.T. obowiązków premiera nie stanowiły uzasadnionej podstawy do wyłączenia: w odniesieniu do relacji V.T. z D.P., miały one charakter formalny, a w każdym razie V.T. nie znajdowała się w sytuacji zależności względem D.P., lecz była jego przełożoną w hierarchii służbowej. W odniesieniu do relacji V.T. ze wspomnianymi urzędnikami cypryjskimi, miały one również charakter wyłącznie służbowy. Ponadto przypadkowe pominięcie przez V.T. jednego dokumentu z akt sprawy przy przekazywaniu skarżącej kopii akt nie budziło wątpliwości komisji co do bezstronności V.T., ponieważ skarżąca mogła między innymi uzyskać kopię tego dokumentu na żądanie. Wreszcie zarzut skarżącej, jakoby V.T. ujawniła informacje dotyczące postępowania, okazał się bezpodstawny.</w:t>
      </w:r>
    </w:p>
    <w:bookmarkStart w:id="13" w:name="objectionsdismissed"/>
    <w:p w14:paraId="20E9F6FA" w14:textId="77777777"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30</w:t>
      </w:r>
      <w:r>
        <w:rPr>
          <w:lang w:val="pl"/>
        </w:rPr>
        <w:fldChar w:fldCharType="end"/>
      </w:r>
      <w:bookmarkEnd w:id="13"/>
      <w:r>
        <w:rPr>
          <w:lang w:val="pl"/>
        </w:rPr>
        <w:t>.  W związku z tym komisja uznała, że zarzut skarżącej dotyczący podstaw do unieważnienia postępowania przed V.T. był bezzasadny i został słusznie oddalony przez siedmioosobową komisję dyscyplinarną.</w:t>
      </w:r>
    </w:p>
    <w:p w14:paraId="4AB48CB7" w14:textId="0892848D"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31</w:t>
      </w:r>
      <w:r>
        <w:rPr>
          <w:noProof/>
          <w:lang w:val="pl"/>
        </w:rPr>
        <w:fldChar w:fldCharType="end"/>
      </w:r>
      <w:r>
        <w:rPr>
          <w:lang w:val="pl"/>
        </w:rPr>
        <w:t>.  22 marca 2021 r. dziewięcioosobowa komisja dyscyplinarna, postanowieniem nr 5/2021, oddaliła wniosek skarżącej o wznowienie postępowa</w:t>
      </w:r>
      <w:r w:rsidR="00BF4AB7">
        <w:rPr>
          <w:lang w:val="pl"/>
        </w:rPr>
        <w:t>ń</w:t>
      </w:r>
      <w:r>
        <w:rPr>
          <w:lang w:val="pl"/>
        </w:rPr>
        <w:t>.</w:t>
      </w:r>
    </w:p>
    <w:p w14:paraId="0B8735A8" w14:textId="77777777" w:rsidR="00FB1A8A" w:rsidRPr="00843F1A" w:rsidRDefault="00000000" w:rsidP="00843F1A">
      <w:pPr>
        <w:pStyle w:val="JuHIRoman"/>
      </w:pPr>
      <w:r>
        <w:rPr>
          <w:bCs w:val="0"/>
          <w:lang w:val="pl"/>
        </w:rPr>
        <w:t>INNE OKOLICZNOŚCI</w:t>
      </w:r>
    </w:p>
    <w:p w14:paraId="5D221418" w14:textId="77F3C121" w:rsidR="00FB1A8A" w:rsidRPr="00CF7B21" w:rsidRDefault="00000000" w:rsidP="00843F1A">
      <w:pPr>
        <w:pStyle w:val="JuHA"/>
        <w:rPr>
          <w:lang w:val="pl-PL"/>
        </w:rPr>
      </w:pPr>
      <w:r>
        <w:rPr>
          <w:lang w:val="pl"/>
        </w:rPr>
        <w:t>Komunikat prasowy V.T. dotyczący postępowania dyscyplinarnego</w:t>
      </w:r>
    </w:p>
    <w:bookmarkStart w:id="14" w:name="pressRelease"/>
    <w:p w14:paraId="7F69C10B" w14:textId="3A2E8189"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32</w:t>
      </w:r>
      <w:r>
        <w:rPr>
          <w:lang w:val="pl"/>
        </w:rPr>
        <w:fldChar w:fldCharType="end"/>
      </w:r>
      <w:bookmarkEnd w:id="14"/>
      <w:r>
        <w:rPr>
          <w:lang w:val="pl"/>
        </w:rPr>
        <w:t xml:space="preserve">.  18 kwietnia 2016 r. V.T. wydała komunikat prasowy jako prezes SK. V.T. wyjaśniła, że opublikowała ten komunikat prasowy, ponieważ niektóre osoby próbowały wprowadzać opinię publiczną w błąd, podważając zaufanie publiczne do niej samej oraz do instytucji prezesa SK, ponieważ były niezadowolone z faktu, że V.T. „walczyła z potężnymi, powiązanymi ze sobą </w:t>
      </w:r>
      <w:r>
        <w:rPr>
          <w:lang w:val="pl"/>
        </w:rPr>
        <w:lastRenderedPageBreak/>
        <w:t>grupami interesów”. W odniesieniu do postępowania dyscyplinarnego przeciwko skarżącej V.T. poruszyła w komunikacie prasowym o następujące kwestie:</w:t>
      </w:r>
    </w:p>
    <w:p w14:paraId="171FCB85" w14:textId="77777777" w:rsidR="00FB1A8A" w:rsidRPr="00CF7B21" w:rsidRDefault="00000000" w:rsidP="00843F1A">
      <w:pPr>
        <w:pStyle w:val="JuQuot"/>
        <w:rPr>
          <w:lang w:val="pl-PL"/>
        </w:rPr>
      </w:pPr>
      <w:r>
        <w:rPr>
          <w:lang w:val="pl"/>
        </w:rPr>
        <w:t>„A. W kwestii uprawnień do [sprawowania] kontroli dyscyplinarnej (w odniesieniu do której pojawiają się głosy krytyczne, że uchwalono ustawę przyznającą prezesowi Sądu Kasacyjnego uprawnienia do samodzielnego sprawowania kontroli dyscyplinarnej):</w:t>
      </w:r>
    </w:p>
    <w:p w14:paraId="39CF5EFF" w14:textId="410E215F" w:rsidR="00FB1A8A" w:rsidRPr="00CF7B21" w:rsidRDefault="00000000" w:rsidP="00843F1A">
      <w:pPr>
        <w:pStyle w:val="JuQuot"/>
        <w:rPr>
          <w:lang w:val="pl-PL"/>
        </w:rPr>
      </w:pPr>
      <w:r>
        <w:rPr>
          <w:lang w:val="pl"/>
        </w:rPr>
        <w:t>(1) Uprawnienia do wszczynania postępowań dyscyplinarnych (zgodnie z art. 99 ust. 1 Kodeksu sądowego – ustawa nr 1756/1988) przysługują prokuratorowi Sądu Kasacyjnego oraz głównemu inspektorowi w odniesieniu do wszystkich funkcjonariuszy wymiaru sprawiedliwości (sędziów i prokuratorów), prezesom sądów apelacyjnych zarządzającym danym sądem apelacyjnym w odniesieniu do sędziów z</w:t>
      </w:r>
      <w:r w:rsidR="00CF7B21">
        <w:rPr>
          <w:lang w:val="pl"/>
        </w:rPr>
        <w:t> </w:t>
      </w:r>
      <w:r>
        <w:rPr>
          <w:lang w:val="pl"/>
        </w:rPr>
        <w:t>ich regionu oraz prokuratorom sądów apelacyjnych kierującym prokuraturą w</w:t>
      </w:r>
      <w:r w:rsidR="00CF7B21">
        <w:rPr>
          <w:lang w:val="pl"/>
        </w:rPr>
        <w:t> </w:t>
      </w:r>
      <w:r>
        <w:rPr>
          <w:lang w:val="pl"/>
        </w:rPr>
        <w:t>odniesieniu do prokuratorów w ich regionie. Na mocy art. 46 ust. 3 ustawy nr</w:t>
      </w:r>
      <w:r w:rsidR="00CF7B21">
        <w:rPr>
          <w:lang w:val="pl"/>
        </w:rPr>
        <w:t> </w:t>
      </w:r>
      <w:r>
        <w:rPr>
          <w:lang w:val="pl"/>
        </w:rPr>
        <w:t xml:space="preserve">4356/2015 rozszerzono kompetencje prezesa Sądu Kasacyjnego. W związku z tym nasuwa się uzasadnione pytanie, komu to przeszkadza i dlaczego – zważywszy, że </w:t>
      </w:r>
      <w:proofErr w:type="gramStart"/>
      <w:r>
        <w:rPr>
          <w:lang w:val="pl"/>
        </w:rPr>
        <w:t xml:space="preserve">oprócz </w:t>
      </w:r>
      <w:r w:rsidR="001C7A11">
        <w:rPr>
          <w:lang w:val="pl"/>
        </w:rPr>
        <w:t xml:space="preserve"> prezesa</w:t>
      </w:r>
      <w:proofErr w:type="gramEnd"/>
      <w:r w:rsidR="001C7A11">
        <w:rPr>
          <w:lang w:val="pl"/>
        </w:rPr>
        <w:t xml:space="preserve"> Sądu Kasacyjnego</w:t>
      </w:r>
      <w:r>
        <w:rPr>
          <w:lang w:val="pl"/>
        </w:rPr>
        <w:t xml:space="preserve"> kompetencje te uzyska</w:t>
      </w:r>
      <w:r w:rsidR="001C7A11">
        <w:rPr>
          <w:lang w:val="pl"/>
        </w:rPr>
        <w:t>li</w:t>
      </w:r>
      <w:r>
        <w:rPr>
          <w:lang w:val="pl"/>
        </w:rPr>
        <w:t xml:space="preserve"> </w:t>
      </w:r>
      <w:proofErr w:type="gramStart"/>
      <w:r>
        <w:rPr>
          <w:lang w:val="pl"/>
        </w:rPr>
        <w:t xml:space="preserve">również </w:t>
      </w:r>
      <w:r w:rsidR="001C7A11">
        <w:rPr>
          <w:lang w:val="pl"/>
        </w:rPr>
        <w:t xml:space="preserve"> prokurator</w:t>
      </w:r>
      <w:proofErr w:type="gramEnd"/>
      <w:r w:rsidR="001C7A11">
        <w:rPr>
          <w:lang w:val="pl"/>
        </w:rPr>
        <w:t xml:space="preserve"> Sądu Kasacyjnego i główny inspektor</w:t>
      </w:r>
      <w:r>
        <w:rPr>
          <w:lang w:val="pl"/>
        </w:rPr>
        <w:t>. Z treści ustawy jasno wynika również, że wszystkie organy uprawnione do prowadzenia postępowań dyscyplinarnych są organami jednoosobowymi, a twierdzenie, że dotychczas prawo do sprawowania kontroli dyscyplinarnej przysługiwało wyłącznie organom wieloosobowym – jak twierdzą niektórzy, próbując wprowadzać w błąd – jest całkowicie nieprawdziwe.</w:t>
      </w:r>
    </w:p>
    <w:p w14:paraId="637C2085" w14:textId="43C08C35" w:rsidR="00FB1A8A" w:rsidRPr="00CF7B21" w:rsidRDefault="00000000" w:rsidP="00843F1A">
      <w:pPr>
        <w:pStyle w:val="JuQuot"/>
        <w:rPr>
          <w:lang w:val="pl-PL"/>
        </w:rPr>
      </w:pPr>
      <w:r>
        <w:rPr>
          <w:lang w:val="pl"/>
        </w:rPr>
        <w:t>(2) Całkowicie nieprawdziwe jest również twierdzenie, że prezes wszczynający postępowanie dyscyplinarne osądza osobę objętą postępowaniem, uczestnicząc w</w:t>
      </w:r>
      <w:r w:rsidR="00CF7B21">
        <w:rPr>
          <w:lang w:val="pl"/>
        </w:rPr>
        <w:t> </w:t>
      </w:r>
      <w:r>
        <w:rPr>
          <w:lang w:val="pl"/>
        </w:rPr>
        <w:t>obradach komisji dyscyplinarnej, zważywszy, że „osoby, które wszczęły postępowanie dyscyplinarne lub prowadziły postępowanie wyjaśniające w tej samej sprawie dyscyplinarnej, nie mogą uczestniczyć w obradach komisji dyscyplinarnej ani trybunału w celu rozpoznania danej sprawy dyscyplinarnej” (art. 97 ust. 5 wyżej wymienionej ustawy).</w:t>
      </w:r>
    </w:p>
    <w:p w14:paraId="2BF87DE3" w14:textId="77777777" w:rsidR="00FB1A8A" w:rsidRPr="00CF7B21" w:rsidRDefault="00000000" w:rsidP="00843F1A">
      <w:pPr>
        <w:pStyle w:val="JuPara"/>
        <w:ind w:left="284"/>
        <w:rPr>
          <w:sz w:val="20"/>
          <w:szCs w:val="20"/>
          <w:lang w:val="pl-PL"/>
        </w:rPr>
      </w:pPr>
      <w:r>
        <w:rPr>
          <w:sz w:val="20"/>
          <w:szCs w:val="20"/>
          <w:lang w:val="pl"/>
        </w:rPr>
        <w:t xml:space="preserve">B. W odniesieniu do podjęcia przeze mnie czynności dyscyplinarnych wobec prokurator Sądu Apelacyjnego Georgii </w:t>
      </w:r>
      <w:proofErr w:type="spellStart"/>
      <w:r>
        <w:rPr>
          <w:sz w:val="20"/>
          <w:szCs w:val="20"/>
          <w:lang w:val="pl"/>
        </w:rPr>
        <w:t>Tsatani</w:t>
      </w:r>
      <w:proofErr w:type="spellEnd"/>
      <w:r>
        <w:rPr>
          <w:sz w:val="20"/>
          <w:szCs w:val="20"/>
          <w:lang w:val="pl"/>
        </w:rPr>
        <w:t xml:space="preserve"> (w związku ze [...] sprawą przeciwko V.):</w:t>
      </w:r>
    </w:p>
    <w:p w14:paraId="770232B2" w14:textId="77777777" w:rsidR="00FB1A8A" w:rsidRPr="00CF7B21" w:rsidRDefault="00000000" w:rsidP="00843F1A">
      <w:pPr>
        <w:pStyle w:val="JuQuot"/>
        <w:rPr>
          <w:lang w:val="pl-PL"/>
        </w:rPr>
      </w:pPr>
      <w:r>
        <w:rPr>
          <w:lang w:val="pl"/>
        </w:rPr>
        <w:t>(1) Osoba uprawniona do wszczęcia postępowania dyscyplinarnego ma prawo (na mocy art. 99 ust. 1 lit. a) wyżej wymienionej ustawy) do wszczęcia wstępnego postępowania wyjaśniającego, które jest prowadzone na jej polecenie lub przez innego funkcjonariusza wymiaru sprawiedliwości o wyższej randze niż osoba objęta postępowaniem, lub osobiście, tak jak uczyniłam to w niniejszej sprawie ze względu na szeroki rozgłos, jaki zyskała ta sprawa, oraz duże znaczenie społeczno-gospodarcze spraw prowadzonych przez osobę objętą postępowaniem.</w:t>
      </w:r>
    </w:p>
    <w:p w14:paraId="2A5FD093" w14:textId="7D763233" w:rsidR="00FB1A8A" w:rsidRPr="00CF7B21" w:rsidRDefault="00000000" w:rsidP="00843F1A">
      <w:pPr>
        <w:pStyle w:val="JuQuot"/>
        <w:rPr>
          <w:lang w:val="pl-PL"/>
        </w:rPr>
      </w:pPr>
      <w:r>
        <w:rPr>
          <w:lang w:val="pl"/>
        </w:rPr>
        <w:t>(2) W związku z tym podniesione podstawy wyłączenia, dotyczące podejrzeń co do mojej bezstronności – a mianowicie, że to ja sama miałabym wszcząć postępowanie dyscyplinarne „za radą” cypryjskich urzędników lub że miałyby łączyć mnie z nimi więzi znajomości wynikające z mojego statusu pełniącej tymczasowo obowiązki premiera lub że miałabym utrzymywać stosunki służbowej współpracy z</w:t>
      </w:r>
      <w:r w:rsidR="00CF7B21">
        <w:rPr>
          <w:lang w:val="pl"/>
        </w:rPr>
        <w:t> </w:t>
      </w:r>
      <w:r>
        <w:rPr>
          <w:lang w:val="pl"/>
        </w:rPr>
        <w:t>wiceministrem sprawiedliwości, panem D.P. – nie wymagają nawet odpowiedzi, ponieważ gdyby formalne stosunki służbowe lub zwykła znajomość miały być oceniane jako podstawy wyłączenia, wówczas każdy funkcjonariusz wymiaru sprawiedliwości musiałby zostać wyłączony. Pozostałe podstawy wyłączenia zostały uznane w</w:t>
      </w:r>
      <w:r w:rsidR="00CF7B21">
        <w:rPr>
          <w:lang w:val="pl"/>
        </w:rPr>
        <w:t> </w:t>
      </w:r>
      <w:r>
        <w:rPr>
          <w:lang w:val="pl"/>
        </w:rPr>
        <w:t>orzecznictwie za nieuzasadnione (orzeczenie nr 1080/2010 Sądu Kasacyjnego), a</w:t>
      </w:r>
      <w:r w:rsidR="00CF7B21">
        <w:rPr>
          <w:lang w:val="pl"/>
        </w:rPr>
        <w:t> </w:t>
      </w:r>
      <w:r>
        <w:rPr>
          <w:lang w:val="pl"/>
        </w:rPr>
        <w:t xml:space="preserve">ponadto są one całkowicie bezzasadne pod względem merytorycznym i </w:t>
      </w:r>
      <w:r>
        <w:rPr>
          <w:lang w:val="pl"/>
        </w:rPr>
        <w:lastRenderedPageBreak/>
        <w:t>nieprawdziwe, podobnie jak twierdzenie, jakobym miała się przyznać, iż doręczone jej wezwanie do złożenia pisemnych wyjaśnień było niejasne.</w:t>
      </w:r>
    </w:p>
    <w:p w14:paraId="38D15F42" w14:textId="149DCEEC" w:rsidR="00FB1A8A" w:rsidRPr="00CF7B21" w:rsidRDefault="00000000" w:rsidP="00843F1A">
      <w:pPr>
        <w:pStyle w:val="JuQuot"/>
        <w:rPr>
          <w:lang w:val="pl-PL"/>
        </w:rPr>
      </w:pPr>
      <w:r>
        <w:rPr>
          <w:lang w:val="pl"/>
        </w:rPr>
        <w:t>(3) Niemniej pomimo bezzasadności przedmiotowego wniosku o wyłączenie, faktu, że stanowił on nadużycie praw procesowych, oraz faktu, że nigdy nie żywiłam żadnej niechęci ani antypatii wobec osoby objętej postępowaniem, z którą, przeciwnie, zawsze utrzymywałam bardzo dobre stosunki służbowe, a także faktu, że nie łączą mnie żadne szczególne relacje z cypryjskimi urzędnikami, którzy dokonali zgłoszenia, powierzyłam jednak wiceprezesowi Sądu Najwyższego dalsze prowadzenie postępowania dyscyplinarnego oraz sporządzenie odpowiedniego protokołu w celu ochrony autorytetu i wiarygodności zarówno mojej pozycji instytucjonalnej, jak i</w:t>
      </w:r>
      <w:r w:rsidR="00CF7B21">
        <w:rPr>
          <w:lang w:val="pl"/>
        </w:rPr>
        <w:t> </w:t>
      </w:r>
      <w:r>
        <w:rPr>
          <w:lang w:val="pl"/>
        </w:rPr>
        <w:t>sądownictwa w ogóle [...]”.</w:t>
      </w:r>
    </w:p>
    <w:bookmarkStart w:id="15" w:name="PressArticle"/>
    <w:p w14:paraId="5340483C" w14:textId="1B95EAC4"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33</w:t>
      </w:r>
      <w:r>
        <w:rPr>
          <w:lang w:val="pl"/>
        </w:rPr>
        <w:fldChar w:fldCharType="end"/>
      </w:r>
      <w:bookmarkEnd w:id="15"/>
      <w:r>
        <w:rPr>
          <w:lang w:val="pl"/>
        </w:rPr>
        <w:t>.  W dniach 18 i 19 kwietnia 2016 r. wspomniany komunikat prasowy V.T. przytoczono w artykułach prasowych. Jeden z artykułów ukazał się 19 kwietnia 2016 r. w gazecie „</w:t>
      </w:r>
      <w:proofErr w:type="spellStart"/>
      <w:r>
        <w:rPr>
          <w:i/>
          <w:iCs/>
          <w:lang w:val="pl"/>
        </w:rPr>
        <w:t>Efymerida</w:t>
      </w:r>
      <w:proofErr w:type="spellEnd"/>
      <w:r>
        <w:rPr>
          <w:i/>
          <w:iCs/>
          <w:lang w:val="pl"/>
        </w:rPr>
        <w:t xml:space="preserve"> ton </w:t>
      </w:r>
      <w:proofErr w:type="spellStart"/>
      <w:r>
        <w:rPr>
          <w:i/>
          <w:iCs/>
          <w:lang w:val="pl"/>
        </w:rPr>
        <w:t>Sintakton</w:t>
      </w:r>
      <w:proofErr w:type="spellEnd"/>
      <w:r>
        <w:rPr>
          <w:lang w:val="pl"/>
        </w:rPr>
        <w:t>” pod tytułem „[</w:t>
      </w:r>
      <w:proofErr w:type="gramStart"/>
      <w:r>
        <w:rPr>
          <w:lang w:val="pl"/>
        </w:rPr>
        <w:t>V.]T.</w:t>
      </w:r>
      <w:proofErr w:type="gramEnd"/>
      <w:r>
        <w:rPr>
          <w:lang w:val="pl"/>
        </w:rPr>
        <w:t>: Walczę z potężnymi, powiązanymi ze sobą grupami interesów” i</w:t>
      </w:r>
      <w:r w:rsidR="00CF7B21">
        <w:rPr>
          <w:lang w:val="pl"/>
        </w:rPr>
        <w:t> </w:t>
      </w:r>
      <w:r>
        <w:rPr>
          <w:lang w:val="pl"/>
        </w:rPr>
        <w:t xml:space="preserve">wspomniano w nim o tym, że V.T. wydała bezprecedensowy komunikat prasowy. V.T. miała nawiązać do toczącego się postępowania dyscyplinarnego i wymienić skarżącą z imienia i </w:t>
      </w:r>
      <w:proofErr w:type="gramStart"/>
      <w:r>
        <w:rPr>
          <w:lang w:val="pl"/>
        </w:rPr>
        <w:t xml:space="preserve">nazwiska, </w:t>
      </w:r>
      <w:r w:rsidR="003F39D3">
        <w:rPr>
          <w:lang w:val="pl"/>
        </w:rPr>
        <w:t xml:space="preserve"> twierdząc</w:t>
      </w:r>
      <w:proofErr w:type="gramEnd"/>
      <w:r>
        <w:rPr>
          <w:lang w:val="pl"/>
        </w:rPr>
        <w:t>, że nie łączy jej żadna szczególna relacja z cypryjskimi urzędnikami, którzy zwrócili się do niej w tej sprawie, oraz powtórzy</w:t>
      </w:r>
      <w:r w:rsidR="003F39D3">
        <w:rPr>
          <w:lang w:val="pl"/>
        </w:rPr>
        <w:t>ć</w:t>
      </w:r>
      <w:r>
        <w:rPr>
          <w:lang w:val="pl"/>
        </w:rPr>
        <w:t>, że wniosek skarżącej o</w:t>
      </w:r>
      <w:r w:rsidR="00CF7B21">
        <w:rPr>
          <w:lang w:val="pl"/>
        </w:rPr>
        <w:t> </w:t>
      </w:r>
      <w:r>
        <w:rPr>
          <w:lang w:val="pl"/>
        </w:rPr>
        <w:t>wyłączenie był „bezzasadny” i stanowił „nadużycie praw procesowych”.</w:t>
      </w:r>
    </w:p>
    <w:p w14:paraId="641FF6CB" w14:textId="77777777" w:rsidR="00FB1A8A" w:rsidRPr="00843F1A" w:rsidRDefault="00000000" w:rsidP="00843F1A">
      <w:pPr>
        <w:pStyle w:val="JuHA"/>
      </w:pPr>
      <w:r>
        <w:rPr>
          <w:lang w:val="pl"/>
        </w:rPr>
        <w:t>Wystąpienia wiceministra sprawiedliwości przed parlamentem</w:t>
      </w:r>
    </w:p>
    <w:bookmarkStart w:id="16" w:name="Minister"/>
    <w:p w14:paraId="394BB126" w14:textId="37854D6F"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34</w:t>
      </w:r>
      <w:r>
        <w:rPr>
          <w:lang w:val="pl"/>
        </w:rPr>
        <w:fldChar w:fldCharType="end"/>
      </w:r>
      <w:bookmarkEnd w:id="16"/>
      <w:r>
        <w:rPr>
          <w:lang w:val="pl"/>
        </w:rPr>
        <w:t>.  29 marca 2016 r. parlament przeprowadził debatę na temat zmian w</w:t>
      </w:r>
      <w:r w:rsidR="00CF7B21">
        <w:rPr>
          <w:lang w:val="pl"/>
        </w:rPr>
        <w:t> </w:t>
      </w:r>
      <w:r>
        <w:rPr>
          <w:lang w:val="pl"/>
        </w:rPr>
        <w:t xml:space="preserve">sądownictwie. W tym kontekście głos zabrał D.P., wiceminister sprawiedliwości, przejrzystości i praw człowieka, twierdząc, że istnieje spisek mający na celu wrobienie go w rzekome ingerencje w działalność wymiaru sprawiedliwości. W tym kontekście D.P. zwrócił uwagę, że skarżąca zarzucała mu również, iż próbował wywrzeć wpływ na sposób prowadzenia przez nią spraw. Dodał, że przeciwko skarżącej toczy się postępowanie dyscyplinarne, a jego źródłem było pismo cypryjskiego </w:t>
      </w:r>
      <w:r w:rsidR="003F39D3">
        <w:rPr>
          <w:lang w:val="pl"/>
        </w:rPr>
        <w:t>M</w:t>
      </w:r>
      <w:r>
        <w:rPr>
          <w:lang w:val="pl"/>
        </w:rPr>
        <w:t xml:space="preserve">inistra </w:t>
      </w:r>
      <w:r w:rsidR="003F39D3">
        <w:rPr>
          <w:lang w:val="pl"/>
        </w:rPr>
        <w:t>S</w:t>
      </w:r>
      <w:r>
        <w:rPr>
          <w:lang w:val="pl"/>
        </w:rPr>
        <w:t xml:space="preserve">prawiedliwości do </w:t>
      </w:r>
      <w:r w:rsidR="003F39D3">
        <w:rPr>
          <w:lang w:val="pl"/>
        </w:rPr>
        <w:t>P</w:t>
      </w:r>
      <w:r>
        <w:rPr>
          <w:lang w:val="pl"/>
        </w:rPr>
        <w:t>rezesa SK. D.P. zaznaczył, że podał tę informację, „aby uchronić spiskowców przed popełnieniem kolejnych błędów w ich wysiłkach ponownego zafałszowania rzeczywistości”, oraz że lepiej jest „poczekać na zakończenie postępowania dyscyplinarnego i na to, co jeszcze wyjdzie na jaw później”.</w:t>
      </w:r>
    </w:p>
    <w:p w14:paraId="27D7CBC2" w14:textId="77777777" w:rsidR="00FB1A8A" w:rsidRPr="00843F1A" w:rsidRDefault="00000000" w:rsidP="00843F1A">
      <w:pPr>
        <w:pStyle w:val="JuHHead"/>
      </w:pPr>
      <w:r>
        <w:rPr>
          <w:bCs w:val="0"/>
          <w:lang w:val="pl"/>
        </w:rPr>
        <w:t>WŁAŚCIWE RAMY PRAWNE i praktyka</w:t>
      </w:r>
    </w:p>
    <w:p w14:paraId="1CB099DC" w14:textId="77777777" w:rsidR="00FB1A8A" w:rsidRPr="00843F1A" w:rsidRDefault="00000000" w:rsidP="00843F1A">
      <w:pPr>
        <w:pStyle w:val="JuHIRoman"/>
      </w:pPr>
      <w:r>
        <w:rPr>
          <w:bCs w:val="0"/>
          <w:caps w:val="0"/>
          <w:lang w:val="pl"/>
        </w:rPr>
        <w:t>WŁAŚCIWE PRZEPISY PRAWNE</w:t>
      </w:r>
    </w:p>
    <w:p w14:paraId="3E0B523B" w14:textId="77777777" w:rsidR="00FB1A8A" w:rsidRPr="00843F1A" w:rsidRDefault="00000000" w:rsidP="00843F1A">
      <w:pPr>
        <w:pStyle w:val="JuHA"/>
      </w:pPr>
      <w:r>
        <w:rPr>
          <w:lang w:val="pl"/>
        </w:rPr>
        <w:t>Konstytucja</w:t>
      </w:r>
    </w:p>
    <w:bookmarkStart w:id="17" w:name="Constitution"/>
    <w:p w14:paraId="535E7BF2" w14:textId="0FF865A8"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35</w:t>
      </w:r>
      <w:r>
        <w:rPr>
          <w:lang w:val="pl"/>
        </w:rPr>
        <w:fldChar w:fldCharType="end"/>
      </w:r>
      <w:bookmarkEnd w:id="17"/>
      <w:r>
        <w:rPr>
          <w:lang w:val="pl"/>
        </w:rPr>
        <w:t xml:space="preserve">.  W zakresie istotnym dla sprawy </w:t>
      </w:r>
      <w:r w:rsidR="006931DB">
        <w:rPr>
          <w:lang w:val="pl"/>
        </w:rPr>
        <w:t>K</w:t>
      </w:r>
      <w:r>
        <w:rPr>
          <w:lang w:val="pl"/>
        </w:rPr>
        <w:t>onstytucja stanowi, co następuje:</w:t>
      </w:r>
    </w:p>
    <w:p w14:paraId="6AC5DCEF" w14:textId="77777777" w:rsidR="00FB1A8A" w:rsidRPr="00CF7B21" w:rsidRDefault="00000000" w:rsidP="00843F1A">
      <w:pPr>
        <w:pStyle w:val="JuHArticle"/>
        <w:rPr>
          <w:lang w:val="pl-PL"/>
        </w:rPr>
      </w:pPr>
      <w:r>
        <w:rPr>
          <w:bCs/>
          <w:lang w:val="pl"/>
        </w:rPr>
        <w:lastRenderedPageBreak/>
        <w:t>Artykuł 37</w:t>
      </w:r>
    </w:p>
    <w:p w14:paraId="43B9BDDA" w14:textId="77777777" w:rsidR="00FB1A8A" w:rsidRPr="00CF7B21" w:rsidRDefault="00000000" w:rsidP="00843F1A">
      <w:pPr>
        <w:pStyle w:val="JuHArticle"/>
        <w:rPr>
          <w:lang w:val="pl-PL"/>
        </w:rPr>
      </w:pPr>
      <w:r>
        <w:rPr>
          <w:bCs/>
          <w:lang w:val="pl"/>
        </w:rPr>
        <w:t>Powołanie premiera i rządu</w:t>
      </w:r>
    </w:p>
    <w:p w14:paraId="47B525F1" w14:textId="77777777" w:rsidR="00FB1A8A" w:rsidRPr="00CF7B21" w:rsidRDefault="00000000" w:rsidP="00843F1A">
      <w:pPr>
        <w:pStyle w:val="JuQuot"/>
        <w:rPr>
          <w:lang w:val="pl-PL"/>
        </w:rPr>
      </w:pPr>
      <w:r>
        <w:rPr>
          <w:lang w:val="pl"/>
        </w:rPr>
        <w:t>„[...]</w:t>
      </w:r>
    </w:p>
    <w:p w14:paraId="0B7D6EE9" w14:textId="476098B3" w:rsidR="00FB1A8A" w:rsidRPr="00CF7B21" w:rsidRDefault="00000000" w:rsidP="00843F1A">
      <w:pPr>
        <w:pStyle w:val="JuQuot"/>
        <w:rPr>
          <w:lang w:val="pl-PL"/>
        </w:rPr>
      </w:pPr>
      <w:r>
        <w:rPr>
          <w:lang w:val="pl"/>
        </w:rPr>
        <w:t>3. [...] w razie potwierdzenia niemożności utworzenia rządu cieszącego się zaufaniem Izby Deputowanych, [Prezydent Republiki] stara się uzgodnić utworzenie rządu, złożonego z przedstawicieli wszystkich partii wchodzących w skład Izby Deputowanych, w celu przeprowadzenia nowych wyborów. W razie niepowodzenia tego przedsięwzięcia, powierza on prezesowi Naczelnego Sądu Administracyjnego, Sądu Kasacyjnego lub Izby Obrachunkowej utworzenie rządu, cieszącego się możliwie największym poparciem, w celu przeprowadzenia wyborów oraz rozwiązuje Izbę Deputowanych.</w:t>
      </w:r>
    </w:p>
    <w:p w14:paraId="6614AABF" w14:textId="77777777" w:rsidR="00FB1A8A" w:rsidRPr="00CF7B21" w:rsidRDefault="00000000" w:rsidP="00843F1A">
      <w:pPr>
        <w:pStyle w:val="JuHArticle"/>
        <w:rPr>
          <w:lang w:val="pl-PL"/>
        </w:rPr>
      </w:pPr>
      <w:r>
        <w:rPr>
          <w:bCs/>
          <w:lang w:val="pl"/>
        </w:rPr>
        <w:t>Artykuł 87</w:t>
      </w:r>
    </w:p>
    <w:p w14:paraId="41E753E1" w14:textId="77777777" w:rsidR="00FB1A8A" w:rsidRPr="00CF7B21" w:rsidRDefault="00000000" w:rsidP="00843F1A">
      <w:pPr>
        <w:pStyle w:val="JuHArticle"/>
        <w:rPr>
          <w:lang w:val="pl-PL"/>
        </w:rPr>
      </w:pPr>
      <w:r>
        <w:rPr>
          <w:bCs/>
          <w:lang w:val="pl"/>
        </w:rPr>
        <w:t>Niezawisłość sędziowska</w:t>
      </w:r>
    </w:p>
    <w:p w14:paraId="6289A731" w14:textId="77777777" w:rsidR="00FB1A8A" w:rsidRPr="00CF7B21" w:rsidRDefault="00000000" w:rsidP="00843F1A">
      <w:pPr>
        <w:pStyle w:val="JuQuot"/>
        <w:rPr>
          <w:lang w:val="pl-PL"/>
        </w:rPr>
      </w:pPr>
      <w:r>
        <w:rPr>
          <w:lang w:val="pl"/>
        </w:rPr>
        <w:t>„1. Sprawiedliwość wymierzana jest przez sądy składające się z sędziów orzekających, którym przysługuje niezawisłość osobista i funkcjonalna [...]</w:t>
      </w:r>
    </w:p>
    <w:p w14:paraId="55DFF571" w14:textId="77777777" w:rsidR="00FB1A8A" w:rsidRPr="00CF7B21" w:rsidRDefault="00000000" w:rsidP="00843F1A">
      <w:pPr>
        <w:pStyle w:val="JuQuot"/>
        <w:rPr>
          <w:lang w:val="pl-PL"/>
        </w:rPr>
      </w:pPr>
      <w:r>
        <w:rPr>
          <w:lang w:val="pl"/>
        </w:rPr>
        <w:t>[...]”.</w:t>
      </w:r>
    </w:p>
    <w:p w14:paraId="0BD7C672" w14:textId="77777777" w:rsidR="00FB1A8A" w:rsidRPr="00CF7B21" w:rsidRDefault="00000000" w:rsidP="00843F1A">
      <w:pPr>
        <w:pStyle w:val="JuHArticle"/>
        <w:rPr>
          <w:lang w:val="pl-PL"/>
        </w:rPr>
      </w:pPr>
      <w:r>
        <w:rPr>
          <w:bCs/>
          <w:lang w:val="pl"/>
        </w:rPr>
        <w:t>Artykuł 88</w:t>
      </w:r>
    </w:p>
    <w:p w14:paraId="6FE4C772" w14:textId="25BF178D" w:rsidR="00FB1A8A" w:rsidRPr="00CF7B21" w:rsidRDefault="00000000" w:rsidP="00843F1A">
      <w:pPr>
        <w:pStyle w:val="JuHArticle"/>
        <w:rPr>
          <w:lang w:val="pl-PL"/>
        </w:rPr>
      </w:pPr>
      <w:r>
        <w:rPr>
          <w:bCs/>
          <w:lang w:val="pl"/>
        </w:rPr>
        <w:t>Gwarancje niezawisłości funkcjonariuszy wymiaru sprawiedliwości, wynagrodzenia i</w:t>
      </w:r>
      <w:r w:rsidR="00CF7B21">
        <w:rPr>
          <w:bCs/>
          <w:lang w:val="pl"/>
        </w:rPr>
        <w:t> </w:t>
      </w:r>
      <w:r>
        <w:rPr>
          <w:bCs/>
          <w:lang w:val="pl"/>
        </w:rPr>
        <w:t>oddelegowania</w:t>
      </w:r>
    </w:p>
    <w:p w14:paraId="36C45DEB" w14:textId="20797B73" w:rsidR="00FB1A8A" w:rsidRPr="00CF7B21" w:rsidRDefault="00000000" w:rsidP="00843F1A">
      <w:pPr>
        <w:pStyle w:val="JuQuot"/>
        <w:rPr>
          <w:lang w:val="pl-PL"/>
        </w:rPr>
      </w:pPr>
      <w:r>
        <w:rPr>
          <w:lang w:val="pl"/>
        </w:rPr>
        <w:t xml:space="preserve">„1. Funkcjonariusze wymiaru sprawiedliwości są mianowani dożywotnio na mocy dekretu prezydenckiego, zgodnie z ustawą, która określa wymagane kwalifikacje oraz </w:t>
      </w:r>
      <w:proofErr w:type="gramStart"/>
      <w:r>
        <w:rPr>
          <w:lang w:val="pl"/>
        </w:rPr>
        <w:t>procedur</w:t>
      </w:r>
      <w:r w:rsidR="007F0FD5">
        <w:rPr>
          <w:lang w:val="pl"/>
        </w:rPr>
        <w:t>ę</w:t>
      </w:r>
      <w:r>
        <w:rPr>
          <w:lang w:val="pl"/>
        </w:rPr>
        <w:t xml:space="preserve"> </w:t>
      </w:r>
      <w:r w:rsidR="007F0FD5">
        <w:rPr>
          <w:lang w:val="pl"/>
        </w:rPr>
        <w:t xml:space="preserve"> wyboru</w:t>
      </w:r>
      <w:proofErr w:type="gramEnd"/>
      <w:r>
        <w:rPr>
          <w:lang w:val="pl"/>
        </w:rPr>
        <w:t>.</w:t>
      </w:r>
    </w:p>
    <w:p w14:paraId="2653E3CE" w14:textId="77777777" w:rsidR="00FB1A8A" w:rsidRPr="00CF7B21" w:rsidRDefault="00000000" w:rsidP="00843F1A">
      <w:pPr>
        <w:pStyle w:val="JuQuot"/>
        <w:rPr>
          <w:lang w:val="pl-PL"/>
        </w:rPr>
      </w:pPr>
      <w:r>
        <w:rPr>
          <w:lang w:val="pl"/>
        </w:rPr>
        <w:t>2. Wynagrodzenie funkcjonariuszy wymiaru sprawiedliwości zależy od ich stanowiska. Zasady dotyczące ich wynagradzania, przyznawania im odpowiedniego stopnia oraz ich ogólnego statusu regulują odrębne ustawy [...]</w:t>
      </w:r>
    </w:p>
    <w:p w14:paraId="7B570ABB" w14:textId="46E633CB" w:rsidR="00FB1A8A" w:rsidRPr="00CF7B21" w:rsidRDefault="00000000" w:rsidP="00843F1A">
      <w:pPr>
        <w:pStyle w:val="JuQuot"/>
        <w:rPr>
          <w:lang w:val="pl-PL"/>
        </w:rPr>
      </w:pPr>
      <w:r>
        <w:rPr>
          <w:lang w:val="pl"/>
        </w:rPr>
        <w:t xml:space="preserve">4. Funkcjonariusze wymiaru sprawiedliwości mogą być </w:t>
      </w:r>
      <w:proofErr w:type="gramStart"/>
      <w:r>
        <w:rPr>
          <w:lang w:val="pl"/>
        </w:rPr>
        <w:t xml:space="preserve">odwoływani, </w:t>
      </w:r>
      <w:r w:rsidR="0068378A">
        <w:rPr>
          <w:lang w:val="pl"/>
        </w:rPr>
        <w:t xml:space="preserve"> wyłącznie</w:t>
      </w:r>
      <w:proofErr w:type="gramEnd"/>
      <w:r>
        <w:rPr>
          <w:lang w:val="pl"/>
        </w:rPr>
        <w:t xml:space="preserve"> na mocy orzeczenia sądowego z powodu skazania za przestępstwo karne lub z powodu ciężkiego przewinienia dyscyplinarnego, choroby, inwalidztwa </w:t>
      </w:r>
      <w:proofErr w:type="gramStart"/>
      <w:r>
        <w:rPr>
          <w:lang w:val="pl"/>
        </w:rPr>
        <w:t xml:space="preserve">lub </w:t>
      </w:r>
      <w:r w:rsidR="0068378A">
        <w:rPr>
          <w:lang w:val="pl"/>
        </w:rPr>
        <w:t xml:space="preserve"> niezdolności</w:t>
      </w:r>
      <w:proofErr w:type="gramEnd"/>
      <w:r w:rsidR="0068378A">
        <w:rPr>
          <w:lang w:val="pl"/>
        </w:rPr>
        <w:t xml:space="preserve"> do pełnienia funkcji</w:t>
      </w:r>
      <w:r>
        <w:rPr>
          <w:lang w:val="pl"/>
        </w:rPr>
        <w:t xml:space="preserve"> stwierdzonymi zgodnie z przepisami ustawy oraz z</w:t>
      </w:r>
      <w:r w:rsidR="00CF7B21">
        <w:rPr>
          <w:lang w:val="pl"/>
        </w:rPr>
        <w:t> </w:t>
      </w:r>
      <w:r>
        <w:rPr>
          <w:lang w:val="pl"/>
        </w:rPr>
        <w:t>poszanowaniem postanowień art. 93 ust. 2 i 3.</w:t>
      </w:r>
    </w:p>
    <w:p w14:paraId="5543B147" w14:textId="77777777" w:rsidR="00FB1A8A" w:rsidRPr="00CF7B21" w:rsidRDefault="00000000" w:rsidP="00843F1A">
      <w:pPr>
        <w:pStyle w:val="JuQuot"/>
        <w:rPr>
          <w:lang w:val="pl-PL"/>
        </w:rPr>
      </w:pPr>
      <w:r>
        <w:rPr>
          <w:lang w:val="pl"/>
        </w:rPr>
        <w:t>5. Funkcjonariusze wymiaru sprawiedliwości aż do stanowiska sędziego Sądu Apelacyjnego lub prokuratora przy tym Sądzie, jak również wszystkie osoby zajmujące stanowiska równorzędne, muszą przejść w stan spoczynku po ukończeniu 65 lat; wszyscy funkcjonariusze sądownictwa zajmujący stanowiska wyższe od wymienionych i równorzędne z nimi, muszą przejść w stan spoczynku po ukończeniu 67 lat. [...]”.</w:t>
      </w:r>
    </w:p>
    <w:p w14:paraId="20F4C8B0" w14:textId="77777777" w:rsidR="00FB1A8A" w:rsidRPr="00CF7B21" w:rsidRDefault="00000000" w:rsidP="00843F1A">
      <w:pPr>
        <w:pStyle w:val="JuHArticle"/>
        <w:rPr>
          <w:lang w:val="pl-PL"/>
        </w:rPr>
      </w:pPr>
      <w:r>
        <w:rPr>
          <w:bCs/>
          <w:lang w:val="pl"/>
        </w:rPr>
        <w:t>Artykuł 90</w:t>
      </w:r>
    </w:p>
    <w:p w14:paraId="69C3BDE2" w14:textId="77777777" w:rsidR="00FB1A8A" w:rsidRPr="00CF7B21" w:rsidRDefault="00000000" w:rsidP="00843F1A">
      <w:pPr>
        <w:pStyle w:val="JuHArticle"/>
        <w:rPr>
          <w:lang w:val="pl-PL"/>
        </w:rPr>
      </w:pPr>
      <w:r>
        <w:rPr>
          <w:bCs/>
          <w:lang w:val="pl"/>
        </w:rPr>
        <w:t>Najwyższa Rada Sądownictwa</w:t>
      </w:r>
    </w:p>
    <w:p w14:paraId="15587EEA" w14:textId="085DC9D1" w:rsidR="00FB1A8A" w:rsidRPr="00CF7B21" w:rsidRDefault="00000000" w:rsidP="00843F1A">
      <w:pPr>
        <w:pStyle w:val="JuQuot"/>
        <w:rPr>
          <w:lang w:val="pl-PL"/>
        </w:rPr>
      </w:pPr>
      <w:r>
        <w:rPr>
          <w:lang w:val="pl"/>
        </w:rPr>
        <w:t xml:space="preserve">„1. Awansowanie, powoływanie na stanowisko, przenoszenie, delegowanie </w:t>
      </w:r>
      <w:proofErr w:type="gramStart"/>
      <w:r>
        <w:rPr>
          <w:lang w:val="pl"/>
        </w:rPr>
        <w:t xml:space="preserve">i </w:t>
      </w:r>
      <w:r w:rsidR="003358A0">
        <w:rPr>
          <w:lang w:val="pl"/>
        </w:rPr>
        <w:t xml:space="preserve"> skierowanie</w:t>
      </w:r>
      <w:proofErr w:type="gramEnd"/>
      <w:r w:rsidR="003358A0">
        <w:rPr>
          <w:lang w:val="pl"/>
        </w:rPr>
        <w:t xml:space="preserve"> do tymczasowego pełnienia obowiązków</w:t>
      </w:r>
      <w:r>
        <w:rPr>
          <w:lang w:val="pl"/>
        </w:rPr>
        <w:t xml:space="preserve"> funkcjonariuszy wymiaru sprawiedliwości odbywa się na mocy dekretu prezydenckiego, wydanego na podstawie decyzji Najwyższej Rady Sądownictwa. [Rada] składa się z prezesa danego sądu najwyższego oraz funkcjonariuszy tego samego sądu wyznaczonych w drodze losowania spośród osób sprawujących swe funkcje w tym sądzie przez co najmniej dwa lata. [...]</w:t>
      </w:r>
    </w:p>
    <w:p w14:paraId="7F099B7D" w14:textId="77777777" w:rsidR="00FB1A8A" w:rsidRPr="00CF7B21" w:rsidRDefault="00000000" w:rsidP="00843F1A">
      <w:pPr>
        <w:pStyle w:val="JuQuot"/>
        <w:rPr>
          <w:lang w:val="pl-PL"/>
        </w:rPr>
      </w:pPr>
      <w:r>
        <w:rPr>
          <w:lang w:val="pl"/>
        </w:rPr>
        <w:lastRenderedPageBreak/>
        <w:t>[...]</w:t>
      </w:r>
    </w:p>
    <w:p w14:paraId="2E9F0B5D" w14:textId="77777777" w:rsidR="00FB1A8A" w:rsidRPr="00CF7B21" w:rsidRDefault="00000000" w:rsidP="00843F1A">
      <w:pPr>
        <w:pStyle w:val="JuQuot"/>
        <w:rPr>
          <w:lang w:val="pl-PL"/>
        </w:rPr>
      </w:pPr>
      <w:r>
        <w:rPr>
          <w:lang w:val="pl"/>
        </w:rPr>
        <w:t>5. Awans na stanowisko prezesa [...] Sądu Kasacyjnego [...] następuje na mocy dekretu prezydenckiego wydanego na wniosek Rady Ministrów, po dokonaniu wyboru spośród sędziów odpowiedniego Sądu Najwyższego, zgodnie z przepisami prawa [...].</w:t>
      </w:r>
    </w:p>
    <w:p w14:paraId="2683B97E" w14:textId="77777777" w:rsidR="00FB1A8A" w:rsidRPr="00CF7B21" w:rsidRDefault="00000000" w:rsidP="00843F1A">
      <w:pPr>
        <w:pStyle w:val="JuQuot"/>
        <w:rPr>
          <w:lang w:val="pl-PL"/>
        </w:rPr>
      </w:pPr>
      <w:r>
        <w:rPr>
          <w:lang w:val="pl"/>
        </w:rPr>
        <w:t>[...]”.</w:t>
      </w:r>
    </w:p>
    <w:p w14:paraId="266FCDEC" w14:textId="77777777" w:rsidR="00FB1A8A" w:rsidRPr="00CF7B21" w:rsidRDefault="00000000" w:rsidP="00843F1A">
      <w:pPr>
        <w:pStyle w:val="JuHArticle"/>
        <w:rPr>
          <w:lang w:val="pl-PL"/>
        </w:rPr>
      </w:pPr>
      <w:r>
        <w:rPr>
          <w:bCs/>
          <w:lang w:val="pl"/>
        </w:rPr>
        <w:t>Artykuł 91</w:t>
      </w:r>
    </w:p>
    <w:p w14:paraId="2A3BA496" w14:textId="77777777" w:rsidR="00FB1A8A" w:rsidRPr="00CF7B21" w:rsidRDefault="00000000" w:rsidP="00843F1A">
      <w:pPr>
        <w:pStyle w:val="JuHArticle"/>
        <w:rPr>
          <w:lang w:val="pl-PL"/>
        </w:rPr>
      </w:pPr>
      <w:r>
        <w:rPr>
          <w:bCs/>
          <w:lang w:val="pl"/>
        </w:rPr>
        <w:t>Naczelna Rada Dyscyplinarna</w:t>
      </w:r>
    </w:p>
    <w:p w14:paraId="4D25DDC4" w14:textId="77777777" w:rsidR="00FB1A8A" w:rsidRPr="00CF7B21" w:rsidRDefault="00000000" w:rsidP="00843F1A">
      <w:pPr>
        <w:pStyle w:val="JuQuot"/>
        <w:rPr>
          <w:lang w:val="pl-PL"/>
        </w:rPr>
      </w:pPr>
      <w:r>
        <w:rPr>
          <w:lang w:val="pl"/>
        </w:rPr>
        <w:t>„[...]</w:t>
      </w:r>
    </w:p>
    <w:p w14:paraId="40B988C9" w14:textId="7010C643" w:rsidR="00FB1A8A" w:rsidRPr="00CF7B21" w:rsidRDefault="00000000" w:rsidP="00843F1A">
      <w:pPr>
        <w:pStyle w:val="JuQuot"/>
        <w:rPr>
          <w:lang w:val="pl-PL"/>
        </w:rPr>
      </w:pPr>
      <w:r>
        <w:rPr>
          <w:lang w:val="pl"/>
        </w:rPr>
        <w:t>3. [...] Władzę dyscyplinarną nad innymi funkcjonariuszami wymiaru sprawiedliwości sprawują w pierwszej i drugiej instancji komisje składające się z</w:t>
      </w:r>
      <w:r w:rsidR="00CF7B21">
        <w:rPr>
          <w:lang w:val="pl"/>
        </w:rPr>
        <w:t> </w:t>
      </w:r>
      <w:r>
        <w:rPr>
          <w:lang w:val="pl"/>
        </w:rPr>
        <w:t>sędziów orzekających wyłonionych w drodze losowania, zgodnie z postanowieniami ustawy. Postępowanie dyscyplinarne może również wszcząć minister sprawiedliwości.</w:t>
      </w:r>
    </w:p>
    <w:p w14:paraId="28C16608" w14:textId="77777777" w:rsidR="00FB1A8A" w:rsidRPr="00CF7B21" w:rsidRDefault="00000000" w:rsidP="00843F1A">
      <w:pPr>
        <w:pStyle w:val="JuQuot"/>
        <w:rPr>
          <w:lang w:val="pl-PL"/>
        </w:rPr>
      </w:pPr>
      <w:r>
        <w:rPr>
          <w:lang w:val="pl"/>
        </w:rPr>
        <w:t>4. Od orzeczeń dyscyplinarnych wydanych na podstawie niniejszego artykułu nie przysługuje odwołanie do Naczelnego Sądu Administracyjnego”.</w:t>
      </w:r>
    </w:p>
    <w:p w14:paraId="1E7400AC" w14:textId="77777777" w:rsidR="00FB1A8A" w:rsidRPr="00843F1A" w:rsidRDefault="00000000" w:rsidP="00843F1A">
      <w:pPr>
        <w:pStyle w:val="JuHA"/>
      </w:pPr>
      <w:r>
        <w:rPr>
          <w:lang w:val="pl"/>
        </w:rPr>
        <w:t>Kodeks sądowy (ustawa nr 1756/1988)</w:t>
      </w:r>
    </w:p>
    <w:bookmarkStart w:id="18" w:name="codeofcourts"/>
    <w:p w14:paraId="634A9010" w14:textId="77777777" w:rsidR="00FB1A8A" w:rsidRPr="00CF7B21" w:rsidRDefault="00000000" w:rsidP="00843F1A">
      <w:pPr>
        <w:pStyle w:val="JuPara"/>
        <w:rPr>
          <w:rFonts w:ascii="Times New Roman" w:eastAsia="Times New Roman" w:hAnsi="Times New Roman" w:cs="Times New Roman"/>
          <w:lang w:val="pl-PL"/>
        </w:rPr>
      </w:pPr>
      <w:r>
        <w:rPr>
          <w:rFonts w:ascii="Times New Roman" w:eastAsia="Times New Roman" w:hAnsi="Times New Roman" w:cs="Times New Roman"/>
          <w:lang w:val="pl"/>
        </w:rPr>
        <w:fldChar w:fldCharType="begin"/>
      </w:r>
      <w:r>
        <w:rPr>
          <w:rFonts w:ascii="Times New Roman" w:eastAsia="Times New Roman" w:hAnsi="Times New Roman" w:cs="Times New Roman"/>
          <w:lang w:val="pl"/>
        </w:rPr>
        <w:instrText xml:space="preserve"> SEQ level0 \*arabic \* MERGEFORMAT </w:instrText>
      </w:r>
      <w:r>
        <w:rPr>
          <w:rFonts w:ascii="Times New Roman" w:eastAsia="Times New Roman" w:hAnsi="Times New Roman" w:cs="Times New Roman"/>
          <w:lang w:val="pl"/>
        </w:rPr>
        <w:fldChar w:fldCharType="separate"/>
      </w:r>
      <w:r>
        <w:rPr>
          <w:rFonts w:ascii="Times New Roman" w:eastAsia="Times New Roman" w:hAnsi="Times New Roman" w:cs="Times New Roman"/>
          <w:noProof/>
          <w:lang w:val="pl"/>
        </w:rPr>
        <w:t>36</w:t>
      </w:r>
      <w:r>
        <w:rPr>
          <w:rFonts w:ascii="Times New Roman" w:eastAsia="Times New Roman" w:hAnsi="Times New Roman" w:cs="Times New Roman"/>
          <w:lang w:val="pl"/>
        </w:rPr>
        <w:fldChar w:fldCharType="end"/>
      </w:r>
      <w:bookmarkEnd w:id="18"/>
      <w:r>
        <w:rPr>
          <w:rStyle w:val="JuParaChar"/>
          <w:lang w:val="pl"/>
        </w:rPr>
        <w:t>.  Przepisy ustawy nr 1756/1988 Kodeks sądowy w brzmieniu obowiązującym w czasie istotnym dla sprawy, brzmią następująco:</w:t>
      </w:r>
    </w:p>
    <w:p w14:paraId="3E859DE3" w14:textId="77777777" w:rsidR="00FB1A8A" w:rsidRPr="00CF7B21" w:rsidRDefault="00000000" w:rsidP="00843F1A">
      <w:pPr>
        <w:pStyle w:val="JuHArticle"/>
        <w:rPr>
          <w:rFonts w:eastAsia="Times New Roman"/>
          <w:lang w:val="pl-PL"/>
        </w:rPr>
      </w:pPr>
      <w:r>
        <w:rPr>
          <w:rFonts w:eastAsia="Times New Roman"/>
          <w:bCs/>
          <w:lang w:val="pl"/>
        </w:rPr>
        <w:t>Artykuł 53</w:t>
      </w:r>
    </w:p>
    <w:p w14:paraId="2706F2C5" w14:textId="77777777" w:rsidR="00FB1A8A" w:rsidRPr="00CF7B21" w:rsidRDefault="00000000" w:rsidP="00843F1A">
      <w:pPr>
        <w:pStyle w:val="JuHArticle"/>
        <w:rPr>
          <w:rFonts w:eastAsia="Times New Roman"/>
          <w:lang w:val="pl-PL"/>
        </w:rPr>
      </w:pPr>
      <w:r>
        <w:rPr>
          <w:rFonts w:eastAsia="Times New Roman"/>
          <w:bCs/>
          <w:lang w:val="pl"/>
        </w:rPr>
        <w:t>Nieusuwalność</w:t>
      </w:r>
    </w:p>
    <w:p w14:paraId="509C3938" w14:textId="77777777" w:rsidR="00FB1A8A" w:rsidRPr="00CF7B21" w:rsidRDefault="00000000" w:rsidP="00843F1A">
      <w:pPr>
        <w:pStyle w:val="JuQuot"/>
        <w:rPr>
          <w:rFonts w:eastAsia="Times New Roman"/>
          <w:lang w:val="pl-PL"/>
        </w:rPr>
      </w:pPr>
      <w:r>
        <w:rPr>
          <w:rFonts w:eastAsia="Times New Roman"/>
          <w:lang w:val="pl"/>
        </w:rPr>
        <w:t xml:space="preserve"> „1. Funkcjonariusze wymiaru sprawiedliwości pełnią swoje funkcje na czas nieokreślony. Przed mianowaniem na sędziów zawodowych przechodzą oni okres szkolenia i egzaminów [...]”.</w:t>
      </w:r>
    </w:p>
    <w:p w14:paraId="144C0864" w14:textId="77777777" w:rsidR="00FB1A8A" w:rsidRPr="00CF7B21" w:rsidRDefault="00000000" w:rsidP="00843F1A">
      <w:pPr>
        <w:pStyle w:val="JuHArticle"/>
        <w:rPr>
          <w:rFonts w:eastAsia="Times New Roman"/>
          <w:lang w:val="pl-PL"/>
        </w:rPr>
      </w:pPr>
      <w:r>
        <w:rPr>
          <w:rFonts w:eastAsia="Times New Roman"/>
          <w:bCs/>
          <w:lang w:val="pl"/>
        </w:rPr>
        <w:t>Artykuł 97</w:t>
      </w:r>
    </w:p>
    <w:p w14:paraId="43EA9F26" w14:textId="77777777" w:rsidR="00FB1A8A" w:rsidRPr="00CF7B21" w:rsidRDefault="00000000" w:rsidP="00843F1A">
      <w:pPr>
        <w:pStyle w:val="JuHArticle"/>
        <w:rPr>
          <w:rFonts w:eastAsia="Times New Roman"/>
          <w:lang w:val="pl-PL"/>
        </w:rPr>
      </w:pPr>
      <w:r>
        <w:rPr>
          <w:rFonts w:eastAsia="Times New Roman"/>
          <w:bCs/>
          <w:lang w:val="pl"/>
        </w:rPr>
        <w:t>Powołanie i funkcjonowanie pozostałych komisji dyscyplinarnych</w:t>
      </w:r>
    </w:p>
    <w:p w14:paraId="1AE83ED6" w14:textId="7339AD93" w:rsidR="00FB1A8A" w:rsidRPr="00CF7B21" w:rsidRDefault="00000000" w:rsidP="00843F1A">
      <w:pPr>
        <w:pStyle w:val="JuQuot"/>
        <w:rPr>
          <w:rFonts w:eastAsia="Times New Roman"/>
          <w:lang w:val="pl-PL"/>
        </w:rPr>
      </w:pPr>
      <w:r>
        <w:rPr>
          <w:rFonts w:eastAsia="Times New Roman"/>
          <w:lang w:val="pl"/>
        </w:rPr>
        <w:t>„1. Siedmioosobowe i dziewięcioosobowe komisje dyscyplinarne Naczelnego Sądu Administracyjnego, Sądu Kasacyjnego i Izby Obrachunkowej składają się z</w:t>
      </w:r>
      <w:r w:rsidR="00CF7B21">
        <w:rPr>
          <w:rFonts w:eastAsia="Times New Roman"/>
          <w:lang w:val="pl"/>
        </w:rPr>
        <w:t> </w:t>
      </w:r>
      <w:r>
        <w:rPr>
          <w:rFonts w:eastAsia="Times New Roman"/>
          <w:lang w:val="pl"/>
        </w:rPr>
        <w:t>odpowiedniej liczby sędziów zwyczajnych, mianowanych co roku w drodze losowania [...]</w:t>
      </w:r>
    </w:p>
    <w:p w14:paraId="5ABF5CE6" w14:textId="77777777" w:rsidR="00FB1A8A" w:rsidRPr="00CF7B21" w:rsidRDefault="00000000" w:rsidP="00843F1A">
      <w:pPr>
        <w:pStyle w:val="JuQuot"/>
        <w:rPr>
          <w:rFonts w:eastAsia="Times New Roman"/>
          <w:lang w:val="pl-PL"/>
        </w:rPr>
      </w:pPr>
      <w:r>
        <w:rPr>
          <w:rFonts w:eastAsia="Times New Roman"/>
          <w:lang w:val="pl"/>
        </w:rPr>
        <w:t>5. Następujące osoby nie mogą uczestniczyć w komisji dyscyplinarnej rozpatrującej daną sprawę dyscyplinarną: [...]</w:t>
      </w:r>
    </w:p>
    <w:p w14:paraId="7A5BD67E" w14:textId="77777777" w:rsidR="00FB1A8A" w:rsidRPr="00CF7B21" w:rsidRDefault="00000000" w:rsidP="00843F1A">
      <w:pPr>
        <w:pStyle w:val="JuQuot"/>
        <w:rPr>
          <w:rFonts w:eastAsia="Times New Roman"/>
          <w:lang w:val="pl-PL"/>
        </w:rPr>
      </w:pPr>
      <w:r>
        <w:rPr>
          <w:rFonts w:eastAsia="Times New Roman"/>
          <w:lang w:val="pl"/>
        </w:rPr>
        <w:t>c) osoby, które wszczęły postępowanie dyscyplinarne lub prowadziły dochodzenie w tej samej sprawie dyscyplinarnej [...]</w:t>
      </w:r>
    </w:p>
    <w:p w14:paraId="3040920A" w14:textId="77777777" w:rsidR="00FB1A8A" w:rsidRPr="00CF7B21" w:rsidRDefault="00000000" w:rsidP="00843F1A">
      <w:pPr>
        <w:pStyle w:val="JuQuot"/>
        <w:rPr>
          <w:rFonts w:eastAsia="Times New Roman"/>
          <w:lang w:val="pl-PL"/>
        </w:rPr>
      </w:pPr>
      <w:r>
        <w:rPr>
          <w:rFonts w:eastAsia="Times New Roman"/>
          <w:lang w:val="pl"/>
        </w:rPr>
        <w:t>f) osoby, które łączy szczególna przyjaźń lub które pozostają w [...] sporze z osobą objętą postępowaniem lub mają szczególny związek ze sprawą, co może budzić wątpliwości co do ich bezstronności.</w:t>
      </w:r>
    </w:p>
    <w:p w14:paraId="382F639F" w14:textId="46F56DFE" w:rsidR="00FB1A8A" w:rsidRPr="00CF7B21" w:rsidRDefault="00000000" w:rsidP="00843F1A">
      <w:pPr>
        <w:pStyle w:val="JuQuot"/>
        <w:rPr>
          <w:rFonts w:eastAsia="Times New Roman"/>
          <w:lang w:val="pl-PL"/>
        </w:rPr>
      </w:pPr>
      <w:r>
        <w:rPr>
          <w:rFonts w:eastAsia="Times New Roman"/>
          <w:lang w:val="pl"/>
        </w:rPr>
        <w:t>Funkcjonariusz wymiaru sprawiedliwości, który nie może podejmować działań z</w:t>
      </w:r>
      <w:r w:rsidR="00CF7B21">
        <w:rPr>
          <w:rFonts w:eastAsia="Times New Roman"/>
          <w:lang w:val="pl"/>
        </w:rPr>
        <w:t> </w:t>
      </w:r>
      <w:r>
        <w:rPr>
          <w:rFonts w:eastAsia="Times New Roman"/>
          <w:lang w:val="pl"/>
        </w:rPr>
        <w:t>powodu powyższych [okoliczności], podlega obowiązkom określonym w art. 23 Kodeksu postępowania karnego, który stosuje się odpowiednio [...]”.</w:t>
      </w:r>
    </w:p>
    <w:p w14:paraId="0D0DAA60" w14:textId="77777777" w:rsidR="00FB1A8A" w:rsidRPr="00CF7B21" w:rsidRDefault="00000000" w:rsidP="00843F1A">
      <w:pPr>
        <w:pStyle w:val="JuHArticle"/>
        <w:rPr>
          <w:rFonts w:eastAsia="Times New Roman"/>
          <w:lang w:val="pl-PL"/>
        </w:rPr>
      </w:pPr>
      <w:r>
        <w:rPr>
          <w:rFonts w:eastAsia="Times New Roman"/>
          <w:bCs/>
          <w:lang w:val="pl"/>
        </w:rPr>
        <w:lastRenderedPageBreak/>
        <w:t>Artykuł 98</w:t>
      </w:r>
    </w:p>
    <w:p w14:paraId="604DCFA8" w14:textId="77777777" w:rsidR="00FB1A8A" w:rsidRPr="00CF7B21" w:rsidRDefault="00000000" w:rsidP="00843F1A">
      <w:pPr>
        <w:pStyle w:val="JuHArticle"/>
        <w:rPr>
          <w:rFonts w:eastAsia="Times New Roman"/>
          <w:lang w:val="pl-PL"/>
        </w:rPr>
      </w:pPr>
      <w:r>
        <w:rPr>
          <w:rFonts w:eastAsia="Times New Roman"/>
          <w:bCs/>
          <w:lang w:val="pl"/>
        </w:rPr>
        <w:t>Przepisy proceduralne</w:t>
      </w:r>
    </w:p>
    <w:p w14:paraId="2424555F" w14:textId="77777777" w:rsidR="00FB1A8A" w:rsidRPr="00CF7B21" w:rsidRDefault="00000000" w:rsidP="00843F1A">
      <w:pPr>
        <w:pStyle w:val="JuQuot"/>
        <w:rPr>
          <w:rFonts w:eastAsia="Times New Roman"/>
          <w:lang w:val="pl-PL"/>
        </w:rPr>
      </w:pPr>
      <w:r>
        <w:rPr>
          <w:rFonts w:eastAsia="Times New Roman"/>
          <w:lang w:val="pl"/>
        </w:rPr>
        <w:t>„[...]</w:t>
      </w:r>
    </w:p>
    <w:p w14:paraId="20EBE239" w14:textId="77777777" w:rsidR="00FB1A8A" w:rsidRPr="00CF7B21" w:rsidRDefault="00000000" w:rsidP="00843F1A">
      <w:pPr>
        <w:pStyle w:val="JuQuot"/>
        <w:rPr>
          <w:rFonts w:eastAsia="Times New Roman"/>
          <w:lang w:val="pl-PL"/>
        </w:rPr>
      </w:pPr>
      <w:r>
        <w:rPr>
          <w:rFonts w:eastAsia="Times New Roman"/>
          <w:lang w:val="pl"/>
        </w:rPr>
        <w:t>2. Postępowanie przygotowawcze przed komisjami dyscyplinarnymi ma charakter niejawny. [...] Postępowanie główne przed pozostałymi komisjami dyscyplinarnymi ma charakter niejawny [...]”.</w:t>
      </w:r>
    </w:p>
    <w:p w14:paraId="14526DD7" w14:textId="77777777" w:rsidR="00FB1A8A" w:rsidRPr="00CF7B21" w:rsidRDefault="00000000" w:rsidP="00843F1A">
      <w:pPr>
        <w:pStyle w:val="JuHArticle"/>
        <w:rPr>
          <w:rFonts w:eastAsia="Times New Roman"/>
          <w:lang w:val="pl-PL"/>
        </w:rPr>
      </w:pPr>
      <w:r>
        <w:rPr>
          <w:rFonts w:eastAsia="Times New Roman"/>
          <w:bCs/>
          <w:lang w:val="pl"/>
        </w:rPr>
        <w:t>Artykuł 99</w:t>
      </w:r>
    </w:p>
    <w:p w14:paraId="394C8F5F" w14:textId="77777777" w:rsidR="00FB1A8A" w:rsidRPr="00CF7B21" w:rsidRDefault="00000000" w:rsidP="00843F1A">
      <w:pPr>
        <w:pStyle w:val="JuHArticle"/>
        <w:rPr>
          <w:rFonts w:eastAsia="Times New Roman"/>
          <w:lang w:val="pl-PL"/>
        </w:rPr>
      </w:pPr>
      <w:r>
        <w:rPr>
          <w:rFonts w:eastAsia="Times New Roman"/>
          <w:bCs/>
          <w:lang w:val="pl"/>
        </w:rPr>
        <w:t>Wszczęcie postępowania dyscyplinarnego</w:t>
      </w:r>
    </w:p>
    <w:p w14:paraId="4925072D" w14:textId="77777777" w:rsidR="00FB1A8A" w:rsidRPr="00CF7B21" w:rsidRDefault="00000000" w:rsidP="00843F1A">
      <w:pPr>
        <w:pStyle w:val="JuQuot"/>
        <w:rPr>
          <w:lang w:val="pl-PL"/>
        </w:rPr>
      </w:pPr>
      <w:r>
        <w:rPr>
          <w:lang w:val="pl"/>
        </w:rPr>
        <w:t>„1. Osoby uprawnione do wszczęcia postępowania dyscyplinarnego to:</w:t>
      </w:r>
    </w:p>
    <w:p w14:paraId="2C91371E" w14:textId="77777777" w:rsidR="00FB1A8A" w:rsidRPr="00CF7B21" w:rsidRDefault="00000000" w:rsidP="00843F1A">
      <w:pPr>
        <w:pStyle w:val="JuQuot"/>
        <w:rPr>
          <w:lang w:val="pl-PL"/>
        </w:rPr>
      </w:pPr>
      <w:r>
        <w:rPr>
          <w:lang w:val="pl"/>
        </w:rPr>
        <w:t>a) minister sprawiedliwości, przejrzystości i praw człowieka w odniesieniu do wszystkich funkcjonariuszy wymiaru sprawiedliwości [...]</w:t>
      </w:r>
    </w:p>
    <w:p w14:paraId="59FC57B5" w14:textId="77777777" w:rsidR="00FB1A8A" w:rsidRPr="00CF7B21" w:rsidRDefault="00000000" w:rsidP="00843F1A">
      <w:pPr>
        <w:pStyle w:val="JuQuot"/>
        <w:rPr>
          <w:lang w:val="pl-PL"/>
        </w:rPr>
      </w:pPr>
      <w:r>
        <w:rPr>
          <w:lang w:val="pl"/>
        </w:rPr>
        <w:t>d) prezes Sądu Kasacyjnego, prokurator Sądu Kasacyjnego oraz główny inspektor inspektoratu dla wszystkich sędziów sądów cywilnych i karnych, z wyjątkiem członków Sądu Kasacyjnego [...]</w:t>
      </w:r>
    </w:p>
    <w:p w14:paraId="40BDA47A" w14:textId="77777777" w:rsidR="00FB1A8A" w:rsidRPr="00CF7B21" w:rsidRDefault="00000000" w:rsidP="00843F1A">
      <w:pPr>
        <w:pStyle w:val="JuQuot"/>
        <w:rPr>
          <w:lang w:val="pl-PL"/>
        </w:rPr>
      </w:pPr>
      <w:r>
        <w:rPr>
          <w:lang w:val="pl"/>
        </w:rPr>
        <w:t>9. Osoba uprawniona do wszczęcia postępowania dyscyplinarnego ma prawo do natychmiastowego przeprowadzenia wstępnego postępowania wyjaśniającego. Postępowanie wyjaśniające ma charakter nieformalny i jest prowadzone albo przez osobę uprawnioną do wszczęcia postępowania dyscyplinarnego, albo – na jej polecenie – przez innego funkcjonariusza wymiaru sprawiedliwości, który ma wyższą rangę niż osoba podejrzana o popełnienie wykroczenia dyscyplinarnego.</w:t>
      </w:r>
    </w:p>
    <w:p w14:paraId="465BC179" w14:textId="77777777" w:rsidR="00FB1A8A" w:rsidRPr="00CF7B21" w:rsidRDefault="00000000" w:rsidP="00843F1A">
      <w:pPr>
        <w:pStyle w:val="JuQuot"/>
        <w:rPr>
          <w:lang w:val="pl-PL"/>
        </w:rPr>
      </w:pPr>
      <w:r>
        <w:rPr>
          <w:lang w:val="pl"/>
        </w:rPr>
        <w:t xml:space="preserve">10. Osoba prowadząca postępowanie wyjaśniające musi zwrócić się do osoby podejrzanej o popełnienie wykroczenia dyscyplinarnego o udzielenie ustnych lub pisemnych wyjaśnień. Osoba prowadząca postępowanie ma prawo zwrócić się do dowolnego innego organu o udzielenie informacji lub przekazanie istotnych danych, organizuje gromadzenie dowodów </w:t>
      </w:r>
      <w:proofErr w:type="gramStart"/>
      <w:r>
        <w:rPr>
          <w:lang w:val="pl"/>
        </w:rPr>
        <w:t>oraz,</w:t>
      </w:r>
      <w:proofErr w:type="gramEnd"/>
      <w:r>
        <w:rPr>
          <w:lang w:val="pl"/>
        </w:rPr>
        <w:t xml:space="preserve"> w razie potrzeby, przesłuchuje świadków. Osoba wezwana do przedstawienia wyjaśnień ma prawo do wcześniejszego zapoznania się ze wszystkimi dowodami, które jej dotyczą. Sporządza się protokół ze wstępnego rozpoznania, którego wnioski należy uzasadnić [...]”.</w:t>
      </w:r>
    </w:p>
    <w:p w14:paraId="491A210A" w14:textId="77777777" w:rsidR="00FB1A8A" w:rsidRPr="00CF7B21" w:rsidRDefault="00000000" w:rsidP="00843F1A">
      <w:pPr>
        <w:pStyle w:val="JuHArticle"/>
        <w:rPr>
          <w:lang w:val="pl-PL"/>
        </w:rPr>
      </w:pPr>
      <w:r>
        <w:rPr>
          <w:bCs/>
          <w:lang w:val="pl"/>
        </w:rPr>
        <w:t>Artykuł 100</w:t>
      </w:r>
    </w:p>
    <w:p w14:paraId="0A724D8F" w14:textId="77777777" w:rsidR="00FB1A8A" w:rsidRPr="00CF7B21" w:rsidRDefault="00000000" w:rsidP="00843F1A">
      <w:pPr>
        <w:pStyle w:val="JuHArticle"/>
        <w:rPr>
          <w:lang w:val="pl-PL"/>
        </w:rPr>
      </w:pPr>
      <w:r>
        <w:rPr>
          <w:bCs/>
          <w:lang w:val="pl"/>
        </w:rPr>
        <w:t>Wszczęcie i zakończenie postępowania dyscyplinarnego</w:t>
      </w:r>
    </w:p>
    <w:p w14:paraId="5E162104" w14:textId="77777777" w:rsidR="00FB1A8A" w:rsidRPr="00CF7B21" w:rsidRDefault="00000000" w:rsidP="00843F1A">
      <w:pPr>
        <w:pStyle w:val="JuQuot"/>
        <w:rPr>
          <w:lang w:val="pl-PL"/>
        </w:rPr>
      </w:pPr>
      <w:r>
        <w:rPr>
          <w:lang w:val="pl"/>
        </w:rPr>
        <w:t>„1. Postępowanie dyscyplinarne wszczyna się poprzez wniesienie skargi dyscyplinarnej i kończy się wydaniem prawomocnego (</w:t>
      </w:r>
      <w:proofErr w:type="spellStart"/>
      <w:r>
        <w:rPr>
          <w:i/>
          <w:iCs/>
          <w:lang w:val="pl"/>
        </w:rPr>
        <w:t>οριστικής</w:t>
      </w:r>
      <w:proofErr w:type="spellEnd"/>
      <w:r>
        <w:rPr>
          <w:lang w:val="pl"/>
        </w:rPr>
        <w:t>) i ostatecznego (</w:t>
      </w:r>
      <w:proofErr w:type="spellStart"/>
      <w:r>
        <w:rPr>
          <w:i/>
          <w:iCs/>
          <w:lang w:val="pl"/>
        </w:rPr>
        <w:t>τελεσίδικης</w:t>
      </w:r>
      <w:proofErr w:type="spellEnd"/>
      <w:r>
        <w:rPr>
          <w:lang w:val="pl"/>
        </w:rPr>
        <w:t>) orzeczenia w krótkim terminie.</w:t>
      </w:r>
    </w:p>
    <w:p w14:paraId="11FD8DE4" w14:textId="77777777" w:rsidR="00FB1A8A" w:rsidRPr="00CF7B21" w:rsidRDefault="00000000" w:rsidP="00843F1A">
      <w:pPr>
        <w:pStyle w:val="JuQuot"/>
        <w:rPr>
          <w:lang w:val="pl-PL"/>
        </w:rPr>
      </w:pPr>
      <w:r>
        <w:rPr>
          <w:lang w:val="pl"/>
        </w:rPr>
        <w:t>2. Skarga dyscyplinarna zawiera:</w:t>
      </w:r>
    </w:p>
    <w:p w14:paraId="47392BD6" w14:textId="77777777" w:rsidR="00FB1A8A" w:rsidRPr="00CF7B21" w:rsidRDefault="00000000" w:rsidP="00843F1A">
      <w:pPr>
        <w:pStyle w:val="JuQuot"/>
        <w:rPr>
          <w:lang w:val="pl-PL"/>
        </w:rPr>
      </w:pPr>
      <w:r>
        <w:rPr>
          <w:lang w:val="pl"/>
        </w:rPr>
        <w:t>a) imię i nazwisko oraz oficjalne dane osoby, której dotyczy postępowanie; [oraz]</w:t>
      </w:r>
    </w:p>
    <w:p w14:paraId="77537992" w14:textId="11140CF4" w:rsidR="00FB1A8A" w:rsidRPr="00CF7B21" w:rsidRDefault="00000000" w:rsidP="00843F1A">
      <w:pPr>
        <w:pStyle w:val="JuQuot"/>
        <w:rPr>
          <w:lang w:val="pl-PL"/>
        </w:rPr>
      </w:pPr>
      <w:r>
        <w:rPr>
          <w:lang w:val="pl"/>
        </w:rPr>
        <w:t>b) ustalenie okoliczności faktycznych stanowiących zarzucane wykroczenie dyscyplinarne, okoliczności, w jakich doszło do jego popełnienia oraz odpowiednie przepisy.</w:t>
      </w:r>
    </w:p>
    <w:p w14:paraId="586BC528" w14:textId="77777777" w:rsidR="00FB1A8A" w:rsidRPr="00CF7B21" w:rsidRDefault="00000000" w:rsidP="00843F1A">
      <w:pPr>
        <w:pStyle w:val="JuQuot"/>
        <w:rPr>
          <w:lang w:val="pl-PL"/>
        </w:rPr>
      </w:pPr>
      <w:r>
        <w:rPr>
          <w:lang w:val="pl"/>
        </w:rPr>
        <w:t>3. Skargę dyscyplinarną wnosi się do właściwej komisji [...]</w:t>
      </w:r>
    </w:p>
    <w:p w14:paraId="397777C2" w14:textId="77777777" w:rsidR="00FB1A8A" w:rsidRPr="00CF7B21" w:rsidRDefault="00000000" w:rsidP="00843F1A">
      <w:pPr>
        <w:pStyle w:val="JuHArticle"/>
        <w:rPr>
          <w:rFonts w:eastAsia="Times New Roman"/>
          <w:lang w:val="pl-PL"/>
        </w:rPr>
      </w:pPr>
      <w:r>
        <w:rPr>
          <w:rFonts w:eastAsia="Times New Roman"/>
          <w:bCs/>
          <w:lang w:val="pl"/>
        </w:rPr>
        <w:t>Artykuł 101</w:t>
      </w:r>
    </w:p>
    <w:p w14:paraId="373A1A5B" w14:textId="77777777" w:rsidR="00FB1A8A" w:rsidRPr="00CF7B21" w:rsidRDefault="00000000" w:rsidP="00843F1A">
      <w:pPr>
        <w:pStyle w:val="JuHArticle"/>
        <w:rPr>
          <w:rFonts w:eastAsia="Times New Roman"/>
          <w:lang w:val="pl-PL"/>
        </w:rPr>
      </w:pPr>
      <w:r>
        <w:rPr>
          <w:rFonts w:eastAsia="Times New Roman"/>
          <w:bCs/>
          <w:lang w:val="pl"/>
        </w:rPr>
        <w:t>Postępowanie przygotowawcze</w:t>
      </w:r>
    </w:p>
    <w:p w14:paraId="4B11D678" w14:textId="77777777" w:rsidR="00FB1A8A" w:rsidRPr="00CF7B21" w:rsidRDefault="00000000" w:rsidP="00843F1A">
      <w:pPr>
        <w:pStyle w:val="JuQuot"/>
        <w:rPr>
          <w:rFonts w:eastAsia="Times New Roman"/>
          <w:bCs/>
          <w:lang w:val="pl-PL"/>
        </w:rPr>
      </w:pPr>
      <w:r>
        <w:rPr>
          <w:rFonts w:eastAsia="Times New Roman"/>
          <w:lang w:val="pl"/>
        </w:rPr>
        <w:t>„[...]</w:t>
      </w:r>
    </w:p>
    <w:p w14:paraId="065DA964" w14:textId="77777777" w:rsidR="00FB1A8A" w:rsidRPr="00CF7B21" w:rsidRDefault="00000000" w:rsidP="00843F1A">
      <w:pPr>
        <w:pStyle w:val="JuQuot"/>
        <w:rPr>
          <w:rFonts w:eastAsia="Times New Roman"/>
          <w:bCs/>
          <w:lang w:val="pl-PL"/>
        </w:rPr>
      </w:pPr>
      <w:r>
        <w:rPr>
          <w:rFonts w:eastAsia="Times New Roman"/>
          <w:lang w:val="pl"/>
        </w:rPr>
        <w:lastRenderedPageBreak/>
        <w:t>2. Sprawozdawca wzywa zainteresowaną osobę do przedstawienia odpowiedzi na zarzuty. Wezwanie powinno określać rozsądny termin, który nie może być krótszy niż pięć dni i może zostać przedłużony, na wniosek osoby zainteresowanej, do trzykrotności terminu [...]</w:t>
      </w:r>
    </w:p>
    <w:p w14:paraId="5238151A" w14:textId="77777777" w:rsidR="00FB1A8A" w:rsidRPr="00CF7B21" w:rsidRDefault="00000000" w:rsidP="00843F1A">
      <w:pPr>
        <w:pStyle w:val="JuQuot"/>
        <w:rPr>
          <w:rFonts w:eastAsia="Times New Roman"/>
          <w:bCs/>
          <w:lang w:val="pl-PL"/>
        </w:rPr>
      </w:pPr>
      <w:r>
        <w:rPr>
          <w:rFonts w:eastAsia="Times New Roman"/>
          <w:lang w:val="pl"/>
        </w:rPr>
        <w:t>3. Osoba zainteresowana może zapoznać się z aktami postępowania dyscyplinarnego oraz zwrócić się o wydanie kopii dokumentów; w takim przypadku sporządza się specjalny protokół. Odpowiedź na zarzuty należy [przedłożyć] na piśmie sprawozdawcy, który wystawi pisemne potwierdzenie odbioru [...] Do odpowiedzi na zarzuty należy dołączyć wszystkie informacje, którymi dysponuje osoba objęta postępowaniem; osoba ta może zwrócić się do sprawozdawcy o wyznaczenie rozsądnego terminu na przedłożenie dodatkowych informacji. W odpowiedzi na zarzuty można zaproponować przesłuchanie maksymalnie pięciu świadków oraz wskazać, że protokół w sprawie naruszenia dyscyplinarnego należy uzupełnić o pewne kluczowe dokumenty lub inne dowody mające moc dowodową [...]”.</w:t>
      </w:r>
    </w:p>
    <w:p w14:paraId="4C8E73FD" w14:textId="77777777" w:rsidR="00FB1A8A" w:rsidRPr="00CF7B21" w:rsidRDefault="00000000" w:rsidP="00843F1A">
      <w:pPr>
        <w:pStyle w:val="JuHArticle"/>
        <w:rPr>
          <w:rFonts w:eastAsia="Times New Roman"/>
          <w:lang w:val="pl-PL"/>
        </w:rPr>
      </w:pPr>
      <w:r>
        <w:rPr>
          <w:rFonts w:eastAsia="Times New Roman"/>
          <w:bCs/>
          <w:lang w:val="pl"/>
        </w:rPr>
        <w:t>Artykuł 103</w:t>
      </w:r>
    </w:p>
    <w:p w14:paraId="1004A02F" w14:textId="77777777" w:rsidR="00FB1A8A" w:rsidRPr="00CF7B21" w:rsidRDefault="00000000" w:rsidP="00843F1A">
      <w:pPr>
        <w:pStyle w:val="JuHArticle"/>
        <w:rPr>
          <w:rFonts w:eastAsia="Times New Roman"/>
          <w:lang w:val="pl-PL"/>
        </w:rPr>
      </w:pPr>
      <w:r>
        <w:rPr>
          <w:rFonts w:eastAsia="Times New Roman"/>
          <w:bCs/>
          <w:lang w:val="pl"/>
        </w:rPr>
        <w:t>Wyznaczenie terminu rozprawy – wezwanie osoby objętej postępowaniem</w:t>
      </w:r>
    </w:p>
    <w:p w14:paraId="1C81D470" w14:textId="77777777" w:rsidR="00FB1A8A" w:rsidRPr="00CF7B21" w:rsidRDefault="00000000" w:rsidP="00843F1A">
      <w:pPr>
        <w:pStyle w:val="JuQuot"/>
        <w:rPr>
          <w:rFonts w:eastAsia="Times New Roman"/>
          <w:lang w:val="pl-PL"/>
        </w:rPr>
      </w:pPr>
      <w:r>
        <w:rPr>
          <w:rFonts w:eastAsia="Times New Roman"/>
          <w:lang w:val="pl"/>
        </w:rPr>
        <w:t>„1. Po zakończeniu postępowania wyjaśniającego i sporządzeniu stosownego protokołu, przewodniczący komisji, po otrzymaniu akt sprawy, wyznacza termin rozprawy przed komisją dyscyplinarną. [...]</w:t>
      </w:r>
    </w:p>
    <w:p w14:paraId="3BBF8A5B" w14:textId="47D9514D" w:rsidR="00FB1A8A" w:rsidRPr="00CF7B21" w:rsidRDefault="00000000" w:rsidP="00843F1A">
      <w:pPr>
        <w:pStyle w:val="JuQuot"/>
        <w:rPr>
          <w:rFonts w:eastAsia="Times New Roman"/>
          <w:lang w:val="pl-PL"/>
        </w:rPr>
      </w:pPr>
      <w:r>
        <w:rPr>
          <w:rFonts w:eastAsia="Times New Roman"/>
          <w:lang w:val="pl"/>
        </w:rPr>
        <w:t>Należy o tym również powiadomić osobę, której dotyczy postępowanie, wraz z</w:t>
      </w:r>
      <w:r w:rsidR="00CF7B21">
        <w:rPr>
          <w:rFonts w:eastAsia="Times New Roman"/>
          <w:lang w:val="pl"/>
        </w:rPr>
        <w:t> </w:t>
      </w:r>
      <w:r>
        <w:rPr>
          <w:rFonts w:eastAsia="Times New Roman"/>
          <w:lang w:val="pl"/>
        </w:rPr>
        <w:t>wezwaniem do stawienia się i zapoznania się z aktami sprawy, jeśli wyrazi taką wolę, oraz do udziału w rozprawie. Wezwanie należy doręczyć co najmniej dziesięć dni przed terminem rozprawy. Niestawiennictwo osoby objętej postępowaniem nie stoi na przeszkodzie prowadzeniu postępowania.</w:t>
      </w:r>
    </w:p>
    <w:p w14:paraId="3E2B8B57" w14:textId="77777777" w:rsidR="00FB1A8A" w:rsidRPr="00CF7B21" w:rsidRDefault="00000000" w:rsidP="00843F1A">
      <w:pPr>
        <w:pStyle w:val="JuQuot"/>
        <w:rPr>
          <w:rFonts w:eastAsia="Times New Roman"/>
          <w:lang w:val="pl-PL"/>
        </w:rPr>
      </w:pPr>
      <w:r>
        <w:rPr>
          <w:rFonts w:eastAsia="Times New Roman"/>
          <w:lang w:val="pl"/>
        </w:rPr>
        <w:t xml:space="preserve"> 2. Przewodniczący komisji może, z własnej inicjatywy lub na wniosek </w:t>
      </w:r>
      <w:proofErr w:type="gramStart"/>
      <w:r>
        <w:rPr>
          <w:rFonts w:eastAsia="Times New Roman"/>
          <w:lang w:val="pl"/>
        </w:rPr>
        <w:t>osoby</w:t>
      </w:r>
      <w:proofErr w:type="gramEnd"/>
      <w:r>
        <w:rPr>
          <w:rFonts w:eastAsia="Times New Roman"/>
          <w:lang w:val="pl"/>
        </w:rPr>
        <w:t xml:space="preserve"> przeciwko której toczy się postępowanie, wezwać świadków do stawienia się przed komisją”.</w:t>
      </w:r>
    </w:p>
    <w:p w14:paraId="278D70FB" w14:textId="77777777" w:rsidR="00FB1A8A" w:rsidRPr="00CF7B21" w:rsidRDefault="00000000" w:rsidP="00843F1A">
      <w:pPr>
        <w:pStyle w:val="JuHArticle"/>
        <w:rPr>
          <w:rFonts w:eastAsia="Times New Roman"/>
          <w:bCs/>
          <w:lang w:val="pl-PL"/>
        </w:rPr>
      </w:pPr>
      <w:r>
        <w:rPr>
          <w:rFonts w:eastAsia="Times New Roman"/>
          <w:bCs/>
          <w:lang w:val="pl"/>
        </w:rPr>
        <w:t>Artykuł 104</w:t>
      </w:r>
    </w:p>
    <w:p w14:paraId="783427FE" w14:textId="77777777" w:rsidR="00FB1A8A" w:rsidRPr="00CF7B21" w:rsidRDefault="00000000" w:rsidP="00843F1A">
      <w:pPr>
        <w:pStyle w:val="JuHArticle"/>
        <w:rPr>
          <w:rFonts w:eastAsia="Times New Roman"/>
          <w:bCs/>
          <w:lang w:val="pl-PL"/>
        </w:rPr>
      </w:pPr>
      <w:r>
        <w:rPr>
          <w:rFonts w:eastAsia="Times New Roman"/>
          <w:bCs/>
          <w:lang w:val="pl"/>
        </w:rPr>
        <w:t>Postępowanie główne przed komisjami dyscyplinarnymi</w:t>
      </w:r>
    </w:p>
    <w:p w14:paraId="03EF412D" w14:textId="77777777" w:rsidR="00FB1A8A" w:rsidRPr="00CF7B21" w:rsidRDefault="00000000" w:rsidP="00843F1A">
      <w:pPr>
        <w:pStyle w:val="JuQuot"/>
        <w:rPr>
          <w:rFonts w:eastAsia="Times New Roman"/>
          <w:lang w:val="pl-PL"/>
        </w:rPr>
      </w:pPr>
      <w:r>
        <w:rPr>
          <w:rFonts w:eastAsia="Times New Roman"/>
          <w:lang w:val="pl"/>
        </w:rPr>
        <w:t>„[...]</w:t>
      </w:r>
    </w:p>
    <w:p w14:paraId="0CA3FF3E" w14:textId="77777777" w:rsidR="00FB1A8A" w:rsidRPr="00CF7B21" w:rsidRDefault="00000000" w:rsidP="00843F1A">
      <w:pPr>
        <w:pStyle w:val="JuQuot"/>
        <w:rPr>
          <w:rFonts w:eastAsia="Times New Roman"/>
          <w:lang w:val="pl-PL"/>
        </w:rPr>
      </w:pPr>
      <w:r>
        <w:rPr>
          <w:rFonts w:eastAsia="Times New Roman"/>
          <w:lang w:val="pl"/>
        </w:rPr>
        <w:t>2. Osoba, której dotyczy postępowanie, może przed rozpoczęciem rozprawy złożyć pisemny wniosek o wyłączenie maksymalnie dwóch członków komisji dyscyplinarnej, podając przyczyny wyłączenia. Komisja podejmuje decyzję w sprawie wniosku, bez udziału członka, o którego wyłączenie wnioskowano, w drodze uzasadnionej decyzji, którą należy zaprotokołować. Członkowie, w stosunku do których komisja podjęła decyzję o wyłączeniu, zostaną zastąpieni przez zastępców.</w:t>
      </w:r>
    </w:p>
    <w:p w14:paraId="0A83A13A" w14:textId="2B9CD87C" w:rsidR="00FB1A8A" w:rsidRPr="00CF7B21" w:rsidRDefault="00000000" w:rsidP="00843F1A">
      <w:pPr>
        <w:pStyle w:val="JuQuot"/>
        <w:rPr>
          <w:rFonts w:eastAsia="Times New Roman"/>
          <w:lang w:val="pl-PL"/>
        </w:rPr>
      </w:pPr>
      <w:r>
        <w:rPr>
          <w:rFonts w:eastAsia="Times New Roman"/>
          <w:lang w:val="pl"/>
        </w:rPr>
        <w:t>3. W trakcie rozprawy sprawozdawca przekazuje (</w:t>
      </w:r>
      <w:proofErr w:type="spellStart"/>
      <w:r>
        <w:rPr>
          <w:rFonts w:eastAsia="Times New Roman"/>
          <w:i/>
          <w:iCs/>
          <w:lang w:val="pl"/>
        </w:rPr>
        <w:t>δι</w:t>
      </w:r>
      <w:proofErr w:type="spellEnd"/>
      <w:r>
        <w:rPr>
          <w:rFonts w:eastAsia="Times New Roman"/>
          <w:i/>
          <w:iCs/>
          <w:lang w:val="pl"/>
        </w:rPr>
        <w:t>αβιβάζει</w:t>
      </w:r>
      <w:r>
        <w:rPr>
          <w:rFonts w:eastAsia="Times New Roman"/>
          <w:lang w:val="pl"/>
        </w:rPr>
        <w:t>) postępowani</w:t>
      </w:r>
      <w:r w:rsidR="00C10186">
        <w:rPr>
          <w:rFonts w:eastAsia="Times New Roman"/>
          <w:lang w:val="pl"/>
        </w:rPr>
        <w:t>e</w:t>
      </w:r>
      <w:r>
        <w:rPr>
          <w:rFonts w:eastAsia="Times New Roman"/>
          <w:lang w:val="pl"/>
        </w:rPr>
        <w:t xml:space="preserve"> dyscyplinarne oraz ustalenia z dochodzenia, o ile takie miało miejsce. Następnie wzywa się świadków do złożenia zeznań, a osobie objętej postępowaniem zapewnia możliwość ustnego przedstawienia swojej linii obrony oraz udzielenia odpowiedzi na pytania członków komisji. Osoba objęta postępowaniem ma prawo </w:t>
      </w:r>
      <w:proofErr w:type="gramStart"/>
      <w:r>
        <w:rPr>
          <w:rFonts w:eastAsia="Times New Roman"/>
          <w:lang w:val="pl"/>
        </w:rPr>
        <w:t xml:space="preserve">złożyć </w:t>
      </w:r>
      <w:r w:rsidR="00753409">
        <w:rPr>
          <w:rFonts w:eastAsia="Times New Roman"/>
          <w:lang w:val="pl"/>
        </w:rPr>
        <w:t xml:space="preserve"> memorandum</w:t>
      </w:r>
      <w:proofErr w:type="gramEnd"/>
      <w:r>
        <w:rPr>
          <w:rFonts w:eastAsia="Times New Roman"/>
          <w:lang w:val="pl"/>
        </w:rPr>
        <w:t xml:space="preserve"> w rozsądnym terminie wyznaczonym przez przewodniczącego [...]</w:t>
      </w:r>
    </w:p>
    <w:p w14:paraId="76CCEE48" w14:textId="77777777" w:rsidR="00FB1A8A" w:rsidRPr="00CF7B21" w:rsidRDefault="00000000" w:rsidP="00843F1A">
      <w:pPr>
        <w:pStyle w:val="JuQuot"/>
        <w:rPr>
          <w:rFonts w:eastAsia="Times New Roman"/>
          <w:lang w:val="pl-PL"/>
        </w:rPr>
      </w:pPr>
      <w:r>
        <w:rPr>
          <w:rFonts w:eastAsia="Times New Roman"/>
          <w:lang w:val="pl"/>
        </w:rPr>
        <w:t>4. Komisja dokonuje swobodnej oceny dowodów. Jeśli uzna je za niewystarczające, może zarządzić przeprowadzenie dalszych dowodów [...]</w:t>
      </w:r>
    </w:p>
    <w:p w14:paraId="2EDE338C" w14:textId="77777777" w:rsidR="00FB1A8A" w:rsidRPr="00CF7B21" w:rsidRDefault="00000000" w:rsidP="00843F1A">
      <w:pPr>
        <w:pStyle w:val="JuQuot"/>
        <w:rPr>
          <w:rFonts w:eastAsia="Times New Roman"/>
          <w:lang w:val="pl-PL"/>
        </w:rPr>
      </w:pPr>
      <w:r>
        <w:rPr>
          <w:rFonts w:eastAsia="Times New Roman"/>
          <w:lang w:val="pl"/>
        </w:rPr>
        <w:t xml:space="preserve">W orzeczeniu należy podać: skład komisji, imię i nazwisko oraz stopień służbowy oskarżonego, wzmiankę o ewentualnym stawiennictwie lub wezwaniu do stawienia się, </w:t>
      </w:r>
      <w:r>
        <w:rPr>
          <w:rFonts w:eastAsia="Times New Roman"/>
          <w:lang w:val="pl"/>
        </w:rPr>
        <w:lastRenderedPageBreak/>
        <w:t>streszczenie zarzutów i argumentów obrony wraz z zasadniczymi twierdzeniami oskarżonego, uzasadnienie uznania winy lub jej braku oraz ustalenia dotyczące wymiaru kary, a także sentencję [...]”.</w:t>
      </w:r>
    </w:p>
    <w:p w14:paraId="1D6C5136" w14:textId="77777777" w:rsidR="00FB1A8A" w:rsidRPr="00CF7B21" w:rsidRDefault="00000000" w:rsidP="00843F1A">
      <w:pPr>
        <w:pStyle w:val="JuHArticle"/>
        <w:rPr>
          <w:rFonts w:eastAsia="Times New Roman"/>
          <w:lang w:val="pl-PL"/>
        </w:rPr>
      </w:pPr>
      <w:r>
        <w:rPr>
          <w:rFonts w:eastAsia="Times New Roman"/>
          <w:bCs/>
          <w:lang w:val="pl"/>
        </w:rPr>
        <w:t>Artykuł 105</w:t>
      </w:r>
    </w:p>
    <w:p w14:paraId="5F7445CE" w14:textId="77777777" w:rsidR="00FB1A8A" w:rsidRPr="00CF7B21" w:rsidRDefault="00000000" w:rsidP="00843F1A">
      <w:pPr>
        <w:pStyle w:val="JuHArticle"/>
        <w:rPr>
          <w:rFonts w:eastAsia="Times New Roman"/>
          <w:lang w:val="pl-PL"/>
        </w:rPr>
      </w:pPr>
      <w:r>
        <w:rPr>
          <w:rFonts w:eastAsia="Times New Roman"/>
          <w:bCs/>
          <w:lang w:val="pl"/>
        </w:rPr>
        <w:t>Odwołania</w:t>
      </w:r>
    </w:p>
    <w:p w14:paraId="0AA6CABA" w14:textId="77777777" w:rsidR="00FB1A8A" w:rsidRPr="00CF7B21" w:rsidRDefault="00000000" w:rsidP="00843F1A">
      <w:pPr>
        <w:pStyle w:val="JuQuot"/>
        <w:rPr>
          <w:rFonts w:eastAsia="Times New Roman"/>
          <w:lang w:val="pl-PL"/>
        </w:rPr>
      </w:pPr>
      <w:r>
        <w:rPr>
          <w:rFonts w:eastAsia="Times New Roman"/>
          <w:lang w:val="pl"/>
        </w:rPr>
        <w:t>„1. Od prawomocnych (</w:t>
      </w:r>
      <w:proofErr w:type="spellStart"/>
      <w:r>
        <w:rPr>
          <w:rFonts w:eastAsia="Times New Roman"/>
          <w:i/>
          <w:iCs/>
          <w:lang w:val="pl"/>
        </w:rPr>
        <w:t>οριστικές</w:t>
      </w:r>
      <w:proofErr w:type="spellEnd"/>
      <w:r>
        <w:rPr>
          <w:rFonts w:eastAsia="Times New Roman"/>
          <w:lang w:val="pl"/>
        </w:rPr>
        <w:t>) orzeczeń komisji, o których mowa w art. 95 ust. 5, 7, 9 i 11, przysługuje odwołanie, jeżeli zostały one wydane w pierwszej instancji [...]</w:t>
      </w:r>
    </w:p>
    <w:p w14:paraId="3BBC01B6" w14:textId="77777777" w:rsidR="00FB1A8A" w:rsidRPr="00CF7B21" w:rsidRDefault="00000000" w:rsidP="00843F1A">
      <w:pPr>
        <w:pStyle w:val="JuQuot"/>
        <w:rPr>
          <w:rFonts w:eastAsia="Times New Roman"/>
          <w:lang w:val="pl-PL"/>
        </w:rPr>
      </w:pPr>
      <w:r>
        <w:rPr>
          <w:rFonts w:eastAsia="Times New Roman"/>
          <w:lang w:val="pl"/>
        </w:rPr>
        <w:t>4. W odniesieniu do postępowania odwoławczego przed komisjami dyscyplinarnymi, prawa osoby objętej postępowaniem, wydanie i doręczenie orzeczenia oraz wyżej wymienione przepisy dotyczące komisji dyscyplinarnych pierwszej instancji stosuje się odpowiednio [...]</w:t>
      </w:r>
    </w:p>
    <w:p w14:paraId="369A692D" w14:textId="77777777" w:rsidR="00FB1A8A" w:rsidRPr="00CF7B21" w:rsidRDefault="00000000" w:rsidP="00843F1A">
      <w:pPr>
        <w:pStyle w:val="JuQuot"/>
        <w:rPr>
          <w:rFonts w:eastAsia="Times New Roman"/>
          <w:lang w:val="pl-PL"/>
        </w:rPr>
      </w:pPr>
      <w:r>
        <w:rPr>
          <w:rFonts w:eastAsia="Times New Roman"/>
          <w:lang w:val="pl"/>
        </w:rPr>
        <w:t>6. Od orzeczeń komisji dyscyplinarnych nie przysługuje żadne inne odwołanie do żadnego innego sądu ani odwołanie do żadnego innego organu poza środkami odwoławczymi, o których mowa w poprzednich ustępach”.</w:t>
      </w:r>
    </w:p>
    <w:p w14:paraId="5CC1B6D1" w14:textId="77777777" w:rsidR="00FB1A8A" w:rsidRPr="00CF7B21" w:rsidRDefault="00000000" w:rsidP="00843F1A">
      <w:pPr>
        <w:pStyle w:val="JuHA"/>
        <w:rPr>
          <w:rFonts w:eastAsia="Times New Roman"/>
          <w:lang w:val="pl-PL"/>
        </w:rPr>
      </w:pPr>
      <w:r>
        <w:rPr>
          <w:lang w:val="pl"/>
        </w:rPr>
        <w:t>Zmiany ustawodawcze dotyczące uprawnień prezesa Sądu Kasacyjnego do wszczynania postępowań dyscyplinarnych wobec sędziów i prokuratorów</w:t>
      </w:r>
    </w:p>
    <w:bookmarkStart w:id="19" w:name="legislativeAMEND1"/>
    <w:p w14:paraId="0E8F571B" w14:textId="59DCFC1B"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37</w:t>
      </w:r>
      <w:r>
        <w:rPr>
          <w:lang w:val="pl"/>
        </w:rPr>
        <w:fldChar w:fldCharType="end"/>
      </w:r>
      <w:bookmarkEnd w:id="19"/>
      <w:r>
        <w:rPr>
          <w:lang w:val="pl"/>
        </w:rPr>
        <w:t>.  Art. 99 ustawy nr 1756/1988, zmieniony na mocy art. 46 ust. 3 ustawy nr 4356/2015 (która weszła w życie 24 grudnia 2015 r.), po raz pierwszy od momentu wejścia w życie obecnej konstytucji w 1975 r. skutecznie dodał prezesa SK do grona osób uprawnionych do wszczynania postępowań dyscyplinarnych wobec sędziów sądów cywilnych i karnych oraz prokuratorów (z wyjątkiem sędziów Sądu Kasacyjnego). Zgodnie z</w:t>
      </w:r>
      <w:r w:rsidR="00CF7B21">
        <w:rPr>
          <w:lang w:val="pl"/>
        </w:rPr>
        <w:t> </w:t>
      </w:r>
      <w:r>
        <w:rPr>
          <w:lang w:val="pl"/>
        </w:rPr>
        <w:t>uzasadnieniem było to konieczne, „ponieważ prezesi sądów najwyższych sprawowali ogólny nadzór i kontrolę nad wszystkimi sędziami w ich jurysdykcji, biorąc pod uwagę specyfikę jurysdykcji cywilnej i karnej”.</w:t>
      </w:r>
    </w:p>
    <w:bookmarkStart w:id="20" w:name="legislativeAMEND2"/>
    <w:p w14:paraId="2C0D5EDB" w14:textId="2CCEA837"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38</w:t>
      </w:r>
      <w:r>
        <w:rPr>
          <w:lang w:val="pl"/>
        </w:rPr>
        <w:fldChar w:fldCharType="end"/>
      </w:r>
      <w:bookmarkEnd w:id="20"/>
      <w:r>
        <w:rPr>
          <w:lang w:val="pl"/>
        </w:rPr>
        <w:t>.  Art. 99 ustawy nr 1756/1988 ponownie zmieniono na mocy art. 23 ustawy nr 4786/2021 (która weszła w życie 23 marca 2021 r.), co spowodowało wykreślenie prezesa SK z listy osób posiadających takie uprawnienia. Nowy Kodeks sądowy (ustawa nr 4938/2022), który wszedł w</w:t>
      </w:r>
      <w:r w:rsidR="00CF7B21">
        <w:rPr>
          <w:lang w:val="pl"/>
        </w:rPr>
        <w:t> </w:t>
      </w:r>
      <w:r>
        <w:rPr>
          <w:lang w:val="pl"/>
        </w:rPr>
        <w:t>życie 6 czerwca 2022 r. i obowiązuje do dziś, nie przywrócił prezesowi SK uprawnień do wszczynania postępowań dyscyplinarnych wobec sędziów sądów cywilnych i karnych oraz prokuratorów.</w:t>
      </w:r>
    </w:p>
    <w:p w14:paraId="17FCCC4E" w14:textId="77777777" w:rsidR="00FB1A8A" w:rsidRPr="00CF7B21" w:rsidRDefault="00000000" w:rsidP="00843F1A">
      <w:pPr>
        <w:pStyle w:val="JuHA"/>
        <w:rPr>
          <w:lang w:val="pl-PL"/>
        </w:rPr>
      </w:pPr>
      <w:r>
        <w:rPr>
          <w:lang w:val="pl"/>
        </w:rPr>
        <w:t>Status prokuratorów w greckim systemie sądownictwa</w:t>
      </w:r>
    </w:p>
    <w:bookmarkStart w:id="21" w:name="LEGISLATIONPROSECUTORS"/>
    <w:p w14:paraId="58369085" w14:textId="500D1556" w:rsidR="00FB1A8A" w:rsidRPr="00CF7B21" w:rsidRDefault="00000000" w:rsidP="00843F1A">
      <w:pPr>
        <w:pStyle w:val="JuPara"/>
        <w:ind w:firstLine="170"/>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39</w:t>
      </w:r>
      <w:r>
        <w:rPr>
          <w:lang w:val="pl"/>
        </w:rPr>
        <w:fldChar w:fldCharType="end"/>
      </w:r>
      <w:bookmarkEnd w:id="21"/>
      <w:r>
        <w:rPr>
          <w:lang w:val="pl"/>
        </w:rPr>
        <w:t>.  W greckim systemie sądownictwa nie ma zasadniczego rozróżnienia między statusem sędziów a prokuratorów, ponieważ obie te grupy uznaje się za funkcjonariuszy wymiaru sprawiedliwości. Zgodnie z konstytucją</w:t>
      </w:r>
      <w:r w:rsidR="006B4E74">
        <w:rPr>
          <w:lang w:val="pl"/>
        </w:rPr>
        <w:t>,</w:t>
      </w:r>
      <w:r>
        <w:rPr>
          <w:lang w:val="pl"/>
        </w:rPr>
        <w:t xml:space="preserve"> wszys</w:t>
      </w:r>
      <w:r w:rsidR="006B4E74">
        <w:rPr>
          <w:lang w:val="pl"/>
        </w:rPr>
        <w:t>tkim</w:t>
      </w:r>
      <w:r>
        <w:rPr>
          <w:lang w:val="pl"/>
        </w:rPr>
        <w:t xml:space="preserve"> funkcjonariuszom wymiaru sprawiedliwości przysługują takie same gwarancje niezawisłości (art. 88). Ponadto</w:t>
      </w:r>
      <w:r w:rsidR="006B4E74">
        <w:rPr>
          <w:lang w:val="pl"/>
        </w:rPr>
        <w:t>,</w:t>
      </w:r>
      <w:r>
        <w:rPr>
          <w:lang w:val="pl"/>
        </w:rPr>
        <w:t xml:space="preserve"> te same organy są właściwe w</w:t>
      </w:r>
      <w:r w:rsidR="00CF7B21">
        <w:rPr>
          <w:lang w:val="pl"/>
        </w:rPr>
        <w:t> </w:t>
      </w:r>
      <w:r>
        <w:rPr>
          <w:lang w:val="pl"/>
        </w:rPr>
        <w:t xml:space="preserve">sprawach przeniesień, awansów, nadzoru i postępowania dyscyplinarnego </w:t>
      </w:r>
      <w:r>
        <w:rPr>
          <w:lang w:val="pl"/>
        </w:rPr>
        <w:lastRenderedPageBreak/>
        <w:t xml:space="preserve">(art. 90 i 91) w odniesieniu do wszystkich funkcjonariuszy wymiaru sprawiedliwości (zob. również paragraf </w:t>
      </w:r>
      <w:r>
        <w:rPr>
          <w:lang w:val="pl"/>
        </w:rPr>
        <w:fldChar w:fldCharType="begin"/>
      </w:r>
      <w:r>
        <w:rPr>
          <w:lang w:val="pl"/>
        </w:rPr>
        <w:instrText xml:space="preserve"> REF Constitution \h </w:instrText>
      </w:r>
      <w:r>
        <w:rPr>
          <w:lang w:val="pl"/>
        </w:rPr>
      </w:r>
      <w:r>
        <w:rPr>
          <w:lang w:val="pl"/>
        </w:rPr>
        <w:fldChar w:fldCharType="separate"/>
      </w:r>
      <w:r>
        <w:rPr>
          <w:noProof/>
          <w:lang w:val="pl"/>
        </w:rPr>
        <w:t>35</w:t>
      </w:r>
      <w:r>
        <w:rPr>
          <w:lang w:val="pl"/>
        </w:rPr>
        <w:fldChar w:fldCharType="end"/>
      </w:r>
      <w:r>
        <w:rPr>
          <w:lang w:val="pl"/>
        </w:rPr>
        <w:t xml:space="preserve"> powyżej). Status wszystkich funkcjonariuszy wymiaru sprawiedliwości, w tym prokuratorów, był w</w:t>
      </w:r>
      <w:r w:rsidR="00CF7B21">
        <w:rPr>
          <w:lang w:val="pl"/>
        </w:rPr>
        <w:t> </w:t>
      </w:r>
      <w:r>
        <w:rPr>
          <w:lang w:val="pl"/>
        </w:rPr>
        <w:t xml:space="preserve">czasie istotnym dla sprawy uregulowany w sposób jednolity ustawą nr 1756/1988 (zob. również paragraf </w:t>
      </w:r>
      <w:r>
        <w:rPr>
          <w:lang w:val="pl"/>
        </w:rPr>
        <w:fldChar w:fldCharType="begin"/>
      </w:r>
      <w:r>
        <w:rPr>
          <w:lang w:val="pl"/>
        </w:rPr>
        <w:instrText xml:space="preserve"> REF codeofcourts \h </w:instrText>
      </w:r>
      <w:r>
        <w:rPr>
          <w:lang w:val="pl"/>
        </w:rPr>
      </w:r>
      <w:r>
        <w:rPr>
          <w:lang w:val="pl"/>
        </w:rPr>
        <w:fldChar w:fldCharType="separate"/>
      </w:r>
      <w:r>
        <w:rPr>
          <w:rFonts w:ascii="Times New Roman" w:hAnsi="Times New Roman"/>
          <w:noProof/>
          <w:lang w:val="pl"/>
        </w:rPr>
        <w:t>36</w:t>
      </w:r>
      <w:r>
        <w:rPr>
          <w:lang w:val="pl"/>
        </w:rPr>
        <w:fldChar w:fldCharType="end"/>
      </w:r>
      <w:r>
        <w:rPr>
          <w:lang w:val="pl"/>
        </w:rPr>
        <w:t xml:space="preserve"> powyżej) w zakresie mianowania (art. 34–39), praw (art. 43–47), </w:t>
      </w:r>
      <w:r w:rsidR="006B4E74">
        <w:rPr>
          <w:lang w:val="pl"/>
        </w:rPr>
        <w:t xml:space="preserve">skierowania do pełnienia innych funkcji </w:t>
      </w:r>
      <w:r>
        <w:rPr>
          <w:lang w:val="pl"/>
        </w:rPr>
        <w:t>i delegowania (art. 49–52), starszeństwa i pierwszeństwa (art. 54–55), zawieszenia (art. 56–57) oraz zakończenia kariery (art. 58–60), przy czym wszyscy funkcjonariusze wymiaru sprawiedliwości byli mianowani na czas nieokreślony (art. 53), a</w:t>
      </w:r>
      <w:r w:rsidR="00CF7B21">
        <w:rPr>
          <w:lang w:val="pl"/>
        </w:rPr>
        <w:t> </w:t>
      </w:r>
      <w:r>
        <w:rPr>
          <w:lang w:val="pl"/>
        </w:rPr>
        <w:t>nadzór nad nimi (art. 80–88) oraz kontrola dyscyplinarna (art. 90–107) były uregulowane w sposób jednolity. Wreszcie</w:t>
      </w:r>
      <w:r w:rsidR="006B4E74">
        <w:rPr>
          <w:lang w:val="pl"/>
        </w:rPr>
        <w:t>,</w:t>
      </w:r>
      <w:r>
        <w:rPr>
          <w:lang w:val="pl"/>
        </w:rPr>
        <w:t xml:space="preserve"> zgodnie z art. 24 ustawy nr</w:t>
      </w:r>
      <w:r w:rsidR="00CF7B21">
        <w:rPr>
          <w:lang w:val="pl"/>
        </w:rPr>
        <w:t> </w:t>
      </w:r>
      <w:r>
        <w:rPr>
          <w:lang w:val="pl"/>
        </w:rPr>
        <w:t>1756/1988</w:t>
      </w:r>
      <w:r w:rsidR="006B4E74">
        <w:rPr>
          <w:lang w:val="pl"/>
        </w:rPr>
        <w:t>,</w:t>
      </w:r>
      <w:r>
        <w:rPr>
          <w:lang w:val="pl"/>
        </w:rPr>
        <w:t xml:space="preserve"> prokuratura stanowi organ sądowy niezależny od sądów i</w:t>
      </w:r>
      <w:r w:rsidR="00CF7B21">
        <w:rPr>
          <w:lang w:val="pl"/>
        </w:rPr>
        <w:t> </w:t>
      </w:r>
      <w:r>
        <w:rPr>
          <w:lang w:val="pl"/>
        </w:rPr>
        <w:t>władzy wykonawczej, a prokuratorzy podlegają hierarchicznie prokuratorowi SK.</w:t>
      </w:r>
    </w:p>
    <w:p w14:paraId="40532365" w14:textId="77777777" w:rsidR="00FB1A8A" w:rsidRPr="00843F1A" w:rsidRDefault="00000000" w:rsidP="00843F1A">
      <w:pPr>
        <w:pStyle w:val="JuHA"/>
        <w:rPr>
          <w:rFonts w:eastAsia="Times New Roman"/>
        </w:rPr>
      </w:pPr>
      <w:r>
        <w:rPr>
          <w:lang w:val="pl"/>
        </w:rPr>
        <w:t>Kodeks postępowania karnego</w:t>
      </w:r>
    </w:p>
    <w:bookmarkStart w:id="22" w:name="CCrimProcedure"/>
    <w:p w14:paraId="5081B4CE" w14:textId="77777777"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40</w:t>
      </w:r>
      <w:r>
        <w:rPr>
          <w:lang w:val="pl"/>
        </w:rPr>
        <w:fldChar w:fldCharType="end"/>
      </w:r>
      <w:bookmarkEnd w:id="22"/>
      <w:r>
        <w:rPr>
          <w:lang w:val="pl"/>
        </w:rPr>
        <w:t>.  Przepisy Kodeksu postępowania karnego, w brzmieniu obowiązującym w czasie istotnym dla sprawy, są następujące:</w:t>
      </w:r>
    </w:p>
    <w:p w14:paraId="1B0217E2" w14:textId="77777777" w:rsidR="00FB1A8A" w:rsidRPr="00CF7B21" w:rsidRDefault="00000000" w:rsidP="00843F1A">
      <w:pPr>
        <w:pStyle w:val="JuHArticle"/>
        <w:rPr>
          <w:rFonts w:eastAsia="Times New Roman"/>
          <w:lang w:val="pl-PL"/>
        </w:rPr>
      </w:pPr>
      <w:r>
        <w:rPr>
          <w:rFonts w:eastAsia="Times New Roman"/>
          <w:bCs/>
          <w:lang w:val="pl"/>
        </w:rPr>
        <w:t>Artykuł 17</w:t>
      </w:r>
    </w:p>
    <w:p w14:paraId="3A5AF2CC" w14:textId="77777777" w:rsidR="00FB1A8A" w:rsidRPr="00CF7B21" w:rsidRDefault="00000000" w:rsidP="00843F1A">
      <w:pPr>
        <w:pStyle w:val="JuHArticle"/>
        <w:rPr>
          <w:rFonts w:eastAsia="Times New Roman"/>
          <w:lang w:val="pl-PL"/>
        </w:rPr>
      </w:pPr>
      <w:r>
        <w:rPr>
          <w:rFonts w:eastAsia="Times New Roman"/>
          <w:bCs/>
          <w:lang w:val="pl"/>
        </w:rPr>
        <w:t>Treść i złożenie wniosku o wyłączenie</w:t>
      </w:r>
    </w:p>
    <w:p w14:paraId="4E2150B4" w14:textId="031A7DC5" w:rsidR="00FB1A8A" w:rsidRPr="00CF7B21" w:rsidRDefault="00000000" w:rsidP="00843F1A">
      <w:pPr>
        <w:pStyle w:val="JuQuot"/>
        <w:rPr>
          <w:rFonts w:eastAsia="Times New Roman"/>
          <w:lang w:val="pl-PL"/>
        </w:rPr>
      </w:pPr>
      <w:r>
        <w:rPr>
          <w:rFonts w:eastAsia="Times New Roman"/>
          <w:lang w:val="pl"/>
        </w:rPr>
        <w:t>„1. We wniosku o wyłączenie należy jasno określić podstawy wyłączenia danej osoby pełniącej funkcję sędziowską, w szczególności wskazać okoliczności faktyczne, na których opierają się te powody, oraz przedstawić dowody na ich poparcie. W</w:t>
      </w:r>
      <w:r w:rsidR="00CF7B21">
        <w:rPr>
          <w:rFonts w:eastAsia="Times New Roman"/>
          <w:lang w:val="pl"/>
        </w:rPr>
        <w:t> </w:t>
      </w:r>
      <w:r>
        <w:rPr>
          <w:rFonts w:eastAsia="Times New Roman"/>
          <w:lang w:val="pl"/>
        </w:rPr>
        <w:t>przeciwnym razie wniosek zostanie oddalony jako niedopuszczalny na tej samej rozprawie przez ten sam skład sądu lub komisji, któremu został przedłożony.</w:t>
      </w:r>
    </w:p>
    <w:p w14:paraId="6F21E600" w14:textId="77777777" w:rsidR="00FB1A8A" w:rsidRPr="00CF7B21" w:rsidRDefault="00000000" w:rsidP="00843F1A">
      <w:pPr>
        <w:pStyle w:val="JuQuot"/>
        <w:rPr>
          <w:rFonts w:eastAsia="Times New Roman"/>
          <w:lang w:val="pl-PL"/>
        </w:rPr>
      </w:pPr>
      <w:r>
        <w:rPr>
          <w:rFonts w:eastAsia="Times New Roman"/>
          <w:lang w:val="pl"/>
        </w:rPr>
        <w:t>2. Wniosek o wyłączenie musi być podpisany przez samego wnioskodawcę lub przez pełnomocnika posiadającego specjalne pełnomocnictwo w tym celu. W żadnym wypadku nie zezwala się na późniejsze sporządzenie pełnomocnictwa. Pełnomocnictwo musi zawierać konkretne i szczegółowe podstawy, na których opiera się wniosek o wyłączenie. W przypadku nieprzestrzegania powyższych wymogów formalnych wniosek zostanie odrzucony jako niedopuszczalny na tej samej rozprawie przez ten sam skład sądu lub komisji, któremu został przedłożony.</w:t>
      </w:r>
    </w:p>
    <w:p w14:paraId="02817B53" w14:textId="77777777" w:rsidR="00FB1A8A" w:rsidRPr="00CF7B21" w:rsidRDefault="00000000" w:rsidP="00843F1A">
      <w:pPr>
        <w:pStyle w:val="JuQuot"/>
        <w:rPr>
          <w:rFonts w:eastAsia="Times New Roman"/>
          <w:lang w:val="pl-PL"/>
        </w:rPr>
      </w:pPr>
      <w:r>
        <w:rPr>
          <w:rFonts w:eastAsia="Times New Roman"/>
          <w:lang w:val="pl"/>
        </w:rPr>
        <w:t>3. Wniosek o wyłączenie należy złożyć do prokuratora sądu, w którym pełni służbę osoba, o której wyłączenie wnioskowano [...]”.</w:t>
      </w:r>
    </w:p>
    <w:p w14:paraId="3C64D33A" w14:textId="77777777" w:rsidR="00FB1A8A" w:rsidRPr="00CF7B21" w:rsidRDefault="00000000" w:rsidP="00843F1A">
      <w:pPr>
        <w:pStyle w:val="JuHArticle"/>
        <w:rPr>
          <w:rFonts w:eastAsia="Times New Roman"/>
          <w:lang w:val="pl-PL"/>
        </w:rPr>
      </w:pPr>
      <w:r>
        <w:rPr>
          <w:rFonts w:eastAsia="Times New Roman"/>
          <w:bCs/>
          <w:lang w:val="pl"/>
        </w:rPr>
        <w:t>Artykuł 18</w:t>
      </w:r>
    </w:p>
    <w:p w14:paraId="03083B22" w14:textId="77777777" w:rsidR="00FB1A8A" w:rsidRPr="00CF7B21" w:rsidRDefault="00000000" w:rsidP="00843F1A">
      <w:pPr>
        <w:pStyle w:val="JuHArticle"/>
        <w:rPr>
          <w:rFonts w:eastAsia="Times New Roman"/>
          <w:lang w:val="pl-PL"/>
        </w:rPr>
      </w:pPr>
      <w:r>
        <w:rPr>
          <w:rFonts w:eastAsia="Times New Roman"/>
          <w:bCs/>
          <w:lang w:val="pl"/>
        </w:rPr>
        <w:t>Uznanie wniosku za niedopuszczalny</w:t>
      </w:r>
    </w:p>
    <w:p w14:paraId="6DD13069" w14:textId="20F868A6" w:rsidR="00FB1A8A" w:rsidRPr="00CF7B21" w:rsidRDefault="00000000" w:rsidP="00843F1A">
      <w:pPr>
        <w:pStyle w:val="JuQuot"/>
        <w:rPr>
          <w:rFonts w:eastAsia="Times New Roman"/>
          <w:lang w:val="pl-PL"/>
        </w:rPr>
      </w:pPr>
      <w:r>
        <w:rPr>
          <w:rFonts w:eastAsia="Times New Roman"/>
          <w:lang w:val="pl"/>
        </w:rPr>
        <w:t>„1. Jeżeli wniosek o wyłączenie został złożony […] w sposób nieprawidłowy lub zawiera braki merytoryczne, sąd właściwy na mocy art. 20 […] odrzuca go jako niedopuszczalny w terminie nieprzekraczającym dwóch dni od jego złożenia. Osoba, której dotyczy wyłączenie, nie bierze udziału w rozpatrywaniu sprawy, a</w:t>
      </w:r>
      <w:r w:rsidR="00CF7B21">
        <w:rPr>
          <w:rFonts w:eastAsia="Times New Roman"/>
          <w:lang w:val="pl"/>
        </w:rPr>
        <w:t> </w:t>
      </w:r>
      <w:r>
        <w:rPr>
          <w:rFonts w:eastAsia="Times New Roman"/>
          <w:lang w:val="pl"/>
        </w:rPr>
        <w:t>wnioskodawca zostaje wezwany wraz z pozostałymi stronami, o ile to możliwe [...]”.</w:t>
      </w:r>
    </w:p>
    <w:p w14:paraId="0D3B1AAB" w14:textId="77777777" w:rsidR="00FB1A8A" w:rsidRPr="00CF7B21" w:rsidRDefault="00000000" w:rsidP="00843F1A">
      <w:pPr>
        <w:pStyle w:val="JuHArticle"/>
        <w:rPr>
          <w:rFonts w:eastAsia="Times New Roman"/>
          <w:lang w:val="pl-PL"/>
        </w:rPr>
      </w:pPr>
      <w:r>
        <w:rPr>
          <w:rFonts w:eastAsia="Times New Roman"/>
          <w:bCs/>
          <w:lang w:val="pl"/>
        </w:rPr>
        <w:lastRenderedPageBreak/>
        <w:t>Artykuł 20</w:t>
      </w:r>
    </w:p>
    <w:p w14:paraId="2F7AD987" w14:textId="77777777" w:rsidR="00FB1A8A" w:rsidRPr="00CF7B21" w:rsidRDefault="00000000" w:rsidP="00843F1A">
      <w:pPr>
        <w:pStyle w:val="JuHArticle"/>
        <w:rPr>
          <w:rFonts w:eastAsia="Times New Roman"/>
          <w:lang w:val="pl-PL"/>
        </w:rPr>
      </w:pPr>
      <w:r>
        <w:rPr>
          <w:rFonts w:eastAsia="Times New Roman"/>
          <w:bCs/>
          <w:lang w:val="pl"/>
        </w:rPr>
        <w:t>Sąd właściwy</w:t>
      </w:r>
    </w:p>
    <w:p w14:paraId="16F7EDDB" w14:textId="64AFEFAF" w:rsidR="00FB1A8A" w:rsidRPr="00843F1A" w:rsidRDefault="00000000" w:rsidP="00843F1A">
      <w:pPr>
        <w:pStyle w:val="JuQuot"/>
        <w:rPr>
          <w:rFonts w:eastAsia="Times New Roman"/>
        </w:rPr>
      </w:pPr>
      <w:r>
        <w:rPr>
          <w:rFonts w:eastAsia="Times New Roman"/>
          <w:lang w:val="pl"/>
        </w:rPr>
        <w:t>„1. [...] [P]</w:t>
      </w:r>
      <w:proofErr w:type="spellStart"/>
      <w:r>
        <w:rPr>
          <w:rFonts w:eastAsia="Times New Roman"/>
          <w:lang w:val="pl"/>
        </w:rPr>
        <w:t>rokurator</w:t>
      </w:r>
      <w:proofErr w:type="spellEnd"/>
      <w:r>
        <w:rPr>
          <w:rFonts w:eastAsia="Times New Roman"/>
          <w:lang w:val="pl"/>
        </w:rPr>
        <w:t xml:space="preserve"> składa wniosek o wyłączenie do sądu, w którym pełni służbę, lub do </w:t>
      </w:r>
      <w:proofErr w:type="gramStart"/>
      <w:r>
        <w:rPr>
          <w:rFonts w:eastAsia="Times New Roman"/>
          <w:lang w:val="pl"/>
        </w:rPr>
        <w:t xml:space="preserve">wydziału </w:t>
      </w:r>
      <w:r w:rsidR="005F002D">
        <w:rPr>
          <w:rFonts w:eastAsia="Times New Roman"/>
          <w:lang w:val="pl"/>
        </w:rPr>
        <w:t xml:space="preserve"> </w:t>
      </w:r>
      <w:r w:rsidR="00146902">
        <w:rPr>
          <w:rFonts w:eastAsia="Times New Roman"/>
          <w:lang w:val="pl"/>
        </w:rPr>
        <w:t>ds.</w:t>
      </w:r>
      <w:proofErr w:type="gramEnd"/>
      <w:r w:rsidR="00146902">
        <w:rPr>
          <w:rFonts w:eastAsia="Times New Roman"/>
          <w:lang w:val="pl"/>
        </w:rPr>
        <w:t xml:space="preserve"> aktów </w:t>
      </w:r>
      <w:r w:rsidR="005F002D">
        <w:rPr>
          <w:rFonts w:eastAsia="Times New Roman"/>
          <w:lang w:val="pl"/>
        </w:rPr>
        <w:t>oskarże</w:t>
      </w:r>
      <w:r w:rsidR="00146902">
        <w:rPr>
          <w:rFonts w:eastAsia="Times New Roman"/>
          <w:lang w:val="pl"/>
        </w:rPr>
        <w:t>nia</w:t>
      </w:r>
      <w:r>
        <w:rPr>
          <w:rFonts w:eastAsia="Times New Roman"/>
          <w:lang w:val="pl"/>
        </w:rPr>
        <w:t xml:space="preserve">, jeżeli wniosek dotyczy sędziego śledczego lub członka wydziału śledczego. Sąd lub wydział </w:t>
      </w:r>
      <w:r w:rsidR="00146902">
        <w:rPr>
          <w:rFonts w:eastAsia="Times New Roman"/>
          <w:lang w:val="pl"/>
        </w:rPr>
        <w:t>ds. aktów</w:t>
      </w:r>
      <w:r w:rsidR="005F002D">
        <w:rPr>
          <w:rFonts w:eastAsia="Times New Roman"/>
          <w:lang w:val="pl"/>
        </w:rPr>
        <w:t xml:space="preserve"> oskarże</w:t>
      </w:r>
      <w:r w:rsidR="00146902">
        <w:rPr>
          <w:rFonts w:eastAsia="Times New Roman"/>
          <w:lang w:val="pl"/>
        </w:rPr>
        <w:t>nia</w:t>
      </w:r>
      <w:r w:rsidR="005F002D">
        <w:rPr>
          <w:rFonts w:eastAsia="Times New Roman"/>
          <w:lang w:val="pl"/>
        </w:rPr>
        <w:t xml:space="preserve"> </w:t>
      </w:r>
      <w:r>
        <w:rPr>
          <w:rFonts w:eastAsia="Times New Roman"/>
          <w:lang w:val="pl"/>
        </w:rPr>
        <w:t>[…] rozpatruje wniosek o wyłączenie. Osoba, o której wyłączenie wnioskowano, nie może zasiadać w składzie orzekającym. Zostanie zastąpiona zgodnie z przepisami prawa [...]”.</w:t>
      </w:r>
    </w:p>
    <w:p w14:paraId="406CADEB" w14:textId="77777777" w:rsidR="00FB1A8A" w:rsidRPr="00843F1A" w:rsidRDefault="00000000" w:rsidP="00843F1A">
      <w:pPr>
        <w:pStyle w:val="JuHIRoman"/>
        <w:rPr>
          <w:rFonts w:eastAsia="Times New Roman"/>
        </w:rPr>
      </w:pPr>
      <w:r>
        <w:rPr>
          <w:rFonts w:eastAsia="Times New Roman"/>
          <w:bCs w:val="0"/>
          <w:caps w:val="0"/>
          <w:lang w:val="pl"/>
        </w:rPr>
        <w:t>ORZECZNICTWO TRYBUNAŁU SPRAWIEDLIWOŚCI UNII EUROPEJSKIEJ</w:t>
      </w:r>
    </w:p>
    <w:bookmarkStart w:id="23" w:name="cjeu"/>
    <w:p w14:paraId="2458F587" w14:textId="77777777" w:rsidR="00FB1A8A" w:rsidRPr="00CF7B21" w:rsidRDefault="00000000" w:rsidP="00843F1A">
      <w:pPr>
        <w:pStyle w:val="JuPara"/>
        <w:rPr>
          <w:color w:val="006699"/>
          <w:lang w:val="pl-PL"/>
        </w:rPr>
      </w:pPr>
      <w:r>
        <w:rPr>
          <w:lang w:val="pl"/>
        </w:rPr>
        <w:fldChar w:fldCharType="begin"/>
      </w:r>
      <w:r>
        <w:rPr>
          <w:lang w:val="pl"/>
        </w:rPr>
        <w:instrText xml:space="preserve"> SEQ level0 \*arabic \* MERGEFORMAT </w:instrText>
      </w:r>
      <w:r>
        <w:rPr>
          <w:lang w:val="pl"/>
        </w:rPr>
        <w:fldChar w:fldCharType="separate"/>
      </w:r>
      <w:r>
        <w:rPr>
          <w:noProof/>
          <w:lang w:val="pl"/>
        </w:rPr>
        <w:t>41</w:t>
      </w:r>
      <w:r>
        <w:rPr>
          <w:lang w:val="pl"/>
        </w:rPr>
        <w:fldChar w:fldCharType="end"/>
      </w:r>
      <w:bookmarkEnd w:id="23"/>
      <w:r>
        <w:rPr>
          <w:lang w:val="pl"/>
        </w:rPr>
        <w:t xml:space="preserve">.  W sprawie </w:t>
      </w:r>
      <w:r>
        <w:rPr>
          <w:i/>
          <w:iCs/>
          <w:lang w:val="pl"/>
        </w:rPr>
        <w:t xml:space="preserve">Inspektorat kam </w:t>
      </w:r>
      <w:proofErr w:type="spellStart"/>
      <w:r>
        <w:rPr>
          <w:i/>
          <w:iCs/>
          <w:lang w:val="pl"/>
        </w:rPr>
        <w:t>Visshia</w:t>
      </w:r>
      <w:proofErr w:type="spellEnd"/>
      <w:r>
        <w:rPr>
          <w:i/>
          <w:iCs/>
          <w:lang w:val="pl"/>
        </w:rPr>
        <w:t xml:space="preserve"> </w:t>
      </w:r>
      <w:proofErr w:type="spellStart"/>
      <w:r>
        <w:rPr>
          <w:i/>
          <w:iCs/>
          <w:lang w:val="pl"/>
        </w:rPr>
        <w:t>sadeben</w:t>
      </w:r>
      <w:proofErr w:type="spellEnd"/>
      <w:r>
        <w:rPr>
          <w:i/>
          <w:iCs/>
          <w:lang w:val="pl"/>
        </w:rPr>
        <w:t xml:space="preserve"> </w:t>
      </w:r>
      <w:proofErr w:type="spellStart"/>
      <w:r>
        <w:rPr>
          <w:i/>
          <w:iCs/>
          <w:lang w:val="pl"/>
        </w:rPr>
        <w:t>savet</w:t>
      </w:r>
      <w:proofErr w:type="spellEnd"/>
      <w:r>
        <w:rPr>
          <w:i/>
          <w:iCs/>
          <w:lang w:val="pl"/>
        </w:rPr>
        <w:t xml:space="preserve"> </w:t>
      </w:r>
      <w:r>
        <w:rPr>
          <w:lang w:val="pl"/>
        </w:rPr>
        <w:t xml:space="preserve"> (30 kwietnia 2025 r., C</w:t>
      </w:r>
      <w:r>
        <w:rPr>
          <w:lang w:val="pl"/>
        </w:rPr>
        <w:noBreakHyphen/>
        <w:t>313/23, C</w:t>
      </w:r>
      <w:r>
        <w:rPr>
          <w:lang w:val="pl"/>
        </w:rPr>
        <w:noBreakHyphen/>
        <w:t>316/23, C-332/23, EU:C:2025:303) Trybunał Sprawiedliwości Unii Europejskiej (zwany dalej „TSUE”) orzekł między innymi, że art. 19 Traktatu o Unii Europejskiej, w związku z art. 47 Karty praw podstawowych Unii Europejskiej, należy interpretować w ten sposób, że zasada niezależności sądu wyklucza praktykę, zgodnie z którą funkcjonariusze organu sądowego, właściwego w szczególności do badania działalności sędziów i prokuratorów oraz do wnioskowania o wszczęcie postępowania dyscyplinarnego, nadal pełnią swoje funkcje po upływie ustawowego okresu ich kadencji, jeżeli przedłużenie to nie ma wyraźnej podstawy prawnej w prawie krajowym. Przeprowadzając powyższą analizę, TSUE stwierdził, co następuje:</w:t>
      </w:r>
      <w:bookmarkStart w:id="24" w:name="point86"/>
    </w:p>
    <w:p w14:paraId="03CFF7C4" w14:textId="34E9D67D" w:rsidR="00FB1A8A" w:rsidRPr="00CF7B21" w:rsidRDefault="00000000" w:rsidP="00843F1A">
      <w:pPr>
        <w:pStyle w:val="JuQuot"/>
        <w:rPr>
          <w:lang w:val="pl-PL"/>
        </w:rPr>
      </w:pPr>
      <w:r>
        <w:rPr>
          <w:lang w:val="pl"/>
        </w:rPr>
        <w:t>„86</w:t>
      </w:r>
      <w:bookmarkEnd w:id="24"/>
      <w:r>
        <w:rPr>
          <w:lang w:val="pl"/>
        </w:rPr>
        <w:t xml:space="preserve"> Jeżeli chodzi konkretniej o przepisy regulujące system odpowiedzialności dyscyplinarnej sędziów, wymóg niezależności sądów i trybunałów wynikający z</w:t>
      </w:r>
      <w:r w:rsidR="00CF7B21" w:rsidRPr="00CF7B21">
        <w:rPr>
          <w:lang w:val="pl-PL"/>
        </w:rPr>
        <w:t> </w:t>
      </w:r>
      <w:r>
        <w:rPr>
          <w:lang w:val="pl"/>
        </w:rPr>
        <w:t>art.</w:t>
      </w:r>
      <w:r w:rsidR="00CF7B21">
        <w:rPr>
          <w:lang w:val="pl"/>
        </w:rPr>
        <w:t> </w:t>
      </w:r>
      <w:r>
        <w:rPr>
          <w:lang w:val="pl"/>
        </w:rPr>
        <w:t>19</w:t>
      </w:r>
      <w:r w:rsidR="00CF7B21">
        <w:rPr>
          <w:lang w:val="pl"/>
        </w:rPr>
        <w:t> </w:t>
      </w:r>
      <w:r>
        <w:rPr>
          <w:lang w:val="pl"/>
        </w:rPr>
        <w:t>ust. 1 akapit drugi TUE zakłada, aby system ten będzie zapewniał niezbędne gwarancje w celu uniknięcia ryzyka wykorzystania go jako narzędzia politycznej kontroli treści orzeczeń sądowych.</w:t>
      </w:r>
    </w:p>
    <w:p w14:paraId="5C60C4C3" w14:textId="77777777" w:rsidR="00FB1A8A" w:rsidRPr="00CF7B21" w:rsidRDefault="00000000" w:rsidP="00843F1A">
      <w:pPr>
        <w:pStyle w:val="JuQuot"/>
        <w:rPr>
          <w:lang w:val="pl-PL"/>
        </w:rPr>
      </w:pPr>
      <w:r>
        <w:rPr>
          <w:lang w:val="pl"/>
        </w:rPr>
        <w:t>[...]</w:t>
      </w:r>
    </w:p>
    <w:p w14:paraId="07694D47" w14:textId="4C8B07E8" w:rsidR="00FB1A8A" w:rsidRPr="00CF7B21" w:rsidRDefault="00000000" w:rsidP="00843F1A">
      <w:pPr>
        <w:pStyle w:val="JuQuot"/>
        <w:rPr>
          <w:lang w:val="pl-PL"/>
        </w:rPr>
      </w:pPr>
      <w:bookmarkStart w:id="25" w:name="point87"/>
      <w:r>
        <w:rPr>
          <w:lang w:val="pl"/>
        </w:rPr>
        <w:t>87</w:t>
      </w:r>
      <w:bookmarkEnd w:id="25"/>
      <w:r>
        <w:rPr>
          <w:lang w:val="pl"/>
        </w:rPr>
        <w:t xml:space="preserve"> Perspektywa wszczęcia </w:t>
      </w:r>
      <w:r w:rsidR="00960DC9" w:rsidRPr="00960DC9">
        <w:rPr>
          <w:lang w:val="pl-PL"/>
        </w:rPr>
        <w:t>dochodzenia</w:t>
      </w:r>
      <w:r w:rsidR="00960DC9">
        <w:rPr>
          <w:lang w:val="pl-PL"/>
        </w:rPr>
        <w:t xml:space="preserve"> </w:t>
      </w:r>
      <w:r w:rsidR="00960DC9" w:rsidRPr="00960DC9">
        <w:rPr>
          <w:lang w:val="pl-PL"/>
        </w:rPr>
        <w:t>dyscyplinarnego</w:t>
      </w:r>
      <w:r w:rsidR="00960DC9">
        <w:rPr>
          <w:lang w:val="pl-PL"/>
        </w:rPr>
        <w:t xml:space="preserve"> </w:t>
      </w:r>
      <w:r>
        <w:rPr>
          <w:lang w:val="pl"/>
        </w:rPr>
        <w:t xml:space="preserve"> sama w sobie może wywierać presję na osoby, których zadaniem jest orzekanie w sporze, istotne jest, aby organ właściwy do prowadzenia postępowania wyjaśniającego i wszczynania postępowania dyscyplinarnego działał obiektywnie i bezstronnie w wykonywaniu swoich obowiązków i w tym celu był wolny od jakichkolwiek wpływów zewnętrznych (zob. w tym zakresie wyroki z dnia 18 maja 2021r</w:t>
      </w:r>
      <w:r w:rsidR="00960DC9">
        <w:rPr>
          <w:lang w:val="pl"/>
        </w:rPr>
        <w:t>.</w:t>
      </w:r>
      <w:r>
        <w:rPr>
          <w:lang w:val="pl"/>
        </w:rPr>
        <w:t>, </w:t>
      </w:r>
      <w:proofErr w:type="spellStart"/>
      <w:r>
        <w:rPr>
          <w:i/>
          <w:iCs/>
          <w:lang w:val="pl"/>
        </w:rPr>
        <w:t>Asociația</w:t>
      </w:r>
      <w:proofErr w:type="spellEnd"/>
      <w:r>
        <w:rPr>
          <w:i/>
          <w:iCs/>
          <w:lang w:val="pl"/>
        </w:rPr>
        <w:t xml:space="preserve"> ‘</w:t>
      </w:r>
      <w:proofErr w:type="spellStart"/>
      <w:r>
        <w:rPr>
          <w:i/>
          <w:iCs/>
          <w:lang w:val="pl"/>
        </w:rPr>
        <w:t>Forumul</w:t>
      </w:r>
      <w:proofErr w:type="spellEnd"/>
      <w:r>
        <w:rPr>
          <w:i/>
          <w:iCs/>
          <w:lang w:val="pl"/>
        </w:rPr>
        <w:t xml:space="preserve"> </w:t>
      </w:r>
      <w:proofErr w:type="spellStart"/>
      <w:r>
        <w:rPr>
          <w:i/>
          <w:iCs/>
          <w:lang w:val="pl"/>
        </w:rPr>
        <w:t>Judecătorilor</w:t>
      </w:r>
      <w:proofErr w:type="spellEnd"/>
      <w:r>
        <w:rPr>
          <w:i/>
          <w:iCs/>
          <w:lang w:val="pl"/>
        </w:rPr>
        <w:t xml:space="preserve"> </w:t>
      </w:r>
      <w:proofErr w:type="spellStart"/>
      <w:r>
        <w:rPr>
          <w:i/>
          <w:iCs/>
          <w:lang w:val="pl"/>
        </w:rPr>
        <w:t>din</w:t>
      </w:r>
      <w:proofErr w:type="spellEnd"/>
      <w:r>
        <w:rPr>
          <w:i/>
          <w:iCs/>
          <w:lang w:val="pl"/>
        </w:rPr>
        <w:t xml:space="preserve"> </w:t>
      </w:r>
      <w:proofErr w:type="spellStart"/>
      <w:r>
        <w:rPr>
          <w:i/>
          <w:iCs/>
          <w:lang w:val="pl"/>
        </w:rPr>
        <w:t>România</w:t>
      </w:r>
      <w:proofErr w:type="spellEnd"/>
      <w:r>
        <w:rPr>
          <w:i/>
          <w:iCs/>
          <w:lang w:val="pl"/>
        </w:rPr>
        <w:t>’ i in.</w:t>
      </w:r>
      <w:r>
        <w:rPr>
          <w:lang w:val="pl"/>
        </w:rPr>
        <w:t>, C</w:t>
      </w:r>
      <w:r>
        <w:rPr>
          <w:lang w:val="pl"/>
        </w:rPr>
        <w:noBreakHyphen/>
        <w:t>83/19, C</w:t>
      </w:r>
      <w:r>
        <w:rPr>
          <w:lang w:val="pl"/>
        </w:rPr>
        <w:noBreakHyphen/>
        <w:t>127/19, C</w:t>
      </w:r>
      <w:r>
        <w:rPr>
          <w:lang w:val="pl"/>
        </w:rPr>
        <w:noBreakHyphen/>
        <w:t>195/19, C</w:t>
      </w:r>
      <w:r>
        <w:rPr>
          <w:lang w:val="pl"/>
        </w:rPr>
        <w:noBreakHyphen/>
        <w:t>291/19, C</w:t>
      </w:r>
      <w:r>
        <w:rPr>
          <w:lang w:val="pl"/>
        </w:rPr>
        <w:noBreakHyphen/>
        <w:t>355/19 i C</w:t>
      </w:r>
      <w:r>
        <w:rPr>
          <w:lang w:val="pl"/>
        </w:rPr>
        <w:noBreakHyphen/>
        <w:t xml:space="preserve">397/19, EU:C:2021:393, pkt 199, oraz z dnia 11 maja 2023, </w:t>
      </w:r>
      <w:proofErr w:type="spellStart"/>
      <w:r>
        <w:rPr>
          <w:i/>
          <w:iCs/>
          <w:lang w:val="pl"/>
        </w:rPr>
        <w:t>Inspecţia</w:t>
      </w:r>
      <w:proofErr w:type="spellEnd"/>
      <w:r>
        <w:rPr>
          <w:i/>
          <w:iCs/>
          <w:lang w:val="pl"/>
        </w:rPr>
        <w:t xml:space="preserve"> </w:t>
      </w:r>
      <w:proofErr w:type="spellStart"/>
      <w:r>
        <w:rPr>
          <w:i/>
          <w:iCs/>
          <w:lang w:val="pl"/>
        </w:rPr>
        <w:t>Judiciară</w:t>
      </w:r>
      <w:proofErr w:type="spellEnd"/>
      <w:r>
        <w:rPr>
          <w:lang w:val="pl"/>
        </w:rPr>
        <w:t>, C</w:t>
      </w:r>
      <w:r>
        <w:rPr>
          <w:lang w:val="pl"/>
        </w:rPr>
        <w:noBreakHyphen/>
        <w:t>817/21, EU:C:2023:391, pkt 49). Dotyczy to w szczególności organu sądowego, który, podobnie jak Inspektorat, ma szerokie uprawnienia do kontrolowania działalności sędziów, prokuratorów i sędziów śledczych w wykonywaniu ich funkcji, do</w:t>
      </w:r>
      <w:r w:rsidR="00CF7B21">
        <w:rPr>
          <w:lang w:val="pl"/>
        </w:rPr>
        <w:t xml:space="preserve"> </w:t>
      </w:r>
      <w:r>
        <w:rPr>
          <w:lang w:val="pl"/>
        </w:rPr>
        <w:t>przeprowadzania kontroli ich uczciwości i braku konfliktu interesów z ich strony, a</w:t>
      </w:r>
      <w:r w:rsidR="00CF7B21">
        <w:rPr>
          <w:lang w:val="pl"/>
        </w:rPr>
        <w:t> </w:t>
      </w:r>
      <w:r>
        <w:rPr>
          <w:lang w:val="pl"/>
        </w:rPr>
        <w:t>także do proponowania innemu organowi sądowemu – w wyniku przeprowadzonych kontroli – wszczęcia postępowania dyscyplinarnego w celu nałożenia sankcji dyscyplinarnych na te osoby”.</w:t>
      </w:r>
    </w:p>
    <w:p w14:paraId="6DC64780" w14:textId="77777777" w:rsidR="00FB1A8A" w:rsidRPr="00843F1A" w:rsidRDefault="00000000" w:rsidP="00843F1A">
      <w:pPr>
        <w:pStyle w:val="JuHHead"/>
      </w:pPr>
      <w:r>
        <w:rPr>
          <w:bCs w:val="0"/>
          <w:lang w:val="pl"/>
        </w:rPr>
        <w:lastRenderedPageBreak/>
        <w:t xml:space="preserve">PRAWO </w:t>
      </w:r>
    </w:p>
    <w:p w14:paraId="6AB1E7DE" w14:textId="77777777" w:rsidR="00FB1A8A" w:rsidRPr="00843F1A" w:rsidRDefault="00000000" w:rsidP="00843F1A">
      <w:pPr>
        <w:pStyle w:val="JuHIRoman"/>
      </w:pPr>
      <w:r>
        <w:rPr>
          <w:bCs w:val="0"/>
          <w:lang w:val="pl"/>
        </w:rPr>
        <w:t>ZARZUCANE NARUSZENIE ART. 6 UST. 1 KONWENCJI</w:t>
      </w:r>
    </w:p>
    <w:p w14:paraId="46191EEB" w14:textId="0CBB2860"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42</w:t>
      </w:r>
      <w:r>
        <w:rPr>
          <w:noProof/>
          <w:lang w:val="pl"/>
        </w:rPr>
        <w:fldChar w:fldCharType="end"/>
      </w:r>
      <w:r>
        <w:rPr>
          <w:lang w:val="pl"/>
        </w:rPr>
        <w:t xml:space="preserve">.  Powołując się na art. 6 ust. 1 Konwencji, skarżąca zarzuciła, że jej sprawa nie została rozpatrzona przez niezawisły i bezstronny sąd, ponieważ prezes SK, która prowadziła wstępne postępowanie wyjaśniające, osobiście rozpatrzyła wniosek o </w:t>
      </w:r>
      <w:r w:rsidR="00146902">
        <w:rPr>
          <w:lang w:val="pl"/>
        </w:rPr>
        <w:t xml:space="preserve">jej </w:t>
      </w:r>
      <w:r>
        <w:rPr>
          <w:lang w:val="pl"/>
        </w:rPr>
        <w:t>wyłączenie złożony przez skarżącą, a</w:t>
      </w:r>
      <w:r w:rsidR="00CF7B21">
        <w:rPr>
          <w:lang w:val="pl"/>
        </w:rPr>
        <w:t> </w:t>
      </w:r>
      <w:r>
        <w:rPr>
          <w:lang w:val="pl"/>
        </w:rPr>
        <w:t>następnie wszczęła przeciwko skarżącej postępowanie dyscyplinarne. Art. 6 ust. 1 Konwencji</w:t>
      </w:r>
      <w:r w:rsidR="00EA7E90">
        <w:rPr>
          <w:lang w:val="pl"/>
        </w:rPr>
        <w:t>,</w:t>
      </w:r>
      <w:r>
        <w:rPr>
          <w:lang w:val="pl"/>
        </w:rPr>
        <w:t xml:space="preserve"> we fragmentach istotnych dla sprawy</w:t>
      </w:r>
      <w:r w:rsidR="00EA7E90">
        <w:rPr>
          <w:lang w:val="pl"/>
        </w:rPr>
        <w:t>,</w:t>
      </w:r>
      <w:r>
        <w:rPr>
          <w:lang w:val="pl"/>
        </w:rPr>
        <w:t xml:space="preserve"> brzmi:</w:t>
      </w:r>
    </w:p>
    <w:p w14:paraId="4CC3ED18" w14:textId="77777777" w:rsidR="00FB1A8A" w:rsidRPr="00CF7B21" w:rsidRDefault="00000000" w:rsidP="00843F1A">
      <w:pPr>
        <w:pStyle w:val="JuQuot"/>
        <w:rPr>
          <w:lang w:val="pl-PL"/>
        </w:rPr>
      </w:pPr>
      <w:r>
        <w:rPr>
          <w:lang w:val="pl"/>
        </w:rPr>
        <w:t>„Każdy ma prawo do sprawiedliwego [...] rozpatrzenia jego sprawy [...] przez niezawisły i bezstronny sąd ustanowiony ustawą przy rozstrzyganiu o jego prawach i obowiązkach o charakterze cywilnym albo o zasadności każdego oskarżenia w wytoczonej przeciwko niemu sprawie karnej”.</w:t>
      </w:r>
    </w:p>
    <w:p w14:paraId="136B95C0" w14:textId="77777777" w:rsidR="00FB1A8A" w:rsidRPr="00843F1A" w:rsidRDefault="00000000" w:rsidP="00843F1A">
      <w:pPr>
        <w:pStyle w:val="JuHA"/>
      </w:pPr>
      <w:r>
        <w:rPr>
          <w:lang w:val="pl"/>
        </w:rPr>
        <w:t>Dopuszczalność</w:t>
      </w:r>
    </w:p>
    <w:p w14:paraId="215CAD09" w14:textId="77777777" w:rsidR="00FB1A8A" w:rsidRPr="00843F1A" w:rsidRDefault="00000000" w:rsidP="00843F1A">
      <w:pPr>
        <w:pStyle w:val="JuH1"/>
      </w:pPr>
      <w:r>
        <w:rPr>
          <w:bCs w:val="0"/>
          <w:lang w:val="pl"/>
        </w:rPr>
        <w:t>Stanowiska stron</w:t>
      </w:r>
    </w:p>
    <w:p w14:paraId="7B66F447" w14:textId="6B38D5EE"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43</w:t>
      </w:r>
      <w:r>
        <w:rPr>
          <w:noProof/>
          <w:lang w:val="pl"/>
        </w:rPr>
        <w:fldChar w:fldCharType="end"/>
      </w:r>
      <w:r>
        <w:rPr>
          <w:lang w:val="pl"/>
        </w:rPr>
        <w:t>.  Rząd twierdził, że art. 6 ust. 1 Konwencji nie ma zastosowania ani w</w:t>
      </w:r>
      <w:r w:rsidR="00CF7B21">
        <w:rPr>
          <w:lang w:val="pl"/>
        </w:rPr>
        <w:t> </w:t>
      </w:r>
      <w:r>
        <w:rPr>
          <w:lang w:val="pl"/>
        </w:rPr>
        <w:t>aspekcie cywilnym, ani karnym.</w:t>
      </w:r>
    </w:p>
    <w:bookmarkStart w:id="26" w:name="eskelinen"/>
    <w:p w14:paraId="37B648F8" w14:textId="77777777"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44</w:t>
      </w:r>
      <w:r>
        <w:rPr>
          <w:lang w:val="pl"/>
        </w:rPr>
        <w:fldChar w:fldCharType="end"/>
      </w:r>
      <w:bookmarkEnd w:id="26"/>
      <w:r>
        <w:rPr>
          <w:lang w:val="pl"/>
        </w:rPr>
        <w:t>.  W odniesieniu do aspektu cywilnego Rząd zauważył, że w kontekście postępowań dyscyplinarnych przeciwko sędziom i prokuratorom, art. 91 § 4 konstytucji wyraźnie wykluczył dostęp do sądu dla tych sędziów lub prokuratorów, którzy zostali ukarani dyscyplinarnie przez siedmioosobowe lub dziewięcioosobowe komisje dyscyplinarne. Uzasadniono to faktem, że władza sądownicza stanowi jeden z podstawowych przejawów suwerenności państwa i władzy publicznej, co w opinii ustawodawcy konstytucyjnego sprawiło, że konieczne było powierzenie uprawnień dyscyplinarnych specjalnym sądom, których orzeczenia byłyby wyłączone spod kontroli sądowej.</w:t>
      </w:r>
    </w:p>
    <w:p w14:paraId="671A31A0" w14:textId="0E630067"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45</w:t>
      </w:r>
      <w:r>
        <w:rPr>
          <w:noProof/>
          <w:lang w:val="pl"/>
        </w:rPr>
        <w:fldChar w:fldCharType="end"/>
      </w:r>
      <w:r>
        <w:rPr>
          <w:lang w:val="pl"/>
        </w:rPr>
        <w:t>.  W odniesieniu do aspektu karnego</w:t>
      </w:r>
      <w:r w:rsidR="00146902">
        <w:rPr>
          <w:lang w:val="pl"/>
        </w:rPr>
        <w:t>,</w:t>
      </w:r>
      <w:r>
        <w:rPr>
          <w:lang w:val="pl"/>
        </w:rPr>
        <w:t xml:space="preserve"> Rząd twierdził, że sankcja nałożona na skarżącą nie dotyczyła prawa karnego, lecz odnosiła się wyłącznie do kwestii dyscyplinarnych oraz zawodowej postawy skarżącej. W</w:t>
      </w:r>
      <w:r w:rsidR="00CF7B21">
        <w:rPr>
          <w:lang w:val="pl"/>
        </w:rPr>
        <w:t> </w:t>
      </w:r>
      <w:r>
        <w:rPr>
          <w:lang w:val="pl"/>
        </w:rPr>
        <w:t>związku z tym</w:t>
      </w:r>
      <w:r w:rsidR="00146902">
        <w:rPr>
          <w:lang w:val="pl"/>
        </w:rPr>
        <w:t>,</w:t>
      </w:r>
      <w:r>
        <w:rPr>
          <w:lang w:val="pl"/>
        </w:rPr>
        <w:t xml:space="preserve"> przeciwko skarżącej nie wniesiono żadnych zarzutów karnych.</w:t>
      </w:r>
    </w:p>
    <w:p w14:paraId="72EEB7AA" w14:textId="77777777"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46</w:t>
      </w:r>
      <w:r>
        <w:rPr>
          <w:noProof/>
          <w:lang w:val="pl"/>
        </w:rPr>
        <w:fldChar w:fldCharType="end"/>
      </w:r>
      <w:r>
        <w:rPr>
          <w:lang w:val="pl"/>
        </w:rPr>
        <w:t>.  Skarżąca zakwestionowała to twierdzenie. Twierdziła, że art. 6 ust. 1 Konwencji ma zastosowanie zarówno w aspekcie cywilnym, jak i karnym.</w:t>
      </w:r>
    </w:p>
    <w:p w14:paraId="4B08EE37" w14:textId="77777777" w:rsidR="00FB1A8A" w:rsidRPr="00843F1A" w:rsidRDefault="00000000" w:rsidP="00843F1A">
      <w:pPr>
        <w:pStyle w:val="JuH1"/>
      </w:pPr>
      <w:r>
        <w:rPr>
          <w:bCs w:val="0"/>
          <w:lang w:val="pl"/>
        </w:rPr>
        <w:t>Ocena Trybunału</w:t>
      </w:r>
    </w:p>
    <w:p w14:paraId="30A79EC1" w14:textId="77777777" w:rsidR="00FB1A8A" w:rsidRPr="00CF7B21" w:rsidRDefault="00000000" w:rsidP="00843F1A">
      <w:pPr>
        <w:pStyle w:val="JuHa0"/>
        <w:rPr>
          <w:lang w:val="pl-PL"/>
        </w:rPr>
      </w:pPr>
      <w:r>
        <w:rPr>
          <w:lang w:val="pl"/>
        </w:rPr>
        <w:t>Czy art. 6 ust. 1 ma zastosowanie w jego aspekcie karnym</w:t>
      </w:r>
    </w:p>
    <w:p w14:paraId="298225BC" w14:textId="03089D3B"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47</w:t>
      </w:r>
      <w:r>
        <w:rPr>
          <w:noProof/>
          <w:lang w:val="pl"/>
        </w:rPr>
        <w:fldChar w:fldCharType="end"/>
      </w:r>
      <w:r>
        <w:rPr>
          <w:lang w:val="pl"/>
        </w:rPr>
        <w:t xml:space="preserve">.  Trybunał przypomina, że pojęcie „oskarżenia w sprawie karnej” zawarte w art. 6 ust. 1 ma charakter autonomiczny (zob. </w:t>
      </w:r>
      <w:r>
        <w:rPr>
          <w:i/>
          <w:iCs/>
          <w:lang w:val="pl"/>
        </w:rPr>
        <w:t xml:space="preserve">Ramos </w:t>
      </w:r>
      <w:proofErr w:type="spellStart"/>
      <w:r>
        <w:rPr>
          <w:i/>
          <w:iCs/>
          <w:lang w:val="pl"/>
        </w:rPr>
        <w:t>Nunes</w:t>
      </w:r>
      <w:proofErr w:type="spellEnd"/>
      <w:r>
        <w:rPr>
          <w:i/>
          <w:iCs/>
          <w:lang w:val="pl"/>
        </w:rPr>
        <w:t xml:space="preserve"> de </w:t>
      </w:r>
      <w:proofErr w:type="spellStart"/>
      <w:r>
        <w:rPr>
          <w:i/>
          <w:iCs/>
          <w:lang w:val="pl"/>
        </w:rPr>
        <w:t>Carvalho</w:t>
      </w:r>
      <w:proofErr w:type="spellEnd"/>
      <w:r>
        <w:rPr>
          <w:i/>
          <w:iCs/>
          <w:lang w:val="pl"/>
        </w:rPr>
        <w:t xml:space="preserve"> e </w:t>
      </w:r>
      <w:proofErr w:type="spellStart"/>
      <w:r>
        <w:rPr>
          <w:i/>
          <w:iCs/>
          <w:lang w:val="pl"/>
        </w:rPr>
        <w:t>Sá</w:t>
      </w:r>
      <w:proofErr w:type="spellEnd"/>
      <w:r>
        <w:rPr>
          <w:i/>
          <w:iCs/>
          <w:lang w:val="pl"/>
        </w:rPr>
        <w:t xml:space="preserve"> przeciwko Portugalii</w:t>
      </w:r>
      <w:r>
        <w:rPr>
          <w:lang w:val="pl"/>
        </w:rPr>
        <w:t xml:space="preserve"> [WI], nr 55391/13 i 2 inne, § 122, 6 </w:t>
      </w:r>
      <w:r>
        <w:rPr>
          <w:lang w:val="pl"/>
        </w:rPr>
        <w:lastRenderedPageBreak/>
        <w:t xml:space="preserve">listopada 2018 r.). W utrwalonym orzecznictwie Trybunału określone zostały trzy kryteria powszechnie zwane „kryteriami </w:t>
      </w:r>
      <w:proofErr w:type="spellStart"/>
      <w:r>
        <w:rPr>
          <w:lang w:val="pl"/>
        </w:rPr>
        <w:t>Engela</w:t>
      </w:r>
      <w:proofErr w:type="spellEnd"/>
      <w:r>
        <w:rPr>
          <w:lang w:val="pl"/>
        </w:rPr>
        <w:t xml:space="preserve">”, które należy zastosować przy ustalaniu, czy doszło do „oskarżenia w sprawie karnej” (zob. </w:t>
      </w:r>
      <w:proofErr w:type="spellStart"/>
      <w:r>
        <w:rPr>
          <w:i/>
          <w:iCs/>
          <w:lang w:val="pl"/>
        </w:rPr>
        <w:t>Engel</w:t>
      </w:r>
      <w:proofErr w:type="spellEnd"/>
      <w:r>
        <w:rPr>
          <w:i/>
          <w:iCs/>
          <w:lang w:val="pl"/>
        </w:rPr>
        <w:t xml:space="preserve"> i Inni przeciwko Niderlandom</w:t>
      </w:r>
      <w:r>
        <w:rPr>
          <w:lang w:val="pl"/>
        </w:rPr>
        <w:t xml:space="preserve">, 8 czerwca 1976 r., § 82, seria A nr 22 i </w:t>
      </w:r>
      <w:proofErr w:type="spellStart"/>
      <w:r>
        <w:rPr>
          <w:i/>
          <w:iCs/>
          <w:lang w:val="pl"/>
        </w:rPr>
        <w:t>Gestur</w:t>
      </w:r>
      <w:proofErr w:type="spellEnd"/>
      <w:r>
        <w:rPr>
          <w:i/>
          <w:iCs/>
          <w:lang w:val="pl"/>
        </w:rPr>
        <w:t xml:space="preserve"> </w:t>
      </w:r>
      <w:proofErr w:type="spellStart"/>
      <w:r>
        <w:rPr>
          <w:i/>
          <w:iCs/>
          <w:lang w:val="pl"/>
        </w:rPr>
        <w:t>Jónsson</w:t>
      </w:r>
      <w:proofErr w:type="spellEnd"/>
      <w:r>
        <w:rPr>
          <w:i/>
          <w:iCs/>
          <w:lang w:val="pl"/>
        </w:rPr>
        <w:t xml:space="preserve"> i Ragnar Halldór Hall przeciwko Islandii</w:t>
      </w:r>
      <w:r>
        <w:rPr>
          <w:lang w:val="pl"/>
        </w:rPr>
        <w:t xml:space="preserve"> [WI], nr 68273/14 i 68271/14, § 75, 22 grudnia 2020 r.). Pierwszym z kryteriów jest klasyfikacja prawna przewinienia w prawie krajowym, drugim jest charakter przewinienia, a trzecim stopień surowości kary grożącej danej osobie. Kryterium drugie i trzecie są wobec siebie alternatywne, a niekoniecznie kumulatywne. Nie wyklucza to jednak podejścia kumulatywnego, w sytuacji</w:t>
      </w:r>
      <w:r w:rsidR="00324A19">
        <w:rPr>
          <w:lang w:val="pl"/>
        </w:rPr>
        <w:t>,</w:t>
      </w:r>
      <w:r>
        <w:rPr>
          <w:lang w:val="pl"/>
        </w:rPr>
        <w:t xml:space="preserve"> gdy odrębna analiza każdego z kryteriów nie pozwala na wyciągnięcie jasnego wniosku co do istnienia „oskarżenia w sprawie karnej” (zob. m.in. </w:t>
      </w:r>
      <w:proofErr w:type="spellStart"/>
      <w:r>
        <w:rPr>
          <w:i/>
          <w:iCs/>
          <w:lang w:val="pl"/>
        </w:rPr>
        <w:t>Ezeh</w:t>
      </w:r>
      <w:proofErr w:type="spellEnd"/>
      <w:r>
        <w:rPr>
          <w:i/>
          <w:iCs/>
          <w:lang w:val="pl"/>
        </w:rPr>
        <w:t xml:space="preserve"> i Connors przeciwko Zjednoczonemu Królestwu</w:t>
      </w:r>
      <w:r>
        <w:rPr>
          <w:lang w:val="pl"/>
        </w:rPr>
        <w:t xml:space="preserve"> [WI], nr 39665/98 and 40086/98, § 82, </w:t>
      </w:r>
      <w:proofErr w:type="spellStart"/>
      <w:r>
        <w:rPr>
          <w:lang w:val="pl"/>
        </w:rPr>
        <w:t>ETPCz</w:t>
      </w:r>
      <w:proofErr w:type="spellEnd"/>
      <w:r>
        <w:rPr>
          <w:lang w:val="pl"/>
        </w:rPr>
        <w:t>, 2003</w:t>
      </w:r>
      <w:r>
        <w:rPr>
          <w:lang w:val="pl"/>
        </w:rPr>
        <w:noBreakHyphen/>
        <w:t xml:space="preserve">X; </w:t>
      </w:r>
      <w:proofErr w:type="spellStart"/>
      <w:r>
        <w:rPr>
          <w:i/>
          <w:iCs/>
          <w:lang w:val="pl"/>
        </w:rPr>
        <w:t>Jussila</w:t>
      </w:r>
      <w:proofErr w:type="spellEnd"/>
      <w:r>
        <w:rPr>
          <w:i/>
          <w:iCs/>
          <w:lang w:val="pl"/>
        </w:rPr>
        <w:t xml:space="preserve"> przeciwko Finlandii</w:t>
      </w:r>
      <w:r>
        <w:rPr>
          <w:lang w:val="pl"/>
        </w:rPr>
        <w:t xml:space="preserve"> [WI], nr 73053/01, §§ 30–31, </w:t>
      </w:r>
      <w:proofErr w:type="spellStart"/>
      <w:r>
        <w:rPr>
          <w:lang w:val="pl"/>
        </w:rPr>
        <w:t>ETPCz</w:t>
      </w:r>
      <w:proofErr w:type="spellEnd"/>
      <w:r>
        <w:rPr>
          <w:lang w:val="pl"/>
        </w:rPr>
        <w:t xml:space="preserve"> 2006</w:t>
      </w:r>
      <w:r>
        <w:rPr>
          <w:lang w:val="pl"/>
        </w:rPr>
        <w:noBreakHyphen/>
        <w:t xml:space="preserve">XIV; oraz </w:t>
      </w:r>
      <w:proofErr w:type="spellStart"/>
      <w:r>
        <w:rPr>
          <w:i/>
          <w:iCs/>
          <w:lang w:val="pl"/>
        </w:rPr>
        <w:t>Gestur</w:t>
      </w:r>
      <w:proofErr w:type="spellEnd"/>
      <w:r>
        <w:rPr>
          <w:i/>
          <w:iCs/>
          <w:lang w:val="pl"/>
        </w:rPr>
        <w:t xml:space="preserve"> </w:t>
      </w:r>
      <w:proofErr w:type="spellStart"/>
      <w:r>
        <w:rPr>
          <w:i/>
          <w:iCs/>
          <w:lang w:val="pl"/>
        </w:rPr>
        <w:t>Jónsson</w:t>
      </w:r>
      <w:proofErr w:type="spellEnd"/>
      <w:r>
        <w:rPr>
          <w:i/>
          <w:iCs/>
          <w:lang w:val="pl"/>
        </w:rPr>
        <w:t xml:space="preserve"> i Ragnar Halldór Hall</w:t>
      </w:r>
      <w:r>
        <w:rPr>
          <w:lang w:val="pl"/>
        </w:rPr>
        <w:t xml:space="preserve">, </w:t>
      </w:r>
      <w:proofErr w:type="spellStart"/>
      <w:r>
        <w:rPr>
          <w:i/>
          <w:iCs/>
          <w:lang w:val="pl"/>
        </w:rPr>
        <w:t>op.cit</w:t>
      </w:r>
      <w:proofErr w:type="spellEnd"/>
      <w:r>
        <w:rPr>
          <w:i/>
          <w:iCs/>
          <w:lang w:val="pl"/>
        </w:rPr>
        <w:t>.</w:t>
      </w:r>
      <w:r>
        <w:rPr>
          <w:lang w:val="pl"/>
        </w:rPr>
        <w:t>, §§ 75, 77–78).</w:t>
      </w:r>
    </w:p>
    <w:p w14:paraId="00EE6C0D" w14:textId="05871F2F"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48</w:t>
      </w:r>
      <w:r>
        <w:rPr>
          <w:noProof/>
          <w:lang w:val="pl"/>
        </w:rPr>
        <w:fldChar w:fldCharType="end"/>
      </w:r>
      <w:r>
        <w:rPr>
          <w:lang w:val="pl"/>
        </w:rPr>
        <w:t>.  Trybunał wielokrotnie stwierdzał, że postępowania dyscyplinarne wszczęte przeciwko sędziom nie stanowiły „oskarżenia w sprawie karnej”, czy to w kontekście zwolnienia z pracy (</w:t>
      </w:r>
      <w:bookmarkStart w:id="27" w:name="_cl33174THELAW"/>
      <w:r>
        <w:rPr>
          <w:lang w:val="pl"/>
        </w:rPr>
        <w:t xml:space="preserve">zob. </w:t>
      </w:r>
      <w:proofErr w:type="spellStart"/>
      <w:r>
        <w:rPr>
          <w:i/>
          <w:iCs/>
          <w:lang w:val="pl"/>
        </w:rPr>
        <w:t>Oleksandr</w:t>
      </w:r>
      <w:proofErr w:type="spellEnd"/>
      <w:r>
        <w:rPr>
          <w:i/>
          <w:iCs/>
          <w:lang w:val="pl"/>
        </w:rPr>
        <w:t xml:space="preserve"> </w:t>
      </w:r>
      <w:proofErr w:type="spellStart"/>
      <w:r>
        <w:rPr>
          <w:i/>
          <w:iCs/>
          <w:lang w:val="pl"/>
        </w:rPr>
        <w:t>Volkov</w:t>
      </w:r>
      <w:proofErr w:type="spellEnd"/>
      <w:r>
        <w:rPr>
          <w:i/>
          <w:iCs/>
          <w:lang w:val="pl"/>
        </w:rPr>
        <w:t xml:space="preserve"> przeciwko Ukrainie</w:t>
      </w:r>
      <w:bookmarkEnd w:id="27"/>
      <w:r>
        <w:rPr>
          <w:lang w:val="pl"/>
        </w:rPr>
        <w:t xml:space="preserve">, nr 21722/11, §§ 93–95, </w:t>
      </w:r>
      <w:proofErr w:type="spellStart"/>
      <w:r>
        <w:rPr>
          <w:lang w:val="pl"/>
        </w:rPr>
        <w:t>ETPCz</w:t>
      </w:r>
      <w:proofErr w:type="spellEnd"/>
      <w:r>
        <w:rPr>
          <w:lang w:val="pl"/>
        </w:rPr>
        <w:t xml:space="preserve"> 2013, oraz </w:t>
      </w:r>
      <w:bookmarkStart w:id="28" w:name="_cl28637THELAW"/>
      <w:proofErr w:type="spellStart"/>
      <w:r>
        <w:rPr>
          <w:i/>
          <w:iCs/>
          <w:lang w:val="pl"/>
        </w:rPr>
        <w:t>Kamenos</w:t>
      </w:r>
      <w:proofErr w:type="spellEnd"/>
      <w:r>
        <w:rPr>
          <w:i/>
          <w:iCs/>
          <w:lang w:val="pl"/>
        </w:rPr>
        <w:t xml:space="preserve"> przeciwko Cyprowi</w:t>
      </w:r>
      <w:bookmarkEnd w:id="28"/>
      <w:r>
        <w:rPr>
          <w:lang w:val="pl"/>
        </w:rPr>
        <w:t>, nr 147/07, §§ 51–53, 31 października 2017 r.), czy nałożenia wysokiej grzywny (</w:t>
      </w:r>
      <w:bookmarkStart w:id="29" w:name="_cl34833THELAW"/>
      <w:r>
        <w:rPr>
          <w:lang w:val="pl"/>
        </w:rPr>
        <w:t xml:space="preserve">zob. </w:t>
      </w:r>
      <w:r>
        <w:rPr>
          <w:i/>
          <w:iCs/>
          <w:lang w:val="pl"/>
        </w:rPr>
        <w:t xml:space="preserve">Ramos </w:t>
      </w:r>
      <w:proofErr w:type="spellStart"/>
      <w:r>
        <w:rPr>
          <w:i/>
          <w:iCs/>
          <w:lang w:val="pl"/>
        </w:rPr>
        <w:t>Nunes</w:t>
      </w:r>
      <w:proofErr w:type="spellEnd"/>
      <w:r>
        <w:rPr>
          <w:i/>
          <w:iCs/>
          <w:lang w:val="pl"/>
        </w:rPr>
        <w:t xml:space="preserve"> de </w:t>
      </w:r>
      <w:proofErr w:type="spellStart"/>
      <w:r>
        <w:rPr>
          <w:i/>
          <w:iCs/>
          <w:lang w:val="pl"/>
        </w:rPr>
        <w:t>Carvalho</w:t>
      </w:r>
      <w:proofErr w:type="spellEnd"/>
      <w:r>
        <w:rPr>
          <w:i/>
          <w:iCs/>
          <w:lang w:val="pl"/>
        </w:rPr>
        <w:t xml:space="preserve"> e </w:t>
      </w:r>
      <w:proofErr w:type="spellStart"/>
      <w:r>
        <w:rPr>
          <w:i/>
          <w:iCs/>
          <w:lang w:val="pl"/>
        </w:rPr>
        <w:t>Sá</w:t>
      </w:r>
      <w:proofErr w:type="spellEnd"/>
      <w:r>
        <w:rPr>
          <w:lang w:val="pl"/>
        </w:rPr>
        <w:t xml:space="preserve">, </w:t>
      </w:r>
      <w:proofErr w:type="spellStart"/>
      <w:r>
        <w:rPr>
          <w:i/>
          <w:iCs/>
          <w:lang w:val="pl"/>
        </w:rPr>
        <w:t>op.cit</w:t>
      </w:r>
      <w:proofErr w:type="spellEnd"/>
      <w:r>
        <w:rPr>
          <w:i/>
          <w:iCs/>
          <w:lang w:val="pl"/>
        </w:rPr>
        <w:t>.</w:t>
      </w:r>
      <w:r>
        <w:rPr>
          <w:lang w:val="pl"/>
        </w:rPr>
        <w:t xml:space="preserve">, §§ </w:t>
      </w:r>
      <w:r>
        <w:rPr>
          <w:sz w:val="22"/>
          <w:szCs w:val="22"/>
          <w:lang w:val="pl"/>
        </w:rPr>
        <w:t>124–28),</w:t>
      </w:r>
      <w:r>
        <w:rPr>
          <w:lang w:val="pl"/>
        </w:rPr>
        <w:t xml:space="preserve"> czy też procedur weryfikacyjnych</w:t>
      </w:r>
      <w:bookmarkEnd w:id="29"/>
      <w:r w:rsidR="00324A19">
        <w:rPr>
          <w:lang w:val="pl"/>
        </w:rPr>
        <w:t xml:space="preserve"> </w:t>
      </w:r>
      <w:r>
        <w:rPr>
          <w:lang w:val="pl"/>
        </w:rPr>
        <w:t xml:space="preserve">(zob. </w:t>
      </w:r>
      <w:proofErr w:type="spellStart"/>
      <w:r>
        <w:rPr>
          <w:i/>
          <w:iCs/>
          <w:lang w:val="pl"/>
        </w:rPr>
        <w:t>Xhoxhaj</w:t>
      </w:r>
      <w:proofErr w:type="spellEnd"/>
      <w:r>
        <w:rPr>
          <w:i/>
          <w:iCs/>
          <w:lang w:val="pl"/>
        </w:rPr>
        <w:t xml:space="preserve"> przeciwko Albanii</w:t>
      </w:r>
      <w:r>
        <w:rPr>
          <w:lang w:val="pl"/>
        </w:rPr>
        <w:t>, nr 15227/19, § 245, 9 lutego 2021 r.). W niniejszej sprawie skarżąca, pełniąca funkcję prokuratora, została objęta postępowaniem dyscyplinarnym za podjęcie działań sprzecznych z autorytetem władzy sądowniczej. Postępowanie wszczęte przeciwko skarżącej miało charakter wyłącznie dyscyplinarny i nie wiązało się w żadnej mierze z sądami karnymi ani ze stosowaniem prawa karnego. Ponadto</w:t>
      </w:r>
      <w:r w:rsidR="00C82B71">
        <w:rPr>
          <w:lang w:val="pl"/>
        </w:rPr>
        <w:t>,</w:t>
      </w:r>
      <w:r>
        <w:rPr>
          <w:lang w:val="pl"/>
        </w:rPr>
        <w:t xml:space="preserve"> przedmiotowe przepisy dotyczyły wyłącznie określonej kategorii</w:t>
      </w:r>
      <w:r w:rsidR="00324A19">
        <w:rPr>
          <w:lang w:val="pl"/>
        </w:rPr>
        <w:t>,</w:t>
      </w:r>
      <w:r>
        <w:rPr>
          <w:lang w:val="pl"/>
        </w:rPr>
        <w:t xml:space="preserve"> a mianowicie sędziów i prokuratorów, w</w:t>
      </w:r>
      <w:r w:rsidR="00CF7B21">
        <w:rPr>
          <w:lang w:val="pl"/>
        </w:rPr>
        <w:t> </w:t>
      </w:r>
      <w:r>
        <w:rPr>
          <w:lang w:val="pl"/>
        </w:rPr>
        <w:t>związku z przewinieniem podlegającym bezsprzecznie przepisom prawa dyscyplinarnego. Jeśli chodzi o surowość kary,</w:t>
      </w:r>
      <w:r>
        <w:rPr>
          <w:rFonts w:asciiTheme="majorHAnsi" w:hAnsiTheme="majorHAnsi"/>
          <w:lang w:val="pl"/>
        </w:rPr>
        <w:t xml:space="preserve"> pozbawienie wynagrodzenia było </w:t>
      </w:r>
      <w:r>
        <w:rPr>
          <w:rFonts w:asciiTheme="majorHAnsi" w:hAnsiTheme="majorHAnsi"/>
          <w:color w:val="000000"/>
          <w:lang w:val="pl"/>
        </w:rPr>
        <w:t xml:space="preserve">klasycznym środkiem dyscyplinarnym stosowanym w przypadku naruszenia obowiązków zawodowych i </w:t>
      </w:r>
      <w:r>
        <w:rPr>
          <w:lang w:val="pl"/>
        </w:rPr>
        <w:t>nie należy go mylić z sankcją karną. W związku z tym</w:t>
      </w:r>
      <w:r w:rsidR="00C82B71">
        <w:rPr>
          <w:lang w:val="pl"/>
        </w:rPr>
        <w:t>,</w:t>
      </w:r>
      <w:r>
        <w:rPr>
          <w:lang w:val="pl"/>
        </w:rPr>
        <w:t xml:space="preserve"> postępowanie dyscyplinarne wszczęte przeciwko skarżącej nie stanowiło „oskarżenia w sprawie karnej” w rozumieniu art. 6 ust. 1.</w:t>
      </w:r>
    </w:p>
    <w:p w14:paraId="55B3DE87" w14:textId="1A5C85CF"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49</w:t>
      </w:r>
      <w:r>
        <w:rPr>
          <w:noProof/>
          <w:lang w:val="pl"/>
        </w:rPr>
        <w:fldChar w:fldCharType="end"/>
      </w:r>
      <w:r>
        <w:rPr>
          <w:lang w:val="pl"/>
        </w:rPr>
        <w:t xml:space="preserve">.  W tych okolicznościach Trybunał uznaje, że powyższe elementy, rozpatrywane </w:t>
      </w:r>
      <w:r w:rsidR="00C82B71">
        <w:rPr>
          <w:lang w:val="pl"/>
        </w:rPr>
        <w:t xml:space="preserve">osobno </w:t>
      </w:r>
      <w:r>
        <w:rPr>
          <w:lang w:val="pl"/>
        </w:rPr>
        <w:t xml:space="preserve">lub </w:t>
      </w:r>
      <w:r w:rsidR="00C82B71">
        <w:rPr>
          <w:lang w:val="pl"/>
        </w:rPr>
        <w:t>łącznie</w:t>
      </w:r>
      <w:r>
        <w:rPr>
          <w:lang w:val="pl"/>
        </w:rPr>
        <w:t>, nie są wystarczające do stwierdzenia, że art. 6 ma zastosowanie w jego aspekcie karnym.</w:t>
      </w:r>
    </w:p>
    <w:p w14:paraId="706CB689" w14:textId="77777777" w:rsidR="00FB1A8A" w:rsidRPr="00CF7B21" w:rsidRDefault="00000000" w:rsidP="00843F1A">
      <w:pPr>
        <w:pStyle w:val="JuHa0"/>
        <w:rPr>
          <w:lang w:val="pl-PL"/>
        </w:rPr>
      </w:pPr>
      <w:r>
        <w:rPr>
          <w:lang w:val="pl"/>
        </w:rPr>
        <w:t>Czy art. 6 ma zastosowanie w jego aspekcie cywilnym</w:t>
      </w:r>
    </w:p>
    <w:p w14:paraId="15A394BE" w14:textId="6A86210D" w:rsidR="00FB1A8A" w:rsidRPr="00CF7B21" w:rsidRDefault="00FB1A8A" w:rsidP="00843F1A">
      <w:pPr>
        <w:pStyle w:val="JuPara"/>
        <w:rPr>
          <w:b/>
          <w:bCs/>
          <w:lang w:val="pl-PL"/>
        </w:rPr>
      </w:pPr>
      <w:r>
        <w:fldChar w:fldCharType="begin"/>
      </w:r>
      <w:r w:rsidRPr="00CF7B21">
        <w:rPr>
          <w:lang w:val="pl-PL"/>
        </w:rPr>
        <w:instrText xml:space="preserve"> SEQ level0 \*arabic \* MERGEFORMAT </w:instrText>
      </w:r>
      <w:r>
        <w:fldChar w:fldCharType="separate"/>
      </w:r>
      <w:r>
        <w:rPr>
          <w:noProof/>
          <w:lang w:val="pl"/>
        </w:rPr>
        <w:t>50</w:t>
      </w:r>
      <w:r>
        <w:rPr>
          <w:noProof/>
          <w:lang w:val="pl"/>
        </w:rPr>
        <w:fldChar w:fldCharType="end"/>
      </w:r>
      <w:r>
        <w:rPr>
          <w:lang w:val="pl"/>
        </w:rPr>
        <w:t xml:space="preserve">.  Trybunał przypomina, że w odniesieniu do urzędników zatrudnionych w służbie cywilnej, zgodnie z kryteriami ustalonymi w sprawie </w:t>
      </w:r>
      <w:r>
        <w:rPr>
          <w:i/>
          <w:iCs/>
          <w:lang w:val="pl"/>
        </w:rPr>
        <w:t xml:space="preserve">Vilho Eskelinen i inni przeciwko Finlandii </w:t>
      </w:r>
      <w:r>
        <w:rPr>
          <w:lang w:val="pl"/>
        </w:rPr>
        <w:t xml:space="preserve">([WI], nr 63235/00, </w:t>
      </w:r>
      <w:proofErr w:type="spellStart"/>
      <w:r>
        <w:rPr>
          <w:lang w:val="pl"/>
        </w:rPr>
        <w:t>ETPCz</w:t>
      </w:r>
      <w:proofErr w:type="spellEnd"/>
      <w:r>
        <w:rPr>
          <w:lang w:val="pl"/>
        </w:rPr>
        <w:t xml:space="preserve"> 2007</w:t>
      </w:r>
      <w:r>
        <w:rPr>
          <w:lang w:val="pl"/>
        </w:rPr>
        <w:noBreakHyphen/>
        <w:t xml:space="preserve">II), </w:t>
      </w:r>
      <w:r>
        <w:rPr>
          <w:lang w:val="pl"/>
        </w:rPr>
        <w:lastRenderedPageBreak/>
        <w:t>państwo pozwane nie może powoływać się przed Trybunałem na status skarżącego jako urzędnika służby cywilnej w celu wyłączenia ochrony przewidzianej w art. 6, chyba że spełnione są dwa warunki. Po pierwsze</w:t>
      </w:r>
      <w:r w:rsidR="00C82B71">
        <w:rPr>
          <w:lang w:val="pl"/>
        </w:rPr>
        <w:t>,</w:t>
      </w:r>
      <w:r>
        <w:rPr>
          <w:lang w:val="pl"/>
        </w:rPr>
        <w:t xml:space="preserve"> państwo w prawie krajowym musi wyłączyć prawo dostępu do sądu dla stanowiska lub kategorii personelu, którego sprawa dotyczy. Warunek ten jest spełniony, jeżeli prawo krajowe zawiera wyraźne wyłączenie dostępu do sądu. Warunek ten może jednak zostać spełniony również w przypadku, gdy dane wyłączenie ma charakter dorozumiany, w szczególności</w:t>
      </w:r>
      <w:r w:rsidR="00BA0AB8">
        <w:rPr>
          <w:lang w:val="pl"/>
        </w:rPr>
        <w:t>,</w:t>
      </w:r>
      <w:r>
        <w:rPr>
          <w:lang w:val="pl"/>
        </w:rPr>
        <w:t xml:space="preserve"> gdy wynika ono z systemowej interpretacji obowiązujących ram prawnych lub całego zbioru przepisów prawnych (zob. </w:t>
      </w:r>
      <w:r>
        <w:rPr>
          <w:i/>
          <w:iCs/>
          <w:lang w:val="pl"/>
        </w:rPr>
        <w:t>Grzęda przeciwko Polsce</w:t>
      </w:r>
      <w:r>
        <w:rPr>
          <w:lang w:val="pl"/>
        </w:rPr>
        <w:t xml:space="preserve"> [WI], nr 43572/18, § 292, 15 marca 2022 r.). Po drugie</w:t>
      </w:r>
      <w:r w:rsidR="00C82B71">
        <w:rPr>
          <w:lang w:val="pl"/>
        </w:rPr>
        <w:t>,</w:t>
      </w:r>
      <w:r>
        <w:rPr>
          <w:lang w:val="pl"/>
        </w:rPr>
        <w:t xml:space="preserve"> wyłączenie to musi być uzasadnione w oparciu o obiektywne przesłanki interesu państwa. Aby wyłączenie było uzasadnione, nie wystarczy, aby państwo pozwane wykazało, że dany urzędnik brał udział w wykonywaniu władzy publicznej lub że istniała szczególna więź zaufania i lojalności między nim a państwem jako pracodawcą. Do państwa pozwanego należy również wykazanie, że przedmiot sporu był związany z wykonywaniem władzy państwowej lub że podważał on tę szczególną więź. Z tego względu – co do zasady – nie może być uzasadnienia dla wyłączenia z gwarancji przewidzianych art. 6 zwykłych sporów pracowniczych, takich jak spory dotyczące wynagrodzenia, świadczeń lub podobnych uprawnień, na podstawie szczególnego charakteru relacji między konkretnym urzędnikiem służby cywilnej a danym państwem. W praktyce będzie </w:t>
      </w:r>
      <w:r w:rsidR="00B62CF1">
        <w:rPr>
          <w:lang w:val="pl"/>
        </w:rPr>
        <w:t xml:space="preserve">obowiązywało </w:t>
      </w:r>
      <w:r>
        <w:rPr>
          <w:lang w:val="pl"/>
        </w:rPr>
        <w:t xml:space="preserve">domniemanie, że ma zastosowanie art. 6. To na państwie pozwanym spoczywa obowiązek wykazania, po pierwsze, że skarżący urzędnik służby cywilnej nie miał prawa dostępu do sądu na mocy prawa krajowego, a po drugie, że wyłączenie praw wynikających z art. 6 było w przypadku tego urzędnika uzasadnione (zob. </w:t>
      </w:r>
      <w:r>
        <w:rPr>
          <w:i/>
          <w:iCs/>
          <w:lang w:val="pl"/>
        </w:rPr>
        <w:t>Grzęda</w:t>
      </w:r>
      <w:r>
        <w:rPr>
          <w:lang w:val="pl"/>
        </w:rPr>
        <w:t xml:space="preserve">, </w:t>
      </w:r>
      <w:proofErr w:type="spellStart"/>
      <w:r>
        <w:rPr>
          <w:i/>
          <w:iCs/>
          <w:lang w:val="pl"/>
        </w:rPr>
        <w:t>op.cit</w:t>
      </w:r>
      <w:proofErr w:type="spellEnd"/>
      <w:r>
        <w:rPr>
          <w:i/>
          <w:iCs/>
          <w:lang w:val="pl"/>
        </w:rPr>
        <w:t>.</w:t>
      </w:r>
      <w:r>
        <w:rPr>
          <w:lang w:val="pl"/>
        </w:rPr>
        <w:t>, § 261 i</w:t>
      </w:r>
      <w:r w:rsidR="00CF7B21">
        <w:rPr>
          <w:lang w:val="pl"/>
        </w:rPr>
        <w:t> </w:t>
      </w:r>
      <w:r>
        <w:rPr>
          <w:lang w:val="pl"/>
        </w:rPr>
        <w:t>przytoczone tam orzecznictwo, oraz §§ 291, 292, 296 i 299).</w:t>
      </w:r>
    </w:p>
    <w:p w14:paraId="3F8DF0F3" w14:textId="77777777" w:rsidR="00FB1A8A" w:rsidRPr="00CF7B21" w:rsidRDefault="00843F1A" w:rsidP="00843F1A">
      <w:pPr>
        <w:pStyle w:val="JuPara"/>
        <w:rPr>
          <w:b/>
          <w:bCs/>
          <w:lang w:val="pl-PL"/>
        </w:rPr>
      </w:pPr>
      <w:r>
        <w:rPr>
          <w:lang w:val="pl"/>
        </w:rPr>
        <w:fldChar w:fldCharType="begin"/>
      </w:r>
      <w:r>
        <w:rPr>
          <w:lang w:val="pl"/>
        </w:rPr>
        <w:instrText xml:space="preserve"> SEQ level0 \*arabic \* MERGEFORMAT </w:instrText>
      </w:r>
      <w:r>
        <w:rPr>
          <w:lang w:val="pl"/>
        </w:rPr>
        <w:fldChar w:fldCharType="separate"/>
      </w:r>
      <w:r>
        <w:rPr>
          <w:noProof/>
          <w:lang w:val="pl"/>
        </w:rPr>
        <w:t>51</w:t>
      </w:r>
      <w:r>
        <w:rPr>
          <w:noProof/>
          <w:lang w:val="pl"/>
        </w:rPr>
        <w:fldChar w:fldCharType="end"/>
      </w:r>
      <w:r>
        <w:rPr>
          <w:lang w:val="pl"/>
        </w:rPr>
        <w:t>. </w:t>
      </w:r>
      <w:r>
        <w:rPr>
          <w:b/>
          <w:bCs/>
          <w:lang w:val="pl"/>
        </w:rPr>
        <w:t> </w:t>
      </w:r>
      <w:r>
        <w:rPr>
          <w:lang w:val="pl"/>
        </w:rPr>
        <w:t xml:space="preserve">Do celów art. 6 ust. 1 „sąd” nie musi być sądem w tradycyjnym rozumieniu, wchodzącym w skład standardowego systemu sądownictwa. Może on zostać powołany w celu rozpatrywania konkretnych spraw, które można odpowiednio rozstrzygać poza zwykłym systemem sądowym (zob. </w:t>
      </w:r>
      <w:proofErr w:type="spellStart"/>
      <w:r>
        <w:rPr>
          <w:i/>
          <w:iCs/>
          <w:lang w:val="pl"/>
        </w:rPr>
        <w:t>Mutu</w:t>
      </w:r>
      <w:proofErr w:type="spellEnd"/>
      <w:r>
        <w:rPr>
          <w:i/>
          <w:iCs/>
          <w:lang w:val="pl"/>
        </w:rPr>
        <w:t xml:space="preserve"> i </w:t>
      </w:r>
      <w:proofErr w:type="spellStart"/>
      <w:r>
        <w:rPr>
          <w:i/>
          <w:iCs/>
          <w:lang w:val="pl"/>
        </w:rPr>
        <w:t>Pechstein</w:t>
      </w:r>
      <w:proofErr w:type="spellEnd"/>
      <w:r>
        <w:rPr>
          <w:i/>
          <w:iCs/>
          <w:lang w:val="pl"/>
        </w:rPr>
        <w:t xml:space="preserve"> przeciwko Szwajcarii</w:t>
      </w:r>
      <w:r>
        <w:rPr>
          <w:lang w:val="pl"/>
        </w:rPr>
        <w:t>, nr 40575/10 i 67474/10, § 139, 2 października 2018 r., i przytoczone tam orzecznictwo).</w:t>
      </w:r>
    </w:p>
    <w:p w14:paraId="43616F65" w14:textId="77777777"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52</w:t>
      </w:r>
      <w:r>
        <w:rPr>
          <w:noProof/>
          <w:lang w:val="pl"/>
        </w:rPr>
        <w:fldChar w:fldCharType="end"/>
      </w:r>
      <w:r>
        <w:rPr>
          <w:lang w:val="pl"/>
        </w:rPr>
        <w:t xml:space="preserve">.  Trybunał zastosował kryteria określone w sprawie </w:t>
      </w:r>
      <w:r>
        <w:rPr>
          <w:i/>
          <w:iCs/>
          <w:lang w:val="pl"/>
        </w:rPr>
        <w:t xml:space="preserve">Vilho Eskelinen i Inni </w:t>
      </w:r>
      <w:r>
        <w:rPr>
          <w:lang w:val="pl"/>
        </w:rPr>
        <w:t>(</w:t>
      </w:r>
      <w:proofErr w:type="spellStart"/>
      <w:r>
        <w:rPr>
          <w:i/>
          <w:iCs/>
          <w:lang w:val="pl"/>
        </w:rPr>
        <w:t>op.cit</w:t>
      </w:r>
      <w:proofErr w:type="spellEnd"/>
      <w:r>
        <w:rPr>
          <w:i/>
          <w:iCs/>
          <w:lang w:val="pl"/>
        </w:rPr>
        <w:t>.</w:t>
      </w:r>
      <w:r>
        <w:rPr>
          <w:lang w:val="pl"/>
        </w:rPr>
        <w:t xml:space="preserve">) do różnych rodzajów sporów dotyczących sędziów, w tym dotyczących rekrutacji/mianowania, kariery/awansu, przeniesienia, zawieszenia, postępowania dyscyplinarnego, zwolnienia, obniżenia wynagrodzenia w następstwie skazania za poważne przewinienie dyscyplinarne, odwołania ze stanowiska przy zachowaniu statusu sędziego lub uniemożliwienia sędziom wykonywania funkcji sądowych po reformie ustawodawczej (zob. </w:t>
      </w:r>
      <w:r>
        <w:rPr>
          <w:i/>
          <w:iCs/>
          <w:lang w:val="pl"/>
        </w:rPr>
        <w:t>Grzęda</w:t>
      </w:r>
      <w:r>
        <w:rPr>
          <w:lang w:val="pl"/>
        </w:rPr>
        <w:t xml:space="preserve">, </w:t>
      </w:r>
      <w:proofErr w:type="spellStart"/>
      <w:r>
        <w:rPr>
          <w:i/>
          <w:iCs/>
          <w:lang w:val="pl"/>
        </w:rPr>
        <w:t>op.cit</w:t>
      </w:r>
      <w:proofErr w:type="spellEnd"/>
      <w:r>
        <w:rPr>
          <w:i/>
          <w:iCs/>
          <w:lang w:val="pl"/>
        </w:rPr>
        <w:t>.</w:t>
      </w:r>
      <w:r>
        <w:rPr>
          <w:lang w:val="pl"/>
        </w:rPr>
        <w:t xml:space="preserve">, § 263 i przytoczone tam orzecznictwo). Trybunał zastosował również kryteria Eskelinena w sprawie dotyczącej przedwczesnego zakończenia kadencji prokuratora generalnego (zob. </w:t>
      </w:r>
      <w:proofErr w:type="spellStart"/>
      <w:r>
        <w:rPr>
          <w:i/>
          <w:iCs/>
          <w:lang w:val="pl"/>
        </w:rPr>
        <w:t>Kövesi</w:t>
      </w:r>
      <w:proofErr w:type="spellEnd"/>
      <w:r>
        <w:rPr>
          <w:i/>
          <w:iCs/>
          <w:lang w:val="pl"/>
        </w:rPr>
        <w:t xml:space="preserve"> </w:t>
      </w:r>
      <w:r>
        <w:rPr>
          <w:i/>
          <w:iCs/>
          <w:lang w:val="pl"/>
        </w:rPr>
        <w:lastRenderedPageBreak/>
        <w:t>przeciwko Rumunii</w:t>
      </w:r>
      <w:r>
        <w:rPr>
          <w:lang w:val="pl"/>
        </w:rPr>
        <w:t>, nr 3594/19, §§ 124–25, 5 maja 2020 r.), do degradacji prokuratora (</w:t>
      </w:r>
      <w:bookmarkStart w:id="30" w:name="_cl23639THELAW"/>
      <w:r>
        <w:rPr>
          <w:lang w:val="pl"/>
        </w:rPr>
        <w:t xml:space="preserve">zob. </w:t>
      </w:r>
      <w:proofErr w:type="spellStart"/>
      <w:r>
        <w:rPr>
          <w:i/>
          <w:iCs/>
          <w:lang w:val="pl"/>
        </w:rPr>
        <w:t>Čivinskaitė</w:t>
      </w:r>
      <w:proofErr w:type="spellEnd"/>
      <w:r>
        <w:rPr>
          <w:i/>
          <w:iCs/>
          <w:lang w:val="pl"/>
        </w:rPr>
        <w:t xml:space="preserve"> przeciwko Litwie</w:t>
      </w:r>
      <w:bookmarkEnd w:id="30"/>
      <w:r>
        <w:rPr>
          <w:lang w:val="pl"/>
        </w:rPr>
        <w:t>, nr 21218/12, § 95, 15 września 2020 r.</w:t>
      </w:r>
      <w:r>
        <w:rPr>
          <w:sz w:val="22"/>
          <w:szCs w:val="22"/>
          <w:lang w:val="pl"/>
        </w:rPr>
        <w:t>)</w:t>
      </w:r>
      <w:r>
        <w:rPr>
          <w:lang w:val="pl"/>
        </w:rPr>
        <w:t xml:space="preserve"> i do zawieszenia prokuratora generalnego (</w:t>
      </w:r>
      <w:bookmarkStart w:id="31" w:name="_cl43841THELAW"/>
      <w:r>
        <w:rPr>
          <w:lang w:val="pl"/>
        </w:rPr>
        <w:t xml:space="preserve">zob. </w:t>
      </w:r>
      <w:proofErr w:type="spellStart"/>
      <w:r>
        <w:rPr>
          <w:i/>
          <w:iCs/>
          <w:lang w:val="pl"/>
        </w:rPr>
        <w:t>Stoianoglo</w:t>
      </w:r>
      <w:proofErr w:type="spellEnd"/>
      <w:r>
        <w:rPr>
          <w:i/>
          <w:iCs/>
          <w:lang w:val="pl"/>
        </w:rPr>
        <w:t xml:space="preserve"> przeciwko Republice Mołdawii</w:t>
      </w:r>
      <w:bookmarkEnd w:id="31"/>
      <w:r>
        <w:rPr>
          <w:lang w:val="pl"/>
        </w:rPr>
        <w:t>, nr 19371/22, §§ 30–35 i 38–39, 24 października 2023 r.).</w:t>
      </w:r>
    </w:p>
    <w:bookmarkStart w:id="32" w:name="tribunalADMISSIBILITY"/>
    <w:p w14:paraId="0BFB5CB9" w14:textId="36AEDB2C"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53</w:t>
      </w:r>
      <w:r>
        <w:rPr>
          <w:lang w:val="pl"/>
        </w:rPr>
        <w:fldChar w:fldCharType="end"/>
      </w:r>
      <w:bookmarkEnd w:id="32"/>
      <w:r>
        <w:rPr>
          <w:lang w:val="pl"/>
        </w:rPr>
        <w:t>.  W niniejszej sprawie Rząd twierdził, że prawo krajowe wyraźnie wykluczało dostęp do sądu w sprawach takich jak sprawa skarżącej oraz że było to obiektywnie uzasadnione interesem państwa (zob. paragraf </w:t>
      </w:r>
      <w:r>
        <w:rPr>
          <w:lang w:val="pl"/>
        </w:rPr>
        <w:fldChar w:fldCharType="begin"/>
      </w:r>
      <w:r>
        <w:rPr>
          <w:lang w:val="pl"/>
        </w:rPr>
        <w:instrText xml:space="preserve"> REF eskelinen \h </w:instrText>
      </w:r>
      <w:r>
        <w:rPr>
          <w:lang w:val="pl"/>
        </w:rPr>
      </w:r>
      <w:r>
        <w:rPr>
          <w:lang w:val="pl"/>
        </w:rPr>
        <w:fldChar w:fldCharType="separate"/>
      </w:r>
      <w:r>
        <w:rPr>
          <w:noProof/>
          <w:lang w:val="pl"/>
        </w:rPr>
        <w:t>44</w:t>
      </w:r>
      <w:r>
        <w:rPr>
          <w:lang w:val="pl"/>
        </w:rPr>
        <w:fldChar w:fldCharType="end"/>
      </w:r>
      <w:r>
        <w:rPr>
          <w:lang w:val="pl"/>
        </w:rPr>
        <w:t xml:space="preserve"> powyżej). W związku z tym</w:t>
      </w:r>
      <w:r w:rsidR="00B62CF1">
        <w:rPr>
          <w:lang w:val="pl"/>
        </w:rPr>
        <w:t>,</w:t>
      </w:r>
      <w:r>
        <w:rPr>
          <w:lang w:val="pl"/>
        </w:rPr>
        <w:t xml:space="preserve"> Trybunał zwraca uwagę, że art. 91 ust. 4 </w:t>
      </w:r>
      <w:r w:rsidR="00B62CF1">
        <w:rPr>
          <w:lang w:val="pl"/>
        </w:rPr>
        <w:t>K</w:t>
      </w:r>
      <w:r>
        <w:rPr>
          <w:lang w:val="pl"/>
        </w:rPr>
        <w:t>onstytucji stanowi, iż od orzeczeń dyscyplinarnych dotyczących kariery sędziów i prokuratorów nie przysługuje odwołanie do Naczelnego Sądu Administracyjnego.</w:t>
      </w:r>
    </w:p>
    <w:p w14:paraId="4520CF51" w14:textId="612C8047"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54</w:t>
      </w:r>
      <w:r>
        <w:rPr>
          <w:noProof/>
          <w:lang w:val="pl"/>
        </w:rPr>
        <w:fldChar w:fldCharType="end"/>
      </w:r>
      <w:r>
        <w:rPr>
          <w:lang w:val="pl"/>
        </w:rPr>
        <w:t>.  Strony nie zajęły jednoznacznego stanowiska w kwestii tego, czy uznają komisje dyscyplinarne SK za „sądy” (zob. paragraf </w:t>
      </w:r>
      <w:r>
        <w:rPr>
          <w:lang w:val="pl"/>
        </w:rPr>
        <w:fldChar w:fldCharType="begin"/>
      </w:r>
      <w:r>
        <w:rPr>
          <w:lang w:val="pl"/>
        </w:rPr>
        <w:instrText xml:space="preserve"> REF tribunalADMISSIBILITY \h  \* MERGEFORMAT </w:instrText>
      </w:r>
      <w:r>
        <w:rPr>
          <w:lang w:val="pl"/>
        </w:rPr>
      </w:r>
      <w:r>
        <w:rPr>
          <w:lang w:val="pl"/>
        </w:rPr>
        <w:fldChar w:fldCharType="separate"/>
      </w:r>
      <w:r>
        <w:rPr>
          <w:lang w:val="pl"/>
        </w:rPr>
        <w:t>53</w:t>
      </w:r>
      <w:r>
        <w:rPr>
          <w:lang w:val="pl"/>
        </w:rPr>
        <w:fldChar w:fldCharType="end"/>
      </w:r>
      <w:r>
        <w:rPr>
          <w:lang w:val="pl"/>
        </w:rPr>
        <w:t xml:space="preserve"> powyżej i</w:t>
      </w:r>
      <w:r w:rsidR="00CF7B21">
        <w:rPr>
          <w:lang w:val="pl"/>
        </w:rPr>
        <w:t> </w:t>
      </w:r>
      <w:r>
        <w:rPr>
          <w:lang w:val="pl"/>
        </w:rPr>
        <w:t xml:space="preserve">paragrafy </w:t>
      </w:r>
      <w:r>
        <w:rPr>
          <w:lang w:val="pl"/>
        </w:rPr>
        <w:fldChar w:fldCharType="begin"/>
      </w:r>
      <w:r>
        <w:rPr>
          <w:lang w:val="pl"/>
        </w:rPr>
        <w:instrText xml:space="preserve"> REF APPArguments \h  \* MERGEFORMAT </w:instrText>
      </w:r>
      <w:r>
        <w:rPr>
          <w:lang w:val="pl"/>
        </w:rPr>
      </w:r>
      <w:r>
        <w:rPr>
          <w:lang w:val="pl"/>
        </w:rPr>
        <w:fldChar w:fldCharType="separate"/>
      </w:r>
      <w:r>
        <w:rPr>
          <w:lang w:val="pl"/>
        </w:rPr>
        <w:t>60</w:t>
      </w:r>
      <w:r>
        <w:rPr>
          <w:lang w:val="pl"/>
        </w:rPr>
        <w:fldChar w:fldCharType="end"/>
      </w:r>
      <w:r>
        <w:rPr>
          <w:lang w:val="pl"/>
        </w:rPr>
        <w:t xml:space="preserve"> i </w:t>
      </w:r>
      <w:r>
        <w:rPr>
          <w:lang w:val="pl"/>
        </w:rPr>
        <w:fldChar w:fldCharType="begin"/>
      </w:r>
      <w:r>
        <w:rPr>
          <w:lang w:val="pl"/>
        </w:rPr>
        <w:instrText xml:space="preserve"> REF GVTarguments \h  \* MERGEFORMAT </w:instrText>
      </w:r>
      <w:r>
        <w:rPr>
          <w:lang w:val="pl"/>
        </w:rPr>
      </w:r>
      <w:r>
        <w:rPr>
          <w:lang w:val="pl"/>
        </w:rPr>
        <w:fldChar w:fldCharType="separate"/>
      </w:r>
      <w:r>
        <w:rPr>
          <w:lang w:val="pl"/>
        </w:rPr>
        <w:t>61</w:t>
      </w:r>
      <w:r>
        <w:rPr>
          <w:lang w:val="pl"/>
        </w:rPr>
        <w:fldChar w:fldCharType="end"/>
      </w:r>
      <w:r>
        <w:rPr>
          <w:lang w:val="pl"/>
        </w:rPr>
        <w:t xml:space="preserve"> poniżej).</w:t>
      </w:r>
    </w:p>
    <w:bookmarkStart w:id="33" w:name="ADMISSIBILITYtribunal1"/>
    <w:p w14:paraId="16BE336A" w14:textId="3CF3533E"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55</w:t>
      </w:r>
      <w:r>
        <w:rPr>
          <w:lang w:val="pl"/>
        </w:rPr>
        <w:fldChar w:fldCharType="end"/>
      </w:r>
      <w:bookmarkEnd w:id="33"/>
      <w:r>
        <w:rPr>
          <w:lang w:val="pl"/>
        </w:rPr>
        <w:t xml:space="preserve">.  Trybunał zauważa, że komisje dyscyplinarne SK, choć nie wchodziły w skład standardowej struktury sądów cywilnych i karnych, zostały ustanowione na mocy ustawy nr 1756/1988, obowiązującej w czasie istotnym dla sprawy, i rozstrzygały sprawy dyscyplinarne w ramach swoich kompetencji na podstawie art. 91 </w:t>
      </w:r>
      <w:r w:rsidR="00A533DB">
        <w:rPr>
          <w:lang w:val="pl"/>
        </w:rPr>
        <w:t>K</w:t>
      </w:r>
      <w:r>
        <w:rPr>
          <w:lang w:val="pl"/>
        </w:rPr>
        <w:t>onstytucji oraz art. 97 ustawy nr 1756/1988, oraz po przeprowadzeniu postępowania, w szczególności zgodnie z art. 101–104 ustawy nr 1756/1988 (zob. paragrafy </w:t>
      </w:r>
      <w:r>
        <w:rPr>
          <w:lang w:val="pl"/>
        </w:rPr>
        <w:fldChar w:fldCharType="begin"/>
      </w:r>
      <w:r>
        <w:rPr>
          <w:lang w:val="pl"/>
        </w:rPr>
        <w:instrText xml:space="preserve"> REF Constitution \h  \* MERGEFORMAT </w:instrText>
      </w:r>
      <w:r>
        <w:rPr>
          <w:lang w:val="pl"/>
        </w:rPr>
      </w:r>
      <w:r>
        <w:rPr>
          <w:lang w:val="pl"/>
        </w:rPr>
        <w:fldChar w:fldCharType="separate"/>
      </w:r>
      <w:r>
        <w:rPr>
          <w:lang w:val="pl"/>
        </w:rPr>
        <w:t>35</w:t>
      </w:r>
      <w:r>
        <w:rPr>
          <w:lang w:val="pl"/>
        </w:rPr>
        <w:fldChar w:fldCharType="end"/>
      </w:r>
      <w:r>
        <w:rPr>
          <w:lang w:val="pl"/>
        </w:rPr>
        <w:t xml:space="preserve"> i </w:t>
      </w:r>
      <w:r>
        <w:rPr>
          <w:lang w:val="pl"/>
        </w:rPr>
        <w:fldChar w:fldCharType="begin"/>
      </w:r>
      <w:r>
        <w:rPr>
          <w:lang w:val="pl"/>
        </w:rPr>
        <w:instrText xml:space="preserve"> REF codeofcourts \h  \* MERGEFORMAT </w:instrText>
      </w:r>
      <w:r>
        <w:rPr>
          <w:lang w:val="pl"/>
        </w:rPr>
      </w:r>
      <w:r>
        <w:rPr>
          <w:lang w:val="pl"/>
        </w:rPr>
        <w:fldChar w:fldCharType="separate"/>
      </w:r>
      <w:r>
        <w:rPr>
          <w:rFonts w:ascii="Times New Roman" w:hAnsi="Times New Roman"/>
          <w:lang w:val="pl"/>
        </w:rPr>
        <w:t>36</w:t>
      </w:r>
      <w:r>
        <w:rPr>
          <w:lang w:val="pl"/>
        </w:rPr>
        <w:fldChar w:fldCharType="end"/>
      </w:r>
      <w:r>
        <w:rPr>
          <w:lang w:val="pl"/>
        </w:rPr>
        <w:t xml:space="preserve"> powyżej). Komisje te podejmowały decyzje w sprawie postępowań dyscyplinarnych (art. 104 ustawy nr 1756/1988), dysponując uprawnieniami do uznania zainteresowanej strony za winną lub niewinną popełnienia przewinienia oraz do orzeczenia odpowiedniej sankcji na podstawie obowiązujących przepisów prawa. W kontekście tych postępowań</w:t>
      </w:r>
      <w:r w:rsidR="00B62CF1">
        <w:rPr>
          <w:lang w:val="pl"/>
        </w:rPr>
        <w:t>,</w:t>
      </w:r>
      <w:r>
        <w:rPr>
          <w:lang w:val="pl"/>
        </w:rPr>
        <w:t xml:space="preserve"> komisje dyscyplinarne ustalały stan faktyczny i jego kwalifikację prawną po dokonaniu swobodnej oceny dowodów (art. 104). Osoby objęte postępowaniem dyscyplinarnym mogły, korzystając z pomocy prawnej, przedstawić pisemne wyjaśnienia oraz stawić się osobiście w celu ustnego przedstawienia swojej linii obrony, miały pełny wgląd w akta sprawy oraz mogły przedstawiać własne dowody, w tym powoływać świadków (art. 101 i 104). W skład wyżej wymienionych komisji wchodzili wyłącznie sędziowie SK, wybierani co roku w drodze losowania (art. 97 ustawy nr 1756/1988). Sędziowie ci byli sędziami orzekającymi sądów wyższej instancji, którym przysługiwały gwarancje niezależności instytucjonalnej przewidziane w art. 87 i 88 </w:t>
      </w:r>
      <w:r w:rsidR="00A533DB">
        <w:rPr>
          <w:lang w:val="pl"/>
        </w:rPr>
        <w:t>K</w:t>
      </w:r>
      <w:r>
        <w:rPr>
          <w:lang w:val="pl"/>
        </w:rPr>
        <w:t>onstytucji, w szczególności gwarancja nieusuwalności, potwierdzona w art. 53 ustawy nr 1756/1988. W</w:t>
      </w:r>
      <w:r w:rsidR="00CF7B21">
        <w:rPr>
          <w:lang w:val="pl"/>
        </w:rPr>
        <w:t> </w:t>
      </w:r>
      <w:r>
        <w:rPr>
          <w:lang w:val="pl"/>
        </w:rPr>
        <w:t>przypadku pojawienia się wątpliwości co do bezstronności sędziego zasiadającego w tych komisjach, prawo krajowe przewidywało możliwość wycofania się tego sędziego lub złożenia wniosku o jego wyłączenie.</w:t>
      </w:r>
    </w:p>
    <w:bookmarkStart w:id="34" w:name="ADMISSIBILITYtribunal2"/>
    <w:p w14:paraId="19C72CF2" w14:textId="663156B9"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56</w:t>
      </w:r>
      <w:r>
        <w:rPr>
          <w:lang w:val="pl"/>
        </w:rPr>
        <w:fldChar w:fldCharType="end"/>
      </w:r>
      <w:bookmarkEnd w:id="34"/>
      <w:r>
        <w:rPr>
          <w:lang w:val="pl"/>
        </w:rPr>
        <w:t>.  W związku z tym</w:t>
      </w:r>
      <w:r w:rsidR="00B62CF1">
        <w:rPr>
          <w:lang w:val="pl"/>
        </w:rPr>
        <w:t>,</w:t>
      </w:r>
      <w:r>
        <w:rPr>
          <w:lang w:val="pl"/>
        </w:rPr>
        <w:t xml:space="preserve"> Trybunał uznaje, że komisje dyscyplinarne powołane na mocy ustawy nr 1756/1988, w jej brzmieniu obowiązującym w czasie istotnym dla sprawy, należy uznać za sąd posiadający pełną </w:t>
      </w:r>
      <w:r>
        <w:rPr>
          <w:lang w:val="pl"/>
        </w:rPr>
        <w:lastRenderedPageBreak/>
        <w:t xml:space="preserve">właściwość w przedmiocie ustalania odpowiedzialności dyscyplinarnej w postępowaniach, do których miały zastosowanie gwarancje wynikające z art. 6 (zob., odpowiednio, </w:t>
      </w:r>
      <w:proofErr w:type="spellStart"/>
      <w:r>
        <w:rPr>
          <w:i/>
          <w:iCs/>
          <w:lang w:val="pl"/>
        </w:rPr>
        <w:t>Cotora</w:t>
      </w:r>
      <w:proofErr w:type="spellEnd"/>
      <w:r>
        <w:rPr>
          <w:i/>
          <w:iCs/>
          <w:lang w:val="pl"/>
        </w:rPr>
        <w:t xml:space="preserve"> przeciwko Rumunii</w:t>
      </w:r>
      <w:r>
        <w:rPr>
          <w:lang w:val="pl"/>
        </w:rPr>
        <w:t>, nr 30745/18, §§ 37–39, 17 stycznia 2023 r., i przytoczone tam orzecznictwo).</w:t>
      </w:r>
    </w:p>
    <w:bookmarkStart w:id="35" w:name="_cl29704THELAW"/>
    <w:p w14:paraId="091405AD" w14:textId="7906C18D"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57</w:t>
      </w:r>
      <w:r>
        <w:rPr>
          <w:lang w:val="pl"/>
        </w:rPr>
        <w:fldChar w:fldCharType="end"/>
      </w:r>
      <w:bookmarkEnd w:id="35"/>
      <w:r>
        <w:rPr>
          <w:lang w:val="pl"/>
        </w:rPr>
        <w:t>.  W świetle powyższych rozważań</w:t>
      </w:r>
      <w:r w:rsidR="00B62CF1">
        <w:rPr>
          <w:lang w:val="pl"/>
        </w:rPr>
        <w:t>,</w:t>
      </w:r>
      <w:r>
        <w:rPr>
          <w:lang w:val="pl"/>
        </w:rPr>
        <w:t xml:space="preserve"> Trybunał oddala zarzut Rządu i</w:t>
      </w:r>
      <w:r w:rsidR="00CF7B21">
        <w:rPr>
          <w:lang w:val="pl"/>
        </w:rPr>
        <w:t> </w:t>
      </w:r>
      <w:r>
        <w:rPr>
          <w:lang w:val="pl"/>
        </w:rPr>
        <w:t>stwierdza, że art. 6 ust. 1 Konwencji ma zastosowanie w jego aspekcie cywilnym.</w:t>
      </w:r>
    </w:p>
    <w:p w14:paraId="602A7571" w14:textId="77777777" w:rsidR="00FB1A8A" w:rsidRPr="00843F1A" w:rsidRDefault="00000000" w:rsidP="00843F1A">
      <w:pPr>
        <w:pStyle w:val="JuHa0"/>
      </w:pPr>
      <w:r>
        <w:rPr>
          <w:lang w:val="pl"/>
        </w:rPr>
        <w:t>Konkluzja</w:t>
      </w:r>
    </w:p>
    <w:p w14:paraId="57E867B6" w14:textId="27C580FA"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58</w:t>
      </w:r>
      <w:r>
        <w:rPr>
          <w:noProof/>
          <w:lang w:val="pl"/>
        </w:rPr>
        <w:fldChar w:fldCharType="end"/>
      </w:r>
      <w:r>
        <w:rPr>
          <w:lang w:val="pl"/>
        </w:rPr>
        <w:t>.  Trybunał zauważa ponadto, że Rząd – choć odnotował w świetle prawa krajowego niedopuszczalność wniosku skarżącej o wyłączenie – nie podniósł w sposób wyraźny zarzutu niedopuszczalności z powodu niewyczerpania środków prawnych dostępnych na szczeblu krajowym (</w:t>
      </w:r>
      <w:bookmarkStart w:id="36" w:name="_cl32711THELAW"/>
      <w:r>
        <w:rPr>
          <w:lang w:val="pl"/>
        </w:rPr>
        <w:t>zob.</w:t>
      </w:r>
      <w:r w:rsidR="00D8645F">
        <w:rPr>
          <w:lang w:val="pl"/>
        </w:rPr>
        <w:t xml:space="preserve"> </w:t>
      </w:r>
      <w:proofErr w:type="spellStart"/>
      <w:r>
        <w:rPr>
          <w:i/>
          <w:iCs/>
          <w:lang w:val="pl"/>
        </w:rPr>
        <w:t>Navalnyy</w:t>
      </w:r>
      <w:proofErr w:type="spellEnd"/>
      <w:r>
        <w:rPr>
          <w:i/>
          <w:iCs/>
          <w:lang w:val="pl"/>
        </w:rPr>
        <w:t xml:space="preserve"> przeciwko Rosji</w:t>
      </w:r>
      <w:bookmarkEnd w:id="36"/>
      <w:r>
        <w:rPr>
          <w:lang w:val="pl"/>
        </w:rPr>
        <w:t xml:space="preserve"> [WI], </w:t>
      </w:r>
      <w:proofErr w:type="gramStart"/>
      <w:r>
        <w:rPr>
          <w:lang w:val="pl"/>
        </w:rPr>
        <w:t>nr </w:t>
      </w:r>
      <w:r w:rsidR="00D8645F">
        <w:rPr>
          <w:lang w:val="pl"/>
        </w:rPr>
        <w:t xml:space="preserve"> </w:t>
      </w:r>
      <w:r w:rsidR="00D8645F" w:rsidRPr="00D8645F">
        <w:rPr>
          <w:lang w:val="pl-PL"/>
        </w:rPr>
        <w:t>29580</w:t>
      </w:r>
      <w:proofErr w:type="gramEnd"/>
      <w:r w:rsidR="00D8645F" w:rsidRPr="00D8645F">
        <w:rPr>
          <w:lang w:val="pl-PL"/>
        </w:rPr>
        <w:t>/12</w:t>
      </w:r>
      <w:r>
        <w:rPr>
          <w:lang w:val="pl"/>
        </w:rPr>
        <w:t xml:space="preserve"> i 4 inne, §§ 60–61, 15 listopada 2018 r.).</w:t>
      </w:r>
      <w:r>
        <w:rPr>
          <w:b/>
          <w:bCs/>
          <w:lang w:val="pl"/>
        </w:rPr>
        <w:t xml:space="preserve"> </w:t>
      </w:r>
      <w:r>
        <w:rPr>
          <w:lang w:val="pl"/>
        </w:rPr>
        <w:t>W związku z tym</w:t>
      </w:r>
      <w:r w:rsidR="00B62CF1">
        <w:rPr>
          <w:lang w:val="pl"/>
        </w:rPr>
        <w:t>,</w:t>
      </w:r>
      <w:r>
        <w:rPr>
          <w:lang w:val="pl"/>
        </w:rPr>
        <w:t xml:space="preserve"> Trybunał nie może zbadać tej kwestii z urzędu (</w:t>
      </w:r>
      <w:bookmarkStart w:id="37" w:name="_cl44190THELAW"/>
      <w:r>
        <w:rPr>
          <w:lang w:val="pl"/>
        </w:rPr>
        <w:t xml:space="preserve">zob. </w:t>
      </w:r>
      <w:r>
        <w:rPr>
          <w:i/>
          <w:iCs/>
          <w:lang w:val="pl"/>
        </w:rPr>
        <w:t>M.C. przeciwko Turcji</w:t>
      </w:r>
      <w:bookmarkEnd w:id="37"/>
      <w:r>
        <w:rPr>
          <w:lang w:val="pl"/>
        </w:rPr>
        <w:t>, nr 31592/18, § 44, 4 czerwca 2024 r., i</w:t>
      </w:r>
      <w:r w:rsidR="00CF7B21">
        <w:rPr>
          <w:lang w:val="pl"/>
        </w:rPr>
        <w:t> </w:t>
      </w:r>
      <w:r>
        <w:rPr>
          <w:lang w:val="pl"/>
        </w:rPr>
        <w:t>przytoczone tam orzecznictwo).</w:t>
      </w:r>
    </w:p>
    <w:p w14:paraId="09DF8E08" w14:textId="77777777" w:rsidR="00FB1A8A" w:rsidRPr="00843F1A" w:rsidRDefault="00FB1A8A" w:rsidP="00843F1A">
      <w:pPr>
        <w:pStyle w:val="JuPara"/>
      </w:pPr>
      <w:r>
        <w:fldChar w:fldCharType="begin"/>
      </w:r>
      <w:r w:rsidRPr="00CF7B21">
        <w:rPr>
          <w:lang w:val="pl-PL"/>
        </w:rPr>
        <w:instrText xml:space="preserve"> SEQ level0 \*arabic \* MERGEFORMAT </w:instrText>
      </w:r>
      <w:r>
        <w:fldChar w:fldCharType="separate"/>
      </w:r>
      <w:r>
        <w:rPr>
          <w:noProof/>
          <w:lang w:val="pl"/>
        </w:rPr>
        <w:t>59</w:t>
      </w:r>
      <w:r>
        <w:rPr>
          <w:noProof/>
          <w:lang w:val="pl"/>
        </w:rPr>
        <w:fldChar w:fldCharType="end"/>
      </w:r>
      <w:r>
        <w:rPr>
          <w:lang w:val="pl"/>
        </w:rPr>
        <w:t>.  Trybunał zauważa, że skarga ta nie jest w sposób oczywisty nieuzasadniona ani niedopuszczalna na jakiejkolwiek innej podstawie wymienionej w art. 35 Konwencji. Należy zatem uznać ją za dopuszczalną.</w:t>
      </w:r>
    </w:p>
    <w:p w14:paraId="6058855F" w14:textId="77777777" w:rsidR="00FB1A8A" w:rsidRPr="00843F1A" w:rsidRDefault="00000000" w:rsidP="00843F1A">
      <w:pPr>
        <w:pStyle w:val="JuHA"/>
      </w:pPr>
      <w:r>
        <w:rPr>
          <w:lang w:val="pl"/>
        </w:rPr>
        <w:t>Przedmiot skargi</w:t>
      </w:r>
    </w:p>
    <w:p w14:paraId="3F017DC1" w14:textId="77777777" w:rsidR="00FB1A8A" w:rsidRPr="00843F1A" w:rsidRDefault="00000000" w:rsidP="00843F1A">
      <w:pPr>
        <w:pStyle w:val="JuH1"/>
      </w:pPr>
      <w:r>
        <w:rPr>
          <w:bCs w:val="0"/>
          <w:lang w:val="pl"/>
        </w:rPr>
        <w:t>Stanowiska stron</w:t>
      </w:r>
    </w:p>
    <w:bookmarkStart w:id="38" w:name="APParguments"/>
    <w:p w14:paraId="374232B3" w14:textId="5EF1BA54"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60</w:t>
      </w:r>
      <w:r>
        <w:rPr>
          <w:lang w:val="pl"/>
        </w:rPr>
        <w:fldChar w:fldCharType="end"/>
      </w:r>
      <w:bookmarkEnd w:id="38"/>
      <w:r>
        <w:rPr>
          <w:lang w:val="pl"/>
        </w:rPr>
        <w:t xml:space="preserve">.  Skarżąca zarzuciła, że działania V.T. nieodwracalnie naruszyły niezależność i bezstronność postępowania dyscyplinarnego. Skarżąca złożyła wniosek o wyłączenie V.T., co było dopuszczalne, ponieważ skierowała go zarówno do V.T., jak i do prokuratora SK (zob. paragraf </w:t>
      </w:r>
      <w:r>
        <w:rPr>
          <w:lang w:val="pl"/>
        </w:rPr>
        <w:fldChar w:fldCharType="begin"/>
      </w:r>
      <w:r>
        <w:rPr>
          <w:lang w:val="pl"/>
        </w:rPr>
        <w:instrText xml:space="preserve"> REF CCProsecutorReport \h </w:instrText>
      </w:r>
      <w:r>
        <w:rPr>
          <w:lang w:val="pl"/>
        </w:rPr>
      </w:r>
      <w:r>
        <w:rPr>
          <w:lang w:val="pl"/>
        </w:rPr>
        <w:fldChar w:fldCharType="separate"/>
      </w:r>
      <w:r>
        <w:rPr>
          <w:noProof/>
          <w:lang w:val="pl"/>
        </w:rPr>
        <w:t>6</w:t>
      </w:r>
      <w:r>
        <w:rPr>
          <w:lang w:val="pl"/>
        </w:rPr>
        <w:fldChar w:fldCharType="end"/>
      </w:r>
      <w:r>
        <w:rPr>
          <w:lang w:val="pl"/>
        </w:rPr>
        <w:t xml:space="preserve"> powyżej). W</w:t>
      </w:r>
      <w:r w:rsidR="00CF7B21">
        <w:rPr>
          <w:lang w:val="pl"/>
        </w:rPr>
        <w:t> </w:t>
      </w:r>
      <w:r>
        <w:rPr>
          <w:lang w:val="pl"/>
        </w:rPr>
        <w:t>obliczu wniosku o wyłączenie złożonego przez skarżącą</w:t>
      </w:r>
      <w:r w:rsidR="000D5286">
        <w:rPr>
          <w:lang w:val="pl"/>
        </w:rPr>
        <w:t>,</w:t>
      </w:r>
      <w:r>
        <w:rPr>
          <w:lang w:val="pl"/>
        </w:rPr>
        <w:t xml:space="preserve"> V.T. powinna była powstrzymać się od podejmowania jakichkolwiek dalszych działań w</w:t>
      </w:r>
      <w:r w:rsidR="00CF7B21">
        <w:rPr>
          <w:lang w:val="pl"/>
        </w:rPr>
        <w:t> </w:t>
      </w:r>
      <w:r>
        <w:rPr>
          <w:lang w:val="pl"/>
        </w:rPr>
        <w:t>ramach postępowania dyscyplinarnego do czasu rozpatrzenia tego wniosku przez innych sędziów. V.T. natomiast zasadniczo oddaliła wniosek o</w:t>
      </w:r>
      <w:r w:rsidR="00CF7B21">
        <w:rPr>
          <w:lang w:val="pl"/>
        </w:rPr>
        <w:t> </w:t>
      </w:r>
      <w:r>
        <w:rPr>
          <w:lang w:val="pl"/>
        </w:rPr>
        <w:t xml:space="preserve">wyłączenie w drodze czynności proceduralnych (zob. paragrafy </w:t>
      </w:r>
      <w:r>
        <w:rPr>
          <w:lang w:val="pl"/>
        </w:rPr>
        <w:fldChar w:fldCharType="begin"/>
      </w:r>
      <w:r>
        <w:rPr>
          <w:lang w:val="pl"/>
        </w:rPr>
        <w:instrText xml:space="preserve"> REF VTdismisses1 \h </w:instrText>
      </w:r>
      <w:r>
        <w:rPr>
          <w:lang w:val="pl"/>
        </w:rPr>
      </w:r>
      <w:r>
        <w:rPr>
          <w:lang w:val="pl"/>
        </w:rPr>
        <w:fldChar w:fldCharType="separate"/>
      </w:r>
      <w:r>
        <w:rPr>
          <w:noProof/>
          <w:lang w:val="pl"/>
        </w:rPr>
        <w:t>12</w:t>
      </w:r>
      <w:r>
        <w:rPr>
          <w:lang w:val="pl"/>
        </w:rPr>
        <w:fldChar w:fldCharType="end"/>
      </w:r>
      <w:r>
        <w:rPr>
          <w:lang w:val="pl"/>
        </w:rPr>
        <w:t>–</w:t>
      </w:r>
      <w:r>
        <w:rPr>
          <w:lang w:val="pl"/>
        </w:rPr>
        <w:fldChar w:fldCharType="begin"/>
      </w:r>
      <w:r>
        <w:rPr>
          <w:lang w:val="pl"/>
        </w:rPr>
        <w:instrText xml:space="preserve"> REF VTdismisses2 \h </w:instrText>
      </w:r>
      <w:r>
        <w:rPr>
          <w:lang w:val="pl"/>
        </w:rPr>
      </w:r>
      <w:r>
        <w:rPr>
          <w:lang w:val="pl"/>
        </w:rPr>
        <w:fldChar w:fldCharType="separate"/>
      </w:r>
      <w:r>
        <w:rPr>
          <w:noProof/>
          <w:lang w:val="pl"/>
        </w:rPr>
        <w:t>14</w:t>
      </w:r>
      <w:r>
        <w:rPr>
          <w:lang w:val="pl"/>
        </w:rPr>
        <w:fldChar w:fldCharType="end"/>
      </w:r>
      <w:r>
        <w:rPr>
          <w:lang w:val="pl"/>
        </w:rPr>
        <w:t xml:space="preserve"> powyżej), a także publicznie w oficjalnym komunikacie prasowym (zob. paragraf </w:t>
      </w:r>
      <w:r>
        <w:rPr>
          <w:lang w:val="pl"/>
        </w:rPr>
        <w:fldChar w:fldCharType="begin"/>
      </w:r>
      <w:r>
        <w:rPr>
          <w:lang w:val="pl"/>
        </w:rPr>
        <w:instrText xml:space="preserve"> REF pressRelease \h </w:instrText>
      </w:r>
      <w:r>
        <w:rPr>
          <w:lang w:val="pl"/>
        </w:rPr>
      </w:r>
      <w:r>
        <w:rPr>
          <w:lang w:val="pl"/>
        </w:rPr>
        <w:fldChar w:fldCharType="separate"/>
      </w:r>
      <w:r>
        <w:rPr>
          <w:noProof/>
          <w:lang w:val="pl"/>
        </w:rPr>
        <w:t>32</w:t>
      </w:r>
      <w:r>
        <w:rPr>
          <w:lang w:val="pl"/>
        </w:rPr>
        <w:fldChar w:fldCharType="end"/>
      </w:r>
      <w:r>
        <w:rPr>
          <w:lang w:val="pl"/>
        </w:rPr>
        <w:t xml:space="preserve"> powyżej), w którym V.T. podała imię i nazwisko skarżącej oraz stwierdziła, że wniosek o wyłączenie był „bezzasadny” i stanowił „nadużycie praw procesowych”. Ponadto</w:t>
      </w:r>
      <w:r w:rsidR="000D5286">
        <w:rPr>
          <w:lang w:val="pl"/>
        </w:rPr>
        <w:t>,</w:t>
      </w:r>
      <w:r>
        <w:rPr>
          <w:lang w:val="pl"/>
        </w:rPr>
        <w:t xml:space="preserve"> V.T. wszczęła wobec skarżącej postępowanie dyscyplinarne. Skarżąca twierdziła, że wymóg obiektywnej bezstronności wynikający z art. 6 zakłada, że ten sam sędzia nie bierze udziału w tej samej sprawie na kilku etapach postępowania, to znaczy z jednej strony prowadząc wstępne postępowanie wyjaśniające i </w:t>
      </w:r>
      <w:r w:rsidR="00CF7B21">
        <w:rPr>
          <w:lang w:val="pl"/>
        </w:rPr>
        <w:t>wszczynając</w:t>
      </w:r>
      <w:r>
        <w:rPr>
          <w:lang w:val="pl"/>
        </w:rPr>
        <w:t xml:space="preserve"> postępowanie dyscyplinarne, a z drugiej strony rozpatrując wniosek o wyłączenie. Skarżąca zarzuciła, że decyzja V.T. o wszczęciu przeciwko niej postępowania </w:t>
      </w:r>
      <w:r>
        <w:rPr>
          <w:lang w:val="pl"/>
        </w:rPr>
        <w:lastRenderedPageBreak/>
        <w:t>dyscyplinarnego była umotywowana politycznie i została podjęta przez Rząd. W związku z tym</w:t>
      </w:r>
      <w:r w:rsidR="000D5286">
        <w:rPr>
          <w:lang w:val="pl"/>
        </w:rPr>
        <w:t>,</w:t>
      </w:r>
      <w:r>
        <w:rPr>
          <w:lang w:val="pl"/>
        </w:rPr>
        <w:t xml:space="preserve"> skarżąca zauważyła, że prezesowi SK przyznano po raz pierwszy prawo do wszczęcia postępowania dyscyplinarnego dopiero w</w:t>
      </w:r>
      <w:r w:rsidR="00CF7B21">
        <w:rPr>
          <w:lang w:val="pl"/>
        </w:rPr>
        <w:t> </w:t>
      </w:r>
      <w:r>
        <w:rPr>
          <w:lang w:val="pl"/>
        </w:rPr>
        <w:t>grudniu 2015 r., kilka miesięcy przed wszczęciem przez V.T.</w:t>
      </w:r>
      <w:r w:rsidR="00F357E8">
        <w:rPr>
          <w:lang w:val="pl"/>
        </w:rPr>
        <w:t xml:space="preserve"> wstępnego</w:t>
      </w:r>
      <w:r>
        <w:rPr>
          <w:lang w:val="pl"/>
        </w:rPr>
        <w:t xml:space="preserve"> postępowania </w:t>
      </w:r>
      <w:r w:rsidR="00CF7B21" w:rsidRPr="00CF7B21">
        <w:rPr>
          <w:lang w:val="pl-PL"/>
        </w:rPr>
        <w:t>wy</w:t>
      </w:r>
      <w:r w:rsidR="00CF7B21">
        <w:rPr>
          <w:lang w:val="pl-PL"/>
        </w:rPr>
        <w:t>jaśniającego</w:t>
      </w:r>
      <w:r>
        <w:rPr>
          <w:lang w:val="pl"/>
        </w:rPr>
        <w:t xml:space="preserve"> w tej sprawie. Skarżąca stwierdziła, że doszło do instytucjonalnego zaniedbania ze strony państwa, które nie zapewniło jej bezstronnego sędziego w tej sprawie.</w:t>
      </w:r>
    </w:p>
    <w:bookmarkStart w:id="39" w:name="GVTarguments"/>
    <w:p w14:paraId="019FD1DA" w14:textId="7A861B9A"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61</w:t>
      </w:r>
      <w:r>
        <w:rPr>
          <w:lang w:val="pl"/>
        </w:rPr>
        <w:fldChar w:fldCharType="end"/>
      </w:r>
      <w:bookmarkEnd w:id="39"/>
      <w:r>
        <w:rPr>
          <w:lang w:val="pl"/>
        </w:rPr>
        <w:t xml:space="preserve">.  Rząd twierdził, że V.T. nie oddaliła wniosku skarżącej o wyłączenie, a jedynie poleciła wiceprezesowi </w:t>
      </w:r>
      <w:r w:rsidR="00CF7B21">
        <w:rPr>
          <w:lang w:val="pl"/>
        </w:rPr>
        <w:t>S</w:t>
      </w:r>
      <w:r>
        <w:rPr>
          <w:lang w:val="pl"/>
        </w:rPr>
        <w:t xml:space="preserve">K zakończenie </w:t>
      </w:r>
      <w:r w:rsidR="00122034">
        <w:rPr>
          <w:lang w:val="pl"/>
        </w:rPr>
        <w:t xml:space="preserve">wstępnego </w:t>
      </w:r>
      <w:r>
        <w:rPr>
          <w:lang w:val="pl"/>
        </w:rPr>
        <w:t xml:space="preserve">postępowania wyjaśniającego zgodnie z art. 99 § 9 Kodeksu sądowego (zob. paragrafy </w:t>
      </w:r>
      <w:r>
        <w:rPr>
          <w:lang w:val="pl"/>
        </w:rPr>
        <w:fldChar w:fldCharType="begin"/>
      </w:r>
      <w:r>
        <w:rPr>
          <w:lang w:val="pl"/>
        </w:rPr>
        <w:instrText xml:space="preserve"> REF VTdismisses1 \h </w:instrText>
      </w:r>
      <w:r>
        <w:rPr>
          <w:lang w:val="pl"/>
        </w:rPr>
      </w:r>
      <w:r>
        <w:rPr>
          <w:lang w:val="pl"/>
        </w:rPr>
        <w:fldChar w:fldCharType="separate"/>
      </w:r>
      <w:r>
        <w:rPr>
          <w:noProof/>
          <w:lang w:val="pl"/>
        </w:rPr>
        <w:t>12</w:t>
      </w:r>
      <w:r>
        <w:rPr>
          <w:lang w:val="pl"/>
        </w:rPr>
        <w:fldChar w:fldCharType="end"/>
      </w:r>
      <w:r>
        <w:rPr>
          <w:lang w:val="pl"/>
        </w:rPr>
        <w:t>-</w:t>
      </w:r>
      <w:r>
        <w:rPr>
          <w:lang w:val="pl"/>
        </w:rPr>
        <w:fldChar w:fldCharType="begin"/>
      </w:r>
      <w:r>
        <w:rPr>
          <w:lang w:val="pl"/>
        </w:rPr>
        <w:instrText xml:space="preserve"> REF VTdismisses2 \h </w:instrText>
      </w:r>
      <w:r>
        <w:rPr>
          <w:lang w:val="pl"/>
        </w:rPr>
      </w:r>
      <w:r>
        <w:rPr>
          <w:lang w:val="pl"/>
        </w:rPr>
        <w:fldChar w:fldCharType="separate"/>
      </w:r>
      <w:r>
        <w:rPr>
          <w:noProof/>
          <w:lang w:val="pl"/>
        </w:rPr>
        <w:t>14</w:t>
      </w:r>
      <w:r>
        <w:rPr>
          <w:lang w:val="pl"/>
        </w:rPr>
        <w:fldChar w:fldCharType="end"/>
      </w:r>
      <w:r>
        <w:rPr>
          <w:lang w:val="pl"/>
        </w:rPr>
        <w:t xml:space="preserve"> powyżej) i podała stosowne uzasadnienie. W przedmiocie wniosku o</w:t>
      </w:r>
      <w:r w:rsidR="00CF7B21">
        <w:rPr>
          <w:lang w:val="pl"/>
        </w:rPr>
        <w:t> </w:t>
      </w:r>
      <w:r>
        <w:rPr>
          <w:lang w:val="pl"/>
        </w:rPr>
        <w:t>wyłączenie orzekła siedmioosobowa komisja dyscyplinarna, a na etapie odwołania – dziewięcioosobowa komisja dyscyplinarna. W każdym razie</w:t>
      </w:r>
      <w:r w:rsidR="000D5286">
        <w:rPr>
          <w:lang w:val="pl"/>
        </w:rPr>
        <w:t>,</w:t>
      </w:r>
      <w:r>
        <w:rPr>
          <w:lang w:val="pl"/>
        </w:rPr>
        <w:t xml:space="preserve"> wniosek skarżącej był niedopuszczalny, co stwierdziły komisje dyscyplinarne, biorąc pod uwagę, że stanowisko przedłożone przez skarżącą prokuratorowi SK nie stanowiło wniosku o wyłączenie. Rząd zauważył ponadto, że rolą Trybunału nie jest rozpatrywanie domniemanych błędów prawnych lub faktycznych popełnionych przez sądy krajowe, chyba że można by uznać, iż stanowią one „niesprawiedliwość” naruszającą art. 6 Konwencji. W niniejszej sprawie nie można uznać, </w:t>
      </w:r>
      <w:r w:rsidR="000D5286">
        <w:rPr>
          <w:lang w:val="pl"/>
        </w:rPr>
        <w:t>że</w:t>
      </w:r>
      <w:r>
        <w:rPr>
          <w:lang w:val="pl"/>
        </w:rPr>
        <w:t xml:space="preserve"> kontrola przeprowadzona przez komisje dyscyplinarne (które wchodziły w skład sądowniczej – a nie administracyjnej – struktury państwa i składały się z sędziów) stanowiła taką „niesprawiedliwość”. W odniesieniu do istoty wniosku skarżącej o</w:t>
      </w:r>
      <w:r w:rsidR="00CF7B21">
        <w:rPr>
          <w:lang w:val="pl"/>
        </w:rPr>
        <w:t> </w:t>
      </w:r>
      <w:r>
        <w:rPr>
          <w:lang w:val="pl"/>
        </w:rPr>
        <w:t>wyłączenie</w:t>
      </w:r>
      <w:r w:rsidR="000D5286">
        <w:rPr>
          <w:lang w:val="pl"/>
        </w:rPr>
        <w:t>,</w:t>
      </w:r>
      <w:r>
        <w:rPr>
          <w:lang w:val="pl"/>
        </w:rPr>
        <w:t xml:space="preserve"> Rząd odniósł się do ustaleń dziewięcioosobowej komisji dyscyplinarnej, która odpowiedziała na wszystkie zarzuty skarżącej i</w:t>
      </w:r>
      <w:r w:rsidR="00CF7B21">
        <w:rPr>
          <w:lang w:val="pl"/>
        </w:rPr>
        <w:t> </w:t>
      </w:r>
      <w:r>
        <w:rPr>
          <w:lang w:val="pl"/>
        </w:rPr>
        <w:t>stwierdziła w szczególności, że V.T. nie ujawniła publicznie informacji z</w:t>
      </w:r>
      <w:r w:rsidR="00CF7B21">
        <w:rPr>
          <w:lang w:val="pl"/>
        </w:rPr>
        <w:t> </w:t>
      </w:r>
      <w:r>
        <w:rPr>
          <w:lang w:val="pl"/>
        </w:rPr>
        <w:t xml:space="preserve">naruszeniem poufności postępowania (zob. paragraf </w:t>
      </w:r>
      <w:r>
        <w:rPr>
          <w:lang w:val="pl"/>
        </w:rPr>
        <w:fldChar w:fldCharType="begin"/>
      </w:r>
      <w:r>
        <w:rPr>
          <w:lang w:val="pl"/>
        </w:rPr>
        <w:instrText xml:space="preserve"> REF CouncilDismissesRecusalGrounds \h </w:instrText>
      </w:r>
      <w:r>
        <w:rPr>
          <w:lang w:val="pl"/>
        </w:rPr>
      </w:r>
      <w:r>
        <w:rPr>
          <w:lang w:val="pl"/>
        </w:rPr>
        <w:fldChar w:fldCharType="separate"/>
      </w:r>
      <w:r>
        <w:rPr>
          <w:noProof/>
          <w:lang w:val="pl"/>
        </w:rPr>
        <w:t>29</w:t>
      </w:r>
      <w:r>
        <w:rPr>
          <w:lang w:val="pl"/>
        </w:rPr>
        <w:fldChar w:fldCharType="end"/>
      </w:r>
      <w:r>
        <w:rPr>
          <w:lang w:val="pl"/>
        </w:rPr>
        <w:t xml:space="preserve"> powyżej). Rząd ponadto twierdził, że artykuł prasowy, do którego odwołała się skarżąca, zatytułowany „Walczę z potężnymi, powiązanymi ze sobą grupami interesów” (zob. paragraf </w:t>
      </w:r>
      <w:r>
        <w:rPr>
          <w:lang w:val="pl"/>
        </w:rPr>
        <w:fldChar w:fldCharType="begin"/>
      </w:r>
      <w:r>
        <w:rPr>
          <w:lang w:val="pl"/>
        </w:rPr>
        <w:instrText xml:space="preserve"> REF PressArticle \h </w:instrText>
      </w:r>
      <w:r>
        <w:rPr>
          <w:lang w:val="pl"/>
        </w:rPr>
      </w:r>
      <w:r>
        <w:rPr>
          <w:lang w:val="pl"/>
        </w:rPr>
        <w:fldChar w:fldCharType="separate"/>
      </w:r>
      <w:r>
        <w:rPr>
          <w:noProof/>
          <w:lang w:val="pl"/>
        </w:rPr>
        <w:t>33</w:t>
      </w:r>
      <w:r>
        <w:rPr>
          <w:lang w:val="pl"/>
        </w:rPr>
        <w:fldChar w:fldCharType="end"/>
      </w:r>
      <w:r>
        <w:rPr>
          <w:lang w:val="pl"/>
        </w:rPr>
        <w:t xml:space="preserve"> powyżej), odzwierciedlał subiektywne poglądy autora, a nie te zawarte w oficjalnym komunikacie prasowym V.T.</w:t>
      </w:r>
    </w:p>
    <w:p w14:paraId="6B423CFC" w14:textId="77777777" w:rsidR="00FB1A8A" w:rsidRPr="00843F1A" w:rsidRDefault="00000000" w:rsidP="00843F1A">
      <w:pPr>
        <w:pStyle w:val="JuH1"/>
      </w:pPr>
      <w:r>
        <w:rPr>
          <w:bCs w:val="0"/>
          <w:lang w:val="pl"/>
        </w:rPr>
        <w:t>Ocena Trybunału</w:t>
      </w:r>
    </w:p>
    <w:p w14:paraId="672A7081" w14:textId="77777777" w:rsidR="00FB1A8A" w:rsidRPr="00843F1A" w:rsidRDefault="00000000" w:rsidP="00843F1A">
      <w:pPr>
        <w:pStyle w:val="JuHa0"/>
      </w:pPr>
      <w:r>
        <w:rPr>
          <w:lang w:val="pl"/>
        </w:rPr>
        <w:t>Zasady ogólne</w:t>
      </w:r>
    </w:p>
    <w:p w14:paraId="622AEBE3" w14:textId="3BEB5B00"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62</w:t>
      </w:r>
      <w:r>
        <w:rPr>
          <w:noProof/>
          <w:lang w:val="pl"/>
        </w:rPr>
        <w:fldChar w:fldCharType="end"/>
      </w:r>
      <w:r>
        <w:rPr>
          <w:lang w:val="pl"/>
        </w:rPr>
        <w:t xml:space="preserve">.  Trybunał przypomina, że art. 6 Konwencji nakłada na sądy obowiązek zachowania niezależności i bezstronności. Bezstronność zwykle oznacza brak uprzedzeń i stronniczości, a jej istnienie lub brak można sprawdzić na różne sposoby. Zgodnie z utrwalonym orzecznictwem Trybunału istnienie bezstronności do celów art. 6 ust. 1 należy ustalić w drodze (i) </w:t>
      </w:r>
      <w:r w:rsidR="00D06F90">
        <w:rPr>
          <w:lang w:val="pl"/>
        </w:rPr>
        <w:t xml:space="preserve">testu </w:t>
      </w:r>
      <w:r>
        <w:rPr>
          <w:lang w:val="pl"/>
        </w:rPr>
        <w:t xml:space="preserve">subiektywnego, w którym zwraca się uwagę na osobiste przekonania oraz zachowanie konkretnego sędziego, tj. czy dany sędzia jest w jakikolwiek sposób stronniczy lub przejawia osobiste uprzedzenia w danej sprawie; oraz w drodze (ii) </w:t>
      </w:r>
      <w:r w:rsidR="00D06F90">
        <w:rPr>
          <w:lang w:val="pl"/>
        </w:rPr>
        <w:t xml:space="preserve">testu </w:t>
      </w:r>
      <w:r>
        <w:rPr>
          <w:lang w:val="pl"/>
        </w:rPr>
        <w:t xml:space="preserve">obiektywnego – stwierdzając, czy dany sąd oraz m.in. jego </w:t>
      </w:r>
      <w:r>
        <w:rPr>
          <w:lang w:val="pl"/>
        </w:rPr>
        <w:lastRenderedPageBreak/>
        <w:t xml:space="preserve">skład </w:t>
      </w:r>
      <w:r w:rsidR="00D06F90">
        <w:rPr>
          <w:lang w:val="pl"/>
        </w:rPr>
        <w:t>dawał wystarczające</w:t>
      </w:r>
      <w:r>
        <w:rPr>
          <w:lang w:val="pl"/>
        </w:rPr>
        <w:t xml:space="preserve"> gwarancje wykluczające wszelkie </w:t>
      </w:r>
      <w:r w:rsidR="00D06F90">
        <w:rPr>
          <w:lang w:val="pl"/>
        </w:rPr>
        <w:t xml:space="preserve">uzasadnione </w:t>
      </w:r>
      <w:r>
        <w:rPr>
          <w:lang w:val="pl"/>
        </w:rPr>
        <w:t xml:space="preserve">wątpliwości co do </w:t>
      </w:r>
      <w:r w:rsidR="00D06F90">
        <w:rPr>
          <w:lang w:val="pl"/>
        </w:rPr>
        <w:t xml:space="preserve">jego </w:t>
      </w:r>
      <w:r>
        <w:rPr>
          <w:lang w:val="pl"/>
        </w:rPr>
        <w:t xml:space="preserve">bezstronności (zob. np. </w:t>
      </w:r>
      <w:proofErr w:type="spellStart"/>
      <w:r>
        <w:rPr>
          <w:i/>
          <w:iCs/>
          <w:lang w:val="pl"/>
        </w:rPr>
        <w:t>Kyprianou</w:t>
      </w:r>
      <w:proofErr w:type="spellEnd"/>
      <w:r>
        <w:rPr>
          <w:i/>
          <w:iCs/>
          <w:lang w:val="pl"/>
        </w:rPr>
        <w:t xml:space="preserve"> przeciwko Cyprowi </w:t>
      </w:r>
      <w:r>
        <w:rPr>
          <w:lang w:val="pl"/>
        </w:rPr>
        <w:t xml:space="preserve">[WI], nr 73797/01, § 118, </w:t>
      </w:r>
      <w:proofErr w:type="spellStart"/>
      <w:r>
        <w:rPr>
          <w:lang w:val="pl"/>
        </w:rPr>
        <w:t>ETPCz</w:t>
      </w:r>
      <w:proofErr w:type="spellEnd"/>
      <w:r>
        <w:rPr>
          <w:lang w:val="pl"/>
        </w:rPr>
        <w:t xml:space="preserve"> 2005-XIII, </w:t>
      </w:r>
      <w:proofErr w:type="spellStart"/>
      <w:r>
        <w:rPr>
          <w:i/>
          <w:iCs/>
          <w:lang w:val="pl"/>
        </w:rPr>
        <w:t>Micallef</w:t>
      </w:r>
      <w:proofErr w:type="spellEnd"/>
      <w:r>
        <w:rPr>
          <w:i/>
          <w:iCs/>
          <w:lang w:val="pl"/>
        </w:rPr>
        <w:t xml:space="preserve"> przeciwko Malcie </w:t>
      </w:r>
      <w:r>
        <w:rPr>
          <w:lang w:val="pl"/>
        </w:rPr>
        <w:t xml:space="preserve">[WI], nr 17056/06, § 93, </w:t>
      </w:r>
      <w:proofErr w:type="spellStart"/>
      <w:r>
        <w:rPr>
          <w:lang w:val="pl"/>
        </w:rPr>
        <w:t>ETPCz</w:t>
      </w:r>
      <w:proofErr w:type="spellEnd"/>
      <w:r>
        <w:rPr>
          <w:lang w:val="pl"/>
        </w:rPr>
        <w:t xml:space="preserve"> 2009; oraz</w:t>
      </w:r>
      <w:r>
        <w:rPr>
          <w:i/>
          <w:iCs/>
          <w:lang w:val="pl"/>
        </w:rPr>
        <w:t> </w:t>
      </w:r>
      <w:proofErr w:type="spellStart"/>
      <w:r>
        <w:rPr>
          <w:i/>
          <w:iCs/>
          <w:lang w:val="pl"/>
        </w:rPr>
        <w:t>Morice</w:t>
      </w:r>
      <w:proofErr w:type="spellEnd"/>
      <w:r>
        <w:rPr>
          <w:i/>
          <w:iCs/>
          <w:lang w:val="pl"/>
        </w:rPr>
        <w:t xml:space="preserve"> przeciwko Francji</w:t>
      </w:r>
      <w:r>
        <w:rPr>
          <w:lang w:val="pl"/>
        </w:rPr>
        <w:t xml:space="preserve"> [WI], nr 29369/10, §§ 73–78, </w:t>
      </w:r>
      <w:proofErr w:type="spellStart"/>
      <w:r>
        <w:rPr>
          <w:lang w:val="pl"/>
        </w:rPr>
        <w:t>ETPCz</w:t>
      </w:r>
      <w:proofErr w:type="spellEnd"/>
      <w:r>
        <w:rPr>
          <w:lang w:val="pl"/>
        </w:rPr>
        <w:t xml:space="preserve"> 2015).</w:t>
      </w:r>
    </w:p>
    <w:p w14:paraId="23A85A4E" w14:textId="759D99E1"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63</w:t>
      </w:r>
      <w:r>
        <w:rPr>
          <w:noProof/>
          <w:lang w:val="pl"/>
        </w:rPr>
        <w:fldChar w:fldCharType="end"/>
      </w:r>
      <w:r>
        <w:rPr>
          <w:lang w:val="pl"/>
        </w:rPr>
        <w:t>.  </w:t>
      </w:r>
      <w:r w:rsidR="00D06F90" w:rsidRPr="00D06F90">
        <w:rPr>
          <w:lang w:val="pl"/>
        </w:rPr>
        <w:t>Nie ma jednak ścisłego rozróżnienia między bezstronnością subiektywną a obiektywną, ponieważ zachowanie sędziego może nie tylko budzić obiektywne wątpliwości co do bezstronności sądu z punktu widzenia zewnętrznego obserwatora (test obiektywny), ale może również dotyczyć kwestii osobistych przekonań sędziego (test subiektywny</w:t>
      </w:r>
      <w:r w:rsidR="00D06F90" w:rsidRPr="00D06F90" w:rsidDel="00D06F90">
        <w:rPr>
          <w:lang w:val="pl"/>
        </w:rPr>
        <w:t xml:space="preserve"> </w:t>
      </w:r>
      <w:r>
        <w:rPr>
          <w:lang w:val="pl"/>
        </w:rPr>
        <w:t xml:space="preserve">(zob. </w:t>
      </w:r>
      <w:proofErr w:type="spellStart"/>
      <w:r>
        <w:rPr>
          <w:i/>
          <w:iCs/>
          <w:lang w:val="pl"/>
        </w:rPr>
        <w:t>Kyprianou</w:t>
      </w:r>
      <w:proofErr w:type="spellEnd"/>
      <w:r>
        <w:rPr>
          <w:i/>
          <w:iCs/>
          <w:lang w:val="pl"/>
        </w:rPr>
        <w:t xml:space="preserve">, </w:t>
      </w:r>
      <w:proofErr w:type="spellStart"/>
      <w:r>
        <w:rPr>
          <w:i/>
          <w:iCs/>
          <w:lang w:val="pl"/>
        </w:rPr>
        <w:t>op.cit</w:t>
      </w:r>
      <w:proofErr w:type="spellEnd"/>
      <w:r>
        <w:rPr>
          <w:i/>
          <w:iCs/>
          <w:lang w:val="pl"/>
        </w:rPr>
        <w:t>.</w:t>
      </w:r>
      <w:r>
        <w:rPr>
          <w:lang w:val="pl"/>
        </w:rPr>
        <w:t xml:space="preserve"> § 119). </w:t>
      </w:r>
      <w:r w:rsidR="00D06F90" w:rsidRPr="00D06F90">
        <w:rPr>
          <w:lang w:val="pl"/>
        </w:rPr>
        <w:t xml:space="preserve">W niektórych przypadkach, w których uzyskanie dowodów pozwalających obalić domniemanie subiektywnej bezstronności sędziego może być trudne, wymóg obiektywnej bezstronności stanowi dodatkową istotną gwarancję </w:t>
      </w:r>
      <w:r>
        <w:rPr>
          <w:lang w:val="pl"/>
        </w:rPr>
        <w:t xml:space="preserve">(zob. </w:t>
      </w:r>
      <w:proofErr w:type="spellStart"/>
      <w:r>
        <w:rPr>
          <w:i/>
          <w:iCs/>
          <w:lang w:val="pl"/>
        </w:rPr>
        <w:t>Pullar</w:t>
      </w:r>
      <w:proofErr w:type="spellEnd"/>
      <w:r>
        <w:rPr>
          <w:i/>
          <w:iCs/>
          <w:lang w:val="pl"/>
        </w:rPr>
        <w:t xml:space="preserve"> przeciwko Zjednoczonemu Królestwu</w:t>
      </w:r>
      <w:r>
        <w:rPr>
          <w:lang w:val="pl"/>
        </w:rPr>
        <w:t xml:space="preserve">, 10 czerwca 1996 r., § 32, </w:t>
      </w:r>
      <w:r>
        <w:rPr>
          <w:i/>
          <w:iCs/>
          <w:lang w:val="pl"/>
        </w:rPr>
        <w:t>Zbiór Wyroków i Decyzji</w:t>
      </w:r>
      <w:r>
        <w:rPr>
          <w:lang w:val="pl"/>
        </w:rPr>
        <w:t xml:space="preserve"> 1996</w:t>
      </w:r>
      <w:r>
        <w:rPr>
          <w:lang w:val="pl"/>
        </w:rPr>
        <w:noBreakHyphen/>
        <w:t xml:space="preserve">III oraz </w:t>
      </w:r>
      <w:proofErr w:type="spellStart"/>
      <w:r>
        <w:rPr>
          <w:i/>
          <w:iCs/>
          <w:lang w:val="pl"/>
        </w:rPr>
        <w:t>Otegi</w:t>
      </w:r>
      <w:proofErr w:type="spellEnd"/>
      <w:r>
        <w:rPr>
          <w:i/>
          <w:iCs/>
          <w:lang w:val="pl"/>
        </w:rPr>
        <w:t xml:space="preserve"> </w:t>
      </w:r>
      <w:proofErr w:type="spellStart"/>
      <w:r w:rsidR="00C84618">
        <w:rPr>
          <w:i/>
          <w:iCs/>
          <w:lang w:val="pl"/>
        </w:rPr>
        <w:t>M</w:t>
      </w:r>
      <w:r>
        <w:rPr>
          <w:i/>
          <w:iCs/>
          <w:lang w:val="pl"/>
        </w:rPr>
        <w:t>ondragon</w:t>
      </w:r>
      <w:proofErr w:type="spellEnd"/>
      <w:r>
        <w:rPr>
          <w:i/>
          <w:iCs/>
          <w:lang w:val="pl"/>
        </w:rPr>
        <w:t xml:space="preserve"> przeciwko Hiszpanii, </w:t>
      </w:r>
      <w:r>
        <w:rPr>
          <w:lang w:val="pl"/>
        </w:rPr>
        <w:t xml:space="preserve">nr 4184/15 i 4 inne, § 54, 6 listopada 2018 r.). </w:t>
      </w:r>
    </w:p>
    <w:p w14:paraId="0C9D18F6" w14:textId="77777777"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64</w:t>
      </w:r>
      <w:r>
        <w:rPr>
          <w:noProof/>
          <w:lang w:val="pl"/>
        </w:rPr>
        <w:fldChar w:fldCharType="end"/>
      </w:r>
      <w:r>
        <w:rPr>
          <w:lang w:val="pl"/>
        </w:rPr>
        <w:t xml:space="preserve">.  Kryterium obiektywne dotyczy głównie hierarchicznych lub innych powiązań między sędzią a innymi uczestnikami postępowania. W każdym indywidualnym przypadku należy zatem rozstrzygnąć, czy dany stosunek ma taki charakter oraz taki stopień, że wskazuje na brak bezstronności składu orzekającego (zob. </w:t>
      </w:r>
      <w:proofErr w:type="spellStart"/>
      <w:r>
        <w:rPr>
          <w:i/>
          <w:iCs/>
          <w:lang w:val="pl"/>
        </w:rPr>
        <w:t>Morice</w:t>
      </w:r>
      <w:proofErr w:type="spellEnd"/>
      <w:r>
        <w:rPr>
          <w:lang w:val="pl"/>
        </w:rPr>
        <w:t xml:space="preserve">, </w:t>
      </w:r>
      <w:proofErr w:type="spellStart"/>
      <w:r>
        <w:rPr>
          <w:i/>
          <w:iCs/>
          <w:lang w:val="pl"/>
        </w:rPr>
        <w:t>op.cit</w:t>
      </w:r>
      <w:proofErr w:type="spellEnd"/>
      <w:r>
        <w:rPr>
          <w:i/>
          <w:iCs/>
          <w:lang w:val="pl"/>
        </w:rPr>
        <w:t>.</w:t>
      </w:r>
      <w:r>
        <w:rPr>
          <w:lang w:val="pl"/>
        </w:rPr>
        <w:t>, § 77).</w:t>
      </w:r>
    </w:p>
    <w:p w14:paraId="01D358CF" w14:textId="4039F703" w:rsidR="00FB1A8A" w:rsidRPr="00CF7B21" w:rsidRDefault="00FB1A8A" w:rsidP="00843F1A">
      <w:pPr>
        <w:pStyle w:val="JuPara"/>
        <w:rPr>
          <w:lang w:val="pl"/>
        </w:rPr>
      </w:pPr>
      <w:r>
        <w:fldChar w:fldCharType="begin"/>
      </w:r>
      <w:r w:rsidRPr="00CF7B21">
        <w:rPr>
          <w:lang w:val="pl-PL"/>
        </w:rPr>
        <w:instrText xml:space="preserve"> SEQ level0 \*arabic \* MERGEFORMAT </w:instrText>
      </w:r>
      <w:r>
        <w:fldChar w:fldCharType="separate"/>
      </w:r>
      <w:r>
        <w:rPr>
          <w:noProof/>
          <w:lang w:val="pl"/>
        </w:rPr>
        <w:t>65</w:t>
      </w:r>
      <w:r>
        <w:rPr>
          <w:noProof/>
          <w:lang w:val="pl"/>
        </w:rPr>
        <w:fldChar w:fldCharType="end"/>
      </w:r>
      <w:r>
        <w:rPr>
          <w:lang w:val="pl"/>
        </w:rPr>
        <w:t>.  W związku z tym</w:t>
      </w:r>
      <w:r w:rsidR="00D06F90">
        <w:rPr>
          <w:lang w:val="pl"/>
        </w:rPr>
        <w:t>,</w:t>
      </w:r>
      <w:r>
        <w:rPr>
          <w:lang w:val="pl"/>
        </w:rPr>
        <w:t xml:space="preserve"> nawet pozory mogą mieć pewne znaczenie, innymi słowy „sprawiedliwość powinna nie tylko być wymierzana, ale także wymierzana w sposób widoczny dla wszystkich” (zob. </w:t>
      </w:r>
      <w:bookmarkStart w:id="40" w:name="_cl24183THELAW"/>
      <w:r>
        <w:rPr>
          <w:i/>
          <w:iCs/>
          <w:lang w:val="pl"/>
        </w:rPr>
        <w:t xml:space="preserve">De </w:t>
      </w:r>
      <w:proofErr w:type="spellStart"/>
      <w:r>
        <w:rPr>
          <w:i/>
          <w:iCs/>
          <w:lang w:val="pl"/>
        </w:rPr>
        <w:t>Cubber</w:t>
      </w:r>
      <w:proofErr w:type="spellEnd"/>
      <w:r>
        <w:rPr>
          <w:i/>
          <w:iCs/>
          <w:lang w:val="pl"/>
        </w:rPr>
        <w:t xml:space="preserve"> przeciwko Belgii</w:t>
      </w:r>
      <w:bookmarkEnd w:id="40"/>
      <w:r>
        <w:rPr>
          <w:lang w:val="pl"/>
        </w:rPr>
        <w:t>, 26 października 1984 r., § 26, seria A nr 86). Stawką jest zatem zaufanie, jakie sądy w demokratycznym społeczeństwie muszą wzbudzać w</w:t>
      </w:r>
      <w:r w:rsidR="00CF7B21">
        <w:rPr>
          <w:lang w:val="pl"/>
        </w:rPr>
        <w:t> </w:t>
      </w:r>
      <w:r>
        <w:rPr>
          <w:lang w:val="pl"/>
        </w:rPr>
        <w:t>opinii publicznej. Stąd te</w:t>
      </w:r>
      <w:r w:rsidR="00C84618">
        <w:rPr>
          <w:lang w:val="pl"/>
        </w:rPr>
        <w:t>ż</w:t>
      </w:r>
      <w:r>
        <w:rPr>
          <w:lang w:val="pl"/>
        </w:rPr>
        <w:t xml:space="preserve"> każdy sędzia, wobec którego istnieje </w:t>
      </w:r>
      <w:r w:rsidR="00BF5F97">
        <w:rPr>
          <w:lang w:val="pl"/>
        </w:rPr>
        <w:t xml:space="preserve">uzasadniona </w:t>
      </w:r>
      <w:r>
        <w:rPr>
          <w:lang w:val="pl"/>
        </w:rPr>
        <w:t>obawa o brak</w:t>
      </w:r>
      <w:r w:rsidR="00BF5F97">
        <w:rPr>
          <w:lang w:val="pl"/>
        </w:rPr>
        <w:t>u</w:t>
      </w:r>
      <w:r>
        <w:rPr>
          <w:lang w:val="pl"/>
        </w:rPr>
        <w:t xml:space="preserve"> bezstronności powinien zostać wyłączony (zob. </w:t>
      </w:r>
      <w:proofErr w:type="spellStart"/>
      <w:r>
        <w:rPr>
          <w:i/>
          <w:iCs/>
          <w:lang w:val="pl"/>
        </w:rPr>
        <w:t>Castillo</w:t>
      </w:r>
      <w:proofErr w:type="spellEnd"/>
      <w:r>
        <w:rPr>
          <w:i/>
          <w:iCs/>
          <w:lang w:val="pl"/>
        </w:rPr>
        <w:t> </w:t>
      </w:r>
      <w:proofErr w:type="spellStart"/>
      <w:r>
        <w:rPr>
          <w:i/>
          <w:iCs/>
          <w:lang w:val="pl"/>
        </w:rPr>
        <w:t>Algar</w:t>
      </w:r>
      <w:proofErr w:type="spellEnd"/>
      <w:r>
        <w:rPr>
          <w:i/>
          <w:iCs/>
          <w:lang w:val="pl"/>
        </w:rPr>
        <w:t xml:space="preserve"> przeciwko Hiszpani</w:t>
      </w:r>
      <w:r>
        <w:rPr>
          <w:lang w:val="pl"/>
        </w:rPr>
        <w:t xml:space="preserve">i, 28 października 1998 r., § 45, </w:t>
      </w:r>
      <w:r>
        <w:rPr>
          <w:i/>
          <w:iCs/>
          <w:lang w:val="pl"/>
        </w:rPr>
        <w:t>Zbiór</w:t>
      </w:r>
      <w:r>
        <w:rPr>
          <w:lang w:val="pl"/>
        </w:rPr>
        <w:t xml:space="preserve"> 1998-VIII, </w:t>
      </w:r>
      <w:proofErr w:type="spellStart"/>
      <w:r>
        <w:rPr>
          <w:i/>
          <w:iCs/>
          <w:lang w:val="pl"/>
        </w:rPr>
        <w:t>Micallef</w:t>
      </w:r>
      <w:proofErr w:type="spellEnd"/>
      <w:r>
        <w:rPr>
          <w:lang w:val="pl"/>
        </w:rPr>
        <w:t xml:space="preserve">, </w:t>
      </w:r>
      <w:proofErr w:type="spellStart"/>
      <w:r>
        <w:rPr>
          <w:i/>
          <w:iCs/>
          <w:lang w:val="pl"/>
        </w:rPr>
        <w:t>op.cit</w:t>
      </w:r>
      <w:proofErr w:type="spellEnd"/>
      <w:r>
        <w:rPr>
          <w:i/>
          <w:iCs/>
          <w:lang w:val="pl"/>
        </w:rPr>
        <w:t>.,</w:t>
      </w:r>
      <w:r>
        <w:rPr>
          <w:lang w:val="pl"/>
        </w:rPr>
        <w:t xml:space="preserve"> § 98, oraz </w:t>
      </w:r>
      <w:proofErr w:type="spellStart"/>
      <w:r>
        <w:rPr>
          <w:i/>
          <w:iCs/>
          <w:lang w:val="pl"/>
        </w:rPr>
        <w:t>Morice</w:t>
      </w:r>
      <w:proofErr w:type="spellEnd"/>
      <w:r>
        <w:rPr>
          <w:i/>
          <w:iCs/>
          <w:lang w:val="pl"/>
        </w:rPr>
        <w:t xml:space="preserve">, </w:t>
      </w:r>
      <w:proofErr w:type="spellStart"/>
      <w:r>
        <w:rPr>
          <w:i/>
          <w:iCs/>
          <w:lang w:val="pl"/>
        </w:rPr>
        <w:t>op.cit</w:t>
      </w:r>
      <w:proofErr w:type="spellEnd"/>
      <w:r>
        <w:rPr>
          <w:i/>
          <w:iCs/>
          <w:lang w:val="pl"/>
        </w:rPr>
        <w:t>.,</w:t>
      </w:r>
      <w:r>
        <w:rPr>
          <w:lang w:val="pl"/>
        </w:rPr>
        <w:t xml:space="preserve"> § 78).</w:t>
      </w:r>
    </w:p>
    <w:p w14:paraId="24029C99" w14:textId="77777777"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66</w:t>
      </w:r>
      <w:r>
        <w:rPr>
          <w:noProof/>
          <w:lang w:val="pl"/>
        </w:rPr>
        <w:fldChar w:fldCharType="end"/>
      </w:r>
      <w:r>
        <w:rPr>
          <w:lang w:val="pl"/>
        </w:rPr>
        <w:t xml:space="preserve">.  Sposób, w jaki sądy krajowe rozpatrują wniosek o wyłączenie, jest czynnikiem, który należy wziąć pod uwagę przy ocenie, czy sąd był bezstronny, a w szczególności czy obawy skarżącego można uznać za obiektywnie uzasadnione. Fakt, że wniosek taki rozpatruje sam zainteresowany sędzia, może rzeczywiście budzić wątpliwości co do bezstronności tego sędziego (zob. </w:t>
      </w:r>
      <w:proofErr w:type="spellStart"/>
      <w:r>
        <w:rPr>
          <w:i/>
          <w:iCs/>
          <w:lang w:val="pl"/>
        </w:rPr>
        <w:t>Doynov</w:t>
      </w:r>
      <w:proofErr w:type="spellEnd"/>
      <w:r>
        <w:rPr>
          <w:i/>
          <w:iCs/>
          <w:lang w:val="pl"/>
        </w:rPr>
        <w:t xml:space="preserve"> przeciwko Bułgarii,</w:t>
      </w:r>
      <w:r>
        <w:rPr>
          <w:lang w:val="pl"/>
        </w:rPr>
        <w:t xml:space="preserve"> nr 27455/22, § 54, 1 kwietnia 2025 r., i przytoczone tam orzecznictwo).</w:t>
      </w:r>
    </w:p>
    <w:p w14:paraId="133E512F" w14:textId="77777777" w:rsidR="00FB1A8A" w:rsidRPr="00CF7B21" w:rsidRDefault="00000000" w:rsidP="00843F1A">
      <w:pPr>
        <w:pStyle w:val="JuHa0"/>
        <w:rPr>
          <w:lang w:val="pl-PL"/>
        </w:rPr>
      </w:pPr>
      <w:r>
        <w:rPr>
          <w:lang w:val="pl"/>
        </w:rPr>
        <w:t>Zastosowanie tych zasad w niniejszej sprawie</w:t>
      </w:r>
    </w:p>
    <w:p w14:paraId="58BD3A03" w14:textId="77777777" w:rsidR="00FB1A8A" w:rsidRPr="00CF7B21" w:rsidRDefault="00000000" w:rsidP="00843F1A">
      <w:pPr>
        <w:pStyle w:val="JuHi"/>
        <w:rPr>
          <w:lang w:val="pl-PL"/>
        </w:rPr>
      </w:pPr>
      <w:r>
        <w:rPr>
          <w:bCs w:val="0"/>
          <w:lang w:val="pl"/>
        </w:rPr>
        <w:t>Zakres sprawy i podejście, jakie należy przyjąć</w:t>
      </w:r>
    </w:p>
    <w:bookmarkStart w:id="41" w:name="LawScope1"/>
    <w:p w14:paraId="6E6758EF" w14:textId="0AC5F3ED"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67</w:t>
      </w:r>
      <w:r>
        <w:rPr>
          <w:lang w:val="pl"/>
        </w:rPr>
        <w:fldChar w:fldCharType="end"/>
      </w:r>
      <w:bookmarkEnd w:id="41"/>
      <w:r>
        <w:rPr>
          <w:b/>
          <w:bCs/>
          <w:lang w:val="pl"/>
        </w:rPr>
        <w:t>.  </w:t>
      </w:r>
      <w:r>
        <w:rPr>
          <w:lang w:val="pl"/>
        </w:rPr>
        <w:t xml:space="preserve">Trybunał przypomina, że w praktyce bardzo trudno jest wykazać istnienie osobistej stronniczości sędziego na podstawie kryterium </w:t>
      </w:r>
      <w:r>
        <w:rPr>
          <w:lang w:val="pl"/>
        </w:rPr>
        <w:lastRenderedPageBreak/>
        <w:t>subiektywnego i zazwyczaj Trybunał preferuje ocenę sytuacji z</w:t>
      </w:r>
      <w:r w:rsidR="00CF7B21">
        <w:rPr>
          <w:lang w:val="pl"/>
        </w:rPr>
        <w:t> </w:t>
      </w:r>
      <w:r>
        <w:rPr>
          <w:lang w:val="pl"/>
        </w:rPr>
        <w:t xml:space="preserve">obiektywnego punktu widzenia (zob. </w:t>
      </w:r>
      <w:bookmarkStart w:id="42" w:name="_cl35323THELAW"/>
      <w:proofErr w:type="spellStart"/>
      <w:r>
        <w:rPr>
          <w:i/>
          <w:iCs/>
          <w:lang w:val="pl"/>
        </w:rPr>
        <w:t>Rustavi</w:t>
      </w:r>
      <w:proofErr w:type="spellEnd"/>
      <w:r>
        <w:rPr>
          <w:i/>
          <w:iCs/>
          <w:lang w:val="pl"/>
        </w:rPr>
        <w:t xml:space="preserve"> 2 </w:t>
      </w:r>
      <w:proofErr w:type="spellStart"/>
      <w:r>
        <w:rPr>
          <w:i/>
          <w:iCs/>
          <w:lang w:val="pl"/>
        </w:rPr>
        <w:t>Broadcasting</w:t>
      </w:r>
      <w:proofErr w:type="spellEnd"/>
      <w:r>
        <w:rPr>
          <w:i/>
          <w:iCs/>
          <w:lang w:val="pl"/>
        </w:rPr>
        <w:t xml:space="preserve"> Company </w:t>
      </w:r>
      <w:proofErr w:type="spellStart"/>
      <w:r>
        <w:rPr>
          <w:i/>
          <w:iCs/>
          <w:lang w:val="pl"/>
        </w:rPr>
        <w:t>Ltd</w:t>
      </w:r>
      <w:proofErr w:type="spellEnd"/>
      <w:r>
        <w:rPr>
          <w:i/>
          <w:iCs/>
          <w:lang w:val="pl"/>
        </w:rPr>
        <w:t xml:space="preserve"> i Inni przeciwko Gruzji</w:t>
      </w:r>
      <w:bookmarkEnd w:id="42"/>
      <w:r>
        <w:rPr>
          <w:lang w:val="pl"/>
        </w:rPr>
        <w:t>, nr 16812/17, § 359, 18 lipca 2019 r., i przytoczone tam orzecznictwo). W związku z tym Trybunał uważa, że należy zbadać niniejszą sprawę z obiektywnego punktu widzenia.</w:t>
      </w:r>
    </w:p>
    <w:p w14:paraId="0DCBAC7B" w14:textId="672B89A9"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68</w:t>
      </w:r>
      <w:r>
        <w:rPr>
          <w:lang w:val="pl"/>
        </w:rPr>
        <w:fldChar w:fldCharType="end"/>
      </w:r>
      <w:r>
        <w:rPr>
          <w:lang w:val="pl"/>
        </w:rPr>
        <w:t>.  Trybunał zauważa na wstępie, że prawo krajowe, obowiązujące w</w:t>
      </w:r>
      <w:r w:rsidR="00CF7B21">
        <w:rPr>
          <w:lang w:val="pl"/>
        </w:rPr>
        <w:t> </w:t>
      </w:r>
      <w:r>
        <w:rPr>
          <w:lang w:val="pl"/>
        </w:rPr>
        <w:t xml:space="preserve">czasie istotnym dla sprawy, przewidywało, że prezes SK może wszcząć postępowanie dyscyplinarne przeciwko sędziom i prokuratorom poprzez przeprowadzenie wstępnego postępowania wyjaśniającego i wniesienie skargi dyscyplinarnej. Trybunał zauważa, że uprawnienie to zostało przyznane prezesowi SK 24 grudnia 2015 r., po raz pierwszy od czasu wejścia w życie obecnej </w:t>
      </w:r>
      <w:r w:rsidR="00BF5F97">
        <w:rPr>
          <w:lang w:val="pl"/>
        </w:rPr>
        <w:t>K</w:t>
      </w:r>
      <w:r>
        <w:rPr>
          <w:lang w:val="pl"/>
        </w:rPr>
        <w:t xml:space="preserve">onstytucji w 1975 r.; zostało ono zniesione 23 marca 2021 r. i do tej pory nie zostało przywrócone (zob. paragrafy </w:t>
      </w:r>
      <w:r>
        <w:rPr>
          <w:lang w:val="pl"/>
        </w:rPr>
        <w:fldChar w:fldCharType="begin"/>
      </w:r>
      <w:r>
        <w:rPr>
          <w:lang w:val="pl"/>
        </w:rPr>
        <w:instrText xml:space="preserve"> REF legislativeAMEND1 \h </w:instrText>
      </w:r>
      <w:r>
        <w:rPr>
          <w:lang w:val="pl"/>
        </w:rPr>
      </w:r>
      <w:r>
        <w:rPr>
          <w:lang w:val="pl"/>
        </w:rPr>
        <w:fldChar w:fldCharType="separate"/>
      </w:r>
      <w:r>
        <w:rPr>
          <w:noProof/>
          <w:lang w:val="pl"/>
        </w:rPr>
        <w:t>37</w:t>
      </w:r>
      <w:r>
        <w:rPr>
          <w:lang w:val="pl"/>
        </w:rPr>
        <w:fldChar w:fldCharType="end"/>
      </w:r>
      <w:r>
        <w:rPr>
          <w:lang w:val="pl"/>
        </w:rPr>
        <w:t xml:space="preserve"> i </w:t>
      </w:r>
      <w:r>
        <w:rPr>
          <w:lang w:val="pl"/>
        </w:rPr>
        <w:fldChar w:fldCharType="begin"/>
      </w:r>
      <w:r>
        <w:rPr>
          <w:lang w:val="pl"/>
        </w:rPr>
        <w:instrText xml:space="preserve"> REF legislativeAMEND2 \h  \* MERGEFORMAT </w:instrText>
      </w:r>
      <w:r>
        <w:rPr>
          <w:lang w:val="pl"/>
        </w:rPr>
      </w:r>
      <w:r>
        <w:rPr>
          <w:lang w:val="pl"/>
        </w:rPr>
        <w:fldChar w:fldCharType="separate"/>
      </w:r>
      <w:r>
        <w:rPr>
          <w:lang w:val="pl"/>
        </w:rPr>
        <w:t>38</w:t>
      </w:r>
      <w:r>
        <w:rPr>
          <w:lang w:val="pl"/>
        </w:rPr>
        <w:fldChar w:fldCharType="end"/>
      </w:r>
      <w:r>
        <w:rPr>
          <w:lang w:val="pl"/>
        </w:rPr>
        <w:t xml:space="preserve"> powyżej).</w:t>
      </w:r>
    </w:p>
    <w:p w14:paraId="59A4B4A3" w14:textId="7430EA7A" w:rsidR="00FB1A8A" w:rsidRPr="00CF7B21" w:rsidRDefault="00000000" w:rsidP="00843F1A">
      <w:pPr>
        <w:pStyle w:val="JuPara"/>
        <w:rPr>
          <w:b/>
          <w:bCs/>
          <w:lang w:val="pl-PL"/>
        </w:rPr>
      </w:pPr>
      <w:r>
        <w:rPr>
          <w:lang w:val="pl"/>
        </w:rPr>
        <w:fldChar w:fldCharType="begin"/>
      </w:r>
      <w:r>
        <w:rPr>
          <w:lang w:val="pl"/>
        </w:rPr>
        <w:instrText xml:space="preserve"> SEQ level0 \*arabic \* MERGEFORMAT </w:instrText>
      </w:r>
      <w:r>
        <w:rPr>
          <w:lang w:val="pl"/>
        </w:rPr>
        <w:fldChar w:fldCharType="separate"/>
      </w:r>
      <w:r>
        <w:rPr>
          <w:noProof/>
          <w:lang w:val="pl"/>
        </w:rPr>
        <w:t>69</w:t>
      </w:r>
      <w:r>
        <w:rPr>
          <w:lang w:val="pl"/>
        </w:rPr>
        <w:fldChar w:fldCharType="end"/>
      </w:r>
      <w:r>
        <w:rPr>
          <w:lang w:val="pl"/>
        </w:rPr>
        <w:t xml:space="preserve">.  W niniejszej sprawie rolą V.T. w przedmiotowym postępowaniu dyscyplinarnym było </w:t>
      </w:r>
      <w:proofErr w:type="gramStart"/>
      <w:r>
        <w:rPr>
          <w:lang w:val="pl"/>
        </w:rPr>
        <w:t xml:space="preserve">przeprowadzenie </w:t>
      </w:r>
      <w:r w:rsidR="002A473E">
        <w:rPr>
          <w:lang w:val="pl"/>
        </w:rPr>
        <w:t xml:space="preserve"> fazy</w:t>
      </w:r>
      <w:proofErr w:type="gramEnd"/>
      <w:r w:rsidR="002A473E">
        <w:rPr>
          <w:lang w:val="pl"/>
        </w:rPr>
        <w:t xml:space="preserve"> przygotowawczej</w:t>
      </w:r>
      <w:r>
        <w:rPr>
          <w:lang w:val="pl"/>
        </w:rPr>
        <w:t>, a</w:t>
      </w:r>
      <w:r w:rsidR="00CF7B21">
        <w:rPr>
          <w:lang w:val="pl"/>
        </w:rPr>
        <w:t> </w:t>
      </w:r>
      <w:r>
        <w:rPr>
          <w:lang w:val="pl"/>
        </w:rPr>
        <w:t xml:space="preserve">mianowicie przeprowadzenie wstępnego dochodzenia </w:t>
      </w:r>
      <w:proofErr w:type="gramStart"/>
      <w:r>
        <w:rPr>
          <w:lang w:val="pl"/>
        </w:rPr>
        <w:t>oraz,</w:t>
      </w:r>
      <w:proofErr w:type="gramEnd"/>
      <w:r>
        <w:rPr>
          <w:lang w:val="pl"/>
        </w:rPr>
        <w:t xml:space="preserve"> w razie potrzeby, wszczęcie postępowania dyscyplinarnego. Po wszczęciu postępowania dyscyplinarnego sprawa była dalej rozpatrywana przez komisje dyscyplinarne, w których V.T. nie zasiadała. Przed komisjami skarżąca zgłosiła zastrzeżenia dotyczące </w:t>
      </w:r>
      <w:proofErr w:type="gramStart"/>
      <w:r>
        <w:rPr>
          <w:lang w:val="pl"/>
        </w:rPr>
        <w:t xml:space="preserve">przebiegu </w:t>
      </w:r>
      <w:r w:rsidR="002A473E">
        <w:rPr>
          <w:lang w:val="pl"/>
        </w:rPr>
        <w:t xml:space="preserve"> fazy</w:t>
      </w:r>
      <w:proofErr w:type="gramEnd"/>
      <w:r w:rsidR="002A473E">
        <w:rPr>
          <w:lang w:val="pl"/>
        </w:rPr>
        <w:t xml:space="preserve"> przygotowawczej</w:t>
      </w:r>
      <w:r>
        <w:rPr>
          <w:lang w:val="pl"/>
        </w:rPr>
        <w:t>, w tym w odniesieniu do wniosku o wyłączenie V.T. Skarżąca zarzuciła, że V.T. rozpatrzyła złożony przez skarżącą wniosek o</w:t>
      </w:r>
      <w:r w:rsidR="00CF7B21">
        <w:rPr>
          <w:lang w:val="pl"/>
        </w:rPr>
        <w:t> </w:t>
      </w:r>
      <w:r>
        <w:rPr>
          <w:lang w:val="pl"/>
        </w:rPr>
        <w:t>wyłączenie, co w sposób nieodwracalny naruszyło wymóg bezstronności przewidziany w art. 6 Konwencji. Ponadto zarzuciła, że V.T. oddaliła wniosek o wyłączenie jej z postępowania, wydając publiczne oświadczenie.</w:t>
      </w:r>
    </w:p>
    <w:p w14:paraId="1EB2B5C5" w14:textId="2940FEF7"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70</w:t>
      </w:r>
      <w:r>
        <w:rPr>
          <w:noProof/>
          <w:lang w:val="pl"/>
        </w:rPr>
        <w:fldChar w:fldCharType="end"/>
      </w:r>
      <w:r>
        <w:rPr>
          <w:lang w:val="pl"/>
        </w:rPr>
        <w:t xml:space="preserve">.  Trybunał zauważa ponadto, że – jak wskazał Rząd – wniosek skarżącej o wyłączenie oraz zarzuty dotyczące bezstronności V.T. zostały rozpatrzone przez komisje dyscyplinarne SK i ostatecznie oddalone co do istoty przez dziewięcioosobową komisję dyscyplinarną (zob. paragrafy </w:t>
      </w:r>
      <w:r>
        <w:rPr>
          <w:lang w:val="pl"/>
        </w:rPr>
        <w:fldChar w:fldCharType="begin"/>
      </w:r>
      <w:r>
        <w:rPr>
          <w:lang w:val="pl"/>
        </w:rPr>
        <w:instrText xml:space="preserve"> REF council7dismissrecusal \h  \* MERGEFORMAT </w:instrText>
      </w:r>
      <w:r>
        <w:rPr>
          <w:lang w:val="pl"/>
        </w:rPr>
      </w:r>
      <w:r>
        <w:rPr>
          <w:lang w:val="pl"/>
        </w:rPr>
        <w:fldChar w:fldCharType="separate"/>
      </w:r>
      <w:r>
        <w:rPr>
          <w:lang w:val="pl"/>
        </w:rPr>
        <w:t>23</w:t>
      </w:r>
      <w:r>
        <w:rPr>
          <w:lang w:val="pl"/>
        </w:rPr>
        <w:fldChar w:fldCharType="end"/>
      </w:r>
      <w:r>
        <w:rPr>
          <w:lang w:val="pl"/>
        </w:rPr>
        <w:t xml:space="preserve"> i</w:t>
      </w:r>
      <w:r w:rsidR="00CF7B21">
        <w:rPr>
          <w:lang w:val="pl"/>
        </w:rPr>
        <w:t> </w:t>
      </w:r>
      <w:r>
        <w:rPr>
          <w:lang w:val="pl"/>
        </w:rPr>
        <w:fldChar w:fldCharType="begin"/>
      </w:r>
      <w:r>
        <w:rPr>
          <w:lang w:val="pl"/>
        </w:rPr>
        <w:instrText xml:space="preserve"> REF councilNINEdismissrecusal \h  \* MERGEFORMAT </w:instrText>
      </w:r>
      <w:r>
        <w:rPr>
          <w:lang w:val="pl"/>
        </w:rPr>
      </w:r>
      <w:r>
        <w:rPr>
          <w:lang w:val="pl"/>
        </w:rPr>
        <w:fldChar w:fldCharType="separate"/>
      </w:r>
      <w:r>
        <w:rPr>
          <w:lang w:val="pl"/>
        </w:rPr>
        <w:t>27</w:t>
      </w:r>
      <w:r>
        <w:rPr>
          <w:lang w:val="pl"/>
        </w:rPr>
        <w:fldChar w:fldCharType="end"/>
      </w:r>
      <w:r>
        <w:rPr>
          <w:lang w:val="pl"/>
        </w:rPr>
        <w:t>–</w:t>
      </w:r>
      <w:r>
        <w:rPr>
          <w:lang w:val="pl"/>
        </w:rPr>
        <w:fldChar w:fldCharType="begin"/>
      </w:r>
      <w:r>
        <w:rPr>
          <w:lang w:val="pl"/>
        </w:rPr>
        <w:instrText xml:space="preserve"> REF CouncilDismissesRecusalGrounds \h </w:instrText>
      </w:r>
      <w:r>
        <w:rPr>
          <w:lang w:val="pl"/>
        </w:rPr>
      </w:r>
      <w:r>
        <w:rPr>
          <w:lang w:val="pl"/>
        </w:rPr>
        <w:fldChar w:fldCharType="separate"/>
      </w:r>
      <w:r>
        <w:rPr>
          <w:noProof/>
          <w:lang w:val="pl"/>
        </w:rPr>
        <w:t>29</w:t>
      </w:r>
      <w:r>
        <w:rPr>
          <w:lang w:val="pl"/>
        </w:rPr>
        <w:fldChar w:fldCharType="end"/>
      </w:r>
      <w:r>
        <w:rPr>
          <w:lang w:val="pl"/>
        </w:rPr>
        <w:t xml:space="preserve"> powyżej).</w:t>
      </w:r>
    </w:p>
    <w:p w14:paraId="48F41744" w14:textId="437EB6D4" w:rsidR="00FB1A8A" w:rsidRPr="00CF7B21" w:rsidRDefault="00FB1A8A" w:rsidP="00843F1A">
      <w:pPr>
        <w:pStyle w:val="JuPara"/>
        <w:rPr>
          <w:lang w:val="pl"/>
        </w:rPr>
      </w:pPr>
      <w:r>
        <w:fldChar w:fldCharType="begin"/>
      </w:r>
      <w:r w:rsidRPr="00CF7B21">
        <w:rPr>
          <w:lang w:val="pl-PL"/>
        </w:rPr>
        <w:instrText xml:space="preserve"> SEQ level0 \*arabic \* MERGEFORMAT </w:instrText>
      </w:r>
      <w:r>
        <w:fldChar w:fldCharType="separate"/>
      </w:r>
      <w:r>
        <w:rPr>
          <w:noProof/>
          <w:lang w:val="pl"/>
        </w:rPr>
        <w:t>71</w:t>
      </w:r>
      <w:r>
        <w:rPr>
          <w:noProof/>
          <w:lang w:val="pl"/>
        </w:rPr>
        <w:fldChar w:fldCharType="end"/>
      </w:r>
      <w:r>
        <w:rPr>
          <w:lang w:val="pl"/>
        </w:rPr>
        <w:t>.  Trybunał przypomina, że nawet w sytuacji, gdy organ orzekający lub administracyjny rozstrzygający spory dotyczące „praw i obowiązków o</w:t>
      </w:r>
      <w:r w:rsidR="00CF7B21">
        <w:rPr>
          <w:lang w:val="pl"/>
        </w:rPr>
        <w:t> </w:t>
      </w:r>
      <w:r>
        <w:rPr>
          <w:lang w:val="pl"/>
        </w:rPr>
        <w:t>charakterze cywilnym” nie spełnia pod jakimś względem wymogów art. 6 ust. 1, nie można stwierdzić naruszenia Konwencji, jeżeli postępowanie przed tym organem „podlega późniejszej kontroli organu sądowego, który ma pełną właściwość i zapewnia gwarancje wynikające z art. 6 ust. 1” (</w:t>
      </w:r>
      <w:bookmarkStart w:id="43" w:name="_cl24379THELAW"/>
      <w:r>
        <w:rPr>
          <w:lang w:val="pl"/>
        </w:rPr>
        <w:t xml:space="preserve">zob. </w:t>
      </w:r>
      <w:r>
        <w:rPr>
          <w:i/>
          <w:iCs/>
          <w:lang w:val="pl"/>
        </w:rPr>
        <w:t xml:space="preserve">Ramos </w:t>
      </w:r>
      <w:proofErr w:type="spellStart"/>
      <w:r>
        <w:rPr>
          <w:i/>
          <w:iCs/>
          <w:lang w:val="pl"/>
        </w:rPr>
        <w:t>Nunes</w:t>
      </w:r>
      <w:proofErr w:type="spellEnd"/>
      <w:r>
        <w:rPr>
          <w:i/>
          <w:iCs/>
          <w:lang w:val="pl"/>
        </w:rPr>
        <w:t xml:space="preserve"> de </w:t>
      </w:r>
      <w:proofErr w:type="spellStart"/>
      <w:r>
        <w:rPr>
          <w:i/>
          <w:iCs/>
          <w:lang w:val="pl"/>
        </w:rPr>
        <w:t>Carvalho</w:t>
      </w:r>
      <w:proofErr w:type="spellEnd"/>
      <w:r>
        <w:rPr>
          <w:i/>
          <w:iCs/>
          <w:lang w:val="pl"/>
        </w:rPr>
        <w:t xml:space="preserve"> e </w:t>
      </w:r>
      <w:proofErr w:type="spellStart"/>
      <w:r>
        <w:rPr>
          <w:i/>
          <w:iCs/>
          <w:lang w:val="pl"/>
        </w:rPr>
        <w:t>Sá</w:t>
      </w:r>
      <w:proofErr w:type="spellEnd"/>
      <w:r>
        <w:rPr>
          <w:lang w:val="pl"/>
        </w:rPr>
        <w:t xml:space="preserve">, </w:t>
      </w:r>
      <w:proofErr w:type="spellStart"/>
      <w:r>
        <w:rPr>
          <w:i/>
          <w:iCs/>
          <w:lang w:val="pl"/>
        </w:rPr>
        <w:t>op.cit</w:t>
      </w:r>
      <w:proofErr w:type="spellEnd"/>
      <w:r>
        <w:rPr>
          <w:i/>
          <w:iCs/>
          <w:lang w:val="pl"/>
        </w:rPr>
        <w:t>.,</w:t>
      </w:r>
      <w:r>
        <w:rPr>
          <w:lang w:val="pl"/>
        </w:rPr>
        <w:t xml:space="preserve"> § 132, oraz</w:t>
      </w:r>
      <w:r w:rsidR="00B70007">
        <w:rPr>
          <w:lang w:val="pl"/>
        </w:rPr>
        <w:t xml:space="preserve"> </w:t>
      </w:r>
      <w:proofErr w:type="spellStart"/>
      <w:r>
        <w:rPr>
          <w:i/>
          <w:iCs/>
          <w:lang w:val="pl"/>
        </w:rPr>
        <w:t>Denisov</w:t>
      </w:r>
      <w:proofErr w:type="spellEnd"/>
      <w:r>
        <w:rPr>
          <w:i/>
          <w:iCs/>
          <w:lang w:val="pl"/>
        </w:rPr>
        <w:t xml:space="preserve"> przeciwko Ukrainie</w:t>
      </w:r>
      <w:bookmarkEnd w:id="43"/>
      <w:r>
        <w:rPr>
          <w:lang w:val="pl"/>
        </w:rPr>
        <w:t xml:space="preserve"> [WI], nr 76639/11, § 65, 25 września 2018 r.).</w:t>
      </w:r>
    </w:p>
    <w:p w14:paraId="572D573B" w14:textId="13A04C54"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72</w:t>
      </w:r>
      <w:r>
        <w:rPr>
          <w:noProof/>
          <w:lang w:val="pl"/>
        </w:rPr>
        <w:fldChar w:fldCharType="end"/>
      </w:r>
      <w:r>
        <w:rPr>
          <w:lang w:val="pl"/>
        </w:rPr>
        <w:t>.  Trybunał ustalił, że komisje dyscyplinarne SK stanowiły „sąd” w</w:t>
      </w:r>
      <w:r w:rsidR="00CF7B21">
        <w:rPr>
          <w:lang w:val="pl"/>
        </w:rPr>
        <w:t> </w:t>
      </w:r>
      <w:r>
        <w:rPr>
          <w:lang w:val="pl"/>
        </w:rPr>
        <w:t xml:space="preserve">rozumieniu art. 6 ust. 1 Konwencji i że miały </w:t>
      </w:r>
      <w:proofErr w:type="gramStart"/>
      <w:r>
        <w:rPr>
          <w:lang w:val="pl"/>
        </w:rPr>
        <w:t xml:space="preserve">pełną </w:t>
      </w:r>
      <w:r w:rsidR="00B70007">
        <w:rPr>
          <w:lang w:val="pl"/>
        </w:rPr>
        <w:t xml:space="preserve"> jurysdykcję</w:t>
      </w:r>
      <w:proofErr w:type="gramEnd"/>
      <w:r w:rsidR="00B70007">
        <w:rPr>
          <w:lang w:val="pl"/>
        </w:rPr>
        <w:t xml:space="preserve"> </w:t>
      </w:r>
      <w:r>
        <w:rPr>
          <w:lang w:val="pl"/>
        </w:rPr>
        <w:t>w</w:t>
      </w:r>
      <w:r w:rsidR="00CF7B21">
        <w:rPr>
          <w:lang w:val="pl"/>
        </w:rPr>
        <w:t> </w:t>
      </w:r>
      <w:r>
        <w:rPr>
          <w:lang w:val="pl"/>
        </w:rPr>
        <w:t>przedmiotowej sprawie (zob. paragrafy </w:t>
      </w:r>
      <w:r>
        <w:rPr>
          <w:lang w:val="pl"/>
        </w:rPr>
        <w:fldChar w:fldCharType="begin"/>
      </w:r>
      <w:r>
        <w:rPr>
          <w:lang w:val="pl"/>
        </w:rPr>
        <w:instrText xml:space="preserve"> REF ADMISSIBILITYtribunal1 \h  \* MERGEFORMAT </w:instrText>
      </w:r>
      <w:r>
        <w:rPr>
          <w:lang w:val="pl"/>
        </w:rPr>
      </w:r>
      <w:r>
        <w:rPr>
          <w:lang w:val="pl"/>
        </w:rPr>
        <w:fldChar w:fldCharType="separate"/>
      </w:r>
      <w:r>
        <w:rPr>
          <w:lang w:val="pl"/>
        </w:rPr>
        <w:t>55</w:t>
      </w:r>
      <w:r>
        <w:rPr>
          <w:lang w:val="pl"/>
        </w:rPr>
        <w:fldChar w:fldCharType="end"/>
      </w:r>
      <w:r>
        <w:rPr>
          <w:lang w:val="pl"/>
        </w:rPr>
        <w:t>–</w:t>
      </w:r>
      <w:r>
        <w:rPr>
          <w:lang w:val="pl"/>
        </w:rPr>
        <w:fldChar w:fldCharType="begin"/>
      </w:r>
      <w:r>
        <w:rPr>
          <w:lang w:val="pl"/>
        </w:rPr>
        <w:instrText xml:space="preserve"> REF ADMISSIBILITYtribunal2 \h  \* MERGEFORMAT </w:instrText>
      </w:r>
      <w:r>
        <w:rPr>
          <w:lang w:val="pl"/>
        </w:rPr>
      </w:r>
      <w:r>
        <w:rPr>
          <w:lang w:val="pl"/>
        </w:rPr>
        <w:fldChar w:fldCharType="separate"/>
      </w:r>
      <w:r>
        <w:rPr>
          <w:lang w:val="pl"/>
        </w:rPr>
        <w:t>56</w:t>
      </w:r>
      <w:r>
        <w:rPr>
          <w:lang w:val="pl"/>
        </w:rPr>
        <w:fldChar w:fldCharType="end"/>
      </w:r>
      <w:r>
        <w:rPr>
          <w:lang w:val="pl"/>
        </w:rPr>
        <w:t xml:space="preserve"> powyżej). W takich okolicznościach</w:t>
      </w:r>
      <w:r w:rsidR="00BF5F97">
        <w:rPr>
          <w:lang w:val="pl"/>
        </w:rPr>
        <w:t>,</w:t>
      </w:r>
      <w:r>
        <w:rPr>
          <w:lang w:val="pl"/>
        </w:rPr>
        <w:t xml:space="preserve"> Trybunał ograniczy rozpatrywanie do kwestii rzetelności postępowania przed komisjami dyscyplinarnymi SK.</w:t>
      </w:r>
    </w:p>
    <w:p w14:paraId="01784FE0" w14:textId="079CDC41" w:rsidR="00FB1A8A" w:rsidRPr="00CF7B21" w:rsidRDefault="00FB1A8A" w:rsidP="00843F1A">
      <w:pPr>
        <w:pStyle w:val="JuPara"/>
        <w:rPr>
          <w:lang w:val="pl-PL"/>
        </w:rPr>
      </w:pPr>
      <w:r>
        <w:lastRenderedPageBreak/>
        <w:fldChar w:fldCharType="begin"/>
      </w:r>
      <w:r w:rsidRPr="00CF7B21">
        <w:rPr>
          <w:lang w:val="pl-PL"/>
        </w:rPr>
        <w:instrText xml:space="preserve"> SEQ level0 \*arabic \* MERGEFORMAT </w:instrText>
      </w:r>
      <w:r>
        <w:fldChar w:fldCharType="separate"/>
      </w:r>
      <w:r>
        <w:rPr>
          <w:noProof/>
          <w:lang w:val="pl"/>
        </w:rPr>
        <w:t>73</w:t>
      </w:r>
      <w:r>
        <w:rPr>
          <w:noProof/>
          <w:lang w:val="pl"/>
        </w:rPr>
        <w:fldChar w:fldCharType="end"/>
      </w:r>
      <w:r>
        <w:rPr>
          <w:lang w:val="pl"/>
        </w:rPr>
        <w:t>.  Trybunał stwierdził już wcześniej w sprawach dotyczących rzetelności postępowań cywilnych, że publiczne wypowiedzi wysokich rangą urzędników państwowych mogą – ze względu na ich treść i sposób, w jaki zostały wygłoszone – być niezgodne z pojęciem „niezawisłego i</w:t>
      </w:r>
      <w:r w:rsidR="00CF7B21">
        <w:rPr>
          <w:lang w:val="pl"/>
        </w:rPr>
        <w:t> </w:t>
      </w:r>
      <w:r>
        <w:rPr>
          <w:lang w:val="pl"/>
        </w:rPr>
        <w:t xml:space="preserve">bezstronnego sądu” w rozumieniu art. 6 ust. 1 Konwencji (zob. </w:t>
      </w:r>
      <w:proofErr w:type="spellStart"/>
      <w:r>
        <w:rPr>
          <w:i/>
          <w:iCs/>
          <w:lang w:val="pl"/>
        </w:rPr>
        <w:t>Čivinskaitė</w:t>
      </w:r>
      <w:proofErr w:type="spellEnd"/>
      <w:r>
        <w:rPr>
          <w:lang w:val="pl"/>
        </w:rPr>
        <w:t xml:space="preserve">, </w:t>
      </w:r>
      <w:proofErr w:type="spellStart"/>
      <w:r>
        <w:rPr>
          <w:i/>
          <w:iCs/>
          <w:lang w:val="pl"/>
        </w:rPr>
        <w:t>op.cit</w:t>
      </w:r>
      <w:proofErr w:type="spellEnd"/>
      <w:r>
        <w:rPr>
          <w:lang w:val="pl"/>
        </w:rPr>
        <w:t>, §117, i przytoczone tam orzecznictwo). Trybunał stwierdził również, że nie chodziło tu o faktyczne dowody wywierania wpływu lub nacisku na sędziów, lecz o znaczenie pozorów bezstronności (tamże).</w:t>
      </w:r>
    </w:p>
    <w:bookmarkStart w:id="44" w:name="LawScope2"/>
    <w:p w14:paraId="7F9CE4E4" w14:textId="40E4BDFC"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74</w:t>
      </w:r>
      <w:r>
        <w:rPr>
          <w:lang w:val="pl"/>
        </w:rPr>
        <w:fldChar w:fldCharType="end"/>
      </w:r>
      <w:bookmarkEnd w:id="44"/>
      <w:r>
        <w:rPr>
          <w:lang w:val="pl"/>
        </w:rPr>
        <w:t>.  W związku z tym</w:t>
      </w:r>
      <w:r w:rsidR="00BF5F97">
        <w:rPr>
          <w:lang w:val="pl"/>
        </w:rPr>
        <w:t>,</w:t>
      </w:r>
      <w:r>
        <w:rPr>
          <w:lang w:val="pl"/>
        </w:rPr>
        <w:t xml:space="preserve"> Trybunał uważa, że zarzuty skarżącej należy rozpatrzyć pod kątem wpływu oświadczenia złożonego przez V.T. na niezależność i bezstronność postępowania przed komisjami dyscyplinarnymi SK (zob. </w:t>
      </w:r>
      <w:proofErr w:type="spellStart"/>
      <w:r>
        <w:rPr>
          <w:i/>
          <w:iCs/>
          <w:lang w:val="pl"/>
        </w:rPr>
        <w:t>Čivinskaitė</w:t>
      </w:r>
      <w:proofErr w:type="spellEnd"/>
      <w:r>
        <w:rPr>
          <w:lang w:val="pl"/>
        </w:rPr>
        <w:t xml:space="preserve">, </w:t>
      </w:r>
      <w:proofErr w:type="spellStart"/>
      <w:r>
        <w:rPr>
          <w:i/>
          <w:iCs/>
          <w:lang w:val="pl"/>
        </w:rPr>
        <w:t>op.cit</w:t>
      </w:r>
      <w:proofErr w:type="spellEnd"/>
      <w:r>
        <w:rPr>
          <w:i/>
          <w:iCs/>
          <w:lang w:val="pl"/>
        </w:rPr>
        <w:t xml:space="preserve">., </w:t>
      </w:r>
      <w:r>
        <w:rPr>
          <w:lang w:val="pl"/>
        </w:rPr>
        <w:t>§ 118). W swojej analizie</w:t>
      </w:r>
      <w:r w:rsidR="00BF5F97">
        <w:rPr>
          <w:lang w:val="pl"/>
        </w:rPr>
        <w:t>,</w:t>
      </w:r>
      <w:r>
        <w:rPr>
          <w:lang w:val="pl"/>
        </w:rPr>
        <w:t xml:space="preserve"> Trybunał oceni treść oświadczenia V.T. i kontekst, w którym zostało ono złożone, koncentrując się na pozycji instytucjonalnej V.T., statusie skarżącej jako funkcjonariusza wymiaru sprawiedliwości oraz kontroli zapewnianej przez komisje dyscyplinarne SK.</w:t>
      </w:r>
    </w:p>
    <w:p w14:paraId="4105F897" w14:textId="77777777" w:rsidR="00FB1A8A" w:rsidRPr="00CF7B21" w:rsidRDefault="00000000" w:rsidP="00843F1A">
      <w:pPr>
        <w:pStyle w:val="JuHi"/>
        <w:rPr>
          <w:lang w:val="pl-PL"/>
        </w:rPr>
      </w:pPr>
      <w:bookmarkStart w:id="45" w:name="examinesubstancePRESS"/>
      <w:r>
        <w:rPr>
          <w:bCs w:val="0"/>
          <w:lang w:val="pl"/>
        </w:rPr>
        <w:t>Wpływ publicznego oświadczenia V.T. na niezależność i bezstronność postępowań przed komisjami dyscyplinarnymi SK</w:t>
      </w:r>
    </w:p>
    <w:p w14:paraId="1D1E7E51" w14:textId="5B856F33"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75</w:t>
      </w:r>
      <w:r>
        <w:rPr>
          <w:noProof/>
          <w:lang w:val="pl"/>
        </w:rPr>
        <w:fldChar w:fldCharType="end"/>
      </w:r>
      <w:bookmarkEnd w:id="45"/>
      <w:r>
        <w:rPr>
          <w:lang w:val="pl"/>
        </w:rPr>
        <w:t>.  Trybunał zauważa na wstępie, że V.T. wydała jako prezes SK oficjalny komunikat prasowy, w którym wspomniała, że „walczy z</w:t>
      </w:r>
      <w:r w:rsidR="00CF7B21">
        <w:rPr>
          <w:lang w:val="pl"/>
        </w:rPr>
        <w:t> </w:t>
      </w:r>
      <w:r>
        <w:rPr>
          <w:lang w:val="pl"/>
        </w:rPr>
        <w:t>potężnymi, powiązanymi ze sobą grupami interesów”, wymieniła skarżącą z imienia i nazwiska, odniosła się do toczącego się przeciwko niej postępowania dyscyplinarnego, przeanalizowała zasadność wniosku o</w:t>
      </w:r>
      <w:r w:rsidR="00CF7B21">
        <w:rPr>
          <w:lang w:val="pl"/>
        </w:rPr>
        <w:t> </w:t>
      </w:r>
      <w:r>
        <w:rPr>
          <w:lang w:val="pl"/>
        </w:rPr>
        <w:t>wyłączenie w oparciu o orzecznictwo SK oraz stwierdziła, że wniosek skarżącej o wyłączenie był bezzasadny i stanowił „nadużycie praw procesowych” (zob. paragraf </w:t>
      </w:r>
      <w:r>
        <w:rPr>
          <w:lang w:val="pl"/>
        </w:rPr>
        <w:fldChar w:fldCharType="begin"/>
      </w:r>
      <w:r>
        <w:rPr>
          <w:lang w:val="pl"/>
        </w:rPr>
        <w:instrText xml:space="preserve"> REF pressRelease \h  \* MERGEFORMAT </w:instrText>
      </w:r>
      <w:r>
        <w:rPr>
          <w:lang w:val="pl"/>
        </w:rPr>
      </w:r>
      <w:r>
        <w:rPr>
          <w:lang w:val="pl"/>
        </w:rPr>
        <w:fldChar w:fldCharType="separate"/>
      </w:r>
      <w:r>
        <w:rPr>
          <w:noProof/>
          <w:lang w:val="pl"/>
        </w:rPr>
        <w:t>32</w:t>
      </w:r>
      <w:r>
        <w:rPr>
          <w:lang w:val="pl"/>
        </w:rPr>
        <w:fldChar w:fldCharType="end"/>
      </w:r>
      <w:r>
        <w:rPr>
          <w:lang w:val="pl"/>
        </w:rPr>
        <w:t xml:space="preserve"> powyżej; por. </w:t>
      </w:r>
      <w:proofErr w:type="spellStart"/>
      <w:r>
        <w:rPr>
          <w:i/>
          <w:iCs/>
          <w:lang w:val="pl"/>
        </w:rPr>
        <w:t>Čivinskaitė</w:t>
      </w:r>
      <w:proofErr w:type="spellEnd"/>
      <w:r>
        <w:rPr>
          <w:lang w:val="pl"/>
        </w:rPr>
        <w:t xml:space="preserve">, </w:t>
      </w:r>
      <w:proofErr w:type="spellStart"/>
      <w:r>
        <w:rPr>
          <w:i/>
          <w:iCs/>
          <w:lang w:val="pl"/>
        </w:rPr>
        <w:t>op.cit</w:t>
      </w:r>
      <w:proofErr w:type="spellEnd"/>
      <w:r>
        <w:rPr>
          <w:i/>
          <w:iCs/>
          <w:lang w:val="pl"/>
        </w:rPr>
        <w:t>.</w:t>
      </w:r>
      <w:r>
        <w:rPr>
          <w:lang w:val="pl"/>
        </w:rPr>
        <w:t xml:space="preserve">, §§ 132–36). Komunikat prasowy został częściowo </w:t>
      </w:r>
      <w:r w:rsidR="002E61ED">
        <w:rPr>
          <w:lang w:val="pl"/>
        </w:rPr>
        <w:t xml:space="preserve">opublikowany </w:t>
      </w:r>
      <w:r>
        <w:rPr>
          <w:lang w:val="pl"/>
        </w:rPr>
        <w:t xml:space="preserve">w artykule prasowym, w którym zacytowano wypowiedź V.T. dotyczącą toczącego się postępowania dyscyplinarnego oraz skarżącej, a także powtórzono jej opinię, że wniosek skarżącej o wyłączenie był „bezzasadny” i stanowił „nadużycie praw procesowych” (zob. paragraf </w:t>
      </w:r>
      <w:r>
        <w:rPr>
          <w:lang w:val="pl"/>
        </w:rPr>
        <w:fldChar w:fldCharType="begin"/>
      </w:r>
      <w:r>
        <w:rPr>
          <w:lang w:val="pl"/>
        </w:rPr>
        <w:instrText xml:space="preserve"> REF PressArticle \h </w:instrText>
      </w:r>
      <w:r>
        <w:rPr>
          <w:lang w:val="pl"/>
        </w:rPr>
      </w:r>
      <w:r>
        <w:rPr>
          <w:lang w:val="pl"/>
        </w:rPr>
        <w:fldChar w:fldCharType="separate"/>
      </w:r>
      <w:r>
        <w:rPr>
          <w:noProof/>
          <w:lang w:val="pl"/>
        </w:rPr>
        <w:t>33</w:t>
      </w:r>
      <w:r>
        <w:rPr>
          <w:lang w:val="pl"/>
        </w:rPr>
        <w:fldChar w:fldCharType="end"/>
      </w:r>
      <w:r>
        <w:rPr>
          <w:lang w:val="pl"/>
        </w:rPr>
        <w:t xml:space="preserve"> powyżej).</w:t>
      </w:r>
    </w:p>
    <w:p w14:paraId="35E0AB83" w14:textId="07232B57"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76</w:t>
      </w:r>
      <w:r>
        <w:rPr>
          <w:noProof/>
          <w:lang w:val="pl"/>
        </w:rPr>
        <w:fldChar w:fldCharType="end"/>
      </w:r>
      <w:r>
        <w:rPr>
          <w:lang w:val="pl"/>
        </w:rPr>
        <w:t>.  Trybunał zauważa ponadto, że z obowiązujących przepisów wynika, iż postępowania dyscyplinarne mają charakter poufny zgodnie z prawem krajowym (zob. paragraf </w:t>
      </w:r>
      <w:r>
        <w:rPr>
          <w:lang w:val="pl"/>
        </w:rPr>
        <w:fldChar w:fldCharType="begin"/>
      </w:r>
      <w:r>
        <w:rPr>
          <w:lang w:val="pl"/>
        </w:rPr>
        <w:instrText xml:space="preserve"> REF codeofcourts \h </w:instrText>
      </w:r>
      <w:r>
        <w:rPr>
          <w:lang w:val="pl"/>
        </w:rPr>
      </w:r>
      <w:r>
        <w:rPr>
          <w:lang w:val="pl"/>
        </w:rPr>
        <w:fldChar w:fldCharType="separate"/>
      </w:r>
      <w:r>
        <w:rPr>
          <w:rFonts w:ascii="Times New Roman" w:hAnsi="Times New Roman"/>
          <w:noProof/>
          <w:lang w:val="pl"/>
        </w:rPr>
        <w:t>36</w:t>
      </w:r>
      <w:r>
        <w:rPr>
          <w:lang w:val="pl"/>
        </w:rPr>
        <w:fldChar w:fldCharType="end"/>
      </w:r>
      <w:r>
        <w:rPr>
          <w:lang w:val="pl"/>
        </w:rPr>
        <w:t xml:space="preserve"> powyżej). W związku z tym</w:t>
      </w:r>
      <w:r w:rsidR="002E61ED">
        <w:rPr>
          <w:lang w:val="pl"/>
        </w:rPr>
        <w:t>,</w:t>
      </w:r>
      <w:r>
        <w:rPr>
          <w:lang w:val="pl"/>
        </w:rPr>
        <w:t xml:space="preserve"> Trybunał z</w:t>
      </w:r>
      <w:r w:rsidR="00CF7B21">
        <w:rPr>
          <w:lang w:val="pl"/>
        </w:rPr>
        <w:t> </w:t>
      </w:r>
      <w:r>
        <w:rPr>
          <w:lang w:val="pl"/>
        </w:rPr>
        <w:t>niepokojem odnotowuje, że V.T. opublikowała oficjalny komunikat prasowy, mimo że wstępne postępowanie wyjaśniające było nadal w toku.</w:t>
      </w:r>
    </w:p>
    <w:bookmarkStart w:id="46" w:name="LawInstitutionalPosition1"/>
    <w:p w14:paraId="0720A260" w14:textId="7173CE5D"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77</w:t>
      </w:r>
      <w:r>
        <w:rPr>
          <w:lang w:val="pl"/>
        </w:rPr>
        <w:fldChar w:fldCharType="end"/>
      </w:r>
      <w:bookmarkEnd w:id="46"/>
      <w:r>
        <w:rPr>
          <w:lang w:val="pl"/>
        </w:rPr>
        <w:t>.  Trybunał zauważa, że w momencie wydania wspomnianego komunikatu prasowego V.T. pełniła nie tylko funkcję przewodniczącej składu orzekającego w sprawie dyscyplinarnej skarżącej. Prezes SK zajmuje wyjątkową pozycję instytucjonalną w greckim porządku prawnym, będąc najwyższym rangą sędzią w jurysdykcji cywilnej i karnej. Jak stwierdzono w</w:t>
      </w:r>
      <w:r w:rsidR="00CF7B21">
        <w:rPr>
          <w:lang w:val="pl"/>
        </w:rPr>
        <w:t> </w:t>
      </w:r>
      <w:r>
        <w:rPr>
          <w:lang w:val="pl"/>
        </w:rPr>
        <w:t xml:space="preserve">uzasadnieniu do przepisu przyznającego prezesowi SK uprawnienia dyscyplinarne, „prezes […]  sprawował ogólny nadzór i kontrolę nad </w:t>
      </w:r>
      <w:r>
        <w:rPr>
          <w:lang w:val="pl"/>
        </w:rPr>
        <w:lastRenderedPageBreak/>
        <w:t>wszystkimi sędziami” (zob. paragraf </w:t>
      </w:r>
      <w:r>
        <w:rPr>
          <w:lang w:val="pl"/>
        </w:rPr>
        <w:fldChar w:fldCharType="begin"/>
      </w:r>
      <w:r>
        <w:rPr>
          <w:lang w:val="pl"/>
        </w:rPr>
        <w:instrText xml:space="preserve"> REF legislativeAMEND1 \h  \* MERGEFORMAT </w:instrText>
      </w:r>
      <w:r>
        <w:rPr>
          <w:lang w:val="pl"/>
        </w:rPr>
      </w:r>
      <w:r>
        <w:rPr>
          <w:lang w:val="pl"/>
        </w:rPr>
        <w:fldChar w:fldCharType="separate"/>
      </w:r>
      <w:r>
        <w:rPr>
          <w:lang w:val="pl"/>
        </w:rPr>
        <w:t>37</w:t>
      </w:r>
      <w:r>
        <w:rPr>
          <w:lang w:val="pl"/>
        </w:rPr>
        <w:fldChar w:fldCharType="end"/>
      </w:r>
      <w:r>
        <w:rPr>
          <w:lang w:val="pl"/>
        </w:rPr>
        <w:t xml:space="preserve"> powyżej). Z obowiązujących przepisów ogólnych wynika, że prezes SK odgrywa </w:t>
      </w:r>
      <w:r w:rsidR="002E61ED">
        <w:rPr>
          <w:lang w:val="pl"/>
        </w:rPr>
        <w:t xml:space="preserve">kluczową </w:t>
      </w:r>
      <w:r>
        <w:rPr>
          <w:lang w:val="pl"/>
        </w:rPr>
        <w:t>rolę w</w:t>
      </w:r>
      <w:r w:rsidR="00CF7B21">
        <w:rPr>
          <w:lang w:val="pl"/>
        </w:rPr>
        <w:t> </w:t>
      </w:r>
      <w:r>
        <w:rPr>
          <w:lang w:val="pl"/>
        </w:rPr>
        <w:t xml:space="preserve">karierach sędziów cywilnych i karnych, </w:t>
      </w:r>
      <w:r w:rsidR="002E61ED">
        <w:rPr>
          <w:lang w:val="pl"/>
        </w:rPr>
        <w:t xml:space="preserve">pełniąc funkcję </w:t>
      </w:r>
      <w:r>
        <w:rPr>
          <w:lang w:val="pl"/>
        </w:rPr>
        <w:t>przewodnicząc</w:t>
      </w:r>
      <w:r w:rsidR="002E61ED">
        <w:rPr>
          <w:lang w:val="pl"/>
        </w:rPr>
        <w:t>ego</w:t>
      </w:r>
      <w:r>
        <w:rPr>
          <w:lang w:val="pl"/>
        </w:rPr>
        <w:t xml:space="preserve"> Najwyższej Rady Sądownictwa, organu, który </w:t>
      </w:r>
      <w:r w:rsidR="002E61ED">
        <w:rPr>
          <w:lang w:val="pl"/>
        </w:rPr>
        <w:t xml:space="preserve">podejmuje decyzje w sprawie </w:t>
      </w:r>
      <w:proofErr w:type="gramStart"/>
      <w:r w:rsidR="002E61ED">
        <w:rPr>
          <w:lang w:val="pl"/>
        </w:rPr>
        <w:t xml:space="preserve">awansów </w:t>
      </w:r>
      <w:r>
        <w:rPr>
          <w:lang w:val="pl"/>
        </w:rPr>
        <w:t xml:space="preserve"> ,</w:t>
      </w:r>
      <w:proofErr w:type="gramEnd"/>
      <w:r>
        <w:rPr>
          <w:lang w:val="pl"/>
        </w:rPr>
        <w:t xml:space="preserve"> </w:t>
      </w:r>
      <w:r w:rsidR="00754C7D">
        <w:rPr>
          <w:lang w:val="pl"/>
        </w:rPr>
        <w:t xml:space="preserve"> przydział</w:t>
      </w:r>
      <w:r w:rsidR="002E61ED">
        <w:rPr>
          <w:lang w:val="pl"/>
        </w:rPr>
        <w:t>ów</w:t>
      </w:r>
      <w:r>
        <w:rPr>
          <w:lang w:val="pl"/>
        </w:rPr>
        <w:t xml:space="preserve">, </w:t>
      </w:r>
      <w:r w:rsidR="002E61ED">
        <w:rPr>
          <w:lang w:val="pl"/>
        </w:rPr>
        <w:t xml:space="preserve">przeniesień </w:t>
      </w:r>
      <w:r>
        <w:rPr>
          <w:lang w:val="pl"/>
        </w:rPr>
        <w:t xml:space="preserve">i </w:t>
      </w:r>
      <w:proofErr w:type="spellStart"/>
      <w:r w:rsidR="002E61ED">
        <w:rPr>
          <w:lang w:val="pl"/>
        </w:rPr>
        <w:t>oddelegowań</w:t>
      </w:r>
      <w:proofErr w:type="spellEnd"/>
      <w:r w:rsidR="002E61ED">
        <w:rPr>
          <w:lang w:val="pl"/>
        </w:rPr>
        <w:t xml:space="preserve"> </w:t>
      </w:r>
      <w:r>
        <w:rPr>
          <w:lang w:val="pl"/>
        </w:rPr>
        <w:t xml:space="preserve">sędziów i prokuratorów (art. 90 </w:t>
      </w:r>
      <w:r w:rsidR="005C07FC">
        <w:rPr>
          <w:lang w:val="pl"/>
        </w:rPr>
        <w:t>K</w:t>
      </w:r>
      <w:r>
        <w:rPr>
          <w:lang w:val="pl"/>
        </w:rPr>
        <w:t>onstytucji). Ponadto</w:t>
      </w:r>
      <w:r w:rsidR="002E61ED">
        <w:rPr>
          <w:lang w:val="pl"/>
        </w:rPr>
        <w:t>,</w:t>
      </w:r>
      <w:r>
        <w:rPr>
          <w:lang w:val="pl"/>
        </w:rPr>
        <w:t xml:space="preserve"> w </w:t>
      </w:r>
      <w:r w:rsidR="002E61ED">
        <w:rPr>
          <w:lang w:val="pl"/>
        </w:rPr>
        <w:t xml:space="preserve">odróżnieniu </w:t>
      </w:r>
      <w:r>
        <w:rPr>
          <w:lang w:val="pl"/>
        </w:rPr>
        <w:t>do sędziów</w:t>
      </w:r>
      <w:r w:rsidR="002E61ED">
        <w:rPr>
          <w:lang w:val="pl"/>
        </w:rPr>
        <w:t xml:space="preserve"> powszechnych,</w:t>
      </w:r>
      <w:r>
        <w:rPr>
          <w:lang w:val="pl"/>
        </w:rPr>
        <w:t xml:space="preserve"> </w:t>
      </w:r>
      <w:r w:rsidR="002E61ED">
        <w:rPr>
          <w:lang w:val="pl"/>
        </w:rPr>
        <w:t>P</w:t>
      </w:r>
      <w:r>
        <w:rPr>
          <w:lang w:val="pl"/>
        </w:rPr>
        <w:t>rezes SK jest wybierany decyzją Rady Ministrów</w:t>
      </w:r>
      <w:r w:rsidR="002E61ED">
        <w:rPr>
          <w:lang w:val="pl"/>
        </w:rPr>
        <w:t xml:space="preserve"> zgodnie z</w:t>
      </w:r>
      <w:r>
        <w:rPr>
          <w:lang w:val="pl"/>
        </w:rPr>
        <w:t xml:space="preserve"> art. 90 ust. 5 </w:t>
      </w:r>
      <w:r w:rsidR="00754C7D">
        <w:rPr>
          <w:lang w:val="pl"/>
        </w:rPr>
        <w:t>K</w:t>
      </w:r>
      <w:r>
        <w:rPr>
          <w:lang w:val="pl"/>
        </w:rPr>
        <w:t xml:space="preserve">onstytucji, spośród sędziów orzekających SK i jest uprawniony do tymczasowego objęcia urzędu premiera </w:t>
      </w:r>
      <w:r w:rsidR="00E21569">
        <w:rPr>
          <w:lang w:val="pl"/>
        </w:rPr>
        <w:t>w ramach</w:t>
      </w:r>
      <w:r>
        <w:rPr>
          <w:lang w:val="pl"/>
        </w:rPr>
        <w:t xml:space="preserve"> rządu tymczasowego na podstawie art. 37 </w:t>
      </w:r>
      <w:r w:rsidR="00754C7D">
        <w:rPr>
          <w:lang w:val="pl"/>
        </w:rPr>
        <w:t>K</w:t>
      </w:r>
      <w:r>
        <w:rPr>
          <w:lang w:val="pl"/>
        </w:rPr>
        <w:t xml:space="preserve">onstytucji (zob. paragraf </w:t>
      </w:r>
      <w:r>
        <w:rPr>
          <w:lang w:val="pl"/>
        </w:rPr>
        <w:fldChar w:fldCharType="begin"/>
      </w:r>
      <w:r>
        <w:rPr>
          <w:lang w:val="pl"/>
        </w:rPr>
        <w:instrText xml:space="preserve"> REF Constitution \h </w:instrText>
      </w:r>
      <w:r>
        <w:rPr>
          <w:lang w:val="pl"/>
        </w:rPr>
      </w:r>
      <w:r>
        <w:rPr>
          <w:lang w:val="pl"/>
        </w:rPr>
        <w:fldChar w:fldCharType="separate"/>
      </w:r>
      <w:r>
        <w:rPr>
          <w:noProof/>
          <w:lang w:val="pl"/>
        </w:rPr>
        <w:t>35</w:t>
      </w:r>
      <w:r>
        <w:rPr>
          <w:lang w:val="pl"/>
        </w:rPr>
        <w:fldChar w:fldCharType="end"/>
      </w:r>
      <w:r>
        <w:rPr>
          <w:lang w:val="pl"/>
        </w:rPr>
        <w:t xml:space="preserve"> powyżej).</w:t>
      </w:r>
    </w:p>
    <w:p w14:paraId="0A01F1EE" w14:textId="02C0AFE3" w:rsidR="00FB1A8A" w:rsidRPr="00CF7B21" w:rsidRDefault="00843F1A"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78</w:t>
      </w:r>
      <w:r>
        <w:rPr>
          <w:noProof/>
          <w:lang w:val="pl"/>
        </w:rPr>
        <w:fldChar w:fldCharType="end"/>
      </w:r>
      <w:r>
        <w:rPr>
          <w:lang w:val="pl"/>
        </w:rPr>
        <w:t xml:space="preserve">.  Trybunał zwraca uwagę na stanowisko V.T. w tamtym czasie, aby podkreślić, że jako </w:t>
      </w:r>
      <w:r w:rsidR="00E21569">
        <w:rPr>
          <w:lang w:val="pl"/>
        </w:rPr>
        <w:t>P</w:t>
      </w:r>
      <w:r>
        <w:rPr>
          <w:lang w:val="pl"/>
        </w:rPr>
        <w:t xml:space="preserve">rezes SK uosabiała ona, </w:t>
      </w:r>
      <w:r>
        <w:rPr>
          <w:i/>
          <w:iCs/>
          <w:lang w:val="pl"/>
        </w:rPr>
        <w:t>par excellence</w:t>
      </w:r>
      <w:r>
        <w:rPr>
          <w:lang w:val="pl"/>
        </w:rPr>
        <w:t xml:space="preserve">, najwyższą władzę w sądach cywilnych i karnych, sprawując ogólny nadzór i kontrolę w tym zakresie (zob. paragraf </w:t>
      </w:r>
      <w:r>
        <w:rPr>
          <w:lang w:val="pl"/>
        </w:rPr>
        <w:fldChar w:fldCharType="begin"/>
      </w:r>
      <w:r>
        <w:rPr>
          <w:lang w:val="pl"/>
        </w:rPr>
        <w:instrText xml:space="preserve"> REF legislativeAMEND1 \h  \* MERGEFORMAT </w:instrText>
      </w:r>
      <w:r>
        <w:rPr>
          <w:lang w:val="pl"/>
        </w:rPr>
      </w:r>
      <w:r>
        <w:rPr>
          <w:lang w:val="pl"/>
        </w:rPr>
        <w:fldChar w:fldCharType="separate"/>
      </w:r>
      <w:r>
        <w:rPr>
          <w:lang w:val="pl"/>
        </w:rPr>
        <w:t>37</w:t>
      </w:r>
      <w:r>
        <w:rPr>
          <w:lang w:val="pl"/>
        </w:rPr>
        <w:fldChar w:fldCharType="end"/>
      </w:r>
      <w:r>
        <w:rPr>
          <w:lang w:val="pl"/>
        </w:rPr>
        <w:t xml:space="preserve"> powyżej). Ponadto</w:t>
      </w:r>
      <w:r w:rsidR="00E21569">
        <w:rPr>
          <w:lang w:val="pl"/>
        </w:rPr>
        <w:t>,</w:t>
      </w:r>
      <w:r>
        <w:rPr>
          <w:lang w:val="pl"/>
        </w:rPr>
        <w:t xml:space="preserve"> była osobą dobrze znaną opinii publicznej, zwłaszcza ze względu na pełnione wcześniej tymczasowo obowiązki premiera. W związku z tym</w:t>
      </w:r>
      <w:r w:rsidR="00E21569">
        <w:rPr>
          <w:lang w:val="pl"/>
        </w:rPr>
        <w:t>,</w:t>
      </w:r>
      <w:r>
        <w:rPr>
          <w:lang w:val="pl"/>
        </w:rPr>
        <w:t xml:space="preserve"> ze względu na piastowane stanowisko V.T. powinna była zachować szczególną ostrożność, aby nie sprawiać wrażenia, że chce wpłynąć na wynik postępowania (zob., odpowiednio,</w:t>
      </w:r>
      <w:r>
        <w:rPr>
          <w:i/>
          <w:iCs/>
          <w:lang w:val="pl"/>
        </w:rPr>
        <w:t xml:space="preserve"> </w:t>
      </w:r>
      <w:bookmarkStart w:id="47" w:name="_cl29499THELAW"/>
      <w:proofErr w:type="spellStart"/>
      <w:r>
        <w:rPr>
          <w:i/>
          <w:iCs/>
          <w:lang w:val="pl"/>
        </w:rPr>
        <w:t>Konstas</w:t>
      </w:r>
      <w:proofErr w:type="spellEnd"/>
      <w:r>
        <w:rPr>
          <w:i/>
          <w:iCs/>
          <w:lang w:val="pl"/>
        </w:rPr>
        <w:t xml:space="preserve"> przeciwko Grecji</w:t>
      </w:r>
      <w:bookmarkEnd w:id="47"/>
      <w:r>
        <w:rPr>
          <w:lang w:val="pl"/>
        </w:rPr>
        <w:t>, nr 53466/07, § 43, 24 maja 2011 r.).</w:t>
      </w:r>
    </w:p>
    <w:p w14:paraId="07AADBA8" w14:textId="352852BC" w:rsidR="00FB1A8A" w:rsidRPr="00CF7B21" w:rsidRDefault="00843F1A"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79</w:t>
      </w:r>
      <w:r>
        <w:rPr>
          <w:noProof/>
          <w:lang w:val="pl"/>
        </w:rPr>
        <w:fldChar w:fldCharType="end"/>
      </w:r>
      <w:r>
        <w:rPr>
          <w:lang w:val="pl"/>
        </w:rPr>
        <w:t xml:space="preserve">.  Trybunał nie uznaje za konieczne </w:t>
      </w:r>
      <w:proofErr w:type="gramStart"/>
      <w:r>
        <w:rPr>
          <w:lang w:val="pl"/>
        </w:rPr>
        <w:t>rozpatrzenie,</w:t>
      </w:r>
      <w:proofErr w:type="gramEnd"/>
      <w:r>
        <w:rPr>
          <w:lang w:val="pl"/>
        </w:rPr>
        <w:t xml:space="preserve"> czy uprawnienia przyznane </w:t>
      </w:r>
      <w:r w:rsidR="00E21569">
        <w:rPr>
          <w:lang w:val="pl"/>
        </w:rPr>
        <w:t>P</w:t>
      </w:r>
      <w:r>
        <w:rPr>
          <w:lang w:val="pl"/>
        </w:rPr>
        <w:t xml:space="preserve">rezesowi SK mogły same w sobie wywoływać ukryte naciski prowadzące do podporządkowania się sędziów lub wywrzeć „efekt mrożący” na ich wewnętrzną niezależność, tak jak miało to miejsce w sprawie </w:t>
      </w:r>
      <w:proofErr w:type="spellStart"/>
      <w:r>
        <w:rPr>
          <w:i/>
          <w:iCs/>
          <w:lang w:val="pl"/>
        </w:rPr>
        <w:t>Parlov-Tkalčić</w:t>
      </w:r>
      <w:proofErr w:type="spellEnd"/>
      <w:r>
        <w:rPr>
          <w:i/>
          <w:iCs/>
          <w:lang w:val="pl"/>
        </w:rPr>
        <w:t xml:space="preserve"> przeciwko Chorwacji </w:t>
      </w:r>
      <w:r>
        <w:rPr>
          <w:lang w:val="pl"/>
        </w:rPr>
        <w:t>(nr 24810/06, § 87–97, 22 grudnia 2009 r.). Kluczową kwestią w niniejszej sprawie jest wpływ ogólnej postawy V.T. na obiektywną bezstronność postępowania przed wyżej wymienionymi komisjami w tych nadzwyczaj specyficznych okolicznościach, w których aspekt pozorów ma szczególne znaczenie.</w:t>
      </w:r>
    </w:p>
    <w:bookmarkStart w:id="48" w:name="LawJudges1"/>
    <w:p w14:paraId="40B9653E" w14:textId="23B7D91E"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80</w:t>
      </w:r>
      <w:r>
        <w:rPr>
          <w:lang w:val="pl"/>
        </w:rPr>
        <w:fldChar w:fldCharType="end"/>
      </w:r>
      <w:bookmarkEnd w:id="48"/>
      <w:r>
        <w:rPr>
          <w:lang w:val="pl"/>
        </w:rPr>
        <w:t>.  Ponadto</w:t>
      </w:r>
      <w:r w:rsidR="00E21569">
        <w:rPr>
          <w:lang w:val="pl"/>
        </w:rPr>
        <w:t>,</w:t>
      </w:r>
      <w:r>
        <w:rPr>
          <w:lang w:val="pl"/>
        </w:rPr>
        <w:t xml:space="preserve"> Trybunał nie może zapominać o tym, że skarżąca była prokuratorem, wobec którego toczyło się postępowanie dyscyplinarne. V.T., po wydaniu oficjalnego komunikatu prasowego, w którym przedstawiła swoją opinię co do zasadności wniosku skarżącej o wyłączenie, wszczęła przeciwko skarżącej postępowanie dyscyplinarne, które ostatecznie doprowadziło do nałożenia na nią sankcji dyscyplinarnej.</w:t>
      </w:r>
    </w:p>
    <w:p w14:paraId="236DD19E" w14:textId="77777777"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81</w:t>
      </w:r>
      <w:r>
        <w:rPr>
          <w:noProof/>
          <w:lang w:val="pl"/>
        </w:rPr>
        <w:fldChar w:fldCharType="end"/>
      </w:r>
      <w:r>
        <w:rPr>
          <w:lang w:val="pl"/>
        </w:rPr>
        <w:t xml:space="preserve">.  Trybunał przypomina, że strona postępowania, taka jak prokurator, nie może podlegać tym samym obowiązkom niezawisłości i bezstronności, jakie art. 6 nakłada na „sąd” (zob. sprawa </w:t>
      </w:r>
      <w:r>
        <w:rPr>
          <w:i/>
          <w:iCs/>
          <w:lang w:val="pl"/>
        </w:rPr>
        <w:t>Thierry przeciwko Francji</w:t>
      </w:r>
      <w:r>
        <w:rPr>
          <w:lang w:val="pl"/>
        </w:rPr>
        <w:t xml:space="preserve"> (</w:t>
      </w:r>
      <w:proofErr w:type="spellStart"/>
      <w:r>
        <w:rPr>
          <w:lang w:val="pl"/>
        </w:rPr>
        <w:t>dec</w:t>
      </w:r>
      <w:proofErr w:type="spellEnd"/>
      <w:r>
        <w:rPr>
          <w:lang w:val="pl"/>
        </w:rPr>
        <w:t>.), nr 37058/19, § 30, 31 stycznia 2023 r., i przytoczone tam orzecznictwo).</w:t>
      </w:r>
    </w:p>
    <w:p w14:paraId="470F68EC" w14:textId="1AC8EF43" w:rsidR="00FB1A8A" w:rsidRPr="00CF7B21" w:rsidRDefault="00FB1A8A" w:rsidP="00843F1A">
      <w:pPr>
        <w:pStyle w:val="JuPara"/>
        <w:rPr>
          <w:b/>
          <w:bCs/>
          <w:lang w:val="pl-PL"/>
        </w:rPr>
      </w:pPr>
      <w:r>
        <w:fldChar w:fldCharType="begin"/>
      </w:r>
      <w:r w:rsidRPr="00CF7B21">
        <w:rPr>
          <w:lang w:val="pl-PL"/>
        </w:rPr>
        <w:instrText xml:space="preserve"> SEQ level0 \*arabic \* MERGEFORMAT </w:instrText>
      </w:r>
      <w:r>
        <w:fldChar w:fldCharType="separate"/>
      </w:r>
      <w:r>
        <w:rPr>
          <w:noProof/>
          <w:lang w:val="pl"/>
        </w:rPr>
        <w:t>82</w:t>
      </w:r>
      <w:r>
        <w:rPr>
          <w:noProof/>
          <w:lang w:val="pl"/>
        </w:rPr>
        <w:fldChar w:fldCharType="end"/>
      </w:r>
      <w:r>
        <w:rPr>
          <w:lang w:val="pl"/>
        </w:rPr>
        <w:t xml:space="preserve">.  W niniejszej sprawie, w której postępowanie dyscyplinarne wszczęto wobec funkcjonariusza wymiaru sprawiedliwości, powyższe </w:t>
      </w:r>
      <w:proofErr w:type="gramStart"/>
      <w:r>
        <w:rPr>
          <w:lang w:val="pl"/>
        </w:rPr>
        <w:t xml:space="preserve">podejście </w:t>
      </w:r>
      <w:r w:rsidR="00172D01">
        <w:rPr>
          <w:lang w:val="pl"/>
        </w:rPr>
        <w:t xml:space="preserve"> powinno</w:t>
      </w:r>
      <w:proofErr w:type="gramEnd"/>
      <w:r w:rsidR="00172D01">
        <w:rPr>
          <w:lang w:val="pl"/>
        </w:rPr>
        <w:t xml:space="preserve"> być jednak odpowiednio zróżnicowane</w:t>
      </w:r>
      <w:r>
        <w:rPr>
          <w:lang w:val="pl"/>
        </w:rPr>
        <w:t>. W związku z tym</w:t>
      </w:r>
      <w:r w:rsidR="00E21569">
        <w:rPr>
          <w:lang w:val="pl"/>
        </w:rPr>
        <w:t>,</w:t>
      </w:r>
      <w:r>
        <w:rPr>
          <w:lang w:val="pl"/>
        </w:rPr>
        <w:t xml:space="preserve"> Trybunał zauważa, że w sprawie </w:t>
      </w:r>
      <w:r>
        <w:rPr>
          <w:i/>
          <w:iCs/>
          <w:lang w:val="pl"/>
        </w:rPr>
        <w:t xml:space="preserve">Inspektorat kam </w:t>
      </w:r>
      <w:proofErr w:type="spellStart"/>
      <w:r>
        <w:rPr>
          <w:i/>
          <w:iCs/>
          <w:lang w:val="pl"/>
        </w:rPr>
        <w:t>Visshia</w:t>
      </w:r>
      <w:proofErr w:type="spellEnd"/>
      <w:r>
        <w:rPr>
          <w:i/>
          <w:iCs/>
          <w:lang w:val="pl"/>
        </w:rPr>
        <w:t xml:space="preserve"> </w:t>
      </w:r>
      <w:proofErr w:type="spellStart"/>
      <w:r>
        <w:rPr>
          <w:i/>
          <w:iCs/>
          <w:lang w:val="pl"/>
        </w:rPr>
        <w:t>sadeben</w:t>
      </w:r>
      <w:proofErr w:type="spellEnd"/>
      <w:r>
        <w:rPr>
          <w:i/>
          <w:iCs/>
          <w:lang w:val="pl"/>
        </w:rPr>
        <w:t xml:space="preserve"> </w:t>
      </w:r>
      <w:proofErr w:type="spellStart"/>
      <w:r>
        <w:rPr>
          <w:i/>
          <w:iCs/>
          <w:lang w:val="pl"/>
        </w:rPr>
        <w:t>savet</w:t>
      </w:r>
      <w:proofErr w:type="spellEnd"/>
      <w:r>
        <w:rPr>
          <w:i/>
          <w:iCs/>
          <w:lang w:val="pl"/>
        </w:rPr>
        <w:t xml:space="preserve"> </w:t>
      </w:r>
      <w:r>
        <w:rPr>
          <w:lang w:val="pl"/>
        </w:rPr>
        <w:t xml:space="preserve">Trybunał Sprawiedliwości Unii Europejskiej przypomniał, iż system odpowiedzialności dyscyplinarnej dotyczący sędziów musi zapewniać </w:t>
      </w:r>
      <w:r>
        <w:rPr>
          <w:lang w:val="pl"/>
        </w:rPr>
        <w:lastRenderedPageBreak/>
        <w:t xml:space="preserve">niezbędne gwarancje, aby zapobiec ryzyku wykorzystania go jako narzędzia politycznej kontroli treści orzeczeń sądowych. Perspektywa wszczęcia postępowania dyscyplinarnego wobec funkcjonariuszy wymiaru sprawiedliwości może wywierać na nich presję, niezbędne jest, aby osoby uprawnione do prowadzenia postępowań wyjaśniających i wszczynania postępowań dyscyplinarnych wobec członków wymiaru sprawiedliwości działały w sposób obiektywny i bezstronny przy wykonywaniu tych obowiązków. Dotyczy to w szczególności organu sądowego, który jest uprawniony do zwrócenia się do innego organu sądowego o wszczęcie postępowania dyscyplinarnego w celu nałożenia sankcji dyscyplinarnych na funkcjonariuszy wymiaru sprawiedliwości (zob. paragraf </w:t>
      </w:r>
      <w:r>
        <w:rPr>
          <w:lang w:val="pl"/>
        </w:rPr>
        <w:fldChar w:fldCharType="begin"/>
      </w:r>
      <w:r>
        <w:rPr>
          <w:lang w:val="pl"/>
        </w:rPr>
        <w:instrText xml:space="preserve"> REF cjeu \h  \* MERGEFORMAT </w:instrText>
      </w:r>
      <w:r>
        <w:rPr>
          <w:lang w:val="pl"/>
        </w:rPr>
      </w:r>
      <w:r>
        <w:rPr>
          <w:lang w:val="pl"/>
        </w:rPr>
        <w:fldChar w:fldCharType="separate"/>
      </w:r>
      <w:r>
        <w:rPr>
          <w:lang w:val="pl"/>
        </w:rPr>
        <w:t>41</w:t>
      </w:r>
      <w:r>
        <w:rPr>
          <w:lang w:val="pl"/>
        </w:rPr>
        <w:fldChar w:fldCharType="end"/>
      </w:r>
      <w:r>
        <w:rPr>
          <w:lang w:val="pl"/>
        </w:rPr>
        <w:t xml:space="preserve"> powyżej). </w:t>
      </w:r>
      <w:r w:rsidR="00E21569">
        <w:rPr>
          <w:lang w:val="pl"/>
        </w:rPr>
        <w:t>Podobnie</w:t>
      </w:r>
      <w:r>
        <w:rPr>
          <w:lang w:val="pl"/>
        </w:rPr>
        <w:t xml:space="preserve">, zważywszy na znaczącą pozycję, jaką sądownictwo zajmuje wśród organów państwowych w społeczeństwie demokratycznym, oraz na rosnące znaczenie nadawane zasadzie podziału władzy i konieczności ochrony niezależności sądownictwa, Trybunał musi zwracać szczególną uwagę na ochronę funkcjonariuszy wymiaru sprawiedliwości przed środkami mającymi wpływ na ich status lub karierę, które mogą zagrażać ich niezawisłości i autonomii (zob. </w:t>
      </w:r>
      <w:r>
        <w:rPr>
          <w:i/>
          <w:iCs/>
          <w:lang w:val="pl"/>
        </w:rPr>
        <w:t>Pająk i inni przeciwko Polsce</w:t>
      </w:r>
      <w:r>
        <w:rPr>
          <w:lang w:val="pl"/>
        </w:rPr>
        <w:t>, nr 25226/18 i</w:t>
      </w:r>
      <w:r w:rsidR="00CF7B21">
        <w:rPr>
          <w:lang w:val="pl"/>
        </w:rPr>
        <w:t> </w:t>
      </w:r>
      <w:r>
        <w:rPr>
          <w:lang w:val="pl"/>
        </w:rPr>
        <w:t>3 inne, § 197, 24 października 2023 r., i przytoczone tam orzecznictwo).</w:t>
      </w:r>
    </w:p>
    <w:bookmarkStart w:id="49" w:name="LawJudges2"/>
    <w:p w14:paraId="35390D5C" w14:textId="3B8CC058"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83</w:t>
      </w:r>
      <w:r>
        <w:rPr>
          <w:lang w:val="pl"/>
        </w:rPr>
        <w:fldChar w:fldCharType="end"/>
      </w:r>
      <w:bookmarkEnd w:id="49"/>
      <w:r>
        <w:rPr>
          <w:lang w:val="pl"/>
        </w:rPr>
        <w:t>.  Z tych samych powodów w niniejszej sprawie</w:t>
      </w:r>
      <w:r w:rsidR="00E21569">
        <w:rPr>
          <w:lang w:val="pl"/>
        </w:rPr>
        <w:t>,</w:t>
      </w:r>
      <w:r>
        <w:rPr>
          <w:lang w:val="pl"/>
        </w:rPr>
        <w:t xml:space="preserve"> Trybunał uważa, że na V.T. spoczywał obowiązek działania w sposób obiektywny i bezstronny podczas prowadzenia</w:t>
      </w:r>
      <w:r w:rsidR="00E76F8B">
        <w:rPr>
          <w:lang w:val="pl"/>
        </w:rPr>
        <w:t xml:space="preserve"> wstępnego</w:t>
      </w:r>
      <w:r>
        <w:rPr>
          <w:lang w:val="pl"/>
        </w:rPr>
        <w:t xml:space="preserve"> postępowania wyjaśniającego i wszczęcia postępowania dyscyplinarnego przeciwko skarżącej, będącej – w świetle prawa krajowego – funkcjonariuszem wymiaru sprawiedliwości, któremu przysługują gwarancje niezawisłości (zob. paragraf </w:t>
      </w:r>
      <w:r>
        <w:rPr>
          <w:lang w:val="pl"/>
        </w:rPr>
        <w:fldChar w:fldCharType="begin"/>
      </w:r>
      <w:r>
        <w:rPr>
          <w:lang w:val="pl"/>
        </w:rPr>
        <w:instrText xml:space="preserve"> REF LEGISLATIONPROSECUTORS \h  \* MERGEFORMAT </w:instrText>
      </w:r>
      <w:r>
        <w:rPr>
          <w:lang w:val="pl"/>
        </w:rPr>
      </w:r>
      <w:r>
        <w:rPr>
          <w:lang w:val="pl"/>
        </w:rPr>
        <w:fldChar w:fldCharType="separate"/>
      </w:r>
      <w:r>
        <w:rPr>
          <w:lang w:val="pl"/>
        </w:rPr>
        <w:t>39</w:t>
      </w:r>
      <w:r>
        <w:rPr>
          <w:lang w:val="pl"/>
        </w:rPr>
        <w:fldChar w:fldCharType="end"/>
      </w:r>
      <w:r>
        <w:rPr>
          <w:lang w:val="pl"/>
        </w:rPr>
        <w:t xml:space="preserve"> powyżej; zob., odpowiednio, </w:t>
      </w:r>
      <w:proofErr w:type="spellStart"/>
      <w:r>
        <w:rPr>
          <w:i/>
          <w:iCs/>
          <w:lang w:val="pl"/>
        </w:rPr>
        <w:t>Stoianoglo</w:t>
      </w:r>
      <w:proofErr w:type="spellEnd"/>
      <w:r>
        <w:rPr>
          <w:lang w:val="pl"/>
        </w:rPr>
        <w:t xml:space="preserve">, </w:t>
      </w:r>
      <w:proofErr w:type="spellStart"/>
      <w:r>
        <w:rPr>
          <w:i/>
          <w:iCs/>
          <w:lang w:val="pl"/>
        </w:rPr>
        <w:t>op.cit</w:t>
      </w:r>
      <w:proofErr w:type="spellEnd"/>
      <w:r>
        <w:rPr>
          <w:i/>
          <w:iCs/>
          <w:lang w:val="pl"/>
        </w:rPr>
        <w:t>.</w:t>
      </w:r>
      <w:r>
        <w:rPr>
          <w:lang w:val="pl"/>
        </w:rPr>
        <w:t xml:space="preserve">, § 38). Obowiązek ten był tym istotniejszy, że skarżąca twierdziła w swoim wniosku o wyłączenie, że V.T. pozostawała w relacji z funkcjonariuszem władzy wykonawczej w związku z pełnionymi przez nią wcześniej tymczasowo obowiązkami premiera (zob. paragraf </w:t>
      </w:r>
      <w:r>
        <w:rPr>
          <w:lang w:val="pl"/>
        </w:rPr>
        <w:fldChar w:fldCharType="begin"/>
      </w:r>
      <w:r>
        <w:rPr>
          <w:lang w:val="pl"/>
        </w:rPr>
        <w:instrText xml:space="preserve"> REF recusalrequest1 \h  \* MERGEFORMAT </w:instrText>
      </w:r>
      <w:r>
        <w:rPr>
          <w:lang w:val="pl"/>
        </w:rPr>
      </w:r>
      <w:r>
        <w:rPr>
          <w:lang w:val="pl"/>
        </w:rPr>
        <w:fldChar w:fldCharType="separate"/>
      </w:r>
      <w:r>
        <w:rPr>
          <w:lang w:val="pl"/>
        </w:rPr>
        <w:t>9</w:t>
      </w:r>
      <w:r>
        <w:rPr>
          <w:lang w:val="pl"/>
        </w:rPr>
        <w:fldChar w:fldCharType="end"/>
      </w:r>
      <w:r>
        <w:rPr>
          <w:lang w:val="pl"/>
        </w:rPr>
        <w:t xml:space="preserve"> powyżej).</w:t>
      </w:r>
    </w:p>
    <w:bookmarkStart w:id="50" w:name="LawReview"/>
    <w:p w14:paraId="68C26447" w14:textId="298FAEA4"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84</w:t>
      </w:r>
      <w:r>
        <w:rPr>
          <w:lang w:val="pl"/>
        </w:rPr>
        <w:fldChar w:fldCharType="end"/>
      </w:r>
      <w:bookmarkEnd w:id="50"/>
      <w:r>
        <w:rPr>
          <w:lang w:val="pl"/>
        </w:rPr>
        <w:t xml:space="preserve">.  Trybunał zauważa, że skarżąca wyraźnie zgłosiła zastrzeżenia wobec przedmiotowego publicznego oświadczenia na etapie </w:t>
      </w:r>
      <w:r w:rsidR="00102661">
        <w:rPr>
          <w:lang w:val="pl"/>
        </w:rPr>
        <w:t xml:space="preserve">wstępnego </w:t>
      </w:r>
      <w:r>
        <w:rPr>
          <w:lang w:val="pl"/>
        </w:rPr>
        <w:t xml:space="preserve">postępowania wyjaśniającego (zob. paragraf </w:t>
      </w:r>
      <w:r>
        <w:rPr>
          <w:lang w:val="pl"/>
        </w:rPr>
        <w:fldChar w:fldCharType="begin"/>
      </w:r>
      <w:r>
        <w:rPr>
          <w:lang w:val="pl"/>
        </w:rPr>
        <w:instrText xml:space="preserve"> REF VicePresidentComplaint \h  \* MERGEFORMAT </w:instrText>
      </w:r>
      <w:r>
        <w:rPr>
          <w:lang w:val="pl"/>
        </w:rPr>
      </w:r>
      <w:r>
        <w:rPr>
          <w:lang w:val="pl"/>
        </w:rPr>
        <w:fldChar w:fldCharType="separate"/>
      </w:r>
      <w:r>
        <w:rPr>
          <w:lang w:val="pl"/>
        </w:rPr>
        <w:t>15</w:t>
      </w:r>
      <w:r>
        <w:rPr>
          <w:lang w:val="pl"/>
        </w:rPr>
        <w:fldChar w:fldCharType="end"/>
      </w:r>
      <w:r>
        <w:rPr>
          <w:lang w:val="pl"/>
        </w:rPr>
        <w:t xml:space="preserve"> powyżej) oraz wyraziła obawy dotyczące nieuzasadnionego negatywnego rozgłosu podczas rozprawy (zob. paragraf </w:t>
      </w:r>
      <w:r>
        <w:rPr>
          <w:lang w:val="pl"/>
        </w:rPr>
        <w:fldChar w:fldCharType="begin"/>
      </w:r>
      <w:r>
        <w:rPr>
          <w:lang w:val="pl"/>
        </w:rPr>
        <w:instrText xml:space="preserve"> REF paragraph00025 \h  \* CharFormat  \* MERGEFORMAT </w:instrText>
      </w:r>
      <w:r>
        <w:rPr>
          <w:lang w:val="pl"/>
        </w:rPr>
      </w:r>
      <w:r>
        <w:rPr>
          <w:lang w:val="pl"/>
        </w:rPr>
        <w:fldChar w:fldCharType="separate"/>
      </w:r>
      <w:r>
        <w:rPr>
          <w:lang w:val="pl"/>
        </w:rPr>
        <w:t>25</w:t>
      </w:r>
      <w:r>
        <w:rPr>
          <w:lang w:val="pl"/>
        </w:rPr>
        <w:fldChar w:fldCharType="end"/>
      </w:r>
      <w:r>
        <w:rPr>
          <w:lang w:val="pl"/>
        </w:rPr>
        <w:t xml:space="preserve"> powyżej). Niemniej</w:t>
      </w:r>
      <w:r w:rsidR="00102661">
        <w:rPr>
          <w:lang w:val="pl"/>
        </w:rPr>
        <w:t>,</w:t>
      </w:r>
      <w:r>
        <w:rPr>
          <w:lang w:val="pl"/>
        </w:rPr>
        <w:t xml:space="preserve"> dziewięcioosobowa komisja dyscyplinarna nie odniosła się w ogóle do tego publicznego oświadczenia, odrzucając jednocześnie jako bezpodstawne zarzuty skarżącej, że V.T. ujawniła informacje dotyczące poufnego postępowania dyscyplinarnego (zob. paragraf </w:t>
      </w:r>
      <w:r>
        <w:rPr>
          <w:lang w:val="pl"/>
        </w:rPr>
        <w:fldChar w:fldCharType="begin"/>
      </w:r>
      <w:r>
        <w:rPr>
          <w:lang w:val="pl"/>
        </w:rPr>
        <w:instrText xml:space="preserve"> REF CouncilDismissesRecusalGrounds \h  \* MERGEFORMAT </w:instrText>
      </w:r>
      <w:r>
        <w:rPr>
          <w:lang w:val="pl"/>
        </w:rPr>
      </w:r>
      <w:r>
        <w:rPr>
          <w:lang w:val="pl"/>
        </w:rPr>
        <w:fldChar w:fldCharType="separate"/>
      </w:r>
      <w:r>
        <w:rPr>
          <w:lang w:val="pl"/>
        </w:rPr>
        <w:t>29</w:t>
      </w:r>
      <w:r>
        <w:rPr>
          <w:lang w:val="pl"/>
        </w:rPr>
        <w:fldChar w:fldCharType="end"/>
      </w:r>
      <w:r>
        <w:rPr>
          <w:lang w:val="pl"/>
        </w:rPr>
        <w:t xml:space="preserve"> powyżej). Dziewięcioosobowa komisja dyscyplinarna oddaliła wniosek skarżącej o</w:t>
      </w:r>
      <w:r w:rsidR="00CF7B21">
        <w:rPr>
          <w:lang w:val="pl"/>
        </w:rPr>
        <w:t> </w:t>
      </w:r>
      <w:r>
        <w:rPr>
          <w:lang w:val="pl"/>
        </w:rPr>
        <w:t>wyłączenie V.T., podając uzasadnienie podobne do zawartego w</w:t>
      </w:r>
      <w:r w:rsidR="00CF7B21">
        <w:rPr>
          <w:lang w:val="pl"/>
        </w:rPr>
        <w:t> </w:t>
      </w:r>
      <w:r>
        <w:rPr>
          <w:lang w:val="pl"/>
        </w:rPr>
        <w:t>komunikacie prasowym, zwłaszcza w odniesieniu do relacji V.T. z</w:t>
      </w:r>
      <w:r w:rsidR="00CF7B21">
        <w:rPr>
          <w:lang w:val="pl"/>
        </w:rPr>
        <w:t> </w:t>
      </w:r>
      <w:r>
        <w:rPr>
          <w:lang w:val="pl"/>
        </w:rPr>
        <w:t xml:space="preserve">cypryjskimi urzędnikami oraz wiceministrem sprawiedliwości (zob. paragrafy </w:t>
      </w:r>
      <w:r>
        <w:rPr>
          <w:lang w:val="pl"/>
        </w:rPr>
        <w:fldChar w:fldCharType="begin"/>
      </w:r>
      <w:r>
        <w:rPr>
          <w:lang w:val="pl"/>
        </w:rPr>
        <w:instrText xml:space="preserve"> REF CouncilDismissesRecusalGrounds \h  \* MERGEFORMAT </w:instrText>
      </w:r>
      <w:r>
        <w:rPr>
          <w:lang w:val="pl"/>
        </w:rPr>
      </w:r>
      <w:r>
        <w:rPr>
          <w:lang w:val="pl"/>
        </w:rPr>
        <w:fldChar w:fldCharType="separate"/>
      </w:r>
      <w:r>
        <w:rPr>
          <w:lang w:val="pl"/>
        </w:rPr>
        <w:t>29</w:t>
      </w:r>
      <w:r>
        <w:rPr>
          <w:lang w:val="pl"/>
        </w:rPr>
        <w:fldChar w:fldCharType="end"/>
      </w:r>
      <w:r>
        <w:rPr>
          <w:lang w:val="pl"/>
        </w:rPr>
        <w:t xml:space="preserve"> i </w:t>
      </w:r>
      <w:r>
        <w:rPr>
          <w:lang w:val="pl"/>
        </w:rPr>
        <w:fldChar w:fldCharType="begin"/>
      </w:r>
      <w:r>
        <w:rPr>
          <w:lang w:val="pl"/>
        </w:rPr>
        <w:instrText xml:space="preserve"> REF pressRelease \h  \* MERGEFORMAT </w:instrText>
      </w:r>
      <w:r>
        <w:rPr>
          <w:lang w:val="pl"/>
        </w:rPr>
      </w:r>
      <w:r>
        <w:rPr>
          <w:lang w:val="pl"/>
        </w:rPr>
        <w:fldChar w:fldCharType="separate"/>
      </w:r>
      <w:r>
        <w:rPr>
          <w:lang w:val="pl"/>
        </w:rPr>
        <w:t>32</w:t>
      </w:r>
      <w:r>
        <w:rPr>
          <w:lang w:val="pl"/>
        </w:rPr>
        <w:fldChar w:fldCharType="end"/>
      </w:r>
      <w:r>
        <w:rPr>
          <w:lang w:val="pl"/>
        </w:rPr>
        <w:t xml:space="preserve"> powyżej). W świetle powyższego</w:t>
      </w:r>
      <w:r w:rsidR="00102661">
        <w:rPr>
          <w:lang w:val="pl"/>
        </w:rPr>
        <w:t>,</w:t>
      </w:r>
      <w:r>
        <w:rPr>
          <w:lang w:val="pl"/>
        </w:rPr>
        <w:t xml:space="preserve"> Trybunał stoi na stanowisku, że dziewięcioosobowa komisja dyscyplinarna SK nie odniosła </w:t>
      </w:r>
      <w:r>
        <w:rPr>
          <w:lang w:val="pl"/>
        </w:rPr>
        <w:lastRenderedPageBreak/>
        <w:t>się bezpośrednio, w kontekście postępowania dyscyplinarnego, do wpływu, jaki oficjalny komunikat prasowy wydany przez V.T.</w:t>
      </w:r>
      <w:r w:rsidR="00102661">
        <w:rPr>
          <w:lang w:val="pl"/>
        </w:rPr>
        <w:t>,</w:t>
      </w:r>
      <w:r>
        <w:rPr>
          <w:lang w:val="pl"/>
        </w:rPr>
        <w:t xml:space="preserve"> jako </w:t>
      </w:r>
      <w:r w:rsidR="00102661">
        <w:rPr>
          <w:lang w:val="pl"/>
        </w:rPr>
        <w:t>P</w:t>
      </w:r>
      <w:r>
        <w:rPr>
          <w:lang w:val="pl"/>
        </w:rPr>
        <w:t>rezes SK</w:t>
      </w:r>
      <w:r w:rsidR="00102661">
        <w:rPr>
          <w:lang w:val="pl"/>
        </w:rPr>
        <w:t>,</w:t>
      </w:r>
      <w:r>
        <w:rPr>
          <w:lang w:val="pl"/>
        </w:rPr>
        <w:t xml:space="preserve"> miał na rzetelność przedmiotowego postępowania (por. </w:t>
      </w:r>
      <w:proofErr w:type="spellStart"/>
      <w:r>
        <w:rPr>
          <w:i/>
          <w:iCs/>
          <w:lang w:val="pl"/>
        </w:rPr>
        <w:t>Čivinskaitė</w:t>
      </w:r>
      <w:proofErr w:type="spellEnd"/>
      <w:r>
        <w:rPr>
          <w:lang w:val="pl"/>
        </w:rPr>
        <w:t xml:space="preserve">, </w:t>
      </w:r>
      <w:proofErr w:type="spellStart"/>
      <w:r>
        <w:rPr>
          <w:i/>
          <w:iCs/>
          <w:lang w:val="pl"/>
        </w:rPr>
        <w:t>op.cit</w:t>
      </w:r>
      <w:proofErr w:type="spellEnd"/>
      <w:r>
        <w:rPr>
          <w:i/>
          <w:iCs/>
          <w:lang w:val="pl"/>
        </w:rPr>
        <w:t>.</w:t>
      </w:r>
      <w:r>
        <w:rPr>
          <w:lang w:val="pl"/>
        </w:rPr>
        <w:t xml:space="preserve">, §§ 132–136, oraz zob., odpowiednio, </w:t>
      </w:r>
      <w:bookmarkStart w:id="51" w:name="_cl28117THELAW"/>
      <w:proofErr w:type="spellStart"/>
      <w:r>
        <w:rPr>
          <w:i/>
          <w:iCs/>
          <w:lang w:val="pl"/>
        </w:rPr>
        <w:t>Ismoilov</w:t>
      </w:r>
      <w:proofErr w:type="spellEnd"/>
      <w:r>
        <w:rPr>
          <w:i/>
          <w:iCs/>
          <w:lang w:val="pl"/>
        </w:rPr>
        <w:t xml:space="preserve"> i Inni przeciwko Rosji</w:t>
      </w:r>
      <w:bookmarkEnd w:id="51"/>
      <w:r>
        <w:rPr>
          <w:lang w:val="pl"/>
        </w:rPr>
        <w:t>, nr 2947/06, § 169, 24 kwietnia 2008 r., i przytoczone tam orzecznictwo).</w:t>
      </w:r>
    </w:p>
    <w:p w14:paraId="048DDA2E" w14:textId="082B8021"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85</w:t>
      </w:r>
      <w:r>
        <w:rPr>
          <w:noProof/>
          <w:lang w:val="pl"/>
        </w:rPr>
        <w:fldChar w:fldCharType="end"/>
      </w:r>
      <w:r>
        <w:rPr>
          <w:lang w:val="pl"/>
        </w:rPr>
        <w:t>.  Trybunał przypomina, że art. 6 Konwencji nie dotyczy wyniku postępowania, lecz gwarantuje rzetelność samego postępowania, w tym gwarancję bezstronności. Trybunał nie widzi zatem powodu, by spekulować na temat tego, jaki wpływ miały oświadczenia V.T. na przebieg postępowania dyscyplinarnego, w tym na rozpatrzenie przez komisje dyscyplinarne SK wniosku skarżącej o wyłączenie. Wystarczy zauważyć, że wniosek skarżącej o wyłączenie został odrzucony oraz że, zważywszy na jego treść i sposób, w</w:t>
      </w:r>
      <w:r w:rsidR="00CF7B21">
        <w:rPr>
          <w:lang w:val="pl"/>
        </w:rPr>
        <w:t> </w:t>
      </w:r>
      <w:r>
        <w:rPr>
          <w:lang w:val="pl"/>
        </w:rPr>
        <w:t xml:space="preserve">jaki został złożony, oświadczenie V.T. było </w:t>
      </w:r>
      <w:r>
        <w:rPr>
          <w:i/>
          <w:iCs/>
          <w:lang w:val="pl"/>
        </w:rPr>
        <w:t>ipso facto</w:t>
      </w:r>
      <w:r>
        <w:rPr>
          <w:lang w:val="pl"/>
        </w:rPr>
        <w:t xml:space="preserve"> niezgodne z pojęciem „niezawisłego i bezstronnego sądu” w rozumieniu art. 6 ust. 1 Konwencji, przy czym należy rozumieć, że nie chodzi tu o rzeczywisty dowód wywierania wpływu lub nacisku na sędziów, lecz o znaczenie pozorów bezstronności (zob., odpowiednio, </w:t>
      </w:r>
      <w:proofErr w:type="spellStart"/>
      <w:r>
        <w:rPr>
          <w:i/>
          <w:iCs/>
          <w:lang w:val="pl"/>
        </w:rPr>
        <w:t>Ivanovski</w:t>
      </w:r>
      <w:proofErr w:type="spellEnd"/>
      <w:r>
        <w:rPr>
          <w:i/>
          <w:iCs/>
          <w:lang w:val="pl"/>
        </w:rPr>
        <w:t xml:space="preserve"> przeciwko Byłej Jugosłowiańskiej Republice Macedonii</w:t>
      </w:r>
      <w:r>
        <w:rPr>
          <w:lang w:val="pl"/>
        </w:rPr>
        <w:t xml:space="preserve">, nr 29908/11, § 147, 21 stycznia 2016 r. oraz </w:t>
      </w:r>
      <w:proofErr w:type="spellStart"/>
      <w:r>
        <w:rPr>
          <w:i/>
          <w:iCs/>
          <w:lang w:val="pl"/>
        </w:rPr>
        <w:t>Kinský</w:t>
      </w:r>
      <w:proofErr w:type="spellEnd"/>
      <w:r>
        <w:rPr>
          <w:i/>
          <w:iCs/>
          <w:lang w:val="pl"/>
        </w:rPr>
        <w:t xml:space="preserve"> przeciwko Republice Czeskiej</w:t>
      </w:r>
      <w:r>
        <w:rPr>
          <w:lang w:val="pl"/>
        </w:rPr>
        <w:t>, nr 42856/06, §§ 94 i 98, 9 lutego 2012 r.).</w:t>
      </w:r>
    </w:p>
    <w:bookmarkStart w:id="52" w:name="LawConclusion"/>
    <w:p w14:paraId="50F7B6C8" w14:textId="0359BA22" w:rsidR="00FB1A8A" w:rsidRPr="00CF7B21" w:rsidRDefault="00000000" w:rsidP="00843F1A">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86</w:t>
      </w:r>
      <w:r>
        <w:rPr>
          <w:lang w:val="pl"/>
        </w:rPr>
        <w:fldChar w:fldCharType="end"/>
      </w:r>
      <w:bookmarkEnd w:id="52"/>
      <w:r>
        <w:rPr>
          <w:lang w:val="pl"/>
        </w:rPr>
        <w:t xml:space="preserve">.  Podsumowując, Trybunał zwraca uwagę na szczególny kontekst sprawy. Sąd, który rozpatrywał sprawę dyscyplinarną przeciwko funkcjonariuszowi wymiaru sprawiedliwości, nie odniósł się do wpływu oficjalnego komunikatu prasowego wydanego w kontekście tego postępowania przez </w:t>
      </w:r>
      <w:r w:rsidR="00102661">
        <w:rPr>
          <w:lang w:val="pl"/>
        </w:rPr>
        <w:t>P</w:t>
      </w:r>
      <w:r>
        <w:rPr>
          <w:lang w:val="pl"/>
        </w:rPr>
        <w:t>rezes SK, której bezstronność została zakwestionowana przez skarżącą, i która pełniła funkcję prezesa tegoż sądu. Ponadto</w:t>
      </w:r>
      <w:r w:rsidR="00102661">
        <w:rPr>
          <w:lang w:val="pl"/>
        </w:rPr>
        <w:t>,</w:t>
      </w:r>
      <w:r>
        <w:rPr>
          <w:lang w:val="pl"/>
        </w:rPr>
        <w:t xml:space="preserve"> Trybunał zauważa, że </w:t>
      </w:r>
      <w:r w:rsidR="00102661">
        <w:rPr>
          <w:lang w:val="pl"/>
        </w:rPr>
        <w:t>P</w:t>
      </w:r>
      <w:r>
        <w:rPr>
          <w:lang w:val="pl"/>
        </w:rPr>
        <w:t xml:space="preserve">rezes SK pełniła wcześniej również tymczasowo obowiązki premiera i w drodze wyjątku była uprawniona do prowadzenia postępowania dyscyplinarnego – po raz pierwszy od czasu wejścia w życie obecnej </w:t>
      </w:r>
      <w:r w:rsidR="00102661">
        <w:rPr>
          <w:lang w:val="pl"/>
        </w:rPr>
        <w:t>K</w:t>
      </w:r>
      <w:r>
        <w:rPr>
          <w:lang w:val="pl"/>
        </w:rPr>
        <w:t>onstytucji w 1975 r. – na kilka miesięcy przed wszczęciem przez nią postępowania dyscyplinarnego. Ponadto, zgodnie z uzasadnieniem do przepisu przyznającego prezesowi SK takie uprawnienia, V.T. „sprawowała ogólny nadzór i kontrolę nad wszystkimi sędziami”. W związku z powyższym</w:t>
      </w:r>
      <w:r w:rsidR="00102661">
        <w:rPr>
          <w:lang w:val="pl"/>
        </w:rPr>
        <w:t>,</w:t>
      </w:r>
      <w:r>
        <w:rPr>
          <w:lang w:val="pl"/>
        </w:rPr>
        <w:t xml:space="preserve"> Trybunał uznaje, że obawy skarżącej dotyczące bezstronności sądów rozpatrujących jej sprawę, nie były nieuzasadnione, subiektywne ani bezpodstawne. Trybunał stwierdza zatem, że specyfika przedmiotowego postępowania nie spełniała wymogów Konwencji w świetle kryterium obiektywnej bezstronności.</w:t>
      </w:r>
    </w:p>
    <w:p w14:paraId="4A2BE69B" w14:textId="1A512A82"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87</w:t>
      </w:r>
      <w:r>
        <w:rPr>
          <w:noProof/>
          <w:lang w:val="pl"/>
        </w:rPr>
        <w:fldChar w:fldCharType="end"/>
      </w:r>
      <w:r>
        <w:rPr>
          <w:lang w:val="pl"/>
        </w:rPr>
        <w:t xml:space="preserve">.  W związku z </w:t>
      </w:r>
      <w:proofErr w:type="spellStart"/>
      <w:r>
        <w:rPr>
          <w:lang w:val="pl"/>
        </w:rPr>
        <w:t>powyższym</w:t>
      </w:r>
      <w:r w:rsidR="00102661">
        <w:rPr>
          <w:lang w:val="pl"/>
        </w:rPr>
        <w:t>m</w:t>
      </w:r>
      <w:proofErr w:type="spellEnd"/>
      <w:r>
        <w:rPr>
          <w:lang w:val="pl"/>
        </w:rPr>
        <w:t xml:space="preserve"> doszło do naruszenia art. 6 ust. 1 Konwencji.</w:t>
      </w:r>
    </w:p>
    <w:p w14:paraId="113A9AE2" w14:textId="77777777" w:rsidR="00FB1A8A" w:rsidRPr="00843F1A" w:rsidRDefault="00000000" w:rsidP="00843F1A">
      <w:pPr>
        <w:pStyle w:val="JuHIRoman"/>
      </w:pPr>
      <w:r>
        <w:rPr>
          <w:bCs w:val="0"/>
          <w:lang w:val="pl"/>
        </w:rPr>
        <w:lastRenderedPageBreak/>
        <w:t>ZASTOSOWANIE ART. 41 KONWENCJI</w:t>
      </w:r>
    </w:p>
    <w:p w14:paraId="10548A06" w14:textId="3378D8F7" w:rsidR="00FB1A8A" w:rsidRPr="00CF7B21" w:rsidRDefault="00FB1A8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88</w:t>
      </w:r>
      <w:r>
        <w:rPr>
          <w:noProof/>
          <w:lang w:val="pl"/>
        </w:rPr>
        <w:fldChar w:fldCharType="end"/>
      </w:r>
      <w:r>
        <w:rPr>
          <w:lang w:val="pl"/>
        </w:rPr>
        <w:t>.  Skarżąca nie dochodziła żadnych roszczeń z tytułu sprawiedliwego zadośćuczynienia ani kosztów i wydatków. W związku z tym Trybunał uznaje, że nie ma podstaw do zasądzenia na jej rzecz jakiejkolwiek kwoty z</w:t>
      </w:r>
      <w:r w:rsidR="00CF7B21">
        <w:rPr>
          <w:lang w:val="pl"/>
        </w:rPr>
        <w:t> </w:t>
      </w:r>
      <w:r>
        <w:rPr>
          <w:lang w:val="pl"/>
        </w:rPr>
        <w:t>tego tytułu (</w:t>
      </w:r>
      <w:bookmarkStart w:id="53" w:name="_cl21304THELAW"/>
      <w:r>
        <w:rPr>
          <w:lang w:val="pl"/>
        </w:rPr>
        <w:t xml:space="preserve">zob. </w:t>
      </w:r>
      <w:proofErr w:type="spellStart"/>
      <w:r>
        <w:rPr>
          <w:i/>
          <w:iCs/>
          <w:lang w:val="pl"/>
        </w:rPr>
        <w:t>Atiman</w:t>
      </w:r>
      <w:proofErr w:type="spellEnd"/>
      <w:r>
        <w:rPr>
          <w:i/>
          <w:iCs/>
          <w:lang w:val="pl"/>
        </w:rPr>
        <w:t xml:space="preserve"> przeciwko Turcji</w:t>
      </w:r>
      <w:bookmarkEnd w:id="53"/>
      <w:r>
        <w:rPr>
          <w:lang w:val="pl"/>
        </w:rPr>
        <w:t>, nr 62279/09, § 44, 23 września 2014 r.).</w:t>
      </w:r>
    </w:p>
    <w:p w14:paraId="163FCB51" w14:textId="77777777" w:rsidR="00AD41E8" w:rsidRPr="00843F1A" w:rsidRDefault="00000000" w:rsidP="00843F1A">
      <w:pPr>
        <w:pStyle w:val="JuHHead"/>
        <w:numPr>
          <w:ilvl w:val="0"/>
          <w:numId w:val="1"/>
        </w:numPr>
      </w:pPr>
      <w:r>
        <w:rPr>
          <w:bCs w:val="0"/>
          <w:lang w:val="pl"/>
        </w:rPr>
        <w:t>Z POWYŻSZYCH WZGLĘDÓW TRYBUNAŁ</w:t>
      </w:r>
    </w:p>
    <w:p w14:paraId="2867B2AD" w14:textId="77777777" w:rsidR="00FB1A8A" w:rsidRPr="00CF7B21" w:rsidRDefault="00000000" w:rsidP="00843F1A">
      <w:pPr>
        <w:pStyle w:val="JuList"/>
        <w:numPr>
          <w:ilvl w:val="0"/>
          <w:numId w:val="2"/>
        </w:numPr>
        <w:rPr>
          <w:lang w:val="pl-PL"/>
        </w:rPr>
      </w:pPr>
      <w:r>
        <w:rPr>
          <w:i/>
          <w:iCs/>
          <w:lang w:val="pl"/>
        </w:rPr>
        <w:t>Uznaje</w:t>
      </w:r>
      <w:r>
        <w:rPr>
          <w:lang w:val="pl"/>
        </w:rPr>
        <w:t>, większością głosów, skargę dotyczącą art. 6 ust. 1 Konwencji za dopuszczalną;</w:t>
      </w:r>
    </w:p>
    <w:p w14:paraId="2D3E5EEE" w14:textId="77777777" w:rsidR="004D0EC7" w:rsidRPr="00CF7B21" w:rsidRDefault="00000000" w:rsidP="00843F1A">
      <w:pPr>
        <w:pStyle w:val="JuList"/>
        <w:rPr>
          <w:lang w:val="pl-PL"/>
        </w:rPr>
      </w:pPr>
      <w:r>
        <w:rPr>
          <w:i/>
          <w:iCs/>
          <w:lang w:val="pl"/>
        </w:rPr>
        <w:t>Orzeka</w:t>
      </w:r>
      <w:r>
        <w:rPr>
          <w:lang w:val="pl"/>
        </w:rPr>
        <w:t>, sześcioma głosami do jednego, że doszło do naruszenia art. 6 ust. 1 Konwencji.</w:t>
      </w:r>
    </w:p>
    <w:p w14:paraId="4CCCA042" w14:textId="77777777" w:rsidR="008E3A08" w:rsidRPr="00CF7B21" w:rsidRDefault="00000000" w:rsidP="00843F1A">
      <w:pPr>
        <w:pStyle w:val="JuParaLast"/>
        <w:rPr>
          <w:lang w:val="pl-PL"/>
        </w:rPr>
      </w:pPr>
      <w:r>
        <w:rPr>
          <w:lang w:val="pl"/>
        </w:rPr>
        <w:t xml:space="preserve">Sporządzono w języku angielskim i obwieszczono pisemnie dnia </w:t>
      </w:r>
      <w:r>
        <w:rPr>
          <w:rFonts w:ascii="Times New Roman" w:hAnsi="Times New Roman"/>
          <w:lang w:val="pl"/>
        </w:rPr>
        <w:t>14 października 2025 r.</w:t>
      </w:r>
      <w:r>
        <w:rPr>
          <w:lang w:val="pl"/>
        </w:rPr>
        <w:t>, zgodnie z Regułą 77 §§ 2 i 3 Regulaminu Trybunału.</w:t>
      </w:r>
    </w:p>
    <w:p w14:paraId="612CEEF9" w14:textId="77777777" w:rsidR="007E79A4" w:rsidRPr="00CF7B21" w:rsidRDefault="00000000" w:rsidP="00843F1A">
      <w:pPr>
        <w:pStyle w:val="ECHRPlaceholder"/>
        <w:rPr>
          <w:szCs w:val="22"/>
          <w:lang w:val="pl-PL"/>
        </w:rPr>
      </w:pPr>
      <w:r>
        <w:rPr>
          <w:lang w:val="pl"/>
        </w:rPr>
        <w:tab/>
      </w:r>
    </w:p>
    <w:p w14:paraId="13D8AEFC" w14:textId="77777777" w:rsidR="007E79A4" w:rsidRPr="00CF7B21" w:rsidRDefault="00000000" w:rsidP="00843F1A">
      <w:pPr>
        <w:pStyle w:val="JuSigned"/>
        <w:rPr>
          <w:lang w:val="pl-PL"/>
        </w:rPr>
      </w:pPr>
      <w:r>
        <w:rPr>
          <w:lang w:val="pl"/>
        </w:rPr>
        <w:tab/>
        <w:t xml:space="preserve">Olga </w:t>
      </w:r>
      <w:proofErr w:type="spellStart"/>
      <w:r>
        <w:rPr>
          <w:lang w:val="pl"/>
        </w:rPr>
        <w:t>Chernishova</w:t>
      </w:r>
      <w:proofErr w:type="spellEnd"/>
      <w:r>
        <w:rPr>
          <w:lang w:val="pl"/>
        </w:rPr>
        <w:tab/>
      </w:r>
      <w:proofErr w:type="spellStart"/>
      <w:r>
        <w:rPr>
          <w:lang w:val="pl"/>
        </w:rPr>
        <w:t>Peeter</w:t>
      </w:r>
      <w:proofErr w:type="spellEnd"/>
      <w:r>
        <w:rPr>
          <w:lang w:val="pl"/>
        </w:rPr>
        <w:t xml:space="preserve"> </w:t>
      </w:r>
      <w:proofErr w:type="spellStart"/>
      <w:r>
        <w:rPr>
          <w:lang w:val="pl"/>
        </w:rPr>
        <w:t>Roosma</w:t>
      </w:r>
      <w:proofErr w:type="spellEnd"/>
      <w:r>
        <w:rPr>
          <w:lang w:val="pl"/>
        </w:rPr>
        <w:br/>
      </w:r>
      <w:r>
        <w:rPr>
          <w:lang w:val="pl"/>
        </w:rPr>
        <w:tab/>
        <w:t>Zastępca Kanclerza</w:t>
      </w:r>
      <w:r>
        <w:rPr>
          <w:lang w:val="pl"/>
        </w:rPr>
        <w:tab/>
        <w:t>Przewodniczący</w:t>
      </w:r>
    </w:p>
    <w:p w14:paraId="7ABDBBEE" w14:textId="77777777" w:rsidR="00675AF2" w:rsidRPr="00CF7B21" w:rsidRDefault="00675AF2" w:rsidP="00843F1A">
      <w:pPr>
        <w:pStyle w:val="JuPara"/>
        <w:rPr>
          <w:lang w:val="pl-PL"/>
        </w:rPr>
      </w:pPr>
    </w:p>
    <w:p w14:paraId="5BDF971D" w14:textId="77777777" w:rsidR="00FA266A" w:rsidRPr="00CF7B21" w:rsidRDefault="00FA266A" w:rsidP="00843F1A">
      <w:pPr>
        <w:pStyle w:val="JuPara"/>
        <w:rPr>
          <w:lang w:val="pl-PL"/>
        </w:rPr>
      </w:pPr>
    </w:p>
    <w:p w14:paraId="2BB524E7" w14:textId="77777777" w:rsidR="00FA266A" w:rsidRPr="00CF7B21" w:rsidRDefault="00FA266A" w:rsidP="00843F1A">
      <w:pPr>
        <w:pStyle w:val="JuPara"/>
        <w:rPr>
          <w:lang w:val="pl-PL"/>
        </w:rPr>
      </w:pPr>
    </w:p>
    <w:p w14:paraId="5F5584F0" w14:textId="77777777" w:rsidR="0093491C" w:rsidRPr="00CF7B21" w:rsidRDefault="00000000" w:rsidP="00843F1A">
      <w:pPr>
        <w:pStyle w:val="JuParaLast"/>
        <w:rPr>
          <w:lang w:val="pl-PL"/>
        </w:rPr>
      </w:pPr>
      <w:r>
        <w:rPr>
          <w:lang w:val="pl"/>
        </w:rPr>
        <w:t xml:space="preserve">Zgodnie z art. 45 ust. 2 Konwencji i Regułą 74 § 2 Regulaminu Trybunału do wyroku załączono opinię odrębną sędziego </w:t>
      </w:r>
      <w:proofErr w:type="spellStart"/>
      <w:r>
        <w:rPr>
          <w:lang w:val="pl"/>
        </w:rPr>
        <w:t>Roosmy</w:t>
      </w:r>
      <w:proofErr w:type="spellEnd"/>
      <w:r>
        <w:rPr>
          <w:lang w:val="pl"/>
        </w:rPr>
        <w:t>.</w:t>
      </w:r>
    </w:p>
    <w:p w14:paraId="6ED9CEEA" w14:textId="77777777" w:rsidR="0093491C" w:rsidRPr="00CF7B21" w:rsidRDefault="0093491C" w:rsidP="00843F1A">
      <w:pPr>
        <w:pStyle w:val="DecHTitle"/>
        <w:rPr>
          <w:lang w:val="pl-PL"/>
        </w:rPr>
        <w:sectPr w:rsidR="0093491C" w:rsidRPr="00CF7B21" w:rsidSect="00F65C00">
          <w:headerReference w:type="even" r:id="rId13"/>
          <w:headerReference w:type="default" r:id="rId14"/>
          <w:footnotePr>
            <w:numRestart w:val="eachSect"/>
          </w:footnotePr>
          <w:pgSz w:w="11906" w:h="16838" w:code="9"/>
          <w:pgMar w:top="2274" w:right="2274" w:bottom="2274" w:left="2274" w:header="1701" w:footer="720" w:gutter="0"/>
          <w:pgNumType w:start="1"/>
          <w:cols w:space="720"/>
          <w:docGrid w:linePitch="326"/>
        </w:sectPr>
      </w:pPr>
    </w:p>
    <w:p w14:paraId="34E3DE25" w14:textId="244664F3" w:rsidR="005E11E8" w:rsidRPr="00CF7B21" w:rsidRDefault="00000000" w:rsidP="00843F1A">
      <w:pPr>
        <w:pStyle w:val="DecHTitle"/>
        <w:rPr>
          <w:lang w:val="pl-PL"/>
        </w:rPr>
      </w:pPr>
      <w:r>
        <w:rPr>
          <w:lang w:val="pl"/>
        </w:rPr>
        <w:lastRenderedPageBreak/>
        <w:t>OPINIA</w:t>
      </w:r>
      <w:r w:rsidR="00704EB6">
        <w:rPr>
          <w:lang w:val="pl"/>
        </w:rPr>
        <w:t xml:space="preserve"> ODRĘBNA</w:t>
      </w:r>
      <w:r>
        <w:rPr>
          <w:lang w:val="pl"/>
        </w:rPr>
        <w:t xml:space="preserve"> SĘDZIEGO ROOSMY</w:t>
      </w:r>
    </w:p>
    <w:p w14:paraId="24CE0417" w14:textId="3B9B7367" w:rsidR="005E11E8" w:rsidRPr="00CF7B21" w:rsidRDefault="00000000" w:rsidP="00843F1A">
      <w:pPr>
        <w:pStyle w:val="JuPara"/>
        <w:rPr>
          <w:lang w:val="pl-PL"/>
        </w:rPr>
      </w:pPr>
      <w:r>
        <w:rPr>
          <w:lang w:val="pl"/>
        </w:rPr>
        <w:fldChar w:fldCharType="begin"/>
      </w:r>
      <w:r>
        <w:rPr>
          <w:lang w:val="pl"/>
        </w:rPr>
        <w:instrText xml:space="preserve"> SEQ level0 \*arabic \r1 </w:instrText>
      </w:r>
      <w:r>
        <w:rPr>
          <w:lang w:val="pl"/>
        </w:rPr>
        <w:fldChar w:fldCharType="separate"/>
      </w:r>
      <w:r>
        <w:rPr>
          <w:noProof/>
          <w:lang w:val="pl"/>
        </w:rPr>
        <w:t>1</w:t>
      </w:r>
      <w:r>
        <w:rPr>
          <w:lang w:val="pl"/>
        </w:rPr>
        <w:fldChar w:fldCharType="end"/>
      </w:r>
      <w:r>
        <w:rPr>
          <w:lang w:val="pl"/>
        </w:rPr>
        <w:t xml:space="preserve">.  Z przykrością stwierdzam, że nie mogłem zgodzić się z większością ani co do dopuszczalności, ani co </w:t>
      </w:r>
      <w:proofErr w:type="gramStart"/>
      <w:r>
        <w:rPr>
          <w:lang w:val="pl"/>
        </w:rPr>
        <w:t xml:space="preserve">do </w:t>
      </w:r>
      <w:r w:rsidR="00B226DE">
        <w:rPr>
          <w:lang w:val="pl"/>
        </w:rPr>
        <w:t xml:space="preserve"> istoty</w:t>
      </w:r>
      <w:proofErr w:type="gramEnd"/>
      <w:r w:rsidR="00B226DE">
        <w:rPr>
          <w:lang w:val="pl"/>
        </w:rPr>
        <w:t xml:space="preserve"> sprawy</w:t>
      </w:r>
      <w:r>
        <w:rPr>
          <w:lang w:val="pl"/>
        </w:rPr>
        <w:t>.</w:t>
      </w:r>
    </w:p>
    <w:p w14:paraId="0E7FA73F" w14:textId="77777777" w:rsidR="005E11E8" w:rsidRPr="00843F1A" w:rsidRDefault="00000000" w:rsidP="00843F1A">
      <w:pPr>
        <w:pStyle w:val="JuHA"/>
      </w:pPr>
      <w:r>
        <w:rPr>
          <w:lang w:val="pl"/>
        </w:rPr>
        <w:t>Zakres sprawy i dopuszczalność</w:t>
      </w:r>
    </w:p>
    <w:p w14:paraId="523FDAE7" w14:textId="2C05EF1D" w:rsidR="005E11E8" w:rsidRPr="00CF7B21" w:rsidRDefault="005E11E8"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2</w:t>
      </w:r>
      <w:r>
        <w:rPr>
          <w:noProof/>
          <w:lang w:val="pl"/>
        </w:rPr>
        <w:fldChar w:fldCharType="end"/>
      </w:r>
      <w:r>
        <w:rPr>
          <w:lang w:val="pl"/>
        </w:rPr>
        <w:t xml:space="preserve">.  Moje zastrzeżenia dotyczą przede wszystkim samego zakresu sprawy, którą Trybunał miał rozpatrzyć. W niedawnej sprawie </w:t>
      </w:r>
      <w:proofErr w:type="spellStart"/>
      <w:r>
        <w:rPr>
          <w:i/>
          <w:iCs/>
          <w:lang w:val="pl"/>
        </w:rPr>
        <w:t>Grosam</w:t>
      </w:r>
      <w:proofErr w:type="spellEnd"/>
      <w:r>
        <w:rPr>
          <w:i/>
          <w:iCs/>
          <w:lang w:val="pl"/>
        </w:rPr>
        <w:t xml:space="preserve"> przeciwko Republice Czeskiej</w:t>
      </w:r>
      <w:r>
        <w:rPr>
          <w:lang w:val="pl"/>
        </w:rPr>
        <w:t xml:space="preserve"> ([WI], nr 19750/13, 1 czerwca 2023 r.) Wielka Izba Trybunału miała okazję wyjaśnić, co stanowi skargę lub „roszczenie” w</w:t>
      </w:r>
      <w:r w:rsidR="00CF7B21">
        <w:rPr>
          <w:lang w:val="pl"/>
        </w:rPr>
        <w:t> </w:t>
      </w:r>
      <w:r>
        <w:rPr>
          <w:lang w:val="pl"/>
        </w:rPr>
        <w:t xml:space="preserve">rozumieniu Konwencji. W nawiązaniu do sprawy </w:t>
      </w:r>
      <w:proofErr w:type="spellStart"/>
      <w:r>
        <w:rPr>
          <w:i/>
          <w:iCs/>
          <w:lang w:val="pl"/>
        </w:rPr>
        <w:t>Radomilja</w:t>
      </w:r>
      <w:proofErr w:type="spellEnd"/>
      <w:r>
        <w:rPr>
          <w:i/>
          <w:iCs/>
          <w:lang w:val="pl"/>
        </w:rPr>
        <w:t xml:space="preserve"> i inni przeciwko Chorwacji</w:t>
      </w:r>
      <w:r>
        <w:rPr>
          <w:lang w:val="pl"/>
        </w:rPr>
        <w:t xml:space="preserve"> ([WI], nr 37685/10 i 22768/12, 20 marca 2018 r.) Trybunał przypomniał, co następuje (zob. </w:t>
      </w:r>
      <w:proofErr w:type="spellStart"/>
      <w:r>
        <w:rPr>
          <w:i/>
          <w:iCs/>
          <w:lang w:val="pl"/>
        </w:rPr>
        <w:t>Grosam</w:t>
      </w:r>
      <w:proofErr w:type="spellEnd"/>
      <w:r>
        <w:rPr>
          <w:lang w:val="pl"/>
        </w:rPr>
        <w:t xml:space="preserve">, </w:t>
      </w:r>
      <w:proofErr w:type="spellStart"/>
      <w:r>
        <w:rPr>
          <w:i/>
          <w:iCs/>
          <w:lang w:val="pl"/>
        </w:rPr>
        <w:t>op.cit</w:t>
      </w:r>
      <w:proofErr w:type="spellEnd"/>
      <w:r>
        <w:rPr>
          <w:i/>
          <w:iCs/>
          <w:lang w:val="pl"/>
        </w:rPr>
        <w:t>.</w:t>
      </w:r>
      <w:r>
        <w:rPr>
          <w:lang w:val="pl"/>
        </w:rPr>
        <w:t>, § 88):</w:t>
      </w:r>
    </w:p>
    <w:p w14:paraId="76BDA08A" w14:textId="03E87402" w:rsidR="005E11E8" w:rsidRPr="00CF7B21" w:rsidRDefault="00000000" w:rsidP="00843F1A">
      <w:pPr>
        <w:pStyle w:val="JuQuot"/>
        <w:rPr>
          <w:lang w:val="pl-PL"/>
        </w:rPr>
      </w:pPr>
      <w:r>
        <w:rPr>
          <w:lang w:val="pl"/>
        </w:rPr>
        <w:t xml:space="preserve">„[Skarga] składa się z dwóch elementów, a mianowicie z zarzutów faktycznych (tj. dotyczących tego, że skarżący </w:t>
      </w:r>
      <w:proofErr w:type="gramStart"/>
      <w:r>
        <w:rPr>
          <w:lang w:val="pl"/>
        </w:rPr>
        <w:t>jest »ofiarą« działania</w:t>
      </w:r>
      <w:proofErr w:type="gramEnd"/>
      <w:r>
        <w:rPr>
          <w:lang w:val="pl"/>
        </w:rPr>
        <w:t xml:space="preserve"> lub zaniechania) oraz z argumentów prawnych leżących u ich podstaw (tj. wspomniane działanie lub zaniechanie stanowi »naruszenie przez [jedną z] Układających się Stron Konwencji praw określonych w Konwencji lub protokołach do niej – zob. </w:t>
      </w:r>
      <w:proofErr w:type="spellStart"/>
      <w:r>
        <w:rPr>
          <w:i/>
          <w:iCs/>
          <w:lang w:val="pl"/>
        </w:rPr>
        <w:t>Radomilja</w:t>
      </w:r>
      <w:proofErr w:type="spellEnd"/>
      <w:r>
        <w:rPr>
          <w:i/>
          <w:iCs/>
          <w:lang w:val="pl"/>
        </w:rPr>
        <w:t xml:space="preserve"> i Inni,</w:t>
      </w:r>
      <w:r>
        <w:rPr>
          <w:lang w:val="pl"/>
        </w:rPr>
        <w:t xml:space="preserve"> </w:t>
      </w:r>
      <w:proofErr w:type="spellStart"/>
      <w:r>
        <w:rPr>
          <w:i/>
          <w:iCs/>
          <w:lang w:val="pl"/>
        </w:rPr>
        <w:t>op.cit</w:t>
      </w:r>
      <w:proofErr w:type="spellEnd"/>
      <w:r>
        <w:rPr>
          <w:i/>
          <w:iCs/>
          <w:lang w:val="pl"/>
        </w:rPr>
        <w:t>.</w:t>
      </w:r>
      <w:r>
        <w:rPr>
          <w:lang w:val="pl"/>
        </w:rPr>
        <w:t>, § 110). Te dwa elementy są ze sobą ściśle powiązane, ponieważ fakty będące przedmiotem skargi należy rozpatrywać w świetle przedstawionych argumentów prawnych i odwrotnie [...]”.</w:t>
      </w:r>
    </w:p>
    <w:p w14:paraId="63C4B90E" w14:textId="77777777" w:rsidR="005E11E8" w:rsidRPr="00CF7B21" w:rsidRDefault="00000000" w:rsidP="00843F1A">
      <w:pPr>
        <w:pStyle w:val="JuPara"/>
        <w:rPr>
          <w:lang w:val="pl-PL"/>
        </w:rPr>
      </w:pPr>
      <w:r>
        <w:rPr>
          <w:lang w:val="pl"/>
        </w:rPr>
        <w:t xml:space="preserve">Wielka Izba uściśliła ponadto, że nie wystarczy, aby naruszenie Konwencji „wynikało” z faktów sprawy lub z twierdzeń skarżących. Uznała natomiast, że skarżąca musiała zarzucić, iż określone działanie lub zaniechanie stanowiło naruszenie praw określonych w Konwencji lub protokołach do niej, w sposób, który nie pozostawiałby Trybunałowi wątpliwości co do tego, czy dany zarzut został podniesiony, czy też nie (zob. </w:t>
      </w:r>
      <w:proofErr w:type="spellStart"/>
      <w:r>
        <w:rPr>
          <w:i/>
          <w:iCs/>
          <w:lang w:val="pl"/>
        </w:rPr>
        <w:t>Grosam</w:t>
      </w:r>
      <w:proofErr w:type="spellEnd"/>
      <w:r>
        <w:rPr>
          <w:lang w:val="pl"/>
        </w:rPr>
        <w:t xml:space="preserve">, </w:t>
      </w:r>
      <w:proofErr w:type="spellStart"/>
      <w:r>
        <w:rPr>
          <w:i/>
          <w:iCs/>
          <w:lang w:val="pl"/>
        </w:rPr>
        <w:t>op.cit</w:t>
      </w:r>
      <w:proofErr w:type="spellEnd"/>
      <w:r>
        <w:rPr>
          <w:i/>
          <w:iCs/>
          <w:lang w:val="pl"/>
        </w:rPr>
        <w:t>.</w:t>
      </w:r>
      <w:r>
        <w:rPr>
          <w:lang w:val="pl"/>
        </w:rPr>
        <w:t>, § 90). Trybunał nie ma uprawnień do stawiania się w pozycji skarżącego i formułowania nowych zarzutów wyłącznie na podstawie przedstawionych argumentów i faktów (tamże, § 91).</w:t>
      </w:r>
    </w:p>
    <w:p w14:paraId="0CFC2FB9" w14:textId="77777777" w:rsidR="005E11E8" w:rsidRPr="00CF7B21" w:rsidRDefault="005E11E8"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3</w:t>
      </w:r>
      <w:r>
        <w:rPr>
          <w:noProof/>
          <w:lang w:val="pl"/>
        </w:rPr>
        <w:fldChar w:fldCharType="end"/>
      </w:r>
      <w:r>
        <w:rPr>
          <w:lang w:val="pl"/>
        </w:rPr>
        <w:t xml:space="preserve">.  W niniejszej sprawie skarżąca, pełniąca funkcję prokuratora, była objęta krajowym postępowaniem dyscyplinarnym wszczętym przez V.T., prezes Sądu Kasacyjnego („SK”). 4 kwietnia 2016 r. w pisemnej odpowiedzi na zarzuty przedłożonej prezes SK skarżąca wniosła o wyłączenie prezes SK z postępowania z powodów przedstawionych w paragrafach 9–11 wyroku. 12 kwietnia 2016 r. V.T. przekazała sprawę wiceprezesowi SK w celu zakończenia wstępnego postępowania wyjaśniającego, stwierdzając w piśmie przekazującym sprawę, że wniosek o wyłączenie był bezzasadny i stanowił nadużycie praw procesowych (zob. paragrafy 12–13 wyroku). 18 kwietnia 2016 r. V.T., pełniąca funkcję prezesa SK, wydała komunikat prasowy dotyczący postępowania dyscyplinarnego przeciwko skarżącej. W komunikacie prasowym odniosła się do kompetencji prezesa SK w przedmiocie prowadzenia postępowań dyscyplinarnych w ogóle. Następnie, odnosząc się konkretnie do postępowania dyscyplinarnego w stosunku do </w:t>
      </w:r>
      <w:r>
        <w:rPr>
          <w:lang w:val="pl"/>
        </w:rPr>
        <w:lastRenderedPageBreak/>
        <w:t>skarżącej, V.T. stwierdziła, że wniosek skarżącej o jej odwołanie był bezzasadny i stanowił nadużycie praw procesowych (zob. paragraf 32 wyroku). Po zakończeniu wstępnego postępowania wyjaśniającego prowadzonego przez wiceprezesa SK w dniu 24 czerwca 2016 r. V.T. wszczęła postępowanie dyscyplinarne przeciwko skarżącej i skierowała jej sprawę do siedmioosobowej komisji dyscyplinarnej SK.</w:t>
      </w:r>
    </w:p>
    <w:p w14:paraId="41BF7352" w14:textId="3EC5C09F" w:rsidR="005E11E8" w:rsidRPr="00CF7B21" w:rsidRDefault="005E11E8"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4</w:t>
      </w:r>
      <w:r>
        <w:rPr>
          <w:noProof/>
          <w:lang w:val="pl"/>
        </w:rPr>
        <w:fldChar w:fldCharType="end"/>
      </w:r>
      <w:r>
        <w:rPr>
          <w:lang w:val="pl"/>
        </w:rPr>
        <w:t xml:space="preserve">.  W trakcie trwania postępowania przed tą komisją dyscyplinarną skarżąca złożyła w dniu 20 lipca 2016 r. skargę do Trybunału. Twierdziła, że o jej wniosku o wyłączenie V.T. z dnia 4 kwietnia 2016 r. orzekła sama V.T., co stanowiło naruszenie jej prawa </w:t>
      </w:r>
      <w:proofErr w:type="gramStart"/>
      <w:r>
        <w:rPr>
          <w:lang w:val="pl"/>
        </w:rPr>
        <w:t xml:space="preserve">do </w:t>
      </w:r>
      <w:r w:rsidR="00946815">
        <w:rPr>
          <w:lang w:val="pl"/>
        </w:rPr>
        <w:t xml:space="preserve"> rozpoznania</w:t>
      </w:r>
      <w:proofErr w:type="gramEnd"/>
      <w:r w:rsidR="00946815">
        <w:rPr>
          <w:lang w:val="pl"/>
        </w:rPr>
        <w:t xml:space="preserve"> sprawy przez</w:t>
      </w:r>
      <w:r>
        <w:rPr>
          <w:lang w:val="pl"/>
        </w:rPr>
        <w:t xml:space="preserve"> bezstronny sąd zgodnie z art. 6 ust. 1 Konwencji.</w:t>
      </w:r>
    </w:p>
    <w:p w14:paraId="68B7E395" w14:textId="3D754CFE" w:rsidR="005E11E8" w:rsidRPr="00CF7B21" w:rsidRDefault="005E11E8"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5</w:t>
      </w:r>
      <w:r>
        <w:rPr>
          <w:noProof/>
          <w:lang w:val="pl"/>
        </w:rPr>
        <w:fldChar w:fldCharType="end"/>
      </w:r>
      <w:r>
        <w:rPr>
          <w:lang w:val="pl"/>
        </w:rPr>
        <w:t>.  Dopiero po wniesieniu skargi do Trybunału zakończono postępowanie dyscyplinarne, a siedmioosobowa, a następnie dziewięcioosobowa komisja dyscyplinarna wydały swoje orzeczenia odpowiednio w dniach 10</w:t>
      </w:r>
      <w:r w:rsidR="00CF7B21">
        <w:rPr>
          <w:lang w:val="pl"/>
        </w:rPr>
        <w:t> </w:t>
      </w:r>
      <w:r>
        <w:rPr>
          <w:lang w:val="pl"/>
        </w:rPr>
        <w:t>października 2016 r. i 16 marca 2017 r.</w:t>
      </w:r>
    </w:p>
    <w:p w14:paraId="71A2C050" w14:textId="437B777E" w:rsidR="005E11E8" w:rsidRPr="00CF7B21" w:rsidRDefault="005E11E8"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6</w:t>
      </w:r>
      <w:r>
        <w:rPr>
          <w:noProof/>
          <w:lang w:val="pl"/>
        </w:rPr>
        <w:fldChar w:fldCharType="end"/>
      </w:r>
      <w:r>
        <w:rPr>
          <w:lang w:val="pl"/>
        </w:rPr>
        <w:t>.  Moim zdaniem</w:t>
      </w:r>
      <w:r w:rsidR="005B3D36">
        <w:rPr>
          <w:lang w:val="pl"/>
        </w:rPr>
        <w:t>,</w:t>
      </w:r>
      <w:r>
        <w:rPr>
          <w:lang w:val="pl"/>
        </w:rPr>
        <w:t xml:space="preserve"> zarówno analiza dosłowna, jak i chronologiczna zarzutów faktycznych oraz argumentów prawnych przedstawionych przez skarżącą przed Trybunałem nie pozostawiają wątpliwości, że skarżyła się ona przed Trybunałem na pismo V.T. przekazujące sprawę z dnia 12 kwietnia 2016 r., w którym ta ostatnia, zdaniem skarżącej, oddaliła wniosek o</w:t>
      </w:r>
      <w:r w:rsidR="00CF7B21">
        <w:rPr>
          <w:lang w:val="pl"/>
        </w:rPr>
        <w:t> </w:t>
      </w:r>
      <w:r>
        <w:rPr>
          <w:lang w:val="pl"/>
        </w:rPr>
        <w:t xml:space="preserve">wyłączenie. Kolejne postępowania przed siedmio- i dziewięcioosobowymi komisjami dyscyplinarnymi miały miejsce po wniesieniu skargi do Trybunału; w ciągu sześciu miesięcy od zakończenia postępowań przed komisjami dyscyplinarnymi skarżąca nie złożyła do Trybunału </w:t>
      </w:r>
      <w:proofErr w:type="gramStart"/>
      <w:r>
        <w:rPr>
          <w:lang w:val="pl"/>
        </w:rPr>
        <w:t xml:space="preserve">żadnych </w:t>
      </w:r>
      <w:r w:rsidR="00881EF1">
        <w:rPr>
          <w:lang w:val="pl"/>
        </w:rPr>
        <w:t xml:space="preserve"> uwag</w:t>
      </w:r>
      <w:proofErr w:type="gramEnd"/>
      <w:r w:rsidR="00881EF1">
        <w:rPr>
          <w:lang w:val="pl"/>
        </w:rPr>
        <w:t xml:space="preserve"> </w:t>
      </w:r>
      <w:r>
        <w:rPr>
          <w:lang w:val="pl"/>
        </w:rPr>
        <w:t>ani dalszych skarg.</w:t>
      </w:r>
    </w:p>
    <w:p w14:paraId="0BB8C091" w14:textId="72A3ED8B" w:rsidR="005E11E8" w:rsidRPr="00CF7B21" w:rsidRDefault="005E11E8"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7</w:t>
      </w:r>
      <w:r>
        <w:rPr>
          <w:noProof/>
          <w:lang w:val="pl"/>
        </w:rPr>
        <w:fldChar w:fldCharType="end"/>
      </w:r>
      <w:r>
        <w:rPr>
          <w:lang w:val="pl"/>
        </w:rPr>
        <w:t>.  W związku z powyższym</w:t>
      </w:r>
      <w:r w:rsidR="005B3D36">
        <w:rPr>
          <w:lang w:val="pl"/>
        </w:rPr>
        <w:t>,</w:t>
      </w:r>
      <w:r>
        <w:rPr>
          <w:lang w:val="pl"/>
        </w:rPr>
        <w:t xml:space="preserve"> zakres sprawy rozpatrywanej przez Trybunał ograniczał się do ustalenia, czy zarzucane oddalenie przez V.T. wniosku o</w:t>
      </w:r>
      <w:r w:rsidR="00CF7B21">
        <w:rPr>
          <w:lang w:val="pl"/>
        </w:rPr>
        <w:t> </w:t>
      </w:r>
      <w:r>
        <w:rPr>
          <w:lang w:val="pl"/>
        </w:rPr>
        <w:t xml:space="preserve">wyłączenie jej z postępowania stanowiło naruszenie prawa skarżącej </w:t>
      </w:r>
      <w:proofErr w:type="gramStart"/>
      <w:r>
        <w:rPr>
          <w:lang w:val="pl"/>
        </w:rPr>
        <w:t xml:space="preserve">do </w:t>
      </w:r>
      <w:r w:rsidR="00693E83">
        <w:rPr>
          <w:lang w:val="pl"/>
        </w:rPr>
        <w:t xml:space="preserve"> rozpatrzenia</w:t>
      </w:r>
      <w:proofErr w:type="gramEnd"/>
      <w:r w:rsidR="00693E83">
        <w:rPr>
          <w:lang w:val="pl"/>
        </w:rPr>
        <w:t xml:space="preserve"> jej sprawy</w:t>
      </w:r>
      <w:r>
        <w:rPr>
          <w:lang w:val="pl"/>
        </w:rPr>
        <w:t xml:space="preserve"> przez bezstronny sąd.</w:t>
      </w:r>
    </w:p>
    <w:p w14:paraId="49C025C2" w14:textId="77777777" w:rsidR="005E11E8" w:rsidRPr="00CF7B21" w:rsidRDefault="005E11E8"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8</w:t>
      </w:r>
      <w:r>
        <w:rPr>
          <w:noProof/>
          <w:lang w:val="pl"/>
        </w:rPr>
        <w:fldChar w:fldCharType="end"/>
      </w:r>
      <w:r>
        <w:rPr>
          <w:lang w:val="pl"/>
        </w:rPr>
        <w:t>.  Nie ma powodu, by podważać ocenę wydaną przez prezesa SK, siedmioosobowej komisji dyscyplinarnej oraz dziewięcioosobowej komisji dyscyplinarnej, zgodnie z którą, po pierwsze, wniosek skarżącej o wyłączenie był niedopuszczalny, ponieważ nie został złożony do prokuratora SK zgodnie z wymogami prawa, a ponadto prezes SK w rzeczywistości nie oddaliła wniosku o wyłączenie (zob. paragrafy 18, 23 oraz 27–28 wyroku).</w:t>
      </w:r>
    </w:p>
    <w:p w14:paraId="6B756E52" w14:textId="2A5CAA2F" w:rsidR="005E11E8" w:rsidRPr="00CF7B21" w:rsidRDefault="005E11E8"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9</w:t>
      </w:r>
      <w:r>
        <w:rPr>
          <w:noProof/>
          <w:lang w:val="pl"/>
        </w:rPr>
        <w:fldChar w:fldCharType="end"/>
      </w:r>
      <w:r>
        <w:rPr>
          <w:lang w:val="pl"/>
        </w:rPr>
        <w:t>.  Moim zdaniem</w:t>
      </w:r>
      <w:r w:rsidR="005B3D36">
        <w:rPr>
          <w:lang w:val="pl"/>
        </w:rPr>
        <w:t>,</w:t>
      </w:r>
      <w:r>
        <w:rPr>
          <w:lang w:val="pl"/>
        </w:rPr>
        <w:t xml:space="preserve"> na tym sprawa się kończy. Skarga skarżącej wniesiona do Trybunału opierała się na błędnej interpretacji, zgodnie z którą prezes SK w piśmie przekazującym sprawę wstępne postępowanie wyjaśniające wiceprezesowi SK oddaliła wniosek o wyłączenie jej z postępowania. Faktyczny zarzut leżący u podstaw skargi skarżącej wniesionej do Trybunału został obalony w późniejszym postępowaniu krajowym, a ustalenie to nie było ani arbitralne, ani w sposób oczywisty nieuzasadnione, dlatego można jedynie stwierdzić, że zarzucane naruszenie nie miało miejsca, a skarga skarżącej do Trybunału jest w sposób oczywisty nieuzasadniona.</w:t>
      </w:r>
    </w:p>
    <w:p w14:paraId="131640BE" w14:textId="567E0A72" w:rsidR="005E11E8" w:rsidRPr="00CF7B21" w:rsidRDefault="005E11E8" w:rsidP="00843F1A">
      <w:pPr>
        <w:pStyle w:val="JuPara"/>
        <w:rPr>
          <w:lang w:val="pl-PL"/>
        </w:rPr>
      </w:pPr>
      <w:r>
        <w:lastRenderedPageBreak/>
        <w:fldChar w:fldCharType="begin"/>
      </w:r>
      <w:r w:rsidRPr="00CF7B21">
        <w:rPr>
          <w:lang w:val="pl-PL"/>
        </w:rPr>
        <w:instrText xml:space="preserve"> SEQ level0 \*arabic \* MERGEFORMAT </w:instrText>
      </w:r>
      <w:r>
        <w:fldChar w:fldCharType="separate"/>
      </w:r>
      <w:r>
        <w:rPr>
          <w:noProof/>
          <w:lang w:val="pl"/>
        </w:rPr>
        <w:t>10</w:t>
      </w:r>
      <w:r>
        <w:rPr>
          <w:noProof/>
          <w:lang w:val="pl"/>
        </w:rPr>
        <w:fldChar w:fldCharType="end"/>
      </w:r>
      <w:r>
        <w:rPr>
          <w:lang w:val="pl"/>
        </w:rPr>
        <w:t xml:space="preserve">.  Z powyższego wynika, że Trybunał nie miał potrzeby – a zresztą nie mógł – przystąpić do dalszego badania niezależności i bezstronności postępowania przed komisjami dyscyplinarnymi. Jak wyjaśniono powyżej, skarżąca nie złożyła skargi na te postępowania i nie mogła tego uczynić, ponieważ miały one miejsce po złożeniu przez nią skarg do Trybunału. Te dalsze postępowania wyraźnie wykraczają poza zakres sprawy przedłożonej Trybunałowi przez skarżącą. Skoro jednak większość sędziów uznała za możliwe i konieczne przystąpienie do dalszego zbadania sprawy, czuję się zobowiązany wyrazić również swój pełen szacunku sprzeciw co </w:t>
      </w:r>
      <w:proofErr w:type="gramStart"/>
      <w:r>
        <w:rPr>
          <w:lang w:val="pl"/>
        </w:rPr>
        <w:t xml:space="preserve">do </w:t>
      </w:r>
      <w:r w:rsidR="00405D1A">
        <w:rPr>
          <w:lang w:val="pl"/>
        </w:rPr>
        <w:t xml:space="preserve"> meritum</w:t>
      </w:r>
      <w:proofErr w:type="gramEnd"/>
      <w:r w:rsidR="00405D1A">
        <w:rPr>
          <w:lang w:val="pl"/>
        </w:rPr>
        <w:t xml:space="preserve"> skargi.</w:t>
      </w:r>
    </w:p>
    <w:p w14:paraId="57BE83BA" w14:textId="5C738D60" w:rsidR="005E11E8" w:rsidRPr="00843F1A" w:rsidRDefault="00000000" w:rsidP="00843F1A">
      <w:pPr>
        <w:pStyle w:val="JuHA"/>
      </w:pPr>
      <w:r>
        <w:rPr>
          <w:lang w:val="pl"/>
        </w:rPr>
        <w:t>Przedmiot skargi</w:t>
      </w:r>
    </w:p>
    <w:p w14:paraId="42D05415" w14:textId="019FD642" w:rsidR="005E11E8" w:rsidRPr="00CF7B21" w:rsidRDefault="005E11E8"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11</w:t>
      </w:r>
      <w:r>
        <w:rPr>
          <w:noProof/>
          <w:lang w:val="pl"/>
        </w:rPr>
        <w:fldChar w:fldCharType="end"/>
      </w:r>
      <w:r>
        <w:rPr>
          <w:lang w:val="pl"/>
        </w:rPr>
        <w:t xml:space="preserve">.  Większość oparła swoje stwierdzenie naruszenia na szeregu czynników, z których żaden, moim zdaniem, nie uzasadnia sformułowanej konkluzji. Odniosę się do każdego z nich po kolei. Zanim to jednak nastąpi, chciałbym zwrócić uwagę na kwestię, w której zgadzam się z większością: W pełni podzielam pogląd, że strona postępowania, taka jak prokurator, nie może podlegać tym samym obowiązkom niezawisłości i bezstronności, jakie art. 6 nakłada na „sąd” (zob. paragraf 81 wyroku; zob. również, oprócz sprawy </w:t>
      </w:r>
      <w:r>
        <w:rPr>
          <w:i/>
          <w:iCs/>
          <w:lang w:val="pl"/>
        </w:rPr>
        <w:t>Thierry przeciwko Francji</w:t>
      </w:r>
      <w:r>
        <w:rPr>
          <w:lang w:val="pl"/>
        </w:rPr>
        <w:t xml:space="preserve"> (</w:t>
      </w:r>
      <w:proofErr w:type="spellStart"/>
      <w:r>
        <w:rPr>
          <w:lang w:val="pl"/>
        </w:rPr>
        <w:t>dec</w:t>
      </w:r>
      <w:proofErr w:type="spellEnd"/>
      <w:r>
        <w:rPr>
          <w:lang w:val="pl"/>
        </w:rPr>
        <w:t xml:space="preserve">.), nr 37058/19, § 30, 31 stycznia 2023 r., przywołanej w wyroku, sprawę </w:t>
      </w:r>
      <w:proofErr w:type="spellStart"/>
      <w:r>
        <w:rPr>
          <w:i/>
          <w:iCs/>
          <w:lang w:val="pl"/>
        </w:rPr>
        <w:t>Clements</w:t>
      </w:r>
      <w:proofErr w:type="spellEnd"/>
      <w:r>
        <w:rPr>
          <w:i/>
          <w:iCs/>
          <w:lang w:val="pl"/>
        </w:rPr>
        <w:t xml:space="preserve"> przeciwko Grecji</w:t>
      </w:r>
      <w:r>
        <w:rPr>
          <w:lang w:val="pl"/>
        </w:rPr>
        <w:t xml:space="preserve"> (</w:t>
      </w:r>
      <w:proofErr w:type="spellStart"/>
      <w:r>
        <w:rPr>
          <w:lang w:val="pl"/>
        </w:rPr>
        <w:t>dec</w:t>
      </w:r>
      <w:proofErr w:type="spellEnd"/>
      <w:r>
        <w:rPr>
          <w:lang w:val="pl"/>
        </w:rPr>
        <w:t xml:space="preserve">.), nr 76629/14, § 37, 19 kwietnia 2016 r.). W niniejszej sprawie V.T., prezes SK, działała w ramach swoich uprawnień, wnosząc zarzuty dyscyplinarne przeciwko </w:t>
      </w:r>
      <w:proofErr w:type="gramStart"/>
      <w:r>
        <w:rPr>
          <w:lang w:val="pl"/>
        </w:rPr>
        <w:t>skarżącej,</w:t>
      </w:r>
      <w:proofErr w:type="gramEnd"/>
      <w:r>
        <w:rPr>
          <w:lang w:val="pl"/>
        </w:rPr>
        <w:t xml:space="preserve"> i dlatego można ją uznać za stronę przeciwną skarżącej w postępowaniu dyscyplinarnym, a nie za „sąd”.</w:t>
      </w:r>
    </w:p>
    <w:p w14:paraId="4D36777B" w14:textId="6DCD29AB" w:rsidR="005E11E8" w:rsidRPr="00CF7B21" w:rsidRDefault="005E11E8"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12</w:t>
      </w:r>
      <w:r>
        <w:rPr>
          <w:noProof/>
          <w:lang w:val="pl"/>
        </w:rPr>
        <w:fldChar w:fldCharType="end"/>
      </w:r>
      <w:r>
        <w:rPr>
          <w:lang w:val="pl"/>
        </w:rPr>
        <w:t>.  Zdaniem większości</w:t>
      </w:r>
      <w:r w:rsidR="009F6B17">
        <w:rPr>
          <w:lang w:val="pl"/>
        </w:rPr>
        <w:t>,</w:t>
      </w:r>
      <w:r>
        <w:rPr>
          <w:lang w:val="pl"/>
        </w:rPr>
        <w:t xml:space="preserve"> kluczową kwestią w niniejszej sprawie był wpływ ogólnej postawy V.T. na obiektywną bezstronność postępowania przed komisjami dyscyplinarnymi SK (zob. paragraf 79 wyroku). Ponadto</w:t>
      </w:r>
      <w:r w:rsidR="00FE18D9">
        <w:rPr>
          <w:lang w:val="pl"/>
        </w:rPr>
        <w:t>,</w:t>
      </w:r>
      <w:r>
        <w:rPr>
          <w:lang w:val="pl"/>
        </w:rPr>
        <w:t xml:space="preserve"> większość uznała również za istotny szerszy kontekst sprawy, który wydawał się pozostawać poza kontrolą V.T.</w:t>
      </w:r>
    </w:p>
    <w:p w14:paraId="3D9278F5" w14:textId="56CA6E1D" w:rsidR="005E11E8" w:rsidRPr="00CF7B21" w:rsidRDefault="005E11E8"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13</w:t>
      </w:r>
      <w:r>
        <w:rPr>
          <w:noProof/>
          <w:lang w:val="pl"/>
        </w:rPr>
        <w:fldChar w:fldCharType="end"/>
      </w:r>
      <w:r>
        <w:rPr>
          <w:lang w:val="pl"/>
        </w:rPr>
        <w:t xml:space="preserve">.  Większość rozpoczęła swoją analizę od oficjalnego komunikatu prasowego opublikowanego przez V.T. 18 kwietnia 2016 r. Większość była zaniepokojona faktem, że wydano taki komunikat prasowy, biorąc pod uwagę przepisy prawa krajowego stanowiące, że postępowania dyscyplinarne mają charakter niejawny (zob. paragrafy 75 i 76 wyroku). W związku z tym pragnę na marginesie zauważyć, że przedmiotowy komunikat prasowy został opublikowany kilka dni po 12 kwietnia 2016 r., kiedy to – według skarżącej – V.T. sama podjęła decyzję w sprawie wniosku o jej wyłączenie. Pomijając tę kwestię, 29 marca 2016 r. wiceminister sprawiedliwości D.P. wygłosił przed parlamentem przemówienie, w którym zwrócił uwagę, że skarżąca zarzucała mu, iż próbował wywierać wpływ na sposób, w jaki prowadziła sprawy, oraz że toczy się przeciwko niej postępowanie dyscyplinarne (zob. paragraf 34 wyroku). Ponadto V.T. wyjaśniła w swoim komunikacie </w:t>
      </w:r>
      <w:r>
        <w:rPr>
          <w:lang w:val="pl"/>
        </w:rPr>
        <w:lastRenderedPageBreak/>
        <w:t>prasowym, że zdecydowała się na tę publikację, ponieważ niektóre osoby próbowały wprowadzać opinię publiczną w błąd, podważając zaufanie społeczeństwa do niej samej oraz do instytucji prezesa SK, ponieważ nie podobało im się to, że „walczy z potężnymi, powiązanymi ze sobą grupami interesów” (zob. paragraf 32 wyroku). Z powyższego</w:t>
      </w:r>
      <w:r w:rsidR="00FE18D9">
        <w:rPr>
          <w:lang w:val="pl"/>
        </w:rPr>
        <w:t>,</w:t>
      </w:r>
      <w:r>
        <w:rPr>
          <w:lang w:val="pl"/>
        </w:rPr>
        <w:t xml:space="preserve"> jasno wynika, że w</w:t>
      </w:r>
      <w:r w:rsidR="00CF7B21">
        <w:rPr>
          <w:lang w:val="pl"/>
        </w:rPr>
        <w:t> </w:t>
      </w:r>
      <w:r>
        <w:rPr>
          <w:lang w:val="pl"/>
        </w:rPr>
        <w:t>momencie opublikowania komunikatu prasowego fakt toczącego się postępowania dyscyplinarnego wobec skarżącej był powszechnie znany.</w:t>
      </w:r>
    </w:p>
    <w:p w14:paraId="37372F96" w14:textId="048DB0B1" w:rsidR="005E11E8" w:rsidRPr="00CF7B21" w:rsidRDefault="005E11E8"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14</w:t>
      </w:r>
      <w:r>
        <w:rPr>
          <w:noProof/>
          <w:lang w:val="pl"/>
        </w:rPr>
        <w:fldChar w:fldCharType="end"/>
      </w:r>
      <w:r>
        <w:rPr>
          <w:lang w:val="pl"/>
        </w:rPr>
        <w:t>.  Ponadto</w:t>
      </w:r>
      <w:r w:rsidR="00FE18D9">
        <w:rPr>
          <w:lang w:val="pl"/>
        </w:rPr>
        <w:t>,</w:t>
      </w:r>
      <w:r>
        <w:rPr>
          <w:lang w:val="pl"/>
        </w:rPr>
        <w:t xml:space="preserve"> większość odwołała się do uzasadnienia nowelizacji ustawy przyznającej prezesowi SK uprawnienia dyscyplinarne, zgodnie z którym „prezes […] sprawował ogólny nadzór i kontrolę nad wszystkimi sędziami” (zob. paragraf 77 wyroku). Co więcej, prezes SK był również przewodniczącym Najwyższej Rady Sądownictwa, organu, który decyduje o awansach, powoływani</w:t>
      </w:r>
      <w:r w:rsidR="00FE18D9">
        <w:rPr>
          <w:lang w:val="pl"/>
        </w:rPr>
        <w:t>ach</w:t>
      </w:r>
      <w:r>
        <w:rPr>
          <w:lang w:val="pl"/>
        </w:rPr>
        <w:t xml:space="preserve"> na stanowisko, przen</w:t>
      </w:r>
      <w:r w:rsidR="00FE18D9">
        <w:rPr>
          <w:lang w:val="pl"/>
        </w:rPr>
        <w:t>ie</w:t>
      </w:r>
      <w:r>
        <w:rPr>
          <w:lang w:val="pl"/>
        </w:rPr>
        <w:t>s</w:t>
      </w:r>
      <w:r w:rsidR="00FE18D9">
        <w:rPr>
          <w:lang w:val="pl"/>
        </w:rPr>
        <w:t>i</w:t>
      </w:r>
      <w:r>
        <w:rPr>
          <w:lang w:val="pl"/>
        </w:rPr>
        <w:t>eni</w:t>
      </w:r>
      <w:r w:rsidR="00FE18D9">
        <w:rPr>
          <w:lang w:val="pl"/>
        </w:rPr>
        <w:t>ach</w:t>
      </w:r>
      <w:r>
        <w:rPr>
          <w:lang w:val="pl"/>
        </w:rPr>
        <w:t xml:space="preserve"> i delegowaniu sędziów i prokuratorów. Prezes SK jest wybierany decyzją Rady Ministrów spośród sędziów orzekających SK i może pełnić obowiązki premiera </w:t>
      </w:r>
      <w:proofErr w:type="gramStart"/>
      <w:r>
        <w:rPr>
          <w:lang w:val="pl"/>
        </w:rPr>
        <w:t xml:space="preserve">w </w:t>
      </w:r>
      <w:r w:rsidR="00BC5D57">
        <w:rPr>
          <w:lang w:val="pl"/>
        </w:rPr>
        <w:t xml:space="preserve"> </w:t>
      </w:r>
      <w:r>
        <w:rPr>
          <w:lang w:val="pl"/>
        </w:rPr>
        <w:t>rząd</w:t>
      </w:r>
      <w:r w:rsidR="00BC5D57">
        <w:rPr>
          <w:lang w:val="pl"/>
        </w:rPr>
        <w:t>zie</w:t>
      </w:r>
      <w:proofErr w:type="gramEnd"/>
      <w:r>
        <w:rPr>
          <w:lang w:val="pl"/>
        </w:rPr>
        <w:t xml:space="preserve"> tymczasow</w:t>
      </w:r>
      <w:r w:rsidR="00BC5D57">
        <w:rPr>
          <w:lang w:val="pl"/>
        </w:rPr>
        <w:t>ym</w:t>
      </w:r>
      <w:r>
        <w:rPr>
          <w:lang w:val="pl"/>
        </w:rPr>
        <w:t>. Jeśli chodzi</w:t>
      </w:r>
      <w:r w:rsidR="00FE18D9">
        <w:rPr>
          <w:lang w:val="pl"/>
        </w:rPr>
        <w:t>,</w:t>
      </w:r>
      <w:r>
        <w:rPr>
          <w:lang w:val="pl"/>
        </w:rPr>
        <w:t xml:space="preserve"> w szczególności o V.T., była ona osobą dobrze znaną opinii publicznej, zwłaszcza ze względu na pełnione wcześniej tymczasowo obowiązki premiera. Większość stwierdziła, że ze względu na swoje stanowisko V.T. powinna była zachować szczególną ostrożność, aby nie sprawiać wrażenia, że chce wpłynąć na wynik postępowania (zob. paragrafy 77 i 78 wyroku).</w:t>
      </w:r>
    </w:p>
    <w:p w14:paraId="5B296C80" w14:textId="63D63BC0" w:rsidR="005E11E8" w:rsidRPr="00CF7B21" w:rsidRDefault="005E11E8"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15</w:t>
      </w:r>
      <w:r>
        <w:rPr>
          <w:noProof/>
          <w:lang w:val="pl"/>
        </w:rPr>
        <w:fldChar w:fldCharType="end"/>
      </w:r>
      <w:r>
        <w:rPr>
          <w:lang w:val="pl"/>
        </w:rPr>
        <w:t>.  Argumentacja większości nie jest przekonująca. Nierzadko zdarza się, że prezesi sądów wyższej instancji pełnią pewne funkcje administracyjne i</w:t>
      </w:r>
      <w:r w:rsidR="00CF7B21">
        <w:rPr>
          <w:lang w:val="pl"/>
        </w:rPr>
        <w:t> </w:t>
      </w:r>
      <w:r>
        <w:rPr>
          <w:lang w:val="pl"/>
        </w:rPr>
        <w:t xml:space="preserve">dyscyplinarne. Stwierdzenie zawarte w uzasadnieniu, że prezes SK sprawuje ogólny nadzór i kontrolę nad wszystkimi sędziami, wydaje się niczym więcej niż deklaracją; gdyby było inaczej, mogłaby rzeczywiście istnieć strukturalna przeszkoda w zapewnieniu niezawisłości wszystkich greckich sędziów. Bez dodatkowych argumentów i praktycznych przykładów </w:t>
      </w:r>
      <w:r w:rsidR="00FE18D9">
        <w:rPr>
          <w:lang w:val="pl"/>
        </w:rPr>
        <w:t xml:space="preserve">z życia codziennego </w:t>
      </w:r>
      <w:r>
        <w:rPr>
          <w:lang w:val="pl"/>
        </w:rPr>
        <w:t xml:space="preserve">stwierdzenie to traci wiele ze swojej przerażającej mocy. Trudno jest ocenić rolę Najwyższej Rady Sądownictwa w karierach sędziów – a także rolę prezesa SK w praktycznej działalności tej Rady – jednak słuszne wydaje się założenie, że ma ona większy wpływ na kariery sędziów sądów niższej instancji, podczas gdy awanse, </w:t>
      </w:r>
      <w:r w:rsidR="003B5674">
        <w:rPr>
          <w:lang w:val="pl"/>
        </w:rPr>
        <w:t>powołania</w:t>
      </w:r>
      <w:r>
        <w:rPr>
          <w:lang w:val="pl"/>
        </w:rPr>
        <w:t>, przeniesienia i oddelegowania sędziów SK nie zajmują na tyle ważnego miejsca, by narażać członków komisji dyscyplinarnych, orzekających w konkretnych sprawach dyscyplinarnych, na presję ze strony prezesa SK, czy to w praktyce, czy pozornie. Jeśli chodzi o pełnioną niegdyś przez V.T. tymczasowo funkcję pełniącej obowiązki premiera, to ta funkcja przejściowa była przewidziana w konstytucji, a V.T. pełniła ją przez niecały miesiąc, i to nie z własnej woli</w:t>
      </w:r>
      <w:r w:rsidR="00F521BA">
        <w:rPr>
          <w:lang w:val="pl"/>
        </w:rPr>
        <w:t>.</w:t>
      </w:r>
      <w:r>
        <w:rPr>
          <w:lang w:val="pl"/>
        </w:rPr>
        <w:t xml:space="preserve"> Wreszcie sugestia, jakoby V.T. powinna była unikać sprawiania wrażenia, że chce wpłynąć na wynik postępowania dyscyplinarnego, jest co najmniej dyskusyjna. Jako urzędniczka uprawniona do wnoszenia zarzutów dyscyplinarnych miała oczywiście – podobnie jak każda strona postępowania – zawodowy interes w jego wyniku. Podobnie niewłaściwe wydaje </w:t>
      </w:r>
      <w:proofErr w:type="gramStart"/>
      <w:r>
        <w:rPr>
          <w:lang w:val="pl"/>
        </w:rPr>
        <w:t xml:space="preserve">się </w:t>
      </w:r>
      <w:r w:rsidR="00F521BA">
        <w:rPr>
          <w:lang w:val="pl"/>
        </w:rPr>
        <w:t xml:space="preserve"> </w:t>
      </w:r>
      <w:r w:rsidR="00F521BA">
        <w:rPr>
          <w:lang w:val="pl"/>
        </w:rPr>
        <w:lastRenderedPageBreak/>
        <w:t>czynienie</w:t>
      </w:r>
      <w:proofErr w:type="gramEnd"/>
      <w:r w:rsidR="00F521BA">
        <w:rPr>
          <w:lang w:val="pl"/>
        </w:rPr>
        <w:t xml:space="preserve"> </w:t>
      </w:r>
      <w:r>
        <w:rPr>
          <w:lang w:val="pl"/>
        </w:rPr>
        <w:t>prokuratorowi</w:t>
      </w:r>
      <w:r w:rsidR="00F521BA">
        <w:rPr>
          <w:lang w:val="pl"/>
        </w:rPr>
        <w:t xml:space="preserve"> wyrzutu z </w:t>
      </w:r>
      <w:proofErr w:type="gramStart"/>
      <w:r w:rsidR="00F521BA">
        <w:rPr>
          <w:lang w:val="pl"/>
        </w:rPr>
        <w:t>powodu  takiego</w:t>
      </w:r>
      <w:proofErr w:type="gramEnd"/>
      <w:r w:rsidR="00F521BA">
        <w:rPr>
          <w:lang w:val="pl"/>
        </w:rPr>
        <w:t xml:space="preserve"> zainteresowania</w:t>
      </w:r>
      <w:r>
        <w:rPr>
          <w:lang w:val="pl"/>
        </w:rPr>
        <w:t xml:space="preserve"> sprawą karną.</w:t>
      </w:r>
    </w:p>
    <w:p w14:paraId="5F3450A0" w14:textId="478433AC" w:rsidR="005E11E8" w:rsidRPr="00CF7B21" w:rsidRDefault="005E11E8"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16</w:t>
      </w:r>
      <w:r>
        <w:rPr>
          <w:noProof/>
          <w:lang w:val="pl"/>
        </w:rPr>
        <w:fldChar w:fldCharType="end"/>
      </w:r>
      <w:r>
        <w:rPr>
          <w:lang w:val="pl"/>
        </w:rPr>
        <w:t xml:space="preserve">.  Jak wspomniano powyżej, większość </w:t>
      </w:r>
      <w:r w:rsidR="00755DAA">
        <w:rPr>
          <w:lang w:val="pl"/>
        </w:rPr>
        <w:t>uznała</w:t>
      </w:r>
      <w:r>
        <w:rPr>
          <w:lang w:val="pl"/>
        </w:rPr>
        <w:t>, że strony postępowania – ta</w:t>
      </w:r>
      <w:r w:rsidR="00755DAA">
        <w:rPr>
          <w:lang w:val="pl"/>
        </w:rPr>
        <w:t>cy</w:t>
      </w:r>
      <w:r>
        <w:rPr>
          <w:lang w:val="pl"/>
        </w:rPr>
        <w:t xml:space="preserve"> jak prokuratorzy – nie mogą podlegać tym samym obowiązkom niezawisłości i bezstronności, co „sądy”; podejście to wymagało jednak </w:t>
      </w:r>
      <w:r w:rsidR="00755DAA">
        <w:rPr>
          <w:lang w:val="pl"/>
        </w:rPr>
        <w:t>zróżnicowania</w:t>
      </w:r>
      <w:r>
        <w:rPr>
          <w:lang w:val="pl"/>
        </w:rPr>
        <w:t xml:space="preserve"> w przypadku wszczęcia postępowania dyscyplinarnego przeciwko </w:t>
      </w:r>
      <w:r w:rsidR="00755DAA">
        <w:rPr>
          <w:lang w:val="pl"/>
        </w:rPr>
        <w:t xml:space="preserve">członkowie </w:t>
      </w:r>
      <w:r>
        <w:rPr>
          <w:lang w:val="pl"/>
        </w:rPr>
        <w:t>wymiaru sprawiedliwości. W</w:t>
      </w:r>
      <w:r w:rsidR="00CF7B21">
        <w:rPr>
          <w:lang w:val="pl"/>
        </w:rPr>
        <w:t> </w:t>
      </w:r>
      <w:r>
        <w:rPr>
          <w:lang w:val="pl"/>
        </w:rPr>
        <w:t>związku z tym</w:t>
      </w:r>
      <w:r w:rsidR="00755DAA">
        <w:rPr>
          <w:lang w:val="pl"/>
        </w:rPr>
        <w:t>,</w:t>
      </w:r>
      <w:r>
        <w:rPr>
          <w:lang w:val="pl"/>
        </w:rPr>
        <w:t xml:space="preserve"> większość odwołała się do wyroku Trybunału Sprawiedliwości Unii Europejskiej (TSUE) z dnia 30 kwietnia 2025 r. w </w:t>
      </w:r>
      <w:r w:rsidR="00955019">
        <w:rPr>
          <w:lang w:val="pl"/>
        </w:rPr>
        <w:t>s</w:t>
      </w:r>
      <w:r>
        <w:rPr>
          <w:lang w:val="pl"/>
        </w:rPr>
        <w:t xml:space="preserve">prawie </w:t>
      </w:r>
      <w:r>
        <w:rPr>
          <w:i/>
          <w:iCs/>
          <w:lang w:val="pl"/>
        </w:rPr>
        <w:t xml:space="preserve">Inspektorat kam </w:t>
      </w:r>
      <w:proofErr w:type="spellStart"/>
      <w:r>
        <w:rPr>
          <w:i/>
          <w:iCs/>
          <w:lang w:val="pl"/>
        </w:rPr>
        <w:t>Visshia</w:t>
      </w:r>
      <w:proofErr w:type="spellEnd"/>
      <w:r>
        <w:rPr>
          <w:i/>
          <w:iCs/>
          <w:lang w:val="pl"/>
        </w:rPr>
        <w:t xml:space="preserve"> </w:t>
      </w:r>
      <w:proofErr w:type="spellStart"/>
      <w:r>
        <w:rPr>
          <w:i/>
          <w:iCs/>
          <w:lang w:val="pl"/>
        </w:rPr>
        <w:t>sadeben</w:t>
      </w:r>
      <w:proofErr w:type="spellEnd"/>
      <w:r>
        <w:rPr>
          <w:i/>
          <w:iCs/>
          <w:lang w:val="pl"/>
        </w:rPr>
        <w:t xml:space="preserve"> </w:t>
      </w:r>
      <w:proofErr w:type="spellStart"/>
      <w:r>
        <w:rPr>
          <w:i/>
          <w:iCs/>
          <w:lang w:val="pl"/>
        </w:rPr>
        <w:t>savet</w:t>
      </w:r>
      <w:proofErr w:type="spellEnd"/>
      <w:r>
        <w:rPr>
          <w:lang w:val="pl"/>
        </w:rPr>
        <w:t xml:space="preserve"> (C-313/23, C-316/23, C-332/23, EU:C:2025:303), zgodnie z którym system odpowiedzialności dyscyplinarnej sędziów musi zapewniać gwarancje niezbędne do uniknięcia ryzyka wykorzystania go jako narzędzia politycznej kontroli treści orzeczeń sądowych. Perspektywa wszczęcia postępowania dyscyplinarnego wobec przedstawicieli wymiaru sprawiedliwości mogła wywierać na nich presję; z</w:t>
      </w:r>
      <w:r w:rsidR="00CF7B21">
        <w:rPr>
          <w:lang w:val="pl"/>
        </w:rPr>
        <w:t> </w:t>
      </w:r>
      <w:r>
        <w:rPr>
          <w:lang w:val="pl"/>
        </w:rPr>
        <w:t>tego powodu organy dyscyplinarne, w tym te, które wnioskowały o</w:t>
      </w:r>
      <w:r w:rsidR="00CF7B21">
        <w:rPr>
          <w:lang w:val="pl"/>
        </w:rPr>
        <w:t> </w:t>
      </w:r>
      <w:r>
        <w:rPr>
          <w:lang w:val="pl"/>
        </w:rPr>
        <w:t>wszczęcie postępowania dyscyplinarnego, musiały działać w sposób obiektywny i</w:t>
      </w:r>
      <w:r w:rsidR="00CF7B21">
        <w:rPr>
          <w:lang w:val="pl"/>
        </w:rPr>
        <w:t> </w:t>
      </w:r>
      <w:r>
        <w:rPr>
          <w:lang w:val="pl"/>
        </w:rPr>
        <w:t>bezstronny (zob. paragraf 82 wyroku) Dodam, że zgodnie z</w:t>
      </w:r>
      <w:r w:rsidR="00CF7B21">
        <w:rPr>
          <w:lang w:val="pl"/>
        </w:rPr>
        <w:t> </w:t>
      </w:r>
      <w:r>
        <w:rPr>
          <w:lang w:val="pl"/>
        </w:rPr>
        <w:t xml:space="preserve">wyrokiem TSUE organ właściwy do prowadzenia postępowań wyjaśniających i wszczynania postępowań dyscyplinarnych powinien być wolny od wszelkich wpływów zewnętrznych (zob. wyrok w sprawie </w:t>
      </w:r>
      <w:r>
        <w:rPr>
          <w:i/>
          <w:iCs/>
          <w:lang w:val="pl"/>
        </w:rPr>
        <w:t>Inspektorat</w:t>
      </w:r>
      <w:r>
        <w:rPr>
          <w:lang w:val="pl"/>
        </w:rPr>
        <w:t xml:space="preserve">, </w:t>
      </w:r>
      <w:proofErr w:type="spellStart"/>
      <w:r>
        <w:rPr>
          <w:i/>
          <w:iCs/>
          <w:lang w:val="pl"/>
        </w:rPr>
        <w:t>op.cit</w:t>
      </w:r>
      <w:proofErr w:type="spellEnd"/>
      <w:r>
        <w:rPr>
          <w:i/>
          <w:iCs/>
          <w:lang w:val="pl"/>
        </w:rPr>
        <w:t>.,</w:t>
      </w:r>
      <w:r>
        <w:rPr>
          <w:lang w:val="pl"/>
        </w:rPr>
        <w:t xml:space="preserve"> paragraf 87). Co istotniejsze, warto zauważyć, że sprawa </w:t>
      </w:r>
      <w:r>
        <w:rPr>
          <w:i/>
          <w:iCs/>
          <w:lang w:val="pl"/>
        </w:rPr>
        <w:t>Inspektorat</w:t>
      </w:r>
      <w:r>
        <w:rPr>
          <w:lang w:val="pl"/>
        </w:rPr>
        <w:t xml:space="preserve"> znacznie różniła się od niniejszej zarówno pod względem faktycznym, jak i prawnym. W szczególności</w:t>
      </w:r>
      <w:r w:rsidR="00755DAA">
        <w:rPr>
          <w:lang w:val="pl"/>
        </w:rPr>
        <w:t>,</w:t>
      </w:r>
      <w:r>
        <w:rPr>
          <w:lang w:val="pl"/>
        </w:rPr>
        <w:t xml:space="preserve"> w tejże sprawie kadencja mianowanego przez parlament inspektora generalnego oraz inspektorów Inspektoratu przy Najwyższej Radzie Sądownictwa dobiegła końca, a oni sami pełnili swoje funkcje bez wyraźnej podstawy prawnej w prawie krajowym; ponadto nie można było wykluczyć, że sytuacja ta mogłaby utrzymywać się w nieskończoność. Ponadto</w:t>
      </w:r>
      <w:r w:rsidR="00755DAA">
        <w:rPr>
          <w:lang w:val="pl"/>
        </w:rPr>
        <w:t>,</w:t>
      </w:r>
      <w:r>
        <w:rPr>
          <w:lang w:val="pl"/>
        </w:rPr>
        <w:t xml:space="preserve"> sprawa rozpatrzona przez ten Trybunał, </w:t>
      </w:r>
      <w:bookmarkStart w:id="54" w:name="_cl43843"/>
      <w:r>
        <w:rPr>
          <w:lang w:val="pl"/>
        </w:rPr>
        <w:t>Pająk i inni przeciwko Polsce</w:t>
      </w:r>
      <w:bookmarkEnd w:id="54"/>
      <w:r>
        <w:rPr>
          <w:lang w:val="pl"/>
        </w:rPr>
        <w:t xml:space="preserve"> (nr 25226/18 i 3 inne, 24 października 2023 r.), do której odniosła się większość w tym kontekście, dotyczyła zewnętrznej – ze strony władzy wykonawczej – ingerencji w kwestię zakończenia kadencji sędziów. Dla jasności: nie lekceważę, co do zasady, znaczenia zarówno zewnętrznej, jak i wewnętrznej niezależności sądów. Uważam jednak za wysoce problematyczne stosowanie argumentacji wypracowanej w odmiennych i </w:t>
      </w:r>
      <w:proofErr w:type="gramStart"/>
      <w:r>
        <w:rPr>
          <w:lang w:val="pl"/>
        </w:rPr>
        <w:t>nader</w:t>
      </w:r>
      <w:proofErr w:type="gramEnd"/>
      <w:r>
        <w:rPr>
          <w:lang w:val="pl"/>
        </w:rPr>
        <w:t xml:space="preserve"> specyficznych okolicznościach do niniejszej sprawy, która dotyczy raczej standardowego funkcjonowania mechanizmu odpowiedzialności dyscyplinarnej prokuratora.</w:t>
      </w:r>
    </w:p>
    <w:p w14:paraId="7505FA11" w14:textId="02CCFBE3" w:rsidR="005E11E8" w:rsidRPr="00CF7B21" w:rsidRDefault="005E11E8"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17</w:t>
      </w:r>
      <w:r>
        <w:rPr>
          <w:noProof/>
          <w:lang w:val="pl"/>
        </w:rPr>
        <w:fldChar w:fldCharType="end"/>
      </w:r>
      <w:r>
        <w:rPr>
          <w:lang w:val="pl"/>
        </w:rPr>
        <w:t xml:space="preserve">.  Większość sędziów odniosła się również do kilku innych kwestii, takich jak powiązania V.T. z wiceministrem sprawiedliwości i cypryjskimi urzędnikami, a także fakt, że uprawnienia dyscyplinarne prezesa SK, wprowadzone zmianą ustawodawczą w 2015 r., zostały zniesione kolejną zmianą w 2021 r. (zob. paragrafy 68, 84 i 86 wyroku). </w:t>
      </w:r>
      <w:r w:rsidR="00F64B8D">
        <w:rPr>
          <w:lang w:val="pl"/>
        </w:rPr>
        <w:t>Jednakże, choć n</w:t>
      </w:r>
      <w:r>
        <w:rPr>
          <w:lang w:val="pl"/>
        </w:rPr>
        <w:t xml:space="preserve">ie wyjaśniono wprawdzie dokładnego charakteru tych relacji, nie twierdzono, że miały one charakter inny niż służbowy, a tym bardziej, że V.T. znajdowała </w:t>
      </w:r>
      <w:r>
        <w:rPr>
          <w:lang w:val="pl"/>
        </w:rPr>
        <w:lastRenderedPageBreak/>
        <w:t>się w jakiejkolwiek sytuacji podporządkowania lub zależności. Fakt, że uprawnienia prezesa SK do wszczynania postępowań dyscyplinarnych zostały ustanowione na krótko przed zdarzeniami, które stały się przyczyną niniejszej sprawy, a zniesione kilka lat po nich, może budzić ogólne zainteresowanie historyczne, nie ma jednak żadnego znaczenia dla niniejszej sprawy.</w:t>
      </w:r>
    </w:p>
    <w:p w14:paraId="01574641" w14:textId="0CE7E3B9" w:rsidR="00FF2C3A" w:rsidRPr="00CF7B21" w:rsidRDefault="00FF2C3A"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18</w:t>
      </w:r>
      <w:r>
        <w:rPr>
          <w:noProof/>
          <w:lang w:val="pl"/>
        </w:rPr>
        <w:fldChar w:fldCharType="end"/>
      </w:r>
      <w:r>
        <w:rPr>
          <w:lang w:val="pl"/>
        </w:rPr>
        <w:t>.  Wreszcie większość sędziów zdawała się kłaść nacisk na fakt, że dziewięcioosobowa komisja dyscyplinarna SK nie uwzględniła wpływu oficjalnego komunikatu prasowego – który V.T. wydała jako wiceprezes SK – na rzetelność postępowania, którego dotyczy skarga (zob. paragraf 84 wyroku). Co prawda</w:t>
      </w:r>
      <w:r w:rsidR="00F64B8D">
        <w:rPr>
          <w:lang w:val="pl"/>
        </w:rPr>
        <w:t>,</w:t>
      </w:r>
      <w:r>
        <w:rPr>
          <w:lang w:val="pl"/>
        </w:rPr>
        <w:t xml:space="preserve"> dziewięcioosobowa komisja dyscyplinarna rozpatrzyła </w:t>
      </w:r>
      <w:proofErr w:type="gramStart"/>
      <w:r>
        <w:rPr>
          <w:lang w:val="pl"/>
        </w:rPr>
        <w:t>kwestię,</w:t>
      </w:r>
      <w:proofErr w:type="gramEnd"/>
      <w:r>
        <w:rPr>
          <w:lang w:val="pl"/>
        </w:rPr>
        <w:t xml:space="preserve"> czy wniosek o wyłączenie V.T. był uzasadniony – i wydała uzasadnioną decyzję, że tak nie było (zob. paragraf 29 wyroku) – jednak nie zbadała, czy siedmioosobowa komisja dyscyplinarna lub ona sama mogła być pod wpływem komunikatu prasowego. Pomijając kwestię przydatności takiej autorefleksji, nie jestem </w:t>
      </w:r>
      <w:proofErr w:type="gramStart"/>
      <w:r>
        <w:rPr>
          <w:lang w:val="pl"/>
        </w:rPr>
        <w:t>przekonany,</w:t>
      </w:r>
      <w:proofErr w:type="gramEnd"/>
      <w:r>
        <w:rPr>
          <w:lang w:val="pl"/>
        </w:rPr>
        <w:t xml:space="preserve"> czy jej brak stanowił uchybienie na tyle poważne, by uznać postępowanie dyscyplinarne wobec skarżącej za niesprawiedliwe w rozumieniu art. 6 ust. 1 Konwencji, nawet w połączeniu z</w:t>
      </w:r>
      <w:r w:rsidR="00CF7B21">
        <w:rPr>
          <w:lang w:val="pl"/>
        </w:rPr>
        <w:t> </w:t>
      </w:r>
      <w:r>
        <w:rPr>
          <w:lang w:val="pl"/>
        </w:rPr>
        <w:t>pozostałymi elementami streszczonymi w paragrafie 86 wyroku, które – jak starałem się wyjaśnić powyżej – są w większości nieistotne.</w:t>
      </w:r>
    </w:p>
    <w:p w14:paraId="0C2EEAA2" w14:textId="77777777" w:rsidR="005E11E8" w:rsidRPr="00843F1A" w:rsidRDefault="00000000" w:rsidP="00843F1A">
      <w:pPr>
        <w:pStyle w:val="JuHA"/>
      </w:pPr>
      <w:r>
        <w:rPr>
          <w:lang w:val="pl"/>
        </w:rPr>
        <w:t>Konkluzja</w:t>
      </w:r>
    </w:p>
    <w:p w14:paraId="7EEBF31C" w14:textId="1A686CEB" w:rsidR="005E11E8" w:rsidRPr="00CF7B21" w:rsidRDefault="005E11E8" w:rsidP="00843F1A">
      <w:pPr>
        <w:pStyle w:val="JuPara"/>
        <w:rPr>
          <w:lang w:val="pl-PL"/>
        </w:rPr>
      </w:pPr>
      <w:r>
        <w:fldChar w:fldCharType="begin"/>
      </w:r>
      <w:r w:rsidRPr="00CF7B21">
        <w:rPr>
          <w:lang w:val="pl-PL"/>
        </w:rPr>
        <w:instrText xml:space="preserve"> SEQ level0 \*arabic \* MERGEFORMAT </w:instrText>
      </w:r>
      <w:r>
        <w:fldChar w:fldCharType="separate"/>
      </w:r>
      <w:r>
        <w:rPr>
          <w:noProof/>
          <w:lang w:val="pl"/>
        </w:rPr>
        <w:t>19</w:t>
      </w:r>
      <w:r>
        <w:rPr>
          <w:noProof/>
          <w:lang w:val="pl"/>
        </w:rPr>
        <w:fldChar w:fldCharType="end"/>
      </w:r>
      <w:r>
        <w:rPr>
          <w:lang w:val="pl"/>
        </w:rPr>
        <w:t>.  Podsumowując, uważam, że większość sędziów uznała za główny przedmiot sporu kwestię, której skarżąca nigdy nie podnosiła w swojej skardze i która znacznie wykraczała poza zakres sprawy. Jeśli chodzi o</w:t>
      </w:r>
      <w:r w:rsidR="00CF7B21">
        <w:rPr>
          <w:lang w:val="pl"/>
        </w:rPr>
        <w:t> </w:t>
      </w:r>
      <w:r>
        <w:rPr>
          <w:lang w:val="pl"/>
        </w:rPr>
        <w:t>przedmiot skargi, większość uznała, że postępowanie dyscyplinarne przeciwko prokuratorowi, wszczęte przez niezależnego sędziego – prezesa SK – i rozstrzygnięte na dwóch instancjach przez komisje dyscyplinarne złożone z sędziów SK i zgodnie z obowiązującymi przepisami, było porównywalne z przypadkami, w których postępowanie dyscyplinarne służyło jako narzędzie zewnętrznej (politycznej) ingerencji lub przynajmniej istniało realne ryzyko takiej ingerencji. Z powodów przedstawionych powyżej nie mogłem zgodzić się z ich podejściem.</w:t>
      </w:r>
    </w:p>
    <w:p w14:paraId="3CDA6F99" w14:textId="77777777" w:rsidR="00843F1A" w:rsidRPr="00CF7B21" w:rsidRDefault="00843F1A" w:rsidP="00843F1A">
      <w:pPr>
        <w:pStyle w:val="JuPara"/>
        <w:rPr>
          <w:lang w:val="pl-PL"/>
        </w:rPr>
      </w:pPr>
    </w:p>
    <w:sectPr w:rsidR="00843F1A" w:rsidRPr="00CF7B21" w:rsidSect="0093491C">
      <w:headerReference w:type="even" r:id="rId15"/>
      <w:headerReference w:type="default" r:id="rId16"/>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3B994" w14:textId="77777777" w:rsidR="00D82EE4" w:rsidRDefault="00D82EE4">
      <w:r>
        <w:separator/>
      </w:r>
    </w:p>
  </w:endnote>
  <w:endnote w:type="continuationSeparator" w:id="0">
    <w:p w14:paraId="612E46DA" w14:textId="77777777" w:rsidR="00D82EE4" w:rsidRDefault="00D82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9990440"/>
      <w:docPartObj>
        <w:docPartGallery w:val="Page Numbers (Bottom of Page)"/>
        <w:docPartUnique/>
      </w:docPartObj>
    </w:sdtPr>
    <w:sdtEndPr>
      <w:rPr>
        <w:noProof/>
      </w:rPr>
    </w:sdtEndPr>
    <w:sdtContent>
      <w:p w14:paraId="3A8F0644" w14:textId="77777777" w:rsidR="00F65C00" w:rsidRDefault="00000000">
        <w:pPr>
          <w:pStyle w:val="Stopka"/>
          <w:jc w:val="center"/>
        </w:pPr>
        <w:r>
          <w:rPr>
            <w:sz w:val="18"/>
            <w:szCs w:val="18"/>
            <w:lang w:val="pl"/>
          </w:rPr>
          <w:fldChar w:fldCharType="begin"/>
        </w:r>
        <w:r>
          <w:rPr>
            <w:sz w:val="18"/>
            <w:szCs w:val="18"/>
            <w:lang w:val="pl"/>
          </w:rPr>
          <w:instrText xml:space="preserve"> PAGE   \* MERGEFORMAT </w:instrText>
        </w:r>
        <w:r>
          <w:rPr>
            <w:sz w:val="18"/>
            <w:szCs w:val="18"/>
            <w:lang w:val="pl"/>
          </w:rPr>
          <w:fldChar w:fldCharType="separate"/>
        </w:r>
        <w:r>
          <w:rPr>
            <w:noProof/>
            <w:sz w:val="18"/>
            <w:szCs w:val="18"/>
            <w:lang w:val="pl"/>
          </w:rPr>
          <w:t>2</w:t>
        </w:r>
        <w:r>
          <w:rPr>
            <w:noProof/>
            <w:sz w:val="18"/>
            <w:szCs w:val="18"/>
            <w:lang w:val="pl"/>
          </w:rPr>
          <w:fldChar w:fldCharType="end"/>
        </w:r>
      </w:p>
    </w:sdtContent>
  </w:sdt>
  <w:p w14:paraId="1BF0321A" w14:textId="77777777" w:rsidR="00F6077A" w:rsidRDefault="00F6077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3131613"/>
      <w:docPartObj>
        <w:docPartGallery w:val="Page Numbers (Bottom of Page)"/>
        <w:docPartUnique/>
      </w:docPartObj>
    </w:sdtPr>
    <w:sdtEndPr>
      <w:rPr>
        <w:lang w:val="fr-FR"/>
      </w:rPr>
    </w:sdtEndPr>
    <w:sdtContent>
      <w:p w14:paraId="7A3CFE69" w14:textId="77777777" w:rsidR="00F6077A" w:rsidRDefault="00000000" w:rsidP="00A64699">
        <w:pPr>
          <w:pStyle w:val="Stopka"/>
        </w:pPr>
        <w:r>
          <w:rPr>
            <w:lang w:val="pl"/>
          </w:rPr>
          <w:tab/>
        </w:r>
        <w:r>
          <w:rPr>
            <w:sz w:val="18"/>
            <w:szCs w:val="18"/>
            <w:lang w:val="pl"/>
          </w:rPr>
          <w:fldChar w:fldCharType="begin"/>
        </w:r>
        <w:r>
          <w:rPr>
            <w:sz w:val="18"/>
            <w:szCs w:val="18"/>
            <w:lang w:val="pl"/>
          </w:rPr>
          <w:instrText xml:space="preserve"> PAGE </w:instrText>
        </w:r>
        <w:r>
          <w:rPr>
            <w:sz w:val="18"/>
            <w:szCs w:val="18"/>
            <w:lang w:val="pl"/>
          </w:rPr>
          <w:fldChar w:fldCharType="separate"/>
        </w:r>
        <w:r>
          <w:rPr>
            <w:noProof/>
            <w:sz w:val="18"/>
            <w:szCs w:val="18"/>
            <w:lang w:val="pl"/>
          </w:rPr>
          <w:t>14</w:t>
        </w:r>
        <w:r>
          <w:rPr>
            <w:sz w:val="18"/>
            <w:szCs w:val="18"/>
            <w:lang w:val="pl"/>
          </w:rPr>
          <w:fldChar w:fldCharType="end"/>
        </w:r>
      </w:p>
    </w:sdtContent>
  </w:sdt>
  <w:p w14:paraId="10F8FCE1" w14:textId="77777777" w:rsidR="0098410D" w:rsidRPr="00FB1A8A" w:rsidRDefault="0098410D" w:rsidP="00AF12C5">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317F8" w14:textId="77777777" w:rsidR="00FB1A8A" w:rsidRPr="00150BFA" w:rsidRDefault="00000000" w:rsidP="0020718E">
    <w:pPr>
      <w:jc w:val="center"/>
    </w:pPr>
    <w:r>
      <w:rPr>
        <w:noProof/>
        <w:lang w:val="pl"/>
      </w:rPr>
      <w:drawing>
        <wp:inline distT="0" distB="0" distL="0" distR="0" wp14:anchorId="4B580E33" wp14:editId="0C258EFA">
          <wp:extent cx="771525" cy="619125"/>
          <wp:effectExtent l="0" t="0" r="9525" b="9525"/>
          <wp:docPr id="1630907249" name="Picture 163090724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90724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422B4D7A" w14:textId="77777777" w:rsidR="009E7A6F" w:rsidRPr="00FB1A8A" w:rsidRDefault="009E7A6F" w:rsidP="009E7A6F">
    <w:pPr>
      <w:pStyle w:val="Stopka"/>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B1A2B" w14:textId="77777777" w:rsidR="00D82EE4" w:rsidRDefault="00D82EE4">
      <w:r>
        <w:separator/>
      </w:r>
    </w:p>
  </w:footnote>
  <w:footnote w:type="continuationSeparator" w:id="0">
    <w:p w14:paraId="05682B8E" w14:textId="77777777" w:rsidR="00D82EE4" w:rsidRDefault="00D82E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2DDFD" w14:textId="77777777" w:rsidR="00FB1A8A" w:rsidRPr="00A45145" w:rsidRDefault="00000000" w:rsidP="00A45145">
    <w:pPr>
      <w:jc w:val="center"/>
    </w:pPr>
    <w:r>
      <w:rPr>
        <w:noProof/>
        <w:lang w:val="pl"/>
      </w:rPr>
      <w:drawing>
        <wp:inline distT="0" distB="0" distL="0" distR="0" wp14:anchorId="0E8862EC" wp14:editId="2147AF1C">
          <wp:extent cx="2962275" cy="1219200"/>
          <wp:effectExtent l="0" t="0" r="9525" b="0"/>
          <wp:docPr id="1454695140" name="Picture 14546951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6951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6B7B32BC" w14:textId="77777777" w:rsidR="0098410D" w:rsidRPr="00FB1A8A"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A77B" w14:textId="77777777" w:rsidR="00FB1A8A" w:rsidRPr="00A45145" w:rsidRDefault="00000000" w:rsidP="00A45145">
    <w:pPr>
      <w:jc w:val="center"/>
    </w:pPr>
    <w:r>
      <w:rPr>
        <w:noProof/>
        <w:lang w:val="pl"/>
      </w:rPr>
      <w:drawing>
        <wp:inline distT="0" distB="0" distL="0" distR="0" wp14:anchorId="56158190" wp14:editId="12185A97">
          <wp:extent cx="2962275" cy="1219200"/>
          <wp:effectExtent l="0" t="0" r="9525" b="0"/>
          <wp:docPr id="1386700476" name="Picture 138670047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700476"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3C04C452" w14:textId="77777777" w:rsidR="0098410D" w:rsidRPr="00FB1A8A"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32900" w14:textId="77777777" w:rsidR="00041212" w:rsidRPr="00CF7B21" w:rsidRDefault="00000000" w:rsidP="004D0EC7">
    <w:pPr>
      <w:pStyle w:val="JuHeader"/>
      <w:rPr>
        <w:lang w:val="pl-PL"/>
      </w:rPr>
    </w:pPr>
    <w:r>
      <w:rPr>
        <w:lang w:val="pl"/>
      </w:rPr>
      <w:t>WYROK w sprawie TSATANI przeciwko GRECJI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AF3EB" w14:textId="77777777" w:rsidR="00041212" w:rsidRPr="00CF7B21" w:rsidRDefault="00000000" w:rsidP="007D3701">
    <w:pPr>
      <w:pStyle w:val="JuHeader"/>
      <w:rPr>
        <w:lang w:val="pl-PL"/>
      </w:rPr>
    </w:pPr>
    <w:r>
      <w:rPr>
        <w:lang w:val="pl"/>
      </w:rPr>
      <w:t>WYROK w sprawie TSATANI przeciwko GRECJI</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2E35D" w14:textId="77777777" w:rsidR="0093491C" w:rsidRPr="00CF7B21" w:rsidRDefault="00000000" w:rsidP="004D0EC7">
    <w:pPr>
      <w:pStyle w:val="JuHeader"/>
      <w:rPr>
        <w:lang w:val="pl-PL"/>
      </w:rPr>
    </w:pPr>
    <w:r>
      <w:rPr>
        <w:lang w:val="pl"/>
      </w:rPr>
      <w:t>WYROK w sprawie TSATANI przeciwko GRECJI – OPINIA ODRĘBNA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22168" w14:textId="77777777" w:rsidR="0093491C" w:rsidRPr="00CF7B21" w:rsidRDefault="00000000" w:rsidP="007D3701">
    <w:pPr>
      <w:pStyle w:val="JuHeader"/>
      <w:rPr>
        <w:lang w:val="pl-PL"/>
      </w:rPr>
    </w:pPr>
    <w:r>
      <w:rPr>
        <w:lang w:val="pl"/>
      </w:rPr>
      <w:t>WYROK w sprawie TSATANI przeciwko GRECJI – OPINIA ODRĘBNA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FE56ADCC">
      <w:start w:val="1"/>
      <w:numFmt w:val="bullet"/>
      <w:pStyle w:val="Listapunktowana"/>
      <w:lvlText w:val=""/>
      <w:lvlJc w:val="left"/>
      <w:pPr>
        <w:tabs>
          <w:tab w:val="num" w:pos="851"/>
        </w:tabs>
        <w:ind w:left="568" w:firstLine="0"/>
      </w:pPr>
      <w:rPr>
        <w:rFonts w:ascii="Wingdings" w:hAnsi="Wingdings" w:hint="default"/>
        <w:color w:val="808080"/>
        <w:sz w:val="16"/>
      </w:rPr>
    </w:lvl>
    <w:lvl w:ilvl="1" w:tplc="E93E892E" w:tentative="1">
      <w:start w:val="1"/>
      <w:numFmt w:val="bullet"/>
      <w:lvlText w:val="o"/>
      <w:lvlJc w:val="left"/>
      <w:pPr>
        <w:tabs>
          <w:tab w:val="num" w:pos="1724"/>
        </w:tabs>
        <w:ind w:left="1724" w:hanging="360"/>
      </w:pPr>
      <w:rPr>
        <w:rFonts w:ascii="Courier New" w:hAnsi="Courier New" w:cs="Courier New" w:hint="default"/>
      </w:rPr>
    </w:lvl>
    <w:lvl w:ilvl="2" w:tplc="286C1366" w:tentative="1">
      <w:start w:val="1"/>
      <w:numFmt w:val="bullet"/>
      <w:lvlText w:val=""/>
      <w:lvlJc w:val="left"/>
      <w:pPr>
        <w:tabs>
          <w:tab w:val="num" w:pos="2444"/>
        </w:tabs>
        <w:ind w:left="2444" w:hanging="360"/>
      </w:pPr>
      <w:rPr>
        <w:rFonts w:ascii="Wingdings" w:hAnsi="Wingdings" w:hint="default"/>
      </w:rPr>
    </w:lvl>
    <w:lvl w:ilvl="3" w:tplc="817A8776" w:tentative="1">
      <w:start w:val="1"/>
      <w:numFmt w:val="bullet"/>
      <w:lvlText w:val=""/>
      <w:lvlJc w:val="left"/>
      <w:pPr>
        <w:tabs>
          <w:tab w:val="num" w:pos="3164"/>
        </w:tabs>
        <w:ind w:left="3164" w:hanging="360"/>
      </w:pPr>
      <w:rPr>
        <w:rFonts w:ascii="Symbol" w:hAnsi="Symbol" w:hint="default"/>
      </w:rPr>
    </w:lvl>
    <w:lvl w:ilvl="4" w:tplc="1B6EAD22" w:tentative="1">
      <w:start w:val="1"/>
      <w:numFmt w:val="bullet"/>
      <w:lvlText w:val="o"/>
      <w:lvlJc w:val="left"/>
      <w:pPr>
        <w:tabs>
          <w:tab w:val="num" w:pos="3884"/>
        </w:tabs>
        <w:ind w:left="3884" w:hanging="360"/>
      </w:pPr>
      <w:rPr>
        <w:rFonts w:ascii="Courier New" w:hAnsi="Courier New" w:cs="Courier New" w:hint="default"/>
      </w:rPr>
    </w:lvl>
    <w:lvl w:ilvl="5" w:tplc="939414F8" w:tentative="1">
      <w:start w:val="1"/>
      <w:numFmt w:val="bullet"/>
      <w:lvlText w:val=""/>
      <w:lvlJc w:val="left"/>
      <w:pPr>
        <w:tabs>
          <w:tab w:val="num" w:pos="4604"/>
        </w:tabs>
        <w:ind w:left="4604" w:hanging="360"/>
      </w:pPr>
      <w:rPr>
        <w:rFonts w:ascii="Wingdings" w:hAnsi="Wingdings" w:hint="default"/>
      </w:rPr>
    </w:lvl>
    <w:lvl w:ilvl="6" w:tplc="C4769B1A" w:tentative="1">
      <w:start w:val="1"/>
      <w:numFmt w:val="bullet"/>
      <w:lvlText w:val=""/>
      <w:lvlJc w:val="left"/>
      <w:pPr>
        <w:tabs>
          <w:tab w:val="num" w:pos="5324"/>
        </w:tabs>
        <w:ind w:left="5324" w:hanging="360"/>
      </w:pPr>
      <w:rPr>
        <w:rFonts w:ascii="Symbol" w:hAnsi="Symbol" w:hint="default"/>
      </w:rPr>
    </w:lvl>
    <w:lvl w:ilvl="7" w:tplc="D02CAE76" w:tentative="1">
      <w:start w:val="1"/>
      <w:numFmt w:val="bullet"/>
      <w:lvlText w:val="o"/>
      <w:lvlJc w:val="left"/>
      <w:pPr>
        <w:tabs>
          <w:tab w:val="num" w:pos="6044"/>
        </w:tabs>
        <w:ind w:left="6044" w:hanging="360"/>
      </w:pPr>
      <w:rPr>
        <w:rFonts w:ascii="Courier New" w:hAnsi="Courier New" w:cs="Courier New" w:hint="default"/>
      </w:rPr>
    </w:lvl>
    <w:lvl w:ilvl="8" w:tplc="58EE0314"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702905214">
    <w:abstractNumId w:val="18"/>
  </w:num>
  <w:num w:numId="2" w16cid:durableId="19915146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95782302">
    <w:abstractNumId w:val="14"/>
  </w:num>
  <w:num w:numId="4" w16cid:durableId="1888755719">
    <w:abstractNumId w:val="12"/>
  </w:num>
  <w:num w:numId="5" w16cid:durableId="1471483808">
    <w:abstractNumId w:val="11"/>
  </w:num>
  <w:num w:numId="6" w16cid:durableId="1385564056">
    <w:abstractNumId w:val="15"/>
  </w:num>
  <w:num w:numId="7" w16cid:durableId="367412315">
    <w:abstractNumId w:val="13"/>
  </w:num>
  <w:num w:numId="8" w16cid:durableId="1309629982">
    <w:abstractNumId w:val="16"/>
  </w:num>
  <w:num w:numId="9" w16cid:durableId="369305079">
    <w:abstractNumId w:val="17"/>
  </w:num>
  <w:num w:numId="10" w16cid:durableId="671298704">
    <w:abstractNumId w:val="7"/>
  </w:num>
  <w:num w:numId="11" w16cid:durableId="1504323093">
    <w:abstractNumId w:val="6"/>
  </w:num>
  <w:num w:numId="12" w16cid:durableId="1610815307">
    <w:abstractNumId w:val="5"/>
  </w:num>
  <w:num w:numId="13" w16cid:durableId="1282036949">
    <w:abstractNumId w:val="4"/>
  </w:num>
  <w:num w:numId="14" w16cid:durableId="2072773937">
    <w:abstractNumId w:val="8"/>
  </w:num>
  <w:num w:numId="15" w16cid:durableId="1055200332">
    <w:abstractNumId w:val="3"/>
  </w:num>
  <w:num w:numId="16" w16cid:durableId="1682201222">
    <w:abstractNumId w:val="2"/>
  </w:num>
  <w:num w:numId="17" w16cid:durableId="498619297">
    <w:abstractNumId w:val="1"/>
  </w:num>
  <w:num w:numId="18" w16cid:durableId="1958296126">
    <w:abstractNumId w:val="0"/>
  </w:num>
  <w:num w:numId="19" w16cid:durableId="1954744347">
    <w:abstractNumId w:val="15"/>
  </w:num>
  <w:num w:numId="20" w16cid:durableId="70200197">
    <w:abstractNumId w:val="16"/>
  </w:num>
  <w:num w:numId="21" w16cid:durableId="525875564">
    <w:abstractNumId w:val="10"/>
  </w:num>
  <w:num w:numId="22" w16cid:durableId="209462534">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 w:name="Plural" w:val="0"/>
  </w:docVars>
  <w:rsids>
    <w:rsidRoot w:val="00FB1A8A"/>
    <w:rsid w:val="000001A7"/>
    <w:rsid w:val="00003D34"/>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25F09"/>
    <w:rsid w:val="00031428"/>
    <w:rsid w:val="00034987"/>
    <w:rsid w:val="00041212"/>
    <w:rsid w:val="00041560"/>
    <w:rsid w:val="00042374"/>
    <w:rsid w:val="000602DF"/>
    <w:rsid w:val="00061B05"/>
    <w:rsid w:val="00061EE1"/>
    <w:rsid w:val="000632D5"/>
    <w:rsid w:val="000644EE"/>
    <w:rsid w:val="000712E3"/>
    <w:rsid w:val="0007780A"/>
    <w:rsid w:val="00085457"/>
    <w:rsid w:val="0008737A"/>
    <w:rsid w:val="00090E13"/>
    <w:rsid w:val="000925AD"/>
    <w:rsid w:val="00096FE1"/>
    <w:rsid w:val="00097A62"/>
    <w:rsid w:val="000A24EB"/>
    <w:rsid w:val="000A3470"/>
    <w:rsid w:val="000A5497"/>
    <w:rsid w:val="000B686A"/>
    <w:rsid w:val="000B6923"/>
    <w:rsid w:val="000B7195"/>
    <w:rsid w:val="000C5F3C"/>
    <w:rsid w:val="000C6DCC"/>
    <w:rsid w:val="000D47AA"/>
    <w:rsid w:val="000D5286"/>
    <w:rsid w:val="000D6BC9"/>
    <w:rsid w:val="000D721F"/>
    <w:rsid w:val="000E069B"/>
    <w:rsid w:val="000E0E82"/>
    <w:rsid w:val="000E1DC5"/>
    <w:rsid w:val="000E223F"/>
    <w:rsid w:val="000E46B8"/>
    <w:rsid w:val="000E7037"/>
    <w:rsid w:val="000E7D45"/>
    <w:rsid w:val="000F1955"/>
    <w:rsid w:val="000F52F4"/>
    <w:rsid w:val="000F7851"/>
    <w:rsid w:val="00101505"/>
    <w:rsid w:val="00102661"/>
    <w:rsid w:val="00104E23"/>
    <w:rsid w:val="00110DA8"/>
    <w:rsid w:val="00111B0C"/>
    <w:rsid w:val="00120D6C"/>
    <w:rsid w:val="00122034"/>
    <w:rsid w:val="00123A3B"/>
    <w:rsid w:val="001257EC"/>
    <w:rsid w:val="00133D33"/>
    <w:rsid w:val="00133D54"/>
    <w:rsid w:val="00134B6A"/>
    <w:rsid w:val="00134D64"/>
    <w:rsid w:val="00135A30"/>
    <w:rsid w:val="0013612C"/>
    <w:rsid w:val="00137FF6"/>
    <w:rsid w:val="00141650"/>
    <w:rsid w:val="00146902"/>
    <w:rsid w:val="00150BFA"/>
    <w:rsid w:val="001561B6"/>
    <w:rsid w:val="00162A12"/>
    <w:rsid w:val="00166530"/>
    <w:rsid w:val="00170027"/>
    <w:rsid w:val="00172986"/>
    <w:rsid w:val="00172D01"/>
    <w:rsid w:val="00182EBA"/>
    <w:rsid w:val="001832BD"/>
    <w:rsid w:val="001943B5"/>
    <w:rsid w:val="00195134"/>
    <w:rsid w:val="00196335"/>
    <w:rsid w:val="001A020C"/>
    <w:rsid w:val="001A145B"/>
    <w:rsid w:val="001A3E09"/>
    <w:rsid w:val="001A674C"/>
    <w:rsid w:val="001B3B24"/>
    <w:rsid w:val="001B3E15"/>
    <w:rsid w:val="001C055B"/>
    <w:rsid w:val="001C0F98"/>
    <w:rsid w:val="001C2A42"/>
    <w:rsid w:val="001C7A11"/>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2761"/>
    <w:rsid w:val="0021423C"/>
    <w:rsid w:val="00214F2A"/>
    <w:rsid w:val="00220FB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75123"/>
    <w:rsid w:val="00281B7C"/>
    <w:rsid w:val="00282240"/>
    <w:rsid w:val="00282BD8"/>
    <w:rsid w:val="00287AD5"/>
    <w:rsid w:val="002934D0"/>
    <w:rsid w:val="00293676"/>
    <w:rsid w:val="00293BD9"/>
    <w:rsid w:val="002948AD"/>
    <w:rsid w:val="002A01CC"/>
    <w:rsid w:val="002A473E"/>
    <w:rsid w:val="002A601F"/>
    <w:rsid w:val="002A613A"/>
    <w:rsid w:val="002A61B1"/>
    <w:rsid w:val="002A663C"/>
    <w:rsid w:val="002B444B"/>
    <w:rsid w:val="002B5887"/>
    <w:rsid w:val="002B5B43"/>
    <w:rsid w:val="002C0E27"/>
    <w:rsid w:val="002C2BBA"/>
    <w:rsid w:val="002C3040"/>
    <w:rsid w:val="002C4433"/>
    <w:rsid w:val="002C5ADD"/>
    <w:rsid w:val="002C7826"/>
    <w:rsid w:val="002D022D"/>
    <w:rsid w:val="002D24BB"/>
    <w:rsid w:val="002D2FA7"/>
    <w:rsid w:val="002D47BA"/>
    <w:rsid w:val="002D77B9"/>
    <w:rsid w:val="002E3D3B"/>
    <w:rsid w:val="002E46DA"/>
    <w:rsid w:val="002E61ED"/>
    <w:rsid w:val="002E7764"/>
    <w:rsid w:val="002F214A"/>
    <w:rsid w:val="002F2AF7"/>
    <w:rsid w:val="002F52A8"/>
    <w:rsid w:val="002F69A1"/>
    <w:rsid w:val="002F69C4"/>
    <w:rsid w:val="002F7D9E"/>
    <w:rsid w:val="002F7E1C"/>
    <w:rsid w:val="00301A75"/>
    <w:rsid w:val="00302F70"/>
    <w:rsid w:val="0030336F"/>
    <w:rsid w:val="0030375E"/>
    <w:rsid w:val="00312A30"/>
    <w:rsid w:val="003201D8"/>
    <w:rsid w:val="00320F72"/>
    <w:rsid w:val="0032463E"/>
    <w:rsid w:val="00324A19"/>
    <w:rsid w:val="00326224"/>
    <w:rsid w:val="003358A0"/>
    <w:rsid w:val="00337EE4"/>
    <w:rsid w:val="00340FFD"/>
    <w:rsid w:val="00345C41"/>
    <w:rsid w:val="003506B1"/>
    <w:rsid w:val="00355877"/>
    <w:rsid w:val="00356AC7"/>
    <w:rsid w:val="0036099C"/>
    <w:rsid w:val="003609FA"/>
    <w:rsid w:val="003710C8"/>
    <w:rsid w:val="003750BE"/>
    <w:rsid w:val="00385A36"/>
    <w:rsid w:val="00385F3D"/>
    <w:rsid w:val="0038740C"/>
    <w:rsid w:val="00387B9D"/>
    <w:rsid w:val="00387C70"/>
    <w:rsid w:val="00390294"/>
    <w:rsid w:val="0039364F"/>
    <w:rsid w:val="00396686"/>
    <w:rsid w:val="0039778E"/>
    <w:rsid w:val="003A3DF5"/>
    <w:rsid w:val="003B4941"/>
    <w:rsid w:val="003B5674"/>
    <w:rsid w:val="003C5714"/>
    <w:rsid w:val="003C6B9F"/>
    <w:rsid w:val="003C6E2A"/>
    <w:rsid w:val="003D0299"/>
    <w:rsid w:val="003D0305"/>
    <w:rsid w:val="003D39F8"/>
    <w:rsid w:val="003E6D80"/>
    <w:rsid w:val="003E7BCC"/>
    <w:rsid w:val="003F05FA"/>
    <w:rsid w:val="003F244A"/>
    <w:rsid w:val="003F2517"/>
    <w:rsid w:val="003F30B8"/>
    <w:rsid w:val="003F39D3"/>
    <w:rsid w:val="003F4C45"/>
    <w:rsid w:val="003F5F7B"/>
    <w:rsid w:val="003F7D64"/>
    <w:rsid w:val="0040433A"/>
    <w:rsid w:val="00405D1A"/>
    <w:rsid w:val="00414300"/>
    <w:rsid w:val="00414F27"/>
    <w:rsid w:val="00420703"/>
    <w:rsid w:val="00425C67"/>
    <w:rsid w:val="00427E7A"/>
    <w:rsid w:val="004355AC"/>
    <w:rsid w:val="00435BEC"/>
    <w:rsid w:val="00436C49"/>
    <w:rsid w:val="00443D98"/>
    <w:rsid w:val="00445366"/>
    <w:rsid w:val="00447F5B"/>
    <w:rsid w:val="00461DB0"/>
    <w:rsid w:val="00463926"/>
    <w:rsid w:val="00464AB7"/>
    <w:rsid w:val="00464C9A"/>
    <w:rsid w:val="00474F3D"/>
    <w:rsid w:val="00475672"/>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26E8"/>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139"/>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3D36"/>
    <w:rsid w:val="005B4425"/>
    <w:rsid w:val="005B4B94"/>
    <w:rsid w:val="005C07FC"/>
    <w:rsid w:val="005C2C62"/>
    <w:rsid w:val="005C3EE8"/>
    <w:rsid w:val="005C609A"/>
    <w:rsid w:val="005D2F2A"/>
    <w:rsid w:val="005D34F9"/>
    <w:rsid w:val="005D4190"/>
    <w:rsid w:val="005D67A3"/>
    <w:rsid w:val="005E11E8"/>
    <w:rsid w:val="005E2988"/>
    <w:rsid w:val="005E3085"/>
    <w:rsid w:val="005E6AE0"/>
    <w:rsid w:val="005F002D"/>
    <w:rsid w:val="005F0EB3"/>
    <w:rsid w:val="005F51E1"/>
    <w:rsid w:val="006100BA"/>
    <w:rsid w:val="00611C80"/>
    <w:rsid w:val="00612D31"/>
    <w:rsid w:val="00620692"/>
    <w:rsid w:val="00623885"/>
    <w:rsid w:val="006242CA"/>
    <w:rsid w:val="00627507"/>
    <w:rsid w:val="00633717"/>
    <w:rsid w:val="006344E1"/>
    <w:rsid w:val="00643524"/>
    <w:rsid w:val="0064393B"/>
    <w:rsid w:val="00645CF2"/>
    <w:rsid w:val="00653BED"/>
    <w:rsid w:val="006545C4"/>
    <w:rsid w:val="00654D3A"/>
    <w:rsid w:val="00661971"/>
    <w:rsid w:val="00661CE8"/>
    <w:rsid w:val="006623D9"/>
    <w:rsid w:val="006642A5"/>
    <w:rsid w:val="0066550C"/>
    <w:rsid w:val="00665BD2"/>
    <w:rsid w:val="006716F2"/>
    <w:rsid w:val="00675AF2"/>
    <w:rsid w:val="00677CB5"/>
    <w:rsid w:val="00682BF2"/>
    <w:rsid w:val="0068378A"/>
    <w:rsid w:val="0068573E"/>
    <w:rsid w:val="006859CE"/>
    <w:rsid w:val="00691270"/>
    <w:rsid w:val="006931DB"/>
    <w:rsid w:val="00693E83"/>
    <w:rsid w:val="00694BA8"/>
    <w:rsid w:val="006A037C"/>
    <w:rsid w:val="006A0C84"/>
    <w:rsid w:val="006A36F4"/>
    <w:rsid w:val="006A406F"/>
    <w:rsid w:val="006A4E97"/>
    <w:rsid w:val="006A5D3A"/>
    <w:rsid w:val="006B1942"/>
    <w:rsid w:val="006B4E74"/>
    <w:rsid w:val="006C23D4"/>
    <w:rsid w:val="006C62BF"/>
    <w:rsid w:val="006C7BB0"/>
    <w:rsid w:val="006D3237"/>
    <w:rsid w:val="006E2E37"/>
    <w:rsid w:val="006E3CF1"/>
    <w:rsid w:val="006E68A3"/>
    <w:rsid w:val="006E7E80"/>
    <w:rsid w:val="006F1C2D"/>
    <w:rsid w:val="006F48CA"/>
    <w:rsid w:val="006F64DD"/>
    <w:rsid w:val="006F712D"/>
    <w:rsid w:val="00704EB6"/>
    <w:rsid w:val="00715127"/>
    <w:rsid w:val="00715E8E"/>
    <w:rsid w:val="00723580"/>
    <w:rsid w:val="00723755"/>
    <w:rsid w:val="0073136C"/>
    <w:rsid w:val="00731F0F"/>
    <w:rsid w:val="00733250"/>
    <w:rsid w:val="00741404"/>
    <w:rsid w:val="007449E5"/>
    <w:rsid w:val="0074750E"/>
    <w:rsid w:val="00747D81"/>
    <w:rsid w:val="00747FF0"/>
    <w:rsid w:val="007501C5"/>
    <w:rsid w:val="00751066"/>
    <w:rsid w:val="00753409"/>
    <w:rsid w:val="00754C7D"/>
    <w:rsid w:val="0075566E"/>
    <w:rsid w:val="00755DAA"/>
    <w:rsid w:val="00763602"/>
    <w:rsid w:val="00764D4E"/>
    <w:rsid w:val="00765A1F"/>
    <w:rsid w:val="00773719"/>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3A43"/>
    <w:rsid w:val="007E51BA"/>
    <w:rsid w:val="007E65FC"/>
    <w:rsid w:val="007E73D7"/>
    <w:rsid w:val="007E79A4"/>
    <w:rsid w:val="007F0FD5"/>
    <w:rsid w:val="007F1905"/>
    <w:rsid w:val="007F27E4"/>
    <w:rsid w:val="007F3437"/>
    <w:rsid w:val="007F3DC2"/>
    <w:rsid w:val="00802C64"/>
    <w:rsid w:val="00805E52"/>
    <w:rsid w:val="008061D0"/>
    <w:rsid w:val="00810B38"/>
    <w:rsid w:val="008204C7"/>
    <w:rsid w:val="00820992"/>
    <w:rsid w:val="00823602"/>
    <w:rsid w:val="008239AA"/>
    <w:rsid w:val="008255F5"/>
    <w:rsid w:val="00826890"/>
    <w:rsid w:val="0083014E"/>
    <w:rsid w:val="0083214A"/>
    <w:rsid w:val="00834220"/>
    <w:rsid w:val="00834B50"/>
    <w:rsid w:val="00843F1A"/>
    <w:rsid w:val="00845723"/>
    <w:rsid w:val="008519E7"/>
    <w:rsid w:val="00851EF9"/>
    <w:rsid w:val="008577FD"/>
    <w:rsid w:val="00860B03"/>
    <w:rsid w:val="0086497A"/>
    <w:rsid w:val="0086538E"/>
    <w:rsid w:val="00867066"/>
    <w:rsid w:val="008713A1"/>
    <w:rsid w:val="00872584"/>
    <w:rsid w:val="008754AB"/>
    <w:rsid w:val="0088060C"/>
    <w:rsid w:val="00881EF1"/>
    <w:rsid w:val="00882CD5"/>
    <w:rsid w:val="00883151"/>
    <w:rsid w:val="00893576"/>
    <w:rsid w:val="00893E73"/>
    <w:rsid w:val="008B02DC"/>
    <w:rsid w:val="008B092C"/>
    <w:rsid w:val="008B513F"/>
    <w:rsid w:val="008B57CE"/>
    <w:rsid w:val="008C1D85"/>
    <w:rsid w:val="008C26DE"/>
    <w:rsid w:val="008D1668"/>
    <w:rsid w:val="008D2225"/>
    <w:rsid w:val="008D4752"/>
    <w:rsid w:val="008D5A13"/>
    <w:rsid w:val="008E144F"/>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2E1E"/>
    <w:rsid w:val="0090341E"/>
    <w:rsid w:val="00903C7D"/>
    <w:rsid w:val="0090506B"/>
    <w:rsid w:val="009050C9"/>
    <w:rsid w:val="009066FC"/>
    <w:rsid w:val="009140A3"/>
    <w:rsid w:val="009144A2"/>
    <w:rsid w:val="009147BF"/>
    <w:rsid w:val="0091510C"/>
    <w:rsid w:val="009259AC"/>
    <w:rsid w:val="00926F38"/>
    <w:rsid w:val="00927BEB"/>
    <w:rsid w:val="009333DC"/>
    <w:rsid w:val="00934301"/>
    <w:rsid w:val="0093491C"/>
    <w:rsid w:val="00936CD1"/>
    <w:rsid w:val="00940079"/>
    <w:rsid w:val="0094131C"/>
    <w:rsid w:val="00941747"/>
    <w:rsid w:val="00941EFB"/>
    <w:rsid w:val="009466CB"/>
    <w:rsid w:val="00946815"/>
    <w:rsid w:val="00947AFB"/>
    <w:rsid w:val="00951AA3"/>
    <w:rsid w:val="00951D7D"/>
    <w:rsid w:val="00955019"/>
    <w:rsid w:val="00956D0C"/>
    <w:rsid w:val="00960DC9"/>
    <w:rsid w:val="009630C7"/>
    <w:rsid w:val="00965416"/>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0CCA"/>
    <w:rsid w:val="009D57AA"/>
    <w:rsid w:val="009E1F32"/>
    <w:rsid w:val="009E2CC2"/>
    <w:rsid w:val="009E47A2"/>
    <w:rsid w:val="009E776C"/>
    <w:rsid w:val="009E7A6F"/>
    <w:rsid w:val="009F45EE"/>
    <w:rsid w:val="009F4C8F"/>
    <w:rsid w:val="009F6B17"/>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4C49"/>
    <w:rsid w:val="00A45145"/>
    <w:rsid w:val="00A51D0F"/>
    <w:rsid w:val="00A533DB"/>
    <w:rsid w:val="00A54192"/>
    <w:rsid w:val="00A57147"/>
    <w:rsid w:val="00A6035E"/>
    <w:rsid w:val="00A6144C"/>
    <w:rsid w:val="00A64699"/>
    <w:rsid w:val="00A66617"/>
    <w:rsid w:val="00A671F8"/>
    <w:rsid w:val="00A673A4"/>
    <w:rsid w:val="00A724AE"/>
    <w:rsid w:val="00A73329"/>
    <w:rsid w:val="00A82359"/>
    <w:rsid w:val="00A865D2"/>
    <w:rsid w:val="00A87C10"/>
    <w:rsid w:val="00A90BCD"/>
    <w:rsid w:val="00A92625"/>
    <w:rsid w:val="00A94C20"/>
    <w:rsid w:val="00A95D81"/>
    <w:rsid w:val="00A97483"/>
    <w:rsid w:val="00AA1B09"/>
    <w:rsid w:val="00AA227F"/>
    <w:rsid w:val="00AA3BC7"/>
    <w:rsid w:val="00AA754A"/>
    <w:rsid w:val="00AB099E"/>
    <w:rsid w:val="00AB4328"/>
    <w:rsid w:val="00AC38DE"/>
    <w:rsid w:val="00AC418F"/>
    <w:rsid w:val="00AC4CD4"/>
    <w:rsid w:val="00AC6C06"/>
    <w:rsid w:val="00AD41E8"/>
    <w:rsid w:val="00AE0A2E"/>
    <w:rsid w:val="00AE2C95"/>
    <w:rsid w:val="00AE354C"/>
    <w:rsid w:val="00AF12C5"/>
    <w:rsid w:val="00AF4B07"/>
    <w:rsid w:val="00AF6186"/>
    <w:rsid w:val="00AF7A3A"/>
    <w:rsid w:val="00B02587"/>
    <w:rsid w:val="00B03641"/>
    <w:rsid w:val="00B049D1"/>
    <w:rsid w:val="00B14793"/>
    <w:rsid w:val="00B153A0"/>
    <w:rsid w:val="00B160DB"/>
    <w:rsid w:val="00B20836"/>
    <w:rsid w:val="00B226DE"/>
    <w:rsid w:val="00B235BB"/>
    <w:rsid w:val="00B25996"/>
    <w:rsid w:val="00B27A44"/>
    <w:rsid w:val="00B30BBF"/>
    <w:rsid w:val="00B31C09"/>
    <w:rsid w:val="00B33C03"/>
    <w:rsid w:val="00B4421F"/>
    <w:rsid w:val="00B44E56"/>
    <w:rsid w:val="00B45917"/>
    <w:rsid w:val="00B46543"/>
    <w:rsid w:val="00B47D33"/>
    <w:rsid w:val="00B52BE0"/>
    <w:rsid w:val="00B54133"/>
    <w:rsid w:val="00B55A8D"/>
    <w:rsid w:val="00B62CF1"/>
    <w:rsid w:val="00B634AC"/>
    <w:rsid w:val="00B66855"/>
    <w:rsid w:val="00B70007"/>
    <w:rsid w:val="00B701ED"/>
    <w:rsid w:val="00B748F7"/>
    <w:rsid w:val="00B8086C"/>
    <w:rsid w:val="00B81C58"/>
    <w:rsid w:val="00B861B4"/>
    <w:rsid w:val="00B86DFE"/>
    <w:rsid w:val="00B90990"/>
    <w:rsid w:val="00B922FF"/>
    <w:rsid w:val="00B9281E"/>
    <w:rsid w:val="00B93925"/>
    <w:rsid w:val="00B95187"/>
    <w:rsid w:val="00BA095F"/>
    <w:rsid w:val="00BA0AB8"/>
    <w:rsid w:val="00BA2D55"/>
    <w:rsid w:val="00BA71B1"/>
    <w:rsid w:val="00BB0637"/>
    <w:rsid w:val="00BB345F"/>
    <w:rsid w:val="00BB68EA"/>
    <w:rsid w:val="00BC0B99"/>
    <w:rsid w:val="00BC1C27"/>
    <w:rsid w:val="00BC56A7"/>
    <w:rsid w:val="00BC5D57"/>
    <w:rsid w:val="00BC6BBF"/>
    <w:rsid w:val="00BD1572"/>
    <w:rsid w:val="00BE14E3"/>
    <w:rsid w:val="00BE300A"/>
    <w:rsid w:val="00BE3774"/>
    <w:rsid w:val="00BE41E5"/>
    <w:rsid w:val="00BE4CE2"/>
    <w:rsid w:val="00BF118F"/>
    <w:rsid w:val="00BF4109"/>
    <w:rsid w:val="00BF4AB7"/>
    <w:rsid w:val="00BF4CC3"/>
    <w:rsid w:val="00BF5F97"/>
    <w:rsid w:val="00C054C7"/>
    <w:rsid w:val="00C057B5"/>
    <w:rsid w:val="00C07D0E"/>
    <w:rsid w:val="00C10186"/>
    <w:rsid w:val="00C115C3"/>
    <w:rsid w:val="00C15547"/>
    <w:rsid w:val="00C1672D"/>
    <w:rsid w:val="00C22687"/>
    <w:rsid w:val="00C26A92"/>
    <w:rsid w:val="00C26B1C"/>
    <w:rsid w:val="00C32E4D"/>
    <w:rsid w:val="00C333A0"/>
    <w:rsid w:val="00C36A81"/>
    <w:rsid w:val="00C41974"/>
    <w:rsid w:val="00C44955"/>
    <w:rsid w:val="00C44A2C"/>
    <w:rsid w:val="00C44F09"/>
    <w:rsid w:val="00C477F7"/>
    <w:rsid w:val="00C509A6"/>
    <w:rsid w:val="00C53F4A"/>
    <w:rsid w:val="00C54125"/>
    <w:rsid w:val="00C55B54"/>
    <w:rsid w:val="00C6098E"/>
    <w:rsid w:val="00C6152C"/>
    <w:rsid w:val="00C71424"/>
    <w:rsid w:val="00C74810"/>
    <w:rsid w:val="00C82B71"/>
    <w:rsid w:val="00C84618"/>
    <w:rsid w:val="00C90D68"/>
    <w:rsid w:val="00C939FE"/>
    <w:rsid w:val="00CA4BDA"/>
    <w:rsid w:val="00CB13E3"/>
    <w:rsid w:val="00CB1F66"/>
    <w:rsid w:val="00CB232C"/>
    <w:rsid w:val="00CB2951"/>
    <w:rsid w:val="00CB4277"/>
    <w:rsid w:val="00CC19F6"/>
    <w:rsid w:val="00CC5067"/>
    <w:rsid w:val="00CD11D3"/>
    <w:rsid w:val="00CD282B"/>
    <w:rsid w:val="00CD447B"/>
    <w:rsid w:val="00CD4C35"/>
    <w:rsid w:val="00CD7369"/>
    <w:rsid w:val="00CE0B0E"/>
    <w:rsid w:val="00CE3831"/>
    <w:rsid w:val="00CF2397"/>
    <w:rsid w:val="00CF7B21"/>
    <w:rsid w:val="00D00ABB"/>
    <w:rsid w:val="00D02EEC"/>
    <w:rsid w:val="00D03551"/>
    <w:rsid w:val="00D04315"/>
    <w:rsid w:val="00D06A63"/>
    <w:rsid w:val="00D06F90"/>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82EE4"/>
    <w:rsid w:val="00D84FA1"/>
    <w:rsid w:val="00D8645F"/>
    <w:rsid w:val="00D908A8"/>
    <w:rsid w:val="00D977B6"/>
    <w:rsid w:val="00DA1223"/>
    <w:rsid w:val="00DA4A31"/>
    <w:rsid w:val="00DA7B04"/>
    <w:rsid w:val="00DB36C2"/>
    <w:rsid w:val="00DC00A8"/>
    <w:rsid w:val="00DC169B"/>
    <w:rsid w:val="00DC2AB9"/>
    <w:rsid w:val="00DC63F0"/>
    <w:rsid w:val="00DD03EC"/>
    <w:rsid w:val="00DD1221"/>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569"/>
    <w:rsid w:val="00E21DBC"/>
    <w:rsid w:val="00E275D7"/>
    <w:rsid w:val="00E27DBE"/>
    <w:rsid w:val="00E27F6F"/>
    <w:rsid w:val="00E31FE5"/>
    <w:rsid w:val="00E32AB1"/>
    <w:rsid w:val="00E36C71"/>
    <w:rsid w:val="00E40404"/>
    <w:rsid w:val="00E4126A"/>
    <w:rsid w:val="00E42461"/>
    <w:rsid w:val="00E42A06"/>
    <w:rsid w:val="00E459C6"/>
    <w:rsid w:val="00E47589"/>
    <w:rsid w:val="00E557AA"/>
    <w:rsid w:val="00E603B0"/>
    <w:rsid w:val="00E63EC7"/>
    <w:rsid w:val="00E64915"/>
    <w:rsid w:val="00E64D3A"/>
    <w:rsid w:val="00E661D4"/>
    <w:rsid w:val="00E67565"/>
    <w:rsid w:val="00E70091"/>
    <w:rsid w:val="00E70D2E"/>
    <w:rsid w:val="00E720F5"/>
    <w:rsid w:val="00E744E0"/>
    <w:rsid w:val="00E76D47"/>
    <w:rsid w:val="00E76F8B"/>
    <w:rsid w:val="00E827BC"/>
    <w:rsid w:val="00E838A6"/>
    <w:rsid w:val="00E849F7"/>
    <w:rsid w:val="00E90302"/>
    <w:rsid w:val="00E91D05"/>
    <w:rsid w:val="00E9262D"/>
    <w:rsid w:val="00E94245"/>
    <w:rsid w:val="00E95C1E"/>
    <w:rsid w:val="00E97396"/>
    <w:rsid w:val="00EA185E"/>
    <w:rsid w:val="00EA592A"/>
    <w:rsid w:val="00EA77DC"/>
    <w:rsid w:val="00EA7E90"/>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4806"/>
    <w:rsid w:val="00EE5DD2"/>
    <w:rsid w:val="00EE61B9"/>
    <w:rsid w:val="00EF36C5"/>
    <w:rsid w:val="00EF3DB4"/>
    <w:rsid w:val="00EF3DC6"/>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7E8"/>
    <w:rsid w:val="00F35B7A"/>
    <w:rsid w:val="00F512EB"/>
    <w:rsid w:val="00F521BA"/>
    <w:rsid w:val="00F52F2D"/>
    <w:rsid w:val="00F56A6F"/>
    <w:rsid w:val="00F5709C"/>
    <w:rsid w:val="00F6077A"/>
    <w:rsid w:val="00F60B85"/>
    <w:rsid w:val="00F64AB0"/>
    <w:rsid w:val="00F64B8D"/>
    <w:rsid w:val="00F64EF1"/>
    <w:rsid w:val="00F65C00"/>
    <w:rsid w:val="00F72498"/>
    <w:rsid w:val="00F72B14"/>
    <w:rsid w:val="00F7349B"/>
    <w:rsid w:val="00F8765F"/>
    <w:rsid w:val="00F90767"/>
    <w:rsid w:val="00F9263C"/>
    <w:rsid w:val="00FA1637"/>
    <w:rsid w:val="00FA266A"/>
    <w:rsid w:val="00FA685B"/>
    <w:rsid w:val="00FB0C01"/>
    <w:rsid w:val="00FB1A8A"/>
    <w:rsid w:val="00FB5934"/>
    <w:rsid w:val="00FC18F2"/>
    <w:rsid w:val="00FC2A17"/>
    <w:rsid w:val="00FC38CF"/>
    <w:rsid w:val="00FC39E5"/>
    <w:rsid w:val="00FC3A78"/>
    <w:rsid w:val="00FD1005"/>
    <w:rsid w:val="00FD114A"/>
    <w:rsid w:val="00FD1F7F"/>
    <w:rsid w:val="00FD3104"/>
    <w:rsid w:val="00FD6C75"/>
    <w:rsid w:val="00FD7972"/>
    <w:rsid w:val="00FE0401"/>
    <w:rsid w:val="00FE18D9"/>
    <w:rsid w:val="00FE3F77"/>
    <w:rsid w:val="00FE45C1"/>
    <w:rsid w:val="00FE50D2"/>
    <w:rsid w:val="00FE71B3"/>
    <w:rsid w:val="00FF2C3A"/>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33A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6100BA"/>
    <w:rPr>
      <w:sz w:val="24"/>
      <w:szCs w:val="24"/>
      <w:lang w:val="en-GB"/>
    </w:rPr>
  </w:style>
  <w:style w:type="paragraph" w:styleId="Nagwek1">
    <w:name w:val="heading 1"/>
    <w:basedOn w:val="Normalny"/>
    <w:next w:val="Normalny"/>
    <w:link w:val="Nagwek1Znak"/>
    <w:uiPriority w:val="98"/>
    <w:semiHidden/>
    <w:rsid w:val="006100B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6100B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6100BA"/>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6100BA"/>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6100BA"/>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6100B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6100BA"/>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6100B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6100B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6100BA"/>
    <w:rPr>
      <w:rFonts w:ascii="Tahoma" w:hAnsi="Tahoma" w:cs="Tahoma"/>
      <w:sz w:val="16"/>
      <w:szCs w:val="16"/>
    </w:rPr>
  </w:style>
  <w:style w:type="character" w:customStyle="1" w:styleId="TekstdymkaZnak">
    <w:name w:val="Tekst dymka Znak"/>
    <w:basedOn w:val="Domylnaczcionkaakapitu"/>
    <w:link w:val="Tekstdymka"/>
    <w:uiPriority w:val="98"/>
    <w:semiHidden/>
    <w:rsid w:val="006100BA"/>
    <w:rPr>
      <w:rFonts w:ascii="Tahoma" w:hAnsi="Tahoma" w:cs="Tahoma"/>
      <w:sz w:val="16"/>
      <w:szCs w:val="16"/>
      <w:lang w:val="en-GB"/>
    </w:rPr>
  </w:style>
  <w:style w:type="character" w:styleId="Tytuksiki">
    <w:name w:val="Book Title"/>
    <w:uiPriority w:val="98"/>
    <w:semiHidden/>
    <w:qFormat/>
    <w:rsid w:val="006100BA"/>
    <w:rPr>
      <w:i/>
      <w:iCs/>
      <w:smallCaps/>
      <w:spacing w:val="5"/>
    </w:rPr>
  </w:style>
  <w:style w:type="paragraph" w:customStyle="1" w:styleId="JuHeader">
    <w:name w:val="Ju_Header"/>
    <w:aliases w:val="_Header"/>
    <w:basedOn w:val="Nagwek"/>
    <w:uiPriority w:val="29"/>
    <w:qFormat/>
    <w:rsid w:val="006100BA"/>
    <w:pPr>
      <w:tabs>
        <w:tab w:val="clear" w:pos="4536"/>
        <w:tab w:val="clear" w:pos="9072"/>
      </w:tabs>
      <w:jc w:val="center"/>
    </w:pPr>
    <w:rPr>
      <w:sz w:val="18"/>
    </w:rPr>
  </w:style>
  <w:style w:type="paragraph" w:customStyle="1" w:styleId="NormalJustified">
    <w:name w:val="Normal_Justified"/>
    <w:basedOn w:val="Normalny"/>
    <w:semiHidden/>
    <w:rsid w:val="006100BA"/>
    <w:pPr>
      <w:jc w:val="both"/>
    </w:pPr>
  </w:style>
  <w:style w:type="character" w:styleId="Pogrubienie">
    <w:name w:val="Strong"/>
    <w:uiPriority w:val="98"/>
    <w:semiHidden/>
    <w:qFormat/>
    <w:rsid w:val="006100BA"/>
    <w:rPr>
      <w:b/>
      <w:bCs/>
    </w:rPr>
  </w:style>
  <w:style w:type="paragraph" w:styleId="Bezodstpw">
    <w:name w:val="No Spacing"/>
    <w:basedOn w:val="Normalny"/>
    <w:link w:val="BezodstpwZnak"/>
    <w:uiPriority w:val="98"/>
    <w:semiHidden/>
    <w:qFormat/>
    <w:rsid w:val="006100BA"/>
  </w:style>
  <w:style w:type="character" w:customStyle="1" w:styleId="BezodstpwZnak">
    <w:name w:val="Bez odstępów Znak"/>
    <w:basedOn w:val="Domylnaczcionkaakapitu"/>
    <w:link w:val="Bezodstpw"/>
    <w:uiPriority w:val="98"/>
    <w:semiHidden/>
    <w:rsid w:val="006100BA"/>
    <w:rPr>
      <w:sz w:val="24"/>
      <w:szCs w:val="24"/>
      <w:lang w:val="en-GB"/>
    </w:rPr>
  </w:style>
  <w:style w:type="paragraph" w:customStyle="1" w:styleId="JuQuot">
    <w:name w:val="Ju_Quot"/>
    <w:aliases w:val="_Quote"/>
    <w:basedOn w:val="NormalJustified"/>
    <w:uiPriority w:val="20"/>
    <w:qFormat/>
    <w:rsid w:val="006100BA"/>
    <w:pPr>
      <w:spacing w:before="120" w:after="120"/>
      <w:ind w:left="425" w:firstLine="142"/>
    </w:pPr>
    <w:rPr>
      <w:sz w:val="20"/>
    </w:rPr>
  </w:style>
  <w:style w:type="paragraph" w:customStyle="1" w:styleId="DummyStyle">
    <w:name w:val="Dummy_Style"/>
    <w:aliases w:val="_Dummy"/>
    <w:basedOn w:val="Normalny"/>
    <w:semiHidden/>
    <w:qFormat/>
    <w:rsid w:val="006100BA"/>
    <w:rPr>
      <w:color w:val="00B050"/>
      <w:sz w:val="22"/>
    </w:rPr>
  </w:style>
  <w:style w:type="paragraph" w:customStyle="1" w:styleId="JuList">
    <w:name w:val="Ju_List"/>
    <w:aliases w:val="_List_1"/>
    <w:basedOn w:val="NormalJustified"/>
    <w:uiPriority w:val="23"/>
    <w:qFormat/>
    <w:rsid w:val="006100BA"/>
    <w:pPr>
      <w:numPr>
        <w:numId w:val="22"/>
      </w:numPr>
      <w:spacing w:before="280" w:after="60"/>
    </w:pPr>
  </w:style>
  <w:style w:type="paragraph" w:customStyle="1" w:styleId="JuLista">
    <w:name w:val="Ju_List_a"/>
    <w:aliases w:val="_List_2"/>
    <w:basedOn w:val="NormalJustified"/>
    <w:uiPriority w:val="23"/>
    <w:rsid w:val="006100BA"/>
    <w:pPr>
      <w:numPr>
        <w:ilvl w:val="1"/>
        <w:numId w:val="22"/>
      </w:numPr>
    </w:pPr>
  </w:style>
  <w:style w:type="paragraph" w:customStyle="1" w:styleId="JuListi">
    <w:name w:val="Ju_List_i"/>
    <w:aliases w:val="_List_3"/>
    <w:basedOn w:val="NormalJustified"/>
    <w:uiPriority w:val="23"/>
    <w:rsid w:val="006100BA"/>
    <w:pPr>
      <w:numPr>
        <w:ilvl w:val="2"/>
        <w:numId w:val="22"/>
      </w:numPr>
    </w:pPr>
  </w:style>
  <w:style w:type="paragraph" w:customStyle="1" w:styleId="JuHArticle">
    <w:name w:val="Ju_H_Article"/>
    <w:aliases w:val="_Title_Quote"/>
    <w:basedOn w:val="Normalny"/>
    <w:next w:val="JuQuot"/>
    <w:uiPriority w:val="19"/>
    <w:qFormat/>
    <w:rsid w:val="006100B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6100B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6100BA"/>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6100BA"/>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6100BA"/>
    <w:pPr>
      <w:numPr>
        <w:numId w:val="6"/>
      </w:numPr>
    </w:pPr>
  </w:style>
  <w:style w:type="paragraph" w:customStyle="1" w:styleId="JuSigned">
    <w:name w:val="Ju_Signed"/>
    <w:aliases w:val="_Signature"/>
    <w:basedOn w:val="Normalny"/>
    <w:next w:val="JuPara"/>
    <w:uiPriority w:val="31"/>
    <w:qFormat/>
    <w:rsid w:val="006100BA"/>
    <w:pPr>
      <w:tabs>
        <w:tab w:val="center" w:pos="1418"/>
        <w:tab w:val="center" w:pos="5954"/>
      </w:tabs>
      <w:spacing w:before="720"/>
    </w:pPr>
  </w:style>
  <w:style w:type="paragraph" w:styleId="Tytu">
    <w:name w:val="Title"/>
    <w:basedOn w:val="Normalny"/>
    <w:next w:val="Normalny"/>
    <w:link w:val="TytuZnak"/>
    <w:uiPriority w:val="98"/>
    <w:semiHidden/>
    <w:qFormat/>
    <w:rsid w:val="006100B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6100B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6100BA"/>
    <w:pPr>
      <w:numPr>
        <w:numId w:val="7"/>
      </w:numPr>
    </w:pPr>
  </w:style>
  <w:style w:type="numbering" w:customStyle="1" w:styleId="ECHRA1StyleNumberedList">
    <w:name w:val="ECHR_A1_Style_Numbered_List"/>
    <w:basedOn w:val="Bezlisty"/>
    <w:rsid w:val="006100BA"/>
    <w:pPr>
      <w:numPr>
        <w:numId w:val="8"/>
      </w:numPr>
    </w:pPr>
  </w:style>
  <w:style w:type="table" w:customStyle="1" w:styleId="ECHRTable2019">
    <w:name w:val="ECHR_Table_2019"/>
    <w:basedOn w:val="Standardowy"/>
    <w:uiPriority w:val="99"/>
    <w:rsid w:val="006100BA"/>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6100B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6100BA"/>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6100BA"/>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6100BA"/>
    <w:pPr>
      <w:keepNext/>
      <w:keepLines/>
      <w:numPr>
        <w:ilvl w:val="3"/>
        <w:numId w:val="21"/>
      </w:numPr>
      <w:spacing w:before="100" w:beforeAutospacing="1" w:after="120"/>
      <w:jc w:val="both"/>
    </w:pPr>
    <w:rPr>
      <w:b w:val="0"/>
      <w:color w:val="auto"/>
      <w:sz w:val="24"/>
    </w:rPr>
  </w:style>
  <w:style w:type="paragraph" w:styleId="Nagwek">
    <w:name w:val="header"/>
    <w:basedOn w:val="Normalny"/>
    <w:link w:val="NagwekZnak"/>
    <w:uiPriority w:val="98"/>
    <w:semiHidden/>
    <w:rsid w:val="006100BA"/>
    <w:pPr>
      <w:tabs>
        <w:tab w:val="center" w:pos="4536"/>
        <w:tab w:val="right" w:pos="9072"/>
      </w:tabs>
    </w:pPr>
  </w:style>
  <w:style w:type="character" w:customStyle="1" w:styleId="NagwekZnak">
    <w:name w:val="Nagłówek Znak"/>
    <w:basedOn w:val="Domylnaczcionkaakapitu"/>
    <w:link w:val="Nagwek"/>
    <w:uiPriority w:val="98"/>
    <w:semiHidden/>
    <w:rsid w:val="006100BA"/>
    <w:rPr>
      <w:sz w:val="24"/>
      <w:szCs w:val="24"/>
      <w:lang w:val="en-GB"/>
    </w:rPr>
  </w:style>
  <w:style w:type="character" w:customStyle="1" w:styleId="Nagwek1Znak">
    <w:name w:val="Nagłówek 1 Znak"/>
    <w:basedOn w:val="Domylnaczcionkaakapitu"/>
    <w:link w:val="Nagwek1"/>
    <w:uiPriority w:val="98"/>
    <w:semiHidden/>
    <w:rsid w:val="006100B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6100BA"/>
    <w:pPr>
      <w:keepNext/>
      <w:keepLines/>
      <w:numPr>
        <w:ilvl w:val="4"/>
        <w:numId w:val="21"/>
      </w:numPr>
      <w:spacing w:before="100" w:beforeAutospacing="1" w:after="120"/>
      <w:jc w:val="both"/>
    </w:pPr>
    <w:rPr>
      <w:color w:val="auto"/>
      <w:sz w:val="20"/>
    </w:rPr>
  </w:style>
  <w:style w:type="paragraph" w:customStyle="1" w:styleId="JuHi">
    <w:name w:val="Ju_H_i"/>
    <w:aliases w:val="_Head_6"/>
    <w:basedOn w:val="Nagwek6"/>
    <w:next w:val="JuPara"/>
    <w:uiPriority w:val="17"/>
    <w:rsid w:val="006100BA"/>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6100B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6100BA"/>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6100BA"/>
    <w:pPr>
      <w:keepNext/>
      <w:keepLines/>
      <w:numPr>
        <w:ilvl w:val="7"/>
        <w:numId w:val="21"/>
      </w:numPr>
      <w:spacing w:before="100" w:beforeAutospacing="1" w:after="120"/>
      <w:jc w:val="both"/>
    </w:pPr>
    <w:rPr>
      <w:i/>
    </w:rPr>
  </w:style>
  <w:style w:type="character" w:customStyle="1" w:styleId="Nagwek3Znak">
    <w:name w:val="Nagłówek 3 Znak"/>
    <w:basedOn w:val="Domylnaczcionkaakapitu"/>
    <w:link w:val="Nagwek3"/>
    <w:uiPriority w:val="98"/>
    <w:semiHidden/>
    <w:rsid w:val="006100B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6100BA"/>
    <w:pPr>
      <w:keepNext/>
      <w:keepLines/>
      <w:spacing w:before="240" w:after="240"/>
      <w:ind w:firstLine="284"/>
    </w:pPr>
  </w:style>
  <w:style w:type="paragraph" w:customStyle="1" w:styleId="JuJudges">
    <w:name w:val="Ju_Judges"/>
    <w:aliases w:val="_Judges"/>
    <w:basedOn w:val="Normalny"/>
    <w:uiPriority w:val="32"/>
    <w:qFormat/>
    <w:rsid w:val="006100BA"/>
    <w:pPr>
      <w:tabs>
        <w:tab w:val="left" w:pos="567"/>
        <w:tab w:val="left" w:pos="1134"/>
      </w:tabs>
    </w:pPr>
  </w:style>
  <w:style w:type="character" w:customStyle="1" w:styleId="Nagwek4Znak">
    <w:name w:val="Nagłówek 4 Znak"/>
    <w:basedOn w:val="Domylnaczcionkaakapitu"/>
    <w:link w:val="Nagwek4"/>
    <w:uiPriority w:val="98"/>
    <w:semiHidden/>
    <w:rsid w:val="006100B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6100BA"/>
    <w:pPr>
      <w:tabs>
        <w:tab w:val="center" w:pos="6407"/>
      </w:tabs>
      <w:spacing w:before="720"/>
      <w:jc w:val="right"/>
    </w:pPr>
  </w:style>
  <w:style w:type="character" w:customStyle="1" w:styleId="Nagwek5Znak">
    <w:name w:val="Nagłówek 5 Znak"/>
    <w:basedOn w:val="Domylnaczcionkaakapitu"/>
    <w:link w:val="Nagwek5"/>
    <w:uiPriority w:val="98"/>
    <w:semiHidden/>
    <w:rsid w:val="006100BA"/>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6100BA"/>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6100BA"/>
    <w:rPr>
      <w:caps w:val="0"/>
      <w:smallCaps/>
    </w:rPr>
  </w:style>
  <w:style w:type="character" w:styleId="Wyrnieniedelikatne">
    <w:name w:val="Subtle Emphasis"/>
    <w:uiPriority w:val="98"/>
    <w:semiHidden/>
    <w:qFormat/>
    <w:rsid w:val="006100BA"/>
    <w:rPr>
      <w:i/>
      <w:iCs/>
    </w:rPr>
  </w:style>
  <w:style w:type="table" w:customStyle="1" w:styleId="ECHRTable">
    <w:name w:val="ECHR_Table"/>
    <w:basedOn w:val="Standardowy"/>
    <w:rsid w:val="006100BA"/>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6100B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6100BA"/>
    <w:rPr>
      <w:b/>
      <w:bCs/>
      <w:i/>
      <w:iCs/>
      <w:spacing w:val="10"/>
      <w:bdr w:val="none" w:sz="0" w:space="0" w:color="auto"/>
      <w:shd w:val="clear" w:color="auto" w:fill="auto"/>
    </w:rPr>
  </w:style>
  <w:style w:type="paragraph" w:styleId="Stopka">
    <w:name w:val="footer"/>
    <w:basedOn w:val="Normalny"/>
    <w:link w:val="StopkaZnak"/>
    <w:uiPriority w:val="98"/>
    <w:semiHidden/>
    <w:rsid w:val="006100BA"/>
    <w:pPr>
      <w:tabs>
        <w:tab w:val="center" w:pos="3686"/>
        <w:tab w:val="right" w:pos="7371"/>
      </w:tabs>
    </w:pPr>
  </w:style>
  <w:style w:type="character" w:customStyle="1" w:styleId="StopkaZnak">
    <w:name w:val="Stopka Znak"/>
    <w:basedOn w:val="Domylnaczcionkaakapitu"/>
    <w:link w:val="Stopka"/>
    <w:uiPriority w:val="98"/>
    <w:rsid w:val="006100BA"/>
    <w:rPr>
      <w:sz w:val="24"/>
      <w:szCs w:val="24"/>
      <w:lang w:val="en-GB"/>
    </w:rPr>
  </w:style>
  <w:style w:type="character" w:styleId="Odwoanieprzypisudolnego">
    <w:name w:val="footnote reference"/>
    <w:basedOn w:val="Domylnaczcionkaakapitu"/>
    <w:uiPriority w:val="98"/>
    <w:semiHidden/>
    <w:rsid w:val="006100BA"/>
    <w:rPr>
      <w:vertAlign w:val="superscript"/>
    </w:rPr>
  </w:style>
  <w:style w:type="paragraph" w:styleId="Tekstprzypisudolnego">
    <w:name w:val="footnote text"/>
    <w:basedOn w:val="NormalJustified"/>
    <w:link w:val="TekstprzypisudolnegoZnak"/>
    <w:uiPriority w:val="98"/>
    <w:semiHidden/>
    <w:rsid w:val="006100BA"/>
    <w:rPr>
      <w:sz w:val="20"/>
      <w:szCs w:val="20"/>
    </w:rPr>
  </w:style>
  <w:style w:type="character" w:customStyle="1" w:styleId="TekstprzypisudolnegoZnak">
    <w:name w:val="Tekst przypisu dolnego Znak"/>
    <w:basedOn w:val="Domylnaczcionkaakapitu"/>
    <w:link w:val="Tekstprzypisudolnego"/>
    <w:uiPriority w:val="98"/>
    <w:semiHidden/>
    <w:rsid w:val="006100BA"/>
    <w:rPr>
      <w:sz w:val="20"/>
      <w:szCs w:val="20"/>
      <w:lang w:val="en-GB"/>
    </w:rPr>
  </w:style>
  <w:style w:type="character" w:customStyle="1" w:styleId="Nagwek6Znak">
    <w:name w:val="Nagłówek 6 Znak"/>
    <w:basedOn w:val="Domylnaczcionkaakapitu"/>
    <w:link w:val="Nagwek6"/>
    <w:uiPriority w:val="98"/>
    <w:semiHidden/>
    <w:rsid w:val="006100BA"/>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6100BA"/>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6100BA"/>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6100BA"/>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6100BA"/>
    <w:rPr>
      <w:color w:val="0072BC" w:themeColor="hyperlink"/>
      <w:u w:val="single"/>
    </w:rPr>
  </w:style>
  <w:style w:type="character" w:styleId="Wyrnienieintensywne">
    <w:name w:val="Intense Emphasis"/>
    <w:uiPriority w:val="98"/>
    <w:semiHidden/>
    <w:qFormat/>
    <w:rsid w:val="006100BA"/>
    <w:rPr>
      <w:b/>
      <w:bCs/>
    </w:rPr>
  </w:style>
  <w:style w:type="paragraph" w:styleId="Cytatintensywny">
    <w:name w:val="Intense Quote"/>
    <w:basedOn w:val="Normalny"/>
    <w:next w:val="Normalny"/>
    <w:link w:val="CytatintensywnyZnak"/>
    <w:uiPriority w:val="98"/>
    <w:semiHidden/>
    <w:qFormat/>
    <w:rsid w:val="006100B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6100BA"/>
    <w:rPr>
      <w:b/>
      <w:bCs/>
      <w:i/>
      <w:iCs/>
      <w:sz w:val="24"/>
      <w:szCs w:val="24"/>
      <w:lang w:val="en-GB" w:bidi="en-US"/>
    </w:rPr>
  </w:style>
  <w:style w:type="character" w:styleId="Odwoanieintensywne">
    <w:name w:val="Intense Reference"/>
    <w:uiPriority w:val="98"/>
    <w:semiHidden/>
    <w:qFormat/>
    <w:rsid w:val="006100BA"/>
    <w:rPr>
      <w:smallCaps/>
      <w:spacing w:val="5"/>
      <w:u w:val="single"/>
    </w:rPr>
  </w:style>
  <w:style w:type="paragraph" w:styleId="Akapitzlist">
    <w:name w:val="List Paragraph"/>
    <w:basedOn w:val="Normalny"/>
    <w:uiPriority w:val="98"/>
    <w:semiHidden/>
    <w:qFormat/>
    <w:rsid w:val="006100BA"/>
    <w:pPr>
      <w:ind w:left="720"/>
      <w:contextualSpacing/>
    </w:pPr>
  </w:style>
  <w:style w:type="table" w:customStyle="1" w:styleId="LtrTableAddress">
    <w:name w:val="Ltr_Table_Address"/>
    <w:aliases w:val="ECHR_Ltr_Table_Address"/>
    <w:basedOn w:val="Standardowy"/>
    <w:uiPriority w:val="99"/>
    <w:rsid w:val="006100BA"/>
    <w:rPr>
      <w:sz w:val="24"/>
      <w:szCs w:val="24"/>
    </w:rPr>
    <w:tblPr>
      <w:tblInd w:w="5103" w:type="dxa"/>
    </w:tblPr>
  </w:style>
  <w:style w:type="paragraph" w:styleId="Cytat">
    <w:name w:val="Quote"/>
    <w:basedOn w:val="Normalny"/>
    <w:next w:val="Normalny"/>
    <w:link w:val="CytatZnak"/>
    <w:uiPriority w:val="98"/>
    <w:semiHidden/>
    <w:qFormat/>
    <w:rsid w:val="006100BA"/>
    <w:pPr>
      <w:spacing w:before="200"/>
      <w:ind w:left="360" w:right="360"/>
    </w:pPr>
    <w:rPr>
      <w:i/>
      <w:iCs/>
      <w:lang w:bidi="en-US"/>
    </w:rPr>
  </w:style>
  <w:style w:type="character" w:customStyle="1" w:styleId="CytatZnak">
    <w:name w:val="Cytat Znak"/>
    <w:basedOn w:val="Domylnaczcionkaakapitu"/>
    <w:link w:val="Cytat"/>
    <w:uiPriority w:val="98"/>
    <w:semiHidden/>
    <w:rsid w:val="006100BA"/>
    <w:rPr>
      <w:i/>
      <w:iCs/>
      <w:sz w:val="24"/>
      <w:szCs w:val="24"/>
      <w:lang w:val="en-GB" w:bidi="en-US"/>
    </w:rPr>
  </w:style>
  <w:style w:type="character" w:styleId="Odwoaniedelikatne">
    <w:name w:val="Subtle Reference"/>
    <w:uiPriority w:val="98"/>
    <w:semiHidden/>
    <w:qFormat/>
    <w:rsid w:val="006100BA"/>
    <w:rPr>
      <w:smallCaps/>
    </w:rPr>
  </w:style>
  <w:style w:type="table" w:styleId="Tabela-Siatka">
    <w:name w:val="Table Grid"/>
    <w:basedOn w:val="Standardowy"/>
    <w:uiPriority w:val="59"/>
    <w:semiHidden/>
    <w:rsid w:val="006100B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6100B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6100B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6100B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6100BA"/>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6100B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6100BA"/>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6100B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6100B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6100BA"/>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6100BA"/>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6100B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6100BA"/>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6100BA"/>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Podtytu">
    <w:name w:val="Subtitle"/>
    <w:basedOn w:val="Normalny"/>
    <w:next w:val="Normalny"/>
    <w:link w:val="PodtytuZnak"/>
    <w:uiPriority w:val="98"/>
    <w:semiHidden/>
    <w:qFormat/>
    <w:rsid w:val="006100BA"/>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6100BA"/>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6100BA"/>
    <w:pPr>
      <w:numPr>
        <w:numId w:val="3"/>
      </w:numPr>
    </w:pPr>
  </w:style>
  <w:style w:type="paragraph" w:customStyle="1" w:styleId="JuPara">
    <w:name w:val="Ju_Para"/>
    <w:aliases w:val="_Para"/>
    <w:basedOn w:val="NormalJustified"/>
    <w:link w:val="JuParaChar"/>
    <w:uiPriority w:val="4"/>
    <w:qFormat/>
    <w:rsid w:val="006100BA"/>
    <w:pPr>
      <w:ind w:firstLine="284"/>
    </w:pPr>
  </w:style>
  <w:style w:type="numbering" w:styleId="1ai">
    <w:name w:val="Outline List 1"/>
    <w:basedOn w:val="Bezlisty"/>
    <w:uiPriority w:val="99"/>
    <w:semiHidden/>
    <w:unhideWhenUsed/>
    <w:rsid w:val="006100BA"/>
    <w:pPr>
      <w:numPr>
        <w:numId w:val="4"/>
      </w:numPr>
    </w:pPr>
  </w:style>
  <w:style w:type="table" w:customStyle="1" w:styleId="ECHRTableSimpleBox">
    <w:name w:val="ECHR_Table_Simple_Box"/>
    <w:basedOn w:val="Standardowy"/>
    <w:uiPriority w:val="99"/>
    <w:rsid w:val="006100BA"/>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6100BA"/>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6100BA"/>
    <w:pPr>
      <w:numPr>
        <w:numId w:val="5"/>
      </w:numPr>
    </w:pPr>
  </w:style>
  <w:style w:type="table" w:customStyle="1" w:styleId="ECHRTableForInternalUse">
    <w:name w:val="ECHR_Table_For_Internal_Use"/>
    <w:basedOn w:val="Standardowy"/>
    <w:uiPriority w:val="99"/>
    <w:rsid w:val="006100BA"/>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6100BA"/>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6100BA"/>
  </w:style>
  <w:style w:type="paragraph" w:styleId="Tekstblokowy">
    <w:name w:val="Block Text"/>
    <w:basedOn w:val="Normalny"/>
    <w:uiPriority w:val="98"/>
    <w:semiHidden/>
    <w:rsid w:val="006100B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100BA"/>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6100BA"/>
    <w:pPr>
      <w:spacing w:after="120"/>
    </w:pPr>
  </w:style>
  <w:style w:type="character" w:customStyle="1" w:styleId="TekstpodstawowyZnak">
    <w:name w:val="Tekst podstawowy Znak"/>
    <w:basedOn w:val="Domylnaczcionkaakapitu"/>
    <w:link w:val="Tekstpodstawowy"/>
    <w:uiPriority w:val="98"/>
    <w:semiHidden/>
    <w:rsid w:val="006100BA"/>
    <w:rPr>
      <w:sz w:val="24"/>
      <w:szCs w:val="24"/>
      <w:lang w:val="en-GB"/>
    </w:rPr>
  </w:style>
  <w:style w:type="table" w:customStyle="1" w:styleId="ECHRTableOddBanded">
    <w:name w:val="ECHR_Table_Odd_Banded"/>
    <w:basedOn w:val="Standardowy"/>
    <w:uiPriority w:val="99"/>
    <w:rsid w:val="006100BA"/>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6100BA"/>
    <w:pPr>
      <w:spacing w:after="120" w:line="480" w:lineRule="auto"/>
    </w:pPr>
  </w:style>
  <w:style w:type="table" w:customStyle="1" w:styleId="ECHRHeaderTableReduced">
    <w:name w:val="ECHR_Header_Table_Reduced"/>
    <w:basedOn w:val="Standardowy"/>
    <w:uiPriority w:val="99"/>
    <w:rsid w:val="006100B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6100BA"/>
    <w:pPr>
      <w:ind w:firstLine="284"/>
    </w:pPr>
    <w:rPr>
      <w:b/>
    </w:rPr>
  </w:style>
  <w:style w:type="character" w:styleId="Numerstrony">
    <w:name w:val="page number"/>
    <w:uiPriority w:val="98"/>
    <w:semiHidden/>
    <w:rsid w:val="006100BA"/>
    <w:rPr>
      <w:sz w:val="18"/>
    </w:rPr>
  </w:style>
  <w:style w:type="paragraph" w:styleId="Listapunktowana">
    <w:name w:val="List Bullet"/>
    <w:basedOn w:val="Normalny"/>
    <w:uiPriority w:val="98"/>
    <w:semiHidden/>
    <w:rsid w:val="006100BA"/>
    <w:pPr>
      <w:numPr>
        <w:numId w:val="9"/>
      </w:numPr>
    </w:pPr>
  </w:style>
  <w:style w:type="paragraph" w:styleId="Listapunktowana3">
    <w:name w:val="List Bullet 3"/>
    <w:basedOn w:val="Normalny"/>
    <w:uiPriority w:val="98"/>
    <w:semiHidden/>
    <w:rsid w:val="006100BA"/>
    <w:pPr>
      <w:numPr>
        <w:numId w:val="11"/>
      </w:numPr>
      <w:contextualSpacing/>
    </w:pPr>
  </w:style>
  <w:style w:type="character" w:customStyle="1" w:styleId="Tekstpodstawowy2Znak">
    <w:name w:val="Tekst podstawowy 2 Znak"/>
    <w:basedOn w:val="Domylnaczcionkaakapitu"/>
    <w:link w:val="Tekstpodstawowy2"/>
    <w:uiPriority w:val="98"/>
    <w:semiHidden/>
    <w:rsid w:val="006100BA"/>
    <w:rPr>
      <w:sz w:val="24"/>
      <w:szCs w:val="24"/>
      <w:lang w:val="en-GB"/>
    </w:rPr>
  </w:style>
  <w:style w:type="paragraph" w:styleId="Tekstpodstawowy3">
    <w:name w:val="Body Text 3"/>
    <w:basedOn w:val="Normalny"/>
    <w:link w:val="Tekstpodstawowy3Znak"/>
    <w:uiPriority w:val="98"/>
    <w:semiHidden/>
    <w:rsid w:val="006100BA"/>
    <w:pPr>
      <w:spacing w:after="120"/>
    </w:pPr>
    <w:rPr>
      <w:sz w:val="16"/>
      <w:szCs w:val="16"/>
    </w:rPr>
  </w:style>
  <w:style w:type="character" w:customStyle="1" w:styleId="Tekstpodstawowy3Znak">
    <w:name w:val="Tekst podstawowy 3 Znak"/>
    <w:basedOn w:val="Domylnaczcionkaakapitu"/>
    <w:link w:val="Tekstpodstawowy3"/>
    <w:uiPriority w:val="98"/>
    <w:semiHidden/>
    <w:rsid w:val="006100BA"/>
    <w:rPr>
      <w:sz w:val="16"/>
      <w:szCs w:val="16"/>
      <w:lang w:val="en-GB"/>
    </w:rPr>
  </w:style>
  <w:style w:type="paragraph" w:styleId="Tekstpodstawowyzwciciem">
    <w:name w:val="Body Text First Indent"/>
    <w:basedOn w:val="Tekstpodstawowy"/>
    <w:link w:val="TekstpodstawowyzwciciemZnak"/>
    <w:uiPriority w:val="98"/>
    <w:semiHidden/>
    <w:rsid w:val="006100BA"/>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6100BA"/>
    <w:rPr>
      <w:sz w:val="24"/>
      <w:szCs w:val="24"/>
      <w:lang w:val="en-GB"/>
    </w:rPr>
  </w:style>
  <w:style w:type="paragraph" w:styleId="Tekstpodstawowywcity">
    <w:name w:val="Body Text Indent"/>
    <w:basedOn w:val="Normalny"/>
    <w:link w:val="TekstpodstawowywcityZnak"/>
    <w:uiPriority w:val="98"/>
    <w:semiHidden/>
    <w:rsid w:val="006100BA"/>
    <w:pPr>
      <w:spacing w:after="120"/>
      <w:ind w:left="283"/>
    </w:pPr>
  </w:style>
  <w:style w:type="character" w:customStyle="1" w:styleId="TekstpodstawowywcityZnak">
    <w:name w:val="Tekst podstawowy wcięty Znak"/>
    <w:basedOn w:val="Domylnaczcionkaakapitu"/>
    <w:link w:val="Tekstpodstawowywcity"/>
    <w:uiPriority w:val="98"/>
    <w:semiHidden/>
    <w:rsid w:val="006100BA"/>
    <w:rPr>
      <w:sz w:val="24"/>
      <w:szCs w:val="24"/>
      <w:lang w:val="en-GB"/>
    </w:rPr>
  </w:style>
  <w:style w:type="paragraph" w:styleId="Tekstpodstawowyzwciciem2">
    <w:name w:val="Body Text First Indent 2"/>
    <w:basedOn w:val="Tekstpodstawowywcity"/>
    <w:link w:val="Tekstpodstawowyzwciciem2Znak"/>
    <w:uiPriority w:val="98"/>
    <w:semiHidden/>
    <w:rsid w:val="006100BA"/>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6100BA"/>
    <w:rPr>
      <w:sz w:val="24"/>
      <w:szCs w:val="24"/>
      <w:lang w:val="en-GB"/>
    </w:rPr>
  </w:style>
  <w:style w:type="paragraph" w:styleId="Tekstpodstawowywcity2">
    <w:name w:val="Body Text Indent 2"/>
    <w:basedOn w:val="Normalny"/>
    <w:link w:val="Tekstpodstawowywcity2Znak"/>
    <w:uiPriority w:val="98"/>
    <w:semiHidden/>
    <w:rsid w:val="006100BA"/>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6100BA"/>
    <w:rPr>
      <w:sz w:val="24"/>
      <w:szCs w:val="24"/>
      <w:lang w:val="en-GB"/>
    </w:rPr>
  </w:style>
  <w:style w:type="paragraph" w:styleId="Tekstpodstawowywcity3">
    <w:name w:val="Body Text Indent 3"/>
    <w:basedOn w:val="Normalny"/>
    <w:link w:val="Tekstpodstawowywcity3Znak"/>
    <w:uiPriority w:val="98"/>
    <w:semiHidden/>
    <w:rsid w:val="006100B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6100BA"/>
    <w:rPr>
      <w:sz w:val="16"/>
      <w:szCs w:val="16"/>
      <w:lang w:val="en-GB"/>
    </w:rPr>
  </w:style>
  <w:style w:type="paragraph" w:styleId="Legenda">
    <w:name w:val="caption"/>
    <w:basedOn w:val="Normalny"/>
    <w:next w:val="Normalny"/>
    <w:uiPriority w:val="98"/>
    <w:semiHidden/>
    <w:qFormat/>
    <w:rsid w:val="006100BA"/>
    <w:pPr>
      <w:spacing w:after="200"/>
    </w:pPr>
    <w:rPr>
      <w:b/>
      <w:bCs/>
      <w:color w:val="0072BC" w:themeColor="accent1"/>
      <w:sz w:val="18"/>
      <w:szCs w:val="18"/>
    </w:rPr>
  </w:style>
  <w:style w:type="paragraph" w:styleId="Zwrotpoegnalny">
    <w:name w:val="Closing"/>
    <w:basedOn w:val="Normalny"/>
    <w:link w:val="ZwrotpoegnalnyZnak"/>
    <w:uiPriority w:val="98"/>
    <w:semiHidden/>
    <w:rsid w:val="006100BA"/>
    <w:pPr>
      <w:ind w:left="4252"/>
    </w:pPr>
  </w:style>
  <w:style w:type="character" w:customStyle="1" w:styleId="ZwrotpoegnalnyZnak">
    <w:name w:val="Zwrot pożegnalny Znak"/>
    <w:basedOn w:val="Domylnaczcionkaakapitu"/>
    <w:link w:val="Zwrotpoegnalny"/>
    <w:uiPriority w:val="98"/>
    <w:semiHidden/>
    <w:rsid w:val="006100BA"/>
    <w:rPr>
      <w:sz w:val="24"/>
      <w:szCs w:val="24"/>
      <w:lang w:val="en-GB"/>
    </w:rPr>
  </w:style>
  <w:style w:type="table" w:styleId="Kolorowasiatka">
    <w:name w:val="Colorful Grid"/>
    <w:basedOn w:val="Standardowy"/>
    <w:uiPriority w:val="73"/>
    <w:semiHidden/>
    <w:rsid w:val="006100BA"/>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6100BA"/>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6100BA"/>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6100BA"/>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6100BA"/>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6100BA"/>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6100BA"/>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6100BA"/>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6100BA"/>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6100BA"/>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6100BA"/>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6100BA"/>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6100BA"/>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6100BA"/>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6100B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6100B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6100B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6100BA"/>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6100BA"/>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6100B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6100B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6100BA"/>
    <w:rPr>
      <w:sz w:val="16"/>
      <w:szCs w:val="16"/>
    </w:rPr>
  </w:style>
  <w:style w:type="paragraph" w:styleId="Tekstkomentarza">
    <w:name w:val="annotation text"/>
    <w:basedOn w:val="Normalny"/>
    <w:link w:val="TekstkomentarzaZnak"/>
    <w:uiPriority w:val="98"/>
    <w:semiHidden/>
    <w:rsid w:val="006100BA"/>
    <w:rPr>
      <w:sz w:val="20"/>
      <w:szCs w:val="20"/>
    </w:rPr>
  </w:style>
  <w:style w:type="character" w:customStyle="1" w:styleId="TekstkomentarzaZnak">
    <w:name w:val="Tekst komentarza Znak"/>
    <w:basedOn w:val="Domylnaczcionkaakapitu"/>
    <w:link w:val="Tekstkomentarza"/>
    <w:uiPriority w:val="98"/>
    <w:semiHidden/>
    <w:rsid w:val="006100BA"/>
    <w:rPr>
      <w:sz w:val="20"/>
      <w:szCs w:val="20"/>
      <w:lang w:val="en-GB"/>
    </w:rPr>
  </w:style>
  <w:style w:type="paragraph" w:styleId="Tematkomentarza">
    <w:name w:val="annotation subject"/>
    <w:basedOn w:val="Tekstkomentarza"/>
    <w:next w:val="Tekstkomentarza"/>
    <w:link w:val="TematkomentarzaZnak"/>
    <w:uiPriority w:val="98"/>
    <w:semiHidden/>
    <w:rsid w:val="006100BA"/>
    <w:rPr>
      <w:b/>
      <w:bCs/>
    </w:rPr>
  </w:style>
  <w:style w:type="character" w:customStyle="1" w:styleId="TematkomentarzaZnak">
    <w:name w:val="Temat komentarza Znak"/>
    <w:basedOn w:val="TekstkomentarzaZnak"/>
    <w:link w:val="Tematkomentarza"/>
    <w:uiPriority w:val="98"/>
    <w:semiHidden/>
    <w:rsid w:val="006100BA"/>
    <w:rPr>
      <w:b/>
      <w:bCs/>
      <w:sz w:val="20"/>
      <w:szCs w:val="20"/>
      <w:lang w:val="en-GB"/>
    </w:rPr>
  </w:style>
  <w:style w:type="table" w:styleId="Ciemnalista">
    <w:name w:val="Dark List"/>
    <w:basedOn w:val="Standardowy"/>
    <w:uiPriority w:val="70"/>
    <w:semiHidden/>
    <w:rsid w:val="006100BA"/>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6100BA"/>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6100BA"/>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6100BA"/>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6100BA"/>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6100BA"/>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6100BA"/>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6100BA"/>
  </w:style>
  <w:style w:type="character" w:customStyle="1" w:styleId="DataZnak">
    <w:name w:val="Data Znak"/>
    <w:basedOn w:val="Domylnaczcionkaakapitu"/>
    <w:link w:val="Data"/>
    <w:uiPriority w:val="98"/>
    <w:semiHidden/>
    <w:rsid w:val="006100BA"/>
    <w:rPr>
      <w:sz w:val="24"/>
      <w:szCs w:val="24"/>
      <w:lang w:val="en-GB"/>
    </w:rPr>
  </w:style>
  <w:style w:type="paragraph" w:styleId="Mapadokumentu">
    <w:name w:val="Document Map"/>
    <w:basedOn w:val="Normalny"/>
    <w:link w:val="MapadokumentuZnak"/>
    <w:uiPriority w:val="98"/>
    <w:semiHidden/>
    <w:rsid w:val="006100BA"/>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6100BA"/>
    <w:rPr>
      <w:rFonts w:ascii="Tahoma" w:hAnsi="Tahoma" w:cs="Tahoma"/>
      <w:sz w:val="16"/>
      <w:szCs w:val="16"/>
      <w:lang w:val="en-GB"/>
    </w:rPr>
  </w:style>
  <w:style w:type="paragraph" w:styleId="Podpise-mail">
    <w:name w:val="E-mail Signature"/>
    <w:basedOn w:val="Normalny"/>
    <w:link w:val="Podpise-mailZnak"/>
    <w:uiPriority w:val="98"/>
    <w:semiHidden/>
    <w:rsid w:val="006100BA"/>
  </w:style>
  <w:style w:type="character" w:customStyle="1" w:styleId="Podpise-mailZnak">
    <w:name w:val="Podpis e-mail Znak"/>
    <w:basedOn w:val="Domylnaczcionkaakapitu"/>
    <w:link w:val="Podpise-mail"/>
    <w:uiPriority w:val="98"/>
    <w:semiHidden/>
    <w:rsid w:val="006100BA"/>
    <w:rPr>
      <w:sz w:val="24"/>
      <w:szCs w:val="24"/>
      <w:lang w:val="en-GB"/>
    </w:rPr>
  </w:style>
  <w:style w:type="character" w:styleId="Odwoanieprzypisukocowego">
    <w:name w:val="endnote reference"/>
    <w:basedOn w:val="Domylnaczcionkaakapitu"/>
    <w:uiPriority w:val="98"/>
    <w:semiHidden/>
    <w:rsid w:val="006100BA"/>
    <w:rPr>
      <w:vertAlign w:val="superscript"/>
    </w:rPr>
  </w:style>
  <w:style w:type="paragraph" w:styleId="Tekstprzypisukocowego">
    <w:name w:val="endnote text"/>
    <w:basedOn w:val="Normalny"/>
    <w:link w:val="TekstprzypisukocowegoZnak"/>
    <w:uiPriority w:val="98"/>
    <w:semiHidden/>
    <w:rsid w:val="006100BA"/>
    <w:rPr>
      <w:sz w:val="20"/>
      <w:szCs w:val="20"/>
    </w:rPr>
  </w:style>
  <w:style w:type="character" w:customStyle="1" w:styleId="TekstprzypisukocowegoZnak">
    <w:name w:val="Tekst przypisu końcowego Znak"/>
    <w:basedOn w:val="Domylnaczcionkaakapitu"/>
    <w:link w:val="Tekstprzypisukocowego"/>
    <w:uiPriority w:val="98"/>
    <w:semiHidden/>
    <w:rsid w:val="006100BA"/>
    <w:rPr>
      <w:sz w:val="20"/>
      <w:szCs w:val="20"/>
      <w:lang w:val="en-GB"/>
    </w:rPr>
  </w:style>
  <w:style w:type="paragraph" w:styleId="Adresnakopercie">
    <w:name w:val="envelope address"/>
    <w:basedOn w:val="Normalny"/>
    <w:uiPriority w:val="98"/>
    <w:semiHidden/>
    <w:rsid w:val="006100BA"/>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6100BA"/>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6100BA"/>
    <w:rPr>
      <w:color w:val="7030A0" w:themeColor="followedHyperlink"/>
      <w:u w:val="single"/>
    </w:rPr>
  </w:style>
  <w:style w:type="character" w:styleId="HTML-akronim">
    <w:name w:val="HTML Acronym"/>
    <w:basedOn w:val="Domylnaczcionkaakapitu"/>
    <w:uiPriority w:val="98"/>
    <w:semiHidden/>
    <w:rsid w:val="006100BA"/>
  </w:style>
  <w:style w:type="paragraph" w:styleId="HTML-adres">
    <w:name w:val="HTML Address"/>
    <w:basedOn w:val="Normalny"/>
    <w:link w:val="HTML-adresZnak"/>
    <w:uiPriority w:val="98"/>
    <w:semiHidden/>
    <w:rsid w:val="006100BA"/>
    <w:rPr>
      <w:i/>
      <w:iCs/>
    </w:rPr>
  </w:style>
  <w:style w:type="character" w:customStyle="1" w:styleId="HTML-adresZnak">
    <w:name w:val="HTML - adres Znak"/>
    <w:basedOn w:val="Domylnaczcionkaakapitu"/>
    <w:link w:val="HTML-adres"/>
    <w:uiPriority w:val="98"/>
    <w:semiHidden/>
    <w:rsid w:val="006100BA"/>
    <w:rPr>
      <w:i/>
      <w:iCs/>
      <w:sz w:val="24"/>
      <w:szCs w:val="24"/>
      <w:lang w:val="en-GB"/>
    </w:rPr>
  </w:style>
  <w:style w:type="character" w:styleId="HTML-cytat">
    <w:name w:val="HTML Cite"/>
    <w:basedOn w:val="Domylnaczcionkaakapitu"/>
    <w:uiPriority w:val="98"/>
    <w:semiHidden/>
    <w:rsid w:val="006100BA"/>
    <w:rPr>
      <w:i/>
      <w:iCs/>
    </w:rPr>
  </w:style>
  <w:style w:type="character" w:styleId="HTML-kod">
    <w:name w:val="HTML Code"/>
    <w:basedOn w:val="Domylnaczcionkaakapitu"/>
    <w:uiPriority w:val="98"/>
    <w:semiHidden/>
    <w:rsid w:val="006100BA"/>
    <w:rPr>
      <w:rFonts w:ascii="Consolas" w:hAnsi="Consolas" w:cs="Consolas"/>
      <w:sz w:val="20"/>
      <w:szCs w:val="20"/>
    </w:rPr>
  </w:style>
  <w:style w:type="character" w:styleId="HTML-definicja">
    <w:name w:val="HTML Definition"/>
    <w:basedOn w:val="Domylnaczcionkaakapitu"/>
    <w:uiPriority w:val="98"/>
    <w:semiHidden/>
    <w:rsid w:val="006100BA"/>
    <w:rPr>
      <w:i/>
      <w:iCs/>
    </w:rPr>
  </w:style>
  <w:style w:type="character" w:styleId="HTML-klawiatura">
    <w:name w:val="HTML Keyboard"/>
    <w:basedOn w:val="Domylnaczcionkaakapitu"/>
    <w:uiPriority w:val="98"/>
    <w:semiHidden/>
    <w:rsid w:val="006100BA"/>
    <w:rPr>
      <w:rFonts w:ascii="Consolas" w:hAnsi="Consolas" w:cs="Consolas"/>
      <w:sz w:val="20"/>
      <w:szCs w:val="20"/>
    </w:rPr>
  </w:style>
  <w:style w:type="paragraph" w:styleId="HTML-wstpniesformatowany">
    <w:name w:val="HTML Preformatted"/>
    <w:basedOn w:val="Normalny"/>
    <w:link w:val="HTML-wstpniesformatowanyZnak"/>
    <w:uiPriority w:val="98"/>
    <w:semiHidden/>
    <w:rsid w:val="006100B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6100BA"/>
    <w:rPr>
      <w:rFonts w:ascii="Consolas" w:hAnsi="Consolas" w:cs="Consolas"/>
      <w:sz w:val="20"/>
      <w:szCs w:val="20"/>
      <w:lang w:val="en-GB"/>
    </w:rPr>
  </w:style>
  <w:style w:type="character" w:styleId="HTML-przykad">
    <w:name w:val="HTML Sample"/>
    <w:basedOn w:val="Domylnaczcionkaakapitu"/>
    <w:uiPriority w:val="98"/>
    <w:semiHidden/>
    <w:rsid w:val="006100BA"/>
    <w:rPr>
      <w:rFonts w:ascii="Consolas" w:hAnsi="Consolas" w:cs="Consolas"/>
      <w:sz w:val="24"/>
      <w:szCs w:val="24"/>
    </w:rPr>
  </w:style>
  <w:style w:type="character" w:styleId="HTML-staaszeroko">
    <w:name w:val="HTML Typewriter"/>
    <w:basedOn w:val="Domylnaczcionkaakapitu"/>
    <w:uiPriority w:val="98"/>
    <w:semiHidden/>
    <w:rsid w:val="006100BA"/>
    <w:rPr>
      <w:rFonts w:ascii="Consolas" w:hAnsi="Consolas" w:cs="Consolas"/>
      <w:sz w:val="20"/>
      <w:szCs w:val="20"/>
    </w:rPr>
  </w:style>
  <w:style w:type="character" w:styleId="HTML-zmienna">
    <w:name w:val="HTML Variable"/>
    <w:basedOn w:val="Domylnaczcionkaakapitu"/>
    <w:uiPriority w:val="98"/>
    <w:semiHidden/>
    <w:rsid w:val="006100BA"/>
    <w:rPr>
      <w:i/>
      <w:iCs/>
    </w:rPr>
  </w:style>
  <w:style w:type="paragraph" w:styleId="Indeks1">
    <w:name w:val="index 1"/>
    <w:basedOn w:val="Normalny"/>
    <w:next w:val="Normalny"/>
    <w:autoRedefine/>
    <w:uiPriority w:val="98"/>
    <w:semiHidden/>
    <w:rsid w:val="006100BA"/>
    <w:pPr>
      <w:ind w:left="240" w:hanging="240"/>
    </w:pPr>
  </w:style>
  <w:style w:type="paragraph" w:styleId="Indeks2">
    <w:name w:val="index 2"/>
    <w:basedOn w:val="Normalny"/>
    <w:next w:val="Normalny"/>
    <w:autoRedefine/>
    <w:uiPriority w:val="98"/>
    <w:semiHidden/>
    <w:rsid w:val="006100BA"/>
    <w:pPr>
      <w:ind w:left="480" w:hanging="240"/>
    </w:pPr>
  </w:style>
  <w:style w:type="paragraph" w:styleId="Indeks3">
    <w:name w:val="index 3"/>
    <w:basedOn w:val="Normalny"/>
    <w:next w:val="Normalny"/>
    <w:autoRedefine/>
    <w:uiPriority w:val="98"/>
    <w:semiHidden/>
    <w:rsid w:val="006100BA"/>
    <w:pPr>
      <w:ind w:left="720" w:hanging="240"/>
    </w:pPr>
  </w:style>
  <w:style w:type="paragraph" w:styleId="Indeks4">
    <w:name w:val="index 4"/>
    <w:basedOn w:val="Normalny"/>
    <w:next w:val="Normalny"/>
    <w:autoRedefine/>
    <w:uiPriority w:val="98"/>
    <w:semiHidden/>
    <w:rsid w:val="006100BA"/>
    <w:pPr>
      <w:ind w:left="960" w:hanging="240"/>
    </w:pPr>
  </w:style>
  <w:style w:type="paragraph" w:styleId="Indeks5">
    <w:name w:val="index 5"/>
    <w:basedOn w:val="Normalny"/>
    <w:next w:val="Normalny"/>
    <w:autoRedefine/>
    <w:uiPriority w:val="98"/>
    <w:semiHidden/>
    <w:rsid w:val="006100BA"/>
    <w:pPr>
      <w:ind w:left="1200" w:hanging="240"/>
    </w:pPr>
  </w:style>
  <w:style w:type="paragraph" w:styleId="Indeks6">
    <w:name w:val="index 6"/>
    <w:basedOn w:val="Normalny"/>
    <w:next w:val="Normalny"/>
    <w:autoRedefine/>
    <w:uiPriority w:val="98"/>
    <w:semiHidden/>
    <w:rsid w:val="006100BA"/>
    <w:pPr>
      <w:ind w:left="1440" w:hanging="240"/>
    </w:pPr>
  </w:style>
  <w:style w:type="paragraph" w:styleId="Indeks7">
    <w:name w:val="index 7"/>
    <w:basedOn w:val="Normalny"/>
    <w:next w:val="Normalny"/>
    <w:autoRedefine/>
    <w:uiPriority w:val="98"/>
    <w:semiHidden/>
    <w:rsid w:val="006100BA"/>
    <w:pPr>
      <w:ind w:left="1680" w:hanging="240"/>
    </w:pPr>
  </w:style>
  <w:style w:type="paragraph" w:styleId="Indeks8">
    <w:name w:val="index 8"/>
    <w:basedOn w:val="Normalny"/>
    <w:next w:val="Normalny"/>
    <w:autoRedefine/>
    <w:uiPriority w:val="98"/>
    <w:semiHidden/>
    <w:rsid w:val="006100BA"/>
    <w:pPr>
      <w:ind w:left="1920" w:hanging="240"/>
    </w:pPr>
  </w:style>
  <w:style w:type="paragraph" w:styleId="Indeks9">
    <w:name w:val="index 9"/>
    <w:basedOn w:val="Normalny"/>
    <w:next w:val="Normalny"/>
    <w:autoRedefine/>
    <w:uiPriority w:val="98"/>
    <w:semiHidden/>
    <w:rsid w:val="006100BA"/>
    <w:pPr>
      <w:ind w:left="2160" w:hanging="240"/>
    </w:pPr>
  </w:style>
  <w:style w:type="paragraph" w:styleId="Nagwekindeksu">
    <w:name w:val="index heading"/>
    <w:basedOn w:val="Normalny"/>
    <w:next w:val="Indeks1"/>
    <w:uiPriority w:val="98"/>
    <w:semiHidden/>
    <w:rsid w:val="006100BA"/>
    <w:rPr>
      <w:rFonts w:asciiTheme="majorHAnsi" w:eastAsiaTheme="majorEastAsia" w:hAnsiTheme="majorHAnsi" w:cstheme="majorBidi"/>
      <w:b/>
      <w:bCs/>
    </w:rPr>
  </w:style>
  <w:style w:type="table" w:styleId="Jasnasiatka">
    <w:name w:val="Light Grid"/>
    <w:basedOn w:val="Standardowy"/>
    <w:uiPriority w:val="62"/>
    <w:semiHidden/>
    <w:rsid w:val="006100B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6100B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6100B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6100BA"/>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6100B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6100B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6100B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6100B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6100B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6100B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6100BA"/>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6100B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6100B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6100B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6100B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6100B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6100B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6100BA"/>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6100B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6100B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6100B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6100BA"/>
  </w:style>
  <w:style w:type="paragraph" w:styleId="Lista">
    <w:name w:val="List"/>
    <w:basedOn w:val="Normalny"/>
    <w:uiPriority w:val="98"/>
    <w:semiHidden/>
    <w:rsid w:val="006100BA"/>
    <w:pPr>
      <w:ind w:left="283" w:hanging="283"/>
      <w:contextualSpacing/>
    </w:pPr>
  </w:style>
  <w:style w:type="paragraph" w:styleId="Lista2">
    <w:name w:val="List 2"/>
    <w:basedOn w:val="Normalny"/>
    <w:uiPriority w:val="98"/>
    <w:semiHidden/>
    <w:rsid w:val="006100BA"/>
    <w:pPr>
      <w:ind w:left="566" w:hanging="283"/>
      <w:contextualSpacing/>
    </w:pPr>
  </w:style>
  <w:style w:type="paragraph" w:styleId="Lista3">
    <w:name w:val="List 3"/>
    <w:basedOn w:val="Normalny"/>
    <w:uiPriority w:val="98"/>
    <w:semiHidden/>
    <w:rsid w:val="006100BA"/>
    <w:pPr>
      <w:ind w:left="849" w:hanging="283"/>
      <w:contextualSpacing/>
    </w:pPr>
  </w:style>
  <w:style w:type="paragraph" w:styleId="Lista4">
    <w:name w:val="List 4"/>
    <w:basedOn w:val="Normalny"/>
    <w:uiPriority w:val="98"/>
    <w:semiHidden/>
    <w:rsid w:val="006100BA"/>
    <w:pPr>
      <w:ind w:left="1132" w:hanging="283"/>
      <w:contextualSpacing/>
    </w:pPr>
  </w:style>
  <w:style w:type="paragraph" w:styleId="Lista5">
    <w:name w:val="List 5"/>
    <w:basedOn w:val="Normalny"/>
    <w:uiPriority w:val="98"/>
    <w:semiHidden/>
    <w:rsid w:val="006100BA"/>
    <w:pPr>
      <w:ind w:left="1415" w:hanging="283"/>
      <w:contextualSpacing/>
    </w:pPr>
  </w:style>
  <w:style w:type="paragraph" w:styleId="Listapunktowana2">
    <w:name w:val="List Bullet 2"/>
    <w:basedOn w:val="Normalny"/>
    <w:uiPriority w:val="98"/>
    <w:semiHidden/>
    <w:rsid w:val="006100BA"/>
    <w:pPr>
      <w:numPr>
        <w:numId w:val="10"/>
      </w:numPr>
      <w:contextualSpacing/>
    </w:pPr>
  </w:style>
  <w:style w:type="paragraph" w:styleId="Listapunktowana4">
    <w:name w:val="List Bullet 4"/>
    <w:basedOn w:val="Normalny"/>
    <w:uiPriority w:val="98"/>
    <w:semiHidden/>
    <w:rsid w:val="006100BA"/>
    <w:pPr>
      <w:numPr>
        <w:numId w:val="12"/>
      </w:numPr>
      <w:contextualSpacing/>
    </w:pPr>
  </w:style>
  <w:style w:type="paragraph" w:styleId="Listapunktowana5">
    <w:name w:val="List Bullet 5"/>
    <w:basedOn w:val="Normalny"/>
    <w:uiPriority w:val="98"/>
    <w:semiHidden/>
    <w:rsid w:val="006100BA"/>
    <w:pPr>
      <w:numPr>
        <w:numId w:val="13"/>
      </w:numPr>
      <w:contextualSpacing/>
    </w:pPr>
  </w:style>
  <w:style w:type="paragraph" w:styleId="Lista-kontynuacja">
    <w:name w:val="List Continue"/>
    <w:basedOn w:val="Normalny"/>
    <w:uiPriority w:val="98"/>
    <w:semiHidden/>
    <w:rsid w:val="006100BA"/>
    <w:pPr>
      <w:spacing w:after="120"/>
      <w:ind w:left="283"/>
      <w:contextualSpacing/>
    </w:pPr>
  </w:style>
  <w:style w:type="paragraph" w:styleId="Lista-kontynuacja2">
    <w:name w:val="List Continue 2"/>
    <w:basedOn w:val="Normalny"/>
    <w:uiPriority w:val="98"/>
    <w:semiHidden/>
    <w:rsid w:val="006100BA"/>
    <w:pPr>
      <w:spacing w:after="120"/>
      <w:ind w:left="566"/>
      <w:contextualSpacing/>
    </w:pPr>
  </w:style>
  <w:style w:type="paragraph" w:styleId="Lista-kontynuacja3">
    <w:name w:val="List Continue 3"/>
    <w:basedOn w:val="Normalny"/>
    <w:uiPriority w:val="98"/>
    <w:semiHidden/>
    <w:rsid w:val="006100BA"/>
    <w:pPr>
      <w:spacing w:after="120"/>
      <w:ind w:left="849"/>
      <w:contextualSpacing/>
    </w:pPr>
  </w:style>
  <w:style w:type="paragraph" w:styleId="Lista-kontynuacja4">
    <w:name w:val="List Continue 4"/>
    <w:basedOn w:val="Normalny"/>
    <w:uiPriority w:val="98"/>
    <w:semiHidden/>
    <w:rsid w:val="006100BA"/>
    <w:pPr>
      <w:spacing w:after="120"/>
      <w:ind w:left="1132"/>
      <w:contextualSpacing/>
    </w:pPr>
  </w:style>
  <w:style w:type="paragraph" w:styleId="Lista-kontynuacja5">
    <w:name w:val="List Continue 5"/>
    <w:basedOn w:val="Normalny"/>
    <w:uiPriority w:val="98"/>
    <w:semiHidden/>
    <w:rsid w:val="006100BA"/>
    <w:pPr>
      <w:spacing w:after="120"/>
      <w:ind w:left="1415"/>
      <w:contextualSpacing/>
    </w:pPr>
  </w:style>
  <w:style w:type="paragraph" w:styleId="Listanumerowana">
    <w:name w:val="List Number"/>
    <w:basedOn w:val="Normalny"/>
    <w:uiPriority w:val="98"/>
    <w:semiHidden/>
    <w:rsid w:val="006100BA"/>
    <w:pPr>
      <w:numPr>
        <w:numId w:val="14"/>
      </w:numPr>
      <w:contextualSpacing/>
    </w:pPr>
  </w:style>
  <w:style w:type="paragraph" w:styleId="Listanumerowana2">
    <w:name w:val="List Number 2"/>
    <w:basedOn w:val="Normalny"/>
    <w:uiPriority w:val="98"/>
    <w:semiHidden/>
    <w:rsid w:val="006100BA"/>
    <w:pPr>
      <w:numPr>
        <w:numId w:val="15"/>
      </w:numPr>
      <w:contextualSpacing/>
    </w:pPr>
  </w:style>
  <w:style w:type="paragraph" w:styleId="Listanumerowana3">
    <w:name w:val="List Number 3"/>
    <w:basedOn w:val="Normalny"/>
    <w:uiPriority w:val="98"/>
    <w:semiHidden/>
    <w:rsid w:val="006100BA"/>
    <w:pPr>
      <w:numPr>
        <w:numId w:val="16"/>
      </w:numPr>
      <w:contextualSpacing/>
    </w:pPr>
  </w:style>
  <w:style w:type="paragraph" w:styleId="Listanumerowana4">
    <w:name w:val="List Number 4"/>
    <w:basedOn w:val="Normalny"/>
    <w:uiPriority w:val="98"/>
    <w:semiHidden/>
    <w:rsid w:val="006100BA"/>
    <w:pPr>
      <w:numPr>
        <w:numId w:val="17"/>
      </w:numPr>
      <w:contextualSpacing/>
    </w:pPr>
  </w:style>
  <w:style w:type="paragraph" w:styleId="Listanumerowana5">
    <w:name w:val="List Number 5"/>
    <w:basedOn w:val="Normalny"/>
    <w:uiPriority w:val="98"/>
    <w:semiHidden/>
    <w:rsid w:val="006100BA"/>
    <w:pPr>
      <w:numPr>
        <w:numId w:val="18"/>
      </w:numPr>
      <w:contextualSpacing/>
    </w:pPr>
  </w:style>
  <w:style w:type="paragraph" w:styleId="Tekstmakra">
    <w:name w:val="macro"/>
    <w:link w:val="TekstmakraZnak"/>
    <w:uiPriority w:val="98"/>
    <w:semiHidden/>
    <w:rsid w:val="006100B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6100BA"/>
    <w:rPr>
      <w:rFonts w:ascii="Consolas" w:eastAsiaTheme="minorEastAsia" w:hAnsi="Consolas" w:cs="Consolas"/>
      <w:sz w:val="20"/>
      <w:szCs w:val="20"/>
    </w:rPr>
  </w:style>
  <w:style w:type="table" w:styleId="redniasiatka1">
    <w:name w:val="Medium Grid 1"/>
    <w:basedOn w:val="Standardowy"/>
    <w:uiPriority w:val="67"/>
    <w:semiHidden/>
    <w:rsid w:val="006100B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6100B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6100B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6100BA"/>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6100B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6100B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6100B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6100B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6100B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6100B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6100BA"/>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6100B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6100B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6100B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6100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6100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6100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6100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6100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6100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6100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6100B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6100B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6100B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6100BA"/>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6100B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6100B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6100B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6100B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6100B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6100B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6100BA"/>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6100B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6100B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6100B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6100B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6100B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6100B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6100BA"/>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6100B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6100B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6100B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6100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6100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6100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6100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6100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6100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6100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6100B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6100BA"/>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6100BA"/>
    <w:rPr>
      <w:rFonts w:ascii="Times New Roman" w:hAnsi="Times New Roman" w:cs="Times New Roman"/>
    </w:rPr>
  </w:style>
  <w:style w:type="paragraph" w:styleId="Wcicienormalne">
    <w:name w:val="Normal Indent"/>
    <w:basedOn w:val="Normalny"/>
    <w:uiPriority w:val="98"/>
    <w:semiHidden/>
    <w:rsid w:val="006100BA"/>
    <w:pPr>
      <w:ind w:left="720"/>
    </w:pPr>
  </w:style>
  <w:style w:type="paragraph" w:styleId="Nagweknotatki">
    <w:name w:val="Note Heading"/>
    <w:basedOn w:val="Normalny"/>
    <w:next w:val="Normalny"/>
    <w:link w:val="NagweknotatkiZnak"/>
    <w:uiPriority w:val="98"/>
    <w:semiHidden/>
    <w:rsid w:val="006100BA"/>
  </w:style>
  <w:style w:type="character" w:customStyle="1" w:styleId="NagweknotatkiZnak">
    <w:name w:val="Nagłówek notatki Znak"/>
    <w:basedOn w:val="Domylnaczcionkaakapitu"/>
    <w:link w:val="Nagweknotatki"/>
    <w:uiPriority w:val="98"/>
    <w:semiHidden/>
    <w:rsid w:val="006100BA"/>
    <w:rPr>
      <w:sz w:val="24"/>
      <w:szCs w:val="24"/>
      <w:lang w:val="en-GB"/>
    </w:rPr>
  </w:style>
  <w:style w:type="character" w:styleId="Tekstzastpczy">
    <w:name w:val="Placeholder Text"/>
    <w:basedOn w:val="Domylnaczcionkaakapitu"/>
    <w:uiPriority w:val="98"/>
    <w:semiHidden/>
    <w:rsid w:val="006100BA"/>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6100BA"/>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6100BA"/>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6100BA"/>
  </w:style>
  <w:style w:type="character" w:customStyle="1" w:styleId="ZwrotgrzecznociowyZnak">
    <w:name w:val="Zwrot grzecznościowy Znak"/>
    <w:basedOn w:val="Domylnaczcionkaakapitu"/>
    <w:link w:val="Zwrotgrzecznociowy"/>
    <w:uiPriority w:val="98"/>
    <w:semiHidden/>
    <w:rsid w:val="006100BA"/>
    <w:rPr>
      <w:sz w:val="24"/>
      <w:szCs w:val="24"/>
      <w:lang w:val="en-GB"/>
    </w:rPr>
  </w:style>
  <w:style w:type="paragraph" w:styleId="Podpis">
    <w:name w:val="Signature"/>
    <w:basedOn w:val="Normalny"/>
    <w:link w:val="PodpisZnak"/>
    <w:uiPriority w:val="98"/>
    <w:semiHidden/>
    <w:rsid w:val="006100BA"/>
    <w:pPr>
      <w:ind w:left="4252"/>
    </w:pPr>
  </w:style>
  <w:style w:type="character" w:customStyle="1" w:styleId="PodpisZnak">
    <w:name w:val="Podpis Znak"/>
    <w:basedOn w:val="Domylnaczcionkaakapitu"/>
    <w:link w:val="Podpis"/>
    <w:uiPriority w:val="98"/>
    <w:semiHidden/>
    <w:rsid w:val="006100BA"/>
    <w:rPr>
      <w:sz w:val="24"/>
      <w:szCs w:val="24"/>
      <w:lang w:val="en-GB"/>
    </w:rPr>
  </w:style>
  <w:style w:type="table" w:styleId="Tabela-Efekty3D1">
    <w:name w:val="Table 3D effects 1"/>
    <w:basedOn w:val="Standardowy"/>
    <w:uiPriority w:val="99"/>
    <w:semiHidden/>
    <w:unhideWhenUsed/>
    <w:rsid w:val="006100B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6100B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6100B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6100B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6100B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6100B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6100B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6100B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6100B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6100B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6100B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6100B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6100B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6100B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6100B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6100B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6100B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6100B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6100B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6100B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6100B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6100B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6100B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6100B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6100B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6100B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6100B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6100B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6100B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6100B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6100B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6100B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6100B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6100BA"/>
    <w:pPr>
      <w:ind w:left="240" w:hanging="240"/>
    </w:pPr>
  </w:style>
  <w:style w:type="paragraph" w:styleId="Spisilustracji">
    <w:name w:val="table of figures"/>
    <w:basedOn w:val="Normalny"/>
    <w:next w:val="Normalny"/>
    <w:uiPriority w:val="98"/>
    <w:semiHidden/>
    <w:rsid w:val="006100BA"/>
  </w:style>
  <w:style w:type="table" w:styleId="Tabela-Profesjonalny">
    <w:name w:val="Table Professional"/>
    <w:basedOn w:val="Standardowy"/>
    <w:uiPriority w:val="99"/>
    <w:semiHidden/>
    <w:unhideWhenUsed/>
    <w:rsid w:val="006100B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6100B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6100B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6100B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6100B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6100B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6100B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6100B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6100B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6100B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6100B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6100B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6100BA"/>
    <w:pPr>
      <w:spacing w:after="100"/>
      <w:ind w:left="1680"/>
    </w:pPr>
  </w:style>
  <w:style w:type="paragraph" w:styleId="Spistreci9">
    <w:name w:val="toc 9"/>
    <w:basedOn w:val="Normalny"/>
    <w:next w:val="Normalny"/>
    <w:autoRedefine/>
    <w:uiPriority w:val="98"/>
    <w:semiHidden/>
    <w:rsid w:val="006100BA"/>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6100B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6100BA"/>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6100B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6100B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6100BA"/>
    <w:pPr>
      <w:numPr>
        <w:numId w:val="19"/>
      </w:numPr>
      <w:spacing w:before="60" w:after="60"/>
    </w:pPr>
  </w:style>
  <w:style w:type="paragraph" w:customStyle="1" w:styleId="ECHRBullet2">
    <w:name w:val="ECHR_Bullet_2"/>
    <w:aliases w:val="_Bul_2"/>
    <w:basedOn w:val="ECHRBullet1"/>
    <w:uiPriority w:val="23"/>
    <w:semiHidden/>
    <w:rsid w:val="006100BA"/>
    <w:pPr>
      <w:numPr>
        <w:ilvl w:val="1"/>
      </w:numPr>
    </w:pPr>
  </w:style>
  <w:style w:type="paragraph" w:customStyle="1" w:styleId="ECHRBullet3">
    <w:name w:val="ECHR_Bullet_3"/>
    <w:aliases w:val="_Bul_3"/>
    <w:basedOn w:val="ECHRBullet2"/>
    <w:uiPriority w:val="23"/>
    <w:semiHidden/>
    <w:rsid w:val="006100BA"/>
    <w:pPr>
      <w:numPr>
        <w:ilvl w:val="2"/>
      </w:numPr>
    </w:pPr>
  </w:style>
  <w:style w:type="paragraph" w:customStyle="1" w:styleId="ECHRBullet4">
    <w:name w:val="ECHR_Bullet_4"/>
    <w:aliases w:val="_Bul_4"/>
    <w:basedOn w:val="ECHRBullet3"/>
    <w:uiPriority w:val="23"/>
    <w:semiHidden/>
    <w:rsid w:val="006100BA"/>
    <w:pPr>
      <w:numPr>
        <w:ilvl w:val="3"/>
      </w:numPr>
    </w:pPr>
  </w:style>
  <w:style w:type="paragraph" w:customStyle="1" w:styleId="ECHRConfidential">
    <w:name w:val="ECHR_Confidential"/>
    <w:aliases w:val="_Confidential"/>
    <w:basedOn w:val="Normalny"/>
    <w:next w:val="Normalny"/>
    <w:uiPriority w:val="42"/>
    <w:semiHidden/>
    <w:qFormat/>
    <w:rsid w:val="006100BA"/>
    <w:pPr>
      <w:jc w:val="right"/>
    </w:pPr>
    <w:rPr>
      <w:color w:val="C00000"/>
      <w:sz w:val="20"/>
    </w:rPr>
  </w:style>
  <w:style w:type="paragraph" w:customStyle="1" w:styleId="ECHRDecisionBody">
    <w:name w:val="ECHR_Decision_Body"/>
    <w:aliases w:val="_Decision_Body"/>
    <w:basedOn w:val="NormalJustified"/>
    <w:uiPriority w:val="54"/>
    <w:semiHidden/>
    <w:rsid w:val="006100BA"/>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6100BA"/>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6100BA"/>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6100BA"/>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6100BA"/>
    <w:pPr>
      <w:jc w:val="right"/>
    </w:pPr>
    <w:rPr>
      <w:sz w:val="20"/>
    </w:rPr>
  </w:style>
  <w:style w:type="paragraph" w:customStyle="1" w:styleId="ECHRHeaderRefIt">
    <w:name w:val="ECHR_Header_Ref_It"/>
    <w:aliases w:val="_Ref_Ital"/>
    <w:basedOn w:val="Normalny"/>
    <w:next w:val="ECHRHeaderDate"/>
    <w:uiPriority w:val="43"/>
    <w:qFormat/>
    <w:rsid w:val="006100BA"/>
    <w:pPr>
      <w:jc w:val="right"/>
    </w:pPr>
    <w:rPr>
      <w:i/>
      <w:sz w:val="20"/>
    </w:rPr>
  </w:style>
  <w:style w:type="paragraph" w:customStyle="1" w:styleId="ECHRHeading9">
    <w:name w:val="ECHR_Heading_9"/>
    <w:aliases w:val="_Head_9"/>
    <w:basedOn w:val="Nagwek9"/>
    <w:uiPriority w:val="17"/>
    <w:semiHidden/>
    <w:rsid w:val="006100BA"/>
    <w:pPr>
      <w:keepNext/>
      <w:keepLines/>
      <w:numPr>
        <w:ilvl w:val="8"/>
        <w:numId w:val="21"/>
      </w:numPr>
      <w:tabs>
        <w:tab w:val="num" w:pos="360"/>
      </w:tabs>
      <w:spacing w:before="100" w:beforeAutospacing="1"/>
      <w:ind w:left="0" w:firstLine="0"/>
      <w:contextualSpacing/>
      <w:jc w:val="both"/>
    </w:pPr>
    <w:rPr>
      <w:i w:val="0"/>
      <w:sz w:val="18"/>
    </w:rPr>
  </w:style>
  <w:style w:type="paragraph" w:customStyle="1" w:styleId="ECHRLine">
    <w:name w:val="ECHR_Line"/>
    <w:aliases w:val="_Line"/>
    <w:basedOn w:val="NormalJustified"/>
    <w:next w:val="Normalny"/>
    <w:uiPriority w:val="46"/>
    <w:semiHidden/>
    <w:rsid w:val="006100BA"/>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6100BA"/>
    <w:pPr>
      <w:numPr>
        <w:numId w:val="20"/>
      </w:numPr>
      <w:spacing w:before="60" w:after="60"/>
    </w:pPr>
  </w:style>
  <w:style w:type="paragraph" w:customStyle="1" w:styleId="ECHRNumberedList2">
    <w:name w:val="ECHR_Numbered_List_2"/>
    <w:aliases w:val="_Num_2"/>
    <w:basedOn w:val="ECHRNumberedList1"/>
    <w:uiPriority w:val="23"/>
    <w:semiHidden/>
    <w:rsid w:val="006100BA"/>
    <w:pPr>
      <w:numPr>
        <w:ilvl w:val="1"/>
      </w:numPr>
    </w:pPr>
  </w:style>
  <w:style w:type="paragraph" w:customStyle="1" w:styleId="ECHRNumberedList3">
    <w:name w:val="ECHR_Numbered_List_3"/>
    <w:aliases w:val="_Num_3"/>
    <w:basedOn w:val="ECHRNumberedList2"/>
    <w:uiPriority w:val="23"/>
    <w:semiHidden/>
    <w:rsid w:val="006100BA"/>
    <w:pPr>
      <w:numPr>
        <w:ilvl w:val="2"/>
      </w:numPr>
    </w:pPr>
  </w:style>
  <w:style w:type="paragraph" w:customStyle="1" w:styleId="ECHRParaHanging">
    <w:name w:val="ECHR_Para_Hanging"/>
    <w:aliases w:val="_Hanging"/>
    <w:basedOn w:val="NormalJustified"/>
    <w:uiPriority w:val="8"/>
    <w:semiHidden/>
    <w:qFormat/>
    <w:rsid w:val="006100BA"/>
    <w:pPr>
      <w:ind w:left="567" w:hanging="567"/>
    </w:pPr>
  </w:style>
  <w:style w:type="paragraph" w:customStyle="1" w:styleId="ECHRParaIndent">
    <w:name w:val="ECHR_Para_Indent"/>
    <w:aliases w:val="_Indent"/>
    <w:basedOn w:val="NormalJustified"/>
    <w:uiPriority w:val="7"/>
    <w:semiHidden/>
    <w:qFormat/>
    <w:rsid w:val="006100BA"/>
    <w:pPr>
      <w:spacing w:before="120" w:after="120"/>
      <w:ind w:left="284"/>
    </w:pPr>
  </w:style>
  <w:style w:type="character" w:customStyle="1" w:styleId="ECHRRed">
    <w:name w:val="ECHR_Red"/>
    <w:aliases w:val="_Red"/>
    <w:basedOn w:val="Domylnaczcionkaakapitu"/>
    <w:uiPriority w:val="15"/>
    <w:semiHidden/>
    <w:qFormat/>
    <w:rsid w:val="006100BA"/>
    <w:rPr>
      <w:color w:val="C00000" w:themeColor="accent2"/>
    </w:rPr>
  </w:style>
  <w:style w:type="paragraph" w:customStyle="1" w:styleId="DecList">
    <w:name w:val="Dec_List"/>
    <w:aliases w:val="_List"/>
    <w:basedOn w:val="JuList"/>
    <w:uiPriority w:val="22"/>
    <w:rsid w:val="006100BA"/>
    <w:pPr>
      <w:numPr>
        <w:numId w:val="0"/>
      </w:numPr>
      <w:ind w:left="284"/>
    </w:pPr>
  </w:style>
  <w:style w:type="table" w:customStyle="1" w:styleId="ECHRTable2">
    <w:name w:val="ECHR_Table_2"/>
    <w:basedOn w:val="Standardowy"/>
    <w:uiPriority w:val="99"/>
    <w:rsid w:val="006100B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6100BA"/>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6100BA"/>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6100BA"/>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6100BA"/>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6100BA"/>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6100BA"/>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6100BA"/>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6100BA"/>
    <w:pPr>
      <w:outlineLvl w:val="0"/>
    </w:pPr>
  </w:style>
  <w:style w:type="paragraph" w:customStyle="1" w:styleId="ECHRTitleTOC1">
    <w:name w:val="ECHR_Title_TOC_1"/>
    <w:aliases w:val="_Title_L_TOC"/>
    <w:basedOn w:val="ECHRTitle1"/>
    <w:next w:val="Normalny"/>
    <w:uiPriority w:val="27"/>
    <w:semiHidden/>
    <w:qFormat/>
    <w:rsid w:val="006100BA"/>
    <w:pPr>
      <w:outlineLvl w:val="0"/>
    </w:pPr>
  </w:style>
  <w:style w:type="paragraph" w:customStyle="1" w:styleId="ECHRPlaceholder">
    <w:name w:val="ECHR_Placeholder"/>
    <w:aliases w:val="_Placeholder"/>
    <w:basedOn w:val="JuSigned"/>
    <w:uiPriority w:val="31"/>
    <w:rsid w:val="006100BA"/>
    <w:rPr>
      <w:color w:val="FFFFFF"/>
    </w:rPr>
  </w:style>
  <w:style w:type="paragraph" w:customStyle="1" w:styleId="ECHRSpacer">
    <w:name w:val="ECHR_Spacer"/>
    <w:aliases w:val="_Spacer"/>
    <w:basedOn w:val="Normalny"/>
    <w:uiPriority w:val="45"/>
    <w:semiHidden/>
    <w:rsid w:val="006100BA"/>
    <w:rPr>
      <w:sz w:val="4"/>
    </w:rPr>
  </w:style>
  <w:style w:type="table" w:customStyle="1" w:styleId="ECHRTableGrey">
    <w:name w:val="ECHR_Table_Grey"/>
    <w:basedOn w:val="Standardowy"/>
    <w:uiPriority w:val="99"/>
    <w:rsid w:val="006100BA"/>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6100BA"/>
    <w:rPr>
      <w:color w:val="605E5C"/>
      <w:shd w:val="clear" w:color="auto" w:fill="E1DFDD"/>
    </w:rPr>
  </w:style>
  <w:style w:type="character" w:customStyle="1" w:styleId="JuParaChar">
    <w:name w:val="Ju_Para Char"/>
    <w:aliases w:val="_Para Char"/>
    <w:link w:val="JuPara"/>
    <w:uiPriority w:val="4"/>
    <w:rsid w:val="00FB1A8A"/>
    <w:rPr>
      <w:sz w:val="24"/>
      <w:szCs w:val="24"/>
      <w:lang w:val="en-GB"/>
    </w:rPr>
  </w:style>
  <w:style w:type="table" w:customStyle="1" w:styleId="GridTable1Light1">
    <w:name w:val="Grid Table 1 Light1"/>
    <w:basedOn w:val="Standardowy"/>
    <w:uiPriority w:val="46"/>
    <w:semiHidden/>
    <w:rsid w:val="00FB1A8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FB1A8A"/>
    <w:pPr>
      <w:numPr>
        <w:ilvl w:val="0"/>
        <w:numId w:val="0"/>
      </w:numPr>
      <w:tabs>
        <w:tab w:val="num" w:pos="1701"/>
      </w:tabs>
      <w:spacing w:before="60" w:after="60" w:line="240" w:lineRule="exact"/>
      <w:ind w:left="1703" w:hanging="284"/>
      <w:contextualSpacing/>
    </w:pPr>
    <w:rPr>
      <w:sz w:val="22"/>
      <w:lang w:val="fr-FR" w:eastAsia="fr-FR"/>
    </w:rPr>
  </w:style>
  <w:style w:type="table" w:customStyle="1" w:styleId="GridTable1Light-Accent11">
    <w:name w:val="Grid Table 1 Light - Accent 11"/>
    <w:basedOn w:val="Standardowy"/>
    <w:uiPriority w:val="46"/>
    <w:semiHidden/>
    <w:rsid w:val="00FB1A8A"/>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Standardowy"/>
    <w:uiPriority w:val="46"/>
    <w:semiHidden/>
    <w:rsid w:val="00FB1A8A"/>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Standardowy"/>
    <w:uiPriority w:val="46"/>
    <w:semiHidden/>
    <w:rsid w:val="00FB1A8A"/>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Standardowy"/>
    <w:uiPriority w:val="46"/>
    <w:semiHidden/>
    <w:rsid w:val="00FB1A8A"/>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Standardowy"/>
    <w:uiPriority w:val="46"/>
    <w:semiHidden/>
    <w:rsid w:val="00FB1A8A"/>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Standardowy"/>
    <w:uiPriority w:val="46"/>
    <w:semiHidden/>
    <w:rsid w:val="00FB1A8A"/>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Standardowy"/>
    <w:uiPriority w:val="47"/>
    <w:semiHidden/>
    <w:rsid w:val="00FB1A8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Standardowy"/>
    <w:uiPriority w:val="47"/>
    <w:semiHidden/>
    <w:rsid w:val="00FB1A8A"/>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Standardowy"/>
    <w:uiPriority w:val="47"/>
    <w:semiHidden/>
    <w:rsid w:val="00FB1A8A"/>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Standardowy"/>
    <w:uiPriority w:val="47"/>
    <w:semiHidden/>
    <w:rsid w:val="00FB1A8A"/>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2-Accent41">
    <w:name w:val="Grid Table 2 - Accent 41"/>
    <w:basedOn w:val="Standardowy"/>
    <w:uiPriority w:val="47"/>
    <w:semiHidden/>
    <w:rsid w:val="00FB1A8A"/>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Standardowy"/>
    <w:uiPriority w:val="47"/>
    <w:semiHidden/>
    <w:rsid w:val="00FB1A8A"/>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Standardowy"/>
    <w:uiPriority w:val="47"/>
    <w:semiHidden/>
    <w:rsid w:val="00FB1A8A"/>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Standardowy"/>
    <w:uiPriority w:val="48"/>
    <w:semiHidden/>
    <w:rsid w:val="00FB1A8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Standardowy"/>
    <w:uiPriority w:val="48"/>
    <w:semiHidden/>
    <w:rsid w:val="00FB1A8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Standardowy"/>
    <w:uiPriority w:val="48"/>
    <w:semiHidden/>
    <w:rsid w:val="00FB1A8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Standardowy"/>
    <w:uiPriority w:val="48"/>
    <w:semiHidden/>
    <w:rsid w:val="00FB1A8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3-Accent41">
    <w:name w:val="Grid Table 3 - Accent 41"/>
    <w:basedOn w:val="Standardowy"/>
    <w:uiPriority w:val="48"/>
    <w:semiHidden/>
    <w:rsid w:val="00FB1A8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Standardowy"/>
    <w:uiPriority w:val="48"/>
    <w:semiHidden/>
    <w:rsid w:val="00FB1A8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Standardowy"/>
    <w:uiPriority w:val="48"/>
    <w:semiHidden/>
    <w:rsid w:val="00FB1A8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Standardowy"/>
    <w:uiPriority w:val="49"/>
    <w:semiHidden/>
    <w:rsid w:val="00FB1A8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Standardowy"/>
    <w:uiPriority w:val="49"/>
    <w:semiHidden/>
    <w:rsid w:val="00FB1A8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Standardowy"/>
    <w:uiPriority w:val="49"/>
    <w:semiHidden/>
    <w:rsid w:val="00FB1A8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Standardowy"/>
    <w:uiPriority w:val="49"/>
    <w:semiHidden/>
    <w:rsid w:val="00FB1A8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4-Accent41">
    <w:name w:val="Grid Table 4 - Accent 41"/>
    <w:basedOn w:val="Standardowy"/>
    <w:uiPriority w:val="49"/>
    <w:semiHidden/>
    <w:rsid w:val="00FB1A8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Standardowy"/>
    <w:uiPriority w:val="49"/>
    <w:semiHidden/>
    <w:rsid w:val="00FB1A8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Standardowy"/>
    <w:uiPriority w:val="49"/>
    <w:semiHidden/>
    <w:rsid w:val="00FB1A8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Standardowy"/>
    <w:uiPriority w:val="50"/>
    <w:semiHidden/>
    <w:rsid w:val="00FB1A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Standardowy"/>
    <w:uiPriority w:val="50"/>
    <w:semiHidden/>
    <w:rsid w:val="00FB1A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Standardowy"/>
    <w:uiPriority w:val="50"/>
    <w:semiHidden/>
    <w:rsid w:val="00FB1A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Standardowy"/>
    <w:uiPriority w:val="50"/>
    <w:semiHidden/>
    <w:rsid w:val="00FB1A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customStyle="1" w:styleId="GridTable5Dark-Accent41">
    <w:name w:val="Grid Table 5 Dark - Accent 41"/>
    <w:basedOn w:val="Standardowy"/>
    <w:uiPriority w:val="50"/>
    <w:semiHidden/>
    <w:rsid w:val="00FB1A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Standardowy"/>
    <w:uiPriority w:val="50"/>
    <w:semiHidden/>
    <w:rsid w:val="00FB1A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Standardowy"/>
    <w:uiPriority w:val="50"/>
    <w:semiHidden/>
    <w:rsid w:val="00FB1A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Standardowy"/>
    <w:uiPriority w:val="51"/>
    <w:semiHidden/>
    <w:rsid w:val="00FB1A8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Standardowy"/>
    <w:uiPriority w:val="51"/>
    <w:semiHidden/>
    <w:rsid w:val="00FB1A8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Standardowy"/>
    <w:uiPriority w:val="51"/>
    <w:semiHidden/>
    <w:rsid w:val="00FB1A8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Standardowy"/>
    <w:uiPriority w:val="51"/>
    <w:semiHidden/>
    <w:rsid w:val="00FB1A8A"/>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6Colorful-Accent41">
    <w:name w:val="Grid Table 6 Colorful - Accent 41"/>
    <w:basedOn w:val="Standardowy"/>
    <w:uiPriority w:val="51"/>
    <w:semiHidden/>
    <w:rsid w:val="00FB1A8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Standardowy"/>
    <w:uiPriority w:val="51"/>
    <w:semiHidden/>
    <w:rsid w:val="00FB1A8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Standardowy"/>
    <w:uiPriority w:val="51"/>
    <w:semiHidden/>
    <w:rsid w:val="00FB1A8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Standardowy"/>
    <w:uiPriority w:val="52"/>
    <w:semiHidden/>
    <w:rsid w:val="00FB1A8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Standardowy"/>
    <w:uiPriority w:val="52"/>
    <w:semiHidden/>
    <w:rsid w:val="00FB1A8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Standardowy"/>
    <w:uiPriority w:val="52"/>
    <w:semiHidden/>
    <w:rsid w:val="00FB1A8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Standardowy"/>
    <w:uiPriority w:val="52"/>
    <w:semiHidden/>
    <w:rsid w:val="00FB1A8A"/>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7Colorful-Accent41">
    <w:name w:val="Grid Table 7 Colorful - Accent 41"/>
    <w:basedOn w:val="Standardowy"/>
    <w:uiPriority w:val="52"/>
    <w:semiHidden/>
    <w:rsid w:val="00FB1A8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Standardowy"/>
    <w:uiPriority w:val="52"/>
    <w:semiHidden/>
    <w:rsid w:val="00FB1A8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Standardowy"/>
    <w:uiPriority w:val="52"/>
    <w:semiHidden/>
    <w:rsid w:val="00FB1A8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Standardowy"/>
    <w:uiPriority w:val="46"/>
    <w:semiHidden/>
    <w:rsid w:val="00FB1A8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Standardowy"/>
    <w:uiPriority w:val="46"/>
    <w:semiHidden/>
    <w:rsid w:val="00FB1A8A"/>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Standardowy"/>
    <w:uiPriority w:val="46"/>
    <w:semiHidden/>
    <w:rsid w:val="00FB1A8A"/>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Standardowy"/>
    <w:uiPriority w:val="46"/>
    <w:semiHidden/>
    <w:rsid w:val="00FB1A8A"/>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1Light-Accent41">
    <w:name w:val="List Table 1 Light - Accent 41"/>
    <w:basedOn w:val="Standardowy"/>
    <w:uiPriority w:val="46"/>
    <w:semiHidden/>
    <w:rsid w:val="00FB1A8A"/>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Standardowy"/>
    <w:uiPriority w:val="46"/>
    <w:semiHidden/>
    <w:rsid w:val="00FB1A8A"/>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Standardowy"/>
    <w:uiPriority w:val="46"/>
    <w:semiHidden/>
    <w:rsid w:val="00FB1A8A"/>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Standardowy"/>
    <w:uiPriority w:val="47"/>
    <w:semiHidden/>
    <w:rsid w:val="00FB1A8A"/>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Standardowy"/>
    <w:uiPriority w:val="47"/>
    <w:semiHidden/>
    <w:rsid w:val="00FB1A8A"/>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Standardowy"/>
    <w:uiPriority w:val="47"/>
    <w:semiHidden/>
    <w:rsid w:val="00FB1A8A"/>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Standardowy"/>
    <w:uiPriority w:val="47"/>
    <w:semiHidden/>
    <w:rsid w:val="00FB1A8A"/>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2-Accent41">
    <w:name w:val="List Table 2 - Accent 41"/>
    <w:basedOn w:val="Standardowy"/>
    <w:uiPriority w:val="47"/>
    <w:semiHidden/>
    <w:rsid w:val="00FB1A8A"/>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Standardowy"/>
    <w:uiPriority w:val="47"/>
    <w:semiHidden/>
    <w:rsid w:val="00FB1A8A"/>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Standardowy"/>
    <w:uiPriority w:val="47"/>
    <w:semiHidden/>
    <w:rsid w:val="00FB1A8A"/>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Standardowy"/>
    <w:uiPriority w:val="48"/>
    <w:semiHidden/>
    <w:rsid w:val="00FB1A8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Standardowy"/>
    <w:uiPriority w:val="48"/>
    <w:semiHidden/>
    <w:rsid w:val="00FB1A8A"/>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Standardowy"/>
    <w:uiPriority w:val="48"/>
    <w:semiHidden/>
    <w:rsid w:val="00FB1A8A"/>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Standardowy"/>
    <w:uiPriority w:val="48"/>
    <w:semiHidden/>
    <w:rsid w:val="00FB1A8A"/>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customStyle="1" w:styleId="ListTable3-Accent41">
    <w:name w:val="List Table 3 - Accent 41"/>
    <w:basedOn w:val="Standardowy"/>
    <w:uiPriority w:val="48"/>
    <w:semiHidden/>
    <w:rsid w:val="00FB1A8A"/>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Standardowy"/>
    <w:uiPriority w:val="48"/>
    <w:semiHidden/>
    <w:rsid w:val="00FB1A8A"/>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Standardowy"/>
    <w:uiPriority w:val="48"/>
    <w:semiHidden/>
    <w:rsid w:val="00FB1A8A"/>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Standardowy"/>
    <w:uiPriority w:val="49"/>
    <w:semiHidden/>
    <w:rsid w:val="00FB1A8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Standardowy"/>
    <w:uiPriority w:val="49"/>
    <w:semiHidden/>
    <w:rsid w:val="00FB1A8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Standardowy"/>
    <w:uiPriority w:val="49"/>
    <w:semiHidden/>
    <w:rsid w:val="00FB1A8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Standardowy"/>
    <w:uiPriority w:val="49"/>
    <w:semiHidden/>
    <w:rsid w:val="00FB1A8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4-Accent41">
    <w:name w:val="List Table 4 - Accent 41"/>
    <w:basedOn w:val="Standardowy"/>
    <w:uiPriority w:val="49"/>
    <w:semiHidden/>
    <w:rsid w:val="00FB1A8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Standardowy"/>
    <w:uiPriority w:val="49"/>
    <w:semiHidden/>
    <w:rsid w:val="00FB1A8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Standardowy"/>
    <w:uiPriority w:val="49"/>
    <w:semiHidden/>
    <w:rsid w:val="00FB1A8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Standardowy"/>
    <w:uiPriority w:val="50"/>
    <w:semiHidden/>
    <w:rsid w:val="00FB1A8A"/>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Standardowy"/>
    <w:uiPriority w:val="50"/>
    <w:semiHidden/>
    <w:rsid w:val="00FB1A8A"/>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Standardowy"/>
    <w:uiPriority w:val="50"/>
    <w:semiHidden/>
    <w:rsid w:val="00FB1A8A"/>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Standardowy"/>
    <w:uiPriority w:val="50"/>
    <w:semiHidden/>
    <w:rsid w:val="00FB1A8A"/>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Standardowy"/>
    <w:uiPriority w:val="50"/>
    <w:semiHidden/>
    <w:rsid w:val="00FB1A8A"/>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Standardowy"/>
    <w:uiPriority w:val="50"/>
    <w:semiHidden/>
    <w:rsid w:val="00FB1A8A"/>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Standardowy"/>
    <w:uiPriority w:val="50"/>
    <w:semiHidden/>
    <w:rsid w:val="00FB1A8A"/>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Standardowy"/>
    <w:uiPriority w:val="51"/>
    <w:semiHidden/>
    <w:rsid w:val="00FB1A8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Standardowy"/>
    <w:uiPriority w:val="51"/>
    <w:semiHidden/>
    <w:rsid w:val="00FB1A8A"/>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Standardowy"/>
    <w:uiPriority w:val="51"/>
    <w:semiHidden/>
    <w:rsid w:val="00FB1A8A"/>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Standardowy"/>
    <w:uiPriority w:val="51"/>
    <w:semiHidden/>
    <w:rsid w:val="00FB1A8A"/>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6Colorful-Accent41">
    <w:name w:val="List Table 6 Colorful - Accent 41"/>
    <w:basedOn w:val="Standardowy"/>
    <w:uiPriority w:val="51"/>
    <w:semiHidden/>
    <w:rsid w:val="00FB1A8A"/>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Standardowy"/>
    <w:uiPriority w:val="51"/>
    <w:semiHidden/>
    <w:rsid w:val="00FB1A8A"/>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Standardowy"/>
    <w:uiPriority w:val="51"/>
    <w:semiHidden/>
    <w:rsid w:val="00FB1A8A"/>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Standardowy"/>
    <w:uiPriority w:val="52"/>
    <w:semiHidden/>
    <w:rsid w:val="00FB1A8A"/>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Standardowy"/>
    <w:uiPriority w:val="52"/>
    <w:semiHidden/>
    <w:rsid w:val="00FB1A8A"/>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Standardowy"/>
    <w:uiPriority w:val="52"/>
    <w:semiHidden/>
    <w:rsid w:val="00FB1A8A"/>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Standardowy"/>
    <w:uiPriority w:val="52"/>
    <w:semiHidden/>
    <w:rsid w:val="00FB1A8A"/>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Standardowy"/>
    <w:uiPriority w:val="52"/>
    <w:semiHidden/>
    <w:rsid w:val="00FB1A8A"/>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Standardowy"/>
    <w:uiPriority w:val="52"/>
    <w:semiHidden/>
    <w:rsid w:val="00FB1A8A"/>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Standardowy"/>
    <w:uiPriority w:val="52"/>
    <w:semiHidden/>
    <w:rsid w:val="00FB1A8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Standardowy"/>
    <w:uiPriority w:val="41"/>
    <w:semiHidden/>
    <w:rsid w:val="00FB1A8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Standardowy"/>
    <w:uiPriority w:val="42"/>
    <w:semiHidden/>
    <w:rsid w:val="00FB1A8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Standardowy"/>
    <w:uiPriority w:val="43"/>
    <w:semiHidden/>
    <w:rsid w:val="00FB1A8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Standardowy"/>
    <w:uiPriority w:val="44"/>
    <w:semiHidden/>
    <w:rsid w:val="00FB1A8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Standardowy"/>
    <w:uiPriority w:val="45"/>
    <w:semiHidden/>
    <w:rsid w:val="00FB1A8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Standardowy"/>
    <w:uiPriority w:val="40"/>
    <w:semiHidden/>
    <w:rsid w:val="00FB1A8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asiatki1jasna">
    <w:name w:val="Grid Table 1 Light"/>
    <w:basedOn w:val="Standardowy"/>
    <w:uiPriority w:val="46"/>
    <w:semiHidden/>
    <w:rsid w:val="00FB1A8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FB1A8A"/>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FB1A8A"/>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FB1A8A"/>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FB1A8A"/>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FB1A8A"/>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FB1A8A"/>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FB1A8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FB1A8A"/>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FB1A8A"/>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FB1A8A"/>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FB1A8A"/>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FB1A8A"/>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FB1A8A"/>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FB1A8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FB1A8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FB1A8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FB1A8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FB1A8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FB1A8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FB1A8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FB1A8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FB1A8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FB1A8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FB1A8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FB1A8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FB1A8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FB1A8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FB1A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FB1A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FB1A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FB1A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FB1A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FB1A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FB1A8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FB1A8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FB1A8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FB1A8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FB1A8A"/>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FB1A8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FB1A8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FB1A8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FB1A8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FB1A8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FB1A8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FB1A8A"/>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FB1A8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FB1A8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FB1A8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FB1A8A"/>
    <w:rPr>
      <w:color w:val="2B579A"/>
      <w:shd w:val="clear" w:color="auto" w:fill="E1DFDD"/>
    </w:rPr>
  </w:style>
  <w:style w:type="table" w:styleId="Tabelalisty1jasna">
    <w:name w:val="List Table 1 Light"/>
    <w:basedOn w:val="Standardowy"/>
    <w:uiPriority w:val="46"/>
    <w:semiHidden/>
    <w:rsid w:val="00FB1A8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FB1A8A"/>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FB1A8A"/>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FB1A8A"/>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FB1A8A"/>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FB1A8A"/>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FB1A8A"/>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FB1A8A"/>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FB1A8A"/>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FB1A8A"/>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FB1A8A"/>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FB1A8A"/>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FB1A8A"/>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FB1A8A"/>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FB1A8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FB1A8A"/>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FB1A8A"/>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FB1A8A"/>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FB1A8A"/>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FB1A8A"/>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FB1A8A"/>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FB1A8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FB1A8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FB1A8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FB1A8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FB1A8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FB1A8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FB1A8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FB1A8A"/>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FB1A8A"/>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FB1A8A"/>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FB1A8A"/>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FB1A8A"/>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FB1A8A"/>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FB1A8A"/>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FB1A8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FB1A8A"/>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FB1A8A"/>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FB1A8A"/>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FB1A8A"/>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FB1A8A"/>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FB1A8A"/>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FB1A8A"/>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FB1A8A"/>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FB1A8A"/>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FB1A8A"/>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FB1A8A"/>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FB1A8A"/>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FB1A8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FB1A8A"/>
    <w:rPr>
      <w:color w:val="2B579A"/>
      <w:shd w:val="clear" w:color="auto" w:fill="E1DFDD"/>
    </w:rPr>
  </w:style>
  <w:style w:type="table" w:styleId="Zwykatabela1">
    <w:name w:val="Plain Table 1"/>
    <w:basedOn w:val="Standardowy"/>
    <w:uiPriority w:val="41"/>
    <w:semiHidden/>
    <w:rsid w:val="00FB1A8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FB1A8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FB1A8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FB1A8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FB1A8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FB1A8A"/>
    <w:rPr>
      <w:u w:val="dotted"/>
    </w:rPr>
  </w:style>
  <w:style w:type="character" w:styleId="Inteligentnylink">
    <w:name w:val="Smart Link"/>
    <w:basedOn w:val="Domylnaczcionkaakapitu"/>
    <w:uiPriority w:val="99"/>
    <w:semiHidden/>
    <w:unhideWhenUsed/>
    <w:rsid w:val="00FB1A8A"/>
    <w:rPr>
      <w:color w:val="0000FF"/>
      <w:u w:val="single"/>
      <w:shd w:val="clear" w:color="auto" w:fill="F3F2F1"/>
    </w:rPr>
  </w:style>
  <w:style w:type="table" w:styleId="Siatkatabelijasna">
    <w:name w:val="Grid Table Light"/>
    <w:basedOn w:val="Standardowy"/>
    <w:uiPriority w:val="40"/>
    <w:semiHidden/>
    <w:rsid w:val="00FB1A8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oprawka">
    <w:name w:val="Revision"/>
    <w:hidden/>
    <w:uiPriority w:val="99"/>
    <w:semiHidden/>
    <w:rsid w:val="00FB1A8A"/>
    <w:rPr>
      <w:sz w:val="24"/>
      <w:szCs w:val="24"/>
      <w:lang w:val="en-GB"/>
    </w:rPr>
  </w:style>
  <w:style w:type="paragraph" w:customStyle="1" w:styleId="jupara0">
    <w:name w:val="jupara"/>
    <w:basedOn w:val="Normalny"/>
    <w:rsid w:val="002F214A"/>
    <w:pPr>
      <w:ind w:firstLine="284"/>
      <w:jc w:val="both"/>
    </w:pPr>
    <w:rPr>
      <w:rFonts w:ascii="Times New Roman" w:eastAsia="Times New Roman" w:hAnsi="Times New Roman" w:cs="Times New Roman"/>
      <w:lang w:eastAsia="en-GB"/>
    </w:rPr>
  </w:style>
  <w:style w:type="paragraph" w:customStyle="1" w:styleId="jucase0">
    <w:name w:val="jucase"/>
    <w:basedOn w:val="Normalny"/>
    <w:rsid w:val="002F214A"/>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13905</Words>
  <Characters>83435</Characters>
  <Application>Microsoft Office Word</Application>
  <DocSecurity>0</DocSecurity>
  <Lines>695</Lines>
  <Paragraphs>194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Company/>
  <LinksUpToDate>false</LinksUpToDate>
  <CharactersWithSpaces>97146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2026-03-19T10:36:00Z</dcterms:created>
  <dcterms:modified xsi:type="dcterms:W3CDTF">2026-05-26T06:51:00Z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1226003</vt:lpwstr>
  </property>
  <property fmtid="{D5CDD505-2E9C-101B-9397-08002B2CF9AE}" pid="3" name="cstLanguage">
    <vt:i4>2057</vt:i4>
  </property>
  <property fmtid="{D5CDD505-2E9C-101B-9397-08002B2CF9AE}" pid="4" name="RegisteredNo">
    <vt:lpwstr>42514/16</vt:lpwstr>
  </property>
</Properties>
</file>