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C2A3D" w14:textId="77777777" w:rsidR="00295558" w:rsidRDefault="00295558" w:rsidP="00295558">
      <w:pPr>
        <w:jc w:val="center"/>
        <w:rPr>
          <w:sz w:val="20"/>
          <w:lang w:val="pl-PL"/>
        </w:rPr>
      </w:pPr>
      <w:r w:rsidRPr="0005120F">
        <w:rPr>
          <w:rStyle w:val="s4f807e54"/>
          <w:sz w:val="20"/>
          <w:lang w:val="pl-PL"/>
        </w:rPr>
        <w:t xml:space="preserve">© </w:t>
      </w:r>
      <w:r w:rsidRPr="0005120F">
        <w:rPr>
          <w:sz w:val="20"/>
          <w:lang w:val="pl-PL"/>
        </w:rPr>
        <w:t xml:space="preserve">Copyright for the Polish translation </w:t>
      </w:r>
    </w:p>
    <w:p w14:paraId="7E0D2F23" w14:textId="77777777" w:rsidR="00295558" w:rsidRPr="0005120F" w:rsidRDefault="00295558" w:rsidP="00295558">
      <w:pPr>
        <w:spacing w:after="120"/>
        <w:jc w:val="center"/>
        <w:rPr>
          <w:sz w:val="20"/>
          <w:lang w:val="pl-PL"/>
        </w:rPr>
      </w:pPr>
      <w:r w:rsidRPr="0005120F">
        <w:rPr>
          <w:sz w:val="20"/>
          <w:lang w:val="pl-PL"/>
        </w:rPr>
        <w:t>by Ministerstwo Spraw Zagranicznych, Warsaw 20</w:t>
      </w:r>
      <w:r>
        <w:rPr>
          <w:sz w:val="20"/>
          <w:lang w:val="pl-PL"/>
        </w:rPr>
        <w:t>26</w:t>
      </w:r>
    </w:p>
    <w:p w14:paraId="5AD64EC5" w14:textId="77777777" w:rsidR="00295558" w:rsidRDefault="00295558" w:rsidP="00295558">
      <w:pPr>
        <w:jc w:val="center"/>
        <w:rPr>
          <w:rStyle w:val="s4f807e54"/>
          <w:sz w:val="20"/>
          <w:lang w:val="pl-PL"/>
        </w:rPr>
      </w:pPr>
      <w:r w:rsidRPr="0005120F">
        <w:rPr>
          <w:rStyle w:val="s4f807e54"/>
          <w:sz w:val="20"/>
          <w:lang w:val="pl-PL"/>
        </w:rPr>
        <w:t xml:space="preserve">© Właścicielem praw autorskich do tłumaczenia na język polski </w:t>
      </w:r>
    </w:p>
    <w:p w14:paraId="6A98BB8C" w14:textId="77777777" w:rsidR="00295558" w:rsidRPr="0005120F" w:rsidRDefault="00295558" w:rsidP="00295558">
      <w:pPr>
        <w:jc w:val="center"/>
        <w:rPr>
          <w:sz w:val="20"/>
          <w:lang w:val="pl-PL"/>
        </w:rPr>
      </w:pPr>
      <w:r w:rsidRPr="0005120F">
        <w:rPr>
          <w:rStyle w:val="s4f807e54"/>
          <w:sz w:val="20"/>
          <w:lang w:val="pl-PL"/>
        </w:rPr>
        <w:t xml:space="preserve">jest </w:t>
      </w:r>
      <w:r w:rsidRPr="0005120F">
        <w:rPr>
          <w:sz w:val="20"/>
          <w:lang w:val="pl-PL"/>
        </w:rPr>
        <w:t>Ministerstwo Spraw Zagranicznych, Warszawa 20</w:t>
      </w:r>
      <w:r>
        <w:rPr>
          <w:sz w:val="20"/>
          <w:lang w:val="pl-PL"/>
        </w:rPr>
        <w:t>26</w:t>
      </w:r>
    </w:p>
    <w:p w14:paraId="44D7F127" w14:textId="24A46EA1" w:rsidR="004B4762" w:rsidRDefault="004B4762" w:rsidP="00295558">
      <w:pPr>
        <w:pStyle w:val="DecHTitle"/>
        <w:spacing w:before="240"/>
        <w:rPr>
          <w:lang w:val="pl-PL"/>
        </w:rPr>
      </w:pPr>
      <w:r>
        <w:rPr>
          <w:lang w:val="pl-PL"/>
        </w:rPr>
        <w:t>EUROPEJSKI TRYBUNAŁ PRAW CZŁOWIEKA</w:t>
      </w:r>
    </w:p>
    <w:p w14:paraId="0F83A4B7" w14:textId="26667D0C" w:rsidR="003114C8" w:rsidRPr="00EA62F0" w:rsidRDefault="009751F1">
      <w:pPr>
        <w:pStyle w:val="DecHTitle"/>
        <w:rPr>
          <w:lang w:val="pl-PL"/>
        </w:rPr>
      </w:pPr>
      <w:r w:rsidRPr="00EA62F0">
        <w:rPr>
          <w:lang w:val="pl-PL"/>
        </w:rPr>
        <w:t xml:space="preserve">SEKCJA </w:t>
      </w:r>
      <w:r w:rsidR="00EA62F0" w:rsidRPr="00EA62F0">
        <w:rPr>
          <w:lang w:val="pl-PL"/>
        </w:rPr>
        <w:t xml:space="preserve">CZWARTA </w:t>
      </w:r>
    </w:p>
    <w:p w14:paraId="4852AD83" w14:textId="03F7E966" w:rsidR="003114C8" w:rsidRPr="00EA62F0" w:rsidRDefault="00EA62F0">
      <w:pPr>
        <w:pStyle w:val="DecHTitle"/>
        <w:rPr>
          <w:lang w:val="pl-PL"/>
        </w:rPr>
      </w:pPr>
      <w:r w:rsidRPr="00EA62F0">
        <w:rPr>
          <w:lang w:val="pl-PL"/>
        </w:rPr>
        <w:t>DECYZJA O</w:t>
      </w:r>
      <w:r>
        <w:rPr>
          <w:lang w:val="pl-PL"/>
        </w:rPr>
        <w:t>STATECZNA</w:t>
      </w:r>
    </w:p>
    <w:p w14:paraId="26D75ACD" w14:textId="72C60938" w:rsidR="003114C8" w:rsidRPr="00EA62F0" w:rsidRDefault="00EA62F0" w:rsidP="00E1369F">
      <w:pPr>
        <w:pStyle w:val="DecHCase"/>
        <w:rPr>
          <w:lang w:val="pl-PL"/>
        </w:rPr>
      </w:pPr>
      <w:r>
        <w:rPr>
          <w:lang w:val="pl-PL"/>
        </w:rPr>
        <w:t>Skarga</w:t>
      </w:r>
      <w:r w:rsidR="00E1369F" w:rsidRPr="00EA62F0">
        <w:rPr>
          <w:lang w:val="pl-PL"/>
        </w:rPr>
        <w:t xml:space="preserve"> n</w:t>
      </w:r>
      <w:r>
        <w:rPr>
          <w:lang w:val="pl-PL"/>
        </w:rPr>
        <w:t>r</w:t>
      </w:r>
      <w:r w:rsidR="00E1369F" w:rsidRPr="00EA62F0">
        <w:rPr>
          <w:lang w:val="pl-PL"/>
        </w:rPr>
        <w:t xml:space="preserve"> </w:t>
      </w:r>
      <w:r w:rsidR="003114C8" w:rsidRPr="00EA62F0">
        <w:rPr>
          <w:lang w:val="pl-PL"/>
        </w:rPr>
        <w:t>50428/99</w:t>
      </w:r>
      <w:r w:rsidR="00E1369F" w:rsidRPr="00EA62F0">
        <w:rPr>
          <w:lang w:val="pl-PL"/>
        </w:rPr>
        <w:br/>
        <w:t xml:space="preserve"> </w:t>
      </w:r>
      <w:r w:rsidR="003114C8" w:rsidRPr="00EA62F0">
        <w:rPr>
          <w:lang w:val="pl-PL"/>
        </w:rPr>
        <w:t>Ryszard DZIEDZIC</w:t>
      </w:r>
      <w:r w:rsidR="00E1369F" w:rsidRPr="00EA62F0">
        <w:rPr>
          <w:lang w:val="pl-PL"/>
        </w:rPr>
        <w:br/>
      </w:r>
      <w:r>
        <w:rPr>
          <w:lang w:val="pl-PL"/>
        </w:rPr>
        <w:t>przeciwko</w:t>
      </w:r>
      <w:r w:rsidR="00E1369F" w:rsidRPr="00EA62F0">
        <w:rPr>
          <w:lang w:val="pl-PL"/>
        </w:rPr>
        <w:t xml:space="preserve"> </w:t>
      </w:r>
      <w:r w:rsidR="003114C8" w:rsidRPr="00EA62F0">
        <w:rPr>
          <w:lang w:val="pl-PL"/>
        </w:rPr>
        <w:t>Pol</w:t>
      </w:r>
      <w:r>
        <w:rPr>
          <w:lang w:val="pl-PL"/>
        </w:rPr>
        <w:t>sce</w:t>
      </w:r>
    </w:p>
    <w:p w14:paraId="66DF237B" w14:textId="2EFE16EE" w:rsidR="00EA62F0" w:rsidRDefault="00EA62F0">
      <w:pPr>
        <w:pStyle w:val="JuJudges"/>
        <w:rPr>
          <w:lang w:val="pl-PL"/>
        </w:rPr>
      </w:pPr>
      <w:r w:rsidRPr="00EA62F0">
        <w:rPr>
          <w:lang w:val="pl-PL"/>
        </w:rPr>
        <w:t>Europejski Trybunał Praw Człowieka (Sekcja</w:t>
      </w:r>
      <w:r w:rsidR="009751F1">
        <w:rPr>
          <w:lang w:val="pl-PL"/>
        </w:rPr>
        <w:t xml:space="preserve"> </w:t>
      </w:r>
      <w:r w:rsidR="009751F1" w:rsidRPr="00EA62F0">
        <w:rPr>
          <w:lang w:val="pl-PL"/>
        </w:rPr>
        <w:t>Czwarta</w:t>
      </w:r>
      <w:r w:rsidRPr="00EA62F0">
        <w:rPr>
          <w:lang w:val="pl-PL"/>
        </w:rPr>
        <w:t xml:space="preserve">), </w:t>
      </w:r>
      <w:r w:rsidR="009751F1">
        <w:rPr>
          <w:lang w:val="pl-PL"/>
        </w:rPr>
        <w:t>na posiedzeniu</w:t>
      </w:r>
      <w:r w:rsidRPr="00EA62F0">
        <w:rPr>
          <w:lang w:val="pl-PL"/>
        </w:rPr>
        <w:t xml:space="preserve"> w</w:t>
      </w:r>
      <w:r w:rsidR="003B6518">
        <w:rPr>
          <w:lang w:val="pl-PL"/>
        </w:rPr>
        <w:t> </w:t>
      </w:r>
      <w:r w:rsidRPr="00EA62F0">
        <w:rPr>
          <w:lang w:val="pl-PL"/>
        </w:rPr>
        <w:t>dniu 24 maja 2005 r.,</w:t>
      </w:r>
      <w:r w:rsidR="004B4762">
        <w:rPr>
          <w:lang w:val="pl-PL"/>
        </w:rPr>
        <w:t xml:space="preserve"> zasiadając jako Izba</w:t>
      </w:r>
      <w:r w:rsidR="004B4762" w:rsidRPr="00EA62F0">
        <w:rPr>
          <w:lang w:val="pl-PL"/>
        </w:rPr>
        <w:t xml:space="preserve"> </w:t>
      </w:r>
      <w:r w:rsidRPr="00EA62F0">
        <w:rPr>
          <w:lang w:val="pl-PL"/>
        </w:rPr>
        <w:t>w składzie:</w:t>
      </w:r>
    </w:p>
    <w:p w14:paraId="0FAE35F3" w14:textId="748A4759" w:rsidR="0044794C" w:rsidRPr="00EA62F0" w:rsidRDefault="0044794C">
      <w:pPr>
        <w:pStyle w:val="JuJudges"/>
        <w:rPr>
          <w:lang w:val="pl-PL"/>
        </w:rPr>
      </w:pPr>
      <w:r w:rsidRPr="00EA62F0">
        <w:rPr>
          <w:lang w:val="pl-PL"/>
        </w:rPr>
        <w:tab/>
      </w:r>
      <w:r w:rsidR="009D4589">
        <w:rPr>
          <w:lang w:val="pl-PL"/>
        </w:rPr>
        <w:t>p</w:t>
      </w:r>
      <w:r w:rsidR="00EA62F0" w:rsidRPr="00EA62F0">
        <w:rPr>
          <w:lang w:val="pl-PL"/>
        </w:rPr>
        <w:t>an</w:t>
      </w:r>
      <w:r w:rsidRPr="00EA62F0">
        <w:rPr>
          <w:lang w:val="pl-PL"/>
        </w:rPr>
        <w:tab/>
      </w:r>
      <w:r w:rsidR="003114C8" w:rsidRPr="00EA62F0">
        <w:rPr>
          <w:lang w:val="pl-PL"/>
        </w:rPr>
        <w:t>Nicolas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Bratza</w:t>
      </w:r>
      <w:r w:rsidRPr="00EA62F0">
        <w:rPr>
          <w:lang w:val="pl-PL"/>
        </w:rPr>
        <w:t xml:space="preserve">, </w:t>
      </w:r>
      <w:r w:rsidR="009D4589">
        <w:rPr>
          <w:i/>
          <w:lang w:val="pl-PL"/>
        </w:rPr>
        <w:t>przewodniczący</w:t>
      </w:r>
      <w:r w:rsidRPr="00EA62F0">
        <w:rPr>
          <w:lang w:val="pl-PL"/>
        </w:rPr>
        <w:t>,</w:t>
      </w:r>
      <w:r w:rsidRPr="00EA62F0">
        <w:rPr>
          <w:lang w:val="pl-PL"/>
        </w:rPr>
        <w:br/>
      </w:r>
      <w:r w:rsidRPr="00EA62F0">
        <w:rPr>
          <w:lang w:val="pl-PL"/>
        </w:rPr>
        <w:tab/>
      </w:r>
      <w:r w:rsidR="009D4589">
        <w:rPr>
          <w:lang w:val="pl-PL"/>
        </w:rPr>
        <w:t>p</w:t>
      </w:r>
      <w:r w:rsidR="00EA62F0" w:rsidRPr="00EA62F0">
        <w:rPr>
          <w:lang w:val="pl-PL"/>
        </w:rPr>
        <w:t>an</w:t>
      </w:r>
      <w:r w:rsidRPr="00EA62F0">
        <w:rPr>
          <w:lang w:val="pl-PL"/>
        </w:rPr>
        <w:tab/>
      </w:r>
      <w:r w:rsidR="003114C8" w:rsidRPr="00EA62F0">
        <w:rPr>
          <w:rStyle w:val="JuNames"/>
          <w:lang w:val="pl-PL"/>
        </w:rPr>
        <w:t>J.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Casadevall</w:t>
      </w:r>
      <w:r w:rsidRPr="00EA62F0">
        <w:rPr>
          <w:lang w:val="pl-PL"/>
        </w:rPr>
        <w:t>,</w:t>
      </w:r>
      <w:r w:rsidRPr="00EA62F0">
        <w:rPr>
          <w:lang w:val="pl-PL"/>
        </w:rPr>
        <w:br/>
      </w:r>
      <w:r w:rsidRPr="00EA62F0">
        <w:rPr>
          <w:lang w:val="pl-PL"/>
        </w:rPr>
        <w:tab/>
      </w:r>
      <w:r w:rsidR="009D4589">
        <w:rPr>
          <w:lang w:val="pl-PL"/>
        </w:rPr>
        <w:t>p</w:t>
      </w:r>
      <w:r w:rsidR="00EA62F0" w:rsidRPr="00EA62F0">
        <w:rPr>
          <w:lang w:val="pl-PL"/>
        </w:rPr>
        <w:t>an</w:t>
      </w:r>
      <w:r w:rsidRPr="00EA62F0">
        <w:rPr>
          <w:lang w:val="pl-PL"/>
        </w:rPr>
        <w:tab/>
      </w:r>
      <w:r w:rsidR="003114C8" w:rsidRPr="00EA62F0">
        <w:rPr>
          <w:rStyle w:val="JuNames"/>
          <w:lang w:val="pl-PL"/>
        </w:rPr>
        <w:t>G.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Bonello</w:t>
      </w:r>
      <w:r w:rsidRPr="00EA62F0">
        <w:rPr>
          <w:lang w:val="pl-PL"/>
        </w:rPr>
        <w:t>,</w:t>
      </w:r>
      <w:r w:rsidRPr="00EA62F0">
        <w:rPr>
          <w:lang w:val="pl-PL"/>
        </w:rPr>
        <w:br/>
      </w:r>
      <w:r w:rsidRPr="00EA62F0">
        <w:rPr>
          <w:lang w:val="pl-PL"/>
        </w:rPr>
        <w:tab/>
      </w:r>
      <w:r w:rsidR="009D4589">
        <w:rPr>
          <w:lang w:val="pl-PL"/>
        </w:rPr>
        <w:t>p</w:t>
      </w:r>
      <w:r w:rsidR="00EA62F0" w:rsidRPr="00EA62F0">
        <w:rPr>
          <w:lang w:val="pl-PL"/>
        </w:rPr>
        <w:t>an</w:t>
      </w:r>
      <w:r w:rsidRPr="00EA62F0">
        <w:rPr>
          <w:lang w:val="pl-PL"/>
        </w:rPr>
        <w:tab/>
      </w:r>
      <w:r w:rsidR="003114C8" w:rsidRPr="00EA62F0">
        <w:rPr>
          <w:rStyle w:val="JuNames"/>
          <w:lang w:val="pl-PL"/>
        </w:rPr>
        <w:t>R.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Maruste</w:t>
      </w:r>
      <w:r w:rsidRPr="00EA62F0">
        <w:rPr>
          <w:lang w:val="pl-PL"/>
        </w:rPr>
        <w:t>,</w:t>
      </w:r>
      <w:r w:rsidRPr="00EA62F0">
        <w:rPr>
          <w:lang w:val="pl-PL"/>
        </w:rPr>
        <w:br/>
      </w:r>
      <w:r w:rsidRPr="00EA62F0">
        <w:rPr>
          <w:lang w:val="pl-PL"/>
        </w:rPr>
        <w:tab/>
      </w:r>
      <w:r w:rsidR="009D4589">
        <w:rPr>
          <w:lang w:val="pl-PL"/>
        </w:rPr>
        <w:t>p</w:t>
      </w:r>
      <w:r w:rsidR="00EA62F0" w:rsidRPr="00EA62F0">
        <w:rPr>
          <w:lang w:val="pl-PL"/>
        </w:rPr>
        <w:t>an</w:t>
      </w:r>
      <w:r w:rsidRPr="00EA62F0">
        <w:rPr>
          <w:lang w:val="pl-PL"/>
        </w:rPr>
        <w:tab/>
      </w:r>
      <w:r w:rsidR="003114C8" w:rsidRPr="00EA62F0">
        <w:rPr>
          <w:rStyle w:val="JuNames"/>
          <w:lang w:val="pl-PL"/>
        </w:rPr>
        <w:t>S.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Pavlovschi</w:t>
      </w:r>
      <w:r w:rsidRPr="00EA62F0">
        <w:rPr>
          <w:lang w:val="pl-PL"/>
        </w:rPr>
        <w:t>,</w:t>
      </w:r>
      <w:r w:rsidRPr="00EA62F0">
        <w:rPr>
          <w:lang w:val="pl-PL"/>
        </w:rPr>
        <w:br/>
      </w:r>
      <w:r w:rsidRPr="00EA62F0">
        <w:rPr>
          <w:lang w:val="pl-PL"/>
        </w:rPr>
        <w:tab/>
      </w:r>
      <w:r w:rsidR="009D4589">
        <w:rPr>
          <w:lang w:val="pl-PL"/>
        </w:rPr>
        <w:t>p</w:t>
      </w:r>
      <w:r w:rsidR="00EA62F0" w:rsidRPr="00EA62F0">
        <w:rPr>
          <w:lang w:val="pl-PL"/>
        </w:rPr>
        <w:t>an</w:t>
      </w:r>
      <w:r w:rsidRPr="00EA62F0">
        <w:rPr>
          <w:lang w:val="pl-PL"/>
        </w:rPr>
        <w:tab/>
      </w:r>
      <w:r w:rsidR="003114C8" w:rsidRPr="00EA62F0">
        <w:rPr>
          <w:rStyle w:val="JuNames"/>
          <w:lang w:val="pl-PL"/>
        </w:rPr>
        <w:t>L.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Garlicki</w:t>
      </w:r>
      <w:r w:rsidRPr="00EA62F0">
        <w:rPr>
          <w:lang w:val="pl-PL"/>
        </w:rPr>
        <w:t>,</w:t>
      </w:r>
      <w:r w:rsidRPr="00EA62F0">
        <w:rPr>
          <w:rStyle w:val="JuNames"/>
          <w:lang w:val="pl-PL"/>
        </w:rPr>
        <w:br/>
      </w:r>
      <w:r w:rsidRPr="00EA62F0">
        <w:rPr>
          <w:lang w:val="pl-PL"/>
        </w:rPr>
        <w:tab/>
      </w:r>
      <w:r w:rsidR="009D4589">
        <w:rPr>
          <w:lang w:val="pl-PL"/>
        </w:rPr>
        <w:t>p</w:t>
      </w:r>
      <w:r w:rsidR="00EA62F0" w:rsidRPr="00EA62F0">
        <w:rPr>
          <w:lang w:val="pl-PL"/>
        </w:rPr>
        <w:t>an</w:t>
      </w:r>
      <w:r w:rsidRPr="00EA62F0">
        <w:rPr>
          <w:lang w:val="pl-PL"/>
        </w:rPr>
        <w:tab/>
      </w:r>
      <w:r w:rsidR="003114C8" w:rsidRPr="00EA62F0">
        <w:rPr>
          <w:rStyle w:val="JuNames"/>
          <w:lang w:val="pl-PL"/>
        </w:rPr>
        <w:t>J.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Borrego Borrego</w:t>
      </w:r>
      <w:r w:rsidRPr="00EA62F0">
        <w:rPr>
          <w:rStyle w:val="JuNames"/>
          <w:lang w:val="pl-PL"/>
        </w:rPr>
        <w:t>,</w:t>
      </w:r>
      <w:r w:rsidR="003114C8" w:rsidRPr="00EA62F0">
        <w:rPr>
          <w:lang w:val="pl-PL"/>
        </w:rPr>
        <w:t xml:space="preserve"> </w:t>
      </w:r>
      <w:r w:rsidR="00EA62F0" w:rsidRPr="00EA62F0">
        <w:rPr>
          <w:i/>
          <w:lang w:val="pl-PL"/>
        </w:rPr>
        <w:t>sędziowie</w:t>
      </w:r>
      <w:r w:rsidR="003114C8" w:rsidRPr="00EA62F0">
        <w:rPr>
          <w:lang w:val="pl-PL"/>
        </w:rPr>
        <w:t>,</w:t>
      </w:r>
      <w:r w:rsidRPr="00EA62F0">
        <w:rPr>
          <w:lang w:val="pl-PL"/>
        </w:rPr>
        <w:br/>
      </w:r>
      <w:r w:rsidR="00EA62F0">
        <w:rPr>
          <w:lang w:val="pl-PL"/>
        </w:rPr>
        <w:t>oraz</w:t>
      </w:r>
      <w:r w:rsidRPr="00EA62F0">
        <w:rPr>
          <w:lang w:val="pl-PL"/>
        </w:rPr>
        <w:t xml:space="preserve"> </w:t>
      </w:r>
      <w:r w:rsidR="009D4589">
        <w:rPr>
          <w:lang w:val="pl-PL"/>
        </w:rPr>
        <w:t>p</w:t>
      </w:r>
      <w:r w:rsidR="00EA62F0">
        <w:rPr>
          <w:lang w:val="pl-PL"/>
        </w:rPr>
        <w:t>an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M.</w:t>
      </w:r>
      <w:r w:rsidRPr="00EA62F0">
        <w:rPr>
          <w:lang w:val="pl-PL"/>
        </w:rPr>
        <w:t xml:space="preserve"> </w:t>
      </w:r>
      <w:r w:rsidR="003114C8" w:rsidRPr="00EA62F0">
        <w:rPr>
          <w:rStyle w:val="JuNames"/>
          <w:lang w:val="pl-PL"/>
        </w:rPr>
        <w:t>O</w:t>
      </w:r>
      <w:r w:rsidR="001D7F22" w:rsidRPr="00EA62F0">
        <w:rPr>
          <w:rStyle w:val="JuNames"/>
          <w:lang w:val="pl-PL"/>
        </w:rPr>
        <w:t>'</w:t>
      </w:r>
      <w:r w:rsidR="003114C8" w:rsidRPr="00EA62F0">
        <w:rPr>
          <w:rStyle w:val="JuNames"/>
          <w:lang w:val="pl-PL"/>
        </w:rPr>
        <w:t>Boyle</w:t>
      </w:r>
      <w:r w:rsidRPr="00EA62F0">
        <w:rPr>
          <w:lang w:val="pl-PL"/>
        </w:rPr>
        <w:t xml:space="preserve">, </w:t>
      </w:r>
      <w:r w:rsidR="009D4589">
        <w:rPr>
          <w:i/>
          <w:lang w:val="pl-PL"/>
        </w:rPr>
        <w:t>kanclerz sekcji</w:t>
      </w:r>
      <w:r w:rsidRPr="00EA62F0">
        <w:rPr>
          <w:lang w:val="pl-PL"/>
        </w:rPr>
        <w:t>,</w:t>
      </w:r>
    </w:p>
    <w:p w14:paraId="62CD70D0" w14:textId="69564820" w:rsidR="00EA62F0" w:rsidRPr="00F12AE3" w:rsidRDefault="004B4762">
      <w:pPr>
        <w:pStyle w:val="JuPara"/>
        <w:rPr>
          <w:lang w:val="pl-PL"/>
        </w:rPr>
      </w:pPr>
      <w:r>
        <w:rPr>
          <w:lang w:val="pl-PL"/>
        </w:rPr>
        <w:t>Mając na uwadze</w:t>
      </w:r>
      <w:r w:rsidR="00EA62F0" w:rsidRPr="00F12AE3">
        <w:rPr>
          <w:lang w:val="pl-PL"/>
        </w:rPr>
        <w:t xml:space="preserve"> skargę wniesioną do Europejskiej Komisji Praw Człowieka w dniu 6 września 1998 r.,</w:t>
      </w:r>
    </w:p>
    <w:p w14:paraId="0D2385D8" w14:textId="158EEFD4" w:rsidR="00EA62F0" w:rsidRPr="00F12AE3" w:rsidRDefault="004B4762" w:rsidP="00FB10CB">
      <w:pPr>
        <w:pStyle w:val="JuPara"/>
        <w:rPr>
          <w:lang w:val="pl-PL"/>
        </w:rPr>
      </w:pPr>
      <w:r>
        <w:rPr>
          <w:lang w:val="pl-PL"/>
        </w:rPr>
        <w:t xml:space="preserve">Mając na uwadze </w:t>
      </w:r>
      <w:r w:rsidR="00EA62F0" w:rsidRPr="00F12AE3">
        <w:rPr>
          <w:lang w:val="pl-PL"/>
        </w:rPr>
        <w:t xml:space="preserve">decyzję o zastosowaniu art. 29 </w:t>
      </w:r>
      <w:r>
        <w:rPr>
          <w:lang w:val="pl-PL"/>
        </w:rPr>
        <w:t>ust.</w:t>
      </w:r>
      <w:r w:rsidR="00EA62F0" w:rsidRPr="00F12AE3">
        <w:rPr>
          <w:lang w:val="pl-PL"/>
        </w:rPr>
        <w:t xml:space="preserve"> 3 Konwencji i</w:t>
      </w:r>
      <w:r w:rsidR="003B6518">
        <w:rPr>
          <w:lang w:val="pl-PL"/>
        </w:rPr>
        <w:t> </w:t>
      </w:r>
      <w:r>
        <w:rPr>
          <w:lang w:val="pl-PL"/>
        </w:rPr>
        <w:t xml:space="preserve">rozpatrzeniu </w:t>
      </w:r>
      <w:r w:rsidR="00EA62F0" w:rsidRPr="00F12AE3">
        <w:rPr>
          <w:lang w:val="pl-PL"/>
        </w:rPr>
        <w:t xml:space="preserve">dopuszczalności i </w:t>
      </w:r>
      <w:r>
        <w:rPr>
          <w:lang w:val="pl-PL"/>
        </w:rPr>
        <w:t xml:space="preserve">przedmiotu </w:t>
      </w:r>
      <w:r w:rsidR="00EA62F0" w:rsidRPr="00F12AE3">
        <w:rPr>
          <w:lang w:val="pl-PL"/>
        </w:rPr>
        <w:t>sprawy łącznie.</w:t>
      </w:r>
    </w:p>
    <w:p w14:paraId="3C6C3CE9" w14:textId="2D62DE8C" w:rsidR="00EA62F0" w:rsidRDefault="004B4762" w:rsidP="00BB46BB">
      <w:pPr>
        <w:pStyle w:val="JuPara"/>
        <w:rPr>
          <w:lang w:val="pl-PL"/>
        </w:rPr>
      </w:pPr>
      <w:r>
        <w:rPr>
          <w:lang w:val="pl-PL"/>
        </w:rPr>
        <w:t xml:space="preserve">Mając na uwadze </w:t>
      </w:r>
      <w:r w:rsidR="00EA62F0" w:rsidRPr="00EA62F0">
        <w:rPr>
          <w:lang w:val="pl-PL"/>
        </w:rPr>
        <w:t xml:space="preserve">art. 5 </w:t>
      </w:r>
      <w:r>
        <w:rPr>
          <w:lang w:val="pl-PL"/>
        </w:rPr>
        <w:t>ust.</w:t>
      </w:r>
      <w:r w:rsidR="00EA62F0" w:rsidRPr="00EA62F0">
        <w:rPr>
          <w:lang w:val="pl-PL"/>
        </w:rPr>
        <w:t xml:space="preserve"> 2 </w:t>
      </w:r>
      <w:r w:rsidRPr="00EA62F0">
        <w:rPr>
          <w:lang w:val="pl-PL"/>
        </w:rPr>
        <w:t xml:space="preserve">Protokołu </w:t>
      </w:r>
      <w:r w:rsidR="00EA62F0" w:rsidRPr="00EA62F0">
        <w:rPr>
          <w:lang w:val="pl-PL"/>
        </w:rPr>
        <w:t>nr 11 do Konwencji, na mocy którego kompetencja do rozpatrzenia skargi została przekazana Trybunałowi,</w:t>
      </w:r>
    </w:p>
    <w:p w14:paraId="4E7D741E" w14:textId="24E0D2AF" w:rsidR="00FB10CB" w:rsidRPr="00EA62F0" w:rsidRDefault="004B4762" w:rsidP="00BB46BB">
      <w:pPr>
        <w:pStyle w:val="JuPara"/>
        <w:rPr>
          <w:lang w:val="pl-PL"/>
        </w:rPr>
      </w:pPr>
      <w:r>
        <w:rPr>
          <w:lang w:val="pl-PL"/>
        </w:rPr>
        <w:t xml:space="preserve">Mając na uwadze </w:t>
      </w:r>
      <w:r w:rsidR="00EA62F0" w:rsidRPr="00EA62F0">
        <w:rPr>
          <w:lang w:val="pl-PL"/>
        </w:rPr>
        <w:t xml:space="preserve">decyzję </w:t>
      </w:r>
      <w:r w:rsidRPr="00EA62F0">
        <w:rPr>
          <w:lang w:val="pl-PL"/>
        </w:rPr>
        <w:t xml:space="preserve">częściową </w:t>
      </w:r>
      <w:r w:rsidR="00EA62F0" w:rsidRPr="00EA62F0">
        <w:rPr>
          <w:lang w:val="pl-PL"/>
        </w:rPr>
        <w:t>Komisji z dnia 25 listopada 2003 r.,</w:t>
      </w:r>
    </w:p>
    <w:p w14:paraId="3DDC76E5" w14:textId="3AFBA697" w:rsidR="0044794C" w:rsidRPr="00EA62F0" w:rsidRDefault="00EA62F0">
      <w:pPr>
        <w:pStyle w:val="JuPara"/>
        <w:rPr>
          <w:lang w:val="pl-PL"/>
        </w:rPr>
      </w:pPr>
      <w:r w:rsidRPr="00EA62F0">
        <w:rPr>
          <w:lang w:val="pl-PL"/>
        </w:rPr>
        <w:t xml:space="preserve">Po </w:t>
      </w:r>
      <w:r w:rsidR="004B4762">
        <w:rPr>
          <w:lang w:val="pl-PL"/>
        </w:rPr>
        <w:t>naradzie wydaje następującą decyzję</w:t>
      </w:r>
      <w:r w:rsidR="0044794C" w:rsidRPr="00EA62F0">
        <w:rPr>
          <w:lang w:val="pl-PL"/>
        </w:rPr>
        <w:t>:</w:t>
      </w:r>
    </w:p>
    <w:p w14:paraId="4DC9FA6B" w14:textId="20BEC2CC" w:rsidR="00BB46BB" w:rsidRPr="00EA62F0" w:rsidRDefault="00B94151" w:rsidP="00F12AE3">
      <w:pPr>
        <w:pStyle w:val="JuHHead"/>
        <w:tabs>
          <w:tab w:val="center" w:pos="3679"/>
        </w:tabs>
        <w:rPr>
          <w:lang w:val="pl-PL"/>
        </w:rPr>
      </w:pPr>
      <w:r w:rsidRPr="00EA62F0">
        <w:rPr>
          <w:lang w:val="pl-PL"/>
        </w:rPr>
        <w:br w:type="page"/>
      </w:r>
      <w:r w:rsidR="00EA62F0">
        <w:rPr>
          <w:lang w:val="pl-PL"/>
        </w:rPr>
        <w:lastRenderedPageBreak/>
        <w:t>FAKTY</w:t>
      </w:r>
      <w:r w:rsidR="00F12AE3">
        <w:rPr>
          <w:lang w:val="pl-PL"/>
        </w:rPr>
        <w:tab/>
      </w:r>
    </w:p>
    <w:p w14:paraId="5898C2CC" w14:textId="508FB45B" w:rsidR="003114C8" w:rsidRPr="00EA62F0" w:rsidRDefault="00EA62F0" w:rsidP="00D51D22">
      <w:pPr>
        <w:pStyle w:val="JuPara"/>
        <w:rPr>
          <w:lang w:val="pl-PL"/>
        </w:rPr>
      </w:pPr>
      <w:r w:rsidRPr="00EA62F0">
        <w:rPr>
          <w:lang w:val="pl-PL"/>
        </w:rPr>
        <w:t xml:space="preserve">Skarżący, </w:t>
      </w:r>
      <w:r w:rsidR="007A080B">
        <w:rPr>
          <w:lang w:val="pl-PL"/>
        </w:rPr>
        <w:t xml:space="preserve">pan </w:t>
      </w:r>
      <w:r w:rsidRPr="00EA62F0">
        <w:rPr>
          <w:lang w:val="pl-PL"/>
        </w:rPr>
        <w:t>Ryszard Dziedzic, jest obywatelem polskim, urodzonym w</w:t>
      </w:r>
      <w:r w:rsidR="007A080B">
        <w:rPr>
          <w:lang w:val="pl-PL"/>
        </w:rPr>
        <w:t> </w:t>
      </w:r>
      <w:r w:rsidRPr="00EA62F0">
        <w:rPr>
          <w:lang w:val="pl-PL"/>
        </w:rPr>
        <w:t>Polsce i mieszkającym w Kołobrzegu</w:t>
      </w:r>
      <w:r w:rsidR="003114C8" w:rsidRPr="00EA62F0">
        <w:rPr>
          <w:lang w:val="pl-PL"/>
        </w:rPr>
        <w:t>.</w:t>
      </w:r>
    </w:p>
    <w:p w14:paraId="7775E379" w14:textId="0937B972" w:rsidR="003114C8" w:rsidRPr="00EA62F0" w:rsidRDefault="003114C8" w:rsidP="00BB46BB">
      <w:pPr>
        <w:pStyle w:val="JuHA"/>
        <w:rPr>
          <w:lang w:val="pl-PL"/>
        </w:rPr>
      </w:pPr>
      <w:r w:rsidRPr="00EA62F0">
        <w:rPr>
          <w:lang w:val="pl-PL"/>
        </w:rPr>
        <w:t>A.  </w:t>
      </w:r>
      <w:r w:rsidR="00EA62F0" w:rsidRPr="00EA62F0">
        <w:rPr>
          <w:lang w:val="pl-PL"/>
        </w:rPr>
        <w:t>Okoliczności sprawy</w:t>
      </w:r>
    </w:p>
    <w:p w14:paraId="00A49139" w14:textId="3DDCEEA3" w:rsidR="003114C8" w:rsidRPr="00EA62F0" w:rsidRDefault="00EA62F0" w:rsidP="003114C8">
      <w:pPr>
        <w:pStyle w:val="JuParaCharChar"/>
        <w:rPr>
          <w:lang w:val="pl-PL"/>
        </w:rPr>
      </w:pPr>
      <w:r w:rsidRPr="00EA62F0">
        <w:rPr>
          <w:lang w:val="pl-PL"/>
        </w:rPr>
        <w:t>Fakty sprawy, przedstawione przez strony, można podsumować w</w:t>
      </w:r>
      <w:r w:rsidR="007A080B">
        <w:rPr>
          <w:lang w:val="pl-PL"/>
        </w:rPr>
        <w:t> </w:t>
      </w:r>
      <w:r w:rsidRPr="00EA62F0">
        <w:rPr>
          <w:lang w:val="pl-PL"/>
        </w:rPr>
        <w:t>następujący sposób</w:t>
      </w:r>
      <w:r w:rsidR="003114C8" w:rsidRPr="00EA62F0">
        <w:rPr>
          <w:lang w:val="pl-PL"/>
        </w:rPr>
        <w:t>.</w:t>
      </w:r>
    </w:p>
    <w:p w14:paraId="4463D95A" w14:textId="1F8AF21F" w:rsidR="003114C8" w:rsidRPr="0094119C" w:rsidRDefault="003114C8" w:rsidP="00B94151">
      <w:pPr>
        <w:pStyle w:val="JuH1"/>
        <w:rPr>
          <w:lang w:val="pl-PL"/>
        </w:rPr>
      </w:pPr>
      <w:r w:rsidRPr="00EA62F0">
        <w:rPr>
          <w:lang w:val="pl-PL"/>
        </w:rPr>
        <w:t>1.</w:t>
      </w:r>
      <w:r w:rsidR="001D7F22" w:rsidRPr="00EA62F0">
        <w:rPr>
          <w:lang w:val="pl-PL"/>
        </w:rPr>
        <w:t xml:space="preserve"> </w:t>
      </w:r>
      <w:r w:rsidR="00EA62F0" w:rsidRPr="0094119C">
        <w:rPr>
          <w:lang w:val="pl-PL"/>
        </w:rPr>
        <w:t>Postępowanie eksmisyjne</w:t>
      </w:r>
    </w:p>
    <w:p w14:paraId="23DBB2FA" w14:textId="77777777" w:rsidR="0094119C" w:rsidRPr="00F12AE3" w:rsidRDefault="0094119C" w:rsidP="003114C8">
      <w:pPr>
        <w:pStyle w:val="JuParaCharChar"/>
        <w:rPr>
          <w:lang w:val="pl-PL"/>
        </w:rPr>
      </w:pPr>
      <w:r w:rsidRPr="0094119C">
        <w:rPr>
          <w:lang w:val="pl-PL"/>
        </w:rPr>
        <w:t xml:space="preserve">W dniu 21 sierpnia 1995 r. skarżący został pozwany przez H.B. i W.B., właścicieli spółki „Bart-Lex”, przed Sądem Rejonowym w Kołobrzegu. </w:t>
      </w:r>
      <w:r w:rsidRPr="00F12AE3">
        <w:rPr>
          <w:lang w:val="pl-PL"/>
        </w:rPr>
        <w:t>Domagali się oni jego eksmisji.</w:t>
      </w:r>
    </w:p>
    <w:p w14:paraId="2A848144" w14:textId="2712B625" w:rsidR="003114C8" w:rsidRPr="00F12AE3" w:rsidRDefault="0094119C" w:rsidP="003114C8">
      <w:pPr>
        <w:pStyle w:val="JuParaCharChar"/>
        <w:rPr>
          <w:lang w:val="pl-PL"/>
        </w:rPr>
      </w:pPr>
      <w:r w:rsidRPr="00F12AE3">
        <w:rPr>
          <w:lang w:val="pl-PL"/>
        </w:rPr>
        <w:t>Postępowanie jest w toku.</w:t>
      </w:r>
    </w:p>
    <w:p w14:paraId="385FC779" w14:textId="45C6E64F" w:rsidR="003114C8" w:rsidRPr="009751F1" w:rsidRDefault="003114C8" w:rsidP="00B94151">
      <w:pPr>
        <w:pStyle w:val="JuH1"/>
        <w:rPr>
          <w:lang w:val="pl-PL"/>
        </w:rPr>
      </w:pPr>
      <w:r w:rsidRPr="0094119C">
        <w:rPr>
          <w:lang w:val="pl-PL"/>
        </w:rPr>
        <w:t>2.</w:t>
      </w:r>
      <w:r w:rsidR="001D7F22" w:rsidRPr="0094119C">
        <w:rPr>
          <w:lang w:val="pl-PL"/>
        </w:rPr>
        <w:t xml:space="preserve"> </w:t>
      </w:r>
      <w:r w:rsidR="0094119C" w:rsidRPr="0094119C">
        <w:rPr>
          <w:lang w:val="pl-PL"/>
        </w:rPr>
        <w:t xml:space="preserve">Postępowanie dotyczące tzw. </w:t>
      </w:r>
      <w:r w:rsidR="0094119C" w:rsidRPr="009751F1">
        <w:rPr>
          <w:lang w:val="pl-PL"/>
        </w:rPr>
        <w:t>„oświadczenia woli”</w:t>
      </w:r>
    </w:p>
    <w:p w14:paraId="7284EEE9" w14:textId="221793FE" w:rsidR="0094119C" w:rsidRDefault="0094119C" w:rsidP="003114C8">
      <w:pPr>
        <w:pStyle w:val="JuParaCharChar"/>
        <w:rPr>
          <w:lang w:val="pl-PL"/>
        </w:rPr>
      </w:pPr>
      <w:r w:rsidRPr="0094119C">
        <w:rPr>
          <w:lang w:val="pl-PL"/>
        </w:rPr>
        <w:t xml:space="preserve">W dniu 27 października 1995 r. </w:t>
      </w:r>
      <w:r>
        <w:rPr>
          <w:lang w:val="pl-PL"/>
        </w:rPr>
        <w:t>skarżący</w:t>
      </w:r>
      <w:r w:rsidRPr="0094119C">
        <w:rPr>
          <w:lang w:val="pl-PL"/>
        </w:rPr>
        <w:t xml:space="preserve"> wniósł do Sądu </w:t>
      </w:r>
      <w:r w:rsidR="002719CF">
        <w:rPr>
          <w:lang w:val="pl-PL"/>
        </w:rPr>
        <w:t>Wojewódzkiego</w:t>
      </w:r>
      <w:r w:rsidRPr="0094119C">
        <w:rPr>
          <w:lang w:val="pl-PL"/>
        </w:rPr>
        <w:t xml:space="preserve"> w Kołobrzegu pozew przeciwko spółce „Bart-Lex”. Domagał się wydania wyroku stwierdzającego, że pozwana</w:t>
      </w:r>
      <w:r w:rsidR="009751F1">
        <w:rPr>
          <w:lang w:val="pl-PL"/>
        </w:rPr>
        <w:t xml:space="preserve"> spółka</w:t>
      </w:r>
      <w:r w:rsidRPr="0094119C">
        <w:rPr>
          <w:lang w:val="pl-PL"/>
        </w:rPr>
        <w:t xml:space="preserve"> jest zobowiązana do złożenia oświadczenia woli w formie zgody na zawarcie umowy sprzedaży.</w:t>
      </w:r>
    </w:p>
    <w:p w14:paraId="010EEED0" w14:textId="3D847FC6" w:rsidR="003114C8" w:rsidRPr="0094119C" w:rsidRDefault="0094119C" w:rsidP="003114C8">
      <w:pPr>
        <w:pStyle w:val="JuParaCharChar"/>
        <w:rPr>
          <w:lang w:val="pl-PL"/>
        </w:rPr>
      </w:pPr>
      <w:r w:rsidRPr="0094119C">
        <w:rPr>
          <w:lang w:val="pl-PL"/>
        </w:rPr>
        <w:t>Postępowanie jest w toku</w:t>
      </w:r>
      <w:r w:rsidR="003114C8" w:rsidRPr="0094119C">
        <w:rPr>
          <w:lang w:val="pl-PL"/>
        </w:rPr>
        <w:t>.</w:t>
      </w:r>
    </w:p>
    <w:p w14:paraId="34EC4288" w14:textId="4764853A" w:rsidR="003114C8" w:rsidRPr="0094119C" w:rsidRDefault="003114C8" w:rsidP="00B94151">
      <w:pPr>
        <w:pStyle w:val="JuH1"/>
        <w:rPr>
          <w:lang w:val="pl-PL"/>
        </w:rPr>
      </w:pPr>
      <w:r w:rsidRPr="0094119C">
        <w:rPr>
          <w:lang w:val="pl-PL"/>
        </w:rPr>
        <w:t xml:space="preserve">3. </w:t>
      </w:r>
      <w:r w:rsidR="0094119C" w:rsidRPr="0094119C">
        <w:rPr>
          <w:lang w:val="pl-PL"/>
        </w:rPr>
        <w:t>Postępowanie w sprawie płatności</w:t>
      </w:r>
    </w:p>
    <w:p w14:paraId="47BDD0CE" w14:textId="77777777" w:rsidR="0094119C" w:rsidRDefault="0094119C" w:rsidP="003114C8">
      <w:pPr>
        <w:pStyle w:val="JuParaCharChar"/>
        <w:rPr>
          <w:lang w:val="pl-PL"/>
        </w:rPr>
      </w:pPr>
      <w:r w:rsidRPr="0094119C">
        <w:rPr>
          <w:lang w:val="pl-PL"/>
        </w:rPr>
        <w:t>W dniu 15 kwietnia 1996 r. skarżący pozwał spółkę „Bart-Lex” przed Sądem Rejonowym w Kołobrzegu, domagając się zapłaty.</w:t>
      </w:r>
    </w:p>
    <w:p w14:paraId="1CB1943C" w14:textId="382650E8" w:rsidR="003114C8" w:rsidRPr="00F12AE3" w:rsidRDefault="0094119C" w:rsidP="003114C8">
      <w:pPr>
        <w:pStyle w:val="JuParaCharChar"/>
        <w:rPr>
          <w:lang w:val="pl-PL"/>
        </w:rPr>
      </w:pPr>
      <w:r w:rsidRPr="00F12AE3">
        <w:rPr>
          <w:lang w:val="pl-PL"/>
        </w:rPr>
        <w:t>Postępowanie jest w toku</w:t>
      </w:r>
      <w:r w:rsidR="003114C8" w:rsidRPr="00F12AE3">
        <w:rPr>
          <w:lang w:val="pl-PL"/>
        </w:rPr>
        <w:t>.</w:t>
      </w:r>
    </w:p>
    <w:p w14:paraId="63908ED2" w14:textId="3719D64E" w:rsidR="003114C8" w:rsidRPr="0094119C" w:rsidRDefault="003114C8" w:rsidP="003114C8">
      <w:pPr>
        <w:pStyle w:val="JuHA"/>
        <w:rPr>
          <w:lang w:val="pl-PL"/>
        </w:rPr>
      </w:pPr>
      <w:r w:rsidRPr="00F12AE3">
        <w:rPr>
          <w:lang w:val="pl-PL"/>
        </w:rPr>
        <w:t>B</w:t>
      </w:r>
      <w:r w:rsidR="002719CF">
        <w:rPr>
          <w:lang w:val="pl-PL"/>
        </w:rPr>
        <w:t>.</w:t>
      </w:r>
      <w:r w:rsidR="002719CF" w:rsidRPr="002719CF">
        <w:rPr>
          <w:lang w:val="pl-PL"/>
        </w:rPr>
        <w:t xml:space="preserve"> Właściwe prawo krajowe i praktyka</w:t>
      </w:r>
      <w:r w:rsidRPr="00D01D43">
        <w:rPr>
          <w:rStyle w:val="Odwoanieprzypisudolnego"/>
          <w:b w:val="0"/>
        </w:rPr>
        <w:footnoteReference w:id="1"/>
      </w:r>
    </w:p>
    <w:p w14:paraId="2437A640" w14:textId="2773EDDF" w:rsidR="0094119C" w:rsidRDefault="0094119C" w:rsidP="003114C8">
      <w:pPr>
        <w:pStyle w:val="JuParaCharChar"/>
        <w:rPr>
          <w:lang w:val="pl-PL"/>
        </w:rPr>
      </w:pPr>
      <w:r w:rsidRPr="0094119C">
        <w:rPr>
          <w:lang w:val="pl-PL"/>
        </w:rPr>
        <w:t>W dniu 17 września 2004 r. weszła w życie ustawa z dnia 17 czerwca 2004</w:t>
      </w:r>
      <w:r w:rsidR="003B6518">
        <w:rPr>
          <w:lang w:val="pl-PL"/>
        </w:rPr>
        <w:t> </w:t>
      </w:r>
      <w:r w:rsidRPr="0094119C">
        <w:rPr>
          <w:lang w:val="pl-PL"/>
        </w:rPr>
        <w:t>r. o skardze na naruszenie prawa strony do rozpoznania sprawy w</w:t>
      </w:r>
      <w:r w:rsidR="003B6518">
        <w:rPr>
          <w:lang w:val="pl-PL"/>
        </w:rPr>
        <w:t> </w:t>
      </w:r>
      <w:r w:rsidRPr="0094119C">
        <w:rPr>
          <w:lang w:val="pl-PL"/>
        </w:rPr>
        <w:t>postępowaniu sądowym bez nieuzasadnionej zwłoki („ustawa z 2004 r.”)</w:t>
      </w:r>
      <w:r w:rsidR="004C75DC">
        <w:rPr>
          <w:rStyle w:val="Odwoanieprzypisudolnego"/>
          <w:lang w:val="pl-PL"/>
        </w:rPr>
        <w:footnoteReference w:id="2"/>
      </w:r>
      <w:r w:rsidRPr="0094119C">
        <w:rPr>
          <w:lang w:val="pl-PL"/>
        </w:rPr>
        <w:t xml:space="preserve">. </w:t>
      </w:r>
      <w:r w:rsidRPr="0094119C">
        <w:rPr>
          <w:lang w:val="pl-PL"/>
        </w:rPr>
        <w:lastRenderedPageBreak/>
        <w:t>Ustawa ta określa różne środki prawne mające na celu przeciwdziałanie lub</w:t>
      </w:r>
      <w:r w:rsidR="003B6518">
        <w:rPr>
          <w:lang w:val="pl-PL"/>
        </w:rPr>
        <w:t> </w:t>
      </w:r>
      <w:r w:rsidRPr="0094119C">
        <w:rPr>
          <w:lang w:val="pl-PL"/>
        </w:rPr>
        <w:t>naprawianie skutków nadmiernej długości postępowań sądowych.</w:t>
      </w:r>
    </w:p>
    <w:p w14:paraId="69DA5B8C" w14:textId="40C89787" w:rsidR="003114C8" w:rsidRPr="0094119C" w:rsidRDefault="0094119C" w:rsidP="003114C8">
      <w:pPr>
        <w:pStyle w:val="JuParaCharChar"/>
        <w:rPr>
          <w:lang w:val="pl-PL"/>
        </w:rPr>
      </w:pPr>
      <w:r w:rsidRPr="0094119C">
        <w:rPr>
          <w:lang w:val="pl-PL"/>
        </w:rPr>
        <w:t xml:space="preserve">Art. 2 ustawy z 2004 r. </w:t>
      </w:r>
      <w:r w:rsidR="006F55F5">
        <w:rPr>
          <w:lang w:val="pl-PL"/>
        </w:rPr>
        <w:t>stanowi, w zakresie istotnym dla sprawy</w:t>
      </w:r>
      <w:r w:rsidRPr="0094119C">
        <w:rPr>
          <w:lang w:val="pl-PL"/>
        </w:rPr>
        <w:t>:</w:t>
      </w:r>
    </w:p>
    <w:p w14:paraId="1C0F9AA2" w14:textId="3FB03A3A" w:rsidR="0094119C" w:rsidRPr="0094119C" w:rsidRDefault="006F55F5" w:rsidP="0094119C">
      <w:pPr>
        <w:pStyle w:val="JuQuot"/>
        <w:rPr>
          <w:lang w:val="pl-PL"/>
        </w:rPr>
      </w:pPr>
      <w:r>
        <w:rPr>
          <w:lang w:val="pl-PL"/>
        </w:rPr>
        <w:t>„</w:t>
      </w:r>
      <w:r w:rsidR="003114C8" w:rsidRPr="0094119C">
        <w:rPr>
          <w:lang w:val="pl-PL"/>
        </w:rPr>
        <w:t>1</w:t>
      </w:r>
      <w:r>
        <w:rPr>
          <w:lang w:val="pl-PL"/>
        </w:rPr>
        <w:t>.</w:t>
      </w:r>
      <w:r w:rsidR="0094119C" w:rsidRPr="0094119C">
        <w:rPr>
          <w:lang w:val="pl-PL"/>
        </w:rPr>
        <w:t xml:space="preserve"> </w:t>
      </w:r>
      <w:r w:rsidR="0068373E" w:rsidRPr="009D7E84">
        <w:rPr>
          <w:lang w:val="pl-PL"/>
        </w:rPr>
        <w:t>Strona może wnieść skargę o stwierdzenie, że w postępowaniu, którego skarga dotyczy, nastąpiło naruszenie jej prawa do rozpoznania sprawy bez nieuzasadnionej zwłoki, jeżeli postępowanie w tej sprawie trwa dłużej, niż to konieczne dla wyjaśnienia tych okoliczności faktycznych i prawnych, które są istotne dla rozstrzygnięcia sprawy, albo dłużej niż to konieczne do załatwienia sprawy egzekucyjnej lub innej dotyczącej wykonania orzeczenia sądowego (przewlekłość postępowania)</w:t>
      </w:r>
      <w:r w:rsidR="0022000D" w:rsidRPr="0022000D">
        <w:rPr>
          <w:lang w:val="pl-PL"/>
        </w:rPr>
        <w:t>”.</w:t>
      </w:r>
    </w:p>
    <w:p w14:paraId="6EAED43A" w14:textId="109E5C16" w:rsidR="006F55F5" w:rsidRPr="0094119C" w:rsidRDefault="0094119C" w:rsidP="006F55F5">
      <w:pPr>
        <w:pStyle w:val="JuParaCharChar"/>
        <w:rPr>
          <w:lang w:val="pl-PL"/>
        </w:rPr>
      </w:pPr>
      <w:r w:rsidRPr="0094119C">
        <w:rPr>
          <w:lang w:val="pl-PL"/>
        </w:rPr>
        <w:t>Art.</w:t>
      </w:r>
      <w:r>
        <w:rPr>
          <w:lang w:val="pl-PL"/>
        </w:rPr>
        <w:t xml:space="preserve"> </w:t>
      </w:r>
      <w:r w:rsidRPr="0094119C">
        <w:rPr>
          <w:lang w:val="pl-PL"/>
        </w:rPr>
        <w:t xml:space="preserve">5 </w:t>
      </w:r>
      <w:r w:rsidR="006F55F5">
        <w:rPr>
          <w:lang w:val="pl-PL"/>
        </w:rPr>
        <w:t>stanowi, w zakresie istotnym dla sprawy</w:t>
      </w:r>
      <w:r w:rsidR="006F55F5" w:rsidRPr="0094119C">
        <w:rPr>
          <w:lang w:val="pl-PL"/>
        </w:rPr>
        <w:t>:</w:t>
      </w:r>
    </w:p>
    <w:p w14:paraId="0C030DE9" w14:textId="7D39932C" w:rsidR="003114C8" w:rsidRPr="009751F1" w:rsidRDefault="006F55F5" w:rsidP="0094119C">
      <w:pPr>
        <w:pStyle w:val="JuQuot"/>
        <w:rPr>
          <w:lang w:val="pl-PL"/>
        </w:rPr>
      </w:pPr>
      <w:r>
        <w:rPr>
          <w:lang w:val="pl-PL"/>
        </w:rPr>
        <w:t>„</w:t>
      </w:r>
      <w:r w:rsidR="003114C8" w:rsidRPr="004B4762">
        <w:rPr>
          <w:lang w:val="pl-PL"/>
        </w:rPr>
        <w:t>1.  </w:t>
      </w:r>
      <w:r w:rsidR="009D7E84" w:rsidRPr="009D7E84">
        <w:rPr>
          <w:lang w:val="pl-PL"/>
        </w:rPr>
        <w:t>Skargę o stwierdzenie, że w postępowaniu, którego skarga dotyczy, nastąpiła przewlekłość postępowania, wnosi się w toku postępowania w sprawie</w:t>
      </w:r>
      <w:r w:rsidR="009D7E84">
        <w:rPr>
          <w:lang w:val="pl-PL"/>
        </w:rPr>
        <w:t xml:space="preserve">”. </w:t>
      </w:r>
    </w:p>
    <w:p w14:paraId="2913CA0A" w14:textId="0A22EB32" w:rsidR="0094119C" w:rsidRPr="0094119C" w:rsidRDefault="0094119C" w:rsidP="003114C8">
      <w:pPr>
        <w:pStyle w:val="JuQuot"/>
        <w:rPr>
          <w:sz w:val="24"/>
          <w:lang w:val="pl-PL"/>
        </w:rPr>
      </w:pPr>
      <w:r w:rsidRPr="0094119C">
        <w:rPr>
          <w:sz w:val="24"/>
          <w:lang w:val="pl-PL"/>
        </w:rPr>
        <w:t>Art. 12</w:t>
      </w:r>
      <w:r w:rsidR="004C75DC">
        <w:rPr>
          <w:sz w:val="24"/>
          <w:lang w:val="pl-PL"/>
        </w:rPr>
        <w:t xml:space="preserve"> w odpowiednim znaczeniu</w:t>
      </w:r>
      <w:r w:rsidRPr="0094119C">
        <w:rPr>
          <w:sz w:val="24"/>
          <w:lang w:val="pl-PL"/>
        </w:rPr>
        <w:t xml:space="preserve"> określa środki, które mogą zostać zastosowane przez sąd rozpatrujący ska</w:t>
      </w:r>
      <w:r w:rsidR="004C75DC">
        <w:rPr>
          <w:sz w:val="24"/>
          <w:lang w:val="pl-PL"/>
        </w:rPr>
        <w:t>rgę</w:t>
      </w:r>
      <w:r w:rsidRPr="0094119C">
        <w:rPr>
          <w:sz w:val="24"/>
          <w:lang w:val="pl-PL"/>
        </w:rPr>
        <w:t xml:space="preserve">: </w:t>
      </w:r>
    </w:p>
    <w:p w14:paraId="1A426D98" w14:textId="0ECFBB56" w:rsidR="004C75DC" w:rsidRPr="004C75DC" w:rsidRDefault="009D7E84" w:rsidP="004C75DC">
      <w:pPr>
        <w:pStyle w:val="JuQuot"/>
        <w:rPr>
          <w:lang w:val="pl-PL"/>
        </w:rPr>
      </w:pPr>
      <w:r>
        <w:rPr>
          <w:lang w:val="pl-PL"/>
        </w:rPr>
        <w:t>„</w:t>
      </w:r>
      <w:r w:rsidR="003114C8" w:rsidRPr="00F12AE3">
        <w:rPr>
          <w:lang w:val="pl-PL"/>
        </w:rPr>
        <w:t>1.  </w:t>
      </w:r>
      <w:r w:rsidRPr="003B6518">
        <w:rPr>
          <w:lang w:val="pl-PL"/>
        </w:rPr>
        <w:t>Skargę niezasadną sąd oddala</w:t>
      </w:r>
      <w:r w:rsidR="0022000D" w:rsidRPr="0022000D">
        <w:rPr>
          <w:lang w:val="pl-PL"/>
        </w:rPr>
        <w:t>.</w:t>
      </w:r>
    </w:p>
    <w:p w14:paraId="6D15BEB9" w14:textId="559EB7BC" w:rsidR="004C75DC" w:rsidRPr="004C75DC" w:rsidRDefault="003114C8" w:rsidP="004C75DC">
      <w:pPr>
        <w:pStyle w:val="JuQuot"/>
        <w:rPr>
          <w:lang w:val="pl-PL"/>
        </w:rPr>
      </w:pPr>
      <w:r w:rsidRPr="004C75DC">
        <w:rPr>
          <w:lang w:val="pl-PL"/>
        </w:rPr>
        <w:t>2.  </w:t>
      </w:r>
      <w:r w:rsidR="009D7E84" w:rsidRPr="009D7E84">
        <w:rPr>
          <w:lang w:val="pl-PL"/>
        </w:rPr>
        <w:t>Uwzględniając skargę, sąd stwierdza, że w postępowaniu, którego skarga dotyczy, nastąpiła przewlekłość postępowania</w:t>
      </w:r>
      <w:r w:rsidR="000452A8" w:rsidRPr="000452A8">
        <w:rPr>
          <w:lang w:val="pl-PL"/>
        </w:rPr>
        <w:t>.</w:t>
      </w:r>
    </w:p>
    <w:p w14:paraId="5CAFBDA4" w14:textId="448E772C" w:rsidR="004C75DC" w:rsidRPr="004C75DC" w:rsidRDefault="003114C8" w:rsidP="004C75DC">
      <w:pPr>
        <w:pStyle w:val="JuQuot"/>
        <w:rPr>
          <w:lang w:val="pl-PL"/>
        </w:rPr>
      </w:pPr>
      <w:r w:rsidRPr="004C75DC">
        <w:rPr>
          <w:lang w:val="pl-PL"/>
        </w:rPr>
        <w:t>3.  </w:t>
      </w:r>
      <w:r w:rsidR="009D7E84" w:rsidRPr="009D7E84">
        <w:rPr>
          <w:lang w:val="pl-PL"/>
        </w:rPr>
        <w:t>Na żądanie skarżącego sąd może zalecić podjęcie przez sąd rozpoznający sprawę co do istoty, odpowiednich czynności w wyznaczonym terminie. Zalecenia nie mogą wkraczać w zakres oceny faktycznej i prawnej sprawy</w:t>
      </w:r>
      <w:r w:rsidR="0022000D" w:rsidRPr="0022000D">
        <w:rPr>
          <w:lang w:val="pl-PL"/>
        </w:rPr>
        <w:t>.</w:t>
      </w:r>
    </w:p>
    <w:p w14:paraId="2373AF68" w14:textId="2CDC18A3" w:rsidR="003114C8" w:rsidRPr="000452A8" w:rsidRDefault="003114C8" w:rsidP="003114C8">
      <w:pPr>
        <w:pStyle w:val="JuQuot"/>
        <w:rPr>
          <w:lang w:val="pl-PL"/>
        </w:rPr>
      </w:pPr>
      <w:r w:rsidRPr="000452A8">
        <w:rPr>
          <w:lang w:val="pl-PL"/>
        </w:rPr>
        <w:t>4.  </w:t>
      </w:r>
      <w:r w:rsidR="009D7E84" w:rsidRPr="009D7E84">
        <w:rPr>
          <w:lang w:val="pl-PL"/>
        </w:rPr>
        <w:t xml:space="preserve">Uwzględniając skargę, sąd może, na żądanie skarżącego, przyznać od Skarbu Państwa </w:t>
      </w:r>
      <w:r w:rsidR="009D7E84">
        <w:rPr>
          <w:lang w:val="pl-PL"/>
        </w:rPr>
        <w:t>(…)</w:t>
      </w:r>
      <w:r w:rsidR="009D7E84" w:rsidRPr="009D7E84">
        <w:rPr>
          <w:lang w:val="pl-PL"/>
        </w:rPr>
        <w:t xml:space="preserve"> odpowiednią sumę pieniężną w wysokości nieprzekraczającej 10 000 złotych. W wypadku przyznania odpowiedniej sumy pieniężnej od Skarbu Państwa, wypłaty dokonuje sąd prowadzący postępowanie, w którym nastąpiła przewlekłość postępowania, ze środków własnych tego sądu</w:t>
      </w:r>
      <w:r w:rsidR="000452A8">
        <w:rPr>
          <w:lang w:val="pl-PL"/>
        </w:rPr>
        <w:t>”</w:t>
      </w:r>
      <w:r w:rsidR="009D7E84">
        <w:rPr>
          <w:lang w:val="pl-PL"/>
        </w:rPr>
        <w:t>.</w:t>
      </w:r>
    </w:p>
    <w:p w14:paraId="281CE3C0" w14:textId="77E8EB81" w:rsidR="003114C8" w:rsidRPr="000452A8" w:rsidRDefault="000452A8" w:rsidP="00257B69">
      <w:pPr>
        <w:pStyle w:val="JuPara"/>
        <w:rPr>
          <w:lang w:val="pl-PL"/>
        </w:rPr>
      </w:pPr>
      <w:r>
        <w:rPr>
          <w:lang w:val="pl-PL"/>
        </w:rPr>
        <w:t>Art.</w:t>
      </w:r>
      <w:r w:rsidRPr="000452A8">
        <w:rPr>
          <w:lang w:val="pl-PL"/>
        </w:rPr>
        <w:t xml:space="preserve"> 18 określa przepisy przejściowe dotyczące spraw już toczących się przed</w:t>
      </w:r>
      <w:r w:rsidR="009D7E84">
        <w:rPr>
          <w:lang w:val="pl-PL"/>
        </w:rPr>
        <w:t xml:space="preserve"> Trybunałem</w:t>
      </w:r>
      <w:r w:rsidRPr="000452A8">
        <w:rPr>
          <w:lang w:val="pl-PL"/>
        </w:rPr>
        <w:t>. W odpowiednim zakresie brzmi ona następująco</w:t>
      </w:r>
      <w:r w:rsidR="003114C8" w:rsidRPr="000452A8">
        <w:rPr>
          <w:lang w:val="pl-PL"/>
        </w:rPr>
        <w:t>:</w:t>
      </w:r>
    </w:p>
    <w:p w14:paraId="55D993C2" w14:textId="3A015DAA" w:rsidR="003114C8" w:rsidRDefault="009D7E84" w:rsidP="000452A8">
      <w:pPr>
        <w:pStyle w:val="JuQuot"/>
        <w:rPr>
          <w:lang w:val="pl-PL"/>
        </w:rPr>
      </w:pPr>
      <w:r>
        <w:rPr>
          <w:lang w:val="pl-PL"/>
        </w:rPr>
        <w:t>„</w:t>
      </w:r>
      <w:r w:rsidR="003114C8" w:rsidRPr="000452A8">
        <w:rPr>
          <w:lang w:val="pl-PL"/>
        </w:rPr>
        <w:t>1.</w:t>
      </w:r>
      <w:r w:rsidR="000452A8" w:rsidRPr="000452A8">
        <w:rPr>
          <w:lang w:val="pl-PL"/>
        </w:rPr>
        <w:t xml:space="preserve">  </w:t>
      </w:r>
      <w:r w:rsidRPr="009D7E84">
        <w:rPr>
          <w:lang w:val="pl-PL"/>
        </w:rPr>
        <w:t>W okresie 6 miesięcy od dnia wejścia w życie niniejszej ustawy osoby, które przed tym dniem złożyły skargę do Europejskiego Trybunału Praw Człowieka (</w:t>
      </w:r>
      <w:r>
        <w:rPr>
          <w:lang w:val="pl-PL"/>
        </w:rPr>
        <w:t>…</w:t>
      </w:r>
      <w:r w:rsidRPr="009D7E84">
        <w:rPr>
          <w:lang w:val="pl-PL"/>
        </w:rPr>
        <w:t>), zarzucając naruszenie prawa do rozpoznania sprawy w rozsądnym terminie, o którym mowa w art. 6 ust. 1 Konwencji o ochronie praw człowieka i podstawowych wolności (</w:t>
      </w:r>
      <w:r>
        <w:rPr>
          <w:lang w:val="pl-PL"/>
        </w:rPr>
        <w:t>…</w:t>
      </w:r>
      <w:r w:rsidRPr="009D7E84">
        <w:rPr>
          <w:lang w:val="pl-PL"/>
        </w:rPr>
        <w:t>), mogą wnieść skargę o stwierdzenie przewlekłości postępowania na podstawie przepisów niniejszej ustawy, jeżeli skarga do Trybunału została wniesiona w toku postępowania, którego ona dotyczy, i o ile Trybunał nie wydał postanowienia w</w:t>
      </w:r>
      <w:r w:rsidR="003B6518">
        <w:rPr>
          <w:lang w:val="pl-PL"/>
        </w:rPr>
        <w:t> </w:t>
      </w:r>
      <w:r w:rsidRPr="009D7E84">
        <w:rPr>
          <w:lang w:val="pl-PL"/>
        </w:rPr>
        <w:t>przedmiocie dopuszczalności skargi</w:t>
      </w:r>
      <w:r>
        <w:rPr>
          <w:lang w:val="pl-PL"/>
        </w:rPr>
        <w:t>”.</w:t>
      </w:r>
    </w:p>
    <w:p w14:paraId="46D9ACFA" w14:textId="184F0614" w:rsidR="009D7E84" w:rsidRPr="000452A8" w:rsidRDefault="009D7E84" w:rsidP="000452A8">
      <w:pPr>
        <w:pStyle w:val="JuQuot"/>
        <w:rPr>
          <w:lang w:val="pl-PL"/>
        </w:rPr>
      </w:pPr>
      <w:r>
        <w:rPr>
          <w:lang w:val="pl-PL"/>
        </w:rPr>
        <w:t>(…)</w:t>
      </w:r>
    </w:p>
    <w:p w14:paraId="7058229D" w14:textId="3BAE7B1E" w:rsidR="000452A8" w:rsidRDefault="000452A8" w:rsidP="009D7E84">
      <w:pPr>
        <w:pStyle w:val="JuHHead"/>
        <w:ind w:firstLine="425"/>
        <w:rPr>
          <w:sz w:val="24"/>
          <w:lang w:val="pl-PL"/>
        </w:rPr>
      </w:pPr>
      <w:r w:rsidRPr="000452A8">
        <w:rPr>
          <w:sz w:val="24"/>
          <w:lang w:val="pl-PL"/>
        </w:rPr>
        <w:lastRenderedPageBreak/>
        <w:t>W dniu 18 stycznia 2005 r. Sąd Najwyższy przyjął uchwałę (</w:t>
      </w:r>
      <w:r w:rsidR="009D7E84">
        <w:rPr>
          <w:sz w:val="24"/>
          <w:lang w:val="pl-PL"/>
        </w:rPr>
        <w:t xml:space="preserve">sygn. akt </w:t>
      </w:r>
      <w:r w:rsidRPr="000452A8">
        <w:rPr>
          <w:sz w:val="24"/>
          <w:lang w:val="pl-PL"/>
        </w:rPr>
        <w:t>III SPP 113/04), w której orzekł, że chociaż ustawa z 2004 r. wywoł</w:t>
      </w:r>
      <w:r w:rsidR="009D7E84">
        <w:rPr>
          <w:sz w:val="24"/>
          <w:lang w:val="pl-PL"/>
        </w:rPr>
        <w:t>uje</w:t>
      </w:r>
      <w:r w:rsidRPr="000452A8">
        <w:rPr>
          <w:sz w:val="24"/>
          <w:lang w:val="pl-PL"/>
        </w:rPr>
        <w:t xml:space="preserve"> skutki prawne od dnia jej wejścia w życie (17 września 2004 r.), jej przepisy m</w:t>
      </w:r>
      <w:r w:rsidR="009D7E84">
        <w:rPr>
          <w:sz w:val="24"/>
          <w:lang w:val="pl-PL"/>
        </w:rPr>
        <w:t>ają</w:t>
      </w:r>
      <w:r w:rsidRPr="000452A8">
        <w:rPr>
          <w:sz w:val="24"/>
          <w:lang w:val="pl-PL"/>
        </w:rPr>
        <w:t xml:space="preserve"> zastosowanie z mocą wsteczną do wszystkich postępowań, w których przed tą datą wystąpiły opóźnienia, które nie zostały jeszcze usunięte.</w:t>
      </w:r>
    </w:p>
    <w:p w14:paraId="6C99AF59" w14:textId="6AAD133A" w:rsidR="001D7F22" w:rsidRPr="000452A8" w:rsidRDefault="000452A8" w:rsidP="003114C8">
      <w:pPr>
        <w:pStyle w:val="JuHHead"/>
        <w:rPr>
          <w:lang w:val="pl-PL"/>
        </w:rPr>
      </w:pPr>
      <w:r>
        <w:rPr>
          <w:lang w:val="pl-PL"/>
        </w:rPr>
        <w:t>ZARZUT</w:t>
      </w:r>
    </w:p>
    <w:p w14:paraId="5EE8E2A4" w14:textId="4A4FD90A" w:rsidR="003114C8" w:rsidRPr="000452A8" w:rsidRDefault="000452A8" w:rsidP="003114C8">
      <w:pPr>
        <w:pStyle w:val="JuParaCharChar"/>
        <w:rPr>
          <w:lang w:val="pl-PL"/>
        </w:rPr>
      </w:pPr>
      <w:r w:rsidRPr="000452A8">
        <w:rPr>
          <w:lang w:val="pl-PL"/>
        </w:rPr>
        <w:t>Skarżący zarzuc</w:t>
      </w:r>
      <w:r w:rsidR="009D7E84">
        <w:rPr>
          <w:lang w:val="pl-PL"/>
        </w:rPr>
        <w:t>ił</w:t>
      </w:r>
      <w:r w:rsidRPr="000452A8">
        <w:rPr>
          <w:lang w:val="pl-PL"/>
        </w:rPr>
        <w:t xml:space="preserve"> na podstawie art. </w:t>
      </w:r>
      <w:r w:rsidR="009D7E84">
        <w:rPr>
          <w:lang w:val="pl-PL"/>
        </w:rPr>
        <w:t>6 ust. 1</w:t>
      </w:r>
      <w:r w:rsidRPr="000452A8">
        <w:rPr>
          <w:lang w:val="pl-PL"/>
        </w:rPr>
        <w:t xml:space="preserve"> Konwencji, że długość wszystkich postępowań w jego sprawie przekroczyła „rozsądny termin” w</w:t>
      </w:r>
      <w:r w:rsidR="003B6518">
        <w:rPr>
          <w:lang w:val="pl-PL"/>
        </w:rPr>
        <w:t> </w:t>
      </w:r>
      <w:r w:rsidRPr="000452A8">
        <w:rPr>
          <w:lang w:val="pl-PL"/>
        </w:rPr>
        <w:t>rozumieniu tego p</w:t>
      </w:r>
      <w:r w:rsidR="00404949">
        <w:rPr>
          <w:lang w:val="pl-PL"/>
        </w:rPr>
        <w:t>ostanowienia</w:t>
      </w:r>
      <w:r w:rsidR="003114C8" w:rsidRPr="000452A8">
        <w:rPr>
          <w:lang w:val="pl-PL"/>
        </w:rPr>
        <w:t>.</w:t>
      </w:r>
    </w:p>
    <w:p w14:paraId="274B8A6B" w14:textId="00690FDA" w:rsidR="003114C8" w:rsidRPr="000452A8" w:rsidRDefault="000452A8" w:rsidP="003114C8">
      <w:pPr>
        <w:pStyle w:val="JuHHead"/>
        <w:rPr>
          <w:lang w:val="pl-PL"/>
        </w:rPr>
      </w:pPr>
      <w:r>
        <w:rPr>
          <w:lang w:val="pl-PL"/>
        </w:rPr>
        <w:t>PRAWO</w:t>
      </w:r>
    </w:p>
    <w:p w14:paraId="45035381" w14:textId="4496DC70" w:rsidR="000452A8" w:rsidRDefault="000452A8" w:rsidP="003114C8">
      <w:pPr>
        <w:ind w:firstLine="284"/>
        <w:jc w:val="both"/>
        <w:rPr>
          <w:lang w:val="pl-PL"/>
        </w:rPr>
      </w:pPr>
      <w:r w:rsidRPr="000452A8">
        <w:rPr>
          <w:lang w:val="pl-PL"/>
        </w:rPr>
        <w:t>Skarżący zarzuc</w:t>
      </w:r>
      <w:r w:rsidR="00404949">
        <w:rPr>
          <w:lang w:val="pl-PL"/>
        </w:rPr>
        <w:t>i</w:t>
      </w:r>
      <w:r w:rsidRPr="000452A8">
        <w:rPr>
          <w:lang w:val="pl-PL"/>
        </w:rPr>
        <w:t xml:space="preserve">ł na podstawie art. </w:t>
      </w:r>
      <w:r w:rsidR="009D7E84">
        <w:rPr>
          <w:lang w:val="pl-PL"/>
        </w:rPr>
        <w:t>6 ust. 1</w:t>
      </w:r>
      <w:r w:rsidRPr="000452A8">
        <w:rPr>
          <w:lang w:val="pl-PL"/>
        </w:rPr>
        <w:t xml:space="preserve"> Konwencji, że długość wszystkich postępowań w jego sprawie przekroczyła „rozsądny termin” w</w:t>
      </w:r>
      <w:r w:rsidR="003B6518">
        <w:rPr>
          <w:lang w:val="pl-PL"/>
        </w:rPr>
        <w:t> </w:t>
      </w:r>
      <w:r w:rsidRPr="000452A8">
        <w:rPr>
          <w:lang w:val="pl-PL"/>
        </w:rPr>
        <w:t>rozumieniu tego</w:t>
      </w:r>
      <w:r w:rsidR="00404949">
        <w:rPr>
          <w:lang w:val="pl-PL"/>
        </w:rPr>
        <w:t xml:space="preserve"> postanowienia</w:t>
      </w:r>
      <w:r w:rsidRPr="000452A8">
        <w:rPr>
          <w:lang w:val="pl-PL"/>
        </w:rPr>
        <w:t>.</w:t>
      </w:r>
    </w:p>
    <w:p w14:paraId="4DF16A83" w14:textId="70027E71" w:rsidR="003114C8" w:rsidRPr="000452A8" w:rsidRDefault="000452A8" w:rsidP="003114C8">
      <w:pPr>
        <w:ind w:firstLine="284"/>
        <w:jc w:val="both"/>
        <w:rPr>
          <w:lang w:val="pl-PL"/>
        </w:rPr>
      </w:pPr>
      <w:r w:rsidRPr="000452A8">
        <w:rPr>
          <w:lang w:val="pl-PL"/>
        </w:rPr>
        <w:t xml:space="preserve">Rząd uznał skargę za </w:t>
      </w:r>
      <w:r w:rsidR="00404949">
        <w:rPr>
          <w:lang w:val="pl-PL"/>
        </w:rPr>
        <w:t>w sposób oczywisty nieuzasadnioną</w:t>
      </w:r>
      <w:r w:rsidRPr="000452A8">
        <w:rPr>
          <w:lang w:val="pl-PL"/>
        </w:rPr>
        <w:t xml:space="preserve">. Nie odniósł się do środków </w:t>
      </w:r>
      <w:r w:rsidR="00404949">
        <w:rPr>
          <w:lang w:val="pl-PL"/>
        </w:rPr>
        <w:t xml:space="preserve">odwoławczych </w:t>
      </w:r>
      <w:r w:rsidRPr="000452A8">
        <w:rPr>
          <w:lang w:val="pl-PL"/>
        </w:rPr>
        <w:t>wprowadzonych ustawą z 2004 r.</w:t>
      </w:r>
    </w:p>
    <w:p w14:paraId="4B37A6AC" w14:textId="34727F7B" w:rsidR="000452A8" w:rsidRDefault="000452A8" w:rsidP="003114C8">
      <w:pPr>
        <w:pStyle w:val="JuParaCharChar"/>
        <w:rPr>
          <w:lang w:val="pl-PL"/>
        </w:rPr>
      </w:pPr>
      <w:r w:rsidRPr="000452A8">
        <w:rPr>
          <w:lang w:val="pl-PL"/>
        </w:rPr>
        <w:t xml:space="preserve">Skarżący ze swojej strony utrzymywał, że środki te nie </w:t>
      </w:r>
      <w:r w:rsidR="00404949">
        <w:rPr>
          <w:lang w:val="pl-PL"/>
        </w:rPr>
        <w:t>są</w:t>
      </w:r>
      <w:r w:rsidRPr="000452A8">
        <w:rPr>
          <w:lang w:val="pl-PL"/>
        </w:rPr>
        <w:t xml:space="preserve"> skuteczne</w:t>
      </w:r>
      <w:r w:rsidR="00404949">
        <w:rPr>
          <w:lang w:val="pl-PL"/>
        </w:rPr>
        <w:t>,</w:t>
      </w:r>
      <w:r w:rsidRPr="000452A8">
        <w:rPr>
          <w:lang w:val="pl-PL"/>
        </w:rPr>
        <w:t xml:space="preserve"> i</w:t>
      </w:r>
      <w:r w:rsidR="003B6518">
        <w:rPr>
          <w:lang w:val="pl-PL"/>
        </w:rPr>
        <w:t> </w:t>
      </w:r>
      <w:r w:rsidRPr="000452A8">
        <w:rPr>
          <w:lang w:val="pl-PL"/>
        </w:rPr>
        <w:t xml:space="preserve">wyraźnie stwierdził, że nie zamierza składać skargi </w:t>
      </w:r>
      <w:r w:rsidR="00404949">
        <w:rPr>
          <w:lang w:val="pl-PL"/>
        </w:rPr>
        <w:t xml:space="preserve">na </w:t>
      </w:r>
      <w:r w:rsidRPr="000452A8">
        <w:rPr>
          <w:lang w:val="pl-PL"/>
        </w:rPr>
        <w:t>naruszeni</w:t>
      </w:r>
      <w:r w:rsidR="00404949">
        <w:rPr>
          <w:lang w:val="pl-PL"/>
        </w:rPr>
        <w:t>e</w:t>
      </w:r>
      <w:r w:rsidRPr="000452A8">
        <w:rPr>
          <w:lang w:val="pl-PL"/>
        </w:rPr>
        <w:t xml:space="preserve"> prawa do</w:t>
      </w:r>
      <w:r w:rsidR="003B6518">
        <w:rPr>
          <w:lang w:val="pl-PL"/>
        </w:rPr>
        <w:t> </w:t>
      </w:r>
      <w:r w:rsidR="00404949">
        <w:rPr>
          <w:lang w:val="pl-PL"/>
        </w:rPr>
        <w:t>rozpoznania</w:t>
      </w:r>
      <w:r w:rsidRPr="000452A8">
        <w:rPr>
          <w:lang w:val="pl-PL"/>
        </w:rPr>
        <w:t xml:space="preserve"> sprawy w rozsądnym terminie zgodnie z odpowiednimi przepisami.</w:t>
      </w:r>
    </w:p>
    <w:p w14:paraId="4C7B90D0" w14:textId="59693267" w:rsidR="003114C8" w:rsidRPr="005E05F0" w:rsidRDefault="000452A8" w:rsidP="003114C8">
      <w:pPr>
        <w:pStyle w:val="JuParaCharChar"/>
        <w:rPr>
          <w:lang w:val="pl-PL"/>
        </w:rPr>
      </w:pPr>
      <w:r w:rsidRPr="005E05F0">
        <w:rPr>
          <w:lang w:val="pl-PL"/>
        </w:rPr>
        <w:t xml:space="preserve">Zgodnie z art. 35 </w:t>
      </w:r>
      <w:r w:rsidR="00404949">
        <w:rPr>
          <w:lang w:val="pl-PL"/>
        </w:rPr>
        <w:t>ust.</w:t>
      </w:r>
      <w:r w:rsidRPr="005E05F0">
        <w:rPr>
          <w:lang w:val="pl-PL"/>
        </w:rPr>
        <w:t xml:space="preserve"> 1 Konwencji</w:t>
      </w:r>
      <w:r w:rsidR="003114C8" w:rsidRPr="005E05F0">
        <w:rPr>
          <w:lang w:val="pl-PL"/>
        </w:rPr>
        <w:t>:</w:t>
      </w:r>
    </w:p>
    <w:p w14:paraId="3B6F5B52" w14:textId="08A381CD" w:rsidR="003114C8" w:rsidRPr="005E05F0" w:rsidRDefault="00404949" w:rsidP="003114C8">
      <w:pPr>
        <w:pStyle w:val="JuQuot"/>
        <w:rPr>
          <w:lang w:val="pl-PL"/>
        </w:rPr>
      </w:pPr>
      <w:r>
        <w:rPr>
          <w:lang w:val="pl-PL"/>
        </w:rPr>
        <w:t>„</w:t>
      </w:r>
      <w:r w:rsidRPr="00404949">
        <w:rPr>
          <w:lang w:val="pl-PL"/>
        </w:rPr>
        <w:t>Trybunał może rozpatrywać sprawę dopiero po wyczerpaniu wszystkich środków odwoławczych, przewidzianych prawem wewnętrznym, zgodnie z powszechnie uznanymi zasadami prawa międzynarodowego</w:t>
      </w:r>
      <w:r>
        <w:rPr>
          <w:lang w:val="pl-PL"/>
        </w:rPr>
        <w:t xml:space="preserve"> (…)</w:t>
      </w:r>
      <w:r w:rsidR="003114C8" w:rsidRPr="005E05F0">
        <w:rPr>
          <w:lang w:val="pl-PL"/>
        </w:rPr>
        <w:t>”</w:t>
      </w:r>
      <w:r>
        <w:rPr>
          <w:lang w:val="pl-PL"/>
        </w:rPr>
        <w:t>.</w:t>
      </w:r>
    </w:p>
    <w:p w14:paraId="6117E2FF" w14:textId="11C83A7E" w:rsidR="005E05F0" w:rsidRPr="00F12AE3" w:rsidRDefault="005E05F0" w:rsidP="003114C8">
      <w:pPr>
        <w:pStyle w:val="JuParaCharChar"/>
        <w:rPr>
          <w:lang w:val="pl-PL"/>
        </w:rPr>
      </w:pPr>
      <w:r w:rsidRPr="00F12AE3">
        <w:rPr>
          <w:lang w:val="pl-PL"/>
        </w:rPr>
        <w:t>Trybunał zauważa, że niniejsz</w:t>
      </w:r>
      <w:r w:rsidR="00404949">
        <w:rPr>
          <w:lang w:val="pl-PL"/>
        </w:rPr>
        <w:t>a</w:t>
      </w:r>
      <w:r w:rsidRPr="00F12AE3">
        <w:rPr>
          <w:lang w:val="pl-PL"/>
        </w:rPr>
        <w:t xml:space="preserve"> </w:t>
      </w:r>
      <w:r w:rsidR="00404949">
        <w:rPr>
          <w:lang w:val="pl-PL"/>
        </w:rPr>
        <w:t>skarga</w:t>
      </w:r>
      <w:r w:rsidRPr="00F12AE3">
        <w:rPr>
          <w:lang w:val="pl-PL"/>
        </w:rPr>
        <w:t xml:space="preserve"> został</w:t>
      </w:r>
      <w:r w:rsidR="00404949">
        <w:rPr>
          <w:lang w:val="pl-PL"/>
        </w:rPr>
        <w:t>a</w:t>
      </w:r>
      <w:r w:rsidRPr="00F12AE3">
        <w:rPr>
          <w:lang w:val="pl-PL"/>
        </w:rPr>
        <w:t xml:space="preserve"> złożon</w:t>
      </w:r>
      <w:r w:rsidR="00404949">
        <w:rPr>
          <w:lang w:val="pl-PL"/>
        </w:rPr>
        <w:t>a</w:t>
      </w:r>
      <w:r w:rsidRPr="00F12AE3">
        <w:rPr>
          <w:lang w:val="pl-PL"/>
        </w:rPr>
        <w:t xml:space="preserve"> do Trybunału w</w:t>
      </w:r>
      <w:r w:rsidR="003B6518">
        <w:rPr>
          <w:lang w:val="pl-PL"/>
        </w:rPr>
        <w:t> </w:t>
      </w:r>
      <w:r w:rsidR="00404949">
        <w:rPr>
          <w:lang w:val="pl-PL"/>
        </w:rPr>
        <w:t>czasie</w:t>
      </w:r>
      <w:r w:rsidRPr="00F12AE3">
        <w:rPr>
          <w:lang w:val="pl-PL"/>
        </w:rPr>
        <w:t>, gdy odpowiednie postępowani</w:t>
      </w:r>
      <w:r w:rsidR="00404949">
        <w:rPr>
          <w:lang w:val="pl-PL"/>
        </w:rPr>
        <w:t>a</w:t>
      </w:r>
      <w:r w:rsidRPr="00F12AE3">
        <w:rPr>
          <w:lang w:val="pl-PL"/>
        </w:rPr>
        <w:t xml:space="preserve"> toczył</w:t>
      </w:r>
      <w:r w:rsidR="00404949">
        <w:rPr>
          <w:lang w:val="pl-PL"/>
        </w:rPr>
        <w:t>y</w:t>
      </w:r>
      <w:r w:rsidRPr="00F12AE3">
        <w:rPr>
          <w:lang w:val="pl-PL"/>
        </w:rPr>
        <w:t xml:space="preserve"> się przed sądem krajowym i nadal się tocz</w:t>
      </w:r>
      <w:r w:rsidR="00404949">
        <w:rPr>
          <w:lang w:val="pl-PL"/>
        </w:rPr>
        <w:t>ą</w:t>
      </w:r>
      <w:r w:rsidRPr="00F12AE3">
        <w:rPr>
          <w:lang w:val="pl-PL"/>
        </w:rPr>
        <w:t>.</w:t>
      </w:r>
    </w:p>
    <w:p w14:paraId="7A07AE69" w14:textId="34815640" w:rsidR="005E05F0" w:rsidRDefault="005E05F0" w:rsidP="003114C8">
      <w:pPr>
        <w:pStyle w:val="JuParaCharChar"/>
        <w:rPr>
          <w:lang w:val="pl-PL"/>
        </w:rPr>
      </w:pPr>
      <w:r w:rsidRPr="005E05F0">
        <w:rPr>
          <w:lang w:val="pl-PL"/>
        </w:rPr>
        <w:t>Ponadto zauważa, że zgodnie z art. 18 ustawy z 2004 r. osoby takie jak</w:t>
      </w:r>
      <w:r w:rsidR="003B6518">
        <w:rPr>
          <w:lang w:val="pl-PL"/>
        </w:rPr>
        <w:t> </w:t>
      </w:r>
      <w:r w:rsidRPr="005E05F0">
        <w:rPr>
          <w:lang w:val="pl-PL"/>
        </w:rPr>
        <w:t xml:space="preserve">skarżący w niniejszej sprawie, których sprawy były w toku przed sądem, miały możliwość wniesienia </w:t>
      </w:r>
      <w:r w:rsidR="00404949" w:rsidRPr="005E05F0">
        <w:rPr>
          <w:lang w:val="pl-PL"/>
        </w:rPr>
        <w:t>do właściwego sądu krajowego</w:t>
      </w:r>
      <w:r w:rsidR="00404949">
        <w:rPr>
          <w:lang w:val="pl-PL"/>
        </w:rPr>
        <w:t>,</w:t>
      </w:r>
      <w:r w:rsidR="00404949" w:rsidRPr="005E05F0">
        <w:rPr>
          <w:lang w:val="pl-PL"/>
        </w:rPr>
        <w:t xml:space="preserve"> </w:t>
      </w:r>
      <w:r w:rsidRPr="005E05F0">
        <w:rPr>
          <w:lang w:val="pl-PL"/>
        </w:rPr>
        <w:t>w ciągu sześciu miesięcy od dnia 17 września 2004 r.</w:t>
      </w:r>
      <w:r w:rsidR="00404949">
        <w:rPr>
          <w:lang w:val="pl-PL"/>
        </w:rPr>
        <w:t>,</w:t>
      </w:r>
      <w:r w:rsidRPr="005E05F0">
        <w:rPr>
          <w:lang w:val="pl-PL"/>
        </w:rPr>
        <w:t xml:space="preserve"> skarg</w:t>
      </w:r>
      <w:r w:rsidR="00404949">
        <w:rPr>
          <w:lang w:val="pl-PL"/>
        </w:rPr>
        <w:t>i</w:t>
      </w:r>
      <w:r w:rsidRPr="005E05F0">
        <w:rPr>
          <w:lang w:val="pl-PL"/>
        </w:rPr>
        <w:t xml:space="preserve"> dotycząc</w:t>
      </w:r>
      <w:r w:rsidR="00404949">
        <w:rPr>
          <w:lang w:val="pl-PL"/>
        </w:rPr>
        <w:t>ej</w:t>
      </w:r>
      <w:r w:rsidRPr="005E05F0">
        <w:rPr>
          <w:lang w:val="pl-PL"/>
        </w:rPr>
        <w:t xml:space="preserve"> nieuzasadnionej długości postępowania, pod warunkiem że ich skarga do Trybunału została wniesiona w trakcie zaskarżonego postępowania i nie została jeszcze uznana za dopuszczalną. Ponadto, biorąc pod uwagę, że postępowani</w:t>
      </w:r>
      <w:r w:rsidR="00404949">
        <w:rPr>
          <w:lang w:val="pl-PL"/>
        </w:rPr>
        <w:t>a</w:t>
      </w:r>
      <w:r w:rsidRPr="005E05F0">
        <w:rPr>
          <w:lang w:val="pl-PL"/>
        </w:rPr>
        <w:t>, któ</w:t>
      </w:r>
      <w:r w:rsidR="00404949">
        <w:rPr>
          <w:lang w:val="pl-PL"/>
        </w:rPr>
        <w:t>rych</w:t>
      </w:r>
      <w:r w:rsidRPr="005E05F0">
        <w:rPr>
          <w:lang w:val="pl-PL"/>
        </w:rPr>
        <w:t xml:space="preserve"> dotyczy skarga, </w:t>
      </w:r>
      <w:r w:rsidR="00404949">
        <w:rPr>
          <w:lang w:val="pl-PL"/>
        </w:rPr>
        <w:t xml:space="preserve">są </w:t>
      </w:r>
      <w:r w:rsidRPr="005E05F0">
        <w:rPr>
          <w:lang w:val="pl-PL"/>
        </w:rPr>
        <w:t>nadal w toku, nic nie stoi na przeszkodzie, aby skarżący złożył taką skargę nawet po upływie terminu określonego w przepisie przejściowym, zgodnie z ogólnymi przepisami ustawy z 2004 r.</w:t>
      </w:r>
    </w:p>
    <w:p w14:paraId="23B6296D" w14:textId="35587D0A" w:rsidR="005E05F0" w:rsidRPr="009751F1" w:rsidRDefault="005E05F0" w:rsidP="003114C8">
      <w:pPr>
        <w:pStyle w:val="JuParaCharChar"/>
        <w:rPr>
          <w:lang w:val="pl-PL"/>
        </w:rPr>
      </w:pPr>
      <w:r w:rsidRPr="005E05F0">
        <w:rPr>
          <w:lang w:val="pl-PL"/>
        </w:rPr>
        <w:lastRenderedPageBreak/>
        <w:t xml:space="preserve">Trybunał zbadał już ten środek </w:t>
      </w:r>
      <w:r w:rsidR="00404949">
        <w:rPr>
          <w:lang w:val="pl-PL"/>
        </w:rPr>
        <w:t>odwoławczy</w:t>
      </w:r>
      <w:r w:rsidRPr="005E05F0">
        <w:rPr>
          <w:lang w:val="pl-PL"/>
        </w:rPr>
        <w:t xml:space="preserve"> w kontekście art. 35 </w:t>
      </w:r>
      <w:r w:rsidR="00404949">
        <w:rPr>
          <w:lang w:val="pl-PL"/>
        </w:rPr>
        <w:t>ust.</w:t>
      </w:r>
      <w:r w:rsidRPr="005E05F0">
        <w:rPr>
          <w:lang w:val="pl-PL"/>
        </w:rPr>
        <w:t xml:space="preserve"> 1 Konwencji i uznał go za skuteczny w odniesieniu do skarg dotyczących nadmiernej długości postępowań sądowych w Polsce. W szczególności uznał, że środek ten jest w stanie zarówno zapobiec </w:t>
      </w:r>
      <w:r w:rsidR="00404949">
        <w:rPr>
          <w:lang w:val="pl-PL"/>
        </w:rPr>
        <w:t xml:space="preserve">zarzucanemu </w:t>
      </w:r>
      <w:r w:rsidRPr="005E05F0">
        <w:rPr>
          <w:lang w:val="pl-PL"/>
        </w:rPr>
        <w:t>naruszeniu prawa do rozpatrzenia sprawy w rozsądnym terminie lub jego kontynuacji, jak</w:t>
      </w:r>
      <w:r w:rsidR="003B6518">
        <w:rPr>
          <w:lang w:val="pl-PL"/>
        </w:rPr>
        <w:t> </w:t>
      </w:r>
      <w:r w:rsidRPr="005E05F0">
        <w:rPr>
          <w:lang w:val="pl-PL"/>
        </w:rPr>
        <w:t>i</w:t>
      </w:r>
      <w:r w:rsidR="003B6518">
        <w:rPr>
          <w:lang w:val="pl-PL"/>
        </w:rPr>
        <w:t> </w:t>
      </w:r>
      <w:r w:rsidRPr="005E05F0">
        <w:rPr>
          <w:lang w:val="pl-PL"/>
        </w:rPr>
        <w:t xml:space="preserve">zapewnić odpowiednie zadośćuczynienie za wszelkie naruszenia, które już miały miejsce (zob. </w:t>
      </w:r>
      <w:r w:rsidRPr="009751F1">
        <w:rPr>
          <w:i/>
          <w:iCs/>
          <w:lang w:val="pl-PL"/>
        </w:rPr>
        <w:t>Michalak przeciwko Polsce</w:t>
      </w:r>
      <w:r w:rsidRPr="009751F1">
        <w:rPr>
          <w:lang w:val="pl-PL"/>
        </w:rPr>
        <w:t xml:space="preserve"> (dec.), nr 24549/03, §§</w:t>
      </w:r>
      <w:r w:rsidR="003B6518">
        <w:rPr>
          <w:lang w:val="pl-PL"/>
        </w:rPr>
        <w:t> </w:t>
      </w:r>
      <w:r w:rsidRPr="009751F1">
        <w:rPr>
          <w:lang w:val="pl-PL"/>
        </w:rPr>
        <w:t>37</w:t>
      </w:r>
      <w:r w:rsidR="00404949">
        <w:rPr>
          <w:lang w:val="pl-PL"/>
        </w:rPr>
        <w:t>–</w:t>
      </w:r>
      <w:r w:rsidRPr="009751F1">
        <w:rPr>
          <w:lang w:val="pl-PL"/>
        </w:rPr>
        <w:t>43).</w:t>
      </w:r>
    </w:p>
    <w:p w14:paraId="6F1DAB80" w14:textId="0BA19E5F" w:rsidR="0000106B" w:rsidRDefault="0000106B" w:rsidP="0000106B">
      <w:pPr>
        <w:pStyle w:val="JuParaCharChar"/>
        <w:rPr>
          <w:lang w:val="pl-PL"/>
        </w:rPr>
      </w:pPr>
      <w:r w:rsidRPr="0000106B">
        <w:rPr>
          <w:lang w:val="pl-PL"/>
        </w:rPr>
        <w:t xml:space="preserve">Jednakże skarżący, pomimo poinformowania go przez </w:t>
      </w:r>
      <w:r w:rsidR="00404949">
        <w:rPr>
          <w:lang w:val="pl-PL"/>
        </w:rPr>
        <w:t>Kanclerza</w:t>
      </w:r>
      <w:r w:rsidR="00404949" w:rsidRPr="0000106B">
        <w:rPr>
          <w:lang w:val="pl-PL"/>
        </w:rPr>
        <w:t xml:space="preserve"> </w:t>
      </w:r>
      <w:r w:rsidRPr="0000106B">
        <w:rPr>
          <w:lang w:val="pl-PL"/>
        </w:rPr>
        <w:t>o</w:t>
      </w:r>
      <w:r w:rsidR="003B6518">
        <w:rPr>
          <w:lang w:val="pl-PL"/>
        </w:rPr>
        <w:t> </w:t>
      </w:r>
      <w:r w:rsidRPr="0000106B">
        <w:rPr>
          <w:lang w:val="pl-PL"/>
        </w:rPr>
        <w:t>możliwości złożenia skargi dotyczącej długości postępowania na podstawie ustawy z 2004 r., zdecydował się nie skorzystać z tego środka odwoławczego.</w:t>
      </w:r>
    </w:p>
    <w:p w14:paraId="16932A64" w14:textId="01F1D5A4" w:rsidR="0000106B" w:rsidRDefault="0000106B" w:rsidP="0000106B">
      <w:pPr>
        <w:pStyle w:val="JuParaCharChar"/>
        <w:rPr>
          <w:lang w:val="pl-PL"/>
        </w:rPr>
      </w:pPr>
      <w:r w:rsidRPr="0000106B">
        <w:rPr>
          <w:lang w:val="pl-PL"/>
        </w:rPr>
        <w:t xml:space="preserve">W związku z tym </w:t>
      </w:r>
      <w:r w:rsidR="00404949">
        <w:rPr>
          <w:lang w:val="pl-PL"/>
        </w:rPr>
        <w:t>skargę</w:t>
      </w:r>
      <w:r w:rsidRPr="0000106B">
        <w:rPr>
          <w:lang w:val="pl-PL"/>
        </w:rPr>
        <w:t xml:space="preserve"> należy odrzucić na podstawie art. 35 </w:t>
      </w:r>
      <w:r w:rsidR="00404949">
        <w:rPr>
          <w:lang w:val="pl-PL"/>
        </w:rPr>
        <w:t>ust.</w:t>
      </w:r>
      <w:r w:rsidRPr="0000106B">
        <w:rPr>
          <w:lang w:val="pl-PL"/>
        </w:rPr>
        <w:t xml:space="preserve"> 1 i 4 Konwencji z powodu niewyczerpania </w:t>
      </w:r>
      <w:r w:rsidR="00404949">
        <w:rPr>
          <w:lang w:val="pl-PL"/>
        </w:rPr>
        <w:t xml:space="preserve">krajowych </w:t>
      </w:r>
      <w:r w:rsidRPr="0000106B">
        <w:rPr>
          <w:lang w:val="pl-PL"/>
        </w:rPr>
        <w:t>środków odwoławczych.</w:t>
      </w:r>
    </w:p>
    <w:p w14:paraId="429DFF1D" w14:textId="77777777" w:rsidR="0000106B" w:rsidRDefault="0000106B" w:rsidP="003114C8">
      <w:pPr>
        <w:pStyle w:val="DecList"/>
        <w:rPr>
          <w:lang w:val="pl-PL"/>
        </w:rPr>
      </w:pPr>
      <w:r w:rsidRPr="00F12AE3">
        <w:rPr>
          <w:lang w:val="pl-PL"/>
        </w:rPr>
        <w:t>Z tych powodów Trybunał jednogłośnie</w:t>
      </w:r>
    </w:p>
    <w:p w14:paraId="47C3C013" w14:textId="77777777" w:rsidR="00404949" w:rsidRDefault="00404949" w:rsidP="00404949">
      <w:pPr>
        <w:pStyle w:val="DecList"/>
        <w:spacing w:before="0"/>
        <w:rPr>
          <w:i/>
          <w:lang w:val="pl-PL"/>
        </w:rPr>
      </w:pPr>
    </w:p>
    <w:p w14:paraId="0C6E3D8E" w14:textId="3566E74A" w:rsidR="0000106B" w:rsidRPr="00F12AE3" w:rsidRDefault="00404949" w:rsidP="00404949">
      <w:pPr>
        <w:pStyle w:val="DecList"/>
        <w:spacing w:before="0"/>
        <w:rPr>
          <w:iCs/>
          <w:lang w:val="pl-PL"/>
        </w:rPr>
      </w:pPr>
      <w:r w:rsidRPr="00404949">
        <w:rPr>
          <w:i/>
          <w:lang w:val="pl-PL"/>
        </w:rPr>
        <w:t>Decyduje</w:t>
      </w:r>
      <w:r>
        <w:rPr>
          <w:iCs/>
          <w:lang w:val="pl-PL"/>
        </w:rPr>
        <w:t xml:space="preserve"> </w:t>
      </w:r>
      <w:r w:rsidR="0000106B" w:rsidRPr="00F12AE3">
        <w:rPr>
          <w:iCs/>
          <w:lang w:val="pl-PL"/>
        </w:rPr>
        <w:t xml:space="preserve">zaprzestać stosowania art. 29 </w:t>
      </w:r>
      <w:r>
        <w:rPr>
          <w:iCs/>
          <w:lang w:val="pl-PL"/>
        </w:rPr>
        <w:t>ust.</w:t>
      </w:r>
      <w:r w:rsidR="0000106B" w:rsidRPr="00F12AE3">
        <w:rPr>
          <w:iCs/>
          <w:lang w:val="pl-PL"/>
        </w:rPr>
        <w:t xml:space="preserve"> 3 Konwencji;</w:t>
      </w:r>
    </w:p>
    <w:p w14:paraId="36F3FBDE" w14:textId="77777777" w:rsidR="00404949" w:rsidRDefault="00404949" w:rsidP="000A24DA">
      <w:pPr>
        <w:pStyle w:val="JuPara"/>
        <w:rPr>
          <w:i/>
          <w:lang w:val="pl-PL"/>
        </w:rPr>
      </w:pPr>
    </w:p>
    <w:p w14:paraId="561A21B0" w14:textId="64BEED00" w:rsidR="00E31C4D" w:rsidRDefault="00E31C4D" w:rsidP="00E31C4D">
      <w:pPr>
        <w:pStyle w:val="DecList"/>
        <w:spacing w:before="0"/>
        <w:rPr>
          <w:iCs/>
          <w:lang w:val="pl-PL"/>
        </w:rPr>
      </w:pPr>
      <w:r w:rsidRPr="00E31C4D">
        <w:rPr>
          <w:i/>
          <w:lang w:val="pl-PL"/>
        </w:rPr>
        <w:t>Uznaje</w:t>
      </w:r>
      <w:r w:rsidRPr="00404949">
        <w:rPr>
          <w:iCs/>
          <w:lang w:val="pl-PL"/>
        </w:rPr>
        <w:t xml:space="preserve"> pozostał</w:t>
      </w:r>
      <w:r>
        <w:rPr>
          <w:iCs/>
          <w:lang w:val="pl-PL"/>
        </w:rPr>
        <w:t>ą</w:t>
      </w:r>
      <w:r w:rsidRPr="00404949">
        <w:rPr>
          <w:iCs/>
          <w:lang w:val="pl-PL"/>
        </w:rPr>
        <w:t xml:space="preserve"> część skargi </w:t>
      </w:r>
      <w:r>
        <w:rPr>
          <w:iCs/>
          <w:lang w:val="pl-PL"/>
        </w:rPr>
        <w:t>za</w:t>
      </w:r>
      <w:r w:rsidRPr="00404949">
        <w:rPr>
          <w:iCs/>
          <w:lang w:val="pl-PL"/>
        </w:rPr>
        <w:t xml:space="preserve"> niedopuszczaln</w:t>
      </w:r>
      <w:r>
        <w:rPr>
          <w:iCs/>
          <w:lang w:val="pl-PL"/>
        </w:rPr>
        <w:t>ą</w:t>
      </w:r>
      <w:r>
        <w:rPr>
          <w:iCs/>
          <w:lang w:val="pl-PL"/>
        </w:rPr>
        <w:t>.</w:t>
      </w:r>
    </w:p>
    <w:p w14:paraId="55762EAB" w14:textId="22B00770" w:rsidR="0044794C" w:rsidRPr="0000106B" w:rsidRDefault="006F1A20">
      <w:pPr>
        <w:pStyle w:val="JuSigned"/>
        <w:keepNext/>
        <w:keepLines/>
        <w:rPr>
          <w:lang w:val="pl-PL"/>
        </w:rPr>
      </w:pPr>
      <w:r w:rsidRPr="0000106B">
        <w:rPr>
          <w:lang w:val="pl-PL"/>
        </w:rPr>
        <w:tab/>
      </w:r>
      <w:r w:rsidR="003114C8" w:rsidRPr="0000106B">
        <w:rPr>
          <w:lang w:val="pl-PL"/>
        </w:rPr>
        <w:t xml:space="preserve">Michael </w:t>
      </w:r>
      <w:r w:rsidR="003114C8" w:rsidRPr="0000106B">
        <w:rPr>
          <w:rStyle w:val="JuNames"/>
          <w:lang w:val="pl-PL"/>
        </w:rPr>
        <w:t>O</w:t>
      </w:r>
      <w:r w:rsidR="001D7F22" w:rsidRPr="0000106B">
        <w:rPr>
          <w:rStyle w:val="JuNames"/>
          <w:lang w:val="pl-PL"/>
        </w:rPr>
        <w:t>'</w:t>
      </w:r>
      <w:r w:rsidR="003114C8" w:rsidRPr="0000106B">
        <w:rPr>
          <w:rStyle w:val="JuNames"/>
          <w:lang w:val="pl-PL"/>
        </w:rPr>
        <w:t>Boyle</w:t>
      </w:r>
      <w:r w:rsidR="003114C8" w:rsidRPr="0000106B">
        <w:rPr>
          <w:rStyle w:val="JuNames"/>
          <w:lang w:val="pl-PL"/>
        </w:rPr>
        <w:tab/>
      </w:r>
      <w:r w:rsidR="003114C8" w:rsidRPr="0000106B">
        <w:rPr>
          <w:lang w:val="pl-PL"/>
        </w:rPr>
        <w:t xml:space="preserve">Nicolas </w:t>
      </w:r>
      <w:r w:rsidR="003114C8" w:rsidRPr="0000106B">
        <w:rPr>
          <w:rStyle w:val="JuNames"/>
          <w:lang w:val="pl-PL"/>
        </w:rPr>
        <w:t>Bratza</w:t>
      </w:r>
      <w:r w:rsidR="003114C8" w:rsidRPr="0000106B">
        <w:rPr>
          <w:lang w:val="pl-PL"/>
        </w:rPr>
        <w:br/>
      </w:r>
      <w:r w:rsidR="003114C8" w:rsidRPr="0000106B">
        <w:rPr>
          <w:lang w:val="pl-PL"/>
        </w:rPr>
        <w:tab/>
      </w:r>
      <w:r w:rsidR="009751F1">
        <w:rPr>
          <w:lang w:val="pl-PL"/>
        </w:rPr>
        <w:t>Kanclerz</w:t>
      </w:r>
      <w:r w:rsidR="003114C8" w:rsidRPr="0000106B">
        <w:rPr>
          <w:lang w:val="pl-PL"/>
        </w:rPr>
        <w:tab/>
        <w:t>Pr</w:t>
      </w:r>
      <w:r w:rsidR="0000106B" w:rsidRPr="0000106B">
        <w:rPr>
          <w:lang w:val="pl-PL"/>
        </w:rPr>
        <w:t>z</w:t>
      </w:r>
      <w:r w:rsidR="0000106B">
        <w:rPr>
          <w:lang w:val="pl-PL"/>
        </w:rPr>
        <w:t>ewodniczący</w:t>
      </w:r>
    </w:p>
    <w:sectPr w:rsidR="0044794C" w:rsidRPr="0000106B">
      <w:headerReference w:type="even" r:id="rId8"/>
      <w:headerReference w:type="default" r:id="rId9"/>
      <w:headerReference w:type="first" r:id="rId10"/>
      <w:footnotePr>
        <w:numRestart w:val="eachPage"/>
      </w:footnotePr>
      <w:pgSz w:w="11906" w:h="16838"/>
      <w:pgMar w:top="2274" w:right="2274" w:bottom="2274" w:left="2274" w:header="1701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11070" w14:textId="77777777" w:rsidR="000B0FDA" w:rsidRDefault="000B0FDA">
      <w:r>
        <w:separator/>
      </w:r>
    </w:p>
  </w:endnote>
  <w:endnote w:type="continuationSeparator" w:id="0">
    <w:p w14:paraId="7B7D1A68" w14:textId="77777777" w:rsidR="000B0FDA" w:rsidRDefault="000B0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6CB3E" w14:textId="77777777" w:rsidR="000B0FDA" w:rsidRDefault="000B0FDA">
      <w:r>
        <w:separator/>
      </w:r>
    </w:p>
  </w:footnote>
  <w:footnote w:type="continuationSeparator" w:id="0">
    <w:p w14:paraId="07E5122E" w14:textId="77777777" w:rsidR="000B0FDA" w:rsidRDefault="000B0FDA">
      <w:r>
        <w:continuationSeparator/>
      </w:r>
    </w:p>
  </w:footnote>
  <w:footnote w:id="1">
    <w:p w14:paraId="0C9AB6CF" w14:textId="09F1766B" w:rsidR="00B94151" w:rsidRPr="00F12AE3" w:rsidRDefault="00B94151" w:rsidP="003114C8">
      <w:pPr>
        <w:pStyle w:val="Tekstprzypisudolnego"/>
        <w:rPr>
          <w:lang w:val="pl-PL"/>
        </w:rPr>
      </w:pPr>
      <w:r w:rsidRPr="00293220">
        <w:footnoteRef/>
      </w:r>
      <w:r w:rsidRPr="009751F1">
        <w:rPr>
          <w:lang w:val="pl-PL"/>
        </w:rPr>
        <w:t>. </w:t>
      </w:r>
      <w:r w:rsidR="00F12AE3" w:rsidRPr="00F12AE3">
        <w:rPr>
          <w:lang w:val="pl-PL"/>
        </w:rPr>
        <w:t xml:space="preserve">Bardziej szczegółowe omówienie </w:t>
      </w:r>
      <w:r w:rsidR="002719CF">
        <w:rPr>
          <w:lang w:val="pl-PL"/>
        </w:rPr>
        <w:t>właściwych</w:t>
      </w:r>
      <w:r w:rsidR="00F12AE3" w:rsidRPr="00F12AE3">
        <w:rPr>
          <w:lang w:val="pl-PL"/>
        </w:rPr>
        <w:t xml:space="preserve"> przepisów prawa krajowego można znaleźć w sprawie </w:t>
      </w:r>
      <w:r w:rsidR="00F12AE3" w:rsidRPr="00F12AE3">
        <w:rPr>
          <w:i/>
          <w:iCs/>
          <w:lang w:val="pl-PL"/>
        </w:rPr>
        <w:t xml:space="preserve">Michalak przeciwko </w:t>
      </w:r>
      <w:r w:rsidR="00F12AE3" w:rsidRPr="00F12AE3">
        <w:rPr>
          <w:lang w:val="pl-PL"/>
        </w:rPr>
        <w:t>Polsce (</w:t>
      </w:r>
      <w:r w:rsidR="002719CF">
        <w:rPr>
          <w:lang w:val="pl-PL"/>
        </w:rPr>
        <w:t>dec.</w:t>
      </w:r>
      <w:r w:rsidR="00F12AE3" w:rsidRPr="00F12AE3">
        <w:rPr>
          <w:lang w:val="pl-PL"/>
        </w:rPr>
        <w:t>), nr 24549/03, §§ 12–23, która zostanie opublikowana w E</w:t>
      </w:r>
      <w:r w:rsidR="002719CF">
        <w:rPr>
          <w:lang w:val="pl-PL"/>
        </w:rPr>
        <w:t>TPC</w:t>
      </w:r>
      <w:r w:rsidR="00F12AE3" w:rsidRPr="00F12AE3">
        <w:rPr>
          <w:lang w:val="pl-PL"/>
        </w:rPr>
        <w:t xml:space="preserve"> 2005-... – </w:t>
      </w:r>
      <w:r w:rsidR="00685C45">
        <w:rPr>
          <w:lang w:val="pl-PL"/>
        </w:rPr>
        <w:t xml:space="preserve">decyzja </w:t>
      </w:r>
      <w:r w:rsidR="00F12AE3" w:rsidRPr="00F12AE3">
        <w:rPr>
          <w:lang w:val="pl-PL"/>
        </w:rPr>
        <w:t>dostępna również na stronie internetowej Trybunału (http://www.echr@coe.int).</w:t>
      </w:r>
    </w:p>
  </w:footnote>
  <w:footnote w:id="2">
    <w:p w14:paraId="0620787E" w14:textId="16B2BB8D" w:rsidR="00F37871" w:rsidRPr="00F37871" w:rsidRDefault="004C75DC" w:rsidP="00F37871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F37871">
        <w:rPr>
          <w:lang w:val="pl-PL"/>
        </w:rPr>
        <w:t xml:space="preserve"> </w:t>
      </w:r>
      <w:r w:rsidR="00F37871" w:rsidRPr="00F37871">
        <w:rPr>
          <w:lang w:val="pl-PL"/>
        </w:rPr>
        <w:t>Obecnie</w:t>
      </w:r>
      <w:r w:rsidR="00C930F8">
        <w:rPr>
          <w:lang w:val="pl-PL"/>
        </w:rPr>
        <w:t>:</w:t>
      </w:r>
      <w:r w:rsidR="00F37871" w:rsidRPr="00F37871">
        <w:rPr>
          <w:lang w:val="pl-PL"/>
        </w:rPr>
        <w:t xml:space="preserve"> </w:t>
      </w:r>
      <w:r w:rsidR="00F37871">
        <w:rPr>
          <w:lang w:val="pl-PL"/>
        </w:rPr>
        <w:t xml:space="preserve">ustawa </w:t>
      </w:r>
      <w:r w:rsidR="00F37871" w:rsidRPr="00F37871">
        <w:rPr>
          <w:lang w:val="pl-PL"/>
        </w:rPr>
        <w:t>z dnia 17 czerwca 2004 r.</w:t>
      </w:r>
      <w:r w:rsidR="00F37871">
        <w:rPr>
          <w:lang w:val="pl-PL"/>
        </w:rPr>
        <w:t xml:space="preserve"> </w:t>
      </w:r>
      <w:r w:rsidR="00F37871" w:rsidRPr="00F37871">
        <w:rPr>
          <w:lang w:val="pl-PL"/>
        </w:rPr>
        <w:t>o skardze na naruszenie prawa strony do</w:t>
      </w:r>
      <w:r w:rsidR="003B6518">
        <w:rPr>
          <w:lang w:val="pl-PL"/>
        </w:rPr>
        <w:t> </w:t>
      </w:r>
      <w:r w:rsidR="00F37871" w:rsidRPr="00F37871">
        <w:rPr>
          <w:lang w:val="pl-PL"/>
        </w:rPr>
        <w:t>rozpoznania sprawy w postępowaniu przygotowawczym prowadzonym lub nadzorowanym przez prokuratora i postępowaniu sądowym bez nieuzasadnionej zwłoki</w:t>
      </w:r>
      <w:r w:rsidR="00F12AE3">
        <w:rPr>
          <w:lang w:val="pl-PL"/>
        </w:rPr>
        <w:t xml:space="preserve"> (</w:t>
      </w:r>
      <w:r w:rsidR="002719CF">
        <w:rPr>
          <w:lang w:val="pl-PL"/>
        </w:rPr>
        <w:t>tj.</w:t>
      </w:r>
      <w:r w:rsidR="003B6518">
        <w:rPr>
          <w:lang w:val="pl-PL"/>
        </w:rPr>
        <w:t> </w:t>
      </w:r>
      <w:r w:rsidR="00F12AE3" w:rsidRPr="00F12AE3">
        <w:rPr>
          <w:lang w:val="pl-PL"/>
        </w:rPr>
        <w:t>Dz.U.</w:t>
      </w:r>
      <w:r w:rsidR="002719CF">
        <w:rPr>
          <w:lang w:val="pl-PL"/>
        </w:rPr>
        <w:t xml:space="preserve"> z </w:t>
      </w:r>
      <w:r w:rsidR="00F12AE3" w:rsidRPr="00F12AE3">
        <w:rPr>
          <w:lang w:val="pl-PL"/>
        </w:rPr>
        <w:t>2023</w:t>
      </w:r>
      <w:r w:rsidR="002719CF">
        <w:rPr>
          <w:lang w:val="pl-PL"/>
        </w:rPr>
        <w:t xml:space="preserve"> r. poz</w:t>
      </w:r>
      <w:r w:rsidR="00F12AE3" w:rsidRPr="00F12AE3">
        <w:rPr>
          <w:lang w:val="pl-PL"/>
        </w:rPr>
        <w:t>.</w:t>
      </w:r>
      <w:r w:rsidR="002719CF">
        <w:rPr>
          <w:lang w:val="pl-PL"/>
        </w:rPr>
        <w:t xml:space="preserve"> </w:t>
      </w:r>
      <w:r w:rsidR="00F12AE3" w:rsidRPr="00F12AE3">
        <w:rPr>
          <w:lang w:val="pl-PL"/>
        </w:rPr>
        <w:t>1725</w:t>
      </w:r>
      <w:r w:rsidR="00F12AE3">
        <w:rPr>
          <w:lang w:val="pl-PL"/>
        </w:rPr>
        <w:t xml:space="preserve">) </w:t>
      </w:r>
      <w:r w:rsidR="00C930F8">
        <w:rPr>
          <w:lang w:val="pl-PL"/>
        </w:rPr>
        <w:t>[przyp. tłum.].</w:t>
      </w:r>
    </w:p>
    <w:p w14:paraId="1F44C89A" w14:textId="1F0C2CDB" w:rsidR="004C75DC" w:rsidRPr="00F37871" w:rsidRDefault="004C75DC" w:rsidP="00F37871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7D2C3" w14:textId="549C675D" w:rsidR="00B94151" w:rsidRPr="009D4589" w:rsidRDefault="00B94151">
    <w:pPr>
      <w:pStyle w:val="JuHeader"/>
      <w:rPr>
        <w:lang w:val="pl-PL"/>
      </w:rPr>
    </w:pPr>
    <w:r>
      <w:rPr>
        <w:rStyle w:val="Numerstrony"/>
      </w:rPr>
      <w:fldChar w:fldCharType="begin"/>
    </w:r>
    <w:r w:rsidRPr="009D4589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1D7F22" w:rsidRPr="009D4589">
      <w:rPr>
        <w:rStyle w:val="Numerstrony"/>
        <w:noProof/>
        <w:lang w:val="pl-PL"/>
      </w:rPr>
      <w:t>4</w:t>
    </w:r>
    <w:r>
      <w:rPr>
        <w:rStyle w:val="Numerstrony"/>
      </w:rPr>
      <w:fldChar w:fldCharType="end"/>
    </w:r>
    <w:r w:rsidRPr="009D4589">
      <w:rPr>
        <w:lang w:val="pl-PL"/>
      </w:rPr>
      <w:tab/>
    </w:r>
    <w:r w:rsidR="009D4589" w:rsidRPr="00462551">
      <w:rPr>
        <w:lang w:val="pl-PL"/>
      </w:rPr>
      <w:t xml:space="preserve">DECYZJA </w:t>
    </w:r>
    <w:r w:rsidR="009D4589">
      <w:rPr>
        <w:lang w:val="pl-PL"/>
      </w:rPr>
      <w:t>W SPRAWIE RYSZARD DZIEDZIC PRZECIWKO POLSCE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8B367" w14:textId="584044D1" w:rsidR="00B94151" w:rsidRPr="009D4589" w:rsidRDefault="00B94151">
    <w:pPr>
      <w:pStyle w:val="JuHeader"/>
      <w:rPr>
        <w:lang w:val="pl-PL"/>
      </w:rPr>
    </w:pPr>
    <w:r>
      <w:tab/>
    </w:r>
    <w:r w:rsidR="009D4589" w:rsidRPr="00462551">
      <w:rPr>
        <w:lang w:val="pl-PL"/>
      </w:rPr>
      <w:t xml:space="preserve">DECYZJA </w:t>
    </w:r>
    <w:r w:rsidR="009D4589">
      <w:rPr>
        <w:lang w:val="pl-PL"/>
      </w:rPr>
      <w:t>W SPRAWIE RYSZARD DZIEDZIC PRZECIWKO POLSCE</w:t>
    </w:r>
    <w:r w:rsidRPr="009D4589">
      <w:rPr>
        <w:lang w:val="pl-PL"/>
      </w:rPr>
      <w:tab/>
    </w:r>
    <w:r>
      <w:rPr>
        <w:rStyle w:val="Numerstrony"/>
      </w:rPr>
      <w:fldChar w:fldCharType="begin"/>
    </w:r>
    <w:r w:rsidRPr="009D4589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1D7F22" w:rsidRPr="009D4589">
      <w:rPr>
        <w:rStyle w:val="Numerstrony"/>
        <w:noProof/>
        <w:lang w:val="pl-PL"/>
      </w:rPr>
      <w:t>5</w:t>
    </w:r>
    <w:r>
      <w:rPr>
        <w:rStyle w:val="Numerstrony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28F9" w14:textId="56100E67" w:rsidR="00B94151" w:rsidRDefault="002B5834">
    <w:pPr>
      <w:pStyle w:val="Nagwek"/>
      <w:jc w:val="center"/>
    </w:pPr>
    <w:r>
      <w:rPr>
        <w:noProof/>
      </w:rPr>
      <w:drawing>
        <wp:inline distT="0" distB="0" distL="0" distR="0" wp14:anchorId="188DA25E" wp14:editId="35B40427">
          <wp:extent cx="4286250" cy="17716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0" cy="1771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639ED1" w14:textId="77777777" w:rsidR="00B94151" w:rsidRDefault="00B941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E006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2C67A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29EBE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31A7C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4AC65D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B44C7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0C254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79E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4887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C4B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BF324D"/>
    <w:multiLevelType w:val="singleLevel"/>
    <w:tmpl w:val="AEB835E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sz w:val="16"/>
      </w:rPr>
    </w:lvl>
  </w:abstractNum>
  <w:abstractNum w:abstractNumId="11" w15:restartNumberingAfterBreak="0">
    <w:nsid w:val="05FF3BC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2" w15:restartNumberingAfterBreak="0">
    <w:nsid w:val="0A050944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3" w15:restartNumberingAfterBreak="0">
    <w:nsid w:val="0B8104C5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4" w15:restartNumberingAfterBreak="0">
    <w:nsid w:val="1486134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5" w15:restartNumberingAfterBreak="0">
    <w:nsid w:val="1CE35BA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6" w15:restartNumberingAfterBreak="0">
    <w:nsid w:val="22EC6E04"/>
    <w:multiLevelType w:val="singleLevel"/>
    <w:tmpl w:val="BAC48052"/>
    <w:lvl w:ilvl="0">
      <w:start w:val="1"/>
      <w:numFmt w:val="decimal"/>
      <w:lvlText w:val="%1."/>
      <w:lvlJc w:val="left"/>
      <w:pPr>
        <w:tabs>
          <w:tab w:val="num" w:pos="1412"/>
        </w:tabs>
        <w:ind w:left="1412" w:hanging="705"/>
      </w:pPr>
      <w:rPr>
        <w:rFonts w:hint="default"/>
        <w:u w:val="none"/>
      </w:rPr>
    </w:lvl>
  </w:abstractNum>
  <w:abstractNum w:abstractNumId="17" w15:restartNumberingAfterBreak="0">
    <w:nsid w:val="2399540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 w15:restartNumberingAfterBreak="0">
    <w:nsid w:val="2C4C22E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 w15:restartNumberingAfterBreak="0">
    <w:nsid w:val="2D4157B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0" w15:restartNumberingAfterBreak="0">
    <w:nsid w:val="37351914"/>
    <w:multiLevelType w:val="singleLevel"/>
    <w:tmpl w:val="AEB835E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sz w:val="16"/>
      </w:rPr>
    </w:lvl>
  </w:abstractNum>
  <w:abstractNum w:abstractNumId="21" w15:restartNumberingAfterBreak="0">
    <w:nsid w:val="37E04B0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2" w15:restartNumberingAfterBreak="0">
    <w:nsid w:val="3A6A403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3" w15:restartNumberingAfterBreak="0">
    <w:nsid w:val="3C513E2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4" w15:restartNumberingAfterBreak="0">
    <w:nsid w:val="3C95542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5" w15:restartNumberingAfterBreak="0">
    <w:nsid w:val="3DB337B2"/>
    <w:multiLevelType w:val="singleLevel"/>
    <w:tmpl w:val="AEB835EC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b w:val="0"/>
        <w:i w:val="0"/>
        <w:sz w:val="16"/>
      </w:rPr>
    </w:lvl>
  </w:abstractNum>
  <w:abstractNum w:abstractNumId="26" w15:restartNumberingAfterBreak="0">
    <w:nsid w:val="3E626E9E"/>
    <w:multiLevelType w:val="singleLevel"/>
    <w:tmpl w:val="E484225C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0760D6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8" w15:restartNumberingAfterBreak="0">
    <w:nsid w:val="52140A4E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9" w15:restartNumberingAfterBreak="0">
    <w:nsid w:val="601A116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0" w15:restartNumberingAfterBreak="0">
    <w:nsid w:val="612339B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1" w15:restartNumberingAfterBreak="0">
    <w:nsid w:val="651B1C3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2" w15:restartNumberingAfterBreak="0">
    <w:nsid w:val="68ED076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3" w15:restartNumberingAfterBreak="0">
    <w:nsid w:val="6C2336F9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4" w15:restartNumberingAfterBreak="0">
    <w:nsid w:val="740005C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5" w15:restartNumberingAfterBreak="0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6" w15:restartNumberingAfterBreak="0">
    <w:nsid w:val="785C3F08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7" w15:restartNumberingAfterBreak="0">
    <w:nsid w:val="7A9048F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8" w15:restartNumberingAfterBreak="0">
    <w:nsid w:val="7ACC4983"/>
    <w:multiLevelType w:val="singleLevel"/>
    <w:tmpl w:val="E00E1CFC"/>
    <w:lvl w:ilvl="0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BDE393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40" w15:restartNumberingAfterBreak="0">
    <w:nsid w:val="7D556EA3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 w16cid:durableId="656035741">
    <w:abstractNumId w:val="20"/>
  </w:num>
  <w:num w:numId="2" w16cid:durableId="1877544593">
    <w:abstractNumId w:val="26"/>
  </w:num>
  <w:num w:numId="3" w16cid:durableId="1692291616">
    <w:abstractNumId w:val="15"/>
  </w:num>
  <w:num w:numId="4" w16cid:durableId="1441800154">
    <w:abstractNumId w:val="33"/>
  </w:num>
  <w:num w:numId="5" w16cid:durableId="566575849">
    <w:abstractNumId w:val="18"/>
  </w:num>
  <w:num w:numId="6" w16cid:durableId="2143187784">
    <w:abstractNumId w:val="31"/>
  </w:num>
  <w:num w:numId="7" w16cid:durableId="547032831">
    <w:abstractNumId w:val="40"/>
  </w:num>
  <w:num w:numId="8" w16cid:durableId="1393848532">
    <w:abstractNumId w:val="11"/>
  </w:num>
  <w:num w:numId="9" w16cid:durableId="575944807">
    <w:abstractNumId w:val="36"/>
  </w:num>
  <w:num w:numId="10" w16cid:durableId="1469978153">
    <w:abstractNumId w:val="9"/>
  </w:num>
  <w:num w:numId="11" w16cid:durableId="875388919">
    <w:abstractNumId w:val="7"/>
  </w:num>
  <w:num w:numId="12" w16cid:durableId="2014801082">
    <w:abstractNumId w:val="6"/>
  </w:num>
  <w:num w:numId="13" w16cid:durableId="1863737775">
    <w:abstractNumId w:val="4"/>
  </w:num>
  <w:num w:numId="14" w16cid:durableId="264465131">
    <w:abstractNumId w:val="8"/>
  </w:num>
  <w:num w:numId="15" w16cid:durableId="1364016157">
    <w:abstractNumId w:val="16"/>
  </w:num>
  <w:num w:numId="16" w16cid:durableId="1221288738">
    <w:abstractNumId w:val="29"/>
  </w:num>
  <w:num w:numId="17" w16cid:durableId="612708569">
    <w:abstractNumId w:val="34"/>
  </w:num>
  <w:num w:numId="18" w16cid:durableId="411584227">
    <w:abstractNumId w:val="19"/>
  </w:num>
  <w:num w:numId="19" w16cid:durableId="191694151">
    <w:abstractNumId w:val="30"/>
  </w:num>
  <w:num w:numId="20" w16cid:durableId="2059549871">
    <w:abstractNumId w:val="37"/>
  </w:num>
  <w:num w:numId="21" w16cid:durableId="119492805">
    <w:abstractNumId w:val="35"/>
  </w:num>
  <w:num w:numId="22" w16cid:durableId="388304661">
    <w:abstractNumId w:val="17"/>
  </w:num>
  <w:num w:numId="23" w16cid:durableId="517617879">
    <w:abstractNumId w:val="32"/>
  </w:num>
  <w:num w:numId="24" w16cid:durableId="221453414">
    <w:abstractNumId w:val="23"/>
  </w:num>
  <w:num w:numId="25" w16cid:durableId="1503736890">
    <w:abstractNumId w:val="27"/>
  </w:num>
  <w:num w:numId="26" w16cid:durableId="1055087614">
    <w:abstractNumId w:val="12"/>
  </w:num>
  <w:num w:numId="27" w16cid:durableId="60059611">
    <w:abstractNumId w:val="14"/>
  </w:num>
  <w:num w:numId="28" w16cid:durableId="1795371197">
    <w:abstractNumId w:val="39"/>
  </w:num>
  <w:num w:numId="29" w16cid:durableId="1626739421">
    <w:abstractNumId w:val="22"/>
  </w:num>
  <w:num w:numId="30" w16cid:durableId="1655523136">
    <w:abstractNumId w:val="28"/>
  </w:num>
  <w:num w:numId="31" w16cid:durableId="1232153213">
    <w:abstractNumId w:val="24"/>
  </w:num>
  <w:num w:numId="32" w16cid:durableId="232981074">
    <w:abstractNumId w:val="21"/>
  </w:num>
  <w:num w:numId="33" w16cid:durableId="1217429127">
    <w:abstractNumId w:val="13"/>
  </w:num>
  <w:num w:numId="34" w16cid:durableId="98843279">
    <w:abstractNumId w:val="5"/>
  </w:num>
  <w:num w:numId="35" w16cid:durableId="1022392523">
    <w:abstractNumId w:val="3"/>
  </w:num>
  <w:num w:numId="36" w16cid:durableId="238757600">
    <w:abstractNumId w:val="2"/>
  </w:num>
  <w:num w:numId="37" w16cid:durableId="146945433">
    <w:abstractNumId w:val="1"/>
  </w:num>
  <w:num w:numId="38" w16cid:durableId="731779197">
    <w:abstractNumId w:val="0"/>
  </w:num>
  <w:num w:numId="39" w16cid:durableId="1339886798">
    <w:abstractNumId w:val="10"/>
  </w:num>
  <w:num w:numId="40" w16cid:durableId="737943548">
    <w:abstractNumId w:val="38"/>
  </w:num>
  <w:num w:numId="41" w16cid:durableId="162276059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0F"/>
    <w:rsid w:val="0000106B"/>
    <w:rsid w:val="00011F81"/>
    <w:rsid w:val="000301BB"/>
    <w:rsid w:val="000452A8"/>
    <w:rsid w:val="00053516"/>
    <w:rsid w:val="000655B2"/>
    <w:rsid w:val="00082638"/>
    <w:rsid w:val="000A0809"/>
    <w:rsid w:val="000A24DA"/>
    <w:rsid w:val="000B0FDA"/>
    <w:rsid w:val="000F6891"/>
    <w:rsid w:val="0012518C"/>
    <w:rsid w:val="001471FD"/>
    <w:rsid w:val="001725DE"/>
    <w:rsid w:val="00172A89"/>
    <w:rsid w:val="00195294"/>
    <w:rsid w:val="00195B18"/>
    <w:rsid w:val="001A02FC"/>
    <w:rsid w:val="001D7F22"/>
    <w:rsid w:val="001F5EE5"/>
    <w:rsid w:val="002057FA"/>
    <w:rsid w:val="002128E8"/>
    <w:rsid w:val="0022000D"/>
    <w:rsid w:val="0022296A"/>
    <w:rsid w:val="00257B69"/>
    <w:rsid w:val="002719CF"/>
    <w:rsid w:val="00274F7F"/>
    <w:rsid w:val="002823E8"/>
    <w:rsid w:val="0028456E"/>
    <w:rsid w:val="00290E1E"/>
    <w:rsid w:val="00295558"/>
    <w:rsid w:val="002B5834"/>
    <w:rsid w:val="003114C8"/>
    <w:rsid w:val="00317F79"/>
    <w:rsid w:val="003547D8"/>
    <w:rsid w:val="00363397"/>
    <w:rsid w:val="003B6518"/>
    <w:rsid w:val="00404949"/>
    <w:rsid w:val="004303E4"/>
    <w:rsid w:val="0044794C"/>
    <w:rsid w:val="00447C79"/>
    <w:rsid w:val="0048193D"/>
    <w:rsid w:val="004B4762"/>
    <w:rsid w:val="004C75DC"/>
    <w:rsid w:val="00523E6B"/>
    <w:rsid w:val="0056083D"/>
    <w:rsid w:val="005E05F0"/>
    <w:rsid w:val="0060203C"/>
    <w:rsid w:val="00645225"/>
    <w:rsid w:val="006547FD"/>
    <w:rsid w:val="00675948"/>
    <w:rsid w:val="00682453"/>
    <w:rsid w:val="0068373E"/>
    <w:rsid w:val="00685C45"/>
    <w:rsid w:val="006E7258"/>
    <w:rsid w:val="006F1A20"/>
    <w:rsid w:val="006F55F5"/>
    <w:rsid w:val="007070B9"/>
    <w:rsid w:val="007A080B"/>
    <w:rsid w:val="007A7ED7"/>
    <w:rsid w:val="007E04C1"/>
    <w:rsid w:val="007F0780"/>
    <w:rsid w:val="00805D9A"/>
    <w:rsid w:val="009030D9"/>
    <w:rsid w:val="00916332"/>
    <w:rsid w:val="0094119C"/>
    <w:rsid w:val="009751F1"/>
    <w:rsid w:val="009829D8"/>
    <w:rsid w:val="009D4589"/>
    <w:rsid w:val="009D76B8"/>
    <w:rsid w:val="009D7E84"/>
    <w:rsid w:val="00A14616"/>
    <w:rsid w:val="00A93F25"/>
    <w:rsid w:val="00AC5C1E"/>
    <w:rsid w:val="00B41617"/>
    <w:rsid w:val="00B94151"/>
    <w:rsid w:val="00BB46BB"/>
    <w:rsid w:val="00BF12E4"/>
    <w:rsid w:val="00C3490F"/>
    <w:rsid w:val="00C74C3B"/>
    <w:rsid w:val="00C930F8"/>
    <w:rsid w:val="00CF2A31"/>
    <w:rsid w:val="00D004C8"/>
    <w:rsid w:val="00D47DA3"/>
    <w:rsid w:val="00D51D22"/>
    <w:rsid w:val="00D92D23"/>
    <w:rsid w:val="00E038D8"/>
    <w:rsid w:val="00E1369F"/>
    <w:rsid w:val="00E160CF"/>
    <w:rsid w:val="00E23328"/>
    <w:rsid w:val="00E31C4D"/>
    <w:rsid w:val="00E5706F"/>
    <w:rsid w:val="00E60506"/>
    <w:rsid w:val="00E71AE7"/>
    <w:rsid w:val="00EA62F0"/>
    <w:rsid w:val="00F12AE3"/>
    <w:rsid w:val="00F37871"/>
    <w:rsid w:val="00F526B7"/>
    <w:rsid w:val="00F54410"/>
    <w:rsid w:val="00F932DB"/>
    <w:rsid w:val="00F9798D"/>
    <w:rsid w:val="00FB10CB"/>
    <w:rsid w:val="00FB510B"/>
    <w:rsid w:val="00FD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37A1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7ED7"/>
    <w:pPr>
      <w:suppressAutoHyphens/>
    </w:pPr>
    <w:rPr>
      <w:sz w:val="24"/>
      <w:lang w:val="en-GB" w:eastAsia="fr-FR"/>
    </w:rPr>
  </w:style>
  <w:style w:type="paragraph" w:styleId="Nagwek1">
    <w:name w:val="heading 1"/>
    <w:basedOn w:val="Normalny"/>
    <w:next w:val="Normalny"/>
    <w:qFormat/>
    <w:rsid w:val="007A7ED7"/>
    <w:pPr>
      <w:keepNext/>
      <w:spacing w:before="360" w:after="240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rsid w:val="007A7ED7"/>
    <w:pPr>
      <w:keepNext/>
      <w:spacing w:before="240" w:after="120"/>
      <w:ind w:left="284" w:hanging="284"/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7A7ED7"/>
    <w:pPr>
      <w:keepNext/>
      <w:spacing w:before="120" w:after="60"/>
      <w:ind w:left="1418" w:hanging="851"/>
      <w:outlineLvl w:val="2"/>
    </w:pPr>
    <w:rPr>
      <w:i/>
    </w:rPr>
  </w:style>
  <w:style w:type="paragraph" w:styleId="Nagwek4">
    <w:name w:val="heading 4"/>
    <w:basedOn w:val="Normalny"/>
    <w:next w:val="Normalny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Nagwek5">
    <w:name w:val="heading 5"/>
    <w:basedOn w:val="Normalny"/>
    <w:next w:val="Normalny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Nagwek6">
    <w:name w:val="heading 6"/>
    <w:basedOn w:val="Normalny"/>
    <w:next w:val="Normalny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Nagwek7">
    <w:name w:val="heading 7"/>
    <w:basedOn w:val="Normalny"/>
    <w:next w:val="Normalny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Nagwek8">
    <w:name w:val="heading 8"/>
    <w:basedOn w:val="Normalny"/>
    <w:next w:val="Normalny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Nagwek9">
    <w:name w:val="heading 9"/>
    <w:basedOn w:val="Normalny"/>
    <w:next w:val="Normalny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A7ED7"/>
    <w:pPr>
      <w:tabs>
        <w:tab w:val="center" w:pos="3686"/>
        <w:tab w:val="right" w:pos="7371"/>
      </w:tabs>
    </w:pPr>
    <w:rPr>
      <w:sz w:val="18"/>
    </w:rPr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przypisudolnego">
    <w:name w:val="footnote text"/>
    <w:basedOn w:val="Normalny"/>
    <w:semiHidden/>
    <w:rsid w:val="007A7ED7"/>
    <w:pPr>
      <w:jc w:val="both"/>
    </w:pPr>
    <w:rPr>
      <w:sz w:val="20"/>
    </w:rPr>
  </w:style>
  <w:style w:type="paragraph" w:styleId="Stopka">
    <w:name w:val="footer"/>
    <w:basedOn w:val="Normalny"/>
    <w:rsid w:val="007A7ED7"/>
    <w:pPr>
      <w:tabs>
        <w:tab w:val="center" w:pos="3686"/>
        <w:tab w:val="right" w:pos="7371"/>
      </w:tabs>
    </w:pPr>
    <w:rPr>
      <w:sz w:val="18"/>
    </w:rPr>
  </w:style>
  <w:style w:type="character" w:styleId="Numerstrony">
    <w:name w:val="page number"/>
    <w:basedOn w:val="Domylnaczcionkaakapitu"/>
    <w:rsid w:val="007A7ED7"/>
    <w:rPr>
      <w:sz w:val="18"/>
    </w:rPr>
  </w:style>
  <w:style w:type="paragraph" w:styleId="Tekstkomentarza">
    <w:name w:val="annotation text"/>
    <w:basedOn w:val="Normalny"/>
    <w:semiHidden/>
    <w:rPr>
      <w:sz w:val="20"/>
    </w:rPr>
  </w:style>
  <w:style w:type="character" w:styleId="Odwoanieprzypisudolnego">
    <w:name w:val="footnote reference"/>
    <w:basedOn w:val="Domylnaczcionkaakapitu"/>
    <w:semiHidden/>
    <w:rsid w:val="007A7ED7"/>
    <w:rPr>
      <w:vertAlign w:val="superscript"/>
    </w:rPr>
  </w:style>
  <w:style w:type="paragraph" w:customStyle="1" w:styleId="JuPara">
    <w:name w:val="Ju_Para"/>
    <w:basedOn w:val="Normalny"/>
    <w:rsid w:val="007A7ED7"/>
    <w:pPr>
      <w:ind w:firstLine="284"/>
      <w:jc w:val="both"/>
    </w:pPr>
  </w:style>
  <w:style w:type="paragraph" w:customStyle="1" w:styleId="JuCase">
    <w:name w:val="Ju_Case"/>
    <w:basedOn w:val="JuPara"/>
    <w:next w:val="JuPara"/>
    <w:rsid w:val="007A7ED7"/>
    <w:rPr>
      <w:b/>
    </w:rPr>
  </w:style>
  <w:style w:type="paragraph" w:customStyle="1" w:styleId="JuJudges">
    <w:name w:val="Ju_Judges"/>
    <w:basedOn w:val="Normalny"/>
    <w:rsid w:val="007A7ED7"/>
    <w:pPr>
      <w:tabs>
        <w:tab w:val="left" w:pos="567"/>
        <w:tab w:val="left" w:pos="1134"/>
      </w:tabs>
    </w:pPr>
  </w:style>
  <w:style w:type="paragraph" w:customStyle="1" w:styleId="JuCourt">
    <w:name w:val="Ju_Court"/>
    <w:basedOn w:val="JuJudges"/>
    <w:rsid w:val="007A7ED7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Head">
    <w:name w:val="Ju_H_Head"/>
    <w:basedOn w:val="Normalny"/>
    <w:next w:val="JuPara"/>
    <w:rsid w:val="007A7ED7"/>
    <w:pPr>
      <w:keepNext/>
      <w:keepLines/>
      <w:spacing w:before="720" w:after="240"/>
      <w:jc w:val="both"/>
    </w:pPr>
    <w:rPr>
      <w:sz w:val="28"/>
    </w:rPr>
  </w:style>
  <w:style w:type="paragraph" w:customStyle="1" w:styleId="JuHIRoman">
    <w:name w:val="Ju_H_I_Roman"/>
    <w:basedOn w:val="JuHHead"/>
    <w:next w:val="JuPara"/>
    <w:rsid w:val="007A7ED7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A">
    <w:name w:val="Ju_H_A"/>
    <w:basedOn w:val="JuHIRoman"/>
    <w:next w:val="JuPara"/>
    <w:rsid w:val="007A7ED7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Ha0">
    <w:name w:val="Ju_H_a"/>
    <w:basedOn w:val="JuH1"/>
    <w:next w:val="JuPara"/>
    <w:rsid w:val="007A7ED7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i">
    <w:name w:val="Ju_H_i"/>
    <w:basedOn w:val="JuHa0"/>
    <w:next w:val="JuPara"/>
    <w:rsid w:val="007A7ED7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customStyle="1" w:styleId="JuHalpha">
    <w:name w:val="Ju_H_alpha"/>
    <w:basedOn w:val="JuHi"/>
    <w:next w:val="JuPara"/>
    <w:rsid w:val="007A7ED7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H">
    <w:name w:val="Ju_H_–"/>
    <w:basedOn w:val="JuHalpha"/>
    <w:next w:val="JuPara"/>
    <w:rsid w:val="007A7ED7"/>
    <w:pPr>
      <w:tabs>
        <w:tab w:val="clear" w:pos="1372"/>
      </w:tabs>
      <w:ind w:left="1236" w:firstLine="0"/>
    </w:pPr>
    <w:rPr>
      <w:i/>
    </w:rPr>
  </w:style>
  <w:style w:type="paragraph" w:customStyle="1" w:styleId="JuH1">
    <w:name w:val="Ju_H_1."/>
    <w:basedOn w:val="JuHA"/>
    <w:next w:val="JuPara"/>
    <w:rsid w:val="007A7ED7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HArticle">
    <w:name w:val="Ju_H_Article"/>
    <w:basedOn w:val="JuHa0"/>
    <w:next w:val="JuQuot"/>
    <w:rsid w:val="007A7ED7"/>
    <w:pPr>
      <w:ind w:left="0" w:firstLine="0"/>
      <w:jc w:val="center"/>
    </w:pPr>
  </w:style>
  <w:style w:type="paragraph" w:customStyle="1" w:styleId="JuQuot">
    <w:name w:val="Ju_Quot"/>
    <w:basedOn w:val="JuPara"/>
    <w:rsid w:val="007A7ED7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basedOn w:val="JuPara"/>
    <w:rsid w:val="007A7ED7"/>
    <w:pPr>
      <w:ind w:left="340" w:hanging="340"/>
    </w:pPr>
  </w:style>
  <w:style w:type="paragraph" w:customStyle="1" w:styleId="JuLista">
    <w:name w:val="Ju_List_a"/>
    <w:basedOn w:val="JuList"/>
    <w:rsid w:val="007A7ED7"/>
    <w:pPr>
      <w:ind w:left="346" w:firstLine="0"/>
    </w:pPr>
  </w:style>
  <w:style w:type="paragraph" w:customStyle="1" w:styleId="JuListi">
    <w:name w:val="Ju_List_i"/>
    <w:basedOn w:val="JuLista"/>
    <w:rsid w:val="007A7ED7"/>
    <w:pPr>
      <w:ind w:left="794"/>
    </w:pPr>
  </w:style>
  <w:style w:type="character" w:customStyle="1" w:styleId="JuNames">
    <w:name w:val="Ju_Names"/>
    <w:basedOn w:val="Domylnaczcionkaakapitu"/>
    <w:rsid w:val="007A7ED7"/>
    <w:rPr>
      <w:smallCaps/>
    </w:rPr>
  </w:style>
  <w:style w:type="paragraph" w:customStyle="1" w:styleId="JuParaLast">
    <w:name w:val="Ju_Para_Last"/>
    <w:basedOn w:val="JuPara"/>
    <w:next w:val="JuPara"/>
    <w:rsid w:val="007A7ED7"/>
    <w:pPr>
      <w:spacing w:before="240"/>
    </w:pPr>
  </w:style>
  <w:style w:type="paragraph" w:customStyle="1" w:styleId="JuParaCharChar">
    <w:name w:val="Ju_Para Char Char"/>
    <w:basedOn w:val="Normalny"/>
    <w:link w:val="JuParaCharCharChar"/>
    <w:rsid w:val="003114C8"/>
    <w:pPr>
      <w:ind w:firstLine="284"/>
      <w:jc w:val="both"/>
    </w:pPr>
  </w:style>
  <w:style w:type="paragraph" w:customStyle="1" w:styleId="JuSigned">
    <w:name w:val="Ju_Signed"/>
    <w:basedOn w:val="Normalny"/>
    <w:next w:val="JuParaLast"/>
    <w:rsid w:val="004303E4"/>
    <w:pPr>
      <w:tabs>
        <w:tab w:val="center" w:pos="851"/>
        <w:tab w:val="center" w:pos="6407"/>
      </w:tabs>
      <w:spacing w:before="720"/>
    </w:pPr>
  </w:style>
  <w:style w:type="paragraph" w:customStyle="1" w:styleId="JuHeader">
    <w:name w:val="Ju_Header"/>
    <w:basedOn w:val="Nagwek"/>
    <w:rsid w:val="007A7ED7"/>
  </w:style>
  <w:style w:type="paragraph" w:customStyle="1" w:styleId="JuInitialled">
    <w:name w:val="Ju_Initialled"/>
    <w:basedOn w:val="JuSigned"/>
    <w:rsid w:val="007A7ED7"/>
    <w:pPr>
      <w:tabs>
        <w:tab w:val="clear" w:pos="851"/>
      </w:tabs>
      <w:jc w:val="right"/>
    </w:pPr>
  </w:style>
  <w:style w:type="paragraph" w:customStyle="1" w:styleId="DecHTitle">
    <w:name w:val="Dec_H_Title"/>
    <w:basedOn w:val="Normalny"/>
    <w:rsid w:val="007A7ED7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sid w:val="007A7ED7"/>
    <w:rPr>
      <w:sz w:val="24"/>
    </w:rPr>
  </w:style>
  <w:style w:type="paragraph" w:customStyle="1" w:styleId="DecList">
    <w:name w:val="Dec_List"/>
    <w:basedOn w:val="Normalny"/>
    <w:rsid w:val="007A7ED7"/>
    <w:pPr>
      <w:spacing w:before="240"/>
      <w:ind w:left="284"/>
      <w:jc w:val="both"/>
    </w:pPr>
  </w:style>
  <w:style w:type="paragraph" w:customStyle="1" w:styleId="JuParaSub">
    <w:name w:val="Ju_Para_Sub"/>
    <w:basedOn w:val="JuPara"/>
    <w:rsid w:val="007A7ED7"/>
    <w:pPr>
      <w:ind w:left="284"/>
    </w:pPr>
    <w:rPr>
      <w:szCs w:val="24"/>
    </w:rPr>
  </w:style>
  <w:style w:type="paragraph" w:customStyle="1" w:styleId="JuQuotSub">
    <w:name w:val="Ju_Quot_Sub"/>
    <w:basedOn w:val="JuQuot"/>
    <w:rsid w:val="007A7ED7"/>
    <w:pPr>
      <w:ind w:left="567"/>
    </w:pPr>
  </w:style>
  <w:style w:type="paragraph" w:customStyle="1" w:styleId="OpiHHead">
    <w:name w:val="Opi_H_Head"/>
    <w:basedOn w:val="JuHHead"/>
    <w:next w:val="OpiPara"/>
    <w:rsid w:val="007A7ED7"/>
    <w:pPr>
      <w:spacing w:before="0"/>
      <w:jc w:val="center"/>
    </w:pPr>
  </w:style>
  <w:style w:type="paragraph" w:customStyle="1" w:styleId="OpiPara">
    <w:name w:val="Opi_Para"/>
    <w:basedOn w:val="JuPara"/>
    <w:rsid w:val="007A7ED7"/>
  </w:style>
  <w:style w:type="paragraph" w:customStyle="1" w:styleId="OpiQuot">
    <w:name w:val="Opi_Quot"/>
    <w:basedOn w:val="JuQuot"/>
    <w:rsid w:val="007A7ED7"/>
  </w:style>
  <w:style w:type="paragraph" w:customStyle="1" w:styleId="OpiTranslation">
    <w:name w:val="Opi_Translation"/>
    <w:basedOn w:val="OpiHHead"/>
    <w:next w:val="OpiPara"/>
    <w:rsid w:val="007A7ED7"/>
    <w:rPr>
      <w:sz w:val="24"/>
    </w:rPr>
  </w:style>
  <w:style w:type="paragraph" w:customStyle="1" w:styleId="OpiCommission">
    <w:name w:val="Opi_Commission"/>
    <w:basedOn w:val="JuJudges"/>
    <w:rsid w:val="007A7ED7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</w:rPr>
  </w:style>
  <w:style w:type="paragraph" w:customStyle="1" w:styleId="OpiConclusion">
    <w:name w:val="Opi_Conclusion"/>
    <w:basedOn w:val="OpiPara"/>
    <w:next w:val="OpiPara"/>
    <w:rsid w:val="007A7ED7"/>
    <w:pPr>
      <w:spacing w:before="360" w:after="120"/>
      <w:ind w:firstLine="0"/>
    </w:pPr>
    <w:rPr>
      <w:i/>
    </w:rPr>
  </w:style>
  <w:style w:type="paragraph" w:customStyle="1" w:styleId="OpiHA">
    <w:name w:val="Opi_H_A"/>
    <w:basedOn w:val="JuHIRoman"/>
    <w:next w:val="OpiPara"/>
    <w:rsid w:val="007A7ED7"/>
    <w:pPr>
      <w:tabs>
        <w:tab w:val="clear" w:pos="357"/>
      </w:tabs>
    </w:pPr>
    <w:rPr>
      <w:b/>
    </w:rPr>
  </w:style>
  <w:style w:type="paragraph" w:customStyle="1" w:styleId="OpiH1">
    <w:name w:val="Opi_H_1."/>
    <w:basedOn w:val="OpiHA"/>
    <w:next w:val="OpiPara"/>
    <w:rsid w:val="007A7ED7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rsid w:val="007A7ED7"/>
    <w:pPr>
      <w:ind w:left="834"/>
    </w:pPr>
    <w:rPr>
      <w:b/>
      <w:i w:val="0"/>
      <w:sz w:val="20"/>
    </w:rPr>
  </w:style>
  <w:style w:type="paragraph" w:customStyle="1" w:styleId="OpiHCommission">
    <w:name w:val="Opi_H_Commission"/>
    <w:basedOn w:val="OpiTranslation"/>
    <w:next w:val="OpiPara"/>
    <w:rsid w:val="007A7ED7"/>
    <w:pPr>
      <w:spacing w:before="480"/>
      <w:ind w:left="1418"/>
      <w:jc w:val="left"/>
    </w:pPr>
    <w:rPr>
      <w:sz w:val="20"/>
    </w:rPr>
  </w:style>
  <w:style w:type="paragraph" w:customStyle="1" w:styleId="OpiHi">
    <w:name w:val="Opi_H_i"/>
    <w:basedOn w:val="OpiHa0"/>
    <w:next w:val="OpiPara"/>
    <w:rsid w:val="007A7ED7"/>
    <w:pPr>
      <w:ind w:left="1038"/>
    </w:pPr>
    <w:rPr>
      <w:b w:val="0"/>
      <w:i/>
    </w:rPr>
  </w:style>
  <w:style w:type="paragraph" w:customStyle="1" w:styleId="OpiHOpinion">
    <w:name w:val="Opi_H_Opinion"/>
    <w:basedOn w:val="OpiHHead"/>
    <w:next w:val="OpiPara"/>
    <w:rsid w:val="007A7ED7"/>
    <w:pPr>
      <w:spacing w:before="240"/>
    </w:pPr>
    <w:rPr>
      <w:b/>
    </w:rPr>
  </w:style>
  <w:style w:type="paragraph" w:customStyle="1" w:styleId="OpiList">
    <w:name w:val="Opi_List"/>
    <w:basedOn w:val="JuList"/>
    <w:rsid w:val="007A7ED7"/>
  </w:style>
  <w:style w:type="character" w:customStyle="1" w:styleId="OpiNames">
    <w:name w:val="Opi_Names"/>
    <w:basedOn w:val="JuNames"/>
    <w:rsid w:val="007A7ED7"/>
    <w:rPr>
      <w:smallCaps/>
    </w:rPr>
  </w:style>
  <w:style w:type="character" w:customStyle="1" w:styleId="OpiNamesSignature">
    <w:name w:val="Opi_Names_Signature"/>
    <w:basedOn w:val="JuNames"/>
    <w:rPr>
      <w:smallCaps/>
    </w:rPr>
  </w:style>
  <w:style w:type="paragraph" w:customStyle="1" w:styleId="OpiQuotList">
    <w:name w:val="Opi_Quot_List"/>
    <w:basedOn w:val="OpiQuot"/>
    <w:rsid w:val="007A7ED7"/>
    <w:pPr>
      <w:tabs>
        <w:tab w:val="left" w:pos="1021"/>
      </w:tabs>
      <w:ind w:left="567" w:firstLine="0"/>
    </w:pPr>
  </w:style>
  <w:style w:type="paragraph" w:customStyle="1" w:styleId="OpiSigned">
    <w:name w:val="Opi_Signed"/>
    <w:basedOn w:val="JuSigned"/>
    <w:rsid w:val="007A7ED7"/>
    <w:pPr>
      <w:tabs>
        <w:tab w:val="clear" w:pos="851"/>
        <w:tab w:val="center" w:pos="1418"/>
        <w:tab w:val="center" w:pos="5954"/>
      </w:tabs>
    </w:pPr>
  </w:style>
  <w:style w:type="paragraph" w:styleId="Tekstdymka">
    <w:name w:val="Balloon Text"/>
    <w:basedOn w:val="Normalny"/>
    <w:semiHidden/>
    <w:rsid w:val="00C3490F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C3490F"/>
    <w:pPr>
      <w:jc w:val="both"/>
    </w:pPr>
    <w:rPr>
      <w:b/>
      <w:bCs/>
    </w:rPr>
  </w:style>
  <w:style w:type="paragraph" w:customStyle="1" w:styleId="PJuPara">
    <w:name w:val="P_Ju_Para"/>
    <w:basedOn w:val="Normalny"/>
    <w:rsid w:val="007A7ED7"/>
    <w:pPr>
      <w:ind w:firstLine="284"/>
      <w:jc w:val="both"/>
    </w:pPr>
  </w:style>
  <w:style w:type="paragraph" w:customStyle="1" w:styleId="PJuQuot">
    <w:name w:val="P_Ju_Quot"/>
    <w:basedOn w:val="Normalny"/>
    <w:rsid w:val="007A7ED7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ny"/>
    <w:rsid w:val="007A7ED7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ny"/>
    <w:next w:val="SuCoverTitle2"/>
    <w:rsid w:val="007A7ED7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ny"/>
    <w:rsid w:val="007A7ED7"/>
    <w:pPr>
      <w:spacing w:before="240"/>
    </w:pPr>
    <w:rPr>
      <w:sz w:val="18"/>
    </w:rPr>
  </w:style>
  <w:style w:type="paragraph" w:customStyle="1" w:styleId="SuPara">
    <w:name w:val="Su_Para"/>
    <w:basedOn w:val="SuKeywords"/>
    <w:rsid w:val="007A7ED7"/>
    <w:pPr>
      <w:spacing w:before="0" w:after="0"/>
    </w:pPr>
    <w:rPr>
      <w:i w:val="0"/>
    </w:rPr>
  </w:style>
  <w:style w:type="paragraph" w:customStyle="1" w:styleId="SuSubject">
    <w:name w:val="Su_Subject"/>
    <w:basedOn w:val="SuSummary"/>
    <w:rsid w:val="007A7ED7"/>
    <w:pPr>
      <w:spacing w:before="360"/>
      <w:jc w:val="both"/>
    </w:pPr>
    <w:rPr>
      <w:b/>
      <w:sz w:val="22"/>
    </w:rPr>
  </w:style>
  <w:style w:type="paragraph" w:customStyle="1" w:styleId="SuHHead">
    <w:name w:val="Su_H_Head"/>
    <w:basedOn w:val="SuSubject"/>
    <w:rsid w:val="007A7ED7"/>
    <w:pPr>
      <w:spacing w:after="120"/>
    </w:pPr>
  </w:style>
  <w:style w:type="paragraph" w:customStyle="1" w:styleId="SuKeywords">
    <w:name w:val="Su_Keywords"/>
    <w:basedOn w:val="SuHHead"/>
    <w:rsid w:val="007A7ED7"/>
    <w:pPr>
      <w:spacing w:before="120"/>
    </w:pPr>
    <w:rPr>
      <w:b w:val="0"/>
      <w:i/>
    </w:rPr>
  </w:style>
  <w:style w:type="paragraph" w:customStyle="1" w:styleId="SuSummary">
    <w:name w:val="Su_Summary"/>
    <w:basedOn w:val="Normalny"/>
    <w:next w:val="SuSubject"/>
    <w:rsid w:val="007A7ED7"/>
    <w:pPr>
      <w:spacing w:after="240"/>
      <w:jc w:val="center"/>
    </w:pPr>
  </w:style>
  <w:style w:type="paragraph" w:customStyle="1" w:styleId="PListCaseNo">
    <w:name w:val="P_List_CaseNo"/>
    <w:basedOn w:val="Normalny"/>
    <w:rsid w:val="007A7ED7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ny"/>
    <w:rsid w:val="007A7ED7"/>
    <w:pPr>
      <w:spacing w:line="288" w:lineRule="auto"/>
    </w:pPr>
  </w:style>
  <w:style w:type="paragraph" w:customStyle="1" w:styleId="PTextIntro">
    <w:name w:val="P_Text_Intro"/>
    <w:basedOn w:val="Normalny"/>
    <w:rsid w:val="007A7ED7"/>
    <w:pPr>
      <w:jc w:val="both"/>
    </w:pPr>
    <w:rPr>
      <w:i/>
      <w:sz w:val="20"/>
    </w:rPr>
  </w:style>
  <w:style w:type="paragraph" w:customStyle="1" w:styleId="PTitleCover">
    <w:name w:val="P_Title_Cover"/>
    <w:basedOn w:val="Normalny"/>
    <w:rsid w:val="007A7ED7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ny"/>
    <w:next w:val="Normalny"/>
    <w:rsid w:val="007A7ED7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ny"/>
    <w:rsid w:val="007A7ED7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ny"/>
    <w:rsid w:val="007A7ED7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ny"/>
    <w:next w:val="PListCaseNo"/>
    <w:rsid w:val="007A7ED7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ny"/>
    <w:next w:val="PListCases"/>
    <w:rsid w:val="007A7ED7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ny"/>
    <w:next w:val="PListCases"/>
    <w:rsid w:val="007A7ED7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ny"/>
    <w:rsid w:val="007A7ED7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ny"/>
    <w:rsid w:val="007A7ED7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rsid w:val="007A7ED7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ny"/>
    <w:rsid w:val="007A7ED7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ny"/>
    <w:rsid w:val="007A7ED7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ny"/>
    <w:rsid w:val="007A7ED7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rsid w:val="007A7ED7"/>
  </w:style>
  <w:style w:type="paragraph" w:customStyle="1" w:styleId="OpiQuotSub">
    <w:name w:val="Opi_Quot_Sub"/>
    <w:basedOn w:val="JuQuotSub"/>
    <w:rsid w:val="007A7ED7"/>
  </w:style>
  <w:style w:type="character" w:customStyle="1" w:styleId="JuParaCharCharChar">
    <w:name w:val="Ju_Para Char Char Char"/>
    <w:basedOn w:val="Domylnaczcionkaakapitu"/>
    <w:link w:val="JuParaCharChar"/>
    <w:rsid w:val="003114C8"/>
    <w:rPr>
      <w:sz w:val="24"/>
      <w:lang w:val="en-GB" w:eastAsia="fr-FR" w:bidi="ar-SA"/>
    </w:rPr>
  </w:style>
  <w:style w:type="character" w:customStyle="1" w:styleId="s4f807e54">
    <w:name w:val="s4f807e54"/>
    <w:basedOn w:val="Domylnaczcionkaakapitu"/>
    <w:uiPriority w:val="99"/>
    <w:rsid w:val="00295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01F8E-86C5-4045-AAFF-3A1AEDBB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1144</Words>
  <Characters>6869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2026-03-17T11:51:00Z</dcterms:created>
  <dcterms:modified xsi:type="dcterms:W3CDTF">2026-03-17T12:32:00Z</dcterms:modified>
  <cp:category/>
</cp:coreProperties>
</file>