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5.2.0 -->
  <w:body>
    <w:p w:rsidR="003114C8">
      <w:pPr>
        <w:pStyle w:val="DecHTitle"/>
      </w:pPr>
      <w:r w:rsidRPr="003114C8">
        <w:t>FOURTH SECTION</w:t>
      </w:r>
    </w:p>
    <w:p w:rsidR="003114C8">
      <w:pPr>
        <w:pStyle w:val="DecHTitle"/>
      </w:pPr>
      <w:r>
        <w:t>FINAL DECISION</w:t>
      </w:r>
    </w:p>
    <w:p w:rsidR="003114C8" w:rsidP="00E1369F">
      <w:pPr>
        <w:pStyle w:val="DecHCase"/>
      </w:pPr>
      <w:r w:rsidRPr="003114C8" w:rsidR="00E1369F">
        <w:t xml:space="preserve">Application no. </w:t>
      </w:r>
      <w:r w:rsidRPr="003114C8">
        <w:t>50428/99</w:t>
      </w:r>
      <w:r w:rsidRPr="003114C8" w:rsidR="00E1369F">
        <w:br/>
        <w:t xml:space="preserve">by </w:t>
      </w:r>
      <w:r w:rsidRPr="003114C8">
        <w:t>Ryszard DZIEDZIC</w:t>
      </w:r>
      <w:r w:rsidRPr="003114C8" w:rsidR="00E1369F">
        <w:br/>
        <w:t xml:space="preserve">against </w:t>
      </w:r>
      <w:smartTag w:uri="urn:schemas-microsoft-com:office:smarttags" w:element="place">
        <w:smartTag w:uri="urn:schemas-microsoft-com:office:smarttags" w:element="country-region">
          <w:r w:rsidRPr="003114C8">
            <w:t>Poland</w:t>
          </w:r>
        </w:smartTag>
      </w:smartTag>
    </w:p>
    <w:p w:rsidRPr="003114C8" w:rsidR="0044794C">
      <w:pPr>
        <w:pStyle w:val="JuPara"/>
      </w:pPr>
      <w:r w:rsidRPr="003114C8">
        <w:t>The European Court of Human Rights</w:t>
      </w:r>
      <w:r w:rsidRPr="003114C8" w:rsidR="003114C8">
        <w:t xml:space="preserve"> (Fourth Section), sitting on</w:t>
      </w:r>
      <w:r w:rsidRPr="003114C8">
        <w:t xml:space="preserve"> </w:t>
      </w:r>
      <w:smartTag w:uri="urn:schemas-microsoft-com:office:smarttags" w:element="date">
        <w:smartTagPr>
          <w:attr w:name="Day" w:val="24"/>
          <w:attr w:name="Month" w:val="5"/>
          <w:attr w:name="Year" w:val="2005"/>
        </w:smartTagPr>
        <w:r w:rsidR="003114C8">
          <w:t>24</w:t>
        </w:r>
        <w:r w:rsidR="00B94151">
          <w:t> Ma</w:t>
        </w:r>
        <w:r w:rsidR="003114C8">
          <w:t>y 2005</w:t>
        </w:r>
      </w:smartTag>
      <w:r w:rsidRPr="003114C8">
        <w:t xml:space="preserve"> a </w:t>
      </w:r>
      <w:r w:rsidRPr="003114C8" w:rsidR="003114C8">
        <w:t>Chamber</w:t>
      </w:r>
      <w:r w:rsidRPr="003114C8">
        <w:t xml:space="preserve"> composed of:</w:t>
      </w:r>
    </w:p>
    <w:p w:rsidRPr="003114C8" w:rsidR="0044794C">
      <w:pPr>
        <w:pStyle w:val="JuJudges"/>
      </w:pPr>
      <w:r w:rsidRPr="003114C8">
        <w:tab/>
      </w:r>
      <w:r w:rsidRPr="003114C8" w:rsidR="003114C8">
        <w:t>Sir</w:t>
      </w:r>
      <w:r w:rsidRPr="003114C8">
        <w:tab/>
      </w:r>
      <w:r w:rsidRPr="003114C8" w:rsidR="003114C8">
        <w:t>Nicolas</w:t>
      </w:r>
      <w:r w:rsidRPr="003114C8">
        <w:t xml:space="preserve"> </w:t>
      </w:r>
      <w:r w:rsidRPr="003114C8" w:rsidR="003114C8">
        <w:rPr>
          <w:rStyle w:val="JuNames"/>
        </w:rPr>
        <w:t>Bratza</w:t>
      </w:r>
      <w:r w:rsidRPr="003114C8">
        <w:t xml:space="preserve">, </w:t>
      </w:r>
      <w:r w:rsidRPr="003114C8" w:rsidR="003114C8">
        <w:rPr>
          <w:i/>
        </w:rPr>
        <w:t>President</w:t>
      </w:r>
      <w:r w:rsidRPr="003114C8">
        <w:t>,</w:t>
        <w:br/>
        <w:tab/>
      </w:r>
      <w:r w:rsidRPr="003114C8" w:rsidR="003114C8">
        <w:t>Mr</w:t>
      </w:r>
      <w:r w:rsidRPr="003114C8">
        <w:tab/>
      </w:r>
      <w:r w:rsidRPr="003114C8" w:rsidR="003114C8">
        <w:rPr>
          <w:rStyle w:val="JuNames"/>
        </w:rPr>
        <w:t>J.</w:t>
      </w:r>
      <w:r w:rsidRPr="003114C8">
        <w:t xml:space="preserve"> </w:t>
      </w:r>
      <w:r w:rsidRPr="003114C8" w:rsidR="003114C8">
        <w:rPr>
          <w:rStyle w:val="JuNames"/>
        </w:rPr>
        <w:t>Casadevall</w:t>
      </w:r>
      <w:r w:rsidRPr="003114C8">
        <w:t>,</w:t>
        <w:br/>
        <w:tab/>
      </w:r>
      <w:r w:rsidRPr="003114C8" w:rsidR="003114C8">
        <w:t>Mr</w:t>
      </w:r>
      <w:r w:rsidRPr="003114C8">
        <w:tab/>
      </w:r>
      <w:r w:rsidRPr="003114C8" w:rsidR="003114C8">
        <w:rPr>
          <w:rStyle w:val="JuNames"/>
        </w:rPr>
        <w:t>G.</w:t>
      </w:r>
      <w:r w:rsidRPr="003114C8">
        <w:t xml:space="preserve"> </w:t>
      </w:r>
      <w:r w:rsidRPr="003114C8" w:rsidR="003114C8">
        <w:rPr>
          <w:rStyle w:val="JuNames"/>
        </w:rPr>
        <w:t>Bonello</w:t>
      </w:r>
      <w:r w:rsidRPr="003114C8">
        <w:t>,</w:t>
        <w:br/>
        <w:tab/>
      </w:r>
      <w:r w:rsidRPr="003114C8" w:rsidR="003114C8">
        <w:t>Mr</w:t>
      </w:r>
      <w:r w:rsidRPr="003114C8">
        <w:tab/>
      </w:r>
      <w:r w:rsidRPr="003114C8" w:rsidR="003114C8">
        <w:rPr>
          <w:rStyle w:val="JuNames"/>
        </w:rPr>
        <w:t>R.</w:t>
      </w:r>
      <w:r w:rsidRPr="003114C8">
        <w:t xml:space="preserve"> </w:t>
      </w:r>
      <w:r w:rsidRPr="003114C8" w:rsidR="003114C8">
        <w:rPr>
          <w:rStyle w:val="JuNames"/>
        </w:rPr>
        <w:t>Maruste</w:t>
      </w:r>
      <w:r w:rsidRPr="003114C8">
        <w:t>,</w:t>
        <w:br/>
        <w:tab/>
      </w:r>
      <w:r w:rsidRPr="003114C8" w:rsidR="003114C8">
        <w:t>Mr</w:t>
      </w:r>
      <w:r w:rsidRPr="003114C8">
        <w:tab/>
      </w:r>
      <w:r w:rsidRPr="003114C8" w:rsidR="003114C8">
        <w:rPr>
          <w:rStyle w:val="JuNames"/>
        </w:rPr>
        <w:t>S.</w:t>
      </w:r>
      <w:r w:rsidRPr="003114C8">
        <w:t xml:space="preserve"> </w:t>
      </w:r>
      <w:r w:rsidRPr="003114C8" w:rsidR="003114C8">
        <w:rPr>
          <w:rStyle w:val="JuNames"/>
        </w:rPr>
        <w:t>Pavlovschi</w:t>
      </w:r>
      <w:r w:rsidRPr="003114C8">
        <w:t>,</w:t>
        <w:br/>
        <w:tab/>
      </w:r>
      <w:r w:rsidRPr="003114C8" w:rsidR="003114C8">
        <w:t>Mr</w:t>
      </w:r>
      <w:r w:rsidRPr="003114C8">
        <w:tab/>
      </w:r>
      <w:r w:rsidRPr="003114C8" w:rsidR="003114C8">
        <w:rPr>
          <w:rStyle w:val="JuNames"/>
        </w:rPr>
        <w:t>L.</w:t>
      </w:r>
      <w:r w:rsidRPr="003114C8">
        <w:t xml:space="preserve"> </w:t>
      </w:r>
      <w:r w:rsidRPr="003114C8" w:rsidR="003114C8">
        <w:rPr>
          <w:rStyle w:val="JuNames"/>
        </w:rPr>
        <w:t>Garlicki</w:t>
      </w:r>
      <w:r w:rsidRPr="003114C8">
        <w:t>,</w:t>
      </w:r>
      <w:r w:rsidRPr="003114C8">
        <w:rPr>
          <w:rStyle w:val="JuNames"/>
        </w:rPr>
        <w:br/>
      </w:r>
      <w:r w:rsidRPr="003114C8">
        <w:tab/>
      </w:r>
      <w:r w:rsidRPr="003114C8" w:rsidR="003114C8">
        <w:t>Mr</w:t>
      </w:r>
      <w:r w:rsidRPr="003114C8">
        <w:tab/>
      </w:r>
      <w:r w:rsidRPr="003114C8" w:rsidR="003114C8">
        <w:rPr>
          <w:rStyle w:val="JuNames"/>
        </w:rPr>
        <w:t>J.</w:t>
      </w:r>
      <w:r w:rsidRPr="003114C8">
        <w:t xml:space="preserve"> </w:t>
      </w:r>
      <w:r w:rsidRPr="003114C8" w:rsidR="003114C8">
        <w:rPr>
          <w:rStyle w:val="JuNames"/>
        </w:rPr>
        <w:t>Borrego Borrego</w:t>
      </w:r>
      <w:r w:rsidRPr="003114C8">
        <w:rPr>
          <w:rStyle w:val="JuNames"/>
        </w:rPr>
        <w:t>,</w:t>
      </w:r>
      <w:r w:rsidRPr="003114C8" w:rsidR="003114C8">
        <w:t xml:space="preserve"> </w:t>
      </w:r>
      <w:r w:rsidRPr="003114C8" w:rsidR="003114C8">
        <w:rPr>
          <w:i/>
        </w:rPr>
        <w:t>judges</w:t>
      </w:r>
      <w:r w:rsidRPr="003114C8" w:rsidR="003114C8">
        <w:t>,</w:t>
      </w:r>
      <w:r w:rsidRPr="003114C8">
        <w:br/>
        <w:t xml:space="preserve">and </w:t>
      </w:r>
      <w:r w:rsidRPr="003114C8" w:rsidR="003114C8">
        <w:t>Mr</w:t>
      </w:r>
      <w:r w:rsidRPr="003114C8">
        <w:t xml:space="preserve"> </w:t>
      </w:r>
      <w:r w:rsidRPr="003114C8" w:rsidR="003114C8">
        <w:rPr>
          <w:rStyle w:val="JuNames"/>
        </w:rPr>
        <w:t>M.</w:t>
      </w:r>
      <w:r w:rsidRPr="003114C8">
        <w:t xml:space="preserve"> </w:t>
      </w:r>
      <w:r w:rsidRPr="003114C8" w:rsidR="003114C8">
        <w:rPr>
          <w:rStyle w:val="JuNames"/>
        </w:rPr>
        <w:t>O</w:t>
      </w:r>
      <w:r w:rsidR="001D7F22">
        <w:rPr>
          <w:rStyle w:val="JuNames"/>
        </w:rPr>
        <w:t>'</w:t>
      </w:r>
      <w:r w:rsidRPr="003114C8" w:rsidR="003114C8">
        <w:rPr>
          <w:rStyle w:val="JuNames"/>
        </w:rPr>
        <w:t>Boyle</w:t>
      </w:r>
      <w:r w:rsidRPr="003114C8">
        <w:t xml:space="preserve">, </w:t>
      </w:r>
      <w:r w:rsidRPr="003114C8" w:rsidR="003114C8">
        <w:rPr>
          <w:i/>
        </w:rPr>
        <w:t>Section Registrar</w:t>
      </w:r>
      <w:r w:rsidRPr="003114C8">
        <w:t>,</w:t>
      </w:r>
    </w:p>
    <w:p w:rsidRPr="003114C8" w:rsidR="0044794C">
      <w:pPr>
        <w:pStyle w:val="JuPara"/>
      </w:pPr>
      <w:r w:rsidRPr="003114C8">
        <w:t>Having regard to the above application lodged</w:t>
      </w:r>
      <w:r w:rsidRPr="003114C8" w:rsidR="003114C8">
        <w:t xml:space="preserve"> with the European Commission of Human Rights</w:t>
      </w:r>
      <w:r w:rsidRPr="003114C8">
        <w:t xml:space="preserve"> on </w:t>
      </w:r>
      <w:smartTag w:uri="urn:schemas-microsoft-com:office:smarttags" w:element="date">
        <w:smartTagPr>
          <w:attr w:name="Day" w:val="6"/>
          <w:attr w:name="Month" w:val="9"/>
          <w:attr w:name="Year" w:val="1998"/>
        </w:smartTagPr>
        <w:r w:rsidRPr="003114C8" w:rsidR="003114C8">
          <w:t>6 September 1998</w:t>
        </w:r>
      </w:smartTag>
      <w:r w:rsidRPr="003114C8">
        <w:t>,</w:t>
      </w:r>
    </w:p>
    <w:p w:rsidRPr="003114C8" w:rsidR="00E038D8">
      <w:pPr>
        <w:pStyle w:val="JuPara"/>
      </w:pPr>
      <w:r w:rsidRPr="003114C8" w:rsidR="0044794C">
        <w:t xml:space="preserve">Having regard to the decision to apply </w:t>
      </w:r>
      <w:r w:rsidRPr="003114C8" w:rsidR="00363397">
        <w:t>Article 29 §</w:t>
      </w:r>
      <w:r w:rsidRPr="003114C8" w:rsidR="00053516">
        <w:t xml:space="preserve"> </w:t>
      </w:r>
      <w:r w:rsidRPr="003114C8" w:rsidR="0044794C">
        <w:t>3 of the Convention</w:t>
      </w:r>
      <w:r w:rsidRPr="003114C8" w:rsidR="009829D8">
        <w:t xml:space="preserve"> </w:t>
      </w:r>
      <w:r w:rsidRPr="003114C8" w:rsidR="007070B9">
        <w:t>and</w:t>
      </w:r>
      <w:r w:rsidRPr="003114C8" w:rsidR="009829D8">
        <w:t xml:space="preserve"> examine the admissibility and merits</w:t>
      </w:r>
      <w:r w:rsidRPr="003114C8" w:rsidR="0060203C">
        <w:t xml:space="preserve"> of the case</w:t>
      </w:r>
      <w:r w:rsidRPr="003114C8" w:rsidR="007070B9">
        <w:t xml:space="preserve"> together</w:t>
      </w:r>
      <w:r w:rsidRPr="003114C8" w:rsidR="0044794C">
        <w:t>.</w:t>
      </w:r>
    </w:p>
    <w:p w:rsidRPr="003114C8" w:rsidR="00FB10CB" w:rsidP="00FB10CB">
      <w:pPr>
        <w:pStyle w:val="JuPara"/>
      </w:pPr>
      <w:r w:rsidRPr="003114C8" w:rsidR="003114C8">
        <w:t>Having regard to Article 5 § 2 of Protocol No. 11 to the Convention, by which the competence to examine the application was transferred to the Court,</w:t>
      </w:r>
    </w:p>
    <w:p w:rsidRPr="003114C8" w:rsidR="00FB10CB" w:rsidP="00BB46BB">
      <w:pPr>
        <w:pStyle w:val="JuPara"/>
      </w:pPr>
      <w:r w:rsidRPr="003114C8">
        <w:t>Having regard to the</w:t>
      </w:r>
      <w:r w:rsidRPr="003114C8" w:rsidR="003114C8">
        <w:t xml:space="preserve"> Commission</w:t>
      </w:r>
      <w:r w:rsidR="001D7F22">
        <w:t>'</w:t>
      </w:r>
      <w:r w:rsidRPr="003114C8" w:rsidR="003114C8">
        <w:t>s</w:t>
      </w:r>
      <w:r w:rsidRPr="003114C8">
        <w:t xml:space="preserve"> partial decision of </w:t>
      </w:r>
      <w:smartTag w:uri="urn:schemas-microsoft-com:office:smarttags" w:element="date">
        <w:smartTagPr>
          <w:attr w:name="Day" w:val="25"/>
          <w:attr w:name="Month" w:val="11"/>
          <w:attr w:name="Year" w:val="2003"/>
        </w:smartTagPr>
        <w:r w:rsidR="003114C8">
          <w:t>25 November 2003</w:t>
        </w:r>
      </w:smartTag>
      <w:r w:rsidRPr="003114C8">
        <w:t>,</w:t>
      </w:r>
    </w:p>
    <w:p w:rsidR="0044794C">
      <w:pPr>
        <w:pStyle w:val="JuPara"/>
      </w:pPr>
      <w:r w:rsidRPr="003114C8">
        <w:t>Having deliberated, decides as follows:</w:t>
      </w:r>
    </w:p>
    <w:p w:rsidRPr="003114C8" w:rsidR="00BB46BB" w:rsidP="00B94151">
      <w:pPr>
        <w:pStyle w:val="JuHHead"/>
      </w:pPr>
      <w:r w:rsidR="00B94151">
        <w:br w:type="page"/>
      </w:r>
      <w:r w:rsidRPr="003114C8">
        <w:t>THE FACTS</w:t>
      </w:r>
    </w:p>
    <w:p w:rsidR="003114C8" w:rsidP="00D51D22">
      <w:pPr>
        <w:pStyle w:val="JuPara"/>
      </w:pPr>
      <w:r w:rsidRPr="003114C8" w:rsidR="00BB46BB">
        <w:t xml:space="preserve">The </w:t>
      </w:r>
      <w:r w:rsidRPr="003114C8">
        <w:t>applicant, Ryszard Dziedzic, is a</w:t>
      </w:r>
      <w:r>
        <w:t xml:space="preserve"> </w:t>
      </w:r>
      <w:r w:rsidRPr="003114C8">
        <w:t xml:space="preserve">Polish national who was born in </w:t>
      </w:r>
      <w:smartTag w:uri="urn:schemas-microsoft-com:office:smarttags" w:element="place">
        <w:smartTag w:uri="urn:schemas-microsoft-com:office:smarttags" w:element="country-region">
          <w:r>
            <w:t>Poland</w:t>
          </w:r>
        </w:smartTag>
      </w:smartTag>
      <w:r w:rsidRPr="003114C8">
        <w:t xml:space="preserve"> and lives in </w:t>
      </w:r>
      <w:r w:rsidRPr="003114C8">
        <w:t>Kołobrzeg.</w:t>
      </w:r>
    </w:p>
    <w:p w:rsidRPr="003114C8" w:rsidR="003114C8" w:rsidP="00BB46BB">
      <w:pPr>
        <w:pStyle w:val="JuHA"/>
      </w:pPr>
      <w:r w:rsidRPr="003114C8">
        <w:t>A.  The circumstances of the case</w:t>
      </w:r>
    </w:p>
    <w:p w:rsidRPr="00D01D43" w:rsidR="003114C8" w:rsidP="003114C8">
      <w:pPr>
        <w:pStyle w:val="JuParaCharChar"/>
      </w:pPr>
      <w:r w:rsidRPr="00D01D43">
        <w:t>The facts of the case, as submitted by the parties, may be summarised as follows.</w:t>
      </w:r>
    </w:p>
    <w:p w:rsidR="003114C8" w:rsidP="00B94151">
      <w:pPr>
        <w:pStyle w:val="JuH1"/>
      </w:pPr>
      <w:r w:rsidRPr="00C428C9">
        <w:t>1.</w:t>
      </w:r>
      <w:r w:rsidR="001D7F22">
        <w:t xml:space="preserve"> </w:t>
      </w:r>
      <w:r w:rsidRPr="00C428C9">
        <w:t>Eviction proceedings</w:t>
      </w:r>
    </w:p>
    <w:p w:rsidRPr="00D01D43" w:rsidR="003114C8" w:rsidP="003114C8">
      <w:pPr>
        <w:pStyle w:val="JuParaCharChar"/>
        <w:rPr>
          <w:rStyle w:val="JuParaCharCharChar"/>
        </w:rPr>
      </w:pPr>
      <w:r w:rsidRPr="00D01D43">
        <w:t xml:space="preserve">On </w:t>
      </w:r>
      <w:smartTag w:uri="urn:schemas-microsoft-com:office:smarttags" w:element="date">
        <w:smartTagPr>
          <w:attr w:name="Day" w:val="21"/>
          <w:attr w:name="Month" w:val="8"/>
          <w:attr w:name="Year" w:val="1995"/>
        </w:smartTagPr>
        <w:r>
          <w:t>21 August 1995</w:t>
        </w:r>
      </w:smartTag>
      <w:r w:rsidRPr="00D01D43">
        <w:t xml:space="preserve"> the applicant was sued by </w:t>
      </w:r>
      <w:r>
        <w:t>c</w:t>
      </w:r>
      <w:r w:rsidRPr="00D01D43">
        <w:t xml:space="preserve">ertain </w:t>
      </w:r>
      <w:r>
        <w:t>H.B. and W.B., the owners of the “Bart-Lex” company,</w:t>
      </w:r>
      <w:r w:rsidRPr="00D01D43">
        <w:t xml:space="preserve"> </w:t>
      </w:r>
      <w:r w:rsidRPr="00D01D43">
        <w:t xml:space="preserve">before the </w:t>
      </w:r>
      <w:smartTag w:uri="urn:schemas-microsoft-com:office:smarttags" w:element="address">
        <w:smartTag w:uri="urn:schemas-microsoft-com:office:smarttags" w:element="Street">
          <w:r>
            <w:t>Kołobrzeg District Court</w:t>
          </w:r>
          <w:r w:rsidRPr="00D01D43">
            <w:t xml:space="preserve"> Court</w:t>
          </w:r>
        </w:smartTag>
      </w:smartTag>
      <w:r w:rsidRPr="00D01D43">
        <w:t xml:space="preserve"> (</w:t>
      </w:r>
      <w:r w:rsidRPr="00D01D43">
        <w:rPr>
          <w:i/>
        </w:rPr>
        <w:t>Sąd Rejonow</w:t>
      </w:r>
      <w:r>
        <w:rPr>
          <w:i/>
        </w:rPr>
        <w:t>y</w:t>
      </w:r>
      <w:r w:rsidRPr="00D01D43">
        <w:t>)</w:t>
      </w:r>
      <w:r>
        <w:t>. They sought</w:t>
      </w:r>
      <w:r w:rsidRPr="00D01D43">
        <w:t xml:space="preserve"> </w:t>
      </w:r>
      <w:r>
        <w:t>his</w:t>
      </w:r>
      <w:r w:rsidRPr="00D01D43">
        <w:t xml:space="preserve"> </w:t>
      </w:r>
      <w:r>
        <w:t>eviction</w:t>
      </w:r>
      <w:r w:rsidRPr="00D01D43">
        <w:t>.</w:t>
      </w:r>
    </w:p>
    <w:p w:rsidRPr="00D01D43" w:rsidR="003114C8" w:rsidP="003114C8">
      <w:pPr>
        <w:pStyle w:val="JuParaCharChar"/>
      </w:pPr>
      <w:r w:rsidRPr="00D01D43">
        <w:t>The proceedings are pending</w:t>
      </w:r>
      <w:r>
        <w:t>.</w:t>
      </w:r>
    </w:p>
    <w:p w:rsidRPr="00C428C9" w:rsidR="003114C8" w:rsidP="00B94151">
      <w:pPr>
        <w:pStyle w:val="JuH1"/>
      </w:pPr>
      <w:r w:rsidRPr="00C428C9">
        <w:t>2.</w:t>
      </w:r>
      <w:r w:rsidR="001D7F22">
        <w:t xml:space="preserve"> </w:t>
      </w:r>
      <w:r w:rsidRPr="00C428C9">
        <w:t>Proceedings relating to the so-called “declaration of will”</w:t>
      </w:r>
    </w:p>
    <w:p w:rsidRPr="00D01D43" w:rsidR="003114C8" w:rsidP="003114C8">
      <w:pPr>
        <w:pStyle w:val="JuParaCharChar"/>
      </w:pPr>
      <w:r w:rsidRPr="00D01D43">
        <w:t xml:space="preserve">On </w:t>
      </w:r>
      <w:smartTag w:uri="urn:schemas-microsoft-com:office:smarttags" w:element="date">
        <w:smartTagPr>
          <w:attr w:name="Day" w:val="27"/>
          <w:attr w:name="Month" w:val="10"/>
          <w:attr w:name="Year" w:val="1995"/>
        </w:smartTagPr>
        <w:r>
          <w:t>27 October 1995</w:t>
        </w:r>
      </w:smartTag>
      <w:r w:rsidRPr="00D01D43">
        <w:t xml:space="preserve"> the applicant lodged a claim </w:t>
      </w:r>
      <w:r>
        <w:t xml:space="preserve">against the “Bart-Lex” company with the </w:t>
      </w:r>
      <w:smartTag w:uri="urn:schemas-microsoft-com:office:smarttags" w:element="address">
        <w:smartTag w:uri="urn:schemas-microsoft-com:office:smarttags" w:element="Street">
          <w:r>
            <w:t>Kołobrzeg Regional Court</w:t>
          </w:r>
        </w:smartTag>
      </w:smartTag>
      <w:r>
        <w:t xml:space="preserve"> (</w:t>
      </w:r>
      <w:r w:rsidRPr="005D641D">
        <w:rPr>
          <w:i/>
        </w:rPr>
        <w:t>Sąd Okręgowy</w:t>
      </w:r>
      <w:r>
        <w:t>). He sought a judgment stipulating that the defendant was obliged to make a declaration of will (</w:t>
      </w:r>
      <w:r w:rsidRPr="00C428C9">
        <w:rPr>
          <w:i/>
        </w:rPr>
        <w:t>oświadczenie woli</w:t>
      </w:r>
      <w:r>
        <w:t>) in the form of a consent to the sale contract.</w:t>
      </w:r>
    </w:p>
    <w:p w:rsidRPr="00D01D43" w:rsidR="003114C8" w:rsidP="003114C8">
      <w:pPr>
        <w:pStyle w:val="JuParaCharChar"/>
      </w:pPr>
      <w:r w:rsidRPr="00D01D43">
        <w:t>The proceedings are pending</w:t>
      </w:r>
      <w:r>
        <w:t>.</w:t>
      </w:r>
    </w:p>
    <w:p w:rsidRPr="00C428C9" w:rsidR="003114C8" w:rsidP="00B94151">
      <w:pPr>
        <w:pStyle w:val="JuH1"/>
      </w:pPr>
      <w:r w:rsidRPr="00C428C9">
        <w:t>3. Proceedings fo</w:t>
      </w:r>
      <w:r w:rsidRPr="00C428C9">
        <w:t>r payment</w:t>
      </w:r>
    </w:p>
    <w:p w:rsidRPr="00D01D43" w:rsidR="003114C8" w:rsidP="003114C8">
      <w:pPr>
        <w:pStyle w:val="JuParaCharChar"/>
      </w:pPr>
      <w:r>
        <w:t xml:space="preserve">On </w:t>
      </w:r>
      <w:smartTag w:uri="urn:schemas-microsoft-com:office:smarttags" w:element="date">
        <w:smartTagPr>
          <w:attr w:name="Day" w:val="15"/>
          <w:attr w:name="Month" w:val="4"/>
          <w:attr w:name="Year" w:val="1996"/>
        </w:smartTagPr>
        <w:r>
          <w:t>15 April 1996</w:t>
        </w:r>
      </w:smartTag>
      <w:r>
        <w:t xml:space="preserve"> the applicant sued the “Bart-Lex” company before the Kołobrzeg District Court, seeking payment.</w:t>
      </w:r>
    </w:p>
    <w:p w:rsidRPr="00D01D43" w:rsidR="003114C8" w:rsidP="003114C8">
      <w:pPr>
        <w:pStyle w:val="JuParaCharChar"/>
      </w:pPr>
      <w:r w:rsidRPr="00D01D43">
        <w:t>The proceedings are pending.</w:t>
      </w:r>
    </w:p>
    <w:p w:rsidRPr="00D01D43" w:rsidR="003114C8" w:rsidP="003114C8">
      <w:pPr>
        <w:pStyle w:val="JuHA"/>
      </w:pPr>
      <w:r w:rsidRPr="00D01D43">
        <w:t>B.  Relevant domestic law and practice</w:t>
      </w:r>
      <w:r>
        <w:rPr>
          <w:rStyle w:val="FootnoteReference"/>
          <w:b/>
        </w:rPr>
        <w:footnoteReference w:id="2"/>
      </w:r>
    </w:p>
    <w:p w:rsidRPr="00D01D43" w:rsidR="003114C8" w:rsidP="003114C8">
      <w:pPr>
        <w:pStyle w:val="JuParaCharChar"/>
      </w:pPr>
      <w:r w:rsidRPr="00D01D43">
        <w:t xml:space="preserve">On </w:t>
      </w:r>
      <w:smartTag w:uri="urn:schemas-microsoft-com:office:smarttags" w:element="date">
        <w:smartTagPr>
          <w:attr w:name="Day" w:val="17"/>
          <w:attr w:name="Month" w:val="9"/>
          <w:attr w:name="Year" w:val="2004"/>
        </w:smartTagPr>
        <w:r w:rsidRPr="00D01D43">
          <w:t>17 September 2004</w:t>
        </w:r>
      </w:smartTag>
      <w:r w:rsidRPr="00D01D43">
        <w:t xml:space="preserve"> the Law of </w:t>
      </w:r>
      <w:smartTag w:uri="urn:schemas-microsoft-com:office:smarttags" w:element="date">
        <w:smartTagPr>
          <w:attr w:name="Day" w:val="17"/>
          <w:attr w:name="Month" w:val="6"/>
          <w:attr w:name="Year" w:val="2004"/>
        </w:smartTagPr>
        <w:r w:rsidRPr="00D01D43">
          <w:t>17 June 2004</w:t>
        </w:r>
      </w:smartTag>
      <w:r w:rsidRPr="00D01D43">
        <w:t xml:space="preserve"> on complaints about</w:t>
      </w:r>
      <w:r w:rsidRPr="00D01D43">
        <w:t xml:space="preserve"> a breach of the right to a trial within a reasonable time (</w:t>
      </w:r>
      <w:r w:rsidRPr="00D01D43">
        <w:rPr>
          <w:i/>
        </w:rPr>
        <w:t>Ustawa o skardze na naruszenie prawa strony do rozpoznania sprawy w postępowaniu sądowym bez nieuzasadnionej zwłoki</w:t>
      </w:r>
      <w:r w:rsidRPr="00D01D43">
        <w:t xml:space="preserve">) (“the 2004 Act”) entered into force. It lays down various legal means designed </w:t>
      </w:r>
      <w:r w:rsidRPr="00D01D43">
        <w:t>to counteract and/or redress the undue length of judicial proceedings.</w:t>
      </w:r>
    </w:p>
    <w:p w:rsidRPr="00D01D43" w:rsidR="003114C8" w:rsidP="003114C8">
      <w:pPr>
        <w:pStyle w:val="JuParaCharChar"/>
      </w:pPr>
      <w:r w:rsidRPr="00D01D43">
        <w:t>Section 2 of the 2004 Act reads, in so far as relevant:</w:t>
      </w:r>
    </w:p>
    <w:p w:rsidRPr="00D01D43" w:rsidR="003114C8" w:rsidP="00274F7F">
      <w:pPr>
        <w:pStyle w:val="JuQuot"/>
      </w:pPr>
      <w:r w:rsidRPr="00D01D43">
        <w:t>“1.  A party to proceedings may lodge a complaint that their right to a trial within a reasonable time has been breached [in the proceedings] if the proceedings in the case last longer than is necessary to examine the factual and legal circumstances of the case ... or longer than is necessary to conclude enforcement proceedings or other proceedings concerning the execution of a court decision (unreasonable length of proceedings).”</w:t>
      </w:r>
    </w:p>
    <w:p w:rsidRPr="00D01D43" w:rsidR="003114C8" w:rsidP="003114C8">
      <w:pPr>
        <w:pStyle w:val="JuParaCharChar"/>
      </w:pPr>
      <w:r w:rsidRPr="00D01D43">
        <w:t>Section 5 reads, in so far as relevant:</w:t>
      </w:r>
    </w:p>
    <w:p w:rsidRPr="00D01D43" w:rsidR="003114C8" w:rsidP="003114C8">
      <w:pPr>
        <w:pStyle w:val="JuQuot"/>
      </w:pPr>
      <w:r w:rsidRPr="00D01D43">
        <w:t>“1.  A complaint about the unreasonable length of proceedings shall be lodged while the proceedings are pending. ...”</w:t>
      </w:r>
    </w:p>
    <w:p w:rsidRPr="00D01D43" w:rsidR="003114C8" w:rsidP="00257B69">
      <w:pPr>
        <w:pStyle w:val="JuPara"/>
      </w:pPr>
      <w:r w:rsidRPr="00D01D43">
        <w:t>Section 12 provides for measures that may be applied by the court dealing with the complaint. It reads, in so far as relevant:</w:t>
      </w:r>
    </w:p>
    <w:p w:rsidRPr="00D01D43" w:rsidR="003114C8" w:rsidP="003114C8">
      <w:pPr>
        <w:pStyle w:val="JuQuot"/>
      </w:pPr>
      <w:r w:rsidRPr="00D01D43">
        <w:t>“1.  The court shall dismiss a complaint which is unjustified.</w:t>
      </w:r>
    </w:p>
    <w:p w:rsidRPr="00D01D43" w:rsidR="003114C8" w:rsidP="003114C8">
      <w:pPr>
        <w:pStyle w:val="JuQuot"/>
      </w:pPr>
      <w:r w:rsidRPr="00D01D43">
        <w:t>2.  If the court considers that the complaint is justified, it shall find that there was an unreasonable delay in the impugned proceedings.</w:t>
      </w:r>
    </w:p>
    <w:p w:rsidRPr="00D01D43" w:rsidR="003114C8" w:rsidP="003114C8">
      <w:pPr>
        <w:pStyle w:val="JuQuot"/>
      </w:pPr>
      <w:r w:rsidRPr="00D01D43">
        <w:t>3.  At the request of the complainant, the court may instruct the court examining the merits of the case to take certain measures within a fixed time-limit. Such instructions shall not concern the factual and legal assessment of the case.</w:t>
      </w:r>
    </w:p>
    <w:p w:rsidRPr="00D01D43" w:rsidR="003114C8" w:rsidP="003114C8">
      <w:pPr>
        <w:pStyle w:val="JuQuot"/>
      </w:pPr>
      <w:r w:rsidRPr="00D01D43">
        <w:t>4.  If the complaint is justified the court may, at the request of the complainant, grant ... just satisfaction in an amount not exceeding PLN 10,000 to be paid by the State Treasury. If such just satisfaction is granted it shall be paid out of the budget of the court which conducted the delayed proceedings.”</w:t>
      </w:r>
    </w:p>
    <w:p w:rsidRPr="00D01D43" w:rsidR="003114C8" w:rsidP="00257B69">
      <w:pPr>
        <w:pStyle w:val="JuPara"/>
      </w:pPr>
      <w:r w:rsidRPr="00D01D43">
        <w:t>Section 18 lays down transitional rules in relation to the applications already pending before the Court. It reads, in so far as relevant:</w:t>
      </w:r>
    </w:p>
    <w:p w:rsidRPr="00D01D43" w:rsidR="003114C8" w:rsidP="00274F7F">
      <w:pPr>
        <w:pStyle w:val="JuQuot"/>
      </w:pPr>
      <w:r w:rsidRPr="00274F7F">
        <w:t>“1.  Within six months after the date of entry into force of this law persons who, before that date, had lodged a complaint with the European Court of Human Rights ... complaining of a breach of the right to a trial within a reasonable time guaranteed by Article 6 (1) of the Convention for the Protection of Human Rights and Fundamental Freedoms ..., may lodge a complaint about the unreasonable length of the proceedings on the basis of the provisions of this law if their complaint to the Court had been</w:t>
      </w:r>
      <w:r w:rsidRPr="00D01D43">
        <w:t xml:space="preserve"> lodged in the course of the impugned proceedings and if the Court has not adopted a decision concerning the admissibility of their case.</w:t>
      </w:r>
    </w:p>
    <w:p w:rsidRPr="00D01D43" w:rsidR="003114C8" w:rsidP="00274F7F">
      <w:pPr>
        <w:pStyle w:val="JuQuot"/>
      </w:pPr>
      <w:r>
        <w:t>...</w:t>
      </w:r>
      <w:r w:rsidRPr="00D01D43">
        <w:t>”</w:t>
      </w:r>
    </w:p>
    <w:p w:rsidRPr="00D01D43" w:rsidR="003114C8" w:rsidP="003114C8">
      <w:pPr>
        <w:pStyle w:val="JuParaCharChar"/>
      </w:pPr>
      <w:r w:rsidRPr="00D01D43">
        <w:t xml:space="preserve">On </w:t>
      </w:r>
      <w:smartTag w:uri="urn:schemas-microsoft-com:office:smarttags" w:element="date">
        <w:smartTagPr>
          <w:attr w:name="Day" w:val="18"/>
          <w:attr w:name="Month" w:val="1"/>
          <w:attr w:name="Year" w:val="2005"/>
        </w:smartTagPr>
        <w:r w:rsidRPr="00D01D43">
          <w:t>18 January 2005</w:t>
        </w:r>
      </w:smartTag>
      <w:r w:rsidRPr="00D01D43">
        <w:t xml:space="preserve"> Supreme Court (</w:t>
      </w:r>
      <w:r w:rsidRPr="00D01D43">
        <w:rPr>
          <w:i/>
        </w:rPr>
        <w:t>Sąd Najwyższy</w:t>
      </w:r>
      <w:r w:rsidRPr="00D01D43">
        <w:t>) adopted a resolution (no. III SPP 113/04) in which it ruled that while the 2004 Act produced legal effects as from the date of its date of entry into force (17 September 2004), its provisions applied retroactively to all proceedings in which</w:t>
      </w:r>
      <w:r w:rsidRPr="00D01D43">
        <w:t xml:space="preserve"> delays had occurred before that date and had not yet been remedied.</w:t>
      </w:r>
    </w:p>
    <w:p w:rsidR="001D7F22" w:rsidP="003114C8">
      <w:pPr>
        <w:pStyle w:val="JuHHead"/>
      </w:pPr>
      <w:r w:rsidRPr="00D01D43" w:rsidR="003114C8">
        <w:t>COMPLAINT</w:t>
      </w:r>
    </w:p>
    <w:p w:rsidRPr="00D01D43" w:rsidR="003114C8" w:rsidP="003114C8">
      <w:pPr>
        <w:pStyle w:val="JuParaCharChar"/>
      </w:pPr>
      <w:r w:rsidRPr="00D01D43">
        <w:t xml:space="preserve">The applicant complained under Article 6 § 1 of the Convention that the length of </w:t>
      </w:r>
      <w:r>
        <w:t>all sets of</w:t>
      </w:r>
      <w:r w:rsidRPr="00D01D43">
        <w:t xml:space="preserve"> proceedings in his case exceeded a “reasonable time” within the meaning of this provision.</w:t>
      </w:r>
    </w:p>
    <w:p w:rsidRPr="00D01D43" w:rsidR="003114C8" w:rsidP="003114C8">
      <w:pPr>
        <w:pStyle w:val="JuHHead"/>
      </w:pPr>
      <w:r w:rsidRPr="00D01D43">
        <w:t>THE LAW</w:t>
      </w:r>
    </w:p>
    <w:p w:rsidRPr="00D01D43" w:rsidR="003114C8" w:rsidP="003114C8">
      <w:pPr>
        <w:pStyle w:val="JuParaCharChar"/>
      </w:pPr>
      <w:r w:rsidRPr="00D01D43">
        <w:t xml:space="preserve">The applicant complained under Article 6 § 1 of the Convention that the length of </w:t>
      </w:r>
      <w:r>
        <w:t>all sets of</w:t>
      </w:r>
      <w:r w:rsidRPr="00D01D43">
        <w:t xml:space="preserve"> proceedings in his case exceeded a “reasonable time” within the meaning of this provision.</w:t>
      </w:r>
    </w:p>
    <w:p w:rsidR="003114C8" w:rsidP="003114C8">
      <w:pPr>
        <w:ind w:firstLine="284"/>
        <w:jc w:val="both"/>
      </w:pPr>
      <w:r>
        <w:t xml:space="preserve">The Government considered that the complaint was manifestly ill-founded. They </w:t>
      </w:r>
      <w:r w:rsidR="00082638">
        <w:t>did not refer</w:t>
      </w:r>
      <w:r>
        <w:t xml:space="preserve"> to the remedies introduced by the 2004 Act.</w:t>
      </w:r>
    </w:p>
    <w:p w:rsidR="003114C8" w:rsidP="003114C8">
      <w:pPr>
        <w:pStyle w:val="JuParaCharChar"/>
      </w:pPr>
      <w:r>
        <w:t xml:space="preserve">The applicant, for his part, maintained that those remedies were not effective and stated explicitly that he had no wish </w:t>
      </w:r>
      <w:r w:rsidR="00082638">
        <w:t>to lodge</w:t>
      </w:r>
      <w:r>
        <w:t xml:space="preserve"> a complaint about a breach of the right to a trial within a reasonable time under the relevant provisions.</w:t>
      </w:r>
    </w:p>
    <w:p w:rsidRPr="00D01D43" w:rsidR="003114C8" w:rsidP="003114C8">
      <w:pPr>
        <w:pStyle w:val="JuParaCharChar"/>
      </w:pPr>
      <w:r w:rsidRPr="00D01D43">
        <w:t>Pursuant to Article 35 § 1 of the Convention:</w:t>
      </w:r>
    </w:p>
    <w:p w:rsidRPr="00D01D43" w:rsidR="003114C8" w:rsidP="003114C8">
      <w:pPr>
        <w:pStyle w:val="JuQuot"/>
      </w:pPr>
      <w:r w:rsidRPr="00D01D43">
        <w:t>“The Court may only deal with the matter after all domestic remedies have been exhausted, according to the generally recognised rules of international law...”</w:t>
      </w:r>
    </w:p>
    <w:p w:rsidRPr="00D01D43" w:rsidR="003114C8" w:rsidP="003114C8">
      <w:pPr>
        <w:pStyle w:val="JuParaCharChar"/>
      </w:pPr>
      <w:r w:rsidRPr="00D01D43">
        <w:t>The Court observes that the present application was lodged with the Court when the relevant proceedings were pen</w:t>
      </w:r>
      <w:r>
        <w:t xml:space="preserve">ding before the domestic court </w:t>
      </w:r>
      <w:r w:rsidRPr="00D01D43">
        <w:t>and that they are still pending.</w:t>
      </w:r>
    </w:p>
    <w:p w:rsidRPr="00D01D43" w:rsidR="003114C8" w:rsidP="003114C8">
      <w:pPr>
        <w:pStyle w:val="JuParaCharChar"/>
      </w:pPr>
      <w:r w:rsidRPr="00D01D43">
        <w:t xml:space="preserve">It further observes that, pursuant to section 18 of the 2004 Act, it was open to persons </w:t>
      </w:r>
      <w:r w:rsidR="00082638">
        <w:t>such</w:t>
      </w:r>
      <w:r w:rsidRPr="00D01D43">
        <w:t xml:space="preserve"> as the applicant in the present case </w:t>
      </w:r>
      <w:r w:rsidR="00082638">
        <w:t>whose</w:t>
      </w:r>
      <w:r w:rsidRPr="00D01D43">
        <w:t xml:space="preserve"> case </w:t>
      </w:r>
      <w:r w:rsidR="00082638">
        <w:t xml:space="preserve">was </w:t>
      </w:r>
      <w:r w:rsidRPr="00D01D43">
        <w:t>pending before the Court to lodge, within six months from 17 September 200</w:t>
      </w:r>
      <w:smartTag w:uri="urn:schemas-microsoft-com:office:smarttags" w:element="PersonName">
        <w:r w:rsidRPr="00D01D43">
          <w:t>4</w:t>
        </w:r>
      </w:smartTag>
      <w:r w:rsidRPr="00D01D43">
        <w:t>, a complaint about the unreasonable length of the proceedings with the relevant domestic court, provided that their application to the Court had been lodged in the course of the impugned proceedings and that it had not yet been declared admissible. Moreover, given that the proceedings complained of are still pending, nothing prevents the applicant from lodging such a complaint even after the expiry of the time-limit set by the transitional rule, in accordance with the general provisions of the 2004 Act.</w:t>
      </w:r>
    </w:p>
    <w:p w:rsidRPr="00D01D43" w:rsidR="003114C8" w:rsidP="003114C8">
      <w:pPr>
        <w:pStyle w:val="JuParaCharChar"/>
      </w:pPr>
      <w:r w:rsidRPr="00D01D43">
        <w:t xml:space="preserve">The Court has already examined that remedy for the purposes of Article 35 § 1 of the Convention </w:t>
      </w:r>
      <w:r w:rsidRPr="00D01D43">
        <w:t xml:space="preserve">and found it effective in respect of complaints about the excessive length of judicial proceedings in </w:t>
      </w:r>
      <w:smartTag w:uri="urn:schemas-microsoft-com:office:smarttags" w:element="place">
        <w:smartTag w:uri="urn:schemas-microsoft-com:office:smarttags" w:element="country-region">
          <w:r w:rsidRPr="00D01D43">
            <w:t>Poland</w:t>
          </w:r>
        </w:smartTag>
      </w:smartTag>
      <w:r w:rsidRPr="00D01D43">
        <w:t xml:space="preserve">. In particular, it considered that it was capable both of preventing the alleged violation of the right to a hearing within a reasonable time or its continuation, and of providing adequate redress for any violation that has already occurred (see </w:t>
      </w:r>
      <w:r w:rsidRPr="00D01D43">
        <w:rPr>
          <w:i/>
        </w:rPr>
        <w:t>Michalak v. Poland</w:t>
      </w:r>
      <w:r w:rsidRPr="00D01D43">
        <w:t xml:space="preserve"> (dec.), no. 24549/03, §§ 37-43).</w:t>
      </w:r>
    </w:p>
    <w:p w:rsidRPr="00D01D43" w:rsidR="003114C8" w:rsidP="003114C8">
      <w:pPr>
        <w:pStyle w:val="JuParaCharChar"/>
      </w:pPr>
      <w:r w:rsidRPr="00D01D43">
        <w:t>However, the applicant, despite having been informed by the Registrar of the possibility of lodging a complaint about the length of the proceedings under the 2004 Act, has chosen not to avail himself of this remedy.</w:t>
      </w:r>
    </w:p>
    <w:p w:rsidRPr="00D01D43" w:rsidR="003114C8" w:rsidP="003114C8">
      <w:pPr>
        <w:pStyle w:val="JuParaCharChar"/>
      </w:pPr>
      <w:r w:rsidRPr="00D01D43">
        <w:t>It follows that the application must be rejected under Article 35 §§ 1 and 4 of the Convention for non-exhaustion of domestic remedies.</w:t>
      </w:r>
    </w:p>
    <w:p w:rsidRPr="00D01D43" w:rsidR="003114C8" w:rsidP="003114C8">
      <w:pPr>
        <w:pStyle w:val="JuParaLast"/>
      </w:pPr>
      <w:r w:rsidRPr="00D01D43">
        <w:t>For these reasons, the Court unanimously</w:t>
      </w:r>
    </w:p>
    <w:p w:rsidRPr="00D01D43" w:rsidR="003114C8" w:rsidP="003114C8">
      <w:pPr>
        <w:pStyle w:val="DecList"/>
      </w:pPr>
      <w:r w:rsidRPr="00D01D43">
        <w:rPr>
          <w:i/>
        </w:rPr>
        <w:t>Decides</w:t>
      </w:r>
      <w:r w:rsidRPr="00D01D43">
        <w:t xml:space="preserve"> to discontinue the application of Article 29 § 3 of the Convention;</w:t>
      </w:r>
    </w:p>
    <w:p w:rsidRPr="00D01D43" w:rsidR="003114C8" w:rsidP="003114C8">
      <w:pPr>
        <w:pStyle w:val="DecList"/>
      </w:pPr>
      <w:r w:rsidRPr="00D01D43">
        <w:rPr>
          <w:i/>
        </w:rPr>
        <w:t>Declares</w:t>
      </w:r>
      <w:r w:rsidRPr="00D01D43">
        <w:t xml:space="preserve"> the remainder of the application inadmissible.</w:t>
      </w:r>
    </w:p>
    <w:p w:rsidR="003114C8" w:rsidP="000A24DA">
      <w:pPr>
        <w:pStyle w:val="JuPara"/>
      </w:pPr>
    </w:p>
    <w:p w:rsidRPr="003114C8" w:rsidR="0044794C">
      <w:pPr>
        <w:pStyle w:val="JuSigned"/>
        <w:keepNext/>
        <w:keepLines/>
      </w:pPr>
      <w:r w:rsidRPr="003114C8" w:rsidR="006F1A20">
        <w:tab/>
      </w:r>
      <w:r w:rsidRPr="003114C8" w:rsidR="003114C8">
        <w:t xml:space="preserve">Michael </w:t>
      </w:r>
      <w:r w:rsidRPr="003114C8" w:rsidR="003114C8">
        <w:rPr>
          <w:rStyle w:val="JuNames"/>
        </w:rPr>
        <w:t>O</w:t>
      </w:r>
      <w:r w:rsidR="001D7F22">
        <w:rPr>
          <w:rStyle w:val="JuNames"/>
        </w:rPr>
        <w:t>'</w:t>
      </w:r>
      <w:r w:rsidRPr="003114C8" w:rsidR="003114C8">
        <w:rPr>
          <w:rStyle w:val="JuNames"/>
        </w:rPr>
        <w:t>Boyle</w:t>
        <w:tab/>
      </w:r>
      <w:r w:rsidRPr="003114C8" w:rsidR="003114C8">
        <w:t xml:space="preserve">Nicolas </w:t>
      </w:r>
      <w:r w:rsidRPr="003114C8" w:rsidR="003114C8">
        <w:rPr>
          <w:rStyle w:val="JuNames"/>
        </w:rPr>
        <w:t>Bratza</w:t>
      </w:r>
      <w:r w:rsidRPr="003114C8" w:rsidR="003114C8">
        <w:br/>
        <w:tab/>
        <w:t>Registrar</w:t>
        <w:tab/>
        <w:t>President</w:t>
      </w:r>
    </w:p>
    <w:sectPr>
      <w:headerReference w:type="even" r:id="rId5"/>
      <w:headerReference w:type="default" r:id="rId6"/>
      <w:headerReference w:type="first" r:id="rId7"/>
      <w:footnotePr>
        <w:numRestart w:val="eachPage"/>
      </w:footnotePr>
      <w:pgSz w:w="11906" w:h="16838"/>
      <w:pgMar w:top="2274" w:right="2274" w:bottom="2274" w:left="2274" w:header="1701" w:footer="708" w:gutter="0"/>
      <w:pgNumType w:start="1"/>
      <w:cols w:space="708"/>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61007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rsidR="00B94151" w:rsidRPr="00293220" w:rsidP="003114C8">
      <w:pPr>
        <w:pStyle w:val="FootnoteText"/>
      </w:pPr>
      <w:r w:rsidRPr="00293220">
        <w:footnoteRef/>
      </w:r>
      <w:r>
        <w:t>.  </w:t>
      </w:r>
      <w:r w:rsidRPr="00293220">
        <w:t>For a more detailed rendition of the relevant domestic legal provisions see</w:t>
      </w:r>
      <w:r>
        <w:t xml:space="preserve"> </w:t>
      </w:r>
      <w:r w:rsidRPr="00293220">
        <w:rPr>
          <w:i/>
          <w:noProof/>
        </w:rPr>
        <w:t>Michalak v. Poland</w:t>
      </w:r>
      <w:r>
        <w:rPr>
          <w:noProof/>
        </w:rPr>
        <w:t xml:space="preserve"> (dec.), no. 24549/03, §§ 12</w:t>
      </w:r>
      <w:r>
        <w:rPr>
          <w:noProof/>
        </w:rPr>
        <w:noBreakHyphen/>
      </w:r>
      <w:r w:rsidRPr="00293220">
        <w:rPr>
          <w:noProof/>
        </w:rPr>
        <w:t>23</w:t>
      </w:r>
      <w:r w:rsidRPr="00293220">
        <w:t>, to be published in ECHR 2005-</w:t>
      </w:r>
      <w:r>
        <w:t xml:space="preserve">... – </w:t>
      </w:r>
      <w:r w:rsidRPr="00293220">
        <w:t>also available on the Court’s Internet site</w:t>
      </w:r>
      <w:r>
        <w:t xml:space="preserve"> (http://www.</w:t>
      </w:r>
      <w:r w:rsidRPr="00293220">
        <w:t>echr@coe.int</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151">
    <w:pPr>
      <w:pStyle w:val="JuHeader"/>
    </w:pPr>
    <w:r>
      <w:rPr>
        <w:rStyle w:val="PageNumber"/>
      </w:rPr>
      <w:fldChar w:fldCharType="begin"/>
    </w:r>
    <w:r>
      <w:rPr>
        <w:rStyle w:val="PageNumber"/>
      </w:rPr>
      <w:instrText xml:space="preserve"> PAGE </w:instrText>
    </w:r>
    <w:r>
      <w:rPr>
        <w:rStyle w:val="PageNumber"/>
      </w:rPr>
      <w:fldChar w:fldCharType="separate"/>
    </w:r>
    <w:r w:rsidR="001D7F22">
      <w:rPr>
        <w:rStyle w:val="PageNumber"/>
        <w:noProof/>
      </w:rPr>
      <w:t>4</w:t>
    </w:r>
    <w:r>
      <w:rPr>
        <w:rStyle w:val="PageNumber"/>
      </w:rPr>
      <w:fldChar w:fldCharType="end"/>
    </w:r>
    <w:r>
      <w:tab/>
      <w:t xml:space="preserve">DZIEDZIC v. </w:t>
    </w:r>
    <w:smartTag w:uri="urn:schemas-microsoft-com:office:smarttags" w:element="place">
      <w:smartTag w:uri="urn:schemas-microsoft-com:office:smarttags" w:element="country-region">
        <w:r>
          <w:t>POLAND</w:t>
        </w:r>
      </w:smartTag>
    </w:smartTag>
    <w:r>
      <w:t xml:space="preserve"> DECISION</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151">
    <w:pPr>
      <w:pStyle w:val="JuHeader"/>
    </w:pPr>
    <w:r>
      <w:tab/>
      <w:t xml:space="preserve">DZIEDZIC v. </w:t>
    </w:r>
    <w:smartTag w:uri="urn:schemas-microsoft-com:office:smarttags" w:element="place">
      <w:smartTag w:uri="urn:schemas-microsoft-com:office:smarttags" w:element="country-region">
        <w:r>
          <w:t>POLAND</w:t>
        </w:r>
      </w:smartTag>
    </w:smartTag>
    <w:r>
      <w:t xml:space="preserve"> DECISION</w:t>
      <w:tab/>
    </w:r>
    <w:r>
      <w:rPr>
        <w:rStyle w:val="PageNumber"/>
      </w:rPr>
      <w:fldChar w:fldCharType="begin"/>
    </w:r>
    <w:r>
      <w:rPr>
        <w:rStyle w:val="PageNumber"/>
      </w:rPr>
      <w:instrText xml:space="preserve"> PAGE </w:instrText>
    </w:r>
    <w:r>
      <w:rPr>
        <w:rStyle w:val="PageNumber"/>
      </w:rPr>
      <w:fldChar w:fldCharType="separate"/>
    </w:r>
    <w:r w:rsidR="001D7F22">
      <w:rPr>
        <w:rStyle w:val="PageNumber"/>
        <w:noProof/>
      </w:rPr>
      <w:t>5</w:t>
    </w:r>
    <w:r>
      <w:rPr>
        <w:rStyle w:val="PageNumber"/>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151">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337.55pt;height:139.55pt" filled="f" fillcolor="window" stroked="f">
          <v:fill o:detectmouseclick="f"/>
          <v:imagedata r:id="rId1" o:title=""/>
        </v:shape>
      </w:pict>
    </w:r>
  </w:p>
  <w:p w:rsidR="00B9415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3E00618"/>
    <w:lvl w:ilvl="0">
      <w:start w:val="1"/>
      <w:numFmt w:val="decimal"/>
      <w:lvlText w:val="%1."/>
      <w:lvlJc w:val="left"/>
      <w:pPr>
        <w:tabs>
          <w:tab w:val="num" w:pos="1492"/>
        </w:tabs>
        <w:ind w:left="1492" w:hanging="360"/>
      </w:pPr>
    </w:lvl>
  </w:abstractNum>
  <w:abstractNum w:abstractNumId="1">
    <w:nsid w:val="FFFFFF7D"/>
    <w:multiLevelType w:val="singleLevel"/>
    <w:tmpl w:val="22C67A0C"/>
    <w:lvl w:ilvl="0">
      <w:start w:val="1"/>
      <w:numFmt w:val="decimal"/>
      <w:lvlText w:val="%1."/>
      <w:lvlJc w:val="left"/>
      <w:pPr>
        <w:tabs>
          <w:tab w:val="num" w:pos="1209"/>
        </w:tabs>
        <w:ind w:left="1209" w:hanging="360"/>
      </w:pPr>
    </w:lvl>
  </w:abstractNum>
  <w:abstractNum w:abstractNumId="2">
    <w:nsid w:val="FFFFFF7E"/>
    <w:multiLevelType w:val="singleLevel"/>
    <w:tmpl w:val="C29EBEB6"/>
    <w:lvl w:ilvl="0">
      <w:start w:val="1"/>
      <w:numFmt w:val="decimal"/>
      <w:lvlText w:val="%1."/>
      <w:lvlJc w:val="left"/>
      <w:pPr>
        <w:tabs>
          <w:tab w:val="num" w:pos="926"/>
        </w:tabs>
        <w:ind w:left="926" w:hanging="360"/>
      </w:pPr>
    </w:lvl>
  </w:abstractNum>
  <w:abstractNum w:abstractNumId="3">
    <w:nsid w:val="FFFFFF7F"/>
    <w:multiLevelType w:val="singleLevel"/>
    <w:tmpl w:val="531A7C68"/>
    <w:lvl w:ilvl="0">
      <w:start w:val="1"/>
      <w:numFmt w:val="decimal"/>
      <w:lvlText w:val="%1."/>
      <w:lvlJc w:val="left"/>
      <w:pPr>
        <w:tabs>
          <w:tab w:val="num" w:pos="643"/>
        </w:tabs>
        <w:ind w:left="643" w:hanging="360"/>
      </w:pPr>
    </w:lvl>
  </w:abstractNum>
  <w:abstractNum w:abstractNumId="4">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B44C73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4887B42"/>
    <w:lvl w:ilvl="0">
      <w:start w:val="1"/>
      <w:numFmt w:val="decimal"/>
      <w:lvlText w:val="%1."/>
      <w:lvlJc w:val="left"/>
      <w:pPr>
        <w:tabs>
          <w:tab w:val="num" w:pos="360"/>
        </w:tabs>
        <w:ind w:left="360" w:hanging="360"/>
      </w:pPr>
    </w:lvl>
  </w:abstractNum>
  <w:abstractNum w:abstractNumId="9">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10">
    <w:nsid w:val="01BF324D"/>
    <w:multiLevelType w:val="singleLevel"/>
    <w:tmpl w:val="AEB835EC"/>
    <w:lvl w:ilvl="0">
      <w:start w:val="1"/>
      <w:numFmt w:val="bullet"/>
      <w:lvlText w:val=""/>
      <w:lvlJc w:val="left"/>
      <w:pPr>
        <w:tabs>
          <w:tab w:val="num" w:pos="360"/>
        </w:tabs>
        <w:ind w:left="357" w:hanging="357"/>
      </w:pPr>
      <w:rPr>
        <w:rFonts w:ascii="Symbol" w:hAnsi="Symbol" w:hint="default"/>
        <w:b w:val="0"/>
        <w:i w:val="0"/>
        <w:color w:val="auto"/>
        <w:sz w:val="16"/>
      </w:rPr>
    </w:lvl>
  </w:abstractNum>
  <w:abstractNum w:abstractNumId="11">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7">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37351914"/>
    <w:multiLevelType w:val="singleLevel"/>
    <w:tmpl w:val="AEB835EC"/>
    <w:lvl w:ilvl="0">
      <w:start w:val="1"/>
      <w:numFmt w:val="bullet"/>
      <w:lvlText w:val=""/>
      <w:lvlJc w:val="left"/>
      <w:pPr>
        <w:tabs>
          <w:tab w:val="num" w:pos="360"/>
        </w:tabs>
        <w:ind w:left="357" w:hanging="357"/>
      </w:pPr>
      <w:rPr>
        <w:rFonts w:ascii="Symbol" w:hAnsi="Symbol" w:hint="default"/>
        <w:b w:val="0"/>
        <w:i w:val="0"/>
        <w:color w:val="auto"/>
        <w:sz w:val="16"/>
      </w:rPr>
    </w:lvl>
  </w:abstractNum>
  <w:abstractNum w:abstractNumId="21">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3DB337B2"/>
    <w:multiLevelType w:val="singleLevel"/>
    <w:tmpl w:val="AEB835EC"/>
    <w:lvl w:ilvl="0">
      <w:start w:val="1"/>
      <w:numFmt w:val="bullet"/>
      <w:lvlText w:val=""/>
      <w:lvlJc w:val="left"/>
      <w:pPr>
        <w:tabs>
          <w:tab w:val="num" w:pos="360"/>
        </w:tabs>
        <w:ind w:left="357" w:hanging="357"/>
      </w:pPr>
      <w:rPr>
        <w:rFonts w:ascii="Symbol" w:hAnsi="Symbol" w:hint="default"/>
        <w:b w:val="0"/>
        <w:i w:val="0"/>
        <w:color w:val="auto"/>
        <w:sz w:val="16"/>
      </w:rPr>
    </w:lvl>
  </w:abstractNum>
  <w:abstractNum w:abstractNumId="26">
    <w:nsid w:val="3E626E9E"/>
    <w:multiLevelType w:val="singleLevel"/>
    <w:tmpl w:val="E484225C"/>
    <w:lvl w:ilvl="0">
      <w:start w:val="0"/>
      <w:numFmt w:val="bullet"/>
      <w:lvlText w:val="–"/>
      <w:lvlJc w:val="left"/>
      <w:pPr>
        <w:tabs>
          <w:tab w:val="num" w:pos="360"/>
        </w:tabs>
        <w:ind w:left="360" w:hanging="360"/>
      </w:pPr>
      <w:rPr>
        <w:rFonts w:hint="default"/>
      </w:rPr>
    </w:lvl>
  </w:abstractNum>
  <w:abstractNum w:abstractNumId="27">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4">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5">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7">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8">
    <w:nsid w:val="7ACC4983"/>
    <w:multiLevelType w:val="singleLevel"/>
    <w:tmpl w:val="E00E1CFC"/>
    <w:lvl w:ilvl="0">
      <w:start w:val="0"/>
      <w:numFmt w:val="bullet"/>
      <w:lvlText w:val="–"/>
      <w:lvlJc w:val="left"/>
      <w:pPr>
        <w:tabs>
          <w:tab w:val="num" w:pos="360"/>
        </w:tabs>
        <w:ind w:left="360" w:hanging="360"/>
      </w:pPr>
      <w:rPr>
        <w:rFonts w:hint="default"/>
      </w:rPr>
    </w:lvl>
  </w:abstractNum>
  <w:abstractNum w:abstractNumId="39">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20"/>
  </w:num>
  <w:num w:numId="2">
    <w:abstractNumId w:val="26"/>
  </w:num>
  <w:num w:numId="3">
    <w:abstractNumId w:val="15"/>
  </w:num>
  <w:num w:numId="4">
    <w:abstractNumId w:val="33"/>
  </w:num>
  <w:num w:numId="5">
    <w:abstractNumId w:val="18"/>
  </w:num>
  <w:num w:numId="6">
    <w:abstractNumId w:val="31"/>
  </w:num>
  <w:num w:numId="7">
    <w:abstractNumId w:val="40"/>
  </w:num>
  <w:num w:numId="8">
    <w:abstractNumId w:val="11"/>
  </w:num>
  <w:num w:numId="9">
    <w:abstractNumId w:val="36"/>
  </w:num>
  <w:num w:numId="10">
    <w:abstractNumId w:val="9"/>
  </w:num>
  <w:num w:numId="11">
    <w:abstractNumId w:val="7"/>
  </w:num>
  <w:num w:numId="12">
    <w:abstractNumId w:val="6"/>
  </w:num>
  <w:num w:numId="13">
    <w:abstractNumId w:val="4"/>
  </w:num>
  <w:num w:numId="14">
    <w:abstractNumId w:val="8"/>
  </w:num>
  <w:num w:numId="15">
    <w:abstractNumId w:val="16"/>
  </w:num>
  <w:num w:numId="16">
    <w:abstractNumId w:val="29"/>
  </w:num>
  <w:num w:numId="17">
    <w:abstractNumId w:val="34"/>
  </w:num>
  <w:num w:numId="18">
    <w:abstractNumId w:val="19"/>
  </w:num>
  <w:num w:numId="19">
    <w:abstractNumId w:val="30"/>
  </w:num>
  <w:num w:numId="20">
    <w:abstractNumId w:val="37"/>
  </w:num>
  <w:num w:numId="21">
    <w:abstractNumId w:val="35"/>
  </w:num>
  <w:num w:numId="22">
    <w:abstractNumId w:val="17"/>
  </w:num>
  <w:num w:numId="23">
    <w:abstractNumId w:val="32"/>
  </w:num>
  <w:num w:numId="24">
    <w:abstractNumId w:val="23"/>
  </w:num>
  <w:num w:numId="25">
    <w:abstractNumId w:val="27"/>
  </w:num>
  <w:num w:numId="26">
    <w:abstractNumId w:val="12"/>
  </w:num>
  <w:num w:numId="27">
    <w:abstractNumId w:val="14"/>
  </w:num>
  <w:num w:numId="28">
    <w:abstractNumId w:val="39"/>
  </w:num>
  <w:num w:numId="29">
    <w:abstractNumId w:val="22"/>
  </w:num>
  <w:num w:numId="30">
    <w:abstractNumId w:val="28"/>
  </w:num>
  <w:num w:numId="31">
    <w:abstractNumId w:val="24"/>
  </w:num>
  <w:num w:numId="32">
    <w:abstractNumId w:val="21"/>
  </w:num>
  <w:num w:numId="33">
    <w:abstractNumId w:val="13"/>
  </w:num>
  <w:num w:numId="34">
    <w:abstractNumId w:val="5"/>
  </w:num>
  <w:num w:numId="35">
    <w:abstractNumId w:val="3"/>
  </w:num>
  <w:num w:numId="36">
    <w:abstractNumId w:val="2"/>
  </w:num>
  <w:num w:numId="37">
    <w:abstractNumId w:val="1"/>
  </w:num>
  <w:num w:numId="38">
    <w:abstractNumId w:val="0"/>
  </w:num>
  <w:num w:numId="39">
    <w:abstractNumId w:val="10"/>
  </w:num>
  <w:num w:numId="40">
    <w:abstractNumId w:val="38"/>
  </w:num>
  <w:num w:numId="41">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3F01"/>
  <w:defaultTabStop w:val="720"/>
  <w:evenAndOddHeaders/>
  <w:displayHorizontalDrawingGridEvery w:val="0"/>
  <w:displayVerticalDrawingGridEvery w:val="0"/>
  <w:doNotUseMarginsForDrawingGridOrigin/>
  <w:drawingGridHorizontalOrigin w:val="1701"/>
  <w:drawingGridVerticalOrigin w:val="1984"/>
  <w:noPunctuationKerning/>
  <w:characterSpacingControl w:val="doNotCompress"/>
  <w:footnotePr>
    <w:numRestart w:val="eachPage"/>
    <w:footnote w:id="0"/>
    <w:footnote w:id="1"/>
  </w:foot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490F"/>
    <w:rsid w:val="00011F81"/>
    <w:rsid w:val="000301BB"/>
    <w:rsid w:val="00053516"/>
    <w:rsid w:val="000655B2"/>
    <w:rsid w:val="00082638"/>
    <w:rsid w:val="000A0809"/>
    <w:rsid w:val="000A24DA"/>
    <w:rsid w:val="000F6891"/>
    <w:rsid w:val="001471FD"/>
    <w:rsid w:val="001725DE"/>
    <w:rsid w:val="00172A89"/>
    <w:rsid w:val="00195294"/>
    <w:rsid w:val="00195B18"/>
    <w:rsid w:val="001A02FC"/>
    <w:rsid w:val="001D7F22"/>
    <w:rsid w:val="001F5EE5"/>
    <w:rsid w:val="002128E8"/>
    <w:rsid w:val="0022296A"/>
    <w:rsid w:val="00257B69"/>
    <w:rsid w:val="00274F7F"/>
    <w:rsid w:val="0028456E"/>
    <w:rsid w:val="00290E1E"/>
    <w:rsid w:val="00293220"/>
    <w:rsid w:val="003114C8"/>
    <w:rsid w:val="003547D8"/>
    <w:rsid w:val="00363397"/>
    <w:rsid w:val="004303E4"/>
    <w:rsid w:val="0044794C"/>
    <w:rsid w:val="00447C79"/>
    <w:rsid w:val="0048193D"/>
    <w:rsid w:val="00523E6B"/>
    <w:rsid w:val="0056083D"/>
    <w:rsid w:val="005D641D"/>
    <w:rsid w:val="0060203C"/>
    <w:rsid w:val="00645225"/>
    <w:rsid w:val="006547FD"/>
    <w:rsid w:val="00675948"/>
    <w:rsid w:val="00682453"/>
    <w:rsid w:val="006E7258"/>
    <w:rsid w:val="006F1A20"/>
    <w:rsid w:val="007070B9"/>
    <w:rsid w:val="007A7ED7"/>
    <w:rsid w:val="007E04C1"/>
    <w:rsid w:val="007F0780"/>
    <w:rsid w:val="00805D9A"/>
    <w:rsid w:val="009030D9"/>
    <w:rsid w:val="00916332"/>
    <w:rsid w:val="009829D8"/>
    <w:rsid w:val="00A14616"/>
    <w:rsid w:val="00A93F25"/>
    <w:rsid w:val="00AC5C1E"/>
    <w:rsid w:val="00B41617"/>
    <w:rsid w:val="00B94151"/>
    <w:rsid w:val="00BB46BB"/>
    <w:rsid w:val="00BF12E4"/>
    <w:rsid w:val="00C3490F"/>
    <w:rsid w:val="00C428C9"/>
    <w:rsid w:val="00C74C3B"/>
    <w:rsid w:val="00CF2A31"/>
    <w:rsid w:val="00D004C8"/>
    <w:rsid w:val="00D01D43"/>
    <w:rsid w:val="00D47DA3"/>
    <w:rsid w:val="00D51D22"/>
    <w:rsid w:val="00E038D8"/>
    <w:rsid w:val="00E1369F"/>
    <w:rsid w:val="00E160CF"/>
    <w:rsid w:val="00E23328"/>
    <w:rsid w:val="00E60506"/>
    <w:rsid w:val="00E71AE7"/>
    <w:rsid w:val="00F526B7"/>
    <w:rsid w:val="00F54410"/>
    <w:rsid w:val="00F932DB"/>
    <w:rsid w:val="00FB10CB"/>
    <w:rsid w:val="00FD20D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ED7"/>
    <w:pPr>
      <w:suppressAutoHyphens/>
    </w:pPr>
    <w:rPr>
      <w:sz w:val="24"/>
      <w:lang w:val="en-GB" w:eastAsia="fr-FR" w:bidi="ar-SA"/>
    </w:rPr>
  </w:style>
  <w:style w:type="paragraph" w:styleId="Heading1">
    <w:name w:val="heading 1"/>
    <w:basedOn w:val="Normal"/>
    <w:next w:val="Normal"/>
    <w:uiPriority w:val="9"/>
    <w:qFormat/>
    <w:rsid w:val="007A7ED7"/>
    <w:pPr>
      <w:keepNext/>
      <w:spacing w:before="360" w:after="240"/>
      <w:jc w:val="center"/>
      <w:outlineLvl w:val="0"/>
    </w:pPr>
    <w:rPr>
      <w:b/>
      <w:sz w:val="28"/>
    </w:rPr>
  </w:style>
  <w:style w:type="paragraph" w:styleId="Heading2">
    <w:name w:val="heading 2"/>
    <w:basedOn w:val="Normal"/>
    <w:next w:val="Normal"/>
    <w:uiPriority w:val="9"/>
    <w:qFormat/>
    <w:rsid w:val="007A7ED7"/>
    <w:pPr>
      <w:keepNext/>
      <w:spacing w:before="240" w:after="120"/>
      <w:ind w:left="284" w:hanging="284"/>
      <w:outlineLvl w:val="1"/>
    </w:pPr>
    <w:rPr>
      <w:b/>
    </w:rPr>
  </w:style>
  <w:style w:type="paragraph" w:styleId="Heading3">
    <w:name w:val="heading 3"/>
    <w:basedOn w:val="Normal"/>
    <w:next w:val="Normal"/>
    <w:uiPriority w:val="9"/>
    <w:qFormat/>
    <w:rsid w:val="007A7ED7"/>
    <w:pPr>
      <w:keepNext/>
      <w:spacing w:before="120" w:after="60"/>
      <w:ind w:left="1418" w:hanging="851"/>
      <w:outlineLvl w:val="2"/>
    </w:pPr>
    <w:rPr>
      <w:i/>
    </w:rPr>
  </w:style>
  <w:style w:type="paragraph" w:styleId="Heading4">
    <w:name w:val="heading 4"/>
    <w:basedOn w:val="Normal"/>
    <w:next w:val="Normal"/>
    <w:uiPriority w:val="9"/>
    <w:qFormat/>
    <w:pPr>
      <w:widowControl w:val="0"/>
      <w:numPr>
        <w:ilvl w:val="4"/>
        <w:numId w:val="0"/>
      </w:numPr>
      <w:suppressAutoHyphens/>
      <w:jc w:val="left"/>
      <w:outlineLvl w:val="3"/>
    </w:pPr>
    <w:rPr>
      <w:rFonts w:ascii="Courier" w:hAnsi="Courier"/>
      <w:noProof w:val="0"/>
      <w:snapToGrid w:val="0"/>
      <w:lang w:val="en-US" w:eastAsia="en-US"/>
    </w:rPr>
  </w:style>
  <w:style w:type="paragraph" w:styleId="Heading5">
    <w:name w:val="heading 5"/>
    <w:basedOn w:val="Normal"/>
    <w:next w:val="Normal"/>
    <w:uiPriority w:val="9"/>
    <w:qFormat/>
    <w:pPr>
      <w:widowControl w:val="0"/>
      <w:numPr>
        <w:ilvl w:val="5"/>
        <w:numId w:val="0"/>
      </w:numPr>
      <w:suppressAutoHyphens/>
      <w:jc w:val="left"/>
      <w:outlineLvl w:val="4"/>
    </w:pPr>
    <w:rPr>
      <w:rFonts w:ascii="Courier" w:hAnsi="Courier"/>
      <w:noProof w:val="0"/>
      <w:snapToGrid w:val="0"/>
      <w:lang w:val="en-US" w:eastAsia="en-US"/>
    </w:rPr>
  </w:style>
  <w:style w:type="paragraph" w:styleId="Heading6">
    <w:name w:val="heading 6"/>
    <w:basedOn w:val="Normal"/>
    <w:next w:val="Normal"/>
    <w:uiPriority w:val="9"/>
    <w:qFormat/>
    <w:pPr>
      <w:widowControl w:val="0"/>
      <w:numPr>
        <w:ilvl w:val="6"/>
        <w:numId w:val="0"/>
      </w:numPr>
      <w:suppressAutoHyphens/>
      <w:jc w:val="left"/>
      <w:outlineLvl w:val="5"/>
    </w:pPr>
    <w:rPr>
      <w:rFonts w:ascii="Courier" w:hAnsi="Courier"/>
      <w:noProof w:val="0"/>
      <w:snapToGrid w:val="0"/>
      <w:lang w:val="en-US" w:eastAsia="en-US"/>
    </w:rPr>
  </w:style>
  <w:style w:type="paragraph" w:styleId="Heading7">
    <w:name w:val="heading 7"/>
    <w:basedOn w:val="Normal"/>
    <w:next w:val="Normal"/>
    <w:uiPriority w:val="9"/>
    <w:qFormat/>
    <w:pPr>
      <w:widowControl w:val="0"/>
      <w:numPr>
        <w:ilvl w:val="7"/>
        <w:numId w:val="0"/>
      </w:numPr>
      <w:suppressAutoHyphens/>
      <w:jc w:val="left"/>
      <w:outlineLvl w:val="6"/>
    </w:pPr>
    <w:rPr>
      <w:rFonts w:ascii="Courier" w:hAnsi="Courier"/>
      <w:noProof w:val="0"/>
      <w:snapToGrid w:val="0"/>
      <w:lang w:val="en-US" w:eastAsia="en-US"/>
    </w:rPr>
  </w:style>
  <w:style w:type="paragraph" w:styleId="Heading8">
    <w:name w:val="heading 8"/>
    <w:basedOn w:val="Normal"/>
    <w:next w:val="Normal"/>
    <w:uiPriority w:val="9"/>
    <w:qFormat/>
    <w:pPr>
      <w:widowControl w:val="0"/>
      <w:numPr>
        <w:ilvl w:val="8"/>
        <w:numId w:val="0"/>
      </w:numPr>
      <w:suppressAutoHyphens/>
      <w:jc w:val="left"/>
      <w:outlineLvl w:val="7"/>
    </w:pPr>
    <w:rPr>
      <w:rFonts w:ascii="Courier" w:hAnsi="Courier"/>
      <w:noProof w:val="0"/>
      <w:snapToGrid w:val="0"/>
      <w:lang w:val="en-US" w:eastAsia="en-US"/>
    </w:rPr>
  </w:style>
  <w:style w:type="paragraph" w:styleId="Heading9">
    <w:name w:val="heading 9"/>
    <w:basedOn w:val="Normal"/>
    <w:next w:val="Normal"/>
    <w:uiPriority w:val="9"/>
    <w:qFormat/>
    <w:pPr>
      <w:keepNext/>
      <w:tabs>
        <w:tab w:val="left" w:pos="-1440"/>
        <w:tab w:val="left" w:pos="-720"/>
        <w:tab w:val="left" w:pos="0"/>
        <w:tab w:val="left" w:pos="1056"/>
        <w:tab w:val="left" w:pos="1584"/>
        <w:tab w:val="left" w:pos="2112"/>
        <w:tab w:val="left" w:pos="2880"/>
      </w:tabs>
      <w:suppressAutoHyphens/>
      <w:ind w:left="-306" w:right="-306"/>
      <w:outlineLvl w:val="8"/>
    </w:pPr>
    <w:rPr>
      <w:i/>
      <w:spacing w:val="-2"/>
      <w:sz w:val="22"/>
    </w:rPr>
  </w:style>
  <w:style w:type="character" w:default="1" w:styleId="DefaultParagraphFont">
    <w:name w:val="Default Paragraph Font"/>
    <w:semiHidden/>
    <w:rsid w:val="007A7ED7"/>
  </w:style>
  <w:style w:type="table" w:default="1" w:styleId="TableNormal">
    <w:name w:val="Normal Table"/>
    <w:semiHidden/>
    <w:rsid w:val="007A7ED7"/>
    <w:tblPr>
      <w:tblInd w:w="0" w:type="dxa"/>
      <w:tblCellMar>
        <w:top w:w="0" w:type="dxa"/>
        <w:left w:w="108" w:type="dxa"/>
        <w:bottom w:w="0" w:type="dxa"/>
        <w:right w:w="108" w:type="dxa"/>
      </w:tblCellMar>
    </w:tblPr>
  </w:style>
  <w:style w:type="numbering" w:default="1" w:styleId="NoList">
    <w:name w:val="No List"/>
    <w:semiHidden/>
    <w:rsid w:val="007A7ED7"/>
  </w:style>
  <w:style w:type="paragraph" w:styleId="Header">
    <w:name w:val="header"/>
    <w:basedOn w:val="Normal"/>
    <w:rsid w:val="007A7ED7"/>
    <w:pPr>
      <w:tabs>
        <w:tab w:val="center" w:pos="3686"/>
        <w:tab w:val="right" w:pos="7371"/>
      </w:tabs>
    </w:pPr>
    <w:rPr>
      <w:sz w:val="18"/>
    </w:rPr>
  </w:style>
  <w:style w:type="character" w:styleId="CommentReference">
    <w:name w:val="annotation reference"/>
    <w:basedOn w:val="DefaultParagraphFont"/>
    <w:semiHidden/>
    <w:rPr>
      <w:sz w:val="16"/>
    </w:rPr>
  </w:style>
  <w:style w:type="paragraph" w:styleId="FootnoteText">
    <w:name w:val="footnote text"/>
    <w:basedOn w:val="Normal"/>
    <w:semiHidden/>
    <w:rsid w:val="007A7ED7"/>
    <w:pPr>
      <w:jc w:val="both"/>
    </w:pPr>
    <w:rPr>
      <w:sz w:val="20"/>
    </w:rPr>
  </w:style>
  <w:style w:type="paragraph" w:styleId="Footer">
    <w:name w:val="footer"/>
    <w:basedOn w:val="Normal"/>
    <w:rsid w:val="007A7ED7"/>
    <w:pPr>
      <w:tabs>
        <w:tab w:val="center" w:pos="3686"/>
        <w:tab w:val="right" w:pos="7371"/>
      </w:tabs>
    </w:pPr>
    <w:rPr>
      <w:sz w:val="18"/>
    </w:rPr>
  </w:style>
  <w:style w:type="character" w:styleId="PageNumber">
    <w:name w:val="page number"/>
    <w:basedOn w:val="DefaultParagraphFont"/>
    <w:rsid w:val="007A7ED7"/>
    <w:rPr>
      <w:sz w:val="18"/>
    </w:rPr>
  </w:style>
  <w:style w:type="paragraph" w:styleId="CommentText">
    <w:name w:val="annotation text"/>
    <w:basedOn w:val="Normal"/>
    <w:semiHidden/>
    <w:pPr>
      <w:suppressAutoHyphens/>
      <w:jc w:val="left"/>
    </w:pPr>
    <w:rPr>
      <w:sz w:val="20"/>
    </w:rPr>
  </w:style>
  <w:style w:type="character" w:styleId="FootnoteReference">
    <w:name w:val="footnote reference"/>
    <w:basedOn w:val="DefaultParagraphFont"/>
    <w:semiHidden/>
    <w:rsid w:val="007A7ED7"/>
    <w:rPr>
      <w:vertAlign w:val="superscript"/>
    </w:rPr>
  </w:style>
  <w:style w:type="paragraph" w:customStyle="1" w:styleId="JuPara">
    <w:name w:val="Ju_Para"/>
    <w:basedOn w:val="Normal"/>
    <w:rsid w:val="007A7ED7"/>
    <w:pPr>
      <w:ind w:firstLine="284"/>
      <w:jc w:val="both"/>
    </w:pPr>
  </w:style>
  <w:style w:type="paragraph" w:customStyle="1" w:styleId="JuCase">
    <w:name w:val="Ju_Case"/>
    <w:basedOn w:val="JuPara"/>
    <w:next w:val="JuPara"/>
    <w:rsid w:val="007A7ED7"/>
    <w:rPr>
      <w:b/>
    </w:rPr>
  </w:style>
  <w:style w:type="paragraph" w:customStyle="1" w:styleId="JuJudges">
    <w:name w:val="Ju_Judges"/>
    <w:basedOn w:val="Normal"/>
    <w:rsid w:val="007A7ED7"/>
    <w:pPr>
      <w:tabs>
        <w:tab w:val="left" w:pos="567"/>
        <w:tab w:val="left" w:pos="1134"/>
      </w:tabs>
    </w:pPr>
  </w:style>
  <w:style w:type="paragraph" w:customStyle="1" w:styleId="JuCourt">
    <w:name w:val="Ju_Court"/>
    <w:basedOn w:val="JuJudges"/>
    <w:rsid w:val="007A7ED7"/>
    <w:pPr>
      <w:tabs>
        <w:tab w:val="clear" w:pos="567"/>
        <w:tab w:val="left" w:pos="907"/>
        <w:tab w:val="clear" w:pos="1134"/>
        <w:tab w:val="left" w:pos="1701"/>
        <w:tab w:val="right" w:pos="7371"/>
      </w:tabs>
      <w:spacing w:before="240"/>
      <w:ind w:left="397" w:hanging="397"/>
    </w:pPr>
  </w:style>
  <w:style w:type="paragraph" w:customStyle="1" w:styleId="JuHHead">
    <w:name w:val="Ju_H_Head"/>
    <w:basedOn w:val="Normal"/>
    <w:next w:val="JuPara"/>
    <w:rsid w:val="007A7ED7"/>
    <w:pPr>
      <w:keepNext/>
      <w:keepLines/>
      <w:spacing w:before="720" w:after="240"/>
      <w:jc w:val="both"/>
    </w:pPr>
    <w:rPr>
      <w:sz w:val="28"/>
    </w:rPr>
  </w:style>
  <w:style w:type="paragraph" w:customStyle="1" w:styleId="JuHIRoman">
    <w:name w:val="Ju_H_I_Roman"/>
    <w:basedOn w:val="JuHHead"/>
    <w:next w:val="JuPara"/>
    <w:rsid w:val="007A7ED7"/>
    <w:pPr>
      <w:tabs>
        <w:tab w:val="left" w:pos="357"/>
      </w:tabs>
      <w:spacing w:before="360"/>
      <w:ind w:left="357" w:hanging="357"/>
    </w:pPr>
    <w:rPr>
      <w:sz w:val="24"/>
    </w:rPr>
  </w:style>
  <w:style w:type="paragraph" w:customStyle="1" w:styleId="JuHA">
    <w:name w:val="Ju_H_A"/>
    <w:basedOn w:val="JuHIRoman"/>
    <w:next w:val="JuPara"/>
    <w:rsid w:val="007A7ED7"/>
    <w:pPr>
      <w:tabs>
        <w:tab w:val="clear" w:pos="357"/>
        <w:tab w:val="left" w:pos="584"/>
      </w:tabs>
      <w:ind w:left="584" w:hanging="352"/>
    </w:pPr>
    <w:rPr>
      <w:b/>
    </w:rPr>
  </w:style>
  <w:style w:type="paragraph" w:customStyle="1" w:styleId="JuHa0">
    <w:name w:val="Ju_H_a"/>
    <w:basedOn w:val="JuH1"/>
    <w:next w:val="JuPara"/>
    <w:rsid w:val="007A7ED7"/>
    <w:pPr>
      <w:tabs>
        <w:tab w:val="clear" w:pos="731"/>
        <w:tab w:val="left" w:pos="975"/>
      </w:tabs>
      <w:ind w:left="975" w:hanging="340"/>
    </w:pPr>
    <w:rPr>
      <w:b/>
      <w:i w:val="0"/>
      <w:sz w:val="20"/>
    </w:rPr>
  </w:style>
  <w:style w:type="paragraph" w:customStyle="1" w:styleId="JuHi">
    <w:name w:val="Ju_H_i"/>
    <w:basedOn w:val="JuHa0"/>
    <w:next w:val="JuPara"/>
    <w:rsid w:val="007A7ED7"/>
    <w:pPr>
      <w:tabs>
        <w:tab w:val="clear" w:pos="975"/>
        <w:tab w:val="left" w:pos="1191"/>
      </w:tabs>
      <w:ind w:left="1190" w:hanging="357"/>
    </w:pPr>
    <w:rPr>
      <w:b w:val="0"/>
      <w:i/>
    </w:rPr>
  </w:style>
  <w:style w:type="paragraph" w:customStyle="1" w:styleId="JuHalpha">
    <w:name w:val="Ju_H_alpha"/>
    <w:basedOn w:val="JuHi"/>
    <w:next w:val="JuPara"/>
    <w:rsid w:val="007A7ED7"/>
    <w:pPr>
      <w:tabs>
        <w:tab w:val="clear" w:pos="1191"/>
        <w:tab w:val="left" w:pos="1372"/>
      </w:tabs>
      <w:ind w:left="1373" w:hanging="335"/>
    </w:pPr>
    <w:rPr>
      <w:i w:val="0"/>
    </w:rPr>
  </w:style>
  <w:style w:type="paragraph" w:customStyle="1" w:styleId="JuH">
    <w:name w:val="Ju_H_–"/>
    <w:basedOn w:val="JuHalpha"/>
    <w:next w:val="JuPara"/>
    <w:rsid w:val="007A7ED7"/>
    <w:pPr>
      <w:tabs>
        <w:tab w:val="clear" w:pos="1372"/>
      </w:tabs>
      <w:ind w:left="1236" w:firstLine="0"/>
    </w:pPr>
    <w:rPr>
      <w:i/>
    </w:rPr>
  </w:style>
  <w:style w:type="paragraph" w:customStyle="1" w:styleId="JuH1">
    <w:name w:val="Ju_H_1."/>
    <w:basedOn w:val="JuHA"/>
    <w:next w:val="JuPara"/>
    <w:rsid w:val="007A7ED7"/>
    <w:pPr>
      <w:tabs>
        <w:tab w:val="clear" w:pos="584"/>
        <w:tab w:val="left" w:pos="731"/>
      </w:tabs>
      <w:spacing w:before="240" w:after="120"/>
      <w:ind w:left="732" w:hanging="301"/>
    </w:pPr>
    <w:rPr>
      <w:b w:val="0"/>
      <w:i/>
    </w:rPr>
  </w:style>
  <w:style w:type="paragraph" w:customStyle="1" w:styleId="JuHArticle">
    <w:name w:val="Ju_H_Article"/>
    <w:basedOn w:val="JuHa0"/>
    <w:next w:val="JuQuot"/>
    <w:rsid w:val="007A7ED7"/>
    <w:pPr>
      <w:ind w:left="0" w:firstLine="0"/>
      <w:jc w:val="center"/>
    </w:pPr>
  </w:style>
  <w:style w:type="paragraph" w:customStyle="1" w:styleId="JuQuot">
    <w:name w:val="Ju_Quot"/>
    <w:basedOn w:val="JuPara"/>
    <w:rsid w:val="007A7ED7"/>
    <w:pPr>
      <w:spacing w:before="120" w:after="120"/>
      <w:ind w:left="425" w:firstLine="142"/>
    </w:pPr>
    <w:rPr>
      <w:sz w:val="20"/>
    </w:rPr>
  </w:style>
  <w:style w:type="paragraph" w:customStyle="1" w:styleId="JuList">
    <w:name w:val="Ju_List"/>
    <w:basedOn w:val="JuPara"/>
    <w:rsid w:val="007A7ED7"/>
    <w:pPr>
      <w:ind w:left="340" w:hanging="340"/>
    </w:pPr>
  </w:style>
  <w:style w:type="paragraph" w:customStyle="1" w:styleId="JuLista">
    <w:name w:val="Ju_List_a"/>
    <w:basedOn w:val="JuList"/>
    <w:rsid w:val="007A7ED7"/>
    <w:pPr>
      <w:ind w:left="346" w:firstLine="0"/>
    </w:pPr>
  </w:style>
  <w:style w:type="paragraph" w:customStyle="1" w:styleId="JuListi">
    <w:name w:val="Ju_List_i"/>
    <w:basedOn w:val="JuLista"/>
    <w:rsid w:val="007A7ED7"/>
    <w:pPr>
      <w:ind w:left="794"/>
    </w:pPr>
  </w:style>
  <w:style w:type="character" w:customStyle="1" w:styleId="JuNames">
    <w:name w:val="Ju_Names"/>
    <w:basedOn w:val="DefaultParagraphFont"/>
    <w:rsid w:val="007A7ED7"/>
    <w:rPr>
      <w:smallCaps/>
    </w:rPr>
  </w:style>
  <w:style w:type="paragraph" w:customStyle="1" w:styleId="JuParaLast">
    <w:name w:val="Ju_Para_Last"/>
    <w:basedOn w:val="JuPara"/>
    <w:next w:val="JuPara"/>
    <w:rsid w:val="007A7ED7"/>
    <w:pPr>
      <w:spacing w:before="240"/>
    </w:pPr>
  </w:style>
  <w:style w:type="paragraph" w:customStyle="1" w:styleId="JuParaCharChar">
    <w:name w:val="Ju_Para Char Char"/>
    <w:basedOn w:val="Normal"/>
    <w:link w:val="JuParaCharCharChar"/>
    <w:rsid w:val="003114C8"/>
    <w:pPr>
      <w:ind w:firstLine="284"/>
      <w:jc w:val="both"/>
    </w:pPr>
  </w:style>
  <w:style w:type="paragraph" w:customStyle="1" w:styleId="JuSigned">
    <w:name w:val="Ju_Signed"/>
    <w:basedOn w:val="Normal"/>
    <w:next w:val="JuParaLast"/>
    <w:rsid w:val="004303E4"/>
    <w:pPr>
      <w:tabs>
        <w:tab w:val="center" w:pos="851"/>
        <w:tab w:val="center" w:pos="6407"/>
      </w:tabs>
      <w:spacing w:before="720"/>
    </w:pPr>
  </w:style>
  <w:style w:type="paragraph" w:customStyle="1" w:styleId="JuHeader">
    <w:name w:val="Ju_Header"/>
    <w:basedOn w:val="Header"/>
    <w:rsid w:val="007A7ED7"/>
  </w:style>
  <w:style w:type="paragraph" w:customStyle="1" w:styleId="JuInitialled">
    <w:name w:val="Ju_Initialled"/>
    <w:basedOn w:val="JuSigned"/>
    <w:rsid w:val="007A7ED7"/>
    <w:pPr>
      <w:tabs>
        <w:tab w:val="clear" w:pos="851"/>
        <w:tab w:val="clear" w:pos="6521"/>
      </w:tabs>
      <w:jc w:val="right"/>
    </w:pPr>
  </w:style>
  <w:style w:type="paragraph" w:customStyle="1" w:styleId="DecHTitle">
    <w:name w:val="Dec_H_Title"/>
    <w:basedOn w:val="Normal"/>
    <w:rsid w:val="007A7ED7"/>
    <w:pPr>
      <w:spacing w:after="240"/>
      <w:jc w:val="center"/>
    </w:pPr>
    <w:rPr>
      <w:sz w:val="28"/>
    </w:rPr>
  </w:style>
  <w:style w:type="paragraph" w:customStyle="1" w:styleId="DecHCase">
    <w:name w:val="Dec_H_Case"/>
    <w:basedOn w:val="DecHTitle"/>
    <w:next w:val="JuPara"/>
    <w:rsid w:val="007A7ED7"/>
    <w:rPr>
      <w:sz w:val="24"/>
    </w:rPr>
  </w:style>
  <w:style w:type="paragraph" w:customStyle="1" w:styleId="DecList">
    <w:name w:val="Dec_List"/>
    <w:basedOn w:val="Normal"/>
    <w:rsid w:val="007A7ED7"/>
    <w:pPr>
      <w:spacing w:before="240"/>
      <w:ind w:left="284"/>
      <w:jc w:val="both"/>
    </w:pPr>
  </w:style>
  <w:style w:type="paragraph" w:customStyle="1" w:styleId="JuParaSub">
    <w:name w:val="Ju_Para_Sub"/>
    <w:basedOn w:val="JuPara"/>
    <w:rsid w:val="007A7ED7"/>
    <w:pPr>
      <w:ind w:left="284"/>
    </w:pPr>
    <w:rPr>
      <w:szCs w:val="24"/>
    </w:rPr>
  </w:style>
  <w:style w:type="paragraph" w:customStyle="1" w:styleId="JuQuotSub">
    <w:name w:val="Ju_Quot_Sub"/>
    <w:basedOn w:val="JuQuot"/>
    <w:rsid w:val="007A7ED7"/>
    <w:pPr>
      <w:ind w:left="567"/>
    </w:pPr>
  </w:style>
  <w:style w:type="paragraph" w:customStyle="1" w:styleId="OpiHHead">
    <w:name w:val="Opi_H_Head"/>
    <w:basedOn w:val="JuHHead"/>
    <w:next w:val="OpiPara"/>
    <w:rsid w:val="007A7ED7"/>
    <w:pPr>
      <w:spacing w:before="0"/>
      <w:jc w:val="center"/>
    </w:pPr>
  </w:style>
  <w:style w:type="paragraph" w:customStyle="1" w:styleId="OpiPara">
    <w:name w:val="Opi_Para"/>
    <w:basedOn w:val="JuPara"/>
    <w:rsid w:val="007A7ED7"/>
  </w:style>
  <w:style w:type="paragraph" w:customStyle="1" w:styleId="OpiQuot">
    <w:name w:val="Opi_Quot"/>
    <w:basedOn w:val="JuQuot"/>
    <w:rsid w:val="007A7ED7"/>
  </w:style>
  <w:style w:type="paragraph" w:customStyle="1" w:styleId="OpiTranslation">
    <w:name w:val="Opi_Translation"/>
    <w:basedOn w:val="OpiHHead"/>
    <w:next w:val="OpiPara"/>
    <w:rsid w:val="007A7ED7"/>
    <w:rPr>
      <w:sz w:val="24"/>
    </w:rPr>
  </w:style>
  <w:style w:type="paragraph" w:customStyle="1" w:styleId="OpiCommission">
    <w:name w:val="Opi_Commission"/>
    <w:basedOn w:val="JuJudges"/>
    <w:rsid w:val="007A7ED7"/>
    <w:pPr>
      <w:tabs>
        <w:tab w:val="clear" w:pos="567"/>
        <w:tab w:val="clear" w:pos="1134"/>
        <w:tab w:val="left" w:pos="1814"/>
        <w:tab w:val="left" w:pos="2381"/>
        <w:tab w:val="left" w:pos="3119"/>
      </w:tabs>
      <w:ind w:left="1418"/>
    </w:pPr>
    <w:rPr>
      <w:sz w:val="20"/>
    </w:rPr>
  </w:style>
  <w:style w:type="paragraph" w:customStyle="1" w:styleId="OpiConclusion">
    <w:name w:val="Opi_Conclusion"/>
    <w:basedOn w:val="OpiPara"/>
    <w:next w:val="OpiPara"/>
    <w:rsid w:val="007A7ED7"/>
    <w:pPr>
      <w:spacing w:before="360" w:after="120"/>
      <w:ind w:firstLine="0"/>
    </w:pPr>
    <w:rPr>
      <w:i/>
    </w:rPr>
  </w:style>
  <w:style w:type="paragraph" w:customStyle="1" w:styleId="OpiHA">
    <w:name w:val="Opi_H_A"/>
    <w:basedOn w:val="JuHIRoman"/>
    <w:next w:val="OpiPara"/>
    <w:rsid w:val="007A7ED7"/>
    <w:pPr>
      <w:tabs>
        <w:tab w:val="clear" w:pos="357"/>
      </w:tabs>
    </w:pPr>
    <w:rPr>
      <w:b/>
    </w:rPr>
  </w:style>
  <w:style w:type="paragraph" w:customStyle="1" w:styleId="OpiH1">
    <w:name w:val="Opi_H_1."/>
    <w:basedOn w:val="OpiHA"/>
    <w:next w:val="OpiPara"/>
    <w:rsid w:val="007A7ED7"/>
    <w:pPr>
      <w:spacing w:before="240" w:after="120"/>
      <w:ind w:left="635"/>
    </w:pPr>
    <w:rPr>
      <w:b w:val="0"/>
      <w:i/>
    </w:rPr>
  </w:style>
  <w:style w:type="paragraph" w:customStyle="1" w:styleId="OpiHa0">
    <w:name w:val="Opi_H_a"/>
    <w:basedOn w:val="OpiH1"/>
    <w:next w:val="OpiPara"/>
    <w:rsid w:val="007A7ED7"/>
    <w:pPr>
      <w:ind w:left="834"/>
    </w:pPr>
    <w:rPr>
      <w:b/>
      <w:i w:val="0"/>
      <w:sz w:val="20"/>
    </w:rPr>
  </w:style>
  <w:style w:type="paragraph" w:customStyle="1" w:styleId="OpiHCommission">
    <w:name w:val="Opi_H_Commission"/>
    <w:basedOn w:val="OpiTranslation"/>
    <w:next w:val="OpiPara"/>
    <w:rsid w:val="007A7ED7"/>
    <w:pPr>
      <w:spacing w:before="480"/>
      <w:ind w:left="1418"/>
      <w:jc w:val="left"/>
    </w:pPr>
    <w:rPr>
      <w:sz w:val="20"/>
    </w:rPr>
  </w:style>
  <w:style w:type="paragraph" w:customStyle="1" w:styleId="OpiHi">
    <w:name w:val="Opi_H_i"/>
    <w:basedOn w:val="OpiHa0"/>
    <w:next w:val="OpiPara"/>
    <w:rsid w:val="007A7ED7"/>
    <w:pPr>
      <w:ind w:left="1038"/>
    </w:pPr>
    <w:rPr>
      <w:b w:val="0"/>
      <w:i/>
    </w:rPr>
  </w:style>
  <w:style w:type="paragraph" w:customStyle="1" w:styleId="OpiHOpinion">
    <w:name w:val="Opi_H_Opinion"/>
    <w:basedOn w:val="OpiHHead"/>
    <w:next w:val="OpiPara"/>
    <w:rsid w:val="007A7ED7"/>
    <w:pPr>
      <w:spacing w:before="240"/>
    </w:pPr>
    <w:rPr>
      <w:b/>
    </w:rPr>
  </w:style>
  <w:style w:type="paragraph" w:customStyle="1" w:styleId="OpiList">
    <w:name w:val="Opi_List"/>
    <w:basedOn w:val="JuList"/>
    <w:rsid w:val="007A7ED7"/>
  </w:style>
  <w:style w:type="character" w:customStyle="1" w:styleId="OpiNames">
    <w:name w:val="Opi_Names"/>
    <w:basedOn w:val="JuNames"/>
    <w:rsid w:val="007A7ED7"/>
  </w:style>
  <w:style w:type="character" w:customStyle="1" w:styleId="OpiNamesSignature">
    <w:name w:val="Opi_Names_Signature"/>
    <w:basedOn w:val="JuNames"/>
  </w:style>
  <w:style w:type="paragraph" w:customStyle="1" w:styleId="OpiQuotList">
    <w:name w:val="Opi_Quot_List"/>
    <w:basedOn w:val="OpiQuot"/>
    <w:rsid w:val="007A7ED7"/>
    <w:pPr>
      <w:tabs>
        <w:tab w:val="left" w:pos="1021"/>
      </w:tabs>
      <w:ind w:left="567" w:firstLine="0"/>
    </w:pPr>
  </w:style>
  <w:style w:type="paragraph" w:customStyle="1" w:styleId="OpiSigned">
    <w:name w:val="Opi_Signed"/>
    <w:basedOn w:val="JuSigned"/>
    <w:rsid w:val="007A7ED7"/>
    <w:pPr>
      <w:tabs>
        <w:tab w:val="clear" w:pos="851"/>
        <w:tab w:val="center" w:pos="1418"/>
        <w:tab w:val="center" w:pos="5954"/>
        <w:tab w:val="clear" w:pos="6521"/>
      </w:tabs>
    </w:pPr>
  </w:style>
  <w:style w:type="paragraph" w:styleId="BalloonText">
    <w:name w:val="Balloon Text"/>
    <w:basedOn w:val="Normal"/>
    <w:semiHidden/>
    <w:rsid w:val="00C3490F"/>
    <w:rPr>
      <w:rFonts w:ascii="Tahoma" w:hAnsi="Tahoma" w:cs="Tahoma"/>
      <w:sz w:val="16"/>
      <w:szCs w:val="16"/>
    </w:rPr>
  </w:style>
  <w:style w:type="paragraph" w:styleId="CommentSubject">
    <w:name w:val="annotation subject"/>
    <w:basedOn w:val="CommentText"/>
    <w:next w:val="CommentText"/>
    <w:semiHidden/>
    <w:rsid w:val="00C3490F"/>
    <w:pPr>
      <w:jc w:val="both"/>
    </w:pPr>
    <w:rPr>
      <w:b/>
      <w:bCs/>
    </w:rPr>
  </w:style>
  <w:style w:type="paragraph" w:customStyle="1" w:styleId="PJuPara">
    <w:name w:val="P_Ju_Para"/>
    <w:basedOn w:val="Normal"/>
    <w:rsid w:val="007A7ED7"/>
    <w:pPr>
      <w:ind w:firstLine="284"/>
      <w:jc w:val="both"/>
    </w:pPr>
  </w:style>
  <w:style w:type="paragraph" w:customStyle="1" w:styleId="PJuQuot">
    <w:name w:val="P_Ju_Quot"/>
    <w:basedOn w:val="Normal"/>
    <w:rsid w:val="007A7ED7"/>
    <w:pPr>
      <w:spacing w:before="120" w:after="120"/>
      <w:ind w:left="403" w:firstLine="176"/>
      <w:jc w:val="both"/>
    </w:pPr>
    <w:rPr>
      <w:sz w:val="20"/>
    </w:rPr>
  </w:style>
  <w:style w:type="paragraph" w:customStyle="1" w:styleId="PListArticleSubject">
    <w:name w:val="P_List_ArticleSubject"/>
    <w:basedOn w:val="Normal"/>
    <w:rsid w:val="007A7ED7"/>
    <w:pPr>
      <w:tabs>
        <w:tab w:val="left" w:pos="2977"/>
      </w:tabs>
      <w:ind w:left="2977" w:hanging="2977"/>
    </w:pPr>
  </w:style>
  <w:style w:type="paragraph" w:customStyle="1" w:styleId="SuCoverTitle1">
    <w:name w:val="Su_Cover_Title1"/>
    <w:basedOn w:val="Normal"/>
    <w:next w:val="SuCoverTitle2"/>
    <w:rsid w:val="007A7ED7"/>
    <w:pPr>
      <w:spacing w:before="2500"/>
      <w:jc w:val="center"/>
    </w:pPr>
    <w:rPr>
      <w:sz w:val="22"/>
    </w:rPr>
  </w:style>
  <w:style w:type="paragraph" w:customStyle="1" w:styleId="SuCoverTitle2">
    <w:name w:val="Su_Cover_Title2"/>
    <w:basedOn w:val="SuCoverTitle1"/>
    <w:next w:val="Normal"/>
    <w:rsid w:val="007A7ED7"/>
    <w:pPr>
      <w:spacing w:before="240"/>
    </w:pPr>
    <w:rPr>
      <w:sz w:val="18"/>
    </w:rPr>
  </w:style>
  <w:style w:type="paragraph" w:customStyle="1" w:styleId="SuPara">
    <w:name w:val="Su_Para"/>
    <w:basedOn w:val="SuKeywords"/>
    <w:rsid w:val="007A7ED7"/>
    <w:pPr>
      <w:spacing w:before="0" w:after="0"/>
    </w:pPr>
    <w:rPr>
      <w:i w:val="0"/>
    </w:rPr>
  </w:style>
  <w:style w:type="paragraph" w:customStyle="1" w:styleId="SuSubject">
    <w:name w:val="Su_Subject"/>
    <w:basedOn w:val="SuSummary"/>
    <w:rsid w:val="007A7ED7"/>
    <w:pPr>
      <w:spacing w:before="360"/>
      <w:jc w:val="both"/>
    </w:pPr>
    <w:rPr>
      <w:b/>
      <w:sz w:val="22"/>
    </w:rPr>
  </w:style>
  <w:style w:type="paragraph" w:customStyle="1" w:styleId="SuHHead">
    <w:name w:val="Su_H_Head"/>
    <w:basedOn w:val="SuSubject"/>
    <w:rsid w:val="007A7ED7"/>
    <w:pPr>
      <w:spacing w:after="120"/>
    </w:pPr>
  </w:style>
  <w:style w:type="paragraph" w:customStyle="1" w:styleId="SuKeywords">
    <w:name w:val="Su_Keywords"/>
    <w:basedOn w:val="SuHHead"/>
    <w:rsid w:val="007A7ED7"/>
    <w:pPr>
      <w:spacing w:before="120"/>
    </w:pPr>
    <w:rPr>
      <w:b w:val="0"/>
      <w:i/>
    </w:rPr>
  </w:style>
  <w:style w:type="paragraph" w:customStyle="1" w:styleId="SuSummary">
    <w:name w:val="Su_Summary"/>
    <w:basedOn w:val="Normal"/>
    <w:next w:val="SuSubject"/>
    <w:rsid w:val="007A7ED7"/>
    <w:pPr>
      <w:spacing w:after="240"/>
      <w:jc w:val="center"/>
    </w:pPr>
  </w:style>
  <w:style w:type="paragraph" w:customStyle="1" w:styleId="PListCaseNo">
    <w:name w:val="P_List_CaseNo"/>
    <w:basedOn w:val="Normal"/>
    <w:rsid w:val="007A7ED7"/>
    <w:pPr>
      <w:tabs>
        <w:tab w:val="left" w:pos="1276"/>
      </w:tabs>
      <w:spacing w:line="288" w:lineRule="auto"/>
      <w:ind w:left="1276" w:hanging="1276"/>
    </w:pPr>
  </w:style>
  <w:style w:type="paragraph" w:customStyle="1" w:styleId="PListCases">
    <w:name w:val="P_List_Cases"/>
    <w:basedOn w:val="Normal"/>
    <w:rsid w:val="007A7ED7"/>
    <w:pPr>
      <w:spacing w:line="288" w:lineRule="auto"/>
    </w:pPr>
  </w:style>
  <w:style w:type="paragraph" w:customStyle="1" w:styleId="PTextIntro">
    <w:name w:val="P_Text_Intro"/>
    <w:basedOn w:val="Normal"/>
    <w:rsid w:val="007A7ED7"/>
    <w:pPr>
      <w:jc w:val="both"/>
    </w:pPr>
    <w:rPr>
      <w:i/>
      <w:sz w:val="20"/>
    </w:rPr>
  </w:style>
  <w:style w:type="paragraph" w:customStyle="1" w:styleId="PTitleCover">
    <w:name w:val="P_Title_Cover"/>
    <w:basedOn w:val="Normal"/>
    <w:rsid w:val="007A7ED7"/>
    <w:pPr>
      <w:spacing w:before="2500"/>
      <w:jc w:val="center"/>
    </w:pPr>
    <w:rPr>
      <w:b/>
      <w:smallCaps/>
      <w:sz w:val="30"/>
    </w:rPr>
  </w:style>
  <w:style w:type="paragraph" w:customStyle="1" w:styleId="PTitle1Alpha">
    <w:name w:val="P_Title1_Alpha"/>
    <w:basedOn w:val="Normal"/>
    <w:next w:val="Normal"/>
    <w:rsid w:val="007A7ED7"/>
    <w:pPr>
      <w:spacing w:after="120"/>
      <w:jc w:val="center"/>
    </w:pPr>
    <w:rPr>
      <w:b/>
      <w:smallCaps/>
      <w:sz w:val="30"/>
    </w:rPr>
  </w:style>
  <w:style w:type="paragraph" w:customStyle="1" w:styleId="PTitle1IndexArticle">
    <w:name w:val="P_Title1_IndexArticle"/>
    <w:basedOn w:val="Normal"/>
    <w:rsid w:val="007A7ED7"/>
    <w:pPr>
      <w:spacing w:after="120"/>
      <w:jc w:val="center"/>
    </w:pPr>
    <w:rPr>
      <w:b/>
      <w:smallCaps/>
      <w:sz w:val="30"/>
    </w:rPr>
  </w:style>
  <w:style w:type="paragraph" w:customStyle="1" w:styleId="PTitle1IndexKey">
    <w:name w:val="P_Title1_IndexKey"/>
    <w:basedOn w:val="Normal"/>
    <w:rsid w:val="007A7ED7"/>
    <w:pPr>
      <w:spacing w:after="600"/>
      <w:jc w:val="center"/>
    </w:pPr>
    <w:rPr>
      <w:b/>
      <w:smallCaps/>
      <w:sz w:val="30"/>
    </w:rPr>
  </w:style>
  <w:style w:type="paragraph" w:customStyle="1" w:styleId="PTitle1Num">
    <w:name w:val="P_Title1_Num"/>
    <w:basedOn w:val="Normal"/>
    <w:next w:val="PListCaseNo"/>
    <w:rsid w:val="007A7ED7"/>
    <w:pPr>
      <w:spacing w:after="720"/>
      <w:jc w:val="center"/>
    </w:pPr>
    <w:rPr>
      <w:b/>
      <w:smallCaps/>
      <w:sz w:val="30"/>
    </w:rPr>
  </w:style>
  <w:style w:type="paragraph" w:customStyle="1" w:styleId="PTitle2Country">
    <w:name w:val="P_Title2_Country"/>
    <w:basedOn w:val="Normal"/>
    <w:next w:val="PListCases"/>
    <w:rsid w:val="007A7ED7"/>
    <w:pPr>
      <w:keepNext/>
      <w:keepLines/>
      <w:spacing w:before="600" w:after="360"/>
    </w:pPr>
    <w:rPr>
      <w:b/>
    </w:rPr>
  </w:style>
  <w:style w:type="paragraph" w:customStyle="1" w:styleId="PTitle2Letters">
    <w:name w:val="P_Title2_Letters"/>
    <w:basedOn w:val="Normal"/>
    <w:next w:val="PListCases"/>
    <w:rsid w:val="007A7ED7"/>
    <w:pPr>
      <w:keepNext/>
      <w:keepLines/>
      <w:spacing w:before="600" w:after="360"/>
    </w:pPr>
    <w:rPr>
      <w:b/>
      <w:sz w:val="28"/>
    </w:rPr>
  </w:style>
  <w:style w:type="paragraph" w:customStyle="1" w:styleId="PTitle2Part">
    <w:name w:val="P_Title2_Part"/>
    <w:basedOn w:val="Normal"/>
    <w:rsid w:val="007A7ED7"/>
    <w:pPr>
      <w:keepNext/>
      <w:keepLines/>
      <w:spacing w:before="600" w:after="240"/>
      <w:jc w:val="center"/>
    </w:pPr>
    <w:rPr>
      <w:b/>
      <w:caps/>
    </w:rPr>
  </w:style>
  <w:style w:type="paragraph" w:customStyle="1" w:styleId="PTitle3Article">
    <w:name w:val="P_Title3_Article"/>
    <w:basedOn w:val="Normal"/>
    <w:rsid w:val="007A7ED7"/>
    <w:pPr>
      <w:keepNext/>
      <w:keepLines/>
      <w:spacing w:before="360" w:after="120"/>
      <w:jc w:val="center"/>
    </w:pPr>
    <w:rPr>
      <w:b/>
      <w:smallCaps/>
      <w:sz w:val="22"/>
    </w:rPr>
  </w:style>
  <w:style w:type="paragraph" w:customStyle="1" w:styleId="PTitle4ArticleSub">
    <w:name w:val="P_Title4_Article_Sub"/>
    <w:basedOn w:val="PTitle3Article"/>
    <w:rsid w:val="007A7ED7"/>
    <w:pPr>
      <w:spacing w:before="240"/>
    </w:pPr>
    <w:rPr>
      <w:smallCaps w:val="0"/>
      <w:sz w:val="20"/>
    </w:rPr>
  </w:style>
  <w:style w:type="paragraph" w:customStyle="1" w:styleId="PTitle5Subject">
    <w:name w:val="P_Title5_Subject"/>
    <w:basedOn w:val="Normal"/>
    <w:rsid w:val="007A7ED7"/>
    <w:pPr>
      <w:keepNext/>
      <w:keepLines/>
      <w:spacing w:before="240" w:after="120"/>
      <w:jc w:val="both"/>
    </w:pPr>
    <w:rPr>
      <w:b/>
      <w:i/>
    </w:rPr>
  </w:style>
  <w:style w:type="paragraph" w:customStyle="1" w:styleId="PTitle6SubjectSub">
    <w:name w:val="P_Title6_Subject_Sub"/>
    <w:basedOn w:val="Normal"/>
    <w:rsid w:val="007A7ED7"/>
    <w:pPr>
      <w:keepNext/>
      <w:keepLines/>
      <w:spacing w:before="240" w:after="120"/>
      <w:ind w:left="284"/>
      <w:jc w:val="both"/>
    </w:pPr>
    <w:rPr>
      <w:b/>
      <w:sz w:val="20"/>
    </w:rPr>
  </w:style>
  <w:style w:type="paragraph" w:customStyle="1" w:styleId="PTitle7CaseName">
    <w:name w:val="P_Title7_CaseName"/>
    <w:basedOn w:val="Normal"/>
    <w:rsid w:val="007A7ED7"/>
    <w:pPr>
      <w:keepLines/>
      <w:spacing w:after="240"/>
      <w:jc w:val="right"/>
    </w:pPr>
    <w:rPr>
      <w:sz w:val="22"/>
    </w:rPr>
  </w:style>
  <w:style w:type="paragraph" w:customStyle="1" w:styleId="OpiParaSub">
    <w:name w:val="Opi_Para_Sub"/>
    <w:basedOn w:val="JuParaSub"/>
    <w:rsid w:val="007A7ED7"/>
  </w:style>
  <w:style w:type="paragraph" w:customStyle="1" w:styleId="OpiQuotSub">
    <w:name w:val="Opi_Quot_Sub"/>
    <w:basedOn w:val="JuQuotSub"/>
    <w:rsid w:val="007A7ED7"/>
  </w:style>
  <w:style w:type="character" w:customStyle="1" w:styleId="JuParaCharCharChar">
    <w:name w:val="Ju_Para Char Char Char"/>
    <w:basedOn w:val="DefaultParagraphFont"/>
    <w:link w:val="JuParaCharChar"/>
    <w:rsid w:val="003114C8"/>
    <w:rPr>
      <w:sz w:val="24"/>
      <w:lang w:val="en-GB" w:eastAsia="fr-FR" w:bidi="ar-SA"/>
    </w:rPr>
  </w:style>
</w:styles>
</file>

<file path=word/webSettings.xml><?xml version="1.0" encoding="utf-8"?>
<w:webSettings xmlns:r="http://schemas.openxmlformats.org/officeDocument/2006/relationships" xmlns:w="http://schemas.openxmlformats.org/wordprocessingml/2006/main">
  <w:encoding w:val="windows-1252"/>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header" Target="header3.xml" /><Relationship Id="rId8" Type="http://schemas.openxmlformats.org/officeDocument/2006/relationships/theme" Target="theme/theme1.xml" /><Relationship Id="rId9" Type="http://schemas.openxmlformats.org/officeDocument/2006/relationships/numbering" Target="numbering.xml" /></Relationships>
</file>

<file path=word/_rels/header3.xml.rels><?xml version="1.0" encoding="utf-8" standalone="yes"?><Relationships xmlns="http://schemas.openxmlformats.org/package/2006/relationships"><Relationship Id="rId1" Type="http://schemas.openxmlformats.org/officeDocument/2006/relationships/image" Target="media/image1.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1328</Words>
  <Characters>6642</Characters>
  <Application>Microsoft Office Word</Application>
  <DocSecurity>0</DocSecurity>
  <Lines>144</Lines>
  <Paragraphs>65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creator>Philippides</dc:creator>
  <cp:revision>2</cp:revision>
  <cp:lastPrinted>2005-05-25T12:16:00Z</cp:lastPrinted>
  <dcterms:created xsi:type="dcterms:W3CDTF">2005-06-27T09:36:00Z</dcterms:created>
  <dcterms:modified xsi:type="dcterms:W3CDTF">2005-06-27T09:36:00Z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ies>
</file>