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9406" w14:textId="77777777" w:rsidR="00622B18" w:rsidRDefault="00000000">
      <w:pPr>
        <w:pStyle w:val="DecHTitle"/>
      </w:pPr>
      <w:r>
        <w:t>SEKCJA TRZECIA</w:t>
      </w:r>
    </w:p>
    <w:p w14:paraId="01766BBF" w14:textId="77777777" w:rsidR="00622B18" w:rsidRDefault="00000000">
      <w:pPr>
        <w:pStyle w:val="JuTitle"/>
        <w:spacing w:before="480" w:after="200"/>
      </w:pPr>
      <w:r>
        <w:rPr>
          <w:color w:val="000000" w:themeColor="text1"/>
        </w:rPr>
        <w:t xml:space="preserve">SPRAWA HELME </w:t>
      </w:r>
      <w:r>
        <w:t>przeciwko ESTONII</w:t>
      </w:r>
    </w:p>
    <w:p w14:paraId="37102F64" w14:textId="77777777" w:rsidR="00622B18" w:rsidRDefault="00000000">
      <w:pPr>
        <w:pStyle w:val="ECHRCoverTitle4"/>
      </w:pPr>
      <w:r>
        <w:t>(Skarga nr 3023/22)</w:t>
      </w:r>
    </w:p>
    <w:p w14:paraId="02F6E13B" w14:textId="77777777" w:rsidR="00622B18" w:rsidRDefault="00622B18">
      <w:pPr>
        <w:pStyle w:val="DecHCase"/>
      </w:pPr>
    </w:p>
    <w:p w14:paraId="542B4177" w14:textId="77777777" w:rsidR="00622B18" w:rsidRDefault="00000000">
      <w:pPr>
        <w:pStyle w:val="DecHCase"/>
        <w:spacing w:after="200"/>
      </w:pPr>
      <w:r>
        <w:t>WYROK</w:t>
      </w:r>
    </w:p>
    <w:p w14:paraId="1A7B5271" w14:textId="56D8746F" w:rsidR="00622B18" w:rsidRDefault="00000000">
      <w:pPr>
        <w:pStyle w:val="P68B1DB1-JuPara1"/>
        <w:pBdr>
          <w:top w:val="single" w:sz="4" w:space="1" w:color="auto"/>
          <w:left w:val="single" w:sz="4" w:space="4" w:color="auto"/>
          <w:bottom w:val="single" w:sz="4" w:space="1" w:color="auto"/>
          <w:right w:val="single" w:sz="4" w:space="4" w:color="auto"/>
        </w:pBdr>
        <w:ind w:firstLine="0"/>
      </w:pPr>
      <w:r>
        <w:t xml:space="preserve">Art. 6 (aspekt karny) • Rzetelne rozpoznanie sprawy • Skazanie skarżącego w następstwie rozmów o wyraźnie seksualnym charakterze prowadzonych z działającym pod przykryciem funkcjonariuszem </w:t>
      </w:r>
      <w:r w:rsidR="00777B1A">
        <w:t>P</w:t>
      </w:r>
      <w:r>
        <w:t>olicji podającym się za 12-letnią dziewczynkę na czacie internetowym oraz wykorzystanie uzyskanych w ten sposób dowodów w postępowaniu karnym przeciwko niemu • Zarzut stosowania prowokacji policyjnej w środowisku internetowym</w:t>
      </w:r>
      <w:r w:rsidR="00B84370">
        <w:t xml:space="preserve"> </w:t>
      </w:r>
      <w:r>
        <w:t>• Istnienie uzasadnionych podstaw wszczęcia operacji pod przykryciem na podstawie otrzymanych informacji o potencjalnym seksualnym uwodzeniu małoletnich na danej stronie internetowej • Możliwość wcześniejszej identyfikacji potencjalnych podejrzanych w środowisku internetowym przed przeprowadzaniem operacji pod przykryciem • Brak obiektywnego podejrzenia, że to konkretnie skarżący był zaangażowany w działalność przestępczą lub był skłonny do popełnienia takiego czynu - bez znaczenia rozstrzygającego • Istnienie obiektywnego podejrzenia związanego z</w:t>
      </w:r>
      <w:r w:rsidR="00B84370">
        <w:t> </w:t>
      </w:r>
      <w:r>
        <w:t xml:space="preserve">konkretnie określoną i ograniczoną przestrzenią wirtualną • Kontekst przestępstw przeciwko małoletnim • Wszczęcie operacji pod przykryciem niewskazujące na zamiar sprowokowania skarżącego • Działania </w:t>
      </w:r>
      <w:r w:rsidR="00777B1A">
        <w:t>P</w:t>
      </w:r>
      <w:r>
        <w:t xml:space="preserve">olicji niemające </w:t>
      </w:r>
      <w:r w:rsidRPr="00A115C4">
        <w:rPr>
          <w:i/>
          <w:iCs/>
        </w:rPr>
        <w:t xml:space="preserve">per </w:t>
      </w:r>
      <w:proofErr w:type="spellStart"/>
      <w:r w:rsidRPr="00A115C4">
        <w:rPr>
          <w:i/>
          <w:iCs/>
        </w:rPr>
        <w:t>se</w:t>
      </w:r>
      <w:proofErr w:type="spellEnd"/>
      <w:r>
        <w:t xml:space="preserve"> charakteru bezprawnego ani nie zakładające z góry bezprawnych działań po stronie osoby, </w:t>
      </w:r>
      <w:r w:rsidR="00777B1A">
        <w:br/>
      </w:r>
      <w:r>
        <w:t xml:space="preserve">z którą prowadzono komunikację • Funkcjonariusz </w:t>
      </w:r>
      <w:r w:rsidR="00777B1A">
        <w:t>P</w:t>
      </w:r>
      <w:r>
        <w:t>olicji pod przykryciem niewychodzący poza wymaganą bierną postawę • Brak jakiejkolwiek wyraźnej lub dorozumianej presji na skarżącego, by popełnił zarzucany czyn • Wykorzystanie funkcjonariusza pod przykryciem nie może być utożsamiane z podżeganiem</w:t>
      </w:r>
    </w:p>
    <w:p w14:paraId="08168C3A" w14:textId="77777777" w:rsidR="00622B18" w:rsidRDefault="00622B18">
      <w:pPr>
        <w:pStyle w:val="JuPara"/>
        <w:pBdr>
          <w:top w:val="single" w:sz="4" w:space="1" w:color="auto"/>
          <w:left w:val="single" w:sz="4" w:space="4" w:color="auto"/>
          <w:bottom w:val="single" w:sz="4" w:space="1" w:color="auto"/>
          <w:right w:val="single" w:sz="4" w:space="4" w:color="auto"/>
        </w:pBdr>
        <w:rPr>
          <w:sz w:val="20"/>
        </w:rPr>
      </w:pPr>
    </w:p>
    <w:p w14:paraId="640E3202" w14:textId="77777777" w:rsidR="00622B18" w:rsidRDefault="00000000">
      <w:pPr>
        <w:pStyle w:val="P68B1DB1-JuPara2"/>
        <w:pBdr>
          <w:top w:val="single" w:sz="4" w:space="1" w:color="auto"/>
          <w:left w:val="single" w:sz="4" w:space="4" w:color="auto"/>
          <w:bottom w:val="single" w:sz="4" w:space="1" w:color="auto"/>
          <w:right w:val="single" w:sz="4" w:space="4" w:color="auto"/>
        </w:pBdr>
        <w:jc w:val="center"/>
      </w:pPr>
      <w:r>
        <w:t>Przygotowane przez Kancelarię. Nie ma charakteru wiążącego dla Trybunału.</w:t>
      </w:r>
    </w:p>
    <w:p w14:paraId="0FA165A0" w14:textId="77777777" w:rsidR="00622B18" w:rsidRDefault="00622B18">
      <w:pPr>
        <w:pStyle w:val="DecHCase"/>
        <w:spacing w:after="0"/>
        <w:rPr>
          <w:sz w:val="22"/>
        </w:rPr>
      </w:pPr>
    </w:p>
    <w:p w14:paraId="3DC45802" w14:textId="77777777" w:rsidR="00622B18" w:rsidRDefault="00000000">
      <w:pPr>
        <w:pStyle w:val="DecHCase"/>
        <w:spacing w:after="200"/>
      </w:pPr>
      <w:r>
        <w:t>STRASBURG</w:t>
      </w:r>
    </w:p>
    <w:p w14:paraId="30711700" w14:textId="77777777" w:rsidR="00622B18" w:rsidRDefault="00000000">
      <w:pPr>
        <w:pStyle w:val="P68B1DB1-DecHCase3"/>
        <w:spacing w:after="60"/>
      </w:pPr>
      <w:r>
        <w:t>7 października 2025 r.</w:t>
      </w:r>
    </w:p>
    <w:p w14:paraId="7D8C1F68" w14:textId="77777777" w:rsidR="00622B18" w:rsidRDefault="00622B18">
      <w:pPr>
        <w:pStyle w:val="JuPara"/>
      </w:pPr>
    </w:p>
    <w:p w14:paraId="039DD2C5" w14:textId="77777777" w:rsidR="00622B18" w:rsidRDefault="00000000">
      <w:pPr>
        <w:pStyle w:val="P68B1DB1-jucase04"/>
        <w:ind w:firstLine="0"/>
        <w:jc w:val="center"/>
      </w:pPr>
      <w:bookmarkStart w:id="0" w:name="_Hlk212559382"/>
      <w:r>
        <w:t>WYROK OSTATECZNY</w:t>
      </w:r>
    </w:p>
    <w:p w14:paraId="58AB77F4" w14:textId="77777777" w:rsidR="00622B18" w:rsidRDefault="00622B18">
      <w:pPr>
        <w:pStyle w:val="jucase0"/>
        <w:ind w:firstLine="0"/>
        <w:jc w:val="center"/>
        <w:rPr>
          <w:b w:val="0"/>
          <w:color w:val="FF0000"/>
          <w:sz w:val="20"/>
          <w:u w:val="single"/>
        </w:rPr>
      </w:pPr>
    </w:p>
    <w:p w14:paraId="4525A1CF" w14:textId="61D8F99F" w:rsidR="00622B18" w:rsidRDefault="00781144">
      <w:pPr>
        <w:pStyle w:val="P68B1DB1-jucase05"/>
        <w:ind w:firstLine="0"/>
        <w:jc w:val="center"/>
      </w:pPr>
      <w:r>
        <w:t>09/02/2026 r.</w:t>
      </w:r>
    </w:p>
    <w:p w14:paraId="4FBD57B1" w14:textId="77777777" w:rsidR="00622B18" w:rsidRDefault="00622B18">
      <w:pPr>
        <w:pStyle w:val="jupara0"/>
        <w:ind w:firstLine="0"/>
        <w:jc w:val="center"/>
      </w:pPr>
    </w:p>
    <w:p w14:paraId="2DDA04CF" w14:textId="527F4852" w:rsidR="00622B18" w:rsidRDefault="00000000">
      <w:pPr>
        <w:pStyle w:val="P68B1DB1-Normalny6"/>
        <w:jc w:val="center"/>
      </w:pPr>
      <w:r>
        <w:t>Wyrok stał się ostateczny zgodnie z warunkami określonymi w art. 44 ust. 2 Konwencji.</w:t>
      </w:r>
      <w:r w:rsidR="00781144">
        <w:t xml:space="preserve"> </w:t>
      </w:r>
      <w:r>
        <w:t>Wyrok może podlegać korekcie wydawniczej.</w:t>
      </w:r>
      <w:bookmarkEnd w:id="0"/>
    </w:p>
    <w:p w14:paraId="1FF73512" w14:textId="77777777" w:rsidR="00622B18" w:rsidRDefault="00622B18">
      <w:pPr>
        <w:sectPr w:rsidR="00622B18"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9BBAC08" w14:textId="77777777" w:rsidR="00622B18" w:rsidRDefault="00000000">
      <w:pPr>
        <w:pStyle w:val="JuCase"/>
      </w:pPr>
      <w:r>
        <w:lastRenderedPageBreak/>
        <w:t xml:space="preserve">W sprawie </w:t>
      </w:r>
      <w:proofErr w:type="spellStart"/>
      <w:r>
        <w:t>Helme</w:t>
      </w:r>
      <w:proofErr w:type="spellEnd"/>
      <w:r>
        <w:t xml:space="preserve"> przeciwko Estonii,</w:t>
      </w:r>
    </w:p>
    <w:p w14:paraId="5FC3AD75" w14:textId="77777777" w:rsidR="00622B18" w:rsidRDefault="00000000">
      <w:pPr>
        <w:pStyle w:val="JuPara"/>
      </w:pPr>
      <w:r>
        <w:t>Europejski Trybunał Praw Człowieka (sekcja trzecia), zasiadając jako Izba w składzie:</w:t>
      </w:r>
    </w:p>
    <w:p w14:paraId="70E259B0" w14:textId="77777777" w:rsidR="00622B18" w:rsidRDefault="00000000">
      <w:pPr>
        <w:pStyle w:val="JuJudges"/>
      </w:pPr>
      <w:proofErr w:type="spellStart"/>
      <w:r>
        <w:t>Ioannis</w:t>
      </w:r>
      <w:proofErr w:type="spellEnd"/>
      <w:r>
        <w:t xml:space="preserve"> </w:t>
      </w:r>
      <w:proofErr w:type="spellStart"/>
      <w:r>
        <w:t>Ktistakis</w:t>
      </w:r>
      <w:proofErr w:type="spellEnd"/>
      <w:r>
        <w:rPr>
          <w:i/>
        </w:rPr>
        <w:t>, Przewodniczący</w:t>
      </w:r>
      <w:r>
        <w:t>,</w:t>
      </w:r>
      <w:r>
        <w:br/>
      </w:r>
      <w:r>
        <w:tab/>
      </w:r>
      <w:proofErr w:type="spellStart"/>
      <w:r>
        <w:t>Peeter</w:t>
      </w:r>
      <w:proofErr w:type="spellEnd"/>
      <w:r>
        <w:t xml:space="preserve"> </w:t>
      </w:r>
      <w:proofErr w:type="spellStart"/>
      <w:r>
        <w:t>Roosma</w:t>
      </w:r>
      <w:proofErr w:type="spellEnd"/>
      <w:r>
        <w:t>,</w:t>
      </w:r>
      <w:r>
        <w:br/>
      </w:r>
      <w:r>
        <w:tab/>
      </w:r>
      <w:proofErr w:type="spellStart"/>
      <w:r>
        <w:t>Lətif</w:t>
      </w:r>
      <w:proofErr w:type="spellEnd"/>
      <w:r>
        <w:t xml:space="preserve"> </w:t>
      </w:r>
      <w:proofErr w:type="spellStart"/>
      <w:r>
        <w:t>Hüseynov</w:t>
      </w:r>
      <w:proofErr w:type="spellEnd"/>
      <w:r>
        <w:t>,</w:t>
      </w:r>
      <w:r>
        <w:br/>
      </w:r>
      <w:r>
        <w:tab/>
      </w:r>
      <w:proofErr w:type="spellStart"/>
      <w:r>
        <w:t>Darian</w:t>
      </w:r>
      <w:proofErr w:type="spellEnd"/>
      <w:r>
        <w:t xml:space="preserve"> Pavli,</w:t>
      </w:r>
      <w:r>
        <w:br/>
      </w:r>
      <w:r>
        <w:tab/>
        <w:t xml:space="preserve">Diana </w:t>
      </w:r>
      <w:proofErr w:type="spellStart"/>
      <w:r>
        <w:t>Kovatcheva</w:t>
      </w:r>
      <w:proofErr w:type="spellEnd"/>
      <w:r>
        <w:t>,</w:t>
      </w:r>
      <w:r>
        <w:br/>
      </w:r>
      <w:r>
        <w:tab/>
      </w:r>
      <w:proofErr w:type="spellStart"/>
      <w:r>
        <w:t>Canòlic</w:t>
      </w:r>
      <w:proofErr w:type="spellEnd"/>
      <w:r>
        <w:t xml:space="preserve"> </w:t>
      </w:r>
      <w:proofErr w:type="spellStart"/>
      <w:r>
        <w:t>Mingorance</w:t>
      </w:r>
      <w:proofErr w:type="spellEnd"/>
      <w:r>
        <w:t xml:space="preserve"> </w:t>
      </w:r>
      <w:proofErr w:type="spellStart"/>
      <w:r>
        <w:t>Cairat</w:t>
      </w:r>
      <w:proofErr w:type="spellEnd"/>
      <w:r>
        <w:t>,</w:t>
      </w:r>
      <w:r>
        <w:br/>
      </w:r>
      <w:r>
        <w:tab/>
      </w:r>
      <w:proofErr w:type="spellStart"/>
      <w:r>
        <w:t>Vasilka</w:t>
      </w:r>
      <w:proofErr w:type="spellEnd"/>
      <w:r>
        <w:t xml:space="preserve"> </w:t>
      </w:r>
      <w:proofErr w:type="spellStart"/>
      <w:r>
        <w:t>Sancin</w:t>
      </w:r>
      <w:proofErr w:type="spellEnd"/>
      <w:r>
        <w:rPr>
          <w:i/>
        </w:rPr>
        <w:t>, sędziowie</w:t>
      </w:r>
      <w:r>
        <w:t>,</w:t>
      </w:r>
      <w:r>
        <w:br/>
        <w:t xml:space="preserve">oraz Milan </w:t>
      </w:r>
      <w:proofErr w:type="spellStart"/>
      <w:r>
        <w:t>Blaško</w:t>
      </w:r>
      <w:proofErr w:type="spellEnd"/>
      <w:r>
        <w:t xml:space="preserve">, </w:t>
      </w:r>
      <w:r>
        <w:rPr>
          <w:i/>
        </w:rPr>
        <w:t>Kanclerz Sekcji,</w:t>
      </w:r>
    </w:p>
    <w:p w14:paraId="36979C44" w14:textId="77777777" w:rsidR="00622B18" w:rsidRDefault="00000000">
      <w:pPr>
        <w:pStyle w:val="JuPara"/>
      </w:pPr>
      <w:r>
        <w:t>Mając na uwadze:</w:t>
      </w:r>
    </w:p>
    <w:p w14:paraId="7152A2C2" w14:textId="77777777" w:rsidR="00622B18" w:rsidRDefault="00000000">
      <w:pPr>
        <w:pStyle w:val="JuPara"/>
      </w:pPr>
      <w:r>
        <w:t xml:space="preserve">skargę (nr 3023/22) przeciwko Republice Estońskiej wniesioną do Trybunału na podstawie art. 34 Konwencji o ochronie praw człowieka i podstawowych wolności („Konwencja”) przez obywatela Estonii, p. </w:t>
      </w:r>
      <w:proofErr w:type="spellStart"/>
      <w:r>
        <w:t>Peetera</w:t>
      </w:r>
      <w:proofErr w:type="spellEnd"/>
      <w:r>
        <w:t xml:space="preserve"> </w:t>
      </w:r>
      <w:proofErr w:type="spellStart"/>
      <w:r>
        <w:t>Helme</w:t>
      </w:r>
      <w:proofErr w:type="spellEnd"/>
      <w:r>
        <w:t xml:space="preserve"> („skarżący”), w dniu 10 stycznia 2022 r.;</w:t>
      </w:r>
    </w:p>
    <w:p w14:paraId="0A3AE650" w14:textId="77777777" w:rsidR="00622B18" w:rsidRDefault="00000000">
      <w:pPr>
        <w:pStyle w:val="JuPara"/>
      </w:pPr>
      <w:r>
        <w:t>decyzję o zakomunikowaniu Rządowi Estonii („Rząd”) skargi wniesionej na podstawie artykułu 6 ust. 1 i dotyczącej prowokacji internetowej oraz uznaniu pozostałej części skargi za niedopuszczalną;</w:t>
      </w:r>
    </w:p>
    <w:p w14:paraId="10A24C07" w14:textId="77777777" w:rsidR="00622B18" w:rsidRDefault="00000000">
      <w:pPr>
        <w:pStyle w:val="JuPara"/>
      </w:pPr>
      <w:r>
        <w:t>uwagi stron;</w:t>
      </w:r>
    </w:p>
    <w:p w14:paraId="3D4B6E87" w14:textId="77777777" w:rsidR="00622B18" w:rsidRDefault="00000000">
      <w:pPr>
        <w:pStyle w:val="JuPara"/>
      </w:pPr>
      <w:r>
        <w:t>obradując na posiedzeniu niejawnym w dniu 9 września 2025 r.,</w:t>
      </w:r>
    </w:p>
    <w:p w14:paraId="11DBFD8C" w14:textId="77777777" w:rsidR="00622B18" w:rsidRDefault="00000000">
      <w:pPr>
        <w:pStyle w:val="JuPara"/>
      </w:pPr>
      <w:r>
        <w:t>wydaje następujący wyrok, który został przyjęty w tym dniu:</w:t>
      </w:r>
    </w:p>
    <w:p w14:paraId="3F9AA8CB" w14:textId="77777777" w:rsidR="00622B18" w:rsidRDefault="00000000">
      <w:pPr>
        <w:pStyle w:val="JuHHead"/>
        <w:numPr>
          <w:ilvl w:val="0"/>
          <w:numId w:val="0"/>
        </w:numPr>
      </w:pPr>
      <w:r>
        <w:t>WPROWADZENIE</w:t>
      </w:r>
    </w:p>
    <w:p w14:paraId="2B4A51C8" w14:textId="77777777" w:rsidR="00622B18" w:rsidRDefault="00622B18">
      <w:pPr>
        <w:pStyle w:val="JuPara"/>
      </w:pPr>
      <w:fldSimple w:instr=" SEQ level0 \*arabic \* MERGEFORMAT ">
        <w:r>
          <w:t>1</w:t>
        </w:r>
      </w:fldSimple>
      <w:r>
        <w:t>.  Skarga dotyczy zarzutu zastosowania prowokacji internetowej wobec skarżącego przez funkcjonariusza działającego pod przykryciem, który posługując się pseudonimem, prowadził rozmowy ze skarżącym na czacie internetowym. Skarżący zarzucił, że dowody uzyskane w wyniku tej operacji policyjnej zostały wykorzystane w postępowaniu karnym przeciwko niemu, z naruszeniem jego prawa do rzetelnego procesu.</w:t>
      </w:r>
    </w:p>
    <w:p w14:paraId="5D303DEC" w14:textId="77777777" w:rsidR="00622B18" w:rsidRDefault="00000000">
      <w:pPr>
        <w:pStyle w:val="JuHHead"/>
      </w:pPr>
      <w:r>
        <w:t>FAKTY</w:t>
      </w:r>
    </w:p>
    <w:p w14:paraId="1EC45F87" w14:textId="5BED3C00" w:rsidR="00622B18" w:rsidRDefault="00622B18">
      <w:pPr>
        <w:pStyle w:val="JuPara"/>
      </w:pPr>
      <w:fldSimple w:instr=" SEQ level0 \*arabic \* MERGEFORMAT ">
        <w:r>
          <w:t>2</w:t>
        </w:r>
      </w:fldSimple>
      <w:r>
        <w:t>.  Skarżący urodził się w 1978 r</w:t>
      </w:r>
      <w:r w:rsidR="00E1405B">
        <w:t>.</w:t>
      </w:r>
      <w:r>
        <w:t xml:space="preserve"> i mieszka w Tallinie. Był reprezentowany przez p. R. </w:t>
      </w:r>
      <w:proofErr w:type="spellStart"/>
      <w:r>
        <w:t>Ainlę</w:t>
      </w:r>
      <w:proofErr w:type="spellEnd"/>
      <w:r>
        <w:t>, prawnika praktykującego w Tallinie.</w:t>
      </w:r>
    </w:p>
    <w:p w14:paraId="6E917AE2" w14:textId="77777777" w:rsidR="00622B18" w:rsidRDefault="00622B18">
      <w:pPr>
        <w:pStyle w:val="JuPara"/>
      </w:pPr>
      <w:fldSimple w:instr=" SEQ level0 \*arabic \* MERGEFORMAT ">
        <w:r>
          <w:t>3</w:t>
        </w:r>
      </w:fldSimple>
      <w:r>
        <w:t>.  Rząd był reprezentowany przez swojego pełnomocnika, p. T. Kolka, przedstawiciela Estonii przy Europejskim Trybunale Praw Człowieka.</w:t>
      </w:r>
    </w:p>
    <w:p w14:paraId="5E241CD2" w14:textId="77777777" w:rsidR="00622B18" w:rsidRDefault="00622B18">
      <w:pPr>
        <w:pStyle w:val="JuPara"/>
      </w:pPr>
      <w:fldSimple w:instr=" SEQ level0 \*arabic \* MERGEFORMAT ">
        <w:r>
          <w:t>4</w:t>
        </w:r>
      </w:fldSimple>
      <w:r>
        <w:t>.  Okoliczności faktyczne sprawy można streścić w następujący sposób.</w:t>
      </w:r>
    </w:p>
    <w:p w14:paraId="2A7293B6" w14:textId="3723B3C7" w:rsidR="00622B18" w:rsidRDefault="00000000">
      <w:pPr>
        <w:pStyle w:val="JuHIRoman"/>
      </w:pPr>
      <w:r>
        <w:lastRenderedPageBreak/>
        <w:t xml:space="preserve">Zgoda na wykorzystanie funkcjonariusza pod przykryciem i </w:t>
      </w:r>
      <w:r w:rsidR="00781144">
        <w:t>UŻYCIE TEGO ŚRODKA</w:t>
      </w:r>
    </w:p>
    <w:p w14:paraId="0899646B" w14:textId="77777777" w:rsidR="00622B18" w:rsidRDefault="00622B18">
      <w:pPr>
        <w:pStyle w:val="JuPara"/>
      </w:pPr>
      <w:fldSimple w:instr=" SEQ level0 \*arabic \* MERGEFORMAT ">
        <w:r>
          <w:t>5</w:t>
        </w:r>
      </w:fldSimple>
      <w:r>
        <w:t>.  W dniu 19 września 2019 r. wszczęto postępowanie karne na podstawie otrzymanych wcześniej w tym samym roku informacji wskazujących, że różne osoby wykorzystywały określone strony internetowe (www.facebook.com i www.armastusesaal.org) w celu prowadzenia rozmów o charakterze seksualnym z małoletnimi poniżej 14. roku życia oraz przesyłały im pliki zawierające materiały o charakterze seksualnym. Nie przedstawiono żadnych dodatkowych informacji dotyczących charakteru ani źródła(-eł) wyżej wymienionych informacji.</w:t>
      </w:r>
    </w:p>
    <w:p w14:paraId="7FAE124B" w14:textId="6FB4A2B8" w:rsidR="00622B18" w:rsidRDefault="00622B18">
      <w:pPr>
        <w:pStyle w:val="JuPara"/>
      </w:pPr>
      <w:fldSimple w:instr=" SEQ level0 \*arabic \* MERGEFORMAT ">
        <w:r>
          <w:t>6</w:t>
        </w:r>
      </w:fldSimple>
      <w:r>
        <w:t>.  Na podstawie informacji opisanych w poprzednim paragrafie, w dniu 27 września 2019 r., na podstawie art. 126</w:t>
      </w:r>
      <w:r>
        <w:rPr>
          <w:vertAlign w:val="superscript"/>
        </w:rPr>
        <w:t>9</w:t>
      </w:r>
      <w:r>
        <w:t xml:space="preserve"> Kodeksu postępowania karnego (</w:t>
      </w:r>
      <w:proofErr w:type="spellStart"/>
      <w:r>
        <w:rPr>
          <w:i/>
        </w:rPr>
        <w:t>kriminaalmenetluse</w:t>
      </w:r>
      <w:proofErr w:type="spellEnd"/>
      <w:r>
        <w:rPr>
          <w:i/>
        </w:rPr>
        <w:t xml:space="preserve"> </w:t>
      </w:r>
      <w:proofErr w:type="spellStart"/>
      <w:r>
        <w:rPr>
          <w:i/>
        </w:rPr>
        <w:t>seadustik</w:t>
      </w:r>
      <w:proofErr w:type="spellEnd"/>
      <w:r>
        <w:t xml:space="preserve">), prokuratura wyraziła zgodę na wykorzystanie funkcjonariusza </w:t>
      </w:r>
      <w:r w:rsidR="00E1405B">
        <w:t>P</w:t>
      </w:r>
      <w:r>
        <w:t>olicji pod przykryciem w celu zbierania informacji na stronie internetowej www.armastusesaal.org (co tłumaczy się jako „sala miłości”).</w:t>
      </w:r>
    </w:p>
    <w:p w14:paraId="5400B4A4" w14:textId="7FD36D58" w:rsidR="00622B18" w:rsidRDefault="00622B18">
      <w:pPr>
        <w:pStyle w:val="JuPara"/>
      </w:pPr>
      <w:fldSimple w:instr=" SEQ level0 \*arabic \* MERGEFORMAT ">
        <w:r>
          <w:t>7</w:t>
        </w:r>
      </w:fldSimple>
      <w:r>
        <w:t xml:space="preserve">.  W okresie od 8 października 2019 r. do 8 grudnia 2019 r. policja prowadziła tajną operację inwigilacyjną na tej stronie internetowej. Funkcjonariusz </w:t>
      </w:r>
      <w:r w:rsidR="00E1405B">
        <w:t>P</w:t>
      </w:r>
      <w:r>
        <w:t xml:space="preserve">olicji, posługując się fikcyjną tożsamością 12-letniej dziewczynki o imieniu </w:t>
      </w:r>
      <w:proofErr w:type="spellStart"/>
      <w:r>
        <w:t>Marleen</w:t>
      </w:r>
      <w:proofErr w:type="spellEnd"/>
      <w:r>
        <w:t xml:space="preserve"> </w:t>
      </w:r>
      <w:proofErr w:type="spellStart"/>
      <w:r>
        <w:t>Ilus</w:t>
      </w:r>
      <w:proofErr w:type="spellEnd"/>
      <w:r>
        <w:t xml:space="preserve"> i pseudonimem „Marleen12”, korzystał z czatów internetowych na tej stronie w celu zbierania informacji istotnych dla postępowania.</w:t>
      </w:r>
    </w:p>
    <w:p w14:paraId="3A1ED8E9" w14:textId="77777777" w:rsidR="00622B18" w:rsidRDefault="00622B18">
      <w:pPr>
        <w:pStyle w:val="JuPara"/>
        <w:rPr>
          <w:sz w:val="23"/>
        </w:rPr>
      </w:pPr>
      <w:fldSimple w:instr=" SEQ level0 \*arabic \* MERGEFORMAT ">
        <w:r>
          <w:t>8</w:t>
        </w:r>
      </w:fldSimple>
      <w:r>
        <w:t>.  </w:t>
      </w:r>
      <w:r>
        <w:rPr>
          <w:sz w:val="23"/>
        </w:rPr>
        <w:t>Podczas tej operacji osoba posługująca się nazwą użytkownika „m41tln” prowadziła z „Marleen12” rozmowy o wyraźnie seksualnym charakterze za pośrednictwem prywatnych wiadomości przesyłanych na tej stronie internetowej.</w:t>
      </w:r>
    </w:p>
    <w:p w14:paraId="4C743A9C" w14:textId="3672167A" w:rsidR="00622B18" w:rsidRDefault="00622B18">
      <w:pPr>
        <w:pStyle w:val="P68B1DB1-JuPara7"/>
      </w:pPr>
      <w:fldSimple w:instr=" SEQ level0 \*arabic \* MERGEFORMAT ">
        <w:r>
          <w:t>9</w:t>
        </w:r>
      </w:fldSimple>
      <w:r>
        <w:t xml:space="preserve">.  Na podstawie informacji uzyskanych z wyżej wymienionych rozmów, w dniu 17 listopada 2019 r. wszczęto odrębne postępowanie karne w celu zbadania możliwego popełnienia przestępstwa przez osobę posługującą się nazwą użytkownika „m41tln”. W toku postępowania ustalono, że </w:t>
      </w:r>
      <w:r w:rsidR="00FB60ED">
        <w:t xml:space="preserve">to </w:t>
      </w:r>
      <w:r>
        <w:t>skarżący był osobą kryjącą się za tą nazwą użytkownika. Transkrypcje tych rozmów zostały włączone do notatki urzędowej z tajnej operacji inwigilacyjnej. Notatka ta została następnie wykorzystana jako dowód w postępowaniu przeciwko skarżącemu.</w:t>
      </w:r>
    </w:p>
    <w:p w14:paraId="21F955F4" w14:textId="3D90F3EE" w:rsidR="00622B18" w:rsidRDefault="00622B18">
      <w:pPr>
        <w:pStyle w:val="P68B1DB1-JuPara7"/>
      </w:pPr>
      <w:fldSimple w:instr=" SEQ level0 \*arabic \* MERGEFORMAT ">
        <w:bookmarkStart w:id="1" w:name="paragraph00010"/>
        <w:r>
          <w:t>10</w:t>
        </w:r>
        <w:bookmarkEnd w:id="1"/>
      </w:fldSimple>
      <w:r>
        <w:t>.  Transkrypcje wskazują, że skarżący zainicjował czaty z „Marleen12” w dniu 8 października 2019 r. o godz. 19.52, 9 października 2019 r. o godz.</w:t>
      </w:r>
      <w:r w:rsidR="00FB60ED">
        <w:t> </w:t>
      </w:r>
      <w:r>
        <w:t>17.58, 14 października 2019 r. o godz. 17.46, 3 listopada 2019 r. o godz. 13.46, 10 listopada 2019 r. o godz. 17.46, 11 listopada o godz.</w:t>
      </w:r>
      <w:r w:rsidR="00FB60ED">
        <w:t> </w:t>
      </w:r>
      <w:r>
        <w:t>16.35, 17 listopada 2019 r. o godz. 11.00, 22 listopada 2019 r. o godz.</w:t>
      </w:r>
      <w:r w:rsidR="00FB60ED">
        <w:t> </w:t>
      </w:r>
      <w:r>
        <w:t>19.16, 30 listopada 2019 r. o godz. 15.37, 1 grudnia 2019 r. o godz. 18.20, 4 grudnia 2019 r. o godz. 15.49 oraz 8 grudnia 2019 r. o godz. 18.12. Podczas czatu w dniu 8 października 2019 r. o godz.</w:t>
      </w:r>
      <w:r w:rsidR="00FB60ED">
        <w:t> </w:t>
      </w:r>
      <w:r>
        <w:t xml:space="preserve">19.58 „Marleen12” oświadczyła, że ma 12 lat. W kilku przypadkach, gdy „Marleen12” nie odpowiadała natychmiast, skarżący ponawiał </w:t>
      </w:r>
      <w:r>
        <w:lastRenderedPageBreak/>
        <w:t>swoje powitania. Podczas tych czatów skarżący wielokrotnie poruszał tematy związane z seksem. Na przykład 9 października 2019 r. wskazał, że czaty w tym pokoju czatowym zwykle dotyczą tematów związanych z seksem i poprosił „Marleen12” o podanie przykładów kwestii, które zauważyła, że były tam omawiane. Następnie zapytał, czy ma już „cycki” i czy słyszała, że niektórzy ludzie uprawiają seks z bardzo małymi dziećmi. W dniu 3 listopada 2019 r. wspomniał, że odwiedził kobietę, która miała bardzo małą córkę – młodszą niż „Marleen12” – i że odbył stosunek seksualny z tą dziewczynką, po czym zapytał, czy „Marleen12” interesuje się seksem. W dniu 17 listopada 2019 r. poprosił „Marleen12”, aby przypomniała mu, czy już uprawiała seks, czy oglądała pornografię, masturbowała się i przeżyła orgazm oraz czy jest zainteresowana seksualnie dziewczynkami lub kobietami.</w:t>
      </w:r>
    </w:p>
    <w:p w14:paraId="75633EF7" w14:textId="77777777" w:rsidR="00622B18" w:rsidRDefault="00000000">
      <w:pPr>
        <w:pStyle w:val="JuHIRoman"/>
      </w:pPr>
      <w:r>
        <w:t>Postępowanie sądowe przeciwko skarżącemu</w:t>
      </w:r>
    </w:p>
    <w:p w14:paraId="7B7374F3" w14:textId="77777777" w:rsidR="00622B18" w:rsidRDefault="00622B18">
      <w:pPr>
        <w:pStyle w:val="JuPara"/>
      </w:pPr>
      <w:fldSimple w:instr=" SEQ level0 \*arabic \* MERGEFORMAT ">
        <w:r>
          <w:t>11</w:t>
        </w:r>
      </w:fldSimple>
      <w:r>
        <w:t>.  W dniu 30 listopada 2020 r. Sąd Rejonowy w Harju (</w:t>
      </w:r>
      <w:proofErr w:type="spellStart"/>
      <w:r>
        <w:t>County</w:t>
      </w:r>
      <w:proofErr w:type="spellEnd"/>
      <w:r>
        <w:t xml:space="preserve"> Court) skazał skarżącego za usiłowanie seksualnego uwodzenia małoletniego.</w:t>
      </w:r>
    </w:p>
    <w:p w14:paraId="175A8BC9" w14:textId="6D16B696" w:rsidR="00622B18" w:rsidRDefault="00622B18">
      <w:pPr>
        <w:pStyle w:val="JuPara"/>
      </w:pPr>
      <w:fldSimple w:instr=" SEQ level0 \*arabic \* MERGEFORMAT ">
        <w:r>
          <w:t>12</w:t>
        </w:r>
      </w:fldSimple>
      <w:r>
        <w:t xml:space="preserve">.  W odpowiedzi na wniosek skarżącego Sąd Rejonowy w Harju zbadał zgodność z prawem opisanej powyżej tajnej operacji </w:t>
      </w:r>
      <w:r w:rsidR="00291331">
        <w:t xml:space="preserve">śledczej </w:t>
      </w:r>
      <w:r>
        <w:t>w celu ustalenia, czy notatka urzędowa z tej operacji, zawierająca transkrypcje czatów skarżącego, może zostać dopuszczona jako dowód.</w:t>
      </w:r>
    </w:p>
    <w:bookmarkStart w:id="2" w:name="paragraph00013"/>
    <w:p w14:paraId="07B15B17" w14:textId="09C7608E" w:rsidR="00622B18" w:rsidRDefault="00000000">
      <w:pPr>
        <w:pStyle w:val="JuPara"/>
      </w:pPr>
      <w:r>
        <w:fldChar w:fldCharType="begin"/>
      </w:r>
      <w:r>
        <w:instrText xml:space="preserve"> SEQ level0 \*arabic \* MERGEFORMAT </w:instrText>
      </w:r>
      <w:r>
        <w:fldChar w:fldCharType="separate"/>
      </w:r>
      <w:r>
        <w:t>13</w:t>
      </w:r>
      <w:r>
        <w:fldChar w:fldCharType="end"/>
      </w:r>
      <w:bookmarkEnd w:id="2"/>
      <w:r>
        <w:t xml:space="preserve">.  Sąd zapoznał się z aktami dokumentującymi przebieg tajnej inwigilacji. Potwierdził, że prokuratura wydała zgodę na wykorzystanie funkcjonariusza </w:t>
      </w:r>
      <w:r w:rsidR="00291331">
        <w:t>P</w:t>
      </w:r>
      <w:r>
        <w:t xml:space="preserve">olicji pod przykryciem. Zgoda dotyczyła przestępstwa, w odniesieniu do którego tajna operacja mogła być </w:t>
      </w:r>
      <w:r w:rsidR="00E55BE1">
        <w:t>prze</w:t>
      </w:r>
      <w:r>
        <w:t xml:space="preserve">prowadzona na podstawie Kodeksu postępowania karnego. </w:t>
      </w:r>
      <w:r w:rsidR="00E55BE1">
        <w:t xml:space="preserve">Odnosząc </w:t>
      </w:r>
      <w:r>
        <w:t>się do dwóch decyzji o wyrażeniu zgody znajdujących się w aktach, sąd uznał, że w chwili udziel</w:t>
      </w:r>
      <w:r w:rsidR="00E55BE1">
        <w:t>a</w:t>
      </w:r>
      <w:r>
        <w:t xml:space="preserve">nia zezwolenia na wykorzystanie funkcjonariusza pod przykryciem istniało uzasadnione podejrzenie popełnienia przestępstwa. Decyzje o wyrażeniu zgody zawierały stosowne uzasadnienie, a zasada </w:t>
      </w:r>
      <w:r>
        <w:rPr>
          <w:i/>
        </w:rPr>
        <w:t>ultima ratio</w:t>
      </w:r>
      <w:r>
        <w:t xml:space="preserve"> została zachowana. Biorąc pod uwagę </w:t>
      </w:r>
      <w:r w:rsidR="00E55BE1">
        <w:t xml:space="preserve">niejawny </w:t>
      </w:r>
      <w:r>
        <w:t>charakter przestępstwa</w:t>
      </w:r>
      <w:r w:rsidR="00E55BE1">
        <w:t>,</w:t>
      </w:r>
      <w:r>
        <w:t xml:space="preserve"> będącego przedmiotem </w:t>
      </w:r>
      <w:r w:rsidR="00E55BE1">
        <w:t>śledztwa</w:t>
      </w:r>
      <w:r>
        <w:t xml:space="preserve"> oraz fakt, że dotyczyło ono przestępstwa skierowanego przeciwko małoletnim, wykorzystanie funkcjonariusza pod przykryciem było uzasadnione i proporcjonalne. Tego rodzaju przestępstwa były często popełniane w sposób, który czynił ich wykrycie utrudnionym, a sprawcy prawdopodobnie staraliby się zniszczyć wszelkie dowody tych przestępstw.</w:t>
      </w:r>
    </w:p>
    <w:bookmarkStart w:id="3" w:name="paragraph00014"/>
    <w:p w14:paraId="3A003641" w14:textId="40CFE70D" w:rsidR="00622B18" w:rsidRDefault="00000000">
      <w:pPr>
        <w:pStyle w:val="JuPara"/>
        <w:rPr>
          <w:sz w:val="23"/>
        </w:rPr>
      </w:pPr>
      <w:r>
        <w:fldChar w:fldCharType="begin"/>
      </w:r>
      <w:r>
        <w:instrText xml:space="preserve"> SEQ level0 \*arabic \* MERGEFORMAT </w:instrText>
      </w:r>
      <w:r>
        <w:fldChar w:fldCharType="separate"/>
      </w:r>
      <w:r>
        <w:t>14</w:t>
      </w:r>
      <w:r>
        <w:fldChar w:fldCharType="end"/>
      </w:r>
      <w:bookmarkEnd w:id="3"/>
      <w:r>
        <w:t xml:space="preserve">.  Sąd stwierdził, że </w:t>
      </w:r>
      <w:r>
        <w:rPr>
          <w:sz w:val="23"/>
        </w:rPr>
        <w:t xml:space="preserve">wykorzystanie funkcjonariusza pod przykryciem było zgodne z prawem oraz że uzyskane w ten sposób dowody </w:t>
      </w:r>
      <w:r w:rsidR="00841C21">
        <w:rPr>
          <w:sz w:val="23"/>
        </w:rPr>
        <w:t xml:space="preserve">były </w:t>
      </w:r>
      <w:r>
        <w:rPr>
          <w:sz w:val="23"/>
        </w:rPr>
        <w:t>dopuszczalne.</w:t>
      </w:r>
    </w:p>
    <w:p w14:paraId="352E3E98" w14:textId="5AB48AF1" w:rsidR="00622B18" w:rsidRDefault="00622B18">
      <w:pPr>
        <w:pStyle w:val="P68B1DB1-JuPara7"/>
      </w:pPr>
      <w:fldSimple w:instr=" SEQ level0 \*arabic \* MERGEFORMAT ">
        <w:r>
          <w:t>15</w:t>
        </w:r>
      </w:fldSimple>
      <w:r>
        <w:t xml:space="preserve">.  Co do meritum rozmów między skarżącym a „Marleen12”, po zbadaniu treści rozmów na czacie sąd stwierdził, że funkcjonariusz </w:t>
      </w:r>
      <w:r w:rsidR="00841C21">
        <w:t>P</w:t>
      </w:r>
      <w:r>
        <w:t xml:space="preserve">olicji w żaden sposób nie </w:t>
      </w:r>
      <w:r w:rsidR="00841C21">
        <w:t xml:space="preserve">zachęcał </w:t>
      </w:r>
      <w:r>
        <w:t>skarżącego. Skarżący zainicjował rozmowy i to on przejął wszelką inicjatywę w ich podtrzymywaniu.</w:t>
      </w:r>
    </w:p>
    <w:p w14:paraId="4A242509" w14:textId="5A4E64CC" w:rsidR="00622B18" w:rsidRDefault="00622B18">
      <w:pPr>
        <w:pStyle w:val="P68B1DB1-JuPara7"/>
      </w:pPr>
      <w:fldSimple w:instr=" SEQ level0 \*arabic \* MERGEFORMAT ">
        <w:bookmarkStart w:id="4" w:name="paragraph00016"/>
        <w:r>
          <w:t>16</w:t>
        </w:r>
        <w:bookmarkEnd w:id="4"/>
      </w:fldSimple>
      <w:r>
        <w:t xml:space="preserve">.  Następnie, </w:t>
      </w:r>
      <w:r w:rsidR="00841C21">
        <w:t>biorąc pod uwagę</w:t>
      </w:r>
      <w:r>
        <w:t xml:space="preserve"> </w:t>
      </w:r>
      <w:r w:rsidR="00841C21">
        <w:t xml:space="preserve">sposób </w:t>
      </w:r>
      <w:r>
        <w:t>działania przedmiotowego serwisu internetowego, pseudonim użyt</w:t>
      </w:r>
      <w:r w:rsidR="00841C21">
        <w:t>y</w:t>
      </w:r>
      <w:r>
        <w:t xml:space="preserve"> przez funkcjonariusza pod przykryciem oraz </w:t>
      </w:r>
      <w:r>
        <w:lastRenderedPageBreak/>
        <w:t>treś</w:t>
      </w:r>
      <w:r w:rsidR="00841C21">
        <w:t>ć</w:t>
      </w:r>
      <w:r>
        <w:t xml:space="preserve"> rozmów na czacie między skarżącym a funkcjonariuszem </w:t>
      </w:r>
      <w:r w:rsidR="00841C21">
        <w:t>P</w:t>
      </w:r>
      <w:r>
        <w:t>olicji, Sąd Rejonowy w Harju stwierdził, że skarżący musiał rzeczywiście sądzić, że prowadzi rozmowę z 12-letnią dziewczynką. Sąd zauważył, że skarżący, jako częsty użytkownik tego serwisu internetowego, musiał być świadomy, że serwis nie wymagał potwierdzenia, że osoba korzystająca z serwisu jest osobą dorosłą. Świadkowie (którzy administrowali serwerem i </w:t>
      </w:r>
      <w:r w:rsidR="00E50B28">
        <w:t>stroną internetową</w:t>
      </w:r>
      <w:r>
        <w:t xml:space="preserve">) potwierdzili również na rozprawie sądowej, że portal nie był przeznaczony wyłącznie dla osób dorosłych. Sąd zauważył ponadto, że skarżący użył </w:t>
      </w:r>
      <w:r w:rsidR="00E50B28">
        <w:t xml:space="preserve">swojego </w:t>
      </w:r>
      <w:r>
        <w:t xml:space="preserve">własnego wieku w nazwie użytkownika i w związku z tym powinien był założyć, że druga osoba postąpiła podobnie. W konsekwencji sąd nie uznał za wiarygodne twierdzeń skarżącego, że jego zdaniem uczestniczył on w grze fabularnej i był przekonany, że osoba znajdująca się po drugiej stronie komputera nie była nieletnią dziewczynką, lecz osobą dorosłą o podobnych zainteresowaniach obejmujących odgrywanie ról. Na podstawie treści rozmów na czacie sąd stwierdził, że skarżący starał się wzbudzić zainteresowanie funkcjonariusza pod przykryciem – którego uważał za 12-letnią dziewczynkę o imieniu </w:t>
      </w:r>
      <w:proofErr w:type="spellStart"/>
      <w:r>
        <w:t>Marleen</w:t>
      </w:r>
      <w:proofErr w:type="spellEnd"/>
      <w:r>
        <w:t xml:space="preserve"> – tematami o charakterze seksualnym.</w:t>
      </w:r>
    </w:p>
    <w:bookmarkStart w:id="5" w:name="paragraph00017"/>
    <w:p w14:paraId="67AD9F9C" w14:textId="603735BB" w:rsidR="00622B18" w:rsidRDefault="00000000">
      <w:pPr>
        <w:pStyle w:val="P68B1DB1-JuPara7"/>
      </w:pPr>
      <w:r>
        <w:fldChar w:fldCharType="begin"/>
      </w:r>
      <w:r>
        <w:instrText xml:space="preserve"> SEQ level0 \*arabic \* MERGEFORMAT </w:instrText>
      </w:r>
      <w:r>
        <w:fldChar w:fldCharType="separate"/>
      </w:r>
      <w:r>
        <w:t>17</w:t>
      </w:r>
      <w:r>
        <w:fldChar w:fldCharType="end"/>
      </w:r>
      <w:bookmarkEnd w:id="5"/>
      <w:r>
        <w:t xml:space="preserve">.  Skarżący wniósł apelację. Argumentował, że nie istniały żadne wcześniejsze informacje </w:t>
      </w:r>
      <w:r w:rsidR="008A1FFD">
        <w:t>o jego ewentualnym</w:t>
      </w:r>
      <w:r>
        <w:t xml:space="preserve"> zachowani</w:t>
      </w:r>
      <w:r w:rsidR="008A1FFD">
        <w:t>u</w:t>
      </w:r>
      <w:r>
        <w:t xml:space="preserve"> przestępcz</w:t>
      </w:r>
      <w:r w:rsidR="008A1FFD">
        <w:t>ym</w:t>
      </w:r>
      <w:r>
        <w:t xml:space="preserve">. Zauważył, że postępowanie karne przeciwko niemu zostało wszczęte dopiero po tym, jak funkcjonariusz </w:t>
      </w:r>
      <w:r w:rsidR="008A1FFD">
        <w:t>P</w:t>
      </w:r>
      <w:r>
        <w:t xml:space="preserve">olicji nakłonił go do popełnienia przestępstwa. Stwierdził, że zgody na tajną inwigilację zostały wydane nie w celu objęcia nią konkretnie jego osoby, lecz w celu podżegania „seksualnych uwodzicieli [dzieci] poniżej 14. roku życia” do popełnienia przestępstwa. Policja weszła </w:t>
      </w:r>
      <w:r w:rsidR="00D45CEC">
        <w:t>na czat</w:t>
      </w:r>
      <w:r>
        <w:t xml:space="preserve"> w określonym celu – aby zwabić do rozmowy osoby zainteresowane dziećmi poniżej 14. roku życia. Nazwa użytkownika „Marleen12” została dobrana celowo, aby prowokować osoby do nawiązania rozmowy.</w:t>
      </w:r>
    </w:p>
    <w:p w14:paraId="0AD11F9B" w14:textId="77777777" w:rsidR="00622B18" w:rsidRDefault="00622B18">
      <w:pPr>
        <w:pStyle w:val="P68B1DB1-JuPara7"/>
      </w:pPr>
      <w:fldSimple w:instr=" SEQ level0 \*arabic \* MERGEFORMAT ">
        <w:r>
          <w:t>18</w:t>
        </w:r>
      </w:fldSimple>
      <w:r>
        <w:t>.  W dniu 10 czerwca 2021 r. Sąd Apelacyjny w Tallinie oddalił apelację i utrzymał w mocy wyrok sądu pierwszej instancji.</w:t>
      </w:r>
    </w:p>
    <w:p w14:paraId="13B6416C" w14:textId="12B5F60C" w:rsidR="00622B18" w:rsidRDefault="00622B18">
      <w:pPr>
        <w:pStyle w:val="P68B1DB1-JuPara7"/>
      </w:pPr>
      <w:fldSimple w:instr=" SEQ level0 \*arabic \* MERGEFORMAT ">
        <w:r>
          <w:t>19</w:t>
        </w:r>
      </w:fldSimple>
      <w:r>
        <w:t xml:space="preserve">.  Sąd Apelacyjny w Tallinie zgodził się z uzasadnieniem Sądu Rejonowego w Harju, że fragmenty rozmów między skarżącym a funkcjonariuszem </w:t>
      </w:r>
      <w:r w:rsidR="00D45CEC">
        <w:t>P</w:t>
      </w:r>
      <w:r>
        <w:t xml:space="preserve">olicji pod przykryciem nie wskazywały, aby funkcjonariusz posługujący się nazwą użytkownika „Marleen12” w jakikolwiek sposób prowokował skarżącego do poruszania tematów seksualnych. Sąd stwierdził, że z fragmentów rozmów wyraźnie wynikało, iż to skarżący zawsze inicjował rozmowy na tematy seksualne, a gdy funkcjonariusz pod przykryciem podający się za „Marleen12” </w:t>
      </w:r>
      <w:r w:rsidR="00D45CEC">
        <w:t>pozostał</w:t>
      </w:r>
      <w:r>
        <w:t xml:space="preserve"> biern</w:t>
      </w:r>
      <w:r w:rsidR="00D45CEC">
        <w:t>y</w:t>
      </w:r>
      <w:r>
        <w:t>, skarżący nakłaniał ją do rozmowy i zadawania pytań o seks oraz wyrażania swoich pragnień seksualnych, zaś funkcjonariusz pod przykryciem udzielał przeważnie krótkich odpowiedzi.</w:t>
      </w:r>
    </w:p>
    <w:p w14:paraId="51F883FB" w14:textId="28094971" w:rsidR="00622B18" w:rsidRDefault="00622B18">
      <w:pPr>
        <w:pStyle w:val="P68B1DB1-JuPara7"/>
      </w:pPr>
      <w:fldSimple w:instr=" SEQ level0 \*arabic \* MERGEFORMAT ">
        <w:r>
          <w:t>20</w:t>
        </w:r>
      </w:fldSimple>
      <w:r>
        <w:t xml:space="preserve">.  Sąd Apelacyjny stwierdził, że wykorzystanie funkcjonariusza </w:t>
      </w:r>
      <w:r w:rsidR="00D45CEC">
        <w:t>P</w:t>
      </w:r>
      <w:r>
        <w:t xml:space="preserve">olicji nie miało na celu podżegania skarżącego do popełnienia przestępstwa, lecz weryfikację uzyskanych przez policję informacji wskazujących, że różne osoby korzystały z określonych stron internetowych, aby prowadzić na czatach rozmowy o charakterze seksualnym z małoletnimi poniżej 14. roku życia oraz przesyłały im pliki zawierające materiały o charakterze seksualnym. W tym celu wszczęte zostało postępowanie karne </w:t>
      </w:r>
      <w:r w:rsidR="00D95D96">
        <w:t>z</w:t>
      </w:r>
      <w:r>
        <w:t xml:space="preserve"> art. 179 § 1 Kodeksu karnego.</w:t>
      </w:r>
    </w:p>
    <w:bookmarkStart w:id="6" w:name="paragraph00021"/>
    <w:p w14:paraId="45EC136B" w14:textId="41E9DDE5" w:rsidR="00622B18" w:rsidRDefault="00000000">
      <w:pPr>
        <w:pStyle w:val="P68B1DB1-JuPara7"/>
      </w:pPr>
      <w:r>
        <w:lastRenderedPageBreak/>
        <w:fldChar w:fldCharType="begin"/>
      </w:r>
      <w:r>
        <w:instrText xml:space="preserve"> SEQ level0 \*arabic \* MERGEFORMAT </w:instrText>
      </w:r>
      <w:r>
        <w:fldChar w:fldCharType="separate"/>
      </w:r>
      <w:r>
        <w:t>21</w:t>
      </w:r>
      <w:r>
        <w:fldChar w:fldCharType="end"/>
      </w:r>
      <w:bookmarkEnd w:id="6"/>
      <w:r>
        <w:t>.  Skarżący wniósł kasację. Powtórzył swoje argumenty dotyczące podżegania go do popełnienia przestępstwa (zob. paragraf </w:t>
      </w:r>
      <w:r>
        <w:fldChar w:fldCharType="begin"/>
      </w:r>
      <w:r>
        <w:instrText xml:space="preserve">REF paragraph00017 \h \* CharFormat  \* MERGEFORMAT </w:instrText>
      </w:r>
      <w:r>
        <w:fldChar w:fldCharType="separate"/>
      </w:r>
      <w:r>
        <w:t>17</w:t>
      </w:r>
      <w:r>
        <w:fldChar w:fldCharType="end"/>
      </w:r>
      <w:r>
        <w:t xml:space="preserve"> powyżej). Dodał, że fakt, że to on zainicjował rozmowy na tematy związane z seksem oraz że</w:t>
      </w:r>
      <w:r w:rsidR="0060721D">
        <w:t> </w:t>
      </w:r>
      <w:r>
        <w:t xml:space="preserve">funkcjonariusz </w:t>
      </w:r>
      <w:r w:rsidR="00D95D96">
        <w:t>P</w:t>
      </w:r>
      <w:r>
        <w:t xml:space="preserve">olicji zachował bierną postawę podczas tych rozmów, był bez znaczenia, gdyż w kontekście uwodzenia było i tak nielogiczne, aby to sam małoletni </w:t>
      </w:r>
      <w:r w:rsidR="00D95D96">
        <w:t xml:space="preserve">rozpoczynał </w:t>
      </w:r>
      <w:r>
        <w:t>rozmowy na tematy seksualne. Podżeganie wynikało z faktu, że</w:t>
      </w:r>
      <w:r w:rsidR="0060721D">
        <w:t> </w:t>
      </w:r>
      <w:r>
        <w:t xml:space="preserve">funkcjonariusz </w:t>
      </w:r>
      <w:r w:rsidR="00D95D96">
        <w:t>P</w:t>
      </w:r>
      <w:r>
        <w:t>olicji przyjął rolę małoletniego i wybrał nazwę użytkownika, która skłoniła skarżącego do przekonania, że to małoletni uczestniczy w czacie.</w:t>
      </w:r>
    </w:p>
    <w:p w14:paraId="0CB1C48B" w14:textId="77777777" w:rsidR="00622B18" w:rsidRDefault="00622B18">
      <w:pPr>
        <w:pStyle w:val="P68B1DB1-JuPara7"/>
      </w:pPr>
      <w:fldSimple w:instr=" SEQ level0 \*arabic \* MERGEFORMAT ">
        <w:r>
          <w:t>22</w:t>
        </w:r>
      </w:fldSimple>
      <w:r>
        <w:t>.  W dniu 17 sierpnia 2021 r. Sąd Najwyższy postanowił nie rozpoznawać kasacji skarżącego i wyrok skazujący stał się prawomocny.</w:t>
      </w:r>
    </w:p>
    <w:p w14:paraId="1ACDC5B7" w14:textId="77777777" w:rsidR="00622B18" w:rsidRDefault="00000000">
      <w:pPr>
        <w:pStyle w:val="JuHHead"/>
      </w:pPr>
      <w:r>
        <w:t>WŁAŚCIWE RAMY PRAWNE I PRAKTYKA</w:t>
      </w:r>
    </w:p>
    <w:p w14:paraId="6326C051" w14:textId="77777777" w:rsidR="00622B18" w:rsidRDefault="00000000">
      <w:pPr>
        <w:pStyle w:val="JuHIRoman"/>
      </w:pPr>
      <w:r>
        <w:t>Właściwe prawo krajowe</w:t>
      </w:r>
    </w:p>
    <w:bookmarkStart w:id="7" w:name="paragraph00023"/>
    <w:p w14:paraId="60ACBE2A" w14:textId="057F0F31" w:rsidR="00622B18" w:rsidRDefault="00000000">
      <w:pPr>
        <w:pStyle w:val="JuPara"/>
      </w:pPr>
      <w:r>
        <w:fldChar w:fldCharType="begin"/>
      </w:r>
      <w:r>
        <w:instrText xml:space="preserve"> SEQ level0 \*arabic \* MERGEFORMAT </w:instrText>
      </w:r>
      <w:r>
        <w:fldChar w:fldCharType="separate"/>
      </w:r>
      <w:r>
        <w:t>23</w:t>
      </w:r>
      <w:r>
        <w:fldChar w:fldCharType="end"/>
      </w:r>
      <w:bookmarkEnd w:id="7"/>
      <w:r>
        <w:t>.  Artykuł 179 § 1 estońskiego Kodeksu karnego stanowi, że</w:t>
      </w:r>
      <w:r w:rsidR="0060721D">
        <w:t> </w:t>
      </w:r>
      <w:r>
        <w:t>przekazanie, prezentowanie lub świadome udostępnienie w inny sposób osobie poniżej 14. roku życia materiałów pornograficznych lub ich reprodukcji, uczynienie takiej osoby świadkiem wykorzystywania seksualnego, obcowanie płciowe w obecności takiej osoby lub świadome seksualne uwodzenie jej w inny sposób jest zagrożone karą grzywny albo karą pozbawienia wolności do lat trzech.</w:t>
      </w:r>
    </w:p>
    <w:p w14:paraId="5E0829D2" w14:textId="43F27EF8" w:rsidR="00622B18" w:rsidRDefault="00622B18">
      <w:pPr>
        <w:pStyle w:val="JuPara"/>
      </w:pPr>
      <w:fldSimple w:instr=" SEQ level0 \*arabic \* MERGEFORMAT ">
        <w:r>
          <w:t>24</w:t>
        </w:r>
      </w:fldSimple>
      <w:r>
        <w:t>.  Artykuł 126</w:t>
      </w:r>
      <w:r>
        <w:rPr>
          <w:vertAlign w:val="superscript"/>
        </w:rPr>
        <w:t>9</w:t>
      </w:r>
      <w:r>
        <w:t xml:space="preserve"> § 1 Kodeksu postępowania karnego stanowi, że pojęcie „agent pod przykryciem” oznacza osobę, która posługuje się inną tożsamością w celu zbierania informacji z powodów wskazanych w</w:t>
      </w:r>
      <w:r w:rsidR="0060721D">
        <w:t> </w:t>
      </w:r>
      <w:r>
        <w:t>art. 126</w:t>
      </w:r>
      <w:r>
        <w:rPr>
          <w:vertAlign w:val="superscript"/>
        </w:rPr>
        <w:t>2</w:t>
      </w:r>
      <w:r>
        <w:t> § 1 pkt 1, 3 lub 4 Kodeksu postępowania karnego.</w:t>
      </w:r>
    </w:p>
    <w:p w14:paraId="7A3951F3" w14:textId="4CFBF331" w:rsidR="00622B18" w:rsidRDefault="00622B18">
      <w:pPr>
        <w:pStyle w:val="JuPara"/>
        <w:rPr>
          <w:sz w:val="23"/>
        </w:rPr>
      </w:pPr>
      <w:fldSimple w:instr=" SEQ level0 \*arabic \* MERGEFORMAT ">
        <w:r>
          <w:t>25</w:t>
        </w:r>
      </w:fldSimple>
      <w:r>
        <w:t>.  W zakresie, w jakim jest to istotne dla sprawy, art. 126</w:t>
      </w:r>
      <w:r>
        <w:rPr>
          <w:vertAlign w:val="superscript"/>
        </w:rPr>
        <w:t>2</w:t>
      </w:r>
      <w:r>
        <w:t xml:space="preserve"> § 1 pkt 1 i 4 Kodeksu postępowania karnego stanowią, że Zarząd Policji i Straży Granicznej może prowadzić tajną operację inwigilacyjną z następujących powodów: jeżeli </w:t>
      </w:r>
      <w:r>
        <w:rPr>
          <w:sz w:val="23"/>
        </w:rPr>
        <w:t xml:space="preserve">istnieje potrzeba </w:t>
      </w:r>
      <w:r w:rsidR="00A36247">
        <w:rPr>
          <w:sz w:val="23"/>
        </w:rPr>
        <w:t xml:space="preserve">zebrania </w:t>
      </w:r>
      <w:r>
        <w:rPr>
          <w:sz w:val="23"/>
        </w:rPr>
        <w:t>informacji o przygotowaniu do popełnienia przestępstwa</w:t>
      </w:r>
      <w:r w:rsidR="00A36247">
        <w:rPr>
          <w:sz w:val="23"/>
        </w:rPr>
        <w:t>,</w:t>
      </w:r>
      <w:r>
        <w:rPr>
          <w:sz w:val="23"/>
        </w:rPr>
        <w:t xml:space="preserve"> w celu wykrycia lub zapobieżenia temu przestępstwu; albo jeżeli istnieje potrzeba </w:t>
      </w:r>
      <w:r w:rsidR="00A36247">
        <w:rPr>
          <w:sz w:val="23"/>
        </w:rPr>
        <w:t xml:space="preserve">zebrania </w:t>
      </w:r>
      <w:r>
        <w:rPr>
          <w:sz w:val="23"/>
        </w:rPr>
        <w:t>informacji o przestępstwie w kontekście postępowania karnego.</w:t>
      </w:r>
    </w:p>
    <w:p w14:paraId="0409D05E" w14:textId="78AD7D5B" w:rsidR="00622B18" w:rsidRDefault="00000000">
      <w:pPr>
        <w:pStyle w:val="JuPara"/>
        <w:rPr>
          <w:sz w:val="23"/>
        </w:rPr>
      </w:pPr>
      <w:r>
        <w:rPr>
          <w:sz w:val="23"/>
        </w:rPr>
        <w:fldChar w:fldCharType="begin"/>
      </w:r>
      <w:r>
        <w:rPr>
          <w:sz w:val="23"/>
        </w:rPr>
        <w:instrText xml:space="preserve"> SEQ level0 \*arabic \* MERGEFORMAT </w:instrText>
      </w:r>
      <w:r>
        <w:rPr>
          <w:sz w:val="23"/>
        </w:rPr>
        <w:fldChar w:fldCharType="separate"/>
      </w:r>
      <w:r>
        <w:rPr>
          <w:sz w:val="23"/>
        </w:rPr>
        <w:t>26</w:t>
      </w:r>
      <w:r>
        <w:rPr>
          <w:sz w:val="23"/>
        </w:rPr>
        <w:fldChar w:fldCharType="end"/>
      </w:r>
      <w:r>
        <w:rPr>
          <w:sz w:val="23"/>
        </w:rPr>
        <w:t>.  </w:t>
      </w:r>
      <w:r>
        <w:t>Art. 126</w:t>
      </w:r>
      <w:r>
        <w:rPr>
          <w:vertAlign w:val="superscript"/>
        </w:rPr>
        <w:t>2</w:t>
      </w:r>
      <w:r>
        <w:t xml:space="preserve"> § 2 stanowi, że </w:t>
      </w:r>
      <w:r>
        <w:rPr>
          <w:sz w:val="23"/>
        </w:rPr>
        <w:t xml:space="preserve">tajna operacja </w:t>
      </w:r>
      <w:r w:rsidR="00A36247">
        <w:rPr>
          <w:sz w:val="23"/>
        </w:rPr>
        <w:t xml:space="preserve">śledcza </w:t>
      </w:r>
      <w:r>
        <w:rPr>
          <w:sz w:val="23"/>
        </w:rPr>
        <w:t>może być prowadzona z powodów wymienionych w art. 126</w:t>
      </w:r>
      <w:r>
        <w:rPr>
          <w:sz w:val="23"/>
          <w:vertAlign w:val="superscript"/>
        </w:rPr>
        <w:t>2</w:t>
      </w:r>
      <w:r>
        <w:rPr>
          <w:sz w:val="23"/>
        </w:rPr>
        <w:t> § 1 pkt (1) i pkt (4), pod warunkiem że sprawa dotyczy między innymi przestępstwa wymienionego w art. 179 Kodeksu karnego.</w:t>
      </w:r>
    </w:p>
    <w:p w14:paraId="078B47A5" w14:textId="727BF324" w:rsidR="00622B18" w:rsidRDefault="00000000">
      <w:pPr>
        <w:pStyle w:val="JuPara"/>
        <w:rPr>
          <w:sz w:val="23"/>
        </w:rPr>
      </w:pPr>
      <w:r>
        <w:rPr>
          <w:sz w:val="23"/>
        </w:rPr>
        <w:fldChar w:fldCharType="begin"/>
      </w:r>
      <w:r>
        <w:rPr>
          <w:sz w:val="23"/>
        </w:rPr>
        <w:instrText xml:space="preserve"> SEQ level0 \*arabic \* MERGEFORMAT </w:instrText>
      </w:r>
      <w:r>
        <w:rPr>
          <w:sz w:val="23"/>
        </w:rPr>
        <w:fldChar w:fldCharType="separate"/>
      </w:r>
      <w:r>
        <w:rPr>
          <w:sz w:val="23"/>
        </w:rPr>
        <w:t>27</w:t>
      </w:r>
      <w:r>
        <w:rPr>
          <w:sz w:val="23"/>
        </w:rPr>
        <w:fldChar w:fldCharType="end"/>
      </w:r>
      <w:r>
        <w:rPr>
          <w:sz w:val="23"/>
        </w:rPr>
        <w:t>.  Art. 126</w:t>
      </w:r>
      <w:r>
        <w:rPr>
          <w:sz w:val="23"/>
          <w:vertAlign w:val="superscript"/>
        </w:rPr>
        <w:t>9</w:t>
      </w:r>
      <w:r>
        <w:rPr>
          <w:sz w:val="23"/>
        </w:rPr>
        <w:t xml:space="preserve"> § 2 </w:t>
      </w:r>
      <w:r>
        <w:t>Kodeksu postępowania karnego</w:t>
      </w:r>
      <w:r>
        <w:rPr>
          <w:sz w:val="23"/>
        </w:rPr>
        <w:t xml:space="preserve"> stanowi ponadto, że zgoda na wykorzystanie agenta pod przykryciem musi zostać udzielona przez prokuraturę w formie pisemnej. Zgoda jest udzielana na okres do sześciu miesięcy, a </w:t>
      </w:r>
      <w:r w:rsidR="00A36247">
        <w:rPr>
          <w:sz w:val="23"/>
        </w:rPr>
        <w:t xml:space="preserve">okres ten </w:t>
      </w:r>
      <w:r>
        <w:rPr>
          <w:sz w:val="23"/>
        </w:rPr>
        <w:t xml:space="preserve">może </w:t>
      </w:r>
      <w:r w:rsidR="004D60FD">
        <w:rPr>
          <w:sz w:val="23"/>
        </w:rPr>
        <w:t xml:space="preserve">zostać </w:t>
      </w:r>
      <w:r>
        <w:rPr>
          <w:sz w:val="23"/>
        </w:rPr>
        <w:t>przedłuż</w:t>
      </w:r>
      <w:r w:rsidR="004D60FD">
        <w:rPr>
          <w:sz w:val="23"/>
        </w:rPr>
        <w:t>o</w:t>
      </w:r>
      <w:r>
        <w:rPr>
          <w:sz w:val="23"/>
        </w:rPr>
        <w:t>ny o maksymalnie sześć miesięcy.</w:t>
      </w:r>
    </w:p>
    <w:p w14:paraId="05483FD7" w14:textId="182BA9A9" w:rsidR="00622B18" w:rsidRDefault="00000000">
      <w:pPr>
        <w:pStyle w:val="JuHIRoman"/>
      </w:pPr>
      <w:r>
        <w:lastRenderedPageBreak/>
        <w:t xml:space="preserve">Właściwe </w:t>
      </w:r>
      <w:r w:rsidR="004D60FD">
        <w:t xml:space="preserve">orzecznictwo </w:t>
      </w:r>
      <w:r>
        <w:t xml:space="preserve">krajowe </w:t>
      </w:r>
    </w:p>
    <w:p w14:paraId="3FC5C5BD" w14:textId="763A829E" w:rsidR="00622B18" w:rsidRDefault="00622B18">
      <w:pPr>
        <w:pStyle w:val="JuPara"/>
      </w:pPr>
      <w:fldSimple w:instr=" SEQ level0 \*arabic \* MERGEFORMAT ">
        <w:r>
          <w:t>28</w:t>
        </w:r>
      </w:fldSimple>
      <w:r>
        <w:t xml:space="preserve">.  W wyroku nr 3-1-1-110-04 z  2 grudnia 2004 r. Sąd Najwyższy wyjaśnił, że kilka przestępstw wymagało, aby osoba </w:t>
      </w:r>
      <w:r w:rsidR="004D60FD">
        <w:t xml:space="preserve">pozorująca </w:t>
      </w:r>
      <w:r>
        <w:t>popełnienie przestępstwa (</w:t>
      </w:r>
      <w:r>
        <w:rPr>
          <w:i/>
        </w:rPr>
        <w:t>agent prowokator</w:t>
      </w:r>
      <w:r>
        <w:t>) była bardziej aktywną stroną w nawiązywaniu kontaktu (na przykład w sprawie nabycia środków odurzających) i </w:t>
      </w:r>
      <w:r w:rsidR="007938F5">
        <w:t xml:space="preserve">by </w:t>
      </w:r>
      <w:r>
        <w:t>jej działania nie ogranicza</w:t>
      </w:r>
      <w:r w:rsidR="007938F5">
        <w:t>ły</w:t>
      </w:r>
      <w:r>
        <w:t xml:space="preserve"> się do zwykłych biernych czynności operacyjno-rozpoznawczych. Było jednak zrozumiałe, że</w:t>
      </w:r>
      <w:r w:rsidR="0060721D">
        <w:t> </w:t>
      </w:r>
      <w:r>
        <w:t>działania osoby symulującej popełnienie przestępstwa nie mogły być nieograniczone i pozbawione ograniczeń prawnych. Na przykład niedopuszczalne jest podżeganie osoby do popełnienia przestępstwa w okolicznościach, w których osoba ta absolutnie nie miała uprzedniego zamiaru jego popełnienia, a organy prowadzące postępowanie przygotowawcze nie dysponowały wcześniejszymi informacjami o jej możliwym zachowaniu przestępczym. W celu oceny, czy podżeganie do popełnienia przestępstwa było dopuszczalne, czy też nie, należało wziąć pod uwagę takie kryteria jak</w:t>
      </w:r>
      <w:r w:rsidR="0087792D">
        <w:t>:</w:t>
      </w:r>
      <w:r>
        <w:t xml:space="preserve"> podstawa wstępnego podejrzenia wobec oskarżonego (na przykład wiarygodność źródła) oraz waga przestępstwa (na przykład to, czy przestępstwo było przestępstwem mniejszej wagi, czy </w:t>
      </w:r>
      <w:r w:rsidR="0087792D">
        <w:t xml:space="preserve">przestępstwem </w:t>
      </w:r>
      <w:r>
        <w:t xml:space="preserve">poważnym), a także to, w jaki sposób i w jakim stopniu </w:t>
      </w:r>
      <w:r>
        <w:rPr>
          <w:i/>
        </w:rPr>
        <w:t xml:space="preserve">agent prowokator </w:t>
      </w:r>
      <w:r>
        <w:t xml:space="preserve">wpłynął na daną osobę (na przykład </w:t>
      </w:r>
      <w:r w:rsidR="00AC2508">
        <w:t xml:space="preserve">wabiąc </w:t>
      </w:r>
      <w:r>
        <w:t>j</w:t>
      </w:r>
      <w:r w:rsidR="00AC2508">
        <w:t>ą</w:t>
      </w:r>
      <w:r>
        <w:t xml:space="preserve"> dużymi sumami pieniędzy lub groż</w:t>
      </w:r>
      <w:r w:rsidR="00AC2508">
        <w:t>ąc</w:t>
      </w:r>
      <w:r>
        <w:t xml:space="preserve"> jej, bądź </w:t>
      </w:r>
      <w:r w:rsidR="00AC2508">
        <w:t xml:space="preserve">przedstawiając </w:t>
      </w:r>
      <w:r>
        <w:t>możliw</w:t>
      </w:r>
      <w:r w:rsidR="00AC2508">
        <w:t>e</w:t>
      </w:r>
      <w:r>
        <w:t xml:space="preserve"> sposob</w:t>
      </w:r>
      <w:r w:rsidR="00AC2508">
        <w:t>y</w:t>
      </w:r>
      <w:r>
        <w:t xml:space="preserve"> działania, spośród których mogła dokonać wyboru). </w:t>
      </w:r>
      <w:r w:rsidR="00AC2508">
        <w:t>Należało również uwzględnić</w:t>
      </w:r>
      <w:r>
        <w:t xml:space="preserve"> gotowoś</w:t>
      </w:r>
      <w:r w:rsidR="00AC2508">
        <w:t>ć</w:t>
      </w:r>
      <w:r>
        <w:t xml:space="preserve"> tej osoby do działania oraz czynności, które podjęła ona z własnej inicjatywy – innymi słowy, zakres jej indywidualnego udziału (tego, czy wykonywała określone zadania bez kierownictwa i inicjatywy </w:t>
      </w:r>
      <w:r>
        <w:rPr>
          <w:i/>
        </w:rPr>
        <w:t xml:space="preserve">agenta </w:t>
      </w:r>
      <w:r w:rsidR="00AC2508">
        <w:rPr>
          <w:i/>
        </w:rPr>
        <w:t>prowokatora</w:t>
      </w:r>
      <w:r>
        <w:t xml:space="preserve"> itd.). Przy tym </w:t>
      </w:r>
      <w:r w:rsidR="004F6F7D">
        <w:t>zauważyć należało</w:t>
      </w:r>
      <w:r>
        <w:t xml:space="preserve">, że nie były to jednostkowe i niezależne kryteria oceny, a wszystkie wyżej wymienione okoliczności </w:t>
      </w:r>
      <w:r w:rsidR="004F6F7D">
        <w:t>należało rozważyć</w:t>
      </w:r>
      <w:r>
        <w:t xml:space="preserve"> w ramach całościowej oceny.</w:t>
      </w:r>
    </w:p>
    <w:p w14:paraId="213FCB10" w14:textId="3DB1D6D1" w:rsidR="00622B18" w:rsidRDefault="00622B18">
      <w:pPr>
        <w:pStyle w:val="JuPara"/>
      </w:pPr>
      <w:fldSimple w:instr=" SEQ level0 \*arabic \* MERGEFORMAT ">
        <w:r>
          <w:t>29</w:t>
        </w:r>
      </w:fldSimple>
      <w:r>
        <w:t>.  Powyższe uzasadnienie zostało powtórzone i przywołane w wyroku Sądu Najwyższego nr 1-16-1036 z  1 grudnia 2017 r.</w:t>
      </w:r>
    </w:p>
    <w:p w14:paraId="275DF1C4" w14:textId="6ECC4F26" w:rsidR="00622B18" w:rsidRDefault="004F6F7D">
      <w:pPr>
        <w:pStyle w:val="JuHIRoman"/>
      </w:pPr>
      <w:r>
        <w:t>ISTOTNE MATERIAŁY MIĘDZYNARODOWE</w:t>
      </w:r>
    </w:p>
    <w:bookmarkStart w:id="8" w:name="paragraph00030"/>
    <w:p w14:paraId="5A10B495" w14:textId="7991370B" w:rsidR="00622B18" w:rsidRDefault="00000000">
      <w:pPr>
        <w:pStyle w:val="JuPara"/>
      </w:pPr>
      <w:r>
        <w:fldChar w:fldCharType="begin"/>
      </w:r>
      <w:r>
        <w:instrText xml:space="preserve"> SEQ level0 \*arabic \* MERGEFORMAT </w:instrText>
      </w:r>
      <w:r>
        <w:fldChar w:fldCharType="separate"/>
      </w:r>
      <w:r>
        <w:t>30</w:t>
      </w:r>
      <w:r>
        <w:fldChar w:fldCharType="end"/>
      </w:r>
      <w:bookmarkEnd w:id="8"/>
      <w:r>
        <w:t xml:space="preserve">.  Konwencja Rady Europy o ochronie dzieci przed seksualnym wykorzystywaniem i niegodziwym traktowaniem w celach seksualnych („Konwencja z Lanzarote”) weszła w życie 1 lipca 2010 r., została ratyfikowana przez Estonię 11 listopada 2016 r. i weszła w życie w stosunku do Estonii 1 marca 2017 r. Wymienia ona różne formy „seksualnego wykorzystywania i niegodziwego traktowania dzieci w celach seksualnych”, zobowiązując każdą Stronę tej Konwencji do podjęcia niezbędnych środków ustawodawczych lub innych w celu zapewnienia kryminalizacji takiego wykorzystywania i nadużyć. Jeden z tych czynów – nagabywanie dzieci </w:t>
      </w:r>
      <w:r>
        <w:lastRenderedPageBreak/>
        <w:t>dla celów seksualnych – wymieniony jest w artykule 23 tej Konwencji, który stanowi, co następuje:</w:t>
      </w:r>
    </w:p>
    <w:p w14:paraId="4DECA3CD" w14:textId="77777777" w:rsidR="00622B18" w:rsidRDefault="00000000">
      <w:pPr>
        <w:pStyle w:val="JuHArticle"/>
      </w:pPr>
      <w:r>
        <w:t>Artykuł 23 – Nagabywanie dzieci dla celów seksualnych</w:t>
      </w:r>
    </w:p>
    <w:p w14:paraId="0A54C9FD" w14:textId="77777777" w:rsidR="00622B18" w:rsidRDefault="00000000">
      <w:pPr>
        <w:pStyle w:val="JuQuot"/>
      </w:pPr>
      <w:r>
        <w:t>„Każda ze Stron przyjmuje konieczne środki ustawodawcze lub inne środki w celu zapewnienia karalności umyślnego składania dziecku, które nie ukończyło wieku określonego w wyniku zastosowania art. 18 ust. 2, przez osobę dorosłą za pośrednictwem technologii informacyjnych i telekomunikacyjnych, propozycji spotkania w celu popełnienia przeciwko dziecku któregokolwiek z przestępstw określonych na podstawie art. 18 ust. 1 lit. a lub art. 20 ust. 1 lit. a, w sytuacji, gdy za taką propozycją idą faktyczne działania mające na celu doprowadzenie do takiego spotkania”.</w:t>
      </w:r>
    </w:p>
    <w:bookmarkStart w:id="9" w:name="paragraph00031"/>
    <w:p w14:paraId="71D5B291" w14:textId="77777777" w:rsidR="00622B18" w:rsidRDefault="00000000">
      <w:pPr>
        <w:pStyle w:val="JuParaLast"/>
      </w:pPr>
      <w:r>
        <w:fldChar w:fldCharType="begin"/>
      </w:r>
      <w:r>
        <w:instrText xml:space="preserve"> SEQ level0 \*arabic \* MERGEFORMAT </w:instrText>
      </w:r>
      <w:r>
        <w:fldChar w:fldCharType="separate"/>
      </w:r>
      <w:r>
        <w:t>31</w:t>
      </w:r>
      <w:r>
        <w:fldChar w:fldCharType="end"/>
      </w:r>
      <w:bookmarkEnd w:id="9"/>
      <w:r>
        <w:t>.  Odpowiednie części Raportu wyjaśniającego do Konwencji z Lanzarote stanowią, co następuje:</w:t>
      </w:r>
    </w:p>
    <w:p w14:paraId="2E3065B4" w14:textId="77777777" w:rsidR="00622B18" w:rsidRDefault="00000000">
      <w:pPr>
        <w:pStyle w:val="JuHArticle"/>
      </w:pPr>
      <w:r>
        <w:t>Artykuł 23 – Nagabywanie dzieci dla celów seksualnych</w:t>
      </w:r>
    </w:p>
    <w:p w14:paraId="11BA7C24" w14:textId="54350937" w:rsidR="00622B18" w:rsidRDefault="00000000">
      <w:pPr>
        <w:pStyle w:val="JuQuot"/>
      </w:pPr>
      <w:r>
        <w:t>„155. Artykuł 23 wprowadza nowe przestępstwo do Konwencji, które nie występuje w innych istniejących instrumentach międzynarodowych w tej dziedzinie. Nagabywanie dzieci dla celów seksualnych jest powszechniej znane jako „</w:t>
      </w:r>
      <w:r w:rsidR="00475FC3">
        <w:t>grooming</w:t>
      </w:r>
      <w:r>
        <w:t>”. Negocjatorzy uznali, że niezbędne jest, aby Konwencja odzwierciedlała niedawne, lecz coraz bardziej niepokojące zjawisko dzieci doznających krzywdy seksualnej podczas spotkań z dorosłymi, z którymi początkowo zetknęły się w cyberprzestrzeni, w szczególności na internetowych czatach lub stronach z grami.</w:t>
      </w:r>
    </w:p>
    <w:p w14:paraId="3A392B13" w14:textId="6F0D9A7D" w:rsidR="00622B18" w:rsidRDefault="00000000">
      <w:pPr>
        <w:pStyle w:val="JuQuot"/>
      </w:pPr>
      <w:r>
        <w:t>156. Termin „gro</w:t>
      </w:r>
      <w:r w:rsidR="00475FC3">
        <w:t>o</w:t>
      </w:r>
      <w:r>
        <w:t xml:space="preserve">ming” odnosi się do przygotowania dziecka do wykorzystywania seksualnego, motywowanego chęcią użycia dziecka do zaspokojenia seksualnego. Może obejmować zaprzyjaźnianie się z dzieckiem, często poprzez udawanie przez osobę dorosłą innej młodej osoby, wciąganie dziecka w omawianie spraw intymnych oraz stopniowe eksponowanie dziecka na materiały </w:t>
      </w:r>
      <w:r w:rsidR="00A76EFC">
        <w:t>o wyraźnie</w:t>
      </w:r>
      <w:r>
        <w:t xml:space="preserve"> seksualn</w:t>
      </w:r>
      <w:r w:rsidR="00A76EFC">
        <w:t>ym charakterze</w:t>
      </w:r>
      <w:r>
        <w:t xml:space="preserve"> w celu zmniejszenia oporu lub zahamowań dotyczących seksu. Dziecko może być również wciągane w produkcję pornografii dziecięcej poprzez wysyłanie kompromitujących zdjęć osobistych za pomocą aparatu cyfrowego, kamery internetowej lub kamery w telefonie, co zapewnia sprawcy gro</w:t>
      </w:r>
      <w:r w:rsidR="00475FC3">
        <w:t>o</w:t>
      </w:r>
      <w:r>
        <w:t>mingu środek kontrolowania dziecka poprzez groźby. W przypadku gdy dojdzie do zorganizowania spotkania fizycznego, dziecko może zostać wykorzystane seksualnie lub w inny sposób skrzywdzone.</w:t>
      </w:r>
    </w:p>
    <w:p w14:paraId="3E364202" w14:textId="76AF96B0" w:rsidR="00622B18" w:rsidRDefault="00000000" w:rsidP="00A115C4">
      <w:pPr>
        <w:pStyle w:val="JuQuot"/>
      </w:pPr>
      <w:r>
        <w:t>157. Negocjatorzy uznali, że same rozmowy o charakterze seksualnym z dzieckiem, choć stanowiące część przygotowania dziecka do wykorzystywania seksualnego, są niewystarczające same w sobie, aby ponieść odpowiedzialność karną. Niezbędny był dodatkowy element. W związku z tym art. 23 zobowiązuje Strony do kryminalizowania umyślnej „propozycji spotkania złożonej przez osobę dorosłą dziecku, które nie osiągnęło</w:t>
      </w:r>
      <w:r w:rsidR="00A115C4">
        <w:t xml:space="preserve"> </w:t>
      </w:r>
      <w:r>
        <w:t>wieku określonego w wyniku zastosowania art. 18 ust. 2”,</w:t>
      </w:r>
      <w:r w:rsidR="00A115C4">
        <w:t xml:space="preserve"> </w:t>
      </w:r>
      <w:r>
        <w:t>w celu popełnienia</w:t>
      </w:r>
      <w:r w:rsidR="00A115C4">
        <w:t xml:space="preserve"> </w:t>
      </w:r>
      <w:r>
        <w:t>któregokolwiek</w:t>
      </w:r>
      <w:r w:rsidR="00A115C4">
        <w:t xml:space="preserve"> </w:t>
      </w:r>
      <w:r>
        <w:t>z przestępstw</w:t>
      </w:r>
      <w:r w:rsidR="00A115C4">
        <w:t xml:space="preserve"> </w:t>
      </w:r>
      <w:r>
        <w:t>określonych</w:t>
      </w:r>
      <w:r w:rsidR="00A115C4">
        <w:t xml:space="preserve"> </w:t>
      </w:r>
      <w:r>
        <w:t xml:space="preserve">na </w:t>
      </w:r>
      <w:r w:rsidR="00A115C4">
        <w:t>p</w:t>
      </w:r>
      <w:r>
        <w:t xml:space="preserve">odstawie art. 18 ust. 1 lit. a lubart. 20 ust. 1 lit. a naszkodętegodziecka. </w:t>
      </w:r>
      <w:r w:rsidR="00A115C4">
        <w:t>W</w:t>
      </w:r>
      <w:r w:rsidR="00A76EFC">
        <w:t> </w:t>
      </w:r>
      <w:r>
        <w:t>konsekwencji, po kontaktach służących nawiązaniu relacji musi nastąpić propozycja spotkania z dzieckiem.</w:t>
      </w:r>
    </w:p>
    <w:p w14:paraId="428F12DB" w14:textId="60FCFBF1" w:rsidR="00622B18" w:rsidRDefault="00000000">
      <w:pPr>
        <w:pStyle w:val="JuQuot"/>
      </w:pPr>
      <w:r>
        <w:t xml:space="preserve">158. Wszystkie znamiona przestępstwa muszą być </w:t>
      </w:r>
      <w:r w:rsidR="00A115C4">
        <w:t>wy</w:t>
      </w:r>
      <w:r>
        <w:t xml:space="preserve">pełnione umyślnie. Ponadto, przed pociągnięciem do odpowiedzialności karnej konieczne jest ustalenie, </w:t>
      </w:r>
      <w:r>
        <w:lastRenderedPageBreak/>
        <w:t>że</w:t>
      </w:r>
      <w:r w:rsidR="00C2299E">
        <w:t> </w:t>
      </w:r>
      <w:r>
        <w:t>propozycja spotkania z dzieckiem miała na „celu" popełnienie któregokolwiek z</w:t>
      </w:r>
      <w:r w:rsidR="00C2299E">
        <w:t> </w:t>
      </w:r>
      <w:r>
        <w:t>określonych przestępstw.</w:t>
      </w:r>
    </w:p>
    <w:p w14:paraId="05D32405" w14:textId="24571CF6" w:rsidR="00622B18" w:rsidRDefault="00000000">
      <w:pPr>
        <w:pStyle w:val="JuQuot"/>
      </w:pPr>
      <w:r>
        <w:t>159. Przestępstwo może być popełnione wyłącznie „za pośrednictwem użycia technologii informacyjnych i telekomunikacyjnych”. Inne formy gro</w:t>
      </w:r>
      <w:r w:rsidR="00475FC3">
        <w:t>o</w:t>
      </w:r>
      <w:r>
        <w:t>mingu poprzez kontakty bezpośrednie lub komunikację nieelektroniczną pozostają poza zakresem postanowie</w:t>
      </w:r>
      <w:r w:rsidR="00A115C4">
        <w:t>ń</w:t>
      </w:r>
      <w:r>
        <w:t xml:space="preserve"> konwencji. Z uwagi na szczególne zagrożenie związane ze stosowaniem tych technologii, wynikające z trudności w ich monitorowaniu, negocjatorzy postanowili ograniczyć zakres tego postanowienia konwencji wyłącznie do najniebezpieczniejszej metody groomingu, jaką jest wykorzystanie Internetu </w:t>
      </w:r>
      <w:r w:rsidR="00A115C4">
        <w:br/>
      </w:r>
      <w:r>
        <w:t>i telefonów komórkowych, do których coraz częściej mają dostęp nawet bardzo małe dzieci.</w:t>
      </w:r>
    </w:p>
    <w:p w14:paraId="101979BC" w14:textId="77777777" w:rsidR="00622B18" w:rsidRDefault="00000000">
      <w:pPr>
        <w:pStyle w:val="JuQuot"/>
      </w:pPr>
      <w:r>
        <w:t>160. Oprócz wyżej wskazanych znamion, przestępstwo jest dokonane dopiero wówczas, gdy za propozycją spotkania „idą faktyczne działania mające na celu doprowadzenie do takiego spotkania". Wymaga to konkretnych działań, takich jak na przykład przybycie sprawcy na miejsce spotkania.</w:t>
      </w:r>
    </w:p>
    <w:p w14:paraId="3C5FD154" w14:textId="77777777" w:rsidR="00622B18" w:rsidRDefault="00000000">
      <w:pPr>
        <w:pStyle w:val="JuHHead"/>
        <w:numPr>
          <w:ilvl w:val="0"/>
          <w:numId w:val="2"/>
        </w:numPr>
        <w:tabs>
          <w:tab w:val="num" w:pos="340"/>
        </w:tabs>
        <w:ind w:left="340" w:hanging="340"/>
      </w:pPr>
      <w:r>
        <w:t>PRAWO</w:t>
      </w:r>
    </w:p>
    <w:p w14:paraId="42EE478D" w14:textId="77777777" w:rsidR="00622B18" w:rsidRDefault="00000000">
      <w:pPr>
        <w:pStyle w:val="JuHIRoman"/>
        <w:numPr>
          <w:ilvl w:val="0"/>
          <w:numId w:val="0"/>
        </w:numPr>
        <w:tabs>
          <w:tab w:val="left" w:pos="567"/>
          <w:tab w:val="left" w:pos="680"/>
        </w:tabs>
        <w:ind w:left="369" w:hanging="369"/>
      </w:pPr>
      <w:r>
        <w:t>ZARZUCANE NARUSZENIE ART. 6 UST. 1 KONWENCJI</w:t>
      </w:r>
    </w:p>
    <w:p w14:paraId="4A3BC35D" w14:textId="63E767E2" w:rsidR="00622B18" w:rsidRDefault="00622B18">
      <w:pPr>
        <w:pStyle w:val="JuPara"/>
      </w:pPr>
      <w:fldSimple w:instr=" SEQ level0 \*arabic \* MERGEFORMAT ">
        <w:r>
          <w:t>32</w:t>
        </w:r>
      </w:fldSimple>
      <w:r>
        <w:t xml:space="preserve">.  Skarżący zarzucił, że on – osoba </w:t>
      </w:r>
      <w:r w:rsidR="005D412D">
        <w:t xml:space="preserve">niewidniejąca w kartotekach karnych </w:t>
      </w:r>
      <w:r>
        <w:t>przed przeprowadzeniem tajnej operacji – padł ofiarą bezprawnej prowokacji internetowej, z naruszeniem art. 6 ust. 1 Konwencji, który stanowi, co następuje:</w:t>
      </w:r>
    </w:p>
    <w:p w14:paraId="71C2AA23" w14:textId="77777777" w:rsidR="00622B18" w:rsidRDefault="00000000">
      <w:pPr>
        <w:pStyle w:val="JuQuot"/>
      </w:pPr>
      <w:r>
        <w:t>„Każdy ma prawo do sprawiedliwego […] rozpatrzenia jego sprawy […] przez […] sąd […] przy rozstrzyganiu o […] zasadności każdego oskarżenia w wytoczonej przeciwko niemu sprawie karnej”.</w:t>
      </w:r>
    </w:p>
    <w:p w14:paraId="5405FB5F" w14:textId="77777777" w:rsidR="00622B18" w:rsidRDefault="00000000">
      <w:pPr>
        <w:pStyle w:val="JuHA"/>
      </w:pPr>
      <w:r>
        <w:t>Dopuszczalność</w:t>
      </w:r>
    </w:p>
    <w:p w14:paraId="048952B1" w14:textId="38F0D2CB" w:rsidR="00622B18" w:rsidRDefault="00622B18">
      <w:pPr>
        <w:pStyle w:val="JuPara"/>
      </w:pPr>
      <w:fldSimple w:instr=" SEQ level0 \*arabic \* MERGEFORMAT ">
        <w:r>
          <w:t>33</w:t>
        </w:r>
      </w:fldSimple>
      <w:r>
        <w:t xml:space="preserve">.  Rząd, powołując się na te same powody, co przedstawione w odniesieniu do </w:t>
      </w:r>
      <w:r w:rsidR="005D412D">
        <w:t>meritum</w:t>
      </w:r>
      <w:r>
        <w:t xml:space="preserve"> sprawy, argumentował, że skarga jest w sposób oczywisty nieuzasadniona.</w:t>
      </w:r>
    </w:p>
    <w:bookmarkStart w:id="10" w:name="paragraph00034"/>
    <w:p w14:paraId="23360859" w14:textId="77777777" w:rsidR="00622B18" w:rsidRDefault="00000000">
      <w:pPr>
        <w:pStyle w:val="JuPara"/>
      </w:pPr>
      <w:r>
        <w:fldChar w:fldCharType="begin"/>
      </w:r>
      <w:r>
        <w:instrText xml:space="preserve"> SEQ level0 \*arabic \* MERGEFORMAT </w:instrText>
      </w:r>
      <w:r>
        <w:fldChar w:fldCharType="separate"/>
      </w:r>
      <w:r>
        <w:t>34</w:t>
      </w:r>
      <w:r>
        <w:fldChar w:fldCharType="end"/>
      </w:r>
      <w:bookmarkEnd w:id="10"/>
      <w:r>
        <w:t>.  Skarżący nie zgodził się z tym stanowiskiem.</w:t>
      </w:r>
    </w:p>
    <w:p w14:paraId="6AEB1313" w14:textId="02A9DE65" w:rsidR="00622B18" w:rsidRDefault="00622B18">
      <w:pPr>
        <w:pStyle w:val="JuPara"/>
      </w:pPr>
      <w:fldSimple w:instr=" SEQ level0 \*arabic \* MERGEFORMAT ">
        <w:r>
          <w:t>35</w:t>
        </w:r>
      </w:fldSimple>
      <w:r>
        <w:t>.  Trybunał stwierdza, że skarga nie jest ani w sposób oczywisty nieuzasadniona, ani niedopuszczalna z innych powodów wymienionych w</w:t>
      </w:r>
      <w:r w:rsidR="00C2299E">
        <w:t> </w:t>
      </w:r>
      <w:r>
        <w:t>art. 35 Konwencji. Musi ona zatem zostać uznana za dopuszczalną.</w:t>
      </w:r>
    </w:p>
    <w:p w14:paraId="5747AA73" w14:textId="5D5157BA" w:rsidR="00622B18" w:rsidRDefault="005D412D">
      <w:pPr>
        <w:pStyle w:val="JuHA"/>
      </w:pPr>
      <w:r>
        <w:t>Meritum</w:t>
      </w:r>
    </w:p>
    <w:p w14:paraId="7362E301" w14:textId="77777777" w:rsidR="00622B18" w:rsidRDefault="00000000">
      <w:pPr>
        <w:pStyle w:val="JuH1"/>
      </w:pPr>
      <w:r>
        <w:t>Uwagi stron</w:t>
      </w:r>
    </w:p>
    <w:p w14:paraId="33AB866A" w14:textId="77777777" w:rsidR="00622B18" w:rsidRDefault="00000000">
      <w:pPr>
        <w:pStyle w:val="JuHa0"/>
      </w:pPr>
      <w:r>
        <w:t>Skarżący</w:t>
      </w:r>
    </w:p>
    <w:p w14:paraId="56505D75" w14:textId="4F5A1A48" w:rsidR="00622B18" w:rsidRDefault="00622B18">
      <w:pPr>
        <w:pStyle w:val="JuPara"/>
      </w:pPr>
      <w:fldSimple w:instr=" SEQ level0 \*arabic \* MERGEFORMAT ">
        <w:r>
          <w:t>36</w:t>
        </w:r>
      </w:fldSimple>
      <w:r>
        <w:t xml:space="preserve">.  Skarżący podniósł, że postępowanie przygotowawcze zostało wszczęte na podstawie ogólnych informacji i bez jakiejkolwiek konkretnej wiedzy na temat </w:t>
      </w:r>
      <w:r w:rsidR="005D412D">
        <w:t xml:space="preserve">jakichkolwiek </w:t>
      </w:r>
      <w:r>
        <w:t xml:space="preserve">zidentyfikowanych osób prowadzących </w:t>
      </w:r>
      <w:r>
        <w:lastRenderedPageBreak/>
        <w:t>rozmowy z małoletnimi</w:t>
      </w:r>
      <w:r w:rsidR="005D412D">
        <w:t xml:space="preserve"> na czacie</w:t>
      </w:r>
      <w:r>
        <w:t>. Tym samym postępowanie przygotowawcze zostało wszczęte z wyraźnym zamiarem podżegania oraz zbierania informacji o osobach, które mogłyby uwodzić dzieci poniżej 14. roku życia.</w:t>
      </w:r>
    </w:p>
    <w:bookmarkStart w:id="11" w:name="paragraph00037"/>
    <w:p w14:paraId="641E403F" w14:textId="62624FF0" w:rsidR="00622B18" w:rsidRDefault="00000000">
      <w:pPr>
        <w:pStyle w:val="JuPara"/>
      </w:pPr>
      <w:r>
        <w:fldChar w:fldCharType="begin"/>
      </w:r>
      <w:r>
        <w:instrText xml:space="preserve"> SEQ level0 \*arabic \* MERGEFORMAT </w:instrText>
      </w:r>
      <w:r>
        <w:fldChar w:fldCharType="separate"/>
      </w:r>
      <w:r>
        <w:t>37</w:t>
      </w:r>
      <w:r>
        <w:fldChar w:fldCharType="end"/>
      </w:r>
      <w:bookmarkEnd w:id="11"/>
      <w:r>
        <w:t>.  Skarżący oświadczył, że przed przedmiotową tajną operacją nie był karany i nie był podejrzany o jakiekolwiek przestępstwo. Wskazał, że pseudonim „Marleen12” używany przez funkcjonariusza pod przykryciem – który wyraźnie sugerował, że osoba posługująca się tym pseudonimem jest osobą małoletnią – został w oczywisty sposób wybrany w celu podżegania go do popełnienia przestępstwa.</w:t>
      </w:r>
    </w:p>
    <w:p w14:paraId="77939C8E" w14:textId="77777777" w:rsidR="00622B18" w:rsidRDefault="00622B18">
      <w:pPr>
        <w:pStyle w:val="JuPara"/>
      </w:pPr>
      <w:fldSimple w:instr=" SEQ level0 \*arabic \* MERGEFORMAT ">
        <w:r>
          <w:t>38</w:t>
        </w:r>
      </w:fldSimple>
      <w:r>
        <w:t>.  Postępowanie karne przeciwko niemu zostało wszczęte dopiero po takim podżeganiu.</w:t>
      </w:r>
    </w:p>
    <w:bookmarkStart w:id="12" w:name="paragraph00039"/>
    <w:p w14:paraId="74E9F476" w14:textId="01B156EE" w:rsidR="00622B18" w:rsidRDefault="00000000">
      <w:pPr>
        <w:pStyle w:val="JuPara"/>
      </w:pPr>
      <w:r>
        <w:fldChar w:fldCharType="begin"/>
      </w:r>
      <w:r>
        <w:instrText xml:space="preserve"> SEQ level0 \*arabic \* MERGEFORMAT </w:instrText>
      </w:r>
      <w:r>
        <w:fldChar w:fldCharType="separate"/>
      </w:r>
      <w:r>
        <w:t>39</w:t>
      </w:r>
      <w:r>
        <w:fldChar w:fldCharType="end"/>
      </w:r>
      <w:bookmarkEnd w:id="12"/>
      <w:r>
        <w:t xml:space="preserve">.  Skarżący nie przedstawił żadnych uwag dotyczących sposobu prowadzenia rozmów z funkcjonariuszem </w:t>
      </w:r>
      <w:r w:rsidR="007C6722">
        <w:t>P</w:t>
      </w:r>
      <w:r>
        <w:t>olicji posługującym się nazwą „Marleen12”.</w:t>
      </w:r>
    </w:p>
    <w:p w14:paraId="4E543CE4" w14:textId="77777777" w:rsidR="00622B18" w:rsidRDefault="00000000">
      <w:pPr>
        <w:pStyle w:val="JuHa0"/>
      </w:pPr>
      <w:r>
        <w:t>Rząd</w:t>
      </w:r>
    </w:p>
    <w:p w14:paraId="10B0D192" w14:textId="04B05867" w:rsidR="00622B18" w:rsidRDefault="00622B18">
      <w:pPr>
        <w:pStyle w:val="JuPara"/>
      </w:pPr>
      <w:fldSimple w:instr=" SEQ level0 \*arabic \* MERGEFORMAT ">
        <w:r>
          <w:t>40</w:t>
        </w:r>
      </w:fldSimple>
      <w:r>
        <w:t xml:space="preserve">.  Rząd argumentował, że okoliczności faktyczne sprawy nie ujawniają żadnych kwestii dotyczących rzetelności postępowania, równości broni ani kontradyktoryjnego charakteru postępowania prowadzonego przeciwko skarżącemu, ani też oczywistej i rażącej arbitralności w tych postępowaniach. Rząd </w:t>
      </w:r>
      <w:r w:rsidR="007C6722">
        <w:t>zbadał</w:t>
      </w:r>
      <w:r>
        <w:t xml:space="preserve"> </w:t>
      </w:r>
      <w:r w:rsidR="007C6722">
        <w:t>kryteria zarówno</w:t>
      </w:r>
      <w:r>
        <w:t xml:space="preserve"> materialn</w:t>
      </w:r>
      <w:r w:rsidR="007C6722">
        <w:t>e</w:t>
      </w:r>
      <w:r>
        <w:t>, jak i proceduralne prowokacji.</w:t>
      </w:r>
    </w:p>
    <w:p w14:paraId="6A64803D" w14:textId="0BC01936" w:rsidR="00622B18" w:rsidRDefault="00622B18">
      <w:pPr>
        <w:pStyle w:val="JuPara"/>
      </w:pPr>
      <w:fldSimple w:instr=" SEQ level0 \*arabic \* MERGEFORMAT ">
        <w:r>
          <w:t>41</w:t>
        </w:r>
      </w:fldSimple>
      <w:r>
        <w:t xml:space="preserve">.  Rząd zauważył, że w kontekście niniejszej sprawy istotne były dwa odrębne postępowania karne. </w:t>
      </w:r>
      <w:r w:rsidR="00723E09">
        <w:t>Pierwotnie</w:t>
      </w:r>
      <w:r>
        <w:t>, 19 września 2019 r.</w:t>
      </w:r>
      <w:r w:rsidR="00723E09">
        <w:t>,</w:t>
      </w:r>
      <w:r>
        <w:t> postępowanie karne zostało wszczęte na podstawie informacji otrzymanych przez policję wcześniej w tym samym roku, wskazujących, że</w:t>
      </w:r>
      <w:r w:rsidR="00C2299E">
        <w:t> </w:t>
      </w:r>
      <w:r>
        <w:t>różne osoby korzystały z określonych stron internetowych w celu prowadzenia rozmów o charakterze seksualnym z małoletnimi poniżej 14. roku życia oraz wysyłały im pliki zawierające materiały o treści seksualnej. Następnie, w toku tego postępowania, od 8 października 2019 r. do 8 grudnia 2019 r. przeprowadzono tajną operację, na którą wyrażono zgodę na podstawie art. 126</w:t>
      </w:r>
      <w:r>
        <w:rPr>
          <w:vertAlign w:val="superscript"/>
        </w:rPr>
        <w:t>9</w:t>
      </w:r>
      <w:r>
        <w:t xml:space="preserve"> Kodeksu postępowania karnego. Rząd przyznał, że funkcjonariusz </w:t>
      </w:r>
      <w:r w:rsidR="00723E09">
        <w:t>P</w:t>
      </w:r>
      <w:r>
        <w:t xml:space="preserve">olicji po raz pierwszy wszedł </w:t>
      </w:r>
      <w:r w:rsidR="00723E09">
        <w:t>na</w:t>
      </w:r>
      <w:r>
        <w:t xml:space="preserve"> przedmiotow</w:t>
      </w:r>
      <w:r w:rsidR="00723E09">
        <w:t>y czat</w:t>
      </w:r>
      <w:r>
        <w:t xml:space="preserve"> </w:t>
      </w:r>
      <w:r w:rsidR="00723E09">
        <w:t>nie mając żadnej</w:t>
      </w:r>
      <w:r>
        <w:t xml:space="preserve"> wiedzy </w:t>
      </w:r>
      <w:r w:rsidR="00723E09">
        <w:t>na temat</w:t>
      </w:r>
      <w:r>
        <w:t> skarżąc</w:t>
      </w:r>
      <w:r w:rsidR="00723E09">
        <w:t>ego</w:t>
      </w:r>
      <w:r>
        <w:t xml:space="preserve"> ani </w:t>
      </w:r>
      <w:r w:rsidR="00723E09">
        <w:t xml:space="preserve">żadnych </w:t>
      </w:r>
      <w:r>
        <w:t>podejrzeń wobec niego.</w:t>
      </w:r>
    </w:p>
    <w:p w14:paraId="2C9898D3" w14:textId="0A5D08A1" w:rsidR="00622B18" w:rsidRDefault="00884637">
      <w:pPr>
        <w:pStyle w:val="JuPara"/>
      </w:pPr>
      <w:fldSimple w:instr=" SEQ level0 \*arabic \* MERGEFORMAT ">
        <w:bookmarkStart w:id="13" w:name="paragraph00042"/>
        <w:r w:rsidRPr="00884637">
          <w:rPr>
            <w:noProof/>
          </w:rPr>
          <w:t>42</w:t>
        </w:r>
        <w:bookmarkEnd w:id="13"/>
      </w:fldSimple>
      <w:r>
        <w:t xml:space="preserve">.  W trakcie operacji osoba posługująca się nazwą użytkownika „m41tln" uwodziła seksualnie fikcyjną 12-letnią dziewczynkę o imieniu </w:t>
      </w:r>
      <w:proofErr w:type="spellStart"/>
      <w:r>
        <w:t>Marleen</w:t>
      </w:r>
      <w:proofErr w:type="spellEnd"/>
      <w:r>
        <w:t xml:space="preserve"> (którą w rzeczywistości był funkcjonariusz działający pod przykryciem, posługujący się pseudonimem „Marleen12"), za pośrednictwem prywatnych wiadomości wysyłanych </w:t>
      </w:r>
      <w:r w:rsidR="00723E09">
        <w:t>przez tą stronę</w:t>
      </w:r>
      <w:r>
        <w:t xml:space="preserve"> internetow</w:t>
      </w:r>
      <w:r w:rsidR="00723E09">
        <w:t>ą</w:t>
      </w:r>
      <w:r>
        <w:t xml:space="preserve">. Na podstawie tych informacji 17 listopada 2019 r. wszczęto odrębne postępowanie karne. Przedmiotem tego postępowania było ustalenie, czy osoba posługująca się nazwą „m41tln” </w:t>
      </w:r>
      <w:r w:rsidR="00C0456C">
        <w:t xml:space="preserve">popełniła </w:t>
      </w:r>
      <w:r>
        <w:t>przestępstw</w:t>
      </w:r>
      <w:r w:rsidR="00C0456C">
        <w:t>o</w:t>
      </w:r>
      <w:r>
        <w:t xml:space="preserve"> seksualnego uwodzenia małoletniego. Osobą tą okazał się skarżący. Tym </w:t>
      </w:r>
      <w:r>
        <w:lastRenderedPageBreak/>
        <w:t xml:space="preserve">samym własne zachowanie skarżącego </w:t>
      </w:r>
      <w:r w:rsidR="00C0456C">
        <w:t>wzbudziło konkretne</w:t>
      </w:r>
      <w:r>
        <w:t xml:space="preserve"> podejrzeni</w:t>
      </w:r>
      <w:r w:rsidR="00C0456C">
        <w:t>a</w:t>
      </w:r>
      <w:r>
        <w:t xml:space="preserve"> </w:t>
      </w:r>
      <w:r w:rsidR="00C0456C">
        <w:t>wobec niego</w:t>
      </w:r>
      <w:r>
        <w:t xml:space="preserve">, a postępowanie karne przeciwko niemu zostało wszczęte </w:t>
      </w:r>
      <w:r w:rsidR="00C0456C">
        <w:t>z uwagi na działania</w:t>
      </w:r>
      <w:r>
        <w:t xml:space="preserve"> </w:t>
      </w:r>
      <w:r w:rsidR="00C0456C">
        <w:t xml:space="preserve">podjęte </w:t>
      </w:r>
      <w:r>
        <w:t>przez niego przy użyciu nazwy użytkownika „m41tln”.</w:t>
      </w:r>
    </w:p>
    <w:p w14:paraId="752BA95F" w14:textId="56471105" w:rsidR="00622B18" w:rsidRDefault="00622B18">
      <w:pPr>
        <w:pStyle w:val="JuPara"/>
      </w:pPr>
      <w:fldSimple w:instr=" SEQ level0 \*arabic \* MERGEFORMAT ">
        <w:r>
          <w:t>43</w:t>
        </w:r>
      </w:fldSimple>
      <w:r>
        <w:t xml:space="preserve">.  Jeśli chodzi o wykorzystanie funkcjonariusza pod przykryciem, Rząd argumentował, że takie działanie było uzasadnione i proporcjonalne, biorąc pod uwagę utajniony charakter przestępstwa będącego przedmiotem sprawy oraz fakt, że miało ono miejsce w Internecie. Skarżący miał możliwość zakwestionowania istnienia oraz zgodności z prawem zgody na przeprowadzenie tej tajnej operacji </w:t>
      </w:r>
      <w:r w:rsidR="00016586">
        <w:t>śledczej</w:t>
      </w:r>
      <w:r>
        <w:t xml:space="preserve">, a także zakwestionowania dopuszczenia dowodu w postaci transkrypcji uzyskanych w wyniku tej operacji. Sąd Rejonowy w Harju odniósł się do argumentów skarżącego po zapoznaniu się z aktami dokumentującymi przebieg tajnej </w:t>
      </w:r>
      <w:r w:rsidR="001C769D">
        <w:t>operacji</w:t>
      </w:r>
      <w:r>
        <w:t>.</w:t>
      </w:r>
    </w:p>
    <w:p w14:paraId="270D8FBC" w14:textId="4998196E" w:rsidR="00622B18" w:rsidRDefault="00622B18">
      <w:pPr>
        <w:pStyle w:val="JuPara"/>
      </w:pPr>
      <w:fldSimple w:instr=" SEQ level0 \*arabic \* MERGEFORMAT ">
        <w:r>
          <w:t>44</w:t>
        </w:r>
      </w:fldSimple>
      <w:r>
        <w:t xml:space="preserve">.  Rząd podkreślił, że skarżący nie zakwestionował wniosków Sądu Rejonowego w Harju dotyczących zgodności z prawem zezwolenia oraz wykorzystania funkcjonariusza </w:t>
      </w:r>
      <w:r w:rsidR="001C769D">
        <w:t>P</w:t>
      </w:r>
      <w:r>
        <w:t xml:space="preserve">olicji w swoich kolejnych odwołaniach. Zdaniem Rządu skarżący nie mógł zatem podnosić zarzutu bezprawności tajnej operacji ani obecności funkcjonariusza </w:t>
      </w:r>
      <w:r w:rsidR="001C769D">
        <w:t>P</w:t>
      </w:r>
      <w:r>
        <w:t xml:space="preserve">olicji </w:t>
      </w:r>
      <w:r w:rsidR="001C769D">
        <w:t>na czacie</w:t>
      </w:r>
      <w:r>
        <w:t xml:space="preserve"> w niniejszym postępowaniu. W związku z tym kwestia, czy doszło do niedozwolonego podżegania, mogła być oceniana wyłącznie w odniesieniu do treści rozmowy skarżącego z funkcjonariuszem </w:t>
      </w:r>
      <w:r w:rsidR="001C769D">
        <w:t>P</w:t>
      </w:r>
      <w:r>
        <w:t xml:space="preserve">olicji </w:t>
      </w:r>
      <w:r w:rsidR="001C769D">
        <w:t>na czacie</w:t>
      </w:r>
      <w:r>
        <w:t>.</w:t>
      </w:r>
    </w:p>
    <w:p w14:paraId="4E4FDA44" w14:textId="77777777" w:rsidR="00622B18" w:rsidRDefault="00622B18">
      <w:pPr>
        <w:pStyle w:val="JuPara"/>
      </w:pPr>
      <w:fldSimple w:instr=" SEQ level0 \*arabic \* MERGEFORMAT ">
        <w:r>
          <w:t>45</w:t>
        </w:r>
      </w:fldSimple>
      <w:r>
        <w:t>.  Rząd zauważył ponadto, że skarżący miał możliwość zakwestionowania oceny transkrypcji rozmów na czacie oraz przedstawienia własnej ich interpretacji, w tym podnoszenia argumentów dotyczących niewłaściwego podżegania. Sądy krajowe należycie rozważyły jego argumenty. Nie było podstaw do odstąpienia od ich należycie uzasadnionej oceny.</w:t>
      </w:r>
    </w:p>
    <w:p w14:paraId="68753AAB" w14:textId="062AA177" w:rsidR="00622B18" w:rsidRDefault="00622B18">
      <w:pPr>
        <w:pStyle w:val="JuPara"/>
      </w:pPr>
      <w:fldSimple w:instr=" SEQ level0 \*arabic \* MERGEFORMAT ">
        <w:r>
          <w:t>46</w:t>
        </w:r>
      </w:fldSimple>
      <w:r>
        <w:t>.  Zdaniem Rządu w niniejszej sprawie nic nie wskazywało na to, że</w:t>
      </w:r>
      <w:r w:rsidR="00C2299E">
        <w:t> </w:t>
      </w:r>
      <w:r>
        <w:t xml:space="preserve">skarżący był podżegany do popełnienia przestępstwa. Z fragmentów rozmów między nim a funkcjonariuszem </w:t>
      </w:r>
      <w:r w:rsidR="001C769D">
        <w:t>P</w:t>
      </w:r>
      <w:r>
        <w:t>olicji wyraźnie wynikało, że</w:t>
      </w:r>
      <w:r w:rsidR="00C2299E">
        <w:t> </w:t>
      </w:r>
      <w:r>
        <w:t xml:space="preserve">funkcjonariusz w żaden sposób nie nakłaniał go do popełnienia czynu zabronionego. To wyłącznie skarżący </w:t>
      </w:r>
      <w:r w:rsidR="00C2299E">
        <w:t>inicjował</w:t>
      </w:r>
      <w:r>
        <w:t xml:space="preserve"> rozmowy i poruszał nieodpowiednie tematy, w tym nakłaniał „Marleen12” do pytania o seks i wyrażania </w:t>
      </w:r>
      <w:r w:rsidR="001C769D">
        <w:t>jej</w:t>
      </w:r>
      <w:r>
        <w:t xml:space="preserve"> pragnień seksualnych. Policja nie przekroczyła granic zasadniczo biernych czynności operacyjno-rozpoznawczych.</w:t>
      </w:r>
    </w:p>
    <w:p w14:paraId="74589566" w14:textId="77777777" w:rsidR="00622B18" w:rsidRDefault="00000000">
      <w:pPr>
        <w:pStyle w:val="JuH1"/>
      </w:pPr>
      <w:r>
        <w:t>Ocena Trybunału</w:t>
      </w:r>
    </w:p>
    <w:p w14:paraId="05685DBF" w14:textId="77777777" w:rsidR="00622B18" w:rsidRDefault="00000000">
      <w:pPr>
        <w:pStyle w:val="JuHa0"/>
      </w:pPr>
      <w:r>
        <w:t>Zasady ogólne</w:t>
      </w:r>
    </w:p>
    <w:p w14:paraId="0FE12D40" w14:textId="77777777" w:rsidR="00622B18" w:rsidRDefault="00000000">
      <w:pPr>
        <w:pStyle w:val="JuHi"/>
      </w:pPr>
      <w:r>
        <w:t>Ogólne podejście dotyczące agentów pod przykryciem</w:t>
      </w:r>
    </w:p>
    <w:bookmarkStart w:id="14" w:name="paragraph00047"/>
    <w:p w14:paraId="4C91A0F4" w14:textId="17FC029B" w:rsidR="00622B18" w:rsidRDefault="00000000">
      <w:pPr>
        <w:pStyle w:val="JuPara"/>
      </w:pPr>
      <w:r>
        <w:fldChar w:fldCharType="begin"/>
      </w:r>
      <w:r>
        <w:instrText xml:space="preserve"> SEQ level0 \*arabic \* MERGEFORMAT </w:instrText>
      </w:r>
      <w:r>
        <w:fldChar w:fldCharType="separate"/>
      </w:r>
      <w:r>
        <w:t>47</w:t>
      </w:r>
      <w:r>
        <w:fldChar w:fldCharType="end"/>
      </w:r>
      <w:bookmarkEnd w:id="14"/>
      <w:r>
        <w:t xml:space="preserve">.  Trybunał jest świadomy trudności nieodłącznie związanych z zadaniem policji polegającym na poszukiwaniu i gromadzeniu dowodów w celu wykrywania i ścigania przestępstw. W celu realizacji tego zadania coraz częściej </w:t>
      </w:r>
      <w:r w:rsidR="0055205C">
        <w:t xml:space="preserve">policja </w:t>
      </w:r>
      <w:r>
        <w:t>mus</w:t>
      </w:r>
      <w:r w:rsidR="0055205C">
        <w:t>i</w:t>
      </w:r>
      <w:r>
        <w:t xml:space="preserve"> korzystać z agentów pod przykryciem, </w:t>
      </w:r>
      <w:r>
        <w:lastRenderedPageBreak/>
        <w:t>informatorów oraz niejawnych metod operacyjnych, w szczególności w</w:t>
      </w:r>
      <w:r w:rsidR="0055205C">
        <w:t> </w:t>
      </w:r>
      <w:r>
        <w:t>zwalczaniu przestępczości zorganizowanej i korupcji. W związku z</w:t>
      </w:r>
      <w:r w:rsidR="0055205C">
        <w:t> </w:t>
      </w:r>
      <w:r>
        <w:t xml:space="preserve">powyższym stosowanie szczególnych metod śledczych – w szczególności technik operacyjnych pod przykryciem – nie może samo w sobie naruszać prawa do rzetelnego procesu sądowego. Jednakże ze względu na ryzyko podżegania przez policję, jakie wiąże się ze stosowaniem tych technik, ich użycie musi odbywać się w jasno określonych granicach (zob. </w:t>
      </w:r>
      <w:proofErr w:type="spellStart"/>
      <w:r>
        <w:rPr>
          <w:i/>
        </w:rPr>
        <w:t>Ramanauskas</w:t>
      </w:r>
      <w:proofErr w:type="spellEnd"/>
      <w:r>
        <w:rPr>
          <w:i/>
        </w:rPr>
        <w:t xml:space="preserve"> przeciwko Litwie</w:t>
      </w:r>
      <w:r>
        <w:t xml:space="preserve"> [WI], skarga nr 74420/01, §§ 49–51, ETPC 2008).</w:t>
      </w:r>
    </w:p>
    <w:p w14:paraId="09D88D08" w14:textId="4109F8E7" w:rsidR="00622B18" w:rsidRDefault="00622B18">
      <w:pPr>
        <w:pStyle w:val="JuPara"/>
      </w:pPr>
      <w:fldSimple w:instr=" SEQ level0 \*arabic \* MERGEFORMAT ">
        <w:r>
          <w:t>48</w:t>
        </w:r>
      </w:fldSimple>
      <w:r>
        <w:t xml:space="preserve">.  W tym kontekście należy przypomnieć, że zgodnie z art. 19 Konwencji zadaniem Trybunału jest zapewnienie przestrzegania zobowiązań </w:t>
      </w:r>
      <w:r w:rsidR="00FA7745">
        <w:t>przyjętych</w:t>
      </w:r>
      <w:r>
        <w:t xml:space="preserve"> przez Państwa-Strony Konwencji. Dopuszczalność dowodów jest przede wszystkim kwestią regulacji prawa krajowego i, co do zasady, do sądów krajowych należy ocena przedstawionych im dowodów. Trybunał ze swojej strony musi ustalić, czy postępowanie jako całość, w tym sposób, w jaki zebrano dowody, było rzetelne. W tym kontekście zadaniem Trybunału nie jest rozstrzyganie, czy poszczególne dowody zostały uzyskane bezprawnie, lecz zbadanie, czy taka „bezprawność" doprowadziła do naruszenia innego prawa chronionego Konwencją (tamże, § 52, z dalszymi </w:t>
      </w:r>
      <w:r w:rsidR="002F637C">
        <w:t>odniesieniami</w:t>
      </w:r>
      <w:r>
        <w:t>).</w:t>
      </w:r>
    </w:p>
    <w:p w14:paraId="53A71DF5" w14:textId="634B9B08" w:rsidR="00622B18" w:rsidRDefault="00622B18">
      <w:pPr>
        <w:pStyle w:val="JuPara"/>
      </w:pPr>
      <w:fldSimple w:instr=" SEQ level0 \*arabic \* MERGEFORMAT ">
        <w:r>
          <w:t>49</w:t>
        </w:r>
      </w:fldSimple>
      <w:r>
        <w:t>.  W szczególności Konwencja nie wyklucza korzystania – na etapie postępowania przygotowawczego i w przypadkach, w których uzasadnia to charakter przestępstwa – ze źródeł takich jak anonimowi informatorzy. Jednakże późniejsze wykorzystanie takich źródeł przez sąd orzekający jako podstawy skazania jest kwestią odrębną i jest dopuszczalne wyłącznie wtedy, gdy istnieją odpowiednie i wystarczające</w:t>
      </w:r>
      <w:r w:rsidR="002F637C">
        <w:t xml:space="preserve"> zabezpieczenia</w:t>
      </w:r>
      <w:r>
        <w:t xml:space="preserve"> przed nadużyciami, w</w:t>
      </w:r>
      <w:r w:rsidR="0055205C">
        <w:t> </w:t>
      </w:r>
      <w:r>
        <w:t xml:space="preserve">szczególności jasna i przewidywalna procedura zatwierdzania, przeprowadzania i nadzorowania </w:t>
      </w:r>
      <w:r w:rsidR="002F637C">
        <w:t>przedmiotowych</w:t>
      </w:r>
      <w:r>
        <w:t xml:space="preserve"> czynności </w:t>
      </w:r>
      <w:r w:rsidR="0055205C">
        <w:t>operacyjno-rozpoznawczych</w:t>
      </w:r>
      <w:r>
        <w:t xml:space="preserve"> (tamże, §</w:t>
      </w:r>
      <w:r w:rsidR="0055205C">
        <w:t> </w:t>
      </w:r>
      <w:r>
        <w:t xml:space="preserve">53; zob. także </w:t>
      </w:r>
      <w:proofErr w:type="spellStart"/>
      <w:r>
        <w:rPr>
          <w:i/>
        </w:rPr>
        <w:t>Khudobin</w:t>
      </w:r>
      <w:proofErr w:type="spellEnd"/>
      <w:r>
        <w:rPr>
          <w:i/>
        </w:rPr>
        <w:t xml:space="preserve"> przeciwko Rosji</w:t>
      </w:r>
      <w:r>
        <w:t>, skarga nr</w:t>
      </w:r>
      <w:r w:rsidR="0055205C">
        <w:t> </w:t>
      </w:r>
      <w:r>
        <w:t>59696/00, §</w:t>
      </w:r>
      <w:r w:rsidR="0055205C">
        <w:t> </w:t>
      </w:r>
      <w:r>
        <w:t>135, ETPC 2006-XII).</w:t>
      </w:r>
    </w:p>
    <w:p w14:paraId="4D3526BB" w14:textId="27B4498E" w:rsidR="00622B18" w:rsidRDefault="00622B18">
      <w:pPr>
        <w:pStyle w:val="JuPara"/>
      </w:pPr>
      <w:fldSimple w:instr=" SEQ level0 \*arabic \* MERGEFORMAT ">
        <w:r>
          <w:t>50</w:t>
        </w:r>
      </w:fldSimple>
      <w:r>
        <w:t>.  Ponadto, o ile korzystanie z agentów pod przykryciem może być dozwolone pod warunkiem, że podlega wyraźnym ograniczeniom i</w:t>
      </w:r>
      <w:r w:rsidR="0055205C">
        <w:t> </w:t>
      </w:r>
      <w:r w:rsidR="002F637C">
        <w:t>zabezpieczeniom</w:t>
      </w:r>
      <w:r>
        <w:t xml:space="preserve">, o tyle interes publiczny nie może uzasadniać wykorzystania dowodów uzyskanych w wyniku podżegania przez policję, ponieważ </w:t>
      </w:r>
      <w:r w:rsidR="002F637C">
        <w:t>narażałoby to</w:t>
      </w:r>
      <w:r>
        <w:t xml:space="preserve"> oskarżonego na ryzyko całkowitego pozbawienia go prawa do rzetelnego procesu od samego początku sprawy (zob. m.in. </w:t>
      </w:r>
      <w:proofErr w:type="spellStart"/>
      <w:r>
        <w:rPr>
          <w:i/>
        </w:rPr>
        <w:t>Ramanauskas</w:t>
      </w:r>
      <w:proofErr w:type="spellEnd"/>
      <w:r>
        <w:t xml:space="preserve">, cyt. powyżej, § 54; zob. także </w:t>
      </w:r>
      <w:proofErr w:type="spellStart"/>
      <w:r>
        <w:rPr>
          <w:i/>
        </w:rPr>
        <w:t>Teixeira</w:t>
      </w:r>
      <w:proofErr w:type="spellEnd"/>
      <w:r>
        <w:rPr>
          <w:i/>
        </w:rPr>
        <w:t xml:space="preserve"> de Castro przeciwko Portugalii</w:t>
      </w:r>
      <w:r>
        <w:t xml:space="preserve">, 9 czerwca 1998, §§ 35–36, </w:t>
      </w:r>
      <w:r>
        <w:rPr>
          <w:i/>
        </w:rPr>
        <w:t>Zbiór Wyroków i Decyzji</w:t>
      </w:r>
      <w:r>
        <w:t xml:space="preserve"> 1998-IV; </w:t>
      </w:r>
      <w:proofErr w:type="spellStart"/>
      <w:r>
        <w:t>Khudobin</w:t>
      </w:r>
      <w:proofErr w:type="spellEnd"/>
      <w:r>
        <w:t xml:space="preserve">, cyt. powyżej, </w:t>
      </w:r>
      <w:r>
        <w:rPr>
          <w:i/>
        </w:rPr>
        <w:t>§</w:t>
      </w:r>
      <w:r>
        <w:t xml:space="preserve"> 128; oraz </w:t>
      </w:r>
      <w:proofErr w:type="spellStart"/>
      <w:r>
        <w:rPr>
          <w:i/>
        </w:rPr>
        <w:t>Vanyan</w:t>
      </w:r>
      <w:proofErr w:type="spellEnd"/>
      <w:r>
        <w:rPr>
          <w:i/>
        </w:rPr>
        <w:t xml:space="preserve"> </w:t>
      </w:r>
      <w:r w:rsidR="0055205C">
        <w:rPr>
          <w:i/>
        </w:rPr>
        <w:t>przeciwko</w:t>
      </w:r>
      <w:r>
        <w:t xml:space="preserve"> Rosji, skarga nr 53203/99, §§ 46–47, 15 grudnia 2005).</w:t>
      </w:r>
    </w:p>
    <w:p w14:paraId="0B1BAEE6" w14:textId="595174F4" w:rsidR="00622B18" w:rsidRDefault="00622B18">
      <w:pPr>
        <w:pStyle w:val="JuPara"/>
      </w:pPr>
      <w:fldSimple w:instr=" SEQ level0 \*arabic \* MERGEFORMAT ">
        <w:r>
          <w:t>51</w:t>
        </w:r>
      </w:fldSimple>
      <w:r>
        <w:t xml:space="preserve">.  Podżeganie przez policję ma miejsce wówczas, gdy zaangażowani funkcjonariusze – niezależnie od tego, czy są funkcjonariuszami służb bezpieczeństwa, czy osobami działającymi na ich polecenie – nie ograniczają się do śledzenia działalności przestępczej w sposób zasadniczo bierny, lecz wywierają na osobę taki wpływ, że podżegają ją do popełnienia przestępstwa, </w:t>
      </w:r>
      <w:r>
        <w:lastRenderedPageBreak/>
        <w:t xml:space="preserve">które w innym wypadku nie zostałoby popełnione, w celu umożliwienia </w:t>
      </w:r>
      <w:r w:rsidR="00C15AB6">
        <w:t>ustalenia</w:t>
      </w:r>
      <w:r>
        <w:t xml:space="preserve"> tego przestępstwa, to jest uzyskania dowodów i wszczęcia postępowania karnego (zob. </w:t>
      </w:r>
      <w:proofErr w:type="spellStart"/>
      <w:r>
        <w:rPr>
          <w:i/>
        </w:rPr>
        <w:t>Ramanauskas</w:t>
      </w:r>
      <w:proofErr w:type="spellEnd"/>
      <w:r>
        <w:t xml:space="preserve">, cyt. powyżej, § 55 oraz </w:t>
      </w:r>
      <w:proofErr w:type="spellStart"/>
      <w:r>
        <w:rPr>
          <w:i/>
        </w:rPr>
        <w:t>Teixeira</w:t>
      </w:r>
      <w:proofErr w:type="spellEnd"/>
      <w:r>
        <w:rPr>
          <w:i/>
        </w:rPr>
        <w:t xml:space="preserve"> de Castro</w:t>
      </w:r>
      <w:r>
        <w:t>, cyt. powyżej, § 38).</w:t>
      </w:r>
    </w:p>
    <w:p w14:paraId="401174A9" w14:textId="33315605" w:rsidR="00622B18" w:rsidRDefault="00622B18">
      <w:pPr>
        <w:pStyle w:val="JuPara"/>
      </w:pPr>
      <w:fldSimple w:instr=" SEQ level0 \*arabic \* MERGEFORMAT ">
        <w:r>
          <w:t>52</w:t>
        </w:r>
      </w:fldSimple>
      <w:r>
        <w:t>.  W swoim obszernym orzecznictwie w tym zakresie Trybunał wypracował kryteria pozwalające odróżnić prowokację naruszającą art. 6 ust.</w:t>
      </w:r>
      <w:r w:rsidR="0055205C">
        <w:t> </w:t>
      </w:r>
      <w:r>
        <w:t xml:space="preserve">1 Konwencji od dopuszczalnego postępowania w ramach stosowania legalnych technik operacyjnych pod przykryciem w sprawach karnych. Jakkolwiek nie jest możliwe sprowadzenie różnorodności sytuacji, jakie mogą w tym kontekście zaistnieć, do prostej listy uproszczonych kryteriów, Trybunał w ramach rozpatrywania </w:t>
      </w:r>
      <w:r w:rsidR="00C15AB6">
        <w:t>skarg na</w:t>
      </w:r>
      <w:r>
        <w:t xml:space="preserve"> prowokacj</w:t>
      </w:r>
      <w:r w:rsidR="00C15AB6">
        <w:t>e</w:t>
      </w:r>
      <w:r>
        <w:t xml:space="preserve"> wypracował schemat badania oparty na dwóch testach</w:t>
      </w:r>
      <w:r w:rsidR="00C15AB6">
        <w:t xml:space="preserve"> podżegania</w:t>
      </w:r>
      <w:r>
        <w:t>: materialnym i</w:t>
      </w:r>
      <w:r w:rsidR="0055205C">
        <w:t> </w:t>
      </w:r>
      <w:r>
        <w:t xml:space="preserve">proceduralnym. Właściwe kryteria wyznaczające ramy badania przez Trybunał w tym kontekście zostały określone w sprawie </w:t>
      </w:r>
      <w:proofErr w:type="spellStart"/>
      <w:r>
        <w:rPr>
          <w:i/>
        </w:rPr>
        <w:t>Bannikova</w:t>
      </w:r>
      <w:proofErr w:type="spellEnd"/>
      <w:r>
        <w:rPr>
          <w:i/>
        </w:rPr>
        <w:t xml:space="preserve"> przeciwko Rosji</w:t>
      </w:r>
      <w:r>
        <w:t xml:space="preserve"> (skarga nr 18757/06, §§ 37–65, 4 listopada 2010 r.). Kryteria te zostały podsumowane poniżej (zob. </w:t>
      </w:r>
      <w:proofErr w:type="spellStart"/>
      <w:r>
        <w:rPr>
          <w:i/>
        </w:rPr>
        <w:t>Matanović</w:t>
      </w:r>
      <w:proofErr w:type="spellEnd"/>
      <w:r>
        <w:rPr>
          <w:i/>
        </w:rPr>
        <w:t xml:space="preserve"> przeciwko Chorwacji</w:t>
      </w:r>
      <w:r>
        <w:t>, skarga nr 2742/12, §§ 122–135, 4 kwietnia 2017 r.).</w:t>
      </w:r>
    </w:p>
    <w:p w14:paraId="78B55FB1" w14:textId="77777777" w:rsidR="00622B18" w:rsidRDefault="00000000">
      <w:pPr>
        <w:pStyle w:val="JuHi"/>
      </w:pPr>
      <w:r>
        <w:t>Materialny i proceduralny test podżegania</w:t>
      </w:r>
    </w:p>
    <w:p w14:paraId="61250382" w14:textId="7E08690B" w:rsidR="00622B18" w:rsidRDefault="00622B18">
      <w:pPr>
        <w:pStyle w:val="JuPara"/>
      </w:pPr>
      <w:fldSimple w:instr=" SEQ level0 \*arabic \* MERGEFORMAT ">
        <w:r>
          <w:t>53</w:t>
        </w:r>
      </w:fldSimple>
      <w:r>
        <w:t xml:space="preserve">.  Rozpatrując </w:t>
      </w:r>
      <w:r w:rsidR="008B6F50">
        <w:t xml:space="preserve">podniesiony przez skarżącego </w:t>
      </w:r>
      <w:r>
        <w:t>zarzut prowokacji, Trybunał podejmie</w:t>
      </w:r>
      <w:r w:rsidR="008B6F50">
        <w:t xml:space="preserve"> </w:t>
      </w:r>
      <w:r>
        <w:t>– w pierwszej kolejności</w:t>
      </w:r>
      <w:r w:rsidR="008B6F50" w:rsidRPr="008B6F50">
        <w:t xml:space="preserve"> </w:t>
      </w:r>
      <w:r w:rsidR="008B6F50">
        <w:t>- próbę ustalenia</w:t>
      </w:r>
      <w:r>
        <w:t>, na podstawie dostępnego materiału</w:t>
      </w:r>
      <w:r w:rsidR="008B6F50">
        <w:t>, czy</w:t>
      </w:r>
      <w:r>
        <w:t xml:space="preserve"> przestępstwo zostałoby popełnione bez ingerencji władz, to jest czy postępowanie było „zasadniczo bierne". Rozstrzygając, czy postępowanie było „zasadniczo bierne", Trybunał zbada przyczyny leżące u podstaw operacji niejawnej, w szczególności czy istniały obiektywne podejrzenia, że skarżący brał udział w działalności przestępczej lub był predysponowany do popełnienia przestępstwa (zob. </w:t>
      </w:r>
      <w:proofErr w:type="spellStart"/>
      <w:r>
        <w:rPr>
          <w:i/>
        </w:rPr>
        <w:t>Furcht</w:t>
      </w:r>
      <w:proofErr w:type="spellEnd"/>
      <w:r>
        <w:rPr>
          <w:i/>
        </w:rPr>
        <w:t xml:space="preserve"> przeciwko Niemcom</w:t>
      </w:r>
      <w:r>
        <w:t>, skarga nr 54648/09, § 51, 23 października 2014), a także postępowanie organów prowadzących tę operację, w szczególności czy organy wywierały na skarżącego taki wpływ, że podżegały go do popełnienia przestępstwa, które w innym wypadku nie zostałoby popełnione, w celu umożliwienia stwierdzenia tego przestępstwa, to jest uzyskania dowodów i</w:t>
      </w:r>
      <w:r w:rsidR="0055205C">
        <w:t> </w:t>
      </w:r>
      <w:r>
        <w:t xml:space="preserve">wszczęcia postępowania karnego (tamże, § 52; zob. także </w:t>
      </w:r>
      <w:proofErr w:type="spellStart"/>
      <w:r>
        <w:rPr>
          <w:i/>
        </w:rPr>
        <w:t>Morari</w:t>
      </w:r>
      <w:proofErr w:type="spellEnd"/>
      <w:r>
        <w:rPr>
          <w:i/>
        </w:rPr>
        <w:t xml:space="preserve"> przeciwko Republice Mołdawii</w:t>
      </w:r>
      <w:r>
        <w:t>, skarga nr 65311/09, § 32, 8 marca 2016).</w:t>
      </w:r>
    </w:p>
    <w:p w14:paraId="640475F4" w14:textId="3EA0619C" w:rsidR="00622B18" w:rsidRDefault="00622B18">
      <w:pPr>
        <w:pStyle w:val="JuPara"/>
      </w:pPr>
      <w:fldSimple w:instr=" SEQ level0 \*arabic \* MERGEFORMAT ">
        <w:r>
          <w:t>54</w:t>
        </w:r>
      </w:fldSimple>
      <w:r>
        <w:t xml:space="preserve">.  W tym kontekście Trybunał podkreślił również konieczność istnienia jasnej i przewidywalnej procedury wyrażania zgody na czynności operacyjno-rozpoznawcze, a także właściwego nadzoru nad ich prowadzeniem. Trybunał uznał nadzór sądowy za najwłaściwszy środek w sprawach dotyczących operacji niejawnych, jakkolwiek przy zachowaniu odpowiednich procedur i </w:t>
      </w:r>
      <w:r w:rsidR="006F22A1">
        <w:t>zabezpieczeń</w:t>
      </w:r>
      <w:r>
        <w:t xml:space="preserve"> dopuszczalne są również inne środki, takie jak nadzór prokuratorski (zob. </w:t>
      </w:r>
      <w:proofErr w:type="spellStart"/>
      <w:r>
        <w:rPr>
          <w:i/>
        </w:rPr>
        <w:t>Furcht</w:t>
      </w:r>
      <w:proofErr w:type="spellEnd"/>
      <w:r>
        <w:t xml:space="preserve">, cyt. powyżej, § 53; zob. także </w:t>
      </w:r>
      <w:proofErr w:type="spellStart"/>
      <w:r>
        <w:rPr>
          <w:i/>
        </w:rPr>
        <w:t>Bannikova</w:t>
      </w:r>
      <w:proofErr w:type="spellEnd"/>
      <w:r>
        <w:t xml:space="preserve">, cyt. powyżej, §§ 49–50, z dalszymi </w:t>
      </w:r>
      <w:r w:rsidR="00F11A06">
        <w:t>odniesieniami</w:t>
      </w:r>
      <w:r>
        <w:t xml:space="preserve">). Brak </w:t>
      </w:r>
      <w:r w:rsidR="006F22A1">
        <w:t>zabezpieczeń</w:t>
      </w:r>
      <w:r>
        <w:t xml:space="preserve"> proceduralnych przy zarządzaniu operacji pod przykryciem stwarza bowiem ryzyko arbitralności i prowokacji policyjnej (zob. </w:t>
      </w:r>
      <w:r>
        <w:rPr>
          <w:i/>
        </w:rPr>
        <w:t xml:space="preserve">Nosko </w:t>
      </w:r>
      <w:r>
        <w:rPr>
          <w:i/>
        </w:rPr>
        <w:lastRenderedPageBreak/>
        <w:t>i</w:t>
      </w:r>
      <w:r w:rsidR="00A03BFC">
        <w:rPr>
          <w:i/>
        </w:rPr>
        <w:t> </w:t>
      </w:r>
      <w:proofErr w:type="spellStart"/>
      <w:r>
        <w:rPr>
          <w:i/>
        </w:rPr>
        <w:t>Nefedov</w:t>
      </w:r>
      <w:proofErr w:type="spellEnd"/>
      <w:r>
        <w:rPr>
          <w:i/>
        </w:rPr>
        <w:t xml:space="preserve"> przeciwko Rosji</w:t>
      </w:r>
      <w:r>
        <w:t>, skargi nr 5753/09 i 11789/10, § 64, 30 października 2014).</w:t>
      </w:r>
    </w:p>
    <w:p w14:paraId="1A2E08C7" w14:textId="1147A80A" w:rsidR="00622B18" w:rsidRDefault="00622B18">
      <w:pPr>
        <w:pStyle w:val="JuPara"/>
      </w:pPr>
      <w:fldSimple w:instr=" SEQ level0 \*arabic \* MERGEFORMAT ">
        <w:r>
          <w:t>55</w:t>
        </w:r>
      </w:fldSimple>
      <w:r>
        <w:t xml:space="preserve">.  W drugiej kolejności Trybunał zbada sposób, w jaki sądy krajowe rozpatrzyły podniesiony przez skarżącego zarzut podżegania, co stanowi proceduralną część badania skargi dotyczącej działania </w:t>
      </w:r>
      <w:r>
        <w:rPr>
          <w:i/>
        </w:rPr>
        <w:t>agentów prowokatorów</w:t>
      </w:r>
      <w:r>
        <w:t xml:space="preserve"> (zob. </w:t>
      </w:r>
      <w:proofErr w:type="spellStart"/>
      <w:r>
        <w:rPr>
          <w:i/>
        </w:rPr>
        <w:t>Bannikova</w:t>
      </w:r>
      <w:proofErr w:type="spellEnd"/>
      <w:r>
        <w:rPr>
          <w:i/>
        </w:rPr>
        <w:t xml:space="preserve">, </w:t>
      </w:r>
      <w:r>
        <w:t xml:space="preserve">cyt. powyżej, §§ 51–65, z dalszymi </w:t>
      </w:r>
      <w:r w:rsidR="000E270A">
        <w:t>odniesieniami</w:t>
      </w:r>
      <w:r>
        <w:t>).</w:t>
      </w:r>
    </w:p>
    <w:p w14:paraId="73138CC9" w14:textId="01F9FB90" w:rsidR="00622B18" w:rsidRDefault="00622B18">
      <w:pPr>
        <w:pStyle w:val="JuPara"/>
      </w:pPr>
      <w:fldSimple w:instr=" SEQ level0 \*arabic \* MERGEFORMAT ">
        <w:r>
          <w:t>56</w:t>
        </w:r>
      </w:fldSimple>
      <w:r>
        <w:t xml:space="preserve">.  Punktem wyjścia </w:t>
      </w:r>
      <w:r w:rsidR="000E270A">
        <w:t xml:space="preserve">dla Trybunału musi być </w:t>
      </w:r>
      <w:r>
        <w:t>upewnieni</w:t>
      </w:r>
      <w:r w:rsidR="000E270A">
        <w:t>e</w:t>
      </w:r>
      <w:r>
        <w:t xml:space="preserve"> się, że</w:t>
      </w:r>
      <w:r w:rsidR="00A03BFC">
        <w:t> </w:t>
      </w:r>
      <w:r>
        <w:t xml:space="preserve">sądy krajowe </w:t>
      </w:r>
      <w:r w:rsidR="000E270A">
        <w:t>były w stanie rozpatrzyć</w:t>
      </w:r>
      <w:r>
        <w:t xml:space="preserve"> taki zarzut w</w:t>
      </w:r>
      <w:r w:rsidR="00A03BFC">
        <w:t> </w:t>
      </w:r>
      <w:r>
        <w:t xml:space="preserve">sposób zgodny z prawem do rzetelnego procesu. Powinien zatem zweryfikować, czy </w:t>
      </w:r>
      <w:r w:rsidR="000E270A">
        <w:t>uzasadniony</w:t>
      </w:r>
      <w:r>
        <w:t xml:space="preserve"> zarzut podżegania stanowi w prawie krajowym skuteczny materialnoprawny</w:t>
      </w:r>
      <w:r w:rsidR="002B3A46">
        <w:t xml:space="preserve"> środek obrony</w:t>
      </w:r>
      <w:r>
        <w:t xml:space="preserve">, czy daje podstawy do </w:t>
      </w:r>
      <w:r w:rsidR="002B3A46">
        <w:t>wykluczenia</w:t>
      </w:r>
      <w:r>
        <w:t xml:space="preserve"> dowodów, </w:t>
      </w:r>
      <w:r w:rsidR="002B3A46">
        <w:t>albo</w:t>
      </w:r>
      <w:r>
        <w:t xml:space="preserve"> prowadzi do podobnych </w:t>
      </w:r>
      <w:r w:rsidR="002B3A46">
        <w:t>skutków</w:t>
      </w:r>
      <w:r>
        <w:t xml:space="preserve">. Choć Trybunał co do zasady pozostawia </w:t>
      </w:r>
      <w:r w:rsidR="002B3A46">
        <w:t xml:space="preserve">organom </w:t>
      </w:r>
      <w:r>
        <w:t>krajowym decyzję co do tego, jak</w:t>
      </w:r>
      <w:r w:rsidR="002B3A46">
        <w:t>a</w:t>
      </w:r>
      <w:r>
        <w:t xml:space="preserve"> procedur</w:t>
      </w:r>
      <w:r w:rsidR="002B3A46">
        <w:t>a</w:t>
      </w:r>
      <w:r>
        <w:t xml:space="preserve"> musi </w:t>
      </w:r>
      <w:r w:rsidR="002B3A46">
        <w:t>zostać zastosowana</w:t>
      </w:r>
      <w:r>
        <w:t xml:space="preserve"> </w:t>
      </w:r>
      <w:r w:rsidR="002B3A46">
        <w:t>przez wymiar sprawiedliwości</w:t>
      </w:r>
      <w:r>
        <w:t xml:space="preserve"> w przypadku</w:t>
      </w:r>
      <w:r w:rsidR="00A03BFC">
        <w:t>,</w:t>
      </w:r>
      <w:r>
        <w:t xml:space="preserve"> gdy podniesiony zostaje zarzut podżegania, wymaga, aby procedura ta była kontradyktoryjna, </w:t>
      </w:r>
      <w:r w:rsidR="00997B7B">
        <w:t>szczegółowa</w:t>
      </w:r>
      <w:r>
        <w:t>, kompleksowa i rozstrzygająca w kwestii prowokacji policyjnej.</w:t>
      </w:r>
    </w:p>
    <w:p w14:paraId="500CFAB2" w14:textId="77777777" w:rsidR="00622B18" w:rsidRDefault="00622B18">
      <w:pPr>
        <w:pStyle w:val="JuPara"/>
      </w:pPr>
      <w:fldSimple w:instr=" SEQ level0 \*arabic \* MERGEFORMAT ">
        <w:r>
          <w:t>57</w:t>
        </w:r>
      </w:fldSimple>
      <w:r>
        <w:t xml:space="preserve">.  W szczególności kwestie, które organ sądowy powinien rozstrzygnąć przy rozpoznawaniu zarzutu prowokacji policyjnej, zostały określone w sprawie </w:t>
      </w:r>
      <w:proofErr w:type="spellStart"/>
      <w:r>
        <w:rPr>
          <w:i/>
        </w:rPr>
        <w:t>Ramanauskas</w:t>
      </w:r>
      <w:proofErr w:type="spellEnd"/>
      <w:r>
        <w:t>, cyt. powyżej, § 71:</w:t>
      </w:r>
    </w:p>
    <w:p w14:paraId="1CFA6C49" w14:textId="5A26FADA" w:rsidR="00622B18" w:rsidRDefault="00000000">
      <w:pPr>
        <w:pStyle w:val="JuQuot"/>
      </w:pPr>
      <w:r>
        <w:t>„Trybunał odnotowuje, że przez cały czas trwania postępowania skarżący utrzymywał, że był podżegany do popełnienia przestępstwa</w:t>
      </w:r>
      <w:r w:rsidR="008B5370">
        <w:t>.</w:t>
      </w:r>
      <w:r>
        <w:t xml:space="preserve"> Dlatego też </w:t>
      </w:r>
      <w:r w:rsidR="00997B7B">
        <w:t>organy</w:t>
      </w:r>
      <w:r>
        <w:t xml:space="preserve"> krajowe oraz sądy powinny były co najmniej </w:t>
      </w:r>
      <w:r w:rsidR="00997B7B">
        <w:t>przeprowadzić</w:t>
      </w:r>
      <w:r>
        <w:t xml:space="preserve"> </w:t>
      </w:r>
      <w:r w:rsidR="00997B7B">
        <w:t>gruntowane badanie</w:t>
      </w:r>
      <w:r>
        <w:t xml:space="preserve"> (...) czy</w:t>
      </w:r>
      <w:r w:rsidR="00997B7B">
        <w:t xml:space="preserve"> [organy ścigania]</w:t>
      </w:r>
      <w:r>
        <w:t xml:space="preserve"> podżega</w:t>
      </w:r>
      <w:r w:rsidR="00997B7B">
        <w:t>ły</w:t>
      </w:r>
      <w:r>
        <w:t xml:space="preserve"> do popełnienia czynu zabronionego</w:t>
      </w:r>
      <w:r w:rsidR="00CC5687">
        <w:t xml:space="preserve"> czy nie</w:t>
      </w:r>
      <w:r>
        <w:t>. W tym celu powinn</w:t>
      </w:r>
      <w:r w:rsidR="00CC5687">
        <w:t>y</w:t>
      </w:r>
      <w:r>
        <w:t xml:space="preserve"> by</w:t>
      </w:r>
      <w:r w:rsidR="00CC5687">
        <w:t>ły</w:t>
      </w:r>
      <w:r>
        <w:t xml:space="preserve"> w</w:t>
      </w:r>
      <w:r w:rsidR="00A03BFC">
        <w:t> </w:t>
      </w:r>
      <w:r>
        <w:t>szczególności ustalić powody przeprowadz</w:t>
      </w:r>
      <w:r w:rsidR="00CC5687">
        <w:t>enia operacji</w:t>
      </w:r>
      <w:r>
        <w:t xml:space="preserve">, zakres zaangażowania policji w przestępstwo oraz charakter wszelkich podżegań lub nacisków, którym skarżący został poddany. [...] Skarżący powinien był mieć możliwość </w:t>
      </w:r>
      <w:r w:rsidR="00CC5687">
        <w:t>przedstawienia swojego stanowiska</w:t>
      </w:r>
      <w:r>
        <w:t xml:space="preserve"> na temat każdej z </w:t>
      </w:r>
      <w:r w:rsidR="00CC5687">
        <w:t>tych</w:t>
      </w:r>
      <w:r>
        <w:t xml:space="preserve"> kwestii”.</w:t>
      </w:r>
    </w:p>
    <w:p w14:paraId="4E18FC64" w14:textId="38C6F26E" w:rsidR="00622B18" w:rsidRDefault="00622B18">
      <w:pPr>
        <w:pStyle w:val="JuPara"/>
      </w:pPr>
      <w:fldSimple w:instr=" SEQ level0 \*arabic \* MERGEFORMAT ">
        <w:r>
          <w:t>58</w:t>
        </w:r>
      </w:fldSimple>
      <w:r>
        <w:t xml:space="preserve">.  Ponadto </w:t>
      </w:r>
      <w:r w:rsidR="00F11A06">
        <w:t xml:space="preserve">przy rozstrzyganiu zarzutu dotyczącego </w:t>
      </w:r>
      <w:r w:rsidR="00F11A06">
        <w:rPr>
          <w:i/>
        </w:rPr>
        <w:t>agenta prowokator</w:t>
      </w:r>
      <w:r w:rsidR="00F11A06">
        <w:t xml:space="preserve">a  niezbędne są </w:t>
      </w:r>
      <w:r>
        <w:t>zasady kontradyktoryjności</w:t>
      </w:r>
      <w:r w:rsidR="00CC5687">
        <w:t xml:space="preserve"> postępowania</w:t>
      </w:r>
      <w:r>
        <w:t xml:space="preserve"> i równości broni, podobnie jak gwarancje proceduralne związane z ujawnianiem dowodów oraz przesłuchiwaniem agentów pod przykryciem i innych świadków mogących zeznawać w kwestii podżegania (</w:t>
      </w:r>
      <w:proofErr w:type="spellStart"/>
      <w:r>
        <w:rPr>
          <w:i/>
        </w:rPr>
        <w:t>Bannikova</w:t>
      </w:r>
      <w:proofErr w:type="spellEnd"/>
      <w:r>
        <w:t>, cyt. powyżej, §§ 58 i 65).</w:t>
      </w:r>
    </w:p>
    <w:p w14:paraId="2F977A4C" w14:textId="6CFF6506" w:rsidR="00622B18" w:rsidRDefault="00622B18">
      <w:pPr>
        <w:pStyle w:val="JuPara"/>
      </w:pPr>
      <w:fldSimple w:instr=" SEQ level0 \*arabic \* MERGEFORMAT ">
        <w:r>
          <w:t>59</w:t>
        </w:r>
      </w:fldSimple>
      <w:r>
        <w:t>.  W tym kontekście Trybunał przypomina również, że to na oskarż</w:t>
      </w:r>
      <w:r w:rsidR="00064AC8">
        <w:t xml:space="preserve">ycielu </w:t>
      </w:r>
      <w:r>
        <w:t>spoczywa obowiązek udowodnienia braku podżegania, pod warunkiem</w:t>
      </w:r>
      <w:r w:rsidR="008B5370">
        <w:t>,</w:t>
      </w:r>
      <w:r>
        <w:t xml:space="preserve"> że zarzuty oskarżonego nie są całkowicie nieprawdopodobne. W</w:t>
      </w:r>
      <w:r w:rsidR="00A03BFC">
        <w:t> </w:t>
      </w:r>
      <w:r>
        <w:t>praktyce wywiązanie się z tego obowiązku może być dla organów władzy niemożliwe wskutek braku formalnego zatwierdzenia i nadzoru nad operacją pod przykryciem (tamże, § 48).</w:t>
      </w:r>
    </w:p>
    <w:p w14:paraId="613B73A6" w14:textId="77777777" w:rsidR="00622B18" w:rsidRDefault="00000000">
      <w:pPr>
        <w:pStyle w:val="JuHi"/>
      </w:pPr>
      <w:r>
        <w:t>Stosowanie materialnego i procesowego testu prowokacji</w:t>
      </w:r>
    </w:p>
    <w:p w14:paraId="40D0906E" w14:textId="161D4EE6" w:rsidR="00622B18" w:rsidRDefault="00884637">
      <w:pPr>
        <w:pStyle w:val="JuPara"/>
      </w:pPr>
      <w:fldSimple w:instr=" SEQ level0 \*arabic \* MERGEFORMAT ">
        <w:bookmarkStart w:id="15" w:name="paragraph00062"/>
        <w:r w:rsidRPr="00884637">
          <w:rPr>
            <w:noProof/>
          </w:rPr>
          <w:t>60</w:t>
        </w:r>
        <w:bookmarkEnd w:id="15"/>
      </w:fldSimple>
      <w:r>
        <w:t xml:space="preserve">.  Z orzecznictwa Trybunału wynika, że kwestią wstępną przy ocenie zarzutu podżegania jest ustalenie, czy skarżący przedstawił </w:t>
      </w:r>
      <w:r>
        <w:lastRenderedPageBreak/>
        <w:t xml:space="preserve">uprawdopodobniony zarzut, że został poddany podżeganiu ze strony organów państwowych. W tym kontekście, aby przejść do dalszej oceny, Trybunał musi upewnić się, że rozpatrywana sytuacja </w:t>
      </w:r>
      <w:r w:rsidRPr="00A03BFC">
        <w:rPr>
          <w:i/>
          <w:iCs/>
        </w:rPr>
        <w:t>prima facie</w:t>
      </w:r>
      <w:r>
        <w:t xml:space="preserve"> należy do kategorii „spraw dotyczących prowokacji" (zob. sprawy, w których kryterium to nie zostało spełnione: </w:t>
      </w:r>
      <w:proofErr w:type="spellStart"/>
      <w:r>
        <w:rPr>
          <w:i/>
        </w:rPr>
        <w:t>Trifontsov</w:t>
      </w:r>
      <w:proofErr w:type="spellEnd"/>
      <w:r>
        <w:rPr>
          <w:i/>
        </w:rPr>
        <w:t xml:space="preserve"> przeciwko Rosji </w:t>
      </w:r>
      <w:r w:rsidRPr="00A03BFC">
        <w:rPr>
          <w:iCs/>
        </w:rPr>
        <w:t>(</w:t>
      </w:r>
      <w:proofErr w:type="spellStart"/>
      <w:r w:rsidRPr="00A03BFC">
        <w:rPr>
          <w:iCs/>
        </w:rPr>
        <w:t>dec</w:t>
      </w:r>
      <w:proofErr w:type="spellEnd"/>
      <w:r w:rsidRPr="00A03BFC">
        <w:rPr>
          <w:iCs/>
        </w:rPr>
        <w:t>.)</w:t>
      </w:r>
      <w:r>
        <w:rPr>
          <w:i/>
        </w:rPr>
        <w:t xml:space="preserve">, </w:t>
      </w:r>
      <w:r w:rsidRPr="00A03BFC">
        <w:rPr>
          <w:iCs/>
        </w:rPr>
        <w:t>skarga</w:t>
      </w:r>
      <w:r>
        <w:t xml:space="preserve"> nr 12025/02, §§</w:t>
      </w:r>
      <w:r w:rsidR="00A03BFC">
        <w:t> </w:t>
      </w:r>
      <w:r>
        <w:t xml:space="preserve">32–35, 9 października 2012; </w:t>
      </w:r>
      <w:proofErr w:type="spellStart"/>
      <w:r>
        <w:rPr>
          <w:i/>
        </w:rPr>
        <w:t>Lyubchenko</w:t>
      </w:r>
      <w:proofErr w:type="spellEnd"/>
      <w:r>
        <w:rPr>
          <w:i/>
        </w:rPr>
        <w:t xml:space="preserve"> przeciwko Ukrainie </w:t>
      </w:r>
      <w:r w:rsidRPr="00A03BFC">
        <w:rPr>
          <w:iCs/>
        </w:rPr>
        <w:t>(</w:t>
      </w:r>
      <w:proofErr w:type="spellStart"/>
      <w:r w:rsidRPr="00A03BFC">
        <w:rPr>
          <w:iCs/>
        </w:rPr>
        <w:t>dec</w:t>
      </w:r>
      <w:proofErr w:type="spellEnd"/>
      <w:r w:rsidRPr="00A03BFC">
        <w:rPr>
          <w:iCs/>
        </w:rPr>
        <w:t>.)</w:t>
      </w:r>
      <w:r>
        <w:rPr>
          <w:i/>
        </w:rPr>
        <w:t xml:space="preserve">, </w:t>
      </w:r>
      <w:r w:rsidRPr="00A03BFC">
        <w:rPr>
          <w:iCs/>
        </w:rPr>
        <w:t>skarga</w:t>
      </w:r>
      <w:r>
        <w:t xml:space="preserve"> nr 34640/05, §§ 33–34, 31 maja 2016 oraz </w:t>
      </w:r>
      <w:proofErr w:type="spellStart"/>
      <w:r>
        <w:rPr>
          <w:i/>
        </w:rPr>
        <w:t>Matanović</w:t>
      </w:r>
      <w:proofErr w:type="spellEnd"/>
      <w:r>
        <w:rPr>
          <w:i/>
        </w:rPr>
        <w:t xml:space="preserve"> przeciwko Chorwacji, </w:t>
      </w:r>
      <w:r w:rsidRPr="00A03BFC">
        <w:rPr>
          <w:iCs/>
        </w:rPr>
        <w:t>skarga</w:t>
      </w:r>
      <w:r>
        <w:t xml:space="preserve"> nr 2742/12, § 131, 4 kwietnia 2017).</w:t>
      </w:r>
    </w:p>
    <w:p w14:paraId="1C419FBC" w14:textId="7DA1E285" w:rsidR="00622B18" w:rsidRDefault="00622B18">
      <w:pPr>
        <w:pStyle w:val="JuPara"/>
      </w:pPr>
      <w:fldSimple w:instr=" SEQ level0 \*arabic \* MERGEFORMAT ">
        <w:r>
          <w:t>61</w:t>
        </w:r>
      </w:fldSimple>
      <w:r>
        <w:t xml:space="preserve">.  Jeżeli Trybunał uzna, że zarzut skarżącego </w:t>
      </w:r>
      <w:r w:rsidR="00DE7677">
        <w:t>należy do kategorii</w:t>
      </w:r>
      <w:r>
        <w:t xml:space="preserve"> „spraw dotyczących prowokacji", przejdzie – w pierwszej kolejności – do oceny </w:t>
      </w:r>
      <w:r w:rsidR="00DE7677">
        <w:br/>
      </w:r>
      <w:r>
        <w:t>w ramach materialnego testu podżegania (tamże, §</w:t>
      </w:r>
      <w:r w:rsidR="00A03BFC">
        <w:t> </w:t>
      </w:r>
      <w:r>
        <w:t>132).</w:t>
      </w:r>
    </w:p>
    <w:p w14:paraId="1C99A59F" w14:textId="1BF67ABA" w:rsidR="00622B18" w:rsidRDefault="00622B18">
      <w:pPr>
        <w:pStyle w:val="JuPara"/>
      </w:pPr>
      <w:fldSimple w:instr=" SEQ level0 \*arabic \* MERGEFORMAT ">
        <w:r>
          <w:t>62</w:t>
        </w:r>
      </w:fldSimple>
      <w:r>
        <w:t xml:space="preserve">.  Jeżeli w ramach materialnego testu podżegania, na podstawie dostępnych informacji, Trybunał mógł stwierdzić z wystarczającym stopniem pewności, że organy krajowe prowadziły działania operacyjne wobec skarżącego w sposób zasadniczo bierny i nie podżegały go do popełnienia przestępstwa, będzie to z reguły wystarczające do stwierdzenia przez Trybunał, że późniejsze wykorzystanie w postępowaniu karnym przeciwko skarżącemu dowodów uzyskanych w wyniku </w:t>
      </w:r>
      <w:r w:rsidR="0068574C">
        <w:t>działania</w:t>
      </w:r>
      <w:r>
        <w:t xml:space="preserve"> pod przykryciem nie rodzi problemów na gruncie art. 6 ust. 1 Konwencji (zob. np. </w:t>
      </w:r>
      <w:proofErr w:type="spellStart"/>
      <w:r>
        <w:rPr>
          <w:i/>
        </w:rPr>
        <w:t>Scholer</w:t>
      </w:r>
      <w:proofErr w:type="spellEnd"/>
      <w:r>
        <w:rPr>
          <w:i/>
        </w:rPr>
        <w:t xml:space="preserve"> przeciwko Niemcom</w:t>
      </w:r>
      <w:r>
        <w:t xml:space="preserve">, skarga nr 14212/10, § 90, 18 grudnia 2014, oraz </w:t>
      </w:r>
      <w:proofErr w:type="spellStart"/>
      <w:r>
        <w:rPr>
          <w:i/>
        </w:rPr>
        <w:t>Rymanov</w:t>
      </w:r>
      <w:proofErr w:type="spellEnd"/>
      <w:r>
        <w:rPr>
          <w:i/>
        </w:rPr>
        <w:t xml:space="preserve"> przeciwko Rosji </w:t>
      </w:r>
      <w:r>
        <w:t>(</w:t>
      </w:r>
      <w:proofErr w:type="spellStart"/>
      <w:r>
        <w:t>dec</w:t>
      </w:r>
      <w:proofErr w:type="spellEnd"/>
      <w:r>
        <w:t>.), skarga nr 18471/03, 13 grudnia 2016).</w:t>
      </w:r>
    </w:p>
    <w:p w14:paraId="4D7392B0" w14:textId="467C01A0" w:rsidR="00622B18" w:rsidRDefault="00622B18">
      <w:pPr>
        <w:pStyle w:val="JuPara"/>
      </w:pPr>
      <w:fldSimple w:instr=" SEQ level0 \*arabic \* MERGEFORMAT ">
        <w:r>
          <w:t>63</w:t>
        </w:r>
      </w:fldSimple>
      <w:r>
        <w:t xml:space="preserve">.  Jednakże jeżeli ustalenia Trybunału dokonane w ramach testu materialnego są </w:t>
      </w:r>
      <w:r w:rsidR="0068574C">
        <w:t>niejednoznaczne</w:t>
      </w:r>
      <w:r>
        <w:t xml:space="preserve"> z uwagi na brak informacji w aktach sprawy, brak </w:t>
      </w:r>
      <w:r w:rsidR="003039E8">
        <w:t>jawności</w:t>
      </w:r>
      <w:r>
        <w:t xml:space="preserve"> lub sprzeczności w interpretacj</w:t>
      </w:r>
      <w:r w:rsidR="0068574C">
        <w:t>i</w:t>
      </w:r>
      <w:r>
        <w:t xml:space="preserve"> zdarzeń przez strony (zob. </w:t>
      </w:r>
      <w:proofErr w:type="spellStart"/>
      <w:r>
        <w:rPr>
          <w:i/>
        </w:rPr>
        <w:t>Bannikova</w:t>
      </w:r>
      <w:proofErr w:type="spellEnd"/>
      <w:r>
        <w:t xml:space="preserve">, cyt. powyżej, §§ 52 i 67), lub jeżeli Trybunał stwierdzi na podstawie testu materialnego, że skarżący został poddany podżeganiu </w:t>
      </w:r>
      <w:r w:rsidR="00DE7677">
        <w:br/>
      </w:r>
      <w:r>
        <w:t xml:space="preserve">z naruszeniem art. 6 ust. 1, konieczne będzie przejście przez Trybunał – w drugiej kolejności – do proceduralnego testu podżegania (zob. </w:t>
      </w:r>
      <w:proofErr w:type="spellStart"/>
      <w:r>
        <w:rPr>
          <w:i/>
        </w:rPr>
        <w:t>Matanović</w:t>
      </w:r>
      <w:proofErr w:type="spellEnd"/>
      <w:r>
        <w:rPr>
          <w:i/>
        </w:rPr>
        <w:t xml:space="preserve">, </w:t>
      </w:r>
      <w:r>
        <w:t>cyt. powyżej, § 134).</w:t>
      </w:r>
    </w:p>
    <w:p w14:paraId="65CF402E" w14:textId="43D3D4B4" w:rsidR="00622B18" w:rsidRDefault="00884637">
      <w:pPr>
        <w:pStyle w:val="JuPara"/>
      </w:pPr>
      <w:fldSimple w:instr=" SEQ level0 \*arabic \* MERGEFORMAT ">
        <w:bookmarkStart w:id="16" w:name="paragraph00066"/>
        <w:r w:rsidRPr="00884637">
          <w:rPr>
            <w:noProof/>
          </w:rPr>
          <w:t>64</w:t>
        </w:r>
        <w:bookmarkEnd w:id="16"/>
      </w:fldSimple>
      <w:r>
        <w:t xml:space="preserve">.  Trybunał stosuje ten test w celu ustalenia, czy sądy krajowe podjęły niezbędne kroki do wyjaśnienia okoliczności </w:t>
      </w:r>
      <w:r w:rsidR="003039E8">
        <w:t>spornego</w:t>
      </w:r>
      <w:r>
        <w:t xml:space="preserve"> zarzutu podżegania oraz czy w przypadku stwierdzenia, że doszło do podżegania, lub w przypadku gdy oskarżenie nie zdołało udowodnić braku podżegania, wyciągnięto odpowiednie wnioski zgodnie z Konwencją (zob. </w:t>
      </w:r>
      <w:proofErr w:type="spellStart"/>
      <w:r>
        <w:rPr>
          <w:i/>
        </w:rPr>
        <w:t>Ramanauskas</w:t>
      </w:r>
      <w:proofErr w:type="spellEnd"/>
      <w:r>
        <w:t xml:space="preserve">, cyt. powyżej, § 70; </w:t>
      </w:r>
      <w:proofErr w:type="spellStart"/>
      <w:r>
        <w:rPr>
          <w:i/>
        </w:rPr>
        <w:t>Furcht</w:t>
      </w:r>
      <w:proofErr w:type="spellEnd"/>
      <w:r>
        <w:t xml:space="preserve">, cyt. powyżej, § 53; oraz  </w:t>
      </w:r>
      <w:proofErr w:type="spellStart"/>
      <w:r>
        <w:rPr>
          <w:i/>
        </w:rPr>
        <w:t>Ciprian</w:t>
      </w:r>
      <w:proofErr w:type="spellEnd"/>
      <w:r>
        <w:rPr>
          <w:i/>
        </w:rPr>
        <w:t xml:space="preserve"> </w:t>
      </w:r>
      <w:proofErr w:type="spellStart"/>
      <w:r>
        <w:rPr>
          <w:i/>
        </w:rPr>
        <w:t>Vlăduț</w:t>
      </w:r>
      <w:proofErr w:type="spellEnd"/>
      <w:r>
        <w:rPr>
          <w:i/>
        </w:rPr>
        <w:t xml:space="preserve"> i </w:t>
      </w:r>
      <w:proofErr w:type="spellStart"/>
      <w:r>
        <w:rPr>
          <w:i/>
        </w:rPr>
        <w:t>Ioan</w:t>
      </w:r>
      <w:proofErr w:type="spellEnd"/>
      <w:r>
        <w:rPr>
          <w:i/>
        </w:rPr>
        <w:t xml:space="preserve"> </w:t>
      </w:r>
      <w:proofErr w:type="spellStart"/>
      <w:r>
        <w:rPr>
          <w:i/>
        </w:rPr>
        <w:t>Florin</w:t>
      </w:r>
      <w:proofErr w:type="spellEnd"/>
      <w:r>
        <w:rPr>
          <w:i/>
        </w:rPr>
        <w:t xml:space="preserve"> Pop przeciwko Rumunii</w:t>
      </w:r>
      <w:r>
        <w:t xml:space="preserve">, skargi nr 43490/07 i 44304/07, § 88, 16 lipca 2015; zob. także </w:t>
      </w:r>
      <w:proofErr w:type="spellStart"/>
      <w:r>
        <w:rPr>
          <w:i/>
        </w:rPr>
        <w:t>Bannikova</w:t>
      </w:r>
      <w:proofErr w:type="spellEnd"/>
      <w:r>
        <w:rPr>
          <w:i/>
        </w:rPr>
        <w:t xml:space="preserve">, </w:t>
      </w:r>
      <w:r>
        <w:t xml:space="preserve">cyt. powyżej, §§ 53–57, w odniesieniu do wniosków, jakie należy wyciągnąć z uwzględnionego zarzutu podżegania). Postępowanie przeciwko skarżącemu zostałoby pozbawione rzetelności wymaganej przez art. 6 Konwencji, gdyby działania organów państwowych skutkowały podżeganiem skarżącego do popełnienia przestępstwa, za które został skazany, a sądy krajowe nie odniosły się w sposób </w:t>
      </w:r>
      <w:r w:rsidR="00125047">
        <w:t>odpowiedni</w:t>
      </w:r>
      <w:r>
        <w:t xml:space="preserve"> do zarzutów podżegania (zob. </w:t>
      </w:r>
      <w:proofErr w:type="spellStart"/>
      <w:r>
        <w:rPr>
          <w:i/>
        </w:rPr>
        <w:t>Ramanauskas</w:t>
      </w:r>
      <w:proofErr w:type="spellEnd"/>
      <w:r>
        <w:t xml:space="preserve">, cyt. powyżej, § 73; </w:t>
      </w:r>
      <w:r>
        <w:rPr>
          <w:i/>
        </w:rPr>
        <w:t xml:space="preserve">Constantin </w:t>
      </w:r>
      <w:r w:rsidR="00125047">
        <w:rPr>
          <w:i/>
        </w:rPr>
        <w:br/>
      </w:r>
      <w:r>
        <w:rPr>
          <w:i/>
        </w:rPr>
        <w:t xml:space="preserve">i </w:t>
      </w:r>
      <w:proofErr w:type="spellStart"/>
      <w:r>
        <w:rPr>
          <w:i/>
        </w:rPr>
        <w:t>Stoian</w:t>
      </w:r>
      <w:proofErr w:type="spellEnd"/>
      <w:r>
        <w:rPr>
          <w:i/>
        </w:rPr>
        <w:t xml:space="preserve"> przeciwko Rumunii</w:t>
      </w:r>
      <w:r>
        <w:t xml:space="preserve">, skargi nr 23782/06 i 46629/06, § 64, 29 września </w:t>
      </w:r>
      <w:r>
        <w:lastRenderedPageBreak/>
        <w:t xml:space="preserve">2009 oraz </w:t>
      </w:r>
      <w:proofErr w:type="spellStart"/>
      <w:r>
        <w:rPr>
          <w:i/>
        </w:rPr>
        <w:t>Sepil</w:t>
      </w:r>
      <w:proofErr w:type="spellEnd"/>
      <w:r>
        <w:rPr>
          <w:i/>
        </w:rPr>
        <w:t xml:space="preserve"> przeciwko Turcji</w:t>
      </w:r>
      <w:r>
        <w:t>, skarga nr 17711/07, § 36, 12 listopada 2013).</w:t>
      </w:r>
    </w:p>
    <w:p w14:paraId="5ADE012C" w14:textId="77777777" w:rsidR="00622B18" w:rsidRDefault="00000000">
      <w:pPr>
        <w:pStyle w:val="JuHa0"/>
      </w:pPr>
      <w:r>
        <w:t>Zastosowanie zasad ogólnych w niniejszej sprawie</w:t>
      </w:r>
    </w:p>
    <w:p w14:paraId="11DFD45F" w14:textId="77777777" w:rsidR="00622B18" w:rsidRDefault="00000000">
      <w:pPr>
        <w:pStyle w:val="JuHi"/>
        <w:spacing w:line="240" w:lineRule="auto"/>
      </w:pPr>
      <w:r>
        <w:t>Uwagi wstępne</w:t>
      </w:r>
    </w:p>
    <w:p w14:paraId="52E2FCC1" w14:textId="1DB9E570" w:rsidR="00622B18" w:rsidRDefault="00622B18">
      <w:pPr>
        <w:pStyle w:val="JuPara"/>
      </w:pPr>
      <w:fldSimple w:instr=" SEQ level0 \*arabic \* MERGEFORMAT ">
        <w:r>
          <w:t>65</w:t>
        </w:r>
      </w:fldSimple>
      <w:r>
        <w:t>.  Trybunał zauważa, że między stronami nie ma sporu co do tego, że</w:t>
      </w:r>
      <w:r w:rsidR="00A03BFC">
        <w:t> </w:t>
      </w:r>
      <w:r>
        <w:t xml:space="preserve">skarżący, posługując się pseudonimem „m41tln”, prowadził rozmowy o wyraźnie seksualnym charakterze za pośrednictwem prywatnych wiadomości z funkcjonariuszem </w:t>
      </w:r>
      <w:r w:rsidR="00DE7677">
        <w:t>P</w:t>
      </w:r>
      <w:r>
        <w:t>olicji pod przykryciem</w:t>
      </w:r>
      <w:r w:rsidR="00DE7677">
        <w:t>,</w:t>
      </w:r>
      <w:r>
        <w:t xml:space="preserve"> używającym nazwy użytkownika „Marleen12” na stronie internetowej www.armastusesaal.org. Następnie sąd skazał go za to na podstawie art. 179 § 1 Kodeksu karnego. Spór między stronami dotyczy kwestii, czy wobec skarżącego stosowano prowokację policyjną.</w:t>
      </w:r>
    </w:p>
    <w:p w14:paraId="69075373" w14:textId="77777777" w:rsidR="00622B18" w:rsidRDefault="00622B18">
      <w:pPr>
        <w:pStyle w:val="JuPara"/>
      </w:pPr>
      <w:fldSimple w:instr=" SEQ level0 \*arabic \* MERGEFORMAT ">
        <w:r>
          <w:t>66</w:t>
        </w:r>
      </w:fldSimple>
      <w:r>
        <w:t xml:space="preserve">.  W oparciu o kryteria określone w swoim orzecznictwie i stosując metodologię badania zarzutów dotyczących prowokacji (zob. paragrafy </w:t>
      </w:r>
      <w:r>
        <w:fldChar w:fldCharType="begin"/>
      </w:r>
      <w:r>
        <w:instrText xml:space="preserve"> REF paragraph00062 \h  \* CharFormat </w:instrText>
      </w:r>
      <w:r>
        <w:fldChar w:fldCharType="separate"/>
      </w:r>
      <w:r>
        <w:t>60</w:t>
      </w:r>
      <w:r>
        <w:fldChar w:fldCharType="end"/>
      </w:r>
      <w:r>
        <w:t>–</w:t>
      </w:r>
      <w:r>
        <w:fldChar w:fldCharType="begin"/>
      </w:r>
      <w:r>
        <w:instrText xml:space="preserve"> REF paragraph00066 \h  \* CharFormat </w:instrText>
      </w:r>
      <w:r>
        <w:fldChar w:fldCharType="separate"/>
      </w:r>
      <w:r>
        <w:t>64</w:t>
      </w:r>
      <w:r>
        <w:fldChar w:fldCharType="end"/>
      </w:r>
      <w:r>
        <w:t xml:space="preserve"> powyżej), Trybunał uznaje, że sprawa, w świetle jej okoliczności faktycznych, należy do kategorii „spraw dotyczących prowokacji policyjnej”.</w:t>
      </w:r>
    </w:p>
    <w:p w14:paraId="59194CBA" w14:textId="77777777" w:rsidR="00622B18" w:rsidRDefault="00884637">
      <w:pPr>
        <w:pStyle w:val="JuPara"/>
      </w:pPr>
      <w:fldSimple w:instr=" SEQ level0 \*arabic \* MERGEFORMAT ">
        <w:bookmarkStart w:id="17" w:name="paragraph00069"/>
        <w:r w:rsidRPr="00884637">
          <w:rPr>
            <w:noProof/>
          </w:rPr>
          <w:t>67</w:t>
        </w:r>
        <w:bookmarkEnd w:id="17"/>
      </w:fldSimple>
      <w:r>
        <w:t>.  Trybunał zauważa, że niniejsza sprawa jest pierwszą, w której został wezwany do rozstrzygnięcia, czy wobec jednostki stosowano prowokację policyjną w czysto internetowym kontekście.</w:t>
      </w:r>
    </w:p>
    <w:p w14:paraId="3AA14F44" w14:textId="209B1FFA" w:rsidR="00622B18" w:rsidRDefault="00622B18">
      <w:pPr>
        <w:pStyle w:val="JuPara"/>
      </w:pPr>
      <w:fldSimple w:instr=" SEQ level0 \*arabic \* MERGEFORMAT ">
        <w:r>
          <w:t>68</w:t>
        </w:r>
      </w:fldSimple>
      <w:r>
        <w:t xml:space="preserve">.  O ile stan faktyczny sprawy </w:t>
      </w:r>
      <w:proofErr w:type="spellStart"/>
      <w:r>
        <w:rPr>
          <w:i/>
        </w:rPr>
        <w:t>Eurofinacom</w:t>
      </w:r>
      <w:proofErr w:type="spellEnd"/>
      <w:r>
        <w:rPr>
          <w:i/>
        </w:rPr>
        <w:t xml:space="preserve"> przeciwko Francji</w:t>
      </w:r>
      <w:r>
        <w:t xml:space="preserve"> (</w:t>
      </w:r>
      <w:proofErr w:type="spellStart"/>
      <w:r>
        <w:t>dec</w:t>
      </w:r>
      <w:proofErr w:type="spellEnd"/>
      <w:r>
        <w:t>.), skarga nr 58753/00, ETPC 2004-VII (fragmenty)</w:t>
      </w:r>
      <w:r w:rsidR="00A20AC0">
        <w:t>,</w:t>
      </w:r>
      <w:r>
        <w:t xml:space="preserve"> również obejmował element komunikacji internetowej oraz funkcjonariuszy </w:t>
      </w:r>
      <w:r w:rsidR="00A20AC0">
        <w:t>P</w:t>
      </w:r>
      <w:r>
        <w:t xml:space="preserve">olicji działających pod fałszywą tożsamością, o tyle podejrzany w tamtej sprawie – a następnie skarżący w skardze wniesionej do Trybunału – nie był osobą oferującą usługi związane z prostytucją w </w:t>
      </w:r>
      <w:proofErr w:type="spellStart"/>
      <w:r>
        <w:t>internecie</w:t>
      </w:r>
      <w:proofErr w:type="spellEnd"/>
      <w:r>
        <w:t xml:space="preserve">, </w:t>
      </w:r>
      <w:r w:rsidR="00A20AC0">
        <w:t>ale firmą, co do której istniało podejrzenie, że pełniła rolę</w:t>
      </w:r>
      <w:r>
        <w:t xml:space="preserve"> „pośrednika między osobą prostytuującą się a osobą korzystającą z jej usług". Co istotniejsze, w tamtej sprawie Trybunał ustalił, że policja krajowa dysponowała już informacjami wskazującymi na udział skarżącej </w:t>
      </w:r>
      <w:r w:rsidR="00A20AC0">
        <w:t>firmy</w:t>
      </w:r>
      <w:r>
        <w:t xml:space="preserve"> w działalności niezgodnej z prawem, polegającej na udostępnianiu platformy komunikacyjnej.</w:t>
      </w:r>
    </w:p>
    <w:p w14:paraId="596AB96B" w14:textId="3C7C344C" w:rsidR="00622B18" w:rsidRDefault="00622B18">
      <w:pPr>
        <w:pStyle w:val="JuPara"/>
      </w:pPr>
      <w:fldSimple w:instr=" SEQ level0 \*arabic \* MERGEFORMAT ">
        <w:r>
          <w:t>69</w:t>
        </w:r>
      </w:fldSimple>
      <w:r>
        <w:t xml:space="preserve">.  Zasadniczą kwestią podlegającą zbadaniu przez Trybunał w niniejszej sprawie jest to, czy organy ścigania organizując i prowadząc niejawną operację pod przykryciem w konkretnych okolicznościach </w:t>
      </w:r>
      <w:r w:rsidR="00FB2F3B">
        <w:t>niniejszej</w:t>
      </w:r>
      <w:r>
        <w:t xml:space="preserve"> sprawy, ograniczyły się do „prowadzenia działalności śledczej w sposób zasadniczo bierny". Odpowiadając na to pytanie, Trybunał </w:t>
      </w:r>
      <w:r w:rsidR="00FB2F3B">
        <w:t>wziął</w:t>
      </w:r>
      <w:r>
        <w:t xml:space="preserve"> pod uwagę następujące okoliczności.</w:t>
      </w:r>
    </w:p>
    <w:p w14:paraId="6E583647" w14:textId="77777777" w:rsidR="00622B18" w:rsidRDefault="00000000">
      <w:pPr>
        <w:pStyle w:val="JuHi"/>
        <w:spacing w:line="240" w:lineRule="auto"/>
      </w:pPr>
      <w:r>
        <w:t>Czy istniały uzasadnione powody przeprowadzenia operacji</w:t>
      </w:r>
    </w:p>
    <w:p w14:paraId="49273E06" w14:textId="564B495C" w:rsidR="00622B18" w:rsidRDefault="00622B18">
      <w:pPr>
        <w:pStyle w:val="JuPara"/>
      </w:pPr>
      <w:fldSimple w:instr=" SEQ level0 \*arabic \* MERGEFORMAT ">
        <w:r>
          <w:t>70</w:t>
        </w:r>
      </w:fldSimple>
      <w:r>
        <w:t xml:space="preserve">.  Jednym z głównych argumentów skarżącego dotyczących </w:t>
      </w:r>
      <w:r w:rsidR="00FB2F3B">
        <w:t>jego rzekomego</w:t>
      </w:r>
      <w:r>
        <w:t xml:space="preserve"> podżegania przez policję są podstawy wszczęcia postępowania przygotowawczego i wyrażenia zgody na udział funkcjonariusza </w:t>
      </w:r>
      <w:r w:rsidR="00FB2F3B">
        <w:t>P</w:t>
      </w:r>
      <w:r>
        <w:t xml:space="preserve">olicji pod przykryciem. Skarżący utrzymywał, że przed przedmiotową tajną operacją </w:t>
      </w:r>
      <w:r w:rsidR="00FB2F3B">
        <w:lastRenderedPageBreak/>
        <w:t>śledczą</w:t>
      </w:r>
      <w:r>
        <w:t xml:space="preserve"> nie był karany i nie był podejrz</w:t>
      </w:r>
      <w:r w:rsidR="00FB2F3B">
        <w:t>ewa</w:t>
      </w:r>
      <w:r>
        <w:t>ny o popełnienie jakiegokolwiek przestępstwa.</w:t>
      </w:r>
    </w:p>
    <w:p w14:paraId="01834C51" w14:textId="6705E55A" w:rsidR="00622B18" w:rsidRDefault="00622B18">
      <w:pPr>
        <w:pStyle w:val="JuPara"/>
      </w:pPr>
      <w:fldSimple w:instr=" SEQ level0 \*arabic \* MERGEFORMAT ">
        <w:r>
          <w:t>71</w:t>
        </w:r>
      </w:fldSimple>
      <w:r>
        <w:t xml:space="preserve">.  W tym zakresie Trybunał odnotowuje, że Rząd zgodził się ze skarżącym, iż nie </w:t>
      </w:r>
      <w:r w:rsidR="00FF76E7">
        <w:t>żadnych wcześniejszych informacji ani podejrzeń dotyczących jego</w:t>
      </w:r>
      <w:r>
        <w:t xml:space="preserve"> nagann</w:t>
      </w:r>
      <w:r w:rsidR="00FF76E7">
        <w:t>ego postępowania</w:t>
      </w:r>
      <w:r>
        <w:t xml:space="preserve">. Jak wyjaśnił Rząd, postępowanie przygotowawcze zostało wszczęte na podstawie </w:t>
      </w:r>
      <w:r w:rsidR="00FF76E7">
        <w:t xml:space="preserve">informacji </w:t>
      </w:r>
      <w:r>
        <w:t xml:space="preserve">otrzymanych przez policję wcześniej w tym samym roku, wskazujących, że różne osoby korzystały z określonych stron internetowych w celu prowadzenia rozmów o charakterze seksualnym z małoletnimi poniżej 14. roku życia oraz przesyłały im pliki zawierające </w:t>
      </w:r>
      <w:r w:rsidR="00643580">
        <w:t>treści</w:t>
      </w:r>
      <w:r>
        <w:t xml:space="preserve"> o charakterze seksualnym.</w:t>
      </w:r>
    </w:p>
    <w:p w14:paraId="251374A0" w14:textId="683CA49B" w:rsidR="00622B18" w:rsidRDefault="00622B18">
      <w:pPr>
        <w:pStyle w:val="JuPara"/>
      </w:pPr>
      <w:fldSimple w:instr=" SEQ level0 \*arabic \* MERGEFORMAT ">
        <w:r>
          <w:t>72</w:t>
        </w:r>
      </w:fldSimple>
      <w:r>
        <w:t>.  Trybunał przypomina, że w sprawach, w których główny materiał dowodowy pochodzi z tajnej operacji, organy władzy muszą być w stanie wykazać, że miały uzasadnione powody do przeprowadzenia tej operacji (zob. </w:t>
      </w:r>
      <w:bookmarkStart w:id="18" w:name="_cl21671THELAW"/>
      <w:proofErr w:type="spellStart"/>
      <w:r>
        <w:rPr>
          <w:i/>
        </w:rPr>
        <w:t>Bannikova,</w:t>
      </w:r>
      <w:r>
        <w:t>cyt</w:t>
      </w:r>
      <w:proofErr w:type="spellEnd"/>
      <w:r>
        <w:t xml:space="preserve">. powyżej, § 40 oraz </w:t>
      </w:r>
      <w:bookmarkStart w:id="19" w:name="_cl30177THELAW"/>
      <w:r>
        <w:rPr>
          <w:i/>
        </w:rPr>
        <w:t>Łagutin i Inni</w:t>
      </w:r>
      <w:bookmarkEnd w:id="18"/>
      <w:r>
        <w:rPr>
          <w:i/>
        </w:rPr>
        <w:t xml:space="preserve"> przeciwko Rosji</w:t>
      </w:r>
      <w:bookmarkEnd w:id="19"/>
      <w:r>
        <w:t>, skargi nr 6228/09 i 4 inne, § 91, 24 kwietnia 2014 r.).</w:t>
      </w:r>
    </w:p>
    <w:p w14:paraId="766DF69D" w14:textId="5B6E1DED" w:rsidR="00622B18" w:rsidRDefault="00622B18">
      <w:pPr>
        <w:pStyle w:val="JuPara"/>
      </w:pPr>
      <w:fldSimple w:instr=" SEQ level0 \*arabic \* MERGEFORMAT ">
        <w:r>
          <w:t>73</w:t>
        </w:r>
      </w:fldSimple>
      <w:r>
        <w:t>.  Co do przyczyn leżących u podstaw operacji tajnych, Trybunał podkreślał wcześniej obowiązek organów weryfikowania zawiadomień o</w:t>
      </w:r>
      <w:r w:rsidR="00A03BFC">
        <w:t> </w:t>
      </w:r>
      <w:r>
        <w:t xml:space="preserve">przestępstwach oraz </w:t>
      </w:r>
      <w:r w:rsidR="001306BE">
        <w:t>sprawdzania</w:t>
      </w:r>
      <w:r>
        <w:t xml:space="preserve"> otrzymany</w:t>
      </w:r>
      <w:r w:rsidR="001306BE">
        <w:t>ch</w:t>
      </w:r>
      <w:r>
        <w:t xml:space="preserve"> informacji obciążający</w:t>
      </w:r>
      <w:r w:rsidR="001306BE">
        <w:t>ch</w:t>
      </w:r>
      <w:r>
        <w:t xml:space="preserve"> (zob. </w:t>
      </w:r>
      <w:bookmarkStart w:id="20" w:name="_cl39043THELAW"/>
      <w:proofErr w:type="spellStart"/>
      <w:r>
        <w:rPr>
          <w:i/>
        </w:rPr>
        <w:t>Volkov</w:t>
      </w:r>
      <w:proofErr w:type="spellEnd"/>
      <w:r>
        <w:rPr>
          <w:i/>
        </w:rPr>
        <w:t xml:space="preserve"> i </w:t>
      </w:r>
      <w:proofErr w:type="spellStart"/>
      <w:r>
        <w:rPr>
          <w:i/>
        </w:rPr>
        <w:t>Adamskiy</w:t>
      </w:r>
      <w:proofErr w:type="spellEnd"/>
      <w:r>
        <w:rPr>
          <w:i/>
        </w:rPr>
        <w:t xml:space="preserve"> przeciwko Rosji</w:t>
      </w:r>
      <w:bookmarkEnd w:id="20"/>
      <w:r>
        <w:t xml:space="preserve">, skargi nr 7614/09 i 30863/10, §§ 37 i 41, 26 marca 2015 oraz </w:t>
      </w:r>
      <w:bookmarkStart w:id="21" w:name="_cl31445THELAW"/>
      <w:proofErr w:type="spellStart"/>
      <w:r>
        <w:rPr>
          <w:i/>
        </w:rPr>
        <w:t>Matanović</w:t>
      </w:r>
      <w:proofErr w:type="spellEnd"/>
      <w:r>
        <w:t xml:space="preserve">, cyt. powyżej, § 144). Trybunał </w:t>
      </w:r>
      <w:bookmarkEnd w:id="21"/>
      <w:r>
        <w:t>zajmował jednakże stanowisko krytyczne w</w:t>
      </w:r>
      <w:r w:rsidR="00A03BFC">
        <w:t> </w:t>
      </w:r>
      <w:r>
        <w:t xml:space="preserve">przypadkach, w których organy – w celu uzasadnienia operacji pod przykryciem – powoływały się </w:t>
      </w:r>
      <w:r w:rsidR="001306BE">
        <w:t>jedynie na</w:t>
      </w:r>
      <w:r>
        <w:t xml:space="preserve"> twierdzeni</w:t>
      </w:r>
      <w:r w:rsidR="001306BE">
        <w:t>a</w:t>
      </w:r>
      <w:r>
        <w:t xml:space="preserve"> o istnieniu informacji obciążających (w tym ewentualnie informacji z anonimowych, nieujawnionych źródeł), </w:t>
      </w:r>
      <w:r w:rsidR="00081782">
        <w:t xml:space="preserve">podczas </w:t>
      </w:r>
      <w:r>
        <w:t xml:space="preserve">gdy informacje te nie zostały zbadane i poddane kontroli przez sądy krajowe, zwłaszcza w sytuacji gdy oskarżony zakwestionował istnienie takich informacji w toku </w:t>
      </w:r>
      <w:r w:rsidR="00081782">
        <w:t>procesu</w:t>
      </w:r>
      <w:r>
        <w:t xml:space="preserve"> (zob. </w:t>
      </w:r>
      <w:proofErr w:type="spellStart"/>
      <w:r>
        <w:rPr>
          <w:i/>
        </w:rPr>
        <w:t>Bannikova</w:t>
      </w:r>
      <w:proofErr w:type="spellEnd"/>
      <w:r>
        <w:t>, cyt. powyżej, § 40</w:t>
      </w:r>
      <w:r w:rsidR="001306BE">
        <w:t>,</w:t>
      </w:r>
      <w:r>
        <w:t xml:space="preserve"> </w:t>
      </w:r>
      <w:bookmarkStart w:id="22" w:name="_cl38598THELAW"/>
      <w:proofErr w:type="spellStart"/>
      <w:r>
        <w:rPr>
          <w:i/>
        </w:rPr>
        <w:t>Vanyan</w:t>
      </w:r>
      <w:proofErr w:type="spellEnd"/>
      <w:r>
        <w:t xml:space="preserve">, cyt. powyżej, § 49 oraz </w:t>
      </w:r>
      <w:proofErr w:type="spellStart"/>
      <w:r>
        <w:rPr>
          <w:i/>
        </w:rPr>
        <w:t>Lagutin</w:t>
      </w:r>
      <w:proofErr w:type="spellEnd"/>
      <w:r>
        <w:rPr>
          <w:i/>
        </w:rPr>
        <w:t xml:space="preserve"> i</w:t>
      </w:r>
      <w:r w:rsidR="00A03BFC">
        <w:rPr>
          <w:i/>
        </w:rPr>
        <w:t> </w:t>
      </w:r>
      <w:r>
        <w:rPr>
          <w:i/>
        </w:rPr>
        <w:t>Inni</w:t>
      </w:r>
      <w:r>
        <w:t>, cyt. powyżej, §§ 103–106 i 109).</w:t>
      </w:r>
    </w:p>
    <w:p w14:paraId="739ADE3B" w14:textId="6F98F875" w:rsidR="00622B18" w:rsidRDefault="00622B18">
      <w:pPr>
        <w:pStyle w:val="JuPara"/>
      </w:pPr>
      <w:fldSimple w:instr=" SEQ level0 \*arabic \* MERGEFORMAT ">
        <w:r>
          <w:t>74</w:t>
        </w:r>
      </w:fldSimple>
      <w:r>
        <w:t xml:space="preserve">.  Trybunał odnotowuje ponadto, że w swoim orzecznictwie dążył zasadniczo do </w:t>
      </w:r>
      <w:r w:rsidR="00DA10E6">
        <w:t>sprawdzenia</w:t>
      </w:r>
      <w:r>
        <w:t xml:space="preserve">, „czy istniały obiektywne podejrzenia, że skarżący </w:t>
      </w:r>
      <w:r w:rsidR="00DA10E6">
        <w:t xml:space="preserve">był zaangażowany </w:t>
      </w:r>
      <w:r>
        <w:t>w działalnoś</w:t>
      </w:r>
      <w:r w:rsidR="00DA10E6">
        <w:t>ć</w:t>
      </w:r>
      <w:r>
        <w:t xml:space="preserve"> przestępcz</w:t>
      </w:r>
      <w:r w:rsidR="00DA10E6">
        <w:t>ą</w:t>
      </w:r>
      <w:r>
        <w:t xml:space="preserve"> lub był predysponowany do popełnienia przestępstwa" (</w:t>
      </w:r>
      <w:bookmarkStart w:id="23" w:name="_cl37661THELAW"/>
      <w:bookmarkStart w:id="24" w:name="_cl26009THELAW"/>
      <w:r>
        <w:t xml:space="preserve">zob. </w:t>
      </w:r>
      <w:proofErr w:type="spellStart"/>
      <w:r>
        <w:rPr>
          <w:i/>
        </w:rPr>
        <w:t>Teixeira</w:t>
      </w:r>
      <w:proofErr w:type="spellEnd"/>
      <w:r>
        <w:rPr>
          <w:i/>
        </w:rPr>
        <w:t xml:space="preserve"> de Castro</w:t>
      </w:r>
      <w:r>
        <w:t>, cyt. powyżej, §§ 37–38</w:t>
      </w:r>
      <w:bookmarkStart w:id="25" w:name="_cl31079THELAW"/>
      <w:r w:rsidR="00DA10E6">
        <w:t>,</w:t>
      </w:r>
      <w:r>
        <w:t xml:space="preserve"> </w:t>
      </w:r>
      <w:proofErr w:type="spellStart"/>
      <w:r>
        <w:rPr>
          <w:i/>
        </w:rPr>
        <w:t>Malininas</w:t>
      </w:r>
      <w:proofErr w:type="spellEnd"/>
      <w:r>
        <w:rPr>
          <w:i/>
        </w:rPr>
        <w:t xml:space="preserve"> przeciwko Litwie</w:t>
      </w:r>
      <w:bookmarkEnd w:id="25"/>
      <w:r>
        <w:t>, skarga nr 10071/04, § 36, 1 lipca 2008</w:t>
      </w:r>
      <w:bookmarkStart w:id="26" w:name="_cl29171THELAW"/>
      <w:bookmarkStart w:id="27" w:name="_cl34628THELAW"/>
      <w:r w:rsidR="00DA10E6">
        <w:t>,</w:t>
      </w:r>
      <w:r>
        <w:rPr>
          <w:i/>
        </w:rPr>
        <w:t xml:space="preserve"> </w:t>
      </w:r>
      <w:proofErr w:type="spellStart"/>
      <w:r>
        <w:rPr>
          <w:i/>
        </w:rPr>
        <w:t>Khudobin</w:t>
      </w:r>
      <w:proofErr w:type="spellEnd"/>
      <w:r>
        <w:t>, cyt. powyżej, § 134</w:t>
      </w:r>
      <w:r w:rsidR="00DA10E6">
        <w:t>,</w:t>
      </w:r>
      <w:r>
        <w:t xml:space="preserve"> </w:t>
      </w:r>
      <w:proofErr w:type="spellStart"/>
      <w:r>
        <w:rPr>
          <w:i/>
        </w:rPr>
        <w:t>Pyrgiotakis</w:t>
      </w:r>
      <w:proofErr w:type="spellEnd"/>
      <w:r>
        <w:rPr>
          <w:i/>
        </w:rPr>
        <w:t xml:space="preserve"> przeciwko Grecji</w:t>
      </w:r>
      <w:bookmarkEnd w:id="26"/>
      <w:bookmarkEnd w:id="27"/>
      <w:r>
        <w:t>, skarga nr 15100/06, § 21, 21 lutego 2008</w:t>
      </w:r>
      <w:r w:rsidR="00DA10E6">
        <w:t>,</w:t>
      </w:r>
      <w:r>
        <w:t xml:space="preserve"> </w:t>
      </w:r>
      <w:proofErr w:type="spellStart"/>
      <w:r>
        <w:rPr>
          <w:i/>
        </w:rPr>
        <w:t>Lagutin</w:t>
      </w:r>
      <w:proofErr w:type="spellEnd"/>
      <w:r>
        <w:rPr>
          <w:i/>
        </w:rPr>
        <w:t xml:space="preserve"> i Inni</w:t>
      </w:r>
      <w:r>
        <w:t>, cyt. powyżej, § 91</w:t>
      </w:r>
      <w:r w:rsidR="00DA10E6">
        <w:t>,</w:t>
      </w:r>
      <w:r>
        <w:t xml:space="preserve"> </w:t>
      </w:r>
      <w:proofErr w:type="spellStart"/>
      <w:r>
        <w:rPr>
          <w:i/>
        </w:rPr>
        <w:t>Furcht</w:t>
      </w:r>
      <w:proofErr w:type="spellEnd"/>
      <w:r>
        <w:t>, cyt. powyżej</w:t>
      </w:r>
      <w:bookmarkEnd w:id="23"/>
      <w:r>
        <w:t xml:space="preserve">, § 51 </w:t>
      </w:r>
      <w:bookmarkStart w:id="28" w:name="_cl40404THELAW"/>
      <w:r>
        <w:t>oraz</w:t>
      </w:r>
      <w:r>
        <w:rPr>
          <w:i/>
        </w:rPr>
        <w:t xml:space="preserve"> </w:t>
      </w:r>
      <w:proofErr w:type="spellStart"/>
      <w:r>
        <w:rPr>
          <w:i/>
        </w:rPr>
        <w:t>Akbay</w:t>
      </w:r>
      <w:proofErr w:type="spellEnd"/>
      <w:r>
        <w:rPr>
          <w:i/>
        </w:rPr>
        <w:t xml:space="preserve"> i Inni przeciwko Niemcom</w:t>
      </w:r>
      <w:bookmarkEnd w:id="28"/>
      <w:r>
        <w:t>, skargi nr 40495/15 i 2 inne, § 114, 15 października 2020 – wszystkie sprawy dotyczyły przestępstw narkotykowych).</w:t>
      </w:r>
    </w:p>
    <w:p w14:paraId="174C62F7" w14:textId="1724B163" w:rsidR="00622B18" w:rsidRDefault="00622B18">
      <w:pPr>
        <w:pStyle w:val="JuPara"/>
      </w:pPr>
      <w:fldSimple w:instr=" SEQ level0 \*arabic \* MERGEFORMAT ">
        <w:r>
          <w:t>75</w:t>
        </w:r>
      </w:fldSimple>
      <w:r>
        <w:t>.  We wcześniejszej sprawie dotyczącej przestępstwa fałszowania dokumentów tożsamości policja zamieściła w gazecie ogłoszenie z prośbą o</w:t>
      </w:r>
      <w:r w:rsidR="00A03BFC">
        <w:t> </w:t>
      </w:r>
      <w:r>
        <w:t>pomoc w uzyskaniu paszportów, na które odpowiedział ówczesny skarżący. Trybunał podkreślił, że organy najwyraźniej nie wiedziały o</w:t>
      </w:r>
      <w:r w:rsidR="00A03BFC">
        <w:t> </w:t>
      </w:r>
      <w:r>
        <w:t xml:space="preserve">wcześniejszym zaangażowaniu skarżącego w produkcję lub obrót fałszywymi dokumentami i nie dysponowały żadnymi obiektywnymi </w:t>
      </w:r>
      <w:r>
        <w:lastRenderedPageBreak/>
        <w:t>dowodami w tym zakresie. Po nawiązaniu przez skarżącego kontaktu w</w:t>
      </w:r>
      <w:r w:rsidR="00A03BFC">
        <w:t> </w:t>
      </w:r>
      <w:r>
        <w:t>odpowiedzi na ogłoszenie prasowe dalszy kontakt był podtrzymywany przez właściwego agenta pod przykryciem, który dopytywał o postępy w</w:t>
      </w:r>
      <w:r w:rsidR="00342128">
        <w:t> </w:t>
      </w:r>
      <w:r>
        <w:t>sprawie, nakłaniał skarżącego do działania w charakterze pośrednika i</w:t>
      </w:r>
      <w:r w:rsidR="00342128">
        <w:t> </w:t>
      </w:r>
      <w:r>
        <w:t>obiecywał mu w zamian korzyści finansowe. W świetle tych okoliczności Trybunał stwierdził, że skarżący był podżegany do podjęcia działalności przestępczej (</w:t>
      </w:r>
      <w:bookmarkStart w:id="29" w:name="_cl32238THELAW"/>
      <w:r>
        <w:t xml:space="preserve">zob. </w:t>
      </w:r>
      <w:proofErr w:type="spellStart"/>
      <w:r>
        <w:rPr>
          <w:i/>
        </w:rPr>
        <w:t>Morari</w:t>
      </w:r>
      <w:proofErr w:type="spellEnd"/>
      <w:r>
        <w:t>, cyt. powyżej, §§ 36–37).</w:t>
      </w:r>
    </w:p>
    <w:p w14:paraId="687D5600" w14:textId="669B553E" w:rsidR="00622B18" w:rsidRDefault="00622B18">
      <w:pPr>
        <w:pStyle w:val="JuPara"/>
      </w:pPr>
      <w:fldSimple w:instr=" SEQ level0 \*arabic \* MERGEFORMAT ">
        <w:r>
          <w:t>76</w:t>
        </w:r>
      </w:fldSimple>
      <w:r>
        <w:t>.  </w:t>
      </w:r>
      <w:r w:rsidR="00EC153A">
        <w:t>Wracając</w:t>
      </w:r>
      <w:r>
        <w:t xml:space="preserve"> do stanu faktycznego niniejszej sprawy, Trybunał odnotowuje, że skarżący nie zakwestionował twierdzenia Rządu, iż organy krajowe</w:t>
      </w:r>
      <w:r w:rsidR="00EC153A">
        <w:t>,</w:t>
      </w:r>
      <w:r>
        <w:t xml:space="preserve"> </w:t>
      </w:r>
      <w:r w:rsidR="00EC153A">
        <w:t xml:space="preserve">zanim uruchomiono tajną operację inwigilacyjną, </w:t>
      </w:r>
      <w:r>
        <w:t>dysponowały wcześniejszymi informacjami wskazującymi, że różne osoby prowadziły na określonych stronach internetowych rozmowy o</w:t>
      </w:r>
      <w:r w:rsidR="00342128">
        <w:t> </w:t>
      </w:r>
      <w:r>
        <w:t xml:space="preserve">charakterze seksualnym </w:t>
      </w:r>
      <w:r w:rsidR="00EC153A">
        <w:br/>
      </w:r>
      <w:r>
        <w:t xml:space="preserve">z małoletnimi poniżej 14. roku życia. Skarżący nie kwestionował ogólnej procedury wyrażania zgody na udział funkcjonariusza pod przykryciem ani nie zarzucał, że operacja nie była właściwie nadzorowana. Istotą jego zarzutu było natomiast to, że przed </w:t>
      </w:r>
      <w:r w:rsidR="00913FB9">
        <w:t>rozpoczęciem</w:t>
      </w:r>
      <w:r>
        <w:t xml:space="preserve"> tajnej operacji nie istniał</w:t>
      </w:r>
      <w:r w:rsidR="00913FB9">
        <w:t>y</w:t>
      </w:r>
      <w:r>
        <w:t xml:space="preserve"> </w:t>
      </w:r>
      <w:r w:rsidR="00913FB9">
        <w:t>żadne konkretne</w:t>
      </w:r>
      <w:r>
        <w:t xml:space="preserve"> podejrzeni</w:t>
      </w:r>
      <w:r w:rsidR="00913FB9">
        <w:t>a</w:t>
      </w:r>
      <w:r>
        <w:t xml:space="preserve"> </w:t>
      </w:r>
      <w:r w:rsidR="00913FB9">
        <w:t>wobec niego</w:t>
      </w:r>
      <w:r>
        <w:t>.</w:t>
      </w:r>
    </w:p>
    <w:p w14:paraId="2B5927A7" w14:textId="3940D03B" w:rsidR="00622B18" w:rsidRDefault="00622B18">
      <w:pPr>
        <w:pStyle w:val="JuPara"/>
      </w:pPr>
      <w:fldSimple w:instr=" SEQ level0 \*arabic \* MERGEFORMAT ">
        <w:r>
          <w:t>77</w:t>
        </w:r>
      </w:fldSimple>
      <w:r>
        <w:t>.  W każdym razie Trybunał zauważa, że Sąd Rejonowy w Harju zbadał akta tajnej operacji i ocenił jej ogólną zgodność z prawem, w</w:t>
      </w:r>
      <w:r w:rsidR="00342128">
        <w:t> </w:t>
      </w:r>
      <w:r>
        <w:t xml:space="preserve">tym </w:t>
      </w:r>
      <w:r w:rsidR="000B0E9B">
        <w:t>poprzez zweryfikowanie, że</w:t>
      </w:r>
      <w:r>
        <w:t xml:space="preserve"> istniało uzasadnione podejrzenie popełnienia przestępstwa (zob. paragrafy </w:t>
      </w:r>
      <w:r>
        <w:fldChar w:fldCharType="begin"/>
      </w:r>
      <w:r>
        <w:instrText xml:space="preserve">REF paragraph00013 \h \* CharFormat  \* MERGEFORMAT </w:instrText>
      </w:r>
      <w:r>
        <w:fldChar w:fldCharType="separate"/>
      </w:r>
      <w:r>
        <w:t>13</w:t>
      </w:r>
      <w:r>
        <w:fldChar w:fldCharType="end"/>
      </w:r>
      <w:r>
        <w:t>–</w:t>
      </w:r>
      <w:r>
        <w:fldChar w:fldCharType="begin"/>
      </w:r>
      <w:r>
        <w:instrText xml:space="preserve">REF paragraph00014 \h \* CharFormat  \* MERGEFORMAT </w:instrText>
      </w:r>
      <w:r>
        <w:fldChar w:fldCharType="separate"/>
      </w:r>
      <w:r>
        <w:t>14</w:t>
      </w:r>
      <w:r>
        <w:fldChar w:fldCharType="end"/>
      </w:r>
      <w:r>
        <w:t xml:space="preserve"> powyżej</w:t>
      </w:r>
      <w:r w:rsidR="000B0E9B">
        <w:t>,</w:t>
      </w:r>
      <w:r>
        <w:t xml:space="preserve"> por. </w:t>
      </w:r>
      <w:proofErr w:type="spellStart"/>
      <w:r>
        <w:rPr>
          <w:i/>
        </w:rPr>
        <w:t>Lagutin</w:t>
      </w:r>
      <w:proofErr w:type="spellEnd"/>
      <w:r>
        <w:rPr>
          <w:i/>
        </w:rPr>
        <w:t xml:space="preserve"> i Inni</w:t>
      </w:r>
      <w:r>
        <w:t xml:space="preserve">, cyt. powyżej, §§ 103–106, gdzie sądy krajowe nie zażądały wglądu ani nie zbadały wstępnych informacji operacyjnych </w:t>
      </w:r>
      <w:r w:rsidR="000B0E9B">
        <w:t>na temat</w:t>
      </w:r>
      <w:r>
        <w:t xml:space="preserve"> wcześniejsz</w:t>
      </w:r>
      <w:r w:rsidR="000B0E9B">
        <w:t>ego rzekomego zaangażowania</w:t>
      </w:r>
      <w:r>
        <w:t xml:space="preserve"> skarżących w hand</w:t>
      </w:r>
      <w:r w:rsidR="000B0E9B">
        <w:t>el</w:t>
      </w:r>
      <w:r>
        <w:t xml:space="preserve"> narkotykami). W dalszych środkach odwoławczych wniesionych w toku postępowania krajowego skarżący nie podnosił zarzutów dotyczących ogólnej zgodności z prawem tajnej operacji (</w:t>
      </w:r>
      <w:r w:rsidR="00A940AB">
        <w:t>co do</w:t>
      </w:r>
      <w:r>
        <w:t xml:space="preserve"> tego, jakimi wcześniejszymi informacjami – o ile w ogóle – dysponowały organy</w:t>
      </w:r>
      <w:r w:rsidR="00342128">
        <w:t xml:space="preserve"> ścigania</w:t>
      </w:r>
      <w:r>
        <w:t xml:space="preserve">, ogólnej konieczności przeprowadzenia operacji pod przykryciem ani tego, w jaki sposób, przez kogo i na jaki okres wyrażono zgodę na operację), nie </w:t>
      </w:r>
      <w:r w:rsidR="00A940AB">
        <w:t>podnosił również zarzutu niewystarczających</w:t>
      </w:r>
      <w:r>
        <w:t xml:space="preserve"> </w:t>
      </w:r>
      <w:r w:rsidR="00A940AB">
        <w:t>zabezpieczeń</w:t>
      </w:r>
      <w:r>
        <w:t xml:space="preserve"> proceduralnych. Jednakże </w:t>
      </w:r>
      <w:r w:rsidR="00A940AB">
        <w:t>w toku</w:t>
      </w:r>
      <w:r>
        <w:t xml:space="preserve"> postępowania krajowego (zob. paragrafy </w:t>
      </w:r>
      <w:r>
        <w:fldChar w:fldCharType="begin"/>
      </w:r>
      <w:r>
        <w:instrText xml:space="preserve">REF paragraph00017 \h \* CharFormat  \* MERGEFORMAT </w:instrText>
      </w:r>
      <w:r>
        <w:fldChar w:fldCharType="separate"/>
      </w:r>
      <w:r>
        <w:t>17</w:t>
      </w:r>
      <w:r>
        <w:fldChar w:fldCharType="end"/>
      </w:r>
      <w:r>
        <w:t xml:space="preserve"> i </w:t>
      </w:r>
      <w:r>
        <w:fldChar w:fldCharType="begin"/>
      </w:r>
      <w:r>
        <w:instrText xml:space="preserve">REF paragraph00021 \h \* CharFormat  \* MERGEFORMAT </w:instrText>
      </w:r>
      <w:r>
        <w:fldChar w:fldCharType="separate"/>
      </w:r>
      <w:r>
        <w:t>21</w:t>
      </w:r>
      <w:r>
        <w:fldChar w:fldCharType="end"/>
      </w:r>
      <w:r>
        <w:t xml:space="preserve"> powyżej) oraz przed Trybunałem skarżący zarzucał, że stał się celem prowokacji ze strony funkcjonariusz</w:t>
      </w:r>
      <w:r w:rsidR="00A940AB">
        <w:t>a</w:t>
      </w:r>
      <w:r>
        <w:t xml:space="preserve"> </w:t>
      </w:r>
      <w:r w:rsidR="00A940AB">
        <w:t>P</w:t>
      </w:r>
      <w:r>
        <w:t xml:space="preserve">olicji pod przykryciem oraz że przed skierowaniem tego funkcjonariusza do podjęcia czynności nie istniało obiektywne podejrzenie </w:t>
      </w:r>
      <w:r w:rsidR="002F2BAF">
        <w:t>wobec niego</w:t>
      </w:r>
      <w:r w:rsidR="001D6A95">
        <w:t xml:space="preserve"> </w:t>
      </w:r>
      <w:r>
        <w:t xml:space="preserve">osobiście. W tym kontekście fakt, że prowadzono dwa odrębne postępowania karne, na co powoływał się Rząd (zob. paragraf </w:t>
      </w:r>
      <w:r>
        <w:fldChar w:fldCharType="begin"/>
      </w:r>
      <w:r>
        <w:instrText xml:space="preserve"> REF paragraph00042 \h  \* CharFormat  \* MERGEFORMAT </w:instrText>
      </w:r>
      <w:r>
        <w:fldChar w:fldCharType="separate"/>
      </w:r>
      <w:r>
        <w:t>42</w:t>
      </w:r>
      <w:r>
        <w:fldChar w:fldCharType="end"/>
      </w:r>
      <w:r>
        <w:t xml:space="preserve"> powyżej), nie jest rozstrzygający, ponieważ tajna operacja kwestionowana przez skarżącego miała miejsce w toku obu postępowań.</w:t>
      </w:r>
    </w:p>
    <w:p w14:paraId="1652E97E" w14:textId="46F7B945" w:rsidR="00622B18" w:rsidRDefault="00622B18">
      <w:pPr>
        <w:pStyle w:val="JuPara"/>
      </w:pPr>
      <w:fldSimple w:instr=" SEQ level0 \*arabic \* MERGEFORMAT ">
        <w:r>
          <w:t>78</w:t>
        </w:r>
      </w:fldSimple>
      <w:r>
        <w:t xml:space="preserve">.  Oceniając wagę, jaką należy </w:t>
      </w:r>
      <w:r w:rsidR="001D6A95">
        <w:t>przywiązać do tego</w:t>
      </w:r>
      <w:r>
        <w:t xml:space="preserve">, że przed operacją policji pod przykryciem nie istniało obiektywne podejrzenie, iż to konkretnie skarżący dopuszczał się bezprawnego seksualnego uwodzenia małoletniego lub że był predysponowany do dokonywania takich czynów, Trybunał nie </w:t>
      </w:r>
      <w:r>
        <w:lastRenderedPageBreak/>
        <w:t>może pominąć szczególnego kontekstu, w jakim doszło do popełnienia przedmiotowego przestępstwa.</w:t>
      </w:r>
    </w:p>
    <w:p w14:paraId="05D4469E" w14:textId="6495AEE3" w:rsidR="00622B18" w:rsidRDefault="00622B18">
      <w:pPr>
        <w:pStyle w:val="JuPara"/>
      </w:pPr>
      <w:fldSimple w:instr=" SEQ level0 \*arabic \* MERGEFORMAT ">
        <w:r>
          <w:t>79</w:t>
        </w:r>
      </w:fldSimple>
      <w:r>
        <w:t xml:space="preserve">.  Trybunał odnotowuje, że ustawodawca estoński zdecydował się na kryminalizację czynu polegającego na świadomym seksualnym uwodzeniu małoletniego poniżej 14. roku życia (zob. paragraf </w:t>
      </w:r>
      <w:r>
        <w:fldChar w:fldCharType="begin"/>
      </w:r>
      <w:r>
        <w:instrText xml:space="preserve">REF paragraph00023 \h \* CharFormat  \* MERGEFORMAT </w:instrText>
      </w:r>
      <w:r>
        <w:fldChar w:fldCharType="separate"/>
      </w:r>
      <w:r>
        <w:t>23</w:t>
      </w:r>
      <w:r>
        <w:fldChar w:fldCharType="end"/>
      </w:r>
      <w:r>
        <w:t xml:space="preserve"> powyżej). Działania objęte </w:t>
      </w:r>
      <w:r w:rsidR="00C33613">
        <w:t>tym</w:t>
      </w:r>
      <w:r>
        <w:t xml:space="preserve"> przepis</w:t>
      </w:r>
      <w:r w:rsidR="00C33613">
        <w:t>em</w:t>
      </w:r>
      <w:r>
        <w:t xml:space="preserve"> nie muszą, jak się wydaje, przebiegać (częściowo ani w całości) w świecie fizycznym. Jak </w:t>
      </w:r>
      <w:r w:rsidR="00C33613">
        <w:t>pokazuje</w:t>
      </w:r>
      <w:r>
        <w:t xml:space="preserve"> niniejsza sprawa, </w:t>
      </w:r>
      <w:r w:rsidR="00C33613">
        <w:t>cała</w:t>
      </w:r>
      <w:r>
        <w:t xml:space="preserve"> komunikacja między sprawcą </w:t>
      </w:r>
      <w:r w:rsidR="00C33613">
        <w:t>i ofiarą</w:t>
      </w:r>
      <w:r>
        <w:t xml:space="preserve"> może odbywać się wyłącznie za pośrednictwem </w:t>
      </w:r>
      <w:r w:rsidR="00C33613">
        <w:t>środków</w:t>
      </w:r>
      <w:r>
        <w:t xml:space="preserve"> elektronicznych i</w:t>
      </w:r>
      <w:r w:rsidR="00342128">
        <w:t> </w:t>
      </w:r>
      <w:r>
        <w:t>w</w:t>
      </w:r>
      <w:r w:rsidR="00342128">
        <w:t> </w:t>
      </w:r>
      <w:r>
        <w:t xml:space="preserve">całości w </w:t>
      </w:r>
      <w:r w:rsidR="00C33613">
        <w:t>środowisku</w:t>
      </w:r>
      <w:r>
        <w:t xml:space="preserve"> internetowym, bez konieczności proponowania przez podejrzanego spotkania osobistego z małoletnim ani organizowania takiego spotkania (por. art. 23 Konwencji z Lanzarote, paragrafy </w:t>
      </w:r>
      <w:r>
        <w:fldChar w:fldCharType="begin"/>
      </w:r>
      <w:r>
        <w:instrText xml:space="preserve">REF paragraph00030 \h \* CharFormat  \* MERGEFORMAT </w:instrText>
      </w:r>
      <w:r>
        <w:fldChar w:fldCharType="separate"/>
      </w:r>
      <w:r>
        <w:t>30</w:t>
      </w:r>
      <w:r>
        <w:fldChar w:fldCharType="end"/>
      </w:r>
      <w:r>
        <w:t>–</w:t>
      </w:r>
      <w:r>
        <w:fldChar w:fldCharType="begin"/>
      </w:r>
      <w:r>
        <w:instrText xml:space="preserve">REF paragraph00031 \h \* CharFormat  \* MERGEFORMAT </w:instrText>
      </w:r>
      <w:r>
        <w:fldChar w:fldCharType="separate"/>
      </w:r>
      <w:r>
        <w:t>31</w:t>
      </w:r>
      <w:r>
        <w:fldChar w:fldCharType="end"/>
      </w:r>
      <w:r>
        <w:t xml:space="preserve"> powyżej). W istocie w niniejszej sprawie komunikacja między skarżącym a „Marleen12” odbywała się za pośrednictwem prywatnych wiadomości na czacie internetowym, gdzie obie strony posługiwały się pseudonimami.</w:t>
      </w:r>
    </w:p>
    <w:p w14:paraId="3BA5C595" w14:textId="501AD070" w:rsidR="00622B18" w:rsidRDefault="00622B18">
      <w:pPr>
        <w:pStyle w:val="JuPara"/>
      </w:pPr>
      <w:fldSimple w:instr=" SEQ level0 \*arabic \* MERGEFORMAT ">
        <w:r>
          <w:t>80</w:t>
        </w:r>
      </w:fldSimple>
      <w:r>
        <w:t xml:space="preserve">.  Kryminalizacja określonych zachowań sama w sobie ma ograniczony skutek odstraszający, jeżeli nie istnieją środki pozwalające na ustalenie tożsamości faktycznego sprawcy i pociągnięcie go do odpowiedzialności karnej. W tym kontekście Trybunał uznał, że pozytywne obowiązki państwa wynikające z art. 8 Konwencji w zakresie ochrony integralności fizycznej lub psychicznej jednostki mogą rozciągać się na kwestie związane ze skutecznością postępowania karnego, nawet w przypadkach, w których </w:t>
      </w:r>
      <w:r w:rsidR="002F2BAF">
        <w:t xml:space="preserve">nie chodzi o </w:t>
      </w:r>
      <w:r>
        <w:t>odpowiedzialność karn</w:t>
      </w:r>
      <w:r w:rsidR="002F2BAF">
        <w:t>ą</w:t>
      </w:r>
      <w:r>
        <w:t xml:space="preserve"> funkcjonariuszy publicznych (</w:t>
      </w:r>
      <w:bookmarkStart w:id="30" w:name="_cl28511THELAW"/>
      <w:r>
        <w:t xml:space="preserve">por. </w:t>
      </w:r>
      <w:r>
        <w:rPr>
          <w:i/>
        </w:rPr>
        <w:t>K.U. przeciwko Finlandii</w:t>
      </w:r>
      <w:bookmarkEnd w:id="30"/>
      <w:r>
        <w:t>, skarga nr 2872/02, § 46, ETPC 2008, dotyczący zaniechania zobowiązania usługodawcy do ujawnienia tożsamości osoby poszukiwanej za zamieszczenie nieprzyzwoitego ogłoszenia dotyczącego małoletniego na internetowym portalu randkowym). Ponadto skuteczne postępowanie karne wymaga podjęcia praktycznych i efektywnych kroków zmierzających do ustalenia tożsamości sprawców i ich ścigania (tamże, § 49). Trybunał przyznaje, że w sytuacji</w:t>
      </w:r>
      <w:r w:rsidR="00B62A53">
        <w:t>,</w:t>
      </w:r>
      <w:r>
        <w:t xml:space="preserve"> gdy komunikacja za pośrednictwem </w:t>
      </w:r>
      <w:proofErr w:type="spellStart"/>
      <w:r>
        <w:t>internetu</w:t>
      </w:r>
      <w:proofErr w:type="spellEnd"/>
      <w:r>
        <w:t xml:space="preserve"> ułatwia popełnianie przestępstwa lub gdy całość przedmiotowej działalności przestępczej odbywa się online, policja musi również korzystać ze środków komunikacji internetowej i narzędzi internetowych w celu prowadzenia postępowań i ścigania tych przestępstw.</w:t>
      </w:r>
    </w:p>
    <w:p w14:paraId="6199C915" w14:textId="1133270F" w:rsidR="00622B18" w:rsidRDefault="00622B18">
      <w:pPr>
        <w:pStyle w:val="JuPara"/>
      </w:pPr>
      <w:fldSimple w:instr=" SEQ level0 \*arabic \* MERGEFORMAT ">
        <w:r>
          <w:t>81</w:t>
        </w:r>
      </w:fldSimple>
      <w:r>
        <w:t>.  Trybunał uznaje, że w kontekście takim jak w niniejszej sprawie</w:t>
      </w:r>
      <w:r w:rsidR="002F2BAF">
        <w:t>,</w:t>
      </w:r>
      <w:r>
        <w:t xml:space="preserve"> </w:t>
      </w:r>
      <w:r w:rsidR="00055DF1">
        <w:t>może być niewykonalne</w:t>
      </w:r>
      <w:r w:rsidR="00055DF1">
        <w:t xml:space="preserve"> </w:t>
      </w:r>
      <w:r>
        <w:t>ustalenie przez organy władzy – po otrzymaniu informacji o potencjalnie bezprawnej działalności na stronie internetowej – możliwych podejrzanych przed rozpoczęciem operacji pod przykryciem, lub może wiązać się</w:t>
      </w:r>
      <w:r w:rsidR="00055DF1">
        <w:t xml:space="preserve"> to</w:t>
      </w:r>
      <w:r>
        <w:t xml:space="preserve"> z nieproporcjonalną ingerencją w prawa osób niezwiązanych z postępowaniem, w szczególności w prawo do poszanowania życia prywatnego. W tym kontekście Trybunał odnotowuje, że użytkownicy określonych stron internetowych, takich jak </w:t>
      </w:r>
      <w:r w:rsidR="00055DF1">
        <w:t>czaty</w:t>
      </w:r>
      <w:r>
        <w:t xml:space="preserve">, z reguły nie </w:t>
      </w:r>
      <w:r w:rsidR="00055DF1">
        <w:t>są zobowiązane do</w:t>
      </w:r>
      <w:r>
        <w:t xml:space="preserve"> ujawniania swojej rzeczywistej lub pełnej tożsamości </w:t>
      </w:r>
      <w:r w:rsidR="00055DF1">
        <w:br/>
      </w:r>
      <w:r>
        <w:t xml:space="preserve">i często tego nie czynią. Co więcej, użytkownicy mogą zmieniać swoje nazwy </w:t>
      </w:r>
      <w:r>
        <w:lastRenderedPageBreak/>
        <w:t>użytkownika, więcej niż jedna osoba może się „ukrywać” pod tą samą nazwą użytkownika</w:t>
      </w:r>
      <w:r w:rsidR="004004A1">
        <w:t xml:space="preserve"> oraz</w:t>
      </w:r>
      <w:r>
        <w:t xml:space="preserve"> ta sama nazwa użytkownika może być kolejno używana przez różne osoby. W przypadku gdy </w:t>
      </w:r>
      <w:r w:rsidR="004004A1">
        <w:t xml:space="preserve">przedmiotowe </w:t>
      </w:r>
      <w:r w:rsidR="004004A1">
        <w:t xml:space="preserve">bezprawne </w:t>
      </w:r>
      <w:r>
        <w:t xml:space="preserve">działania </w:t>
      </w:r>
      <w:r w:rsidR="004004A1">
        <w:t>dokonywane</w:t>
      </w:r>
      <w:r>
        <w:t xml:space="preserve"> się za pośrednictwem prywatnych wiadomości, choć w skądinąd</w:t>
      </w:r>
      <w:r w:rsidR="004004A1">
        <w:t xml:space="preserve"> na </w:t>
      </w:r>
      <w:r>
        <w:t xml:space="preserve">publicznym </w:t>
      </w:r>
      <w:r w:rsidR="004004A1">
        <w:t>czacie</w:t>
      </w:r>
      <w:r>
        <w:t xml:space="preserve">, mogą być </w:t>
      </w:r>
      <w:r w:rsidR="004004A1">
        <w:t xml:space="preserve">one </w:t>
      </w:r>
      <w:r>
        <w:t>niemożliwe do wykrycia (a tym samym niemożliwe do zgłoszenia) przez osoby trzecie.</w:t>
      </w:r>
    </w:p>
    <w:p w14:paraId="63C4104E" w14:textId="407DC456" w:rsidR="00622B18" w:rsidRDefault="00622B18">
      <w:pPr>
        <w:pStyle w:val="JuPara"/>
      </w:pPr>
      <w:fldSimple w:instr=" SEQ level0 \*arabic \* MERGEFORMAT ">
        <w:r>
          <w:t>82</w:t>
        </w:r>
      </w:fldSimple>
      <w:r>
        <w:t xml:space="preserve">.  Uwzględniając szczególny kontekst niniejszej sprawy, Trybunał stwierdza, że organy krajowe miały uzasadnione powody do wszczęcia tajnej operacji inwigilacyjnej. Otrzymały informacje wskazujące, że różne osoby dopuszczały się potencjalnego seksualnego uwodzenia małoletnich poniżej 14. roku życia na stronie internetowej www.armastusesaal.org i </w:t>
      </w:r>
      <w:r w:rsidR="004004A1">
        <w:t>miały obowiązek</w:t>
      </w:r>
      <w:r>
        <w:t xml:space="preserve"> podjęcia </w:t>
      </w:r>
      <w:r w:rsidR="004004A1">
        <w:t xml:space="preserve">dalszych </w:t>
      </w:r>
      <w:r>
        <w:t>działań w związku z tymi informacjami. Trybunał nie uznaje za rozstrzygając</w:t>
      </w:r>
      <w:r w:rsidR="004004A1">
        <w:t>e</w:t>
      </w:r>
      <w:r>
        <w:t xml:space="preserve">, że na tym etapie nie istniało obiektywne podejrzenie, iż to konkretnie skarżący brał udział w działalności przestępczej lub był predysponowany do dopuszczania się takiego zachowania (por. </w:t>
      </w:r>
      <w:proofErr w:type="spellStart"/>
      <w:r>
        <w:rPr>
          <w:i/>
        </w:rPr>
        <w:t>Morari</w:t>
      </w:r>
      <w:proofErr w:type="spellEnd"/>
      <w:r>
        <w:t xml:space="preserve">, cyt. powyżej, §§ 36–37, gdzie Trybunał wziął pod uwagę nie tylko brak wcześniejszego podejrzenia wobec skarżącego, ale także sposób przeprowadzenia operacji). Trybunał przyjmuje, że policja dysponowała obiektywnym podejrzeniem odnoszącym się do określonej </w:t>
      </w:r>
      <w:r w:rsidR="004004A1">
        <w:br/>
      </w:r>
      <w:r>
        <w:t>i ograniczonej przestrzeni wirtualnej – zidentyfikowanego czat</w:t>
      </w:r>
      <w:r w:rsidR="004004A1">
        <w:t>u</w:t>
      </w:r>
      <w:r>
        <w:t xml:space="preserve"> na konkretnej stronie internetowej – co zostało potwierdzone przez Sąd Rejonowy w Harju i nie było kwestionowane przez skarżącego. Ponadto, w okolicznościach niniejszej sprawy</w:t>
      </w:r>
      <w:r w:rsidR="00653BE6">
        <w:t>,</w:t>
      </w:r>
      <w:r>
        <w:t xml:space="preserve"> Trybunał uznaje za istotne, że podejrzenie dotyczyło przestępstwa popełnionego na szkodę małoletnich, którzy z uwagi na szczególną podatność na pokrzywdzenie mogą nie być w stanie zrozumieć, że </w:t>
      </w:r>
      <w:r w:rsidR="00653BE6">
        <w:t>są</w:t>
      </w:r>
      <w:r>
        <w:t xml:space="preserve"> ofiarami przestępstwa</w:t>
      </w:r>
      <w:r w:rsidR="00653BE6">
        <w:t xml:space="preserve"> i/</w:t>
      </w:r>
      <w:r>
        <w:t xml:space="preserve">lub </w:t>
      </w:r>
      <w:r w:rsidR="00653BE6">
        <w:t>po</w:t>
      </w:r>
      <w:r>
        <w:t>wiadomić o takich czynach.</w:t>
      </w:r>
    </w:p>
    <w:p w14:paraId="73B26CD4" w14:textId="55FE1D77" w:rsidR="00622B18" w:rsidRDefault="00FA04AD">
      <w:pPr>
        <w:pStyle w:val="JuHi"/>
        <w:spacing w:line="240" w:lineRule="auto"/>
      </w:pPr>
      <w:r>
        <w:t>Postępowanie</w:t>
      </w:r>
      <w:r w:rsidR="00000000">
        <w:t xml:space="preserve"> organów władzy podczas operacji</w:t>
      </w:r>
    </w:p>
    <w:p w14:paraId="1F0601D2" w14:textId="27559470" w:rsidR="00622B18" w:rsidRDefault="00622B18">
      <w:pPr>
        <w:pStyle w:val="JuPara"/>
      </w:pPr>
      <w:fldSimple w:instr=" SEQ level0 \*arabic \* MERGEFORMAT ">
        <w:r>
          <w:t>83</w:t>
        </w:r>
      </w:fldSimple>
      <w:r>
        <w:t xml:space="preserve">.  Po pierwsze, Trybunał zauważa, że fakt </w:t>
      </w:r>
      <w:r w:rsidR="003D4D3D">
        <w:t xml:space="preserve">przeprowadzenia </w:t>
      </w:r>
      <w:r>
        <w:t xml:space="preserve">operacji pod przykryciem </w:t>
      </w:r>
      <w:r w:rsidR="003D4D3D">
        <w:t xml:space="preserve">sam w sobie </w:t>
      </w:r>
      <w:r>
        <w:t>nie oznaczał, iż istniał zamiar poddania skarżącego prowokacji poprzez podżeganie go do popełnienia przestępstw, których w</w:t>
      </w:r>
      <w:r w:rsidR="00342128">
        <w:t> </w:t>
      </w:r>
      <w:r>
        <w:t xml:space="preserve">innym wypadku by nie popełnił. </w:t>
      </w:r>
      <w:r w:rsidR="003D4D3D">
        <w:t>O</w:t>
      </w:r>
      <w:r w:rsidR="003D4D3D">
        <w:t xml:space="preserve">peracje </w:t>
      </w:r>
      <w:r w:rsidR="003D4D3D">
        <w:t>t</w:t>
      </w:r>
      <w:r>
        <w:t xml:space="preserve">ego rodzaju </w:t>
      </w:r>
      <w:r w:rsidR="003D4D3D">
        <w:t xml:space="preserve">są </w:t>
      </w:r>
      <w:r>
        <w:t xml:space="preserve">ze swej natury </w:t>
      </w:r>
      <w:r w:rsidR="003D4D3D">
        <w:t>realizowane w</w:t>
      </w:r>
      <w:r>
        <w:t xml:space="preserve"> celu </w:t>
      </w:r>
      <w:r w:rsidR="003D4D3D">
        <w:t>zebrania</w:t>
      </w:r>
      <w:r>
        <w:t xml:space="preserve"> informacji i dowodów oraz wiążą się z</w:t>
      </w:r>
      <w:r w:rsidR="00342128">
        <w:t> </w:t>
      </w:r>
      <w:r>
        <w:t>przyjmowaniem fałszywych tożsamości.</w:t>
      </w:r>
    </w:p>
    <w:p w14:paraId="4480920E" w14:textId="1F9EB6ED" w:rsidR="00622B18" w:rsidRDefault="00622B18">
      <w:pPr>
        <w:pStyle w:val="JuPara"/>
      </w:pPr>
      <w:fldSimple w:instr=" SEQ level0 \*arabic \* MERGEFORMAT ">
        <w:r>
          <w:t>84</w:t>
        </w:r>
      </w:fldSimple>
      <w:r>
        <w:t xml:space="preserve">.  Po drugie, Trybunał podkreśla, że czynności </w:t>
      </w:r>
      <w:r w:rsidR="003D4D3D">
        <w:t>przeprowadzone</w:t>
      </w:r>
      <w:r>
        <w:t xml:space="preserve"> przez policję – utworzenie profilu użytkownika </w:t>
      </w:r>
      <w:r w:rsidR="003D4D3D">
        <w:t>na czacie</w:t>
      </w:r>
      <w:r>
        <w:t>, logowanie się i</w:t>
      </w:r>
      <w:r w:rsidR="00342128">
        <w:t> </w:t>
      </w:r>
      <w:r>
        <w:t xml:space="preserve">prowadzenie rozmów z innymi osobami za pośrednictwem wiadomości prywatnych – same w sobie nie stanowiły działalności bezprawnej ani nie zakładały nielegalnych działań ze strony osoby, z którą policja się komunikowała (por. np. sytuację, w której funkcjonariusz </w:t>
      </w:r>
      <w:r w:rsidR="00534CF7">
        <w:t>P</w:t>
      </w:r>
      <w:r>
        <w:t xml:space="preserve">olicji pod przykryciem zwrócił się do podejrzanego z zamiarem zakupu nielegalnych narkotyków; zob. </w:t>
      </w:r>
      <w:proofErr w:type="spellStart"/>
      <w:r>
        <w:rPr>
          <w:i/>
        </w:rPr>
        <w:t>Volkov</w:t>
      </w:r>
      <w:proofErr w:type="spellEnd"/>
      <w:r>
        <w:rPr>
          <w:i/>
        </w:rPr>
        <w:t xml:space="preserve"> i </w:t>
      </w:r>
      <w:proofErr w:type="spellStart"/>
      <w:r>
        <w:rPr>
          <w:i/>
        </w:rPr>
        <w:t>Adamskiy</w:t>
      </w:r>
      <w:proofErr w:type="spellEnd"/>
      <w:r>
        <w:t>, cyt. powyżej, §§ 38–42</w:t>
      </w:r>
      <w:r w:rsidR="00534CF7">
        <w:t>,</w:t>
      </w:r>
      <w:r>
        <w:t xml:space="preserve"> zob. także </w:t>
      </w:r>
      <w:proofErr w:type="spellStart"/>
      <w:r>
        <w:rPr>
          <w:i/>
        </w:rPr>
        <w:t>Kuzmickaja</w:t>
      </w:r>
      <w:proofErr w:type="spellEnd"/>
      <w:r>
        <w:rPr>
          <w:i/>
        </w:rPr>
        <w:t xml:space="preserve"> przeciwko Litwie</w:t>
      </w:r>
      <w:r>
        <w:t xml:space="preserve"> (</w:t>
      </w:r>
      <w:proofErr w:type="spellStart"/>
      <w:r>
        <w:t>dec</w:t>
      </w:r>
      <w:proofErr w:type="spellEnd"/>
      <w:r>
        <w:t xml:space="preserve">.), skarga nr 27968/03, 10 czerwca 2018). W odpowiedzi na argument skarżącego (zob. paragraf </w:t>
      </w:r>
      <w:r>
        <w:fldChar w:fldCharType="begin"/>
      </w:r>
      <w:r>
        <w:instrText xml:space="preserve">REF paragraph00037 \h \* CharFormat  \* MERGEFORMAT </w:instrText>
      </w:r>
      <w:r>
        <w:fldChar w:fldCharType="separate"/>
      </w:r>
      <w:r>
        <w:t>37</w:t>
      </w:r>
      <w:r>
        <w:fldChar w:fldCharType="end"/>
      </w:r>
      <w:r>
        <w:t xml:space="preserve"> powyżej) Trybunał </w:t>
      </w:r>
      <w:r>
        <w:lastRenderedPageBreak/>
        <w:t xml:space="preserve">nie uznaje, </w:t>
      </w:r>
      <w:r w:rsidR="00534CF7">
        <w:t>że</w:t>
      </w:r>
      <w:r>
        <w:t xml:space="preserve"> użycie nazwy użytkownika „Marleen12" stanowiło bezprawne podżeganie ze strony policji. Jakkolwiek nazwa ta mogła sugerować wiek danej osoby (jak zauważyły sądy krajowe, nazwa użytkownika samego skarżącego – „m41tln" – również wskazywała na jego wiek, zob. paragraf </w:t>
      </w:r>
      <w:r>
        <w:fldChar w:fldCharType="begin"/>
      </w:r>
      <w:r>
        <w:instrText xml:space="preserve"> REF paragraph00016 \h  \* CharFormat  \* MERGEFORMAT </w:instrText>
      </w:r>
      <w:r>
        <w:fldChar w:fldCharType="separate"/>
      </w:r>
      <w:r>
        <w:t>16</w:t>
      </w:r>
      <w:r>
        <w:fldChar w:fldCharType="end"/>
      </w:r>
      <w:r>
        <w:t xml:space="preserve"> powyżej), w żaden sposób nie zachęcała ona do komunikacji o </w:t>
      </w:r>
      <w:r w:rsidR="00342128">
        <w:t>wyraźnie</w:t>
      </w:r>
      <w:r>
        <w:t xml:space="preserve"> seksualnym charakterze.</w:t>
      </w:r>
    </w:p>
    <w:p w14:paraId="137008D7" w14:textId="5A661B07" w:rsidR="00622B18" w:rsidRDefault="00622B18">
      <w:pPr>
        <w:pStyle w:val="JuPara"/>
      </w:pPr>
      <w:fldSimple w:instr=" SEQ level0 \*arabic \* MERGEFORMAT ">
        <w:r>
          <w:t>85</w:t>
        </w:r>
      </w:fldSimple>
      <w:r>
        <w:t xml:space="preserve">.  Ponadto Trybunał </w:t>
      </w:r>
      <w:r w:rsidR="00534CF7">
        <w:t>zauważa</w:t>
      </w:r>
      <w:r>
        <w:t>, że skarżący miał swobodę wyboru, czy komunikować się z „Marleen12" (za pośrednictwem wiadomości prywatnych czy na czacie ogólnym) oraz swobodę wyboru tematów rozmowy. Miał również swobodę podejmowania decyzji w tym zakresie po tym, jak „Marleen12" oświadczyła na początku pierwszej rozmowy w dniu 8</w:t>
      </w:r>
      <w:r w:rsidR="003C24B3">
        <w:t> </w:t>
      </w:r>
      <w:r>
        <w:t xml:space="preserve">października 2019 r., że ma 12 lat (zob. paragraf </w:t>
      </w:r>
      <w:r>
        <w:fldChar w:fldCharType="begin"/>
      </w:r>
      <w:r>
        <w:instrText xml:space="preserve"> REF paragraph00010 \h  \* CharFormat  \* MERGEFORMAT </w:instrText>
      </w:r>
      <w:r>
        <w:fldChar w:fldCharType="separate"/>
      </w:r>
      <w:r>
        <w:t>10</w:t>
      </w:r>
      <w:r>
        <w:fldChar w:fldCharType="end"/>
      </w:r>
      <w:r>
        <w:t xml:space="preserve"> powyżej). Mimo to skarżący wielokrotnie uczestniczył w rozmowach na czacie z „Marleen12” w okresie od 8 października 2019 r. do 8 grudnia 2019 r. i – jak zauważyły sądy krajowe – to zawsze skarżący inicjował rozmowy na czacie. Podobnie, to zawsze skarżący wprowadzał do rozmów między nim a „Marleen12” wątki o wyraźnie seksualnym charakterze. Skarżący nie </w:t>
      </w:r>
      <w:r w:rsidR="00545A74">
        <w:t>zgłaszał zastrzeżeń</w:t>
      </w:r>
      <w:r>
        <w:t xml:space="preserve"> ani w postępowaniu krajowym, ani w postępowaniu przed Trybunałem</w:t>
      </w:r>
      <w:r w:rsidR="00545A74">
        <w:t>, co do</w:t>
      </w:r>
      <w:r>
        <w:t xml:space="preserve"> przebiegu rozmów pod kątem poruszanych tematów. Nie </w:t>
      </w:r>
      <w:r w:rsidR="00545A74">
        <w:t>zgłaszał również zastrzeżeń co do tego</w:t>
      </w:r>
      <w:r>
        <w:t>, że</w:t>
      </w:r>
      <w:r w:rsidR="003C24B3">
        <w:t> </w:t>
      </w:r>
      <w:r>
        <w:t xml:space="preserve">funkcjonariusz </w:t>
      </w:r>
      <w:r w:rsidR="00545A74">
        <w:t>P</w:t>
      </w:r>
      <w:r>
        <w:t>olicji pod przykryciem zachęcał go do poruszania kwestii o charakterze seksualnym.</w:t>
      </w:r>
    </w:p>
    <w:p w14:paraId="4C0FED35" w14:textId="33B37AEA" w:rsidR="00622B18" w:rsidRDefault="00622B18">
      <w:pPr>
        <w:pStyle w:val="JuPara"/>
      </w:pPr>
      <w:fldSimple w:instr=" SEQ level0 \*arabic \* MERGEFORMAT ">
        <w:r>
          <w:t>86</w:t>
        </w:r>
      </w:fldSimple>
      <w:r>
        <w:t xml:space="preserve">.  W świetle powyższego Trybunał stwierdza, że </w:t>
      </w:r>
      <w:r w:rsidR="00545A74">
        <w:t>podczas</w:t>
      </w:r>
      <w:r>
        <w:t xml:space="preserve"> cał</w:t>
      </w:r>
      <w:r w:rsidR="00545A74">
        <w:t>ej</w:t>
      </w:r>
      <w:r>
        <w:t xml:space="preserve"> operacji funkcjonariusz </w:t>
      </w:r>
      <w:r w:rsidR="00545A74">
        <w:t>P</w:t>
      </w:r>
      <w:r>
        <w:t xml:space="preserve">olicji działający pod przykryciem nie odstąpił od wymaganej postawy biernej oraz że skarżący nie był poddany jakiejkolwiek wyraźnej ani dorozumianej presji </w:t>
      </w:r>
      <w:r w:rsidR="00930123">
        <w:t>by</w:t>
      </w:r>
      <w:r>
        <w:t xml:space="preserve"> popełni</w:t>
      </w:r>
      <w:r w:rsidR="00930123">
        <w:t>ć</w:t>
      </w:r>
      <w:r>
        <w:t xml:space="preserve"> przestępstw</w:t>
      </w:r>
      <w:r w:rsidR="00930123">
        <w:t>o</w:t>
      </w:r>
      <w:r>
        <w:t>.</w:t>
      </w:r>
    </w:p>
    <w:p w14:paraId="1A0BE093" w14:textId="77777777" w:rsidR="00622B18" w:rsidRDefault="00000000">
      <w:pPr>
        <w:pStyle w:val="JuHi"/>
        <w:spacing w:line="240" w:lineRule="auto"/>
      </w:pPr>
      <w:r>
        <w:t>Podsumowanie</w:t>
      </w:r>
    </w:p>
    <w:p w14:paraId="54B32478" w14:textId="1B4AF956" w:rsidR="00622B18" w:rsidRDefault="00622B18">
      <w:pPr>
        <w:pStyle w:val="JuPara"/>
      </w:pPr>
      <w:fldSimple w:instr=" SEQ level0 \*arabic \* MERGEFORMAT ">
        <w:r>
          <w:t>87</w:t>
        </w:r>
      </w:fldSimple>
      <w:r>
        <w:t>.  Trybunał uznaje, że dostępny materiał pozwala mu stwierdzić, iż</w:t>
      </w:r>
      <w:r w:rsidR="003C24B3">
        <w:t> </w:t>
      </w:r>
      <w:r>
        <w:t xml:space="preserve">udział funkcjonariusza </w:t>
      </w:r>
      <w:r w:rsidR="00E94B9C">
        <w:t>P</w:t>
      </w:r>
      <w:r>
        <w:t>olicji pod przykryciem w niniejszej sprawie nie stanowił podżegania w rozumieniu orzecznictwa Trybunału dotyczącego art.</w:t>
      </w:r>
      <w:r w:rsidR="003C24B3">
        <w:t> </w:t>
      </w:r>
      <w:r>
        <w:t>6 ust. 1 Konwencji. Późniejsze wykorzystanie w postępowaniu karnym przeciwko skarżącemu dowodów uzyskanych w wyniku zastosowania czynności operacyjnych pod przykryciem nie budzi zatem wątpliwości na gruncie art. 6 ust. 1.</w:t>
      </w:r>
    </w:p>
    <w:p w14:paraId="778AEADA" w14:textId="77777777" w:rsidR="00622B18" w:rsidRDefault="00622B18">
      <w:pPr>
        <w:pStyle w:val="JuPara"/>
      </w:pPr>
      <w:fldSimple w:instr=" SEQ level0 \*arabic \* MERGEFORMAT ">
        <w:r>
          <w:t>88</w:t>
        </w:r>
      </w:fldSimple>
      <w:r>
        <w:t>.  W związku z powyższym nie doszło do naruszenia art. 6 ust. 1 Konwencji w odniesieniu do zarzutu prowokacji podniesionego przez skarżącego.</w:t>
      </w:r>
      <w:bookmarkEnd w:id="22"/>
      <w:bookmarkEnd w:id="24"/>
      <w:bookmarkEnd w:id="29"/>
    </w:p>
    <w:p w14:paraId="2760B68A" w14:textId="77777777" w:rsidR="00622B18" w:rsidRDefault="00000000">
      <w:pPr>
        <w:pStyle w:val="JuHHead"/>
        <w:numPr>
          <w:ilvl w:val="0"/>
          <w:numId w:val="1"/>
        </w:numPr>
        <w:ind w:left="360" w:hanging="360"/>
      </w:pPr>
      <w:r>
        <w:t>Z TYCH PRZYCZYN TRYBUNAŁ</w:t>
      </w:r>
    </w:p>
    <w:p w14:paraId="4447A406" w14:textId="4AE3EA74" w:rsidR="00622B18" w:rsidRDefault="00000000">
      <w:pPr>
        <w:pStyle w:val="JuList"/>
      </w:pPr>
      <w:r>
        <w:rPr>
          <w:i/>
        </w:rPr>
        <w:t>Uznaje</w:t>
      </w:r>
      <w:r w:rsidR="00E94B9C">
        <w:rPr>
          <w:i/>
        </w:rPr>
        <w:t>,</w:t>
      </w:r>
      <w:r>
        <w:t xml:space="preserve"> jednogłośnie</w:t>
      </w:r>
      <w:r w:rsidR="00E94B9C">
        <w:t>,</w:t>
      </w:r>
      <w:r>
        <w:t xml:space="preserve"> skargę za dopuszczalną;</w:t>
      </w:r>
    </w:p>
    <w:p w14:paraId="0B6C567F" w14:textId="77777777" w:rsidR="00622B18" w:rsidRDefault="00000000">
      <w:pPr>
        <w:pStyle w:val="JuList"/>
      </w:pPr>
      <w:r>
        <w:rPr>
          <w:i/>
        </w:rPr>
        <w:t>Orzeka</w:t>
      </w:r>
      <w:r>
        <w:t>, sześcioma głosami do jednego, że nie doszło do naruszenia artykułu 6 ust. 1 Konwencji.</w:t>
      </w:r>
    </w:p>
    <w:p w14:paraId="563EF138" w14:textId="77777777" w:rsidR="00622B18" w:rsidRDefault="00000000">
      <w:pPr>
        <w:pStyle w:val="JuParaLast"/>
      </w:pPr>
      <w:r>
        <w:lastRenderedPageBreak/>
        <w:t xml:space="preserve">Sporządzono w języku angielskim i obwieszczono pisemnie w dniu </w:t>
      </w:r>
      <w:r>
        <w:rPr>
          <w:rFonts w:ascii="Times New Roman" w:hAnsi="Times New Roman" w:cs="Times New Roman"/>
        </w:rPr>
        <w:t>7 października 2025 r</w:t>
      </w:r>
      <w:r>
        <w:t>., zgodnie z Regułą 77 §§ 2 i 3 Regulaminu Trybunału.</w:t>
      </w:r>
    </w:p>
    <w:p w14:paraId="47B8DC31" w14:textId="77777777" w:rsidR="00622B18" w:rsidRDefault="00000000">
      <w:pPr>
        <w:pStyle w:val="ECHRPlaceholder"/>
      </w:pPr>
      <w:r>
        <w:tab/>
      </w:r>
    </w:p>
    <w:p w14:paraId="19E41E64" w14:textId="77777777" w:rsidR="00622B18" w:rsidRDefault="00000000">
      <w:pPr>
        <w:pStyle w:val="JuSigned"/>
        <w:spacing w:before="600"/>
      </w:pPr>
      <w:r>
        <w:tab/>
        <w:t xml:space="preserve">Milan </w:t>
      </w:r>
      <w:proofErr w:type="spellStart"/>
      <w:r>
        <w:t>Blaško</w:t>
      </w:r>
      <w:proofErr w:type="spellEnd"/>
      <w:r>
        <w:tab/>
      </w:r>
      <w:proofErr w:type="spellStart"/>
      <w:r>
        <w:t>Ioannis</w:t>
      </w:r>
      <w:proofErr w:type="spellEnd"/>
      <w:r>
        <w:t xml:space="preserve"> </w:t>
      </w:r>
      <w:proofErr w:type="spellStart"/>
      <w:r>
        <w:t>Ktistakis</w:t>
      </w:r>
      <w:proofErr w:type="spellEnd"/>
      <w:r>
        <w:br/>
      </w:r>
      <w:r>
        <w:tab/>
        <w:t>Kanclerz</w:t>
      </w:r>
      <w:r>
        <w:tab/>
        <w:t>Przewodniczący</w:t>
      </w:r>
    </w:p>
    <w:p w14:paraId="5F6EACF5" w14:textId="77777777" w:rsidR="00622B18" w:rsidRDefault="00622B18">
      <w:pPr>
        <w:pStyle w:val="JuPara"/>
      </w:pPr>
    </w:p>
    <w:p w14:paraId="33EE098C" w14:textId="77777777" w:rsidR="00622B18" w:rsidRDefault="00622B18">
      <w:pPr>
        <w:pStyle w:val="JuPara"/>
      </w:pPr>
    </w:p>
    <w:p w14:paraId="4DF111D5" w14:textId="77777777" w:rsidR="00622B18" w:rsidRDefault="00000000">
      <w:pPr>
        <w:pStyle w:val="JuParaLast"/>
      </w:pPr>
      <w:r>
        <w:t>Zgodnie z art. 45 ust. 2 Konwencji oraz Regułą 74 § 2 Regulaminu Trybunału, do niniejszego wyroku załączono następujące opinie odrębne:</w:t>
      </w:r>
    </w:p>
    <w:p w14:paraId="3445E748" w14:textId="77777777" w:rsidR="00622B18" w:rsidRDefault="00000000">
      <w:pPr>
        <w:pStyle w:val="JuPara"/>
      </w:pPr>
      <w:r>
        <w:t xml:space="preserve">(a) opinia zgodna sędziego </w:t>
      </w:r>
      <w:proofErr w:type="spellStart"/>
      <w:r>
        <w:t>Pavliego</w:t>
      </w:r>
      <w:proofErr w:type="spellEnd"/>
      <w:r>
        <w:t>;</w:t>
      </w:r>
    </w:p>
    <w:p w14:paraId="78C672E5" w14:textId="77777777" w:rsidR="00622B18" w:rsidRDefault="00000000">
      <w:pPr>
        <w:pStyle w:val="JuPara"/>
      </w:pPr>
      <w:r>
        <w:t xml:space="preserve">(b) opinia odrębna sędzi </w:t>
      </w:r>
      <w:proofErr w:type="spellStart"/>
      <w:r>
        <w:t>Mingorance</w:t>
      </w:r>
      <w:proofErr w:type="spellEnd"/>
      <w:r>
        <w:t xml:space="preserve"> </w:t>
      </w:r>
      <w:proofErr w:type="spellStart"/>
      <w:r>
        <w:t>Cairat</w:t>
      </w:r>
      <w:proofErr w:type="spellEnd"/>
      <w:r>
        <w:t>.</w:t>
      </w:r>
    </w:p>
    <w:p w14:paraId="7032AECE" w14:textId="77777777" w:rsidR="00622B18" w:rsidRDefault="00622B18">
      <w:pPr>
        <w:pStyle w:val="JuPara"/>
      </w:pPr>
    </w:p>
    <w:p w14:paraId="6368F92A" w14:textId="77777777" w:rsidR="00622B18" w:rsidRDefault="00622B18">
      <w:pPr>
        <w:pStyle w:val="JuPara"/>
        <w:sectPr w:rsidR="00622B18"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4D2BA27D" w14:textId="77777777" w:rsidR="00622B18" w:rsidRDefault="00000000">
      <w:pPr>
        <w:pStyle w:val="P68B1DB1-DecHTitle8"/>
      </w:pPr>
      <w:r>
        <w:lastRenderedPageBreak/>
        <w:t>OPINIA ZGODNA SĘDZIEGO PAVLIEGO</w:t>
      </w:r>
    </w:p>
    <w:p w14:paraId="1E057446" w14:textId="5988BB07" w:rsidR="00622B18" w:rsidRDefault="00000000">
      <w:pPr>
        <w:pStyle w:val="JuPara"/>
        <w:rPr>
          <w:rStyle w:val="Odwoaniedokomentarza"/>
          <w:sz w:val="24"/>
        </w:rPr>
      </w:pPr>
      <w:r>
        <w:rPr>
          <w:rStyle w:val="Odwoaniedokomentarza"/>
          <w:sz w:val="24"/>
        </w:rPr>
        <w:t>1. Nie bez pewnego wahania przyłączyłem się do większości w</w:t>
      </w:r>
      <w:r w:rsidR="003C24B3">
        <w:rPr>
          <w:rStyle w:val="Odwoaniedokomentarza"/>
          <w:sz w:val="24"/>
        </w:rPr>
        <w:t> </w:t>
      </w:r>
      <w:r>
        <w:rPr>
          <w:rStyle w:val="Odwoaniedokomentarza"/>
          <w:sz w:val="24"/>
        </w:rPr>
        <w:t>stwierdzeniu, że nie doszło do naruszenia art. 6 ust. 1 Konwencji w</w:t>
      </w:r>
      <w:r w:rsidR="003C24B3">
        <w:rPr>
          <w:rStyle w:val="Odwoaniedokomentarza"/>
          <w:sz w:val="24"/>
        </w:rPr>
        <w:t> </w:t>
      </w:r>
      <w:r>
        <w:rPr>
          <w:rStyle w:val="Odwoaniedokomentarza"/>
          <w:sz w:val="24"/>
        </w:rPr>
        <w:t>odniesieniu do zarzutu prowokacji policyjnej w niniejszej sprawie.</w:t>
      </w:r>
    </w:p>
    <w:p w14:paraId="524A5342" w14:textId="2BE7F539" w:rsidR="00622B18" w:rsidRDefault="00000000">
      <w:pPr>
        <w:pStyle w:val="JuPara"/>
        <w:rPr>
          <w:rStyle w:val="Odwoaniedokomentarza"/>
          <w:sz w:val="24"/>
        </w:rPr>
      </w:pPr>
      <w:r>
        <w:rPr>
          <w:rStyle w:val="Odwoaniedokomentarza"/>
          <w:sz w:val="24"/>
        </w:rPr>
        <w:t xml:space="preserve">2. Dzisiejsze rozstrzygnięcie wykracza poza dotychczasowe orzecznictwo, tworząc nową podstawę dla operacji z udziałem </w:t>
      </w:r>
      <w:r w:rsidR="001D42E9">
        <w:rPr>
          <w:rStyle w:val="Odwoaniedokomentarza"/>
          <w:sz w:val="24"/>
        </w:rPr>
        <w:t xml:space="preserve">agentów </w:t>
      </w:r>
      <w:r>
        <w:rPr>
          <w:rStyle w:val="Odwoaniedokomentarza"/>
          <w:sz w:val="24"/>
        </w:rPr>
        <w:t xml:space="preserve">prowokatorów </w:t>
      </w:r>
      <w:r>
        <w:rPr>
          <w:rStyle w:val="Odwoaniedokomentarza"/>
          <w:rFonts w:cstheme="minorHAnsi"/>
          <w:i/>
          <w:sz w:val="24"/>
        </w:rPr>
        <w:t xml:space="preserve">(agent </w:t>
      </w:r>
      <w:proofErr w:type="spellStart"/>
      <w:r>
        <w:rPr>
          <w:rStyle w:val="Odwoaniedokomentarza"/>
          <w:rFonts w:cstheme="minorHAnsi"/>
          <w:i/>
          <w:sz w:val="24"/>
        </w:rPr>
        <w:t>provocateur</w:t>
      </w:r>
      <w:proofErr w:type="spellEnd"/>
      <w:r>
        <w:rPr>
          <w:rStyle w:val="Odwoaniedokomentarza"/>
          <w:rFonts w:cstheme="minorHAnsi"/>
          <w:i/>
          <w:sz w:val="24"/>
        </w:rPr>
        <w:t>)</w:t>
      </w:r>
      <w:r>
        <w:rPr>
          <w:rStyle w:val="Odwoaniedokomentarza"/>
          <w:sz w:val="24"/>
        </w:rPr>
        <w:t xml:space="preserve"> w środowisku internetowym – taką mianowicie, która nie wymaga uprzedniego istnienia zindywidualizowanego podejrzenia wobec konkretnej osoby jako elementu niezbędnego dla wyrażenia zgody na operację</w:t>
      </w:r>
      <w:r>
        <w:rPr>
          <w:rStyle w:val="Odwoanieprzypisudolnego"/>
          <w:rFonts w:cstheme="minorHAnsi"/>
        </w:rPr>
        <w:footnoteReference w:id="1"/>
      </w:r>
      <w:r>
        <w:rPr>
          <w:rStyle w:val="Odwoaniedokomentarza"/>
          <w:sz w:val="24"/>
        </w:rPr>
        <w:t>. Zgodnie z nowym uzasadnieniem tego rodzaju operacje byłyby dopuszczalne w sprawach dotyczących „określonej i</w:t>
      </w:r>
      <w:r w:rsidR="001D42E9">
        <w:rPr>
          <w:rStyle w:val="Odwoaniedokomentarza"/>
          <w:sz w:val="24"/>
        </w:rPr>
        <w:t> </w:t>
      </w:r>
      <w:r>
        <w:rPr>
          <w:rStyle w:val="Odwoaniedokomentarza"/>
          <w:sz w:val="24"/>
        </w:rPr>
        <w:t>ograniczonej przestrzeni wirtualnej" (zob. paragraf 82 niniejszego wyroku).</w:t>
      </w:r>
    </w:p>
    <w:p w14:paraId="0868DCCD" w14:textId="7B24A5A0" w:rsidR="00622B18" w:rsidRDefault="00000000">
      <w:pPr>
        <w:pStyle w:val="JuPara"/>
        <w:rPr>
          <w:rStyle w:val="Odwoaniedokomentarza"/>
          <w:sz w:val="24"/>
        </w:rPr>
      </w:pPr>
      <w:r>
        <w:rPr>
          <w:rStyle w:val="Odwoaniedokomentarza"/>
          <w:sz w:val="24"/>
        </w:rPr>
        <w:t xml:space="preserve">3. Mam wątpliwości, czy samo to kryterium byłoby wystarczające do zapobieżenia nadużyciom ze strony policji, w szczególności w postaci </w:t>
      </w:r>
      <w:r w:rsidR="00AD18A0">
        <w:rPr>
          <w:rStyle w:val="Odwoaniedokomentarza"/>
          <w:sz w:val="24"/>
        </w:rPr>
        <w:t>„polowania na czarownice”</w:t>
      </w:r>
      <w:r>
        <w:rPr>
          <w:rStyle w:val="Odwoaniedokomentarza"/>
          <w:sz w:val="24"/>
        </w:rPr>
        <w:t xml:space="preserve"> (</w:t>
      </w:r>
      <w:proofErr w:type="spellStart"/>
      <w:r>
        <w:rPr>
          <w:rStyle w:val="Odwoaniedokomentarza"/>
          <w:sz w:val="24"/>
        </w:rPr>
        <w:t>fishing</w:t>
      </w:r>
      <w:proofErr w:type="spellEnd"/>
      <w:r>
        <w:rPr>
          <w:rStyle w:val="Odwoaniedokomentarza"/>
          <w:sz w:val="24"/>
        </w:rPr>
        <w:t xml:space="preserve"> </w:t>
      </w:r>
      <w:proofErr w:type="spellStart"/>
      <w:r>
        <w:rPr>
          <w:rStyle w:val="Odwoaniedokomentarza"/>
          <w:sz w:val="24"/>
        </w:rPr>
        <w:t>expeditions</w:t>
      </w:r>
      <w:proofErr w:type="spellEnd"/>
      <w:r>
        <w:rPr>
          <w:rStyle w:val="Odwoaniedokomentarza"/>
          <w:sz w:val="24"/>
        </w:rPr>
        <w:t>) lub innych metod równoznacznych z wyrywkowym „</w:t>
      </w:r>
      <w:r w:rsidR="00303843">
        <w:rPr>
          <w:rStyle w:val="Odwoaniedokomentarza"/>
          <w:sz w:val="24"/>
        </w:rPr>
        <w:t>sprawdzaniem moralności</w:t>
      </w:r>
      <w:r>
        <w:rPr>
          <w:rStyle w:val="Odwoaniedokomentarza"/>
          <w:sz w:val="24"/>
        </w:rPr>
        <w:t xml:space="preserve">" użytkowników </w:t>
      </w:r>
      <w:r w:rsidR="00303843">
        <w:rPr>
          <w:rStyle w:val="Odwoaniedokomentarza"/>
          <w:sz w:val="24"/>
        </w:rPr>
        <w:t>Internetu</w:t>
      </w:r>
      <w:r>
        <w:rPr>
          <w:rStyle w:val="Odwoanieprzypisudolnego"/>
          <w:rFonts w:cstheme="minorHAnsi"/>
        </w:rPr>
        <w:footnoteReference w:id="2"/>
      </w:r>
      <w:r>
        <w:rPr>
          <w:rStyle w:val="Odwoaniedokomentarza"/>
          <w:sz w:val="24"/>
        </w:rPr>
        <w:t xml:space="preserve">. Podzielam w tym zakresie zastrzeżenia wyrażone przez sędzię </w:t>
      </w:r>
      <w:proofErr w:type="spellStart"/>
      <w:r>
        <w:rPr>
          <w:rStyle w:val="Odwoaniedokomentarza"/>
          <w:sz w:val="24"/>
        </w:rPr>
        <w:t>Mingorance</w:t>
      </w:r>
      <w:proofErr w:type="spellEnd"/>
      <w:r>
        <w:rPr>
          <w:rStyle w:val="Odwoaniedokomentarza"/>
          <w:sz w:val="24"/>
        </w:rPr>
        <w:t xml:space="preserve"> </w:t>
      </w:r>
      <w:proofErr w:type="spellStart"/>
      <w:r>
        <w:rPr>
          <w:rStyle w:val="Odwoaniedokomentarza"/>
          <w:sz w:val="24"/>
        </w:rPr>
        <w:t>Cairat</w:t>
      </w:r>
      <w:proofErr w:type="spellEnd"/>
      <w:r>
        <w:rPr>
          <w:rStyle w:val="Odwoaniedokomentarza"/>
          <w:sz w:val="24"/>
        </w:rPr>
        <w:t xml:space="preserve"> w jej opinii odrębnej. Dotyczyłoby to w szczególności przypadków, w których takie określone przestrzenie wirtualne mają charakter mieszany, to jest gdy są również wykorzystywane do celów zgodnych z</w:t>
      </w:r>
      <w:r w:rsidR="001D42E9">
        <w:rPr>
          <w:rStyle w:val="Odwoaniedokomentarza"/>
          <w:sz w:val="24"/>
        </w:rPr>
        <w:t> </w:t>
      </w:r>
      <w:r>
        <w:rPr>
          <w:rStyle w:val="Odwoaniedokomentarza"/>
          <w:sz w:val="24"/>
        </w:rPr>
        <w:t>prawem, a nie wyłącznie lub w przeważającej mierze do celów przestępczych.</w:t>
      </w:r>
    </w:p>
    <w:p w14:paraId="39EB6570" w14:textId="6C01A5DE" w:rsidR="00622B18" w:rsidRDefault="00000000">
      <w:pPr>
        <w:pStyle w:val="JuPara"/>
        <w:rPr>
          <w:rStyle w:val="Odwoaniedokomentarza"/>
          <w:sz w:val="24"/>
        </w:rPr>
      </w:pPr>
      <w:r>
        <w:rPr>
          <w:rStyle w:val="Odwoaniedokomentarza"/>
          <w:sz w:val="24"/>
        </w:rPr>
        <w:t xml:space="preserve">4. Organy powinny być co najmniej dodatkowo zobowiązane do wykazania, że ze względu na charakter przestępstwa jego wykrycie i ściganie </w:t>
      </w:r>
      <w:r w:rsidR="001D42E9">
        <w:rPr>
          <w:rStyle w:val="Odwoaniedokomentarza"/>
          <w:sz w:val="24"/>
        </w:rPr>
        <w:t>nastręczają</w:t>
      </w:r>
      <w:r>
        <w:rPr>
          <w:rStyle w:val="Odwoaniedokomentarza"/>
          <w:sz w:val="24"/>
        </w:rPr>
        <w:t xml:space="preserve"> szczególnych trudności dochodzeniowych mogących uzasadnić wyjątkowe zastosowanie „szerszej sieci". W tym świetle okoliczność, że w niniejszej sprawie „podejrzenie dotyczyło przestępstwa popełnionego na szkodę małoletnich, którzy z uwagi na szczególną podatność na pokrzywdzenie mogą nie być w stanie zrozumieć, że stają się ofiarami przestępstwa </w:t>
      </w:r>
      <w:r w:rsidR="000A6618">
        <w:rPr>
          <w:rStyle w:val="Odwoaniedokomentarza"/>
          <w:sz w:val="24"/>
        </w:rPr>
        <w:t>i/</w:t>
      </w:r>
      <w:r>
        <w:rPr>
          <w:rStyle w:val="Odwoaniedokomentarza"/>
          <w:sz w:val="24"/>
        </w:rPr>
        <w:t xml:space="preserve">lub </w:t>
      </w:r>
      <w:r w:rsidR="000A6618">
        <w:rPr>
          <w:rStyle w:val="Odwoaniedokomentarza"/>
          <w:sz w:val="24"/>
        </w:rPr>
        <w:t>po</w:t>
      </w:r>
      <w:r>
        <w:rPr>
          <w:rStyle w:val="Odwoaniedokomentarza"/>
          <w:sz w:val="24"/>
        </w:rPr>
        <w:t xml:space="preserve">wiadomić o takich czynach" – przestępstwa takiego jak </w:t>
      </w:r>
      <w:r w:rsidR="000A6618">
        <w:rPr>
          <w:rStyle w:val="Odwoaniedokomentarza"/>
          <w:sz w:val="24"/>
        </w:rPr>
        <w:t>uwodzenie w Internecie</w:t>
      </w:r>
      <w:r>
        <w:rPr>
          <w:rStyle w:val="Odwoaniedokomentarza"/>
          <w:sz w:val="24"/>
        </w:rPr>
        <w:t xml:space="preserve"> (zob. paragraf 82 </w:t>
      </w:r>
      <w:r>
        <w:rPr>
          <w:rStyle w:val="Odwoaniedokomentarza"/>
          <w:rFonts w:cstheme="minorHAnsi"/>
          <w:i/>
          <w:sz w:val="24"/>
        </w:rPr>
        <w:t>in fine</w:t>
      </w:r>
      <w:r>
        <w:rPr>
          <w:rStyle w:val="Odwoaniedokomentarza"/>
          <w:sz w:val="24"/>
        </w:rPr>
        <w:t xml:space="preserve">) – jest moim zdaniem nie po prostu „istotna", </w:t>
      </w:r>
      <w:r w:rsidR="000A6618">
        <w:rPr>
          <w:rStyle w:val="Odwoaniedokomentarza"/>
          <w:sz w:val="24"/>
        </w:rPr>
        <w:t>ale kluczowa</w:t>
      </w:r>
      <w:r>
        <w:rPr>
          <w:rStyle w:val="Odwoanieprzypisudolnego"/>
          <w:rFonts w:cstheme="minorHAnsi"/>
        </w:rPr>
        <w:footnoteReference w:id="3"/>
      </w:r>
      <w:r>
        <w:rPr>
          <w:rStyle w:val="Odwoaniedokomentarza"/>
          <w:sz w:val="24"/>
        </w:rPr>
        <w:t xml:space="preserve">. </w:t>
      </w:r>
      <w:r w:rsidR="003B2C56">
        <w:rPr>
          <w:rStyle w:val="Odwoaniedokomentarza"/>
          <w:sz w:val="24"/>
        </w:rPr>
        <w:t>To właśnie na</w:t>
      </w:r>
      <w:r>
        <w:rPr>
          <w:rStyle w:val="Odwoaniedokomentarza"/>
          <w:sz w:val="24"/>
        </w:rPr>
        <w:t xml:space="preserve"> tej podstawie, </w:t>
      </w:r>
      <w:r>
        <w:rPr>
          <w:rStyle w:val="Odwoaniedokomentarza"/>
          <w:sz w:val="24"/>
        </w:rPr>
        <w:lastRenderedPageBreak/>
        <w:t>uwzględniając całokształt okoliczności sprawy, głosowałem wraz z większością.</w:t>
      </w:r>
    </w:p>
    <w:p w14:paraId="169F3FAC" w14:textId="079A3594" w:rsidR="00622B18" w:rsidRDefault="00000000">
      <w:pPr>
        <w:pStyle w:val="JuPara"/>
        <w:rPr>
          <w:rStyle w:val="Odwoaniedokomentarza"/>
          <w:sz w:val="24"/>
        </w:rPr>
      </w:pPr>
      <w:r>
        <w:rPr>
          <w:rStyle w:val="Odwoaniedokomentarza"/>
          <w:sz w:val="24"/>
        </w:rPr>
        <w:t xml:space="preserve">5. W </w:t>
      </w:r>
      <w:r w:rsidR="001A3099">
        <w:rPr>
          <w:rStyle w:val="Odwoaniedokomentarza"/>
          <w:sz w:val="24"/>
        </w:rPr>
        <w:t>każdym razie</w:t>
      </w:r>
      <w:r>
        <w:rPr>
          <w:rStyle w:val="Odwoaniedokomentarza"/>
          <w:sz w:val="24"/>
        </w:rPr>
        <w:t xml:space="preserve"> do przyszłego orzecznictwa będzie należało rozważenie, czy uzasadnienie w sprawie </w:t>
      </w:r>
      <w:proofErr w:type="spellStart"/>
      <w:r>
        <w:rPr>
          <w:rStyle w:val="Odwoaniedokomentarza"/>
          <w:rFonts w:cstheme="minorHAnsi"/>
          <w:i/>
          <w:sz w:val="24"/>
        </w:rPr>
        <w:t>Helme</w:t>
      </w:r>
      <w:proofErr w:type="spellEnd"/>
      <w:r>
        <w:rPr>
          <w:rStyle w:val="Odwoaniedokomentarza"/>
          <w:sz w:val="24"/>
        </w:rPr>
        <w:t xml:space="preserve"> zostało wystarczająco zawężone, by zapewnić odpowiednią ochronę przed prowokacją w środowisku internetowym, czy też będzie wymagało dalszego doprecyzowania lub ponownego rozpatrzenia.</w:t>
      </w:r>
    </w:p>
    <w:p w14:paraId="765A75FC" w14:textId="77777777" w:rsidR="00622B18" w:rsidRDefault="00622B18">
      <w:pPr>
        <w:sectPr w:rsidR="00622B18" w:rsidSect="00AD3D9F">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14:paraId="076D2FD9" w14:textId="77777777" w:rsidR="00622B18" w:rsidRDefault="00000000">
      <w:pPr>
        <w:pStyle w:val="DecHTitle"/>
      </w:pPr>
      <w:r>
        <w:lastRenderedPageBreak/>
        <w:t xml:space="preserve">OPINIA ODRĘBNA SĘDZI </w:t>
      </w:r>
      <w:r>
        <w:rPr>
          <w:rFonts w:ascii="Times New Roman" w:eastAsia="Times New Roman" w:hAnsi="Times New Roman" w:cs="Times New Roman"/>
        </w:rPr>
        <w:t>MINGORANCE CAIRAT</w:t>
      </w:r>
    </w:p>
    <w:p w14:paraId="02D14F82" w14:textId="77777777" w:rsidR="00622B18" w:rsidRDefault="00000000">
      <w:pPr>
        <w:pStyle w:val="ECHRCoverTitle4"/>
      </w:pPr>
      <w:r>
        <w:t>(Tłumaczenie)</w:t>
      </w:r>
    </w:p>
    <w:p w14:paraId="32E3E021" w14:textId="77777777" w:rsidR="00622B18" w:rsidRDefault="00622B18">
      <w:pPr>
        <w:pStyle w:val="JuPara"/>
      </w:pPr>
    </w:p>
    <w:p w14:paraId="6B1A2AC7" w14:textId="02FD17F0" w:rsidR="00622B18" w:rsidRDefault="00000000">
      <w:pPr>
        <w:pStyle w:val="JuPara"/>
      </w:pPr>
      <w:r>
        <w:t xml:space="preserve">Większość uznała, że nie doszło do naruszenia art. 6 ust. 1 Konwencji, uzasadniając to brakiem podżegania przez policję, ponieważ funkcjonariusz </w:t>
      </w:r>
      <w:r w:rsidR="001A3099">
        <w:t>P</w:t>
      </w:r>
      <w:r>
        <w:t>olicji pod przykryciem nie inicjował rozmów ani nie wprowadzał tematów o charakterze seksualnym, a także tym, że operacja pod przykryciem od początku była prowadzona za zgodą prokuratury, a następnie podlegała nadzorowi sądowemu. Zgadzam się z tą oceną.</w:t>
      </w:r>
    </w:p>
    <w:p w14:paraId="65E80E80" w14:textId="01EC7D79" w:rsidR="00622B18" w:rsidRDefault="00000000">
      <w:pPr>
        <w:pStyle w:val="JuPara"/>
      </w:pPr>
      <w:r>
        <w:t xml:space="preserve">Niemniej jednak moje zdanie odrębne wobec decyzji większości o stwierdzeniu braku naruszenia art. 6 ust. 1 Konwencji nie dotyczy </w:t>
      </w:r>
      <w:r w:rsidR="00691585">
        <w:t>postępowania</w:t>
      </w:r>
      <w:r>
        <w:t xml:space="preserve"> funkcjonariusza pod przykryciem, lecz kwestii, czy istniały uzasadnione podstawy do przeprowadzenia operacji. Należy zauważyć w</w:t>
      </w:r>
      <w:r w:rsidR="001D42E9">
        <w:t> </w:t>
      </w:r>
      <w:r>
        <w:t>tym zakresie</w:t>
      </w:r>
      <w:r w:rsidR="00691585">
        <w:t>, że</w:t>
      </w:r>
      <w:r>
        <w:t xml:space="preserve"> niniejszy wyrok odchodzi od utrwalonego orzecznictwa, które wymaga istnienia „obiektywnych podejrzeń, że skarżący brał udział w działalności przestępczej lub był predysponowany do popełnienia przestępstwa" (zob. </w:t>
      </w:r>
      <w:bookmarkStart w:id="31" w:name="_cl21671"/>
      <w:proofErr w:type="spellStart"/>
      <w:r>
        <w:rPr>
          <w:i/>
        </w:rPr>
        <w:t>Bannikova</w:t>
      </w:r>
      <w:proofErr w:type="spellEnd"/>
      <w:r>
        <w:rPr>
          <w:i/>
        </w:rPr>
        <w:t xml:space="preserve"> przeciwko Rosji</w:t>
      </w:r>
      <w:bookmarkEnd w:id="31"/>
      <w:r>
        <w:t>, skarga nr 18757/06, 4</w:t>
      </w:r>
      <w:r w:rsidR="001D42E9">
        <w:t> </w:t>
      </w:r>
      <w:r>
        <w:t xml:space="preserve">listopada 2010 oraz </w:t>
      </w:r>
      <w:bookmarkStart w:id="32" w:name="_cl30177"/>
      <w:proofErr w:type="spellStart"/>
      <w:r>
        <w:rPr>
          <w:i/>
        </w:rPr>
        <w:t>Lagutin</w:t>
      </w:r>
      <w:proofErr w:type="spellEnd"/>
      <w:r>
        <w:rPr>
          <w:i/>
        </w:rPr>
        <w:t xml:space="preserve"> i Inni przeciwko Rosji</w:t>
      </w:r>
      <w:bookmarkEnd w:id="32"/>
      <w:r>
        <w:t xml:space="preserve">, skargi nr 6228/09 </w:t>
      </w:r>
      <w:r w:rsidR="00691585">
        <w:br/>
      </w:r>
      <w:r>
        <w:t xml:space="preserve">i </w:t>
      </w:r>
      <w:r w:rsidR="001D42E9">
        <w:t>cztery </w:t>
      </w:r>
      <w:r>
        <w:t xml:space="preserve">inne, 24 kwietnia 2014). W związku z tym musi istnieć możliwość zweryfikowania wszelkich wstępnych informacji dotyczących uprzednio istniejącego zamiaru przestępczego </w:t>
      </w:r>
      <w:bookmarkStart w:id="33" w:name="_cl38598"/>
      <w:r>
        <w:t xml:space="preserve">(zob. </w:t>
      </w:r>
      <w:proofErr w:type="spellStart"/>
      <w:r>
        <w:rPr>
          <w:i/>
        </w:rPr>
        <w:t>Vanyan</w:t>
      </w:r>
      <w:proofErr w:type="spellEnd"/>
      <w:r>
        <w:rPr>
          <w:i/>
        </w:rPr>
        <w:t xml:space="preserve"> przeciwko Rosji</w:t>
      </w:r>
      <w:bookmarkEnd w:id="33"/>
      <w:r>
        <w:t>, skarga nr</w:t>
      </w:r>
      <w:r w:rsidR="001D42E9">
        <w:t> </w:t>
      </w:r>
      <w:r>
        <w:t xml:space="preserve">53203/99, 15 grudnia 2005 oraz </w:t>
      </w:r>
      <w:bookmarkStart w:id="34" w:name="_cl29171"/>
      <w:proofErr w:type="spellStart"/>
      <w:r>
        <w:rPr>
          <w:i/>
        </w:rPr>
        <w:t>Khudobin</w:t>
      </w:r>
      <w:proofErr w:type="spellEnd"/>
      <w:r>
        <w:rPr>
          <w:i/>
        </w:rPr>
        <w:t xml:space="preserve"> przeciwko Rosji</w:t>
      </w:r>
      <w:bookmarkEnd w:id="34"/>
      <w:r>
        <w:t>, skarga nr</w:t>
      </w:r>
      <w:r w:rsidR="001D42E9">
        <w:t> </w:t>
      </w:r>
      <w:r>
        <w:t xml:space="preserve">59696/00, ETPC 2006-XII (fragmenty)). W niniejszej sprawie postępowanie zostało wszczęte wyłącznie na </w:t>
      </w:r>
      <w:r w:rsidR="00691585">
        <w:t xml:space="preserve">tej </w:t>
      </w:r>
      <w:r>
        <w:t xml:space="preserve">podstawie, że „różne osoby wykorzystywały określone strony internetowe (www.facebook.com i www.armastusesaal.org) w celu prowadzenia rozmów o charakterze seksualnym z małoletnimi poniżej 14. roku życia oraz przesyłały im pliki zawierające </w:t>
      </w:r>
      <w:r w:rsidR="00691585">
        <w:t>treści</w:t>
      </w:r>
      <w:r>
        <w:t xml:space="preserve"> o charakterze seksualnym". Na tym etapie akta sprawy nie zawierały żadnych wskazań dotyczących podejrzeń wobec konkretnej osoby (choćby nieustalonej), nie wskazano żadnego konkretnego zachowania ani nie ustalono tożsamości żadnego pokrzywdzonego, nawet pod pseudonimem.</w:t>
      </w:r>
    </w:p>
    <w:p w14:paraId="1281283C" w14:textId="24F026D1" w:rsidR="00622B18" w:rsidRDefault="00000000">
      <w:pPr>
        <w:pStyle w:val="JuPara"/>
      </w:pPr>
      <w:r>
        <w:t>Postanowienie prokuratora wyrażające zgodę na operację pod przykryciem było ograniczone do ogólnych informacji, a skarżącemu nie przekazano żadnych dalszych szczegółów. Otrzymane informacje dotyczyły nie tylko</w:t>
      </w:r>
      <w:r>
        <w:rPr>
          <w:rFonts w:eastAsia="Times New Roman"/>
        </w:rPr>
        <w:t xml:space="preserve"> www.armastusesaal.org, </w:t>
      </w:r>
      <w:r>
        <w:t xml:space="preserve">lecz także </w:t>
      </w:r>
      <w:r>
        <w:rPr>
          <w:rFonts w:eastAsia="Times New Roman"/>
        </w:rPr>
        <w:t>www.facebook.com. W</w:t>
      </w:r>
      <w:r w:rsidR="001D42E9">
        <w:rPr>
          <w:rFonts w:eastAsia="Times New Roman"/>
        </w:rPr>
        <w:t> </w:t>
      </w:r>
      <w:r>
        <w:rPr>
          <w:rFonts w:eastAsia="Times New Roman"/>
        </w:rPr>
        <w:t xml:space="preserve">momencie </w:t>
      </w:r>
      <w:r w:rsidR="00906353">
        <w:t>zatwierdzania</w:t>
      </w:r>
      <w:r>
        <w:t xml:space="preserve"> zastosowani</w:t>
      </w:r>
      <w:r w:rsidR="00906353">
        <w:t>a</w:t>
      </w:r>
      <w:r>
        <w:t xml:space="preserve"> specjalnej metody </w:t>
      </w:r>
      <w:r w:rsidR="00906353">
        <w:t>śledczej</w:t>
      </w:r>
      <w:r>
        <w:t xml:space="preserve"> nie </w:t>
      </w:r>
      <w:r w:rsidR="00906353">
        <w:t>stwierdzono</w:t>
      </w:r>
      <w:r>
        <w:t xml:space="preserve"> żadnego z trzech konstytutywnych znamion przestępstwa, a zgoda opierała się wyłącznie na ogólnej świadomości, że tego rodzaju zachowania miały miejsce na tych platformach. Co więcej, nie były to platformy przeznaczone do tego rodzaju działalności ani szczególnie ją ułatwiające, jak miało to miejsce w sprawie </w:t>
      </w:r>
      <w:bookmarkStart w:id="35" w:name="_cl25417"/>
      <w:proofErr w:type="spellStart"/>
      <w:r>
        <w:rPr>
          <w:i/>
        </w:rPr>
        <w:t>Eurofinacom</w:t>
      </w:r>
      <w:proofErr w:type="spellEnd"/>
      <w:r>
        <w:rPr>
          <w:i/>
        </w:rPr>
        <w:t xml:space="preserve"> przeciwko Francji</w:t>
      </w:r>
      <w:bookmarkEnd w:id="35"/>
      <w:r>
        <w:t xml:space="preserve"> (</w:t>
      </w:r>
      <w:proofErr w:type="spellStart"/>
      <w:r>
        <w:t>dec</w:t>
      </w:r>
      <w:proofErr w:type="spellEnd"/>
      <w:r>
        <w:t>.), skarga nr 58753/00, ETPC 2004-VII (fragmenty).</w:t>
      </w:r>
    </w:p>
    <w:p w14:paraId="7FF13034" w14:textId="7E832E7F" w:rsidR="00622B18" w:rsidRDefault="00000000">
      <w:pPr>
        <w:pStyle w:val="JuPara"/>
      </w:pPr>
      <w:r>
        <w:lastRenderedPageBreak/>
        <w:t xml:space="preserve">W niniejszej sprawie funkcjonariusz pod przykryciem </w:t>
      </w:r>
      <w:r w:rsidR="003C278B">
        <w:t>pełnił rolę przynęty, która ma skłonić do</w:t>
      </w:r>
      <w:r>
        <w:t xml:space="preserve"> potencjalne</w:t>
      </w:r>
      <w:r w:rsidR="003C278B">
        <w:t>go</w:t>
      </w:r>
      <w:r>
        <w:t xml:space="preserve"> bezprawne</w:t>
      </w:r>
      <w:r w:rsidR="003C278B">
        <w:t>go</w:t>
      </w:r>
      <w:r>
        <w:t xml:space="preserve"> zachowania i w tym sensie postępowanie miało charakter rozpoznawczy i </w:t>
      </w:r>
      <w:r w:rsidR="003C278B">
        <w:t>perspektywiczny</w:t>
      </w:r>
      <w:r>
        <w:t xml:space="preserve"> (w istocie </w:t>
      </w:r>
      <w:r w:rsidR="003C278B">
        <w:t>było to „polowanie na czarownice”</w:t>
      </w:r>
      <w:r>
        <w:t>).</w:t>
      </w:r>
    </w:p>
    <w:p w14:paraId="62D333C0" w14:textId="2D20DA43" w:rsidR="00622B18" w:rsidRDefault="00000000">
      <w:pPr>
        <w:pStyle w:val="JuPara"/>
      </w:pPr>
      <w:r>
        <w:t xml:space="preserve">Nawet uwzględniając trudności, </w:t>
      </w:r>
      <w:r w:rsidR="003C278B">
        <w:t>z jakimi borykają się</w:t>
      </w:r>
      <w:r>
        <w:t xml:space="preserve"> małoletni w</w:t>
      </w:r>
      <w:r w:rsidR="001D42E9">
        <w:t> </w:t>
      </w:r>
      <w:r>
        <w:t xml:space="preserve">rozpoznaniu, że są ofiarami przestępstwa, i w </w:t>
      </w:r>
      <w:r w:rsidR="00BF3C91">
        <w:t>po</w:t>
      </w:r>
      <w:r>
        <w:t xml:space="preserve">wiadomieniu o takich czynach, a także ewentualną potrzebę dostosowania tradycyjnych metod </w:t>
      </w:r>
      <w:r w:rsidR="00BF3C91">
        <w:t>śledczych</w:t>
      </w:r>
      <w:r>
        <w:t xml:space="preserve"> w sprawach karnych do </w:t>
      </w:r>
      <w:r w:rsidR="00BF3C91">
        <w:t>realiów</w:t>
      </w:r>
      <w:r>
        <w:t xml:space="preserve"> cyfrow</w:t>
      </w:r>
      <w:r w:rsidR="00BF3C91">
        <w:t>ych</w:t>
      </w:r>
      <w:r>
        <w:t xml:space="preserve">, nie powinno to prowadzić do złagodzenia wymogów regulujących stosowanie środków wpływających na prawo do rzetelnego procesu, prawo do prywatności i </w:t>
      </w:r>
      <w:r w:rsidR="00BF3C91">
        <w:t>poufność komunikacji</w:t>
      </w:r>
      <w:r>
        <w:t xml:space="preserve">. Pragnęłam zatem podzielić się moimi </w:t>
      </w:r>
      <w:r w:rsidR="00BF3C91">
        <w:t>obawami, aby zapobiec ryzyku,</w:t>
      </w:r>
      <w:r>
        <w:t xml:space="preserve"> że specjalne metody </w:t>
      </w:r>
      <w:r w:rsidR="00BF3C91">
        <w:t>śledcze</w:t>
      </w:r>
      <w:r>
        <w:t xml:space="preserve"> – zastrzeżone dla postępowań karnych – będą wykorzystywane jako narzędzie </w:t>
      </w:r>
      <w:r w:rsidR="00BF3C91">
        <w:t xml:space="preserve">do </w:t>
      </w:r>
      <w:r>
        <w:t>powszechne</w:t>
      </w:r>
      <w:r w:rsidR="00BF3C91">
        <w:t>go nadzoru nad</w:t>
      </w:r>
      <w:r>
        <w:t xml:space="preserve"> komunikacj</w:t>
      </w:r>
      <w:r w:rsidR="00BF3C91">
        <w:t>ą online</w:t>
      </w:r>
      <w:r>
        <w:t>.</w:t>
      </w:r>
    </w:p>
    <w:p w14:paraId="5B752623" w14:textId="77777777" w:rsidR="00622B18" w:rsidRDefault="00622B18">
      <w:pPr>
        <w:pStyle w:val="JuPara"/>
      </w:pPr>
    </w:p>
    <w:sectPr w:rsidR="00622B18">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37830" w14:textId="77777777" w:rsidR="003A2CAA" w:rsidRDefault="003A2CAA">
      <w:r>
        <w:separator/>
      </w:r>
    </w:p>
  </w:endnote>
  <w:endnote w:type="continuationSeparator" w:id="0">
    <w:p w14:paraId="4739AB6E" w14:textId="77777777" w:rsidR="003A2CAA" w:rsidRDefault="003A2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94236" w14:textId="77777777" w:rsidR="00622B18" w:rsidRDefault="00000000">
    <w:pPr>
      <w:jc w:val="center"/>
    </w:pPr>
    <w:r>
      <w:rPr>
        <w:noProof/>
      </w:rPr>
      <w:drawing>
        <wp:inline distT="0" distB="0" distL="0" distR="0" wp14:anchorId="7D3D7908" wp14:editId="3A591A3F">
          <wp:extent cx="771525" cy="619125"/>
          <wp:effectExtent l="0" t="0" r="9525" b="9525"/>
          <wp:docPr id="219870380" name="Picture 21987038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7038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56DD5BA" w14:textId="77777777" w:rsidR="00622B18" w:rsidRDefault="00622B18">
    <w:pPr>
      <w:pStyle w:val="Stopka"/>
      <w:jc w:val="center"/>
      <w:rPr>
        <w:sz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CD132" w14:textId="77777777" w:rsidR="00622B18" w:rsidRDefault="00000000">
    <w:pPr>
      <w:jc w:val="center"/>
    </w:pPr>
    <w:r>
      <w:rPr>
        <w:noProof/>
      </w:rPr>
      <w:drawing>
        <wp:inline distT="0" distB="0" distL="0" distR="0" wp14:anchorId="7ABBC26A" wp14:editId="101E4EB4">
          <wp:extent cx="771525" cy="619125"/>
          <wp:effectExtent l="0" t="0" r="9525" b="9525"/>
          <wp:docPr id="2063548001" name="Picture 206354800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4800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1B23DA9" w14:textId="77777777" w:rsidR="00622B18" w:rsidRDefault="00622B18">
    <w:pPr>
      <w:pStyle w:val="Stopka"/>
      <w:jc w:val="center"/>
      <w:rPr>
        <w:sz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00634" w14:textId="77777777" w:rsidR="00622B18" w:rsidRDefault="00000000">
    <w:pPr>
      <w:pStyle w:val="JuHeader"/>
    </w:pPr>
    <w:r>
      <w:fldChar w:fldCharType="begin"/>
    </w:r>
    <w:r>
      <w:instrText xml:space="preserve"> PAGE  \* MERGEFORMAT </w:instrText>
    </w:r>
    <w:r>
      <w:fldChar w:fldCharType="separate"/>
    </w:r>
    <w: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A09DD" w14:textId="77777777" w:rsidR="00622B18" w:rsidRDefault="00000000">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CB092" w14:textId="77777777" w:rsidR="003A2CAA" w:rsidRDefault="003A2CAA">
      <w:r>
        <w:separator/>
      </w:r>
    </w:p>
  </w:footnote>
  <w:footnote w:type="continuationSeparator" w:id="0">
    <w:p w14:paraId="376E0B19" w14:textId="77777777" w:rsidR="003A2CAA" w:rsidRDefault="003A2CAA">
      <w:r>
        <w:continuationSeparator/>
      </w:r>
    </w:p>
  </w:footnote>
  <w:footnote w:id="1">
    <w:p w14:paraId="75BDFBF8" w14:textId="2F2FC80C" w:rsidR="00622B18" w:rsidRDefault="00000000">
      <w:pPr>
        <w:pStyle w:val="Tekstprzypisudolnego"/>
      </w:pPr>
      <w:r>
        <w:rPr>
          <w:rStyle w:val="Odwoanieprzypisudolnego"/>
        </w:rPr>
        <w:footnoteRef/>
      </w:r>
      <w:r>
        <w:t xml:space="preserve">Nie musi to oznaczać, że </w:t>
      </w:r>
      <w:r w:rsidR="00EA64CD">
        <w:t>dana osoba</w:t>
      </w:r>
      <w:r w:rsidR="003B2C56">
        <w:t xml:space="preserve">, </w:t>
      </w:r>
      <w:r>
        <w:t xml:space="preserve">powinna </w:t>
      </w:r>
      <w:r w:rsidR="00EA64CD">
        <w:t>zostać jednoznacznie</w:t>
      </w:r>
      <w:r>
        <w:t xml:space="preserve"> zidentyfikowana</w:t>
      </w:r>
      <w:r w:rsidR="00EA64CD">
        <w:t>:</w:t>
      </w:r>
      <w:r>
        <w:t xml:space="preserve"> może wystarczyć powiązanie podejrzenia np. z konkretnym numerem telefonu lub adresem IP wykorzystywanym w nielegalnym handlu narkotykami lub innej działalności przestępczej. </w:t>
      </w:r>
    </w:p>
  </w:footnote>
  <w:footnote w:id="2">
    <w:p w14:paraId="14785C39" w14:textId="3F9454D0" w:rsidR="00622B18" w:rsidRDefault="00000000">
      <w:pPr>
        <w:pStyle w:val="Tekstprzypisudolnego"/>
        <w:rPr>
          <w:rFonts w:cstheme="minorHAnsi"/>
        </w:rPr>
      </w:pPr>
      <w:r>
        <w:rPr>
          <w:rStyle w:val="Odwoanieprzypisudolnego"/>
          <w:rFonts w:cstheme="minorHAnsi"/>
        </w:rPr>
        <w:footnoteRef/>
      </w:r>
      <w:r>
        <w:rPr>
          <w:rFonts w:cstheme="minorHAnsi"/>
        </w:rPr>
        <w:t>Zob</w:t>
      </w:r>
      <w:r>
        <w:rPr>
          <w:rFonts w:cstheme="minorHAnsi"/>
          <w:i/>
        </w:rPr>
        <w:t xml:space="preserve">. R v. </w:t>
      </w:r>
      <w:proofErr w:type="spellStart"/>
      <w:r>
        <w:rPr>
          <w:rFonts w:cstheme="minorHAnsi"/>
          <w:i/>
        </w:rPr>
        <w:t>Ahmad</w:t>
      </w:r>
      <w:proofErr w:type="spellEnd"/>
      <w:r>
        <w:rPr>
          <w:rFonts w:cstheme="minorHAnsi"/>
        </w:rPr>
        <w:t xml:space="preserve"> [2020] 1 SCR 577 (Sąd Najwyższy Kanady), § 43 („Naszym zdaniem, całe strony internetowe lub platformy mediów społecznościowych rzadko, jeśli w ogóle, będą wystarczająco </w:t>
      </w:r>
      <w:r w:rsidR="00EA64CD">
        <w:rPr>
          <w:rFonts w:cstheme="minorHAnsi"/>
        </w:rPr>
        <w:t>zindywidualizowane</w:t>
      </w:r>
      <w:r>
        <w:rPr>
          <w:rFonts w:cstheme="minorHAnsi"/>
        </w:rPr>
        <w:t xml:space="preserve">, by uzasadnić </w:t>
      </w:r>
      <w:r w:rsidR="003C7E1C">
        <w:rPr>
          <w:rFonts w:cstheme="minorHAnsi"/>
        </w:rPr>
        <w:t>uzasadnione</w:t>
      </w:r>
      <w:r>
        <w:rPr>
          <w:rFonts w:cstheme="minorHAnsi"/>
        </w:rPr>
        <w:t xml:space="preserve"> podejrzenie. Zezwolenie policji na </w:t>
      </w:r>
      <w:r w:rsidR="003C7E1C">
        <w:rPr>
          <w:rFonts w:cstheme="minorHAnsi"/>
        </w:rPr>
        <w:t>prowadzenie działań w</w:t>
      </w:r>
      <w:r>
        <w:rPr>
          <w:rFonts w:cstheme="minorHAnsi"/>
        </w:rPr>
        <w:t xml:space="preserve"> rozległych przestrzeni</w:t>
      </w:r>
      <w:r w:rsidR="003C7E1C">
        <w:rPr>
          <w:rFonts w:cstheme="minorHAnsi"/>
        </w:rPr>
        <w:t>ach</w:t>
      </w:r>
      <w:r>
        <w:rPr>
          <w:rFonts w:cstheme="minorHAnsi"/>
        </w:rPr>
        <w:t xml:space="preserve"> wirtualnych jest niezgodne z </w:t>
      </w:r>
      <w:r w:rsidR="003C7E1C">
        <w:rPr>
          <w:rFonts w:cstheme="minorHAnsi"/>
        </w:rPr>
        <w:t xml:space="preserve">orzeczeniem w sprawie </w:t>
      </w:r>
      <w:proofErr w:type="spellStart"/>
      <w:r>
        <w:rPr>
          <w:rFonts w:cstheme="minorHAnsi"/>
          <w:i/>
        </w:rPr>
        <w:t>Mack</w:t>
      </w:r>
      <w:proofErr w:type="spellEnd"/>
      <w:r>
        <w:rPr>
          <w:rFonts w:cstheme="minorHAnsi"/>
        </w:rPr>
        <w:t xml:space="preserve"> [wiążącym precedensem] i ustanowionym w nim progiem </w:t>
      </w:r>
      <w:r w:rsidR="003C7E1C">
        <w:rPr>
          <w:rFonts w:cstheme="minorHAnsi"/>
        </w:rPr>
        <w:t>zasadnego</w:t>
      </w:r>
      <w:r>
        <w:rPr>
          <w:rFonts w:cstheme="minorHAnsi"/>
        </w:rPr>
        <w:t xml:space="preserve"> podejrzenia oraz pomija fakt, że legalne społeczności istnieją w </w:t>
      </w:r>
      <w:proofErr w:type="spellStart"/>
      <w:r>
        <w:rPr>
          <w:rFonts w:cstheme="minorHAnsi"/>
        </w:rPr>
        <w:t>w</w:t>
      </w:r>
      <w:proofErr w:type="spellEnd"/>
      <w:r>
        <w:rPr>
          <w:rFonts w:cstheme="minorHAnsi"/>
        </w:rPr>
        <w:t xml:space="preserve"> </w:t>
      </w:r>
      <w:r w:rsidR="003C7E1C">
        <w:rPr>
          <w:rFonts w:cstheme="minorHAnsi"/>
        </w:rPr>
        <w:t>Internecie</w:t>
      </w:r>
      <w:r>
        <w:rPr>
          <w:rFonts w:cstheme="minorHAnsi"/>
        </w:rPr>
        <w:t xml:space="preserve">, </w:t>
      </w:r>
      <w:r w:rsidR="003C7E1C">
        <w:rPr>
          <w:rFonts w:cstheme="minorHAnsi"/>
        </w:rPr>
        <w:t xml:space="preserve">tak samo jak </w:t>
      </w:r>
      <w:r>
        <w:rPr>
          <w:rFonts w:cstheme="minorHAnsi"/>
        </w:rPr>
        <w:t>w świecie fizycznym").</w:t>
      </w:r>
    </w:p>
  </w:footnote>
  <w:footnote w:id="3">
    <w:p w14:paraId="6876A563" w14:textId="77777777" w:rsidR="00622B18" w:rsidRDefault="00000000">
      <w:pPr>
        <w:pStyle w:val="Tekstprzypisudolnego"/>
      </w:pPr>
      <w:r>
        <w:rPr>
          <w:rStyle w:val="Odwoanieprzypisudolnego"/>
        </w:rPr>
        <w:footnoteRef/>
      </w:r>
      <w:r>
        <w:t xml:space="preserve">Zob. </w:t>
      </w:r>
      <w:r>
        <w:rPr>
          <w:i/>
        </w:rPr>
        <w:t xml:space="preserve">Regina v. </w:t>
      </w:r>
      <w:proofErr w:type="spellStart"/>
      <w:r>
        <w:rPr>
          <w:i/>
        </w:rPr>
        <w:t>Loosely</w:t>
      </w:r>
      <w:proofErr w:type="spellEnd"/>
      <w:r>
        <w:t xml:space="preserve"> [2001] UKHL 53 (Izba Lordów Zjednoczonego Królestwa), Lord Hoffman, § 66 („Przestępstwa dokonywane za zgodą stron, takie jak obrót substancjami niedozwolonymi, przestępstwa bez bezpośredniego pokrzywdzonego, takie jak łapownictwo, lub przestępstwa, których ofiary niechętnie je zgłaszają, są najbardziej oczywistymi kandydatami do zastosowania takich metod").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A0B7" w14:textId="77777777" w:rsidR="00622B18" w:rsidRDefault="00000000">
    <w:pPr>
      <w:jc w:val="center"/>
    </w:pPr>
    <w:r>
      <w:rPr>
        <w:noProof/>
      </w:rPr>
      <w:drawing>
        <wp:inline distT="0" distB="0" distL="0" distR="0" wp14:anchorId="59CCD785" wp14:editId="2274FDE8">
          <wp:extent cx="2962275" cy="1219200"/>
          <wp:effectExtent l="0" t="0" r="9525" b="0"/>
          <wp:docPr id="714990033" name="Picture 7149900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9003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3C1644B" w14:textId="77777777" w:rsidR="00622B18" w:rsidRDefault="00622B18">
    <w:pPr>
      <w:jc w:val="center"/>
      <w:rPr>
        <w:sz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ED871" w14:textId="77777777" w:rsidR="00622B18" w:rsidRDefault="00000000">
    <w:pPr>
      <w:jc w:val="center"/>
    </w:pPr>
    <w:r>
      <w:rPr>
        <w:noProof/>
      </w:rPr>
      <w:drawing>
        <wp:inline distT="0" distB="0" distL="0" distR="0" wp14:anchorId="0750C3EC" wp14:editId="4078F0D4">
          <wp:extent cx="2962275" cy="1219200"/>
          <wp:effectExtent l="0" t="0" r="9525" b="0"/>
          <wp:docPr id="1099161006" name="Picture 109916100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6100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2426216" w14:textId="77777777" w:rsidR="00622B18" w:rsidRDefault="00622B1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8EE60" w14:textId="77777777" w:rsidR="00622B18" w:rsidRDefault="00000000">
    <w:pPr>
      <w:pStyle w:val="JuHeader"/>
    </w:pPr>
    <w:r>
      <w:t>WYROK HELME przeciwko ESTONII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995B" w14:textId="77777777" w:rsidR="00622B18" w:rsidRDefault="00000000">
    <w:pPr>
      <w:pStyle w:val="JuHeader"/>
    </w:pPr>
    <w:r>
      <w:t>WYROK HELME przeciwko ESTONII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78A6" w14:textId="77777777" w:rsidR="00622B18" w:rsidRDefault="00000000">
    <w:pPr>
      <w:pStyle w:val="JuHeader"/>
    </w:pPr>
    <w:r>
      <w:t>WYROK HELME przeciwko ESTONII – OPINIE ODRĘBNE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71BCF" w14:textId="77777777" w:rsidR="00622B18" w:rsidRDefault="00000000">
    <w:pPr>
      <w:pStyle w:val="JuHeader"/>
    </w:pPr>
    <w:r>
      <w:t>WYROK w sprawie HELME przeciwko ESTONII (MERYTORYCZNY) – OPINIE 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04A0A" w14:textId="77777777" w:rsidR="00622B18" w:rsidRDefault="00000000">
    <w:pPr>
      <w:pStyle w:val="JuHeader"/>
    </w:pPr>
    <w:r>
      <w:t>WYROK HELME przeciwko ESTONII – OPINIE ODRĘBNE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EC92B" w14:textId="77777777" w:rsidR="00622B18" w:rsidRDefault="00000000">
    <w:pPr>
      <w:pStyle w:val="JuHeader"/>
    </w:pPr>
    <w:r>
      <w:t>WYROK HELME przeciwko ESTONII – OPINIE ODRĘBNE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EFF1B3C"/>
    <w:multiLevelType w:val="multilevel"/>
    <w:tmpl w:val="0206D8FC"/>
    <w:lvl w:ilvl="0">
      <w:start w:val="1"/>
      <w:numFmt w:val="decimal"/>
      <w:pStyle w:val="ECHRHeading1"/>
      <w:suff w:val="nothing"/>
      <w:lvlText w:val="%1.  "/>
      <w:lvlJc w:val="left"/>
      <w:pPr>
        <w:ind w:left="142" w:firstLine="0"/>
      </w:pPr>
      <w:rPr>
        <w:rFonts w:hint="default"/>
      </w:rPr>
    </w:lvl>
    <w:lvl w:ilvl="1">
      <w:start w:val="1"/>
      <w:numFmt w:val="decimal"/>
      <w:pStyle w:val="ECHRHeading2"/>
      <w:suff w:val="nothing"/>
      <w:lvlText w:val="%1.%2.  "/>
      <w:lvlJc w:val="left"/>
      <w:pPr>
        <w:ind w:left="1276" w:firstLine="0"/>
      </w:pPr>
      <w:rPr>
        <w:rFonts w:hint="default"/>
      </w:rPr>
    </w:lvl>
    <w:lvl w:ilvl="2">
      <w:start w:val="1"/>
      <w:numFmt w:val="decimal"/>
      <w:pStyle w:val="ECHRHeading3"/>
      <w:suff w:val="nothing"/>
      <w:lvlText w:val="%1.%2.%3.  "/>
      <w:lvlJc w:val="left"/>
      <w:pPr>
        <w:ind w:left="0" w:firstLine="0"/>
      </w:pPr>
      <w:rPr>
        <w:rFonts w:hint="default"/>
      </w:rPr>
    </w:lvl>
    <w:lvl w:ilvl="3">
      <w:start w:val="1"/>
      <w:numFmt w:val="decimal"/>
      <w:pStyle w:val="ECHRHeading4"/>
      <w:suff w:val="nothing"/>
      <w:lvlText w:val="%1.%2.%3.%4.  "/>
      <w:lvlJc w:val="left"/>
      <w:pPr>
        <w:ind w:left="0" w:firstLine="0"/>
      </w:pPr>
      <w:rPr>
        <w:rFonts w:hint="default"/>
      </w:rPr>
    </w:lvl>
    <w:lvl w:ilvl="4">
      <w:start w:val="1"/>
      <w:numFmt w:val="decimal"/>
      <w:pStyle w:val="ECHRHeading5"/>
      <w:suff w:val="nothing"/>
      <w:lvlText w:val="%1.%2.%3.%4.%5.  "/>
      <w:lvlJc w:val="left"/>
      <w:pPr>
        <w:ind w:left="0" w:firstLine="0"/>
      </w:pPr>
      <w:rPr>
        <w:rFonts w:hint="default"/>
      </w:rPr>
    </w:lvl>
    <w:lvl w:ilvl="5">
      <w:start w:val="1"/>
      <w:numFmt w:val="decimal"/>
      <w:pStyle w:val="ECHRHeading6"/>
      <w:suff w:val="nothing"/>
      <w:lvlText w:val="%1.%2.%3.%4.%5.%6.  "/>
      <w:lvlJc w:val="left"/>
      <w:pPr>
        <w:ind w:left="0" w:firstLine="0"/>
      </w:pPr>
      <w:rPr>
        <w:rFonts w:hint="default"/>
      </w:rPr>
    </w:lvl>
    <w:lvl w:ilvl="6">
      <w:start w:val="1"/>
      <w:numFmt w:val="decimal"/>
      <w:pStyle w:val="ECHRHeading7"/>
      <w:suff w:val="nothing"/>
      <w:lvlText w:val="%1.%2.%3.%4.%5.%6.%7.  "/>
      <w:lvlJc w:val="left"/>
      <w:pPr>
        <w:ind w:left="0" w:firstLine="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493276DA">
      <w:start w:val="1"/>
      <w:numFmt w:val="bullet"/>
      <w:pStyle w:val="Listapunktowana"/>
      <w:lvlText w:val=""/>
      <w:lvlJc w:val="left"/>
      <w:pPr>
        <w:tabs>
          <w:tab w:val="num" w:pos="851"/>
        </w:tabs>
        <w:ind w:left="568" w:firstLine="0"/>
      </w:pPr>
      <w:rPr>
        <w:rFonts w:ascii="Wingdings" w:hAnsi="Wingdings" w:hint="default"/>
        <w:color w:val="808080"/>
        <w:sz w:val="16"/>
      </w:rPr>
    </w:lvl>
    <w:lvl w:ilvl="1" w:tplc="036EF3F2" w:tentative="1">
      <w:start w:val="1"/>
      <w:numFmt w:val="bullet"/>
      <w:lvlText w:val="o"/>
      <w:lvlJc w:val="left"/>
      <w:pPr>
        <w:tabs>
          <w:tab w:val="num" w:pos="1724"/>
        </w:tabs>
        <w:ind w:left="1724" w:hanging="360"/>
      </w:pPr>
      <w:rPr>
        <w:rFonts w:ascii="Courier New" w:hAnsi="Courier New" w:cs="Courier New" w:hint="default"/>
      </w:rPr>
    </w:lvl>
    <w:lvl w:ilvl="2" w:tplc="29F61FE2" w:tentative="1">
      <w:start w:val="1"/>
      <w:numFmt w:val="bullet"/>
      <w:lvlText w:val=""/>
      <w:lvlJc w:val="left"/>
      <w:pPr>
        <w:tabs>
          <w:tab w:val="num" w:pos="2444"/>
        </w:tabs>
        <w:ind w:left="2444" w:hanging="360"/>
      </w:pPr>
      <w:rPr>
        <w:rFonts w:ascii="Wingdings" w:hAnsi="Wingdings" w:hint="default"/>
      </w:rPr>
    </w:lvl>
    <w:lvl w:ilvl="3" w:tplc="759A0716" w:tentative="1">
      <w:start w:val="1"/>
      <w:numFmt w:val="bullet"/>
      <w:lvlText w:val=""/>
      <w:lvlJc w:val="left"/>
      <w:pPr>
        <w:tabs>
          <w:tab w:val="num" w:pos="3164"/>
        </w:tabs>
        <w:ind w:left="3164" w:hanging="360"/>
      </w:pPr>
      <w:rPr>
        <w:rFonts w:ascii="Symbol" w:hAnsi="Symbol" w:hint="default"/>
      </w:rPr>
    </w:lvl>
    <w:lvl w:ilvl="4" w:tplc="367A4EE4" w:tentative="1">
      <w:start w:val="1"/>
      <w:numFmt w:val="bullet"/>
      <w:lvlText w:val="o"/>
      <w:lvlJc w:val="left"/>
      <w:pPr>
        <w:tabs>
          <w:tab w:val="num" w:pos="3884"/>
        </w:tabs>
        <w:ind w:left="3884" w:hanging="360"/>
      </w:pPr>
      <w:rPr>
        <w:rFonts w:ascii="Courier New" w:hAnsi="Courier New" w:cs="Courier New" w:hint="default"/>
      </w:rPr>
    </w:lvl>
    <w:lvl w:ilvl="5" w:tplc="F0DE1498" w:tentative="1">
      <w:start w:val="1"/>
      <w:numFmt w:val="bullet"/>
      <w:lvlText w:val=""/>
      <w:lvlJc w:val="left"/>
      <w:pPr>
        <w:tabs>
          <w:tab w:val="num" w:pos="4604"/>
        </w:tabs>
        <w:ind w:left="4604" w:hanging="360"/>
      </w:pPr>
      <w:rPr>
        <w:rFonts w:ascii="Wingdings" w:hAnsi="Wingdings" w:hint="default"/>
      </w:rPr>
    </w:lvl>
    <w:lvl w:ilvl="6" w:tplc="847C110E" w:tentative="1">
      <w:start w:val="1"/>
      <w:numFmt w:val="bullet"/>
      <w:lvlText w:val=""/>
      <w:lvlJc w:val="left"/>
      <w:pPr>
        <w:tabs>
          <w:tab w:val="num" w:pos="5324"/>
        </w:tabs>
        <w:ind w:left="5324" w:hanging="360"/>
      </w:pPr>
      <w:rPr>
        <w:rFonts w:ascii="Symbol" w:hAnsi="Symbol" w:hint="default"/>
      </w:rPr>
    </w:lvl>
    <w:lvl w:ilvl="7" w:tplc="AD2CF7B4" w:tentative="1">
      <w:start w:val="1"/>
      <w:numFmt w:val="bullet"/>
      <w:lvlText w:val="o"/>
      <w:lvlJc w:val="left"/>
      <w:pPr>
        <w:tabs>
          <w:tab w:val="num" w:pos="6044"/>
        </w:tabs>
        <w:ind w:left="6044" w:hanging="360"/>
      </w:pPr>
      <w:rPr>
        <w:rFonts w:ascii="Courier New" w:hAnsi="Courier New" w:cs="Courier New" w:hint="default"/>
      </w:rPr>
    </w:lvl>
    <w:lvl w:ilvl="8" w:tplc="753E2D6C"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27557016">
    <w:abstractNumId w:val="20"/>
  </w:num>
  <w:num w:numId="2" w16cid:durableId="2006128083">
    <w:abstractNumId w:val="18"/>
  </w:num>
  <w:num w:numId="3" w16cid:durableId="142167365">
    <w:abstractNumId w:val="14"/>
  </w:num>
  <w:num w:numId="4" w16cid:durableId="4596440">
    <w:abstractNumId w:val="15"/>
  </w:num>
  <w:num w:numId="5" w16cid:durableId="29454805">
    <w:abstractNumId w:val="12"/>
  </w:num>
  <w:num w:numId="6" w16cid:durableId="491071016">
    <w:abstractNumId w:val="11"/>
  </w:num>
  <w:num w:numId="7" w16cid:durableId="1902058186">
    <w:abstractNumId w:val="19"/>
  </w:num>
  <w:num w:numId="8" w16cid:durableId="606547044">
    <w:abstractNumId w:val="7"/>
  </w:num>
  <w:num w:numId="9" w16cid:durableId="366225137">
    <w:abstractNumId w:val="6"/>
  </w:num>
  <w:num w:numId="10" w16cid:durableId="612907482">
    <w:abstractNumId w:val="5"/>
  </w:num>
  <w:num w:numId="11" w16cid:durableId="1252859037">
    <w:abstractNumId w:val="4"/>
  </w:num>
  <w:num w:numId="12" w16cid:durableId="1829128140">
    <w:abstractNumId w:val="8"/>
  </w:num>
  <w:num w:numId="13" w16cid:durableId="779765814">
    <w:abstractNumId w:val="3"/>
  </w:num>
  <w:num w:numId="14" w16cid:durableId="579607106">
    <w:abstractNumId w:val="2"/>
  </w:num>
  <w:num w:numId="15" w16cid:durableId="1400248878">
    <w:abstractNumId w:val="1"/>
  </w:num>
  <w:num w:numId="16" w16cid:durableId="511381713">
    <w:abstractNumId w:val="0"/>
  </w:num>
  <w:num w:numId="17" w16cid:durableId="18817832">
    <w:abstractNumId w:val="16"/>
  </w:num>
  <w:num w:numId="18" w16cid:durableId="1632517551">
    <w:abstractNumId w:val="13"/>
  </w:num>
  <w:num w:numId="19" w16cid:durableId="470951473">
    <w:abstractNumId w:val="17"/>
  </w:num>
  <w:num w:numId="20" w16cid:durableId="471748486">
    <w:abstractNumId w:val="16"/>
  </w:num>
  <w:num w:numId="21" w16cid:durableId="732384894">
    <w:abstractNumId w:val="17"/>
  </w:num>
  <w:num w:numId="22" w16cid:durableId="1439641194">
    <w:abstractNumId w:val="10"/>
  </w:num>
  <w:num w:numId="23" w16cid:durableId="1801537541">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B614F8"/>
    <w:rsid w:val="00003D34"/>
    <w:rsid w:val="000041F8"/>
    <w:rsid w:val="000042A8"/>
    <w:rsid w:val="00004308"/>
    <w:rsid w:val="00005BF0"/>
    <w:rsid w:val="0000617D"/>
    <w:rsid w:val="00007154"/>
    <w:rsid w:val="000103AE"/>
    <w:rsid w:val="00011D69"/>
    <w:rsid w:val="00012AD3"/>
    <w:rsid w:val="00015C2D"/>
    <w:rsid w:val="00015F00"/>
    <w:rsid w:val="00016586"/>
    <w:rsid w:val="0001768D"/>
    <w:rsid w:val="00022C1D"/>
    <w:rsid w:val="0002592F"/>
    <w:rsid w:val="00031428"/>
    <w:rsid w:val="00034987"/>
    <w:rsid w:val="00041560"/>
    <w:rsid w:val="00055DF1"/>
    <w:rsid w:val="000602DF"/>
    <w:rsid w:val="00061B05"/>
    <w:rsid w:val="000632D5"/>
    <w:rsid w:val="000644EE"/>
    <w:rsid w:val="00064AC8"/>
    <w:rsid w:val="000712E3"/>
    <w:rsid w:val="0007780A"/>
    <w:rsid w:val="00081782"/>
    <w:rsid w:val="00085457"/>
    <w:rsid w:val="000925AD"/>
    <w:rsid w:val="00096FE1"/>
    <w:rsid w:val="00097A62"/>
    <w:rsid w:val="000A24EB"/>
    <w:rsid w:val="000A6618"/>
    <w:rsid w:val="000B0E9B"/>
    <w:rsid w:val="000B686A"/>
    <w:rsid w:val="000B6923"/>
    <w:rsid w:val="000B7195"/>
    <w:rsid w:val="000C2790"/>
    <w:rsid w:val="000C5F3C"/>
    <w:rsid w:val="000C6DCC"/>
    <w:rsid w:val="000D47AA"/>
    <w:rsid w:val="000D721F"/>
    <w:rsid w:val="000E069B"/>
    <w:rsid w:val="000E0E82"/>
    <w:rsid w:val="000E1DC5"/>
    <w:rsid w:val="000E223F"/>
    <w:rsid w:val="000E270A"/>
    <w:rsid w:val="000E46B8"/>
    <w:rsid w:val="000E7D45"/>
    <w:rsid w:val="000F52F4"/>
    <w:rsid w:val="000F7851"/>
    <w:rsid w:val="00101505"/>
    <w:rsid w:val="00104E23"/>
    <w:rsid w:val="00110DA8"/>
    <w:rsid w:val="00111B0C"/>
    <w:rsid w:val="00113711"/>
    <w:rsid w:val="00120D6C"/>
    <w:rsid w:val="00125047"/>
    <w:rsid w:val="001257EC"/>
    <w:rsid w:val="001306BE"/>
    <w:rsid w:val="00133D33"/>
    <w:rsid w:val="00134B6A"/>
    <w:rsid w:val="00134D64"/>
    <w:rsid w:val="001358D5"/>
    <w:rsid w:val="00135A30"/>
    <w:rsid w:val="0013612C"/>
    <w:rsid w:val="00137FF6"/>
    <w:rsid w:val="00141650"/>
    <w:rsid w:val="00150BFA"/>
    <w:rsid w:val="001561B6"/>
    <w:rsid w:val="001607B5"/>
    <w:rsid w:val="00162A12"/>
    <w:rsid w:val="00164C09"/>
    <w:rsid w:val="00166530"/>
    <w:rsid w:val="00170027"/>
    <w:rsid w:val="00182EBA"/>
    <w:rsid w:val="001832BD"/>
    <w:rsid w:val="001943B5"/>
    <w:rsid w:val="00195134"/>
    <w:rsid w:val="001A020C"/>
    <w:rsid w:val="001A145B"/>
    <w:rsid w:val="001A3099"/>
    <w:rsid w:val="001A3E09"/>
    <w:rsid w:val="001A674C"/>
    <w:rsid w:val="001B3B24"/>
    <w:rsid w:val="001C055B"/>
    <w:rsid w:val="001C0F98"/>
    <w:rsid w:val="001C2A42"/>
    <w:rsid w:val="001C769D"/>
    <w:rsid w:val="001D42E9"/>
    <w:rsid w:val="001D63ED"/>
    <w:rsid w:val="001D6A95"/>
    <w:rsid w:val="001D7348"/>
    <w:rsid w:val="001E035B"/>
    <w:rsid w:val="001E0961"/>
    <w:rsid w:val="001E3EAE"/>
    <w:rsid w:val="001E43D4"/>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2395"/>
    <w:rsid w:val="00244B0E"/>
    <w:rsid w:val="00244F6C"/>
    <w:rsid w:val="00246B89"/>
    <w:rsid w:val="00252C4E"/>
    <w:rsid w:val="002532C5"/>
    <w:rsid w:val="00254DF2"/>
    <w:rsid w:val="00260C03"/>
    <w:rsid w:val="00261F46"/>
    <w:rsid w:val="0026439A"/>
    <w:rsid w:val="0026540E"/>
    <w:rsid w:val="00275123"/>
    <w:rsid w:val="00276B23"/>
    <w:rsid w:val="00281B7C"/>
    <w:rsid w:val="00282240"/>
    <w:rsid w:val="00282BD8"/>
    <w:rsid w:val="00287AD5"/>
    <w:rsid w:val="00291331"/>
    <w:rsid w:val="0029280E"/>
    <w:rsid w:val="002934D0"/>
    <w:rsid w:val="00293676"/>
    <w:rsid w:val="00293BD9"/>
    <w:rsid w:val="002948AD"/>
    <w:rsid w:val="002965D2"/>
    <w:rsid w:val="002A01CC"/>
    <w:rsid w:val="002A613A"/>
    <w:rsid w:val="002A61B1"/>
    <w:rsid w:val="002A663C"/>
    <w:rsid w:val="002B3A46"/>
    <w:rsid w:val="002B42F9"/>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2BAF"/>
    <w:rsid w:val="002F637C"/>
    <w:rsid w:val="002F69C4"/>
    <w:rsid w:val="002F7D9E"/>
    <w:rsid w:val="002F7E1C"/>
    <w:rsid w:val="00301470"/>
    <w:rsid w:val="00301A75"/>
    <w:rsid w:val="00302F70"/>
    <w:rsid w:val="0030336F"/>
    <w:rsid w:val="0030375E"/>
    <w:rsid w:val="00303843"/>
    <w:rsid w:val="003039E8"/>
    <w:rsid w:val="00312A30"/>
    <w:rsid w:val="003201D8"/>
    <w:rsid w:val="00320F72"/>
    <w:rsid w:val="0032463E"/>
    <w:rsid w:val="00326224"/>
    <w:rsid w:val="00337EE4"/>
    <w:rsid w:val="00340FFD"/>
    <w:rsid w:val="00342128"/>
    <w:rsid w:val="00345C41"/>
    <w:rsid w:val="003506B1"/>
    <w:rsid w:val="003549B0"/>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2A68"/>
    <w:rsid w:val="003A2CAA"/>
    <w:rsid w:val="003B1127"/>
    <w:rsid w:val="003B2C56"/>
    <w:rsid w:val="003B4941"/>
    <w:rsid w:val="003C24B3"/>
    <w:rsid w:val="003C278B"/>
    <w:rsid w:val="003C5714"/>
    <w:rsid w:val="003C6B9F"/>
    <w:rsid w:val="003C6E2A"/>
    <w:rsid w:val="003C7E1C"/>
    <w:rsid w:val="003D0299"/>
    <w:rsid w:val="003D4D3D"/>
    <w:rsid w:val="003E6D80"/>
    <w:rsid w:val="003E7BCC"/>
    <w:rsid w:val="003F05FA"/>
    <w:rsid w:val="003F244A"/>
    <w:rsid w:val="003F2517"/>
    <w:rsid w:val="003F30B8"/>
    <w:rsid w:val="003F4C45"/>
    <w:rsid w:val="003F5F7B"/>
    <w:rsid w:val="003F7D64"/>
    <w:rsid w:val="004004A1"/>
    <w:rsid w:val="0040433A"/>
    <w:rsid w:val="00404493"/>
    <w:rsid w:val="00414300"/>
    <w:rsid w:val="00414F27"/>
    <w:rsid w:val="00420703"/>
    <w:rsid w:val="00425C67"/>
    <w:rsid w:val="00427E7A"/>
    <w:rsid w:val="004355AC"/>
    <w:rsid w:val="00436C49"/>
    <w:rsid w:val="004433F0"/>
    <w:rsid w:val="00443951"/>
    <w:rsid w:val="00443D98"/>
    <w:rsid w:val="00445366"/>
    <w:rsid w:val="00447F5B"/>
    <w:rsid w:val="00461DB0"/>
    <w:rsid w:val="00463926"/>
    <w:rsid w:val="00464AB7"/>
    <w:rsid w:val="00464C9A"/>
    <w:rsid w:val="00474F3D"/>
    <w:rsid w:val="00475FC3"/>
    <w:rsid w:val="00477E3A"/>
    <w:rsid w:val="00483E5F"/>
    <w:rsid w:val="00485FF9"/>
    <w:rsid w:val="0049049B"/>
    <w:rsid w:val="004907F0"/>
    <w:rsid w:val="00490B41"/>
    <w:rsid w:val="0049140B"/>
    <w:rsid w:val="004923A5"/>
    <w:rsid w:val="0049310E"/>
    <w:rsid w:val="004950E2"/>
    <w:rsid w:val="00496BFB"/>
    <w:rsid w:val="004A15C7"/>
    <w:rsid w:val="004A1A18"/>
    <w:rsid w:val="004A3201"/>
    <w:rsid w:val="004A7044"/>
    <w:rsid w:val="004B013B"/>
    <w:rsid w:val="004B112B"/>
    <w:rsid w:val="004B444E"/>
    <w:rsid w:val="004B4952"/>
    <w:rsid w:val="004C01E4"/>
    <w:rsid w:val="004C086C"/>
    <w:rsid w:val="004C1F56"/>
    <w:rsid w:val="004C27BC"/>
    <w:rsid w:val="004C6621"/>
    <w:rsid w:val="004D0EC7"/>
    <w:rsid w:val="004D15F3"/>
    <w:rsid w:val="004D3B3D"/>
    <w:rsid w:val="004D4EF1"/>
    <w:rsid w:val="004D5311"/>
    <w:rsid w:val="004D5DCC"/>
    <w:rsid w:val="004D60FD"/>
    <w:rsid w:val="004D7E45"/>
    <w:rsid w:val="004E5EA8"/>
    <w:rsid w:val="004F10AF"/>
    <w:rsid w:val="004F11A4"/>
    <w:rsid w:val="004F2389"/>
    <w:rsid w:val="004F304D"/>
    <w:rsid w:val="004F4290"/>
    <w:rsid w:val="004F61BE"/>
    <w:rsid w:val="004F66B1"/>
    <w:rsid w:val="004F6F7D"/>
    <w:rsid w:val="00505F69"/>
    <w:rsid w:val="00511C07"/>
    <w:rsid w:val="005125CB"/>
    <w:rsid w:val="00512EC4"/>
    <w:rsid w:val="005153BF"/>
    <w:rsid w:val="0051725A"/>
    <w:rsid w:val="005173A6"/>
    <w:rsid w:val="00517BB8"/>
    <w:rsid w:val="00520354"/>
    <w:rsid w:val="00520BAA"/>
    <w:rsid w:val="00521173"/>
    <w:rsid w:val="005217D8"/>
    <w:rsid w:val="00525208"/>
    <w:rsid w:val="005257A5"/>
    <w:rsid w:val="005264C0"/>
    <w:rsid w:val="00526A8A"/>
    <w:rsid w:val="00527F35"/>
    <w:rsid w:val="00527FB1"/>
    <w:rsid w:val="00530FE6"/>
    <w:rsid w:val="00531DF2"/>
    <w:rsid w:val="0053315C"/>
    <w:rsid w:val="00534CF7"/>
    <w:rsid w:val="00537476"/>
    <w:rsid w:val="005442EE"/>
    <w:rsid w:val="00545A74"/>
    <w:rsid w:val="00545DA6"/>
    <w:rsid w:val="0054716E"/>
    <w:rsid w:val="00547353"/>
    <w:rsid w:val="005474E7"/>
    <w:rsid w:val="005512A3"/>
    <w:rsid w:val="0055205C"/>
    <w:rsid w:val="00553FB3"/>
    <w:rsid w:val="005578CE"/>
    <w:rsid w:val="00562781"/>
    <w:rsid w:val="00562B6C"/>
    <w:rsid w:val="0057271C"/>
    <w:rsid w:val="00572845"/>
    <w:rsid w:val="00577F82"/>
    <w:rsid w:val="005879A2"/>
    <w:rsid w:val="00592772"/>
    <w:rsid w:val="0059349C"/>
    <w:rsid w:val="0059574A"/>
    <w:rsid w:val="005A1B9B"/>
    <w:rsid w:val="005A2221"/>
    <w:rsid w:val="005A2E79"/>
    <w:rsid w:val="005A6751"/>
    <w:rsid w:val="005B092E"/>
    <w:rsid w:val="005B152C"/>
    <w:rsid w:val="005B1EE0"/>
    <w:rsid w:val="005B2B24"/>
    <w:rsid w:val="005B4425"/>
    <w:rsid w:val="005B4B94"/>
    <w:rsid w:val="005C2C62"/>
    <w:rsid w:val="005C3EE8"/>
    <w:rsid w:val="005D1D63"/>
    <w:rsid w:val="005D2F2A"/>
    <w:rsid w:val="005D34F9"/>
    <w:rsid w:val="005D412D"/>
    <w:rsid w:val="005D4190"/>
    <w:rsid w:val="005D67A3"/>
    <w:rsid w:val="005E2988"/>
    <w:rsid w:val="005E3085"/>
    <w:rsid w:val="005E4A2F"/>
    <w:rsid w:val="005F0EB3"/>
    <w:rsid w:val="005F51E1"/>
    <w:rsid w:val="0060721D"/>
    <w:rsid w:val="00611C80"/>
    <w:rsid w:val="00620692"/>
    <w:rsid w:val="00622B18"/>
    <w:rsid w:val="00623885"/>
    <w:rsid w:val="00623D6C"/>
    <w:rsid w:val="006242CA"/>
    <w:rsid w:val="00627507"/>
    <w:rsid w:val="00633717"/>
    <w:rsid w:val="006344E1"/>
    <w:rsid w:val="00643524"/>
    <w:rsid w:val="00643580"/>
    <w:rsid w:val="0064393B"/>
    <w:rsid w:val="00645CF2"/>
    <w:rsid w:val="00653BE6"/>
    <w:rsid w:val="00653BED"/>
    <w:rsid w:val="006545C4"/>
    <w:rsid w:val="00660055"/>
    <w:rsid w:val="00661971"/>
    <w:rsid w:val="00661CE8"/>
    <w:rsid w:val="006623D9"/>
    <w:rsid w:val="006642A5"/>
    <w:rsid w:val="0066550C"/>
    <w:rsid w:val="00665BD2"/>
    <w:rsid w:val="006716F2"/>
    <w:rsid w:val="00675AF2"/>
    <w:rsid w:val="00682BF2"/>
    <w:rsid w:val="0068573E"/>
    <w:rsid w:val="0068574C"/>
    <w:rsid w:val="006859CE"/>
    <w:rsid w:val="00691270"/>
    <w:rsid w:val="00691585"/>
    <w:rsid w:val="00694BA8"/>
    <w:rsid w:val="006A037C"/>
    <w:rsid w:val="006A0C84"/>
    <w:rsid w:val="006A36F4"/>
    <w:rsid w:val="006A406F"/>
    <w:rsid w:val="006A4E97"/>
    <w:rsid w:val="006A5D3A"/>
    <w:rsid w:val="006B1942"/>
    <w:rsid w:val="006B47E3"/>
    <w:rsid w:val="006C23D4"/>
    <w:rsid w:val="006C7BB0"/>
    <w:rsid w:val="006D3237"/>
    <w:rsid w:val="006D5D0E"/>
    <w:rsid w:val="006E2E37"/>
    <w:rsid w:val="006E3CF1"/>
    <w:rsid w:val="006E68A3"/>
    <w:rsid w:val="006E7E80"/>
    <w:rsid w:val="006F1C2D"/>
    <w:rsid w:val="006F22A1"/>
    <w:rsid w:val="006F48CA"/>
    <w:rsid w:val="006F64DD"/>
    <w:rsid w:val="006F712D"/>
    <w:rsid w:val="00715127"/>
    <w:rsid w:val="00715E8E"/>
    <w:rsid w:val="0071750E"/>
    <w:rsid w:val="00723580"/>
    <w:rsid w:val="00723755"/>
    <w:rsid w:val="00723E09"/>
    <w:rsid w:val="0073136C"/>
    <w:rsid w:val="00731F0F"/>
    <w:rsid w:val="00733250"/>
    <w:rsid w:val="0073501D"/>
    <w:rsid w:val="00740225"/>
    <w:rsid w:val="00741404"/>
    <w:rsid w:val="007449E5"/>
    <w:rsid w:val="0074750E"/>
    <w:rsid w:val="00747FF0"/>
    <w:rsid w:val="00751066"/>
    <w:rsid w:val="0075566E"/>
    <w:rsid w:val="00763602"/>
    <w:rsid w:val="00763956"/>
    <w:rsid w:val="00764D4E"/>
    <w:rsid w:val="00765A1F"/>
    <w:rsid w:val="00775B6D"/>
    <w:rsid w:val="00776D68"/>
    <w:rsid w:val="00777B1A"/>
    <w:rsid w:val="00781140"/>
    <w:rsid w:val="00781144"/>
    <w:rsid w:val="0078323E"/>
    <w:rsid w:val="007849C2"/>
    <w:rsid w:val="007850EE"/>
    <w:rsid w:val="00785B95"/>
    <w:rsid w:val="00790E96"/>
    <w:rsid w:val="007926FD"/>
    <w:rsid w:val="00793366"/>
    <w:rsid w:val="007938F5"/>
    <w:rsid w:val="0079666C"/>
    <w:rsid w:val="007A0A39"/>
    <w:rsid w:val="007A716F"/>
    <w:rsid w:val="007B270A"/>
    <w:rsid w:val="007B4182"/>
    <w:rsid w:val="007C0695"/>
    <w:rsid w:val="007C419A"/>
    <w:rsid w:val="007C4CC8"/>
    <w:rsid w:val="007C5426"/>
    <w:rsid w:val="007C5798"/>
    <w:rsid w:val="007C6722"/>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32C"/>
    <w:rsid w:val="008255F5"/>
    <w:rsid w:val="00826890"/>
    <w:rsid w:val="0083014E"/>
    <w:rsid w:val="0083214A"/>
    <w:rsid w:val="00834220"/>
    <w:rsid w:val="00841C21"/>
    <w:rsid w:val="00845723"/>
    <w:rsid w:val="008519E7"/>
    <w:rsid w:val="00851EF9"/>
    <w:rsid w:val="00852649"/>
    <w:rsid w:val="008577FD"/>
    <w:rsid w:val="00860B03"/>
    <w:rsid w:val="0086497A"/>
    <w:rsid w:val="0086538E"/>
    <w:rsid w:val="00867066"/>
    <w:rsid w:val="008713A1"/>
    <w:rsid w:val="00872584"/>
    <w:rsid w:val="008754AB"/>
    <w:rsid w:val="0087792D"/>
    <w:rsid w:val="0088060C"/>
    <w:rsid w:val="00882CD5"/>
    <w:rsid w:val="00883151"/>
    <w:rsid w:val="00884637"/>
    <w:rsid w:val="00893576"/>
    <w:rsid w:val="00893E73"/>
    <w:rsid w:val="008A1FFD"/>
    <w:rsid w:val="008B02DC"/>
    <w:rsid w:val="008B092C"/>
    <w:rsid w:val="008B5370"/>
    <w:rsid w:val="008B57CE"/>
    <w:rsid w:val="008B6F50"/>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353"/>
    <w:rsid w:val="009066FC"/>
    <w:rsid w:val="00913FB9"/>
    <w:rsid w:val="009140A3"/>
    <w:rsid w:val="009144A2"/>
    <w:rsid w:val="0091510C"/>
    <w:rsid w:val="009259AC"/>
    <w:rsid w:val="00926F38"/>
    <w:rsid w:val="00927BEB"/>
    <w:rsid w:val="00930123"/>
    <w:rsid w:val="009333DC"/>
    <w:rsid w:val="00934301"/>
    <w:rsid w:val="00936CD1"/>
    <w:rsid w:val="0094131C"/>
    <w:rsid w:val="00941747"/>
    <w:rsid w:val="00941EFB"/>
    <w:rsid w:val="00947AFB"/>
    <w:rsid w:val="00951AA3"/>
    <w:rsid w:val="00951D7D"/>
    <w:rsid w:val="00956D0C"/>
    <w:rsid w:val="009630C7"/>
    <w:rsid w:val="00970F2B"/>
    <w:rsid w:val="00972B55"/>
    <w:rsid w:val="009743B7"/>
    <w:rsid w:val="0098228B"/>
    <w:rsid w:val="009828DA"/>
    <w:rsid w:val="0098410D"/>
    <w:rsid w:val="00985BAB"/>
    <w:rsid w:val="00986B3C"/>
    <w:rsid w:val="00997B7B"/>
    <w:rsid w:val="009A115C"/>
    <w:rsid w:val="009A7FC1"/>
    <w:rsid w:val="009B1606"/>
    <w:rsid w:val="009B1B5F"/>
    <w:rsid w:val="009B6673"/>
    <w:rsid w:val="009B68C7"/>
    <w:rsid w:val="009C191B"/>
    <w:rsid w:val="009C2BD6"/>
    <w:rsid w:val="009D337D"/>
    <w:rsid w:val="009D57AA"/>
    <w:rsid w:val="009E1F32"/>
    <w:rsid w:val="009E2CC2"/>
    <w:rsid w:val="009E47A2"/>
    <w:rsid w:val="009E776C"/>
    <w:rsid w:val="009E7A6F"/>
    <w:rsid w:val="009F4C8F"/>
    <w:rsid w:val="00A02972"/>
    <w:rsid w:val="00A03BFC"/>
    <w:rsid w:val="00A05588"/>
    <w:rsid w:val="00A115C4"/>
    <w:rsid w:val="00A15601"/>
    <w:rsid w:val="00A1726E"/>
    <w:rsid w:val="00A204CF"/>
    <w:rsid w:val="00A20AC0"/>
    <w:rsid w:val="00A21D2B"/>
    <w:rsid w:val="00A22745"/>
    <w:rsid w:val="00A23D49"/>
    <w:rsid w:val="00A27004"/>
    <w:rsid w:val="00A308CE"/>
    <w:rsid w:val="00A30C29"/>
    <w:rsid w:val="00A31B02"/>
    <w:rsid w:val="00A34DD6"/>
    <w:rsid w:val="00A35683"/>
    <w:rsid w:val="00A36247"/>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6EFC"/>
    <w:rsid w:val="00A77BDA"/>
    <w:rsid w:val="00A82359"/>
    <w:rsid w:val="00A865D2"/>
    <w:rsid w:val="00A87C10"/>
    <w:rsid w:val="00A90BCD"/>
    <w:rsid w:val="00A924BF"/>
    <w:rsid w:val="00A92625"/>
    <w:rsid w:val="00A940AB"/>
    <w:rsid w:val="00A94C20"/>
    <w:rsid w:val="00A95D81"/>
    <w:rsid w:val="00AA1B09"/>
    <w:rsid w:val="00AA227F"/>
    <w:rsid w:val="00AA3BC7"/>
    <w:rsid w:val="00AA406F"/>
    <w:rsid w:val="00AA754A"/>
    <w:rsid w:val="00AB099E"/>
    <w:rsid w:val="00AB4328"/>
    <w:rsid w:val="00AB4CB1"/>
    <w:rsid w:val="00AC0C6B"/>
    <w:rsid w:val="00AC2508"/>
    <w:rsid w:val="00AC38DE"/>
    <w:rsid w:val="00AC4CD4"/>
    <w:rsid w:val="00AD18A0"/>
    <w:rsid w:val="00AD3D9F"/>
    <w:rsid w:val="00AE0A2E"/>
    <w:rsid w:val="00AE354C"/>
    <w:rsid w:val="00AF12C5"/>
    <w:rsid w:val="00AF4B07"/>
    <w:rsid w:val="00AF6186"/>
    <w:rsid w:val="00AF7A3A"/>
    <w:rsid w:val="00B00106"/>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0767"/>
    <w:rsid w:val="00B52BE0"/>
    <w:rsid w:val="00B54133"/>
    <w:rsid w:val="00B55A8D"/>
    <w:rsid w:val="00B614F8"/>
    <w:rsid w:val="00B62A53"/>
    <w:rsid w:val="00B701ED"/>
    <w:rsid w:val="00B748F7"/>
    <w:rsid w:val="00B8086C"/>
    <w:rsid w:val="00B81C58"/>
    <w:rsid w:val="00B84370"/>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3EC6"/>
    <w:rsid w:val="00BE41E5"/>
    <w:rsid w:val="00BE4CE2"/>
    <w:rsid w:val="00BF118F"/>
    <w:rsid w:val="00BF3C91"/>
    <w:rsid w:val="00BF4109"/>
    <w:rsid w:val="00BF4CC3"/>
    <w:rsid w:val="00C0456C"/>
    <w:rsid w:val="00C054C7"/>
    <w:rsid w:val="00C057B5"/>
    <w:rsid w:val="00C07D0E"/>
    <w:rsid w:val="00C115C3"/>
    <w:rsid w:val="00C125AB"/>
    <w:rsid w:val="00C15547"/>
    <w:rsid w:val="00C15AB6"/>
    <w:rsid w:val="00C1672D"/>
    <w:rsid w:val="00C22687"/>
    <w:rsid w:val="00C2299E"/>
    <w:rsid w:val="00C26A92"/>
    <w:rsid w:val="00C26B1C"/>
    <w:rsid w:val="00C32E4D"/>
    <w:rsid w:val="00C330EE"/>
    <w:rsid w:val="00C333A0"/>
    <w:rsid w:val="00C33613"/>
    <w:rsid w:val="00C340B6"/>
    <w:rsid w:val="00C36A81"/>
    <w:rsid w:val="00C41974"/>
    <w:rsid w:val="00C44A2C"/>
    <w:rsid w:val="00C44F09"/>
    <w:rsid w:val="00C477F7"/>
    <w:rsid w:val="00C509A6"/>
    <w:rsid w:val="00C519B8"/>
    <w:rsid w:val="00C53F4A"/>
    <w:rsid w:val="00C54125"/>
    <w:rsid w:val="00C55B54"/>
    <w:rsid w:val="00C6098E"/>
    <w:rsid w:val="00C6152C"/>
    <w:rsid w:val="00C71424"/>
    <w:rsid w:val="00C74810"/>
    <w:rsid w:val="00C90D68"/>
    <w:rsid w:val="00C939FE"/>
    <w:rsid w:val="00CA4BDA"/>
    <w:rsid w:val="00CA6270"/>
    <w:rsid w:val="00CB13E3"/>
    <w:rsid w:val="00CB1F66"/>
    <w:rsid w:val="00CB232C"/>
    <w:rsid w:val="00CB2951"/>
    <w:rsid w:val="00CB4277"/>
    <w:rsid w:val="00CC5067"/>
    <w:rsid w:val="00CC5687"/>
    <w:rsid w:val="00CD11D3"/>
    <w:rsid w:val="00CD282B"/>
    <w:rsid w:val="00CD447B"/>
    <w:rsid w:val="00CD4C35"/>
    <w:rsid w:val="00CD7369"/>
    <w:rsid w:val="00CE0B0E"/>
    <w:rsid w:val="00CE18BA"/>
    <w:rsid w:val="00CE1962"/>
    <w:rsid w:val="00CE3831"/>
    <w:rsid w:val="00CE79E5"/>
    <w:rsid w:val="00CF207F"/>
    <w:rsid w:val="00CF2397"/>
    <w:rsid w:val="00D00ABB"/>
    <w:rsid w:val="00D02EEC"/>
    <w:rsid w:val="00D03551"/>
    <w:rsid w:val="00D04315"/>
    <w:rsid w:val="00D0436E"/>
    <w:rsid w:val="00D06A63"/>
    <w:rsid w:val="00D07E0E"/>
    <w:rsid w:val="00D10CD6"/>
    <w:rsid w:val="00D11478"/>
    <w:rsid w:val="00D116F0"/>
    <w:rsid w:val="00D15ED0"/>
    <w:rsid w:val="00D164BF"/>
    <w:rsid w:val="00D21B3E"/>
    <w:rsid w:val="00D21FED"/>
    <w:rsid w:val="00D23048"/>
    <w:rsid w:val="00D24251"/>
    <w:rsid w:val="00D26E72"/>
    <w:rsid w:val="00D343E2"/>
    <w:rsid w:val="00D361A2"/>
    <w:rsid w:val="00D37272"/>
    <w:rsid w:val="00D44C2E"/>
    <w:rsid w:val="00D45414"/>
    <w:rsid w:val="00D45CEC"/>
    <w:rsid w:val="00D50A0A"/>
    <w:rsid w:val="00D53548"/>
    <w:rsid w:val="00D5576B"/>
    <w:rsid w:val="00D566BD"/>
    <w:rsid w:val="00D57A4D"/>
    <w:rsid w:val="00D60AA7"/>
    <w:rsid w:val="00D6435F"/>
    <w:rsid w:val="00D66471"/>
    <w:rsid w:val="00D669D4"/>
    <w:rsid w:val="00D704FA"/>
    <w:rsid w:val="00D70641"/>
    <w:rsid w:val="00D74888"/>
    <w:rsid w:val="00D7488B"/>
    <w:rsid w:val="00D75E28"/>
    <w:rsid w:val="00D772C2"/>
    <w:rsid w:val="00D8008E"/>
    <w:rsid w:val="00D82C45"/>
    <w:rsid w:val="00D8301A"/>
    <w:rsid w:val="00D908A8"/>
    <w:rsid w:val="00D95D96"/>
    <w:rsid w:val="00D977B6"/>
    <w:rsid w:val="00DA10E6"/>
    <w:rsid w:val="00DA1223"/>
    <w:rsid w:val="00DA4A31"/>
    <w:rsid w:val="00DA7B04"/>
    <w:rsid w:val="00DB060D"/>
    <w:rsid w:val="00DB36C2"/>
    <w:rsid w:val="00DC00A8"/>
    <w:rsid w:val="00DC169B"/>
    <w:rsid w:val="00DC2AB9"/>
    <w:rsid w:val="00DC63F0"/>
    <w:rsid w:val="00DD37EA"/>
    <w:rsid w:val="00DD6EE5"/>
    <w:rsid w:val="00DE386C"/>
    <w:rsid w:val="00DE4D35"/>
    <w:rsid w:val="00DE7677"/>
    <w:rsid w:val="00DF098B"/>
    <w:rsid w:val="00DF11C4"/>
    <w:rsid w:val="00DF210C"/>
    <w:rsid w:val="00DF4B6A"/>
    <w:rsid w:val="00E004C0"/>
    <w:rsid w:val="00E02C09"/>
    <w:rsid w:val="00E04D59"/>
    <w:rsid w:val="00E07DA1"/>
    <w:rsid w:val="00E123CB"/>
    <w:rsid w:val="00E13B09"/>
    <w:rsid w:val="00E1405B"/>
    <w:rsid w:val="00E20E13"/>
    <w:rsid w:val="00E21DBC"/>
    <w:rsid w:val="00E243BE"/>
    <w:rsid w:val="00E275D7"/>
    <w:rsid w:val="00E27DBE"/>
    <w:rsid w:val="00E32AB1"/>
    <w:rsid w:val="00E36C71"/>
    <w:rsid w:val="00E40404"/>
    <w:rsid w:val="00E4126A"/>
    <w:rsid w:val="00E42A06"/>
    <w:rsid w:val="00E459C6"/>
    <w:rsid w:val="00E47589"/>
    <w:rsid w:val="00E47D75"/>
    <w:rsid w:val="00E50B28"/>
    <w:rsid w:val="00E524E5"/>
    <w:rsid w:val="00E52F63"/>
    <w:rsid w:val="00E557AA"/>
    <w:rsid w:val="00E55BE1"/>
    <w:rsid w:val="00E63EC7"/>
    <w:rsid w:val="00E64915"/>
    <w:rsid w:val="00E64D3A"/>
    <w:rsid w:val="00E661D4"/>
    <w:rsid w:val="00E67565"/>
    <w:rsid w:val="00E70091"/>
    <w:rsid w:val="00E70D2E"/>
    <w:rsid w:val="00E720F5"/>
    <w:rsid w:val="00E744E0"/>
    <w:rsid w:val="00E76D47"/>
    <w:rsid w:val="00E827BC"/>
    <w:rsid w:val="00E838A6"/>
    <w:rsid w:val="00E83D1D"/>
    <w:rsid w:val="00E849F7"/>
    <w:rsid w:val="00E90302"/>
    <w:rsid w:val="00E91D05"/>
    <w:rsid w:val="00E9262D"/>
    <w:rsid w:val="00E94245"/>
    <w:rsid w:val="00E94B9C"/>
    <w:rsid w:val="00E95C1E"/>
    <w:rsid w:val="00E97396"/>
    <w:rsid w:val="00EA185E"/>
    <w:rsid w:val="00EA592A"/>
    <w:rsid w:val="00EA64CD"/>
    <w:rsid w:val="00EB14E4"/>
    <w:rsid w:val="00EB32A5"/>
    <w:rsid w:val="00EB34ED"/>
    <w:rsid w:val="00EB447C"/>
    <w:rsid w:val="00EB7BE0"/>
    <w:rsid w:val="00EC153A"/>
    <w:rsid w:val="00EC315E"/>
    <w:rsid w:val="00ED077C"/>
    <w:rsid w:val="00ED10A9"/>
    <w:rsid w:val="00ED1190"/>
    <w:rsid w:val="00ED1CA2"/>
    <w:rsid w:val="00ED34AC"/>
    <w:rsid w:val="00ED6544"/>
    <w:rsid w:val="00EE0277"/>
    <w:rsid w:val="00EE2899"/>
    <w:rsid w:val="00EE3E00"/>
    <w:rsid w:val="00EE5DD2"/>
    <w:rsid w:val="00EF2EE9"/>
    <w:rsid w:val="00EF36C5"/>
    <w:rsid w:val="00EF3DB4"/>
    <w:rsid w:val="00F00A79"/>
    <w:rsid w:val="00F00D13"/>
    <w:rsid w:val="00F00E86"/>
    <w:rsid w:val="00F07C1E"/>
    <w:rsid w:val="00F105DB"/>
    <w:rsid w:val="00F11A06"/>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277F"/>
    <w:rsid w:val="00F64EF1"/>
    <w:rsid w:val="00F72498"/>
    <w:rsid w:val="00F72B14"/>
    <w:rsid w:val="00F7349B"/>
    <w:rsid w:val="00F8035E"/>
    <w:rsid w:val="00F8765F"/>
    <w:rsid w:val="00F90767"/>
    <w:rsid w:val="00F9263C"/>
    <w:rsid w:val="00FA04AD"/>
    <w:rsid w:val="00FA1637"/>
    <w:rsid w:val="00FA685B"/>
    <w:rsid w:val="00FA7745"/>
    <w:rsid w:val="00FB0C01"/>
    <w:rsid w:val="00FB2F3B"/>
    <w:rsid w:val="00FB41CF"/>
    <w:rsid w:val="00FB5934"/>
    <w:rsid w:val="00FB60ED"/>
    <w:rsid w:val="00FB6C52"/>
    <w:rsid w:val="00FC18F2"/>
    <w:rsid w:val="00FC2A17"/>
    <w:rsid w:val="00FC38CF"/>
    <w:rsid w:val="00FC39E5"/>
    <w:rsid w:val="00FC3A78"/>
    <w:rsid w:val="00FD1005"/>
    <w:rsid w:val="00FD1F7F"/>
    <w:rsid w:val="00FD6C75"/>
    <w:rsid w:val="00FD7972"/>
    <w:rsid w:val="00FE0401"/>
    <w:rsid w:val="00FE71B3"/>
    <w:rsid w:val="00FF42C5"/>
    <w:rsid w:val="00FF76E7"/>
    <w:rsid w:val="00FF7FF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1C3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527F35"/>
    <w:rPr>
      <w:sz w:val="24"/>
    </w:rPr>
  </w:style>
  <w:style w:type="paragraph" w:styleId="Nagwek1">
    <w:name w:val="heading 1"/>
    <w:basedOn w:val="Normalny"/>
    <w:next w:val="Normalny"/>
    <w:link w:val="Nagwek1Znak"/>
    <w:uiPriority w:val="98"/>
    <w:semiHidden/>
    <w:rsid w:val="00C340B6"/>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C340B6"/>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C340B6"/>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C340B6"/>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C340B6"/>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C340B6"/>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C340B6"/>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C340B6"/>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C340B6"/>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C340B6"/>
    <w:rPr>
      <w:rFonts w:ascii="Tahoma" w:hAnsi="Tahoma" w:cs="Tahoma"/>
      <w:sz w:val="16"/>
    </w:rPr>
  </w:style>
  <w:style w:type="character" w:customStyle="1" w:styleId="TekstdymkaZnak">
    <w:name w:val="Tekst dymka Znak"/>
    <w:basedOn w:val="Domylnaczcionkaakapitu"/>
    <w:link w:val="Tekstdymka"/>
    <w:uiPriority w:val="98"/>
    <w:semiHidden/>
    <w:rsid w:val="00C340B6"/>
    <w:rPr>
      <w:rFonts w:ascii="Tahoma" w:hAnsi="Tahoma" w:cs="Tahoma"/>
      <w:sz w:val="16"/>
    </w:rPr>
  </w:style>
  <w:style w:type="character" w:styleId="Tytuksiki">
    <w:name w:val="Book Title"/>
    <w:uiPriority w:val="98"/>
    <w:semiHidden/>
    <w:qFormat/>
    <w:rsid w:val="00C340B6"/>
    <w:rPr>
      <w:i/>
      <w:smallCaps/>
    </w:rPr>
  </w:style>
  <w:style w:type="paragraph" w:customStyle="1" w:styleId="JuHeader">
    <w:name w:val="Ju_Header"/>
    <w:aliases w:val="_Header"/>
    <w:basedOn w:val="Nagwek"/>
    <w:uiPriority w:val="29"/>
    <w:qFormat/>
    <w:rsid w:val="00C340B6"/>
    <w:pPr>
      <w:tabs>
        <w:tab w:val="clear" w:pos="4536"/>
        <w:tab w:val="clear" w:pos="9072"/>
      </w:tabs>
      <w:jc w:val="center"/>
    </w:pPr>
    <w:rPr>
      <w:sz w:val="18"/>
    </w:rPr>
  </w:style>
  <w:style w:type="paragraph" w:customStyle="1" w:styleId="NormalJustified">
    <w:name w:val="Normal_Justified"/>
    <w:basedOn w:val="Normalny"/>
    <w:semiHidden/>
    <w:rsid w:val="00C340B6"/>
    <w:pPr>
      <w:jc w:val="both"/>
    </w:pPr>
  </w:style>
  <w:style w:type="character" w:styleId="Pogrubienie">
    <w:name w:val="Strong"/>
    <w:uiPriority w:val="98"/>
    <w:semiHidden/>
    <w:qFormat/>
    <w:rsid w:val="00C340B6"/>
    <w:rPr>
      <w:b/>
    </w:rPr>
  </w:style>
  <w:style w:type="paragraph" w:styleId="Bezodstpw">
    <w:name w:val="No Spacing"/>
    <w:basedOn w:val="Normalny"/>
    <w:link w:val="BezodstpwZnak"/>
    <w:uiPriority w:val="98"/>
    <w:semiHidden/>
    <w:qFormat/>
    <w:rsid w:val="00C340B6"/>
  </w:style>
  <w:style w:type="character" w:customStyle="1" w:styleId="BezodstpwZnak">
    <w:name w:val="Bez odstępów Znak"/>
    <w:basedOn w:val="Domylnaczcionkaakapitu"/>
    <w:link w:val="Bezodstpw"/>
    <w:uiPriority w:val="98"/>
    <w:semiHidden/>
    <w:rsid w:val="00C340B6"/>
    <w:rPr>
      <w:sz w:val="24"/>
    </w:rPr>
  </w:style>
  <w:style w:type="paragraph" w:customStyle="1" w:styleId="JuQuot">
    <w:name w:val="Ju_Quot"/>
    <w:aliases w:val="_Quote"/>
    <w:basedOn w:val="NormalJustified"/>
    <w:uiPriority w:val="20"/>
    <w:qFormat/>
    <w:rsid w:val="00C340B6"/>
    <w:pPr>
      <w:spacing w:before="120" w:after="120"/>
      <w:ind w:left="425" w:firstLine="142"/>
    </w:pPr>
    <w:rPr>
      <w:sz w:val="20"/>
    </w:rPr>
  </w:style>
  <w:style w:type="paragraph" w:customStyle="1" w:styleId="DummyStyle">
    <w:name w:val="Dummy_Style"/>
    <w:aliases w:val="_Dummy"/>
    <w:basedOn w:val="Normalny"/>
    <w:semiHidden/>
    <w:qFormat/>
    <w:rsid w:val="00C340B6"/>
    <w:rPr>
      <w:color w:val="00B050"/>
      <w:sz w:val="22"/>
    </w:rPr>
  </w:style>
  <w:style w:type="paragraph" w:customStyle="1" w:styleId="JuList">
    <w:name w:val="Ju_List"/>
    <w:aliases w:val="_List_1"/>
    <w:basedOn w:val="NormalJustified"/>
    <w:uiPriority w:val="23"/>
    <w:qFormat/>
    <w:rsid w:val="00C340B6"/>
    <w:pPr>
      <w:numPr>
        <w:numId w:val="23"/>
      </w:numPr>
      <w:spacing w:before="280" w:after="60"/>
    </w:pPr>
  </w:style>
  <w:style w:type="paragraph" w:customStyle="1" w:styleId="JuLista">
    <w:name w:val="Ju_List_a"/>
    <w:aliases w:val="_List_2"/>
    <w:basedOn w:val="NormalJustified"/>
    <w:uiPriority w:val="23"/>
    <w:rsid w:val="00C340B6"/>
    <w:pPr>
      <w:numPr>
        <w:ilvl w:val="1"/>
        <w:numId w:val="23"/>
      </w:numPr>
    </w:pPr>
  </w:style>
  <w:style w:type="paragraph" w:customStyle="1" w:styleId="JuListi">
    <w:name w:val="Ju_List_i"/>
    <w:aliases w:val="_List_3"/>
    <w:basedOn w:val="NormalJustified"/>
    <w:uiPriority w:val="23"/>
    <w:rsid w:val="00C340B6"/>
    <w:pPr>
      <w:numPr>
        <w:ilvl w:val="2"/>
        <w:numId w:val="23"/>
      </w:numPr>
    </w:pPr>
  </w:style>
  <w:style w:type="paragraph" w:customStyle="1" w:styleId="JuHArticle">
    <w:name w:val="Ju_H_Article"/>
    <w:aliases w:val="_Title_Quote"/>
    <w:basedOn w:val="Normalny"/>
    <w:next w:val="JuQuot"/>
    <w:uiPriority w:val="19"/>
    <w:qFormat/>
    <w:rsid w:val="00C340B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340B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340B6"/>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C340B6"/>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C340B6"/>
    <w:pPr>
      <w:numPr>
        <w:numId w:val="17"/>
      </w:numPr>
    </w:pPr>
  </w:style>
  <w:style w:type="paragraph" w:customStyle="1" w:styleId="JuSigned">
    <w:name w:val="Ju_Signed"/>
    <w:aliases w:val="_Signature"/>
    <w:basedOn w:val="Normalny"/>
    <w:next w:val="JuPara"/>
    <w:uiPriority w:val="31"/>
    <w:qFormat/>
    <w:rsid w:val="00C340B6"/>
    <w:pPr>
      <w:tabs>
        <w:tab w:val="center" w:pos="1418"/>
        <w:tab w:val="center" w:pos="5954"/>
      </w:tabs>
      <w:spacing w:before="720"/>
    </w:pPr>
  </w:style>
  <w:style w:type="paragraph" w:styleId="Tytu">
    <w:name w:val="Title"/>
    <w:basedOn w:val="Normalny"/>
    <w:next w:val="Normalny"/>
    <w:link w:val="TytuZnak"/>
    <w:uiPriority w:val="98"/>
    <w:semiHidden/>
    <w:qFormat/>
    <w:rsid w:val="00C340B6"/>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C340B6"/>
    <w:rPr>
      <w:rFonts w:asciiTheme="majorHAnsi" w:eastAsiaTheme="majorEastAsia" w:hAnsiTheme="majorHAnsi" w:cstheme="majorBidi"/>
      <w:sz w:val="52"/>
    </w:rPr>
  </w:style>
  <w:style w:type="numbering" w:customStyle="1" w:styleId="ECHRA1StyleList">
    <w:name w:val="ECHR_A1_Style_List"/>
    <w:basedOn w:val="Bezlisty"/>
    <w:uiPriority w:val="99"/>
    <w:rsid w:val="00C340B6"/>
    <w:pPr>
      <w:numPr>
        <w:numId w:val="18"/>
      </w:numPr>
    </w:pPr>
  </w:style>
  <w:style w:type="numbering" w:customStyle="1" w:styleId="ECHRA1StyleNumberedList">
    <w:name w:val="ECHR_A1_Style_Numbered_List"/>
    <w:basedOn w:val="Bezlisty"/>
    <w:rsid w:val="00C340B6"/>
    <w:pPr>
      <w:numPr>
        <w:numId w:val="19"/>
      </w:numPr>
    </w:pPr>
  </w:style>
  <w:style w:type="table" w:customStyle="1" w:styleId="ECHRTable2019">
    <w:name w:val="ECHR_Table_2019"/>
    <w:basedOn w:val="Standardowy"/>
    <w:uiPriority w:val="99"/>
    <w:rsid w:val="00C340B6"/>
    <w:rPr>
      <w:sz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C340B6"/>
    <w:pPr>
      <w:tabs>
        <w:tab w:val="left" w:pos="907"/>
        <w:tab w:val="left" w:pos="1701"/>
        <w:tab w:val="right" w:pos="7371"/>
      </w:tabs>
      <w:spacing w:before="240"/>
      <w:ind w:left="397" w:hanging="397"/>
    </w:pPr>
  </w:style>
  <w:style w:type="paragraph" w:customStyle="1" w:styleId="JuHIRoman">
    <w:name w:val="Ju_H_I_Roman"/>
    <w:aliases w:val="_Head_2"/>
    <w:basedOn w:val="Nagwek2"/>
    <w:next w:val="JuPara"/>
    <w:uiPriority w:val="17"/>
    <w:qFormat/>
    <w:rsid w:val="00C340B6"/>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C340B6"/>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C340B6"/>
    <w:pPr>
      <w:keepNext/>
      <w:keepLines/>
      <w:numPr>
        <w:ilvl w:val="3"/>
        <w:numId w:val="22"/>
      </w:numPr>
      <w:spacing w:before="100" w:beforeAutospacing="1" w:after="120"/>
      <w:jc w:val="both"/>
    </w:pPr>
    <w:rPr>
      <w:b w:val="0"/>
      <w:color w:val="auto"/>
      <w:sz w:val="24"/>
    </w:rPr>
  </w:style>
  <w:style w:type="paragraph" w:styleId="Nagwek">
    <w:name w:val="header"/>
    <w:basedOn w:val="Normalny"/>
    <w:link w:val="NagwekZnak"/>
    <w:uiPriority w:val="98"/>
    <w:semiHidden/>
    <w:rsid w:val="00C340B6"/>
    <w:pPr>
      <w:tabs>
        <w:tab w:val="center" w:pos="4536"/>
        <w:tab w:val="right" w:pos="9072"/>
      </w:tabs>
    </w:pPr>
  </w:style>
  <w:style w:type="character" w:customStyle="1" w:styleId="NagwekZnak">
    <w:name w:val="Nagłówek Znak"/>
    <w:basedOn w:val="Domylnaczcionkaakapitu"/>
    <w:link w:val="Nagwek"/>
    <w:uiPriority w:val="98"/>
    <w:semiHidden/>
    <w:rsid w:val="00C340B6"/>
    <w:rPr>
      <w:sz w:val="24"/>
    </w:rPr>
  </w:style>
  <w:style w:type="character" w:customStyle="1" w:styleId="Nagwek1Znak">
    <w:name w:val="Nagłówek 1 Znak"/>
    <w:basedOn w:val="Domylnaczcionkaakapitu"/>
    <w:link w:val="Nagwek1"/>
    <w:uiPriority w:val="98"/>
    <w:semiHidden/>
    <w:rsid w:val="00C340B6"/>
    <w:rPr>
      <w:rFonts w:asciiTheme="majorHAnsi" w:eastAsiaTheme="majorEastAsia" w:hAnsiTheme="majorHAnsi" w:cstheme="majorBidi"/>
      <w:b/>
      <w:color w:val="333333"/>
      <w:sz w:val="28"/>
    </w:rPr>
  </w:style>
  <w:style w:type="paragraph" w:customStyle="1" w:styleId="JuHa0">
    <w:name w:val="Ju_H_a"/>
    <w:aliases w:val="_Head_5"/>
    <w:basedOn w:val="Nagwek5"/>
    <w:next w:val="JuPara"/>
    <w:uiPriority w:val="17"/>
    <w:rsid w:val="00C340B6"/>
    <w:pPr>
      <w:keepNext/>
      <w:keepLines/>
      <w:numPr>
        <w:ilvl w:val="4"/>
        <w:numId w:val="22"/>
      </w:numPr>
      <w:spacing w:before="100" w:beforeAutospacing="1" w:after="120"/>
      <w:jc w:val="both"/>
    </w:pPr>
    <w:rPr>
      <w:color w:val="auto"/>
      <w:sz w:val="20"/>
    </w:rPr>
  </w:style>
  <w:style w:type="paragraph" w:customStyle="1" w:styleId="JuHi">
    <w:name w:val="Ju_H_i"/>
    <w:aliases w:val="_Head_6"/>
    <w:basedOn w:val="Nagwek6"/>
    <w:next w:val="JuPara"/>
    <w:uiPriority w:val="17"/>
    <w:rsid w:val="00C340B6"/>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C340B6"/>
    <w:rPr>
      <w:rFonts w:asciiTheme="majorHAnsi" w:eastAsiaTheme="majorEastAsia" w:hAnsiTheme="majorHAnsi" w:cstheme="majorBidi"/>
      <w:b/>
      <w:color w:val="4D4D4D"/>
      <w:sz w:val="26"/>
    </w:rPr>
  </w:style>
  <w:style w:type="paragraph" w:customStyle="1" w:styleId="JuHalpha">
    <w:name w:val="Ju_H_alpha"/>
    <w:aliases w:val="_Head_7"/>
    <w:basedOn w:val="Nagwek7"/>
    <w:next w:val="JuPara"/>
    <w:uiPriority w:val="17"/>
    <w:rsid w:val="00C340B6"/>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C340B6"/>
    <w:pPr>
      <w:keepNext/>
      <w:keepLines/>
      <w:numPr>
        <w:ilvl w:val="7"/>
        <w:numId w:val="22"/>
      </w:numPr>
      <w:spacing w:before="100" w:beforeAutospacing="1" w:after="120"/>
      <w:jc w:val="both"/>
    </w:pPr>
    <w:rPr>
      <w:i/>
    </w:rPr>
  </w:style>
  <w:style w:type="character" w:customStyle="1" w:styleId="Nagwek3Znak">
    <w:name w:val="Nagłówek 3 Znak"/>
    <w:basedOn w:val="Domylnaczcionkaakapitu"/>
    <w:link w:val="Nagwek3"/>
    <w:uiPriority w:val="98"/>
    <w:semiHidden/>
    <w:rsid w:val="00C340B6"/>
    <w:rPr>
      <w:rFonts w:asciiTheme="majorHAnsi" w:eastAsiaTheme="majorEastAsia" w:hAnsiTheme="majorHAnsi" w:cstheme="majorBidi"/>
      <w:b/>
      <w:color w:val="5F5F5F"/>
    </w:rPr>
  </w:style>
  <w:style w:type="paragraph" w:customStyle="1" w:styleId="JuParaLast">
    <w:name w:val="Ju_Para_Last"/>
    <w:aliases w:val="_Para_Spaced"/>
    <w:basedOn w:val="NormalJustified"/>
    <w:uiPriority w:val="5"/>
    <w:qFormat/>
    <w:rsid w:val="00C340B6"/>
    <w:pPr>
      <w:keepNext/>
      <w:keepLines/>
      <w:spacing w:before="240" w:after="240"/>
      <w:ind w:firstLine="284"/>
    </w:pPr>
  </w:style>
  <w:style w:type="paragraph" w:customStyle="1" w:styleId="JuJudges">
    <w:name w:val="Ju_Judges"/>
    <w:aliases w:val="_Judges"/>
    <w:basedOn w:val="Normalny"/>
    <w:uiPriority w:val="32"/>
    <w:qFormat/>
    <w:rsid w:val="00C340B6"/>
    <w:pPr>
      <w:tabs>
        <w:tab w:val="left" w:pos="567"/>
        <w:tab w:val="left" w:pos="1134"/>
      </w:tabs>
    </w:pPr>
  </w:style>
  <w:style w:type="character" w:customStyle="1" w:styleId="Nagwek4Znak">
    <w:name w:val="Nagłówek 4 Znak"/>
    <w:basedOn w:val="Domylnaczcionkaakapitu"/>
    <w:link w:val="Nagwek4"/>
    <w:uiPriority w:val="98"/>
    <w:semiHidden/>
    <w:rsid w:val="00C340B6"/>
    <w:rPr>
      <w:rFonts w:asciiTheme="majorHAnsi" w:eastAsiaTheme="majorEastAsia" w:hAnsiTheme="majorHAnsi" w:cstheme="majorBidi"/>
      <w:b/>
      <w:i/>
      <w:color w:val="777777"/>
    </w:rPr>
  </w:style>
  <w:style w:type="paragraph" w:customStyle="1" w:styleId="JuInitialled">
    <w:name w:val="Ju_Initialled"/>
    <w:aliases w:val="_Right"/>
    <w:basedOn w:val="Normalny"/>
    <w:uiPriority w:val="30"/>
    <w:qFormat/>
    <w:rsid w:val="00C340B6"/>
    <w:pPr>
      <w:tabs>
        <w:tab w:val="center" w:pos="6407"/>
      </w:tabs>
      <w:spacing w:before="720"/>
      <w:jc w:val="right"/>
    </w:pPr>
  </w:style>
  <w:style w:type="character" w:customStyle="1" w:styleId="Nagwek5Znak">
    <w:name w:val="Nagłówek 5 Znak"/>
    <w:basedOn w:val="Domylnaczcionkaakapitu"/>
    <w:link w:val="Nagwek5"/>
    <w:uiPriority w:val="98"/>
    <w:semiHidden/>
    <w:rsid w:val="00C340B6"/>
    <w:rPr>
      <w:rFonts w:asciiTheme="majorHAnsi" w:eastAsiaTheme="majorEastAsia" w:hAnsiTheme="majorHAnsi" w:cstheme="majorBidi"/>
      <w:b/>
      <w:color w:val="808080"/>
    </w:rPr>
  </w:style>
  <w:style w:type="character" w:customStyle="1" w:styleId="JuITMark">
    <w:name w:val="Ju_ITMark"/>
    <w:aliases w:val="_ITMark"/>
    <w:basedOn w:val="Domylnaczcionkaakapitu"/>
    <w:uiPriority w:val="54"/>
    <w:qFormat/>
    <w:rsid w:val="00C340B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C340B6"/>
    <w:rPr>
      <w:caps w:val="0"/>
      <w:smallCaps/>
    </w:rPr>
  </w:style>
  <w:style w:type="character" w:styleId="Wyrnieniedelikatne">
    <w:name w:val="Subtle Emphasis"/>
    <w:uiPriority w:val="98"/>
    <w:semiHidden/>
    <w:qFormat/>
    <w:rsid w:val="00C340B6"/>
    <w:rPr>
      <w:i/>
    </w:rPr>
  </w:style>
  <w:style w:type="table" w:customStyle="1" w:styleId="ECHRTable">
    <w:name w:val="ECHR_Table"/>
    <w:basedOn w:val="Standardowy"/>
    <w:rsid w:val="00C340B6"/>
    <w:rPr>
      <w:rFonts w:eastAsia="Times New Roman" w:cs="Times New Roman"/>
      <w:sz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C340B6"/>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C340B6"/>
    <w:rPr>
      <w:b/>
      <w:i/>
      <w:bdr w:val="none" w:sz="0" w:space="0" w:color="auto"/>
      <w:shd w:val="clear" w:color="auto" w:fill="auto"/>
    </w:rPr>
  </w:style>
  <w:style w:type="paragraph" w:styleId="Stopka">
    <w:name w:val="footer"/>
    <w:basedOn w:val="Normalny"/>
    <w:link w:val="StopkaZnak"/>
    <w:uiPriority w:val="98"/>
    <w:semiHidden/>
    <w:rsid w:val="00C340B6"/>
    <w:pPr>
      <w:tabs>
        <w:tab w:val="center" w:pos="3686"/>
        <w:tab w:val="right" w:pos="7371"/>
      </w:tabs>
    </w:pPr>
  </w:style>
  <w:style w:type="character" w:customStyle="1" w:styleId="StopkaZnak">
    <w:name w:val="Stopka Znak"/>
    <w:basedOn w:val="Domylnaczcionkaakapitu"/>
    <w:link w:val="Stopka"/>
    <w:uiPriority w:val="98"/>
    <w:semiHidden/>
    <w:rsid w:val="00C340B6"/>
    <w:rPr>
      <w:sz w:val="24"/>
    </w:rPr>
  </w:style>
  <w:style w:type="character" w:styleId="Odwoanieprzypisudolnego">
    <w:name w:val="footnote reference"/>
    <w:basedOn w:val="Domylnaczcionkaakapitu"/>
    <w:uiPriority w:val="98"/>
    <w:semiHidden/>
    <w:rsid w:val="00C340B6"/>
    <w:rPr>
      <w:vertAlign w:val="superscript"/>
    </w:rPr>
  </w:style>
  <w:style w:type="paragraph" w:styleId="Tekstprzypisudolnego">
    <w:name w:val="footnote text"/>
    <w:basedOn w:val="NormalJustified"/>
    <w:link w:val="TekstprzypisudolnegoZnak"/>
    <w:uiPriority w:val="98"/>
    <w:semiHidden/>
    <w:rsid w:val="00C340B6"/>
    <w:rPr>
      <w:sz w:val="20"/>
    </w:rPr>
  </w:style>
  <w:style w:type="character" w:customStyle="1" w:styleId="TekstprzypisudolnegoZnak">
    <w:name w:val="Tekst przypisu dolnego Znak"/>
    <w:basedOn w:val="Domylnaczcionkaakapitu"/>
    <w:link w:val="Tekstprzypisudolnego"/>
    <w:uiPriority w:val="98"/>
    <w:semiHidden/>
    <w:rsid w:val="00C340B6"/>
    <w:rPr>
      <w:sz w:val="20"/>
    </w:rPr>
  </w:style>
  <w:style w:type="character" w:customStyle="1" w:styleId="Nagwek6Znak">
    <w:name w:val="Nagłówek 6 Znak"/>
    <w:basedOn w:val="Domylnaczcionkaakapitu"/>
    <w:link w:val="Nagwek6"/>
    <w:uiPriority w:val="98"/>
    <w:semiHidden/>
    <w:rsid w:val="00C340B6"/>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C340B6"/>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C340B6"/>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C340B6"/>
    <w:rPr>
      <w:rFonts w:asciiTheme="majorHAnsi" w:eastAsiaTheme="majorEastAsia" w:hAnsiTheme="majorHAnsi" w:cstheme="majorBidi"/>
      <w:i/>
      <w:sz w:val="20"/>
    </w:rPr>
  </w:style>
  <w:style w:type="character" w:styleId="Hipercze">
    <w:name w:val="Hyperlink"/>
    <w:basedOn w:val="Domylnaczcionkaakapitu"/>
    <w:uiPriority w:val="98"/>
    <w:semiHidden/>
    <w:rsid w:val="00C340B6"/>
    <w:rPr>
      <w:color w:val="0072BC" w:themeColor="hyperlink"/>
      <w:u w:val="single"/>
    </w:rPr>
  </w:style>
  <w:style w:type="character" w:styleId="Wyrnienieintensywne">
    <w:name w:val="Intense Emphasis"/>
    <w:uiPriority w:val="98"/>
    <w:semiHidden/>
    <w:qFormat/>
    <w:rsid w:val="00C340B6"/>
    <w:rPr>
      <w:b/>
    </w:rPr>
  </w:style>
  <w:style w:type="paragraph" w:styleId="Cytatintensywny">
    <w:name w:val="Intense Quote"/>
    <w:basedOn w:val="Normalny"/>
    <w:next w:val="Normalny"/>
    <w:link w:val="CytatintensywnyZnak"/>
    <w:uiPriority w:val="98"/>
    <w:semiHidden/>
    <w:qFormat/>
    <w:rsid w:val="00C340B6"/>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C340B6"/>
    <w:rPr>
      <w:b/>
      <w:i/>
      <w:sz w:val="24"/>
    </w:rPr>
  </w:style>
  <w:style w:type="character" w:styleId="Odwoanieintensywne">
    <w:name w:val="Intense Reference"/>
    <w:uiPriority w:val="98"/>
    <w:semiHidden/>
    <w:qFormat/>
    <w:rsid w:val="00C340B6"/>
    <w:rPr>
      <w:smallCaps/>
      <w:u w:val="single"/>
    </w:rPr>
  </w:style>
  <w:style w:type="paragraph" w:styleId="Akapitzlist">
    <w:name w:val="List Paragraph"/>
    <w:basedOn w:val="Normalny"/>
    <w:uiPriority w:val="98"/>
    <w:semiHidden/>
    <w:qFormat/>
    <w:rsid w:val="00C340B6"/>
    <w:pPr>
      <w:ind w:left="720"/>
      <w:contextualSpacing/>
    </w:pPr>
  </w:style>
  <w:style w:type="table" w:customStyle="1" w:styleId="LtrTableAddress">
    <w:name w:val="Ltr_Table_Address"/>
    <w:aliases w:val="ECHR_Ltr_Table_Address"/>
    <w:basedOn w:val="Standardowy"/>
    <w:uiPriority w:val="99"/>
    <w:rsid w:val="00C340B6"/>
    <w:rPr>
      <w:sz w:val="24"/>
    </w:rPr>
    <w:tblPr>
      <w:tblInd w:w="5103" w:type="dxa"/>
    </w:tblPr>
  </w:style>
  <w:style w:type="paragraph" w:styleId="Cytat">
    <w:name w:val="Quote"/>
    <w:basedOn w:val="Normalny"/>
    <w:next w:val="Normalny"/>
    <w:link w:val="CytatZnak"/>
    <w:uiPriority w:val="98"/>
    <w:semiHidden/>
    <w:qFormat/>
    <w:rsid w:val="00C340B6"/>
    <w:pPr>
      <w:spacing w:before="200"/>
      <w:ind w:left="360" w:right="360"/>
    </w:pPr>
    <w:rPr>
      <w:i/>
    </w:rPr>
  </w:style>
  <w:style w:type="character" w:customStyle="1" w:styleId="CytatZnak">
    <w:name w:val="Cytat Znak"/>
    <w:basedOn w:val="Domylnaczcionkaakapitu"/>
    <w:link w:val="Cytat"/>
    <w:uiPriority w:val="98"/>
    <w:semiHidden/>
    <w:rsid w:val="00C340B6"/>
    <w:rPr>
      <w:i/>
      <w:sz w:val="24"/>
    </w:rPr>
  </w:style>
  <w:style w:type="character" w:styleId="Odwoaniedelikatne">
    <w:name w:val="Subtle Reference"/>
    <w:uiPriority w:val="98"/>
    <w:semiHidden/>
    <w:qFormat/>
    <w:rsid w:val="00C340B6"/>
    <w:rPr>
      <w:smallCaps/>
    </w:rPr>
  </w:style>
  <w:style w:type="table" w:styleId="Tabela-Siatka">
    <w:name w:val="Table Grid"/>
    <w:basedOn w:val="Standardowy"/>
    <w:uiPriority w:val="59"/>
    <w:semiHidden/>
    <w:rsid w:val="00C340B6"/>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C340B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C340B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C340B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C340B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C340B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C340B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C340B6"/>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C340B6"/>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C340B6"/>
    <w:rPr>
      <w:color w:val="000000" w:themeColor="text1"/>
      <w:sz w:val="18"/>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C340B6"/>
    <w:rPr>
      <w:color w:val="000000" w:themeColor="text1"/>
      <w:sz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C340B6"/>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C340B6"/>
    <w:rPr>
      <w:sz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C340B6"/>
    <w:pPr>
      <w:keepNext/>
      <w:keepLines/>
      <w:spacing w:before="240"/>
      <w:contextualSpacing/>
      <w:jc w:val="center"/>
    </w:pPr>
    <w:rPr>
      <w:rFonts w:asciiTheme="majorHAnsi" w:eastAsiaTheme="majorEastAsia" w:hAnsiTheme="majorHAnsi" w:cstheme="majorBidi"/>
      <w:b/>
      <w:color w:val="424242" w:themeColor="accent3" w:themeShade="BF"/>
      <w:sz w:val="28"/>
    </w:rPr>
  </w:style>
  <w:style w:type="paragraph" w:styleId="Podtytu">
    <w:name w:val="Subtitle"/>
    <w:basedOn w:val="Normalny"/>
    <w:next w:val="Normalny"/>
    <w:link w:val="PodtytuZnak"/>
    <w:uiPriority w:val="98"/>
    <w:semiHidden/>
    <w:qFormat/>
    <w:rsid w:val="00C340B6"/>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C340B6"/>
    <w:rPr>
      <w:rFonts w:asciiTheme="majorHAnsi" w:eastAsiaTheme="majorEastAsia" w:hAnsiTheme="majorHAnsi" w:cstheme="majorBidi"/>
      <w:i/>
      <w:sz w:val="24"/>
    </w:rPr>
  </w:style>
  <w:style w:type="numbering" w:styleId="111111">
    <w:name w:val="Outline List 2"/>
    <w:basedOn w:val="Bezlisty"/>
    <w:uiPriority w:val="99"/>
    <w:semiHidden/>
    <w:unhideWhenUsed/>
    <w:rsid w:val="00C340B6"/>
    <w:pPr>
      <w:numPr>
        <w:numId w:val="4"/>
      </w:numPr>
    </w:pPr>
  </w:style>
  <w:style w:type="paragraph" w:customStyle="1" w:styleId="JuPara">
    <w:name w:val="Ju_Para"/>
    <w:aliases w:val="_Para"/>
    <w:basedOn w:val="NormalJustified"/>
    <w:link w:val="JuParaChar"/>
    <w:uiPriority w:val="4"/>
    <w:qFormat/>
    <w:rsid w:val="00C340B6"/>
    <w:pPr>
      <w:ind w:firstLine="284"/>
    </w:pPr>
  </w:style>
  <w:style w:type="numbering" w:styleId="1ai">
    <w:name w:val="Outline List 1"/>
    <w:basedOn w:val="Bezlisty"/>
    <w:uiPriority w:val="99"/>
    <w:semiHidden/>
    <w:unhideWhenUsed/>
    <w:rsid w:val="00C340B6"/>
    <w:pPr>
      <w:numPr>
        <w:numId w:val="5"/>
      </w:numPr>
    </w:pPr>
  </w:style>
  <w:style w:type="table" w:customStyle="1" w:styleId="ECHRTableSimpleBox">
    <w:name w:val="ECHR_Table_Simple_Box"/>
    <w:basedOn w:val="Standardowy"/>
    <w:uiPriority w:val="99"/>
    <w:rsid w:val="00C340B6"/>
    <w:rPr>
      <w:sz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C340B6"/>
    <w:rPr>
      <w:sz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C340B6"/>
    <w:pPr>
      <w:numPr>
        <w:numId w:val="6"/>
      </w:numPr>
    </w:pPr>
  </w:style>
  <w:style w:type="table" w:customStyle="1" w:styleId="ECHRTableForInternalUse">
    <w:name w:val="ECHR_Table_For_Internal_Use"/>
    <w:basedOn w:val="Standardowy"/>
    <w:uiPriority w:val="99"/>
    <w:rsid w:val="00C340B6"/>
    <w:rPr>
      <w:color w:val="585858"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C340B6"/>
    <w:rPr>
      <w:sz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C340B6"/>
  </w:style>
  <w:style w:type="paragraph" w:styleId="Tekstblokowy">
    <w:name w:val="Block Text"/>
    <w:basedOn w:val="Normalny"/>
    <w:uiPriority w:val="98"/>
    <w:semiHidden/>
    <w:rsid w:val="00C340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HeaderTable">
    <w:name w:val="ECHR_Header_Table"/>
    <w:basedOn w:val="Standardowy"/>
    <w:uiPriority w:val="99"/>
    <w:rsid w:val="00C340B6"/>
    <w:rPr>
      <w:sz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C340B6"/>
    <w:pPr>
      <w:spacing w:after="120"/>
    </w:pPr>
  </w:style>
  <w:style w:type="character" w:customStyle="1" w:styleId="TekstpodstawowyZnak">
    <w:name w:val="Tekst podstawowy Znak"/>
    <w:basedOn w:val="Domylnaczcionkaakapitu"/>
    <w:link w:val="Tekstpodstawowy"/>
    <w:uiPriority w:val="98"/>
    <w:semiHidden/>
    <w:rsid w:val="00C340B6"/>
    <w:rPr>
      <w:sz w:val="24"/>
    </w:rPr>
  </w:style>
  <w:style w:type="table" w:customStyle="1" w:styleId="ECHRTableOddBanded">
    <w:name w:val="ECHR_Table_Odd_Banded"/>
    <w:basedOn w:val="Standardowy"/>
    <w:uiPriority w:val="99"/>
    <w:rsid w:val="00C340B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C340B6"/>
    <w:pPr>
      <w:spacing w:after="120" w:line="480" w:lineRule="auto"/>
    </w:pPr>
  </w:style>
  <w:style w:type="table" w:customStyle="1" w:styleId="ECHRHeaderTableReduced">
    <w:name w:val="ECHR_Header_Table_Reduced"/>
    <w:basedOn w:val="Standardowy"/>
    <w:uiPriority w:val="99"/>
    <w:rsid w:val="00C340B6"/>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340B6"/>
    <w:pPr>
      <w:ind w:firstLine="284"/>
    </w:pPr>
    <w:rPr>
      <w:b/>
    </w:rPr>
  </w:style>
  <w:style w:type="character" w:styleId="Numerstrony">
    <w:name w:val="page number"/>
    <w:uiPriority w:val="98"/>
    <w:semiHidden/>
    <w:rsid w:val="00C340B6"/>
    <w:rPr>
      <w:sz w:val="18"/>
    </w:rPr>
  </w:style>
  <w:style w:type="paragraph" w:styleId="Listapunktowana">
    <w:name w:val="List Bullet"/>
    <w:basedOn w:val="Normalny"/>
    <w:uiPriority w:val="98"/>
    <w:semiHidden/>
    <w:rsid w:val="00C340B6"/>
    <w:pPr>
      <w:numPr>
        <w:numId w:val="7"/>
      </w:numPr>
    </w:pPr>
  </w:style>
  <w:style w:type="paragraph" w:styleId="Listapunktowana3">
    <w:name w:val="List Bullet 3"/>
    <w:basedOn w:val="Normalny"/>
    <w:uiPriority w:val="98"/>
    <w:semiHidden/>
    <w:rsid w:val="00C340B6"/>
    <w:pPr>
      <w:numPr>
        <w:numId w:val="9"/>
      </w:numPr>
      <w:contextualSpacing/>
    </w:pPr>
  </w:style>
  <w:style w:type="character" w:customStyle="1" w:styleId="Tekstpodstawowy2Znak">
    <w:name w:val="Tekst podstawowy 2 Znak"/>
    <w:basedOn w:val="Domylnaczcionkaakapitu"/>
    <w:link w:val="Tekstpodstawowy2"/>
    <w:uiPriority w:val="98"/>
    <w:semiHidden/>
    <w:rsid w:val="00C340B6"/>
    <w:rPr>
      <w:sz w:val="24"/>
    </w:rPr>
  </w:style>
  <w:style w:type="paragraph" w:styleId="Tekstpodstawowy3">
    <w:name w:val="Body Text 3"/>
    <w:basedOn w:val="Normalny"/>
    <w:link w:val="Tekstpodstawowy3Znak"/>
    <w:uiPriority w:val="98"/>
    <w:semiHidden/>
    <w:rsid w:val="00C340B6"/>
    <w:pPr>
      <w:spacing w:after="120"/>
    </w:pPr>
    <w:rPr>
      <w:sz w:val="16"/>
    </w:rPr>
  </w:style>
  <w:style w:type="character" w:customStyle="1" w:styleId="Tekstpodstawowy3Znak">
    <w:name w:val="Tekst podstawowy 3 Znak"/>
    <w:basedOn w:val="Domylnaczcionkaakapitu"/>
    <w:link w:val="Tekstpodstawowy3"/>
    <w:uiPriority w:val="98"/>
    <w:semiHidden/>
    <w:rsid w:val="00C340B6"/>
    <w:rPr>
      <w:sz w:val="16"/>
    </w:rPr>
  </w:style>
  <w:style w:type="paragraph" w:styleId="Tekstpodstawowyzwciciem">
    <w:name w:val="Body Text First Indent"/>
    <w:basedOn w:val="Tekstpodstawowy"/>
    <w:link w:val="TekstpodstawowyzwciciemZnak"/>
    <w:uiPriority w:val="98"/>
    <w:semiHidden/>
    <w:rsid w:val="00C340B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C340B6"/>
    <w:rPr>
      <w:sz w:val="24"/>
    </w:rPr>
  </w:style>
  <w:style w:type="paragraph" w:styleId="Tekstpodstawowywcity">
    <w:name w:val="Body Text Indent"/>
    <w:basedOn w:val="Normalny"/>
    <w:link w:val="TekstpodstawowywcityZnak"/>
    <w:uiPriority w:val="98"/>
    <w:semiHidden/>
    <w:rsid w:val="00C340B6"/>
    <w:pPr>
      <w:spacing w:after="120"/>
      <w:ind w:left="283"/>
    </w:pPr>
  </w:style>
  <w:style w:type="character" w:customStyle="1" w:styleId="TekstpodstawowywcityZnak">
    <w:name w:val="Tekst podstawowy wcięty Znak"/>
    <w:basedOn w:val="Domylnaczcionkaakapitu"/>
    <w:link w:val="Tekstpodstawowywcity"/>
    <w:uiPriority w:val="98"/>
    <w:semiHidden/>
    <w:rsid w:val="00C340B6"/>
    <w:rPr>
      <w:sz w:val="24"/>
    </w:rPr>
  </w:style>
  <w:style w:type="paragraph" w:styleId="Tekstpodstawowyzwciciem2">
    <w:name w:val="Body Text First Indent 2"/>
    <w:basedOn w:val="Tekstpodstawowywcity"/>
    <w:link w:val="Tekstpodstawowyzwciciem2Znak"/>
    <w:uiPriority w:val="98"/>
    <w:semiHidden/>
    <w:rsid w:val="00C340B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C340B6"/>
    <w:rPr>
      <w:sz w:val="24"/>
    </w:rPr>
  </w:style>
  <w:style w:type="paragraph" w:styleId="Tekstpodstawowywcity2">
    <w:name w:val="Body Text Indent 2"/>
    <w:basedOn w:val="Normalny"/>
    <w:link w:val="Tekstpodstawowywcity2Znak"/>
    <w:uiPriority w:val="98"/>
    <w:semiHidden/>
    <w:rsid w:val="00C340B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C340B6"/>
    <w:rPr>
      <w:sz w:val="24"/>
    </w:rPr>
  </w:style>
  <w:style w:type="paragraph" w:styleId="Tekstpodstawowywcity3">
    <w:name w:val="Body Text Indent 3"/>
    <w:basedOn w:val="Normalny"/>
    <w:link w:val="Tekstpodstawowywcity3Znak"/>
    <w:uiPriority w:val="98"/>
    <w:semiHidden/>
    <w:rsid w:val="00C340B6"/>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C340B6"/>
    <w:rPr>
      <w:sz w:val="16"/>
    </w:rPr>
  </w:style>
  <w:style w:type="paragraph" w:styleId="Legenda">
    <w:name w:val="caption"/>
    <w:basedOn w:val="Normalny"/>
    <w:next w:val="Normalny"/>
    <w:uiPriority w:val="98"/>
    <w:semiHidden/>
    <w:qFormat/>
    <w:rsid w:val="00C340B6"/>
    <w:pPr>
      <w:spacing w:after="200"/>
    </w:pPr>
    <w:rPr>
      <w:b/>
      <w:color w:val="0072BC" w:themeColor="accent1"/>
      <w:sz w:val="18"/>
    </w:rPr>
  </w:style>
  <w:style w:type="paragraph" w:styleId="Zwrotpoegnalny">
    <w:name w:val="Closing"/>
    <w:basedOn w:val="Normalny"/>
    <w:link w:val="ZwrotpoegnalnyZnak"/>
    <w:uiPriority w:val="98"/>
    <w:semiHidden/>
    <w:rsid w:val="00C340B6"/>
    <w:pPr>
      <w:ind w:left="4252"/>
    </w:pPr>
  </w:style>
  <w:style w:type="character" w:customStyle="1" w:styleId="ZwrotpoegnalnyZnak">
    <w:name w:val="Zwrot pożegnalny Znak"/>
    <w:basedOn w:val="Domylnaczcionkaakapitu"/>
    <w:link w:val="Zwrotpoegnalny"/>
    <w:uiPriority w:val="98"/>
    <w:semiHidden/>
    <w:rsid w:val="00C340B6"/>
    <w:rPr>
      <w:sz w:val="24"/>
    </w:rPr>
  </w:style>
  <w:style w:type="table" w:styleId="Kolorowasiatka">
    <w:name w:val="Colorful Grid"/>
    <w:basedOn w:val="Standardowy"/>
    <w:uiPriority w:val="73"/>
    <w:semiHidden/>
    <w:rsid w:val="00C340B6"/>
    <w:rPr>
      <w:color w:val="000000" w:themeColor="text1"/>
      <w:sz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C340B6"/>
    <w:rPr>
      <w:color w:val="000000" w:themeColor="text1"/>
      <w:sz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C340B6"/>
    <w:rPr>
      <w:color w:val="000000" w:themeColor="text1"/>
      <w:sz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C340B6"/>
    <w:rPr>
      <w:color w:val="000000" w:themeColor="text1"/>
      <w:sz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C340B6"/>
    <w:rPr>
      <w:color w:val="000000" w:themeColor="text1"/>
      <w:sz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C340B6"/>
    <w:rPr>
      <w:color w:val="000000" w:themeColor="text1"/>
      <w:sz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C340B6"/>
    <w:rPr>
      <w:color w:val="000000" w:themeColor="text1"/>
      <w:sz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C340B6"/>
    <w:rPr>
      <w:color w:val="000000" w:themeColor="text1"/>
      <w:sz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C340B6"/>
    <w:rPr>
      <w:color w:val="000000" w:themeColor="text1"/>
      <w:sz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C340B6"/>
    <w:rPr>
      <w:color w:val="000000" w:themeColor="text1"/>
      <w:sz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C340B6"/>
    <w:rPr>
      <w:color w:val="000000" w:themeColor="text1"/>
      <w:sz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C340B6"/>
    <w:rPr>
      <w:color w:val="000000" w:themeColor="text1"/>
      <w:sz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C340B6"/>
    <w:rPr>
      <w:color w:val="000000" w:themeColor="text1"/>
      <w:sz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C340B6"/>
    <w:rPr>
      <w:color w:val="000000" w:themeColor="text1"/>
      <w:sz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C340B6"/>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C340B6"/>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C340B6"/>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C340B6"/>
    <w:rPr>
      <w:color w:val="000000" w:themeColor="text1"/>
      <w:sz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C340B6"/>
    <w:rPr>
      <w:color w:val="000000" w:themeColor="text1"/>
      <w:sz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C340B6"/>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C340B6"/>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C340B6"/>
    <w:rPr>
      <w:sz w:val="16"/>
    </w:rPr>
  </w:style>
  <w:style w:type="paragraph" w:styleId="Tekstkomentarza">
    <w:name w:val="annotation text"/>
    <w:basedOn w:val="Normalny"/>
    <w:link w:val="TekstkomentarzaZnak"/>
    <w:uiPriority w:val="98"/>
    <w:semiHidden/>
    <w:rsid w:val="00C340B6"/>
    <w:rPr>
      <w:sz w:val="20"/>
    </w:rPr>
  </w:style>
  <w:style w:type="character" w:customStyle="1" w:styleId="TekstkomentarzaZnak">
    <w:name w:val="Tekst komentarza Znak"/>
    <w:basedOn w:val="Domylnaczcionkaakapitu"/>
    <w:link w:val="Tekstkomentarza"/>
    <w:uiPriority w:val="98"/>
    <w:semiHidden/>
    <w:rsid w:val="00C340B6"/>
    <w:rPr>
      <w:sz w:val="20"/>
    </w:rPr>
  </w:style>
  <w:style w:type="paragraph" w:styleId="Tematkomentarza">
    <w:name w:val="annotation subject"/>
    <w:basedOn w:val="Tekstkomentarza"/>
    <w:next w:val="Tekstkomentarza"/>
    <w:link w:val="TematkomentarzaZnak"/>
    <w:uiPriority w:val="98"/>
    <w:semiHidden/>
    <w:rsid w:val="00C340B6"/>
    <w:rPr>
      <w:b/>
    </w:rPr>
  </w:style>
  <w:style w:type="character" w:customStyle="1" w:styleId="TematkomentarzaZnak">
    <w:name w:val="Temat komentarza Znak"/>
    <w:basedOn w:val="TekstkomentarzaZnak"/>
    <w:link w:val="Tematkomentarza"/>
    <w:uiPriority w:val="98"/>
    <w:semiHidden/>
    <w:rsid w:val="00C340B6"/>
    <w:rPr>
      <w:b/>
      <w:sz w:val="20"/>
    </w:rPr>
  </w:style>
  <w:style w:type="table" w:styleId="Ciemnalista">
    <w:name w:val="Dark List"/>
    <w:basedOn w:val="Standardowy"/>
    <w:uiPriority w:val="70"/>
    <w:semiHidden/>
    <w:rsid w:val="00C340B6"/>
    <w:rPr>
      <w:color w:val="FFFFFF"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C340B6"/>
    <w:rPr>
      <w:color w:val="FFFFFF"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C340B6"/>
    <w:rPr>
      <w:color w:val="FFFFFF"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C340B6"/>
    <w:rPr>
      <w:color w:val="FFFFFF" w:themeColor="background1"/>
      <w:sz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C340B6"/>
    <w:rPr>
      <w:color w:val="FFFFFF"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C340B6"/>
    <w:rPr>
      <w:color w:val="FFFFFF"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C340B6"/>
    <w:rPr>
      <w:color w:val="FFFFFF"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C340B6"/>
  </w:style>
  <w:style w:type="character" w:customStyle="1" w:styleId="DataZnak">
    <w:name w:val="Data Znak"/>
    <w:basedOn w:val="Domylnaczcionkaakapitu"/>
    <w:link w:val="Data"/>
    <w:uiPriority w:val="98"/>
    <w:semiHidden/>
    <w:rsid w:val="00C340B6"/>
    <w:rPr>
      <w:sz w:val="24"/>
    </w:rPr>
  </w:style>
  <w:style w:type="paragraph" w:styleId="Mapadokumentu">
    <w:name w:val="Document Map"/>
    <w:basedOn w:val="Normalny"/>
    <w:link w:val="MapadokumentuZnak"/>
    <w:uiPriority w:val="98"/>
    <w:semiHidden/>
    <w:rsid w:val="00C340B6"/>
    <w:rPr>
      <w:rFonts w:ascii="Tahoma" w:hAnsi="Tahoma" w:cs="Tahoma"/>
      <w:sz w:val="16"/>
    </w:rPr>
  </w:style>
  <w:style w:type="character" w:customStyle="1" w:styleId="MapadokumentuZnak">
    <w:name w:val="Mapa dokumentu Znak"/>
    <w:basedOn w:val="Domylnaczcionkaakapitu"/>
    <w:link w:val="Mapadokumentu"/>
    <w:uiPriority w:val="98"/>
    <w:semiHidden/>
    <w:rsid w:val="00C340B6"/>
    <w:rPr>
      <w:rFonts w:ascii="Tahoma" w:hAnsi="Tahoma" w:cs="Tahoma"/>
      <w:sz w:val="16"/>
    </w:rPr>
  </w:style>
  <w:style w:type="paragraph" w:styleId="Podpise-mail">
    <w:name w:val="E-mail Signature"/>
    <w:basedOn w:val="Normalny"/>
    <w:link w:val="Podpise-mailZnak"/>
    <w:uiPriority w:val="98"/>
    <w:semiHidden/>
    <w:rsid w:val="00C340B6"/>
  </w:style>
  <w:style w:type="character" w:customStyle="1" w:styleId="Podpise-mailZnak">
    <w:name w:val="Podpis e-mail Znak"/>
    <w:basedOn w:val="Domylnaczcionkaakapitu"/>
    <w:link w:val="Podpise-mail"/>
    <w:uiPriority w:val="98"/>
    <w:semiHidden/>
    <w:rsid w:val="00C340B6"/>
    <w:rPr>
      <w:sz w:val="24"/>
    </w:rPr>
  </w:style>
  <w:style w:type="character" w:styleId="Odwoanieprzypisukocowego">
    <w:name w:val="endnote reference"/>
    <w:basedOn w:val="Domylnaczcionkaakapitu"/>
    <w:uiPriority w:val="98"/>
    <w:semiHidden/>
    <w:rsid w:val="00C340B6"/>
    <w:rPr>
      <w:vertAlign w:val="superscript"/>
    </w:rPr>
  </w:style>
  <w:style w:type="paragraph" w:styleId="Tekstprzypisukocowego">
    <w:name w:val="endnote text"/>
    <w:basedOn w:val="Normalny"/>
    <w:link w:val="TekstprzypisukocowegoZnak"/>
    <w:uiPriority w:val="98"/>
    <w:semiHidden/>
    <w:rsid w:val="00C340B6"/>
    <w:rPr>
      <w:sz w:val="20"/>
    </w:rPr>
  </w:style>
  <w:style w:type="character" w:customStyle="1" w:styleId="TekstprzypisukocowegoZnak">
    <w:name w:val="Tekst przypisu końcowego Znak"/>
    <w:basedOn w:val="Domylnaczcionkaakapitu"/>
    <w:link w:val="Tekstprzypisukocowego"/>
    <w:uiPriority w:val="98"/>
    <w:semiHidden/>
    <w:rsid w:val="00C340B6"/>
    <w:rPr>
      <w:sz w:val="20"/>
    </w:rPr>
  </w:style>
  <w:style w:type="paragraph" w:styleId="Adresnakopercie">
    <w:name w:val="envelope address"/>
    <w:basedOn w:val="Normalny"/>
    <w:uiPriority w:val="98"/>
    <w:semiHidden/>
    <w:rsid w:val="00C340B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C340B6"/>
    <w:rPr>
      <w:rFonts w:asciiTheme="majorHAnsi" w:eastAsiaTheme="majorEastAsia" w:hAnsiTheme="majorHAnsi" w:cstheme="majorBidi"/>
      <w:sz w:val="20"/>
    </w:rPr>
  </w:style>
  <w:style w:type="character" w:styleId="UyteHipercze">
    <w:name w:val="FollowedHyperlink"/>
    <w:basedOn w:val="Domylnaczcionkaakapitu"/>
    <w:uiPriority w:val="98"/>
    <w:semiHidden/>
    <w:rsid w:val="00C340B6"/>
    <w:rPr>
      <w:color w:val="7030A0" w:themeColor="followedHyperlink"/>
      <w:u w:val="single"/>
    </w:rPr>
  </w:style>
  <w:style w:type="character" w:styleId="HTML-akronim">
    <w:name w:val="HTML Acronym"/>
    <w:basedOn w:val="Domylnaczcionkaakapitu"/>
    <w:uiPriority w:val="98"/>
    <w:semiHidden/>
    <w:rsid w:val="00C340B6"/>
  </w:style>
  <w:style w:type="paragraph" w:styleId="HTML-adres">
    <w:name w:val="HTML Address"/>
    <w:basedOn w:val="Normalny"/>
    <w:link w:val="HTML-adresZnak"/>
    <w:uiPriority w:val="98"/>
    <w:semiHidden/>
    <w:rsid w:val="00C340B6"/>
    <w:rPr>
      <w:i/>
    </w:rPr>
  </w:style>
  <w:style w:type="character" w:customStyle="1" w:styleId="HTML-adresZnak">
    <w:name w:val="HTML - adres Znak"/>
    <w:basedOn w:val="Domylnaczcionkaakapitu"/>
    <w:link w:val="HTML-adres"/>
    <w:uiPriority w:val="98"/>
    <w:semiHidden/>
    <w:rsid w:val="00C340B6"/>
    <w:rPr>
      <w:i/>
      <w:sz w:val="24"/>
    </w:rPr>
  </w:style>
  <w:style w:type="character" w:styleId="HTML-cytat">
    <w:name w:val="HTML Cite"/>
    <w:basedOn w:val="Domylnaczcionkaakapitu"/>
    <w:uiPriority w:val="98"/>
    <w:semiHidden/>
    <w:rsid w:val="00C340B6"/>
    <w:rPr>
      <w:i/>
    </w:rPr>
  </w:style>
  <w:style w:type="character" w:styleId="HTML-kod">
    <w:name w:val="HTML Code"/>
    <w:basedOn w:val="Domylnaczcionkaakapitu"/>
    <w:uiPriority w:val="98"/>
    <w:semiHidden/>
    <w:rsid w:val="00C340B6"/>
    <w:rPr>
      <w:rFonts w:ascii="Consolas" w:hAnsi="Consolas" w:cs="Consolas"/>
      <w:sz w:val="20"/>
    </w:rPr>
  </w:style>
  <w:style w:type="character" w:styleId="HTML-definicja">
    <w:name w:val="HTML Definition"/>
    <w:basedOn w:val="Domylnaczcionkaakapitu"/>
    <w:uiPriority w:val="98"/>
    <w:semiHidden/>
    <w:rsid w:val="00C340B6"/>
    <w:rPr>
      <w:i/>
    </w:rPr>
  </w:style>
  <w:style w:type="character" w:styleId="HTML-klawiatura">
    <w:name w:val="HTML Keyboard"/>
    <w:basedOn w:val="Domylnaczcionkaakapitu"/>
    <w:uiPriority w:val="98"/>
    <w:semiHidden/>
    <w:rsid w:val="00C340B6"/>
    <w:rPr>
      <w:rFonts w:ascii="Consolas" w:hAnsi="Consolas" w:cs="Consolas"/>
      <w:sz w:val="20"/>
    </w:rPr>
  </w:style>
  <w:style w:type="paragraph" w:styleId="HTML-wstpniesformatowany">
    <w:name w:val="HTML Preformatted"/>
    <w:basedOn w:val="Normalny"/>
    <w:link w:val="HTML-wstpniesformatowanyZnak"/>
    <w:uiPriority w:val="98"/>
    <w:semiHidden/>
    <w:rsid w:val="00C340B6"/>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C340B6"/>
    <w:rPr>
      <w:rFonts w:ascii="Consolas" w:hAnsi="Consolas" w:cs="Consolas"/>
      <w:sz w:val="20"/>
    </w:rPr>
  </w:style>
  <w:style w:type="character" w:styleId="HTML-przykad">
    <w:name w:val="HTML Sample"/>
    <w:basedOn w:val="Domylnaczcionkaakapitu"/>
    <w:uiPriority w:val="98"/>
    <w:semiHidden/>
    <w:rsid w:val="00C340B6"/>
    <w:rPr>
      <w:rFonts w:ascii="Consolas" w:hAnsi="Consolas" w:cs="Consolas"/>
      <w:sz w:val="24"/>
    </w:rPr>
  </w:style>
  <w:style w:type="character" w:styleId="HTML-staaszeroko">
    <w:name w:val="HTML Typewriter"/>
    <w:basedOn w:val="Domylnaczcionkaakapitu"/>
    <w:uiPriority w:val="98"/>
    <w:semiHidden/>
    <w:rsid w:val="00C340B6"/>
    <w:rPr>
      <w:rFonts w:ascii="Consolas" w:hAnsi="Consolas" w:cs="Consolas"/>
      <w:sz w:val="20"/>
    </w:rPr>
  </w:style>
  <w:style w:type="character" w:styleId="HTML-zmienna">
    <w:name w:val="HTML Variable"/>
    <w:basedOn w:val="Domylnaczcionkaakapitu"/>
    <w:uiPriority w:val="98"/>
    <w:semiHidden/>
    <w:rsid w:val="00C340B6"/>
    <w:rPr>
      <w:i/>
    </w:rPr>
  </w:style>
  <w:style w:type="paragraph" w:styleId="Indeks1">
    <w:name w:val="index 1"/>
    <w:basedOn w:val="Normalny"/>
    <w:next w:val="Normalny"/>
    <w:autoRedefine/>
    <w:uiPriority w:val="98"/>
    <w:semiHidden/>
    <w:rsid w:val="00C340B6"/>
    <w:pPr>
      <w:ind w:left="240" w:hanging="240"/>
    </w:pPr>
  </w:style>
  <w:style w:type="paragraph" w:styleId="Indeks2">
    <w:name w:val="index 2"/>
    <w:basedOn w:val="Normalny"/>
    <w:next w:val="Normalny"/>
    <w:autoRedefine/>
    <w:uiPriority w:val="98"/>
    <w:semiHidden/>
    <w:rsid w:val="00C340B6"/>
    <w:pPr>
      <w:ind w:left="480" w:hanging="240"/>
    </w:pPr>
  </w:style>
  <w:style w:type="paragraph" w:styleId="Indeks3">
    <w:name w:val="index 3"/>
    <w:basedOn w:val="Normalny"/>
    <w:next w:val="Normalny"/>
    <w:autoRedefine/>
    <w:uiPriority w:val="98"/>
    <w:semiHidden/>
    <w:rsid w:val="00C340B6"/>
    <w:pPr>
      <w:ind w:left="720" w:hanging="240"/>
    </w:pPr>
  </w:style>
  <w:style w:type="paragraph" w:styleId="Indeks4">
    <w:name w:val="index 4"/>
    <w:basedOn w:val="Normalny"/>
    <w:next w:val="Normalny"/>
    <w:autoRedefine/>
    <w:uiPriority w:val="98"/>
    <w:semiHidden/>
    <w:rsid w:val="00C340B6"/>
    <w:pPr>
      <w:ind w:left="960" w:hanging="240"/>
    </w:pPr>
  </w:style>
  <w:style w:type="paragraph" w:styleId="Indeks5">
    <w:name w:val="index 5"/>
    <w:basedOn w:val="Normalny"/>
    <w:next w:val="Normalny"/>
    <w:autoRedefine/>
    <w:uiPriority w:val="98"/>
    <w:semiHidden/>
    <w:rsid w:val="00C340B6"/>
    <w:pPr>
      <w:ind w:left="1200" w:hanging="240"/>
    </w:pPr>
  </w:style>
  <w:style w:type="paragraph" w:styleId="Indeks6">
    <w:name w:val="index 6"/>
    <w:basedOn w:val="Normalny"/>
    <w:next w:val="Normalny"/>
    <w:autoRedefine/>
    <w:uiPriority w:val="98"/>
    <w:semiHidden/>
    <w:rsid w:val="00C340B6"/>
    <w:pPr>
      <w:ind w:left="1440" w:hanging="240"/>
    </w:pPr>
  </w:style>
  <w:style w:type="paragraph" w:styleId="Indeks7">
    <w:name w:val="index 7"/>
    <w:basedOn w:val="Normalny"/>
    <w:next w:val="Normalny"/>
    <w:autoRedefine/>
    <w:uiPriority w:val="98"/>
    <w:semiHidden/>
    <w:rsid w:val="00C340B6"/>
    <w:pPr>
      <w:ind w:left="1680" w:hanging="240"/>
    </w:pPr>
  </w:style>
  <w:style w:type="paragraph" w:styleId="Indeks8">
    <w:name w:val="index 8"/>
    <w:basedOn w:val="Normalny"/>
    <w:next w:val="Normalny"/>
    <w:autoRedefine/>
    <w:uiPriority w:val="98"/>
    <w:semiHidden/>
    <w:rsid w:val="00C340B6"/>
    <w:pPr>
      <w:ind w:left="1920" w:hanging="240"/>
    </w:pPr>
  </w:style>
  <w:style w:type="paragraph" w:styleId="Indeks9">
    <w:name w:val="index 9"/>
    <w:basedOn w:val="Normalny"/>
    <w:next w:val="Normalny"/>
    <w:autoRedefine/>
    <w:uiPriority w:val="98"/>
    <w:semiHidden/>
    <w:rsid w:val="00C340B6"/>
    <w:pPr>
      <w:ind w:left="2160" w:hanging="240"/>
    </w:pPr>
  </w:style>
  <w:style w:type="paragraph" w:styleId="Nagwekindeksu">
    <w:name w:val="index heading"/>
    <w:basedOn w:val="Normalny"/>
    <w:next w:val="Indeks1"/>
    <w:uiPriority w:val="98"/>
    <w:semiHidden/>
    <w:rsid w:val="00C340B6"/>
    <w:rPr>
      <w:rFonts w:asciiTheme="majorHAnsi" w:eastAsiaTheme="majorEastAsia" w:hAnsiTheme="majorHAnsi" w:cstheme="majorBidi"/>
      <w:b/>
    </w:rPr>
  </w:style>
  <w:style w:type="table" w:styleId="Jasnasiatka">
    <w:name w:val="Light Grid"/>
    <w:basedOn w:val="Standardowy"/>
    <w:uiPriority w:val="62"/>
    <w:semiHidden/>
    <w:rsid w:val="00C340B6"/>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C340B6"/>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C340B6"/>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C340B6"/>
    <w:rPr>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C340B6"/>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C340B6"/>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C340B6"/>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C340B6"/>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C340B6"/>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C340B6"/>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C340B6"/>
    <w:rPr>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C340B6"/>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C340B6"/>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C340B6"/>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C340B6"/>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C340B6"/>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C340B6"/>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C340B6"/>
    <w:rPr>
      <w:color w:val="424242" w:themeColor="accent3" w:themeShade="BF"/>
      <w:sz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C340B6"/>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C340B6"/>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C340B6"/>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C340B6"/>
  </w:style>
  <w:style w:type="paragraph" w:styleId="Lista">
    <w:name w:val="List"/>
    <w:basedOn w:val="Normalny"/>
    <w:uiPriority w:val="98"/>
    <w:semiHidden/>
    <w:rsid w:val="00C340B6"/>
    <w:pPr>
      <w:ind w:left="283" w:hanging="283"/>
      <w:contextualSpacing/>
    </w:pPr>
  </w:style>
  <w:style w:type="paragraph" w:styleId="Lista2">
    <w:name w:val="List 2"/>
    <w:basedOn w:val="Normalny"/>
    <w:uiPriority w:val="98"/>
    <w:semiHidden/>
    <w:rsid w:val="00C340B6"/>
    <w:pPr>
      <w:ind w:left="566" w:hanging="283"/>
      <w:contextualSpacing/>
    </w:pPr>
  </w:style>
  <w:style w:type="paragraph" w:styleId="Lista3">
    <w:name w:val="List 3"/>
    <w:basedOn w:val="Normalny"/>
    <w:uiPriority w:val="98"/>
    <w:semiHidden/>
    <w:rsid w:val="00C340B6"/>
    <w:pPr>
      <w:ind w:left="849" w:hanging="283"/>
      <w:contextualSpacing/>
    </w:pPr>
  </w:style>
  <w:style w:type="paragraph" w:styleId="Lista4">
    <w:name w:val="List 4"/>
    <w:basedOn w:val="Normalny"/>
    <w:uiPriority w:val="98"/>
    <w:semiHidden/>
    <w:rsid w:val="00C340B6"/>
    <w:pPr>
      <w:ind w:left="1132" w:hanging="283"/>
      <w:contextualSpacing/>
    </w:pPr>
  </w:style>
  <w:style w:type="paragraph" w:styleId="Lista5">
    <w:name w:val="List 5"/>
    <w:basedOn w:val="Normalny"/>
    <w:uiPriority w:val="98"/>
    <w:semiHidden/>
    <w:rsid w:val="00C340B6"/>
    <w:pPr>
      <w:ind w:left="1415" w:hanging="283"/>
      <w:contextualSpacing/>
    </w:pPr>
  </w:style>
  <w:style w:type="paragraph" w:styleId="Listapunktowana2">
    <w:name w:val="List Bullet 2"/>
    <w:basedOn w:val="Normalny"/>
    <w:uiPriority w:val="98"/>
    <w:semiHidden/>
    <w:rsid w:val="00C340B6"/>
    <w:pPr>
      <w:numPr>
        <w:numId w:val="8"/>
      </w:numPr>
      <w:contextualSpacing/>
    </w:pPr>
  </w:style>
  <w:style w:type="paragraph" w:styleId="Listapunktowana4">
    <w:name w:val="List Bullet 4"/>
    <w:basedOn w:val="Normalny"/>
    <w:uiPriority w:val="98"/>
    <w:semiHidden/>
    <w:rsid w:val="00C340B6"/>
    <w:pPr>
      <w:numPr>
        <w:numId w:val="10"/>
      </w:numPr>
      <w:contextualSpacing/>
    </w:pPr>
  </w:style>
  <w:style w:type="paragraph" w:styleId="Listapunktowana5">
    <w:name w:val="List Bullet 5"/>
    <w:basedOn w:val="Normalny"/>
    <w:uiPriority w:val="98"/>
    <w:semiHidden/>
    <w:rsid w:val="00C340B6"/>
    <w:pPr>
      <w:numPr>
        <w:numId w:val="11"/>
      </w:numPr>
      <w:contextualSpacing/>
    </w:pPr>
  </w:style>
  <w:style w:type="paragraph" w:styleId="Lista-kontynuacja">
    <w:name w:val="List Continue"/>
    <w:basedOn w:val="Normalny"/>
    <w:uiPriority w:val="98"/>
    <w:semiHidden/>
    <w:rsid w:val="00C340B6"/>
    <w:pPr>
      <w:spacing w:after="120"/>
      <w:ind w:left="283"/>
      <w:contextualSpacing/>
    </w:pPr>
  </w:style>
  <w:style w:type="paragraph" w:styleId="Lista-kontynuacja2">
    <w:name w:val="List Continue 2"/>
    <w:basedOn w:val="Normalny"/>
    <w:uiPriority w:val="98"/>
    <w:semiHidden/>
    <w:rsid w:val="00C340B6"/>
    <w:pPr>
      <w:spacing w:after="120"/>
      <w:ind w:left="566"/>
      <w:contextualSpacing/>
    </w:pPr>
  </w:style>
  <w:style w:type="paragraph" w:styleId="Lista-kontynuacja3">
    <w:name w:val="List Continue 3"/>
    <w:basedOn w:val="Normalny"/>
    <w:uiPriority w:val="98"/>
    <w:semiHidden/>
    <w:rsid w:val="00C340B6"/>
    <w:pPr>
      <w:spacing w:after="120"/>
      <w:ind w:left="849"/>
      <w:contextualSpacing/>
    </w:pPr>
  </w:style>
  <w:style w:type="paragraph" w:styleId="Lista-kontynuacja4">
    <w:name w:val="List Continue 4"/>
    <w:basedOn w:val="Normalny"/>
    <w:uiPriority w:val="98"/>
    <w:semiHidden/>
    <w:rsid w:val="00C340B6"/>
    <w:pPr>
      <w:spacing w:after="120"/>
      <w:ind w:left="1132"/>
      <w:contextualSpacing/>
    </w:pPr>
  </w:style>
  <w:style w:type="paragraph" w:styleId="Lista-kontynuacja5">
    <w:name w:val="List Continue 5"/>
    <w:basedOn w:val="Normalny"/>
    <w:uiPriority w:val="98"/>
    <w:semiHidden/>
    <w:rsid w:val="00C340B6"/>
    <w:pPr>
      <w:spacing w:after="120"/>
      <w:ind w:left="1415"/>
      <w:contextualSpacing/>
    </w:pPr>
  </w:style>
  <w:style w:type="paragraph" w:styleId="Listanumerowana">
    <w:name w:val="List Number"/>
    <w:basedOn w:val="Normalny"/>
    <w:uiPriority w:val="98"/>
    <w:semiHidden/>
    <w:rsid w:val="00C340B6"/>
    <w:pPr>
      <w:numPr>
        <w:numId w:val="12"/>
      </w:numPr>
      <w:contextualSpacing/>
    </w:pPr>
  </w:style>
  <w:style w:type="paragraph" w:styleId="Listanumerowana2">
    <w:name w:val="List Number 2"/>
    <w:basedOn w:val="Normalny"/>
    <w:uiPriority w:val="98"/>
    <w:semiHidden/>
    <w:rsid w:val="00C340B6"/>
    <w:pPr>
      <w:numPr>
        <w:numId w:val="13"/>
      </w:numPr>
      <w:contextualSpacing/>
    </w:pPr>
  </w:style>
  <w:style w:type="paragraph" w:styleId="Listanumerowana3">
    <w:name w:val="List Number 3"/>
    <w:basedOn w:val="Normalny"/>
    <w:uiPriority w:val="98"/>
    <w:semiHidden/>
    <w:rsid w:val="00C340B6"/>
    <w:pPr>
      <w:numPr>
        <w:numId w:val="14"/>
      </w:numPr>
      <w:contextualSpacing/>
    </w:pPr>
  </w:style>
  <w:style w:type="paragraph" w:styleId="Listanumerowana4">
    <w:name w:val="List Number 4"/>
    <w:basedOn w:val="Normalny"/>
    <w:uiPriority w:val="98"/>
    <w:semiHidden/>
    <w:rsid w:val="00C340B6"/>
    <w:pPr>
      <w:numPr>
        <w:numId w:val="15"/>
      </w:numPr>
      <w:contextualSpacing/>
    </w:pPr>
  </w:style>
  <w:style w:type="paragraph" w:styleId="Listanumerowana5">
    <w:name w:val="List Number 5"/>
    <w:basedOn w:val="Normalny"/>
    <w:uiPriority w:val="98"/>
    <w:semiHidden/>
    <w:rsid w:val="00C340B6"/>
    <w:pPr>
      <w:numPr>
        <w:numId w:val="16"/>
      </w:numPr>
      <w:contextualSpacing/>
    </w:pPr>
  </w:style>
  <w:style w:type="paragraph" w:styleId="Tekstmakra">
    <w:name w:val="macro"/>
    <w:link w:val="TekstmakraZnak"/>
    <w:uiPriority w:val="98"/>
    <w:semiHidden/>
    <w:rsid w:val="00C340B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C340B6"/>
    <w:rPr>
      <w:rFonts w:ascii="Consolas" w:eastAsiaTheme="minorEastAsia" w:hAnsi="Consolas" w:cs="Consolas"/>
      <w:sz w:val="20"/>
    </w:rPr>
  </w:style>
  <w:style w:type="table" w:styleId="redniasiatka1">
    <w:name w:val="Medium Grid 1"/>
    <w:basedOn w:val="Standardowy"/>
    <w:uiPriority w:val="67"/>
    <w:semiHidden/>
    <w:rsid w:val="00C340B6"/>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C340B6"/>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C340B6"/>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C340B6"/>
    <w:rPr>
      <w:sz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C340B6"/>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C340B6"/>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C340B6"/>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C340B6"/>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C340B6"/>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C340B6"/>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C340B6"/>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C340B6"/>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C340B6"/>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C340B6"/>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C340B6"/>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C340B6"/>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C340B6"/>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C340B6"/>
    <w:rPr>
      <w:color w:val="000000" w:themeColor="text1"/>
      <w:sz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C340B6"/>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C340B6"/>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C340B6"/>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C340B6"/>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C340B6"/>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C340B6"/>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C340B6"/>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C340B6"/>
    <w:rPr>
      <w:sz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C340B6"/>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C340B6"/>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C340B6"/>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C340B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C340B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C340B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C340B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C340B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C340B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C340B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C340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C340B6"/>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C340B6"/>
    <w:rPr>
      <w:rFonts w:ascii="Times New Roman" w:hAnsi="Times New Roman" w:cs="Times New Roman"/>
    </w:rPr>
  </w:style>
  <w:style w:type="paragraph" w:styleId="Wcicienormalne">
    <w:name w:val="Normal Indent"/>
    <w:basedOn w:val="Normalny"/>
    <w:uiPriority w:val="98"/>
    <w:semiHidden/>
    <w:rsid w:val="00C340B6"/>
    <w:pPr>
      <w:ind w:left="720"/>
    </w:pPr>
  </w:style>
  <w:style w:type="paragraph" w:styleId="Nagweknotatki">
    <w:name w:val="Note Heading"/>
    <w:basedOn w:val="Normalny"/>
    <w:next w:val="Normalny"/>
    <w:link w:val="NagweknotatkiZnak"/>
    <w:uiPriority w:val="98"/>
    <w:semiHidden/>
    <w:rsid w:val="00C340B6"/>
  </w:style>
  <w:style w:type="character" w:customStyle="1" w:styleId="NagweknotatkiZnak">
    <w:name w:val="Nagłówek notatki Znak"/>
    <w:basedOn w:val="Domylnaczcionkaakapitu"/>
    <w:link w:val="Nagweknotatki"/>
    <w:uiPriority w:val="98"/>
    <w:semiHidden/>
    <w:rsid w:val="00C340B6"/>
    <w:rPr>
      <w:sz w:val="24"/>
    </w:rPr>
  </w:style>
  <w:style w:type="character" w:styleId="Tekstzastpczy">
    <w:name w:val="Placeholder Text"/>
    <w:basedOn w:val="Domylnaczcionkaakapitu"/>
    <w:uiPriority w:val="98"/>
    <w:semiHidden/>
    <w:rsid w:val="00C340B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C340B6"/>
    <w:rPr>
      <w:rFonts w:ascii="Consolas" w:hAnsi="Consolas" w:cs="Consolas"/>
      <w:sz w:val="21"/>
    </w:rPr>
  </w:style>
  <w:style w:type="character" w:customStyle="1" w:styleId="ZwykytekstZnak">
    <w:name w:val="Zwykły tekst Znak"/>
    <w:basedOn w:val="Domylnaczcionkaakapitu"/>
    <w:link w:val="Zwykytekst"/>
    <w:uiPriority w:val="98"/>
    <w:semiHidden/>
    <w:rsid w:val="00C340B6"/>
    <w:rPr>
      <w:rFonts w:ascii="Consolas" w:hAnsi="Consolas" w:cs="Consolas"/>
      <w:sz w:val="21"/>
    </w:rPr>
  </w:style>
  <w:style w:type="paragraph" w:styleId="Zwrotgrzecznociowy">
    <w:name w:val="Salutation"/>
    <w:basedOn w:val="Normalny"/>
    <w:next w:val="Normalny"/>
    <w:link w:val="ZwrotgrzecznociowyZnak"/>
    <w:uiPriority w:val="98"/>
    <w:semiHidden/>
    <w:rsid w:val="00C340B6"/>
  </w:style>
  <w:style w:type="character" w:customStyle="1" w:styleId="ZwrotgrzecznociowyZnak">
    <w:name w:val="Zwrot grzecznościowy Znak"/>
    <w:basedOn w:val="Domylnaczcionkaakapitu"/>
    <w:link w:val="Zwrotgrzecznociowy"/>
    <w:uiPriority w:val="98"/>
    <w:semiHidden/>
    <w:rsid w:val="00C340B6"/>
    <w:rPr>
      <w:sz w:val="24"/>
    </w:rPr>
  </w:style>
  <w:style w:type="paragraph" w:styleId="Podpis">
    <w:name w:val="Signature"/>
    <w:basedOn w:val="Normalny"/>
    <w:link w:val="PodpisZnak"/>
    <w:uiPriority w:val="98"/>
    <w:semiHidden/>
    <w:rsid w:val="00C340B6"/>
    <w:pPr>
      <w:ind w:left="4252"/>
    </w:pPr>
  </w:style>
  <w:style w:type="character" w:customStyle="1" w:styleId="PodpisZnak">
    <w:name w:val="Podpis Znak"/>
    <w:basedOn w:val="Domylnaczcionkaakapitu"/>
    <w:link w:val="Podpis"/>
    <w:uiPriority w:val="98"/>
    <w:semiHidden/>
    <w:rsid w:val="00C340B6"/>
    <w:rPr>
      <w:sz w:val="24"/>
    </w:rPr>
  </w:style>
  <w:style w:type="table" w:styleId="Tabela-Efekty3D1">
    <w:name w:val="Table 3D effects 1"/>
    <w:basedOn w:val="Standardowy"/>
    <w:uiPriority w:val="99"/>
    <w:semiHidden/>
    <w:unhideWhenUsed/>
    <w:rsid w:val="00C340B6"/>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C340B6"/>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C340B6"/>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340B6"/>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340B6"/>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340B6"/>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340B6"/>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340B6"/>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340B6"/>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340B6"/>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340B6"/>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340B6"/>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340B6"/>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340B6"/>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340B6"/>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340B6"/>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340B6"/>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340B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340B6"/>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340B6"/>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340B6"/>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340B6"/>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340B6"/>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340B6"/>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340B6"/>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C340B6"/>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340B6"/>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340B6"/>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340B6"/>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340B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340B6"/>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340B6"/>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340B6"/>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C340B6"/>
    <w:pPr>
      <w:ind w:left="240" w:hanging="240"/>
    </w:pPr>
  </w:style>
  <w:style w:type="paragraph" w:styleId="Spisilustracji">
    <w:name w:val="table of figures"/>
    <w:basedOn w:val="Normalny"/>
    <w:next w:val="Normalny"/>
    <w:uiPriority w:val="98"/>
    <w:semiHidden/>
    <w:rsid w:val="00C340B6"/>
  </w:style>
  <w:style w:type="table" w:styleId="Tabela-Profesjonalny">
    <w:name w:val="Table Professional"/>
    <w:basedOn w:val="Standardowy"/>
    <w:uiPriority w:val="99"/>
    <w:semiHidden/>
    <w:unhideWhenUsed/>
    <w:rsid w:val="00C340B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340B6"/>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340B6"/>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340B6"/>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340B6"/>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340B6"/>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C340B6"/>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340B6"/>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340B6"/>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C340B6"/>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C340B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C340B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C340B6"/>
    <w:pPr>
      <w:spacing w:after="100"/>
      <w:ind w:left="1680"/>
    </w:pPr>
  </w:style>
  <w:style w:type="paragraph" w:styleId="Spistreci9">
    <w:name w:val="toc 9"/>
    <w:basedOn w:val="Normalny"/>
    <w:next w:val="Normalny"/>
    <w:autoRedefine/>
    <w:uiPriority w:val="98"/>
    <w:semiHidden/>
    <w:rsid w:val="00C340B6"/>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C340B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340B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C340B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C340B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340B6"/>
    <w:pPr>
      <w:numPr>
        <w:numId w:val="20"/>
      </w:numPr>
      <w:spacing w:before="60" w:after="60"/>
    </w:pPr>
  </w:style>
  <w:style w:type="paragraph" w:customStyle="1" w:styleId="ECHRBullet2">
    <w:name w:val="ECHR_Bullet_2"/>
    <w:aliases w:val="_Bul_2"/>
    <w:basedOn w:val="ECHRBullet1"/>
    <w:uiPriority w:val="23"/>
    <w:semiHidden/>
    <w:rsid w:val="00C340B6"/>
    <w:pPr>
      <w:numPr>
        <w:ilvl w:val="1"/>
      </w:numPr>
    </w:pPr>
  </w:style>
  <w:style w:type="paragraph" w:customStyle="1" w:styleId="ECHRBullet3">
    <w:name w:val="ECHR_Bullet_3"/>
    <w:aliases w:val="_Bul_3"/>
    <w:basedOn w:val="ECHRBullet2"/>
    <w:uiPriority w:val="23"/>
    <w:semiHidden/>
    <w:rsid w:val="00C340B6"/>
    <w:pPr>
      <w:numPr>
        <w:ilvl w:val="2"/>
      </w:numPr>
    </w:pPr>
  </w:style>
  <w:style w:type="paragraph" w:customStyle="1" w:styleId="ECHRBullet4">
    <w:name w:val="ECHR_Bullet_4"/>
    <w:aliases w:val="_Bul_4"/>
    <w:basedOn w:val="ECHRBullet3"/>
    <w:uiPriority w:val="23"/>
    <w:semiHidden/>
    <w:rsid w:val="00C340B6"/>
    <w:pPr>
      <w:numPr>
        <w:ilvl w:val="3"/>
      </w:numPr>
    </w:pPr>
  </w:style>
  <w:style w:type="paragraph" w:customStyle="1" w:styleId="ECHRConfidential">
    <w:name w:val="ECHR_Confidential"/>
    <w:aliases w:val="_Confidential"/>
    <w:basedOn w:val="Normalny"/>
    <w:next w:val="Normalny"/>
    <w:uiPriority w:val="42"/>
    <w:semiHidden/>
    <w:qFormat/>
    <w:rsid w:val="00C340B6"/>
    <w:pPr>
      <w:jc w:val="right"/>
    </w:pPr>
    <w:rPr>
      <w:color w:val="C00000"/>
      <w:sz w:val="20"/>
    </w:rPr>
  </w:style>
  <w:style w:type="paragraph" w:customStyle="1" w:styleId="ECHRDecisionBody">
    <w:name w:val="ECHR_Decision_Body"/>
    <w:aliases w:val="_Decision_Body"/>
    <w:basedOn w:val="NormalJustified"/>
    <w:uiPriority w:val="54"/>
    <w:semiHidden/>
    <w:rsid w:val="00C340B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C340B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C340B6"/>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C340B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C340B6"/>
    <w:pPr>
      <w:jc w:val="right"/>
    </w:pPr>
    <w:rPr>
      <w:sz w:val="20"/>
    </w:rPr>
  </w:style>
  <w:style w:type="paragraph" w:customStyle="1" w:styleId="ECHRHeaderRefIt">
    <w:name w:val="ECHR_Header_Ref_It"/>
    <w:aliases w:val="_Ref_Ital"/>
    <w:basedOn w:val="Normalny"/>
    <w:next w:val="ECHRHeaderDate"/>
    <w:uiPriority w:val="43"/>
    <w:qFormat/>
    <w:rsid w:val="00C340B6"/>
    <w:pPr>
      <w:jc w:val="right"/>
    </w:pPr>
    <w:rPr>
      <w:i/>
      <w:sz w:val="20"/>
    </w:rPr>
  </w:style>
  <w:style w:type="paragraph" w:customStyle="1" w:styleId="ECHRHeading9">
    <w:name w:val="ECHR_Heading_9"/>
    <w:aliases w:val="_Head_9"/>
    <w:basedOn w:val="Nagwek9"/>
    <w:uiPriority w:val="17"/>
    <w:semiHidden/>
    <w:rsid w:val="00C340B6"/>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C340B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340B6"/>
    <w:pPr>
      <w:numPr>
        <w:numId w:val="21"/>
      </w:numPr>
      <w:spacing w:before="60" w:after="60"/>
    </w:pPr>
  </w:style>
  <w:style w:type="paragraph" w:customStyle="1" w:styleId="ECHRNumberedList2">
    <w:name w:val="ECHR_Numbered_List_2"/>
    <w:aliases w:val="_Num_2"/>
    <w:basedOn w:val="ECHRNumberedList1"/>
    <w:uiPriority w:val="23"/>
    <w:semiHidden/>
    <w:rsid w:val="00C340B6"/>
    <w:pPr>
      <w:numPr>
        <w:ilvl w:val="1"/>
      </w:numPr>
    </w:pPr>
  </w:style>
  <w:style w:type="paragraph" w:customStyle="1" w:styleId="ECHRNumberedList3">
    <w:name w:val="ECHR_Numbered_List_3"/>
    <w:aliases w:val="_Num_3"/>
    <w:basedOn w:val="ECHRNumberedList2"/>
    <w:uiPriority w:val="23"/>
    <w:semiHidden/>
    <w:rsid w:val="00C340B6"/>
    <w:pPr>
      <w:numPr>
        <w:ilvl w:val="2"/>
      </w:numPr>
    </w:pPr>
  </w:style>
  <w:style w:type="paragraph" w:customStyle="1" w:styleId="ECHRParaHanging">
    <w:name w:val="ECHR_Para_Hanging"/>
    <w:aliases w:val="_Hanging"/>
    <w:basedOn w:val="NormalJustified"/>
    <w:uiPriority w:val="8"/>
    <w:semiHidden/>
    <w:qFormat/>
    <w:rsid w:val="00C340B6"/>
    <w:pPr>
      <w:ind w:left="567" w:hanging="567"/>
    </w:pPr>
  </w:style>
  <w:style w:type="paragraph" w:customStyle="1" w:styleId="ECHRParaIndent">
    <w:name w:val="ECHR_Para_Indent"/>
    <w:aliases w:val="_Indent"/>
    <w:basedOn w:val="NormalJustified"/>
    <w:uiPriority w:val="7"/>
    <w:semiHidden/>
    <w:qFormat/>
    <w:rsid w:val="00C340B6"/>
    <w:pPr>
      <w:spacing w:before="120" w:after="120"/>
      <w:ind w:left="284"/>
    </w:pPr>
  </w:style>
  <w:style w:type="character" w:customStyle="1" w:styleId="ECHRRed">
    <w:name w:val="ECHR_Red"/>
    <w:aliases w:val="_Red"/>
    <w:basedOn w:val="Domylnaczcionkaakapitu"/>
    <w:uiPriority w:val="15"/>
    <w:semiHidden/>
    <w:qFormat/>
    <w:rsid w:val="00C340B6"/>
    <w:rPr>
      <w:color w:val="C00000" w:themeColor="accent2"/>
    </w:rPr>
  </w:style>
  <w:style w:type="paragraph" w:customStyle="1" w:styleId="DecList">
    <w:name w:val="Dec_List"/>
    <w:aliases w:val="_List"/>
    <w:basedOn w:val="JuList"/>
    <w:uiPriority w:val="22"/>
    <w:rsid w:val="00C340B6"/>
    <w:pPr>
      <w:numPr>
        <w:numId w:val="0"/>
      </w:numPr>
      <w:ind w:left="284"/>
    </w:pPr>
  </w:style>
  <w:style w:type="table" w:customStyle="1" w:styleId="ECHRTable2">
    <w:name w:val="ECHR_Table_2"/>
    <w:basedOn w:val="Standardowy"/>
    <w:uiPriority w:val="99"/>
    <w:rsid w:val="00C340B6"/>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C340B6"/>
    <w:rPr>
      <w:sz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C340B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C340B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C340B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C340B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C340B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C340B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C340B6"/>
    <w:pPr>
      <w:outlineLvl w:val="0"/>
    </w:pPr>
  </w:style>
  <w:style w:type="paragraph" w:customStyle="1" w:styleId="ECHRTitleTOC1">
    <w:name w:val="ECHR_Title_TOC_1"/>
    <w:aliases w:val="_Title_L_TOC"/>
    <w:basedOn w:val="ECHRTitle1"/>
    <w:next w:val="Normalny"/>
    <w:uiPriority w:val="27"/>
    <w:semiHidden/>
    <w:qFormat/>
    <w:rsid w:val="00C340B6"/>
    <w:pPr>
      <w:outlineLvl w:val="0"/>
    </w:pPr>
  </w:style>
  <w:style w:type="paragraph" w:customStyle="1" w:styleId="ECHRPlaceholder">
    <w:name w:val="ECHR_Placeholder"/>
    <w:aliases w:val="_Placeholder"/>
    <w:basedOn w:val="JuSigned"/>
    <w:uiPriority w:val="31"/>
    <w:rsid w:val="00C340B6"/>
    <w:rPr>
      <w:color w:val="FFFFFF"/>
    </w:rPr>
  </w:style>
  <w:style w:type="paragraph" w:customStyle="1" w:styleId="ECHRSpacer">
    <w:name w:val="ECHR_Spacer"/>
    <w:aliases w:val="_Spacer"/>
    <w:basedOn w:val="Normalny"/>
    <w:uiPriority w:val="45"/>
    <w:semiHidden/>
    <w:rsid w:val="00C340B6"/>
    <w:rPr>
      <w:sz w:val="4"/>
    </w:rPr>
  </w:style>
  <w:style w:type="table" w:customStyle="1" w:styleId="ECHRTableGrey">
    <w:name w:val="ECHR_Table_Grey"/>
    <w:basedOn w:val="Standardowy"/>
    <w:uiPriority w:val="99"/>
    <w:rsid w:val="00C340B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C340B6"/>
    <w:rPr>
      <w:color w:val="605E5C"/>
      <w:shd w:val="clear" w:color="auto" w:fill="E1DFDD"/>
    </w:rPr>
  </w:style>
  <w:style w:type="character" w:customStyle="1" w:styleId="JuParaChar">
    <w:name w:val="Ju_Para Char"/>
    <w:aliases w:val="_Para Char"/>
    <w:link w:val="JuPara"/>
    <w:uiPriority w:val="4"/>
    <w:rsid w:val="00B614F8"/>
    <w:rPr>
      <w:sz w:val="24"/>
    </w:rPr>
  </w:style>
  <w:style w:type="table" w:styleId="Tabelasiatki1jasna">
    <w:name w:val="Grid Table 1 Light"/>
    <w:basedOn w:val="Standardowy"/>
    <w:uiPriority w:val="46"/>
    <w:semiHidden/>
    <w:rsid w:val="00B614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B614F8"/>
    <w:pPr>
      <w:numPr>
        <w:ilvl w:val="0"/>
        <w:numId w:val="0"/>
      </w:numPr>
      <w:tabs>
        <w:tab w:val="num" w:pos="1701"/>
      </w:tabs>
      <w:spacing w:before="60" w:after="60" w:line="240" w:lineRule="exact"/>
      <w:ind w:left="1703" w:hanging="284"/>
      <w:contextualSpacing/>
    </w:pPr>
    <w:rPr>
      <w:sz w:val="22"/>
    </w:rPr>
  </w:style>
  <w:style w:type="table" w:styleId="Tabelasiatki1jasnaakcent1">
    <w:name w:val="Grid Table 1 Light Accent 1"/>
    <w:basedOn w:val="Standardowy"/>
    <w:uiPriority w:val="46"/>
    <w:semiHidden/>
    <w:rsid w:val="00B614F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B614F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B614F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B614F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B614F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B614F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B614F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B614F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B614F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B614F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B614F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B614F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B614F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B614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B614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B614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B614F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B614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B614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B614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B614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B614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B614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B614F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B614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B614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B614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B614F8"/>
    <w:rPr>
      <w:color w:val="2B579A"/>
      <w:shd w:val="clear" w:color="auto" w:fill="E1DFDD"/>
    </w:rPr>
  </w:style>
  <w:style w:type="table" w:styleId="Tabelalisty1jasna">
    <w:name w:val="List Table 1 Light"/>
    <w:basedOn w:val="Standardowy"/>
    <w:uiPriority w:val="46"/>
    <w:semiHidden/>
    <w:rsid w:val="00B614F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B614F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B614F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B614F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B614F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B614F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B614F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B614F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B614F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B614F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B614F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B614F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B614F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B614F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B614F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B614F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B614F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B614F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B614F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B614F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B614F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B614F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B614F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B614F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B614F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B614F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B614F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B614F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B614F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B614F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B614F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B614F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B614F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B614F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B614F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B614F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B614F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B614F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B614F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B614F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B614F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B614F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B614F8"/>
    <w:rPr>
      <w:color w:val="2B579A"/>
      <w:shd w:val="clear" w:color="auto" w:fill="E1DFDD"/>
    </w:rPr>
  </w:style>
  <w:style w:type="table" w:styleId="Zwykatabela1">
    <w:name w:val="Plain Table 1"/>
    <w:basedOn w:val="Standardowy"/>
    <w:uiPriority w:val="41"/>
    <w:semiHidden/>
    <w:rsid w:val="00B614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B614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B614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B614F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B614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B614F8"/>
    <w:rPr>
      <w:u w:val="dotted"/>
    </w:rPr>
  </w:style>
  <w:style w:type="character" w:styleId="Inteligentnylink">
    <w:name w:val="Smart Link"/>
    <w:basedOn w:val="Domylnaczcionkaakapitu"/>
    <w:uiPriority w:val="99"/>
    <w:semiHidden/>
    <w:unhideWhenUsed/>
    <w:rsid w:val="00B614F8"/>
    <w:rPr>
      <w:color w:val="0000FF"/>
      <w:u w:val="single"/>
      <w:shd w:val="clear" w:color="auto" w:fill="F3F2F1"/>
    </w:rPr>
  </w:style>
  <w:style w:type="table" w:styleId="Siatkatabelijasna">
    <w:name w:val="Grid Table Light"/>
    <w:basedOn w:val="Standardowy"/>
    <w:uiPriority w:val="40"/>
    <w:semiHidden/>
    <w:rsid w:val="00B614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B614F8"/>
    <w:rPr>
      <w:sz w:val="24"/>
    </w:rPr>
  </w:style>
  <w:style w:type="paragraph" w:customStyle="1" w:styleId="ECHRParaSpaced">
    <w:name w:val="ECHR_Para_Spaced"/>
    <w:aliases w:val="Para_Spaced"/>
    <w:basedOn w:val="Normalny"/>
    <w:uiPriority w:val="4"/>
    <w:qFormat/>
    <w:rsid w:val="00B614F8"/>
    <w:pPr>
      <w:spacing w:before="120" w:after="120"/>
      <w:jc w:val="both"/>
    </w:pPr>
    <w:rPr>
      <w:sz w:val="22"/>
    </w:rPr>
  </w:style>
  <w:style w:type="paragraph" w:customStyle="1" w:styleId="ECHRHeading1">
    <w:name w:val="ECHR_Heading_1"/>
    <w:aliases w:val="Head_1"/>
    <w:basedOn w:val="Nagwek1"/>
    <w:next w:val="ECHRParaSpaced"/>
    <w:uiPriority w:val="14"/>
    <w:qFormat/>
    <w:rsid w:val="00B614F8"/>
    <w:pPr>
      <w:keepNext/>
      <w:keepLines/>
      <w:numPr>
        <w:numId w:val="3"/>
      </w:numPr>
      <w:pBdr>
        <w:bottom w:val="single" w:sz="12" w:space="1" w:color="838383" w:themeColor="text2" w:themeShade="BF"/>
      </w:pBdr>
      <w:tabs>
        <w:tab w:val="num" w:pos="360"/>
      </w:tabs>
      <w:spacing w:before="240"/>
      <w:ind w:left="0"/>
    </w:pPr>
    <w:rPr>
      <w:color w:val="2C2C2C" w:themeColor="accent3" w:themeShade="80"/>
    </w:rPr>
  </w:style>
  <w:style w:type="paragraph" w:customStyle="1" w:styleId="ECHRHeading2">
    <w:name w:val="ECHR_Heading_2"/>
    <w:aliases w:val="Head_2"/>
    <w:basedOn w:val="Nagwek2"/>
    <w:next w:val="ECHRParaSpaced"/>
    <w:uiPriority w:val="14"/>
    <w:qFormat/>
    <w:rsid w:val="00B614F8"/>
    <w:pPr>
      <w:keepNext/>
      <w:keepLines/>
      <w:numPr>
        <w:ilvl w:val="1"/>
        <w:numId w:val="3"/>
      </w:numPr>
      <w:tabs>
        <w:tab w:val="num" w:pos="360"/>
      </w:tabs>
      <w:spacing w:before="240"/>
      <w:ind w:left="0"/>
      <w:contextualSpacing/>
    </w:pPr>
    <w:rPr>
      <w:color w:val="2C2C2C" w:themeColor="accent3" w:themeShade="80"/>
      <w:sz w:val="28"/>
    </w:rPr>
  </w:style>
  <w:style w:type="paragraph" w:customStyle="1" w:styleId="ECHRHeading3">
    <w:name w:val="ECHR_Heading_3"/>
    <w:aliases w:val="Head_3"/>
    <w:basedOn w:val="Nagwek3"/>
    <w:next w:val="ECHRParaSpaced"/>
    <w:uiPriority w:val="14"/>
    <w:qFormat/>
    <w:rsid w:val="00B614F8"/>
    <w:pPr>
      <w:keepNext/>
      <w:keepLines/>
      <w:numPr>
        <w:ilvl w:val="2"/>
        <w:numId w:val="3"/>
      </w:numPr>
      <w:tabs>
        <w:tab w:val="num" w:pos="360"/>
      </w:tabs>
      <w:spacing w:before="240" w:line="240" w:lineRule="auto"/>
      <w:contextualSpacing/>
    </w:pPr>
    <w:rPr>
      <w:color w:val="2C2C2C" w:themeColor="accent3" w:themeShade="80"/>
      <w:sz w:val="24"/>
    </w:rPr>
  </w:style>
  <w:style w:type="paragraph" w:customStyle="1" w:styleId="ECHRHeading4">
    <w:name w:val="ECHR_Heading_4"/>
    <w:aliases w:val="Head_4"/>
    <w:basedOn w:val="Nagwek4"/>
    <w:next w:val="ECHRParaSpaced"/>
    <w:uiPriority w:val="14"/>
    <w:qFormat/>
    <w:rsid w:val="00B614F8"/>
    <w:pPr>
      <w:keepNext/>
      <w:keepLines/>
      <w:numPr>
        <w:ilvl w:val="3"/>
        <w:numId w:val="3"/>
      </w:numPr>
      <w:tabs>
        <w:tab w:val="num" w:pos="360"/>
      </w:tabs>
      <w:spacing w:before="240"/>
      <w:contextualSpacing/>
    </w:pPr>
    <w:rPr>
      <w:i w:val="0"/>
      <w:color w:val="595959" w:themeColor="accent3"/>
      <w:sz w:val="24"/>
    </w:rPr>
  </w:style>
  <w:style w:type="paragraph" w:customStyle="1" w:styleId="ECHRHeading5">
    <w:name w:val="ECHR_Heading_5"/>
    <w:aliases w:val="Head_5"/>
    <w:basedOn w:val="Nagwek5"/>
    <w:next w:val="ECHRParaSpaced"/>
    <w:uiPriority w:val="14"/>
    <w:qFormat/>
    <w:rsid w:val="00B614F8"/>
    <w:pPr>
      <w:keepNext/>
      <w:keepLines/>
      <w:numPr>
        <w:ilvl w:val="4"/>
        <w:numId w:val="3"/>
      </w:numPr>
      <w:tabs>
        <w:tab w:val="num" w:pos="360"/>
      </w:tabs>
      <w:spacing w:before="240"/>
      <w:contextualSpacing/>
    </w:pPr>
    <w:rPr>
      <w:color w:val="595959" w:themeColor="accent3"/>
      <w:u w:val="single"/>
    </w:rPr>
  </w:style>
  <w:style w:type="paragraph" w:customStyle="1" w:styleId="ECHRHeading6">
    <w:name w:val="ECHR_Heading_6"/>
    <w:aliases w:val="Head_6"/>
    <w:basedOn w:val="Nagwek6"/>
    <w:next w:val="ECHRParaSpaced"/>
    <w:uiPriority w:val="14"/>
    <w:rsid w:val="00B614F8"/>
    <w:pPr>
      <w:keepNext/>
      <w:keepLines/>
      <w:numPr>
        <w:ilvl w:val="5"/>
        <w:numId w:val="3"/>
      </w:numPr>
      <w:tabs>
        <w:tab w:val="num" w:pos="360"/>
      </w:tabs>
      <w:spacing w:before="240" w:line="240" w:lineRule="auto"/>
      <w:contextualSpacing/>
    </w:pPr>
    <w:rPr>
      <w:color w:val="424242" w:themeColor="accent3" w:themeShade="BF"/>
      <w:sz w:val="20"/>
    </w:rPr>
  </w:style>
  <w:style w:type="paragraph" w:customStyle="1" w:styleId="ECHRHeading7">
    <w:name w:val="ECHR_Heading_7"/>
    <w:aliases w:val="Head_7"/>
    <w:basedOn w:val="Nagwek7"/>
    <w:next w:val="ECHRParaSpaced"/>
    <w:uiPriority w:val="14"/>
    <w:rsid w:val="00B614F8"/>
    <w:pPr>
      <w:keepNext/>
      <w:keepLines/>
      <w:numPr>
        <w:ilvl w:val="6"/>
        <w:numId w:val="3"/>
      </w:numPr>
      <w:tabs>
        <w:tab w:val="num" w:pos="360"/>
      </w:tabs>
      <w:spacing w:before="240"/>
      <w:contextualSpacing/>
    </w:pPr>
    <w:rPr>
      <w:b/>
      <w:i w:val="0"/>
      <w:color w:val="424242" w:themeColor="accent3" w:themeShade="BF"/>
      <w:sz w:val="20"/>
    </w:rPr>
  </w:style>
  <w:style w:type="paragraph" w:customStyle="1" w:styleId="jupara0">
    <w:name w:val="jupara"/>
    <w:basedOn w:val="Normalny"/>
    <w:rsid w:val="00490B41"/>
    <w:pPr>
      <w:ind w:firstLine="284"/>
      <w:jc w:val="both"/>
    </w:pPr>
    <w:rPr>
      <w:rFonts w:ascii="Times New Roman" w:eastAsia="Times New Roman" w:hAnsi="Times New Roman" w:cs="Times New Roman"/>
    </w:rPr>
  </w:style>
  <w:style w:type="paragraph" w:customStyle="1" w:styleId="jucase0">
    <w:name w:val="jucase"/>
    <w:basedOn w:val="Normalny"/>
    <w:rsid w:val="00490B41"/>
    <w:pPr>
      <w:ind w:firstLine="284"/>
      <w:jc w:val="both"/>
    </w:pPr>
    <w:rPr>
      <w:rFonts w:ascii="Times New Roman" w:eastAsia="Times New Roman" w:hAnsi="Times New Roman" w:cs="Times New Roman"/>
      <w:b/>
    </w:rPr>
  </w:style>
  <w:style w:type="paragraph" w:customStyle="1" w:styleId="P68B1DB1-JuPara1">
    <w:name w:val="P68B1DB1-JuPara1"/>
    <w:basedOn w:val="JuPara"/>
    <w:rPr>
      <w:sz w:val="22"/>
    </w:rPr>
  </w:style>
  <w:style w:type="paragraph" w:customStyle="1" w:styleId="P68B1DB1-JuPara2">
    <w:name w:val="P68B1DB1-JuPara2"/>
    <w:basedOn w:val="JuPara"/>
    <w:rPr>
      <w:sz w:val="18"/>
    </w:rPr>
  </w:style>
  <w:style w:type="paragraph" w:customStyle="1" w:styleId="P68B1DB1-DecHCase3">
    <w:name w:val="P68B1DB1-DecHCase3"/>
    <w:basedOn w:val="DecHCase"/>
    <w:rPr>
      <w:rFonts w:ascii="Times New Roman" w:hAnsi="Times New Roman" w:cs="Times New Roman"/>
    </w:rPr>
  </w:style>
  <w:style w:type="paragraph" w:customStyle="1" w:styleId="P68B1DB1-jucase04">
    <w:name w:val="P68B1DB1-jucase04"/>
    <w:basedOn w:val="jucase0"/>
    <w:rPr>
      <w:color w:val="FF0000"/>
      <w:sz w:val="28"/>
      <w:u w:val="single"/>
    </w:rPr>
  </w:style>
  <w:style w:type="paragraph" w:customStyle="1" w:styleId="P68B1DB1-jucase05">
    <w:name w:val="P68B1DB1-jucase05"/>
    <w:basedOn w:val="jucase0"/>
    <w:rPr>
      <w:b w:val="0"/>
      <w:color w:val="FF0000"/>
      <w:sz w:val="28"/>
    </w:rPr>
  </w:style>
  <w:style w:type="paragraph" w:customStyle="1" w:styleId="P68B1DB1-Normalny6">
    <w:name w:val="P68B1DB1-Normalny6"/>
    <w:basedOn w:val="Normalny"/>
    <w:rPr>
      <w:i/>
      <w:sz w:val="22"/>
    </w:rPr>
  </w:style>
  <w:style w:type="paragraph" w:customStyle="1" w:styleId="P68B1DB1-JuPara7">
    <w:name w:val="P68B1DB1-JuPara7"/>
    <w:basedOn w:val="JuPara"/>
    <w:rPr>
      <w:sz w:val="23"/>
    </w:rPr>
  </w:style>
  <w:style w:type="paragraph" w:customStyle="1" w:styleId="P68B1DB1-DecHTitle8">
    <w:name w:val="P68B1DB1-DecHTitle8"/>
    <w:basedOn w:val="DecHTitl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9620</Words>
  <Characters>57724</Characters>
  <Application>Microsoft Office Word</Application>
  <DocSecurity>0</DocSecurity>
  <Lines>481</Lines>
  <Paragraphs>134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67210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2026-04-13T18:28:00Z</dcterms:created>
  <dcterms:modified xsi:type="dcterms:W3CDTF">2026-04-24T12:15:00Z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1694341</vt:lpwstr>
  </property>
  <property fmtid="{D5CDD505-2E9C-101B-9397-08002B2CF9AE}" pid="3" name="cstLanguage">
    <vt:i4>2057</vt:i4>
  </property>
  <property fmtid="{D5CDD505-2E9C-101B-9397-08002B2CF9AE}" pid="4" name="eDOCS AutoSave">
    <vt:lpwstr>20260210185254394</vt:lpwstr>
  </property>
  <property fmtid="{D5CDD505-2E9C-101B-9397-08002B2CF9AE}" pid="5" name="RegisteredNo">
    <vt:lpwstr>3023/22</vt:lpwstr>
  </property>
  <property fmtid="{D5CDD505-2E9C-101B-9397-08002B2CF9AE}" pid="6" name="GrammarlyDocumentId">
    <vt:lpwstr>d1a580d0-c09d-4198-b3b7-5a29e75e5912</vt:lpwstr>
  </property>
</Properties>
</file>