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3D7D94" w14:textId="77777777" w:rsidR="0098410D" w:rsidRPr="006054C3" w:rsidRDefault="008C2A17" w:rsidP="006054C3">
      <w:pPr>
        <w:pStyle w:val="DecHTitle"/>
      </w:pPr>
      <w:r>
        <w:t>SEKCJA DRUGA</w:t>
      </w:r>
    </w:p>
    <w:p w14:paraId="38074B37" w14:textId="3B942878" w:rsidR="008E6217" w:rsidRPr="006054C3" w:rsidRDefault="008C2A17" w:rsidP="006054C3">
      <w:pPr>
        <w:pStyle w:val="JuTitle"/>
        <w:spacing w:before="960"/>
      </w:pPr>
      <w:r>
        <w:t xml:space="preserve">SPRAWA </w:t>
      </w:r>
      <w:r w:rsidR="003B0DD2">
        <w:t>Z </w:t>
      </w:r>
      <w:r>
        <w:t xml:space="preserve">I INNI </w:t>
      </w:r>
      <w:r w:rsidR="00464384">
        <w:t>przeciwko</w:t>
      </w:r>
      <w:r>
        <w:t xml:space="preserve"> FINLANDII</w:t>
      </w:r>
    </w:p>
    <w:p w14:paraId="0ADD5C85" w14:textId="77777777" w:rsidR="00D74888" w:rsidRPr="006054C3" w:rsidRDefault="008C2A17" w:rsidP="006054C3">
      <w:pPr>
        <w:pStyle w:val="ECHRCoverTitle4"/>
      </w:pPr>
      <w:r>
        <w:t>(Skarga nr 42758/23)</w:t>
      </w:r>
    </w:p>
    <w:p w14:paraId="644C3172" w14:textId="77777777" w:rsidR="0098410D" w:rsidRPr="006054C3" w:rsidRDefault="0098410D" w:rsidP="00464384">
      <w:pPr>
        <w:pStyle w:val="DecHCase"/>
        <w:jc w:val="left"/>
      </w:pPr>
    </w:p>
    <w:p w14:paraId="5A11CD1C" w14:textId="77777777" w:rsidR="0098410D" w:rsidRPr="006054C3" w:rsidRDefault="008C2A17" w:rsidP="006054C3">
      <w:pPr>
        <w:pStyle w:val="DecHCase"/>
      </w:pPr>
      <w:r>
        <w:t>WYROK</w:t>
      </w:r>
      <w:r>
        <w:br/>
      </w:r>
    </w:p>
    <w:p w14:paraId="77F69E2F" w14:textId="3088BEC6" w:rsidR="006054C3" w:rsidRPr="006054C3" w:rsidRDefault="008C2A17" w:rsidP="006054C3">
      <w:pPr>
        <w:pStyle w:val="JuPara"/>
        <w:pBdr>
          <w:top w:val="single" w:sz="4" w:space="1" w:color="auto"/>
          <w:left w:val="single" w:sz="4" w:space="4" w:color="auto"/>
          <w:bottom w:val="single" w:sz="4" w:space="1" w:color="auto"/>
          <w:right w:val="single" w:sz="4" w:space="4" w:color="auto"/>
        </w:pBdr>
        <w:ind w:firstLine="0"/>
      </w:pPr>
      <w:r>
        <w:t>Art</w:t>
      </w:r>
      <w:r w:rsidR="00163CE7">
        <w:t>ykuł </w:t>
      </w:r>
      <w:r>
        <w:t>8 • Życie rodzinne • Nakaz powrotu dwojga dzieci</w:t>
      </w:r>
      <w:r w:rsidR="003B0DD2">
        <w:t xml:space="preserve"> z </w:t>
      </w:r>
      <w:r>
        <w:t xml:space="preserve">Finlandii do Rosji na podstawie </w:t>
      </w:r>
      <w:r w:rsidR="00464384">
        <w:t>k</w:t>
      </w:r>
      <w:r>
        <w:t>onwencji haskiej</w:t>
      </w:r>
      <w:r w:rsidR="003B0DD2">
        <w:t xml:space="preserve"> w </w:t>
      </w:r>
      <w:r>
        <w:t>następstwie ich uprowadzenia przez ojca • Rozpatrzenie sprawy przez sądy krajowe</w:t>
      </w:r>
      <w:r w:rsidR="003B0DD2">
        <w:t xml:space="preserve"> w </w:t>
      </w:r>
      <w:r>
        <w:t>sposób zgodny</w:t>
      </w:r>
      <w:r w:rsidR="003B0DD2">
        <w:t xml:space="preserve"> z </w:t>
      </w:r>
      <w:r>
        <w:t>wymogami proceduralnymi nieodłącznie związanymi</w:t>
      </w:r>
      <w:r w:rsidR="003B0DD2">
        <w:t xml:space="preserve"> z art. </w:t>
      </w:r>
      <w:r>
        <w:t>8 • Odpowiednie</w:t>
      </w:r>
      <w:r w:rsidR="003B0DD2">
        <w:t xml:space="preserve"> i </w:t>
      </w:r>
      <w:r>
        <w:t xml:space="preserve">wystarczające uzasadnienie • Rzeczywiste uwzględnienie przez sądy krajowe czynników mogących stanowić wyjątek od zasady natychmiastowego powrotu na gruncie </w:t>
      </w:r>
      <w:r w:rsidR="002E1F29">
        <w:t>k</w:t>
      </w:r>
      <w:r>
        <w:t>onwencji haskiej • Brak poważnego ryzyka • Status azylanta dzieci wynikający automatycznie ze statusu ich ojca • Młodsze dziecko,</w:t>
      </w:r>
      <w:r w:rsidR="003B0DD2">
        <w:t xml:space="preserve"> w </w:t>
      </w:r>
      <w:r>
        <w:t>przeciwieństwie do starszego, nie osiągnęło odpowiedniego wieku</w:t>
      </w:r>
      <w:r w:rsidR="003B0DD2">
        <w:t xml:space="preserve"> i </w:t>
      </w:r>
      <w:r>
        <w:t>stopnia dojrzałości, aby uwzględnić jego opinię • Uznanie, że powrót do Rosji leży</w:t>
      </w:r>
      <w:r w:rsidR="003B0DD2">
        <w:t xml:space="preserve"> w </w:t>
      </w:r>
      <w:r>
        <w:t xml:space="preserve">najlepszym interesie dzieci mimo sprzeciwu starszego dziecka </w:t>
      </w:r>
      <w:r w:rsidR="00E9536F">
        <w:t>i </w:t>
      </w:r>
      <w:r>
        <w:t>trudności</w:t>
      </w:r>
      <w:r w:rsidR="003B0DD2">
        <w:t xml:space="preserve"> w </w:t>
      </w:r>
      <w:r>
        <w:t>utrzymywaniu kontaktu</w:t>
      </w:r>
      <w:r w:rsidR="003B0DD2">
        <w:t xml:space="preserve"> z </w:t>
      </w:r>
      <w:r>
        <w:t>ojcem po powrocie • Ingerencja „</w:t>
      </w:r>
      <w:r w:rsidR="000F1158">
        <w:t>konieczna</w:t>
      </w:r>
      <w:r w:rsidR="003B0DD2">
        <w:t xml:space="preserve"> w </w:t>
      </w:r>
      <w:r w:rsidR="000F1158">
        <w:t xml:space="preserve">demokratycznym </w:t>
      </w:r>
      <w:r>
        <w:t>społeczeństwie”</w:t>
      </w:r>
    </w:p>
    <w:p w14:paraId="4B1F6A4F" w14:textId="77777777" w:rsidR="006054C3" w:rsidRPr="006054C3" w:rsidRDefault="006054C3" w:rsidP="006054C3">
      <w:pPr>
        <w:pStyle w:val="JuPara"/>
        <w:pBdr>
          <w:top w:val="single" w:sz="4" w:space="1" w:color="auto"/>
          <w:left w:val="single" w:sz="4" w:space="4" w:color="auto"/>
          <w:bottom w:val="single" w:sz="4" w:space="1" w:color="auto"/>
          <w:right w:val="single" w:sz="4" w:space="4" w:color="auto"/>
        </w:pBdr>
      </w:pPr>
    </w:p>
    <w:p w14:paraId="0F3E2EA5" w14:textId="77777777" w:rsidR="006054C3" w:rsidRPr="006054C3" w:rsidRDefault="008C2A17" w:rsidP="006054C3">
      <w:pPr>
        <w:pStyle w:val="JuPara"/>
        <w:pBdr>
          <w:top w:val="single" w:sz="4" w:space="1" w:color="auto"/>
          <w:left w:val="single" w:sz="4" w:space="4" w:color="auto"/>
          <w:bottom w:val="single" w:sz="4" w:space="1" w:color="auto"/>
          <w:right w:val="single" w:sz="4" w:space="4" w:color="auto"/>
        </w:pBdr>
        <w:jc w:val="center"/>
      </w:pPr>
      <w:r>
        <w:rPr>
          <w:sz w:val="20"/>
        </w:rPr>
        <w:t>Sporządzono przez Kancelarię. Nie wiąże Trybunału.</w:t>
      </w:r>
    </w:p>
    <w:p w14:paraId="5F903087" w14:textId="77777777" w:rsidR="006054C3" w:rsidRPr="006054C3" w:rsidRDefault="006054C3" w:rsidP="006054C3">
      <w:pPr>
        <w:pStyle w:val="JuPara"/>
      </w:pPr>
    </w:p>
    <w:p w14:paraId="39A29AE9" w14:textId="77777777" w:rsidR="0098410D" w:rsidRPr="006054C3" w:rsidRDefault="008C2A17" w:rsidP="006054C3">
      <w:pPr>
        <w:pStyle w:val="DecHCase"/>
      </w:pPr>
      <w:r>
        <w:t>STRASBURG</w:t>
      </w:r>
    </w:p>
    <w:p w14:paraId="2E1DBDC1" w14:textId="090B6F99" w:rsidR="0098410D" w:rsidRPr="006054C3" w:rsidRDefault="008C2A17" w:rsidP="006054C3">
      <w:pPr>
        <w:pStyle w:val="DecHCase"/>
      </w:pPr>
      <w:r>
        <w:rPr>
          <w:rFonts w:ascii="Times New Roman" w:hAnsi="Times New Roman"/>
        </w:rPr>
        <w:t>dnia 16 grudnia 2025</w:t>
      </w:r>
      <w:r w:rsidR="003B0DD2">
        <w:rPr>
          <w:rFonts w:ascii="Times New Roman" w:hAnsi="Times New Roman"/>
        </w:rPr>
        <w:t> r.</w:t>
      </w:r>
    </w:p>
    <w:p w14:paraId="4605582D" w14:textId="77777777" w:rsidR="00AC4CD4" w:rsidRPr="006054C3" w:rsidRDefault="00AC4CD4" w:rsidP="006054C3">
      <w:pPr>
        <w:pStyle w:val="JuPara"/>
      </w:pPr>
    </w:p>
    <w:p w14:paraId="56147FA0" w14:textId="77777777" w:rsidR="006054C3" w:rsidRPr="006054C3" w:rsidRDefault="006054C3" w:rsidP="006054C3">
      <w:pPr>
        <w:pStyle w:val="JuPara"/>
      </w:pPr>
    </w:p>
    <w:p w14:paraId="6B710FB0" w14:textId="32036E98" w:rsidR="002422B6" w:rsidRPr="006054C3" w:rsidRDefault="008C2A17" w:rsidP="006054C3">
      <w:pPr>
        <w:rPr>
          <w:i/>
          <w:sz w:val="22"/>
        </w:rPr>
      </w:pPr>
      <w:r>
        <w:rPr>
          <w:i/>
          <w:sz w:val="22"/>
        </w:rPr>
        <w:t>Wyrok ten stanie się ostateczny</w:t>
      </w:r>
      <w:r w:rsidR="003B0DD2">
        <w:rPr>
          <w:i/>
          <w:sz w:val="22"/>
        </w:rPr>
        <w:t xml:space="preserve"> w </w:t>
      </w:r>
      <w:r>
        <w:rPr>
          <w:i/>
          <w:sz w:val="22"/>
        </w:rPr>
        <w:t>okolicznościach określonych</w:t>
      </w:r>
      <w:r w:rsidR="003B0DD2">
        <w:rPr>
          <w:i/>
          <w:sz w:val="22"/>
        </w:rPr>
        <w:t xml:space="preserve"> w art. </w:t>
      </w:r>
      <w:r>
        <w:rPr>
          <w:i/>
          <w:sz w:val="22"/>
        </w:rPr>
        <w:t>44 ust. 2 Konwencji. Może on podlegać korekcie redakcyjnej.</w:t>
      </w:r>
    </w:p>
    <w:p w14:paraId="6B73C8B9" w14:textId="77777777" w:rsidR="0098410D" w:rsidRPr="006054C3" w:rsidRDefault="0098410D" w:rsidP="006054C3">
      <w:pPr>
        <w:sectPr w:rsidR="0098410D" w:rsidRPr="006054C3"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14:paraId="53E84FBA" w14:textId="16C506DE" w:rsidR="0098410D" w:rsidRPr="006054C3" w:rsidRDefault="008C2A17" w:rsidP="006054C3">
      <w:pPr>
        <w:pStyle w:val="JuCase"/>
      </w:pPr>
      <w:r>
        <w:lastRenderedPageBreak/>
        <w:t xml:space="preserve">Sprawa </w:t>
      </w:r>
      <w:r w:rsidR="003B0DD2">
        <w:t>Z i </w:t>
      </w:r>
      <w:r>
        <w:t xml:space="preserve">Inni </w:t>
      </w:r>
      <w:r w:rsidR="002E1F29">
        <w:t>przeciwko</w:t>
      </w:r>
      <w:r>
        <w:t xml:space="preserve"> Finlandii</w:t>
      </w:r>
    </w:p>
    <w:p w14:paraId="1247696A" w14:textId="1ED6B73F" w:rsidR="009F4C8F" w:rsidRPr="006054C3" w:rsidRDefault="008C2A17" w:rsidP="006054C3">
      <w:pPr>
        <w:pStyle w:val="JuPara"/>
      </w:pPr>
      <w:r>
        <w:t>Europejski Trybunał Praw Człowieka (Sekcja Druga), zasiadając jako Izba</w:t>
      </w:r>
      <w:r w:rsidR="003B0DD2">
        <w:t xml:space="preserve"> w </w:t>
      </w:r>
      <w:r>
        <w:t>składzie:</w:t>
      </w:r>
    </w:p>
    <w:p w14:paraId="58A3CEFD" w14:textId="1FE21236" w:rsidR="00A92625" w:rsidRPr="006054C3" w:rsidRDefault="008C2A17" w:rsidP="006054C3">
      <w:pPr>
        <w:pStyle w:val="JuJudges"/>
      </w:pPr>
      <w:r>
        <w:tab/>
      </w:r>
      <w:proofErr w:type="spellStart"/>
      <w:r>
        <w:t>Arnfinn</w:t>
      </w:r>
      <w:proofErr w:type="spellEnd"/>
      <w:r>
        <w:t xml:space="preserve"> </w:t>
      </w:r>
      <w:proofErr w:type="spellStart"/>
      <w:r>
        <w:t>Bårdsen</w:t>
      </w:r>
      <w:proofErr w:type="spellEnd"/>
      <w:r>
        <w:rPr>
          <w:i/>
        </w:rPr>
        <w:t xml:space="preserve">, </w:t>
      </w:r>
      <w:r>
        <w:rPr>
          <w:i/>
          <w:iCs/>
        </w:rPr>
        <w:t>Przewodniczący,</w:t>
      </w:r>
      <w:r>
        <w:br/>
      </w:r>
      <w:r>
        <w:tab/>
      </w:r>
      <w:proofErr w:type="spellStart"/>
      <w:r>
        <w:t>Saadet</w:t>
      </w:r>
      <w:proofErr w:type="spellEnd"/>
      <w:r>
        <w:t xml:space="preserve"> </w:t>
      </w:r>
      <w:proofErr w:type="spellStart"/>
      <w:r>
        <w:t>Yüksel</w:t>
      </w:r>
      <w:proofErr w:type="spellEnd"/>
      <w:r>
        <w:t>,</w:t>
      </w:r>
      <w:r>
        <w:br/>
      </w:r>
      <w:r>
        <w:tab/>
      </w:r>
      <w:proofErr w:type="spellStart"/>
      <w:r>
        <w:t>Jovan</w:t>
      </w:r>
      <w:proofErr w:type="spellEnd"/>
      <w:r>
        <w:t xml:space="preserve"> </w:t>
      </w:r>
      <w:proofErr w:type="spellStart"/>
      <w:r>
        <w:t>Ilievski</w:t>
      </w:r>
      <w:proofErr w:type="spellEnd"/>
      <w:r>
        <w:t>,</w:t>
      </w:r>
      <w:r>
        <w:br/>
      </w:r>
      <w:r>
        <w:tab/>
      </w:r>
      <w:proofErr w:type="spellStart"/>
      <w:r>
        <w:t>Péter</w:t>
      </w:r>
      <w:proofErr w:type="spellEnd"/>
      <w:r>
        <w:t xml:space="preserve"> </w:t>
      </w:r>
      <w:proofErr w:type="spellStart"/>
      <w:r>
        <w:t>Paczolay</w:t>
      </w:r>
      <w:proofErr w:type="spellEnd"/>
      <w:r>
        <w:t>,</w:t>
      </w:r>
      <w:r>
        <w:br/>
      </w:r>
      <w:r>
        <w:tab/>
        <w:t xml:space="preserve">Gediminas </w:t>
      </w:r>
      <w:proofErr w:type="spellStart"/>
      <w:r>
        <w:t>Sagatys</w:t>
      </w:r>
      <w:proofErr w:type="spellEnd"/>
      <w:r>
        <w:t>,</w:t>
      </w:r>
      <w:r>
        <w:br/>
      </w:r>
      <w:r>
        <w:tab/>
      </w:r>
      <w:proofErr w:type="spellStart"/>
      <w:r>
        <w:t>Juha</w:t>
      </w:r>
      <w:proofErr w:type="spellEnd"/>
      <w:r>
        <w:t xml:space="preserve"> </w:t>
      </w:r>
      <w:proofErr w:type="spellStart"/>
      <w:r>
        <w:t>Lavapuro</w:t>
      </w:r>
      <w:proofErr w:type="spellEnd"/>
      <w:r>
        <w:t>,</w:t>
      </w:r>
      <w:r>
        <w:br/>
      </w:r>
      <w:r>
        <w:tab/>
        <w:t>Hugh Mercer</w:t>
      </w:r>
      <w:r>
        <w:rPr>
          <w:i/>
        </w:rPr>
        <w:t xml:space="preserve">, </w:t>
      </w:r>
      <w:r w:rsidRPr="007D7769">
        <w:rPr>
          <w:i/>
          <w:iCs/>
        </w:rPr>
        <w:t>sędziowie</w:t>
      </w:r>
      <w:r>
        <w:t>,</w:t>
      </w:r>
      <w:r>
        <w:br/>
      </w:r>
      <w:r w:rsidR="00E9536F">
        <w:t>i </w:t>
      </w:r>
      <w:proofErr w:type="spellStart"/>
      <w:r>
        <w:t>Hasan</w:t>
      </w:r>
      <w:proofErr w:type="spellEnd"/>
      <w:r>
        <w:t xml:space="preserve"> </w:t>
      </w:r>
      <w:proofErr w:type="spellStart"/>
      <w:r>
        <w:t>Bakırcı</w:t>
      </w:r>
      <w:proofErr w:type="spellEnd"/>
      <w:r>
        <w:t xml:space="preserve">, </w:t>
      </w:r>
      <w:r>
        <w:rPr>
          <w:i/>
        </w:rPr>
        <w:t>Kanclerz Sekcji,</w:t>
      </w:r>
    </w:p>
    <w:p w14:paraId="1F48A4B1" w14:textId="3EE15ACA" w:rsidR="00E96881" w:rsidRPr="006054C3" w:rsidRDefault="005322BC" w:rsidP="006054C3">
      <w:pPr>
        <w:pStyle w:val="JuPara"/>
      </w:pPr>
      <w:r>
        <w:t>mając na uwadze:</w:t>
      </w:r>
    </w:p>
    <w:p w14:paraId="40E2D98A" w14:textId="7B21391C" w:rsidR="00E96881" w:rsidRPr="006054C3" w:rsidRDefault="008C2A17" w:rsidP="006054C3">
      <w:pPr>
        <w:pStyle w:val="JuPara"/>
      </w:pPr>
      <w:r>
        <w:t>skargę (nr 42758/23) przeciwko Republice Finlandii, wniesioną do Trybunału</w:t>
      </w:r>
      <w:r w:rsidR="003B0DD2">
        <w:t xml:space="preserve"> w </w:t>
      </w:r>
      <w:r w:rsidR="00664C94">
        <w:t xml:space="preserve">dniu </w:t>
      </w:r>
      <w:r w:rsidR="005322BC">
        <w:t>15 grudnia 2023</w:t>
      </w:r>
      <w:r w:rsidR="003B0DD2">
        <w:t> r.</w:t>
      </w:r>
      <w:r w:rsidR="005322BC">
        <w:t xml:space="preserve"> </w:t>
      </w:r>
      <w:r>
        <w:t xml:space="preserve">na podstawie </w:t>
      </w:r>
      <w:r w:rsidR="003B0DD2">
        <w:t>art. </w:t>
      </w:r>
      <w:r>
        <w:t>34 Konwencji</w:t>
      </w:r>
      <w:r w:rsidR="003B0DD2">
        <w:t xml:space="preserve"> o </w:t>
      </w:r>
      <w:r>
        <w:t>ochronie praw człowieka</w:t>
      </w:r>
      <w:r w:rsidR="003B0DD2">
        <w:t xml:space="preserve"> i </w:t>
      </w:r>
      <w:r>
        <w:t>podstawowych wolności („Konwencja”) przez trzech obywateli Rosji</w:t>
      </w:r>
      <w:r w:rsidR="005322BC">
        <w:t>,</w:t>
      </w:r>
      <w:r>
        <w:t xml:space="preserve"> pana</w:t>
      </w:r>
      <w:r w:rsidR="005322BC">
        <w:t> </w:t>
      </w:r>
      <w:r w:rsidR="003B0DD2">
        <w:t>Z </w:t>
      </w:r>
      <w:r>
        <w:t>oraz jego dwóch małoletnich synów X</w:t>
      </w:r>
      <w:r w:rsidR="003B0DD2">
        <w:t xml:space="preserve"> i </w:t>
      </w:r>
      <w:r>
        <w:t>Y („skarżący”);</w:t>
      </w:r>
    </w:p>
    <w:p w14:paraId="59C068A9" w14:textId="6F9550EB" w:rsidR="00E96881" w:rsidRPr="006054C3" w:rsidRDefault="008C2A17" w:rsidP="006054C3">
      <w:pPr>
        <w:pStyle w:val="JuPara"/>
      </w:pPr>
      <w:r>
        <w:t>decyzję</w:t>
      </w:r>
      <w:r w:rsidR="003B0DD2">
        <w:t xml:space="preserve"> o </w:t>
      </w:r>
      <w:r>
        <w:t>zakomunikowaniu skargi Rządowi Finlandii („Rząd”);</w:t>
      </w:r>
    </w:p>
    <w:p w14:paraId="457BF9F4" w14:textId="2A7EB6C6" w:rsidR="00E96881" w:rsidRPr="006054C3" w:rsidRDefault="008C2A17" w:rsidP="006054C3">
      <w:pPr>
        <w:pStyle w:val="JuPara"/>
      </w:pPr>
      <w:r>
        <w:t>decyzję</w:t>
      </w:r>
      <w:r w:rsidR="003B0DD2">
        <w:t xml:space="preserve"> o </w:t>
      </w:r>
      <w:r>
        <w:t>nieujawnianiu tożsamości skarżących;</w:t>
      </w:r>
    </w:p>
    <w:p w14:paraId="4030E852" w14:textId="4498E354" w:rsidR="00E96881" w:rsidRPr="006054C3" w:rsidRDefault="008C2A17" w:rsidP="006054C3">
      <w:pPr>
        <w:pStyle w:val="JuPara"/>
      </w:pPr>
      <w:r>
        <w:t>decyzję</w:t>
      </w:r>
      <w:r w:rsidR="003B0DD2">
        <w:t xml:space="preserve"> o </w:t>
      </w:r>
      <w:r>
        <w:t>rozpatrzeniu skargi</w:t>
      </w:r>
      <w:r w:rsidR="003B0DD2">
        <w:t xml:space="preserve"> w </w:t>
      </w:r>
      <w:r>
        <w:t>pierwszej kolejności (</w:t>
      </w:r>
      <w:r w:rsidR="005322BC">
        <w:t>art.</w:t>
      </w:r>
      <w:r>
        <w:t xml:space="preserve"> 41 Regulaminu Trybunału);</w:t>
      </w:r>
    </w:p>
    <w:p w14:paraId="2F4D7419" w14:textId="527CA106" w:rsidR="00E96881" w:rsidRPr="006054C3" w:rsidRDefault="008C2A17" w:rsidP="006054C3">
      <w:pPr>
        <w:pStyle w:val="JuPara"/>
      </w:pPr>
      <w:r>
        <w:t>decyzję</w:t>
      </w:r>
      <w:r w:rsidR="003B0DD2">
        <w:t xml:space="preserve"> o </w:t>
      </w:r>
      <w:r>
        <w:t xml:space="preserve">wskazaniu pozwanemu Rządowi środka tymczasowego na podstawie </w:t>
      </w:r>
      <w:r w:rsidR="005322BC">
        <w:t>art.</w:t>
      </w:r>
      <w:r>
        <w:t xml:space="preserve"> 39 Regulaminu Trybunału oraz fakt, że </w:t>
      </w:r>
      <w:r w:rsidR="005322BC">
        <w:t>zastosowano się do tego środka</w:t>
      </w:r>
      <w:r>
        <w:t>;</w:t>
      </w:r>
    </w:p>
    <w:p w14:paraId="496BA28C" w14:textId="123A3F6B" w:rsidR="00E96881" w:rsidRPr="006054C3" w:rsidRDefault="008C2A17" w:rsidP="006054C3">
      <w:pPr>
        <w:pStyle w:val="JuPara"/>
      </w:pPr>
      <w:r>
        <w:t>uwagi przedłożone przez pozwany Rząd oraz uwagi przedłożone</w:t>
      </w:r>
      <w:r w:rsidR="003B0DD2">
        <w:t xml:space="preserve"> w </w:t>
      </w:r>
      <w:r w:rsidR="005322BC">
        <w:t xml:space="preserve">odpowiedzi </w:t>
      </w:r>
      <w:r>
        <w:t>przez skarżących;</w:t>
      </w:r>
    </w:p>
    <w:p w14:paraId="4147A8EE" w14:textId="21A55B30" w:rsidR="00E96881" w:rsidRPr="006054C3" w:rsidRDefault="008C2A17" w:rsidP="006054C3">
      <w:pPr>
        <w:pStyle w:val="JuPara"/>
      </w:pPr>
      <w:r>
        <w:t xml:space="preserve">uwagi przedłożone przez </w:t>
      </w:r>
      <w:r w:rsidR="00203924">
        <w:t>organizację</w:t>
      </w:r>
      <w:r>
        <w:t xml:space="preserve"> AIRE</w:t>
      </w:r>
      <w:r w:rsidR="00203924">
        <w:t xml:space="preserve"> Centre</w:t>
      </w:r>
      <w:r>
        <w:t xml:space="preserve"> oraz panią G. </w:t>
      </w:r>
      <w:r w:rsidR="005322BC">
        <w:t>(</w:t>
      </w:r>
      <w:r>
        <w:t>matkę drugiego</w:t>
      </w:r>
      <w:r w:rsidR="003B0DD2">
        <w:t xml:space="preserve"> i </w:t>
      </w:r>
      <w:r>
        <w:t>trzeciego skarżącego</w:t>
      </w:r>
      <w:r w:rsidR="005322BC">
        <w:t>),</w:t>
      </w:r>
      <w:r>
        <w:t xml:space="preserve"> którym Przewodniczący Sekcji udzielił zezwolenia na udział</w:t>
      </w:r>
      <w:r w:rsidR="003B0DD2">
        <w:t xml:space="preserve"> w </w:t>
      </w:r>
      <w:r>
        <w:t>postępowaniu</w:t>
      </w:r>
      <w:r w:rsidR="003B0DD2">
        <w:t xml:space="preserve"> w </w:t>
      </w:r>
      <w:r>
        <w:t>charakterze strony trzeciej;</w:t>
      </w:r>
    </w:p>
    <w:p w14:paraId="752884A8" w14:textId="4D447BA4" w:rsidR="009F4C8F" w:rsidRPr="006054C3" w:rsidRDefault="008A3700" w:rsidP="006054C3">
      <w:pPr>
        <w:pStyle w:val="JuPara"/>
      </w:pPr>
      <w:r>
        <w:t>obradując na posiedzeniu niejawnym</w:t>
      </w:r>
      <w:r w:rsidR="003B0DD2">
        <w:t xml:space="preserve"> w </w:t>
      </w:r>
      <w:r>
        <w:t>dniu 18 listopada 2025</w:t>
      </w:r>
      <w:r w:rsidR="003B0DD2">
        <w:t> r.</w:t>
      </w:r>
      <w:r>
        <w:t>,</w:t>
      </w:r>
    </w:p>
    <w:p w14:paraId="2E7604D6" w14:textId="3DC08EDF" w:rsidR="009F4C8F" w:rsidRPr="006054C3" w:rsidRDefault="008C2A17" w:rsidP="006054C3">
      <w:pPr>
        <w:pStyle w:val="JuPara"/>
      </w:pPr>
      <w:r>
        <w:t>wydaje następujący wyrok, który został przyjęty</w:t>
      </w:r>
      <w:r w:rsidR="003B0DD2">
        <w:t xml:space="preserve"> w </w:t>
      </w:r>
      <w:r>
        <w:t>tym dniu:</w:t>
      </w:r>
    </w:p>
    <w:p w14:paraId="00A45D7D" w14:textId="77777777" w:rsidR="00E96881" w:rsidRPr="006054C3" w:rsidRDefault="008C2A17" w:rsidP="006054C3">
      <w:pPr>
        <w:pStyle w:val="JuHHead"/>
        <w:numPr>
          <w:ilvl w:val="0"/>
          <w:numId w:val="0"/>
        </w:numPr>
      </w:pPr>
      <w:r>
        <w:t>WPROWADZENIE</w:t>
      </w:r>
    </w:p>
    <w:p w14:paraId="3CA32C6C" w14:textId="0535E4B2"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1</w:t>
      </w:r>
      <w:r w:rsidRPr="006054C3">
        <w:fldChar w:fldCharType="end"/>
      </w:r>
      <w:r>
        <w:t>.  Sprawa dotyczy decyzji sądów krajowych</w:t>
      </w:r>
      <w:r w:rsidR="003B0DD2">
        <w:t xml:space="preserve"> o </w:t>
      </w:r>
      <w:r>
        <w:t>nakazaniu powrotu małoletnich skarżących, którym przyznano azyl</w:t>
      </w:r>
      <w:r w:rsidR="003B0DD2">
        <w:t xml:space="preserve"> w </w:t>
      </w:r>
      <w:r>
        <w:t>Finlandii, do Rosji na podstawie Konwencji haskiej dotyczącej cywilnych aspektów uprowadzenia dziecka za granicę.</w:t>
      </w:r>
    </w:p>
    <w:p w14:paraId="5AEC04EC" w14:textId="77777777" w:rsidR="00E96881" w:rsidRPr="006054C3" w:rsidRDefault="008C2A17" w:rsidP="006054C3">
      <w:pPr>
        <w:pStyle w:val="JuHHead"/>
      </w:pPr>
      <w:r>
        <w:t>FAKTY</w:t>
      </w:r>
    </w:p>
    <w:p w14:paraId="2B85C74C" w14:textId="72ADE56D"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2</w:t>
      </w:r>
      <w:r w:rsidRPr="006054C3">
        <w:fldChar w:fldCharType="end"/>
      </w:r>
      <w:r>
        <w:t>.  Skarżący są obywatelami Rosji. Pierwszy skarżący, urodzony</w:t>
      </w:r>
      <w:r w:rsidR="003B0DD2">
        <w:t xml:space="preserve"> w </w:t>
      </w:r>
      <w:r>
        <w:t>1983</w:t>
      </w:r>
      <w:r w:rsidR="008A3700">
        <w:t> </w:t>
      </w:r>
      <w:r>
        <w:t>r., jest ojcem drugiego</w:t>
      </w:r>
      <w:r w:rsidR="003B0DD2">
        <w:t xml:space="preserve"> i </w:t>
      </w:r>
      <w:r>
        <w:t>trzeciego skarżącego, którzy urodzili się odpowiednio</w:t>
      </w:r>
      <w:r w:rsidR="003B0DD2">
        <w:t xml:space="preserve"> w </w:t>
      </w:r>
      <w:r>
        <w:t>2011</w:t>
      </w:r>
      <w:r w:rsidR="008A3700">
        <w:t> </w:t>
      </w:r>
      <w:r>
        <w:t>r.</w:t>
      </w:r>
      <w:r w:rsidR="003B0DD2">
        <w:t xml:space="preserve"> i </w:t>
      </w:r>
      <w:r>
        <w:t>2013</w:t>
      </w:r>
      <w:r w:rsidR="008A3700">
        <w:t> </w:t>
      </w:r>
      <w:r>
        <w:t>r.</w:t>
      </w:r>
      <w:r w:rsidR="003B0DD2">
        <w:t xml:space="preserve"> i </w:t>
      </w:r>
      <w:r>
        <w:t>również są obywatelami Rosji. Skarżący</w:t>
      </w:r>
      <w:r w:rsidR="008A3700">
        <w:t>ch</w:t>
      </w:r>
      <w:r>
        <w:t xml:space="preserve"> </w:t>
      </w:r>
      <w:r w:rsidR="008A3700">
        <w:lastRenderedPageBreak/>
        <w:t>reprezentował</w:t>
      </w:r>
      <w:r>
        <w:t xml:space="preserve"> przed Trybunałem </w:t>
      </w:r>
      <w:r w:rsidR="008A3700">
        <w:t>pan</w:t>
      </w:r>
      <w:r>
        <w:t xml:space="preserve"> H. </w:t>
      </w:r>
      <w:proofErr w:type="spellStart"/>
      <w:r>
        <w:t>Neval</w:t>
      </w:r>
      <w:r w:rsidR="008A3700">
        <w:t>a</w:t>
      </w:r>
      <w:proofErr w:type="spellEnd"/>
      <w:r>
        <w:t>, prawnik praktykując</w:t>
      </w:r>
      <w:r w:rsidR="008A3700">
        <w:t>y</w:t>
      </w:r>
      <w:r w:rsidR="003B0DD2">
        <w:t xml:space="preserve"> w </w:t>
      </w:r>
      <w:r>
        <w:t>Kemi.</w:t>
      </w:r>
    </w:p>
    <w:p w14:paraId="463B8839" w14:textId="14478049"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3</w:t>
      </w:r>
      <w:r w:rsidRPr="006054C3">
        <w:fldChar w:fldCharType="end"/>
      </w:r>
      <w:r>
        <w:t xml:space="preserve">.  Rząd </w:t>
      </w:r>
      <w:r w:rsidR="008A3700">
        <w:t>Finlandii</w:t>
      </w:r>
      <w:r>
        <w:t xml:space="preserve"> („Rząd”) był reprezentowany przez swojego pełnomocnika, panią </w:t>
      </w:r>
      <w:proofErr w:type="spellStart"/>
      <w:r>
        <w:t>Kristę</w:t>
      </w:r>
      <w:proofErr w:type="spellEnd"/>
      <w:r>
        <w:t xml:space="preserve"> </w:t>
      </w:r>
      <w:proofErr w:type="spellStart"/>
      <w:r>
        <w:t>Oinonen</w:t>
      </w:r>
      <w:proofErr w:type="spellEnd"/>
      <w:r w:rsidR="003B0DD2">
        <w:t xml:space="preserve"> z </w:t>
      </w:r>
      <w:r>
        <w:t>Ministerstwa Spraw Zagranicznych.</w:t>
      </w:r>
    </w:p>
    <w:p w14:paraId="74E5D5D6" w14:textId="77777777" w:rsidR="00E96881" w:rsidRPr="006054C3" w:rsidRDefault="008C2A17" w:rsidP="006054C3">
      <w:pPr>
        <w:pStyle w:val="JuHIRoman"/>
        <w:numPr>
          <w:ilvl w:val="0"/>
          <w:numId w:val="0"/>
        </w:numPr>
        <w:ind w:left="369" w:hanging="369"/>
      </w:pPr>
      <w:r>
        <w:rPr>
          <w:caps w:val="0"/>
        </w:rPr>
        <w:t>OKOLICZNOŚCI SPRAWY</w:t>
      </w:r>
    </w:p>
    <w:p w14:paraId="3049587F" w14:textId="1E6119EA"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4</w:t>
      </w:r>
      <w:r w:rsidRPr="006054C3">
        <w:fldChar w:fldCharType="end"/>
      </w:r>
      <w:r>
        <w:t>.  Stan faktyczny sprawy można streścić następująco</w:t>
      </w:r>
      <w:r w:rsidR="00BE36A8">
        <w:t>.</w:t>
      </w:r>
    </w:p>
    <w:p w14:paraId="08D4CD64" w14:textId="34EAC3F7"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5</w:t>
      </w:r>
      <w:r w:rsidRPr="006054C3">
        <w:fldChar w:fldCharType="end"/>
      </w:r>
      <w:r>
        <w:t>.  Skarżący mieszkali</w:t>
      </w:r>
      <w:r w:rsidR="003B0DD2">
        <w:t xml:space="preserve"> w </w:t>
      </w:r>
      <w:r>
        <w:t xml:space="preserve">Rosji. Pierwszy skarżący </w:t>
      </w:r>
      <w:r w:rsidR="00A831A3">
        <w:t>oraz</w:t>
      </w:r>
      <w:r>
        <w:t xml:space="preserve"> matka drugiego </w:t>
      </w:r>
      <w:r w:rsidR="00A831A3">
        <w:t>i</w:t>
      </w:r>
      <w:r w:rsidR="00E9536F">
        <w:t> </w:t>
      </w:r>
      <w:r>
        <w:t>trzeciego skarżącego pozostają</w:t>
      </w:r>
      <w:r w:rsidR="003B0DD2">
        <w:t xml:space="preserve"> w </w:t>
      </w:r>
      <w:r>
        <w:t>separacji, od kiedy dzieci miały odpowiednio pięć</w:t>
      </w:r>
      <w:r w:rsidR="003B0DD2">
        <w:t xml:space="preserve"> i </w:t>
      </w:r>
      <w:r>
        <w:t>trzy lata. Dzieci mieszkały</w:t>
      </w:r>
      <w:r w:rsidR="003B0DD2">
        <w:t xml:space="preserve"> z </w:t>
      </w:r>
      <w:r>
        <w:t>matką, lecz pierwszy skarżący utrzymywał</w:t>
      </w:r>
      <w:r w:rsidR="003B0DD2">
        <w:t xml:space="preserve"> z </w:t>
      </w:r>
      <w:r>
        <w:t>nimi regularny kontakt</w:t>
      </w:r>
      <w:r w:rsidR="003B0DD2">
        <w:t xml:space="preserve"> i </w:t>
      </w:r>
      <w:r>
        <w:t>okazjonalnie nocowały one</w:t>
      </w:r>
      <w:r w:rsidR="003B0DD2">
        <w:t xml:space="preserve"> w </w:t>
      </w:r>
      <w:r>
        <w:t>jego domu. Oprócz drugiego</w:t>
      </w:r>
      <w:r w:rsidR="003B0DD2">
        <w:t xml:space="preserve"> i </w:t>
      </w:r>
      <w:r>
        <w:t>trzeciego skarżącego, do rodziny należy również starsza siostra, która mieszka</w:t>
      </w:r>
      <w:r w:rsidR="003B0DD2">
        <w:t xml:space="preserve"> z </w:t>
      </w:r>
      <w:r>
        <w:t>matką.</w:t>
      </w:r>
    </w:p>
    <w:p w14:paraId="66D83338" w14:textId="2D6CA5F6"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6</w:t>
      </w:r>
      <w:r w:rsidRPr="006054C3">
        <w:fldChar w:fldCharType="end"/>
      </w:r>
      <w:r>
        <w:t>.  We wrześniu 2022</w:t>
      </w:r>
      <w:r w:rsidR="003B0DD2">
        <w:t> r.</w:t>
      </w:r>
      <w:r>
        <w:t xml:space="preserve"> pierwszy skarżący wywiózł drugiego</w:t>
      </w:r>
      <w:r w:rsidR="003B0DD2">
        <w:t xml:space="preserve"> i </w:t>
      </w:r>
      <w:r>
        <w:t>trzeciego skarżącego</w:t>
      </w:r>
      <w:r w:rsidR="003B0DD2">
        <w:t xml:space="preserve"> z </w:t>
      </w:r>
      <w:r>
        <w:t>Rosji do Finlandii bez zgody ich matki.</w:t>
      </w:r>
    </w:p>
    <w:p w14:paraId="0F31C689" w14:textId="3C278FEE"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7</w:t>
      </w:r>
      <w:r w:rsidRPr="006054C3">
        <w:fldChar w:fldCharType="end"/>
      </w:r>
      <w:r>
        <w:t>.  Po przybyciu do Finlandii,</w:t>
      </w:r>
      <w:r w:rsidR="003B0DD2">
        <w:t xml:space="preserve"> w </w:t>
      </w:r>
      <w:r>
        <w:t>dniu 14 września 2022</w:t>
      </w:r>
      <w:r w:rsidR="003B0DD2">
        <w:t> r.</w:t>
      </w:r>
      <w:r>
        <w:t>, pierwszy skarżący złożył wniosek</w:t>
      </w:r>
      <w:r w:rsidR="003B0DD2">
        <w:t xml:space="preserve"> o </w:t>
      </w:r>
      <w:r>
        <w:t>azyl</w:t>
      </w:r>
      <w:r w:rsidR="003B0DD2">
        <w:t xml:space="preserve"> w </w:t>
      </w:r>
      <w:r>
        <w:t>imieniu własnym</w:t>
      </w:r>
      <w:r w:rsidR="003B0DD2">
        <w:t xml:space="preserve"> i w </w:t>
      </w:r>
      <w:r>
        <w:t>imieniu dzieci. Jego wniosek opierał się na sprzeciwie wobec obecnego reżimu</w:t>
      </w:r>
      <w:r w:rsidR="003B0DD2">
        <w:t xml:space="preserve"> w </w:t>
      </w:r>
      <w:r>
        <w:t>Rosji</w:t>
      </w:r>
      <w:r w:rsidR="003B0DD2">
        <w:t xml:space="preserve"> i </w:t>
      </w:r>
      <w:r>
        <w:t>wojny</w:t>
      </w:r>
      <w:r w:rsidR="003B0DD2">
        <w:t xml:space="preserve"> w </w:t>
      </w:r>
      <w:r>
        <w:t>Ukrainie, co oznaczało, że groziły mu prześladowania polityczne</w:t>
      </w:r>
      <w:r w:rsidR="003B0DD2">
        <w:t xml:space="preserve"> w </w:t>
      </w:r>
      <w:r>
        <w:t>Rosji.</w:t>
      </w:r>
    </w:p>
    <w:p w14:paraId="039A2B6C" w14:textId="4F93BAE9"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8</w:t>
      </w:r>
      <w:r w:rsidRPr="006054C3">
        <w:fldChar w:fldCharType="end"/>
      </w:r>
      <w:r>
        <w:t>.  </w:t>
      </w:r>
      <w:r w:rsidR="003B0DD2">
        <w:t>W </w:t>
      </w:r>
      <w:r>
        <w:t>dniu 23 stycznia 2023</w:t>
      </w:r>
      <w:r w:rsidR="003B0DD2">
        <w:t> r.</w:t>
      </w:r>
      <w:r>
        <w:t xml:space="preserve"> matka dzieci wszczęła postępowanie przed Sądem Apelacyjnym</w:t>
      </w:r>
      <w:r w:rsidR="003B0DD2">
        <w:t xml:space="preserve"> w </w:t>
      </w:r>
      <w:r>
        <w:t>Helsinkach</w:t>
      </w:r>
      <w:r w:rsidR="003B0DD2">
        <w:t xml:space="preserve"> o </w:t>
      </w:r>
      <w:r>
        <w:t>ich powrót na podstawie Konwencji haskiej dotyczącej cywilnych aspektów uprowadzenia dziecka za granicę (dalej: „</w:t>
      </w:r>
      <w:r w:rsidR="004150B6">
        <w:t>k</w:t>
      </w:r>
      <w:r>
        <w:t>onwencja haska”).</w:t>
      </w:r>
    </w:p>
    <w:p w14:paraId="4C8083CF" w14:textId="1B73347E"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9</w:t>
      </w:r>
      <w:r w:rsidRPr="006054C3">
        <w:fldChar w:fldCharType="end"/>
      </w:r>
      <w:r>
        <w:t xml:space="preserve">.  Pierwszy skarżący, powołując się na </w:t>
      </w:r>
      <w:r w:rsidR="003B0DD2">
        <w:t>art. </w:t>
      </w:r>
      <w:r>
        <w:t xml:space="preserve">13 </w:t>
      </w:r>
      <w:r w:rsidR="004150B6">
        <w:t>akapit pierwszy</w:t>
      </w:r>
      <w:r>
        <w:t xml:space="preserve"> lit. b</w:t>
      </w:r>
      <w:r w:rsidR="004150B6">
        <w:t>)</w:t>
      </w:r>
      <w:r>
        <w:t xml:space="preserve"> </w:t>
      </w:r>
      <w:r w:rsidR="004150B6">
        <w:t>k</w:t>
      </w:r>
      <w:r>
        <w:t>onwencji haskiej (</w:t>
      </w:r>
      <w:r w:rsidR="003B0DD2">
        <w:t>zob. </w:t>
      </w:r>
      <w:r>
        <w:t xml:space="preserve">paragraf 25 poniżej), sprzeciwił się wnioskowi matki, argumentując, </w:t>
      </w:r>
      <w:r w:rsidR="00986359">
        <w:t>iż</w:t>
      </w:r>
      <w:r>
        <w:t xml:space="preserve"> istnieje poważne ryzyko, </w:t>
      </w:r>
      <w:r w:rsidR="00986359">
        <w:t>że</w:t>
      </w:r>
      <w:r>
        <w:t xml:space="preserve"> powrót dzieci do Rosji </w:t>
      </w:r>
      <w:r w:rsidR="00986359">
        <w:t>naraziłby</w:t>
      </w:r>
      <w:r>
        <w:t xml:space="preserve"> je na szkodę psychiczną </w:t>
      </w:r>
      <w:r w:rsidR="00E9536F">
        <w:t>albo</w:t>
      </w:r>
      <w:r>
        <w:t xml:space="preserve"> postawi</w:t>
      </w:r>
      <w:r w:rsidR="00986359">
        <w:t>łby je</w:t>
      </w:r>
      <w:r w:rsidR="003B0DD2">
        <w:t xml:space="preserve"> w </w:t>
      </w:r>
      <w:r>
        <w:t>sytuacji nie do zniesienia. Podniósł on</w:t>
      </w:r>
      <w:r w:rsidR="003B0DD2">
        <w:t xml:space="preserve"> w </w:t>
      </w:r>
      <w:r>
        <w:t>szczególności, że dzieci były zmuszane do uczęszczania do szkoły wojskowej</w:t>
      </w:r>
      <w:r w:rsidR="003B0DD2">
        <w:t xml:space="preserve"> w </w:t>
      </w:r>
      <w:r>
        <w:t>Rosji, gdzie poddawano je „praniu mózgu” poprzez naukę posługiwania się bronią</w:t>
      </w:r>
      <w:r w:rsidR="003B0DD2">
        <w:t xml:space="preserve"> i </w:t>
      </w:r>
      <w:r>
        <w:t xml:space="preserve">narażanie na propagandę wojenną. Powołując się na </w:t>
      </w:r>
      <w:r w:rsidR="003B0DD2">
        <w:t>art. </w:t>
      </w:r>
      <w:r>
        <w:t xml:space="preserve">13 </w:t>
      </w:r>
      <w:r w:rsidR="00986359">
        <w:t>akapit drugi</w:t>
      </w:r>
      <w:r>
        <w:t xml:space="preserve"> </w:t>
      </w:r>
      <w:r w:rsidR="00986359">
        <w:t>k</w:t>
      </w:r>
      <w:r>
        <w:t>onwencji haskiej (</w:t>
      </w:r>
      <w:r w:rsidR="003B0DD2">
        <w:t>zob. </w:t>
      </w:r>
      <w:r>
        <w:t>paragraf 25 poniżej), argumentował również, że dzieci sprzeciwiają się powrotowi.</w:t>
      </w:r>
    </w:p>
    <w:p w14:paraId="794D712A" w14:textId="1ABF1C5E" w:rsidR="00E96881" w:rsidRPr="006054C3" w:rsidRDefault="006054C3" w:rsidP="00E73894">
      <w:pPr>
        <w:pStyle w:val="JuPara"/>
      </w:pPr>
      <w:r w:rsidRPr="006054C3">
        <w:fldChar w:fldCharType="begin"/>
      </w:r>
      <w:r>
        <w:instrText xml:space="preserve"> SEQ level0 \*arabic \* MERGEFORMAT </w:instrText>
      </w:r>
      <w:r w:rsidRPr="006054C3">
        <w:fldChar w:fldCharType="separate"/>
      </w:r>
      <w:r w:rsidR="00464384">
        <w:rPr>
          <w:noProof/>
        </w:rPr>
        <w:t>10</w:t>
      </w:r>
      <w:r w:rsidRPr="006054C3">
        <w:fldChar w:fldCharType="end"/>
      </w:r>
      <w:r>
        <w:t>.  </w:t>
      </w:r>
      <w:r w:rsidR="003B0DD2">
        <w:t>W </w:t>
      </w:r>
      <w:r>
        <w:t>dniu 8 marca 2023</w:t>
      </w:r>
      <w:r w:rsidR="003B0DD2">
        <w:t> r.</w:t>
      </w:r>
      <w:r>
        <w:t xml:space="preserve"> Sąd Apelacyjny</w:t>
      </w:r>
      <w:r w:rsidR="003B0DD2">
        <w:t xml:space="preserve"> w </w:t>
      </w:r>
      <w:r>
        <w:t xml:space="preserve">Helsinkach oddalił wniosek matki. Na podstawie dowodów przedstawionych przez strony uznał, </w:t>
      </w:r>
      <w:r w:rsidR="00E9536F">
        <w:t>iż</w:t>
      </w:r>
      <w:r>
        <w:t xml:space="preserve"> istnieje poważne ryzyko, </w:t>
      </w:r>
      <w:r w:rsidR="00E9536F">
        <w:t>że</w:t>
      </w:r>
      <w:r w:rsidR="003B0DD2">
        <w:t xml:space="preserve"> w </w:t>
      </w:r>
      <w:r>
        <w:t>przypadku powrotu do Rosji dzieci nadal uczęszczałyby do tej samej szkoły wojskowej co wcześniej,</w:t>
      </w:r>
      <w:r w:rsidR="003B0DD2">
        <w:t xml:space="preserve"> a </w:t>
      </w:r>
      <w:r>
        <w:t xml:space="preserve">to naraziłoby je na szkodę psychiczną. </w:t>
      </w:r>
      <w:r w:rsidR="00986359">
        <w:t>Sąd s</w:t>
      </w:r>
      <w:r>
        <w:t>twierdził, że sytuacji,</w:t>
      </w:r>
      <w:r w:rsidR="003B0DD2">
        <w:t xml:space="preserve"> w </w:t>
      </w:r>
      <w:r>
        <w:t>której małoletnie dzieci posługują się bronią, nawet jeżeli nie jest to prawdziwa broń, ubierają się jak żołnierze</w:t>
      </w:r>
      <w:r w:rsidR="003B0DD2">
        <w:t xml:space="preserve"> i w </w:t>
      </w:r>
      <w:r>
        <w:t>inny sposób angażują się</w:t>
      </w:r>
      <w:r w:rsidR="003B0DD2">
        <w:t xml:space="preserve"> w </w:t>
      </w:r>
      <w:r>
        <w:t>czynności</w:t>
      </w:r>
      <w:r w:rsidR="00AF7862">
        <w:t xml:space="preserve"> mogące być postrzegane jako wojskowe</w:t>
      </w:r>
      <w:r>
        <w:t>, nie można uznać za odpowiednią dla ich rozwoju</w:t>
      </w:r>
      <w:r w:rsidR="003B0DD2">
        <w:t xml:space="preserve"> i </w:t>
      </w:r>
      <w:r>
        <w:t>dobrostanu. Ponadto na podstawie rozmów przeprowadzonych</w:t>
      </w:r>
      <w:r w:rsidR="003B0DD2">
        <w:t xml:space="preserve"> z </w:t>
      </w:r>
      <w:r>
        <w:t xml:space="preserve">dziećmi przez pracowników opieki społecznej, sąd ustalił również, że oboje </w:t>
      </w:r>
      <w:r>
        <w:lastRenderedPageBreak/>
        <w:t>dzieci sprzeciwiało się powrotowi do Rosji, lecz tylko starsze dziecko osiągnęło wiek</w:t>
      </w:r>
      <w:r w:rsidR="003B0DD2">
        <w:t xml:space="preserve"> i </w:t>
      </w:r>
      <w:r>
        <w:t>stopień dojrzałości,</w:t>
      </w:r>
      <w:r w:rsidR="003B0DD2">
        <w:t xml:space="preserve"> w </w:t>
      </w:r>
      <w:r>
        <w:t>którym właściwe było uwzględnienie jego opinii. Ponieważ oboje rodzice starali się wpłynąć na poglądy dzieci</w:t>
      </w:r>
      <w:r w:rsidR="003B0DD2">
        <w:t xml:space="preserve"> w </w:t>
      </w:r>
      <w:r>
        <w:t xml:space="preserve">sposób dla siebie korzystny, dzieci nie można było uznać za zdolne do </w:t>
      </w:r>
      <w:r w:rsidR="00BE36A8">
        <w:t>wyrobienia sobie własnego zdania</w:t>
      </w:r>
      <w:r>
        <w:t>.</w:t>
      </w:r>
      <w:r w:rsidR="00E73894">
        <w:t xml:space="preserve"> </w:t>
      </w:r>
      <w:r>
        <w:t xml:space="preserve">Biorąc pod uwagę wiek dzieci, ich sprzeciw wobec powrotu do Rosji nie był wystarczający, aby odmówić ich powrotu, mimo </w:t>
      </w:r>
      <w:proofErr w:type="gramStart"/>
      <w:r>
        <w:t xml:space="preserve">że </w:t>
      </w:r>
      <w:r w:rsidR="00BE36A8">
        <w:t xml:space="preserve"> w</w:t>
      </w:r>
      <w:proofErr w:type="gramEnd"/>
      <w:r w:rsidR="00BE36A8">
        <w:t xml:space="preserve"> ocenie dzieci powinien on być za taki uznany</w:t>
      </w:r>
      <w:r>
        <w:t>. Istotne było poważne ryzyko, że powrót dzieci do Rosji naraziłby je na szkodę psychiczną.</w:t>
      </w:r>
    </w:p>
    <w:p w14:paraId="2AFB57B6" w14:textId="3972FF2A"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11</w:t>
      </w:r>
      <w:r w:rsidRPr="006054C3">
        <w:fldChar w:fldCharType="end"/>
      </w:r>
      <w:r>
        <w:t>.  Matka zaskarżyła tę decyzję do Sądu Najwyższego.</w:t>
      </w:r>
      <w:r w:rsidR="00E73894">
        <w:t xml:space="preserve"> </w:t>
      </w:r>
      <w:r>
        <w:t>Argumentowała, że Sąd Apelacyjny błędnie ocenił dowody dotyczące szkoły</w:t>
      </w:r>
      <w:r w:rsidR="003B0DD2">
        <w:t xml:space="preserve"> i </w:t>
      </w:r>
      <w:r>
        <w:t>przywiązał nadmierną wagę do dowodów przedstawionych przez pierwszego skarżącego.</w:t>
      </w:r>
      <w:r w:rsidR="00E73894">
        <w:t xml:space="preserve"> </w:t>
      </w:r>
      <w:r>
        <w:t>Ponadto wskazała, że na rozprawie przed Sądem Apelacyjnym przyznała, iż opinia dzieci</w:t>
      </w:r>
      <w:r w:rsidR="003B0DD2">
        <w:t xml:space="preserve"> o </w:t>
      </w:r>
      <w:r>
        <w:t>szkole uległa zmianie</w:t>
      </w:r>
      <w:r w:rsidR="00E73894">
        <w:t>,</w:t>
      </w:r>
      <w:r w:rsidR="003B0DD2">
        <w:t xml:space="preserve"> i w </w:t>
      </w:r>
      <w:r>
        <w:t>związku</w:t>
      </w:r>
      <w:r w:rsidR="003B0DD2">
        <w:t xml:space="preserve"> z </w:t>
      </w:r>
      <w:r>
        <w:t>tym wyraziła gotowość zapewnienia im innego rodzaju edukacji.</w:t>
      </w:r>
    </w:p>
    <w:p w14:paraId="0760B9E9" w14:textId="27E178B5"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12</w:t>
      </w:r>
      <w:r w:rsidRPr="006054C3">
        <w:fldChar w:fldCharType="end"/>
      </w:r>
      <w:r>
        <w:t>.  </w:t>
      </w:r>
      <w:r w:rsidR="003B0DD2">
        <w:t>W </w:t>
      </w:r>
      <w:r>
        <w:t>swojej odpowiedzi skarżący podtrzymał argumenty, które przedstawił przed Sądem Apelacyjnym (</w:t>
      </w:r>
      <w:r w:rsidR="003B0DD2">
        <w:t>zob. </w:t>
      </w:r>
      <w:r>
        <w:t>paragraf 9 powyżej). Ponadto podniósł on, co następuje:</w:t>
      </w:r>
    </w:p>
    <w:p w14:paraId="24C8DC7D" w14:textId="638081A5" w:rsidR="00E96881" w:rsidRPr="006054C3" w:rsidRDefault="008C2A17" w:rsidP="003B0DD2">
      <w:pPr>
        <w:pStyle w:val="JuQuot"/>
      </w:pPr>
      <w:r>
        <w:t>„</w:t>
      </w:r>
      <w:r w:rsidR="003B0DD2">
        <w:t>W </w:t>
      </w:r>
      <w:r>
        <w:t xml:space="preserve">przypadku powrotu [dzieci] prawie nigdy nie mogłyby </w:t>
      </w:r>
      <w:r w:rsidR="00E73894">
        <w:t xml:space="preserve">one </w:t>
      </w:r>
      <w:r>
        <w:t>ponownie zobaczyć się</w:t>
      </w:r>
      <w:r w:rsidR="003B0DD2">
        <w:t xml:space="preserve"> z </w:t>
      </w:r>
      <w:r>
        <w:t>ojcem.</w:t>
      </w:r>
      <w:r w:rsidR="00E73894">
        <w:t xml:space="preserve"> </w:t>
      </w:r>
      <w:r>
        <w:t>Matka</w:t>
      </w:r>
      <w:r w:rsidR="003B0DD2">
        <w:t xml:space="preserve"> i </w:t>
      </w:r>
      <w:r>
        <w:t>siostra dzieci mogłyby odwiedzać dzieci</w:t>
      </w:r>
      <w:r w:rsidR="003B0DD2">
        <w:t xml:space="preserve"> w </w:t>
      </w:r>
      <w:r>
        <w:t>Finlandii</w:t>
      </w:r>
      <w:r w:rsidR="003B0DD2">
        <w:t xml:space="preserve"> w </w:t>
      </w:r>
      <w:r>
        <w:t>przeciwieństwie do sytuacji ojca, który nie mógłby pojechać do Rosji”.</w:t>
      </w:r>
    </w:p>
    <w:p w14:paraId="48BF6DC5" w14:textId="30AFF699"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13</w:t>
      </w:r>
      <w:r w:rsidRPr="006054C3">
        <w:fldChar w:fldCharType="end"/>
      </w:r>
      <w:r>
        <w:t>.  </w:t>
      </w:r>
      <w:r w:rsidR="003B0DD2">
        <w:t>W </w:t>
      </w:r>
      <w:r>
        <w:t>dniu 16 maja 2023</w:t>
      </w:r>
      <w:r w:rsidR="003B0DD2">
        <w:t> r.</w:t>
      </w:r>
      <w:r>
        <w:t xml:space="preserve"> Sąd Najwyższy, przy udziale pracowników opieki społecznej</w:t>
      </w:r>
      <w:r w:rsidR="003B0DD2">
        <w:t xml:space="preserve"> i </w:t>
      </w:r>
      <w:r>
        <w:t>pod nieobecność rodziców, wysłuchał starsze</w:t>
      </w:r>
      <w:r w:rsidR="00BE36A8">
        <w:t>go</w:t>
      </w:r>
      <w:r>
        <w:t xml:space="preserve"> </w:t>
      </w:r>
      <w:r w:rsidR="00BE36A8">
        <w:t>dziecka</w:t>
      </w:r>
      <w:r w:rsidR="00E73894">
        <w:t>, aby zapoznać się</w:t>
      </w:r>
      <w:r w:rsidR="003B0DD2">
        <w:t xml:space="preserve"> z </w:t>
      </w:r>
      <w:r>
        <w:t>jego opinią</w:t>
      </w:r>
      <w:r w:rsidR="003B0DD2">
        <w:t xml:space="preserve"> w </w:t>
      </w:r>
      <w:r>
        <w:t>tej sprawie</w:t>
      </w:r>
      <w:r w:rsidR="003B0DD2">
        <w:t xml:space="preserve"> i </w:t>
      </w:r>
      <w:r w:rsidR="00E73894">
        <w:t>ustalić</w:t>
      </w:r>
      <w:r>
        <w:t>, czy jest ona autentyczna.</w:t>
      </w:r>
      <w:r w:rsidR="00E73894">
        <w:t xml:space="preserve"> </w:t>
      </w:r>
      <w:r w:rsidR="003B0DD2">
        <w:t>W </w:t>
      </w:r>
      <w:r>
        <w:t>dniu 19 czerwca 2023</w:t>
      </w:r>
      <w:r w:rsidR="003B0DD2">
        <w:t> r.</w:t>
      </w:r>
      <w:r>
        <w:t xml:space="preserve"> odbyła się rozprawa</w:t>
      </w:r>
      <w:r w:rsidR="003B0DD2">
        <w:t xml:space="preserve"> z </w:t>
      </w:r>
      <w:r>
        <w:t>udziałem obojga rodziców.</w:t>
      </w:r>
    </w:p>
    <w:p w14:paraId="72E2E78B" w14:textId="5880AC46"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14</w:t>
      </w:r>
      <w:r w:rsidRPr="006054C3">
        <w:fldChar w:fldCharType="end"/>
      </w:r>
      <w:r>
        <w:t>.  </w:t>
      </w:r>
      <w:r w:rsidR="003B0DD2">
        <w:t>W </w:t>
      </w:r>
      <w:r>
        <w:t>dniu 27 września 2023</w:t>
      </w:r>
      <w:r w:rsidR="003B0DD2">
        <w:t> r.</w:t>
      </w:r>
      <w:r>
        <w:t xml:space="preserve"> Sąd Najwyższy nakazał powrót obojga dzieci do Rosji. Sąd uznał, że nie wykazano, by</w:t>
      </w:r>
      <w:r w:rsidR="003B0DD2">
        <w:t xml:space="preserve"> w </w:t>
      </w:r>
      <w:r>
        <w:t>przypadku powrotu dzieci były</w:t>
      </w:r>
      <w:r w:rsidR="000213C3">
        <w:t xml:space="preserve"> one</w:t>
      </w:r>
      <w:r>
        <w:t xml:space="preserve"> traktowane</w:t>
      </w:r>
      <w:r w:rsidR="003B0DD2">
        <w:t xml:space="preserve"> w </w:t>
      </w:r>
      <w:r>
        <w:t xml:space="preserve">sposób </w:t>
      </w:r>
      <w:r w:rsidR="000213C3">
        <w:t>naruszający godność</w:t>
      </w:r>
      <w:r>
        <w:t xml:space="preserve"> ludzką, narażone na szkodę fizyczną lub psychiczną albo</w:t>
      </w:r>
      <w:r w:rsidR="003B0DD2">
        <w:t xml:space="preserve"> w </w:t>
      </w:r>
      <w:r>
        <w:t>inny sposób postawione</w:t>
      </w:r>
      <w:r w:rsidR="003B0DD2">
        <w:t xml:space="preserve"> w </w:t>
      </w:r>
      <w:r>
        <w:t>sytuacji nie do zniesienia, czy to</w:t>
      </w:r>
      <w:r w:rsidR="003B0DD2">
        <w:t xml:space="preserve"> z </w:t>
      </w:r>
      <w:r>
        <w:t>powodu szkoły, do której miałyby uczęszczać, czy</w:t>
      </w:r>
      <w:r w:rsidR="003B0DD2">
        <w:t xml:space="preserve"> z </w:t>
      </w:r>
      <w:r>
        <w:t>jakiegokolwiek innego powodu. Zgodnie</w:t>
      </w:r>
      <w:r w:rsidR="003B0DD2">
        <w:t xml:space="preserve"> z </w:t>
      </w:r>
      <w:r>
        <w:t xml:space="preserve">orzecznictwem wypracowanym na gruncie </w:t>
      </w:r>
      <w:r w:rsidR="000213C3">
        <w:t>k</w:t>
      </w:r>
      <w:r>
        <w:t>onwencji haskiej powrotu dziecka najczęściej odmawia się</w:t>
      </w:r>
      <w:r w:rsidR="003B0DD2">
        <w:t xml:space="preserve"> z </w:t>
      </w:r>
      <w:r>
        <w:t>przyczyn związanych</w:t>
      </w:r>
      <w:r w:rsidR="003B0DD2">
        <w:t xml:space="preserve"> z </w:t>
      </w:r>
      <w:r>
        <w:t>zachowaniem lub sytuacją osobistą rodzica wnoszącego</w:t>
      </w:r>
      <w:r w:rsidR="003B0DD2">
        <w:t xml:space="preserve"> o </w:t>
      </w:r>
      <w:r>
        <w:t>powrót dziecka bądź dlatego, że</w:t>
      </w:r>
      <w:r w:rsidR="003B0DD2">
        <w:t xml:space="preserve"> z </w:t>
      </w:r>
      <w:r>
        <w:t>jakiegoś powodu uznano, iż dziecko jest wyjątkowo zależne od rodzica, który bezprawnie wywiózł je</w:t>
      </w:r>
      <w:r w:rsidR="003B0DD2">
        <w:t xml:space="preserve"> z </w:t>
      </w:r>
      <w:r>
        <w:t xml:space="preserve">państwa jego zwykłego pobytu. </w:t>
      </w:r>
      <w:r w:rsidR="003B0DD2">
        <w:t>W </w:t>
      </w:r>
      <w:r w:rsidR="000213C3">
        <w:t>przedmiotowej</w:t>
      </w:r>
      <w:r>
        <w:t xml:space="preserve"> sprawie Sąd Najwyższy zauważył, że nawet nie twierdzono, jakoby podstawowe potrzeby dzieci miały zostać niezaspokojone</w:t>
      </w:r>
      <w:r w:rsidR="003B0DD2">
        <w:t xml:space="preserve"> w </w:t>
      </w:r>
      <w:r>
        <w:t>przypadku powrotu do matki. Nie twierdzono również, jakoby dzieci były narażone na ryzyko znalezienia się</w:t>
      </w:r>
      <w:r w:rsidR="003B0DD2">
        <w:t xml:space="preserve"> w </w:t>
      </w:r>
      <w:r>
        <w:t>strefie działań wojennych lub życia na obszarze objętym wojną. Sąd ten zauważył, że rosyjski system szkolnictwa,</w:t>
      </w:r>
      <w:r w:rsidR="003B0DD2">
        <w:t xml:space="preserve"> w </w:t>
      </w:r>
      <w:r>
        <w:t>przeciwieństwie do fińskiego, obejmuje elementy szkolenia wojskowego, przynajmniej</w:t>
      </w:r>
      <w:r w:rsidR="003B0DD2">
        <w:t xml:space="preserve"> w </w:t>
      </w:r>
      <w:r>
        <w:t xml:space="preserve">niektórych szkołach. Zauważył również, że możliwe jest, iż po powrocie dzieci będą negatywnie </w:t>
      </w:r>
      <w:r>
        <w:lastRenderedPageBreak/>
        <w:t>traktowane</w:t>
      </w:r>
      <w:r w:rsidR="003B0DD2">
        <w:t xml:space="preserve"> w </w:t>
      </w:r>
      <w:r>
        <w:t>szkole</w:t>
      </w:r>
      <w:r w:rsidR="003B0DD2">
        <w:t xml:space="preserve"> z </w:t>
      </w:r>
      <w:r>
        <w:t>powodu ich wyjazdu do Finlandii</w:t>
      </w:r>
      <w:r w:rsidR="003B0DD2">
        <w:t xml:space="preserve"> z </w:t>
      </w:r>
      <w:r>
        <w:t>ojcem. Nie było jednak wystarczających dowodów na poważne ryzyko, że powrót dzieci naraziłby je na szkodę fizyczną lub psychiczną albo</w:t>
      </w:r>
      <w:r w:rsidR="003B0DD2">
        <w:t xml:space="preserve"> w </w:t>
      </w:r>
      <w:r>
        <w:t>inny sposób postawił</w:t>
      </w:r>
      <w:r w:rsidR="003B0DD2">
        <w:t xml:space="preserve"> w </w:t>
      </w:r>
      <w:r>
        <w:t xml:space="preserve">sytuacji nie do zniesienia. </w:t>
      </w:r>
      <w:r w:rsidR="000213C3">
        <w:t>Sąd z</w:t>
      </w:r>
      <w:r>
        <w:t>auważył ponadto, że matka oświadczyła, iż dzieci nie będą kontynuować tego samego rodzaju edukacji</w:t>
      </w:r>
      <w:r w:rsidR="000213C3">
        <w:t>,</w:t>
      </w:r>
      <w:r w:rsidR="003B0DD2">
        <w:t xml:space="preserve"> i </w:t>
      </w:r>
      <w:r>
        <w:t>nie ma powodów, by wątpić</w:t>
      </w:r>
      <w:r w:rsidR="003B0DD2">
        <w:t xml:space="preserve"> w </w:t>
      </w:r>
      <w:r>
        <w:t>jej oświadczenie (</w:t>
      </w:r>
      <w:r w:rsidR="003B0DD2">
        <w:t>zob. </w:t>
      </w:r>
      <w:r w:rsidR="0005541B">
        <w:t>paragraf</w:t>
      </w:r>
      <w:r>
        <w:t xml:space="preserve"> 11 powyżej).</w:t>
      </w:r>
    </w:p>
    <w:p w14:paraId="05D9BC8E" w14:textId="69942B1D"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15</w:t>
      </w:r>
      <w:r w:rsidRPr="006054C3">
        <w:fldChar w:fldCharType="end"/>
      </w:r>
      <w:r>
        <w:t>.  Sąd Najwyższy ustalił ponadto, że starsze dziecko, które miało wówczas dwanaście lat, zdecydowanie</w:t>
      </w:r>
      <w:r w:rsidR="003B0DD2">
        <w:t xml:space="preserve"> i </w:t>
      </w:r>
      <w:r>
        <w:t xml:space="preserve">szczerze sprzeciwiało się powrotowi </w:t>
      </w:r>
      <w:r w:rsidR="000736FC">
        <w:t>oraz</w:t>
      </w:r>
      <w:r>
        <w:t xml:space="preserve"> że osiągnęło wiek </w:t>
      </w:r>
      <w:r w:rsidR="000736FC">
        <w:t>i</w:t>
      </w:r>
      <w:r>
        <w:t xml:space="preserve"> stopień dojrzałości,</w:t>
      </w:r>
      <w:r w:rsidR="003B0DD2">
        <w:t xml:space="preserve"> w </w:t>
      </w:r>
      <w:r>
        <w:t>którym należało uwzględnić jego opini</w:t>
      </w:r>
      <w:r w:rsidR="00BE36A8">
        <w:t>i</w:t>
      </w:r>
      <w:r>
        <w:t>. Młodsze dziecko, które miało wówczas dziesięć lat, również sprzeciwiało się powrotowi.</w:t>
      </w:r>
      <w:r w:rsidR="000213C3">
        <w:t xml:space="preserve"> </w:t>
      </w:r>
      <w:r>
        <w:t>Jednakże na podstawie rozmów, jakie pracownicy opieki społecznej przeprowadzili</w:t>
      </w:r>
      <w:r w:rsidR="003B0DD2">
        <w:t xml:space="preserve"> z </w:t>
      </w:r>
      <w:r>
        <w:t>dziećmi (</w:t>
      </w:r>
      <w:r w:rsidR="003B0DD2">
        <w:t>zob. </w:t>
      </w:r>
      <w:r>
        <w:t>paragraf 10 powyżej), Sąd Najwyższy ustalił, że nie osiągnęło ono wieku</w:t>
      </w:r>
      <w:r w:rsidR="003B0DD2">
        <w:t xml:space="preserve"> i </w:t>
      </w:r>
      <w:r>
        <w:t>stopnia dojrzałości,</w:t>
      </w:r>
      <w:r w:rsidR="003B0DD2">
        <w:t xml:space="preserve"> w </w:t>
      </w:r>
      <w:r>
        <w:t>którym właściwe byłoby uwzględnienie jego opinii.</w:t>
      </w:r>
    </w:p>
    <w:p w14:paraId="0D234D36" w14:textId="7446E813"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16</w:t>
      </w:r>
      <w:r w:rsidRPr="006054C3">
        <w:fldChar w:fldCharType="end"/>
      </w:r>
      <w:r>
        <w:t>.  </w:t>
      </w:r>
      <w:r w:rsidR="003B0DD2">
        <w:t>W </w:t>
      </w:r>
      <w:r w:rsidR="000736FC">
        <w:t>swojej ogólnej ocenie</w:t>
      </w:r>
      <w:r>
        <w:t xml:space="preserve"> Sąd Najwyższy przywiązał wagę do faktu, że dzieci przez całe życie mieszkały</w:t>
      </w:r>
      <w:r w:rsidR="003B0DD2">
        <w:t xml:space="preserve"> w </w:t>
      </w:r>
      <w:r>
        <w:t>Rosji, gdzie miały siostrę</w:t>
      </w:r>
      <w:r w:rsidR="003B0DD2">
        <w:t xml:space="preserve"> i </w:t>
      </w:r>
      <w:r>
        <w:t>innych krewnych, oraz że przed bezprawnym uprowadzeniem nie łączyły ich</w:t>
      </w:r>
      <w:r w:rsidR="003B0DD2">
        <w:t xml:space="preserve"> z </w:t>
      </w:r>
      <w:r>
        <w:t>Finlandią żadne więzi.</w:t>
      </w:r>
      <w:r w:rsidR="000736FC">
        <w:t xml:space="preserve"> </w:t>
      </w:r>
      <w:r>
        <w:t>Sąd Najwyższy uznał również za możliwe, że starsze dziecko nie było</w:t>
      </w:r>
      <w:r w:rsidR="003B0DD2">
        <w:t xml:space="preserve"> w </w:t>
      </w:r>
      <w:r>
        <w:t>stanie ocenić długoterminowych skutków rozłąki</w:t>
      </w:r>
      <w:r w:rsidR="003B0DD2">
        <w:t xml:space="preserve"> z </w:t>
      </w:r>
      <w:r>
        <w:t>matką, co mogłoby utrudnić kontakt między nimi.</w:t>
      </w:r>
      <w:r w:rsidR="000736FC">
        <w:t xml:space="preserve"> </w:t>
      </w:r>
      <w:r w:rsidR="00DE6F91">
        <w:t>Sąd zauważył</w:t>
      </w:r>
      <w:r>
        <w:t>, że dowody sugerowały, iż podczas pobytu</w:t>
      </w:r>
      <w:r w:rsidR="003B0DD2">
        <w:t xml:space="preserve"> w </w:t>
      </w:r>
      <w:r>
        <w:t>Finlandii młodsze dziecko miało częstszy kontakt</w:t>
      </w:r>
      <w:r w:rsidR="003B0DD2">
        <w:t xml:space="preserve"> z </w:t>
      </w:r>
      <w:r>
        <w:t xml:space="preserve">matką, co </w:t>
      </w:r>
      <w:r w:rsidR="00BE36A8">
        <w:t>przemawiało za wnioskiem</w:t>
      </w:r>
      <w:r>
        <w:t>, że jego powrót leżał</w:t>
      </w:r>
      <w:r w:rsidR="003B0DD2">
        <w:t xml:space="preserve"> w </w:t>
      </w:r>
      <w:r>
        <w:t>jego najlepszym interesie.</w:t>
      </w:r>
    </w:p>
    <w:p w14:paraId="1E55B7E2" w14:textId="5F421A5C"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17</w:t>
      </w:r>
      <w:r w:rsidRPr="006054C3">
        <w:fldChar w:fldCharType="end"/>
      </w:r>
      <w:r>
        <w:t>.  Sąd Najwyższy orzekł również, że dzieci przez całe życie mieszkały razem</w:t>
      </w:r>
      <w:r w:rsidR="003B0DD2">
        <w:t xml:space="preserve"> i w </w:t>
      </w:r>
      <w:r>
        <w:t>ich najlepszym interesie jest to, by ich nie rozdzielano.</w:t>
      </w:r>
      <w:r w:rsidR="00DE6F91">
        <w:t xml:space="preserve"> </w:t>
      </w:r>
      <w:r>
        <w:t>Wprawdzie powrót dzieci do Rosji prawdopodobnie utrudniłby im utrzymywanie kontaktu</w:t>
      </w:r>
      <w:r w:rsidR="003B0DD2">
        <w:t xml:space="preserve"> z </w:t>
      </w:r>
      <w:r>
        <w:t>ojcem, sąd doszedł jednak do wniosku, że powrót do Rosji, gdzie dzieci nadal będą mieszkać</w:t>
      </w:r>
      <w:r w:rsidR="003B0DD2">
        <w:t xml:space="preserve"> z </w:t>
      </w:r>
      <w:r>
        <w:t>matką,</w:t>
      </w:r>
      <w:r w:rsidR="003B0DD2">
        <w:t xml:space="preserve"> z </w:t>
      </w:r>
      <w:r>
        <w:t>którą mieszkały przed bezprawnym uprowadzeniem, leży</w:t>
      </w:r>
      <w:r w:rsidR="003B0DD2">
        <w:t xml:space="preserve"> w </w:t>
      </w:r>
      <w:r>
        <w:t>ich najlepszym interesie (</w:t>
      </w:r>
      <w:r w:rsidR="003B0DD2">
        <w:t>zob. </w:t>
      </w:r>
      <w:r>
        <w:t>paragraf 5 powyżej).</w:t>
      </w:r>
      <w:r>
        <w:cr/>
        <w:t xml:space="preserve">Biorąc pod uwagę cel </w:t>
      </w:r>
      <w:r w:rsidR="002B20A9">
        <w:t>k</w:t>
      </w:r>
      <w:r>
        <w:t>onwencji haskiej, wąskie stosowanie podstaw sprzeciwu</w:t>
      </w:r>
      <w:r w:rsidR="003B0DD2">
        <w:t xml:space="preserve"> i </w:t>
      </w:r>
      <w:r>
        <w:t xml:space="preserve">ich dyskrecjonalny charakter, sprzeciwowi starszego dziecka nie można było </w:t>
      </w:r>
      <w:r w:rsidR="00BE36A8">
        <w:t>nadać takiego znaczenia, które stałoby na przeszkodzie powrotowi</w:t>
      </w:r>
      <w:r>
        <w:t xml:space="preserve"> dzieci do Rosji.</w:t>
      </w:r>
    </w:p>
    <w:p w14:paraId="597C1378" w14:textId="43EC6C44"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18</w:t>
      </w:r>
      <w:r w:rsidRPr="006054C3">
        <w:fldChar w:fldCharType="end"/>
      </w:r>
      <w:r>
        <w:t>.  Biorąc pod uwagę powyższe rozważania, Sąd Najwyższy uznał, że powrót dzieci do Rosji nie ograniczyłby nieproporcjonalnie prawa pierwszego skarżącego do poszanowania jego życia rodzinnego.</w:t>
      </w:r>
    </w:p>
    <w:p w14:paraId="0803CF8B" w14:textId="37276E3F"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19</w:t>
      </w:r>
      <w:r w:rsidRPr="006054C3">
        <w:fldChar w:fldCharType="end"/>
      </w:r>
      <w:r>
        <w:t>.  Następnie pierwszy skarżący złożył wniosek</w:t>
      </w:r>
      <w:r w:rsidR="003B0DD2">
        <w:t xml:space="preserve"> o </w:t>
      </w:r>
      <w:r>
        <w:t>uchylenie decyzji Sądu Najwyższego</w:t>
      </w:r>
      <w:r w:rsidR="003B0DD2">
        <w:t xml:space="preserve"> z </w:t>
      </w:r>
      <w:r>
        <w:t>dnia 27 września 2023</w:t>
      </w:r>
      <w:r w:rsidR="003B0DD2">
        <w:t> r.</w:t>
      </w:r>
      <w:r>
        <w:t xml:space="preserve"> (</w:t>
      </w:r>
      <w:r w:rsidR="003B0DD2">
        <w:t>zob. </w:t>
      </w:r>
      <w:r>
        <w:t>paragraf 14 powyżej), korzystając</w:t>
      </w:r>
      <w:r w:rsidR="003B0DD2">
        <w:t xml:space="preserve"> z </w:t>
      </w:r>
      <w:r>
        <w:t>nadzwyczajnego środka zaskarżenia przewidzianego</w:t>
      </w:r>
      <w:r w:rsidR="003B0DD2">
        <w:t xml:space="preserve"> w </w:t>
      </w:r>
      <w:r>
        <w:t>prawie krajowym, który umożliwiał ponowne rozpatrzenie sprawy zakończonej prawomocnym wyrokiem lub decyzją</w:t>
      </w:r>
      <w:r w:rsidR="003B0DD2">
        <w:t xml:space="preserve"> w </w:t>
      </w:r>
      <w:r>
        <w:t>przypadku ujawnienia się istotnych nowych faktów lub okoliczności mogących podważyć ten wyrok lub decyzję. Skarżący podniósł, że matka przekazałaby dzieci sekcie religijnej, którą Sąd Najwyższy — na podstawie jej nazwy — uznał za lokalny kościół.</w:t>
      </w:r>
    </w:p>
    <w:p w14:paraId="153DBF05" w14:textId="229E660C" w:rsidR="00E96881" w:rsidRPr="006054C3" w:rsidRDefault="006054C3" w:rsidP="006054C3">
      <w:pPr>
        <w:pStyle w:val="JuPara"/>
      </w:pPr>
      <w:r w:rsidRPr="006054C3">
        <w:lastRenderedPageBreak/>
        <w:fldChar w:fldCharType="begin"/>
      </w:r>
      <w:r>
        <w:instrText xml:space="preserve"> SEQ level0 \*arabic \* MERGEFORMAT </w:instrText>
      </w:r>
      <w:r w:rsidRPr="006054C3">
        <w:fldChar w:fldCharType="separate"/>
      </w:r>
      <w:r w:rsidR="00464384">
        <w:rPr>
          <w:noProof/>
        </w:rPr>
        <w:t>20</w:t>
      </w:r>
      <w:r w:rsidRPr="006054C3">
        <w:fldChar w:fldCharType="end"/>
      </w:r>
      <w:r>
        <w:t>.  </w:t>
      </w:r>
      <w:r w:rsidR="003B0DD2">
        <w:t>W </w:t>
      </w:r>
      <w:r>
        <w:t>swojej odpowiedzi matka stwierdziła, że dzieci wrócą do domu,</w:t>
      </w:r>
      <w:r w:rsidR="003B0DD2">
        <w:t xml:space="preserve"> a </w:t>
      </w:r>
      <w:r>
        <w:t>zarzuty pierwszego skarżącego są nieprawdziwe.</w:t>
      </w:r>
    </w:p>
    <w:p w14:paraId="7CD5ED24" w14:textId="05FA2633"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21</w:t>
      </w:r>
      <w:r w:rsidRPr="006054C3">
        <w:fldChar w:fldCharType="end"/>
      </w:r>
      <w:r>
        <w:t>.  </w:t>
      </w:r>
      <w:r w:rsidR="003B0DD2">
        <w:t>W </w:t>
      </w:r>
      <w:r>
        <w:t>dniu 27 października 2023</w:t>
      </w:r>
      <w:r w:rsidR="003B0DD2">
        <w:t> r.</w:t>
      </w:r>
      <w:r>
        <w:t xml:space="preserve"> Sąd Najwyższy oddalił wniosek</w:t>
      </w:r>
      <w:r w:rsidR="003B0DD2">
        <w:t xml:space="preserve"> o </w:t>
      </w:r>
      <w:r>
        <w:t>nadzwyczajne uchylenie swojej decyzji</w:t>
      </w:r>
      <w:r w:rsidR="003B0DD2">
        <w:t xml:space="preserve"> z </w:t>
      </w:r>
      <w:r>
        <w:t>27 września 2023</w:t>
      </w:r>
      <w:r w:rsidR="003B0DD2">
        <w:t> r.</w:t>
      </w:r>
      <w:r>
        <w:t xml:space="preserve"> Stwierdził on, że próg wymagany do uchylenia prawomocnego wyroku lub decyzji jest wysoki,</w:t>
      </w:r>
      <w:r w:rsidR="003B0DD2">
        <w:t xml:space="preserve"> a </w:t>
      </w:r>
      <w:r>
        <w:t>samo powołanie się na nowy fakt nie jest samo</w:t>
      </w:r>
      <w:r w:rsidR="003B0DD2">
        <w:t xml:space="preserve"> w </w:t>
      </w:r>
      <w:r>
        <w:t xml:space="preserve">sobie wystarczające, by to uzasadnić. Nowy fakt oraz jego prawdopodobny wpływ na wynik spornej decyzji muszą być na tyle </w:t>
      </w:r>
      <w:r w:rsidR="0038718E">
        <w:t>uprawdopodobnione</w:t>
      </w:r>
      <w:r>
        <w:t>, by uzasadniały bardziej szczegółową ocenę</w:t>
      </w:r>
      <w:r w:rsidR="003B0DD2">
        <w:t xml:space="preserve"> i </w:t>
      </w:r>
      <w:r>
        <w:t xml:space="preserve">zbadanie sprawy. Sąd Najwyższy uznał, że skarżący nie wykazał, iż próg </w:t>
      </w:r>
      <w:r w:rsidR="00352A4F">
        <w:t xml:space="preserve">ten </w:t>
      </w:r>
      <w:r>
        <w:t>został osiągnięty.</w:t>
      </w:r>
    </w:p>
    <w:p w14:paraId="35F78579" w14:textId="08DD5396"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22</w:t>
      </w:r>
      <w:r w:rsidRPr="006054C3">
        <w:fldChar w:fldCharType="end"/>
      </w:r>
      <w:r>
        <w:t>.  </w:t>
      </w:r>
      <w:r w:rsidR="003B0DD2">
        <w:t>W </w:t>
      </w:r>
      <w:r>
        <w:t>dniu 12 grudnia 2023</w:t>
      </w:r>
      <w:r w:rsidR="003B0DD2">
        <w:t> r.</w:t>
      </w:r>
      <w:r>
        <w:t xml:space="preserve"> Urząd ds. Imigracji przyznał azyl wszystkim trzem skarżącym (</w:t>
      </w:r>
      <w:r w:rsidR="003B0DD2">
        <w:t>zob. </w:t>
      </w:r>
      <w:r>
        <w:t>paragraf 7 powyżej). Pierwszemu skarżącemu przyznano azyl, ponieważ istniały podstawy, by sądzić, że będzie on prześladowany</w:t>
      </w:r>
      <w:r w:rsidR="003B0DD2">
        <w:t xml:space="preserve"> w </w:t>
      </w:r>
      <w:r>
        <w:t>Rosji za swoje poglądy polityczne. Dzieciom przyznano azyl automatycznie, ponieważ są małoletnimi dziećmi ojca, któremu przyznano azyl. Odpowiednia część tej decyzji brzmi następująco:</w:t>
      </w:r>
    </w:p>
    <w:p w14:paraId="73C8557C" w14:textId="2DDC5EDC" w:rsidR="00E96881" w:rsidRPr="006054C3" w:rsidRDefault="008C2A17" w:rsidP="003B0DD2">
      <w:pPr>
        <w:pStyle w:val="JuQuot"/>
      </w:pPr>
      <w:r>
        <w:t>„</w:t>
      </w:r>
      <w:r w:rsidR="003B0DD2">
        <w:t>W </w:t>
      </w:r>
      <w:r>
        <w:t>świetle wyjaśnień złożonych</w:t>
      </w:r>
      <w:r w:rsidR="003B0DD2">
        <w:t xml:space="preserve"> w </w:t>
      </w:r>
      <w:r>
        <w:t>Pana sprawie oraz ogólnych</w:t>
      </w:r>
      <w:r w:rsidR="003B0DD2">
        <w:t xml:space="preserve"> i </w:t>
      </w:r>
      <w:r>
        <w:t>aktualnych informacji</w:t>
      </w:r>
      <w:r w:rsidR="003B0DD2">
        <w:t xml:space="preserve"> o </w:t>
      </w:r>
      <w:r>
        <w:t>sytuacji</w:t>
      </w:r>
      <w:r w:rsidR="003B0DD2">
        <w:t xml:space="preserve"> w </w:t>
      </w:r>
      <w:r>
        <w:t>Pana kraju pochodzenia Urząd ds. Imigracji uważa, że ma Pan uzasadnione obawy przed prześladowaniem</w:t>
      </w:r>
      <w:r w:rsidR="003B0DD2">
        <w:t xml:space="preserve"> w </w:t>
      </w:r>
      <w:r>
        <w:t>kraju pochodzenia</w:t>
      </w:r>
      <w:r w:rsidR="003B0DD2">
        <w:t xml:space="preserve"> z </w:t>
      </w:r>
      <w:r>
        <w:t>powodu swoich poglądów politycznych</w:t>
      </w:r>
      <w:r w:rsidR="003B0DD2">
        <w:t xml:space="preserve"> w </w:t>
      </w:r>
      <w:r>
        <w:t xml:space="preserve">rozumieniu </w:t>
      </w:r>
      <w:r w:rsidR="003B0DD2">
        <w:t>art. </w:t>
      </w:r>
      <w:r>
        <w:t>87 ust. 1 ustawy</w:t>
      </w:r>
      <w:r w:rsidR="003B0DD2">
        <w:t xml:space="preserve"> o </w:t>
      </w:r>
      <w:r>
        <w:t>cudzoziemcach.</w:t>
      </w:r>
    </w:p>
    <w:p w14:paraId="678470C7" w14:textId="7A2FEEB1" w:rsidR="00E96881" w:rsidRPr="006054C3" w:rsidRDefault="00203A18" w:rsidP="006054C3">
      <w:pPr>
        <w:pStyle w:val="JuQuot"/>
      </w:pPr>
      <w:r>
        <w:t>…</w:t>
      </w:r>
    </w:p>
    <w:p w14:paraId="5EE77083" w14:textId="399DFF49" w:rsidR="00E96881" w:rsidRPr="006054C3" w:rsidRDefault="003B0DD2" w:rsidP="003B0DD2">
      <w:pPr>
        <w:pStyle w:val="JuQuot"/>
      </w:pPr>
      <w:r>
        <w:t>W </w:t>
      </w:r>
      <w:r w:rsidR="00203A18">
        <w:t>zakresie</w:t>
      </w:r>
      <w:r>
        <w:t xml:space="preserve"> Pańskich dzieci odniósł się Pan również do przemocy domowej popełnionej przez matkę i siostrę, szkolnictwa wojskowego oraz prania mózgu [przez przywódcę sekty religijnej]. Ponieważ powyżej uznano, że w Pana przypadku spełnione są warunki do przyznania azylu, a Pana dzieci otrzymują azyl jako małoletni członkowie Pana rodziny, nie ma potrzeby oceny tych elementów w niniejszej decyzji”.</w:t>
      </w:r>
    </w:p>
    <w:p w14:paraId="6FD432D8" w14:textId="7D5761BE"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23</w:t>
      </w:r>
      <w:r w:rsidRPr="006054C3">
        <w:fldChar w:fldCharType="end"/>
      </w:r>
      <w:r>
        <w:t>.  Następnie pierwszy skarżący złożył drugi nadzwyczajny wniosek, żądając uchylenia decyzji Sądu Najwyższego</w:t>
      </w:r>
      <w:r w:rsidR="003B0DD2">
        <w:t xml:space="preserve"> z </w:t>
      </w:r>
      <w:r>
        <w:t>dnia 27 września 2023</w:t>
      </w:r>
      <w:r w:rsidR="003B0DD2">
        <w:t> r.</w:t>
      </w:r>
      <w:r>
        <w:t xml:space="preserve"> (</w:t>
      </w:r>
      <w:r w:rsidR="003B0DD2">
        <w:t>zob. </w:t>
      </w:r>
      <w:r>
        <w:t>paragraf 14 powyżej) na podstawie nowych faktów. Argumentował on, między innymi, że</w:t>
      </w:r>
      <w:r w:rsidR="003B0DD2">
        <w:t xml:space="preserve"> w </w:t>
      </w:r>
      <w:r>
        <w:t>międzyczasie</w:t>
      </w:r>
      <w:r w:rsidR="00203A18">
        <w:t>:</w:t>
      </w:r>
    </w:p>
    <w:p w14:paraId="3AAF7FD5" w14:textId="1C4DA824" w:rsidR="00E96881" w:rsidRPr="006054C3" w:rsidRDefault="00203A18" w:rsidP="006054C3">
      <w:pPr>
        <w:pStyle w:val="JuPara"/>
      </w:pPr>
      <w:r>
        <w:t>(i) dzieciom przyznano azyl oraz</w:t>
      </w:r>
    </w:p>
    <w:p w14:paraId="79C7CF7D" w14:textId="2B1019FB" w:rsidR="00E96881" w:rsidRPr="006054C3" w:rsidRDefault="00203A18" w:rsidP="006054C3">
      <w:pPr>
        <w:pStyle w:val="JuPara"/>
      </w:pPr>
      <w:r>
        <w:t>(ii) ich matka zaakceptowała, że drugi skarżący zostanie</w:t>
      </w:r>
      <w:r w:rsidR="003B0DD2">
        <w:t xml:space="preserve"> w </w:t>
      </w:r>
      <w:r>
        <w:t>Finlandii, co oznaczało, że dzieci zostaną rozdzielone, jeśli trzeci skarżący wróci do Rosji.</w:t>
      </w:r>
    </w:p>
    <w:p w14:paraId="016FE8B3" w14:textId="6A20A8A5"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24</w:t>
      </w:r>
      <w:r w:rsidRPr="006054C3">
        <w:fldChar w:fldCharType="end"/>
      </w:r>
      <w:r>
        <w:t>.  </w:t>
      </w:r>
      <w:r w:rsidR="003B0DD2">
        <w:t>W </w:t>
      </w:r>
      <w:r>
        <w:t>dniu 18 stycznia 2024</w:t>
      </w:r>
      <w:r w:rsidR="003B0DD2">
        <w:t> r.</w:t>
      </w:r>
      <w:r>
        <w:t xml:space="preserve"> Sąd Najwyższy oddalił drugi nadzwyczajny wniosek</w:t>
      </w:r>
      <w:r w:rsidR="003B0DD2">
        <w:t xml:space="preserve"> o </w:t>
      </w:r>
      <w:r>
        <w:t>uchylenie swojej decyzji</w:t>
      </w:r>
      <w:r w:rsidR="003B0DD2">
        <w:t xml:space="preserve"> z </w:t>
      </w:r>
      <w:r>
        <w:t>27 września 2023</w:t>
      </w:r>
      <w:r w:rsidR="003B0DD2">
        <w:t> r.</w:t>
      </w:r>
      <w:r>
        <w:t xml:space="preserve"> Stwierdził on, że matka zaprzeczyła, jakoby </w:t>
      </w:r>
      <w:r w:rsidR="00203A18">
        <w:t>miała</w:t>
      </w:r>
      <w:r>
        <w:t xml:space="preserve"> wyrazić zgodę na pozostanie starszego dziecka</w:t>
      </w:r>
      <w:r w:rsidR="003B0DD2">
        <w:t xml:space="preserve"> w </w:t>
      </w:r>
      <w:r>
        <w:t>Finlandii. Ponadto Sąd Najwyższy orzekł, że samo przyznanie azylu dzieciom nie zwalnia państwa</w:t>
      </w:r>
      <w:r w:rsidR="003B0DD2">
        <w:t xml:space="preserve"> z </w:t>
      </w:r>
      <w:r>
        <w:t>zobowiązań wynikających</w:t>
      </w:r>
      <w:r w:rsidR="003B0DD2">
        <w:t xml:space="preserve"> z </w:t>
      </w:r>
      <w:r w:rsidR="00203A18">
        <w:t>k</w:t>
      </w:r>
      <w:r>
        <w:t>onwencji haskiej. Uznał również, że decyzja azylowa</w:t>
      </w:r>
      <w:r w:rsidR="003B0DD2">
        <w:t xml:space="preserve"> w </w:t>
      </w:r>
      <w:r>
        <w:t>sprawie skarżących nie stanowiła nowego faktu, który doprowadziłby do innego rozstrzygnięcia</w:t>
      </w:r>
      <w:r w:rsidR="003B0DD2">
        <w:t xml:space="preserve"> w </w:t>
      </w:r>
      <w:r>
        <w:t>postępowaniu</w:t>
      </w:r>
      <w:r w:rsidR="003B0DD2">
        <w:t xml:space="preserve"> o </w:t>
      </w:r>
      <w:r>
        <w:t>powrót dzieci. Wynika to</w:t>
      </w:r>
      <w:r w:rsidR="003B0DD2">
        <w:t xml:space="preserve"> z </w:t>
      </w:r>
      <w:r>
        <w:t>faktu, że status azylanta dzieci jest pochodny wobec statusu ich ojca,</w:t>
      </w:r>
      <w:r w:rsidR="003B0DD2">
        <w:t xml:space="preserve"> a </w:t>
      </w:r>
      <w:r w:rsidR="00FF1ED4">
        <w:t>nie oparty na ryzyku</w:t>
      </w:r>
      <w:r>
        <w:t xml:space="preserve"> wyrządzenia krzywdy samym dzieciom</w:t>
      </w:r>
      <w:r w:rsidR="003B0DD2">
        <w:t xml:space="preserve"> w </w:t>
      </w:r>
      <w:r>
        <w:t>przypadku ich powrotu do Rosji (</w:t>
      </w:r>
      <w:r w:rsidR="003B0DD2">
        <w:t>zob. </w:t>
      </w:r>
      <w:r>
        <w:t xml:space="preserve">paragraf 22 powyżej). </w:t>
      </w:r>
      <w:r w:rsidR="003B0DD2">
        <w:t>W </w:t>
      </w:r>
      <w:r>
        <w:t xml:space="preserve">swojej wcześniejszej decyzji Sąd </w:t>
      </w:r>
      <w:r>
        <w:lastRenderedPageBreak/>
        <w:t xml:space="preserve">Najwyższy </w:t>
      </w:r>
      <w:r w:rsidR="00FF1ED4">
        <w:t>ocenił już podstawy</w:t>
      </w:r>
      <w:r>
        <w:t xml:space="preserve"> odmowy </w:t>
      </w:r>
      <w:r w:rsidR="00FF1ED4">
        <w:t>oparte</w:t>
      </w:r>
      <w:r>
        <w:t xml:space="preserve"> na poważnym ryzyku, uwzględniając okoliczności sprawy,</w:t>
      </w:r>
      <w:r w:rsidR="003B0DD2">
        <w:t xml:space="preserve"> a w </w:t>
      </w:r>
      <w:r>
        <w:t>odniesieniu do podstaw odmowy związanych ze sprzeciwem dzieci wziął pod uwagę, że powrót do Rosji prawdopodobnie utrudniłby utrzymanie kontaktu między nimi</w:t>
      </w:r>
      <w:r w:rsidR="003B0DD2">
        <w:t xml:space="preserve"> a </w:t>
      </w:r>
      <w:r>
        <w:t>ojcem, który przeniósł się do Finlandii. Sąd Najwyższy zauważył ponadto, że decyzja azylowa nie ujawniła żadnych nowych okoliczności, które mogłyby prowadzić do odmiennego rezultatu</w:t>
      </w:r>
      <w:r w:rsidR="003B0DD2">
        <w:t xml:space="preserve"> w </w:t>
      </w:r>
      <w:r>
        <w:t>kwestii powrotu.</w:t>
      </w:r>
    </w:p>
    <w:p w14:paraId="3D3EB8ED" w14:textId="77777777" w:rsidR="00E96881" w:rsidRPr="006054C3" w:rsidRDefault="008C2A17" w:rsidP="006054C3">
      <w:pPr>
        <w:pStyle w:val="JuHHead"/>
      </w:pPr>
      <w:r>
        <w:t>WŁAŚCIWE RAMY PRAWNE I PRAKTYKA</w:t>
      </w:r>
    </w:p>
    <w:p w14:paraId="2A4921C9" w14:textId="77777777" w:rsidR="00E96881" w:rsidRPr="006054C3" w:rsidRDefault="008C2A17" w:rsidP="006054C3">
      <w:pPr>
        <w:pStyle w:val="JuHIRoman"/>
      </w:pPr>
      <w:r>
        <w:rPr>
          <w:caps w:val="0"/>
        </w:rPr>
        <w:t>PRAWO MIĘDZYNARODOWE</w:t>
      </w:r>
    </w:p>
    <w:p w14:paraId="52A1D81C" w14:textId="3815BDAE"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25</w:t>
      </w:r>
      <w:r w:rsidRPr="006054C3">
        <w:fldChar w:fldCharType="end"/>
      </w:r>
      <w:r>
        <w:t>.  Odpowiednie przepisy Konwencji dotyczącej cywilnych aspektów uprowadzenia dziecka za granicę, sporządzonej</w:t>
      </w:r>
      <w:r w:rsidR="003B0DD2">
        <w:t xml:space="preserve"> w </w:t>
      </w:r>
      <w:r>
        <w:t>Hadze dnia 25</w:t>
      </w:r>
      <w:r w:rsidR="00931A0B">
        <w:t> </w:t>
      </w:r>
      <w:r>
        <w:t>października 1980</w:t>
      </w:r>
      <w:r w:rsidR="003B0DD2">
        <w:t> r.</w:t>
      </w:r>
      <w:r>
        <w:t>, która weszła</w:t>
      </w:r>
      <w:r w:rsidR="003B0DD2">
        <w:t xml:space="preserve"> w </w:t>
      </w:r>
      <w:r>
        <w:t>życie</w:t>
      </w:r>
      <w:r w:rsidR="003B0DD2">
        <w:t xml:space="preserve"> w </w:t>
      </w:r>
      <w:r>
        <w:t xml:space="preserve">stosunku do Finlandii </w:t>
      </w:r>
      <w:r w:rsidR="00931A0B">
        <w:t xml:space="preserve">dnia </w:t>
      </w:r>
      <w:r>
        <w:t>1</w:t>
      </w:r>
      <w:r w:rsidR="00931A0B">
        <w:t> </w:t>
      </w:r>
      <w:r>
        <w:t>sierpnia 1994</w:t>
      </w:r>
      <w:r w:rsidR="003B0DD2">
        <w:t> r.</w:t>
      </w:r>
      <w:r>
        <w:t>,</w:t>
      </w:r>
      <w:r w:rsidR="003B0DD2">
        <w:t xml:space="preserve"> a w </w:t>
      </w:r>
      <w:r>
        <w:t xml:space="preserve">stosunku do Rosji </w:t>
      </w:r>
      <w:r w:rsidR="00931A0B">
        <w:t xml:space="preserve">— </w:t>
      </w:r>
      <w:r w:rsidR="00352A4F">
        <w:t xml:space="preserve">dnia </w:t>
      </w:r>
      <w:r>
        <w:t>1</w:t>
      </w:r>
      <w:r w:rsidR="00931A0B">
        <w:t> </w:t>
      </w:r>
      <w:r>
        <w:t>października 2011</w:t>
      </w:r>
      <w:r w:rsidR="003B0DD2">
        <w:t> r.</w:t>
      </w:r>
      <w:r>
        <w:t>, brzmią następująco:</w:t>
      </w:r>
    </w:p>
    <w:p w14:paraId="25EC9DF0" w14:textId="77777777" w:rsidR="00E96881" w:rsidRPr="006054C3" w:rsidRDefault="008C2A17" w:rsidP="006054C3">
      <w:pPr>
        <w:pStyle w:val="JuQuot"/>
      </w:pPr>
      <w:r>
        <w:t>„Państwa-Sygnatariusze niniejszej konwencji,</w:t>
      </w:r>
    </w:p>
    <w:p w14:paraId="0173CC05" w14:textId="77777777" w:rsidR="00E96881" w:rsidRPr="006054C3" w:rsidRDefault="008C2A17" w:rsidP="006054C3">
      <w:pPr>
        <w:pStyle w:val="JuQuot"/>
      </w:pPr>
      <w:r>
        <w:t>głęboko przekonane, że interes dziecka ma podstawowe znaczenie we wszystkich sprawach dotyczących opieki nad nim,</w:t>
      </w:r>
    </w:p>
    <w:p w14:paraId="52668866" w14:textId="232E57C2" w:rsidR="00E96881" w:rsidRPr="006054C3" w:rsidRDefault="008C2A17" w:rsidP="006054C3">
      <w:pPr>
        <w:pStyle w:val="JuQuot"/>
      </w:pPr>
      <w:r>
        <w:t>pragnąc chronić dziecko na płaszczyźnie międzynarodowej przed szkodliwymi skutkami, wynikającymi</w:t>
      </w:r>
      <w:r w:rsidR="003B0DD2">
        <w:t xml:space="preserve"> z </w:t>
      </w:r>
      <w:r>
        <w:t>bezprawnego uprowadzenia go lub zatrzymania,</w:t>
      </w:r>
      <w:r w:rsidR="003B0DD2">
        <w:t xml:space="preserve"> i </w:t>
      </w:r>
      <w:r>
        <w:t>pragnąc ustalić zasady postępowania</w:t>
      </w:r>
      <w:r w:rsidR="003B0DD2">
        <w:t xml:space="preserve"> w </w:t>
      </w:r>
      <w:r>
        <w:t>celu zagwarantowania niezwłocznego powrotu dziecka do państwa jego stałego pobytu oraz pragnąc zapewnić ochronę prawa do odwiedzin,</w:t>
      </w:r>
    </w:p>
    <w:p w14:paraId="428B8DD1" w14:textId="709D043C" w:rsidR="00E96881" w:rsidRPr="006054C3" w:rsidRDefault="008C2A17" w:rsidP="006054C3">
      <w:pPr>
        <w:pStyle w:val="JuQuot"/>
      </w:pPr>
      <w:r>
        <w:t>postanowiły zawrzeć</w:t>
      </w:r>
      <w:r w:rsidR="003B0DD2">
        <w:t xml:space="preserve"> w </w:t>
      </w:r>
      <w:r>
        <w:t>tym celu konwencję</w:t>
      </w:r>
      <w:r w:rsidR="003B0DD2">
        <w:t xml:space="preserve"> i </w:t>
      </w:r>
      <w:r>
        <w:t>zgodziły się na następujące postanowienia:</w:t>
      </w:r>
    </w:p>
    <w:p w14:paraId="7ECC6B48" w14:textId="351A7D66" w:rsidR="00E96881" w:rsidRPr="006054C3" w:rsidRDefault="00931A0B" w:rsidP="006054C3">
      <w:pPr>
        <w:pStyle w:val="JuQuot"/>
      </w:pPr>
      <w:r>
        <w:t>…”</w:t>
      </w:r>
    </w:p>
    <w:p w14:paraId="033C99A1" w14:textId="77777777" w:rsidR="00E96881" w:rsidRPr="006054C3" w:rsidRDefault="008C2A17" w:rsidP="006054C3">
      <w:pPr>
        <w:pStyle w:val="JuHArticle"/>
      </w:pPr>
      <w:r>
        <w:t>Artykuł 1</w:t>
      </w:r>
    </w:p>
    <w:p w14:paraId="46DE5B54" w14:textId="77777777" w:rsidR="00E96881" w:rsidRPr="006054C3" w:rsidRDefault="008C2A17" w:rsidP="006054C3">
      <w:pPr>
        <w:pStyle w:val="JuQuot"/>
        <w:rPr>
          <w:bCs/>
          <w:caps/>
        </w:rPr>
      </w:pPr>
      <w:r>
        <w:t>„Przedmiotem niniejszej konwencji jest:</w:t>
      </w:r>
    </w:p>
    <w:p w14:paraId="5B6274F1" w14:textId="0EC9D155" w:rsidR="00E96881" w:rsidRPr="006054C3" w:rsidRDefault="008C2A17" w:rsidP="006054C3">
      <w:pPr>
        <w:pStyle w:val="JuQuot"/>
        <w:rPr>
          <w:bCs/>
          <w:caps/>
        </w:rPr>
      </w:pPr>
      <w:r>
        <w:t>a) zapewnienie niezwłocznego powrotu dzieci bezprawnie uprowadzonych lub zatrzymanych</w:t>
      </w:r>
      <w:r w:rsidR="003B0DD2">
        <w:t xml:space="preserve"> w </w:t>
      </w:r>
      <w:r>
        <w:t>jednym</w:t>
      </w:r>
      <w:r w:rsidR="003B0DD2">
        <w:t xml:space="preserve"> z </w:t>
      </w:r>
      <w:r>
        <w:t>Umawiających się Państw oraz</w:t>
      </w:r>
    </w:p>
    <w:p w14:paraId="6B2D20B5" w14:textId="05AD21C6" w:rsidR="00E96881" w:rsidRPr="006054C3" w:rsidRDefault="008C2A17" w:rsidP="006054C3">
      <w:pPr>
        <w:pStyle w:val="JuQuot"/>
      </w:pPr>
      <w:r>
        <w:t>b) zapewnienie poszanowania praw do opieki</w:t>
      </w:r>
      <w:r w:rsidR="003B0DD2">
        <w:t xml:space="preserve"> i </w:t>
      </w:r>
      <w:r>
        <w:t>odwiedzin określonych przez ustawodawstwo jednego Umawiającego się Państwa</w:t>
      </w:r>
      <w:r w:rsidR="003B0DD2">
        <w:t xml:space="preserve"> w </w:t>
      </w:r>
      <w:r>
        <w:t>innych Umawiających się Państwach.”</w:t>
      </w:r>
    </w:p>
    <w:p w14:paraId="3D4CB3D1" w14:textId="54498CF1" w:rsidR="00E96881" w:rsidRPr="006054C3" w:rsidRDefault="00931A0B" w:rsidP="006054C3">
      <w:pPr>
        <w:pStyle w:val="JuQuot"/>
        <w:rPr>
          <w:sz w:val="24"/>
        </w:rPr>
      </w:pPr>
      <w:r>
        <w:t>…</w:t>
      </w:r>
    </w:p>
    <w:p w14:paraId="429B40B4" w14:textId="77777777" w:rsidR="00E96881" w:rsidRPr="006054C3" w:rsidRDefault="008C2A17" w:rsidP="006054C3">
      <w:pPr>
        <w:pStyle w:val="JuHArticle"/>
      </w:pPr>
      <w:r>
        <w:t>Artykuł 3</w:t>
      </w:r>
    </w:p>
    <w:p w14:paraId="590E02D2" w14:textId="77777777" w:rsidR="00E96881" w:rsidRPr="006054C3" w:rsidRDefault="008C2A17" w:rsidP="006054C3">
      <w:pPr>
        <w:pStyle w:val="JuQuot"/>
      </w:pPr>
      <w:r>
        <w:t>„Uprowadzenie lub zatrzymanie dziecka będzie uznane za bezprawne, jeżeli:</w:t>
      </w:r>
    </w:p>
    <w:p w14:paraId="098F0C6E" w14:textId="2692681D" w:rsidR="00E96881" w:rsidRPr="006054C3" w:rsidRDefault="008C2A17" w:rsidP="006054C3">
      <w:pPr>
        <w:pStyle w:val="JuQuot"/>
      </w:pPr>
      <w:r>
        <w:t xml:space="preserve">a) nastąpiło naruszenie prawa do opieki przyznanego określonej osobie, instytucji lub innej organizacji, </w:t>
      </w:r>
      <w:r w:rsidR="00931A0B">
        <w:t xml:space="preserve">wykonywanego </w:t>
      </w:r>
      <w:r>
        <w:t>wspólnie lub indywidualnie, na mocy ustawodawstwa państwa,</w:t>
      </w:r>
      <w:r w:rsidR="003B0DD2">
        <w:t xml:space="preserve"> w </w:t>
      </w:r>
      <w:r>
        <w:t>którym dziecko miało miejsce stałego pobytu bezpośrednio przed uprowadzeniem lub zatrzymaniem, oraz</w:t>
      </w:r>
    </w:p>
    <w:p w14:paraId="4FDC9F24" w14:textId="73A7BBE2" w:rsidR="00E96881" w:rsidRPr="006054C3" w:rsidRDefault="008C2A17" w:rsidP="006054C3">
      <w:pPr>
        <w:pStyle w:val="JuQuot"/>
      </w:pPr>
      <w:r>
        <w:lastRenderedPageBreak/>
        <w:t>b)</w:t>
      </w:r>
      <w:r w:rsidR="003B0DD2">
        <w:t xml:space="preserve"> w </w:t>
      </w:r>
      <w:r>
        <w:t>chwili uprowadzenia lub zatrzymania prawa te były skutecznie wykonywane wspólnie lub indywidualnie albo byłyby tak wykonywane, gdyby nie nastąpiło uprowadzenie lub zatrzymanie.</w:t>
      </w:r>
    </w:p>
    <w:p w14:paraId="5DD21758" w14:textId="2F0830C5" w:rsidR="00E96881" w:rsidRPr="006054C3" w:rsidRDefault="008C2A17" w:rsidP="006054C3">
      <w:pPr>
        <w:pStyle w:val="JuQuot"/>
      </w:pPr>
      <w:r>
        <w:t>Prawo do opieki określone</w:t>
      </w:r>
      <w:r w:rsidR="003B0DD2">
        <w:t xml:space="preserve"> w </w:t>
      </w:r>
      <w:r>
        <w:t>punkcie a) może wynikać</w:t>
      </w:r>
      <w:r w:rsidR="003B0DD2">
        <w:t xml:space="preserve"> w </w:t>
      </w:r>
      <w:r>
        <w:t>szczególności</w:t>
      </w:r>
      <w:r w:rsidR="003B0DD2">
        <w:t xml:space="preserve"> z </w:t>
      </w:r>
      <w:r w:rsidR="0038718E">
        <w:t>mocy samego</w:t>
      </w:r>
      <w:r>
        <w:t xml:space="preserve"> prawa,</w:t>
      </w:r>
      <w:r w:rsidR="003B0DD2">
        <w:t xml:space="preserve"> z </w:t>
      </w:r>
      <w:r>
        <w:t>orzeczenia sądowego lub administracyjnego albo</w:t>
      </w:r>
      <w:r w:rsidR="003B0DD2">
        <w:t xml:space="preserve"> z </w:t>
      </w:r>
      <w:r>
        <w:t>ugody mającej moc prawną</w:t>
      </w:r>
      <w:r w:rsidR="003B0DD2">
        <w:t xml:space="preserve"> w </w:t>
      </w:r>
      <w:r>
        <w:t xml:space="preserve">świetle przepisów </w:t>
      </w:r>
      <w:r w:rsidR="00FD4370">
        <w:t xml:space="preserve">ustawodawstwa </w:t>
      </w:r>
      <w:r>
        <w:t>tego państwa.”</w:t>
      </w:r>
    </w:p>
    <w:p w14:paraId="5FD6810E" w14:textId="77777777" w:rsidR="00E96881" w:rsidRPr="006054C3" w:rsidRDefault="008C2A17" w:rsidP="006054C3">
      <w:pPr>
        <w:pStyle w:val="JuHArticle"/>
      </w:pPr>
      <w:r>
        <w:t>Artykuł 4</w:t>
      </w:r>
    </w:p>
    <w:p w14:paraId="4321DA1E" w14:textId="24B0E00E" w:rsidR="00E96881" w:rsidRPr="006054C3" w:rsidRDefault="008C2A17" w:rsidP="006054C3">
      <w:pPr>
        <w:pStyle w:val="JuQuot"/>
      </w:pPr>
      <w:r>
        <w:t>„Konwencję stosuje się do każdego dziecka, które miało miejsce stałego pobytu</w:t>
      </w:r>
      <w:r w:rsidR="003B0DD2">
        <w:t xml:space="preserve"> w </w:t>
      </w:r>
      <w:r>
        <w:t>Umawiającym się Państwie bezpośrednio przed naruszeniem praw do opieki lub odwiedzin. Konwencja przestaje obowiązywać, kiedy dziecko osiąga wiek 16 lat.”</w:t>
      </w:r>
    </w:p>
    <w:p w14:paraId="04B9772F" w14:textId="77777777" w:rsidR="00E96881" w:rsidRPr="006054C3" w:rsidRDefault="008C2A17" w:rsidP="006054C3">
      <w:pPr>
        <w:pStyle w:val="JuHArticle"/>
      </w:pPr>
      <w:r>
        <w:t>Artykuł 5</w:t>
      </w:r>
    </w:p>
    <w:p w14:paraId="5A1E0816" w14:textId="41960A78" w:rsidR="00E96881" w:rsidRPr="006054C3" w:rsidRDefault="008C2A17" w:rsidP="006054C3">
      <w:pPr>
        <w:pStyle w:val="JuQuot"/>
      </w:pPr>
      <w:r>
        <w:t>„</w:t>
      </w:r>
      <w:r w:rsidR="003B0DD2">
        <w:t>W </w:t>
      </w:r>
      <w:r>
        <w:t>rozumieniu niniejszej konwencji:</w:t>
      </w:r>
    </w:p>
    <w:p w14:paraId="4D290ECE" w14:textId="23339B27" w:rsidR="00E96881" w:rsidRPr="006054C3" w:rsidRDefault="008C2A17" w:rsidP="006054C3">
      <w:pPr>
        <w:pStyle w:val="JuQuot"/>
      </w:pPr>
      <w:r>
        <w:t>a) «prawo do opieki» obejmuje prawo dotyczące opieki nad osobą dziecka,</w:t>
      </w:r>
      <w:r w:rsidR="003B0DD2">
        <w:t xml:space="preserve"> w </w:t>
      </w:r>
      <w:r>
        <w:t>szczególności prawo do decydowania</w:t>
      </w:r>
      <w:r w:rsidR="003B0DD2">
        <w:t xml:space="preserve"> o </w:t>
      </w:r>
      <w:r>
        <w:t>miejscu pobytu dziecka;</w:t>
      </w:r>
    </w:p>
    <w:p w14:paraId="3B29D45F" w14:textId="0E0886F7" w:rsidR="00E96881" w:rsidRPr="006054C3" w:rsidRDefault="008C2A17" w:rsidP="006054C3">
      <w:pPr>
        <w:pStyle w:val="JuQuot"/>
      </w:pPr>
      <w:r>
        <w:t>b) «prawo do odwiedzin» obejmuje prawo do zabrania dziecka na czas ograniczony</w:t>
      </w:r>
      <w:r w:rsidR="003B0DD2">
        <w:t xml:space="preserve"> w </w:t>
      </w:r>
      <w:r>
        <w:t>inne miejsce aniżeli miejsce jego stałego pobytu.</w:t>
      </w:r>
    </w:p>
    <w:p w14:paraId="4EC50AB1" w14:textId="30903F25" w:rsidR="00E96881" w:rsidRPr="006054C3" w:rsidRDefault="00FD4370" w:rsidP="006054C3">
      <w:pPr>
        <w:pStyle w:val="JuQuot"/>
      </w:pPr>
      <w:r>
        <w:t>…”</w:t>
      </w:r>
    </w:p>
    <w:p w14:paraId="7837FB65" w14:textId="77777777" w:rsidR="00E96881" w:rsidRPr="006054C3" w:rsidRDefault="008C2A17" w:rsidP="006054C3">
      <w:pPr>
        <w:pStyle w:val="JuHArticle"/>
      </w:pPr>
      <w:r>
        <w:t>Artykuł 11</w:t>
      </w:r>
    </w:p>
    <w:p w14:paraId="16B43C64" w14:textId="289CA087" w:rsidR="00E96881" w:rsidRPr="006054C3" w:rsidRDefault="008C2A17" w:rsidP="006054C3">
      <w:pPr>
        <w:pStyle w:val="JuQuot"/>
      </w:pPr>
      <w:r>
        <w:t>„Władze sądowe lub administracyjne każdego Umawiającego się Państwa powinny podejmować niezwłoczne działania</w:t>
      </w:r>
      <w:r w:rsidR="003B0DD2">
        <w:t xml:space="preserve"> w </w:t>
      </w:r>
      <w:r>
        <w:t>celu powrotu dziecka.</w:t>
      </w:r>
    </w:p>
    <w:p w14:paraId="1B7D94FB" w14:textId="6843CBBB" w:rsidR="00E96881" w:rsidRPr="006054C3" w:rsidRDefault="008C2A17" w:rsidP="006054C3">
      <w:pPr>
        <w:pStyle w:val="JuQuot"/>
      </w:pPr>
      <w:r>
        <w:t>Jeżeli dana władza sądowa lub administracyjna nie podejmie decyzji</w:t>
      </w:r>
      <w:r w:rsidR="003B0DD2">
        <w:t xml:space="preserve"> w </w:t>
      </w:r>
      <w:r>
        <w:t>ciągu sześciu tygodni od daty wpłynięcia wniosku, wnioskodawca lub organ centralny państwa wezwanego,</w:t>
      </w:r>
      <w:r w:rsidR="003B0DD2">
        <w:t xml:space="preserve"> z </w:t>
      </w:r>
      <w:r>
        <w:t xml:space="preserve">własnej inicjatywy lub na wniosek organu centralnego państwa wzywającego, może żądać przedstawienia powodów zwłoki. Jeżeli organ centralny państwa wezwanego otrzyma odpowiedź, organ ten przekazuje ją organowi centralnemu państwa wzywającego </w:t>
      </w:r>
      <w:r w:rsidR="0038718E">
        <w:t>lub</w:t>
      </w:r>
      <w:r w:rsidR="003B0DD2">
        <w:t xml:space="preserve"> w </w:t>
      </w:r>
      <w:r>
        <w:t xml:space="preserve">stosownych wypadkach, wnioskodawcy. </w:t>
      </w:r>
      <w:r w:rsidR="00FD4370">
        <w:t>…</w:t>
      </w:r>
      <w:r>
        <w:t>”</w:t>
      </w:r>
    </w:p>
    <w:p w14:paraId="3BC9340E" w14:textId="77777777" w:rsidR="00E96881" w:rsidRPr="006054C3" w:rsidRDefault="008C2A17" w:rsidP="006054C3">
      <w:pPr>
        <w:pStyle w:val="JuHArticle"/>
      </w:pPr>
      <w:r>
        <w:t>Artykuł 12</w:t>
      </w:r>
    </w:p>
    <w:p w14:paraId="30DED2E1" w14:textId="24D7C55C" w:rsidR="00E96881" w:rsidRPr="006054C3" w:rsidRDefault="008C2A17" w:rsidP="006054C3">
      <w:pPr>
        <w:pStyle w:val="JuQuot"/>
      </w:pPr>
      <w:r>
        <w:t>„Jeżeli dziecko zostało bezprawnie uprowadzone lub zatrzymane</w:t>
      </w:r>
      <w:r w:rsidR="003B0DD2">
        <w:t xml:space="preserve"> w </w:t>
      </w:r>
      <w:r>
        <w:t>rozumieniu artykułu 3,</w:t>
      </w:r>
      <w:r w:rsidR="003B0DD2">
        <w:t xml:space="preserve"> a w </w:t>
      </w:r>
      <w:r>
        <w:t>chwili wpłynięcia wniosku do władzy sądowej lub administracyjnej Umawiającego się Państwa,</w:t>
      </w:r>
      <w:r w:rsidR="003B0DD2">
        <w:t xml:space="preserve"> w </w:t>
      </w:r>
      <w:r>
        <w:t>którym znajduje się dziecko, upłynął okres krótszy niż jeden rok od dnia uprowadzenia lub zatrzymania, zainteresowana władza zarządza niezwłoczne wydanie dziecka.</w:t>
      </w:r>
    </w:p>
    <w:p w14:paraId="6F4CDAC0" w14:textId="15240A59" w:rsidR="00E96881" w:rsidRPr="006054C3" w:rsidRDefault="008C2A17" w:rsidP="006054C3">
      <w:pPr>
        <w:pStyle w:val="JuQuot"/>
      </w:pPr>
      <w:r>
        <w:t>Władza sądowa lub administracyjna powinna również zarządzić wydanie dziecka, nawet po upływie jednego roku,</w:t>
      </w:r>
      <w:r w:rsidR="003B0DD2">
        <w:t xml:space="preserve"> o </w:t>
      </w:r>
      <w:r>
        <w:t>którym mowa</w:t>
      </w:r>
      <w:r w:rsidR="003B0DD2">
        <w:t xml:space="preserve"> w </w:t>
      </w:r>
      <w:r>
        <w:t>ustępie poprzedzającym, chyba że zostało ustalone, że dziecko przystosowało się już do swego nowego środowiska.</w:t>
      </w:r>
    </w:p>
    <w:p w14:paraId="7270EFDB" w14:textId="7B8B1708" w:rsidR="00E96881" w:rsidRPr="006054C3" w:rsidRDefault="008C2A17" w:rsidP="006054C3">
      <w:pPr>
        <w:pStyle w:val="JuQuot"/>
      </w:pPr>
      <w:r>
        <w:t>Jeżeli władza sądowa lub administracyjna państwa wezwanego ma podstawy, by sądzić, że dziecko zostało zabrane do innego państwa, może ona zawiesić działanie lub oddalić wniosek</w:t>
      </w:r>
      <w:r w:rsidR="003B0DD2">
        <w:t xml:space="preserve"> o </w:t>
      </w:r>
      <w:r>
        <w:t>wydanie dziecka.</w:t>
      </w:r>
      <w:r w:rsidR="00FD4370">
        <w:t>”</w:t>
      </w:r>
    </w:p>
    <w:p w14:paraId="71AEAB5A" w14:textId="77777777" w:rsidR="00E96881" w:rsidRPr="006054C3" w:rsidRDefault="008C2A17" w:rsidP="006054C3">
      <w:pPr>
        <w:pStyle w:val="JuHArticle"/>
      </w:pPr>
      <w:r>
        <w:lastRenderedPageBreak/>
        <w:t>Artykuł 13</w:t>
      </w:r>
    </w:p>
    <w:p w14:paraId="54F09334" w14:textId="77777777" w:rsidR="00E96881" w:rsidRPr="006054C3" w:rsidRDefault="008C2A17" w:rsidP="006054C3">
      <w:pPr>
        <w:pStyle w:val="JuQuot"/>
      </w:pPr>
      <w:r>
        <w:t>„Bez względu na postanowienia artykułu poprzedzającego władza sądowa lub administracyjna państwa wezwanego nie jest obowiązana zarządzić wydanie dziecka, jeżeli osoba, instytucja lub organizacja sprzeciwiająca się wydaniu dziecka wykaże, że:</w:t>
      </w:r>
    </w:p>
    <w:p w14:paraId="2C4C274E" w14:textId="56FAEB31" w:rsidR="00E96881" w:rsidRPr="006054C3" w:rsidRDefault="008C2A17" w:rsidP="006054C3">
      <w:pPr>
        <w:pStyle w:val="JuQuot"/>
      </w:pPr>
      <w:r>
        <w:t>a) osoba, instytucja lub organizacja opiekująca się dzieckiem faktycznie nie wykonywała prawa do opieki</w:t>
      </w:r>
      <w:r w:rsidR="003B0DD2">
        <w:t xml:space="preserve"> w </w:t>
      </w:r>
      <w:r>
        <w:t>czasie uprowadzenia lub zatrzymania albo zgodziła się lub później wyraziła zgodę na uprowadzenie lub zatrzymanie; lub</w:t>
      </w:r>
    </w:p>
    <w:p w14:paraId="008CA705" w14:textId="11AFF51C" w:rsidR="00E96881" w:rsidRPr="006054C3" w:rsidRDefault="008C2A17" w:rsidP="006054C3">
      <w:pPr>
        <w:pStyle w:val="JuQuot"/>
      </w:pPr>
      <w:r>
        <w:t>b) istnieje poważne ryzyko, że powrót dziecka naraziłby je na szkodę fizyczną lub psychiczną albo</w:t>
      </w:r>
      <w:r w:rsidR="003B0DD2">
        <w:t xml:space="preserve"> w </w:t>
      </w:r>
      <w:r>
        <w:t>jakikolwiek inny sposób postawiłby je</w:t>
      </w:r>
      <w:r w:rsidR="003B0DD2">
        <w:t xml:space="preserve"> w </w:t>
      </w:r>
      <w:r>
        <w:t>sytuacji nie do zniesienia.</w:t>
      </w:r>
    </w:p>
    <w:p w14:paraId="2EF00977" w14:textId="2779C3E1" w:rsidR="00E96881" w:rsidRPr="006054C3" w:rsidRDefault="008C2A17" w:rsidP="006054C3">
      <w:pPr>
        <w:pStyle w:val="JuQuot"/>
      </w:pPr>
      <w:r>
        <w:t>Władza sądowa lub administracyjna może również odmówić zarządzenia powrotu dziecka, jeżeli stwierdzi, że dziecko sprzeciwia się powrotowi oraz że osiągnęło ono wiek</w:t>
      </w:r>
      <w:r w:rsidR="003B0DD2">
        <w:t xml:space="preserve"> i </w:t>
      </w:r>
      <w:r>
        <w:t>stopień dojrzałości, przy którym właściwe jest uwzględnienie jego opinii.</w:t>
      </w:r>
    </w:p>
    <w:p w14:paraId="49A7D8DF" w14:textId="0B06E0AF" w:rsidR="00E96881" w:rsidRPr="006054C3" w:rsidRDefault="008C2A17" w:rsidP="006054C3">
      <w:pPr>
        <w:pStyle w:val="JuQuot"/>
      </w:pPr>
      <w:r>
        <w:t>Przy ocenie okoliczności określonych</w:t>
      </w:r>
      <w:r w:rsidR="003B0DD2">
        <w:t xml:space="preserve"> w </w:t>
      </w:r>
      <w:r>
        <w:t>niniejszym artykule władza sądowa lub administracyjna powinna brać pod uwagę informacje dotyczące sytuacji społecznej dziecka, dostarczone przez organ centralny lub inną właściwą władzę państwa miejsca stałego pobytu dziecka.</w:t>
      </w:r>
      <w:r w:rsidR="00FD4370">
        <w:t>”</w:t>
      </w:r>
    </w:p>
    <w:p w14:paraId="4737C2A8" w14:textId="77777777" w:rsidR="00E96881" w:rsidRPr="006054C3" w:rsidRDefault="008C2A17" w:rsidP="006054C3">
      <w:pPr>
        <w:pStyle w:val="JuHArticle"/>
      </w:pPr>
      <w:r>
        <w:t>Artykuł 20</w:t>
      </w:r>
    </w:p>
    <w:p w14:paraId="41338EE2" w14:textId="43057FE1" w:rsidR="00E96881" w:rsidRPr="006054C3" w:rsidRDefault="008C2A17" w:rsidP="006054C3">
      <w:pPr>
        <w:pStyle w:val="JuQuot"/>
      </w:pPr>
      <w:r>
        <w:t>„Można odmówić zwrotu dziecka zgodnie</w:t>
      </w:r>
      <w:r w:rsidR="003B0DD2">
        <w:t xml:space="preserve"> z </w:t>
      </w:r>
      <w:r>
        <w:t>postanowieniami artykułu 12, jeżeli zwrot nie byłby dopuszczony</w:t>
      </w:r>
      <w:r w:rsidR="003B0DD2">
        <w:t xml:space="preserve"> w </w:t>
      </w:r>
      <w:r>
        <w:t>świetle podstawowych zasad państwa wezwanego, dotyczących ochrony praw człowieka</w:t>
      </w:r>
      <w:r w:rsidR="003B0DD2">
        <w:t xml:space="preserve"> i </w:t>
      </w:r>
      <w:r>
        <w:t>podstawowych wolności.”</w:t>
      </w:r>
    </w:p>
    <w:p w14:paraId="71FD447F" w14:textId="4B946ED2"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26</w:t>
      </w:r>
      <w:r w:rsidRPr="006054C3">
        <w:fldChar w:fldCharType="end"/>
      </w:r>
      <w:r>
        <w:t xml:space="preserve">.  Ponadto </w:t>
      </w:r>
      <w:r w:rsidR="003B0DD2">
        <w:t>art. </w:t>
      </w:r>
      <w:r>
        <w:t>3 ust. 1 Konwencji Narodów Zjednoczonych</w:t>
      </w:r>
      <w:r w:rsidR="003B0DD2">
        <w:t xml:space="preserve"> o </w:t>
      </w:r>
      <w:r>
        <w:t>prawach dziecka, przyjętej</w:t>
      </w:r>
      <w:r w:rsidR="003B0DD2">
        <w:t xml:space="preserve"> w </w:t>
      </w:r>
      <w:r>
        <w:t>Nowym Jorku dnia 20 listopada 1989</w:t>
      </w:r>
      <w:r w:rsidR="003B0DD2">
        <w:t> r.</w:t>
      </w:r>
      <w:r>
        <w:t>, brzmi następująco:</w:t>
      </w:r>
    </w:p>
    <w:p w14:paraId="1C39B885" w14:textId="0DC743C6" w:rsidR="00E96881" w:rsidRPr="006054C3" w:rsidRDefault="008C2A17" w:rsidP="006054C3">
      <w:pPr>
        <w:pStyle w:val="JuQuot"/>
      </w:pPr>
      <w:r>
        <w:t>„We wszystkich działaniach dotyczących dzieci, podejmowanych przez publiczne lub prywatne instytucje opieki społecznej, sądy, władze administracyjne lub ciała ustawodawcze, sprawą nadrzędną będzie najlepsze zabezpieczenie interesów dziecka”</w:t>
      </w:r>
      <w:r w:rsidR="003B0DD2">
        <w:t>.</w:t>
      </w:r>
    </w:p>
    <w:p w14:paraId="6D688DDF" w14:textId="77777777" w:rsidR="00E96881" w:rsidRPr="006054C3" w:rsidRDefault="008C2A17" w:rsidP="006054C3">
      <w:pPr>
        <w:pStyle w:val="JuHIRoman"/>
      </w:pPr>
      <w:r>
        <w:rPr>
          <w:caps w:val="0"/>
        </w:rPr>
        <w:t>PRAWO KRAJOWE</w:t>
      </w:r>
    </w:p>
    <w:p w14:paraId="5F178FC2" w14:textId="307FC71E"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27</w:t>
      </w:r>
      <w:r w:rsidRPr="006054C3">
        <w:fldChar w:fldCharType="end"/>
      </w:r>
      <w:r>
        <w:t>.  Odpowiednie przepisy ustawy</w:t>
      </w:r>
      <w:r w:rsidR="003B0DD2">
        <w:t xml:space="preserve"> o </w:t>
      </w:r>
      <w:r w:rsidR="00762A5C">
        <w:t>pieczy</w:t>
      </w:r>
      <w:r>
        <w:t xml:space="preserve"> nad dzieckiem</w:t>
      </w:r>
      <w:r w:rsidR="003B0DD2">
        <w:t xml:space="preserve"> i </w:t>
      </w:r>
      <w:r>
        <w:t>prawie do kontaktów (</w:t>
      </w:r>
      <w:r w:rsidRPr="007D7769">
        <w:rPr>
          <w:i/>
          <w:iCs/>
        </w:rPr>
        <w:t xml:space="preserve">laki </w:t>
      </w:r>
      <w:proofErr w:type="spellStart"/>
      <w:r w:rsidRPr="007D7769">
        <w:rPr>
          <w:i/>
          <w:iCs/>
        </w:rPr>
        <w:t>lapsen</w:t>
      </w:r>
      <w:proofErr w:type="spellEnd"/>
      <w:r w:rsidRPr="007D7769">
        <w:rPr>
          <w:i/>
          <w:iCs/>
        </w:rPr>
        <w:t xml:space="preserve"> </w:t>
      </w:r>
      <w:proofErr w:type="spellStart"/>
      <w:r w:rsidRPr="007D7769">
        <w:rPr>
          <w:i/>
          <w:iCs/>
        </w:rPr>
        <w:t>huollosta</w:t>
      </w:r>
      <w:proofErr w:type="spellEnd"/>
      <w:r w:rsidRPr="007D7769">
        <w:rPr>
          <w:i/>
          <w:iCs/>
        </w:rPr>
        <w:t xml:space="preserve"> ja </w:t>
      </w:r>
      <w:proofErr w:type="spellStart"/>
      <w:r w:rsidRPr="007D7769">
        <w:rPr>
          <w:i/>
          <w:iCs/>
        </w:rPr>
        <w:t>tapaamisoikeudesta</w:t>
      </w:r>
      <w:proofErr w:type="spellEnd"/>
      <w:r>
        <w:t xml:space="preserve">, </w:t>
      </w:r>
      <w:proofErr w:type="spellStart"/>
      <w:r w:rsidR="00DA1DBD" w:rsidRPr="006054C3">
        <w:rPr>
          <w:rFonts w:ascii="TimesNewRomanPS-ItalicMT" w:hAnsi="TimesNewRomanPS-ItalicMT" w:cs="TimesNewRomanPS-ItalicMT"/>
          <w:i/>
          <w:iCs/>
        </w:rPr>
        <w:t>lagen</w:t>
      </w:r>
      <w:proofErr w:type="spellEnd"/>
      <w:r w:rsidR="00DA1DBD" w:rsidRPr="006054C3">
        <w:rPr>
          <w:rFonts w:ascii="TimesNewRomanPS-ItalicMT" w:hAnsi="TimesNewRomanPS-ItalicMT" w:cs="TimesNewRomanPS-ItalicMT"/>
          <w:i/>
          <w:iCs/>
        </w:rPr>
        <w:t xml:space="preserve"> </w:t>
      </w:r>
      <w:proofErr w:type="spellStart"/>
      <w:r w:rsidR="00DA1DBD" w:rsidRPr="006054C3">
        <w:rPr>
          <w:rFonts w:ascii="TimesNewRomanPS-ItalicMT" w:hAnsi="TimesNewRomanPS-ItalicMT" w:cs="TimesNewRomanPS-ItalicMT"/>
          <w:i/>
          <w:iCs/>
        </w:rPr>
        <w:t>angående</w:t>
      </w:r>
      <w:proofErr w:type="spellEnd"/>
      <w:r w:rsidR="00DA1DBD" w:rsidRPr="006054C3">
        <w:rPr>
          <w:rFonts w:ascii="TimesNewRomanPS-ItalicMT" w:hAnsi="TimesNewRomanPS-ItalicMT" w:cs="TimesNewRomanPS-ItalicMT"/>
          <w:i/>
          <w:iCs/>
        </w:rPr>
        <w:t xml:space="preserve"> </w:t>
      </w:r>
      <w:proofErr w:type="spellStart"/>
      <w:r w:rsidR="00DA1DBD" w:rsidRPr="006054C3">
        <w:rPr>
          <w:rFonts w:ascii="TimesNewRomanPS-ItalicMT" w:hAnsi="TimesNewRomanPS-ItalicMT" w:cs="TimesNewRomanPS-ItalicMT"/>
          <w:i/>
          <w:iCs/>
        </w:rPr>
        <w:t>vårdnad</w:t>
      </w:r>
      <w:proofErr w:type="spellEnd"/>
      <w:r w:rsidR="00DA1DBD" w:rsidRPr="006054C3">
        <w:rPr>
          <w:rFonts w:ascii="TimesNewRomanPS-ItalicMT" w:hAnsi="TimesNewRomanPS-ItalicMT" w:cs="TimesNewRomanPS-ItalicMT"/>
          <w:i/>
          <w:iCs/>
        </w:rPr>
        <w:t xml:space="preserve"> om barn och </w:t>
      </w:r>
      <w:proofErr w:type="spellStart"/>
      <w:r w:rsidR="00DA1DBD" w:rsidRPr="006054C3">
        <w:rPr>
          <w:rFonts w:ascii="TimesNewRomanPS-ItalicMT" w:hAnsi="TimesNewRomanPS-ItalicMT" w:cs="TimesNewRomanPS-ItalicMT"/>
          <w:i/>
          <w:iCs/>
        </w:rPr>
        <w:t>umgängesrätt</w:t>
      </w:r>
      <w:proofErr w:type="spellEnd"/>
      <w:r w:rsidR="00DA1DBD">
        <w:rPr>
          <w:rFonts w:ascii="TimesNewRomanPS-ItalicMT" w:hAnsi="TimesNewRomanPS-ItalicMT" w:cs="TimesNewRomanPS-ItalicMT"/>
          <w:i/>
          <w:iCs/>
        </w:rPr>
        <w:t xml:space="preserve">, </w:t>
      </w:r>
      <w:r>
        <w:t>ustawa nr 361/1983) brzmią następująco:</w:t>
      </w:r>
    </w:p>
    <w:p w14:paraId="25F2E71C" w14:textId="77777777" w:rsidR="00E96881" w:rsidRPr="006054C3" w:rsidRDefault="008C2A17" w:rsidP="006054C3">
      <w:pPr>
        <w:pStyle w:val="JuHArticle"/>
      </w:pPr>
      <w:r>
        <w:t>Rozdział 5</w:t>
      </w:r>
    </w:p>
    <w:p w14:paraId="7298EAA5" w14:textId="3106889D" w:rsidR="00E96881" w:rsidRPr="006054C3" w:rsidRDefault="008C2A17" w:rsidP="006054C3">
      <w:pPr>
        <w:pStyle w:val="JuHArticle"/>
      </w:pPr>
      <w:r>
        <w:t xml:space="preserve">Powrót dziecka na podstawie </w:t>
      </w:r>
      <w:r w:rsidR="00DA1DBD">
        <w:t>k</w:t>
      </w:r>
      <w:r>
        <w:t>onwencji haskiej</w:t>
      </w:r>
    </w:p>
    <w:p w14:paraId="6F6EB519" w14:textId="77777777" w:rsidR="00E96881" w:rsidRPr="006054C3" w:rsidRDefault="00E96881" w:rsidP="006054C3">
      <w:pPr>
        <w:pStyle w:val="JuHArticle"/>
      </w:pPr>
    </w:p>
    <w:p w14:paraId="05267559" w14:textId="77777777" w:rsidR="00E96881" w:rsidRPr="006054C3" w:rsidRDefault="008C2A17" w:rsidP="006054C3">
      <w:pPr>
        <w:pStyle w:val="JuHArticle"/>
      </w:pPr>
      <w:r>
        <w:t>Artykuł 30</w:t>
      </w:r>
    </w:p>
    <w:p w14:paraId="2F709526" w14:textId="77777777" w:rsidR="00E96881" w:rsidRPr="006054C3" w:rsidRDefault="008C2A17" w:rsidP="006054C3">
      <w:pPr>
        <w:pStyle w:val="JuHArticle"/>
      </w:pPr>
      <w:r>
        <w:t>Nakaz powrotu</w:t>
      </w:r>
    </w:p>
    <w:p w14:paraId="0D16A707" w14:textId="62B3CA25" w:rsidR="00E96881" w:rsidRPr="006054C3" w:rsidRDefault="008C2A17" w:rsidP="006054C3">
      <w:pPr>
        <w:pStyle w:val="JuQuot"/>
      </w:pPr>
      <w:r>
        <w:t>„Dziecko przebywające</w:t>
      </w:r>
      <w:r w:rsidR="003B0DD2">
        <w:t xml:space="preserve"> w </w:t>
      </w:r>
      <w:r>
        <w:t>Finlandii</w:t>
      </w:r>
      <w:r w:rsidR="003B0DD2">
        <w:t xml:space="preserve"> i </w:t>
      </w:r>
      <w:r>
        <w:t>bezprawnie uprowadzone</w:t>
      </w:r>
      <w:r w:rsidR="003B0DD2">
        <w:t xml:space="preserve"> z </w:t>
      </w:r>
      <w:r>
        <w:t>państwa,</w:t>
      </w:r>
      <w:r w:rsidR="003B0DD2">
        <w:t xml:space="preserve"> w </w:t>
      </w:r>
      <w:r>
        <w:t>którym ma miejsce stałego pobytu, lub bezprawnie do tego państwa niezwrócone, nakazuje się niezwłocznie wydać, jeżeli bezpośrednio przed bezprawnym uprowadzeniem lub zatrzymaniem dziecko miało miejsce stałego pobytu</w:t>
      </w:r>
      <w:r w:rsidR="003B0DD2">
        <w:t xml:space="preserve"> w </w:t>
      </w:r>
      <w:r>
        <w:t>państwie będącym stroną Konwencji dotyczącej cywilnych aspektów uprowadzenia dziecka za granicę</w:t>
      </w:r>
      <w:r w:rsidR="00A6734E">
        <w:t>…</w:t>
      </w:r>
      <w:r>
        <w:t>”</w:t>
      </w:r>
    </w:p>
    <w:p w14:paraId="39127150" w14:textId="77777777" w:rsidR="00E96881" w:rsidRPr="006054C3" w:rsidRDefault="008C2A17" w:rsidP="006054C3">
      <w:pPr>
        <w:pStyle w:val="JuHArticle"/>
      </w:pPr>
      <w:r>
        <w:lastRenderedPageBreak/>
        <w:t>Artykuł 31</w:t>
      </w:r>
    </w:p>
    <w:p w14:paraId="1391E5A1" w14:textId="77777777" w:rsidR="00E96881" w:rsidRPr="006054C3" w:rsidRDefault="008C2A17" w:rsidP="006054C3">
      <w:pPr>
        <w:pStyle w:val="JuHArticle"/>
      </w:pPr>
      <w:r>
        <w:t>Właściwość</w:t>
      </w:r>
    </w:p>
    <w:p w14:paraId="5F23039D" w14:textId="61539843" w:rsidR="00E96881" w:rsidRPr="006054C3" w:rsidRDefault="008C2A17" w:rsidP="006054C3">
      <w:pPr>
        <w:pStyle w:val="JuQuot"/>
      </w:pPr>
      <w:r>
        <w:t>„Nakaz powrotu wydaje, na wniosek, Sąd Apelacyjny</w:t>
      </w:r>
      <w:r w:rsidR="003B0DD2">
        <w:t xml:space="preserve"> w </w:t>
      </w:r>
      <w:r>
        <w:t>Helsinkach.”</w:t>
      </w:r>
    </w:p>
    <w:p w14:paraId="5D4E8BBB" w14:textId="77777777" w:rsidR="00E96881" w:rsidRPr="006054C3" w:rsidRDefault="008C2A17" w:rsidP="006054C3">
      <w:pPr>
        <w:pStyle w:val="JuHArticle"/>
      </w:pPr>
      <w:r>
        <w:t>Artykuł 32</w:t>
      </w:r>
    </w:p>
    <w:p w14:paraId="29535BC7" w14:textId="6237C314" w:rsidR="00E96881" w:rsidRPr="006054C3" w:rsidRDefault="008C2A17" w:rsidP="006054C3">
      <w:pPr>
        <w:pStyle w:val="JuHArticle"/>
      </w:pPr>
      <w:r>
        <w:t>Bezprawne uprowadzenie</w:t>
      </w:r>
      <w:r w:rsidR="003B0DD2">
        <w:t xml:space="preserve"> i </w:t>
      </w:r>
      <w:r>
        <w:t>zatrzymanie</w:t>
      </w:r>
    </w:p>
    <w:p w14:paraId="7DF4A8C5" w14:textId="265EE8DA" w:rsidR="00E96881" w:rsidRPr="006054C3" w:rsidRDefault="008C2A17" w:rsidP="006054C3">
      <w:pPr>
        <w:pStyle w:val="JuQuot"/>
      </w:pPr>
      <w:r>
        <w:t xml:space="preserve">„Uprowadzenie lub zatrzymanie dziecka </w:t>
      </w:r>
      <w:r w:rsidR="00DD3189">
        <w:t>jest</w:t>
      </w:r>
      <w:r>
        <w:t xml:space="preserve"> bezprawne, jeżeli:</w:t>
      </w:r>
    </w:p>
    <w:p w14:paraId="2DFB98B6" w14:textId="2217ACE4" w:rsidR="00E96881" w:rsidRPr="006054C3" w:rsidRDefault="008C2A17" w:rsidP="006054C3">
      <w:pPr>
        <w:pStyle w:val="JuQuot"/>
      </w:pPr>
      <w:r>
        <w:t xml:space="preserve">1) nastąpiło naruszenie prawa do opieki przyznanego </w:t>
      </w:r>
      <w:r w:rsidR="00DD3189">
        <w:t xml:space="preserve">określonej </w:t>
      </w:r>
      <w:r>
        <w:t xml:space="preserve">osobie, instytucji lub innej organizacji, </w:t>
      </w:r>
      <w:r w:rsidR="00DD3189">
        <w:t xml:space="preserve">wykonywanego </w:t>
      </w:r>
      <w:r>
        <w:t xml:space="preserve">wspólnie lub indywidualnie, na mocy </w:t>
      </w:r>
      <w:r w:rsidR="00416959">
        <w:t>ustawodawstwa</w:t>
      </w:r>
      <w:r>
        <w:t xml:space="preserve"> państwa,</w:t>
      </w:r>
      <w:r w:rsidR="003B0DD2">
        <w:t xml:space="preserve"> w </w:t>
      </w:r>
      <w:r>
        <w:t>którym dziecko miało miejsce stałego pobytu bezpośrednio przed uprowadzeniem lub zatrzymaniem; oraz</w:t>
      </w:r>
    </w:p>
    <w:p w14:paraId="281E3D6F" w14:textId="7C5BDDC9" w:rsidR="00E96881" w:rsidRPr="006054C3" w:rsidRDefault="008C2A17" w:rsidP="006054C3">
      <w:pPr>
        <w:pStyle w:val="JuQuot"/>
      </w:pPr>
      <w:r>
        <w:t>2)</w:t>
      </w:r>
      <w:r w:rsidR="003B0DD2">
        <w:t xml:space="preserve"> w </w:t>
      </w:r>
      <w:r>
        <w:t>czasie uprowadzenia lub zatrzymania prawa te były wykonywane wspólnie lub indywidualnie albo byłyby tak wykonywane, gdyby nie nastąpiło uprowadzenie lub zatrzymanie.</w:t>
      </w:r>
    </w:p>
    <w:p w14:paraId="2B279175" w14:textId="6B58743F" w:rsidR="00E96881" w:rsidRPr="006054C3" w:rsidRDefault="00416959" w:rsidP="006054C3">
      <w:pPr>
        <w:pStyle w:val="JuQuot"/>
      </w:pPr>
      <w:r>
        <w:t>Uprowadzenie lub zatrzymanie dziecka nie jest bezprawne, jeżeli podmiot praw,</w:t>
      </w:r>
      <w:r w:rsidR="003B0DD2">
        <w:t xml:space="preserve"> o </w:t>
      </w:r>
      <w:r>
        <w:t>których mowa</w:t>
      </w:r>
      <w:r w:rsidR="003B0DD2">
        <w:t xml:space="preserve"> w </w:t>
      </w:r>
      <w:r>
        <w:t>pkt 1 … wyraził na to wyraźną lub dorozumianą zgodę albo to zaakceptował.”</w:t>
      </w:r>
    </w:p>
    <w:p w14:paraId="28040FF2" w14:textId="77777777" w:rsidR="00E96881" w:rsidRPr="006054C3" w:rsidRDefault="008C2A17" w:rsidP="006054C3">
      <w:pPr>
        <w:pStyle w:val="JuHArticle"/>
      </w:pPr>
      <w:r>
        <w:t>Artykuł 33</w:t>
      </w:r>
    </w:p>
    <w:p w14:paraId="3EE4739B" w14:textId="11501862" w:rsidR="00E96881" w:rsidRPr="006054C3" w:rsidRDefault="008C2A17" w:rsidP="006054C3">
      <w:pPr>
        <w:pStyle w:val="JuHArticle"/>
      </w:pPr>
      <w:r>
        <w:t>Prawo do opieki</w:t>
      </w:r>
    </w:p>
    <w:p w14:paraId="5D33E017" w14:textId="3B707FA9" w:rsidR="00E96881" w:rsidRPr="006054C3" w:rsidRDefault="008C2A17" w:rsidP="006054C3">
      <w:pPr>
        <w:pStyle w:val="JuQuot"/>
      </w:pPr>
      <w:r>
        <w:t>„</w:t>
      </w:r>
      <w:r w:rsidR="003B0DD2">
        <w:t>W </w:t>
      </w:r>
      <w:r>
        <w:t>niniejszym rozdziale prawo do opieki oznacza prawo</w:t>
      </w:r>
      <w:r w:rsidR="003B0DD2">
        <w:t xml:space="preserve"> i </w:t>
      </w:r>
      <w:r>
        <w:t>obowiązek zajmowania się sprawami dotyczącymi osoby dziecka, w szczególności prawo do decydowania</w:t>
      </w:r>
      <w:r w:rsidR="003B0DD2">
        <w:t xml:space="preserve"> o </w:t>
      </w:r>
      <w:r>
        <w:t>miejscu jego pobytu.”</w:t>
      </w:r>
    </w:p>
    <w:p w14:paraId="2A28C9F1" w14:textId="77777777" w:rsidR="00E96881" w:rsidRPr="006054C3" w:rsidRDefault="008C2A17" w:rsidP="006054C3">
      <w:pPr>
        <w:pStyle w:val="JuHArticle"/>
      </w:pPr>
      <w:r>
        <w:t>Artykuł 34</w:t>
      </w:r>
    </w:p>
    <w:p w14:paraId="79D7F87E" w14:textId="77777777" w:rsidR="00E96881" w:rsidRPr="006054C3" w:rsidRDefault="008C2A17" w:rsidP="006054C3">
      <w:pPr>
        <w:pStyle w:val="JuHArticle"/>
      </w:pPr>
      <w:r>
        <w:t>Podstawy odmowy wydania nakazu powrotu</w:t>
      </w:r>
    </w:p>
    <w:p w14:paraId="6D64E0B9" w14:textId="37BBF96A" w:rsidR="00E96881" w:rsidRPr="006054C3" w:rsidRDefault="008C2A17" w:rsidP="006054C3">
      <w:pPr>
        <w:pStyle w:val="JuQuot"/>
      </w:pPr>
      <w:r>
        <w:t>„Wniosek</w:t>
      </w:r>
      <w:r w:rsidR="003B0DD2">
        <w:t xml:space="preserve"> o </w:t>
      </w:r>
      <w:r>
        <w:t>powrót dziecka może zostać oddalony, jeżeli:</w:t>
      </w:r>
    </w:p>
    <w:p w14:paraId="520E0939" w14:textId="195B67D9" w:rsidR="00E96881" w:rsidRPr="006054C3" w:rsidRDefault="008C2A17" w:rsidP="006054C3">
      <w:pPr>
        <w:pStyle w:val="JuQuot"/>
      </w:pPr>
      <w:r>
        <w:t>1) wniosek złożono po upływie roku od dnia bezprawnego uprowadzenia lub zatrzymania dziecka,</w:t>
      </w:r>
      <w:r w:rsidR="003B0DD2">
        <w:t xml:space="preserve"> a </w:t>
      </w:r>
      <w:r>
        <w:t>powrót dziecka byłby sprzeczny</w:t>
      </w:r>
      <w:r w:rsidR="003B0DD2">
        <w:t xml:space="preserve"> z </w:t>
      </w:r>
      <w:r>
        <w:t>jego najlepszym interesem;</w:t>
      </w:r>
    </w:p>
    <w:p w14:paraId="7F84BED2" w14:textId="7DAAD687" w:rsidR="00E96881" w:rsidRPr="006054C3" w:rsidRDefault="008C2A17" w:rsidP="006054C3">
      <w:pPr>
        <w:pStyle w:val="JuQuot"/>
      </w:pPr>
      <w:r>
        <w:t>2) istnieje poważne ryzyko, że powrót dziecka naraziłby je na szkodę fizyczną lub psychiczną albo</w:t>
      </w:r>
      <w:r w:rsidR="003B0DD2">
        <w:t xml:space="preserve"> w </w:t>
      </w:r>
      <w:r>
        <w:t>inny sposób postawił</w:t>
      </w:r>
      <w:r w:rsidR="003B0DD2">
        <w:t xml:space="preserve"> w </w:t>
      </w:r>
      <w:r>
        <w:t>sytuacji nie do zniesienia; lub</w:t>
      </w:r>
    </w:p>
    <w:p w14:paraId="22998CCE" w14:textId="1BCD2A13" w:rsidR="00E96881" w:rsidRPr="006054C3" w:rsidRDefault="008C2A17" w:rsidP="006054C3">
      <w:pPr>
        <w:pStyle w:val="JuQuot"/>
      </w:pPr>
      <w:r>
        <w:t xml:space="preserve">3) sąd ustali, że dziecko sprzeciwia się powrotowi </w:t>
      </w:r>
      <w:r w:rsidR="00416959">
        <w:t>oraz</w:t>
      </w:r>
      <w:r>
        <w:t xml:space="preserve"> osiągnęło wiek </w:t>
      </w:r>
      <w:r w:rsidR="00416959">
        <w:t>i</w:t>
      </w:r>
      <w:r>
        <w:t xml:space="preserve"> stopień dojrzałości,</w:t>
      </w:r>
      <w:r w:rsidR="003B0DD2">
        <w:t xml:space="preserve"> w </w:t>
      </w:r>
      <w:r>
        <w:t>którym właściwe jest uwzględnienie jego opinii.</w:t>
      </w:r>
    </w:p>
    <w:p w14:paraId="77BB80E4" w14:textId="77777777" w:rsidR="00E96881" w:rsidRPr="006054C3" w:rsidRDefault="008C2A17" w:rsidP="006054C3">
      <w:pPr>
        <w:pStyle w:val="JuQuot"/>
      </w:pPr>
      <w:r>
        <w:t>Nie można nakazać powrotu dziecka, które ukończyło 16 lat.</w:t>
      </w:r>
    </w:p>
    <w:p w14:paraId="6F4CA4A9" w14:textId="1464943D" w:rsidR="00E96881" w:rsidRPr="006054C3" w:rsidRDefault="008C2A17" w:rsidP="006054C3">
      <w:pPr>
        <w:pStyle w:val="JuQuot"/>
      </w:pPr>
      <w:r>
        <w:t>Jeżeli miejsce stałego pobytu dziecka bezpośrednio przed bezprawnym uprowadzeniem lub zatrzymaniem znajdowało się</w:t>
      </w:r>
      <w:r w:rsidR="003B0DD2">
        <w:t xml:space="preserve"> w </w:t>
      </w:r>
      <w:r>
        <w:t>państwie członkowskim,</w:t>
      </w:r>
      <w:r w:rsidR="003B0DD2">
        <w:t xml:space="preserve"> o </w:t>
      </w:r>
      <w:r>
        <w:t>którym mowa</w:t>
      </w:r>
      <w:r w:rsidR="003B0DD2">
        <w:t xml:space="preserve"> w art. </w:t>
      </w:r>
      <w:r>
        <w:t>2 pkt 3 rozporządzenia Bruksela II bis, do oddalenia wniosku</w:t>
      </w:r>
      <w:r w:rsidR="003B0DD2">
        <w:t xml:space="preserve"> o </w:t>
      </w:r>
      <w:r>
        <w:t xml:space="preserve">powrót na podstawie ust. 2 pkt 1 stosuje się również przepisy </w:t>
      </w:r>
      <w:r w:rsidR="003B0DD2">
        <w:t>art. </w:t>
      </w:r>
      <w:r>
        <w:t>11 ust. 4 tego rozporządzenia.”</w:t>
      </w:r>
    </w:p>
    <w:p w14:paraId="6A55CEB8" w14:textId="77777777" w:rsidR="00E96881" w:rsidRPr="006054C3" w:rsidRDefault="008C2A17" w:rsidP="006054C3">
      <w:pPr>
        <w:pStyle w:val="JuHIRoman"/>
      </w:pPr>
      <w:r>
        <w:rPr>
          <w:caps w:val="0"/>
        </w:rPr>
        <w:t>PRAKTYKA KRAJOWA</w:t>
      </w:r>
    </w:p>
    <w:p w14:paraId="78E85543" w14:textId="0BEBC0CB"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28</w:t>
      </w:r>
      <w:r w:rsidRPr="006054C3">
        <w:fldChar w:fldCharType="end"/>
      </w:r>
      <w:r>
        <w:t>.  </w:t>
      </w:r>
      <w:r w:rsidR="003B0DD2">
        <w:t>W </w:t>
      </w:r>
      <w:r>
        <w:t>sprawie precedensowej KKO 2016:65 Sąd Najwyższy ocenił, czy należy nakazać powrót dziecka, które zostało bezprawnie przywiezione do Finlandii,</w:t>
      </w:r>
      <w:r w:rsidR="003B0DD2">
        <w:t xml:space="preserve"> w </w:t>
      </w:r>
      <w:r w:rsidR="0038718E">
        <w:t>sytuacji,</w:t>
      </w:r>
      <w:r>
        <w:t xml:space="preserve"> gdy jednej</w:t>
      </w:r>
      <w:r w:rsidR="003B0DD2">
        <w:t xml:space="preserve"> z </w:t>
      </w:r>
      <w:r>
        <w:t xml:space="preserve">osób sprawujących pieczę nad dzieckiem </w:t>
      </w:r>
      <w:r>
        <w:lastRenderedPageBreak/>
        <w:t>przyznano następnie azyl</w:t>
      </w:r>
      <w:r w:rsidR="003B0DD2">
        <w:t xml:space="preserve"> i </w:t>
      </w:r>
      <w:r>
        <w:t>status uchodźcy</w:t>
      </w:r>
      <w:r w:rsidR="003B0DD2">
        <w:t xml:space="preserve"> w </w:t>
      </w:r>
      <w:r>
        <w:t>Finlandii. Sąd Najwyższy orzekł, co następuje:</w:t>
      </w:r>
    </w:p>
    <w:p w14:paraId="041BE52D" w14:textId="6DA855BD" w:rsidR="00E96881" w:rsidRPr="006054C3" w:rsidRDefault="008C2A17" w:rsidP="006054C3">
      <w:pPr>
        <w:pStyle w:val="JuQuot"/>
      </w:pPr>
      <w:r>
        <w:t>„[</w:t>
      </w:r>
      <w:r w:rsidR="003B7B70">
        <w:t>…</w:t>
      </w:r>
      <w:r>
        <w:t xml:space="preserve">] Finlandia jest związana zarówno </w:t>
      </w:r>
      <w:r w:rsidR="003B7B70">
        <w:t>k</w:t>
      </w:r>
      <w:r>
        <w:t>onwencją haską, jak</w:t>
      </w:r>
      <w:r w:rsidR="003B0DD2">
        <w:t xml:space="preserve"> i </w:t>
      </w:r>
      <w:r>
        <w:t xml:space="preserve">Konwencją genewską dotyczącą statusu uchodźców. Konwencja haska została zawarta później niż </w:t>
      </w:r>
      <w:r w:rsidR="003B7B70">
        <w:t>k</w:t>
      </w:r>
      <w:r>
        <w:t xml:space="preserve">onwencja genewska. Konwencja haska nie przewiduje własnego uzależnienia od </w:t>
      </w:r>
      <w:r w:rsidR="003B7B70">
        <w:t>k</w:t>
      </w:r>
      <w:r>
        <w:t>onwencji genewskiej</w:t>
      </w:r>
      <w:r w:rsidR="003B0DD2">
        <w:t xml:space="preserve"> i </w:t>
      </w:r>
      <w:r>
        <w:t xml:space="preserve">nie </w:t>
      </w:r>
      <w:r w:rsidR="003B7B70">
        <w:t>określa</w:t>
      </w:r>
      <w:r>
        <w:t xml:space="preserve"> stanowiska</w:t>
      </w:r>
      <w:r w:rsidR="003B0DD2">
        <w:t xml:space="preserve"> w </w:t>
      </w:r>
      <w:r>
        <w:t xml:space="preserve">kwestii statusu </w:t>
      </w:r>
      <w:r w:rsidR="003B7B70">
        <w:t>k</w:t>
      </w:r>
      <w:r>
        <w:t>onwencji genewskiej ani wzajemnego pierwszeństwa obu konwencji.</w:t>
      </w:r>
    </w:p>
    <w:p w14:paraId="3D33B050" w14:textId="6299A173" w:rsidR="00E96881" w:rsidRPr="006054C3" w:rsidRDefault="008C2A17" w:rsidP="006054C3">
      <w:pPr>
        <w:pStyle w:val="JuQuot"/>
      </w:pPr>
      <w:r>
        <w:t xml:space="preserve">Celem </w:t>
      </w:r>
      <w:r w:rsidR="00D01C3D">
        <w:t>k</w:t>
      </w:r>
      <w:r>
        <w:t>onwencji genewskiej jest ochrona prawa osoby posiadającej status uchodźcy do przebywania</w:t>
      </w:r>
      <w:r w:rsidR="003B0DD2">
        <w:t xml:space="preserve"> w </w:t>
      </w:r>
      <w:r>
        <w:t xml:space="preserve">Umawiającym się Państwie, które przyznaje jej azyl, natomiast celem </w:t>
      </w:r>
      <w:r w:rsidR="00D01C3D">
        <w:t>k</w:t>
      </w:r>
      <w:r>
        <w:t>onwencji haskiej jest, jak wskazano powyżej, zapewnienie niezwłocznego powrotu dzieci bezprawnie uprowadzonych lub zatrzymanych</w:t>
      </w:r>
      <w:r w:rsidR="003B0DD2">
        <w:t xml:space="preserve"> w </w:t>
      </w:r>
      <w:r>
        <w:t>jakimkolwiek Umawiającym się Państwie. Konwencje te mają zatem odmienne cele, co może prowadzić do konfliktu między nimi</w:t>
      </w:r>
      <w:r w:rsidR="003B0DD2">
        <w:t xml:space="preserve"> w </w:t>
      </w:r>
      <w:r>
        <w:t>niektórych indywidualnych sytuacjach,</w:t>
      </w:r>
      <w:r w:rsidR="003B0DD2">
        <w:t xml:space="preserve"> w </w:t>
      </w:r>
      <w:r>
        <w:t xml:space="preserve">których obie mają zastosowanie. </w:t>
      </w:r>
      <w:r w:rsidR="003B0DD2">
        <w:t>Z </w:t>
      </w:r>
      <w:r>
        <w:t>orzecznictwa zebranego</w:t>
      </w:r>
      <w:r w:rsidR="003B0DD2">
        <w:t xml:space="preserve"> z </w:t>
      </w:r>
      <w:r>
        <w:t>różnych Państw-Stron Haskiej Konferencji Prawa Prywatnego Międzynarodowego wynika również, że relacja między tymi dwiema konwencjami pozostawia pole do interpretacji.</w:t>
      </w:r>
    </w:p>
    <w:p w14:paraId="02FFB30D" w14:textId="3AD3A234" w:rsidR="00E96881" w:rsidRPr="006054C3" w:rsidRDefault="008C2A17" w:rsidP="006054C3">
      <w:pPr>
        <w:pStyle w:val="JuQuot"/>
      </w:pPr>
      <w:r>
        <w:t>[</w:t>
      </w:r>
      <w:r w:rsidR="00D01C3D">
        <w:t>…</w:t>
      </w:r>
      <w:r>
        <w:t>]</w:t>
      </w:r>
    </w:p>
    <w:p w14:paraId="26849FDD" w14:textId="4B6115D1" w:rsidR="00E96881" w:rsidRPr="006054C3" w:rsidRDefault="00D01C3D" w:rsidP="006054C3">
      <w:pPr>
        <w:pStyle w:val="JuQuot"/>
      </w:pPr>
      <w:r>
        <w:t>W ocenie podstaw odmowy powrotu na gruncie konwencji haskiej należy wziąć pod uwagę ewentualne powody przyznania azylu. Azyl przyznany dziecku nie stanowi sam</w:t>
      </w:r>
      <w:r w:rsidR="003B0DD2">
        <w:t xml:space="preserve"> w </w:t>
      </w:r>
      <w:r>
        <w:t>sobie podstawy do niestosowania obowiązku nakazania powrotu dziecka na podstawie konwencji haskiej. Zamiast tego powrót musi być oceniany</w:t>
      </w:r>
      <w:r w:rsidR="003B0DD2">
        <w:t xml:space="preserve"> z </w:t>
      </w:r>
      <w:r>
        <w:t>punktu widzenia wyżej wymienionych podstaw odmowy przewidzianych</w:t>
      </w:r>
      <w:r w:rsidR="003B0DD2">
        <w:t xml:space="preserve"> w </w:t>
      </w:r>
      <w:r>
        <w:t>konwencji haskiej,</w:t>
      </w:r>
      <w:r w:rsidR="003B0DD2">
        <w:t xml:space="preserve"> z </w:t>
      </w:r>
      <w:r>
        <w:t>uwzględnieniem najlepszego interesu dziecka”.</w:t>
      </w:r>
    </w:p>
    <w:p w14:paraId="48F5A639" w14:textId="77777777" w:rsidR="00E96881" w:rsidRPr="006054C3" w:rsidRDefault="008C2A17" w:rsidP="006054C3">
      <w:pPr>
        <w:pStyle w:val="JuHHead"/>
        <w:numPr>
          <w:ilvl w:val="0"/>
          <w:numId w:val="22"/>
        </w:numPr>
        <w:tabs>
          <w:tab w:val="num" w:pos="340"/>
        </w:tabs>
        <w:ind w:left="340" w:hanging="340"/>
      </w:pPr>
      <w:r>
        <w:t>PRAWO</w:t>
      </w:r>
    </w:p>
    <w:p w14:paraId="12F6A763" w14:textId="77777777" w:rsidR="00E96881" w:rsidRPr="006054C3" w:rsidRDefault="008C2A17" w:rsidP="006054C3">
      <w:pPr>
        <w:pStyle w:val="JuHIRoman"/>
        <w:numPr>
          <w:ilvl w:val="1"/>
          <w:numId w:val="24"/>
        </w:numPr>
      </w:pPr>
      <w:r>
        <w:t>ZARZUCANE NARUSZENIE ART. 8 KONWENCJI</w:t>
      </w:r>
    </w:p>
    <w:p w14:paraId="1B8029CE" w14:textId="0FE82851"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29</w:t>
      </w:r>
      <w:r w:rsidRPr="006054C3">
        <w:fldChar w:fldCharType="end"/>
      </w:r>
      <w:r>
        <w:t xml:space="preserve">.  Skarżący zarzucili, że nakaz powrotu dzieci wydany przez Sąd Najwyższy naruszył ich prawo do poszanowania życia rodzinnego. Powołali się na </w:t>
      </w:r>
      <w:r w:rsidR="003B0DD2">
        <w:t>art. </w:t>
      </w:r>
      <w:r>
        <w:t>8 Konwencji, którego odpowiednia część brzmi następująco:</w:t>
      </w:r>
    </w:p>
    <w:p w14:paraId="1ED07717" w14:textId="11467660" w:rsidR="00E96881" w:rsidRPr="006054C3" w:rsidRDefault="008C2A17" w:rsidP="006054C3">
      <w:pPr>
        <w:pStyle w:val="JuQuot"/>
      </w:pPr>
      <w:r>
        <w:t xml:space="preserve">„1.  Każdy ma prawo do poszanowania swojego życia </w:t>
      </w:r>
      <w:r w:rsidR="007D3F8E">
        <w:t xml:space="preserve">[…] </w:t>
      </w:r>
      <w:r>
        <w:t>rodzinnego [</w:t>
      </w:r>
      <w:r w:rsidR="007D3F8E">
        <w:t>…</w:t>
      </w:r>
      <w:r>
        <w:t>].</w:t>
      </w:r>
    </w:p>
    <w:p w14:paraId="3E756A1F" w14:textId="5737FFBD" w:rsidR="00E96881" w:rsidRPr="006054C3" w:rsidRDefault="008C2A17" w:rsidP="006054C3">
      <w:pPr>
        <w:pStyle w:val="JuQuot"/>
      </w:pPr>
      <w:r>
        <w:t>2.  Niedopuszczalna jest ingerencja władzy publicznej</w:t>
      </w:r>
      <w:r w:rsidR="003B0DD2">
        <w:t xml:space="preserve"> w </w:t>
      </w:r>
      <w:r>
        <w:t>korzystanie</w:t>
      </w:r>
      <w:r w:rsidR="003B0DD2">
        <w:t xml:space="preserve"> z </w:t>
      </w:r>
      <w:r>
        <w:t>tego prawa,</w:t>
      </w:r>
      <w:r w:rsidR="003B0DD2">
        <w:t xml:space="preserve"> z </w:t>
      </w:r>
      <w:r>
        <w:t>wyjątkiem przypadków przewidzianych przez ustawę</w:t>
      </w:r>
      <w:r w:rsidR="003B0DD2">
        <w:t xml:space="preserve"> i </w:t>
      </w:r>
      <w:r>
        <w:t>koniecznych</w:t>
      </w:r>
      <w:r w:rsidR="003B0DD2">
        <w:t xml:space="preserve"> w </w:t>
      </w:r>
      <w:r>
        <w:t>demokratycznym społeczeństwie</w:t>
      </w:r>
      <w:r w:rsidR="003B0DD2">
        <w:t xml:space="preserve"> z </w:t>
      </w:r>
      <w:r>
        <w:t>uwagi na bezpieczeństwo państwowe, bezpieczeństwo publiczne lub dobrobyt gospodarczy kraju, ochronę porządku</w:t>
      </w:r>
      <w:r w:rsidR="003B0DD2">
        <w:t xml:space="preserve"> i </w:t>
      </w:r>
      <w:r>
        <w:t>zapobieganie przestępstwom, ochronę zdrowia</w:t>
      </w:r>
      <w:r w:rsidR="003B0DD2">
        <w:t xml:space="preserve"> i </w:t>
      </w:r>
      <w:r>
        <w:t>moralności lub ochronę praw</w:t>
      </w:r>
      <w:r w:rsidR="003B0DD2">
        <w:t xml:space="preserve"> i </w:t>
      </w:r>
      <w:r>
        <w:t>wolności innych osób”.</w:t>
      </w:r>
    </w:p>
    <w:p w14:paraId="39750D04" w14:textId="77777777" w:rsidR="00E96881" w:rsidRPr="006054C3" w:rsidRDefault="008C2A17" w:rsidP="006054C3">
      <w:pPr>
        <w:pStyle w:val="JuHA"/>
      </w:pPr>
      <w:r>
        <w:t>Dopuszczalność</w:t>
      </w:r>
    </w:p>
    <w:p w14:paraId="5A811F8E" w14:textId="54A8F02D"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30</w:t>
      </w:r>
      <w:r w:rsidRPr="006054C3">
        <w:fldChar w:fldCharType="end"/>
      </w:r>
      <w:r>
        <w:t>.  Rząd uznał, że decyzja Sądu Najwyższego nie była</w:t>
      </w:r>
      <w:r w:rsidR="003B0DD2">
        <w:t xml:space="preserve"> w </w:t>
      </w:r>
      <w:r>
        <w:t>żadnym względzie arbitralna</w:t>
      </w:r>
      <w:r w:rsidR="003B0DD2">
        <w:t xml:space="preserve"> i w </w:t>
      </w:r>
      <w:r>
        <w:t xml:space="preserve">okolicznościach </w:t>
      </w:r>
      <w:r w:rsidR="007D3F8E">
        <w:t>rozpatrywanej</w:t>
      </w:r>
      <w:r>
        <w:t xml:space="preserve"> sprawy nie stanowiła nieproporcjonalnej ingerencji</w:t>
      </w:r>
      <w:r w:rsidR="003B0DD2">
        <w:t xml:space="preserve"> w </w:t>
      </w:r>
      <w:r>
        <w:t>prawa skarżących wynikające</w:t>
      </w:r>
      <w:r w:rsidR="003B0DD2">
        <w:t xml:space="preserve"> z art. </w:t>
      </w:r>
      <w:r>
        <w:t xml:space="preserve">8. Zdaniem Rządu skargę na podstawie </w:t>
      </w:r>
      <w:r w:rsidR="003B0DD2">
        <w:t>art. </w:t>
      </w:r>
      <w:r>
        <w:t>8 należy</w:t>
      </w:r>
      <w:r w:rsidR="003B0DD2">
        <w:t xml:space="preserve"> z </w:t>
      </w:r>
      <w:r>
        <w:t>tych powodów uznać za niedopuszczalną jako oczywiście bezzasadną.</w:t>
      </w:r>
    </w:p>
    <w:p w14:paraId="26A460E8" w14:textId="7012E242" w:rsidR="00E96881" w:rsidRPr="006054C3" w:rsidRDefault="006054C3" w:rsidP="006054C3">
      <w:pPr>
        <w:pStyle w:val="JuPara"/>
      </w:pPr>
      <w:r w:rsidRPr="006054C3">
        <w:lastRenderedPageBreak/>
        <w:fldChar w:fldCharType="begin"/>
      </w:r>
      <w:r>
        <w:instrText xml:space="preserve"> SEQ level0 \*arabic \* MERGEFORMAT </w:instrText>
      </w:r>
      <w:r w:rsidRPr="006054C3">
        <w:fldChar w:fldCharType="separate"/>
      </w:r>
      <w:r w:rsidR="00464384">
        <w:rPr>
          <w:noProof/>
        </w:rPr>
        <w:t>31</w:t>
      </w:r>
      <w:r w:rsidRPr="006054C3">
        <w:fldChar w:fldCharType="end"/>
      </w:r>
      <w:r>
        <w:t xml:space="preserve">.  Skarżący podkreślili, że decyzja Sądu Najwyższego naruszyła ich prawo do ochrony życia rodzinnego, wbrew </w:t>
      </w:r>
      <w:r w:rsidR="003B0DD2">
        <w:t>art. </w:t>
      </w:r>
      <w:r>
        <w:t>8 Konwencji.</w:t>
      </w:r>
    </w:p>
    <w:p w14:paraId="0B26615A" w14:textId="1F7EFE1B"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32</w:t>
      </w:r>
      <w:r w:rsidRPr="006054C3">
        <w:fldChar w:fldCharType="end"/>
      </w:r>
      <w:r>
        <w:t>.  Trybunał zauważa, że skarga ta nie jest oczywiście bezzasadna ani niedopuszczalna</w:t>
      </w:r>
      <w:r w:rsidR="003B0DD2">
        <w:t xml:space="preserve"> z </w:t>
      </w:r>
      <w:r>
        <w:t>jakichkolwiek innych powodów wymienionych</w:t>
      </w:r>
      <w:r w:rsidR="003B0DD2">
        <w:t xml:space="preserve"> w art. </w:t>
      </w:r>
      <w:r>
        <w:t xml:space="preserve">35 Konwencji. </w:t>
      </w:r>
      <w:r w:rsidR="003B0DD2">
        <w:t>W </w:t>
      </w:r>
      <w:r>
        <w:t>związku</w:t>
      </w:r>
      <w:r w:rsidR="003B0DD2">
        <w:t xml:space="preserve"> z </w:t>
      </w:r>
      <w:r>
        <w:t>tym należy uznać ją za dopuszczalną.</w:t>
      </w:r>
    </w:p>
    <w:p w14:paraId="5A716E98" w14:textId="77777777" w:rsidR="00E96881" w:rsidRPr="006054C3" w:rsidRDefault="008C2A17" w:rsidP="006054C3">
      <w:pPr>
        <w:pStyle w:val="JuHA"/>
      </w:pPr>
      <w:r>
        <w:t>Meritum</w:t>
      </w:r>
    </w:p>
    <w:p w14:paraId="4CACA033" w14:textId="77777777" w:rsidR="00E96881" w:rsidRPr="006054C3" w:rsidRDefault="008C2A17" w:rsidP="006054C3">
      <w:pPr>
        <w:pStyle w:val="JuH1"/>
      </w:pPr>
      <w:r>
        <w:t>Stanowiska stron</w:t>
      </w:r>
    </w:p>
    <w:p w14:paraId="158A9C59" w14:textId="77777777" w:rsidR="00E96881" w:rsidRPr="006054C3" w:rsidRDefault="008C2A17" w:rsidP="006054C3">
      <w:pPr>
        <w:pStyle w:val="JuHa0"/>
      </w:pPr>
      <w:r>
        <w:t>Skarżący</w:t>
      </w:r>
    </w:p>
    <w:p w14:paraId="019CB151" w14:textId="5D05BEFC" w:rsidR="00E96881" w:rsidRPr="006054C3" w:rsidRDefault="006054C3" w:rsidP="00177485">
      <w:pPr>
        <w:pStyle w:val="JuPara"/>
      </w:pPr>
      <w:r w:rsidRPr="006054C3">
        <w:fldChar w:fldCharType="begin"/>
      </w:r>
      <w:r>
        <w:instrText xml:space="preserve"> SEQ level0 \*arabic \* MERGEFORMAT </w:instrText>
      </w:r>
      <w:r w:rsidRPr="006054C3">
        <w:fldChar w:fldCharType="separate"/>
      </w:r>
      <w:r w:rsidR="00464384">
        <w:rPr>
          <w:noProof/>
        </w:rPr>
        <w:t>33</w:t>
      </w:r>
      <w:r w:rsidRPr="006054C3">
        <w:fldChar w:fldCharType="end"/>
      </w:r>
      <w:r>
        <w:t>.  Skarżący przypomnieli, że od ponad dwóch lat dzieci</w:t>
      </w:r>
      <w:r w:rsidR="003B0DD2">
        <w:t xml:space="preserve"> w </w:t>
      </w:r>
      <w:r>
        <w:t>sposób niezachwiany</w:t>
      </w:r>
      <w:r w:rsidR="003B0DD2">
        <w:t xml:space="preserve"> i </w:t>
      </w:r>
      <w:r>
        <w:t>jasny wyrażały chęć pozostania</w:t>
      </w:r>
      <w:r w:rsidR="003B0DD2">
        <w:t xml:space="preserve"> w </w:t>
      </w:r>
      <w:r>
        <w:t xml:space="preserve">Finlandii, mimo </w:t>
      </w:r>
      <w:r w:rsidR="00177485">
        <w:t>że</w:t>
      </w:r>
      <w:r>
        <w:t xml:space="preserve"> ich matka przez cały czas utrzymywała</w:t>
      </w:r>
      <w:r w:rsidR="003B0DD2">
        <w:t xml:space="preserve"> z </w:t>
      </w:r>
      <w:r>
        <w:t>nimi kontakt</w:t>
      </w:r>
      <w:r w:rsidR="003B0DD2">
        <w:t xml:space="preserve"> i </w:t>
      </w:r>
      <w:r>
        <w:t>wyrażała swój punkt widzenia.</w:t>
      </w:r>
      <w:r w:rsidR="00177485">
        <w:t xml:space="preserve"> </w:t>
      </w:r>
      <w:r>
        <w:t>Starsze dziecko (drugi skarżący) samodzielnie podjęło decyzję</w:t>
      </w:r>
      <w:r w:rsidR="003B0DD2">
        <w:t xml:space="preserve"> o </w:t>
      </w:r>
      <w:r>
        <w:t>ograniczeniu kontaktów</w:t>
      </w:r>
      <w:r w:rsidR="003B0DD2">
        <w:t xml:space="preserve"> z </w:t>
      </w:r>
      <w:r>
        <w:t>matką</w:t>
      </w:r>
      <w:r w:rsidR="003B0DD2">
        <w:t xml:space="preserve"> i </w:t>
      </w:r>
      <w:r>
        <w:t>nie utrzymywało</w:t>
      </w:r>
      <w:r w:rsidR="003B0DD2">
        <w:t xml:space="preserve"> z </w:t>
      </w:r>
      <w:r>
        <w:t>nią więzi.</w:t>
      </w:r>
      <w:r w:rsidR="00177485">
        <w:t xml:space="preserve"> </w:t>
      </w:r>
      <w:r>
        <w:t>Matka utrzymywała kontakt tylko</w:t>
      </w:r>
      <w:r w:rsidR="003B0DD2">
        <w:t xml:space="preserve"> z </w:t>
      </w:r>
      <w:r>
        <w:t>młodszym dzieckiem.</w:t>
      </w:r>
      <w:r w:rsidR="00177485">
        <w:t xml:space="preserve"> </w:t>
      </w:r>
      <w:r>
        <w:t>Nawet po wydaniu orzeczenia przez Sąd Najwyższy matka twierdziła, że dzieci należą do przywódcy sekty.</w:t>
      </w:r>
      <w:r w:rsidR="00177485">
        <w:t xml:space="preserve"> </w:t>
      </w:r>
      <w:r w:rsidR="003B0DD2">
        <w:t>W </w:t>
      </w:r>
      <w:r>
        <w:t>Rosji dzieci uważano za zdrajców ojczyzny, co oznaczało, że istniało już wobec nich zagrożenie psychiczne</w:t>
      </w:r>
      <w:r w:rsidR="003B0DD2">
        <w:t xml:space="preserve"> i </w:t>
      </w:r>
      <w:r>
        <w:t>fizyczne.</w:t>
      </w:r>
      <w:r w:rsidR="00177485">
        <w:t xml:space="preserve"> </w:t>
      </w:r>
      <w:r>
        <w:t>Matka bezkrytycznie wierzyła</w:t>
      </w:r>
      <w:r w:rsidR="003B0DD2">
        <w:t xml:space="preserve"> w </w:t>
      </w:r>
      <w:r>
        <w:t>całą rosyjską propagandę</w:t>
      </w:r>
      <w:r w:rsidR="003B0DD2">
        <w:t xml:space="preserve"> i </w:t>
      </w:r>
      <w:r>
        <w:t>bez skrępowania narażała na nią swoje dzieci.</w:t>
      </w:r>
      <w:r w:rsidR="00177485">
        <w:t xml:space="preserve"> </w:t>
      </w:r>
      <w:r>
        <w:t>Ojciec zawsze był bliżej dzieci, ponieważ matka nigdy nie była</w:t>
      </w:r>
      <w:r w:rsidR="003B0DD2">
        <w:t xml:space="preserve"> w </w:t>
      </w:r>
      <w:r>
        <w:t>stanie sama się nimi opiekować, nawet gdy były młodsze.</w:t>
      </w:r>
      <w:r w:rsidR="00177485">
        <w:t xml:space="preserve"> </w:t>
      </w:r>
      <w:r w:rsidR="003B0DD2">
        <w:t>W </w:t>
      </w:r>
      <w:r>
        <w:t>praktyce dzieci zawsze znajdowały się pod opieką rodziców ojca lub samego ojca, gdy ten nie był</w:t>
      </w:r>
      <w:r w:rsidR="003B0DD2">
        <w:t xml:space="preserve"> w </w:t>
      </w:r>
      <w:r>
        <w:t>pracy.</w:t>
      </w:r>
      <w:r w:rsidR="00177485">
        <w:t xml:space="preserve"> </w:t>
      </w:r>
      <w:r>
        <w:t>Co więcej, dzieci wyraźnie wskazywały, że wolałyby raczej umrzeć, niż wyjechać do Rosji.</w:t>
      </w:r>
      <w:r w:rsidR="00177485">
        <w:t xml:space="preserve"> </w:t>
      </w:r>
      <w:r>
        <w:t>Zostały one przyjęte na oddział psychiatryczny po wcześniejszej próbie przymusowej repatriacji,</w:t>
      </w:r>
      <w:r w:rsidR="003B0DD2">
        <w:t xml:space="preserve"> a w </w:t>
      </w:r>
      <w:r>
        <w:t>latach 2023</w:t>
      </w:r>
      <w:r w:rsidR="00177485">
        <w:t>–</w:t>
      </w:r>
      <w:r>
        <w:t>2024 trzeci skarżący był kilkakrotnie leczony medycznie</w:t>
      </w:r>
      <w:r w:rsidR="003B0DD2">
        <w:t xml:space="preserve"> z </w:t>
      </w:r>
      <w:r>
        <w:t>powodu stanów lękowych.</w:t>
      </w:r>
    </w:p>
    <w:p w14:paraId="734B1FA1" w14:textId="0B4F5F37"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34</w:t>
      </w:r>
      <w:r w:rsidRPr="006054C3">
        <w:fldChar w:fldCharType="end"/>
      </w:r>
      <w:r>
        <w:t>.  Skarżący zwrócili uwagę, że grupa religijna, do której należała matka, nie była lokalnym kościołem, lecz sektą działającą poza jego strukturami. Obiekty sekty znajdowały się</w:t>
      </w:r>
      <w:r w:rsidR="003B0DD2">
        <w:t xml:space="preserve"> z </w:t>
      </w:r>
      <w:r>
        <w:t>dala od miasta</w:t>
      </w:r>
      <w:r w:rsidR="003B0DD2">
        <w:t xml:space="preserve"> i </w:t>
      </w:r>
      <w:r>
        <w:t xml:space="preserve">miały charakter obozu. Ojciec </w:t>
      </w:r>
      <w:r w:rsidR="00177485">
        <w:t>odwiedził to miejsce</w:t>
      </w:r>
      <w:r>
        <w:t xml:space="preserve"> wraz ze swoim ojcem</w:t>
      </w:r>
      <w:r w:rsidR="003B0DD2">
        <w:t xml:space="preserve"> i </w:t>
      </w:r>
      <w:r>
        <w:t>najmłodszym dzieckiem. Przywódcą sekty był ojciec Nikifor, który często podróżował do Ukrainy, aby motywować walczących tam żołnierzy. Celem sekty było kształtowanie żołnierzy lojalnych wobec Boga</w:t>
      </w:r>
      <w:r w:rsidR="003B0DD2">
        <w:t xml:space="preserve"> i </w:t>
      </w:r>
      <w:r>
        <w:t>prezydenta Putina. Matka sympatyzowała</w:t>
      </w:r>
      <w:r w:rsidR="003B0DD2">
        <w:t xml:space="preserve"> z </w:t>
      </w:r>
      <w:r>
        <w:t>sektą</w:t>
      </w:r>
      <w:r w:rsidR="003B0DD2">
        <w:t xml:space="preserve"> i </w:t>
      </w:r>
      <w:r>
        <w:t>pozwalała, aby jej przywódca podejmował za nią wszystkie decyzje.</w:t>
      </w:r>
      <w:r w:rsidR="00177485">
        <w:t xml:space="preserve"> </w:t>
      </w:r>
      <w:r>
        <w:t>Przedstawiła również swoim synom</w:t>
      </w:r>
      <w:r w:rsidR="003B0DD2">
        <w:t xml:space="preserve"> w </w:t>
      </w:r>
      <w:r>
        <w:t>Rosji pewnego kapłana, mówiąc: „oto wasz nowy ojciec, on was nauczy, jacy powinni być mężczyźni”.</w:t>
      </w:r>
    </w:p>
    <w:p w14:paraId="24094DF7" w14:textId="684AE5CE"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35</w:t>
      </w:r>
      <w:r w:rsidRPr="006054C3">
        <w:fldChar w:fldCharType="end"/>
      </w:r>
      <w:r>
        <w:t>.  Skarżący poinformowali ponadto, że drugi</w:t>
      </w:r>
      <w:r w:rsidR="003B0DD2">
        <w:t xml:space="preserve"> i </w:t>
      </w:r>
      <w:r>
        <w:t>trzeci skarżący uczęszczali do klas kadeckich</w:t>
      </w:r>
      <w:r w:rsidR="003B0DD2">
        <w:t xml:space="preserve"> w </w:t>
      </w:r>
      <w:r>
        <w:t>szkole. Uczono ich, między innymi, obsługi broni. Drugi skarżący, który miał wówczas jedenaście lat, miał reprezentować swoją klasę na paradzie</w:t>
      </w:r>
      <w:r w:rsidR="003B0DD2">
        <w:t xml:space="preserve"> z </w:t>
      </w:r>
      <w:r>
        <w:t>okazji Dnia Zwycięstwa</w:t>
      </w:r>
      <w:r w:rsidR="003B0DD2">
        <w:t xml:space="preserve"> w </w:t>
      </w:r>
      <w:r>
        <w:t xml:space="preserve">dniu </w:t>
      </w:r>
      <w:r>
        <w:lastRenderedPageBreak/>
        <w:t>5</w:t>
      </w:r>
      <w:r w:rsidR="000F1158">
        <w:t> </w:t>
      </w:r>
      <w:r>
        <w:t>września 2022</w:t>
      </w:r>
      <w:r w:rsidR="003B0DD2">
        <w:t> r. i </w:t>
      </w:r>
      <w:r>
        <w:t>złożyć przysięgę wojskową. Nie było to zatem hobby uprawiane</w:t>
      </w:r>
      <w:r w:rsidR="003B0DD2">
        <w:t xml:space="preserve"> w </w:t>
      </w:r>
      <w:r>
        <w:t>ramach zajęć pozalekcyjnych ani nic</w:t>
      </w:r>
      <w:r w:rsidR="003B0DD2">
        <w:t xml:space="preserve"> o </w:t>
      </w:r>
      <w:r>
        <w:t>podobnym charakterze.</w:t>
      </w:r>
    </w:p>
    <w:p w14:paraId="1400C018" w14:textId="1BF9B6BF"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36</w:t>
      </w:r>
      <w:r w:rsidRPr="006054C3">
        <w:fldChar w:fldCharType="end"/>
      </w:r>
      <w:r>
        <w:t xml:space="preserve">.  Skarżący uznali </w:t>
      </w:r>
      <w:r w:rsidR="000F1158">
        <w:t>również</w:t>
      </w:r>
      <w:r>
        <w:t>, że Sąd Najwyższy</w:t>
      </w:r>
      <w:r w:rsidR="003B0DD2">
        <w:t xml:space="preserve"> w </w:t>
      </w:r>
      <w:r>
        <w:t>swojej decyzji nie</w:t>
      </w:r>
      <w:r w:rsidR="000F1158">
        <w:t xml:space="preserve"> przedstawił</w:t>
      </w:r>
      <w:r>
        <w:t xml:space="preserve"> żadnej oceny sytuacji pierwszego skarżącego</w:t>
      </w:r>
      <w:r w:rsidR="003B0DD2">
        <w:t xml:space="preserve"> w </w:t>
      </w:r>
      <w:r>
        <w:t xml:space="preserve">świetle </w:t>
      </w:r>
      <w:r w:rsidR="003B0DD2">
        <w:t>art. </w:t>
      </w:r>
      <w:r>
        <w:t xml:space="preserve">8 Konwencji. </w:t>
      </w:r>
      <w:r w:rsidR="000F1158">
        <w:t>Skarżący ten nie mógł</w:t>
      </w:r>
      <w:r>
        <w:t xml:space="preserve"> bezpiecznie wrócić do Rosji, co oznaczało, że nie mógł tam prowadzić życia rodzinnego</w:t>
      </w:r>
      <w:r w:rsidR="003B0DD2">
        <w:t xml:space="preserve"> z </w:t>
      </w:r>
      <w:r>
        <w:t>drugim</w:t>
      </w:r>
      <w:r w:rsidR="003B0DD2">
        <w:t xml:space="preserve"> i </w:t>
      </w:r>
      <w:r>
        <w:t>trzecim skarżącym. Musiałby zrzec się ochrony wynikającej</w:t>
      </w:r>
      <w:r w:rsidR="003B0DD2">
        <w:t xml:space="preserve"> z art. </w:t>
      </w:r>
      <w:r>
        <w:t>3 Konwencji, aby móc realizować swoje prawa wynikające</w:t>
      </w:r>
      <w:r w:rsidR="003B0DD2">
        <w:t xml:space="preserve"> z art. </w:t>
      </w:r>
      <w:r>
        <w:t>8 Konwencji. Matka drugiego</w:t>
      </w:r>
      <w:r w:rsidR="003B0DD2">
        <w:t xml:space="preserve"> i </w:t>
      </w:r>
      <w:r>
        <w:t>trzeciego skarżącego nie była narażona na podobne ryzyko</w:t>
      </w:r>
      <w:r w:rsidR="003B0DD2">
        <w:t xml:space="preserve"> i </w:t>
      </w:r>
      <w:r>
        <w:t>mogła swobodnie podróżować do Finlandii</w:t>
      </w:r>
      <w:r w:rsidR="000F1158">
        <w:t>,</w:t>
      </w:r>
      <w:r>
        <w:t xml:space="preserve"> </w:t>
      </w:r>
      <w:r w:rsidR="000F1158">
        <w:t>aby korzystać ze</w:t>
      </w:r>
      <w:r>
        <w:t xml:space="preserve"> swoich praw wynikających</w:t>
      </w:r>
      <w:r w:rsidR="003B0DD2">
        <w:t xml:space="preserve"> z art. </w:t>
      </w:r>
      <w:r>
        <w:t>8 Konwencji bez narażania się na traktowanie sprzeczne</w:t>
      </w:r>
      <w:r w:rsidR="003B0DD2">
        <w:t xml:space="preserve"> z art. </w:t>
      </w:r>
      <w:r>
        <w:t>3 Konwencji. Gdyby drugi</w:t>
      </w:r>
      <w:r w:rsidR="003B0DD2">
        <w:t xml:space="preserve"> i </w:t>
      </w:r>
      <w:r>
        <w:t>trzeci skarżący przekroczyli granicę</w:t>
      </w:r>
      <w:r w:rsidR="003B0DD2">
        <w:t xml:space="preserve"> z </w:t>
      </w:r>
      <w:r>
        <w:t>Rosją, władze rosyjskie nie pozwoliłyby im na powrót do Finlandii. Sąd Najwyższy nie zdołał zatem osiągnąć sprawiedliwej równowagi między wyzwaniami wynikającymi ze stanu faktycznego</w:t>
      </w:r>
      <w:r w:rsidR="003B0DD2">
        <w:t xml:space="preserve"> a </w:t>
      </w:r>
      <w:r>
        <w:t>najlepszym interesem dzieci.</w:t>
      </w:r>
    </w:p>
    <w:p w14:paraId="7BD61781" w14:textId="77777777" w:rsidR="00E96881" w:rsidRPr="006054C3" w:rsidRDefault="008C2A17" w:rsidP="006054C3">
      <w:pPr>
        <w:pStyle w:val="JuHa0"/>
      </w:pPr>
      <w:r>
        <w:t>Rząd</w:t>
      </w:r>
    </w:p>
    <w:p w14:paraId="5F50B84E" w14:textId="031A1FAC"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37</w:t>
      </w:r>
      <w:r w:rsidRPr="006054C3">
        <w:fldChar w:fldCharType="end"/>
      </w:r>
      <w:r>
        <w:t>.  Rząd przyznał, że decyzja Sądu Najwyższego</w:t>
      </w:r>
      <w:r w:rsidR="003B0DD2">
        <w:t xml:space="preserve"> o </w:t>
      </w:r>
      <w:r>
        <w:t>powrocie drugiego</w:t>
      </w:r>
      <w:r w:rsidR="003B0DD2">
        <w:t xml:space="preserve"> i </w:t>
      </w:r>
      <w:r>
        <w:t>trzeciego skarżącego do Rosji stanowiła ingerencję</w:t>
      </w:r>
      <w:r w:rsidR="003B0DD2">
        <w:t xml:space="preserve"> w </w:t>
      </w:r>
      <w:r>
        <w:t>prawo skarżących do poszanowania ich życia rodzinnego.</w:t>
      </w:r>
      <w:r w:rsidR="000F1158">
        <w:t xml:space="preserve"> D</w:t>
      </w:r>
      <w:r>
        <w:t xml:space="preserve">ecyzja ta opierała się </w:t>
      </w:r>
      <w:r w:rsidR="000F1158">
        <w:t xml:space="preserve">jednak </w:t>
      </w:r>
      <w:r>
        <w:t xml:space="preserve">na </w:t>
      </w:r>
      <w:r w:rsidR="003B0DD2">
        <w:t>art. </w:t>
      </w:r>
      <w:r>
        <w:t>30 ustawy</w:t>
      </w:r>
      <w:r w:rsidR="003B0DD2">
        <w:t xml:space="preserve"> o </w:t>
      </w:r>
      <w:r w:rsidR="000F1158">
        <w:t>pieczy</w:t>
      </w:r>
      <w:r>
        <w:t xml:space="preserve"> nad dzieckiem</w:t>
      </w:r>
      <w:r w:rsidR="003B0DD2">
        <w:t xml:space="preserve"> i </w:t>
      </w:r>
      <w:r>
        <w:t xml:space="preserve">prawie do kontaktów, który wdraża </w:t>
      </w:r>
      <w:r w:rsidR="003B0DD2">
        <w:t>art. </w:t>
      </w:r>
      <w:r>
        <w:t xml:space="preserve">12 ust. 1 </w:t>
      </w:r>
      <w:r w:rsidR="000F1158">
        <w:t>k</w:t>
      </w:r>
      <w:r>
        <w:t>onwencji haskiej,</w:t>
      </w:r>
      <w:r w:rsidR="003B0DD2">
        <w:t xml:space="preserve"> a </w:t>
      </w:r>
      <w:r>
        <w:t>zatem była zgodna</w:t>
      </w:r>
      <w:r w:rsidR="003B0DD2">
        <w:t xml:space="preserve"> z </w:t>
      </w:r>
      <w:r>
        <w:t>prawem.</w:t>
      </w:r>
      <w:r w:rsidR="000F1158">
        <w:t xml:space="preserve"> </w:t>
      </w:r>
      <w:r>
        <w:t xml:space="preserve">Ingerencja </w:t>
      </w:r>
      <w:r w:rsidR="000F1158">
        <w:t>służyła celowi</w:t>
      </w:r>
      <w:r>
        <w:t>, jakim jest ochrona praw</w:t>
      </w:r>
      <w:r w:rsidR="003B0DD2">
        <w:t xml:space="preserve"> i </w:t>
      </w:r>
      <w:r>
        <w:t>wolności innych osób.</w:t>
      </w:r>
    </w:p>
    <w:p w14:paraId="36BB7FB3" w14:textId="0F649533"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38</w:t>
      </w:r>
      <w:r w:rsidRPr="006054C3">
        <w:fldChar w:fldCharType="end"/>
      </w:r>
      <w:r>
        <w:t xml:space="preserve">.  Co do kwestii, czy decyzja ta była </w:t>
      </w:r>
      <w:r w:rsidR="007E1A1C">
        <w:t>konieczna</w:t>
      </w:r>
      <w:r w:rsidR="003B0DD2">
        <w:t xml:space="preserve"> w </w:t>
      </w:r>
      <w:r w:rsidR="007E1A1C">
        <w:t xml:space="preserve">demokratycznym </w:t>
      </w:r>
      <w:r>
        <w:t>społeczeństwie, Rząd zauważył, że Sąd Najwyższy nie stwierdził żadnych okoliczności, które uzasadniałyby wniosek, że warunki</w:t>
      </w:r>
      <w:r w:rsidR="003B0DD2">
        <w:t xml:space="preserve"> w </w:t>
      </w:r>
      <w:r>
        <w:t>domu matki zagrażałyby dobrostanowi dzieci, ani też nie wydaje się, by wysuwano jakiekolwiek zarzuty</w:t>
      </w:r>
      <w:r w:rsidR="003B0DD2">
        <w:t xml:space="preserve"> w </w:t>
      </w:r>
      <w:r>
        <w:t>tym zakresie. Sąd Najwyższy przeprowadził rozprawę</w:t>
      </w:r>
      <w:r w:rsidR="003B0DD2">
        <w:t xml:space="preserve"> i </w:t>
      </w:r>
      <w:r>
        <w:t xml:space="preserve">wysłuchał starsze dziecko oddzielnie. Na podstawie </w:t>
      </w:r>
      <w:r w:rsidR="007E1A1C">
        <w:t>zeznań</w:t>
      </w:r>
      <w:r>
        <w:t xml:space="preserve"> matki Sąd Najwyższy uznał, że po powrocie do Rosji starsze dziecko nie powróci do klasy kadeckiej</w:t>
      </w:r>
      <w:r w:rsidR="003B0DD2">
        <w:t xml:space="preserve"> z </w:t>
      </w:r>
      <w:r>
        <w:t>przeszkoleniem wojskowym. Różnice ideologiczne</w:t>
      </w:r>
      <w:r w:rsidR="003B0DD2">
        <w:t xml:space="preserve"> i </w:t>
      </w:r>
      <w:r>
        <w:t>praktyczne między fińskim</w:t>
      </w:r>
      <w:r w:rsidR="003B0DD2">
        <w:t xml:space="preserve"> a </w:t>
      </w:r>
      <w:r>
        <w:t>rosyjskim systemem szkolnym same</w:t>
      </w:r>
      <w:r w:rsidR="003B0DD2">
        <w:t xml:space="preserve"> w </w:t>
      </w:r>
      <w:r>
        <w:t xml:space="preserve">sobie nie uzasadniały odmowy wydania nakazu powrotu na podstawie </w:t>
      </w:r>
      <w:r w:rsidR="007E1A1C">
        <w:t>k</w:t>
      </w:r>
      <w:r>
        <w:t>onwencji haskiej</w:t>
      </w:r>
      <w:r w:rsidR="003B0DD2">
        <w:t xml:space="preserve"> z </w:t>
      </w:r>
      <w:r>
        <w:t>powodu poważnego ryzyka.</w:t>
      </w:r>
      <w:r w:rsidR="000F1158">
        <w:t xml:space="preserve"> </w:t>
      </w:r>
      <w:r>
        <w:t>Sąd Najwyższy uznał zatem, że twierdzenie ojca</w:t>
      </w:r>
      <w:r w:rsidR="003B0DD2">
        <w:t xml:space="preserve"> o </w:t>
      </w:r>
      <w:r>
        <w:t>istnieniu poważnego ryzyka nie zostało udowodnione. Sąd Najwyższy doszedł do wniosku, że powrót drugiego</w:t>
      </w:r>
      <w:r w:rsidR="003B0DD2">
        <w:t xml:space="preserve"> i </w:t>
      </w:r>
      <w:r>
        <w:t>trzeciego skarżącego nie narazi ich na ryzyko traktowania naruszającego ich godność ludzką. Przestrzegał on zasady, zgodnie</w:t>
      </w:r>
      <w:r w:rsidR="003B0DD2">
        <w:t xml:space="preserve"> z </w:t>
      </w:r>
      <w:r>
        <w:t>którą musi obiektywnie ocenić różne alternatywne rozwiązania</w:t>
      </w:r>
      <w:r w:rsidR="003B0DD2">
        <w:t xml:space="preserve"> z </w:t>
      </w:r>
      <w:r>
        <w:t>perspektywy najlepszego interesu dziecka. Dzieci spędziły całe życie</w:t>
      </w:r>
      <w:r w:rsidR="003B0DD2">
        <w:t xml:space="preserve"> z </w:t>
      </w:r>
      <w:r>
        <w:t>matką</w:t>
      </w:r>
      <w:r w:rsidR="003B0DD2">
        <w:t xml:space="preserve"> w </w:t>
      </w:r>
      <w:r>
        <w:t>Rosji, gdzie miały również innych krewnych, co potwierdzało wniosek, że powrót do Rosji leży</w:t>
      </w:r>
      <w:r w:rsidR="003B0DD2">
        <w:t xml:space="preserve"> w </w:t>
      </w:r>
      <w:r>
        <w:t>ich najlepszym interesie. Sąd Najwyższy wziął również pod uwagę fakt, że powrót dzieci do Rosji prawdopodobnie utrudni ich kontakt</w:t>
      </w:r>
      <w:r w:rsidR="003B0DD2">
        <w:t xml:space="preserve"> z </w:t>
      </w:r>
      <w:r>
        <w:t xml:space="preserve">ojcem, ale </w:t>
      </w:r>
      <w:r>
        <w:lastRenderedPageBreak/>
        <w:t>uznał, że ich powrót leży mimo to</w:t>
      </w:r>
      <w:r w:rsidR="003B0DD2">
        <w:t xml:space="preserve"> w </w:t>
      </w:r>
      <w:r>
        <w:t>ich ogólnie pojętym najlepszym interesie.</w:t>
      </w:r>
    </w:p>
    <w:p w14:paraId="521EB710" w14:textId="734FA5D8"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39</w:t>
      </w:r>
      <w:r w:rsidRPr="006054C3">
        <w:fldChar w:fldCharType="end"/>
      </w:r>
      <w:r>
        <w:t>.  Rząd zauważył, że Sąd Najwyższy wyważył sprzeczne interesy</w:t>
      </w:r>
      <w:r w:rsidR="003B0DD2">
        <w:t xml:space="preserve"> w </w:t>
      </w:r>
      <w:r>
        <w:t>sposób jawny</w:t>
      </w:r>
      <w:r w:rsidR="003B0DD2">
        <w:t xml:space="preserve"> i </w:t>
      </w:r>
      <w:r>
        <w:t>staranny oraz ocenił, które rozwiązanie będzie leżało</w:t>
      </w:r>
      <w:r w:rsidR="003B0DD2">
        <w:t xml:space="preserve"> w </w:t>
      </w:r>
      <w:r>
        <w:t>ogólnym najlepszym interesie drugiego</w:t>
      </w:r>
      <w:r w:rsidR="003B0DD2">
        <w:t xml:space="preserve"> i </w:t>
      </w:r>
      <w:r>
        <w:t>trzeciego skarżącego. Sąd Najwyższy przeprowadził szeroką ocenę podstaw odmowy</w:t>
      </w:r>
      <w:r w:rsidR="003B0DD2">
        <w:t xml:space="preserve"> w </w:t>
      </w:r>
      <w:r>
        <w:t>świetle dowodów przedstawionych bezpośrednio</w:t>
      </w:r>
      <w:r w:rsidR="003B0DD2">
        <w:t xml:space="preserve"> i </w:t>
      </w:r>
      <w:r>
        <w:t>ustnie. Wziął pod uwagę</w:t>
      </w:r>
      <w:r w:rsidR="003B0DD2">
        <w:t xml:space="preserve"> z </w:t>
      </w:r>
      <w:r>
        <w:t>jednej strony fakt, że utrzymanie kontaktu między ojcem</w:t>
      </w:r>
      <w:r w:rsidR="003B0DD2">
        <w:t xml:space="preserve"> a </w:t>
      </w:r>
      <w:r>
        <w:t>dziećmi stałoby się trudniejsze</w:t>
      </w:r>
      <w:r w:rsidR="003B0DD2">
        <w:t xml:space="preserve"> w </w:t>
      </w:r>
      <w:r>
        <w:t>przypadku powrotu dzieci,</w:t>
      </w:r>
      <w:r w:rsidR="003B0DD2">
        <w:t xml:space="preserve"> a z </w:t>
      </w:r>
      <w:r>
        <w:t>drugiej strony fakt, że dzieciom trudniej byłoby utrzymać kontakt</w:t>
      </w:r>
      <w:r w:rsidR="003B0DD2">
        <w:t xml:space="preserve"> z </w:t>
      </w:r>
      <w:r>
        <w:t>matką</w:t>
      </w:r>
      <w:r w:rsidR="003B0DD2">
        <w:t xml:space="preserve"> i </w:t>
      </w:r>
      <w:r>
        <w:t>starszą siostrą, gdyby nie powróciły. Sąd Najwyższy nie uznał, że relacje między dziećmi</w:t>
      </w:r>
      <w:r w:rsidR="003B0DD2">
        <w:t xml:space="preserve"> a </w:t>
      </w:r>
      <w:r>
        <w:t>ojcem zostaną zerwane</w:t>
      </w:r>
      <w:r w:rsidR="003B0DD2">
        <w:t xml:space="preserve"> w </w:t>
      </w:r>
      <w:r>
        <w:t>przypadku powrotu dzieci.</w:t>
      </w:r>
    </w:p>
    <w:p w14:paraId="7F61D420" w14:textId="7821FC8D"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40</w:t>
      </w:r>
      <w:r w:rsidRPr="006054C3">
        <w:fldChar w:fldCharType="end"/>
      </w:r>
      <w:r>
        <w:t>.  Rząd twierdził, że Sąd Najwyższy uwzględnił istotne czynniki, zważył je</w:t>
      </w:r>
      <w:r w:rsidR="003B0DD2">
        <w:t xml:space="preserve"> i </w:t>
      </w:r>
      <w:r>
        <w:t>uzasadnił swoją decyzję</w:t>
      </w:r>
      <w:r w:rsidR="003B0DD2">
        <w:t xml:space="preserve"> w </w:t>
      </w:r>
      <w:r>
        <w:t>sposób wymagany przez orzecznictwo Trybunału. Wynik orzeczenia Sądu Najwyższego mieścił się</w:t>
      </w:r>
      <w:r w:rsidR="003B0DD2">
        <w:t xml:space="preserve"> w </w:t>
      </w:r>
      <w:r>
        <w:t xml:space="preserve">marginesie </w:t>
      </w:r>
      <w:r w:rsidR="003A012D">
        <w:t>swobody</w:t>
      </w:r>
      <w:r>
        <w:t xml:space="preserve"> przysługującym Umawiającym się Państwom</w:t>
      </w:r>
      <w:r w:rsidR="003B0DD2">
        <w:t xml:space="preserve"> w </w:t>
      </w:r>
      <w:r>
        <w:t>tej dziedzinie.</w:t>
      </w:r>
      <w:r w:rsidR="00FA28A1">
        <w:t xml:space="preserve"> </w:t>
      </w:r>
      <w:r>
        <w:t>Ingerencja</w:t>
      </w:r>
      <w:r w:rsidR="003B0DD2">
        <w:t xml:space="preserve"> w </w:t>
      </w:r>
      <w:r>
        <w:t>prawo skarżących do poszanowania ich życia rodzinnego nie była nieproporcjonalna,</w:t>
      </w:r>
      <w:r w:rsidR="003B0DD2">
        <w:t xml:space="preserve"> a </w:t>
      </w:r>
      <w:r>
        <w:t xml:space="preserve">zatem nie doszło do naruszenia </w:t>
      </w:r>
      <w:r w:rsidR="003B0DD2">
        <w:t>art. </w:t>
      </w:r>
      <w:r>
        <w:t>8 Konwencji.</w:t>
      </w:r>
    </w:p>
    <w:p w14:paraId="6713BE5E" w14:textId="77777777" w:rsidR="00E96881" w:rsidRPr="006054C3" w:rsidRDefault="008C2A17" w:rsidP="006054C3">
      <w:pPr>
        <w:pStyle w:val="JuHa0"/>
      </w:pPr>
      <w:r>
        <w:t>Interweniujące strony trzecie</w:t>
      </w:r>
    </w:p>
    <w:p w14:paraId="7B7B07F8" w14:textId="00C64873" w:rsidR="00E96881" w:rsidRPr="006054C3" w:rsidRDefault="008C2A17" w:rsidP="006054C3">
      <w:pPr>
        <w:pStyle w:val="JuHi"/>
      </w:pPr>
      <w:r>
        <w:t>Pani G., matka drugiego</w:t>
      </w:r>
      <w:r w:rsidR="003B0DD2">
        <w:t xml:space="preserve"> i </w:t>
      </w:r>
      <w:r>
        <w:t>trzeciego skarżącego</w:t>
      </w:r>
    </w:p>
    <w:p w14:paraId="39ED9D8B" w14:textId="12B9C40D"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41</w:t>
      </w:r>
      <w:r w:rsidRPr="006054C3">
        <w:fldChar w:fldCharType="end"/>
      </w:r>
      <w:r>
        <w:t>.  </w:t>
      </w:r>
      <w:r w:rsidR="003B0DD2">
        <w:t>W </w:t>
      </w:r>
      <w:r>
        <w:t>swoich uwagach jako strona trzecia pani G., matka drugiego</w:t>
      </w:r>
      <w:r w:rsidR="003B0DD2">
        <w:t xml:space="preserve"> i </w:t>
      </w:r>
      <w:r>
        <w:t>trzeciego skarżącego, wskazała, że sprawowała główną pieczę nad dziećmi przez większość ich życia.</w:t>
      </w:r>
      <w:r w:rsidR="00FA28A1">
        <w:t xml:space="preserve"> </w:t>
      </w:r>
      <w:r>
        <w:t>Właściwe wyważenie interesów polegało na zestawieniu stopnia ochrony przysługującej matce</w:t>
      </w:r>
      <w:r w:rsidR="003B0DD2">
        <w:t xml:space="preserve"> i </w:t>
      </w:r>
      <w:r>
        <w:t>więzi dzieci</w:t>
      </w:r>
      <w:r w:rsidR="003B0DD2">
        <w:t xml:space="preserve"> z </w:t>
      </w:r>
      <w:r>
        <w:t>nią ze stopniem ochrony przysługującej ojcu</w:t>
      </w:r>
      <w:r w:rsidR="003B0DD2">
        <w:t xml:space="preserve"> i </w:t>
      </w:r>
      <w:r>
        <w:t>więziami dzieci</w:t>
      </w:r>
      <w:r w:rsidR="003B0DD2">
        <w:t xml:space="preserve"> z </w:t>
      </w:r>
      <w:r>
        <w:t>nim. Matka zdecydowanie odrzuciła tezę, jakoby więzi dzieci</w:t>
      </w:r>
      <w:r w:rsidR="003B0DD2">
        <w:t xml:space="preserve"> z </w:t>
      </w:r>
      <w:r>
        <w:t>ojcem mogły zostać „zerwane” przez ich powrót do Rosji, ponieważ bariery geograficzne</w:t>
      </w:r>
      <w:r w:rsidR="003B0DD2">
        <w:t xml:space="preserve"> i </w:t>
      </w:r>
      <w:r>
        <w:t xml:space="preserve">infrastrukturalne </w:t>
      </w:r>
      <w:r w:rsidR="00203924">
        <w:t>związane</w:t>
      </w:r>
      <w:r w:rsidR="003B0DD2">
        <w:t xml:space="preserve"> z </w:t>
      </w:r>
      <w:r>
        <w:t>odwiedzanie</w:t>
      </w:r>
      <w:r w:rsidR="00203924">
        <w:t>m przez dzieci</w:t>
      </w:r>
      <w:r>
        <w:t xml:space="preserve"> ojca</w:t>
      </w:r>
      <w:r w:rsidR="003B0DD2">
        <w:t xml:space="preserve"> w </w:t>
      </w:r>
      <w:r>
        <w:t>Finlandii nie są bynajmniej nie do pokonania.</w:t>
      </w:r>
      <w:r w:rsidR="00FA28A1">
        <w:t xml:space="preserve"> </w:t>
      </w:r>
      <w:r>
        <w:t>Matka była</w:t>
      </w:r>
      <w:r w:rsidR="003B0DD2">
        <w:t xml:space="preserve"> i </w:t>
      </w:r>
      <w:r>
        <w:t>konsekwentnie pozostawała</w:t>
      </w:r>
      <w:r w:rsidR="003B0DD2">
        <w:t xml:space="preserve"> w </w:t>
      </w:r>
      <w:r>
        <w:t>pełni otwarta na utrzymywanie przez dzieci kontaktów</w:t>
      </w:r>
      <w:r w:rsidR="003B0DD2">
        <w:t xml:space="preserve"> z </w:t>
      </w:r>
      <w:r>
        <w:t>ojcem, zarówno osobiście, jak</w:t>
      </w:r>
      <w:r w:rsidR="003B0DD2">
        <w:t xml:space="preserve"> i </w:t>
      </w:r>
      <w:r>
        <w:t>za pośrednictwem Internetu. Sąd Najwyższy odniósł się</w:t>
      </w:r>
      <w:r w:rsidR="003B0DD2">
        <w:t xml:space="preserve"> w </w:t>
      </w:r>
      <w:r>
        <w:t>swoim wyroku do każdego kluczowego elementu:</w:t>
      </w:r>
    </w:p>
    <w:p w14:paraId="6BC1BF6D" w14:textId="77777777" w:rsidR="00E96881" w:rsidRPr="006054C3" w:rsidRDefault="008C2A17" w:rsidP="006054C3">
      <w:pPr>
        <w:pStyle w:val="JuPara"/>
      </w:pPr>
      <w:r>
        <w:t>1)  prawdopodobne jest, że utrzymanie kontaktu będzie trudniejsze niż wcześniej;</w:t>
      </w:r>
    </w:p>
    <w:p w14:paraId="02D9A1F3" w14:textId="5C9570D0" w:rsidR="00E96881" w:rsidRPr="006054C3" w:rsidRDefault="008C2A17" w:rsidP="006054C3">
      <w:pPr>
        <w:pStyle w:val="JuPara"/>
      </w:pPr>
      <w:r>
        <w:t>2) dzieci spotykały się</w:t>
      </w:r>
      <w:r w:rsidR="003B0DD2">
        <w:t xml:space="preserve"> z </w:t>
      </w:r>
      <w:r>
        <w:t>ojcem regularnie nawet po rozstaniu rodziców;</w:t>
      </w:r>
    </w:p>
    <w:p w14:paraId="7226A9BC" w14:textId="77777777" w:rsidR="00E96881" w:rsidRPr="006054C3" w:rsidRDefault="008C2A17" w:rsidP="006054C3">
      <w:pPr>
        <w:pStyle w:val="JuPara"/>
      </w:pPr>
      <w:r>
        <w:t>3) najlepszy interes dzieci jest mimo to najlepiej chroniony przez ich powrót do Rosji, gdzie mieszka ich główny opiekun; oraz</w:t>
      </w:r>
    </w:p>
    <w:p w14:paraId="504A95EC" w14:textId="5C59FF76" w:rsidR="00E96881" w:rsidRPr="006054C3" w:rsidRDefault="008C2A17" w:rsidP="006054C3">
      <w:pPr>
        <w:pStyle w:val="JuPara"/>
      </w:pPr>
      <w:r>
        <w:t>4)</w:t>
      </w:r>
      <w:r w:rsidR="003B0DD2">
        <w:t xml:space="preserve"> w </w:t>
      </w:r>
      <w:r>
        <w:t>tych okolicznościach prawo ojca do życia rodzinnego nie zostanie nadmiernie ograniczone, jeżeli dzieci powrócą do Rosji.</w:t>
      </w:r>
    </w:p>
    <w:p w14:paraId="58665C9E" w14:textId="17DF414C"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42</w:t>
      </w:r>
      <w:r w:rsidRPr="006054C3">
        <w:fldChar w:fldCharType="end"/>
      </w:r>
      <w:r>
        <w:t>.  Rozpatrując wszystkie postępowania krajowe</w:t>
      </w:r>
      <w:r w:rsidR="003B0DD2">
        <w:t xml:space="preserve"> w </w:t>
      </w:r>
      <w:r>
        <w:t xml:space="preserve">ich całokształcie, matka miała silne poczucie, że zamiast </w:t>
      </w:r>
      <w:r w:rsidR="00203924">
        <w:t>sprawiedliwego wyważenia</w:t>
      </w:r>
      <w:r>
        <w:t xml:space="preserve"> sprzecznych interesów interesy ojca faktycznie wzięły górę nad interesami </w:t>
      </w:r>
      <w:r>
        <w:lastRenderedPageBreak/>
        <w:t>jej</w:t>
      </w:r>
      <w:r w:rsidR="003B0DD2">
        <w:t xml:space="preserve"> i </w:t>
      </w:r>
      <w:r>
        <w:t xml:space="preserve">dzieci. Środki tymczasowe wydane przez Trybunał, które obowiązywały już od </w:t>
      </w:r>
      <w:r w:rsidR="00203924">
        <w:t>znacznie</w:t>
      </w:r>
      <w:r>
        <w:t xml:space="preserve"> ponad roku, mogły doprowadzić do faktycznej separacji matki od dzieci na tak długo, jak pozostawały one</w:t>
      </w:r>
      <w:r w:rsidR="003B0DD2">
        <w:t xml:space="preserve"> w </w:t>
      </w:r>
      <w:r>
        <w:t>mocy.</w:t>
      </w:r>
    </w:p>
    <w:p w14:paraId="69FC0A17" w14:textId="6AD8C923" w:rsidR="00E96881" w:rsidRPr="006054C3" w:rsidRDefault="008C2A17" w:rsidP="006054C3">
      <w:pPr>
        <w:pStyle w:val="JuHi"/>
      </w:pPr>
      <w:r>
        <w:t>AIRE</w:t>
      </w:r>
      <w:r w:rsidR="00203924">
        <w:t xml:space="preserve"> Centre</w:t>
      </w:r>
    </w:p>
    <w:p w14:paraId="051BF564" w14:textId="0AA62EB3"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43</w:t>
      </w:r>
      <w:r w:rsidRPr="006054C3">
        <w:fldChar w:fldCharType="end"/>
      </w:r>
      <w:r>
        <w:t>.  </w:t>
      </w:r>
      <w:r w:rsidR="00203924">
        <w:t>U</w:t>
      </w:r>
      <w:r>
        <w:t>wagi jako strona trzecia</w:t>
      </w:r>
      <w:r w:rsidR="00203924">
        <w:t xml:space="preserve"> przedłożyła również organizacja AIRE Centre</w:t>
      </w:r>
      <w:r>
        <w:t xml:space="preserve">, </w:t>
      </w:r>
      <w:r w:rsidR="00203924">
        <w:t xml:space="preserve">która </w:t>
      </w:r>
      <w:r>
        <w:t>stwierdz</w:t>
      </w:r>
      <w:r w:rsidR="00203924">
        <w:t>iła</w:t>
      </w:r>
      <w:r>
        <w:t>, że przy wdrażaniu przepisów Konwencji haskiej dotyczącej cywilnych aspektów uprowadzenia dziecka za granicę państwa członkowskie Unii Europejskiej są zobowiązane, na mocy prawa UE, do poszanowania integralności unijnego dorobku prawnego (</w:t>
      </w:r>
      <w:proofErr w:type="spellStart"/>
      <w:r>
        <w:rPr>
          <w:i/>
          <w:iCs/>
        </w:rPr>
        <w:t>acquis</w:t>
      </w:r>
      <w:proofErr w:type="spellEnd"/>
      <w:r>
        <w:t>),</w:t>
      </w:r>
      <w:r w:rsidR="003B0DD2">
        <w:t xml:space="preserve"> w </w:t>
      </w:r>
      <w:r>
        <w:t>tym dorobku</w:t>
      </w:r>
      <w:r w:rsidR="003B0DD2">
        <w:t xml:space="preserve"> w </w:t>
      </w:r>
      <w:r>
        <w:t>dziedzinie azylu. Zgodnie</w:t>
      </w:r>
      <w:r w:rsidR="003B0DD2">
        <w:t xml:space="preserve"> z art. </w:t>
      </w:r>
      <w:r>
        <w:t>53 Konwencji,</w:t>
      </w:r>
      <w:r w:rsidR="003B0DD2">
        <w:t xml:space="preserve"> w </w:t>
      </w:r>
      <w:r w:rsidR="00C8502E">
        <w:t>przypadku,</w:t>
      </w:r>
      <w:r>
        <w:t xml:space="preserve"> gdy osoby zostały uznane przez państwo członkowskie UE za uprawnione do ochrony międzynarodowej przed powrotem, nie można powoływać się na przepisy </w:t>
      </w:r>
      <w:r w:rsidR="00067C9C">
        <w:t>k</w:t>
      </w:r>
      <w:r>
        <w:t>onwencji haskiej</w:t>
      </w:r>
      <w:r w:rsidR="00067C9C">
        <w:t>,</w:t>
      </w:r>
      <w:r>
        <w:t xml:space="preserve"> </w:t>
      </w:r>
      <w:r w:rsidR="00067C9C">
        <w:t>aby osłabić lub ograniczyć ochronę</w:t>
      </w:r>
      <w:r>
        <w:t xml:space="preserve"> przed powrotem gwarantowan</w:t>
      </w:r>
      <w:r w:rsidR="00067C9C">
        <w:t>ą</w:t>
      </w:r>
      <w:r>
        <w:t xml:space="preserve"> przez prawo UE na mocy dyrektywy</w:t>
      </w:r>
      <w:r w:rsidR="003B0DD2">
        <w:t xml:space="preserve"> w </w:t>
      </w:r>
      <w:r>
        <w:t xml:space="preserve">sprawie kwalifikowania. Chociaż przepisy tej dyrektywy nie wydają się być </w:t>
      </w:r>
      <w:r w:rsidR="00C8502E">
        <w:t xml:space="preserve">wskazane </w:t>
      </w:r>
      <w:r>
        <w:t>TSUE jako przykład „innych wspólnych przepisów UE”, dyrektywa ta pozostaje</w:t>
      </w:r>
      <w:r w:rsidR="003B0DD2">
        <w:t xml:space="preserve"> w </w:t>
      </w:r>
      <w:r>
        <w:t>mocy</w:t>
      </w:r>
      <w:r w:rsidR="003B0DD2">
        <w:t xml:space="preserve"> i </w:t>
      </w:r>
      <w:r>
        <w:t>nadal wiąże państwa członkowskie UE,</w:t>
      </w:r>
      <w:r w:rsidR="003B0DD2">
        <w:t xml:space="preserve"> w </w:t>
      </w:r>
      <w:r>
        <w:t>tym Finlandię. Zgodnie</w:t>
      </w:r>
      <w:r w:rsidR="003B0DD2">
        <w:t xml:space="preserve"> z art. </w:t>
      </w:r>
      <w:r>
        <w:t xml:space="preserve">53 Konwencji, gdy Wysokie Układające się Strony Konwencji są również związane prawem UE, Trybunał musi zapewnić, </w:t>
      </w:r>
      <w:r w:rsidR="00067C9C">
        <w:t>że</w:t>
      </w:r>
      <w:r>
        <w:t xml:space="preserve"> prawa konwencyjne </w:t>
      </w:r>
      <w:r w:rsidR="00067C9C">
        <w:t>będą</w:t>
      </w:r>
      <w:r>
        <w:t xml:space="preserve"> chronione</w:t>
      </w:r>
      <w:r w:rsidR="003B0DD2">
        <w:t xml:space="preserve"> i </w:t>
      </w:r>
      <w:r>
        <w:t>stosowane</w:t>
      </w:r>
      <w:r w:rsidR="003B0DD2">
        <w:t xml:space="preserve"> w </w:t>
      </w:r>
      <w:r>
        <w:t>sposób, który nie uszczupla praw gwarantowanych przez prawo UE.</w:t>
      </w:r>
    </w:p>
    <w:p w14:paraId="1CA1B96C" w14:textId="734C6BB9"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44</w:t>
      </w:r>
      <w:r w:rsidRPr="006054C3">
        <w:fldChar w:fldCharType="end"/>
      </w:r>
      <w:r>
        <w:t>.  </w:t>
      </w:r>
      <w:r w:rsidR="00203924">
        <w:t>Organizacja</w:t>
      </w:r>
      <w:r>
        <w:t xml:space="preserve"> zauważył</w:t>
      </w:r>
      <w:r w:rsidR="00203924">
        <w:t>a</w:t>
      </w:r>
      <w:r>
        <w:t xml:space="preserve"> ponadto, że zasada najlepszego interesu dziecka wymaga oceny ryzyka wystąpienia szkody</w:t>
      </w:r>
      <w:r w:rsidR="003B0DD2">
        <w:t xml:space="preserve"> u </w:t>
      </w:r>
      <w:r>
        <w:t>każdego dziecka</w:t>
      </w:r>
      <w:r w:rsidR="003B0DD2">
        <w:t xml:space="preserve"> w </w:t>
      </w:r>
      <w:r>
        <w:t xml:space="preserve">przypadku jego wydalenia, zgodnie ze zobowiązaniami państwa </w:t>
      </w:r>
      <w:r w:rsidR="00067C9C">
        <w:t>do przestrzegania zasady</w:t>
      </w:r>
      <w:r>
        <w:t xml:space="preserve"> </w:t>
      </w:r>
      <w:r>
        <w:rPr>
          <w:i/>
          <w:iCs/>
        </w:rPr>
        <w:t>non-</w:t>
      </w:r>
      <w:proofErr w:type="spellStart"/>
      <w:r>
        <w:rPr>
          <w:i/>
          <w:iCs/>
        </w:rPr>
        <w:t>refoulement</w:t>
      </w:r>
      <w:proofErr w:type="spellEnd"/>
      <w:r>
        <w:t xml:space="preserve"> (zakazu wydalania). Wydalenie dziecka bez indywidualnej oceny jego prawa </w:t>
      </w:r>
      <w:r w:rsidR="008D1EC8">
        <w:t xml:space="preserve">do </w:t>
      </w:r>
      <w:r w:rsidR="00067C9C">
        <w:t xml:space="preserve">uzyskania </w:t>
      </w:r>
      <w:r>
        <w:t xml:space="preserve">statusu uchodźcy może rodzić ryzyko naruszenia obowiązku </w:t>
      </w:r>
      <w:r w:rsidR="00962BC4">
        <w:t xml:space="preserve">przestrzegania zasady </w:t>
      </w:r>
      <w:r>
        <w:rPr>
          <w:i/>
          <w:iCs/>
        </w:rPr>
        <w:t>non-</w:t>
      </w:r>
      <w:proofErr w:type="spellStart"/>
      <w:r>
        <w:rPr>
          <w:i/>
          <w:iCs/>
        </w:rPr>
        <w:t>refoulement</w:t>
      </w:r>
      <w:proofErr w:type="spellEnd"/>
      <w:r>
        <w:t xml:space="preserve">, co prawdopodobnie stanowiłoby naruszenie </w:t>
      </w:r>
      <w:r w:rsidR="003B0DD2">
        <w:t>art. </w:t>
      </w:r>
      <w:r>
        <w:t>3 Konwencji. Dziecko, któremu przyznano ochronę międzynarodową, uznaje się za zagrożone naruszeniem jego praw człowieka</w:t>
      </w:r>
      <w:r w:rsidR="003B0DD2">
        <w:t xml:space="preserve"> i </w:t>
      </w:r>
      <w:r w:rsidR="00962BC4">
        <w:t xml:space="preserve">na podstawie </w:t>
      </w:r>
      <w:r w:rsidR="003B0DD2">
        <w:t>art. </w:t>
      </w:r>
      <w:r w:rsidR="00962BC4">
        <w:t>20 konwencji haskiej jego przypadek należy traktować</w:t>
      </w:r>
      <w:r>
        <w:t xml:space="preserve"> jako wyjątek od zasady powrotu. Komitet Praw Dziecka stwierdził, że „przyznanie statusu uchodźcy stanowi prawnie wiążącą przeszkodę</w:t>
      </w:r>
      <w:r w:rsidR="003B0DD2">
        <w:t xml:space="preserve"> w </w:t>
      </w:r>
      <w:r>
        <w:t>powrocie do kraju pochodzenia,</w:t>
      </w:r>
      <w:r w:rsidR="003B0DD2">
        <w:t xml:space="preserve"> a w </w:t>
      </w:r>
      <w:r>
        <w:t>konsekwencji wiąże</w:t>
      </w:r>
      <w:r w:rsidR="003B0DD2">
        <w:t xml:space="preserve"> w </w:t>
      </w:r>
      <w:r>
        <w:t>zakresie łączenia rodzin</w:t>
      </w:r>
      <w:r w:rsidR="003B0DD2">
        <w:t xml:space="preserve"> w </w:t>
      </w:r>
      <w:r>
        <w:t>tym kraju”. Status uchodźcy jest również uznaną prawnie przeszkodą</w:t>
      </w:r>
      <w:r w:rsidR="003B0DD2">
        <w:t xml:space="preserve"> w </w:t>
      </w:r>
      <w:r>
        <w:t xml:space="preserve">nakazaniu powrotu dziecka na podstawie </w:t>
      </w:r>
      <w:r w:rsidR="00962BC4">
        <w:t>k</w:t>
      </w:r>
      <w:r>
        <w:t>onwencji haskiej do państwa,</w:t>
      </w:r>
      <w:r w:rsidR="003B0DD2">
        <w:t xml:space="preserve"> w </w:t>
      </w:r>
      <w:r w:rsidR="00C8502E">
        <w:t>odniesieniu,</w:t>
      </w:r>
      <w:r>
        <w:t xml:space="preserve"> do którego przyznano mu azyl. Nieliczne orzecznictwo dotyczące wzajemnych relacji między azylem</w:t>
      </w:r>
      <w:r w:rsidR="003B0DD2">
        <w:t xml:space="preserve"> a </w:t>
      </w:r>
      <w:r>
        <w:t>uprowadzeniem dziecka koncentruje się na sytuacjach,</w:t>
      </w:r>
      <w:r w:rsidR="003B0DD2">
        <w:t xml:space="preserve"> w </w:t>
      </w:r>
      <w:r>
        <w:t>których wniosek</w:t>
      </w:r>
      <w:r w:rsidR="003B0DD2">
        <w:t xml:space="preserve"> o </w:t>
      </w:r>
      <w:r>
        <w:t>azyl jest rozpatrywany przez organy prawa publicznego lub administracyjnego bądź przez sądy</w:t>
      </w:r>
      <w:r w:rsidR="003B0DD2">
        <w:t xml:space="preserve"> w </w:t>
      </w:r>
      <w:r>
        <w:t>tym samym czasie,</w:t>
      </w:r>
      <w:r w:rsidR="003B0DD2">
        <w:t xml:space="preserve"> w </w:t>
      </w:r>
      <w:r>
        <w:t>którym wniosek</w:t>
      </w:r>
      <w:r w:rsidR="003B0DD2">
        <w:t xml:space="preserve"> o </w:t>
      </w:r>
      <w:r>
        <w:t xml:space="preserve">powrót na podstawie </w:t>
      </w:r>
      <w:r w:rsidR="00962BC4">
        <w:t>k</w:t>
      </w:r>
      <w:r>
        <w:t xml:space="preserve">onwencji haskiej jest rozpatrywany przez sąd lub organ prawa prywatnego. </w:t>
      </w:r>
      <w:r w:rsidR="00962BC4">
        <w:t>Przedmiotowa</w:t>
      </w:r>
      <w:r>
        <w:t xml:space="preserve"> sprawa jest zatem nowa pod względem prawnym, ponieważ dotyczy dzieci będących </w:t>
      </w:r>
      <w:r>
        <w:lastRenderedPageBreak/>
        <w:t xml:space="preserve">uznanymi uchodźcami. </w:t>
      </w:r>
      <w:r w:rsidR="003B0DD2">
        <w:t>W </w:t>
      </w:r>
      <w:r>
        <w:t>świetle powyższego wykładnia Konwencji zgodna</w:t>
      </w:r>
      <w:r w:rsidR="003B0DD2">
        <w:t xml:space="preserve"> z </w:t>
      </w:r>
      <w:r>
        <w:t xml:space="preserve">jej </w:t>
      </w:r>
      <w:r w:rsidR="003B0DD2">
        <w:t>art. </w:t>
      </w:r>
      <w:r>
        <w:t xml:space="preserve">53 wyklucza powrót </w:t>
      </w:r>
      <w:r w:rsidR="00C8502E">
        <w:t xml:space="preserve">dzieci </w:t>
      </w:r>
      <w:r>
        <w:t xml:space="preserve">na podstawie </w:t>
      </w:r>
      <w:r w:rsidR="00962BC4">
        <w:t>k</w:t>
      </w:r>
      <w:r>
        <w:t>onwencji haskiej, które zostały uznane za uchodźców</w:t>
      </w:r>
      <w:r w:rsidR="003B0DD2">
        <w:t xml:space="preserve"> i </w:t>
      </w:r>
      <w:r>
        <w:t xml:space="preserve">którym Wysoka Układająca się Strona </w:t>
      </w:r>
      <w:r w:rsidR="00962BC4">
        <w:t>udzieliła azylu</w:t>
      </w:r>
      <w:r>
        <w:t>, do państwa,</w:t>
      </w:r>
      <w:r w:rsidR="003B0DD2">
        <w:t xml:space="preserve"> w </w:t>
      </w:r>
      <w:r w:rsidR="00C8502E">
        <w:t>stosunku,</w:t>
      </w:r>
      <w:r>
        <w:t xml:space="preserve"> do którego przyznano im ochronę międzynarodową przed powrotem.</w:t>
      </w:r>
    </w:p>
    <w:p w14:paraId="035331A4" w14:textId="77777777" w:rsidR="00E96881" w:rsidRPr="006054C3" w:rsidRDefault="008C2A17" w:rsidP="006054C3">
      <w:pPr>
        <w:pStyle w:val="JuH1"/>
      </w:pPr>
      <w:r>
        <w:t>Ocena Trybunału</w:t>
      </w:r>
    </w:p>
    <w:p w14:paraId="29A4060B" w14:textId="77777777" w:rsidR="00E96881" w:rsidRPr="006054C3" w:rsidRDefault="008C2A17" w:rsidP="006054C3">
      <w:pPr>
        <w:pStyle w:val="JuHa0"/>
      </w:pPr>
      <w:r>
        <w:t>Zasady ogólne</w:t>
      </w:r>
    </w:p>
    <w:p w14:paraId="1488A6F2" w14:textId="55CD7FE8"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45</w:t>
      </w:r>
      <w:r w:rsidRPr="006054C3">
        <w:fldChar w:fldCharType="end"/>
      </w:r>
      <w:r>
        <w:t xml:space="preserve">.  Zasady dotyczące prawa do poszanowania życia rodzinnego na podstawie </w:t>
      </w:r>
      <w:r w:rsidR="003B0DD2">
        <w:t>art. </w:t>
      </w:r>
      <w:r>
        <w:t>8 Konwencji</w:t>
      </w:r>
      <w:r w:rsidR="003B0DD2">
        <w:t xml:space="preserve"> w </w:t>
      </w:r>
      <w:r>
        <w:t>sprawach dotyczących powrotu dzieci na podstawie Konwencji haskiej dotyczącej cywilnych aspektów uprowadzenia dziecka za granicę</w:t>
      </w:r>
      <w:r w:rsidR="003B0DD2">
        <w:t xml:space="preserve"> z </w:t>
      </w:r>
      <w:r>
        <w:t>25 października 1980</w:t>
      </w:r>
      <w:r w:rsidR="003B0DD2">
        <w:t> r.</w:t>
      </w:r>
      <w:r>
        <w:t xml:space="preserve"> </w:t>
      </w:r>
      <w:r w:rsidR="006B57FE">
        <w:t>podsumowano</w:t>
      </w:r>
      <w:r w:rsidR="003B0DD2">
        <w:t xml:space="preserve"> w </w:t>
      </w:r>
      <w:r>
        <w:t>wyroku Wielkiej Izby</w:t>
      </w:r>
      <w:r w:rsidR="003B0DD2">
        <w:t xml:space="preserve"> w </w:t>
      </w:r>
      <w:r>
        <w:t xml:space="preserve">sprawie X </w:t>
      </w:r>
      <w:r w:rsidR="003B0DD2">
        <w:t>p. </w:t>
      </w:r>
      <w:r>
        <w:t>Łotwie, nr 27853/09, §</w:t>
      </w:r>
      <w:r w:rsidR="003B0DD2">
        <w:t>§ </w:t>
      </w:r>
      <w:r>
        <w:t xml:space="preserve">92–108, ETPC 2013. </w:t>
      </w:r>
      <w:r w:rsidR="003B0DD2">
        <w:t>W </w:t>
      </w:r>
      <w:r>
        <w:t>odniesieniu do tych zasad Trybunał zauważa po pierwsze, że istnieje szeroki konsensus —</w:t>
      </w:r>
      <w:r w:rsidR="003B0DD2">
        <w:t xml:space="preserve"> w </w:t>
      </w:r>
      <w:r>
        <w:t>tym</w:t>
      </w:r>
      <w:r w:rsidR="003B0DD2">
        <w:t xml:space="preserve"> w </w:t>
      </w:r>
      <w:r>
        <w:t>prawie międzynarodowym — na rzecz idei, iż we wszystkich decyzjach dotyczących dzieci ich najlepszy interes musi być sprawą nadrzędną. Ta sama zasada jest również nieodłącznie związana</w:t>
      </w:r>
      <w:r w:rsidR="003B0DD2">
        <w:t xml:space="preserve"> z </w:t>
      </w:r>
      <w:r w:rsidR="006B57FE">
        <w:t>k</w:t>
      </w:r>
      <w:r>
        <w:t xml:space="preserve">onwencją haską, która ma na celu ochronę dziecka przed szkodliwymi skutkami uprowadzenia. Konwencja haska łączy </w:t>
      </w:r>
      <w:r w:rsidR="00C8502E">
        <w:t>t</w:t>
      </w:r>
      <w:r w:rsidR="00EA3F84">
        <w:t>ę dbałość o ochronę</w:t>
      </w:r>
      <w:r>
        <w:t xml:space="preserve"> najlepszego interesu dziecka</w:t>
      </w:r>
      <w:r w:rsidR="003B0DD2">
        <w:t xml:space="preserve"> z </w:t>
      </w:r>
      <w:r>
        <w:t>przywróceniem stanu faktycznego (</w:t>
      </w:r>
      <w:r w:rsidRPr="007D7769">
        <w:rPr>
          <w:i/>
          <w:iCs/>
        </w:rPr>
        <w:t>status quo</w:t>
      </w:r>
      <w:r>
        <w:t>)</w:t>
      </w:r>
      <w:r w:rsidR="003B0DD2">
        <w:t xml:space="preserve"> w </w:t>
      </w:r>
      <w:r w:rsidR="006B57FE">
        <w:t>drodze</w:t>
      </w:r>
      <w:r>
        <w:t xml:space="preserve"> decyzj</w:t>
      </w:r>
      <w:r w:rsidR="006B57FE">
        <w:t>i</w:t>
      </w:r>
      <w:r>
        <w:t xml:space="preserve"> nakazując</w:t>
      </w:r>
      <w:r w:rsidR="006B57FE">
        <w:t>ej</w:t>
      </w:r>
      <w:r>
        <w:t xml:space="preserve"> niezwłoczny powrót dziecka do kraju jego stałego pobytu</w:t>
      </w:r>
      <w:r w:rsidR="003B0DD2">
        <w:t xml:space="preserve"> w </w:t>
      </w:r>
      <w:r>
        <w:t>przypadku bezprawnego uprowadzenia, biorąc jednocześnie pod uwagę fakt, że brak powrotu może niekiedy okazać się uzasadniony obiektywnymi przyczynami odpowiadającymi interesom dziecka, co tłumaczy istnienie wyjątków,</w:t>
      </w:r>
      <w:r w:rsidR="003B0DD2">
        <w:t xml:space="preserve"> w </w:t>
      </w:r>
      <w:r>
        <w:t>szczególności</w:t>
      </w:r>
      <w:r w:rsidR="003B0DD2">
        <w:t xml:space="preserve"> w </w:t>
      </w:r>
      <w:r>
        <w:t xml:space="preserve">przypadku poważnego ryzyka, że powrót naraziłby dziecko na szkodę fizyczną lub psychiczną </w:t>
      </w:r>
      <w:r w:rsidR="006B57FE">
        <w:t>albo</w:t>
      </w:r>
      <w:r w:rsidR="003B0DD2">
        <w:t xml:space="preserve"> w </w:t>
      </w:r>
      <w:r>
        <w:t>inny sposób postawiłby je</w:t>
      </w:r>
      <w:r w:rsidR="003B0DD2">
        <w:t xml:space="preserve"> w </w:t>
      </w:r>
      <w:r>
        <w:t>sytuacji nie do zniesienia (</w:t>
      </w:r>
      <w:r w:rsidR="003B0DD2">
        <w:t>art. </w:t>
      </w:r>
      <w:r>
        <w:t xml:space="preserve">13 </w:t>
      </w:r>
      <w:r w:rsidR="006B57FE">
        <w:t>akapit pierwszy</w:t>
      </w:r>
      <w:r>
        <w:t xml:space="preserve"> lit. b</w:t>
      </w:r>
      <w:r w:rsidR="00046CF0">
        <w:t>)</w:t>
      </w:r>
      <w:r>
        <w:t>) (tamże, §</w:t>
      </w:r>
      <w:r w:rsidR="003B0DD2">
        <w:t>§ </w:t>
      </w:r>
      <w:r>
        <w:t>96–97).</w:t>
      </w:r>
    </w:p>
    <w:p w14:paraId="59795F50" w14:textId="534B65AA"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46</w:t>
      </w:r>
      <w:r w:rsidRPr="006054C3">
        <w:fldChar w:fldCharType="end"/>
      </w:r>
      <w:r>
        <w:t>.  </w:t>
      </w:r>
      <w:r w:rsidR="006B57FE">
        <w:t>Jeżeli</w:t>
      </w:r>
      <w:r>
        <w:t xml:space="preserve"> chodzi bardziej szczegółowo</w:t>
      </w:r>
      <w:r w:rsidR="003B0DD2">
        <w:t xml:space="preserve"> o </w:t>
      </w:r>
      <w:r>
        <w:t>kwestię relacji między Konwencją</w:t>
      </w:r>
      <w:r w:rsidR="003B0DD2">
        <w:t xml:space="preserve"> a </w:t>
      </w:r>
      <w:r w:rsidR="006B57FE">
        <w:t>k</w:t>
      </w:r>
      <w:r>
        <w:t>onwencją haską, Trybunał przypomina, że</w:t>
      </w:r>
      <w:r w:rsidR="003B0DD2">
        <w:t xml:space="preserve"> w </w:t>
      </w:r>
      <w:r w:rsidR="006B57FE">
        <w:t xml:space="preserve">przypadku </w:t>
      </w:r>
      <w:r>
        <w:t xml:space="preserve">uprowadzenia dziecka </w:t>
      </w:r>
      <w:r w:rsidR="006B57FE">
        <w:t xml:space="preserve">za granicę </w:t>
      </w:r>
      <w:r>
        <w:t xml:space="preserve">obowiązki nałożone </w:t>
      </w:r>
      <w:r w:rsidR="006B57FE">
        <w:t>w</w:t>
      </w:r>
      <w:r>
        <w:t xml:space="preserve"> </w:t>
      </w:r>
      <w:r w:rsidR="003B0DD2">
        <w:t>art. </w:t>
      </w:r>
      <w:r>
        <w:t xml:space="preserve">8 na Umawiające się Państwa </w:t>
      </w:r>
      <w:r w:rsidR="006B57FE">
        <w:t>należy interpretować</w:t>
      </w:r>
      <w:r w:rsidR="003B0DD2">
        <w:t xml:space="preserve"> w </w:t>
      </w:r>
      <w:r>
        <w:t xml:space="preserve">świetle wymogów </w:t>
      </w:r>
      <w:r w:rsidR="006B57FE">
        <w:t>k</w:t>
      </w:r>
      <w:r>
        <w:t>onwencji haskiej (tamże, §</w:t>
      </w:r>
      <w:r w:rsidR="003B0DD2">
        <w:t>§ </w:t>
      </w:r>
      <w:r>
        <w:t xml:space="preserve">93–97). </w:t>
      </w:r>
      <w:r w:rsidR="003B0DD2">
        <w:t>W </w:t>
      </w:r>
      <w:r>
        <w:t>tym zakresie Trybunał określił zasady, które należy stosować</w:t>
      </w:r>
      <w:r w:rsidR="003B0DD2">
        <w:t xml:space="preserve"> w </w:t>
      </w:r>
      <w:r>
        <w:t>tym kontekście</w:t>
      </w:r>
      <w:r w:rsidR="003B0DD2">
        <w:t xml:space="preserve"> w </w:t>
      </w:r>
      <w:r>
        <w:t>następujący sposób (tamże, §</w:t>
      </w:r>
      <w:r w:rsidR="003B0DD2">
        <w:t>§ </w:t>
      </w:r>
      <w:r>
        <w:t>106–107):</w:t>
      </w:r>
    </w:p>
    <w:p w14:paraId="204A7241" w14:textId="47B0D01B" w:rsidR="00E96881" w:rsidRPr="006054C3" w:rsidRDefault="008C2A17" w:rsidP="006054C3">
      <w:pPr>
        <w:pStyle w:val="JuQuot"/>
      </w:pPr>
      <w:r>
        <w:t xml:space="preserve">„106.  Trybunał uważa, że harmonijną interpretację </w:t>
      </w:r>
      <w:r w:rsidR="00C46CFC">
        <w:t>k</w:t>
      </w:r>
      <w:r>
        <w:t xml:space="preserve">onwencji </w:t>
      </w:r>
      <w:r w:rsidR="00C46CFC">
        <w:t>e</w:t>
      </w:r>
      <w:r>
        <w:t>uropejskiej</w:t>
      </w:r>
      <w:r w:rsidR="003B0DD2">
        <w:t xml:space="preserve"> i </w:t>
      </w:r>
      <w:r w:rsidR="00C46CFC">
        <w:t>k</w:t>
      </w:r>
      <w:r>
        <w:t xml:space="preserve">onwencji haskiej [...] można osiągnąć pod warunkiem przestrzegania dwóch następujących warunków. Po pierwsze </w:t>
      </w:r>
      <w:r w:rsidR="00C46CFC">
        <w:t xml:space="preserve">sąd państwa wezwanego musi realnie uwzględnić </w:t>
      </w:r>
      <w:r>
        <w:t>czynniki mogące stanowić wyjątek od niezwłocznego powrotu dziecka</w:t>
      </w:r>
      <w:r w:rsidR="003B0DD2">
        <w:t xml:space="preserve"> w </w:t>
      </w:r>
      <w:r>
        <w:t xml:space="preserve">zastosowaniu </w:t>
      </w:r>
      <w:r w:rsidR="003B0DD2">
        <w:t>art. </w:t>
      </w:r>
      <w:r>
        <w:t>12, 13</w:t>
      </w:r>
      <w:r w:rsidR="003B0DD2">
        <w:t xml:space="preserve"> i </w:t>
      </w:r>
      <w:r>
        <w:t xml:space="preserve">20 </w:t>
      </w:r>
      <w:r w:rsidR="00C46CFC">
        <w:t>k</w:t>
      </w:r>
      <w:r>
        <w:t>onwencji haskiej,</w:t>
      </w:r>
      <w:r w:rsidR="003B0DD2">
        <w:t xml:space="preserve"> w </w:t>
      </w:r>
      <w:r w:rsidR="00EA3F84">
        <w:t>szczególności,</w:t>
      </w:r>
      <w:r>
        <w:t xml:space="preserve"> gdy zostaną podniesione przez jedną ze stron postępowania. Sąd ten musi następnie wydać decyzję opatrzoną</w:t>
      </w:r>
      <w:r w:rsidR="003B0DD2">
        <w:t xml:space="preserve"> w </w:t>
      </w:r>
      <w:r>
        <w:t xml:space="preserve">tym zakresie wystarczającym </w:t>
      </w:r>
      <w:r w:rsidR="00C46CFC">
        <w:t xml:space="preserve">uzasadnieniem, tak aby </w:t>
      </w:r>
      <w:r>
        <w:t xml:space="preserve">Trybunał </w:t>
      </w:r>
      <w:r w:rsidR="00C46CFC">
        <w:t>mógł skontrolować</w:t>
      </w:r>
      <w:r>
        <w:t>, czy kwestie te zostały skutecznie zbadane. Po drugie czynniki te</w:t>
      </w:r>
      <w:r w:rsidR="00C46CFC">
        <w:t xml:space="preserve"> należy ocenić</w:t>
      </w:r>
      <w:r w:rsidR="003B0DD2">
        <w:t xml:space="preserve"> w </w:t>
      </w:r>
      <w:r>
        <w:t xml:space="preserve">świetle </w:t>
      </w:r>
      <w:r w:rsidR="003B0DD2">
        <w:t>art. </w:t>
      </w:r>
      <w:r>
        <w:t>8 Konwencji (</w:t>
      </w:r>
      <w:r w:rsidR="003B0DD2">
        <w:t>zob. </w:t>
      </w:r>
      <w:r>
        <w:t>wyrok</w:t>
      </w:r>
      <w:r w:rsidR="003B0DD2">
        <w:t xml:space="preserve"> w </w:t>
      </w:r>
      <w:r>
        <w:t xml:space="preserve">sprawie </w:t>
      </w:r>
      <w:proofErr w:type="spellStart"/>
      <w:r>
        <w:t>Neulinger</w:t>
      </w:r>
      <w:proofErr w:type="spellEnd"/>
      <w:r w:rsidR="003B0DD2">
        <w:t xml:space="preserve"> i </w:t>
      </w:r>
      <w:proofErr w:type="spellStart"/>
      <w:r>
        <w:t>Shuruk</w:t>
      </w:r>
      <w:proofErr w:type="spellEnd"/>
      <w:r>
        <w:t xml:space="preserve">, cytowany powyżej, </w:t>
      </w:r>
      <w:r w:rsidR="003B0DD2">
        <w:t>§ </w:t>
      </w:r>
      <w:r>
        <w:t>133).</w:t>
      </w:r>
    </w:p>
    <w:p w14:paraId="630DFA8F" w14:textId="45D42983" w:rsidR="00E96881" w:rsidRPr="006054C3" w:rsidRDefault="008C2A17" w:rsidP="006054C3">
      <w:pPr>
        <w:pStyle w:val="JuQuot"/>
      </w:pPr>
      <w:r>
        <w:lastRenderedPageBreak/>
        <w:t>107.  </w:t>
      </w:r>
      <w:r w:rsidR="003B0DD2">
        <w:t>W </w:t>
      </w:r>
      <w:r>
        <w:t xml:space="preserve">konsekwencji Trybunał uważa, że </w:t>
      </w:r>
      <w:r w:rsidR="003B0DD2">
        <w:t>art. </w:t>
      </w:r>
      <w:r>
        <w:t>8 Konwencji nakłada na organy krajowe szczególny obowiązek proceduralny</w:t>
      </w:r>
      <w:r w:rsidR="003B0DD2">
        <w:t xml:space="preserve"> w </w:t>
      </w:r>
      <w:r>
        <w:t xml:space="preserve">tym zakresie: </w:t>
      </w:r>
      <w:r w:rsidR="00A80632">
        <w:t>podczas oceny</w:t>
      </w:r>
      <w:r>
        <w:t xml:space="preserve"> wniosku</w:t>
      </w:r>
      <w:r w:rsidR="003B0DD2">
        <w:t xml:space="preserve"> o </w:t>
      </w:r>
      <w:r>
        <w:t>powrót dziecka sądy muszą nie tylko rozważyć możliwe do obrony twierdzenia</w:t>
      </w:r>
      <w:r w:rsidR="003B0DD2">
        <w:t xml:space="preserve"> o </w:t>
      </w:r>
      <w:r>
        <w:t>„poważnym ryzyku” dla dziecka</w:t>
      </w:r>
      <w:r w:rsidR="003B0DD2">
        <w:t xml:space="preserve"> w </w:t>
      </w:r>
      <w:r>
        <w:t xml:space="preserve">przypadku powrotu, </w:t>
      </w:r>
      <w:r w:rsidR="00A80632">
        <w:t>lecz także</w:t>
      </w:r>
      <w:r>
        <w:t xml:space="preserve"> wydać orzeczenie zawierające szczegółowe uzasadnienie</w:t>
      </w:r>
      <w:r w:rsidR="003B0DD2">
        <w:t xml:space="preserve"> w </w:t>
      </w:r>
      <w:r>
        <w:t>świetle okoliczności sprawy. Zarówno odmowa uwzględnienia sprzeciwu wobec powrotu, mogącego mieścić się</w:t>
      </w:r>
      <w:r w:rsidR="003B0DD2">
        <w:t xml:space="preserve"> w </w:t>
      </w:r>
      <w:r>
        <w:t xml:space="preserve">zakresie </w:t>
      </w:r>
      <w:r w:rsidR="003B0DD2">
        <w:t>art. </w:t>
      </w:r>
      <w:r>
        <w:t>12, 13</w:t>
      </w:r>
      <w:r w:rsidR="003B0DD2">
        <w:t xml:space="preserve"> i </w:t>
      </w:r>
      <w:r>
        <w:t xml:space="preserve">20 </w:t>
      </w:r>
      <w:r w:rsidR="00FF4320">
        <w:t>k</w:t>
      </w:r>
      <w:r>
        <w:t>onwencji haskiej, jak</w:t>
      </w:r>
      <w:r w:rsidR="003B0DD2">
        <w:t xml:space="preserve"> i </w:t>
      </w:r>
      <w:r>
        <w:t>niewystarczające uzasadnienie orzeczenia oddalającego taki sprzeciw, byłyby sprzeczne</w:t>
      </w:r>
      <w:r w:rsidR="003B0DD2">
        <w:t xml:space="preserve"> z </w:t>
      </w:r>
      <w:r>
        <w:t xml:space="preserve">wymogami </w:t>
      </w:r>
      <w:r w:rsidR="003B0DD2">
        <w:t>art. </w:t>
      </w:r>
      <w:r>
        <w:t>8 Konwencji,</w:t>
      </w:r>
      <w:r w:rsidR="003B0DD2">
        <w:t xml:space="preserve"> a </w:t>
      </w:r>
      <w:r>
        <w:t>także</w:t>
      </w:r>
      <w:r w:rsidR="003B0DD2">
        <w:t xml:space="preserve"> z </w:t>
      </w:r>
      <w:r>
        <w:t>celem</w:t>
      </w:r>
      <w:r w:rsidR="003B0DD2">
        <w:t xml:space="preserve"> i </w:t>
      </w:r>
      <w:r>
        <w:t xml:space="preserve">przedmiotem </w:t>
      </w:r>
      <w:r w:rsidR="00FF4320">
        <w:t>k</w:t>
      </w:r>
      <w:r>
        <w:t>onwencji haskiej. Niezbędne jest należyte rozważenie takich twierdzeń, wykazane</w:t>
      </w:r>
      <w:r w:rsidR="003B0DD2">
        <w:t xml:space="preserve"> w </w:t>
      </w:r>
      <w:r>
        <w:t>uzasadnieniu sądów krajowych, które nie jest automatyczne</w:t>
      </w:r>
      <w:r w:rsidR="003B0DD2">
        <w:t xml:space="preserve"> i </w:t>
      </w:r>
      <w:r>
        <w:t>stereotypowe, lecz wystarczająco szczegółowe</w:t>
      </w:r>
      <w:r w:rsidR="003B0DD2">
        <w:t xml:space="preserve"> w </w:t>
      </w:r>
      <w:r>
        <w:t>świetle wyjątków określonych</w:t>
      </w:r>
      <w:r w:rsidR="003B0DD2">
        <w:t xml:space="preserve"> w </w:t>
      </w:r>
      <w:r w:rsidR="00FF4320">
        <w:t>k</w:t>
      </w:r>
      <w:r>
        <w:t>onwencji haskiej, które muszą być interpretowane ściśle (</w:t>
      </w:r>
      <w:r w:rsidR="003B0DD2">
        <w:t>zob. </w:t>
      </w:r>
      <w:r>
        <w:t>wyrok</w:t>
      </w:r>
      <w:r w:rsidR="003B0DD2">
        <w:t xml:space="preserve"> w </w:t>
      </w:r>
      <w:r>
        <w:t xml:space="preserve">sprawie </w:t>
      </w:r>
      <w:proofErr w:type="spellStart"/>
      <w:r>
        <w:t>Maumousseau</w:t>
      </w:r>
      <w:proofErr w:type="spellEnd"/>
      <w:r w:rsidR="003B0DD2">
        <w:t xml:space="preserve"> i </w:t>
      </w:r>
      <w:r>
        <w:t xml:space="preserve">Washington, cytowany powyżej, </w:t>
      </w:r>
      <w:r w:rsidR="003B0DD2">
        <w:t>§ </w:t>
      </w:r>
      <w:r>
        <w:t>73). Pozwoli to również Trybunałowi, którego zadaniem nie jest zastępowanie sądów krajowych, na sprawowanie powierzonego mu nadzoru europejskiego”.</w:t>
      </w:r>
    </w:p>
    <w:p w14:paraId="2A521CB6" w14:textId="4ABD6580" w:rsidR="00E96881" w:rsidRPr="006054C3" w:rsidRDefault="008C2A17" w:rsidP="006054C3">
      <w:pPr>
        <w:pStyle w:val="JuHa0"/>
      </w:pPr>
      <w:r>
        <w:t>Zastosowanie tych zasad</w:t>
      </w:r>
      <w:r w:rsidR="003B0DD2">
        <w:t xml:space="preserve"> w </w:t>
      </w:r>
      <w:r>
        <w:t>niniejszej sprawie</w:t>
      </w:r>
    </w:p>
    <w:p w14:paraId="2B244703" w14:textId="774971A9"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47</w:t>
      </w:r>
      <w:r w:rsidRPr="006054C3">
        <w:fldChar w:fldCharType="end"/>
      </w:r>
      <w:r>
        <w:t>.  Biorąc pod uwagę swoje orzecznictwo (</w:t>
      </w:r>
      <w:r w:rsidR="003B0DD2">
        <w:t>zob. </w:t>
      </w:r>
      <w:r>
        <w:t>na przykład wyrok Wielkiej Izby</w:t>
      </w:r>
      <w:r w:rsidR="003B0DD2">
        <w:t xml:space="preserve"> w </w:t>
      </w:r>
      <w:r>
        <w:t xml:space="preserve">sprawie </w:t>
      </w:r>
      <w:proofErr w:type="spellStart"/>
      <w:r>
        <w:t>Neulinger</w:t>
      </w:r>
      <w:proofErr w:type="spellEnd"/>
      <w:r w:rsidR="003B0DD2">
        <w:t xml:space="preserve"> i </w:t>
      </w:r>
      <w:proofErr w:type="spellStart"/>
      <w:r>
        <w:t>Shuruk</w:t>
      </w:r>
      <w:proofErr w:type="spellEnd"/>
      <w:r>
        <w:t xml:space="preserve"> </w:t>
      </w:r>
      <w:r w:rsidR="003B0DD2">
        <w:t>p. </w:t>
      </w:r>
      <w:r>
        <w:t xml:space="preserve">Szwajcarii, nr 41615/07, </w:t>
      </w:r>
      <w:r w:rsidR="003B0DD2">
        <w:t>§ </w:t>
      </w:r>
      <w:r>
        <w:t>90, ETPC 2010), Trybunał stwierdza, że decyzja Sądu Najwyższego nakazująca powrót drugiego</w:t>
      </w:r>
      <w:r w:rsidR="003B0DD2">
        <w:t xml:space="preserve"> i </w:t>
      </w:r>
      <w:r>
        <w:t>trzeciego skarżącego do Rosji stanowiła ingerencję</w:t>
      </w:r>
      <w:r w:rsidR="003B0DD2">
        <w:t xml:space="preserve"> w </w:t>
      </w:r>
      <w:r>
        <w:t>prawo do poszanowania życia rodzinnego wszystkich trzech skarżących.</w:t>
      </w:r>
    </w:p>
    <w:p w14:paraId="29C51037" w14:textId="1249C960"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48</w:t>
      </w:r>
      <w:r w:rsidRPr="006054C3">
        <w:fldChar w:fldCharType="end"/>
      </w:r>
      <w:r>
        <w:t>.  Biorąc pod uwagę zakres sprawy przedstawionej przed sądami fińskimi,</w:t>
      </w:r>
      <w:r w:rsidR="003B0DD2">
        <w:t xml:space="preserve"> a </w:t>
      </w:r>
      <w:r>
        <w:t>następnie podnoszonej przez strony przed Trybunałem, Trybunał przyjmuje, że przedmiotowa ingerencja była zgodna</w:t>
      </w:r>
      <w:r w:rsidR="003B0DD2">
        <w:t xml:space="preserve"> z </w:t>
      </w:r>
      <w:r>
        <w:t xml:space="preserve">prawem, ponieważ opierała się na </w:t>
      </w:r>
      <w:r w:rsidR="003B0DD2">
        <w:t>art. </w:t>
      </w:r>
      <w:r>
        <w:t>34 ustawy</w:t>
      </w:r>
      <w:r w:rsidR="003B0DD2">
        <w:t xml:space="preserve"> o </w:t>
      </w:r>
      <w:r w:rsidR="00623C16">
        <w:t>pieczy</w:t>
      </w:r>
      <w:r>
        <w:t xml:space="preserve"> nad dzieckiem</w:t>
      </w:r>
      <w:r w:rsidR="003B0DD2">
        <w:t xml:space="preserve"> i </w:t>
      </w:r>
      <w:r>
        <w:t xml:space="preserve">prawie do kontaktów, przepisie inkorporującym </w:t>
      </w:r>
      <w:r w:rsidR="003B0DD2">
        <w:t>art. </w:t>
      </w:r>
      <w:r>
        <w:t xml:space="preserve">13 </w:t>
      </w:r>
      <w:r w:rsidR="003A012D">
        <w:t>akapit pierwszy</w:t>
      </w:r>
      <w:r>
        <w:t xml:space="preserve"> </w:t>
      </w:r>
      <w:r w:rsidR="003A012D">
        <w:t>k</w:t>
      </w:r>
      <w:r>
        <w:t>onwencji haskiej (</w:t>
      </w:r>
      <w:r w:rsidR="003B0DD2">
        <w:t>zob. </w:t>
      </w:r>
      <w:r>
        <w:t>paragrafy 25</w:t>
      </w:r>
      <w:r w:rsidR="003B0DD2">
        <w:t xml:space="preserve"> i </w:t>
      </w:r>
      <w:r>
        <w:t>27 powyżej). Służyła ona również uzasadnionemu celowi ochrony praw</w:t>
      </w:r>
      <w:r w:rsidR="003B0DD2">
        <w:t xml:space="preserve"> i </w:t>
      </w:r>
      <w:r>
        <w:t>wolności innych osób, mianowicie praw drugiego</w:t>
      </w:r>
      <w:r w:rsidR="003B0DD2">
        <w:t xml:space="preserve"> i </w:t>
      </w:r>
      <w:r>
        <w:t xml:space="preserve">trzeciego skarżącego oraz praw ich matki (zob., </w:t>
      </w:r>
      <w:r>
        <w:rPr>
          <w:i/>
          <w:iCs/>
        </w:rPr>
        <w:t>mutatis mutandis</w:t>
      </w:r>
      <w:r>
        <w:t xml:space="preserve">, </w:t>
      </w:r>
      <w:proofErr w:type="spellStart"/>
      <w:r>
        <w:t>Neulinger</w:t>
      </w:r>
      <w:proofErr w:type="spellEnd"/>
      <w:r w:rsidR="003B0DD2">
        <w:t xml:space="preserve"> i </w:t>
      </w:r>
      <w:proofErr w:type="spellStart"/>
      <w:r>
        <w:t>Shuruk</w:t>
      </w:r>
      <w:proofErr w:type="spellEnd"/>
      <w:r>
        <w:t xml:space="preserve">, cytowany powyżej, </w:t>
      </w:r>
      <w:r w:rsidR="003B0DD2">
        <w:t>§ </w:t>
      </w:r>
      <w:r>
        <w:t>106).</w:t>
      </w:r>
    </w:p>
    <w:p w14:paraId="080BC475" w14:textId="118B74D2"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49</w:t>
      </w:r>
      <w:r w:rsidRPr="006054C3">
        <w:fldChar w:fldCharType="end"/>
      </w:r>
      <w:r>
        <w:t>.  Przy ustalaniu, czy ingerencja ta była „</w:t>
      </w:r>
      <w:r w:rsidR="003A012D">
        <w:t>konieczna</w:t>
      </w:r>
      <w:r w:rsidR="003B0DD2">
        <w:t xml:space="preserve"> w </w:t>
      </w:r>
      <w:r w:rsidR="003A012D">
        <w:t xml:space="preserve">demokratycznym </w:t>
      </w:r>
      <w:r>
        <w:t>społeczeństwie”, rozstrzygającą kwestią jest to, czy osiągnięto sprawiedliwą równowagę między sprzecznymi interesami — interesami dwojga dzieci</w:t>
      </w:r>
      <w:r w:rsidR="003B0DD2">
        <w:t xml:space="preserve"> i </w:t>
      </w:r>
      <w:r>
        <w:t>ich dwojga rodziców —</w:t>
      </w:r>
      <w:r w:rsidR="003B0DD2">
        <w:t xml:space="preserve"> w </w:t>
      </w:r>
      <w:r>
        <w:t xml:space="preserve">granicach marginesu </w:t>
      </w:r>
      <w:r w:rsidR="003A012D">
        <w:t>swobody</w:t>
      </w:r>
      <w:r>
        <w:t xml:space="preserve"> przyznanego państwom</w:t>
      </w:r>
      <w:r w:rsidR="003B0DD2">
        <w:t xml:space="preserve"> w </w:t>
      </w:r>
      <w:r>
        <w:t>takich sprawach,</w:t>
      </w:r>
      <w:r w:rsidR="003B0DD2">
        <w:t xml:space="preserve"> z </w:t>
      </w:r>
      <w:r w:rsidR="003A012D">
        <w:t>uwzględnieniem</w:t>
      </w:r>
      <w:r>
        <w:t xml:space="preserve"> jednak, że najlepszy interes dzieci musi być sprawą nadrzędną (zob., </w:t>
      </w:r>
      <w:r>
        <w:rPr>
          <w:i/>
          <w:iCs/>
        </w:rPr>
        <w:t>mutatis mutandis</w:t>
      </w:r>
      <w:r>
        <w:t xml:space="preserve">, X </w:t>
      </w:r>
      <w:r w:rsidR="003B0DD2">
        <w:t>p. </w:t>
      </w:r>
      <w:r>
        <w:t xml:space="preserve">Łotwie, cytowany powyżej, </w:t>
      </w:r>
      <w:r w:rsidR="003B0DD2">
        <w:t>§ </w:t>
      </w:r>
      <w:r>
        <w:t xml:space="preserve">95). </w:t>
      </w:r>
      <w:r w:rsidR="003B0DD2">
        <w:t>W </w:t>
      </w:r>
      <w:r>
        <w:t>kontekście wniosku</w:t>
      </w:r>
      <w:r w:rsidR="003B0DD2">
        <w:t xml:space="preserve"> o </w:t>
      </w:r>
      <w:r>
        <w:t xml:space="preserve">powrót złożonego na podstawie </w:t>
      </w:r>
      <w:r w:rsidR="003A012D">
        <w:t>k</w:t>
      </w:r>
      <w:r>
        <w:t>onwencji haskiej koncepcja najlepszego interesu dziecka musi być oceniana</w:t>
      </w:r>
      <w:r w:rsidR="003B0DD2">
        <w:t xml:space="preserve"> w </w:t>
      </w:r>
      <w:r>
        <w:t>świetle wyjątków przewidzianych</w:t>
      </w:r>
      <w:r w:rsidR="003B0DD2">
        <w:t xml:space="preserve"> w </w:t>
      </w:r>
      <w:r w:rsidR="003A012D">
        <w:t>k</w:t>
      </w:r>
      <w:r>
        <w:t>onwencji haskiej. Zadanie to spoczywa</w:t>
      </w:r>
      <w:r w:rsidR="003B0DD2">
        <w:t xml:space="preserve"> w </w:t>
      </w:r>
      <w:r>
        <w:t>pierwszej kolejności na organach krajowych państwa wezwanego, które mają</w:t>
      </w:r>
      <w:r w:rsidR="003A012D">
        <w:t>,</w:t>
      </w:r>
      <w:r>
        <w:t xml:space="preserve"> </w:t>
      </w:r>
      <w:r w:rsidR="003A012D">
        <w:t xml:space="preserve">między innymi, </w:t>
      </w:r>
      <w:r>
        <w:t>dobrodziejstwo bezpośredniego kontaktu</w:t>
      </w:r>
      <w:r w:rsidR="003B0DD2">
        <w:t xml:space="preserve"> z </w:t>
      </w:r>
      <w:r>
        <w:t xml:space="preserve">zainteresowanymi stronami. Wypełniając swoje zadanie na podstawie </w:t>
      </w:r>
      <w:r w:rsidR="003B0DD2">
        <w:t>art. </w:t>
      </w:r>
      <w:r>
        <w:t>8, sądy krajowe korzystają</w:t>
      </w:r>
      <w:r w:rsidR="003B0DD2">
        <w:t xml:space="preserve"> z </w:t>
      </w:r>
      <w:r>
        <w:t xml:space="preserve">marginesu </w:t>
      </w:r>
      <w:r w:rsidR="00A96907">
        <w:t>swobody</w:t>
      </w:r>
      <w:r>
        <w:t xml:space="preserve">, który jednak </w:t>
      </w:r>
      <w:r w:rsidR="001033BB">
        <w:t xml:space="preserve">podlega </w:t>
      </w:r>
      <w:r>
        <w:t xml:space="preserve">nadzorowi europejskiemu (tamże, </w:t>
      </w:r>
      <w:r w:rsidR="003B0DD2">
        <w:t>§ </w:t>
      </w:r>
      <w:r>
        <w:t>101).</w:t>
      </w:r>
    </w:p>
    <w:p w14:paraId="467C7201" w14:textId="4ACB9972" w:rsidR="00E96881" w:rsidRPr="006054C3" w:rsidRDefault="006054C3" w:rsidP="006054C3">
      <w:pPr>
        <w:pStyle w:val="JuPara"/>
      </w:pPr>
      <w:r w:rsidRPr="006054C3">
        <w:lastRenderedPageBreak/>
        <w:fldChar w:fldCharType="begin"/>
      </w:r>
      <w:r>
        <w:instrText xml:space="preserve"> SEQ level0 \*arabic \* MERGEFORMAT </w:instrText>
      </w:r>
      <w:r w:rsidRPr="006054C3">
        <w:fldChar w:fldCharType="separate"/>
      </w:r>
      <w:r w:rsidR="00464384">
        <w:rPr>
          <w:noProof/>
        </w:rPr>
        <w:t>50</w:t>
      </w:r>
      <w:r w:rsidRPr="006054C3">
        <w:fldChar w:fldCharType="end"/>
      </w:r>
      <w:r>
        <w:t>.  </w:t>
      </w:r>
      <w:r w:rsidR="003B0DD2">
        <w:t>W </w:t>
      </w:r>
      <w:r>
        <w:t>związku</w:t>
      </w:r>
      <w:r w:rsidR="003B0DD2">
        <w:t xml:space="preserve"> z </w:t>
      </w:r>
      <w:r>
        <w:t>powyższym zadaniem Trybunału</w:t>
      </w:r>
      <w:r w:rsidR="00E9536F">
        <w:t xml:space="preserve"> w </w:t>
      </w:r>
      <w:r w:rsidR="001033BB">
        <w:t xml:space="preserve">wykonywaniu funkcji nadzorczej </w:t>
      </w:r>
      <w:r>
        <w:t xml:space="preserve">nie jest zastępowanie oceny sądów krajowych własną oceną (tamże, </w:t>
      </w:r>
      <w:r w:rsidR="003B0DD2">
        <w:t>§ </w:t>
      </w:r>
      <w:r>
        <w:t>101). Musi on raczej ocenić,</w:t>
      </w:r>
      <w:r w:rsidR="003B0DD2">
        <w:t xml:space="preserve"> w </w:t>
      </w:r>
      <w:r>
        <w:t>świetle całej sprawy, czy powody przytoczone</w:t>
      </w:r>
      <w:r w:rsidR="003B0DD2">
        <w:t xml:space="preserve"> w </w:t>
      </w:r>
      <w:r>
        <w:t>celu uzasadnienia ingerencji były istotne</w:t>
      </w:r>
      <w:r w:rsidR="003B0DD2">
        <w:t xml:space="preserve"> i </w:t>
      </w:r>
      <w:r>
        <w:t xml:space="preserve">wystarczające </w:t>
      </w:r>
      <w:r w:rsidR="001033BB">
        <w:t>do</w:t>
      </w:r>
      <w:r>
        <w:t xml:space="preserve"> celów </w:t>
      </w:r>
      <w:r w:rsidR="003B0DD2">
        <w:t>art. </w:t>
      </w:r>
      <w:r>
        <w:t>8 ust. 2 (</w:t>
      </w:r>
      <w:r w:rsidR="003B0DD2">
        <w:t>zob. </w:t>
      </w:r>
      <w:r>
        <w:t>na przykład wyrok</w:t>
      </w:r>
      <w:r w:rsidR="003B0DD2">
        <w:t xml:space="preserve"> w </w:t>
      </w:r>
      <w:r>
        <w:t xml:space="preserve">sprawie </w:t>
      </w:r>
      <w:proofErr w:type="spellStart"/>
      <w:r>
        <w:t>Adžić</w:t>
      </w:r>
      <w:proofErr w:type="spellEnd"/>
      <w:r>
        <w:t xml:space="preserve"> </w:t>
      </w:r>
      <w:r w:rsidR="003B0DD2">
        <w:t>p. </w:t>
      </w:r>
      <w:r>
        <w:t xml:space="preserve">Chorwacji (nr 2), nr 19601/16, </w:t>
      </w:r>
      <w:r w:rsidR="003B0DD2">
        <w:t>§ </w:t>
      </w:r>
      <w:r>
        <w:t>82, 2 maja 2019</w:t>
      </w:r>
      <w:r w:rsidR="003B0DD2">
        <w:t> r.</w:t>
      </w:r>
      <w:r>
        <w:t>; oraz wyrok</w:t>
      </w:r>
      <w:r w:rsidR="003B0DD2">
        <w:t xml:space="preserve"> w </w:t>
      </w:r>
      <w:r>
        <w:t xml:space="preserve">sprawie Z. </w:t>
      </w:r>
      <w:r w:rsidR="003B0DD2">
        <w:t>p. </w:t>
      </w:r>
      <w:r>
        <w:t xml:space="preserve">Chorwacji, nr 21347/21, </w:t>
      </w:r>
      <w:r w:rsidR="003B0DD2">
        <w:t>§ </w:t>
      </w:r>
      <w:r>
        <w:t>86, 1 września 2022</w:t>
      </w:r>
      <w:r w:rsidR="003B0DD2">
        <w:t> r.</w:t>
      </w:r>
      <w:r>
        <w:t xml:space="preserve">). Należy uzasadnić oddalenie lub uwzględnienie sprzeciwu wobec powrotu dzieci na podstawie </w:t>
      </w:r>
      <w:r w:rsidR="001033BB">
        <w:t>k</w:t>
      </w:r>
      <w:r>
        <w:t>onwencji haskiej, którą należy interpretować ściśle. Należy również rozstrzygnąć kwestię, czy rodzic dokonujący uprowadzenia miałby możliwość udania się za dziećmi do państwa ich stałego pobytu</w:t>
      </w:r>
      <w:r w:rsidR="003B0DD2">
        <w:t xml:space="preserve"> i </w:t>
      </w:r>
      <w:r>
        <w:t>utrzymywania</w:t>
      </w:r>
      <w:r w:rsidR="003B0DD2">
        <w:t xml:space="preserve"> z </w:t>
      </w:r>
      <w:r>
        <w:t>nimi kontaktu. Nierozpatrzenie którejkolwiek</w:t>
      </w:r>
      <w:r w:rsidR="003B0DD2">
        <w:t xml:space="preserve"> z </w:t>
      </w:r>
      <w:r>
        <w:t>tych kwestii byłoby sprzeczne</w:t>
      </w:r>
      <w:r w:rsidR="003B0DD2">
        <w:t xml:space="preserve"> z </w:t>
      </w:r>
      <w:r>
        <w:t>wymogami proceduralnymi wynikającymi</w:t>
      </w:r>
      <w:r w:rsidR="003B0DD2">
        <w:t xml:space="preserve"> z art. </w:t>
      </w:r>
      <w:r>
        <w:t xml:space="preserve">8 Konwencji (tamże oraz X </w:t>
      </w:r>
      <w:r w:rsidR="003B0DD2">
        <w:t>p. </w:t>
      </w:r>
      <w:r>
        <w:t>Łotwie, cytowany powyżej, §</w:t>
      </w:r>
      <w:r w:rsidR="003B0DD2">
        <w:t>§ </w:t>
      </w:r>
      <w:r>
        <w:t>106–107</w:t>
      </w:r>
      <w:r w:rsidR="003B0DD2">
        <w:t xml:space="preserve"> i </w:t>
      </w:r>
      <w:r>
        <w:t>117).</w:t>
      </w:r>
    </w:p>
    <w:bookmarkStart w:id="0" w:name="paragraph00032"/>
    <w:p w14:paraId="2F2E5E5D" w14:textId="04203A81" w:rsidR="00E96881" w:rsidRPr="006054C3" w:rsidRDefault="008C2A17" w:rsidP="006054C3">
      <w:pPr>
        <w:pStyle w:val="JuPara"/>
      </w:pPr>
      <w:r w:rsidRPr="006054C3">
        <w:fldChar w:fldCharType="begin"/>
      </w:r>
      <w:r w:rsidRPr="006054C3">
        <w:instrText xml:space="preserve"> SEQ level0 \*arabic \* MERGEFORMAT </w:instrText>
      </w:r>
      <w:r w:rsidRPr="006054C3">
        <w:fldChar w:fldCharType="separate"/>
      </w:r>
      <w:r w:rsidR="00464384">
        <w:rPr>
          <w:noProof/>
        </w:rPr>
        <w:t>51</w:t>
      </w:r>
      <w:r w:rsidRPr="006054C3">
        <w:fldChar w:fldCharType="end"/>
      </w:r>
      <w:bookmarkEnd w:id="0"/>
      <w:r>
        <w:t>.  </w:t>
      </w:r>
      <w:r w:rsidR="003B0DD2">
        <w:t>W </w:t>
      </w:r>
      <w:r>
        <w:t>niniejszej sprawie, biorąc pod uwagę argumenty podniesione przez pierwszego skarżącego (</w:t>
      </w:r>
      <w:r w:rsidR="003B0DD2">
        <w:t>zob. </w:t>
      </w:r>
      <w:r>
        <w:t>paragrafy 9</w:t>
      </w:r>
      <w:r w:rsidR="003B0DD2">
        <w:t xml:space="preserve"> i </w:t>
      </w:r>
      <w:r>
        <w:t>12 powyżej), sądy krajowe musiały zbadać:</w:t>
      </w:r>
    </w:p>
    <w:p w14:paraId="20E6F300" w14:textId="7FCA7916" w:rsidR="00E96881" w:rsidRPr="006054C3" w:rsidRDefault="008C2A17" w:rsidP="006054C3">
      <w:pPr>
        <w:pStyle w:val="JuPara"/>
      </w:pPr>
      <w:r>
        <w:t>a) czy istniało poważne ryzyko, że powrót do Rosji narazi drugiego</w:t>
      </w:r>
      <w:r w:rsidR="003B0DD2">
        <w:t xml:space="preserve"> i </w:t>
      </w:r>
      <w:r>
        <w:t xml:space="preserve">trzeciego skarżącego na szkodę psychiczną </w:t>
      </w:r>
      <w:r w:rsidR="001033BB">
        <w:t>albo</w:t>
      </w:r>
      <w:r w:rsidR="003B0DD2">
        <w:t xml:space="preserve"> w </w:t>
      </w:r>
      <w:r>
        <w:t>inny sposób postawi ich</w:t>
      </w:r>
      <w:r w:rsidR="003B0DD2">
        <w:t xml:space="preserve"> w </w:t>
      </w:r>
      <w:r>
        <w:t>sytuacji nie do zniesienia;</w:t>
      </w:r>
    </w:p>
    <w:p w14:paraId="5704F8FA" w14:textId="71FDBF46" w:rsidR="00E96881" w:rsidRPr="006054C3" w:rsidRDefault="008C2A17" w:rsidP="006054C3">
      <w:pPr>
        <w:pStyle w:val="JuPara"/>
      </w:pPr>
      <w:r>
        <w:t>b) czy drugi</w:t>
      </w:r>
      <w:r w:rsidR="003B0DD2">
        <w:t xml:space="preserve"> i </w:t>
      </w:r>
      <w:r>
        <w:t xml:space="preserve">trzeci skarżący sprzeciwiali się powrotowi </w:t>
      </w:r>
      <w:r w:rsidR="001033BB">
        <w:t>oraz</w:t>
      </w:r>
      <w:r>
        <w:t xml:space="preserve"> czy osiągnęli wiek </w:t>
      </w:r>
      <w:r w:rsidR="001033BB">
        <w:t>i</w:t>
      </w:r>
      <w:r>
        <w:t xml:space="preserve"> stopień dojrzałości,</w:t>
      </w:r>
      <w:r w:rsidR="003B0DD2">
        <w:t xml:space="preserve"> w </w:t>
      </w:r>
      <w:r>
        <w:t>którym właściwe było uwzględnienie ich opinii; oraz</w:t>
      </w:r>
    </w:p>
    <w:p w14:paraId="74D06E93" w14:textId="6E2A9011" w:rsidR="00E96881" w:rsidRPr="006054C3" w:rsidRDefault="008C2A17" w:rsidP="006054C3">
      <w:pPr>
        <w:pStyle w:val="JuPara"/>
      </w:pPr>
      <w:r>
        <w:t>c) czy pierwszy skarżący miał możliwość odwiedzania drugiego</w:t>
      </w:r>
      <w:r w:rsidR="003B0DD2">
        <w:t xml:space="preserve"> i </w:t>
      </w:r>
      <w:r>
        <w:t>trzeciego skarżącego</w:t>
      </w:r>
      <w:r w:rsidR="003B0DD2">
        <w:t xml:space="preserve"> w </w:t>
      </w:r>
      <w:r>
        <w:t>Rosji</w:t>
      </w:r>
      <w:r w:rsidR="003B0DD2">
        <w:t xml:space="preserve"> i </w:t>
      </w:r>
      <w:r>
        <w:t>utrzymywania</w:t>
      </w:r>
      <w:r w:rsidR="003B0DD2">
        <w:t xml:space="preserve"> z </w:t>
      </w:r>
      <w:r>
        <w:t>nimi kontaktu.</w:t>
      </w:r>
    </w:p>
    <w:p w14:paraId="7B2F02D9" w14:textId="652C7A11"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52</w:t>
      </w:r>
      <w:r w:rsidRPr="006054C3">
        <w:fldChar w:fldCharType="end"/>
      </w:r>
      <w:r>
        <w:t>.  Sądy krajowe rozważyły wszystkie argumenty przedstawione przez pierwszego skarżącego</w:t>
      </w:r>
      <w:r w:rsidR="003B0DD2">
        <w:t xml:space="preserve"> i </w:t>
      </w:r>
      <w:r>
        <w:t>odniosły się do każdej</w:t>
      </w:r>
      <w:r w:rsidR="003B0DD2">
        <w:t xml:space="preserve"> z </w:t>
      </w:r>
      <w:r>
        <w:t>tych kwestii. Sąd Najwyższy oparł się na rozmowach</w:t>
      </w:r>
      <w:r w:rsidR="003B0DD2">
        <w:t xml:space="preserve"> z </w:t>
      </w:r>
      <w:r>
        <w:t xml:space="preserve">dziećmi, przeprowadzonych przez pracowników opieki społecznej na </w:t>
      </w:r>
      <w:r w:rsidR="00FC4716">
        <w:t>rozprawie</w:t>
      </w:r>
      <w:r>
        <w:t>,</w:t>
      </w:r>
      <w:r w:rsidR="003B0DD2">
        <w:t xml:space="preserve"> w </w:t>
      </w:r>
      <w:r w:rsidR="00FC4716">
        <w:t>której</w:t>
      </w:r>
      <w:r>
        <w:t xml:space="preserve"> uczestniczyli oboje rodzice,</w:t>
      </w:r>
      <w:r w:rsidR="003B0DD2">
        <w:t xml:space="preserve"> w </w:t>
      </w:r>
      <w:r>
        <w:t>celu oceny ryzyka wystąpienia szkody psychicznej, ustalenia poglądów dzieci</w:t>
      </w:r>
      <w:r w:rsidR="003B0DD2">
        <w:t xml:space="preserve"> i </w:t>
      </w:r>
      <w:r>
        <w:t xml:space="preserve">określenia </w:t>
      </w:r>
      <w:r w:rsidR="00FC4716">
        <w:t>stopnia ich</w:t>
      </w:r>
      <w:r>
        <w:t xml:space="preserve"> dojrzałości. Wysłuchał on również starsze</w:t>
      </w:r>
      <w:r w:rsidR="00C8502E">
        <w:t>go</w:t>
      </w:r>
      <w:r>
        <w:t xml:space="preserve"> </w:t>
      </w:r>
      <w:r w:rsidR="00C8502E">
        <w:t xml:space="preserve">dziecka </w:t>
      </w:r>
      <w:r>
        <w:t>(drugiego skarżącego) oddzielnie (</w:t>
      </w:r>
      <w:r w:rsidR="003B0DD2">
        <w:t>zob. </w:t>
      </w:r>
      <w:r>
        <w:t>paragrafy 13</w:t>
      </w:r>
      <w:r w:rsidR="003B0DD2">
        <w:t xml:space="preserve"> i </w:t>
      </w:r>
      <w:r>
        <w:t>15 powyżej). Następnie zauważył, że decyzja</w:t>
      </w:r>
      <w:r w:rsidR="003B0DD2">
        <w:t xml:space="preserve"> o </w:t>
      </w:r>
      <w:r>
        <w:t>przyznaniu azylu nie ujawniła żadnych nowych okoliczności, które mogłyby prowadzić do innego rozstrzygnięcia</w:t>
      </w:r>
      <w:r w:rsidR="003B0DD2">
        <w:t xml:space="preserve"> w </w:t>
      </w:r>
      <w:r>
        <w:t>kwestii powrotu (</w:t>
      </w:r>
      <w:r w:rsidR="003B0DD2">
        <w:t>zob. </w:t>
      </w:r>
      <w:r>
        <w:t>paragraf 24 powyżej).</w:t>
      </w:r>
    </w:p>
    <w:bookmarkStart w:id="1" w:name="paragraph00034"/>
    <w:p w14:paraId="558D2C00" w14:textId="47523440" w:rsidR="00E96881" w:rsidRPr="006054C3" w:rsidRDefault="008C2A17" w:rsidP="006054C3">
      <w:pPr>
        <w:pStyle w:val="JuPara"/>
      </w:pPr>
      <w:r w:rsidRPr="006054C3">
        <w:fldChar w:fldCharType="begin"/>
      </w:r>
      <w:r w:rsidRPr="006054C3">
        <w:instrText xml:space="preserve"> SEQ level0 \*arabic \* MERGEFORMAT </w:instrText>
      </w:r>
      <w:r w:rsidRPr="006054C3">
        <w:fldChar w:fldCharType="separate"/>
      </w:r>
      <w:r w:rsidR="00464384">
        <w:rPr>
          <w:noProof/>
        </w:rPr>
        <w:t>53</w:t>
      </w:r>
      <w:r w:rsidRPr="006054C3">
        <w:fldChar w:fldCharType="end"/>
      </w:r>
      <w:bookmarkEnd w:id="1"/>
      <w:r>
        <w:t xml:space="preserve">.  Po ocenie uzyskanych dowodów Sąd Najwyższy uznał, </w:t>
      </w:r>
      <w:r w:rsidR="00FC4716">
        <w:t>iż</w:t>
      </w:r>
      <w:r>
        <w:t xml:space="preserve"> nie istnieje poważne ryzyko, </w:t>
      </w:r>
      <w:r w:rsidR="00FC4716">
        <w:t>że</w:t>
      </w:r>
      <w:r>
        <w:t xml:space="preserve"> powrót dzieci do Rosji narazi je na szkodę fizyczną lub psychiczną; nie postawi ich również</w:t>
      </w:r>
      <w:r w:rsidR="003B0DD2">
        <w:t xml:space="preserve"> w </w:t>
      </w:r>
      <w:r>
        <w:t>sytuacji nie do zniesienia</w:t>
      </w:r>
      <w:r w:rsidR="003B0DD2">
        <w:t xml:space="preserve"> w </w:t>
      </w:r>
      <w:r>
        <w:t xml:space="preserve">rozumieniu </w:t>
      </w:r>
      <w:r w:rsidR="003B0DD2">
        <w:t>art. </w:t>
      </w:r>
      <w:r>
        <w:t xml:space="preserve">13 </w:t>
      </w:r>
      <w:r w:rsidR="00FC4716">
        <w:t>akapit pierwszy</w:t>
      </w:r>
      <w:r>
        <w:t xml:space="preserve"> lit. b</w:t>
      </w:r>
      <w:r w:rsidR="00046CF0">
        <w:t>)</w:t>
      </w:r>
      <w:r>
        <w:t xml:space="preserve"> </w:t>
      </w:r>
      <w:r w:rsidR="00FC4716">
        <w:t>k</w:t>
      </w:r>
      <w:r>
        <w:t>onwencji haskiej (</w:t>
      </w:r>
      <w:r w:rsidR="003B0DD2">
        <w:t>zob. </w:t>
      </w:r>
      <w:r>
        <w:t>paragraf 14 powyżej). Uznał on ponadto, że późniejsze przyznanie azylu wszystkim trzem skarżącym</w:t>
      </w:r>
      <w:r w:rsidR="003B0DD2">
        <w:t xml:space="preserve"> w </w:t>
      </w:r>
      <w:r>
        <w:t xml:space="preserve">Finlandii nie podważa tej oceny ryzyka, ponieważ status azylanta dzieci był konsekwencją statusu przyznanego ich ojcu </w:t>
      </w:r>
      <w:r>
        <w:lastRenderedPageBreak/>
        <w:t>(</w:t>
      </w:r>
      <w:r w:rsidR="003B0DD2">
        <w:t>zob. </w:t>
      </w:r>
      <w:r>
        <w:t>paragrafy 22</w:t>
      </w:r>
      <w:r w:rsidR="003B0DD2">
        <w:t xml:space="preserve"> i </w:t>
      </w:r>
      <w:r>
        <w:t>24 powyżej). Trybunał nie widzi powodów, by kwestionować te ustalenia.</w:t>
      </w:r>
    </w:p>
    <w:p w14:paraId="23DDEEDE" w14:textId="1DEFFF14"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54</w:t>
      </w:r>
      <w:r w:rsidRPr="006054C3">
        <w:fldChar w:fldCharType="end"/>
      </w:r>
      <w:r>
        <w:t>.  Sąd Najwyższy odniósł się również do sprzeciwu drugiego</w:t>
      </w:r>
      <w:r w:rsidR="003B0DD2">
        <w:t xml:space="preserve"> i </w:t>
      </w:r>
      <w:r>
        <w:t>trzeciego skarżącego wobec powrotu. Stwierdził on, że młodsze dziecko (trzeci skarżący) nie osiągnęło wieku</w:t>
      </w:r>
      <w:r w:rsidR="003B0DD2">
        <w:t xml:space="preserve"> i </w:t>
      </w:r>
      <w:r>
        <w:t>stopnia dojrzałości,</w:t>
      </w:r>
      <w:r w:rsidR="003B0DD2">
        <w:t xml:space="preserve"> w </w:t>
      </w:r>
      <w:r>
        <w:t>którym właściwe byłoby uwzględnienie jego opinii (</w:t>
      </w:r>
      <w:r w:rsidR="003B0DD2">
        <w:t>zob. </w:t>
      </w:r>
      <w:r>
        <w:t>paragraf 15 powyżej). Stwierdził on ponadto, że starsze dziecko (drugi skarżący) osiągnęło taki wiek</w:t>
      </w:r>
      <w:r w:rsidR="003B0DD2">
        <w:t xml:space="preserve"> i </w:t>
      </w:r>
      <w:r>
        <w:t>stopień dojrzałości oraz szczerze sprzeciwiało się powrotowi (</w:t>
      </w:r>
      <w:r w:rsidR="003B0DD2">
        <w:t>zob. </w:t>
      </w:r>
      <w:r>
        <w:t xml:space="preserve">paragraf 15 powyżej). </w:t>
      </w:r>
      <w:r w:rsidR="00FC4716">
        <w:t>Mimo to</w:t>
      </w:r>
      <w:r>
        <w:t xml:space="preserve"> po zbadaniu szeregu czynników Sąd Najwyższy uznał, że powrót drugiego skarżącego do Rosji będzie leżał</w:t>
      </w:r>
      <w:r w:rsidR="003B0DD2">
        <w:t xml:space="preserve"> w </w:t>
      </w:r>
      <w:r>
        <w:t>jego najlepszym interesie (</w:t>
      </w:r>
      <w:r w:rsidR="003B0DD2">
        <w:t>zob. </w:t>
      </w:r>
      <w:r>
        <w:t>paragrafy 16–17 powyżej). Biorąc pod uwagę swoje orzecznictwo</w:t>
      </w:r>
      <w:r w:rsidR="003B0DD2">
        <w:t xml:space="preserve"> w </w:t>
      </w:r>
      <w:r>
        <w:t>tym przedmiocie (</w:t>
      </w:r>
      <w:r w:rsidR="003B0DD2">
        <w:t>zob. </w:t>
      </w:r>
      <w:r>
        <w:t>wyrok</w:t>
      </w:r>
      <w:r w:rsidR="003B0DD2">
        <w:t xml:space="preserve"> w </w:t>
      </w:r>
      <w:r>
        <w:t>sprawie K.B.</w:t>
      </w:r>
      <w:r w:rsidR="003B0DD2">
        <w:t xml:space="preserve"> i </w:t>
      </w:r>
      <w:r>
        <w:t xml:space="preserve">inni </w:t>
      </w:r>
      <w:r w:rsidR="003B0DD2">
        <w:t>p. </w:t>
      </w:r>
      <w:r>
        <w:t xml:space="preserve">Chorwacji, nr 36216/13, </w:t>
      </w:r>
      <w:r w:rsidR="003B0DD2">
        <w:t>§ </w:t>
      </w:r>
      <w:r>
        <w:t>143, 14 marca 2017</w:t>
      </w:r>
      <w:r w:rsidR="003B0DD2">
        <w:t> r.</w:t>
      </w:r>
      <w:r>
        <w:t>; oraz wyrok</w:t>
      </w:r>
      <w:r w:rsidR="003B0DD2">
        <w:t xml:space="preserve"> w </w:t>
      </w:r>
      <w:r>
        <w:t xml:space="preserve">sprawie </w:t>
      </w:r>
      <w:proofErr w:type="spellStart"/>
      <w:r>
        <w:t>Gajtani</w:t>
      </w:r>
      <w:proofErr w:type="spellEnd"/>
      <w:r>
        <w:t xml:space="preserve"> </w:t>
      </w:r>
      <w:r w:rsidR="003B0DD2">
        <w:t>p. </w:t>
      </w:r>
      <w:r>
        <w:t>Szwajcarii, nr 43730/07, §</w:t>
      </w:r>
      <w:r w:rsidR="003B0DD2">
        <w:t>§ </w:t>
      </w:r>
      <w:r>
        <w:t>106–115, 9 września 2014</w:t>
      </w:r>
      <w:r w:rsidR="003B0DD2">
        <w:t> r.</w:t>
      </w:r>
      <w:r>
        <w:t>), Trybunał nie widzi powodu, by kwestionować te ustalenia lub zastępować ocenę Sądu Najwyższego własną oceną.</w:t>
      </w:r>
    </w:p>
    <w:bookmarkStart w:id="2" w:name="paragraph00036"/>
    <w:p w14:paraId="14217F96" w14:textId="1B19712B" w:rsidR="00E96881" w:rsidRPr="006054C3" w:rsidRDefault="008C2A17" w:rsidP="006054C3">
      <w:pPr>
        <w:pStyle w:val="JuPara"/>
      </w:pPr>
      <w:r w:rsidRPr="006054C3">
        <w:fldChar w:fldCharType="begin"/>
      </w:r>
      <w:r w:rsidRPr="006054C3">
        <w:instrText xml:space="preserve"> SEQ level0 \*arabic \* MERGEFORMAT </w:instrText>
      </w:r>
      <w:r w:rsidRPr="006054C3">
        <w:fldChar w:fldCharType="separate"/>
      </w:r>
      <w:r w:rsidR="00464384">
        <w:rPr>
          <w:noProof/>
        </w:rPr>
        <w:t>55</w:t>
      </w:r>
      <w:r w:rsidRPr="006054C3">
        <w:fldChar w:fldCharType="end"/>
      </w:r>
      <w:bookmarkEnd w:id="2"/>
      <w:r>
        <w:t>.  Wreszcie Sąd Najwyższy uznał, że powrót dzieci utrudni im</w:t>
      </w:r>
      <w:r w:rsidR="003B0DD2">
        <w:t xml:space="preserve"> i </w:t>
      </w:r>
      <w:r>
        <w:t>pierwszemu skarżącemu utrzymywanie kontaktu, ale orzekł, że powrót do Rosji leży</w:t>
      </w:r>
      <w:r w:rsidR="003B0DD2">
        <w:t xml:space="preserve"> w </w:t>
      </w:r>
      <w:r>
        <w:t xml:space="preserve">najlepszym interesie dzieci. </w:t>
      </w:r>
      <w:r w:rsidR="003B0DD2">
        <w:t>W </w:t>
      </w:r>
      <w:r>
        <w:t>danych okolicznościach interesy te przeważyły nad interesami pierwszego skarżącego (</w:t>
      </w:r>
      <w:r w:rsidR="003B0DD2">
        <w:t>zob. </w:t>
      </w:r>
      <w:r>
        <w:t xml:space="preserve">paragrafy 16–18 powyżej). </w:t>
      </w:r>
      <w:r w:rsidR="003B0DD2">
        <w:t>W </w:t>
      </w:r>
      <w:r>
        <w:t>tym zakresie Trybunał przypomina, że:</w:t>
      </w:r>
    </w:p>
    <w:p w14:paraId="64285529" w14:textId="2873890A" w:rsidR="00E96881" w:rsidRPr="006054C3" w:rsidRDefault="00FC4716" w:rsidP="006054C3">
      <w:pPr>
        <w:pStyle w:val="JuPara"/>
      </w:pPr>
      <w:r>
        <w:t xml:space="preserve">(i) </w:t>
      </w:r>
      <w:r w:rsidR="003B0DD2">
        <w:t>k</w:t>
      </w:r>
      <w:r>
        <w:t>onwencja haska,</w:t>
      </w:r>
      <w:r w:rsidR="003B0DD2">
        <w:t xml:space="preserve"> z </w:t>
      </w:r>
      <w:r>
        <w:t>wyjątkiem przypadku przewidzianego</w:t>
      </w:r>
      <w:r w:rsidR="003B0DD2">
        <w:t xml:space="preserve"> w </w:t>
      </w:r>
      <w:r>
        <w:t xml:space="preserve">jej </w:t>
      </w:r>
      <w:r w:rsidR="003B0DD2">
        <w:t>art. </w:t>
      </w:r>
      <w:r>
        <w:t>13 akapit pierwszy lit. b) (</w:t>
      </w:r>
      <w:r w:rsidR="003B0DD2">
        <w:t>zob. </w:t>
      </w:r>
      <w:r>
        <w:t>paragraf 24 powyżej), łączy najlepszy interes dzieci</w:t>
      </w:r>
      <w:r w:rsidR="003B0DD2">
        <w:t xml:space="preserve"> z </w:t>
      </w:r>
      <w:r>
        <w:t>przywróceniem stanu poprzedniego (</w:t>
      </w:r>
      <w:r w:rsidRPr="007D7769">
        <w:rPr>
          <w:i/>
          <w:iCs/>
        </w:rPr>
        <w:t xml:space="preserve">status quo </w:t>
      </w:r>
      <w:proofErr w:type="spellStart"/>
      <w:r w:rsidRPr="007D7769">
        <w:rPr>
          <w:i/>
          <w:iCs/>
        </w:rPr>
        <w:t>ante</w:t>
      </w:r>
      <w:proofErr w:type="spellEnd"/>
      <w:r>
        <w:t>), mianowicie</w:t>
      </w:r>
      <w:r w:rsidR="003B0DD2">
        <w:t xml:space="preserve"> z </w:t>
      </w:r>
      <w:r>
        <w:t>ich niezwłocznym powrotem do kraju ich stałego pobytu</w:t>
      </w:r>
      <w:r w:rsidR="003B0DD2">
        <w:t xml:space="preserve"> w </w:t>
      </w:r>
      <w:r>
        <w:t>przypadku bezprawnego uprowadzenia (</w:t>
      </w:r>
      <w:r w:rsidR="003B0DD2">
        <w:t>zob. </w:t>
      </w:r>
      <w:r>
        <w:t>wyrok</w:t>
      </w:r>
      <w:r w:rsidR="003B0DD2">
        <w:t xml:space="preserve"> w </w:t>
      </w:r>
      <w:r>
        <w:t xml:space="preserve">sprawie X </w:t>
      </w:r>
      <w:r w:rsidR="003B0DD2">
        <w:t>p. </w:t>
      </w:r>
      <w:r>
        <w:t xml:space="preserve">Łotwie, cytowany powyżej, </w:t>
      </w:r>
      <w:r w:rsidR="003B0DD2">
        <w:t>§ </w:t>
      </w:r>
      <w:r>
        <w:t>97); oraz</w:t>
      </w:r>
    </w:p>
    <w:p w14:paraId="7A580485" w14:textId="5236A9DE" w:rsidR="00E96881" w:rsidRPr="006054C3" w:rsidRDefault="00FC4716" w:rsidP="006054C3">
      <w:pPr>
        <w:pStyle w:val="JuPara"/>
      </w:pPr>
      <w:r>
        <w:t>(ii) celem tej konwencji jest uniemożliwienie rodzicowi dokonującemu uprowadzenia czerpania korzyści</w:t>
      </w:r>
      <w:r w:rsidR="003B0DD2">
        <w:t xml:space="preserve"> z </w:t>
      </w:r>
      <w:r>
        <w:t>własnego bezprawnego działania (</w:t>
      </w:r>
      <w:r w:rsidR="003B0DD2">
        <w:t>zob. </w:t>
      </w:r>
      <w:r>
        <w:t>na przykład wyrok</w:t>
      </w:r>
      <w:r w:rsidR="003B0DD2">
        <w:t xml:space="preserve"> w </w:t>
      </w:r>
      <w:r>
        <w:t xml:space="preserve">sprawie G.S. </w:t>
      </w:r>
      <w:r w:rsidR="003B0DD2">
        <w:t>p. </w:t>
      </w:r>
      <w:r>
        <w:t xml:space="preserve">Gruzji, nr 2361/13, </w:t>
      </w:r>
      <w:r w:rsidR="003B0DD2">
        <w:t>§ </w:t>
      </w:r>
      <w:r>
        <w:t>56, 21 lipca 2015</w:t>
      </w:r>
      <w:r w:rsidR="003B0DD2">
        <w:t> r.</w:t>
      </w:r>
      <w:r>
        <w:t>).</w:t>
      </w:r>
    </w:p>
    <w:p w14:paraId="1DB26179" w14:textId="161F85BD" w:rsidR="00E96881" w:rsidRPr="006054C3" w:rsidRDefault="008C2A17" w:rsidP="006054C3">
      <w:pPr>
        <w:pStyle w:val="JuPara"/>
      </w:pPr>
      <w:r>
        <w:t xml:space="preserve">Biorąc pod uwagę to orzecznictwo oraz szeroki margines </w:t>
      </w:r>
      <w:r w:rsidR="00FC4716">
        <w:t>swobody</w:t>
      </w:r>
      <w:r>
        <w:t xml:space="preserve"> przysługujący państwu na podstawie Konwencji, Trybunał</w:t>
      </w:r>
      <w:r w:rsidR="003B0DD2">
        <w:t xml:space="preserve"> w </w:t>
      </w:r>
      <w:r>
        <w:t>odniesieniu do tej kwestii również nie znajduje silnych powodów, by zastępować ocenę Sądu Najwyższego własną oceną.</w:t>
      </w:r>
    </w:p>
    <w:p w14:paraId="5F521BDF" w14:textId="7653CB58"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56</w:t>
      </w:r>
      <w:r w:rsidRPr="006054C3">
        <w:fldChar w:fldCharType="end"/>
      </w:r>
      <w:r>
        <w:t>.  </w:t>
      </w:r>
      <w:r w:rsidR="003B0DD2">
        <w:t>W </w:t>
      </w:r>
      <w:r>
        <w:t>tym kontekście (</w:t>
      </w:r>
      <w:r w:rsidR="003B0DD2">
        <w:t>zob. </w:t>
      </w:r>
      <w:r>
        <w:t>paragrafy</w:t>
      </w:r>
      <w:r w:rsidR="00C8502E">
        <w:t xml:space="preserve"> 51-55 </w:t>
      </w:r>
      <w:r>
        <w:t>powyżej)</w:t>
      </w:r>
      <w:r w:rsidR="003B0DD2">
        <w:t xml:space="preserve"> i </w:t>
      </w:r>
      <w:r>
        <w:t>wobec braku konkretnych twierdzeń przeciwnych</w:t>
      </w:r>
      <w:r w:rsidR="003B0DD2">
        <w:t xml:space="preserve"> w </w:t>
      </w:r>
      <w:r>
        <w:t>skardze, Trybunał nie jest</w:t>
      </w:r>
      <w:r w:rsidR="003B0DD2">
        <w:t xml:space="preserve"> w </w:t>
      </w:r>
      <w:r>
        <w:t>stanie stwierdzić, że sądy krajowe nie przeprowadziły skutecznego zbadania istotnych kwestii (porównaj</w:t>
      </w:r>
      <w:r w:rsidR="003B0DD2">
        <w:t xml:space="preserve"> i </w:t>
      </w:r>
      <w:r>
        <w:t>zestaw</w:t>
      </w:r>
      <w:r w:rsidR="003B0DD2">
        <w:t xml:space="preserve"> z </w:t>
      </w:r>
      <w:r>
        <w:t>wyrokiem</w:t>
      </w:r>
      <w:r w:rsidR="003B0DD2">
        <w:t xml:space="preserve"> w </w:t>
      </w:r>
      <w:r>
        <w:t xml:space="preserve">sprawie X </w:t>
      </w:r>
      <w:r w:rsidR="003B0DD2">
        <w:t>p. </w:t>
      </w:r>
      <w:r>
        <w:t>Łotwie, cytowanym powyżej, §</w:t>
      </w:r>
      <w:r w:rsidR="003B0DD2">
        <w:t>§ </w:t>
      </w:r>
      <w:r>
        <w:t>109–119). Przeciwnie, sądy te dopełniły wymogów proceduralnych nieodłącznie związanych</w:t>
      </w:r>
      <w:r w:rsidR="003B0DD2">
        <w:t xml:space="preserve"> z art. </w:t>
      </w:r>
      <w:r>
        <w:t xml:space="preserve">8 Konwencji, </w:t>
      </w:r>
      <w:r w:rsidR="00943ECC">
        <w:t>ponieważ faktycznie</w:t>
      </w:r>
      <w:r>
        <w:t xml:space="preserve"> </w:t>
      </w:r>
      <w:r w:rsidR="00943ECC">
        <w:t>uwzględniły</w:t>
      </w:r>
      <w:r>
        <w:t xml:space="preserve"> czynniki mogące stanowić wyjątek od niezwłocznego powrotu dzieci</w:t>
      </w:r>
      <w:r w:rsidR="003B0DD2">
        <w:t xml:space="preserve"> w </w:t>
      </w:r>
      <w:r>
        <w:t xml:space="preserve">zastosowaniu </w:t>
      </w:r>
      <w:r w:rsidR="00943ECC">
        <w:t>k</w:t>
      </w:r>
      <w:r>
        <w:t>onwencji haskiej. Powody podane przez Sąd Najwyższy</w:t>
      </w:r>
      <w:r w:rsidR="00943ECC">
        <w:t>, aby</w:t>
      </w:r>
      <w:r>
        <w:t xml:space="preserve"> </w:t>
      </w:r>
      <w:r w:rsidR="00943ECC">
        <w:t>uzasadnić</w:t>
      </w:r>
      <w:r>
        <w:t xml:space="preserve"> ingerencj</w:t>
      </w:r>
      <w:r w:rsidR="00943ECC">
        <w:t>ę</w:t>
      </w:r>
      <w:r w:rsidR="003B0DD2">
        <w:t xml:space="preserve"> w </w:t>
      </w:r>
      <w:r>
        <w:t>prawo skarżących do poszanowania ich życia rodzinnego</w:t>
      </w:r>
      <w:r w:rsidR="00943ECC">
        <w:t>,</w:t>
      </w:r>
      <w:r>
        <w:t xml:space="preserve"> były istotne</w:t>
      </w:r>
      <w:r w:rsidR="003B0DD2">
        <w:t xml:space="preserve"> i </w:t>
      </w:r>
      <w:r>
        <w:t xml:space="preserve">wystarczające </w:t>
      </w:r>
      <w:r w:rsidR="00943ECC">
        <w:t xml:space="preserve">do </w:t>
      </w:r>
      <w:r>
        <w:t xml:space="preserve">celów </w:t>
      </w:r>
      <w:r>
        <w:lastRenderedPageBreak/>
        <w:t>ustępu drugiego tego artykułu. Uzasadnienie Sądu Najwyższego nie było automatyczne</w:t>
      </w:r>
      <w:r w:rsidR="003B0DD2">
        <w:t xml:space="preserve"> i </w:t>
      </w:r>
      <w:r>
        <w:t>stereotypowe, lecz wystarczająco szczegółowe</w:t>
      </w:r>
      <w:r w:rsidR="003B0DD2">
        <w:t xml:space="preserve"> w </w:t>
      </w:r>
      <w:r>
        <w:t>świetle wyjątków określonych</w:t>
      </w:r>
      <w:r w:rsidR="003B0DD2">
        <w:t xml:space="preserve"> w </w:t>
      </w:r>
      <w:r w:rsidR="00943ECC">
        <w:t>k</w:t>
      </w:r>
      <w:r>
        <w:t>onwencji haskiej, które muszą być interpretowane ściśle. Ingerencja ta była zatem „</w:t>
      </w:r>
      <w:r w:rsidR="00943ECC">
        <w:t>konieczna</w:t>
      </w:r>
      <w:r w:rsidR="003B0DD2">
        <w:t xml:space="preserve"> w </w:t>
      </w:r>
      <w:r w:rsidR="00943ECC">
        <w:t xml:space="preserve">demokratycznym </w:t>
      </w:r>
      <w:r>
        <w:t>społeczeństwie”.</w:t>
      </w:r>
    </w:p>
    <w:p w14:paraId="6C042DB3" w14:textId="70D330C6"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57</w:t>
      </w:r>
      <w:r w:rsidRPr="006054C3">
        <w:fldChar w:fldCharType="end"/>
      </w:r>
      <w:r>
        <w:t>.  </w:t>
      </w:r>
      <w:r w:rsidR="003B0DD2">
        <w:t>W </w:t>
      </w:r>
      <w:r>
        <w:t>związku</w:t>
      </w:r>
      <w:r w:rsidR="003B0DD2">
        <w:t xml:space="preserve"> z </w:t>
      </w:r>
      <w:r>
        <w:t xml:space="preserve">powyższym nie doszło do naruszenia </w:t>
      </w:r>
      <w:r w:rsidR="003B0DD2">
        <w:t>art. </w:t>
      </w:r>
      <w:r>
        <w:t>8 Konwencji.</w:t>
      </w:r>
    </w:p>
    <w:p w14:paraId="775A173F" w14:textId="77777777" w:rsidR="00E96881" w:rsidRPr="006054C3" w:rsidRDefault="008C2A17" w:rsidP="006054C3">
      <w:pPr>
        <w:pStyle w:val="JuHIRoman"/>
        <w:tabs>
          <w:tab w:val="left" w:pos="567"/>
          <w:tab w:val="left" w:pos="680"/>
        </w:tabs>
        <w:ind w:left="397" w:hanging="397"/>
      </w:pPr>
      <w:r>
        <w:t>ZARZUCANE NARUSZENIE ART. 3 KONWENCJI</w:t>
      </w:r>
    </w:p>
    <w:p w14:paraId="563AC964" w14:textId="2DF1C964"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58</w:t>
      </w:r>
      <w:r w:rsidRPr="006054C3">
        <w:fldChar w:fldCharType="end"/>
      </w:r>
      <w:r>
        <w:t>.  Skarżący zarzucili, że</w:t>
      </w:r>
      <w:r w:rsidR="003B0DD2">
        <w:t xml:space="preserve"> w </w:t>
      </w:r>
      <w:r>
        <w:t>przypadku powrotu do Rosji drugi</w:t>
      </w:r>
      <w:r w:rsidR="003B0DD2">
        <w:t xml:space="preserve"> i </w:t>
      </w:r>
      <w:r>
        <w:t xml:space="preserve">trzeci skarżący zostaną poddani złemu traktowaniu. Powołali się na </w:t>
      </w:r>
      <w:r w:rsidR="003B0DD2">
        <w:t>art. </w:t>
      </w:r>
      <w:r>
        <w:t>3 Konwencji, który brzmi następująco:</w:t>
      </w:r>
    </w:p>
    <w:p w14:paraId="284CE4C2" w14:textId="21A8F31C" w:rsidR="00E96881" w:rsidRPr="006054C3" w:rsidRDefault="008C2A17" w:rsidP="001E029F">
      <w:pPr>
        <w:pStyle w:val="JuQuot"/>
      </w:pPr>
      <w:r>
        <w:t>„Nikt nie może być poddany torturom ani nieludzkiemu lub poniżającemu traktowaniu albo karaniu”.</w:t>
      </w:r>
    </w:p>
    <w:p w14:paraId="28F0C1BE" w14:textId="77777777" w:rsidR="00E96881" w:rsidRPr="006054C3" w:rsidRDefault="008C2A17" w:rsidP="006054C3">
      <w:pPr>
        <w:pStyle w:val="JuHA"/>
        <w:numPr>
          <w:ilvl w:val="0"/>
          <w:numId w:val="0"/>
        </w:numPr>
        <w:ind w:left="510" w:hanging="340"/>
      </w:pPr>
      <w:r>
        <w:t>Dopuszczalność</w:t>
      </w:r>
    </w:p>
    <w:p w14:paraId="374552A4" w14:textId="3CABE484"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59</w:t>
      </w:r>
      <w:r w:rsidRPr="006054C3">
        <w:fldChar w:fldCharType="end"/>
      </w:r>
      <w:r>
        <w:t xml:space="preserve">.  Rząd uznał, że nie doszło do naruszenia </w:t>
      </w:r>
      <w:r w:rsidR="003B0DD2">
        <w:t>art. </w:t>
      </w:r>
      <w:r>
        <w:t>3 Konwencji</w:t>
      </w:r>
      <w:r w:rsidR="003B0DD2">
        <w:t xml:space="preserve"> i </w:t>
      </w:r>
      <w:r>
        <w:t>że skarg</w:t>
      </w:r>
      <w:r w:rsidR="001E029F">
        <w:t>ę</w:t>
      </w:r>
      <w:r>
        <w:t xml:space="preserve"> </w:t>
      </w:r>
      <w:r w:rsidR="001E029F">
        <w:t>należy uznać</w:t>
      </w:r>
      <w:r>
        <w:t xml:space="preserve"> za niedopuszczalną jako oczywiście bezzasadn</w:t>
      </w:r>
      <w:r w:rsidR="001E029F">
        <w:t>ą</w:t>
      </w:r>
      <w:r>
        <w:t>.</w:t>
      </w:r>
    </w:p>
    <w:p w14:paraId="79803564" w14:textId="67EAE930"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60</w:t>
      </w:r>
      <w:r w:rsidRPr="006054C3">
        <w:fldChar w:fldCharType="end"/>
      </w:r>
      <w:r>
        <w:t>.  Skarżący twierdzili, że decyzja Sądu Najwyższego pozbawiła drugiego</w:t>
      </w:r>
      <w:r w:rsidR="003B0DD2">
        <w:t xml:space="preserve"> i </w:t>
      </w:r>
      <w:r>
        <w:t xml:space="preserve">trzeciego skarżącego prawa do ochrony na podstawie </w:t>
      </w:r>
      <w:r w:rsidR="003B0DD2">
        <w:t>art. </w:t>
      </w:r>
      <w:r>
        <w:t>3 Konwencji, gdy nakazano ich powrót do Rosji.</w:t>
      </w:r>
    </w:p>
    <w:p w14:paraId="468D3909" w14:textId="296A5D84"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61</w:t>
      </w:r>
      <w:r w:rsidRPr="006054C3">
        <w:fldChar w:fldCharType="end"/>
      </w:r>
      <w:r>
        <w:t>.  </w:t>
      </w:r>
      <w:r w:rsidR="003B0DD2">
        <w:t>W </w:t>
      </w:r>
      <w:r>
        <w:t xml:space="preserve">swoich uwagach </w:t>
      </w:r>
      <w:r w:rsidR="001E029F">
        <w:t xml:space="preserve">przedstawionych </w:t>
      </w:r>
      <w:r>
        <w:t xml:space="preserve">jako strona trzecia pani G. stwierdziła, że nie widzi realnego ryzyka naruszenia </w:t>
      </w:r>
      <w:r w:rsidR="003B0DD2">
        <w:t>art. </w:t>
      </w:r>
      <w:r>
        <w:t>3</w:t>
      </w:r>
      <w:r w:rsidR="003B0DD2">
        <w:t xml:space="preserve"> i w </w:t>
      </w:r>
      <w:r>
        <w:t>zakresie,</w:t>
      </w:r>
      <w:r w:rsidR="003B0DD2">
        <w:t xml:space="preserve"> w </w:t>
      </w:r>
      <w:r>
        <w:t xml:space="preserve">jakim takie ryzyko mogłoby wystąpić, podjęłaby wszelkie niezbędne </w:t>
      </w:r>
      <w:r w:rsidR="001E029F">
        <w:t>działania</w:t>
      </w:r>
      <w:r w:rsidR="003B0DD2">
        <w:t xml:space="preserve"> w </w:t>
      </w:r>
      <w:r>
        <w:t>celu ochrony swoich dzieci.</w:t>
      </w:r>
    </w:p>
    <w:p w14:paraId="32D1E3EA" w14:textId="71C7AE91"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62</w:t>
      </w:r>
      <w:r w:rsidRPr="006054C3">
        <w:fldChar w:fldCharType="end"/>
      </w:r>
      <w:r>
        <w:t xml:space="preserve">.  Trybunał uważa, że </w:t>
      </w:r>
      <w:r w:rsidR="00C8502E">
        <w:t xml:space="preserve">zarzuty </w:t>
      </w:r>
      <w:r>
        <w:t xml:space="preserve">te są powiązane </w:t>
      </w:r>
      <w:r w:rsidR="00C8502E">
        <w:t>z zarzutami</w:t>
      </w:r>
      <w:r>
        <w:t xml:space="preserve"> zbadanymi powyżej na podstawie </w:t>
      </w:r>
      <w:r w:rsidR="003B0DD2">
        <w:t>art. </w:t>
      </w:r>
      <w:r>
        <w:t xml:space="preserve">8 Konwencji oraz że zbadał już główne argumenty podniesione na podstawie </w:t>
      </w:r>
      <w:r w:rsidR="003B0DD2">
        <w:t>art. </w:t>
      </w:r>
      <w:r>
        <w:t>3 Konwencji</w:t>
      </w:r>
      <w:r w:rsidR="003B0DD2">
        <w:t xml:space="preserve"> w </w:t>
      </w:r>
      <w:r>
        <w:t>odniesieniu do drugiego</w:t>
      </w:r>
      <w:r w:rsidR="003B0DD2">
        <w:t xml:space="preserve"> i </w:t>
      </w:r>
      <w:r>
        <w:t>trzeciego skarżącego</w:t>
      </w:r>
      <w:r w:rsidR="003B0DD2">
        <w:t xml:space="preserve"> w </w:t>
      </w:r>
      <w:r>
        <w:t xml:space="preserve">ramach rozważań dotyczących </w:t>
      </w:r>
      <w:r w:rsidR="003B0DD2">
        <w:t>art. </w:t>
      </w:r>
      <w:r>
        <w:t>8 (porównaj</w:t>
      </w:r>
      <w:r w:rsidR="003B0DD2">
        <w:t xml:space="preserve"> i </w:t>
      </w:r>
      <w:r>
        <w:t>zestaw</w:t>
      </w:r>
      <w:r w:rsidR="003B0DD2">
        <w:t xml:space="preserve"> z </w:t>
      </w:r>
      <w:r>
        <w:t>wyrokiem</w:t>
      </w:r>
      <w:r w:rsidR="003B0DD2">
        <w:t xml:space="preserve"> w </w:t>
      </w:r>
      <w:r>
        <w:t>sprawie Y.S.</w:t>
      </w:r>
      <w:r w:rsidR="003B0DD2">
        <w:t xml:space="preserve"> i </w:t>
      </w:r>
      <w:r>
        <w:t xml:space="preserve">O.S. </w:t>
      </w:r>
      <w:r w:rsidR="003B0DD2">
        <w:t>p. </w:t>
      </w:r>
      <w:r>
        <w:t>Rosji, nr 17665/17, §</w:t>
      </w:r>
      <w:r w:rsidR="003B0DD2">
        <w:t>§ </w:t>
      </w:r>
      <w:r>
        <w:t>104–105, 15 czerwca 2021</w:t>
      </w:r>
      <w:r w:rsidR="003B0DD2">
        <w:t> r.</w:t>
      </w:r>
      <w:r>
        <w:t>). Biorąc pod uwagę te rozważania (</w:t>
      </w:r>
      <w:r w:rsidR="003B0DD2">
        <w:t>zob. </w:t>
      </w:r>
      <w:r>
        <w:t xml:space="preserve">paragraf </w:t>
      </w:r>
      <w:r w:rsidR="001E029F">
        <w:t xml:space="preserve">53 </w:t>
      </w:r>
      <w:r>
        <w:t>powyżej), Trybunał stwierdza, że nie ma istotnych podstaw, by sądzić, iż</w:t>
      </w:r>
      <w:r w:rsidR="003B0DD2">
        <w:t xml:space="preserve"> w </w:t>
      </w:r>
      <w:r w:rsidR="001E029F">
        <w:t>przypadku powrotu do Rosji</w:t>
      </w:r>
      <w:r w:rsidR="003B0DD2">
        <w:t xml:space="preserve"> w </w:t>
      </w:r>
      <w:r w:rsidR="001E029F">
        <w:t xml:space="preserve">obecnych okolicznościach </w:t>
      </w:r>
      <w:r>
        <w:t>drugi</w:t>
      </w:r>
      <w:r w:rsidR="003B0DD2">
        <w:t xml:space="preserve"> i </w:t>
      </w:r>
      <w:r>
        <w:t>trzeci skarżący byliby narażeni na rzeczywiste ryzyko poddania ich traktowaniu sprzecznemu</w:t>
      </w:r>
      <w:r w:rsidR="003B0DD2">
        <w:t xml:space="preserve"> z art. </w:t>
      </w:r>
      <w:r>
        <w:t>3 Konwencji.</w:t>
      </w:r>
    </w:p>
    <w:p w14:paraId="39215316" w14:textId="268CCC79"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63</w:t>
      </w:r>
      <w:r w:rsidRPr="006054C3">
        <w:fldChar w:fldCharType="end"/>
      </w:r>
      <w:r>
        <w:t xml:space="preserve">.  Wynika stąd, że ta część skargi jest niedopuszczalna na podstawie </w:t>
      </w:r>
      <w:r w:rsidR="003B0DD2">
        <w:t>art. </w:t>
      </w:r>
      <w:r>
        <w:t>35 ust. 3 lit. a</w:t>
      </w:r>
      <w:r w:rsidR="000F370A">
        <w:t>)</w:t>
      </w:r>
      <w:r>
        <w:t xml:space="preserve"> Konwencji jako oczywiście bezzasadna</w:t>
      </w:r>
      <w:r w:rsidR="003B0DD2">
        <w:t xml:space="preserve"> i </w:t>
      </w:r>
      <w:r>
        <w:t>musi zostać odrzucona zgodnie</w:t>
      </w:r>
      <w:r w:rsidR="003B0DD2">
        <w:t xml:space="preserve"> z art. </w:t>
      </w:r>
      <w:r>
        <w:t>35 ust. 4 Konwencji.</w:t>
      </w:r>
    </w:p>
    <w:p w14:paraId="4E7D4CFB" w14:textId="3F039EF2" w:rsidR="00E96881" w:rsidRPr="006054C3" w:rsidRDefault="000F370A" w:rsidP="006054C3">
      <w:pPr>
        <w:pStyle w:val="JuHIRoman"/>
      </w:pPr>
      <w:r>
        <w:t>ARTYKUŁ 39 REGULAMINU TRYBUNAŁU</w:t>
      </w:r>
    </w:p>
    <w:p w14:paraId="37FF18CB" w14:textId="48C88D81"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64</w:t>
      </w:r>
      <w:r w:rsidRPr="006054C3">
        <w:fldChar w:fldCharType="end"/>
      </w:r>
      <w:r>
        <w:t>.  Trybunał przypomina, że zgodnie</w:t>
      </w:r>
      <w:r w:rsidR="003B0DD2">
        <w:t xml:space="preserve"> z art. </w:t>
      </w:r>
      <w:r>
        <w:t xml:space="preserve">44 ust. 2 Konwencji niniejszy wyrok nie stanie się ostateczny, dopóki a) strony nie oświadczą, że nie będą </w:t>
      </w:r>
      <w:r>
        <w:lastRenderedPageBreak/>
        <w:t>składać wniosku</w:t>
      </w:r>
      <w:r w:rsidR="003B0DD2">
        <w:t xml:space="preserve"> o </w:t>
      </w:r>
      <w:r>
        <w:t>przekazanie sprawy do Wielkiej Izby; lub b) nie upłyną trzy miesiące od daty wyroku, jeżeli nie złożono wniosku</w:t>
      </w:r>
      <w:r w:rsidR="003B0DD2">
        <w:t xml:space="preserve"> o </w:t>
      </w:r>
      <w:r>
        <w:t xml:space="preserve">przekazanie sprawy do Wielkiej Izby; lub c) </w:t>
      </w:r>
      <w:r w:rsidR="000F370A">
        <w:t>Z</w:t>
      </w:r>
      <w:r>
        <w:t>espół Wielkiej Izby nie odrzuci wniosku</w:t>
      </w:r>
      <w:r w:rsidR="003B0DD2">
        <w:t xml:space="preserve"> o </w:t>
      </w:r>
      <w:r>
        <w:t>przekazanie sprawy</w:t>
      </w:r>
      <w:r w:rsidR="003B0DD2">
        <w:t xml:space="preserve"> w </w:t>
      </w:r>
      <w:r w:rsidR="000F370A">
        <w:t>trybie</w:t>
      </w:r>
      <w:r>
        <w:t xml:space="preserve"> </w:t>
      </w:r>
      <w:r w:rsidR="003B0DD2">
        <w:t>art. </w:t>
      </w:r>
      <w:r>
        <w:t>43 Konwencji.</w:t>
      </w:r>
    </w:p>
    <w:p w14:paraId="5066F4E5" w14:textId="22B85309" w:rsidR="00E96881" w:rsidRPr="006054C3" w:rsidRDefault="006054C3" w:rsidP="006054C3">
      <w:pPr>
        <w:pStyle w:val="JuPara"/>
      </w:pPr>
      <w:r w:rsidRPr="006054C3">
        <w:fldChar w:fldCharType="begin"/>
      </w:r>
      <w:r>
        <w:instrText xml:space="preserve"> SEQ level0 \*arabic \* MERGEFORMAT </w:instrText>
      </w:r>
      <w:r w:rsidRPr="006054C3">
        <w:fldChar w:fldCharType="separate"/>
      </w:r>
      <w:r w:rsidR="00464384">
        <w:rPr>
          <w:noProof/>
        </w:rPr>
        <w:t>65</w:t>
      </w:r>
      <w:r w:rsidRPr="006054C3">
        <w:fldChar w:fldCharType="end"/>
      </w:r>
      <w:r>
        <w:t>.  </w:t>
      </w:r>
      <w:r w:rsidR="000F370A">
        <w:t>Trybunał uznaje</w:t>
      </w:r>
      <w:r>
        <w:t xml:space="preserve">, że wskazania przekazane Rządowi na podstawie </w:t>
      </w:r>
      <w:r w:rsidR="000F370A">
        <w:t>art.</w:t>
      </w:r>
      <w:r>
        <w:t xml:space="preserve"> 39 Regulaminu Trybunału powinny pozostać</w:t>
      </w:r>
      <w:r w:rsidR="003B0DD2">
        <w:t xml:space="preserve"> w </w:t>
      </w:r>
      <w:r>
        <w:t>mocy do czasu, aż niniejszy wyrok stanie się ostateczny</w:t>
      </w:r>
      <w:r w:rsidR="000F370A">
        <w:t>,</w:t>
      </w:r>
      <w:r>
        <w:t xml:space="preserve"> lub do czasu podjęcia przez Trybunał dalszej decyzji</w:t>
      </w:r>
      <w:r w:rsidR="003B0DD2">
        <w:t xml:space="preserve"> w </w:t>
      </w:r>
      <w:r>
        <w:t>tym zakresie (</w:t>
      </w:r>
      <w:r w:rsidR="003B0DD2">
        <w:t>zob. </w:t>
      </w:r>
      <w:r>
        <w:t>pkt 3 sentencji).</w:t>
      </w:r>
    </w:p>
    <w:p w14:paraId="18CDC42B" w14:textId="0E7DD828" w:rsidR="00E96881" w:rsidRPr="006054C3" w:rsidRDefault="003B0DD2" w:rsidP="006054C3">
      <w:pPr>
        <w:pStyle w:val="JuHHead"/>
        <w:numPr>
          <w:ilvl w:val="0"/>
          <w:numId w:val="21"/>
        </w:numPr>
        <w:ind w:left="360" w:hanging="360"/>
      </w:pPr>
      <w:r>
        <w:t>Z TYCH PRZYCZYN TRYBUNAŁ JEDNOGŁOŚNIE:</w:t>
      </w:r>
    </w:p>
    <w:p w14:paraId="28EB6A55" w14:textId="6EA3EEB4" w:rsidR="00E96881" w:rsidRPr="006054C3" w:rsidRDefault="008C2A17" w:rsidP="006054C3">
      <w:pPr>
        <w:pStyle w:val="JuList"/>
      </w:pPr>
      <w:r w:rsidRPr="007D7769">
        <w:rPr>
          <w:i/>
          <w:iCs/>
        </w:rPr>
        <w:t>uznaje</w:t>
      </w:r>
      <w:r>
        <w:t xml:space="preserve"> skargę dotyczącą </w:t>
      </w:r>
      <w:r w:rsidR="003B0DD2">
        <w:t>art. </w:t>
      </w:r>
      <w:r>
        <w:t>8 za dopuszczalną,</w:t>
      </w:r>
      <w:r w:rsidR="003B0DD2">
        <w:t xml:space="preserve"> a </w:t>
      </w:r>
      <w:r>
        <w:t>pozostałą część skargi za niedopuszczalną;</w:t>
      </w:r>
    </w:p>
    <w:p w14:paraId="6A5B0802" w14:textId="379F099F" w:rsidR="00E96881" w:rsidRPr="006054C3" w:rsidRDefault="008C2A17" w:rsidP="006054C3">
      <w:pPr>
        <w:pStyle w:val="JuList"/>
      </w:pPr>
      <w:r w:rsidRPr="007D7769">
        <w:rPr>
          <w:i/>
          <w:iCs/>
        </w:rPr>
        <w:t>orzeka</w:t>
      </w:r>
      <w:r>
        <w:t xml:space="preserve">, że nie doszło do naruszenia </w:t>
      </w:r>
      <w:r w:rsidR="003B0DD2">
        <w:t>art. </w:t>
      </w:r>
      <w:r>
        <w:t>8 Konwencji;</w:t>
      </w:r>
    </w:p>
    <w:p w14:paraId="414F195B" w14:textId="145635B2" w:rsidR="004D0EC7" w:rsidRPr="006054C3" w:rsidRDefault="008C2A17" w:rsidP="006054C3">
      <w:pPr>
        <w:pStyle w:val="JuList"/>
      </w:pPr>
      <w:r w:rsidRPr="007D7769">
        <w:rPr>
          <w:i/>
          <w:iCs/>
        </w:rPr>
        <w:t>postanawia</w:t>
      </w:r>
      <w:r>
        <w:t xml:space="preserve"> nadal wskazywać Rządowi na podstawie </w:t>
      </w:r>
      <w:r w:rsidR="009F6BD4">
        <w:t>art.</w:t>
      </w:r>
      <w:r>
        <w:t xml:space="preserve"> 39 Regulaminu Trybunału, że</w:t>
      </w:r>
      <w:r w:rsidR="003B0DD2">
        <w:t xml:space="preserve"> w </w:t>
      </w:r>
      <w:r>
        <w:t>interesie sprawnego prowadzenia postępowania pożądane jest niewydalanie drugiego</w:t>
      </w:r>
      <w:r w:rsidR="003B0DD2">
        <w:t xml:space="preserve"> i </w:t>
      </w:r>
      <w:r>
        <w:t>trzeciego skarżącego do czasu, aż niniejszy wyrok stanie się ostateczny lub do odwołania.</w:t>
      </w:r>
    </w:p>
    <w:p w14:paraId="128C8FBA" w14:textId="04769B9B" w:rsidR="008E3A08" w:rsidRPr="006054C3" w:rsidRDefault="008C2A17" w:rsidP="006054C3">
      <w:pPr>
        <w:pStyle w:val="JuParaLast"/>
      </w:pPr>
      <w:r>
        <w:t>Sporządzono</w:t>
      </w:r>
      <w:r w:rsidR="003B0DD2">
        <w:t xml:space="preserve"> w </w:t>
      </w:r>
      <w:r>
        <w:t>języku angielskim</w:t>
      </w:r>
      <w:r w:rsidR="003B0DD2">
        <w:t xml:space="preserve"> i </w:t>
      </w:r>
      <w:r>
        <w:t>obwieszczono pisemnie</w:t>
      </w:r>
      <w:r w:rsidR="003B0DD2">
        <w:t xml:space="preserve"> w </w:t>
      </w:r>
      <w:r>
        <w:t>dniu 16</w:t>
      </w:r>
      <w:r w:rsidR="003533F5">
        <w:t> </w:t>
      </w:r>
      <w:r>
        <w:t>grudnia 2025</w:t>
      </w:r>
      <w:r w:rsidR="003B0DD2">
        <w:t> r.</w:t>
      </w:r>
      <w:r>
        <w:t>, zgodnie</w:t>
      </w:r>
      <w:r w:rsidR="003B0DD2">
        <w:t xml:space="preserve"> z </w:t>
      </w:r>
      <w:r w:rsidR="003533F5">
        <w:t>art.</w:t>
      </w:r>
      <w:r>
        <w:t xml:space="preserve"> 77 ust. 2</w:t>
      </w:r>
      <w:r w:rsidR="003B0DD2">
        <w:t xml:space="preserve"> i </w:t>
      </w:r>
      <w:r>
        <w:t>3 Regulaminu Trybunału.</w:t>
      </w:r>
    </w:p>
    <w:p w14:paraId="357299FA" w14:textId="77777777" w:rsidR="007E79A4" w:rsidRPr="006054C3" w:rsidRDefault="008C2A17" w:rsidP="006054C3">
      <w:pPr>
        <w:pStyle w:val="ECHRPlaceholder"/>
        <w:rPr>
          <w:szCs w:val="22"/>
        </w:rPr>
      </w:pPr>
      <w:r>
        <w:tab/>
      </w:r>
    </w:p>
    <w:p w14:paraId="0889E9A2" w14:textId="77777777" w:rsidR="007E79A4" w:rsidRPr="006054C3" w:rsidRDefault="008C2A17" w:rsidP="006054C3">
      <w:pPr>
        <w:pStyle w:val="JuSigned"/>
      </w:pPr>
      <w:r>
        <w:tab/>
      </w:r>
      <w:proofErr w:type="spellStart"/>
      <w:r>
        <w:t>Hasan</w:t>
      </w:r>
      <w:proofErr w:type="spellEnd"/>
      <w:r>
        <w:t xml:space="preserve"> </w:t>
      </w:r>
      <w:proofErr w:type="spellStart"/>
      <w:r>
        <w:t>Bakırcı</w:t>
      </w:r>
      <w:proofErr w:type="spellEnd"/>
      <w:r>
        <w:tab/>
      </w:r>
      <w:proofErr w:type="spellStart"/>
      <w:r>
        <w:t>Arnfinn</w:t>
      </w:r>
      <w:proofErr w:type="spellEnd"/>
      <w:r>
        <w:t xml:space="preserve"> </w:t>
      </w:r>
      <w:proofErr w:type="spellStart"/>
      <w:r>
        <w:t>Bårdsen</w:t>
      </w:r>
      <w:proofErr w:type="spellEnd"/>
      <w:r>
        <w:br/>
      </w:r>
      <w:r>
        <w:tab/>
        <w:t>Kanclerz</w:t>
      </w:r>
      <w:r>
        <w:tab/>
        <w:t>Przewodniczący</w:t>
      </w:r>
    </w:p>
    <w:p w14:paraId="2DD4AF37" w14:textId="252C9DB2" w:rsidR="00710F25" w:rsidRPr="006054C3" w:rsidRDefault="008C2A17" w:rsidP="006054C3">
      <w:pPr>
        <w:pStyle w:val="JuParaLast"/>
        <w:spacing w:after="600"/>
      </w:pPr>
      <w:r>
        <w:t>Zgodnie</w:t>
      </w:r>
      <w:r w:rsidR="003B0DD2">
        <w:t xml:space="preserve"> z art. </w:t>
      </w:r>
      <w:r>
        <w:t xml:space="preserve">45 ust. 2 Konwencji oraz </w:t>
      </w:r>
      <w:r w:rsidR="003533F5">
        <w:t>art.</w:t>
      </w:r>
      <w:r>
        <w:t xml:space="preserve"> 74 ust. 2 Regulaminu Trybunału do niniejszego wyroku załączono wspólną opinię </w:t>
      </w:r>
      <w:r w:rsidR="003533F5">
        <w:t>zgodną</w:t>
      </w:r>
      <w:r>
        <w:t xml:space="preserve"> sędziów </w:t>
      </w:r>
      <w:proofErr w:type="spellStart"/>
      <w:r>
        <w:t>Yüksel</w:t>
      </w:r>
      <w:proofErr w:type="spellEnd"/>
      <w:r w:rsidR="003B0DD2">
        <w:t xml:space="preserve"> i </w:t>
      </w:r>
      <w:r>
        <w:t>Mercera.</w:t>
      </w:r>
    </w:p>
    <w:p w14:paraId="53528FC5" w14:textId="77777777" w:rsidR="00053870" w:rsidRPr="006054C3" w:rsidRDefault="00053870" w:rsidP="006054C3">
      <w:pPr>
        <w:pStyle w:val="JuParaLast"/>
      </w:pPr>
    </w:p>
    <w:p w14:paraId="21625AA6" w14:textId="77777777" w:rsidR="00053870" w:rsidRPr="006054C3" w:rsidRDefault="00053870" w:rsidP="006054C3">
      <w:pPr>
        <w:rPr>
          <w:color w:val="000000"/>
        </w:rPr>
        <w:sectPr w:rsidR="00053870" w:rsidRPr="006054C3" w:rsidSect="00E9688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14:paraId="553C633A" w14:textId="19027D08" w:rsidR="00452890" w:rsidRPr="006054C3" w:rsidRDefault="008C2A17" w:rsidP="006054C3">
      <w:pPr>
        <w:pStyle w:val="DecHTitle"/>
      </w:pPr>
      <w:r>
        <w:lastRenderedPageBreak/>
        <w:t xml:space="preserve">WSPÓLNA OPINIA </w:t>
      </w:r>
      <w:r w:rsidR="00B51FD2">
        <w:t>ZGODNA</w:t>
      </w:r>
      <w:r>
        <w:t xml:space="preserve"> SĘDZIÓ</w:t>
      </w:r>
      <w:r w:rsidR="003B0DD2">
        <w:t>W </w:t>
      </w:r>
      <w:r>
        <w:t>YÜKSEL I</w:t>
      </w:r>
      <w:r w:rsidR="00B51FD2">
        <w:t> </w:t>
      </w:r>
      <w:r>
        <w:t>MERCERA</w:t>
      </w:r>
    </w:p>
    <w:p w14:paraId="08B78882" w14:textId="2B681AAB" w:rsidR="00452890" w:rsidRPr="006054C3" w:rsidRDefault="003B0DD2" w:rsidP="006054C3">
      <w:pPr>
        <w:pStyle w:val="JuPara"/>
        <w:rPr>
          <w:rFonts w:eastAsia="Calibri"/>
        </w:rPr>
      </w:pPr>
      <w:r>
        <w:t>W niniejszej sprawie, choć zgadzamy się ze stanowiskiem większości co do wyniku, z szacunkiem odcinamy się od niektórych części uzasadnienia i podejścia przyjętego w wyroku z następujących powodów.</w:t>
      </w:r>
    </w:p>
    <w:p w14:paraId="03FC8DF1" w14:textId="4E70A016" w:rsidR="00452890" w:rsidRPr="006054C3" w:rsidRDefault="008C2A17" w:rsidP="006054C3">
      <w:pPr>
        <w:pStyle w:val="JuPara"/>
        <w:rPr>
          <w:rFonts w:eastAsia="Calibri"/>
        </w:rPr>
      </w:pPr>
      <w:r w:rsidRPr="006054C3">
        <w:rPr>
          <w:rFonts w:eastAsia="Calibri"/>
        </w:rPr>
        <w:fldChar w:fldCharType="begin"/>
      </w:r>
      <w:r w:rsidRPr="006054C3">
        <w:rPr>
          <w:rFonts w:eastAsia="Calibri"/>
        </w:rPr>
        <w:instrText xml:space="preserve"> AUTONUM  \* Arabic </w:instrText>
      </w:r>
      <w:r w:rsidRPr="006054C3">
        <w:rPr>
          <w:rFonts w:eastAsia="Calibri"/>
        </w:rPr>
        <w:fldChar w:fldCharType="end"/>
      </w:r>
      <w:r>
        <w:t>  </w:t>
      </w:r>
      <w:r w:rsidR="003B0DD2">
        <w:t>W </w:t>
      </w:r>
      <w:r>
        <w:t>odniesieniu do zasad ogólnych uzasadnienie Izby</w:t>
      </w:r>
      <w:r w:rsidR="003B0DD2">
        <w:t xml:space="preserve"> w </w:t>
      </w:r>
      <w:r>
        <w:t>niniejszej sprawie jest zgodne</w:t>
      </w:r>
      <w:r w:rsidR="003B0DD2">
        <w:t xml:space="preserve"> z </w:t>
      </w:r>
      <w:r>
        <w:t>wyrokiem</w:t>
      </w:r>
      <w:r w:rsidR="003B0DD2">
        <w:t xml:space="preserve"> w </w:t>
      </w:r>
      <w:r>
        <w:t xml:space="preserve">sprawie X </w:t>
      </w:r>
      <w:r w:rsidR="003B0DD2">
        <w:t>p. </w:t>
      </w:r>
      <w:r>
        <w:t>Łotwie ([GC], nr 27853/09, ETPC 2013),</w:t>
      </w:r>
      <w:r w:rsidR="003B0DD2">
        <w:t xml:space="preserve"> w </w:t>
      </w:r>
      <w:r>
        <w:t>którym Trybunał nałożył na państwa członkowskie szczególny obowiązek proceduralny. Sądy krajowe muszą nie tylko wziąć pod uwagę sprzeciw wobec powrotu mogący mieścić się</w:t>
      </w:r>
      <w:r w:rsidR="003B0DD2">
        <w:t xml:space="preserve"> w </w:t>
      </w:r>
      <w:r>
        <w:t>zakresie wyjątków przewidzianych</w:t>
      </w:r>
      <w:r w:rsidR="003B0DD2">
        <w:t xml:space="preserve"> w </w:t>
      </w:r>
      <w:r w:rsidR="00B51FD2">
        <w:t>k</w:t>
      </w:r>
      <w:r>
        <w:t>onwencji haskiej, lecz</w:t>
      </w:r>
      <w:r w:rsidR="00B51FD2">
        <w:t xml:space="preserve"> także</w:t>
      </w:r>
      <w:r>
        <w:t xml:space="preserve"> przedstawić</w:t>
      </w:r>
      <w:r w:rsidR="003B0DD2">
        <w:t xml:space="preserve"> w </w:t>
      </w:r>
      <w:r>
        <w:t>swoim orzeczeniu wystarczające uzasadnienie oddalenia takiego sprzeciwu,</w:t>
      </w:r>
      <w:r w:rsidR="003B0DD2">
        <w:t xml:space="preserve"> w </w:t>
      </w:r>
      <w:r>
        <w:t xml:space="preserve">przeciwnym razie naruszyłyby </w:t>
      </w:r>
      <w:r w:rsidR="003B0DD2">
        <w:t>art. </w:t>
      </w:r>
      <w:r>
        <w:t>8</w:t>
      </w:r>
      <w:r w:rsidR="003B0DD2">
        <w:t xml:space="preserve"> i </w:t>
      </w:r>
      <w:r>
        <w:t>działałyby</w:t>
      </w:r>
      <w:r w:rsidR="003B0DD2">
        <w:t xml:space="preserve"> w </w:t>
      </w:r>
      <w:r>
        <w:t>sposób niezgodny</w:t>
      </w:r>
      <w:r w:rsidR="003B0DD2">
        <w:t xml:space="preserve"> z </w:t>
      </w:r>
      <w:r>
        <w:t>samym celem</w:t>
      </w:r>
      <w:r w:rsidR="003B0DD2">
        <w:t xml:space="preserve"> i </w:t>
      </w:r>
      <w:r>
        <w:t xml:space="preserve">przedmiotem </w:t>
      </w:r>
      <w:r w:rsidR="00A77392">
        <w:t>k</w:t>
      </w:r>
      <w:r>
        <w:t xml:space="preserve">onwencji haskiej. </w:t>
      </w:r>
      <w:r w:rsidR="003B0DD2">
        <w:t>W </w:t>
      </w:r>
      <w:r>
        <w:t>zakresie,</w:t>
      </w:r>
      <w:r w:rsidR="003B0DD2">
        <w:t xml:space="preserve"> w </w:t>
      </w:r>
      <w:r>
        <w:t>jakim Sąd Najwyższy</w:t>
      </w:r>
      <w:r w:rsidR="003B0DD2">
        <w:t xml:space="preserve"> w </w:t>
      </w:r>
      <w:r>
        <w:t>swoim wyroku</w:t>
      </w:r>
      <w:r w:rsidR="003B0DD2">
        <w:t xml:space="preserve"> z </w:t>
      </w:r>
      <w:r>
        <w:t>dnia 27 września 2023</w:t>
      </w:r>
      <w:r w:rsidR="003B0DD2">
        <w:t> r.</w:t>
      </w:r>
      <w:r>
        <w:t xml:space="preserve"> odpowiednio ustalił, czy </w:t>
      </w:r>
      <w:r w:rsidR="00A77392">
        <w:t xml:space="preserve">biorąc pod uwagę stopień dojrzałości dzieci, można uwzględnić ich </w:t>
      </w:r>
      <w:r>
        <w:t>sprzeciw wobec powrotu, zbadał wpływ powrotu na dalsze relacje dzieci</w:t>
      </w:r>
      <w:r w:rsidR="003B0DD2">
        <w:t xml:space="preserve"> z </w:t>
      </w:r>
      <w:r>
        <w:t>ojcem oraz odniósł się do każdego</w:t>
      </w:r>
      <w:r w:rsidR="003B0DD2">
        <w:t xml:space="preserve"> z </w:t>
      </w:r>
      <w:r>
        <w:t>zarzutów dotyczących poważnego ryzyka podniesionych przez skarżącego,</w:t>
      </w:r>
      <w:r w:rsidR="003B0DD2">
        <w:t xml:space="preserve"> w </w:t>
      </w:r>
      <w:r>
        <w:t>tym faktu, że starsze dziecko „zdecydowanie</w:t>
      </w:r>
      <w:r w:rsidR="003B0DD2">
        <w:t xml:space="preserve"> i </w:t>
      </w:r>
      <w:r>
        <w:t>szczerze sprzeciwiało się powrotowi”, zgadzamy się</w:t>
      </w:r>
      <w:r w:rsidR="003B0DD2">
        <w:t xml:space="preserve"> z </w:t>
      </w:r>
      <w:r>
        <w:t>przyjętym wynikiem, który może być spójny</w:t>
      </w:r>
      <w:r w:rsidR="003B0DD2">
        <w:t xml:space="preserve"> z </w:t>
      </w:r>
      <w:r>
        <w:t>formą kontroli opartej na procesie</w:t>
      </w:r>
      <w:r w:rsidR="003B0DD2">
        <w:t xml:space="preserve"> i </w:t>
      </w:r>
      <w:r>
        <w:t>zasadą pomocniczości (subsydiarności).</w:t>
      </w:r>
    </w:p>
    <w:p w14:paraId="0ADDF832" w14:textId="05855AAC" w:rsidR="00452890" w:rsidRPr="006054C3" w:rsidRDefault="008C2A17" w:rsidP="006054C3">
      <w:pPr>
        <w:pStyle w:val="JuPara"/>
        <w:rPr>
          <w:rFonts w:eastAsia="Calibri"/>
        </w:rPr>
      </w:pPr>
      <w:r w:rsidRPr="006054C3">
        <w:rPr>
          <w:rFonts w:eastAsia="Calibri"/>
        </w:rPr>
        <w:fldChar w:fldCharType="begin"/>
      </w:r>
      <w:r w:rsidRPr="006054C3">
        <w:rPr>
          <w:rFonts w:eastAsia="Calibri"/>
        </w:rPr>
        <w:instrText xml:space="preserve"> AUTONUM  \* Arabic </w:instrText>
      </w:r>
      <w:r w:rsidRPr="006054C3">
        <w:rPr>
          <w:rFonts w:eastAsia="Calibri"/>
        </w:rPr>
        <w:fldChar w:fldCharType="end"/>
      </w:r>
      <w:r>
        <w:t xml:space="preserve">  Chcielibyśmy jednak podkreślić, że sprawa ta dotyczy </w:t>
      </w:r>
      <w:r w:rsidR="00A77392">
        <w:t>nowej kwestii</w:t>
      </w:r>
      <w:r>
        <w:t xml:space="preserve">. Po raz pierwszy stawia </w:t>
      </w:r>
      <w:r w:rsidR="00A77392">
        <w:t>się</w:t>
      </w:r>
      <w:r>
        <w:t xml:space="preserve"> pytanie</w:t>
      </w:r>
      <w:r w:rsidR="003B0DD2">
        <w:t xml:space="preserve"> o </w:t>
      </w:r>
      <w:r>
        <w:t xml:space="preserve">powrót dzieci na podstawie </w:t>
      </w:r>
      <w:r w:rsidR="00A77392">
        <w:t>k</w:t>
      </w:r>
      <w:r>
        <w:t>onwencji haskiej do kraju,</w:t>
      </w:r>
      <w:r w:rsidR="003B0DD2">
        <w:t xml:space="preserve"> w </w:t>
      </w:r>
      <w:r>
        <w:t xml:space="preserve">stosunku do którego </w:t>
      </w:r>
      <w:r w:rsidRPr="007D7769">
        <w:rPr>
          <w:i/>
          <w:iCs/>
        </w:rPr>
        <w:t>przyznano</w:t>
      </w:r>
      <w:r>
        <w:t xml:space="preserve"> im azyl. </w:t>
      </w:r>
      <w:r w:rsidR="003B0DD2">
        <w:t>W </w:t>
      </w:r>
      <w:r>
        <w:t>niniejszej sprawie Sąd Najwyższy został poproszony</w:t>
      </w:r>
      <w:r w:rsidR="003B0DD2">
        <w:t xml:space="preserve"> o </w:t>
      </w:r>
      <w:r>
        <w:t>rewizję swojej decyzji</w:t>
      </w:r>
      <w:r w:rsidR="003B0DD2">
        <w:t xml:space="preserve"> w </w:t>
      </w:r>
      <w:r>
        <w:t>świetle nowego faktu związanego</w:t>
      </w:r>
      <w:r w:rsidR="003B0DD2">
        <w:t xml:space="preserve"> z </w:t>
      </w:r>
      <w:r>
        <w:t xml:space="preserve">nowo nabytym statusem azylanta dzieci. Chociaż, biorąc pod uwagę margines </w:t>
      </w:r>
      <w:r w:rsidR="00A77392">
        <w:t>swobody</w:t>
      </w:r>
      <w:r>
        <w:t xml:space="preserve">, można sobie wyobrazić, że Trybunał nie </w:t>
      </w:r>
      <w:r w:rsidR="00A77392">
        <w:t>zakwestionowałby</w:t>
      </w:r>
      <w:r>
        <w:t xml:space="preserve"> ustalenia Sądu Najwyższego, iż przyznanie dzieciom azylu nie wymagało analizy pod kątem oceny „poważnego ryzyka”, ponieważ wynikało ono automatycznie</w:t>
      </w:r>
      <w:r w:rsidR="003B0DD2">
        <w:t xml:space="preserve"> z </w:t>
      </w:r>
      <w:r>
        <w:t>przyznania azylu ojcu, mamy jednak wątpliwości, czy fakt automatycznego przyznania azylu dzieciom może usuwać potrzebę ponownej oceny przez Sąd Najwyższy ryzyka grożącego dzieciom</w:t>
      </w:r>
      <w:r w:rsidR="003B0DD2">
        <w:t xml:space="preserve"> w </w:t>
      </w:r>
      <w:r>
        <w:t>świetle tego, co uważamy za nowy czynnik</w:t>
      </w:r>
      <w:r w:rsidR="003B0DD2">
        <w:t xml:space="preserve"> o </w:t>
      </w:r>
      <w:r>
        <w:t>istotnym znaczeniu.</w:t>
      </w:r>
    </w:p>
    <w:p w14:paraId="00875F00" w14:textId="00119458" w:rsidR="00452890" w:rsidRPr="006054C3" w:rsidRDefault="008C2A17" w:rsidP="006054C3">
      <w:pPr>
        <w:pStyle w:val="JuPara"/>
        <w:rPr>
          <w:rFonts w:eastAsia="Calibri"/>
        </w:rPr>
      </w:pPr>
      <w:r w:rsidRPr="006054C3">
        <w:rPr>
          <w:rFonts w:eastAsia="Calibri"/>
        </w:rPr>
        <w:fldChar w:fldCharType="begin"/>
      </w:r>
      <w:r w:rsidRPr="006054C3">
        <w:rPr>
          <w:rFonts w:eastAsia="Calibri"/>
        </w:rPr>
        <w:instrText xml:space="preserve"> AUTONUM  \* Arabic </w:instrText>
      </w:r>
      <w:r w:rsidRPr="006054C3">
        <w:rPr>
          <w:rFonts w:eastAsia="Calibri"/>
        </w:rPr>
        <w:fldChar w:fldCharType="end"/>
      </w:r>
      <w:r>
        <w:t>  Zgodnie</w:t>
      </w:r>
      <w:r w:rsidR="003B0DD2">
        <w:t xml:space="preserve"> z </w:t>
      </w:r>
      <w:r>
        <w:t>naszym orzecznictwem ustalenie</w:t>
      </w:r>
      <w:r w:rsidR="003B0DD2">
        <w:t xml:space="preserve"> w </w:t>
      </w:r>
      <w:r>
        <w:t>niniejszej sprawie, czy sądy krajowe przeprowadziły wszechstronne</w:t>
      </w:r>
      <w:r w:rsidR="003B0DD2">
        <w:t xml:space="preserve"> i </w:t>
      </w:r>
      <w:r>
        <w:t xml:space="preserve">dogłębne badanie wszystkich istotnych czynników, wymaga oceny, czy </w:t>
      </w:r>
      <w:r w:rsidR="00056927">
        <w:t>kwestia azylu</w:t>
      </w:r>
      <w:r>
        <w:t xml:space="preserve"> — jako jeden</w:t>
      </w:r>
      <w:r w:rsidR="003B0DD2">
        <w:t xml:space="preserve"> z </w:t>
      </w:r>
      <w:r>
        <w:t>takich istotnych czynników — został</w:t>
      </w:r>
      <w:r w:rsidR="00283581">
        <w:t>a</w:t>
      </w:r>
      <w:r>
        <w:t xml:space="preserve"> wystarczająco</w:t>
      </w:r>
      <w:r w:rsidR="003B0DD2">
        <w:t xml:space="preserve"> i </w:t>
      </w:r>
      <w:r>
        <w:t xml:space="preserve">rzetelnie </w:t>
      </w:r>
      <w:r w:rsidR="00283581">
        <w:t xml:space="preserve">zbadana </w:t>
      </w:r>
      <w:r>
        <w:t>(</w:t>
      </w:r>
      <w:r w:rsidR="003B0DD2">
        <w:t>zob. </w:t>
      </w:r>
      <w:proofErr w:type="spellStart"/>
      <w:r w:rsidRPr="003B0DD2">
        <w:t>Neulinger</w:t>
      </w:r>
      <w:proofErr w:type="spellEnd"/>
      <w:r w:rsidR="003B0DD2">
        <w:t xml:space="preserve"> i </w:t>
      </w:r>
      <w:proofErr w:type="spellStart"/>
      <w:r w:rsidRPr="003B0DD2">
        <w:t>Shuruk</w:t>
      </w:r>
      <w:proofErr w:type="spellEnd"/>
      <w:r w:rsidRPr="003B0DD2">
        <w:t xml:space="preserve"> </w:t>
      </w:r>
      <w:r w:rsidR="003B0DD2" w:rsidRPr="003B0DD2">
        <w:t>p. </w:t>
      </w:r>
      <w:r w:rsidRPr="003B0DD2">
        <w:t xml:space="preserve">Szwajcarii [GC], nr 41615/07, </w:t>
      </w:r>
      <w:r w:rsidR="003B0DD2" w:rsidRPr="003B0DD2">
        <w:t>§ </w:t>
      </w:r>
      <w:r w:rsidRPr="003B0DD2">
        <w:t xml:space="preserve">139, ETPC 2010; </w:t>
      </w:r>
      <w:proofErr w:type="spellStart"/>
      <w:r w:rsidRPr="003B0DD2">
        <w:t>Maumousseau</w:t>
      </w:r>
      <w:proofErr w:type="spellEnd"/>
      <w:r w:rsidR="003B0DD2">
        <w:t xml:space="preserve"> i </w:t>
      </w:r>
      <w:r w:rsidRPr="003B0DD2">
        <w:t xml:space="preserve">Washington </w:t>
      </w:r>
      <w:r w:rsidR="003B0DD2" w:rsidRPr="003B0DD2">
        <w:t>p. </w:t>
      </w:r>
      <w:r w:rsidRPr="003B0DD2">
        <w:t xml:space="preserve">Francji, nr 39388/05, </w:t>
      </w:r>
      <w:r w:rsidR="003B0DD2" w:rsidRPr="003B0DD2">
        <w:t>§ </w:t>
      </w:r>
      <w:r w:rsidRPr="003B0DD2">
        <w:t>74, 6 grudnia 2007</w:t>
      </w:r>
      <w:r w:rsidR="003B0DD2" w:rsidRPr="003B0DD2">
        <w:t> r.</w:t>
      </w:r>
      <w:r w:rsidRPr="003B0DD2">
        <w:t>).</w:t>
      </w:r>
      <w:r w:rsidRPr="003B0DD2">
        <w:rPr>
          <w:i/>
        </w:rPr>
        <w:t xml:space="preserve"> </w:t>
      </w:r>
      <w:r w:rsidR="003B0DD2">
        <w:t>Z </w:t>
      </w:r>
      <w:r>
        <w:t xml:space="preserve">najwyższym szacunkiem dla naszych kolegów podkreślamy, że ocena Sądu Najwyższego, koncentrująca się na automatycznym charakterze </w:t>
      </w:r>
      <w:r>
        <w:lastRenderedPageBreak/>
        <w:t>przyznania azylu, nie jest sama</w:t>
      </w:r>
      <w:r w:rsidR="003B0DD2">
        <w:t xml:space="preserve"> w </w:t>
      </w:r>
      <w:r>
        <w:t>sobie wystarczająca. Dzieje się tak dlatego, że skupienie się na automatycznym charakterze przyznania azylu mogło doprowadzić Sąd Najwyższy do zaniechania oceny jego skutków dla ryzyka grożącego dzieciom</w:t>
      </w:r>
      <w:r w:rsidR="003B0DD2">
        <w:t xml:space="preserve"> w </w:t>
      </w:r>
      <w:r>
        <w:t>przypadku powrotu.</w:t>
      </w:r>
    </w:p>
    <w:p w14:paraId="64542564" w14:textId="3E9EF9B8" w:rsidR="00452890" w:rsidRPr="006054C3" w:rsidRDefault="008C2A17" w:rsidP="006054C3">
      <w:pPr>
        <w:pStyle w:val="JuPara"/>
        <w:rPr>
          <w:rFonts w:eastAsia="Calibri"/>
        </w:rPr>
      </w:pPr>
      <w:r w:rsidRPr="006054C3">
        <w:rPr>
          <w:rFonts w:eastAsia="Calibri"/>
        </w:rPr>
        <w:fldChar w:fldCharType="begin"/>
      </w:r>
      <w:r w:rsidRPr="006054C3">
        <w:rPr>
          <w:rFonts w:eastAsia="Calibri"/>
        </w:rPr>
        <w:instrText xml:space="preserve"> AUTONUM  \* Arabic </w:instrText>
      </w:r>
      <w:r w:rsidRPr="006054C3">
        <w:rPr>
          <w:rFonts w:eastAsia="Calibri"/>
        </w:rPr>
        <w:fldChar w:fldCharType="end"/>
      </w:r>
      <w:r>
        <w:t>  Ogólnie rzecz biorąc,</w:t>
      </w:r>
      <w:r w:rsidR="003B0DD2">
        <w:t xml:space="preserve"> w </w:t>
      </w:r>
      <w:r>
        <w:t>pojęcie azylu wpisane jest istnienie poważnego ryzyka dla osób, którym go przyznano,</w:t>
      </w:r>
      <w:r w:rsidR="003B0DD2">
        <w:t xml:space="preserve"> w </w:t>
      </w:r>
      <w:r>
        <w:t xml:space="preserve">przypadku ich powrotu do kraju pochodzenia. </w:t>
      </w:r>
      <w:r w:rsidR="00056927">
        <w:t>Zasadnicze</w:t>
      </w:r>
      <w:r>
        <w:t xml:space="preserve"> znaczenie dla ochrony przed arbitralnym </w:t>
      </w:r>
      <w:proofErr w:type="spellStart"/>
      <w:r>
        <w:t>r</w:t>
      </w:r>
      <w:r>
        <w:rPr>
          <w:i/>
          <w:iCs/>
        </w:rPr>
        <w:t>efoulement</w:t>
      </w:r>
      <w:proofErr w:type="spellEnd"/>
      <w:r>
        <w:t xml:space="preserve"> ma zakaz powrotu do kraju,</w:t>
      </w:r>
      <w:r w:rsidR="003B0DD2">
        <w:t xml:space="preserve"> z </w:t>
      </w:r>
      <w:r>
        <w:t>którego uciekły osoby ubiegające się</w:t>
      </w:r>
      <w:r w:rsidR="003B0DD2">
        <w:t xml:space="preserve"> o </w:t>
      </w:r>
      <w:r>
        <w:t xml:space="preserve">azyl (F.G. </w:t>
      </w:r>
      <w:r w:rsidR="003B0DD2">
        <w:t>p. </w:t>
      </w:r>
      <w:r>
        <w:t xml:space="preserve">Szwecji [GC], nr 43611/11, </w:t>
      </w:r>
      <w:r w:rsidR="003B0DD2">
        <w:t>§ </w:t>
      </w:r>
      <w:r>
        <w:t>117, 23 marca 2016</w:t>
      </w:r>
      <w:r w:rsidR="003B0DD2">
        <w:t> r.</w:t>
      </w:r>
      <w:r>
        <w:t>). Ostatecznie, nawet jeśli azyl dziecka wynikał</w:t>
      </w:r>
      <w:r w:rsidR="003B0DD2">
        <w:t xml:space="preserve"> z </w:t>
      </w:r>
      <w:r>
        <w:t>azylu jego rodziców, dziecku</w:t>
      </w:r>
      <w:r w:rsidR="003B0DD2">
        <w:t xml:space="preserve"> w </w:t>
      </w:r>
      <w:r>
        <w:t xml:space="preserve">rzeczywistości przyznano azyl. </w:t>
      </w:r>
      <w:r w:rsidR="003B0DD2">
        <w:t>W </w:t>
      </w:r>
      <w:r w:rsidR="00056927">
        <w:t>związku</w:t>
      </w:r>
      <w:r w:rsidR="003B0DD2">
        <w:t xml:space="preserve"> z </w:t>
      </w:r>
      <w:r w:rsidR="00056927">
        <w:t>tym</w:t>
      </w:r>
      <w:r>
        <w:t xml:space="preserve"> nakaz powrotu dzieci wydany przez Sąd Najwyższy, bez ponownej </w:t>
      </w:r>
      <w:r w:rsidR="00283581">
        <w:t>oceny</w:t>
      </w:r>
      <w:r>
        <w:t xml:space="preserve"> czy przyznanie azylu może oznaczać istnienie ryzyka, na jakie narażone są dzieci</w:t>
      </w:r>
      <w:r w:rsidR="003B0DD2">
        <w:t xml:space="preserve"> w </w:t>
      </w:r>
      <w:r>
        <w:t xml:space="preserve">przypadku powrotu, może </w:t>
      </w:r>
      <w:r w:rsidR="00283581">
        <w:t>prowadzić do pominięcia istoty sprawy</w:t>
      </w:r>
      <w:r>
        <w:t xml:space="preserve">. Trybunał powinien był </w:t>
      </w:r>
      <w:r w:rsidR="00056927">
        <w:t xml:space="preserve">zatem </w:t>
      </w:r>
      <w:r>
        <w:t>zauważyć, że Sąd Najwyższy był zobowiązany do rzetelnego uwzględnienia wszystkich czynników mogących stanowić podstawę odmowy powrotu</w:t>
      </w:r>
      <w:r w:rsidR="003B0DD2">
        <w:t xml:space="preserve"> w </w:t>
      </w:r>
      <w:r>
        <w:t xml:space="preserve">zastosowaniu </w:t>
      </w:r>
      <w:r w:rsidR="00056927">
        <w:t>k</w:t>
      </w:r>
      <w:r>
        <w:t>onwencji haskiej, gdy rozpatrywał drugi nadzwyczajny wniosek</w:t>
      </w:r>
      <w:r w:rsidR="003B0DD2">
        <w:t xml:space="preserve"> o </w:t>
      </w:r>
      <w:r>
        <w:t>uchylenie swojej decyzji.</w:t>
      </w:r>
    </w:p>
    <w:p w14:paraId="0B2B557C" w14:textId="46B03D53" w:rsidR="00452890" w:rsidRPr="006054C3" w:rsidRDefault="008C2A17" w:rsidP="006054C3">
      <w:pPr>
        <w:pStyle w:val="JuPara"/>
        <w:rPr>
          <w:rFonts w:eastAsia="Calibri"/>
        </w:rPr>
      </w:pPr>
      <w:r w:rsidRPr="006054C3">
        <w:rPr>
          <w:rFonts w:eastAsia="Calibri"/>
        </w:rPr>
        <w:fldChar w:fldCharType="begin"/>
      </w:r>
      <w:r w:rsidRPr="006054C3">
        <w:rPr>
          <w:rFonts w:eastAsia="Calibri"/>
        </w:rPr>
        <w:instrText xml:space="preserve"> AUTONUM  \* Arabic </w:instrText>
      </w:r>
      <w:r w:rsidRPr="006054C3">
        <w:rPr>
          <w:rFonts w:eastAsia="Calibri"/>
        </w:rPr>
        <w:fldChar w:fldCharType="end"/>
      </w:r>
      <w:r>
        <w:t>  Podejście Sądu Najwyższego doprowadziło go również do zaniechania oceny ryzyka prześladowania małoletnich skarżących</w:t>
      </w:r>
      <w:r w:rsidR="003B0DD2">
        <w:t xml:space="preserve"> w </w:t>
      </w:r>
      <w:r>
        <w:t>związku</w:t>
      </w:r>
      <w:r w:rsidR="003B0DD2">
        <w:t xml:space="preserve"> z </w:t>
      </w:r>
      <w:r>
        <w:t xml:space="preserve">przyznaniem azylu ich ojcu oraz </w:t>
      </w:r>
      <w:r w:rsidR="007F0C9D">
        <w:t>oceny</w:t>
      </w:r>
      <w:r>
        <w:t>, czy ryzyko prześladowania grożące ich ojcu</w:t>
      </w:r>
      <w:r w:rsidR="003B0DD2">
        <w:t xml:space="preserve"> i </w:t>
      </w:r>
      <w:r>
        <w:t>uznane przez władze fińskie</w:t>
      </w:r>
      <w:r w:rsidR="007F0C9D">
        <w:t>,</w:t>
      </w:r>
      <w:r>
        <w:t xml:space="preserve"> </w:t>
      </w:r>
      <w:r w:rsidR="007F0C9D">
        <w:t>gdy</w:t>
      </w:r>
      <w:r>
        <w:t xml:space="preserve"> przyznawa</w:t>
      </w:r>
      <w:r w:rsidR="007F0C9D">
        <w:t>ły</w:t>
      </w:r>
      <w:r>
        <w:t xml:space="preserve"> mu azyl</w:t>
      </w:r>
      <w:r w:rsidR="007F0C9D">
        <w:t>,</w:t>
      </w:r>
      <w:r>
        <w:t xml:space="preserve"> mogło stanowić „poważne ryzyko” dla dzieci</w:t>
      </w:r>
      <w:r w:rsidR="003B0DD2">
        <w:t xml:space="preserve"> w </w:t>
      </w:r>
      <w:r>
        <w:t>przypadku ich powrotu do Rosji — ryzyko, które wymagało oceny przed podjęciem decyzji</w:t>
      </w:r>
      <w:r w:rsidR="003B0DD2">
        <w:t xml:space="preserve"> o </w:t>
      </w:r>
      <w:r>
        <w:t>powrocie (</w:t>
      </w:r>
      <w:r w:rsidR="003B0DD2">
        <w:t>zob. </w:t>
      </w:r>
      <w:r>
        <w:t>paragraf 53 wyroku). Sąd Najwyższy nie upewnił się również, czy zapewniono odpowiednie gwarancje</w:t>
      </w:r>
      <w:r w:rsidR="003B0DD2">
        <w:t xml:space="preserve"> w </w:t>
      </w:r>
      <w:r>
        <w:t>celu przeciwdziałania temu potencjalnemu ryzyku</w:t>
      </w:r>
      <w:r w:rsidR="003B0DD2">
        <w:t xml:space="preserve"> w </w:t>
      </w:r>
      <w:r>
        <w:t xml:space="preserve">kraju powrotu (X </w:t>
      </w:r>
      <w:r w:rsidR="003B0DD2">
        <w:t>p. </w:t>
      </w:r>
      <w:r>
        <w:t xml:space="preserve">Łotwie, </w:t>
      </w:r>
      <w:r w:rsidR="003B0DD2">
        <w:t>§ </w:t>
      </w:r>
      <w:r>
        <w:t xml:space="preserve">108; </w:t>
      </w:r>
      <w:r w:rsidR="003B0DD2">
        <w:t>zob. </w:t>
      </w:r>
      <w:r>
        <w:t>również Y.S.</w:t>
      </w:r>
      <w:r w:rsidR="003B0DD2">
        <w:t xml:space="preserve"> i </w:t>
      </w:r>
      <w:r>
        <w:t xml:space="preserve">O.S. </w:t>
      </w:r>
      <w:r w:rsidR="003B0DD2">
        <w:t>p. </w:t>
      </w:r>
      <w:r>
        <w:t xml:space="preserve">Rosji, nr 17665/17, </w:t>
      </w:r>
      <w:r w:rsidR="003B0DD2">
        <w:t>§ </w:t>
      </w:r>
      <w:r>
        <w:t>98, 15 czerwca 2021</w:t>
      </w:r>
      <w:r w:rsidR="003B0DD2">
        <w:t> r.</w:t>
      </w:r>
      <w:r>
        <w:t>). Chociaż nie oznacza to, że Trybunał powinien sam oceniać, czy małoletnim skarżącym groziło poważne ryzyko prześladowań politycznych, sądy</w:t>
      </w:r>
      <w:r w:rsidR="003B0DD2">
        <w:t xml:space="preserve"> </w:t>
      </w:r>
      <w:r w:rsidR="00876EC2">
        <w:t>orzekające w przyszłych sprawach</w:t>
      </w:r>
      <w:r>
        <w:t xml:space="preserve"> muszą rzetelnie rozważać skutki przyznania azylu</w:t>
      </w:r>
      <w:r w:rsidR="003B0DD2">
        <w:t xml:space="preserve"> w </w:t>
      </w:r>
      <w:r>
        <w:t>swojej ocenie wszelkich możliwych do obrony twierdzeń</w:t>
      </w:r>
      <w:r w:rsidR="003B0DD2">
        <w:t xml:space="preserve"> o </w:t>
      </w:r>
      <w:r>
        <w:t>„poważnym ryzyku”.</w:t>
      </w:r>
    </w:p>
    <w:p w14:paraId="187B210F" w14:textId="444A64B8" w:rsidR="00E96881" w:rsidRPr="006054C3" w:rsidRDefault="008C2A17" w:rsidP="006054C3">
      <w:pPr>
        <w:pStyle w:val="JuPara"/>
      </w:pPr>
      <w:r w:rsidRPr="006054C3">
        <w:rPr>
          <w:rFonts w:eastAsia="Calibri"/>
        </w:rPr>
        <w:fldChar w:fldCharType="begin"/>
      </w:r>
      <w:r w:rsidRPr="006054C3">
        <w:rPr>
          <w:rFonts w:eastAsia="Calibri"/>
        </w:rPr>
        <w:instrText xml:space="preserve"> AUTONUM  \* Arabic </w:instrText>
      </w:r>
      <w:r w:rsidRPr="006054C3">
        <w:rPr>
          <w:rFonts w:eastAsia="Calibri"/>
        </w:rPr>
        <w:fldChar w:fldCharType="end"/>
      </w:r>
      <w:r>
        <w:t>  Podsumowując, obawiamy się, że podejście przyjęte</w:t>
      </w:r>
      <w:r w:rsidR="003B0DD2">
        <w:t xml:space="preserve"> w </w:t>
      </w:r>
      <w:r>
        <w:t>niniejszej sprawie</w:t>
      </w:r>
      <w:r w:rsidR="003B0DD2">
        <w:t xml:space="preserve"> w </w:t>
      </w:r>
      <w:r>
        <w:t>odniesieniu do azylu</w:t>
      </w:r>
      <w:r w:rsidR="003B0DD2">
        <w:t xml:space="preserve"> i </w:t>
      </w:r>
      <w:r>
        <w:t>powrotu dzieci do krajów,</w:t>
      </w:r>
      <w:r w:rsidR="003B0DD2">
        <w:t xml:space="preserve"> w </w:t>
      </w:r>
      <w:r>
        <w:t>stosunku do których przyznano im azyl, może mieć istotne konsekwencje dla przyszłych spraw wnoszonych do naszego Trybunału. Przychylenie się przez Trybunał do rozumowania Sądu Najwyższego może być interpretowane jako akceptacja dla nakazu powrotu</w:t>
      </w:r>
      <w:r w:rsidR="003B0DD2">
        <w:t xml:space="preserve"> w </w:t>
      </w:r>
      <w:r>
        <w:t>sytuacji, gdy sąd uznał po prostu, że azyl nie stanowi nowego faktu</w:t>
      </w:r>
      <w:r w:rsidR="003B0DD2">
        <w:t xml:space="preserve"> o </w:t>
      </w:r>
      <w:r>
        <w:t>istotnym znaczeniu dla oceny ryzyka. Zgodnie</w:t>
      </w:r>
      <w:r w:rsidR="003B0DD2">
        <w:t xml:space="preserve"> z </w:t>
      </w:r>
      <w:r>
        <w:t>tym podejściem nawet gdyby dzieciom przyznano azyl oddzielnie, powrót mógłby być możliwy, gdyby Sąd Najwyższy uznał, że azyl nie jest „nowym” faktem</w:t>
      </w:r>
      <w:r w:rsidR="003B0DD2">
        <w:t xml:space="preserve"> o </w:t>
      </w:r>
      <w:r>
        <w:t>istotnym znaczeniu wpływającym na ocenę ryzyka przyjętą do tej pory przez niższe sądy krajowe. Podejście Trybunału</w:t>
      </w:r>
      <w:r w:rsidR="003B0DD2">
        <w:t xml:space="preserve"> w </w:t>
      </w:r>
      <w:r>
        <w:t xml:space="preserve">niniejszej sprawie </w:t>
      </w:r>
      <w:r>
        <w:lastRenderedPageBreak/>
        <w:t>mogłoby zatem zostać zinterpretowane jako aprobata dla powierzchownego podejścia do kwestii azylu</w:t>
      </w:r>
      <w:r w:rsidR="003B0DD2">
        <w:t xml:space="preserve"> i </w:t>
      </w:r>
      <w:r>
        <w:t>osłabienie nadzoru europejskiego, który przewiduje nasze orzecznictwo.</w:t>
      </w:r>
    </w:p>
    <w:p w14:paraId="46AFF9F7" w14:textId="77777777" w:rsidR="001E57F5" w:rsidRPr="006054C3" w:rsidRDefault="001E57F5" w:rsidP="006054C3">
      <w:pPr>
        <w:rPr>
          <w:color w:val="000000"/>
        </w:rPr>
      </w:pPr>
    </w:p>
    <w:p w14:paraId="68155770" w14:textId="77777777" w:rsidR="00E96881" w:rsidRPr="006054C3" w:rsidRDefault="00E96881" w:rsidP="006054C3">
      <w:pPr>
        <w:rPr>
          <w:color w:val="000000"/>
        </w:rPr>
        <w:sectPr w:rsidR="00E96881" w:rsidRPr="006054C3" w:rsidSect="00053870">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pPr>
    </w:p>
    <w:p w14:paraId="15C8544F" w14:textId="77777777" w:rsidR="00E96881" w:rsidRPr="006054C3" w:rsidRDefault="008C2A17" w:rsidP="006054C3">
      <w:pPr>
        <w:pStyle w:val="DecHTitle"/>
      </w:pPr>
      <w:r>
        <w:lastRenderedPageBreak/>
        <w:t>ZAŁĄCZNIK</w:t>
      </w:r>
    </w:p>
    <w:p w14:paraId="41570E66" w14:textId="77777777" w:rsidR="00E96881" w:rsidRPr="006054C3" w:rsidRDefault="008C2A17" w:rsidP="006054C3">
      <w:pPr>
        <w:pStyle w:val="DecHCase"/>
        <w:keepNext w:val="0"/>
        <w:keepLines w:val="0"/>
        <w:jc w:val="left"/>
        <w:rPr>
          <w:rFonts w:ascii="Times New Roman" w:hAnsi="Times New Roman" w:cs="Times New Roman"/>
        </w:rPr>
      </w:pPr>
      <w:r>
        <w:rPr>
          <w:rFonts w:ascii="Times New Roman" w:hAnsi="Times New Roman"/>
        </w:rPr>
        <w:t>Lista skarżących:</w:t>
      </w:r>
    </w:p>
    <w:p w14:paraId="43D045A2" w14:textId="77777777" w:rsidR="00E96881" w:rsidRPr="006054C3" w:rsidRDefault="008C2A17" w:rsidP="006054C3">
      <w:pPr>
        <w:pStyle w:val="JuPara"/>
        <w:rP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Skarga nr 42758/23 (przyznano anonimowość)</w:t>
      </w:r>
    </w:p>
    <w:p w14:paraId="280C24E1" w14:textId="77777777" w:rsidR="00E96881" w:rsidRPr="006054C3" w:rsidRDefault="00E96881" w:rsidP="006054C3">
      <w:pPr>
        <w:pStyle w:val="JuPara"/>
      </w:pPr>
    </w:p>
    <w:tbl>
      <w:tblPr>
        <w:tblStyle w:val="ECHRListTable"/>
        <w:tblW w:w="5000" w:type="pct"/>
        <w:tblLook w:val="0420" w:firstRow="1" w:lastRow="0" w:firstColumn="0" w:lastColumn="0" w:noHBand="0" w:noVBand="1"/>
      </w:tblPr>
      <w:tblGrid>
        <w:gridCol w:w="885"/>
        <w:gridCol w:w="1255"/>
        <w:gridCol w:w="2184"/>
        <w:gridCol w:w="1549"/>
        <w:gridCol w:w="1475"/>
      </w:tblGrid>
      <w:tr w:rsidR="00AA7060" w14:paraId="2A14F89A" w14:textId="77777777" w:rsidTr="007D7769">
        <w:trPr>
          <w:cnfStyle w:val="100000000000" w:firstRow="1" w:lastRow="0" w:firstColumn="0" w:lastColumn="0" w:oddVBand="0" w:evenVBand="0" w:oddHBand="0" w:evenHBand="0" w:firstRowFirstColumn="0" w:firstRowLastColumn="0" w:lastRowFirstColumn="0" w:lastRowLastColumn="0"/>
        </w:trPr>
        <w:tc>
          <w:tcPr>
            <w:tcW w:w="768" w:type="pct"/>
          </w:tcPr>
          <w:p w14:paraId="74EF9B16" w14:textId="77777777" w:rsidR="00E96881" w:rsidRPr="007D7769" w:rsidRDefault="008C2A17" w:rsidP="006054C3">
            <w:pPr>
              <w:rPr>
                <w:sz w:val="22"/>
                <w:szCs w:val="22"/>
              </w:rPr>
            </w:pPr>
            <w:r w:rsidRPr="007D7769">
              <w:rPr>
                <w:sz w:val="22"/>
                <w:szCs w:val="22"/>
              </w:rPr>
              <w:t>Nr</w:t>
            </w:r>
          </w:p>
        </w:tc>
        <w:tc>
          <w:tcPr>
            <w:tcW w:w="470" w:type="pct"/>
          </w:tcPr>
          <w:p w14:paraId="271D828C" w14:textId="77777777" w:rsidR="00E96881" w:rsidRPr="007D7769" w:rsidRDefault="008C2A17" w:rsidP="006054C3">
            <w:pPr>
              <w:rPr>
                <w:sz w:val="22"/>
                <w:szCs w:val="22"/>
              </w:rPr>
            </w:pPr>
            <w:r w:rsidRPr="007D7769">
              <w:rPr>
                <w:sz w:val="22"/>
                <w:szCs w:val="22"/>
              </w:rPr>
              <w:t>Nazwisko skarżącego</w:t>
            </w:r>
          </w:p>
        </w:tc>
        <w:tc>
          <w:tcPr>
            <w:tcW w:w="1580" w:type="pct"/>
          </w:tcPr>
          <w:p w14:paraId="3225E989" w14:textId="77777777" w:rsidR="00E96881" w:rsidRPr="007D7769" w:rsidRDefault="008C2A17" w:rsidP="006054C3">
            <w:pPr>
              <w:rPr>
                <w:sz w:val="22"/>
                <w:szCs w:val="22"/>
              </w:rPr>
            </w:pPr>
            <w:r w:rsidRPr="007D7769">
              <w:rPr>
                <w:sz w:val="22"/>
                <w:szCs w:val="22"/>
              </w:rPr>
              <w:t>Rok urodzenia/rejestracji</w:t>
            </w:r>
          </w:p>
        </w:tc>
        <w:tc>
          <w:tcPr>
            <w:tcW w:w="1118" w:type="pct"/>
          </w:tcPr>
          <w:p w14:paraId="737CFAD8" w14:textId="77777777" w:rsidR="00E96881" w:rsidRPr="007D7769" w:rsidRDefault="008C2A17" w:rsidP="006054C3">
            <w:pPr>
              <w:rPr>
                <w:sz w:val="22"/>
                <w:szCs w:val="22"/>
              </w:rPr>
            </w:pPr>
            <w:r w:rsidRPr="007D7769">
              <w:rPr>
                <w:sz w:val="22"/>
                <w:szCs w:val="22"/>
              </w:rPr>
              <w:t>Obywatelstwo</w:t>
            </w:r>
          </w:p>
        </w:tc>
        <w:tc>
          <w:tcPr>
            <w:tcW w:w="1064" w:type="pct"/>
          </w:tcPr>
          <w:p w14:paraId="1CB014A6" w14:textId="77777777" w:rsidR="00E96881" w:rsidRPr="007D7769" w:rsidRDefault="008C2A17" w:rsidP="006054C3">
            <w:pPr>
              <w:rPr>
                <w:sz w:val="22"/>
                <w:szCs w:val="22"/>
              </w:rPr>
            </w:pPr>
            <w:r w:rsidRPr="007D7769">
              <w:rPr>
                <w:sz w:val="22"/>
                <w:szCs w:val="22"/>
              </w:rPr>
              <w:t>Miejsce zamieszkania</w:t>
            </w:r>
          </w:p>
        </w:tc>
      </w:tr>
      <w:tr w:rsidR="00AA7060" w14:paraId="2FACA7B4" w14:textId="77777777" w:rsidTr="007D7769">
        <w:tc>
          <w:tcPr>
            <w:tcW w:w="768" w:type="pct"/>
          </w:tcPr>
          <w:p w14:paraId="0191ECB0" w14:textId="77777777" w:rsidR="00E96881" w:rsidRPr="006054C3" w:rsidRDefault="008C2A17" w:rsidP="006054C3">
            <w:r>
              <w:t>1.</w:t>
            </w:r>
          </w:p>
        </w:tc>
        <w:tc>
          <w:tcPr>
            <w:tcW w:w="470" w:type="pct"/>
          </w:tcPr>
          <w:p w14:paraId="5631CD04" w14:textId="77777777" w:rsidR="00E96881" w:rsidRPr="006054C3" w:rsidRDefault="008C2A17" w:rsidP="006054C3">
            <w:r>
              <w:t>Z</w:t>
            </w:r>
          </w:p>
        </w:tc>
        <w:tc>
          <w:tcPr>
            <w:tcW w:w="1580" w:type="pct"/>
          </w:tcPr>
          <w:p w14:paraId="4F92EB52" w14:textId="77777777" w:rsidR="00E96881" w:rsidRPr="006054C3" w:rsidRDefault="008C2A17" w:rsidP="006054C3">
            <w:r>
              <w:t>1983</w:t>
            </w:r>
          </w:p>
        </w:tc>
        <w:tc>
          <w:tcPr>
            <w:tcW w:w="1118" w:type="pct"/>
          </w:tcPr>
          <w:p w14:paraId="525A7810" w14:textId="77777777" w:rsidR="00E96881" w:rsidRPr="006054C3" w:rsidRDefault="008C2A17" w:rsidP="006054C3">
            <w:r>
              <w:t>rosyjskie</w:t>
            </w:r>
          </w:p>
        </w:tc>
        <w:tc>
          <w:tcPr>
            <w:tcW w:w="1064" w:type="pct"/>
          </w:tcPr>
          <w:p w14:paraId="73BCDE64" w14:textId="77777777" w:rsidR="00E96881" w:rsidRPr="006054C3" w:rsidRDefault="008C2A17" w:rsidP="006054C3">
            <w:r>
              <w:t>Oulu</w:t>
            </w:r>
          </w:p>
        </w:tc>
      </w:tr>
      <w:tr w:rsidR="00AA7060" w14:paraId="14FD3230" w14:textId="77777777" w:rsidTr="007D7769">
        <w:tc>
          <w:tcPr>
            <w:tcW w:w="768" w:type="pct"/>
          </w:tcPr>
          <w:p w14:paraId="0DAA6428" w14:textId="77777777" w:rsidR="00E96881" w:rsidRPr="006054C3" w:rsidRDefault="008C2A17" w:rsidP="006054C3">
            <w:r>
              <w:t>2.</w:t>
            </w:r>
          </w:p>
        </w:tc>
        <w:tc>
          <w:tcPr>
            <w:tcW w:w="470" w:type="pct"/>
          </w:tcPr>
          <w:p w14:paraId="5CD11C1C" w14:textId="77777777" w:rsidR="00E96881" w:rsidRPr="006054C3" w:rsidRDefault="008C2A17" w:rsidP="006054C3">
            <w:r>
              <w:t>X</w:t>
            </w:r>
          </w:p>
        </w:tc>
        <w:tc>
          <w:tcPr>
            <w:tcW w:w="1580" w:type="pct"/>
          </w:tcPr>
          <w:p w14:paraId="5D30463F" w14:textId="77777777" w:rsidR="00E96881" w:rsidRPr="006054C3" w:rsidRDefault="008C2A17" w:rsidP="006054C3">
            <w:r>
              <w:t>2011</w:t>
            </w:r>
          </w:p>
        </w:tc>
        <w:tc>
          <w:tcPr>
            <w:tcW w:w="1118" w:type="pct"/>
          </w:tcPr>
          <w:p w14:paraId="2003C431" w14:textId="77777777" w:rsidR="00E96881" w:rsidRPr="006054C3" w:rsidRDefault="008C2A17" w:rsidP="006054C3">
            <w:r>
              <w:t>rosyjskie</w:t>
            </w:r>
          </w:p>
        </w:tc>
        <w:tc>
          <w:tcPr>
            <w:tcW w:w="1064" w:type="pct"/>
          </w:tcPr>
          <w:p w14:paraId="4B8A5574" w14:textId="77777777" w:rsidR="00E96881" w:rsidRPr="006054C3" w:rsidRDefault="008C2A17" w:rsidP="006054C3">
            <w:r>
              <w:t>Oulu</w:t>
            </w:r>
          </w:p>
        </w:tc>
      </w:tr>
      <w:tr w:rsidR="00AA7060" w14:paraId="026E3879" w14:textId="77777777" w:rsidTr="007D7769">
        <w:tc>
          <w:tcPr>
            <w:tcW w:w="768" w:type="pct"/>
          </w:tcPr>
          <w:p w14:paraId="507B1641" w14:textId="77777777" w:rsidR="00E96881" w:rsidRPr="006054C3" w:rsidRDefault="008C2A17" w:rsidP="006054C3">
            <w:r>
              <w:t>3.</w:t>
            </w:r>
          </w:p>
        </w:tc>
        <w:tc>
          <w:tcPr>
            <w:tcW w:w="470" w:type="pct"/>
          </w:tcPr>
          <w:p w14:paraId="1D11AC02" w14:textId="77777777" w:rsidR="00E96881" w:rsidRPr="006054C3" w:rsidRDefault="008C2A17" w:rsidP="006054C3">
            <w:r>
              <w:t>Y</w:t>
            </w:r>
          </w:p>
        </w:tc>
        <w:tc>
          <w:tcPr>
            <w:tcW w:w="1580" w:type="pct"/>
          </w:tcPr>
          <w:p w14:paraId="4A008DE3" w14:textId="77777777" w:rsidR="00E96881" w:rsidRPr="006054C3" w:rsidRDefault="008C2A17" w:rsidP="006054C3">
            <w:r>
              <w:t>2013</w:t>
            </w:r>
          </w:p>
        </w:tc>
        <w:tc>
          <w:tcPr>
            <w:tcW w:w="1118" w:type="pct"/>
          </w:tcPr>
          <w:p w14:paraId="12500A0B" w14:textId="77777777" w:rsidR="00E96881" w:rsidRPr="006054C3" w:rsidRDefault="008C2A17" w:rsidP="006054C3">
            <w:r>
              <w:t>rosyjskie</w:t>
            </w:r>
          </w:p>
        </w:tc>
        <w:tc>
          <w:tcPr>
            <w:tcW w:w="1064" w:type="pct"/>
          </w:tcPr>
          <w:p w14:paraId="239E13E7" w14:textId="77777777" w:rsidR="00E96881" w:rsidRPr="006054C3" w:rsidRDefault="008C2A17" w:rsidP="006054C3">
            <w:r>
              <w:t>Oulu</w:t>
            </w:r>
          </w:p>
        </w:tc>
      </w:tr>
    </w:tbl>
    <w:p w14:paraId="59792C3C" w14:textId="77777777" w:rsidR="00182EBA" w:rsidRPr="006054C3" w:rsidRDefault="00182EBA" w:rsidP="006054C3"/>
    <w:sectPr w:rsidR="00182EBA" w:rsidRPr="006054C3" w:rsidSect="00310686">
      <w:headerReference w:type="even" r:id="rId18"/>
      <w:headerReference w:type="default" r:id="rId19"/>
      <w:footerReference w:type="even" r:id="rId20"/>
      <w:footerReference w:type="default" r:id="rId21"/>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8071A8" w14:textId="77777777" w:rsidR="00440064" w:rsidRDefault="00440064">
      <w:r>
        <w:separator/>
      </w:r>
    </w:p>
  </w:endnote>
  <w:endnote w:type="continuationSeparator" w:id="0">
    <w:p w14:paraId="07B3228A" w14:textId="77777777" w:rsidR="00440064" w:rsidRDefault="004400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0DB33" w14:textId="77777777" w:rsidR="00E96881" w:rsidRPr="00150BFA" w:rsidRDefault="008C2A17" w:rsidP="0020718E">
    <w:pPr>
      <w:jc w:val="center"/>
    </w:pPr>
    <w:r>
      <w:rPr>
        <w:noProof/>
      </w:rPr>
      <w:drawing>
        <wp:inline distT="0" distB="0" distL="0" distR="0" wp14:anchorId="3AF764D9" wp14:editId="3FE4ADE0">
          <wp:extent cx="771525" cy="619125"/>
          <wp:effectExtent l="0" t="0" r="9525" b="9525"/>
          <wp:docPr id="946334590" name="Picture 946334590"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33459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3605D8D8" w14:textId="77777777" w:rsidR="0098410D" w:rsidRPr="00E67565" w:rsidRDefault="0098410D" w:rsidP="00AF12C5">
    <w:pPr>
      <w:pStyle w:val="Stopka"/>
      <w:jc w:val="center"/>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216A2" w14:textId="77777777" w:rsidR="00E96881" w:rsidRPr="00150BFA" w:rsidRDefault="008C2A17" w:rsidP="0020718E">
    <w:pPr>
      <w:jc w:val="center"/>
    </w:pPr>
    <w:r>
      <w:rPr>
        <w:noProof/>
      </w:rPr>
      <w:drawing>
        <wp:inline distT="0" distB="0" distL="0" distR="0" wp14:anchorId="41EB0BFC" wp14:editId="71378980">
          <wp:extent cx="771525" cy="619125"/>
          <wp:effectExtent l="0" t="0" r="9525" b="9525"/>
          <wp:docPr id="2112509006" name="Picture 211250900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509006"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71525" cy="619125"/>
                  </a:xfrm>
                  <a:prstGeom prst="rect">
                    <a:avLst/>
                  </a:prstGeom>
                  <a:noFill/>
                  <a:ln>
                    <a:noFill/>
                  </a:ln>
                </pic:spPr>
              </pic:pic>
            </a:graphicData>
          </a:graphic>
        </wp:inline>
      </w:drawing>
    </w:r>
  </w:p>
  <w:p w14:paraId="256B419C" w14:textId="77777777" w:rsidR="009E7A6F" w:rsidRPr="00E67565" w:rsidRDefault="009E7A6F" w:rsidP="009E7A6F">
    <w:pPr>
      <w:pStyle w:val="Stopka"/>
      <w:jc w:val="cen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9E26A" w14:textId="77777777" w:rsidR="00E96881" w:rsidRDefault="008C2A17" w:rsidP="009A115C">
    <w:pPr>
      <w:pStyle w:val="JuHeader"/>
    </w:pPr>
    <w:r>
      <w:fldChar w:fldCharType="begin"/>
    </w:r>
    <w:r>
      <w:instrText xml:space="preserve"> PAGE  \* MERGEFORMAT </w:instrText>
    </w:r>
    <w:r>
      <w:fldChar w:fldCharType="separate"/>
    </w:r>
    <w:r>
      <w:t>20</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016474" w14:textId="77777777" w:rsidR="00E96881" w:rsidRPr="000B7195" w:rsidRDefault="008C2A17" w:rsidP="007D3701">
    <w:pPr>
      <w:pStyle w:val="JuHeader"/>
    </w:pPr>
    <w:r>
      <w:fldChar w:fldCharType="begin"/>
    </w:r>
    <w:r>
      <w:instrText xml:space="preserve"> PAGE  \* MERGEFORMAT </w:instrText>
    </w:r>
    <w:r>
      <w:fldChar w:fldCharType="separate"/>
    </w:r>
    <w:r>
      <w:t>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312E9" w14:textId="77777777" w:rsidR="00182EBA" w:rsidRDefault="008C2A17" w:rsidP="009A115C">
    <w:pPr>
      <w:pStyle w:val="JuHeader"/>
    </w:pPr>
    <w:r>
      <w:fldChar w:fldCharType="begin"/>
    </w:r>
    <w:r>
      <w:instrText xml:space="preserve"> PAGE  \* MERGEFORMAT </w:instrText>
    </w:r>
    <w:r>
      <w:fldChar w:fldCharType="separate"/>
    </w:r>
    <w:r>
      <w:t>20</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52E001" w14:textId="77777777" w:rsidR="00182EBA" w:rsidRPr="000B7195" w:rsidRDefault="008C2A17" w:rsidP="007D3701">
    <w:pPr>
      <w:pStyle w:val="JuHeader"/>
    </w:pPr>
    <w:r>
      <w:fldChar w:fldCharType="begin"/>
    </w:r>
    <w:r>
      <w:instrText xml:space="preserve"> PAGE  \* Arabic  \* MERGEFORMAT </w:instrText>
    </w:r>
    <w:r>
      <w:fldChar w:fldCharType="separate"/>
    </w:r>
    <w:r>
      <w:t>22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40F6E" w14:textId="77777777" w:rsidR="00440064" w:rsidRDefault="00440064">
      <w:r>
        <w:separator/>
      </w:r>
    </w:p>
  </w:footnote>
  <w:footnote w:type="continuationSeparator" w:id="0">
    <w:p w14:paraId="66BF9AA7" w14:textId="77777777" w:rsidR="00440064" w:rsidRDefault="004400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C6F70" w14:textId="77777777" w:rsidR="00E96881" w:rsidRPr="00A45145" w:rsidRDefault="008C2A17" w:rsidP="00A45145">
    <w:pPr>
      <w:jc w:val="center"/>
    </w:pPr>
    <w:r>
      <w:rPr>
        <w:noProof/>
      </w:rPr>
      <w:drawing>
        <wp:inline distT="0" distB="0" distL="0" distR="0" wp14:anchorId="163EE9B9" wp14:editId="06991CED">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766C1BBD" w14:textId="77777777" w:rsidR="0098410D" w:rsidRPr="00E67565" w:rsidRDefault="0098410D" w:rsidP="00B14793">
    <w:pPr>
      <w:jc w:val="center"/>
      <w:rPr>
        <w:sz w:val="4"/>
        <w:szCs w:val="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C587CA" w14:textId="77777777" w:rsidR="00E96881" w:rsidRPr="00A45145" w:rsidRDefault="008C2A17" w:rsidP="00A45145">
    <w:pPr>
      <w:jc w:val="center"/>
    </w:pPr>
    <w:r>
      <w:rPr>
        <w:noProof/>
      </w:rPr>
      <w:drawing>
        <wp:inline distT="0" distB="0" distL="0" distR="0" wp14:anchorId="42EF4A6F" wp14:editId="710758EA">
          <wp:extent cx="2962275" cy="1219200"/>
          <wp:effectExtent l="0" t="0" r="9525" b="0"/>
          <wp:docPr id="1576021683" name="Picture 1576021683"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021683"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962275" cy="1219200"/>
                  </a:xfrm>
                  <a:prstGeom prst="rect">
                    <a:avLst/>
                  </a:prstGeom>
                  <a:noFill/>
                  <a:ln>
                    <a:noFill/>
                  </a:ln>
                </pic:spPr>
              </pic:pic>
            </a:graphicData>
          </a:graphic>
        </wp:inline>
      </w:drawing>
    </w:r>
  </w:p>
  <w:p w14:paraId="04F71C84" w14:textId="77777777" w:rsidR="0098410D" w:rsidRPr="00E67565" w:rsidRDefault="0098410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D6F3C4" w14:textId="7506B358" w:rsidR="00E96881" w:rsidRPr="004D0EC7" w:rsidRDefault="008C2A17" w:rsidP="004D0EC7">
    <w:pPr>
      <w:pStyle w:val="JuHeader"/>
    </w:pPr>
    <w:r>
      <w:t>Z I INNI</w:t>
    </w:r>
    <w:r w:rsidR="00BA0B55">
      <w:t xml:space="preserve"> przeciwko</w:t>
    </w:r>
    <w:r>
      <w:t xml:space="preserve"> Finlandii — WYROK</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D5EE5C" w14:textId="1D1B2245" w:rsidR="00E96881" w:rsidRPr="00882CD5" w:rsidRDefault="008C2A17" w:rsidP="007D3701">
    <w:pPr>
      <w:pStyle w:val="JuHeader"/>
    </w:pPr>
    <w:r>
      <w:t xml:space="preserve">Z I INNI </w:t>
    </w:r>
    <w:r w:rsidR="00BA0B55">
      <w:t>przeciwko</w:t>
    </w:r>
    <w:r>
      <w:t xml:space="preserve"> Finlandii — WYROK</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0B5C6" w14:textId="34FE68BD" w:rsidR="00053870" w:rsidRPr="004D0EC7" w:rsidRDefault="008C2A17" w:rsidP="004D0EC7">
    <w:pPr>
      <w:pStyle w:val="JuHeader"/>
    </w:pPr>
    <w:r>
      <w:t xml:space="preserve">Z I INNI </w:t>
    </w:r>
    <w:r w:rsidR="007F0C9D">
      <w:t>przeciwko</w:t>
    </w:r>
    <w:r>
      <w:t xml:space="preserve"> Finlandii — OPINIA ODRĘBNA</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7E448" w14:textId="1F04F2EE" w:rsidR="00053870" w:rsidRPr="00882CD5" w:rsidRDefault="008C2A17" w:rsidP="007D3701">
    <w:pPr>
      <w:pStyle w:val="JuHeader"/>
    </w:pPr>
    <w:r>
      <w:t xml:space="preserve">Z I INNI </w:t>
    </w:r>
    <w:r w:rsidR="007F0C9D">
      <w:t>przeciwko</w:t>
    </w:r>
    <w:r>
      <w:t xml:space="preserve"> Finlandii — OPINIA ODRĘBNA</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E54C8" w14:textId="1BE846E4" w:rsidR="00182EBA" w:rsidRPr="004D0EC7" w:rsidRDefault="008C2A17" w:rsidP="004D0EC7">
    <w:pPr>
      <w:pStyle w:val="JuHeader"/>
    </w:pPr>
    <w:r>
      <w:t xml:space="preserve">Z I INNI </w:t>
    </w:r>
    <w:r w:rsidR="007F0C9D">
      <w:t>przeciwko</w:t>
    </w:r>
    <w:r>
      <w:t xml:space="preserve"> Finlandii — WYROK</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3F6BE9" w14:textId="77777777" w:rsidR="00182EBA" w:rsidRPr="00882CD5" w:rsidRDefault="008C2A17" w:rsidP="007D3701">
    <w:pPr>
      <w:pStyle w:val="JuHeader"/>
    </w:pPr>
    <w:r>
      <w:t>Z I INNI p-ko Finlandii — WYROK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670191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apunktowana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anumerowana"/>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FFFFFF" w:themeColor="background1"/>
      </w:rPr>
    </w:lvl>
    <w:lvl w:ilvl="1">
      <w:start w:val="1"/>
      <w:numFmt w:val="bullet"/>
      <w:pStyle w:val="ECHRBullet2"/>
      <w:lvlText w:val=""/>
      <w:lvlJc w:val="left"/>
      <w:pPr>
        <w:tabs>
          <w:tab w:val="num" w:pos="1134"/>
        </w:tabs>
        <w:ind w:left="1135" w:hanging="284"/>
      </w:pPr>
      <w:rPr>
        <w:rFonts w:ascii="Wingdings" w:hAnsi="Wingdings" w:hint="default"/>
        <w:color w:val="FFFFFF"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FFFFFF"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6"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7"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8" w15:restartNumberingAfterBreak="0">
    <w:nsid w:val="67FD1241"/>
    <w:multiLevelType w:val="hybridMultilevel"/>
    <w:tmpl w:val="F6D86CC2"/>
    <w:lvl w:ilvl="0" w:tplc="8AE4B1E6">
      <w:start w:val="1"/>
      <w:numFmt w:val="bullet"/>
      <w:pStyle w:val="Listapunktowana"/>
      <w:lvlText w:val=""/>
      <w:lvlJc w:val="left"/>
      <w:pPr>
        <w:tabs>
          <w:tab w:val="num" w:pos="851"/>
        </w:tabs>
        <w:ind w:left="568" w:firstLine="0"/>
      </w:pPr>
      <w:rPr>
        <w:rFonts w:ascii="Wingdings" w:hAnsi="Wingdings" w:hint="default"/>
        <w:color w:val="808080"/>
        <w:sz w:val="16"/>
      </w:rPr>
    </w:lvl>
    <w:lvl w:ilvl="1" w:tplc="532AC9F4" w:tentative="1">
      <w:start w:val="1"/>
      <w:numFmt w:val="bullet"/>
      <w:lvlText w:val="o"/>
      <w:lvlJc w:val="left"/>
      <w:pPr>
        <w:tabs>
          <w:tab w:val="num" w:pos="1724"/>
        </w:tabs>
        <w:ind w:left="1724" w:hanging="360"/>
      </w:pPr>
      <w:rPr>
        <w:rFonts w:ascii="Courier New" w:hAnsi="Courier New" w:cs="Courier New" w:hint="default"/>
      </w:rPr>
    </w:lvl>
    <w:lvl w:ilvl="2" w:tplc="265AD0EE" w:tentative="1">
      <w:start w:val="1"/>
      <w:numFmt w:val="bullet"/>
      <w:lvlText w:val=""/>
      <w:lvlJc w:val="left"/>
      <w:pPr>
        <w:tabs>
          <w:tab w:val="num" w:pos="2444"/>
        </w:tabs>
        <w:ind w:left="2444" w:hanging="360"/>
      </w:pPr>
      <w:rPr>
        <w:rFonts w:ascii="Wingdings" w:hAnsi="Wingdings" w:hint="default"/>
      </w:rPr>
    </w:lvl>
    <w:lvl w:ilvl="3" w:tplc="EAA67EA0" w:tentative="1">
      <w:start w:val="1"/>
      <w:numFmt w:val="bullet"/>
      <w:lvlText w:val=""/>
      <w:lvlJc w:val="left"/>
      <w:pPr>
        <w:tabs>
          <w:tab w:val="num" w:pos="3164"/>
        </w:tabs>
        <w:ind w:left="3164" w:hanging="360"/>
      </w:pPr>
      <w:rPr>
        <w:rFonts w:ascii="Symbol" w:hAnsi="Symbol" w:hint="default"/>
      </w:rPr>
    </w:lvl>
    <w:lvl w:ilvl="4" w:tplc="345400AA" w:tentative="1">
      <w:start w:val="1"/>
      <w:numFmt w:val="bullet"/>
      <w:lvlText w:val="o"/>
      <w:lvlJc w:val="left"/>
      <w:pPr>
        <w:tabs>
          <w:tab w:val="num" w:pos="3884"/>
        </w:tabs>
        <w:ind w:left="3884" w:hanging="360"/>
      </w:pPr>
      <w:rPr>
        <w:rFonts w:ascii="Courier New" w:hAnsi="Courier New" w:cs="Courier New" w:hint="default"/>
      </w:rPr>
    </w:lvl>
    <w:lvl w:ilvl="5" w:tplc="B978EAEA" w:tentative="1">
      <w:start w:val="1"/>
      <w:numFmt w:val="bullet"/>
      <w:lvlText w:val=""/>
      <w:lvlJc w:val="left"/>
      <w:pPr>
        <w:tabs>
          <w:tab w:val="num" w:pos="4604"/>
        </w:tabs>
        <w:ind w:left="4604" w:hanging="360"/>
      </w:pPr>
      <w:rPr>
        <w:rFonts w:ascii="Wingdings" w:hAnsi="Wingdings" w:hint="default"/>
      </w:rPr>
    </w:lvl>
    <w:lvl w:ilvl="6" w:tplc="C8C60AB6" w:tentative="1">
      <w:start w:val="1"/>
      <w:numFmt w:val="bullet"/>
      <w:lvlText w:val=""/>
      <w:lvlJc w:val="left"/>
      <w:pPr>
        <w:tabs>
          <w:tab w:val="num" w:pos="5324"/>
        </w:tabs>
        <w:ind w:left="5324" w:hanging="360"/>
      </w:pPr>
      <w:rPr>
        <w:rFonts w:ascii="Symbol" w:hAnsi="Symbol" w:hint="default"/>
      </w:rPr>
    </w:lvl>
    <w:lvl w:ilvl="7" w:tplc="6950BC40" w:tentative="1">
      <w:start w:val="1"/>
      <w:numFmt w:val="bullet"/>
      <w:lvlText w:val="o"/>
      <w:lvlJc w:val="left"/>
      <w:pPr>
        <w:tabs>
          <w:tab w:val="num" w:pos="6044"/>
        </w:tabs>
        <w:ind w:left="6044" w:hanging="360"/>
      </w:pPr>
      <w:rPr>
        <w:rFonts w:ascii="Courier New" w:hAnsi="Courier New" w:cs="Courier New" w:hint="default"/>
      </w:rPr>
    </w:lvl>
    <w:lvl w:ilvl="8" w:tplc="63B6D05A" w:tentative="1">
      <w:start w:val="1"/>
      <w:numFmt w:val="bullet"/>
      <w:lvlText w:val=""/>
      <w:lvlJc w:val="left"/>
      <w:pPr>
        <w:tabs>
          <w:tab w:val="num" w:pos="6764"/>
        </w:tabs>
        <w:ind w:left="6764" w:hanging="360"/>
      </w:pPr>
      <w:rPr>
        <w:rFonts w:ascii="Wingdings" w:hAnsi="Wingdings" w:hint="default"/>
      </w:rPr>
    </w:lvl>
  </w:abstractNum>
  <w:abstractNum w:abstractNumId="19" w15:restartNumberingAfterBreak="0">
    <w:nsid w:val="72B5496A"/>
    <w:multiLevelType w:val="multilevel"/>
    <w:tmpl w:val="418632AA"/>
    <w:lvl w:ilvl="0">
      <w:start w:val="3"/>
      <w:numFmt w:val="upperRoman"/>
      <w:lvlText w:val="%1."/>
      <w:lvlJc w:val="right"/>
      <w:pPr>
        <w:tabs>
          <w:tab w:val="num" w:pos="720"/>
        </w:tabs>
        <w:ind w:left="720" w:hanging="360"/>
      </w:pPr>
    </w:lvl>
    <w:lvl w:ilvl="1" w:tentative="1">
      <w:start w:val="1"/>
      <w:numFmt w:val="upperRoman"/>
      <w:lvlText w:val="%2."/>
      <w:lvlJc w:val="right"/>
      <w:pPr>
        <w:tabs>
          <w:tab w:val="num" w:pos="1440"/>
        </w:tabs>
        <w:ind w:left="1440" w:hanging="360"/>
      </w:pPr>
    </w:lvl>
    <w:lvl w:ilvl="2" w:tentative="1">
      <w:start w:val="1"/>
      <w:numFmt w:val="upperRoman"/>
      <w:lvlText w:val="%3."/>
      <w:lvlJc w:val="right"/>
      <w:pPr>
        <w:tabs>
          <w:tab w:val="num" w:pos="2160"/>
        </w:tabs>
        <w:ind w:left="2160" w:hanging="360"/>
      </w:pPr>
    </w:lvl>
    <w:lvl w:ilvl="3" w:tentative="1">
      <w:start w:val="1"/>
      <w:numFmt w:val="upperRoman"/>
      <w:lvlText w:val="%4."/>
      <w:lvlJc w:val="right"/>
      <w:pPr>
        <w:tabs>
          <w:tab w:val="num" w:pos="2880"/>
        </w:tabs>
        <w:ind w:left="2880" w:hanging="360"/>
      </w:pPr>
    </w:lvl>
    <w:lvl w:ilvl="4" w:tentative="1">
      <w:start w:val="1"/>
      <w:numFmt w:val="upperRoman"/>
      <w:lvlText w:val="%5."/>
      <w:lvlJc w:val="right"/>
      <w:pPr>
        <w:tabs>
          <w:tab w:val="num" w:pos="3600"/>
        </w:tabs>
        <w:ind w:left="3600" w:hanging="360"/>
      </w:pPr>
    </w:lvl>
    <w:lvl w:ilvl="5" w:tentative="1">
      <w:start w:val="1"/>
      <w:numFmt w:val="upperRoman"/>
      <w:lvlText w:val="%6."/>
      <w:lvlJc w:val="right"/>
      <w:pPr>
        <w:tabs>
          <w:tab w:val="num" w:pos="4320"/>
        </w:tabs>
        <w:ind w:left="4320" w:hanging="360"/>
      </w:pPr>
    </w:lvl>
    <w:lvl w:ilvl="6" w:tentative="1">
      <w:start w:val="1"/>
      <w:numFmt w:val="upperRoman"/>
      <w:lvlText w:val="%7."/>
      <w:lvlJc w:val="right"/>
      <w:pPr>
        <w:tabs>
          <w:tab w:val="num" w:pos="5040"/>
        </w:tabs>
        <w:ind w:left="5040" w:hanging="360"/>
      </w:pPr>
    </w:lvl>
    <w:lvl w:ilvl="7" w:tentative="1">
      <w:start w:val="1"/>
      <w:numFmt w:val="upperRoman"/>
      <w:lvlText w:val="%8."/>
      <w:lvlJc w:val="right"/>
      <w:pPr>
        <w:tabs>
          <w:tab w:val="num" w:pos="5760"/>
        </w:tabs>
        <w:ind w:left="5760" w:hanging="360"/>
      </w:pPr>
    </w:lvl>
    <w:lvl w:ilvl="8" w:tentative="1">
      <w:start w:val="1"/>
      <w:numFmt w:val="upperRoman"/>
      <w:lvlText w:val="%9."/>
      <w:lvlJc w:val="right"/>
      <w:pPr>
        <w:tabs>
          <w:tab w:val="num" w:pos="6480"/>
        </w:tabs>
        <w:ind w:left="6480" w:hanging="360"/>
      </w:p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16cid:durableId="284506962">
    <w:abstractNumId w:val="14"/>
  </w:num>
  <w:num w:numId="2" w16cid:durableId="2120298178">
    <w:abstractNumId w:val="12"/>
  </w:num>
  <w:num w:numId="3" w16cid:durableId="1193958752">
    <w:abstractNumId w:val="11"/>
  </w:num>
  <w:num w:numId="4" w16cid:durableId="1353997519">
    <w:abstractNumId w:val="15"/>
  </w:num>
  <w:num w:numId="5" w16cid:durableId="90007116">
    <w:abstractNumId w:val="13"/>
  </w:num>
  <w:num w:numId="6" w16cid:durableId="1431241715">
    <w:abstractNumId w:val="16"/>
  </w:num>
  <w:num w:numId="7" w16cid:durableId="759332570">
    <w:abstractNumId w:val="15"/>
  </w:num>
  <w:num w:numId="8" w16cid:durableId="2007704521">
    <w:abstractNumId w:val="16"/>
  </w:num>
  <w:num w:numId="9" w16cid:durableId="1171063949">
    <w:abstractNumId w:val="10"/>
  </w:num>
  <w:num w:numId="10" w16cid:durableId="21785636">
    <w:abstractNumId w:val="9"/>
  </w:num>
  <w:num w:numId="11" w16cid:durableId="189539357">
    <w:abstractNumId w:val="18"/>
  </w:num>
  <w:num w:numId="12" w16cid:durableId="508567848">
    <w:abstractNumId w:val="7"/>
  </w:num>
  <w:num w:numId="13" w16cid:durableId="1073970734">
    <w:abstractNumId w:val="6"/>
  </w:num>
  <w:num w:numId="14" w16cid:durableId="1268461557">
    <w:abstractNumId w:val="5"/>
  </w:num>
  <w:num w:numId="15" w16cid:durableId="1163202216">
    <w:abstractNumId w:val="4"/>
  </w:num>
  <w:num w:numId="16" w16cid:durableId="2039576468">
    <w:abstractNumId w:val="8"/>
  </w:num>
  <w:num w:numId="17" w16cid:durableId="1306542271">
    <w:abstractNumId w:val="3"/>
  </w:num>
  <w:num w:numId="18" w16cid:durableId="170069561">
    <w:abstractNumId w:val="2"/>
  </w:num>
  <w:num w:numId="19" w16cid:durableId="1728139403">
    <w:abstractNumId w:val="1"/>
  </w:num>
  <w:num w:numId="20" w16cid:durableId="142039956">
    <w:abstractNumId w:val="0"/>
  </w:num>
  <w:num w:numId="21" w16cid:durableId="587544930">
    <w:abstractNumId w:val="20"/>
  </w:num>
  <w:num w:numId="22" w16cid:durableId="2076776525">
    <w:abstractNumId w:val="17"/>
  </w:num>
  <w:num w:numId="23" w16cid:durableId="1406026825">
    <w:abstractNumId w:val="19"/>
  </w:num>
  <w:num w:numId="24" w16cid:durableId="184867047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licationsApp" w:val="1"/>
    <w:docVar w:name="EMM" w:val="0"/>
    <w:docVar w:name="LW_DocType" w:val="NORMAL"/>
    <w:docVar w:name="NBEMMDOC" w:val="0"/>
    <w:docVar w:name="Plural" w:val="3"/>
  </w:docVars>
  <w:rsids>
    <w:rsidRoot w:val="00E96881"/>
    <w:rsid w:val="000041F8"/>
    <w:rsid w:val="000042A8"/>
    <w:rsid w:val="00004308"/>
    <w:rsid w:val="00005BF0"/>
    <w:rsid w:val="0000617D"/>
    <w:rsid w:val="00007154"/>
    <w:rsid w:val="000103AE"/>
    <w:rsid w:val="00011D69"/>
    <w:rsid w:val="00012AD3"/>
    <w:rsid w:val="00015C2D"/>
    <w:rsid w:val="00015F00"/>
    <w:rsid w:val="0001768D"/>
    <w:rsid w:val="000213C3"/>
    <w:rsid w:val="00022C1D"/>
    <w:rsid w:val="0002592F"/>
    <w:rsid w:val="00031428"/>
    <w:rsid w:val="00034987"/>
    <w:rsid w:val="00041560"/>
    <w:rsid w:val="00046CF0"/>
    <w:rsid w:val="00053870"/>
    <w:rsid w:val="0005541B"/>
    <w:rsid w:val="00056927"/>
    <w:rsid w:val="000602DF"/>
    <w:rsid w:val="00061B05"/>
    <w:rsid w:val="000632D5"/>
    <w:rsid w:val="000644EE"/>
    <w:rsid w:val="00067C9C"/>
    <w:rsid w:val="000712E3"/>
    <w:rsid w:val="000736FC"/>
    <w:rsid w:val="0007780A"/>
    <w:rsid w:val="00085457"/>
    <w:rsid w:val="000925AD"/>
    <w:rsid w:val="00096FE1"/>
    <w:rsid w:val="00097A62"/>
    <w:rsid w:val="000A24EB"/>
    <w:rsid w:val="000B686A"/>
    <w:rsid w:val="000B6923"/>
    <w:rsid w:val="000B7195"/>
    <w:rsid w:val="000C351D"/>
    <w:rsid w:val="000C5F3C"/>
    <w:rsid w:val="000C6DCC"/>
    <w:rsid w:val="000D47AA"/>
    <w:rsid w:val="000D721F"/>
    <w:rsid w:val="000E069B"/>
    <w:rsid w:val="000E0E82"/>
    <w:rsid w:val="000E1DC5"/>
    <w:rsid w:val="000E223F"/>
    <w:rsid w:val="000E46B8"/>
    <w:rsid w:val="000E7D45"/>
    <w:rsid w:val="000F1158"/>
    <w:rsid w:val="000F370A"/>
    <w:rsid w:val="000F52F4"/>
    <w:rsid w:val="000F55C9"/>
    <w:rsid w:val="000F7851"/>
    <w:rsid w:val="00101505"/>
    <w:rsid w:val="001033BB"/>
    <w:rsid w:val="00104E23"/>
    <w:rsid w:val="00110DA8"/>
    <w:rsid w:val="00111B0C"/>
    <w:rsid w:val="00120D6C"/>
    <w:rsid w:val="001257EC"/>
    <w:rsid w:val="00133D33"/>
    <w:rsid w:val="00134B6A"/>
    <w:rsid w:val="00134D64"/>
    <w:rsid w:val="00135A30"/>
    <w:rsid w:val="0013612C"/>
    <w:rsid w:val="00137FF6"/>
    <w:rsid w:val="00141650"/>
    <w:rsid w:val="00150BFA"/>
    <w:rsid w:val="001561B6"/>
    <w:rsid w:val="00162A12"/>
    <w:rsid w:val="00163CE7"/>
    <w:rsid w:val="00166530"/>
    <w:rsid w:val="00167233"/>
    <w:rsid w:val="00170027"/>
    <w:rsid w:val="00177485"/>
    <w:rsid w:val="00182EBA"/>
    <w:rsid w:val="001832BD"/>
    <w:rsid w:val="00191C1F"/>
    <w:rsid w:val="00192C03"/>
    <w:rsid w:val="001943B5"/>
    <w:rsid w:val="00195134"/>
    <w:rsid w:val="001A020C"/>
    <w:rsid w:val="001A145B"/>
    <w:rsid w:val="001A3E09"/>
    <w:rsid w:val="001A674C"/>
    <w:rsid w:val="001B3B24"/>
    <w:rsid w:val="001C055B"/>
    <w:rsid w:val="001C0F98"/>
    <w:rsid w:val="001C2A42"/>
    <w:rsid w:val="001C4283"/>
    <w:rsid w:val="001D043F"/>
    <w:rsid w:val="001D63ED"/>
    <w:rsid w:val="001D7348"/>
    <w:rsid w:val="001E029F"/>
    <w:rsid w:val="001E035B"/>
    <w:rsid w:val="001E0961"/>
    <w:rsid w:val="001E3EAE"/>
    <w:rsid w:val="001E57F5"/>
    <w:rsid w:val="001E6857"/>
    <w:rsid w:val="001E6F32"/>
    <w:rsid w:val="001F2145"/>
    <w:rsid w:val="001F6262"/>
    <w:rsid w:val="001F67B0"/>
    <w:rsid w:val="001F7B3D"/>
    <w:rsid w:val="00202752"/>
    <w:rsid w:val="0020335A"/>
    <w:rsid w:val="00203924"/>
    <w:rsid w:val="00203A18"/>
    <w:rsid w:val="002052BC"/>
    <w:rsid w:val="00205F9F"/>
    <w:rsid w:val="0020718E"/>
    <w:rsid w:val="00210338"/>
    <w:rsid w:val="002115FC"/>
    <w:rsid w:val="0021423C"/>
    <w:rsid w:val="00226C89"/>
    <w:rsid w:val="00230D00"/>
    <w:rsid w:val="00231DF7"/>
    <w:rsid w:val="00231FD1"/>
    <w:rsid w:val="002339E0"/>
    <w:rsid w:val="00233CF8"/>
    <w:rsid w:val="0023575D"/>
    <w:rsid w:val="00237148"/>
    <w:rsid w:val="0024222D"/>
    <w:rsid w:val="002422B6"/>
    <w:rsid w:val="00244B0E"/>
    <w:rsid w:val="00244F6C"/>
    <w:rsid w:val="00246B89"/>
    <w:rsid w:val="0025094F"/>
    <w:rsid w:val="00252C4E"/>
    <w:rsid w:val="002532C5"/>
    <w:rsid w:val="00254DF2"/>
    <w:rsid w:val="00256EE2"/>
    <w:rsid w:val="00260C03"/>
    <w:rsid w:val="0026439A"/>
    <w:rsid w:val="0026540E"/>
    <w:rsid w:val="00275123"/>
    <w:rsid w:val="00281B7C"/>
    <w:rsid w:val="00282240"/>
    <w:rsid w:val="00282BD8"/>
    <w:rsid w:val="00283581"/>
    <w:rsid w:val="00287AD5"/>
    <w:rsid w:val="002934D0"/>
    <w:rsid w:val="00293676"/>
    <w:rsid w:val="00293BD9"/>
    <w:rsid w:val="002948AD"/>
    <w:rsid w:val="002A01CC"/>
    <w:rsid w:val="002A613A"/>
    <w:rsid w:val="002A61B1"/>
    <w:rsid w:val="002A663C"/>
    <w:rsid w:val="002B20A9"/>
    <w:rsid w:val="002B444B"/>
    <w:rsid w:val="002B5887"/>
    <w:rsid w:val="002B5B43"/>
    <w:rsid w:val="002C0E27"/>
    <w:rsid w:val="002C3040"/>
    <w:rsid w:val="002C4433"/>
    <w:rsid w:val="002C5ADD"/>
    <w:rsid w:val="002C7826"/>
    <w:rsid w:val="002D022D"/>
    <w:rsid w:val="002D24BB"/>
    <w:rsid w:val="002D2FA7"/>
    <w:rsid w:val="002D479F"/>
    <w:rsid w:val="002D47BA"/>
    <w:rsid w:val="002D77B9"/>
    <w:rsid w:val="002E1F29"/>
    <w:rsid w:val="002E46DA"/>
    <w:rsid w:val="002E7764"/>
    <w:rsid w:val="002F2AF7"/>
    <w:rsid w:val="002F69C4"/>
    <w:rsid w:val="002F7D9E"/>
    <w:rsid w:val="002F7E1C"/>
    <w:rsid w:val="00301A75"/>
    <w:rsid w:val="00302F70"/>
    <w:rsid w:val="0030336F"/>
    <w:rsid w:val="0030375E"/>
    <w:rsid w:val="00310686"/>
    <w:rsid w:val="00312A30"/>
    <w:rsid w:val="003201D8"/>
    <w:rsid w:val="00320F72"/>
    <w:rsid w:val="0032463E"/>
    <w:rsid w:val="00326224"/>
    <w:rsid w:val="00337EE4"/>
    <w:rsid w:val="00340F7D"/>
    <w:rsid w:val="00340FFD"/>
    <w:rsid w:val="00345C41"/>
    <w:rsid w:val="003506B1"/>
    <w:rsid w:val="00352A4F"/>
    <w:rsid w:val="003533F5"/>
    <w:rsid w:val="00355877"/>
    <w:rsid w:val="00356AC7"/>
    <w:rsid w:val="003609FA"/>
    <w:rsid w:val="003710C8"/>
    <w:rsid w:val="003750BE"/>
    <w:rsid w:val="0038153C"/>
    <w:rsid w:val="00385A36"/>
    <w:rsid w:val="00385F3D"/>
    <w:rsid w:val="0038718E"/>
    <w:rsid w:val="0038740C"/>
    <w:rsid w:val="00387B9D"/>
    <w:rsid w:val="00387C70"/>
    <w:rsid w:val="00390294"/>
    <w:rsid w:val="0039364F"/>
    <w:rsid w:val="00396686"/>
    <w:rsid w:val="0039778E"/>
    <w:rsid w:val="003A012D"/>
    <w:rsid w:val="003B0DD2"/>
    <w:rsid w:val="003B4941"/>
    <w:rsid w:val="003B7B70"/>
    <w:rsid w:val="003C5714"/>
    <w:rsid w:val="003C6B9F"/>
    <w:rsid w:val="003C6E2A"/>
    <w:rsid w:val="003D0299"/>
    <w:rsid w:val="003E6D80"/>
    <w:rsid w:val="003E7BCC"/>
    <w:rsid w:val="003F05FA"/>
    <w:rsid w:val="003F244A"/>
    <w:rsid w:val="003F2517"/>
    <w:rsid w:val="003F30B8"/>
    <w:rsid w:val="003F4C45"/>
    <w:rsid w:val="003F5F7B"/>
    <w:rsid w:val="003F7D64"/>
    <w:rsid w:val="0040433A"/>
    <w:rsid w:val="00414300"/>
    <w:rsid w:val="00414F27"/>
    <w:rsid w:val="004150B6"/>
    <w:rsid w:val="00416959"/>
    <w:rsid w:val="00420703"/>
    <w:rsid w:val="00425C67"/>
    <w:rsid w:val="00427E7A"/>
    <w:rsid w:val="004355AC"/>
    <w:rsid w:val="00436C49"/>
    <w:rsid w:val="00440064"/>
    <w:rsid w:val="00443D98"/>
    <w:rsid w:val="00445366"/>
    <w:rsid w:val="00447F5B"/>
    <w:rsid w:val="00452890"/>
    <w:rsid w:val="00461DB0"/>
    <w:rsid w:val="00462C71"/>
    <w:rsid w:val="00463926"/>
    <w:rsid w:val="00464384"/>
    <w:rsid w:val="00464AB7"/>
    <w:rsid w:val="00464C9A"/>
    <w:rsid w:val="004734EB"/>
    <w:rsid w:val="00474F3D"/>
    <w:rsid w:val="00475326"/>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418"/>
    <w:rsid w:val="004D5DCC"/>
    <w:rsid w:val="004D7E45"/>
    <w:rsid w:val="004F10AF"/>
    <w:rsid w:val="004F11A4"/>
    <w:rsid w:val="004F2389"/>
    <w:rsid w:val="004F304D"/>
    <w:rsid w:val="004F4290"/>
    <w:rsid w:val="004F61BE"/>
    <w:rsid w:val="004F66B1"/>
    <w:rsid w:val="00505F69"/>
    <w:rsid w:val="00511C07"/>
    <w:rsid w:val="005125CB"/>
    <w:rsid w:val="00512EC4"/>
    <w:rsid w:val="005160E9"/>
    <w:rsid w:val="0051725A"/>
    <w:rsid w:val="005173A6"/>
    <w:rsid w:val="00517BB8"/>
    <w:rsid w:val="00520354"/>
    <w:rsid w:val="00520BAA"/>
    <w:rsid w:val="005217D8"/>
    <w:rsid w:val="00525208"/>
    <w:rsid w:val="005257A5"/>
    <w:rsid w:val="005264C0"/>
    <w:rsid w:val="00526A8A"/>
    <w:rsid w:val="00527FB1"/>
    <w:rsid w:val="00530FE6"/>
    <w:rsid w:val="00531DF2"/>
    <w:rsid w:val="005322BC"/>
    <w:rsid w:val="0053315C"/>
    <w:rsid w:val="00537476"/>
    <w:rsid w:val="005442EE"/>
    <w:rsid w:val="00545DA6"/>
    <w:rsid w:val="0054716E"/>
    <w:rsid w:val="00547353"/>
    <w:rsid w:val="005474E7"/>
    <w:rsid w:val="005512A3"/>
    <w:rsid w:val="005578CE"/>
    <w:rsid w:val="00562781"/>
    <w:rsid w:val="00562B6C"/>
    <w:rsid w:val="0057271C"/>
    <w:rsid w:val="00572845"/>
    <w:rsid w:val="00577661"/>
    <w:rsid w:val="00587898"/>
    <w:rsid w:val="005879A2"/>
    <w:rsid w:val="00592772"/>
    <w:rsid w:val="0059574A"/>
    <w:rsid w:val="005A1B9B"/>
    <w:rsid w:val="005A2221"/>
    <w:rsid w:val="005A2E79"/>
    <w:rsid w:val="005A6751"/>
    <w:rsid w:val="005B092E"/>
    <w:rsid w:val="005B152C"/>
    <w:rsid w:val="005B1EE0"/>
    <w:rsid w:val="005B2B24"/>
    <w:rsid w:val="005B4425"/>
    <w:rsid w:val="005B4B94"/>
    <w:rsid w:val="005C2C62"/>
    <w:rsid w:val="005C3EE8"/>
    <w:rsid w:val="005D2F2A"/>
    <w:rsid w:val="005D34F9"/>
    <w:rsid w:val="005D4190"/>
    <w:rsid w:val="005D67A3"/>
    <w:rsid w:val="005E2988"/>
    <w:rsid w:val="005E3085"/>
    <w:rsid w:val="005F0EB3"/>
    <w:rsid w:val="005F51E1"/>
    <w:rsid w:val="006054C3"/>
    <w:rsid w:val="00611C80"/>
    <w:rsid w:val="00620692"/>
    <w:rsid w:val="00623885"/>
    <w:rsid w:val="00623C16"/>
    <w:rsid w:val="006242CA"/>
    <w:rsid w:val="00627507"/>
    <w:rsid w:val="00633717"/>
    <w:rsid w:val="006344E1"/>
    <w:rsid w:val="00643524"/>
    <w:rsid w:val="0064393B"/>
    <w:rsid w:val="00645CF2"/>
    <w:rsid w:val="00653BED"/>
    <w:rsid w:val="006545C4"/>
    <w:rsid w:val="00661971"/>
    <w:rsid w:val="00661CE8"/>
    <w:rsid w:val="006623D9"/>
    <w:rsid w:val="006642A5"/>
    <w:rsid w:val="00664C94"/>
    <w:rsid w:val="0066550C"/>
    <w:rsid w:val="00665BD2"/>
    <w:rsid w:val="006716F2"/>
    <w:rsid w:val="00675AF2"/>
    <w:rsid w:val="00682BF2"/>
    <w:rsid w:val="0068573E"/>
    <w:rsid w:val="006859CE"/>
    <w:rsid w:val="00691270"/>
    <w:rsid w:val="00694BA8"/>
    <w:rsid w:val="006A037C"/>
    <w:rsid w:val="006A0C84"/>
    <w:rsid w:val="006A29FC"/>
    <w:rsid w:val="006A36F4"/>
    <w:rsid w:val="006A406F"/>
    <w:rsid w:val="006A4E97"/>
    <w:rsid w:val="006A5D3A"/>
    <w:rsid w:val="006A7476"/>
    <w:rsid w:val="006B1942"/>
    <w:rsid w:val="006B57FE"/>
    <w:rsid w:val="006C23D4"/>
    <w:rsid w:val="006C7BB0"/>
    <w:rsid w:val="006D3237"/>
    <w:rsid w:val="006E2E37"/>
    <w:rsid w:val="006E3CF1"/>
    <w:rsid w:val="006E68A3"/>
    <w:rsid w:val="006E7E80"/>
    <w:rsid w:val="006F1C2D"/>
    <w:rsid w:val="006F48CA"/>
    <w:rsid w:val="006F64DD"/>
    <w:rsid w:val="006F712D"/>
    <w:rsid w:val="007007C0"/>
    <w:rsid w:val="00702C5E"/>
    <w:rsid w:val="00710F25"/>
    <w:rsid w:val="00715127"/>
    <w:rsid w:val="00715E8E"/>
    <w:rsid w:val="00723580"/>
    <w:rsid w:val="00723755"/>
    <w:rsid w:val="0073136C"/>
    <w:rsid w:val="00731F0F"/>
    <w:rsid w:val="00733250"/>
    <w:rsid w:val="00741404"/>
    <w:rsid w:val="007449E5"/>
    <w:rsid w:val="0074750E"/>
    <w:rsid w:val="00747FF0"/>
    <w:rsid w:val="00751066"/>
    <w:rsid w:val="0075566E"/>
    <w:rsid w:val="00762A5C"/>
    <w:rsid w:val="00763602"/>
    <w:rsid w:val="00764D4E"/>
    <w:rsid w:val="00765A1F"/>
    <w:rsid w:val="00772BB5"/>
    <w:rsid w:val="00775B6D"/>
    <w:rsid w:val="00776D68"/>
    <w:rsid w:val="00781140"/>
    <w:rsid w:val="0078323E"/>
    <w:rsid w:val="007849C2"/>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3F8E"/>
    <w:rsid w:val="007D4832"/>
    <w:rsid w:val="007D7769"/>
    <w:rsid w:val="007E1A1C"/>
    <w:rsid w:val="007E21B2"/>
    <w:rsid w:val="007E2C4E"/>
    <w:rsid w:val="007E2C8C"/>
    <w:rsid w:val="007E51BA"/>
    <w:rsid w:val="007E73D7"/>
    <w:rsid w:val="007E79A4"/>
    <w:rsid w:val="007F0C9D"/>
    <w:rsid w:val="007F1905"/>
    <w:rsid w:val="007F27E4"/>
    <w:rsid w:val="007F3437"/>
    <w:rsid w:val="007F3BAA"/>
    <w:rsid w:val="00802C64"/>
    <w:rsid w:val="00805E52"/>
    <w:rsid w:val="008061D0"/>
    <w:rsid w:val="00810B38"/>
    <w:rsid w:val="008204C7"/>
    <w:rsid w:val="00820992"/>
    <w:rsid w:val="00823602"/>
    <w:rsid w:val="008255F5"/>
    <w:rsid w:val="00826890"/>
    <w:rsid w:val="0083014E"/>
    <w:rsid w:val="0083214A"/>
    <w:rsid w:val="00833B59"/>
    <w:rsid w:val="00834220"/>
    <w:rsid w:val="00845723"/>
    <w:rsid w:val="008519E7"/>
    <w:rsid w:val="00851EF9"/>
    <w:rsid w:val="008577FD"/>
    <w:rsid w:val="00860B03"/>
    <w:rsid w:val="0086497A"/>
    <w:rsid w:val="0086538E"/>
    <w:rsid w:val="00867066"/>
    <w:rsid w:val="008713A1"/>
    <w:rsid w:val="00872584"/>
    <w:rsid w:val="008754AB"/>
    <w:rsid w:val="00876EC2"/>
    <w:rsid w:val="0088060C"/>
    <w:rsid w:val="00882CD5"/>
    <w:rsid w:val="00883151"/>
    <w:rsid w:val="00891042"/>
    <w:rsid w:val="00893576"/>
    <w:rsid w:val="00893E73"/>
    <w:rsid w:val="00896CC4"/>
    <w:rsid w:val="008A3700"/>
    <w:rsid w:val="008B02DC"/>
    <w:rsid w:val="008B092C"/>
    <w:rsid w:val="008B57CE"/>
    <w:rsid w:val="008C26DE"/>
    <w:rsid w:val="008C2A17"/>
    <w:rsid w:val="008D1668"/>
    <w:rsid w:val="008D1EC8"/>
    <w:rsid w:val="008D2225"/>
    <w:rsid w:val="008D4752"/>
    <w:rsid w:val="008D5A13"/>
    <w:rsid w:val="008E271C"/>
    <w:rsid w:val="008E3A08"/>
    <w:rsid w:val="008E418E"/>
    <w:rsid w:val="008E5BC6"/>
    <w:rsid w:val="008E6217"/>
    <w:rsid w:val="008E6A25"/>
    <w:rsid w:val="008F246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1A0B"/>
    <w:rsid w:val="009333DC"/>
    <w:rsid w:val="00934301"/>
    <w:rsid w:val="00936CD1"/>
    <w:rsid w:val="0094131C"/>
    <w:rsid w:val="00941747"/>
    <w:rsid w:val="00941EFB"/>
    <w:rsid w:val="009438C8"/>
    <w:rsid w:val="00943ECC"/>
    <w:rsid w:val="00947AFB"/>
    <w:rsid w:val="00951AA3"/>
    <w:rsid w:val="00951D7D"/>
    <w:rsid w:val="00956D0C"/>
    <w:rsid w:val="00962BC4"/>
    <w:rsid w:val="009630C7"/>
    <w:rsid w:val="00972B55"/>
    <w:rsid w:val="009743B7"/>
    <w:rsid w:val="009769C5"/>
    <w:rsid w:val="0098228B"/>
    <w:rsid w:val="009828DA"/>
    <w:rsid w:val="00983BE5"/>
    <w:rsid w:val="0098410D"/>
    <w:rsid w:val="00985BAB"/>
    <w:rsid w:val="00986359"/>
    <w:rsid w:val="00986B3C"/>
    <w:rsid w:val="009A115C"/>
    <w:rsid w:val="009A455D"/>
    <w:rsid w:val="009A7FC1"/>
    <w:rsid w:val="009B1606"/>
    <w:rsid w:val="009B1B5F"/>
    <w:rsid w:val="009B6673"/>
    <w:rsid w:val="009C191B"/>
    <w:rsid w:val="009C2BD6"/>
    <w:rsid w:val="009D08D6"/>
    <w:rsid w:val="009D57AA"/>
    <w:rsid w:val="009E03C9"/>
    <w:rsid w:val="009E1F32"/>
    <w:rsid w:val="009E2CC2"/>
    <w:rsid w:val="009E47A2"/>
    <w:rsid w:val="009E776C"/>
    <w:rsid w:val="009E7A6F"/>
    <w:rsid w:val="009F4C8F"/>
    <w:rsid w:val="009F4D22"/>
    <w:rsid w:val="009F6BD4"/>
    <w:rsid w:val="00A02972"/>
    <w:rsid w:val="00A05588"/>
    <w:rsid w:val="00A06AAE"/>
    <w:rsid w:val="00A15601"/>
    <w:rsid w:val="00A1726E"/>
    <w:rsid w:val="00A204CF"/>
    <w:rsid w:val="00A21D2B"/>
    <w:rsid w:val="00A22745"/>
    <w:rsid w:val="00A23D49"/>
    <w:rsid w:val="00A27004"/>
    <w:rsid w:val="00A308CE"/>
    <w:rsid w:val="00A30C29"/>
    <w:rsid w:val="00A34DD6"/>
    <w:rsid w:val="00A35683"/>
    <w:rsid w:val="00A36819"/>
    <w:rsid w:val="00A36989"/>
    <w:rsid w:val="00A41D86"/>
    <w:rsid w:val="00A43628"/>
    <w:rsid w:val="00A45145"/>
    <w:rsid w:val="00A51D0F"/>
    <w:rsid w:val="00A54192"/>
    <w:rsid w:val="00A57147"/>
    <w:rsid w:val="00A6035E"/>
    <w:rsid w:val="00A6144C"/>
    <w:rsid w:val="00A66617"/>
    <w:rsid w:val="00A671F8"/>
    <w:rsid w:val="00A6734E"/>
    <w:rsid w:val="00A673A4"/>
    <w:rsid w:val="00A724AE"/>
    <w:rsid w:val="00A73329"/>
    <w:rsid w:val="00A77392"/>
    <w:rsid w:val="00A80632"/>
    <w:rsid w:val="00A82359"/>
    <w:rsid w:val="00A831A3"/>
    <w:rsid w:val="00A865D2"/>
    <w:rsid w:val="00A87C10"/>
    <w:rsid w:val="00A90BCD"/>
    <w:rsid w:val="00A92625"/>
    <w:rsid w:val="00A94C20"/>
    <w:rsid w:val="00A95D81"/>
    <w:rsid w:val="00A96907"/>
    <w:rsid w:val="00AA15A5"/>
    <w:rsid w:val="00AA1B09"/>
    <w:rsid w:val="00AA227F"/>
    <w:rsid w:val="00AA3BC7"/>
    <w:rsid w:val="00AA7060"/>
    <w:rsid w:val="00AA754A"/>
    <w:rsid w:val="00AB099E"/>
    <w:rsid w:val="00AB4328"/>
    <w:rsid w:val="00AC38DE"/>
    <w:rsid w:val="00AC4CD4"/>
    <w:rsid w:val="00AE0A2E"/>
    <w:rsid w:val="00AE354C"/>
    <w:rsid w:val="00AE497A"/>
    <w:rsid w:val="00AF12C5"/>
    <w:rsid w:val="00AF36A3"/>
    <w:rsid w:val="00AF4B07"/>
    <w:rsid w:val="00AF6186"/>
    <w:rsid w:val="00AF7862"/>
    <w:rsid w:val="00AF7A3A"/>
    <w:rsid w:val="00B02587"/>
    <w:rsid w:val="00B049D1"/>
    <w:rsid w:val="00B13753"/>
    <w:rsid w:val="00B14793"/>
    <w:rsid w:val="00B153A0"/>
    <w:rsid w:val="00B160DB"/>
    <w:rsid w:val="00B20836"/>
    <w:rsid w:val="00B235BB"/>
    <w:rsid w:val="00B27A44"/>
    <w:rsid w:val="00B30BBF"/>
    <w:rsid w:val="00B33C03"/>
    <w:rsid w:val="00B4421F"/>
    <w:rsid w:val="00B44E56"/>
    <w:rsid w:val="00B45917"/>
    <w:rsid w:val="00B46543"/>
    <w:rsid w:val="00B47D33"/>
    <w:rsid w:val="00B51FD2"/>
    <w:rsid w:val="00B52BE0"/>
    <w:rsid w:val="00B54133"/>
    <w:rsid w:val="00B55A8D"/>
    <w:rsid w:val="00B701ED"/>
    <w:rsid w:val="00B748F7"/>
    <w:rsid w:val="00B8086C"/>
    <w:rsid w:val="00B81C58"/>
    <w:rsid w:val="00B861B4"/>
    <w:rsid w:val="00B86DFE"/>
    <w:rsid w:val="00B90990"/>
    <w:rsid w:val="00B922FF"/>
    <w:rsid w:val="00B9281E"/>
    <w:rsid w:val="00B93925"/>
    <w:rsid w:val="00B95187"/>
    <w:rsid w:val="00BA0B55"/>
    <w:rsid w:val="00BA2D55"/>
    <w:rsid w:val="00BA71B1"/>
    <w:rsid w:val="00BB0637"/>
    <w:rsid w:val="00BB345F"/>
    <w:rsid w:val="00BB68EA"/>
    <w:rsid w:val="00BC0B99"/>
    <w:rsid w:val="00BC1C27"/>
    <w:rsid w:val="00BC56A7"/>
    <w:rsid w:val="00BC6BBF"/>
    <w:rsid w:val="00BD1572"/>
    <w:rsid w:val="00BE14E3"/>
    <w:rsid w:val="00BE210E"/>
    <w:rsid w:val="00BE36A8"/>
    <w:rsid w:val="00BE3774"/>
    <w:rsid w:val="00BE41E5"/>
    <w:rsid w:val="00BE4CE2"/>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6CFC"/>
    <w:rsid w:val="00C477F7"/>
    <w:rsid w:val="00C509A6"/>
    <w:rsid w:val="00C53F4A"/>
    <w:rsid w:val="00C54125"/>
    <w:rsid w:val="00C55B54"/>
    <w:rsid w:val="00C6098E"/>
    <w:rsid w:val="00C6152C"/>
    <w:rsid w:val="00C71424"/>
    <w:rsid w:val="00C74810"/>
    <w:rsid w:val="00C8502E"/>
    <w:rsid w:val="00C90D68"/>
    <w:rsid w:val="00C9380A"/>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2397"/>
    <w:rsid w:val="00D00ABB"/>
    <w:rsid w:val="00D01C3D"/>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669D4"/>
    <w:rsid w:val="00D70641"/>
    <w:rsid w:val="00D74888"/>
    <w:rsid w:val="00D7488B"/>
    <w:rsid w:val="00D75E28"/>
    <w:rsid w:val="00D772C2"/>
    <w:rsid w:val="00D8008E"/>
    <w:rsid w:val="00D82C45"/>
    <w:rsid w:val="00D908A8"/>
    <w:rsid w:val="00D977B6"/>
    <w:rsid w:val="00DA1223"/>
    <w:rsid w:val="00DA1DBD"/>
    <w:rsid w:val="00DA4A31"/>
    <w:rsid w:val="00DA7B04"/>
    <w:rsid w:val="00DB36C2"/>
    <w:rsid w:val="00DC00A8"/>
    <w:rsid w:val="00DC169B"/>
    <w:rsid w:val="00DC2AB9"/>
    <w:rsid w:val="00DC63F0"/>
    <w:rsid w:val="00DD3189"/>
    <w:rsid w:val="00DD37EA"/>
    <w:rsid w:val="00DD6EE5"/>
    <w:rsid w:val="00DE386C"/>
    <w:rsid w:val="00DE4D35"/>
    <w:rsid w:val="00DE6F91"/>
    <w:rsid w:val="00DF098B"/>
    <w:rsid w:val="00DF11C4"/>
    <w:rsid w:val="00DF210C"/>
    <w:rsid w:val="00DF4B6A"/>
    <w:rsid w:val="00E004C0"/>
    <w:rsid w:val="00E02C09"/>
    <w:rsid w:val="00E04D59"/>
    <w:rsid w:val="00E07DA1"/>
    <w:rsid w:val="00E123CB"/>
    <w:rsid w:val="00E13B09"/>
    <w:rsid w:val="00E20E13"/>
    <w:rsid w:val="00E21DBC"/>
    <w:rsid w:val="00E24B63"/>
    <w:rsid w:val="00E275D7"/>
    <w:rsid w:val="00E27DBE"/>
    <w:rsid w:val="00E32AB1"/>
    <w:rsid w:val="00E36C71"/>
    <w:rsid w:val="00E40404"/>
    <w:rsid w:val="00E4126A"/>
    <w:rsid w:val="00E42A06"/>
    <w:rsid w:val="00E459C6"/>
    <w:rsid w:val="00E47589"/>
    <w:rsid w:val="00E557AA"/>
    <w:rsid w:val="00E63EC7"/>
    <w:rsid w:val="00E64915"/>
    <w:rsid w:val="00E64D3A"/>
    <w:rsid w:val="00E661D4"/>
    <w:rsid w:val="00E67565"/>
    <w:rsid w:val="00E70091"/>
    <w:rsid w:val="00E70D2E"/>
    <w:rsid w:val="00E720F5"/>
    <w:rsid w:val="00E73894"/>
    <w:rsid w:val="00E744E0"/>
    <w:rsid w:val="00E76D47"/>
    <w:rsid w:val="00E827BC"/>
    <w:rsid w:val="00E838A6"/>
    <w:rsid w:val="00E849F7"/>
    <w:rsid w:val="00E90302"/>
    <w:rsid w:val="00E91D05"/>
    <w:rsid w:val="00E9262D"/>
    <w:rsid w:val="00E94245"/>
    <w:rsid w:val="00E9536F"/>
    <w:rsid w:val="00E95C1E"/>
    <w:rsid w:val="00E96881"/>
    <w:rsid w:val="00E97396"/>
    <w:rsid w:val="00EA185E"/>
    <w:rsid w:val="00EA3F84"/>
    <w:rsid w:val="00EA592A"/>
    <w:rsid w:val="00EB14E4"/>
    <w:rsid w:val="00EB32A5"/>
    <w:rsid w:val="00EB34ED"/>
    <w:rsid w:val="00EB447C"/>
    <w:rsid w:val="00EB7BE0"/>
    <w:rsid w:val="00EC315E"/>
    <w:rsid w:val="00ED077C"/>
    <w:rsid w:val="00ED10A9"/>
    <w:rsid w:val="00ED1190"/>
    <w:rsid w:val="00ED34AC"/>
    <w:rsid w:val="00ED6544"/>
    <w:rsid w:val="00EE0277"/>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3BD7"/>
    <w:rsid w:val="00F56A6F"/>
    <w:rsid w:val="00F5709C"/>
    <w:rsid w:val="00F60B85"/>
    <w:rsid w:val="00F62B92"/>
    <w:rsid w:val="00F64EF1"/>
    <w:rsid w:val="00F72498"/>
    <w:rsid w:val="00F72B14"/>
    <w:rsid w:val="00F7349B"/>
    <w:rsid w:val="00F8765F"/>
    <w:rsid w:val="00F90767"/>
    <w:rsid w:val="00F9263C"/>
    <w:rsid w:val="00FA1637"/>
    <w:rsid w:val="00FA28A1"/>
    <w:rsid w:val="00FA685B"/>
    <w:rsid w:val="00FA77FC"/>
    <w:rsid w:val="00FB0C01"/>
    <w:rsid w:val="00FB5934"/>
    <w:rsid w:val="00FC18F2"/>
    <w:rsid w:val="00FC2A17"/>
    <w:rsid w:val="00FC38CF"/>
    <w:rsid w:val="00FC39E5"/>
    <w:rsid w:val="00FC3A78"/>
    <w:rsid w:val="00FC4716"/>
    <w:rsid w:val="00FD1005"/>
    <w:rsid w:val="00FD1F7F"/>
    <w:rsid w:val="00FD4370"/>
    <w:rsid w:val="00FD6C75"/>
    <w:rsid w:val="00FD7972"/>
    <w:rsid w:val="00FE0401"/>
    <w:rsid w:val="00FE71B3"/>
    <w:rsid w:val="00FF1ED4"/>
    <w:rsid w:val="00FF42C5"/>
    <w:rsid w:val="00FF4320"/>
    <w:rsid w:val="00FF7F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8031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docDefaults>
  <w:latentStyles w:defLockedState="0" w:defUIPriority="98" w:defSemiHidden="0" w:defUnhideWhenUsed="0" w:defQFormat="0" w:count="376">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ny">
    <w:name w:val="Normal"/>
    <w:semiHidden/>
    <w:rsid w:val="002B5B43"/>
    <w:rPr>
      <w:sz w:val="24"/>
      <w:szCs w:val="24"/>
    </w:rPr>
  </w:style>
  <w:style w:type="paragraph" w:styleId="Nagwek1">
    <w:name w:val="heading 1"/>
    <w:basedOn w:val="Normalny"/>
    <w:next w:val="Normalny"/>
    <w:link w:val="Nagwek1Znak"/>
    <w:uiPriority w:val="98"/>
    <w:semiHidden/>
    <w:rsid w:val="002B5B43"/>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8"/>
    <w:semiHidden/>
    <w:rsid w:val="002B5B43"/>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8"/>
    <w:semiHidden/>
    <w:rsid w:val="002B5B43"/>
    <w:pPr>
      <w:spacing w:before="200" w:line="271" w:lineRule="auto"/>
      <w:outlineLvl w:val="2"/>
    </w:pPr>
    <w:rPr>
      <w:rFonts w:asciiTheme="majorHAnsi" w:eastAsiaTheme="majorEastAsia" w:hAnsiTheme="majorHAnsi" w:cstheme="majorBidi"/>
      <w:b/>
      <w:bCs/>
      <w:color w:val="5F5F5F"/>
      <w:sz w:val="22"/>
      <w:szCs w:val="22"/>
    </w:rPr>
  </w:style>
  <w:style w:type="paragraph" w:styleId="Nagwek4">
    <w:name w:val="heading 4"/>
    <w:basedOn w:val="Normalny"/>
    <w:next w:val="Normalny"/>
    <w:link w:val="Nagwek4Znak"/>
    <w:uiPriority w:val="98"/>
    <w:semiHidden/>
    <w:rsid w:val="002B5B43"/>
    <w:pPr>
      <w:spacing w:before="200"/>
      <w:outlineLvl w:val="3"/>
    </w:pPr>
    <w:rPr>
      <w:rFonts w:asciiTheme="majorHAnsi" w:eastAsiaTheme="majorEastAsia" w:hAnsiTheme="majorHAnsi" w:cstheme="majorBidi"/>
      <w:b/>
      <w:bCs/>
      <w:i/>
      <w:iCs/>
      <w:color w:val="777777"/>
      <w:sz w:val="22"/>
      <w:szCs w:val="22"/>
    </w:rPr>
  </w:style>
  <w:style w:type="paragraph" w:styleId="Nagwek5">
    <w:name w:val="heading 5"/>
    <w:basedOn w:val="Normalny"/>
    <w:next w:val="Normalny"/>
    <w:link w:val="Nagwek5Znak"/>
    <w:uiPriority w:val="98"/>
    <w:semiHidden/>
    <w:qFormat/>
    <w:rsid w:val="002B5B43"/>
    <w:pPr>
      <w:spacing w:before="200"/>
      <w:outlineLvl w:val="4"/>
    </w:pPr>
    <w:rPr>
      <w:rFonts w:asciiTheme="majorHAnsi" w:eastAsiaTheme="majorEastAsia" w:hAnsiTheme="majorHAnsi" w:cstheme="majorBidi"/>
      <w:b/>
      <w:bCs/>
      <w:color w:val="808080"/>
      <w:sz w:val="22"/>
      <w:szCs w:val="22"/>
    </w:rPr>
  </w:style>
  <w:style w:type="paragraph" w:styleId="Nagwek6">
    <w:name w:val="heading 6"/>
    <w:basedOn w:val="Normalny"/>
    <w:next w:val="Normalny"/>
    <w:link w:val="Nagwek6Znak"/>
    <w:uiPriority w:val="98"/>
    <w:semiHidden/>
    <w:rsid w:val="002B5B43"/>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Nagwek7">
    <w:name w:val="heading 7"/>
    <w:basedOn w:val="Normalny"/>
    <w:next w:val="Normalny"/>
    <w:link w:val="Nagwek7Znak"/>
    <w:uiPriority w:val="98"/>
    <w:semiHidden/>
    <w:qFormat/>
    <w:rsid w:val="002B5B43"/>
    <w:pPr>
      <w:outlineLvl w:val="6"/>
    </w:pPr>
    <w:rPr>
      <w:rFonts w:asciiTheme="majorHAnsi" w:eastAsiaTheme="majorEastAsia" w:hAnsiTheme="majorHAnsi" w:cstheme="majorBidi"/>
      <w:i/>
      <w:iCs/>
      <w:sz w:val="22"/>
      <w:szCs w:val="22"/>
      <w:lang w:bidi="en-US"/>
    </w:rPr>
  </w:style>
  <w:style w:type="paragraph" w:styleId="Nagwek8">
    <w:name w:val="heading 8"/>
    <w:basedOn w:val="Normalny"/>
    <w:next w:val="Normalny"/>
    <w:link w:val="Nagwek8Znak"/>
    <w:uiPriority w:val="98"/>
    <w:semiHidden/>
    <w:qFormat/>
    <w:rsid w:val="002B5B43"/>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8"/>
    <w:semiHidden/>
    <w:qFormat/>
    <w:rsid w:val="002B5B43"/>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8"/>
    <w:semiHidden/>
    <w:rsid w:val="002B5B43"/>
    <w:rPr>
      <w:rFonts w:ascii="Tahoma" w:hAnsi="Tahoma" w:cs="Tahoma"/>
      <w:sz w:val="16"/>
      <w:szCs w:val="16"/>
    </w:rPr>
  </w:style>
  <w:style w:type="character" w:customStyle="1" w:styleId="TekstdymkaZnak">
    <w:name w:val="Tekst dymka Znak"/>
    <w:basedOn w:val="Domylnaczcionkaakapitu"/>
    <w:link w:val="Tekstdymka"/>
    <w:uiPriority w:val="98"/>
    <w:semiHidden/>
    <w:rsid w:val="002B5B43"/>
    <w:rPr>
      <w:rFonts w:ascii="Tahoma" w:hAnsi="Tahoma" w:cs="Tahoma"/>
      <w:sz w:val="16"/>
      <w:szCs w:val="16"/>
      <w:lang w:val="pl-PL"/>
    </w:rPr>
  </w:style>
  <w:style w:type="character" w:styleId="Tytuksiki">
    <w:name w:val="Book Title"/>
    <w:uiPriority w:val="98"/>
    <w:semiHidden/>
    <w:qFormat/>
    <w:rsid w:val="002B5B43"/>
    <w:rPr>
      <w:i/>
      <w:iCs/>
      <w:smallCaps/>
      <w:spacing w:val="5"/>
    </w:rPr>
  </w:style>
  <w:style w:type="paragraph" w:customStyle="1" w:styleId="JuHeader">
    <w:name w:val="Ju_Header"/>
    <w:aliases w:val="_Header"/>
    <w:basedOn w:val="Nagwek"/>
    <w:uiPriority w:val="29"/>
    <w:qFormat/>
    <w:rsid w:val="002B5B43"/>
    <w:pPr>
      <w:tabs>
        <w:tab w:val="clear" w:pos="4536"/>
        <w:tab w:val="clear" w:pos="9072"/>
      </w:tabs>
      <w:jc w:val="center"/>
    </w:pPr>
    <w:rPr>
      <w:sz w:val="18"/>
    </w:rPr>
  </w:style>
  <w:style w:type="paragraph" w:customStyle="1" w:styleId="NormalJustified">
    <w:name w:val="Normal_Justified"/>
    <w:basedOn w:val="Normalny"/>
    <w:semiHidden/>
    <w:rsid w:val="002B5B43"/>
    <w:pPr>
      <w:jc w:val="both"/>
    </w:pPr>
  </w:style>
  <w:style w:type="character" w:styleId="Pogrubienie">
    <w:name w:val="Strong"/>
    <w:uiPriority w:val="98"/>
    <w:semiHidden/>
    <w:qFormat/>
    <w:rsid w:val="002B5B43"/>
    <w:rPr>
      <w:b/>
      <w:bCs/>
    </w:rPr>
  </w:style>
  <w:style w:type="paragraph" w:styleId="Bezodstpw">
    <w:name w:val="No Spacing"/>
    <w:basedOn w:val="Normalny"/>
    <w:link w:val="BezodstpwZnak"/>
    <w:uiPriority w:val="98"/>
    <w:semiHidden/>
    <w:qFormat/>
    <w:rsid w:val="002B5B43"/>
  </w:style>
  <w:style w:type="character" w:customStyle="1" w:styleId="BezodstpwZnak">
    <w:name w:val="Bez odstępów Znak"/>
    <w:basedOn w:val="Domylnaczcionkaakapitu"/>
    <w:link w:val="Bezodstpw"/>
    <w:uiPriority w:val="98"/>
    <w:rsid w:val="002B5B43"/>
    <w:rPr>
      <w:sz w:val="24"/>
      <w:szCs w:val="24"/>
      <w:lang w:val="pl-PL"/>
    </w:rPr>
  </w:style>
  <w:style w:type="paragraph" w:customStyle="1" w:styleId="JuQuot">
    <w:name w:val="Ju_Quot"/>
    <w:aliases w:val="_Quote"/>
    <w:basedOn w:val="NormalJustified"/>
    <w:link w:val="JuQuotChar"/>
    <w:uiPriority w:val="20"/>
    <w:qFormat/>
    <w:rsid w:val="002B5B43"/>
    <w:pPr>
      <w:spacing w:before="120" w:after="120"/>
      <w:ind w:left="425" w:firstLine="142"/>
    </w:pPr>
    <w:rPr>
      <w:sz w:val="20"/>
    </w:rPr>
  </w:style>
  <w:style w:type="paragraph" w:customStyle="1" w:styleId="JuList">
    <w:name w:val="Ju_List"/>
    <w:aliases w:val="_List_1"/>
    <w:basedOn w:val="NormalJustified"/>
    <w:uiPriority w:val="23"/>
    <w:qFormat/>
    <w:rsid w:val="002B5B43"/>
    <w:pPr>
      <w:numPr>
        <w:numId w:val="10"/>
      </w:numPr>
      <w:spacing w:before="280" w:after="60"/>
    </w:pPr>
  </w:style>
  <w:style w:type="paragraph" w:customStyle="1" w:styleId="JuLista">
    <w:name w:val="Ju_List_a"/>
    <w:aliases w:val="_List_2"/>
    <w:basedOn w:val="NormalJustified"/>
    <w:uiPriority w:val="23"/>
    <w:rsid w:val="002B5B43"/>
    <w:pPr>
      <w:numPr>
        <w:ilvl w:val="1"/>
        <w:numId w:val="10"/>
      </w:numPr>
    </w:pPr>
  </w:style>
  <w:style w:type="paragraph" w:customStyle="1" w:styleId="JuListi">
    <w:name w:val="Ju_List_i"/>
    <w:aliases w:val="_List_3"/>
    <w:basedOn w:val="NormalJustified"/>
    <w:uiPriority w:val="23"/>
    <w:rsid w:val="002B5B43"/>
    <w:pPr>
      <w:numPr>
        <w:ilvl w:val="2"/>
        <w:numId w:val="10"/>
      </w:numPr>
    </w:pPr>
  </w:style>
  <w:style w:type="paragraph" w:customStyle="1" w:styleId="JuHArticle">
    <w:name w:val="Ju_H_Article"/>
    <w:aliases w:val="_Title_Quote"/>
    <w:basedOn w:val="Normalny"/>
    <w:next w:val="JuQuot"/>
    <w:uiPriority w:val="19"/>
    <w:qFormat/>
    <w:rsid w:val="002B5B43"/>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B5B43"/>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B5B43"/>
    <w:pPr>
      <w:keepNext/>
      <w:keepLines/>
      <w:tabs>
        <w:tab w:val="right" w:pos="7938"/>
      </w:tabs>
      <w:ind w:firstLine="0"/>
      <w:jc w:val="center"/>
    </w:pPr>
    <w:rPr>
      <w:i/>
    </w:rPr>
  </w:style>
  <w:style w:type="paragraph" w:customStyle="1" w:styleId="JuHHead">
    <w:name w:val="Ju_H_Head"/>
    <w:aliases w:val="_Head_1"/>
    <w:basedOn w:val="Nagwek1"/>
    <w:next w:val="JuPara"/>
    <w:uiPriority w:val="17"/>
    <w:qFormat/>
    <w:rsid w:val="002B5B43"/>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Bezlisty"/>
    <w:rsid w:val="002B5B43"/>
    <w:pPr>
      <w:numPr>
        <w:numId w:val="4"/>
      </w:numPr>
    </w:pPr>
  </w:style>
  <w:style w:type="paragraph" w:customStyle="1" w:styleId="JuSigned">
    <w:name w:val="Ju_Signed"/>
    <w:aliases w:val="_Signature"/>
    <w:basedOn w:val="Normalny"/>
    <w:next w:val="JuPara"/>
    <w:uiPriority w:val="31"/>
    <w:qFormat/>
    <w:rsid w:val="002B5B43"/>
    <w:pPr>
      <w:tabs>
        <w:tab w:val="center" w:pos="1418"/>
        <w:tab w:val="center" w:pos="5954"/>
      </w:tabs>
      <w:spacing w:before="720"/>
    </w:pPr>
  </w:style>
  <w:style w:type="paragraph" w:styleId="Tytu">
    <w:name w:val="Title"/>
    <w:basedOn w:val="Normalny"/>
    <w:next w:val="Normalny"/>
    <w:link w:val="TytuZnak"/>
    <w:uiPriority w:val="98"/>
    <w:semiHidden/>
    <w:qFormat/>
    <w:rsid w:val="002B5B43"/>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8"/>
    <w:rsid w:val="002B5B43"/>
    <w:rPr>
      <w:rFonts w:asciiTheme="majorHAnsi" w:eastAsiaTheme="majorEastAsia" w:hAnsiTheme="majorHAnsi" w:cstheme="majorBidi"/>
      <w:spacing w:val="5"/>
      <w:sz w:val="52"/>
      <w:szCs w:val="52"/>
      <w:lang w:val="pl-PL" w:bidi="en-US"/>
    </w:rPr>
  </w:style>
  <w:style w:type="numbering" w:customStyle="1" w:styleId="ECHRA1StyleList">
    <w:name w:val="ECHR_A1_Style_List"/>
    <w:basedOn w:val="Bezlisty"/>
    <w:uiPriority w:val="99"/>
    <w:rsid w:val="002B5B43"/>
    <w:pPr>
      <w:numPr>
        <w:numId w:val="5"/>
      </w:numPr>
    </w:pPr>
  </w:style>
  <w:style w:type="numbering" w:customStyle="1" w:styleId="ECHRA1StyleNumberedList">
    <w:name w:val="ECHR_A1_Style_Numbered_List"/>
    <w:basedOn w:val="Bezlisty"/>
    <w:rsid w:val="002B5B43"/>
    <w:pPr>
      <w:numPr>
        <w:numId w:val="6"/>
      </w:numPr>
    </w:pPr>
  </w:style>
  <w:style w:type="table" w:customStyle="1" w:styleId="ECHRTable2019">
    <w:name w:val="ECHR_Table_2019"/>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auto"/>
        <w:sz w:val="22"/>
      </w:rPr>
      <w:tblPr/>
      <w:tcPr>
        <w:shd w:val="clear" w:color="auto" w:fill="DDDDDD" w:themeFill="accent3" w:themeFillTint="3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EFEFEF" w:themeFill="text2" w:themeFillTint="33"/>
      </w:tcPr>
    </w:tblStylePr>
    <w:tblStylePr w:type="band2Horz">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l2br w:val="nil"/>
          <w:tr2bl w:val="nil"/>
        </w:tcBorders>
        <w:shd w:val="clear" w:color="auto" w:fill="EFEFEF" w:themeFill="text2" w:themeFillTint="33"/>
      </w:tcPr>
    </w:tblStylePr>
  </w:style>
  <w:style w:type="paragraph" w:customStyle="1" w:styleId="Footer">
    <w:name w:val="_Footer"/>
    <w:aliases w:val="Footer_"/>
    <w:basedOn w:val="Stopka"/>
    <w:uiPriority w:val="57"/>
    <w:semiHidden/>
    <w:rsid w:val="007D3701"/>
    <w:rPr>
      <w:sz w:val="8"/>
    </w:rPr>
  </w:style>
  <w:style w:type="paragraph" w:customStyle="1" w:styleId="JuCourt">
    <w:name w:val="Ju_Court"/>
    <w:aliases w:val="_Court_Names"/>
    <w:basedOn w:val="Normalny"/>
    <w:next w:val="Normalny"/>
    <w:uiPriority w:val="32"/>
    <w:qFormat/>
    <w:rsid w:val="002B5B43"/>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Nagwek2"/>
    <w:next w:val="JuPara"/>
    <w:uiPriority w:val="17"/>
    <w:qFormat/>
    <w:rsid w:val="002B5B43"/>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Nagwek3"/>
    <w:next w:val="JuPara"/>
    <w:uiPriority w:val="17"/>
    <w:qFormat/>
    <w:rsid w:val="002B5B43"/>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Nagwek4"/>
    <w:next w:val="JuPara"/>
    <w:uiPriority w:val="17"/>
    <w:rsid w:val="002B5B43"/>
    <w:pPr>
      <w:keepNext/>
      <w:keepLines/>
      <w:numPr>
        <w:ilvl w:val="3"/>
        <w:numId w:val="9"/>
      </w:numPr>
      <w:spacing w:before="100" w:beforeAutospacing="1" w:after="120"/>
      <w:jc w:val="both"/>
    </w:pPr>
    <w:rPr>
      <w:b w:val="0"/>
      <w:color w:val="auto"/>
      <w:sz w:val="24"/>
    </w:rPr>
  </w:style>
  <w:style w:type="paragraph" w:styleId="Nagwek">
    <w:name w:val="header"/>
    <w:basedOn w:val="Normalny"/>
    <w:link w:val="NagwekZnak"/>
    <w:uiPriority w:val="98"/>
    <w:semiHidden/>
    <w:rsid w:val="002B5B43"/>
    <w:pPr>
      <w:tabs>
        <w:tab w:val="center" w:pos="4536"/>
        <w:tab w:val="right" w:pos="9072"/>
      </w:tabs>
    </w:pPr>
  </w:style>
  <w:style w:type="character" w:customStyle="1" w:styleId="NagwekZnak">
    <w:name w:val="Nagłówek Znak"/>
    <w:basedOn w:val="Domylnaczcionkaakapitu"/>
    <w:link w:val="Nagwek"/>
    <w:uiPriority w:val="98"/>
    <w:semiHidden/>
    <w:rsid w:val="002B5B43"/>
    <w:rPr>
      <w:sz w:val="24"/>
      <w:szCs w:val="24"/>
      <w:lang w:val="pl-PL"/>
    </w:rPr>
  </w:style>
  <w:style w:type="character" w:customStyle="1" w:styleId="Nagwek1Znak">
    <w:name w:val="Nagłówek 1 Znak"/>
    <w:basedOn w:val="Domylnaczcionkaakapitu"/>
    <w:link w:val="Nagwek1"/>
    <w:uiPriority w:val="98"/>
    <w:rsid w:val="002B5B43"/>
    <w:rPr>
      <w:rFonts w:asciiTheme="majorHAnsi" w:eastAsiaTheme="majorEastAsia" w:hAnsiTheme="majorHAnsi" w:cstheme="majorBidi"/>
      <w:b/>
      <w:bCs/>
      <w:color w:val="333333"/>
      <w:sz w:val="28"/>
      <w:szCs w:val="28"/>
      <w:lang w:val="pl-PL"/>
    </w:rPr>
  </w:style>
  <w:style w:type="paragraph" w:customStyle="1" w:styleId="JuHa0">
    <w:name w:val="Ju_H_a"/>
    <w:aliases w:val="_Head_5"/>
    <w:basedOn w:val="Nagwek5"/>
    <w:next w:val="JuPara"/>
    <w:uiPriority w:val="17"/>
    <w:rsid w:val="002B5B43"/>
    <w:pPr>
      <w:keepNext/>
      <w:keepLines/>
      <w:numPr>
        <w:ilvl w:val="4"/>
        <w:numId w:val="9"/>
      </w:numPr>
      <w:spacing w:before="100" w:beforeAutospacing="1" w:after="120"/>
      <w:jc w:val="both"/>
    </w:pPr>
    <w:rPr>
      <w:color w:val="auto"/>
      <w:sz w:val="20"/>
    </w:rPr>
  </w:style>
  <w:style w:type="paragraph" w:customStyle="1" w:styleId="JuHi">
    <w:name w:val="Ju_H_i"/>
    <w:aliases w:val="_Head_6"/>
    <w:basedOn w:val="Nagwek6"/>
    <w:next w:val="JuPara"/>
    <w:uiPriority w:val="17"/>
    <w:rsid w:val="002B5B43"/>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Nagwek2Znak">
    <w:name w:val="Nagłówek 2 Znak"/>
    <w:basedOn w:val="Domylnaczcionkaakapitu"/>
    <w:link w:val="Nagwek2"/>
    <w:uiPriority w:val="98"/>
    <w:semiHidden/>
    <w:rsid w:val="002B5B43"/>
    <w:rPr>
      <w:rFonts w:asciiTheme="majorHAnsi" w:eastAsiaTheme="majorEastAsia" w:hAnsiTheme="majorHAnsi" w:cstheme="majorBidi"/>
      <w:b/>
      <w:bCs/>
      <w:color w:val="4D4D4D"/>
      <w:sz w:val="26"/>
      <w:szCs w:val="26"/>
      <w:lang w:val="pl-PL"/>
    </w:rPr>
  </w:style>
  <w:style w:type="paragraph" w:customStyle="1" w:styleId="JuHalpha">
    <w:name w:val="Ju_H_alpha"/>
    <w:aliases w:val="_Head_7"/>
    <w:basedOn w:val="Nagwek7"/>
    <w:next w:val="JuPara"/>
    <w:uiPriority w:val="17"/>
    <w:rsid w:val="002B5B43"/>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Nagwek8"/>
    <w:next w:val="JuPara"/>
    <w:uiPriority w:val="17"/>
    <w:rsid w:val="002B5B43"/>
    <w:pPr>
      <w:keepNext/>
      <w:keepLines/>
      <w:numPr>
        <w:ilvl w:val="7"/>
        <w:numId w:val="9"/>
      </w:numPr>
      <w:spacing w:before="100" w:beforeAutospacing="1" w:after="120"/>
      <w:jc w:val="both"/>
    </w:pPr>
    <w:rPr>
      <w:i/>
    </w:rPr>
  </w:style>
  <w:style w:type="character" w:customStyle="1" w:styleId="Nagwek3Znak">
    <w:name w:val="Nagłówek 3 Znak"/>
    <w:basedOn w:val="Domylnaczcionkaakapitu"/>
    <w:link w:val="Nagwek3"/>
    <w:uiPriority w:val="98"/>
    <w:semiHidden/>
    <w:rsid w:val="002B5B43"/>
    <w:rPr>
      <w:rFonts w:asciiTheme="majorHAnsi" w:eastAsiaTheme="majorEastAsia" w:hAnsiTheme="majorHAnsi" w:cstheme="majorBidi"/>
      <w:b/>
      <w:bCs/>
      <w:color w:val="5F5F5F"/>
      <w:lang w:val="pl-PL"/>
    </w:rPr>
  </w:style>
  <w:style w:type="paragraph" w:customStyle="1" w:styleId="JuParaLast">
    <w:name w:val="Ju_Para_Last"/>
    <w:aliases w:val="_Para_Spaced"/>
    <w:basedOn w:val="NormalJustified"/>
    <w:uiPriority w:val="5"/>
    <w:qFormat/>
    <w:rsid w:val="002B5B43"/>
    <w:pPr>
      <w:keepNext/>
      <w:keepLines/>
      <w:spacing w:before="240" w:after="240"/>
      <w:ind w:firstLine="284"/>
    </w:pPr>
  </w:style>
  <w:style w:type="paragraph" w:customStyle="1" w:styleId="JuJudges">
    <w:name w:val="Ju_Judges"/>
    <w:aliases w:val="_Judges"/>
    <w:basedOn w:val="Normalny"/>
    <w:uiPriority w:val="32"/>
    <w:qFormat/>
    <w:rsid w:val="002B5B43"/>
    <w:pPr>
      <w:tabs>
        <w:tab w:val="left" w:pos="567"/>
        <w:tab w:val="left" w:pos="1134"/>
      </w:tabs>
    </w:pPr>
  </w:style>
  <w:style w:type="character" w:customStyle="1" w:styleId="Nagwek4Znak">
    <w:name w:val="Nagłówek 4 Znak"/>
    <w:basedOn w:val="Domylnaczcionkaakapitu"/>
    <w:link w:val="Nagwek4"/>
    <w:uiPriority w:val="98"/>
    <w:semiHidden/>
    <w:rsid w:val="002B5B43"/>
    <w:rPr>
      <w:rFonts w:asciiTheme="majorHAnsi" w:eastAsiaTheme="majorEastAsia" w:hAnsiTheme="majorHAnsi" w:cstheme="majorBidi"/>
      <w:b/>
      <w:bCs/>
      <w:i/>
      <w:iCs/>
      <w:color w:val="777777"/>
      <w:lang w:val="pl-PL"/>
    </w:rPr>
  </w:style>
  <w:style w:type="paragraph" w:customStyle="1" w:styleId="JuInitialled">
    <w:name w:val="Ju_Initialled"/>
    <w:aliases w:val="_Right"/>
    <w:basedOn w:val="Normalny"/>
    <w:uiPriority w:val="30"/>
    <w:qFormat/>
    <w:rsid w:val="002B5B43"/>
    <w:pPr>
      <w:tabs>
        <w:tab w:val="center" w:pos="6407"/>
      </w:tabs>
      <w:spacing w:before="720"/>
      <w:jc w:val="right"/>
    </w:pPr>
  </w:style>
  <w:style w:type="character" w:customStyle="1" w:styleId="Nagwek5Znak">
    <w:name w:val="Nagłówek 5 Znak"/>
    <w:basedOn w:val="Domylnaczcionkaakapitu"/>
    <w:link w:val="Nagwek5"/>
    <w:uiPriority w:val="98"/>
    <w:semiHidden/>
    <w:rsid w:val="002B5B43"/>
    <w:rPr>
      <w:rFonts w:asciiTheme="majorHAnsi" w:eastAsiaTheme="majorEastAsia" w:hAnsiTheme="majorHAnsi" w:cstheme="majorBidi"/>
      <w:b/>
      <w:bCs/>
      <w:color w:val="808080"/>
      <w:lang w:val="pl-PL"/>
    </w:rPr>
  </w:style>
  <w:style w:type="character" w:customStyle="1" w:styleId="JuITMark">
    <w:name w:val="Ju_ITMark"/>
    <w:aliases w:val="_ITMark"/>
    <w:basedOn w:val="Domylnaczcionkaakapitu"/>
    <w:uiPriority w:val="54"/>
    <w:qFormat/>
    <w:rsid w:val="002B5B43"/>
    <w:rPr>
      <w:vanish w:val="0"/>
      <w:color w:val="auto"/>
      <w:sz w:val="14"/>
      <w:bdr w:val="none" w:sz="0" w:space="0" w:color="auto"/>
      <w:shd w:val="clear" w:color="auto" w:fill="FFFFFF" w:themeFill="background1" w:themeFillTint="33"/>
    </w:rPr>
  </w:style>
  <w:style w:type="character" w:customStyle="1" w:styleId="JUNAMES">
    <w:name w:val="JU_NAMES"/>
    <w:aliases w:val="_Ju_Names"/>
    <w:uiPriority w:val="33"/>
    <w:qFormat/>
    <w:rsid w:val="002B5B43"/>
    <w:rPr>
      <w:caps w:val="0"/>
      <w:smallCaps/>
    </w:rPr>
  </w:style>
  <w:style w:type="character" w:styleId="Wyrnieniedelikatne">
    <w:name w:val="Subtle Emphasis"/>
    <w:uiPriority w:val="98"/>
    <w:semiHidden/>
    <w:qFormat/>
    <w:rsid w:val="002B5B43"/>
    <w:rPr>
      <w:i/>
      <w:iCs/>
    </w:rPr>
  </w:style>
  <w:style w:type="table" w:customStyle="1" w:styleId="ECHRTable">
    <w:name w:val="ECHR_Table"/>
    <w:basedOn w:val="Standardowy"/>
    <w:rsid w:val="002B5B43"/>
    <w:rPr>
      <w:rFonts w:eastAsia="Times New Roman" w:cs="Times New Roman"/>
      <w:sz w:val="20"/>
      <w:szCs w:val="20"/>
    </w:rPr>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2B5B43"/>
    <w:rPr>
      <w:rFonts w:ascii="Verdana" w:eastAsia="Times New Roman" w:hAnsi="Verdana" w:cs="Times New Roman"/>
      <w:sz w:val="20"/>
      <w:szCs w:val="20"/>
    </w:rPr>
    <w:tblPr>
      <w:tblCellMar>
        <w:top w:w="57" w:type="dxa"/>
        <w:left w:w="57" w:type="dxa"/>
        <w:bottom w:w="57" w:type="dxa"/>
        <w:right w:w="57" w:type="dxa"/>
      </w:tblCellMar>
    </w:tblPr>
    <w:tcPr>
      <w:shd w:val="clear" w:color="auto" w:fill="F8F8F8" w:themeFill="background2"/>
    </w:tcPr>
    <w:tblStylePr w:type="firstCol">
      <w:rPr>
        <w:b/>
        <w:color w:val="595959" w:themeColor="accent3"/>
      </w:rPr>
    </w:tblStylePr>
  </w:style>
  <w:style w:type="character" w:styleId="Uwydatnienie">
    <w:name w:val="Emphasis"/>
    <w:uiPriority w:val="98"/>
    <w:semiHidden/>
    <w:qFormat/>
    <w:rsid w:val="002B5B43"/>
    <w:rPr>
      <w:b/>
      <w:bCs/>
      <w:i/>
      <w:iCs/>
      <w:spacing w:val="10"/>
      <w:bdr w:val="none" w:sz="0" w:space="0" w:color="auto"/>
      <w:shd w:val="clear" w:color="auto" w:fill="auto"/>
    </w:rPr>
  </w:style>
  <w:style w:type="paragraph" w:styleId="Stopka">
    <w:name w:val="footer"/>
    <w:basedOn w:val="Normalny"/>
    <w:link w:val="StopkaZnak"/>
    <w:uiPriority w:val="98"/>
    <w:semiHidden/>
    <w:rsid w:val="002B5B43"/>
    <w:pPr>
      <w:tabs>
        <w:tab w:val="center" w:pos="3686"/>
        <w:tab w:val="right" w:pos="7371"/>
      </w:tabs>
    </w:pPr>
  </w:style>
  <w:style w:type="character" w:customStyle="1" w:styleId="StopkaZnak">
    <w:name w:val="Stopka Znak"/>
    <w:basedOn w:val="Domylnaczcionkaakapitu"/>
    <w:link w:val="Stopka"/>
    <w:uiPriority w:val="98"/>
    <w:semiHidden/>
    <w:rsid w:val="002B5B43"/>
    <w:rPr>
      <w:sz w:val="24"/>
      <w:szCs w:val="24"/>
      <w:lang w:val="pl-PL"/>
    </w:rPr>
  </w:style>
  <w:style w:type="character" w:styleId="Odwoanieprzypisudolnego">
    <w:name w:val="footnote reference"/>
    <w:basedOn w:val="Domylnaczcionkaakapitu"/>
    <w:uiPriority w:val="98"/>
    <w:semiHidden/>
    <w:rsid w:val="002B5B43"/>
    <w:rPr>
      <w:vertAlign w:val="superscript"/>
    </w:rPr>
  </w:style>
  <w:style w:type="paragraph" w:styleId="Tekstprzypisudolnego">
    <w:name w:val="footnote text"/>
    <w:basedOn w:val="NormalJustified"/>
    <w:link w:val="TekstprzypisudolnegoZnak"/>
    <w:uiPriority w:val="98"/>
    <w:semiHidden/>
    <w:rsid w:val="002B5B43"/>
    <w:rPr>
      <w:sz w:val="20"/>
      <w:szCs w:val="20"/>
    </w:rPr>
  </w:style>
  <w:style w:type="character" w:customStyle="1" w:styleId="TekstprzypisudolnegoZnak">
    <w:name w:val="Tekst przypisu dolnego Znak"/>
    <w:basedOn w:val="Domylnaczcionkaakapitu"/>
    <w:link w:val="Tekstprzypisudolnego"/>
    <w:uiPriority w:val="98"/>
    <w:semiHidden/>
    <w:rsid w:val="002B5B43"/>
    <w:rPr>
      <w:sz w:val="20"/>
      <w:szCs w:val="20"/>
      <w:lang w:val="pl-PL"/>
    </w:rPr>
  </w:style>
  <w:style w:type="character" w:customStyle="1" w:styleId="Nagwek6Znak">
    <w:name w:val="Nagłówek 6 Znak"/>
    <w:basedOn w:val="Domylnaczcionkaakapitu"/>
    <w:link w:val="Nagwek6"/>
    <w:uiPriority w:val="98"/>
    <w:semiHidden/>
    <w:rsid w:val="002B5B43"/>
    <w:rPr>
      <w:rFonts w:asciiTheme="majorHAnsi" w:eastAsiaTheme="majorEastAsia" w:hAnsiTheme="majorHAnsi" w:cstheme="majorBidi"/>
      <w:b/>
      <w:bCs/>
      <w:i/>
      <w:iCs/>
      <w:color w:val="7F7F7F" w:themeColor="text1" w:themeTint="80"/>
      <w:lang w:val="pl-PL" w:bidi="en-US"/>
    </w:rPr>
  </w:style>
  <w:style w:type="character" w:customStyle="1" w:styleId="Nagwek7Znak">
    <w:name w:val="Nagłówek 7 Znak"/>
    <w:basedOn w:val="Domylnaczcionkaakapitu"/>
    <w:link w:val="Nagwek7"/>
    <w:uiPriority w:val="98"/>
    <w:semiHidden/>
    <w:rsid w:val="002B5B43"/>
    <w:rPr>
      <w:rFonts w:asciiTheme="majorHAnsi" w:eastAsiaTheme="majorEastAsia" w:hAnsiTheme="majorHAnsi" w:cstheme="majorBidi"/>
      <w:i/>
      <w:iCs/>
      <w:lang w:val="pl-PL" w:bidi="en-US"/>
    </w:rPr>
  </w:style>
  <w:style w:type="character" w:customStyle="1" w:styleId="Nagwek8Znak">
    <w:name w:val="Nagłówek 8 Znak"/>
    <w:basedOn w:val="Domylnaczcionkaakapitu"/>
    <w:link w:val="Nagwek8"/>
    <w:uiPriority w:val="98"/>
    <w:semiHidden/>
    <w:rsid w:val="002B5B43"/>
    <w:rPr>
      <w:rFonts w:asciiTheme="majorHAnsi" w:eastAsiaTheme="majorEastAsia" w:hAnsiTheme="majorHAnsi" w:cstheme="majorBidi"/>
      <w:sz w:val="20"/>
      <w:szCs w:val="20"/>
      <w:lang w:val="pl-PL" w:bidi="en-US"/>
    </w:rPr>
  </w:style>
  <w:style w:type="character" w:customStyle="1" w:styleId="Nagwek9Znak">
    <w:name w:val="Nagłówek 9 Znak"/>
    <w:basedOn w:val="Domylnaczcionkaakapitu"/>
    <w:link w:val="Nagwek9"/>
    <w:uiPriority w:val="98"/>
    <w:semiHidden/>
    <w:rsid w:val="002B5B43"/>
    <w:rPr>
      <w:rFonts w:asciiTheme="majorHAnsi" w:eastAsiaTheme="majorEastAsia" w:hAnsiTheme="majorHAnsi" w:cstheme="majorBidi"/>
      <w:i/>
      <w:iCs/>
      <w:spacing w:val="5"/>
      <w:sz w:val="20"/>
      <w:szCs w:val="20"/>
      <w:lang w:val="pl-PL" w:bidi="en-US"/>
    </w:rPr>
  </w:style>
  <w:style w:type="character" w:styleId="Hipercze">
    <w:name w:val="Hyperlink"/>
    <w:basedOn w:val="Domylnaczcionkaakapitu"/>
    <w:uiPriority w:val="98"/>
    <w:semiHidden/>
    <w:rsid w:val="002B5B43"/>
    <w:rPr>
      <w:color w:val="0072BC" w:themeColor="hyperlink"/>
      <w:u w:val="single"/>
    </w:rPr>
  </w:style>
  <w:style w:type="character" w:styleId="Wyrnienieintensywne">
    <w:name w:val="Intense Emphasis"/>
    <w:uiPriority w:val="98"/>
    <w:semiHidden/>
    <w:qFormat/>
    <w:rsid w:val="002B5B43"/>
    <w:rPr>
      <w:b/>
      <w:bCs/>
    </w:rPr>
  </w:style>
  <w:style w:type="paragraph" w:styleId="Cytatintensywny">
    <w:name w:val="Intense Quote"/>
    <w:basedOn w:val="Normalny"/>
    <w:next w:val="Normalny"/>
    <w:link w:val="CytatintensywnyZnak"/>
    <w:uiPriority w:val="98"/>
    <w:semiHidden/>
    <w:qFormat/>
    <w:rsid w:val="002B5B43"/>
    <w:pPr>
      <w:pBdr>
        <w:bottom w:val="single" w:sz="4" w:space="1" w:color="auto"/>
      </w:pBdr>
      <w:spacing w:before="200" w:after="280"/>
      <w:ind w:left="1008" w:right="1152"/>
    </w:pPr>
    <w:rPr>
      <w:b/>
      <w:bCs/>
      <w:i/>
      <w:iCs/>
      <w:lang w:bidi="en-US"/>
    </w:rPr>
  </w:style>
  <w:style w:type="character" w:customStyle="1" w:styleId="CytatintensywnyZnak">
    <w:name w:val="Cytat intensywny Znak"/>
    <w:basedOn w:val="Domylnaczcionkaakapitu"/>
    <w:link w:val="Cytatintensywny"/>
    <w:uiPriority w:val="98"/>
    <w:rsid w:val="002B5B43"/>
    <w:rPr>
      <w:b/>
      <w:bCs/>
      <w:i/>
      <w:iCs/>
      <w:sz w:val="24"/>
      <w:szCs w:val="24"/>
      <w:lang w:val="pl-PL" w:bidi="en-US"/>
    </w:rPr>
  </w:style>
  <w:style w:type="character" w:styleId="Odwoanieintensywne">
    <w:name w:val="Intense Reference"/>
    <w:uiPriority w:val="98"/>
    <w:semiHidden/>
    <w:qFormat/>
    <w:rsid w:val="002B5B43"/>
    <w:rPr>
      <w:smallCaps/>
      <w:spacing w:val="5"/>
      <w:u w:val="single"/>
    </w:rPr>
  </w:style>
  <w:style w:type="paragraph" w:styleId="Akapitzlist">
    <w:name w:val="List Paragraph"/>
    <w:basedOn w:val="Normalny"/>
    <w:uiPriority w:val="98"/>
    <w:semiHidden/>
    <w:qFormat/>
    <w:rsid w:val="002B5B43"/>
    <w:pPr>
      <w:ind w:left="720"/>
      <w:contextualSpacing/>
    </w:pPr>
  </w:style>
  <w:style w:type="table" w:customStyle="1" w:styleId="LtrTableAddress">
    <w:name w:val="Ltr_Table_Address"/>
    <w:aliases w:val="ECHR_Ltr_Table_Address"/>
    <w:basedOn w:val="Standardowy"/>
    <w:uiPriority w:val="99"/>
    <w:rsid w:val="002B5B43"/>
    <w:rPr>
      <w:sz w:val="24"/>
      <w:szCs w:val="24"/>
    </w:rPr>
    <w:tblPr>
      <w:tblInd w:w="5103" w:type="dxa"/>
    </w:tblPr>
  </w:style>
  <w:style w:type="paragraph" w:styleId="Cytat">
    <w:name w:val="Quote"/>
    <w:basedOn w:val="Normalny"/>
    <w:next w:val="Normalny"/>
    <w:link w:val="CytatZnak"/>
    <w:uiPriority w:val="98"/>
    <w:semiHidden/>
    <w:qFormat/>
    <w:rsid w:val="002B5B43"/>
    <w:pPr>
      <w:spacing w:before="200"/>
      <w:ind w:left="360" w:right="360"/>
    </w:pPr>
    <w:rPr>
      <w:i/>
      <w:iCs/>
      <w:lang w:bidi="en-US"/>
    </w:rPr>
  </w:style>
  <w:style w:type="character" w:customStyle="1" w:styleId="CytatZnak">
    <w:name w:val="Cytat Znak"/>
    <w:basedOn w:val="Domylnaczcionkaakapitu"/>
    <w:link w:val="Cytat"/>
    <w:uiPriority w:val="98"/>
    <w:rsid w:val="002B5B43"/>
    <w:rPr>
      <w:i/>
      <w:iCs/>
      <w:sz w:val="24"/>
      <w:szCs w:val="24"/>
      <w:lang w:val="pl-PL" w:bidi="en-US"/>
    </w:rPr>
  </w:style>
  <w:style w:type="character" w:styleId="Odwoaniedelikatne">
    <w:name w:val="Subtle Reference"/>
    <w:uiPriority w:val="98"/>
    <w:semiHidden/>
    <w:qFormat/>
    <w:rsid w:val="002B5B43"/>
    <w:rPr>
      <w:smallCaps/>
    </w:rPr>
  </w:style>
  <w:style w:type="table" w:styleId="Tabela-Siatka">
    <w:name w:val="Table Grid"/>
    <w:basedOn w:val="Standardowy"/>
    <w:uiPriority w:val="59"/>
    <w:semiHidden/>
    <w:rsid w:val="002B5B43"/>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8"/>
    <w:semiHidden/>
    <w:rsid w:val="002B5B43"/>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8"/>
    <w:semiHidden/>
    <w:rsid w:val="002B5B43"/>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8"/>
    <w:semiHidden/>
    <w:rsid w:val="002B5B43"/>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8"/>
    <w:semiHidden/>
    <w:rsid w:val="002B5B43"/>
    <w:pPr>
      <w:keepNext/>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8"/>
    <w:semiHidden/>
    <w:rsid w:val="002B5B43"/>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8"/>
    <w:semiHidden/>
    <w:qFormat/>
    <w:rsid w:val="002B5B43"/>
    <w:pPr>
      <w:keepNext/>
      <w:keepLines/>
      <w:spacing w:before="240"/>
      <w:contextualSpacing/>
      <w:jc w:val="center"/>
    </w:pPr>
    <w:rPr>
      <w:rFonts w:asciiTheme="majorHAnsi" w:hAnsiTheme="majorHAnsi"/>
      <w:b/>
      <w:color w:val="424242" w:themeColor="accent3" w:themeShade="BF"/>
      <w:sz w:val="28"/>
    </w:rPr>
  </w:style>
  <w:style w:type="table" w:customStyle="1" w:styleId="UGTable">
    <w:name w:val="UG_Table"/>
    <w:aliases w:val="ECHR_UG_Table"/>
    <w:basedOn w:val="Standardowy"/>
    <w:uiPriority w:val="99"/>
    <w:rsid w:val="002B5B43"/>
    <w:rPr>
      <w:rFonts w:eastAsiaTheme="minorEastAsia"/>
      <w:sz w:val="20"/>
      <w:szCs w:val="24"/>
      <w:lang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Standardowy"/>
    <w:uiPriority w:val="99"/>
    <w:rsid w:val="002B5B43"/>
    <w:rPr>
      <w:rFonts w:eastAsiaTheme="minorEastAsia"/>
      <w:sz w:val="24"/>
      <w:szCs w:val="24"/>
      <w:lang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Standardowy"/>
    <w:uiPriority w:val="99"/>
    <w:rsid w:val="002B5B43"/>
    <w:rPr>
      <w:color w:val="000000" w:themeColor="text1"/>
      <w:sz w:val="18"/>
      <w:szCs w:val="24"/>
    </w:rPr>
    <w:tblPr>
      <w:tblBorders>
        <w:top w:val="single" w:sz="8" w:space="0" w:color="9B9B9B" w:themeColor="accent3" w:themeTint="99"/>
        <w:left w:val="single" w:sz="8" w:space="0" w:color="9B9B9B" w:themeColor="accent3" w:themeTint="99"/>
        <w:bottom w:val="single" w:sz="8" w:space="0" w:color="9B9B9B" w:themeColor="accent3" w:themeTint="99"/>
        <w:right w:val="single" w:sz="8" w:space="0" w:color="9B9B9B" w:themeColor="accent3" w:themeTint="99"/>
        <w:insideH w:val="single" w:sz="8" w:space="0" w:color="9B9B9B" w:themeColor="accent3" w:themeTint="99"/>
        <w:insideV w:val="single" w:sz="8" w:space="0" w:color="9B9B9B"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2B5B43"/>
    <w:rPr>
      <w:color w:val="000000" w:themeColor="text1"/>
      <w:sz w:val="24"/>
      <w:szCs w:val="24"/>
    </w:rPr>
    <w:tblPr>
      <w:tblInd w:w="-680" w:type="dxa"/>
      <w:tblBorders>
        <w:insideH w:val="single" w:sz="4" w:space="0" w:color="B0B0B0" w:themeColor="text2"/>
        <w:insideV w:val="single" w:sz="4" w:space="0" w:color="B0B0B0" w:themeColor="text2"/>
      </w:tblBorders>
      <w:tblCellMar>
        <w:top w:w="142" w:type="dxa"/>
        <w:bottom w:w="142" w:type="dxa"/>
      </w:tblCellMar>
    </w:tblPr>
    <w:trPr>
      <w:cantSplit/>
    </w:trPr>
  </w:style>
  <w:style w:type="table" w:customStyle="1" w:styleId="ECHRTableMemo">
    <w:name w:val="ECHR_Table_Memo"/>
    <w:basedOn w:val="Standardowy"/>
    <w:uiPriority w:val="99"/>
    <w:rsid w:val="002B5B43"/>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838383" w:themeColor="text2" w:themeShade="BF"/>
          <w:right w:val="nil"/>
          <w:insideH w:val="nil"/>
          <w:insideV w:val="nil"/>
          <w:tl2br w:val="nil"/>
          <w:tr2bl w:val="nil"/>
        </w:tcBorders>
      </w:tcPr>
    </w:tblStylePr>
  </w:style>
  <w:style w:type="table" w:customStyle="1" w:styleId="ECHRDNTable">
    <w:name w:val="ECHR_DN_Table"/>
    <w:basedOn w:val="Standardowy"/>
    <w:uiPriority w:val="99"/>
    <w:rsid w:val="002B5B43"/>
    <w:rPr>
      <w:sz w:val="24"/>
      <w:szCs w:val="24"/>
    </w:rPr>
    <w:tblPr>
      <w:jc w:val="center"/>
      <w:tblBorders>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nil"/>
          <w:right w:val="single" w:sz="4" w:space="0" w:color="838383"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8"/>
    <w:semiHidden/>
    <w:rsid w:val="002B5B43"/>
    <w:pPr>
      <w:keepNext/>
      <w:keepLines/>
      <w:spacing w:before="240"/>
      <w:contextualSpacing/>
      <w:jc w:val="center"/>
    </w:pPr>
    <w:rPr>
      <w:rFonts w:asciiTheme="majorHAnsi" w:eastAsiaTheme="majorEastAsia" w:hAnsiTheme="majorHAnsi" w:cstheme="majorBidi"/>
      <w:b/>
      <w:bCs/>
      <w:color w:val="424242" w:themeColor="accent3" w:themeShade="BF"/>
      <w:sz w:val="28"/>
    </w:rPr>
  </w:style>
  <w:style w:type="paragraph" w:styleId="Podtytu">
    <w:name w:val="Subtitle"/>
    <w:basedOn w:val="Normalny"/>
    <w:next w:val="Normalny"/>
    <w:link w:val="PodtytuZnak"/>
    <w:uiPriority w:val="98"/>
    <w:semiHidden/>
    <w:qFormat/>
    <w:rsid w:val="002B5B43"/>
    <w:pPr>
      <w:spacing w:after="600"/>
    </w:pPr>
    <w:rPr>
      <w:rFonts w:asciiTheme="majorHAnsi" w:eastAsiaTheme="majorEastAsia" w:hAnsiTheme="majorHAnsi" w:cstheme="majorBidi"/>
      <w:i/>
      <w:iCs/>
      <w:spacing w:val="13"/>
      <w:lang w:bidi="en-US"/>
    </w:rPr>
  </w:style>
  <w:style w:type="character" w:customStyle="1" w:styleId="PodtytuZnak">
    <w:name w:val="Podtytuł Znak"/>
    <w:basedOn w:val="Domylnaczcionkaakapitu"/>
    <w:link w:val="Podtytu"/>
    <w:uiPriority w:val="98"/>
    <w:rsid w:val="002B5B43"/>
    <w:rPr>
      <w:rFonts w:asciiTheme="majorHAnsi" w:eastAsiaTheme="majorEastAsia" w:hAnsiTheme="majorHAnsi" w:cstheme="majorBidi"/>
      <w:i/>
      <w:iCs/>
      <w:spacing w:val="13"/>
      <w:sz w:val="24"/>
      <w:szCs w:val="24"/>
      <w:lang w:val="pl-PL" w:bidi="en-US"/>
    </w:rPr>
  </w:style>
  <w:style w:type="numbering" w:styleId="111111">
    <w:name w:val="Outline List 2"/>
    <w:basedOn w:val="Bezlisty"/>
    <w:uiPriority w:val="99"/>
    <w:semiHidden/>
    <w:unhideWhenUsed/>
    <w:rsid w:val="002B5B43"/>
    <w:pPr>
      <w:numPr>
        <w:numId w:val="1"/>
      </w:numPr>
    </w:pPr>
  </w:style>
  <w:style w:type="paragraph" w:customStyle="1" w:styleId="JuPara">
    <w:name w:val="Ju_Para"/>
    <w:aliases w:val="_Para"/>
    <w:basedOn w:val="NormalJustified"/>
    <w:link w:val="JuParaChar"/>
    <w:uiPriority w:val="4"/>
    <w:qFormat/>
    <w:rsid w:val="002B5B43"/>
    <w:pPr>
      <w:ind w:firstLine="284"/>
    </w:pPr>
  </w:style>
  <w:style w:type="numbering" w:styleId="1ai">
    <w:name w:val="Outline List 1"/>
    <w:basedOn w:val="Bezlisty"/>
    <w:uiPriority w:val="99"/>
    <w:semiHidden/>
    <w:unhideWhenUsed/>
    <w:rsid w:val="002B5B43"/>
    <w:pPr>
      <w:numPr>
        <w:numId w:val="2"/>
      </w:numPr>
    </w:pPr>
  </w:style>
  <w:style w:type="table" w:customStyle="1" w:styleId="ECHRTableSimpleBox">
    <w:name w:val="ECHR_Table_Simple_Box"/>
    <w:basedOn w:val="Standardowy"/>
    <w:uiPriority w:val="99"/>
    <w:rsid w:val="002B5B43"/>
    <w:rPr>
      <w:sz w:val="24"/>
      <w:szCs w:val="24"/>
    </w:rPr>
    <w:tblPr>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tblBorders>
      <w:tblCellMar>
        <w:top w:w="113" w:type="dxa"/>
        <w:bottom w:w="113" w:type="dxa"/>
      </w:tblCellMar>
    </w:tblPr>
  </w:style>
  <w:style w:type="table" w:customStyle="1" w:styleId="ECHRTableNoLines">
    <w:name w:val="ECHR_Table_No_Lines"/>
    <w:basedOn w:val="Standardowy"/>
    <w:uiPriority w:val="99"/>
    <w:rsid w:val="002B5B43"/>
    <w:rPr>
      <w:sz w:val="24"/>
      <w:szCs w:val="24"/>
    </w:rPr>
    <w:tblPr>
      <w:tblCellMar>
        <w:top w:w="85" w:type="dxa"/>
        <w:left w:w="142" w:type="dxa"/>
        <w:bottom w:w="28" w:type="dxa"/>
        <w:right w:w="142" w:type="dxa"/>
      </w:tblCellMar>
    </w:tblPr>
    <w:tblStylePr w:type="firstRow">
      <w:rPr>
        <w:rFonts w:asciiTheme="majorHAnsi" w:hAnsiTheme="majorHAnsi"/>
        <w:b/>
        <w:i w:val="0"/>
        <w:color w:val="424242" w:themeColor="accent3" w:themeShade="BF"/>
        <w:sz w:val="24"/>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tcPr>
    </w:tblStylePr>
  </w:style>
  <w:style w:type="numbering" w:styleId="Artykusekcja">
    <w:name w:val="Outline List 3"/>
    <w:basedOn w:val="Bezlisty"/>
    <w:uiPriority w:val="99"/>
    <w:semiHidden/>
    <w:unhideWhenUsed/>
    <w:rsid w:val="002B5B43"/>
    <w:pPr>
      <w:numPr>
        <w:numId w:val="3"/>
      </w:numPr>
    </w:pPr>
  </w:style>
  <w:style w:type="table" w:customStyle="1" w:styleId="ECHRTableForInternalUse">
    <w:name w:val="ECHR_Table_For_Internal_Use"/>
    <w:basedOn w:val="Standardowy"/>
    <w:uiPriority w:val="99"/>
    <w:rsid w:val="002B5B43"/>
    <w:rPr>
      <w:color w:val="585858"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tblStylePr w:type="band1Vert">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l2br w:val="nil"/>
          <w:tr2bl w:val="nil"/>
        </w:tcBorders>
      </w:tcPr>
    </w:tblStylePr>
  </w:style>
  <w:style w:type="table" w:customStyle="1" w:styleId="ECHRListTable">
    <w:name w:val="ECHR_List_Table"/>
    <w:basedOn w:val="Standardowy"/>
    <w:uiPriority w:val="99"/>
    <w:rsid w:val="002B5B43"/>
    <w:rPr>
      <w:sz w:val="24"/>
      <w:szCs w:val="24"/>
    </w:rPr>
    <w:tblPr>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b/>
        <w:color w:val="424242" w:themeColor="accent3" w:themeShade="BF"/>
      </w:rPr>
      <w:tblPr/>
      <w:trPr>
        <w:tblHeader/>
      </w:tr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cBorders>
        <w:shd w:val="clear" w:color="auto" w:fill="DFDFDF" w:themeFill="background2" w:themeFillShade="E6"/>
      </w:tcPr>
    </w:tblStylePr>
  </w:style>
  <w:style w:type="paragraph" w:styleId="Bibliografia">
    <w:name w:val="Bibliography"/>
    <w:basedOn w:val="Normalny"/>
    <w:next w:val="Normalny"/>
    <w:uiPriority w:val="98"/>
    <w:semiHidden/>
    <w:rsid w:val="002B5B43"/>
  </w:style>
  <w:style w:type="paragraph" w:styleId="Tekstblokowy">
    <w:name w:val="Block Text"/>
    <w:basedOn w:val="Normalny"/>
    <w:uiPriority w:val="98"/>
    <w:semiHidden/>
    <w:rsid w:val="002B5B43"/>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Standardowy"/>
    <w:uiPriority w:val="99"/>
    <w:rsid w:val="002B5B43"/>
    <w:rPr>
      <w:sz w:val="24"/>
      <w:szCs w:val="24"/>
    </w:rPr>
    <w:tblPr>
      <w:tblInd w:w="-1474" w:type="dxa"/>
      <w:tblBorders>
        <w:bottom w:val="single" w:sz="6" w:space="0" w:color="838383" w:themeColor="text2" w:themeShade="BF"/>
      </w:tblBorders>
      <w:tblCellMar>
        <w:left w:w="0" w:type="dxa"/>
        <w:bottom w:w="28" w:type="dxa"/>
        <w:right w:w="0" w:type="dxa"/>
      </w:tblCellMar>
    </w:tblPr>
    <w:tcPr>
      <w:vAlign w:val="bottom"/>
    </w:tcPr>
    <w:tblStylePr w:type="lastCol">
      <w:pPr>
        <w:wordWrap/>
        <w:jc w:val="both"/>
      </w:pPr>
    </w:tblStylePr>
  </w:style>
  <w:style w:type="paragraph" w:styleId="Tekstpodstawowy">
    <w:name w:val="Body Text"/>
    <w:basedOn w:val="Normalny"/>
    <w:link w:val="TekstpodstawowyZnak"/>
    <w:uiPriority w:val="98"/>
    <w:semiHidden/>
    <w:rsid w:val="002B5B43"/>
    <w:pPr>
      <w:spacing w:after="120"/>
    </w:pPr>
  </w:style>
  <w:style w:type="character" w:customStyle="1" w:styleId="TekstpodstawowyZnak">
    <w:name w:val="Tekst podstawowy Znak"/>
    <w:basedOn w:val="Domylnaczcionkaakapitu"/>
    <w:link w:val="Tekstpodstawowy"/>
    <w:uiPriority w:val="98"/>
    <w:semiHidden/>
    <w:rsid w:val="002B5B43"/>
    <w:rPr>
      <w:sz w:val="24"/>
      <w:szCs w:val="24"/>
      <w:lang w:val="pl-PL"/>
    </w:rPr>
  </w:style>
  <w:style w:type="table" w:customStyle="1" w:styleId="ECHRTableOddBanded">
    <w:name w:val="ECHR_Table_Odd_Banded"/>
    <w:basedOn w:val="Standardowy"/>
    <w:uiPriority w:val="99"/>
    <w:rsid w:val="002B5B43"/>
    <w:tblPr>
      <w:tblStyleRowBandSize w:val="1"/>
      <w:tblStyleColBandSize w:val="1"/>
      <w:tbl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single" w:sz="4" w:space="0" w:color="838383" w:themeColor="text2" w:themeShade="BF"/>
        <w:insideV w:val="single" w:sz="4" w:space="0" w:color="838383" w:themeColor="text2" w:themeShade="BF"/>
      </w:tblBorders>
      <w:tblCellMar>
        <w:top w:w="28" w:type="dxa"/>
        <w:bottom w:w="28" w:type="dxa"/>
      </w:tblCellMar>
    </w:tblPr>
    <w:tblStylePr w:type="firstRow">
      <w:rPr>
        <w:rFonts w:asciiTheme="majorHAnsi" w:hAnsiTheme="majorHAnsi"/>
        <w:b/>
        <w:i w:val="0"/>
        <w:color w:val="424242" w:themeColor="accent3" w:themeShade="BF"/>
        <w:sz w:val="22"/>
      </w:rPr>
      <w:tblPr/>
      <w:tcPr>
        <w:tcBorders>
          <w:top w:val="single" w:sz="4" w:space="0" w:color="838383" w:themeColor="text2" w:themeShade="BF"/>
          <w:left w:val="single" w:sz="4" w:space="0" w:color="838383" w:themeColor="text2" w:themeShade="BF"/>
          <w:bottom w:val="single" w:sz="4" w:space="0" w:color="838383" w:themeColor="text2" w:themeShade="BF"/>
          <w:right w:val="single" w:sz="4" w:space="0" w:color="838383" w:themeColor="text2" w:themeShade="BF"/>
          <w:insideH w:val="nil"/>
          <w:insideV w:val="single" w:sz="4" w:space="0" w:color="838383"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Tekstpodstawowy2">
    <w:name w:val="Body Text 2"/>
    <w:basedOn w:val="Normalny"/>
    <w:link w:val="Tekstpodstawowy2Znak"/>
    <w:uiPriority w:val="98"/>
    <w:semiHidden/>
    <w:rsid w:val="002B5B43"/>
    <w:pPr>
      <w:spacing w:after="120" w:line="480" w:lineRule="auto"/>
    </w:pPr>
  </w:style>
  <w:style w:type="table" w:customStyle="1" w:styleId="ECHRHeaderTableReduced">
    <w:name w:val="ECHR_Header_Table_Reduced"/>
    <w:basedOn w:val="Standardowy"/>
    <w:uiPriority w:val="99"/>
    <w:rsid w:val="002B5B43"/>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838383" w:themeColor="text2" w:themeShade="BF"/>
          <w:right w:val="nil"/>
          <w:insideH w:val="nil"/>
          <w:insideV w:val="nil"/>
          <w:tl2br w:val="nil"/>
          <w:tr2bl w:val="nil"/>
        </w:tcBorders>
      </w:tcPr>
    </w:tblStylePr>
    <w:tblStylePr w:type="lastRow">
      <w:pPr>
        <w:jc w:val="right"/>
      </w:pPr>
      <w:tblPr/>
      <w:tcPr>
        <w:tcBorders>
          <w:top w:val="single" w:sz="6" w:space="0" w:color="838383"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Justified"/>
    <w:next w:val="JuPara"/>
    <w:uiPriority w:val="32"/>
    <w:rsid w:val="002B5B43"/>
    <w:pPr>
      <w:ind w:firstLine="284"/>
    </w:pPr>
    <w:rPr>
      <w:b/>
    </w:rPr>
  </w:style>
  <w:style w:type="character" w:styleId="Numerstrony">
    <w:name w:val="page number"/>
    <w:uiPriority w:val="98"/>
    <w:semiHidden/>
    <w:rsid w:val="002B5B43"/>
    <w:rPr>
      <w:sz w:val="18"/>
    </w:rPr>
  </w:style>
  <w:style w:type="paragraph" w:styleId="Listapunktowana">
    <w:name w:val="List Bullet"/>
    <w:basedOn w:val="Normalny"/>
    <w:uiPriority w:val="98"/>
    <w:semiHidden/>
    <w:rsid w:val="002B5B43"/>
    <w:pPr>
      <w:numPr>
        <w:numId w:val="11"/>
      </w:numPr>
    </w:pPr>
  </w:style>
  <w:style w:type="paragraph" w:styleId="Listapunktowana3">
    <w:name w:val="List Bullet 3"/>
    <w:basedOn w:val="Normalny"/>
    <w:uiPriority w:val="98"/>
    <w:semiHidden/>
    <w:rsid w:val="002B5B43"/>
    <w:pPr>
      <w:numPr>
        <w:numId w:val="13"/>
      </w:numPr>
      <w:contextualSpacing/>
    </w:pPr>
  </w:style>
  <w:style w:type="character" w:customStyle="1" w:styleId="Tekstpodstawowy2Znak">
    <w:name w:val="Tekst podstawowy 2 Znak"/>
    <w:basedOn w:val="Domylnaczcionkaakapitu"/>
    <w:link w:val="Tekstpodstawowy2"/>
    <w:uiPriority w:val="98"/>
    <w:semiHidden/>
    <w:rsid w:val="002B5B43"/>
    <w:rPr>
      <w:sz w:val="24"/>
      <w:szCs w:val="24"/>
      <w:lang w:val="pl-PL"/>
    </w:rPr>
  </w:style>
  <w:style w:type="paragraph" w:styleId="Tekstpodstawowy3">
    <w:name w:val="Body Text 3"/>
    <w:basedOn w:val="Normalny"/>
    <w:link w:val="Tekstpodstawowy3Znak"/>
    <w:uiPriority w:val="98"/>
    <w:semiHidden/>
    <w:rsid w:val="002B5B43"/>
    <w:pPr>
      <w:spacing w:after="120"/>
    </w:pPr>
    <w:rPr>
      <w:sz w:val="16"/>
      <w:szCs w:val="16"/>
    </w:rPr>
  </w:style>
  <w:style w:type="character" w:customStyle="1" w:styleId="Tekstpodstawowy3Znak">
    <w:name w:val="Tekst podstawowy 3 Znak"/>
    <w:basedOn w:val="Domylnaczcionkaakapitu"/>
    <w:link w:val="Tekstpodstawowy3"/>
    <w:uiPriority w:val="98"/>
    <w:semiHidden/>
    <w:rsid w:val="002B5B43"/>
    <w:rPr>
      <w:sz w:val="16"/>
      <w:szCs w:val="16"/>
      <w:lang w:val="pl-PL"/>
    </w:rPr>
  </w:style>
  <w:style w:type="paragraph" w:styleId="Tekstpodstawowyzwciciem">
    <w:name w:val="Body Text First Indent"/>
    <w:basedOn w:val="Tekstpodstawowy"/>
    <w:link w:val="TekstpodstawowyzwciciemZnak"/>
    <w:uiPriority w:val="98"/>
    <w:semiHidden/>
    <w:rsid w:val="002B5B43"/>
    <w:pPr>
      <w:spacing w:after="0"/>
      <w:ind w:firstLine="360"/>
    </w:pPr>
  </w:style>
  <w:style w:type="character" w:customStyle="1" w:styleId="TekstpodstawowyzwciciemZnak">
    <w:name w:val="Tekst podstawowy z wcięciem Znak"/>
    <w:basedOn w:val="TekstpodstawowyZnak"/>
    <w:link w:val="Tekstpodstawowyzwciciem"/>
    <w:uiPriority w:val="98"/>
    <w:semiHidden/>
    <w:rsid w:val="002B5B43"/>
    <w:rPr>
      <w:sz w:val="24"/>
      <w:szCs w:val="24"/>
      <w:lang w:val="pl-PL"/>
    </w:rPr>
  </w:style>
  <w:style w:type="paragraph" w:styleId="Tekstpodstawowywcity">
    <w:name w:val="Body Text Indent"/>
    <w:basedOn w:val="Normalny"/>
    <w:link w:val="TekstpodstawowywcityZnak"/>
    <w:uiPriority w:val="98"/>
    <w:semiHidden/>
    <w:rsid w:val="002B5B43"/>
    <w:pPr>
      <w:spacing w:after="120"/>
      <w:ind w:left="283"/>
    </w:pPr>
  </w:style>
  <w:style w:type="character" w:customStyle="1" w:styleId="TekstpodstawowywcityZnak">
    <w:name w:val="Tekst podstawowy wcięty Znak"/>
    <w:basedOn w:val="Domylnaczcionkaakapitu"/>
    <w:link w:val="Tekstpodstawowywcity"/>
    <w:uiPriority w:val="98"/>
    <w:semiHidden/>
    <w:rsid w:val="002B5B43"/>
    <w:rPr>
      <w:sz w:val="24"/>
      <w:szCs w:val="24"/>
      <w:lang w:val="pl-PL"/>
    </w:rPr>
  </w:style>
  <w:style w:type="paragraph" w:styleId="Tekstpodstawowyzwciciem2">
    <w:name w:val="Body Text First Indent 2"/>
    <w:basedOn w:val="Tekstpodstawowywcity"/>
    <w:link w:val="Tekstpodstawowyzwciciem2Znak"/>
    <w:uiPriority w:val="98"/>
    <w:semiHidden/>
    <w:rsid w:val="002B5B43"/>
    <w:pPr>
      <w:spacing w:after="0"/>
      <w:ind w:left="360" w:firstLine="360"/>
    </w:pPr>
  </w:style>
  <w:style w:type="character" w:customStyle="1" w:styleId="Tekstpodstawowyzwciciem2Znak">
    <w:name w:val="Tekst podstawowy z wcięciem 2 Znak"/>
    <w:basedOn w:val="TekstpodstawowywcityZnak"/>
    <w:link w:val="Tekstpodstawowyzwciciem2"/>
    <w:uiPriority w:val="98"/>
    <w:semiHidden/>
    <w:rsid w:val="002B5B43"/>
    <w:rPr>
      <w:sz w:val="24"/>
      <w:szCs w:val="24"/>
      <w:lang w:val="pl-PL"/>
    </w:rPr>
  </w:style>
  <w:style w:type="paragraph" w:styleId="Tekstpodstawowywcity2">
    <w:name w:val="Body Text Indent 2"/>
    <w:basedOn w:val="Normalny"/>
    <w:link w:val="Tekstpodstawowywcity2Znak"/>
    <w:uiPriority w:val="98"/>
    <w:semiHidden/>
    <w:rsid w:val="002B5B43"/>
    <w:pPr>
      <w:spacing w:after="120" w:line="480" w:lineRule="auto"/>
      <w:ind w:left="283"/>
    </w:pPr>
  </w:style>
  <w:style w:type="character" w:customStyle="1" w:styleId="Tekstpodstawowywcity2Znak">
    <w:name w:val="Tekst podstawowy wcięty 2 Znak"/>
    <w:basedOn w:val="Domylnaczcionkaakapitu"/>
    <w:link w:val="Tekstpodstawowywcity2"/>
    <w:uiPriority w:val="98"/>
    <w:semiHidden/>
    <w:rsid w:val="002B5B43"/>
    <w:rPr>
      <w:sz w:val="24"/>
      <w:szCs w:val="24"/>
      <w:lang w:val="pl-PL"/>
    </w:rPr>
  </w:style>
  <w:style w:type="paragraph" w:styleId="Tekstpodstawowywcity3">
    <w:name w:val="Body Text Indent 3"/>
    <w:basedOn w:val="Normalny"/>
    <w:link w:val="Tekstpodstawowywcity3Znak"/>
    <w:uiPriority w:val="98"/>
    <w:semiHidden/>
    <w:rsid w:val="002B5B4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8"/>
    <w:semiHidden/>
    <w:rsid w:val="002B5B43"/>
    <w:rPr>
      <w:sz w:val="16"/>
      <w:szCs w:val="16"/>
      <w:lang w:val="pl-PL"/>
    </w:rPr>
  </w:style>
  <w:style w:type="paragraph" w:styleId="Legenda">
    <w:name w:val="caption"/>
    <w:basedOn w:val="Normalny"/>
    <w:next w:val="Normalny"/>
    <w:uiPriority w:val="98"/>
    <w:semiHidden/>
    <w:qFormat/>
    <w:rsid w:val="002B5B43"/>
    <w:pPr>
      <w:spacing w:after="200"/>
    </w:pPr>
    <w:rPr>
      <w:b/>
      <w:bCs/>
      <w:color w:val="0072BC" w:themeColor="accent1"/>
      <w:sz w:val="18"/>
      <w:szCs w:val="18"/>
    </w:rPr>
  </w:style>
  <w:style w:type="paragraph" w:styleId="Zwrotpoegnalny">
    <w:name w:val="Closing"/>
    <w:basedOn w:val="Normalny"/>
    <w:link w:val="ZwrotpoegnalnyZnak"/>
    <w:uiPriority w:val="98"/>
    <w:semiHidden/>
    <w:rsid w:val="002B5B43"/>
    <w:pPr>
      <w:ind w:left="4252"/>
    </w:pPr>
  </w:style>
  <w:style w:type="character" w:customStyle="1" w:styleId="ZwrotpoegnalnyZnak">
    <w:name w:val="Zwrot pożegnalny Znak"/>
    <w:basedOn w:val="Domylnaczcionkaakapitu"/>
    <w:link w:val="Zwrotpoegnalny"/>
    <w:uiPriority w:val="98"/>
    <w:semiHidden/>
    <w:rsid w:val="002B5B43"/>
    <w:rPr>
      <w:sz w:val="24"/>
      <w:szCs w:val="24"/>
      <w:lang w:val="pl-PL"/>
    </w:rPr>
  </w:style>
  <w:style w:type="table" w:styleId="Kolorowasiatka">
    <w:name w:val="Colorful Grid"/>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FFFFFF" w:themeColor="background1"/>
      </w:rPr>
      <w:tblPr/>
      <w:tcPr>
        <w:shd w:val="clear" w:color="auto" w:fill="00548C" w:themeFill="accent1" w:themeFillShade="BF"/>
      </w:tcPr>
    </w:tblStylePr>
    <w:tblStylePr w:type="lastCol">
      <w:rPr>
        <w:color w:val="FFFFFF"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FFFFFF" w:themeColor="background1"/>
      </w:rPr>
      <w:tblPr/>
      <w:tcPr>
        <w:shd w:val="clear" w:color="auto" w:fill="8F0000" w:themeFill="accent2" w:themeFillShade="BF"/>
      </w:tcPr>
    </w:tblStylePr>
    <w:tblStylePr w:type="lastCol">
      <w:rPr>
        <w:color w:val="FFFFFF"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DDDDD" w:themeFill="accent3" w:themeFillTint="33"/>
    </w:tcPr>
    <w:tblStylePr w:type="firstRow">
      <w:rPr>
        <w:b/>
        <w:bCs/>
      </w:rPr>
      <w:tblPr/>
      <w:tcPr>
        <w:shd w:val="clear" w:color="auto" w:fill="BCBCBC" w:themeFill="accent3" w:themeFillTint="66"/>
      </w:tcPr>
    </w:tblStylePr>
    <w:tblStylePr w:type="lastRow">
      <w:rPr>
        <w:b/>
        <w:bCs/>
        <w:color w:val="000000" w:themeColor="text1"/>
      </w:rPr>
      <w:tblPr/>
      <w:tcPr>
        <w:shd w:val="clear" w:color="auto" w:fill="BCBCBC" w:themeFill="accent3" w:themeFillTint="66"/>
      </w:tcPr>
    </w:tblStylePr>
    <w:tblStylePr w:type="firstCol">
      <w:rPr>
        <w:color w:val="FFFFFF" w:themeColor="background1"/>
      </w:rPr>
      <w:tblPr/>
      <w:tcPr>
        <w:shd w:val="clear" w:color="auto" w:fill="424242" w:themeFill="accent3" w:themeFillShade="BF"/>
      </w:tcPr>
    </w:tblStylePr>
    <w:tblStylePr w:type="lastCol">
      <w:rPr>
        <w:color w:val="FFFFFF" w:themeColor="background1"/>
      </w:rPr>
      <w:tblPr/>
      <w:tcPr>
        <w:shd w:val="clear" w:color="auto" w:fill="424242" w:themeFill="accent3" w:themeFillShade="BF"/>
      </w:tc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Kolorowasiatkaakcent4">
    <w:name w:val="Colorful Grid Accent 4"/>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FFFFFF" w:themeColor="background1"/>
      </w:rPr>
      <w:tblPr/>
      <w:tcPr>
        <w:shd w:val="clear" w:color="auto" w:fill="707070" w:themeFill="accent4" w:themeFillShade="BF"/>
      </w:tcPr>
    </w:tblStylePr>
    <w:tblStylePr w:type="lastCol">
      <w:rPr>
        <w:color w:val="FFFFFF"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FFFFFF" w:themeColor="background1"/>
      </w:rPr>
      <w:tblPr/>
      <w:tcPr>
        <w:shd w:val="clear" w:color="auto" w:fill="474747" w:themeFill="accent5" w:themeFillShade="BF"/>
      </w:tcPr>
    </w:tblStylePr>
    <w:tblStylePr w:type="lastCol">
      <w:rPr>
        <w:color w:val="FFFFFF"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73"/>
    <w:semiHidden/>
    <w:rsid w:val="002B5B43"/>
    <w:rPr>
      <w:color w:val="000000" w:themeColor="text1"/>
      <w:sz w:val="24"/>
      <w:szCs w:val="24"/>
    </w:rPr>
    <w:tblPr>
      <w:tblStyleRowBandSize w:val="1"/>
      <w:tblStyleColBandSize w:val="1"/>
      <w:tblBorders>
        <w:insideH w:val="single" w:sz="4" w:space="0" w:color="FFFFFF"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FFFFFF" w:themeColor="background1"/>
      </w:rPr>
      <w:tblPr/>
      <w:tcPr>
        <w:shd w:val="clear" w:color="auto" w:fill="393939" w:themeFill="accent6" w:themeFillShade="BF"/>
      </w:tcPr>
    </w:tblStylePr>
    <w:tblStylePr w:type="lastCol">
      <w:rPr>
        <w:color w:val="FFFFFF"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72"/>
    <w:semiHidden/>
    <w:rsid w:val="002B5B43"/>
    <w:rPr>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72"/>
    <w:semiHidden/>
    <w:rsid w:val="002B5B43"/>
    <w:rPr>
      <w:color w:val="000000" w:themeColor="text1"/>
      <w:sz w:val="24"/>
      <w:szCs w:val="24"/>
    </w:rPr>
    <w:tblPr>
      <w:tblStyleRowBandSize w:val="1"/>
      <w:tblStyleColBandSize w:val="1"/>
    </w:tblPr>
    <w:tcPr>
      <w:shd w:val="clear" w:color="auto" w:fill="DFF2FF" w:themeFill="accent1"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72"/>
    <w:semiHidden/>
    <w:rsid w:val="002B5B43"/>
    <w:rPr>
      <w:color w:val="000000" w:themeColor="text1"/>
      <w:sz w:val="24"/>
      <w:szCs w:val="24"/>
    </w:rPr>
    <w:tblPr>
      <w:tblStyleRowBandSize w:val="1"/>
      <w:tblStyleColBandSize w:val="1"/>
    </w:tblPr>
    <w:tcPr>
      <w:shd w:val="clear" w:color="auto" w:fill="FFDFDF" w:themeFill="accent2" w:themeFillTint="19"/>
    </w:tcPr>
    <w:tblStylePr w:type="firstRow">
      <w:rPr>
        <w:b/>
        <w:bCs/>
        <w:color w:val="FFFFFF" w:themeColor="background1"/>
      </w:rPr>
      <w:tblPr/>
      <w:tcPr>
        <w:tcBorders>
          <w:bottom w:val="single" w:sz="12" w:space="0" w:color="FFFFFF"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72"/>
    <w:semiHidden/>
    <w:rsid w:val="002B5B43"/>
    <w:rPr>
      <w:color w:val="000000" w:themeColor="text1"/>
      <w:sz w:val="24"/>
      <w:szCs w:val="24"/>
    </w:rPr>
    <w:tblPr>
      <w:tblStyleRowBandSize w:val="1"/>
      <w:tblStyleColBandSize w:val="1"/>
    </w:tblPr>
    <w:tcPr>
      <w:shd w:val="clear" w:color="auto" w:fill="EEEEEE" w:themeFill="accent3" w:themeFillTint="19"/>
    </w:tcPr>
    <w:tblStylePr w:type="firstRow">
      <w:rPr>
        <w:b/>
        <w:bCs/>
        <w:color w:val="FFFFFF" w:themeColor="background1"/>
      </w:rPr>
      <w:tblPr/>
      <w:tcPr>
        <w:tcBorders>
          <w:bottom w:val="single" w:sz="12" w:space="0" w:color="FFFFFF"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5D5D5" w:themeFill="accent3" w:themeFillTint="3F"/>
      </w:tcPr>
    </w:tblStylePr>
    <w:tblStylePr w:type="band1Horz">
      <w:tblPr/>
      <w:tcPr>
        <w:shd w:val="clear" w:color="auto" w:fill="DDDDDD" w:themeFill="accent3" w:themeFillTint="33"/>
      </w:tcPr>
    </w:tblStylePr>
  </w:style>
  <w:style w:type="table" w:styleId="Kolorowalistaakcent4">
    <w:name w:val="Colorful List Accent 4"/>
    <w:basedOn w:val="Standardowy"/>
    <w:uiPriority w:val="72"/>
    <w:semiHidden/>
    <w:rsid w:val="002B5B43"/>
    <w:rPr>
      <w:color w:val="000000" w:themeColor="text1"/>
      <w:sz w:val="24"/>
      <w:szCs w:val="24"/>
    </w:rPr>
    <w:tblPr>
      <w:tblStyleRowBandSize w:val="1"/>
      <w:tblStyleColBandSize w:val="1"/>
    </w:tblPr>
    <w:tcPr>
      <w:shd w:val="clear" w:color="auto" w:fill="F4F4F4" w:themeFill="accent4" w:themeFillTint="19"/>
    </w:tcPr>
    <w:tblStylePr w:type="firstRow">
      <w:rPr>
        <w:b/>
        <w:bCs/>
        <w:color w:val="FFFFFF" w:themeColor="background1"/>
      </w:rPr>
      <w:tblPr/>
      <w:tcPr>
        <w:tcBorders>
          <w:bottom w:val="single" w:sz="12" w:space="0" w:color="FFFFFF" w:themeColor="background1"/>
        </w:tcBorders>
        <w:shd w:val="clear" w:color="auto" w:fill="474747" w:themeFill="accent3" w:themeFillShade="CC"/>
      </w:tcPr>
    </w:tblStylePr>
    <w:tblStylePr w:type="lastRow">
      <w:rPr>
        <w:b/>
        <w:bCs/>
        <w:color w:val="474747"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72"/>
    <w:semiHidden/>
    <w:rsid w:val="002B5B43"/>
    <w:rPr>
      <w:color w:val="000000" w:themeColor="text1"/>
      <w:sz w:val="24"/>
      <w:szCs w:val="24"/>
    </w:rPr>
    <w:tblPr>
      <w:tblStyleRowBandSize w:val="1"/>
      <w:tblStyleColBandSize w:val="1"/>
    </w:tblPr>
    <w:tcPr>
      <w:shd w:val="clear" w:color="auto" w:fill="EFEFEF" w:themeFill="accent5" w:themeFillTint="19"/>
    </w:tcPr>
    <w:tblStylePr w:type="firstRow">
      <w:rPr>
        <w:b/>
        <w:bCs/>
        <w:color w:val="FFFFFF" w:themeColor="background1"/>
      </w:rPr>
      <w:tblPr/>
      <w:tcPr>
        <w:tcBorders>
          <w:bottom w:val="single" w:sz="12" w:space="0" w:color="FFFFFF"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72"/>
    <w:semiHidden/>
    <w:rsid w:val="002B5B43"/>
    <w:rPr>
      <w:color w:val="000000" w:themeColor="text1"/>
      <w:sz w:val="24"/>
      <w:szCs w:val="24"/>
    </w:rPr>
    <w:tblPr>
      <w:tblStyleRowBandSize w:val="1"/>
      <w:tblStyleColBandSize w:val="1"/>
    </w:tblPr>
    <w:tcPr>
      <w:shd w:val="clear" w:color="auto" w:fill="EDEDED" w:themeFill="accent6" w:themeFillTint="19"/>
    </w:tcPr>
    <w:tblStylePr w:type="firstRow">
      <w:rPr>
        <w:b/>
        <w:bCs/>
        <w:color w:val="FFFFFF" w:themeColor="background1"/>
      </w:rPr>
      <w:tblPr/>
      <w:tcPr>
        <w:tcBorders>
          <w:bottom w:val="single" w:sz="12" w:space="0" w:color="FFFFFF"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FFFFFF" w:themeColor="background1"/>
        <w:insideV w:val="single" w:sz="4" w:space="0" w:color="FFFFFF"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470" w:themeFill="accent1" w:themeFillShade="99"/>
      </w:tcPr>
    </w:tblStylePr>
    <w:tblStylePr w:type="firstCol">
      <w:rPr>
        <w:color w:val="FFFFFF"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71"/>
    <w:semiHidden/>
    <w:rsid w:val="002B5B43"/>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FFFFFF" w:themeColor="background1"/>
        <w:insideV w:val="single" w:sz="4" w:space="0" w:color="FFFFFF"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30000" w:themeFill="accent2" w:themeFillShade="99"/>
      </w:tcPr>
    </w:tblStylePr>
    <w:tblStylePr w:type="firstCol">
      <w:rPr>
        <w:color w:val="FFFFFF"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71"/>
    <w:semiHidden/>
    <w:rsid w:val="002B5B43"/>
    <w:rPr>
      <w:color w:val="000000" w:themeColor="text1"/>
      <w:sz w:val="24"/>
      <w:szCs w:val="24"/>
    </w:rPr>
    <w:tblPr>
      <w:tblStyleRowBandSize w:val="1"/>
      <w:tblStyleColBandSize w:val="1"/>
      <w:tblBorders>
        <w:top w:val="single" w:sz="24" w:space="0" w:color="969696" w:themeColor="accent4"/>
        <w:left w:val="single" w:sz="4" w:space="0" w:color="595959" w:themeColor="accent3"/>
        <w:bottom w:val="single" w:sz="4" w:space="0" w:color="595959" w:themeColor="accent3"/>
        <w:right w:val="single" w:sz="4" w:space="0" w:color="595959" w:themeColor="accent3"/>
        <w:insideH w:val="single" w:sz="4" w:space="0" w:color="FFFFFF" w:themeColor="background1"/>
        <w:insideV w:val="single" w:sz="4" w:space="0" w:color="FFFFFF" w:themeColor="background1"/>
      </w:tblBorders>
    </w:tblPr>
    <w:tcPr>
      <w:shd w:val="clear" w:color="auto" w:fill="EEEEEE"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53535" w:themeFill="accent3" w:themeFillShade="99"/>
      </w:tcPr>
    </w:tblStylePr>
    <w:tblStylePr w:type="firstCol">
      <w:rPr>
        <w:color w:val="FFFFFF" w:themeColor="background1"/>
      </w:rPr>
      <w:tblPr/>
      <w:tcPr>
        <w:tcBorders>
          <w:top w:val="nil"/>
          <w:left w:val="nil"/>
          <w:bottom w:val="nil"/>
          <w:right w:val="nil"/>
          <w:insideH w:val="single" w:sz="4" w:space="0" w:color="353535" w:themeColor="accent3" w:themeShade="99"/>
          <w:insideV w:val="nil"/>
        </w:tcBorders>
        <w:shd w:val="clear" w:color="auto" w:fill="35353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353535" w:themeFill="accent3" w:themeFillShade="99"/>
      </w:tcPr>
    </w:tblStylePr>
    <w:tblStylePr w:type="band1Vert">
      <w:tblPr/>
      <w:tcPr>
        <w:shd w:val="clear" w:color="auto" w:fill="BCBCBC" w:themeFill="accent3" w:themeFillTint="66"/>
      </w:tcPr>
    </w:tblStylePr>
    <w:tblStylePr w:type="band1Horz">
      <w:tblPr/>
      <w:tcPr>
        <w:shd w:val="clear" w:color="auto" w:fill="ACACAC" w:themeFill="accent3" w:themeFillTint="7F"/>
      </w:tcPr>
    </w:tblStylePr>
  </w:style>
  <w:style w:type="table" w:styleId="Kolorowecieniowanieakcent4">
    <w:name w:val="Colorful Shading Accent 4"/>
    <w:basedOn w:val="Standardowy"/>
    <w:uiPriority w:val="71"/>
    <w:semiHidden/>
    <w:rsid w:val="002B5B43"/>
    <w:rPr>
      <w:color w:val="000000" w:themeColor="text1"/>
      <w:sz w:val="24"/>
      <w:szCs w:val="24"/>
    </w:rPr>
    <w:tblPr>
      <w:tblStyleRowBandSize w:val="1"/>
      <w:tblStyleColBandSize w:val="1"/>
      <w:tblBorders>
        <w:top w:val="single" w:sz="24" w:space="0" w:color="595959" w:themeColor="accent3"/>
        <w:left w:val="single" w:sz="4" w:space="0" w:color="969696" w:themeColor="accent4"/>
        <w:bottom w:val="single" w:sz="4" w:space="0" w:color="969696" w:themeColor="accent4"/>
        <w:right w:val="single" w:sz="4" w:space="0" w:color="969696" w:themeColor="accent4"/>
        <w:insideH w:val="single" w:sz="4" w:space="0" w:color="FFFFFF" w:themeColor="background1"/>
        <w:insideV w:val="single" w:sz="4" w:space="0" w:color="FFFFFF" w:themeColor="background1"/>
      </w:tblBorders>
    </w:tblPr>
    <w:tcPr>
      <w:shd w:val="clear" w:color="auto" w:fill="F4F4F4" w:themeFill="accent4" w:themeFillTint="19"/>
    </w:tcPr>
    <w:tblStylePr w:type="firstRow">
      <w:rPr>
        <w:b/>
        <w:bCs/>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A5A5A" w:themeFill="accent4" w:themeFillShade="99"/>
      </w:tcPr>
    </w:tblStylePr>
    <w:tblStylePr w:type="firstCol">
      <w:rPr>
        <w:color w:val="FFFFFF"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71"/>
    <w:semiHidden/>
    <w:rsid w:val="002B5B43"/>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FFFFFF" w:themeColor="background1"/>
        <w:insideV w:val="single" w:sz="4" w:space="0" w:color="FFFFFF"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9" w:themeFill="accent5" w:themeFillShade="99"/>
      </w:tcPr>
    </w:tblStylePr>
    <w:tblStylePr w:type="firstCol">
      <w:rPr>
        <w:color w:val="FFFFFF"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71"/>
    <w:semiHidden/>
    <w:rsid w:val="002B5B43"/>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FFFFFF" w:themeColor="background1"/>
        <w:insideV w:val="single" w:sz="4" w:space="0" w:color="FFFFFF"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2E2E" w:themeFill="accent6" w:themeFillShade="99"/>
      </w:tcPr>
    </w:tblStylePr>
    <w:tblStylePr w:type="firstCol">
      <w:rPr>
        <w:color w:val="FFFFFF"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Odwoaniedokomentarza">
    <w:name w:val="annotation reference"/>
    <w:basedOn w:val="Domylnaczcionkaakapitu"/>
    <w:uiPriority w:val="98"/>
    <w:semiHidden/>
    <w:rsid w:val="002B5B43"/>
    <w:rPr>
      <w:sz w:val="16"/>
      <w:szCs w:val="16"/>
    </w:rPr>
  </w:style>
  <w:style w:type="paragraph" w:styleId="Tekstkomentarza">
    <w:name w:val="annotation text"/>
    <w:basedOn w:val="Normalny"/>
    <w:link w:val="TekstkomentarzaZnak"/>
    <w:uiPriority w:val="98"/>
    <w:semiHidden/>
    <w:rsid w:val="002B5B43"/>
    <w:rPr>
      <w:sz w:val="20"/>
      <w:szCs w:val="20"/>
    </w:rPr>
  </w:style>
  <w:style w:type="character" w:customStyle="1" w:styleId="TekstkomentarzaZnak">
    <w:name w:val="Tekst komentarza Znak"/>
    <w:basedOn w:val="Domylnaczcionkaakapitu"/>
    <w:link w:val="Tekstkomentarza"/>
    <w:uiPriority w:val="98"/>
    <w:rsid w:val="002B5B43"/>
    <w:rPr>
      <w:sz w:val="20"/>
      <w:szCs w:val="20"/>
      <w:lang w:val="pl-PL"/>
    </w:rPr>
  </w:style>
  <w:style w:type="paragraph" w:styleId="Tematkomentarza">
    <w:name w:val="annotation subject"/>
    <w:basedOn w:val="Tekstkomentarza"/>
    <w:next w:val="Tekstkomentarza"/>
    <w:link w:val="TematkomentarzaZnak"/>
    <w:uiPriority w:val="98"/>
    <w:semiHidden/>
    <w:rsid w:val="002B5B43"/>
    <w:rPr>
      <w:b/>
      <w:bCs/>
    </w:rPr>
  </w:style>
  <w:style w:type="character" w:customStyle="1" w:styleId="TematkomentarzaZnak">
    <w:name w:val="Temat komentarza Znak"/>
    <w:basedOn w:val="TekstkomentarzaZnak"/>
    <w:link w:val="Tematkomentarza"/>
    <w:uiPriority w:val="98"/>
    <w:semiHidden/>
    <w:rsid w:val="002B5B43"/>
    <w:rPr>
      <w:b/>
      <w:bCs/>
      <w:sz w:val="20"/>
      <w:szCs w:val="20"/>
      <w:lang w:val="pl-PL"/>
    </w:rPr>
  </w:style>
  <w:style w:type="table" w:styleId="Ciemnalista">
    <w:name w:val="Dark List"/>
    <w:basedOn w:val="Standardowy"/>
    <w:uiPriority w:val="70"/>
    <w:semiHidden/>
    <w:rsid w:val="002B5B43"/>
    <w:rPr>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70"/>
    <w:semiHidden/>
    <w:rsid w:val="002B5B43"/>
    <w:rPr>
      <w:color w:val="FFFFFF"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48C"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70"/>
    <w:semiHidden/>
    <w:rsid w:val="002B5B43"/>
    <w:rPr>
      <w:color w:val="FFFFFF"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8F00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70"/>
    <w:semiHidden/>
    <w:rsid w:val="002B5B43"/>
    <w:rPr>
      <w:color w:val="FFFFFF" w:themeColor="background1"/>
      <w:sz w:val="24"/>
      <w:szCs w:val="24"/>
    </w:rPr>
    <w:tblPr>
      <w:tblStyleRowBandSize w:val="1"/>
      <w:tblStyleColBandSize w:val="1"/>
    </w:tblPr>
    <w:tcPr>
      <w:shd w:val="clear" w:color="auto" w:fill="5959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C2C2C"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424242"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424242" w:themeFill="accent3" w:themeFillShade="BF"/>
      </w:tcPr>
    </w:tblStylePr>
    <w:tblStylePr w:type="band1Vert">
      <w:tblPr/>
      <w:tcPr>
        <w:tcBorders>
          <w:top w:val="nil"/>
          <w:left w:val="nil"/>
          <w:bottom w:val="nil"/>
          <w:right w:val="nil"/>
          <w:insideH w:val="nil"/>
          <w:insideV w:val="nil"/>
        </w:tcBorders>
        <w:shd w:val="clear" w:color="auto" w:fill="424242" w:themeFill="accent3" w:themeFillShade="BF"/>
      </w:tcPr>
    </w:tblStylePr>
    <w:tblStylePr w:type="band1Horz">
      <w:tblPr/>
      <w:tcPr>
        <w:tcBorders>
          <w:top w:val="nil"/>
          <w:left w:val="nil"/>
          <w:bottom w:val="nil"/>
          <w:right w:val="nil"/>
          <w:insideH w:val="nil"/>
          <w:insideV w:val="nil"/>
        </w:tcBorders>
        <w:shd w:val="clear" w:color="auto" w:fill="424242" w:themeFill="accent3" w:themeFillShade="BF"/>
      </w:tcPr>
    </w:tblStylePr>
  </w:style>
  <w:style w:type="table" w:styleId="Ciemnalistaakcent4">
    <w:name w:val="Dark List Accent 4"/>
    <w:basedOn w:val="Standardowy"/>
    <w:uiPriority w:val="70"/>
    <w:semiHidden/>
    <w:rsid w:val="002B5B43"/>
    <w:rPr>
      <w:color w:val="FFFFFF"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7070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70"/>
    <w:semiHidden/>
    <w:rsid w:val="002B5B43"/>
    <w:rPr>
      <w:color w:val="FFFFFF"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474747"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70"/>
    <w:semiHidden/>
    <w:rsid w:val="002B5B43"/>
    <w:rPr>
      <w:color w:val="FFFFFF"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9393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8"/>
    <w:semiHidden/>
    <w:rsid w:val="002B5B43"/>
  </w:style>
  <w:style w:type="character" w:customStyle="1" w:styleId="DataZnak">
    <w:name w:val="Data Znak"/>
    <w:basedOn w:val="Domylnaczcionkaakapitu"/>
    <w:link w:val="Data"/>
    <w:uiPriority w:val="98"/>
    <w:semiHidden/>
    <w:rsid w:val="002B5B43"/>
    <w:rPr>
      <w:sz w:val="24"/>
      <w:szCs w:val="24"/>
      <w:lang w:val="pl-PL"/>
    </w:rPr>
  </w:style>
  <w:style w:type="paragraph" w:styleId="Mapadokumentu">
    <w:name w:val="Document Map"/>
    <w:basedOn w:val="Normalny"/>
    <w:link w:val="MapadokumentuZnak"/>
    <w:uiPriority w:val="98"/>
    <w:semiHidden/>
    <w:rsid w:val="002B5B43"/>
    <w:rPr>
      <w:rFonts w:ascii="Tahoma" w:hAnsi="Tahoma" w:cs="Tahoma"/>
      <w:sz w:val="16"/>
      <w:szCs w:val="16"/>
    </w:rPr>
  </w:style>
  <w:style w:type="character" w:customStyle="1" w:styleId="MapadokumentuZnak">
    <w:name w:val="Mapa dokumentu Znak"/>
    <w:basedOn w:val="Domylnaczcionkaakapitu"/>
    <w:link w:val="Mapadokumentu"/>
    <w:uiPriority w:val="98"/>
    <w:semiHidden/>
    <w:rsid w:val="002B5B43"/>
    <w:rPr>
      <w:rFonts w:ascii="Tahoma" w:hAnsi="Tahoma" w:cs="Tahoma"/>
      <w:sz w:val="16"/>
      <w:szCs w:val="16"/>
      <w:lang w:val="pl-PL"/>
    </w:rPr>
  </w:style>
  <w:style w:type="paragraph" w:styleId="Podpise-mail">
    <w:name w:val="E-mail Signature"/>
    <w:basedOn w:val="Normalny"/>
    <w:link w:val="Podpise-mailZnak"/>
    <w:uiPriority w:val="98"/>
    <w:semiHidden/>
    <w:rsid w:val="002B5B43"/>
  </w:style>
  <w:style w:type="character" w:customStyle="1" w:styleId="Podpise-mailZnak">
    <w:name w:val="Podpis e-mail Znak"/>
    <w:basedOn w:val="Domylnaczcionkaakapitu"/>
    <w:link w:val="Podpise-mail"/>
    <w:uiPriority w:val="98"/>
    <w:semiHidden/>
    <w:rsid w:val="002B5B43"/>
    <w:rPr>
      <w:sz w:val="24"/>
      <w:szCs w:val="24"/>
      <w:lang w:val="pl-PL"/>
    </w:rPr>
  </w:style>
  <w:style w:type="character" w:styleId="Odwoanieprzypisukocowego">
    <w:name w:val="endnote reference"/>
    <w:basedOn w:val="Domylnaczcionkaakapitu"/>
    <w:uiPriority w:val="98"/>
    <w:semiHidden/>
    <w:rsid w:val="002B5B43"/>
    <w:rPr>
      <w:vertAlign w:val="superscript"/>
    </w:rPr>
  </w:style>
  <w:style w:type="paragraph" w:styleId="Tekstprzypisukocowego">
    <w:name w:val="endnote text"/>
    <w:basedOn w:val="Normalny"/>
    <w:link w:val="TekstprzypisukocowegoZnak"/>
    <w:uiPriority w:val="98"/>
    <w:semiHidden/>
    <w:rsid w:val="002B5B43"/>
    <w:rPr>
      <w:sz w:val="20"/>
      <w:szCs w:val="20"/>
    </w:rPr>
  </w:style>
  <w:style w:type="character" w:customStyle="1" w:styleId="TekstprzypisukocowegoZnak">
    <w:name w:val="Tekst przypisu końcowego Znak"/>
    <w:basedOn w:val="Domylnaczcionkaakapitu"/>
    <w:link w:val="Tekstprzypisukocowego"/>
    <w:uiPriority w:val="98"/>
    <w:semiHidden/>
    <w:rsid w:val="002B5B43"/>
    <w:rPr>
      <w:sz w:val="20"/>
      <w:szCs w:val="20"/>
      <w:lang w:val="pl-PL"/>
    </w:rPr>
  </w:style>
  <w:style w:type="paragraph" w:styleId="Adresnakopercie">
    <w:name w:val="envelope address"/>
    <w:basedOn w:val="Normalny"/>
    <w:uiPriority w:val="98"/>
    <w:semiHidden/>
    <w:rsid w:val="002B5B43"/>
    <w:pPr>
      <w:framePr w:w="7938" w:h="1985" w:hRule="exact" w:hSpace="141" w:wrap="auto" w:hAnchor="page" w:xAlign="center" w:yAlign="bottom"/>
      <w:ind w:left="2835"/>
    </w:pPr>
    <w:rPr>
      <w:rFonts w:asciiTheme="majorHAnsi" w:eastAsiaTheme="majorEastAsia" w:hAnsiTheme="majorHAnsi" w:cstheme="majorBidi"/>
    </w:rPr>
  </w:style>
  <w:style w:type="paragraph" w:styleId="Adreszwrotnynakopercie">
    <w:name w:val="envelope return"/>
    <w:basedOn w:val="Normalny"/>
    <w:uiPriority w:val="98"/>
    <w:semiHidden/>
    <w:rsid w:val="002B5B43"/>
    <w:rPr>
      <w:rFonts w:asciiTheme="majorHAnsi" w:eastAsiaTheme="majorEastAsia" w:hAnsiTheme="majorHAnsi" w:cstheme="majorBidi"/>
      <w:sz w:val="20"/>
      <w:szCs w:val="20"/>
    </w:rPr>
  </w:style>
  <w:style w:type="character" w:styleId="UyteHipercze">
    <w:name w:val="FollowedHyperlink"/>
    <w:basedOn w:val="Domylnaczcionkaakapitu"/>
    <w:uiPriority w:val="98"/>
    <w:semiHidden/>
    <w:rsid w:val="002B5B43"/>
    <w:rPr>
      <w:color w:val="7030A0" w:themeColor="followedHyperlink"/>
      <w:u w:val="single"/>
    </w:rPr>
  </w:style>
  <w:style w:type="character" w:styleId="HTML-akronim">
    <w:name w:val="HTML Acronym"/>
    <w:basedOn w:val="Domylnaczcionkaakapitu"/>
    <w:uiPriority w:val="98"/>
    <w:semiHidden/>
    <w:rsid w:val="002B5B43"/>
  </w:style>
  <w:style w:type="paragraph" w:styleId="HTML-adres">
    <w:name w:val="HTML Address"/>
    <w:basedOn w:val="Normalny"/>
    <w:link w:val="HTML-adresZnak"/>
    <w:uiPriority w:val="98"/>
    <w:semiHidden/>
    <w:rsid w:val="002B5B43"/>
    <w:rPr>
      <w:i/>
      <w:iCs/>
    </w:rPr>
  </w:style>
  <w:style w:type="character" w:customStyle="1" w:styleId="HTML-adresZnak">
    <w:name w:val="HTML - adres Znak"/>
    <w:basedOn w:val="Domylnaczcionkaakapitu"/>
    <w:link w:val="HTML-adres"/>
    <w:uiPriority w:val="98"/>
    <w:semiHidden/>
    <w:rsid w:val="002B5B43"/>
    <w:rPr>
      <w:i/>
      <w:iCs/>
      <w:sz w:val="24"/>
      <w:szCs w:val="24"/>
      <w:lang w:val="pl-PL"/>
    </w:rPr>
  </w:style>
  <w:style w:type="character" w:styleId="HTML-cytat">
    <w:name w:val="HTML Cite"/>
    <w:basedOn w:val="Domylnaczcionkaakapitu"/>
    <w:uiPriority w:val="98"/>
    <w:semiHidden/>
    <w:rsid w:val="002B5B43"/>
    <w:rPr>
      <w:i/>
      <w:iCs/>
    </w:rPr>
  </w:style>
  <w:style w:type="character" w:styleId="HTML-kod">
    <w:name w:val="HTML Code"/>
    <w:basedOn w:val="Domylnaczcionkaakapitu"/>
    <w:uiPriority w:val="98"/>
    <w:semiHidden/>
    <w:rsid w:val="002B5B43"/>
    <w:rPr>
      <w:rFonts w:ascii="Consolas" w:hAnsi="Consolas" w:cs="Consolas"/>
      <w:sz w:val="20"/>
      <w:szCs w:val="20"/>
    </w:rPr>
  </w:style>
  <w:style w:type="character" w:styleId="HTML-definicja">
    <w:name w:val="HTML Definition"/>
    <w:basedOn w:val="Domylnaczcionkaakapitu"/>
    <w:uiPriority w:val="98"/>
    <w:semiHidden/>
    <w:rsid w:val="002B5B43"/>
    <w:rPr>
      <w:i/>
      <w:iCs/>
    </w:rPr>
  </w:style>
  <w:style w:type="character" w:styleId="HTML-klawiatura">
    <w:name w:val="HTML Keyboard"/>
    <w:basedOn w:val="Domylnaczcionkaakapitu"/>
    <w:uiPriority w:val="98"/>
    <w:semiHidden/>
    <w:rsid w:val="002B5B43"/>
    <w:rPr>
      <w:rFonts w:ascii="Consolas" w:hAnsi="Consolas" w:cs="Consolas"/>
      <w:sz w:val="20"/>
      <w:szCs w:val="20"/>
    </w:rPr>
  </w:style>
  <w:style w:type="paragraph" w:styleId="HTML-wstpniesformatowany">
    <w:name w:val="HTML Preformatted"/>
    <w:basedOn w:val="Normalny"/>
    <w:link w:val="HTML-wstpniesformatowanyZnak"/>
    <w:uiPriority w:val="98"/>
    <w:semiHidden/>
    <w:rsid w:val="002B5B43"/>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8"/>
    <w:semiHidden/>
    <w:rsid w:val="002B5B43"/>
    <w:rPr>
      <w:rFonts w:ascii="Consolas" w:hAnsi="Consolas" w:cs="Consolas"/>
      <w:sz w:val="20"/>
      <w:szCs w:val="20"/>
      <w:lang w:val="pl-PL"/>
    </w:rPr>
  </w:style>
  <w:style w:type="character" w:styleId="HTML-przykad">
    <w:name w:val="HTML Sample"/>
    <w:basedOn w:val="Domylnaczcionkaakapitu"/>
    <w:uiPriority w:val="98"/>
    <w:semiHidden/>
    <w:rsid w:val="002B5B43"/>
    <w:rPr>
      <w:rFonts w:ascii="Consolas" w:hAnsi="Consolas" w:cs="Consolas"/>
      <w:sz w:val="24"/>
      <w:szCs w:val="24"/>
    </w:rPr>
  </w:style>
  <w:style w:type="character" w:styleId="HTML-staaszeroko">
    <w:name w:val="HTML Typewriter"/>
    <w:basedOn w:val="Domylnaczcionkaakapitu"/>
    <w:uiPriority w:val="98"/>
    <w:semiHidden/>
    <w:rsid w:val="002B5B43"/>
    <w:rPr>
      <w:rFonts w:ascii="Consolas" w:hAnsi="Consolas" w:cs="Consolas"/>
      <w:sz w:val="20"/>
      <w:szCs w:val="20"/>
    </w:rPr>
  </w:style>
  <w:style w:type="character" w:styleId="HTML-zmienna">
    <w:name w:val="HTML Variable"/>
    <w:basedOn w:val="Domylnaczcionkaakapitu"/>
    <w:uiPriority w:val="98"/>
    <w:semiHidden/>
    <w:rsid w:val="002B5B43"/>
    <w:rPr>
      <w:i/>
      <w:iCs/>
    </w:rPr>
  </w:style>
  <w:style w:type="paragraph" w:styleId="Indeks1">
    <w:name w:val="index 1"/>
    <w:basedOn w:val="Normalny"/>
    <w:next w:val="Normalny"/>
    <w:autoRedefine/>
    <w:uiPriority w:val="98"/>
    <w:semiHidden/>
    <w:rsid w:val="002B5B43"/>
    <w:pPr>
      <w:ind w:left="240" w:hanging="240"/>
    </w:pPr>
  </w:style>
  <w:style w:type="paragraph" w:styleId="Indeks2">
    <w:name w:val="index 2"/>
    <w:basedOn w:val="Normalny"/>
    <w:next w:val="Normalny"/>
    <w:autoRedefine/>
    <w:uiPriority w:val="98"/>
    <w:semiHidden/>
    <w:rsid w:val="002B5B43"/>
    <w:pPr>
      <w:ind w:left="480" w:hanging="240"/>
    </w:pPr>
  </w:style>
  <w:style w:type="paragraph" w:styleId="Indeks3">
    <w:name w:val="index 3"/>
    <w:basedOn w:val="Normalny"/>
    <w:next w:val="Normalny"/>
    <w:autoRedefine/>
    <w:uiPriority w:val="98"/>
    <w:semiHidden/>
    <w:rsid w:val="002B5B43"/>
    <w:pPr>
      <w:ind w:left="720" w:hanging="240"/>
    </w:pPr>
  </w:style>
  <w:style w:type="paragraph" w:styleId="Indeks4">
    <w:name w:val="index 4"/>
    <w:basedOn w:val="Normalny"/>
    <w:next w:val="Normalny"/>
    <w:autoRedefine/>
    <w:uiPriority w:val="98"/>
    <w:semiHidden/>
    <w:rsid w:val="002B5B43"/>
    <w:pPr>
      <w:ind w:left="960" w:hanging="240"/>
    </w:pPr>
  </w:style>
  <w:style w:type="paragraph" w:styleId="Indeks5">
    <w:name w:val="index 5"/>
    <w:basedOn w:val="Normalny"/>
    <w:next w:val="Normalny"/>
    <w:autoRedefine/>
    <w:uiPriority w:val="98"/>
    <w:semiHidden/>
    <w:rsid w:val="002B5B43"/>
    <w:pPr>
      <w:ind w:left="1200" w:hanging="240"/>
    </w:pPr>
  </w:style>
  <w:style w:type="paragraph" w:styleId="Indeks6">
    <w:name w:val="index 6"/>
    <w:basedOn w:val="Normalny"/>
    <w:next w:val="Normalny"/>
    <w:autoRedefine/>
    <w:uiPriority w:val="98"/>
    <w:semiHidden/>
    <w:rsid w:val="002B5B43"/>
    <w:pPr>
      <w:ind w:left="1440" w:hanging="240"/>
    </w:pPr>
  </w:style>
  <w:style w:type="paragraph" w:styleId="Indeks7">
    <w:name w:val="index 7"/>
    <w:basedOn w:val="Normalny"/>
    <w:next w:val="Normalny"/>
    <w:autoRedefine/>
    <w:uiPriority w:val="98"/>
    <w:semiHidden/>
    <w:rsid w:val="002B5B43"/>
    <w:pPr>
      <w:ind w:left="1680" w:hanging="240"/>
    </w:pPr>
  </w:style>
  <w:style w:type="paragraph" w:styleId="Indeks8">
    <w:name w:val="index 8"/>
    <w:basedOn w:val="Normalny"/>
    <w:next w:val="Normalny"/>
    <w:autoRedefine/>
    <w:uiPriority w:val="98"/>
    <w:semiHidden/>
    <w:rsid w:val="002B5B43"/>
    <w:pPr>
      <w:ind w:left="1920" w:hanging="240"/>
    </w:pPr>
  </w:style>
  <w:style w:type="paragraph" w:styleId="Indeks9">
    <w:name w:val="index 9"/>
    <w:basedOn w:val="Normalny"/>
    <w:next w:val="Normalny"/>
    <w:autoRedefine/>
    <w:uiPriority w:val="98"/>
    <w:semiHidden/>
    <w:rsid w:val="002B5B43"/>
    <w:pPr>
      <w:ind w:left="2160" w:hanging="240"/>
    </w:pPr>
  </w:style>
  <w:style w:type="paragraph" w:styleId="Nagwekindeksu">
    <w:name w:val="index heading"/>
    <w:basedOn w:val="Normalny"/>
    <w:next w:val="Indeks1"/>
    <w:uiPriority w:val="98"/>
    <w:semiHidden/>
    <w:rsid w:val="002B5B43"/>
    <w:rPr>
      <w:rFonts w:asciiTheme="majorHAnsi" w:eastAsiaTheme="majorEastAsia" w:hAnsiTheme="majorHAnsi" w:cstheme="majorBidi"/>
      <w:b/>
      <w:bCs/>
    </w:rPr>
  </w:style>
  <w:style w:type="table" w:styleId="Jasnasiatka">
    <w:name w:val="Light Grid"/>
    <w:basedOn w:val="Standardowy"/>
    <w:uiPriority w:val="62"/>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62"/>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62"/>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62"/>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18" w:space="0" w:color="595959" w:themeColor="accent3"/>
          <w:right w:val="single" w:sz="8" w:space="0" w:color="595959" w:themeColor="accent3"/>
          <w:insideH w:val="nil"/>
          <w:insideV w:val="single" w:sz="8" w:space="0" w:color="5959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insideH w:val="nil"/>
          <w:insideV w:val="single" w:sz="8" w:space="0" w:color="5959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shd w:val="clear" w:color="auto" w:fill="D5D5D5" w:themeFill="accent3" w:themeFillTint="3F"/>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shd w:val="clear" w:color="auto" w:fill="D5D5D5" w:themeFill="accent3" w:themeFillTint="3F"/>
      </w:tcPr>
    </w:tblStylePr>
    <w:tblStylePr w:type="band2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insideV w:val="single" w:sz="8" w:space="0" w:color="595959" w:themeColor="accent3"/>
        </w:tcBorders>
      </w:tcPr>
    </w:tblStylePr>
  </w:style>
  <w:style w:type="table" w:styleId="Jasnasiatkaakcent4">
    <w:name w:val="Light Grid Accent 4"/>
    <w:basedOn w:val="Standardowy"/>
    <w:uiPriority w:val="62"/>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62"/>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62"/>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61"/>
    <w:semiHidden/>
    <w:rsid w:val="002B5B43"/>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61"/>
    <w:semiHidden/>
    <w:rsid w:val="002B5B43"/>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FFFFFF"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61"/>
    <w:semiHidden/>
    <w:rsid w:val="002B5B43"/>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FFFFFF"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61"/>
    <w:semiHidden/>
    <w:rsid w:val="002B5B43"/>
    <w:rPr>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pPr>
        <w:spacing w:before="0" w:after="0" w:line="240" w:lineRule="auto"/>
      </w:pPr>
      <w:rPr>
        <w:b/>
        <w:bCs/>
        <w:color w:val="FFFFFF" w:themeColor="background1"/>
      </w:rPr>
      <w:tblPr/>
      <w:tcPr>
        <w:shd w:val="clear" w:color="auto" w:fill="595959" w:themeFill="accent3"/>
      </w:tcPr>
    </w:tblStylePr>
    <w:tblStylePr w:type="lastRow">
      <w:pPr>
        <w:spacing w:before="0" w:after="0" w:line="240" w:lineRule="auto"/>
      </w:pPr>
      <w:rPr>
        <w:b/>
        <w:bCs/>
      </w:rPr>
      <w:tblPr/>
      <w:tcPr>
        <w:tcBorders>
          <w:top w:val="double" w:sz="6" w:space="0" w:color="595959" w:themeColor="accent3"/>
          <w:left w:val="single" w:sz="8" w:space="0" w:color="595959" w:themeColor="accent3"/>
          <w:bottom w:val="single" w:sz="8" w:space="0" w:color="595959" w:themeColor="accent3"/>
          <w:right w:val="single" w:sz="8" w:space="0" w:color="595959" w:themeColor="accent3"/>
        </w:tcBorders>
      </w:tcPr>
    </w:tblStylePr>
    <w:tblStylePr w:type="firstCol">
      <w:rPr>
        <w:b/>
        <w:bCs/>
      </w:rPr>
    </w:tblStylePr>
    <w:tblStylePr w:type="lastCol">
      <w:rPr>
        <w:b/>
        <w:bCs/>
      </w:rPr>
    </w:tblStylePr>
    <w:tblStylePr w:type="band1Vert">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tblStylePr w:type="band1Horz">
      <w:tblPr/>
      <w:tcPr>
        <w:tcBorders>
          <w:top w:val="single" w:sz="8" w:space="0" w:color="595959" w:themeColor="accent3"/>
          <w:left w:val="single" w:sz="8" w:space="0" w:color="595959" w:themeColor="accent3"/>
          <w:bottom w:val="single" w:sz="8" w:space="0" w:color="595959" w:themeColor="accent3"/>
          <w:right w:val="single" w:sz="8" w:space="0" w:color="595959" w:themeColor="accent3"/>
        </w:tcBorders>
      </w:tcPr>
    </w:tblStylePr>
  </w:style>
  <w:style w:type="table" w:styleId="Jasnalistaakcent4">
    <w:name w:val="Light List Accent 4"/>
    <w:basedOn w:val="Standardowy"/>
    <w:uiPriority w:val="61"/>
    <w:semiHidden/>
    <w:rsid w:val="002B5B43"/>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FFFFFF"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61"/>
    <w:semiHidden/>
    <w:rsid w:val="002B5B43"/>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FFFFFF"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61"/>
    <w:semiHidden/>
    <w:rsid w:val="002B5B43"/>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FFFFFF"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60"/>
    <w:semiHidden/>
    <w:rsid w:val="002B5B43"/>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60"/>
    <w:semiHidden/>
    <w:rsid w:val="002B5B43"/>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60"/>
    <w:semiHidden/>
    <w:rsid w:val="002B5B43"/>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60"/>
    <w:semiHidden/>
    <w:rsid w:val="002B5B43"/>
    <w:rPr>
      <w:color w:val="424242" w:themeColor="accent3" w:themeShade="BF"/>
      <w:sz w:val="24"/>
      <w:szCs w:val="24"/>
    </w:rPr>
    <w:tblPr>
      <w:tblStyleRowBandSize w:val="1"/>
      <w:tblStyleColBandSize w:val="1"/>
      <w:tblBorders>
        <w:top w:val="single" w:sz="8" w:space="0" w:color="595959" w:themeColor="accent3"/>
        <w:bottom w:val="single" w:sz="8" w:space="0" w:color="595959" w:themeColor="accent3"/>
      </w:tblBorders>
    </w:tblPr>
    <w:tblStylePr w:type="fir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lastRow">
      <w:pPr>
        <w:spacing w:before="0" w:after="0" w:line="240" w:lineRule="auto"/>
      </w:pPr>
      <w:rPr>
        <w:b/>
        <w:bCs/>
      </w:rPr>
      <w:tblPr/>
      <w:tcPr>
        <w:tcBorders>
          <w:top w:val="single" w:sz="8" w:space="0" w:color="595959" w:themeColor="accent3"/>
          <w:left w:val="nil"/>
          <w:bottom w:val="single" w:sz="8" w:space="0" w:color="5959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left w:val="nil"/>
          <w:right w:val="nil"/>
          <w:insideH w:val="nil"/>
          <w:insideV w:val="nil"/>
        </w:tcBorders>
        <w:shd w:val="clear" w:color="auto" w:fill="D5D5D5" w:themeFill="accent3" w:themeFillTint="3F"/>
      </w:tcPr>
    </w:tblStylePr>
  </w:style>
  <w:style w:type="table" w:styleId="Jasnecieniowanieakcent4">
    <w:name w:val="Light Shading Accent 4"/>
    <w:basedOn w:val="Standardowy"/>
    <w:uiPriority w:val="60"/>
    <w:semiHidden/>
    <w:rsid w:val="002B5B43"/>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60"/>
    <w:semiHidden/>
    <w:rsid w:val="002B5B43"/>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60"/>
    <w:semiHidden/>
    <w:rsid w:val="002B5B43"/>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8"/>
    <w:semiHidden/>
    <w:rsid w:val="002B5B43"/>
  </w:style>
  <w:style w:type="paragraph" w:styleId="Lista">
    <w:name w:val="List"/>
    <w:basedOn w:val="Normalny"/>
    <w:uiPriority w:val="98"/>
    <w:semiHidden/>
    <w:rsid w:val="002B5B43"/>
    <w:pPr>
      <w:ind w:left="283" w:hanging="283"/>
      <w:contextualSpacing/>
    </w:pPr>
  </w:style>
  <w:style w:type="paragraph" w:styleId="Lista2">
    <w:name w:val="List 2"/>
    <w:basedOn w:val="Normalny"/>
    <w:uiPriority w:val="98"/>
    <w:semiHidden/>
    <w:rsid w:val="002B5B43"/>
    <w:pPr>
      <w:ind w:left="566" w:hanging="283"/>
      <w:contextualSpacing/>
    </w:pPr>
  </w:style>
  <w:style w:type="paragraph" w:styleId="Lista3">
    <w:name w:val="List 3"/>
    <w:basedOn w:val="Normalny"/>
    <w:uiPriority w:val="98"/>
    <w:semiHidden/>
    <w:rsid w:val="002B5B43"/>
    <w:pPr>
      <w:ind w:left="849" w:hanging="283"/>
      <w:contextualSpacing/>
    </w:pPr>
  </w:style>
  <w:style w:type="paragraph" w:styleId="Lista4">
    <w:name w:val="List 4"/>
    <w:basedOn w:val="Normalny"/>
    <w:uiPriority w:val="98"/>
    <w:semiHidden/>
    <w:rsid w:val="002B5B43"/>
    <w:pPr>
      <w:ind w:left="1132" w:hanging="283"/>
      <w:contextualSpacing/>
    </w:pPr>
  </w:style>
  <w:style w:type="paragraph" w:styleId="Lista5">
    <w:name w:val="List 5"/>
    <w:basedOn w:val="Normalny"/>
    <w:uiPriority w:val="98"/>
    <w:semiHidden/>
    <w:rsid w:val="002B5B43"/>
    <w:pPr>
      <w:ind w:left="1415" w:hanging="283"/>
      <w:contextualSpacing/>
    </w:pPr>
  </w:style>
  <w:style w:type="paragraph" w:styleId="Listapunktowana2">
    <w:name w:val="List Bullet 2"/>
    <w:basedOn w:val="Normalny"/>
    <w:uiPriority w:val="98"/>
    <w:semiHidden/>
    <w:rsid w:val="002B5B43"/>
    <w:pPr>
      <w:numPr>
        <w:numId w:val="12"/>
      </w:numPr>
      <w:contextualSpacing/>
    </w:pPr>
  </w:style>
  <w:style w:type="paragraph" w:styleId="Listapunktowana4">
    <w:name w:val="List Bullet 4"/>
    <w:basedOn w:val="Normalny"/>
    <w:uiPriority w:val="98"/>
    <w:semiHidden/>
    <w:rsid w:val="002B5B43"/>
    <w:pPr>
      <w:numPr>
        <w:numId w:val="14"/>
      </w:numPr>
      <w:contextualSpacing/>
    </w:pPr>
  </w:style>
  <w:style w:type="paragraph" w:styleId="Listapunktowana5">
    <w:name w:val="List Bullet 5"/>
    <w:basedOn w:val="Normalny"/>
    <w:uiPriority w:val="98"/>
    <w:semiHidden/>
    <w:rsid w:val="002B5B43"/>
    <w:pPr>
      <w:numPr>
        <w:numId w:val="15"/>
      </w:numPr>
      <w:contextualSpacing/>
    </w:pPr>
  </w:style>
  <w:style w:type="paragraph" w:styleId="Lista-kontynuacja">
    <w:name w:val="List Continue"/>
    <w:basedOn w:val="Normalny"/>
    <w:uiPriority w:val="98"/>
    <w:semiHidden/>
    <w:rsid w:val="002B5B43"/>
    <w:pPr>
      <w:spacing w:after="120"/>
      <w:ind w:left="283"/>
      <w:contextualSpacing/>
    </w:pPr>
  </w:style>
  <w:style w:type="paragraph" w:styleId="Lista-kontynuacja2">
    <w:name w:val="List Continue 2"/>
    <w:basedOn w:val="Normalny"/>
    <w:uiPriority w:val="98"/>
    <w:semiHidden/>
    <w:rsid w:val="002B5B43"/>
    <w:pPr>
      <w:spacing w:after="120"/>
      <w:ind w:left="566"/>
      <w:contextualSpacing/>
    </w:pPr>
  </w:style>
  <w:style w:type="paragraph" w:styleId="Lista-kontynuacja3">
    <w:name w:val="List Continue 3"/>
    <w:basedOn w:val="Normalny"/>
    <w:uiPriority w:val="98"/>
    <w:semiHidden/>
    <w:rsid w:val="002B5B43"/>
    <w:pPr>
      <w:spacing w:after="120"/>
      <w:ind w:left="849"/>
      <w:contextualSpacing/>
    </w:pPr>
  </w:style>
  <w:style w:type="paragraph" w:styleId="Lista-kontynuacja4">
    <w:name w:val="List Continue 4"/>
    <w:basedOn w:val="Normalny"/>
    <w:uiPriority w:val="98"/>
    <w:semiHidden/>
    <w:rsid w:val="002B5B43"/>
    <w:pPr>
      <w:spacing w:after="120"/>
      <w:ind w:left="1132"/>
      <w:contextualSpacing/>
    </w:pPr>
  </w:style>
  <w:style w:type="paragraph" w:styleId="Lista-kontynuacja5">
    <w:name w:val="List Continue 5"/>
    <w:basedOn w:val="Normalny"/>
    <w:uiPriority w:val="98"/>
    <w:semiHidden/>
    <w:rsid w:val="002B5B43"/>
    <w:pPr>
      <w:spacing w:after="120"/>
      <w:ind w:left="1415"/>
      <w:contextualSpacing/>
    </w:pPr>
  </w:style>
  <w:style w:type="paragraph" w:styleId="Listanumerowana">
    <w:name w:val="List Number"/>
    <w:basedOn w:val="Normalny"/>
    <w:uiPriority w:val="98"/>
    <w:semiHidden/>
    <w:rsid w:val="002B5B43"/>
    <w:pPr>
      <w:numPr>
        <w:numId w:val="16"/>
      </w:numPr>
      <w:contextualSpacing/>
    </w:pPr>
  </w:style>
  <w:style w:type="paragraph" w:styleId="Listanumerowana2">
    <w:name w:val="List Number 2"/>
    <w:basedOn w:val="Normalny"/>
    <w:uiPriority w:val="98"/>
    <w:semiHidden/>
    <w:rsid w:val="002B5B43"/>
    <w:pPr>
      <w:numPr>
        <w:numId w:val="17"/>
      </w:numPr>
      <w:contextualSpacing/>
    </w:pPr>
  </w:style>
  <w:style w:type="paragraph" w:styleId="Listanumerowana3">
    <w:name w:val="List Number 3"/>
    <w:basedOn w:val="Normalny"/>
    <w:uiPriority w:val="98"/>
    <w:semiHidden/>
    <w:rsid w:val="002B5B43"/>
    <w:pPr>
      <w:numPr>
        <w:numId w:val="18"/>
      </w:numPr>
      <w:contextualSpacing/>
    </w:pPr>
  </w:style>
  <w:style w:type="paragraph" w:styleId="Listanumerowana4">
    <w:name w:val="List Number 4"/>
    <w:basedOn w:val="Normalny"/>
    <w:uiPriority w:val="98"/>
    <w:semiHidden/>
    <w:rsid w:val="002B5B43"/>
    <w:pPr>
      <w:numPr>
        <w:numId w:val="19"/>
      </w:numPr>
      <w:contextualSpacing/>
    </w:pPr>
  </w:style>
  <w:style w:type="paragraph" w:styleId="Listanumerowana5">
    <w:name w:val="List Number 5"/>
    <w:basedOn w:val="Normalny"/>
    <w:uiPriority w:val="98"/>
    <w:semiHidden/>
    <w:rsid w:val="002B5B43"/>
    <w:pPr>
      <w:numPr>
        <w:numId w:val="20"/>
      </w:numPr>
      <w:contextualSpacing/>
    </w:pPr>
  </w:style>
  <w:style w:type="paragraph" w:styleId="Tekstmakra">
    <w:name w:val="macro"/>
    <w:link w:val="TekstmakraZnak"/>
    <w:uiPriority w:val="98"/>
    <w:semiHidden/>
    <w:rsid w:val="002B5B43"/>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TekstmakraZnak">
    <w:name w:val="Tekst makra Znak"/>
    <w:basedOn w:val="Domylnaczcionkaakapitu"/>
    <w:link w:val="Tekstmakra"/>
    <w:uiPriority w:val="98"/>
    <w:semiHidden/>
    <w:rsid w:val="002B5B43"/>
    <w:rPr>
      <w:rFonts w:ascii="Consolas" w:eastAsiaTheme="minorEastAsia" w:hAnsi="Consolas" w:cs="Consolas"/>
      <w:sz w:val="20"/>
      <w:szCs w:val="20"/>
    </w:rPr>
  </w:style>
  <w:style w:type="table" w:styleId="redniasiatka1">
    <w:name w:val="Medium Grid 1"/>
    <w:basedOn w:val="Standardowy"/>
    <w:uiPriority w:val="67"/>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67"/>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67"/>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67"/>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insideV w:val="single" w:sz="8" w:space="0" w:color="828282" w:themeColor="accent3" w:themeTint="BF"/>
      </w:tblBorders>
    </w:tblPr>
    <w:tcPr>
      <w:shd w:val="clear" w:color="auto" w:fill="D5D5D5" w:themeFill="accent3" w:themeFillTint="3F"/>
    </w:tcPr>
    <w:tblStylePr w:type="firstRow">
      <w:rPr>
        <w:b/>
        <w:bCs/>
      </w:rPr>
    </w:tblStylePr>
    <w:tblStylePr w:type="lastRow">
      <w:rPr>
        <w:b/>
        <w:bCs/>
      </w:rPr>
      <w:tblPr/>
      <w:tcPr>
        <w:tcBorders>
          <w:top w:val="single" w:sz="18" w:space="0" w:color="828282" w:themeColor="accent3" w:themeTint="BF"/>
        </w:tcBorders>
      </w:tcPr>
    </w:tblStylePr>
    <w:tblStylePr w:type="firstCol">
      <w:rPr>
        <w:b/>
        <w:bCs/>
      </w:rPr>
    </w:tblStylePr>
    <w:tblStylePr w:type="lastCol">
      <w:rPr>
        <w:b/>
        <w:bCs/>
      </w:rPr>
    </w:tblStylePr>
    <w:tblStylePr w:type="band1Vert">
      <w:tblPr/>
      <w:tcPr>
        <w:shd w:val="clear" w:color="auto" w:fill="ACACAC" w:themeFill="accent3" w:themeFillTint="7F"/>
      </w:tcPr>
    </w:tblStylePr>
    <w:tblStylePr w:type="band1Horz">
      <w:tblPr/>
      <w:tcPr>
        <w:shd w:val="clear" w:color="auto" w:fill="ACACAC" w:themeFill="accent3" w:themeFillTint="7F"/>
      </w:tcPr>
    </w:tblStylePr>
  </w:style>
  <w:style w:type="table" w:styleId="redniasiatka1akcent4">
    <w:name w:val="Medium Grid 1 Accent 4"/>
    <w:basedOn w:val="Standardowy"/>
    <w:uiPriority w:val="67"/>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67"/>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67"/>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redniasiatka2akcent1">
    <w:name w:val="Medium Grid 2 Accent 1"/>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FFFFFF" w:themeFill="background1"/>
      </w:tcPr>
    </w:tblStylePr>
  </w:style>
  <w:style w:type="table" w:styleId="redniasiatka2akcent2">
    <w:name w:val="Medium Grid 2 Accent 2"/>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FFFFFF" w:themeFill="background1"/>
      </w:tcPr>
    </w:tblStylePr>
  </w:style>
  <w:style w:type="table" w:styleId="redniasiatka2akcent3">
    <w:name w:val="Medium Grid 2 Accent 3"/>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insideH w:val="single" w:sz="8" w:space="0" w:color="595959" w:themeColor="accent3"/>
        <w:insideV w:val="single" w:sz="8" w:space="0" w:color="595959" w:themeColor="accent3"/>
      </w:tblBorders>
    </w:tblPr>
    <w:tcPr>
      <w:shd w:val="clear" w:color="auto" w:fill="D5D5D5" w:themeFill="accent3" w:themeFillTint="3F"/>
    </w:tcPr>
    <w:tblStylePr w:type="firstRow">
      <w:rPr>
        <w:b/>
        <w:bCs/>
        <w:color w:val="000000" w:themeColor="text1"/>
      </w:rPr>
      <w:tblPr/>
      <w:tcPr>
        <w:shd w:val="clear" w:color="auto" w:fill="EEEE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DDDDD" w:themeFill="accent3" w:themeFillTint="33"/>
      </w:tcPr>
    </w:tblStylePr>
    <w:tblStylePr w:type="band1Vert">
      <w:tblPr/>
      <w:tcPr>
        <w:shd w:val="clear" w:color="auto" w:fill="ACACAC" w:themeFill="accent3" w:themeFillTint="7F"/>
      </w:tcPr>
    </w:tblStylePr>
    <w:tblStylePr w:type="band1Horz">
      <w:tblPr/>
      <w:tcPr>
        <w:tcBorders>
          <w:insideH w:val="single" w:sz="6" w:space="0" w:color="595959" w:themeColor="accent3"/>
          <w:insideV w:val="single" w:sz="6" w:space="0" w:color="595959" w:themeColor="accent3"/>
        </w:tcBorders>
        <w:shd w:val="clear" w:color="auto" w:fill="ACACAC" w:themeFill="accent3" w:themeFillTint="7F"/>
      </w:tcPr>
    </w:tblStylePr>
    <w:tblStylePr w:type="nwCell">
      <w:tblPr/>
      <w:tcPr>
        <w:shd w:val="clear" w:color="auto" w:fill="FFFFFF" w:themeFill="background1"/>
      </w:tcPr>
    </w:tblStylePr>
  </w:style>
  <w:style w:type="table" w:styleId="redniasiatka2akcent4">
    <w:name w:val="Medium Grid 2 Accent 4"/>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FFFFFF" w:themeFill="background1"/>
      </w:tcPr>
    </w:tblStylePr>
  </w:style>
  <w:style w:type="table" w:styleId="redniasiatka2akcent5">
    <w:name w:val="Medium Grid 2 Accent 5"/>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FFFFFF" w:themeFill="background1"/>
      </w:tcPr>
    </w:tblStylePr>
  </w:style>
  <w:style w:type="table" w:styleId="redniasiatka2akcent6">
    <w:name w:val="Medium Grid 2 Accent 6"/>
    <w:basedOn w:val="Standardowy"/>
    <w:uiPriority w:val="68"/>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FFFFFF" w:themeFill="background1"/>
      </w:tcPr>
    </w:tblStylePr>
  </w:style>
  <w:style w:type="table" w:styleId="redniasiatka3">
    <w:name w:val="Medium Grid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redniasiatka3akcent1">
    <w:name w:val="Medium Grid 3 Accent 1"/>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FDF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2BC"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2BC"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2BC"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EBF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EBFFF" w:themeFill="accent1" w:themeFillTint="7F"/>
      </w:tcPr>
    </w:tblStylePr>
  </w:style>
  <w:style w:type="table" w:styleId="redniasiatka3akcent2">
    <w:name w:val="Medium Grid 3 Accent 2"/>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B0B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00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00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00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606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6060" w:themeFill="accent2" w:themeFillTint="7F"/>
      </w:tcPr>
    </w:tblStylePr>
  </w:style>
  <w:style w:type="table" w:styleId="redniasiatka3akcent3">
    <w:name w:val="Medium Grid 3 Accent 3"/>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5D5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959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959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959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CAC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CACAC" w:themeFill="accent3" w:themeFillTint="7F"/>
      </w:tcPr>
    </w:tblStylePr>
  </w:style>
  <w:style w:type="table" w:styleId="redniasiatka3akcent4">
    <w:name w:val="Medium Grid 3 Accent 4"/>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5E5E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69696"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69696"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69696"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ACACA"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ACACA" w:themeFill="accent4" w:themeFillTint="7F"/>
      </w:tcPr>
    </w:tblStylePr>
  </w:style>
  <w:style w:type="table" w:styleId="redniasiatka3akcent5">
    <w:name w:val="Medium Grid 3 Accent 5"/>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5F5F"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5F5F"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5F5F"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FAFAF"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FAFAF" w:themeFill="accent5" w:themeFillTint="7F"/>
      </w:tcPr>
    </w:tblStylePr>
  </w:style>
  <w:style w:type="table" w:styleId="redniasiatka3akcent6">
    <w:name w:val="Medium Grid 3 Accent 6"/>
    <w:basedOn w:val="Standardowy"/>
    <w:uiPriority w:val="69"/>
    <w:semiHidden/>
    <w:rsid w:val="002B5B43"/>
    <w:rPr>
      <w:sz w:val="24"/>
      <w:szCs w:val="24"/>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3D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D4D4D"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D4D4D"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D4D4D"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6A6A6"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6A6A6" w:themeFill="accent6" w:themeFillTint="7F"/>
      </w:tcPr>
    </w:tblStylePr>
  </w:style>
  <w:style w:type="table" w:styleId="rednialista1">
    <w:name w:val="Medium List 1"/>
    <w:basedOn w:val="Standardowy"/>
    <w:uiPriority w:val="65"/>
    <w:semiHidden/>
    <w:rsid w:val="002B5B43"/>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B0B0B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65"/>
    <w:semiHidden/>
    <w:rsid w:val="002B5B43"/>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B0B0B0"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65"/>
    <w:semiHidden/>
    <w:rsid w:val="002B5B43"/>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B0B0B0"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65"/>
    <w:semiHidden/>
    <w:rsid w:val="002B5B43"/>
    <w:rPr>
      <w:color w:val="000000" w:themeColor="text1"/>
      <w:sz w:val="24"/>
      <w:szCs w:val="24"/>
    </w:rPr>
    <w:tblPr>
      <w:tblStyleRowBandSize w:val="1"/>
      <w:tblStyleColBandSize w:val="1"/>
      <w:tblBorders>
        <w:top w:val="single" w:sz="8" w:space="0" w:color="595959" w:themeColor="accent3"/>
        <w:bottom w:val="single" w:sz="8" w:space="0" w:color="595959" w:themeColor="accent3"/>
      </w:tblBorders>
    </w:tblPr>
    <w:tblStylePr w:type="firstRow">
      <w:rPr>
        <w:rFonts w:asciiTheme="majorHAnsi" w:eastAsiaTheme="majorEastAsia" w:hAnsiTheme="majorHAnsi" w:cstheme="majorBidi"/>
      </w:rPr>
      <w:tblPr/>
      <w:tcPr>
        <w:tcBorders>
          <w:top w:val="nil"/>
          <w:bottom w:val="single" w:sz="8" w:space="0" w:color="595959" w:themeColor="accent3"/>
        </w:tcBorders>
      </w:tcPr>
    </w:tblStylePr>
    <w:tblStylePr w:type="lastRow">
      <w:rPr>
        <w:b/>
        <w:bCs/>
        <w:color w:val="B0B0B0" w:themeColor="text2"/>
      </w:rPr>
      <w:tblPr/>
      <w:tcPr>
        <w:tcBorders>
          <w:top w:val="single" w:sz="8" w:space="0" w:color="595959" w:themeColor="accent3"/>
          <w:bottom w:val="single" w:sz="8" w:space="0" w:color="595959" w:themeColor="accent3"/>
        </w:tcBorders>
      </w:tcPr>
    </w:tblStylePr>
    <w:tblStylePr w:type="firstCol">
      <w:rPr>
        <w:b/>
        <w:bCs/>
      </w:rPr>
    </w:tblStylePr>
    <w:tblStylePr w:type="lastCol">
      <w:rPr>
        <w:b/>
        <w:bCs/>
      </w:rPr>
      <w:tblPr/>
      <w:tcPr>
        <w:tcBorders>
          <w:top w:val="single" w:sz="8" w:space="0" w:color="595959" w:themeColor="accent3"/>
          <w:bottom w:val="single" w:sz="8" w:space="0" w:color="595959" w:themeColor="accent3"/>
        </w:tcBorders>
      </w:tcPr>
    </w:tblStylePr>
    <w:tblStylePr w:type="band1Vert">
      <w:tblPr/>
      <w:tcPr>
        <w:shd w:val="clear" w:color="auto" w:fill="D5D5D5" w:themeFill="accent3" w:themeFillTint="3F"/>
      </w:tcPr>
    </w:tblStylePr>
    <w:tblStylePr w:type="band1Horz">
      <w:tblPr/>
      <w:tcPr>
        <w:shd w:val="clear" w:color="auto" w:fill="D5D5D5" w:themeFill="accent3" w:themeFillTint="3F"/>
      </w:tcPr>
    </w:tblStylePr>
  </w:style>
  <w:style w:type="table" w:styleId="rednialista1akcent4">
    <w:name w:val="Medium List 1 Accent 4"/>
    <w:basedOn w:val="Standardowy"/>
    <w:uiPriority w:val="65"/>
    <w:semiHidden/>
    <w:rsid w:val="002B5B43"/>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B0B0B0"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65"/>
    <w:semiHidden/>
    <w:rsid w:val="002B5B43"/>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B0B0B0"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65"/>
    <w:semiHidden/>
    <w:rsid w:val="002B5B43"/>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B0B0B0"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1">
    <w:name w:val="Medium List 2 Accent 1"/>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FFFFFF" w:themeFill="background1"/>
      </w:tcPr>
    </w:tblStylePr>
    <w:tblStylePr w:type="lastRow">
      <w:tblPr/>
      <w:tcPr>
        <w:tcBorders>
          <w:top w:val="single" w:sz="8" w:space="0" w:color="0072BC"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2BC" w:themeColor="accent1"/>
          <w:insideH w:val="nil"/>
          <w:insideV w:val="nil"/>
        </w:tcBorders>
        <w:shd w:val="clear" w:color="auto" w:fill="FFFFFF" w:themeFill="background1"/>
      </w:tcPr>
    </w:tblStylePr>
    <w:tblStylePr w:type="lastCol">
      <w:tblPr/>
      <w:tcPr>
        <w:tcBorders>
          <w:top w:val="nil"/>
          <w:left w:val="single" w:sz="8" w:space="0" w:color="0072BC"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2">
    <w:name w:val="Medium List 2 Accent 2"/>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FFFFFF" w:themeFill="background1"/>
      </w:tcPr>
    </w:tblStylePr>
    <w:tblStylePr w:type="lastRow">
      <w:tblPr/>
      <w:tcPr>
        <w:tcBorders>
          <w:top w:val="single" w:sz="8" w:space="0" w:color="C000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0000" w:themeColor="accent2"/>
          <w:insideH w:val="nil"/>
          <w:insideV w:val="nil"/>
        </w:tcBorders>
        <w:shd w:val="clear" w:color="auto" w:fill="FFFFFF" w:themeFill="background1"/>
      </w:tcPr>
    </w:tblStylePr>
    <w:tblStylePr w:type="lastCol">
      <w:tblPr/>
      <w:tcPr>
        <w:tcBorders>
          <w:top w:val="nil"/>
          <w:left w:val="single" w:sz="8" w:space="0" w:color="C000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3">
    <w:name w:val="Medium List 2 Accent 3"/>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95959" w:themeColor="accent3"/>
        <w:left w:val="single" w:sz="8" w:space="0" w:color="595959" w:themeColor="accent3"/>
        <w:bottom w:val="single" w:sz="8" w:space="0" w:color="595959" w:themeColor="accent3"/>
        <w:right w:val="single" w:sz="8" w:space="0" w:color="595959" w:themeColor="accent3"/>
      </w:tblBorders>
    </w:tblPr>
    <w:tblStylePr w:type="firstRow">
      <w:rPr>
        <w:sz w:val="24"/>
        <w:szCs w:val="24"/>
      </w:rPr>
      <w:tblPr/>
      <w:tcPr>
        <w:tcBorders>
          <w:top w:val="nil"/>
          <w:left w:val="nil"/>
          <w:bottom w:val="single" w:sz="24" w:space="0" w:color="595959" w:themeColor="accent3"/>
          <w:right w:val="nil"/>
          <w:insideH w:val="nil"/>
          <w:insideV w:val="nil"/>
        </w:tcBorders>
        <w:shd w:val="clear" w:color="auto" w:fill="FFFFFF" w:themeFill="background1"/>
      </w:tcPr>
    </w:tblStylePr>
    <w:tblStylePr w:type="lastRow">
      <w:tblPr/>
      <w:tcPr>
        <w:tcBorders>
          <w:top w:val="single" w:sz="8" w:space="0" w:color="5959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95959" w:themeColor="accent3"/>
          <w:insideH w:val="nil"/>
          <w:insideV w:val="nil"/>
        </w:tcBorders>
        <w:shd w:val="clear" w:color="auto" w:fill="FFFFFF" w:themeFill="background1"/>
      </w:tcPr>
    </w:tblStylePr>
    <w:tblStylePr w:type="lastCol">
      <w:tblPr/>
      <w:tcPr>
        <w:tcBorders>
          <w:top w:val="nil"/>
          <w:left w:val="single" w:sz="8" w:space="0" w:color="5959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5D5D5" w:themeFill="accent3" w:themeFillTint="3F"/>
      </w:tcPr>
    </w:tblStylePr>
    <w:tblStylePr w:type="band1Horz">
      <w:tblPr/>
      <w:tcPr>
        <w:tcBorders>
          <w:top w:val="nil"/>
          <w:bottom w:val="nil"/>
          <w:insideH w:val="nil"/>
          <w:insideV w:val="nil"/>
        </w:tcBorders>
        <w:shd w:val="clear" w:color="auto" w:fill="D5D5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4">
    <w:name w:val="Medium List 2 Accent 4"/>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FFFFFF" w:themeFill="background1"/>
      </w:tcPr>
    </w:tblStylePr>
    <w:tblStylePr w:type="lastRow">
      <w:tblPr/>
      <w:tcPr>
        <w:tcBorders>
          <w:top w:val="single" w:sz="8" w:space="0" w:color="969696"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69696" w:themeColor="accent4"/>
          <w:insideH w:val="nil"/>
          <w:insideV w:val="nil"/>
        </w:tcBorders>
        <w:shd w:val="clear" w:color="auto" w:fill="FFFFFF" w:themeFill="background1"/>
      </w:tcPr>
    </w:tblStylePr>
    <w:tblStylePr w:type="lastCol">
      <w:tblPr/>
      <w:tcPr>
        <w:tcBorders>
          <w:top w:val="nil"/>
          <w:left w:val="single" w:sz="8" w:space="0" w:color="969696"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5">
    <w:name w:val="Medium List 2 Accent 5"/>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FFFFFF" w:themeFill="background1"/>
      </w:tcPr>
    </w:tblStylePr>
    <w:tblStylePr w:type="lastRow">
      <w:tblPr/>
      <w:tcPr>
        <w:tcBorders>
          <w:top w:val="single" w:sz="8" w:space="0" w:color="5F5F5F"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5F5F" w:themeColor="accent5"/>
          <w:insideH w:val="nil"/>
          <w:insideV w:val="nil"/>
        </w:tcBorders>
        <w:shd w:val="clear" w:color="auto" w:fill="FFFFFF" w:themeFill="background1"/>
      </w:tcPr>
    </w:tblStylePr>
    <w:tblStylePr w:type="lastCol">
      <w:tblPr/>
      <w:tcPr>
        <w:tcBorders>
          <w:top w:val="nil"/>
          <w:left w:val="single" w:sz="8" w:space="0" w:color="5F5F5F"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rednialista2akcent6">
    <w:name w:val="Medium List 2 Accent 6"/>
    <w:basedOn w:val="Standardowy"/>
    <w:uiPriority w:val="66"/>
    <w:semiHidden/>
    <w:rsid w:val="002B5B43"/>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FFFFFF" w:themeFill="background1"/>
      </w:tcPr>
    </w:tblStylePr>
    <w:tblStylePr w:type="lastRow">
      <w:tblPr/>
      <w:tcPr>
        <w:tcBorders>
          <w:top w:val="single" w:sz="8" w:space="0" w:color="4D4D4D"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D4D4D" w:themeColor="accent6"/>
          <w:insideH w:val="nil"/>
          <w:insideV w:val="nil"/>
        </w:tcBorders>
        <w:shd w:val="clear" w:color="auto" w:fill="FFFFFF" w:themeFill="background1"/>
      </w:tcPr>
    </w:tblStylePr>
    <w:tblStylePr w:type="lastCol">
      <w:tblPr/>
      <w:tcPr>
        <w:tcBorders>
          <w:top w:val="nil"/>
          <w:left w:val="single" w:sz="8" w:space="0" w:color="4D4D4D"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redniecieniowanie1">
    <w:name w:val="Medium Shading 1"/>
    <w:basedOn w:val="Standardowy"/>
    <w:uiPriority w:val="63"/>
    <w:semiHidden/>
    <w:rsid w:val="002B5B43"/>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63"/>
    <w:semiHidden/>
    <w:rsid w:val="002B5B43"/>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FFFFFF"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63"/>
    <w:semiHidden/>
    <w:rsid w:val="002B5B43"/>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FFFFFF"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63"/>
    <w:semiHidden/>
    <w:rsid w:val="002B5B43"/>
    <w:rPr>
      <w:sz w:val="24"/>
      <w:szCs w:val="24"/>
    </w:rPr>
    <w:tblPr>
      <w:tblStyleRowBandSize w:val="1"/>
      <w:tblStyleColBandSize w:val="1"/>
      <w:tbl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single" w:sz="8" w:space="0" w:color="828282" w:themeColor="accent3" w:themeTint="BF"/>
      </w:tblBorders>
    </w:tblPr>
    <w:tblStylePr w:type="firstRow">
      <w:pPr>
        <w:spacing w:before="0" w:after="0" w:line="240" w:lineRule="auto"/>
      </w:pPr>
      <w:rPr>
        <w:b/>
        <w:bCs/>
        <w:color w:val="FFFFFF" w:themeColor="background1"/>
      </w:rPr>
      <w:tblPr/>
      <w:tcPr>
        <w:tcBorders>
          <w:top w:val="single" w:sz="8"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shd w:val="clear" w:color="auto" w:fill="595959" w:themeFill="accent3"/>
      </w:tcPr>
    </w:tblStylePr>
    <w:tblStylePr w:type="lastRow">
      <w:pPr>
        <w:spacing w:before="0" w:after="0" w:line="240" w:lineRule="auto"/>
      </w:pPr>
      <w:rPr>
        <w:b/>
        <w:bCs/>
      </w:rPr>
      <w:tblPr/>
      <w:tcPr>
        <w:tcBorders>
          <w:top w:val="double" w:sz="6" w:space="0" w:color="828282" w:themeColor="accent3" w:themeTint="BF"/>
          <w:left w:val="single" w:sz="8" w:space="0" w:color="828282" w:themeColor="accent3" w:themeTint="BF"/>
          <w:bottom w:val="single" w:sz="8" w:space="0" w:color="828282" w:themeColor="accent3" w:themeTint="BF"/>
          <w:right w:val="single" w:sz="8" w:space="0" w:color="8282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D5D5D5" w:themeFill="accent3" w:themeFillTint="3F"/>
      </w:tcPr>
    </w:tblStylePr>
    <w:tblStylePr w:type="band1Horz">
      <w:tblPr/>
      <w:tcPr>
        <w:tcBorders>
          <w:insideH w:val="nil"/>
          <w:insideV w:val="nil"/>
        </w:tcBorders>
        <w:shd w:val="clear" w:color="auto" w:fill="D5D5D5"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63"/>
    <w:semiHidden/>
    <w:rsid w:val="002B5B43"/>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FFFFFF"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63"/>
    <w:semiHidden/>
    <w:rsid w:val="002B5B43"/>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FFFFFF"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63"/>
    <w:semiHidden/>
    <w:rsid w:val="002B5B43"/>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FFFFFF"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FFFFFF"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FFFFFF"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959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95959" w:themeFill="accent3"/>
      </w:tcPr>
    </w:tblStylePr>
    <w:tblStylePr w:type="lastCol">
      <w:rPr>
        <w:b/>
        <w:bCs/>
        <w:color w:val="FFFFFF" w:themeColor="background1"/>
      </w:rPr>
      <w:tblPr/>
      <w:tcPr>
        <w:tcBorders>
          <w:left w:val="nil"/>
          <w:right w:val="nil"/>
          <w:insideH w:val="nil"/>
          <w:insideV w:val="nil"/>
        </w:tcBorders>
        <w:shd w:val="clear" w:color="auto" w:fill="5959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FFFFFF"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FFFFFF"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64"/>
    <w:semiHidden/>
    <w:rsid w:val="002B5B43"/>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FFFFFF"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8"/>
    <w:semiHidden/>
    <w:rsid w:val="002B5B43"/>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NagwekwiadomociZnak">
    <w:name w:val="Nagłówek wiadomości Znak"/>
    <w:basedOn w:val="Domylnaczcionkaakapitu"/>
    <w:link w:val="Nagwekwiadomoci"/>
    <w:uiPriority w:val="98"/>
    <w:semiHidden/>
    <w:rsid w:val="002B5B43"/>
    <w:rPr>
      <w:rFonts w:asciiTheme="majorHAnsi" w:eastAsiaTheme="majorEastAsia" w:hAnsiTheme="majorHAnsi" w:cstheme="majorBidi"/>
      <w:sz w:val="24"/>
      <w:szCs w:val="24"/>
      <w:shd w:val="pct20" w:color="auto" w:fill="auto"/>
      <w:lang w:val="pl-PL"/>
    </w:rPr>
  </w:style>
  <w:style w:type="paragraph" w:styleId="NormalnyWeb">
    <w:name w:val="Normal (Web)"/>
    <w:basedOn w:val="Normalny"/>
    <w:uiPriority w:val="98"/>
    <w:semiHidden/>
    <w:rsid w:val="002B5B43"/>
    <w:rPr>
      <w:rFonts w:ascii="Times New Roman" w:hAnsi="Times New Roman" w:cs="Times New Roman"/>
    </w:rPr>
  </w:style>
  <w:style w:type="paragraph" w:styleId="Wcicienormalne">
    <w:name w:val="Normal Indent"/>
    <w:basedOn w:val="Normalny"/>
    <w:uiPriority w:val="98"/>
    <w:semiHidden/>
    <w:rsid w:val="002B5B43"/>
    <w:pPr>
      <w:ind w:left="720"/>
    </w:pPr>
  </w:style>
  <w:style w:type="paragraph" w:styleId="Nagweknotatki">
    <w:name w:val="Note Heading"/>
    <w:basedOn w:val="Normalny"/>
    <w:next w:val="Normalny"/>
    <w:link w:val="NagweknotatkiZnak"/>
    <w:uiPriority w:val="98"/>
    <w:semiHidden/>
    <w:rsid w:val="002B5B43"/>
  </w:style>
  <w:style w:type="character" w:customStyle="1" w:styleId="NagweknotatkiZnak">
    <w:name w:val="Nagłówek notatki Znak"/>
    <w:basedOn w:val="Domylnaczcionkaakapitu"/>
    <w:link w:val="Nagweknotatki"/>
    <w:uiPriority w:val="98"/>
    <w:semiHidden/>
    <w:rsid w:val="002B5B43"/>
    <w:rPr>
      <w:sz w:val="24"/>
      <w:szCs w:val="24"/>
      <w:lang w:val="pl-PL"/>
    </w:rPr>
  </w:style>
  <w:style w:type="character" w:styleId="Tekstzastpczy">
    <w:name w:val="Placeholder Text"/>
    <w:basedOn w:val="Domylnaczcionkaakapitu"/>
    <w:uiPriority w:val="98"/>
    <w:semiHidden/>
    <w:rsid w:val="002B5B43"/>
    <w:rPr>
      <w:color w:val="auto"/>
      <w:bdr w:val="none" w:sz="0" w:space="0" w:color="auto"/>
      <w:shd w:val="clear" w:color="auto" w:fill="DFDFDF" w:themeFill="background2" w:themeFillShade="E6"/>
    </w:rPr>
  </w:style>
  <w:style w:type="paragraph" w:styleId="Zwykytekst">
    <w:name w:val="Plain Text"/>
    <w:basedOn w:val="Normalny"/>
    <w:link w:val="ZwykytekstZnak"/>
    <w:uiPriority w:val="98"/>
    <w:semiHidden/>
    <w:rsid w:val="002B5B43"/>
    <w:rPr>
      <w:rFonts w:ascii="Consolas" w:hAnsi="Consolas" w:cs="Consolas"/>
      <w:sz w:val="21"/>
      <w:szCs w:val="21"/>
    </w:rPr>
  </w:style>
  <w:style w:type="character" w:customStyle="1" w:styleId="ZwykytekstZnak">
    <w:name w:val="Zwykły tekst Znak"/>
    <w:basedOn w:val="Domylnaczcionkaakapitu"/>
    <w:link w:val="Zwykytekst"/>
    <w:uiPriority w:val="98"/>
    <w:semiHidden/>
    <w:rsid w:val="002B5B43"/>
    <w:rPr>
      <w:rFonts w:ascii="Consolas" w:hAnsi="Consolas" w:cs="Consolas"/>
      <w:sz w:val="21"/>
      <w:szCs w:val="21"/>
      <w:lang w:val="pl-PL"/>
    </w:rPr>
  </w:style>
  <w:style w:type="paragraph" w:styleId="Zwrotgrzecznociowy">
    <w:name w:val="Salutation"/>
    <w:basedOn w:val="Normalny"/>
    <w:next w:val="Normalny"/>
    <w:link w:val="ZwrotgrzecznociowyZnak"/>
    <w:uiPriority w:val="98"/>
    <w:semiHidden/>
    <w:rsid w:val="002B5B43"/>
  </w:style>
  <w:style w:type="character" w:customStyle="1" w:styleId="ZwrotgrzecznociowyZnak">
    <w:name w:val="Zwrot grzecznościowy Znak"/>
    <w:basedOn w:val="Domylnaczcionkaakapitu"/>
    <w:link w:val="Zwrotgrzecznociowy"/>
    <w:uiPriority w:val="98"/>
    <w:semiHidden/>
    <w:rsid w:val="002B5B43"/>
    <w:rPr>
      <w:sz w:val="24"/>
      <w:szCs w:val="24"/>
      <w:lang w:val="pl-PL"/>
    </w:rPr>
  </w:style>
  <w:style w:type="paragraph" w:styleId="Podpis">
    <w:name w:val="Signature"/>
    <w:basedOn w:val="Normalny"/>
    <w:link w:val="PodpisZnak"/>
    <w:uiPriority w:val="98"/>
    <w:semiHidden/>
    <w:rsid w:val="002B5B43"/>
    <w:pPr>
      <w:ind w:left="4252"/>
    </w:pPr>
  </w:style>
  <w:style w:type="character" w:customStyle="1" w:styleId="PodpisZnak">
    <w:name w:val="Podpis Znak"/>
    <w:basedOn w:val="Domylnaczcionkaakapitu"/>
    <w:link w:val="Podpis"/>
    <w:uiPriority w:val="98"/>
    <w:semiHidden/>
    <w:rsid w:val="002B5B43"/>
    <w:rPr>
      <w:sz w:val="24"/>
      <w:szCs w:val="24"/>
      <w:lang w:val="pl-PL"/>
    </w:rPr>
  </w:style>
  <w:style w:type="table" w:styleId="Tabela-Efekty3D1">
    <w:name w:val="Table 3D effects 1"/>
    <w:basedOn w:val="Standardowy"/>
    <w:uiPriority w:val="99"/>
    <w:semiHidden/>
    <w:unhideWhenUsed/>
    <w:rsid w:val="002B5B43"/>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unhideWhenUsed/>
    <w:rsid w:val="002B5B43"/>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unhideWhenUsed/>
    <w:rsid w:val="002B5B43"/>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unhideWhenUsed/>
    <w:rsid w:val="002B5B43"/>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unhideWhenUsed/>
    <w:rsid w:val="002B5B43"/>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unhideWhenUsed/>
    <w:rsid w:val="002B5B43"/>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unhideWhenUsed/>
    <w:rsid w:val="002B5B43"/>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unhideWhenUsed/>
    <w:rsid w:val="002B5B43"/>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unhideWhenUsed/>
    <w:rsid w:val="002B5B43"/>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unhideWhenUsed/>
    <w:rsid w:val="002B5B43"/>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unhideWhenUsed/>
    <w:rsid w:val="002B5B43"/>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unhideWhenUsed/>
    <w:rsid w:val="002B5B43"/>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unhideWhenUsed/>
    <w:rsid w:val="002B5B43"/>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unhideWhenUsed/>
    <w:rsid w:val="002B5B43"/>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unhideWhenUsed/>
    <w:rsid w:val="002B5B43"/>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unhideWhenUsed/>
    <w:rsid w:val="002B5B43"/>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unhideWhenUsed/>
    <w:rsid w:val="002B5B43"/>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unhideWhenUsed/>
    <w:rsid w:val="002B5B43"/>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unhideWhenUsed/>
    <w:rsid w:val="002B5B43"/>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unhideWhenUsed/>
    <w:rsid w:val="002B5B43"/>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unhideWhenUsed/>
    <w:rsid w:val="002B5B43"/>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unhideWhenUsed/>
    <w:rsid w:val="002B5B43"/>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unhideWhenUsed/>
    <w:rsid w:val="002B5B43"/>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unhideWhenUsed/>
    <w:rsid w:val="002B5B43"/>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unhideWhenUsed/>
    <w:rsid w:val="002B5B43"/>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unhideWhenUsed/>
    <w:rsid w:val="002B5B43"/>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8"/>
    <w:semiHidden/>
    <w:rsid w:val="002B5B43"/>
    <w:pPr>
      <w:ind w:left="240" w:hanging="240"/>
    </w:pPr>
  </w:style>
  <w:style w:type="paragraph" w:styleId="Spisilustracji">
    <w:name w:val="table of figures"/>
    <w:basedOn w:val="Normalny"/>
    <w:next w:val="Normalny"/>
    <w:uiPriority w:val="98"/>
    <w:semiHidden/>
    <w:rsid w:val="002B5B43"/>
  </w:style>
  <w:style w:type="table" w:styleId="Tabela-Profesjonalny">
    <w:name w:val="Table Professional"/>
    <w:basedOn w:val="Standardowy"/>
    <w:uiPriority w:val="99"/>
    <w:semiHidden/>
    <w:unhideWhenUsed/>
    <w:rsid w:val="002B5B43"/>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unhideWhenUsed/>
    <w:rsid w:val="002B5B43"/>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unhideWhenUsed/>
    <w:rsid w:val="002B5B43"/>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unhideWhenUsed/>
    <w:rsid w:val="002B5B43"/>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unhideWhenUsed/>
    <w:rsid w:val="002B5B43"/>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unhideWhenUsed/>
    <w:rsid w:val="002B5B43"/>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unhideWhenUsed/>
    <w:rsid w:val="002B5B43"/>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unhideWhenUsed/>
    <w:rsid w:val="002B5B43"/>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unhideWhenUsed/>
    <w:rsid w:val="002B5B43"/>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unhideWhenUsed/>
    <w:rsid w:val="002B5B43"/>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8"/>
    <w:semiHidden/>
    <w:rsid w:val="002B5B43"/>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8"/>
    <w:semiHidden/>
    <w:rsid w:val="002B5B43"/>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8"/>
    <w:semiHidden/>
    <w:rsid w:val="002B5B43"/>
    <w:pPr>
      <w:spacing w:after="100"/>
      <w:ind w:left="1680"/>
    </w:pPr>
  </w:style>
  <w:style w:type="paragraph" w:styleId="Spistreci9">
    <w:name w:val="toc 9"/>
    <w:basedOn w:val="Normalny"/>
    <w:next w:val="Normalny"/>
    <w:autoRedefine/>
    <w:uiPriority w:val="98"/>
    <w:semiHidden/>
    <w:rsid w:val="002B5B43"/>
    <w:pPr>
      <w:spacing w:after="100"/>
      <w:ind w:left="1920"/>
    </w:pPr>
  </w:style>
  <w:style w:type="paragraph" w:customStyle="1" w:styleId="ECHRFooter">
    <w:name w:val="ECHR_Footer"/>
    <w:aliases w:val="Footer_ECHR"/>
    <w:basedOn w:val="Stopka"/>
    <w:uiPriority w:val="57"/>
    <w:semiHidden/>
    <w:rsid w:val="0064393B"/>
    <w:rPr>
      <w:sz w:val="8"/>
    </w:rPr>
  </w:style>
  <w:style w:type="paragraph" w:customStyle="1" w:styleId="ECHRFooterLine">
    <w:name w:val="ECHR_Footer_Line"/>
    <w:aliases w:val="_Footer_Line"/>
    <w:basedOn w:val="Normalny"/>
    <w:next w:val="Normalny"/>
    <w:uiPriority w:val="30"/>
    <w:semiHidden/>
    <w:rsid w:val="002B5B43"/>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B5B43"/>
    <w:pPr>
      <w:keepNext/>
      <w:keepLines/>
      <w:spacing w:after="280"/>
      <w:ind w:firstLine="0"/>
      <w:jc w:val="center"/>
    </w:pPr>
    <w:rPr>
      <w:rFonts w:asciiTheme="majorHAnsi" w:hAnsiTheme="majorHAnsi"/>
    </w:rPr>
  </w:style>
  <w:style w:type="paragraph" w:customStyle="1" w:styleId="JuTitle">
    <w:name w:val="Ju_Title"/>
    <w:aliases w:val="_Title_2"/>
    <w:basedOn w:val="Normalny"/>
    <w:next w:val="JuPara"/>
    <w:uiPriority w:val="38"/>
    <w:qFormat/>
    <w:rsid w:val="002B5B43"/>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B5B43"/>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B5B43"/>
    <w:pPr>
      <w:numPr>
        <w:numId w:val="7"/>
      </w:numPr>
      <w:spacing w:before="60" w:after="60"/>
    </w:pPr>
  </w:style>
  <w:style w:type="paragraph" w:customStyle="1" w:styleId="ECHRBullet2">
    <w:name w:val="ECHR_Bullet_2"/>
    <w:aliases w:val="_Bul_2"/>
    <w:basedOn w:val="ECHRBullet1"/>
    <w:uiPriority w:val="23"/>
    <w:semiHidden/>
    <w:rsid w:val="002B5B43"/>
    <w:pPr>
      <w:numPr>
        <w:ilvl w:val="1"/>
      </w:numPr>
    </w:pPr>
  </w:style>
  <w:style w:type="paragraph" w:customStyle="1" w:styleId="ECHRBullet3">
    <w:name w:val="ECHR_Bullet_3"/>
    <w:aliases w:val="_Bul_3"/>
    <w:basedOn w:val="ECHRBullet2"/>
    <w:uiPriority w:val="23"/>
    <w:semiHidden/>
    <w:rsid w:val="002B5B43"/>
    <w:pPr>
      <w:numPr>
        <w:ilvl w:val="2"/>
      </w:numPr>
    </w:pPr>
  </w:style>
  <w:style w:type="paragraph" w:customStyle="1" w:styleId="ECHRBullet4">
    <w:name w:val="ECHR_Bullet_4"/>
    <w:aliases w:val="_Bul_4"/>
    <w:basedOn w:val="ECHRBullet3"/>
    <w:uiPriority w:val="23"/>
    <w:semiHidden/>
    <w:rsid w:val="002B5B43"/>
    <w:pPr>
      <w:numPr>
        <w:ilvl w:val="3"/>
      </w:numPr>
    </w:pPr>
  </w:style>
  <w:style w:type="paragraph" w:customStyle="1" w:styleId="ECHRConfidential">
    <w:name w:val="ECHR_Confidential"/>
    <w:aliases w:val="_Confidential"/>
    <w:basedOn w:val="Normalny"/>
    <w:next w:val="Normalny"/>
    <w:uiPriority w:val="42"/>
    <w:semiHidden/>
    <w:qFormat/>
    <w:rsid w:val="002B5B43"/>
    <w:pPr>
      <w:jc w:val="right"/>
    </w:pPr>
    <w:rPr>
      <w:color w:val="C00000"/>
      <w:sz w:val="20"/>
    </w:rPr>
  </w:style>
  <w:style w:type="paragraph" w:customStyle="1" w:styleId="ECHRDecisionBody">
    <w:name w:val="ECHR_Decision_Body"/>
    <w:aliases w:val="_Decision_Body"/>
    <w:basedOn w:val="NormalJustified"/>
    <w:uiPriority w:val="54"/>
    <w:semiHidden/>
    <w:rsid w:val="002B5B43"/>
    <w:pPr>
      <w:tabs>
        <w:tab w:val="left" w:pos="567"/>
        <w:tab w:val="left" w:pos="1134"/>
      </w:tabs>
      <w:spacing w:line="240" w:lineRule="exact"/>
      <w:jc w:val="left"/>
    </w:pPr>
  </w:style>
  <w:style w:type="paragraph" w:customStyle="1" w:styleId="ECHRDivisionName">
    <w:name w:val="ECHR_DivisionName"/>
    <w:aliases w:val="_Div_Name"/>
    <w:basedOn w:val="Normalny"/>
    <w:link w:val="ECHRDivisionNameChar"/>
    <w:uiPriority w:val="41"/>
    <w:semiHidden/>
    <w:qFormat/>
    <w:rsid w:val="002B5B43"/>
    <w:pPr>
      <w:contextualSpacing/>
      <w:jc w:val="center"/>
    </w:pPr>
    <w:rPr>
      <w:rFonts w:ascii="Arial" w:hAnsi="Arial"/>
      <w:i/>
      <w:color w:val="002856"/>
      <w:sz w:val="32"/>
    </w:rPr>
  </w:style>
  <w:style w:type="character" w:customStyle="1" w:styleId="ECHRDivisionNameChar">
    <w:name w:val="ECHR_DivisionName Char"/>
    <w:aliases w:val="_Div_Name Char"/>
    <w:basedOn w:val="Domylnaczcionkaakapitu"/>
    <w:link w:val="ECHRDivisionName"/>
    <w:uiPriority w:val="41"/>
    <w:semiHidden/>
    <w:rsid w:val="002B5B43"/>
    <w:rPr>
      <w:rFonts w:ascii="Arial" w:hAnsi="Arial"/>
      <w:i/>
      <w:color w:val="002856"/>
      <w:sz w:val="32"/>
      <w:szCs w:val="24"/>
      <w:lang w:val="pl-PL"/>
    </w:rPr>
  </w:style>
  <w:style w:type="paragraph" w:customStyle="1" w:styleId="ECHRFooterLineLandscape">
    <w:name w:val="ECHR_Footer_Line_Landscape"/>
    <w:aliases w:val="_Footer_Line_Landscape"/>
    <w:basedOn w:val="Normalny"/>
    <w:uiPriority w:val="30"/>
    <w:semiHidden/>
    <w:rsid w:val="002B5B43"/>
    <w:pPr>
      <w:pBdr>
        <w:top w:val="single" w:sz="8" w:space="1" w:color="7F7F7F" w:themeColor="text1" w:themeTint="80"/>
      </w:pBdr>
      <w:tabs>
        <w:tab w:val="center" w:pos="6146"/>
        <w:tab w:val="right" w:pos="12293"/>
      </w:tabs>
      <w:ind w:left="-1474" w:right="-1474"/>
    </w:pPr>
    <w:rPr>
      <w:color w:val="424242" w:themeColor="accent3" w:themeShade="BF"/>
      <w:sz w:val="22"/>
    </w:rPr>
  </w:style>
  <w:style w:type="paragraph" w:customStyle="1" w:styleId="ECHRHeaderDate">
    <w:name w:val="ECHR_Header_Date"/>
    <w:aliases w:val="_Ref_Date"/>
    <w:basedOn w:val="Normalny"/>
    <w:uiPriority w:val="44"/>
    <w:semiHidden/>
    <w:qFormat/>
    <w:rsid w:val="002B5B43"/>
    <w:pPr>
      <w:jc w:val="right"/>
    </w:pPr>
    <w:rPr>
      <w:sz w:val="20"/>
    </w:rPr>
  </w:style>
  <w:style w:type="paragraph" w:customStyle="1" w:styleId="ECHRHeaderRefIt">
    <w:name w:val="ECHR_Header_Ref_It"/>
    <w:aliases w:val="_Ref_Ital"/>
    <w:basedOn w:val="Normalny"/>
    <w:next w:val="ECHRHeaderDate"/>
    <w:uiPriority w:val="43"/>
    <w:qFormat/>
    <w:rsid w:val="002B5B43"/>
    <w:pPr>
      <w:jc w:val="right"/>
    </w:pPr>
    <w:rPr>
      <w:i/>
      <w:sz w:val="20"/>
    </w:rPr>
  </w:style>
  <w:style w:type="paragraph" w:customStyle="1" w:styleId="ECHRHeading9">
    <w:name w:val="ECHR_Heading_9"/>
    <w:aliases w:val="_Head_9"/>
    <w:basedOn w:val="Nagwek9"/>
    <w:uiPriority w:val="17"/>
    <w:semiHidden/>
    <w:rsid w:val="002B5B43"/>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ny"/>
    <w:uiPriority w:val="46"/>
    <w:semiHidden/>
    <w:rsid w:val="002B5B43"/>
    <w:pPr>
      <w:pBdr>
        <w:bottom w:val="single" w:sz="12" w:space="1" w:color="838383" w:themeColor="text2" w:themeShade="BF"/>
      </w:pBdr>
      <w:spacing w:after="120"/>
    </w:pPr>
    <w:rPr>
      <w:sz w:val="12"/>
    </w:rPr>
  </w:style>
  <w:style w:type="paragraph" w:customStyle="1" w:styleId="ECHRNumberedList1">
    <w:name w:val="ECHR_Numbered_List_1"/>
    <w:aliases w:val="_Num_1"/>
    <w:basedOn w:val="NormalJustified"/>
    <w:uiPriority w:val="23"/>
    <w:semiHidden/>
    <w:qFormat/>
    <w:rsid w:val="002B5B43"/>
    <w:pPr>
      <w:numPr>
        <w:numId w:val="8"/>
      </w:numPr>
      <w:spacing w:before="60" w:after="60"/>
    </w:pPr>
  </w:style>
  <w:style w:type="paragraph" w:customStyle="1" w:styleId="ECHRNumberedList2">
    <w:name w:val="ECHR_Numbered_List_2"/>
    <w:aliases w:val="_Num_2"/>
    <w:basedOn w:val="ECHRNumberedList1"/>
    <w:uiPriority w:val="23"/>
    <w:semiHidden/>
    <w:rsid w:val="002B5B43"/>
    <w:pPr>
      <w:numPr>
        <w:ilvl w:val="1"/>
      </w:numPr>
    </w:pPr>
  </w:style>
  <w:style w:type="paragraph" w:customStyle="1" w:styleId="ECHRNumberedList3">
    <w:name w:val="ECHR_Numbered_List_3"/>
    <w:aliases w:val="_Num_3"/>
    <w:basedOn w:val="ECHRNumberedList2"/>
    <w:uiPriority w:val="23"/>
    <w:semiHidden/>
    <w:rsid w:val="002B5B43"/>
    <w:pPr>
      <w:numPr>
        <w:ilvl w:val="2"/>
      </w:numPr>
    </w:pPr>
  </w:style>
  <w:style w:type="paragraph" w:customStyle="1" w:styleId="ECHRParaHanging">
    <w:name w:val="ECHR_Para_Hanging"/>
    <w:aliases w:val="_Hanging"/>
    <w:basedOn w:val="NormalJustified"/>
    <w:uiPriority w:val="8"/>
    <w:semiHidden/>
    <w:qFormat/>
    <w:rsid w:val="002B5B43"/>
    <w:pPr>
      <w:ind w:left="567" w:hanging="567"/>
    </w:pPr>
  </w:style>
  <w:style w:type="paragraph" w:customStyle="1" w:styleId="ECHRParaIndent">
    <w:name w:val="ECHR_Para_Indent"/>
    <w:aliases w:val="_Indent"/>
    <w:basedOn w:val="NormalJustified"/>
    <w:uiPriority w:val="7"/>
    <w:semiHidden/>
    <w:qFormat/>
    <w:rsid w:val="002B5B43"/>
    <w:pPr>
      <w:spacing w:before="120" w:after="120"/>
      <w:ind w:left="284"/>
    </w:pPr>
  </w:style>
  <w:style w:type="character" w:customStyle="1" w:styleId="ECHRRed">
    <w:name w:val="ECHR_Red"/>
    <w:aliases w:val="_Red"/>
    <w:basedOn w:val="Domylnaczcionkaakapitu"/>
    <w:uiPriority w:val="15"/>
    <w:semiHidden/>
    <w:qFormat/>
    <w:rsid w:val="002B5B43"/>
    <w:rPr>
      <w:color w:val="C00000" w:themeColor="accent2"/>
    </w:rPr>
  </w:style>
  <w:style w:type="paragraph" w:customStyle="1" w:styleId="DecList">
    <w:name w:val="Dec_List"/>
    <w:aliases w:val="_List"/>
    <w:basedOn w:val="JuList"/>
    <w:uiPriority w:val="22"/>
    <w:rsid w:val="002B5B43"/>
    <w:pPr>
      <w:numPr>
        <w:numId w:val="0"/>
      </w:numPr>
      <w:ind w:left="284"/>
    </w:pPr>
  </w:style>
  <w:style w:type="table" w:customStyle="1" w:styleId="ECHRTable2">
    <w:name w:val="ECHR_Table_2"/>
    <w:basedOn w:val="Standardowy"/>
    <w:uiPriority w:val="99"/>
    <w:rsid w:val="002B5B43"/>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Standardowy"/>
    <w:uiPriority w:val="99"/>
    <w:rsid w:val="002B5B43"/>
    <w:rPr>
      <w:sz w:val="24"/>
      <w:szCs w:val="24"/>
    </w:rPr>
    <w:tblPr>
      <w:tblStyleRowBandSize w:val="1"/>
      <w:tblStyleColBandSize w:val="1"/>
      <w:jc w:val="center"/>
      <w:tbl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595959"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single" w:sz="4" w:space="0" w:color="595959" w:themeColor="accent3"/>
          <w:insideV w:val="single" w:sz="4" w:space="0" w:color="F8F8F8" w:themeColor="background2"/>
          <w:tl2br w:val="nil"/>
          <w:tr2bl w:val="nil"/>
        </w:tcBorders>
        <w:shd w:val="clear" w:color="auto" w:fill="595959" w:themeFill="accent3"/>
      </w:tcPr>
    </w:tblStylePr>
    <w:tblStylePr w:type="lastRow">
      <w:rPr>
        <w:b/>
        <w:i w:val="0"/>
      </w:rPr>
      <w:tblPr/>
      <w:tcPr>
        <w:tcBorders>
          <w:top w:val="single" w:sz="8" w:space="0" w:color="595959" w:themeColor="accent3"/>
          <w:left w:val="single" w:sz="4" w:space="0" w:color="595959" w:themeColor="accent3"/>
          <w:bottom w:val="single" w:sz="8" w:space="0" w:color="595959" w:themeColor="accent3"/>
          <w:right w:val="single" w:sz="4" w:space="0" w:color="595959" w:themeColor="accent3"/>
          <w:insideH w:val="nil"/>
          <w:insideV w:val="single" w:sz="4" w:space="0" w:color="595959"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lastCol">
      <w:rPr>
        <w:b/>
        <w:i w:val="0"/>
      </w:rPr>
    </w:tblStylePr>
    <w:tblStylePr w:type="band2Vert">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l2br w:val="nil"/>
          <w:tr2bl w:val="nil"/>
        </w:tcBorders>
        <w:shd w:val="clear" w:color="auto" w:fill="DFDFDF"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DFDFDF" w:themeFill="text2" w:themeFillTint="66"/>
      </w:tcPr>
    </w:tblStylePr>
  </w:style>
  <w:style w:type="paragraph" w:customStyle="1" w:styleId="ECHRTitle1">
    <w:name w:val="ECHR_Title_1"/>
    <w:aliases w:val="_Title_L_1"/>
    <w:basedOn w:val="Normalny"/>
    <w:next w:val="Normalny"/>
    <w:uiPriority w:val="28"/>
    <w:semiHidden/>
    <w:qFormat/>
    <w:rsid w:val="002B5B43"/>
    <w:pPr>
      <w:keepNext/>
      <w:keepLines/>
      <w:spacing w:before="240"/>
      <w:contextualSpacing/>
    </w:pPr>
    <w:rPr>
      <w:rFonts w:asciiTheme="majorHAnsi" w:hAnsiTheme="majorHAnsi"/>
      <w:b/>
      <w:color w:val="2C2C2C" w:themeColor="accent3" w:themeShade="80"/>
      <w:sz w:val="32"/>
    </w:rPr>
  </w:style>
  <w:style w:type="paragraph" w:customStyle="1" w:styleId="ECHRTitle2">
    <w:name w:val="ECHR_Title_2"/>
    <w:aliases w:val="_Title_L_2"/>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sz w:val="28"/>
    </w:rPr>
  </w:style>
  <w:style w:type="paragraph" w:customStyle="1" w:styleId="ECHRTitle3">
    <w:name w:val="ECHR_Title_3"/>
    <w:aliases w:val="_Title_L_3"/>
    <w:basedOn w:val="Normalny"/>
    <w:next w:val="Normalny"/>
    <w:uiPriority w:val="28"/>
    <w:semiHidden/>
    <w:qFormat/>
    <w:rsid w:val="002B5B43"/>
    <w:pPr>
      <w:keepNext/>
      <w:keepLines/>
      <w:spacing w:before="240"/>
      <w:contextualSpacing/>
    </w:pPr>
    <w:rPr>
      <w:rFonts w:asciiTheme="majorHAnsi" w:hAnsiTheme="majorHAnsi"/>
      <w:b/>
      <w:color w:val="424242" w:themeColor="accent3" w:themeShade="BF"/>
    </w:rPr>
  </w:style>
  <w:style w:type="paragraph" w:customStyle="1" w:styleId="ECHRTitleCentre1">
    <w:name w:val="ECHR_Title_Centre_1"/>
    <w:aliases w:val="_Title_C_1"/>
    <w:basedOn w:val="Normalny"/>
    <w:next w:val="Normalny"/>
    <w:uiPriority w:val="26"/>
    <w:semiHidden/>
    <w:qFormat/>
    <w:rsid w:val="002B5B43"/>
    <w:pPr>
      <w:keepNext/>
      <w:keepLines/>
      <w:spacing w:before="240"/>
      <w:contextualSpacing/>
      <w:jc w:val="center"/>
    </w:pPr>
    <w:rPr>
      <w:rFonts w:asciiTheme="majorHAnsi" w:hAnsiTheme="majorHAnsi"/>
      <w:b/>
      <w:color w:val="2C2C2C" w:themeColor="accent3" w:themeShade="80"/>
      <w:sz w:val="32"/>
    </w:rPr>
  </w:style>
  <w:style w:type="paragraph" w:customStyle="1" w:styleId="ECHRTitleCentre2">
    <w:name w:val="ECHR_Title_Centre_2"/>
    <w:aliases w:val="_Title_C_2"/>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sz w:val="28"/>
    </w:rPr>
  </w:style>
  <w:style w:type="paragraph" w:customStyle="1" w:styleId="ECHRTitleCentre3">
    <w:name w:val="ECHR_Title_Centre_3"/>
    <w:aliases w:val="_Title_C_3"/>
    <w:basedOn w:val="Normalny"/>
    <w:next w:val="Normalny"/>
    <w:uiPriority w:val="26"/>
    <w:semiHidden/>
    <w:qFormat/>
    <w:rsid w:val="002B5B43"/>
    <w:pPr>
      <w:keepNext/>
      <w:keepLines/>
      <w:spacing w:before="240"/>
      <w:contextualSpacing/>
      <w:jc w:val="center"/>
    </w:pPr>
    <w:rPr>
      <w:rFonts w:asciiTheme="majorHAnsi" w:hAnsiTheme="majorHAnsi"/>
      <w:b/>
      <w:color w:val="424242" w:themeColor="accent3" w:themeShade="BF"/>
    </w:rPr>
  </w:style>
  <w:style w:type="paragraph" w:customStyle="1" w:styleId="ECHRTitleCentreTOC1">
    <w:name w:val="ECHR_Title_Centre_TOC_1"/>
    <w:aliases w:val="_Title_C_TOC"/>
    <w:basedOn w:val="ECHRTitleCentre1"/>
    <w:next w:val="Normalny"/>
    <w:uiPriority w:val="25"/>
    <w:semiHidden/>
    <w:qFormat/>
    <w:rsid w:val="002B5B43"/>
    <w:pPr>
      <w:outlineLvl w:val="0"/>
    </w:pPr>
  </w:style>
  <w:style w:type="paragraph" w:customStyle="1" w:styleId="ECHRTitleTOC1">
    <w:name w:val="ECHR_Title_TOC_1"/>
    <w:aliases w:val="_Title_L_TOC"/>
    <w:basedOn w:val="ECHRTitle1"/>
    <w:next w:val="Normalny"/>
    <w:uiPriority w:val="27"/>
    <w:semiHidden/>
    <w:qFormat/>
    <w:rsid w:val="002B5B43"/>
    <w:pPr>
      <w:outlineLvl w:val="0"/>
    </w:pPr>
  </w:style>
  <w:style w:type="paragraph" w:customStyle="1" w:styleId="ECHRPlaceholder">
    <w:name w:val="ECHR_Placeholder"/>
    <w:aliases w:val="_Placeholder"/>
    <w:basedOn w:val="JuSigned"/>
    <w:uiPriority w:val="31"/>
    <w:rsid w:val="002B5B43"/>
    <w:rPr>
      <w:color w:val="FFFFFF"/>
    </w:rPr>
  </w:style>
  <w:style w:type="paragraph" w:customStyle="1" w:styleId="ECHRSpacer">
    <w:name w:val="ECHR_Spacer"/>
    <w:aliases w:val="_Spacer"/>
    <w:basedOn w:val="Normalny"/>
    <w:uiPriority w:val="45"/>
    <w:semiHidden/>
    <w:rsid w:val="002B5B43"/>
    <w:rPr>
      <w:sz w:val="4"/>
    </w:rPr>
  </w:style>
  <w:style w:type="table" w:customStyle="1" w:styleId="ECHRTableGrey">
    <w:name w:val="ECHR_Table_Grey"/>
    <w:basedOn w:val="Standardowy"/>
    <w:uiPriority w:val="99"/>
    <w:rsid w:val="002B5B43"/>
    <w:pPr>
      <w:tabs>
        <w:tab w:val="left" w:pos="397"/>
      </w:tabs>
    </w:pPr>
    <w:tblPr>
      <w:jc w:val="center"/>
      <w:tblBorders>
        <w:top w:val="single" w:sz="4" w:space="0" w:color="585858" w:themeColor="text2" w:themeShade="80"/>
        <w:left w:val="single" w:sz="4" w:space="0" w:color="585858" w:themeColor="text2" w:themeShade="80"/>
        <w:bottom w:val="single" w:sz="4" w:space="0" w:color="585858" w:themeColor="text2" w:themeShade="80"/>
        <w:right w:val="single" w:sz="4" w:space="0" w:color="585858"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Nierozpoznanawzmianka1">
    <w:name w:val="Nierozpoznana wzmianka1"/>
    <w:basedOn w:val="Domylnaczcionkaakapitu"/>
    <w:uiPriority w:val="99"/>
    <w:semiHidden/>
    <w:unhideWhenUsed/>
    <w:rsid w:val="002B5B43"/>
    <w:rPr>
      <w:color w:val="605E5C"/>
      <w:shd w:val="clear" w:color="auto" w:fill="E1DFDD"/>
    </w:rPr>
  </w:style>
  <w:style w:type="character" w:customStyle="1" w:styleId="JuParaChar">
    <w:name w:val="Ju_Para Char"/>
    <w:aliases w:val="_Para Char"/>
    <w:link w:val="JuPara"/>
    <w:uiPriority w:val="4"/>
    <w:rsid w:val="00E96881"/>
    <w:rPr>
      <w:sz w:val="24"/>
      <w:szCs w:val="24"/>
      <w:lang w:val="pl-PL"/>
    </w:rPr>
  </w:style>
  <w:style w:type="table" w:styleId="Tabelasiatki1jasna">
    <w:name w:val="Grid Table 1 Light"/>
    <w:basedOn w:val="Standardowy"/>
    <w:uiPriority w:val="46"/>
    <w:semiHidden/>
    <w:rsid w:val="00E96881"/>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E96881"/>
    <w:pPr>
      <w:numPr>
        <w:ilvl w:val="0"/>
        <w:numId w:val="0"/>
      </w:numPr>
      <w:tabs>
        <w:tab w:val="num" w:pos="1701"/>
      </w:tabs>
      <w:spacing w:before="60" w:after="60" w:line="240" w:lineRule="exact"/>
      <w:ind w:left="1703" w:hanging="284"/>
      <w:contextualSpacing/>
    </w:pPr>
    <w:rPr>
      <w:sz w:val="22"/>
      <w:lang w:eastAsia="fr-FR"/>
    </w:rPr>
  </w:style>
  <w:style w:type="table" w:styleId="Tabelasiatki1jasnaakcent1">
    <w:name w:val="Grid Table 1 Light Accent 1"/>
    <w:basedOn w:val="Standardowy"/>
    <w:uiPriority w:val="46"/>
    <w:semiHidden/>
    <w:rsid w:val="00E96881"/>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Tabelasiatki1jasnaakcent2">
    <w:name w:val="Grid Table 1 Light Accent 2"/>
    <w:basedOn w:val="Standardowy"/>
    <w:uiPriority w:val="46"/>
    <w:semiHidden/>
    <w:rsid w:val="00E96881"/>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Tabelasiatki1jasnaakcent3">
    <w:name w:val="Grid Table 1 Light Accent 3"/>
    <w:basedOn w:val="Standardowy"/>
    <w:uiPriority w:val="46"/>
    <w:semiHidden/>
    <w:rsid w:val="00E96881"/>
    <w:tblPr>
      <w:tblStyleRowBandSize w:val="1"/>
      <w:tblStyleColBandSize w:val="1"/>
      <w:tblBorders>
        <w:top w:val="single" w:sz="4" w:space="0" w:color="BCBCBC" w:themeColor="accent3" w:themeTint="66"/>
        <w:left w:val="single" w:sz="4" w:space="0" w:color="BCBCBC" w:themeColor="accent3" w:themeTint="66"/>
        <w:bottom w:val="single" w:sz="4" w:space="0" w:color="BCBCBC" w:themeColor="accent3" w:themeTint="66"/>
        <w:right w:val="single" w:sz="4" w:space="0" w:color="BCBCBC" w:themeColor="accent3" w:themeTint="66"/>
        <w:insideH w:val="single" w:sz="4" w:space="0" w:color="BCBCBC" w:themeColor="accent3" w:themeTint="66"/>
        <w:insideV w:val="single" w:sz="4" w:space="0" w:color="BCBCBC" w:themeColor="accent3" w:themeTint="66"/>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2" w:space="0" w:color="9B9B9B" w:themeColor="accent3" w:themeTint="99"/>
        </w:tcBorders>
      </w:tcPr>
    </w:tblStylePr>
    <w:tblStylePr w:type="firstCol">
      <w:rPr>
        <w:b/>
        <w:bCs/>
      </w:rPr>
    </w:tblStylePr>
    <w:tblStylePr w:type="lastCol">
      <w:rPr>
        <w:b/>
        <w:bCs/>
      </w:rPr>
    </w:tblStylePr>
  </w:style>
  <w:style w:type="table" w:styleId="Tabelasiatki1jasnaakcent4">
    <w:name w:val="Grid Table 1 Light Accent 4"/>
    <w:basedOn w:val="Standardowy"/>
    <w:uiPriority w:val="46"/>
    <w:semiHidden/>
    <w:rsid w:val="00E96881"/>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Tabelasiatki1jasnaakcent5">
    <w:name w:val="Grid Table 1 Light Accent 5"/>
    <w:basedOn w:val="Standardowy"/>
    <w:uiPriority w:val="46"/>
    <w:semiHidden/>
    <w:rsid w:val="00E96881"/>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Tabelasiatki1jasnaakcent6">
    <w:name w:val="Grid Table 1 Light Accent 6"/>
    <w:basedOn w:val="Standardowy"/>
    <w:uiPriority w:val="46"/>
    <w:semiHidden/>
    <w:rsid w:val="00E96881"/>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Tabelasiatki2">
    <w:name w:val="Grid Table 2"/>
    <w:basedOn w:val="Standardowy"/>
    <w:uiPriority w:val="47"/>
    <w:semiHidden/>
    <w:rsid w:val="00E96881"/>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2akcent1">
    <w:name w:val="Grid Table 2 Accent 1"/>
    <w:basedOn w:val="Standardowy"/>
    <w:uiPriority w:val="47"/>
    <w:semiHidden/>
    <w:rsid w:val="00E96881"/>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FFFFFF" w:themeFill="background1"/>
      </w:tcPr>
    </w:tblStylePr>
    <w:tblStylePr w:type="lastRow">
      <w:rPr>
        <w:b/>
        <w:bCs/>
      </w:rPr>
      <w:tblPr/>
      <w:tcPr>
        <w:tcBorders>
          <w:top w:val="double" w:sz="2" w:space="0" w:color="3DB2FF"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2akcent2">
    <w:name w:val="Grid Table 2 Accent 2"/>
    <w:basedOn w:val="Standardowy"/>
    <w:uiPriority w:val="47"/>
    <w:semiHidden/>
    <w:rsid w:val="00E96881"/>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FFFFFF" w:themeFill="background1"/>
      </w:tcPr>
    </w:tblStylePr>
    <w:tblStylePr w:type="lastRow">
      <w:rPr>
        <w:b/>
        <w:bCs/>
      </w:rPr>
      <w:tblPr/>
      <w:tcPr>
        <w:tcBorders>
          <w:top w:val="double" w:sz="2" w:space="0" w:color="FF4040"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2akcent3">
    <w:name w:val="Grid Table 2 Accent 3"/>
    <w:basedOn w:val="Standardowy"/>
    <w:uiPriority w:val="47"/>
    <w:semiHidden/>
    <w:rsid w:val="00E96881"/>
    <w:tblPr>
      <w:tblStyleRowBandSize w:val="1"/>
      <w:tblStyleColBandSize w:val="1"/>
      <w:tblBorders>
        <w:top w:val="single" w:sz="2" w:space="0" w:color="9B9B9B" w:themeColor="accent3" w:themeTint="99"/>
        <w:bottom w:val="single" w:sz="2" w:space="0" w:color="9B9B9B" w:themeColor="accent3" w:themeTint="99"/>
        <w:insideH w:val="single" w:sz="2" w:space="0" w:color="9B9B9B" w:themeColor="accent3" w:themeTint="99"/>
        <w:insideV w:val="single" w:sz="2" w:space="0" w:color="9B9B9B" w:themeColor="accent3" w:themeTint="99"/>
      </w:tblBorders>
    </w:tblPr>
    <w:tblStylePr w:type="firstRow">
      <w:rPr>
        <w:b/>
        <w:bCs/>
      </w:rPr>
      <w:tblPr/>
      <w:tcPr>
        <w:tcBorders>
          <w:top w:val="nil"/>
          <w:bottom w:val="single" w:sz="12" w:space="0" w:color="9B9B9B" w:themeColor="accent3" w:themeTint="99"/>
          <w:insideH w:val="nil"/>
          <w:insideV w:val="nil"/>
        </w:tcBorders>
        <w:shd w:val="clear" w:color="auto" w:fill="FFFFFF" w:themeFill="background1"/>
      </w:tcPr>
    </w:tblStylePr>
    <w:tblStylePr w:type="lastRow">
      <w:rPr>
        <w:b/>
        <w:bCs/>
      </w:rPr>
      <w:tblPr/>
      <w:tcPr>
        <w:tcBorders>
          <w:top w:val="double" w:sz="2" w:space="0" w:color="9B9B9B"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2akcent4">
    <w:name w:val="Grid Table 2 Accent 4"/>
    <w:basedOn w:val="Standardowy"/>
    <w:uiPriority w:val="47"/>
    <w:semiHidden/>
    <w:rsid w:val="00E96881"/>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FFFFFF" w:themeFill="background1"/>
      </w:tcPr>
    </w:tblStylePr>
    <w:tblStylePr w:type="lastRow">
      <w:rPr>
        <w:b/>
        <w:bCs/>
      </w:rPr>
      <w:tblPr/>
      <w:tcPr>
        <w:tcBorders>
          <w:top w:val="double" w:sz="2" w:space="0" w:color="C0C0C0"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2akcent5">
    <w:name w:val="Grid Table 2 Accent 5"/>
    <w:basedOn w:val="Standardowy"/>
    <w:uiPriority w:val="47"/>
    <w:semiHidden/>
    <w:rsid w:val="00E96881"/>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FFFFFF" w:themeFill="background1"/>
      </w:tcPr>
    </w:tblStylePr>
    <w:tblStylePr w:type="lastRow">
      <w:rPr>
        <w:b/>
        <w:bCs/>
      </w:rPr>
      <w:tblPr/>
      <w:tcPr>
        <w:tcBorders>
          <w:top w:val="double" w:sz="2" w:space="0" w:color="9F9F9F"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2akcent6">
    <w:name w:val="Grid Table 2 Accent 6"/>
    <w:basedOn w:val="Standardowy"/>
    <w:uiPriority w:val="47"/>
    <w:semiHidden/>
    <w:rsid w:val="00E96881"/>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FFFFFF" w:themeFill="background1"/>
      </w:tcPr>
    </w:tblStylePr>
    <w:tblStylePr w:type="lastRow">
      <w:rPr>
        <w:b/>
        <w:bCs/>
      </w:rPr>
      <w:tblPr/>
      <w:tcPr>
        <w:tcBorders>
          <w:top w:val="double" w:sz="2" w:space="0" w:color="949494"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3">
    <w:name w:val="Grid Table 3"/>
    <w:basedOn w:val="Standardowy"/>
    <w:uiPriority w:val="48"/>
    <w:semiHidden/>
    <w:rsid w:val="00E9688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3akcent1">
    <w:name w:val="Grid Table 3 Accent 1"/>
    <w:basedOn w:val="Standardowy"/>
    <w:uiPriority w:val="48"/>
    <w:semiHidden/>
    <w:rsid w:val="00E9688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3akcent2">
    <w:name w:val="Grid Table 3 Accent 2"/>
    <w:basedOn w:val="Standardowy"/>
    <w:uiPriority w:val="48"/>
    <w:semiHidden/>
    <w:rsid w:val="00E9688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3akcent3">
    <w:name w:val="Grid Table 3 Accent 3"/>
    <w:basedOn w:val="Standardowy"/>
    <w:uiPriority w:val="48"/>
    <w:semiHidden/>
    <w:rsid w:val="00E9688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3akcent4">
    <w:name w:val="Grid Table 3 Accent 4"/>
    <w:basedOn w:val="Standardowy"/>
    <w:uiPriority w:val="48"/>
    <w:semiHidden/>
    <w:rsid w:val="00E9688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3akcent5">
    <w:name w:val="Grid Table 3 Accent 5"/>
    <w:basedOn w:val="Standardowy"/>
    <w:uiPriority w:val="48"/>
    <w:semiHidden/>
    <w:rsid w:val="00E9688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3akcent6">
    <w:name w:val="Grid Table 3 Accent 6"/>
    <w:basedOn w:val="Standardowy"/>
    <w:uiPriority w:val="48"/>
    <w:semiHidden/>
    <w:rsid w:val="00E9688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Tabelasiatki4">
    <w:name w:val="Grid Table 4"/>
    <w:basedOn w:val="Standardowy"/>
    <w:uiPriority w:val="49"/>
    <w:semiHidden/>
    <w:rsid w:val="00E9688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4akcent1">
    <w:name w:val="Grid Table 4 Accent 1"/>
    <w:basedOn w:val="Standardowy"/>
    <w:uiPriority w:val="49"/>
    <w:semiHidden/>
    <w:rsid w:val="00E9688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4akcent2">
    <w:name w:val="Grid Table 4 Accent 2"/>
    <w:basedOn w:val="Standardowy"/>
    <w:uiPriority w:val="49"/>
    <w:semiHidden/>
    <w:rsid w:val="00E9688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4akcent3">
    <w:name w:val="Grid Table 4 Accent 3"/>
    <w:basedOn w:val="Standardowy"/>
    <w:uiPriority w:val="49"/>
    <w:semiHidden/>
    <w:rsid w:val="00E9688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insideV w:val="nil"/>
        </w:tcBorders>
        <w:shd w:val="clear" w:color="auto" w:fill="595959" w:themeFill="accent3"/>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4akcent4">
    <w:name w:val="Grid Table 4 Accent 4"/>
    <w:basedOn w:val="Standardowy"/>
    <w:uiPriority w:val="49"/>
    <w:semiHidden/>
    <w:rsid w:val="00E9688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4akcent5">
    <w:name w:val="Grid Table 4 Accent 5"/>
    <w:basedOn w:val="Standardowy"/>
    <w:uiPriority w:val="49"/>
    <w:semiHidden/>
    <w:rsid w:val="00E9688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4akcent6">
    <w:name w:val="Grid Table 4 Accent 6"/>
    <w:basedOn w:val="Standardowy"/>
    <w:uiPriority w:val="49"/>
    <w:semiHidden/>
    <w:rsid w:val="00E9688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5ciemna">
    <w:name w:val="Grid Table 5 Dark"/>
    <w:basedOn w:val="Standardowy"/>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elasiatki5ciemnaakcent1">
    <w:name w:val="Grid Table 5 Dark Accent 1"/>
    <w:basedOn w:val="Standardowy"/>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EE5F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2BC"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2BC"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2BC"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Tabelasiatki5ciemnaakcent2">
    <w:name w:val="Grid Table 5 Dark Accent 2"/>
    <w:basedOn w:val="Standardowy"/>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BFBF"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C00000"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C00000"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C00000"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Tabelasiatki5ciemnaakcent3">
    <w:name w:val="Grid Table 5 Dark Accent 3"/>
    <w:basedOn w:val="Standardowy"/>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DDD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959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959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959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95959" w:themeFill="accent3"/>
      </w:tcPr>
    </w:tblStylePr>
    <w:tblStylePr w:type="band1Vert">
      <w:tblPr/>
      <w:tcPr>
        <w:shd w:val="clear" w:color="auto" w:fill="BCBCBC" w:themeFill="accent3" w:themeFillTint="66"/>
      </w:tcPr>
    </w:tblStylePr>
    <w:tblStylePr w:type="band1Horz">
      <w:tblPr/>
      <w:tcPr>
        <w:shd w:val="clear" w:color="auto" w:fill="BCBCBC" w:themeFill="accent3" w:themeFillTint="66"/>
      </w:tcPr>
    </w:tblStylePr>
  </w:style>
  <w:style w:type="table" w:styleId="Tabelasiatki5ciemnaakcent4">
    <w:name w:val="Grid Table 5 Dark Accent 4"/>
    <w:basedOn w:val="Standardowy"/>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EAEA"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69696"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69696"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69696"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Tabelasiatki5ciemnaakcent5">
    <w:name w:val="Grid Table 5 Dark Accent 5"/>
    <w:basedOn w:val="Standardowy"/>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FDFDF"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F5F5F"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F5F5F"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F5F5F"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Tabelasiatki5ciemnaakcent6">
    <w:name w:val="Grid Table 5 Dark Accent 6"/>
    <w:basedOn w:val="Standardowy"/>
    <w:uiPriority w:val="50"/>
    <w:semiHidden/>
    <w:rsid w:val="00E96881"/>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DBDB"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D4D4D"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D4D4D"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D4D4D"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Tabelasiatki6kolorowa">
    <w:name w:val="Grid Table 6 Colorful"/>
    <w:basedOn w:val="Standardowy"/>
    <w:uiPriority w:val="51"/>
    <w:semiHidden/>
    <w:rsid w:val="00E9688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siatki6kolorowaakcent1">
    <w:name w:val="Grid Table 6 Colorful Accent 1"/>
    <w:basedOn w:val="Standardowy"/>
    <w:uiPriority w:val="51"/>
    <w:semiHidden/>
    <w:rsid w:val="00E9688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siatki6kolorowaakcent2">
    <w:name w:val="Grid Table 6 Colorful Accent 2"/>
    <w:basedOn w:val="Standardowy"/>
    <w:uiPriority w:val="51"/>
    <w:semiHidden/>
    <w:rsid w:val="00E9688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siatki6kolorowaakcent3">
    <w:name w:val="Grid Table 6 Colorful Accent 3"/>
    <w:basedOn w:val="Standardowy"/>
    <w:uiPriority w:val="51"/>
    <w:semiHidden/>
    <w:rsid w:val="00E9688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bottom w:val="single" w:sz="12" w:space="0" w:color="9B9B9B" w:themeColor="accent3" w:themeTint="99"/>
        </w:tcBorders>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siatki6kolorowaakcent4">
    <w:name w:val="Grid Table 6 Colorful Accent 4"/>
    <w:basedOn w:val="Standardowy"/>
    <w:uiPriority w:val="51"/>
    <w:semiHidden/>
    <w:rsid w:val="00E9688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siatki6kolorowaakcent5">
    <w:name w:val="Grid Table 6 Colorful Accent 5"/>
    <w:basedOn w:val="Standardowy"/>
    <w:uiPriority w:val="51"/>
    <w:semiHidden/>
    <w:rsid w:val="00E9688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siatki6kolorowaakcent6">
    <w:name w:val="Grid Table 6 Colorful Accent 6"/>
    <w:basedOn w:val="Standardowy"/>
    <w:uiPriority w:val="51"/>
    <w:semiHidden/>
    <w:rsid w:val="00E9688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siatki7kolorowa">
    <w:name w:val="Grid Table 7 Colorful"/>
    <w:basedOn w:val="Standardowy"/>
    <w:uiPriority w:val="52"/>
    <w:semiHidden/>
    <w:rsid w:val="00E96881"/>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Tabelasiatki7kolorowaakcent1">
    <w:name w:val="Grid Table 7 Colorful Accent 1"/>
    <w:basedOn w:val="Standardowy"/>
    <w:uiPriority w:val="52"/>
    <w:semiHidden/>
    <w:rsid w:val="00E96881"/>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Tabelasiatki7kolorowaakcent2">
    <w:name w:val="Grid Table 7 Colorful Accent 2"/>
    <w:basedOn w:val="Standardowy"/>
    <w:uiPriority w:val="52"/>
    <w:semiHidden/>
    <w:rsid w:val="00E96881"/>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Tabelasiatki7kolorowaakcent3">
    <w:name w:val="Grid Table 7 Colorful Accent 3"/>
    <w:basedOn w:val="Standardowy"/>
    <w:uiPriority w:val="52"/>
    <w:semiHidden/>
    <w:rsid w:val="00E96881"/>
    <w:rPr>
      <w:color w:val="424242" w:themeColor="accent3" w:themeShade="BF"/>
    </w:rPr>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insideV w:val="single" w:sz="4" w:space="0" w:color="9B9B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bottom w:val="single" w:sz="4" w:space="0" w:color="9B9B9B" w:themeColor="accent3" w:themeTint="99"/>
        </w:tcBorders>
      </w:tcPr>
    </w:tblStylePr>
    <w:tblStylePr w:type="nwCell">
      <w:tblPr/>
      <w:tcPr>
        <w:tcBorders>
          <w:bottom w:val="single" w:sz="4" w:space="0" w:color="9B9B9B" w:themeColor="accent3" w:themeTint="99"/>
        </w:tcBorders>
      </w:tcPr>
    </w:tblStylePr>
    <w:tblStylePr w:type="seCell">
      <w:tblPr/>
      <w:tcPr>
        <w:tcBorders>
          <w:top w:val="single" w:sz="4" w:space="0" w:color="9B9B9B" w:themeColor="accent3" w:themeTint="99"/>
        </w:tcBorders>
      </w:tcPr>
    </w:tblStylePr>
    <w:tblStylePr w:type="swCell">
      <w:tblPr/>
      <w:tcPr>
        <w:tcBorders>
          <w:top w:val="single" w:sz="4" w:space="0" w:color="9B9B9B" w:themeColor="accent3" w:themeTint="99"/>
        </w:tcBorders>
      </w:tcPr>
    </w:tblStylePr>
  </w:style>
  <w:style w:type="table" w:styleId="Tabelasiatki7kolorowaakcent4">
    <w:name w:val="Grid Table 7 Colorful Accent 4"/>
    <w:basedOn w:val="Standardowy"/>
    <w:uiPriority w:val="52"/>
    <w:semiHidden/>
    <w:rsid w:val="00E96881"/>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Tabelasiatki7kolorowaakcent5">
    <w:name w:val="Grid Table 7 Colorful Accent 5"/>
    <w:basedOn w:val="Standardowy"/>
    <w:uiPriority w:val="52"/>
    <w:semiHidden/>
    <w:rsid w:val="00E96881"/>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Tabelasiatki7kolorowaakcent6">
    <w:name w:val="Grid Table 7 Colorful Accent 6"/>
    <w:basedOn w:val="Standardowy"/>
    <w:uiPriority w:val="52"/>
    <w:semiHidden/>
    <w:rsid w:val="00E96881"/>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ztag1">
    <w:name w:val="Hasztag1"/>
    <w:basedOn w:val="Domylnaczcionkaakapitu"/>
    <w:uiPriority w:val="99"/>
    <w:semiHidden/>
    <w:unhideWhenUsed/>
    <w:rsid w:val="00E96881"/>
    <w:rPr>
      <w:color w:val="2B579A"/>
      <w:shd w:val="clear" w:color="auto" w:fill="E1DFDD"/>
    </w:rPr>
  </w:style>
  <w:style w:type="table" w:styleId="Tabelalisty1jasna">
    <w:name w:val="List Table 1 Light"/>
    <w:basedOn w:val="Standardowy"/>
    <w:uiPriority w:val="46"/>
    <w:semiHidden/>
    <w:rsid w:val="00E96881"/>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1jasnaakcent1">
    <w:name w:val="List Table 1 Light Accent 1"/>
    <w:basedOn w:val="Standardowy"/>
    <w:uiPriority w:val="46"/>
    <w:semiHidden/>
    <w:rsid w:val="00E96881"/>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1jasnaakcent2">
    <w:name w:val="List Table 1 Light Accent 2"/>
    <w:basedOn w:val="Standardowy"/>
    <w:uiPriority w:val="46"/>
    <w:semiHidden/>
    <w:rsid w:val="00E96881"/>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1jasnaakcent3">
    <w:name w:val="List Table 1 Light Accent 3"/>
    <w:basedOn w:val="Standardowy"/>
    <w:uiPriority w:val="46"/>
    <w:semiHidden/>
    <w:rsid w:val="00E96881"/>
    <w:tblPr>
      <w:tblStyleRowBandSize w:val="1"/>
      <w:tblStyleColBandSize w:val="1"/>
    </w:tblPr>
    <w:tblStylePr w:type="firstRow">
      <w:rPr>
        <w:b/>
        <w:bCs/>
      </w:rPr>
      <w:tblPr/>
      <w:tcPr>
        <w:tcBorders>
          <w:bottom w:val="single" w:sz="4" w:space="0" w:color="9B9B9B" w:themeColor="accent3" w:themeTint="99"/>
        </w:tcBorders>
      </w:tcPr>
    </w:tblStylePr>
    <w:tblStylePr w:type="lastRow">
      <w:rPr>
        <w:b/>
        <w:bCs/>
      </w:rPr>
      <w:tblPr/>
      <w:tcPr>
        <w:tcBorders>
          <w:top w:val="sing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1jasnaakcent4">
    <w:name w:val="List Table 1 Light Accent 4"/>
    <w:basedOn w:val="Standardowy"/>
    <w:uiPriority w:val="46"/>
    <w:semiHidden/>
    <w:rsid w:val="00E96881"/>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1jasnaakcent5">
    <w:name w:val="List Table 1 Light Accent 5"/>
    <w:basedOn w:val="Standardowy"/>
    <w:uiPriority w:val="46"/>
    <w:semiHidden/>
    <w:rsid w:val="00E96881"/>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1jasnaakcent6">
    <w:name w:val="List Table 1 Light Accent 6"/>
    <w:basedOn w:val="Standardowy"/>
    <w:uiPriority w:val="46"/>
    <w:semiHidden/>
    <w:rsid w:val="00E96881"/>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2">
    <w:name w:val="List Table 2"/>
    <w:basedOn w:val="Standardowy"/>
    <w:uiPriority w:val="47"/>
    <w:semiHidden/>
    <w:rsid w:val="00E96881"/>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2akcent1">
    <w:name w:val="List Table 2 Accent 1"/>
    <w:basedOn w:val="Standardowy"/>
    <w:uiPriority w:val="47"/>
    <w:semiHidden/>
    <w:rsid w:val="00E96881"/>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2akcent2">
    <w:name w:val="List Table 2 Accent 2"/>
    <w:basedOn w:val="Standardowy"/>
    <w:uiPriority w:val="47"/>
    <w:semiHidden/>
    <w:rsid w:val="00E96881"/>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2akcent3">
    <w:name w:val="List Table 2 Accent 3"/>
    <w:basedOn w:val="Standardowy"/>
    <w:uiPriority w:val="47"/>
    <w:semiHidden/>
    <w:rsid w:val="00E96881"/>
    <w:tblPr>
      <w:tblStyleRowBandSize w:val="1"/>
      <w:tblStyleColBandSize w:val="1"/>
      <w:tblBorders>
        <w:top w:val="single" w:sz="4" w:space="0" w:color="9B9B9B" w:themeColor="accent3" w:themeTint="99"/>
        <w:bottom w:val="single" w:sz="4" w:space="0" w:color="9B9B9B" w:themeColor="accent3" w:themeTint="99"/>
        <w:insideH w:val="single" w:sz="4" w:space="0" w:color="9B9B9B"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2akcent4">
    <w:name w:val="List Table 2 Accent 4"/>
    <w:basedOn w:val="Standardowy"/>
    <w:uiPriority w:val="47"/>
    <w:semiHidden/>
    <w:rsid w:val="00E96881"/>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2akcent5">
    <w:name w:val="List Table 2 Accent 5"/>
    <w:basedOn w:val="Standardowy"/>
    <w:uiPriority w:val="47"/>
    <w:semiHidden/>
    <w:rsid w:val="00E96881"/>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2akcent6">
    <w:name w:val="List Table 2 Accent 6"/>
    <w:basedOn w:val="Standardowy"/>
    <w:uiPriority w:val="47"/>
    <w:semiHidden/>
    <w:rsid w:val="00E96881"/>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3">
    <w:name w:val="List Table 3"/>
    <w:basedOn w:val="Standardowy"/>
    <w:uiPriority w:val="48"/>
    <w:semiHidden/>
    <w:rsid w:val="00E96881"/>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elalisty3akcent1">
    <w:name w:val="List Table 3 Accent 1"/>
    <w:basedOn w:val="Standardowy"/>
    <w:uiPriority w:val="48"/>
    <w:semiHidden/>
    <w:rsid w:val="00E96881"/>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FFFFFF"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Tabelalisty3akcent2">
    <w:name w:val="List Table 3 Accent 2"/>
    <w:basedOn w:val="Standardowy"/>
    <w:uiPriority w:val="48"/>
    <w:semiHidden/>
    <w:rsid w:val="00E96881"/>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FFFFFF"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Tabelalisty3akcent3">
    <w:name w:val="List Table 3 Accent 3"/>
    <w:basedOn w:val="Standardowy"/>
    <w:uiPriority w:val="48"/>
    <w:semiHidden/>
    <w:rsid w:val="00E96881"/>
    <w:tblPr>
      <w:tblStyleRowBandSize w:val="1"/>
      <w:tblStyleColBandSize w:val="1"/>
      <w:tblBorders>
        <w:top w:val="single" w:sz="4" w:space="0" w:color="595959" w:themeColor="accent3"/>
        <w:left w:val="single" w:sz="4" w:space="0" w:color="595959" w:themeColor="accent3"/>
        <w:bottom w:val="single" w:sz="4" w:space="0" w:color="595959" w:themeColor="accent3"/>
        <w:right w:val="single" w:sz="4" w:space="0" w:color="595959" w:themeColor="accent3"/>
      </w:tblBorders>
    </w:tblPr>
    <w:tblStylePr w:type="firstRow">
      <w:rPr>
        <w:b/>
        <w:bCs/>
        <w:color w:val="FFFFFF" w:themeColor="background1"/>
      </w:rPr>
      <w:tblPr/>
      <w:tcPr>
        <w:shd w:val="clear" w:color="auto" w:fill="595959" w:themeFill="accent3"/>
      </w:tcPr>
    </w:tblStylePr>
    <w:tblStylePr w:type="lastRow">
      <w:rPr>
        <w:b/>
        <w:bCs/>
      </w:rPr>
      <w:tblPr/>
      <w:tcPr>
        <w:tcBorders>
          <w:top w:val="double" w:sz="4" w:space="0" w:color="5959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95959" w:themeColor="accent3"/>
          <w:right w:val="single" w:sz="4" w:space="0" w:color="595959" w:themeColor="accent3"/>
        </w:tcBorders>
      </w:tcPr>
    </w:tblStylePr>
    <w:tblStylePr w:type="band1Horz">
      <w:tblPr/>
      <w:tcPr>
        <w:tcBorders>
          <w:top w:val="single" w:sz="4" w:space="0" w:color="595959" w:themeColor="accent3"/>
          <w:bottom w:val="single" w:sz="4" w:space="0" w:color="5959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95959" w:themeColor="accent3"/>
          <w:left w:val="nil"/>
        </w:tcBorders>
      </w:tcPr>
    </w:tblStylePr>
    <w:tblStylePr w:type="swCell">
      <w:tblPr/>
      <w:tcPr>
        <w:tcBorders>
          <w:top w:val="double" w:sz="4" w:space="0" w:color="595959" w:themeColor="accent3"/>
          <w:right w:val="nil"/>
        </w:tcBorders>
      </w:tcPr>
    </w:tblStylePr>
  </w:style>
  <w:style w:type="table" w:styleId="Tabelalisty3akcent4">
    <w:name w:val="List Table 3 Accent 4"/>
    <w:basedOn w:val="Standardowy"/>
    <w:uiPriority w:val="48"/>
    <w:semiHidden/>
    <w:rsid w:val="00E96881"/>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FFFFFF"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Tabelalisty3akcent5">
    <w:name w:val="List Table 3 Accent 5"/>
    <w:basedOn w:val="Standardowy"/>
    <w:uiPriority w:val="48"/>
    <w:semiHidden/>
    <w:rsid w:val="00E96881"/>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FFFFFF"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Tabelalisty3akcent6">
    <w:name w:val="List Table 3 Accent 6"/>
    <w:basedOn w:val="Standardowy"/>
    <w:uiPriority w:val="48"/>
    <w:semiHidden/>
    <w:rsid w:val="00E96881"/>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FFFFFF"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Tabelalisty4">
    <w:name w:val="List Table 4"/>
    <w:basedOn w:val="Standardowy"/>
    <w:uiPriority w:val="49"/>
    <w:semiHidden/>
    <w:rsid w:val="00E96881"/>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4akcent1">
    <w:name w:val="List Table 4 Accent 1"/>
    <w:basedOn w:val="Standardowy"/>
    <w:uiPriority w:val="49"/>
    <w:semiHidden/>
    <w:rsid w:val="00E96881"/>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FFFFFF"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4akcent2">
    <w:name w:val="List Table 4 Accent 2"/>
    <w:basedOn w:val="Standardowy"/>
    <w:uiPriority w:val="49"/>
    <w:semiHidden/>
    <w:rsid w:val="00E96881"/>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FFFFFF"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4akcent3">
    <w:name w:val="List Table 4 Accent 3"/>
    <w:basedOn w:val="Standardowy"/>
    <w:uiPriority w:val="49"/>
    <w:semiHidden/>
    <w:rsid w:val="00E96881"/>
    <w:tblPr>
      <w:tblStyleRowBandSize w:val="1"/>
      <w:tblStyleColBandSize w:val="1"/>
      <w:tblBorders>
        <w:top w:val="single" w:sz="4" w:space="0" w:color="9B9B9B" w:themeColor="accent3" w:themeTint="99"/>
        <w:left w:val="single" w:sz="4" w:space="0" w:color="9B9B9B" w:themeColor="accent3" w:themeTint="99"/>
        <w:bottom w:val="single" w:sz="4" w:space="0" w:color="9B9B9B" w:themeColor="accent3" w:themeTint="99"/>
        <w:right w:val="single" w:sz="4" w:space="0" w:color="9B9B9B" w:themeColor="accent3" w:themeTint="99"/>
        <w:insideH w:val="single" w:sz="4" w:space="0" w:color="9B9B9B" w:themeColor="accent3" w:themeTint="99"/>
      </w:tblBorders>
    </w:tblPr>
    <w:tblStylePr w:type="firstRow">
      <w:rPr>
        <w:b/>
        <w:bCs/>
        <w:color w:val="FFFFFF" w:themeColor="background1"/>
      </w:rPr>
      <w:tblPr/>
      <w:tcPr>
        <w:tcBorders>
          <w:top w:val="single" w:sz="4" w:space="0" w:color="595959" w:themeColor="accent3"/>
          <w:left w:val="single" w:sz="4" w:space="0" w:color="595959" w:themeColor="accent3"/>
          <w:bottom w:val="single" w:sz="4" w:space="0" w:color="595959" w:themeColor="accent3"/>
          <w:right w:val="single" w:sz="4" w:space="0" w:color="595959" w:themeColor="accent3"/>
          <w:insideH w:val="nil"/>
        </w:tcBorders>
        <w:shd w:val="clear" w:color="auto" w:fill="595959" w:themeFill="accent3"/>
      </w:tcPr>
    </w:tblStylePr>
    <w:tblStylePr w:type="lastRow">
      <w:rPr>
        <w:b/>
        <w:bCs/>
      </w:rPr>
      <w:tblPr/>
      <w:tcPr>
        <w:tcBorders>
          <w:top w:val="double" w:sz="4" w:space="0" w:color="9B9B9B" w:themeColor="accent3" w:themeTint="99"/>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4akcent4">
    <w:name w:val="List Table 4 Accent 4"/>
    <w:basedOn w:val="Standardowy"/>
    <w:uiPriority w:val="49"/>
    <w:semiHidden/>
    <w:rsid w:val="00E96881"/>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FFFFFF"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4akcent5">
    <w:name w:val="List Table 4 Accent 5"/>
    <w:basedOn w:val="Standardowy"/>
    <w:uiPriority w:val="49"/>
    <w:semiHidden/>
    <w:rsid w:val="00E96881"/>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FFFFFF"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4akcent6">
    <w:name w:val="List Table 4 Accent 6"/>
    <w:basedOn w:val="Standardowy"/>
    <w:uiPriority w:val="49"/>
    <w:semiHidden/>
    <w:rsid w:val="00E96881"/>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FFFFFF"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5ciemna">
    <w:name w:val="List Table 5 Dark"/>
    <w:basedOn w:val="Standardowy"/>
    <w:uiPriority w:val="50"/>
    <w:semiHidden/>
    <w:rsid w:val="00E96881"/>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1">
    <w:name w:val="List Table 5 Dark Accent 1"/>
    <w:basedOn w:val="Standardowy"/>
    <w:uiPriority w:val="50"/>
    <w:semiHidden/>
    <w:rsid w:val="00E96881"/>
    <w:rPr>
      <w:color w:val="FFFFFF"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2">
    <w:name w:val="List Table 5 Dark Accent 2"/>
    <w:basedOn w:val="Standardowy"/>
    <w:uiPriority w:val="50"/>
    <w:semiHidden/>
    <w:rsid w:val="00E96881"/>
    <w:rPr>
      <w:color w:val="FFFFFF"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3">
    <w:name w:val="List Table 5 Dark Accent 3"/>
    <w:basedOn w:val="Standardowy"/>
    <w:uiPriority w:val="50"/>
    <w:semiHidden/>
    <w:rsid w:val="00E96881"/>
    <w:rPr>
      <w:color w:val="FFFFFF" w:themeColor="background1"/>
    </w:rPr>
    <w:tblPr>
      <w:tblStyleRowBandSize w:val="1"/>
      <w:tblStyleColBandSize w:val="1"/>
      <w:tblBorders>
        <w:top w:val="single" w:sz="24" w:space="0" w:color="595959" w:themeColor="accent3"/>
        <w:left w:val="single" w:sz="24" w:space="0" w:color="595959" w:themeColor="accent3"/>
        <w:bottom w:val="single" w:sz="24" w:space="0" w:color="595959" w:themeColor="accent3"/>
        <w:right w:val="single" w:sz="24" w:space="0" w:color="595959" w:themeColor="accent3"/>
      </w:tblBorders>
    </w:tblPr>
    <w:tcPr>
      <w:shd w:val="clear" w:color="auto" w:fill="595959"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4">
    <w:name w:val="List Table 5 Dark Accent 4"/>
    <w:basedOn w:val="Standardowy"/>
    <w:uiPriority w:val="50"/>
    <w:semiHidden/>
    <w:rsid w:val="00E96881"/>
    <w:rPr>
      <w:color w:val="FFFFFF"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5">
    <w:name w:val="List Table 5 Dark Accent 5"/>
    <w:basedOn w:val="Standardowy"/>
    <w:uiPriority w:val="50"/>
    <w:semiHidden/>
    <w:rsid w:val="00E96881"/>
    <w:rPr>
      <w:color w:val="FFFFFF"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5ciemnaakcent6">
    <w:name w:val="List Table 5 Dark Accent 6"/>
    <w:basedOn w:val="Standardowy"/>
    <w:uiPriority w:val="50"/>
    <w:semiHidden/>
    <w:rsid w:val="00E96881"/>
    <w:rPr>
      <w:color w:val="FFFFFF"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Tabelalisty6kolorowa">
    <w:name w:val="List Table 6 Colorful"/>
    <w:basedOn w:val="Standardowy"/>
    <w:uiPriority w:val="51"/>
    <w:semiHidden/>
    <w:rsid w:val="00E96881"/>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listy6kolorowaakcent1">
    <w:name w:val="List Table 6 Colorful Accent 1"/>
    <w:basedOn w:val="Standardowy"/>
    <w:uiPriority w:val="51"/>
    <w:semiHidden/>
    <w:rsid w:val="00E96881"/>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Tabelalisty6kolorowaakcent2">
    <w:name w:val="List Table 6 Colorful Accent 2"/>
    <w:basedOn w:val="Standardowy"/>
    <w:uiPriority w:val="51"/>
    <w:semiHidden/>
    <w:rsid w:val="00E96881"/>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Tabelalisty6kolorowaakcent3">
    <w:name w:val="List Table 6 Colorful Accent 3"/>
    <w:basedOn w:val="Standardowy"/>
    <w:uiPriority w:val="51"/>
    <w:semiHidden/>
    <w:rsid w:val="00E96881"/>
    <w:rPr>
      <w:color w:val="424242" w:themeColor="accent3" w:themeShade="BF"/>
    </w:rPr>
    <w:tblPr>
      <w:tblStyleRowBandSize w:val="1"/>
      <w:tblStyleColBandSize w:val="1"/>
      <w:tblBorders>
        <w:top w:val="single" w:sz="4" w:space="0" w:color="595959" w:themeColor="accent3"/>
        <w:bottom w:val="single" w:sz="4" w:space="0" w:color="595959" w:themeColor="accent3"/>
      </w:tblBorders>
    </w:tblPr>
    <w:tblStylePr w:type="firstRow">
      <w:rPr>
        <w:b/>
        <w:bCs/>
      </w:rPr>
      <w:tblPr/>
      <w:tcPr>
        <w:tcBorders>
          <w:bottom w:val="single" w:sz="4" w:space="0" w:color="595959" w:themeColor="accent3"/>
        </w:tcBorders>
      </w:tcPr>
    </w:tblStylePr>
    <w:tblStylePr w:type="lastRow">
      <w:rPr>
        <w:b/>
        <w:bCs/>
      </w:rPr>
      <w:tblPr/>
      <w:tcPr>
        <w:tcBorders>
          <w:top w:val="double" w:sz="4" w:space="0" w:color="595959" w:themeColor="accent3"/>
        </w:tcBorders>
      </w:tcPr>
    </w:tblStylePr>
    <w:tblStylePr w:type="firstCol">
      <w:rPr>
        <w:b/>
        <w:bCs/>
      </w:rPr>
    </w:tblStylePr>
    <w:tblStylePr w:type="lastCol">
      <w:rPr>
        <w:b/>
        <w:bCs/>
      </w:rPr>
    </w:tblStylePr>
    <w:tblStylePr w:type="band1Vert">
      <w:tblPr/>
      <w:tcPr>
        <w:shd w:val="clear" w:color="auto" w:fill="DDDDDD" w:themeFill="accent3" w:themeFillTint="33"/>
      </w:tcPr>
    </w:tblStylePr>
    <w:tblStylePr w:type="band1Horz">
      <w:tblPr/>
      <w:tcPr>
        <w:shd w:val="clear" w:color="auto" w:fill="DDDDDD" w:themeFill="accent3" w:themeFillTint="33"/>
      </w:tcPr>
    </w:tblStylePr>
  </w:style>
  <w:style w:type="table" w:styleId="Tabelalisty6kolorowaakcent4">
    <w:name w:val="List Table 6 Colorful Accent 4"/>
    <w:basedOn w:val="Standardowy"/>
    <w:uiPriority w:val="51"/>
    <w:semiHidden/>
    <w:rsid w:val="00E96881"/>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Tabelalisty6kolorowaakcent5">
    <w:name w:val="List Table 6 Colorful Accent 5"/>
    <w:basedOn w:val="Standardowy"/>
    <w:uiPriority w:val="51"/>
    <w:semiHidden/>
    <w:rsid w:val="00E96881"/>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Tabelalisty6kolorowaakcent6">
    <w:name w:val="List Table 6 Colorful Accent 6"/>
    <w:basedOn w:val="Standardowy"/>
    <w:uiPriority w:val="51"/>
    <w:semiHidden/>
    <w:rsid w:val="00E96881"/>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Tabelalisty7kolorowa">
    <w:name w:val="List Table 7 Colorful"/>
    <w:basedOn w:val="Standardowy"/>
    <w:uiPriority w:val="52"/>
    <w:semiHidden/>
    <w:rsid w:val="00E96881"/>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1">
    <w:name w:val="List Table 7 Colorful Accent 1"/>
    <w:basedOn w:val="Standardowy"/>
    <w:uiPriority w:val="52"/>
    <w:semiHidden/>
    <w:rsid w:val="00E96881"/>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FFFFFF"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2">
    <w:name w:val="List Table 7 Colorful Accent 2"/>
    <w:basedOn w:val="Standardowy"/>
    <w:uiPriority w:val="52"/>
    <w:semiHidden/>
    <w:rsid w:val="00E96881"/>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FFFFFF"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3">
    <w:name w:val="List Table 7 Colorful Accent 3"/>
    <w:basedOn w:val="Standardowy"/>
    <w:uiPriority w:val="52"/>
    <w:semiHidden/>
    <w:rsid w:val="00E96881"/>
    <w:rPr>
      <w:color w:val="424242"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95959"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95959"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95959"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95959" w:themeColor="accent3"/>
        </w:tcBorders>
        <w:shd w:val="clear" w:color="auto" w:fill="FFFFFF" w:themeFill="background1"/>
      </w:tcPr>
    </w:tblStylePr>
    <w:tblStylePr w:type="band1Vert">
      <w:tblPr/>
      <w:tcPr>
        <w:shd w:val="clear" w:color="auto" w:fill="DDDDDD" w:themeFill="accent3" w:themeFillTint="33"/>
      </w:tcPr>
    </w:tblStylePr>
    <w:tblStylePr w:type="band1Horz">
      <w:tblPr/>
      <w:tcPr>
        <w:shd w:val="clear" w:color="auto" w:fill="DDDDD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4">
    <w:name w:val="List Table 7 Colorful Accent 4"/>
    <w:basedOn w:val="Standardowy"/>
    <w:uiPriority w:val="52"/>
    <w:semiHidden/>
    <w:rsid w:val="00E96881"/>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FFFFFF"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5">
    <w:name w:val="List Table 7 Colorful Accent 5"/>
    <w:basedOn w:val="Standardowy"/>
    <w:uiPriority w:val="52"/>
    <w:semiHidden/>
    <w:rsid w:val="00E96881"/>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FFFFFF"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elalisty7kolorowaakcent6">
    <w:name w:val="List Table 7 Colorful Accent 6"/>
    <w:basedOn w:val="Standardowy"/>
    <w:uiPriority w:val="52"/>
    <w:semiHidden/>
    <w:rsid w:val="00E96881"/>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FFFFFF"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Wzmianka1">
    <w:name w:val="Wzmianka1"/>
    <w:basedOn w:val="Domylnaczcionkaakapitu"/>
    <w:uiPriority w:val="99"/>
    <w:semiHidden/>
    <w:unhideWhenUsed/>
    <w:rsid w:val="00E96881"/>
    <w:rPr>
      <w:color w:val="2B579A"/>
      <w:shd w:val="clear" w:color="auto" w:fill="E1DFDD"/>
    </w:rPr>
  </w:style>
  <w:style w:type="table" w:styleId="Zwykatabela1">
    <w:name w:val="Plain Table 1"/>
    <w:basedOn w:val="Standardowy"/>
    <w:uiPriority w:val="41"/>
    <w:semiHidden/>
    <w:rsid w:val="00E96881"/>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2">
    <w:name w:val="Plain Table 2"/>
    <w:basedOn w:val="Standardowy"/>
    <w:uiPriority w:val="42"/>
    <w:semiHidden/>
    <w:rsid w:val="00E96881"/>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Zwykatabela3">
    <w:name w:val="Plain Table 3"/>
    <w:basedOn w:val="Standardowy"/>
    <w:uiPriority w:val="43"/>
    <w:semiHidden/>
    <w:rsid w:val="00E96881"/>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Zwykatabela4">
    <w:name w:val="Plain Table 4"/>
    <w:basedOn w:val="Standardowy"/>
    <w:uiPriority w:val="44"/>
    <w:semiHidden/>
    <w:rsid w:val="00E96881"/>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Zwykatabela5">
    <w:name w:val="Plain Table 5"/>
    <w:basedOn w:val="Standardowy"/>
    <w:uiPriority w:val="45"/>
    <w:semiHidden/>
    <w:rsid w:val="00E96881"/>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Inteligentnyhiperlink1">
    <w:name w:val="Inteligentny hiperlink1"/>
    <w:basedOn w:val="Domylnaczcionkaakapitu"/>
    <w:uiPriority w:val="99"/>
    <w:semiHidden/>
    <w:unhideWhenUsed/>
    <w:rsid w:val="00E96881"/>
    <w:rPr>
      <w:u w:val="dotted"/>
    </w:rPr>
  </w:style>
  <w:style w:type="character" w:styleId="Inteligentnylink">
    <w:name w:val="Smart Link"/>
    <w:basedOn w:val="Domylnaczcionkaakapitu"/>
    <w:uiPriority w:val="99"/>
    <w:semiHidden/>
    <w:unhideWhenUsed/>
    <w:rsid w:val="00E96881"/>
    <w:rPr>
      <w:color w:val="0000FF"/>
      <w:u w:val="single"/>
      <w:shd w:val="clear" w:color="auto" w:fill="F3F2F1"/>
    </w:rPr>
  </w:style>
  <w:style w:type="table" w:styleId="Siatkatabelijasna">
    <w:name w:val="Grid Table Light"/>
    <w:basedOn w:val="Standardowy"/>
    <w:uiPriority w:val="40"/>
    <w:semiHidden/>
    <w:rsid w:val="00E9688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oprawka">
    <w:name w:val="Revision"/>
    <w:hidden/>
    <w:uiPriority w:val="99"/>
    <w:semiHidden/>
    <w:rsid w:val="00E96881"/>
    <w:rPr>
      <w:sz w:val="24"/>
      <w:szCs w:val="24"/>
    </w:rPr>
  </w:style>
  <w:style w:type="character" w:customStyle="1" w:styleId="JuQuotChar">
    <w:name w:val="Ju_Quot Char"/>
    <w:link w:val="JuQuot"/>
    <w:uiPriority w:val="20"/>
    <w:rsid w:val="00E96881"/>
    <w:rPr>
      <w:sz w:val="20"/>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_New">
      <a:dk1>
        <a:sysClr val="windowText" lastClr="000000"/>
      </a:dk1>
      <a:lt1>
        <a:srgbClr val="FFFFFF"/>
      </a:lt1>
      <a:dk2>
        <a:srgbClr val="B0B0B0"/>
      </a:dk2>
      <a:lt2>
        <a:srgbClr val="F8F8F8"/>
      </a:lt2>
      <a:accent1>
        <a:srgbClr val="0072BC"/>
      </a:accent1>
      <a:accent2>
        <a:srgbClr val="C00000"/>
      </a:accent2>
      <a:accent3>
        <a:srgbClr val="595959"/>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258DC8-8283-459E-B518-31F9750E73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8787</Words>
  <Characters>52727</Characters>
  <Application>Microsoft Office Word</Application>
  <DocSecurity>0</DocSecurity>
  <Lines>439</Lines>
  <Paragraphs>122</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Company/>
  <LinksUpToDate>false</LinksUpToDate>
  <CharactersWithSpaces>61392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2026-03-19T10:51:00Z</dcterms:created>
  <dcterms:modified xsi:type="dcterms:W3CDTF">2026-04-29T08:34:00Z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ID">
    <vt:lpwstr>1942010</vt:lpwstr>
  </property>
  <property fmtid="{D5CDD505-2E9C-101B-9397-08002B2CF9AE}" pid="3" name="cstLanguage">
    <vt:i4>2057</vt:i4>
  </property>
  <property fmtid="{D5CDD505-2E9C-101B-9397-08002B2CF9AE}" pid="4" name="RegisteredNo">
    <vt:lpwstr>42758/23</vt:lpwstr>
  </property>
</Properties>
</file>