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86269" w14:textId="77777777" w:rsidR="00336BAB" w:rsidRPr="00D46C68" w:rsidRDefault="00000000" w:rsidP="00D46C68">
      <w:pPr>
        <w:spacing w:before="100" w:beforeAutospacing="1" w:after="120"/>
        <w:jc w:val="both"/>
        <w:rPr>
          <w:rFonts w:ascii="Times New Roman" w:hAnsi="Times New Roman" w:cs="Times New Roman"/>
          <w:sz w:val="20"/>
          <w:lang w:val="en-US"/>
        </w:rPr>
      </w:pPr>
      <w:r w:rsidRPr="00D46C68">
        <w:rPr>
          <w:rFonts w:ascii="Times New Roman" w:hAnsi="Times New Roman" w:cs="Times New Roman"/>
          <w:sz w:val="20"/>
          <w:lang w:val="en-US"/>
        </w:rPr>
        <w:t>© Ministerstwo Sprawiedliwości, www.gov.pl/web/sprawiedliwosc [Translation already published on the official website of the Polish Ministry of Justice] Permission to re-publish this translation has been granted by the Polish Ministry of Justice for the sole purpose of its inclusion in the Court</w:t>
      </w:r>
      <w:r w:rsidR="00D46C68" w:rsidRPr="00D46C68">
        <w:rPr>
          <w:rFonts w:ascii="Times New Roman" w:hAnsi="Times New Roman" w:cs="Times New Roman"/>
          <w:sz w:val="20"/>
          <w:lang w:val="en-US"/>
        </w:rPr>
        <w:t>’</w:t>
      </w:r>
      <w:r w:rsidRPr="00D46C68">
        <w:rPr>
          <w:rFonts w:ascii="Times New Roman" w:hAnsi="Times New Roman" w:cs="Times New Roman"/>
          <w:sz w:val="20"/>
          <w:lang w:val="en-US"/>
        </w:rPr>
        <w:t>s database HUDOC</w:t>
      </w:r>
    </w:p>
    <w:p w14:paraId="42742A37" w14:textId="77777777" w:rsidR="00336BAB" w:rsidRPr="00D46C68" w:rsidRDefault="00000000" w:rsidP="00D46C68">
      <w:pPr>
        <w:jc w:val="both"/>
        <w:rPr>
          <w:rFonts w:ascii="Times New Roman" w:hAnsi="Times New Roman" w:cs="Times New Roman"/>
        </w:rPr>
      </w:pPr>
      <w:r w:rsidRPr="00D46C68">
        <w:rPr>
          <w:rFonts w:ascii="Times New Roman" w:hAnsi="Times New Roman" w:cs="Times New Roman"/>
          <w:sz w:val="20"/>
        </w:rPr>
        <w:t>© Ministerstwo Sprawiedliwości, www.gov.pl/web/sprawiedliwosc [Tłumaczenie zostało już opublikowane na oficjalnej stronie Ministerstwa Sprawiedliwości] Zezwolenie na publikację tego tłumaczenia zostało udzielone przez Ministerstwo Sprawiedliwości wyłącznie w celu zamieszczenia w bazie Trybunału HUDOC</w:t>
      </w:r>
    </w:p>
    <w:p w14:paraId="7D84522C" w14:textId="77777777" w:rsidR="00F6456F" w:rsidRPr="00D46C68" w:rsidRDefault="00F6456F" w:rsidP="00D46C68">
      <w:pPr>
        <w:jc w:val="center"/>
        <w:rPr>
          <w:rFonts w:ascii="Times New Roman" w:hAnsi="Times New Roman" w:cs="Times New Roman"/>
        </w:rPr>
      </w:pPr>
    </w:p>
    <w:p w14:paraId="58516C27" w14:textId="77777777" w:rsidR="00F6456F" w:rsidRPr="00D46C68" w:rsidRDefault="00000000" w:rsidP="00D46C68">
      <w:pPr>
        <w:pStyle w:val="DecHTitle"/>
      </w:pPr>
      <w:r w:rsidRPr="00D46C68">
        <w:t>EUROPEJSKI TRYBUNAŁ PRAW CZŁOWIEKA</w:t>
      </w:r>
    </w:p>
    <w:p w14:paraId="46AEEBE9" w14:textId="77777777" w:rsidR="00F6456F" w:rsidRPr="00D46C68" w:rsidRDefault="00000000" w:rsidP="00D46C68">
      <w:pPr>
        <w:pStyle w:val="DecHTitle"/>
      </w:pPr>
      <w:r w:rsidRPr="00D46C68">
        <w:t>SEKCJA</w:t>
      </w:r>
      <w:r w:rsidR="009C2743" w:rsidRPr="00D46C68">
        <w:t xml:space="preserve"> PIERWSZA</w:t>
      </w:r>
    </w:p>
    <w:p w14:paraId="3F9D1805" w14:textId="77777777" w:rsidR="00F6456F" w:rsidRPr="00D46C68" w:rsidRDefault="00000000" w:rsidP="00D46C68">
      <w:pPr>
        <w:pStyle w:val="JuTitle"/>
      </w:pPr>
      <w:r w:rsidRPr="00D46C68">
        <w:rPr>
          <w:color w:val="000000" w:themeColor="text1"/>
        </w:rPr>
        <w:t xml:space="preserve">SPRAWA </w:t>
      </w:r>
      <w:r w:rsidRPr="00D46C68">
        <w:t>ANDERSEN przeciwko POLSCE</w:t>
      </w:r>
    </w:p>
    <w:p w14:paraId="08AF5182" w14:textId="77777777" w:rsidR="00F6456F" w:rsidRPr="00D46C68" w:rsidRDefault="00000000" w:rsidP="00D46C68">
      <w:pPr>
        <w:pStyle w:val="ECHRCoverTitle4"/>
      </w:pPr>
      <w:r w:rsidRPr="00D46C68">
        <w:t>(Skarga nr 53662/20)</w:t>
      </w:r>
    </w:p>
    <w:p w14:paraId="48D6ABF6" w14:textId="77777777" w:rsidR="00F6456F" w:rsidRPr="00D46C68" w:rsidRDefault="00F6456F" w:rsidP="00D46C68">
      <w:pPr>
        <w:pStyle w:val="DecHCase"/>
      </w:pPr>
    </w:p>
    <w:p w14:paraId="6E8FDDFF" w14:textId="77777777" w:rsidR="00F6456F" w:rsidRPr="00D46C68" w:rsidRDefault="00F6456F" w:rsidP="00D46C68">
      <w:pPr>
        <w:pStyle w:val="DecHCase"/>
      </w:pPr>
    </w:p>
    <w:p w14:paraId="2044737A" w14:textId="77777777" w:rsidR="00F6456F" w:rsidRPr="00D46C68" w:rsidRDefault="00F6456F" w:rsidP="00D46C68">
      <w:pPr>
        <w:pStyle w:val="DecHCase"/>
      </w:pPr>
    </w:p>
    <w:p w14:paraId="7D0EE243" w14:textId="77777777" w:rsidR="00F6456F" w:rsidRPr="00D46C68" w:rsidRDefault="00F6456F" w:rsidP="00D46C68">
      <w:pPr>
        <w:pStyle w:val="DecHCase"/>
      </w:pPr>
    </w:p>
    <w:p w14:paraId="3F0B2777" w14:textId="77777777" w:rsidR="00F6456F" w:rsidRPr="00D46C68" w:rsidRDefault="00F6456F" w:rsidP="00D46C68">
      <w:pPr>
        <w:pStyle w:val="DecHCase"/>
      </w:pPr>
    </w:p>
    <w:p w14:paraId="29F5D547" w14:textId="77777777" w:rsidR="00F6456F" w:rsidRPr="00D46C68" w:rsidRDefault="00000000" w:rsidP="00D46C68">
      <w:pPr>
        <w:pStyle w:val="DecHCase"/>
      </w:pPr>
      <w:r w:rsidRPr="00D46C68">
        <w:t>WYROK</w:t>
      </w:r>
      <w:r w:rsidRPr="00D46C68">
        <w:br/>
      </w:r>
    </w:p>
    <w:p w14:paraId="5703BE7D" w14:textId="77777777" w:rsidR="00F6456F" w:rsidRPr="00D46C68" w:rsidRDefault="00000000" w:rsidP="00D46C68">
      <w:pPr>
        <w:pStyle w:val="DecHCase"/>
      </w:pPr>
      <w:r w:rsidRPr="00D46C68">
        <w:t>STRASBURG</w:t>
      </w:r>
    </w:p>
    <w:p w14:paraId="45AF9601" w14:textId="77777777" w:rsidR="00F6456F" w:rsidRPr="00D46C68" w:rsidRDefault="00000000" w:rsidP="00D46C68">
      <w:pPr>
        <w:pStyle w:val="P68B1DB1-DecHCase1"/>
      </w:pPr>
      <w:r w:rsidRPr="00D46C68">
        <w:t>24 kwietnia 2025 r.</w:t>
      </w:r>
    </w:p>
    <w:p w14:paraId="7C1A80F9" w14:textId="77777777" w:rsidR="00F6456F" w:rsidRPr="00D46C68" w:rsidRDefault="00F6456F" w:rsidP="00D46C68">
      <w:pPr>
        <w:pStyle w:val="JuPara"/>
      </w:pPr>
    </w:p>
    <w:p w14:paraId="1FD2BDC8" w14:textId="77777777" w:rsidR="00F6456F" w:rsidRPr="00D46C68" w:rsidRDefault="00000000" w:rsidP="00D46C68">
      <w:pPr>
        <w:pStyle w:val="P68B1DB1-Normalny2"/>
        <w:jc w:val="center"/>
      </w:pPr>
      <w:r w:rsidRPr="00D46C68">
        <w:t>Niniejszy wyrok jest ostateczny, ale może podlegać korekcie wydawniczej.</w:t>
      </w:r>
    </w:p>
    <w:p w14:paraId="72C755BB" w14:textId="77777777" w:rsidR="00F6456F" w:rsidRPr="00D46C68" w:rsidRDefault="00F6456F" w:rsidP="00D46C68">
      <w:pPr>
        <w:jc w:val="center"/>
        <w:sectPr w:rsidR="00F6456F" w:rsidRPr="00D46C68"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430C9FD" w14:textId="77777777" w:rsidR="00F6456F" w:rsidRPr="00D46C68" w:rsidRDefault="00000000" w:rsidP="00D46C68">
      <w:pPr>
        <w:pStyle w:val="JuCase"/>
      </w:pPr>
      <w:r w:rsidRPr="00D46C68">
        <w:lastRenderedPageBreak/>
        <w:t>W sprawie Andersen przeciwko Polsce,</w:t>
      </w:r>
    </w:p>
    <w:p w14:paraId="3EC1CDD8" w14:textId="77777777" w:rsidR="00F6456F" w:rsidRPr="00D46C68" w:rsidRDefault="00000000" w:rsidP="00D46C68">
      <w:pPr>
        <w:pStyle w:val="JuPara"/>
      </w:pPr>
      <w:r w:rsidRPr="00D46C68">
        <w:t>Europejski Trybunał Praw Człowieka (</w:t>
      </w:r>
      <w:r w:rsidR="00016DCA" w:rsidRPr="00D46C68">
        <w:t>Sekcja Pierwsza</w:t>
      </w:r>
      <w:r w:rsidRPr="00D46C68">
        <w:t>), zasiadając jako Komitet w składzie:</w:t>
      </w:r>
    </w:p>
    <w:p w14:paraId="2C02B6A1" w14:textId="77777777" w:rsidR="00D46C68" w:rsidRPr="00D46C68" w:rsidRDefault="00000000" w:rsidP="00D46C68">
      <w:pPr>
        <w:pStyle w:val="JuJudges"/>
      </w:pPr>
      <w:r w:rsidRPr="00D46C68">
        <w:tab/>
        <w:t>Erik Wennerström</w:t>
      </w:r>
      <w:r w:rsidRPr="00D46C68">
        <w:rPr>
          <w:i/>
        </w:rPr>
        <w:t>, Przewodniczący</w:t>
      </w:r>
      <w:r w:rsidRPr="00D46C68">
        <w:t>,</w:t>
      </w:r>
      <w:r w:rsidRPr="00D46C68">
        <w:br/>
      </w:r>
      <w:r w:rsidRPr="00D46C68">
        <w:tab/>
        <w:t>Raffaele Sabato,</w:t>
      </w:r>
      <w:r w:rsidRPr="00D46C68">
        <w:br/>
      </w:r>
      <w:r w:rsidRPr="00D46C68">
        <w:tab/>
        <w:t>Artūrs Kučs</w:t>
      </w:r>
      <w:r w:rsidRPr="00D46C68">
        <w:rPr>
          <w:i/>
        </w:rPr>
        <w:t>, Sędziowie</w:t>
      </w:r>
      <w:r w:rsidRPr="00D46C68">
        <w:t>,</w:t>
      </w:r>
      <w:r w:rsidRPr="00D46C68">
        <w:br/>
        <w:t xml:space="preserve"> oraz </w:t>
      </w:r>
      <w:r w:rsidRPr="00D46C68">
        <w:rPr>
          <w:rFonts w:eastAsia="PMingLiU"/>
        </w:rPr>
        <w:t>Liv Tigerstedt</w:t>
      </w:r>
      <w:r w:rsidRPr="00D46C68">
        <w:t xml:space="preserve">, </w:t>
      </w:r>
      <w:r w:rsidRPr="00D46C68">
        <w:rPr>
          <w:i/>
        </w:rPr>
        <w:t>Zastępca Kanclerza Sekcji,</w:t>
      </w:r>
    </w:p>
    <w:p w14:paraId="7F250C2F" w14:textId="77777777" w:rsidR="00F6456F" w:rsidRPr="00D46C68" w:rsidRDefault="00000000" w:rsidP="00D46C68">
      <w:pPr>
        <w:pStyle w:val="JuPara"/>
      </w:pPr>
      <w:r w:rsidRPr="00D46C68">
        <w:t>Mając na uwadze:</w:t>
      </w:r>
    </w:p>
    <w:p w14:paraId="4B517523" w14:textId="77777777" w:rsidR="00F6456F" w:rsidRPr="00D46C68" w:rsidRDefault="00000000" w:rsidP="00D46C68">
      <w:pPr>
        <w:pStyle w:val="JuPara"/>
      </w:pPr>
      <w:r w:rsidRPr="00D46C68">
        <w:t>skargę (nr 53662/20) przeciwko Rzeczypospolitej Polskiej wniesioną do</w:t>
      </w:r>
      <w:r w:rsidR="003C664E" w:rsidRPr="00D46C68">
        <w:t> </w:t>
      </w:r>
      <w:r w:rsidRPr="00D46C68">
        <w:t>Trybunału na podstawie art. 34 Konwencji o ochronie praw człowieka i</w:t>
      </w:r>
      <w:r w:rsidR="003C664E" w:rsidRPr="00D46C68">
        <w:t> </w:t>
      </w:r>
      <w:r w:rsidRPr="00D46C68">
        <w:t>podstawowych wolności („Konwencji”) w dniu 18 listopada 2020 r. przez obywatela polskiego, pana Bartholomew Kyle</w:t>
      </w:r>
      <w:r w:rsidR="00D46C68" w:rsidRPr="00D46C68">
        <w:t>’</w:t>
      </w:r>
      <w:r w:rsidRPr="00D46C68">
        <w:t>a Andersena („skarżącego”), który urodził się w 1988 r., mieszka w Colwyn Bay w Zjednoczonym Królestwie i był reprezentowany przez p. P. Knuta, adwokata praktykującego w Warszawie;</w:t>
      </w:r>
    </w:p>
    <w:p w14:paraId="0F07A88B" w14:textId="77777777" w:rsidR="00F6456F" w:rsidRPr="00D46C68" w:rsidRDefault="00000000" w:rsidP="00D46C68">
      <w:pPr>
        <w:pStyle w:val="JuPara"/>
      </w:pPr>
      <w:r w:rsidRPr="00D46C68">
        <w:t>decyzję o zakomunikowaniu skargi Rządowi Rzeczypospolitej Polskiej („Rząd”) reprezentow</w:t>
      </w:r>
      <w:r w:rsidR="000902C4" w:rsidRPr="00D46C68">
        <w:t>anemu przez jego pełnomocnika pana</w:t>
      </w:r>
      <w:r w:rsidRPr="00D46C68">
        <w:t xml:space="preserve"> J. Sobczaka z</w:t>
      </w:r>
      <w:r w:rsidR="003C664E" w:rsidRPr="00D46C68">
        <w:t> </w:t>
      </w:r>
      <w:r w:rsidRPr="00D46C68">
        <w:t>Ministerstwa Spraw Zagranicznych;</w:t>
      </w:r>
    </w:p>
    <w:p w14:paraId="33D99465" w14:textId="77777777" w:rsidR="00F6456F" w:rsidRPr="00D46C68" w:rsidRDefault="00000000" w:rsidP="00D46C68">
      <w:pPr>
        <w:pStyle w:val="JuPara"/>
      </w:pPr>
      <w:r w:rsidRPr="00D46C68">
        <w:t>uwagi stron;</w:t>
      </w:r>
    </w:p>
    <w:p w14:paraId="3D1EAD80" w14:textId="77777777" w:rsidR="00F6456F" w:rsidRPr="00D46C68" w:rsidRDefault="00000000" w:rsidP="00D46C68">
      <w:pPr>
        <w:pStyle w:val="JuPara"/>
      </w:pPr>
      <w:r w:rsidRPr="00D46C68">
        <w:t>uwagi przedstawione przez Instytut Kultury Prawnej Ordo Iuris, któremu Przewodniczący Sekcji udzielił zgody na interwencję.</w:t>
      </w:r>
    </w:p>
    <w:p w14:paraId="5CF2D3ED" w14:textId="77777777" w:rsidR="00F6456F" w:rsidRPr="00D46C68" w:rsidRDefault="00000000" w:rsidP="00D46C68">
      <w:pPr>
        <w:pStyle w:val="JuPara"/>
      </w:pPr>
      <w:r w:rsidRPr="00D46C68">
        <w:t>obradując na posiedzeniu niejawnym w dniu 20 marca 2025 r.,</w:t>
      </w:r>
    </w:p>
    <w:p w14:paraId="6AB90F6D" w14:textId="77777777" w:rsidR="00F6456F" w:rsidRPr="00D46C68" w:rsidRDefault="00000000" w:rsidP="00D46C68">
      <w:pPr>
        <w:pStyle w:val="JuPara"/>
      </w:pPr>
      <w:r w:rsidRPr="00D46C68">
        <w:t>wydaje następujący wyrok, który został przyjęty w tym dniu:</w:t>
      </w:r>
    </w:p>
    <w:p w14:paraId="5891AAC1" w14:textId="77777777" w:rsidR="00F6456F" w:rsidRPr="00D46C68" w:rsidRDefault="00000000" w:rsidP="00D46C68">
      <w:pPr>
        <w:pStyle w:val="JuHHead"/>
        <w:numPr>
          <w:ilvl w:val="0"/>
          <w:numId w:val="0"/>
        </w:numPr>
      </w:pPr>
      <w:r w:rsidRPr="00D46C68">
        <w:t>PRZEDMIOT SPRAWY</w:t>
      </w:r>
    </w:p>
    <w:p w14:paraId="67508601" w14:textId="77777777" w:rsidR="00F6456F" w:rsidRPr="00D46C68" w:rsidRDefault="00000000" w:rsidP="00D46C68">
      <w:pPr>
        <w:pStyle w:val="JuPara"/>
      </w:pPr>
      <w:r w:rsidRPr="00D46C68">
        <w:rPr>
          <w:noProof/>
        </w:rPr>
        <w:t>1</w:t>
      </w:r>
      <w:r w:rsidRPr="00D46C68">
        <w:t>.</w:t>
      </w:r>
      <w:r w:rsidR="003C664E" w:rsidRPr="00D46C68">
        <w:t xml:space="preserve"> </w:t>
      </w:r>
      <w:r w:rsidRPr="00D46C68">
        <w:t>Skarżący zarzucił, na podstawie art. 8 Konwencji, że jego małżeństwo z partnerem tej samej płci, zawarte za granicą, nie zostało zarejestrowane w</w:t>
      </w:r>
      <w:r w:rsidR="003C664E" w:rsidRPr="00D46C68">
        <w:t> </w:t>
      </w:r>
      <w:r w:rsidRPr="00D46C68">
        <w:t>Polsce, podczas gdy nie istniała żadna inna forma prawnego uznania i</w:t>
      </w:r>
      <w:r w:rsidR="003C664E" w:rsidRPr="00D46C68">
        <w:t> </w:t>
      </w:r>
      <w:r w:rsidRPr="00D46C68">
        <w:t>ochrony jego związku.</w:t>
      </w:r>
    </w:p>
    <w:p w14:paraId="1731B0AE" w14:textId="77777777" w:rsidR="00F6456F" w:rsidRPr="00D46C68" w:rsidRDefault="00000000" w:rsidP="00D46C68">
      <w:pPr>
        <w:pStyle w:val="JuPara"/>
      </w:pPr>
      <w:r w:rsidRPr="00D46C68">
        <w:rPr>
          <w:noProof/>
        </w:rPr>
        <w:t>2</w:t>
      </w:r>
      <w:r w:rsidRPr="00D46C68">
        <w:t>.</w:t>
      </w:r>
      <w:r w:rsidR="003C664E" w:rsidRPr="00D46C68">
        <w:t xml:space="preserve"> </w:t>
      </w:r>
      <w:r w:rsidRPr="00D46C68">
        <w:t>W dniu 7 maja 2016 r. skarżący zawarł związek małżeński ze swoim partnerem w Co</w:t>
      </w:r>
      <w:r w:rsidR="00E151EB">
        <w:t>n</w:t>
      </w:r>
      <w:r w:rsidRPr="00D46C68">
        <w:t>wy w Zjednoczonym Królestwie.</w:t>
      </w:r>
    </w:p>
    <w:p w14:paraId="6853AE4B" w14:textId="77777777" w:rsidR="00F6456F" w:rsidRPr="00D46C68" w:rsidRDefault="00000000" w:rsidP="00D46C68">
      <w:pPr>
        <w:pStyle w:val="JuPara"/>
      </w:pPr>
      <w:r w:rsidRPr="00D46C68">
        <w:rPr>
          <w:noProof/>
        </w:rPr>
        <w:t>3</w:t>
      </w:r>
      <w:r w:rsidRPr="00D46C68">
        <w:t>.</w:t>
      </w:r>
      <w:r w:rsidR="003C664E" w:rsidRPr="00D46C68">
        <w:t xml:space="preserve"> </w:t>
      </w:r>
      <w:r w:rsidRPr="00D46C68">
        <w:t>W lutym 2017 r. skarżący zwrócił się do Urzędu Stanu Cywilnego w</w:t>
      </w:r>
      <w:r w:rsidR="003C664E" w:rsidRPr="00D46C68">
        <w:t> </w:t>
      </w:r>
      <w:r w:rsidRPr="00D46C68">
        <w:t>Goszczynie o zarejestrowanie jego małżeństwa zawartego za granicą. Urząd odmówił, uznając że wpisanie małżeństwa osób tej samej płci do</w:t>
      </w:r>
      <w:r w:rsidR="003C664E" w:rsidRPr="00D46C68">
        <w:t> </w:t>
      </w:r>
      <w:r w:rsidRPr="00D46C68">
        <w:t>polskiego rejestru stanu cywilnego byłoby sprzeczne z „podstawowymi zasadami porządku prawnego Rzeczypospolitej Polskiej”. Po odwołaniu Wojewoda Mazowiecki utrzymał decyzję w mocy, podobnie jak Wojewódzki Sąd Administracyjny w Warszawie. W dniu 25 lutego 2020 r. Naczelny Sąd Administracyjny oddalił jego skargę kasacyjną. Wyrok został doręczony skarżącemu w dniu 21 maja 2020 r.</w:t>
      </w:r>
    </w:p>
    <w:p w14:paraId="6D525E17" w14:textId="77777777" w:rsidR="00F6456F" w:rsidRPr="00D46C68" w:rsidRDefault="00000000" w:rsidP="00D46C68">
      <w:pPr>
        <w:pStyle w:val="JuPara"/>
      </w:pPr>
      <w:r w:rsidRPr="00D46C68">
        <w:rPr>
          <w:noProof/>
        </w:rPr>
        <w:t>4</w:t>
      </w:r>
      <w:r w:rsidRPr="00D46C68">
        <w:t>.</w:t>
      </w:r>
      <w:r w:rsidR="003C664E" w:rsidRPr="00D46C68">
        <w:t xml:space="preserve"> </w:t>
      </w:r>
      <w:r w:rsidRPr="00D46C68">
        <w:t xml:space="preserve">Skarżący zarzucił, na podstawie art. 8 Konwencji, całkowity brak uznania jego związku w Polsce, polegający na niemożności zawarcia jakiegokolwiek prawnie uznanego związku ze swoim partnerem tej samej </w:t>
      </w:r>
      <w:r w:rsidRPr="00D46C68">
        <w:lastRenderedPageBreak/>
        <w:t>płci. Skarżący zarzucił ponadto, że jego małżeństwo zawarte za granicą nie</w:t>
      </w:r>
      <w:r w:rsidR="003C664E" w:rsidRPr="00D46C68">
        <w:t> </w:t>
      </w:r>
      <w:r w:rsidRPr="00D46C68">
        <w:t>zostało w żaden sposób uznane przez polskie władz</w:t>
      </w:r>
      <w:r w:rsidR="00A16F7C" w:rsidRPr="00D46C68">
        <w:t>e.</w:t>
      </w:r>
    </w:p>
    <w:p w14:paraId="0BF09950" w14:textId="77777777" w:rsidR="00F6456F" w:rsidRPr="00D46C68" w:rsidRDefault="00000000" w:rsidP="00D46C68">
      <w:pPr>
        <w:pStyle w:val="JuHHead"/>
      </w:pPr>
      <w:r w:rsidRPr="00D46C68">
        <w:t>OCENA TRYBUNAŁU</w:t>
      </w:r>
    </w:p>
    <w:p w14:paraId="28363668" w14:textId="77777777" w:rsidR="00F6456F" w:rsidRPr="00D46C68" w:rsidRDefault="00000000" w:rsidP="00D46C68">
      <w:pPr>
        <w:pStyle w:val="JuHIRoman"/>
      </w:pPr>
      <w:r w:rsidRPr="00D46C68">
        <w:t>ZARZUCANE NARUSZENIE ART. 8 KONWENCJI</w:t>
      </w:r>
    </w:p>
    <w:p w14:paraId="42D1EAEE" w14:textId="77777777" w:rsidR="00F6456F" w:rsidRPr="00D46C68" w:rsidRDefault="00000000" w:rsidP="00D46C68">
      <w:pPr>
        <w:pStyle w:val="JuHA"/>
      </w:pPr>
      <w:r w:rsidRPr="00D46C68">
        <w:t>Dopuszczalność</w:t>
      </w:r>
    </w:p>
    <w:p w14:paraId="0A2E7A51" w14:textId="77777777" w:rsidR="00F6456F" w:rsidRPr="00D46C68" w:rsidRDefault="00000000" w:rsidP="00D46C68">
      <w:pPr>
        <w:pStyle w:val="JuPara"/>
      </w:pPr>
      <w:r w:rsidRPr="00D46C68">
        <w:rPr>
          <w:noProof/>
        </w:rPr>
        <w:t>5</w:t>
      </w:r>
      <w:r w:rsidRPr="00D46C68">
        <w:t>.</w:t>
      </w:r>
      <w:r w:rsidR="003C664E" w:rsidRPr="00D46C68">
        <w:t xml:space="preserve"> </w:t>
      </w:r>
      <w:r w:rsidRPr="00D46C68">
        <w:t>Trybunał zauważa po pierwsze, że brak regulacji prawnej dotyczącej uznania i ochrony par tej samej płci wpływa zarówno na osobistą, jak i</w:t>
      </w:r>
      <w:r w:rsidR="003C664E" w:rsidRPr="00D46C68">
        <w:t> </w:t>
      </w:r>
      <w:r w:rsidRPr="00D46C68">
        <w:t>społeczną tożsamość skarżącego jako osoby pragnącej, aby jej związek z</w:t>
      </w:r>
      <w:r w:rsidR="003C664E" w:rsidRPr="00D46C68">
        <w:t> </w:t>
      </w:r>
      <w:r w:rsidRPr="00D46C68">
        <w:t>osobą tej samej płci został zalegalizowany i był chroniony przez prawo. Artykuł 8 Konwencji ma zatem zastosowanie w niniejszej sprawie zarówno w aspekcie „życia prywatnego”, jak i „życia rodzinnego” (zob.</w:t>
      </w:r>
      <w:r w:rsidR="003C664E" w:rsidRPr="00D46C68">
        <w:t> </w:t>
      </w:r>
      <w:r w:rsidRPr="00D46C68">
        <w:rPr>
          <w:i/>
        </w:rPr>
        <w:t>Przybyszewska i Inni przeciwko Polsce</w:t>
      </w:r>
      <w:r w:rsidRPr="00D46C68">
        <w:t xml:space="preserve">, skarga nr 11454/17 i dziewięć innych, </w:t>
      </w:r>
      <w:r w:rsidR="00B44865" w:rsidRPr="00D46C68">
        <w:t>§</w:t>
      </w:r>
      <w:r w:rsidRPr="00D46C68">
        <w:t xml:space="preserve"> 39, 12 grudnia 2023 r., wraz z dalszymi odniesieniami). Zastrzeżenie Rządu w tym zakresie należy zatem oddalić.</w:t>
      </w:r>
    </w:p>
    <w:p w14:paraId="34171E56" w14:textId="77777777" w:rsidR="00F6456F" w:rsidRPr="00D46C68" w:rsidRDefault="00000000" w:rsidP="00D46C68">
      <w:pPr>
        <w:pStyle w:val="JuPara"/>
      </w:pPr>
      <w:r w:rsidRPr="00D46C68">
        <w:rPr>
          <w:noProof/>
        </w:rPr>
        <w:t>6</w:t>
      </w:r>
      <w:r w:rsidRPr="00D46C68">
        <w:t>.</w:t>
      </w:r>
      <w:r w:rsidR="003C664E" w:rsidRPr="00D46C68">
        <w:t xml:space="preserve"> </w:t>
      </w:r>
      <w:r w:rsidRPr="00D46C68">
        <w:t xml:space="preserve">Trybunał zauważa również, że wcześniej oddalił zastrzeżenia Rządu dotyczące niewyczerpania krajowych środków odwoławczych – zaniechania złożenia skargi do Trybunału Konstytucyjnego (tamże, </w:t>
      </w:r>
      <w:r w:rsidR="00B44865" w:rsidRPr="00D46C68">
        <w:t>§</w:t>
      </w:r>
      <w:r w:rsidRPr="00D46C68">
        <w:t xml:space="preserve"> 53). Nie uznaje za</w:t>
      </w:r>
      <w:r w:rsidR="003C664E" w:rsidRPr="00D46C68">
        <w:t> </w:t>
      </w:r>
      <w:r w:rsidRPr="00D46C68">
        <w:t>konieczne powtarzania tych argumentów w rozpatrywanej sprawie i</w:t>
      </w:r>
      <w:r w:rsidR="003C664E" w:rsidRPr="00D46C68">
        <w:t> </w:t>
      </w:r>
      <w:r w:rsidRPr="00D46C68">
        <w:t>stwierdza, że skarżącego należy uznać za osobę, która wyczerpała krajowe środki odwoławcze. Zastrzeżenie Rządu w tym zakresie zostaje zatem oddalone.</w:t>
      </w:r>
    </w:p>
    <w:p w14:paraId="75F3A9D2" w14:textId="77777777" w:rsidR="00F6456F" w:rsidRPr="00D46C68" w:rsidRDefault="00000000" w:rsidP="00D46C68">
      <w:pPr>
        <w:pStyle w:val="JuPara"/>
      </w:pPr>
      <w:r w:rsidRPr="00D46C68">
        <w:rPr>
          <w:noProof/>
        </w:rPr>
        <w:t>7</w:t>
      </w:r>
      <w:r w:rsidRPr="00D46C68">
        <w:t>.</w:t>
      </w:r>
      <w:r w:rsidR="003C664E" w:rsidRPr="00D46C68">
        <w:t xml:space="preserve"> </w:t>
      </w:r>
      <w:r w:rsidRPr="00D46C68">
        <w:t>Ponadto Rząd stwierdził, że skarżący nie poniósł znaczącego uszczerbku i nie może twierdzić, że jest ofiarą zarzucanych naruszeń Konwencji, ponieważ mimo otrzymania niekorzystnej decyzji od polskich władz, skarżący nadal mieszkał ze swoim mężem w Zjednoczonym Królestwie i nie poniósł żadnej szkody. Skarżący zakwestionował te</w:t>
      </w:r>
      <w:r w:rsidR="003C664E" w:rsidRPr="00D46C68">
        <w:t> </w:t>
      </w:r>
      <w:r w:rsidRPr="00D46C68">
        <w:t>zastrzeżenia, powtarzając, że Polska odmówiła mu jakiejkolwiek formy uznania jego związku, nawet poprzez samą rejestrację zagranicznego aktu małżeństwa. Skarżący podkreślił, że w Polsce nie miał dostępu do</w:t>
      </w:r>
      <w:r w:rsidR="003C664E" w:rsidRPr="00D46C68">
        <w:t> </w:t>
      </w:r>
      <w:r w:rsidRPr="00D46C68">
        <w:t>podstawowych praw istotnych dla każdej pary w stabilnym związku, co</w:t>
      </w:r>
      <w:r w:rsidR="003C664E" w:rsidRPr="00D46C68">
        <w:t> </w:t>
      </w:r>
      <w:r w:rsidRPr="00D46C68">
        <w:t>było powodem, dla którego pozostał za granicą, gdzie jego prawa były chronione. Złożył wniosek o rejestrację małżeństwa, ponieważ zamierzał studiować w Polsce, gdzie kształcenie uniwersyteckie było bezpłatne. Jednakże, w następstwie odmowy rejestracji jego małżeństwa, został zmuszony do porzucenia planów powrotu do Polski ze swoim mężem. Jako</w:t>
      </w:r>
      <w:r w:rsidR="003C664E" w:rsidRPr="00D46C68">
        <w:t> </w:t>
      </w:r>
      <w:r w:rsidRPr="00D46C68">
        <w:t>obywatel polski został de facto zmuszony do życia za granicą, co</w:t>
      </w:r>
      <w:r w:rsidR="003C664E" w:rsidRPr="00D46C68">
        <w:t> </w:t>
      </w:r>
      <w:r w:rsidRPr="00D46C68">
        <w:t>wywołało u niego stres i niepokój, które wpłynęły na jego życie prywatne i rodzinne.</w:t>
      </w:r>
    </w:p>
    <w:p w14:paraId="1FC6E2AA" w14:textId="77777777" w:rsidR="00F6456F" w:rsidRPr="00D46C68" w:rsidRDefault="00000000" w:rsidP="00D46C68">
      <w:pPr>
        <w:pStyle w:val="JuPara"/>
      </w:pPr>
      <w:r w:rsidRPr="00D46C68">
        <w:t>8</w:t>
      </w:r>
      <w:r w:rsidR="0008688D" w:rsidRPr="00D46C68">
        <w:t>.</w:t>
      </w:r>
      <w:r w:rsidR="003C664E" w:rsidRPr="00D46C68">
        <w:t xml:space="preserve"> </w:t>
      </w:r>
      <w:r w:rsidR="0008688D" w:rsidRPr="00D46C68">
        <w:t xml:space="preserve">Trybunał stwierdza, że zastrzeżenia dotyczące statusu ofiary i braku znaczącego uszczerbku są sformułowane w podobnych kategoriach i są ściśle </w:t>
      </w:r>
      <w:r w:rsidR="0008688D" w:rsidRPr="00D46C68">
        <w:lastRenderedPageBreak/>
        <w:t>powiązane z przedmiotem skargi, że prawa konwencyjne skarżącego zostały naruszone przez brak prawnego uznania związków osób tej samej płci. W</w:t>
      </w:r>
      <w:r w:rsidR="003C664E" w:rsidRPr="00D46C68">
        <w:t> </w:t>
      </w:r>
      <w:r w:rsidR="0008688D" w:rsidRPr="00D46C68">
        <w:t>związku z tym Trybunał łączy te zastrzeżenia z przedmiotem skargi.</w:t>
      </w:r>
    </w:p>
    <w:p w14:paraId="2BF25386" w14:textId="77777777" w:rsidR="00F6456F" w:rsidRPr="00D46C68" w:rsidRDefault="00000000" w:rsidP="00D46C68">
      <w:pPr>
        <w:pStyle w:val="JuPara"/>
      </w:pPr>
      <w:r w:rsidRPr="00D46C68">
        <w:rPr>
          <w:noProof/>
        </w:rPr>
        <w:t>9</w:t>
      </w:r>
      <w:r w:rsidRPr="00D46C68">
        <w:t>.</w:t>
      </w:r>
      <w:r w:rsidR="003C664E" w:rsidRPr="00D46C68">
        <w:t xml:space="preserve"> </w:t>
      </w:r>
      <w:r w:rsidRPr="00D46C68">
        <w:t>Wynika z tego, że niniejsza skarga nie jest w sposób oczywisty nieuz</w:t>
      </w:r>
      <w:r w:rsidR="00454AE2" w:rsidRPr="00D46C68">
        <w:t>asadniona w rozumieniu art. 35 ust.</w:t>
      </w:r>
      <w:r w:rsidRPr="00D46C68">
        <w:t xml:space="preserve"> 3 lit. a Konwencji ani</w:t>
      </w:r>
      <w:r w:rsidR="003C664E" w:rsidRPr="00D46C68">
        <w:t> </w:t>
      </w:r>
      <w:r w:rsidRPr="00D46C68">
        <w:t>niedopuszczalna z jakichkolwiek innych powodów. Musi ona zatem zostać uznana za dopuszczalną.</w:t>
      </w:r>
    </w:p>
    <w:p w14:paraId="0A7B0543" w14:textId="77777777" w:rsidR="00F6456F" w:rsidRPr="00D46C68" w:rsidRDefault="00000000" w:rsidP="00D46C68">
      <w:pPr>
        <w:pStyle w:val="JuHA"/>
      </w:pPr>
      <w:r w:rsidRPr="00D46C68">
        <w:t>Przedmiot skargi</w:t>
      </w:r>
    </w:p>
    <w:p w14:paraId="2C859D0E" w14:textId="77777777" w:rsidR="00F6456F" w:rsidRPr="00D46C68" w:rsidRDefault="00000000" w:rsidP="00D46C68">
      <w:pPr>
        <w:pStyle w:val="JuPara"/>
      </w:pPr>
      <w:r w:rsidRPr="00D46C68">
        <w:rPr>
          <w:noProof/>
        </w:rPr>
        <w:t>10</w:t>
      </w:r>
      <w:r w:rsidRPr="00D46C68">
        <w:t>.</w:t>
      </w:r>
      <w:r w:rsidR="003C664E" w:rsidRPr="00D46C68">
        <w:t xml:space="preserve"> </w:t>
      </w:r>
      <w:r w:rsidRPr="00D46C68">
        <w:t>Ogólne zasady potwierdzające, że zgodnie z ich pozytywnymi obowiązkami wynikającymi z art. 8 Konwencji, państwa członkowskie są</w:t>
      </w:r>
      <w:r w:rsidR="003C664E" w:rsidRPr="00D46C68">
        <w:t> </w:t>
      </w:r>
      <w:r w:rsidRPr="00D46C68">
        <w:t>zobowiązane do zapewnienia ram prawnych umożliwiających parom tej samej płci uzyskanie odpowiedniego uznania i ochrony ich związku, są</w:t>
      </w:r>
      <w:r w:rsidR="003C664E" w:rsidRPr="00D46C68">
        <w:t> </w:t>
      </w:r>
      <w:r w:rsidRPr="00D46C68">
        <w:t xml:space="preserve">określone w sprawie </w:t>
      </w:r>
      <w:r w:rsidRPr="00D46C68">
        <w:rPr>
          <w:i/>
        </w:rPr>
        <w:t>Fedotova i Inni przeciwko Rosji</w:t>
      </w:r>
      <w:r w:rsidRPr="00D46C68">
        <w:t xml:space="preserve"> [WI], skarga nr</w:t>
      </w:r>
      <w:r w:rsidR="003C664E" w:rsidRPr="00D46C68">
        <w:t> </w:t>
      </w:r>
      <w:r w:rsidRPr="00D46C68">
        <w:t xml:space="preserve">40792/10 i dwie inne, </w:t>
      </w:r>
      <w:r w:rsidR="00B44865" w:rsidRPr="00D46C68">
        <w:t xml:space="preserve">§§ </w:t>
      </w:r>
      <w:r w:rsidRPr="00D46C68">
        <w:t>152-65 i 178, 17 stycznia 2023 r.</w:t>
      </w:r>
    </w:p>
    <w:p w14:paraId="1CE6E107" w14:textId="77777777" w:rsidR="00F6456F" w:rsidRPr="00D46C68" w:rsidRDefault="00000000" w:rsidP="00D46C68">
      <w:pPr>
        <w:pStyle w:val="JuPara"/>
      </w:pPr>
      <w:r w:rsidRPr="00D46C68">
        <w:rPr>
          <w:noProof/>
        </w:rPr>
        <w:t>11</w:t>
      </w:r>
      <w:r w:rsidRPr="00D46C68">
        <w:t>.</w:t>
      </w:r>
      <w:r w:rsidR="003C664E" w:rsidRPr="00D46C68">
        <w:t xml:space="preserve"> </w:t>
      </w:r>
      <w:r w:rsidRPr="00D46C68">
        <w:t xml:space="preserve">Stosując te zasady, Trybunał stwierdził w sprawie </w:t>
      </w:r>
      <w:r w:rsidRPr="00D46C68">
        <w:rPr>
          <w:i/>
        </w:rPr>
        <w:t>Przybyszewska i</w:t>
      </w:r>
      <w:r w:rsidR="00755BCD" w:rsidRPr="00D46C68">
        <w:rPr>
          <w:i/>
        </w:rPr>
        <w:t> </w:t>
      </w:r>
      <w:r w:rsidRPr="00D46C68">
        <w:rPr>
          <w:i/>
        </w:rPr>
        <w:t>Inni</w:t>
      </w:r>
      <w:r w:rsidRPr="00D46C68">
        <w:t xml:space="preserve"> (cyt</w:t>
      </w:r>
      <w:r w:rsidR="00454AE2" w:rsidRPr="00D46C68">
        <w:t>.</w:t>
      </w:r>
      <w:r w:rsidRPr="00D46C68">
        <w:t xml:space="preserve"> powyżej, </w:t>
      </w:r>
      <w:r w:rsidR="00454AE2" w:rsidRPr="00D46C68">
        <w:t xml:space="preserve">§ </w:t>
      </w:r>
      <w:r w:rsidRPr="00D46C68">
        <w:t xml:space="preserve">122), że Polska nie wywiązała się z pozytywnego obowiązku zapewnienia skarżącym szczególnych ram prawnych przewidujących uznanie i ochronę ich związków jednopłciowych, naruszając art. 8 Konwencji (porównaj także </w:t>
      </w:r>
      <w:r w:rsidRPr="00D46C68">
        <w:rPr>
          <w:i/>
        </w:rPr>
        <w:t>Formela i Inni przeciwko Polsce</w:t>
      </w:r>
      <w:r w:rsidRPr="00D46C68">
        <w:t xml:space="preserve"> [Komitet], skarga nr 58828/12 i cztery inne, </w:t>
      </w:r>
      <w:r w:rsidR="00B44865" w:rsidRPr="00D46C68">
        <w:t>§</w:t>
      </w:r>
      <w:r w:rsidRPr="00D46C68">
        <w:t xml:space="preserve"> 25, 19 września 2024 r.).</w:t>
      </w:r>
    </w:p>
    <w:p w14:paraId="60539332" w14:textId="77777777" w:rsidR="00F6456F" w:rsidRPr="00D46C68" w:rsidRDefault="00000000" w:rsidP="00D46C68">
      <w:pPr>
        <w:pStyle w:val="JuPara"/>
      </w:pPr>
      <w:r w:rsidRPr="00D46C68">
        <w:rPr>
          <w:noProof/>
        </w:rPr>
        <w:t>12</w:t>
      </w:r>
      <w:r w:rsidRPr="00D46C68">
        <w:t>.</w:t>
      </w:r>
      <w:r w:rsidR="003C664E" w:rsidRPr="00D46C68">
        <w:t xml:space="preserve"> </w:t>
      </w:r>
      <w:r w:rsidRPr="00D46C68">
        <w:t>W niniejszej sprawie skarżący nie zarzuca niemożności zawarcia małżeństwa w Polsce, a Trybunał przypomina, że art. 8, 12 i 14 Konwencji nie zostały dotychczas zinterpretowane jako nakładające na państwa-strony pozytywny obowiązek wprowadzenia małżeństw dla par tej samej płci (</w:t>
      </w:r>
      <w:r w:rsidRPr="00D46C68">
        <w:rPr>
          <w:i/>
        </w:rPr>
        <w:t>Fedotova i Inni</w:t>
      </w:r>
      <w:r w:rsidRPr="00D46C68">
        <w:t>, cyt</w:t>
      </w:r>
      <w:r w:rsidR="00454AE2" w:rsidRPr="00D46C68">
        <w:t>.</w:t>
      </w:r>
      <w:r w:rsidRPr="00D46C68">
        <w:t xml:space="preserve"> powyżej, </w:t>
      </w:r>
      <w:r w:rsidR="00454AE2" w:rsidRPr="00D46C68">
        <w:t xml:space="preserve">§ </w:t>
      </w:r>
      <w:r w:rsidRPr="00D46C68">
        <w:t>165).</w:t>
      </w:r>
    </w:p>
    <w:p w14:paraId="0142D436" w14:textId="77777777" w:rsidR="00F6456F" w:rsidRPr="00D46C68" w:rsidRDefault="00000000" w:rsidP="00D46C68">
      <w:pPr>
        <w:pStyle w:val="JuPara"/>
      </w:pPr>
      <w:r w:rsidRPr="00D46C68">
        <w:rPr>
          <w:noProof/>
        </w:rPr>
        <w:t>13</w:t>
      </w:r>
      <w:r w:rsidRPr="00D46C68">
        <w:t>.</w:t>
      </w:r>
      <w:r w:rsidR="003C664E" w:rsidRPr="00D46C68">
        <w:t xml:space="preserve"> </w:t>
      </w:r>
      <w:r w:rsidRPr="00D46C68">
        <w:t>Trybunał skupi się zatem na ocenie, czy pozwane państwo wywiązało się z pozytywnego obowiązku ustanowienia ram prawnych umożliwiających skarżącemu uzyskanie odpowiedniego uznania i ochrony jego związku (zob.</w:t>
      </w:r>
      <w:r w:rsidR="003C664E" w:rsidRPr="00D46C68">
        <w:t> </w:t>
      </w:r>
      <w:r w:rsidRPr="00D46C68">
        <w:rPr>
          <w:i/>
        </w:rPr>
        <w:t xml:space="preserve">Koilova i Babulkova przeciwko Bułgarii, </w:t>
      </w:r>
      <w:r w:rsidRPr="00D46C68">
        <w:t xml:space="preserve">skarga nr 40209/20, </w:t>
      </w:r>
      <w:r w:rsidR="00454AE2" w:rsidRPr="00D46C68">
        <w:t xml:space="preserve">§ </w:t>
      </w:r>
      <w:r w:rsidRPr="00D46C68">
        <w:t>41, 5</w:t>
      </w:r>
      <w:r w:rsidR="003C664E" w:rsidRPr="00D46C68">
        <w:t> </w:t>
      </w:r>
      <w:r w:rsidRPr="00D46C68">
        <w:t>września 2023 r.). W tym celu należy zbadać, czy uwzględniwszy przyznany pozwanemu państwu margines oceny, zachowało ono właściwą równowagę między nadrzędnymi interesami, którymi się kierowało, a</w:t>
      </w:r>
      <w:r w:rsidR="003C664E" w:rsidRPr="00D46C68">
        <w:t> </w:t>
      </w:r>
      <w:r w:rsidRPr="00D46C68">
        <w:t xml:space="preserve">interesami podnoszonymi przez skarżących (zob. </w:t>
      </w:r>
      <w:r w:rsidRPr="00D46C68">
        <w:rPr>
          <w:i/>
        </w:rPr>
        <w:t>Buhuceanu i Inni</w:t>
      </w:r>
      <w:r w:rsidRPr="00D46C68">
        <w:t xml:space="preserve"> </w:t>
      </w:r>
      <w:r w:rsidRPr="00D46C68">
        <w:rPr>
          <w:i/>
        </w:rPr>
        <w:t>przeciwko Rumunii</w:t>
      </w:r>
      <w:r w:rsidRPr="00D46C68">
        <w:t xml:space="preserve">, skargi nr 20081/19 i dwadzieścia innych, </w:t>
      </w:r>
      <w:r w:rsidR="00B44865" w:rsidRPr="00D46C68">
        <w:t>§</w:t>
      </w:r>
      <w:r w:rsidRPr="00D46C68">
        <w:t xml:space="preserve"> 75, 23 maja 2023 r.).</w:t>
      </w:r>
    </w:p>
    <w:p w14:paraId="7BD3D66F" w14:textId="77777777" w:rsidR="00F6456F" w:rsidRPr="00D46C68" w:rsidRDefault="00000000" w:rsidP="00D46C68">
      <w:pPr>
        <w:pStyle w:val="JuPara"/>
      </w:pPr>
      <w:r w:rsidRPr="00D46C68">
        <w:rPr>
          <w:noProof/>
        </w:rPr>
        <w:t>14</w:t>
      </w:r>
      <w:r w:rsidRPr="00D46C68">
        <w:t>.</w:t>
      </w:r>
      <w:r w:rsidR="003C664E" w:rsidRPr="00D46C68">
        <w:t xml:space="preserve"> </w:t>
      </w:r>
      <w:r w:rsidRPr="00D46C68">
        <w:t xml:space="preserve">Przedmiotem sporu między stronami nie było to, że polskie prawo nadal przewiduje tylko jedną formę związku rodzinnego – małżeństwo osób przeciwnej płci – i nie przewiduje żadnej formy prawnego uznania dla par osób tej samej płci (zob. </w:t>
      </w:r>
      <w:r w:rsidRPr="00D46C68">
        <w:rPr>
          <w:i/>
        </w:rPr>
        <w:t>Przybyszewska i Inni</w:t>
      </w:r>
      <w:r w:rsidRPr="00D46C68">
        <w:t xml:space="preserve">, cyt. </w:t>
      </w:r>
      <w:r w:rsidR="00454AE2" w:rsidRPr="00D46C68">
        <w:t>po</w:t>
      </w:r>
      <w:r w:rsidRPr="00D46C68">
        <w:t>wyż</w:t>
      </w:r>
      <w:r w:rsidR="00454AE2" w:rsidRPr="00D46C68">
        <w:t>ej</w:t>
      </w:r>
      <w:r w:rsidRPr="00D46C68">
        <w:t xml:space="preserve">, </w:t>
      </w:r>
      <w:r w:rsidR="00B44865" w:rsidRPr="00D46C68">
        <w:t xml:space="preserve">§ </w:t>
      </w:r>
      <w:r w:rsidRPr="00D46C68">
        <w:t xml:space="preserve">105). Sytuacja różni się zatem znacząco od stanu prawnego w wielu państwach członkowskich, które zobowiązały się do zmiany ustawodawstwa, </w:t>
      </w:r>
      <w:r w:rsidRPr="00D46C68">
        <w:lastRenderedPageBreak/>
        <w:t>by</w:t>
      </w:r>
      <w:r w:rsidR="003C664E" w:rsidRPr="00D46C68">
        <w:t> </w:t>
      </w:r>
      <w:r w:rsidRPr="00D46C68">
        <w:t>zapewnić osobom tej samej płci skuteczną ochronę ich życia prywatnego i rodzinnego.</w:t>
      </w:r>
    </w:p>
    <w:p w14:paraId="08D650B9" w14:textId="77777777" w:rsidR="00F6456F" w:rsidRPr="00D46C68" w:rsidRDefault="00000000" w:rsidP="00D46C68">
      <w:pPr>
        <w:pStyle w:val="JuPara"/>
      </w:pPr>
      <w:r w:rsidRPr="00D46C68">
        <w:rPr>
          <w:noProof/>
        </w:rPr>
        <w:t>15</w:t>
      </w:r>
      <w:r w:rsidRPr="00D46C68">
        <w:t>.</w:t>
      </w:r>
      <w:r w:rsidR="003C664E" w:rsidRPr="00D46C68">
        <w:t xml:space="preserve"> </w:t>
      </w:r>
      <w:r w:rsidRPr="00D46C68">
        <w:t>Jak podniósł skarżący, partnerzy tej samej płci nie mogą dziedziczyć po sobie, chyba że zostało to wyraźnie wskazane w testamencie, nie mają prawa do złożenia wspólnej deklaracji podatkowej ani do korzystania ze</w:t>
      </w:r>
      <w:r w:rsidR="00AE0351" w:rsidRPr="00D46C68">
        <w:t> </w:t>
      </w:r>
      <w:r w:rsidRPr="00D46C68">
        <w:t>zwolnień podatkowych od spadku lub darowizny przyznawanych osobom pozostającym w związku małżeńskim. Pary tej samej płci są zmuszone do</w:t>
      </w:r>
      <w:r w:rsidR="00AE0351" w:rsidRPr="00D46C68">
        <w:t> </w:t>
      </w:r>
      <w:r w:rsidRPr="00D46C68">
        <w:t>poszukiwania alternatywnych sposobów organizowania wspólnego życia i dążenia do prawnego uznania ich związku, na przykład poprzez zawieranie małżeństw za granicą.</w:t>
      </w:r>
    </w:p>
    <w:p w14:paraId="20E3738B" w14:textId="7E84F3CE" w:rsidR="00F6456F" w:rsidRPr="00D46C68" w:rsidRDefault="00000000" w:rsidP="00D46C68">
      <w:pPr>
        <w:pStyle w:val="JuPara"/>
      </w:pPr>
      <w:r w:rsidRPr="00D46C68">
        <w:rPr>
          <w:noProof/>
        </w:rPr>
        <w:t>16</w:t>
      </w:r>
      <w:r w:rsidRPr="00D46C68">
        <w:t>.</w:t>
      </w:r>
      <w:r w:rsidR="003C664E" w:rsidRPr="00D46C68">
        <w:t xml:space="preserve"> </w:t>
      </w:r>
      <w:r w:rsidRPr="00D46C68">
        <w:t xml:space="preserve">W Polsce pary tej samej płci, wobec braku oficjalnego prawnego uznania, są jedynie związkami </w:t>
      </w:r>
      <w:r w:rsidRPr="00D46C68">
        <w:rPr>
          <w:i/>
        </w:rPr>
        <w:t>de facto</w:t>
      </w:r>
      <w:r w:rsidRPr="00D46C68">
        <w:t>, nawet jeśli – jak w przypadku skarżącego – ważne małżeństwo zostało zawarte za granicą. Partnerzy tej</w:t>
      </w:r>
      <w:r w:rsidR="00AE0351" w:rsidRPr="00D46C68">
        <w:t> </w:t>
      </w:r>
      <w:r w:rsidRPr="00D46C68">
        <w:t>samej płci nie są w stanie powoływać się na istnienie swojego związku w</w:t>
      </w:r>
      <w:r w:rsidR="00AE0351" w:rsidRPr="00D46C68">
        <w:t> </w:t>
      </w:r>
      <w:r w:rsidRPr="00D46C68">
        <w:t>kontaktach z organami sądowymi lub administracyjnymi (zob.</w:t>
      </w:r>
      <w:r w:rsidR="00755BCD" w:rsidRPr="00D46C68">
        <w:t> </w:t>
      </w:r>
      <w:r w:rsidRPr="00D46C68">
        <w:rPr>
          <w:i/>
        </w:rPr>
        <w:t>Przybyszewska i Inni</w:t>
      </w:r>
      <w:r w:rsidRPr="00D46C68">
        <w:t>, cyt. pow</w:t>
      </w:r>
      <w:r w:rsidR="00454AE2" w:rsidRPr="00D46C68">
        <w:t>yżej</w:t>
      </w:r>
      <w:r w:rsidRPr="00D46C68">
        <w:t xml:space="preserve">, </w:t>
      </w:r>
      <w:r w:rsidR="00B44865" w:rsidRPr="00D46C68">
        <w:t>§</w:t>
      </w:r>
      <w:r w:rsidRPr="00D46C68">
        <w:t xml:space="preserve"> 113). Trybunał przypomina, że</w:t>
      </w:r>
      <w:r w:rsidR="00755BCD" w:rsidRPr="00D46C68">
        <w:t> </w:t>
      </w:r>
      <w:r w:rsidRPr="00D46C68">
        <w:t>konieczność zwracania się do sądów krajowych w celu ochrony zwykłych potrzeb danej pary sama w sobie stanowi przeszkodę w realizacji prawa do</w:t>
      </w:r>
      <w:r w:rsidR="00AE0351" w:rsidRPr="00D46C68">
        <w:t> </w:t>
      </w:r>
      <w:r w:rsidRPr="00D46C68">
        <w:t xml:space="preserve">poszanowania życia prywatnego i rodzinnego. W rozpatrywanej sprawie skarżący, który zawarł małżeństwo z obywatelem brytyjskim, czuł się powstrzymany przed powrotem do Polski, gdzie </w:t>
      </w:r>
      <w:r w:rsidR="00984B81" w:rsidRPr="00984B81">
        <w:t>jego mąż i on nie</w:t>
      </w:r>
      <w:r w:rsidR="00E43C0A">
        <w:t> </w:t>
      </w:r>
      <w:r w:rsidR="00984B81" w:rsidRPr="00984B81">
        <w:t xml:space="preserve">otrzymaliby </w:t>
      </w:r>
      <w:r w:rsidRPr="00D46C68">
        <w:t>ochrony prawnej ich związku.</w:t>
      </w:r>
    </w:p>
    <w:p w14:paraId="50D46706" w14:textId="77777777" w:rsidR="00F6456F" w:rsidRPr="00D46C68" w:rsidRDefault="00000000" w:rsidP="00D46C68">
      <w:pPr>
        <w:pStyle w:val="JuPara"/>
      </w:pPr>
      <w:r w:rsidRPr="00D46C68">
        <w:rPr>
          <w:noProof/>
        </w:rPr>
        <w:t>17</w:t>
      </w:r>
      <w:r w:rsidRPr="00D46C68">
        <w:t>.</w:t>
      </w:r>
      <w:r w:rsidR="003C664E" w:rsidRPr="00D46C68">
        <w:t xml:space="preserve"> </w:t>
      </w:r>
      <w:r w:rsidRPr="00D46C68">
        <w:t>Odwołując się do ustaleń poczynionych już przez Trybunał wobec Polski w sprawach przytoczonych powyżej, stwierdza on, że poprzez brak</w:t>
      </w:r>
      <w:r w:rsidR="00AE0351" w:rsidRPr="00D46C68">
        <w:t> </w:t>
      </w:r>
      <w:r w:rsidRPr="00D46C68">
        <w:t>zapewnienia skarżącemu szczególnych ram prawnych przewidujących uznanie i ochronę, władze polskie pozostawiły go w próżni prawnej i nie</w:t>
      </w:r>
      <w:r w:rsidR="00AE0351" w:rsidRPr="00D46C68">
        <w:t> </w:t>
      </w:r>
      <w:r w:rsidRPr="00D46C68">
        <w:t>zabezpieczyły podstawowych potrzeb w zakresie uznania i ochrony par jednopłciowych żyjących w stałym i zaangażowanym związku. Trybunał stwierdza, że żadna z podstaw interesu publicznego przedstawionych przez Rząd nie jest nadrzędna wobec interesu skarżącego w odpowiednim uznaniu i ochronie prawnej jego związku.</w:t>
      </w:r>
    </w:p>
    <w:p w14:paraId="7F812E9D" w14:textId="77777777" w:rsidR="00F6456F" w:rsidRPr="00D46C68" w:rsidRDefault="00000000" w:rsidP="00D46C68">
      <w:pPr>
        <w:pStyle w:val="JuPara"/>
      </w:pPr>
      <w:r w:rsidRPr="00D46C68">
        <w:rPr>
          <w:noProof/>
        </w:rPr>
        <w:t>18</w:t>
      </w:r>
      <w:r w:rsidRPr="00D46C68">
        <w:t>.</w:t>
      </w:r>
      <w:r w:rsidR="003C664E" w:rsidRPr="00D46C68">
        <w:t xml:space="preserve"> </w:t>
      </w:r>
      <w:r w:rsidRPr="00D46C68">
        <w:t xml:space="preserve">Trybunał zauważa, że państwa członkowskie mają szerszy margines oceny przy określaniu dokładnego charakteru reżimu prawnego, który ma być dostępny dla par tej samej płci. Jednak ważne jest, aby ochrona zapewniana przez </w:t>
      </w:r>
      <w:r w:rsidR="00FF635D" w:rsidRPr="00D46C68">
        <w:t xml:space="preserve">państwa </w:t>
      </w:r>
      <w:r w:rsidRPr="00D46C68">
        <w:t>parom tej samej płci była odpowiednia. To w tym ostatnim kontekście można uwzględnić tło społeczne i kulturowe Polski.</w:t>
      </w:r>
    </w:p>
    <w:p w14:paraId="19E62A49" w14:textId="77777777" w:rsidR="00F6456F" w:rsidRPr="00D46C68" w:rsidRDefault="00000000" w:rsidP="00D46C68">
      <w:pPr>
        <w:pStyle w:val="JuPara"/>
      </w:pPr>
      <w:r w:rsidRPr="00D46C68">
        <w:rPr>
          <w:noProof/>
        </w:rPr>
        <w:t>19</w:t>
      </w:r>
      <w:r w:rsidRPr="00D46C68">
        <w:t>.</w:t>
      </w:r>
      <w:r w:rsidR="003C664E" w:rsidRPr="00D46C68">
        <w:t xml:space="preserve"> </w:t>
      </w:r>
      <w:r w:rsidRPr="00D46C68">
        <w:t>Trybunał stwierdza, że pozwane państwo przekroczyło swój margines oceny i nie wypełniło swojego pozytywnego obowiązku zapewnienia skarżącemu szczególnych ram prawnych przewidujących uznanie i ochronę jego związku jednopłciowego. Stanowi to naruszenie prawa skarżącego do</w:t>
      </w:r>
      <w:r w:rsidR="00AE0351" w:rsidRPr="00D46C68">
        <w:t> </w:t>
      </w:r>
      <w:r w:rsidRPr="00D46C68">
        <w:t>poszanowania życia prywatnego i rodzinnego.</w:t>
      </w:r>
    </w:p>
    <w:p w14:paraId="2DF0DFB4" w14:textId="77777777" w:rsidR="00F6456F" w:rsidRPr="00D46C68" w:rsidRDefault="00000000" w:rsidP="00D46C68">
      <w:pPr>
        <w:pStyle w:val="JuPara"/>
      </w:pPr>
      <w:r w:rsidRPr="00D46C68">
        <w:rPr>
          <w:noProof/>
        </w:rPr>
        <w:t>20</w:t>
      </w:r>
      <w:r w:rsidRPr="00D46C68">
        <w:t>.</w:t>
      </w:r>
      <w:r w:rsidR="003C664E" w:rsidRPr="00D46C68">
        <w:t xml:space="preserve"> </w:t>
      </w:r>
      <w:r w:rsidRPr="00D46C68">
        <w:t xml:space="preserve">Trybunał zauważa wreszcie, że odmowa rejestracji małżeństwa skarżącego nie pozbawiła go żadnych praw uprzednio uznanych w Polsce (gdyby takie istniały), oraz że skarżący nadal mógł korzystać, w państwie, </w:t>
      </w:r>
      <w:r w:rsidRPr="00D46C68">
        <w:lastRenderedPageBreak/>
        <w:t>w</w:t>
      </w:r>
      <w:r w:rsidR="00AE0351" w:rsidRPr="00D46C68">
        <w:t> </w:t>
      </w:r>
      <w:r w:rsidRPr="00D46C68">
        <w:t xml:space="preserve">którym zawarł małżeństwo, z praw i obowiązków nabytych poprzez takie małżeństwo (zob. </w:t>
      </w:r>
      <w:r w:rsidRPr="00D46C68">
        <w:rPr>
          <w:i/>
        </w:rPr>
        <w:t>Orlandi i Inni przeciwko Włochom</w:t>
      </w:r>
      <w:r w:rsidRPr="00D46C68">
        <w:t>, skarga nr 26431/12 i</w:t>
      </w:r>
      <w:r w:rsidR="00755BCD" w:rsidRPr="00D46C68">
        <w:t> </w:t>
      </w:r>
      <w:r w:rsidRPr="00D46C68">
        <w:t xml:space="preserve">trzy inne, </w:t>
      </w:r>
      <w:r w:rsidR="00B44865" w:rsidRPr="00D46C68">
        <w:t>§</w:t>
      </w:r>
      <w:r w:rsidRPr="00D46C68">
        <w:t xml:space="preserve"> 208, 14 grudnia 2017 r., gdzie niektórzy skarżący najwyraźniej również mieszkali poza Włochami (</w:t>
      </w:r>
      <w:r w:rsidR="00B44865" w:rsidRPr="00D46C68">
        <w:t>§</w:t>
      </w:r>
      <w:r w:rsidRPr="00D46C68">
        <w:t xml:space="preserve"> 119)). Trybunał zauważa, że</w:t>
      </w:r>
      <w:r w:rsidR="00755BCD" w:rsidRPr="00D46C68">
        <w:t> </w:t>
      </w:r>
      <w:r w:rsidRPr="00D46C68">
        <w:t>w</w:t>
      </w:r>
      <w:r w:rsidR="00755BCD" w:rsidRPr="00D46C68">
        <w:t> </w:t>
      </w:r>
      <w:r w:rsidRPr="00D46C68">
        <w:t>postępowaniu przed polskimi władzami wszczętym przez skarżącego, jego małżeństwo nie zostało zarejestrowane nie z powodu jego zamieszkiwania za granicą, ale ponieważ prawo polskie nie przewidywało takiej możliwości. Trybunał uważa, że skarżący może być uznany za</w:t>
      </w:r>
      <w:r w:rsidR="00AE0351" w:rsidRPr="00D46C68">
        <w:t> </w:t>
      </w:r>
      <w:r w:rsidRPr="00D46C68">
        <w:t>należącego do kategorii osób bezpośrednio narażonych na skutki polskiego ustawodawstwa, które nie oferuje uznania i ochrony parom tej samej płci, i</w:t>
      </w:r>
      <w:r w:rsidR="00755BCD" w:rsidRPr="00D46C68">
        <w:t> </w:t>
      </w:r>
      <w:r w:rsidRPr="00D46C68">
        <w:t xml:space="preserve">był zmuszony do zmodyfikowania swojego postępowania oraz znalezienia alternatywnego sposobu uzyskania ochrony prawnej i uznania jako para (zob. </w:t>
      </w:r>
      <w:bookmarkStart w:id="0" w:name="_cl37524THECOURTSASSESSMENT"/>
      <w:r w:rsidRPr="00D46C68">
        <w:rPr>
          <w:i/>
        </w:rPr>
        <w:t>Tănase przeciwko Mołdawii</w:t>
      </w:r>
      <w:bookmarkEnd w:id="0"/>
      <w:r w:rsidRPr="00D46C68">
        <w:t xml:space="preserve"> [WI], skarga nr 7/08, </w:t>
      </w:r>
      <w:r w:rsidR="00B44865" w:rsidRPr="00D46C68">
        <w:t>§</w:t>
      </w:r>
      <w:r w:rsidRPr="00D46C68">
        <w:t xml:space="preserve"> 104, ETPC 2010). Stwierdzone już przez Trybunał niewykonanie przez Polskę obowiązku uznania i ochrony związku jednopłciowego skarżącego nadal dotyka skarżącego, obywatela polskiego, mimo że jego obecne miejsce zamieszkania nie znajduje się w Polsce. Zastrzeżenia wstępne Rządu dotyczące braku poniesienia przez skarżącego znaczącego uszczerbku oraz braku statusu ofiary (zob. p</w:t>
      </w:r>
      <w:r w:rsidR="00B44865" w:rsidRPr="00D46C68">
        <w:t>aragraf</w:t>
      </w:r>
      <w:r w:rsidRPr="00D46C68">
        <w:t xml:space="preserve"> 8</w:t>
      </w:r>
      <w:r w:rsidR="00DF7115" w:rsidRPr="00D46C68">
        <w:t xml:space="preserve"> </w:t>
      </w:r>
      <w:r w:rsidRPr="00D46C68">
        <w:t>powyżej) muszą zatem zostać oddalone.</w:t>
      </w:r>
    </w:p>
    <w:p w14:paraId="0CC2C42D" w14:textId="77777777" w:rsidR="00F6456F" w:rsidRPr="00D46C68" w:rsidRDefault="00000000" w:rsidP="00D46C68">
      <w:pPr>
        <w:pStyle w:val="JuPara"/>
      </w:pPr>
      <w:r w:rsidRPr="00D46C68">
        <w:rPr>
          <w:noProof/>
        </w:rPr>
        <w:t>21</w:t>
      </w:r>
      <w:r w:rsidRPr="00D46C68">
        <w:t>.</w:t>
      </w:r>
      <w:r w:rsidR="003C664E" w:rsidRPr="00D46C68">
        <w:t xml:space="preserve"> </w:t>
      </w:r>
      <w:r w:rsidRPr="00D46C68">
        <w:t>W związku z powyższym doszło do naruszenia art. 8 Konwencji.</w:t>
      </w:r>
    </w:p>
    <w:p w14:paraId="26ECA646" w14:textId="77777777" w:rsidR="00D46C68" w:rsidRPr="00D46C68" w:rsidRDefault="00000000" w:rsidP="00D46C68">
      <w:pPr>
        <w:pStyle w:val="JuHIRoman"/>
      </w:pPr>
      <w:r w:rsidRPr="00D46C68">
        <w:t>ZARZUCANE NARUSZENIE ART. 14 W ZWIĄZKU Z ART.8 KONWENCJI</w:t>
      </w:r>
    </w:p>
    <w:p w14:paraId="5FB3A08C" w14:textId="77777777" w:rsidR="00F6456F" w:rsidRPr="00D46C68" w:rsidRDefault="00000000" w:rsidP="00D46C68">
      <w:pPr>
        <w:pStyle w:val="JuPara"/>
      </w:pPr>
      <w:r w:rsidRPr="00D46C68">
        <w:t>22.</w:t>
      </w:r>
      <w:r w:rsidR="003C664E" w:rsidRPr="00D46C68">
        <w:t xml:space="preserve"> </w:t>
      </w:r>
      <w:r w:rsidRPr="00D46C68">
        <w:t>Skarżący zarzucił ponadto, że fakt, iż nie mógł uzyskać prawnego uznania swojego związku, stanowił dyskryminację ze względu na orientację seksualną. Powołał się na art. 14 Konwencji w związku z art. 8.</w:t>
      </w:r>
    </w:p>
    <w:p w14:paraId="092301E4" w14:textId="77777777" w:rsidR="00F6456F" w:rsidRPr="00D46C68" w:rsidRDefault="00000000" w:rsidP="00D46C68">
      <w:pPr>
        <w:pStyle w:val="JuPara"/>
      </w:pPr>
      <w:r w:rsidRPr="00D46C68">
        <w:rPr>
          <w:noProof/>
        </w:rPr>
        <w:t>23</w:t>
      </w:r>
      <w:r w:rsidRPr="00D46C68">
        <w:t>.</w:t>
      </w:r>
      <w:r w:rsidR="003C664E" w:rsidRPr="00D46C68">
        <w:t xml:space="preserve"> </w:t>
      </w:r>
      <w:r w:rsidRPr="00D46C68">
        <w:t>Uwzględniając własne ustalenia w świetle art. 8, Trybunał uważa, że</w:t>
      </w:r>
      <w:r w:rsidR="00755BCD" w:rsidRPr="00D46C68">
        <w:t> </w:t>
      </w:r>
      <w:r w:rsidRPr="00D46C68">
        <w:t>nie jest konieczne odrębne zbadanie, czy w niniejszej sprawie doszło również do naruszenia art. 14 w związku z art. 8 (zob.</w:t>
      </w:r>
      <w:r w:rsidRPr="00D46C68">
        <w:rPr>
          <w:i/>
        </w:rPr>
        <w:t> Przybyszewska i Inni</w:t>
      </w:r>
      <w:r w:rsidRPr="00D46C68">
        <w:t>, cyt. pow</w:t>
      </w:r>
      <w:r w:rsidR="00454AE2" w:rsidRPr="00D46C68">
        <w:t>yżej</w:t>
      </w:r>
      <w:r w:rsidRPr="00D46C68">
        <w:t xml:space="preserve">, </w:t>
      </w:r>
      <w:r w:rsidR="00B44865" w:rsidRPr="00D46C68">
        <w:t>§</w:t>
      </w:r>
      <w:r w:rsidRPr="00D46C68">
        <w:t xml:space="preserve"> 126).</w:t>
      </w:r>
    </w:p>
    <w:p w14:paraId="1F0C31F1" w14:textId="77777777" w:rsidR="00F6456F" w:rsidRPr="00D46C68" w:rsidRDefault="00000000" w:rsidP="00D46C68">
      <w:pPr>
        <w:pStyle w:val="P68B1DB1-JuHHead3"/>
      </w:pPr>
      <w:r w:rsidRPr="00D46C68">
        <w:t>ZASTOSOWANIE ART. 41 KONWENCJI</w:t>
      </w:r>
    </w:p>
    <w:p w14:paraId="31E4A12D" w14:textId="77777777" w:rsidR="00F6456F" w:rsidRPr="00D46C68" w:rsidRDefault="00000000" w:rsidP="00D46C68">
      <w:pPr>
        <w:pStyle w:val="JuPara"/>
      </w:pPr>
      <w:r w:rsidRPr="00D46C68">
        <w:rPr>
          <w:noProof/>
        </w:rPr>
        <w:t>24</w:t>
      </w:r>
      <w:r w:rsidRPr="00D46C68">
        <w:t>.</w:t>
      </w:r>
      <w:r w:rsidR="003C664E" w:rsidRPr="00D46C68">
        <w:t xml:space="preserve"> </w:t>
      </w:r>
      <w:r w:rsidRPr="00D46C68">
        <w:t>Skarżący dochodził kwoty 10 000 EUR tytułem zadośćuczynienia za</w:t>
      </w:r>
      <w:r w:rsidR="00AE0351" w:rsidRPr="00D46C68">
        <w:t> </w:t>
      </w:r>
      <w:r w:rsidRPr="00D46C68">
        <w:t>szkodę niemajątkową. Domagał się również kwoty 1588 EUR z tytułu kosztów i wydatków poniesionych przed organami krajowymi.</w:t>
      </w:r>
    </w:p>
    <w:p w14:paraId="2B07FEC9" w14:textId="77777777" w:rsidR="00F6456F" w:rsidRPr="00D46C68" w:rsidRDefault="00000000" w:rsidP="00D46C68">
      <w:pPr>
        <w:pStyle w:val="JuPara"/>
      </w:pPr>
      <w:r w:rsidRPr="00D46C68">
        <w:rPr>
          <w:noProof/>
        </w:rPr>
        <w:t>25</w:t>
      </w:r>
      <w:r w:rsidRPr="00D46C68">
        <w:t>.</w:t>
      </w:r>
      <w:r w:rsidR="003C664E" w:rsidRPr="00D46C68">
        <w:t xml:space="preserve"> </w:t>
      </w:r>
      <w:r w:rsidRPr="00D46C68">
        <w:t>Rząd kwestionował te roszczenia jako nieuzasadnione i nadmierne.</w:t>
      </w:r>
    </w:p>
    <w:p w14:paraId="6CC62AC6" w14:textId="77777777" w:rsidR="00F6456F" w:rsidRPr="00D46C68" w:rsidRDefault="00000000" w:rsidP="00D46C68">
      <w:pPr>
        <w:pStyle w:val="JuPara"/>
      </w:pPr>
      <w:r w:rsidRPr="00D46C68">
        <w:rPr>
          <w:noProof/>
        </w:rPr>
        <w:t>26</w:t>
      </w:r>
      <w:r w:rsidRPr="00D46C68">
        <w:t>.</w:t>
      </w:r>
      <w:r w:rsidR="003C664E" w:rsidRPr="00D46C68">
        <w:t xml:space="preserve"> </w:t>
      </w:r>
      <w:r w:rsidRPr="00D46C68">
        <w:t>Biorąc pod uwagę okoliczności sprawy, Trybunał uważa, że</w:t>
      </w:r>
      <w:r w:rsidR="00755BCD" w:rsidRPr="00D46C68">
        <w:t> </w:t>
      </w:r>
      <w:r w:rsidRPr="00D46C68">
        <w:t xml:space="preserve">stwierdzenie naruszenia samo w sobie stanowi wystarczające zadośćuczynienie za wszelkie szkody niemajątkowe, jakie mógł ponieść skarżący (zob. </w:t>
      </w:r>
      <w:r w:rsidRPr="00D46C68">
        <w:rPr>
          <w:i/>
        </w:rPr>
        <w:t>Fedotova i Inni</w:t>
      </w:r>
      <w:r w:rsidRPr="00D46C68">
        <w:t>, cyt. pow</w:t>
      </w:r>
      <w:r w:rsidR="00454AE2" w:rsidRPr="00D46C68">
        <w:t>yżej</w:t>
      </w:r>
      <w:r w:rsidRPr="00D46C68">
        <w:t xml:space="preserve">, </w:t>
      </w:r>
      <w:r w:rsidR="00B44865" w:rsidRPr="00D46C68">
        <w:t>§</w:t>
      </w:r>
      <w:r w:rsidRPr="00D46C68">
        <w:t xml:space="preserve"> 235).</w:t>
      </w:r>
    </w:p>
    <w:p w14:paraId="0963F242" w14:textId="77777777" w:rsidR="00F6456F" w:rsidRPr="00D46C68" w:rsidRDefault="00000000" w:rsidP="00D46C68">
      <w:pPr>
        <w:pStyle w:val="JuPara"/>
      </w:pPr>
      <w:r w:rsidRPr="00D46C68">
        <w:lastRenderedPageBreak/>
        <w:t>27.</w:t>
      </w:r>
      <w:r w:rsidR="003C664E" w:rsidRPr="00D46C68">
        <w:t xml:space="preserve"> </w:t>
      </w:r>
      <w:r w:rsidRPr="00D46C68">
        <w:t>Uwzględniając posiadaną dokumentację, Trybunał uznaje za</w:t>
      </w:r>
      <w:r w:rsidR="00AE0351" w:rsidRPr="00D46C68">
        <w:t> </w:t>
      </w:r>
      <w:r w:rsidRPr="00D46C68">
        <w:t>uzasadnione przyznanie kwoty 1000 EUR na pokrycie żądanych przez skarżącego kosztów, powiększonej o wszelkie należne podatki.</w:t>
      </w:r>
    </w:p>
    <w:p w14:paraId="5A51790F" w14:textId="77777777" w:rsidR="00F6456F" w:rsidRPr="00D46C68" w:rsidRDefault="00000000" w:rsidP="00D46C68">
      <w:pPr>
        <w:pStyle w:val="JuHHead"/>
      </w:pPr>
      <w:r w:rsidRPr="00D46C68">
        <w:t>Z TYCH PRZYCZYN TRYBUNAŁ JEDNOGŁOŚNIE</w:t>
      </w:r>
    </w:p>
    <w:p w14:paraId="029E1F4D" w14:textId="77777777" w:rsidR="00F6456F" w:rsidRPr="00D46C68" w:rsidRDefault="00000000" w:rsidP="00D46C68">
      <w:pPr>
        <w:pStyle w:val="JuList"/>
        <w:numPr>
          <w:ilvl w:val="0"/>
          <w:numId w:val="2"/>
        </w:numPr>
      </w:pPr>
      <w:r w:rsidRPr="00D46C68">
        <w:rPr>
          <w:i/>
        </w:rPr>
        <w:t>Uznaje</w:t>
      </w:r>
      <w:r w:rsidRPr="00D46C68">
        <w:t xml:space="preserve"> skargę dotyczącą art. 8 Konwencji za dopuszczalną;</w:t>
      </w:r>
    </w:p>
    <w:p w14:paraId="07238134" w14:textId="77777777" w:rsidR="00F6456F" w:rsidRPr="00D46C68" w:rsidRDefault="00000000" w:rsidP="00D46C68">
      <w:pPr>
        <w:pStyle w:val="JuList"/>
        <w:numPr>
          <w:ilvl w:val="0"/>
          <w:numId w:val="2"/>
        </w:numPr>
      </w:pPr>
      <w:r w:rsidRPr="00D46C68">
        <w:rPr>
          <w:i/>
        </w:rPr>
        <w:t>Orzeka</w:t>
      </w:r>
      <w:r w:rsidRPr="00D46C68">
        <w:t>, że doszło do naruszenia art. 8 Konwencji;</w:t>
      </w:r>
    </w:p>
    <w:p w14:paraId="78204C28" w14:textId="77777777" w:rsidR="00F6456F" w:rsidRPr="00D46C68" w:rsidRDefault="00000000" w:rsidP="00D46C68">
      <w:pPr>
        <w:pStyle w:val="JuList"/>
        <w:numPr>
          <w:ilvl w:val="0"/>
          <w:numId w:val="2"/>
        </w:numPr>
      </w:pPr>
      <w:r w:rsidRPr="00D46C68">
        <w:rPr>
          <w:i/>
        </w:rPr>
        <w:t>Orzeka</w:t>
      </w:r>
      <w:r w:rsidRPr="00D46C68">
        <w:t>, że nie ma potrzeby badania dopuszczalności i przedmiotu skargi na podstawie art. 14 Konwencji w związku z art. 8 Konwencji;</w:t>
      </w:r>
    </w:p>
    <w:p w14:paraId="0A168812" w14:textId="77777777" w:rsidR="00F6456F" w:rsidRPr="00D46C68" w:rsidRDefault="00000000" w:rsidP="00D46C68">
      <w:pPr>
        <w:pStyle w:val="JuList"/>
        <w:numPr>
          <w:ilvl w:val="0"/>
          <w:numId w:val="2"/>
        </w:numPr>
      </w:pPr>
      <w:r w:rsidRPr="00D46C68">
        <w:rPr>
          <w:i/>
        </w:rPr>
        <w:t>Orzeka</w:t>
      </w:r>
      <w:r w:rsidRPr="00D46C68">
        <w:t>, że stwierdzenie naruszenia stanowi samo w sobie wystarczające słuszne zadośćuczynienie za wszelkie szkody niemajątkowe poniesione przez skarżącego;</w:t>
      </w:r>
    </w:p>
    <w:p w14:paraId="1D6ED450" w14:textId="77777777" w:rsidR="00F6456F" w:rsidRPr="00D46C68" w:rsidRDefault="00000000" w:rsidP="00D46C68">
      <w:pPr>
        <w:pStyle w:val="P68B1DB1-JuList4"/>
        <w:numPr>
          <w:ilvl w:val="0"/>
          <w:numId w:val="2"/>
        </w:numPr>
      </w:pPr>
      <w:r w:rsidRPr="00D46C68">
        <w:t>Orzeka</w:t>
      </w:r>
    </w:p>
    <w:p w14:paraId="3FD3B643" w14:textId="77777777" w:rsidR="00F6456F" w:rsidRPr="00D46C68" w:rsidRDefault="00000000" w:rsidP="00D46C68">
      <w:pPr>
        <w:pStyle w:val="JuLista"/>
      </w:pPr>
      <w:r w:rsidRPr="00D46C68">
        <w:rPr>
          <w:i/>
        </w:rPr>
        <w:t xml:space="preserve"> </w:t>
      </w:r>
      <w:r w:rsidRPr="00D46C68">
        <w:t>że pozwane państwo ma wypłacić skarżącemu, w ciągu trzech miesięcy, 1000 EUR (jeden tysiąc euro) plus wszelkie należne od</w:t>
      </w:r>
      <w:r w:rsidR="00AE0351" w:rsidRPr="00D46C68">
        <w:t> </w:t>
      </w:r>
      <w:r w:rsidRPr="00D46C68">
        <w:t>niego podatki, tytułem kosztów i wydatków, która to kwota ma zostać przeliczona na walutę pozwanego państwa po kursie obowiązującym w dniu rozliczenia;</w:t>
      </w:r>
    </w:p>
    <w:p w14:paraId="380400D5" w14:textId="77777777" w:rsidR="00F6456F" w:rsidRPr="00D46C68" w:rsidRDefault="00000000" w:rsidP="00D46C68">
      <w:pPr>
        <w:pStyle w:val="JuLista"/>
      </w:pPr>
      <w:r w:rsidRPr="00D46C68">
        <w:t>że od upływu wyżej wskazanego terminu trzech miesięcy aż do momentu uregulowania należności, należne będą odsetki zwykłe od</w:t>
      </w:r>
      <w:r w:rsidR="00AE0351" w:rsidRPr="00D46C68">
        <w:t> </w:t>
      </w:r>
      <w:r w:rsidRPr="00D46C68">
        <w:t>określonej powyżej kwoty, naliczone według stopy równej marginalnej stopie procentowej Europejskiego Banku Centralnego obowiązującej w tym okresie, powiększonej o trzy punkty procentowe;</w:t>
      </w:r>
    </w:p>
    <w:p w14:paraId="0CA0B2B7" w14:textId="77777777" w:rsidR="00F6456F" w:rsidRPr="00D46C68" w:rsidRDefault="00000000" w:rsidP="00D46C68">
      <w:pPr>
        <w:pStyle w:val="JuList"/>
      </w:pPr>
      <w:r w:rsidRPr="00D46C68">
        <w:rPr>
          <w:i/>
        </w:rPr>
        <w:t xml:space="preserve">Oddala </w:t>
      </w:r>
      <w:r w:rsidRPr="00D46C68">
        <w:t>pozostałą część roszczenia skarżącego o słuszne zadośćuczynienie.</w:t>
      </w:r>
    </w:p>
    <w:p w14:paraId="0BF4C6F6" w14:textId="77777777" w:rsidR="00F6456F" w:rsidRPr="00D46C68" w:rsidRDefault="00000000" w:rsidP="00D46C68">
      <w:pPr>
        <w:pStyle w:val="JuParaLast"/>
      </w:pPr>
      <w:r w:rsidRPr="00D46C68">
        <w:t xml:space="preserve">Sporządzono w języku angielskim i obwieszczono pisemnie w dniu </w:t>
      </w:r>
      <w:r w:rsidRPr="00D46C68">
        <w:rPr>
          <w:rFonts w:ascii="Times New Roman" w:hAnsi="Times New Roman" w:cs="Times New Roman"/>
        </w:rPr>
        <w:t>24</w:t>
      </w:r>
      <w:r w:rsidR="00AE0351" w:rsidRPr="00D46C68">
        <w:rPr>
          <w:rFonts w:ascii="Times New Roman" w:hAnsi="Times New Roman" w:cs="Times New Roman"/>
        </w:rPr>
        <w:t> </w:t>
      </w:r>
      <w:r w:rsidRPr="00D46C68">
        <w:rPr>
          <w:rFonts w:ascii="Times New Roman" w:hAnsi="Times New Roman" w:cs="Times New Roman"/>
        </w:rPr>
        <w:t>kwietnia 2025 r</w:t>
      </w:r>
      <w:r w:rsidRPr="00D46C68">
        <w:t>., zgodnie z regułą 77 §§ 2 i 3 Regulaminu Trybunału.</w:t>
      </w:r>
    </w:p>
    <w:p w14:paraId="488192D9" w14:textId="77777777" w:rsidR="00F6456F" w:rsidRPr="00D46C68" w:rsidRDefault="00000000" w:rsidP="00D46C68">
      <w:pPr>
        <w:pStyle w:val="ECHRPlaceholder"/>
      </w:pPr>
      <w:r w:rsidRPr="00D46C68">
        <w:tab/>
      </w:r>
    </w:p>
    <w:p w14:paraId="2DEB739D" w14:textId="77777777" w:rsidR="00F6456F" w:rsidRPr="00D46C68" w:rsidRDefault="00000000" w:rsidP="00D46C68">
      <w:pPr>
        <w:pStyle w:val="JuSigned"/>
      </w:pPr>
      <w:r w:rsidRPr="00D46C68">
        <w:tab/>
        <w:t>Liv Tigerstedt</w:t>
      </w:r>
      <w:r w:rsidRPr="00D46C68">
        <w:tab/>
        <w:t>Erik Wennerström</w:t>
      </w:r>
      <w:r w:rsidRPr="00D46C68">
        <w:br/>
      </w:r>
      <w:r w:rsidRPr="00D46C68">
        <w:tab/>
        <w:t>Zastępca Kanclerza</w:t>
      </w:r>
      <w:r w:rsidRPr="00D46C68">
        <w:tab/>
        <w:t>Przewodniczący</w:t>
      </w:r>
    </w:p>
    <w:sectPr w:rsidR="00F6456F" w:rsidRPr="00D46C68">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A144" w14:textId="77777777" w:rsidR="000C3930" w:rsidRDefault="000C3930">
      <w:r>
        <w:separator/>
      </w:r>
    </w:p>
  </w:endnote>
  <w:endnote w:type="continuationSeparator" w:id="0">
    <w:p w14:paraId="244BB429" w14:textId="77777777" w:rsidR="000C3930" w:rsidRDefault="000C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E612F" w14:textId="77777777" w:rsidR="00F6456F" w:rsidRDefault="00000000">
    <w:pPr>
      <w:jc w:val="center"/>
    </w:pPr>
    <w:r>
      <w:rPr>
        <w:noProof/>
      </w:rPr>
      <w:drawing>
        <wp:inline distT="0" distB="0" distL="0" distR="0" wp14:anchorId="5D21A6C5" wp14:editId="6F07C7ED">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4B33B77" w14:textId="77777777" w:rsidR="00F6456F" w:rsidRDefault="00F6456F">
    <w:pPr>
      <w:pStyle w:val="Stopka"/>
      <w:jc w:val="center"/>
      <w:rPr>
        <w:sz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51BB" w14:textId="77777777" w:rsidR="00F6456F" w:rsidRDefault="00000000">
    <w:pPr>
      <w:jc w:val="center"/>
    </w:pPr>
    <w:r>
      <w:rPr>
        <w:noProof/>
      </w:rPr>
      <w:drawing>
        <wp:inline distT="0" distB="0" distL="0" distR="0" wp14:anchorId="5D0BC669" wp14:editId="27C7893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6156CC4" w14:textId="77777777" w:rsidR="00F6456F" w:rsidRDefault="00F6456F">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46B8" w14:textId="77777777" w:rsidR="00F6456F" w:rsidRDefault="00000000">
    <w:pPr>
      <w:pStyle w:val="JuHeader"/>
    </w:pPr>
    <w:r>
      <w:fldChar w:fldCharType="begin"/>
    </w:r>
    <w:r>
      <w:instrText xml:space="preserve"> PAGE  \* MERGEFORMAT </w:instrText>
    </w:r>
    <w:r>
      <w:fldChar w:fldCharType="separate"/>
    </w:r>
    <w:r w:rsidR="009C2743">
      <w:rPr>
        <w:noProof/>
      </w:rPr>
      <w:t>6</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482A0" w14:textId="77777777" w:rsidR="00F6456F" w:rsidRDefault="00000000">
    <w:pPr>
      <w:pStyle w:val="JuHeader"/>
    </w:pPr>
    <w:r>
      <w:fldChar w:fldCharType="begin"/>
    </w:r>
    <w:r>
      <w:instrText xml:space="preserve"> PAGE  \* MERGEFORMAT </w:instrText>
    </w:r>
    <w:r>
      <w:fldChar w:fldCharType="separate"/>
    </w:r>
    <w:r w:rsidR="009C2743">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0673" w14:textId="77777777" w:rsidR="000C3930" w:rsidRDefault="000C3930">
      <w:r>
        <w:separator/>
      </w:r>
    </w:p>
  </w:footnote>
  <w:footnote w:type="continuationSeparator" w:id="0">
    <w:p w14:paraId="6A553C9B" w14:textId="77777777" w:rsidR="000C3930" w:rsidRDefault="000C3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82027" w14:textId="77777777" w:rsidR="00F6456F" w:rsidRDefault="00000000">
    <w:pPr>
      <w:jc w:val="center"/>
    </w:pPr>
    <w:r>
      <w:rPr>
        <w:noProof/>
      </w:rPr>
      <w:drawing>
        <wp:inline distT="0" distB="0" distL="0" distR="0" wp14:anchorId="6DF51EED" wp14:editId="6FB0650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8F6426D" w14:textId="77777777" w:rsidR="00F6456F" w:rsidRDefault="00F6456F">
    <w:pPr>
      <w:jc w:val="center"/>
      <w:rPr>
        <w:sz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4FC51" w14:textId="77777777" w:rsidR="00F6456F" w:rsidRDefault="00000000">
    <w:pPr>
      <w:jc w:val="center"/>
    </w:pPr>
    <w:r>
      <w:rPr>
        <w:noProof/>
      </w:rPr>
      <w:drawing>
        <wp:inline distT="0" distB="0" distL="0" distR="0" wp14:anchorId="188DD2AD" wp14:editId="13D7E8D4">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0B08A50" w14:textId="77777777" w:rsidR="00F6456F" w:rsidRDefault="00F6456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6176" w14:textId="77777777" w:rsidR="00F6456F" w:rsidRDefault="00000000">
    <w:pPr>
      <w:pStyle w:val="JuHeader"/>
    </w:pPr>
    <w:r>
      <w:t>WYROK w sprawie ANDERSEN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EB35" w14:textId="77777777" w:rsidR="00F6456F" w:rsidRDefault="00000000">
    <w:pPr>
      <w:pStyle w:val="JuHeader"/>
    </w:pPr>
    <w:r>
      <w:t>WYROK w sprawie ANDERSEN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A7E2A04">
      <w:start w:val="1"/>
      <w:numFmt w:val="bullet"/>
      <w:pStyle w:val="Listapunktowana"/>
      <w:lvlText w:val=""/>
      <w:lvlJc w:val="left"/>
      <w:pPr>
        <w:tabs>
          <w:tab w:val="num" w:pos="851"/>
        </w:tabs>
        <w:ind w:left="568" w:firstLine="0"/>
      </w:pPr>
      <w:rPr>
        <w:rFonts w:ascii="Wingdings" w:hAnsi="Wingdings" w:hint="default"/>
        <w:color w:val="808080"/>
        <w:sz w:val="16"/>
      </w:rPr>
    </w:lvl>
    <w:lvl w:ilvl="1" w:tplc="279CF050" w:tentative="1">
      <w:start w:val="1"/>
      <w:numFmt w:val="bullet"/>
      <w:lvlText w:val="o"/>
      <w:lvlJc w:val="left"/>
      <w:pPr>
        <w:tabs>
          <w:tab w:val="num" w:pos="1724"/>
        </w:tabs>
        <w:ind w:left="1724" w:hanging="360"/>
      </w:pPr>
      <w:rPr>
        <w:rFonts w:ascii="Courier New" w:hAnsi="Courier New" w:cs="Courier New" w:hint="default"/>
      </w:rPr>
    </w:lvl>
    <w:lvl w:ilvl="2" w:tplc="D2DE05A4" w:tentative="1">
      <w:start w:val="1"/>
      <w:numFmt w:val="bullet"/>
      <w:lvlText w:val=""/>
      <w:lvlJc w:val="left"/>
      <w:pPr>
        <w:tabs>
          <w:tab w:val="num" w:pos="2444"/>
        </w:tabs>
        <w:ind w:left="2444" w:hanging="360"/>
      </w:pPr>
      <w:rPr>
        <w:rFonts w:ascii="Wingdings" w:hAnsi="Wingdings" w:hint="default"/>
      </w:rPr>
    </w:lvl>
    <w:lvl w:ilvl="3" w:tplc="E734741A" w:tentative="1">
      <w:start w:val="1"/>
      <w:numFmt w:val="bullet"/>
      <w:lvlText w:val=""/>
      <w:lvlJc w:val="left"/>
      <w:pPr>
        <w:tabs>
          <w:tab w:val="num" w:pos="3164"/>
        </w:tabs>
        <w:ind w:left="3164" w:hanging="360"/>
      </w:pPr>
      <w:rPr>
        <w:rFonts w:ascii="Symbol" w:hAnsi="Symbol" w:hint="default"/>
      </w:rPr>
    </w:lvl>
    <w:lvl w:ilvl="4" w:tplc="903CEB3E" w:tentative="1">
      <w:start w:val="1"/>
      <w:numFmt w:val="bullet"/>
      <w:lvlText w:val="o"/>
      <w:lvlJc w:val="left"/>
      <w:pPr>
        <w:tabs>
          <w:tab w:val="num" w:pos="3884"/>
        </w:tabs>
        <w:ind w:left="3884" w:hanging="360"/>
      </w:pPr>
      <w:rPr>
        <w:rFonts w:ascii="Courier New" w:hAnsi="Courier New" w:cs="Courier New" w:hint="default"/>
      </w:rPr>
    </w:lvl>
    <w:lvl w:ilvl="5" w:tplc="3C54CD44" w:tentative="1">
      <w:start w:val="1"/>
      <w:numFmt w:val="bullet"/>
      <w:lvlText w:val=""/>
      <w:lvlJc w:val="left"/>
      <w:pPr>
        <w:tabs>
          <w:tab w:val="num" w:pos="4604"/>
        </w:tabs>
        <w:ind w:left="4604" w:hanging="360"/>
      </w:pPr>
      <w:rPr>
        <w:rFonts w:ascii="Wingdings" w:hAnsi="Wingdings" w:hint="default"/>
      </w:rPr>
    </w:lvl>
    <w:lvl w:ilvl="6" w:tplc="5448BE92" w:tentative="1">
      <w:start w:val="1"/>
      <w:numFmt w:val="bullet"/>
      <w:lvlText w:val=""/>
      <w:lvlJc w:val="left"/>
      <w:pPr>
        <w:tabs>
          <w:tab w:val="num" w:pos="5324"/>
        </w:tabs>
        <w:ind w:left="5324" w:hanging="360"/>
      </w:pPr>
      <w:rPr>
        <w:rFonts w:ascii="Symbol" w:hAnsi="Symbol" w:hint="default"/>
      </w:rPr>
    </w:lvl>
    <w:lvl w:ilvl="7" w:tplc="81C833A2" w:tentative="1">
      <w:start w:val="1"/>
      <w:numFmt w:val="bullet"/>
      <w:lvlText w:val="o"/>
      <w:lvlJc w:val="left"/>
      <w:pPr>
        <w:tabs>
          <w:tab w:val="num" w:pos="6044"/>
        </w:tabs>
        <w:ind w:left="6044" w:hanging="360"/>
      </w:pPr>
      <w:rPr>
        <w:rFonts w:ascii="Courier New" w:hAnsi="Courier New" w:cs="Courier New" w:hint="default"/>
      </w:rPr>
    </w:lvl>
    <w:lvl w:ilvl="8" w:tplc="55F890CE" w:tentative="1">
      <w:start w:val="1"/>
      <w:numFmt w:val="bullet"/>
      <w:lvlText w:val=""/>
      <w:lvlJc w:val="left"/>
      <w:pPr>
        <w:tabs>
          <w:tab w:val="num" w:pos="6764"/>
        </w:tabs>
        <w:ind w:left="6764" w:hanging="360"/>
      </w:pPr>
      <w:rPr>
        <w:rFonts w:ascii="Wingdings" w:hAnsi="Wingdings" w:hint="default"/>
      </w:rPr>
    </w:lvl>
  </w:abstractNum>
  <w:num w:numId="1" w16cid:durableId="135072903">
    <w:abstractNumId w:val="13"/>
    <w:lvlOverride w:ilvl="1">
      <w:lvl w:ilvl="1">
        <w:start w:val="1"/>
        <w:numFmt w:val="lowerLetter"/>
        <w:pStyle w:val="JuLista"/>
        <w:lvlText w:val="(%2)"/>
        <w:lvlJc w:val="left"/>
        <w:pPr>
          <w:tabs>
            <w:tab w:val="num" w:pos="680"/>
          </w:tabs>
          <w:ind w:left="680" w:hanging="340"/>
        </w:pPr>
        <w:rPr>
          <w:rFonts w:hint="default"/>
        </w:rPr>
      </w:lvl>
    </w:lvlOverride>
  </w:num>
  <w:num w:numId="2" w16cid:durableId="856114513">
    <w:abstractNumId w:val="9"/>
  </w:num>
  <w:num w:numId="3" w16cid:durableId="50616982">
    <w:abstractNumId w:val="14"/>
  </w:num>
  <w:num w:numId="4" w16cid:durableId="122889977">
    <w:abstractNumId w:val="12"/>
  </w:num>
  <w:num w:numId="5" w16cid:durableId="1472596562">
    <w:abstractNumId w:val="11"/>
  </w:num>
  <w:num w:numId="6" w16cid:durableId="1195843594">
    <w:abstractNumId w:val="17"/>
  </w:num>
  <w:num w:numId="7" w16cid:durableId="344476584">
    <w:abstractNumId w:val="7"/>
  </w:num>
  <w:num w:numId="8" w16cid:durableId="1196582238">
    <w:abstractNumId w:val="6"/>
  </w:num>
  <w:num w:numId="9" w16cid:durableId="553271354">
    <w:abstractNumId w:val="5"/>
  </w:num>
  <w:num w:numId="10" w16cid:durableId="1547989054">
    <w:abstractNumId w:val="4"/>
  </w:num>
  <w:num w:numId="11" w16cid:durableId="2047750901">
    <w:abstractNumId w:val="8"/>
  </w:num>
  <w:num w:numId="12" w16cid:durableId="644705486">
    <w:abstractNumId w:val="3"/>
  </w:num>
  <w:num w:numId="13" w16cid:durableId="1045299323">
    <w:abstractNumId w:val="2"/>
  </w:num>
  <w:num w:numId="14" w16cid:durableId="575359886">
    <w:abstractNumId w:val="1"/>
  </w:num>
  <w:num w:numId="15" w16cid:durableId="1485047997">
    <w:abstractNumId w:val="0"/>
  </w:num>
  <w:num w:numId="16" w16cid:durableId="393889352">
    <w:abstractNumId w:val="15"/>
  </w:num>
  <w:num w:numId="17" w16cid:durableId="2085715133">
    <w:abstractNumId w:val="13"/>
  </w:num>
  <w:num w:numId="18" w16cid:durableId="619993733">
    <w:abstractNumId w:val="16"/>
  </w:num>
  <w:num w:numId="19" w16cid:durableId="168326356">
    <w:abstractNumId w:val="15"/>
  </w:num>
  <w:num w:numId="20" w16cid:durableId="84688256">
    <w:abstractNumId w:val="16"/>
  </w:num>
  <w:num w:numId="21" w16cid:durableId="944577042">
    <w:abstractNumId w:val="10"/>
  </w:num>
  <w:num w:numId="22" w16cid:durableId="1829714027">
    <w:abstractNumId w:val="9"/>
    <w:lvlOverride w:ilvl="1">
      <w:lvl w:ilvl="1">
        <w:start w:val="1"/>
        <w:numFmt w:val="lowerLetter"/>
        <w:pStyle w:val="JuLista"/>
        <w:lvlText w:val="(%2)"/>
        <w:lvlJc w:val="left"/>
        <w:pPr>
          <w:tabs>
            <w:tab w:val="num" w:pos="680"/>
          </w:tabs>
          <w:ind w:left="680" w:hanging="3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P3" w:val="P3"/>
    <w:docVar w:name="Plural" w:val="0"/>
    <w:docVar w:name="SignForeName" w:val="0"/>
    <w:docVar w:name="SndCaseNumber" w:val="Error!Nodocumentvariablesupplied."/>
  </w:docVars>
  <w:rsids>
    <w:rsidRoot w:val="00D26BB1"/>
    <w:rsid w:val="000041F8"/>
    <w:rsid w:val="000042A8"/>
    <w:rsid w:val="00004308"/>
    <w:rsid w:val="00005BF0"/>
    <w:rsid w:val="0000617D"/>
    <w:rsid w:val="00007154"/>
    <w:rsid w:val="000103AE"/>
    <w:rsid w:val="00011D69"/>
    <w:rsid w:val="00012AD3"/>
    <w:rsid w:val="00015C2D"/>
    <w:rsid w:val="00015F00"/>
    <w:rsid w:val="00016DCA"/>
    <w:rsid w:val="0001768D"/>
    <w:rsid w:val="00022C1D"/>
    <w:rsid w:val="00023832"/>
    <w:rsid w:val="0002592F"/>
    <w:rsid w:val="00031428"/>
    <w:rsid w:val="00034987"/>
    <w:rsid w:val="000350FD"/>
    <w:rsid w:val="00041560"/>
    <w:rsid w:val="00052A71"/>
    <w:rsid w:val="000602DF"/>
    <w:rsid w:val="00061B05"/>
    <w:rsid w:val="000632D5"/>
    <w:rsid w:val="000644EE"/>
    <w:rsid w:val="000712E3"/>
    <w:rsid w:val="0007780A"/>
    <w:rsid w:val="00085457"/>
    <w:rsid w:val="0008688D"/>
    <w:rsid w:val="000902C4"/>
    <w:rsid w:val="000925AD"/>
    <w:rsid w:val="00096FE1"/>
    <w:rsid w:val="00097A62"/>
    <w:rsid w:val="000A24EB"/>
    <w:rsid w:val="000B686A"/>
    <w:rsid w:val="000B6923"/>
    <w:rsid w:val="000B7195"/>
    <w:rsid w:val="000C3930"/>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075B"/>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C7DF7"/>
    <w:rsid w:val="002D022D"/>
    <w:rsid w:val="002D24BB"/>
    <w:rsid w:val="002D2FA7"/>
    <w:rsid w:val="002D47BA"/>
    <w:rsid w:val="002D6B83"/>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6BAB"/>
    <w:rsid w:val="00337EE4"/>
    <w:rsid w:val="00340FFD"/>
    <w:rsid w:val="00345C41"/>
    <w:rsid w:val="003506B1"/>
    <w:rsid w:val="00355877"/>
    <w:rsid w:val="00356AC7"/>
    <w:rsid w:val="003609FA"/>
    <w:rsid w:val="003635CF"/>
    <w:rsid w:val="003710C8"/>
    <w:rsid w:val="003750BE"/>
    <w:rsid w:val="00385A36"/>
    <w:rsid w:val="00385F3D"/>
    <w:rsid w:val="0038740C"/>
    <w:rsid w:val="00387B9D"/>
    <w:rsid w:val="00387C70"/>
    <w:rsid w:val="00390294"/>
    <w:rsid w:val="0039364F"/>
    <w:rsid w:val="00396686"/>
    <w:rsid w:val="0039778E"/>
    <w:rsid w:val="003B0D37"/>
    <w:rsid w:val="003B4941"/>
    <w:rsid w:val="003C5714"/>
    <w:rsid w:val="003C664E"/>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4AE2"/>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65D5"/>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09E1"/>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3F71"/>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97920"/>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2A5B"/>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55BCD"/>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59F4"/>
    <w:rsid w:val="007A716F"/>
    <w:rsid w:val="007B270A"/>
    <w:rsid w:val="007B4182"/>
    <w:rsid w:val="007B7A9E"/>
    <w:rsid w:val="007C0695"/>
    <w:rsid w:val="007C419A"/>
    <w:rsid w:val="007C4CC8"/>
    <w:rsid w:val="007C5426"/>
    <w:rsid w:val="007C5798"/>
    <w:rsid w:val="007C5D79"/>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0BA5"/>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2BE5"/>
    <w:rsid w:val="009743B7"/>
    <w:rsid w:val="0098228B"/>
    <w:rsid w:val="009828DA"/>
    <w:rsid w:val="0098410D"/>
    <w:rsid w:val="00984B81"/>
    <w:rsid w:val="00985BAB"/>
    <w:rsid w:val="00986B3C"/>
    <w:rsid w:val="00994FFE"/>
    <w:rsid w:val="009A115C"/>
    <w:rsid w:val="009A7FC1"/>
    <w:rsid w:val="009B1606"/>
    <w:rsid w:val="009B1B5F"/>
    <w:rsid w:val="009B6673"/>
    <w:rsid w:val="009C191B"/>
    <w:rsid w:val="009C2743"/>
    <w:rsid w:val="009C2BD6"/>
    <w:rsid w:val="009D57AA"/>
    <w:rsid w:val="009E1F32"/>
    <w:rsid w:val="009E2CC2"/>
    <w:rsid w:val="009E47A2"/>
    <w:rsid w:val="009E776C"/>
    <w:rsid w:val="009E7A6F"/>
    <w:rsid w:val="009F4C8F"/>
    <w:rsid w:val="00A02972"/>
    <w:rsid w:val="00A05588"/>
    <w:rsid w:val="00A062DD"/>
    <w:rsid w:val="00A15601"/>
    <w:rsid w:val="00A16F7C"/>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6DF"/>
    <w:rsid w:val="00AA1B09"/>
    <w:rsid w:val="00AA227F"/>
    <w:rsid w:val="00AA3BC7"/>
    <w:rsid w:val="00AA754A"/>
    <w:rsid w:val="00AB099E"/>
    <w:rsid w:val="00AB4328"/>
    <w:rsid w:val="00AB696C"/>
    <w:rsid w:val="00AC38DE"/>
    <w:rsid w:val="00AC4CD4"/>
    <w:rsid w:val="00AC6478"/>
    <w:rsid w:val="00AE0351"/>
    <w:rsid w:val="00AE0A2E"/>
    <w:rsid w:val="00AE354C"/>
    <w:rsid w:val="00AF12C5"/>
    <w:rsid w:val="00AF4B07"/>
    <w:rsid w:val="00AF6186"/>
    <w:rsid w:val="00AF7A3A"/>
    <w:rsid w:val="00B01CB5"/>
    <w:rsid w:val="00B02587"/>
    <w:rsid w:val="00B049D1"/>
    <w:rsid w:val="00B14793"/>
    <w:rsid w:val="00B153A0"/>
    <w:rsid w:val="00B160DB"/>
    <w:rsid w:val="00B20836"/>
    <w:rsid w:val="00B235BB"/>
    <w:rsid w:val="00B27A44"/>
    <w:rsid w:val="00B30BBF"/>
    <w:rsid w:val="00B33C03"/>
    <w:rsid w:val="00B4421F"/>
    <w:rsid w:val="00B44865"/>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0BF1"/>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39A6"/>
    <w:rsid w:val="00C74810"/>
    <w:rsid w:val="00C90D68"/>
    <w:rsid w:val="00C939FE"/>
    <w:rsid w:val="00C9563B"/>
    <w:rsid w:val="00CA4BDA"/>
    <w:rsid w:val="00CA4FB2"/>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5043"/>
    <w:rsid w:val="00D06A63"/>
    <w:rsid w:val="00D07E0E"/>
    <w:rsid w:val="00D10CD6"/>
    <w:rsid w:val="00D11478"/>
    <w:rsid w:val="00D15ED0"/>
    <w:rsid w:val="00D164BF"/>
    <w:rsid w:val="00D21B3E"/>
    <w:rsid w:val="00D21FED"/>
    <w:rsid w:val="00D23048"/>
    <w:rsid w:val="00D24251"/>
    <w:rsid w:val="00D26BB1"/>
    <w:rsid w:val="00D26E72"/>
    <w:rsid w:val="00D343E2"/>
    <w:rsid w:val="00D361A2"/>
    <w:rsid w:val="00D37272"/>
    <w:rsid w:val="00D41302"/>
    <w:rsid w:val="00D44C2E"/>
    <w:rsid w:val="00D45414"/>
    <w:rsid w:val="00D46C68"/>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DF7115"/>
    <w:rsid w:val="00E004C0"/>
    <w:rsid w:val="00E02C09"/>
    <w:rsid w:val="00E04D59"/>
    <w:rsid w:val="00E058BA"/>
    <w:rsid w:val="00E07DA1"/>
    <w:rsid w:val="00E123CB"/>
    <w:rsid w:val="00E13B09"/>
    <w:rsid w:val="00E151EB"/>
    <w:rsid w:val="00E20E13"/>
    <w:rsid w:val="00E21DBC"/>
    <w:rsid w:val="00E2588C"/>
    <w:rsid w:val="00E275D7"/>
    <w:rsid w:val="00E27DBE"/>
    <w:rsid w:val="00E32AB1"/>
    <w:rsid w:val="00E36C71"/>
    <w:rsid w:val="00E40404"/>
    <w:rsid w:val="00E4126A"/>
    <w:rsid w:val="00E42A06"/>
    <w:rsid w:val="00E43C0A"/>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A5B59"/>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277"/>
    <w:rsid w:val="00F15B4D"/>
    <w:rsid w:val="00F16A7C"/>
    <w:rsid w:val="00F16AAA"/>
    <w:rsid w:val="00F1709C"/>
    <w:rsid w:val="00F21161"/>
    <w:rsid w:val="00F218EF"/>
    <w:rsid w:val="00F21BC7"/>
    <w:rsid w:val="00F266A2"/>
    <w:rsid w:val="00F32269"/>
    <w:rsid w:val="00F35B7A"/>
    <w:rsid w:val="00F507C6"/>
    <w:rsid w:val="00F56A6F"/>
    <w:rsid w:val="00F5709C"/>
    <w:rsid w:val="00F60B85"/>
    <w:rsid w:val="00F6456F"/>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635D"/>
    <w:rsid w:val="00FF7FF0"/>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12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D6B83"/>
    <w:rPr>
      <w:sz w:val="24"/>
    </w:rPr>
  </w:style>
  <w:style w:type="paragraph" w:styleId="Nagwek1">
    <w:name w:val="heading 1"/>
    <w:basedOn w:val="Normalny"/>
    <w:next w:val="Normalny"/>
    <w:link w:val="Nagwek1Znak"/>
    <w:uiPriority w:val="98"/>
    <w:semiHidden/>
    <w:rsid w:val="002D6B83"/>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2D6B83"/>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2D6B83"/>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2D6B83"/>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2D6B83"/>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2D6B83"/>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2D6B83"/>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2D6B83"/>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2D6B83"/>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D6B83"/>
    <w:rPr>
      <w:rFonts w:ascii="Tahoma" w:hAnsi="Tahoma" w:cs="Tahoma"/>
      <w:sz w:val="16"/>
    </w:rPr>
  </w:style>
  <w:style w:type="character" w:customStyle="1" w:styleId="TekstdymkaZnak">
    <w:name w:val="Tekst dymka Znak"/>
    <w:basedOn w:val="Domylnaczcionkaakapitu"/>
    <w:link w:val="Tekstdymka"/>
    <w:uiPriority w:val="98"/>
    <w:semiHidden/>
    <w:rsid w:val="002D6B83"/>
    <w:rPr>
      <w:rFonts w:ascii="Tahoma" w:hAnsi="Tahoma" w:cs="Tahoma"/>
      <w:sz w:val="16"/>
    </w:rPr>
  </w:style>
  <w:style w:type="character" w:styleId="Tytuksiki">
    <w:name w:val="Book Title"/>
    <w:uiPriority w:val="98"/>
    <w:semiHidden/>
    <w:qFormat/>
    <w:rsid w:val="002D6B83"/>
    <w:rPr>
      <w:i/>
      <w:smallCaps/>
    </w:rPr>
  </w:style>
  <w:style w:type="paragraph" w:customStyle="1" w:styleId="JuHeader">
    <w:name w:val="Ju_Header"/>
    <w:aliases w:val="_Header"/>
    <w:basedOn w:val="Nagwek"/>
    <w:uiPriority w:val="29"/>
    <w:qFormat/>
    <w:rsid w:val="002D6B83"/>
    <w:pPr>
      <w:tabs>
        <w:tab w:val="clear" w:pos="4536"/>
        <w:tab w:val="clear" w:pos="9072"/>
      </w:tabs>
      <w:jc w:val="center"/>
    </w:pPr>
    <w:rPr>
      <w:sz w:val="18"/>
    </w:rPr>
  </w:style>
  <w:style w:type="paragraph" w:customStyle="1" w:styleId="NormalJustified">
    <w:name w:val="Normal_Justified"/>
    <w:basedOn w:val="Normalny"/>
    <w:semiHidden/>
    <w:rsid w:val="002D6B83"/>
    <w:pPr>
      <w:jc w:val="both"/>
    </w:pPr>
  </w:style>
  <w:style w:type="character" w:styleId="Pogrubienie">
    <w:name w:val="Strong"/>
    <w:uiPriority w:val="98"/>
    <w:semiHidden/>
    <w:qFormat/>
    <w:rsid w:val="002D6B83"/>
    <w:rPr>
      <w:b/>
    </w:rPr>
  </w:style>
  <w:style w:type="paragraph" w:styleId="Bezodstpw">
    <w:name w:val="No Spacing"/>
    <w:basedOn w:val="Normalny"/>
    <w:link w:val="BezodstpwZnak"/>
    <w:uiPriority w:val="98"/>
    <w:semiHidden/>
    <w:qFormat/>
    <w:rsid w:val="002D6B83"/>
  </w:style>
  <w:style w:type="character" w:customStyle="1" w:styleId="BezodstpwZnak">
    <w:name w:val="Bez odstępów Znak"/>
    <w:basedOn w:val="Domylnaczcionkaakapitu"/>
    <w:link w:val="Bezodstpw"/>
    <w:uiPriority w:val="98"/>
    <w:semiHidden/>
    <w:rsid w:val="002D6B83"/>
    <w:rPr>
      <w:sz w:val="24"/>
    </w:rPr>
  </w:style>
  <w:style w:type="paragraph" w:customStyle="1" w:styleId="JuQuot">
    <w:name w:val="Ju_Quot"/>
    <w:aliases w:val="_Quote"/>
    <w:basedOn w:val="NormalJustified"/>
    <w:uiPriority w:val="20"/>
    <w:qFormat/>
    <w:rsid w:val="002D6B83"/>
    <w:pPr>
      <w:spacing w:before="120" w:after="120"/>
      <w:ind w:left="425" w:firstLine="142"/>
    </w:pPr>
    <w:rPr>
      <w:sz w:val="20"/>
    </w:rPr>
  </w:style>
  <w:style w:type="paragraph" w:customStyle="1" w:styleId="JuList">
    <w:name w:val="Ju_List"/>
    <w:aliases w:val="_List_1"/>
    <w:basedOn w:val="NormalJustified"/>
    <w:uiPriority w:val="23"/>
    <w:qFormat/>
    <w:rsid w:val="002D6B83"/>
    <w:pPr>
      <w:numPr>
        <w:numId w:val="22"/>
      </w:numPr>
      <w:spacing w:before="280" w:after="60"/>
    </w:pPr>
  </w:style>
  <w:style w:type="paragraph" w:customStyle="1" w:styleId="JuLista">
    <w:name w:val="Ju_List_a"/>
    <w:aliases w:val="_List_2"/>
    <w:basedOn w:val="NormalJustified"/>
    <w:uiPriority w:val="23"/>
    <w:rsid w:val="002D6B83"/>
    <w:pPr>
      <w:numPr>
        <w:ilvl w:val="1"/>
        <w:numId w:val="22"/>
      </w:numPr>
    </w:pPr>
  </w:style>
  <w:style w:type="paragraph" w:customStyle="1" w:styleId="JuListi">
    <w:name w:val="Ju_List_i"/>
    <w:aliases w:val="_List_3"/>
    <w:basedOn w:val="NormalJustified"/>
    <w:uiPriority w:val="23"/>
    <w:rsid w:val="002D6B83"/>
    <w:pPr>
      <w:numPr>
        <w:ilvl w:val="2"/>
        <w:numId w:val="22"/>
      </w:numPr>
    </w:pPr>
  </w:style>
  <w:style w:type="paragraph" w:customStyle="1" w:styleId="JuHArticle">
    <w:name w:val="Ju_H_Article"/>
    <w:aliases w:val="_Title_Quote"/>
    <w:basedOn w:val="Normalny"/>
    <w:next w:val="JuQuot"/>
    <w:uiPriority w:val="19"/>
    <w:qFormat/>
    <w:rsid w:val="002D6B8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D6B8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D6B8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D6B83"/>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D6B83"/>
    <w:pPr>
      <w:numPr>
        <w:numId w:val="16"/>
      </w:numPr>
    </w:pPr>
  </w:style>
  <w:style w:type="paragraph" w:customStyle="1" w:styleId="JuSigned">
    <w:name w:val="Ju_Signed"/>
    <w:aliases w:val="_Signature"/>
    <w:basedOn w:val="Normalny"/>
    <w:next w:val="JuPara"/>
    <w:uiPriority w:val="31"/>
    <w:qFormat/>
    <w:rsid w:val="002D6B83"/>
    <w:pPr>
      <w:tabs>
        <w:tab w:val="center" w:pos="1418"/>
        <w:tab w:val="center" w:pos="5954"/>
      </w:tabs>
      <w:spacing w:before="720"/>
    </w:pPr>
  </w:style>
  <w:style w:type="paragraph" w:styleId="Tytu">
    <w:name w:val="Title"/>
    <w:basedOn w:val="Normalny"/>
    <w:next w:val="Normalny"/>
    <w:link w:val="TytuZnak"/>
    <w:uiPriority w:val="98"/>
    <w:semiHidden/>
    <w:qFormat/>
    <w:rsid w:val="002D6B83"/>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2D6B83"/>
    <w:rPr>
      <w:rFonts w:asciiTheme="majorHAnsi" w:eastAsiaTheme="majorEastAsia" w:hAnsiTheme="majorHAnsi" w:cstheme="majorBidi"/>
      <w:sz w:val="52"/>
    </w:rPr>
  </w:style>
  <w:style w:type="numbering" w:customStyle="1" w:styleId="ECHRA1StyleList">
    <w:name w:val="ECHR_A1_Style_List"/>
    <w:basedOn w:val="Bezlisty"/>
    <w:uiPriority w:val="99"/>
    <w:rsid w:val="002D6B83"/>
    <w:pPr>
      <w:numPr>
        <w:numId w:val="17"/>
      </w:numPr>
    </w:pPr>
  </w:style>
  <w:style w:type="numbering" w:customStyle="1" w:styleId="ECHRA1StyleNumberedList">
    <w:name w:val="ECHR_A1_Style_Numbered_List"/>
    <w:basedOn w:val="Bezlisty"/>
    <w:rsid w:val="002D6B83"/>
    <w:pPr>
      <w:numPr>
        <w:numId w:val="18"/>
      </w:numPr>
    </w:pPr>
  </w:style>
  <w:style w:type="table" w:customStyle="1" w:styleId="ECHRTable2019">
    <w:name w:val="ECHR_Table_2019"/>
    <w:basedOn w:val="Standardowy"/>
    <w:uiPriority w:val="99"/>
    <w:rsid w:val="002D6B83"/>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D6B83"/>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2D6B83"/>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D6B83"/>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D6B83"/>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2D6B83"/>
    <w:pPr>
      <w:tabs>
        <w:tab w:val="center" w:pos="4536"/>
        <w:tab w:val="right" w:pos="9072"/>
      </w:tabs>
    </w:pPr>
  </w:style>
  <w:style w:type="character" w:customStyle="1" w:styleId="NagwekZnak">
    <w:name w:val="Nagłówek Znak"/>
    <w:basedOn w:val="Domylnaczcionkaakapitu"/>
    <w:link w:val="Nagwek"/>
    <w:uiPriority w:val="98"/>
    <w:semiHidden/>
    <w:rsid w:val="002D6B83"/>
    <w:rPr>
      <w:sz w:val="24"/>
    </w:rPr>
  </w:style>
  <w:style w:type="character" w:customStyle="1" w:styleId="Nagwek1Znak">
    <w:name w:val="Nagłówek 1 Znak"/>
    <w:basedOn w:val="Domylnaczcionkaakapitu"/>
    <w:link w:val="Nagwek1"/>
    <w:uiPriority w:val="98"/>
    <w:semiHidden/>
    <w:rsid w:val="002D6B83"/>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2D6B83"/>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2D6B83"/>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D6B83"/>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2D6B83"/>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D6B83"/>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2D6B83"/>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2D6B83"/>
    <w:pPr>
      <w:keepNext/>
      <w:keepLines/>
      <w:spacing w:before="240" w:after="240"/>
      <w:ind w:firstLine="284"/>
    </w:pPr>
  </w:style>
  <w:style w:type="paragraph" w:customStyle="1" w:styleId="JuJudges">
    <w:name w:val="Ju_Judges"/>
    <w:aliases w:val="_Judges"/>
    <w:basedOn w:val="Normalny"/>
    <w:uiPriority w:val="32"/>
    <w:qFormat/>
    <w:rsid w:val="002D6B83"/>
    <w:pPr>
      <w:tabs>
        <w:tab w:val="left" w:pos="567"/>
        <w:tab w:val="left" w:pos="1134"/>
      </w:tabs>
    </w:pPr>
  </w:style>
  <w:style w:type="character" w:customStyle="1" w:styleId="Nagwek4Znak">
    <w:name w:val="Nagłówek 4 Znak"/>
    <w:basedOn w:val="Domylnaczcionkaakapitu"/>
    <w:link w:val="Nagwek4"/>
    <w:uiPriority w:val="98"/>
    <w:semiHidden/>
    <w:rsid w:val="002D6B83"/>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2D6B83"/>
    <w:pPr>
      <w:tabs>
        <w:tab w:val="center" w:pos="6407"/>
      </w:tabs>
      <w:spacing w:before="720"/>
      <w:jc w:val="right"/>
    </w:pPr>
  </w:style>
  <w:style w:type="character" w:customStyle="1" w:styleId="Nagwek5Znak">
    <w:name w:val="Nagłówek 5 Znak"/>
    <w:basedOn w:val="Domylnaczcionkaakapitu"/>
    <w:link w:val="Nagwek5"/>
    <w:uiPriority w:val="98"/>
    <w:semiHidden/>
    <w:rsid w:val="002D6B83"/>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2D6B8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D6B83"/>
    <w:rPr>
      <w:caps w:val="0"/>
      <w:smallCaps/>
    </w:rPr>
  </w:style>
  <w:style w:type="character" w:styleId="Wyrnieniedelikatne">
    <w:name w:val="Subtle Emphasis"/>
    <w:uiPriority w:val="98"/>
    <w:semiHidden/>
    <w:qFormat/>
    <w:rsid w:val="002D6B83"/>
    <w:rPr>
      <w:i/>
    </w:rPr>
  </w:style>
  <w:style w:type="table" w:customStyle="1" w:styleId="ECHRTable">
    <w:name w:val="ECHR_Table"/>
    <w:basedOn w:val="Standardowy"/>
    <w:rsid w:val="002D6B83"/>
    <w:rPr>
      <w:rFonts w:eastAsia="Times New Roman" w:cs="Times New Roman"/>
      <w:sz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D6B83"/>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D6B83"/>
    <w:rPr>
      <w:b/>
      <w:i/>
      <w:bdr w:val="none" w:sz="0" w:space="0" w:color="auto"/>
      <w:shd w:val="clear" w:color="auto" w:fill="auto"/>
    </w:rPr>
  </w:style>
  <w:style w:type="paragraph" w:styleId="Stopka">
    <w:name w:val="footer"/>
    <w:basedOn w:val="Normalny"/>
    <w:link w:val="StopkaZnak"/>
    <w:uiPriority w:val="98"/>
    <w:semiHidden/>
    <w:rsid w:val="002D6B83"/>
    <w:pPr>
      <w:tabs>
        <w:tab w:val="center" w:pos="3686"/>
        <w:tab w:val="right" w:pos="7371"/>
      </w:tabs>
    </w:pPr>
  </w:style>
  <w:style w:type="character" w:customStyle="1" w:styleId="StopkaZnak">
    <w:name w:val="Stopka Znak"/>
    <w:basedOn w:val="Domylnaczcionkaakapitu"/>
    <w:link w:val="Stopka"/>
    <w:uiPriority w:val="98"/>
    <w:semiHidden/>
    <w:rsid w:val="002D6B83"/>
    <w:rPr>
      <w:sz w:val="24"/>
    </w:rPr>
  </w:style>
  <w:style w:type="character" w:styleId="Odwoanieprzypisudolnego">
    <w:name w:val="footnote reference"/>
    <w:basedOn w:val="Domylnaczcionkaakapitu"/>
    <w:uiPriority w:val="98"/>
    <w:semiHidden/>
    <w:rsid w:val="002D6B83"/>
    <w:rPr>
      <w:vertAlign w:val="superscript"/>
    </w:rPr>
  </w:style>
  <w:style w:type="paragraph" w:styleId="Tekstprzypisudolnego">
    <w:name w:val="footnote text"/>
    <w:basedOn w:val="NormalJustified"/>
    <w:link w:val="TekstprzypisudolnegoZnak"/>
    <w:uiPriority w:val="98"/>
    <w:semiHidden/>
    <w:rsid w:val="002D6B83"/>
    <w:rPr>
      <w:sz w:val="20"/>
    </w:rPr>
  </w:style>
  <w:style w:type="character" w:customStyle="1" w:styleId="TekstprzypisudolnegoZnak">
    <w:name w:val="Tekst przypisu dolnego Znak"/>
    <w:basedOn w:val="Domylnaczcionkaakapitu"/>
    <w:link w:val="Tekstprzypisudolnego"/>
    <w:uiPriority w:val="98"/>
    <w:semiHidden/>
    <w:rsid w:val="002D6B83"/>
    <w:rPr>
      <w:sz w:val="20"/>
    </w:rPr>
  </w:style>
  <w:style w:type="character" w:customStyle="1" w:styleId="Nagwek6Znak">
    <w:name w:val="Nagłówek 6 Znak"/>
    <w:basedOn w:val="Domylnaczcionkaakapitu"/>
    <w:link w:val="Nagwek6"/>
    <w:uiPriority w:val="98"/>
    <w:semiHidden/>
    <w:rsid w:val="002D6B83"/>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2D6B83"/>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2D6B83"/>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2D6B83"/>
    <w:rPr>
      <w:rFonts w:asciiTheme="majorHAnsi" w:eastAsiaTheme="majorEastAsia" w:hAnsiTheme="majorHAnsi" w:cstheme="majorBidi"/>
      <w:i/>
      <w:sz w:val="20"/>
    </w:rPr>
  </w:style>
  <w:style w:type="character" w:styleId="Hipercze">
    <w:name w:val="Hyperlink"/>
    <w:basedOn w:val="Domylnaczcionkaakapitu"/>
    <w:uiPriority w:val="98"/>
    <w:semiHidden/>
    <w:rsid w:val="002D6B83"/>
    <w:rPr>
      <w:color w:val="0072BC" w:themeColor="hyperlink"/>
      <w:u w:val="single"/>
    </w:rPr>
  </w:style>
  <w:style w:type="character" w:styleId="Wyrnienieintensywne">
    <w:name w:val="Intense Emphasis"/>
    <w:uiPriority w:val="98"/>
    <w:semiHidden/>
    <w:qFormat/>
    <w:rsid w:val="002D6B83"/>
    <w:rPr>
      <w:b/>
    </w:rPr>
  </w:style>
  <w:style w:type="paragraph" w:styleId="Cytatintensywny">
    <w:name w:val="Intense Quote"/>
    <w:basedOn w:val="Normalny"/>
    <w:next w:val="Normalny"/>
    <w:link w:val="CytatintensywnyZnak"/>
    <w:uiPriority w:val="98"/>
    <w:semiHidden/>
    <w:qFormat/>
    <w:rsid w:val="002D6B83"/>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2D6B83"/>
    <w:rPr>
      <w:b/>
      <w:i/>
      <w:sz w:val="24"/>
    </w:rPr>
  </w:style>
  <w:style w:type="character" w:styleId="Odwoanieintensywne">
    <w:name w:val="Intense Reference"/>
    <w:uiPriority w:val="98"/>
    <w:semiHidden/>
    <w:qFormat/>
    <w:rsid w:val="002D6B83"/>
    <w:rPr>
      <w:smallCaps/>
      <w:u w:val="single"/>
    </w:rPr>
  </w:style>
  <w:style w:type="paragraph" w:styleId="Akapitzlist">
    <w:name w:val="List Paragraph"/>
    <w:basedOn w:val="Normalny"/>
    <w:uiPriority w:val="98"/>
    <w:semiHidden/>
    <w:qFormat/>
    <w:rsid w:val="002D6B83"/>
    <w:pPr>
      <w:ind w:left="720"/>
      <w:contextualSpacing/>
    </w:pPr>
  </w:style>
  <w:style w:type="table" w:customStyle="1" w:styleId="LtrTableAddress">
    <w:name w:val="Ltr_Table_Address"/>
    <w:aliases w:val="ECHR_Ltr_Table_Address"/>
    <w:basedOn w:val="Standardowy"/>
    <w:uiPriority w:val="99"/>
    <w:rsid w:val="002D6B83"/>
    <w:rPr>
      <w:sz w:val="24"/>
    </w:rPr>
    <w:tblPr>
      <w:tblInd w:w="5103" w:type="dxa"/>
    </w:tblPr>
  </w:style>
  <w:style w:type="paragraph" w:styleId="Cytat">
    <w:name w:val="Quote"/>
    <w:basedOn w:val="Normalny"/>
    <w:next w:val="Normalny"/>
    <w:link w:val="CytatZnak"/>
    <w:uiPriority w:val="98"/>
    <w:semiHidden/>
    <w:qFormat/>
    <w:rsid w:val="002D6B83"/>
    <w:pPr>
      <w:spacing w:before="200"/>
      <w:ind w:left="360" w:right="360"/>
    </w:pPr>
    <w:rPr>
      <w:i/>
    </w:rPr>
  </w:style>
  <w:style w:type="character" w:customStyle="1" w:styleId="CytatZnak">
    <w:name w:val="Cytat Znak"/>
    <w:basedOn w:val="Domylnaczcionkaakapitu"/>
    <w:link w:val="Cytat"/>
    <w:uiPriority w:val="98"/>
    <w:semiHidden/>
    <w:rsid w:val="002D6B83"/>
    <w:rPr>
      <w:i/>
      <w:sz w:val="24"/>
    </w:rPr>
  </w:style>
  <w:style w:type="character" w:styleId="Odwoaniedelikatne">
    <w:name w:val="Subtle Reference"/>
    <w:uiPriority w:val="98"/>
    <w:semiHidden/>
    <w:qFormat/>
    <w:rsid w:val="002D6B83"/>
    <w:rPr>
      <w:smallCaps/>
    </w:rPr>
  </w:style>
  <w:style w:type="table" w:styleId="Tabela-Siatka">
    <w:name w:val="Table Grid"/>
    <w:basedOn w:val="Standardowy"/>
    <w:uiPriority w:val="59"/>
    <w:semiHidden/>
    <w:rsid w:val="002D6B83"/>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D6B8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D6B8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D6B8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D6B8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D6B8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D6B8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D6B83"/>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D6B83"/>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D6B83"/>
    <w:rPr>
      <w:color w:val="000000" w:themeColor="text1"/>
      <w:sz w:val="18"/>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D6B83"/>
    <w:rPr>
      <w:color w:val="000000" w:themeColor="text1"/>
      <w:sz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D6B83"/>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D6B83"/>
    <w:rPr>
      <w:sz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D6B83"/>
    <w:pPr>
      <w:keepNext/>
      <w:keepLines/>
      <w:spacing w:before="240"/>
      <w:contextualSpacing/>
      <w:jc w:val="center"/>
    </w:pPr>
    <w:rPr>
      <w:rFonts w:asciiTheme="majorHAnsi" w:eastAsiaTheme="majorEastAsia" w:hAnsiTheme="majorHAnsi" w:cstheme="majorBidi"/>
      <w:b/>
      <w:color w:val="424242" w:themeColor="accent3" w:themeShade="BF"/>
      <w:sz w:val="28"/>
    </w:rPr>
  </w:style>
  <w:style w:type="paragraph" w:styleId="Podtytu">
    <w:name w:val="Subtitle"/>
    <w:basedOn w:val="Normalny"/>
    <w:next w:val="Normalny"/>
    <w:link w:val="PodtytuZnak"/>
    <w:uiPriority w:val="98"/>
    <w:semiHidden/>
    <w:qFormat/>
    <w:rsid w:val="002D6B83"/>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2D6B83"/>
    <w:rPr>
      <w:rFonts w:asciiTheme="majorHAnsi" w:eastAsiaTheme="majorEastAsia" w:hAnsiTheme="majorHAnsi" w:cstheme="majorBidi"/>
      <w:i/>
      <w:sz w:val="24"/>
    </w:rPr>
  </w:style>
  <w:style w:type="numbering" w:styleId="111111">
    <w:name w:val="Outline List 2"/>
    <w:basedOn w:val="Bezlisty"/>
    <w:uiPriority w:val="99"/>
    <w:semiHidden/>
    <w:unhideWhenUsed/>
    <w:rsid w:val="002D6B83"/>
    <w:pPr>
      <w:numPr>
        <w:numId w:val="3"/>
      </w:numPr>
    </w:pPr>
  </w:style>
  <w:style w:type="paragraph" w:customStyle="1" w:styleId="JuPara">
    <w:name w:val="Ju_Para"/>
    <w:aliases w:val="_Para"/>
    <w:basedOn w:val="NormalJustified"/>
    <w:link w:val="JuParaChar"/>
    <w:uiPriority w:val="4"/>
    <w:qFormat/>
    <w:rsid w:val="002D6B83"/>
    <w:pPr>
      <w:ind w:firstLine="284"/>
    </w:pPr>
  </w:style>
  <w:style w:type="numbering" w:styleId="1ai">
    <w:name w:val="Outline List 1"/>
    <w:basedOn w:val="Bezlisty"/>
    <w:uiPriority w:val="99"/>
    <w:semiHidden/>
    <w:unhideWhenUsed/>
    <w:rsid w:val="002D6B83"/>
    <w:pPr>
      <w:numPr>
        <w:numId w:val="4"/>
      </w:numPr>
    </w:pPr>
  </w:style>
  <w:style w:type="table" w:customStyle="1" w:styleId="ECHRTableSimpleBox">
    <w:name w:val="ECHR_Table_Simple_Box"/>
    <w:basedOn w:val="Standardowy"/>
    <w:uiPriority w:val="99"/>
    <w:rsid w:val="002D6B83"/>
    <w:rPr>
      <w:sz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D6B83"/>
    <w:rPr>
      <w:sz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D6B83"/>
    <w:pPr>
      <w:numPr>
        <w:numId w:val="5"/>
      </w:numPr>
    </w:pPr>
  </w:style>
  <w:style w:type="table" w:customStyle="1" w:styleId="ECHRTableForInternalUse">
    <w:name w:val="ECHR_Table_For_Internal_Use"/>
    <w:basedOn w:val="Standardowy"/>
    <w:uiPriority w:val="99"/>
    <w:rsid w:val="002D6B83"/>
    <w:rPr>
      <w:color w:val="585858"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D6B83"/>
    <w:rPr>
      <w:sz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D6B83"/>
  </w:style>
  <w:style w:type="paragraph" w:styleId="Tekstblokowy">
    <w:name w:val="Block Text"/>
    <w:basedOn w:val="Normalny"/>
    <w:uiPriority w:val="98"/>
    <w:semiHidden/>
    <w:rsid w:val="002D6B8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2D6B83"/>
    <w:rPr>
      <w:sz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D6B83"/>
    <w:pPr>
      <w:spacing w:after="120"/>
    </w:pPr>
  </w:style>
  <w:style w:type="character" w:customStyle="1" w:styleId="TekstpodstawowyZnak">
    <w:name w:val="Tekst podstawowy Znak"/>
    <w:basedOn w:val="Domylnaczcionkaakapitu"/>
    <w:link w:val="Tekstpodstawowy"/>
    <w:uiPriority w:val="98"/>
    <w:semiHidden/>
    <w:rsid w:val="002D6B83"/>
    <w:rPr>
      <w:sz w:val="24"/>
    </w:rPr>
  </w:style>
  <w:style w:type="table" w:customStyle="1" w:styleId="ECHRTableOddBanded">
    <w:name w:val="ECHR_Table_Odd_Banded"/>
    <w:basedOn w:val="Standardowy"/>
    <w:uiPriority w:val="99"/>
    <w:rsid w:val="002D6B8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D6B83"/>
    <w:pPr>
      <w:spacing w:after="120" w:line="480" w:lineRule="auto"/>
    </w:pPr>
  </w:style>
  <w:style w:type="table" w:customStyle="1" w:styleId="ECHRHeaderTableReduced">
    <w:name w:val="ECHR_Header_Table_Reduced"/>
    <w:basedOn w:val="Standardowy"/>
    <w:uiPriority w:val="99"/>
    <w:rsid w:val="002D6B83"/>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D6B83"/>
    <w:pPr>
      <w:ind w:firstLine="284"/>
    </w:pPr>
    <w:rPr>
      <w:b/>
    </w:rPr>
  </w:style>
  <w:style w:type="character" w:styleId="Numerstrony">
    <w:name w:val="page number"/>
    <w:uiPriority w:val="98"/>
    <w:semiHidden/>
    <w:rsid w:val="002D6B83"/>
    <w:rPr>
      <w:sz w:val="18"/>
    </w:rPr>
  </w:style>
  <w:style w:type="paragraph" w:styleId="Listapunktowana">
    <w:name w:val="List Bullet"/>
    <w:basedOn w:val="Normalny"/>
    <w:uiPriority w:val="98"/>
    <w:semiHidden/>
    <w:rsid w:val="002D6B83"/>
    <w:pPr>
      <w:numPr>
        <w:numId w:val="6"/>
      </w:numPr>
    </w:pPr>
  </w:style>
  <w:style w:type="paragraph" w:styleId="Listapunktowana3">
    <w:name w:val="List Bullet 3"/>
    <w:basedOn w:val="Normalny"/>
    <w:uiPriority w:val="98"/>
    <w:semiHidden/>
    <w:rsid w:val="002D6B83"/>
    <w:pPr>
      <w:numPr>
        <w:numId w:val="8"/>
      </w:numPr>
      <w:contextualSpacing/>
    </w:pPr>
  </w:style>
  <w:style w:type="character" w:customStyle="1" w:styleId="Tekstpodstawowy2Znak">
    <w:name w:val="Tekst podstawowy 2 Znak"/>
    <w:basedOn w:val="Domylnaczcionkaakapitu"/>
    <w:link w:val="Tekstpodstawowy2"/>
    <w:uiPriority w:val="98"/>
    <w:semiHidden/>
    <w:rsid w:val="002D6B83"/>
    <w:rPr>
      <w:sz w:val="24"/>
    </w:rPr>
  </w:style>
  <w:style w:type="paragraph" w:styleId="Tekstpodstawowy3">
    <w:name w:val="Body Text 3"/>
    <w:basedOn w:val="Normalny"/>
    <w:link w:val="Tekstpodstawowy3Znak"/>
    <w:uiPriority w:val="98"/>
    <w:semiHidden/>
    <w:rsid w:val="002D6B83"/>
    <w:pPr>
      <w:spacing w:after="120"/>
    </w:pPr>
    <w:rPr>
      <w:sz w:val="16"/>
    </w:rPr>
  </w:style>
  <w:style w:type="character" w:customStyle="1" w:styleId="Tekstpodstawowy3Znak">
    <w:name w:val="Tekst podstawowy 3 Znak"/>
    <w:basedOn w:val="Domylnaczcionkaakapitu"/>
    <w:link w:val="Tekstpodstawowy3"/>
    <w:uiPriority w:val="98"/>
    <w:semiHidden/>
    <w:rsid w:val="002D6B83"/>
    <w:rPr>
      <w:sz w:val="16"/>
    </w:rPr>
  </w:style>
  <w:style w:type="paragraph" w:styleId="Tekstpodstawowyzwciciem">
    <w:name w:val="Body Text First Indent"/>
    <w:basedOn w:val="Tekstpodstawowy"/>
    <w:link w:val="TekstpodstawowyzwciciemZnak"/>
    <w:uiPriority w:val="98"/>
    <w:semiHidden/>
    <w:rsid w:val="002D6B8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D6B83"/>
    <w:rPr>
      <w:sz w:val="24"/>
    </w:rPr>
  </w:style>
  <w:style w:type="paragraph" w:styleId="Tekstpodstawowywcity">
    <w:name w:val="Body Text Indent"/>
    <w:basedOn w:val="Normalny"/>
    <w:link w:val="TekstpodstawowywcityZnak"/>
    <w:uiPriority w:val="98"/>
    <w:semiHidden/>
    <w:rsid w:val="002D6B83"/>
    <w:pPr>
      <w:spacing w:after="120"/>
      <w:ind w:left="283"/>
    </w:pPr>
  </w:style>
  <w:style w:type="character" w:customStyle="1" w:styleId="TekstpodstawowywcityZnak">
    <w:name w:val="Tekst podstawowy wcięty Znak"/>
    <w:basedOn w:val="Domylnaczcionkaakapitu"/>
    <w:link w:val="Tekstpodstawowywcity"/>
    <w:uiPriority w:val="98"/>
    <w:semiHidden/>
    <w:rsid w:val="002D6B83"/>
    <w:rPr>
      <w:sz w:val="24"/>
    </w:rPr>
  </w:style>
  <w:style w:type="paragraph" w:styleId="Tekstpodstawowyzwciciem2">
    <w:name w:val="Body Text First Indent 2"/>
    <w:basedOn w:val="Tekstpodstawowywcity"/>
    <w:link w:val="Tekstpodstawowyzwciciem2Znak"/>
    <w:uiPriority w:val="98"/>
    <w:semiHidden/>
    <w:rsid w:val="002D6B8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D6B83"/>
    <w:rPr>
      <w:sz w:val="24"/>
    </w:rPr>
  </w:style>
  <w:style w:type="paragraph" w:styleId="Tekstpodstawowywcity2">
    <w:name w:val="Body Text Indent 2"/>
    <w:basedOn w:val="Normalny"/>
    <w:link w:val="Tekstpodstawowywcity2Znak"/>
    <w:uiPriority w:val="98"/>
    <w:semiHidden/>
    <w:rsid w:val="002D6B8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D6B83"/>
    <w:rPr>
      <w:sz w:val="24"/>
    </w:rPr>
  </w:style>
  <w:style w:type="paragraph" w:styleId="Tekstpodstawowywcity3">
    <w:name w:val="Body Text Indent 3"/>
    <w:basedOn w:val="Normalny"/>
    <w:link w:val="Tekstpodstawowywcity3Znak"/>
    <w:uiPriority w:val="98"/>
    <w:semiHidden/>
    <w:rsid w:val="002D6B83"/>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2D6B83"/>
    <w:rPr>
      <w:sz w:val="16"/>
    </w:rPr>
  </w:style>
  <w:style w:type="paragraph" w:styleId="Legenda">
    <w:name w:val="caption"/>
    <w:basedOn w:val="Normalny"/>
    <w:next w:val="Normalny"/>
    <w:uiPriority w:val="98"/>
    <w:semiHidden/>
    <w:qFormat/>
    <w:rsid w:val="002D6B83"/>
    <w:pPr>
      <w:spacing w:after="200"/>
    </w:pPr>
    <w:rPr>
      <w:b/>
      <w:color w:val="0072BC" w:themeColor="accent1"/>
      <w:sz w:val="18"/>
    </w:rPr>
  </w:style>
  <w:style w:type="paragraph" w:styleId="Zwrotpoegnalny">
    <w:name w:val="Closing"/>
    <w:basedOn w:val="Normalny"/>
    <w:link w:val="ZwrotpoegnalnyZnak"/>
    <w:uiPriority w:val="98"/>
    <w:semiHidden/>
    <w:rsid w:val="002D6B83"/>
    <w:pPr>
      <w:ind w:left="4252"/>
    </w:pPr>
  </w:style>
  <w:style w:type="character" w:customStyle="1" w:styleId="ZwrotpoegnalnyZnak">
    <w:name w:val="Zwrot pożegnalny Znak"/>
    <w:basedOn w:val="Domylnaczcionkaakapitu"/>
    <w:link w:val="Zwrotpoegnalny"/>
    <w:uiPriority w:val="98"/>
    <w:semiHidden/>
    <w:rsid w:val="002D6B83"/>
    <w:rPr>
      <w:sz w:val="24"/>
    </w:rPr>
  </w:style>
  <w:style w:type="table" w:styleId="Kolorowasiatka">
    <w:name w:val="Colorful Grid"/>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6B83"/>
    <w:rPr>
      <w:color w:val="000000" w:themeColor="text1"/>
      <w:sz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6B83"/>
    <w:rPr>
      <w:color w:val="000000" w:themeColor="text1"/>
      <w:sz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6B83"/>
    <w:rPr>
      <w:color w:val="000000" w:themeColor="text1"/>
      <w:sz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6B83"/>
    <w:rPr>
      <w:color w:val="000000" w:themeColor="text1"/>
      <w:sz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6B83"/>
    <w:rPr>
      <w:color w:val="000000" w:themeColor="text1"/>
      <w:sz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D6B83"/>
    <w:rPr>
      <w:color w:val="000000" w:themeColor="text1"/>
      <w:sz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6B83"/>
    <w:rPr>
      <w:color w:val="000000" w:themeColor="text1"/>
      <w:sz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6B83"/>
    <w:rPr>
      <w:color w:val="000000" w:themeColor="text1"/>
      <w:sz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6B83"/>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6B83"/>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6B83"/>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6B83"/>
    <w:rPr>
      <w:color w:val="000000" w:themeColor="text1"/>
      <w:sz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D6B83"/>
    <w:rPr>
      <w:color w:val="000000" w:themeColor="text1"/>
      <w:sz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6B83"/>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6B83"/>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D6B83"/>
    <w:rPr>
      <w:sz w:val="16"/>
    </w:rPr>
  </w:style>
  <w:style w:type="paragraph" w:styleId="Tekstkomentarza">
    <w:name w:val="annotation text"/>
    <w:basedOn w:val="Normalny"/>
    <w:link w:val="TekstkomentarzaZnak"/>
    <w:uiPriority w:val="98"/>
    <w:semiHidden/>
    <w:rsid w:val="002D6B83"/>
    <w:rPr>
      <w:sz w:val="20"/>
    </w:rPr>
  </w:style>
  <w:style w:type="character" w:customStyle="1" w:styleId="TekstkomentarzaZnak">
    <w:name w:val="Tekst komentarza Znak"/>
    <w:basedOn w:val="Domylnaczcionkaakapitu"/>
    <w:link w:val="Tekstkomentarza"/>
    <w:uiPriority w:val="98"/>
    <w:semiHidden/>
    <w:rsid w:val="002D6B83"/>
    <w:rPr>
      <w:sz w:val="20"/>
    </w:rPr>
  </w:style>
  <w:style w:type="paragraph" w:styleId="Tematkomentarza">
    <w:name w:val="annotation subject"/>
    <w:basedOn w:val="Tekstkomentarza"/>
    <w:next w:val="Tekstkomentarza"/>
    <w:link w:val="TematkomentarzaZnak"/>
    <w:uiPriority w:val="98"/>
    <w:semiHidden/>
    <w:rsid w:val="002D6B83"/>
    <w:rPr>
      <w:b/>
    </w:rPr>
  </w:style>
  <w:style w:type="character" w:customStyle="1" w:styleId="TematkomentarzaZnak">
    <w:name w:val="Temat komentarza Znak"/>
    <w:basedOn w:val="TekstkomentarzaZnak"/>
    <w:link w:val="Tematkomentarza"/>
    <w:uiPriority w:val="98"/>
    <w:semiHidden/>
    <w:rsid w:val="002D6B83"/>
    <w:rPr>
      <w:b/>
      <w:sz w:val="20"/>
    </w:rPr>
  </w:style>
  <w:style w:type="table" w:styleId="Ciemnalista">
    <w:name w:val="Dark List"/>
    <w:basedOn w:val="Standardowy"/>
    <w:uiPriority w:val="70"/>
    <w:semiHidden/>
    <w:rsid w:val="002D6B83"/>
    <w:rPr>
      <w:color w:val="FFFFFF"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6B83"/>
    <w:rPr>
      <w:color w:val="FFFFFF"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6B83"/>
    <w:rPr>
      <w:color w:val="FFFFFF"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6B83"/>
    <w:rPr>
      <w:color w:val="FFFFFF" w:themeColor="background1"/>
      <w:sz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D6B83"/>
    <w:rPr>
      <w:color w:val="FFFFFF"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6B83"/>
    <w:rPr>
      <w:color w:val="FFFFFF"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6B83"/>
    <w:rPr>
      <w:color w:val="FFFFFF"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D6B83"/>
  </w:style>
  <w:style w:type="character" w:customStyle="1" w:styleId="DataZnak">
    <w:name w:val="Data Znak"/>
    <w:basedOn w:val="Domylnaczcionkaakapitu"/>
    <w:link w:val="Data"/>
    <w:uiPriority w:val="98"/>
    <w:semiHidden/>
    <w:rsid w:val="002D6B83"/>
    <w:rPr>
      <w:sz w:val="24"/>
    </w:rPr>
  </w:style>
  <w:style w:type="paragraph" w:styleId="Mapadokumentu">
    <w:name w:val="Document Map"/>
    <w:basedOn w:val="Normalny"/>
    <w:link w:val="MapadokumentuZnak"/>
    <w:uiPriority w:val="98"/>
    <w:semiHidden/>
    <w:rsid w:val="002D6B83"/>
    <w:rPr>
      <w:rFonts w:ascii="Tahoma" w:hAnsi="Tahoma" w:cs="Tahoma"/>
      <w:sz w:val="16"/>
    </w:rPr>
  </w:style>
  <w:style w:type="character" w:customStyle="1" w:styleId="MapadokumentuZnak">
    <w:name w:val="Mapa dokumentu Znak"/>
    <w:basedOn w:val="Domylnaczcionkaakapitu"/>
    <w:link w:val="Mapadokumentu"/>
    <w:uiPriority w:val="98"/>
    <w:semiHidden/>
    <w:rsid w:val="002D6B83"/>
    <w:rPr>
      <w:rFonts w:ascii="Tahoma" w:hAnsi="Tahoma" w:cs="Tahoma"/>
      <w:sz w:val="16"/>
    </w:rPr>
  </w:style>
  <w:style w:type="paragraph" w:styleId="Podpise-mail">
    <w:name w:val="E-mail Signature"/>
    <w:basedOn w:val="Normalny"/>
    <w:link w:val="Podpise-mailZnak"/>
    <w:uiPriority w:val="98"/>
    <w:semiHidden/>
    <w:rsid w:val="002D6B83"/>
  </w:style>
  <w:style w:type="character" w:customStyle="1" w:styleId="Podpise-mailZnak">
    <w:name w:val="Podpis e-mail Znak"/>
    <w:basedOn w:val="Domylnaczcionkaakapitu"/>
    <w:link w:val="Podpise-mail"/>
    <w:uiPriority w:val="98"/>
    <w:semiHidden/>
    <w:rsid w:val="002D6B83"/>
    <w:rPr>
      <w:sz w:val="24"/>
    </w:rPr>
  </w:style>
  <w:style w:type="character" w:styleId="Odwoanieprzypisukocowego">
    <w:name w:val="endnote reference"/>
    <w:basedOn w:val="Domylnaczcionkaakapitu"/>
    <w:uiPriority w:val="98"/>
    <w:semiHidden/>
    <w:rsid w:val="002D6B83"/>
    <w:rPr>
      <w:vertAlign w:val="superscript"/>
    </w:rPr>
  </w:style>
  <w:style w:type="paragraph" w:styleId="Tekstprzypisukocowego">
    <w:name w:val="endnote text"/>
    <w:basedOn w:val="Normalny"/>
    <w:link w:val="TekstprzypisukocowegoZnak"/>
    <w:uiPriority w:val="98"/>
    <w:semiHidden/>
    <w:rsid w:val="002D6B83"/>
    <w:rPr>
      <w:sz w:val="20"/>
    </w:rPr>
  </w:style>
  <w:style w:type="character" w:customStyle="1" w:styleId="TekstprzypisukocowegoZnak">
    <w:name w:val="Tekst przypisu końcowego Znak"/>
    <w:basedOn w:val="Domylnaczcionkaakapitu"/>
    <w:link w:val="Tekstprzypisukocowego"/>
    <w:uiPriority w:val="98"/>
    <w:semiHidden/>
    <w:rsid w:val="002D6B83"/>
    <w:rPr>
      <w:sz w:val="20"/>
    </w:rPr>
  </w:style>
  <w:style w:type="paragraph" w:styleId="Adresnakopercie">
    <w:name w:val="envelope address"/>
    <w:basedOn w:val="Normalny"/>
    <w:uiPriority w:val="98"/>
    <w:semiHidden/>
    <w:rsid w:val="002D6B8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D6B83"/>
    <w:rPr>
      <w:rFonts w:asciiTheme="majorHAnsi" w:eastAsiaTheme="majorEastAsia" w:hAnsiTheme="majorHAnsi" w:cstheme="majorBidi"/>
      <w:sz w:val="20"/>
    </w:rPr>
  </w:style>
  <w:style w:type="character" w:styleId="UyteHipercze">
    <w:name w:val="FollowedHyperlink"/>
    <w:basedOn w:val="Domylnaczcionkaakapitu"/>
    <w:uiPriority w:val="98"/>
    <w:semiHidden/>
    <w:rsid w:val="002D6B83"/>
    <w:rPr>
      <w:color w:val="7030A0" w:themeColor="followedHyperlink"/>
      <w:u w:val="single"/>
    </w:rPr>
  </w:style>
  <w:style w:type="character" w:styleId="HTML-akronim">
    <w:name w:val="HTML Acronym"/>
    <w:basedOn w:val="Domylnaczcionkaakapitu"/>
    <w:uiPriority w:val="98"/>
    <w:semiHidden/>
    <w:rsid w:val="002D6B83"/>
  </w:style>
  <w:style w:type="paragraph" w:styleId="HTML-adres">
    <w:name w:val="HTML Address"/>
    <w:basedOn w:val="Normalny"/>
    <w:link w:val="HTML-adresZnak"/>
    <w:uiPriority w:val="98"/>
    <w:semiHidden/>
    <w:rsid w:val="002D6B83"/>
    <w:rPr>
      <w:i/>
    </w:rPr>
  </w:style>
  <w:style w:type="character" w:customStyle="1" w:styleId="HTML-adresZnak">
    <w:name w:val="HTML - adres Znak"/>
    <w:basedOn w:val="Domylnaczcionkaakapitu"/>
    <w:link w:val="HTML-adres"/>
    <w:uiPriority w:val="98"/>
    <w:semiHidden/>
    <w:rsid w:val="002D6B83"/>
    <w:rPr>
      <w:i/>
      <w:sz w:val="24"/>
    </w:rPr>
  </w:style>
  <w:style w:type="character" w:styleId="HTML-cytat">
    <w:name w:val="HTML Cite"/>
    <w:basedOn w:val="Domylnaczcionkaakapitu"/>
    <w:uiPriority w:val="98"/>
    <w:semiHidden/>
    <w:rsid w:val="002D6B83"/>
    <w:rPr>
      <w:i/>
    </w:rPr>
  </w:style>
  <w:style w:type="character" w:styleId="HTML-kod">
    <w:name w:val="HTML Code"/>
    <w:basedOn w:val="Domylnaczcionkaakapitu"/>
    <w:uiPriority w:val="98"/>
    <w:semiHidden/>
    <w:rsid w:val="002D6B83"/>
    <w:rPr>
      <w:rFonts w:ascii="Consolas" w:hAnsi="Consolas" w:cs="Consolas"/>
      <w:sz w:val="20"/>
    </w:rPr>
  </w:style>
  <w:style w:type="character" w:styleId="HTML-definicja">
    <w:name w:val="HTML Definition"/>
    <w:basedOn w:val="Domylnaczcionkaakapitu"/>
    <w:uiPriority w:val="98"/>
    <w:semiHidden/>
    <w:rsid w:val="002D6B83"/>
    <w:rPr>
      <w:i/>
    </w:rPr>
  </w:style>
  <w:style w:type="character" w:styleId="HTML-klawiatura">
    <w:name w:val="HTML Keyboard"/>
    <w:basedOn w:val="Domylnaczcionkaakapitu"/>
    <w:uiPriority w:val="98"/>
    <w:semiHidden/>
    <w:rsid w:val="002D6B83"/>
    <w:rPr>
      <w:rFonts w:ascii="Consolas" w:hAnsi="Consolas" w:cs="Consolas"/>
      <w:sz w:val="20"/>
    </w:rPr>
  </w:style>
  <w:style w:type="paragraph" w:styleId="HTML-wstpniesformatowany">
    <w:name w:val="HTML Preformatted"/>
    <w:basedOn w:val="Normalny"/>
    <w:link w:val="HTML-wstpniesformatowanyZnak"/>
    <w:uiPriority w:val="98"/>
    <w:semiHidden/>
    <w:rsid w:val="002D6B83"/>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2D6B83"/>
    <w:rPr>
      <w:rFonts w:ascii="Consolas" w:hAnsi="Consolas" w:cs="Consolas"/>
      <w:sz w:val="20"/>
    </w:rPr>
  </w:style>
  <w:style w:type="character" w:styleId="HTML-przykad">
    <w:name w:val="HTML Sample"/>
    <w:basedOn w:val="Domylnaczcionkaakapitu"/>
    <w:uiPriority w:val="98"/>
    <w:semiHidden/>
    <w:rsid w:val="002D6B83"/>
    <w:rPr>
      <w:rFonts w:ascii="Consolas" w:hAnsi="Consolas" w:cs="Consolas"/>
      <w:sz w:val="24"/>
    </w:rPr>
  </w:style>
  <w:style w:type="character" w:styleId="HTML-staaszeroko">
    <w:name w:val="HTML Typewriter"/>
    <w:basedOn w:val="Domylnaczcionkaakapitu"/>
    <w:uiPriority w:val="98"/>
    <w:semiHidden/>
    <w:rsid w:val="002D6B83"/>
    <w:rPr>
      <w:rFonts w:ascii="Consolas" w:hAnsi="Consolas" w:cs="Consolas"/>
      <w:sz w:val="20"/>
    </w:rPr>
  </w:style>
  <w:style w:type="character" w:styleId="HTML-zmienna">
    <w:name w:val="HTML Variable"/>
    <w:basedOn w:val="Domylnaczcionkaakapitu"/>
    <w:uiPriority w:val="98"/>
    <w:semiHidden/>
    <w:rsid w:val="002D6B83"/>
    <w:rPr>
      <w:i/>
    </w:rPr>
  </w:style>
  <w:style w:type="paragraph" w:styleId="Indeks1">
    <w:name w:val="index 1"/>
    <w:basedOn w:val="Normalny"/>
    <w:next w:val="Normalny"/>
    <w:autoRedefine/>
    <w:uiPriority w:val="98"/>
    <w:semiHidden/>
    <w:rsid w:val="002D6B83"/>
    <w:pPr>
      <w:ind w:left="240" w:hanging="240"/>
    </w:pPr>
  </w:style>
  <w:style w:type="paragraph" w:styleId="Indeks2">
    <w:name w:val="index 2"/>
    <w:basedOn w:val="Normalny"/>
    <w:next w:val="Normalny"/>
    <w:autoRedefine/>
    <w:uiPriority w:val="98"/>
    <w:semiHidden/>
    <w:rsid w:val="002D6B83"/>
    <w:pPr>
      <w:ind w:left="480" w:hanging="240"/>
    </w:pPr>
  </w:style>
  <w:style w:type="paragraph" w:styleId="Indeks3">
    <w:name w:val="index 3"/>
    <w:basedOn w:val="Normalny"/>
    <w:next w:val="Normalny"/>
    <w:autoRedefine/>
    <w:uiPriority w:val="98"/>
    <w:semiHidden/>
    <w:rsid w:val="002D6B83"/>
    <w:pPr>
      <w:ind w:left="720" w:hanging="240"/>
    </w:pPr>
  </w:style>
  <w:style w:type="paragraph" w:styleId="Indeks4">
    <w:name w:val="index 4"/>
    <w:basedOn w:val="Normalny"/>
    <w:next w:val="Normalny"/>
    <w:autoRedefine/>
    <w:uiPriority w:val="98"/>
    <w:semiHidden/>
    <w:rsid w:val="002D6B83"/>
    <w:pPr>
      <w:ind w:left="960" w:hanging="240"/>
    </w:pPr>
  </w:style>
  <w:style w:type="paragraph" w:styleId="Indeks5">
    <w:name w:val="index 5"/>
    <w:basedOn w:val="Normalny"/>
    <w:next w:val="Normalny"/>
    <w:autoRedefine/>
    <w:uiPriority w:val="98"/>
    <w:semiHidden/>
    <w:rsid w:val="002D6B83"/>
    <w:pPr>
      <w:ind w:left="1200" w:hanging="240"/>
    </w:pPr>
  </w:style>
  <w:style w:type="paragraph" w:styleId="Indeks6">
    <w:name w:val="index 6"/>
    <w:basedOn w:val="Normalny"/>
    <w:next w:val="Normalny"/>
    <w:autoRedefine/>
    <w:uiPriority w:val="98"/>
    <w:semiHidden/>
    <w:rsid w:val="002D6B83"/>
    <w:pPr>
      <w:ind w:left="1440" w:hanging="240"/>
    </w:pPr>
  </w:style>
  <w:style w:type="paragraph" w:styleId="Indeks7">
    <w:name w:val="index 7"/>
    <w:basedOn w:val="Normalny"/>
    <w:next w:val="Normalny"/>
    <w:autoRedefine/>
    <w:uiPriority w:val="98"/>
    <w:semiHidden/>
    <w:rsid w:val="002D6B83"/>
    <w:pPr>
      <w:ind w:left="1680" w:hanging="240"/>
    </w:pPr>
  </w:style>
  <w:style w:type="paragraph" w:styleId="Indeks8">
    <w:name w:val="index 8"/>
    <w:basedOn w:val="Normalny"/>
    <w:next w:val="Normalny"/>
    <w:autoRedefine/>
    <w:uiPriority w:val="98"/>
    <w:semiHidden/>
    <w:rsid w:val="002D6B83"/>
    <w:pPr>
      <w:ind w:left="1920" w:hanging="240"/>
    </w:pPr>
  </w:style>
  <w:style w:type="paragraph" w:styleId="Indeks9">
    <w:name w:val="index 9"/>
    <w:basedOn w:val="Normalny"/>
    <w:next w:val="Normalny"/>
    <w:autoRedefine/>
    <w:uiPriority w:val="98"/>
    <w:semiHidden/>
    <w:rsid w:val="002D6B83"/>
    <w:pPr>
      <w:ind w:left="2160" w:hanging="240"/>
    </w:pPr>
  </w:style>
  <w:style w:type="paragraph" w:styleId="Nagwekindeksu">
    <w:name w:val="index heading"/>
    <w:basedOn w:val="Normalny"/>
    <w:next w:val="Indeks1"/>
    <w:uiPriority w:val="98"/>
    <w:semiHidden/>
    <w:rsid w:val="002D6B83"/>
    <w:rPr>
      <w:rFonts w:asciiTheme="majorHAnsi" w:eastAsiaTheme="majorEastAsia" w:hAnsiTheme="majorHAnsi" w:cstheme="majorBidi"/>
      <w:b/>
    </w:rPr>
  </w:style>
  <w:style w:type="table" w:styleId="Jasnasiatka">
    <w:name w:val="Light Grid"/>
    <w:basedOn w:val="Standardowy"/>
    <w:uiPriority w:val="62"/>
    <w:semiHidden/>
    <w:rsid w:val="002D6B83"/>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6B83"/>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6B83"/>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6B83"/>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D6B83"/>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6B83"/>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6B83"/>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6B83"/>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6B83"/>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6B83"/>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6B83"/>
    <w:rPr>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D6B83"/>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6B83"/>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6B83"/>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6B83"/>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6B83"/>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6B83"/>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6B83"/>
    <w:rPr>
      <w:color w:val="424242" w:themeColor="accent3" w:themeShade="BF"/>
      <w:sz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D6B83"/>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6B83"/>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6B83"/>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D6B83"/>
  </w:style>
  <w:style w:type="paragraph" w:styleId="Lista">
    <w:name w:val="List"/>
    <w:basedOn w:val="Normalny"/>
    <w:uiPriority w:val="98"/>
    <w:semiHidden/>
    <w:rsid w:val="002D6B83"/>
    <w:pPr>
      <w:ind w:left="283" w:hanging="283"/>
      <w:contextualSpacing/>
    </w:pPr>
  </w:style>
  <w:style w:type="paragraph" w:styleId="Lista2">
    <w:name w:val="List 2"/>
    <w:basedOn w:val="Normalny"/>
    <w:uiPriority w:val="98"/>
    <w:semiHidden/>
    <w:rsid w:val="002D6B83"/>
    <w:pPr>
      <w:ind w:left="566" w:hanging="283"/>
      <w:contextualSpacing/>
    </w:pPr>
  </w:style>
  <w:style w:type="paragraph" w:styleId="Lista3">
    <w:name w:val="List 3"/>
    <w:basedOn w:val="Normalny"/>
    <w:uiPriority w:val="98"/>
    <w:semiHidden/>
    <w:rsid w:val="002D6B83"/>
    <w:pPr>
      <w:ind w:left="849" w:hanging="283"/>
      <w:contextualSpacing/>
    </w:pPr>
  </w:style>
  <w:style w:type="paragraph" w:styleId="Lista4">
    <w:name w:val="List 4"/>
    <w:basedOn w:val="Normalny"/>
    <w:uiPriority w:val="98"/>
    <w:semiHidden/>
    <w:rsid w:val="002D6B83"/>
    <w:pPr>
      <w:ind w:left="1132" w:hanging="283"/>
      <w:contextualSpacing/>
    </w:pPr>
  </w:style>
  <w:style w:type="paragraph" w:styleId="Lista5">
    <w:name w:val="List 5"/>
    <w:basedOn w:val="Normalny"/>
    <w:uiPriority w:val="98"/>
    <w:semiHidden/>
    <w:rsid w:val="002D6B83"/>
    <w:pPr>
      <w:ind w:left="1415" w:hanging="283"/>
      <w:contextualSpacing/>
    </w:pPr>
  </w:style>
  <w:style w:type="paragraph" w:styleId="Listapunktowana2">
    <w:name w:val="List Bullet 2"/>
    <w:basedOn w:val="Normalny"/>
    <w:uiPriority w:val="98"/>
    <w:semiHidden/>
    <w:rsid w:val="002D6B83"/>
    <w:pPr>
      <w:numPr>
        <w:numId w:val="7"/>
      </w:numPr>
      <w:contextualSpacing/>
    </w:pPr>
  </w:style>
  <w:style w:type="paragraph" w:styleId="Listapunktowana4">
    <w:name w:val="List Bullet 4"/>
    <w:basedOn w:val="Normalny"/>
    <w:uiPriority w:val="98"/>
    <w:semiHidden/>
    <w:rsid w:val="002D6B83"/>
    <w:pPr>
      <w:numPr>
        <w:numId w:val="9"/>
      </w:numPr>
      <w:contextualSpacing/>
    </w:pPr>
  </w:style>
  <w:style w:type="paragraph" w:styleId="Listapunktowana5">
    <w:name w:val="List Bullet 5"/>
    <w:basedOn w:val="Normalny"/>
    <w:uiPriority w:val="98"/>
    <w:semiHidden/>
    <w:rsid w:val="002D6B83"/>
    <w:pPr>
      <w:numPr>
        <w:numId w:val="10"/>
      </w:numPr>
      <w:contextualSpacing/>
    </w:pPr>
  </w:style>
  <w:style w:type="paragraph" w:styleId="Lista-kontynuacja">
    <w:name w:val="List Continue"/>
    <w:basedOn w:val="Normalny"/>
    <w:uiPriority w:val="98"/>
    <w:semiHidden/>
    <w:rsid w:val="002D6B83"/>
    <w:pPr>
      <w:spacing w:after="120"/>
      <w:ind w:left="283"/>
      <w:contextualSpacing/>
    </w:pPr>
  </w:style>
  <w:style w:type="paragraph" w:styleId="Lista-kontynuacja2">
    <w:name w:val="List Continue 2"/>
    <w:basedOn w:val="Normalny"/>
    <w:uiPriority w:val="98"/>
    <w:semiHidden/>
    <w:rsid w:val="002D6B83"/>
    <w:pPr>
      <w:spacing w:after="120"/>
      <w:ind w:left="566"/>
      <w:contextualSpacing/>
    </w:pPr>
  </w:style>
  <w:style w:type="paragraph" w:styleId="Lista-kontynuacja3">
    <w:name w:val="List Continue 3"/>
    <w:basedOn w:val="Normalny"/>
    <w:uiPriority w:val="98"/>
    <w:semiHidden/>
    <w:rsid w:val="002D6B83"/>
    <w:pPr>
      <w:spacing w:after="120"/>
      <w:ind w:left="849"/>
      <w:contextualSpacing/>
    </w:pPr>
  </w:style>
  <w:style w:type="paragraph" w:styleId="Lista-kontynuacja4">
    <w:name w:val="List Continue 4"/>
    <w:basedOn w:val="Normalny"/>
    <w:uiPriority w:val="98"/>
    <w:semiHidden/>
    <w:rsid w:val="002D6B83"/>
    <w:pPr>
      <w:spacing w:after="120"/>
      <w:ind w:left="1132"/>
      <w:contextualSpacing/>
    </w:pPr>
  </w:style>
  <w:style w:type="paragraph" w:styleId="Lista-kontynuacja5">
    <w:name w:val="List Continue 5"/>
    <w:basedOn w:val="Normalny"/>
    <w:uiPriority w:val="98"/>
    <w:semiHidden/>
    <w:rsid w:val="002D6B83"/>
    <w:pPr>
      <w:spacing w:after="120"/>
      <w:ind w:left="1415"/>
      <w:contextualSpacing/>
    </w:pPr>
  </w:style>
  <w:style w:type="paragraph" w:styleId="Listanumerowana">
    <w:name w:val="List Number"/>
    <w:basedOn w:val="Normalny"/>
    <w:uiPriority w:val="98"/>
    <w:semiHidden/>
    <w:rsid w:val="002D6B83"/>
    <w:pPr>
      <w:numPr>
        <w:numId w:val="11"/>
      </w:numPr>
      <w:contextualSpacing/>
    </w:pPr>
  </w:style>
  <w:style w:type="paragraph" w:styleId="Listanumerowana2">
    <w:name w:val="List Number 2"/>
    <w:basedOn w:val="Normalny"/>
    <w:uiPriority w:val="98"/>
    <w:semiHidden/>
    <w:rsid w:val="002D6B83"/>
    <w:pPr>
      <w:numPr>
        <w:numId w:val="12"/>
      </w:numPr>
      <w:contextualSpacing/>
    </w:pPr>
  </w:style>
  <w:style w:type="paragraph" w:styleId="Listanumerowana3">
    <w:name w:val="List Number 3"/>
    <w:basedOn w:val="Normalny"/>
    <w:uiPriority w:val="98"/>
    <w:semiHidden/>
    <w:rsid w:val="002D6B83"/>
    <w:pPr>
      <w:numPr>
        <w:numId w:val="13"/>
      </w:numPr>
      <w:contextualSpacing/>
    </w:pPr>
  </w:style>
  <w:style w:type="paragraph" w:styleId="Listanumerowana4">
    <w:name w:val="List Number 4"/>
    <w:basedOn w:val="Normalny"/>
    <w:uiPriority w:val="98"/>
    <w:semiHidden/>
    <w:rsid w:val="002D6B83"/>
    <w:pPr>
      <w:numPr>
        <w:numId w:val="14"/>
      </w:numPr>
      <w:contextualSpacing/>
    </w:pPr>
  </w:style>
  <w:style w:type="paragraph" w:styleId="Listanumerowana5">
    <w:name w:val="List Number 5"/>
    <w:basedOn w:val="Normalny"/>
    <w:uiPriority w:val="98"/>
    <w:semiHidden/>
    <w:rsid w:val="002D6B83"/>
    <w:pPr>
      <w:numPr>
        <w:numId w:val="15"/>
      </w:numPr>
      <w:contextualSpacing/>
    </w:pPr>
  </w:style>
  <w:style w:type="paragraph" w:styleId="Tekstmakra">
    <w:name w:val="macro"/>
    <w:link w:val="TekstmakraZnak"/>
    <w:uiPriority w:val="98"/>
    <w:semiHidden/>
    <w:rsid w:val="002D6B8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2D6B83"/>
    <w:rPr>
      <w:rFonts w:ascii="Consolas" w:eastAsiaTheme="minorEastAsia" w:hAnsi="Consolas" w:cs="Consolas"/>
      <w:sz w:val="20"/>
    </w:rPr>
  </w:style>
  <w:style w:type="table" w:styleId="redniasiatka1">
    <w:name w:val="Medium Grid 1"/>
    <w:basedOn w:val="Standardowy"/>
    <w:uiPriority w:val="67"/>
    <w:semiHidden/>
    <w:rsid w:val="002D6B83"/>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6B83"/>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6B83"/>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6B83"/>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D6B83"/>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6B83"/>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6B83"/>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6B83"/>
    <w:rPr>
      <w:sz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D6B83"/>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6B83"/>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6B83"/>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6B83"/>
    <w:rPr>
      <w:color w:val="000000" w:themeColor="text1"/>
      <w:sz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D6B83"/>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6B83"/>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6B83"/>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6B83"/>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6B83"/>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6B83"/>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6B83"/>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6B83"/>
    <w:rPr>
      <w:sz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6B83"/>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6B83"/>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6B83"/>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6B83"/>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D6B8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D6B83"/>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2D6B83"/>
    <w:rPr>
      <w:rFonts w:ascii="Times New Roman" w:hAnsi="Times New Roman" w:cs="Times New Roman"/>
    </w:rPr>
  </w:style>
  <w:style w:type="paragraph" w:styleId="Wcicienormalne">
    <w:name w:val="Normal Indent"/>
    <w:basedOn w:val="Normalny"/>
    <w:uiPriority w:val="98"/>
    <w:semiHidden/>
    <w:rsid w:val="002D6B83"/>
    <w:pPr>
      <w:ind w:left="720"/>
    </w:pPr>
  </w:style>
  <w:style w:type="paragraph" w:styleId="Nagweknotatki">
    <w:name w:val="Note Heading"/>
    <w:basedOn w:val="Normalny"/>
    <w:next w:val="Normalny"/>
    <w:link w:val="NagweknotatkiZnak"/>
    <w:uiPriority w:val="98"/>
    <w:semiHidden/>
    <w:rsid w:val="002D6B83"/>
  </w:style>
  <w:style w:type="character" w:customStyle="1" w:styleId="NagweknotatkiZnak">
    <w:name w:val="Nagłówek notatki Znak"/>
    <w:basedOn w:val="Domylnaczcionkaakapitu"/>
    <w:link w:val="Nagweknotatki"/>
    <w:uiPriority w:val="98"/>
    <w:semiHidden/>
    <w:rsid w:val="002D6B83"/>
    <w:rPr>
      <w:sz w:val="24"/>
    </w:rPr>
  </w:style>
  <w:style w:type="character" w:styleId="Tekstzastpczy">
    <w:name w:val="Placeholder Text"/>
    <w:basedOn w:val="Domylnaczcionkaakapitu"/>
    <w:uiPriority w:val="98"/>
    <w:semiHidden/>
    <w:rsid w:val="002D6B8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D6B83"/>
    <w:rPr>
      <w:rFonts w:ascii="Consolas" w:hAnsi="Consolas" w:cs="Consolas"/>
      <w:sz w:val="21"/>
    </w:rPr>
  </w:style>
  <w:style w:type="character" w:customStyle="1" w:styleId="ZwykytekstZnak">
    <w:name w:val="Zwykły tekst Znak"/>
    <w:basedOn w:val="Domylnaczcionkaakapitu"/>
    <w:link w:val="Zwykytekst"/>
    <w:uiPriority w:val="98"/>
    <w:semiHidden/>
    <w:rsid w:val="002D6B83"/>
    <w:rPr>
      <w:rFonts w:ascii="Consolas" w:hAnsi="Consolas" w:cs="Consolas"/>
      <w:sz w:val="21"/>
    </w:rPr>
  </w:style>
  <w:style w:type="paragraph" w:styleId="Zwrotgrzecznociowy">
    <w:name w:val="Salutation"/>
    <w:basedOn w:val="Normalny"/>
    <w:next w:val="Normalny"/>
    <w:link w:val="ZwrotgrzecznociowyZnak"/>
    <w:uiPriority w:val="98"/>
    <w:semiHidden/>
    <w:rsid w:val="002D6B83"/>
  </w:style>
  <w:style w:type="character" w:customStyle="1" w:styleId="ZwrotgrzecznociowyZnak">
    <w:name w:val="Zwrot grzecznościowy Znak"/>
    <w:basedOn w:val="Domylnaczcionkaakapitu"/>
    <w:link w:val="Zwrotgrzecznociowy"/>
    <w:uiPriority w:val="98"/>
    <w:semiHidden/>
    <w:rsid w:val="002D6B83"/>
    <w:rPr>
      <w:sz w:val="24"/>
    </w:rPr>
  </w:style>
  <w:style w:type="paragraph" w:styleId="Podpis">
    <w:name w:val="Signature"/>
    <w:basedOn w:val="Normalny"/>
    <w:link w:val="PodpisZnak"/>
    <w:uiPriority w:val="98"/>
    <w:semiHidden/>
    <w:rsid w:val="002D6B83"/>
    <w:pPr>
      <w:ind w:left="4252"/>
    </w:pPr>
  </w:style>
  <w:style w:type="character" w:customStyle="1" w:styleId="PodpisZnak">
    <w:name w:val="Podpis Znak"/>
    <w:basedOn w:val="Domylnaczcionkaakapitu"/>
    <w:link w:val="Podpis"/>
    <w:uiPriority w:val="98"/>
    <w:semiHidden/>
    <w:rsid w:val="002D6B83"/>
    <w:rPr>
      <w:sz w:val="24"/>
    </w:rPr>
  </w:style>
  <w:style w:type="table" w:styleId="Tabela-Efekty3D1">
    <w:name w:val="Table 3D effects 1"/>
    <w:basedOn w:val="Standardowy"/>
    <w:uiPriority w:val="99"/>
    <w:semiHidden/>
    <w:unhideWhenUsed/>
    <w:rsid w:val="002D6B83"/>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6B83"/>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6B83"/>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6B83"/>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6B83"/>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6B83"/>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6B83"/>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6B83"/>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6B83"/>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6B83"/>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6B83"/>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6B83"/>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6B83"/>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6B83"/>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6B83"/>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6B83"/>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6B83"/>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6B8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6B83"/>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6B83"/>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6B83"/>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6B83"/>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6B83"/>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6B83"/>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6B83"/>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6B83"/>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6B83"/>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6B83"/>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6B83"/>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6B8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6B83"/>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6B83"/>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6B83"/>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D6B83"/>
    <w:pPr>
      <w:ind w:left="240" w:hanging="240"/>
    </w:pPr>
  </w:style>
  <w:style w:type="paragraph" w:styleId="Spisilustracji">
    <w:name w:val="table of figures"/>
    <w:basedOn w:val="Normalny"/>
    <w:next w:val="Normalny"/>
    <w:uiPriority w:val="98"/>
    <w:semiHidden/>
    <w:rsid w:val="002D6B83"/>
  </w:style>
  <w:style w:type="table" w:styleId="Tabela-Profesjonalny">
    <w:name w:val="Table Professional"/>
    <w:basedOn w:val="Standardowy"/>
    <w:uiPriority w:val="99"/>
    <w:semiHidden/>
    <w:unhideWhenUsed/>
    <w:rsid w:val="002D6B83"/>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6B83"/>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6B83"/>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6B83"/>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6B83"/>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6B83"/>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6B83"/>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6B83"/>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6B83"/>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6B83"/>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D6B8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D6B8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D6B83"/>
    <w:pPr>
      <w:spacing w:after="100"/>
      <w:ind w:left="1680"/>
    </w:pPr>
  </w:style>
  <w:style w:type="paragraph" w:styleId="Spistreci9">
    <w:name w:val="toc 9"/>
    <w:basedOn w:val="Normalny"/>
    <w:next w:val="Normalny"/>
    <w:autoRedefine/>
    <w:uiPriority w:val="98"/>
    <w:semiHidden/>
    <w:rsid w:val="002D6B8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D6B8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D6B8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D6B8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D6B8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D6B83"/>
    <w:pPr>
      <w:numPr>
        <w:numId w:val="19"/>
      </w:numPr>
      <w:spacing w:before="60" w:after="60"/>
    </w:pPr>
  </w:style>
  <w:style w:type="paragraph" w:customStyle="1" w:styleId="ECHRBullet2">
    <w:name w:val="ECHR_Bullet_2"/>
    <w:aliases w:val="_Bul_2"/>
    <w:basedOn w:val="ECHRBullet1"/>
    <w:uiPriority w:val="23"/>
    <w:semiHidden/>
    <w:rsid w:val="002D6B83"/>
    <w:pPr>
      <w:numPr>
        <w:ilvl w:val="1"/>
      </w:numPr>
    </w:pPr>
  </w:style>
  <w:style w:type="paragraph" w:customStyle="1" w:styleId="ECHRBullet3">
    <w:name w:val="ECHR_Bullet_3"/>
    <w:aliases w:val="_Bul_3"/>
    <w:basedOn w:val="ECHRBullet2"/>
    <w:uiPriority w:val="23"/>
    <w:semiHidden/>
    <w:rsid w:val="002D6B83"/>
    <w:pPr>
      <w:numPr>
        <w:ilvl w:val="2"/>
      </w:numPr>
    </w:pPr>
  </w:style>
  <w:style w:type="paragraph" w:customStyle="1" w:styleId="ECHRBullet4">
    <w:name w:val="ECHR_Bullet_4"/>
    <w:aliases w:val="_Bul_4"/>
    <w:basedOn w:val="ECHRBullet3"/>
    <w:uiPriority w:val="23"/>
    <w:semiHidden/>
    <w:rsid w:val="002D6B83"/>
    <w:pPr>
      <w:numPr>
        <w:ilvl w:val="3"/>
      </w:numPr>
    </w:pPr>
  </w:style>
  <w:style w:type="paragraph" w:customStyle="1" w:styleId="ECHRConfidential">
    <w:name w:val="ECHR_Confidential"/>
    <w:aliases w:val="_Confidential"/>
    <w:basedOn w:val="Normalny"/>
    <w:next w:val="Normalny"/>
    <w:uiPriority w:val="42"/>
    <w:semiHidden/>
    <w:qFormat/>
    <w:rsid w:val="002D6B83"/>
    <w:pPr>
      <w:jc w:val="right"/>
    </w:pPr>
    <w:rPr>
      <w:color w:val="C00000"/>
      <w:sz w:val="20"/>
    </w:rPr>
  </w:style>
  <w:style w:type="paragraph" w:customStyle="1" w:styleId="ECHRDecisionBody">
    <w:name w:val="ECHR_Decision_Body"/>
    <w:aliases w:val="_Decision_Body"/>
    <w:basedOn w:val="NormalJustified"/>
    <w:uiPriority w:val="54"/>
    <w:semiHidden/>
    <w:rsid w:val="002D6B8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D6B8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D6B83"/>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2D6B8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D6B83"/>
    <w:pPr>
      <w:jc w:val="right"/>
    </w:pPr>
    <w:rPr>
      <w:sz w:val="20"/>
    </w:rPr>
  </w:style>
  <w:style w:type="paragraph" w:customStyle="1" w:styleId="ECHRHeaderRefIt">
    <w:name w:val="ECHR_Header_Ref_It"/>
    <w:aliases w:val="_Ref_Ital"/>
    <w:basedOn w:val="Normalny"/>
    <w:next w:val="ECHRHeaderDate"/>
    <w:uiPriority w:val="43"/>
    <w:semiHidden/>
    <w:qFormat/>
    <w:rsid w:val="002D6B83"/>
    <w:pPr>
      <w:jc w:val="right"/>
    </w:pPr>
    <w:rPr>
      <w:i/>
      <w:sz w:val="20"/>
    </w:rPr>
  </w:style>
  <w:style w:type="paragraph" w:customStyle="1" w:styleId="ECHRHeading9">
    <w:name w:val="ECHR_Heading_9"/>
    <w:aliases w:val="_Head_9"/>
    <w:basedOn w:val="Nagwek9"/>
    <w:uiPriority w:val="17"/>
    <w:rsid w:val="002D6B83"/>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D6B8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D6B83"/>
    <w:pPr>
      <w:numPr>
        <w:numId w:val="20"/>
      </w:numPr>
      <w:spacing w:before="60" w:after="60"/>
    </w:pPr>
  </w:style>
  <w:style w:type="paragraph" w:customStyle="1" w:styleId="ECHRNumberedList2">
    <w:name w:val="ECHR_Numbered_List_2"/>
    <w:aliases w:val="_Num_2"/>
    <w:basedOn w:val="ECHRNumberedList1"/>
    <w:uiPriority w:val="23"/>
    <w:semiHidden/>
    <w:rsid w:val="002D6B83"/>
    <w:pPr>
      <w:numPr>
        <w:ilvl w:val="1"/>
      </w:numPr>
    </w:pPr>
  </w:style>
  <w:style w:type="paragraph" w:customStyle="1" w:styleId="ECHRNumberedList3">
    <w:name w:val="ECHR_Numbered_List_3"/>
    <w:aliases w:val="_Num_3"/>
    <w:basedOn w:val="ECHRNumberedList2"/>
    <w:uiPriority w:val="23"/>
    <w:semiHidden/>
    <w:rsid w:val="002D6B83"/>
    <w:pPr>
      <w:numPr>
        <w:ilvl w:val="2"/>
      </w:numPr>
    </w:pPr>
  </w:style>
  <w:style w:type="paragraph" w:customStyle="1" w:styleId="ECHRParaHanging">
    <w:name w:val="ECHR_Para_Hanging"/>
    <w:aliases w:val="_Hanging"/>
    <w:basedOn w:val="NormalJustified"/>
    <w:uiPriority w:val="8"/>
    <w:semiHidden/>
    <w:qFormat/>
    <w:rsid w:val="002D6B83"/>
    <w:pPr>
      <w:ind w:left="567" w:hanging="567"/>
    </w:pPr>
  </w:style>
  <w:style w:type="paragraph" w:customStyle="1" w:styleId="ECHRParaIndent">
    <w:name w:val="ECHR_Para_Indent"/>
    <w:aliases w:val="_Indent"/>
    <w:basedOn w:val="NormalJustified"/>
    <w:uiPriority w:val="7"/>
    <w:semiHidden/>
    <w:qFormat/>
    <w:rsid w:val="002D6B83"/>
    <w:pPr>
      <w:spacing w:before="120" w:after="120"/>
      <w:ind w:left="284"/>
    </w:pPr>
  </w:style>
  <w:style w:type="character" w:customStyle="1" w:styleId="ECHRRed">
    <w:name w:val="ECHR_Red"/>
    <w:aliases w:val="_Red"/>
    <w:basedOn w:val="Domylnaczcionkaakapitu"/>
    <w:uiPriority w:val="15"/>
    <w:semiHidden/>
    <w:qFormat/>
    <w:rsid w:val="002D6B83"/>
    <w:rPr>
      <w:color w:val="C00000" w:themeColor="accent2"/>
    </w:rPr>
  </w:style>
  <w:style w:type="paragraph" w:customStyle="1" w:styleId="DecList">
    <w:name w:val="Dec_List"/>
    <w:aliases w:val="_List"/>
    <w:basedOn w:val="JuList"/>
    <w:uiPriority w:val="22"/>
    <w:rsid w:val="002D6B83"/>
    <w:pPr>
      <w:numPr>
        <w:numId w:val="0"/>
      </w:numPr>
      <w:ind w:left="284"/>
    </w:pPr>
  </w:style>
  <w:style w:type="table" w:customStyle="1" w:styleId="ECHRTable2">
    <w:name w:val="ECHR_Table_2"/>
    <w:basedOn w:val="Standardowy"/>
    <w:uiPriority w:val="99"/>
    <w:rsid w:val="002D6B83"/>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D6B83"/>
    <w:rPr>
      <w:sz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D6B8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D6B8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D6B8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D6B8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D6B8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D6B8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D6B83"/>
    <w:pPr>
      <w:outlineLvl w:val="0"/>
    </w:pPr>
  </w:style>
  <w:style w:type="paragraph" w:customStyle="1" w:styleId="ECHRTitleTOC1">
    <w:name w:val="ECHR_Title_TOC_1"/>
    <w:aliases w:val="_Title_L_TOC"/>
    <w:basedOn w:val="ECHRTitle1"/>
    <w:next w:val="Normalny"/>
    <w:uiPriority w:val="27"/>
    <w:semiHidden/>
    <w:qFormat/>
    <w:rsid w:val="002D6B83"/>
    <w:pPr>
      <w:outlineLvl w:val="0"/>
    </w:pPr>
  </w:style>
  <w:style w:type="paragraph" w:customStyle="1" w:styleId="ECHRPlaceholder">
    <w:name w:val="ECHR_Placeholder"/>
    <w:aliases w:val="_Placeholder"/>
    <w:basedOn w:val="JuSigned"/>
    <w:uiPriority w:val="31"/>
    <w:rsid w:val="002D6B83"/>
    <w:rPr>
      <w:color w:val="FFFFFF"/>
    </w:rPr>
  </w:style>
  <w:style w:type="paragraph" w:customStyle="1" w:styleId="ECHRSpacer">
    <w:name w:val="ECHR_Spacer"/>
    <w:aliases w:val="_Spacer"/>
    <w:basedOn w:val="Normalny"/>
    <w:uiPriority w:val="45"/>
    <w:semiHidden/>
    <w:rsid w:val="002D6B83"/>
    <w:rPr>
      <w:sz w:val="4"/>
    </w:rPr>
  </w:style>
  <w:style w:type="table" w:customStyle="1" w:styleId="ECHRTableGrey">
    <w:name w:val="ECHR_Table_Grey"/>
    <w:basedOn w:val="Standardowy"/>
    <w:uiPriority w:val="99"/>
    <w:rsid w:val="002D6B8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D6B83"/>
    <w:rPr>
      <w:color w:val="605E5C"/>
      <w:shd w:val="clear" w:color="auto" w:fill="E1DFDD"/>
    </w:rPr>
  </w:style>
  <w:style w:type="character" w:customStyle="1" w:styleId="JuParaChar">
    <w:name w:val="Ju_Para Char"/>
    <w:aliases w:val="_Para Char"/>
    <w:link w:val="JuPara"/>
    <w:uiPriority w:val="4"/>
    <w:qFormat/>
    <w:rsid w:val="00D26BB1"/>
    <w:rPr>
      <w:sz w:val="24"/>
    </w:rPr>
  </w:style>
  <w:style w:type="table" w:styleId="Tabelasiatki1jasna">
    <w:name w:val="Grid Table 1 Light"/>
    <w:basedOn w:val="Standardowy"/>
    <w:uiPriority w:val="46"/>
    <w:semiHidden/>
    <w:rsid w:val="002D6B8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2D6B8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2D6B8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2D6B8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2D6B8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2D6B8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2D6B8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2D6B8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2D6B8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2D6B8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2D6B8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2D6B8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2D6B8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2D6B8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2D6B8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2D6B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2D6B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2D6B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2D6B8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2D6B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2D6B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2D6B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2D6B8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2D6B8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2D6B8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2D6B8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2D6B8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2D6B8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2D6B8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D6B83"/>
    <w:rPr>
      <w:color w:val="2B579A"/>
      <w:shd w:val="clear" w:color="auto" w:fill="E1DFDD"/>
    </w:rPr>
  </w:style>
  <w:style w:type="table" w:styleId="Tabelalisty1jasna">
    <w:name w:val="List Table 1 Light"/>
    <w:basedOn w:val="Standardowy"/>
    <w:uiPriority w:val="46"/>
    <w:semiHidden/>
    <w:rsid w:val="002D6B8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2D6B8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2D6B8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2D6B8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2D6B8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2D6B8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2D6B8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2D6B8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2D6B8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2D6B8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2D6B8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2D6B8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2D6B8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2D6B8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2D6B8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2D6B8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2D6B8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2D6B8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2D6B8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2D6B8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2D6B8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2D6B8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2D6B8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2D6B8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2D6B8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2D6B8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2D6B8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2D6B8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2D6B8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2D6B8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2D6B8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2D6B8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2D6B8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2D6B8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2D6B8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2D6B8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2D6B8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2D6B8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2D6B8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2D6B8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2D6B8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2D6B8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2D6B8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2D6B8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2D6B8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2D6B8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2D6B8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2D6B8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2D6B8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D6B83"/>
    <w:rPr>
      <w:color w:val="2B579A"/>
      <w:shd w:val="clear" w:color="auto" w:fill="E1DFDD"/>
    </w:rPr>
  </w:style>
  <w:style w:type="table" w:styleId="Zwykatabela1">
    <w:name w:val="Plain Table 1"/>
    <w:basedOn w:val="Standardowy"/>
    <w:uiPriority w:val="41"/>
    <w:semiHidden/>
    <w:rsid w:val="002D6B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2D6B8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2D6B8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2D6B8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2D6B8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2D6B83"/>
    <w:rPr>
      <w:u w:val="dotted"/>
    </w:rPr>
  </w:style>
  <w:style w:type="character" w:customStyle="1" w:styleId="SmartLink1">
    <w:name w:val="SmartLink1"/>
    <w:basedOn w:val="Domylnaczcionkaakapitu"/>
    <w:uiPriority w:val="99"/>
    <w:semiHidden/>
    <w:unhideWhenUsed/>
    <w:rsid w:val="002D6B83"/>
    <w:rPr>
      <w:color w:val="0000FF"/>
      <w:u w:val="single"/>
      <w:shd w:val="clear" w:color="auto" w:fill="F3F2F1"/>
    </w:rPr>
  </w:style>
  <w:style w:type="table" w:styleId="Siatkatabelijasna">
    <w:name w:val="Grid Table Light"/>
    <w:basedOn w:val="Standardowy"/>
    <w:uiPriority w:val="40"/>
    <w:semiHidden/>
    <w:rsid w:val="002D6B8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68B1DB1-DecHCase1">
    <w:name w:val="P68B1DB1-DecHCase1"/>
    <w:basedOn w:val="DecHCase"/>
    <w:rPr>
      <w:rFonts w:ascii="Times New Roman" w:hAnsi="Times New Roman" w:cs="Times New Roman"/>
    </w:rPr>
  </w:style>
  <w:style w:type="paragraph" w:customStyle="1" w:styleId="P68B1DB1-Normalny2">
    <w:name w:val="P68B1DB1-Normalny2"/>
    <w:basedOn w:val="Normalny"/>
    <w:rPr>
      <w:i/>
      <w:sz w:val="22"/>
    </w:rPr>
  </w:style>
  <w:style w:type="paragraph" w:customStyle="1" w:styleId="P68B1DB1-JuHHead3">
    <w:name w:val="P68B1DB1-JuHHead3"/>
    <w:basedOn w:val="JuHHead"/>
    <w:rPr>
      <w:caps w:val="0"/>
    </w:rPr>
  </w:style>
  <w:style w:type="paragraph" w:customStyle="1" w:styleId="P68B1DB1-JuList4">
    <w:name w:val="P68B1DB1-JuList4"/>
    <w:basedOn w:val="JuLis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F908C-97C7-4D28-B9D4-5E507BC68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2139</Words>
  <Characters>12839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cp:lastModifiedBy/>
  <cp:revision>1</cp:revision>
  <dcterms:created xsi:type="dcterms:W3CDTF">2026-03-23T09:50:00Z</dcterms:created>
  <dcterms:modified xsi:type="dcterms:W3CDTF">2026-05-13T13:39:00Z</dcterms:modified>
</cp:coreProperties>
</file>