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BF0BF1" w:rsidR="00D26BB1" w:rsidP="00BF0BF1" w14:paraId="0A85A256" w14:textId="77777777">
      <w:pPr>
        <w:jc w:val="center"/>
        <w:rPr>
          <w:rFonts w:ascii="Times New Roman" w:hAnsi="Times New Roman" w:cs="Times New Roman"/>
          <w:noProof/>
        </w:rPr>
      </w:pPr>
    </w:p>
    <w:p w:rsidRPr="00BF0BF1" w:rsidR="0098410D" w:rsidP="00BF0BF1" w14:paraId="6A4CF24E" w14:textId="77777777">
      <w:pPr>
        <w:jc w:val="center"/>
      </w:pPr>
    </w:p>
    <w:p w:rsidRPr="00BF0BF1" w:rsidR="0098410D" w:rsidP="00BF0BF1" w14:paraId="24F88CAE" w14:textId="050C40F8">
      <w:pPr>
        <w:pStyle w:val="DecHTitle"/>
      </w:pPr>
      <w:r w:rsidRPr="00BF0BF1">
        <w:t>FIRST SECTION</w:t>
      </w:r>
    </w:p>
    <w:p w:rsidRPr="00BF0BF1" w:rsidR="008E6217" w:rsidP="00BF0BF1" w14:paraId="6E39A9BA" w14:textId="256D95E5">
      <w:pPr>
        <w:pStyle w:val="JuTitle"/>
      </w:pPr>
      <w:r w:rsidRPr="00BF0BF1">
        <w:rPr>
          <w:color w:val="000000" w:themeColor="text1"/>
        </w:rPr>
        <w:t xml:space="preserve">CASE OF </w:t>
      </w:r>
      <w:r w:rsidRPr="00BF0BF1" w:rsidR="00D26BB1">
        <w:t>ANDERSEN v. POLAND</w:t>
      </w:r>
    </w:p>
    <w:p w:rsidRPr="00BF0BF1" w:rsidR="00D74888" w:rsidP="00BF0BF1" w14:paraId="3D5C1AC9" w14:textId="4B92BA84">
      <w:pPr>
        <w:pStyle w:val="ECHRCoverTitle4"/>
      </w:pPr>
      <w:r w:rsidRPr="00BF0BF1">
        <w:t>(</w:t>
      </w:r>
      <w:r w:rsidRPr="00BF0BF1" w:rsidR="00D26BB1">
        <w:rPr>
          <w:noProof/>
        </w:rPr>
        <w:t>Application no.</w:t>
      </w:r>
      <w:r w:rsidRPr="00BF0BF1">
        <w:t xml:space="preserve"> </w:t>
      </w:r>
      <w:r w:rsidRPr="00BF0BF1" w:rsidR="00D26BB1">
        <w:t>53662/20</w:t>
      </w:r>
      <w:r w:rsidRPr="00BF0BF1">
        <w:t>)</w:t>
      </w:r>
    </w:p>
    <w:p w:rsidRPr="00BF0BF1" w:rsidR="0098410D" w:rsidP="00BF0BF1" w14:paraId="117C5C1A" w14:textId="77777777">
      <w:pPr>
        <w:pStyle w:val="DecHCase"/>
      </w:pPr>
    </w:p>
    <w:p w:rsidRPr="00BF0BF1" w:rsidR="0054716E" w:rsidP="00BF0BF1" w14:paraId="6AE60512" w14:textId="77777777">
      <w:pPr>
        <w:pStyle w:val="DecHCase"/>
      </w:pPr>
    </w:p>
    <w:p w:rsidRPr="00BF0BF1" w:rsidR="0054716E" w:rsidP="00BF0BF1" w14:paraId="155D6327" w14:textId="77777777">
      <w:pPr>
        <w:pStyle w:val="DecHCase"/>
      </w:pPr>
    </w:p>
    <w:p w:rsidRPr="00BF0BF1" w:rsidR="0098410D" w:rsidP="00BF0BF1" w14:paraId="3AB179F4" w14:textId="77777777">
      <w:pPr>
        <w:pStyle w:val="DecHCase"/>
      </w:pPr>
    </w:p>
    <w:p w:rsidRPr="00BF0BF1" w:rsidR="00AC4CD4" w:rsidP="00BF0BF1" w14:paraId="45A0549D" w14:textId="77777777">
      <w:pPr>
        <w:pStyle w:val="DecHCase"/>
      </w:pPr>
    </w:p>
    <w:p w:rsidRPr="00BF0BF1" w:rsidR="0098410D" w:rsidP="00BF0BF1" w14:paraId="32DAF61C" w14:textId="77777777">
      <w:pPr>
        <w:pStyle w:val="DecHCase"/>
      </w:pPr>
    </w:p>
    <w:p w:rsidRPr="00BF0BF1" w:rsidR="0098410D" w:rsidP="00BF0BF1" w14:paraId="1520594E" w14:textId="48F67335">
      <w:pPr>
        <w:pStyle w:val="DecHCase"/>
      </w:pPr>
      <w:r w:rsidRPr="00BF0BF1">
        <w:t>JUDGMENT</w:t>
      </w:r>
      <w:r w:rsidRPr="00BF0BF1" w:rsidR="00AC4CD4">
        <w:br/>
      </w:r>
    </w:p>
    <w:p w:rsidRPr="00BF0BF1" w:rsidR="0098410D" w:rsidP="00BF0BF1" w14:paraId="150EC39B" w14:textId="77777777">
      <w:pPr>
        <w:pStyle w:val="DecHCase"/>
      </w:pPr>
      <w:r w:rsidRPr="00BF0BF1">
        <w:t>STRASBOURG</w:t>
      </w:r>
    </w:p>
    <w:p w:rsidRPr="00BF0BF1" w:rsidR="0098410D" w:rsidP="00BF0BF1" w14:paraId="7272C29C" w14:textId="126F311D">
      <w:pPr>
        <w:pStyle w:val="DecHCase"/>
      </w:pPr>
      <w:r w:rsidRPr="00BF0BF1">
        <w:rPr>
          <w:rFonts w:ascii="Times New Roman" w:hAnsi="Times New Roman" w:cs="Times New Roman"/>
        </w:rPr>
        <w:t>24 April 2025</w:t>
      </w:r>
    </w:p>
    <w:p w:rsidRPr="00BF0BF1" w:rsidR="00AC4CD4" w:rsidP="00BF0BF1" w14:paraId="37A0C871" w14:textId="77777777">
      <w:pPr>
        <w:pStyle w:val="JuPara"/>
      </w:pPr>
    </w:p>
    <w:p w:rsidRPr="00BF0BF1" w:rsidR="002422B6" w:rsidP="00BF0BF1" w14:paraId="2E3674F0" w14:textId="3056012E">
      <w:pPr>
        <w:jc w:val="center"/>
        <w:rPr>
          <w:i/>
          <w:sz w:val="22"/>
        </w:rPr>
      </w:pPr>
      <w:r w:rsidRPr="00BF0BF1">
        <w:rPr>
          <w:i/>
          <w:sz w:val="22"/>
        </w:rPr>
        <w:t xml:space="preserve">This judgment </w:t>
      </w:r>
      <w:r w:rsidRPr="00BF0BF1" w:rsidR="00D26BB1">
        <w:rPr>
          <w:i/>
          <w:noProof/>
          <w:sz w:val="22"/>
        </w:rPr>
        <w:t>is final but it</w:t>
      </w:r>
      <w:r w:rsidRPr="00BF0BF1">
        <w:rPr>
          <w:i/>
          <w:sz w:val="22"/>
        </w:rPr>
        <w:t xml:space="preserve"> may be subject to editorial revision.</w:t>
      </w:r>
    </w:p>
    <w:p w:rsidRPr="00BF0BF1" w:rsidR="0098410D" w:rsidP="00BF0BF1" w14:paraId="7A30E583" w14:textId="77777777">
      <w:pPr>
        <w:jc w:val="cente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BF0BF1" w:rsidR="0098410D" w:rsidP="00BF0BF1" w14:paraId="40E1D9FC" w14:textId="1149FBF3">
      <w:pPr>
        <w:pStyle w:val="JuCase"/>
      </w:pPr>
      <w:r w:rsidRPr="00BF0BF1">
        <w:t xml:space="preserve">In the case of </w:t>
      </w:r>
      <w:r w:rsidRPr="00BF0BF1" w:rsidR="00D26BB1">
        <w:t>Andersen v. Poland</w:t>
      </w:r>
      <w:r w:rsidRPr="00BF0BF1">
        <w:t>,</w:t>
      </w:r>
    </w:p>
    <w:p w:rsidRPr="00BF0BF1" w:rsidR="009F4C8F" w:rsidP="00BF0BF1" w14:paraId="33747B14" w14:textId="41056A70">
      <w:pPr>
        <w:pStyle w:val="JuPara"/>
      </w:pPr>
      <w:r w:rsidRPr="00BF0BF1">
        <w:t>The European Court of Human Rights (</w:t>
      </w:r>
      <w:r w:rsidRPr="00BF0BF1" w:rsidR="00D26BB1">
        <w:t>First Section</w:t>
      </w:r>
      <w:r w:rsidRPr="00BF0BF1">
        <w:t>), sitting as a</w:t>
      </w:r>
      <w:r w:rsidRPr="00BF0BF1" w:rsidR="002D6B83">
        <w:t> </w:t>
      </w:r>
      <w:r w:rsidRPr="00BF0BF1" w:rsidR="00D26BB1">
        <w:rPr>
          <w:noProof/>
        </w:rPr>
        <w:t>Committee</w:t>
      </w:r>
      <w:r w:rsidRPr="00BF0BF1">
        <w:t xml:space="preserve"> composed of:</w:t>
      </w:r>
    </w:p>
    <w:p w:rsidRPr="00BF0BF1" w:rsidR="00A92625" w:rsidP="00BF0BF1" w14:paraId="16A282A3" w14:textId="7305F6FC">
      <w:pPr>
        <w:pStyle w:val="JuJudges"/>
      </w:pPr>
      <w:r w:rsidRPr="00BF0BF1">
        <w:tab/>
        <w:t xml:space="preserve">Erik </w:t>
      </w:r>
      <w:r w:rsidRPr="00BF0BF1">
        <w:t>Wennerström</w:t>
      </w:r>
      <w:r w:rsidRPr="00BF0BF1">
        <w:rPr>
          <w:i/>
        </w:rPr>
        <w:t>, President</w:t>
      </w:r>
      <w:r w:rsidRPr="00BF0BF1">
        <w:t>,</w:t>
      </w:r>
      <w:r w:rsidRPr="00BF0BF1">
        <w:br/>
      </w:r>
      <w:r w:rsidRPr="00BF0BF1">
        <w:tab/>
        <w:t>Raffaele Sabato,</w:t>
      </w:r>
      <w:r w:rsidRPr="00BF0BF1">
        <w:br/>
      </w:r>
      <w:r w:rsidRPr="00BF0BF1">
        <w:tab/>
      </w:r>
      <w:r w:rsidRPr="00BF0BF1">
        <w:t>Artūrs</w:t>
      </w:r>
      <w:r w:rsidRPr="00BF0BF1">
        <w:t xml:space="preserve"> </w:t>
      </w:r>
      <w:r w:rsidRPr="00BF0BF1">
        <w:t>Kučs</w:t>
      </w:r>
      <w:r w:rsidRPr="00BF0BF1">
        <w:rPr>
          <w:i/>
        </w:rPr>
        <w:t>, judges</w:t>
      </w:r>
      <w:r w:rsidRPr="00BF0BF1">
        <w:t>,</w:t>
      </w:r>
      <w:r w:rsidRPr="00BF0BF1" w:rsidR="009F4C8F">
        <w:br/>
        <w:t>and</w:t>
      </w:r>
      <w:r w:rsidRPr="00BF0BF1" w:rsidR="005C2C62">
        <w:t xml:space="preserve"> </w:t>
      </w:r>
      <w:r w:rsidRPr="00BF0BF1" w:rsidR="00D26BB1">
        <w:rPr>
          <w:rFonts w:eastAsia="PMingLiU"/>
          <w:noProof/>
        </w:rPr>
        <w:t>Liv Tigerstedt</w:t>
      </w:r>
      <w:r w:rsidRPr="00BF0BF1">
        <w:t xml:space="preserve">, </w:t>
      </w:r>
      <w:r w:rsidRPr="00BF0BF1" w:rsidR="00D26BB1">
        <w:rPr>
          <w:i/>
          <w:iCs/>
          <w:noProof/>
        </w:rPr>
        <w:t xml:space="preserve">Deputy </w:t>
      </w:r>
      <w:r w:rsidRPr="00BF0BF1" w:rsidR="00E744E0">
        <w:rPr>
          <w:i/>
        </w:rPr>
        <w:t xml:space="preserve">Section </w:t>
      </w:r>
      <w:r w:rsidRPr="00BF0BF1" w:rsidR="00E744E0">
        <w:rPr>
          <w:i/>
          <w:iCs/>
        </w:rPr>
        <w:t>Registrar</w:t>
      </w:r>
      <w:r w:rsidRPr="00BF0BF1" w:rsidR="008F2465">
        <w:rPr>
          <w:i/>
        </w:rPr>
        <w:t>,</w:t>
      </w:r>
    </w:p>
    <w:p w:rsidRPr="00BF0BF1" w:rsidR="00D26BB1" w:rsidP="00BF0BF1" w14:paraId="737A6EEB" w14:textId="77777777">
      <w:pPr>
        <w:pStyle w:val="JuPara"/>
      </w:pPr>
      <w:r w:rsidRPr="00BF0BF1">
        <w:t>Having regard to:</w:t>
      </w:r>
    </w:p>
    <w:p w:rsidRPr="00BF0BF1" w:rsidR="00D26BB1" w:rsidP="00BF0BF1" w14:paraId="3AFE270E" w14:textId="77777777">
      <w:pPr>
        <w:pStyle w:val="JuPara"/>
      </w:pPr>
      <w:r w:rsidRPr="00BF0BF1">
        <w:t>the application (no. 53662/20) against the Republic of Poland lodged with the Court under Article 34 of the Convention for the Protection of Human Rights and Fundamental Freedoms (“the Convention”) on 18 November 2020 by a Polish national, Mr Bartholomew Kyle Andersen (“the applicant”), who was born in 1988, lives in Colwyn Bay, United Kingdom, and was represented by Mr P. Knut, a lawyer practising in Warsaw;</w:t>
      </w:r>
    </w:p>
    <w:p w:rsidRPr="00BF0BF1" w:rsidR="00D26BB1" w:rsidP="00BF0BF1" w14:paraId="432D1D53" w14:textId="77777777">
      <w:pPr>
        <w:pStyle w:val="JuPara"/>
      </w:pPr>
      <w:r w:rsidRPr="00BF0BF1">
        <w:t>the decision to give notice of the application to the Polish Government (“the Government”) represented by their Agent, Mr J. Sobczak, of the Ministry of Foreign Affairs;</w:t>
      </w:r>
    </w:p>
    <w:p w:rsidRPr="00BF0BF1" w:rsidR="00D26BB1" w:rsidP="00BF0BF1" w14:paraId="34CADFCE" w14:textId="0742236E">
      <w:pPr>
        <w:pStyle w:val="JuPara"/>
      </w:pPr>
      <w:r w:rsidRPr="00BF0BF1">
        <w:t>the parties</w:t>
      </w:r>
      <w:r w:rsidRPr="00BF0BF1" w:rsidR="00BF0BF1">
        <w:t>’</w:t>
      </w:r>
      <w:r w:rsidRPr="00BF0BF1">
        <w:t xml:space="preserve"> observations;</w:t>
      </w:r>
    </w:p>
    <w:p w:rsidRPr="00BF0BF1" w:rsidR="00D26BB1" w:rsidP="00BF0BF1" w14:paraId="65F8B5D4" w14:textId="77777777">
      <w:pPr>
        <w:pStyle w:val="JuPara"/>
      </w:pPr>
      <w:r w:rsidRPr="00BF0BF1">
        <w:t xml:space="preserve">the comments submitted by Ordo </w:t>
      </w:r>
      <w:r w:rsidRPr="00BF0BF1">
        <w:t>Iuris</w:t>
      </w:r>
      <w:r w:rsidRPr="00BF0BF1">
        <w:t xml:space="preserve"> Institute for Legal Culture which was granted leave to intervene by the President of the Section.</w:t>
      </w:r>
    </w:p>
    <w:p w:rsidRPr="00BF0BF1" w:rsidR="009F4C8F" w:rsidP="00BF0BF1" w14:paraId="564D5D3C" w14:textId="291BB6E8">
      <w:pPr>
        <w:pStyle w:val="JuPara"/>
      </w:pPr>
      <w:r w:rsidRPr="00BF0BF1">
        <w:t xml:space="preserve">Having deliberated in private on </w:t>
      </w:r>
      <w:r w:rsidRPr="00BF0BF1" w:rsidR="00D26BB1">
        <w:t>20 March 2025</w:t>
      </w:r>
      <w:r w:rsidRPr="00BF0BF1">
        <w:t>,</w:t>
      </w:r>
    </w:p>
    <w:p w:rsidRPr="00BF0BF1" w:rsidR="009F4C8F" w:rsidP="00BF0BF1" w14:paraId="70FE9E29" w14:textId="77777777">
      <w:pPr>
        <w:pStyle w:val="JuPara"/>
      </w:pPr>
      <w:r w:rsidRPr="00BF0BF1">
        <w:t>Delivers the following judgment, which was adopted on that date:</w:t>
      </w:r>
    </w:p>
    <w:p w:rsidRPr="00BF0BF1" w:rsidR="00D26BB1" w:rsidP="00BF0BF1" w14:paraId="73068327" w14:textId="50131E52">
      <w:pPr>
        <w:pStyle w:val="JuHHead"/>
        <w:numPr>
          <w:ilvl w:val="0"/>
          <w:numId w:val="0"/>
        </w:numPr>
      </w:pPr>
      <w:r w:rsidRPr="00BF0BF1">
        <w:t>SUBJECT MATTER OF THE CASE</w:t>
      </w:r>
    </w:p>
    <w:p w:rsidRPr="00BF0BF1" w:rsidR="00D26BB1" w:rsidP="00BF0BF1" w14:paraId="5BE25D89" w14:textId="6BF65CAF">
      <w:pPr>
        <w:pStyle w:val="JuPara"/>
      </w:pPr>
      <w:r w:rsidRPr="00BF0BF1">
        <w:fldChar w:fldCharType="begin"/>
      </w:r>
      <w:r w:rsidRPr="00BF0BF1">
        <w:instrText xml:space="preserve"> SEQ level0 \*arabic \* MERGEFORMAT </w:instrText>
      </w:r>
      <w:r w:rsidRPr="00BF0BF1">
        <w:fldChar w:fldCharType="separate"/>
      </w:r>
      <w:r w:rsidRPr="00BF0BF1">
        <w:rPr>
          <w:noProof/>
        </w:rPr>
        <w:t>1</w:t>
      </w:r>
      <w:r w:rsidRPr="00BF0BF1">
        <w:rPr>
          <w:noProof/>
        </w:rPr>
        <w:fldChar w:fldCharType="end"/>
      </w:r>
      <w:r w:rsidRPr="00BF0BF1">
        <w:t>.  The applicant complained under Article 8 of the Convention that his marriage with his same-sex partner, contracted abroad, had not been registered in Poland while there had been no other form of legal recognition and protection for his relationship.</w:t>
      </w:r>
    </w:p>
    <w:p w:rsidRPr="00BF0BF1" w:rsidR="00D26BB1" w:rsidP="00BF0BF1" w14:paraId="162B400A" w14:textId="364D7C55">
      <w:pPr>
        <w:pStyle w:val="JuPara"/>
      </w:pPr>
      <w:r w:rsidRPr="00BF0BF1">
        <w:fldChar w:fldCharType="begin"/>
      </w:r>
      <w:r w:rsidRPr="00BF0BF1">
        <w:instrText xml:space="preserve"> SEQ level0 \*arabic \* MERGEFORMAT </w:instrText>
      </w:r>
      <w:r w:rsidRPr="00BF0BF1">
        <w:fldChar w:fldCharType="separate"/>
      </w:r>
      <w:r w:rsidRPr="00BF0BF1">
        <w:rPr>
          <w:noProof/>
        </w:rPr>
        <w:t>2</w:t>
      </w:r>
      <w:r w:rsidRPr="00BF0BF1">
        <w:rPr>
          <w:noProof/>
        </w:rPr>
        <w:fldChar w:fldCharType="end"/>
      </w:r>
      <w:r w:rsidRPr="00BF0BF1">
        <w:t xml:space="preserve">.  On 7 May 2016 the applicant married his partner in </w:t>
      </w:r>
      <w:r w:rsidRPr="00BF0BF1">
        <w:t>Covwy</w:t>
      </w:r>
      <w:r w:rsidRPr="00BF0BF1">
        <w:t>, United Kingdom.</w:t>
      </w:r>
    </w:p>
    <w:p w:rsidRPr="00BF0BF1" w:rsidR="00D26BB1" w:rsidP="00BF0BF1" w14:paraId="14448F5C" w14:textId="73643D69">
      <w:pPr>
        <w:pStyle w:val="JuPara"/>
      </w:pPr>
      <w:r w:rsidRPr="00BF0BF1">
        <w:fldChar w:fldCharType="begin"/>
      </w:r>
      <w:r w:rsidRPr="00BF0BF1">
        <w:instrText xml:space="preserve"> SEQ level0 \*arabic \* MERGEFORMAT </w:instrText>
      </w:r>
      <w:r w:rsidRPr="00BF0BF1">
        <w:fldChar w:fldCharType="separate"/>
      </w:r>
      <w:r w:rsidRPr="00BF0BF1">
        <w:rPr>
          <w:noProof/>
        </w:rPr>
        <w:t>3</w:t>
      </w:r>
      <w:r w:rsidRPr="00BF0BF1">
        <w:rPr>
          <w:noProof/>
        </w:rPr>
        <w:fldChar w:fldCharType="end"/>
      </w:r>
      <w:r w:rsidRPr="00BF0BF1">
        <w:t>.  In February 2017 the</w:t>
      </w:r>
      <w:r w:rsidRPr="00BF0BF1">
        <w:rPr>
          <w:bCs/>
        </w:rPr>
        <w:t xml:space="preserve"> applicant requested the </w:t>
      </w:r>
      <w:r w:rsidRPr="00BF0BF1">
        <w:rPr>
          <w:bCs/>
        </w:rPr>
        <w:t>Goszczyszyn</w:t>
      </w:r>
      <w:r w:rsidRPr="00BF0BF1">
        <w:rPr>
          <w:bCs/>
        </w:rPr>
        <w:t xml:space="preserve"> Civil Status Office to register his marriage contracted abroad, which it refused</w:t>
      </w:r>
      <w:r w:rsidRPr="00BF0BF1">
        <w:t xml:space="preserve"> because entering a same-sex marriage in the Polish Registry would be contrary to “basic principles of the Polish law”</w:t>
      </w:r>
      <w:r w:rsidRPr="00BF0BF1">
        <w:rPr>
          <w:bCs/>
        </w:rPr>
        <w:t xml:space="preserve">. Upon appeal, </w:t>
      </w:r>
      <w:r w:rsidRPr="00BF0BF1">
        <w:t>the Mazowiecki Governor upheld the decision as did the Warsaw Regional Administrative Court. On</w:t>
      </w:r>
      <w:r w:rsidRPr="00BF0BF1" w:rsidR="002D6B83">
        <w:t> </w:t>
      </w:r>
      <w:r w:rsidRPr="00BF0BF1">
        <w:t>25</w:t>
      </w:r>
      <w:r w:rsidRPr="00BF0BF1" w:rsidR="002D6B83">
        <w:t> </w:t>
      </w:r>
      <w:r w:rsidRPr="00BF0BF1">
        <w:t>February 2020 the Supreme Administrative Court dismissed his cassation appeal. The judgment was notified to the applicant on 21 May 2020.</w:t>
      </w:r>
    </w:p>
    <w:p w:rsidRPr="00BF0BF1" w:rsidR="00D26BB1" w:rsidP="00BF0BF1" w14:paraId="253C7A17" w14:textId="211097D1">
      <w:pPr>
        <w:pStyle w:val="JuPara"/>
        <w:rPr>
          <w:bCs/>
        </w:rPr>
      </w:pPr>
      <w:r w:rsidRPr="00BF0BF1">
        <w:fldChar w:fldCharType="begin"/>
      </w:r>
      <w:r w:rsidRPr="00BF0BF1">
        <w:instrText xml:space="preserve"> SEQ level0 \*arabic \* MERGEFORMAT </w:instrText>
      </w:r>
      <w:r w:rsidRPr="00BF0BF1">
        <w:fldChar w:fldCharType="separate"/>
      </w:r>
      <w:r w:rsidRPr="00BF0BF1">
        <w:rPr>
          <w:noProof/>
        </w:rPr>
        <w:t>4</w:t>
      </w:r>
      <w:r w:rsidRPr="00BF0BF1">
        <w:rPr>
          <w:noProof/>
        </w:rPr>
        <w:fldChar w:fldCharType="end"/>
      </w:r>
      <w:r w:rsidRPr="00BF0BF1">
        <w:t xml:space="preserve">.  The </w:t>
      </w:r>
      <w:r w:rsidRPr="00BF0BF1">
        <w:rPr>
          <w:bCs/>
        </w:rPr>
        <w:t>applicant complained under Article 8 of the Convention of a total lack of recognition of his relationship in Poland, in that it was impossible for him to enter into any type of legally recognised union with his same-sex partner. The applicant further complained that his marriage contracted abroad was not recognised by the Polish authorities in any way.</w:t>
      </w:r>
    </w:p>
    <w:p w:rsidRPr="00BF0BF1" w:rsidR="00D26BB1" w:rsidP="00BF0BF1" w14:paraId="1C248AA4" w14:textId="6FBDAE1B">
      <w:pPr>
        <w:pStyle w:val="JuHHead"/>
      </w:pPr>
      <w:r w:rsidRPr="00BF0BF1">
        <w:t>THE COURT</w:t>
      </w:r>
      <w:r w:rsidRPr="00BF0BF1" w:rsidR="00BF0BF1">
        <w:t>’</w:t>
      </w:r>
      <w:r w:rsidRPr="00BF0BF1">
        <w:t>S ASSESSMENT</w:t>
      </w:r>
    </w:p>
    <w:p w:rsidRPr="00BF0BF1" w:rsidR="00D26BB1" w:rsidP="00BF0BF1" w14:paraId="40E77797" w14:textId="77777777">
      <w:pPr>
        <w:pStyle w:val="JuHIRoman"/>
      </w:pPr>
      <w:r w:rsidRPr="00BF0BF1">
        <w:t>ALLEGED VIOLATION OF ARTICLE 8 OF THE CONVENTION</w:t>
      </w:r>
    </w:p>
    <w:p w:rsidRPr="00BF0BF1" w:rsidR="00D26BB1" w:rsidP="00BF0BF1" w14:paraId="0AE3B6AC" w14:textId="77777777">
      <w:pPr>
        <w:pStyle w:val="JuHA"/>
      </w:pPr>
      <w:r w:rsidRPr="00BF0BF1">
        <w:t>Admissibility</w:t>
      </w:r>
    </w:p>
    <w:p w:rsidRPr="00BF0BF1" w:rsidR="00D26BB1" w:rsidP="00BF0BF1" w14:paraId="5CE39DA7" w14:textId="0AB5D4F4">
      <w:pPr>
        <w:pStyle w:val="JuPara"/>
      </w:pPr>
      <w:r w:rsidRPr="00BF0BF1">
        <w:fldChar w:fldCharType="begin"/>
      </w:r>
      <w:r w:rsidRPr="00BF0BF1">
        <w:instrText xml:space="preserve"> SEQ level0 \*arabic \* MERGEFORMAT </w:instrText>
      </w:r>
      <w:r w:rsidRPr="00BF0BF1">
        <w:fldChar w:fldCharType="separate"/>
      </w:r>
      <w:r w:rsidRPr="00BF0BF1">
        <w:rPr>
          <w:noProof/>
        </w:rPr>
        <w:t>5</w:t>
      </w:r>
      <w:r w:rsidRPr="00BF0BF1">
        <w:rPr>
          <w:noProof/>
        </w:rPr>
        <w:fldChar w:fldCharType="end"/>
      </w:r>
      <w:r w:rsidRPr="00BF0BF1">
        <w:t xml:space="preserve">.  The Court notes firstly that the unavailability of a legal regime for the recognition and protection of same-sex couples affects both the personal and the social identity of the applicant as a person wishing to have his same-sex relationship as a couple legitimised and protected by law. Article 8 of the Convention is therefore applicable in the present case under both its “private life” and “family life” aspects (see </w:t>
      </w:r>
      <w:r w:rsidRPr="00BF0BF1">
        <w:rPr>
          <w:i/>
          <w:iCs/>
        </w:rPr>
        <w:t>Przybyszewska</w:t>
      </w:r>
      <w:r w:rsidRPr="00BF0BF1">
        <w:rPr>
          <w:i/>
          <w:iCs/>
        </w:rPr>
        <w:t xml:space="preserve"> and Others v. Poland</w:t>
      </w:r>
      <w:r w:rsidRPr="00BF0BF1">
        <w:t>, nos. 11454/17 and 9 others, § 39, 12 December 2023, with further references). The Government</w:t>
      </w:r>
      <w:r w:rsidRPr="00BF0BF1">
        <w:t>’</w:t>
      </w:r>
      <w:r w:rsidRPr="00BF0BF1">
        <w:t>s objection in this respect must therefore be rejected.</w:t>
      </w:r>
    </w:p>
    <w:p w:rsidRPr="00BF0BF1" w:rsidR="00D26BB1" w:rsidP="00BF0BF1" w14:paraId="23240036" w14:textId="4B89A3DB">
      <w:pPr>
        <w:pStyle w:val="JuPara"/>
      </w:pPr>
      <w:r w:rsidRPr="00BF0BF1">
        <w:fldChar w:fldCharType="begin"/>
      </w:r>
      <w:r w:rsidRPr="00BF0BF1">
        <w:instrText xml:space="preserve"> SEQ level0 \*arabic \* MERGEFORMAT </w:instrText>
      </w:r>
      <w:r w:rsidRPr="00BF0BF1">
        <w:fldChar w:fldCharType="separate"/>
      </w:r>
      <w:r w:rsidRPr="00BF0BF1">
        <w:rPr>
          <w:noProof/>
        </w:rPr>
        <w:t>6</w:t>
      </w:r>
      <w:r w:rsidRPr="00BF0BF1">
        <w:rPr>
          <w:noProof/>
        </w:rPr>
        <w:fldChar w:fldCharType="end"/>
      </w:r>
      <w:r w:rsidRPr="00BF0BF1">
        <w:t>.  The Court also notes that it has previously dismissed the Government</w:t>
      </w:r>
      <w:r w:rsidRPr="00BF0BF1">
        <w:t>’</w:t>
      </w:r>
      <w:r w:rsidRPr="00BF0BF1">
        <w:t>s objections on non-exhaustion of the domestic remedies – failure to complain to the Constitutional Court (ibid., § 53). It does not find it necessary to repeat those arguments in the case at hand and concludes that the applicant should be considered to have exhausted domestic remedies. The Government</w:t>
      </w:r>
      <w:r w:rsidRPr="00BF0BF1">
        <w:t>’</w:t>
      </w:r>
      <w:r w:rsidRPr="00BF0BF1">
        <w:t>s objection in this respect is thus dismissed.</w:t>
      </w:r>
    </w:p>
    <w:p w:rsidRPr="00BF0BF1" w:rsidR="00D26BB1" w:rsidP="00BF0BF1" w14:paraId="3A803CD8" w14:textId="56A2F9FB">
      <w:pPr>
        <w:pStyle w:val="JuPara"/>
      </w:pPr>
      <w:r w:rsidRPr="00BF0BF1">
        <w:fldChar w:fldCharType="begin"/>
      </w:r>
      <w:r w:rsidRPr="00BF0BF1">
        <w:instrText xml:space="preserve"> SEQ level0 \*arabic \* MERGEFORMAT </w:instrText>
      </w:r>
      <w:r w:rsidRPr="00BF0BF1">
        <w:fldChar w:fldCharType="separate"/>
      </w:r>
      <w:r w:rsidRPr="00BF0BF1">
        <w:rPr>
          <w:noProof/>
        </w:rPr>
        <w:t>7</w:t>
      </w:r>
      <w:r w:rsidRPr="00BF0BF1">
        <w:rPr>
          <w:noProof/>
        </w:rPr>
        <w:fldChar w:fldCharType="end"/>
      </w:r>
      <w:r w:rsidRPr="00BF0BF1">
        <w:t>.  The Government further submitted that no significant disadvantage had been suffered by the applicant and that he could not claim to be a victim of the alleged violations of the Convention since, despite receiving an unfavourable decision by the Polish authorities, the applicant continued to live with his husband in the UK and did not suffer any damage. The applicant contested the objections, reiterating that Poland refused to offer him any form of recognition of his relationship, even by, at the very least, registering his foreign marriage certificate. The applicant underlined that in Poland he had no access to core rights that were relevant to any couple in a stable relationship, which had been the reason for him to stay abroad where his rights were protected. He applied for registration of his marriage as he intended to study in Poland where university education was free of charge. However, following the refusal to register his marriage, he was forced to abandon his plans to move back to Poland with his husband. As a Polish citizen he has been practically forced to live abroad which caused him stress and anxiety which affected his private and family life.</w:t>
      </w:r>
    </w:p>
    <w:bookmarkStart w:name="joinder" w:id="0"/>
    <w:p w:rsidRPr="00BF0BF1" w:rsidR="00D26BB1" w:rsidP="00BF0BF1" w14:paraId="37C132D1" w14:textId="4949CE13">
      <w:pPr>
        <w:pStyle w:val="JuPara"/>
      </w:pPr>
      <w:r w:rsidRPr="00BF0BF1">
        <w:fldChar w:fldCharType="begin"/>
      </w:r>
      <w:r w:rsidRPr="00BF0BF1">
        <w:instrText xml:space="preserve"> SEQ level0 \*arabic \* MERGEFORMAT </w:instrText>
      </w:r>
      <w:r w:rsidRPr="00BF0BF1">
        <w:fldChar w:fldCharType="separate"/>
      </w:r>
      <w:r w:rsidRPr="00BF0BF1" w:rsidR="00BF0BF1">
        <w:rPr>
          <w:noProof/>
        </w:rPr>
        <w:t>8</w:t>
      </w:r>
      <w:r w:rsidRPr="00BF0BF1">
        <w:fldChar w:fldCharType="end"/>
      </w:r>
      <w:bookmarkEnd w:id="0"/>
      <w:r w:rsidRPr="00BF0BF1">
        <w:t>.  The Court finds that the objections on victim status and non</w:t>
      </w:r>
      <w:r w:rsidRPr="00BF0BF1">
        <w:noBreakHyphen/>
        <w:t>significant disadvantage are phrased in similar terms and are closely linked to the merits of the complaint that the applicant</w:t>
      </w:r>
      <w:r w:rsidRPr="00BF0BF1" w:rsidR="00BF0BF1">
        <w:t>’</w:t>
      </w:r>
      <w:r w:rsidRPr="00BF0BF1">
        <w:t>s Convention rights were breached by the lack of legal recognition of same-sex unions. Accordingly, it joins these objections to the merits.</w:t>
      </w:r>
    </w:p>
    <w:p w:rsidRPr="00BF0BF1" w:rsidR="00D26BB1" w:rsidP="00BF0BF1" w14:paraId="09C74895" w14:textId="426B22DC">
      <w:pPr>
        <w:pStyle w:val="JuPara"/>
      </w:pPr>
      <w:r w:rsidRPr="00BF0BF1">
        <w:fldChar w:fldCharType="begin"/>
      </w:r>
      <w:r w:rsidRPr="00BF0BF1">
        <w:instrText xml:space="preserve"> SEQ level0 \*arabic \* MERGEFORMAT </w:instrText>
      </w:r>
      <w:r w:rsidRPr="00BF0BF1">
        <w:fldChar w:fldCharType="separate"/>
      </w:r>
      <w:r w:rsidRPr="00BF0BF1">
        <w:rPr>
          <w:noProof/>
        </w:rPr>
        <w:t>9</w:t>
      </w:r>
      <w:r w:rsidRPr="00BF0BF1">
        <w:rPr>
          <w:noProof/>
        </w:rPr>
        <w:fldChar w:fldCharType="end"/>
      </w:r>
      <w:r w:rsidRPr="00BF0BF1">
        <w:t>.  It follows that this complaint is not manifestly ill-founded within the meaning of Article 35 § 3 (a) of the Convention or inadmissible on any other grounds. It must therefore be declared admissible.</w:t>
      </w:r>
    </w:p>
    <w:p w:rsidRPr="00BF0BF1" w:rsidR="00D26BB1" w:rsidP="00BF0BF1" w14:paraId="3D3828A3" w14:textId="77777777">
      <w:pPr>
        <w:pStyle w:val="JuHA"/>
      </w:pPr>
      <w:r w:rsidRPr="00BF0BF1">
        <w:t>Merits</w:t>
      </w:r>
    </w:p>
    <w:p w:rsidRPr="00BF0BF1" w:rsidR="00D26BB1" w:rsidP="00BF0BF1" w14:paraId="2E7BCB02" w14:textId="1EBC12FC">
      <w:pPr>
        <w:pStyle w:val="JuPara"/>
      </w:pPr>
      <w:r w:rsidRPr="00BF0BF1">
        <w:fldChar w:fldCharType="begin"/>
      </w:r>
      <w:r w:rsidRPr="00BF0BF1">
        <w:instrText xml:space="preserve"> SEQ level0 \*arabic \* MERGEFORMAT </w:instrText>
      </w:r>
      <w:r w:rsidRPr="00BF0BF1">
        <w:fldChar w:fldCharType="separate"/>
      </w:r>
      <w:r w:rsidRPr="00BF0BF1">
        <w:rPr>
          <w:noProof/>
        </w:rPr>
        <w:t>10</w:t>
      </w:r>
      <w:r w:rsidRPr="00BF0BF1">
        <w:rPr>
          <w:noProof/>
        </w:rPr>
        <w:fldChar w:fldCharType="end"/>
      </w:r>
      <w:r w:rsidRPr="00BF0BF1">
        <w:t xml:space="preserve">.  The general principles confirming that, in accordance with their positive obligations under Article 8 of the Convention, the member States are required to provide a legal framework allowing same-sex couples to be granted adequate recognition and protection of their relationship, are set out in </w:t>
      </w:r>
      <w:r w:rsidRPr="00BF0BF1">
        <w:rPr>
          <w:i/>
          <w:iCs/>
        </w:rPr>
        <w:t>Fedotova and Others v. Russia</w:t>
      </w:r>
      <w:r w:rsidRPr="00BF0BF1">
        <w:rPr>
          <w:iCs/>
        </w:rPr>
        <w:t xml:space="preserve"> [GC], nos. 40792/10 and 2 others,</w:t>
      </w:r>
      <w:r w:rsidRPr="00BF0BF1">
        <w:t xml:space="preserve"> §§ 152</w:t>
      </w:r>
      <w:r w:rsidRPr="00BF0BF1">
        <w:noBreakHyphen/>
        <w:t>65 and 178,</w:t>
      </w:r>
      <w:r w:rsidRPr="00BF0BF1">
        <w:rPr>
          <w:iCs/>
        </w:rPr>
        <w:t xml:space="preserve"> 17 January 2023</w:t>
      </w:r>
      <w:r w:rsidRPr="00BF0BF1">
        <w:t>.</w:t>
      </w:r>
    </w:p>
    <w:p w:rsidRPr="00BF0BF1" w:rsidR="00D26BB1" w:rsidP="00BF0BF1" w14:paraId="5E27E4BD" w14:textId="3C1B884B">
      <w:pPr>
        <w:pStyle w:val="JuPara"/>
      </w:pPr>
      <w:r w:rsidRPr="00BF0BF1">
        <w:fldChar w:fldCharType="begin"/>
      </w:r>
      <w:r w:rsidRPr="00BF0BF1">
        <w:instrText xml:space="preserve"> SEQ level0 \*arabic \* MERGEFORMAT </w:instrText>
      </w:r>
      <w:r w:rsidRPr="00BF0BF1">
        <w:fldChar w:fldCharType="separate"/>
      </w:r>
      <w:r w:rsidRPr="00BF0BF1">
        <w:rPr>
          <w:noProof/>
        </w:rPr>
        <w:t>11</w:t>
      </w:r>
      <w:r w:rsidRPr="00BF0BF1">
        <w:rPr>
          <w:noProof/>
        </w:rPr>
        <w:fldChar w:fldCharType="end"/>
      </w:r>
      <w:r w:rsidRPr="00BF0BF1">
        <w:t xml:space="preserve">.  In the application of those principles, the Court found in </w:t>
      </w:r>
      <w:r w:rsidRPr="00BF0BF1">
        <w:rPr>
          <w:i/>
          <w:iCs/>
        </w:rPr>
        <w:t>Przybyszewska</w:t>
      </w:r>
      <w:r w:rsidRPr="00BF0BF1">
        <w:rPr>
          <w:i/>
          <w:iCs/>
        </w:rPr>
        <w:t xml:space="preserve"> and Others</w:t>
      </w:r>
      <w:r w:rsidRPr="00BF0BF1">
        <w:t xml:space="preserve"> (cited above, § 122) that Poland had failed to comply with its positive obligation to ensure that the applicants in that case had a specific legal framework providing for the recognition and protection of their same-sex unions, in breach of Article 8 of the Convention (compare</w:t>
      </w:r>
      <w:r w:rsidRPr="00BF0BF1" w:rsidR="00B01CB5">
        <w:t xml:space="preserve"> </w:t>
      </w:r>
      <w:r w:rsidRPr="00BF0BF1">
        <w:t xml:space="preserve">also, </w:t>
      </w:r>
      <w:r w:rsidRPr="00BF0BF1">
        <w:rPr>
          <w:i/>
          <w:iCs/>
        </w:rPr>
        <w:t>Formela</w:t>
      </w:r>
      <w:r w:rsidRPr="00BF0BF1">
        <w:rPr>
          <w:i/>
          <w:iCs/>
        </w:rPr>
        <w:t xml:space="preserve"> and Others v. Poland</w:t>
      </w:r>
      <w:r w:rsidRPr="00BF0BF1">
        <w:t xml:space="preserve"> [Committee], nos.</w:t>
      </w:r>
      <w:r w:rsidRPr="00BF0BF1" w:rsidR="00B01CB5">
        <w:t> </w:t>
      </w:r>
      <w:r w:rsidRPr="00BF0BF1">
        <w:t>58828/12 and 4 others, § 25, 19 September 2024).</w:t>
      </w:r>
    </w:p>
    <w:p w:rsidRPr="00BF0BF1" w:rsidR="00D26BB1" w:rsidP="00BF0BF1" w14:paraId="3B7F1EC5" w14:textId="66E38EC0">
      <w:pPr>
        <w:pStyle w:val="JuPara"/>
      </w:pPr>
      <w:r w:rsidRPr="00BF0BF1">
        <w:fldChar w:fldCharType="begin"/>
      </w:r>
      <w:r w:rsidRPr="00BF0BF1">
        <w:instrText xml:space="preserve"> SEQ level0 \*arabic \* MERGEFORMAT </w:instrText>
      </w:r>
      <w:r w:rsidRPr="00BF0BF1">
        <w:fldChar w:fldCharType="separate"/>
      </w:r>
      <w:r w:rsidRPr="00BF0BF1">
        <w:rPr>
          <w:noProof/>
        </w:rPr>
        <w:t>12</w:t>
      </w:r>
      <w:r w:rsidRPr="00BF0BF1">
        <w:rPr>
          <w:noProof/>
        </w:rPr>
        <w:fldChar w:fldCharType="end"/>
      </w:r>
      <w:r w:rsidRPr="00BF0BF1">
        <w:t>.  In the case at hand, the applicant did not complain that it was impossible for him to get married in Poland and the Court notes that Articles 8, 12 and 14 of the Convention have to date not been interpreted as imposing a positive obligation on the States Parties to make marriage available to same-sex couples (</w:t>
      </w:r>
      <w:r w:rsidRPr="00BF0BF1">
        <w:rPr>
          <w:i/>
          <w:iCs/>
        </w:rPr>
        <w:t>Fedotova and Others</w:t>
      </w:r>
      <w:r w:rsidRPr="00BF0BF1">
        <w:t>, cited above, § 165).</w:t>
      </w:r>
    </w:p>
    <w:p w:rsidRPr="00BF0BF1" w:rsidR="00D26BB1" w:rsidP="00BF0BF1" w14:paraId="16CC4BED" w14:textId="31446C37">
      <w:pPr>
        <w:pStyle w:val="JuPara"/>
      </w:pPr>
      <w:r w:rsidRPr="00BF0BF1">
        <w:fldChar w:fldCharType="begin"/>
      </w:r>
      <w:r w:rsidRPr="00BF0BF1">
        <w:instrText xml:space="preserve"> SEQ level0 \*arabic \* MERGEFORMAT </w:instrText>
      </w:r>
      <w:r w:rsidRPr="00BF0BF1">
        <w:fldChar w:fldCharType="separate"/>
      </w:r>
      <w:r w:rsidRPr="00BF0BF1">
        <w:rPr>
          <w:noProof/>
        </w:rPr>
        <w:t>13</w:t>
      </w:r>
      <w:r w:rsidRPr="00BF0BF1">
        <w:rPr>
          <w:noProof/>
        </w:rPr>
        <w:fldChar w:fldCharType="end"/>
      </w:r>
      <w:r w:rsidRPr="00BF0BF1">
        <w:t>.  The Court will focus its examination on the question of whether the respondent State has satisfied its positive obligation to provide a legal framework allowing the applicant to be granted adequate recognition and protection of his relationship (see</w:t>
      </w:r>
      <w:r w:rsidRPr="00BF0BF1">
        <w:rPr>
          <w:i/>
          <w:iCs/>
        </w:rPr>
        <w:t xml:space="preserve"> </w:t>
      </w:r>
      <w:r w:rsidRPr="00BF0BF1">
        <w:rPr>
          <w:i/>
          <w:iCs/>
        </w:rPr>
        <w:t>Koilova</w:t>
      </w:r>
      <w:r w:rsidRPr="00BF0BF1">
        <w:rPr>
          <w:i/>
          <w:iCs/>
        </w:rPr>
        <w:t xml:space="preserve"> and </w:t>
      </w:r>
      <w:r w:rsidRPr="00BF0BF1">
        <w:rPr>
          <w:i/>
          <w:iCs/>
        </w:rPr>
        <w:t>Babulkova</w:t>
      </w:r>
      <w:r w:rsidRPr="00BF0BF1">
        <w:rPr>
          <w:i/>
          <w:iCs/>
        </w:rPr>
        <w:t xml:space="preserve"> v. Bulgaria</w:t>
      </w:r>
      <w:r w:rsidRPr="00BF0BF1">
        <w:t xml:space="preserve">, no. 40209/20, § 41, 5 September 2023). To that end, it must examine whether, having regard to the margin of appreciation afforded to it, the respondent State struck a fair balance between the prevailing interests upon which it relied and the interests claimed by the applicant (see </w:t>
      </w:r>
      <w:r w:rsidRPr="00BF0BF1">
        <w:rPr>
          <w:i/>
          <w:iCs/>
        </w:rPr>
        <w:t>Buhuceanu</w:t>
      </w:r>
      <w:r w:rsidRPr="00BF0BF1">
        <w:rPr>
          <w:i/>
          <w:iCs/>
        </w:rPr>
        <w:t xml:space="preserve"> and Others</w:t>
      </w:r>
      <w:r w:rsidRPr="00BF0BF1">
        <w:t xml:space="preserve"> </w:t>
      </w:r>
      <w:r w:rsidRPr="00BF0BF1">
        <w:rPr>
          <w:i/>
          <w:iCs/>
        </w:rPr>
        <w:t>v.</w:t>
      </w:r>
      <w:r w:rsidRPr="00BF0BF1" w:rsidR="00B01CB5">
        <w:rPr>
          <w:i/>
          <w:iCs/>
        </w:rPr>
        <w:t> </w:t>
      </w:r>
      <w:r w:rsidRPr="00BF0BF1">
        <w:rPr>
          <w:i/>
          <w:iCs/>
        </w:rPr>
        <w:t>Romania</w:t>
      </w:r>
      <w:r w:rsidRPr="00BF0BF1">
        <w:t>, nos. 20081/19 and 20 others, § 75, 23 May 2023).</w:t>
      </w:r>
    </w:p>
    <w:p w:rsidRPr="00BF0BF1" w:rsidR="00D26BB1" w:rsidP="00BF0BF1" w14:paraId="36898D34" w14:textId="7901DDA6">
      <w:pPr>
        <w:pStyle w:val="JuPara"/>
      </w:pPr>
      <w:r w:rsidRPr="00BF0BF1">
        <w:fldChar w:fldCharType="begin"/>
      </w:r>
      <w:r w:rsidRPr="00BF0BF1">
        <w:instrText xml:space="preserve"> SEQ level0</w:instrText>
      </w:r>
      <w:r w:rsidRPr="00BF0BF1">
        <w:instrText xml:space="preserve"> \*arabic \* MERGEFORMAT </w:instrText>
      </w:r>
      <w:r w:rsidRPr="00BF0BF1">
        <w:fldChar w:fldCharType="separate"/>
      </w:r>
      <w:r w:rsidRPr="00BF0BF1">
        <w:rPr>
          <w:noProof/>
        </w:rPr>
        <w:t>14</w:t>
      </w:r>
      <w:r w:rsidRPr="00BF0BF1">
        <w:rPr>
          <w:noProof/>
        </w:rPr>
        <w:fldChar w:fldCharType="end"/>
      </w:r>
      <w:r w:rsidRPr="00BF0BF1">
        <w:t xml:space="preserve">.  It has not been disputed that Polish law still provides for only one form of family union – an opposite-sex marriage – and does not allow for any form of legal recognition for same-sex couples (see </w:t>
      </w:r>
      <w:r w:rsidRPr="00BF0BF1">
        <w:rPr>
          <w:i/>
          <w:iCs/>
        </w:rPr>
        <w:t>Przybyszewska</w:t>
      </w:r>
      <w:r w:rsidRPr="00BF0BF1">
        <w:rPr>
          <w:i/>
          <w:iCs/>
        </w:rPr>
        <w:t xml:space="preserve"> and Others</w:t>
      </w:r>
      <w:r w:rsidRPr="00BF0BF1">
        <w:t>, cited above, § 105). The situation therefore differs significantly from that of a very large number of member States which have undertaken to amend their domestic law with a view to ensuring that persons of the same sex enjoy effective protection of their private and family life.</w:t>
      </w:r>
    </w:p>
    <w:p w:rsidRPr="00BF0BF1" w:rsidR="00D26BB1" w:rsidP="00BF0BF1" w14:paraId="55FAD004" w14:textId="1831C12B">
      <w:pPr>
        <w:pStyle w:val="JuPara"/>
      </w:pPr>
      <w:r w:rsidRPr="00BF0BF1">
        <w:fldChar w:fldCharType="begin"/>
      </w:r>
      <w:r w:rsidRPr="00BF0BF1">
        <w:instrText xml:space="preserve"> SEQ level0 \*arabic \* MERGEFORMAT </w:instrText>
      </w:r>
      <w:r w:rsidRPr="00BF0BF1">
        <w:fldChar w:fldCharType="separate"/>
      </w:r>
      <w:r w:rsidRPr="00BF0BF1">
        <w:rPr>
          <w:noProof/>
        </w:rPr>
        <w:t>15</w:t>
      </w:r>
      <w:r w:rsidRPr="00BF0BF1">
        <w:rPr>
          <w:noProof/>
        </w:rPr>
        <w:fldChar w:fldCharType="end"/>
      </w:r>
      <w:r w:rsidRPr="00BF0BF1">
        <w:t xml:space="preserve">.  As submitted by the applicant, same-sex partners could not inherit from each other unless expressly indicated in a will, they have no right to submit a joint tax declaration or to benefit from tax exemptions on inheritance or donation granted to the married persons. The same-sex couples are forced </w:t>
      </w:r>
      <w:r w:rsidRPr="00BF0BF1">
        <w:t>to find alternative ways of organising their lives together and to seek recognition, for instance by marrying abroad.</w:t>
      </w:r>
    </w:p>
    <w:p w:rsidRPr="00BF0BF1" w:rsidR="00D26BB1" w:rsidP="00BF0BF1" w14:paraId="120B1846" w14:textId="7204DC40">
      <w:pPr>
        <w:pStyle w:val="JuPara"/>
      </w:pPr>
      <w:r w:rsidRPr="00BF0BF1">
        <w:fldChar w:fldCharType="begin"/>
      </w:r>
      <w:r w:rsidRPr="00BF0BF1">
        <w:instrText xml:space="preserve"> SEQ level0 \*arabic \* M</w:instrText>
      </w:r>
      <w:r w:rsidRPr="00BF0BF1">
        <w:instrText xml:space="preserve">ERGEFORMAT </w:instrText>
      </w:r>
      <w:r w:rsidRPr="00BF0BF1">
        <w:fldChar w:fldCharType="separate"/>
      </w:r>
      <w:r w:rsidRPr="00BF0BF1">
        <w:rPr>
          <w:noProof/>
        </w:rPr>
        <w:t>16</w:t>
      </w:r>
      <w:r w:rsidRPr="00BF0BF1">
        <w:rPr>
          <w:noProof/>
        </w:rPr>
        <w:fldChar w:fldCharType="end"/>
      </w:r>
      <w:r w:rsidRPr="00BF0BF1">
        <w:t xml:space="preserve">.  In Poland, same-sex couples, in the absence of official recognition, are mere </w:t>
      </w:r>
      <w:r w:rsidRPr="00BF0BF1">
        <w:rPr>
          <w:i/>
          <w:iCs/>
        </w:rPr>
        <w:t>de facto</w:t>
      </w:r>
      <w:r w:rsidRPr="00BF0BF1">
        <w:t xml:space="preserve"> unions, even if – as in the applicant</w:t>
      </w:r>
      <w:r w:rsidRPr="00BF0BF1">
        <w:t>’</w:t>
      </w:r>
      <w:r w:rsidRPr="00BF0BF1">
        <w:t xml:space="preserve">s case – a valid marriage has been contracted abroad. Same-sex partners are not able to rely on the existence of their relationship in dealings with the judicial or administrative authorities (see </w:t>
      </w:r>
      <w:r w:rsidRPr="00BF0BF1">
        <w:rPr>
          <w:i/>
          <w:iCs/>
        </w:rPr>
        <w:t>Przybyszewska</w:t>
      </w:r>
      <w:r w:rsidRPr="00BF0BF1">
        <w:rPr>
          <w:i/>
          <w:iCs/>
        </w:rPr>
        <w:t xml:space="preserve"> and Others</w:t>
      </w:r>
      <w:r w:rsidRPr="00BF0BF1">
        <w:t>, cited above, § 113). The Court reiterates that the need to apply to the domestic courts for protection of their couple</w:t>
      </w:r>
      <w:r w:rsidRPr="00BF0BF1">
        <w:t>’</w:t>
      </w:r>
      <w:r w:rsidRPr="00BF0BF1">
        <w:t>s ordinary needs is in itself an obstacle to respect for their private and family life. In the case at hand, the applicant who had married a British national felt prevented from returning to Poland where his husband and him would receive no legal protection as a couple.</w:t>
      </w:r>
    </w:p>
    <w:p w:rsidRPr="00BF0BF1" w:rsidR="00D26BB1" w:rsidP="00BF0BF1" w14:paraId="45505FB5" w14:textId="0AC0A47F">
      <w:pPr>
        <w:pStyle w:val="JuPara"/>
      </w:pPr>
      <w:r w:rsidRPr="00BF0BF1">
        <w:fldChar w:fldCharType="begin"/>
      </w:r>
      <w:r w:rsidRPr="00BF0BF1">
        <w:instrText xml:space="preserve"> SEQ level0 \*arabic \* MERGEFORMAT </w:instrText>
      </w:r>
      <w:r w:rsidRPr="00BF0BF1">
        <w:fldChar w:fldCharType="separate"/>
      </w:r>
      <w:r w:rsidRPr="00BF0BF1">
        <w:rPr>
          <w:noProof/>
        </w:rPr>
        <w:t>17</w:t>
      </w:r>
      <w:r w:rsidRPr="00BF0BF1">
        <w:rPr>
          <w:noProof/>
        </w:rPr>
        <w:fldChar w:fldCharType="end"/>
      </w:r>
      <w:r w:rsidRPr="00BF0BF1">
        <w:t>.  Referring to the findings already established by the Court in respect of Poland in the cases indicated above, it thus concludes that by failing to ensure that the applicant has a specific legal framework providing for recognition and protection, the Polish authorities have left him in a legal vacuum and have not provided for the core needs of recognition and protection of same-sex couples in a stable and committed relationship. The</w:t>
      </w:r>
      <w:r w:rsidRPr="00BF0BF1" w:rsidR="002D6B83">
        <w:t> </w:t>
      </w:r>
      <w:r w:rsidRPr="00BF0BF1">
        <w:t>Court finds that none of the public interest grounds put forward by the Government prevail over the applicant</w:t>
      </w:r>
      <w:r w:rsidRPr="00BF0BF1">
        <w:t>’</w:t>
      </w:r>
      <w:r w:rsidRPr="00BF0BF1">
        <w:t>s interest in having his relationship adequately recognised and protected by law.</w:t>
      </w:r>
    </w:p>
    <w:p w:rsidRPr="00BF0BF1" w:rsidR="00D26BB1" w:rsidP="00BF0BF1" w14:paraId="2AE15326" w14:textId="3448CE9C">
      <w:pPr>
        <w:pStyle w:val="JuPara"/>
      </w:pPr>
      <w:r w:rsidRPr="00BF0BF1">
        <w:fldChar w:fldCharType="begin"/>
      </w:r>
      <w:r w:rsidRPr="00BF0BF1">
        <w:instrText xml:space="preserve"> SEQ level0 \*arabic \* MERGEFORMAT </w:instrText>
      </w:r>
      <w:r w:rsidRPr="00BF0BF1">
        <w:fldChar w:fldCharType="separate"/>
      </w:r>
      <w:r w:rsidRPr="00BF0BF1">
        <w:rPr>
          <w:noProof/>
        </w:rPr>
        <w:t>18</w:t>
      </w:r>
      <w:r w:rsidRPr="00BF0BF1">
        <w:rPr>
          <w:noProof/>
        </w:rPr>
        <w:fldChar w:fldCharType="end"/>
      </w:r>
      <w:r w:rsidRPr="00BF0BF1">
        <w:t>.  The Court notes that member States have a more extensive margin of appreciation in determining the exact nature of the legal regime to be made available to same-sex couples. However, it is important that the protection afforded by the States to same-sex couples should be adequate. It is in the latter context that Poland</w:t>
      </w:r>
      <w:r w:rsidRPr="00BF0BF1">
        <w:t>’</w:t>
      </w:r>
      <w:r w:rsidRPr="00BF0BF1">
        <w:t xml:space="preserve">s social and cultural background may be </w:t>
      </w:r>
      <w:r w:rsidRPr="00BF0BF1">
        <w:t>taken into account</w:t>
      </w:r>
      <w:r w:rsidRPr="00BF0BF1">
        <w:t>.</w:t>
      </w:r>
    </w:p>
    <w:p w:rsidRPr="00BF0BF1" w:rsidR="00D26BB1" w:rsidP="00BF0BF1" w14:paraId="213F9CD7" w14:textId="5619EF4A">
      <w:pPr>
        <w:pStyle w:val="JuPara"/>
      </w:pPr>
      <w:r w:rsidRPr="00BF0BF1">
        <w:fldChar w:fldCharType="begin"/>
      </w:r>
      <w:r w:rsidRPr="00BF0BF1">
        <w:instrText xml:space="preserve"> SEQ level0 \*arabic \* MERGEFORMAT </w:instrText>
      </w:r>
      <w:r w:rsidRPr="00BF0BF1">
        <w:fldChar w:fldCharType="separate"/>
      </w:r>
      <w:r w:rsidRPr="00BF0BF1">
        <w:rPr>
          <w:noProof/>
        </w:rPr>
        <w:t>19</w:t>
      </w:r>
      <w:r w:rsidRPr="00BF0BF1">
        <w:rPr>
          <w:noProof/>
        </w:rPr>
        <w:fldChar w:fldCharType="end"/>
      </w:r>
      <w:r w:rsidRPr="00BF0BF1">
        <w:t>.  The Court concludes that the respondent State has overstepped its margin of appreciation and has failed to comply with its positive obligation to ensure that the applicant had a specific legal framework providing for the recognition and protection of his same-sex union. This amounts to a breach of the applicant</w:t>
      </w:r>
      <w:r w:rsidRPr="00BF0BF1">
        <w:t>’</w:t>
      </w:r>
      <w:r w:rsidRPr="00BF0BF1">
        <w:t>s right to respect for his private and family life.</w:t>
      </w:r>
    </w:p>
    <w:p w:rsidRPr="00BF0BF1" w:rsidR="00D26BB1" w:rsidP="00BF0BF1" w14:paraId="2070BB40" w14:textId="275F234E">
      <w:pPr>
        <w:pStyle w:val="JuPara"/>
      </w:pPr>
      <w:r w:rsidRPr="00BF0BF1">
        <w:fldChar w:fldCharType="begin"/>
      </w:r>
      <w:r w:rsidRPr="00BF0BF1">
        <w:instrText xml:space="preserve"> SEQ level0 \*arabic \* MERGEFORMAT </w:instrText>
      </w:r>
      <w:r w:rsidRPr="00BF0BF1">
        <w:fldChar w:fldCharType="separate"/>
      </w:r>
      <w:r w:rsidRPr="00BF0BF1">
        <w:rPr>
          <w:noProof/>
        </w:rPr>
        <w:t>20</w:t>
      </w:r>
      <w:r w:rsidRPr="00BF0BF1">
        <w:rPr>
          <w:noProof/>
        </w:rPr>
        <w:fldChar w:fldCharType="end"/>
      </w:r>
      <w:r w:rsidRPr="00BF0BF1">
        <w:t>.  The Court finally notes that the refusal to register the applicant</w:t>
      </w:r>
      <w:r w:rsidRPr="00BF0BF1">
        <w:t>’</w:t>
      </w:r>
      <w:r w:rsidRPr="00BF0BF1">
        <w:t xml:space="preserve">s marriage did not deprive him of any rights previously recognised in Poland (had there been any), and that the applicant could still benefit, in the State where he contracted marriage, from the rights and obligations acquired through such marriage (see </w:t>
      </w:r>
      <w:r w:rsidRPr="00BF0BF1">
        <w:rPr>
          <w:i/>
          <w:iCs/>
        </w:rPr>
        <w:t>Orlandi</w:t>
      </w:r>
      <w:r w:rsidRPr="00BF0BF1">
        <w:rPr>
          <w:i/>
          <w:iCs/>
        </w:rPr>
        <w:t xml:space="preserve"> and Others v. Italy, </w:t>
      </w:r>
      <w:r w:rsidRPr="00BF0BF1">
        <w:t xml:space="preserve">nos. 26431/12 and 3 others, § 208, 14 December 2017, where some applicants apparently also resided outside Italy (§ 119)). The Court notes that in the proceedings before the Polish authorities instituted by the applicant, his marriage had not been registered, not on the ground that he had resided abroad, but because Polish law did not provide for such a possibility. The Court considers that the applicant may be considered as member of a class of people who risk being directly affected by the Polish legislation which offers no recognition and </w:t>
      </w:r>
      <w:r w:rsidRPr="00BF0BF1">
        <w:t xml:space="preserve">protection to same-sex couples, and he was required to modify his conduct, and find an alternative way of obtaining legal protection and recognition as a couple (see </w:t>
      </w:r>
      <w:bookmarkStart w:name="_cl37524THECOURTSASSESSMENT" w:id="1"/>
      <w:r w:rsidRPr="00BF0BF1">
        <w:rPr>
          <w:i/>
          <w:iCs/>
        </w:rPr>
        <w:t>Tănase</w:t>
      </w:r>
      <w:r w:rsidRPr="00BF0BF1">
        <w:rPr>
          <w:i/>
          <w:iCs/>
        </w:rPr>
        <w:t xml:space="preserve"> v. Moldova</w:t>
      </w:r>
      <w:bookmarkEnd w:id="1"/>
      <w:r w:rsidRPr="00BF0BF1">
        <w:t xml:space="preserve"> [GC], no. 7/08, § 104, ECHR 2010). The</w:t>
      </w:r>
      <w:r w:rsidRPr="00BF0BF1" w:rsidR="007A59F4">
        <w:t> </w:t>
      </w:r>
      <w:r w:rsidRPr="00BF0BF1">
        <w:t>failure that has already been established on the part of Poland to provide the applicant</w:t>
      </w:r>
      <w:r w:rsidRPr="00BF0BF1">
        <w:t>’</w:t>
      </w:r>
      <w:r w:rsidRPr="00BF0BF1">
        <w:t>s same-sex union with recognition and protection continues to affect the applicant, a Polish national, even though his current place of residence is not in Poland. The Government</w:t>
      </w:r>
      <w:r w:rsidRPr="00BF0BF1">
        <w:t>’</w:t>
      </w:r>
      <w:r w:rsidRPr="00BF0BF1">
        <w:t xml:space="preserve">s preliminary objections regarding him suffering no significant disadvantage and his lack of victim status (see paragraph </w:t>
      </w:r>
      <w:r w:rsidRPr="00BF0BF1">
        <w:fldChar w:fldCharType="begin"/>
      </w:r>
      <w:r w:rsidRPr="00BF0BF1">
        <w:instrText xml:space="preserve"> REF joinder \h  \* MERGEFORMAT </w:instrText>
      </w:r>
      <w:r w:rsidRPr="00BF0BF1">
        <w:fldChar w:fldCharType="separate"/>
      </w:r>
      <w:r w:rsidRPr="00BF0BF1">
        <w:t>8</w:t>
      </w:r>
      <w:r w:rsidRPr="00BF0BF1">
        <w:fldChar w:fldCharType="end"/>
      </w:r>
      <w:r w:rsidRPr="00BF0BF1">
        <w:t xml:space="preserve"> above) must therefore be dismissed.</w:t>
      </w:r>
    </w:p>
    <w:p w:rsidRPr="00BF0BF1" w:rsidR="00D26BB1" w:rsidP="00BF0BF1" w14:paraId="1FCC433E" w14:textId="35698839">
      <w:pPr>
        <w:pStyle w:val="JuPara"/>
      </w:pPr>
      <w:r w:rsidRPr="00BF0BF1">
        <w:fldChar w:fldCharType="begin"/>
      </w:r>
      <w:r w:rsidRPr="00BF0BF1">
        <w:instrText xml:space="preserve"> SEQ level0 \*arabic \* MERGEFO</w:instrText>
      </w:r>
      <w:r w:rsidRPr="00BF0BF1">
        <w:instrText xml:space="preserve">RMAT </w:instrText>
      </w:r>
      <w:r w:rsidRPr="00BF0BF1">
        <w:fldChar w:fldCharType="separate"/>
      </w:r>
      <w:r w:rsidRPr="00BF0BF1">
        <w:rPr>
          <w:noProof/>
        </w:rPr>
        <w:t>21</w:t>
      </w:r>
      <w:r w:rsidRPr="00BF0BF1">
        <w:rPr>
          <w:noProof/>
        </w:rPr>
        <w:fldChar w:fldCharType="end"/>
      </w:r>
      <w:r w:rsidRPr="00BF0BF1">
        <w:t>.  There has accordingly been a violation of Article 8 of the Convention.</w:t>
      </w:r>
    </w:p>
    <w:p w:rsidRPr="00BF0BF1" w:rsidR="00D26BB1" w:rsidP="00BF0BF1" w14:paraId="7A3C75D1" w14:textId="77777777">
      <w:pPr>
        <w:pStyle w:val="JuHIRoman"/>
      </w:pPr>
      <w:r w:rsidRPr="00BF0BF1">
        <w:t>ALLEGED VIOLATION OF ARTICLE 14 OF THE CONVENTION TAKEN IN CONJUNCTION WITH ARTICLE 8</w:t>
      </w:r>
    </w:p>
    <w:p w:rsidRPr="00BF0BF1" w:rsidR="00D26BB1" w:rsidP="00BF0BF1" w14:paraId="7C80BA06" w14:textId="1F453441">
      <w:pPr>
        <w:pStyle w:val="JuPara"/>
      </w:pPr>
      <w:r w:rsidRPr="00BF0BF1">
        <w:fldChar w:fldCharType="begin"/>
      </w:r>
      <w:r w:rsidRPr="00BF0BF1">
        <w:instrText xml:space="preserve"> SEQ level0 \*arabic </w:instrText>
      </w:r>
      <w:r w:rsidRPr="00BF0BF1">
        <w:fldChar w:fldCharType="separate"/>
      </w:r>
      <w:r w:rsidRPr="00BF0BF1" w:rsidR="00BF0BF1">
        <w:rPr>
          <w:noProof/>
        </w:rPr>
        <w:t>22</w:t>
      </w:r>
      <w:r w:rsidRPr="00BF0BF1">
        <w:fldChar w:fldCharType="end"/>
      </w:r>
      <w:r w:rsidRPr="00BF0BF1">
        <w:t>.  The applicant further alleged that the fact that he was unable to secure legal recognition of his relationship amounted to discrimination on grounds of sexual orientation. He relied on Article 14 of the Convention taken in conjunction with Article 8.</w:t>
      </w:r>
    </w:p>
    <w:p w:rsidRPr="00BF0BF1" w:rsidR="00D26BB1" w:rsidP="00BF0BF1" w14:paraId="716D75FB" w14:textId="5C4848DD">
      <w:pPr>
        <w:pStyle w:val="JuPara"/>
      </w:pPr>
      <w:r w:rsidRPr="00BF0BF1">
        <w:fldChar w:fldCharType="begin"/>
      </w:r>
      <w:r w:rsidRPr="00BF0BF1">
        <w:instrText xml:space="preserve"> SEQ level0 \*arabic \* MERGEFORMAT </w:instrText>
      </w:r>
      <w:r w:rsidRPr="00BF0BF1">
        <w:fldChar w:fldCharType="separate"/>
      </w:r>
      <w:r w:rsidRPr="00BF0BF1">
        <w:rPr>
          <w:noProof/>
        </w:rPr>
        <w:t>23</w:t>
      </w:r>
      <w:r w:rsidRPr="00BF0BF1">
        <w:rPr>
          <w:noProof/>
        </w:rPr>
        <w:fldChar w:fldCharType="end"/>
      </w:r>
      <w:r w:rsidRPr="00BF0BF1">
        <w:t>.  Having regard to its finding under Article 8, the Court considers that it is not necessary to examine separately whether, in this case, there has also been a violation of Article 14 in conjunction with Article 8 (see</w:t>
      </w:r>
      <w:r w:rsidRPr="00BF0BF1">
        <w:rPr>
          <w:i/>
          <w:iCs/>
        </w:rPr>
        <w:t> </w:t>
      </w:r>
      <w:r w:rsidRPr="00BF0BF1">
        <w:rPr>
          <w:i/>
          <w:iCs/>
        </w:rPr>
        <w:t>Przybyszewska</w:t>
      </w:r>
      <w:r w:rsidRPr="00BF0BF1">
        <w:rPr>
          <w:i/>
          <w:iCs/>
        </w:rPr>
        <w:t xml:space="preserve"> and Others</w:t>
      </w:r>
      <w:r w:rsidRPr="00BF0BF1">
        <w:t>, cited above, § 126).</w:t>
      </w:r>
    </w:p>
    <w:p w:rsidRPr="00BF0BF1" w:rsidR="00D26BB1" w:rsidP="00BF0BF1" w14:paraId="0F541D7D" w14:textId="77777777">
      <w:pPr>
        <w:pStyle w:val="JuHHead"/>
      </w:pPr>
      <w:r w:rsidRPr="00BF0BF1">
        <w:rPr>
          <w:caps w:val="0"/>
        </w:rPr>
        <w:t>APPLICATION OF ARTICLE 41 OF THE CONVENTION</w:t>
      </w:r>
    </w:p>
    <w:p w:rsidRPr="00BF0BF1" w:rsidR="00D26BB1" w:rsidP="00BF0BF1" w14:paraId="28FC0F44" w14:textId="5BA3859B">
      <w:pPr>
        <w:pStyle w:val="JuPara"/>
      </w:pPr>
      <w:r w:rsidRPr="00BF0BF1">
        <w:fldChar w:fldCharType="begin"/>
      </w:r>
      <w:r w:rsidRPr="00BF0BF1">
        <w:instrText xml:space="preserve"> SEQ level0 \*arabic \* MERGEFORMAT </w:instrText>
      </w:r>
      <w:r w:rsidRPr="00BF0BF1">
        <w:fldChar w:fldCharType="separate"/>
      </w:r>
      <w:r w:rsidRPr="00BF0BF1">
        <w:rPr>
          <w:noProof/>
        </w:rPr>
        <w:t>24</w:t>
      </w:r>
      <w:r w:rsidRPr="00BF0BF1">
        <w:rPr>
          <w:noProof/>
        </w:rPr>
        <w:fldChar w:fldCharType="end"/>
      </w:r>
      <w:r w:rsidRPr="00BF0BF1">
        <w:t>.  The applicant sought 10,000 euros (EUR) in respect of non</w:t>
      </w:r>
      <w:r w:rsidRPr="00BF0BF1">
        <w:noBreakHyphen/>
        <w:t>pecuniary damage. He also claimed EUR 1,588 for costs and expenses incurred before the domestic authorities.</w:t>
      </w:r>
    </w:p>
    <w:p w:rsidRPr="00BF0BF1" w:rsidR="00D26BB1" w:rsidP="00BF0BF1" w14:paraId="68E268C9" w14:textId="7CD0D944">
      <w:pPr>
        <w:pStyle w:val="JuPara"/>
      </w:pPr>
      <w:r w:rsidRPr="00BF0BF1">
        <w:fldChar w:fldCharType="begin"/>
      </w:r>
      <w:r w:rsidRPr="00BF0BF1">
        <w:instrText xml:space="preserve"> SEQ level0 \*arabic \* MERGEFORMAT </w:instrText>
      </w:r>
      <w:r w:rsidRPr="00BF0BF1">
        <w:fldChar w:fldCharType="separate"/>
      </w:r>
      <w:r w:rsidRPr="00BF0BF1">
        <w:rPr>
          <w:noProof/>
        </w:rPr>
        <w:t>25</w:t>
      </w:r>
      <w:r w:rsidRPr="00BF0BF1">
        <w:rPr>
          <w:noProof/>
        </w:rPr>
        <w:fldChar w:fldCharType="end"/>
      </w:r>
      <w:r w:rsidRPr="00BF0BF1">
        <w:t>.  The Government contested the claims as unsubstantiated and excessive.</w:t>
      </w:r>
    </w:p>
    <w:p w:rsidRPr="00BF0BF1" w:rsidR="00D26BB1" w:rsidP="00BF0BF1" w14:paraId="50DAD2FE" w14:textId="4C3F307D">
      <w:pPr>
        <w:pStyle w:val="JuPara"/>
      </w:pPr>
      <w:r w:rsidRPr="00BF0BF1">
        <w:fldChar w:fldCharType="begin"/>
      </w:r>
      <w:r w:rsidRPr="00BF0BF1">
        <w:instrText xml:space="preserve"> SEQ level0 \*arabic \* MERGEFORMAT </w:instrText>
      </w:r>
      <w:r w:rsidRPr="00BF0BF1">
        <w:fldChar w:fldCharType="separate"/>
      </w:r>
      <w:r w:rsidRPr="00BF0BF1">
        <w:rPr>
          <w:noProof/>
        </w:rPr>
        <w:t>26</w:t>
      </w:r>
      <w:r w:rsidRPr="00BF0BF1">
        <w:rPr>
          <w:noProof/>
        </w:rPr>
        <w:fldChar w:fldCharType="end"/>
      </w:r>
      <w:r w:rsidRPr="00BF0BF1">
        <w:t>.  Having regard to the circumstances of the case, the Court considers that the finding of a violation constitutes in itself sufficient just satisfaction for any non-pecuniary damage that may have been sustained by the applicant (see</w:t>
      </w:r>
      <w:r w:rsidRPr="00BF0BF1">
        <w:t xml:space="preserve"> </w:t>
      </w:r>
      <w:r w:rsidRPr="00BF0BF1">
        <w:rPr>
          <w:i/>
          <w:iCs/>
        </w:rPr>
        <w:t>Fedotova and Others</w:t>
      </w:r>
      <w:r w:rsidRPr="00BF0BF1">
        <w:t>, cited above, § 235).</w:t>
      </w:r>
    </w:p>
    <w:p w:rsidRPr="00BF0BF1" w:rsidR="00D26BB1" w:rsidP="00BF0BF1" w14:paraId="75DD2A4B" w14:textId="641FF7FD">
      <w:pPr>
        <w:pStyle w:val="JuPara"/>
      </w:pPr>
      <w:r>
        <w:fldChar w:fldCharType="begin"/>
      </w:r>
      <w:r>
        <w:instrText xml:space="preserve"> SEQ level0 \*arabic \* MERGEFORMAT </w:instrText>
      </w:r>
      <w:r>
        <w:fldChar w:fldCharType="separate"/>
      </w:r>
      <w:r w:rsidRPr="00BF0BF1" w:rsidR="00BF0BF1">
        <w:rPr>
          <w:noProof/>
        </w:rPr>
        <w:t>27</w:t>
      </w:r>
      <w:r w:rsidRPr="00BF0BF1" w:rsidR="00BF0BF1">
        <w:rPr>
          <w:noProof/>
        </w:rPr>
        <w:fldChar w:fldCharType="end"/>
      </w:r>
      <w:r w:rsidRPr="00BF0BF1" w:rsidR="00CA4FB2">
        <w:t>.  </w:t>
      </w:r>
      <w:r w:rsidRPr="00BF0BF1">
        <w:t>Having regard to the documents in its possession, the Court considers it reasonable to award EUR 1,000, to cover costs claimed by the applicant, plus any tax that may be chargeable.</w:t>
      </w:r>
    </w:p>
    <w:p w:rsidRPr="00BF0BF1" w:rsidR="00D26BB1" w:rsidP="00BF0BF1" w14:paraId="40AC7F26" w14:textId="14F74C48">
      <w:pPr>
        <w:pStyle w:val="JuHHead"/>
      </w:pPr>
      <w:r w:rsidRPr="00BF0BF1">
        <w:t>FOR THESE REASONS, THE COURT, UNANIMOUSLY,</w:t>
      </w:r>
    </w:p>
    <w:p w:rsidRPr="00BF0BF1" w:rsidR="00D26BB1" w:rsidP="00BF0BF1" w14:paraId="3496B10B" w14:textId="77777777">
      <w:pPr>
        <w:pStyle w:val="JuList"/>
        <w:numPr>
          <w:ilvl w:val="0"/>
          <w:numId w:val="2"/>
        </w:numPr>
      </w:pPr>
      <w:r w:rsidRPr="00BF0BF1">
        <w:rPr>
          <w:i/>
        </w:rPr>
        <w:t>Declares</w:t>
      </w:r>
      <w:r w:rsidRPr="00BF0BF1">
        <w:t xml:space="preserve"> the complaint under Article 8 of the Convention admissible;</w:t>
      </w:r>
    </w:p>
    <w:p w:rsidRPr="00BF0BF1" w:rsidR="00D26BB1" w:rsidP="00BF0BF1" w14:paraId="1412BD7A" w14:textId="77777777">
      <w:pPr>
        <w:pStyle w:val="JuList"/>
        <w:numPr>
          <w:ilvl w:val="0"/>
          <w:numId w:val="2"/>
        </w:numPr>
      </w:pPr>
      <w:r w:rsidRPr="00BF0BF1">
        <w:rPr>
          <w:i/>
        </w:rPr>
        <w:t>Holds</w:t>
      </w:r>
      <w:r w:rsidRPr="00BF0BF1">
        <w:t xml:space="preserve"> that there has been a violation of Article 8 of the Convention;</w:t>
      </w:r>
    </w:p>
    <w:p w:rsidRPr="00BF0BF1" w:rsidR="00D26BB1" w:rsidP="00BF0BF1" w14:paraId="2DFBB9ED" w14:textId="77777777">
      <w:pPr>
        <w:pStyle w:val="JuList"/>
        <w:numPr>
          <w:ilvl w:val="0"/>
          <w:numId w:val="2"/>
        </w:numPr>
      </w:pPr>
      <w:r w:rsidRPr="00BF0BF1">
        <w:rPr>
          <w:i/>
        </w:rPr>
        <w:t xml:space="preserve">Holds </w:t>
      </w:r>
      <w:r w:rsidRPr="00BF0BF1">
        <w:t>that there is no need to examine the admissibility and merits of the complaint under Article 14 of the Convention taken in conjunction with Article 8 of the Convention;</w:t>
      </w:r>
    </w:p>
    <w:p w:rsidRPr="00BF0BF1" w:rsidR="00D26BB1" w:rsidP="00BF0BF1" w14:paraId="2D189350" w14:textId="77777777">
      <w:pPr>
        <w:pStyle w:val="JuList"/>
        <w:numPr>
          <w:ilvl w:val="0"/>
          <w:numId w:val="2"/>
        </w:numPr>
      </w:pPr>
      <w:r w:rsidRPr="00BF0BF1">
        <w:rPr>
          <w:i/>
        </w:rPr>
        <w:t>Holds</w:t>
      </w:r>
      <w:r w:rsidRPr="00BF0BF1">
        <w:rPr>
          <w:color w:val="000000"/>
        </w:rPr>
        <w:t xml:space="preserve"> </w:t>
      </w:r>
      <w:r w:rsidRPr="00BF0BF1">
        <w:t>that the finding of a violation constitutes in itself sufficient just satisfaction for any non-pecuniary damage sustained by the applicant;</w:t>
      </w:r>
    </w:p>
    <w:p w:rsidRPr="00BF0BF1" w:rsidR="00E058BA" w:rsidP="00BF0BF1" w14:paraId="310BB36F" w14:textId="77777777">
      <w:pPr>
        <w:pStyle w:val="JuList"/>
        <w:numPr>
          <w:ilvl w:val="0"/>
          <w:numId w:val="2"/>
        </w:numPr>
      </w:pPr>
      <w:r w:rsidRPr="00BF0BF1">
        <w:rPr>
          <w:i/>
          <w:iCs/>
        </w:rPr>
        <w:t>Holds</w:t>
      </w:r>
    </w:p>
    <w:p w:rsidRPr="00BF0BF1" w:rsidR="00D26BB1" w:rsidP="00BF0BF1" w14:paraId="5B0B2CC3" w14:textId="5074EF43">
      <w:pPr>
        <w:pStyle w:val="JuLista"/>
      </w:pPr>
      <w:r w:rsidRPr="00BF0BF1">
        <w:rPr>
          <w:i/>
          <w:iCs/>
        </w:rPr>
        <w:t xml:space="preserve"> </w:t>
      </w:r>
      <w:r w:rsidRPr="00BF0BF1">
        <w:t>that the respondent State is to pay the applicant, within three months, EUR 1,000 (one thousand euros), plus any tax that may be chargeable to him, in respect of costs and expenses, to be converted into the currency of the respondent State at the rate applicable at the date of settlement</w:t>
      </w:r>
      <w:r w:rsidRPr="00BF0BF1">
        <w:rPr>
          <w:bCs/>
        </w:rPr>
        <w:t>;</w:t>
      </w:r>
    </w:p>
    <w:p w:rsidRPr="00BF0BF1" w:rsidR="00D26BB1" w:rsidP="00BF0BF1" w14:paraId="56C12B4D" w14:textId="77777777">
      <w:pPr>
        <w:pStyle w:val="JuLista"/>
      </w:pPr>
      <w:r w:rsidRPr="00BF0BF1">
        <w:t>that from the expiry of the above-mentioned three months until settlement simple interest shall be payable on the above amount at a rate equal to the marginal lending rate of the European Central Bank during the default period plus three percentage points;</w:t>
      </w:r>
    </w:p>
    <w:p w:rsidRPr="00BF0BF1" w:rsidR="004D0EC7" w:rsidP="00BF0BF1" w14:paraId="4BA7097B" w14:textId="58FAE46D">
      <w:pPr>
        <w:pStyle w:val="JuList"/>
      </w:pPr>
      <w:r w:rsidRPr="00BF0BF1">
        <w:rPr>
          <w:i/>
        </w:rPr>
        <w:t xml:space="preserve">Dismisses </w:t>
      </w:r>
      <w:r w:rsidRPr="00BF0BF1">
        <w:t>the remainder of the applicant</w:t>
      </w:r>
      <w:r w:rsidRPr="00BF0BF1" w:rsidR="00BF0BF1">
        <w:t>’</w:t>
      </w:r>
      <w:r w:rsidRPr="00BF0BF1">
        <w:t>s claim for just satisfaction.</w:t>
      </w:r>
    </w:p>
    <w:p w:rsidRPr="00BF0BF1" w:rsidR="008E3A08" w:rsidP="00BF0BF1" w14:paraId="62238BB9" w14:textId="12D7E41A">
      <w:pPr>
        <w:pStyle w:val="JuParaLast"/>
      </w:pPr>
      <w:r w:rsidRPr="00BF0BF1">
        <w:t xml:space="preserve">Done in English, and notified in writing on </w:t>
      </w:r>
      <w:r w:rsidRPr="00BF0BF1" w:rsidR="00D26BB1">
        <w:rPr>
          <w:rFonts w:ascii="Times New Roman" w:hAnsi="Times New Roman" w:cs="Times New Roman"/>
        </w:rPr>
        <w:t>24 April 2025</w:t>
      </w:r>
      <w:r w:rsidRPr="00BF0BF1">
        <w:t>, pursuant to Rule 77 §§ 2 and 3 of the Rules of Court.</w:t>
      </w:r>
    </w:p>
    <w:p w:rsidRPr="00BF0BF1" w:rsidR="007E79A4" w:rsidP="00BF0BF1" w14:paraId="08B42276" w14:textId="1E2459A6">
      <w:pPr>
        <w:pStyle w:val="ECHRPlaceholder"/>
        <w:rPr>
          <w:szCs w:val="22"/>
        </w:rPr>
      </w:pPr>
      <w:r w:rsidRPr="00BF0BF1">
        <w:tab/>
      </w:r>
    </w:p>
    <w:p w:rsidRPr="00BF0BF1" w:rsidR="00182EBA" w:rsidP="00BF0BF1" w14:paraId="2E48DB66" w14:textId="77FA979F">
      <w:pPr>
        <w:pStyle w:val="JuSigned"/>
      </w:pPr>
      <w:r w:rsidRPr="00BF0BF1">
        <w:tab/>
      </w:r>
      <w:r w:rsidRPr="00BF0BF1" w:rsidR="00D26BB1">
        <w:rPr>
          <w:noProof/>
        </w:rPr>
        <w:t>Liv Tigerstedt</w:t>
      </w:r>
      <w:r w:rsidRPr="00BF0BF1">
        <w:tab/>
      </w:r>
      <w:r w:rsidRPr="00BF0BF1" w:rsidR="00D26BB1">
        <w:rPr>
          <w:noProof/>
        </w:rPr>
        <w:t>Erik Wennerström</w:t>
      </w:r>
      <w:r w:rsidRPr="00BF0BF1">
        <w:br/>
      </w:r>
      <w:r w:rsidRPr="00BF0BF1">
        <w:tab/>
      </w:r>
      <w:r w:rsidRPr="00BF0BF1" w:rsidR="00D26BB1">
        <w:rPr>
          <w:noProof/>
        </w:rPr>
        <w:t>Deputy Registrar</w:t>
      </w:r>
      <w:r w:rsidRPr="00BF0BF1">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26BB1" w:rsidRPr="00150BFA" w:rsidP="0020718E" w14:paraId="79859BFF" w14:textId="030C0773">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D26BB1" w:rsidP="00AF12C5" w14:paraId="7DB4735F" w14:textId="004F736F">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26BB1" w:rsidRPr="00150BFA" w:rsidP="0020718E" w14:paraId="76874B80" w14:textId="5EE27539">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D26BB1" w:rsidP="009E7A6F" w14:paraId="0F455558" w14:textId="7811D342">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47747FA8" w14:textId="45586505">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7CAC8432" w14:textId="3340C237">
    <w:pPr>
      <w:pStyle w:val="JuHeader"/>
    </w:pPr>
    <w:r>
      <w:fldChar w:fldCharType="begin"/>
    </w:r>
    <w:r>
      <w:instrText xml:space="preserve"> PAGE  \* MERGEFORMAT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26BB1" w:rsidRPr="00A45145" w:rsidP="00A45145" w14:paraId="39CCC5E1" w14:textId="49873082">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D26BB1" w:rsidP="00B14793" w14:paraId="0B0469EA" w14:textId="404F9EAD">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26BB1" w:rsidRPr="00A45145" w:rsidP="00A45145" w14:paraId="2D870410" w14:textId="6F133259">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D26BB1" w14:paraId="29B37E15" w14:textId="230417D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3FD710E3" w14:textId="2D55DBE5">
    <w:pPr>
      <w:pStyle w:val="JuHeader"/>
    </w:pPr>
    <w:r>
      <w:t>ANDERSEN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45AAC46C" w14:textId="6260DBF1">
    <w:pPr>
      <w:pStyle w:val="JuHeader"/>
    </w:pPr>
    <w:r>
      <w:t>ANDERSEN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3"/>
    <w:lvlOverride w:ilvl="1">
      <w:lvl w:ilvl="1">
        <w:start w:val="1"/>
        <w:numFmt w:val="lowerLetter"/>
        <w:pStyle w:val="JuLista"/>
        <w:lvlText w:val="(%2)"/>
        <w:lvlJc w:val="left"/>
        <w:pPr>
          <w:tabs>
            <w:tab w:val="num" w:pos="680"/>
          </w:tabs>
          <w:ind w:left="680" w:hanging="340"/>
        </w:pPr>
        <w:rPr>
          <w:rFonts w:hint="default"/>
        </w:rPr>
      </w:lvl>
    </w:lvlOverride>
  </w:num>
  <w:num w:numId="2">
    <w:abstractNumId w:val="9"/>
  </w:num>
  <w:num w:numId="3">
    <w:abstractNumId w:val="14"/>
  </w:num>
  <w:num w:numId="4">
    <w:abstractNumId w:val="12"/>
  </w:num>
  <w:num w:numId="5">
    <w:abstractNumId w:val="11"/>
  </w:num>
  <w:num w:numId="6">
    <w:abstractNumId w:val="17"/>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lvlOverride w:ilvl="1">
      <w:lvl w:ilvl="1">
        <w:start w:val="1"/>
        <w:numFmt w:val="lowerLetter"/>
        <w:pStyle w:val="JuLista"/>
        <w:lvlText w:val="(%2)"/>
        <w:lvlJc w:val="left"/>
        <w:pPr>
          <w:tabs>
            <w:tab w:val="num" w:pos="680"/>
          </w:tabs>
          <w:ind w:left="680" w:hanging="340"/>
        </w:p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BB1"/>
    <w:rsid w:val="000041F8"/>
    <w:rsid w:val="000042A8"/>
    <w:rsid w:val="00004308"/>
    <w:rsid w:val="00005BF0"/>
    <w:rsid w:val="0000617D"/>
    <w:rsid w:val="00007154"/>
    <w:rsid w:val="000103AE"/>
    <w:rsid w:val="00011D69"/>
    <w:rsid w:val="00012AD3"/>
    <w:rsid w:val="00015C2D"/>
    <w:rsid w:val="00015F00"/>
    <w:rsid w:val="0001768D"/>
    <w:rsid w:val="00022C1D"/>
    <w:rsid w:val="00023832"/>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6B83"/>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59F4"/>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1CB5"/>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0BF1"/>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A4FB2"/>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BB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58BA"/>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3" w:val="P3"/>
    <w:docVar w:name="Plural" w:val="0"/>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3E522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D6B83"/>
    <w:rPr>
      <w:sz w:val="24"/>
      <w:szCs w:val="24"/>
      <w:lang w:val="en-GB"/>
    </w:rPr>
  </w:style>
  <w:style w:type="paragraph" w:styleId="Heading1">
    <w:name w:val="heading 1"/>
    <w:basedOn w:val="Normal"/>
    <w:next w:val="Normal"/>
    <w:link w:val="Heading1Char"/>
    <w:uiPriority w:val="98"/>
    <w:semiHidden/>
    <w:rsid w:val="002D6B8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D6B8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D6B8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D6B8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D6B8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D6B8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D6B8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D6B8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D6B8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D6B83"/>
    <w:rPr>
      <w:rFonts w:ascii="Tahoma" w:hAnsi="Tahoma" w:cs="Tahoma"/>
      <w:sz w:val="16"/>
      <w:szCs w:val="16"/>
    </w:rPr>
  </w:style>
  <w:style w:type="character" w:customStyle="1" w:styleId="BalloonTextChar">
    <w:name w:val="Balloon Text Char"/>
    <w:basedOn w:val="DefaultParagraphFont"/>
    <w:link w:val="BalloonText"/>
    <w:uiPriority w:val="98"/>
    <w:semiHidden/>
    <w:rsid w:val="002D6B83"/>
    <w:rPr>
      <w:rFonts w:ascii="Tahoma" w:hAnsi="Tahoma" w:cs="Tahoma"/>
      <w:sz w:val="16"/>
      <w:szCs w:val="16"/>
      <w:lang w:val="en-GB"/>
    </w:rPr>
  </w:style>
  <w:style w:type="character" w:styleId="BookTitle">
    <w:name w:val="Book Title"/>
    <w:uiPriority w:val="98"/>
    <w:semiHidden/>
    <w:qFormat/>
    <w:rsid w:val="002D6B83"/>
    <w:rPr>
      <w:i/>
      <w:iCs/>
      <w:smallCaps/>
      <w:spacing w:val="5"/>
    </w:rPr>
  </w:style>
  <w:style w:type="paragraph" w:customStyle="1" w:styleId="JuHeader">
    <w:name w:val="Ju_Header"/>
    <w:aliases w:val="_Header"/>
    <w:basedOn w:val="Header0"/>
    <w:uiPriority w:val="29"/>
    <w:qFormat/>
    <w:rsid w:val="002D6B83"/>
    <w:pPr>
      <w:tabs>
        <w:tab w:val="clear" w:pos="4536"/>
        <w:tab w:val="clear" w:pos="9072"/>
      </w:tabs>
      <w:jc w:val="center"/>
    </w:pPr>
    <w:rPr>
      <w:sz w:val="18"/>
    </w:rPr>
  </w:style>
  <w:style w:type="paragraph" w:customStyle="1" w:styleId="NormalJustified">
    <w:name w:val="Normal_Justified"/>
    <w:basedOn w:val="Normal"/>
    <w:semiHidden/>
    <w:rsid w:val="002D6B83"/>
    <w:pPr>
      <w:jc w:val="both"/>
    </w:pPr>
  </w:style>
  <w:style w:type="character" w:styleId="Strong">
    <w:name w:val="Strong"/>
    <w:uiPriority w:val="98"/>
    <w:semiHidden/>
    <w:qFormat/>
    <w:rsid w:val="002D6B83"/>
    <w:rPr>
      <w:b/>
      <w:bCs/>
    </w:rPr>
  </w:style>
  <w:style w:type="paragraph" w:styleId="NoSpacing">
    <w:name w:val="No Spacing"/>
    <w:basedOn w:val="Normal"/>
    <w:link w:val="NoSpacingChar"/>
    <w:uiPriority w:val="98"/>
    <w:semiHidden/>
    <w:qFormat/>
    <w:rsid w:val="002D6B83"/>
  </w:style>
  <w:style w:type="character" w:customStyle="1" w:styleId="NoSpacingChar">
    <w:name w:val="No Spacing Char"/>
    <w:basedOn w:val="DefaultParagraphFont"/>
    <w:link w:val="NoSpacing"/>
    <w:uiPriority w:val="98"/>
    <w:semiHidden/>
    <w:rsid w:val="002D6B83"/>
    <w:rPr>
      <w:sz w:val="24"/>
      <w:szCs w:val="24"/>
      <w:lang w:val="en-GB"/>
    </w:rPr>
  </w:style>
  <w:style w:type="paragraph" w:customStyle="1" w:styleId="JuQuot">
    <w:name w:val="Ju_Quot"/>
    <w:aliases w:val="_Quote"/>
    <w:basedOn w:val="NormalJustified"/>
    <w:uiPriority w:val="20"/>
    <w:qFormat/>
    <w:rsid w:val="002D6B83"/>
    <w:pPr>
      <w:spacing w:before="120" w:after="120"/>
      <w:ind w:left="425" w:firstLine="142"/>
    </w:pPr>
    <w:rPr>
      <w:sz w:val="20"/>
    </w:rPr>
  </w:style>
  <w:style w:type="paragraph" w:customStyle="1" w:styleId="JuList">
    <w:name w:val="Ju_List"/>
    <w:aliases w:val="_List_1"/>
    <w:basedOn w:val="NormalJustified"/>
    <w:uiPriority w:val="23"/>
    <w:qFormat/>
    <w:rsid w:val="002D6B83"/>
    <w:pPr>
      <w:numPr>
        <w:numId w:val="22"/>
      </w:numPr>
      <w:spacing w:before="280" w:after="60"/>
    </w:pPr>
  </w:style>
  <w:style w:type="paragraph" w:customStyle="1" w:styleId="JuLista">
    <w:name w:val="Ju_List_a"/>
    <w:aliases w:val="_List_2"/>
    <w:basedOn w:val="NormalJustified"/>
    <w:uiPriority w:val="23"/>
    <w:rsid w:val="002D6B83"/>
    <w:pPr>
      <w:numPr>
        <w:ilvl w:val="1"/>
        <w:numId w:val="22"/>
      </w:numPr>
    </w:pPr>
  </w:style>
  <w:style w:type="paragraph" w:customStyle="1" w:styleId="JuListi">
    <w:name w:val="Ju_List_i"/>
    <w:aliases w:val="_List_3"/>
    <w:basedOn w:val="NormalJustified"/>
    <w:uiPriority w:val="23"/>
    <w:rsid w:val="002D6B83"/>
    <w:pPr>
      <w:numPr>
        <w:ilvl w:val="2"/>
        <w:numId w:val="22"/>
      </w:numPr>
    </w:pPr>
  </w:style>
  <w:style w:type="paragraph" w:customStyle="1" w:styleId="JuHArticle">
    <w:name w:val="Ju_H_Article"/>
    <w:aliases w:val="_Title_Quote"/>
    <w:basedOn w:val="Normal"/>
    <w:next w:val="JuQuot"/>
    <w:uiPriority w:val="19"/>
    <w:qFormat/>
    <w:rsid w:val="002D6B8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D6B8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D6B8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D6B83"/>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D6B83"/>
    <w:pPr>
      <w:numPr>
        <w:numId w:val="16"/>
      </w:numPr>
    </w:pPr>
  </w:style>
  <w:style w:type="paragraph" w:customStyle="1" w:styleId="JuSigned">
    <w:name w:val="Ju_Signed"/>
    <w:aliases w:val="_Signature"/>
    <w:basedOn w:val="Normal"/>
    <w:next w:val="JuPara"/>
    <w:uiPriority w:val="31"/>
    <w:qFormat/>
    <w:rsid w:val="002D6B83"/>
    <w:pPr>
      <w:tabs>
        <w:tab w:val="center" w:pos="1418"/>
        <w:tab w:val="center" w:pos="5954"/>
      </w:tabs>
      <w:spacing w:before="720"/>
    </w:pPr>
  </w:style>
  <w:style w:type="paragraph" w:styleId="Title">
    <w:name w:val="Title"/>
    <w:basedOn w:val="Normal"/>
    <w:next w:val="Normal"/>
    <w:link w:val="TitleChar"/>
    <w:uiPriority w:val="98"/>
    <w:semiHidden/>
    <w:qFormat/>
    <w:rsid w:val="002D6B8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D6B8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D6B83"/>
    <w:pPr>
      <w:numPr>
        <w:numId w:val="17"/>
      </w:numPr>
    </w:pPr>
  </w:style>
  <w:style w:type="numbering" w:customStyle="1" w:styleId="ECHRA1StyleNumberedList">
    <w:name w:val="ECHR_A1_Style_Numbered_List"/>
    <w:basedOn w:val="NoList"/>
    <w:rsid w:val="002D6B83"/>
    <w:pPr>
      <w:numPr>
        <w:numId w:val="18"/>
      </w:numPr>
    </w:pPr>
  </w:style>
  <w:style w:type="table" w:customStyle="1" w:styleId="ECHRTable2019">
    <w:name w:val="ECHR_Table_2019"/>
    <w:basedOn w:val="TableNormal"/>
    <w:uiPriority w:val="99"/>
    <w:rsid w:val="002D6B8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D6B8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D6B83"/>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D6B83"/>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D6B83"/>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2D6B83"/>
    <w:pPr>
      <w:tabs>
        <w:tab w:val="center" w:pos="4536"/>
        <w:tab w:val="right" w:pos="9072"/>
      </w:tabs>
    </w:pPr>
  </w:style>
  <w:style w:type="character" w:customStyle="1" w:styleId="HeaderChar">
    <w:name w:val="Header Char"/>
    <w:basedOn w:val="DefaultParagraphFont"/>
    <w:link w:val="Header0"/>
    <w:uiPriority w:val="98"/>
    <w:semiHidden/>
    <w:rsid w:val="002D6B83"/>
    <w:rPr>
      <w:sz w:val="24"/>
      <w:szCs w:val="24"/>
      <w:lang w:val="en-GB"/>
    </w:rPr>
  </w:style>
  <w:style w:type="character" w:customStyle="1" w:styleId="Heading1Char">
    <w:name w:val="Heading 1 Char"/>
    <w:basedOn w:val="DefaultParagraphFont"/>
    <w:link w:val="Heading1"/>
    <w:uiPriority w:val="98"/>
    <w:semiHidden/>
    <w:rsid w:val="002D6B8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D6B83"/>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2D6B83"/>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D6B8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D6B83"/>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D6B83"/>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2D6B8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D6B83"/>
    <w:pPr>
      <w:keepNext/>
      <w:keepLines/>
      <w:spacing w:before="240" w:after="240"/>
      <w:ind w:firstLine="284"/>
    </w:pPr>
  </w:style>
  <w:style w:type="paragraph" w:customStyle="1" w:styleId="JuJudges">
    <w:name w:val="Ju_Judges"/>
    <w:aliases w:val="_Judges"/>
    <w:basedOn w:val="Normal"/>
    <w:uiPriority w:val="32"/>
    <w:qFormat/>
    <w:rsid w:val="002D6B83"/>
    <w:pPr>
      <w:tabs>
        <w:tab w:val="left" w:pos="567"/>
        <w:tab w:val="left" w:pos="1134"/>
      </w:tabs>
    </w:pPr>
  </w:style>
  <w:style w:type="character" w:customStyle="1" w:styleId="Heading4Char">
    <w:name w:val="Heading 4 Char"/>
    <w:basedOn w:val="DefaultParagraphFont"/>
    <w:link w:val="Heading4"/>
    <w:uiPriority w:val="98"/>
    <w:semiHidden/>
    <w:rsid w:val="002D6B8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D6B83"/>
    <w:pPr>
      <w:tabs>
        <w:tab w:val="center" w:pos="6407"/>
      </w:tabs>
      <w:spacing w:before="720"/>
      <w:jc w:val="right"/>
    </w:pPr>
  </w:style>
  <w:style w:type="character" w:customStyle="1" w:styleId="Heading5Char">
    <w:name w:val="Heading 5 Char"/>
    <w:basedOn w:val="DefaultParagraphFont"/>
    <w:link w:val="Heading5"/>
    <w:uiPriority w:val="98"/>
    <w:semiHidden/>
    <w:rsid w:val="002D6B8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D6B8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D6B83"/>
    <w:rPr>
      <w:caps w:val="0"/>
      <w:smallCaps/>
    </w:rPr>
  </w:style>
  <w:style w:type="character" w:styleId="SubtleEmphasis">
    <w:name w:val="Subtle Emphasis"/>
    <w:uiPriority w:val="98"/>
    <w:semiHidden/>
    <w:qFormat/>
    <w:rsid w:val="002D6B83"/>
    <w:rPr>
      <w:i/>
      <w:iCs/>
    </w:rPr>
  </w:style>
  <w:style w:type="table" w:customStyle="1" w:styleId="ECHRTable">
    <w:name w:val="ECHR_Table"/>
    <w:basedOn w:val="TableNormal"/>
    <w:rsid w:val="002D6B8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D6B8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D6B83"/>
    <w:rPr>
      <w:b/>
      <w:bCs/>
      <w:i/>
      <w:iCs/>
      <w:spacing w:val="10"/>
      <w:bdr w:val="none" w:sz="0" w:space="0" w:color="auto"/>
      <w:shd w:val="clear" w:color="auto" w:fill="auto"/>
    </w:rPr>
  </w:style>
  <w:style w:type="paragraph" w:styleId="Footer1">
    <w:name w:val="footer"/>
    <w:basedOn w:val="Normal"/>
    <w:link w:val="FooterChar"/>
    <w:uiPriority w:val="98"/>
    <w:semiHidden/>
    <w:rsid w:val="002D6B83"/>
    <w:pPr>
      <w:tabs>
        <w:tab w:val="center" w:pos="3686"/>
        <w:tab w:val="right" w:pos="7371"/>
      </w:tabs>
    </w:pPr>
  </w:style>
  <w:style w:type="character" w:customStyle="1" w:styleId="FooterChar">
    <w:name w:val="Footer Char"/>
    <w:basedOn w:val="DefaultParagraphFont"/>
    <w:link w:val="Footer1"/>
    <w:uiPriority w:val="98"/>
    <w:semiHidden/>
    <w:rsid w:val="002D6B83"/>
    <w:rPr>
      <w:sz w:val="24"/>
      <w:szCs w:val="24"/>
      <w:lang w:val="en-GB"/>
    </w:rPr>
  </w:style>
  <w:style w:type="character" w:styleId="FootnoteReference">
    <w:name w:val="footnote reference"/>
    <w:basedOn w:val="DefaultParagraphFont"/>
    <w:uiPriority w:val="98"/>
    <w:semiHidden/>
    <w:rsid w:val="002D6B83"/>
    <w:rPr>
      <w:vertAlign w:val="superscript"/>
    </w:rPr>
  </w:style>
  <w:style w:type="paragraph" w:styleId="FootnoteText">
    <w:name w:val="footnote text"/>
    <w:basedOn w:val="NormalJustified"/>
    <w:link w:val="FootnoteTextChar"/>
    <w:uiPriority w:val="98"/>
    <w:semiHidden/>
    <w:rsid w:val="002D6B83"/>
    <w:rPr>
      <w:sz w:val="20"/>
      <w:szCs w:val="20"/>
    </w:rPr>
  </w:style>
  <w:style w:type="character" w:customStyle="1" w:styleId="FootnoteTextChar">
    <w:name w:val="Footnote Text Char"/>
    <w:basedOn w:val="DefaultParagraphFont"/>
    <w:link w:val="FootnoteText"/>
    <w:uiPriority w:val="98"/>
    <w:semiHidden/>
    <w:rsid w:val="002D6B83"/>
    <w:rPr>
      <w:sz w:val="20"/>
      <w:szCs w:val="20"/>
      <w:lang w:val="en-GB"/>
    </w:rPr>
  </w:style>
  <w:style w:type="character" w:customStyle="1" w:styleId="Heading6Char">
    <w:name w:val="Heading 6 Char"/>
    <w:basedOn w:val="DefaultParagraphFont"/>
    <w:link w:val="Heading6"/>
    <w:uiPriority w:val="98"/>
    <w:semiHidden/>
    <w:rsid w:val="002D6B8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D6B8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D6B8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D6B8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D6B83"/>
    <w:rPr>
      <w:color w:val="0072BC" w:themeColor="hyperlink"/>
      <w:u w:val="single"/>
    </w:rPr>
  </w:style>
  <w:style w:type="character" w:styleId="IntenseEmphasis">
    <w:name w:val="Intense Emphasis"/>
    <w:uiPriority w:val="98"/>
    <w:semiHidden/>
    <w:qFormat/>
    <w:rsid w:val="002D6B83"/>
    <w:rPr>
      <w:b/>
      <w:bCs/>
    </w:rPr>
  </w:style>
  <w:style w:type="paragraph" w:styleId="IntenseQuote">
    <w:name w:val="Intense Quote"/>
    <w:basedOn w:val="Normal"/>
    <w:next w:val="Normal"/>
    <w:link w:val="IntenseQuoteChar"/>
    <w:uiPriority w:val="98"/>
    <w:semiHidden/>
    <w:qFormat/>
    <w:rsid w:val="002D6B8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D6B83"/>
    <w:rPr>
      <w:b/>
      <w:bCs/>
      <w:i/>
      <w:iCs/>
      <w:sz w:val="24"/>
      <w:szCs w:val="24"/>
      <w:lang w:val="en-GB" w:bidi="en-US"/>
    </w:rPr>
  </w:style>
  <w:style w:type="character" w:styleId="IntenseReference">
    <w:name w:val="Intense Reference"/>
    <w:uiPriority w:val="98"/>
    <w:semiHidden/>
    <w:qFormat/>
    <w:rsid w:val="002D6B83"/>
    <w:rPr>
      <w:smallCaps/>
      <w:spacing w:val="5"/>
      <w:u w:val="single"/>
    </w:rPr>
  </w:style>
  <w:style w:type="paragraph" w:styleId="ListParagraph">
    <w:name w:val="List Paragraph"/>
    <w:basedOn w:val="Normal"/>
    <w:uiPriority w:val="98"/>
    <w:semiHidden/>
    <w:qFormat/>
    <w:rsid w:val="002D6B83"/>
    <w:pPr>
      <w:ind w:left="720"/>
      <w:contextualSpacing/>
    </w:pPr>
  </w:style>
  <w:style w:type="table" w:customStyle="1" w:styleId="LtrTableAddress">
    <w:name w:val="Ltr_Table_Address"/>
    <w:aliases w:val="ECHR_Ltr_Table_Address"/>
    <w:basedOn w:val="TableNormal"/>
    <w:uiPriority w:val="99"/>
    <w:rsid w:val="002D6B83"/>
    <w:rPr>
      <w:sz w:val="24"/>
      <w:szCs w:val="24"/>
    </w:rPr>
    <w:tblPr>
      <w:tblInd w:w="5103" w:type="dxa"/>
    </w:tblPr>
  </w:style>
  <w:style w:type="paragraph" w:styleId="Quote0">
    <w:name w:val="Quote"/>
    <w:basedOn w:val="Normal"/>
    <w:next w:val="Normal"/>
    <w:link w:val="QuoteChar"/>
    <w:uiPriority w:val="98"/>
    <w:semiHidden/>
    <w:qFormat/>
    <w:rsid w:val="002D6B83"/>
    <w:pPr>
      <w:spacing w:before="200"/>
      <w:ind w:left="360" w:right="360"/>
    </w:pPr>
    <w:rPr>
      <w:i/>
      <w:iCs/>
      <w:lang w:bidi="en-US"/>
    </w:rPr>
  </w:style>
  <w:style w:type="character" w:customStyle="1" w:styleId="QuoteChar">
    <w:name w:val="Quote Char"/>
    <w:basedOn w:val="DefaultParagraphFont"/>
    <w:link w:val="Quote0"/>
    <w:uiPriority w:val="98"/>
    <w:semiHidden/>
    <w:rsid w:val="002D6B83"/>
    <w:rPr>
      <w:i/>
      <w:iCs/>
      <w:sz w:val="24"/>
      <w:szCs w:val="24"/>
      <w:lang w:val="en-GB" w:bidi="en-US"/>
    </w:rPr>
  </w:style>
  <w:style w:type="character" w:styleId="SubtleReference">
    <w:name w:val="Subtle Reference"/>
    <w:uiPriority w:val="98"/>
    <w:semiHidden/>
    <w:qFormat/>
    <w:rsid w:val="002D6B83"/>
    <w:rPr>
      <w:smallCaps/>
    </w:rPr>
  </w:style>
  <w:style w:type="table" w:styleId="TableGrid">
    <w:name w:val="Table Grid"/>
    <w:basedOn w:val="TableNormal"/>
    <w:uiPriority w:val="59"/>
    <w:semiHidden/>
    <w:rsid w:val="002D6B8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D6B8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D6B8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D6B8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D6B8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D6B8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D6B8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D6B8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D6B8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D6B8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D6B8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D6B8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D6B8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D6B8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D6B8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D6B8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D6B83"/>
    <w:pPr>
      <w:numPr>
        <w:numId w:val="3"/>
      </w:numPr>
    </w:pPr>
  </w:style>
  <w:style w:type="paragraph" w:customStyle="1" w:styleId="JuPara">
    <w:name w:val="Ju_Para"/>
    <w:aliases w:val="_Para"/>
    <w:basedOn w:val="NormalJustified"/>
    <w:link w:val="JuParaChar"/>
    <w:uiPriority w:val="4"/>
    <w:qFormat/>
    <w:rsid w:val="002D6B83"/>
    <w:pPr>
      <w:ind w:firstLine="284"/>
    </w:pPr>
  </w:style>
  <w:style w:type="numbering" w:styleId="1ai">
    <w:name w:val="Outline List 1"/>
    <w:basedOn w:val="NoList"/>
    <w:uiPriority w:val="99"/>
    <w:semiHidden/>
    <w:unhideWhenUsed/>
    <w:rsid w:val="002D6B83"/>
    <w:pPr>
      <w:numPr>
        <w:numId w:val="4"/>
      </w:numPr>
    </w:pPr>
  </w:style>
  <w:style w:type="table" w:customStyle="1" w:styleId="ECHRTableSimpleBox">
    <w:name w:val="ECHR_Table_Simple_Box"/>
    <w:basedOn w:val="TableNormal"/>
    <w:uiPriority w:val="99"/>
    <w:rsid w:val="002D6B8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D6B8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D6B83"/>
    <w:pPr>
      <w:numPr>
        <w:numId w:val="5"/>
      </w:numPr>
    </w:pPr>
  </w:style>
  <w:style w:type="table" w:customStyle="1" w:styleId="ECHRTableForInternalUse">
    <w:name w:val="ECHR_Table_For_Internal_Use"/>
    <w:basedOn w:val="TableNormal"/>
    <w:uiPriority w:val="99"/>
    <w:rsid w:val="002D6B8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2D6B8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D6B83"/>
  </w:style>
  <w:style w:type="paragraph" w:styleId="BlockText">
    <w:name w:val="Block Text"/>
    <w:basedOn w:val="Normal"/>
    <w:uiPriority w:val="98"/>
    <w:semiHidden/>
    <w:rsid w:val="002D6B8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D6B8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D6B83"/>
    <w:pPr>
      <w:spacing w:after="120"/>
    </w:pPr>
  </w:style>
  <w:style w:type="character" w:customStyle="1" w:styleId="BodyTextChar">
    <w:name w:val="Body Text Char"/>
    <w:basedOn w:val="DefaultParagraphFont"/>
    <w:link w:val="BodyText"/>
    <w:uiPriority w:val="98"/>
    <w:semiHidden/>
    <w:rsid w:val="002D6B83"/>
    <w:rPr>
      <w:sz w:val="24"/>
      <w:szCs w:val="24"/>
      <w:lang w:val="en-GB"/>
    </w:rPr>
  </w:style>
  <w:style w:type="table" w:customStyle="1" w:styleId="ECHRTableOddBanded">
    <w:name w:val="ECHR_Table_Odd_Banded"/>
    <w:basedOn w:val="TableNormal"/>
    <w:uiPriority w:val="99"/>
    <w:rsid w:val="002D6B8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D6B83"/>
    <w:pPr>
      <w:spacing w:after="120" w:line="480" w:lineRule="auto"/>
    </w:pPr>
  </w:style>
  <w:style w:type="table" w:customStyle="1" w:styleId="ECHRHeaderTableReduced">
    <w:name w:val="ECHR_Header_Table_Reduced"/>
    <w:basedOn w:val="TableNormal"/>
    <w:uiPriority w:val="99"/>
    <w:rsid w:val="002D6B8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D6B83"/>
    <w:pPr>
      <w:ind w:firstLine="284"/>
    </w:pPr>
    <w:rPr>
      <w:b/>
    </w:rPr>
  </w:style>
  <w:style w:type="character" w:styleId="PageNumber">
    <w:name w:val="page number"/>
    <w:uiPriority w:val="98"/>
    <w:semiHidden/>
    <w:rsid w:val="002D6B83"/>
    <w:rPr>
      <w:sz w:val="18"/>
    </w:rPr>
  </w:style>
  <w:style w:type="paragraph" w:styleId="ListBullet">
    <w:name w:val="List Bullet"/>
    <w:basedOn w:val="Normal"/>
    <w:uiPriority w:val="98"/>
    <w:semiHidden/>
    <w:rsid w:val="002D6B83"/>
    <w:pPr>
      <w:numPr>
        <w:numId w:val="6"/>
      </w:numPr>
    </w:pPr>
  </w:style>
  <w:style w:type="paragraph" w:styleId="ListBullet3">
    <w:name w:val="List Bullet 3"/>
    <w:basedOn w:val="Normal"/>
    <w:uiPriority w:val="98"/>
    <w:semiHidden/>
    <w:rsid w:val="002D6B83"/>
    <w:pPr>
      <w:numPr>
        <w:numId w:val="8"/>
      </w:numPr>
      <w:contextualSpacing/>
    </w:pPr>
  </w:style>
  <w:style w:type="character" w:customStyle="1" w:styleId="BodyText2Char">
    <w:name w:val="Body Text 2 Char"/>
    <w:basedOn w:val="DefaultParagraphFont"/>
    <w:link w:val="BodyText2"/>
    <w:uiPriority w:val="98"/>
    <w:semiHidden/>
    <w:rsid w:val="002D6B83"/>
    <w:rPr>
      <w:sz w:val="24"/>
      <w:szCs w:val="24"/>
      <w:lang w:val="en-GB"/>
    </w:rPr>
  </w:style>
  <w:style w:type="paragraph" w:styleId="BodyText3">
    <w:name w:val="Body Text 3"/>
    <w:basedOn w:val="Normal"/>
    <w:link w:val="BodyText3Char"/>
    <w:uiPriority w:val="98"/>
    <w:semiHidden/>
    <w:rsid w:val="002D6B83"/>
    <w:pPr>
      <w:spacing w:after="120"/>
    </w:pPr>
    <w:rPr>
      <w:sz w:val="16"/>
      <w:szCs w:val="16"/>
    </w:rPr>
  </w:style>
  <w:style w:type="character" w:customStyle="1" w:styleId="BodyText3Char">
    <w:name w:val="Body Text 3 Char"/>
    <w:basedOn w:val="DefaultParagraphFont"/>
    <w:link w:val="BodyText3"/>
    <w:uiPriority w:val="98"/>
    <w:semiHidden/>
    <w:rsid w:val="002D6B83"/>
    <w:rPr>
      <w:sz w:val="16"/>
      <w:szCs w:val="16"/>
      <w:lang w:val="en-GB"/>
    </w:rPr>
  </w:style>
  <w:style w:type="paragraph" w:styleId="BodyTextFirstIndent">
    <w:name w:val="Body Text First Indent"/>
    <w:basedOn w:val="BodyText"/>
    <w:link w:val="BodyTextFirstIndentChar"/>
    <w:uiPriority w:val="98"/>
    <w:semiHidden/>
    <w:rsid w:val="002D6B83"/>
    <w:pPr>
      <w:spacing w:after="0"/>
      <w:ind w:firstLine="360"/>
    </w:pPr>
  </w:style>
  <w:style w:type="character" w:customStyle="1" w:styleId="BodyTextFirstIndentChar">
    <w:name w:val="Body Text First Indent Char"/>
    <w:basedOn w:val="BodyTextChar"/>
    <w:link w:val="BodyTextFirstIndent"/>
    <w:uiPriority w:val="98"/>
    <w:semiHidden/>
    <w:rsid w:val="002D6B83"/>
    <w:rPr>
      <w:sz w:val="24"/>
      <w:szCs w:val="24"/>
      <w:lang w:val="en-GB"/>
    </w:rPr>
  </w:style>
  <w:style w:type="paragraph" w:styleId="BodyTextIndent">
    <w:name w:val="Body Text Indent"/>
    <w:basedOn w:val="Normal"/>
    <w:link w:val="BodyTextIndentChar"/>
    <w:uiPriority w:val="98"/>
    <w:semiHidden/>
    <w:rsid w:val="002D6B83"/>
    <w:pPr>
      <w:spacing w:after="120"/>
      <w:ind w:left="283"/>
    </w:pPr>
  </w:style>
  <w:style w:type="character" w:customStyle="1" w:styleId="BodyTextIndentChar">
    <w:name w:val="Body Text Indent Char"/>
    <w:basedOn w:val="DefaultParagraphFont"/>
    <w:link w:val="BodyTextIndent"/>
    <w:uiPriority w:val="98"/>
    <w:semiHidden/>
    <w:rsid w:val="002D6B83"/>
    <w:rPr>
      <w:sz w:val="24"/>
      <w:szCs w:val="24"/>
      <w:lang w:val="en-GB"/>
    </w:rPr>
  </w:style>
  <w:style w:type="paragraph" w:styleId="BodyTextFirstIndent2">
    <w:name w:val="Body Text First Indent 2"/>
    <w:basedOn w:val="BodyTextIndent"/>
    <w:link w:val="BodyTextFirstIndent2Char"/>
    <w:uiPriority w:val="98"/>
    <w:semiHidden/>
    <w:rsid w:val="002D6B8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D6B83"/>
    <w:rPr>
      <w:sz w:val="24"/>
      <w:szCs w:val="24"/>
      <w:lang w:val="en-GB"/>
    </w:rPr>
  </w:style>
  <w:style w:type="paragraph" w:styleId="BodyTextIndent2">
    <w:name w:val="Body Text Indent 2"/>
    <w:basedOn w:val="Normal"/>
    <w:link w:val="BodyTextIndent2Char"/>
    <w:uiPriority w:val="98"/>
    <w:semiHidden/>
    <w:rsid w:val="002D6B83"/>
    <w:pPr>
      <w:spacing w:after="120" w:line="480" w:lineRule="auto"/>
      <w:ind w:left="283"/>
    </w:pPr>
  </w:style>
  <w:style w:type="character" w:customStyle="1" w:styleId="BodyTextIndent2Char">
    <w:name w:val="Body Text Indent 2 Char"/>
    <w:basedOn w:val="DefaultParagraphFont"/>
    <w:link w:val="BodyTextIndent2"/>
    <w:uiPriority w:val="98"/>
    <w:semiHidden/>
    <w:rsid w:val="002D6B83"/>
    <w:rPr>
      <w:sz w:val="24"/>
      <w:szCs w:val="24"/>
      <w:lang w:val="en-GB"/>
    </w:rPr>
  </w:style>
  <w:style w:type="paragraph" w:styleId="BodyTextIndent3">
    <w:name w:val="Body Text Indent 3"/>
    <w:basedOn w:val="Normal"/>
    <w:link w:val="BodyTextIndent3Char"/>
    <w:uiPriority w:val="98"/>
    <w:semiHidden/>
    <w:rsid w:val="002D6B8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D6B83"/>
    <w:rPr>
      <w:sz w:val="16"/>
      <w:szCs w:val="16"/>
      <w:lang w:val="en-GB"/>
    </w:rPr>
  </w:style>
  <w:style w:type="paragraph" w:styleId="Caption">
    <w:name w:val="caption"/>
    <w:basedOn w:val="Normal"/>
    <w:next w:val="Normal"/>
    <w:uiPriority w:val="98"/>
    <w:semiHidden/>
    <w:qFormat/>
    <w:rsid w:val="002D6B83"/>
    <w:pPr>
      <w:spacing w:after="200"/>
    </w:pPr>
    <w:rPr>
      <w:b/>
      <w:bCs/>
      <w:color w:val="0072BC" w:themeColor="accent1"/>
      <w:sz w:val="18"/>
      <w:szCs w:val="18"/>
    </w:rPr>
  </w:style>
  <w:style w:type="paragraph" w:styleId="Closing">
    <w:name w:val="Closing"/>
    <w:basedOn w:val="Normal"/>
    <w:link w:val="ClosingChar"/>
    <w:uiPriority w:val="98"/>
    <w:semiHidden/>
    <w:rsid w:val="002D6B83"/>
    <w:pPr>
      <w:ind w:left="4252"/>
    </w:pPr>
  </w:style>
  <w:style w:type="character" w:customStyle="1" w:styleId="ClosingChar">
    <w:name w:val="Closing Char"/>
    <w:basedOn w:val="DefaultParagraphFont"/>
    <w:link w:val="Closing"/>
    <w:uiPriority w:val="98"/>
    <w:semiHidden/>
    <w:rsid w:val="002D6B83"/>
    <w:rPr>
      <w:sz w:val="24"/>
      <w:szCs w:val="24"/>
      <w:lang w:val="en-GB"/>
    </w:rPr>
  </w:style>
  <w:style w:type="table" w:styleId="ColorfulGrid">
    <w:name w:val="Colorful Grid"/>
    <w:basedOn w:val="TableNormal"/>
    <w:uiPriority w:val="73"/>
    <w:semiHidden/>
    <w:rsid w:val="002D6B8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D6B8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D6B8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D6B8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D6B8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D6B8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D6B8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D6B8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D6B8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D6B8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D6B8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D6B8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D6B8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D6B8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D6B8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D6B8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D6B8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D6B8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D6B8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D6B8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D6B8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D6B83"/>
    <w:rPr>
      <w:sz w:val="16"/>
      <w:szCs w:val="16"/>
    </w:rPr>
  </w:style>
  <w:style w:type="paragraph" w:styleId="CommentText">
    <w:name w:val="annotation text"/>
    <w:basedOn w:val="Normal"/>
    <w:link w:val="CommentTextChar"/>
    <w:uiPriority w:val="98"/>
    <w:semiHidden/>
    <w:rsid w:val="002D6B83"/>
    <w:rPr>
      <w:sz w:val="20"/>
      <w:szCs w:val="20"/>
    </w:rPr>
  </w:style>
  <w:style w:type="character" w:customStyle="1" w:styleId="CommentTextChar">
    <w:name w:val="Comment Text Char"/>
    <w:basedOn w:val="DefaultParagraphFont"/>
    <w:link w:val="CommentText"/>
    <w:uiPriority w:val="98"/>
    <w:semiHidden/>
    <w:rsid w:val="002D6B83"/>
    <w:rPr>
      <w:sz w:val="20"/>
      <w:szCs w:val="20"/>
      <w:lang w:val="en-GB"/>
    </w:rPr>
  </w:style>
  <w:style w:type="paragraph" w:styleId="CommentSubject">
    <w:name w:val="annotation subject"/>
    <w:basedOn w:val="CommentText"/>
    <w:next w:val="CommentText"/>
    <w:link w:val="CommentSubjectChar"/>
    <w:uiPriority w:val="98"/>
    <w:semiHidden/>
    <w:rsid w:val="002D6B83"/>
    <w:rPr>
      <w:b/>
      <w:bCs/>
    </w:rPr>
  </w:style>
  <w:style w:type="character" w:customStyle="1" w:styleId="CommentSubjectChar">
    <w:name w:val="Comment Subject Char"/>
    <w:basedOn w:val="CommentTextChar"/>
    <w:link w:val="CommentSubject"/>
    <w:uiPriority w:val="98"/>
    <w:semiHidden/>
    <w:rsid w:val="002D6B83"/>
    <w:rPr>
      <w:b/>
      <w:bCs/>
      <w:sz w:val="20"/>
      <w:szCs w:val="20"/>
      <w:lang w:val="en-GB"/>
    </w:rPr>
  </w:style>
  <w:style w:type="table" w:styleId="DarkList">
    <w:name w:val="Dark List"/>
    <w:basedOn w:val="TableNormal"/>
    <w:uiPriority w:val="70"/>
    <w:semiHidden/>
    <w:rsid w:val="002D6B8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D6B8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D6B8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D6B8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D6B8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D6B8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D6B8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D6B83"/>
  </w:style>
  <w:style w:type="character" w:customStyle="1" w:styleId="DateChar">
    <w:name w:val="Date Char"/>
    <w:basedOn w:val="DefaultParagraphFont"/>
    <w:link w:val="Date"/>
    <w:uiPriority w:val="98"/>
    <w:semiHidden/>
    <w:rsid w:val="002D6B83"/>
    <w:rPr>
      <w:sz w:val="24"/>
      <w:szCs w:val="24"/>
      <w:lang w:val="en-GB"/>
    </w:rPr>
  </w:style>
  <w:style w:type="paragraph" w:styleId="DocumentMap">
    <w:name w:val="Document Map"/>
    <w:basedOn w:val="Normal"/>
    <w:link w:val="DocumentMapChar"/>
    <w:uiPriority w:val="98"/>
    <w:semiHidden/>
    <w:rsid w:val="002D6B83"/>
    <w:rPr>
      <w:rFonts w:ascii="Tahoma" w:hAnsi="Tahoma" w:cs="Tahoma"/>
      <w:sz w:val="16"/>
      <w:szCs w:val="16"/>
    </w:rPr>
  </w:style>
  <w:style w:type="character" w:customStyle="1" w:styleId="DocumentMapChar">
    <w:name w:val="Document Map Char"/>
    <w:basedOn w:val="DefaultParagraphFont"/>
    <w:link w:val="DocumentMap"/>
    <w:uiPriority w:val="98"/>
    <w:semiHidden/>
    <w:rsid w:val="002D6B83"/>
    <w:rPr>
      <w:rFonts w:ascii="Tahoma" w:hAnsi="Tahoma" w:cs="Tahoma"/>
      <w:sz w:val="16"/>
      <w:szCs w:val="16"/>
      <w:lang w:val="en-GB"/>
    </w:rPr>
  </w:style>
  <w:style w:type="paragraph" w:styleId="E-mailSignature">
    <w:name w:val="E-mail Signature"/>
    <w:basedOn w:val="Normal"/>
    <w:link w:val="E-mailSignatureChar"/>
    <w:uiPriority w:val="98"/>
    <w:semiHidden/>
    <w:rsid w:val="002D6B83"/>
  </w:style>
  <w:style w:type="character" w:customStyle="1" w:styleId="E-mailSignatureChar">
    <w:name w:val="E-mail Signature Char"/>
    <w:basedOn w:val="DefaultParagraphFont"/>
    <w:link w:val="E-mailSignature"/>
    <w:uiPriority w:val="98"/>
    <w:semiHidden/>
    <w:rsid w:val="002D6B83"/>
    <w:rPr>
      <w:sz w:val="24"/>
      <w:szCs w:val="24"/>
      <w:lang w:val="en-GB"/>
    </w:rPr>
  </w:style>
  <w:style w:type="character" w:styleId="EndnoteReference">
    <w:name w:val="endnote reference"/>
    <w:basedOn w:val="DefaultParagraphFont"/>
    <w:uiPriority w:val="98"/>
    <w:semiHidden/>
    <w:rsid w:val="002D6B83"/>
    <w:rPr>
      <w:vertAlign w:val="superscript"/>
    </w:rPr>
  </w:style>
  <w:style w:type="paragraph" w:styleId="EndnoteText">
    <w:name w:val="endnote text"/>
    <w:basedOn w:val="Normal"/>
    <w:link w:val="EndnoteTextChar"/>
    <w:uiPriority w:val="98"/>
    <w:semiHidden/>
    <w:rsid w:val="002D6B83"/>
    <w:rPr>
      <w:sz w:val="20"/>
      <w:szCs w:val="20"/>
    </w:rPr>
  </w:style>
  <w:style w:type="character" w:customStyle="1" w:styleId="EndnoteTextChar">
    <w:name w:val="Endnote Text Char"/>
    <w:basedOn w:val="DefaultParagraphFont"/>
    <w:link w:val="EndnoteText"/>
    <w:uiPriority w:val="98"/>
    <w:semiHidden/>
    <w:rsid w:val="002D6B83"/>
    <w:rPr>
      <w:sz w:val="20"/>
      <w:szCs w:val="20"/>
      <w:lang w:val="en-GB"/>
    </w:rPr>
  </w:style>
  <w:style w:type="paragraph" w:styleId="EnvelopeAddress">
    <w:name w:val="envelope address"/>
    <w:basedOn w:val="Normal"/>
    <w:uiPriority w:val="98"/>
    <w:semiHidden/>
    <w:rsid w:val="002D6B8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D6B8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D6B83"/>
    <w:rPr>
      <w:color w:val="7030A0" w:themeColor="followedHyperlink"/>
      <w:u w:val="single"/>
    </w:rPr>
  </w:style>
  <w:style w:type="character" w:styleId="HTMLAcronym">
    <w:name w:val="HTML Acronym"/>
    <w:basedOn w:val="DefaultParagraphFont"/>
    <w:uiPriority w:val="98"/>
    <w:semiHidden/>
    <w:rsid w:val="002D6B83"/>
  </w:style>
  <w:style w:type="paragraph" w:styleId="HTMLAddress">
    <w:name w:val="HTML Address"/>
    <w:basedOn w:val="Normal"/>
    <w:link w:val="HTMLAddressChar"/>
    <w:uiPriority w:val="98"/>
    <w:semiHidden/>
    <w:rsid w:val="002D6B83"/>
    <w:rPr>
      <w:i/>
      <w:iCs/>
    </w:rPr>
  </w:style>
  <w:style w:type="character" w:customStyle="1" w:styleId="HTMLAddressChar">
    <w:name w:val="HTML Address Char"/>
    <w:basedOn w:val="DefaultParagraphFont"/>
    <w:link w:val="HTMLAddress"/>
    <w:uiPriority w:val="98"/>
    <w:semiHidden/>
    <w:rsid w:val="002D6B83"/>
    <w:rPr>
      <w:i/>
      <w:iCs/>
      <w:sz w:val="24"/>
      <w:szCs w:val="24"/>
      <w:lang w:val="en-GB"/>
    </w:rPr>
  </w:style>
  <w:style w:type="character" w:styleId="HTMLCite">
    <w:name w:val="HTML Cite"/>
    <w:basedOn w:val="DefaultParagraphFont"/>
    <w:uiPriority w:val="98"/>
    <w:semiHidden/>
    <w:rsid w:val="002D6B83"/>
    <w:rPr>
      <w:i/>
      <w:iCs/>
    </w:rPr>
  </w:style>
  <w:style w:type="character" w:styleId="HTMLCode">
    <w:name w:val="HTML Code"/>
    <w:basedOn w:val="DefaultParagraphFont"/>
    <w:uiPriority w:val="98"/>
    <w:semiHidden/>
    <w:rsid w:val="002D6B83"/>
    <w:rPr>
      <w:rFonts w:ascii="Consolas" w:hAnsi="Consolas" w:cs="Consolas"/>
      <w:sz w:val="20"/>
      <w:szCs w:val="20"/>
    </w:rPr>
  </w:style>
  <w:style w:type="character" w:styleId="HTMLDefinition">
    <w:name w:val="HTML Definition"/>
    <w:basedOn w:val="DefaultParagraphFont"/>
    <w:uiPriority w:val="98"/>
    <w:semiHidden/>
    <w:rsid w:val="002D6B83"/>
    <w:rPr>
      <w:i/>
      <w:iCs/>
    </w:rPr>
  </w:style>
  <w:style w:type="character" w:styleId="HTMLKeyboard">
    <w:name w:val="HTML Keyboard"/>
    <w:basedOn w:val="DefaultParagraphFont"/>
    <w:uiPriority w:val="98"/>
    <w:semiHidden/>
    <w:rsid w:val="002D6B83"/>
    <w:rPr>
      <w:rFonts w:ascii="Consolas" w:hAnsi="Consolas" w:cs="Consolas"/>
      <w:sz w:val="20"/>
      <w:szCs w:val="20"/>
    </w:rPr>
  </w:style>
  <w:style w:type="paragraph" w:styleId="HTMLPreformatted">
    <w:name w:val="HTML Preformatted"/>
    <w:basedOn w:val="Normal"/>
    <w:link w:val="HTMLPreformattedChar"/>
    <w:uiPriority w:val="98"/>
    <w:semiHidden/>
    <w:rsid w:val="002D6B8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D6B83"/>
    <w:rPr>
      <w:rFonts w:ascii="Consolas" w:hAnsi="Consolas" w:cs="Consolas"/>
      <w:sz w:val="20"/>
      <w:szCs w:val="20"/>
      <w:lang w:val="en-GB"/>
    </w:rPr>
  </w:style>
  <w:style w:type="character" w:styleId="HTMLSample">
    <w:name w:val="HTML Sample"/>
    <w:basedOn w:val="DefaultParagraphFont"/>
    <w:uiPriority w:val="98"/>
    <w:semiHidden/>
    <w:rsid w:val="002D6B83"/>
    <w:rPr>
      <w:rFonts w:ascii="Consolas" w:hAnsi="Consolas" w:cs="Consolas"/>
      <w:sz w:val="24"/>
      <w:szCs w:val="24"/>
    </w:rPr>
  </w:style>
  <w:style w:type="character" w:styleId="HTMLTypewriter">
    <w:name w:val="HTML Typewriter"/>
    <w:basedOn w:val="DefaultParagraphFont"/>
    <w:uiPriority w:val="98"/>
    <w:semiHidden/>
    <w:rsid w:val="002D6B83"/>
    <w:rPr>
      <w:rFonts w:ascii="Consolas" w:hAnsi="Consolas" w:cs="Consolas"/>
      <w:sz w:val="20"/>
      <w:szCs w:val="20"/>
    </w:rPr>
  </w:style>
  <w:style w:type="character" w:styleId="HTMLVariable">
    <w:name w:val="HTML Variable"/>
    <w:basedOn w:val="DefaultParagraphFont"/>
    <w:uiPriority w:val="98"/>
    <w:semiHidden/>
    <w:rsid w:val="002D6B83"/>
    <w:rPr>
      <w:i/>
      <w:iCs/>
    </w:rPr>
  </w:style>
  <w:style w:type="paragraph" w:styleId="Index1">
    <w:name w:val="index 1"/>
    <w:basedOn w:val="Normal"/>
    <w:next w:val="Normal"/>
    <w:autoRedefine/>
    <w:uiPriority w:val="98"/>
    <w:semiHidden/>
    <w:rsid w:val="002D6B83"/>
    <w:pPr>
      <w:ind w:left="240" w:hanging="240"/>
    </w:pPr>
  </w:style>
  <w:style w:type="paragraph" w:styleId="Index2">
    <w:name w:val="index 2"/>
    <w:basedOn w:val="Normal"/>
    <w:next w:val="Normal"/>
    <w:autoRedefine/>
    <w:uiPriority w:val="98"/>
    <w:semiHidden/>
    <w:rsid w:val="002D6B83"/>
    <w:pPr>
      <w:ind w:left="480" w:hanging="240"/>
    </w:pPr>
  </w:style>
  <w:style w:type="paragraph" w:styleId="Index3">
    <w:name w:val="index 3"/>
    <w:basedOn w:val="Normal"/>
    <w:next w:val="Normal"/>
    <w:autoRedefine/>
    <w:uiPriority w:val="98"/>
    <w:semiHidden/>
    <w:rsid w:val="002D6B83"/>
    <w:pPr>
      <w:ind w:left="720" w:hanging="240"/>
    </w:pPr>
  </w:style>
  <w:style w:type="paragraph" w:styleId="Index4">
    <w:name w:val="index 4"/>
    <w:basedOn w:val="Normal"/>
    <w:next w:val="Normal"/>
    <w:autoRedefine/>
    <w:uiPriority w:val="98"/>
    <w:semiHidden/>
    <w:rsid w:val="002D6B83"/>
    <w:pPr>
      <w:ind w:left="960" w:hanging="240"/>
    </w:pPr>
  </w:style>
  <w:style w:type="paragraph" w:styleId="Index5">
    <w:name w:val="index 5"/>
    <w:basedOn w:val="Normal"/>
    <w:next w:val="Normal"/>
    <w:autoRedefine/>
    <w:uiPriority w:val="98"/>
    <w:semiHidden/>
    <w:rsid w:val="002D6B83"/>
    <w:pPr>
      <w:ind w:left="1200" w:hanging="240"/>
    </w:pPr>
  </w:style>
  <w:style w:type="paragraph" w:styleId="Index6">
    <w:name w:val="index 6"/>
    <w:basedOn w:val="Normal"/>
    <w:next w:val="Normal"/>
    <w:autoRedefine/>
    <w:uiPriority w:val="98"/>
    <w:semiHidden/>
    <w:rsid w:val="002D6B83"/>
    <w:pPr>
      <w:ind w:left="1440" w:hanging="240"/>
    </w:pPr>
  </w:style>
  <w:style w:type="paragraph" w:styleId="Index7">
    <w:name w:val="index 7"/>
    <w:basedOn w:val="Normal"/>
    <w:next w:val="Normal"/>
    <w:autoRedefine/>
    <w:uiPriority w:val="98"/>
    <w:semiHidden/>
    <w:rsid w:val="002D6B83"/>
    <w:pPr>
      <w:ind w:left="1680" w:hanging="240"/>
    </w:pPr>
  </w:style>
  <w:style w:type="paragraph" w:styleId="Index8">
    <w:name w:val="index 8"/>
    <w:basedOn w:val="Normal"/>
    <w:next w:val="Normal"/>
    <w:autoRedefine/>
    <w:uiPriority w:val="98"/>
    <w:semiHidden/>
    <w:rsid w:val="002D6B83"/>
    <w:pPr>
      <w:ind w:left="1920" w:hanging="240"/>
    </w:pPr>
  </w:style>
  <w:style w:type="paragraph" w:styleId="Index9">
    <w:name w:val="index 9"/>
    <w:basedOn w:val="Normal"/>
    <w:next w:val="Normal"/>
    <w:autoRedefine/>
    <w:uiPriority w:val="98"/>
    <w:semiHidden/>
    <w:rsid w:val="002D6B83"/>
    <w:pPr>
      <w:ind w:left="2160" w:hanging="240"/>
    </w:pPr>
  </w:style>
  <w:style w:type="paragraph" w:styleId="IndexHeading">
    <w:name w:val="index heading"/>
    <w:basedOn w:val="Normal"/>
    <w:next w:val="Index1"/>
    <w:uiPriority w:val="98"/>
    <w:semiHidden/>
    <w:rsid w:val="002D6B83"/>
    <w:rPr>
      <w:rFonts w:asciiTheme="majorHAnsi" w:eastAsiaTheme="majorEastAsia" w:hAnsiTheme="majorHAnsi" w:cstheme="majorBidi"/>
      <w:b/>
      <w:bCs/>
    </w:rPr>
  </w:style>
  <w:style w:type="table" w:styleId="LightGrid">
    <w:name w:val="Light Grid"/>
    <w:basedOn w:val="TableNormal"/>
    <w:uiPriority w:val="62"/>
    <w:semiHidden/>
    <w:rsid w:val="002D6B8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D6B8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D6B8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D6B8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D6B8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D6B8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D6B8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D6B8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D6B8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D6B8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D6B8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D6B8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D6B8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D6B8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D6B8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D6B8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D6B8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D6B8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D6B8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D6B8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D6B8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D6B83"/>
  </w:style>
  <w:style w:type="paragraph" w:styleId="List">
    <w:name w:val="List"/>
    <w:basedOn w:val="Normal"/>
    <w:uiPriority w:val="98"/>
    <w:semiHidden/>
    <w:rsid w:val="002D6B83"/>
    <w:pPr>
      <w:ind w:left="283" w:hanging="283"/>
      <w:contextualSpacing/>
    </w:pPr>
  </w:style>
  <w:style w:type="paragraph" w:styleId="List20">
    <w:name w:val="List 2"/>
    <w:basedOn w:val="Normal"/>
    <w:uiPriority w:val="98"/>
    <w:semiHidden/>
    <w:rsid w:val="002D6B83"/>
    <w:pPr>
      <w:ind w:left="566" w:hanging="283"/>
      <w:contextualSpacing/>
    </w:pPr>
  </w:style>
  <w:style w:type="paragraph" w:styleId="List30">
    <w:name w:val="List 3"/>
    <w:basedOn w:val="Normal"/>
    <w:uiPriority w:val="98"/>
    <w:semiHidden/>
    <w:rsid w:val="002D6B83"/>
    <w:pPr>
      <w:ind w:left="849" w:hanging="283"/>
      <w:contextualSpacing/>
    </w:pPr>
  </w:style>
  <w:style w:type="paragraph" w:styleId="List4">
    <w:name w:val="List 4"/>
    <w:basedOn w:val="Normal"/>
    <w:uiPriority w:val="98"/>
    <w:semiHidden/>
    <w:rsid w:val="002D6B83"/>
    <w:pPr>
      <w:ind w:left="1132" w:hanging="283"/>
      <w:contextualSpacing/>
    </w:pPr>
  </w:style>
  <w:style w:type="paragraph" w:styleId="List5">
    <w:name w:val="List 5"/>
    <w:basedOn w:val="Normal"/>
    <w:uiPriority w:val="98"/>
    <w:semiHidden/>
    <w:rsid w:val="002D6B83"/>
    <w:pPr>
      <w:ind w:left="1415" w:hanging="283"/>
      <w:contextualSpacing/>
    </w:pPr>
  </w:style>
  <w:style w:type="paragraph" w:styleId="ListBullet2">
    <w:name w:val="List Bullet 2"/>
    <w:basedOn w:val="Normal"/>
    <w:uiPriority w:val="98"/>
    <w:semiHidden/>
    <w:rsid w:val="002D6B83"/>
    <w:pPr>
      <w:numPr>
        <w:numId w:val="7"/>
      </w:numPr>
      <w:contextualSpacing/>
    </w:pPr>
  </w:style>
  <w:style w:type="paragraph" w:styleId="ListBullet4">
    <w:name w:val="List Bullet 4"/>
    <w:basedOn w:val="Normal"/>
    <w:uiPriority w:val="98"/>
    <w:semiHidden/>
    <w:rsid w:val="002D6B83"/>
    <w:pPr>
      <w:numPr>
        <w:numId w:val="9"/>
      </w:numPr>
      <w:contextualSpacing/>
    </w:pPr>
  </w:style>
  <w:style w:type="paragraph" w:styleId="ListBullet5">
    <w:name w:val="List Bullet 5"/>
    <w:basedOn w:val="Normal"/>
    <w:uiPriority w:val="98"/>
    <w:semiHidden/>
    <w:rsid w:val="002D6B83"/>
    <w:pPr>
      <w:numPr>
        <w:numId w:val="10"/>
      </w:numPr>
      <w:contextualSpacing/>
    </w:pPr>
  </w:style>
  <w:style w:type="paragraph" w:styleId="ListContinue">
    <w:name w:val="List Continue"/>
    <w:basedOn w:val="Normal"/>
    <w:uiPriority w:val="98"/>
    <w:semiHidden/>
    <w:rsid w:val="002D6B83"/>
    <w:pPr>
      <w:spacing w:after="120"/>
      <w:ind w:left="283"/>
      <w:contextualSpacing/>
    </w:pPr>
  </w:style>
  <w:style w:type="paragraph" w:styleId="ListContinue2">
    <w:name w:val="List Continue 2"/>
    <w:basedOn w:val="Normal"/>
    <w:uiPriority w:val="98"/>
    <w:semiHidden/>
    <w:rsid w:val="002D6B83"/>
    <w:pPr>
      <w:spacing w:after="120"/>
      <w:ind w:left="566"/>
      <w:contextualSpacing/>
    </w:pPr>
  </w:style>
  <w:style w:type="paragraph" w:styleId="ListContinue3">
    <w:name w:val="List Continue 3"/>
    <w:basedOn w:val="Normal"/>
    <w:uiPriority w:val="98"/>
    <w:semiHidden/>
    <w:rsid w:val="002D6B83"/>
    <w:pPr>
      <w:spacing w:after="120"/>
      <w:ind w:left="849"/>
      <w:contextualSpacing/>
    </w:pPr>
  </w:style>
  <w:style w:type="paragraph" w:styleId="ListContinue4">
    <w:name w:val="List Continue 4"/>
    <w:basedOn w:val="Normal"/>
    <w:uiPriority w:val="98"/>
    <w:semiHidden/>
    <w:rsid w:val="002D6B83"/>
    <w:pPr>
      <w:spacing w:after="120"/>
      <w:ind w:left="1132"/>
      <w:contextualSpacing/>
    </w:pPr>
  </w:style>
  <w:style w:type="paragraph" w:styleId="ListContinue5">
    <w:name w:val="List Continue 5"/>
    <w:basedOn w:val="Normal"/>
    <w:uiPriority w:val="98"/>
    <w:semiHidden/>
    <w:rsid w:val="002D6B83"/>
    <w:pPr>
      <w:spacing w:after="120"/>
      <w:ind w:left="1415"/>
      <w:contextualSpacing/>
    </w:pPr>
  </w:style>
  <w:style w:type="paragraph" w:styleId="ListNumber">
    <w:name w:val="List Number"/>
    <w:basedOn w:val="Normal"/>
    <w:uiPriority w:val="98"/>
    <w:semiHidden/>
    <w:rsid w:val="002D6B83"/>
    <w:pPr>
      <w:numPr>
        <w:numId w:val="11"/>
      </w:numPr>
      <w:contextualSpacing/>
    </w:pPr>
  </w:style>
  <w:style w:type="paragraph" w:styleId="ListNumber2">
    <w:name w:val="List Number 2"/>
    <w:basedOn w:val="Normal"/>
    <w:uiPriority w:val="98"/>
    <w:semiHidden/>
    <w:rsid w:val="002D6B83"/>
    <w:pPr>
      <w:numPr>
        <w:numId w:val="12"/>
      </w:numPr>
      <w:contextualSpacing/>
    </w:pPr>
  </w:style>
  <w:style w:type="paragraph" w:styleId="ListNumber3">
    <w:name w:val="List Number 3"/>
    <w:basedOn w:val="Normal"/>
    <w:uiPriority w:val="98"/>
    <w:semiHidden/>
    <w:rsid w:val="002D6B83"/>
    <w:pPr>
      <w:numPr>
        <w:numId w:val="13"/>
      </w:numPr>
      <w:contextualSpacing/>
    </w:pPr>
  </w:style>
  <w:style w:type="paragraph" w:styleId="ListNumber4">
    <w:name w:val="List Number 4"/>
    <w:basedOn w:val="Normal"/>
    <w:uiPriority w:val="98"/>
    <w:semiHidden/>
    <w:rsid w:val="002D6B83"/>
    <w:pPr>
      <w:numPr>
        <w:numId w:val="14"/>
      </w:numPr>
      <w:contextualSpacing/>
    </w:pPr>
  </w:style>
  <w:style w:type="paragraph" w:styleId="ListNumber5">
    <w:name w:val="List Number 5"/>
    <w:basedOn w:val="Normal"/>
    <w:uiPriority w:val="98"/>
    <w:semiHidden/>
    <w:rsid w:val="002D6B83"/>
    <w:pPr>
      <w:numPr>
        <w:numId w:val="15"/>
      </w:numPr>
      <w:contextualSpacing/>
    </w:pPr>
  </w:style>
  <w:style w:type="paragraph" w:styleId="Macro">
    <w:name w:val="macro"/>
    <w:link w:val="MacroTextChar"/>
    <w:uiPriority w:val="98"/>
    <w:semiHidden/>
    <w:rsid w:val="002D6B8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D6B83"/>
    <w:rPr>
      <w:rFonts w:ascii="Consolas" w:hAnsi="Consolas" w:eastAsiaTheme="minorEastAsia" w:cs="Consolas"/>
      <w:sz w:val="20"/>
      <w:szCs w:val="20"/>
    </w:rPr>
  </w:style>
  <w:style w:type="table" w:styleId="MediumGrid1">
    <w:name w:val="Medium Grid 1"/>
    <w:basedOn w:val="TableNormal"/>
    <w:uiPriority w:val="67"/>
    <w:semiHidden/>
    <w:rsid w:val="002D6B8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D6B8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D6B8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D6B8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D6B8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D6B8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D6B8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D6B8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D6B8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D6B8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D6B8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D6B8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D6B8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D6B8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D6B8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D6B8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D6B8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D6B8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D6B8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D6B8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D6B8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D6B8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D6B8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D6B8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D6B8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D6B8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D6B8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D6B8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D6B8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D6B8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D6B8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D6B8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D6B8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D6B8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D6B8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D6B8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D6B8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D6B8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D6B8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D6B8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D6B8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D6B8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D6B8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D6B8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D6B8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D6B8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D6B8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D6B8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D6B8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D6B8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D6B8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D6B83"/>
    <w:rPr>
      <w:rFonts w:ascii="Times New Roman" w:hAnsi="Times New Roman" w:cs="Times New Roman"/>
    </w:rPr>
  </w:style>
  <w:style w:type="paragraph" w:styleId="NormalIndent">
    <w:name w:val="Normal Indent"/>
    <w:basedOn w:val="Normal"/>
    <w:uiPriority w:val="98"/>
    <w:semiHidden/>
    <w:rsid w:val="002D6B83"/>
    <w:pPr>
      <w:ind w:left="720"/>
    </w:pPr>
  </w:style>
  <w:style w:type="paragraph" w:styleId="NoteHeading">
    <w:name w:val="Note Heading"/>
    <w:basedOn w:val="Normal"/>
    <w:next w:val="Normal"/>
    <w:link w:val="NoteHeadingChar"/>
    <w:uiPriority w:val="98"/>
    <w:semiHidden/>
    <w:rsid w:val="002D6B83"/>
  </w:style>
  <w:style w:type="character" w:customStyle="1" w:styleId="NoteHeadingChar">
    <w:name w:val="Note Heading Char"/>
    <w:basedOn w:val="DefaultParagraphFont"/>
    <w:link w:val="NoteHeading"/>
    <w:uiPriority w:val="98"/>
    <w:semiHidden/>
    <w:rsid w:val="002D6B83"/>
    <w:rPr>
      <w:sz w:val="24"/>
      <w:szCs w:val="24"/>
      <w:lang w:val="en-GB"/>
    </w:rPr>
  </w:style>
  <w:style w:type="character" w:styleId="PlaceholderText">
    <w:name w:val="Placeholder Text"/>
    <w:basedOn w:val="DefaultParagraphFont"/>
    <w:uiPriority w:val="98"/>
    <w:semiHidden/>
    <w:rsid w:val="002D6B8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D6B83"/>
    <w:rPr>
      <w:rFonts w:ascii="Consolas" w:hAnsi="Consolas" w:cs="Consolas"/>
      <w:sz w:val="21"/>
      <w:szCs w:val="21"/>
    </w:rPr>
  </w:style>
  <w:style w:type="character" w:customStyle="1" w:styleId="PlainTextChar">
    <w:name w:val="Plain Text Char"/>
    <w:basedOn w:val="DefaultParagraphFont"/>
    <w:link w:val="PlainText"/>
    <w:uiPriority w:val="98"/>
    <w:semiHidden/>
    <w:rsid w:val="002D6B83"/>
    <w:rPr>
      <w:rFonts w:ascii="Consolas" w:hAnsi="Consolas" w:cs="Consolas"/>
      <w:sz w:val="21"/>
      <w:szCs w:val="21"/>
      <w:lang w:val="en-GB"/>
    </w:rPr>
  </w:style>
  <w:style w:type="paragraph" w:styleId="Salutation">
    <w:name w:val="Salutation"/>
    <w:basedOn w:val="Normal"/>
    <w:next w:val="Normal"/>
    <w:link w:val="SalutationChar"/>
    <w:uiPriority w:val="98"/>
    <w:semiHidden/>
    <w:rsid w:val="002D6B83"/>
  </w:style>
  <w:style w:type="character" w:customStyle="1" w:styleId="SalutationChar">
    <w:name w:val="Salutation Char"/>
    <w:basedOn w:val="DefaultParagraphFont"/>
    <w:link w:val="Salutation"/>
    <w:uiPriority w:val="98"/>
    <w:semiHidden/>
    <w:rsid w:val="002D6B83"/>
    <w:rPr>
      <w:sz w:val="24"/>
      <w:szCs w:val="24"/>
      <w:lang w:val="en-GB"/>
    </w:rPr>
  </w:style>
  <w:style w:type="paragraph" w:styleId="Signature0">
    <w:name w:val="Signature"/>
    <w:basedOn w:val="Normal"/>
    <w:link w:val="SignatureChar"/>
    <w:uiPriority w:val="98"/>
    <w:semiHidden/>
    <w:rsid w:val="002D6B83"/>
    <w:pPr>
      <w:ind w:left="4252"/>
    </w:pPr>
  </w:style>
  <w:style w:type="character" w:customStyle="1" w:styleId="SignatureChar">
    <w:name w:val="Signature Char"/>
    <w:basedOn w:val="DefaultParagraphFont"/>
    <w:link w:val="Signature0"/>
    <w:uiPriority w:val="98"/>
    <w:semiHidden/>
    <w:rsid w:val="002D6B83"/>
    <w:rPr>
      <w:sz w:val="24"/>
      <w:szCs w:val="24"/>
      <w:lang w:val="en-GB"/>
    </w:rPr>
  </w:style>
  <w:style w:type="table" w:styleId="Table3Deffects1">
    <w:name w:val="Table 3D effects 1"/>
    <w:basedOn w:val="TableNormal"/>
    <w:uiPriority w:val="99"/>
    <w:semiHidden/>
    <w:unhideWhenUsed/>
    <w:rsid w:val="002D6B8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D6B8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D6B8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D6B8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D6B8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D6B8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D6B8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D6B8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D6B8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D6B8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D6B8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D6B8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D6B8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D6B8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D6B8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D6B8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D6B8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D6B8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D6B8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D6B8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D6B8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D6B8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D6B8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D6B8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D6B8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D6B8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D6B8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D6B8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D6B8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D6B8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D6B8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D6B8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D6B8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D6B83"/>
    <w:pPr>
      <w:ind w:left="240" w:hanging="240"/>
    </w:pPr>
  </w:style>
  <w:style w:type="paragraph" w:styleId="TableofFigures">
    <w:name w:val="table of figures"/>
    <w:basedOn w:val="Normal"/>
    <w:next w:val="Normal"/>
    <w:uiPriority w:val="98"/>
    <w:semiHidden/>
    <w:rsid w:val="002D6B83"/>
  </w:style>
  <w:style w:type="table" w:styleId="TableProfessional">
    <w:name w:val="Table Professional"/>
    <w:basedOn w:val="TableNormal"/>
    <w:uiPriority w:val="99"/>
    <w:semiHidden/>
    <w:unhideWhenUsed/>
    <w:rsid w:val="002D6B8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D6B8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D6B8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D6B8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D6B8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D6B8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D6B8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D6B8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D6B8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D6B8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D6B8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D6B8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D6B83"/>
    <w:pPr>
      <w:spacing w:after="100"/>
      <w:ind w:left="1680"/>
    </w:pPr>
  </w:style>
  <w:style w:type="paragraph" w:styleId="TOC9">
    <w:name w:val="toc 9"/>
    <w:basedOn w:val="Normal"/>
    <w:next w:val="Normal"/>
    <w:autoRedefine/>
    <w:uiPriority w:val="98"/>
    <w:semiHidden/>
    <w:rsid w:val="002D6B8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D6B8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D6B8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D6B8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D6B8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D6B83"/>
    <w:pPr>
      <w:numPr>
        <w:numId w:val="19"/>
      </w:numPr>
      <w:spacing w:before="60" w:after="60"/>
    </w:pPr>
  </w:style>
  <w:style w:type="paragraph" w:customStyle="1" w:styleId="ECHRBullet2">
    <w:name w:val="ECHR_Bullet_2"/>
    <w:aliases w:val="_Bul_2"/>
    <w:basedOn w:val="ECHRBullet1"/>
    <w:uiPriority w:val="23"/>
    <w:semiHidden/>
    <w:rsid w:val="002D6B83"/>
    <w:pPr>
      <w:numPr>
        <w:ilvl w:val="1"/>
      </w:numPr>
    </w:pPr>
  </w:style>
  <w:style w:type="paragraph" w:customStyle="1" w:styleId="ECHRBullet3">
    <w:name w:val="ECHR_Bullet_3"/>
    <w:aliases w:val="_Bul_3"/>
    <w:basedOn w:val="ECHRBullet2"/>
    <w:uiPriority w:val="23"/>
    <w:semiHidden/>
    <w:rsid w:val="002D6B83"/>
    <w:pPr>
      <w:numPr>
        <w:ilvl w:val="2"/>
      </w:numPr>
    </w:pPr>
  </w:style>
  <w:style w:type="paragraph" w:customStyle="1" w:styleId="ECHRBullet4">
    <w:name w:val="ECHR_Bullet_4"/>
    <w:aliases w:val="_Bul_4"/>
    <w:basedOn w:val="ECHRBullet3"/>
    <w:uiPriority w:val="23"/>
    <w:semiHidden/>
    <w:rsid w:val="002D6B83"/>
    <w:pPr>
      <w:numPr>
        <w:ilvl w:val="3"/>
      </w:numPr>
    </w:pPr>
  </w:style>
  <w:style w:type="paragraph" w:customStyle="1" w:styleId="ECHRConfidential">
    <w:name w:val="ECHR_Confidential"/>
    <w:aliases w:val="_Confidential"/>
    <w:basedOn w:val="Normal"/>
    <w:next w:val="Normal"/>
    <w:uiPriority w:val="42"/>
    <w:semiHidden/>
    <w:qFormat/>
    <w:rsid w:val="002D6B83"/>
    <w:pPr>
      <w:jc w:val="right"/>
    </w:pPr>
    <w:rPr>
      <w:color w:val="C00000"/>
      <w:sz w:val="20"/>
    </w:rPr>
  </w:style>
  <w:style w:type="paragraph" w:customStyle="1" w:styleId="ECHRDecisionBody">
    <w:name w:val="ECHR_Decision_Body"/>
    <w:aliases w:val="_Decision_Body"/>
    <w:basedOn w:val="NormalJustified"/>
    <w:uiPriority w:val="54"/>
    <w:semiHidden/>
    <w:rsid w:val="002D6B8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D6B8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D6B8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D6B8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D6B83"/>
    <w:pPr>
      <w:jc w:val="right"/>
    </w:pPr>
    <w:rPr>
      <w:sz w:val="20"/>
    </w:rPr>
  </w:style>
  <w:style w:type="paragraph" w:customStyle="1" w:styleId="ECHRHeaderRefIt">
    <w:name w:val="ECHR_Header_Ref_It"/>
    <w:aliases w:val="_Ref_Ital"/>
    <w:basedOn w:val="Normal"/>
    <w:next w:val="ECHRHeaderDate"/>
    <w:uiPriority w:val="43"/>
    <w:semiHidden/>
    <w:qFormat/>
    <w:rsid w:val="002D6B83"/>
    <w:pPr>
      <w:jc w:val="right"/>
    </w:pPr>
    <w:rPr>
      <w:i/>
      <w:sz w:val="20"/>
    </w:rPr>
  </w:style>
  <w:style w:type="paragraph" w:customStyle="1" w:styleId="ECHRHeading9">
    <w:name w:val="ECHR_Heading_9"/>
    <w:aliases w:val="_Head_9"/>
    <w:basedOn w:val="Heading9"/>
    <w:uiPriority w:val="17"/>
    <w:rsid w:val="002D6B83"/>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D6B8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D6B83"/>
    <w:pPr>
      <w:numPr>
        <w:numId w:val="20"/>
      </w:numPr>
      <w:spacing w:before="60" w:after="60"/>
    </w:pPr>
  </w:style>
  <w:style w:type="paragraph" w:customStyle="1" w:styleId="ECHRNumberedList2">
    <w:name w:val="ECHR_Numbered_List_2"/>
    <w:aliases w:val="_Num_2"/>
    <w:basedOn w:val="ECHRNumberedList1"/>
    <w:uiPriority w:val="23"/>
    <w:semiHidden/>
    <w:rsid w:val="002D6B83"/>
    <w:pPr>
      <w:numPr>
        <w:ilvl w:val="1"/>
      </w:numPr>
    </w:pPr>
  </w:style>
  <w:style w:type="paragraph" w:customStyle="1" w:styleId="ECHRNumberedList3">
    <w:name w:val="ECHR_Numbered_List_3"/>
    <w:aliases w:val="_Num_3"/>
    <w:basedOn w:val="ECHRNumberedList2"/>
    <w:uiPriority w:val="23"/>
    <w:semiHidden/>
    <w:rsid w:val="002D6B83"/>
    <w:pPr>
      <w:numPr>
        <w:ilvl w:val="2"/>
      </w:numPr>
    </w:pPr>
  </w:style>
  <w:style w:type="paragraph" w:customStyle="1" w:styleId="ECHRParaHanging">
    <w:name w:val="ECHR_Para_Hanging"/>
    <w:aliases w:val="_Hanging"/>
    <w:basedOn w:val="NormalJustified"/>
    <w:uiPriority w:val="8"/>
    <w:semiHidden/>
    <w:qFormat/>
    <w:rsid w:val="002D6B83"/>
    <w:pPr>
      <w:ind w:left="567" w:hanging="567"/>
    </w:pPr>
  </w:style>
  <w:style w:type="paragraph" w:customStyle="1" w:styleId="ECHRParaIndent">
    <w:name w:val="ECHR_Para_Indent"/>
    <w:aliases w:val="_Indent"/>
    <w:basedOn w:val="NormalJustified"/>
    <w:uiPriority w:val="7"/>
    <w:semiHidden/>
    <w:qFormat/>
    <w:rsid w:val="002D6B83"/>
    <w:pPr>
      <w:spacing w:before="120" w:after="120"/>
      <w:ind w:left="284"/>
    </w:pPr>
  </w:style>
  <w:style w:type="character" w:customStyle="1" w:styleId="ECHRRed">
    <w:name w:val="ECHR_Red"/>
    <w:aliases w:val="_Red"/>
    <w:basedOn w:val="DefaultParagraphFont"/>
    <w:uiPriority w:val="15"/>
    <w:semiHidden/>
    <w:qFormat/>
    <w:rsid w:val="002D6B83"/>
    <w:rPr>
      <w:color w:val="C00000" w:themeColor="accent2"/>
    </w:rPr>
  </w:style>
  <w:style w:type="paragraph" w:customStyle="1" w:styleId="DecList">
    <w:name w:val="Dec_List"/>
    <w:aliases w:val="_List"/>
    <w:basedOn w:val="JuList"/>
    <w:uiPriority w:val="22"/>
    <w:rsid w:val="002D6B83"/>
    <w:pPr>
      <w:numPr>
        <w:numId w:val="0"/>
      </w:numPr>
      <w:ind w:left="284"/>
    </w:pPr>
  </w:style>
  <w:style w:type="table" w:customStyle="1" w:styleId="ECHRTable2">
    <w:name w:val="ECHR_Table_2"/>
    <w:basedOn w:val="TableNormal"/>
    <w:uiPriority w:val="99"/>
    <w:rsid w:val="002D6B8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D6B8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D6B8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D6B8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D6B8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D6B8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D6B8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D6B8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D6B83"/>
    <w:pPr>
      <w:outlineLvl w:val="0"/>
    </w:pPr>
  </w:style>
  <w:style w:type="paragraph" w:customStyle="1" w:styleId="ECHRTitleTOC1">
    <w:name w:val="ECHR_Title_TOC_1"/>
    <w:aliases w:val="_Title_L_TOC"/>
    <w:basedOn w:val="ECHRTitle1"/>
    <w:next w:val="Normal"/>
    <w:uiPriority w:val="27"/>
    <w:semiHidden/>
    <w:qFormat/>
    <w:rsid w:val="002D6B83"/>
    <w:pPr>
      <w:outlineLvl w:val="0"/>
    </w:pPr>
  </w:style>
  <w:style w:type="paragraph" w:customStyle="1" w:styleId="ECHRPlaceholder">
    <w:name w:val="ECHR_Placeholder"/>
    <w:aliases w:val="_Placeholder"/>
    <w:basedOn w:val="JuSigned"/>
    <w:uiPriority w:val="31"/>
    <w:rsid w:val="002D6B83"/>
    <w:rPr>
      <w:color w:val="FFFFFF"/>
    </w:rPr>
  </w:style>
  <w:style w:type="paragraph" w:customStyle="1" w:styleId="ECHRSpacer">
    <w:name w:val="ECHR_Spacer"/>
    <w:aliases w:val="_Spacer"/>
    <w:basedOn w:val="Normal"/>
    <w:uiPriority w:val="45"/>
    <w:semiHidden/>
    <w:rsid w:val="002D6B83"/>
    <w:rPr>
      <w:sz w:val="4"/>
    </w:rPr>
  </w:style>
  <w:style w:type="table" w:customStyle="1" w:styleId="ECHRTableGrey">
    <w:name w:val="ECHR_Table_Grey"/>
    <w:basedOn w:val="TableNormal"/>
    <w:uiPriority w:val="99"/>
    <w:rsid w:val="002D6B8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D6B83"/>
    <w:rPr>
      <w:color w:val="605E5C"/>
      <w:shd w:val="clear" w:color="auto" w:fill="E1DFDD"/>
    </w:rPr>
  </w:style>
  <w:style w:type="character" w:customStyle="1" w:styleId="JuParaChar">
    <w:name w:val="Ju_Para Char"/>
    <w:aliases w:val="_Para Char"/>
    <w:link w:val="JuPara"/>
    <w:uiPriority w:val="4"/>
    <w:qFormat/>
    <w:rsid w:val="00D26BB1"/>
    <w:rPr>
      <w:sz w:val="24"/>
      <w:szCs w:val="24"/>
      <w:lang w:val="en-GB"/>
    </w:rPr>
  </w:style>
  <w:style w:type="table" w:styleId="GridTable1Light">
    <w:name w:val="Grid Table 1 Light"/>
    <w:basedOn w:val="TableNormal"/>
    <w:uiPriority w:val="46"/>
    <w:semiHidden/>
    <w:rsid w:val="002D6B8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2D6B8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2D6B8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2D6B8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2D6B8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2D6B8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2D6B8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2D6B8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2D6B8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2D6B8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2D6B8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2D6B8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2D6B8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2D6B8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2D6B8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2D6B8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2D6B8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2D6B8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2D6B8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2D6B8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2D6B8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2D6B8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2D6B8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2D6B8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2D6B8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2D6B8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2D6B8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2D6B8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2D6B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2D6B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2D6B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2D6B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2D6B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2D6B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2D6B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2D6B8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2D6B8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2D6B8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2D6B8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2D6B8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2D6B8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2D6B8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2D6B8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2D6B8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2D6B8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2D6B8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2D6B8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2D6B8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2D6B8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2D6B83"/>
    <w:rPr>
      <w:color w:val="2B579A"/>
      <w:shd w:val="clear" w:color="auto" w:fill="E1DFDD"/>
    </w:rPr>
  </w:style>
  <w:style w:type="table" w:styleId="ListTable1Light">
    <w:name w:val="List Table 1 Light"/>
    <w:basedOn w:val="TableNormal"/>
    <w:uiPriority w:val="46"/>
    <w:semiHidden/>
    <w:rsid w:val="002D6B8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2D6B8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2D6B8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2D6B8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2D6B8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2D6B8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2D6B8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2D6B8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2D6B8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2D6B8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2D6B8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2D6B8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2D6B8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2D6B8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2D6B8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2D6B8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2D6B8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2D6B8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2D6B8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2D6B8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2D6B8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2D6B8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2D6B8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2D6B8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2D6B8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2D6B8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2D6B8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2D6B8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2D6B8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2D6B8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2D6B8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2D6B8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2D6B8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2D6B8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2D6B8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2D6B8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2D6B8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2D6B8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2D6B8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2D6B8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2D6B8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2D6B8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2D6B8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2D6B8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2D6B8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2D6B8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2D6B8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2D6B8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2D6B8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2D6B83"/>
    <w:rPr>
      <w:color w:val="2B579A"/>
      <w:shd w:val="clear" w:color="auto" w:fill="E1DFDD"/>
    </w:rPr>
  </w:style>
  <w:style w:type="table" w:styleId="PlainTable1">
    <w:name w:val="Plain Table 1"/>
    <w:basedOn w:val="TableNormal"/>
    <w:uiPriority w:val="41"/>
    <w:semiHidden/>
    <w:rsid w:val="002D6B8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2D6B8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2D6B8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2D6B8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2D6B8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2D6B83"/>
    <w:rPr>
      <w:u w:val="dotted"/>
    </w:rPr>
  </w:style>
  <w:style w:type="character" w:styleId="SmartLink">
    <w:name w:val="Smart Link"/>
    <w:basedOn w:val="DefaultParagraphFont"/>
    <w:uiPriority w:val="99"/>
    <w:semiHidden/>
    <w:unhideWhenUsed/>
    <w:rsid w:val="002D6B83"/>
    <w:rPr>
      <w:color w:val="0000FF"/>
      <w:u w:val="single"/>
      <w:shd w:val="clear" w:color="auto" w:fill="F3F2F1"/>
    </w:rPr>
  </w:style>
  <w:style w:type="table" w:styleId="GridTableLight">
    <w:name w:val="Grid Table Light"/>
    <w:basedOn w:val="TableNormal"/>
    <w:uiPriority w:val="40"/>
    <w:semiHidden/>
    <w:rsid w:val="002D6B8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2379</Words>
  <Characters>13315</Characters>
  <Application>Microsoft Office Word</Application>
  <DocSecurity>0</DocSecurity>
  <Lines>266</Lines>
  <Paragraphs>80</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15614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2025-04-16T13:58:00Z</dcterms:created>
  <dcterms:modified xsi:type="dcterms:W3CDTF">2025-04-16T14:00:00Z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1597171</vt:lpwstr>
  </property>
  <property fmtid="{D5CDD505-2E9C-101B-9397-08002B2CF9AE}" pid="3" name="cstLanguage">
    <vt:i4>2057</vt:i4>
  </property>
  <property fmtid="{D5CDD505-2E9C-101B-9397-08002B2CF9AE}" pid="4" name="RegisteredNo">
    <vt:lpwstr>53662/20</vt:lpwstr>
  </property>
</Properties>
</file>