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C87AD2" w14:textId="77777777" w:rsidR="0098410D" w:rsidRPr="00DB5C9E" w:rsidRDefault="0098410D" w:rsidP="00DB5C9E">
      <w:pPr>
        <w:jc w:val="center"/>
      </w:pPr>
    </w:p>
    <w:p w14:paraId="761C8C26" w14:textId="77777777" w:rsidR="0098410D" w:rsidRPr="00DB5C9E" w:rsidRDefault="00445208" w:rsidP="00DB5C9E">
      <w:pPr>
        <w:pStyle w:val="DecHTitle"/>
        <w:keepNext w:val="0"/>
        <w:keepLines w:val="0"/>
      </w:pPr>
      <w:r>
        <w:t>SEKCJA PIĄTA</w:t>
      </w:r>
    </w:p>
    <w:p w14:paraId="4039810B" w14:textId="77777777" w:rsidR="008E6217" w:rsidRPr="00DB5C9E" w:rsidRDefault="00445208" w:rsidP="00DB5C9E">
      <w:pPr>
        <w:pStyle w:val="JuTitle"/>
        <w:keepNext w:val="0"/>
        <w:keepLines w:val="0"/>
      </w:pPr>
      <w:r>
        <w:t>SPRAWA SIMONCINI przeciwko SAN MARINO</w:t>
      </w:r>
    </w:p>
    <w:p w14:paraId="79186AEB" w14:textId="77777777" w:rsidR="00D74888" w:rsidRPr="00DB5C9E" w:rsidRDefault="00445208" w:rsidP="00DB5C9E">
      <w:pPr>
        <w:pStyle w:val="ECHRCoverTitle4"/>
        <w:keepNext w:val="0"/>
        <w:keepLines w:val="0"/>
      </w:pPr>
      <w:r>
        <w:t>(skarga nr 14396/24)</w:t>
      </w:r>
    </w:p>
    <w:p w14:paraId="38CAB71A" w14:textId="77777777" w:rsidR="0098410D" w:rsidRPr="00DB5C9E" w:rsidRDefault="0098410D" w:rsidP="00DB5C9E">
      <w:pPr>
        <w:pStyle w:val="DecHCase"/>
        <w:keepNext w:val="0"/>
        <w:keepLines w:val="0"/>
      </w:pPr>
    </w:p>
    <w:p w14:paraId="53DF327E" w14:textId="77777777" w:rsidR="0098410D" w:rsidRPr="00DB5C9E" w:rsidRDefault="00445208" w:rsidP="00DB5C9E">
      <w:pPr>
        <w:pStyle w:val="DecHCase"/>
        <w:keepNext w:val="0"/>
        <w:keepLines w:val="0"/>
      </w:pPr>
      <w:r>
        <w:t>WYROK</w:t>
      </w:r>
    </w:p>
    <w:p w14:paraId="34A0E1A4" w14:textId="0C8A6DB2" w:rsidR="00DB5C9E" w:rsidRPr="00446BA2" w:rsidRDefault="00445208" w:rsidP="00DB5C9E">
      <w:pPr>
        <w:pBdr>
          <w:top w:val="single" w:sz="4" w:space="1" w:color="auto"/>
          <w:left w:val="single" w:sz="4" w:space="4" w:color="auto"/>
          <w:bottom w:val="single" w:sz="4" w:space="1" w:color="auto"/>
          <w:right w:val="single" w:sz="4" w:space="4" w:color="auto"/>
        </w:pBdr>
        <w:jc w:val="both"/>
        <w:rPr>
          <w:sz w:val="16"/>
          <w:szCs w:val="16"/>
        </w:rPr>
      </w:pPr>
      <w:r w:rsidRPr="00446BA2">
        <w:rPr>
          <w:sz w:val="16"/>
          <w:szCs w:val="22"/>
        </w:rPr>
        <w:t>Art. 6 ust. 1 (aspekt cywilny) • Sprawiedliwe rozpatrzenie sprawy • Stwierdzenie nieważności z urzędu przez Radę Sądownictwa (CGP) powołania skarżącego na stanowisko sędziego pierwszej instancji po zastosowaniu prawa działającego wstecz • Rzeczywisty i poważny spór dotyczący prawa o charakterze cywilnym, dającego się uzasadnić na gruncie prawa krajowego • Postępowanie administracyjne, w którym zaskarżono stwierdzenie nieważności, mające bezpośredni wpływ na prawa skarżącego • Art. 6 mający zastosowanie • Interwencja władzy ustawodawczej, do której doszło w trakcie odrębnego postępowania wszczętego przez innych kandydatów, kwestionujących powołanie skarżącego, i przed wszczęciem przez niego postępowania • Niewystarczające uwzględnienie zasady nieusuwalności sędziów w trakcie kadencji • Wprowadzenie ustawodawstwa stanowiącego nieuzasadnione arbitralne działanie, mające na celu obejście zasady państwa prawa i rzetelnego procesu sądowego • Naruszenie zasady równości broni, czyniące sprawę wniesioną przez skarżącego niemożliwą do wygrania • Brak jakichkolwiek istotnych względów interesu ogólnego, zdolnych przeważyć nad niebezpieczeństwami nieodłącznie związanymi ze</w:t>
      </w:r>
      <w:r w:rsidR="004A30F0">
        <w:rPr>
          <w:sz w:val="16"/>
          <w:szCs w:val="22"/>
        </w:rPr>
        <w:t> </w:t>
      </w:r>
      <w:r w:rsidRPr="00446BA2">
        <w:rPr>
          <w:sz w:val="16"/>
          <w:szCs w:val="22"/>
        </w:rPr>
        <w:t>stosowaniem ustawodawstwa ze wsteczną mocą obowiązującą</w:t>
      </w:r>
    </w:p>
    <w:p w14:paraId="1AFD3090" w14:textId="77777777" w:rsidR="00DB5C9E" w:rsidRPr="00446BA2" w:rsidRDefault="00445208" w:rsidP="00DB5C9E">
      <w:pPr>
        <w:pBdr>
          <w:top w:val="single" w:sz="4" w:space="1" w:color="auto"/>
          <w:left w:val="single" w:sz="4" w:space="4" w:color="auto"/>
          <w:bottom w:val="single" w:sz="4" w:space="1" w:color="auto"/>
          <w:right w:val="single" w:sz="4" w:space="4" w:color="auto"/>
        </w:pBdr>
        <w:jc w:val="both"/>
        <w:rPr>
          <w:sz w:val="16"/>
          <w:szCs w:val="16"/>
        </w:rPr>
      </w:pPr>
      <w:r w:rsidRPr="00446BA2">
        <w:rPr>
          <w:sz w:val="16"/>
          <w:szCs w:val="22"/>
        </w:rPr>
        <w:t>Art. 6 ust. 1 (aspekt cywilny) • Postępowanie przeprowadzono w „rozsądnym terminie”</w:t>
      </w:r>
    </w:p>
    <w:p w14:paraId="7E3CD1EF" w14:textId="1E590CA5" w:rsidR="00DB5C9E" w:rsidRPr="00446BA2" w:rsidRDefault="00445208" w:rsidP="00DB5C9E">
      <w:pPr>
        <w:pBdr>
          <w:top w:val="single" w:sz="4" w:space="1" w:color="auto"/>
          <w:left w:val="single" w:sz="4" w:space="4" w:color="auto"/>
          <w:bottom w:val="single" w:sz="4" w:space="1" w:color="auto"/>
          <w:right w:val="single" w:sz="4" w:space="4" w:color="auto"/>
        </w:pBdr>
        <w:jc w:val="both"/>
        <w:rPr>
          <w:sz w:val="16"/>
          <w:szCs w:val="16"/>
        </w:rPr>
      </w:pPr>
      <w:r w:rsidRPr="00446BA2">
        <w:rPr>
          <w:sz w:val="16"/>
          <w:szCs w:val="22"/>
        </w:rPr>
        <w:t>Art. 8 • Życie prywatne • Nieuzasadnione stwierdzenie nieważności przez CGP powołania skarżącego na stanowisko sędziego pierwszej instancji • Art. 8 mający zastosowanie zgodnie z podejściem skutkowym • Wystarczająco poważny skumulowany efekt, wpływający w bardzo znacznym stopniu na prawo skarżącego do życia prywatnego • Brak uznania tego prawa przez sądy krajowe lub odpowiedniego wyważenia go względem innych interesów</w:t>
      </w:r>
      <w:r w:rsidR="00E4312D">
        <w:rPr>
          <w:sz w:val="16"/>
          <w:szCs w:val="22"/>
        </w:rPr>
        <w:t xml:space="preserve"> rzekomo wchodzących w grę</w:t>
      </w:r>
      <w:r w:rsidRPr="00446BA2">
        <w:rPr>
          <w:sz w:val="16"/>
          <w:szCs w:val="22"/>
        </w:rPr>
        <w:t xml:space="preserve"> • Niespełniony wymóg legalności • Brak istotnych i wystarczających powodów uzasadniających niezbędność istnienia zaskarżonego środka w społeczeństwie demokratycznym</w:t>
      </w:r>
    </w:p>
    <w:p w14:paraId="7E4EC4EB" w14:textId="77777777" w:rsidR="00DB5C9E" w:rsidRPr="00DB5C9E" w:rsidRDefault="00DB5C9E" w:rsidP="00DB5C9E">
      <w:pPr>
        <w:pBdr>
          <w:top w:val="single" w:sz="4" w:space="1" w:color="auto"/>
          <w:left w:val="single" w:sz="4" w:space="4" w:color="auto"/>
          <w:bottom w:val="single" w:sz="4" w:space="1" w:color="auto"/>
          <w:right w:val="single" w:sz="4" w:space="4" w:color="auto"/>
        </w:pBdr>
        <w:jc w:val="center"/>
        <w:rPr>
          <w:sz w:val="12"/>
          <w:szCs w:val="12"/>
        </w:rPr>
      </w:pPr>
    </w:p>
    <w:p w14:paraId="2EE55865" w14:textId="77777777" w:rsidR="00DB5C9E" w:rsidRPr="00DB5C9E" w:rsidRDefault="00445208" w:rsidP="00DB5C9E">
      <w:pPr>
        <w:pBdr>
          <w:top w:val="single" w:sz="4" w:space="1" w:color="auto"/>
          <w:left w:val="single" w:sz="4" w:space="4" w:color="auto"/>
          <w:bottom w:val="single" w:sz="4" w:space="1" w:color="auto"/>
          <w:right w:val="single" w:sz="4" w:space="4" w:color="auto"/>
        </w:pBdr>
        <w:jc w:val="center"/>
        <w:rPr>
          <w:sz w:val="14"/>
          <w:szCs w:val="14"/>
        </w:rPr>
      </w:pPr>
      <w:r>
        <w:rPr>
          <w:sz w:val="14"/>
        </w:rPr>
        <w:t>Streszczenie przygotowane przez Kancelarię. Nie jest wiążące dla Trybunału.</w:t>
      </w:r>
    </w:p>
    <w:p w14:paraId="2F7CD942" w14:textId="77777777" w:rsidR="00DB5C9E" w:rsidRPr="00DB5C9E" w:rsidRDefault="00DB5C9E" w:rsidP="00DB5C9E">
      <w:pPr>
        <w:pStyle w:val="DecHCase"/>
        <w:keepNext w:val="0"/>
        <w:keepLines w:val="0"/>
      </w:pPr>
    </w:p>
    <w:p w14:paraId="63A78627" w14:textId="77777777" w:rsidR="0098410D" w:rsidRPr="00DB5C9E" w:rsidRDefault="00445208" w:rsidP="00DB5C9E">
      <w:pPr>
        <w:pStyle w:val="DecHCase"/>
        <w:keepNext w:val="0"/>
        <w:keepLines w:val="0"/>
      </w:pPr>
      <w:r>
        <w:t>STRASBURG</w:t>
      </w:r>
    </w:p>
    <w:p w14:paraId="2CD26375" w14:textId="77777777" w:rsidR="0098410D" w:rsidRPr="00DB5C9E" w:rsidRDefault="00445208" w:rsidP="00DB5C9E">
      <w:pPr>
        <w:pStyle w:val="DecHCase"/>
        <w:keepNext w:val="0"/>
        <w:keepLines w:val="0"/>
      </w:pPr>
      <w:r>
        <w:rPr>
          <w:rFonts w:ascii="Times New Roman" w:hAnsi="Times New Roman"/>
        </w:rPr>
        <w:t>19 lutego 2026 r.</w:t>
      </w:r>
    </w:p>
    <w:p w14:paraId="54086F6A" w14:textId="77777777" w:rsidR="002422B6" w:rsidRPr="00DB5C9E" w:rsidRDefault="00445208" w:rsidP="00DB5C9E">
      <w:pPr>
        <w:rPr>
          <w:i/>
          <w:sz w:val="22"/>
        </w:rPr>
      </w:pPr>
      <w:r>
        <w:rPr>
          <w:i/>
          <w:sz w:val="22"/>
        </w:rPr>
        <w:t>Niniejszy wyrok stał się ostateczny na warunkach określonych w art. 44 ust. 2 Konwencji. Może on podlegać korekcie wydawniczej.</w:t>
      </w:r>
    </w:p>
    <w:p w14:paraId="62A714F7" w14:textId="77777777" w:rsidR="0098410D" w:rsidRPr="00DB5C9E" w:rsidRDefault="0098410D" w:rsidP="00DB5C9E">
      <w:pPr>
        <w:sectPr w:rsidR="0098410D" w:rsidRPr="00DB5C9E" w:rsidSect="00D66471">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3EDC314E" w14:textId="77777777" w:rsidR="0098410D" w:rsidRPr="00DB5C9E" w:rsidRDefault="00445208" w:rsidP="00DB5C9E">
      <w:pPr>
        <w:pStyle w:val="JuCase"/>
      </w:pPr>
      <w:r>
        <w:lastRenderedPageBreak/>
        <w:t xml:space="preserve">W sprawie </w:t>
      </w:r>
      <w:proofErr w:type="spellStart"/>
      <w:r>
        <w:t>Simoncini</w:t>
      </w:r>
      <w:proofErr w:type="spellEnd"/>
      <w:r>
        <w:t xml:space="preserve"> przeciwko San Marino,</w:t>
      </w:r>
    </w:p>
    <w:p w14:paraId="205C548E" w14:textId="77777777" w:rsidR="009F4C8F" w:rsidRPr="00DB5C9E" w:rsidRDefault="00445208" w:rsidP="00DB5C9E">
      <w:pPr>
        <w:pStyle w:val="JuPara"/>
      </w:pPr>
      <w:r>
        <w:t>Europejski Trybunał Praw Człowieka (Sekcja Piąta), zasiadając jako Izba w składzie:</w:t>
      </w:r>
    </w:p>
    <w:p w14:paraId="11248F8D" w14:textId="77777777" w:rsidR="00A92625" w:rsidRPr="00DB5C9E" w:rsidRDefault="00445208" w:rsidP="00DB5C9E">
      <w:pPr>
        <w:pStyle w:val="JuJudges"/>
      </w:pPr>
      <w:r>
        <w:tab/>
      </w:r>
      <w:proofErr w:type="spellStart"/>
      <w:r>
        <w:t>Kateřina</w:t>
      </w:r>
      <w:proofErr w:type="spellEnd"/>
      <w:r>
        <w:t xml:space="preserve"> </w:t>
      </w:r>
      <w:proofErr w:type="spellStart"/>
      <w:r>
        <w:t>Šimáčková</w:t>
      </w:r>
      <w:proofErr w:type="spellEnd"/>
      <w:r>
        <w:t xml:space="preserve">, </w:t>
      </w:r>
      <w:r>
        <w:rPr>
          <w:i/>
          <w:iCs/>
        </w:rPr>
        <w:t>Przewodnicząca</w:t>
      </w:r>
      <w:r>
        <w:t>,</w:t>
      </w:r>
      <w:r>
        <w:br/>
      </w:r>
      <w:r>
        <w:tab/>
      </w:r>
      <w:proofErr w:type="spellStart"/>
      <w:r>
        <w:t>María</w:t>
      </w:r>
      <w:proofErr w:type="spellEnd"/>
      <w:r>
        <w:t xml:space="preserve"> </w:t>
      </w:r>
      <w:proofErr w:type="spellStart"/>
      <w:r>
        <w:t>Elósegui</w:t>
      </w:r>
      <w:proofErr w:type="spellEnd"/>
      <w:r>
        <w:t>,</w:t>
      </w:r>
      <w:r>
        <w:br/>
      </w:r>
      <w:r>
        <w:tab/>
        <w:t xml:space="preserve">Georgios A. </w:t>
      </w:r>
      <w:proofErr w:type="spellStart"/>
      <w:r>
        <w:t>Serghides</w:t>
      </w:r>
      <w:proofErr w:type="spellEnd"/>
      <w:r>
        <w:t>,</w:t>
      </w:r>
      <w:r>
        <w:br/>
      </w:r>
      <w:r>
        <w:tab/>
        <w:t xml:space="preserve">Gilberto </w:t>
      </w:r>
      <w:proofErr w:type="spellStart"/>
      <w:r>
        <w:t>Felici</w:t>
      </w:r>
      <w:proofErr w:type="spellEnd"/>
      <w:r>
        <w:t>,</w:t>
      </w:r>
      <w:r>
        <w:br/>
      </w:r>
      <w:r>
        <w:tab/>
        <w:t xml:space="preserve">Andreas </w:t>
      </w:r>
      <w:proofErr w:type="spellStart"/>
      <w:r>
        <w:t>Zünd</w:t>
      </w:r>
      <w:proofErr w:type="spellEnd"/>
      <w:r>
        <w:t>,</w:t>
      </w:r>
      <w:r>
        <w:br/>
      </w:r>
      <w:r>
        <w:tab/>
        <w:t xml:space="preserve">Diana </w:t>
      </w:r>
      <w:proofErr w:type="spellStart"/>
      <w:r>
        <w:t>Sârcu</w:t>
      </w:r>
      <w:proofErr w:type="spellEnd"/>
      <w:r>
        <w:t>,</w:t>
      </w:r>
      <w:r>
        <w:br/>
      </w:r>
      <w:r>
        <w:tab/>
      </w:r>
      <w:proofErr w:type="spellStart"/>
      <w:r>
        <w:t>Sébastien</w:t>
      </w:r>
      <w:proofErr w:type="spellEnd"/>
      <w:r>
        <w:t xml:space="preserve"> </w:t>
      </w:r>
      <w:proofErr w:type="spellStart"/>
      <w:r>
        <w:t>Biancheri</w:t>
      </w:r>
      <w:proofErr w:type="spellEnd"/>
      <w:r>
        <w:t xml:space="preserve">, </w:t>
      </w:r>
      <w:r>
        <w:rPr>
          <w:i/>
          <w:iCs/>
        </w:rPr>
        <w:t>sędziowie</w:t>
      </w:r>
      <w:r>
        <w:t>,</w:t>
      </w:r>
      <w:r>
        <w:br/>
        <w:t xml:space="preserve">oraz Victor </w:t>
      </w:r>
      <w:proofErr w:type="spellStart"/>
      <w:r>
        <w:t>Soloveytchik</w:t>
      </w:r>
      <w:proofErr w:type="spellEnd"/>
      <w:r>
        <w:t xml:space="preserve">, </w:t>
      </w:r>
      <w:r>
        <w:rPr>
          <w:i/>
          <w:iCs/>
        </w:rPr>
        <w:t>Kanclerz Sekcji</w:t>
      </w:r>
      <w:r>
        <w:t>,</w:t>
      </w:r>
    </w:p>
    <w:p w14:paraId="42A3BE08" w14:textId="77777777" w:rsidR="00F5142C" w:rsidRPr="00DB5C9E" w:rsidRDefault="00445208" w:rsidP="00DB5C9E">
      <w:pPr>
        <w:pStyle w:val="JuPara"/>
      </w:pPr>
      <w:r>
        <w:t>mając na uwadze:</w:t>
      </w:r>
    </w:p>
    <w:p w14:paraId="1EBE2062" w14:textId="11F7BE33" w:rsidR="00F5142C" w:rsidRPr="00DB5C9E" w:rsidRDefault="00445208" w:rsidP="00DB5C9E">
      <w:pPr>
        <w:pStyle w:val="JuPara"/>
      </w:pPr>
      <w:r>
        <w:t>skargę (nr 14396/24) przeciwko Republice San Marino wniesioną do</w:t>
      </w:r>
      <w:r w:rsidR="00952B30">
        <w:t> </w:t>
      </w:r>
      <w:r>
        <w:t>Trybunału w dniu 9 maja 2024 r. na podstawie art. 34 Konwencji o</w:t>
      </w:r>
      <w:r w:rsidR="00952B30">
        <w:t> </w:t>
      </w:r>
      <w:r>
        <w:t xml:space="preserve">ochronie praw człowieka i podstawowych wolności („Konwencja”) przez obywatela sanmaryńskiego, </w:t>
      </w:r>
      <w:r w:rsidR="00E4312D">
        <w:t xml:space="preserve">pana </w:t>
      </w:r>
      <w:proofErr w:type="spellStart"/>
      <w:r>
        <w:t>Massimiliana</w:t>
      </w:r>
      <w:proofErr w:type="spellEnd"/>
      <w:r>
        <w:t xml:space="preserve"> </w:t>
      </w:r>
      <w:proofErr w:type="spellStart"/>
      <w:r>
        <w:t>Simonciniego</w:t>
      </w:r>
      <w:proofErr w:type="spellEnd"/>
      <w:r>
        <w:t xml:space="preserve"> („skarżący”);</w:t>
      </w:r>
    </w:p>
    <w:p w14:paraId="7EED2385" w14:textId="3EEE7422" w:rsidR="00F5142C" w:rsidRPr="00DB5C9E" w:rsidRDefault="00445208" w:rsidP="00DB5C9E">
      <w:pPr>
        <w:pStyle w:val="JuPara"/>
      </w:pPr>
      <w:r>
        <w:t>decyzję o zakomunikowaniu Rządowi San Marino („Rząd”) sprawy dotyczącej art. 6 i 8 Konwencji (w związku z postępowaniem krajowym o</w:t>
      </w:r>
      <w:r w:rsidR="00952B30">
        <w:t> </w:t>
      </w:r>
      <w:r>
        <w:t>sygn. 37/2020) i uznaniu pozostałej części skargi za niedopuszczalną;</w:t>
      </w:r>
    </w:p>
    <w:p w14:paraId="6A788FF0" w14:textId="77777777" w:rsidR="00F5142C" w:rsidRPr="00DB5C9E" w:rsidRDefault="00445208" w:rsidP="00DB5C9E">
      <w:pPr>
        <w:pStyle w:val="JuPara"/>
      </w:pPr>
      <w:r>
        <w:t>uwagi stron;</w:t>
      </w:r>
    </w:p>
    <w:p w14:paraId="2E36D64F" w14:textId="53721CD5" w:rsidR="0097743A" w:rsidRPr="00DB5C9E" w:rsidRDefault="00445208" w:rsidP="00DB5C9E">
      <w:pPr>
        <w:pStyle w:val="JuPara"/>
      </w:pPr>
      <w:r>
        <w:t xml:space="preserve">decyzję o oddaleniu wniosku Rządu o wyłączenie sędziego Gilberta </w:t>
      </w:r>
      <w:proofErr w:type="spellStart"/>
      <w:r>
        <w:t>Feliciego</w:t>
      </w:r>
      <w:proofErr w:type="spellEnd"/>
      <w:r>
        <w:t xml:space="preserve">, wybranego z ramienia San Marino, </w:t>
      </w:r>
      <w:r w:rsidR="00952B30">
        <w:t>z</w:t>
      </w:r>
      <w:r>
        <w:t xml:space="preserve"> wrześni</w:t>
      </w:r>
      <w:r w:rsidR="00952B30">
        <w:t>a</w:t>
      </w:r>
      <w:r>
        <w:t xml:space="preserve"> 2025 r. (Reguła 28 §§ 3 i 4 Regulaminu Trybunału)</w:t>
      </w:r>
      <w:r w:rsidR="00B63F57">
        <w:t>,</w:t>
      </w:r>
    </w:p>
    <w:p w14:paraId="08C872AA" w14:textId="77777777" w:rsidR="009F4C8F" w:rsidRPr="00DB5C9E" w:rsidRDefault="00445208" w:rsidP="00DB5C9E">
      <w:pPr>
        <w:pStyle w:val="JuPara"/>
      </w:pPr>
      <w:r>
        <w:t>obradując na posiedzeniu niejawnym w dniu 27 stycznia 2026 r.,</w:t>
      </w:r>
    </w:p>
    <w:p w14:paraId="0CE38EB2" w14:textId="77777777" w:rsidR="009F4C8F" w:rsidRPr="00DB5C9E" w:rsidRDefault="00445208" w:rsidP="00DB5C9E">
      <w:pPr>
        <w:pStyle w:val="JuPara"/>
      </w:pPr>
      <w:r>
        <w:t>wydaje następujący wyrok, który został przyjęty w tym dniu:</w:t>
      </w:r>
    </w:p>
    <w:p w14:paraId="10E5F937" w14:textId="77777777" w:rsidR="00F5142C" w:rsidRPr="00DB5C9E" w:rsidRDefault="00445208" w:rsidP="00DB5C9E">
      <w:pPr>
        <w:pStyle w:val="JuHHead"/>
        <w:numPr>
          <w:ilvl w:val="0"/>
          <w:numId w:val="0"/>
        </w:numPr>
      </w:pPr>
      <w:r>
        <w:t>WPROWADZENIE</w:t>
      </w:r>
    </w:p>
    <w:p w14:paraId="61966F72" w14:textId="10AF3849" w:rsidR="00F5142C" w:rsidRPr="00DB5C9E" w:rsidRDefault="00446BA2" w:rsidP="00DB5C9E">
      <w:pPr>
        <w:pStyle w:val="JuPara"/>
        <w:rPr>
          <w:rFonts w:ascii="Times New Roman" w:eastAsia="Times New Roman" w:hAnsi="Times New Roman" w:cs="Times New Roman"/>
        </w:rPr>
      </w:pPr>
      <w:fldSimple w:instr=" SEQ level0 \*arabic \* MERGEFORMAT ">
        <w:r>
          <w:rPr>
            <w:noProof/>
          </w:rPr>
          <w:t>1</w:t>
        </w:r>
      </w:fldSimple>
      <w:r w:rsidR="00445208">
        <w:t>.  </w:t>
      </w:r>
      <w:r w:rsidR="00445208">
        <w:rPr>
          <w:rFonts w:ascii="Times New Roman" w:hAnsi="Times New Roman"/>
        </w:rPr>
        <w:t>Skarga dotyczy postępowa</w:t>
      </w:r>
      <w:r w:rsidR="00B63F57">
        <w:rPr>
          <w:rFonts w:ascii="Times New Roman" w:hAnsi="Times New Roman"/>
        </w:rPr>
        <w:t>nia</w:t>
      </w:r>
      <w:r w:rsidR="00445208">
        <w:rPr>
          <w:rFonts w:ascii="Times New Roman" w:hAnsi="Times New Roman"/>
        </w:rPr>
        <w:t xml:space="preserve"> związan</w:t>
      </w:r>
      <w:r w:rsidR="00B63F57">
        <w:rPr>
          <w:rFonts w:ascii="Times New Roman" w:hAnsi="Times New Roman"/>
        </w:rPr>
        <w:t>ego</w:t>
      </w:r>
      <w:r w:rsidR="00445208">
        <w:rPr>
          <w:rFonts w:ascii="Times New Roman" w:hAnsi="Times New Roman"/>
        </w:rPr>
        <w:t xml:space="preserve"> ze stwierdzeniem nieważności powołania skarżącego na stanowisko </w:t>
      </w:r>
      <w:proofErr w:type="spellStart"/>
      <w:r w:rsidR="00816DD8">
        <w:rPr>
          <w:rFonts w:ascii="Times New Roman" w:hAnsi="Times New Roman"/>
        </w:rPr>
        <w:t>CoL</w:t>
      </w:r>
      <w:proofErr w:type="spellEnd"/>
      <w:r w:rsidR="00816DD8">
        <w:rPr>
          <w:rFonts w:ascii="Times New Roman" w:hAnsi="Times New Roman"/>
        </w:rPr>
        <w:t xml:space="preserve"> </w:t>
      </w:r>
      <w:r w:rsidR="00445208">
        <w:rPr>
          <w:rFonts w:ascii="Times New Roman" w:hAnsi="Times New Roman"/>
        </w:rPr>
        <w:t>(</w:t>
      </w:r>
      <w:proofErr w:type="spellStart"/>
      <w:r w:rsidR="00445208">
        <w:rPr>
          <w:rFonts w:ascii="Times New Roman" w:hAnsi="Times New Roman"/>
          <w:i/>
          <w:iCs/>
        </w:rPr>
        <w:t>Commissario</w:t>
      </w:r>
      <w:proofErr w:type="spellEnd"/>
      <w:r w:rsidR="00445208">
        <w:rPr>
          <w:rFonts w:ascii="Times New Roman" w:hAnsi="Times New Roman"/>
          <w:i/>
          <w:iCs/>
        </w:rPr>
        <w:t xml:space="preserve"> </w:t>
      </w:r>
      <w:proofErr w:type="spellStart"/>
      <w:r w:rsidR="00445208">
        <w:rPr>
          <w:rFonts w:ascii="Times New Roman" w:hAnsi="Times New Roman"/>
          <w:i/>
          <w:iCs/>
        </w:rPr>
        <w:t>della</w:t>
      </w:r>
      <w:proofErr w:type="spellEnd"/>
      <w:r w:rsidR="00445208">
        <w:rPr>
          <w:rFonts w:ascii="Times New Roman" w:hAnsi="Times New Roman"/>
          <w:i/>
          <w:iCs/>
        </w:rPr>
        <w:t xml:space="preserve"> </w:t>
      </w:r>
      <w:proofErr w:type="spellStart"/>
      <w:r w:rsidR="00445208">
        <w:rPr>
          <w:rFonts w:ascii="Times New Roman" w:hAnsi="Times New Roman"/>
          <w:i/>
          <w:iCs/>
        </w:rPr>
        <w:t>Legge</w:t>
      </w:r>
      <w:proofErr w:type="spellEnd"/>
      <w:r w:rsidR="00445208">
        <w:rPr>
          <w:rFonts w:ascii="Times New Roman" w:hAnsi="Times New Roman"/>
        </w:rPr>
        <w:t xml:space="preserve"> – organ sądowy w sądach powszechnych pierwszej instancji). Podniesiono w niej zarzuty na podstawie art. 6 i 8 Konwencji.</w:t>
      </w:r>
    </w:p>
    <w:p w14:paraId="633E58A8" w14:textId="77777777" w:rsidR="00F5142C" w:rsidRPr="00DB5C9E" w:rsidRDefault="00445208" w:rsidP="00DB5C9E">
      <w:pPr>
        <w:pStyle w:val="JuHHead"/>
      </w:pPr>
      <w:r>
        <w:t>FAKTY</w:t>
      </w:r>
    </w:p>
    <w:p w14:paraId="69DC029D" w14:textId="77777777" w:rsidR="00F5142C" w:rsidRPr="00DB5C9E" w:rsidRDefault="00446BA2" w:rsidP="00DB5C9E">
      <w:pPr>
        <w:pStyle w:val="JuPara"/>
      </w:pPr>
      <w:fldSimple w:instr=" SEQ level0 \*arabic \* MERGEFORMAT ">
        <w:r>
          <w:rPr>
            <w:noProof/>
          </w:rPr>
          <w:t>2</w:t>
        </w:r>
      </w:fldSimple>
      <w:r w:rsidR="00445208">
        <w:t xml:space="preserve">.  Skarżący urodził się w 1963 r. i mieszka w </w:t>
      </w:r>
      <w:proofErr w:type="spellStart"/>
      <w:r w:rsidR="00445208">
        <w:t>Montegiardino</w:t>
      </w:r>
      <w:proofErr w:type="spellEnd"/>
      <w:r w:rsidR="00445208">
        <w:t xml:space="preserve">. Reprezentował go pan E. Santi, prawnik praktykujący w </w:t>
      </w:r>
      <w:proofErr w:type="spellStart"/>
      <w:r w:rsidR="00445208">
        <w:t>Borgo</w:t>
      </w:r>
      <w:proofErr w:type="spellEnd"/>
      <w:r w:rsidR="00445208">
        <w:t xml:space="preserve"> Maggiore.</w:t>
      </w:r>
    </w:p>
    <w:p w14:paraId="385D3C38" w14:textId="77777777" w:rsidR="00F5142C" w:rsidRPr="00DB5C9E" w:rsidRDefault="00446BA2" w:rsidP="00DB5C9E">
      <w:pPr>
        <w:pStyle w:val="JuPara"/>
      </w:pPr>
      <w:fldSimple w:instr=" SEQ level0 \*arabic \* MERGEFORMAT ">
        <w:r>
          <w:rPr>
            <w:noProof/>
          </w:rPr>
          <w:t>3</w:t>
        </w:r>
      </w:fldSimple>
      <w:r w:rsidR="00445208">
        <w:t xml:space="preserve">.  Rząd był reprezentowany przez swojego Pełnomocnika, panią S. </w:t>
      </w:r>
      <w:proofErr w:type="spellStart"/>
      <w:r w:rsidR="00445208">
        <w:t>Bernardi</w:t>
      </w:r>
      <w:proofErr w:type="spellEnd"/>
      <w:r w:rsidR="00445208">
        <w:t>, przedstawicielkę San Marino przed Trybunałem.</w:t>
      </w:r>
    </w:p>
    <w:p w14:paraId="6BDBFB7F" w14:textId="77777777" w:rsidR="00F5142C" w:rsidRPr="00DB5C9E" w:rsidRDefault="00446BA2" w:rsidP="00DB5C9E">
      <w:pPr>
        <w:pStyle w:val="JuPara"/>
      </w:pPr>
      <w:fldSimple w:instr=" SEQ level0 \*arabic \* MERGEFORMAT ">
        <w:r>
          <w:rPr>
            <w:noProof/>
          </w:rPr>
          <w:t>4</w:t>
        </w:r>
      </w:fldSimple>
      <w:r w:rsidR="00445208">
        <w:t>.  Okoliczności faktyczne sprawy można streścić w następujący sposób.</w:t>
      </w:r>
    </w:p>
    <w:p w14:paraId="714C1817" w14:textId="77777777" w:rsidR="00F5142C" w:rsidRPr="00DB5C9E" w:rsidRDefault="00445208" w:rsidP="00DB5C9E">
      <w:pPr>
        <w:pStyle w:val="JuHIRoman"/>
        <w:numPr>
          <w:ilvl w:val="0"/>
          <w:numId w:val="0"/>
        </w:numPr>
        <w:ind w:left="369"/>
      </w:pPr>
      <w:r>
        <w:lastRenderedPageBreak/>
        <w:t>OKOLICZNOŚCI SPRAWY</w:t>
      </w:r>
    </w:p>
    <w:p w14:paraId="0F452C5C" w14:textId="77777777" w:rsidR="00F5142C" w:rsidRPr="00DB5C9E" w:rsidRDefault="00445208" w:rsidP="00DB5C9E">
      <w:pPr>
        <w:pStyle w:val="JuHA"/>
      </w:pPr>
      <w:r>
        <w:t>Kontekst sprawy</w:t>
      </w:r>
    </w:p>
    <w:p w14:paraId="6BC37E97" w14:textId="5F606B74" w:rsidR="00F5142C" w:rsidRPr="00DB5C9E" w:rsidRDefault="00446BA2" w:rsidP="00DB5C9E">
      <w:pPr>
        <w:pStyle w:val="JuPara"/>
        <w:rPr>
          <w:rFonts w:ascii="Times New Roman" w:eastAsia="Times New Roman" w:hAnsi="Times New Roman" w:cs="Times New Roman"/>
        </w:rPr>
      </w:pPr>
      <w:fldSimple w:instr=" SEQ level0 \*arabic \* MERGEFORMAT ">
        <w:r>
          <w:rPr>
            <w:noProof/>
          </w:rPr>
          <w:t>5</w:t>
        </w:r>
      </w:fldSimple>
      <w:r w:rsidR="00445208">
        <w:t xml:space="preserve">.  W okresie istotnym dla sprawy skład </w:t>
      </w:r>
      <w:r w:rsidR="009E6743">
        <w:t>posiedzenia plenarnego</w:t>
      </w:r>
      <w:r w:rsidR="00445208">
        <w:t xml:space="preserve"> Rady Sądownictwa (</w:t>
      </w:r>
      <w:proofErr w:type="spellStart"/>
      <w:r w:rsidR="00445208" w:rsidRPr="008B4950">
        <w:rPr>
          <w:i/>
          <w:iCs/>
        </w:rPr>
        <w:t>Consiglio</w:t>
      </w:r>
      <w:proofErr w:type="spellEnd"/>
      <w:r w:rsidR="00445208" w:rsidRPr="008B4950">
        <w:rPr>
          <w:i/>
          <w:iCs/>
        </w:rPr>
        <w:t xml:space="preserve"> </w:t>
      </w:r>
      <w:proofErr w:type="spellStart"/>
      <w:r w:rsidR="00445208" w:rsidRPr="008B4950">
        <w:rPr>
          <w:i/>
          <w:iCs/>
        </w:rPr>
        <w:t>Giudiziario</w:t>
      </w:r>
      <w:proofErr w:type="spellEnd"/>
      <w:r w:rsidR="00445208" w:rsidRPr="008B4950">
        <w:rPr>
          <w:i/>
          <w:iCs/>
        </w:rPr>
        <w:t xml:space="preserve"> </w:t>
      </w:r>
      <w:proofErr w:type="spellStart"/>
      <w:r w:rsidR="00445208" w:rsidRPr="008B4950">
        <w:rPr>
          <w:i/>
          <w:iCs/>
        </w:rPr>
        <w:t>Plenario</w:t>
      </w:r>
      <w:proofErr w:type="spellEnd"/>
      <w:r w:rsidR="00445208">
        <w:t xml:space="preserve">, dalej: „CGP”) regulowała ustawa kwalifikowana nr 145/2003 ze zmianami wynikającymi z ustawy kwalifikowanej nr 2/2011 (zob. par. </w:t>
      </w:r>
      <w:r w:rsidR="00445208" w:rsidRPr="00DB5C9E">
        <w:rPr>
          <w:rFonts w:ascii="Times New Roman" w:eastAsia="Times New Roman" w:hAnsi="Times New Roman" w:cs="Times New Roman"/>
        </w:rPr>
        <w:fldChar w:fldCharType="begin"/>
      </w:r>
      <w:r w:rsidR="00445208" w:rsidRPr="00DB5C9E">
        <w:rPr>
          <w:rFonts w:ascii="Times New Roman" w:eastAsia="Times New Roman" w:hAnsi="Times New Roman" w:cs="Times New Roman"/>
        </w:rPr>
        <w:instrText xml:space="preserve">REF paragraph00057 \h \* CharFormat </w:instrText>
      </w:r>
      <w:r w:rsidR="00445208" w:rsidRPr="00DB5C9E">
        <w:rPr>
          <w:rFonts w:ascii="Times New Roman" w:eastAsia="Times New Roman" w:hAnsi="Times New Roman" w:cs="Times New Roman"/>
        </w:rPr>
      </w:r>
      <w:r w:rsidR="00445208" w:rsidRPr="00DB5C9E">
        <w:rPr>
          <w:rFonts w:ascii="Times New Roman" w:eastAsia="Times New Roman" w:hAnsi="Times New Roman" w:cs="Times New Roman"/>
        </w:rPr>
        <w:fldChar w:fldCharType="separate"/>
      </w:r>
      <w:r w:rsidRPr="00446BA2">
        <w:rPr>
          <w:rFonts w:ascii="Times New Roman" w:eastAsia="Times New Roman" w:hAnsi="Times New Roman" w:cs="Times New Roman"/>
        </w:rPr>
        <w:t>57</w:t>
      </w:r>
      <w:r w:rsidR="00445208" w:rsidRPr="00DB5C9E">
        <w:rPr>
          <w:rFonts w:ascii="Times New Roman" w:eastAsia="Times New Roman" w:hAnsi="Times New Roman" w:cs="Times New Roman"/>
        </w:rPr>
        <w:fldChar w:fldCharType="end"/>
      </w:r>
      <w:r w:rsidR="00445208">
        <w:t xml:space="preserve"> poniżej). CGP składała się z</w:t>
      </w:r>
      <w:r w:rsidR="008B4950">
        <w:t> </w:t>
      </w:r>
      <w:r w:rsidR="00445208">
        <w:t>parlamentarzystów – członków Parlamentarnej Komisji Wymiaru Sprawiedliwości, Ministra Sprawiedliwości oraz sędziów, w tym Sędziego Naczelnego (</w:t>
      </w:r>
      <w:proofErr w:type="spellStart"/>
      <w:r w:rsidR="00445208">
        <w:rPr>
          <w:i/>
          <w:iCs/>
        </w:rPr>
        <w:t>Magistrato</w:t>
      </w:r>
      <w:proofErr w:type="spellEnd"/>
      <w:r w:rsidR="00445208">
        <w:rPr>
          <w:i/>
          <w:iCs/>
        </w:rPr>
        <w:t xml:space="preserve"> </w:t>
      </w:r>
      <w:proofErr w:type="spellStart"/>
      <w:r w:rsidR="00445208">
        <w:rPr>
          <w:i/>
          <w:iCs/>
        </w:rPr>
        <w:t>Dirigente</w:t>
      </w:r>
      <w:proofErr w:type="spellEnd"/>
      <w:r w:rsidR="00445208">
        <w:t xml:space="preserve"> – sędzia, któremu powierzono kierownictwo sądów i </w:t>
      </w:r>
      <w:r w:rsidR="008B4950">
        <w:t>sądownictwa</w:t>
      </w:r>
      <w:r w:rsidR="00445208">
        <w:t>). Kapitanowie Regenci (</w:t>
      </w:r>
      <w:r w:rsidR="00445208">
        <w:rPr>
          <w:i/>
          <w:iCs/>
        </w:rPr>
        <w:t xml:space="preserve">La </w:t>
      </w:r>
      <w:proofErr w:type="spellStart"/>
      <w:r w:rsidR="00445208">
        <w:rPr>
          <w:i/>
          <w:iCs/>
        </w:rPr>
        <w:t>Reggenza</w:t>
      </w:r>
      <w:proofErr w:type="spellEnd"/>
      <w:r w:rsidR="00445208">
        <w:t xml:space="preserve">, przewodniczący CGP, niemający prawa głosu) zwoływali sędziów, którzy mieli wchodzić w skład CGP, zgodnie z kryteriami ustanowionymi w art. 7 ust. 5 ustawy kwalifikowanej nr 145/2003 (zob. par. </w:t>
      </w:r>
      <w:r w:rsidR="00445208" w:rsidRPr="00DB5C9E">
        <w:rPr>
          <w:rFonts w:ascii="Times New Roman" w:eastAsia="Times New Roman" w:hAnsi="Times New Roman" w:cs="Times New Roman"/>
        </w:rPr>
        <w:fldChar w:fldCharType="begin"/>
      </w:r>
      <w:r w:rsidR="00445208" w:rsidRPr="00DB5C9E">
        <w:rPr>
          <w:rFonts w:ascii="Times New Roman" w:eastAsia="Times New Roman" w:hAnsi="Times New Roman" w:cs="Times New Roman"/>
        </w:rPr>
        <w:instrText xml:space="preserve">REF paragraph00057 \h \* CharFormat </w:instrText>
      </w:r>
      <w:r w:rsidR="00445208" w:rsidRPr="00DB5C9E">
        <w:rPr>
          <w:rFonts w:ascii="Times New Roman" w:eastAsia="Times New Roman" w:hAnsi="Times New Roman" w:cs="Times New Roman"/>
        </w:rPr>
      </w:r>
      <w:r w:rsidR="00445208" w:rsidRPr="00DB5C9E">
        <w:rPr>
          <w:rFonts w:ascii="Times New Roman" w:eastAsia="Times New Roman" w:hAnsi="Times New Roman" w:cs="Times New Roman"/>
        </w:rPr>
        <w:fldChar w:fldCharType="separate"/>
      </w:r>
      <w:r w:rsidRPr="00446BA2">
        <w:rPr>
          <w:rFonts w:ascii="Times New Roman" w:eastAsia="Times New Roman" w:hAnsi="Times New Roman" w:cs="Times New Roman"/>
        </w:rPr>
        <w:t>57</w:t>
      </w:r>
      <w:r w:rsidR="00445208" w:rsidRPr="00DB5C9E">
        <w:rPr>
          <w:rFonts w:ascii="Times New Roman" w:eastAsia="Times New Roman" w:hAnsi="Times New Roman" w:cs="Times New Roman"/>
        </w:rPr>
        <w:fldChar w:fldCharType="end"/>
      </w:r>
      <w:r w:rsidR="00445208">
        <w:t xml:space="preserve"> poniżej).</w:t>
      </w:r>
      <w:r w:rsidR="00445208">
        <w:rPr>
          <w:rFonts w:ascii="Times New Roman" w:hAnsi="Times New Roman"/>
        </w:rPr>
        <w:t xml:space="preserve"> Komponent polityczny i </w:t>
      </w:r>
      <w:r w:rsidR="008B4950">
        <w:rPr>
          <w:rFonts w:ascii="Times New Roman" w:hAnsi="Times New Roman"/>
        </w:rPr>
        <w:t xml:space="preserve">komponent </w:t>
      </w:r>
      <w:r w:rsidR="00445208">
        <w:rPr>
          <w:rFonts w:ascii="Times New Roman" w:hAnsi="Times New Roman"/>
        </w:rPr>
        <w:t>sędziowski Rady miały być sobie równe pod względem liczebności.</w:t>
      </w:r>
    </w:p>
    <w:bookmarkStart w:id="0" w:name="paragraph00006"/>
    <w:p w14:paraId="45DC5766" w14:textId="42A06FB4" w:rsidR="00F5142C" w:rsidRPr="00DB5C9E" w:rsidRDefault="00445208" w:rsidP="00DB5C9E">
      <w:pPr>
        <w:pStyle w:val="JuPara"/>
        <w:rPr>
          <w:rFonts w:ascii="Times New Roman" w:eastAsia="Times New Roman" w:hAnsi="Times New Roman" w:cs="Times New Roman"/>
        </w:rPr>
      </w:pPr>
      <w:r w:rsidRPr="00DB5C9E">
        <w:rPr>
          <w:rFonts w:ascii="Times New Roman" w:eastAsia="Times New Roman" w:hAnsi="Times New Roman" w:cs="Times New Roman"/>
        </w:rPr>
        <w:fldChar w:fldCharType="begin"/>
      </w:r>
      <w:r w:rsidRPr="00DB5C9E">
        <w:rPr>
          <w:rFonts w:ascii="Times New Roman" w:eastAsia="Times New Roman" w:hAnsi="Times New Roman" w:cs="Times New Roman"/>
        </w:rPr>
        <w:instrText xml:space="preserve"> SEQ level0 \*arabic \* MERGEFORMAT </w:instrText>
      </w:r>
      <w:r w:rsidRPr="00DB5C9E">
        <w:rPr>
          <w:rFonts w:ascii="Times New Roman" w:eastAsia="Times New Roman" w:hAnsi="Times New Roman" w:cs="Times New Roman"/>
        </w:rPr>
        <w:fldChar w:fldCharType="separate"/>
      </w:r>
      <w:r w:rsidR="00446BA2">
        <w:rPr>
          <w:rFonts w:ascii="Times New Roman" w:eastAsia="Times New Roman" w:hAnsi="Times New Roman" w:cs="Times New Roman"/>
          <w:noProof/>
        </w:rPr>
        <w:t>6</w:t>
      </w:r>
      <w:r w:rsidRPr="00DB5C9E">
        <w:rPr>
          <w:rFonts w:ascii="Times New Roman" w:eastAsia="Times New Roman" w:hAnsi="Times New Roman" w:cs="Times New Roman"/>
        </w:rPr>
        <w:fldChar w:fldCharType="end"/>
      </w:r>
      <w:bookmarkEnd w:id="0"/>
      <w:r>
        <w:rPr>
          <w:rFonts w:ascii="Times New Roman" w:hAnsi="Times New Roman"/>
        </w:rPr>
        <w:t>.  </w:t>
      </w:r>
      <w:r>
        <w:t>Po przejściu w stan spoczynku sędziego apelacyjnego A – w związku z czym na stanowiskach pozostało tylko dwóch innych</w:t>
      </w:r>
      <w:r w:rsidR="008B4950">
        <w:t xml:space="preserve"> </w:t>
      </w:r>
      <w:r>
        <w:t xml:space="preserve">sędziów </w:t>
      </w:r>
      <w:r w:rsidR="008B4950">
        <w:t xml:space="preserve">powszechnych </w:t>
      </w:r>
      <w:r>
        <w:t>sądów apelacyjnych – na jego miejsce w CGP [na posiedzeniu w dniu 5 marca 2018 r.] powołano B,</w:t>
      </w:r>
      <w:r w:rsidR="008B4950">
        <w:t xml:space="preserve"> który sprawował funkcję</w:t>
      </w:r>
      <w:r>
        <w:t xml:space="preserve"> </w:t>
      </w:r>
      <w:proofErr w:type="spellStart"/>
      <w:r>
        <w:rPr>
          <w:i/>
          <w:iCs/>
        </w:rPr>
        <w:t>Commissario</w:t>
      </w:r>
      <w:proofErr w:type="spellEnd"/>
      <w:r>
        <w:rPr>
          <w:i/>
          <w:iCs/>
        </w:rPr>
        <w:t xml:space="preserve"> </w:t>
      </w:r>
      <w:proofErr w:type="spellStart"/>
      <w:r>
        <w:rPr>
          <w:i/>
          <w:iCs/>
        </w:rPr>
        <w:t>della</w:t>
      </w:r>
      <w:proofErr w:type="spellEnd"/>
      <w:r>
        <w:rPr>
          <w:i/>
          <w:iCs/>
        </w:rPr>
        <w:t xml:space="preserve"> </w:t>
      </w:r>
      <w:proofErr w:type="spellStart"/>
      <w:r>
        <w:rPr>
          <w:i/>
          <w:iCs/>
        </w:rPr>
        <w:t>Legge</w:t>
      </w:r>
      <w:proofErr w:type="spellEnd"/>
      <w:r>
        <w:t xml:space="preserve"> (dalej: „</w:t>
      </w:r>
      <w:proofErr w:type="spellStart"/>
      <w:r w:rsidR="004F63FE">
        <w:t>CoL</w:t>
      </w:r>
      <w:proofErr w:type="spellEnd"/>
      <w:r w:rsidR="008E527C">
        <w:t xml:space="preserve"> </w:t>
      </w:r>
      <w:r>
        <w:t xml:space="preserve">”, sędzia pierwszej instancji, zob. par. </w:t>
      </w:r>
      <w:r w:rsidRPr="00DB5C9E">
        <w:rPr>
          <w:rFonts w:cstheme="minorHAnsi"/>
        </w:rPr>
        <w:fldChar w:fldCharType="begin"/>
      </w:r>
      <w:r w:rsidRPr="00DB5C9E">
        <w:rPr>
          <w:rFonts w:cstheme="minorHAnsi"/>
        </w:rPr>
        <w:instrText xml:space="preserve">REF paragraph00054 \h \* CharFormat </w:instrText>
      </w:r>
      <w:r w:rsidRPr="00DB5C9E">
        <w:rPr>
          <w:rFonts w:cstheme="minorHAnsi"/>
        </w:rPr>
      </w:r>
      <w:r w:rsidRPr="00DB5C9E">
        <w:rPr>
          <w:rFonts w:cstheme="minorHAnsi"/>
        </w:rPr>
        <w:fldChar w:fldCharType="separate"/>
      </w:r>
      <w:r w:rsidR="00446BA2" w:rsidRPr="00446BA2">
        <w:rPr>
          <w:rFonts w:cstheme="minorHAnsi"/>
        </w:rPr>
        <w:t>54</w:t>
      </w:r>
      <w:r w:rsidRPr="00DB5C9E">
        <w:rPr>
          <w:rFonts w:cstheme="minorHAnsi"/>
        </w:rPr>
        <w:fldChar w:fldCharType="end"/>
      </w:r>
      <w:r>
        <w:t xml:space="preserve"> poniżej)</w:t>
      </w:r>
      <w:r w:rsidR="008B4950">
        <w:t>; powołania dokonano</w:t>
      </w:r>
      <w:r>
        <w:t xml:space="preserve"> na podstawie pomocniczego kryterium</w:t>
      </w:r>
      <w:r w:rsidR="008B4950">
        <w:t xml:space="preserve">, które stanowiło o uzupełnianiu </w:t>
      </w:r>
      <w:r>
        <w:t xml:space="preserve">wakatów przez </w:t>
      </w:r>
      <w:proofErr w:type="spellStart"/>
      <w:r w:rsidR="004F63FE">
        <w:t>CoL</w:t>
      </w:r>
      <w:proofErr w:type="spellEnd"/>
      <w:r w:rsidR="008E527C">
        <w:t xml:space="preserve"> </w:t>
      </w:r>
      <w:r>
        <w:t>zatwierdzonych w</w:t>
      </w:r>
      <w:r w:rsidR="008B4950">
        <w:t> </w:t>
      </w:r>
      <w:r>
        <w:t>swojej funkcji na czas nieoznaczony.</w:t>
      </w:r>
      <w:r>
        <w:rPr>
          <w:rFonts w:ascii="Times New Roman" w:hAnsi="Times New Roman"/>
        </w:rPr>
        <w:t xml:space="preserve"> Rząd zauważył, że doszło do tego, mimo że inny sędzia apelacyjny, orzekający w sprawach cywilnych, pełnił w</w:t>
      </w:r>
      <w:r w:rsidR="008B4950">
        <w:rPr>
          <w:rFonts w:ascii="Times New Roman" w:hAnsi="Times New Roman"/>
        </w:rPr>
        <w:t> </w:t>
      </w:r>
      <w:r>
        <w:rPr>
          <w:rFonts w:ascii="Times New Roman" w:hAnsi="Times New Roman"/>
        </w:rPr>
        <w:t>tym czasie nieodnawialną trzyletnią kadencję, tj. został powołany na swój urząd na czas oznaczony (zgodnie ze specjalną ustawą w tym zakresie, regulującą szczególny przydział sędziów).</w:t>
      </w:r>
    </w:p>
    <w:bookmarkStart w:id="1" w:name="paragraph00007"/>
    <w:p w14:paraId="3111B74D" w14:textId="7639668C" w:rsidR="00F5142C" w:rsidRPr="00DB5C9E" w:rsidRDefault="00445208" w:rsidP="00DB5C9E">
      <w:pPr>
        <w:pStyle w:val="JuPara"/>
        <w:rPr>
          <w:rFonts w:ascii="Times New Roman" w:eastAsia="Times New Roman" w:hAnsi="Times New Roman" w:cs="Times New Roman"/>
        </w:rPr>
      </w:pPr>
      <w:r w:rsidRPr="00DB5C9E">
        <w:rPr>
          <w:rFonts w:ascii="Times New Roman" w:eastAsia="Times New Roman" w:hAnsi="Times New Roman" w:cs="Times New Roman"/>
        </w:rPr>
        <w:fldChar w:fldCharType="begin"/>
      </w:r>
      <w:r w:rsidRPr="00DB5C9E">
        <w:rPr>
          <w:rFonts w:ascii="Times New Roman" w:eastAsia="Times New Roman" w:hAnsi="Times New Roman" w:cs="Times New Roman"/>
        </w:rPr>
        <w:instrText xml:space="preserve"> SEQ level0 \*arabic \* MERGEFORMAT </w:instrText>
      </w:r>
      <w:r w:rsidRPr="00DB5C9E">
        <w:rPr>
          <w:rFonts w:ascii="Times New Roman" w:eastAsia="Times New Roman" w:hAnsi="Times New Roman" w:cs="Times New Roman"/>
        </w:rPr>
        <w:fldChar w:fldCharType="separate"/>
      </w:r>
      <w:r w:rsidR="00446BA2">
        <w:rPr>
          <w:rFonts w:ascii="Times New Roman" w:eastAsia="Times New Roman" w:hAnsi="Times New Roman" w:cs="Times New Roman"/>
          <w:noProof/>
        </w:rPr>
        <w:t>7</w:t>
      </w:r>
      <w:r w:rsidRPr="00DB5C9E">
        <w:rPr>
          <w:rFonts w:ascii="Times New Roman" w:eastAsia="Times New Roman" w:hAnsi="Times New Roman" w:cs="Times New Roman"/>
        </w:rPr>
        <w:fldChar w:fldCharType="end"/>
      </w:r>
      <w:bookmarkEnd w:id="1"/>
      <w:r>
        <w:rPr>
          <w:rFonts w:ascii="Times New Roman" w:hAnsi="Times New Roman"/>
        </w:rPr>
        <w:t>.  </w:t>
      </w:r>
      <w:r>
        <w:t>Następnie po powołaniu innego sędziego apelacyjnego (mianowicie C, odbywającego w tym czasie trzyletni okres próbny, więc niezatwierdzonego jeszcze w swojej funkcji na czas nieoznaczony), w dniu 27 kwietnia 2018 r. CGP, po odpowiedniej debacie dotyczącej wykładni art. 7 ust. 5 ustawy kwalifikowanej nr 145/2003 (zob. par</w:t>
      </w:r>
      <w:r w:rsidR="00781DE1">
        <w:t>.</w:t>
      </w:r>
      <w:r>
        <w:t xml:space="preserve"> </w:t>
      </w:r>
      <w:r w:rsidRPr="00DB5C9E">
        <w:rPr>
          <w:rFonts w:ascii="Times New Roman" w:eastAsia="Times New Roman" w:hAnsi="Times New Roman" w:cs="Times New Roman"/>
        </w:rPr>
        <w:fldChar w:fldCharType="begin"/>
      </w:r>
      <w:r w:rsidRPr="00DB5C9E">
        <w:rPr>
          <w:rFonts w:ascii="Times New Roman" w:eastAsia="Times New Roman" w:hAnsi="Times New Roman" w:cs="Times New Roman"/>
        </w:rPr>
        <w:instrText xml:space="preserve">REF paragraph00057 \h \* CharFormat </w:instrText>
      </w:r>
      <w:r w:rsidRPr="00DB5C9E">
        <w:rPr>
          <w:rFonts w:ascii="Times New Roman" w:eastAsia="Times New Roman" w:hAnsi="Times New Roman" w:cs="Times New Roman"/>
        </w:rPr>
      </w:r>
      <w:r w:rsidRPr="00DB5C9E">
        <w:rPr>
          <w:rFonts w:ascii="Times New Roman" w:eastAsia="Times New Roman" w:hAnsi="Times New Roman" w:cs="Times New Roman"/>
        </w:rPr>
        <w:fldChar w:fldCharType="separate"/>
      </w:r>
      <w:r w:rsidR="00446BA2" w:rsidRPr="00446BA2">
        <w:rPr>
          <w:rFonts w:ascii="Times New Roman" w:eastAsia="Times New Roman" w:hAnsi="Times New Roman" w:cs="Times New Roman"/>
        </w:rPr>
        <w:t>57</w:t>
      </w:r>
      <w:r w:rsidRPr="00DB5C9E">
        <w:rPr>
          <w:rFonts w:ascii="Times New Roman" w:eastAsia="Times New Roman" w:hAnsi="Times New Roman" w:cs="Times New Roman"/>
        </w:rPr>
        <w:fldChar w:fldCharType="end"/>
      </w:r>
      <w:r>
        <w:t xml:space="preserve"> poniżej), przedstawiła wykładnię tego przepisu, zgodnie z którą uzupełnienie miało być dokonywane w</w:t>
      </w:r>
      <w:r w:rsidR="00781DE1">
        <w:t> </w:t>
      </w:r>
      <w:r>
        <w:t>odniesieniu do sędziów należących do tej samej kategorii</w:t>
      </w:r>
      <w:r w:rsidR="00781DE1">
        <w:t xml:space="preserve"> lub </w:t>
      </w:r>
      <w:r>
        <w:t>pełniących tę samą funkcję, niezależnie od tego, czy zostali zatwierdzeni na</w:t>
      </w:r>
      <w:r w:rsidR="00781DE1">
        <w:t> </w:t>
      </w:r>
      <w:r>
        <w:t>czas nieoznaczony.</w:t>
      </w:r>
      <w:r>
        <w:rPr>
          <w:rFonts w:ascii="Times New Roman" w:hAnsi="Times New Roman"/>
        </w:rPr>
        <w:t xml:space="preserve"> Innymi słowy stanowiska trzech sędziów apelacyjnych, o</w:t>
      </w:r>
      <w:r w:rsidR="00781DE1">
        <w:rPr>
          <w:rFonts w:ascii="Times New Roman" w:hAnsi="Times New Roman"/>
        </w:rPr>
        <w:t> </w:t>
      </w:r>
      <w:r>
        <w:rPr>
          <w:rFonts w:ascii="Times New Roman" w:hAnsi="Times New Roman"/>
        </w:rPr>
        <w:t xml:space="preserve">których mowa w ustawie, miały być obsadzone przez pełniących funkcję sędziów apelacyjnych, w tym tych, którzy nie zostali jeszcze zatwierdzeni w swojej funkcji na czas nieoznaczony, co tym samym wykluczało </w:t>
      </w:r>
      <w:proofErr w:type="spellStart"/>
      <w:proofErr w:type="gramStart"/>
      <w:r w:rsidR="004F63FE">
        <w:rPr>
          <w:rFonts w:ascii="Times New Roman" w:hAnsi="Times New Roman"/>
        </w:rPr>
        <w:t>CoL</w:t>
      </w:r>
      <w:proofErr w:type="spellEnd"/>
      <w:r w:rsidR="004F63FE">
        <w:rPr>
          <w:rFonts w:ascii="Times New Roman" w:hAnsi="Times New Roman"/>
        </w:rPr>
        <w:t xml:space="preserve"> </w:t>
      </w:r>
      <w:r>
        <w:rPr>
          <w:rFonts w:ascii="Times New Roman" w:hAnsi="Times New Roman"/>
        </w:rPr>
        <w:t xml:space="preserve"> B</w:t>
      </w:r>
      <w:proofErr w:type="gramEnd"/>
      <w:r>
        <w:rPr>
          <w:rFonts w:ascii="Times New Roman" w:hAnsi="Times New Roman"/>
        </w:rPr>
        <w:t xml:space="preserve"> ze składu CGP. Ta wykładnia została utrzymana na kolejnych posiedzeniach.</w:t>
      </w:r>
    </w:p>
    <w:p w14:paraId="0FB1D73F" w14:textId="6F9A3230" w:rsidR="00F5142C" w:rsidRPr="00DB5C9E" w:rsidRDefault="00445208" w:rsidP="00DB5C9E">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00446BA2">
        <w:rPr>
          <w:rFonts w:cstheme="minorHAnsi"/>
          <w:noProof/>
        </w:rPr>
        <w:t>8</w:t>
      </w:r>
      <w:r w:rsidRPr="00DB5C9E">
        <w:rPr>
          <w:rFonts w:cstheme="minorHAnsi"/>
        </w:rPr>
        <w:fldChar w:fldCharType="end"/>
      </w:r>
      <w:r>
        <w:t>.  W dniu 14 września 2018 r. CGP wszczęła procedurę naboru na</w:t>
      </w:r>
      <w:r w:rsidR="00781DE1">
        <w:t> </w:t>
      </w:r>
      <w:r>
        <w:t xml:space="preserve">stanowisko </w:t>
      </w:r>
      <w:proofErr w:type="spellStart"/>
      <w:proofErr w:type="gramStart"/>
      <w:r w:rsidR="004F63FE">
        <w:t>CoL</w:t>
      </w:r>
      <w:proofErr w:type="spellEnd"/>
      <w:r w:rsidR="004F63FE">
        <w:t xml:space="preserve"> </w:t>
      </w:r>
      <w:r>
        <w:t>.</w:t>
      </w:r>
      <w:proofErr w:type="gramEnd"/>
      <w:r>
        <w:t xml:space="preserve"> Od 2009 r.</w:t>
      </w:r>
      <w:r w:rsidR="00341B54">
        <w:t xml:space="preserve"> (w 2012 r. został zatwierdzony w swojej </w:t>
      </w:r>
      <w:r w:rsidR="00341B54">
        <w:lastRenderedPageBreak/>
        <w:t>funkcji po odbyciu właściwego okresu próbnego.)</w:t>
      </w:r>
      <w:r>
        <w:t xml:space="preserve"> skarżący pełnił funkcję</w:t>
      </w:r>
      <w:r w:rsidR="00B21008">
        <w:t xml:space="preserve"> </w:t>
      </w:r>
      <w:proofErr w:type="spellStart"/>
      <w:r w:rsidR="00B21008">
        <w:rPr>
          <w:i/>
          <w:iCs/>
        </w:rPr>
        <w:t>Uditore</w:t>
      </w:r>
      <w:proofErr w:type="spellEnd"/>
      <w:r w:rsidR="00B21008">
        <w:rPr>
          <w:i/>
          <w:iCs/>
        </w:rPr>
        <w:t xml:space="preserve"> </w:t>
      </w:r>
      <w:proofErr w:type="spellStart"/>
      <w:r w:rsidR="00B21008">
        <w:rPr>
          <w:i/>
          <w:iCs/>
        </w:rPr>
        <w:t>Commissariale</w:t>
      </w:r>
      <w:proofErr w:type="spellEnd"/>
      <w:r>
        <w:t xml:space="preserve"> (dalej: „</w:t>
      </w:r>
      <w:r w:rsidR="00B21008">
        <w:t xml:space="preserve">UD </w:t>
      </w:r>
      <w:r>
        <w:t xml:space="preserve">”), czyli jednego z organów sądowych San Marino, posiadającego ograniczone funkcje w zakresie wspierania sędziów pierwszej instancji </w:t>
      </w:r>
      <w:r w:rsidR="00781DE1">
        <w:t xml:space="preserve">w ich pracy </w:t>
      </w:r>
      <w:r>
        <w:t xml:space="preserve">(zob. art. 2 ust. 3 i 6 ustawy konstytucyjnej nr 144/2003 z </w:t>
      </w:r>
      <w:proofErr w:type="spellStart"/>
      <w:r>
        <w:t>późn</w:t>
      </w:r>
      <w:proofErr w:type="spellEnd"/>
      <w:r>
        <w:t>. zm., pa</w:t>
      </w:r>
      <w:r w:rsidR="00781DE1">
        <w:t>r.</w:t>
      </w:r>
      <w:r>
        <w:t xml:space="preserve"> </w:t>
      </w:r>
      <w:r w:rsidRPr="00DB5C9E">
        <w:rPr>
          <w:rFonts w:cstheme="minorHAnsi"/>
        </w:rPr>
        <w:fldChar w:fldCharType="begin"/>
      </w:r>
      <w:r w:rsidRPr="00DB5C9E">
        <w:rPr>
          <w:rFonts w:cstheme="minorHAnsi"/>
        </w:rPr>
        <w:instrText xml:space="preserve">REF paragraph00054 \h \* CharFormat </w:instrText>
      </w:r>
      <w:r w:rsidRPr="00DB5C9E">
        <w:rPr>
          <w:rFonts w:cstheme="minorHAnsi"/>
        </w:rPr>
      </w:r>
      <w:r w:rsidRPr="00DB5C9E">
        <w:rPr>
          <w:rFonts w:cstheme="minorHAnsi"/>
        </w:rPr>
        <w:fldChar w:fldCharType="separate"/>
      </w:r>
      <w:r w:rsidR="00446BA2" w:rsidRPr="00446BA2">
        <w:rPr>
          <w:rFonts w:cstheme="minorHAnsi"/>
        </w:rPr>
        <w:t>54</w:t>
      </w:r>
      <w:r w:rsidRPr="00DB5C9E">
        <w:rPr>
          <w:rFonts w:cstheme="minorHAnsi"/>
        </w:rPr>
        <w:fldChar w:fldCharType="end"/>
      </w:r>
      <w:r>
        <w:t xml:space="preserve"> poniżej); Posiadając ponad czteroletnie doświadczenie, skarżący był uprawniony do powołania na stanowisko </w:t>
      </w:r>
      <w:proofErr w:type="spellStart"/>
      <w:r w:rsidR="004F63FE">
        <w:t>CoL</w:t>
      </w:r>
      <w:proofErr w:type="spellEnd"/>
      <w:r w:rsidR="004F63FE">
        <w:t xml:space="preserve"> </w:t>
      </w:r>
      <w:r>
        <w:t>.</w:t>
      </w:r>
    </w:p>
    <w:p w14:paraId="349B504C" w14:textId="44E9A5AA" w:rsidR="00F5142C" w:rsidRPr="00DB5C9E" w:rsidRDefault="00445208" w:rsidP="00DB5C9E">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00446BA2">
        <w:rPr>
          <w:rFonts w:cstheme="minorHAnsi"/>
          <w:noProof/>
        </w:rPr>
        <w:t>9</w:t>
      </w:r>
      <w:r w:rsidRPr="00DB5C9E">
        <w:rPr>
          <w:rFonts w:cstheme="minorHAnsi"/>
        </w:rPr>
        <w:fldChar w:fldCharType="end"/>
      </w:r>
      <w:r>
        <w:t>.  W dniu 30 listopada 2018 r. odbyło się kolejne posiedzenie CGP, na</w:t>
      </w:r>
      <w:r w:rsidR="00EB1D40">
        <w:t> </w:t>
      </w:r>
      <w:r>
        <w:t>którym dwóch członków wyraziło obawy dotyczące</w:t>
      </w:r>
      <w:r w:rsidR="00EB1D40">
        <w:t xml:space="preserve"> jej</w:t>
      </w:r>
      <w:r>
        <w:t xml:space="preserve"> składu, w</w:t>
      </w:r>
      <w:r w:rsidR="00EB1D40">
        <w:t> </w:t>
      </w:r>
      <w:r>
        <w:t>szczególności w odniesieniu do tego, czy Naczelnik (</w:t>
      </w:r>
      <w:proofErr w:type="spellStart"/>
      <w:r>
        <w:rPr>
          <w:i/>
          <w:iCs/>
        </w:rPr>
        <w:t>Dirigente</w:t>
      </w:r>
      <w:proofErr w:type="spellEnd"/>
      <w:r>
        <w:t xml:space="preserve">, osoba spoza sądownictwa, której powierza się kierownictwo sądów i </w:t>
      </w:r>
      <w:r w:rsidR="00EB1D40">
        <w:t>sądownictwa</w:t>
      </w:r>
      <w:r>
        <w:t xml:space="preserve"> w nadzwyczajnych okolicznościach, zob. art. 6 ustawy kwalifikowanej nr</w:t>
      </w:r>
      <w:r w:rsidR="00EB1D40">
        <w:t> </w:t>
      </w:r>
      <w:r>
        <w:t>145/2003, par</w:t>
      </w:r>
      <w:r w:rsidR="00781DE1">
        <w:t>.</w:t>
      </w:r>
      <w:r>
        <w:t xml:space="preserve"> </w:t>
      </w:r>
      <w:r w:rsidRPr="00DB5C9E">
        <w:fldChar w:fldCharType="begin"/>
      </w:r>
      <w:r w:rsidRPr="00DB5C9E">
        <w:instrText xml:space="preserve">REF paragraph00059 \h \* CharFormat </w:instrText>
      </w:r>
      <w:r w:rsidRPr="00DB5C9E">
        <w:fldChar w:fldCharType="separate"/>
      </w:r>
      <w:r w:rsidR="00446BA2">
        <w:t>59</w:t>
      </w:r>
      <w:r w:rsidRPr="00DB5C9E">
        <w:fldChar w:fldCharType="end"/>
      </w:r>
      <w:r>
        <w:t xml:space="preserve"> poniżej) może zasiadać w CGP, biorąc pod uwagę, że</w:t>
      </w:r>
      <w:r w:rsidR="00EB1D40">
        <w:t> </w:t>
      </w:r>
      <w:r>
        <w:t>nie jest sędzią, a zatem nie może być jednym z członków sędziowskiego komponentu CGP (ani też jednym z polityków zasiadających w CGP na mocy ustawy). Tego samego dnia CGP powołała prof. Z na stanowisko Naczelnika.</w:t>
      </w:r>
    </w:p>
    <w:bookmarkStart w:id="2" w:name="paragraph00010"/>
    <w:p w14:paraId="4564473B" w14:textId="352F9ABD" w:rsidR="00F5142C" w:rsidRPr="00DB5C9E" w:rsidRDefault="00445208" w:rsidP="00DB5C9E">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00446BA2">
        <w:rPr>
          <w:rFonts w:cstheme="minorHAnsi"/>
          <w:noProof/>
        </w:rPr>
        <w:t>10</w:t>
      </w:r>
      <w:r w:rsidRPr="00DB5C9E">
        <w:rPr>
          <w:rFonts w:cstheme="minorHAnsi"/>
        </w:rPr>
        <w:fldChar w:fldCharType="end"/>
      </w:r>
      <w:bookmarkEnd w:id="2"/>
      <w:r>
        <w:t>.  W dniu 6 lutego 2019 r. Kapitanowie Regenci zwołali poranne i</w:t>
      </w:r>
      <w:r w:rsidR="00EB1D40">
        <w:t> </w:t>
      </w:r>
      <w:r>
        <w:t>wieczorne posiedzenia CGP, które miały się odbyć w dniu 12 lutego 2019</w:t>
      </w:r>
      <w:r w:rsidR="00EB1D40">
        <w:t> </w:t>
      </w:r>
      <w:r>
        <w:t>r. w dwóch różnych składach (w posiedzeni</w:t>
      </w:r>
      <w:r w:rsidR="00EB1D40">
        <w:t xml:space="preserve">u </w:t>
      </w:r>
      <w:r>
        <w:t xml:space="preserve">popołudniowym miał również uczestniczyć dodatkowy </w:t>
      </w:r>
      <w:proofErr w:type="spellStart"/>
      <w:proofErr w:type="gramStart"/>
      <w:r w:rsidR="004F63FE">
        <w:t>CoL</w:t>
      </w:r>
      <w:proofErr w:type="spellEnd"/>
      <w:r w:rsidR="004F63FE">
        <w:t xml:space="preserve"> </w:t>
      </w:r>
      <w:r>
        <w:t>,</w:t>
      </w:r>
      <w:proofErr w:type="gramEnd"/>
      <w:r>
        <w:t xml:space="preserve"> a także Z).</w:t>
      </w:r>
    </w:p>
    <w:bookmarkStart w:id="3" w:name="paragraph00011"/>
    <w:p w14:paraId="330D712F" w14:textId="7F5AFC06" w:rsidR="00F5142C" w:rsidRPr="00DB5C9E" w:rsidRDefault="00445208" w:rsidP="00DB5C9E">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00446BA2">
        <w:rPr>
          <w:rFonts w:cstheme="minorHAnsi"/>
          <w:noProof/>
        </w:rPr>
        <w:t>11</w:t>
      </w:r>
      <w:r w:rsidRPr="00DB5C9E">
        <w:rPr>
          <w:rFonts w:cstheme="minorHAnsi"/>
        </w:rPr>
        <w:fldChar w:fldCharType="end"/>
      </w:r>
      <w:bookmarkEnd w:id="3"/>
      <w:r>
        <w:t>.  W rezultacie na porannym posiedzeniu w dniu 12 lutego 2019 r., które było poświęcone „składowi CGP” pod kątem stanowiska Naczelnika – osoby (wówczas) spoza sądownictwa – B skarżył się na stan rzeczy, głównie w</w:t>
      </w:r>
      <w:r w:rsidR="00EB1D40">
        <w:t> </w:t>
      </w:r>
      <w:r>
        <w:t xml:space="preserve">odniesieniu do tego, że, jak się wydawało, Kapitanowie Regenci podjęli już odpowiednią decyzję, mimo że rozstrzygnięcie sprawy </w:t>
      </w:r>
      <w:r w:rsidR="00EB1D40">
        <w:t xml:space="preserve">nadal </w:t>
      </w:r>
      <w:r>
        <w:t>leżało w</w:t>
      </w:r>
      <w:r w:rsidR="00EB1D40">
        <w:t> </w:t>
      </w:r>
      <w:r>
        <w:t>gestii CGP. B zwrócił ponadto uwagę CGP, że r</w:t>
      </w:r>
      <w:r w:rsidR="00EB1D40">
        <w:t>ozbieżn</w:t>
      </w:r>
      <w:r>
        <w:t>e wykładnie ustawy regulującej skład CGP, dotyczące komponentu sędziowskiego, oznaczały, że</w:t>
      </w:r>
      <w:r w:rsidR="00EB1D40">
        <w:t> </w:t>
      </w:r>
      <w:r>
        <w:t xml:space="preserve">albo skład CGP </w:t>
      </w:r>
      <w:r w:rsidR="00EB1D40">
        <w:t>s</w:t>
      </w:r>
      <w:r>
        <w:t>przed 27 kwietnia 2018 r., albo skład CGP po</w:t>
      </w:r>
      <w:r w:rsidR="00EB1D40">
        <w:t> </w:t>
      </w:r>
      <w:r>
        <w:t>tej dacie był niezgodny z ustawą.</w:t>
      </w:r>
      <w:r>
        <w:rPr>
          <w:rFonts w:ascii="Times New Roman" w:hAnsi="Times New Roman"/>
        </w:rPr>
        <w:t xml:space="preserve"> W konsekwencji (zależnie od wybranej wykładni) wszelkie postanowienia CGP zasiadającej w jednym z tych dwóch składów byłyby nieważne. </w:t>
      </w:r>
      <w:r>
        <w:t xml:space="preserve">B powtórzył również zastrzeżenia przedstawione w dniu 30 listopada 2018 r., dotyczące stanowiska Naczelnika (zob. par. </w:t>
      </w:r>
      <w:r w:rsidRPr="00DB5C9E">
        <w:rPr>
          <w:rFonts w:cstheme="minorHAnsi"/>
        </w:rPr>
        <w:fldChar w:fldCharType="begin"/>
      </w:r>
      <w:r w:rsidRPr="00DB5C9E">
        <w:rPr>
          <w:rFonts w:cstheme="minorHAnsi"/>
        </w:rPr>
        <w:instrText xml:space="preserve">REF paragraph00010 \h \* CharFormat </w:instrText>
      </w:r>
      <w:r w:rsidRPr="00DB5C9E">
        <w:rPr>
          <w:rFonts w:cstheme="minorHAnsi"/>
        </w:rPr>
      </w:r>
      <w:r w:rsidRPr="00DB5C9E">
        <w:rPr>
          <w:rFonts w:cstheme="minorHAnsi"/>
        </w:rPr>
        <w:fldChar w:fldCharType="separate"/>
      </w:r>
      <w:r w:rsidR="00446BA2">
        <w:rPr>
          <w:rFonts w:cstheme="minorHAnsi"/>
        </w:rPr>
        <w:t>10</w:t>
      </w:r>
      <w:r w:rsidRPr="00DB5C9E">
        <w:rPr>
          <w:rFonts w:cstheme="minorHAnsi"/>
        </w:rPr>
        <w:fldChar w:fldCharType="end"/>
      </w:r>
      <w:r>
        <w:t xml:space="preserve"> powyżej),</w:t>
      </w:r>
      <w:r w:rsidR="00934BEA">
        <w:t xml:space="preserve"> odnosząc się do niezgodności z normami międzynarodowymi powoływania</w:t>
      </w:r>
      <w:r>
        <w:t xml:space="preserve"> osoby spoza sądownictwa na</w:t>
      </w:r>
      <w:r w:rsidR="00EB1D40">
        <w:t> </w:t>
      </w:r>
      <w:r>
        <w:t xml:space="preserve">stanowisko kierownika sądów i wymiaru sprawiedliwości, tak jak miało to miejsce [w tamtym czasie] w San </w:t>
      </w:r>
      <w:proofErr w:type="gramStart"/>
      <w:r>
        <w:t>Marino,.</w:t>
      </w:r>
      <w:proofErr w:type="gramEnd"/>
      <w:r>
        <w:t xml:space="preserve"> Do tych refleksji przyłączył się D. Na posiedzeniu Minister Sprawiedliwości wyraził zaskoczenie faktem, że obecność C w</w:t>
      </w:r>
      <w:r w:rsidR="00EB1D40">
        <w:t> </w:t>
      </w:r>
      <w:r>
        <w:t>poprzednich składach mogła stanowić problem. Pozostała część porannego posiedzenia była poświęcona roli Naczelnika pochodzącego spoza sądownictwa, ale ostatecznie nie przeprowadzono głosowania w tej sprawie.</w:t>
      </w:r>
    </w:p>
    <w:p w14:paraId="25BBEE3E" w14:textId="4299DB8F" w:rsidR="00F5142C" w:rsidRPr="00DB5C9E" w:rsidRDefault="00445208" w:rsidP="00DB5C9E">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00446BA2">
        <w:rPr>
          <w:rFonts w:cstheme="minorHAnsi"/>
          <w:noProof/>
        </w:rPr>
        <w:t>12</w:t>
      </w:r>
      <w:r w:rsidRPr="00DB5C9E">
        <w:rPr>
          <w:rFonts w:cstheme="minorHAnsi"/>
        </w:rPr>
        <w:fldChar w:fldCharType="end"/>
      </w:r>
      <w:r>
        <w:t xml:space="preserve">.  Na popołudniowym posiedzeniu CGP w dniu 12 lutego 2019 r., przed głosowaniem w sprawie powołania </w:t>
      </w:r>
      <w:proofErr w:type="spellStart"/>
      <w:proofErr w:type="gramStart"/>
      <w:r w:rsidR="004F63FE">
        <w:t>CoL</w:t>
      </w:r>
      <w:proofErr w:type="spellEnd"/>
      <w:r w:rsidR="004F63FE">
        <w:t xml:space="preserve"> </w:t>
      </w:r>
      <w:r>
        <w:t>,</w:t>
      </w:r>
      <w:proofErr w:type="gramEnd"/>
      <w:r>
        <w:t xml:space="preserve"> zgłoszono różne zastrzeżenia (niezwiązane ze składem CGP) dotyczące procedury, którą należało przeprowadzić w celu naboru</w:t>
      </w:r>
      <w:r w:rsidR="007F64DB">
        <w:t xml:space="preserve"> </w:t>
      </w:r>
      <w:proofErr w:type="spellStart"/>
      <w:r w:rsidR="007F64DB">
        <w:t>CoL</w:t>
      </w:r>
      <w:proofErr w:type="spellEnd"/>
      <w:r>
        <w:t>, w odniesieniu do</w:t>
      </w:r>
      <w:r w:rsidR="00EB1D40">
        <w:t> </w:t>
      </w:r>
      <w:r>
        <w:t xml:space="preserve">zarówno kryteriów </w:t>
      </w:r>
      <w:r>
        <w:lastRenderedPageBreak/>
        <w:t>wyboru, jak i odpowiednich kroków, które należało podjąć. Poczyniono uwagi dotyczące niejasności prawa w tym zakresie; niektórzy członkowie wyrazili konsternację co do tego, jak należy dalej postąpić. Przekazano również uwagi w odniesieniu do braku odpowiedniego sprawozdania zgodnego z ustawą, w tym odpowiedniej nominacji.</w:t>
      </w:r>
    </w:p>
    <w:p w14:paraId="35AF9604" w14:textId="518E2D1C" w:rsidR="00F5142C" w:rsidRPr="00DB5C9E" w:rsidRDefault="00445208" w:rsidP="00DB5C9E">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00446BA2">
        <w:rPr>
          <w:rFonts w:cstheme="minorHAnsi"/>
          <w:noProof/>
        </w:rPr>
        <w:t>13</w:t>
      </w:r>
      <w:r w:rsidRPr="00DB5C9E">
        <w:rPr>
          <w:rFonts w:cstheme="minorHAnsi"/>
        </w:rPr>
        <w:fldChar w:fldCharType="end"/>
      </w:r>
      <w:r>
        <w:t>.  </w:t>
      </w:r>
      <w:r w:rsidR="00EB1D40">
        <w:t>N</w:t>
      </w:r>
      <w:r>
        <w:t>a tym posiedzeniu</w:t>
      </w:r>
      <w:r w:rsidR="00EB1D40">
        <w:t xml:space="preserve"> jednak</w:t>
      </w:r>
      <w:r>
        <w:t xml:space="preserve">, z rekomendacji Sędziego Naczelnego zawartej w sprawozdaniu z 2017 r., </w:t>
      </w:r>
      <w:r w:rsidR="00EB1D40">
        <w:t>do której przychylił się</w:t>
      </w:r>
      <w:r>
        <w:t xml:space="preserve"> kolejny Naczelnik (po nagłej śmierci poprzedniego) w nocie zawierającej również nazwiska innych </w:t>
      </w:r>
      <w:proofErr w:type="gramStart"/>
      <w:r w:rsidR="007F64DB">
        <w:t xml:space="preserve">UD </w:t>
      </w:r>
      <w:r>
        <w:t xml:space="preserve"> kwalifikujących</w:t>
      </w:r>
      <w:proofErr w:type="gramEnd"/>
      <w:r>
        <w:t xml:space="preserve"> się na stanowisko, CGP jedenastoma głosami za postanowiła powołać </w:t>
      </w:r>
      <w:proofErr w:type="spellStart"/>
      <w:r w:rsidR="007F64DB">
        <w:t>CoL</w:t>
      </w:r>
      <w:proofErr w:type="spellEnd"/>
      <w:r w:rsidR="007F64DB">
        <w:t xml:space="preserve"> </w:t>
      </w:r>
      <w:r>
        <w:t>spośród swoich członków, a następnie, jedenastoma głosami za, powołała na to stanowisko skarżącego (drugi kandydat uzyskał jeden głos). Tego samego dnia CGP zagłosowała za</w:t>
      </w:r>
      <w:r w:rsidR="00EB1D40">
        <w:t> </w:t>
      </w:r>
      <w:r>
        <w:t>ogłoszeniem różnych konkursów na stanowiska sędziowskie.</w:t>
      </w:r>
    </w:p>
    <w:p w14:paraId="2C1AFAF6" w14:textId="4C0BF9F2" w:rsidR="00F5142C" w:rsidRPr="00DB5C9E" w:rsidRDefault="00445208" w:rsidP="00DB5C9E">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00446BA2">
        <w:rPr>
          <w:rFonts w:cstheme="minorHAnsi"/>
          <w:noProof/>
        </w:rPr>
        <w:t>14</w:t>
      </w:r>
      <w:r w:rsidRPr="00DB5C9E">
        <w:rPr>
          <w:rFonts w:cstheme="minorHAnsi"/>
        </w:rPr>
        <w:fldChar w:fldCharType="end"/>
      </w:r>
      <w:r>
        <w:t xml:space="preserve">.  Kilka dni później, w dniu 26 lutego 2019 r., ustawodawca </w:t>
      </w:r>
      <w:r w:rsidR="00EB1D40">
        <w:t>interweniował</w:t>
      </w:r>
      <w:r>
        <w:t xml:space="preserve">, uchwalając ustawę kwalifikowaną nr 1/2019 (zob. par. </w:t>
      </w:r>
      <w:r w:rsidRPr="00DB5C9E">
        <w:rPr>
          <w:rFonts w:cstheme="minorHAnsi"/>
        </w:rPr>
        <w:fldChar w:fldCharType="begin"/>
      </w:r>
      <w:r w:rsidRPr="00DB5C9E">
        <w:rPr>
          <w:rFonts w:cstheme="minorHAnsi"/>
        </w:rPr>
        <w:instrText xml:space="preserve">REF paragraph00059 \h \* CharFormat </w:instrText>
      </w:r>
      <w:r w:rsidRPr="00DB5C9E">
        <w:rPr>
          <w:rFonts w:cstheme="minorHAnsi"/>
        </w:rPr>
      </w:r>
      <w:r w:rsidRPr="00DB5C9E">
        <w:rPr>
          <w:rFonts w:cstheme="minorHAnsi"/>
        </w:rPr>
        <w:fldChar w:fldCharType="separate"/>
      </w:r>
      <w:r w:rsidR="00446BA2" w:rsidRPr="00446BA2">
        <w:rPr>
          <w:rFonts w:cstheme="minorHAnsi"/>
        </w:rPr>
        <w:t>59</w:t>
      </w:r>
      <w:r w:rsidRPr="00DB5C9E">
        <w:rPr>
          <w:rFonts w:cstheme="minorHAnsi"/>
        </w:rPr>
        <w:fldChar w:fldCharType="end"/>
      </w:r>
      <w:r>
        <w:t xml:space="preserve"> poniżej). W niniejszej sprawie Rząd wyjaśnił, że miała ona na celu rozwiązanie kwestii podniesionych w dniu 12 lutego 2019 r. i przyznanie Naczelnikowi, osobie spoza sądownictwa, prawa głosu w CGP.</w:t>
      </w:r>
    </w:p>
    <w:bookmarkStart w:id="4" w:name="paragraph00015"/>
    <w:p w14:paraId="221A6B3D" w14:textId="566563D0" w:rsidR="00F5142C" w:rsidRPr="00DB5C9E" w:rsidRDefault="00445208" w:rsidP="00DB5C9E">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00446BA2">
        <w:rPr>
          <w:rFonts w:cstheme="minorHAnsi"/>
          <w:noProof/>
        </w:rPr>
        <w:t>15</w:t>
      </w:r>
      <w:r w:rsidRPr="00DB5C9E">
        <w:rPr>
          <w:rFonts w:cstheme="minorHAnsi"/>
        </w:rPr>
        <w:fldChar w:fldCharType="end"/>
      </w:r>
      <w:bookmarkEnd w:id="4"/>
      <w:r>
        <w:t>.  Decyzja o powołaniu skarżącego na stanowisko</w:t>
      </w:r>
      <w:r w:rsidR="007F64DB">
        <w:t xml:space="preserve"> </w:t>
      </w:r>
      <w:proofErr w:type="spellStart"/>
      <w:r w:rsidR="007F64DB">
        <w:t>CoL</w:t>
      </w:r>
      <w:proofErr w:type="spellEnd"/>
      <w:r>
        <w:t xml:space="preserve"> została przyjęta do wiadomości (</w:t>
      </w:r>
      <w:proofErr w:type="spellStart"/>
      <w:r>
        <w:rPr>
          <w:i/>
          <w:iCs/>
        </w:rPr>
        <w:t>presa</w:t>
      </w:r>
      <w:proofErr w:type="spellEnd"/>
      <w:r>
        <w:rPr>
          <w:i/>
          <w:iCs/>
        </w:rPr>
        <w:t xml:space="preserve"> </w:t>
      </w:r>
      <w:proofErr w:type="spellStart"/>
      <w:r>
        <w:rPr>
          <w:i/>
          <w:iCs/>
        </w:rPr>
        <w:t>d</w:t>
      </w:r>
      <w:r w:rsidR="00EB1D40">
        <w:rPr>
          <w:i/>
          <w:iCs/>
        </w:rPr>
        <w:t>’</w:t>
      </w:r>
      <w:r>
        <w:rPr>
          <w:i/>
          <w:iCs/>
        </w:rPr>
        <w:t>atto</w:t>
      </w:r>
      <w:proofErr w:type="spellEnd"/>
      <w:r>
        <w:t>) przez Parlament w dniu 15 marca 2019 r., a skarżący objął stanowisko w dniu 22 marca 2019 r.</w:t>
      </w:r>
    </w:p>
    <w:p w14:paraId="6A90BBA7" w14:textId="0AB2F7D6" w:rsidR="00F5142C" w:rsidRPr="00DB5C9E" w:rsidRDefault="00446BA2" w:rsidP="00DB5C9E">
      <w:pPr>
        <w:pStyle w:val="JuPara"/>
        <w:rPr>
          <w:rFonts w:cstheme="minorHAnsi"/>
        </w:rPr>
      </w:pPr>
      <w:fldSimple w:instr=" SEQ level0 \*arabic \* MERGEFORMAT ">
        <w:r>
          <w:rPr>
            <w:noProof/>
          </w:rPr>
          <w:t>16</w:t>
        </w:r>
      </w:fldSimple>
      <w:r w:rsidR="00445208">
        <w:t xml:space="preserve">.  W dniu 11 kwietnia 2019 r. X i Y, którzy wówczas byli również </w:t>
      </w:r>
      <w:r w:rsidR="007F64DB">
        <w:t xml:space="preserve">UD </w:t>
      </w:r>
      <w:r w:rsidR="00445208">
        <w:t xml:space="preserve">i możliwymi kandydatami na stanowisko skarżącego, czując się pokrzywdzeni powołaniem skarżącego, wszczęli postępowanie administracyjne (o sygn. 13/2019) (zob. par. </w:t>
      </w:r>
      <w:r w:rsidR="00445208" w:rsidRPr="00DB5C9E">
        <w:rPr>
          <w:rFonts w:ascii="Times New Roman" w:eastAsia="Times New Roman" w:hAnsi="Times New Roman" w:cs="Times New Roman"/>
        </w:rPr>
        <w:fldChar w:fldCharType="begin"/>
      </w:r>
      <w:r w:rsidR="00445208" w:rsidRPr="00DB5C9E">
        <w:rPr>
          <w:rFonts w:ascii="Times New Roman" w:eastAsia="Times New Roman" w:hAnsi="Times New Roman" w:cs="Times New Roman"/>
        </w:rPr>
        <w:instrText xml:space="preserve">REF paragraph00025 \h \* CharFormat </w:instrText>
      </w:r>
      <w:r w:rsidR="00445208" w:rsidRPr="00DB5C9E">
        <w:rPr>
          <w:rFonts w:ascii="Times New Roman" w:eastAsia="Times New Roman" w:hAnsi="Times New Roman" w:cs="Times New Roman"/>
        </w:rPr>
      </w:r>
      <w:r w:rsidR="00445208" w:rsidRPr="00DB5C9E">
        <w:rPr>
          <w:rFonts w:ascii="Times New Roman" w:eastAsia="Times New Roman" w:hAnsi="Times New Roman" w:cs="Times New Roman"/>
        </w:rPr>
        <w:fldChar w:fldCharType="separate"/>
      </w:r>
      <w:r>
        <w:rPr>
          <w:rFonts w:ascii="Times New Roman" w:eastAsia="Times New Roman" w:hAnsi="Times New Roman" w:cs="Times New Roman"/>
        </w:rPr>
        <w:t>25</w:t>
      </w:r>
      <w:r w:rsidR="00445208" w:rsidRPr="00DB5C9E">
        <w:rPr>
          <w:rFonts w:ascii="Times New Roman" w:eastAsia="Times New Roman" w:hAnsi="Times New Roman" w:cs="Times New Roman"/>
        </w:rPr>
        <w:fldChar w:fldCharType="end"/>
      </w:r>
      <w:r w:rsidR="00445208">
        <w:t xml:space="preserve"> poniżej).</w:t>
      </w:r>
    </w:p>
    <w:bookmarkStart w:id="5" w:name="paragraph00017"/>
    <w:p w14:paraId="4D7BF439" w14:textId="5B26C3E3" w:rsidR="00F5142C" w:rsidRPr="00DB5C9E" w:rsidRDefault="00445208" w:rsidP="00DB5C9E">
      <w:pPr>
        <w:pStyle w:val="JuPara"/>
        <w:rPr>
          <w:rFonts w:ascii="Times New Roman" w:eastAsia="Times New Roman" w:hAnsi="Times New Roman" w:cs="Times New Roman"/>
        </w:rPr>
      </w:pPr>
      <w:r w:rsidRPr="00DB5C9E">
        <w:rPr>
          <w:rFonts w:ascii="Times New Roman" w:eastAsia="Times New Roman" w:hAnsi="Times New Roman" w:cs="Times New Roman"/>
        </w:rPr>
        <w:fldChar w:fldCharType="begin"/>
      </w:r>
      <w:r w:rsidRPr="00DB5C9E">
        <w:rPr>
          <w:rFonts w:ascii="Times New Roman" w:eastAsia="Times New Roman" w:hAnsi="Times New Roman" w:cs="Times New Roman"/>
        </w:rPr>
        <w:instrText xml:space="preserve"> SEQ level0 \*arabic \* MERGEFORMAT </w:instrText>
      </w:r>
      <w:r w:rsidRPr="00DB5C9E">
        <w:rPr>
          <w:rFonts w:ascii="Times New Roman" w:eastAsia="Times New Roman" w:hAnsi="Times New Roman" w:cs="Times New Roman"/>
        </w:rPr>
        <w:fldChar w:fldCharType="separate"/>
      </w:r>
      <w:r w:rsidR="00446BA2">
        <w:rPr>
          <w:rFonts w:ascii="Times New Roman" w:eastAsia="Times New Roman" w:hAnsi="Times New Roman" w:cs="Times New Roman"/>
          <w:noProof/>
        </w:rPr>
        <w:t>17</w:t>
      </w:r>
      <w:r w:rsidRPr="00DB5C9E">
        <w:rPr>
          <w:rFonts w:ascii="Times New Roman" w:eastAsia="Times New Roman" w:hAnsi="Times New Roman" w:cs="Times New Roman"/>
        </w:rPr>
        <w:fldChar w:fldCharType="end"/>
      </w:r>
      <w:bookmarkEnd w:id="5"/>
      <w:r>
        <w:rPr>
          <w:rFonts w:ascii="Times New Roman" w:hAnsi="Times New Roman"/>
        </w:rPr>
        <w:t>.  </w:t>
      </w:r>
      <w:r>
        <w:t>W dniu 20 lutego 2020 r., po zmianie rządu w listopadzie 2019 r. i</w:t>
      </w:r>
      <w:r w:rsidR="006D1E3D">
        <w:t> w trakcie</w:t>
      </w:r>
      <w:r>
        <w:t xml:space="preserve"> postępowani</w:t>
      </w:r>
      <w:r w:rsidR="006D1E3D">
        <w:t>a</w:t>
      </w:r>
      <w:r>
        <w:t xml:space="preserve"> o sygn. 13/2019, władza ustawodawcza </w:t>
      </w:r>
      <w:r w:rsidR="006D1E3D">
        <w:t>interweniowała ponownie, uchwalając</w:t>
      </w:r>
      <w:r>
        <w:t xml:space="preserve"> ustawę kwalifikowaną nr 1/2020 (zob. par.</w:t>
      </w:r>
      <w:r>
        <w:rPr>
          <w:rFonts w:ascii="Times New Roman" w:hAnsi="Times New Roman"/>
        </w:rPr>
        <w:t> </w:t>
      </w:r>
      <w:r w:rsidRPr="00DB5C9E">
        <w:rPr>
          <w:rFonts w:ascii="Times New Roman" w:eastAsia="Times New Roman" w:hAnsi="Times New Roman" w:cs="Times New Roman"/>
        </w:rPr>
        <w:fldChar w:fldCharType="begin"/>
      </w:r>
      <w:r w:rsidRPr="00DB5C9E">
        <w:rPr>
          <w:rFonts w:ascii="Times New Roman" w:eastAsia="Times New Roman" w:hAnsi="Times New Roman" w:cs="Times New Roman"/>
        </w:rPr>
        <w:instrText xml:space="preserve">REF paragraph00060 \h \* CharFormat </w:instrText>
      </w:r>
      <w:r w:rsidRPr="00DB5C9E">
        <w:rPr>
          <w:rFonts w:ascii="Times New Roman" w:eastAsia="Times New Roman" w:hAnsi="Times New Roman" w:cs="Times New Roman"/>
        </w:rPr>
      </w:r>
      <w:r w:rsidRPr="00DB5C9E">
        <w:rPr>
          <w:rFonts w:ascii="Times New Roman" w:eastAsia="Times New Roman" w:hAnsi="Times New Roman" w:cs="Times New Roman"/>
        </w:rPr>
        <w:fldChar w:fldCharType="separate"/>
      </w:r>
      <w:r w:rsidR="00446BA2" w:rsidRPr="00446BA2">
        <w:rPr>
          <w:rFonts w:ascii="Times New Roman" w:eastAsia="Times New Roman" w:hAnsi="Times New Roman" w:cs="Times New Roman"/>
        </w:rPr>
        <w:t>60</w:t>
      </w:r>
      <w:r w:rsidRPr="00DB5C9E">
        <w:rPr>
          <w:rFonts w:ascii="Times New Roman" w:eastAsia="Times New Roman" w:hAnsi="Times New Roman" w:cs="Times New Roman"/>
        </w:rPr>
        <w:fldChar w:fldCharType="end"/>
      </w:r>
      <w:r>
        <w:rPr>
          <w:rFonts w:ascii="Times New Roman" w:hAnsi="Times New Roman"/>
        </w:rPr>
        <w:t>-</w:t>
      </w:r>
      <w:r w:rsidRPr="00DB5C9E">
        <w:rPr>
          <w:rFonts w:ascii="Times New Roman" w:eastAsia="Times New Roman" w:hAnsi="Times New Roman" w:cs="Times New Roman"/>
        </w:rPr>
        <w:fldChar w:fldCharType="begin"/>
      </w:r>
      <w:r w:rsidRPr="00DB5C9E">
        <w:rPr>
          <w:rFonts w:ascii="Times New Roman" w:eastAsia="Times New Roman" w:hAnsi="Times New Roman" w:cs="Times New Roman"/>
        </w:rPr>
        <w:instrText xml:space="preserve">REF paragraph00061 \h \* CharFormat </w:instrText>
      </w:r>
      <w:r w:rsidRPr="00DB5C9E">
        <w:rPr>
          <w:rFonts w:ascii="Times New Roman" w:eastAsia="Times New Roman" w:hAnsi="Times New Roman" w:cs="Times New Roman"/>
        </w:rPr>
      </w:r>
      <w:r w:rsidRPr="00DB5C9E">
        <w:rPr>
          <w:rFonts w:ascii="Times New Roman" w:eastAsia="Times New Roman" w:hAnsi="Times New Roman" w:cs="Times New Roman"/>
        </w:rPr>
        <w:fldChar w:fldCharType="separate"/>
      </w:r>
      <w:r w:rsidR="00446BA2" w:rsidRPr="00446BA2">
        <w:rPr>
          <w:rFonts w:ascii="Times New Roman" w:eastAsia="Times New Roman" w:hAnsi="Times New Roman" w:cs="Times New Roman"/>
        </w:rPr>
        <w:t>61</w:t>
      </w:r>
      <w:r w:rsidRPr="00DB5C9E">
        <w:rPr>
          <w:rFonts w:ascii="Times New Roman" w:eastAsia="Times New Roman" w:hAnsi="Times New Roman" w:cs="Times New Roman"/>
        </w:rPr>
        <w:fldChar w:fldCharType="end"/>
      </w:r>
      <w:r>
        <w:t xml:space="preserve"> poniżej).</w:t>
      </w:r>
      <w:r>
        <w:rPr>
          <w:rFonts w:ascii="Times New Roman" w:hAnsi="Times New Roman"/>
        </w:rPr>
        <w:t xml:space="preserve"> </w:t>
      </w:r>
      <w:r>
        <w:t xml:space="preserve">W niniejszej sprawie Rząd wyjaśnił, że zmiany art. 6 i 7 ustawy kwalifikowanej nr 145/2003, będące konsekwencją interwencji władzy ustawodawczej, miały na celu wyłącznie pozbawienie prawa głosu Naczelnika, osoby spoza sądownictwa, i wykluczenie go z sędziowskiego komponentu CGP (zob. par. </w:t>
      </w:r>
      <w:r w:rsidRPr="00DB5C9E">
        <w:rPr>
          <w:rFonts w:ascii="Times New Roman" w:eastAsia="Times New Roman" w:hAnsi="Times New Roman" w:cs="Times New Roman"/>
        </w:rPr>
        <w:fldChar w:fldCharType="begin"/>
      </w:r>
      <w:r w:rsidRPr="00DB5C9E">
        <w:rPr>
          <w:rFonts w:ascii="Times New Roman" w:eastAsia="Times New Roman" w:hAnsi="Times New Roman" w:cs="Times New Roman"/>
        </w:rPr>
        <w:instrText xml:space="preserve">REF paragraph00060 \h \* CharFormat </w:instrText>
      </w:r>
      <w:r w:rsidRPr="00DB5C9E">
        <w:rPr>
          <w:rFonts w:ascii="Times New Roman" w:eastAsia="Times New Roman" w:hAnsi="Times New Roman" w:cs="Times New Roman"/>
        </w:rPr>
      </w:r>
      <w:r w:rsidRPr="00DB5C9E">
        <w:rPr>
          <w:rFonts w:ascii="Times New Roman" w:eastAsia="Times New Roman" w:hAnsi="Times New Roman" w:cs="Times New Roman"/>
        </w:rPr>
        <w:fldChar w:fldCharType="separate"/>
      </w:r>
      <w:r w:rsidR="00446BA2" w:rsidRPr="00446BA2">
        <w:rPr>
          <w:rFonts w:ascii="Times New Roman" w:eastAsia="Times New Roman" w:hAnsi="Times New Roman" w:cs="Times New Roman"/>
        </w:rPr>
        <w:t>60</w:t>
      </w:r>
      <w:r w:rsidRPr="00DB5C9E">
        <w:rPr>
          <w:rFonts w:ascii="Times New Roman" w:eastAsia="Times New Roman" w:hAnsi="Times New Roman" w:cs="Times New Roman"/>
        </w:rPr>
        <w:fldChar w:fldCharType="end"/>
      </w:r>
      <w:r w:rsidR="006D1E3D">
        <w:rPr>
          <w:rFonts w:ascii="Times New Roman" w:eastAsia="Times New Roman" w:hAnsi="Times New Roman" w:cs="Times New Roman"/>
        </w:rPr>
        <w:t xml:space="preserve"> </w:t>
      </w:r>
      <w:r>
        <w:t xml:space="preserve">poniżej), podczas gdy reszta przepisów miała pozostać bez zmian; w art. 3 ustawy kwalifikowanej nr 1/2020 (zob. par. </w:t>
      </w:r>
      <w:r w:rsidRPr="00DB5C9E">
        <w:fldChar w:fldCharType="begin"/>
      </w:r>
      <w:r w:rsidRPr="00DB5C9E">
        <w:instrText xml:space="preserve">REF paragraph00061 \h \* CharFormat </w:instrText>
      </w:r>
      <w:r w:rsidRPr="00DB5C9E">
        <w:fldChar w:fldCharType="separate"/>
      </w:r>
      <w:r w:rsidR="00446BA2">
        <w:t>61</w:t>
      </w:r>
      <w:r w:rsidRPr="00DB5C9E">
        <w:fldChar w:fldCharType="end"/>
      </w:r>
      <w:r>
        <w:t xml:space="preserve"> poniżej)</w:t>
      </w:r>
      <w:r w:rsidR="006D1E3D">
        <w:t xml:space="preserve">, </w:t>
      </w:r>
      <w:r>
        <w:t>który stanowił również część interwencji władzy ustawodawczej</w:t>
      </w:r>
      <w:r w:rsidR="006D1E3D">
        <w:t>,</w:t>
      </w:r>
      <w:r>
        <w:t xml:space="preserve"> zawarto zaś przepis interpretacyjny, mający na celu rozwiązanie rozbieżności w wykładniach dotyczących pozostałej części składu CGP.</w:t>
      </w:r>
    </w:p>
    <w:bookmarkStart w:id="6" w:name="paragraph00018"/>
    <w:p w14:paraId="27550088" w14:textId="1074CC12" w:rsidR="00F5142C" w:rsidRPr="00DB5C9E" w:rsidRDefault="00445208" w:rsidP="00DB5C9E">
      <w:pPr>
        <w:pStyle w:val="JuPara"/>
        <w:rPr>
          <w:rFonts w:ascii="Times New Roman" w:eastAsia="Times New Roman" w:hAnsi="Times New Roman" w:cs="Times New Roman"/>
        </w:rPr>
      </w:pPr>
      <w:r w:rsidRPr="00DB5C9E">
        <w:rPr>
          <w:rFonts w:ascii="Times New Roman" w:eastAsia="Times New Roman" w:hAnsi="Times New Roman" w:cs="Times New Roman"/>
        </w:rPr>
        <w:fldChar w:fldCharType="begin"/>
      </w:r>
      <w:r w:rsidRPr="00DB5C9E">
        <w:rPr>
          <w:rFonts w:ascii="Times New Roman" w:eastAsia="Times New Roman" w:hAnsi="Times New Roman" w:cs="Times New Roman"/>
        </w:rPr>
        <w:instrText xml:space="preserve"> SEQ level0 \*arabic \* MERGEFORMAT </w:instrText>
      </w:r>
      <w:r w:rsidRPr="00DB5C9E">
        <w:rPr>
          <w:rFonts w:ascii="Times New Roman" w:eastAsia="Times New Roman" w:hAnsi="Times New Roman" w:cs="Times New Roman"/>
        </w:rPr>
        <w:fldChar w:fldCharType="separate"/>
      </w:r>
      <w:r w:rsidR="00446BA2">
        <w:rPr>
          <w:rFonts w:ascii="Times New Roman" w:eastAsia="Times New Roman" w:hAnsi="Times New Roman" w:cs="Times New Roman"/>
          <w:noProof/>
        </w:rPr>
        <w:t>18</w:t>
      </w:r>
      <w:r w:rsidRPr="00DB5C9E">
        <w:rPr>
          <w:rFonts w:ascii="Times New Roman" w:eastAsia="Times New Roman" w:hAnsi="Times New Roman" w:cs="Times New Roman"/>
        </w:rPr>
        <w:fldChar w:fldCharType="end"/>
      </w:r>
      <w:bookmarkEnd w:id="6"/>
      <w:r>
        <w:rPr>
          <w:rFonts w:ascii="Times New Roman" w:hAnsi="Times New Roman"/>
        </w:rPr>
        <w:t>.  </w:t>
      </w:r>
      <w:r w:rsidR="006D1E3D">
        <w:t>Na różnych obradach</w:t>
      </w:r>
      <w:r>
        <w:t xml:space="preserve"> poszczególni członkowie CGP (z nowo obsadzonym komponentem politycznym po wyborach i z odpowiednimi zmianami w komponencie sędziowskim w świetle interwencji władzy ustawodawczej, obowiązującymi od dnia 13 lipca 2020 r.) wyrażali rozbieżne poglądy w odniesieniu do interwencji władzy ustawodawczej (ustawy kwalifikowanej nr 1/2020, zob. par</w:t>
      </w:r>
      <w:r w:rsidR="00781DE1">
        <w:t>.</w:t>
      </w:r>
      <w:r>
        <w:t xml:space="preserve"> </w:t>
      </w:r>
      <w:r w:rsidRPr="00DB5C9E">
        <w:rPr>
          <w:rFonts w:ascii="Times New Roman" w:eastAsia="Times New Roman" w:hAnsi="Times New Roman" w:cs="Times New Roman"/>
        </w:rPr>
        <w:fldChar w:fldCharType="begin"/>
      </w:r>
      <w:r w:rsidRPr="00DB5C9E">
        <w:rPr>
          <w:rFonts w:ascii="Times New Roman" w:eastAsia="Times New Roman" w:hAnsi="Times New Roman" w:cs="Times New Roman"/>
        </w:rPr>
        <w:instrText xml:space="preserve">REF paragraph00060 \h \* CharFormat </w:instrText>
      </w:r>
      <w:r w:rsidRPr="00DB5C9E">
        <w:rPr>
          <w:rFonts w:ascii="Times New Roman" w:eastAsia="Times New Roman" w:hAnsi="Times New Roman" w:cs="Times New Roman"/>
        </w:rPr>
      </w:r>
      <w:r w:rsidRPr="00DB5C9E">
        <w:rPr>
          <w:rFonts w:ascii="Times New Roman" w:eastAsia="Times New Roman" w:hAnsi="Times New Roman" w:cs="Times New Roman"/>
        </w:rPr>
        <w:fldChar w:fldCharType="separate"/>
      </w:r>
      <w:r w:rsidR="00446BA2" w:rsidRPr="00446BA2">
        <w:rPr>
          <w:rFonts w:ascii="Times New Roman" w:eastAsia="Times New Roman" w:hAnsi="Times New Roman" w:cs="Times New Roman"/>
        </w:rPr>
        <w:t>60</w:t>
      </w:r>
      <w:r w:rsidRPr="00DB5C9E">
        <w:rPr>
          <w:rFonts w:ascii="Times New Roman" w:eastAsia="Times New Roman" w:hAnsi="Times New Roman" w:cs="Times New Roman"/>
        </w:rPr>
        <w:fldChar w:fldCharType="end"/>
      </w:r>
      <w:r>
        <w:rPr>
          <w:rFonts w:ascii="Times New Roman" w:hAnsi="Times New Roman"/>
        </w:rPr>
        <w:t>-</w:t>
      </w:r>
      <w:r w:rsidRPr="00DB5C9E">
        <w:rPr>
          <w:rFonts w:ascii="Times New Roman" w:eastAsia="Times New Roman" w:hAnsi="Times New Roman" w:cs="Times New Roman"/>
        </w:rPr>
        <w:fldChar w:fldCharType="begin"/>
      </w:r>
      <w:r w:rsidRPr="00DB5C9E">
        <w:rPr>
          <w:rFonts w:ascii="Times New Roman" w:eastAsia="Times New Roman" w:hAnsi="Times New Roman" w:cs="Times New Roman"/>
        </w:rPr>
        <w:instrText xml:space="preserve">REF paragraph00061 \h \* CharFormat </w:instrText>
      </w:r>
      <w:r w:rsidRPr="00DB5C9E">
        <w:rPr>
          <w:rFonts w:ascii="Times New Roman" w:eastAsia="Times New Roman" w:hAnsi="Times New Roman" w:cs="Times New Roman"/>
        </w:rPr>
      </w:r>
      <w:r w:rsidRPr="00DB5C9E">
        <w:rPr>
          <w:rFonts w:ascii="Times New Roman" w:eastAsia="Times New Roman" w:hAnsi="Times New Roman" w:cs="Times New Roman"/>
        </w:rPr>
        <w:fldChar w:fldCharType="separate"/>
      </w:r>
      <w:r w:rsidR="00446BA2" w:rsidRPr="00446BA2">
        <w:rPr>
          <w:rFonts w:ascii="Times New Roman" w:eastAsia="Times New Roman" w:hAnsi="Times New Roman" w:cs="Times New Roman"/>
        </w:rPr>
        <w:t>61</w:t>
      </w:r>
      <w:r w:rsidRPr="00DB5C9E">
        <w:rPr>
          <w:rFonts w:ascii="Times New Roman" w:eastAsia="Times New Roman" w:hAnsi="Times New Roman" w:cs="Times New Roman"/>
        </w:rPr>
        <w:fldChar w:fldCharType="end"/>
      </w:r>
      <w:r>
        <w:t xml:space="preserve"> poniżej) i dalszego postępowania.</w:t>
      </w:r>
      <w:r>
        <w:rPr>
          <w:rFonts w:ascii="Times New Roman" w:hAnsi="Times New Roman"/>
        </w:rPr>
        <w:t xml:space="preserve"> Niektórzy członkowie wzywali do stwierdzenia nieważności decyzji </w:t>
      </w:r>
      <w:r>
        <w:rPr>
          <w:rFonts w:ascii="Times New Roman" w:hAnsi="Times New Roman"/>
        </w:rPr>
        <w:lastRenderedPageBreak/>
        <w:t>podjętych</w:t>
      </w:r>
      <w:r w:rsidR="006D1E3D">
        <w:rPr>
          <w:rFonts w:ascii="Times New Roman" w:hAnsi="Times New Roman"/>
        </w:rPr>
        <w:t>, gdy</w:t>
      </w:r>
      <w:r>
        <w:rPr>
          <w:rFonts w:ascii="Times New Roman" w:hAnsi="Times New Roman"/>
        </w:rPr>
        <w:t xml:space="preserve"> CGP była obsadzona niezgodnie z wykładnią wynikającą z</w:t>
      </w:r>
      <w:r w:rsidR="006D1E3D">
        <w:rPr>
          <w:rFonts w:ascii="Times New Roman" w:hAnsi="Times New Roman"/>
        </w:rPr>
        <w:t> </w:t>
      </w:r>
      <w:r>
        <w:rPr>
          <w:rFonts w:ascii="Times New Roman" w:hAnsi="Times New Roman"/>
        </w:rPr>
        <w:t>interwencji władzy ustawodawczej.</w:t>
      </w:r>
    </w:p>
    <w:p w14:paraId="03022260" w14:textId="0EDA74FB" w:rsidR="00F5142C" w:rsidRPr="00DB5C9E" w:rsidRDefault="00445208" w:rsidP="00DB5C9E">
      <w:pPr>
        <w:pStyle w:val="JuPara"/>
        <w:rPr>
          <w:rFonts w:ascii="Times New Roman" w:eastAsia="Times New Roman" w:hAnsi="Times New Roman" w:cs="Times New Roman"/>
        </w:rPr>
      </w:pPr>
      <w:r w:rsidRPr="00DB5C9E">
        <w:rPr>
          <w:rFonts w:ascii="Times New Roman" w:eastAsia="Times New Roman" w:hAnsi="Times New Roman" w:cs="Times New Roman"/>
        </w:rPr>
        <w:fldChar w:fldCharType="begin"/>
      </w:r>
      <w:r w:rsidRPr="00DB5C9E">
        <w:rPr>
          <w:rFonts w:ascii="Times New Roman" w:eastAsia="Times New Roman" w:hAnsi="Times New Roman" w:cs="Times New Roman"/>
        </w:rPr>
        <w:instrText xml:space="preserve"> SEQ level0 \*arabic \* MERGEFORMAT </w:instrText>
      </w:r>
      <w:r w:rsidRPr="00DB5C9E">
        <w:rPr>
          <w:rFonts w:ascii="Times New Roman" w:eastAsia="Times New Roman" w:hAnsi="Times New Roman" w:cs="Times New Roman"/>
        </w:rPr>
        <w:fldChar w:fldCharType="separate"/>
      </w:r>
      <w:r w:rsidR="00446BA2">
        <w:rPr>
          <w:rFonts w:ascii="Times New Roman" w:eastAsia="Times New Roman" w:hAnsi="Times New Roman" w:cs="Times New Roman"/>
          <w:noProof/>
        </w:rPr>
        <w:t>19</w:t>
      </w:r>
      <w:r w:rsidRPr="00DB5C9E">
        <w:rPr>
          <w:rFonts w:ascii="Times New Roman" w:eastAsia="Times New Roman" w:hAnsi="Times New Roman" w:cs="Times New Roman"/>
        </w:rPr>
        <w:fldChar w:fldCharType="end"/>
      </w:r>
      <w:r>
        <w:rPr>
          <w:rFonts w:ascii="Times New Roman" w:hAnsi="Times New Roman"/>
        </w:rPr>
        <w:t>.  W dniu 28 września 2020 r. w świetle interwencji władzy ustawodawczej i po uwzględnieniu postępowań wszczętych przez X i Y, w</w:t>
      </w:r>
      <w:r w:rsidR="006D1E3D">
        <w:rPr>
          <w:rFonts w:ascii="Times New Roman" w:hAnsi="Times New Roman"/>
        </w:rPr>
        <w:t> </w:t>
      </w:r>
      <w:r>
        <w:rPr>
          <w:rFonts w:ascii="Times New Roman" w:hAnsi="Times New Roman"/>
        </w:rPr>
        <w:t>których zaskarżono powołanie skarżącego, CGP z urzędu i w akcie samoobro</w:t>
      </w:r>
      <w:r w:rsidR="009E6743">
        <w:rPr>
          <w:rFonts w:ascii="Times New Roman" w:hAnsi="Times New Roman"/>
        </w:rPr>
        <w:t>n</w:t>
      </w:r>
      <w:r>
        <w:rPr>
          <w:rFonts w:ascii="Times New Roman" w:hAnsi="Times New Roman"/>
        </w:rPr>
        <w:t>ny</w:t>
      </w:r>
      <w:r w:rsidR="009E6743">
        <w:rPr>
          <w:rFonts w:ascii="Times New Roman" w:hAnsi="Times New Roman"/>
        </w:rPr>
        <w:t>m</w:t>
      </w:r>
      <w:r>
        <w:rPr>
          <w:rFonts w:ascii="Times New Roman" w:hAnsi="Times New Roman"/>
        </w:rPr>
        <w:t xml:space="preserve"> (</w:t>
      </w:r>
      <w:proofErr w:type="spellStart"/>
      <w:r>
        <w:rPr>
          <w:rFonts w:ascii="Times New Roman" w:hAnsi="Times New Roman"/>
          <w:i/>
          <w:iCs/>
        </w:rPr>
        <w:t>autotutela</w:t>
      </w:r>
      <w:proofErr w:type="spellEnd"/>
      <w:r>
        <w:rPr>
          <w:rFonts w:ascii="Times New Roman" w:hAnsi="Times New Roman"/>
          <w:i/>
          <w:iCs/>
        </w:rPr>
        <w:t xml:space="preserve"> </w:t>
      </w:r>
      <w:proofErr w:type="spellStart"/>
      <w:r>
        <w:rPr>
          <w:rFonts w:ascii="Times New Roman" w:hAnsi="Times New Roman"/>
          <w:i/>
          <w:iCs/>
        </w:rPr>
        <w:t>decisoria</w:t>
      </w:r>
      <w:proofErr w:type="spellEnd"/>
      <w:r>
        <w:rPr>
          <w:rFonts w:ascii="Times New Roman" w:hAnsi="Times New Roman"/>
          <w:i/>
          <w:iCs/>
        </w:rPr>
        <w:t xml:space="preserve"> </w:t>
      </w:r>
      <w:proofErr w:type="spellStart"/>
      <w:r>
        <w:rPr>
          <w:rFonts w:ascii="Times New Roman" w:hAnsi="Times New Roman"/>
          <w:i/>
          <w:iCs/>
        </w:rPr>
        <w:t>spontanea</w:t>
      </w:r>
      <w:proofErr w:type="spellEnd"/>
      <w:r>
        <w:rPr>
          <w:rFonts w:ascii="Times New Roman" w:hAnsi="Times New Roman"/>
        </w:rPr>
        <w:t>) stwierdziła nieważność swoje</w:t>
      </w:r>
      <w:r w:rsidR="006D1E3D">
        <w:rPr>
          <w:rFonts w:ascii="Times New Roman" w:hAnsi="Times New Roman"/>
        </w:rPr>
        <w:t>j decyzji</w:t>
      </w:r>
      <w:r>
        <w:rPr>
          <w:rFonts w:ascii="Times New Roman" w:hAnsi="Times New Roman"/>
        </w:rPr>
        <w:t>, na podstawie które</w:t>
      </w:r>
      <w:r w:rsidR="006D1E3D">
        <w:rPr>
          <w:rFonts w:ascii="Times New Roman" w:hAnsi="Times New Roman"/>
        </w:rPr>
        <w:t>j</w:t>
      </w:r>
      <w:r>
        <w:rPr>
          <w:rFonts w:ascii="Times New Roman" w:hAnsi="Times New Roman"/>
        </w:rPr>
        <w:t xml:space="preserve"> wszczęto procedurę wyboru </w:t>
      </w:r>
      <w:proofErr w:type="spellStart"/>
      <w:proofErr w:type="gramStart"/>
      <w:r w:rsidR="00515117">
        <w:rPr>
          <w:rFonts w:ascii="Times New Roman" w:hAnsi="Times New Roman"/>
        </w:rPr>
        <w:t>CoL</w:t>
      </w:r>
      <w:proofErr w:type="spellEnd"/>
      <w:r w:rsidR="00515117">
        <w:rPr>
          <w:rFonts w:ascii="Times New Roman" w:hAnsi="Times New Roman"/>
        </w:rPr>
        <w:t xml:space="preserve"> </w:t>
      </w:r>
      <w:r>
        <w:rPr>
          <w:rFonts w:ascii="Times New Roman" w:hAnsi="Times New Roman"/>
        </w:rPr>
        <w:t>,</w:t>
      </w:r>
      <w:proofErr w:type="gramEnd"/>
      <w:r>
        <w:rPr>
          <w:rFonts w:ascii="Times New Roman" w:hAnsi="Times New Roman"/>
        </w:rPr>
        <w:t xml:space="preserve"> a</w:t>
      </w:r>
      <w:r w:rsidR="006D1E3D">
        <w:rPr>
          <w:rFonts w:ascii="Times New Roman" w:hAnsi="Times New Roman"/>
        </w:rPr>
        <w:t> </w:t>
      </w:r>
      <w:r>
        <w:rPr>
          <w:rFonts w:ascii="Times New Roman" w:hAnsi="Times New Roman"/>
        </w:rPr>
        <w:t xml:space="preserve">także </w:t>
      </w:r>
      <w:r w:rsidR="006D1E3D">
        <w:rPr>
          <w:rFonts w:ascii="Times New Roman" w:hAnsi="Times New Roman"/>
        </w:rPr>
        <w:t>decyzji</w:t>
      </w:r>
      <w:r>
        <w:rPr>
          <w:rFonts w:ascii="Times New Roman" w:hAnsi="Times New Roman"/>
        </w:rPr>
        <w:t>, na podstawie które</w:t>
      </w:r>
      <w:r w:rsidR="006D1E3D">
        <w:rPr>
          <w:rFonts w:ascii="Times New Roman" w:hAnsi="Times New Roman"/>
        </w:rPr>
        <w:t>j</w:t>
      </w:r>
      <w:r>
        <w:rPr>
          <w:rFonts w:ascii="Times New Roman" w:hAnsi="Times New Roman"/>
        </w:rPr>
        <w:t xml:space="preserve"> powołano skarżącego na to stanowisko (trzynastoma głosami za, trzema przeciw i dwoma wstrzymującymi się). CGP uznała, że</w:t>
      </w:r>
      <w:r w:rsidR="006D1E3D">
        <w:rPr>
          <w:rFonts w:ascii="Times New Roman" w:hAnsi="Times New Roman"/>
        </w:rPr>
        <w:t>, przyjmując te postanowienia,</w:t>
      </w:r>
      <w:r>
        <w:rPr>
          <w:rFonts w:ascii="Times New Roman" w:hAnsi="Times New Roman"/>
        </w:rPr>
        <w:t xml:space="preserve"> była nienależycie obsadzona, ponieważ w jej składzie zasiadał C, który w tym czasie nie był jeszcze zatwierdzony w swojej funkcji na czas nieoznaczony, wbrew zapisom nowego art. 3 ustawy kwalifikowanej nr 1/2020, przepisu interpretacyjnego z mocą wsteczną.</w:t>
      </w:r>
    </w:p>
    <w:p w14:paraId="03ED5C80" w14:textId="4CFD6F25" w:rsidR="00F5142C" w:rsidRPr="00DB5C9E" w:rsidRDefault="00445208" w:rsidP="00DB5C9E">
      <w:pPr>
        <w:pStyle w:val="JuPara"/>
        <w:rPr>
          <w:rFonts w:ascii="Times New Roman" w:eastAsia="Times New Roman" w:hAnsi="Times New Roman" w:cs="Times New Roman"/>
        </w:rPr>
      </w:pPr>
      <w:r w:rsidRPr="00DB5C9E">
        <w:rPr>
          <w:rFonts w:ascii="Times New Roman" w:eastAsia="Times New Roman" w:hAnsi="Times New Roman" w:cs="Times New Roman"/>
        </w:rPr>
        <w:fldChar w:fldCharType="begin"/>
      </w:r>
      <w:r w:rsidRPr="00DB5C9E">
        <w:rPr>
          <w:rFonts w:ascii="Times New Roman" w:eastAsia="Times New Roman" w:hAnsi="Times New Roman" w:cs="Times New Roman"/>
        </w:rPr>
        <w:instrText xml:space="preserve"> SEQ level0 \*arabic \* MERGEFORMAT </w:instrText>
      </w:r>
      <w:r w:rsidRPr="00DB5C9E">
        <w:rPr>
          <w:rFonts w:ascii="Times New Roman" w:eastAsia="Times New Roman" w:hAnsi="Times New Roman" w:cs="Times New Roman"/>
        </w:rPr>
        <w:fldChar w:fldCharType="separate"/>
      </w:r>
      <w:r w:rsidR="00446BA2">
        <w:rPr>
          <w:rFonts w:ascii="Times New Roman" w:eastAsia="Times New Roman" w:hAnsi="Times New Roman" w:cs="Times New Roman"/>
          <w:noProof/>
        </w:rPr>
        <w:t>20</w:t>
      </w:r>
      <w:r w:rsidRPr="00DB5C9E">
        <w:rPr>
          <w:rFonts w:ascii="Times New Roman" w:eastAsia="Times New Roman" w:hAnsi="Times New Roman" w:cs="Times New Roman"/>
        </w:rPr>
        <w:fldChar w:fldCharType="end"/>
      </w:r>
      <w:r>
        <w:rPr>
          <w:rFonts w:ascii="Times New Roman" w:hAnsi="Times New Roman"/>
        </w:rPr>
        <w:t xml:space="preserve">.  W tej sprawie w dniu 31 sierpnia 2020 r. CGP wniosła o opinię </w:t>
      </w:r>
      <w:r>
        <w:rPr>
          <w:rFonts w:ascii="Times New Roman" w:hAnsi="Times New Roman"/>
          <w:i/>
          <w:iCs/>
        </w:rPr>
        <w:t xml:space="preserve">pro </w:t>
      </w:r>
      <w:proofErr w:type="spellStart"/>
      <w:r>
        <w:rPr>
          <w:rFonts w:ascii="Times New Roman" w:hAnsi="Times New Roman"/>
          <w:i/>
          <w:iCs/>
        </w:rPr>
        <w:t>veritate</w:t>
      </w:r>
      <w:proofErr w:type="spellEnd"/>
      <w:r>
        <w:rPr>
          <w:rFonts w:ascii="Times New Roman" w:hAnsi="Times New Roman"/>
        </w:rPr>
        <w:t xml:space="preserve"> do Emerytowanego Prezesa Sądu Konstytucyjnego Włoch; uzyskała ją w dniu 5 września 2020 r. Prezes, opierając się na wyrokach Sądu Konstytucyjnego Włoch, dotyczących przepisów autentycznej wykładni, uznał, że art. 3 ustawy kwalifikowanej nr 1/2020 był przepisem autentycznej wykładni art. 7 ustawy kwalifikowanej nr 145/2003, pozwalającym na</w:t>
      </w:r>
      <w:r w:rsidR="00177CBD">
        <w:rPr>
          <w:rFonts w:ascii="Times New Roman" w:hAnsi="Times New Roman"/>
        </w:rPr>
        <w:t> </w:t>
      </w:r>
      <w:r>
        <w:rPr>
          <w:rFonts w:ascii="Times New Roman" w:hAnsi="Times New Roman"/>
        </w:rPr>
        <w:t xml:space="preserve">stosowanie z mocą wsteczną. Zgodnie z tą opinią w świetle wykładni przedstawionej w ustawie kwalifikowanej nr 1/2020 CGP nie była należycie obsadzona na tych posiedzeniach; w wyniku tej wady wszelkie akty podjęte przez ten organ były niezgodne z prawem i pozostałyby ważne wyłącznie, gdyby nie zostały zaskarżone w odpowiednim terminie; niezgodny z prawem skład CGP </w:t>
      </w:r>
      <w:r w:rsidR="00177CBD">
        <w:rPr>
          <w:rFonts w:ascii="Times New Roman" w:hAnsi="Times New Roman"/>
        </w:rPr>
        <w:t xml:space="preserve">przeważał i obejmował wszelkie pozostałe faktycznie utrzymujące się wady </w:t>
      </w:r>
      <w:r>
        <w:rPr>
          <w:rFonts w:ascii="Times New Roman" w:hAnsi="Times New Roman"/>
        </w:rPr>
        <w:t>(</w:t>
      </w:r>
      <w:proofErr w:type="spellStart"/>
      <w:r>
        <w:rPr>
          <w:rFonts w:ascii="Times New Roman" w:hAnsi="Times New Roman"/>
          <w:i/>
          <w:iCs/>
        </w:rPr>
        <w:t>comunque</w:t>
      </w:r>
      <w:proofErr w:type="spellEnd"/>
      <w:r>
        <w:rPr>
          <w:rFonts w:ascii="Times New Roman" w:hAnsi="Times New Roman"/>
          <w:i/>
          <w:iCs/>
        </w:rPr>
        <w:t xml:space="preserve"> </w:t>
      </w:r>
      <w:proofErr w:type="spellStart"/>
      <w:r>
        <w:rPr>
          <w:rFonts w:ascii="Times New Roman" w:hAnsi="Times New Roman"/>
          <w:i/>
          <w:iCs/>
        </w:rPr>
        <w:t>sussistenti</w:t>
      </w:r>
      <w:proofErr w:type="spellEnd"/>
      <w:r>
        <w:rPr>
          <w:rFonts w:ascii="Times New Roman" w:hAnsi="Times New Roman"/>
        </w:rPr>
        <w:t>); zauważając, że toczące się postępowanie (o sygn. 13/2019) nie zostało jeszcze rozstrzygnięte, Prezes uznał w opinii, że istniały względy interesu publicznego uzasadniające stwierdzenie nieważności zaskarżonych obrad CGP w interesie pewności prawnej powołań na stanowiska sędziowskie oraz w celu zapewnienia gwarancji bezstronności i niezależności, które również zależały od tego, czy procedura wyboru na stanowiska jest zgodna z prawem; decyzje CGP, które nie zostały zaskarżone w terminach zawitych, mogły jednak pozostać w</w:t>
      </w:r>
      <w:r w:rsidR="00437D3D">
        <w:rPr>
          <w:rFonts w:ascii="Times New Roman" w:hAnsi="Times New Roman"/>
        </w:rPr>
        <w:t> </w:t>
      </w:r>
      <w:r>
        <w:rPr>
          <w:rFonts w:ascii="Times New Roman" w:hAnsi="Times New Roman"/>
        </w:rPr>
        <w:t>mocy.</w:t>
      </w:r>
    </w:p>
    <w:p w14:paraId="440240A4" w14:textId="340E7E5B" w:rsidR="00F5142C" w:rsidRPr="00DB5C9E" w:rsidRDefault="00445208" w:rsidP="00DB5C9E">
      <w:pPr>
        <w:pStyle w:val="JuPara"/>
        <w:rPr>
          <w:rFonts w:ascii="Times New Roman" w:eastAsia="Times New Roman" w:hAnsi="Times New Roman" w:cs="Times New Roman"/>
        </w:rPr>
      </w:pPr>
      <w:r w:rsidRPr="00DB5C9E">
        <w:rPr>
          <w:rFonts w:ascii="Times New Roman" w:eastAsia="Times New Roman" w:hAnsi="Times New Roman" w:cs="Times New Roman"/>
        </w:rPr>
        <w:fldChar w:fldCharType="begin"/>
      </w:r>
      <w:r w:rsidRPr="00DB5C9E">
        <w:rPr>
          <w:rFonts w:ascii="Times New Roman" w:eastAsia="Times New Roman" w:hAnsi="Times New Roman" w:cs="Times New Roman"/>
        </w:rPr>
        <w:instrText xml:space="preserve"> SEQ level0 \*arabic \* MERGEFORMAT </w:instrText>
      </w:r>
      <w:r w:rsidRPr="00DB5C9E">
        <w:rPr>
          <w:rFonts w:ascii="Times New Roman" w:eastAsia="Times New Roman" w:hAnsi="Times New Roman" w:cs="Times New Roman"/>
        </w:rPr>
        <w:fldChar w:fldCharType="separate"/>
      </w:r>
      <w:r w:rsidR="00446BA2">
        <w:rPr>
          <w:rFonts w:ascii="Times New Roman" w:eastAsia="Times New Roman" w:hAnsi="Times New Roman" w:cs="Times New Roman"/>
          <w:noProof/>
        </w:rPr>
        <w:t>21</w:t>
      </w:r>
      <w:r w:rsidRPr="00DB5C9E">
        <w:rPr>
          <w:rFonts w:ascii="Times New Roman" w:eastAsia="Times New Roman" w:hAnsi="Times New Roman" w:cs="Times New Roman"/>
        </w:rPr>
        <w:fldChar w:fldCharType="end"/>
      </w:r>
      <w:r>
        <w:rPr>
          <w:rFonts w:ascii="Times New Roman" w:hAnsi="Times New Roman"/>
        </w:rPr>
        <w:t>.  W międzyczasie w dniu 17 lipca 2020 r. większość sędziów w San Marino, w tym skarżący, skierowała pismo do Sekretarza generalnego Rady Europy, w którym wyraziła swoje obawy dotyczące ustawy kwalifikowanej nr 1/2020, między innymi w odniesieniu do jej mocy wstecznej, a także wynikającej z niej nieważności postanowień przyjętych przez CGP w</w:t>
      </w:r>
      <w:r w:rsidR="00477A6B">
        <w:rPr>
          <w:rFonts w:ascii="Times New Roman" w:hAnsi="Times New Roman"/>
        </w:rPr>
        <w:t> </w:t>
      </w:r>
      <w:r>
        <w:rPr>
          <w:rFonts w:ascii="Times New Roman" w:hAnsi="Times New Roman"/>
        </w:rPr>
        <w:t>składzie obowiązującym przed zmianami przy braku jakiejkolwiek weryfikacji, czy inny skład miałby jakikolwiek wpływ na podjęte decyzje. Sędziowie uznali, że ustawa kwalifikowana nr 1/2020 została uchwalona w</w:t>
      </w:r>
      <w:r w:rsidR="00477A6B">
        <w:rPr>
          <w:rFonts w:ascii="Times New Roman" w:hAnsi="Times New Roman"/>
        </w:rPr>
        <w:t> </w:t>
      </w:r>
      <w:r>
        <w:rPr>
          <w:rFonts w:ascii="Times New Roman" w:hAnsi="Times New Roman"/>
        </w:rPr>
        <w:t xml:space="preserve">celu umożliwienia ponownego obsadzenia CGP w sposób korzystny dla </w:t>
      </w:r>
      <w:r>
        <w:rPr>
          <w:rFonts w:ascii="Times New Roman" w:hAnsi="Times New Roman"/>
        </w:rPr>
        <w:lastRenderedPageBreak/>
        <w:t xml:space="preserve">ówczesnego Rządu. W szczególności ustawa pozwoliła na unieważnienie powołania urzędującego już Sędziego Naczelnego (sic.), dwóch sędziów apelacyjnych i jednego sędziego pierwszej instancji (choć </w:t>
      </w:r>
      <w:proofErr w:type="gramStart"/>
      <w:r>
        <w:rPr>
          <w:rFonts w:ascii="Times New Roman" w:hAnsi="Times New Roman"/>
        </w:rPr>
        <w:t>nie zatwierdzenia</w:t>
      </w:r>
      <w:proofErr w:type="gramEnd"/>
      <w:r>
        <w:rPr>
          <w:rFonts w:ascii="Times New Roman" w:hAnsi="Times New Roman"/>
        </w:rPr>
        <w:t xml:space="preserve"> osób na trzech innych stanowiskach </w:t>
      </w:r>
      <w:proofErr w:type="gramStart"/>
      <w:r w:rsidR="00301E87">
        <w:rPr>
          <w:rFonts w:ascii="Times New Roman" w:hAnsi="Times New Roman"/>
        </w:rPr>
        <w:t xml:space="preserve">UD </w:t>
      </w:r>
      <w:r>
        <w:rPr>
          <w:rFonts w:ascii="Times New Roman" w:hAnsi="Times New Roman"/>
        </w:rPr>
        <w:t xml:space="preserve"> i</w:t>
      </w:r>
      <w:proofErr w:type="gramEnd"/>
      <w:r>
        <w:rPr>
          <w:rFonts w:ascii="Times New Roman" w:hAnsi="Times New Roman"/>
        </w:rPr>
        <w:t xml:space="preserve"> jednego </w:t>
      </w:r>
      <w:proofErr w:type="spellStart"/>
      <w:r>
        <w:rPr>
          <w:rFonts w:ascii="Times New Roman" w:hAnsi="Times New Roman"/>
          <w:i/>
          <w:iCs/>
        </w:rPr>
        <w:t>Procuratore</w:t>
      </w:r>
      <w:proofErr w:type="spellEnd"/>
      <w:r>
        <w:rPr>
          <w:rFonts w:ascii="Times New Roman" w:hAnsi="Times New Roman"/>
          <w:i/>
          <w:iCs/>
        </w:rPr>
        <w:t xml:space="preserve"> del </w:t>
      </w:r>
      <w:proofErr w:type="spellStart"/>
      <w:r>
        <w:rPr>
          <w:rFonts w:ascii="Times New Roman" w:hAnsi="Times New Roman"/>
          <w:i/>
          <w:iCs/>
        </w:rPr>
        <w:t>Fisco</w:t>
      </w:r>
      <w:proofErr w:type="spellEnd"/>
      <w:r>
        <w:rPr>
          <w:rFonts w:ascii="Times New Roman" w:hAnsi="Times New Roman"/>
        </w:rPr>
        <w:t>), którzy to sędziowie zostali powołani zgodnie z prawem obowiązującym w momencie ich powołania. Miały ich następnie zastąpić inne osoby na podstawie nowego składu CGP, który, poza tym, że nie był zgodny ze standardami międzynarodowymi ze względu na</w:t>
      </w:r>
      <w:r w:rsidR="00477A6B">
        <w:rPr>
          <w:rFonts w:ascii="Times New Roman" w:hAnsi="Times New Roman"/>
        </w:rPr>
        <w:t> </w:t>
      </w:r>
      <w:r>
        <w:rPr>
          <w:rFonts w:ascii="Times New Roman" w:hAnsi="Times New Roman"/>
        </w:rPr>
        <w:t>swój komponent polityczny, był bardziej korzystny dla Rządu. Podważało to niezależność sądownictwa i naruszało standardy Rady Europy.</w:t>
      </w:r>
    </w:p>
    <w:p w14:paraId="2576AF82" w14:textId="5DB7BA58" w:rsidR="00F5142C" w:rsidRPr="00DB5C9E" w:rsidRDefault="00445208" w:rsidP="00DB5C9E">
      <w:pPr>
        <w:pStyle w:val="JuPara"/>
        <w:rPr>
          <w:rFonts w:ascii="Times New Roman" w:eastAsia="Times New Roman" w:hAnsi="Times New Roman" w:cs="Times New Roman"/>
        </w:rPr>
      </w:pPr>
      <w:r w:rsidRPr="00DB5C9E">
        <w:rPr>
          <w:rFonts w:ascii="Times New Roman" w:eastAsia="Times New Roman" w:hAnsi="Times New Roman" w:cs="Times New Roman"/>
        </w:rPr>
        <w:fldChar w:fldCharType="begin"/>
      </w:r>
      <w:r w:rsidRPr="00DB5C9E">
        <w:rPr>
          <w:rFonts w:ascii="Times New Roman" w:eastAsia="Times New Roman" w:hAnsi="Times New Roman" w:cs="Times New Roman"/>
        </w:rPr>
        <w:instrText xml:space="preserve"> SEQ level0 \*arabic \* MERGEFORMAT </w:instrText>
      </w:r>
      <w:r w:rsidRPr="00DB5C9E">
        <w:rPr>
          <w:rFonts w:ascii="Times New Roman" w:eastAsia="Times New Roman" w:hAnsi="Times New Roman" w:cs="Times New Roman"/>
        </w:rPr>
        <w:fldChar w:fldCharType="separate"/>
      </w:r>
      <w:r w:rsidR="00446BA2">
        <w:rPr>
          <w:rFonts w:ascii="Times New Roman" w:eastAsia="Times New Roman" w:hAnsi="Times New Roman" w:cs="Times New Roman"/>
          <w:noProof/>
        </w:rPr>
        <w:t>22</w:t>
      </w:r>
      <w:r w:rsidRPr="00DB5C9E">
        <w:rPr>
          <w:rFonts w:ascii="Times New Roman" w:eastAsia="Times New Roman" w:hAnsi="Times New Roman" w:cs="Times New Roman"/>
        </w:rPr>
        <w:fldChar w:fldCharType="end"/>
      </w:r>
      <w:r>
        <w:rPr>
          <w:rFonts w:ascii="Times New Roman" w:hAnsi="Times New Roman"/>
        </w:rPr>
        <w:t>.  Podobne obawy zgłoszono Komisarzowi Praw Człowieka Rady Europy, który w odpowiedzi na piśmie udzielonej dnia 8 września 2020 r.</w:t>
      </w:r>
      <w:r>
        <w:rPr>
          <w:rStyle w:val="Odwoanieprzypisudolnego"/>
          <w:rFonts w:ascii="Times New Roman" w:eastAsia="Times New Roman" w:hAnsi="Times New Roman" w:cs="Times New Roman"/>
        </w:rPr>
        <w:footnoteReference w:id="1"/>
      </w:r>
      <w:r>
        <w:rPr>
          <w:rFonts w:ascii="Times New Roman" w:hAnsi="Times New Roman"/>
        </w:rPr>
        <w:t xml:space="preserve"> (dwadzieścia dni przed podjęciem zaskarżonej decyzji) przypomniał szereg ważnych zasad i standardów europejskich, stanowią</w:t>
      </w:r>
      <w:r w:rsidR="00477A6B">
        <w:rPr>
          <w:rFonts w:ascii="Times New Roman" w:hAnsi="Times New Roman"/>
        </w:rPr>
        <w:t>cych</w:t>
      </w:r>
      <w:r>
        <w:rPr>
          <w:rFonts w:ascii="Times New Roman" w:hAnsi="Times New Roman"/>
        </w:rPr>
        <w:t xml:space="preserve"> podstawę praworządności i korzystania z praw człowieka, oraz podkreślił zasadniczą rolę rad sądownictwa, które muszą być mocno zakorzenione w prawie i</w:t>
      </w:r>
      <w:r w:rsidR="00477A6B">
        <w:rPr>
          <w:rFonts w:ascii="Times New Roman" w:hAnsi="Times New Roman"/>
        </w:rPr>
        <w:t> </w:t>
      </w:r>
      <w:r>
        <w:rPr>
          <w:rFonts w:ascii="Times New Roman" w:hAnsi="Times New Roman"/>
        </w:rPr>
        <w:t>składać się w większości z członków reprezentujących sądownictwo, wybieranych przez innych przedstawicieli władzy</w:t>
      </w:r>
      <w:r w:rsidR="00477A6B">
        <w:rPr>
          <w:rFonts w:ascii="Times New Roman" w:hAnsi="Times New Roman"/>
        </w:rPr>
        <w:t xml:space="preserve"> sądowniczej</w:t>
      </w:r>
      <w:r>
        <w:rPr>
          <w:rFonts w:ascii="Times New Roman" w:hAnsi="Times New Roman"/>
        </w:rPr>
        <w:t>. Komisarz zachęciła Rząd San Marino do pełnego wykorzystania pomocy i fachowej wiedzy odpowiednich organów Rady Europy w celu oceny rozwiązań instytucjonalnych, wpływających na niezależność sądownictwa w San Marino, i w razie potrzeby do ich zreformowania zgodnie z zaleceniami tych organów. Świadoma, że Grupa Państw Przeciwko Korupcji („GRECO”) miała wkrótce przyjąć odpowiedni raport z oceny dotyczący San Marino</w:t>
      </w:r>
      <w:r w:rsidR="00477A6B">
        <w:rPr>
          <w:rFonts w:ascii="Times New Roman" w:hAnsi="Times New Roman"/>
        </w:rPr>
        <w:t>,</w:t>
      </w:r>
      <w:r>
        <w:rPr>
          <w:rFonts w:ascii="Times New Roman" w:hAnsi="Times New Roman"/>
        </w:rPr>
        <w:t xml:space="preserve"> wezwała władze do powstrzymania się od podejmowania jakichkolwiek dalszych kroków, które mogłyby podsycać takie zarzuty, do czasu przyjęcia i publikacji tego raportu oraz właściwego wdrożenia wszelkich ewentualnych zaleceń w nim zawartych.</w:t>
      </w:r>
    </w:p>
    <w:p w14:paraId="5537D3E9" w14:textId="580C2C78" w:rsidR="00F5142C" w:rsidRPr="00DB5C9E" w:rsidRDefault="00445208" w:rsidP="00DB5C9E">
      <w:pPr>
        <w:pStyle w:val="JuPara"/>
        <w:rPr>
          <w:rFonts w:ascii="Times New Roman" w:eastAsia="Times New Roman" w:hAnsi="Times New Roman" w:cs="Times New Roman"/>
        </w:rPr>
      </w:pPr>
      <w:r w:rsidRPr="00DB5C9E">
        <w:rPr>
          <w:rFonts w:ascii="Times New Roman" w:eastAsia="Times New Roman" w:hAnsi="Times New Roman" w:cs="Times New Roman"/>
        </w:rPr>
        <w:fldChar w:fldCharType="begin"/>
      </w:r>
      <w:r w:rsidRPr="00DB5C9E">
        <w:rPr>
          <w:rFonts w:ascii="Times New Roman" w:eastAsia="Times New Roman" w:hAnsi="Times New Roman" w:cs="Times New Roman"/>
        </w:rPr>
        <w:instrText xml:space="preserve"> SEQ level0 \*arabic \* MERGEFORMAT </w:instrText>
      </w:r>
      <w:r w:rsidRPr="00DB5C9E">
        <w:rPr>
          <w:rFonts w:ascii="Times New Roman" w:eastAsia="Times New Roman" w:hAnsi="Times New Roman" w:cs="Times New Roman"/>
        </w:rPr>
        <w:fldChar w:fldCharType="separate"/>
      </w:r>
      <w:r w:rsidR="00446BA2">
        <w:rPr>
          <w:rFonts w:ascii="Times New Roman" w:eastAsia="Times New Roman" w:hAnsi="Times New Roman" w:cs="Times New Roman"/>
          <w:noProof/>
        </w:rPr>
        <w:t>23</w:t>
      </w:r>
      <w:r w:rsidRPr="00DB5C9E">
        <w:rPr>
          <w:rFonts w:ascii="Times New Roman" w:eastAsia="Times New Roman" w:hAnsi="Times New Roman" w:cs="Times New Roman"/>
        </w:rPr>
        <w:fldChar w:fldCharType="end"/>
      </w:r>
      <w:r>
        <w:rPr>
          <w:rFonts w:ascii="Times New Roman" w:hAnsi="Times New Roman"/>
        </w:rPr>
        <w:t>.  </w:t>
      </w:r>
      <w:r>
        <w:t>Raport z oceny</w:t>
      </w:r>
      <w:r w:rsidR="003B54F4">
        <w:t xml:space="preserve"> GRECO</w:t>
      </w:r>
      <w:r>
        <w:t xml:space="preserve">, w </w:t>
      </w:r>
      <w:proofErr w:type="gramStart"/>
      <w:r>
        <w:t>którym  zidentyfikowa</w:t>
      </w:r>
      <w:r w:rsidR="003B54F4">
        <w:t>no</w:t>
      </w:r>
      <w:proofErr w:type="gramEnd"/>
      <w:r>
        <w:t xml:space="preserve"> różne niedociągnięcia, między innymi w odniesieniu do rady sądownictwa i jej funkcjonowania, został wydany w dniach 21-25 września 2020 r. (zob. par. </w:t>
      </w:r>
      <w:r w:rsidRPr="00DB5C9E">
        <w:rPr>
          <w:rFonts w:ascii="Times New Roman" w:eastAsia="Times New Roman" w:hAnsi="Times New Roman" w:cs="Times New Roman"/>
        </w:rPr>
        <w:fldChar w:fldCharType="begin"/>
      </w:r>
      <w:r w:rsidRPr="00DB5C9E">
        <w:rPr>
          <w:rFonts w:ascii="Times New Roman" w:eastAsia="Times New Roman" w:hAnsi="Times New Roman" w:cs="Times New Roman"/>
        </w:rPr>
        <w:instrText xml:space="preserve">REF paragraph00066 \h \* CharFormat </w:instrText>
      </w:r>
      <w:r w:rsidRPr="00DB5C9E">
        <w:rPr>
          <w:rFonts w:ascii="Times New Roman" w:eastAsia="Times New Roman" w:hAnsi="Times New Roman" w:cs="Times New Roman"/>
        </w:rPr>
      </w:r>
      <w:r w:rsidRPr="00DB5C9E">
        <w:rPr>
          <w:rFonts w:ascii="Times New Roman" w:eastAsia="Times New Roman" w:hAnsi="Times New Roman" w:cs="Times New Roman"/>
        </w:rPr>
        <w:fldChar w:fldCharType="separate"/>
      </w:r>
      <w:r w:rsidR="00446BA2" w:rsidRPr="00446BA2">
        <w:rPr>
          <w:rFonts w:ascii="Times New Roman" w:eastAsia="Times New Roman" w:hAnsi="Times New Roman" w:cs="Times New Roman"/>
        </w:rPr>
        <w:t>66</w:t>
      </w:r>
      <w:r w:rsidRPr="00DB5C9E">
        <w:rPr>
          <w:rFonts w:ascii="Times New Roman" w:eastAsia="Times New Roman" w:hAnsi="Times New Roman" w:cs="Times New Roman"/>
        </w:rPr>
        <w:fldChar w:fldCharType="end"/>
      </w:r>
      <w:r>
        <w:t xml:space="preserve"> poniżej).</w:t>
      </w:r>
      <w:r>
        <w:rPr>
          <w:rFonts w:ascii="Times New Roman" w:hAnsi="Times New Roman"/>
        </w:rPr>
        <w:t xml:space="preserve"> </w:t>
      </w:r>
      <w:r>
        <w:t xml:space="preserve">Odpowiednia reforma prawa, uwzględniająca zalecenia GRECO, miała miejsce w grudniu 2021 r. (zob. par. </w:t>
      </w:r>
      <w:r w:rsidRPr="00DB5C9E">
        <w:rPr>
          <w:rFonts w:ascii="Times New Roman" w:eastAsia="Times New Roman" w:hAnsi="Times New Roman" w:cs="Times New Roman"/>
        </w:rPr>
        <w:fldChar w:fldCharType="begin"/>
      </w:r>
      <w:r w:rsidRPr="00DB5C9E">
        <w:rPr>
          <w:rFonts w:ascii="Times New Roman" w:eastAsia="Times New Roman" w:hAnsi="Times New Roman" w:cs="Times New Roman"/>
        </w:rPr>
        <w:instrText xml:space="preserve">REF paragraph00056 \h \* CharFormat </w:instrText>
      </w:r>
      <w:r w:rsidRPr="00DB5C9E">
        <w:rPr>
          <w:rFonts w:ascii="Times New Roman" w:eastAsia="Times New Roman" w:hAnsi="Times New Roman" w:cs="Times New Roman"/>
        </w:rPr>
      </w:r>
      <w:r w:rsidRPr="00DB5C9E">
        <w:rPr>
          <w:rFonts w:ascii="Times New Roman" w:eastAsia="Times New Roman" w:hAnsi="Times New Roman" w:cs="Times New Roman"/>
        </w:rPr>
        <w:fldChar w:fldCharType="separate"/>
      </w:r>
      <w:r w:rsidR="00446BA2" w:rsidRPr="00446BA2">
        <w:rPr>
          <w:rFonts w:ascii="Times New Roman" w:eastAsia="Times New Roman" w:hAnsi="Times New Roman" w:cs="Times New Roman"/>
        </w:rPr>
        <w:t>56</w:t>
      </w:r>
      <w:r w:rsidRPr="00DB5C9E">
        <w:rPr>
          <w:rFonts w:ascii="Times New Roman" w:eastAsia="Times New Roman" w:hAnsi="Times New Roman" w:cs="Times New Roman"/>
        </w:rPr>
        <w:fldChar w:fldCharType="end"/>
      </w:r>
      <w:r>
        <w:t xml:space="preserve">, </w:t>
      </w:r>
      <w:r w:rsidRPr="00DB5C9E">
        <w:rPr>
          <w:rFonts w:ascii="Times New Roman" w:eastAsia="Times New Roman" w:hAnsi="Times New Roman" w:cs="Times New Roman"/>
        </w:rPr>
        <w:fldChar w:fldCharType="begin"/>
      </w:r>
      <w:r w:rsidRPr="00DB5C9E">
        <w:rPr>
          <w:rFonts w:ascii="Times New Roman" w:eastAsia="Times New Roman" w:hAnsi="Times New Roman" w:cs="Times New Roman"/>
        </w:rPr>
        <w:instrText xml:space="preserve">REF paragraph00062 \h \* CharFormat </w:instrText>
      </w:r>
      <w:r w:rsidRPr="00DB5C9E">
        <w:rPr>
          <w:rFonts w:ascii="Times New Roman" w:eastAsia="Times New Roman" w:hAnsi="Times New Roman" w:cs="Times New Roman"/>
        </w:rPr>
      </w:r>
      <w:r w:rsidRPr="00DB5C9E">
        <w:rPr>
          <w:rFonts w:ascii="Times New Roman" w:eastAsia="Times New Roman" w:hAnsi="Times New Roman" w:cs="Times New Roman"/>
        </w:rPr>
        <w:fldChar w:fldCharType="separate"/>
      </w:r>
      <w:r w:rsidR="00446BA2" w:rsidRPr="00446BA2">
        <w:rPr>
          <w:rFonts w:ascii="Times New Roman" w:eastAsia="Times New Roman" w:hAnsi="Times New Roman" w:cs="Times New Roman"/>
        </w:rPr>
        <w:t>62</w:t>
      </w:r>
      <w:r w:rsidRPr="00DB5C9E">
        <w:rPr>
          <w:rFonts w:ascii="Times New Roman" w:eastAsia="Times New Roman" w:hAnsi="Times New Roman" w:cs="Times New Roman"/>
        </w:rPr>
        <w:fldChar w:fldCharType="end"/>
      </w:r>
      <w:r>
        <w:t xml:space="preserve"> i </w:t>
      </w:r>
      <w:r w:rsidRPr="00DB5C9E">
        <w:rPr>
          <w:rFonts w:ascii="Times New Roman" w:eastAsia="Times New Roman" w:hAnsi="Times New Roman" w:cs="Times New Roman"/>
        </w:rPr>
        <w:fldChar w:fldCharType="begin"/>
      </w:r>
      <w:r w:rsidRPr="00DB5C9E">
        <w:rPr>
          <w:rFonts w:ascii="Times New Roman" w:eastAsia="Times New Roman" w:hAnsi="Times New Roman" w:cs="Times New Roman"/>
        </w:rPr>
        <w:instrText xml:space="preserve">REF paragraph00067 \h \* CharFormat </w:instrText>
      </w:r>
      <w:r w:rsidRPr="00DB5C9E">
        <w:rPr>
          <w:rFonts w:ascii="Times New Roman" w:eastAsia="Times New Roman" w:hAnsi="Times New Roman" w:cs="Times New Roman"/>
        </w:rPr>
      </w:r>
      <w:r w:rsidRPr="00DB5C9E">
        <w:rPr>
          <w:rFonts w:ascii="Times New Roman" w:eastAsia="Times New Roman" w:hAnsi="Times New Roman" w:cs="Times New Roman"/>
        </w:rPr>
        <w:fldChar w:fldCharType="separate"/>
      </w:r>
      <w:r w:rsidR="00446BA2" w:rsidRPr="00446BA2">
        <w:rPr>
          <w:rFonts w:ascii="Times New Roman" w:eastAsia="Times New Roman" w:hAnsi="Times New Roman" w:cs="Times New Roman"/>
        </w:rPr>
        <w:t>67</w:t>
      </w:r>
      <w:r w:rsidRPr="00DB5C9E">
        <w:rPr>
          <w:rFonts w:ascii="Times New Roman" w:eastAsia="Times New Roman" w:hAnsi="Times New Roman" w:cs="Times New Roman"/>
        </w:rPr>
        <w:fldChar w:fldCharType="end"/>
      </w:r>
      <w:r>
        <w:t xml:space="preserve"> poniżej).</w:t>
      </w:r>
    </w:p>
    <w:bookmarkStart w:id="7" w:name="paragraph00024"/>
    <w:p w14:paraId="59C968A3" w14:textId="4EFA3198" w:rsidR="00F5142C" w:rsidRPr="00DB5C9E" w:rsidRDefault="00445208" w:rsidP="00DB5C9E">
      <w:pPr>
        <w:pStyle w:val="JuPara"/>
        <w:rPr>
          <w:rFonts w:ascii="Times New Roman" w:eastAsia="Times New Roman" w:hAnsi="Times New Roman" w:cs="Times New Roman"/>
        </w:rPr>
      </w:pPr>
      <w:r w:rsidRPr="00DB5C9E">
        <w:rPr>
          <w:rFonts w:ascii="Times New Roman" w:eastAsia="Times New Roman" w:hAnsi="Times New Roman" w:cs="Times New Roman"/>
        </w:rPr>
        <w:fldChar w:fldCharType="begin"/>
      </w:r>
      <w:r w:rsidRPr="00DB5C9E">
        <w:rPr>
          <w:rFonts w:ascii="Times New Roman" w:eastAsia="Times New Roman" w:hAnsi="Times New Roman" w:cs="Times New Roman"/>
        </w:rPr>
        <w:instrText xml:space="preserve"> SEQ level0 \*arabic \* MERGEFORMAT </w:instrText>
      </w:r>
      <w:r w:rsidRPr="00DB5C9E">
        <w:rPr>
          <w:rFonts w:ascii="Times New Roman" w:eastAsia="Times New Roman" w:hAnsi="Times New Roman" w:cs="Times New Roman"/>
        </w:rPr>
        <w:fldChar w:fldCharType="separate"/>
      </w:r>
      <w:r w:rsidR="00446BA2">
        <w:rPr>
          <w:rFonts w:ascii="Times New Roman" w:eastAsia="Times New Roman" w:hAnsi="Times New Roman" w:cs="Times New Roman"/>
          <w:noProof/>
        </w:rPr>
        <w:t>24</w:t>
      </w:r>
      <w:r w:rsidRPr="00DB5C9E">
        <w:rPr>
          <w:rFonts w:ascii="Times New Roman" w:eastAsia="Times New Roman" w:hAnsi="Times New Roman" w:cs="Times New Roman"/>
        </w:rPr>
        <w:fldChar w:fldCharType="end"/>
      </w:r>
      <w:bookmarkEnd w:id="7"/>
      <w:r>
        <w:rPr>
          <w:rFonts w:ascii="Times New Roman" w:hAnsi="Times New Roman"/>
        </w:rPr>
        <w:t xml:space="preserve">.  Poza tym dotyczącym skarżącego, </w:t>
      </w:r>
      <w:r w:rsidR="00477A6B">
        <w:rPr>
          <w:rFonts w:ascii="Times New Roman" w:hAnsi="Times New Roman"/>
        </w:rPr>
        <w:t>decyzje</w:t>
      </w:r>
      <w:r>
        <w:rPr>
          <w:rFonts w:ascii="Times New Roman" w:hAnsi="Times New Roman"/>
        </w:rPr>
        <w:t xml:space="preserve"> o powołaniu Sędziego Naczelnego, a także dwóch innych sędziów apelacyjnych, zostały unieważnione na podstawie art. 3 ustawy kwalifikowanej nr 1/2020. </w:t>
      </w:r>
      <w:r w:rsidR="00477A6B">
        <w:rPr>
          <w:rFonts w:ascii="Times New Roman" w:hAnsi="Times New Roman"/>
        </w:rPr>
        <w:t>Decyzje</w:t>
      </w:r>
      <w:r>
        <w:rPr>
          <w:rFonts w:ascii="Times New Roman" w:hAnsi="Times New Roman"/>
        </w:rPr>
        <w:t xml:space="preserve"> te zostały zaskarżone na różne sposoby na poziomie krajowym. Skarżący nie został wyłoniony na stanowisko w kolejnym konkursie ogłoszonym w 2020 r., a także w kolejnym, rozstrzygniętym przez CGP, która składała się częściowo z innych sędziów. </w:t>
      </w:r>
      <w:r>
        <w:t xml:space="preserve">Dwaj sędziowie apelacyjni, których powołanie zostało unieważnione, zostali odpowiednio sędzią ds. nadzwyczajnych </w:t>
      </w:r>
      <w:r>
        <w:lastRenderedPageBreak/>
        <w:t>środków odwoławczych i sędzią apelacyjnym ds. odpowiedzialności cywilnej przedstawicieli sądownictwa.</w:t>
      </w:r>
    </w:p>
    <w:p w14:paraId="1EC00AA3" w14:textId="77777777" w:rsidR="00F5142C" w:rsidRPr="00DB5C9E" w:rsidRDefault="00445208" w:rsidP="00DB5C9E">
      <w:pPr>
        <w:pStyle w:val="JuHA"/>
        <w:rPr>
          <w:rFonts w:eastAsia="Times New Roman"/>
        </w:rPr>
      </w:pPr>
      <w:r>
        <w:t>Postępowanie o sygn. 13/2019</w:t>
      </w:r>
    </w:p>
    <w:bookmarkStart w:id="8" w:name="paragraph00025"/>
    <w:p w14:paraId="4864C563" w14:textId="514327CA" w:rsidR="00F5142C" w:rsidRPr="00DB5C9E" w:rsidRDefault="00445208" w:rsidP="00DB5C9E">
      <w:pPr>
        <w:pStyle w:val="JuPara"/>
        <w:rPr>
          <w:rFonts w:cstheme="minorHAnsi"/>
        </w:rPr>
      </w:pPr>
      <w:r w:rsidRPr="00DB5C9E">
        <w:rPr>
          <w:rFonts w:ascii="Times New Roman" w:eastAsia="Times New Roman" w:hAnsi="Times New Roman" w:cs="Times New Roman"/>
        </w:rPr>
        <w:fldChar w:fldCharType="begin"/>
      </w:r>
      <w:r w:rsidRPr="00DB5C9E">
        <w:rPr>
          <w:rFonts w:ascii="Times New Roman" w:eastAsia="Times New Roman" w:hAnsi="Times New Roman" w:cs="Times New Roman"/>
        </w:rPr>
        <w:instrText xml:space="preserve"> SEQ level0 \*arabic \* MERGEFORMAT </w:instrText>
      </w:r>
      <w:r w:rsidRPr="00DB5C9E">
        <w:rPr>
          <w:rFonts w:ascii="Times New Roman" w:eastAsia="Times New Roman" w:hAnsi="Times New Roman" w:cs="Times New Roman"/>
        </w:rPr>
        <w:fldChar w:fldCharType="separate"/>
      </w:r>
      <w:r w:rsidR="00446BA2">
        <w:rPr>
          <w:rFonts w:ascii="Times New Roman" w:eastAsia="Times New Roman" w:hAnsi="Times New Roman" w:cs="Times New Roman"/>
          <w:noProof/>
        </w:rPr>
        <w:t>25</w:t>
      </w:r>
      <w:r w:rsidRPr="00DB5C9E">
        <w:rPr>
          <w:rFonts w:ascii="Times New Roman" w:eastAsia="Times New Roman" w:hAnsi="Times New Roman" w:cs="Times New Roman"/>
        </w:rPr>
        <w:fldChar w:fldCharType="end"/>
      </w:r>
      <w:bookmarkEnd w:id="8"/>
      <w:r>
        <w:rPr>
          <w:rFonts w:ascii="Times New Roman" w:hAnsi="Times New Roman"/>
        </w:rPr>
        <w:t>.  </w:t>
      </w:r>
      <w:r>
        <w:t>W międzyczasie, jak wspomniano powyżej, w dniu 11 kwietnia 2019</w:t>
      </w:r>
      <w:r w:rsidR="00477A6B">
        <w:t> </w:t>
      </w:r>
      <w:r>
        <w:t xml:space="preserve">r. (przed uchwaleniem ustawy kwalifikowanej nr 1/2020) X i Y, którzy wówczas byli również </w:t>
      </w:r>
      <w:proofErr w:type="gramStart"/>
      <w:r w:rsidR="001C4AE9">
        <w:t xml:space="preserve">UD </w:t>
      </w:r>
      <w:r>
        <w:t xml:space="preserve"> i</w:t>
      </w:r>
      <w:proofErr w:type="gramEnd"/>
      <w:r>
        <w:t xml:space="preserve"> możliwymi kandydatami w tej samej procedurze powołania, wszczęli postępowanie administracyjne (o sygn. 13/2019).</w:t>
      </w:r>
      <w:r>
        <w:rPr>
          <w:rFonts w:ascii="Times New Roman" w:hAnsi="Times New Roman"/>
        </w:rPr>
        <w:t xml:space="preserve"> </w:t>
      </w:r>
      <w:r>
        <w:t>Zaskarżyli oni procedurę powołania z różnych powodów: i) CGP, w którym zasiadał sędzia C, nie była obsadzona zgodnie z prawem; ii)</w:t>
      </w:r>
      <w:r w:rsidR="00477A6B">
        <w:t> </w:t>
      </w:r>
      <w:r>
        <w:t>sprawozdanie wymagane na mocy art. 3 ust. 6 ustawy kwalifikowanej nr 145/2003 do wszczęcia procedury naboru nie zostało sporządzone; iii)</w:t>
      </w:r>
      <w:r w:rsidR="00477A6B">
        <w:t> </w:t>
      </w:r>
      <w:r>
        <w:t xml:space="preserve">odrębne sprawozdanie, niezbędne do oceny cech zawodowych </w:t>
      </w:r>
      <w:r w:rsidR="001C4AE9">
        <w:t xml:space="preserve">UD </w:t>
      </w:r>
      <w:r>
        <w:t xml:space="preserve"> mogących ubiegać się o stanowisko, wymagane na mocy art. 5 ust. 6 tej samej ustawy, nie zostało sporządzone; iv) ówczesny Naczelnik nie posiadał kompetencji do sporządzenia oceny jakościowej kandydatów; v) powołanie miało miejsce przy braku istotnych informacji na temat kwalifikacji kandydatów i jednolitych kryteriów ich oceny, zważywszy że opierało się na</w:t>
      </w:r>
      <w:r w:rsidR="00477A6B">
        <w:t> </w:t>
      </w:r>
      <w:r>
        <w:t xml:space="preserve">ustaleniach </w:t>
      </w:r>
      <w:r w:rsidR="00477A6B">
        <w:t xml:space="preserve">w </w:t>
      </w:r>
      <w:r>
        <w:t>sprawozdani</w:t>
      </w:r>
      <w:r w:rsidR="00477A6B">
        <w:t>u</w:t>
      </w:r>
      <w:r>
        <w:t xml:space="preserve"> o stanie wymiaru sprawiedliwości z 2017 r., sporządzon</w:t>
      </w:r>
      <w:r w:rsidR="00477A6B">
        <w:t>ym</w:t>
      </w:r>
      <w:r>
        <w:t xml:space="preserve"> w innych celach, niezawierając</w:t>
      </w:r>
      <w:r w:rsidR="00477A6B">
        <w:t>ym</w:t>
      </w:r>
      <w:r>
        <w:t xml:space="preserve"> oceny jakościowej innych kandydatów; vii) [</w:t>
      </w:r>
      <w:r>
        <w:rPr>
          <w:i/>
          <w:iCs/>
        </w:rPr>
        <w:t>sic!</w:t>
      </w:r>
      <w:r>
        <w:t>] nie sporządzono uzasadnienia takiego powołania; viii)</w:t>
      </w:r>
      <w:r w:rsidR="00477A6B">
        <w:t> </w:t>
      </w:r>
      <w:r>
        <w:t xml:space="preserve">nie powiadomiono o procedurze innych zainteresowanych kandydatów; </w:t>
      </w:r>
      <w:r w:rsidR="00E401E2">
        <w:t xml:space="preserve">oraz </w:t>
      </w:r>
      <w:r>
        <w:t xml:space="preserve"> ix) w odpowiednim posiedzeniu CGP wziął udział E, a jego uczestnictwo w przedmiotowej procedurze było niezgodne z wymogami ze</w:t>
      </w:r>
      <w:r w:rsidR="00477A6B">
        <w:t> </w:t>
      </w:r>
      <w:r>
        <w:t xml:space="preserve">względu na wcześniej </w:t>
      </w:r>
      <w:proofErr w:type="spellStart"/>
      <w:r>
        <w:t>zaszłe</w:t>
      </w:r>
      <w:proofErr w:type="spellEnd"/>
      <w:r>
        <w:t xml:space="preserve"> zdarzenia.</w:t>
      </w:r>
    </w:p>
    <w:p w14:paraId="5CF54D51" w14:textId="394C2B02" w:rsidR="00F5142C" w:rsidRPr="00DB5C9E" w:rsidRDefault="00445208" w:rsidP="00DB5C9E">
      <w:pPr>
        <w:pStyle w:val="JuPara"/>
        <w:rPr>
          <w:rFonts w:ascii="Times New Roman" w:eastAsia="Times New Roman" w:hAnsi="Times New Roman" w:cs="Times New Roman"/>
        </w:rPr>
      </w:pPr>
      <w:r w:rsidRPr="00DB5C9E">
        <w:rPr>
          <w:rFonts w:ascii="Times New Roman" w:eastAsia="Times New Roman" w:hAnsi="Times New Roman" w:cs="Times New Roman"/>
        </w:rPr>
        <w:fldChar w:fldCharType="begin"/>
      </w:r>
      <w:r w:rsidRPr="00DB5C9E">
        <w:rPr>
          <w:rFonts w:ascii="Times New Roman" w:eastAsia="Times New Roman" w:hAnsi="Times New Roman" w:cs="Times New Roman"/>
        </w:rPr>
        <w:instrText xml:space="preserve"> SEQ level0 \*arabic \* MERGEFORMAT </w:instrText>
      </w:r>
      <w:r w:rsidRPr="00DB5C9E">
        <w:rPr>
          <w:rFonts w:ascii="Times New Roman" w:eastAsia="Times New Roman" w:hAnsi="Times New Roman" w:cs="Times New Roman"/>
        </w:rPr>
        <w:fldChar w:fldCharType="separate"/>
      </w:r>
      <w:r w:rsidR="00446BA2">
        <w:rPr>
          <w:rFonts w:ascii="Times New Roman" w:eastAsia="Times New Roman" w:hAnsi="Times New Roman" w:cs="Times New Roman"/>
          <w:noProof/>
        </w:rPr>
        <w:t>26</w:t>
      </w:r>
      <w:r w:rsidRPr="00DB5C9E">
        <w:rPr>
          <w:rFonts w:ascii="Times New Roman" w:eastAsia="Times New Roman" w:hAnsi="Times New Roman" w:cs="Times New Roman"/>
        </w:rPr>
        <w:fldChar w:fldCharType="end"/>
      </w:r>
      <w:r>
        <w:rPr>
          <w:rFonts w:ascii="Times New Roman" w:hAnsi="Times New Roman"/>
        </w:rPr>
        <w:t xml:space="preserve">.  Skarżący został powiadomiony o tym postępowaniu, ale na tym etapie postanowił </w:t>
      </w:r>
      <w:r w:rsidR="00477A6B">
        <w:rPr>
          <w:rFonts w:ascii="Times New Roman" w:hAnsi="Times New Roman"/>
        </w:rPr>
        <w:t xml:space="preserve">w nim </w:t>
      </w:r>
      <w:r>
        <w:rPr>
          <w:rFonts w:ascii="Times New Roman" w:hAnsi="Times New Roman"/>
        </w:rPr>
        <w:t>nie uczestniczyć.</w:t>
      </w:r>
    </w:p>
    <w:bookmarkStart w:id="9" w:name="paragraph00027"/>
    <w:p w14:paraId="49A3FAE9" w14:textId="31955DDB" w:rsidR="00F5142C" w:rsidRPr="00DB5C9E" w:rsidRDefault="00445208" w:rsidP="00DB5C9E">
      <w:pPr>
        <w:pStyle w:val="JuPara"/>
      </w:pPr>
      <w:r w:rsidRPr="00DB5C9E">
        <w:rPr>
          <w:rFonts w:ascii="Times New Roman" w:eastAsia="Times New Roman" w:hAnsi="Times New Roman" w:cs="Times New Roman"/>
        </w:rPr>
        <w:fldChar w:fldCharType="begin"/>
      </w:r>
      <w:r w:rsidRPr="00DB5C9E">
        <w:rPr>
          <w:rFonts w:ascii="Times New Roman" w:eastAsia="Times New Roman" w:hAnsi="Times New Roman" w:cs="Times New Roman"/>
        </w:rPr>
        <w:instrText xml:space="preserve"> SEQ level0 \*arabic \* MERGEFORMAT </w:instrText>
      </w:r>
      <w:r w:rsidRPr="00DB5C9E">
        <w:rPr>
          <w:rFonts w:ascii="Times New Roman" w:eastAsia="Times New Roman" w:hAnsi="Times New Roman" w:cs="Times New Roman"/>
        </w:rPr>
        <w:fldChar w:fldCharType="separate"/>
      </w:r>
      <w:r w:rsidR="00446BA2">
        <w:rPr>
          <w:rFonts w:ascii="Times New Roman" w:eastAsia="Times New Roman" w:hAnsi="Times New Roman" w:cs="Times New Roman"/>
          <w:noProof/>
        </w:rPr>
        <w:t>27</w:t>
      </w:r>
      <w:r w:rsidRPr="00DB5C9E">
        <w:rPr>
          <w:rFonts w:ascii="Times New Roman" w:eastAsia="Times New Roman" w:hAnsi="Times New Roman" w:cs="Times New Roman"/>
        </w:rPr>
        <w:fldChar w:fldCharType="end"/>
      </w:r>
      <w:bookmarkEnd w:id="9"/>
      <w:r>
        <w:rPr>
          <w:rFonts w:ascii="Times New Roman" w:hAnsi="Times New Roman"/>
        </w:rPr>
        <w:t>.  </w:t>
      </w:r>
      <w:r>
        <w:t xml:space="preserve">W następstwie rozwoju wydarzeń (zob. par. </w:t>
      </w:r>
      <w:r w:rsidRPr="00DB5C9E">
        <w:rPr>
          <w:rFonts w:ascii="Times New Roman" w:eastAsia="Times New Roman" w:hAnsi="Times New Roman" w:cs="Times New Roman"/>
        </w:rPr>
        <w:fldChar w:fldCharType="begin"/>
      </w:r>
      <w:r w:rsidRPr="00DB5C9E">
        <w:rPr>
          <w:rFonts w:ascii="Times New Roman" w:eastAsia="Times New Roman" w:hAnsi="Times New Roman" w:cs="Times New Roman"/>
        </w:rPr>
        <w:instrText xml:space="preserve">REF paragraph00017 \h \* CharFormat </w:instrText>
      </w:r>
      <w:r w:rsidRPr="00DB5C9E">
        <w:rPr>
          <w:rFonts w:ascii="Times New Roman" w:eastAsia="Times New Roman" w:hAnsi="Times New Roman" w:cs="Times New Roman"/>
        </w:rPr>
      </w:r>
      <w:r w:rsidRPr="00DB5C9E">
        <w:rPr>
          <w:rFonts w:ascii="Times New Roman" w:eastAsia="Times New Roman" w:hAnsi="Times New Roman" w:cs="Times New Roman"/>
        </w:rPr>
        <w:fldChar w:fldCharType="separate"/>
      </w:r>
      <w:r w:rsidR="00446BA2">
        <w:rPr>
          <w:rFonts w:ascii="Times New Roman" w:eastAsia="Times New Roman" w:hAnsi="Times New Roman" w:cs="Times New Roman"/>
        </w:rPr>
        <w:t>17</w:t>
      </w:r>
      <w:r w:rsidRPr="00DB5C9E">
        <w:rPr>
          <w:rFonts w:ascii="Times New Roman" w:eastAsia="Times New Roman" w:hAnsi="Times New Roman" w:cs="Times New Roman"/>
        </w:rPr>
        <w:fldChar w:fldCharType="end"/>
      </w:r>
      <w:r>
        <w:t xml:space="preserve"> i nast. powyżej) w</w:t>
      </w:r>
      <w:r w:rsidR="00477A6B">
        <w:t> </w:t>
      </w:r>
      <w:r>
        <w:t xml:space="preserve">dniu 26 listopada 2020 r. skarżący bezskutecznie (z uwagi na upływ odpowiednich terminów) próbował </w:t>
      </w:r>
      <w:r w:rsidR="00477A6B">
        <w:t>w</w:t>
      </w:r>
      <w:r>
        <w:t xml:space="preserve">stąpić do sprawy o sygn. 13/2019. Złożony w tym samym czasie wniosek o połączenie do wspólnego rozpoznania tej sprawy z inną, wniesioną przez </w:t>
      </w:r>
      <w:r w:rsidR="00477A6B">
        <w:t xml:space="preserve">skarżącego </w:t>
      </w:r>
      <w:r>
        <w:t>równolegle (sygn. 37/2020, zob. par</w:t>
      </w:r>
      <w:r w:rsidR="00781DE1">
        <w:t>.</w:t>
      </w:r>
      <w:r>
        <w:t xml:space="preserve"> </w:t>
      </w:r>
      <w:r w:rsidRPr="00DB5C9E">
        <w:fldChar w:fldCharType="begin"/>
      </w:r>
      <w:r w:rsidRPr="00DB5C9E">
        <w:instrText xml:space="preserve">REF paragraph00033 \h \* CharFormat </w:instrText>
      </w:r>
      <w:r w:rsidRPr="00DB5C9E">
        <w:fldChar w:fldCharType="separate"/>
      </w:r>
      <w:r w:rsidR="00446BA2" w:rsidRPr="00446BA2">
        <w:t>33</w:t>
      </w:r>
      <w:r w:rsidRPr="00DB5C9E">
        <w:fldChar w:fldCharType="end"/>
      </w:r>
      <w:r>
        <w:t xml:space="preserve"> poniżej), został również odrzucony mimo braku sprzeciwu ze strony przedstawiciela państwa.</w:t>
      </w:r>
    </w:p>
    <w:p w14:paraId="32DD985C" w14:textId="384DF43A" w:rsidR="00F5142C" w:rsidRPr="00DB5C9E" w:rsidRDefault="00446BA2" w:rsidP="00DB5C9E">
      <w:pPr>
        <w:pStyle w:val="JuPara"/>
      </w:pPr>
      <w:fldSimple w:instr=" SEQ level0 \*arabic \* MERGEFORMAT ">
        <w:r>
          <w:rPr>
            <w:noProof/>
          </w:rPr>
          <w:t>28</w:t>
        </w:r>
      </w:fldSimple>
      <w:r w:rsidR="00445208">
        <w:t>.  </w:t>
      </w:r>
      <w:r w:rsidR="00477A6B">
        <w:t>W dniu 16 marca 2021 r. doszło do ostatecznego umorzenia (</w:t>
      </w:r>
      <w:proofErr w:type="spellStart"/>
      <w:r w:rsidR="00477A6B">
        <w:rPr>
          <w:i/>
          <w:iCs/>
        </w:rPr>
        <w:t>archiviazione</w:t>
      </w:r>
      <w:proofErr w:type="spellEnd"/>
      <w:r w:rsidR="00477A6B">
        <w:t>) postępowania o sygn. 13/2019</w:t>
      </w:r>
      <w:r w:rsidR="00445208">
        <w:t xml:space="preserve">, ponieważ strony utraciły zainteresowanie sprawą po powołaniu ich na stanowiska </w:t>
      </w:r>
      <w:r w:rsidR="00E401E2">
        <w:t xml:space="preserve">UD </w:t>
      </w:r>
      <w:r w:rsidR="00477A6B">
        <w:t>[</w:t>
      </w:r>
      <w:r w:rsidR="00477A6B">
        <w:rPr>
          <w:i/>
          <w:iCs/>
        </w:rPr>
        <w:t>sic!</w:t>
      </w:r>
      <w:r w:rsidR="00477A6B">
        <w:t>]</w:t>
      </w:r>
      <w:r w:rsidR="00445208">
        <w:t>. Zażalenie skarżącego (złożone do tego samego</w:t>
      </w:r>
      <w:r w:rsidR="00E401E2">
        <w:t xml:space="preserve"> </w:t>
      </w:r>
      <w:proofErr w:type="spellStart"/>
      <w:proofErr w:type="gramStart"/>
      <w:r w:rsidR="00E401E2">
        <w:t>CoL</w:t>
      </w:r>
      <w:proofErr w:type="spellEnd"/>
      <w:r w:rsidR="00E401E2">
        <w:t xml:space="preserve"> </w:t>
      </w:r>
      <w:r w:rsidR="00445208">
        <w:t>)</w:t>
      </w:r>
      <w:proofErr w:type="gramEnd"/>
      <w:r w:rsidR="00445208">
        <w:t xml:space="preserve"> na decyzję o umorzeniu sprawy, jak również wniosek o wyłączenie sędziego, zostały odrzucone w dniu 12 kwietnia 2021 r.</w:t>
      </w:r>
    </w:p>
    <w:p w14:paraId="7A2AC17B" w14:textId="77777777" w:rsidR="00F5142C" w:rsidRPr="00DB5C9E" w:rsidRDefault="00445208" w:rsidP="00DB5C9E">
      <w:pPr>
        <w:pStyle w:val="JuHA"/>
      </w:pPr>
      <w:r>
        <w:lastRenderedPageBreak/>
        <w:t>Postępowanie o sygn. 7/2021</w:t>
      </w:r>
    </w:p>
    <w:p w14:paraId="554D9780" w14:textId="73C60794" w:rsidR="00F5142C" w:rsidRPr="00DB5C9E" w:rsidRDefault="00445208" w:rsidP="00DB5C9E">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00446BA2">
        <w:rPr>
          <w:rFonts w:cstheme="minorHAnsi"/>
          <w:noProof/>
        </w:rPr>
        <w:t>29</w:t>
      </w:r>
      <w:r w:rsidRPr="00DB5C9E">
        <w:rPr>
          <w:rFonts w:cstheme="minorHAnsi"/>
        </w:rPr>
        <w:fldChar w:fldCharType="end"/>
      </w:r>
      <w:r>
        <w:t xml:space="preserve">.  Skarżący wniósł odwołanie od decyzji z dnia 16 marca i 12 kwietnia 2021 r. (o których mowa w poprzednim paragrafie), wskazując, że </w:t>
      </w:r>
      <w:proofErr w:type="spellStart"/>
      <w:r w:rsidR="00E401E2">
        <w:t>CoL</w:t>
      </w:r>
      <w:proofErr w:type="spellEnd"/>
      <w:r w:rsidR="00E401E2">
        <w:t xml:space="preserve"> </w:t>
      </w:r>
      <w:r>
        <w:t>rozpoznający tę sprawę powinien był ulec wyłączeniu z uwagi na</w:t>
      </w:r>
      <w:r w:rsidR="00477A6B">
        <w:t> </w:t>
      </w:r>
      <w:r>
        <w:t>oczywisty konflikt interesów</w:t>
      </w:r>
      <w:r w:rsidR="00477A6B">
        <w:t>, wynikający z jego udziału w charakterze członka i protokolanta na</w:t>
      </w:r>
      <w:r>
        <w:t xml:space="preserve"> posiedzeniu CGP, na którym doszło do powołania X i Y na stanowiska</w:t>
      </w:r>
      <w:r w:rsidR="00E401E2">
        <w:t xml:space="preserve"> </w:t>
      </w:r>
      <w:proofErr w:type="spellStart"/>
      <w:r w:rsidR="00E401E2">
        <w:t>CoL</w:t>
      </w:r>
      <w:proofErr w:type="spellEnd"/>
      <w:r>
        <w:t>.</w:t>
      </w:r>
    </w:p>
    <w:p w14:paraId="1CB9E13E" w14:textId="1A4464E1" w:rsidR="00F5142C" w:rsidRPr="00DB5C9E" w:rsidRDefault="00445208" w:rsidP="00DB5C9E">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00446BA2">
        <w:rPr>
          <w:rFonts w:cstheme="minorHAnsi"/>
          <w:noProof/>
        </w:rPr>
        <w:t>30</w:t>
      </w:r>
      <w:r w:rsidRPr="00DB5C9E">
        <w:rPr>
          <w:rFonts w:cstheme="minorHAnsi"/>
        </w:rPr>
        <w:fldChar w:fldCharType="end"/>
      </w:r>
      <w:r>
        <w:t>.  W dniu 27 maja 2022 r. odwołanie zostało odrzucone przez S, sędziego apelacyjnego ds. odpowiedzialności cywilnej przedstawicieli sądownictwa (dalej: „sędzia apelacyjny ds. odpowiedzialności”), działającego jako apelacyjny sędzia sądu administracyjnego na podstawie art.</w:t>
      </w:r>
      <w:r w:rsidR="00B33C80">
        <w:t> </w:t>
      </w:r>
      <w:r>
        <w:t>4 ustawy konstytucyjnej nr 2/2021.</w:t>
      </w:r>
    </w:p>
    <w:p w14:paraId="2202D5E7" w14:textId="0F1DBBBE" w:rsidR="00F5142C" w:rsidRPr="00DB5C9E" w:rsidRDefault="001632C9" w:rsidP="00DB5C9E">
      <w:pPr>
        <w:pStyle w:val="JuHA"/>
      </w:pPr>
      <w:proofErr w:type="spellStart"/>
      <w:r>
        <w:t>Querela</w:t>
      </w:r>
      <w:proofErr w:type="spellEnd"/>
      <w:r>
        <w:t xml:space="preserve"> </w:t>
      </w:r>
      <w:proofErr w:type="spellStart"/>
      <w:proofErr w:type="gramStart"/>
      <w:r>
        <w:t>nullitatis</w:t>
      </w:r>
      <w:proofErr w:type="spellEnd"/>
      <w:r w:rsidR="00445208">
        <w:t>(</w:t>
      </w:r>
      <w:proofErr w:type="gramEnd"/>
      <w:r w:rsidR="00445208">
        <w:t>1)</w:t>
      </w:r>
    </w:p>
    <w:p w14:paraId="61D4B23E" w14:textId="77777777" w:rsidR="00F5142C" w:rsidRPr="00DB5C9E" w:rsidRDefault="00445208" w:rsidP="00DB5C9E">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00446BA2">
        <w:rPr>
          <w:rFonts w:cstheme="minorHAnsi"/>
          <w:noProof/>
        </w:rPr>
        <w:t>31</w:t>
      </w:r>
      <w:r w:rsidRPr="00DB5C9E">
        <w:rPr>
          <w:rFonts w:cstheme="minorHAnsi"/>
        </w:rPr>
        <w:fldChar w:fldCharType="end"/>
      </w:r>
      <w:r>
        <w:t xml:space="preserve">.  Skarżący wniósł o stwierdzenie nieważności decyzji z dnia 27 maja 2022 r. (o której mowa w poprzednim paragrafie), składając </w:t>
      </w:r>
      <w:proofErr w:type="spellStart"/>
      <w:r>
        <w:rPr>
          <w:i/>
          <w:iCs/>
        </w:rPr>
        <w:t>querela</w:t>
      </w:r>
      <w:proofErr w:type="spellEnd"/>
      <w:r>
        <w:rPr>
          <w:i/>
          <w:iCs/>
        </w:rPr>
        <w:t xml:space="preserve"> </w:t>
      </w:r>
      <w:proofErr w:type="spellStart"/>
      <w:r>
        <w:rPr>
          <w:i/>
          <w:iCs/>
        </w:rPr>
        <w:t>nullitatis</w:t>
      </w:r>
      <w:proofErr w:type="spellEnd"/>
      <w:r>
        <w:t xml:space="preserve"> do sędziego ds. nadzwyczajnych środków odwoławczych w sprawach cywilnych.</w:t>
      </w:r>
    </w:p>
    <w:p w14:paraId="37C6DE9F" w14:textId="68B32FF2" w:rsidR="00F5142C" w:rsidRPr="00DB5C9E" w:rsidRDefault="00445208" w:rsidP="00DB5C9E">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00446BA2">
        <w:rPr>
          <w:rFonts w:cstheme="minorHAnsi"/>
          <w:noProof/>
        </w:rPr>
        <w:t>32</w:t>
      </w:r>
      <w:r w:rsidRPr="00DB5C9E">
        <w:rPr>
          <w:rFonts w:cstheme="minorHAnsi"/>
        </w:rPr>
        <w:fldChar w:fldCharType="end"/>
      </w:r>
      <w:r>
        <w:t>.  Sędzia wyłączył się od rozpoznania sprawy, w związku z czym odwołanie przydzielono sędziemu ds. nadzwyczajnych środków odwoławczych w sprawach karnych, który uznał, że skarga o nieważność jest niedopuszczalna, ponieważ</w:t>
      </w:r>
      <w:r w:rsidR="00DE4634">
        <w:t xml:space="preserve"> nie </w:t>
      </w:r>
      <w:r>
        <w:t>jest środkiem przewidzianym</w:t>
      </w:r>
      <w:r w:rsidR="00DE4634">
        <w:t xml:space="preserve"> w krajowym porządku prawnym</w:t>
      </w:r>
      <w:r>
        <w:t xml:space="preserve"> </w:t>
      </w:r>
    </w:p>
    <w:p w14:paraId="63575B64" w14:textId="77777777" w:rsidR="00F5142C" w:rsidRPr="00DB5C9E" w:rsidRDefault="00445208" w:rsidP="00DB5C9E">
      <w:pPr>
        <w:pStyle w:val="JuHA"/>
      </w:pPr>
      <w:r>
        <w:t>Postępowanie o sygn. 37/2020</w:t>
      </w:r>
    </w:p>
    <w:bookmarkStart w:id="10" w:name="paragraph00033"/>
    <w:p w14:paraId="2959FF2B" w14:textId="338707EC" w:rsidR="00F5142C" w:rsidRPr="00DB5C9E" w:rsidRDefault="00445208" w:rsidP="00DB5C9E">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00446BA2">
        <w:rPr>
          <w:rFonts w:cstheme="minorHAnsi"/>
          <w:noProof/>
        </w:rPr>
        <w:t>33</w:t>
      </w:r>
      <w:r w:rsidRPr="00DB5C9E">
        <w:rPr>
          <w:rFonts w:cstheme="minorHAnsi"/>
        </w:rPr>
        <w:fldChar w:fldCharType="end"/>
      </w:r>
      <w:bookmarkEnd w:id="10"/>
      <w:r>
        <w:t>.  Równolegle z próbą wstąpienia do sprawy o sygn. 13/2019 w dniu 26</w:t>
      </w:r>
      <w:r w:rsidR="00B33C80">
        <w:t> </w:t>
      </w:r>
      <w:r>
        <w:t xml:space="preserve">listopada 2020 r. skarżący wszczął również postępowanie administracyjne (o sygn. 37/2020), dotyczące </w:t>
      </w:r>
      <w:r w:rsidR="00B33C80">
        <w:t>decyzji</w:t>
      </w:r>
      <w:r>
        <w:t>, jak</w:t>
      </w:r>
      <w:r w:rsidR="00B33C80">
        <w:t>ą</w:t>
      </w:r>
      <w:r>
        <w:t xml:space="preserve"> CGP przyjęła z urzędu dnia 28</w:t>
      </w:r>
      <w:r w:rsidR="00B33C80">
        <w:t> </w:t>
      </w:r>
      <w:r>
        <w:t>września 2020 r., na mocy które</w:t>
      </w:r>
      <w:r w:rsidR="00B33C80">
        <w:t>j</w:t>
      </w:r>
      <w:r>
        <w:t xml:space="preserve"> stwierdziła nieważność jego powołania.</w:t>
      </w:r>
      <w:r w:rsidR="00B33C80" w:rsidRPr="00B33C80">
        <w:rPr>
          <w:rFonts w:cstheme="minorHAnsi"/>
          <w:vertAlign w:val="superscript"/>
          <w:lang w:val="en-GB"/>
        </w:rPr>
        <w:footnoteReference w:id="2"/>
      </w:r>
      <w:r>
        <w:t xml:space="preserve"> Bezskutecznie wnosił o połączenie do wspólnego rozpoznania tej sprawy ze</w:t>
      </w:r>
      <w:r w:rsidR="00B33C80">
        <w:t> </w:t>
      </w:r>
      <w:r>
        <w:t>sprawą o sygn. 13/2019, wspomnianą powyżej, a następnie ze sprawami o</w:t>
      </w:r>
      <w:r w:rsidR="00B33C80">
        <w:t> </w:t>
      </w:r>
      <w:r>
        <w:t xml:space="preserve">sygn. 14/2021 i 25/2021 (zob. par. </w:t>
      </w:r>
      <w:r w:rsidRPr="00DB5C9E">
        <w:fldChar w:fldCharType="begin"/>
      </w:r>
      <w:r w:rsidRPr="00DB5C9E">
        <w:instrText xml:space="preserve">REF paragraph00051 \h \* CharFormat </w:instrText>
      </w:r>
      <w:r w:rsidRPr="00DB5C9E">
        <w:fldChar w:fldCharType="separate"/>
      </w:r>
      <w:r w:rsidR="00446BA2" w:rsidRPr="00446BA2">
        <w:t>51</w:t>
      </w:r>
      <w:r w:rsidRPr="00DB5C9E">
        <w:fldChar w:fldCharType="end"/>
      </w:r>
      <w:r>
        <w:t xml:space="preserve"> poniżej).</w:t>
      </w:r>
    </w:p>
    <w:p w14:paraId="7C9EE76A" w14:textId="5A80766F" w:rsidR="00F5142C" w:rsidRPr="00DB5C9E" w:rsidRDefault="00445208" w:rsidP="00DB5C9E">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00446BA2">
        <w:rPr>
          <w:rFonts w:cstheme="minorHAnsi"/>
          <w:noProof/>
        </w:rPr>
        <w:t>34</w:t>
      </w:r>
      <w:r w:rsidRPr="00DB5C9E">
        <w:rPr>
          <w:rFonts w:cstheme="minorHAnsi"/>
        </w:rPr>
        <w:fldChar w:fldCharType="end"/>
      </w:r>
      <w:r>
        <w:t xml:space="preserve">.  Właściwy </w:t>
      </w:r>
      <w:proofErr w:type="spellStart"/>
      <w:proofErr w:type="gramStart"/>
      <w:r w:rsidR="00C14C20">
        <w:t>CoL</w:t>
      </w:r>
      <w:proofErr w:type="spellEnd"/>
      <w:r w:rsidR="00C14C20">
        <w:t xml:space="preserve"> </w:t>
      </w:r>
      <w:r>
        <w:t xml:space="preserve"> wyłączył</w:t>
      </w:r>
      <w:proofErr w:type="gramEnd"/>
      <w:r>
        <w:t xml:space="preserve"> się od rozpoznania sprawy, a</w:t>
      </w:r>
      <w:r w:rsidR="00B33C80">
        <w:t> </w:t>
      </w:r>
      <w:r>
        <w:t xml:space="preserve">wszyscy </w:t>
      </w:r>
      <w:proofErr w:type="gramStart"/>
      <w:r>
        <w:t xml:space="preserve">pozostali </w:t>
      </w:r>
      <w:r w:rsidR="00C14C20">
        <w:t xml:space="preserve"> </w:t>
      </w:r>
      <w:proofErr w:type="spellStart"/>
      <w:r w:rsidR="00C14C20">
        <w:t>CoL</w:t>
      </w:r>
      <w:proofErr w:type="spellEnd"/>
      <w:proofErr w:type="gramEnd"/>
      <w:r w:rsidR="00C14C20">
        <w:t xml:space="preserve"> </w:t>
      </w:r>
      <w:r>
        <w:t>zgłosili konflikty interesów – albo dlatego, że uczestniczyli w zaskarżonym posiedzeniu CGP, albo dlatego, że</w:t>
      </w:r>
      <w:r w:rsidR="00B33C80">
        <w:t> </w:t>
      </w:r>
      <w:r>
        <w:t>zostali wezwani do stawienia się przed sądem jako strona, czyjej interesu dotyczy postępowanie. W konsekwencji Sędzia Naczelny zarządził, aby sprawa została przydzielona sędziemu pierwszej instancji ds.</w:t>
      </w:r>
      <w:r w:rsidR="00B33C80">
        <w:t> </w:t>
      </w:r>
      <w:r>
        <w:t xml:space="preserve">odpowiedzialności cywilnej przedstawicieli sądownictwa (dalej: „sędzia pierwszej instancji ds. odpowiedzialności”) na </w:t>
      </w:r>
      <w:r>
        <w:lastRenderedPageBreak/>
        <w:t>podstawie art. 1 ustawy konstytucyjnej nr 2/2020. Stanowisko to było wówczas nieobsadzone i</w:t>
      </w:r>
      <w:r w:rsidR="00B33C80">
        <w:t> </w:t>
      </w:r>
      <w:r>
        <w:t>oczekiwało na rozstrzygnięcie trwającego konkursu.</w:t>
      </w:r>
    </w:p>
    <w:p w14:paraId="7720C2B1" w14:textId="619CA35A" w:rsidR="00F5142C" w:rsidRPr="00DB5C9E" w:rsidRDefault="00445208" w:rsidP="00DB5C9E">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00446BA2">
        <w:rPr>
          <w:rFonts w:cstheme="minorHAnsi"/>
          <w:noProof/>
        </w:rPr>
        <w:t>35</w:t>
      </w:r>
      <w:r w:rsidRPr="00DB5C9E">
        <w:rPr>
          <w:rFonts w:cstheme="minorHAnsi"/>
        </w:rPr>
        <w:fldChar w:fldCharType="end"/>
      </w:r>
      <w:r>
        <w:t>.  Stanowisko zostało obsadzone w dniu 1 czerwca 2021 r., a w dniu 8</w:t>
      </w:r>
      <w:r w:rsidR="00B33C80">
        <w:t> </w:t>
      </w:r>
      <w:r>
        <w:t>czerwca 2021 r. sędzia pierwszej instancji ds. odpowiedzialności wyznaczył termin rozprawy wstępnej na dzień 29 czerwca 2021 r. W dniu 2</w:t>
      </w:r>
      <w:r w:rsidR="00B33C80">
        <w:t> </w:t>
      </w:r>
      <w:r>
        <w:t>grudnia 2021 r. sędzia pierwszej instancji ds. odpowiedzialności oddalił wstępny sprzeciw skarżącego dotyczący braku</w:t>
      </w:r>
      <w:r w:rsidR="00B33C80">
        <w:t xml:space="preserve"> </w:t>
      </w:r>
      <w:r>
        <w:t>kompetencji i właściwości</w:t>
      </w:r>
      <w:r w:rsidR="00B33C80">
        <w:t xml:space="preserve"> sędziego</w:t>
      </w:r>
      <w:r>
        <w:t xml:space="preserve"> do rozpoznania sprawy. Po przeprowadzeniu postępowania kontradyktoryjnego w tej kwestii uznał, że kompetencja subsydiarna i</w:t>
      </w:r>
      <w:r w:rsidR="00B33C80">
        <w:t> </w:t>
      </w:r>
      <w:r>
        <w:t>zastępcza tego sędziego była zgodna z art. 2 ust. 5 ustawy konstytucyjnej nr 144/2003 ze zmianami wynikającymi z ustawy konstytucyjnej nr 2/2020. Wniosek skarżącego dotyczący środka zapobiegawczego, polegającego na</w:t>
      </w:r>
      <w:r w:rsidR="00B33C80">
        <w:t> </w:t>
      </w:r>
      <w:r>
        <w:t>zawieszeniu skutków zaskarżonej decyzji</w:t>
      </w:r>
      <w:r w:rsidR="00B33C80">
        <w:t>,</w:t>
      </w:r>
      <w:r>
        <w:t xml:space="preserve"> został również odrzucony w</w:t>
      </w:r>
      <w:r w:rsidR="00B33C80">
        <w:t> </w:t>
      </w:r>
      <w:r>
        <w:t>dniu 14 marca 2022 r.</w:t>
      </w:r>
    </w:p>
    <w:p w14:paraId="3EDA03CD" w14:textId="07CC5453" w:rsidR="00F5142C" w:rsidRPr="00DB5C9E" w:rsidRDefault="00445208" w:rsidP="00DB5C9E">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00446BA2">
        <w:rPr>
          <w:rFonts w:cstheme="minorHAnsi"/>
          <w:noProof/>
        </w:rPr>
        <w:t>36</w:t>
      </w:r>
      <w:r w:rsidRPr="00DB5C9E">
        <w:rPr>
          <w:rFonts w:cstheme="minorHAnsi"/>
        </w:rPr>
        <w:fldChar w:fldCharType="end"/>
      </w:r>
      <w:r>
        <w:t>.  Ob</w:t>
      </w:r>
      <w:r w:rsidR="00B33C80">
        <w:t>ie decyzje</w:t>
      </w:r>
      <w:r>
        <w:t xml:space="preserve"> zostały utrzymane w mocy w postępowaniu odwoławczym w dniu 20 czerwca 2022 r.</w:t>
      </w:r>
    </w:p>
    <w:p w14:paraId="4CD0A0EB" w14:textId="77777777" w:rsidR="00F5142C" w:rsidRPr="00DB5C9E" w:rsidRDefault="00445208" w:rsidP="00DB5C9E">
      <w:pPr>
        <w:pStyle w:val="JuH1"/>
      </w:pPr>
      <w:r>
        <w:t>Wyrok sądu pierwszej instancji</w:t>
      </w:r>
    </w:p>
    <w:p w14:paraId="7ABA4237" w14:textId="1C916C04" w:rsidR="00F5142C" w:rsidRPr="00DB5C9E" w:rsidRDefault="00445208" w:rsidP="00DB5C9E">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00446BA2">
        <w:rPr>
          <w:rFonts w:cstheme="minorHAnsi"/>
          <w:noProof/>
        </w:rPr>
        <w:t>37</w:t>
      </w:r>
      <w:r w:rsidRPr="00DB5C9E">
        <w:rPr>
          <w:rFonts w:cstheme="minorHAnsi"/>
        </w:rPr>
        <w:fldChar w:fldCharType="end"/>
      </w:r>
      <w:r>
        <w:t>.  Wyrokiem z dnia 25 stycznia 2023 r. sędzia pierwszej instancji ds.</w:t>
      </w:r>
      <w:r w:rsidR="00B33C80">
        <w:t> </w:t>
      </w:r>
      <w:r>
        <w:t>odpowiedzialności odrzucił roszczenia skarżącego, uznając je</w:t>
      </w:r>
      <w:r w:rsidR="00B33C80">
        <w:t> </w:t>
      </w:r>
      <w:r>
        <w:t>za</w:t>
      </w:r>
      <w:r w:rsidR="00B33C80">
        <w:t> </w:t>
      </w:r>
      <w:r>
        <w:t>nieuzasadnione.</w:t>
      </w:r>
    </w:p>
    <w:p w14:paraId="568B38EE" w14:textId="77777777" w:rsidR="00F5142C" w:rsidRPr="00DB5C9E" w:rsidRDefault="00445208" w:rsidP="00DB5C9E">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00446BA2">
        <w:rPr>
          <w:rFonts w:cstheme="minorHAnsi"/>
          <w:noProof/>
        </w:rPr>
        <w:t>38</w:t>
      </w:r>
      <w:r w:rsidRPr="00DB5C9E">
        <w:rPr>
          <w:rFonts w:cstheme="minorHAnsi"/>
        </w:rPr>
        <w:fldChar w:fldCharType="end"/>
      </w:r>
      <w:r>
        <w:t>.  Potwierdzając ponownie swoją kompetencję do rozstrzygnięcia sprawy, sędzia pierwszej instancji ds. odpowiedzialności odmówił połączenia do wspólnego rozpoznania spraw z innymi sprawami, w których postępowanie zostało umorzone (sygn. 13/2019) lub które zostały wniesione przeciwko różnym organom publicznym, a nie wyłącznie przeciwko CGP, jak w niniejszej sprawie. Odrzucił ponadto stanowisko skarżącego dotyczące niekompletności dostarczonych mu dokumentów, wskazując, że wszystkie dokumenty, których zażądał, dotyczące posiedzeń, które faktycznie miały miejsce i odbyły się w ramach czasowych istotnych dla sprawy, zostały mu dostarczone.</w:t>
      </w:r>
    </w:p>
    <w:p w14:paraId="3613F387" w14:textId="70D2E35D" w:rsidR="00F5142C" w:rsidRPr="00DB5C9E" w:rsidRDefault="00445208" w:rsidP="00DB5C9E">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00446BA2">
        <w:rPr>
          <w:rFonts w:cstheme="minorHAnsi"/>
          <w:noProof/>
        </w:rPr>
        <w:t>39</w:t>
      </w:r>
      <w:r w:rsidRPr="00DB5C9E">
        <w:rPr>
          <w:rFonts w:cstheme="minorHAnsi"/>
        </w:rPr>
        <w:fldChar w:fldCharType="end"/>
      </w:r>
      <w:r>
        <w:t>.  W odniesieniu do konstytucyjności art. 3 i 4 ustawy kwalifikowanej nr 1/2020, zmieniających ustawę kwalifikowaną nr 145/2003 ze zmianami z</w:t>
      </w:r>
      <w:r w:rsidR="004C4553">
        <w:t> </w:t>
      </w:r>
      <w:r>
        <w:t>2019 r. w zakresie przepisów o systemie sądownictwa, sędzia wskazał, że</w:t>
      </w:r>
      <w:r w:rsidR="004C4553">
        <w:t> </w:t>
      </w:r>
      <w:r>
        <w:t xml:space="preserve">w art. 3 ustawy kwalifikowanej nr 1/2020, przepisie interpretacyjnym, wyjaśniono, że przy ustalaniu składu CGP pierwszeństwo mają osoby spełniające kryterium zatwierdzenia na czas nieoznaczony. Biorąc pod uwagę między innymi brzmienie art. 4 ustawy kwalifikowanej nr 1/2020 dotyczącego przyszłych sytuacji, nie było wątpliwości, że art. 3 ustawy kwalifikowanej nr 1/2020 miał moc wsteczną. Według sędziego pierwszej instancji ds. odpowiedzialności samo to nie stanowiło naruszenia praw skarżącego wynikających z art. 6, 8 i 13 Konwencji. W istocie nawet bardziej restrykcyjne orzecznictwo ETPC (w porównaniu z krajowym) dopuszczało </w:t>
      </w:r>
      <w:r>
        <w:lastRenderedPageBreak/>
        <w:t>interwencję władzy ustawodawczej w sprawach cywilnych pod warunkiem zachowania sprawiedliwej równowagi w świetle istotnych względów interesu publicznego. W niniejszej sprawie wszystkie istotne kryteria krajowe i</w:t>
      </w:r>
      <w:r w:rsidR="004C4553">
        <w:t> </w:t>
      </w:r>
      <w:r>
        <w:t>wynikające z EKPC zostały spełnione: i) ustawa kwalifikowana nr 145/2003 nie była niejasna co do hierarchii istotnych kryteriów, które należy zastosować przy obsadzaniu CGP; ii) nowa wykładnia była jedną z</w:t>
      </w:r>
      <w:r w:rsidR="004C4553">
        <w:t> </w:t>
      </w:r>
      <w:r>
        <w:t>możliwych wykładni tej ustawy, choć także najbardziej prawdopodobną i</w:t>
      </w:r>
      <w:r w:rsidR="004C4553">
        <w:t> </w:t>
      </w:r>
      <w:r>
        <w:t>najbardziej uzasadnioną; iii) niejasny przepis wymagający wykładni był kluczowy i od niego zależała pewność prawna całego systemu prawnego w</w:t>
      </w:r>
      <w:r w:rsidR="004C4553">
        <w:t> </w:t>
      </w:r>
      <w:r>
        <w:t>San Marino, więc jego wyjaśnienie było kwestią pilną i konieczną, a</w:t>
      </w:r>
      <w:r w:rsidR="004C4553">
        <w:t> </w:t>
      </w:r>
      <w:r>
        <w:t>z</w:t>
      </w:r>
      <w:r w:rsidR="004C4553">
        <w:t> </w:t>
      </w:r>
      <w:r>
        <w:t>pewnością nie arbitralną. Uwadze nie mogło również umknąć, że</w:t>
      </w:r>
      <w:r w:rsidR="004C4553">
        <w:t> </w:t>
      </w:r>
      <w:r>
        <w:t>interwencja nie miała miejsca podczas toczącego się postępowania, w</w:t>
      </w:r>
      <w:r w:rsidR="004C4553">
        <w:t> </w:t>
      </w:r>
      <w:r>
        <w:t xml:space="preserve">którym skarżący był stroną, ponieważ wniosek skarżącego o </w:t>
      </w:r>
      <w:r w:rsidR="00477A6B">
        <w:t>w</w:t>
      </w:r>
      <w:r>
        <w:t>stąpienie do</w:t>
      </w:r>
      <w:r w:rsidR="004C4553">
        <w:t> </w:t>
      </w:r>
      <w:r>
        <w:t>tego postępowania został złożony po terminie; wreszcie interwencja władzy ustawodawczej miała miejsce dopiero rok po powstaniu niejasności.</w:t>
      </w:r>
    </w:p>
    <w:p w14:paraId="36725F8E" w14:textId="13656B74" w:rsidR="00F5142C" w:rsidRPr="00DB5C9E" w:rsidRDefault="00445208" w:rsidP="00DB5C9E">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00446BA2">
        <w:rPr>
          <w:rFonts w:cstheme="minorHAnsi"/>
          <w:noProof/>
        </w:rPr>
        <w:t>40</w:t>
      </w:r>
      <w:r w:rsidRPr="00DB5C9E">
        <w:rPr>
          <w:rFonts w:cstheme="minorHAnsi"/>
        </w:rPr>
        <w:fldChar w:fldCharType="end"/>
      </w:r>
      <w:r>
        <w:t>.  Co do zaskarżonej decyzji CGP, sędzia pierwszej instancji ds.</w:t>
      </w:r>
      <w:r w:rsidR="001A2415">
        <w:t> </w:t>
      </w:r>
      <w:r>
        <w:t>odpowiedzialności wskazał, że skarżący zakwestionował ją na różnych podstawach, z których nie wszystkie były w pełni zrozumiałe, a niektóre się pokrywały. Według rzeczonego sędziego CGP, celem skorygowania błędu, podjęła czynność z urzędu (</w:t>
      </w:r>
      <w:proofErr w:type="spellStart"/>
      <w:r>
        <w:rPr>
          <w:i/>
        </w:rPr>
        <w:t>autotutela</w:t>
      </w:r>
      <w:proofErr w:type="spellEnd"/>
      <w:r>
        <w:rPr>
          <w:i/>
        </w:rPr>
        <w:t xml:space="preserve"> </w:t>
      </w:r>
      <w:proofErr w:type="spellStart"/>
      <w:r>
        <w:rPr>
          <w:i/>
        </w:rPr>
        <w:t>decisoria</w:t>
      </w:r>
      <w:proofErr w:type="spellEnd"/>
      <w:r>
        <w:rPr>
          <w:i/>
        </w:rPr>
        <w:t xml:space="preserve"> </w:t>
      </w:r>
      <w:proofErr w:type="spellStart"/>
      <w:r>
        <w:rPr>
          <w:i/>
        </w:rPr>
        <w:t>spontanea</w:t>
      </w:r>
      <w:proofErr w:type="spellEnd"/>
      <w:r>
        <w:t xml:space="preserve">), na </w:t>
      </w:r>
      <w:proofErr w:type="gramStart"/>
      <w:r>
        <w:t>mocy</w:t>
      </w:r>
      <w:proofErr w:type="gramEnd"/>
      <w:r>
        <w:t xml:space="preserve"> której unieważniła decyzję w sposób przewidziany w ustawie nr 160/2011 (stwierdzenie nieważności</w:t>
      </w:r>
      <w:r w:rsidR="001A2415">
        <w:t xml:space="preserve"> z urzędu</w:t>
      </w:r>
      <w:r>
        <w:t>) w odniesieniu do decyzji administracyjnych, takich jak decyzja o powołaniu sędziego. W związku z</w:t>
      </w:r>
      <w:r w:rsidR="001A2415">
        <w:t> </w:t>
      </w:r>
      <w:r>
        <w:t>tym wbrew temu, co twierdził skarżący, CGP nie przejęła kompetencji ani sądu administracyjnego rozpatrującego sprawę o sygn. 13/2019, ani Parlamentu, którego kompetencja polegała wyłącznie na przyjęciu do</w:t>
      </w:r>
      <w:r w:rsidR="001A2415">
        <w:t> </w:t>
      </w:r>
      <w:r>
        <w:t>wiadomości (</w:t>
      </w:r>
      <w:proofErr w:type="spellStart"/>
      <w:r>
        <w:rPr>
          <w:i/>
          <w:iCs/>
        </w:rPr>
        <w:t>presa</w:t>
      </w:r>
      <w:proofErr w:type="spellEnd"/>
      <w:r>
        <w:rPr>
          <w:i/>
          <w:iCs/>
        </w:rPr>
        <w:t xml:space="preserve"> </w:t>
      </w:r>
      <w:proofErr w:type="spellStart"/>
      <w:r>
        <w:rPr>
          <w:i/>
          <w:iCs/>
        </w:rPr>
        <w:t>d'atto</w:t>
      </w:r>
      <w:proofErr w:type="spellEnd"/>
      <w:r>
        <w:t xml:space="preserve">) pewnych etapów procedury, bez jakiejkolwiek merytorycznej roli </w:t>
      </w:r>
      <w:r w:rsidR="001A2415">
        <w:t>w procesie powołania</w:t>
      </w:r>
      <w:r>
        <w:t>, ani też Trybunału Konstytucyjnego; czynność ta nie stanowiła też naruszenia przepisów prawa.</w:t>
      </w:r>
    </w:p>
    <w:bookmarkStart w:id="11" w:name="paragraph00041"/>
    <w:p w14:paraId="5CC8986F" w14:textId="7C3BC384" w:rsidR="00F5142C" w:rsidRPr="00DB5C9E" w:rsidRDefault="00445208" w:rsidP="00DB5C9E">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00446BA2">
        <w:rPr>
          <w:rFonts w:cstheme="minorHAnsi"/>
          <w:noProof/>
        </w:rPr>
        <w:t>41</w:t>
      </w:r>
      <w:r w:rsidRPr="00DB5C9E">
        <w:rPr>
          <w:rFonts w:cstheme="minorHAnsi"/>
        </w:rPr>
        <w:fldChar w:fldCharType="end"/>
      </w:r>
      <w:bookmarkEnd w:id="11"/>
      <w:r>
        <w:t>.  Sędzia pierwszej instancji ds. odpowiedzialności oddalił ponadto zarzuty skarżącego dotyczące naruszeń przepisów prawa krajowego w</w:t>
      </w:r>
      <w:r w:rsidR="001A2415">
        <w:t> </w:t>
      </w:r>
      <w:r>
        <w:t xml:space="preserve">następujący sposób: i) </w:t>
      </w:r>
      <w:r w:rsidR="001A2415">
        <w:t>inaczej niż w przypadku</w:t>
      </w:r>
      <w:r>
        <w:t xml:space="preserve"> procesu powołania, przepisy prawa nie przewidywały, że Sędzia Naczelny winien jest sporządzić sprawozdanie w przypadku </w:t>
      </w:r>
      <w:proofErr w:type="spellStart"/>
      <w:r>
        <w:rPr>
          <w:i/>
          <w:iCs/>
        </w:rPr>
        <w:t>contrarius</w:t>
      </w:r>
      <w:proofErr w:type="spellEnd"/>
      <w:r>
        <w:rPr>
          <w:i/>
          <w:iCs/>
        </w:rPr>
        <w:t xml:space="preserve"> </w:t>
      </w:r>
      <w:proofErr w:type="spellStart"/>
      <w:r>
        <w:rPr>
          <w:i/>
          <w:iCs/>
        </w:rPr>
        <w:t>actus</w:t>
      </w:r>
      <w:proofErr w:type="spellEnd"/>
      <w:r>
        <w:t>, jakim było stwierdzenie nieważności powołania; ii) w odróżnieniu od art. 42 i 43 ustawy nr 160/20, art. 44 dotyczący stwierdzenia nieważności, czyli przedmiotu niniejszej sprawy, nie przewidywał, że powinny mieć zastosowanie zasady regulujące zwykłe postępowanie (takie jak zasada kontradyktoryjności postępowania) – ponadto skarżący mógł następnie zakwestionować decyzję, co uczynił; iii)</w:t>
      </w:r>
      <w:r w:rsidR="001A2415">
        <w:t> </w:t>
      </w:r>
      <w:r>
        <w:t>CGP mogła działać z urzędu, bez wymogu złożenia skargi przez stronę; iv) choć CGP mogła naprawić błąd (</w:t>
      </w:r>
      <w:proofErr w:type="spellStart"/>
      <w:r>
        <w:rPr>
          <w:i/>
          <w:iCs/>
        </w:rPr>
        <w:t>sanare</w:t>
      </w:r>
      <w:proofErr w:type="spellEnd"/>
      <w:r>
        <w:rPr>
          <w:i/>
          <w:iCs/>
        </w:rPr>
        <w:t xml:space="preserve"> via </w:t>
      </w:r>
      <w:proofErr w:type="spellStart"/>
      <w:r>
        <w:rPr>
          <w:i/>
          <w:iCs/>
        </w:rPr>
        <w:t>convalida</w:t>
      </w:r>
      <w:proofErr w:type="spellEnd"/>
      <w:r>
        <w:t xml:space="preserve">) zamiast stwierdzać nieważność </w:t>
      </w:r>
      <w:r w:rsidR="001A2415">
        <w:t>decyzji</w:t>
      </w:r>
      <w:r>
        <w:t xml:space="preserve">, nie miała takiego obowiązku i miała swobodę decyzji; v) decyzja CGP nie była w żaden sposób arbitralna, bowiem zawierała uzasadnienie, w którym wyjaśniono, jaki stoi za nią istotny interes publiczny </w:t>
      </w:r>
      <w:r>
        <w:lastRenderedPageBreak/>
        <w:t>– w szczególności to, że niezgodny z prawem skład stanowiłby sąd niezgodny z orzecznictwem ETPC; co więcej skarżący był świadomy rozwoju sytuacji osiemnaście miesięcy po objęciu przez niego urzędu, a zatem decyzja o</w:t>
      </w:r>
      <w:r w:rsidR="001A2415">
        <w:t> </w:t>
      </w:r>
      <w:r>
        <w:t>stwierdzeniu nieważności została podjęta w rozsądnym terminie i była zgodna z przepisami prawa krajowego; vi) obecność C, który głosował w</w:t>
      </w:r>
      <w:r w:rsidR="001A2415">
        <w:t> </w:t>
      </w:r>
      <w:r>
        <w:t xml:space="preserve">wyborze skarżącego, </w:t>
      </w:r>
      <w:r w:rsidR="001A2415">
        <w:t>na obradach</w:t>
      </w:r>
      <w:r>
        <w:t xml:space="preserve"> CGP była wystarczająca do </w:t>
      </w:r>
      <w:r w:rsidR="001A2415">
        <w:t>uznania decyzji</w:t>
      </w:r>
      <w:r>
        <w:t xml:space="preserve"> o powołaniu za wadliw</w:t>
      </w:r>
      <w:r w:rsidR="001A2415">
        <w:t xml:space="preserve">ą </w:t>
      </w:r>
      <w:r>
        <w:t>i podlegając</w:t>
      </w:r>
      <w:r w:rsidR="001A2415">
        <w:t>ą unieważnieniu;</w:t>
      </w:r>
      <w:r>
        <w:t xml:space="preserve"> vi) [</w:t>
      </w:r>
      <w:r>
        <w:rPr>
          <w:i/>
          <w:iCs/>
        </w:rPr>
        <w:t>sic!</w:t>
      </w:r>
      <w:r>
        <w:t>] opóźnienie w udzieleniu skarżącemu dostępu do wszystkich istotnych dokumentów nie sprawiło, że zaskarżona decyzja była niezgodna z prawem; vii) w dniu wydania decyzji o stwierdzeniu nieważności CGP była prawidłowo obsadzona; viii) wszystkie podstawy odwołania przytoczone przez skarżącego zostały odrzucone, więc nie można było stwierdzić, że</w:t>
      </w:r>
      <w:r w:rsidR="001A2415">
        <w:t> </w:t>
      </w:r>
      <w:r>
        <w:t>CGP, podejmując czynność, nadużyła władzy. Ponadto choć stwierdzenie nieważności z pewnością dotknęło skarżącego, nie było żadnych przesłanek wskazujących, iż doprowadzono do rażącej i ewidentnej niesprawiedliwości, ani dowodów na to, że administracja zamierzała faworyzować X i Y.</w:t>
      </w:r>
    </w:p>
    <w:p w14:paraId="168CCFF7" w14:textId="77777777" w:rsidR="00F5142C" w:rsidRPr="00DB5C9E" w:rsidRDefault="00445208" w:rsidP="00DB5C9E">
      <w:pPr>
        <w:pStyle w:val="JuH1"/>
      </w:pPr>
      <w:r>
        <w:t>Postępowanie odwoławcze</w:t>
      </w:r>
    </w:p>
    <w:p w14:paraId="3312F0F3" w14:textId="77777777" w:rsidR="00F5142C" w:rsidRPr="00DB5C9E" w:rsidRDefault="00445208" w:rsidP="00DB5C9E">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00446BA2">
        <w:rPr>
          <w:rFonts w:cstheme="minorHAnsi"/>
          <w:noProof/>
        </w:rPr>
        <w:t>42</w:t>
      </w:r>
      <w:r w:rsidRPr="00DB5C9E">
        <w:rPr>
          <w:rFonts w:cstheme="minorHAnsi"/>
        </w:rPr>
        <w:fldChar w:fldCharType="end"/>
      </w:r>
      <w:r>
        <w:t>.  W dniu 23 lutego 2023 r. skarżący odwołał się (wszczynając postępowanie o sygn. 3/2023) i wniósł o zawieszenie wykonalności wyroku sądu pierwszej instancji do czasu zakończenia postępowania.</w:t>
      </w:r>
    </w:p>
    <w:bookmarkStart w:id="12" w:name="paragraph00043"/>
    <w:p w14:paraId="78B27949" w14:textId="283A4B1D" w:rsidR="00F5142C" w:rsidRPr="00DB5C9E" w:rsidRDefault="00445208" w:rsidP="00DB5C9E">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00446BA2">
        <w:rPr>
          <w:rFonts w:cstheme="minorHAnsi"/>
          <w:noProof/>
        </w:rPr>
        <w:t>43</w:t>
      </w:r>
      <w:r w:rsidRPr="00DB5C9E">
        <w:rPr>
          <w:rFonts w:cstheme="minorHAnsi"/>
        </w:rPr>
        <w:fldChar w:fldCharType="end"/>
      </w:r>
      <w:bookmarkEnd w:id="12"/>
      <w:r>
        <w:t xml:space="preserve">.  W dniu 15 marca 2023 r. skarżący złożył wniosek o wyłączenie sędziego apelacyjnego ds. odpowiedzialności i sprzeciw wobec niego. </w:t>
      </w:r>
      <w:r w:rsidR="001A2415">
        <w:t>Z</w:t>
      </w:r>
      <w:r>
        <w:t>ostał</w:t>
      </w:r>
      <w:r w:rsidR="001A2415">
        <w:t xml:space="preserve"> on</w:t>
      </w:r>
      <w:r>
        <w:t xml:space="preserve"> od</w:t>
      </w:r>
      <w:r w:rsidR="001A2415">
        <w:t xml:space="preserve">rzucony </w:t>
      </w:r>
      <w:r>
        <w:t>przez Trybunał Konstytucyjny w dniu 4 lipca 2023 r. W dniu 14 listopada 2023 r. skarżący złożył nowy wniosek o wyłączenie sędziego apelacyjnego ds. odpowiedzialności i po</w:t>
      </w:r>
      <w:r w:rsidR="001A2415">
        <w:t>ruszy</w:t>
      </w:r>
      <w:r>
        <w:t xml:space="preserve">ł kwestię konstytucyjności </w:t>
      </w:r>
      <w:r w:rsidR="001A2415">
        <w:t xml:space="preserve">interwencji, jaką była </w:t>
      </w:r>
      <w:r>
        <w:t>ustaw</w:t>
      </w:r>
      <w:r w:rsidR="001A2415">
        <w:t>a</w:t>
      </w:r>
      <w:r>
        <w:t xml:space="preserve"> kwalifikowan</w:t>
      </w:r>
      <w:r w:rsidR="001A2415">
        <w:t>a</w:t>
      </w:r>
      <w:r>
        <w:t xml:space="preserve"> nr 1/2020 w sprawie składu CGP.</w:t>
      </w:r>
    </w:p>
    <w:bookmarkStart w:id="13" w:name="paragraph00044"/>
    <w:p w14:paraId="71E3CBA5" w14:textId="77777777" w:rsidR="00F5142C" w:rsidRPr="00DB5C9E" w:rsidRDefault="00445208" w:rsidP="00DB5C9E">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00446BA2">
        <w:rPr>
          <w:rFonts w:cstheme="minorHAnsi"/>
          <w:noProof/>
        </w:rPr>
        <w:t>44</w:t>
      </w:r>
      <w:r w:rsidRPr="00DB5C9E">
        <w:rPr>
          <w:rFonts w:cstheme="minorHAnsi"/>
        </w:rPr>
        <w:fldChar w:fldCharType="end"/>
      </w:r>
      <w:bookmarkEnd w:id="13"/>
      <w:r>
        <w:t>.  Wyrokiem z dnia 9 stycznia 2024 r., doręczonym w dniu 10 stycznia 2024 r., sędzia apelacyjny ds. odpowiedzialności S oddalił apelację skarżącego i zasądził od niego koszty postępowania odwoławczego.</w:t>
      </w:r>
    </w:p>
    <w:bookmarkStart w:id="14" w:name="paragraph00045"/>
    <w:p w14:paraId="4B0868F5" w14:textId="544015B7" w:rsidR="00F5142C" w:rsidRPr="00DB5C9E" w:rsidRDefault="00445208" w:rsidP="00DB5C9E">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00446BA2">
        <w:rPr>
          <w:rFonts w:cstheme="minorHAnsi"/>
          <w:noProof/>
        </w:rPr>
        <w:t>45</w:t>
      </w:r>
      <w:r w:rsidRPr="00DB5C9E">
        <w:rPr>
          <w:rFonts w:cstheme="minorHAnsi"/>
        </w:rPr>
        <w:fldChar w:fldCharType="end"/>
      </w:r>
      <w:bookmarkEnd w:id="14"/>
      <w:r>
        <w:t>.  W istotnym zakresie rzeczony sędzia odnotował zarówno niespójność i dysfunkcjonalność odwołania, w których to cechach można by nawet upatrywać nadużycie prawa do wn</w:t>
      </w:r>
      <w:r w:rsidR="003D34AB">
        <w:t>ie</w:t>
      </w:r>
      <w:r>
        <w:t xml:space="preserve">sienia odwołania, jak i fakt, że już opierając się na sposobie </w:t>
      </w:r>
      <w:r w:rsidR="003D34AB">
        <w:t xml:space="preserve">jego </w:t>
      </w:r>
      <w:r>
        <w:t>przedstawienia, odwołanie</w:t>
      </w:r>
      <w:r w:rsidR="003D34AB">
        <w:t xml:space="preserve"> można było uznać</w:t>
      </w:r>
      <w:r>
        <w:t xml:space="preserve"> za niedopuszczalne. Odniósł się również do tego, co uznał za taktykę przewlekającą postępowanie. W każdym razie odwołanie należało oddalić w</w:t>
      </w:r>
      <w:r w:rsidR="003D34AB">
        <w:t> </w:t>
      </w:r>
      <w:r>
        <w:t>zakresie, w jakim czynność CGP była uzasadniona z uwagi na nadrzędną kwestię (</w:t>
      </w:r>
      <w:proofErr w:type="spellStart"/>
      <w:r>
        <w:rPr>
          <w:i/>
          <w:iCs/>
        </w:rPr>
        <w:t>assorbente</w:t>
      </w:r>
      <w:proofErr w:type="spellEnd"/>
      <w:r>
        <w:rPr>
          <w:i/>
          <w:iCs/>
        </w:rPr>
        <w:t xml:space="preserve"> </w:t>
      </w:r>
      <w:proofErr w:type="spellStart"/>
      <w:r>
        <w:rPr>
          <w:i/>
          <w:iCs/>
        </w:rPr>
        <w:t>considerazione</w:t>
      </w:r>
      <w:proofErr w:type="spellEnd"/>
      <w:r>
        <w:t xml:space="preserve">) wadliwego składu CGP w momencie, </w:t>
      </w:r>
      <w:r w:rsidR="003D34AB">
        <w:t>w którym</w:t>
      </w:r>
      <w:r>
        <w:t xml:space="preserve"> powołała ona skarżącego. Rzeczywiście art. 44 ustawy nr 160/2011 stanowił, że nieważność każdej czynności administracyjnej (jak w niniejszej sprawie) mogła zostać stwierdzona z urzędu. Ponadto zaskarżone prawodawstwo, mające moc wsteczną, było konieczne, uzasadnione i</w:t>
      </w:r>
      <w:r w:rsidR="003D34AB">
        <w:t> </w:t>
      </w:r>
      <w:r>
        <w:t xml:space="preserve">proporcjonalne w świetle wchodzących w grę interesów i nie mogło </w:t>
      </w:r>
      <w:r>
        <w:lastRenderedPageBreak/>
        <w:t xml:space="preserve">stanowić naruszenia art. 6 Konwencji, tym bardziej że interwencja nastąpiła w trakcie postępowania o sygn. 13/2019, </w:t>
      </w:r>
      <w:r w:rsidR="003D34AB">
        <w:t>którego</w:t>
      </w:r>
      <w:r>
        <w:t xml:space="preserve"> skarżący nie był stroną. Konieczność ingerencji musiała być również rozpatrzona w świetle praw X i</w:t>
      </w:r>
      <w:r w:rsidR="003D34AB">
        <w:t> </w:t>
      </w:r>
      <w:r>
        <w:t>Y, którzy zostali dotknięci niejasną wykładnią przedmiotowych przepisów. Ponadto niepewność została wyjaśniona w krótkim czasie.</w:t>
      </w:r>
    </w:p>
    <w:bookmarkStart w:id="15" w:name="paragraph00046"/>
    <w:p w14:paraId="1CAF6E20" w14:textId="3457691F" w:rsidR="00F5142C" w:rsidRPr="00DB5C9E" w:rsidRDefault="00445208" w:rsidP="00DB5C9E">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00446BA2">
        <w:rPr>
          <w:rFonts w:cstheme="minorHAnsi"/>
          <w:noProof/>
        </w:rPr>
        <w:t>46</w:t>
      </w:r>
      <w:r w:rsidRPr="00DB5C9E">
        <w:rPr>
          <w:rFonts w:cstheme="minorHAnsi"/>
        </w:rPr>
        <w:fldChar w:fldCharType="end"/>
      </w:r>
      <w:bookmarkEnd w:id="15"/>
      <w:r>
        <w:t>.  Sędzia apelacyjny ds. odpowiedzialności uznał ponadto, że</w:t>
      </w:r>
      <w:r w:rsidR="003D34AB">
        <w:t> </w:t>
      </w:r>
      <w:r>
        <w:t>parlamentarne przyjęcie do wiadomości nie stanowiło powołania, a</w:t>
      </w:r>
      <w:r w:rsidR="003D34AB">
        <w:t> </w:t>
      </w:r>
      <w:r>
        <w:t>twierdzenie skarżącego, iż jego powołanie przez CGP w dniu 12 lutego 2019 r. było nienaruszalne i nieodwołalne, było bezpodstawne, podobnie jak jego zarzuty w tym zakresie na podstawie Konwencji. Akt samoobro</w:t>
      </w:r>
      <w:r w:rsidR="009E6743">
        <w:t>n</w:t>
      </w:r>
      <w:r>
        <w:t>ny nie był czynnością karną, a zatem art. 7 Konwencji nie miał zastosowania, nie stanowił on także dyskryminacji, a zatem nie konstytuował naruszenia art. 14 Konwencji. Zaskarżona decyzja nie była oparta na sprawowaniu przez skarżącego jego funkcji sędziowskiej (ani na funkcjonalnym charakterze powołania, ani na nieodłącznych funkcjach stanowiska), ale wyłącznie na</w:t>
      </w:r>
      <w:r w:rsidR="003D34AB">
        <w:t> </w:t>
      </w:r>
      <w:r>
        <w:t>bezprawności powołania skarżącego w dniu 12 lutego 2019 r. z uwagi na</w:t>
      </w:r>
      <w:r w:rsidR="003D34AB">
        <w:t> </w:t>
      </w:r>
      <w:r>
        <w:t>wadliwy skład CGP, który był kwestią oczywistą już w tamtym czasie (na</w:t>
      </w:r>
      <w:r w:rsidR="003D34AB">
        <w:t> </w:t>
      </w:r>
      <w:r>
        <w:t>tyle, że zostało to zakwestionowane przez X i Y na tej podstawie) i który został dodatkowo wyjaśniony w ramach interwencji władzy ustawodawczej; decyzja nie była związana z jego zachowaniem lub przekonaniami, nie była też działaniem na tle nienawiści lub ukierunkowanym politycznie, w</w:t>
      </w:r>
      <w:r w:rsidR="003D34AB">
        <w:t> </w:t>
      </w:r>
      <w:r>
        <w:t xml:space="preserve">przeciwieństwie do przypadków w innych sprawach rozstrzygniętych przez ETPC. Zdaniem sędziego apelacyjnego ds. odpowiedzialności nie doszło do naruszenia art. 8 Konwencji, ponieważ sprawa miała charakter publiczny, a nie prywatny, a w każdym razie jakakolwiek ingerencja była uzasadniona ze względu na konieczność zachowania spójności systemu sądownictwa, a także pewności prawa i spokoju osób, którym przysługuje prawo do procesu przed sądem ustanowionym ustawą. Wreszcie prawa skarżącego wynikające z art. 6 i 13 zostały również poszanowane, jako </w:t>
      </w:r>
      <w:r w:rsidRPr="003D34AB">
        <w:t>że</w:t>
      </w:r>
      <w:r w:rsidR="003D34AB">
        <w:t> </w:t>
      </w:r>
      <w:r w:rsidRPr="003D34AB">
        <w:t>skarżący</w:t>
      </w:r>
      <w:r>
        <w:t xml:space="preserve"> miał dostateczne możliwości zakwestionowania decyzji, w tym za pośrednictwem tych samych postępowań.</w:t>
      </w:r>
    </w:p>
    <w:p w14:paraId="1120836A" w14:textId="18689545" w:rsidR="00F5142C" w:rsidRPr="00DB5C9E" w:rsidRDefault="00445208" w:rsidP="00DB5C9E">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00446BA2">
        <w:rPr>
          <w:rFonts w:cstheme="minorHAnsi"/>
          <w:noProof/>
        </w:rPr>
        <w:t>47</w:t>
      </w:r>
      <w:r w:rsidRPr="00DB5C9E">
        <w:rPr>
          <w:rFonts w:cstheme="minorHAnsi"/>
        </w:rPr>
        <w:fldChar w:fldCharType="end"/>
      </w:r>
      <w:r>
        <w:t>.  Podsumowując, sędzia apelacyjny ds. odpowiedzialności uznał, że w</w:t>
      </w:r>
      <w:r w:rsidR="003D34AB">
        <w:t> </w:t>
      </w:r>
      <w:r>
        <w:t>grę wchodził interes publiczny, podstawy demokracji i zaufanie publiczne do sądownictwa, które razem przeważały nad interesami jednej osoby, która miała prawo do kontroli przedmiotowej czynności administracyjnej, ale nie miała prawa podmiotowego w przypadku uznania powołania za bezprawne. Skarżący niewłaściwie i pretensjonalnie powoływał się w takim kontekście na podstawowe prawa człowieka tylko dlatego, że w jego wyobrażeniu powołanie było nienaruszalne, mimo jego bezprawnego charakteru. Skład CGP był wadliwy z uwagi na obecność C, który nadal odbywał okres próbny (nie został zatwierdzony w swojej funkcji na czas nieoznaczony), a</w:t>
      </w:r>
      <w:r w:rsidR="003D34AB">
        <w:t> o</w:t>
      </w:r>
      <w:r>
        <w:t xml:space="preserve">bsadzenie takiego organu sędziami powołanymi na okres próbny mogło prowadzić do konfliktów interesów. W tym kontekście, w sposób racjonalny i mający na celu zapewnienie większej przewidywalności stosowania, </w:t>
      </w:r>
      <w:r>
        <w:lastRenderedPageBreak/>
        <w:t>w</w:t>
      </w:r>
      <w:r w:rsidR="003D34AB">
        <w:t> </w:t>
      </w:r>
      <w:r>
        <w:t>art.</w:t>
      </w:r>
      <w:r w:rsidR="003D34AB">
        <w:t> </w:t>
      </w:r>
      <w:r>
        <w:t>3 i 4 ustawy kwalifikowanej nr 1/2020 wyjaśniono, że art. 7 ust. 5 ustawy kwalifikowanej nr 145/2003 należało interpretować jako odnoszący się do przedstawicieli sądownictwa zatwierdzonych w swoich funkcjach na</w:t>
      </w:r>
      <w:r w:rsidR="003D34AB">
        <w:t> </w:t>
      </w:r>
      <w:r>
        <w:t>czas nieoznaczony; wykładnia ta nie została zastosowana 12 lutego 2019</w:t>
      </w:r>
      <w:r w:rsidR="009E6743">
        <w:t> </w:t>
      </w:r>
      <w:r>
        <w:t>r., w dniu powołania skarżącego. Tym samym w świetle wątpliwości co</w:t>
      </w:r>
      <w:r w:rsidR="009E6743">
        <w:t> </w:t>
      </w:r>
      <w:r>
        <w:t xml:space="preserve">do właściwej wykładni i nowych zmian, a także ich wykładni wynikającej z opinii </w:t>
      </w:r>
      <w:r>
        <w:rPr>
          <w:i/>
          <w:iCs/>
        </w:rPr>
        <w:t xml:space="preserve">pro </w:t>
      </w:r>
      <w:proofErr w:type="spellStart"/>
      <w:r>
        <w:rPr>
          <w:i/>
          <w:iCs/>
        </w:rPr>
        <w:t>veritate</w:t>
      </w:r>
      <w:proofErr w:type="spellEnd"/>
      <w:r>
        <w:t xml:space="preserve"> wydanej w tej sprawie, akt samoobron</w:t>
      </w:r>
      <w:r w:rsidR="009E6743">
        <w:t>n</w:t>
      </w:r>
      <w:r>
        <w:t>y CGP był uzasadniony, a władze San Marino miały obowiązek naprawy sytuacji.</w:t>
      </w:r>
    </w:p>
    <w:p w14:paraId="275E3F6B" w14:textId="67DB7A76" w:rsidR="00F5142C" w:rsidRPr="00DB5C9E" w:rsidRDefault="00445208" w:rsidP="00DB5C9E">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00446BA2">
        <w:rPr>
          <w:rFonts w:cstheme="minorHAnsi"/>
          <w:noProof/>
        </w:rPr>
        <w:t>48</w:t>
      </w:r>
      <w:r w:rsidRPr="00DB5C9E">
        <w:rPr>
          <w:rFonts w:cstheme="minorHAnsi"/>
        </w:rPr>
        <w:fldChar w:fldCharType="end"/>
      </w:r>
      <w:r>
        <w:t>.  </w:t>
      </w:r>
      <w:r w:rsidR="009E6743">
        <w:t>Sędzia u</w:t>
      </w:r>
      <w:r>
        <w:t>znał, że wszystkie pozostałe argumenty skarżącego były w</w:t>
      </w:r>
      <w:r w:rsidR="009E6743">
        <w:t> </w:t>
      </w:r>
      <w:r>
        <w:t>sposób oczywisty nieuzasadnione, w tym: i) te dotyczące niepołączenia sprawy z innymi sprawami do wspólnego rozpoznania, w szczególności ze</w:t>
      </w:r>
      <w:r w:rsidR="009E6743">
        <w:t> </w:t>
      </w:r>
      <w:r>
        <w:t>względu na to, że postępowanie w niniejszej sprawie dotyczyło decyzji o</w:t>
      </w:r>
      <w:r w:rsidR="009E6743">
        <w:t> </w:t>
      </w:r>
      <w:r>
        <w:t>stwierdzeniu nieważności, a nie decyzji o powołaniu; oraz ii) te dotyczące składu CGP, który w dniu wydania decyzji o stwierdzeniu nieważności obradował pod nieobecność Sędziego Naczelnego (stanowisko w tym czasie nieobsadzone), z udziałem wśród swoich osiemnastu członków C, który do</w:t>
      </w:r>
      <w:r w:rsidR="009E6743">
        <w:t> </w:t>
      </w:r>
      <w:r>
        <w:t>tego dnia zakończył swój okres próbny, oraz bez udziału skarżącego, który w tamtym czasie nadal odbywał trzyletni okres próbny.</w:t>
      </w:r>
    </w:p>
    <w:bookmarkStart w:id="16" w:name="paragraph00049"/>
    <w:p w14:paraId="65B3B167" w14:textId="77777777" w:rsidR="00F5142C" w:rsidRPr="00DB5C9E" w:rsidRDefault="00445208" w:rsidP="00DB5C9E">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00446BA2">
        <w:rPr>
          <w:rFonts w:cstheme="minorHAnsi"/>
          <w:noProof/>
        </w:rPr>
        <w:t>49</w:t>
      </w:r>
      <w:r w:rsidRPr="00DB5C9E">
        <w:rPr>
          <w:rFonts w:cstheme="minorHAnsi"/>
        </w:rPr>
        <w:fldChar w:fldCharType="end"/>
      </w:r>
      <w:bookmarkEnd w:id="16"/>
      <w:r>
        <w:t>.  Sędzia apelacyjny ds. odpowiedzialności zasądził koszty postępowania od skarżącego, mając na uwadze jego zachowanie podczas postępowania, które – jak uznał – było na granicy nadużycia przepisów postępowania i obejmowało instrumentalizację przez niego postępowania, liczne zażalenia i twierdzenia o nieistniejących naruszeniach praw człowieka, mające na celu przedłużenie postępowania kosztem podatnika.</w:t>
      </w:r>
    </w:p>
    <w:p w14:paraId="39A9ABD6" w14:textId="77777777" w:rsidR="00F5142C" w:rsidRPr="00DB5C9E" w:rsidRDefault="00445208" w:rsidP="00DB5C9E">
      <w:pPr>
        <w:pStyle w:val="JuHA"/>
      </w:pPr>
      <w:r>
        <w:t>Skarga o nieważność (2)</w:t>
      </w:r>
    </w:p>
    <w:p w14:paraId="3D320E67" w14:textId="6F50B169" w:rsidR="00F5142C" w:rsidRPr="00DB5C9E" w:rsidRDefault="00445208" w:rsidP="00DB5C9E">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00446BA2">
        <w:rPr>
          <w:rFonts w:cstheme="minorHAnsi"/>
          <w:noProof/>
        </w:rPr>
        <w:t>50</w:t>
      </w:r>
      <w:r w:rsidRPr="00DB5C9E">
        <w:rPr>
          <w:rFonts w:cstheme="minorHAnsi"/>
        </w:rPr>
        <w:fldChar w:fldCharType="end"/>
      </w:r>
      <w:r>
        <w:t>.  W dniu 8 lutego 2024 r. skarżący złożył kolejn</w:t>
      </w:r>
      <w:r w:rsidR="009E6743">
        <w:t>ą</w:t>
      </w:r>
      <w:r>
        <w:t xml:space="preserve"> </w:t>
      </w:r>
      <w:proofErr w:type="spellStart"/>
      <w:r>
        <w:rPr>
          <w:i/>
          <w:iCs/>
        </w:rPr>
        <w:t>querela</w:t>
      </w:r>
      <w:proofErr w:type="spellEnd"/>
      <w:r>
        <w:rPr>
          <w:i/>
          <w:iCs/>
        </w:rPr>
        <w:t xml:space="preserve"> </w:t>
      </w:r>
      <w:proofErr w:type="spellStart"/>
      <w:r>
        <w:rPr>
          <w:i/>
          <w:iCs/>
        </w:rPr>
        <w:t>nullitatis</w:t>
      </w:r>
      <w:proofErr w:type="spellEnd"/>
      <w:r>
        <w:t xml:space="preserve"> w</w:t>
      </w:r>
      <w:r w:rsidR="009E6743">
        <w:t> </w:t>
      </w:r>
      <w:r>
        <w:t>stosunku do wyroku z dnia 10 stycznia 2024 r., który to wniosek został uznany za niedopuszczalny w dniu 17 listopada 2024 r. przez sędziego ds.</w:t>
      </w:r>
      <w:r w:rsidR="009E6743">
        <w:t> </w:t>
      </w:r>
      <w:r>
        <w:t>nadzwyczajnych środków odwoławczych, ponieważ takiego wniosku nie można było wnieść w stosunku do wyroków w sprawach administracyjnych.</w:t>
      </w:r>
    </w:p>
    <w:p w14:paraId="445F6135" w14:textId="77777777" w:rsidR="00F5142C" w:rsidRPr="00DB5C9E" w:rsidRDefault="00445208" w:rsidP="00DB5C9E">
      <w:pPr>
        <w:pStyle w:val="JuHA"/>
      </w:pPr>
      <w:r>
        <w:t>Inne postępowania</w:t>
      </w:r>
    </w:p>
    <w:bookmarkStart w:id="17" w:name="paragraph00051"/>
    <w:p w14:paraId="1A20F54A" w14:textId="41567146" w:rsidR="00F5142C" w:rsidRPr="00DB5C9E" w:rsidRDefault="00445208" w:rsidP="00DB5C9E">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00446BA2">
        <w:rPr>
          <w:rFonts w:cstheme="minorHAnsi"/>
          <w:noProof/>
        </w:rPr>
        <w:t>51</w:t>
      </w:r>
      <w:r w:rsidRPr="00DB5C9E">
        <w:rPr>
          <w:rFonts w:cstheme="minorHAnsi"/>
        </w:rPr>
        <w:fldChar w:fldCharType="end"/>
      </w:r>
      <w:bookmarkEnd w:id="17"/>
      <w:r>
        <w:t>.  Skarżący bezskutecznie wszczął również dwa inne postępowania administracyjne (o sygn. 14/2021 i 25/2021), które zostały połączone do</w:t>
      </w:r>
      <w:r w:rsidR="009E6743">
        <w:t> </w:t>
      </w:r>
      <w:r>
        <w:t>wspólnego rozpoznania, w których zakwestionował procedurę powołania X i Y, w której skarżący również bezskutecznie uczestniczył.</w:t>
      </w:r>
    </w:p>
    <w:p w14:paraId="7D6ED2D9" w14:textId="556E8C42" w:rsidR="00F5142C" w:rsidRPr="00DB5C9E" w:rsidRDefault="00446BA2" w:rsidP="00DB5C9E">
      <w:pPr>
        <w:pStyle w:val="JuPara"/>
      </w:pPr>
      <w:fldSimple w:instr=" SEQ level0 \*arabic \* MERGEFORMAT ">
        <w:r>
          <w:rPr>
            <w:noProof/>
          </w:rPr>
          <w:t>52</w:t>
        </w:r>
      </w:fldSimple>
      <w:r w:rsidR="00445208">
        <w:t>.  Przeciw skarżącemu wszczęto również trzy różne postępowania dyscyplinarne w związku ze zdarzeniami, do których doszło po powyższych faktach. W pierwszym wymierzono mu karę dyscyplinarną upomnienia (</w:t>
      </w:r>
      <w:proofErr w:type="spellStart"/>
      <w:r w:rsidR="00445208">
        <w:rPr>
          <w:i/>
          <w:iCs/>
        </w:rPr>
        <w:t>ammonimento</w:t>
      </w:r>
      <w:proofErr w:type="spellEnd"/>
      <w:r w:rsidR="00445208">
        <w:t>) (postępowanie to jest przedmiotem skargi nr 3106/24</w:t>
      </w:r>
      <w:r w:rsidR="009E6743">
        <w:t>,</w:t>
      </w:r>
      <w:r w:rsidR="00445208">
        <w:t xml:space="preserve"> procedowanej przed niniejszym Trybunałem), w drugim – karę nagany </w:t>
      </w:r>
      <w:r w:rsidR="00445208">
        <w:lastRenderedPageBreak/>
        <w:t>(</w:t>
      </w:r>
      <w:proofErr w:type="spellStart"/>
      <w:r w:rsidR="00445208">
        <w:rPr>
          <w:i/>
          <w:iCs/>
        </w:rPr>
        <w:t>censura</w:t>
      </w:r>
      <w:proofErr w:type="spellEnd"/>
      <w:r w:rsidR="00445208">
        <w:t>), a w trzecim – karę pieniężną w formie zawieszenia wypłaty wynagrodzenia (</w:t>
      </w:r>
      <w:proofErr w:type="spellStart"/>
      <w:r w:rsidR="00445208">
        <w:rPr>
          <w:i/>
          <w:iCs/>
        </w:rPr>
        <w:t>sospensione</w:t>
      </w:r>
      <w:proofErr w:type="spellEnd"/>
      <w:r w:rsidR="00445208">
        <w:rPr>
          <w:i/>
          <w:iCs/>
        </w:rPr>
        <w:t xml:space="preserve"> </w:t>
      </w:r>
      <w:proofErr w:type="spellStart"/>
      <w:r w:rsidR="00445208">
        <w:rPr>
          <w:i/>
          <w:iCs/>
        </w:rPr>
        <w:t>della</w:t>
      </w:r>
      <w:proofErr w:type="spellEnd"/>
      <w:r w:rsidR="00445208">
        <w:rPr>
          <w:i/>
          <w:iCs/>
        </w:rPr>
        <w:t xml:space="preserve"> </w:t>
      </w:r>
      <w:proofErr w:type="spellStart"/>
      <w:r w:rsidR="00445208">
        <w:rPr>
          <w:i/>
          <w:iCs/>
        </w:rPr>
        <w:t>retribuzione</w:t>
      </w:r>
      <w:proofErr w:type="spellEnd"/>
      <w:r w:rsidR="00445208">
        <w:t>) na miesiąc.</w:t>
      </w:r>
    </w:p>
    <w:p w14:paraId="1F9BCD2A" w14:textId="77777777" w:rsidR="00F5142C" w:rsidRPr="00DB5C9E" w:rsidRDefault="00445208" w:rsidP="00DB5C9E">
      <w:pPr>
        <w:pStyle w:val="JuHHead"/>
      </w:pPr>
      <w:r>
        <w:t>WŁAŚCIWE RAMY PRAWNE</w:t>
      </w:r>
    </w:p>
    <w:p w14:paraId="371A8153" w14:textId="77777777" w:rsidR="00F5142C" w:rsidRPr="00DB5C9E" w:rsidRDefault="00445208" w:rsidP="00DB5C9E">
      <w:pPr>
        <w:pStyle w:val="JuHIRoman"/>
      </w:pPr>
      <w:r>
        <w:t>Prawo krajowe i praktyka</w:t>
      </w:r>
    </w:p>
    <w:bookmarkStart w:id="18" w:name="paragraph00053"/>
    <w:p w14:paraId="0EE0286B" w14:textId="76F2809D" w:rsidR="00F5142C" w:rsidRPr="00DB5C9E" w:rsidRDefault="00445208" w:rsidP="00DB5C9E">
      <w:pPr>
        <w:pStyle w:val="JuPara"/>
      </w:pPr>
      <w:r w:rsidRPr="00DB5C9E">
        <w:fldChar w:fldCharType="begin"/>
      </w:r>
      <w:r w:rsidRPr="00DB5C9E">
        <w:instrText xml:space="preserve"> SEQ level0 \*arabic \* MERGEFORMAT </w:instrText>
      </w:r>
      <w:r w:rsidRPr="00DB5C9E">
        <w:fldChar w:fldCharType="separate"/>
      </w:r>
      <w:r w:rsidR="00446BA2">
        <w:rPr>
          <w:noProof/>
        </w:rPr>
        <w:t>53</w:t>
      </w:r>
      <w:r w:rsidRPr="00DB5C9E">
        <w:fldChar w:fldCharType="end"/>
      </w:r>
      <w:bookmarkEnd w:id="18"/>
      <w:r>
        <w:t xml:space="preserve">.  Na potrzeby niniejszego wyroku należy zauważyć, że termin </w:t>
      </w:r>
      <w:r>
        <w:rPr>
          <w:i/>
          <w:iCs/>
        </w:rPr>
        <w:t>Magistratura</w:t>
      </w:r>
      <w:r>
        <w:t xml:space="preserve">, przetłumaczony jako „sądownictwo”, obejmuje wszystkie organy sądowe San Marino wymienione w art. 2 ust. 3, 4 i 5 ustawy konstytucyjnej nr 2/2011, przedstawione w par. </w:t>
      </w:r>
      <w:r w:rsidRPr="00DB5C9E">
        <w:fldChar w:fldCharType="begin"/>
      </w:r>
      <w:r w:rsidRPr="00DB5C9E">
        <w:instrText xml:space="preserve">REF paragraph00054 \h \* CharFormat </w:instrText>
      </w:r>
      <w:r w:rsidRPr="00DB5C9E">
        <w:fldChar w:fldCharType="separate"/>
      </w:r>
      <w:r w:rsidR="00446BA2">
        <w:t>54</w:t>
      </w:r>
      <w:r w:rsidRPr="00DB5C9E">
        <w:fldChar w:fldCharType="end"/>
      </w:r>
      <w:r>
        <w:t xml:space="preserve"> poniżej, mianowicie te</w:t>
      </w:r>
      <w:r w:rsidR="009E6743">
        <w:t> </w:t>
      </w:r>
      <w:r>
        <w:t>mające właściwość powszechną, nadzwyczajną i szczególną, oraz prokuratora Skarbu Państwa (</w:t>
      </w:r>
      <w:proofErr w:type="spellStart"/>
      <w:r>
        <w:rPr>
          <w:i/>
          <w:iCs/>
        </w:rPr>
        <w:t>Procuratore</w:t>
      </w:r>
      <w:proofErr w:type="spellEnd"/>
      <w:r>
        <w:rPr>
          <w:i/>
          <w:iCs/>
        </w:rPr>
        <w:t xml:space="preserve"> del </w:t>
      </w:r>
      <w:proofErr w:type="spellStart"/>
      <w:r>
        <w:rPr>
          <w:i/>
          <w:iCs/>
        </w:rPr>
        <w:t>Fisco</w:t>
      </w:r>
      <w:proofErr w:type="spellEnd"/>
      <w:r>
        <w:t xml:space="preserve">). Termin </w:t>
      </w:r>
      <w:proofErr w:type="spellStart"/>
      <w:r>
        <w:rPr>
          <w:i/>
          <w:iCs/>
        </w:rPr>
        <w:t>magistrati</w:t>
      </w:r>
      <w:proofErr w:type="spellEnd"/>
      <w:r>
        <w:t>, który został przetłumaczony jako „przedstawiciele sądownictwa” na potrzeby niniejszej sprawy, odnosi się do wszystkich osób będących częścią sądownictwa, w znaczeniu wyjaśnionym powyżej.</w:t>
      </w:r>
    </w:p>
    <w:p w14:paraId="487B4D7D" w14:textId="77777777" w:rsidR="00F5142C" w:rsidRPr="00DB5C9E" w:rsidRDefault="00445208" w:rsidP="00DB5C9E">
      <w:pPr>
        <w:pStyle w:val="JuHA"/>
      </w:pPr>
      <w:r>
        <w:t>Ustawa konstytucyjna</w:t>
      </w:r>
    </w:p>
    <w:bookmarkStart w:id="19" w:name="paragraph00054"/>
    <w:p w14:paraId="3D588C3A" w14:textId="02CA8264" w:rsidR="00F5142C" w:rsidRPr="00DB5C9E" w:rsidRDefault="00445208" w:rsidP="00DB5C9E">
      <w:pPr>
        <w:pStyle w:val="JuPara"/>
      </w:pPr>
      <w:r w:rsidRPr="00DB5C9E">
        <w:fldChar w:fldCharType="begin"/>
      </w:r>
      <w:r w:rsidRPr="00DB5C9E">
        <w:instrText xml:space="preserve"> SEQ level0 \*arabic \* MERGEFORMAT </w:instrText>
      </w:r>
      <w:r w:rsidRPr="00DB5C9E">
        <w:fldChar w:fldCharType="separate"/>
      </w:r>
      <w:r w:rsidR="00446BA2">
        <w:rPr>
          <w:noProof/>
        </w:rPr>
        <w:t>54</w:t>
      </w:r>
      <w:r w:rsidRPr="00DB5C9E">
        <w:fldChar w:fldCharType="end"/>
      </w:r>
      <w:bookmarkEnd w:id="19"/>
      <w:r>
        <w:t xml:space="preserve">.  Ustawą konstytucyjną nr 2/2011 (z dnia 16 września 2011 r.) </w:t>
      </w:r>
      <w:r w:rsidR="009E6743">
        <w:t>o nowych przepisach</w:t>
      </w:r>
      <w:r>
        <w:t xml:space="preserve"> mających zastosowanie do systemu sądownictwa, zmieniono art. 2 ustawy konstytucyjnej nr 144/2003 (z dnia 30 października 2003 r.), nadając mu następujące brzmienie:</w:t>
      </w:r>
    </w:p>
    <w:p w14:paraId="0908626B" w14:textId="77777777" w:rsidR="00F5142C" w:rsidRPr="00DB5C9E" w:rsidRDefault="00445208" w:rsidP="00DB5C9E">
      <w:pPr>
        <w:pStyle w:val="JuHArticle"/>
      </w:pPr>
      <w:r>
        <w:t xml:space="preserve">Artykuł 2 </w:t>
      </w:r>
      <w:r>
        <w:rPr>
          <w:i/>
        </w:rPr>
        <w:t xml:space="preserve">(Organy władzy sądowniczej – </w:t>
      </w:r>
      <w:proofErr w:type="spellStart"/>
      <w:r>
        <w:rPr>
          <w:i/>
        </w:rPr>
        <w:t>Organi</w:t>
      </w:r>
      <w:proofErr w:type="spellEnd"/>
      <w:r>
        <w:rPr>
          <w:i/>
        </w:rPr>
        <w:t xml:space="preserve"> del </w:t>
      </w:r>
      <w:proofErr w:type="spellStart"/>
      <w:r>
        <w:rPr>
          <w:i/>
        </w:rPr>
        <w:t>potere</w:t>
      </w:r>
      <w:proofErr w:type="spellEnd"/>
      <w:r>
        <w:rPr>
          <w:i/>
        </w:rPr>
        <w:t xml:space="preserve"> </w:t>
      </w:r>
      <w:proofErr w:type="spellStart"/>
      <w:r>
        <w:rPr>
          <w:i/>
        </w:rPr>
        <w:t>giudiziario</w:t>
      </w:r>
      <w:proofErr w:type="spellEnd"/>
      <w:r>
        <w:rPr>
          <w:i/>
        </w:rPr>
        <w:t>)</w:t>
      </w:r>
    </w:p>
    <w:p w14:paraId="21B45214" w14:textId="3537FCB9" w:rsidR="00F5142C" w:rsidRPr="00DB5C9E" w:rsidRDefault="00445208" w:rsidP="00DB5C9E">
      <w:pPr>
        <w:pStyle w:val="JuQuot"/>
      </w:pPr>
      <w:r>
        <w:t>„</w:t>
      </w:r>
      <w:r w:rsidR="00C1208C">
        <w:t>1)</w:t>
      </w:r>
      <w:r>
        <w:t xml:space="preserve"> Zgodnie ze Statutem Republiki San Marino i Deklaracją praw obywateli i</w:t>
      </w:r>
      <w:r w:rsidR="003B154D">
        <w:t> </w:t>
      </w:r>
      <w:r>
        <w:t>fundamentalnych zasad porządku San Marino przedstawiciele sądownictwa Republiki sprawują władzę sądowniczą, wykonują obowiązki instytucjonalne bez zwierzchnictwa innych i ponoszą odpowiedzialność zgodnie z ustawą.</w:t>
      </w:r>
    </w:p>
    <w:p w14:paraId="1DBD8D61" w14:textId="4744CA4C" w:rsidR="00F5142C" w:rsidRPr="00DB5C9E" w:rsidRDefault="00C1208C" w:rsidP="00DB5C9E">
      <w:pPr>
        <w:pStyle w:val="JuQuot"/>
      </w:pPr>
      <w:r>
        <w:t>2) Przedstawicielom sądownictwa, związanym obowiązkami i dysponującym prawami przewidzianymi w ustawie, celem zagwarantowania obiektywności i</w:t>
      </w:r>
      <w:r w:rsidR="003B154D">
        <w:t> </w:t>
      </w:r>
      <w:r>
        <w:t>bezstronności, z jakimi są zobowiązani sprawować swoje funkcje, przysługują szczególne gwarancje osobiste, ekonomiczne i statusowe przewidziane w ustawie, umowach międzynarodowych i prawie zwyczajowym.</w:t>
      </w:r>
    </w:p>
    <w:p w14:paraId="0BE579FD" w14:textId="453D0E27" w:rsidR="00F5142C" w:rsidRPr="00DB5C9E" w:rsidRDefault="00C1208C" w:rsidP="00DB5C9E">
      <w:pPr>
        <w:pStyle w:val="JuQuot"/>
      </w:pPr>
      <w:r>
        <w:t>3) Organami sądownictwa (</w:t>
      </w:r>
      <w:proofErr w:type="spellStart"/>
      <w:r>
        <w:rPr>
          <w:i/>
          <w:iCs/>
        </w:rPr>
        <w:t>organi</w:t>
      </w:r>
      <w:proofErr w:type="spellEnd"/>
      <w:r>
        <w:rPr>
          <w:i/>
          <w:iCs/>
        </w:rPr>
        <w:t xml:space="preserve"> </w:t>
      </w:r>
      <w:proofErr w:type="spellStart"/>
      <w:r>
        <w:rPr>
          <w:i/>
          <w:iCs/>
        </w:rPr>
        <w:t>della</w:t>
      </w:r>
      <w:proofErr w:type="spellEnd"/>
      <w:r>
        <w:rPr>
          <w:i/>
          <w:iCs/>
        </w:rPr>
        <w:t xml:space="preserve"> </w:t>
      </w:r>
      <w:proofErr w:type="spellStart"/>
      <w:r>
        <w:rPr>
          <w:i/>
          <w:iCs/>
        </w:rPr>
        <w:t>giurisdizione</w:t>
      </w:r>
      <w:proofErr w:type="spellEnd"/>
      <w:r>
        <w:t xml:space="preserve">) są: sędzia trzeciej instancji, sędzia apelacyjny, </w:t>
      </w:r>
      <w:proofErr w:type="spellStart"/>
      <w:r w:rsidR="00010982">
        <w:t>CoL</w:t>
      </w:r>
      <w:proofErr w:type="spellEnd"/>
      <w:r w:rsidR="00010982">
        <w:t xml:space="preserve"> </w:t>
      </w:r>
      <w:r>
        <w:t>(</w:t>
      </w:r>
      <w:proofErr w:type="spellStart"/>
      <w:r>
        <w:rPr>
          <w:i/>
          <w:iCs/>
        </w:rPr>
        <w:t>Commissario</w:t>
      </w:r>
      <w:proofErr w:type="spellEnd"/>
      <w:r>
        <w:rPr>
          <w:i/>
          <w:iCs/>
        </w:rPr>
        <w:t xml:space="preserve"> </w:t>
      </w:r>
      <w:proofErr w:type="spellStart"/>
      <w:r>
        <w:rPr>
          <w:i/>
          <w:iCs/>
        </w:rPr>
        <w:t>della</w:t>
      </w:r>
      <w:proofErr w:type="spellEnd"/>
      <w:r>
        <w:rPr>
          <w:i/>
          <w:iCs/>
        </w:rPr>
        <w:t xml:space="preserve"> </w:t>
      </w:r>
      <w:proofErr w:type="spellStart"/>
      <w:r>
        <w:rPr>
          <w:i/>
          <w:iCs/>
        </w:rPr>
        <w:t>Legge</w:t>
      </w:r>
      <w:proofErr w:type="spellEnd"/>
      <w:r>
        <w:t xml:space="preserve">) oraz </w:t>
      </w:r>
      <w:proofErr w:type="gramStart"/>
      <w:r w:rsidR="00010982">
        <w:t>UD</w:t>
      </w:r>
      <w:r>
        <w:t>(</w:t>
      </w:r>
      <w:proofErr w:type="spellStart"/>
      <w:proofErr w:type="gramEnd"/>
      <w:r>
        <w:rPr>
          <w:i/>
          <w:iCs/>
        </w:rPr>
        <w:t>Uditore</w:t>
      </w:r>
      <w:proofErr w:type="spellEnd"/>
      <w:r>
        <w:rPr>
          <w:i/>
          <w:iCs/>
        </w:rPr>
        <w:t xml:space="preserve"> </w:t>
      </w:r>
      <w:proofErr w:type="spellStart"/>
      <w:r>
        <w:rPr>
          <w:i/>
          <w:iCs/>
        </w:rPr>
        <w:t>Commissariale</w:t>
      </w:r>
      <w:proofErr w:type="spellEnd"/>
      <w:r>
        <w:t>).</w:t>
      </w:r>
    </w:p>
    <w:p w14:paraId="7D8597C7" w14:textId="68F50512" w:rsidR="00F5142C" w:rsidRPr="00DB5C9E" w:rsidRDefault="00C1208C" w:rsidP="00DB5C9E">
      <w:pPr>
        <w:pStyle w:val="JuQuot"/>
      </w:pPr>
      <w:r>
        <w:t>4) Nadzwyczajne funkcje sędziowskie w sprawach przewidzianych ustawą są</w:t>
      </w:r>
      <w:r w:rsidR="003B154D">
        <w:t> </w:t>
      </w:r>
      <w:r>
        <w:t>przypisane sędziemu ds. nadzwyczajnych środków odwoławczych.</w:t>
      </w:r>
    </w:p>
    <w:p w14:paraId="091CA854" w14:textId="16E2ACDE" w:rsidR="00F5142C" w:rsidRPr="00DB5C9E" w:rsidRDefault="00C1208C" w:rsidP="00DB5C9E">
      <w:pPr>
        <w:pStyle w:val="JuQuot"/>
      </w:pPr>
      <w:r>
        <w:t>5) Organami właściwymi do rozpoznawania powództw o odpowiedzialność cywilną przedstawicieli sądownictwa są sędziowie ds. odpowiedzialności cywilnej (</w:t>
      </w:r>
      <w:proofErr w:type="spellStart"/>
      <w:r>
        <w:rPr>
          <w:i/>
          <w:iCs/>
        </w:rPr>
        <w:t>Giudici</w:t>
      </w:r>
      <w:proofErr w:type="spellEnd"/>
      <w:r>
        <w:rPr>
          <w:i/>
          <w:iCs/>
        </w:rPr>
        <w:t xml:space="preserve"> per </w:t>
      </w:r>
      <w:proofErr w:type="spellStart"/>
      <w:r>
        <w:rPr>
          <w:i/>
          <w:iCs/>
        </w:rPr>
        <w:t>l'azione</w:t>
      </w:r>
      <w:proofErr w:type="spellEnd"/>
      <w:r>
        <w:rPr>
          <w:i/>
          <w:iCs/>
        </w:rPr>
        <w:t xml:space="preserve"> di </w:t>
      </w:r>
      <w:proofErr w:type="spellStart"/>
      <w:r>
        <w:rPr>
          <w:i/>
          <w:iCs/>
        </w:rPr>
        <w:t>responsabilità</w:t>
      </w:r>
      <w:proofErr w:type="spellEnd"/>
      <w:r>
        <w:rPr>
          <w:i/>
          <w:iCs/>
        </w:rPr>
        <w:t xml:space="preserve"> </w:t>
      </w:r>
      <w:proofErr w:type="spellStart"/>
      <w:r>
        <w:rPr>
          <w:i/>
          <w:iCs/>
        </w:rPr>
        <w:t>civile</w:t>
      </w:r>
      <w:proofErr w:type="spellEnd"/>
      <w:r>
        <w:t>).</w:t>
      </w:r>
    </w:p>
    <w:p w14:paraId="2B725BE2" w14:textId="6433D753" w:rsidR="00F5142C" w:rsidRPr="00DB5C9E" w:rsidRDefault="00C1208C" w:rsidP="00DB5C9E">
      <w:pPr>
        <w:pStyle w:val="JuQuot"/>
      </w:pPr>
      <w:r>
        <w:t>6) Sędziowie sprawują wszystkie funkcje sędziowskie wyraźnie przypisane im w</w:t>
      </w:r>
      <w:r w:rsidR="003B154D">
        <w:t> </w:t>
      </w:r>
      <w:r>
        <w:t xml:space="preserve">ustawie. </w:t>
      </w:r>
      <w:r w:rsidR="00010982">
        <w:t>UD</w:t>
      </w:r>
      <w:r>
        <w:t xml:space="preserve"> asystuje </w:t>
      </w:r>
      <w:proofErr w:type="spellStart"/>
      <w:r w:rsidR="00010982">
        <w:t>CoL</w:t>
      </w:r>
      <w:r>
        <w:t>w</w:t>
      </w:r>
      <w:proofErr w:type="spellEnd"/>
      <w:r>
        <w:t xml:space="preserve"> jego </w:t>
      </w:r>
      <w:proofErr w:type="spellStart"/>
      <w:proofErr w:type="gramStart"/>
      <w:r>
        <w:t>działaniach</w:t>
      </w:r>
      <w:r w:rsidR="00010982">
        <w:t>CoL</w:t>
      </w:r>
      <w:proofErr w:type="spellEnd"/>
      <w:r w:rsidR="00010982">
        <w:t xml:space="preserve"> </w:t>
      </w:r>
      <w:r>
        <w:t xml:space="preserve"> może</w:t>
      </w:r>
      <w:proofErr w:type="gramEnd"/>
      <w:r>
        <w:t xml:space="preserve"> przypisać mu lub delegować na niego funkcje dochodzeniowe w sprawach cywilnych, karnych i administracyjnych.</w:t>
      </w:r>
    </w:p>
    <w:p w14:paraId="5D3BBDDF" w14:textId="12711AF9" w:rsidR="00F5142C" w:rsidRPr="00DB5C9E" w:rsidRDefault="00C1208C" w:rsidP="00DB5C9E">
      <w:pPr>
        <w:pStyle w:val="JuQuot"/>
      </w:pPr>
      <w:r>
        <w:lastRenderedPageBreak/>
        <w:t>7) Na poszczególne stanowiska sędziowskie może być powoływanych kilku sędziów, przy czym każdemu z nich gwarantuje się pełnię funkcji sędziowskich. Ustawa kwalifikowana o systemie sądownictwa przewiduje zastępstwo sędziów tego samego szczebla.</w:t>
      </w:r>
    </w:p>
    <w:bookmarkStart w:id="20" w:name="paragraph00055"/>
    <w:p w14:paraId="57F00CDF" w14:textId="77777777" w:rsidR="00F5142C" w:rsidRPr="00DB5C9E" w:rsidRDefault="00445208" w:rsidP="00DB5C9E">
      <w:pPr>
        <w:pStyle w:val="JuPara"/>
      </w:pPr>
      <w:r w:rsidRPr="00DB5C9E">
        <w:fldChar w:fldCharType="begin"/>
      </w:r>
      <w:r w:rsidRPr="00DB5C9E">
        <w:instrText xml:space="preserve"> SEQ level0 \*arabic \* MERGEFORMAT </w:instrText>
      </w:r>
      <w:r w:rsidRPr="00DB5C9E">
        <w:fldChar w:fldCharType="separate"/>
      </w:r>
      <w:r w:rsidR="00446BA2">
        <w:rPr>
          <w:noProof/>
        </w:rPr>
        <w:t>55</w:t>
      </w:r>
      <w:r w:rsidRPr="00DB5C9E">
        <w:fldChar w:fldCharType="end"/>
      </w:r>
      <w:bookmarkEnd w:id="20"/>
      <w:r>
        <w:t>.  Następnie ustawą konstytucyjną nr 2/2020 (z dnia 3 grudnia 2020 r.) dodatkowo zmieniono art. 2 ust. 5 ustawy konstytucyjnej nr 144/2003, nadając mu następujące brzmienie:</w:t>
      </w:r>
    </w:p>
    <w:p w14:paraId="2F2AA054" w14:textId="05B567C9" w:rsidR="00F5142C" w:rsidRPr="00DB5C9E" w:rsidRDefault="00445208" w:rsidP="00DB5C9E">
      <w:pPr>
        <w:pStyle w:val="JuQuot"/>
      </w:pPr>
      <w:r>
        <w:t>„</w:t>
      </w:r>
      <w:r w:rsidR="00C1208C">
        <w:t>5)</w:t>
      </w:r>
      <w:r>
        <w:t xml:space="preserve"> Organami właściwymi do rozpoznawania powództw o odpowiedzialność cywilną przedstawicieli sądownictwa są sędziowie ds. odpowiedzialności cywilnej (</w:t>
      </w:r>
      <w:proofErr w:type="spellStart"/>
      <w:r>
        <w:rPr>
          <w:i/>
          <w:iCs/>
        </w:rPr>
        <w:t>Giudici</w:t>
      </w:r>
      <w:proofErr w:type="spellEnd"/>
      <w:r>
        <w:rPr>
          <w:i/>
          <w:iCs/>
        </w:rPr>
        <w:t xml:space="preserve"> per </w:t>
      </w:r>
      <w:proofErr w:type="spellStart"/>
      <w:r>
        <w:rPr>
          <w:i/>
          <w:iCs/>
        </w:rPr>
        <w:t>l'azione</w:t>
      </w:r>
      <w:proofErr w:type="spellEnd"/>
      <w:r>
        <w:rPr>
          <w:i/>
          <w:iCs/>
        </w:rPr>
        <w:t xml:space="preserve"> di </w:t>
      </w:r>
      <w:proofErr w:type="spellStart"/>
      <w:r>
        <w:rPr>
          <w:i/>
          <w:iCs/>
        </w:rPr>
        <w:t>responsabilità</w:t>
      </w:r>
      <w:proofErr w:type="spellEnd"/>
      <w:r>
        <w:rPr>
          <w:i/>
          <w:iCs/>
        </w:rPr>
        <w:t xml:space="preserve"> </w:t>
      </w:r>
      <w:proofErr w:type="spellStart"/>
      <w:r>
        <w:rPr>
          <w:i/>
          <w:iCs/>
        </w:rPr>
        <w:t>civile</w:t>
      </w:r>
      <w:proofErr w:type="spellEnd"/>
      <w:r>
        <w:t>). Sędziowie ds. odpowiedzialności cywilnej przedstawicieli sądownictwa są również właściwi do orzekania w</w:t>
      </w:r>
      <w:r w:rsidR="00485173">
        <w:t> </w:t>
      </w:r>
      <w:r>
        <w:t>postępowaniach w sprawach cywilnych, karnych lub administracyjnych, jeżeli wszyscy właściwi sędziowie zgodnie z prawem wyłączyli się z rozpoznawania sprawy, jeżeli wniesiono wobec nich uzasadniony sprzeciw lub jeżeli nie mogą orzekać na innej podstawie, ponieważ orzekali już wcześniej w sprawie.</w:t>
      </w:r>
    </w:p>
    <w:bookmarkStart w:id="21" w:name="paragraph00056"/>
    <w:p w14:paraId="11557DC7" w14:textId="451A71CF" w:rsidR="00F5142C" w:rsidRPr="00DB5C9E" w:rsidRDefault="00445208" w:rsidP="00DB5C9E">
      <w:pPr>
        <w:pStyle w:val="JuPara"/>
        <w:rPr>
          <w:sz w:val="20"/>
        </w:rPr>
      </w:pPr>
      <w:r w:rsidRPr="00DB5C9E">
        <w:fldChar w:fldCharType="begin"/>
      </w:r>
      <w:r w:rsidRPr="00DB5C9E">
        <w:instrText xml:space="preserve"> SEQ level0 \*arabic \* MERGEFORMAT </w:instrText>
      </w:r>
      <w:r w:rsidRPr="00DB5C9E">
        <w:fldChar w:fldCharType="separate"/>
      </w:r>
      <w:r w:rsidR="00446BA2">
        <w:rPr>
          <w:noProof/>
        </w:rPr>
        <w:t>56</w:t>
      </w:r>
      <w:r w:rsidRPr="00DB5C9E">
        <w:fldChar w:fldCharType="end"/>
      </w:r>
      <w:bookmarkEnd w:id="21"/>
      <w:r>
        <w:t>.  Właściwe przepisy ustawy konstytucyjnej nr 1/2021 (z dnia 7 grudnia 2021 r.)</w:t>
      </w:r>
      <w:r w:rsidR="009E6743">
        <w:t xml:space="preserve"> o</w:t>
      </w:r>
      <w:r>
        <w:t xml:space="preserve"> sądownictw</w:t>
      </w:r>
      <w:r w:rsidR="009E6743">
        <w:t>ie</w:t>
      </w:r>
      <w:r>
        <w:t>, system</w:t>
      </w:r>
      <w:r w:rsidR="009E6743">
        <w:t>ie</w:t>
      </w:r>
      <w:r>
        <w:t xml:space="preserve"> sądownictwa i Rad</w:t>
      </w:r>
      <w:r w:rsidR="009E6743">
        <w:t>zie</w:t>
      </w:r>
      <w:r>
        <w:t xml:space="preserve"> Sądownictwa, w</w:t>
      </w:r>
      <w:r w:rsidR="00485173">
        <w:t> </w:t>
      </w:r>
      <w:r>
        <w:t>zakresie istotnym dla sprawy, brzmią następująco.</w:t>
      </w:r>
    </w:p>
    <w:p w14:paraId="17C6E4CE" w14:textId="77777777" w:rsidR="00F5142C" w:rsidRPr="00DB5C9E" w:rsidRDefault="00445208" w:rsidP="00DB5C9E">
      <w:pPr>
        <w:pStyle w:val="JuHArticle"/>
      </w:pPr>
      <w:r>
        <w:t>Artykuł 8</w:t>
      </w:r>
    </w:p>
    <w:p w14:paraId="44447E70" w14:textId="794C316D" w:rsidR="00F5142C" w:rsidRPr="00DB5C9E" w:rsidRDefault="00445208" w:rsidP="00DB5C9E">
      <w:pPr>
        <w:pStyle w:val="JuQuot"/>
      </w:pPr>
      <w:r>
        <w:t>„[</w:t>
      </w:r>
      <w:r w:rsidR="00485173">
        <w:t>…</w:t>
      </w:r>
      <w:r>
        <w:t>]</w:t>
      </w:r>
    </w:p>
    <w:p w14:paraId="12B37318" w14:textId="77777777" w:rsidR="00F5142C" w:rsidRPr="00DB5C9E" w:rsidRDefault="00445208" w:rsidP="00DB5C9E">
      <w:pPr>
        <w:pStyle w:val="JuQuot"/>
      </w:pPr>
      <w:r>
        <w:t>4) Przedstawiciel sądownictwa powołany w drodze awansu nie podlega okresowi próbnemu.</w:t>
      </w:r>
    </w:p>
    <w:p w14:paraId="0953227C" w14:textId="77777777" w:rsidR="00F5142C" w:rsidRPr="00DB5C9E" w:rsidRDefault="00445208" w:rsidP="00DB5C9E">
      <w:pPr>
        <w:pStyle w:val="JuQuot"/>
      </w:pPr>
      <w:r>
        <w:t>5) Przedstawiciel sądownictwa, który w momencie wejścia w życie niniejszej ustawy odbywa okres próbny po awansie, zostaje zatwierdzony w swojej funkcji na czas nieoznaczony.</w:t>
      </w:r>
    </w:p>
    <w:p w14:paraId="555E9C74" w14:textId="77777777" w:rsidR="00F5142C" w:rsidRPr="00DB5C9E" w:rsidRDefault="00445208" w:rsidP="00DB5C9E">
      <w:pPr>
        <w:pStyle w:val="JuQuot"/>
      </w:pPr>
      <w:r>
        <w:t>[…]”.</w:t>
      </w:r>
    </w:p>
    <w:p w14:paraId="29A4EAD4" w14:textId="77777777" w:rsidR="00F5142C" w:rsidRPr="00DB5C9E" w:rsidRDefault="00445208" w:rsidP="00DB5C9E">
      <w:pPr>
        <w:pStyle w:val="JuHArticle"/>
      </w:pPr>
      <w:r>
        <w:t>Artykuł 9</w:t>
      </w:r>
    </w:p>
    <w:p w14:paraId="36D194F1" w14:textId="77777777" w:rsidR="00F5142C" w:rsidRPr="00DB5C9E" w:rsidRDefault="00445208" w:rsidP="00DB5C9E">
      <w:pPr>
        <w:pStyle w:val="JuQuot"/>
      </w:pPr>
      <w:r>
        <w:t>1) Zawodowy przedstawiciel sądownictwa po ukończeniu okresu próbnego pełni urząd do osiągnięcia wieku 70 lat.</w:t>
      </w:r>
    </w:p>
    <w:p w14:paraId="214BB7CC" w14:textId="226EAC4C" w:rsidR="00F5142C" w:rsidRPr="00DB5C9E" w:rsidRDefault="00445208" w:rsidP="00DB5C9E">
      <w:pPr>
        <w:pStyle w:val="JuQuot"/>
      </w:pPr>
      <w:r>
        <w:t>2) Przedstawiciela sądownictwa nie można usunąć z urzędu, z wyjątkiem sytuacji, w</w:t>
      </w:r>
      <w:r w:rsidR="00485173">
        <w:t> </w:t>
      </w:r>
      <w:r>
        <w:t xml:space="preserve">której osiągnął wiek przejścia w stan spoczynku, </w:t>
      </w:r>
      <w:r w:rsidR="00485173">
        <w:t xml:space="preserve">w której </w:t>
      </w:r>
      <w:r>
        <w:t>został odwołany po</w:t>
      </w:r>
      <w:r w:rsidR="00485173">
        <w:t> </w:t>
      </w:r>
      <w:r>
        <w:t xml:space="preserve">ustaleniu odpowiedzialności dyscyplinarnej lub </w:t>
      </w:r>
      <w:r w:rsidR="00485173">
        <w:t xml:space="preserve">w której </w:t>
      </w:r>
      <w:r>
        <w:t>stwierdzono u niego trwałą niezdolność do wykonywania obowiązków, co podlega kontroli Rady Sądownictwa po</w:t>
      </w:r>
      <w:r w:rsidR="00485173">
        <w:t> </w:t>
      </w:r>
      <w:r>
        <w:t>konsultacji z przedstawicielem sądownictwa.</w:t>
      </w:r>
    </w:p>
    <w:p w14:paraId="70D6C334" w14:textId="77777777" w:rsidR="00F5142C" w:rsidRPr="00DB5C9E" w:rsidRDefault="00445208" w:rsidP="00DB5C9E">
      <w:pPr>
        <w:pStyle w:val="JuQuot"/>
      </w:pPr>
      <w:r>
        <w:t>3) Zawodowy przedstawiciel sądownictwa, który sprawował funkcje sędziowskie przez co najmniej dziesięć lat, może wystąpić, z poważnych przyczyn osobistych lub rodzinnych, o przeniesienie do administracji publicznej. Wniosek rozstrzyga Rada Sądownictwa. Jeżeli uwzględni wniosek, Parlament postanowi o miejscu pracy przedstawiciela sądownictwa.</w:t>
      </w:r>
    </w:p>
    <w:p w14:paraId="7A0BA7A2" w14:textId="77777777" w:rsidR="00F5142C" w:rsidRPr="00DB5C9E" w:rsidRDefault="00445208" w:rsidP="00DB5C9E">
      <w:pPr>
        <w:pStyle w:val="JuQuot"/>
      </w:pPr>
      <w:r>
        <w:t xml:space="preserve">4) Zawodowy przedstawiciel sądownictwa co pięć lat podlega ocenie zawodowej pod kątem równowagi, wydajności pracy i kwalifikacji zawodowych wykazanych przy wykonywaniu obowiązków sędziowskich. Ocena jest przeprowadzana przez Radę Sądownictwa na podstawie uzasadnionego i udokumentowanego sprawozdania </w:t>
      </w:r>
      <w:r>
        <w:lastRenderedPageBreak/>
        <w:t>Sędziego Naczelnego po konsultacji z przedstawicielem sądownictwa, którego ocena dotyczy.”</w:t>
      </w:r>
    </w:p>
    <w:p w14:paraId="2C2AFAE6" w14:textId="77777777" w:rsidR="00F5142C" w:rsidRPr="00DB5C9E" w:rsidRDefault="00445208" w:rsidP="00DB5C9E">
      <w:pPr>
        <w:pStyle w:val="JuHA"/>
      </w:pPr>
      <w:r>
        <w:t>Ustawa nr 145/2003 i jej późniejsze zmiany</w:t>
      </w:r>
    </w:p>
    <w:p w14:paraId="07E80593" w14:textId="77777777" w:rsidR="00F5142C" w:rsidRPr="00DB5C9E" w:rsidRDefault="00445208" w:rsidP="00DB5C9E">
      <w:pPr>
        <w:pStyle w:val="JuH1"/>
      </w:pPr>
      <w:r>
        <w:t>W brzmieniu zmienionym w 2011 r.</w:t>
      </w:r>
    </w:p>
    <w:bookmarkStart w:id="22" w:name="paragraph00057"/>
    <w:p w14:paraId="6B2A9ED5" w14:textId="29481246" w:rsidR="00F5142C" w:rsidRPr="00DB5C9E" w:rsidRDefault="00445208" w:rsidP="00DB5C9E">
      <w:pPr>
        <w:pStyle w:val="JuPara"/>
      </w:pPr>
      <w:r w:rsidRPr="00DB5C9E">
        <w:fldChar w:fldCharType="begin"/>
      </w:r>
      <w:r w:rsidRPr="00DB5C9E">
        <w:instrText xml:space="preserve"> SEQ level0 \*arabic \* MERGEFORMAT </w:instrText>
      </w:r>
      <w:r w:rsidRPr="00DB5C9E">
        <w:fldChar w:fldCharType="separate"/>
      </w:r>
      <w:r w:rsidR="00446BA2">
        <w:rPr>
          <w:noProof/>
        </w:rPr>
        <w:t>57</w:t>
      </w:r>
      <w:r w:rsidRPr="00DB5C9E">
        <w:fldChar w:fldCharType="end"/>
      </w:r>
      <w:bookmarkEnd w:id="22"/>
      <w:r>
        <w:t>.  W zakresie mającym znaczenie dla sprawy ustawą kwalifikowaną nr</w:t>
      </w:r>
      <w:r w:rsidR="00485173">
        <w:t> </w:t>
      </w:r>
      <w:r>
        <w:t>2/2011 (z dnia 16 września 2011 r.)</w:t>
      </w:r>
      <w:r w:rsidR="009E6743">
        <w:t xml:space="preserve"> o nowych przepisach regulujących </w:t>
      </w:r>
      <w:r>
        <w:t xml:space="preserve">system sądownictwa zmieniono odpowiednie artykuły ustawy kwalifikowanej nr 145/2003 (z dnia 30 października 2003 r.), </w:t>
      </w:r>
      <w:r w:rsidR="009E6743">
        <w:t>o przepisach</w:t>
      </w:r>
      <w:r>
        <w:t xml:space="preserve"> o</w:t>
      </w:r>
      <w:r w:rsidR="00485173">
        <w:t> </w:t>
      </w:r>
      <w:r>
        <w:t>systemie sądownictwa, nadając im następujące brzmienie:</w:t>
      </w:r>
    </w:p>
    <w:p w14:paraId="5D1C47B0" w14:textId="77777777" w:rsidR="00F5142C" w:rsidRPr="00DB5C9E" w:rsidRDefault="00445208" w:rsidP="00DB5C9E">
      <w:pPr>
        <w:pStyle w:val="JuHArticle"/>
      </w:pPr>
      <w:r>
        <w:t>Artykuł 3 (Nabór przedstawicieli sądownictwa)</w:t>
      </w:r>
    </w:p>
    <w:p w14:paraId="20F723F3" w14:textId="093D77F9" w:rsidR="00F5142C" w:rsidRPr="00DB5C9E" w:rsidRDefault="00445208" w:rsidP="00DB5C9E">
      <w:pPr>
        <w:pStyle w:val="JuQuot"/>
      </w:pPr>
      <w:r>
        <w:t xml:space="preserve"> „[</w:t>
      </w:r>
      <w:r w:rsidR="00485173">
        <w:t>…</w:t>
      </w:r>
      <w:r>
        <w:t>]</w:t>
      </w:r>
    </w:p>
    <w:p w14:paraId="442AE22A" w14:textId="77777777" w:rsidR="00F5142C" w:rsidRPr="00DB5C9E" w:rsidRDefault="00445208" w:rsidP="00DB5C9E">
      <w:pPr>
        <w:pStyle w:val="JuQuot"/>
      </w:pPr>
      <w:r>
        <w:t>Wszczęcie postępowania w sprawie powołania przedstawiciela sądownictwa następuje na wniosek skierowany do Parlamentu wraz z uzasadnionym sprawozdaniem sporządzonym przez Sędziego Naczelnego (</w:t>
      </w:r>
      <w:proofErr w:type="spellStart"/>
      <w:r>
        <w:rPr>
          <w:i/>
          <w:iCs/>
        </w:rPr>
        <w:t>Magistrato</w:t>
      </w:r>
      <w:proofErr w:type="spellEnd"/>
      <w:r>
        <w:rPr>
          <w:i/>
          <w:iCs/>
        </w:rPr>
        <w:t xml:space="preserve"> </w:t>
      </w:r>
      <w:proofErr w:type="spellStart"/>
      <w:r>
        <w:rPr>
          <w:i/>
          <w:iCs/>
        </w:rPr>
        <w:t>Dirigente</w:t>
      </w:r>
      <w:proofErr w:type="spellEnd"/>
      <w:r>
        <w:t>) za zgodą Rady Sądownictwa. Po zapoznaniu się z wnioskiem Parlament podejmuje decyzję [w sprawie powołania] bezwzględną większością głosów.</w:t>
      </w:r>
    </w:p>
    <w:p w14:paraId="3C334AA3" w14:textId="54FC3C36" w:rsidR="00F5142C" w:rsidRPr="00DB5C9E" w:rsidRDefault="00445208" w:rsidP="00DB5C9E">
      <w:pPr>
        <w:pStyle w:val="JuQuot"/>
      </w:pPr>
      <w:r>
        <w:t>Nowych przedstawicieli sądownictwa powołuje się w pierwszej kolejności w drodze wewnętrznej ścieżki awansu zawodowego. Sędziowie pełniący funkcję na czas nieoznaczony, którzy zostają powołani do pełnienia wyższych funkcji, nie są</w:t>
      </w:r>
      <w:r w:rsidR="00485173">
        <w:t> </w:t>
      </w:r>
      <w:r>
        <w:t>zobowiązani do odbycia okresu próbnego.”</w:t>
      </w:r>
    </w:p>
    <w:p w14:paraId="16C31FD7" w14:textId="77777777" w:rsidR="00F5142C" w:rsidRPr="00DB5C9E" w:rsidRDefault="00445208" w:rsidP="00DB5C9E">
      <w:pPr>
        <w:pStyle w:val="JuHArticle"/>
      </w:pPr>
      <w:r>
        <w:t>Artykuł 4 (Czas trwania mandatu)</w:t>
      </w:r>
    </w:p>
    <w:p w14:paraId="56A93FAA" w14:textId="5E871B72" w:rsidR="00F5142C" w:rsidRPr="00DB5C9E" w:rsidRDefault="00445208" w:rsidP="00DB5C9E">
      <w:pPr>
        <w:pStyle w:val="JuQuot"/>
      </w:pPr>
      <w:r>
        <w:t>„[</w:t>
      </w:r>
      <w:r w:rsidR="00485173">
        <w:t>…</w:t>
      </w:r>
      <w:r>
        <w:t>]</w:t>
      </w:r>
    </w:p>
    <w:p w14:paraId="35FC3E51" w14:textId="12649665" w:rsidR="00F5142C" w:rsidRPr="00DB5C9E" w:rsidRDefault="00445208" w:rsidP="00DB5C9E">
      <w:pPr>
        <w:pStyle w:val="JuQuot"/>
      </w:pPr>
      <w:r>
        <w:t xml:space="preserve">2) Po powołaniu sędziowie apelacyjni, </w:t>
      </w:r>
      <w:proofErr w:type="spellStart"/>
      <w:r w:rsidR="00010982">
        <w:t>CoL</w:t>
      </w:r>
      <w:r>
        <w:t>i</w:t>
      </w:r>
      <w:proofErr w:type="spellEnd"/>
      <w:r>
        <w:t xml:space="preserve"> </w:t>
      </w:r>
      <w:r w:rsidR="00010982">
        <w:t xml:space="preserve">UD </w:t>
      </w:r>
      <w:r>
        <w:t>podlegają okresowi próbnemu trwającemu trzy lata. Rada Sądownictwa ocenia ich pracę na</w:t>
      </w:r>
      <w:r w:rsidR="00485173">
        <w:t> </w:t>
      </w:r>
      <w:r>
        <w:t xml:space="preserve">podstawie szczegółowego sprawozdania sporządzonego przez Sędziego Naczelnego i decyduje, czy zatwierdzić ich </w:t>
      </w:r>
      <w:r w:rsidR="008B4950">
        <w:t>w</w:t>
      </w:r>
      <w:r>
        <w:t xml:space="preserve"> ich funkcji na czas nieoznaczony, czy też odwołać ich, powiadamiając o tym Parlament na potrzeby przyjęcia tej decyzji do wiadomości (</w:t>
      </w:r>
      <w:proofErr w:type="spellStart"/>
      <w:r>
        <w:rPr>
          <w:i/>
          <w:iCs/>
        </w:rPr>
        <w:t>presa</w:t>
      </w:r>
      <w:proofErr w:type="spellEnd"/>
      <w:r>
        <w:rPr>
          <w:i/>
          <w:iCs/>
        </w:rPr>
        <w:t xml:space="preserve"> </w:t>
      </w:r>
      <w:proofErr w:type="spellStart"/>
      <w:r>
        <w:rPr>
          <w:i/>
          <w:iCs/>
        </w:rPr>
        <w:t>d’atto</w:t>
      </w:r>
      <w:proofErr w:type="spellEnd"/>
      <w:r>
        <w:t>).</w:t>
      </w:r>
    </w:p>
    <w:p w14:paraId="28EF6FEF" w14:textId="29610D4D" w:rsidR="00F5142C" w:rsidRPr="00DB5C9E" w:rsidRDefault="00445208" w:rsidP="00DB5C9E">
      <w:pPr>
        <w:pStyle w:val="JuQuot"/>
      </w:pPr>
      <w:r>
        <w:t>3) Przedstawiciele sądownictwa zatwierdzeni w swojej funkcji na czas nieoznaczony pełnią urząd do ukończenia sześćdziesiątego ósmego roku życia; okres ten może zostać przedłużony o dwa lata przez Radę Sądownictwa na wniosek osoby zainteresowanej w</w:t>
      </w:r>
      <w:r w:rsidR="00485173">
        <w:t> </w:t>
      </w:r>
      <w:r>
        <w:t>przypadku udowodnionych potrzeb służbowych, poświadczonych szczegółowym sprawozdaniem Sędziego Naczelnego. Przedstawiciele sądownictwa przestają pełnić swoją funkcję w wyniku rezygnacji, końca mandatu (</w:t>
      </w:r>
      <w:proofErr w:type="spellStart"/>
      <w:r>
        <w:rPr>
          <w:i/>
          <w:iCs/>
        </w:rPr>
        <w:t>decadenza</w:t>
      </w:r>
      <w:proofErr w:type="spellEnd"/>
      <w:r>
        <w:t>), zwolnienia od służby lub przejścia do administracji publicznej.”</w:t>
      </w:r>
    </w:p>
    <w:p w14:paraId="04A5FABF" w14:textId="77777777" w:rsidR="00F5142C" w:rsidRPr="00DB5C9E" w:rsidRDefault="00445208" w:rsidP="00DB5C9E">
      <w:pPr>
        <w:pStyle w:val="JuHArticle"/>
        <w:keepLines/>
      </w:pPr>
      <w:r>
        <w:lastRenderedPageBreak/>
        <w:t>Artykuł 5 (Wymogi dotyczące powołania przedstawicieli sądownictwa)</w:t>
      </w:r>
    </w:p>
    <w:p w14:paraId="6E911979" w14:textId="79CBCE4B" w:rsidR="00F5142C" w:rsidRPr="00DB5C9E" w:rsidRDefault="00445208" w:rsidP="00DB5C9E">
      <w:pPr>
        <w:pStyle w:val="JuQuot"/>
        <w:keepNext/>
        <w:keepLines/>
      </w:pPr>
      <w:r>
        <w:t xml:space="preserve"> „[</w:t>
      </w:r>
      <w:r w:rsidR="006B2331">
        <w:t>…</w:t>
      </w:r>
      <w:r>
        <w:t>]</w:t>
      </w:r>
    </w:p>
    <w:p w14:paraId="4F8B179D" w14:textId="44AE3A1A" w:rsidR="00F5142C" w:rsidRPr="00DB5C9E" w:rsidRDefault="00A41485" w:rsidP="00DB5C9E">
      <w:pPr>
        <w:pStyle w:val="JuQuot"/>
        <w:keepNext/>
        <w:keepLines/>
      </w:pPr>
      <w:proofErr w:type="gramStart"/>
      <w:r>
        <w:t xml:space="preserve">UD </w:t>
      </w:r>
      <w:r w:rsidR="00445208">
        <w:t>,</w:t>
      </w:r>
      <w:proofErr w:type="gramEnd"/>
      <w:r w:rsidR="00445208">
        <w:t xml:space="preserve"> który pełnił swoją funkcję przez co najmniej cztery lata, może zostać powołany na </w:t>
      </w:r>
      <w:proofErr w:type="spellStart"/>
      <w:r w:rsidR="00445208">
        <w:t>stanowisko</w:t>
      </w:r>
      <w:r w:rsidR="00010982">
        <w:t>CoL</w:t>
      </w:r>
      <w:proofErr w:type="spellEnd"/>
      <w:r w:rsidR="00445208">
        <w:t>. Oceny nabytych umiejętności zawodowych dokonuje Rada Sądownictwa na posiedzeniu plenarnym, której Sędzia Naczelny przedkłada odpowiednie sprawozdanie.</w:t>
      </w:r>
    </w:p>
    <w:p w14:paraId="2615C82A" w14:textId="77777777" w:rsidR="00F5142C" w:rsidRPr="00DB5C9E" w:rsidRDefault="00445208" w:rsidP="00DB5C9E">
      <w:pPr>
        <w:pStyle w:val="JuQuot"/>
      </w:pPr>
      <w:r>
        <w:t>[…]”.</w:t>
      </w:r>
    </w:p>
    <w:p w14:paraId="2CACBCD7" w14:textId="77777777" w:rsidR="00F5142C" w:rsidRPr="00DB5C9E" w:rsidRDefault="00445208" w:rsidP="00DB5C9E">
      <w:pPr>
        <w:pStyle w:val="JuHArticle"/>
      </w:pPr>
      <w:r>
        <w:t>Artykuł 7 (Rada Sądownictwa)</w:t>
      </w:r>
    </w:p>
    <w:p w14:paraId="79D545D0" w14:textId="0DEF8B59" w:rsidR="00F5142C" w:rsidRPr="00DB5C9E" w:rsidRDefault="00445208" w:rsidP="00DB5C9E">
      <w:pPr>
        <w:pStyle w:val="JuQuot"/>
      </w:pPr>
      <w:r>
        <w:t>„[</w:t>
      </w:r>
      <w:r w:rsidR="006B2331">
        <w:t>…</w:t>
      </w:r>
      <w:r>
        <w:t>]</w:t>
      </w:r>
    </w:p>
    <w:p w14:paraId="05E4483C" w14:textId="19CBA98E" w:rsidR="00F5142C" w:rsidRPr="00DB5C9E" w:rsidRDefault="00445208" w:rsidP="00DB5C9E">
      <w:pPr>
        <w:pStyle w:val="JuQuot"/>
      </w:pPr>
      <w:r>
        <w:t>5) W skład Rady Sądownictwa obradującej na posiedzeniu plenarnym wchodzą członkowie Parlamentarnej Komisji Wymiaru Sprawiedliwości, Minister (</w:t>
      </w:r>
      <w:proofErr w:type="spellStart"/>
      <w:r>
        <w:rPr>
          <w:i/>
          <w:iCs/>
        </w:rPr>
        <w:t>Segretario</w:t>
      </w:r>
      <w:proofErr w:type="spellEnd"/>
      <w:r>
        <w:rPr>
          <w:i/>
          <w:iCs/>
        </w:rPr>
        <w:t xml:space="preserve"> di </w:t>
      </w:r>
      <w:proofErr w:type="spellStart"/>
      <w:r>
        <w:rPr>
          <w:i/>
          <w:iCs/>
        </w:rPr>
        <w:t>Stato</w:t>
      </w:r>
      <w:proofErr w:type="spellEnd"/>
      <w:r>
        <w:t xml:space="preserve">) Sprawiedliwości, sędziowie trzeciej instancji, troje sędziów apelacyjnych, pięcioro </w:t>
      </w:r>
      <w:proofErr w:type="spellStart"/>
      <w:r w:rsidR="00010982">
        <w:t>CoL</w:t>
      </w:r>
      <w:r>
        <w:t>oraz</w:t>
      </w:r>
      <w:proofErr w:type="spellEnd"/>
      <w:r>
        <w:t xml:space="preserve"> Sędzia Naczelny. </w:t>
      </w:r>
      <w:proofErr w:type="spellStart"/>
      <w:r w:rsidR="00010982">
        <w:t>CoL</w:t>
      </w:r>
      <w:r>
        <w:t>i</w:t>
      </w:r>
      <w:proofErr w:type="spellEnd"/>
      <w:r>
        <w:t xml:space="preserve"> troj</w:t>
      </w:r>
      <w:r w:rsidR="006B2331">
        <w:t>ga</w:t>
      </w:r>
      <w:r>
        <w:t xml:space="preserve"> sędziów apelacyjnych wybiera się spośród tych zatwierdzonych w swojej funkcji na czas nieoznaczony i mających najdłuższy staż; w przypadku równego stażu o kolejności wyboru decyduje wiek. W każdym przypadku liczba przedstawicieli sądownictwa musi zawsze być równa liczbie pozostałych członków; jeżeli z określonych przesłanek ich liczba jest mniejsza, Rada zostaje obsadzona przedstawicielami sądownictwa tej samej instancji, co nieobecni, </w:t>
      </w:r>
      <w:proofErr w:type="gramStart"/>
      <w:r>
        <w:t>lub,</w:t>
      </w:r>
      <w:proofErr w:type="gramEnd"/>
      <w:r>
        <w:t xml:space="preserve"> jeżeli ich liczba jest nadal mniejsza, </w:t>
      </w:r>
      <w:proofErr w:type="spellStart"/>
      <w:r w:rsidR="00010982">
        <w:t>CoL</w:t>
      </w:r>
      <w:proofErr w:type="spellEnd"/>
      <w:r>
        <w:t xml:space="preserve">, nawet w przypadku, gdy nie zostali jeszcze zatwierdzeni </w:t>
      </w:r>
      <w:r w:rsidR="008B4950">
        <w:t>w</w:t>
      </w:r>
      <w:r>
        <w:t xml:space="preserve"> swoich funkcjach na czas nieoznaczony, wybieranymi wedle długości stażu; w przypadku równego stażu o</w:t>
      </w:r>
      <w:r w:rsidR="006B2331">
        <w:t> </w:t>
      </w:r>
      <w:r>
        <w:t xml:space="preserve">kolejności wyboru decyduje wiek. </w:t>
      </w:r>
    </w:p>
    <w:p w14:paraId="21B3C917" w14:textId="77777777" w:rsidR="00F5142C" w:rsidRPr="00DB5C9E" w:rsidRDefault="00445208" w:rsidP="00DB5C9E">
      <w:pPr>
        <w:pStyle w:val="JuQuot"/>
      </w:pPr>
      <w:r>
        <w:t>[…]”.</w:t>
      </w:r>
    </w:p>
    <w:p w14:paraId="0936400A" w14:textId="55B497EF" w:rsidR="00F5142C" w:rsidRPr="00DB5C9E" w:rsidRDefault="00446BA2" w:rsidP="00DB5C9E">
      <w:pPr>
        <w:pStyle w:val="JuPara"/>
      </w:pPr>
      <w:fldSimple w:instr=" SEQ level0 \*arabic \* MERGEFORMAT ">
        <w:r>
          <w:rPr>
            <w:noProof/>
          </w:rPr>
          <w:t>58</w:t>
        </w:r>
      </w:fldSimple>
      <w:r w:rsidR="00445208">
        <w:t>.  Ustawa kwalifikowana nr 2/2011</w:t>
      </w:r>
      <w:r w:rsidR="009E6743">
        <w:t xml:space="preserve"> o nowych przepisach regulujących system sądownictwa</w:t>
      </w:r>
      <w:r w:rsidR="00445208">
        <w:t>, zawierała również przepis przejściowy (art. 10), który brzmiał następująco:</w:t>
      </w:r>
    </w:p>
    <w:p w14:paraId="01437A75" w14:textId="77777777" w:rsidR="00F5142C" w:rsidRPr="00DB5C9E" w:rsidRDefault="00445208" w:rsidP="00DB5C9E">
      <w:pPr>
        <w:pStyle w:val="JuQuot"/>
      </w:pPr>
      <w:r>
        <w:t>„[...]</w:t>
      </w:r>
    </w:p>
    <w:p w14:paraId="14BD7E2C" w14:textId="39EDC297" w:rsidR="00F5142C" w:rsidRPr="00DB5C9E" w:rsidRDefault="00445208" w:rsidP="00DB5C9E">
      <w:pPr>
        <w:pStyle w:val="JuQuot"/>
      </w:pPr>
      <w:r>
        <w:t xml:space="preserve">Obecnie pełniący funkcję </w:t>
      </w:r>
      <w:r w:rsidR="00072808">
        <w:t xml:space="preserve">UD </w:t>
      </w:r>
      <w:r>
        <w:t xml:space="preserve">mogą zostać powołani na stanowiska </w:t>
      </w:r>
      <w:proofErr w:type="spellStart"/>
      <w:r w:rsidR="00010982">
        <w:t>CoL</w:t>
      </w:r>
      <w:r>
        <w:t>i</w:t>
      </w:r>
      <w:proofErr w:type="spellEnd"/>
      <w:r>
        <w:t xml:space="preserve"> prokuratorów Skarbu Państwa przez Radę Sądownictwa na podstawie sprawozdania Sędziego Naczelnego. Podlegają oni zwyczajowemu okresowi próbnemu.</w:t>
      </w:r>
    </w:p>
    <w:p w14:paraId="449E2325" w14:textId="77777777" w:rsidR="00F5142C" w:rsidRPr="00DB5C9E" w:rsidRDefault="00445208" w:rsidP="00DB5C9E">
      <w:pPr>
        <w:pStyle w:val="JuQuot"/>
      </w:pPr>
      <w:r>
        <w:t>Artykuł 4 ust. 2 [ustawy kwalifikowanej nr 145/2003, zmienionej w 2011 r.], dotyczący okresu próbnego, ma zastosowanie wyłącznie do przedstawicieli sądownictwa, którzy obejmą urząd po wejściu w życie niniejszej ustawy.</w:t>
      </w:r>
    </w:p>
    <w:p w14:paraId="01B71A86" w14:textId="77777777" w:rsidR="00F5142C" w:rsidRPr="00DB5C9E" w:rsidRDefault="00445208" w:rsidP="00DB5C9E">
      <w:pPr>
        <w:pStyle w:val="JuQuot"/>
      </w:pPr>
      <w:r>
        <w:t>[…]”.</w:t>
      </w:r>
    </w:p>
    <w:p w14:paraId="68813AD4" w14:textId="77777777" w:rsidR="00F5142C" w:rsidRPr="00DB5C9E" w:rsidRDefault="00445208" w:rsidP="00DB5C9E">
      <w:pPr>
        <w:pStyle w:val="JuH1"/>
      </w:pPr>
      <w:r>
        <w:t>W brzmieniu zmienionym w 2019 r.</w:t>
      </w:r>
    </w:p>
    <w:bookmarkStart w:id="23" w:name="paragraph00059"/>
    <w:p w14:paraId="40BAC10B" w14:textId="77777777" w:rsidR="00F5142C" w:rsidRPr="00DB5C9E" w:rsidRDefault="00445208" w:rsidP="00DB5C9E">
      <w:pPr>
        <w:pStyle w:val="JuPara"/>
      </w:pPr>
      <w:r w:rsidRPr="00DB5C9E">
        <w:fldChar w:fldCharType="begin"/>
      </w:r>
      <w:r w:rsidRPr="00DB5C9E">
        <w:instrText xml:space="preserve"> SEQ level0 \*arabic \* MERGEFORMAT </w:instrText>
      </w:r>
      <w:r w:rsidRPr="00DB5C9E">
        <w:fldChar w:fldCharType="separate"/>
      </w:r>
      <w:r w:rsidR="00446BA2">
        <w:rPr>
          <w:noProof/>
        </w:rPr>
        <w:t>59</w:t>
      </w:r>
      <w:r w:rsidRPr="00DB5C9E">
        <w:fldChar w:fldCharType="end"/>
      </w:r>
      <w:bookmarkEnd w:id="23"/>
      <w:r>
        <w:t>.  Artykułami 2 i 3 ustawy kwalifikowanej nr 1/2019 (z dnia 26 lutego 2019 r.) zmieniono ustawę kwalifikowaną nr 145/2003, nadając jej następujące brzmienie:</w:t>
      </w:r>
    </w:p>
    <w:p w14:paraId="578C8E4C" w14:textId="77777777" w:rsidR="00F5142C" w:rsidRPr="00DB5C9E" w:rsidRDefault="00445208" w:rsidP="00DB5C9E">
      <w:pPr>
        <w:pStyle w:val="JuHArticle"/>
      </w:pPr>
      <w:r>
        <w:t>Artykuł 6 (Sędzia Naczelny)</w:t>
      </w:r>
    </w:p>
    <w:p w14:paraId="463BE881" w14:textId="714EF6B7" w:rsidR="00F5142C" w:rsidRPr="00DB5C9E" w:rsidRDefault="00445208" w:rsidP="00DB5C9E">
      <w:pPr>
        <w:pStyle w:val="JuQuot"/>
      </w:pPr>
      <w:r>
        <w:t xml:space="preserve">„1) Sędzia Naczelny jest powoływany na pięcioletnią kadencję przez Radę Sądownictwa na posiedzeniu plenarnym spośród </w:t>
      </w:r>
      <w:proofErr w:type="spellStart"/>
      <w:r w:rsidR="00010982">
        <w:t>CoL</w:t>
      </w:r>
      <w:r>
        <w:t>o</w:t>
      </w:r>
      <w:proofErr w:type="spellEnd"/>
      <w:r>
        <w:t xml:space="preserve"> co najmniej pięcioletnim stażu </w:t>
      </w:r>
      <w:r>
        <w:lastRenderedPageBreak/>
        <w:t xml:space="preserve">pracy oraz sędziów apelacyjnych zatwierdzonych </w:t>
      </w:r>
      <w:r w:rsidR="008B4950">
        <w:t>w swoich funkcjach</w:t>
      </w:r>
      <w:r>
        <w:t xml:space="preserve"> lub spośród sędziów trzeciej instancji.</w:t>
      </w:r>
    </w:p>
    <w:p w14:paraId="0353701D" w14:textId="77777777" w:rsidR="00F5142C" w:rsidRPr="00DB5C9E" w:rsidRDefault="00445208" w:rsidP="00DB5C9E">
      <w:pPr>
        <w:pStyle w:val="JuQuot"/>
      </w:pPr>
      <w:r>
        <w:t>2) Na wniosek Sędziego Naczelnego Rada Sądownictwa na posiedzeniu plenarnym powołuje spośród przedstawicieli sądownictwa zastępcę Sędziego Naczelnego, który zastępuje go w każdym przypadku, gdy Sędzia Naczelny jest pozbawiony możliwości wykonywania swoich obowiązków. Sędzia Naczelny może przekazać zastępcy wykonywanie swoich uprawnień. W przypadku zgonu Sędziego Naczelnego lub jego trwałej niezdolności do wykonywania obowiązków zastępca wykonuje jego obowiązki do czasu powołania następcy.</w:t>
      </w:r>
    </w:p>
    <w:p w14:paraId="3300B472" w14:textId="5436A4CC" w:rsidR="00F5142C" w:rsidRPr="00DB5C9E" w:rsidRDefault="00445208" w:rsidP="00DB5C9E">
      <w:pPr>
        <w:pStyle w:val="JuQuot"/>
      </w:pPr>
      <w:r>
        <w:t>3) Jeżeli w wyjątkowych okolicznościach w sferze wymiaru sprawiedliwości pilnie wymagane są konkretne, szczególne umiejętności zawodowe i doświadczenia, Rada Sądownictwa może powołać Naczelnika (</w:t>
      </w:r>
      <w:proofErr w:type="spellStart"/>
      <w:r>
        <w:rPr>
          <w:i/>
          <w:iCs/>
        </w:rPr>
        <w:t>Dirigente</w:t>
      </w:r>
      <w:proofErr w:type="spellEnd"/>
      <w:r>
        <w:t>), osobę spoza sądownictwa Republiki San Marino o nieposzlakowanej opinii i wybitnych kompetencjach w</w:t>
      </w:r>
      <w:r w:rsidR="00C1208C">
        <w:t> </w:t>
      </w:r>
      <w:r>
        <w:t>zakresie kierowania strukturami i organami, na okres wyznaczony przez samą Radę Sądownictwa, w tym na okres krótszy niż pięć lat.</w:t>
      </w:r>
    </w:p>
    <w:p w14:paraId="3D173DD4" w14:textId="3EBF9458" w:rsidR="00F5142C" w:rsidRPr="00DB5C9E" w:rsidRDefault="00445208" w:rsidP="00DB5C9E">
      <w:pPr>
        <w:pStyle w:val="JuQuot"/>
      </w:pPr>
      <w:r>
        <w:t>4) Naczelnik powołany zgodnie z poprzednim ustępem jest z urzędu członkiem Rady Sądownictwa w składzie obradującym na posiedzeniach zarówno zwykłych, jak i</w:t>
      </w:r>
      <w:r w:rsidR="00C1208C">
        <w:t> </w:t>
      </w:r>
      <w:r>
        <w:t>plenarnych. Pełni on funkcje i obowiązki przewidziane w ustawach regulujących system sądownictwa i w innych ustawach dla Sędziego Naczelnego, w tym prerogatywy, o których mowa w niniejszym artykule.</w:t>
      </w:r>
    </w:p>
    <w:p w14:paraId="3FABB247" w14:textId="77777777" w:rsidR="00F5142C" w:rsidRPr="00DB5C9E" w:rsidRDefault="00445208" w:rsidP="00DB5C9E">
      <w:pPr>
        <w:pStyle w:val="JuQuot"/>
      </w:pPr>
      <w:r>
        <w:t>[…]”.</w:t>
      </w:r>
    </w:p>
    <w:p w14:paraId="38E3137A" w14:textId="77777777" w:rsidR="00F5142C" w:rsidRPr="00DB5C9E" w:rsidRDefault="00445208" w:rsidP="00DB5C9E">
      <w:pPr>
        <w:pStyle w:val="JuHArticle"/>
      </w:pPr>
      <w:r>
        <w:t>Artykuł 7</w:t>
      </w:r>
    </w:p>
    <w:p w14:paraId="7A6F064F" w14:textId="26BDB2BF" w:rsidR="00F5142C" w:rsidRPr="00DB5C9E" w:rsidRDefault="00445208" w:rsidP="00DB5C9E">
      <w:pPr>
        <w:pStyle w:val="JuQuot"/>
      </w:pPr>
      <w:r>
        <w:t xml:space="preserve">5) W skład Rady Sądownictwa obradującej na posiedzeniu plenarnym wchodzą Minister Sprawiedliwości, Sędzia Naczelny, dziesięcioro parlamentarzystów będących członkami Stałej Parlamentarnej Komisji Wymiaru Sprawiedliwości oraz przedstawiciele sądownictwa w liczbie równej parlamentarzystom będącym członkami Stałej Parlamentarnej Komisji Wymiaru Sprawiedliwości. Wśród przedstawicieli sądownictwa zasiadających w Radzie Sądownictwa obradującej na posiedzeniu plenarnym jest dwoje sędziów trzeciej instancji, troje sędziów apelacyjnych i </w:t>
      </w:r>
      <w:proofErr w:type="spellStart"/>
      <w:r>
        <w:t>pięcioro</w:t>
      </w:r>
      <w:r w:rsidR="00010982">
        <w:t>CoL</w:t>
      </w:r>
      <w:proofErr w:type="spellEnd"/>
      <w:r>
        <w:t xml:space="preserve">. Sędziów apelacyjnych i </w:t>
      </w:r>
      <w:proofErr w:type="spellStart"/>
      <w:r w:rsidR="00010982">
        <w:t>CoL</w:t>
      </w:r>
      <w:r>
        <w:t>wybiera</w:t>
      </w:r>
      <w:proofErr w:type="spellEnd"/>
      <w:r>
        <w:t xml:space="preserve"> się spośród tych zatwierdzonych w swojej funkcji na czas nieoznaczony i mających najdłuższy staż; w</w:t>
      </w:r>
      <w:r w:rsidR="00C1208C">
        <w:t> </w:t>
      </w:r>
      <w:r>
        <w:t xml:space="preserve">przypadku równego stażu o kolejności wyboru decyduje wiek. W celu zachowania zgodności z niniejszym ustępem, jeżeli liczba przedstawicieli sądownictwa jest mniejsza w stosunku do liczby parlamentarzystów będących członkami Stałej Parlamentarnej Komisji Wymiaru Sprawiedliwości, Rada zostaje obsadzona przedstawicielami sądownictwa tej samej instancji, co nieobecni, lub, jeżeli ich liczba jest nadal mniejsza, </w:t>
      </w:r>
      <w:proofErr w:type="spellStart"/>
      <w:r w:rsidR="00010982">
        <w:t>CoL</w:t>
      </w:r>
      <w:proofErr w:type="spellEnd"/>
      <w:r>
        <w:t xml:space="preserve">, nawet w przypadku, gdy nie zostali jeszcze zatwierdzeni </w:t>
      </w:r>
      <w:r w:rsidR="008B4950">
        <w:t xml:space="preserve">w </w:t>
      </w:r>
      <w:r>
        <w:t>swoich funkcjach na czas nieoznaczony, wybieranymi wedle długości stażu; w przypadku równego stażu o kolejności wyboru decyduje wiek.”</w:t>
      </w:r>
    </w:p>
    <w:p w14:paraId="1052007C" w14:textId="77777777" w:rsidR="00F5142C" w:rsidRPr="00DB5C9E" w:rsidRDefault="00445208" w:rsidP="00DB5C9E">
      <w:pPr>
        <w:pStyle w:val="JuH1"/>
      </w:pPr>
      <w:r>
        <w:t>W brzmieniu zmienionym w 2020 r.</w:t>
      </w:r>
    </w:p>
    <w:bookmarkStart w:id="24" w:name="paragraph00060"/>
    <w:p w14:paraId="34E94B39" w14:textId="34E273A8" w:rsidR="00F5142C" w:rsidRPr="00DB5C9E" w:rsidRDefault="00445208" w:rsidP="00DB5C9E">
      <w:pPr>
        <w:pStyle w:val="JuPara"/>
      </w:pPr>
      <w:r w:rsidRPr="00DB5C9E">
        <w:fldChar w:fldCharType="begin"/>
      </w:r>
      <w:r w:rsidRPr="00DB5C9E">
        <w:instrText xml:space="preserve"> SEQ level0 \*arabic \* MERGEFORMAT </w:instrText>
      </w:r>
      <w:r w:rsidRPr="00DB5C9E">
        <w:fldChar w:fldCharType="separate"/>
      </w:r>
      <w:r w:rsidR="00446BA2">
        <w:rPr>
          <w:noProof/>
        </w:rPr>
        <w:t>60</w:t>
      </w:r>
      <w:r w:rsidRPr="00DB5C9E">
        <w:fldChar w:fldCharType="end"/>
      </w:r>
      <w:bookmarkEnd w:id="24"/>
      <w:r>
        <w:t>.  W zakresie mającym znaczenie dla sprawy artykułem 2 i 4 ustawy kwalifikowanej nr 1/2020 (z dnia 20 lutego 2020 r.)</w:t>
      </w:r>
      <w:r w:rsidR="009E6743">
        <w:t xml:space="preserve"> o składzie Ra</w:t>
      </w:r>
      <w:r>
        <w:t>dy Sądownictwa na posiedzeniu plenarnym, dodatkowo zmieniono art. 6 i 7 ustawy kwalifikowanej nr 145/2003, nadając im następujące brzmienie:</w:t>
      </w:r>
    </w:p>
    <w:p w14:paraId="74F789B1" w14:textId="77777777" w:rsidR="00F5142C" w:rsidRPr="00DB5C9E" w:rsidRDefault="00445208" w:rsidP="00DB5C9E">
      <w:pPr>
        <w:pStyle w:val="JuHArticle"/>
      </w:pPr>
      <w:r>
        <w:lastRenderedPageBreak/>
        <w:t>Artykuł 6 (Sędzia Naczelny)</w:t>
      </w:r>
    </w:p>
    <w:p w14:paraId="576A5026" w14:textId="20F51D27" w:rsidR="00F5142C" w:rsidRPr="00DB5C9E" w:rsidRDefault="00445208" w:rsidP="00DB5C9E">
      <w:pPr>
        <w:pStyle w:val="JuQuot"/>
      </w:pPr>
      <w:r>
        <w:t>4) Naczelnik, osoba niebędąca przedstawicielem sądownictwa, powołana zgodnie z</w:t>
      </w:r>
      <w:r w:rsidR="00C1208C">
        <w:t> </w:t>
      </w:r>
      <w:r>
        <w:t>poprzednim ustępem, uczestniczy w obradach Rady Sądownictwa bez prawa głosu, na posiedzeniach zarówno zwykłych, jak i plenarnych. Pełni on funkcje i obowiązki przewidziane w ustawach regulujących system sądownictwa i w innych ustawach dla Sędziego Naczelnego, w tym prerogatywy, o których mowa w niniejszym artykule.</w:t>
      </w:r>
    </w:p>
    <w:p w14:paraId="24919D98" w14:textId="77777777" w:rsidR="00F5142C" w:rsidRPr="00DB5C9E" w:rsidRDefault="00445208" w:rsidP="00DB5C9E">
      <w:pPr>
        <w:pStyle w:val="JuHArticle"/>
      </w:pPr>
      <w:r>
        <w:t>Artykuł 7</w:t>
      </w:r>
    </w:p>
    <w:p w14:paraId="01579741" w14:textId="179B8536" w:rsidR="00F5142C" w:rsidRPr="00DB5C9E" w:rsidRDefault="00445208" w:rsidP="00DB5C9E">
      <w:pPr>
        <w:pStyle w:val="JuQuot"/>
      </w:pPr>
      <w:r>
        <w:t xml:space="preserve">5) W skład Rady Sądownictwa obradującej na posiedzeniu plenarnym wchodzą członkowie Parlamentarnej Komisji Wymiaru Sprawiedliwości, Minister Sprawiedliwości, sędziowie trzeciej instancji, troje sędziów apelacyjnych, pięcioro </w:t>
      </w:r>
      <w:proofErr w:type="spellStart"/>
      <w:r w:rsidR="00816DD8">
        <w:t>CoL</w:t>
      </w:r>
      <w:r>
        <w:t>oraz</w:t>
      </w:r>
      <w:proofErr w:type="spellEnd"/>
      <w:r>
        <w:t xml:space="preserve"> Sędzia Naczelny. Sędziów apelacyjnych i </w:t>
      </w:r>
      <w:proofErr w:type="spellStart"/>
      <w:r w:rsidR="00816DD8">
        <w:t>CoL</w:t>
      </w:r>
      <w:r>
        <w:t>wybiera</w:t>
      </w:r>
      <w:proofErr w:type="spellEnd"/>
      <w:r>
        <w:t xml:space="preserve"> się spośród tych zatwierdzonych w swojej funkcji na czas nieoznaczony i</w:t>
      </w:r>
      <w:r w:rsidR="00C1208C">
        <w:t> </w:t>
      </w:r>
      <w:r>
        <w:t>mających najdłuższy staż</w:t>
      </w:r>
      <w:r w:rsidR="00C1208C">
        <w:t>;</w:t>
      </w:r>
      <w:r>
        <w:t xml:space="preserve"> w przypadku równego stażu o kolejności wyboru decyduje wiek. Jeżeli nie ma trojga sędziów apelacyjnych zatwierdzonych w swojej funkcji na</w:t>
      </w:r>
      <w:r w:rsidR="00C1208C">
        <w:t> </w:t>
      </w:r>
      <w:r>
        <w:t xml:space="preserve">czas nieoznaczony, Rada obsadzana jest </w:t>
      </w:r>
      <w:proofErr w:type="spellStart"/>
      <w:r w:rsidR="00816DD8">
        <w:t>CoL</w:t>
      </w:r>
      <w:proofErr w:type="spellEnd"/>
      <w:r w:rsidR="00816DD8">
        <w:t xml:space="preserve"> </w:t>
      </w:r>
      <w:r>
        <w:t>zatwierdzonymi w</w:t>
      </w:r>
      <w:r w:rsidR="00C1208C">
        <w:t> </w:t>
      </w:r>
      <w:r>
        <w:t>swojej funkcji na czas nieoznaczony. Liczba przedstawicieli sądownictwa z prawem głosu jest zawsze równa liczbie pozostałych członków z prawem głosu. W przypadku braku przedstawicieli sądownictwa zatwierdzonych w swojej funkcji na czas nieoznaczony Rada obsadzana jest przedstawicielami sądownictwa zatrudnionymi na</w:t>
      </w:r>
      <w:r w:rsidR="00C1208C">
        <w:t> </w:t>
      </w:r>
      <w:r>
        <w:t>czas oznaczony, przy czym pierwszeństwo mają przedstawiciele sądownictwa tej samej instancji, [co nieobecni,] wybierani wedle długości stażu; w przypadku równego stażu o kolejności wyboru decyduje wiek.”</w:t>
      </w:r>
    </w:p>
    <w:bookmarkStart w:id="25" w:name="paragraph00061"/>
    <w:p w14:paraId="18525396" w14:textId="77777777" w:rsidR="00F5142C" w:rsidRPr="00DB5C9E" w:rsidRDefault="00445208" w:rsidP="00DB5C9E">
      <w:pPr>
        <w:pStyle w:val="JuPara"/>
      </w:pPr>
      <w:r w:rsidRPr="00DB5C9E">
        <w:fldChar w:fldCharType="begin"/>
      </w:r>
      <w:r w:rsidRPr="00DB5C9E">
        <w:instrText xml:space="preserve"> SEQ level0 \*arabic \* MERGEFORMAT </w:instrText>
      </w:r>
      <w:r w:rsidRPr="00DB5C9E">
        <w:fldChar w:fldCharType="separate"/>
      </w:r>
      <w:r w:rsidR="00446BA2">
        <w:rPr>
          <w:noProof/>
        </w:rPr>
        <w:t>61</w:t>
      </w:r>
      <w:r w:rsidRPr="00DB5C9E">
        <w:fldChar w:fldCharType="end"/>
      </w:r>
      <w:bookmarkEnd w:id="25"/>
      <w:r>
        <w:t>.  Artykuł 3 ustawy kwalifikowanej nr 1/2020, zwany przepisem autentycznej wykładni, stanowił również, że art. 7 ust. 5 ustawy nr 145/2003 i dalsze jego zmiany należy interpretować w ten sposób, że:</w:t>
      </w:r>
    </w:p>
    <w:p w14:paraId="295D5319" w14:textId="1F345064" w:rsidR="00F5142C" w:rsidRPr="00DB5C9E" w:rsidRDefault="00445208" w:rsidP="00DB5C9E">
      <w:pPr>
        <w:pStyle w:val="JuQuot"/>
      </w:pPr>
      <w:r>
        <w:t>„W Radzie Sądownictwa obradującej na posiedzeniu plenarnym zasiadają przede wszystkim przedstawiciele sądownictwa zatwierdzeni w swojej funkcji na czas nieoznaczony, to znaczy tacy, którzy przeszli ewentualny okres próbny. Tylko w</w:t>
      </w:r>
      <w:r w:rsidR="00C1208C">
        <w:t> </w:t>
      </w:r>
      <w:r>
        <w:t>przypadku, gdy liczba przedstawicieli sądownictwa zatwierdzonych w swojej funkcji na czas nieoznaczony jest niższa od liczby pozostałych członków, Rada Sądownictwa obradująca na posiedzeniu plenarnym zostaje obsadzona zgodnie z innymi kryteriami określonymi w ustawie.”</w:t>
      </w:r>
    </w:p>
    <w:bookmarkStart w:id="26" w:name="paragraph00062"/>
    <w:p w14:paraId="7C49AE7F" w14:textId="77777777" w:rsidR="00F5142C" w:rsidRPr="00DB5C9E" w:rsidRDefault="00445208" w:rsidP="00DB5C9E">
      <w:pPr>
        <w:pStyle w:val="JuPara"/>
      </w:pPr>
      <w:r w:rsidRPr="00DB5C9E">
        <w:fldChar w:fldCharType="begin"/>
      </w:r>
      <w:r w:rsidRPr="00DB5C9E">
        <w:instrText xml:space="preserve"> SEQ level0 \*arabic \* MERGEFORMAT </w:instrText>
      </w:r>
      <w:r w:rsidRPr="00DB5C9E">
        <w:fldChar w:fldCharType="separate"/>
      </w:r>
      <w:r w:rsidR="00446BA2">
        <w:rPr>
          <w:noProof/>
        </w:rPr>
        <w:t>62</w:t>
      </w:r>
      <w:r w:rsidRPr="00DB5C9E">
        <w:fldChar w:fldCharType="end"/>
      </w:r>
      <w:bookmarkEnd w:id="26"/>
      <w:r>
        <w:t xml:space="preserve">.  Ustawa kwalifikowana nr 1/2020 już nie obowiązuje (z wyjątkiem art. 10); została ona uchylona na mocy ustawy konstytucyjnej nr 1/2021 (zob. par. </w:t>
      </w:r>
      <w:r w:rsidRPr="00DB5C9E">
        <w:fldChar w:fldCharType="begin"/>
      </w:r>
      <w:r w:rsidRPr="00DB5C9E">
        <w:instrText xml:space="preserve">REF paragraph00056 \h \* CharFormat </w:instrText>
      </w:r>
      <w:r w:rsidRPr="00DB5C9E">
        <w:fldChar w:fldCharType="separate"/>
      </w:r>
      <w:r w:rsidR="00446BA2">
        <w:t>56</w:t>
      </w:r>
      <w:r w:rsidRPr="00DB5C9E">
        <w:fldChar w:fldCharType="end"/>
      </w:r>
      <w:r>
        <w:t xml:space="preserve"> powyżej) w kontekście kolejnej reformy prawa.</w:t>
      </w:r>
    </w:p>
    <w:p w14:paraId="31B8407A" w14:textId="77777777" w:rsidR="00F5142C" w:rsidRPr="00DB5C9E" w:rsidRDefault="00445208" w:rsidP="00DB5C9E">
      <w:pPr>
        <w:pStyle w:val="JuHA"/>
      </w:pPr>
      <w:r>
        <w:t>Ustawa nr 55/2003</w:t>
      </w:r>
    </w:p>
    <w:bookmarkStart w:id="27" w:name="paragraph00063"/>
    <w:p w14:paraId="048E4DA2" w14:textId="616AF295" w:rsidR="00F5142C" w:rsidRPr="00DB5C9E" w:rsidRDefault="00445208" w:rsidP="00DB5C9E">
      <w:pPr>
        <w:pStyle w:val="JuPara"/>
      </w:pPr>
      <w:r w:rsidRPr="00DB5C9E">
        <w:fldChar w:fldCharType="begin"/>
      </w:r>
      <w:r w:rsidRPr="00DB5C9E">
        <w:instrText xml:space="preserve"> SEQ level0 \*arabic \* MERGEFORMAT </w:instrText>
      </w:r>
      <w:r w:rsidRPr="00DB5C9E">
        <w:fldChar w:fldCharType="separate"/>
      </w:r>
      <w:r w:rsidR="00446BA2">
        <w:rPr>
          <w:noProof/>
        </w:rPr>
        <w:t>63</w:t>
      </w:r>
      <w:r w:rsidRPr="00DB5C9E">
        <w:fldChar w:fldCharType="end"/>
      </w:r>
      <w:bookmarkEnd w:id="27"/>
      <w:r>
        <w:t>.  Ustawa nr 55/2003</w:t>
      </w:r>
      <w:r w:rsidR="009E6743">
        <w:t xml:space="preserve"> o </w:t>
      </w:r>
      <w:r>
        <w:t>postępowani</w:t>
      </w:r>
      <w:r w:rsidR="009E6743">
        <w:t>u</w:t>
      </w:r>
      <w:r>
        <w:t xml:space="preserve"> przed Trybunałem Konstytucyjnym, w zakresie istotnym dla niniejszej sprawy, stanowi, co</w:t>
      </w:r>
      <w:r w:rsidR="00C1208C">
        <w:t> </w:t>
      </w:r>
      <w:r>
        <w:t>następuje:</w:t>
      </w:r>
    </w:p>
    <w:p w14:paraId="6244F400" w14:textId="77777777" w:rsidR="00F5142C" w:rsidRPr="00DB5C9E" w:rsidRDefault="00445208" w:rsidP="00DB5C9E">
      <w:pPr>
        <w:pStyle w:val="JuHArticle"/>
      </w:pPr>
      <w:r>
        <w:t>Artykuł 11 (kontrola sądowa konstytucyjności)</w:t>
      </w:r>
    </w:p>
    <w:p w14:paraId="0A518E07" w14:textId="77777777" w:rsidR="00F5142C" w:rsidRPr="00DB5C9E" w:rsidRDefault="00445208" w:rsidP="00DB5C9E">
      <w:pPr>
        <w:pStyle w:val="JuQuot"/>
        <w:rPr>
          <w:i/>
          <w:iCs/>
        </w:rPr>
      </w:pPr>
      <w:r>
        <w:t xml:space="preserve">„1. Kontrola konstytucyjności, o której mowa w art. 16 Deklaracji praw obywateli, może zostać przeprowadzona w następstwie wniesienia skargi bezpośredniej lub skargi </w:t>
      </w:r>
      <w:r>
        <w:lastRenderedPageBreak/>
        <w:t>dotyczącej kwestii wpadkowych w ramach postępowania toczącego się przed organami sądowymi.</w:t>
      </w:r>
    </w:p>
    <w:p w14:paraId="75C256D7" w14:textId="77777777" w:rsidR="00F5142C" w:rsidRPr="00DB5C9E" w:rsidRDefault="00445208" w:rsidP="00DB5C9E">
      <w:pPr>
        <w:pStyle w:val="JuQuot"/>
      </w:pPr>
      <w:r>
        <w:t>[…]”.</w:t>
      </w:r>
    </w:p>
    <w:p w14:paraId="3B8A6E11" w14:textId="77777777" w:rsidR="00F5142C" w:rsidRPr="00DB5C9E" w:rsidRDefault="00445208" w:rsidP="00DB5C9E">
      <w:pPr>
        <w:pStyle w:val="JuHArticle"/>
      </w:pPr>
      <w:r>
        <w:t>Artykuł 12 (skarga bezpośrednia)</w:t>
      </w:r>
    </w:p>
    <w:p w14:paraId="48AD54AC" w14:textId="77777777" w:rsidR="00F5142C" w:rsidRPr="00DB5C9E" w:rsidRDefault="00445208" w:rsidP="00DB5C9E">
      <w:pPr>
        <w:pStyle w:val="JuQuot"/>
      </w:pPr>
      <w:r>
        <w:t xml:space="preserve">1. Bezpośrednią kontrolę zgodności z prawem może zażądać co najmniej dwadzieścioro Radnych, Rząd (Kongres Stanu – </w:t>
      </w:r>
      <w:proofErr w:type="spellStart"/>
      <w:r>
        <w:rPr>
          <w:i/>
          <w:iCs/>
        </w:rPr>
        <w:t>Congresso</w:t>
      </w:r>
      <w:proofErr w:type="spellEnd"/>
      <w:r>
        <w:rPr>
          <w:i/>
          <w:iCs/>
        </w:rPr>
        <w:t xml:space="preserve"> di </w:t>
      </w:r>
      <w:proofErr w:type="spellStart"/>
      <w:r>
        <w:rPr>
          <w:i/>
          <w:iCs/>
        </w:rPr>
        <w:t>Stato</w:t>
      </w:r>
      <w:proofErr w:type="spellEnd"/>
      <w:r>
        <w:t xml:space="preserve">), pięć Rad Regionalnych (Rad Zamkowych – </w:t>
      </w:r>
      <w:proofErr w:type="spellStart"/>
      <w:r>
        <w:rPr>
          <w:i/>
          <w:iCs/>
        </w:rPr>
        <w:t>Giunte</w:t>
      </w:r>
      <w:proofErr w:type="spellEnd"/>
      <w:r>
        <w:rPr>
          <w:i/>
          <w:iCs/>
        </w:rPr>
        <w:t xml:space="preserve"> di Castello</w:t>
      </w:r>
      <w:r>
        <w:t>), Komisja Równych Szans lub obywatele w liczbie stanowiącej co najmniej 1,5% elektoratu, określonej na podstawie ostatniej definitywnej rewizji spisów wyborczych.</w:t>
      </w:r>
    </w:p>
    <w:p w14:paraId="3C9623CD" w14:textId="77777777" w:rsidR="00F5142C" w:rsidRPr="00DB5C9E" w:rsidRDefault="00445208" w:rsidP="00DB5C9E">
      <w:pPr>
        <w:pStyle w:val="JuQuot"/>
      </w:pPr>
      <w:r>
        <w:t>[…]”.</w:t>
      </w:r>
    </w:p>
    <w:p w14:paraId="66E836BA" w14:textId="77777777" w:rsidR="00F5142C" w:rsidRPr="00DB5C9E" w:rsidRDefault="00445208" w:rsidP="00DB5C9E">
      <w:pPr>
        <w:pStyle w:val="JuHArticle"/>
      </w:pPr>
      <w:r>
        <w:t>Artykuł 13 (skarga dotycząca kwestii wpadkowych)</w:t>
      </w:r>
    </w:p>
    <w:p w14:paraId="758873CE" w14:textId="3FE73F4D" w:rsidR="00F5142C" w:rsidRPr="00DB5C9E" w:rsidRDefault="00445208" w:rsidP="00DB5C9E">
      <w:pPr>
        <w:pStyle w:val="JuQuot"/>
      </w:pPr>
      <w:r>
        <w:t>1. Wniosek o kontrolę konstytucyjności w drodze skargi dotyczącej kwestii wpadkowych (</w:t>
      </w:r>
      <w:proofErr w:type="spellStart"/>
      <w:r>
        <w:rPr>
          <w:i/>
          <w:iCs/>
        </w:rPr>
        <w:t>incidentale</w:t>
      </w:r>
      <w:proofErr w:type="spellEnd"/>
      <w:r>
        <w:t xml:space="preserve">) mogą wnieść, w ramach postępowania toczącego się przed organami jurysdykcyjnymi Republiki, strony postępowania lub prokurator Skarbu Państwa – za pośrednictwem wniosku </w:t>
      </w:r>
      <w:r>
        <w:rPr>
          <w:i/>
          <w:iCs/>
        </w:rPr>
        <w:t>ad hoc</w:t>
      </w:r>
      <w:r>
        <w:t xml:space="preserve"> na piśmie – lub też sędzia – z urzędu, uzasadnion</w:t>
      </w:r>
      <w:r w:rsidR="00C1208C">
        <w:t>ym</w:t>
      </w:r>
      <w:r>
        <w:t xml:space="preserve"> zarządzeni</w:t>
      </w:r>
      <w:r w:rsidR="00C1208C">
        <w:t>em</w:t>
      </w:r>
      <w:r>
        <w:t>.</w:t>
      </w:r>
    </w:p>
    <w:p w14:paraId="0ECF97CE" w14:textId="77777777" w:rsidR="00F5142C" w:rsidRPr="00DB5C9E" w:rsidRDefault="00445208" w:rsidP="00DB5C9E">
      <w:pPr>
        <w:pStyle w:val="JuQuot"/>
      </w:pPr>
      <w:r>
        <w:t>[…]</w:t>
      </w:r>
    </w:p>
    <w:p w14:paraId="4CFF77F3" w14:textId="4F8FC31F" w:rsidR="00F5142C" w:rsidRPr="00DB5C9E" w:rsidRDefault="00445208" w:rsidP="00DB5C9E">
      <w:pPr>
        <w:pStyle w:val="JuQuot"/>
      </w:pPr>
      <w:r>
        <w:t>4. Skarga zostaje dołączona do akt postępowania sądowego i zakomunikowana przez stronę wnoszącą każdej zainteresowanej stronie. Sędzia wyznacza stronom oraz prokuratorowi Skarbu Państwa, jeżeli uczestniczy w sprawie, termin dwudziestu dni na</w:t>
      </w:r>
      <w:r w:rsidR="00C1208C">
        <w:t> </w:t>
      </w:r>
      <w:r>
        <w:t>przedstawienie uwag i argumentów. Po upływie tego terminu Sędzia odrzuca w</w:t>
      </w:r>
      <w:r w:rsidR="00C1208C">
        <w:t> </w:t>
      </w:r>
      <w:r>
        <w:t>zarządzeniu skargi, które są w sposób oczywisty nieuzasadnione lub obliczone na</w:t>
      </w:r>
      <w:r w:rsidR="00C1208C">
        <w:t> </w:t>
      </w:r>
      <w:r>
        <w:t>zwłokę.</w:t>
      </w:r>
    </w:p>
    <w:p w14:paraId="7FA9955E" w14:textId="77777777" w:rsidR="00F5142C" w:rsidRPr="00DB5C9E" w:rsidRDefault="00445208" w:rsidP="00DB5C9E">
      <w:pPr>
        <w:pStyle w:val="JuQuot"/>
      </w:pPr>
      <w:r>
        <w:t>[…]”.</w:t>
      </w:r>
    </w:p>
    <w:p w14:paraId="27D42D2A" w14:textId="77777777" w:rsidR="00F5142C" w:rsidRPr="00DB5C9E" w:rsidRDefault="00445208" w:rsidP="00DB5C9E">
      <w:pPr>
        <w:pStyle w:val="JuHA"/>
      </w:pPr>
      <w:r>
        <w:t>Ustawa nr 160/2011</w:t>
      </w:r>
    </w:p>
    <w:bookmarkStart w:id="28" w:name="paragraph00064"/>
    <w:p w14:paraId="11D55B09" w14:textId="1F794800" w:rsidR="00F5142C" w:rsidRPr="00DB5C9E" w:rsidRDefault="00445208" w:rsidP="00DB5C9E">
      <w:pPr>
        <w:pStyle w:val="JuPara"/>
      </w:pPr>
      <w:r w:rsidRPr="00DB5C9E">
        <w:fldChar w:fldCharType="begin"/>
      </w:r>
      <w:r w:rsidRPr="00DB5C9E">
        <w:instrText xml:space="preserve"> SEQ level0 \*arabic \* MERGEFORMAT </w:instrText>
      </w:r>
      <w:r w:rsidRPr="00DB5C9E">
        <w:fldChar w:fldCharType="separate"/>
      </w:r>
      <w:r w:rsidR="00446BA2">
        <w:rPr>
          <w:noProof/>
        </w:rPr>
        <w:t>64</w:t>
      </w:r>
      <w:r w:rsidRPr="00DB5C9E">
        <w:fldChar w:fldCharType="end"/>
      </w:r>
      <w:bookmarkEnd w:id="28"/>
      <w:r>
        <w:t>.  Ustawa nr 160/2011</w:t>
      </w:r>
      <w:r w:rsidR="009E6743">
        <w:t xml:space="preserve"> o postępowaniu administracyjnym i dostępie </w:t>
      </w:r>
      <w:r>
        <w:t>do</w:t>
      </w:r>
      <w:r w:rsidR="00C1208C">
        <w:t> </w:t>
      </w:r>
      <w:r>
        <w:t>dokumentów administracyjnych, w zakresie istotnym dla niniejszej sprawy, stanowi, co następuje:</w:t>
      </w:r>
    </w:p>
    <w:p w14:paraId="41121347" w14:textId="77777777" w:rsidR="00F5142C" w:rsidRPr="00DB5C9E" w:rsidRDefault="00445208" w:rsidP="00DB5C9E">
      <w:pPr>
        <w:pStyle w:val="JuHArticle"/>
      </w:pPr>
      <w:r>
        <w:t>Artykuł 44</w:t>
      </w:r>
    </w:p>
    <w:p w14:paraId="6D7A6EAC" w14:textId="37548BE9" w:rsidR="00F5142C" w:rsidRPr="00DB5C9E" w:rsidRDefault="00C1208C" w:rsidP="00DB5C9E">
      <w:pPr>
        <w:pStyle w:val="JuQuot"/>
      </w:pPr>
      <w:r>
        <w:t>„Środek administracyjny, który jest niezgodny z prawem w wyniku naruszenia przepisów prawa, nadużycia władzy lub brakiem właściwości, może zostać unieważniony z urzędu ze względów interesu publicznego przez organ, który go przyjął, lub przez inny organ przewidziany przez ustawę, w rozsądnym terminie i z uwzględnieniem interesów adresatów.</w:t>
      </w:r>
    </w:p>
    <w:p w14:paraId="0CF49B32" w14:textId="7E52CC70" w:rsidR="00F5142C" w:rsidRPr="00DB5C9E" w:rsidRDefault="00445208" w:rsidP="00DB5C9E">
      <w:pPr>
        <w:pStyle w:val="JuQuot"/>
      </w:pPr>
      <w:r>
        <w:t>Możliwość zatwierdzenia środka, który może zostać unieważniony ze względów interesu publicznego, w rozsądnym terminie, pozostaje nienaruszona.</w:t>
      </w:r>
      <w:r w:rsidR="00C1208C">
        <w:t>”</w:t>
      </w:r>
    </w:p>
    <w:p w14:paraId="1EF2976C" w14:textId="77777777" w:rsidR="00F5142C" w:rsidRPr="00DB5C9E" w:rsidRDefault="00445208" w:rsidP="00DB5C9E">
      <w:pPr>
        <w:pStyle w:val="JuHA"/>
      </w:pPr>
      <w:r>
        <w:t>Ustawa nr 68/1989</w:t>
      </w:r>
    </w:p>
    <w:bookmarkStart w:id="29" w:name="paragraph00065"/>
    <w:p w14:paraId="5BA7BDEF" w14:textId="2289499E" w:rsidR="00F5142C" w:rsidRPr="00DB5C9E" w:rsidRDefault="00445208" w:rsidP="00DB5C9E">
      <w:pPr>
        <w:pStyle w:val="JuPara"/>
      </w:pPr>
      <w:r w:rsidRPr="00DB5C9E">
        <w:fldChar w:fldCharType="begin"/>
      </w:r>
      <w:r w:rsidRPr="00DB5C9E">
        <w:instrText xml:space="preserve"> SEQ level0 \*arabic \* MERGEFORMAT </w:instrText>
      </w:r>
      <w:r w:rsidRPr="00DB5C9E">
        <w:fldChar w:fldCharType="separate"/>
      </w:r>
      <w:r w:rsidR="00446BA2">
        <w:rPr>
          <w:noProof/>
        </w:rPr>
        <w:t>65</w:t>
      </w:r>
      <w:r w:rsidRPr="00DB5C9E">
        <w:fldChar w:fldCharType="end"/>
      </w:r>
      <w:bookmarkEnd w:id="29"/>
      <w:r>
        <w:t>.  Ustawa nr 68/1989</w:t>
      </w:r>
      <w:r w:rsidR="009E6743">
        <w:t xml:space="preserve"> o</w:t>
      </w:r>
      <w:r>
        <w:t xml:space="preserve"> właściwości w sprawach administracyjnych, w</w:t>
      </w:r>
      <w:r w:rsidR="00C1208C">
        <w:t> </w:t>
      </w:r>
      <w:r>
        <w:t>zakresie istotnym dla sprawy, stanowi, co następuje:</w:t>
      </w:r>
    </w:p>
    <w:p w14:paraId="4D2E6067" w14:textId="77777777" w:rsidR="00F5142C" w:rsidRPr="00DB5C9E" w:rsidRDefault="00445208" w:rsidP="00DB5C9E">
      <w:pPr>
        <w:pStyle w:val="JuHArticle"/>
      </w:pPr>
      <w:r>
        <w:lastRenderedPageBreak/>
        <w:t>Artykuł 9</w:t>
      </w:r>
    </w:p>
    <w:p w14:paraId="07351C73" w14:textId="52569A5E" w:rsidR="00F5142C" w:rsidRPr="00DB5C9E" w:rsidRDefault="00445208" w:rsidP="00DB5C9E">
      <w:pPr>
        <w:pStyle w:val="JuQuot"/>
      </w:pPr>
      <w:r>
        <w:t>„Organy właściwe do rozpoznawania spraw administracyjnych są powołane do</w:t>
      </w:r>
      <w:r w:rsidR="00C1208C">
        <w:t> </w:t>
      </w:r>
      <w:r>
        <w:t>rozstrzygania w przedmiocie zarzutów braku właściwości, przekroczenia uprawnień lub naruszenia prawa w odniesieniu do czynności lub decyzji instytucji administracji publicznej ogółem, w tym czynności organów administracyjnych Instytutu Ubezpieczeń Społecznych oraz Autonomicznych Organów i Przedsiębiorstw Państwowych, gdy czynności te dotyczą interesu osoby fizycznej lub prawnej.</w:t>
      </w:r>
    </w:p>
    <w:p w14:paraId="1B9110C4" w14:textId="66D2BB54" w:rsidR="00F5142C" w:rsidRPr="00DB5C9E" w:rsidRDefault="00445208" w:rsidP="00DB5C9E">
      <w:pPr>
        <w:pStyle w:val="JuQuot"/>
      </w:pPr>
      <w:r>
        <w:t>Dla tych drugich odbywa się to bez uszczerbku (</w:t>
      </w:r>
      <w:proofErr w:type="spellStart"/>
      <w:r>
        <w:rPr>
          <w:i/>
          <w:iCs/>
        </w:rPr>
        <w:t>fatte</w:t>
      </w:r>
      <w:proofErr w:type="spellEnd"/>
      <w:r>
        <w:rPr>
          <w:i/>
          <w:iCs/>
        </w:rPr>
        <w:t xml:space="preserve"> </w:t>
      </w:r>
      <w:proofErr w:type="spellStart"/>
      <w:r>
        <w:rPr>
          <w:i/>
          <w:iCs/>
        </w:rPr>
        <w:t>salve</w:t>
      </w:r>
      <w:proofErr w:type="spellEnd"/>
      <w:r>
        <w:t>) dla odmiennie stanowiących przepisów prawa, dotyczących dostępu do sądu w celu ustalenia praw i</w:t>
      </w:r>
      <w:r w:rsidR="00C1208C">
        <w:t> </w:t>
      </w:r>
      <w:r>
        <w:t>interesów osoby (</w:t>
      </w:r>
      <w:r>
        <w:rPr>
          <w:i/>
          <w:iCs/>
        </w:rPr>
        <w:t xml:space="preserve">tutela </w:t>
      </w:r>
      <w:proofErr w:type="spellStart"/>
      <w:r>
        <w:rPr>
          <w:i/>
          <w:iCs/>
        </w:rPr>
        <w:t>giudiziaria</w:t>
      </w:r>
      <w:proofErr w:type="spellEnd"/>
      <w:r>
        <w:t xml:space="preserve">). Czynności dotyczące zatrudnienia w sektorze publicznym rozpoznaje się w </w:t>
      </w:r>
      <w:r w:rsidR="00C1208C">
        <w:t xml:space="preserve">ramach </w:t>
      </w:r>
      <w:r>
        <w:t>spraw administracyjnych zgodnie z przepisami niniejszej ustawy. Spory dotyczące właściwości rozstrzygane są zgodnie z art. 37.”</w:t>
      </w:r>
    </w:p>
    <w:p w14:paraId="273CF065" w14:textId="77777777" w:rsidR="00F5142C" w:rsidRPr="00DB5C9E" w:rsidRDefault="00445208" w:rsidP="00DB5C9E">
      <w:pPr>
        <w:pStyle w:val="JuHArticle"/>
      </w:pPr>
      <w:r>
        <w:t>Artykuł 15</w:t>
      </w:r>
    </w:p>
    <w:p w14:paraId="67DF0737" w14:textId="1769855C" w:rsidR="00F5142C" w:rsidRPr="00DB5C9E" w:rsidRDefault="00C1208C" w:rsidP="00DB5C9E">
      <w:pPr>
        <w:pStyle w:val="JuQuot"/>
        <w:rPr>
          <w:rFonts w:ascii="Times New Roman" w:hAnsi="Times New Roman" w:cs="Times New Roman"/>
        </w:rPr>
      </w:pPr>
      <w:r>
        <w:t>„Sędzia administracyjny pierwszej instancji jest właściwy do orzekania w pierwszej instancji.</w:t>
      </w:r>
    </w:p>
    <w:p w14:paraId="7224AF7B" w14:textId="36803A81" w:rsidR="00F5142C" w:rsidRPr="00DB5C9E" w:rsidRDefault="00445208" w:rsidP="00DB5C9E">
      <w:pPr>
        <w:pStyle w:val="JuQuot"/>
        <w:rPr>
          <w:rFonts w:ascii="Times New Roman" w:hAnsi="Times New Roman" w:cs="Times New Roman"/>
        </w:rPr>
      </w:pPr>
      <w:r>
        <w:rPr>
          <w:rFonts w:ascii="Times New Roman" w:hAnsi="Times New Roman"/>
        </w:rPr>
        <w:t>Uwzględniając wniosek, sędzia stwierdza nieważność zaskarżonej czynności administracyjnej. Zasądza również od strony przegrywającej zwrot kosztów prawnych poniesionych przez inne strony, chyba że uzna, iż istnieją uzasadnione podstawy do</w:t>
      </w:r>
      <w:r w:rsidR="00AD1BB9">
        <w:rPr>
          <w:rFonts w:ascii="Times New Roman" w:hAnsi="Times New Roman"/>
        </w:rPr>
        <w:t> </w:t>
      </w:r>
      <w:r>
        <w:rPr>
          <w:rFonts w:ascii="Times New Roman" w:hAnsi="Times New Roman"/>
        </w:rPr>
        <w:t>orzeczenia o podziale kosztów.</w:t>
      </w:r>
    </w:p>
    <w:p w14:paraId="046CEE1C" w14:textId="78E402C8" w:rsidR="00F5142C" w:rsidRPr="00DB5C9E" w:rsidRDefault="00445208" w:rsidP="00DB5C9E">
      <w:pPr>
        <w:pStyle w:val="JuQuot"/>
      </w:pPr>
      <w:r>
        <w:t>W postępowaniach dotyczących służby publicznej orzeka on również, w przypadku uwzględnienia wniosku, nakaz zapłaty należności pracownika przez organy administracji publicznej, bez uszczerbku dla właściwości sędziego powszechnego w</w:t>
      </w:r>
      <w:r w:rsidR="00AD1BB9">
        <w:t> </w:t>
      </w:r>
      <w:r>
        <w:t>zakresie orzekania o ewentualnym odszkodowaniu za szkodę.</w:t>
      </w:r>
    </w:p>
    <w:p w14:paraId="61F7555A" w14:textId="77777777" w:rsidR="00F5142C" w:rsidRPr="00DB5C9E" w:rsidRDefault="00445208" w:rsidP="00DB5C9E">
      <w:pPr>
        <w:pStyle w:val="JuQuot"/>
      </w:pPr>
      <w:r>
        <w:t>[…]”.</w:t>
      </w:r>
    </w:p>
    <w:p w14:paraId="68924BD6" w14:textId="77777777" w:rsidR="00F5142C" w:rsidRPr="00DB5C9E" w:rsidRDefault="00445208" w:rsidP="00DB5C9E">
      <w:pPr>
        <w:pStyle w:val="JuHIRoman"/>
      </w:pPr>
      <w:r>
        <w:t>DOKUMENTY MIĘDZYNARODOWE</w:t>
      </w:r>
    </w:p>
    <w:p w14:paraId="4F745165" w14:textId="77777777" w:rsidR="00F5142C" w:rsidRPr="00DB5C9E" w:rsidRDefault="00445208" w:rsidP="00DB5C9E">
      <w:pPr>
        <w:pStyle w:val="JuHA"/>
      </w:pPr>
      <w:r>
        <w:t>Grupa Państw Przeciwko Korupcji („GRECO”)</w:t>
      </w:r>
    </w:p>
    <w:bookmarkStart w:id="30" w:name="paragraph00066"/>
    <w:p w14:paraId="3C6364CF" w14:textId="77777777" w:rsidR="00F5142C" w:rsidRPr="00DB5C9E" w:rsidRDefault="00445208" w:rsidP="00DB5C9E">
      <w:pPr>
        <w:pStyle w:val="JuPara"/>
        <w:rPr>
          <w:rFonts w:ascii="Times New Roman" w:eastAsia="Times New Roman" w:hAnsi="Times New Roman" w:cs="Times New Roman"/>
        </w:rPr>
      </w:pPr>
      <w:r w:rsidRPr="00DB5C9E">
        <w:fldChar w:fldCharType="begin"/>
      </w:r>
      <w:r w:rsidRPr="00DB5C9E">
        <w:instrText xml:space="preserve"> SEQ level0 \*arabic \* MERGEFORMAT </w:instrText>
      </w:r>
      <w:r w:rsidRPr="00DB5C9E">
        <w:fldChar w:fldCharType="separate"/>
      </w:r>
      <w:r w:rsidR="00446BA2">
        <w:rPr>
          <w:noProof/>
        </w:rPr>
        <w:t>66</w:t>
      </w:r>
      <w:r w:rsidRPr="00DB5C9E">
        <w:fldChar w:fldCharType="end"/>
      </w:r>
      <w:bookmarkEnd w:id="30"/>
      <w:r>
        <w:t>.  </w:t>
      </w:r>
      <w:r>
        <w:rPr>
          <w:rFonts w:ascii="Times New Roman" w:hAnsi="Times New Roman"/>
        </w:rPr>
        <w:t>Raport Grupy Państw Przeciwko Korupcji („GRECO”) – Zapobieganie korupcji wśród parlamentarzystów, sędziów i prokuratorów (Raport z oceny – Republika San Marino, 85. posiedzenie plenarne, 21-25 września 2020 r.), a w szczególności rozdział zatytułowany „Zapobieganie korupcji wśród sędziów”, który dotyczył okresu istotnego w niniejszej sprawie, w zakresie, w jakim ma znaczenie, brzmi następująco:</w:t>
      </w:r>
    </w:p>
    <w:p w14:paraId="4C1F403A" w14:textId="77777777" w:rsidR="00F5142C" w:rsidRPr="00DB5C9E" w:rsidRDefault="00445208" w:rsidP="00DB5C9E">
      <w:pPr>
        <w:pStyle w:val="JuQuot"/>
        <w:rPr>
          <w:rFonts w:eastAsia="Times New Roman"/>
        </w:rPr>
      </w:pPr>
      <w:r>
        <w:t>„</w:t>
      </w:r>
      <w:r>
        <w:rPr>
          <w:u w:val="single"/>
        </w:rPr>
        <w:t>Podstawowe informacje o systemie</w:t>
      </w:r>
    </w:p>
    <w:p w14:paraId="65EFC18B" w14:textId="77777777" w:rsidR="00F5142C" w:rsidRPr="00DB5C9E" w:rsidRDefault="00445208" w:rsidP="00DB5C9E">
      <w:pPr>
        <w:pStyle w:val="JuQuot"/>
        <w:rPr>
          <w:rFonts w:eastAsia="Times New Roman"/>
        </w:rPr>
      </w:pPr>
      <w:r>
        <w:t>[…]</w:t>
      </w:r>
    </w:p>
    <w:p w14:paraId="39E0CE7C" w14:textId="77777777" w:rsidR="00F5142C" w:rsidRPr="00DB5C9E" w:rsidRDefault="00445208" w:rsidP="00DB5C9E">
      <w:pPr>
        <w:pStyle w:val="JuQuot"/>
        <w:rPr>
          <w:rFonts w:eastAsia="Times New Roman"/>
          <w:i/>
          <w:iCs/>
        </w:rPr>
      </w:pPr>
      <w:r>
        <w:rPr>
          <w:i/>
        </w:rPr>
        <w:t>Rada Sądownictwa</w:t>
      </w:r>
    </w:p>
    <w:p w14:paraId="005E2E7D" w14:textId="77777777" w:rsidR="00F5142C" w:rsidRPr="00DB5C9E" w:rsidRDefault="00445208" w:rsidP="00DB5C9E">
      <w:pPr>
        <w:pStyle w:val="JuQuot"/>
        <w:rPr>
          <w:rFonts w:eastAsia="Times New Roman"/>
        </w:rPr>
      </w:pPr>
      <w:r>
        <w:rPr>
          <w:i/>
        </w:rPr>
        <w:t>[…]</w:t>
      </w:r>
      <w:r>
        <w:t xml:space="preserve"> [streszczenie ram prawnych wraz z ich zmianami, w tym ustawy kwalifikowanej nr 1/2020]</w:t>
      </w:r>
    </w:p>
    <w:p w14:paraId="382A10CE" w14:textId="77777777" w:rsidR="00F5142C" w:rsidRPr="00DB5C9E" w:rsidRDefault="00445208" w:rsidP="00DB5C9E">
      <w:pPr>
        <w:pStyle w:val="JuQuot"/>
      </w:pPr>
      <w:r>
        <w:t xml:space="preserve">85. GET [zespół oceniający GRECO] uważa, że konieczna jest znaczna poprawa sytuacji w odniesieniu do składu i funkcjonowania Rady Sądownictwa. Obecny system ma znaczące wady w świetle standardów międzynarodowych. Jeżeli chodzi o skład Rady Sądownictwa obradującej na posiedzeniu zwykłym, obecność Ministra </w:t>
      </w:r>
      <w:r>
        <w:lastRenderedPageBreak/>
        <w:t>Sprawiedliwości – co prawda niemającego prawa głosu – na posiedzeniach całego komponentu sędziowskiego, na których omawiana jest organizacja pracy, wydaje się problematyczna, w szczególności ze względu na kluczową demokratyczną zasadę podziału władz. GRECO wielokrotnie zalecała zniesienie rozwiązań, w których Minister Sprawiedliwości jest z urzędu członkiem rady sądownictwa.</w:t>
      </w:r>
    </w:p>
    <w:p w14:paraId="40D38CCC" w14:textId="2CEAA06F" w:rsidR="00F5142C" w:rsidRPr="00DB5C9E" w:rsidRDefault="00445208" w:rsidP="00DB5C9E">
      <w:pPr>
        <w:pStyle w:val="JuQuot"/>
      </w:pPr>
      <w:r>
        <w:t>86. Problemy są jednak bardziej poważne w odniesieniu do Rady Sądownictwa obradującej na posiedzeniu plenarnym. Na wstępie GET zauważa, że mieszany skład rad sądownictwa nie stanowi problemu sam w sobie. Jednakże w takim przypadku sędziowie powinni stanowić większość rady. Ponadto należy zachować ostrożność w</w:t>
      </w:r>
      <w:r w:rsidR="00AD1BB9">
        <w:t> </w:t>
      </w:r>
      <w:r>
        <w:t>celu zapewnienia, aby rzeczywista i postrzegana niezależność sądownictwa była nie tylko chroniona, ale także zwiększana w każdym czasie. Szczególną uwagę należy zwrócić na członkostwo polityków. W związku z tym funkcjonowanie rad sądownictwa nie powinno w ogóle dopuszczać wzajemnych powiązań większości parlamentarnych i</w:t>
      </w:r>
      <w:r w:rsidR="00AD1BB9">
        <w:t> </w:t>
      </w:r>
      <w:r>
        <w:t>powinno być wolne od jakiegokolwiek podporządkowania względom partyjnym. To</w:t>
      </w:r>
      <w:r w:rsidR="00AD1BB9">
        <w:t> </w:t>
      </w:r>
      <w:r>
        <w:t>szczególnie istotna kwestia w przypadku San Marino, gdzie liczba aktywnych polityków, powoływanych automatycznie do Rady Sądownictwa, jest równa liczbie sędziów.</w:t>
      </w:r>
    </w:p>
    <w:p w14:paraId="0ECD4DCC" w14:textId="2F1904FF" w:rsidR="00F5142C" w:rsidRPr="00DB5C9E" w:rsidRDefault="00445208" w:rsidP="00DB5C9E">
      <w:pPr>
        <w:pStyle w:val="JuQuot"/>
      </w:pPr>
      <w:r>
        <w:t>87. Ponadto GET podkreśla, że wybór członków rad sądownictwa jest momentem kluczowym dla zapewnienia przejrzystości i odpowiedzialności tego centralnego organu w ramach sądownictwa. Gdy członkowie niebędący sędziami są powoływani przez Parlament, procedura powołania musi być prowadzona w sposób przejrzysty i</w:t>
      </w:r>
      <w:r w:rsidR="00AD1BB9">
        <w:t> </w:t>
      </w:r>
      <w:r>
        <w:t>apolityczny. Zdaniem GET wymogi te trudno pogodzić z obecną procedurą, w której członkowie komisji parlamentarnej, tj. Stałej Parlamentarnej Komisji Wymiaru Sprawiedliwości, automatycznie stają się członkami Rady Sądownictwa. W praktyce zatem kryteria wyboru są bardziej związane z działalnością parlamentarną (napędzaną i motywowaną politycznie) niż z obowiązkami sędziowskimi i wiedzą sędziowską.</w:t>
      </w:r>
    </w:p>
    <w:p w14:paraId="752E3CDC" w14:textId="445217F9" w:rsidR="00F5142C" w:rsidRPr="00DB5C9E" w:rsidRDefault="00445208" w:rsidP="00DB5C9E">
      <w:pPr>
        <w:pStyle w:val="JuQuot"/>
      </w:pPr>
      <w:r>
        <w:t xml:space="preserve">88. </w:t>
      </w:r>
      <w:r w:rsidR="009F30A8">
        <w:t xml:space="preserve">Co więcej </w:t>
      </w:r>
      <w:r>
        <w:t>GET podkreśla, że zgodnie ze standardami członkowie, niezależnie od</w:t>
      </w:r>
      <w:r w:rsidR="00AD1BB9">
        <w:t> </w:t>
      </w:r>
      <w:r>
        <w:t>tego, czy są sędziami, czy nie, powinni być wybierani na podstawie kompetencji, doświadczenia, znajomości funkcjonowania wymiaru sprawiedliwości, zdolności do</w:t>
      </w:r>
      <w:r w:rsidR="00AD1BB9">
        <w:t> </w:t>
      </w:r>
      <w:r>
        <w:t>dyskusji i kultury niezależności. Ponadto sędziowie powinni być wybierani przez innych sędziów, tak aby zapewnić jak najszerszą reprezentację wszystkich szczebli sądownictwa; należy unikać wszelkiej ingerencji hierarchii sądowych w tym procesie. W San Marino podstawowym kryterium powołania do plenarnego zgromadzenia Rady Sądownictwa jest zatwierdzenie w funkcji na czas nieoznaczony. Jeśli chodzi o</w:t>
      </w:r>
      <w:r w:rsidR="00AD1BB9">
        <w:t> </w:t>
      </w:r>
      <w:r>
        <w:t>członków niebędących sędziami, oprócz obaw już wyrażonych w poprzednich punktach, nie ustalono żadnych kryteriów dotyczących ich kompetencji i kwalifikacji, poza obostrzeniem, że nie mogą być prawnikami, notariuszami lub księgowymi.</w:t>
      </w:r>
    </w:p>
    <w:p w14:paraId="09E1B524" w14:textId="77777777" w:rsidR="00F5142C" w:rsidRPr="00DB5C9E" w:rsidRDefault="00445208" w:rsidP="00DB5C9E">
      <w:pPr>
        <w:pStyle w:val="JuQuot"/>
      </w:pPr>
      <w:r>
        <w:t>89. Jeśli chodzi o funkcjonowanie Rady Sądownictwa w San Marino, nie przyjęto żadnych regulaminów wewnętrznych (…)</w:t>
      </w:r>
    </w:p>
    <w:p w14:paraId="32EEEB3D" w14:textId="77777777" w:rsidR="00F5142C" w:rsidRPr="00DB5C9E" w:rsidRDefault="00445208" w:rsidP="00DB5C9E">
      <w:pPr>
        <w:pStyle w:val="JuQuot"/>
      </w:pPr>
      <w:r>
        <w:t>[…]</w:t>
      </w:r>
    </w:p>
    <w:p w14:paraId="12C34FBD" w14:textId="24ECFFF3" w:rsidR="00F5142C" w:rsidRPr="00DB5C9E" w:rsidRDefault="00445208" w:rsidP="00DB5C9E">
      <w:pPr>
        <w:pStyle w:val="JuQuot"/>
        <w:rPr>
          <w:b/>
          <w:bCs/>
        </w:rPr>
      </w:pPr>
      <w:r>
        <w:t>91. W świetle wyżej ustalonych uchybień GET jest głęboko przekonany, że należy priorytetowo podjąć się kompleksowej reformy struktury Rady Sądownictwa. W</w:t>
      </w:r>
      <w:r w:rsidR="00AD1BB9">
        <w:t> </w:t>
      </w:r>
      <w:r>
        <w:t xml:space="preserve">związku z tym w celu ugruntowania roli Rady Sądownictwa jako gwaranta niezależności sądów i niezawisłości sędziów, </w:t>
      </w:r>
      <w:r>
        <w:rPr>
          <w:b/>
          <w:bCs/>
        </w:rPr>
        <w:t xml:space="preserve">GRECO zaleca i) zmianę składu Rady Sądownictwa poprzez zapisanie, że co najmniej połowa jej członków to sędziowie wybierani przez innych sędziów, oraz – w przypadku członków niebędących sędziami – wykluczenie członkostwa z urzędu przedstawicieli władzy wykonawczej i ustawodawczej; ii) ustanowienie obiektywnych i mierzalnych kryteriów wyboru oraz przejrzystej procedury wyboru w celu potwierdzenia kwalifikacji zawodowych i bezstronności wszystkich członków Rady </w:t>
      </w:r>
      <w:r>
        <w:rPr>
          <w:b/>
          <w:bCs/>
        </w:rPr>
        <w:lastRenderedPageBreak/>
        <w:t>Sądownictwa; oraz iii) wprowadzenie rozwiązań operacyjnych w celu zapewnienia skutecznego wykonywania funkcji Rady Sądownictwa w sposób zinstytucjonalizowany.</w:t>
      </w:r>
    </w:p>
    <w:p w14:paraId="69D6D18F" w14:textId="77777777" w:rsidR="00F5142C" w:rsidRPr="00DB5C9E" w:rsidRDefault="00445208" w:rsidP="00DB5C9E">
      <w:pPr>
        <w:pStyle w:val="JuQuot"/>
        <w:rPr>
          <w:u w:val="single"/>
        </w:rPr>
      </w:pPr>
      <w:r>
        <w:rPr>
          <w:u w:val="single"/>
        </w:rPr>
        <w:t>Nabór, kariera zawodowa oraz warunki służby</w:t>
      </w:r>
    </w:p>
    <w:p w14:paraId="71325B39" w14:textId="77777777" w:rsidR="00F5142C" w:rsidRPr="00DB5C9E" w:rsidRDefault="00445208" w:rsidP="00DB5C9E">
      <w:pPr>
        <w:pStyle w:val="JuQuot"/>
        <w:rPr>
          <w:i/>
          <w:iCs/>
        </w:rPr>
      </w:pPr>
      <w:r>
        <w:rPr>
          <w:i/>
        </w:rPr>
        <w:t>Nabór i powoływanie</w:t>
      </w:r>
    </w:p>
    <w:p w14:paraId="33E298B6" w14:textId="77777777" w:rsidR="00F5142C" w:rsidRPr="00DB5C9E" w:rsidRDefault="00445208" w:rsidP="00DB5C9E">
      <w:pPr>
        <w:pStyle w:val="JuQuot"/>
      </w:pPr>
      <w:r>
        <w:t>[…] [streszczenie ram prawnych wraz z ich zmianami]</w:t>
      </w:r>
    </w:p>
    <w:p w14:paraId="17095377" w14:textId="48BD8C93" w:rsidR="00F5142C" w:rsidRPr="00DB5C9E" w:rsidRDefault="00445208" w:rsidP="00DB5C9E">
      <w:pPr>
        <w:pStyle w:val="JuQuot"/>
      </w:pPr>
      <w:r>
        <w:t>98. Zdaniem GET system naboru [sędziów] w drodze konkursu jest prawidłowy: jego wynik zależy od obiektywnego sukcesu w egzaminie konkursowym. Można jednak wprowadzić dalsze usprawnienia w odniesieniu do powołań w drodze wewnętrznej ścieżki awansu zawodowego. Zarówno wymagania dotyczące stanowiska, jak i</w:t>
      </w:r>
      <w:r w:rsidR="00AD1BB9">
        <w:t> </w:t>
      </w:r>
      <w:r>
        <w:t>procedura wyboru skorzystałyby na dalszym ich doprecyzowaniu. W prawie zapisano wymóg wykształcenia prawniczego, określonej liczby lat doświadczenia oraz nieposzlakowanej opinii. Zdaniem GET obecny zestaw kryteriów wyboru może zostać dalej doprecyzowany i rozwinięty, tak aby wyraźniej określić cechy wymagane na</w:t>
      </w:r>
      <w:r w:rsidR="005B7369">
        <w:t> </w:t>
      </w:r>
      <w:r>
        <w:t>danym stanowisku i tym samym zapewnić jak największą uczciwość, sprawność i</w:t>
      </w:r>
      <w:r w:rsidR="00AD1BB9">
        <w:t> </w:t>
      </w:r>
      <w:r>
        <w:t>skuteczność działań. Umożliwiłoby to również łatwiejszą kontrolę kwalifikacji kandydatów, tj. ułatwienie oceny i wyważania względem siebie różnych ich cech i</w:t>
      </w:r>
      <w:r w:rsidR="00AD1BB9">
        <w:t> </w:t>
      </w:r>
      <w:r>
        <w:t>umiejętności. Gdy awans zawodowy/</w:t>
      </w:r>
      <w:r w:rsidR="005B7369">
        <w:t>nabór</w:t>
      </w:r>
      <w:r>
        <w:t xml:space="preserve"> na wyższe stanowiska nie są oparte wyłącznie na stażu, lecz także na innych cechach i kompetencjach, wówczas te kwestie muszą być jasno określone i obiektywnie oceniane.</w:t>
      </w:r>
    </w:p>
    <w:p w14:paraId="5BD3AB6F" w14:textId="26FA7251" w:rsidR="00F5142C" w:rsidRPr="00DB5C9E" w:rsidRDefault="00445208" w:rsidP="00DB5C9E">
      <w:pPr>
        <w:pStyle w:val="JuQuot"/>
      </w:pPr>
      <w:r>
        <w:t>99. Powołanie następuje w drodze decyzji Rady Sądownictwa podejmowanej kwalifikowaną większością głosów (na podstawie sprawozdania prezesa sądu w</w:t>
      </w:r>
      <w:r w:rsidR="00AD1BB9">
        <w:t> </w:t>
      </w:r>
      <w:r>
        <w:t>przypadku, gdy powołanie następuje w drodze wewnętrznej ścieżki awansu zawodowego). Jednakże poza przypadkami, w których wymagane jest uprzednie złożenie sprawozdania przez prezesa sądu, ani w przepisach ustawowych ani w</w:t>
      </w:r>
      <w:r w:rsidR="00AD1BB9">
        <w:t> </w:t>
      </w:r>
      <w:r>
        <w:t>wykonawczych nie jest zapisane, w jaki sposób decyzja ta jest podejmowana (np.</w:t>
      </w:r>
      <w:r w:rsidR="005B7369">
        <w:t> </w:t>
      </w:r>
      <w:r>
        <w:t>kryteria oceny); ponadto decyzja o powołaniu nie musi być uzasadniona. Ustalenia w poprzednich punktach niniejszego raportu, dotyczące składu i funkcjonowania Rady Sądownictwa, mają kluczowe znaczenie w tym zakresie. Należy podjąć dodatkowe kroki w celu pełnego zapewnienia, aby w procesie powoływania obowiązywały (zarówno w rzeczywistości, jak i w odbiorze zewnętrznym) wystarczające gwarancje obiektywności, przejrzystości, niezależności i bezstronności.</w:t>
      </w:r>
    </w:p>
    <w:p w14:paraId="6264ABCC" w14:textId="73D6AF2B" w:rsidR="00F5142C" w:rsidRPr="00DB5C9E" w:rsidRDefault="00445208" w:rsidP="00DB5C9E">
      <w:pPr>
        <w:pStyle w:val="JuQuot"/>
        <w:rPr>
          <w:b/>
          <w:bCs/>
        </w:rPr>
      </w:pPr>
      <w:r>
        <w:t>100. Ponadto GET wyraża zaniepokojenie odstępstwem od zasady zatrudnienia na</w:t>
      </w:r>
      <w:r w:rsidR="005B7369">
        <w:t> </w:t>
      </w:r>
      <w:r>
        <w:t>czas nieoznaczony w odniesieniu do osób sprawujących urzędy na najwyższych szczeblach sądownictwa (najwyższych sędziów apelacyjnych, sędziów ds.</w:t>
      </w:r>
      <w:r w:rsidR="00AD1BB9">
        <w:t> </w:t>
      </w:r>
      <w:r>
        <w:t>nadzwyczajnych środków odwoławczych oraz sędziów ds. odpowiedzialności cywilnej przedstawicieli sądownictwa). Zatrudnienie na czas nieoznaczony, do</w:t>
      </w:r>
      <w:r w:rsidR="005B7369">
        <w:t> </w:t>
      </w:r>
      <w:r>
        <w:t>przejścia w stan spoczynku, stanowi fundamentalną ochronę niezawisłości wszystkich sędziów zgodnie ze standardami międzynarodowymi i praktyką GRECO. W związku z</w:t>
      </w:r>
      <w:r w:rsidR="00AD1BB9">
        <w:t> </w:t>
      </w:r>
      <w:r>
        <w:t xml:space="preserve">tym </w:t>
      </w:r>
      <w:r>
        <w:rPr>
          <w:b/>
          <w:bCs/>
        </w:rPr>
        <w:t>GRECO zaleca zapewnienie, aby powoływanie sędziów, jak również zatwierdzanie ich w funkcji na czas nieoznaczony po zakończeniu okresu próbnego, w stosownych przypadkach, było szczegółowo uregulowane na</w:t>
      </w:r>
      <w:r w:rsidR="005B7369">
        <w:rPr>
          <w:b/>
          <w:bCs/>
        </w:rPr>
        <w:t> </w:t>
      </w:r>
      <w:r>
        <w:rPr>
          <w:b/>
          <w:bCs/>
        </w:rPr>
        <w:t>podstawie jasnych i obiektywnych kryteriów merytorycznych, uwzględniających kwalifikacje, uczciwość, zdolności i skuteczność działania, i</w:t>
      </w:r>
      <w:r w:rsidR="005B7369">
        <w:rPr>
          <w:b/>
          <w:bCs/>
        </w:rPr>
        <w:t> </w:t>
      </w:r>
      <w:r>
        <w:rPr>
          <w:b/>
          <w:bCs/>
        </w:rPr>
        <w:t>odbywało się w wyniku przejrzystej, wystarczająco uzasadnionej procedury.</w:t>
      </w:r>
    </w:p>
    <w:p w14:paraId="4B1F8F38" w14:textId="77777777" w:rsidR="00F5142C" w:rsidRPr="00DB5C9E" w:rsidRDefault="00445208" w:rsidP="00DB5C9E">
      <w:pPr>
        <w:pStyle w:val="JuQuot"/>
      </w:pPr>
      <w:r>
        <w:t>[…]</w:t>
      </w:r>
    </w:p>
    <w:p w14:paraId="14C63695" w14:textId="77777777" w:rsidR="00F5142C" w:rsidRPr="00DB5C9E" w:rsidRDefault="00445208" w:rsidP="00DB5C9E">
      <w:pPr>
        <w:pStyle w:val="JuQuot"/>
        <w:rPr>
          <w:b/>
          <w:bCs/>
        </w:rPr>
      </w:pPr>
      <w:r>
        <w:t>103.</w:t>
      </w:r>
      <w:r>
        <w:rPr>
          <w:b/>
        </w:rPr>
        <w:t xml:space="preserve"> </w:t>
      </w:r>
      <w:r>
        <w:t>[…]</w:t>
      </w:r>
      <w:r>
        <w:rPr>
          <w:b/>
        </w:rPr>
        <w:t xml:space="preserve"> GRECO zaleca szczegółowe uregulowanie systemu wyboru, powoływania, odnawiania mandatu i odwoływania, jak również obowiązków prezesa sądu (niezależnie od tego, czy wywodzi się ze ścieżki sędziowskiej, czy nie).</w:t>
      </w:r>
    </w:p>
    <w:p w14:paraId="1328A070" w14:textId="77777777" w:rsidR="00F5142C" w:rsidRPr="00DB5C9E" w:rsidRDefault="00445208" w:rsidP="00DB5C9E">
      <w:pPr>
        <w:pStyle w:val="JuQuot"/>
      </w:pPr>
      <w:r>
        <w:lastRenderedPageBreak/>
        <w:t>[…]</w:t>
      </w:r>
    </w:p>
    <w:p w14:paraId="189FA5E8" w14:textId="77777777" w:rsidR="00F5142C" w:rsidRPr="00DB5C9E" w:rsidRDefault="00445208" w:rsidP="00DB5C9E">
      <w:pPr>
        <w:pStyle w:val="JuQuot"/>
        <w:rPr>
          <w:b/>
          <w:bCs/>
        </w:rPr>
      </w:pPr>
      <w:r>
        <w:rPr>
          <w:b/>
        </w:rPr>
        <w:t>V. REKOMENDACJE I WERYFIKACJA POSTĘPÓW</w:t>
      </w:r>
    </w:p>
    <w:p w14:paraId="3FAC781E" w14:textId="77777777" w:rsidR="00F5142C" w:rsidRPr="00DB5C9E" w:rsidRDefault="00445208" w:rsidP="00DB5C9E">
      <w:pPr>
        <w:pStyle w:val="JuQuot"/>
      </w:pPr>
      <w:r>
        <w:t>170. W świetle ustaleń poczynionych w niniejszym raporcie GRECO kieruje do San Marino następujące zalecenia:</w:t>
      </w:r>
    </w:p>
    <w:p w14:paraId="5688F1A3" w14:textId="77777777" w:rsidR="00F5142C" w:rsidRPr="00DB5C9E" w:rsidRDefault="00445208" w:rsidP="00DB5C9E">
      <w:pPr>
        <w:pStyle w:val="JuQuot"/>
      </w:pPr>
      <w:r>
        <w:t>[…]</w:t>
      </w:r>
    </w:p>
    <w:p w14:paraId="5EAAD2C7" w14:textId="77777777" w:rsidR="00F5142C" w:rsidRPr="00DB5C9E" w:rsidRDefault="00445208" w:rsidP="00DB5C9E">
      <w:pPr>
        <w:pStyle w:val="JuQuot"/>
        <w:rPr>
          <w:i/>
          <w:iCs/>
        </w:rPr>
      </w:pPr>
      <w:r>
        <w:rPr>
          <w:i/>
        </w:rPr>
        <w:t>W odniesieniu do sędziów i prokuratorów</w:t>
      </w:r>
    </w:p>
    <w:p w14:paraId="5A6510F4" w14:textId="3B6C3DE1" w:rsidR="00F5142C" w:rsidRPr="00DB5C9E" w:rsidRDefault="00445208" w:rsidP="00DB5C9E">
      <w:pPr>
        <w:pStyle w:val="JuQuot"/>
      </w:pPr>
      <w:r>
        <w:rPr>
          <w:b/>
        </w:rPr>
        <w:t xml:space="preserve">vii. </w:t>
      </w:r>
      <w:r>
        <w:rPr>
          <w:b/>
          <w:bCs/>
        </w:rPr>
        <w:t>i) zmianę składu Rady Sądownictwa poprzez zapisanie, że co najmniej połowa jej członków to sędziowie wybierani przez innych sędziów, oraz – w</w:t>
      </w:r>
      <w:r w:rsidR="00AD1BB9">
        <w:rPr>
          <w:b/>
          <w:bCs/>
        </w:rPr>
        <w:t> </w:t>
      </w:r>
      <w:r>
        <w:rPr>
          <w:b/>
          <w:bCs/>
        </w:rPr>
        <w:t xml:space="preserve">przypadku członków niebędących sędziami – wykluczenie członkostwa z urzędu przedstawicieli władzy wykonawczej i ustawodawczej; ii) ustanowienie obiektywnych i mierzalnych kryteriów wyboru oraz przejrzystej procedury wyboru w celu potwierdzenia kwalifikacji zawodowych i bezstronności wszystkich członków Rady Sądownictwa; oraz iii) wprowadzenie rozwiązań operacyjnych w celu zapewnienia skutecznego wykonywania funkcji Rady Sądownictwa w sposób zinstytucjonalizowany </w:t>
      </w:r>
      <w:r>
        <w:t>(pkt 91);</w:t>
      </w:r>
    </w:p>
    <w:p w14:paraId="724859B9" w14:textId="7BFC3374" w:rsidR="00F5142C" w:rsidRPr="00DB5C9E" w:rsidRDefault="00445208" w:rsidP="00DB5C9E">
      <w:pPr>
        <w:pStyle w:val="JuQuot"/>
      </w:pPr>
      <w:r>
        <w:rPr>
          <w:b/>
          <w:bCs/>
        </w:rPr>
        <w:t>viii. zapewnienie, aby powoływanie sędziów, jak również zatwierdzanie ich w</w:t>
      </w:r>
      <w:r w:rsidR="00AD1BB9">
        <w:rPr>
          <w:b/>
          <w:bCs/>
        </w:rPr>
        <w:t> </w:t>
      </w:r>
      <w:r>
        <w:rPr>
          <w:b/>
          <w:bCs/>
        </w:rPr>
        <w:t>funkcji na czas nieoznaczony po zakończeniu okresu próbnego, w stosownych przypadkach, było szczegółowo uregulowane na podstawie jasnych i</w:t>
      </w:r>
      <w:r w:rsidR="00AD1BB9">
        <w:rPr>
          <w:b/>
          <w:bCs/>
        </w:rPr>
        <w:t> </w:t>
      </w:r>
      <w:r>
        <w:rPr>
          <w:b/>
          <w:bCs/>
        </w:rPr>
        <w:t xml:space="preserve">obiektywnych kryteriów merytorycznych, uwzględniających kwalifikacje, uczciwość, zdolności i skuteczność działania, i odbywało się w wyniku przejrzystej, wystarczająco uzasadnionej procedury </w:t>
      </w:r>
      <w:r>
        <w:t>(pkt 100);</w:t>
      </w:r>
    </w:p>
    <w:p w14:paraId="5CA6FC6D" w14:textId="10DEB556" w:rsidR="00F5142C" w:rsidRPr="00DB5C9E" w:rsidRDefault="00445208" w:rsidP="00DB5C9E">
      <w:pPr>
        <w:pStyle w:val="JuQuot"/>
      </w:pPr>
      <w:r>
        <w:rPr>
          <w:b/>
          <w:bCs/>
        </w:rPr>
        <w:t>ix. szczegółowe uregulowanie systemu wyboru, powoływania, odnawiania mandatu i odwoływania, jak również obowiązków prezesa sądu (niezależnie od</w:t>
      </w:r>
      <w:r w:rsidR="00AD1BB9">
        <w:rPr>
          <w:b/>
          <w:bCs/>
        </w:rPr>
        <w:t> </w:t>
      </w:r>
      <w:r>
        <w:rPr>
          <w:b/>
          <w:bCs/>
        </w:rPr>
        <w:t xml:space="preserve">tego, czy wywodzi się ze ścieżki sędziowskiej, czy nie) </w:t>
      </w:r>
      <w:r>
        <w:t>(pkt 103);</w:t>
      </w:r>
    </w:p>
    <w:p w14:paraId="0D2EC2EF" w14:textId="77777777" w:rsidR="00F5142C" w:rsidRPr="00DB5C9E" w:rsidRDefault="00445208" w:rsidP="00DB5C9E">
      <w:pPr>
        <w:pStyle w:val="JuQuot"/>
      </w:pPr>
      <w:r>
        <w:t>[…]”.</w:t>
      </w:r>
    </w:p>
    <w:bookmarkStart w:id="31" w:name="paragraph00067"/>
    <w:p w14:paraId="55F8FC6D" w14:textId="5804218E" w:rsidR="00F5142C" w:rsidRPr="00DB5C9E" w:rsidRDefault="00445208" w:rsidP="00DB5C9E">
      <w:pPr>
        <w:pStyle w:val="JuPara"/>
      </w:pPr>
      <w:r w:rsidRPr="00DB5C9E">
        <w:fldChar w:fldCharType="begin"/>
      </w:r>
      <w:r w:rsidRPr="00DB5C9E">
        <w:instrText xml:space="preserve"> SEQ level0 \*arabic \* MERGEFORMAT </w:instrText>
      </w:r>
      <w:r w:rsidRPr="00DB5C9E">
        <w:fldChar w:fldCharType="separate"/>
      </w:r>
      <w:r w:rsidR="00446BA2">
        <w:rPr>
          <w:noProof/>
        </w:rPr>
        <w:t>67</w:t>
      </w:r>
      <w:r w:rsidRPr="00DB5C9E">
        <w:fldChar w:fldCharType="end"/>
      </w:r>
      <w:bookmarkEnd w:id="31"/>
      <w:r>
        <w:t>.  W kolejnym raporcie – Zapobieganie korupcji wśród parlamentarzystów, sędziów i prokuratorów (Raport zgodności – Republika San Marino, 91. posiedzenie plenarne, 13-17 czerwca 2022 r.), GRECO stwierdziła, że w następstwie gruntownej reformy legislacyjnej (w 2021 r.), mającej na celu wyeliminowanie różnych niedociągnięć wskazanych powyżej, trzy powyższe zalecenia zostały podjęte lub zrealizowane w sposób zadowalający</w:t>
      </w:r>
      <w:r w:rsidR="005B7369">
        <w:t>.</w:t>
      </w:r>
      <w:r>
        <w:rPr>
          <w:rStyle w:val="Odwoanieprzypisudolnego"/>
        </w:rPr>
        <w:footnoteReference w:id="3"/>
      </w:r>
    </w:p>
    <w:p w14:paraId="4BF8C4E1" w14:textId="77777777" w:rsidR="00F5142C" w:rsidRPr="00DB5C9E" w:rsidRDefault="00445208" w:rsidP="00DB5C9E">
      <w:pPr>
        <w:pStyle w:val="JuHA"/>
      </w:pPr>
      <w:r>
        <w:t>Europejska Komisja na rzecz Demokracji przez Prawo („Komisja Wenecka”)</w:t>
      </w:r>
    </w:p>
    <w:p w14:paraId="21A5B911" w14:textId="6F77E818" w:rsidR="00F5142C" w:rsidRPr="00DB5C9E" w:rsidRDefault="00446BA2" w:rsidP="00DB5C9E">
      <w:pPr>
        <w:pStyle w:val="JuPara"/>
      </w:pPr>
      <w:fldSimple w:instr=" SEQ level0 \*arabic \* MERGEFORMAT ">
        <w:r>
          <w:rPr>
            <w:noProof/>
          </w:rPr>
          <w:t>68</w:t>
        </w:r>
      </w:fldSimple>
      <w:r w:rsidR="00445208">
        <w:t>.  Kompilacja opinii i sprawozdań Komisji Weneckiej dotyczących sądów, sporządzona w Strasburgu dnia 7 stycznia 2025 r.</w:t>
      </w:r>
      <w:r w:rsidR="005B7369">
        <w:rPr>
          <w:rStyle w:val="Odwoanieprzypisudolnego"/>
        </w:rPr>
        <w:footnoteReference w:id="4"/>
      </w:r>
      <w:r w:rsidR="00445208">
        <w:t xml:space="preserve">, w części </w:t>
      </w:r>
      <w:r w:rsidR="00445208">
        <w:lastRenderedPageBreak/>
        <w:t>dotyczącej rad sądownictwa, w zakresie istotnym dla sprawy, brzmi następująco:</w:t>
      </w:r>
    </w:p>
    <w:p w14:paraId="6DB98608" w14:textId="77777777" w:rsidR="00F5142C" w:rsidRPr="00DB5C9E" w:rsidRDefault="00445208" w:rsidP="00DB5C9E">
      <w:pPr>
        <w:pStyle w:val="JuQuot"/>
        <w:rPr>
          <w:b/>
          <w:bCs/>
        </w:rPr>
      </w:pPr>
      <w:r>
        <w:t>„</w:t>
      </w:r>
      <w:r>
        <w:rPr>
          <w:b/>
        </w:rPr>
        <w:t>4.2 Skład rad sądownictwa</w:t>
      </w:r>
    </w:p>
    <w:p w14:paraId="0157DE57" w14:textId="77777777" w:rsidR="00F5142C" w:rsidRPr="00DB5C9E" w:rsidRDefault="00445208" w:rsidP="00DB5C9E">
      <w:pPr>
        <w:pStyle w:val="JuQuot"/>
        <w:rPr>
          <w:b/>
          <w:bCs/>
        </w:rPr>
      </w:pPr>
      <w:r>
        <w:rPr>
          <w:b/>
        </w:rPr>
        <w:t>4.2.1 Podejście ogólne</w:t>
      </w:r>
    </w:p>
    <w:p w14:paraId="22F965C8" w14:textId="7457A979" w:rsidR="00F5142C" w:rsidRPr="00DB5C9E" w:rsidRDefault="00445208" w:rsidP="00DB5C9E">
      <w:pPr>
        <w:pStyle w:val="JuQuot"/>
      </w:pPr>
      <w:r>
        <w:t>Nie istnieje model standardowy, którego państwo demokratyczne musi przestrzegać, tworząc najwyższą radę sądownictwa, o ile funkcja takiej rady wchodzi w zakres celu zapewnienia właściwego funkcjonowania niezależnego sądownictwa w państwie demokratycznym. Chociaż istnieją modele, w których zaangażowanie innych gałęzi władzy (ustawodawczej i wykonawczej) zostało wprost wykluczone lub ograniczone do minimum, zaangażowanie to jest w różnym stopniu uznawane w większości ustaw i usprawiedliwione aspektem społecznym funkcji najwyższej rady sądownictwa oraz koniecznością monitorowania czynności administracyjnych sądownictwa przez inne gałęzie władzy państwowej. Oczywistym jest, że sądownictwo musi ponosić odpowiedzialność za swoje działanie zgodnie z prawem pod warunkiem, że</w:t>
      </w:r>
      <w:r w:rsidR="00AD1BB9">
        <w:t> </w:t>
      </w:r>
      <w:r>
        <w:t>przewidziano właściwe i uczciwe procedury, a usunięcie z urzędu może mieć miejsce jedynie z uzasadnionych względów. Niemniej jednak ogólnie zakłada się, że głównym celem samego istnienia najwyższej rady sądownictwa jest ochrona niezawisłości sędziów poprzez chronienie ich przed nienależytym naciskiem innych władz państwa w kwestiach takich jak wybór i powoływanie sędziów oraz wykonywanie funkcji dyscyplinarnych.”</w:t>
      </w:r>
    </w:p>
    <w:p w14:paraId="54C269A5" w14:textId="77777777" w:rsidR="00F5142C" w:rsidRPr="00DB5C9E" w:rsidRDefault="00445208" w:rsidP="00DB5C9E">
      <w:pPr>
        <w:pStyle w:val="JuQuot"/>
        <w:rPr>
          <w:sz w:val="16"/>
          <w:szCs w:val="16"/>
        </w:rPr>
      </w:pPr>
      <w:r>
        <w:rPr>
          <w:sz w:val="16"/>
        </w:rPr>
        <w:t>CDL-</w:t>
      </w:r>
      <w:proofErr w:type="gramStart"/>
      <w:r>
        <w:rPr>
          <w:sz w:val="16"/>
        </w:rPr>
        <w:t>INF(</w:t>
      </w:r>
      <w:proofErr w:type="gramEnd"/>
      <w:r>
        <w:rPr>
          <w:sz w:val="16"/>
        </w:rPr>
        <w:t>1999)005, Opinia w sprawie reformy sądownictwa w Bułgarii, § 28</w:t>
      </w:r>
    </w:p>
    <w:p w14:paraId="415BC8ED" w14:textId="77777777" w:rsidR="00F5142C" w:rsidRPr="00DB5C9E" w:rsidRDefault="00445208" w:rsidP="00DB5C9E">
      <w:pPr>
        <w:pStyle w:val="JuQuot"/>
        <w:rPr>
          <w:sz w:val="16"/>
          <w:szCs w:val="16"/>
        </w:rPr>
      </w:pPr>
      <w:r>
        <w:rPr>
          <w:sz w:val="16"/>
        </w:rPr>
        <w:t>Zob. także CDL-</w:t>
      </w:r>
      <w:proofErr w:type="gramStart"/>
      <w:r>
        <w:rPr>
          <w:sz w:val="16"/>
        </w:rPr>
        <w:t>AD(</w:t>
      </w:r>
      <w:proofErr w:type="gramEnd"/>
      <w:r>
        <w:rPr>
          <w:sz w:val="16"/>
        </w:rPr>
        <w:t>2015)042, Opinia w sprawie ustaw o odpowiedzialności dyscyplinarnej i ocenie sędziów Byłej Jugosłowiańskiej Republiki Macedonii, § 61</w:t>
      </w:r>
    </w:p>
    <w:p w14:paraId="7938167E" w14:textId="42D92A8D" w:rsidR="00F5142C" w:rsidRPr="00DB5C9E" w:rsidRDefault="00445208" w:rsidP="00DB5C9E">
      <w:pPr>
        <w:pStyle w:val="JuQuot"/>
      </w:pPr>
      <w:r>
        <w:t>Skład NRS [Najwyższej Rady Sądownictwa] jest zgodny z zaleceniami Komisji Weneckiej. Większość członków stanowiliby sędziowie (dziesięciu z piętnastu), a</w:t>
      </w:r>
      <w:r w:rsidR="00AD1BB9">
        <w:t> </w:t>
      </w:r>
      <w:r>
        <w:t>ośmiu członków sędziowskich byłoby wybieranych z różnych szczebli sądów. Przewodniczący Najwyższego Sądu Kasacyjnego i Naczelnego Sądu Administracyjnego byliby członkami z urzędu. Członkowie niebędący sędziami byliby wybierani przez Zgromadzenie Narodowe większością dwóch trzecich głosów, przy czym nie przewidziano mechanizmu zapobiegającego impasowi. Zaleca się przewidzenie takiego mechanizmu (przykładowe rozwiązania można zaczerpnąć z</w:t>
      </w:r>
      <w:r w:rsidR="00AD1BB9">
        <w:t> </w:t>
      </w:r>
      <w:r>
        <w:t>kilku możliwości przedstawionych wcześniej przez Komisję Wenecką).</w:t>
      </w:r>
    </w:p>
    <w:p w14:paraId="77C3DD46" w14:textId="77777777" w:rsidR="00F5142C" w:rsidRPr="00DB5C9E" w:rsidRDefault="00445208" w:rsidP="00DB5C9E">
      <w:pPr>
        <w:pStyle w:val="JuQuot"/>
        <w:rPr>
          <w:sz w:val="16"/>
          <w:szCs w:val="16"/>
        </w:rPr>
      </w:pPr>
      <w:r>
        <w:rPr>
          <w:sz w:val="16"/>
        </w:rPr>
        <w:t>Zob. także CDL-</w:t>
      </w:r>
      <w:proofErr w:type="gramStart"/>
      <w:r>
        <w:rPr>
          <w:sz w:val="16"/>
        </w:rPr>
        <w:t>AD(</w:t>
      </w:r>
      <w:proofErr w:type="gramEnd"/>
      <w:r>
        <w:rPr>
          <w:sz w:val="16"/>
        </w:rPr>
        <w:t>2015)042, Opinia w sprawie projektu zmian Konstytucji Bułgarii, § 61</w:t>
      </w:r>
    </w:p>
    <w:p w14:paraId="300CD039" w14:textId="4B374812" w:rsidR="00F5142C" w:rsidRPr="00DB5C9E" w:rsidRDefault="00445208" w:rsidP="00DB5C9E">
      <w:pPr>
        <w:pStyle w:val="JuQuot"/>
      </w:pPr>
      <w:r>
        <w:t>„[</w:t>
      </w:r>
      <w:r w:rsidR="00BF6A7A">
        <w:t>…</w:t>
      </w:r>
      <w:r>
        <w:t>] Angażowanie wyłącznie sędziów niesie ze sobą ryzyko powstania wrażenia dbania o własny interes, protekcji i kumoterstwa. Jeśli chodzi o skład rady sądownictwa, należy unikać zarówno upolitycznienia, jak i korporacjonizmu. Należy znaleźć odpowiednią równowagę między sędziami a członkami spoza sądownictwa. Zaangażowanie innych gałęzi władzy nie może stwarzać zagrożenia nadmierną presją na członków Rady i całe sądownictwo.”</w:t>
      </w:r>
    </w:p>
    <w:p w14:paraId="769CF60B" w14:textId="77777777" w:rsidR="00F5142C" w:rsidRPr="00DB5C9E" w:rsidRDefault="00445208" w:rsidP="00DB5C9E">
      <w:pPr>
        <w:pStyle w:val="JuQuot"/>
        <w:rPr>
          <w:sz w:val="16"/>
          <w:szCs w:val="16"/>
        </w:rPr>
      </w:pPr>
      <w:r>
        <w:rPr>
          <w:sz w:val="16"/>
        </w:rPr>
        <w:t>CDL-</w:t>
      </w:r>
      <w:proofErr w:type="gramStart"/>
      <w:r>
        <w:rPr>
          <w:sz w:val="16"/>
        </w:rPr>
        <w:t>AD(</w:t>
      </w:r>
      <w:proofErr w:type="gramEnd"/>
      <w:r>
        <w:rPr>
          <w:sz w:val="16"/>
        </w:rPr>
        <w:t>2016)007, Lista kontrolna dotycząca praworządności, § 82</w:t>
      </w:r>
    </w:p>
    <w:p w14:paraId="7E97EDF1" w14:textId="77777777" w:rsidR="00F5142C" w:rsidRPr="00DB5C9E" w:rsidRDefault="00445208" w:rsidP="00DB5C9E">
      <w:pPr>
        <w:pStyle w:val="JuQuot"/>
        <w:rPr>
          <w:sz w:val="16"/>
          <w:szCs w:val="16"/>
        </w:rPr>
      </w:pPr>
      <w:r>
        <w:rPr>
          <w:sz w:val="16"/>
        </w:rPr>
        <w:t>Zob. także CDL-</w:t>
      </w:r>
      <w:proofErr w:type="gramStart"/>
      <w:r>
        <w:rPr>
          <w:sz w:val="16"/>
        </w:rPr>
        <w:t>AD(</w:t>
      </w:r>
      <w:proofErr w:type="gramEnd"/>
      <w:r>
        <w:rPr>
          <w:sz w:val="16"/>
        </w:rPr>
        <w:t>2017)018, Opinia w sprawie ustawy o systemie sądownictwa w Bułgarii, §§ 17, 20, 21 i 23; CDL-</w:t>
      </w:r>
      <w:proofErr w:type="gramStart"/>
      <w:r>
        <w:rPr>
          <w:sz w:val="16"/>
        </w:rPr>
        <w:t>INF(</w:t>
      </w:r>
      <w:proofErr w:type="gramEnd"/>
      <w:r>
        <w:rPr>
          <w:sz w:val="16"/>
        </w:rPr>
        <w:t>1998)009, Opinia na temat ostatnich zmian do prawa o głównych przepisach konstytucyjnych Republiki Albanii, § 9</w:t>
      </w:r>
    </w:p>
    <w:p w14:paraId="259030C3" w14:textId="05895058" w:rsidR="00F5142C" w:rsidRPr="00DB5C9E" w:rsidRDefault="00445208" w:rsidP="00DB5C9E">
      <w:pPr>
        <w:pStyle w:val="JuQuot"/>
      </w:pPr>
      <w:r>
        <w:t>„[</w:t>
      </w:r>
      <w:r w:rsidR="00BF6A7A">
        <w:t>…</w:t>
      </w:r>
      <w:r>
        <w:t>]</w:t>
      </w:r>
      <w:r w:rsidR="00BF6A7A">
        <w:t xml:space="preserve"> </w:t>
      </w:r>
      <w:r>
        <w:t>[W]</w:t>
      </w:r>
      <w:proofErr w:type="spellStart"/>
      <w:r>
        <w:t>ysokie</w:t>
      </w:r>
      <w:proofErr w:type="spellEnd"/>
      <w:r>
        <w:t xml:space="preserve"> kworum wymagane w Zgromadzeniu Narodowym do wyboru wybitnych prawników do WRS (pięcioro członków) i WRP (czterech członków) może prowadzić do impasu w przyszłości. Istnieje niebezpieczeństwo, że mechanizm zapobiegający impasowi, który miał być stosowany w drodze wyjątku, stanie się regułą i umożliwi upolitycznione nominacje. W celu zachęcenia do konsensusu i odejścia </w:t>
      </w:r>
      <w:r>
        <w:lastRenderedPageBreak/>
        <w:t>od</w:t>
      </w:r>
      <w:r w:rsidR="00AD1BB9">
        <w:t> </w:t>
      </w:r>
      <w:r>
        <w:t>mechanizmu zapobiegającego impasowi w postaci pięcioosobowej komisji, skład tego ostatniego organu powinien zostać ponownie rozważony […].”</w:t>
      </w:r>
    </w:p>
    <w:p w14:paraId="27AB6635" w14:textId="77777777" w:rsidR="00F5142C" w:rsidRPr="00DB5C9E" w:rsidRDefault="00445208" w:rsidP="00DB5C9E">
      <w:pPr>
        <w:pStyle w:val="JuQuot"/>
        <w:rPr>
          <w:sz w:val="16"/>
          <w:szCs w:val="16"/>
        </w:rPr>
      </w:pPr>
      <w:r>
        <w:rPr>
          <w:sz w:val="16"/>
        </w:rPr>
        <w:t>CDL-</w:t>
      </w:r>
      <w:proofErr w:type="gramStart"/>
      <w:r>
        <w:rPr>
          <w:sz w:val="16"/>
        </w:rPr>
        <w:t>AD(</w:t>
      </w:r>
      <w:proofErr w:type="gramEnd"/>
      <w:r>
        <w:rPr>
          <w:sz w:val="16"/>
        </w:rPr>
        <w:t>2021)032, Opinia w sprawie projektu zmian konstytucyjnych w zakresie sądownictwa oraz projektu ustawy konstytucyjnej o wdrożeniu zmian konstytucyjnych w Serbii, § 110</w:t>
      </w:r>
    </w:p>
    <w:p w14:paraId="757CD006" w14:textId="48F30B1C" w:rsidR="00F5142C" w:rsidRPr="00DB5C9E" w:rsidRDefault="00445208" w:rsidP="00DB5C9E">
      <w:pPr>
        <w:pStyle w:val="JuQuot"/>
      </w:pPr>
      <w:r>
        <w:t>„[</w:t>
      </w:r>
      <w:r w:rsidR="00BF6A7A">
        <w:t>…</w:t>
      </w:r>
      <w:r>
        <w:t>] [U]politycznienia można uniknąć, jeżeli parlament będzie jedynie zobowiązany do zatwierdzenia nominacji dokonanych przez sędziów.”</w:t>
      </w:r>
    </w:p>
    <w:p w14:paraId="50456F0A" w14:textId="77777777" w:rsidR="00F5142C" w:rsidRPr="00DB5C9E" w:rsidRDefault="00445208" w:rsidP="00DB5C9E">
      <w:pPr>
        <w:pStyle w:val="JuQuot"/>
        <w:rPr>
          <w:sz w:val="16"/>
          <w:szCs w:val="16"/>
        </w:rPr>
      </w:pPr>
      <w:r>
        <w:rPr>
          <w:sz w:val="16"/>
        </w:rPr>
        <w:t>CDL-</w:t>
      </w:r>
      <w:proofErr w:type="gramStart"/>
      <w:r>
        <w:rPr>
          <w:sz w:val="16"/>
        </w:rPr>
        <w:t>AD(</w:t>
      </w:r>
      <w:proofErr w:type="gramEnd"/>
      <w:r>
        <w:rPr>
          <w:sz w:val="16"/>
        </w:rPr>
        <w:t>2002)021, Opinia uzupełniająca w sprawie nowelizacji Konstytucji Rumunii, § 22</w:t>
      </w:r>
    </w:p>
    <w:p w14:paraId="12C1AC06" w14:textId="170CE8EA" w:rsidR="00F5142C" w:rsidRPr="00DB5C9E" w:rsidRDefault="00445208" w:rsidP="00DB5C9E">
      <w:pPr>
        <w:pStyle w:val="JuQuot"/>
        <w:rPr>
          <w:sz w:val="16"/>
          <w:szCs w:val="16"/>
        </w:rPr>
      </w:pPr>
      <w:r>
        <w:rPr>
          <w:sz w:val="16"/>
        </w:rPr>
        <w:t>Zob. także CDL-</w:t>
      </w:r>
      <w:proofErr w:type="gramStart"/>
      <w:r>
        <w:rPr>
          <w:sz w:val="16"/>
        </w:rPr>
        <w:t>AD(</w:t>
      </w:r>
      <w:proofErr w:type="gramEnd"/>
      <w:r>
        <w:rPr>
          <w:sz w:val="16"/>
        </w:rPr>
        <w:t>2002)026, Opinia w sprawie projektu ustawy o władzy sądowniczej i odpowiednich poprawek konstytucyjnych Łotwy, § 13; CDL-</w:t>
      </w:r>
      <w:proofErr w:type="gramStart"/>
      <w:r>
        <w:rPr>
          <w:sz w:val="16"/>
        </w:rPr>
        <w:t>INF(</w:t>
      </w:r>
      <w:proofErr w:type="gramEnd"/>
      <w:r>
        <w:rPr>
          <w:sz w:val="16"/>
        </w:rPr>
        <w:t>1998)009, Opinia na temat ostatnich zmian do prawa o</w:t>
      </w:r>
      <w:r w:rsidR="00AD1BB9">
        <w:rPr>
          <w:sz w:val="16"/>
        </w:rPr>
        <w:t> </w:t>
      </w:r>
      <w:r>
        <w:rPr>
          <w:sz w:val="16"/>
        </w:rPr>
        <w:t>głównych przepisach konstytucyjnych Republiki Albanii, §§ 9, 19; CDL-</w:t>
      </w:r>
      <w:proofErr w:type="gramStart"/>
      <w:r>
        <w:rPr>
          <w:sz w:val="16"/>
        </w:rPr>
        <w:t>INF(</w:t>
      </w:r>
      <w:proofErr w:type="gramEnd"/>
      <w:r>
        <w:rPr>
          <w:sz w:val="16"/>
        </w:rPr>
        <w:t>1999)005, Opinia w sprawie reformy sądownictwa w Bułgarii, § 29</w:t>
      </w:r>
    </w:p>
    <w:p w14:paraId="2AF13068" w14:textId="7A5E88D1" w:rsidR="00F5142C" w:rsidRPr="00DB5C9E" w:rsidRDefault="00445208" w:rsidP="00DB5C9E">
      <w:pPr>
        <w:pStyle w:val="JuQuot"/>
      </w:pPr>
      <w:r>
        <w:t>„[</w:t>
      </w:r>
      <w:r w:rsidR="00BF6A7A">
        <w:t>…</w:t>
      </w:r>
      <w:r>
        <w:t>] [Z]</w:t>
      </w:r>
      <w:proofErr w:type="spellStart"/>
      <w:r>
        <w:t>naczna</w:t>
      </w:r>
      <w:proofErr w:type="spellEnd"/>
      <w:r>
        <w:t xml:space="preserve"> część lub większość członków Rady Sądownictwa powinna być wybierana przez samą władzę sądowniczą. W celu zapewnienia demokratycznej legitymacji Rady Sądownictwa, inni członkowie powinni być wybierani przez parlament spośród osób posiadających odpowiednie kwalifikacje prawnicze, z</w:t>
      </w:r>
      <w:r w:rsidR="00AD1BB9">
        <w:t> </w:t>
      </w:r>
      <w:r>
        <w:t>uwzględnieniem możliwych konfliktów interesów.”</w:t>
      </w:r>
    </w:p>
    <w:p w14:paraId="01DAD18A" w14:textId="77777777" w:rsidR="00F5142C" w:rsidRPr="00DB5C9E" w:rsidRDefault="00445208" w:rsidP="00DB5C9E">
      <w:pPr>
        <w:pStyle w:val="JuQuot"/>
        <w:rPr>
          <w:sz w:val="16"/>
          <w:szCs w:val="16"/>
        </w:rPr>
      </w:pPr>
      <w:r>
        <w:rPr>
          <w:sz w:val="16"/>
        </w:rPr>
        <w:t>CDL-</w:t>
      </w:r>
      <w:proofErr w:type="gramStart"/>
      <w:r>
        <w:rPr>
          <w:sz w:val="16"/>
        </w:rPr>
        <w:t>AD(</w:t>
      </w:r>
      <w:proofErr w:type="gramEnd"/>
      <w:r>
        <w:rPr>
          <w:sz w:val="16"/>
        </w:rPr>
        <w:t>2007)028, Raport Komisji Weneckiej w sprawie powołań sędziowskich, § 29</w:t>
      </w:r>
    </w:p>
    <w:p w14:paraId="42A540BF" w14:textId="77777777" w:rsidR="00F5142C" w:rsidRPr="00DB5C9E" w:rsidRDefault="00445208" w:rsidP="00DB5C9E">
      <w:pPr>
        <w:pStyle w:val="JuQuot"/>
        <w:rPr>
          <w:sz w:val="16"/>
          <w:szCs w:val="16"/>
        </w:rPr>
      </w:pPr>
      <w:r>
        <w:rPr>
          <w:sz w:val="16"/>
        </w:rPr>
        <w:t>Zob. także CDL-</w:t>
      </w:r>
      <w:proofErr w:type="gramStart"/>
      <w:r>
        <w:rPr>
          <w:sz w:val="16"/>
        </w:rPr>
        <w:t>AD(</w:t>
      </w:r>
      <w:proofErr w:type="gramEnd"/>
      <w:r>
        <w:rPr>
          <w:sz w:val="16"/>
        </w:rPr>
        <w:t>2018)003, Opinia w sprawie ustawy o zmianie i uzupełnieniu Konstytucji (przepisów konstytucyjnych o sądownictwie) Republiki Mołdawii, § 54; CDL-</w:t>
      </w:r>
      <w:proofErr w:type="gramStart"/>
      <w:r>
        <w:rPr>
          <w:sz w:val="16"/>
        </w:rPr>
        <w:t>AD(</w:t>
      </w:r>
      <w:proofErr w:type="gramEnd"/>
      <w:r>
        <w:rPr>
          <w:sz w:val="16"/>
        </w:rPr>
        <w:t>2008)006, Opinia w sprawie projektu ustawy o Wysokiej Radzie Sądownictwa Republiki Serbii, § 76</w:t>
      </w:r>
    </w:p>
    <w:p w14:paraId="58B1C045" w14:textId="46E5E899" w:rsidR="00F5142C" w:rsidRPr="00DB5C9E" w:rsidRDefault="00445208" w:rsidP="00DB5C9E">
      <w:pPr>
        <w:pStyle w:val="JuQuot"/>
      </w:pPr>
      <w:r>
        <w:t>„Ponadto w Konstytucji nie określono precyzyjnie liczby członków WRS. [...] (…) [T]o dość niezwykłe, aby organ konstytucyjny istniał bez jasno ustalonej liczby członków (lub przynajmniej bez jasnej metody określania tej liczby). Sama idea „instytucji</w:t>
      </w:r>
      <w:r w:rsidR="00BF6A7A">
        <w:t>”</w:t>
      </w:r>
      <w:r>
        <w:t xml:space="preserve"> zakłada, że jej skład jest określony w ustawie lub w Konstytucji i nie jest pozostawiony uznaniu jednej osoby, nawet jeśli jest nią głowa państwa. Brak ustalonego składu podważa legalność decyzji podejmowanych przez ten organ.</w:t>
      </w:r>
      <w:r w:rsidR="00BF6A7A">
        <w:t>”</w:t>
      </w:r>
    </w:p>
    <w:p w14:paraId="362A0297" w14:textId="77777777" w:rsidR="00F5142C" w:rsidRPr="00DB5C9E" w:rsidRDefault="00445208" w:rsidP="00DB5C9E">
      <w:pPr>
        <w:pStyle w:val="JuQuot"/>
        <w:rPr>
          <w:sz w:val="16"/>
          <w:szCs w:val="16"/>
        </w:rPr>
      </w:pPr>
      <w:r>
        <w:rPr>
          <w:sz w:val="16"/>
        </w:rPr>
        <w:t>CDL-</w:t>
      </w:r>
      <w:proofErr w:type="gramStart"/>
      <w:r>
        <w:rPr>
          <w:sz w:val="16"/>
        </w:rPr>
        <w:t>AD(</w:t>
      </w:r>
      <w:proofErr w:type="gramEnd"/>
      <w:r>
        <w:rPr>
          <w:sz w:val="16"/>
        </w:rPr>
        <w:t>2018)032, Opinia w sprawie dokumentu koncepcyjnego dotyczącego reformy Wysokiej Rady Sądownictwa Kazachstanu, § 22</w:t>
      </w:r>
    </w:p>
    <w:p w14:paraId="04B22770" w14:textId="77777777" w:rsidR="00F5142C" w:rsidRPr="00DB5C9E" w:rsidRDefault="00445208" w:rsidP="00DB5C9E">
      <w:pPr>
        <w:pStyle w:val="JuQuot"/>
      </w:pPr>
      <w:r>
        <w:t>„[...] Parlament, korzystając ze swoich uprawnień legislacyjnych w celu zaprojektowania przyszłego ustroju i działalności sądownictwa, powinien powstrzymać się od przyjmowania środków, które zagrażałyby ciągłości członkostwa w Wysokiej Radzie Sprawiedliwości. Przedwczesne usunięcie wszystkich członków Rady stworzyłoby precedens, na podstawie którego każdy kolejny rząd lub nowy Parlament, który nie zaakceptowałby składu Rady lub członkostwa w niej, mógłby zakończyć jej istnienie i zastąpić ją nową Radą. W wielu okolicznościach taka zmiana, zwłaszcza przeprowadzona z niewielkim wyprzedzeniem, mogłaby wzbudzić podejrzenie, że jej intencją jest wywarcie wpływu na sprawy rozpatrywane przez Radę.”</w:t>
      </w:r>
    </w:p>
    <w:p w14:paraId="419F993A" w14:textId="77777777" w:rsidR="00F5142C" w:rsidRPr="00DB5C9E" w:rsidRDefault="00445208" w:rsidP="00DB5C9E">
      <w:pPr>
        <w:pStyle w:val="JuQuot"/>
        <w:rPr>
          <w:sz w:val="16"/>
          <w:szCs w:val="16"/>
        </w:rPr>
      </w:pPr>
      <w:r>
        <w:rPr>
          <w:sz w:val="16"/>
        </w:rPr>
        <w:t>CDL-</w:t>
      </w:r>
      <w:proofErr w:type="gramStart"/>
      <w:r>
        <w:rPr>
          <w:sz w:val="16"/>
        </w:rPr>
        <w:t>AD(</w:t>
      </w:r>
      <w:proofErr w:type="gramEnd"/>
      <w:r>
        <w:rPr>
          <w:sz w:val="16"/>
        </w:rPr>
        <w:t>2013)007, Opinia w sprawie projektu zmian w ustawie organicznej Gruzji o sądach powszechnych, §§ 69-72.</w:t>
      </w:r>
    </w:p>
    <w:p w14:paraId="22C61FFD" w14:textId="77777777" w:rsidR="00F5142C" w:rsidRPr="00DB5C9E" w:rsidRDefault="00445208" w:rsidP="00DB5C9E">
      <w:pPr>
        <w:pStyle w:val="JuQuot"/>
      </w:pPr>
      <w:r>
        <w:t>„[...] Komisja Wenecka i Dyrekcja uważają, że co do zasady nienaruszalność określonej kadencji członków organów konstytucyjnych służy zapewnieniu ich niezależności od nacisków z zewnątrz. Dlatego środki, które zagrażałyby ciągłości składu i ingerowałyby w pewność pełnienia funkcji przez członków tego organu, budziłyby podejrzenie, że ich celem jest wpłynięcie na decyzje organu.”</w:t>
      </w:r>
    </w:p>
    <w:p w14:paraId="25C5DF30" w14:textId="7D19199C" w:rsidR="00F5142C" w:rsidRPr="00DB5C9E" w:rsidRDefault="00445208" w:rsidP="00DB5C9E">
      <w:pPr>
        <w:pStyle w:val="JuQuot"/>
      </w:pPr>
      <w:r>
        <w:rPr>
          <w:sz w:val="16"/>
        </w:rPr>
        <w:t>CDL-</w:t>
      </w:r>
      <w:proofErr w:type="gramStart"/>
      <w:r>
        <w:rPr>
          <w:sz w:val="16"/>
        </w:rPr>
        <w:t>AD(</w:t>
      </w:r>
      <w:proofErr w:type="gramEnd"/>
      <w:r>
        <w:rPr>
          <w:sz w:val="16"/>
        </w:rPr>
        <w:t>2020)001, Wspólna opinia Komisji Weneckiej i Dyrekcji Generalnej Praw Człowieka i</w:t>
      </w:r>
      <w:r w:rsidR="00AD1BB9">
        <w:rPr>
          <w:sz w:val="16"/>
        </w:rPr>
        <w:t> </w:t>
      </w:r>
      <w:r>
        <w:rPr>
          <w:sz w:val="16"/>
        </w:rPr>
        <w:t>Praworządności (DGI) Rady Europy w sprawie projektu ustawy zmieniającej i uzupełniającej przepisy konstytucyjne dotyczące Najwyższej Rady Sądownictwa Mołdawii, § 57</w:t>
      </w:r>
    </w:p>
    <w:p w14:paraId="331009B5" w14:textId="77777777" w:rsidR="00F5142C" w:rsidRPr="00DB5C9E" w:rsidRDefault="00445208" w:rsidP="00DB5C9E">
      <w:pPr>
        <w:pStyle w:val="JuHHead"/>
      </w:pPr>
      <w:r>
        <w:lastRenderedPageBreak/>
        <w:t>PRAWO</w:t>
      </w:r>
    </w:p>
    <w:p w14:paraId="0951335B" w14:textId="77777777" w:rsidR="00F5142C" w:rsidRPr="00DB5C9E" w:rsidRDefault="00445208" w:rsidP="00DB5C9E">
      <w:pPr>
        <w:pStyle w:val="JuHIRoman"/>
      </w:pPr>
      <w:r>
        <w:t>UWAGI WSTĘPNE</w:t>
      </w:r>
    </w:p>
    <w:p w14:paraId="0B2BF24B" w14:textId="77777777" w:rsidR="00F5142C" w:rsidRPr="00DB5C9E" w:rsidRDefault="00445208" w:rsidP="00DB5C9E">
      <w:pPr>
        <w:pStyle w:val="JuHA"/>
      </w:pPr>
      <w:r>
        <w:t>Zakres sprawy</w:t>
      </w:r>
    </w:p>
    <w:bookmarkStart w:id="32" w:name="paragraph00069"/>
    <w:p w14:paraId="2FFADE9F" w14:textId="41E0A5F3" w:rsidR="00F5142C" w:rsidRPr="00DB5C9E" w:rsidRDefault="00445208" w:rsidP="00DB5C9E">
      <w:pPr>
        <w:pStyle w:val="JuPara"/>
        <w:rPr>
          <w:rFonts w:ascii="Times New Roman" w:eastAsia="Times New Roman" w:hAnsi="Times New Roman" w:cs="Times New Roman"/>
        </w:rPr>
      </w:pPr>
      <w:r w:rsidRPr="00DB5C9E">
        <w:fldChar w:fldCharType="begin"/>
      </w:r>
      <w:r w:rsidRPr="00DB5C9E">
        <w:instrText xml:space="preserve"> SEQ level0 \*arabic \* MERGEFORMAT </w:instrText>
      </w:r>
      <w:r w:rsidRPr="00DB5C9E">
        <w:fldChar w:fldCharType="separate"/>
      </w:r>
      <w:r w:rsidR="00446BA2">
        <w:rPr>
          <w:noProof/>
        </w:rPr>
        <w:t>69</w:t>
      </w:r>
      <w:r w:rsidRPr="00DB5C9E">
        <w:fldChar w:fldCharType="end"/>
      </w:r>
      <w:bookmarkEnd w:id="32"/>
      <w:r>
        <w:t>.  Mając na uwadze obszerne i czasami niejasne stanowiska obu stron w</w:t>
      </w:r>
      <w:r w:rsidR="00AD1BB9">
        <w:t> </w:t>
      </w:r>
      <w:r>
        <w:t>sprawie, Trybunał uznaje za stosowne odnotować, że zakres sprawy jest ograniczony do zarzutów zakomunikowanych Rządowi w ramach skargi nr</w:t>
      </w:r>
      <w:r w:rsidR="00AD1BB9">
        <w:t> </w:t>
      </w:r>
      <w:r>
        <w:t xml:space="preserve">14396/24, a mianowicie zarzutów dotyczących art. 6 i 8 Konwencji </w:t>
      </w:r>
      <w:r w:rsidRPr="00AD1BB9">
        <w:t>w</w:t>
      </w:r>
      <w:r w:rsidR="00AD1BB9">
        <w:t> </w:t>
      </w:r>
      <w:r w:rsidRPr="00AD1BB9">
        <w:t>związku</w:t>
      </w:r>
      <w:r>
        <w:t xml:space="preserve"> z postępowaniem o sygn. 37/2020; pozostała część skargi została natomiast uznana za niedopuszczalną przez Trybunał zasiadający w składzie jednego sędziego – Przewodniczącego Sekcji (zob. Reguła 27A § 2 lit. a) i</w:t>
      </w:r>
      <w:r w:rsidR="00AD1BB9">
        <w:t> </w:t>
      </w:r>
      <w:r>
        <w:t>Reguła 54 § 3 Regulaminu Trybunału), a inne skargi wniesione do</w:t>
      </w:r>
      <w:r w:rsidR="00BF6A7A">
        <w:t> </w:t>
      </w:r>
      <w:r>
        <w:t>Trybunału zostały rozpatrzone odrębnie i niezależnie od niniejszej sprawy.</w:t>
      </w:r>
    </w:p>
    <w:p w14:paraId="463B3627" w14:textId="77777777" w:rsidR="00F5142C" w:rsidRPr="00DB5C9E" w:rsidRDefault="00445208" w:rsidP="00DB5C9E">
      <w:pPr>
        <w:pStyle w:val="JuHA"/>
      </w:pPr>
      <w:r>
        <w:t>Zastrzeżenie Rządu co do nadużycia prawa do skargi</w:t>
      </w:r>
    </w:p>
    <w:p w14:paraId="68995F71" w14:textId="77777777" w:rsidR="00F5142C" w:rsidRPr="00DB5C9E" w:rsidRDefault="00446BA2" w:rsidP="00DB5C9E">
      <w:pPr>
        <w:pStyle w:val="JuPara"/>
      </w:pPr>
      <w:fldSimple w:instr=" SEQ level0 \*arabic \* MERGEFORMAT ">
        <w:r>
          <w:rPr>
            <w:noProof/>
          </w:rPr>
          <w:t>70</w:t>
        </w:r>
      </w:fldSimple>
      <w:r w:rsidR="00445208">
        <w:t>.  Trybunał przypomina, że skarga może zostać odrzucona jako stanowiąca nadużycie prawa do skargi na podstawie art. 35 ust. 3 lit. a) Konwencji, który stanowi, w istotnym zakresie:</w:t>
      </w:r>
    </w:p>
    <w:p w14:paraId="5EEF53C1" w14:textId="58FB86C4" w:rsidR="00F5142C" w:rsidRPr="00DB5C9E" w:rsidRDefault="00445208" w:rsidP="00DB5C9E">
      <w:pPr>
        <w:pStyle w:val="JuQuot"/>
      </w:pPr>
      <w:r>
        <w:t>„Trybunał uznaje za niedopuszczalną każdą skargę indywidualną wniesioną w trybie artykułu 34, jeśli uważa, że [</w:t>
      </w:r>
      <w:r w:rsidR="00BF6A7A">
        <w:t>…</w:t>
      </w:r>
      <w:r>
        <w:t>] stanowi nadużycie prawa do skargi.”</w:t>
      </w:r>
    </w:p>
    <w:p w14:paraId="1E6D0DEC" w14:textId="77777777" w:rsidR="00F5142C" w:rsidRPr="00DB5C9E" w:rsidRDefault="00445208" w:rsidP="00DB5C9E">
      <w:pPr>
        <w:pStyle w:val="JuH1"/>
      </w:pPr>
      <w:r>
        <w:t>Stanowiska stron</w:t>
      </w:r>
    </w:p>
    <w:p w14:paraId="58BBE568" w14:textId="55D193BB" w:rsidR="00F5142C" w:rsidRPr="00DB5C9E" w:rsidRDefault="00446BA2" w:rsidP="00DB5C9E">
      <w:pPr>
        <w:pStyle w:val="JuPara"/>
      </w:pPr>
      <w:fldSimple w:instr=" SEQ level0 \*arabic \* MERGEFORMAT ">
        <w:r>
          <w:rPr>
            <w:noProof/>
          </w:rPr>
          <w:t>71</w:t>
        </w:r>
      </w:fldSimple>
      <w:r w:rsidR="00445208">
        <w:t>.  Rząd podniósł, że skarga jest niedopuszczalna z powodu nadużycia prawa do skargi. Wskazał na: i) chaotyczne przedstawienie faktów przez skarżącego, obejmujące również nieprawdziwe fakty (w odniesieniu do</w:t>
      </w:r>
      <w:r w:rsidR="00AD1BB9">
        <w:t> </w:t>
      </w:r>
      <w:r w:rsidR="00445208">
        <w:t>procedury powołania i właściwych przepisów) oraz kwestie niezwiązane z niniejszą skargą (przy czym niektóre dotyczyły innych skarg wniesionych przez skarżącego do Trybunału); ii) brak niektórych dokumentów (lub stron) dotyczących postępowania o sygn. 37/2020 oraz nadmierną dokumentację dotyczącą innych postępowań wszczętych przez skarżącego na szczeblu krajowym, które to okoliczności wynikają z działań skarżącego mających na</w:t>
      </w:r>
      <w:r w:rsidR="00AD1BB9">
        <w:t> </w:t>
      </w:r>
      <w:r w:rsidR="00445208">
        <w:t>celu wyłącznie wywołanie zamieszania i trudności; iii) publikację w</w:t>
      </w:r>
      <w:r w:rsidR="00AD1BB9">
        <w:t> </w:t>
      </w:r>
      <w:r w:rsidR="00445208">
        <w:t>internetowej bazie orzeczeń Trybunału (HUDOC) zawiadomienia Rządu o</w:t>
      </w:r>
      <w:r w:rsidR="00AD1BB9">
        <w:t> </w:t>
      </w:r>
      <w:r w:rsidR="00445208">
        <w:t>niniejszej skardze, o czym informowano w prasie i co mogło potencjalnie wywierać presję na sędziach w innych toczących się postępowaniach, a także fakt, że skarżący powoływał się na rzeczone zawiadomienie w innych postępowaniach na swoją korzyść, co zdaniem Rządu nie było zgodne z</w:t>
      </w:r>
      <w:r w:rsidR="00AD1BB9">
        <w:t> </w:t>
      </w:r>
      <w:r w:rsidR="00445208">
        <w:t xml:space="preserve">zasadami poufności; oraz iv) </w:t>
      </w:r>
      <w:proofErr w:type="spellStart"/>
      <w:r w:rsidR="00405463">
        <w:t>czwartoinstancyjny</w:t>
      </w:r>
      <w:proofErr w:type="spellEnd"/>
      <w:r w:rsidR="00445208">
        <w:t xml:space="preserve"> charakter zarzutów skarżącego.</w:t>
      </w:r>
    </w:p>
    <w:p w14:paraId="3B5CBC58" w14:textId="6FBA9799" w:rsidR="00F5142C" w:rsidRPr="00DB5C9E" w:rsidRDefault="00446BA2" w:rsidP="00DB5C9E">
      <w:pPr>
        <w:pStyle w:val="JuPara"/>
      </w:pPr>
      <w:fldSimple w:instr=" SEQ level0 \*arabic \* MERGEFORMAT ">
        <w:r>
          <w:rPr>
            <w:noProof/>
          </w:rPr>
          <w:t>72</w:t>
        </w:r>
      </w:fldSimple>
      <w:r w:rsidR="00445208">
        <w:t xml:space="preserve">.  W odpowiedzi skarżący stwierdził, że Rząd nadużywał systemu, próbując wprowadzić Trybunał w błąd, przedstawiając niekompletny stan faktyczny, ramy prawne i nadmiernie obszerne </w:t>
      </w:r>
      <w:r w:rsidR="00952B30">
        <w:t>uwagi</w:t>
      </w:r>
      <w:r w:rsidR="00445208">
        <w:t xml:space="preserve"> oraz opierając się na</w:t>
      </w:r>
      <w:r w:rsidR="00AD1BB9">
        <w:t> </w:t>
      </w:r>
      <w:r w:rsidR="00445208">
        <w:t>argumentach, które nigdy nie były poddane pod rozstrzygnięcie sądów krajowych. Ponadto zastrzeżenie oparte było na nieistotnych, bezpodstawnych i niedokładnych twierdzeniach. Skarżący argumentował, że</w:t>
      </w:r>
      <w:r w:rsidR="00AD1BB9">
        <w:t> </w:t>
      </w:r>
      <w:r w:rsidR="00445208">
        <w:t>pomijając fakty i mieszając chronologię, Rząd nie wywiązywał się ze</w:t>
      </w:r>
      <w:r w:rsidR="00AD1BB9">
        <w:t> </w:t>
      </w:r>
      <w:r w:rsidR="00445208">
        <w:t>swojego obowiązku pełnej współpracy w toku postępowania (Reguła 44A Regulaminu Trybunału). Ponadto wyjaśnił, że nie doszło do ujawnienia negocjacji mających na celu polubowne załatwienie sprawy między stronami, ani też na takie negocjacje nie powołał się Rząd, który najwyraźniej jedynie sugerował, że Trybunał powinien zachować milczenie w sprawach zakomunikowanych Rządowi, że sędziowie krajowi powinni pozostać w</w:t>
      </w:r>
      <w:r w:rsidR="00AD1BB9">
        <w:t> </w:t>
      </w:r>
      <w:r w:rsidR="00445208">
        <w:t>niewiedzy na temat postępowań przed ETPC oraz że prasa (za którą skarżący nie odpowiada) nie powinna wykazywać zainteresowania takimi sprawami.</w:t>
      </w:r>
    </w:p>
    <w:p w14:paraId="6FB25595" w14:textId="5978D91C" w:rsidR="00F5142C" w:rsidRPr="00DB5C9E" w:rsidRDefault="00BF6A7A" w:rsidP="00DB5C9E">
      <w:pPr>
        <w:pStyle w:val="JuH1"/>
      </w:pPr>
      <w:r>
        <w:t>Ocena Trybunału</w:t>
      </w:r>
    </w:p>
    <w:p w14:paraId="278A1843" w14:textId="77777777" w:rsidR="00F5142C" w:rsidRPr="00DB5C9E" w:rsidRDefault="00445208" w:rsidP="00DB5C9E">
      <w:pPr>
        <w:pStyle w:val="JuHa0"/>
      </w:pPr>
      <w:r>
        <w:t>Zasady ogólne</w:t>
      </w:r>
    </w:p>
    <w:p w14:paraId="77D181CD" w14:textId="65D337BF" w:rsidR="00F5142C" w:rsidRPr="00DB5C9E" w:rsidRDefault="00446BA2" w:rsidP="00DB5C9E">
      <w:pPr>
        <w:pStyle w:val="JuPara"/>
        <w:rPr>
          <w:rFonts w:ascii="Times New Roman" w:eastAsia="Times New Roman" w:hAnsi="Times New Roman" w:cs="Times New Roman"/>
        </w:rPr>
      </w:pPr>
      <w:fldSimple w:instr=" SEQ level0 \*arabic \* MERGEFORMAT ">
        <w:r>
          <w:rPr>
            <w:noProof/>
          </w:rPr>
          <w:t>73</w:t>
        </w:r>
      </w:fldSimple>
      <w:r w:rsidR="00445208">
        <w:t>.  </w:t>
      </w:r>
      <w:r w:rsidR="00445208">
        <w:rPr>
          <w:rFonts w:ascii="Times New Roman" w:hAnsi="Times New Roman"/>
        </w:rPr>
        <w:t xml:space="preserve">Trybunał powtarza, że zastosowanie art. 35 ust. 3 lit. a) Konwencji stanowi „wyjątkowy środek procesowy” i że pojęcie „nadużycia” musi być rozumiane w jego zwykłym znaczeniu zgodnie z ogólną teorią prawa – mianowicie jako szkodliwe korzystanie z prawa w celach innych niż te, dla których jest ono przeznaczone (zob. </w:t>
      </w:r>
      <w:proofErr w:type="spellStart"/>
      <w:r w:rsidR="00445208">
        <w:rPr>
          <w:rFonts w:ascii="Times New Roman" w:hAnsi="Times New Roman"/>
          <w:i/>
          <w:iCs/>
        </w:rPr>
        <w:t>Miroļubovs</w:t>
      </w:r>
      <w:proofErr w:type="spellEnd"/>
      <w:r w:rsidR="00445208">
        <w:rPr>
          <w:rFonts w:ascii="Times New Roman" w:hAnsi="Times New Roman"/>
          <w:i/>
          <w:iCs/>
        </w:rPr>
        <w:t xml:space="preserve"> i Inni przeciwko Łotwie</w:t>
      </w:r>
      <w:r w:rsidR="00445208">
        <w:rPr>
          <w:rFonts w:ascii="Times New Roman" w:hAnsi="Times New Roman"/>
        </w:rPr>
        <w:t>, nr</w:t>
      </w:r>
      <w:r w:rsidR="00BF6A7A">
        <w:rPr>
          <w:rFonts w:ascii="Times New Roman" w:hAnsi="Times New Roman"/>
        </w:rPr>
        <w:t> </w:t>
      </w:r>
      <w:r w:rsidR="00445208">
        <w:rPr>
          <w:rFonts w:ascii="Times New Roman" w:hAnsi="Times New Roman"/>
        </w:rPr>
        <w:t xml:space="preserve">798/05, § 62, 15 września 2009 r.; </w:t>
      </w:r>
      <w:r w:rsidR="00445208">
        <w:rPr>
          <w:rFonts w:ascii="Times New Roman" w:hAnsi="Times New Roman"/>
          <w:i/>
          <w:iCs/>
        </w:rPr>
        <w:t xml:space="preserve">De </w:t>
      </w:r>
      <w:proofErr w:type="spellStart"/>
      <w:r w:rsidR="00445208">
        <w:rPr>
          <w:rFonts w:ascii="Times New Roman" w:hAnsi="Times New Roman"/>
          <w:i/>
          <w:iCs/>
        </w:rPr>
        <w:t>Luca</w:t>
      </w:r>
      <w:proofErr w:type="spellEnd"/>
      <w:r w:rsidR="00445208">
        <w:rPr>
          <w:rFonts w:ascii="Times New Roman" w:hAnsi="Times New Roman"/>
          <w:i/>
          <w:iCs/>
        </w:rPr>
        <w:t xml:space="preserve"> przeciwko Włochom</w:t>
      </w:r>
      <w:r w:rsidR="00445208">
        <w:rPr>
          <w:rFonts w:ascii="Times New Roman" w:hAnsi="Times New Roman"/>
        </w:rPr>
        <w:t>, nr</w:t>
      </w:r>
      <w:r w:rsidR="00BF6A7A">
        <w:rPr>
          <w:rFonts w:ascii="Times New Roman" w:hAnsi="Times New Roman"/>
        </w:rPr>
        <w:t> </w:t>
      </w:r>
      <w:r w:rsidR="00445208">
        <w:rPr>
          <w:rFonts w:ascii="Times New Roman" w:hAnsi="Times New Roman"/>
        </w:rPr>
        <w:t xml:space="preserve">43870/04, § 35, 24 września 2013 r. oraz </w:t>
      </w:r>
      <w:proofErr w:type="spellStart"/>
      <w:r w:rsidR="00445208">
        <w:rPr>
          <w:rFonts w:ascii="Times New Roman" w:hAnsi="Times New Roman"/>
          <w:i/>
          <w:iCs/>
        </w:rPr>
        <w:t>Petrović</w:t>
      </w:r>
      <w:proofErr w:type="spellEnd"/>
      <w:r w:rsidR="00445208">
        <w:rPr>
          <w:rFonts w:ascii="Times New Roman" w:hAnsi="Times New Roman"/>
          <w:i/>
          <w:iCs/>
        </w:rPr>
        <w:t xml:space="preserve"> przeciwko Serbii</w:t>
      </w:r>
      <w:r w:rsidR="00445208">
        <w:rPr>
          <w:rFonts w:ascii="Times New Roman" w:hAnsi="Times New Roman"/>
        </w:rPr>
        <w:t xml:space="preserve"> (</w:t>
      </w:r>
      <w:proofErr w:type="spellStart"/>
      <w:r w:rsidR="00445208">
        <w:rPr>
          <w:rFonts w:ascii="Times New Roman" w:hAnsi="Times New Roman"/>
        </w:rPr>
        <w:t>dec</w:t>
      </w:r>
      <w:proofErr w:type="spellEnd"/>
      <w:r w:rsidR="00445208">
        <w:rPr>
          <w:rFonts w:ascii="Times New Roman" w:hAnsi="Times New Roman"/>
        </w:rPr>
        <w:t>.), nr 56551/11 i 10 innych, 18 października 2011 r.).</w:t>
      </w:r>
    </w:p>
    <w:bookmarkStart w:id="33" w:name="paragraph00074"/>
    <w:p w14:paraId="3B6D8FE8" w14:textId="0CC16FE2" w:rsidR="00F5142C" w:rsidRPr="00446BA2" w:rsidRDefault="00445208" w:rsidP="00DB5C9E">
      <w:pPr>
        <w:pStyle w:val="JuPara"/>
        <w:rPr>
          <w:rFonts w:eastAsia="Times New Roman"/>
          <w:lang w:val="it-IT"/>
        </w:rPr>
      </w:pPr>
      <w:r w:rsidRPr="00DB5C9E">
        <w:rPr>
          <w:rFonts w:eastAsia="Times New Roman"/>
        </w:rPr>
        <w:fldChar w:fldCharType="begin"/>
      </w:r>
      <w:r w:rsidRPr="00DB5C9E">
        <w:rPr>
          <w:rFonts w:eastAsia="Times New Roman"/>
        </w:rPr>
        <w:instrText xml:space="preserve"> SEQ level0 \*arabic \* MERGEFORMAT </w:instrText>
      </w:r>
      <w:r w:rsidRPr="00DB5C9E">
        <w:rPr>
          <w:rFonts w:eastAsia="Times New Roman"/>
        </w:rPr>
        <w:fldChar w:fldCharType="separate"/>
      </w:r>
      <w:r w:rsidR="00446BA2">
        <w:rPr>
          <w:rFonts w:eastAsia="Times New Roman"/>
          <w:noProof/>
        </w:rPr>
        <w:t>74</w:t>
      </w:r>
      <w:r w:rsidRPr="00DB5C9E">
        <w:rPr>
          <w:rFonts w:eastAsia="Times New Roman"/>
        </w:rPr>
        <w:fldChar w:fldCharType="end"/>
      </w:r>
      <w:bookmarkEnd w:id="33"/>
      <w:r>
        <w:t xml:space="preserve">.  Trybunał stosował ten przepis w czterech rodzajach sytuacji (zob. </w:t>
      </w:r>
      <w:proofErr w:type="spellStart"/>
      <w:r>
        <w:rPr>
          <w:i/>
          <w:iCs/>
        </w:rPr>
        <w:t>Miroļubovs</w:t>
      </w:r>
      <w:proofErr w:type="spellEnd"/>
      <w:r>
        <w:rPr>
          <w:i/>
          <w:iCs/>
        </w:rPr>
        <w:t xml:space="preserve"> i Inni</w:t>
      </w:r>
      <w:r>
        <w:t>, op. cit., §§ 62-66): w sprawach, w których skargi były świadomie oparte na nieprawdziwych okolicznościach faktycznych (zob.</w:t>
      </w:r>
      <w:bookmarkStart w:id="34" w:name="_cl44285THELAW"/>
      <w:r>
        <w:t xml:space="preserve"> </w:t>
      </w:r>
      <w:r>
        <w:rPr>
          <w:i/>
        </w:rPr>
        <w:t>Y.T. przeciwko Bułgarii</w:t>
      </w:r>
      <w:bookmarkEnd w:id="34"/>
      <w:r>
        <w:t xml:space="preserve"> (rewizja), nr 41701/16, §§ 35-40, 4 lipca 2024 r.); w</w:t>
      </w:r>
      <w:r w:rsidR="00AD1BB9">
        <w:t> </w:t>
      </w:r>
      <w:r>
        <w:t>sprawach, w których skarżący używa szczególnie złośliwego, pogardliwego, grożącego lub prowokacyjnego języka w</w:t>
      </w:r>
      <w:r w:rsidR="00BF6A7A">
        <w:t xml:space="preserve"> </w:t>
      </w:r>
      <w:r>
        <w:t xml:space="preserve">komunikacji z Trybunałem (zob. np. </w:t>
      </w:r>
      <w:proofErr w:type="spellStart"/>
      <w:r>
        <w:rPr>
          <w:i/>
          <w:iCs/>
        </w:rPr>
        <w:t>Duringer</w:t>
      </w:r>
      <w:proofErr w:type="spellEnd"/>
      <w:r>
        <w:rPr>
          <w:i/>
          <w:iCs/>
        </w:rPr>
        <w:t xml:space="preserve"> i </w:t>
      </w:r>
      <w:proofErr w:type="spellStart"/>
      <w:r>
        <w:rPr>
          <w:i/>
          <w:iCs/>
        </w:rPr>
        <w:t>Grunge</w:t>
      </w:r>
      <w:proofErr w:type="spellEnd"/>
      <w:r>
        <w:rPr>
          <w:i/>
          <w:iCs/>
        </w:rPr>
        <w:t xml:space="preserve"> przeciwko Francji</w:t>
      </w:r>
      <w:r>
        <w:t xml:space="preserve"> (</w:t>
      </w:r>
      <w:proofErr w:type="spellStart"/>
      <w:r>
        <w:t>dec</w:t>
      </w:r>
      <w:proofErr w:type="spellEnd"/>
      <w:r>
        <w:t>.), nr</w:t>
      </w:r>
      <w:r w:rsidR="00AD1BB9">
        <w:t> </w:t>
      </w:r>
      <w:r>
        <w:t xml:space="preserve">61164/00 i 18589/02, 4 lutego 2003 r.); w sprawach, w których skarżący celowo naruszył poufność negocjacji mających na celu polubowne załatwienie sprawy między stronami (zob. np. </w:t>
      </w:r>
      <w:proofErr w:type="spellStart"/>
      <w:r>
        <w:rPr>
          <w:i/>
          <w:iCs/>
        </w:rPr>
        <w:t>Deceuninck</w:t>
      </w:r>
      <w:proofErr w:type="spellEnd"/>
      <w:r>
        <w:rPr>
          <w:i/>
          <w:iCs/>
        </w:rPr>
        <w:t xml:space="preserve"> przeciwko Francji</w:t>
      </w:r>
      <w:r>
        <w:t xml:space="preserve"> (</w:t>
      </w:r>
      <w:proofErr w:type="spellStart"/>
      <w:r>
        <w:t>dec</w:t>
      </w:r>
      <w:proofErr w:type="spellEnd"/>
      <w:r>
        <w:t xml:space="preserve">.), skarga nr 47447/08, 13 grudnia 2011 r.); oraz w sprawach, w których skarżący wielokrotnie kierowali skargi z drobiazgowymi i w sposób oczywisty nieuzasadnionymi zarzutami, przypominające te, które uprzednio wnieśli i które zostały uznane za niedopuszczalne (zob. </w:t>
      </w:r>
      <w:r w:rsidRPr="00446BA2">
        <w:rPr>
          <w:i/>
          <w:iCs/>
          <w:lang w:val="it-IT"/>
        </w:rPr>
        <w:t>Anibal Vieira &amp; Filhos LDA i Maria Rosa Ferreira da Costa LDA przeciwko Portugalii</w:t>
      </w:r>
      <w:r w:rsidRPr="00446BA2">
        <w:rPr>
          <w:lang w:val="it-IT"/>
        </w:rPr>
        <w:t xml:space="preserve"> (dec.), nr 980/12 i 28385/12, 13 listopada 2012 r.).</w:t>
      </w:r>
    </w:p>
    <w:p w14:paraId="753689A0" w14:textId="70627E39" w:rsidR="00F5142C" w:rsidRPr="00DB5C9E" w:rsidRDefault="00445208" w:rsidP="00DB5C9E">
      <w:pPr>
        <w:pStyle w:val="JuPara"/>
      </w:pPr>
      <w:r w:rsidRPr="00DB5C9E">
        <w:rPr>
          <w:rFonts w:eastAsia="Times New Roman"/>
        </w:rPr>
        <w:lastRenderedPageBreak/>
        <w:fldChar w:fldCharType="begin"/>
      </w:r>
      <w:r w:rsidRPr="00DB5C9E">
        <w:rPr>
          <w:rFonts w:eastAsia="Times New Roman"/>
        </w:rPr>
        <w:instrText xml:space="preserve"> SEQ level0 \*arabic \* MERGEFORMAT </w:instrText>
      </w:r>
      <w:r w:rsidRPr="00DB5C9E">
        <w:rPr>
          <w:rFonts w:eastAsia="Times New Roman"/>
        </w:rPr>
        <w:fldChar w:fldCharType="separate"/>
      </w:r>
      <w:r w:rsidR="00446BA2">
        <w:rPr>
          <w:rFonts w:eastAsia="Times New Roman"/>
          <w:noProof/>
        </w:rPr>
        <w:t>75</w:t>
      </w:r>
      <w:r w:rsidRPr="00DB5C9E">
        <w:rPr>
          <w:rFonts w:eastAsia="Times New Roman"/>
        </w:rPr>
        <w:fldChar w:fldCharType="end"/>
      </w:r>
      <w:r>
        <w:t>.  Jednakże Trybunał orzekł, że pojęcie nadużycia prawa do skargi na</w:t>
      </w:r>
      <w:r w:rsidR="00AD1BB9">
        <w:t> </w:t>
      </w:r>
      <w:r>
        <w:t xml:space="preserve">podstawie art. 35 ust. 3 lit. a) Konwencji nie ogranicza się do tych czterech sytuacji i że inne sytuacje również mogą być uznane za stanowiące nadużycie tego prawa. Co do zasady każde zachowanie ze strony skarżącego, które jest w sposób oczywisty sprzeczne z celem prawa do skargi indywidualnej przewidzianym w Konwencji i które utrudnia właściwe funkcjonowanie Trybunału lub prawidłowy przebieg postępowania przed nim, można uznać za nadużycie prawa do skargi (zob. </w:t>
      </w:r>
      <w:proofErr w:type="spellStart"/>
      <w:r>
        <w:rPr>
          <w:i/>
        </w:rPr>
        <w:t>Miroļubovs</w:t>
      </w:r>
      <w:proofErr w:type="spellEnd"/>
      <w:r>
        <w:rPr>
          <w:i/>
        </w:rPr>
        <w:t xml:space="preserve"> i Inni</w:t>
      </w:r>
      <w:r>
        <w:t xml:space="preserve">, op. cit., § 65; </w:t>
      </w:r>
      <w:r>
        <w:rPr>
          <w:i/>
        </w:rPr>
        <w:t xml:space="preserve">S.A.S. przeciwko Francji </w:t>
      </w:r>
      <w:r>
        <w:t xml:space="preserve">[WI], nr 43835/11, § 67, ETPC 2014 (fragmenty); </w:t>
      </w:r>
      <w:r>
        <w:rPr>
          <w:i/>
        </w:rPr>
        <w:t xml:space="preserve">Koch przeciwko Polsce </w:t>
      </w:r>
      <w:r>
        <w:t>(</w:t>
      </w:r>
      <w:proofErr w:type="spellStart"/>
      <w:r>
        <w:t>dec</w:t>
      </w:r>
      <w:proofErr w:type="spellEnd"/>
      <w:r>
        <w:t>.), nr 15005/11, 7 marca 2017 r.).</w:t>
      </w:r>
    </w:p>
    <w:p w14:paraId="484AB0DE" w14:textId="02EA78E7" w:rsidR="00F5142C" w:rsidRPr="00DB5C9E" w:rsidRDefault="00445208" w:rsidP="00DB5C9E">
      <w:pPr>
        <w:pStyle w:val="JuPara"/>
        <w:rPr>
          <w:rFonts w:eastAsia="Times New Roman"/>
        </w:rPr>
      </w:pPr>
      <w:r w:rsidRPr="00DB5C9E">
        <w:rPr>
          <w:rFonts w:eastAsia="Times New Roman"/>
        </w:rPr>
        <w:fldChar w:fldCharType="begin"/>
      </w:r>
      <w:r w:rsidRPr="00DB5C9E">
        <w:rPr>
          <w:rFonts w:eastAsia="Times New Roman"/>
        </w:rPr>
        <w:instrText xml:space="preserve"> SEQ level0 \*arabic \* MERGEFORMAT </w:instrText>
      </w:r>
      <w:r w:rsidRPr="00DB5C9E">
        <w:rPr>
          <w:rFonts w:eastAsia="Times New Roman"/>
        </w:rPr>
        <w:fldChar w:fldCharType="separate"/>
      </w:r>
      <w:r w:rsidR="00446BA2">
        <w:rPr>
          <w:rFonts w:eastAsia="Times New Roman"/>
          <w:noProof/>
        </w:rPr>
        <w:t>76</w:t>
      </w:r>
      <w:r w:rsidRPr="00DB5C9E">
        <w:rPr>
          <w:rFonts w:eastAsia="Times New Roman"/>
        </w:rPr>
        <w:fldChar w:fldCharType="end"/>
      </w:r>
      <w:r>
        <w:t>.  Ponadto Trybunał stwierdził, że nadużycie krajowych środków odwoławczych oraz zachowanie skarżącego przed organami krajowymi są</w:t>
      </w:r>
      <w:r w:rsidR="00AD1BB9">
        <w:t> </w:t>
      </w:r>
      <w:r>
        <w:t>istotnymi czynnikami przy ocenie, czy skarga powinna być uznana za</w:t>
      </w:r>
      <w:r w:rsidR="00AD1BB9">
        <w:t> </w:t>
      </w:r>
      <w:r>
        <w:t xml:space="preserve">stanowiącą nadużycie prawa do skargi (zob. </w:t>
      </w:r>
      <w:r>
        <w:rPr>
          <w:i/>
          <w:iCs/>
        </w:rPr>
        <w:t>Bock przeciwko Niemcom</w:t>
      </w:r>
      <w:r>
        <w:t xml:space="preserve"> (</w:t>
      </w:r>
      <w:proofErr w:type="spellStart"/>
      <w:r>
        <w:t>dec</w:t>
      </w:r>
      <w:proofErr w:type="spellEnd"/>
      <w:r>
        <w:t xml:space="preserve">.), nr 22051/07, 19 stycznia 2010 r.; </w:t>
      </w:r>
      <w:r>
        <w:rPr>
          <w:i/>
          <w:iCs/>
        </w:rPr>
        <w:t>Dudek (VIII) przeciwko Niemcom</w:t>
      </w:r>
      <w:r>
        <w:t xml:space="preserve"> (</w:t>
      </w:r>
      <w:proofErr w:type="spellStart"/>
      <w:r>
        <w:t>dec</w:t>
      </w:r>
      <w:proofErr w:type="spellEnd"/>
      <w:r>
        <w:t xml:space="preserve">.), nr 12977/09 i 4 inne, 23 listopada 2010 r.; oraz </w:t>
      </w:r>
      <w:r>
        <w:rPr>
          <w:i/>
          <w:iCs/>
        </w:rPr>
        <w:t>Ferrara i Inni przeciwko Włochom</w:t>
      </w:r>
      <w:r>
        <w:t xml:space="preserve"> (</w:t>
      </w:r>
      <w:proofErr w:type="spellStart"/>
      <w:r>
        <w:t>dec</w:t>
      </w:r>
      <w:proofErr w:type="spellEnd"/>
      <w:r>
        <w:t>.), nr 2394/22 i 18 innych, § 43, 16 maja 2023 r.). W</w:t>
      </w:r>
      <w:r w:rsidR="00AD1BB9">
        <w:t> </w:t>
      </w:r>
      <w:r>
        <w:t xml:space="preserve">odniesieniu do elementu subiektywnego Trybunał podkreślił, że aby zachowanie można było zakwalifikować jako nadużycie prawa do skargi, musi być ono zamierzone, a zamiar musi być ustalony z wystarczającą pewnością (zob. </w:t>
      </w:r>
      <w:r>
        <w:rPr>
          <w:i/>
          <w:iCs/>
        </w:rPr>
        <w:t>Gross przeciwko Szwajcarii</w:t>
      </w:r>
      <w:r>
        <w:t xml:space="preserve"> [WI], nr 67810/10, § 28, ETPC 2014; </w:t>
      </w:r>
      <w:proofErr w:type="spellStart"/>
      <w:r>
        <w:rPr>
          <w:i/>
          <w:iCs/>
        </w:rPr>
        <w:t>Miroļubovs</w:t>
      </w:r>
      <w:proofErr w:type="spellEnd"/>
      <w:r>
        <w:rPr>
          <w:i/>
          <w:iCs/>
        </w:rPr>
        <w:t xml:space="preserve"> i Inni</w:t>
      </w:r>
      <w:r>
        <w:t xml:space="preserve">, op. cit., § 66; oraz </w:t>
      </w:r>
      <w:r>
        <w:rPr>
          <w:i/>
          <w:iCs/>
        </w:rPr>
        <w:t>Ferrara i Inni</w:t>
      </w:r>
      <w:r>
        <w:t>, op. cit., §§ 63 i</w:t>
      </w:r>
      <w:r w:rsidR="00AD1BB9">
        <w:t> </w:t>
      </w:r>
      <w:r>
        <w:t>66).</w:t>
      </w:r>
    </w:p>
    <w:p w14:paraId="7470044B" w14:textId="77777777" w:rsidR="00F5142C" w:rsidRPr="00DB5C9E" w:rsidRDefault="00445208" w:rsidP="00DB5C9E">
      <w:pPr>
        <w:pStyle w:val="JuHa0"/>
      </w:pPr>
      <w:r>
        <w:t>Zastosowanie w niniejszej sprawie</w:t>
      </w:r>
    </w:p>
    <w:p w14:paraId="0861B4AD" w14:textId="16BF738C" w:rsidR="00F5142C" w:rsidRPr="00DB5C9E" w:rsidRDefault="00446BA2" w:rsidP="00DB5C9E">
      <w:pPr>
        <w:pStyle w:val="JuPara"/>
      </w:pPr>
      <w:fldSimple w:instr=" SEQ level0 \*arabic \* MERGEFORMAT ">
        <w:r>
          <w:rPr>
            <w:noProof/>
          </w:rPr>
          <w:t>77</w:t>
        </w:r>
      </w:fldSimple>
      <w:r w:rsidR="00445208">
        <w:t>.  Przechodząc do niniejszej sprawy, po pierwsze Trybunał zauważa, że</w:t>
      </w:r>
      <w:r w:rsidR="00AD1BB9">
        <w:t> </w:t>
      </w:r>
      <w:r w:rsidR="00445208">
        <w:t xml:space="preserve">nadmiernie obszerne stanowiska stron dotyczące tego zastrzeżenia zostały przedstawione z całkowitym zlekceważeniem zakresu sprawy zakomunikowanej Rządowi (zob. par. </w:t>
      </w:r>
      <w:r w:rsidR="00445208" w:rsidRPr="00DB5C9E">
        <w:fldChar w:fldCharType="begin"/>
      </w:r>
      <w:r w:rsidR="00445208" w:rsidRPr="00DB5C9E">
        <w:instrText xml:space="preserve">REF paragraph00069 \h \* CharFormat </w:instrText>
      </w:r>
      <w:r w:rsidR="00445208" w:rsidRPr="00DB5C9E">
        <w:fldChar w:fldCharType="separate"/>
      </w:r>
      <w:r>
        <w:t>69</w:t>
      </w:r>
      <w:r w:rsidR="00445208" w:rsidRPr="00DB5C9E">
        <w:fldChar w:fldCharType="end"/>
      </w:r>
      <w:r w:rsidR="00445208">
        <w:t xml:space="preserve"> powyżej). W zakresie, w jakim Rząd kwestionuje „nieprawdziwe okoliczności faktyczne” związane z</w:t>
      </w:r>
      <w:r w:rsidR="00AD1BB9">
        <w:t> </w:t>
      </w:r>
      <w:r w:rsidR="00445208">
        <w:t>zakresem sprawy rozpoznawanej przez Trybunał, nie wykluczając, że</w:t>
      </w:r>
      <w:r w:rsidR="00AD1BB9">
        <w:t> </w:t>
      </w:r>
      <w:r w:rsidR="00445208">
        <w:t>pewne stwierdzenia ze strony skarżącego mogłyby być uznane za</w:t>
      </w:r>
      <w:r w:rsidR="00AD1BB9">
        <w:t> </w:t>
      </w:r>
      <w:r w:rsidR="00445208">
        <w:t>„nieprawdę” lub w każdym razie przesadę, Trybunał zauważa, że kwestie sporne między stronami, poza tymi dotyczącymi zagadnień językowych lub kwestii nieistotnych dla prawnej oceny sprawy, dotyczą głównie wykładni ram prawnych i praktyki w systemie krajowym, co raczej związane jest z</w:t>
      </w:r>
      <w:r w:rsidR="00AD1BB9">
        <w:t> </w:t>
      </w:r>
      <w:r w:rsidR="00445208">
        <w:t xml:space="preserve">możliwością zastosowania powołanych przepisów oraz z przedmiotem zarzutów i co będzie, w zakresie, w jakim jest to istotne, rozpatrzone odpowiednio w tym kontekście. Niezależnie od tego, czy argumenty skarżącego są uzasadnione, nic nie wskazuje na to, że miało miejsce celowe zniekształcenie niepodważalnych okoliczności faktycznych w celu wprowadzenia Trybunału w błąd (por. </w:t>
      </w:r>
      <w:r w:rsidR="00445208">
        <w:rPr>
          <w:i/>
          <w:iCs/>
        </w:rPr>
        <w:t>X i Inni przeciwko Bułgarii</w:t>
      </w:r>
      <w:r w:rsidR="00445208">
        <w:t xml:space="preserve"> [WI], nr</w:t>
      </w:r>
      <w:r w:rsidR="00AD1BB9">
        <w:t> </w:t>
      </w:r>
      <w:r w:rsidR="00445208">
        <w:t xml:space="preserve">22457/16, § 145, 2 lutego 2021 r. i </w:t>
      </w:r>
      <w:proofErr w:type="spellStart"/>
      <w:r w:rsidR="00445208">
        <w:rPr>
          <w:i/>
          <w:iCs/>
        </w:rPr>
        <w:t>Bencheref</w:t>
      </w:r>
      <w:proofErr w:type="spellEnd"/>
      <w:r w:rsidR="00445208">
        <w:rPr>
          <w:i/>
          <w:iCs/>
        </w:rPr>
        <w:t xml:space="preserve"> przeciwko Szwecji</w:t>
      </w:r>
      <w:r w:rsidR="00445208">
        <w:t xml:space="preserve"> (</w:t>
      </w:r>
      <w:proofErr w:type="spellStart"/>
      <w:r w:rsidR="00445208">
        <w:t>dec</w:t>
      </w:r>
      <w:proofErr w:type="spellEnd"/>
      <w:r w:rsidR="00445208">
        <w:t>.), nr</w:t>
      </w:r>
      <w:r w:rsidR="00AD1BB9">
        <w:t> </w:t>
      </w:r>
      <w:r w:rsidR="00445208">
        <w:t>9602/15, 5 grudnia 2017 r.).</w:t>
      </w:r>
    </w:p>
    <w:p w14:paraId="275CF50A" w14:textId="77777777" w:rsidR="00F5142C" w:rsidRPr="00DB5C9E" w:rsidRDefault="00446BA2" w:rsidP="00DB5C9E">
      <w:pPr>
        <w:pStyle w:val="JuPara"/>
      </w:pPr>
      <w:fldSimple w:instr=" SEQ level0 \*arabic \* MERGEFORMAT ">
        <w:r>
          <w:rPr>
            <w:noProof/>
          </w:rPr>
          <w:t>78</w:t>
        </w:r>
      </w:fldSimple>
      <w:r w:rsidR="00445208">
        <w:t xml:space="preserve">.  Po drugie, choć skarżący rzeczywiście przedstawił obfitą dokumentację i stanowiska (związane z mnóstwem wszczętych postępowań krajowych), z których nie wszystkie były niezbędne do rozpoznania niniejszej sprawy, nic nie wskazuje na celowy zamiar utrudnienia właściwego funkcjonowania Trybunału lub prawidłowego przebiegu postępowania i nie można tego uznać za działanie stanowiące nadużycie (por. </w:t>
      </w:r>
      <w:bookmarkStart w:id="35" w:name="_cl34298THELAW"/>
      <w:proofErr w:type="spellStart"/>
      <w:r w:rsidR="00445208">
        <w:rPr>
          <w:i/>
          <w:iCs/>
        </w:rPr>
        <w:t>Podeschi</w:t>
      </w:r>
      <w:proofErr w:type="spellEnd"/>
      <w:r w:rsidR="00445208">
        <w:rPr>
          <w:i/>
          <w:iCs/>
        </w:rPr>
        <w:t xml:space="preserve"> przeciwko San Marino</w:t>
      </w:r>
      <w:r w:rsidR="00445208">
        <w:t>, nr 66357/14, § 88, 13 kwietnia 2017 r.). Podobnie nie można uznać, że</w:t>
      </w:r>
      <w:bookmarkEnd w:id="35"/>
      <w:r w:rsidR="00445208">
        <w:t xml:space="preserve"> Trybunał został wprowadzony w błąd w wyniku jakiegokolwiek pominięcia (np. brakującej dokumentacji), które dotyczyłoby samej istoty sprawy (por. </w:t>
      </w:r>
      <w:r w:rsidR="00445208">
        <w:rPr>
          <w:i/>
          <w:iCs/>
        </w:rPr>
        <w:t>Gross</w:t>
      </w:r>
      <w:r w:rsidR="00445208">
        <w:t>, op. cit., §§ 36-37).</w:t>
      </w:r>
    </w:p>
    <w:p w14:paraId="34315035" w14:textId="07869D87" w:rsidR="00F5142C" w:rsidRPr="00DB5C9E" w:rsidRDefault="00446BA2" w:rsidP="00DB5C9E">
      <w:pPr>
        <w:pStyle w:val="JuPara"/>
      </w:pPr>
      <w:fldSimple w:instr=" SEQ level0 \*arabic \* MERGEFORMAT ">
        <w:r>
          <w:rPr>
            <w:noProof/>
          </w:rPr>
          <w:t>79</w:t>
        </w:r>
      </w:fldSimple>
      <w:r w:rsidR="00445208">
        <w:t xml:space="preserve">.  Po trzecie w niniejszej sprawie to raczej Rząd w kontekście swoich </w:t>
      </w:r>
      <w:r w:rsidR="00952B30">
        <w:t>uwag</w:t>
      </w:r>
      <w:r w:rsidR="00445208">
        <w:rPr>
          <w:rStyle w:val="Odwoanieprzypisudolnego"/>
        </w:rPr>
        <w:footnoteReference w:id="5"/>
      </w:r>
      <w:r w:rsidR="00445208">
        <w:t xml:space="preserve"> odnosi się, co prawda w sposób ogólny, do starań o doprowadzenie do</w:t>
      </w:r>
      <w:r w:rsidR="00AD1BB9">
        <w:t> </w:t>
      </w:r>
      <w:r w:rsidR="00445208">
        <w:t>polubownego załatwienia sprawy między stronami, mimo że strony zostały pouczone, iż nie można przywoływać żadnych takich stanowisk w</w:t>
      </w:r>
      <w:r w:rsidR="00BF6A7A">
        <w:t> </w:t>
      </w:r>
      <w:r w:rsidR="00445208">
        <w:t xml:space="preserve">postępowaniu spornym (Reguła 62 § 2 Regulaminu Trybunału). Ponadto Rząd nie stwierdził, że doszło do takiego ujawnienia ze strony skarżącego lub jego przedstawicieli (por. </w:t>
      </w:r>
      <w:bookmarkStart w:id="36" w:name="_cl42194THELAW"/>
      <w:proofErr w:type="spellStart"/>
      <w:r w:rsidR="00445208">
        <w:rPr>
          <w:i/>
          <w:iCs/>
        </w:rPr>
        <w:t>Gherardi</w:t>
      </w:r>
      <w:proofErr w:type="spellEnd"/>
      <w:r w:rsidR="00445208">
        <w:rPr>
          <w:i/>
          <w:iCs/>
        </w:rPr>
        <w:t xml:space="preserve"> </w:t>
      </w:r>
      <w:proofErr w:type="spellStart"/>
      <w:r w:rsidR="00445208">
        <w:rPr>
          <w:i/>
          <w:iCs/>
        </w:rPr>
        <w:t>Martiri</w:t>
      </w:r>
      <w:proofErr w:type="spellEnd"/>
      <w:r w:rsidR="00445208">
        <w:rPr>
          <w:i/>
          <w:iCs/>
        </w:rPr>
        <w:t xml:space="preserve"> przeciwko San Marino</w:t>
      </w:r>
      <w:bookmarkEnd w:id="36"/>
      <w:r w:rsidR="00445208">
        <w:t>, nr</w:t>
      </w:r>
      <w:r w:rsidR="00AD1BB9">
        <w:t> </w:t>
      </w:r>
      <w:r w:rsidR="00445208">
        <w:t>35511/20, § 69, 15 grudnia 2022 r.), lecz skupił się w swoim zastrzeżeniu dotyczącym naruszenia poufności na fakcie, że prasa i skarżący podali do</w:t>
      </w:r>
      <w:r w:rsidR="00AD1BB9">
        <w:t> </w:t>
      </w:r>
      <w:r w:rsidR="00445208">
        <w:t>wiadomości publicznej fakt, iż niniejsza sprawa została zakomunikowana Rządowi. W związku z tym Trybunał zauważa, że w przeciwieństwie do</w:t>
      </w:r>
      <w:r w:rsidR="00AD1BB9">
        <w:t> </w:t>
      </w:r>
      <w:r w:rsidR="00445208">
        <w:t>negocjacji mających na celu polubowne załatwienie sprawy, takie informacje są publicznie dostępne i celowo podawane do wiadomości publicznej za pośrednictwem internetowej bazy Trybunału (HUDOC), przez co zapewnia się dostępność dla wszystkich zainteresowanych oraz przejrzystość procedur Trybunału. Tym samym przekazanie tej informacji publicznej przez skarżącego innym osobom, które same mogły uzyskać dostęp do tej informacji online i wyciągnąć własne wnioski co do jej znaczenia, nie jest zachowaniem nagannym i z pewnością skarżący nie może ponosić odpowiedzialności za opublikowanie przez prasę informacji publicznie dostępnej w sprawie będącej niewątpliwie przedmiotem zainteresowania mediów w pozwanym państwie.</w:t>
      </w:r>
    </w:p>
    <w:p w14:paraId="62DED758" w14:textId="77777777" w:rsidR="00F5142C" w:rsidRPr="00DB5C9E" w:rsidRDefault="00446BA2" w:rsidP="00DB5C9E">
      <w:pPr>
        <w:pStyle w:val="JuPara"/>
      </w:pPr>
      <w:fldSimple w:instr=" SEQ level0 \*arabic \* MERGEFORMAT ">
        <w:r>
          <w:rPr>
            <w:noProof/>
          </w:rPr>
          <w:t>80</w:t>
        </w:r>
      </w:fldSimple>
      <w:r w:rsidR="00445208">
        <w:t>.  W świetle powyższych rozważań zastrzeżenie Rządu należy oddalić.</w:t>
      </w:r>
    </w:p>
    <w:p w14:paraId="19F83FDC" w14:textId="77777777" w:rsidR="00F5142C" w:rsidRPr="00DB5C9E" w:rsidRDefault="00445208" w:rsidP="00DB5C9E">
      <w:pPr>
        <w:pStyle w:val="JuHIRoman"/>
      </w:pPr>
      <w:r>
        <w:t>ZARZUCANE NARUSZENIE ART. 6 KONWENCJI</w:t>
      </w:r>
    </w:p>
    <w:p w14:paraId="63B69C2F" w14:textId="0418E359" w:rsidR="00F5142C" w:rsidRPr="00DB5C9E" w:rsidRDefault="00446BA2" w:rsidP="00DB5C9E">
      <w:pPr>
        <w:pStyle w:val="JuPara"/>
      </w:pPr>
      <w:fldSimple w:instr=" SEQ level0 \*arabic \* MERGEFORMAT ">
        <w:r>
          <w:rPr>
            <w:noProof/>
          </w:rPr>
          <w:t>81</w:t>
        </w:r>
      </w:fldSimple>
      <w:r w:rsidR="00445208">
        <w:t>.  Skarżący zarzucił państwu interwencję władzy ustawodawczej w</w:t>
      </w:r>
      <w:r w:rsidR="00AD1BB9">
        <w:t> </w:t>
      </w:r>
      <w:r w:rsidR="00445208">
        <w:t>wymiar sprawiedliwości, sprzeczną z zasadą praworządności, której nie naprawiono w ramach postępowania o sygn. 37/2020, ze szkodą dla jego praw o charakterze cywilnym.</w:t>
      </w:r>
      <w:r w:rsidR="00445208">
        <w:rPr>
          <w:rFonts w:ascii="Times New Roman" w:hAnsi="Times New Roman"/>
        </w:rPr>
        <w:t xml:space="preserve"> </w:t>
      </w:r>
      <w:r w:rsidR="00445208">
        <w:t xml:space="preserve">Zarzucił również brak bezstronności sędziego S, który rozpoznawał jego odwołanie, a także przewlekłość postępowania, </w:t>
      </w:r>
      <w:r w:rsidR="00445208">
        <w:lastRenderedPageBreak/>
        <w:t>którą uznał za sprzeczną z tym, co przewiduje art. 6 Konwencji, brzmiący następująco:</w:t>
      </w:r>
    </w:p>
    <w:p w14:paraId="6F9298EE" w14:textId="43270D3F" w:rsidR="00F5142C" w:rsidRPr="00DB5C9E" w:rsidRDefault="00445208" w:rsidP="00DB5C9E">
      <w:pPr>
        <w:pStyle w:val="JuQuot"/>
      </w:pPr>
      <w:r>
        <w:t>„Każdy ma prawo do sprawiedliwego [...] rozpatrzenia jego sprawy w rozsądnym terminie przez niezawisły i bezstronny sąd ustanowiony ustawą przy rozstrzyganiu o</w:t>
      </w:r>
      <w:r w:rsidR="00AD1BB9">
        <w:t> </w:t>
      </w:r>
      <w:r>
        <w:t>jego prawach i obowiązkach o charakterze cywilnym [...]”.</w:t>
      </w:r>
    </w:p>
    <w:p w14:paraId="6601C4D7" w14:textId="77777777" w:rsidR="00F5142C" w:rsidRPr="00DB5C9E" w:rsidRDefault="00445208" w:rsidP="00DB5C9E">
      <w:pPr>
        <w:pStyle w:val="JuHA"/>
      </w:pPr>
      <w:r>
        <w:t>Dopuszczalność</w:t>
      </w:r>
    </w:p>
    <w:p w14:paraId="6CE958F9" w14:textId="77777777" w:rsidR="00F5142C" w:rsidRPr="00DB5C9E" w:rsidRDefault="00445208" w:rsidP="00DB5C9E">
      <w:pPr>
        <w:pStyle w:val="JuH1"/>
      </w:pPr>
      <w:r>
        <w:t>Stanowiska stron</w:t>
      </w:r>
    </w:p>
    <w:p w14:paraId="4F0745BD" w14:textId="77777777" w:rsidR="00F5142C" w:rsidRPr="00DB5C9E" w:rsidRDefault="00445208" w:rsidP="00DB5C9E">
      <w:pPr>
        <w:pStyle w:val="JuHa0"/>
      </w:pPr>
      <w:r>
        <w:t>Rząd</w:t>
      </w:r>
    </w:p>
    <w:p w14:paraId="650B321C" w14:textId="0EF9BC9B" w:rsidR="00F5142C" w:rsidRPr="00DB5C9E" w:rsidRDefault="00446BA2" w:rsidP="00DB5C9E">
      <w:pPr>
        <w:pStyle w:val="JuPara"/>
      </w:pPr>
      <w:fldSimple w:instr=" SEQ level0 \*arabic \* MERGEFORMAT ">
        <w:r>
          <w:rPr>
            <w:noProof/>
          </w:rPr>
          <w:t>82</w:t>
        </w:r>
      </w:fldSimple>
      <w:r w:rsidR="00445208">
        <w:t>.  Rząd stwierdził, że skarżący nie miał prawa do awansu wyłącznie z</w:t>
      </w:r>
      <w:r w:rsidR="00AD1BB9">
        <w:t> </w:t>
      </w:r>
      <w:r w:rsidR="00445208">
        <w:t xml:space="preserve">tego powodu, że był najstarszym </w:t>
      </w:r>
      <w:proofErr w:type="spellStart"/>
      <w:proofErr w:type="gramStart"/>
      <w:r w:rsidR="00445208">
        <w:t>stażem</w:t>
      </w:r>
      <w:r w:rsidR="00072808">
        <w:t>UD</w:t>
      </w:r>
      <w:proofErr w:type="spellEnd"/>
      <w:r w:rsidR="00072808">
        <w:t xml:space="preserve"> </w:t>
      </w:r>
      <w:r w:rsidR="00445208">
        <w:t>.</w:t>
      </w:r>
      <w:proofErr w:type="gramEnd"/>
      <w:r w:rsidR="00445208">
        <w:t xml:space="preserve"> Artykuł 5 ustawy kwalifikowanej nr 145/2003 z </w:t>
      </w:r>
      <w:proofErr w:type="spellStart"/>
      <w:r w:rsidR="00445208">
        <w:t>późn</w:t>
      </w:r>
      <w:proofErr w:type="spellEnd"/>
      <w:r w:rsidR="00445208">
        <w:t>. zm. przewidywał jedynie możliwość wzięcia udziału w konkursie (pod warunkiem uzyskania oceny w</w:t>
      </w:r>
      <w:r w:rsidR="00AD1BB9">
        <w:t> </w:t>
      </w:r>
      <w:r w:rsidR="00445208">
        <w:t>sprawozdaniu Sędziego Naczelnego); w przypadku pomyślnego wyniku osoba była powoływana na stanowisko na trzyletni okres próbny (do czasu jego zniesienia w grudniu 2021 r. na mocy ustawy konstytucyjnej nr 1/2021, w odniesieniu do osób odbywających taki okres próbny w tym czasie). Rząd zauważył, że zgodnie z art. 3 ustawy kwalifikowanej nr 145/2003 (w</w:t>
      </w:r>
      <w:r w:rsidR="00AD1BB9">
        <w:t> </w:t>
      </w:r>
      <w:r w:rsidR="00445208">
        <w:t>brzmieniu obowiązującym w chwili powołania skarżącego, zob. par</w:t>
      </w:r>
      <w:r w:rsidR="00781DE1">
        <w:t>.</w:t>
      </w:r>
      <w:r w:rsidR="00445208">
        <w:t xml:space="preserve"> </w:t>
      </w:r>
      <w:r w:rsidR="00445208" w:rsidRPr="00DB5C9E">
        <w:fldChar w:fldCharType="begin"/>
      </w:r>
      <w:r w:rsidR="00445208" w:rsidRPr="00DB5C9E">
        <w:instrText xml:space="preserve">REF paragraph00057 \h \* CharFormat </w:instrText>
      </w:r>
      <w:r w:rsidR="00445208" w:rsidRPr="00DB5C9E">
        <w:fldChar w:fldCharType="separate"/>
      </w:r>
      <w:r>
        <w:t>57</w:t>
      </w:r>
      <w:r w:rsidR="00445208" w:rsidRPr="00DB5C9E">
        <w:fldChar w:fldCharType="end"/>
      </w:r>
      <w:r w:rsidR="00445208">
        <w:t xml:space="preserve"> powyżej) tylko </w:t>
      </w:r>
      <w:proofErr w:type="spellStart"/>
      <w:r w:rsidR="00816DD8">
        <w:t>CoL</w:t>
      </w:r>
      <w:r w:rsidR="00445208">
        <w:t>powołani</w:t>
      </w:r>
      <w:proofErr w:type="spellEnd"/>
      <w:r w:rsidR="00445208">
        <w:t xml:space="preserve"> na sędziów apelacyjnych nie podlegali okresowi próbnemu. Było tak dlatego, że udowodnili już swoje umiejętności w pełnieniu funkcji sędziowskich, w przeciwieństwie do</w:t>
      </w:r>
      <w:r w:rsidR="00AD1BB9">
        <w:t> </w:t>
      </w:r>
      <w:proofErr w:type="gramStart"/>
      <w:r w:rsidR="00072808">
        <w:t xml:space="preserve">UD </w:t>
      </w:r>
      <w:r w:rsidR="00445208">
        <w:t xml:space="preserve"> –</w:t>
      </w:r>
      <w:proofErr w:type="gramEnd"/>
      <w:r w:rsidR="00445208">
        <w:t xml:space="preserve"> którzy byli przedstawicielami sądownictwa, ale nie sędziami, i których rola była ograniczona, ponieważ nie wykonywali funkcji sędziowskich z wyjątkiem przypadków, gdy były im one delegowane</w:t>
      </w:r>
      <w:r w:rsidR="00445208">
        <w:rPr>
          <w:rStyle w:val="Odwoanieprzypisudolnego"/>
        </w:rPr>
        <w:footnoteReference w:id="6"/>
      </w:r>
      <w:r w:rsidR="00445208">
        <w:t xml:space="preserve"> – powołanych na </w:t>
      </w:r>
      <w:proofErr w:type="spellStart"/>
      <w:r w:rsidR="00816DD8">
        <w:t>CoL</w:t>
      </w:r>
      <w:proofErr w:type="spellEnd"/>
      <w:r w:rsidR="00816DD8">
        <w:t xml:space="preserve"> </w:t>
      </w:r>
    </w:p>
    <w:bookmarkStart w:id="37" w:name="paragraph00084"/>
    <w:p w14:paraId="798E3CD4" w14:textId="35B35E3F" w:rsidR="00F5142C" w:rsidRPr="00DB5C9E" w:rsidRDefault="00445208" w:rsidP="00DB5C9E">
      <w:pPr>
        <w:pStyle w:val="JuPara"/>
      </w:pPr>
      <w:r w:rsidRPr="00DB5C9E">
        <w:fldChar w:fldCharType="begin"/>
      </w:r>
      <w:r w:rsidRPr="00DB5C9E">
        <w:instrText xml:space="preserve"> SEQ level0 \*arabic \* MERGEFORMAT </w:instrText>
      </w:r>
      <w:r w:rsidRPr="00DB5C9E">
        <w:fldChar w:fldCharType="separate"/>
      </w:r>
      <w:r w:rsidR="00446BA2">
        <w:rPr>
          <w:noProof/>
        </w:rPr>
        <w:t>83</w:t>
      </w:r>
      <w:r w:rsidRPr="00DB5C9E">
        <w:fldChar w:fldCharType="end"/>
      </w:r>
      <w:bookmarkEnd w:id="37"/>
      <w:r>
        <w:t xml:space="preserve">.  Powołanie na </w:t>
      </w:r>
      <w:proofErr w:type="spellStart"/>
      <w:r w:rsidR="00816DD8">
        <w:t>CoL</w:t>
      </w:r>
      <w:proofErr w:type="spellEnd"/>
      <w:r w:rsidR="00816DD8">
        <w:t xml:space="preserve"> </w:t>
      </w:r>
      <w:r>
        <w:t xml:space="preserve">miało następować po dokonaniu oceny porównawczej względem innych </w:t>
      </w:r>
      <w:r w:rsidR="00072808">
        <w:t xml:space="preserve">UD </w:t>
      </w:r>
      <w:r>
        <w:t>spełniających wymogi prawne do wzięcia udziału w takim konkursie. W niniejszej sprawie procedura naboru była dotknięta licznymi wadami. Nie uwzględniając wadliwego składu CGP, nie sporządzono również sprawozdania porównawczego, dotyczącego pozostałych kandydatów, z naruszeniem art. 3 ust. 6 i art. 5 ust. 6 ustawy kwalifikowanej nr 145/2003. W istocie w</w:t>
      </w:r>
      <w:r w:rsidR="00AD1BB9">
        <w:t> </w:t>
      </w:r>
      <w:r>
        <w:t>sprawozdaniu, na którym się oparto, wymieniono jedynie kandydatów spełniających wymogi – bez ich oceny opracowanej na podstawie z góry ustalonych zasad – i wskazano skarżącego jako preferowanego kandydata. W</w:t>
      </w:r>
      <w:r w:rsidR="00AD1BB9">
        <w:t> </w:t>
      </w:r>
      <w:r>
        <w:t>związku z tym skarżący nie miał prawa podmiotowego (opartego na</w:t>
      </w:r>
      <w:r w:rsidR="00AD1BB9">
        <w:t> </w:t>
      </w:r>
      <w:r>
        <w:t xml:space="preserve">pewnej i niekwestionowalnej pozycji) do zachowania stanowiska, na które został powołany niezgodnie z prawem, lecz jedynie uzasadniony interes (podobnie jak inni kandydaci kwestionujący procedurę) w ustaleniu zgodności z prawem procedury i </w:t>
      </w:r>
      <w:r>
        <w:lastRenderedPageBreak/>
        <w:t>wynikającego z niej powołania. W istocie z</w:t>
      </w:r>
      <w:r w:rsidR="00AD1BB9">
        <w:t> </w:t>
      </w:r>
      <w:r>
        <w:t>orzecznictwa krajowego</w:t>
      </w:r>
      <w:r>
        <w:rPr>
          <w:rStyle w:val="Odwoanieprzypisudolnego"/>
        </w:rPr>
        <w:footnoteReference w:id="7"/>
      </w:r>
      <w:r>
        <w:t xml:space="preserve"> wynikało, że decyzje CGP mogą być uznane za</w:t>
      </w:r>
      <w:r w:rsidR="00AD1BB9">
        <w:t> </w:t>
      </w:r>
      <w:r>
        <w:t xml:space="preserve">decyzje administracyjne i że mogą być zaskarżane przed sądami administracyjnymi, opierając się na zarzucie braku właściwości, przekroczenia uprawnień lub naruszenia prawa (art. 9 ustawy nr 68/1989, zob. par. </w:t>
      </w:r>
      <w:r w:rsidRPr="00DB5C9E">
        <w:fldChar w:fldCharType="begin"/>
      </w:r>
      <w:r w:rsidRPr="00DB5C9E">
        <w:instrText xml:space="preserve">REF paragraph00065 \h \* CharFormat </w:instrText>
      </w:r>
      <w:r w:rsidRPr="00DB5C9E">
        <w:fldChar w:fldCharType="separate"/>
      </w:r>
      <w:r w:rsidR="00446BA2">
        <w:t>65</w:t>
      </w:r>
      <w:r w:rsidRPr="00DB5C9E">
        <w:fldChar w:fldCharType="end"/>
      </w:r>
      <w:r>
        <w:t xml:space="preserve"> powyżej). W tym świetle jego powołania nie można było również uznać za ostateczne w zakresie, w jakim zostało ono zakwestionowane przez dwóch pozostałych kandydatów.</w:t>
      </w:r>
    </w:p>
    <w:p w14:paraId="60C076FE" w14:textId="77777777" w:rsidR="00F5142C" w:rsidRPr="00DB5C9E" w:rsidRDefault="00445208" w:rsidP="00DB5C9E">
      <w:pPr>
        <w:pStyle w:val="JuHa0"/>
      </w:pPr>
      <w:r>
        <w:t>Skarżący</w:t>
      </w:r>
    </w:p>
    <w:p w14:paraId="52A1D05B" w14:textId="7AC2F25E" w:rsidR="00F5142C" w:rsidRPr="00DB5C9E" w:rsidRDefault="00446BA2" w:rsidP="00DB5C9E">
      <w:pPr>
        <w:pStyle w:val="JuPara"/>
      </w:pPr>
      <w:fldSimple w:instr=" SEQ level0 \*arabic \* MERGEFORMAT ">
        <w:r>
          <w:rPr>
            <w:noProof/>
          </w:rPr>
          <w:t>84</w:t>
        </w:r>
      </w:fldSimple>
      <w:r w:rsidR="00445208">
        <w:t>.  Skarżący stwierdził, że stanowisko Rządu jest chybione, ponieważ przedmiotem zastosowania tego przepisu było prawo do zachowania swojego stanowiska po „dwóch latach służby” oraz zasadność odwołania ze</w:t>
      </w:r>
      <w:r w:rsidR="00AD1BB9">
        <w:t> </w:t>
      </w:r>
      <w:r w:rsidR="00445208">
        <w:t xml:space="preserve">stanowiska z mocą wsteczną, a nie samo prawo do awansu lub powołania na </w:t>
      </w:r>
      <w:proofErr w:type="spellStart"/>
      <w:proofErr w:type="gramStart"/>
      <w:r w:rsidR="00445208">
        <w:t>stanowisko</w:t>
      </w:r>
      <w:r w:rsidR="00816DD8">
        <w:t>CoL</w:t>
      </w:r>
      <w:proofErr w:type="spellEnd"/>
      <w:r w:rsidR="00816DD8">
        <w:t xml:space="preserve"> </w:t>
      </w:r>
      <w:r w:rsidR="00445208">
        <w:t>.</w:t>
      </w:r>
      <w:proofErr w:type="gramEnd"/>
      <w:r w:rsidR="00445208">
        <w:t xml:space="preserve"> Jego zdaniem przysługiwało mu prawo do</w:t>
      </w:r>
      <w:r w:rsidR="00AD1BB9">
        <w:t> </w:t>
      </w:r>
      <w:r w:rsidR="00445208">
        <w:t>zachowania swojego stanowiska, które to prawo było zapisane i uznane w</w:t>
      </w:r>
      <w:r w:rsidR="00AD1BB9">
        <w:t> </w:t>
      </w:r>
      <w:r w:rsidR="00445208">
        <w:t xml:space="preserve">prawie krajowym (art. 4 ustawy kwalifikowanej nr 145/2003, zmienionej ustawą konstytucyjną nr 2/2011, zob. par. </w:t>
      </w:r>
      <w:r w:rsidR="00445208" w:rsidRPr="00DB5C9E">
        <w:fldChar w:fldCharType="begin"/>
      </w:r>
      <w:r w:rsidR="00445208" w:rsidRPr="00DB5C9E">
        <w:instrText xml:space="preserve">REF paragraph00054 \h \* CharFormat </w:instrText>
      </w:r>
      <w:r w:rsidR="00445208" w:rsidRPr="00DB5C9E">
        <w:fldChar w:fldCharType="separate"/>
      </w:r>
      <w:r>
        <w:t>54</w:t>
      </w:r>
      <w:r w:rsidR="00445208" w:rsidRPr="00DB5C9E">
        <w:fldChar w:fldCharType="end"/>
      </w:r>
      <w:r w:rsidR="00445208">
        <w:t xml:space="preserve"> powyżej); w istocie państwo, celem zniesienia tego prawa, musiało uciec się do uchwalenia ustawy, której przepisy mają moc wsteczną, uniemożliwiając tym samym sądom krajowym ochronę tego prawa. Według skarżącego sprawa dotyczyła praw podmiotowych (w odniesieniu do art. 9 ustawy nr 68/1989, zob. par. </w:t>
      </w:r>
      <w:r w:rsidR="00445208" w:rsidRPr="00DB5C9E">
        <w:fldChar w:fldCharType="begin"/>
      </w:r>
      <w:r w:rsidR="00445208" w:rsidRPr="00DB5C9E">
        <w:instrText xml:space="preserve">REF paragraph00065 \h \* CharFormat </w:instrText>
      </w:r>
      <w:r w:rsidR="00445208" w:rsidRPr="00DB5C9E">
        <w:fldChar w:fldCharType="separate"/>
      </w:r>
      <w:r>
        <w:t>65</w:t>
      </w:r>
      <w:r w:rsidR="00445208" w:rsidRPr="00DB5C9E">
        <w:fldChar w:fldCharType="end"/>
      </w:r>
      <w:r w:rsidR="00445208">
        <w:t xml:space="preserve"> powyżej) oraz nabytego prawa do zachowania swojego stanowiska, które zostało uchylone ustawą obowiązującą z mocą wsteczną, uchwaloną z</w:t>
      </w:r>
      <w:r w:rsidR="00AD1BB9">
        <w:t> </w:t>
      </w:r>
      <w:r w:rsidR="00445208">
        <w:t>naruszeniem wszystkich kryteriów konwencyjnych. Ponadto o ile Rząd powoływał się na inne nieprawidłowości w procedurze powołania skarżącego, nigdy nie zostały one ustalone przez sądy krajowe ze względu na</w:t>
      </w:r>
      <w:r w:rsidR="00AD1BB9">
        <w:t> </w:t>
      </w:r>
      <w:r w:rsidR="00445208">
        <w:t>wynik postępowania o sygn. 13/2019.</w:t>
      </w:r>
    </w:p>
    <w:p w14:paraId="24C303FC" w14:textId="04647C2D" w:rsidR="00F5142C" w:rsidRPr="00DB5C9E" w:rsidRDefault="00446BA2" w:rsidP="00DB5C9E">
      <w:pPr>
        <w:pStyle w:val="JuPara"/>
      </w:pPr>
      <w:fldSimple w:instr=" SEQ level0 \*arabic \* MERGEFORMAT ">
        <w:r>
          <w:rPr>
            <w:noProof/>
          </w:rPr>
          <w:t>85</w:t>
        </w:r>
      </w:fldSimple>
      <w:r w:rsidR="00445208">
        <w:t xml:space="preserve">.  Skarżący podkreślił, że jego powołanie nie wiązało się z odbyciem okresu próbnego. Druga wykładnia prawa krajowego (art. 3 </w:t>
      </w:r>
      <w:r w:rsidR="00445208">
        <w:rPr>
          <w:i/>
          <w:iCs/>
        </w:rPr>
        <w:t>in fine</w:t>
      </w:r>
      <w:r w:rsidR="00445208">
        <w:t xml:space="preserve"> ustawy kwalifikowanej nr 145/2003, zob. par</w:t>
      </w:r>
      <w:r w:rsidR="00781DE1">
        <w:t>.</w:t>
      </w:r>
      <w:r w:rsidR="00445208">
        <w:t xml:space="preserve"> </w:t>
      </w:r>
      <w:r w:rsidR="00445208" w:rsidRPr="00DB5C9E">
        <w:fldChar w:fldCharType="begin"/>
      </w:r>
      <w:r w:rsidR="00445208" w:rsidRPr="00DB5C9E">
        <w:instrText xml:space="preserve">REF paragraph00057 \h \* CharFormat </w:instrText>
      </w:r>
      <w:r w:rsidR="00445208" w:rsidRPr="00DB5C9E">
        <w:fldChar w:fldCharType="separate"/>
      </w:r>
      <w:r>
        <w:t>57</w:t>
      </w:r>
      <w:r w:rsidR="00445208" w:rsidRPr="00DB5C9E">
        <w:fldChar w:fldCharType="end"/>
      </w:r>
      <w:r w:rsidR="00445208">
        <w:t xml:space="preserve"> powyżej), wedle której awansowani członkowie sądownictwa zatwierdzeni na czas nieoznaczony (jak skarżący na stanowisku </w:t>
      </w:r>
      <w:r w:rsidR="00072808">
        <w:t xml:space="preserve">UD </w:t>
      </w:r>
      <w:r w:rsidR="00445208">
        <w:t xml:space="preserve">od 2012 r.) nie byli zobowiązani do odbycia okresu próbnego, była powszechnie akceptowana w systemie krajowym. Dotyczyło to zarówno </w:t>
      </w:r>
      <w:r w:rsidR="00072808">
        <w:t xml:space="preserve">UD </w:t>
      </w:r>
      <w:r w:rsidR="00445208">
        <w:t xml:space="preserve">awansujących na </w:t>
      </w:r>
      <w:proofErr w:type="spellStart"/>
      <w:r w:rsidR="00445208">
        <w:t>stanowisko</w:t>
      </w:r>
      <w:r w:rsidR="00816DD8">
        <w:t>CoL</w:t>
      </w:r>
      <w:proofErr w:type="spellEnd"/>
      <w:r w:rsidR="00445208">
        <w:t>, jak i</w:t>
      </w:r>
      <w:r w:rsidR="00AD1BB9">
        <w:t> </w:t>
      </w:r>
      <w:proofErr w:type="spellStart"/>
      <w:r w:rsidR="00816DD8">
        <w:t>CoL</w:t>
      </w:r>
      <w:proofErr w:type="spellEnd"/>
      <w:r w:rsidR="00445208">
        <w:t xml:space="preserve"> awansujących na sędziów wyższej rangi, do tego stopnia, że w decyzji o powołaniu skarżącego nie było żadnego odniesienia do takiego okresu próbnego, a dwie osoby, które później uzyskały to stanowisko, także nie podlegały takiemu okresowi próbnemu.</w:t>
      </w:r>
    </w:p>
    <w:p w14:paraId="687C949D" w14:textId="77777777" w:rsidR="00F5142C" w:rsidRPr="00DB5C9E" w:rsidRDefault="00445208" w:rsidP="00DB5C9E">
      <w:pPr>
        <w:pStyle w:val="JuH1"/>
      </w:pPr>
      <w:r>
        <w:lastRenderedPageBreak/>
        <w:t>Ocena Trybunału</w:t>
      </w:r>
    </w:p>
    <w:p w14:paraId="0E5E4279" w14:textId="77777777" w:rsidR="00F5142C" w:rsidRPr="00DB5C9E" w:rsidRDefault="00445208" w:rsidP="00DB5C9E">
      <w:pPr>
        <w:pStyle w:val="JuHa0"/>
      </w:pPr>
      <w:r>
        <w:t>Zasady ogólne</w:t>
      </w:r>
    </w:p>
    <w:p w14:paraId="5128E3F6" w14:textId="77777777" w:rsidR="00F5142C" w:rsidRPr="00DB5C9E" w:rsidRDefault="00446BA2" w:rsidP="00DB5C9E">
      <w:pPr>
        <w:pStyle w:val="JuPara"/>
      </w:pPr>
      <w:fldSimple w:instr=" SEQ level0 \*arabic \* MERGEFORMAT ">
        <w:r>
          <w:rPr>
            <w:noProof/>
          </w:rPr>
          <w:t>86</w:t>
        </w:r>
      </w:fldSimple>
      <w:r w:rsidR="00445208">
        <w:t xml:space="preserve">.  Artykuł 6 ust. 1 nie gwarantuje konkretnej treści „praw i obowiązków o charakterze cywilnym” w prawie materialnym Układających się Państw: Trybunał nie może w drodze wykładni art. 6 ust. 1 stworzyć prawa materialnego, które nie znajduje podstaw w systemie danego państwa (zob. np. </w:t>
      </w:r>
      <w:r w:rsidR="00445208">
        <w:rPr>
          <w:i/>
        </w:rPr>
        <w:t>Grzęda przeciwko Polsce</w:t>
      </w:r>
      <w:r w:rsidR="00445208">
        <w:t xml:space="preserve"> [WI], nr 43572/18, § 258, 15 marca 2022 r.).</w:t>
      </w:r>
    </w:p>
    <w:p w14:paraId="28BE4390" w14:textId="77777777" w:rsidR="00F5142C" w:rsidRPr="00DB5C9E" w:rsidRDefault="00446BA2" w:rsidP="00DB5C9E">
      <w:pPr>
        <w:pStyle w:val="JuPara"/>
      </w:pPr>
      <w:fldSimple w:instr=" SEQ level0 \*arabic \* MERGEFORMAT ">
        <w:r>
          <w:rPr>
            <w:noProof/>
          </w:rPr>
          <w:t>87</w:t>
        </w:r>
      </w:fldSimple>
      <w:r w:rsidR="00445208">
        <w:t xml:space="preserve">.  Aby ocenić, czy art. 6 ust. 1 Konwencji ma zastosowanie, należy wziąć pod uwagę prawo dochodzone przez skarżącego w postępowaniu krajowym. W przypadku rzeczywistego i poważnego sporu co do istnienia tego prawa, rozstrzygnięcie sądów krajowych stanowiące, że takie prawo nie istniało, nie pozbawia z mocą wsteczną możliwości dochodzenia roszczenia (zob. </w:t>
      </w:r>
      <w:proofErr w:type="spellStart"/>
      <w:r w:rsidR="00445208">
        <w:rPr>
          <w:i/>
          <w:iCs/>
        </w:rPr>
        <w:t>Károly</w:t>
      </w:r>
      <w:proofErr w:type="spellEnd"/>
      <w:r w:rsidR="00445208">
        <w:rPr>
          <w:i/>
          <w:iCs/>
        </w:rPr>
        <w:t xml:space="preserve"> </w:t>
      </w:r>
      <w:proofErr w:type="spellStart"/>
      <w:r w:rsidR="00445208">
        <w:rPr>
          <w:i/>
          <w:iCs/>
        </w:rPr>
        <w:t>Nagy</w:t>
      </w:r>
      <w:proofErr w:type="spellEnd"/>
      <w:r w:rsidR="00445208">
        <w:rPr>
          <w:i/>
          <w:iCs/>
        </w:rPr>
        <w:t xml:space="preserve"> przeciwko Węgrom</w:t>
      </w:r>
      <w:r w:rsidR="00445208">
        <w:t xml:space="preserve"> [WI], nr 56665/09, § 63, 14 września 2017 r., z dalszymi odniesieniami).</w:t>
      </w:r>
    </w:p>
    <w:p w14:paraId="2632B412" w14:textId="045E150C" w:rsidR="00F5142C" w:rsidRPr="00DB5C9E" w:rsidRDefault="00446BA2" w:rsidP="00DB5C9E">
      <w:pPr>
        <w:pStyle w:val="JuPara"/>
      </w:pPr>
      <w:fldSimple w:instr=" SEQ level0 \*arabic \* MERGEFORMAT ">
        <w:r>
          <w:rPr>
            <w:noProof/>
          </w:rPr>
          <w:t>88</w:t>
        </w:r>
      </w:fldSimple>
      <w:r w:rsidR="00445208">
        <w:t xml:space="preserve">.  Prawa przyznane przez ustawodawstwo krajowe mogą mieć charakter materialny lub procesowy albo być połączeniem obu takich praw (zob. </w:t>
      </w:r>
      <w:proofErr w:type="spellStart"/>
      <w:r w:rsidR="00445208">
        <w:rPr>
          <w:i/>
          <w:iCs/>
        </w:rPr>
        <w:t>Regner</w:t>
      </w:r>
      <w:proofErr w:type="spellEnd"/>
      <w:r w:rsidR="00445208">
        <w:rPr>
          <w:i/>
          <w:iCs/>
        </w:rPr>
        <w:t xml:space="preserve"> przeciwko Czechom</w:t>
      </w:r>
      <w:r w:rsidR="00445208">
        <w:t xml:space="preserve"> [WI], nr 35289/11, § 101, 19 września 2017 r., z</w:t>
      </w:r>
      <w:r w:rsidR="00AD1BB9">
        <w:t> </w:t>
      </w:r>
      <w:r w:rsidR="00445208">
        <w:t>dalszymi odniesieniami).</w:t>
      </w:r>
    </w:p>
    <w:p w14:paraId="0232D855" w14:textId="14D5046F" w:rsidR="00F5142C" w:rsidRPr="00DB5C9E" w:rsidRDefault="00446BA2" w:rsidP="00DB5C9E">
      <w:pPr>
        <w:pStyle w:val="JuPara"/>
      </w:pPr>
      <w:fldSimple w:instr=" SEQ level0 \*arabic \* MERGEFORMAT ">
        <w:r>
          <w:rPr>
            <w:noProof/>
          </w:rPr>
          <w:t>89</w:t>
        </w:r>
      </w:fldSimple>
      <w:r w:rsidR="00445208">
        <w:t>.  Nie może być wątpliwości co do istnienia prawa w rozumieniu art. 6 ust. 1, gdzie prawu materialnemu uznawanemu w</w:t>
      </w:r>
      <w:r w:rsidR="00D335F7">
        <w:t xml:space="preserve"> </w:t>
      </w:r>
      <w:r w:rsidR="00445208">
        <w:t>prawie krajowym towarzyszy prawo procesowe do dochodzenia danego prawa w sądzie. Sam fakt, że brzmienie przepisu prawnego zezwala na element uznaniowości nie wyklucza istnienia prawa. Artykuł 6 ma tym samym zastosowanie tam, gdzie postępowanie sądowe dotyczy decyzji zależnej od uznania, wywierającej skutek w postaci ingerencji w prawa skarżącego (ibid. § 102, z dalszymi odniesieniami).</w:t>
      </w:r>
    </w:p>
    <w:p w14:paraId="73A1D46C" w14:textId="3D77DC8C" w:rsidR="00F5142C" w:rsidRPr="00DB5C9E" w:rsidRDefault="00446BA2" w:rsidP="00DB5C9E">
      <w:pPr>
        <w:pStyle w:val="JuPara"/>
      </w:pPr>
      <w:fldSimple w:instr=" SEQ level0 \*arabic \* MERGEFORMAT ">
        <w:r>
          <w:rPr>
            <w:noProof/>
          </w:rPr>
          <w:t>90</w:t>
        </w:r>
      </w:fldSimple>
      <w:r w:rsidR="00445208">
        <w:t>.  W niektórych sprawach prawo krajowe, o ile niekoniecznie uznaje, że</w:t>
      </w:r>
      <w:r w:rsidR="00AD1BB9">
        <w:t> </w:t>
      </w:r>
      <w:r w:rsidR="00445208">
        <w:t>osoba ma prawo indywidualne, przyznaje uprawnienie do zgodnej z</w:t>
      </w:r>
      <w:r w:rsidR="00AD1BB9">
        <w:t> </w:t>
      </w:r>
      <w:r w:rsidR="00445208">
        <w:t xml:space="preserve">prawem procedury zbadania odwołania, obejmującej np. rozstrzygnięcie przez właściwy sąd, czy dana decyzja była arbitralna czy </w:t>
      </w:r>
      <w:r w:rsidR="00445208">
        <w:rPr>
          <w:i/>
        </w:rPr>
        <w:t xml:space="preserve">ultra </w:t>
      </w:r>
      <w:proofErr w:type="spellStart"/>
      <w:r w:rsidR="00445208">
        <w:rPr>
          <w:i/>
        </w:rPr>
        <w:t>vires</w:t>
      </w:r>
      <w:proofErr w:type="spellEnd"/>
      <w:r w:rsidR="00445208">
        <w:t>, lub też czy doszło do nieprawidłowości proceduralnych. Tak jest w przypadku pewnych decyzji, w których władze mają wyłącznie dyskrecjonalne uprawnienie do przyznania lub odmówienia korzyści lub przywileju, a prawo przyznaje danej osobie prawo zwrócenia się do sądów, które mogą decyzję uchylić, jeżeli stwierdzą, że była niezgodna z prawem. W takim przypadku art. 6 ust. 1 Konwencji ma zastosowanie, pod warunkiem</w:t>
      </w:r>
      <w:r w:rsidR="00CA0E72">
        <w:t>,</w:t>
      </w:r>
      <w:r w:rsidR="00445208">
        <w:t xml:space="preserve"> że korzyść lub przywilej po ich przyznaniu prowadzi do powstania prawa o charakterze cywilnym (ibid. § 105, z dalszymi odniesieniami).</w:t>
      </w:r>
    </w:p>
    <w:p w14:paraId="225F1F23" w14:textId="2960B3F3" w:rsidR="00F5142C" w:rsidRPr="00DB5C9E" w:rsidRDefault="00DB5C9E" w:rsidP="00DB5C9E">
      <w:pPr>
        <w:pStyle w:val="JuPara"/>
      </w:pPr>
      <w:r w:rsidRPr="00DB5C9E">
        <w:fldChar w:fldCharType="begin"/>
      </w:r>
      <w:r>
        <w:instrText xml:space="preserve"> SEQ level0 \*arabic \* MERGEFORMAT </w:instrText>
      </w:r>
      <w:r w:rsidRPr="00DB5C9E">
        <w:fldChar w:fldCharType="separate"/>
      </w:r>
      <w:r w:rsidR="00446BA2">
        <w:rPr>
          <w:noProof/>
        </w:rPr>
        <w:t>91</w:t>
      </w:r>
      <w:r w:rsidRPr="00DB5C9E">
        <w:fldChar w:fldCharType="end"/>
      </w:r>
      <w:r>
        <w:t xml:space="preserve">.  Jeśli chodzi o urzędników państwowych zatrudnionych w służbie cywilnej, to zgodnie z kryteriami ustalonymi w sprawie </w:t>
      </w:r>
      <w:proofErr w:type="spellStart"/>
      <w:r>
        <w:rPr>
          <w:rStyle w:val="text-dark"/>
          <w:i/>
          <w:iCs/>
        </w:rPr>
        <w:t>Vilho</w:t>
      </w:r>
      <w:proofErr w:type="spellEnd"/>
      <w:r w:rsidR="009D0662">
        <w:rPr>
          <w:rStyle w:val="text-dark"/>
          <w:i/>
          <w:iCs/>
        </w:rPr>
        <w:t xml:space="preserve"> </w:t>
      </w:r>
      <w:proofErr w:type="spellStart"/>
      <w:r>
        <w:rPr>
          <w:i/>
        </w:rPr>
        <w:t>Eskelinen</w:t>
      </w:r>
      <w:proofErr w:type="spellEnd"/>
      <w:r>
        <w:rPr>
          <w:i/>
        </w:rPr>
        <w:t xml:space="preserve"> i Inni przeciwko Finlandii</w:t>
      </w:r>
      <w:r>
        <w:t xml:space="preserve"> ([WI], nr 63235/00, ETPC 2007</w:t>
      </w:r>
      <w:r>
        <w:noBreakHyphen/>
        <w:t xml:space="preserve">II) pozwane państwo nie może powoływać się przed Trybunałem na status skarżącego jako </w:t>
      </w:r>
      <w:r>
        <w:lastRenderedPageBreak/>
        <w:t>urzędnika państwowego w celu wyłączenia ochrony zawartej w art. 6, chyba że spełnione zostały dwa warunki. Po pierwsze państwo w prawie krajowym musiało wyłączyć prawo dostępu do sądu dla stanowiska lub kategorii personelu, którego sprawa dotyczy. Warunek ten jest spełniony, gdy prawo krajowe zawiera wyraźne wyłączenie dostępu do sądu lub wyłącznie dorozumiane, w szczególności</w:t>
      </w:r>
      <w:r w:rsidR="00CA0E72">
        <w:t>,</w:t>
      </w:r>
      <w:r>
        <w:t xml:space="preserve"> gdy wynika z systemowej wykładni obowiązujących ram prawnych lub całokształtu regulacji prawnych (zob. </w:t>
      </w:r>
      <w:r>
        <w:rPr>
          <w:i/>
          <w:iCs/>
        </w:rPr>
        <w:t>Grzęda</w:t>
      </w:r>
      <w:r>
        <w:t>, op. cit., § 292). Po drugie wyłączenie to musi być uzasadnione w oparciu o obiektywne przesłanki interesu państwa. Aby wyłączenie było uzasadnione, nie wystarczy, aby pozwane państwo ustaliło, że dany urzędnik służby cywilnej uczestniczył</w:t>
      </w:r>
      <w:r w:rsidR="00AD1BB9">
        <w:t xml:space="preserve"> </w:t>
      </w:r>
      <w:r>
        <w:t>w wykonywaniu władzy publicznej lub że</w:t>
      </w:r>
      <w:r w:rsidR="00AD1BB9">
        <w:t> </w:t>
      </w:r>
      <w:r>
        <w:t>między urzędnikiem służby cywilnej a państwem jako pracodawcą istniała szczególna więź zaufania i lojalności. Zadaniem państwa jest również wykazanie, że dany przedmiot sporu był powiązany z wykonywaniem władzy państwowej lub że doszło do zakwestionowania szczególnej więzi. Z tego względu – co do zasady – nie może być uzasadnienia dla wyłączenia z</w:t>
      </w:r>
      <w:r w:rsidR="00AD1BB9">
        <w:t> </w:t>
      </w:r>
      <w:r>
        <w:t>gwarancji przewidzianych art. 6 zwykłych sporów pracowniczych, takich jak spory dotyczące wynagrodzenia, świadczeń lub podobnych uprawnień, na podstawie szczególnego charakteru relacji między konkretnym urzędnikiem służby cywilnej a danym państwem. W praktyce będzie istniało domniemanie zastosowania art. 6. Pozwane państwo winno wykazać, że, po</w:t>
      </w:r>
      <w:r w:rsidR="00D335F7">
        <w:t> </w:t>
      </w:r>
      <w:r>
        <w:t xml:space="preserve">pierwsze, skarżącemu urzędnikowi służby cywilnej nie przysługuje prawo dostępu do sądu w świetle prawa krajowego, oraz po drugie, że wyłączenie praw przysługujących na podstawie art. 6 w stosunku do tego urzędnika służby cywilnej jest uzasadnione (zob. </w:t>
      </w:r>
      <w:r>
        <w:rPr>
          <w:i/>
          <w:iCs/>
        </w:rPr>
        <w:t>Grzęda</w:t>
      </w:r>
      <w:r>
        <w:t>, op. cit., § 261, z dalszymi odniesieniami; zob. także §§ 291, 292, 296 i 299).</w:t>
      </w:r>
    </w:p>
    <w:p w14:paraId="363A3B7C" w14:textId="35B75162" w:rsidR="00F5142C" w:rsidRPr="00DB5C9E" w:rsidRDefault="00446BA2" w:rsidP="00DB5C9E">
      <w:pPr>
        <w:pStyle w:val="JuPara"/>
      </w:pPr>
      <w:fldSimple w:instr=" SEQ level0 \*arabic \* MERGEFORMAT ">
        <w:r>
          <w:rPr>
            <w:noProof/>
          </w:rPr>
          <w:t>92</w:t>
        </w:r>
      </w:fldSimple>
      <w:r w:rsidR="00445208">
        <w:t xml:space="preserve">.  Trybunał potwierdził, że test z wyroku </w:t>
      </w:r>
      <w:proofErr w:type="spellStart"/>
      <w:r w:rsidR="00445208">
        <w:rPr>
          <w:i/>
          <w:iCs/>
        </w:rPr>
        <w:t>Eskelinen</w:t>
      </w:r>
      <w:proofErr w:type="spellEnd"/>
      <w:r w:rsidR="00445208">
        <w:rPr>
          <w:i/>
          <w:iCs/>
        </w:rPr>
        <w:t xml:space="preserve"> </w:t>
      </w:r>
      <w:r w:rsidR="00445208">
        <w:t>stosuje się do</w:t>
      </w:r>
      <w:r w:rsidR="00AD1BB9">
        <w:t> </w:t>
      </w:r>
      <w:r w:rsidR="00445208">
        <w:t xml:space="preserve">sporów dotyczących sędziów, ponieważ sądownictwo, choć nie jest częścią zwykłej służby cywilnej, jest uznawane za część typowej służby publicznej (zob. </w:t>
      </w:r>
      <w:r w:rsidR="00445208">
        <w:rPr>
          <w:i/>
          <w:iCs/>
        </w:rPr>
        <w:t>Baka przeciwko Węgrom</w:t>
      </w:r>
      <w:r w:rsidR="00445208">
        <w:t xml:space="preserve"> [WI], nr 20261/12, § 104, 23 czerwca 2016 r.).</w:t>
      </w:r>
    </w:p>
    <w:p w14:paraId="7308DF9B" w14:textId="0DD38812" w:rsidR="00F5142C" w:rsidRPr="00DB5C9E" w:rsidRDefault="00446BA2" w:rsidP="00DB5C9E">
      <w:pPr>
        <w:pStyle w:val="JuPara"/>
      </w:pPr>
      <w:fldSimple w:instr=" SEQ level0 \*arabic \* MERGEFORMAT ">
        <w:r>
          <w:rPr>
            <w:noProof/>
          </w:rPr>
          <w:t>93</w:t>
        </w:r>
      </w:fldSimple>
      <w:r w:rsidR="00445208">
        <w:t xml:space="preserve">.  Na podstawie zasad określonych w wyroku </w:t>
      </w:r>
      <w:proofErr w:type="spellStart"/>
      <w:r w:rsidR="00445208">
        <w:rPr>
          <w:i/>
        </w:rPr>
        <w:t>Vilho</w:t>
      </w:r>
      <w:proofErr w:type="spellEnd"/>
      <w:r w:rsidR="00445208">
        <w:rPr>
          <w:i/>
        </w:rPr>
        <w:t xml:space="preserve"> </w:t>
      </w:r>
      <w:proofErr w:type="spellStart"/>
      <w:r w:rsidR="00445208">
        <w:rPr>
          <w:i/>
        </w:rPr>
        <w:t>Eskelinen</w:t>
      </w:r>
      <w:proofErr w:type="spellEnd"/>
      <w:r w:rsidR="00445208">
        <w:rPr>
          <w:i/>
        </w:rPr>
        <w:t xml:space="preserve"> i Inni</w:t>
      </w:r>
      <w:r w:rsidR="00445208">
        <w:t xml:space="preserve"> art.</w:t>
      </w:r>
      <w:r w:rsidR="00D335F7">
        <w:t> </w:t>
      </w:r>
      <w:r w:rsidR="00445208">
        <w:t xml:space="preserve">6 stosowano do wszystkich rodzajów sporów dotyczących sędziów, w tym sporów dotyczących naboru/powołania (zob. </w:t>
      </w:r>
      <w:proofErr w:type="spellStart"/>
      <w:r w:rsidR="00445208">
        <w:rPr>
          <w:i/>
        </w:rPr>
        <w:t>Juričić</w:t>
      </w:r>
      <w:proofErr w:type="spellEnd"/>
      <w:r w:rsidR="00445208">
        <w:rPr>
          <w:i/>
        </w:rPr>
        <w:t xml:space="preserve"> przeciwko Chorwacji</w:t>
      </w:r>
      <w:r w:rsidR="00445208">
        <w:t xml:space="preserve">, nr 58222/09, 26 lipca 2011 r.), kariery zawodowej/awansu (zob. </w:t>
      </w:r>
      <w:proofErr w:type="spellStart"/>
      <w:r w:rsidR="00445208">
        <w:rPr>
          <w:i/>
        </w:rPr>
        <w:t>Dzhidzheva</w:t>
      </w:r>
      <w:r w:rsidR="00445208">
        <w:rPr>
          <w:i/>
        </w:rPr>
        <w:noBreakHyphen/>
        <w:t>Trendafilova</w:t>
      </w:r>
      <w:proofErr w:type="spellEnd"/>
      <w:r w:rsidR="00445208">
        <w:rPr>
          <w:i/>
        </w:rPr>
        <w:t xml:space="preserve"> przeciwko Bułgarii</w:t>
      </w:r>
      <w:r w:rsidR="00445208">
        <w:t xml:space="preserve"> (</w:t>
      </w:r>
      <w:proofErr w:type="spellStart"/>
      <w:r w:rsidR="00445208">
        <w:t>dec</w:t>
      </w:r>
      <w:proofErr w:type="spellEnd"/>
      <w:r w:rsidR="00445208">
        <w:t>.), nr 12628/09, 9</w:t>
      </w:r>
      <w:r w:rsidR="00A2269E">
        <w:t> </w:t>
      </w:r>
      <w:r w:rsidR="00445208">
        <w:t xml:space="preserve">października 2012 r. oraz </w:t>
      </w:r>
      <w:proofErr w:type="spellStart"/>
      <w:r w:rsidR="00445208">
        <w:rPr>
          <w:i/>
        </w:rPr>
        <w:t>Tsanova-Gecheva</w:t>
      </w:r>
      <w:proofErr w:type="spellEnd"/>
      <w:r w:rsidR="00445208">
        <w:rPr>
          <w:i/>
        </w:rPr>
        <w:t xml:space="preserve"> przeciwko Bułgarii</w:t>
      </w:r>
      <w:r w:rsidR="00445208">
        <w:t>, nr</w:t>
      </w:r>
      <w:r w:rsidR="00A2269E">
        <w:t> </w:t>
      </w:r>
      <w:r w:rsidR="00445208">
        <w:t>43800/12, §§ 85</w:t>
      </w:r>
      <w:r w:rsidR="00445208">
        <w:noBreakHyphen/>
        <w:t xml:space="preserve">87, 15 września 2015 r.), przeniesienia (zob. </w:t>
      </w:r>
      <w:proofErr w:type="spellStart"/>
      <w:r w:rsidR="00445208">
        <w:rPr>
          <w:i/>
        </w:rPr>
        <w:t>Tosti</w:t>
      </w:r>
      <w:proofErr w:type="spellEnd"/>
      <w:r w:rsidR="00445208">
        <w:rPr>
          <w:i/>
        </w:rPr>
        <w:t xml:space="preserve"> przeciwko Włochom</w:t>
      </w:r>
      <w:r w:rsidR="00445208">
        <w:t xml:space="preserve"> (</w:t>
      </w:r>
      <w:proofErr w:type="spellStart"/>
      <w:r w:rsidR="00445208">
        <w:t>dec</w:t>
      </w:r>
      <w:proofErr w:type="spellEnd"/>
      <w:r w:rsidR="00445208">
        <w:t xml:space="preserve">.) nr 27791/06, 12 maja 2009 r. i </w:t>
      </w:r>
      <w:proofErr w:type="spellStart"/>
      <w:r w:rsidR="00445208">
        <w:rPr>
          <w:i/>
        </w:rPr>
        <w:t>Bilgen</w:t>
      </w:r>
      <w:proofErr w:type="spellEnd"/>
      <w:r w:rsidR="00445208">
        <w:rPr>
          <w:i/>
        </w:rPr>
        <w:t xml:space="preserve"> przeciwko Turcji</w:t>
      </w:r>
      <w:r w:rsidR="00445208">
        <w:t xml:space="preserve">, nr 1571/07, § 79, 9 marca 2021 r.), zawieszenia (zob. </w:t>
      </w:r>
      <w:proofErr w:type="spellStart"/>
      <w:r w:rsidR="00445208">
        <w:rPr>
          <w:i/>
        </w:rPr>
        <w:t>Paluda</w:t>
      </w:r>
      <w:proofErr w:type="spellEnd"/>
      <w:r w:rsidR="00445208">
        <w:rPr>
          <w:i/>
        </w:rPr>
        <w:t xml:space="preserve"> przeciwko Słowacji</w:t>
      </w:r>
      <w:r w:rsidR="00445208">
        <w:t>, nr 33392/12, §§ 33</w:t>
      </w:r>
      <w:r w:rsidR="00445208">
        <w:noBreakHyphen/>
        <w:t xml:space="preserve">34, 23 maja 2017 r. oraz </w:t>
      </w:r>
      <w:proofErr w:type="spellStart"/>
      <w:r w:rsidR="00445208">
        <w:rPr>
          <w:i/>
        </w:rPr>
        <w:t>Camelia</w:t>
      </w:r>
      <w:proofErr w:type="spellEnd"/>
      <w:r w:rsidR="00445208">
        <w:rPr>
          <w:i/>
        </w:rPr>
        <w:t xml:space="preserve"> Bogdan przeciwko Rumunii</w:t>
      </w:r>
      <w:r w:rsidR="00445208">
        <w:t xml:space="preserve">, nr 36889/18, § 70, 20 października 2020 r.), postępowania dyscyplinarnego (zob. </w:t>
      </w:r>
      <w:r w:rsidR="00445208">
        <w:rPr>
          <w:i/>
          <w:iCs/>
        </w:rPr>
        <w:t xml:space="preserve">Ramos </w:t>
      </w:r>
      <w:proofErr w:type="spellStart"/>
      <w:r w:rsidR="00445208">
        <w:rPr>
          <w:i/>
          <w:iCs/>
        </w:rPr>
        <w:t>Nunes</w:t>
      </w:r>
      <w:proofErr w:type="spellEnd"/>
      <w:r w:rsidR="00445208">
        <w:rPr>
          <w:i/>
          <w:iCs/>
        </w:rPr>
        <w:t xml:space="preserve"> de </w:t>
      </w:r>
      <w:proofErr w:type="spellStart"/>
      <w:r w:rsidR="00445208">
        <w:rPr>
          <w:i/>
          <w:iCs/>
        </w:rPr>
        <w:t>Carvalho</w:t>
      </w:r>
      <w:proofErr w:type="spellEnd"/>
      <w:r w:rsidR="00445208">
        <w:rPr>
          <w:i/>
          <w:iCs/>
        </w:rPr>
        <w:t xml:space="preserve"> e </w:t>
      </w:r>
      <w:proofErr w:type="spellStart"/>
      <w:r w:rsidR="00445208">
        <w:rPr>
          <w:i/>
          <w:iCs/>
        </w:rPr>
        <w:t>Sá</w:t>
      </w:r>
      <w:proofErr w:type="spellEnd"/>
      <w:r w:rsidR="00445208">
        <w:rPr>
          <w:i/>
          <w:iCs/>
        </w:rPr>
        <w:t xml:space="preserve"> przeciwko Portugalii</w:t>
      </w:r>
      <w:r w:rsidR="00445208">
        <w:t xml:space="preserve"> [WI], nr 55391/13 i 2 inne, § 120, 6 listopada 2018 r., </w:t>
      </w:r>
      <w:r w:rsidR="00445208">
        <w:rPr>
          <w:i/>
          <w:iCs/>
        </w:rPr>
        <w:lastRenderedPageBreak/>
        <w:t>Di Giovanni przeciwko Włochom</w:t>
      </w:r>
      <w:r w:rsidR="00445208">
        <w:t xml:space="preserve">, nr 51160/06, §§ 3637, 9 lipca 2013 r.; oraz </w:t>
      </w:r>
      <w:proofErr w:type="spellStart"/>
      <w:r w:rsidR="00445208">
        <w:rPr>
          <w:i/>
          <w:iCs/>
        </w:rPr>
        <w:t>Eminağaoğlu</w:t>
      </w:r>
      <w:proofErr w:type="spellEnd"/>
      <w:r w:rsidR="00445208">
        <w:rPr>
          <w:i/>
          <w:iCs/>
        </w:rPr>
        <w:t xml:space="preserve"> przeciwko Turcji</w:t>
      </w:r>
      <w:r w:rsidR="00445208">
        <w:t xml:space="preserve">, nr 76521/12, § 80, 9 marca 2021 r.), jak również złożenia z urzędu (zob. </w:t>
      </w:r>
      <w:proofErr w:type="spellStart"/>
      <w:r w:rsidR="00445208">
        <w:rPr>
          <w:i/>
        </w:rPr>
        <w:t>Olujić</w:t>
      </w:r>
      <w:proofErr w:type="spellEnd"/>
      <w:r w:rsidR="00445208">
        <w:rPr>
          <w:i/>
        </w:rPr>
        <w:t xml:space="preserve"> przeciwko Chorwacji</w:t>
      </w:r>
      <w:r w:rsidR="00445208">
        <w:t>, nr 22330/05, §§ 31</w:t>
      </w:r>
      <w:r w:rsidR="00445208">
        <w:noBreakHyphen/>
        <w:t xml:space="preserve">43, 5 lutego 2009 r.; </w:t>
      </w:r>
      <w:proofErr w:type="spellStart"/>
      <w:r w:rsidR="00445208">
        <w:rPr>
          <w:i/>
          <w:iCs/>
        </w:rPr>
        <w:t>Oleksandr</w:t>
      </w:r>
      <w:proofErr w:type="spellEnd"/>
      <w:r w:rsidR="00445208">
        <w:rPr>
          <w:i/>
          <w:iCs/>
        </w:rPr>
        <w:t xml:space="preserve"> </w:t>
      </w:r>
      <w:proofErr w:type="spellStart"/>
      <w:r w:rsidR="00445208">
        <w:rPr>
          <w:i/>
          <w:iCs/>
        </w:rPr>
        <w:t>Volkov</w:t>
      </w:r>
      <w:proofErr w:type="spellEnd"/>
      <w:r w:rsidR="00445208">
        <w:rPr>
          <w:i/>
          <w:iCs/>
        </w:rPr>
        <w:t xml:space="preserve"> przeciwko Ukrainie</w:t>
      </w:r>
      <w:r w:rsidR="00445208">
        <w:t>, nr</w:t>
      </w:r>
      <w:r w:rsidR="00A2269E">
        <w:t> </w:t>
      </w:r>
      <w:r w:rsidR="00445208">
        <w:t xml:space="preserve">21722/11, §§ 91 i 96, ETPC 2013; </w:t>
      </w:r>
      <w:proofErr w:type="spellStart"/>
      <w:r w:rsidR="00445208">
        <w:rPr>
          <w:i/>
          <w:iCs/>
        </w:rPr>
        <w:t>Kulykov</w:t>
      </w:r>
      <w:proofErr w:type="spellEnd"/>
      <w:r w:rsidR="00445208">
        <w:rPr>
          <w:i/>
          <w:iCs/>
        </w:rPr>
        <w:t xml:space="preserve"> i Inni przeciwko Ukrainie</w:t>
      </w:r>
      <w:r w:rsidR="00445208">
        <w:t>, nr</w:t>
      </w:r>
      <w:r w:rsidR="00A2269E">
        <w:t> </w:t>
      </w:r>
      <w:r w:rsidR="00445208">
        <w:t xml:space="preserve">5114/09 i 17 innych, §§ 118 i 132, 19 stycznia 2017 r.; </w:t>
      </w:r>
      <w:proofErr w:type="spellStart"/>
      <w:r w:rsidR="00445208">
        <w:rPr>
          <w:i/>
          <w:iCs/>
        </w:rPr>
        <w:t>Sturua</w:t>
      </w:r>
      <w:proofErr w:type="spellEnd"/>
      <w:r w:rsidR="00445208">
        <w:rPr>
          <w:i/>
          <w:iCs/>
        </w:rPr>
        <w:t xml:space="preserve"> przeciwko Gruzji</w:t>
      </w:r>
      <w:r w:rsidR="00445208">
        <w:t xml:space="preserve">, nr 45729/05, § 27, 28 marca 2017 r. oraz </w:t>
      </w:r>
      <w:proofErr w:type="spellStart"/>
      <w:r w:rsidR="00445208">
        <w:rPr>
          <w:i/>
          <w:iCs/>
        </w:rPr>
        <w:t>Kamenos</w:t>
      </w:r>
      <w:proofErr w:type="spellEnd"/>
      <w:r w:rsidR="00445208">
        <w:rPr>
          <w:i/>
          <w:iCs/>
        </w:rPr>
        <w:t xml:space="preserve"> przeciwko Cyprowi</w:t>
      </w:r>
      <w:r w:rsidR="00445208">
        <w:t xml:space="preserve">, nr 147/07, §§ 82-88, 31 października 2017 r.), obniżenia wynagrodzenia i skazania za poważne przewinienie dyscyplinarne (zob. </w:t>
      </w:r>
      <w:proofErr w:type="spellStart"/>
      <w:r w:rsidR="00445208">
        <w:rPr>
          <w:i/>
          <w:iCs/>
        </w:rPr>
        <w:t>Harabin</w:t>
      </w:r>
      <w:proofErr w:type="spellEnd"/>
      <w:r w:rsidR="00445208">
        <w:rPr>
          <w:i/>
          <w:iCs/>
        </w:rPr>
        <w:t xml:space="preserve"> przeciwko Słowacji</w:t>
      </w:r>
      <w:r w:rsidR="00445208">
        <w:t>, nr 58688/11, §§ 118</w:t>
      </w:r>
      <w:r w:rsidR="00445208">
        <w:noBreakHyphen/>
        <w:t xml:space="preserve">23, 20 listopada 2012 r.), usunięcia z urzędu (na przykład prezesa Sądu Najwyższego lub prezesa Sądu Apelacyjnego lub wiceprezesów Sądu Okręgowego), przy pozostaniu sędzią (zob. </w:t>
      </w:r>
      <w:r w:rsidR="00445208">
        <w:rPr>
          <w:i/>
          <w:iCs/>
        </w:rPr>
        <w:t>Baka</w:t>
      </w:r>
      <w:r w:rsidR="00445208">
        <w:t xml:space="preserve">, op. cit., §§ 34 i 107-11; </w:t>
      </w:r>
      <w:proofErr w:type="spellStart"/>
      <w:r w:rsidR="00445208">
        <w:rPr>
          <w:i/>
          <w:iCs/>
        </w:rPr>
        <w:t>Denisov</w:t>
      </w:r>
      <w:proofErr w:type="spellEnd"/>
      <w:r w:rsidR="00445208">
        <w:rPr>
          <w:i/>
          <w:iCs/>
        </w:rPr>
        <w:t xml:space="preserve"> przeciwko Ukrainie</w:t>
      </w:r>
      <w:r w:rsidR="00445208">
        <w:t xml:space="preserve"> [WI], nr</w:t>
      </w:r>
      <w:r w:rsidR="00A2269E">
        <w:t> </w:t>
      </w:r>
      <w:r w:rsidR="00445208">
        <w:t xml:space="preserve">76639/11, § 54, 25 września 2018 r. oraz </w:t>
      </w:r>
      <w:r w:rsidR="00445208">
        <w:rPr>
          <w:i/>
          <w:iCs/>
        </w:rPr>
        <w:t>Broda i Bojara przeciwko Polsce</w:t>
      </w:r>
      <w:r w:rsidR="00445208">
        <w:t>, nr</w:t>
      </w:r>
      <w:r w:rsidR="00445208">
        <w:rPr>
          <w:color w:val="000000"/>
        </w:rPr>
        <w:t> </w:t>
      </w:r>
      <w:r w:rsidR="00445208">
        <w:t xml:space="preserve">26691/18 i 27367/18, §§ 104-24, 29 czerwca 2021 r.; zob. także </w:t>
      </w:r>
      <w:r w:rsidR="00445208">
        <w:rPr>
          <w:i/>
          <w:iCs/>
        </w:rPr>
        <w:t>Grzęda</w:t>
      </w:r>
      <w:r w:rsidR="00445208">
        <w:t>, op. cit., w kwestii przedwczesnego zakończenia kadencji skarżącego jako członka Krajowej Rady Sądownictwa mimo że skarżący nadal pozostawał sprawującym obowiązki sędzią).</w:t>
      </w:r>
    </w:p>
    <w:p w14:paraId="36773C2A" w14:textId="30E450EF" w:rsidR="00F5142C" w:rsidRPr="00DB5C9E" w:rsidRDefault="00446BA2" w:rsidP="00DB5C9E">
      <w:pPr>
        <w:pStyle w:val="JuPara"/>
      </w:pPr>
      <w:fldSimple w:instr=" SEQ level0 \*arabic \* MERGEFORMAT ">
        <w:r>
          <w:rPr>
            <w:noProof/>
          </w:rPr>
          <w:t>94</w:t>
        </w:r>
      </w:fldSimple>
      <w:r w:rsidR="00445208">
        <w:t xml:space="preserve">.  Z uwagi na prominentne miejsce, jakie zajmuje sądownictwo wśród organów państwowych w społeczeństwie demokratycznym, i rosnące znaczenie trójpodziału władzy i zabezpieczenia należności sądownictwa (zob. </w:t>
      </w:r>
      <w:r w:rsidR="00445208">
        <w:rPr>
          <w:i/>
        </w:rPr>
        <w:t xml:space="preserve">Ramos </w:t>
      </w:r>
      <w:proofErr w:type="spellStart"/>
      <w:r w:rsidR="00445208">
        <w:rPr>
          <w:i/>
        </w:rPr>
        <w:t>Nunes</w:t>
      </w:r>
      <w:proofErr w:type="spellEnd"/>
      <w:r w:rsidR="00445208">
        <w:rPr>
          <w:i/>
        </w:rPr>
        <w:t xml:space="preserve"> de </w:t>
      </w:r>
      <w:proofErr w:type="spellStart"/>
      <w:r w:rsidR="00445208">
        <w:rPr>
          <w:i/>
        </w:rPr>
        <w:t>Carvalho</w:t>
      </w:r>
      <w:proofErr w:type="spellEnd"/>
      <w:r w:rsidR="00445208">
        <w:rPr>
          <w:i/>
        </w:rPr>
        <w:t xml:space="preserve"> e </w:t>
      </w:r>
      <w:proofErr w:type="spellStart"/>
      <w:r w:rsidR="00445208">
        <w:rPr>
          <w:i/>
        </w:rPr>
        <w:t>Sá</w:t>
      </w:r>
      <w:proofErr w:type="spellEnd"/>
      <w:r w:rsidR="00445208">
        <w:t xml:space="preserve">, op. cit., § 196), Trybunał musi zwracać szczególną uwagę na ochronę pracowników wymiaru sprawiedliwości przed środkami wpływającymi na ich status lub rozwój zawodowy, które mogą zagrażać ich niezawisłości i autonomii sędziowskiej (zob. </w:t>
      </w:r>
      <w:proofErr w:type="spellStart"/>
      <w:r w:rsidR="00445208">
        <w:rPr>
          <w:i/>
        </w:rPr>
        <w:t>Bilgen</w:t>
      </w:r>
      <w:proofErr w:type="spellEnd"/>
      <w:r w:rsidR="00445208">
        <w:rPr>
          <w:i/>
        </w:rPr>
        <w:t>,</w:t>
      </w:r>
      <w:r w:rsidR="00445208">
        <w:t xml:space="preserve"> cyt. powyżej, § 58 i </w:t>
      </w:r>
      <w:bookmarkStart w:id="38" w:name="_cl41129THELAW"/>
      <w:r w:rsidR="00445208">
        <w:rPr>
          <w:i/>
        </w:rPr>
        <w:t>Dolińska-Ficek i Ozimek przeciwko Polsce</w:t>
      </w:r>
      <w:bookmarkEnd w:id="38"/>
      <w:r w:rsidR="00445208">
        <w:t>, nr 49868/19 i</w:t>
      </w:r>
      <w:r w:rsidR="00A2269E">
        <w:t> </w:t>
      </w:r>
      <w:r w:rsidR="00445208">
        <w:t>57511/19, § 228, 8 listopada 2021 r.).</w:t>
      </w:r>
    </w:p>
    <w:p w14:paraId="174BDEAB" w14:textId="77777777" w:rsidR="00F5142C" w:rsidRPr="00DB5C9E" w:rsidRDefault="00445208" w:rsidP="00DB5C9E">
      <w:pPr>
        <w:pStyle w:val="JuHa0"/>
      </w:pPr>
      <w:r>
        <w:t>Zastosowanie ogólnych zasad w niniejszej sprawie</w:t>
      </w:r>
    </w:p>
    <w:bookmarkStart w:id="39" w:name="paragraph00097"/>
    <w:p w14:paraId="54A9FD91" w14:textId="0465AA2C" w:rsidR="00F5142C" w:rsidRPr="00DB5C9E" w:rsidRDefault="00445208" w:rsidP="00DB5C9E">
      <w:pPr>
        <w:pStyle w:val="JuPara"/>
      </w:pPr>
      <w:r w:rsidRPr="00DB5C9E">
        <w:fldChar w:fldCharType="begin"/>
      </w:r>
      <w:r w:rsidRPr="00DB5C9E">
        <w:instrText xml:space="preserve"> SEQ level0 \*arabic \* MERGEFORMAT </w:instrText>
      </w:r>
      <w:r w:rsidRPr="00DB5C9E">
        <w:fldChar w:fldCharType="separate"/>
      </w:r>
      <w:r w:rsidR="00446BA2">
        <w:rPr>
          <w:noProof/>
        </w:rPr>
        <w:t>95</w:t>
      </w:r>
      <w:r w:rsidRPr="00DB5C9E">
        <w:fldChar w:fldCharType="end"/>
      </w:r>
      <w:bookmarkEnd w:id="39"/>
      <w:r>
        <w:t xml:space="preserve">.  Trybunał zauważa, że skarżący został powołany na stanowisko </w:t>
      </w:r>
      <w:proofErr w:type="spellStart"/>
      <w:r w:rsidR="007345CA">
        <w:t>CoL</w:t>
      </w:r>
      <w:proofErr w:type="spellEnd"/>
      <w:r w:rsidR="007345CA">
        <w:t xml:space="preserve"> </w:t>
      </w:r>
      <w:r>
        <w:t>w dniu 12 lutego 2019 r., co Parlament przyjął do</w:t>
      </w:r>
      <w:r w:rsidR="00D335F7">
        <w:t> </w:t>
      </w:r>
      <w:r>
        <w:t>wiadomości w dniu 15 marca 2019 r. Trybunał zauważa, że nawet zakładając obowiązywanie okresu próbnego – zgodnie ze stanowiskiem Rządu a</w:t>
      </w:r>
      <w:r w:rsidR="00A2269E">
        <w:t> </w:t>
      </w:r>
      <w:r>
        <w:t xml:space="preserve">przeciwnie do skarżącego – osoba zajmująca stanowisko </w:t>
      </w:r>
      <w:r w:rsidR="007345CA">
        <w:t>=</w:t>
      </w:r>
      <w:proofErr w:type="spellStart"/>
      <w:r w:rsidR="007345CA">
        <w:t>CoL</w:t>
      </w:r>
      <w:proofErr w:type="spellEnd"/>
      <w:r w:rsidR="007345CA">
        <w:t xml:space="preserve"> </w:t>
      </w:r>
      <w:r>
        <w:t>miałaby nadal prawo do dalszego pełnienia swojego urzędu do czasu upływu takiego okresu próbnego (zob. ustawa nr 2/2011, na podstawie</w:t>
      </w:r>
      <w:r w:rsidR="00B144D4">
        <w:t>,</w:t>
      </w:r>
      <w:r>
        <w:t xml:space="preserve"> której zmieniono art. 4 ustawy kwalifikowanej nr 145/2003, zob. par</w:t>
      </w:r>
      <w:r w:rsidR="00781DE1">
        <w:t>.</w:t>
      </w:r>
      <w:r>
        <w:t xml:space="preserve"> </w:t>
      </w:r>
      <w:r w:rsidRPr="00DB5C9E">
        <w:fldChar w:fldCharType="begin"/>
      </w:r>
      <w:r w:rsidRPr="00DB5C9E">
        <w:instrText xml:space="preserve">REF paragraph00054 \h \* CharFormat </w:instrText>
      </w:r>
      <w:r w:rsidRPr="00DB5C9E">
        <w:fldChar w:fldCharType="separate"/>
      </w:r>
      <w:r w:rsidR="00446BA2">
        <w:t>54</w:t>
      </w:r>
      <w:r w:rsidRPr="00DB5C9E">
        <w:fldChar w:fldCharType="end"/>
      </w:r>
      <w:r>
        <w:t xml:space="preserve"> powyżej). Gdyby okres ten został zakończony z powodzeniem – przy czym należy zauważyć, że zakończenie pełnienia funkcji przez skarżącego w niniejszej sprawie nie nastąpiło z powodu jakichkolwiek uchybień w wykonywaniu przez niego obowiązków – jego mandat wygasłby wraz z ukończeniem przez niego wieku sześćdziesięciu ośmiu lat lub wcześniej przy spełnieniu określonych warunków (art. 4 ust. 3 ustawy kwalifikowanej nr 145/2003, zob. par. </w:t>
      </w:r>
      <w:r w:rsidRPr="00DB5C9E">
        <w:fldChar w:fldCharType="begin"/>
      </w:r>
      <w:r w:rsidRPr="00DB5C9E">
        <w:instrText xml:space="preserve">REF paragraph00057 \h \* CharFormat </w:instrText>
      </w:r>
      <w:r w:rsidRPr="00DB5C9E">
        <w:fldChar w:fldCharType="separate"/>
      </w:r>
      <w:r w:rsidR="00446BA2">
        <w:t>57</w:t>
      </w:r>
      <w:r w:rsidRPr="00DB5C9E">
        <w:fldChar w:fldCharType="end"/>
      </w:r>
      <w:r>
        <w:t xml:space="preserve"> powyżej).</w:t>
      </w:r>
    </w:p>
    <w:p w14:paraId="18718D67" w14:textId="19D83CC6" w:rsidR="00F5142C" w:rsidRPr="00DB5C9E" w:rsidRDefault="00446BA2" w:rsidP="00DB5C9E">
      <w:pPr>
        <w:pStyle w:val="JuPara"/>
      </w:pPr>
      <w:fldSimple w:instr=" SEQ level0 \*arabic \* MERGEFORMAT ">
        <w:r>
          <w:rPr>
            <w:noProof/>
          </w:rPr>
          <w:t>96</w:t>
        </w:r>
      </w:fldSimple>
      <w:r w:rsidR="00445208">
        <w:t xml:space="preserve">.  Rząd argumentował, że takie prawo nie istniało, ponieważ skarżącego powołano niezgodnie z prawem. Trybunał powtarza, że przy ustalaniu, czy istniała podstawa prawna dla prawa, na które powołuje się skarżący, Trybunał musi jedynie stwierdzić, czy argumenty skarżącego były wystarczająco przekonujące, a nie czy z pewnością wygrałby sprawę przed sądem krajowym (zob. </w:t>
      </w:r>
      <w:r w:rsidR="00445208">
        <w:rPr>
          <w:i/>
          <w:iCs/>
        </w:rPr>
        <w:t>mutatis mutandis</w:t>
      </w:r>
      <w:r w:rsidR="00420B7E">
        <w:t>,</w:t>
      </w:r>
      <w:r w:rsidR="00445208">
        <w:rPr>
          <w:i/>
          <w:iCs/>
        </w:rPr>
        <w:t xml:space="preserve"> Grzęda</w:t>
      </w:r>
      <w:r w:rsidR="00445208">
        <w:t xml:space="preserve">, op. cit., § 268). Trybunał zauważa, że przed uchwaleniem i wejściem w życie art. 3 ustawy kwalifikowanej nr 1/2020 (zob. par. </w:t>
      </w:r>
      <w:r w:rsidR="00445208" w:rsidRPr="00DB5C9E">
        <w:fldChar w:fldCharType="begin"/>
      </w:r>
      <w:r w:rsidR="00445208" w:rsidRPr="00DB5C9E">
        <w:instrText xml:space="preserve">REF paragraph00061 \h \* CharFormat </w:instrText>
      </w:r>
      <w:r w:rsidR="00445208" w:rsidRPr="00DB5C9E">
        <w:fldChar w:fldCharType="separate"/>
      </w:r>
      <w:r>
        <w:t>61</w:t>
      </w:r>
      <w:r w:rsidR="00445208" w:rsidRPr="00DB5C9E">
        <w:fldChar w:fldCharType="end"/>
      </w:r>
      <w:r w:rsidR="00445208">
        <w:t xml:space="preserve"> powyżej)</w:t>
      </w:r>
      <w:r w:rsidR="009E6743">
        <w:t xml:space="preserve"> o składzie </w:t>
      </w:r>
      <w:r w:rsidR="00445208">
        <w:t>CGP, żaden sąd krajowy nie stwierdził niezgodności powołania z prawem. W szczególności sądy administracyjne, które zostały zobowiązane do dokonania takiego rozstrzygnięcia (w</w:t>
      </w:r>
      <w:r w:rsidR="00A2269E">
        <w:t> </w:t>
      </w:r>
      <w:r w:rsidR="00445208">
        <w:t>postępowaniu o sygn. 13/2019), ostatecznie nigdy tego nie uczyniły w</w:t>
      </w:r>
      <w:r w:rsidR="00A2269E">
        <w:t> </w:t>
      </w:r>
      <w:r w:rsidR="00445208">
        <w:t>wyniku serii wydarzeń, które nastąpiły po interwencji władzy ustawodawczej. Rząd nie powołał się na żadne inne orzeczenie sądu krajowego, wydane przed tą interwencją władzy ustawodawczej, w którym stwierdzono by, że na co najmniej jednym posiedzeniu CGP (w której skład wchodził C, jak miało to miejsce w dniu 12 lutego 2019 r.) była nieprawidłowo obsadzona. Co prawda w postępowaniu o sygn. 37/2020 organy administracyjne uznały powołanie skarżącego za niezgodne z prawem z powodu tego wadliwego składu, ustalenie to opierało się w całości na art. 3 ustawy kwalifikowanej nr 1/2020, uchwalonej rok po powołaniu skarżącego. Trybunał jest zdania, że stwierdzenie przez CGP nieważności powołania skarżącego na podstawie nowego ustawodawstwa, które weszło w życie w</w:t>
      </w:r>
      <w:r w:rsidR="00A2269E">
        <w:t> </w:t>
      </w:r>
      <w:r w:rsidR="00445208">
        <w:t xml:space="preserve">2020 r., nie mogło pozbawić skarżącego z mocą wsteczną możliwości dochodzenia swojego prawa wynikającego z obowiązujących przepisów prawa w wykładni mającej zastosowanie w chwili jego powołania w 2019 r. (zob. </w:t>
      </w:r>
      <w:r w:rsidR="00445208">
        <w:rPr>
          <w:i/>
          <w:iCs/>
        </w:rPr>
        <w:t>mutatis mutandis Baka</w:t>
      </w:r>
      <w:r w:rsidR="00445208">
        <w:t xml:space="preserve">, § 110; </w:t>
      </w:r>
      <w:r w:rsidR="00445208">
        <w:rPr>
          <w:i/>
          <w:iCs/>
        </w:rPr>
        <w:t>Grzęda</w:t>
      </w:r>
      <w:r w:rsidR="00445208">
        <w:t xml:space="preserve">, § 285, </w:t>
      </w:r>
      <w:proofErr w:type="spellStart"/>
      <w:r w:rsidR="00445208">
        <w:rPr>
          <w:i/>
          <w:iCs/>
        </w:rPr>
        <w:t>opp</w:t>
      </w:r>
      <w:proofErr w:type="spellEnd"/>
      <w:r w:rsidR="00445208">
        <w:rPr>
          <w:i/>
          <w:iCs/>
        </w:rPr>
        <w:t>. cit.</w:t>
      </w:r>
      <w:r w:rsidR="00445208">
        <w:t xml:space="preserve"> oraz </w:t>
      </w:r>
      <w:bookmarkStart w:id="40" w:name="_cl43841THELAW"/>
      <w:proofErr w:type="spellStart"/>
      <w:r w:rsidR="00445208">
        <w:rPr>
          <w:i/>
          <w:iCs/>
        </w:rPr>
        <w:t>Stoianoglo</w:t>
      </w:r>
      <w:proofErr w:type="spellEnd"/>
      <w:r w:rsidR="00445208">
        <w:rPr>
          <w:i/>
          <w:iCs/>
        </w:rPr>
        <w:t xml:space="preserve"> przeciwko Republice Mołdawii</w:t>
      </w:r>
      <w:bookmarkEnd w:id="40"/>
      <w:r w:rsidR="00445208">
        <w:t>, nr 19371/22, § 29, 24 października 2023 r.). W okolicznościach rozpatrywanej sprawy odpowiedź na pytanie, czy prawo istniało na mocy prawa krajowego, nie może zostać zatem udzielona na</w:t>
      </w:r>
      <w:r w:rsidR="00A2269E">
        <w:t> </w:t>
      </w:r>
      <w:r w:rsidR="00445208">
        <w:t>podstawie nowej ustawy.</w:t>
      </w:r>
    </w:p>
    <w:p w14:paraId="574A6735" w14:textId="4B3E10E8" w:rsidR="00F5142C" w:rsidRPr="00DB5C9E" w:rsidRDefault="00446BA2" w:rsidP="00DB5C9E">
      <w:pPr>
        <w:pStyle w:val="JuPara"/>
      </w:pPr>
      <w:fldSimple w:instr=" SEQ level0 \*arabic \* MERGEFORMAT ">
        <w:r>
          <w:rPr>
            <w:noProof/>
          </w:rPr>
          <w:t>97</w:t>
        </w:r>
      </w:fldSimple>
      <w:r w:rsidR="00445208">
        <w:t>.  </w:t>
      </w:r>
      <w:r w:rsidR="00F50720">
        <w:t xml:space="preserve">W </w:t>
      </w:r>
      <w:proofErr w:type="gramStart"/>
      <w:r w:rsidR="00F50720">
        <w:t xml:space="preserve">świetle </w:t>
      </w:r>
      <w:r w:rsidR="00445208">
        <w:t xml:space="preserve"> z</w:t>
      </w:r>
      <w:proofErr w:type="gramEnd"/>
      <w:r w:rsidR="00445208">
        <w:t xml:space="preserve"> powyższym Trybunał dochodzi do wniosku, że</w:t>
      </w:r>
      <w:r w:rsidR="00A2269E">
        <w:t> </w:t>
      </w:r>
      <w:r w:rsidR="00445208">
        <w:t>w</w:t>
      </w:r>
      <w:r w:rsidR="00A2269E">
        <w:t> </w:t>
      </w:r>
      <w:r w:rsidR="00445208">
        <w:t>rozpatrywanej sprawie istniał rzeczywisty i poważny spór dotyczący „prawa”, którego skarżący mógł dochodzić, mając ku temu możliwe do</w:t>
      </w:r>
      <w:r w:rsidR="00A2269E">
        <w:t> </w:t>
      </w:r>
      <w:r w:rsidR="00445208">
        <w:t xml:space="preserve">wykazania podstawy w prawie krajowym (zob. </w:t>
      </w:r>
      <w:r w:rsidR="00445208">
        <w:rPr>
          <w:i/>
        </w:rPr>
        <w:t>mutatis mutandis</w:t>
      </w:r>
      <w:r w:rsidR="00445208">
        <w:t xml:space="preserve"> </w:t>
      </w:r>
      <w:r w:rsidR="00445208">
        <w:rPr>
          <w:i/>
        </w:rPr>
        <w:t>Baka</w:t>
      </w:r>
      <w:r w:rsidR="00445208">
        <w:t>, §</w:t>
      </w:r>
      <w:r w:rsidR="00A2269E">
        <w:t> </w:t>
      </w:r>
      <w:r w:rsidR="00445208">
        <w:t xml:space="preserve">111, i </w:t>
      </w:r>
      <w:r w:rsidR="00445208">
        <w:rPr>
          <w:i/>
        </w:rPr>
        <w:t>Grzęda</w:t>
      </w:r>
      <w:r w:rsidR="00445208">
        <w:t xml:space="preserve">, § 286, </w:t>
      </w:r>
      <w:proofErr w:type="spellStart"/>
      <w:r w:rsidR="00445208">
        <w:t>opp</w:t>
      </w:r>
      <w:proofErr w:type="spellEnd"/>
      <w:r w:rsidR="00445208">
        <w:t>. cit.).</w:t>
      </w:r>
    </w:p>
    <w:p w14:paraId="5C663E55" w14:textId="6E1F523E" w:rsidR="00F5142C" w:rsidRPr="00DB5C9E" w:rsidRDefault="00446BA2" w:rsidP="00DB5C9E">
      <w:pPr>
        <w:pStyle w:val="JuPara"/>
      </w:pPr>
      <w:fldSimple w:instr=" SEQ level0 \*arabic \* MERGEFORMAT ">
        <w:r>
          <w:rPr>
            <w:noProof/>
          </w:rPr>
          <w:t>98</w:t>
        </w:r>
      </w:fldSimple>
      <w:r w:rsidR="00445208">
        <w:t xml:space="preserve">.  Trybunał uznaje również za stosowne wskazać, mając na uwadze stanowisko Rządu (zob. par. </w:t>
      </w:r>
      <w:r w:rsidR="00445208" w:rsidRPr="00DB5C9E">
        <w:fldChar w:fldCharType="begin"/>
      </w:r>
      <w:r w:rsidR="00445208" w:rsidRPr="00DB5C9E">
        <w:instrText xml:space="preserve">REF paragraph00084 \h \* CharFormat </w:instrText>
      </w:r>
      <w:r w:rsidR="00445208" w:rsidRPr="00DB5C9E">
        <w:fldChar w:fldCharType="separate"/>
      </w:r>
      <w:r>
        <w:t>83</w:t>
      </w:r>
      <w:r w:rsidR="00445208" w:rsidRPr="00DB5C9E">
        <w:fldChar w:fldCharType="end"/>
      </w:r>
      <w:r w:rsidR="00445208">
        <w:t xml:space="preserve"> powyżej), że nieważność powołania skarżącego stwierdzono, a takie unieważnienie zostało potwierdzone przez sądy administracyjne, wyłącznie z uwagi na nieprawidłowy skład CGP w</w:t>
      </w:r>
      <w:r w:rsidR="00A2269E">
        <w:t> </w:t>
      </w:r>
      <w:r w:rsidR="00445208">
        <w:t>świetle art. 3 ustawy kwalifikowanej nr 1/2020, a nie z uwagi na</w:t>
      </w:r>
      <w:r w:rsidR="00A2269E">
        <w:t> </w:t>
      </w:r>
      <w:r w:rsidR="00445208">
        <w:t>jakiekolwiek inne zarzucane uchybienia w procedurze powołania, w</w:t>
      </w:r>
      <w:r w:rsidR="00A2269E">
        <w:t> </w:t>
      </w:r>
      <w:r w:rsidR="00445208">
        <w:t>odniesieniu do których żaden sąd krajowy nigdy nie dokonał żadnego rozstrzygnięcia.</w:t>
      </w:r>
    </w:p>
    <w:p w14:paraId="59723A2A" w14:textId="1F8A2FF9" w:rsidR="00F5142C" w:rsidRPr="00DB5C9E" w:rsidRDefault="00446BA2" w:rsidP="00DB5C9E">
      <w:pPr>
        <w:pStyle w:val="JuPara"/>
      </w:pPr>
      <w:fldSimple w:instr=" SEQ level0 \*arabic \* MERGEFORMAT ">
        <w:r>
          <w:rPr>
            <w:noProof/>
          </w:rPr>
          <w:t>99</w:t>
        </w:r>
      </w:fldSimple>
      <w:r w:rsidR="00445208">
        <w:t>.  Wniosek, że skarżący miał „prawo”, które mógł dochodzić, mając ku</w:t>
      </w:r>
      <w:r w:rsidR="00A2269E">
        <w:t> </w:t>
      </w:r>
      <w:r w:rsidR="00445208">
        <w:t>temu możliwe do wykazania podstawy w prawie krajowym, znajduje potwierdzenie w tym, że – jak wynika ze stanu faktycznego sprawy, ustaleń sądów krajowych i stanowiska Rządu – prawu temu towarzyszyło prawo procesowe, wynikające z przepisów prawa krajowego, do zakwestionowania decyzji, w której stwierdzono nieważność jego powołania. Samo to mogłoby wystarczyć do stwierdzenia, że prawo w rozumieniu art. 6 ust. 1 istnieje w</w:t>
      </w:r>
      <w:r w:rsidR="00A2269E">
        <w:t> </w:t>
      </w:r>
      <w:r w:rsidR="00445208">
        <w:t>kontekście niniejszej sprawy.</w:t>
      </w:r>
    </w:p>
    <w:p w14:paraId="0E2E3DB2" w14:textId="632E437E" w:rsidR="00F5142C" w:rsidRPr="00DB5C9E" w:rsidRDefault="00446BA2" w:rsidP="00DB5C9E">
      <w:pPr>
        <w:pStyle w:val="JuPara"/>
        <w:rPr>
          <w:rFonts w:cstheme="minorHAnsi"/>
          <w:iCs/>
        </w:rPr>
      </w:pPr>
      <w:fldSimple w:instr=" SEQ level0 \*arabic \* MERGEFORMAT ">
        <w:r>
          <w:rPr>
            <w:noProof/>
          </w:rPr>
          <w:t>100</w:t>
        </w:r>
      </w:fldSimple>
      <w:r w:rsidR="00445208">
        <w:t xml:space="preserve">.  Trybunał musi obecnie ustalić, czy „prawo”, na jakie powołuje się skarżący, miało charakter „cywilny” w autonomicznym znaczeniu art. 6 ust. 1 w świetle kryteriów opracowanych w wyroku wydanym w sprawie </w:t>
      </w:r>
      <w:proofErr w:type="spellStart"/>
      <w:r w:rsidR="00445208">
        <w:rPr>
          <w:i/>
        </w:rPr>
        <w:t>Vilho</w:t>
      </w:r>
      <w:proofErr w:type="spellEnd"/>
      <w:r w:rsidR="00445208">
        <w:rPr>
          <w:i/>
        </w:rPr>
        <w:t xml:space="preserve"> </w:t>
      </w:r>
      <w:proofErr w:type="spellStart"/>
      <w:r w:rsidR="00445208">
        <w:rPr>
          <w:i/>
        </w:rPr>
        <w:t>Eskelinen</w:t>
      </w:r>
      <w:proofErr w:type="spellEnd"/>
      <w:r w:rsidR="00445208">
        <w:rPr>
          <w:i/>
          <w:iCs/>
        </w:rPr>
        <w:t xml:space="preserve"> i Inni.</w:t>
      </w:r>
      <w:r w:rsidR="00445208">
        <w:t xml:space="preserve"> Trybunał zauważa, że prawo krajowe „[nie wyłączało] w sposób wyraźny [...] dostęp[u] do sądu” w zakresie roszczenia opartego na</w:t>
      </w:r>
      <w:r w:rsidR="00420B7E">
        <w:t> </w:t>
      </w:r>
      <w:r w:rsidR="00445208">
        <w:t>zarzucanej niezgodności z</w:t>
      </w:r>
      <w:r w:rsidR="00420B7E">
        <w:t xml:space="preserve"> </w:t>
      </w:r>
      <w:r w:rsidR="00445208">
        <w:t xml:space="preserve">prawem stwierdzenia nieważności powołania skarżącego na </w:t>
      </w:r>
      <w:proofErr w:type="spellStart"/>
      <w:r w:rsidR="00445208">
        <w:t>stanowisko</w:t>
      </w:r>
      <w:r w:rsidR="007345CA">
        <w:t>CoL</w:t>
      </w:r>
      <w:proofErr w:type="spellEnd"/>
      <w:r w:rsidR="00445208">
        <w:t xml:space="preserve">. Wręcz przeciwnie, jak wskazał Rząd (zob. par. </w:t>
      </w:r>
      <w:r w:rsidR="00445208" w:rsidRPr="00DB5C9E">
        <w:fldChar w:fldCharType="begin"/>
      </w:r>
      <w:r w:rsidR="00445208" w:rsidRPr="00DB5C9E">
        <w:instrText xml:space="preserve">REF paragraph00084 \h \* CharFormat </w:instrText>
      </w:r>
      <w:r w:rsidR="00445208" w:rsidRPr="00DB5C9E">
        <w:fldChar w:fldCharType="separate"/>
      </w:r>
      <w:r>
        <w:t>83</w:t>
      </w:r>
      <w:r w:rsidR="00445208" w:rsidRPr="00DB5C9E">
        <w:fldChar w:fldCharType="end"/>
      </w:r>
      <w:r w:rsidR="00420B7E">
        <w:t xml:space="preserve"> </w:t>
      </w:r>
      <w:r w:rsidR="00445208">
        <w:t xml:space="preserve">powyżej), skarżący miał możliwość zakwestionowania tej decyzji, z której skorzystał. Pierwszy warunek testu z wyroku </w:t>
      </w:r>
      <w:proofErr w:type="spellStart"/>
      <w:r w:rsidR="00445208">
        <w:rPr>
          <w:i/>
          <w:iCs/>
        </w:rPr>
        <w:t>Eskelinen</w:t>
      </w:r>
      <w:proofErr w:type="spellEnd"/>
      <w:r w:rsidR="00445208">
        <w:t xml:space="preserve"> nie został zatem spełniony, a art.</w:t>
      </w:r>
      <w:r w:rsidR="00420B7E">
        <w:t xml:space="preserve"> </w:t>
      </w:r>
      <w:r w:rsidR="00445208">
        <w:t>6 ma zastosowanie na gruncie wymiaru cywilnego. Z uwagi na to, iż dwa warunki decydujące o wyłączeniu stosowania art.</w:t>
      </w:r>
      <w:r w:rsidR="00420B7E">
        <w:t xml:space="preserve"> </w:t>
      </w:r>
      <w:r w:rsidR="00445208">
        <w:t xml:space="preserve">6 muszą zostać spełnione łącznie, nie ma konieczności badania spełnienia drugiego warunku testu z wyroku </w:t>
      </w:r>
      <w:proofErr w:type="spellStart"/>
      <w:r w:rsidR="00445208">
        <w:rPr>
          <w:i/>
          <w:iCs/>
        </w:rPr>
        <w:t>Eskelinen</w:t>
      </w:r>
      <w:proofErr w:type="spellEnd"/>
      <w:r w:rsidR="00445208">
        <w:t xml:space="preserve"> (zob. np.</w:t>
      </w:r>
      <w:r w:rsidR="00A2269E">
        <w:t> </w:t>
      </w:r>
      <w:r w:rsidR="00445208">
        <w:rPr>
          <w:i/>
        </w:rPr>
        <w:t>Baka</w:t>
      </w:r>
      <w:r w:rsidR="00445208">
        <w:t xml:space="preserve">, op. cit., § 118 i </w:t>
      </w:r>
      <w:bookmarkStart w:id="41" w:name="_cl25974THELAW"/>
      <w:proofErr w:type="spellStart"/>
      <w:r w:rsidR="00445208">
        <w:rPr>
          <w:i/>
        </w:rPr>
        <w:t>Frezadou</w:t>
      </w:r>
      <w:proofErr w:type="spellEnd"/>
      <w:r w:rsidR="00445208">
        <w:rPr>
          <w:i/>
        </w:rPr>
        <w:t xml:space="preserve"> przeciwko Grecji</w:t>
      </w:r>
      <w:bookmarkEnd w:id="41"/>
      <w:r w:rsidR="00445208">
        <w:t>, nr 2683/12, § 32, 8 listopada 2018 r.).</w:t>
      </w:r>
    </w:p>
    <w:p w14:paraId="1F018060" w14:textId="16FDE248" w:rsidR="00F5142C" w:rsidRPr="00DB5C9E" w:rsidRDefault="00446BA2" w:rsidP="00DB5C9E">
      <w:pPr>
        <w:pStyle w:val="JuPara"/>
      </w:pPr>
      <w:fldSimple w:instr=" SEQ level0 \*arabic \* MERGEFORMAT ">
        <w:r>
          <w:rPr>
            <w:noProof/>
          </w:rPr>
          <w:t>101</w:t>
        </w:r>
      </w:fldSimple>
      <w:r w:rsidR="00445208">
        <w:t>.  Wreszcie Trybunał zauważa, że postępowanie będące przedmiotem skargi (o sygn. 37/2020) miało bezpośredni wpływ na prawa skarżącego w</w:t>
      </w:r>
      <w:r w:rsidR="00A2269E">
        <w:t> </w:t>
      </w:r>
      <w:r w:rsidR="00445208">
        <w:t>zakresie, w jakim mogło ono doprowadzić do uchylenia decyzji CGP, w</w:t>
      </w:r>
      <w:r w:rsidR="00A2269E">
        <w:t> </w:t>
      </w:r>
      <w:r w:rsidR="00445208">
        <w:t xml:space="preserve">której stwierdzono nieważność powołania skarżącego (zob. art. 15 ustawy nr 68/1989, par. </w:t>
      </w:r>
      <w:r w:rsidR="00445208" w:rsidRPr="00DB5C9E">
        <w:fldChar w:fldCharType="begin"/>
      </w:r>
      <w:r w:rsidR="00445208" w:rsidRPr="00DB5C9E">
        <w:instrText xml:space="preserve">REF paragraph00065 \h \* CharFormat </w:instrText>
      </w:r>
      <w:r w:rsidR="00445208" w:rsidRPr="00DB5C9E">
        <w:fldChar w:fldCharType="separate"/>
      </w:r>
      <w:r>
        <w:t>65</w:t>
      </w:r>
      <w:r w:rsidR="00445208" w:rsidRPr="00DB5C9E">
        <w:fldChar w:fldCharType="end"/>
      </w:r>
      <w:r w:rsidR="00445208">
        <w:t xml:space="preserve"> powyżej), i przywrócenia go tym samym na stanowisko.</w:t>
      </w:r>
    </w:p>
    <w:p w14:paraId="17A6AAE2" w14:textId="0AF8CD31" w:rsidR="00F5142C" w:rsidRPr="00DB5C9E" w:rsidRDefault="00446BA2" w:rsidP="00DB5C9E">
      <w:pPr>
        <w:pStyle w:val="JuPara"/>
      </w:pPr>
      <w:fldSimple w:instr=" SEQ level0 \*arabic \* MERGEFORMAT ">
        <w:r>
          <w:rPr>
            <w:noProof/>
          </w:rPr>
          <w:t>102</w:t>
        </w:r>
      </w:fldSimple>
      <w:r w:rsidR="00445208">
        <w:t>.  Wynika z tego, że art. 6 ma zastosowanie w niniejszej sprawie, a</w:t>
      </w:r>
      <w:r w:rsidR="00A2269E">
        <w:t> </w:t>
      </w:r>
      <w:r w:rsidR="00445208">
        <w:t>zastrzeżenie wstępne Rządu co do zastosowania tego przepisu należy oddalić.</w:t>
      </w:r>
    </w:p>
    <w:p w14:paraId="6FF668EE" w14:textId="3C7BA3EB" w:rsidR="00F5142C" w:rsidRPr="00DB5C9E" w:rsidRDefault="00446BA2" w:rsidP="00DB5C9E">
      <w:pPr>
        <w:pStyle w:val="JuPara"/>
      </w:pPr>
      <w:fldSimple w:instr=" SEQ level0 \*arabic \* MERGEFORMAT ">
        <w:r>
          <w:rPr>
            <w:noProof/>
          </w:rPr>
          <w:t>103</w:t>
        </w:r>
      </w:fldSimple>
      <w:r w:rsidR="00445208">
        <w:t>.  Trybunał zauważa, że skarga nie jest ani w</w:t>
      </w:r>
      <w:r w:rsidR="00420B7E">
        <w:t xml:space="preserve"> </w:t>
      </w:r>
      <w:r w:rsidR="00445208">
        <w:t>sposób oczywisty nieuzasadniona, ani niedopuszczalna z innych powodów wymienionych w art. 35 Konwencji. Należy ją zatem uznać za dopuszczalną.</w:t>
      </w:r>
    </w:p>
    <w:p w14:paraId="5B246194" w14:textId="77777777" w:rsidR="00F5142C" w:rsidRPr="00DB5C9E" w:rsidRDefault="00445208" w:rsidP="00DB5C9E">
      <w:pPr>
        <w:pStyle w:val="JuHA"/>
      </w:pPr>
      <w:r>
        <w:t>Przedmiot skargi</w:t>
      </w:r>
    </w:p>
    <w:p w14:paraId="1DC052FE" w14:textId="77777777" w:rsidR="00F5142C" w:rsidRPr="00DB5C9E" w:rsidRDefault="00445208" w:rsidP="00DB5C9E">
      <w:pPr>
        <w:pStyle w:val="JuH1"/>
      </w:pPr>
      <w:r>
        <w:t>Zarzucana nierzetelność wynikająca z interwencji władzy ustawodawczej z mocą wsteczną</w:t>
      </w:r>
    </w:p>
    <w:p w14:paraId="763CA726" w14:textId="77777777" w:rsidR="00F5142C" w:rsidRPr="00DB5C9E" w:rsidRDefault="00445208" w:rsidP="00DB5C9E">
      <w:pPr>
        <w:pStyle w:val="JuHa0"/>
      </w:pPr>
      <w:r>
        <w:t>Stanowiska stron</w:t>
      </w:r>
    </w:p>
    <w:p w14:paraId="0FE54495" w14:textId="77777777" w:rsidR="00F5142C" w:rsidRPr="00DB5C9E" w:rsidRDefault="00445208" w:rsidP="00DB5C9E">
      <w:pPr>
        <w:pStyle w:val="JuHi"/>
      </w:pPr>
      <w:r>
        <w:t>Skarżący</w:t>
      </w:r>
    </w:p>
    <w:p w14:paraId="6984D1A2" w14:textId="300E7902" w:rsidR="00F5142C" w:rsidRPr="00DB5C9E" w:rsidRDefault="00446BA2" w:rsidP="00DB5C9E">
      <w:pPr>
        <w:pStyle w:val="JuPara"/>
      </w:pPr>
      <w:fldSimple w:instr=" SEQ level0 \*arabic \* MERGEFORMAT ">
        <w:r>
          <w:rPr>
            <w:noProof/>
          </w:rPr>
          <w:t>104</w:t>
        </w:r>
      </w:fldSimple>
      <w:r w:rsidR="00445208">
        <w:t>.  Skarżący podniósł, że ucierpiał z powodu ingerencji władzy ustawodawczej z mocą wsteczną, w ramach której naruszono jego prawo o</w:t>
      </w:r>
      <w:r w:rsidR="00A2269E">
        <w:t> </w:t>
      </w:r>
      <w:r w:rsidR="00445208">
        <w:t>charakterze cywilnym do zachowania stanowiska</w:t>
      </w:r>
      <w:r w:rsidR="00A33C7D">
        <w:t xml:space="preserve"> </w:t>
      </w:r>
      <w:proofErr w:type="spellStart"/>
      <w:r w:rsidR="007345CA">
        <w:t>CoL</w:t>
      </w:r>
      <w:proofErr w:type="spellEnd"/>
      <w:r w:rsidR="00445208">
        <w:t>, na</w:t>
      </w:r>
      <w:r w:rsidR="00A2269E">
        <w:t> </w:t>
      </w:r>
      <w:r w:rsidR="00445208">
        <w:t xml:space="preserve">które został </w:t>
      </w:r>
      <w:r w:rsidR="00445208">
        <w:lastRenderedPageBreak/>
        <w:t>stosownie powołany. Dzięki ustawie państwo zyskało przewagę w sporze ze skarżącym. Uznał on, że za uchwaleniem ustawy i</w:t>
      </w:r>
      <w:r w:rsidR="00A2269E">
        <w:t> </w:t>
      </w:r>
      <w:r w:rsidR="00445208">
        <w:t xml:space="preserve">zastosowaniem jej z mocą wsteczną nie stały żadne istotne względy interesu ogólnego, lecz jedynie wola Rządu, aby usunąć z urzędu niektórych przedstawicieli sądownictwa, którzy zostali już </w:t>
      </w:r>
      <w:r w:rsidR="00A4622A">
        <w:t>powołani</w:t>
      </w:r>
      <w:r w:rsidR="00445208">
        <w:t xml:space="preserve">, i ostatecznie zastąpić ich innymi. Zauważył, że powołanie się przez CGP na opinię </w:t>
      </w:r>
      <w:r w:rsidR="00445208">
        <w:rPr>
          <w:i/>
          <w:iCs/>
        </w:rPr>
        <w:t xml:space="preserve">pro </w:t>
      </w:r>
      <w:proofErr w:type="spellStart"/>
      <w:r w:rsidR="00445208">
        <w:rPr>
          <w:i/>
          <w:iCs/>
        </w:rPr>
        <w:t>veritate</w:t>
      </w:r>
      <w:proofErr w:type="spellEnd"/>
      <w:r w:rsidR="00445208">
        <w:t xml:space="preserve"> było działaniem podstępnym, pozwalającym CGP wejść w funkcję władzy sądowniczej w toczących się sporach, które zostały skutecznie rozstrzygnięte przez CGP, a nie naturalnego sędziego ustanowionego uprzednio ustawą. Ponadto w opinii tej dogodnie uznano, że jedynie niektóre, ale nie wszystkie decyzje CGP (w składzie z sędzią C) wymagały unieważnienia. Skarżący zauważył ponadto, że jakiekolwiek konflikty lub opinie wyrażone po uchwaleniu ustawy kwalifikowanej nr 1/2020 (zob. par. </w:t>
      </w:r>
      <w:r w:rsidR="00445208" w:rsidRPr="00DB5C9E">
        <w:fldChar w:fldCharType="begin"/>
      </w:r>
      <w:r w:rsidR="00445208" w:rsidRPr="00DB5C9E">
        <w:instrText xml:space="preserve">REF paragraph00018 \h \* CharFormat </w:instrText>
      </w:r>
      <w:r w:rsidR="00445208" w:rsidRPr="00DB5C9E">
        <w:fldChar w:fldCharType="separate"/>
      </w:r>
      <w:r w:rsidRPr="00446BA2">
        <w:t>18</w:t>
      </w:r>
      <w:r w:rsidR="00445208" w:rsidRPr="00DB5C9E">
        <w:fldChar w:fldCharType="end"/>
      </w:r>
      <w:r w:rsidR="00445208">
        <w:t xml:space="preserve"> powyżej) nie mogły służyć ze skutkiem wstecznym za podstawę jej przyjęcia.</w:t>
      </w:r>
    </w:p>
    <w:p w14:paraId="276B14F6" w14:textId="36073D41" w:rsidR="00F5142C" w:rsidRPr="00DB5C9E" w:rsidRDefault="00446BA2" w:rsidP="00DB5C9E">
      <w:pPr>
        <w:pStyle w:val="JuPara"/>
      </w:pPr>
      <w:fldSimple w:instr=" SEQ level0 \*arabic \* MERGEFORMAT ">
        <w:r>
          <w:rPr>
            <w:noProof/>
          </w:rPr>
          <w:t>105</w:t>
        </w:r>
      </w:fldSimple>
      <w:r w:rsidR="00445208">
        <w:t>.  Skarżący uznał, że ingerencja wykraczała poza postępowanie o sygn. 13/2019. Tekst ustawy kwalifikowanej nr 1/2020 został zatwierdzony specjalnie w celu wpłynięcia na wynik tego postępowania, a także wywołania skutków prawnych i bezpośredniego zastosowania do statusu skarżącego jako „sędziego zatwierdzonego na czas nieoznaczony, awansowanego na wyższe stanowisko”. W związku z tym miała ona wyraźny cel obejścia zasady państwa prawa. W rezultacie spór między skarżącym a państwem nie został rozpatrzony przez sądy administracyjne z poszanowaniem prawa do</w:t>
      </w:r>
      <w:r w:rsidR="00A2269E">
        <w:t> </w:t>
      </w:r>
      <w:r w:rsidR="00445208">
        <w:t>rzetelnego procesu sądowego. Ponadto sądy te uzurpowały sobie funkcje Trybunału Konstytucyjnego, rozstrzygając kwestię samodzielnie i odrzucając wniosek skarżącego o skierowanie sprawy właśnie do Trybunału Konstytucyjnego.</w:t>
      </w:r>
    </w:p>
    <w:p w14:paraId="520FE46D" w14:textId="77777777" w:rsidR="00F5142C" w:rsidRPr="00DB5C9E" w:rsidRDefault="00445208" w:rsidP="00DB5C9E">
      <w:pPr>
        <w:pStyle w:val="JuHi"/>
      </w:pPr>
      <w:r>
        <w:t>Rząd</w:t>
      </w:r>
    </w:p>
    <w:p w14:paraId="46BB193E" w14:textId="364518F2" w:rsidR="00F5142C" w:rsidRPr="00DB5C9E" w:rsidRDefault="00446BA2" w:rsidP="00DB5C9E">
      <w:pPr>
        <w:pStyle w:val="JuPara"/>
        <w:rPr>
          <w:rFonts w:ascii="Times New Roman" w:hAnsi="Times New Roman" w:cs="Times New Roman"/>
        </w:rPr>
      </w:pPr>
      <w:fldSimple w:instr=" SEQ level0 \*arabic \* MERGEFORMAT ">
        <w:r>
          <w:rPr>
            <w:noProof/>
          </w:rPr>
          <w:t>106</w:t>
        </w:r>
      </w:fldSimple>
      <w:r w:rsidR="00445208">
        <w:t xml:space="preserve">.  Rząd podniósł, że zaskarżony środek legislacyjny (mianowicie art. 3 ustawy kwalifikowanej nr 1/2020, zob. par. </w:t>
      </w:r>
      <w:r w:rsidR="00445208" w:rsidRPr="00DB5C9E">
        <w:fldChar w:fldCharType="begin"/>
      </w:r>
      <w:r w:rsidR="00445208" w:rsidRPr="00DB5C9E">
        <w:instrText xml:space="preserve">REF paragraph00061 \h \* CharFormat </w:instrText>
      </w:r>
      <w:r w:rsidR="00445208" w:rsidRPr="00DB5C9E">
        <w:fldChar w:fldCharType="separate"/>
      </w:r>
      <w:r>
        <w:t>61</w:t>
      </w:r>
      <w:r w:rsidR="00445208" w:rsidRPr="00DB5C9E">
        <w:fldChar w:fldCharType="end"/>
      </w:r>
      <w:r w:rsidR="00445208">
        <w:t xml:space="preserve"> powyżej) był zgodny z zasadą państwa prawa, ponieważ był to przepis autentycznej wykładni pierwotnego przepisu (tj. art. 7 ust. 5 ustawy kwalifikowanej nr 145/2003, zob. par. </w:t>
      </w:r>
      <w:r w:rsidR="00445208" w:rsidRPr="00DB5C9E">
        <w:fldChar w:fldCharType="begin"/>
      </w:r>
      <w:r w:rsidR="00445208" w:rsidRPr="00DB5C9E">
        <w:instrText xml:space="preserve">REF paragraph00057 \h \* CharFormat </w:instrText>
      </w:r>
      <w:r w:rsidR="00445208" w:rsidRPr="00DB5C9E">
        <w:fldChar w:fldCharType="separate"/>
      </w:r>
      <w:r>
        <w:t>57</w:t>
      </w:r>
      <w:r w:rsidR="00445208" w:rsidRPr="00DB5C9E">
        <w:fldChar w:fldCharType="end"/>
      </w:r>
      <w:r w:rsidR="00445208">
        <w:t xml:space="preserve"> powyżej), dotyczącego składu CGP. Zauważając, że autentyczna wykładnia nadaje interpretowanej normie znaczenie, które było już oczywiste, czyli to</w:t>
      </w:r>
      <w:r w:rsidR="00A2269E">
        <w:t> </w:t>
      </w:r>
      <w:r w:rsidR="00445208">
        <w:t>zawarte w brzmieniu ustawy, Rząd wskazał, że prawodawstwo wyjaśniało znaczenie art. 7 ust. 5 ustawy kwalifikowanej nr 145/2003 w ten sposób, że</w:t>
      </w:r>
      <w:r w:rsidR="00A2269E">
        <w:t> </w:t>
      </w:r>
      <w:r w:rsidR="00445208">
        <w:t>sędzia apelacyjny niezatwierdzony jeszcze na swojej funkcji na czas nieoznaczony (jak miało to miejsce w przypadku C) nie mógł zostać członkiem CGP tak długo, jak istnieli inni sędziowie jakiegokolwiek szczebla sądownictwa, zatwierdzeni na swoich funkcjach na czas nieoznaczony. Rząd stwierdził, że wykładnia tego przepisu była przedmiotem rozbieżności od</w:t>
      </w:r>
      <w:r w:rsidR="00A2269E">
        <w:t> </w:t>
      </w:r>
      <w:r w:rsidR="00445208">
        <w:t xml:space="preserve">dnia 27 kwietnia 2018 r. (zob. par. </w:t>
      </w:r>
      <w:r w:rsidR="00445208" w:rsidRPr="00DB5C9E">
        <w:fldChar w:fldCharType="begin"/>
      </w:r>
      <w:r w:rsidR="00445208" w:rsidRPr="00DB5C9E">
        <w:instrText xml:space="preserve">REF paragraph00006 \h \* CharFormat </w:instrText>
      </w:r>
      <w:r w:rsidR="00445208" w:rsidRPr="00DB5C9E">
        <w:fldChar w:fldCharType="separate"/>
      </w:r>
      <w:r w:rsidRPr="00446BA2">
        <w:t>6</w:t>
      </w:r>
      <w:r w:rsidR="00445208" w:rsidRPr="00DB5C9E">
        <w:fldChar w:fldCharType="end"/>
      </w:r>
      <w:r w:rsidR="00445208">
        <w:t xml:space="preserve"> i nast. powyżej), wynikających z</w:t>
      </w:r>
      <w:r w:rsidR="00A2269E">
        <w:t> </w:t>
      </w:r>
      <w:r w:rsidR="00445208">
        <w:t xml:space="preserve">poglądu większości CGP tego dnia. Była także przedmiotem debaty podczas posiedzenia w dniu 12 lutego 2019 r. (zob. par. </w:t>
      </w:r>
      <w:r w:rsidR="00445208" w:rsidRPr="00DB5C9E">
        <w:fldChar w:fldCharType="begin"/>
      </w:r>
      <w:r w:rsidR="00445208" w:rsidRPr="00DB5C9E">
        <w:instrText xml:space="preserve">REF paragraph00011 \h \* CharFormat </w:instrText>
      </w:r>
      <w:r w:rsidR="00445208" w:rsidRPr="00DB5C9E">
        <w:fldChar w:fldCharType="separate"/>
      </w:r>
      <w:r w:rsidRPr="00446BA2">
        <w:t>11</w:t>
      </w:r>
      <w:r w:rsidR="00445208" w:rsidRPr="00DB5C9E">
        <w:fldChar w:fldCharType="end"/>
      </w:r>
      <w:r w:rsidR="00445208">
        <w:t xml:space="preserve"> powyżej), </w:t>
      </w:r>
      <w:r w:rsidR="00445208">
        <w:lastRenderedPageBreak/>
        <w:t>w</w:t>
      </w:r>
      <w:r w:rsidR="00A2269E">
        <w:t> </w:t>
      </w:r>
      <w:r w:rsidR="00445208">
        <w:t xml:space="preserve">którym to dniu skarżący został powołany. Zdaniem Rządu wykładnia prawa dokonana przez CGP w dniu 27 kwietnia 2018 r. i na kolejnych posiedzeniach była nowatorska i sprzeczna z brzmieniem ustawy i zamiarem ustawodawcy. Rząd stwierdził, że wcześniejsza wykładnia stanowiła normę od 2011 r., powołując się na skład CGP, w którym zasiadał </w:t>
      </w:r>
      <w:proofErr w:type="spellStart"/>
      <w:r w:rsidR="007345CA">
        <w:t>CoL</w:t>
      </w:r>
      <w:proofErr w:type="spellEnd"/>
      <w:r w:rsidR="007345CA">
        <w:t xml:space="preserve"> </w:t>
      </w:r>
      <w:r w:rsidR="00445208">
        <w:t xml:space="preserve">B (zob. par. </w:t>
      </w:r>
      <w:r w:rsidR="00445208" w:rsidRPr="00DB5C9E">
        <w:rPr>
          <w:rFonts w:ascii="Times New Roman" w:eastAsia="Times New Roman" w:hAnsi="Times New Roman" w:cs="Times New Roman"/>
        </w:rPr>
        <w:fldChar w:fldCharType="begin"/>
      </w:r>
      <w:r w:rsidR="00445208" w:rsidRPr="00DB5C9E">
        <w:instrText xml:space="preserve">REF paragraph00006 \h \* CharFormat </w:instrText>
      </w:r>
      <w:r w:rsidR="00445208" w:rsidRPr="00DB5C9E">
        <w:rPr>
          <w:rFonts w:ascii="Times New Roman" w:eastAsia="Times New Roman" w:hAnsi="Times New Roman" w:cs="Times New Roman"/>
        </w:rPr>
      </w:r>
      <w:r w:rsidR="00445208" w:rsidRPr="00DB5C9E">
        <w:rPr>
          <w:rFonts w:ascii="Times New Roman" w:eastAsia="Times New Roman" w:hAnsi="Times New Roman" w:cs="Times New Roman"/>
        </w:rPr>
        <w:fldChar w:fldCharType="separate"/>
      </w:r>
      <w:r w:rsidRPr="00446BA2">
        <w:t>6</w:t>
      </w:r>
      <w:r w:rsidR="00445208" w:rsidRPr="00DB5C9E">
        <w:rPr>
          <w:rFonts w:ascii="Times New Roman" w:eastAsia="Times New Roman" w:hAnsi="Times New Roman" w:cs="Times New Roman"/>
        </w:rPr>
        <w:fldChar w:fldCharType="end"/>
      </w:r>
      <w:r w:rsidR="00445208">
        <w:t xml:space="preserve"> powyżej).</w:t>
      </w:r>
    </w:p>
    <w:p w14:paraId="12C42BBB" w14:textId="13DACB61" w:rsidR="00F5142C" w:rsidRPr="00DB5C9E" w:rsidRDefault="00446BA2" w:rsidP="00DB5C9E">
      <w:pPr>
        <w:pStyle w:val="JuPara"/>
        <w:rPr>
          <w:rFonts w:ascii="Times New Roman" w:hAnsi="Times New Roman" w:cs="Times New Roman"/>
        </w:rPr>
      </w:pPr>
      <w:fldSimple w:instr=" SEQ level0 \*arabic \* MERGEFORMAT ">
        <w:r>
          <w:rPr>
            <w:noProof/>
          </w:rPr>
          <w:t>107</w:t>
        </w:r>
      </w:fldSimple>
      <w:r w:rsidR="00445208">
        <w:t>.  Zdaniem Rządu ingerencja była konieczna,</w:t>
      </w:r>
      <w:r w:rsidR="00A33C7D">
        <w:t xml:space="preserve"> </w:t>
      </w:r>
      <w:r w:rsidR="00445208">
        <w:t>ponieważ zakwestionowany przepis wpływał na prawidłowe funkcjonowanie CGP i</w:t>
      </w:r>
      <w:r w:rsidR="00A2269E">
        <w:t> </w:t>
      </w:r>
      <w:r w:rsidR="00445208">
        <w:t>miał „znaczenie ustrojowe” w systemie prawnym. Była ona również zgodna z orzecznictwem Trybunału Konstytucyjnego San Marino, który stwierdził, że (z wyłączeniem sfery karnej) przepisy ustawodawcze dotyczące autentycznej wykładni, mające z natury moc wsteczną, są zgodne z</w:t>
      </w:r>
      <w:r w:rsidR="00A2269E">
        <w:t> </w:t>
      </w:r>
      <w:r w:rsidR="00445208">
        <w:t>Konstytucją w przypadku, gdy istnieją uzasadnione wątpliwości co</w:t>
      </w:r>
      <w:r w:rsidR="00A2269E">
        <w:t> </w:t>
      </w:r>
      <w:r w:rsidR="00445208">
        <w:t>do</w:t>
      </w:r>
      <w:r w:rsidR="00A2269E">
        <w:t> </w:t>
      </w:r>
      <w:r w:rsidR="00445208">
        <w:t>zakresu przepisu podlegającego wykładni (niepewność hermeneutyczna) i o ile przyjęte rozwiązanie interpretacyjne jest jednym z</w:t>
      </w:r>
      <w:r w:rsidR="00A2269E">
        <w:t> </w:t>
      </w:r>
      <w:r w:rsidR="00445208">
        <w:t xml:space="preserve">tych, które można już było wywieść z przepisu (wiarygodność autentycznej wykładni </w:t>
      </w:r>
      <w:r w:rsidR="00445208">
        <w:rPr>
          <w:i/>
          <w:iCs/>
        </w:rPr>
        <w:t xml:space="preserve">ex </w:t>
      </w:r>
      <w:proofErr w:type="spellStart"/>
      <w:r w:rsidR="00445208">
        <w:rPr>
          <w:i/>
          <w:iCs/>
        </w:rPr>
        <w:t>ante</w:t>
      </w:r>
      <w:proofErr w:type="spellEnd"/>
      <w:r w:rsidR="00445208">
        <w:t>).</w:t>
      </w:r>
      <w:r w:rsidR="00445208">
        <w:rPr>
          <w:rFonts w:ascii="Times New Roman" w:hAnsi="Times New Roman"/>
          <w:i/>
        </w:rPr>
        <w:t xml:space="preserve"> </w:t>
      </w:r>
      <w:r w:rsidR="00445208">
        <w:rPr>
          <w:rFonts w:ascii="Times New Roman" w:hAnsi="Times New Roman"/>
        </w:rPr>
        <w:t>Oba warunki zostały spełnione w rozpatrywanej sprawie, co zostało potwierdzone przez sądy administracyjne obu instancji w</w:t>
      </w:r>
      <w:r w:rsidR="00A2269E">
        <w:rPr>
          <w:rFonts w:ascii="Times New Roman" w:hAnsi="Times New Roman"/>
        </w:rPr>
        <w:t> </w:t>
      </w:r>
      <w:r w:rsidR="00445208">
        <w:rPr>
          <w:rFonts w:ascii="Times New Roman" w:hAnsi="Times New Roman"/>
        </w:rPr>
        <w:t>postępowaniu o sygn. 37/2020.</w:t>
      </w:r>
    </w:p>
    <w:bookmarkStart w:id="42" w:name="paragraph00110"/>
    <w:p w14:paraId="0ACE4DFF" w14:textId="2CED6AF4" w:rsidR="00F5142C" w:rsidRPr="00DB5C9E" w:rsidRDefault="00445208" w:rsidP="00DB5C9E">
      <w:pPr>
        <w:pStyle w:val="JuPara"/>
        <w:rPr>
          <w:rFonts w:ascii="Times New Roman" w:hAnsi="Times New Roman" w:cs="Times New Roman"/>
        </w:rPr>
      </w:pPr>
      <w:r w:rsidRPr="00DB5C9E">
        <w:rPr>
          <w:rFonts w:ascii="Times New Roman" w:hAnsi="Times New Roman" w:cs="Times New Roman"/>
        </w:rPr>
        <w:fldChar w:fldCharType="begin"/>
      </w:r>
      <w:r w:rsidRPr="00DB5C9E">
        <w:rPr>
          <w:rFonts w:ascii="Times New Roman" w:hAnsi="Times New Roman" w:cs="Times New Roman"/>
        </w:rPr>
        <w:instrText xml:space="preserve"> SEQ level0 \*arabic \* MERGEFORMAT </w:instrText>
      </w:r>
      <w:r w:rsidRPr="00DB5C9E">
        <w:rPr>
          <w:rFonts w:ascii="Times New Roman" w:hAnsi="Times New Roman" w:cs="Times New Roman"/>
        </w:rPr>
        <w:fldChar w:fldCharType="separate"/>
      </w:r>
      <w:r w:rsidR="00446BA2">
        <w:rPr>
          <w:rFonts w:ascii="Times New Roman" w:hAnsi="Times New Roman" w:cs="Times New Roman"/>
          <w:noProof/>
        </w:rPr>
        <w:t>108</w:t>
      </w:r>
      <w:r w:rsidRPr="00DB5C9E">
        <w:rPr>
          <w:rFonts w:ascii="Times New Roman" w:hAnsi="Times New Roman" w:cs="Times New Roman"/>
        </w:rPr>
        <w:fldChar w:fldCharType="end"/>
      </w:r>
      <w:bookmarkEnd w:id="42"/>
      <w:r>
        <w:rPr>
          <w:rFonts w:ascii="Times New Roman" w:hAnsi="Times New Roman"/>
        </w:rPr>
        <w:t xml:space="preserve">.  Treść wykładni była uzasadniona, bo istotne było zapewnienie pewności prawa co do składu CGP, ale w szczególności też tego, aby CGP składała się z przedstawicieli sądownictwa zatwierdzonych </w:t>
      </w:r>
      <w:r w:rsidR="008B4950">
        <w:rPr>
          <w:rFonts w:ascii="Times New Roman" w:hAnsi="Times New Roman"/>
        </w:rPr>
        <w:t>w</w:t>
      </w:r>
      <w:r>
        <w:rPr>
          <w:rFonts w:ascii="Times New Roman" w:hAnsi="Times New Roman"/>
        </w:rPr>
        <w:t xml:space="preserve"> swoich funkcjach na czas nieoznaczony, z wyłączeniem tych, którzy takiego zatwierdzenia jeszcze nie uzyskali i których mandaty nie zostały jeszcze zatwierdzone przez rzeczoną CGP. W przeciwnej sytuacji nieuchronnie dochodziłoby do konfliktów interesów i wstrzymywania się od głosu na</w:t>
      </w:r>
      <w:r w:rsidR="00A2269E">
        <w:rPr>
          <w:rFonts w:ascii="Times New Roman" w:hAnsi="Times New Roman"/>
        </w:rPr>
        <w:t> </w:t>
      </w:r>
      <w:r>
        <w:rPr>
          <w:rFonts w:ascii="Times New Roman" w:hAnsi="Times New Roman"/>
        </w:rPr>
        <w:t>niektórych posiedzeniach (w przypadkach, gdy ci przedstawiciele sądownictwa mieliby być zatwierdzani na swoich funkcjach), co z kolei doprowadziłoby do rozbieżności między komponentem sędziowskim a</w:t>
      </w:r>
      <w:r w:rsidR="00A2269E">
        <w:rPr>
          <w:rFonts w:ascii="Times New Roman" w:hAnsi="Times New Roman"/>
        </w:rPr>
        <w:t> </w:t>
      </w:r>
      <w:r>
        <w:rPr>
          <w:rFonts w:ascii="Times New Roman" w:hAnsi="Times New Roman"/>
        </w:rPr>
        <w:t>komponentem politycznym, tworzącymi CGP. Wykładnia nadana normom prawnym przed ingerencją władzy ustawodawczej przez większość CGP znacząco wpłynęła zatem na zasady pewności prawa oraz autonomii i</w:t>
      </w:r>
      <w:r w:rsidR="00A2269E">
        <w:rPr>
          <w:rFonts w:ascii="Times New Roman" w:hAnsi="Times New Roman"/>
        </w:rPr>
        <w:t> </w:t>
      </w:r>
      <w:r>
        <w:rPr>
          <w:rFonts w:ascii="Times New Roman" w:hAnsi="Times New Roman"/>
        </w:rPr>
        <w:t>niezawisłości sędziowskiej, powiązane z legitymacją i skutecznością funkcji konstytucyjnie istotnego organu, jakim jest CGP. W związku z tym, jak zauważyły sądy krajowe w niniejszej sprawie, taka interwencja była konieczna z nadrzędnych względów interesu publicznego.</w:t>
      </w:r>
    </w:p>
    <w:bookmarkStart w:id="43" w:name="paragraph00111"/>
    <w:p w14:paraId="2792F7CB" w14:textId="4BB900BC" w:rsidR="00F5142C" w:rsidRPr="00DB5C9E" w:rsidRDefault="00445208" w:rsidP="00DB5C9E">
      <w:pPr>
        <w:pStyle w:val="JuPara"/>
        <w:rPr>
          <w:rFonts w:ascii="Times New Roman" w:hAnsi="Times New Roman" w:cs="Times New Roman"/>
        </w:rPr>
      </w:pPr>
      <w:r w:rsidRPr="00DB5C9E">
        <w:rPr>
          <w:rFonts w:ascii="Times New Roman" w:hAnsi="Times New Roman" w:cs="Times New Roman"/>
        </w:rPr>
        <w:fldChar w:fldCharType="begin"/>
      </w:r>
      <w:r w:rsidRPr="00DB5C9E">
        <w:rPr>
          <w:rFonts w:ascii="Times New Roman" w:hAnsi="Times New Roman" w:cs="Times New Roman"/>
        </w:rPr>
        <w:instrText xml:space="preserve"> SEQ level0 \*arabic \* MERGEFORMAT </w:instrText>
      </w:r>
      <w:r w:rsidRPr="00DB5C9E">
        <w:rPr>
          <w:rFonts w:ascii="Times New Roman" w:hAnsi="Times New Roman" w:cs="Times New Roman"/>
        </w:rPr>
        <w:fldChar w:fldCharType="separate"/>
      </w:r>
      <w:r w:rsidR="00446BA2">
        <w:rPr>
          <w:rFonts w:ascii="Times New Roman" w:hAnsi="Times New Roman" w:cs="Times New Roman"/>
          <w:noProof/>
        </w:rPr>
        <w:t>109</w:t>
      </w:r>
      <w:r w:rsidRPr="00DB5C9E">
        <w:rPr>
          <w:rFonts w:ascii="Times New Roman" w:hAnsi="Times New Roman" w:cs="Times New Roman"/>
        </w:rPr>
        <w:fldChar w:fldCharType="end"/>
      </w:r>
      <w:bookmarkEnd w:id="43"/>
      <w:r>
        <w:rPr>
          <w:rFonts w:ascii="Times New Roman" w:hAnsi="Times New Roman"/>
        </w:rPr>
        <w:t>.  </w:t>
      </w:r>
      <w:r>
        <w:t xml:space="preserve">Mając na uwadze, że skład CGP zarówno przed dniem 27 kwietnia 2018 r., jak i po tym dniu, był nieprawidłowy, zdaniem Rządu bardziej właściwe było uregulowanie tej kwestii </w:t>
      </w:r>
      <w:r>
        <w:rPr>
          <w:i/>
          <w:iCs/>
        </w:rPr>
        <w:t xml:space="preserve">erga </w:t>
      </w:r>
      <w:proofErr w:type="spellStart"/>
      <w:r>
        <w:rPr>
          <w:i/>
          <w:iCs/>
        </w:rPr>
        <w:t>omnes</w:t>
      </w:r>
      <w:proofErr w:type="spellEnd"/>
      <w:r>
        <w:t xml:space="preserve"> przez ustawodawcę, a</w:t>
      </w:r>
      <w:r w:rsidR="00A2269E">
        <w:t> </w:t>
      </w:r>
      <w:r>
        <w:t>nie sądy krajowe.</w:t>
      </w:r>
      <w:r>
        <w:rPr>
          <w:rFonts w:ascii="Times New Roman" w:hAnsi="Times New Roman"/>
        </w:rPr>
        <w:t xml:space="preserve"> </w:t>
      </w:r>
      <w:r w:rsidR="003E7A85">
        <w:rPr>
          <w:rFonts w:ascii="Times New Roman" w:hAnsi="Times New Roman"/>
        </w:rPr>
        <w:t xml:space="preserve">Co </w:t>
      </w:r>
      <w:proofErr w:type="gramStart"/>
      <w:r w:rsidR="003E7A85">
        <w:rPr>
          <w:rFonts w:ascii="Times New Roman" w:hAnsi="Times New Roman"/>
        </w:rPr>
        <w:t xml:space="preserve">więcej </w:t>
      </w:r>
      <w:r>
        <w:rPr>
          <w:rFonts w:ascii="Times New Roman" w:hAnsi="Times New Roman"/>
        </w:rPr>
        <w:t xml:space="preserve"> interwencja</w:t>
      </w:r>
      <w:proofErr w:type="gramEnd"/>
      <w:r>
        <w:rPr>
          <w:rFonts w:ascii="Times New Roman" w:hAnsi="Times New Roman"/>
        </w:rPr>
        <w:t xml:space="preserve"> została podjęta w odpowiednim czasie, zważywszy na ogłoszenie różnych konkursów na stanowiska sędziowskie i</w:t>
      </w:r>
      <w:r w:rsidR="00A2269E">
        <w:rPr>
          <w:rFonts w:ascii="Times New Roman" w:hAnsi="Times New Roman"/>
        </w:rPr>
        <w:t> </w:t>
      </w:r>
      <w:r>
        <w:rPr>
          <w:rFonts w:ascii="Times New Roman" w:hAnsi="Times New Roman"/>
        </w:rPr>
        <w:t xml:space="preserve">oczekiwanie na rozstrzygnięcie różnych spraw, w których zakwestionowano powołanie osób na dane stanowisko (w tym powołanie skarżącego); konieczne było zatem dostosowanie sytuacji do stanu zgodnego </w:t>
      </w:r>
      <w:r>
        <w:rPr>
          <w:rFonts w:ascii="Times New Roman" w:hAnsi="Times New Roman"/>
        </w:rPr>
        <w:lastRenderedPageBreak/>
        <w:t>z prawem, aby uniknąć zbędnych wydatków i przyjmowania aktów niezgodnych z prawem przez osoby powołane na takie stanowiska.</w:t>
      </w:r>
    </w:p>
    <w:bookmarkStart w:id="44" w:name="paragraph00112"/>
    <w:p w14:paraId="4C38FD83" w14:textId="5FD2050A" w:rsidR="00F5142C" w:rsidRPr="00DB5C9E" w:rsidRDefault="00445208" w:rsidP="00DB5C9E">
      <w:pPr>
        <w:pStyle w:val="JuPara"/>
      </w:pPr>
      <w:r w:rsidRPr="00DB5C9E">
        <w:fldChar w:fldCharType="begin"/>
      </w:r>
      <w:r w:rsidRPr="00DB5C9E">
        <w:instrText xml:space="preserve"> SEQ level0 \*arabic \* MERGEFORMAT </w:instrText>
      </w:r>
      <w:r w:rsidRPr="00DB5C9E">
        <w:fldChar w:fldCharType="separate"/>
      </w:r>
      <w:r w:rsidR="00446BA2">
        <w:rPr>
          <w:noProof/>
        </w:rPr>
        <w:t>110</w:t>
      </w:r>
      <w:r w:rsidRPr="00DB5C9E">
        <w:fldChar w:fldCharType="end"/>
      </w:r>
      <w:bookmarkEnd w:id="44"/>
      <w:r>
        <w:t>.  W odpowiedzi na konkretne pytanie Trybunału Rząd przyznał, że</w:t>
      </w:r>
      <w:r w:rsidR="00A2269E">
        <w:t> </w:t>
      </w:r>
      <w:r>
        <w:t>strony postępowań rozstrzygniętych przez skarżącego, działającego w</w:t>
      </w:r>
      <w:r w:rsidR="00A2269E">
        <w:t> </w:t>
      </w:r>
      <w:r>
        <w:t>charakterze komisarza prawa, nie wniosły żadnych zarzutów. Rząd zauważył, że zgodnie z prawem krajowym strony postępowania sądowego mogą się powołać na nieważność wyroków jedynie w terminach przewidzianych na wniesienie odwołania lub skargi o nieważność (</w:t>
      </w:r>
      <w:proofErr w:type="spellStart"/>
      <w:r>
        <w:rPr>
          <w:i/>
          <w:iCs/>
        </w:rPr>
        <w:t>querela</w:t>
      </w:r>
      <w:proofErr w:type="spellEnd"/>
      <w:r>
        <w:rPr>
          <w:i/>
          <w:iCs/>
        </w:rPr>
        <w:t xml:space="preserve"> </w:t>
      </w:r>
      <w:proofErr w:type="spellStart"/>
      <w:r>
        <w:rPr>
          <w:i/>
          <w:iCs/>
        </w:rPr>
        <w:t>nullitatis</w:t>
      </w:r>
      <w:proofErr w:type="spellEnd"/>
      <w:r>
        <w:t>); w przeciwnym razie kwestię tę uznaje się za naprawioną. W tym względzie Rząd przywołał również włoskie orzecznictwo</w:t>
      </w:r>
      <w:r w:rsidR="00856643">
        <w:t>,</w:t>
      </w:r>
      <w:r>
        <w:rPr>
          <w:rStyle w:val="Odwoanieprzypisudolnego"/>
        </w:rPr>
        <w:footnoteReference w:id="8"/>
      </w:r>
      <w:r>
        <w:t xml:space="preserve"> w świetle podobnych ram prawnych. Rząd uznał ponadto, że decyzja o stwierdzeniu nieważności, którą zaskarżył skarżący, nie miała żadnych negatywnych skutków dla wykonywania jurysdykcji.</w:t>
      </w:r>
    </w:p>
    <w:p w14:paraId="41627177" w14:textId="7923FAB9" w:rsidR="00F5142C" w:rsidRPr="00DB5C9E" w:rsidRDefault="00446BA2" w:rsidP="00DB5C9E">
      <w:pPr>
        <w:pStyle w:val="JuPara"/>
      </w:pPr>
      <w:fldSimple w:instr=" SEQ level0 \*arabic \* MERGEFORMAT ">
        <w:r>
          <w:rPr>
            <w:noProof/>
          </w:rPr>
          <w:t>111</w:t>
        </w:r>
      </w:fldSimple>
      <w:r w:rsidR="00445208">
        <w:t>.  Rząd co więcej zauważył, że wykładnia utrzymana w mocy przez CGP w dniu 12 lutego 2019 r. została zakwestionowana w postępowaniu o</w:t>
      </w:r>
      <w:r w:rsidR="00A2269E">
        <w:t> </w:t>
      </w:r>
      <w:r w:rsidR="00445208">
        <w:t>sygn. 13/2019, w którym skarżący nie wziął jednak udziału. Ponadto ingerencja władzy ustawodawczej nie wpłynęła na wynik tego postępowania.</w:t>
      </w:r>
    </w:p>
    <w:p w14:paraId="78A7CB20" w14:textId="6DDCD908" w:rsidR="00F5142C" w:rsidRPr="00DB5C9E" w:rsidRDefault="00BF6A7A" w:rsidP="00DB5C9E">
      <w:pPr>
        <w:pStyle w:val="JuHa0"/>
      </w:pPr>
      <w:r>
        <w:t>Ocena Trybunału</w:t>
      </w:r>
    </w:p>
    <w:p w14:paraId="58289637" w14:textId="77777777" w:rsidR="00F5142C" w:rsidRPr="00DB5C9E" w:rsidRDefault="00445208" w:rsidP="00DB5C9E">
      <w:pPr>
        <w:pStyle w:val="JuHi"/>
      </w:pPr>
      <w:r>
        <w:t>Zasady ogólne</w:t>
      </w:r>
    </w:p>
    <w:p w14:paraId="2817A51B" w14:textId="4F4EFBFB" w:rsidR="00F5142C" w:rsidRPr="00DB5C9E" w:rsidRDefault="00446BA2" w:rsidP="00DB5C9E">
      <w:pPr>
        <w:pStyle w:val="JuPara"/>
      </w:pPr>
      <w:fldSimple w:instr=" SEQ level0 \*arabic \* MERGEFORMAT ">
        <w:r>
          <w:rPr>
            <w:noProof/>
          </w:rPr>
          <w:t>112</w:t>
        </w:r>
      </w:fldSimple>
      <w:r w:rsidR="00445208">
        <w:t>.  </w:t>
      </w:r>
      <w:r w:rsidR="00445208">
        <w:rPr>
          <w:rFonts w:ascii="Times New Roman" w:hAnsi="Times New Roman"/>
        </w:rPr>
        <w:t xml:space="preserve">W kontekście sporów o charakterze cywilnym Trybunał wielokrotnie orzekał, że chociaż co do zasady ustawodawca nie jest pozbawiony możliwości uregulowania, za pomocą nowych przepisów z mocą wsteczną, praw wynikających z obowiązujących ustaw, to zasada państwa prawa i koncepcja rzetelnego procesu sądowego wyrażona w art. 6 wykluczają jakąkolwiek ingerencję ustawodawcy w wymiar sprawiedliwości, mającą na celu wpłynięcie na rozstrzygnięcie sporu przez sąd, z wyjątkiem sytuacji, gdy przemawiają za tym istotne względy interesu ogólnego (zob. </w:t>
      </w:r>
      <w:proofErr w:type="spellStart"/>
      <w:r w:rsidR="00445208">
        <w:rPr>
          <w:rFonts w:ascii="Times New Roman" w:hAnsi="Times New Roman"/>
          <w:i/>
          <w:iCs/>
        </w:rPr>
        <w:t>Stran</w:t>
      </w:r>
      <w:proofErr w:type="spellEnd"/>
      <w:r w:rsidR="00445208">
        <w:rPr>
          <w:rFonts w:ascii="Times New Roman" w:hAnsi="Times New Roman"/>
          <w:i/>
          <w:iCs/>
        </w:rPr>
        <w:t xml:space="preserve"> Greek </w:t>
      </w:r>
      <w:proofErr w:type="spellStart"/>
      <w:r w:rsidR="00445208">
        <w:rPr>
          <w:rFonts w:ascii="Times New Roman" w:hAnsi="Times New Roman"/>
          <w:i/>
          <w:iCs/>
        </w:rPr>
        <w:t>Refineries</w:t>
      </w:r>
      <w:proofErr w:type="spellEnd"/>
      <w:r w:rsidR="00445208">
        <w:rPr>
          <w:rFonts w:ascii="Times New Roman" w:hAnsi="Times New Roman"/>
          <w:i/>
          <w:iCs/>
        </w:rPr>
        <w:t xml:space="preserve"> i </w:t>
      </w:r>
      <w:proofErr w:type="spellStart"/>
      <w:r w:rsidR="00445208">
        <w:rPr>
          <w:rFonts w:ascii="Times New Roman" w:hAnsi="Times New Roman"/>
          <w:i/>
          <w:iCs/>
        </w:rPr>
        <w:t>Stratis</w:t>
      </w:r>
      <w:proofErr w:type="spellEnd"/>
      <w:r w:rsidR="00445208">
        <w:rPr>
          <w:rFonts w:ascii="Times New Roman" w:hAnsi="Times New Roman"/>
          <w:i/>
          <w:iCs/>
        </w:rPr>
        <w:t xml:space="preserve"> </w:t>
      </w:r>
      <w:proofErr w:type="spellStart"/>
      <w:r w:rsidR="00445208">
        <w:rPr>
          <w:rFonts w:ascii="Times New Roman" w:hAnsi="Times New Roman"/>
          <w:i/>
          <w:iCs/>
        </w:rPr>
        <w:t>Andreadis</w:t>
      </w:r>
      <w:proofErr w:type="spellEnd"/>
      <w:r w:rsidR="00445208">
        <w:rPr>
          <w:rFonts w:ascii="Times New Roman" w:hAnsi="Times New Roman"/>
          <w:i/>
          <w:iCs/>
        </w:rPr>
        <w:t xml:space="preserve"> przeciwko Grecji</w:t>
      </w:r>
      <w:r w:rsidR="00445208">
        <w:rPr>
          <w:rFonts w:ascii="Times New Roman" w:hAnsi="Times New Roman"/>
        </w:rPr>
        <w:t xml:space="preserve">, 9 grudnia 1994 r., § 49, Seria A nr 301-B; </w:t>
      </w:r>
      <w:proofErr w:type="spellStart"/>
      <w:r w:rsidR="00445208">
        <w:rPr>
          <w:rFonts w:ascii="Times New Roman" w:hAnsi="Times New Roman"/>
          <w:i/>
          <w:iCs/>
        </w:rPr>
        <w:t>Zielinski</w:t>
      </w:r>
      <w:proofErr w:type="spellEnd"/>
      <w:r w:rsidR="00445208">
        <w:rPr>
          <w:rFonts w:ascii="Times New Roman" w:hAnsi="Times New Roman"/>
          <w:i/>
          <w:iCs/>
        </w:rPr>
        <w:t xml:space="preserve"> i Pradal oraz Gonzalez i</w:t>
      </w:r>
      <w:r w:rsidR="00A2269E">
        <w:rPr>
          <w:rFonts w:ascii="Times New Roman" w:hAnsi="Times New Roman"/>
          <w:i/>
          <w:iCs/>
        </w:rPr>
        <w:t> </w:t>
      </w:r>
      <w:r w:rsidR="00445208">
        <w:rPr>
          <w:rFonts w:ascii="Times New Roman" w:hAnsi="Times New Roman"/>
          <w:i/>
          <w:iCs/>
        </w:rPr>
        <w:t xml:space="preserve">Inni przeciwko Francji </w:t>
      </w:r>
      <w:r w:rsidR="00445208">
        <w:rPr>
          <w:rFonts w:ascii="Times New Roman" w:hAnsi="Times New Roman"/>
        </w:rPr>
        <w:t>[WI], nr </w:t>
      </w:r>
      <w:r w:rsidR="00445208">
        <w:t xml:space="preserve">24846/94 i 9 innych, § 57, ETPC 1999-VII; </w:t>
      </w:r>
      <w:proofErr w:type="spellStart"/>
      <w:r w:rsidR="00445208">
        <w:rPr>
          <w:i/>
          <w:iCs/>
        </w:rPr>
        <w:t>Scordino</w:t>
      </w:r>
      <w:proofErr w:type="spellEnd"/>
      <w:r w:rsidR="00445208">
        <w:rPr>
          <w:i/>
          <w:iCs/>
        </w:rPr>
        <w:t xml:space="preserve"> przeciwko Włochom (nr 1)</w:t>
      </w:r>
      <w:r w:rsidR="00445208">
        <w:t xml:space="preserve"> [WI], nr 36813/97, § 126, ETPC 2006-V; a z ostatnich orzeczeń </w:t>
      </w:r>
      <w:bookmarkStart w:id="45" w:name="_cl23543THELAW"/>
      <w:r w:rsidR="00445208">
        <w:rPr>
          <w:i/>
          <w:iCs/>
        </w:rPr>
        <w:t>Cicero i Inni przeciwko Włochom</w:t>
      </w:r>
      <w:r w:rsidR="00445208">
        <w:t>,</w:t>
      </w:r>
      <w:bookmarkEnd w:id="45"/>
      <w:r w:rsidR="00445208">
        <w:t xml:space="preserve"> nr 29483/11 i</w:t>
      </w:r>
      <w:r w:rsidR="00A2269E">
        <w:t> </w:t>
      </w:r>
      <w:r w:rsidR="00445208">
        <w:t>4</w:t>
      </w:r>
      <w:r w:rsidR="00A2269E">
        <w:t> </w:t>
      </w:r>
      <w:r w:rsidR="00445208">
        <w:t xml:space="preserve">inne, § 29, 30 stycznia 2020 r.; </w:t>
      </w:r>
      <w:r w:rsidR="00445208">
        <w:rPr>
          <w:i/>
          <w:iCs/>
        </w:rPr>
        <w:t>Hussein i Inni przeciwko Belgii</w:t>
      </w:r>
      <w:r w:rsidR="00445208">
        <w:t>, nr</w:t>
      </w:r>
      <w:r w:rsidR="00A2269E">
        <w:t> </w:t>
      </w:r>
      <w:r w:rsidR="00445208">
        <w:t xml:space="preserve">45187/12, § 60, 16 marca 2021 r.; oraz </w:t>
      </w:r>
      <w:bookmarkStart w:id="46" w:name="_cl44555THELAW"/>
      <w:proofErr w:type="spellStart"/>
      <w:r w:rsidR="00445208">
        <w:rPr>
          <w:i/>
          <w:iCs/>
        </w:rPr>
        <w:t>Zafferani</w:t>
      </w:r>
      <w:proofErr w:type="spellEnd"/>
      <w:r w:rsidR="00445208">
        <w:rPr>
          <w:i/>
          <w:iCs/>
        </w:rPr>
        <w:t xml:space="preserve"> i Inni przeciwko San Marino</w:t>
      </w:r>
      <w:bookmarkEnd w:id="46"/>
      <w:r w:rsidR="00445208">
        <w:t>, nr 38127/22 i 6 innych, § 47, 9 stycznia 2025 r.).</w:t>
      </w:r>
    </w:p>
    <w:bookmarkStart w:id="47" w:name="paragraph00115"/>
    <w:p w14:paraId="2E25D094" w14:textId="7700C490" w:rsidR="00F5142C" w:rsidRPr="00DB5C9E" w:rsidRDefault="00445208" w:rsidP="00DB5C9E">
      <w:pPr>
        <w:pStyle w:val="JuPara"/>
      </w:pPr>
      <w:r w:rsidRPr="00DB5C9E">
        <w:rPr>
          <w:rFonts w:ascii="Times New Roman" w:eastAsia="Times New Roman" w:hAnsi="Times New Roman" w:cs="Times New Roman"/>
        </w:rPr>
        <w:fldChar w:fldCharType="begin"/>
      </w:r>
      <w:r w:rsidRPr="00DB5C9E">
        <w:rPr>
          <w:rFonts w:ascii="Times New Roman" w:eastAsia="Times New Roman" w:hAnsi="Times New Roman" w:cs="Times New Roman"/>
        </w:rPr>
        <w:instrText xml:space="preserve"> SEQ level0 \*arabic </w:instrText>
      </w:r>
      <w:r w:rsidRPr="00DB5C9E">
        <w:rPr>
          <w:rFonts w:ascii="Times New Roman" w:eastAsia="Times New Roman" w:hAnsi="Times New Roman" w:cs="Times New Roman"/>
        </w:rPr>
        <w:fldChar w:fldCharType="separate"/>
      </w:r>
      <w:r w:rsidR="00446BA2">
        <w:rPr>
          <w:rFonts w:ascii="Times New Roman" w:eastAsia="Times New Roman" w:hAnsi="Times New Roman" w:cs="Times New Roman"/>
          <w:noProof/>
        </w:rPr>
        <w:t>113</w:t>
      </w:r>
      <w:r w:rsidRPr="00DB5C9E">
        <w:rPr>
          <w:rFonts w:ascii="Times New Roman" w:eastAsia="Times New Roman" w:hAnsi="Times New Roman" w:cs="Times New Roman"/>
        </w:rPr>
        <w:fldChar w:fldCharType="end"/>
      </w:r>
      <w:bookmarkEnd w:id="47"/>
      <w:r>
        <w:rPr>
          <w:rFonts w:ascii="Times New Roman" w:hAnsi="Times New Roman"/>
        </w:rPr>
        <w:t>.  </w:t>
      </w:r>
      <w:r>
        <w:t>Istnieją niebezpieczeństwa nieodłącznie związane ze stosowaniem prawa działającego wstecz, którego skutkiem jest wywarcie wpływu na</w:t>
      </w:r>
      <w:r w:rsidR="00A2269E">
        <w:t> </w:t>
      </w:r>
      <w:r>
        <w:t xml:space="preserve">rozstrzygnięcie przez sąd sporu, w którym państwo jest stroną, w tym </w:t>
      </w:r>
      <w:r>
        <w:lastRenderedPageBreak/>
        <w:t xml:space="preserve">uczynienie toczącego się postępowania niemożliwym do wygrania przez stronę (zob. </w:t>
      </w:r>
      <w:bookmarkStart w:id="48" w:name="_cl32696THELAW"/>
      <w:proofErr w:type="spellStart"/>
      <w:r>
        <w:rPr>
          <w:i/>
          <w:iCs/>
        </w:rPr>
        <w:t>National</w:t>
      </w:r>
      <w:proofErr w:type="spellEnd"/>
      <w:r>
        <w:rPr>
          <w:i/>
          <w:iCs/>
        </w:rPr>
        <w:t xml:space="preserve"> &amp; </w:t>
      </w:r>
      <w:proofErr w:type="spellStart"/>
      <w:r>
        <w:rPr>
          <w:i/>
          <w:iCs/>
        </w:rPr>
        <w:t>Provincial</w:t>
      </w:r>
      <w:proofErr w:type="spellEnd"/>
      <w:r>
        <w:rPr>
          <w:i/>
          <w:iCs/>
        </w:rPr>
        <w:t xml:space="preserve"> </w:t>
      </w:r>
      <w:proofErr w:type="spellStart"/>
      <w:r>
        <w:rPr>
          <w:i/>
          <w:iCs/>
        </w:rPr>
        <w:t>Building</w:t>
      </w:r>
      <w:proofErr w:type="spellEnd"/>
      <w:r>
        <w:rPr>
          <w:i/>
          <w:iCs/>
        </w:rPr>
        <w:t xml:space="preserve"> </w:t>
      </w:r>
      <w:proofErr w:type="spellStart"/>
      <w:r>
        <w:rPr>
          <w:i/>
          <w:iCs/>
        </w:rPr>
        <w:t>Society</w:t>
      </w:r>
      <w:proofErr w:type="spellEnd"/>
      <w:r>
        <w:rPr>
          <w:i/>
          <w:iCs/>
        </w:rPr>
        <w:t xml:space="preserve">, </w:t>
      </w:r>
      <w:proofErr w:type="spellStart"/>
      <w:r>
        <w:rPr>
          <w:i/>
          <w:iCs/>
        </w:rPr>
        <w:t>Leeds</w:t>
      </w:r>
      <w:proofErr w:type="spellEnd"/>
      <w:r>
        <w:rPr>
          <w:i/>
          <w:iCs/>
        </w:rPr>
        <w:t xml:space="preserve"> Permanent </w:t>
      </w:r>
      <w:proofErr w:type="spellStart"/>
      <w:r>
        <w:rPr>
          <w:i/>
          <w:iCs/>
        </w:rPr>
        <w:t>Building</w:t>
      </w:r>
      <w:proofErr w:type="spellEnd"/>
      <w:r>
        <w:rPr>
          <w:i/>
          <w:iCs/>
        </w:rPr>
        <w:t xml:space="preserve"> </w:t>
      </w:r>
      <w:proofErr w:type="spellStart"/>
      <w:r>
        <w:rPr>
          <w:i/>
          <w:iCs/>
        </w:rPr>
        <w:t>Society</w:t>
      </w:r>
      <w:proofErr w:type="spellEnd"/>
      <w:r>
        <w:rPr>
          <w:i/>
          <w:iCs/>
        </w:rPr>
        <w:t xml:space="preserve"> and Yorkshire </w:t>
      </w:r>
      <w:proofErr w:type="spellStart"/>
      <w:r>
        <w:rPr>
          <w:i/>
          <w:iCs/>
        </w:rPr>
        <w:t>Building</w:t>
      </w:r>
      <w:proofErr w:type="spellEnd"/>
      <w:r>
        <w:rPr>
          <w:i/>
          <w:iCs/>
        </w:rPr>
        <w:t xml:space="preserve"> </w:t>
      </w:r>
      <w:proofErr w:type="spellStart"/>
      <w:r>
        <w:rPr>
          <w:i/>
          <w:iCs/>
        </w:rPr>
        <w:t>Society</w:t>
      </w:r>
      <w:proofErr w:type="spellEnd"/>
      <w:r>
        <w:rPr>
          <w:i/>
          <w:iCs/>
        </w:rPr>
        <w:t xml:space="preserve"> przeciwko Zjednoczonemu Królestwu</w:t>
      </w:r>
      <w:bookmarkEnd w:id="48"/>
      <w:r>
        <w:t>, 23 października 1997 r., § 112, Zbiór wyroków i decyzji 1997</w:t>
      </w:r>
      <w:r>
        <w:noBreakHyphen/>
        <w:t>VII).</w:t>
      </w:r>
      <w:r>
        <w:rPr>
          <w:rFonts w:ascii="Times New Roman" w:hAnsi="Times New Roman"/>
        </w:rPr>
        <w:t xml:space="preserve"> </w:t>
      </w:r>
      <w:r>
        <w:t>Niemniej jednak</w:t>
      </w:r>
      <w:r w:rsidR="005616B5">
        <w:t>,</w:t>
      </w:r>
      <w:r>
        <w:t xml:space="preserve"> gdy państwo nie jest stroną sprawy, nie stoi to</w:t>
      </w:r>
      <w:r w:rsidR="00A2269E">
        <w:t> </w:t>
      </w:r>
      <w:r>
        <w:t>na</w:t>
      </w:r>
      <w:r w:rsidR="00A2269E">
        <w:t> </w:t>
      </w:r>
      <w:r>
        <w:t xml:space="preserve">przeszkodzie dokonaniu przez Trybunał oceny okoliczności sprawy (zob. np. </w:t>
      </w:r>
      <w:bookmarkStart w:id="49" w:name="_cl21125THELAW"/>
      <w:r>
        <w:rPr>
          <w:i/>
          <w:iCs/>
        </w:rPr>
        <w:t>Arras i Inni przeciwko Włochom</w:t>
      </w:r>
      <w:bookmarkEnd w:id="49"/>
      <w:r>
        <w:t xml:space="preserve">, nr 17972/07, § 44, 14 lutego 2012 r.; </w:t>
      </w:r>
      <w:proofErr w:type="spellStart"/>
      <w:r>
        <w:rPr>
          <w:i/>
          <w:iCs/>
        </w:rPr>
        <w:t>Vezon</w:t>
      </w:r>
      <w:proofErr w:type="spellEnd"/>
      <w:r>
        <w:rPr>
          <w:i/>
          <w:iCs/>
        </w:rPr>
        <w:t xml:space="preserve"> przeciwko Francji</w:t>
      </w:r>
      <w:r>
        <w:t xml:space="preserve">, nr 66018/01, 18 kwietnia 2006 r. oraz </w:t>
      </w:r>
      <w:r>
        <w:rPr>
          <w:i/>
          <w:iCs/>
        </w:rPr>
        <w:t>Ducret przeciwko Francji</w:t>
      </w:r>
      <w:r>
        <w:t>, nr 40191/02, 12 czerwca 2007 r.). Faktycznie państwo może ponosić odpowiedzialność zarówno jako ustawodawca, jeżeli czyni przebieg procesu prawnie wadliwym lub wpływa na wynik sporu przed sądem, jak i jako organ sądowy, gdy dochodzi do naruszenia prawa do</w:t>
      </w:r>
      <w:r w:rsidR="00A2269E">
        <w:t> </w:t>
      </w:r>
      <w:r>
        <w:t xml:space="preserve">rzetelnego procesu sądowego, w tym w sprawach z zakresu prawa prywatnego między osobami prywatnymi (zob. </w:t>
      </w:r>
      <w:r>
        <w:rPr>
          <w:i/>
          <w:iCs/>
        </w:rPr>
        <w:t>Arras i Inni</w:t>
      </w:r>
      <w:r>
        <w:t xml:space="preserve">, § 45; </w:t>
      </w:r>
      <w:proofErr w:type="spellStart"/>
      <w:r>
        <w:rPr>
          <w:i/>
          <w:iCs/>
        </w:rPr>
        <w:t>Vezon</w:t>
      </w:r>
      <w:proofErr w:type="spellEnd"/>
      <w:r>
        <w:t>, §</w:t>
      </w:r>
      <w:r w:rsidR="00A2269E">
        <w:t> </w:t>
      </w:r>
      <w:r>
        <w:t xml:space="preserve">30 oraz </w:t>
      </w:r>
      <w:r>
        <w:rPr>
          <w:i/>
          <w:iCs/>
        </w:rPr>
        <w:t>Ducret</w:t>
      </w:r>
      <w:r>
        <w:t xml:space="preserve">, § 34, </w:t>
      </w:r>
      <w:proofErr w:type="spellStart"/>
      <w:r>
        <w:t>opp</w:t>
      </w:r>
      <w:proofErr w:type="spellEnd"/>
      <w:r>
        <w:t>. cit.).</w:t>
      </w:r>
    </w:p>
    <w:bookmarkStart w:id="50" w:name="paragraph00116"/>
    <w:p w14:paraId="7BBF9A73" w14:textId="77777777" w:rsidR="00F5142C" w:rsidRPr="00DB5C9E" w:rsidRDefault="00445208" w:rsidP="00DB5C9E">
      <w:pPr>
        <w:pStyle w:val="JuPara"/>
        <w:rPr>
          <w:rFonts w:ascii="Times New Roman" w:eastAsia="Times New Roman" w:hAnsi="Times New Roman" w:cs="Times New Roman"/>
        </w:rPr>
      </w:pPr>
      <w:r w:rsidRPr="00DB5C9E">
        <w:fldChar w:fldCharType="begin"/>
      </w:r>
      <w:r w:rsidRPr="00DB5C9E">
        <w:instrText xml:space="preserve"> SEQ level0 \*arabic \* MERGEFORMAT </w:instrText>
      </w:r>
      <w:r w:rsidRPr="00DB5C9E">
        <w:fldChar w:fldCharType="separate"/>
      </w:r>
      <w:r w:rsidR="00446BA2">
        <w:rPr>
          <w:noProof/>
        </w:rPr>
        <w:t>114</w:t>
      </w:r>
      <w:r w:rsidRPr="00DB5C9E">
        <w:fldChar w:fldCharType="end"/>
      </w:r>
      <w:bookmarkEnd w:id="50"/>
      <w:r>
        <w:t>.  </w:t>
      </w:r>
      <w:r>
        <w:rPr>
          <w:rFonts w:ascii="Times New Roman" w:hAnsi="Times New Roman"/>
        </w:rPr>
        <w:t xml:space="preserve">Poszanowanie zasady praworządności i koncepcji rzetelnego procesu sądowego wymaga zatem, aby wszelkie powody przytaczane w celu uzasadnienia takich środków były traktowane z możliwie jak największą powściągliwością (zob. m.in. </w:t>
      </w:r>
      <w:proofErr w:type="spellStart"/>
      <w:r>
        <w:rPr>
          <w:rFonts w:ascii="Times New Roman" w:hAnsi="Times New Roman"/>
          <w:i/>
          <w:iCs/>
        </w:rPr>
        <w:t>Maggio</w:t>
      </w:r>
      <w:proofErr w:type="spellEnd"/>
      <w:r>
        <w:rPr>
          <w:rFonts w:ascii="Times New Roman" w:hAnsi="Times New Roman"/>
          <w:i/>
          <w:iCs/>
        </w:rPr>
        <w:t xml:space="preserve"> i Inni przeciwko Włochom</w:t>
      </w:r>
      <w:r>
        <w:rPr>
          <w:rFonts w:ascii="Times New Roman" w:hAnsi="Times New Roman"/>
        </w:rPr>
        <w:t xml:space="preserve">, nr </w:t>
      </w:r>
      <w:r>
        <w:t xml:space="preserve">46286/09 i 4 inne, § 45, 31 maja 2011 r., oraz </w:t>
      </w:r>
      <w:bookmarkStart w:id="51" w:name="_cl42074THELAW"/>
      <w:proofErr w:type="spellStart"/>
      <w:r>
        <w:rPr>
          <w:i/>
          <w:iCs/>
        </w:rPr>
        <w:t>Vegotex</w:t>
      </w:r>
      <w:proofErr w:type="spellEnd"/>
      <w:r>
        <w:rPr>
          <w:i/>
          <w:iCs/>
        </w:rPr>
        <w:t xml:space="preserve"> International S.A. przeciwko Belgii</w:t>
      </w:r>
      <w:bookmarkEnd w:id="51"/>
      <w:r>
        <w:t xml:space="preserve"> [WI], nr 49812/09, § 93, 3 listopada 2022 r.).</w:t>
      </w:r>
    </w:p>
    <w:bookmarkStart w:id="52" w:name="paragraph00117"/>
    <w:p w14:paraId="00952212" w14:textId="6B2C1C40" w:rsidR="00F5142C" w:rsidRPr="00DB5C9E" w:rsidRDefault="00445208" w:rsidP="00DB5C9E">
      <w:pPr>
        <w:pStyle w:val="JuPara"/>
        <w:rPr>
          <w:rFonts w:eastAsia="Times New Roman"/>
        </w:rPr>
      </w:pPr>
      <w:r w:rsidRPr="00DB5C9E">
        <w:rPr>
          <w:rFonts w:eastAsia="Times New Roman"/>
        </w:rPr>
        <w:fldChar w:fldCharType="begin"/>
      </w:r>
      <w:r w:rsidRPr="00DB5C9E">
        <w:rPr>
          <w:rFonts w:eastAsia="Times New Roman"/>
        </w:rPr>
        <w:instrText xml:space="preserve"> SEQ level0 \*arabic \* MERGEFORMAT </w:instrText>
      </w:r>
      <w:r w:rsidRPr="00DB5C9E">
        <w:rPr>
          <w:rFonts w:eastAsia="Times New Roman"/>
        </w:rPr>
        <w:fldChar w:fldCharType="separate"/>
      </w:r>
      <w:r w:rsidR="00446BA2">
        <w:rPr>
          <w:rFonts w:eastAsia="Times New Roman"/>
          <w:noProof/>
        </w:rPr>
        <w:t>115</w:t>
      </w:r>
      <w:r w:rsidRPr="00DB5C9E">
        <w:rPr>
          <w:rFonts w:eastAsia="Times New Roman"/>
        </w:rPr>
        <w:fldChar w:fldCharType="end"/>
      </w:r>
      <w:bookmarkEnd w:id="52"/>
      <w:r>
        <w:t xml:space="preserve">.  Możliwe jest uchwalenie ogólnych przepisów, które mogą okazać się niekorzystne dla stron postępowania, jeżeli nie </w:t>
      </w:r>
      <w:r w:rsidR="00856643">
        <w:t>są one</w:t>
      </w:r>
      <w:r>
        <w:t xml:space="preserve"> faktycznie wymierzone w toczące się postępowania sądowe i nie ma</w:t>
      </w:r>
      <w:r w:rsidR="00856643">
        <w:t>ją</w:t>
      </w:r>
      <w:r>
        <w:t xml:space="preserve"> na celu obejścia zasady praworządności (zob. </w:t>
      </w:r>
      <w:proofErr w:type="spellStart"/>
      <w:r>
        <w:rPr>
          <w:i/>
          <w:iCs/>
        </w:rPr>
        <w:t>Gorraiz</w:t>
      </w:r>
      <w:proofErr w:type="spellEnd"/>
      <w:r>
        <w:rPr>
          <w:i/>
          <w:iCs/>
        </w:rPr>
        <w:t xml:space="preserve"> </w:t>
      </w:r>
      <w:proofErr w:type="spellStart"/>
      <w:r>
        <w:rPr>
          <w:i/>
          <w:iCs/>
        </w:rPr>
        <w:t>Lizarraga</w:t>
      </w:r>
      <w:proofErr w:type="spellEnd"/>
      <w:r>
        <w:rPr>
          <w:i/>
          <w:iCs/>
        </w:rPr>
        <w:t xml:space="preserve"> i Inni przeciwko Hiszpanii</w:t>
      </w:r>
      <w:r>
        <w:t>, nr 62543/00, § 72, ETPC 2004</w:t>
      </w:r>
      <w:r>
        <w:noBreakHyphen/>
        <w:t xml:space="preserve">III), a przepisy mogą być również uchwalane przed rozpoczęciem postępowania bez budzenia wątpliwości na gruncie art. 6 ust. 1 (zob. </w:t>
      </w:r>
      <w:r w:rsidRPr="00446BA2">
        <w:rPr>
          <w:i/>
          <w:iCs/>
          <w:lang w:val="fr-FR"/>
        </w:rPr>
        <w:t>Organisation nationale des syndicats d'infirmiers libéraux (ONSIL) przeciwko Francji</w:t>
      </w:r>
      <w:r w:rsidRPr="00446BA2">
        <w:rPr>
          <w:lang w:val="fr-FR"/>
        </w:rPr>
        <w:t xml:space="preserve"> (dec.), nr 39971/98, ETPC 2000</w:t>
      </w:r>
      <w:r w:rsidRPr="00446BA2">
        <w:rPr>
          <w:lang w:val="fr-FR"/>
        </w:rPr>
        <w:noBreakHyphen/>
        <w:t xml:space="preserve">IX). </w:t>
      </w:r>
      <w:r>
        <w:t xml:space="preserve">Jednakże ingerencja władzy ustawodawczej, która jest sprzeczna z Konwencją, może wystąpić nawet przed rozpoczęciem postępowania sądowego; ma to miejsce w wyjątkowych przypadkach, np. gdy decyzja organu administracyjnego stanowi niezbędny warunek wstępny wniesienia sprawy do sądu (w takich okolicznościach okres ten musi być również wzięty pod uwagę) (zob. </w:t>
      </w:r>
      <w:r>
        <w:rPr>
          <w:i/>
          <w:iCs/>
        </w:rPr>
        <w:t>OGIS-</w:t>
      </w:r>
      <w:proofErr w:type="spellStart"/>
      <w:r>
        <w:rPr>
          <w:i/>
          <w:iCs/>
        </w:rPr>
        <w:t>Institut</w:t>
      </w:r>
      <w:proofErr w:type="spellEnd"/>
      <w:r>
        <w:rPr>
          <w:i/>
          <w:iCs/>
        </w:rPr>
        <w:t xml:space="preserve"> </w:t>
      </w:r>
      <w:proofErr w:type="spellStart"/>
      <w:r>
        <w:rPr>
          <w:i/>
          <w:iCs/>
        </w:rPr>
        <w:t>Stanislas</w:t>
      </w:r>
      <w:proofErr w:type="spellEnd"/>
      <w:r>
        <w:rPr>
          <w:i/>
          <w:iCs/>
        </w:rPr>
        <w:t xml:space="preserve">, OGEC Saint-Pie X i Blanche de </w:t>
      </w:r>
      <w:proofErr w:type="spellStart"/>
      <w:r>
        <w:rPr>
          <w:i/>
          <w:iCs/>
        </w:rPr>
        <w:t>Castille</w:t>
      </w:r>
      <w:proofErr w:type="spellEnd"/>
      <w:r>
        <w:rPr>
          <w:i/>
          <w:iCs/>
        </w:rPr>
        <w:t xml:space="preserve"> i Inni przeciwko Francji</w:t>
      </w:r>
      <w:r>
        <w:t xml:space="preserve">, nr 42219/98 i 54563/00, § 62, 27 maja 2004 r. oraz </w:t>
      </w:r>
      <w:proofErr w:type="spellStart"/>
      <w:r>
        <w:rPr>
          <w:i/>
          <w:iCs/>
        </w:rPr>
        <w:t>Zafferani</w:t>
      </w:r>
      <w:proofErr w:type="spellEnd"/>
      <w:r>
        <w:rPr>
          <w:i/>
          <w:iCs/>
        </w:rPr>
        <w:t xml:space="preserve"> i Inni</w:t>
      </w:r>
      <w:r>
        <w:t xml:space="preserve">, op. cit., § 50) lub gdy spór powstał na długo przed wszczęciem postępowania sądowego (zob. </w:t>
      </w:r>
      <w:proofErr w:type="spellStart"/>
      <w:r>
        <w:rPr>
          <w:i/>
          <w:iCs/>
        </w:rPr>
        <w:t>Morelli</w:t>
      </w:r>
      <w:proofErr w:type="spellEnd"/>
      <w:r>
        <w:rPr>
          <w:i/>
          <w:iCs/>
        </w:rPr>
        <w:t xml:space="preserve"> przeciwko Włochom</w:t>
      </w:r>
      <w:r>
        <w:t xml:space="preserve"> (</w:t>
      </w:r>
      <w:proofErr w:type="spellStart"/>
      <w:r>
        <w:t>dec</w:t>
      </w:r>
      <w:proofErr w:type="spellEnd"/>
      <w:r>
        <w:t>.), nr 23984/19, § 43, 3</w:t>
      </w:r>
      <w:r w:rsidR="00A2269E">
        <w:t> </w:t>
      </w:r>
      <w:r>
        <w:t xml:space="preserve">września 2024 r., a także rozważania Trybunału w sprawie </w:t>
      </w:r>
      <w:proofErr w:type="spellStart"/>
      <w:r>
        <w:rPr>
          <w:i/>
          <w:iCs/>
        </w:rPr>
        <w:t>Azzopardi</w:t>
      </w:r>
      <w:proofErr w:type="spellEnd"/>
      <w:r>
        <w:rPr>
          <w:i/>
          <w:iCs/>
        </w:rPr>
        <w:t xml:space="preserve"> i Inni przeciwko Malcie</w:t>
      </w:r>
      <w:r>
        <w:t xml:space="preserve"> (</w:t>
      </w:r>
      <w:proofErr w:type="spellStart"/>
      <w:r>
        <w:t>dec</w:t>
      </w:r>
      <w:proofErr w:type="spellEnd"/>
      <w:r>
        <w:t>.), nr 14671/17, § 44, 12 marca 2019 r., gdzie Trybunał nie wykluczył takiego podejścia w sytuacji, w której skarżący nie mogli wnieść sprawy do sądów krajowych przed interwencją władzy ustawodawczej).</w:t>
      </w:r>
    </w:p>
    <w:p w14:paraId="7448BC6A" w14:textId="77777777" w:rsidR="00F5142C" w:rsidRPr="00DB5C9E" w:rsidRDefault="00445208" w:rsidP="00DB5C9E">
      <w:pPr>
        <w:pStyle w:val="JuHi"/>
      </w:pPr>
      <w:r>
        <w:lastRenderedPageBreak/>
        <w:t>Zastosowanie ogólnych zasad w niniejszej sprawie</w:t>
      </w:r>
    </w:p>
    <w:p w14:paraId="25713156" w14:textId="2FB9C6B0" w:rsidR="00F5142C" w:rsidRPr="00DB5C9E" w:rsidRDefault="00445208" w:rsidP="00DB5C9E">
      <w:pPr>
        <w:pStyle w:val="JuPara"/>
        <w:rPr>
          <w:rFonts w:eastAsia="Times New Roman"/>
        </w:rPr>
      </w:pPr>
      <w:r w:rsidRPr="00DB5C9E">
        <w:rPr>
          <w:rFonts w:eastAsia="Times New Roman"/>
        </w:rPr>
        <w:fldChar w:fldCharType="begin"/>
      </w:r>
      <w:r w:rsidRPr="00DB5C9E">
        <w:rPr>
          <w:rFonts w:eastAsia="Times New Roman"/>
        </w:rPr>
        <w:instrText xml:space="preserve"> SEQ level0 \*arabic \* MERGEFORMAT </w:instrText>
      </w:r>
      <w:r w:rsidRPr="00DB5C9E">
        <w:rPr>
          <w:rFonts w:eastAsia="Times New Roman"/>
        </w:rPr>
        <w:fldChar w:fldCharType="separate"/>
      </w:r>
      <w:r w:rsidR="00446BA2">
        <w:rPr>
          <w:rFonts w:eastAsia="Times New Roman"/>
          <w:noProof/>
        </w:rPr>
        <w:t>116</w:t>
      </w:r>
      <w:r w:rsidRPr="00DB5C9E">
        <w:rPr>
          <w:rFonts w:eastAsia="Times New Roman"/>
        </w:rPr>
        <w:fldChar w:fldCharType="end"/>
      </w:r>
      <w:r>
        <w:t>.  Jak wynika z powyższych zasad ogólnych, problem niezgodności z</w:t>
      </w:r>
      <w:r w:rsidR="00A2269E">
        <w:t> </w:t>
      </w:r>
      <w:r>
        <w:t>art. 6 wynikający z interwencji władzy ustawodawczej, powstaje na ogół w</w:t>
      </w:r>
      <w:r w:rsidR="00A2269E">
        <w:t> </w:t>
      </w:r>
      <w:r>
        <w:t>sprawach, w których interwencja miała miejsce wtedy, gdy postępowanie było w toku, i w których państwo interweniowało albo na swoją korzyść w</w:t>
      </w:r>
      <w:r w:rsidR="00A2269E">
        <w:t> </w:t>
      </w:r>
      <w:r>
        <w:t>postępowaniu, w którym było stroną (a w którym drugą stroną był skarżący), albo na korzyść jednej ze stron w postępowaniu między stronami prywatnymi (gdzie drugą stroną był skarżący). Taki problem powstaje wyjątkowo rzadko, jeżeli interwencja władzy ustawodawczej ma miejsce przed rozpoczęciem postępowania, w którym skarżący był stroną.</w:t>
      </w:r>
    </w:p>
    <w:p w14:paraId="027E74CE" w14:textId="5D87685B" w:rsidR="00F5142C" w:rsidRPr="00DB5C9E" w:rsidRDefault="00445208" w:rsidP="00DB5C9E">
      <w:pPr>
        <w:pStyle w:val="JuPara"/>
        <w:rPr>
          <w:rFonts w:eastAsia="Times New Roman"/>
        </w:rPr>
      </w:pPr>
      <w:r w:rsidRPr="00DB5C9E">
        <w:rPr>
          <w:rFonts w:eastAsia="Times New Roman"/>
        </w:rPr>
        <w:fldChar w:fldCharType="begin"/>
      </w:r>
      <w:r w:rsidRPr="00DB5C9E">
        <w:rPr>
          <w:rFonts w:eastAsia="Times New Roman"/>
        </w:rPr>
        <w:instrText xml:space="preserve"> SEQ level0 \*arabic \* MERGEFORMAT </w:instrText>
      </w:r>
      <w:r w:rsidRPr="00DB5C9E">
        <w:rPr>
          <w:rFonts w:eastAsia="Times New Roman"/>
        </w:rPr>
        <w:fldChar w:fldCharType="separate"/>
      </w:r>
      <w:r w:rsidR="00446BA2">
        <w:rPr>
          <w:rFonts w:eastAsia="Times New Roman"/>
          <w:noProof/>
        </w:rPr>
        <w:t>117</w:t>
      </w:r>
      <w:r w:rsidRPr="00DB5C9E">
        <w:rPr>
          <w:rFonts w:eastAsia="Times New Roman"/>
        </w:rPr>
        <w:fldChar w:fldCharType="end"/>
      </w:r>
      <w:r>
        <w:t>.  Niniejsza sprawa dotyczy nietypowej konfiguracji. Po pierwsze interwencja władzy ustawodawczej w niniejszej sprawie miała miejsce podczas toczącego się postępowania o sygn. 13/2019, wszczętego przez X</w:t>
      </w:r>
      <w:r w:rsidR="00A2269E">
        <w:t> </w:t>
      </w:r>
      <w:r>
        <w:t>i</w:t>
      </w:r>
      <w:r w:rsidR="00A2269E">
        <w:t> </w:t>
      </w:r>
      <w:r>
        <w:t>Y przeciwko CGP (organowi państwa). Skarżący jednak, mimo że był stroną zainteresowaną (</w:t>
      </w:r>
      <w:proofErr w:type="spellStart"/>
      <w:r>
        <w:rPr>
          <w:i/>
          <w:iCs/>
        </w:rPr>
        <w:t>controinteressato</w:t>
      </w:r>
      <w:proofErr w:type="spellEnd"/>
      <w:r>
        <w:t xml:space="preserve">), nie </w:t>
      </w:r>
      <w:r w:rsidR="00477A6B">
        <w:t>ws</w:t>
      </w:r>
      <w:r>
        <w:t xml:space="preserve">tąpił do tego postępowania. W tym względzie Trybunał zauważa, że ponieważ zaskarżona przez X i Y decyzja CGP była korzystna dla skarżącego, nie miał on interesu w jej kwestionowaniu (por. </w:t>
      </w:r>
      <w:bookmarkStart w:id="53" w:name="_cl29704THELAW"/>
      <w:proofErr w:type="spellStart"/>
      <w:r>
        <w:rPr>
          <w:i/>
          <w:iCs/>
        </w:rPr>
        <w:t>Kövesi</w:t>
      </w:r>
      <w:proofErr w:type="spellEnd"/>
      <w:r>
        <w:rPr>
          <w:i/>
          <w:iCs/>
        </w:rPr>
        <w:t xml:space="preserve"> przeciwko Rumunii</w:t>
      </w:r>
      <w:bookmarkEnd w:id="53"/>
      <w:r>
        <w:t>, nr 3594/19, § 150, 5 maja 2020 r.), ani w</w:t>
      </w:r>
      <w:r w:rsidR="00477A6B">
        <w:t>e ws</w:t>
      </w:r>
      <w:r>
        <w:t>tąpieniu do tego postępowania, zważywszy</w:t>
      </w:r>
      <w:r w:rsidR="0069104C">
        <w:t>,</w:t>
      </w:r>
      <w:r>
        <w:t xml:space="preserve"> że w tamtym czasie jego interesy powinny były pokrywać się z interesami CGP. Dopiero gdy interesy te przestały się pokrywać i gdy nowo ukształtowana CGP stwierdziła z urzędu nieważność powołania skarżącego w następstwie interwencji władzy ustawodawczej, powstał spór dotyczący jego osoby. Nie mogąc </w:t>
      </w:r>
      <w:r w:rsidR="00477A6B">
        <w:t>w</w:t>
      </w:r>
      <w:r>
        <w:t xml:space="preserve">stąpić do postępowania na tym etapie (z uwagi na upływ właściwego terminu na interwencję, zob. par. </w:t>
      </w:r>
      <w:r w:rsidRPr="00DB5C9E">
        <w:rPr>
          <w:rFonts w:eastAsia="Times New Roman"/>
        </w:rPr>
        <w:fldChar w:fldCharType="begin"/>
      </w:r>
      <w:r w:rsidRPr="00DB5C9E">
        <w:rPr>
          <w:rFonts w:eastAsia="Times New Roman"/>
        </w:rPr>
        <w:instrText xml:space="preserve">REF paragraph00027 \h \* CharFormat </w:instrText>
      </w:r>
      <w:r w:rsidRPr="00DB5C9E">
        <w:rPr>
          <w:rFonts w:eastAsia="Times New Roman"/>
        </w:rPr>
      </w:r>
      <w:r w:rsidRPr="00DB5C9E">
        <w:rPr>
          <w:rFonts w:eastAsia="Times New Roman"/>
        </w:rPr>
        <w:fldChar w:fldCharType="separate"/>
      </w:r>
      <w:r w:rsidR="00446BA2" w:rsidRPr="00446BA2">
        <w:rPr>
          <w:rFonts w:eastAsia="Times New Roman"/>
        </w:rPr>
        <w:t>27</w:t>
      </w:r>
      <w:r w:rsidRPr="00DB5C9E">
        <w:rPr>
          <w:rFonts w:eastAsia="Times New Roman"/>
        </w:rPr>
        <w:fldChar w:fldCharType="end"/>
      </w:r>
      <w:r>
        <w:t xml:space="preserve"> powyżej), skarżący wszczął równolegle postępowanie, w którym zaskarżył odwołanie ze swojego stanowiska, do</w:t>
      </w:r>
      <w:r w:rsidR="00A2269E">
        <w:t> </w:t>
      </w:r>
      <w:r>
        <w:t>czego miał prawo uznane na mocy przepisów prawa krajowego. Trybunał zauważa, że to sądy krajowe postanowiły, pomimo wniosków skarżącego, o</w:t>
      </w:r>
      <w:r w:rsidR="00A2269E">
        <w:t> </w:t>
      </w:r>
      <w:r>
        <w:t xml:space="preserve">niepołączeniu spraw z innymi do wspólnego rozpoznania (zob. par. </w:t>
      </w:r>
      <w:r w:rsidRPr="00DB5C9E">
        <w:rPr>
          <w:rFonts w:eastAsia="Times New Roman"/>
        </w:rPr>
        <w:fldChar w:fldCharType="begin"/>
      </w:r>
      <w:r w:rsidRPr="00DB5C9E">
        <w:rPr>
          <w:rFonts w:eastAsia="Times New Roman"/>
        </w:rPr>
        <w:instrText xml:space="preserve">REF paragraph00027 \h \* CharFormat </w:instrText>
      </w:r>
      <w:r w:rsidRPr="00DB5C9E">
        <w:rPr>
          <w:rFonts w:eastAsia="Times New Roman"/>
        </w:rPr>
      </w:r>
      <w:r w:rsidRPr="00DB5C9E">
        <w:rPr>
          <w:rFonts w:eastAsia="Times New Roman"/>
        </w:rPr>
        <w:fldChar w:fldCharType="separate"/>
      </w:r>
      <w:r w:rsidR="00446BA2" w:rsidRPr="00446BA2">
        <w:rPr>
          <w:rFonts w:eastAsia="Times New Roman"/>
        </w:rPr>
        <w:t>27</w:t>
      </w:r>
      <w:r w:rsidRPr="00DB5C9E">
        <w:rPr>
          <w:rFonts w:eastAsia="Times New Roman"/>
        </w:rPr>
        <w:fldChar w:fldCharType="end"/>
      </w:r>
      <w:r>
        <w:t xml:space="preserve"> i </w:t>
      </w:r>
      <w:r w:rsidRPr="00DB5C9E">
        <w:rPr>
          <w:rFonts w:eastAsia="Times New Roman"/>
        </w:rPr>
        <w:fldChar w:fldCharType="begin"/>
      </w:r>
      <w:r w:rsidRPr="00DB5C9E">
        <w:rPr>
          <w:rFonts w:eastAsia="Times New Roman"/>
        </w:rPr>
        <w:instrText xml:space="preserve">REF paragraph00033 \h \* CharFormat </w:instrText>
      </w:r>
      <w:r w:rsidRPr="00DB5C9E">
        <w:rPr>
          <w:rFonts w:eastAsia="Times New Roman"/>
        </w:rPr>
      </w:r>
      <w:r w:rsidRPr="00DB5C9E">
        <w:rPr>
          <w:rFonts w:eastAsia="Times New Roman"/>
        </w:rPr>
        <w:fldChar w:fldCharType="separate"/>
      </w:r>
      <w:r w:rsidR="00446BA2" w:rsidRPr="00446BA2">
        <w:rPr>
          <w:rFonts w:eastAsia="Times New Roman"/>
        </w:rPr>
        <w:t>33</w:t>
      </w:r>
      <w:r w:rsidRPr="00DB5C9E">
        <w:rPr>
          <w:rFonts w:eastAsia="Times New Roman"/>
        </w:rPr>
        <w:fldChar w:fldCharType="end"/>
      </w:r>
      <w:r>
        <w:t xml:space="preserve"> powyżej).</w:t>
      </w:r>
    </w:p>
    <w:p w14:paraId="4853BE07" w14:textId="20C365BE" w:rsidR="00F5142C" w:rsidRPr="00DB5C9E" w:rsidRDefault="00445208" w:rsidP="00DB5C9E">
      <w:pPr>
        <w:pStyle w:val="JuPara"/>
        <w:rPr>
          <w:rFonts w:eastAsia="Times New Roman"/>
          <w:b/>
          <w:bCs/>
        </w:rPr>
      </w:pPr>
      <w:r w:rsidRPr="00DB5C9E">
        <w:rPr>
          <w:rFonts w:eastAsia="Times New Roman"/>
        </w:rPr>
        <w:fldChar w:fldCharType="begin"/>
      </w:r>
      <w:r w:rsidRPr="00DB5C9E">
        <w:rPr>
          <w:rFonts w:eastAsia="Times New Roman"/>
        </w:rPr>
        <w:instrText xml:space="preserve"> SEQ level0 \*arabic \* MERGEFORMAT </w:instrText>
      </w:r>
      <w:r w:rsidRPr="00DB5C9E">
        <w:rPr>
          <w:rFonts w:eastAsia="Times New Roman"/>
        </w:rPr>
        <w:fldChar w:fldCharType="separate"/>
      </w:r>
      <w:r w:rsidR="00446BA2">
        <w:rPr>
          <w:rFonts w:eastAsia="Times New Roman"/>
          <w:noProof/>
        </w:rPr>
        <w:t>118</w:t>
      </w:r>
      <w:r w:rsidRPr="00DB5C9E">
        <w:rPr>
          <w:rFonts w:eastAsia="Times New Roman"/>
        </w:rPr>
        <w:fldChar w:fldCharType="end"/>
      </w:r>
      <w:r>
        <w:t>.  Mając na uwadze, że nieważność powołania skarżącego stwierdzono z uwagi na niezgodny z prawem skład CGP, która go powołała – i</w:t>
      </w:r>
      <w:r w:rsidR="00A2269E">
        <w:t> </w:t>
      </w:r>
      <w:r>
        <w:t>niezgodność ta była jedną z okoliczności podniesionych przez X i Y – nie można zaprzeczyć, że chociaż postępowania te same w sobie były odrębne i</w:t>
      </w:r>
      <w:r w:rsidR="00A2269E">
        <w:t> </w:t>
      </w:r>
      <w:r>
        <w:t>miały odmienne przedmioty, to miały one ze sobą merytoryczny związek (skład CGP, która powołała skarżącego) i że postępowanie o sygn. 13/2019 było w praktyce „prekursorem” postępowania o sygn. 37/2020. Istotnie, zważywszy</w:t>
      </w:r>
      <w:r w:rsidR="0069104C">
        <w:t>,</w:t>
      </w:r>
      <w:r>
        <w:t xml:space="preserve"> że jedynymi powołaniami, które zostały unieważnione w wyniku ustawy interwencyjnej, były te zakwestionowane (ale nie jakiekolwiek inne decyzje CGP dotyczące innych powołań), gdyby nie wszczęto postępowania o sygn. 13/2019, powołanie skarżącego nie zostałoby unieważnione (na</w:t>
      </w:r>
      <w:r w:rsidR="00A2269E">
        <w:t> </w:t>
      </w:r>
      <w:r>
        <w:t xml:space="preserve">podstawie zakwestionowanego „wadliwego składu”) i nie byłoby powodu, aby skarżący wszczynał postępowanie o sygn. 37/2020. Z tych okoliczności wynika, że niniejszą sprawę można uznać za jeden z tych </w:t>
      </w:r>
      <w:r>
        <w:lastRenderedPageBreak/>
        <w:t>wyjątków, w których interwencja władzy ustawodawczej sprzeczna z</w:t>
      </w:r>
      <w:r w:rsidR="00A2269E">
        <w:t> </w:t>
      </w:r>
      <w:r>
        <w:t xml:space="preserve">Konwencją może mieć miejsce jeszcze przed wszczęciem postępowania sądowego z udziałem skarżącego (por. przykłady przytoczone w par. </w:t>
      </w:r>
      <w:r w:rsidRPr="00DB5C9E">
        <w:rPr>
          <w:rFonts w:eastAsia="Times New Roman"/>
        </w:rPr>
        <w:fldChar w:fldCharType="begin"/>
      </w:r>
      <w:r w:rsidRPr="00DB5C9E">
        <w:rPr>
          <w:rFonts w:eastAsia="Times New Roman"/>
        </w:rPr>
        <w:instrText xml:space="preserve">REF paragraph00117 \h \* CharFormat </w:instrText>
      </w:r>
      <w:r w:rsidRPr="00DB5C9E">
        <w:rPr>
          <w:rFonts w:eastAsia="Times New Roman"/>
        </w:rPr>
      </w:r>
      <w:r w:rsidRPr="00DB5C9E">
        <w:rPr>
          <w:rFonts w:eastAsia="Times New Roman"/>
        </w:rPr>
        <w:fldChar w:fldCharType="separate"/>
      </w:r>
      <w:r w:rsidR="00446BA2">
        <w:rPr>
          <w:rFonts w:eastAsia="Times New Roman"/>
        </w:rPr>
        <w:t>115</w:t>
      </w:r>
      <w:r w:rsidRPr="00DB5C9E">
        <w:rPr>
          <w:rFonts w:eastAsia="Times New Roman"/>
        </w:rPr>
        <w:fldChar w:fldCharType="end"/>
      </w:r>
      <w:r>
        <w:t xml:space="preserve"> </w:t>
      </w:r>
      <w:r>
        <w:rPr>
          <w:i/>
          <w:iCs/>
        </w:rPr>
        <w:t>in</w:t>
      </w:r>
      <w:r w:rsidR="00A2269E">
        <w:rPr>
          <w:i/>
          <w:iCs/>
        </w:rPr>
        <w:t> </w:t>
      </w:r>
      <w:r>
        <w:rPr>
          <w:i/>
          <w:iCs/>
        </w:rPr>
        <w:t>fine</w:t>
      </w:r>
      <w:r>
        <w:t xml:space="preserve"> powyżej).</w:t>
      </w:r>
    </w:p>
    <w:p w14:paraId="4FADFF6A" w14:textId="77777777" w:rsidR="00F5142C" w:rsidRPr="00DB5C9E" w:rsidRDefault="00445208" w:rsidP="00DB5C9E">
      <w:pPr>
        <w:pStyle w:val="JuPara"/>
        <w:rPr>
          <w:rFonts w:eastAsia="Times New Roman"/>
        </w:rPr>
      </w:pPr>
      <w:r w:rsidRPr="00DB5C9E">
        <w:rPr>
          <w:rFonts w:eastAsia="Times New Roman"/>
        </w:rPr>
        <w:fldChar w:fldCharType="begin"/>
      </w:r>
      <w:r w:rsidRPr="00DB5C9E">
        <w:rPr>
          <w:rFonts w:eastAsia="Times New Roman"/>
        </w:rPr>
        <w:instrText xml:space="preserve"> SEQ level0 \*arabic \* MERGEFORMAT </w:instrText>
      </w:r>
      <w:r w:rsidRPr="00DB5C9E">
        <w:rPr>
          <w:rFonts w:eastAsia="Times New Roman"/>
        </w:rPr>
        <w:fldChar w:fldCharType="separate"/>
      </w:r>
      <w:r w:rsidR="00446BA2">
        <w:rPr>
          <w:rFonts w:eastAsia="Times New Roman"/>
          <w:noProof/>
        </w:rPr>
        <w:t>119</w:t>
      </w:r>
      <w:r w:rsidRPr="00DB5C9E">
        <w:rPr>
          <w:rFonts w:eastAsia="Times New Roman"/>
        </w:rPr>
        <w:fldChar w:fldCharType="end"/>
      </w:r>
      <w:r>
        <w:t xml:space="preserve">.  W związku z tym Trybunał uważa, że istotne dla niniejszej sprawy w celu ustalenia, czy skarżący miał rzetelny proces sądowy w postępowaniu o sygn. 37/2020, jest to, czy ingerencja władzy ustawodawczej (a mianowicie art. 3 ustawy kwalifikowanej nr 1/2020, zob. par. </w:t>
      </w:r>
      <w:r w:rsidRPr="00DB5C9E">
        <w:fldChar w:fldCharType="begin"/>
      </w:r>
      <w:r w:rsidRPr="00DB5C9E">
        <w:instrText xml:space="preserve">REF paragraph00061 \h \* CharFormat </w:instrText>
      </w:r>
      <w:r w:rsidRPr="00DB5C9E">
        <w:fldChar w:fldCharType="separate"/>
      </w:r>
      <w:r w:rsidR="00446BA2">
        <w:t>61</w:t>
      </w:r>
      <w:r w:rsidRPr="00DB5C9E">
        <w:fldChar w:fldCharType="end"/>
      </w:r>
      <w:r>
        <w:t xml:space="preserve"> powyżej), do której doszło przed tym postępowaniem, opierała się na istotnych względach interesu ogólnego, czy też miała na celu obejście zasady państwa prawa.</w:t>
      </w:r>
    </w:p>
    <w:p w14:paraId="612C736D" w14:textId="55FD9CA2" w:rsidR="00F5142C" w:rsidRPr="00DB5C9E" w:rsidRDefault="00445208" w:rsidP="00DB5C9E">
      <w:pPr>
        <w:pStyle w:val="JuPara"/>
        <w:rPr>
          <w:rFonts w:eastAsia="Times New Roman"/>
        </w:rPr>
      </w:pPr>
      <w:r w:rsidRPr="00DB5C9E">
        <w:rPr>
          <w:rFonts w:eastAsia="Times New Roman"/>
        </w:rPr>
        <w:fldChar w:fldCharType="begin"/>
      </w:r>
      <w:r w:rsidRPr="00DB5C9E">
        <w:rPr>
          <w:rFonts w:eastAsia="Times New Roman"/>
        </w:rPr>
        <w:instrText xml:space="preserve"> SEQ level0 \*arabic \* MERGEFORMAT </w:instrText>
      </w:r>
      <w:r w:rsidRPr="00DB5C9E">
        <w:rPr>
          <w:rFonts w:eastAsia="Times New Roman"/>
        </w:rPr>
        <w:fldChar w:fldCharType="separate"/>
      </w:r>
      <w:r w:rsidR="00446BA2">
        <w:rPr>
          <w:rFonts w:eastAsia="Times New Roman"/>
          <w:noProof/>
        </w:rPr>
        <w:t>120</w:t>
      </w:r>
      <w:r w:rsidRPr="00DB5C9E">
        <w:rPr>
          <w:rFonts w:eastAsia="Times New Roman"/>
        </w:rPr>
        <w:fldChar w:fldCharType="end"/>
      </w:r>
      <w:r>
        <w:t xml:space="preserve">.  Trybunał nie może zgodzić się z Rządem, że ingerencja władzy ustawodawczej (a mianowicie art. 3 ustawy kwalifikowanej nr 1/2020, zob. par. </w:t>
      </w:r>
      <w:r w:rsidRPr="00DB5C9E">
        <w:fldChar w:fldCharType="begin"/>
      </w:r>
      <w:r w:rsidRPr="00DB5C9E">
        <w:instrText xml:space="preserve">REF paragraph00061 \h \* CharFormat </w:instrText>
      </w:r>
      <w:r w:rsidRPr="00DB5C9E">
        <w:fldChar w:fldCharType="separate"/>
      </w:r>
      <w:r w:rsidR="00446BA2">
        <w:t>61</w:t>
      </w:r>
      <w:r w:rsidRPr="00DB5C9E">
        <w:fldChar w:fldCharType="end"/>
      </w:r>
      <w:r>
        <w:t xml:space="preserve"> powyżej) nie wpłynęła na wynik postępowania o sygn. 13/2019. W</w:t>
      </w:r>
      <w:r w:rsidR="00A2269E">
        <w:t> </w:t>
      </w:r>
      <w:r>
        <w:t>rzeczywistości interwencja władzy ustawodawczej z immanentnym skutkiem wstecznym, po której nastąpiło autonomiczne działanie CGP polegające na zastosowaniu się do tych przepisów, „przesądziła” spór w tym postępowaniu dotyczącym prawidłowego składu CGP do tego stopnia, że</w:t>
      </w:r>
      <w:r w:rsidR="00A2269E">
        <w:t> </w:t>
      </w:r>
      <w:r>
        <w:t xml:space="preserve">strony tamtego postępowania nie miały interesu w jego kontynuowaniu. Jak stwierdził Rząd (zob. par. </w:t>
      </w:r>
      <w:r w:rsidRPr="00DB5C9E">
        <w:rPr>
          <w:rFonts w:eastAsia="Times New Roman"/>
        </w:rPr>
        <w:fldChar w:fldCharType="begin"/>
      </w:r>
      <w:r w:rsidRPr="00DB5C9E">
        <w:rPr>
          <w:rFonts w:eastAsia="Times New Roman"/>
        </w:rPr>
        <w:instrText xml:space="preserve">REF paragraph00111 \h \* CharFormat </w:instrText>
      </w:r>
      <w:r w:rsidRPr="00DB5C9E">
        <w:rPr>
          <w:rFonts w:eastAsia="Times New Roman"/>
        </w:rPr>
      </w:r>
      <w:r w:rsidRPr="00DB5C9E">
        <w:rPr>
          <w:rFonts w:eastAsia="Times New Roman"/>
        </w:rPr>
        <w:fldChar w:fldCharType="separate"/>
      </w:r>
      <w:r w:rsidR="00446BA2" w:rsidRPr="00446BA2">
        <w:rPr>
          <w:rFonts w:eastAsia="Times New Roman"/>
        </w:rPr>
        <w:t>109</w:t>
      </w:r>
      <w:r w:rsidRPr="00DB5C9E">
        <w:rPr>
          <w:rFonts w:eastAsia="Times New Roman"/>
        </w:rPr>
        <w:fldChar w:fldCharType="end"/>
      </w:r>
      <w:r>
        <w:t xml:space="preserve"> powyżej), strony uznały, że rozstrzygnięcie tej kwestii należało do ustawodawcy, a nie do sądów. Państwo zawłaszczyło więc funkcję sądu krajowego, polegającą na wykładni prawa krajowego obowiązującego w danym czasie i rozstrzygnięciu zawisłego sporu w</w:t>
      </w:r>
      <w:r w:rsidR="00A2269E">
        <w:t> </w:t>
      </w:r>
      <w:r>
        <w:t>postępowaniu o sygn. 13/2019. Czyniąc to, państwo dopuściło się faworyzacji stanowiska X i Y w postępowaniu o sygn. 13/2019 i sprawiło, że</w:t>
      </w:r>
      <w:r w:rsidR="00A2269E">
        <w:t> </w:t>
      </w:r>
      <w:r>
        <w:t>CGP (państwo) zyskało przewagę w postępowaniu wniesionym następnie przez skarżącego (o sygn. 37/2020), będącym przedmiotem niniejszej sprawy. Ta przewaga zakłóciła zasadę równości broni i uczyniła bezcelowym kontynuowanie postępowania o sygn. 37/2020, zważywszy</w:t>
      </w:r>
      <w:r w:rsidR="0069104C">
        <w:t>,</w:t>
      </w:r>
      <w:r>
        <w:t xml:space="preserve"> że sądy administracyjne były zobowiązane do stosowania później uchwalonej ustawy z mocą wsteczną (konkretnie art. 3 ustawy kwalifikowanej nr 1/2020, zob. par. </w:t>
      </w:r>
      <w:r w:rsidRPr="00DB5C9E">
        <w:fldChar w:fldCharType="begin"/>
      </w:r>
      <w:r w:rsidRPr="00DB5C9E">
        <w:instrText xml:space="preserve">REF paragraph00061 \h \* CharFormat </w:instrText>
      </w:r>
      <w:r w:rsidRPr="00DB5C9E">
        <w:fldChar w:fldCharType="separate"/>
      </w:r>
      <w:r w:rsidR="00446BA2">
        <w:t>61</w:t>
      </w:r>
      <w:r w:rsidRPr="00DB5C9E">
        <w:fldChar w:fldCharType="end"/>
      </w:r>
      <w:r>
        <w:t xml:space="preserve"> powyżej), czyniąc tym samym sprawę niemożliwą do wygrania przez skarżącego (por. </w:t>
      </w:r>
      <w:r>
        <w:rPr>
          <w:i/>
          <w:iCs/>
        </w:rPr>
        <w:t>Arras i Inni</w:t>
      </w:r>
      <w:r>
        <w:t>, op. cit., § 46).</w:t>
      </w:r>
    </w:p>
    <w:p w14:paraId="01550859" w14:textId="77777777" w:rsidR="00F5142C" w:rsidRPr="00DB5C9E" w:rsidRDefault="00445208" w:rsidP="00DB5C9E">
      <w:pPr>
        <w:pStyle w:val="JuPara"/>
        <w:rPr>
          <w:rFonts w:eastAsia="Times New Roman"/>
        </w:rPr>
      </w:pPr>
      <w:r w:rsidRPr="00DB5C9E">
        <w:rPr>
          <w:rFonts w:eastAsia="Times New Roman"/>
        </w:rPr>
        <w:fldChar w:fldCharType="begin"/>
      </w:r>
      <w:r w:rsidRPr="00DB5C9E">
        <w:rPr>
          <w:rFonts w:eastAsia="Times New Roman"/>
        </w:rPr>
        <w:instrText xml:space="preserve"> SEQ level0 \*arabic \* MERGEFORMAT </w:instrText>
      </w:r>
      <w:r w:rsidRPr="00DB5C9E">
        <w:rPr>
          <w:rFonts w:eastAsia="Times New Roman"/>
        </w:rPr>
        <w:fldChar w:fldCharType="separate"/>
      </w:r>
      <w:r w:rsidR="00446BA2">
        <w:rPr>
          <w:rFonts w:eastAsia="Times New Roman"/>
          <w:noProof/>
        </w:rPr>
        <w:t>121</w:t>
      </w:r>
      <w:r w:rsidRPr="00DB5C9E">
        <w:rPr>
          <w:rFonts w:eastAsia="Times New Roman"/>
        </w:rPr>
        <w:fldChar w:fldCharType="end"/>
      </w:r>
      <w:r>
        <w:t>.  Trybunał nie może zignorować tego, że, jak już wskazano powyżej, stwierdzono nieważność wyłącznie decyzji dotyczących sytuacji, które zostały zakwestionowane; nie ma zatem wątpliwości, że art. 3 ustawy kwalifikowanej nr 1/2020 miał na celu wpłynięcie na rozstrzygnięcie zawisłych sporów.</w:t>
      </w:r>
    </w:p>
    <w:p w14:paraId="362DF974" w14:textId="1B35636F" w:rsidR="00F5142C" w:rsidRPr="00DB5C9E" w:rsidRDefault="00445208" w:rsidP="00DB5C9E">
      <w:pPr>
        <w:pStyle w:val="JuPara"/>
      </w:pPr>
      <w:r w:rsidRPr="00DB5C9E">
        <w:rPr>
          <w:rFonts w:eastAsia="Times New Roman"/>
        </w:rPr>
        <w:fldChar w:fldCharType="begin"/>
      </w:r>
      <w:r w:rsidRPr="00DB5C9E">
        <w:rPr>
          <w:rFonts w:eastAsia="Times New Roman"/>
        </w:rPr>
        <w:instrText xml:space="preserve"> SEQ level0 \*arabic \* MERGEFORMAT </w:instrText>
      </w:r>
      <w:r w:rsidRPr="00DB5C9E">
        <w:rPr>
          <w:rFonts w:eastAsia="Times New Roman"/>
        </w:rPr>
        <w:fldChar w:fldCharType="separate"/>
      </w:r>
      <w:r w:rsidR="00446BA2">
        <w:rPr>
          <w:rFonts w:eastAsia="Times New Roman"/>
          <w:noProof/>
        </w:rPr>
        <w:t>122</w:t>
      </w:r>
      <w:r w:rsidRPr="00DB5C9E">
        <w:rPr>
          <w:rFonts w:eastAsia="Times New Roman"/>
        </w:rPr>
        <w:fldChar w:fldCharType="end"/>
      </w:r>
      <w:r>
        <w:t>.  </w:t>
      </w:r>
      <w:r>
        <w:rPr>
          <w:rStyle w:val="JuParaChar"/>
        </w:rPr>
        <w:t>Rząd argumentował, że interwencja władzy ustawodawczej miała na</w:t>
      </w:r>
      <w:r w:rsidR="00A2269E">
        <w:rPr>
          <w:rStyle w:val="JuParaChar"/>
        </w:rPr>
        <w:t> </w:t>
      </w:r>
      <w:r>
        <w:rPr>
          <w:rStyle w:val="JuParaChar"/>
        </w:rPr>
        <w:t>celu wyjaśnienie znaczenia art. 7 ust. 5 ustawy kwalifikowanej nr</w:t>
      </w:r>
      <w:r w:rsidR="00A2269E">
        <w:rPr>
          <w:rStyle w:val="JuParaChar"/>
        </w:rPr>
        <w:t> </w:t>
      </w:r>
      <w:r>
        <w:rPr>
          <w:rStyle w:val="JuParaChar"/>
        </w:rPr>
        <w:t>145/2003, zważywszy</w:t>
      </w:r>
      <w:r w:rsidR="0069104C">
        <w:rPr>
          <w:rStyle w:val="JuParaChar"/>
        </w:rPr>
        <w:t>,</w:t>
      </w:r>
      <w:r>
        <w:rPr>
          <w:rStyle w:val="JuParaChar"/>
        </w:rPr>
        <w:t xml:space="preserve"> że jego wykładnia, która według Rządu była </w:t>
      </w:r>
      <w:r w:rsidR="00FC52E1">
        <w:rPr>
          <w:rStyle w:val="JuParaChar"/>
        </w:rPr>
        <w:t>niezmienna</w:t>
      </w:r>
      <w:r>
        <w:rPr>
          <w:rStyle w:val="JuParaChar"/>
        </w:rPr>
        <w:t xml:space="preserve"> od 2011 r., stała się przedmiotem rozbieżności po posiedzeniu z</w:t>
      </w:r>
      <w:r w:rsidR="00FC52E1">
        <w:rPr>
          <w:rStyle w:val="JuParaChar"/>
        </w:rPr>
        <w:t> </w:t>
      </w:r>
      <w:r>
        <w:rPr>
          <w:rStyle w:val="JuParaChar"/>
        </w:rPr>
        <w:t>dnia 27 kwietnia 2018 r. Jego zdaniem wykładnia prawa dokonana przez CGP w dniu 27 kwietnia 2018 r. i na kolejnych posiedzeniach była nowatorska i sprzeczna z brzmieniem ustawy i zamiarem ustawodawcy.</w:t>
      </w:r>
    </w:p>
    <w:p w14:paraId="1CC796AF" w14:textId="090AF1BA" w:rsidR="00F5142C" w:rsidRPr="00DB5C9E" w:rsidRDefault="00445208" w:rsidP="00DB5C9E">
      <w:pPr>
        <w:pStyle w:val="JuPara"/>
      </w:pPr>
      <w:r w:rsidRPr="00DB5C9E">
        <w:rPr>
          <w:rFonts w:ascii="Times New Roman" w:eastAsia="Times New Roman" w:hAnsi="Times New Roman" w:cs="Times New Roman"/>
        </w:rPr>
        <w:lastRenderedPageBreak/>
        <w:fldChar w:fldCharType="begin"/>
      </w:r>
      <w:r w:rsidRPr="00DB5C9E">
        <w:rPr>
          <w:rFonts w:ascii="Times New Roman" w:eastAsia="Times New Roman" w:hAnsi="Times New Roman" w:cs="Times New Roman"/>
        </w:rPr>
        <w:instrText xml:space="preserve"> SEQ level0 \*arabic \* MERGEFORMAT </w:instrText>
      </w:r>
      <w:r w:rsidRPr="00DB5C9E">
        <w:rPr>
          <w:rFonts w:ascii="Times New Roman" w:eastAsia="Times New Roman" w:hAnsi="Times New Roman" w:cs="Times New Roman"/>
        </w:rPr>
        <w:fldChar w:fldCharType="separate"/>
      </w:r>
      <w:r w:rsidR="00446BA2">
        <w:rPr>
          <w:rFonts w:ascii="Times New Roman" w:eastAsia="Times New Roman" w:hAnsi="Times New Roman" w:cs="Times New Roman"/>
          <w:noProof/>
        </w:rPr>
        <w:t>123</w:t>
      </w:r>
      <w:r w:rsidRPr="00DB5C9E">
        <w:rPr>
          <w:rFonts w:ascii="Times New Roman" w:eastAsia="Times New Roman" w:hAnsi="Times New Roman" w:cs="Times New Roman"/>
        </w:rPr>
        <w:fldChar w:fldCharType="end"/>
      </w:r>
      <w:r>
        <w:rPr>
          <w:rFonts w:ascii="Times New Roman" w:hAnsi="Times New Roman"/>
        </w:rPr>
        <w:t>.  </w:t>
      </w:r>
      <w:r>
        <w:t>Nie do Trybunału należy rozstrzyganie, która wykładnia jest prawidłowa. Jeżeli prawdą jest, że wykładnia z dnia 27 kwietnia 2018 r., obowiązująca też później, była sprzeczn</w:t>
      </w:r>
      <w:r w:rsidR="002D50E5">
        <w:t>a</w:t>
      </w:r>
      <w:r>
        <w:t xml:space="preserve"> z prawem, można było podnieść tę</w:t>
      </w:r>
      <w:r w:rsidR="00A2269E">
        <w:t> </w:t>
      </w:r>
      <w:r>
        <w:t>kwestię przed sądami krajowymi. Niemniej jednak, nawet przyjmując, że</w:t>
      </w:r>
      <w:r w:rsidR="00A2269E">
        <w:t> </w:t>
      </w:r>
      <w:r>
        <w:t>wybór wykładni był prerogatywą państwa i że art. 3 ustawy kwalifikowanej nr 1/2020 miał rzeczywiście charakter interpretacyjny, wzmacniający pierwotny zamiar ustawodawcy – mimo że przepis ten był wielokrotnie interpretowany inaczej przez C</w:t>
      </w:r>
      <w:r w:rsidR="002D50E5">
        <w:t>GP</w:t>
      </w:r>
      <w:r>
        <w:t xml:space="preserve"> – sam ten fakt nie może uzasadniać interwencji z mocą wsteczną (zob., </w:t>
      </w:r>
      <w:r>
        <w:rPr>
          <w:i/>
          <w:iCs/>
        </w:rPr>
        <w:t>mutatis mutandis</w:t>
      </w:r>
      <w:r>
        <w:t xml:space="preserve">, </w:t>
      </w:r>
      <w:bookmarkStart w:id="54" w:name="_cl21441THELAW"/>
      <w:proofErr w:type="spellStart"/>
      <w:r>
        <w:rPr>
          <w:i/>
        </w:rPr>
        <w:t>Azienda</w:t>
      </w:r>
      <w:proofErr w:type="spellEnd"/>
      <w:r>
        <w:rPr>
          <w:i/>
        </w:rPr>
        <w:t xml:space="preserve"> </w:t>
      </w:r>
      <w:proofErr w:type="spellStart"/>
      <w:r>
        <w:rPr>
          <w:i/>
        </w:rPr>
        <w:t>Agricola</w:t>
      </w:r>
      <w:proofErr w:type="spellEnd"/>
      <w:r>
        <w:rPr>
          <w:i/>
        </w:rPr>
        <w:t xml:space="preserve"> </w:t>
      </w:r>
      <w:proofErr w:type="spellStart"/>
      <w:r>
        <w:rPr>
          <w:i/>
        </w:rPr>
        <w:t>Silverfunghi</w:t>
      </w:r>
      <w:proofErr w:type="spellEnd"/>
      <w:r>
        <w:rPr>
          <w:i/>
        </w:rPr>
        <w:t xml:space="preserve"> </w:t>
      </w:r>
      <w:proofErr w:type="spellStart"/>
      <w:r>
        <w:rPr>
          <w:i/>
        </w:rPr>
        <w:t>S.a.s</w:t>
      </w:r>
      <w:proofErr w:type="spellEnd"/>
      <w:r>
        <w:rPr>
          <w:i/>
        </w:rPr>
        <w:t>. i Inni przeciwko Włochom</w:t>
      </w:r>
      <w:bookmarkEnd w:id="54"/>
      <w:r>
        <w:t xml:space="preserve">, nr 48357/07 i 3 inne, § 81, 24 czerwca 2014 r., oraz </w:t>
      </w:r>
      <w:bookmarkStart w:id="55" w:name="_cl22226THELAW"/>
      <w:proofErr w:type="spellStart"/>
      <w:r>
        <w:rPr>
          <w:i/>
          <w:iCs/>
        </w:rPr>
        <w:t>Biraghi</w:t>
      </w:r>
      <w:proofErr w:type="spellEnd"/>
      <w:r>
        <w:rPr>
          <w:i/>
          <w:iCs/>
        </w:rPr>
        <w:t xml:space="preserve"> i inni przeciwko Włochom</w:t>
      </w:r>
      <w:r>
        <w:t>,</w:t>
      </w:r>
      <w:bookmarkEnd w:id="55"/>
      <w:r>
        <w:t xml:space="preserve"> nr 3429/09 i 21 innych, § 37, 24 czerwca 2014 r.). Jest tak tym bardziej, gdy obawy uzasadniające wybór tej wykładni (mianowicie że członkowie komponentu sędziowskiego, których mandaty miały jeszcze zostać zatwierdzone, musieliby – na posiedzeniach dotyczących ich zatwierdzenia – wyłączyć się z obrad, powodując zachwianie równowagi w składzie CGP, zob. par. </w:t>
      </w:r>
      <w:r w:rsidRPr="00DB5C9E">
        <w:rPr>
          <w:rFonts w:eastAsiaTheme="minorEastAsia"/>
        </w:rPr>
        <w:fldChar w:fldCharType="begin"/>
      </w:r>
      <w:r w:rsidRPr="00DB5C9E">
        <w:rPr>
          <w:rFonts w:eastAsiaTheme="minorEastAsia"/>
        </w:rPr>
        <w:instrText xml:space="preserve">REF paragraph00110 \h \* CharFormat </w:instrText>
      </w:r>
      <w:r w:rsidRPr="00DB5C9E">
        <w:rPr>
          <w:rFonts w:eastAsiaTheme="minorEastAsia"/>
        </w:rPr>
      </w:r>
      <w:r w:rsidRPr="00DB5C9E">
        <w:rPr>
          <w:rFonts w:eastAsiaTheme="minorEastAsia"/>
        </w:rPr>
        <w:fldChar w:fldCharType="separate"/>
      </w:r>
      <w:r w:rsidR="00446BA2" w:rsidRPr="00446BA2">
        <w:rPr>
          <w:rFonts w:eastAsiaTheme="minorEastAsia"/>
        </w:rPr>
        <w:t>108</w:t>
      </w:r>
      <w:r w:rsidRPr="00DB5C9E">
        <w:rPr>
          <w:rFonts w:eastAsiaTheme="minorEastAsia"/>
        </w:rPr>
        <w:fldChar w:fldCharType="end"/>
      </w:r>
      <w:r>
        <w:t xml:space="preserve"> powyżej) były obawami związanymi z przyszłymi sytuacjami, a zatem nie mogły być uznane za istotny wzgląd interesu ogólnego uzasadniający wsteczne zastosowanie wykładni.</w:t>
      </w:r>
    </w:p>
    <w:p w14:paraId="2FEC77B7" w14:textId="18FC00F3" w:rsidR="00F5142C" w:rsidRPr="00DB5C9E" w:rsidRDefault="00445208" w:rsidP="00DB5C9E">
      <w:pPr>
        <w:pStyle w:val="JuPara"/>
        <w:rPr>
          <w:rFonts w:ascii="Times New Roman" w:hAnsi="Times New Roman" w:cs="Times New Roman"/>
        </w:rPr>
      </w:pPr>
      <w:r w:rsidRPr="00DB5C9E">
        <w:rPr>
          <w:rFonts w:ascii="Times New Roman" w:hAnsi="Times New Roman" w:cs="Times New Roman"/>
        </w:rPr>
        <w:fldChar w:fldCharType="begin"/>
      </w:r>
      <w:r w:rsidRPr="00DB5C9E">
        <w:rPr>
          <w:rFonts w:ascii="Times New Roman" w:hAnsi="Times New Roman" w:cs="Times New Roman"/>
        </w:rPr>
        <w:instrText xml:space="preserve"> SEQ level0 \*arabic \* MERGEFORMAT </w:instrText>
      </w:r>
      <w:r w:rsidRPr="00DB5C9E">
        <w:rPr>
          <w:rFonts w:ascii="Times New Roman" w:hAnsi="Times New Roman" w:cs="Times New Roman"/>
        </w:rPr>
        <w:fldChar w:fldCharType="separate"/>
      </w:r>
      <w:r w:rsidR="00446BA2">
        <w:rPr>
          <w:rFonts w:ascii="Times New Roman" w:hAnsi="Times New Roman" w:cs="Times New Roman"/>
          <w:noProof/>
        </w:rPr>
        <w:t>124</w:t>
      </w:r>
      <w:r w:rsidRPr="00DB5C9E">
        <w:rPr>
          <w:rFonts w:ascii="Times New Roman" w:hAnsi="Times New Roman" w:cs="Times New Roman"/>
        </w:rPr>
        <w:fldChar w:fldCharType="end"/>
      </w:r>
      <w:r>
        <w:rPr>
          <w:rFonts w:ascii="Times New Roman" w:hAnsi="Times New Roman"/>
        </w:rPr>
        <w:t>.  Rząd powoływał się ponadto na znaczenie należytego ukształtowania CGP przy powoływaniu organów sądowych – zasadę, która z</w:t>
      </w:r>
      <w:r w:rsidR="00A2269E">
        <w:rPr>
          <w:rFonts w:ascii="Times New Roman" w:hAnsi="Times New Roman"/>
        </w:rPr>
        <w:t> </w:t>
      </w:r>
      <w:r>
        <w:rPr>
          <w:rFonts w:ascii="Times New Roman" w:hAnsi="Times New Roman"/>
        </w:rPr>
        <w:t xml:space="preserve">pewnością leży w interesie ogólnym. </w:t>
      </w:r>
      <w:r>
        <w:t xml:space="preserve">Trybunał zauważa jednak, że problem składu w niniejszej sprawie miał charakter techniczny i dotyczył tylko jednego członka – w odniesieniu do kryterium uzupełnienia składu, które miało być zastosowane (zob. par. </w:t>
      </w:r>
      <w:r w:rsidRPr="00DB5C9E">
        <w:rPr>
          <w:rFonts w:ascii="Times New Roman" w:hAnsi="Times New Roman" w:cs="Times New Roman"/>
        </w:rPr>
        <w:fldChar w:fldCharType="begin"/>
      </w:r>
      <w:r w:rsidRPr="00DB5C9E">
        <w:rPr>
          <w:rFonts w:ascii="Times New Roman" w:hAnsi="Times New Roman" w:cs="Times New Roman"/>
        </w:rPr>
        <w:instrText xml:space="preserve"> REF paragraph00006 \h </w:instrText>
      </w:r>
      <w:r w:rsidRPr="00DB5C9E">
        <w:rPr>
          <w:rFonts w:ascii="Times New Roman" w:hAnsi="Times New Roman" w:cs="Times New Roman"/>
        </w:rPr>
      </w:r>
      <w:r w:rsidRPr="00DB5C9E">
        <w:rPr>
          <w:rFonts w:ascii="Times New Roman" w:hAnsi="Times New Roman" w:cs="Times New Roman"/>
        </w:rPr>
        <w:fldChar w:fldCharType="separate"/>
      </w:r>
      <w:r w:rsidR="00446BA2">
        <w:rPr>
          <w:rFonts w:ascii="Times New Roman" w:eastAsia="Times New Roman" w:hAnsi="Times New Roman" w:cs="Times New Roman"/>
          <w:noProof/>
        </w:rPr>
        <w:t>6</w:t>
      </w:r>
      <w:r w:rsidRPr="00DB5C9E">
        <w:rPr>
          <w:rFonts w:ascii="Times New Roman" w:hAnsi="Times New Roman" w:cs="Times New Roman"/>
        </w:rPr>
        <w:fldChar w:fldCharType="end"/>
      </w:r>
      <w:r>
        <w:t xml:space="preserve"> i </w:t>
      </w:r>
      <w:r w:rsidRPr="00DB5C9E">
        <w:rPr>
          <w:rFonts w:ascii="Times New Roman" w:hAnsi="Times New Roman" w:cs="Times New Roman"/>
        </w:rPr>
        <w:fldChar w:fldCharType="begin"/>
      </w:r>
      <w:r w:rsidRPr="00DB5C9E">
        <w:rPr>
          <w:rFonts w:ascii="Times New Roman" w:hAnsi="Times New Roman" w:cs="Times New Roman"/>
        </w:rPr>
        <w:instrText xml:space="preserve"> REF paragraph00007 \h </w:instrText>
      </w:r>
      <w:r w:rsidRPr="00DB5C9E">
        <w:rPr>
          <w:rFonts w:ascii="Times New Roman" w:hAnsi="Times New Roman" w:cs="Times New Roman"/>
        </w:rPr>
      </w:r>
      <w:r w:rsidRPr="00DB5C9E">
        <w:rPr>
          <w:rFonts w:ascii="Times New Roman" w:hAnsi="Times New Roman" w:cs="Times New Roman"/>
        </w:rPr>
        <w:fldChar w:fldCharType="separate"/>
      </w:r>
      <w:r w:rsidR="00446BA2">
        <w:rPr>
          <w:rFonts w:ascii="Times New Roman" w:eastAsia="Times New Roman" w:hAnsi="Times New Roman" w:cs="Times New Roman"/>
          <w:noProof/>
        </w:rPr>
        <w:t>7</w:t>
      </w:r>
      <w:r w:rsidRPr="00DB5C9E">
        <w:rPr>
          <w:rFonts w:ascii="Times New Roman" w:hAnsi="Times New Roman" w:cs="Times New Roman"/>
        </w:rPr>
        <w:fldChar w:fldCharType="end"/>
      </w:r>
      <w:r>
        <w:t xml:space="preserve"> powyżej).</w:t>
      </w:r>
      <w:r>
        <w:rPr>
          <w:rFonts w:ascii="Times New Roman" w:hAnsi="Times New Roman"/>
        </w:rPr>
        <w:t xml:space="preserve"> Ponadto przepisy zastosowano z mocą wsteczną w sposób, który dotknął tylko niektóre decyzje podjęte przez CGP ukształtowaną w ten „wadliwy” sposób. Takie wybiórcze podejście, o ile nie było oparte na obiektywnych kryteriach, podważało stanowisko Rządu, że celem ingerencji było wyłącznie przywrócenie stanu zgodnego z prawem. W tym względzie godne uwagi jest, że zastosowanie nowego prawa było w praktyce zależne od uznania CGP. Wydaje się, że CGP bezkrytycznie przyjęła opinię prawną w tej sprawie, którą CGP zleciła i którą sporządziła jedna osoba. Posługując się tą opinią i przyjmując ją, CGP ustanowiła jako kryterium takiego wyboru sytuacje, w których oczekiwano na rozstrzygnięcie zakwestionowanych powołań, wpływając tym samym </w:t>
      </w:r>
      <w:r w:rsidRPr="002D50E5">
        <w:t>na</w:t>
      </w:r>
      <w:r w:rsidR="00A4622A">
        <w:t> </w:t>
      </w:r>
      <w:r w:rsidRPr="002D50E5">
        <w:t>powołanie</w:t>
      </w:r>
      <w:r>
        <w:rPr>
          <w:rFonts w:ascii="Times New Roman" w:hAnsi="Times New Roman"/>
        </w:rPr>
        <w:t xml:space="preserve"> czterech konkretnych osób, z których jedną był skarżący, ale nie na inne decyzje podjęte przez CGP ukształtowaną w ten sam sposób.</w:t>
      </w:r>
    </w:p>
    <w:bookmarkStart w:id="56" w:name="paragraph00128"/>
    <w:p w14:paraId="1DB96D8A" w14:textId="6DF6CDAE" w:rsidR="00F5142C" w:rsidRPr="00DB5C9E" w:rsidRDefault="00445208" w:rsidP="00DB5C9E">
      <w:pPr>
        <w:pStyle w:val="JuPara"/>
        <w:rPr>
          <w:rFonts w:ascii="Times New Roman" w:hAnsi="Times New Roman" w:cs="Times New Roman"/>
        </w:rPr>
      </w:pPr>
      <w:r w:rsidRPr="00DB5C9E">
        <w:rPr>
          <w:rFonts w:ascii="Times New Roman" w:hAnsi="Times New Roman" w:cs="Times New Roman"/>
        </w:rPr>
        <w:fldChar w:fldCharType="begin"/>
      </w:r>
      <w:r w:rsidRPr="00DB5C9E">
        <w:rPr>
          <w:rFonts w:ascii="Times New Roman" w:hAnsi="Times New Roman" w:cs="Times New Roman"/>
        </w:rPr>
        <w:instrText xml:space="preserve"> SEQ level0 \*arabic \* MERGEFORMAT </w:instrText>
      </w:r>
      <w:r w:rsidRPr="00DB5C9E">
        <w:rPr>
          <w:rFonts w:ascii="Times New Roman" w:hAnsi="Times New Roman" w:cs="Times New Roman"/>
        </w:rPr>
        <w:fldChar w:fldCharType="separate"/>
      </w:r>
      <w:r w:rsidR="00446BA2">
        <w:rPr>
          <w:rFonts w:ascii="Times New Roman" w:hAnsi="Times New Roman" w:cs="Times New Roman"/>
          <w:noProof/>
        </w:rPr>
        <w:t>125</w:t>
      </w:r>
      <w:r w:rsidRPr="00DB5C9E">
        <w:rPr>
          <w:rFonts w:ascii="Times New Roman" w:hAnsi="Times New Roman" w:cs="Times New Roman"/>
        </w:rPr>
        <w:fldChar w:fldCharType="end"/>
      </w:r>
      <w:bookmarkEnd w:id="56"/>
      <w:r>
        <w:rPr>
          <w:rFonts w:ascii="Times New Roman" w:hAnsi="Times New Roman"/>
        </w:rPr>
        <w:t>.  </w:t>
      </w:r>
      <w:r>
        <w:t xml:space="preserve">Trybunał orzekł już, że uregulowania prawne lub praktyczne, wymierzone przeciwko konkretnej osobie, są niezgodne z zasadą praworządności (zob. </w:t>
      </w:r>
      <w:r>
        <w:rPr>
          <w:i/>
          <w:iCs/>
        </w:rPr>
        <w:t>mutatis mutandis</w:t>
      </w:r>
      <w:r>
        <w:t xml:space="preserve">, </w:t>
      </w:r>
      <w:r>
        <w:rPr>
          <w:i/>
          <w:iCs/>
        </w:rPr>
        <w:t>Grzęda</w:t>
      </w:r>
      <w:r>
        <w:t>, op. cit., § 299 i przytoczone tam orzecznictwo).</w:t>
      </w:r>
      <w:r>
        <w:rPr>
          <w:rFonts w:ascii="Times New Roman" w:hAnsi="Times New Roman"/>
        </w:rPr>
        <w:t xml:space="preserve"> Trybunał zauważa ponadto, że w niniejszej sprawie nie wydaje się, aby przywiązano jakąkolwiek wagę do faktu, że żadne osoby, których sprawa była lub jest rozpatrywana przez skarżącego pełniącego funkcję komisarza prawa, nie wszczęły postępowania, w którym </w:t>
      </w:r>
      <w:r>
        <w:rPr>
          <w:rFonts w:ascii="Times New Roman" w:hAnsi="Times New Roman"/>
        </w:rPr>
        <w:lastRenderedPageBreak/>
        <w:t xml:space="preserve">stwierdziłyby, że organ rozpatrujący ich sprawę nie był organem ustanowionym ustawą. </w:t>
      </w:r>
      <w:r>
        <w:t>Ponadto mimo charakteru i ograniczonego wpływu leżącej u podstaw wady, niewystarczająco uwzględniono zasadę nieusuwalności sędziów w trakcie ich kadencji, powszechnie uważaną za</w:t>
      </w:r>
      <w:r w:rsidR="002D50E5">
        <w:t> </w:t>
      </w:r>
      <w:r>
        <w:t xml:space="preserve">dopełnienie zasady niezawisłości sędziowskiej, która jest przesłanką praworządności (zob. </w:t>
      </w:r>
      <w:proofErr w:type="spellStart"/>
      <w:r>
        <w:rPr>
          <w:i/>
          <w:iCs/>
        </w:rPr>
        <w:t>Guðmundur</w:t>
      </w:r>
      <w:proofErr w:type="spellEnd"/>
      <w:r>
        <w:rPr>
          <w:i/>
          <w:iCs/>
        </w:rPr>
        <w:t xml:space="preserve"> </w:t>
      </w:r>
      <w:proofErr w:type="spellStart"/>
      <w:r>
        <w:rPr>
          <w:i/>
          <w:iCs/>
        </w:rPr>
        <w:t>Andri</w:t>
      </w:r>
      <w:proofErr w:type="spellEnd"/>
      <w:r>
        <w:rPr>
          <w:i/>
          <w:iCs/>
        </w:rPr>
        <w:t xml:space="preserve"> </w:t>
      </w:r>
      <w:proofErr w:type="spellStart"/>
      <w:r>
        <w:rPr>
          <w:i/>
          <w:iCs/>
        </w:rPr>
        <w:t>Ástráðsson</w:t>
      </w:r>
      <w:proofErr w:type="spellEnd"/>
      <w:r>
        <w:rPr>
          <w:i/>
          <w:iCs/>
        </w:rPr>
        <w:t xml:space="preserve"> przeciwko Islandii</w:t>
      </w:r>
      <w:r>
        <w:t xml:space="preserve"> [WI], nr 26374/18, § 239, 1 grudnia 2020 r.), a także zasadę, że członkom sądownictwa powinna przysługiwać, tak jak innym obywatelom, ochrona przed arbitralnością ze strony władzy ustawodawczej i wykonawczej, a tylko nadzór niezależnego organu sądowego nad legalnością środka takiego jak usunięcie ze stanowiska może uczynić ową ochronę skuteczną (zob. </w:t>
      </w:r>
      <w:r>
        <w:rPr>
          <w:i/>
          <w:iCs/>
        </w:rPr>
        <w:t>Grzęda</w:t>
      </w:r>
      <w:r>
        <w:t>, op. cit., § 327).</w:t>
      </w:r>
    </w:p>
    <w:bookmarkStart w:id="57" w:name="paragraph00129"/>
    <w:p w14:paraId="6DAC1A9A" w14:textId="5F4AFB93" w:rsidR="00F5142C" w:rsidRPr="00DB5C9E" w:rsidRDefault="00445208" w:rsidP="00DB5C9E">
      <w:pPr>
        <w:pStyle w:val="JuPara"/>
        <w:rPr>
          <w:rFonts w:ascii="Times New Roman" w:eastAsia="Times New Roman" w:hAnsi="Times New Roman" w:cs="Times New Roman"/>
        </w:rPr>
      </w:pPr>
      <w:r w:rsidRPr="00DB5C9E">
        <w:rPr>
          <w:rFonts w:ascii="Times New Roman" w:eastAsia="Times New Roman" w:hAnsi="Times New Roman" w:cs="Times New Roman"/>
        </w:rPr>
        <w:fldChar w:fldCharType="begin"/>
      </w:r>
      <w:r w:rsidRPr="00DB5C9E">
        <w:rPr>
          <w:rFonts w:ascii="Times New Roman" w:eastAsia="Times New Roman" w:hAnsi="Times New Roman" w:cs="Times New Roman"/>
        </w:rPr>
        <w:instrText xml:space="preserve"> SEQ level0 \*arabic \* MERGEFORMAT </w:instrText>
      </w:r>
      <w:r w:rsidRPr="00DB5C9E">
        <w:rPr>
          <w:rFonts w:ascii="Times New Roman" w:eastAsia="Times New Roman" w:hAnsi="Times New Roman" w:cs="Times New Roman"/>
        </w:rPr>
        <w:fldChar w:fldCharType="separate"/>
      </w:r>
      <w:r w:rsidR="00446BA2">
        <w:rPr>
          <w:rFonts w:ascii="Times New Roman" w:eastAsia="Times New Roman" w:hAnsi="Times New Roman" w:cs="Times New Roman"/>
          <w:noProof/>
        </w:rPr>
        <w:t>126</w:t>
      </w:r>
      <w:r w:rsidRPr="00DB5C9E">
        <w:rPr>
          <w:rFonts w:ascii="Times New Roman" w:eastAsia="Times New Roman" w:hAnsi="Times New Roman" w:cs="Times New Roman"/>
        </w:rPr>
        <w:fldChar w:fldCharType="end"/>
      </w:r>
      <w:bookmarkEnd w:id="57"/>
      <w:r>
        <w:rPr>
          <w:rFonts w:ascii="Times New Roman" w:hAnsi="Times New Roman"/>
        </w:rPr>
        <w:t xml:space="preserve">.  Trybunał nie widzi w argumentach Rządu niczego, co mogłoby uzasadniać tak arbitralne działanie, które Trybunał uznaje za mające na celu obejście zasady państwa prawa i zasady rzetelnego procesu sądowego. </w:t>
      </w:r>
      <w:r>
        <w:t>W</w:t>
      </w:r>
      <w:r w:rsidR="00A2269E">
        <w:t> </w:t>
      </w:r>
      <w:r>
        <w:t>kontekście tej drugiej zasady Trybunał zauważa, że takie działanie zakłóciło równość stron, czyniąc sprawę przed sądami administracyjnymi niemożliwą do wygrania przez skarżącego, mimo braku jakichkolwiek istotnych względów interesu ogólnego zdolnych przeważyć nad niebezpieczeństwami nieodłącznie związanymi ze stosowaniem ustawodawstwa ze wsteczną mocą obowiązującą.</w:t>
      </w:r>
    </w:p>
    <w:bookmarkStart w:id="58" w:name="paragraph00130"/>
    <w:p w14:paraId="7E856D1E" w14:textId="179ABD96" w:rsidR="00F5142C" w:rsidRPr="00DB5C9E" w:rsidRDefault="00445208" w:rsidP="00DB5C9E">
      <w:pPr>
        <w:pStyle w:val="JuPara"/>
        <w:rPr>
          <w:rFonts w:eastAsia="Times New Roman"/>
        </w:rPr>
      </w:pPr>
      <w:r w:rsidRPr="00DB5C9E">
        <w:rPr>
          <w:rFonts w:eastAsia="Times New Roman"/>
        </w:rPr>
        <w:fldChar w:fldCharType="begin"/>
      </w:r>
      <w:r w:rsidRPr="00DB5C9E">
        <w:rPr>
          <w:rFonts w:eastAsia="Times New Roman"/>
        </w:rPr>
        <w:instrText xml:space="preserve"> SEQ level0 \*arabic \* MERGEFORMAT </w:instrText>
      </w:r>
      <w:r w:rsidRPr="00DB5C9E">
        <w:rPr>
          <w:rFonts w:eastAsia="Times New Roman"/>
        </w:rPr>
        <w:fldChar w:fldCharType="separate"/>
      </w:r>
      <w:r w:rsidR="00446BA2">
        <w:rPr>
          <w:rFonts w:eastAsia="Times New Roman"/>
          <w:noProof/>
        </w:rPr>
        <w:t>127</w:t>
      </w:r>
      <w:r w:rsidRPr="00DB5C9E">
        <w:rPr>
          <w:rFonts w:eastAsia="Times New Roman"/>
        </w:rPr>
        <w:fldChar w:fldCharType="end"/>
      </w:r>
      <w:bookmarkEnd w:id="58"/>
      <w:r>
        <w:t>.  Co za tym idzie, doszło do naruszenia art. 6 ust. 1 Konwencji w</w:t>
      </w:r>
      <w:r w:rsidR="00A2269E">
        <w:t> </w:t>
      </w:r>
      <w:r>
        <w:t>odniesieniu do wymogu rzetelności postępowania.</w:t>
      </w:r>
    </w:p>
    <w:p w14:paraId="5FB81CBF" w14:textId="77777777" w:rsidR="00F5142C" w:rsidRPr="00DB5C9E" w:rsidRDefault="00445208" w:rsidP="00DB5C9E">
      <w:pPr>
        <w:pStyle w:val="JuH1"/>
      </w:pPr>
      <w:r>
        <w:t>Bezstronny sąd</w:t>
      </w:r>
    </w:p>
    <w:p w14:paraId="3533A72D" w14:textId="069A0ED6" w:rsidR="00F5142C" w:rsidRPr="00DB5C9E" w:rsidRDefault="00445208" w:rsidP="00DB5C9E">
      <w:pPr>
        <w:pStyle w:val="JuPara"/>
      </w:pPr>
      <w:r w:rsidRPr="00DB5C9E">
        <w:rPr>
          <w:rFonts w:ascii="Times New Roman" w:eastAsia="Times New Roman" w:hAnsi="Times New Roman" w:cs="Times New Roman"/>
        </w:rPr>
        <w:fldChar w:fldCharType="begin"/>
      </w:r>
      <w:r w:rsidRPr="00DB5C9E">
        <w:rPr>
          <w:rFonts w:ascii="Times New Roman" w:eastAsia="Times New Roman" w:hAnsi="Times New Roman" w:cs="Times New Roman"/>
        </w:rPr>
        <w:instrText xml:space="preserve"> SEQ level0 \*arabic \* MERGEFORMAT </w:instrText>
      </w:r>
      <w:r w:rsidRPr="00DB5C9E">
        <w:rPr>
          <w:rFonts w:ascii="Times New Roman" w:eastAsia="Times New Roman" w:hAnsi="Times New Roman" w:cs="Times New Roman"/>
        </w:rPr>
        <w:fldChar w:fldCharType="separate"/>
      </w:r>
      <w:r w:rsidR="00446BA2">
        <w:rPr>
          <w:rFonts w:ascii="Times New Roman" w:eastAsia="Times New Roman" w:hAnsi="Times New Roman" w:cs="Times New Roman"/>
          <w:noProof/>
        </w:rPr>
        <w:t>128</w:t>
      </w:r>
      <w:r w:rsidRPr="00DB5C9E">
        <w:rPr>
          <w:rFonts w:ascii="Times New Roman" w:eastAsia="Times New Roman" w:hAnsi="Times New Roman" w:cs="Times New Roman"/>
        </w:rPr>
        <w:fldChar w:fldCharType="end"/>
      </w:r>
      <w:r>
        <w:rPr>
          <w:rFonts w:ascii="Times New Roman" w:hAnsi="Times New Roman"/>
        </w:rPr>
        <w:t>.  Stwierdziwszy naruszenie art. 6 ust. 1 Konwencji w odniesieniu do</w:t>
      </w:r>
      <w:r w:rsidR="00A2269E">
        <w:rPr>
          <w:rFonts w:ascii="Times New Roman" w:hAnsi="Times New Roman"/>
        </w:rPr>
        <w:t> </w:t>
      </w:r>
      <w:r>
        <w:rPr>
          <w:rFonts w:ascii="Times New Roman" w:hAnsi="Times New Roman"/>
        </w:rPr>
        <w:t>wymogu rzetelności w związku z postępowaniem o sygn. 37/2020 i mając na uwadze charakter tego naruszenia, Trybunał uważa, że nie jest konieczne badanie, czy w tym postępowaniu skarżący miał dostęp do bezstronnego i</w:t>
      </w:r>
      <w:r w:rsidR="00A2269E">
        <w:rPr>
          <w:rFonts w:ascii="Times New Roman" w:hAnsi="Times New Roman"/>
        </w:rPr>
        <w:t> </w:t>
      </w:r>
      <w:r>
        <w:rPr>
          <w:rFonts w:ascii="Times New Roman" w:hAnsi="Times New Roman"/>
        </w:rPr>
        <w:t>niezawisłego sądu, jak przewiduje art. 6 ust. 1 Konwencji.</w:t>
      </w:r>
    </w:p>
    <w:p w14:paraId="19A13062" w14:textId="77777777" w:rsidR="00F5142C" w:rsidRPr="00DB5C9E" w:rsidRDefault="00445208" w:rsidP="00DB5C9E">
      <w:pPr>
        <w:pStyle w:val="JuH1"/>
      </w:pPr>
      <w:r>
        <w:t>Przewlekłość postępowania</w:t>
      </w:r>
    </w:p>
    <w:p w14:paraId="57C9DA92" w14:textId="77777777" w:rsidR="00F5142C" w:rsidRPr="00DB5C9E" w:rsidRDefault="00446BA2" w:rsidP="00DB5C9E">
      <w:pPr>
        <w:pStyle w:val="JuPara"/>
      </w:pPr>
      <w:fldSimple w:instr=" SEQ level0 \*arabic \* MERGEFORMAT ">
        <w:r>
          <w:rPr>
            <w:noProof/>
          </w:rPr>
          <w:t>129</w:t>
        </w:r>
      </w:fldSimple>
      <w:r w:rsidR="00445208">
        <w:t>.  Skarżący zarzucił przewlekłość postępowania o sygn. 37/2020, uznając, że początkowe opóźnienie (w szczególności w wyznaczeniu sędziego do rozpoznania sprawy, a następnie w rozstrzygnięciu zagadnień wstępnych) nie mogło zostać zniwelowane przez fakt, że postępowanie odwoławcze toczyło się szybko.</w:t>
      </w:r>
    </w:p>
    <w:p w14:paraId="75D2EB00" w14:textId="3F5B48A4" w:rsidR="00F5142C" w:rsidRPr="00DB5C9E" w:rsidRDefault="00446BA2" w:rsidP="00DB5C9E">
      <w:pPr>
        <w:pStyle w:val="JuPara"/>
      </w:pPr>
      <w:fldSimple w:instr=" SEQ level0 \*arabic \* MERGEFORMAT ">
        <w:r>
          <w:rPr>
            <w:noProof/>
          </w:rPr>
          <w:t>130</w:t>
        </w:r>
      </w:fldSimple>
      <w:r w:rsidR="00445208">
        <w:t xml:space="preserve">.  Rząd podniósł, że poza początkowymi trudnościami w ustaleniu właściwego sądu (w wyniku wyłączenia się wszystkich sędziów i przydziału sprawy sędziemu pierwszej instancji ds. odpowiedzialności na podstawie ustawy konstytucyjnej nr 2/2020, zob. par. </w:t>
      </w:r>
      <w:r w:rsidR="00445208" w:rsidRPr="00DB5C9E">
        <w:rPr>
          <w:rFonts w:cstheme="minorHAnsi"/>
        </w:rPr>
        <w:fldChar w:fldCharType="begin"/>
      </w:r>
      <w:r w:rsidR="00445208" w:rsidRPr="00DB5C9E">
        <w:rPr>
          <w:rFonts w:cstheme="minorHAnsi"/>
        </w:rPr>
        <w:instrText xml:space="preserve">REF paragraph00055 \h \* CharFormat </w:instrText>
      </w:r>
      <w:r w:rsidR="00445208" w:rsidRPr="00DB5C9E">
        <w:rPr>
          <w:rFonts w:cstheme="minorHAnsi"/>
        </w:rPr>
      </w:r>
      <w:r w:rsidR="00445208" w:rsidRPr="00DB5C9E">
        <w:rPr>
          <w:rFonts w:cstheme="minorHAnsi"/>
        </w:rPr>
        <w:fldChar w:fldCharType="separate"/>
      </w:r>
      <w:r w:rsidRPr="00446BA2">
        <w:rPr>
          <w:rFonts w:cstheme="minorHAnsi"/>
        </w:rPr>
        <w:t>55</w:t>
      </w:r>
      <w:r w:rsidR="00445208" w:rsidRPr="00DB5C9E">
        <w:rPr>
          <w:rFonts w:cstheme="minorHAnsi"/>
        </w:rPr>
        <w:fldChar w:fldCharType="end"/>
      </w:r>
      <w:r w:rsidR="00445208">
        <w:t xml:space="preserve"> powyżej, co miało miejsce po</w:t>
      </w:r>
      <w:r w:rsidR="00A2269E">
        <w:t> </w:t>
      </w:r>
      <w:r w:rsidR="00445208">
        <w:t xml:space="preserve">raz pierwszy w historii), postępowanie toczyło się szybko, a wszelkie opóźnienia były wynikiem nadużyć i taktyki przewlekającej postępowanie </w:t>
      </w:r>
      <w:r w:rsidR="00445208">
        <w:lastRenderedPageBreak/>
        <w:t>ze</w:t>
      </w:r>
      <w:r w:rsidR="002D50E5">
        <w:t> </w:t>
      </w:r>
      <w:r w:rsidR="00445208">
        <w:t xml:space="preserve">strony skarżącego, na które to okoliczności zwrócił uwagę sąd krajowy (zob. par. </w:t>
      </w:r>
      <w:r w:rsidR="00445208" w:rsidRPr="00DB5C9E">
        <w:fldChar w:fldCharType="begin"/>
      </w:r>
      <w:r w:rsidR="00445208" w:rsidRPr="00DB5C9E">
        <w:instrText xml:space="preserve">REF paragraph00045 \h \* CharFormat </w:instrText>
      </w:r>
      <w:r w:rsidR="00445208" w:rsidRPr="00DB5C9E">
        <w:fldChar w:fldCharType="separate"/>
      </w:r>
      <w:r w:rsidRPr="00446BA2">
        <w:t>45</w:t>
      </w:r>
      <w:r w:rsidR="00445208" w:rsidRPr="00DB5C9E">
        <w:fldChar w:fldCharType="end"/>
      </w:r>
      <w:r w:rsidR="00445208">
        <w:t xml:space="preserve"> i </w:t>
      </w:r>
      <w:r w:rsidR="00445208" w:rsidRPr="00DB5C9E">
        <w:fldChar w:fldCharType="begin"/>
      </w:r>
      <w:r w:rsidR="00445208" w:rsidRPr="00DB5C9E">
        <w:instrText xml:space="preserve">REF paragraph00049 \h \* CharFormat </w:instrText>
      </w:r>
      <w:r w:rsidR="00445208" w:rsidRPr="00DB5C9E">
        <w:fldChar w:fldCharType="separate"/>
      </w:r>
      <w:r w:rsidRPr="00446BA2">
        <w:t>49</w:t>
      </w:r>
      <w:r w:rsidR="00445208" w:rsidRPr="00DB5C9E">
        <w:fldChar w:fldCharType="end"/>
      </w:r>
      <w:r w:rsidR="00445208">
        <w:t xml:space="preserve"> powyżej).</w:t>
      </w:r>
    </w:p>
    <w:p w14:paraId="378E68A5" w14:textId="77777777" w:rsidR="00F5142C" w:rsidRPr="00DB5C9E" w:rsidRDefault="00446BA2" w:rsidP="00DB5C9E">
      <w:pPr>
        <w:pStyle w:val="JuPara"/>
      </w:pPr>
      <w:fldSimple w:instr=" SEQ level0 \*arabic \* MERGEFORMAT ">
        <w:r>
          <w:rPr>
            <w:noProof/>
          </w:rPr>
          <w:t>131</w:t>
        </w:r>
      </w:fldSimple>
      <w:r w:rsidR="00445208">
        <w:t xml:space="preserve">.  Trybunał powtarza, że właściwy okres, który należy uwzględnić przy ocenie długości postępowania, obejmuje zwykle całość danego postępowania, w tym postępowanie odwoławcze (zob. </w:t>
      </w:r>
      <w:r w:rsidR="00445208">
        <w:rPr>
          <w:i/>
          <w:iCs/>
        </w:rPr>
        <w:t>König przeciwko Niemcom</w:t>
      </w:r>
      <w:r w:rsidR="00445208">
        <w:t xml:space="preserve">, 28 czerwca 1978 r., § 98 </w:t>
      </w:r>
      <w:r w:rsidR="00445208">
        <w:rPr>
          <w:i/>
          <w:iCs/>
        </w:rPr>
        <w:t>in fine</w:t>
      </w:r>
      <w:r w:rsidR="00445208">
        <w:t xml:space="preserve">, Seria A nr 27), aż do decyzji rozstrzygającej spór (zob. </w:t>
      </w:r>
      <w:proofErr w:type="spellStart"/>
      <w:r w:rsidR="00445208">
        <w:rPr>
          <w:i/>
          <w:iCs/>
        </w:rPr>
        <w:t>Gherardi</w:t>
      </w:r>
      <w:proofErr w:type="spellEnd"/>
      <w:r w:rsidR="00445208">
        <w:rPr>
          <w:i/>
          <w:iCs/>
        </w:rPr>
        <w:t xml:space="preserve"> </w:t>
      </w:r>
      <w:proofErr w:type="spellStart"/>
      <w:r w:rsidR="00445208">
        <w:rPr>
          <w:i/>
          <w:iCs/>
        </w:rPr>
        <w:t>Martiri</w:t>
      </w:r>
      <w:proofErr w:type="spellEnd"/>
      <w:r w:rsidR="00445208">
        <w:t>, op. cit., § 124).</w:t>
      </w:r>
    </w:p>
    <w:p w14:paraId="6D514F57" w14:textId="40A6071C" w:rsidR="00F5142C" w:rsidRPr="00DB5C9E" w:rsidRDefault="00DB5C9E" w:rsidP="00DB5C9E">
      <w:pPr>
        <w:pStyle w:val="JuPara"/>
      </w:pPr>
      <w:r w:rsidRPr="00DB5C9E">
        <w:fldChar w:fldCharType="begin"/>
      </w:r>
      <w:r>
        <w:instrText xml:space="preserve"> SEQ level0 \*arabic \* MERGEFORMAT </w:instrText>
      </w:r>
      <w:r w:rsidRPr="00DB5C9E">
        <w:fldChar w:fldCharType="separate"/>
      </w:r>
      <w:r w:rsidR="00446BA2">
        <w:rPr>
          <w:noProof/>
        </w:rPr>
        <w:t>132</w:t>
      </w:r>
      <w:r w:rsidRPr="00DB5C9E">
        <w:fldChar w:fldCharType="end"/>
      </w:r>
      <w:r>
        <w:t xml:space="preserve">.  Zasadność </w:t>
      </w:r>
      <w:r>
        <w:rPr>
          <w:rStyle w:val="text-dark"/>
        </w:rPr>
        <w:t>czasu trwania</w:t>
      </w:r>
      <w:r>
        <w:t xml:space="preserve"> postępowania należy oceniać w świetle okoliczności konkretnej sprawy i w odniesieniu do następujących kryteriów: złożoności sprawy, postępowania skarżącego i właściwych organów oraz tego, jakie znaczenie miał przedmiot sporu dla skarżącego (zob. m.in. </w:t>
      </w:r>
      <w:proofErr w:type="spellStart"/>
      <w:r>
        <w:rPr>
          <w:i/>
        </w:rPr>
        <w:t>Nicolae</w:t>
      </w:r>
      <w:proofErr w:type="spellEnd"/>
      <w:r>
        <w:rPr>
          <w:i/>
        </w:rPr>
        <w:t xml:space="preserve"> </w:t>
      </w:r>
      <w:proofErr w:type="spellStart"/>
      <w:r>
        <w:rPr>
          <w:i/>
        </w:rPr>
        <w:t>Virgiliu</w:t>
      </w:r>
      <w:proofErr w:type="spellEnd"/>
      <w:r>
        <w:rPr>
          <w:i/>
        </w:rPr>
        <w:t xml:space="preserve"> </w:t>
      </w:r>
      <w:proofErr w:type="spellStart"/>
      <w:r>
        <w:rPr>
          <w:i/>
        </w:rPr>
        <w:t>Tănase</w:t>
      </w:r>
      <w:proofErr w:type="spellEnd"/>
      <w:r>
        <w:rPr>
          <w:i/>
        </w:rPr>
        <w:t xml:space="preserve"> przeciwko Rumunii</w:t>
      </w:r>
      <w:r>
        <w:t xml:space="preserve"> [WI], nr 41720/13, § 209, 25 czerwca 2019 r. oraz </w:t>
      </w:r>
      <w:r w:rsidR="002D50E5" w:rsidRPr="00DB5C9E">
        <w:t xml:space="preserve">and </w:t>
      </w:r>
      <w:proofErr w:type="spellStart"/>
      <w:r w:rsidR="002D50E5" w:rsidRPr="00DB5C9E">
        <w:rPr>
          <w:i/>
          <w:iCs/>
        </w:rPr>
        <w:t>Lupeni</w:t>
      </w:r>
      <w:proofErr w:type="spellEnd"/>
      <w:r w:rsidR="002D50E5" w:rsidRPr="00DB5C9E">
        <w:rPr>
          <w:i/>
          <w:iCs/>
        </w:rPr>
        <w:t xml:space="preserve"> Greek </w:t>
      </w:r>
      <w:proofErr w:type="spellStart"/>
      <w:r w:rsidR="002D50E5" w:rsidRPr="00DB5C9E">
        <w:rPr>
          <w:i/>
          <w:iCs/>
        </w:rPr>
        <w:t>Catholic</w:t>
      </w:r>
      <w:proofErr w:type="spellEnd"/>
      <w:r w:rsidR="002D50E5" w:rsidRPr="00DB5C9E">
        <w:rPr>
          <w:i/>
          <w:iCs/>
        </w:rPr>
        <w:t xml:space="preserve"> </w:t>
      </w:r>
      <w:proofErr w:type="spellStart"/>
      <w:r w:rsidR="002D50E5" w:rsidRPr="00DB5C9E">
        <w:rPr>
          <w:i/>
          <w:iCs/>
        </w:rPr>
        <w:t>Parish</w:t>
      </w:r>
      <w:proofErr w:type="spellEnd"/>
      <w:r w:rsidR="002D50E5" w:rsidRPr="00DB5C9E">
        <w:rPr>
          <w:i/>
          <w:iCs/>
        </w:rPr>
        <w:t xml:space="preserve"> </w:t>
      </w:r>
      <w:r>
        <w:rPr>
          <w:i/>
        </w:rPr>
        <w:t xml:space="preserve">i Inni przeciwko Rumunii </w:t>
      </w:r>
      <w:r>
        <w:t>[WI], nr 76943/11, § 143, 29 listopada 2016 r., z dalszymi odniesieniami).</w:t>
      </w:r>
    </w:p>
    <w:p w14:paraId="635DAECB" w14:textId="1B37F61E" w:rsidR="00F5142C" w:rsidRPr="00DB5C9E" w:rsidRDefault="00446BA2" w:rsidP="00DB5C9E">
      <w:pPr>
        <w:pStyle w:val="JuPara"/>
        <w:rPr>
          <w:rFonts w:cstheme="minorHAnsi"/>
        </w:rPr>
      </w:pPr>
      <w:fldSimple w:instr=" SEQ level0 \*arabic \* MERGEFORMAT ">
        <w:r>
          <w:rPr>
            <w:noProof/>
          </w:rPr>
          <w:t>133</w:t>
        </w:r>
      </w:fldSimple>
      <w:r w:rsidR="00445208">
        <w:t>.  Trybunał zauważa, że postępowanie wszczęto w dniu 26 listopada 2020 r., jednakże sędzia podjął je dopiero w dniu 8 czerwca 2021 r. Wyrok sądu pierwszej instancji został wydany w dniu 25 stycznia 2023 r., a</w:t>
      </w:r>
      <w:r w:rsidR="00A2269E">
        <w:t> </w:t>
      </w:r>
      <w:r w:rsidR="00445208">
        <w:t>ostateczny wyrok w postępowaniu odwoławczym – w dniu 9 stycznia 2024</w:t>
      </w:r>
      <w:r w:rsidR="005D2BCE">
        <w:t> </w:t>
      </w:r>
      <w:r w:rsidR="00445208">
        <w:t>r. Postępowanie w dwóch instancjach trwało zatem trzy lata, jeden miesiąc i</w:t>
      </w:r>
      <w:r w:rsidR="00A2269E">
        <w:t> </w:t>
      </w:r>
      <w:r w:rsidR="00445208">
        <w:t>dwa tygodnie.</w:t>
      </w:r>
    </w:p>
    <w:p w14:paraId="1C079B0F" w14:textId="4E05F747" w:rsidR="00F5142C" w:rsidRPr="00DB5C9E" w:rsidRDefault="00445208" w:rsidP="00DB5C9E">
      <w:pPr>
        <w:pStyle w:val="JuPara"/>
        <w:rPr>
          <w:rFonts w:cstheme="minorHAnsi"/>
        </w:rPr>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00446BA2">
        <w:rPr>
          <w:rFonts w:cstheme="minorHAnsi"/>
          <w:noProof/>
        </w:rPr>
        <w:t>134</w:t>
      </w:r>
      <w:r w:rsidRPr="00DB5C9E">
        <w:rPr>
          <w:rFonts w:cstheme="minorHAnsi"/>
        </w:rPr>
        <w:fldChar w:fldCharType="end"/>
      </w:r>
      <w:r>
        <w:t>.  Trybunał zauważa, że początkowe opóźnienie w rozpoczęciu rozpoznawania sprawy, trwające nieco ponad sześć miesięcy, było spowodowane wyjątkową okolicznością – wszyscy sędziowie w kraju mieli konflikt interesów uniemożliwiający im rozpoznanie sprawy. Poza tym początkowym okresem Trybunał nie jest zdania, jakoby wystąpił jakikolwiek okres bezczynności. Ponadto skarżący podnosił wiele argumentów i składał liczne wnioski; wszystkimi należało się zająć, mimo że nie zawsze były one całkowicie spójne lub jasne, a z pewnością nie były zwięzłe. Nie tracąc z pola widzenia tego, jakie znaczenie miało postępowanie dla skarżącego, mając na</w:t>
      </w:r>
      <w:r w:rsidR="00A2269E">
        <w:t> </w:t>
      </w:r>
      <w:r>
        <w:t xml:space="preserve">uwadze inne kryteria istotne dla tej oceny, w tym złożoność niektórych zagadnień wstępnych, takich jak właściwość sędziego do rozpoznania sprawy (ustawa konstytucyjna nr 2/2020, zob. par. </w:t>
      </w:r>
      <w:r w:rsidRPr="00DB5C9E">
        <w:rPr>
          <w:rFonts w:cstheme="minorHAnsi"/>
        </w:rPr>
        <w:fldChar w:fldCharType="begin"/>
      </w:r>
      <w:r w:rsidRPr="00DB5C9E">
        <w:rPr>
          <w:rFonts w:cstheme="minorHAnsi"/>
        </w:rPr>
        <w:instrText xml:space="preserve">REF paragraph00055 \h \* CharFormat </w:instrText>
      </w:r>
      <w:r w:rsidRPr="00DB5C9E">
        <w:rPr>
          <w:rFonts w:cstheme="minorHAnsi"/>
        </w:rPr>
      </w:r>
      <w:r w:rsidRPr="00DB5C9E">
        <w:rPr>
          <w:rFonts w:cstheme="minorHAnsi"/>
        </w:rPr>
        <w:fldChar w:fldCharType="separate"/>
      </w:r>
      <w:r w:rsidR="00446BA2" w:rsidRPr="00446BA2">
        <w:rPr>
          <w:rFonts w:cstheme="minorHAnsi"/>
        </w:rPr>
        <w:t>55</w:t>
      </w:r>
      <w:r w:rsidRPr="00DB5C9E">
        <w:rPr>
          <w:rFonts w:cstheme="minorHAnsi"/>
        </w:rPr>
        <w:fldChar w:fldCharType="end"/>
      </w:r>
      <w:r>
        <w:t xml:space="preserve"> powyżej), Trybunał uważa, że</w:t>
      </w:r>
      <w:r w:rsidR="00A2269E">
        <w:t> </w:t>
      </w:r>
      <w:r>
        <w:t>postępowanie przeprowadzono w rozsądnym terminie.</w:t>
      </w:r>
    </w:p>
    <w:p w14:paraId="6AD444D8" w14:textId="6339C587" w:rsidR="00F5142C" w:rsidRPr="00DB5C9E" w:rsidRDefault="00445208" w:rsidP="00DB5C9E">
      <w:pPr>
        <w:pStyle w:val="JuPara"/>
      </w:pPr>
      <w:r w:rsidRPr="00DB5C9E">
        <w:rPr>
          <w:rFonts w:cstheme="minorHAnsi"/>
        </w:rPr>
        <w:fldChar w:fldCharType="begin"/>
      </w:r>
      <w:r w:rsidRPr="00DB5C9E">
        <w:rPr>
          <w:rFonts w:cstheme="minorHAnsi"/>
        </w:rPr>
        <w:instrText xml:space="preserve"> SEQ level0 \*arabic \* MERGEFORMAT </w:instrText>
      </w:r>
      <w:r w:rsidRPr="00DB5C9E">
        <w:rPr>
          <w:rFonts w:cstheme="minorHAnsi"/>
        </w:rPr>
        <w:fldChar w:fldCharType="separate"/>
      </w:r>
      <w:r w:rsidR="00446BA2">
        <w:rPr>
          <w:rFonts w:cstheme="minorHAnsi"/>
          <w:noProof/>
        </w:rPr>
        <w:t>135</w:t>
      </w:r>
      <w:r w:rsidRPr="00DB5C9E">
        <w:rPr>
          <w:rFonts w:cstheme="minorHAnsi"/>
        </w:rPr>
        <w:fldChar w:fldCharType="end"/>
      </w:r>
      <w:r>
        <w:t>.  W związku z powyższym nie doszło do naruszenia art. 6 ust. 1 w</w:t>
      </w:r>
      <w:r w:rsidR="00A2269E">
        <w:t> </w:t>
      </w:r>
      <w:r>
        <w:t>odniesieniu do przewlekłości postępowania.</w:t>
      </w:r>
    </w:p>
    <w:p w14:paraId="6C620DB9" w14:textId="77777777" w:rsidR="00F5142C" w:rsidRPr="00DB5C9E" w:rsidRDefault="00445208" w:rsidP="00DB5C9E">
      <w:pPr>
        <w:pStyle w:val="JuHIRoman"/>
      </w:pPr>
      <w:r>
        <w:t>ZARZUCANE NARUSZENIE ART. 8 KONWENCJI</w:t>
      </w:r>
    </w:p>
    <w:p w14:paraId="08B56AC5" w14:textId="6DE587FF" w:rsidR="00F5142C" w:rsidRPr="00DB5C9E" w:rsidRDefault="00446BA2" w:rsidP="00DB5C9E">
      <w:pPr>
        <w:pStyle w:val="JuPara"/>
      </w:pPr>
      <w:fldSimple w:instr=" SEQ level0 \*arabic \* MERGEFORMAT ">
        <w:r>
          <w:rPr>
            <w:noProof/>
          </w:rPr>
          <w:t>136</w:t>
        </w:r>
      </w:fldSimple>
      <w:r w:rsidR="00445208">
        <w:t>.  Skarżący zarzucił, że stwierdzenie nieważności jego powołania na</w:t>
      </w:r>
      <w:r w:rsidR="00A2269E">
        <w:t> </w:t>
      </w:r>
      <w:r w:rsidR="00445208">
        <w:t>stanowisko sędziego pierwszej instancji stanowiło ingerencję w jego życie prywatne, która nie była zgodna z tym, co przewiduje art. 8 Konwencji, brzmiący następująco:</w:t>
      </w:r>
    </w:p>
    <w:p w14:paraId="32CDC515" w14:textId="77777777" w:rsidR="00F5142C" w:rsidRPr="00DB5C9E" w:rsidRDefault="00445208" w:rsidP="00DB5C9E">
      <w:pPr>
        <w:pStyle w:val="JuQuot"/>
      </w:pPr>
      <w:r>
        <w:t>„1.  Każdy ma prawo do poszanowania swojego życia prywatnego i rodzinnego, swojego mieszkania i swojej korespondencji.</w:t>
      </w:r>
    </w:p>
    <w:p w14:paraId="1B0E9557" w14:textId="77777777" w:rsidR="00F5142C" w:rsidRPr="00DB5C9E" w:rsidRDefault="00445208" w:rsidP="00DB5C9E">
      <w:pPr>
        <w:pStyle w:val="JuQuot"/>
      </w:pPr>
      <w:r>
        <w:lastRenderedPageBreak/>
        <w:t>2.  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osób.”</w:t>
      </w:r>
    </w:p>
    <w:p w14:paraId="1983F4DD" w14:textId="77777777" w:rsidR="00F5142C" w:rsidRPr="00DB5C9E" w:rsidRDefault="00445208" w:rsidP="00DB5C9E">
      <w:pPr>
        <w:pStyle w:val="JuHA"/>
        <w:numPr>
          <w:ilvl w:val="2"/>
          <w:numId w:val="1"/>
        </w:numPr>
        <w:ind w:left="584" w:hanging="352"/>
      </w:pPr>
      <w:r>
        <w:t>Dopuszczalność</w:t>
      </w:r>
    </w:p>
    <w:p w14:paraId="765575FC" w14:textId="77777777" w:rsidR="00F5142C" w:rsidRPr="00DB5C9E" w:rsidRDefault="00445208" w:rsidP="00DB5C9E">
      <w:pPr>
        <w:pStyle w:val="JuH1"/>
      </w:pPr>
      <w:r>
        <w:t>Stanowiska stron</w:t>
      </w:r>
    </w:p>
    <w:p w14:paraId="479C2B20" w14:textId="77777777" w:rsidR="00F5142C" w:rsidRPr="00DB5C9E" w:rsidRDefault="00445208" w:rsidP="00DB5C9E">
      <w:pPr>
        <w:pStyle w:val="JuHa0"/>
      </w:pPr>
      <w:r>
        <w:t>Rząd</w:t>
      </w:r>
    </w:p>
    <w:p w14:paraId="4D2F37BA" w14:textId="18DF013C" w:rsidR="00F5142C" w:rsidRPr="00DB5C9E" w:rsidRDefault="00446BA2" w:rsidP="00DB5C9E">
      <w:pPr>
        <w:pStyle w:val="JuPara"/>
        <w:rPr>
          <w:rFonts w:ascii="Times New Roman" w:eastAsia="Times New Roman" w:hAnsi="Times New Roman" w:cs="Times New Roman"/>
        </w:rPr>
      </w:pPr>
      <w:fldSimple w:instr=" SEQ level0 \*arabic \* MERGEFORMAT ">
        <w:r>
          <w:rPr>
            <w:noProof/>
          </w:rPr>
          <w:t>137</w:t>
        </w:r>
      </w:fldSimple>
      <w:r w:rsidR="00445208">
        <w:t>.  Rząd podniósł, że przepis ten nie miał zastosowania, ponieważ decyzja o stwierdzeniu nieważności powołania skarżącego nie była oparta na przesłankach osobistych lub zawodowych. Rząd zauważył, że powołanie skarżącego nie było ostateczne, ponieważ zostało zakwestionowane przez X</w:t>
      </w:r>
      <w:r w:rsidR="00A2269E">
        <w:t> </w:t>
      </w:r>
      <w:r w:rsidR="00445208">
        <w:t>i</w:t>
      </w:r>
      <w:r w:rsidR="00A2269E">
        <w:t> </w:t>
      </w:r>
      <w:r w:rsidR="00445208">
        <w:t>Y w świetle uchybień w procedurze powołania, w związku z czym skarżący nie miał prawa podmiotowego do zachowania swojego stanowiska.</w:t>
      </w:r>
      <w:r w:rsidR="00445208">
        <w:rPr>
          <w:rFonts w:ascii="Times New Roman" w:hAnsi="Times New Roman"/>
        </w:rPr>
        <w:t xml:space="preserve"> </w:t>
      </w:r>
      <w:r w:rsidR="00445208">
        <w:t>Ponadto skarżący nie wykazał – ani przed Trybunałem, ani przed sądami krajowymi – że decyzja ta wpłynęła na jego „wewnętrzny krąg” w stopniu, który sprawiałby, że przepis ten ma zastosowanie, ani w odniesieniu do</w:t>
      </w:r>
      <w:r w:rsidR="00A2269E">
        <w:t> </w:t>
      </w:r>
      <w:r w:rsidR="00445208">
        <w:t>jakichkolwiek szkód majątkowych, ani w odniesieniu do utrzymywania relacji międzyludzkich.</w:t>
      </w:r>
      <w:r w:rsidR="00445208">
        <w:rPr>
          <w:rFonts w:ascii="Times New Roman" w:hAnsi="Times New Roman"/>
        </w:rPr>
        <w:t xml:space="preserve"> Rząd zauważył, że skarżący zachował stanowisko </w:t>
      </w:r>
      <w:r w:rsidR="00072808">
        <w:rPr>
          <w:rFonts w:ascii="Times New Roman" w:hAnsi="Times New Roman"/>
        </w:rPr>
        <w:t xml:space="preserve">UD </w:t>
      </w:r>
      <w:r w:rsidR="00445208">
        <w:rPr>
          <w:rFonts w:ascii="Times New Roman" w:hAnsi="Times New Roman"/>
        </w:rPr>
        <w:t>(które zajmował przez dziesięć lat, w przeciwieństwie do</w:t>
      </w:r>
      <w:r w:rsidR="00A2269E">
        <w:rPr>
          <w:rFonts w:ascii="Times New Roman" w:hAnsi="Times New Roman"/>
        </w:rPr>
        <w:t> </w:t>
      </w:r>
      <w:r w:rsidR="00445208">
        <w:rPr>
          <w:rFonts w:ascii="Times New Roman" w:hAnsi="Times New Roman"/>
        </w:rPr>
        <w:t xml:space="preserve">osiemnastu miesięcy, podczas których sprawował funkcję </w:t>
      </w:r>
      <w:proofErr w:type="spellStart"/>
      <w:r w:rsidR="0039198B">
        <w:rPr>
          <w:rFonts w:ascii="Times New Roman" w:hAnsi="Times New Roman"/>
        </w:rPr>
        <w:t>CoL</w:t>
      </w:r>
      <w:proofErr w:type="spellEnd"/>
      <w:r w:rsidR="0039198B">
        <w:rPr>
          <w:rFonts w:ascii="Times New Roman" w:hAnsi="Times New Roman"/>
        </w:rPr>
        <w:t xml:space="preserve"> </w:t>
      </w:r>
      <w:r w:rsidR="00445208">
        <w:rPr>
          <w:rFonts w:ascii="Times New Roman" w:hAnsi="Times New Roman"/>
        </w:rPr>
        <w:t>i nadal pracował w tym samym sądzie wraz ze swoimi współpracownikami oraz rozwijał relacje w sferze zawodowej. Skarżący mógł również ponownie ubiegać się o takie stanowisko (podobnie jak inni, w</w:t>
      </w:r>
      <w:r w:rsidR="00A2269E">
        <w:rPr>
          <w:rFonts w:ascii="Times New Roman" w:hAnsi="Times New Roman"/>
        </w:rPr>
        <w:t> </w:t>
      </w:r>
      <w:r w:rsidR="00445208">
        <w:rPr>
          <w:rFonts w:ascii="Times New Roman" w:hAnsi="Times New Roman"/>
        </w:rPr>
        <w:t xml:space="preserve">odniesieniu do których stwierdzono nieważność powołania) i nie poniósł żadnych poważnych lub </w:t>
      </w:r>
      <w:proofErr w:type="spellStart"/>
      <w:r w:rsidR="00445208">
        <w:rPr>
          <w:rFonts w:ascii="Times New Roman" w:hAnsi="Times New Roman"/>
        </w:rPr>
        <w:t>reputacyjnych</w:t>
      </w:r>
      <w:proofErr w:type="spellEnd"/>
      <w:r w:rsidR="00445208">
        <w:rPr>
          <w:rFonts w:ascii="Times New Roman" w:hAnsi="Times New Roman"/>
        </w:rPr>
        <w:t xml:space="preserve"> konsekwencji w wyniku relacji medialnych dotyczących tej decyzji, w których słusznie wskazywano, że</w:t>
      </w:r>
      <w:r w:rsidR="00A2269E">
        <w:rPr>
          <w:rFonts w:ascii="Times New Roman" w:hAnsi="Times New Roman"/>
        </w:rPr>
        <w:t> </w:t>
      </w:r>
      <w:r w:rsidR="00445208">
        <w:rPr>
          <w:rFonts w:ascii="Times New Roman" w:hAnsi="Times New Roman"/>
        </w:rPr>
        <w:t>podjęto ją z przyczyn proceduralnych.</w:t>
      </w:r>
    </w:p>
    <w:p w14:paraId="2779B0E4" w14:textId="77777777" w:rsidR="00F5142C" w:rsidRPr="00DB5C9E" w:rsidRDefault="00445208" w:rsidP="00DB5C9E">
      <w:pPr>
        <w:pStyle w:val="JuHa0"/>
      </w:pPr>
      <w:r>
        <w:t>Skarżący</w:t>
      </w:r>
    </w:p>
    <w:p w14:paraId="0283D7E6" w14:textId="77777777" w:rsidR="00F5142C" w:rsidRPr="00DB5C9E" w:rsidRDefault="00446BA2" w:rsidP="00DB5C9E">
      <w:pPr>
        <w:pStyle w:val="JuPara"/>
        <w:rPr>
          <w:rFonts w:ascii="Times New Roman" w:hAnsi="Times New Roman" w:cs="Times New Roman"/>
        </w:rPr>
      </w:pPr>
      <w:fldSimple w:instr=" SEQ level0 \*arabic \* MERGEFORMAT ">
        <w:r>
          <w:rPr>
            <w:noProof/>
          </w:rPr>
          <w:t>138</w:t>
        </w:r>
      </w:fldSimple>
      <w:r w:rsidR="00445208">
        <w:t>.  Zdaniem skarżącego przepis ten ma zastosowanie, opierając się zarówno na „podejściu przyczynowym” w zakresie, w jakim skarżący krytykował uchwalenie ustawy nr 1/2020, jak i na „podejściu skutkowym”.</w:t>
      </w:r>
    </w:p>
    <w:bookmarkStart w:id="59" w:name="paragraph00142"/>
    <w:p w14:paraId="16FE4775" w14:textId="5157CB43" w:rsidR="00F5142C" w:rsidRPr="00DB5C9E" w:rsidRDefault="00445208" w:rsidP="00DB5C9E">
      <w:pPr>
        <w:pStyle w:val="JuPara"/>
        <w:rPr>
          <w:rFonts w:ascii="Times New Roman" w:hAnsi="Times New Roman" w:cs="Times New Roman"/>
        </w:rPr>
      </w:pPr>
      <w:r w:rsidRPr="00DB5C9E">
        <w:rPr>
          <w:rFonts w:ascii="Times New Roman" w:hAnsi="Times New Roman" w:cs="Times New Roman"/>
        </w:rPr>
        <w:fldChar w:fldCharType="begin"/>
      </w:r>
      <w:r w:rsidRPr="00DB5C9E">
        <w:rPr>
          <w:rFonts w:ascii="Times New Roman" w:hAnsi="Times New Roman" w:cs="Times New Roman"/>
        </w:rPr>
        <w:instrText xml:space="preserve"> SEQ level0 \*arabic \* MERGEFORMAT </w:instrText>
      </w:r>
      <w:r w:rsidRPr="00DB5C9E">
        <w:rPr>
          <w:rFonts w:ascii="Times New Roman" w:hAnsi="Times New Roman" w:cs="Times New Roman"/>
        </w:rPr>
        <w:fldChar w:fldCharType="separate"/>
      </w:r>
      <w:r w:rsidR="00446BA2">
        <w:rPr>
          <w:rFonts w:ascii="Times New Roman" w:hAnsi="Times New Roman" w:cs="Times New Roman"/>
          <w:noProof/>
        </w:rPr>
        <w:t>139</w:t>
      </w:r>
      <w:r w:rsidRPr="00DB5C9E">
        <w:rPr>
          <w:rFonts w:ascii="Times New Roman" w:hAnsi="Times New Roman" w:cs="Times New Roman"/>
        </w:rPr>
        <w:fldChar w:fldCharType="end"/>
      </w:r>
      <w:bookmarkEnd w:id="59"/>
      <w:r>
        <w:rPr>
          <w:rFonts w:ascii="Times New Roman" w:hAnsi="Times New Roman"/>
        </w:rPr>
        <w:t>.  W związku z tym drugim podejściem skarżący zauważył, że środek ten nadal pociągał za sobą poważne i utrzymujące się konsekwencje w jego życiu prywatnym, począwszy od utraty zarobków, która jego zdaniem była znacząca (skarżący powołuje się na swoje zeznania podatkowe i paski wynagrodzeń, z których, według obliczeń Trybunału, wynika różnica w</w:t>
      </w:r>
      <w:r w:rsidR="00446732">
        <w:rPr>
          <w:rFonts w:ascii="Times New Roman" w:hAnsi="Times New Roman"/>
        </w:rPr>
        <w:t> </w:t>
      </w:r>
      <w:r>
        <w:rPr>
          <w:rFonts w:ascii="Times New Roman" w:hAnsi="Times New Roman"/>
        </w:rPr>
        <w:t>wynagrodzeniu miesięcznym wynosząca około 3.000 EUR) i która spowodowała, że zaniedbał potrzeby swojej rodziny, nieuchronnie wpływając na finanse gospodarstwa domowego oraz wybory edukacyjne i</w:t>
      </w:r>
      <w:r w:rsidR="00446732">
        <w:rPr>
          <w:rFonts w:ascii="Times New Roman" w:hAnsi="Times New Roman"/>
        </w:rPr>
        <w:t> </w:t>
      </w:r>
      <w:r>
        <w:rPr>
          <w:rFonts w:ascii="Times New Roman" w:hAnsi="Times New Roman"/>
        </w:rPr>
        <w:t xml:space="preserve">zawodowe jego czwórki dzieci. Kwestii tej nie mógł rozwinąć przed sądami </w:t>
      </w:r>
      <w:r>
        <w:rPr>
          <w:rFonts w:ascii="Times New Roman" w:hAnsi="Times New Roman"/>
        </w:rPr>
        <w:lastRenderedPageBreak/>
        <w:t>administracyjnymi z uwagi na ich ograniczoną właściwość w sprawach pracowniczych, a wniosek o skierowanie sprawy do Trybunału Konstytucyjnego w celu jej rozstrzygnięcia został odrzucony.</w:t>
      </w:r>
      <w:r>
        <w:rPr>
          <w:rFonts w:ascii="Times New Roman" w:hAnsi="Times New Roman"/>
          <w:b/>
        </w:rPr>
        <w:t xml:space="preserve"> </w:t>
      </w:r>
      <w:r>
        <w:rPr>
          <w:rFonts w:ascii="Times New Roman" w:hAnsi="Times New Roman"/>
        </w:rPr>
        <w:t>Ponadto skarżący poniósł koszty związane z prowadzeniem powiązanych postępowań.</w:t>
      </w:r>
    </w:p>
    <w:p w14:paraId="34081020" w14:textId="3E3F1BC3" w:rsidR="00F5142C" w:rsidRPr="00DB5C9E" w:rsidRDefault="00445208" w:rsidP="00DB5C9E">
      <w:pPr>
        <w:pStyle w:val="JuPara"/>
        <w:rPr>
          <w:rFonts w:ascii="Times New Roman" w:hAnsi="Times New Roman" w:cs="Times New Roman"/>
        </w:rPr>
      </w:pPr>
      <w:r w:rsidRPr="00DB5C9E">
        <w:rPr>
          <w:rFonts w:ascii="Times New Roman" w:hAnsi="Times New Roman" w:cs="Times New Roman"/>
        </w:rPr>
        <w:fldChar w:fldCharType="begin"/>
      </w:r>
      <w:r w:rsidRPr="00DB5C9E">
        <w:rPr>
          <w:rFonts w:ascii="Times New Roman" w:hAnsi="Times New Roman" w:cs="Times New Roman"/>
        </w:rPr>
        <w:instrText xml:space="preserve"> SEQ level0 \*arabic \* MERGEFORMAT </w:instrText>
      </w:r>
      <w:r w:rsidRPr="00DB5C9E">
        <w:rPr>
          <w:rFonts w:ascii="Times New Roman" w:hAnsi="Times New Roman" w:cs="Times New Roman"/>
        </w:rPr>
        <w:fldChar w:fldCharType="separate"/>
      </w:r>
      <w:r w:rsidR="00446BA2">
        <w:rPr>
          <w:rFonts w:ascii="Times New Roman" w:hAnsi="Times New Roman" w:cs="Times New Roman"/>
          <w:noProof/>
        </w:rPr>
        <w:t>140</w:t>
      </w:r>
      <w:r w:rsidRPr="00DB5C9E">
        <w:rPr>
          <w:rFonts w:ascii="Times New Roman" w:hAnsi="Times New Roman" w:cs="Times New Roman"/>
        </w:rPr>
        <w:fldChar w:fldCharType="end"/>
      </w:r>
      <w:r>
        <w:rPr>
          <w:rFonts w:ascii="Times New Roman" w:hAnsi="Times New Roman"/>
        </w:rPr>
        <w:t>.  Środek wpłynął także na szereg jego relacji zawodowych – przykładowo skarżący utracił prawo do uczestnictwa w organie zarządzającym sądownictwem, a następnie (po reformie) bierne i czynne prawo wyborcze w wyborach członków Rady Sądownictwa będących sędziami; nie mógł brać udziału w procedurach naboru na stanowiska kierownicze i delegacje w sądzie; jego kariera zawodowa była „wstrzymana” od tego czasu, pomimo innych wewnętrznych procedur naboru, w których bezskutecznie próbował uczestniczyć. Skarżący odniósł się również do</w:t>
      </w:r>
      <w:r w:rsidR="00446732">
        <w:rPr>
          <w:rFonts w:ascii="Times New Roman" w:hAnsi="Times New Roman"/>
        </w:rPr>
        <w:t> </w:t>
      </w:r>
      <w:r>
        <w:rPr>
          <w:rFonts w:ascii="Times New Roman" w:hAnsi="Times New Roman"/>
        </w:rPr>
        <w:t>postępowania dyscyplinarnego, które wszczęto później przeciwko niemu. Uznał, że w małym kraju, w którym łącznie przedstawicieli sądownictwa jest zaledwie trzydzieścioro, konsekwencje w zakresie zawodowego prestiżu były niezwykle poważne, wiążące się z oczywistymi reperkusjami dla jego dobrego imienia, relacji zawodowych, a także życia społecznego i</w:t>
      </w:r>
      <w:r w:rsidR="00446732">
        <w:rPr>
          <w:rFonts w:ascii="Times New Roman" w:hAnsi="Times New Roman"/>
        </w:rPr>
        <w:t> </w:t>
      </w:r>
      <w:r>
        <w:rPr>
          <w:rFonts w:ascii="Times New Roman" w:hAnsi="Times New Roman"/>
        </w:rPr>
        <w:t xml:space="preserve">rodzinnego. Faktycznie Rząd podkreślił znacznie niższą rangę </w:t>
      </w:r>
      <w:r w:rsidR="00072808">
        <w:rPr>
          <w:rFonts w:ascii="Times New Roman" w:hAnsi="Times New Roman"/>
        </w:rPr>
        <w:t>UD</w:t>
      </w:r>
      <w:r>
        <w:rPr>
          <w:rFonts w:ascii="Times New Roman" w:hAnsi="Times New Roman"/>
        </w:rPr>
        <w:t>, tym samym przyjmując w sposób dorozumiany, że środek ten głęboko wpłynął na zasadniczą sferę działalności zawodowej skarżącego, przekraczając jakikolwiek uzasadniony próg dotkliwości w orzecznictwie Trybunału.</w:t>
      </w:r>
    </w:p>
    <w:p w14:paraId="345F6415" w14:textId="628B7188" w:rsidR="00F5142C" w:rsidRPr="00DB5C9E" w:rsidRDefault="00BF6A7A" w:rsidP="00DB5C9E">
      <w:pPr>
        <w:pStyle w:val="JuH1"/>
      </w:pPr>
      <w:r>
        <w:t>Ocena Trybunału</w:t>
      </w:r>
    </w:p>
    <w:p w14:paraId="4A8F45E8" w14:textId="77777777" w:rsidR="00F5142C" w:rsidRPr="00DB5C9E" w:rsidRDefault="00445208" w:rsidP="00DB5C9E">
      <w:pPr>
        <w:pStyle w:val="JuHa0"/>
      </w:pPr>
      <w:r>
        <w:t>Zasady ogólne</w:t>
      </w:r>
    </w:p>
    <w:p w14:paraId="57BBCFE2" w14:textId="4CE98F79" w:rsidR="00F5142C" w:rsidRPr="00DB5C9E" w:rsidRDefault="00446BA2" w:rsidP="00DB5C9E">
      <w:pPr>
        <w:pStyle w:val="JuPara"/>
      </w:pPr>
      <w:fldSimple w:instr=" SEQ level0 \*arabic \* MERGEFORMAT ">
        <w:r>
          <w:rPr>
            <w:noProof/>
          </w:rPr>
          <w:t>141</w:t>
        </w:r>
      </w:fldSimple>
      <w:r w:rsidR="00445208">
        <w:t xml:space="preserve">.  Wprawdzie z art. 8 nie można wywodzić prawa do zatrudnienia w ujęciu ogólnym, prawa dostępu do służby cywilnej ani prawa do wyboru określonego zawodu, jednak pojęcie „życia prywatnego” nie wyklucza z zasady działalności o charakterze zawodowym lub biznesowym. To właśnie w ramach życia zawodowego większość ludzi ma możliwość nawiązywania relacji ze światem zewnętrznym. Życie zawodowe stanowi zatem część sfery interakcji osoby z innymi osobami, która nawet w kontekście publicznym może w określonych okolicznościach wchodzić w zakres „życia prywatnego” (zob. </w:t>
      </w:r>
      <w:proofErr w:type="spellStart"/>
      <w:r w:rsidR="00445208">
        <w:rPr>
          <w:i/>
          <w:iCs/>
        </w:rPr>
        <w:t>Denisov</w:t>
      </w:r>
      <w:proofErr w:type="spellEnd"/>
      <w:r w:rsidR="00445208">
        <w:t>, op. cit., § 100).</w:t>
      </w:r>
    </w:p>
    <w:p w14:paraId="5B22E83E" w14:textId="75A14249" w:rsidR="00F5142C" w:rsidRPr="00DB5C9E" w:rsidRDefault="00446BA2" w:rsidP="00DB5C9E">
      <w:pPr>
        <w:pStyle w:val="JuPara"/>
      </w:pPr>
      <w:fldSimple w:instr=" SEQ level0 \*arabic \* MERGEFORMAT ">
        <w:r>
          <w:rPr>
            <w:noProof/>
          </w:rPr>
          <w:t>142</w:t>
        </w:r>
      </w:fldSimple>
      <w:r w:rsidR="00445208">
        <w:t xml:space="preserve">.  Spory dotyczące zatrudnienia nie są z założenia wyłączone z zakresu „życia prywatnego” w rozumieniu art. 8 Konwencji. Istnieją pewne typowe aspekty życia prywatnego, które mogą zostać naruszone w takich sporach przez zwolnienie, degradację, niedopuszczenie do zawodu lub inne podobnie niekorzystne środki. Do aspektów tych należą: i) „wewnętrzny krąg” skarżącego, ii) możliwość nawiązywania i utrzymywania przez skarżącego relacji z innymi osobami oraz iii) społeczna i zawodowa reputacja skarżącego. W takim sporze kwestia życia prywatnego może pojawić się na dwa sposoby: albo z powodu przyczyn leżących u podstaw zaskarżonego </w:t>
      </w:r>
      <w:r w:rsidR="00445208">
        <w:lastRenderedPageBreak/>
        <w:t xml:space="preserve">środka (w takim przypadku Trybunał stosuje podejście przyczynowe), albo – w niektórych przypadkach – z powodu konsekwencji dla życia prywatnego (w takim przypadku Trybunał stosuje podejście skutkowe) (zob. </w:t>
      </w:r>
      <w:proofErr w:type="spellStart"/>
      <w:r w:rsidR="00445208">
        <w:rPr>
          <w:i/>
          <w:iCs/>
        </w:rPr>
        <w:t>Denisov</w:t>
      </w:r>
      <w:proofErr w:type="spellEnd"/>
      <w:r w:rsidR="00445208">
        <w:t>, op.</w:t>
      </w:r>
      <w:r w:rsidR="00446732">
        <w:t> </w:t>
      </w:r>
      <w:r w:rsidR="00445208">
        <w:t>cit., § 115).</w:t>
      </w:r>
    </w:p>
    <w:p w14:paraId="653475E0" w14:textId="77CCF101" w:rsidR="00F5142C" w:rsidRPr="00DB5C9E" w:rsidRDefault="00446BA2" w:rsidP="00DB5C9E">
      <w:pPr>
        <w:pStyle w:val="JuPara"/>
      </w:pPr>
      <w:fldSimple w:instr=" SEQ level0 \*arabic \* MERGEFORMAT ">
        <w:r>
          <w:rPr>
            <w:noProof/>
          </w:rPr>
          <w:t>143</w:t>
        </w:r>
      </w:fldSimple>
      <w:r w:rsidR="00445208">
        <w:t>.  W przypadku podejścia skutkowego próg dotkliwości wszystkich wspomnianych powyżej aspektów nabiera zasadniczego znaczenia. To</w:t>
      </w:r>
      <w:r w:rsidR="00446732">
        <w:t> </w:t>
      </w:r>
      <w:r w:rsidR="00445208">
        <w:t>na</w:t>
      </w:r>
      <w:r w:rsidR="00446732">
        <w:t> </w:t>
      </w:r>
      <w:r w:rsidR="00445208">
        <w:t>skarżącym spoczywa ciężar wykazania w sposób przekonujący, że</w:t>
      </w:r>
      <w:r w:rsidR="00446732">
        <w:t> </w:t>
      </w:r>
      <w:r w:rsidR="00445208">
        <w:t>w</w:t>
      </w:r>
      <w:r w:rsidR="00446732">
        <w:t> </w:t>
      </w:r>
      <w:r w:rsidR="00445208">
        <w:t xml:space="preserve">jego sprawie próg ten został osiągnięty. Skarżący ma obowiązek przedstawić dowody potwierdzające konsekwencje zaskarżonego środka. Trybunał przyjmie możliwość zastosowania art. 8 wyłącznie wówczas, gdy konsekwencje te są bardzo poważne i wpływają na życie prywatne skarżącego w bardzo znacznym stopniu (ibid., § 116, oraz </w:t>
      </w:r>
      <w:proofErr w:type="spellStart"/>
      <w:r w:rsidR="00445208">
        <w:rPr>
          <w:i/>
          <w:iCs/>
        </w:rPr>
        <w:t>Gumenyuk</w:t>
      </w:r>
      <w:proofErr w:type="spellEnd"/>
      <w:r w:rsidR="00445208">
        <w:rPr>
          <w:i/>
          <w:iCs/>
        </w:rPr>
        <w:t xml:space="preserve"> i Inni przeciwko Ukrainie</w:t>
      </w:r>
      <w:r w:rsidR="00445208">
        <w:t>, nr 11423/19, § 86, 22 lipca 2021 r.).</w:t>
      </w:r>
    </w:p>
    <w:p w14:paraId="289B0D09" w14:textId="77777777" w:rsidR="00F5142C" w:rsidRPr="00DB5C9E" w:rsidRDefault="00445208" w:rsidP="00DB5C9E">
      <w:pPr>
        <w:pStyle w:val="JuHa0"/>
        <w:numPr>
          <w:ilvl w:val="4"/>
          <w:numId w:val="2"/>
        </w:numPr>
      </w:pPr>
      <w:r>
        <w:t>Zastosowanie ogólnych zasad w niniejszej sprawie</w:t>
      </w:r>
    </w:p>
    <w:p w14:paraId="5F4FD302" w14:textId="77777777" w:rsidR="00F5142C" w:rsidRPr="00DB5C9E" w:rsidRDefault="00446BA2" w:rsidP="00DB5C9E">
      <w:pPr>
        <w:pStyle w:val="JuPara"/>
      </w:pPr>
      <w:fldSimple w:instr=" SEQ level0 \*arabic \* MERGEFORMAT ">
        <w:r>
          <w:rPr>
            <w:noProof/>
          </w:rPr>
          <w:t>144</w:t>
        </w:r>
      </w:fldSimple>
      <w:r w:rsidR="00445208">
        <w:t>.  W niniejszej sprawie decyzja CGP z dnia 28 września 2020 r., będąca konsekwencją zmian legislacyjnych w 2020 r., skutkowała niemożnością dalszego sprawowania funkcji sędziowskich przez skarżącego jako sędziego pierwszej instancji.</w:t>
      </w:r>
    </w:p>
    <w:p w14:paraId="145ECB2C" w14:textId="77777777" w:rsidR="00F5142C" w:rsidRPr="00DB5C9E" w:rsidRDefault="00446BA2" w:rsidP="00DB5C9E">
      <w:pPr>
        <w:pStyle w:val="JuPara"/>
        <w:rPr>
          <w:rFonts w:ascii="Times New Roman" w:hAnsi="Times New Roman" w:cs="Times New Roman"/>
        </w:rPr>
      </w:pPr>
      <w:fldSimple w:instr=" SEQ level0 \*arabic \* MERGEFORMAT ">
        <w:r>
          <w:rPr>
            <w:noProof/>
          </w:rPr>
          <w:t>145</w:t>
        </w:r>
      </w:fldSimple>
      <w:r w:rsidR="00445208">
        <w:t>.  Ponieważ nic nie wskazuje na to, że powodem tej decyzji było potępienie przez skarżącego przedmiotowych zmian, to podejście skutkowe może sprawić, że kwestia ta wejdzie w zakres zastosowania art. 8 Konwencji.</w:t>
      </w:r>
    </w:p>
    <w:p w14:paraId="13A5097D" w14:textId="77777777" w:rsidR="00F5142C" w:rsidRPr="00DB5C9E" w:rsidRDefault="00446BA2" w:rsidP="00DB5C9E">
      <w:pPr>
        <w:pStyle w:val="JuPara"/>
      </w:pPr>
      <w:fldSimple w:instr=" SEQ level0 \*arabic \* MERGEFORMAT ">
        <w:r>
          <w:rPr>
            <w:noProof/>
          </w:rPr>
          <w:t>146</w:t>
        </w:r>
      </w:fldSimple>
      <w:r w:rsidR="00445208">
        <w:t xml:space="preserve">.  Skarżący po pierwsze powoływał się na swoje straty finansowe i ich wpływ na jego „wewnętrzny krąg”. Argument ten należy rozpatrywać jako mający związek z pogorszeniem sytuacji majątkowej skarżącego i jego rodziny. Przypomina się, że pieniężny aspekt sporu nie przekłada się automatycznie na zaistnienie problemu na gruncie art. 8 Konwencji (zob. </w:t>
      </w:r>
      <w:proofErr w:type="spellStart"/>
      <w:r w:rsidR="00445208">
        <w:rPr>
          <w:i/>
          <w:iCs/>
        </w:rPr>
        <w:t>Denisov</w:t>
      </w:r>
      <w:proofErr w:type="spellEnd"/>
      <w:r w:rsidR="00445208">
        <w:t xml:space="preserve">, § 122, i </w:t>
      </w:r>
      <w:proofErr w:type="spellStart"/>
      <w:r w:rsidR="00445208">
        <w:rPr>
          <w:i/>
          <w:iCs/>
        </w:rPr>
        <w:t>Camelia</w:t>
      </w:r>
      <w:proofErr w:type="spellEnd"/>
      <w:r w:rsidR="00445208">
        <w:rPr>
          <w:i/>
          <w:iCs/>
        </w:rPr>
        <w:t xml:space="preserve"> Bogdan</w:t>
      </w:r>
      <w:r w:rsidR="00445208">
        <w:t xml:space="preserve">, § 86, </w:t>
      </w:r>
      <w:proofErr w:type="spellStart"/>
      <w:r w:rsidR="00445208">
        <w:t>opp</w:t>
      </w:r>
      <w:proofErr w:type="spellEnd"/>
      <w:r w:rsidR="00445208">
        <w:t>. cit.).</w:t>
      </w:r>
    </w:p>
    <w:p w14:paraId="3D69C439" w14:textId="0A8F490D" w:rsidR="00F5142C" w:rsidRPr="00DB5C9E" w:rsidRDefault="00446BA2" w:rsidP="00DB5C9E">
      <w:pPr>
        <w:pStyle w:val="JuPara"/>
        <w:rPr>
          <w:rFonts w:ascii="Times New Roman" w:hAnsi="Times New Roman" w:cs="Times New Roman"/>
        </w:rPr>
      </w:pPr>
      <w:fldSimple w:instr=" SEQ level0 \*arabic \* MERGEFORMAT ">
        <w:r>
          <w:rPr>
            <w:noProof/>
          </w:rPr>
          <w:t>147</w:t>
        </w:r>
      </w:fldSimple>
      <w:r w:rsidR="00445208">
        <w:t xml:space="preserve">.  W tym kontekście Trybunał przyjmuje do wiadomości argument Rządu, że skarżący nadal piastował </w:t>
      </w:r>
      <w:proofErr w:type="spellStart"/>
      <w:proofErr w:type="gramStart"/>
      <w:r w:rsidR="00445208">
        <w:t>funkcję</w:t>
      </w:r>
      <w:r w:rsidR="00072808">
        <w:t>UD</w:t>
      </w:r>
      <w:proofErr w:type="spellEnd"/>
      <w:r w:rsidR="00072808">
        <w:t xml:space="preserve"> </w:t>
      </w:r>
      <w:r w:rsidR="00445208">
        <w:t>.</w:t>
      </w:r>
      <w:proofErr w:type="gramEnd"/>
      <w:r w:rsidR="00445208">
        <w:t xml:space="preserve"> Trybunał zauważa jednak, że chociaż nadal działał on jako organ sądowy, z pewnością był niższy rangą i prestiżem. Ponadto bezsporny wydaje się fakt, że funkcja </w:t>
      </w:r>
      <w:r w:rsidR="00072808">
        <w:t xml:space="preserve">UD </w:t>
      </w:r>
      <w:r w:rsidR="00445208">
        <w:t xml:space="preserve">wiąże się także z istotnie niższym wynagrodzeniem niż to, które skarżący otrzymywał, wykonując swoje obowiązki jako </w:t>
      </w:r>
      <w:proofErr w:type="spellStart"/>
      <w:r w:rsidR="00072808">
        <w:t>CoL</w:t>
      </w:r>
      <w:proofErr w:type="spellEnd"/>
      <w:r w:rsidR="00072808">
        <w:t xml:space="preserve"> </w:t>
      </w:r>
      <w:r w:rsidR="00445208">
        <w:t xml:space="preserve">przed zaskarżonym środkiem. Z dowodów przedstawionych przez skarżącego wynika, że całkowite wynagrodzenie </w:t>
      </w:r>
      <w:proofErr w:type="spellStart"/>
      <w:r w:rsidR="00033531">
        <w:t>CoL</w:t>
      </w:r>
      <w:proofErr w:type="spellEnd"/>
      <w:r w:rsidR="00033531">
        <w:t xml:space="preserve"> </w:t>
      </w:r>
      <w:r w:rsidR="00445208">
        <w:t>jest niemal dwukrotnie wyższe niż wynagrodzenie</w:t>
      </w:r>
      <w:r w:rsidR="00A11579">
        <w:t xml:space="preserve"> </w:t>
      </w:r>
      <w:proofErr w:type="gramStart"/>
      <w:r w:rsidR="00072808">
        <w:t xml:space="preserve">UD </w:t>
      </w:r>
      <w:r w:rsidR="00445208">
        <w:t>,</w:t>
      </w:r>
      <w:proofErr w:type="gramEnd"/>
      <w:r w:rsidR="00445208">
        <w:t xml:space="preserve"> z różnicą wynoszącą około 3.000 EUR miesięcznie (por. </w:t>
      </w:r>
      <w:proofErr w:type="spellStart"/>
      <w:r w:rsidR="00445208">
        <w:rPr>
          <w:i/>
          <w:iCs/>
        </w:rPr>
        <w:t>Gyulumyan</w:t>
      </w:r>
      <w:proofErr w:type="spellEnd"/>
      <w:r w:rsidR="00445208">
        <w:rPr>
          <w:i/>
          <w:iCs/>
        </w:rPr>
        <w:t xml:space="preserve"> przeciwko Armenii</w:t>
      </w:r>
      <w:r w:rsidR="00445208">
        <w:t xml:space="preserve"> (</w:t>
      </w:r>
      <w:proofErr w:type="spellStart"/>
      <w:r w:rsidR="00445208">
        <w:t>dec</w:t>
      </w:r>
      <w:proofErr w:type="spellEnd"/>
      <w:r w:rsidR="00445208">
        <w:t>.), nr</w:t>
      </w:r>
      <w:r w:rsidR="00446732">
        <w:t> </w:t>
      </w:r>
      <w:r w:rsidR="00445208">
        <w:t xml:space="preserve">25240/20, § 90, 21 listopada 2023 r., gdzie skarżący nie powołali się na znaczny spadek dochodów ani go nie wykazali, oraz </w:t>
      </w:r>
      <w:bookmarkStart w:id="60" w:name="_cl41218THELAW"/>
      <w:proofErr w:type="spellStart"/>
      <w:r w:rsidR="00445208">
        <w:rPr>
          <w:i/>
          <w:iCs/>
        </w:rPr>
        <w:t>Gražulevičiūtė</w:t>
      </w:r>
      <w:proofErr w:type="spellEnd"/>
      <w:r w:rsidR="00445208">
        <w:rPr>
          <w:i/>
          <w:iCs/>
        </w:rPr>
        <w:t xml:space="preserve"> przeciwko Litwie</w:t>
      </w:r>
      <w:bookmarkEnd w:id="60"/>
      <w:r w:rsidR="00445208">
        <w:t>, nr 53176/17, § 103, 14 grudnia 2021 r., gdzie procent utraconego dochodu był niemożliwy do ustalenia). Trybunał uważa, że</w:t>
      </w:r>
      <w:r w:rsidR="00446732">
        <w:t> </w:t>
      </w:r>
      <w:r w:rsidR="00445208">
        <w:t xml:space="preserve">zmniejszenie wynagrodzenia było zarówno istotne (por. </w:t>
      </w:r>
      <w:proofErr w:type="spellStart"/>
      <w:r w:rsidR="00445208">
        <w:rPr>
          <w:i/>
          <w:iCs/>
        </w:rPr>
        <w:t>Denisov</w:t>
      </w:r>
      <w:proofErr w:type="spellEnd"/>
      <w:r w:rsidR="00445208">
        <w:t>, op. cit., § 112), jak i nagłe; ponadto</w:t>
      </w:r>
      <w:r w:rsidR="00A11579">
        <w:t>,</w:t>
      </w:r>
      <w:r w:rsidR="00445208">
        <w:t xml:space="preserve"> mimo że skarżący powołał się na nie jedynie w</w:t>
      </w:r>
      <w:r w:rsidR="00446732">
        <w:t> </w:t>
      </w:r>
      <w:r w:rsidR="00445208">
        <w:t xml:space="preserve">swoich roszczeniach o słuszne zadośćuczynienie, będzie ono miało </w:t>
      </w:r>
      <w:r w:rsidR="00445208">
        <w:lastRenderedPageBreak/>
        <w:t xml:space="preserve">również negatywne konsekwencje dla ostatecznego obliczania wypłat przyszłych świadczeń emerytalnych (por. </w:t>
      </w:r>
      <w:r w:rsidR="00445208">
        <w:rPr>
          <w:i/>
          <w:iCs/>
        </w:rPr>
        <w:t>Pająk i Inni przeciwko Polsce</w:t>
      </w:r>
      <w:r w:rsidR="00445208">
        <w:t>, nr</w:t>
      </w:r>
      <w:r w:rsidR="00446732">
        <w:t> </w:t>
      </w:r>
      <w:r w:rsidR="00445208">
        <w:t>25226/18, § 215, 24 października 2023 r.).</w:t>
      </w:r>
    </w:p>
    <w:p w14:paraId="1D9980F2" w14:textId="7846314E" w:rsidR="00F5142C" w:rsidRPr="00DB5C9E" w:rsidRDefault="00446BA2" w:rsidP="00DB5C9E">
      <w:pPr>
        <w:pStyle w:val="JuPara"/>
        <w:rPr>
          <w:rFonts w:ascii="Times New Roman" w:hAnsi="Times New Roman" w:cs="Times New Roman"/>
          <w:color w:val="000000"/>
        </w:rPr>
      </w:pPr>
      <w:fldSimple w:instr=" SEQ level0 \*arabic \* MERGEFORMAT ">
        <w:r>
          <w:rPr>
            <w:noProof/>
          </w:rPr>
          <w:t>148</w:t>
        </w:r>
      </w:fldSimple>
      <w:r w:rsidR="00445208">
        <w:t xml:space="preserve">.  Prawdą jest, że w niniejszej sprawie skarżący nie utracił całego wynagrodzenia na jakikolwiek okres (por. </w:t>
      </w:r>
      <w:proofErr w:type="spellStart"/>
      <w:r w:rsidR="00445208">
        <w:rPr>
          <w:i/>
          <w:iCs/>
        </w:rPr>
        <w:t>Xhoxhaj</w:t>
      </w:r>
      <w:proofErr w:type="spellEnd"/>
      <w:r w:rsidR="00445208">
        <w:rPr>
          <w:i/>
          <w:iCs/>
        </w:rPr>
        <w:t xml:space="preserve"> przeciwko Albanii</w:t>
      </w:r>
      <w:r w:rsidR="00445208">
        <w:t>, nr</w:t>
      </w:r>
      <w:r w:rsidR="00446732">
        <w:t> </w:t>
      </w:r>
      <w:r w:rsidR="00445208">
        <w:t xml:space="preserve">15227/19, § 363, 9 lutego 2021 r. oraz </w:t>
      </w:r>
      <w:proofErr w:type="spellStart"/>
      <w:r w:rsidR="00445208">
        <w:rPr>
          <w:i/>
          <w:iCs/>
        </w:rPr>
        <w:t>Pengezov</w:t>
      </w:r>
      <w:proofErr w:type="spellEnd"/>
      <w:r w:rsidR="00445208">
        <w:rPr>
          <w:i/>
          <w:iCs/>
        </w:rPr>
        <w:t xml:space="preserve"> przeciwko Bułgarii</w:t>
      </w:r>
      <w:r w:rsidR="00445208">
        <w:t>, nr</w:t>
      </w:r>
      <w:r w:rsidR="00446732">
        <w:t> </w:t>
      </w:r>
      <w:r w:rsidR="00445208">
        <w:t>66292/14, § 68, 10 października 2023 r.). Prawdą jest jednak również, że</w:t>
      </w:r>
      <w:r w:rsidR="00446732">
        <w:t> </w:t>
      </w:r>
      <w:r w:rsidR="00445208">
        <w:t>w</w:t>
      </w:r>
      <w:r w:rsidR="00446732">
        <w:t> </w:t>
      </w:r>
      <w:r w:rsidR="00445208">
        <w:t xml:space="preserve">przeciwieństwie do innych spraw rozpatrywanych przez Trybunał skarżący nigdy nie odrobił tych strat (por. </w:t>
      </w:r>
      <w:r w:rsidR="00445208">
        <w:rPr>
          <w:i/>
          <w:iCs/>
        </w:rPr>
        <w:t>J.B. i Inni przeciwko Węgrom</w:t>
      </w:r>
      <w:r w:rsidR="00445208">
        <w:t xml:space="preserve"> (</w:t>
      </w:r>
      <w:proofErr w:type="spellStart"/>
      <w:r w:rsidR="00445208">
        <w:t>dec</w:t>
      </w:r>
      <w:proofErr w:type="spellEnd"/>
      <w:r w:rsidR="00445208">
        <w:t xml:space="preserve">.), nr 45434/12 i 2 inne, §§ 132-33, 27 listopada 2018 r. oraz </w:t>
      </w:r>
      <w:proofErr w:type="spellStart"/>
      <w:r w:rsidR="00445208">
        <w:rPr>
          <w:i/>
          <w:iCs/>
        </w:rPr>
        <w:t>Camelia</w:t>
      </w:r>
      <w:proofErr w:type="spellEnd"/>
      <w:r w:rsidR="00445208">
        <w:rPr>
          <w:i/>
          <w:iCs/>
        </w:rPr>
        <w:t xml:space="preserve"> Bogdan</w:t>
      </w:r>
      <w:r w:rsidR="00445208">
        <w:t>, op. cit., §§ 85-86).</w:t>
      </w:r>
      <w:r w:rsidR="00445208">
        <w:rPr>
          <w:rFonts w:ascii="Times New Roman" w:hAnsi="Times New Roman"/>
          <w:color w:val="000000"/>
        </w:rPr>
        <w:t xml:space="preserve"> W tych okolicznościach Trybunał przyjmuje, że</w:t>
      </w:r>
      <w:r w:rsidR="00446732">
        <w:rPr>
          <w:rFonts w:ascii="Times New Roman" w:hAnsi="Times New Roman"/>
          <w:color w:val="000000"/>
        </w:rPr>
        <w:t> </w:t>
      </w:r>
      <w:r w:rsidR="00445208">
        <w:rPr>
          <w:rFonts w:ascii="Times New Roman" w:hAnsi="Times New Roman"/>
          <w:color w:val="000000"/>
        </w:rPr>
        <w:t>te straty, potwierdzone odpowiednią dokumentacją, wpłynęły na sytuację jego rodziny, w tym jego czwórki dzieci, oraz na ich codzienne potrzeby i</w:t>
      </w:r>
      <w:r w:rsidR="00446732">
        <w:rPr>
          <w:rFonts w:ascii="Times New Roman" w:hAnsi="Times New Roman"/>
          <w:color w:val="000000"/>
        </w:rPr>
        <w:t> </w:t>
      </w:r>
      <w:r w:rsidR="00445208">
        <w:rPr>
          <w:rFonts w:ascii="Times New Roman" w:hAnsi="Times New Roman"/>
          <w:color w:val="000000"/>
        </w:rPr>
        <w:t>perspektywy edukacyjne.</w:t>
      </w:r>
    </w:p>
    <w:p w14:paraId="24F48D45" w14:textId="5FF8DB64" w:rsidR="00F5142C" w:rsidRPr="00DB5C9E" w:rsidRDefault="00446BA2" w:rsidP="00DB5C9E">
      <w:pPr>
        <w:pStyle w:val="JuPara"/>
        <w:rPr>
          <w:b/>
          <w:bCs/>
        </w:rPr>
      </w:pPr>
      <w:r>
        <w:fldChar w:fldCharType="begin"/>
      </w:r>
      <w:r>
        <w:instrText xml:space="preserve"> SEQ level0 \*arabic </w:instrText>
      </w:r>
      <w:r>
        <w:fldChar w:fldCharType="separate"/>
      </w:r>
      <w:r>
        <w:rPr>
          <w:noProof/>
        </w:rPr>
        <w:t>149</w:t>
      </w:r>
      <w:r>
        <w:rPr>
          <w:noProof/>
        </w:rPr>
        <w:fldChar w:fldCharType="end"/>
      </w:r>
      <w:r w:rsidR="00445208">
        <w:t>.  Co do nawiązywania i utrzymywania relacji z innymi, Trybunał zauważa, że w następstwie zaskarżonego środka skarżący nie mógł już pełnić funkcji</w:t>
      </w:r>
      <w:r w:rsidR="00033531">
        <w:t xml:space="preserve"> </w:t>
      </w:r>
      <w:proofErr w:type="spellStart"/>
      <w:proofErr w:type="gramStart"/>
      <w:r w:rsidR="00033531">
        <w:t>CoL</w:t>
      </w:r>
      <w:proofErr w:type="spellEnd"/>
      <w:r w:rsidR="00033531">
        <w:t xml:space="preserve"> </w:t>
      </w:r>
      <w:r w:rsidR="00445208">
        <w:t>,</w:t>
      </w:r>
      <w:proofErr w:type="gramEnd"/>
      <w:r w:rsidR="00445208">
        <w:t xml:space="preserve"> którą sprawował przez około osiemnaście miesięcy. W ten sposób został pozbawiony możliwości kontynuowania swojej w pełni sędziowskiej pracy (przynajmniej do czasu, gdy odniósłby sukces w innym konkursie, co do dzisiaj nie miało miejsca). Niemniej jednak nadal pracował jako </w:t>
      </w:r>
      <w:r w:rsidR="00072808">
        <w:t xml:space="preserve">UD </w:t>
      </w:r>
      <w:r w:rsidR="00445208">
        <w:t xml:space="preserve">i pozostał w tym samym środowisku u boku swoich współpracowników z sądownictwa, ogółem rzecz biorąc (por. </w:t>
      </w:r>
      <w:proofErr w:type="spellStart"/>
      <w:r w:rsidR="00445208">
        <w:rPr>
          <w:i/>
          <w:iCs/>
        </w:rPr>
        <w:t>Denisov</w:t>
      </w:r>
      <w:proofErr w:type="spellEnd"/>
      <w:r w:rsidR="00445208">
        <w:t>, op.</w:t>
      </w:r>
      <w:r w:rsidR="00446732">
        <w:t> </w:t>
      </w:r>
      <w:r w:rsidR="00445208">
        <w:t xml:space="preserve">cit., § 123; </w:t>
      </w:r>
      <w:proofErr w:type="spellStart"/>
      <w:r w:rsidR="00445208">
        <w:rPr>
          <w:i/>
          <w:iCs/>
        </w:rPr>
        <w:t>Gumenyuk</w:t>
      </w:r>
      <w:proofErr w:type="spellEnd"/>
      <w:r w:rsidR="00445208">
        <w:rPr>
          <w:i/>
          <w:iCs/>
        </w:rPr>
        <w:t xml:space="preserve"> i Inni</w:t>
      </w:r>
      <w:r w:rsidR="00445208">
        <w:t xml:space="preserve">, op. cit., § 88; </w:t>
      </w:r>
      <w:proofErr w:type="spellStart"/>
      <w:r w:rsidR="00445208">
        <w:rPr>
          <w:i/>
          <w:iCs/>
        </w:rPr>
        <w:t>Samsin</w:t>
      </w:r>
      <w:proofErr w:type="spellEnd"/>
      <w:r w:rsidR="00445208">
        <w:rPr>
          <w:i/>
          <w:iCs/>
        </w:rPr>
        <w:t xml:space="preserve"> przeciwko Ukrainie</w:t>
      </w:r>
      <w:r w:rsidR="00445208">
        <w:t>, nr</w:t>
      </w:r>
      <w:r w:rsidR="00446732">
        <w:t> </w:t>
      </w:r>
      <w:r w:rsidR="00445208">
        <w:t xml:space="preserve">38977/19, §§ 39 i 41, 14 października 2021 r. a z ostatnich orzeczeń </w:t>
      </w:r>
      <w:proofErr w:type="spellStart"/>
      <w:r w:rsidR="00445208">
        <w:rPr>
          <w:i/>
          <w:iCs/>
        </w:rPr>
        <w:t>Golovchuk</w:t>
      </w:r>
      <w:proofErr w:type="spellEnd"/>
      <w:r w:rsidR="00445208">
        <w:rPr>
          <w:i/>
          <w:iCs/>
        </w:rPr>
        <w:t xml:space="preserve"> przeciwko Ukrainie</w:t>
      </w:r>
      <w:r w:rsidR="00445208">
        <w:t xml:space="preserve">, nr 16111/19 i 4737/21, § 30, 27 marca 2025 r., gdzie skarżący zostali pozbawieni możliwości kontynuowania swojej pracy sędziowskiej i funkcjonowania w tym samym środowisku zawodowym). Niemniej jednak zdaniem Trybunału unieważnienie powołania skarżącego na stanowisko </w:t>
      </w:r>
      <w:proofErr w:type="spellStart"/>
      <w:r w:rsidR="00072808">
        <w:t>CoL</w:t>
      </w:r>
      <w:proofErr w:type="spellEnd"/>
      <w:r w:rsidR="00072808">
        <w:t xml:space="preserve"> </w:t>
      </w:r>
      <w:r w:rsidR="00445208">
        <w:t>(innymi słowy, w</w:t>
      </w:r>
      <w:r w:rsidR="00446732">
        <w:t> </w:t>
      </w:r>
      <w:r w:rsidR="00445208">
        <w:t>praktyce, jego degradacja do stanowiska audytora) wpłynęło na jego możliwość nawiązywania i rozwijania relacji w świetle innych czynników, takich jak niemożność uczestniczenia w procesach wyboru na stanowiska kierownicze w sądzie oraz delegacjach w imieniu sądu, które z pewnością służą jako środek budowania relacji i realizacji rozwoju zawodowego. Ponadto powrót skarżącego na stanowisko audytora wpłynął na jego uczestnictwo w Radzie Sądownictwa, z której jako audytor został natychmiast wykluczony; później po reformie jako audytor nie miał prawa ubiegać się o to stanowisko ani głosować w wyborze sędziowskich członków Rady Sądownictwa, w związku z czym nie mógł wyrażać swojej opinii ani oddawać głosu w różnych sprawach dotyczących jego środowiska pracy.</w:t>
      </w:r>
    </w:p>
    <w:p w14:paraId="54DC633C" w14:textId="5936FDE1" w:rsidR="00F5142C" w:rsidRPr="00DB5C9E" w:rsidRDefault="00446BA2" w:rsidP="00DB5C9E">
      <w:pPr>
        <w:pStyle w:val="JuPara"/>
      </w:pPr>
      <w:r>
        <w:fldChar w:fldCharType="begin"/>
      </w:r>
      <w:r>
        <w:instrText xml:space="preserve"> SEQ level0 \*arabic </w:instrText>
      </w:r>
      <w:r>
        <w:fldChar w:fldCharType="separate"/>
      </w:r>
      <w:r>
        <w:rPr>
          <w:noProof/>
        </w:rPr>
        <w:t>150</w:t>
      </w:r>
      <w:r>
        <w:rPr>
          <w:noProof/>
        </w:rPr>
        <w:fldChar w:fldCharType="end"/>
      </w:r>
      <w:r w:rsidR="00445208">
        <w:t>.  Wreszcie Trybunał musi rozważyć, czy, jak twierdzi skarżący, zaskarżony środek naruszył dobre imię skarżącego w taki sposób, że miał poważny wpływ na poważanie, jakim cieszył się on wśród innych, i</w:t>
      </w:r>
      <w:r w:rsidR="00446732">
        <w:t> </w:t>
      </w:r>
      <w:r w:rsidR="00445208">
        <w:t>w</w:t>
      </w:r>
      <w:r w:rsidR="00446732">
        <w:t> </w:t>
      </w:r>
      <w:r w:rsidR="00445208">
        <w:t xml:space="preserve">rezultacie wywarł poważny wpływ na kontakty skarżącego </w:t>
      </w:r>
      <w:r w:rsidR="00445208">
        <w:lastRenderedPageBreak/>
        <w:t>ze</w:t>
      </w:r>
      <w:r w:rsidR="00446732">
        <w:t> </w:t>
      </w:r>
      <w:r w:rsidR="00445208">
        <w:t xml:space="preserve">społeczeństwem. Trybunał przeanalizuje tę kwestię pod kątem reputacji zawodowej i społecznej (zob. </w:t>
      </w:r>
      <w:proofErr w:type="spellStart"/>
      <w:r w:rsidR="00445208">
        <w:rPr>
          <w:i/>
          <w:iCs/>
        </w:rPr>
        <w:t>Denisov</w:t>
      </w:r>
      <w:proofErr w:type="spellEnd"/>
      <w:r w:rsidR="00445208">
        <w:t>, op. cit., § 125).</w:t>
      </w:r>
    </w:p>
    <w:p w14:paraId="25D7E677" w14:textId="69056863" w:rsidR="00F5142C" w:rsidRPr="00DB5C9E" w:rsidRDefault="00446BA2" w:rsidP="00DB5C9E">
      <w:pPr>
        <w:pStyle w:val="JuPara"/>
        <w:rPr>
          <w:rFonts w:ascii="Times New Roman" w:eastAsia="Calibri" w:hAnsi="Times New Roman" w:cs="Times New Roman"/>
        </w:rPr>
      </w:pPr>
      <w:fldSimple w:instr=" SEQ level0 \*arabic \* MERGEFORMAT ">
        <w:r>
          <w:rPr>
            <w:noProof/>
          </w:rPr>
          <w:t>151</w:t>
        </w:r>
      </w:fldSimple>
      <w:r w:rsidR="00445208">
        <w:t xml:space="preserve">.  Trybunał zauważa, że CGP, a następnie sądy krajowe, nie analizowały pracy skarżącego na stanowisku sędziego pierwszej instancji ani nie wyraziły żadnej opinii na temat jego kompetencji sędziowskich czy profesjonalizmu (por. </w:t>
      </w:r>
      <w:proofErr w:type="spellStart"/>
      <w:r w:rsidR="00445208">
        <w:rPr>
          <w:i/>
          <w:iCs/>
        </w:rPr>
        <w:t>Denisov</w:t>
      </w:r>
      <w:proofErr w:type="spellEnd"/>
      <w:r w:rsidR="00445208">
        <w:t xml:space="preserve">, op. cit., § 126 oraz </w:t>
      </w:r>
      <w:proofErr w:type="spellStart"/>
      <w:r w:rsidR="00445208">
        <w:rPr>
          <w:i/>
          <w:iCs/>
        </w:rPr>
        <w:t>Juszczyszyn</w:t>
      </w:r>
      <w:proofErr w:type="spellEnd"/>
      <w:r w:rsidR="00445208">
        <w:rPr>
          <w:i/>
          <w:iCs/>
        </w:rPr>
        <w:t xml:space="preserve"> przeciwko Polsce</w:t>
      </w:r>
      <w:r w:rsidR="00445208">
        <w:t xml:space="preserve">, nr 35599/20, § 233, 6 października 2022 r.). Podobnie nie wystąpiły żadne skutki wynikające z osobowości czy charakteru skarżącego (por. </w:t>
      </w:r>
      <w:proofErr w:type="spellStart"/>
      <w:r w:rsidR="00445208">
        <w:rPr>
          <w:i/>
          <w:iCs/>
        </w:rPr>
        <w:t>Gyulumyan</w:t>
      </w:r>
      <w:proofErr w:type="spellEnd"/>
      <w:r w:rsidR="00445208">
        <w:t xml:space="preserve">, § 93 i </w:t>
      </w:r>
      <w:proofErr w:type="spellStart"/>
      <w:r w:rsidR="00445208">
        <w:rPr>
          <w:i/>
          <w:iCs/>
        </w:rPr>
        <w:t>Xhoxhaj</w:t>
      </w:r>
      <w:proofErr w:type="spellEnd"/>
      <w:r w:rsidR="00445208">
        <w:t xml:space="preserve">, § 363, </w:t>
      </w:r>
      <w:proofErr w:type="spellStart"/>
      <w:r w:rsidR="00445208">
        <w:t>opp</w:t>
      </w:r>
      <w:proofErr w:type="spellEnd"/>
      <w:r w:rsidR="00445208">
        <w:t xml:space="preserve">. cit.). Decyzja w sprawie skarżącego formalnie dotyczyła zgodności z prawem jego powołania z powodów proceduralnych; jego rola zawodowa jako sędziego i cechy osobiste nie zostały poruszone. W związku z tym decyzji nie można uznać za odnoszącą się do istoty reputacji zawodowej skarżącego (por. </w:t>
      </w:r>
      <w:proofErr w:type="spellStart"/>
      <w:r w:rsidR="00445208">
        <w:rPr>
          <w:i/>
          <w:iCs/>
        </w:rPr>
        <w:t>Denisov</w:t>
      </w:r>
      <w:proofErr w:type="spellEnd"/>
      <w:r w:rsidR="00445208">
        <w:t xml:space="preserve">, § 126, oraz </w:t>
      </w:r>
      <w:proofErr w:type="spellStart"/>
      <w:r w:rsidR="00445208">
        <w:rPr>
          <w:i/>
          <w:iCs/>
        </w:rPr>
        <w:t>Oleksandr</w:t>
      </w:r>
      <w:proofErr w:type="spellEnd"/>
      <w:r w:rsidR="00445208">
        <w:rPr>
          <w:i/>
          <w:iCs/>
        </w:rPr>
        <w:t xml:space="preserve"> </w:t>
      </w:r>
      <w:proofErr w:type="spellStart"/>
      <w:r w:rsidR="00445208">
        <w:rPr>
          <w:i/>
          <w:iCs/>
        </w:rPr>
        <w:t>Volkov</w:t>
      </w:r>
      <w:proofErr w:type="spellEnd"/>
      <w:r w:rsidR="00445208">
        <w:t xml:space="preserve">, § 166, </w:t>
      </w:r>
      <w:proofErr w:type="spellStart"/>
      <w:r w:rsidR="00445208">
        <w:t>opp</w:t>
      </w:r>
      <w:proofErr w:type="spellEnd"/>
      <w:r w:rsidR="00445208">
        <w:t>. cit.). Niemniej jednak zważywszy, że środek zastosowano tylko wobec kilku osób, w tym skarżącego, ale nie wobec innych, Trybunał nie jest przekonany, że nie wpłynęło to na poważanie współpracowników wobec niego lub na jego reputację społeczną. W tym kontekście Trybunał nie może zignorować ograniczonych rozmiarów pojedynczego kompleksu sądowego w San Marino, składającego się z około trzydzieściorga przedstawicieli sądownictwa, w którym nagle skarżący, pracujący z pełnomocnikami i sędziami, został zdegradowany do stanowiska o niższych kwalifikacjach zawodowych (z, posiadającego pełne kompetencje w zakresie akt sądowych, do audytora, który ma</w:t>
      </w:r>
      <w:r w:rsidR="00446732">
        <w:t> </w:t>
      </w:r>
      <w:r w:rsidR="00445208">
        <w:t xml:space="preserve">ograniczone kompetencje i tylko delegowane upoważnienie do działania w zakresie akt), które to stanowisko było pozbawione sedna funkcji sędziowskiej, jakim jest odpowiedzialność za podejmowanie decyzji (zob. </w:t>
      </w:r>
      <w:proofErr w:type="spellStart"/>
      <w:r w:rsidR="00445208">
        <w:rPr>
          <w:i/>
          <w:iCs/>
        </w:rPr>
        <w:t>Denisov</w:t>
      </w:r>
      <w:proofErr w:type="spellEnd"/>
      <w:r w:rsidR="00445208">
        <w:t>, op. cit., § 123, dotyczący jedynie utraty roli administracyjnej).</w:t>
      </w:r>
      <w:r w:rsidR="00445208">
        <w:rPr>
          <w:rFonts w:ascii="Times New Roman" w:hAnsi="Times New Roman"/>
        </w:rPr>
        <w:t xml:space="preserve"> </w:t>
      </w:r>
      <w:r w:rsidR="00445208">
        <w:t>Ta</w:t>
      </w:r>
      <w:r w:rsidR="00446732">
        <w:t> </w:t>
      </w:r>
      <w:r w:rsidR="00445208">
        <w:t xml:space="preserve">utrata poważania wydaje </w:t>
      </w:r>
      <w:r w:rsidR="005D2BCE">
        <w:t>się</w:t>
      </w:r>
      <w:r w:rsidR="00445208">
        <w:t xml:space="preserve"> potwierdzona faktem, iż – mimo spełniania warunków i poważnego doświadczenia – skarżący nie odnosił następnie sukcesów w konkursach rozstrzyganych przez CGP składającą się, przynajmniej częściowo, z jego byłych współpracowników (zob. par. </w:t>
      </w:r>
      <w:r w:rsidR="00445208" w:rsidRPr="00DB5C9E">
        <w:fldChar w:fldCharType="begin"/>
      </w:r>
      <w:r w:rsidR="00445208" w:rsidRPr="00DB5C9E">
        <w:instrText xml:space="preserve"> REF paragraph00024 \h </w:instrText>
      </w:r>
      <w:r w:rsidR="00445208" w:rsidRPr="00DB5C9E">
        <w:fldChar w:fldCharType="separate"/>
      </w:r>
      <w:r>
        <w:rPr>
          <w:rFonts w:ascii="Times New Roman" w:eastAsia="Times New Roman" w:hAnsi="Times New Roman" w:cs="Times New Roman"/>
          <w:noProof/>
        </w:rPr>
        <w:t>24</w:t>
      </w:r>
      <w:r w:rsidR="00445208" w:rsidRPr="00DB5C9E">
        <w:fldChar w:fldCharType="end"/>
      </w:r>
      <w:r w:rsidR="00445208">
        <w:t xml:space="preserve"> powyżej).</w:t>
      </w:r>
      <w:r w:rsidR="00445208">
        <w:rPr>
          <w:rFonts w:ascii="Times New Roman" w:hAnsi="Times New Roman"/>
        </w:rPr>
        <w:t xml:space="preserve"> Wreszcie nie można wykluczyć, że w małym kraju, takim jak San Marino, szerokie zainteresowanie mediów tą sprawą (bez winy skarżącego), mogło wpłynąć w pewnym stopniu na jego reputację społeczną.</w:t>
      </w:r>
    </w:p>
    <w:bookmarkStart w:id="61" w:name="paragraph00164"/>
    <w:p w14:paraId="66B12BC2" w14:textId="55921202" w:rsidR="00F5142C" w:rsidRPr="00DB5C9E" w:rsidRDefault="00445208" w:rsidP="00DB5C9E">
      <w:pPr>
        <w:pStyle w:val="JuPara"/>
        <w:rPr>
          <w:rFonts w:eastAsiaTheme="minorEastAsia"/>
          <w:szCs w:val="22"/>
        </w:rPr>
      </w:pPr>
      <w:r w:rsidRPr="00DB5C9E">
        <w:fldChar w:fldCharType="begin"/>
      </w:r>
      <w:r w:rsidRPr="00DB5C9E">
        <w:instrText xml:space="preserve"> SEQ level0 \*arabic \* MERGEFORMAT </w:instrText>
      </w:r>
      <w:r w:rsidRPr="00DB5C9E">
        <w:fldChar w:fldCharType="separate"/>
      </w:r>
      <w:r w:rsidR="00446BA2">
        <w:rPr>
          <w:noProof/>
        </w:rPr>
        <w:t>152</w:t>
      </w:r>
      <w:r w:rsidRPr="00DB5C9E">
        <w:fldChar w:fldCharType="end"/>
      </w:r>
      <w:bookmarkEnd w:id="61"/>
      <w:r>
        <w:t>.  Podsumowując, Trybunał uważa, że chociaż żaden z wymienionych powyżej czynników sam w sobie nie osiągnąłby właściwego progu w</w:t>
      </w:r>
      <w:r w:rsidR="00446732">
        <w:t> </w:t>
      </w:r>
      <w:r>
        <w:t>rozumieniu testu dotkliwości na gruncie art. 8, skumulowane czynniki, które wystąpiły i zostały potwierdzone przez skarżącego w niniejszej sprawie, wystarczają do stwierdzenia, że konsekwencje wynikające z decyzji o</w:t>
      </w:r>
      <w:r w:rsidR="00446732">
        <w:t> </w:t>
      </w:r>
      <w:r>
        <w:t xml:space="preserve">stwierdzeniu nieważności powołania skarżącego były wystarczająco poważne i wpłynęły na jego życie prywatne w bardzo znacznym stopniu (por. całościowa ocena w sprawie </w:t>
      </w:r>
      <w:proofErr w:type="spellStart"/>
      <w:r>
        <w:rPr>
          <w:i/>
          <w:iCs/>
        </w:rPr>
        <w:t>Pengezov</w:t>
      </w:r>
      <w:proofErr w:type="spellEnd"/>
      <w:r>
        <w:t>, op. cit., § 72). W związku z tym art. 8 Konwencji ma zastosowanie w niniejszej sprawie.</w:t>
      </w:r>
    </w:p>
    <w:p w14:paraId="35E8AB16" w14:textId="77777777" w:rsidR="00F5142C" w:rsidRPr="00DB5C9E" w:rsidRDefault="00446BA2" w:rsidP="00DB5C9E">
      <w:pPr>
        <w:pStyle w:val="JuPara"/>
        <w:rPr>
          <w:iCs/>
        </w:rPr>
      </w:pPr>
      <w:fldSimple w:instr=" SEQ level0 \*arabic \* MERGEFORMAT ">
        <w:r>
          <w:rPr>
            <w:noProof/>
          </w:rPr>
          <w:t>153</w:t>
        </w:r>
      </w:fldSimple>
      <w:r w:rsidR="00445208">
        <w:t xml:space="preserve">.  Wynika z tego, że zastrzeżenie </w:t>
      </w:r>
      <w:proofErr w:type="spellStart"/>
      <w:r w:rsidR="00445208">
        <w:rPr>
          <w:i/>
          <w:iCs/>
        </w:rPr>
        <w:t>ratione</w:t>
      </w:r>
      <w:proofErr w:type="spellEnd"/>
      <w:r w:rsidR="00445208">
        <w:rPr>
          <w:i/>
          <w:iCs/>
        </w:rPr>
        <w:t xml:space="preserve"> </w:t>
      </w:r>
      <w:proofErr w:type="spellStart"/>
      <w:r w:rsidR="00445208">
        <w:rPr>
          <w:i/>
          <w:iCs/>
        </w:rPr>
        <w:t>materiae</w:t>
      </w:r>
      <w:proofErr w:type="spellEnd"/>
      <w:r w:rsidR="00445208">
        <w:t xml:space="preserve"> wysunięte przez Rząd musi zostać oddalone.</w:t>
      </w:r>
    </w:p>
    <w:p w14:paraId="39F83D44" w14:textId="77777777" w:rsidR="00F5142C" w:rsidRPr="00DB5C9E" w:rsidRDefault="00446BA2" w:rsidP="00DB5C9E">
      <w:pPr>
        <w:pStyle w:val="JuPara"/>
        <w:rPr>
          <w:iCs/>
        </w:rPr>
      </w:pPr>
      <w:fldSimple w:instr=" SEQ level0 \*arabic \* MERGEFORMAT ">
        <w:r>
          <w:rPr>
            <w:noProof/>
          </w:rPr>
          <w:t>154</w:t>
        </w:r>
      </w:fldSimple>
      <w:r w:rsidR="00445208">
        <w:t>.  Trybunał zauważa, że skarga nie jest ani w sposób oczywisty nieuzasadniona, ani niedopuszczalna z innych powodów wymienionych w art. 35 Konwencji. Należy ją zatem uznać za dopuszczalną.</w:t>
      </w:r>
    </w:p>
    <w:p w14:paraId="03531E1E" w14:textId="77777777" w:rsidR="00F5142C" w:rsidRPr="00DB5C9E" w:rsidRDefault="00445208" w:rsidP="00DB5C9E">
      <w:pPr>
        <w:pStyle w:val="JuHA"/>
        <w:numPr>
          <w:ilvl w:val="2"/>
          <w:numId w:val="1"/>
        </w:numPr>
        <w:ind w:left="584" w:hanging="352"/>
      </w:pPr>
      <w:r>
        <w:t>Przedmiot skargi</w:t>
      </w:r>
    </w:p>
    <w:p w14:paraId="26B71228" w14:textId="77777777" w:rsidR="00F5142C" w:rsidRPr="00DB5C9E" w:rsidRDefault="00445208" w:rsidP="00DB5C9E">
      <w:pPr>
        <w:pStyle w:val="JuH1"/>
      </w:pPr>
      <w:r>
        <w:t>Stanowiska stron</w:t>
      </w:r>
    </w:p>
    <w:p w14:paraId="58405748" w14:textId="77777777" w:rsidR="00F5142C" w:rsidRPr="00DB5C9E" w:rsidRDefault="00445208" w:rsidP="00DB5C9E">
      <w:pPr>
        <w:pStyle w:val="JuHa0"/>
      </w:pPr>
      <w:r>
        <w:t>Skarżący</w:t>
      </w:r>
    </w:p>
    <w:bookmarkStart w:id="62" w:name="paragraph00167"/>
    <w:p w14:paraId="37615254" w14:textId="0CC07DB7" w:rsidR="00F5142C" w:rsidRPr="00DB5C9E" w:rsidRDefault="00445208" w:rsidP="00DB5C9E">
      <w:pPr>
        <w:pStyle w:val="JuPara"/>
      </w:pPr>
      <w:r w:rsidRPr="00DB5C9E">
        <w:fldChar w:fldCharType="begin"/>
      </w:r>
      <w:r w:rsidRPr="00DB5C9E">
        <w:instrText xml:space="preserve"> SEQ level0 \*arabic \* MERGEFORMAT </w:instrText>
      </w:r>
      <w:r w:rsidRPr="00DB5C9E">
        <w:fldChar w:fldCharType="separate"/>
      </w:r>
      <w:r w:rsidR="00446BA2">
        <w:rPr>
          <w:noProof/>
        </w:rPr>
        <w:t>155</w:t>
      </w:r>
      <w:r w:rsidRPr="00DB5C9E">
        <w:fldChar w:fldCharType="end"/>
      </w:r>
      <w:bookmarkEnd w:id="62"/>
      <w:r>
        <w:t>.  Skarżący podniósł, że ingerencja w jego życie prywatne, a</w:t>
      </w:r>
      <w:r w:rsidR="00446732">
        <w:t> </w:t>
      </w:r>
      <w:r>
        <w:t>mianowicie stwierdzenie nieważności jego powołania na stanowisko w</w:t>
      </w:r>
      <w:r w:rsidR="00446732">
        <w:t> </w:t>
      </w:r>
      <w:r>
        <w:t xml:space="preserve">Radzie, nie była zgodna z prawem. Poza faktem, że Rząd interweniował ustawodawczo w celu wpłynięcia na wynik toczącego się sporu, interwencja ta, a konkretnie art. 3 ustawy kwalifikowanej nr 1/2020 (zob. par. </w:t>
      </w:r>
      <w:r w:rsidRPr="00DB5C9E">
        <w:fldChar w:fldCharType="begin"/>
      </w:r>
      <w:r w:rsidRPr="00DB5C9E">
        <w:instrText xml:space="preserve">REF paragraph00061 \h \* CharFormat </w:instrText>
      </w:r>
      <w:r w:rsidRPr="00DB5C9E">
        <w:fldChar w:fldCharType="separate"/>
      </w:r>
      <w:r w:rsidR="00446BA2">
        <w:t>61</w:t>
      </w:r>
      <w:r w:rsidRPr="00DB5C9E">
        <w:fldChar w:fldCharType="end"/>
      </w:r>
      <w:r>
        <w:t xml:space="preserve"> powyżej), nie mogła być uznana za przepis prawa wystarczająco wysokiej jakości. Przepis nie był ani przewidywalny – ponieważ skarżący w żadnym wypadku nie mógł przewidzieć okoliczności, w jakich władze były uprawnione do uciekania się do środków wpływających na jego prawa wynikające z Konwencji, a także warunków, na jakich były do tego uprawnione – ani nie był zgodny z zasadą rządów prawa. Ponadto przepisowi nie towarzyszyły żadne gwarancje, ponieważ w postępowaniu administracyjnym zastosowano go i uznano jego zgodność z Konstytucją bez skierowania sprawy do Trybunału Konstytucyjnego.</w:t>
      </w:r>
    </w:p>
    <w:p w14:paraId="2BA02CF2" w14:textId="5C22ACCF" w:rsidR="00F5142C" w:rsidRPr="00DB5C9E" w:rsidRDefault="00446BA2" w:rsidP="00DB5C9E">
      <w:pPr>
        <w:pStyle w:val="JuPara"/>
      </w:pPr>
      <w:fldSimple w:instr=" SEQ level0 \*arabic \* MERGEFORMAT ">
        <w:r>
          <w:rPr>
            <w:noProof/>
          </w:rPr>
          <w:t>156</w:t>
        </w:r>
      </w:fldSimple>
      <w:r w:rsidR="00445208">
        <w:t xml:space="preserve">.  Skarżący uznał, że za takim środkiem nie stał żaden uzasadniony interes, zważywszy, że, jak przyznał Rząd (zob. par. </w:t>
      </w:r>
      <w:r w:rsidR="00445208" w:rsidRPr="00DB5C9E">
        <w:fldChar w:fldCharType="begin"/>
      </w:r>
      <w:r w:rsidR="00445208" w:rsidRPr="00DB5C9E">
        <w:instrText xml:space="preserve">REF paragraph00112 \h \* CharFormat </w:instrText>
      </w:r>
      <w:r w:rsidR="00445208" w:rsidRPr="00DB5C9E">
        <w:fldChar w:fldCharType="separate"/>
      </w:r>
      <w:r>
        <w:t>110</w:t>
      </w:r>
      <w:r w:rsidR="00445208" w:rsidRPr="00DB5C9E">
        <w:fldChar w:fldCharType="end"/>
      </w:r>
      <w:r w:rsidR="00445208">
        <w:t xml:space="preserve"> powyżej), żadna ze</w:t>
      </w:r>
      <w:r w:rsidR="00446732">
        <w:t> </w:t>
      </w:r>
      <w:r w:rsidR="00445208">
        <w:t>stron postępowań sądowych, które zostały rozstrzygnięte przez skarżącego, nigdy nie zakwestionowała jego powołania ani legitymacji. W</w:t>
      </w:r>
      <w:r w:rsidR="00446732">
        <w:t> </w:t>
      </w:r>
      <w:r w:rsidR="00445208">
        <w:t>żadnym wypadku środka tego nie można było też uznać za proporcjonalny z uwagi na jego poważny i długotrwały wpływ oraz znaczące konsekwencje ekonomiczne i zawodowe.</w:t>
      </w:r>
    </w:p>
    <w:p w14:paraId="3AE8FDE1" w14:textId="77777777" w:rsidR="00F5142C" w:rsidRPr="00DB5C9E" w:rsidRDefault="00445208" w:rsidP="00DB5C9E">
      <w:pPr>
        <w:pStyle w:val="JuHa0"/>
      </w:pPr>
      <w:r>
        <w:t>Rząd</w:t>
      </w:r>
    </w:p>
    <w:bookmarkStart w:id="63" w:name="paragraph00169"/>
    <w:p w14:paraId="176082E6" w14:textId="42EB4DAF" w:rsidR="00F5142C" w:rsidRPr="00DB5C9E" w:rsidRDefault="00445208" w:rsidP="00DB5C9E">
      <w:pPr>
        <w:pStyle w:val="JuPara"/>
      </w:pPr>
      <w:r w:rsidRPr="00DB5C9E">
        <w:fldChar w:fldCharType="begin"/>
      </w:r>
      <w:r w:rsidRPr="00DB5C9E">
        <w:instrText xml:space="preserve"> SEQ level0 \*arabic \* MERGEFORMAT </w:instrText>
      </w:r>
      <w:r w:rsidRPr="00DB5C9E">
        <w:fldChar w:fldCharType="separate"/>
      </w:r>
      <w:r w:rsidR="00446BA2">
        <w:rPr>
          <w:noProof/>
        </w:rPr>
        <w:t>157</w:t>
      </w:r>
      <w:r w:rsidRPr="00DB5C9E">
        <w:fldChar w:fldCharType="end"/>
      </w:r>
      <w:bookmarkEnd w:id="63"/>
      <w:r>
        <w:t>.  Rząd podniósł, że ingerencja była zgodna z prawem, na podstawie art. 3 ustawy kwalifikowanej nr 1/2020, uchwalonej przez Parlament wykonujący swoje uprawnienia zgodnie z prawem i zasadą państwa prawa, w zakresie, w jakim było to konieczne dla realizacji nadrzędnych interesów publicznych, takich jak pewność prawa, podział władzy, autonomia i</w:t>
      </w:r>
      <w:r w:rsidR="00446732">
        <w:t> </w:t>
      </w:r>
      <w:r>
        <w:t>niezawisłość sądownictwa, rzetelność procesu sądowego oraz ochrona uzasadnionych oczekiwań.</w:t>
      </w:r>
    </w:p>
    <w:p w14:paraId="6C8A6314" w14:textId="63636A0B" w:rsidR="00F5142C" w:rsidRPr="00DB5C9E" w:rsidRDefault="00446BA2" w:rsidP="00DB5C9E">
      <w:pPr>
        <w:pStyle w:val="JuPara"/>
      </w:pPr>
      <w:fldSimple w:instr=" SEQ level0 \*arabic \* MERGEFORMAT ">
        <w:r>
          <w:rPr>
            <w:noProof/>
          </w:rPr>
          <w:t>158</w:t>
        </w:r>
      </w:fldSimple>
      <w:r w:rsidR="00445208">
        <w:t xml:space="preserve">.  Rząd powtórzył swoje stanowisko przedstawione na gruncie art. 6 Konwencji, potwierdzając, że w następstwie powstałych rozbieżności konieczne było zapewnienie jasności co do składu CGP, aby umożliwić jej </w:t>
      </w:r>
      <w:r w:rsidR="00445208">
        <w:lastRenderedPageBreak/>
        <w:t>właściwe funkcjonowanie. Rząd uznał, że wykładnia ustawodawcy jako egzegety, w następstwie rozbieżności powstałych na posiedzeniu w dniu 27</w:t>
      </w:r>
      <w:r w:rsidR="00446732">
        <w:t> </w:t>
      </w:r>
      <w:r w:rsidR="00445208">
        <w:t>kwietnia 2018 r. co do wykładni prawa, wydawała się proporcjonalna do</w:t>
      </w:r>
      <w:r w:rsidR="00446732">
        <w:t> </w:t>
      </w:r>
      <w:r w:rsidR="00445208">
        <w:t>realizowanych celów. Zdaniem Rządu wykładnia ustawodawcy była bardziej uzasadniona, ponieważ „jako jedyna była w stanie zapobiec możliwym dysproporcjom między liczbą członków będących sędziami a</w:t>
      </w:r>
      <w:r w:rsidR="00446732">
        <w:t> </w:t>
      </w:r>
      <w:r w:rsidR="00445208">
        <w:t>tymi, którzy nie są sędziami”. Rząd uznał, że przyjęcie tego przepisu powinno było być przewidywalne dla skarżącego z uwagi na jego zawód.</w:t>
      </w:r>
    </w:p>
    <w:p w14:paraId="1407F8F2" w14:textId="77777777" w:rsidR="00F5142C" w:rsidRPr="00DB5C9E" w:rsidRDefault="00446BA2" w:rsidP="00DB5C9E">
      <w:pPr>
        <w:pStyle w:val="JuPara"/>
      </w:pPr>
      <w:fldSimple w:instr=" SEQ level0 \*arabic \* MERGEFORMAT ">
        <w:r>
          <w:rPr>
            <w:noProof/>
          </w:rPr>
          <w:t>159</w:t>
        </w:r>
      </w:fldSimple>
      <w:r w:rsidR="00445208">
        <w:t xml:space="preserve">.  CGP, po zatwierdzeniu przepisu autentycznej wykładni, rozważyła na obradach kwestię stwierdzenia nieważności powołania skarżącego, opierając się na opinii </w:t>
      </w:r>
      <w:r w:rsidR="00445208">
        <w:rPr>
          <w:i/>
          <w:iCs/>
        </w:rPr>
        <w:t>pro</w:t>
      </w:r>
      <w:r w:rsidR="00445208">
        <w:noBreakHyphen/>
      </w:r>
      <w:proofErr w:type="spellStart"/>
      <w:proofErr w:type="gramStart"/>
      <w:r w:rsidR="00445208">
        <w:rPr>
          <w:i/>
          <w:iCs/>
        </w:rPr>
        <w:t>veritate</w:t>
      </w:r>
      <w:proofErr w:type="spellEnd"/>
      <w:r w:rsidR="00445208">
        <w:t>,</w:t>
      </w:r>
      <w:proofErr w:type="gramEnd"/>
      <w:r w:rsidR="00445208">
        <w:t xml:space="preserve"> i przywróciła </w:t>
      </w:r>
      <w:r w:rsidR="00445208">
        <w:rPr>
          <w:i/>
          <w:iCs/>
        </w:rPr>
        <w:t xml:space="preserve">status quo </w:t>
      </w:r>
      <w:proofErr w:type="spellStart"/>
      <w:r w:rsidR="00445208">
        <w:rPr>
          <w:i/>
          <w:iCs/>
        </w:rPr>
        <w:t>ante</w:t>
      </w:r>
      <w:proofErr w:type="spellEnd"/>
      <w:r w:rsidR="00445208">
        <w:t xml:space="preserve"> (tj. skład CGP zgodny z wykładnią stale stosowaną od 2011 r. do 2018 r.), a następnie wszczęła jawne procedury wyboru kandydatów na wakujące stanowiska.</w:t>
      </w:r>
    </w:p>
    <w:p w14:paraId="10E60700" w14:textId="2D427782" w:rsidR="00F5142C" w:rsidRPr="00DB5C9E" w:rsidRDefault="00446BA2" w:rsidP="00DB5C9E">
      <w:pPr>
        <w:pStyle w:val="JuPara"/>
      </w:pPr>
      <w:fldSimple w:instr=" SEQ level0 \*arabic \* MERGEFORMAT ">
        <w:r>
          <w:rPr>
            <w:noProof/>
          </w:rPr>
          <w:t>160</w:t>
        </w:r>
      </w:fldSimple>
      <w:r w:rsidR="00445208">
        <w:t>.  Podczas gdy skarżący argumentował, że sądy administracyjne zawłaszczyły sobie funkcje organów konstytucyjnych, Rząd uznał, że sądy administracyjne po prostu dokonały wstępnej oceny jego roszczeń o</w:t>
      </w:r>
      <w:r w:rsidR="00446732">
        <w:t> </w:t>
      </w:r>
      <w:r w:rsidR="00445208">
        <w:t>charakterze konstytucyjnym w celu ustalenia, czy były one zarówno dopuszczalne (zgodnie z art. 12 ust. 2 [</w:t>
      </w:r>
      <w:r w:rsidR="00445208">
        <w:rPr>
          <w:i/>
          <w:iCs/>
        </w:rPr>
        <w:t>recte</w:t>
      </w:r>
      <w:r w:rsidR="00445208">
        <w:t xml:space="preserve"> 13 ust. 4] ustawy kwalifikowanej nr 55/2003, zob. par. </w:t>
      </w:r>
      <w:r w:rsidR="00445208" w:rsidRPr="00DB5C9E">
        <w:fldChar w:fldCharType="begin"/>
      </w:r>
      <w:r w:rsidR="00445208" w:rsidRPr="00DB5C9E">
        <w:instrText xml:space="preserve">REF paragraph00063 \h \* CharFormat </w:instrText>
      </w:r>
      <w:r w:rsidR="00445208" w:rsidRPr="00DB5C9E">
        <w:fldChar w:fldCharType="separate"/>
      </w:r>
      <w:r>
        <w:t>63</w:t>
      </w:r>
      <w:r w:rsidR="00445208" w:rsidRPr="00DB5C9E">
        <w:fldChar w:fldCharType="end"/>
      </w:r>
      <w:r w:rsidR="00445208">
        <w:t xml:space="preserve"> powyżej), jak i istotne oraz niebędące w sposób oczywisty nieuzasadnione, a zatem zasługujące na skierowanie. Sądy uznały jednak te roszczenia za w sposób oczywisty nieuzasadnione, w związku z</w:t>
      </w:r>
      <w:r w:rsidR="00446732">
        <w:t> </w:t>
      </w:r>
      <w:r w:rsidR="00445208">
        <w:t>czym takie skierowanie nie było konieczne.</w:t>
      </w:r>
    </w:p>
    <w:p w14:paraId="63A74F7C" w14:textId="4AC015D4" w:rsidR="00F5142C" w:rsidRPr="00DB5C9E" w:rsidRDefault="00445208" w:rsidP="00DB5C9E">
      <w:pPr>
        <w:pStyle w:val="JuH1"/>
      </w:pPr>
      <w:r>
        <w:t>O</w:t>
      </w:r>
      <w:r w:rsidR="00BF6A7A">
        <w:t>cena Trybunału</w:t>
      </w:r>
    </w:p>
    <w:p w14:paraId="24A122A3" w14:textId="77777777" w:rsidR="00F5142C" w:rsidRPr="00DB5C9E" w:rsidRDefault="00445208" w:rsidP="00DB5C9E">
      <w:pPr>
        <w:pStyle w:val="JuHa0"/>
      </w:pPr>
      <w:r>
        <w:t>Zasady ogólne</w:t>
      </w:r>
    </w:p>
    <w:p w14:paraId="54BA91D8" w14:textId="06A172B8" w:rsidR="00F5142C" w:rsidRPr="00DB5C9E" w:rsidRDefault="00446BA2" w:rsidP="00DB5C9E">
      <w:pPr>
        <w:pStyle w:val="JuPara"/>
      </w:pPr>
      <w:fldSimple w:instr=" SEQ level0 \*arabic \* MERGEFORMAT ">
        <w:r>
          <w:rPr>
            <w:noProof/>
          </w:rPr>
          <w:t>161</w:t>
        </w:r>
      </w:fldSimple>
      <w:r w:rsidR="00445208">
        <w:t>.  Ingerencja w prawo do poszanowania życia prywatnego będzie stanowiła naruszenie art. 8 Konwencji, chyba że może być uzasadniona na</w:t>
      </w:r>
      <w:r w:rsidR="00446732">
        <w:t> </w:t>
      </w:r>
      <w:r w:rsidR="00445208">
        <w:t>podstawie ust. 2 art. 8 jako „przewidziana przez ustawę”, realizująca co</w:t>
      </w:r>
      <w:r w:rsidR="00446732">
        <w:t> </w:t>
      </w:r>
      <w:r w:rsidR="00445208">
        <w:t xml:space="preserve">najmniej jeden z wymienionych w nim uzasadnionych celów oraz „konieczna w demokratycznym społeczeństwie” dla realizacji danego celu lub danych celów (zob. </w:t>
      </w:r>
      <w:bookmarkStart w:id="64" w:name="_cl42237THELAW"/>
      <w:proofErr w:type="spellStart"/>
      <w:r w:rsidR="00445208">
        <w:rPr>
          <w:i/>
        </w:rPr>
        <w:t>Juszczyszyn</w:t>
      </w:r>
      <w:proofErr w:type="spellEnd"/>
      <w:r w:rsidR="00445208">
        <w:t xml:space="preserve">, op. cit., § 260 oraz </w:t>
      </w:r>
      <w:proofErr w:type="spellStart"/>
      <w:r w:rsidR="00445208">
        <w:rPr>
          <w:i/>
        </w:rPr>
        <w:t>Ovcharenko</w:t>
      </w:r>
      <w:proofErr w:type="spellEnd"/>
      <w:r w:rsidR="00445208">
        <w:t xml:space="preserve"> </w:t>
      </w:r>
      <w:r w:rsidR="00445208">
        <w:rPr>
          <w:i/>
        </w:rPr>
        <w:t>i Kolos przeciwko Ukrainie</w:t>
      </w:r>
      <w:bookmarkEnd w:id="64"/>
      <w:r w:rsidR="00445208">
        <w:t>, nr 27276/15 i 33692/15, § 92, 12 stycznia 2023 r.).</w:t>
      </w:r>
    </w:p>
    <w:p w14:paraId="1479E204" w14:textId="77777777" w:rsidR="00F5142C" w:rsidRPr="00DB5C9E" w:rsidRDefault="00446BA2" w:rsidP="00DB5C9E">
      <w:pPr>
        <w:pStyle w:val="JuPara"/>
        <w:rPr>
          <w:rFonts w:eastAsia="Times New Roman"/>
        </w:rPr>
      </w:pPr>
      <w:fldSimple w:instr=" SEQ level0 \*arabic \* MERGEFORMAT ">
        <w:r>
          <w:rPr>
            <w:noProof/>
          </w:rPr>
          <w:t>162</w:t>
        </w:r>
      </w:fldSimple>
      <w:r w:rsidR="00445208">
        <w:t xml:space="preserve">.  Wyrażenie „przewidziana przez ustawę” wymaga po pierwsze, aby kwestionowany środek miał jakąś podstawę w prawie krajowym. Zakłada konieczność dostosowania się do jego przepisów materialnych i proceduralnych (zob. </w:t>
      </w:r>
      <w:proofErr w:type="spellStart"/>
      <w:r w:rsidR="00445208">
        <w:rPr>
          <w:i/>
        </w:rPr>
        <w:t>Gumenyuk</w:t>
      </w:r>
      <w:proofErr w:type="spellEnd"/>
      <w:r w:rsidR="00445208">
        <w:rPr>
          <w:i/>
        </w:rPr>
        <w:t xml:space="preserve"> i Inni</w:t>
      </w:r>
      <w:r w:rsidR="00445208">
        <w:t>, op. cit., § 95).</w:t>
      </w:r>
    </w:p>
    <w:p w14:paraId="22E05F10" w14:textId="68193F4D" w:rsidR="00F5142C" w:rsidRPr="00DB5C9E" w:rsidRDefault="00445208" w:rsidP="00DB5C9E">
      <w:pPr>
        <w:pStyle w:val="JuPara"/>
        <w:rPr>
          <w:rFonts w:eastAsia="Times New Roman"/>
        </w:rPr>
      </w:pPr>
      <w:r w:rsidRPr="00DB5C9E">
        <w:rPr>
          <w:rFonts w:eastAsia="Times New Roman"/>
        </w:rPr>
        <w:fldChar w:fldCharType="begin"/>
      </w:r>
      <w:r w:rsidRPr="00DB5C9E">
        <w:rPr>
          <w:rFonts w:eastAsia="Times New Roman"/>
        </w:rPr>
        <w:instrText xml:space="preserve"> SEQ level0 \*arabic \* MERGEFORMAT </w:instrText>
      </w:r>
      <w:r w:rsidRPr="00DB5C9E">
        <w:rPr>
          <w:rFonts w:eastAsia="Times New Roman"/>
        </w:rPr>
        <w:fldChar w:fldCharType="separate"/>
      </w:r>
      <w:r w:rsidR="00446BA2">
        <w:rPr>
          <w:rFonts w:eastAsia="Times New Roman"/>
          <w:noProof/>
        </w:rPr>
        <w:t>163</w:t>
      </w:r>
      <w:r w:rsidRPr="00DB5C9E">
        <w:rPr>
          <w:rFonts w:eastAsia="Times New Roman"/>
        </w:rPr>
        <w:fldChar w:fldCharType="end"/>
      </w:r>
      <w:r>
        <w:t>.  Po drugie odnosi się do jakości danego prawa, wymagając, by było ono dostępne dla osoby zainteresowanej, która ponadto musi być w stanie przewidzieć konsekwencje tego prawa dla niej, a także by było zgodne z</w:t>
      </w:r>
      <w:r w:rsidR="00446732">
        <w:t> </w:t>
      </w:r>
      <w:r>
        <w:t xml:space="preserve">zasadą praworządności. Sformułowanie to oznacza zatem m.in., że przepisy prawa krajowego muszą być na tyle przewidywalne, aby dać jednostkom odpowiednią wskazówkę co do okoliczności, w których oraz warunków, na jakich władze mają prawo sięgać po środki wpływające na ich prawa </w:t>
      </w:r>
      <w:r>
        <w:lastRenderedPageBreak/>
        <w:t xml:space="preserve">wynikające z Konwencji (zob. </w:t>
      </w:r>
      <w:proofErr w:type="spellStart"/>
      <w:r>
        <w:rPr>
          <w:i/>
        </w:rPr>
        <w:t>Fernández</w:t>
      </w:r>
      <w:proofErr w:type="spellEnd"/>
      <w:r>
        <w:rPr>
          <w:i/>
        </w:rPr>
        <w:t xml:space="preserve"> </w:t>
      </w:r>
      <w:proofErr w:type="spellStart"/>
      <w:r>
        <w:rPr>
          <w:i/>
        </w:rPr>
        <w:t>Martínez</w:t>
      </w:r>
      <w:proofErr w:type="spellEnd"/>
      <w:r>
        <w:rPr>
          <w:i/>
        </w:rPr>
        <w:t xml:space="preserve"> przeciwko Hiszpanii </w:t>
      </w:r>
      <w:r>
        <w:t xml:space="preserve">[WI], nr 56030/07, § 117, ETPC 2014 (fragmenty) z dalszymi odniesieniami oraz </w:t>
      </w:r>
      <w:r>
        <w:rPr>
          <w:i/>
        </w:rPr>
        <w:t xml:space="preserve">De </w:t>
      </w:r>
      <w:proofErr w:type="spellStart"/>
      <w:r>
        <w:rPr>
          <w:i/>
        </w:rPr>
        <w:t>Tommaso</w:t>
      </w:r>
      <w:proofErr w:type="spellEnd"/>
      <w:r>
        <w:rPr>
          <w:i/>
        </w:rPr>
        <w:t xml:space="preserve"> przeciwko Włochom</w:t>
      </w:r>
      <w:r>
        <w:t xml:space="preserve"> [WI], nr 43395/09, §§ 106-109, 23 lutego 2017 r.).</w:t>
      </w:r>
    </w:p>
    <w:p w14:paraId="14ABB7B7" w14:textId="772E3042" w:rsidR="00F5142C" w:rsidRPr="00DB5C9E" w:rsidRDefault="00445208" w:rsidP="00DB5C9E">
      <w:pPr>
        <w:pStyle w:val="JuPara"/>
      </w:pPr>
      <w:r w:rsidRPr="00DB5C9E">
        <w:rPr>
          <w:rFonts w:eastAsia="Times New Roman"/>
        </w:rPr>
        <w:fldChar w:fldCharType="begin"/>
      </w:r>
      <w:r w:rsidRPr="00DB5C9E">
        <w:rPr>
          <w:rFonts w:eastAsia="Times New Roman"/>
        </w:rPr>
        <w:instrText xml:space="preserve"> SEQ level0 \*arabic \* MERGEFORMAT </w:instrText>
      </w:r>
      <w:r w:rsidRPr="00DB5C9E">
        <w:rPr>
          <w:rFonts w:eastAsia="Times New Roman"/>
        </w:rPr>
        <w:fldChar w:fldCharType="separate"/>
      </w:r>
      <w:r w:rsidR="00446BA2">
        <w:rPr>
          <w:rFonts w:eastAsia="Times New Roman"/>
          <w:noProof/>
        </w:rPr>
        <w:t>164</w:t>
      </w:r>
      <w:r w:rsidRPr="00DB5C9E">
        <w:rPr>
          <w:rFonts w:eastAsia="Times New Roman"/>
        </w:rPr>
        <w:fldChar w:fldCharType="end"/>
      </w:r>
      <w:r>
        <w:t xml:space="preserve">.  Ingerencja w prawo do poszanowania życia prywatnego i rodzinnego musi zatem być oparta na „ustawie”, która gwarantuje odpowiednie zabezpieczenia przed arbitralnością. Muszą istnieć zabezpieczenia zapewniające, aby swoboda działania pozostawiona władzy wykonawczej była realizowana zgodnie z ustawą i bez nadużywania uprawnień. Wymogi art. 8 w zakresie zabezpieczeń będą zależeć, przynajmniej w pewnym stopniu, od charakteru i zakresu danej ingerencji (zob. sprawa </w:t>
      </w:r>
      <w:r>
        <w:rPr>
          <w:i/>
          <w:iCs/>
        </w:rPr>
        <w:t>Solska i</w:t>
      </w:r>
      <w:r w:rsidR="00446732">
        <w:rPr>
          <w:i/>
          <w:iCs/>
        </w:rPr>
        <w:t> </w:t>
      </w:r>
      <w:r>
        <w:rPr>
          <w:i/>
          <w:iCs/>
        </w:rPr>
        <w:t>Rybicka przeciwko Polsce</w:t>
      </w:r>
      <w:r>
        <w:t xml:space="preserve">, nr 30491/17 i 31083/17, § 113, 20 września 2018 r., z dalszymi odniesieniami, oraz z ostatnich orzeczeń </w:t>
      </w:r>
      <w:proofErr w:type="spellStart"/>
      <w:r>
        <w:rPr>
          <w:i/>
          <w:iCs/>
        </w:rPr>
        <w:t>Juszczyszyn</w:t>
      </w:r>
      <w:proofErr w:type="spellEnd"/>
      <w:r>
        <w:t>, op. cit., § 263).</w:t>
      </w:r>
    </w:p>
    <w:p w14:paraId="1AB3A539" w14:textId="50B1DACB" w:rsidR="00F5142C" w:rsidRPr="00DB5C9E" w:rsidRDefault="00446BA2" w:rsidP="00DB5C9E">
      <w:pPr>
        <w:pStyle w:val="JuPara"/>
        <w:rPr>
          <w:rFonts w:eastAsiaTheme="minorEastAsia"/>
          <w:szCs w:val="22"/>
        </w:rPr>
      </w:pPr>
      <w:fldSimple w:instr=" SEQ level0 \*arabic \* MERGEFORMAT ">
        <w:r>
          <w:rPr>
            <w:noProof/>
          </w:rPr>
          <w:t>165</w:t>
        </w:r>
      </w:fldSimple>
      <w:r w:rsidR="00445208">
        <w:t>.  Trybunał powtarza, że ingerencja będzie uważana za „konieczną w</w:t>
      </w:r>
      <w:r w:rsidR="00446732">
        <w:t> </w:t>
      </w:r>
      <w:r w:rsidR="00445208">
        <w:t>demokratycznym społeczeństwie” dla realizacji uzasadnionego celu, jeżeli odpowiada „naglącej potrzebie społecznej” i, w szczególności, jeżeli jest proporcjonalna do realizowanego uzasadnionego celu. O ile to władze krajowe dokonują wstępnej oceny konieczności, ostateczna ocena tego, czy powody przytoczone dla uzasadnienia ingerencji są istotne i wystarczające, pozostaje przedmiotem kontroli Trybunału pod kątem zgodności z</w:t>
      </w:r>
      <w:r w:rsidR="00446732">
        <w:t> </w:t>
      </w:r>
      <w:r w:rsidR="00445208">
        <w:t xml:space="preserve">wymogami Konwencji (zob. np. </w:t>
      </w:r>
      <w:r w:rsidR="00445208">
        <w:rPr>
          <w:i/>
          <w:iCs/>
        </w:rPr>
        <w:t>Chapman przeciwko Zjednoczonemu Królestwu</w:t>
      </w:r>
      <w:r w:rsidR="00445208">
        <w:t xml:space="preserve"> [WI], nr 27238/95, § 90, ETPC 2001</w:t>
      </w:r>
      <w:r w:rsidR="00445208">
        <w:noBreakHyphen/>
        <w:t xml:space="preserve">I oraz </w:t>
      </w:r>
      <w:bookmarkStart w:id="65" w:name="_cl34354THELAW"/>
      <w:proofErr w:type="spellStart"/>
      <w:r w:rsidR="00445208">
        <w:rPr>
          <w:i/>
        </w:rPr>
        <w:t>Polyakh</w:t>
      </w:r>
      <w:proofErr w:type="spellEnd"/>
      <w:r w:rsidR="00445208">
        <w:rPr>
          <w:i/>
        </w:rPr>
        <w:t xml:space="preserve"> i Inni przeciwko Ukrainie</w:t>
      </w:r>
      <w:bookmarkEnd w:id="65"/>
      <w:r w:rsidR="00445208">
        <w:t>, nr 58812/15 i 4 inne, § 283, 17 października 2019 r.).</w:t>
      </w:r>
    </w:p>
    <w:p w14:paraId="78D648F4" w14:textId="77777777" w:rsidR="00F5142C" w:rsidRPr="00DB5C9E" w:rsidRDefault="00445208" w:rsidP="00DB5C9E">
      <w:pPr>
        <w:pStyle w:val="JuHa0"/>
      </w:pPr>
      <w:r>
        <w:t>Zastosowanie ogólnych zasad w niniejszej sprawie</w:t>
      </w:r>
    </w:p>
    <w:p w14:paraId="4FB9C342" w14:textId="77777777" w:rsidR="00F5142C" w:rsidRPr="00DB5C9E" w:rsidRDefault="00446BA2" w:rsidP="00DB5C9E">
      <w:pPr>
        <w:pStyle w:val="JuPara"/>
      </w:pPr>
      <w:fldSimple w:instr=" SEQ level0 \*arabic \* MERGEFORMAT ">
        <w:r>
          <w:rPr>
            <w:noProof/>
          </w:rPr>
          <w:t>166</w:t>
        </w:r>
      </w:fldSimple>
      <w:r w:rsidR="00445208">
        <w:t xml:space="preserve">.  Trybunał uznał już, że stwierdzenie nieważności powołania skarżącego przez CGP wpłynęło na jego życie prywatne w bardzo znacznym stopniu (zob. par. </w:t>
      </w:r>
      <w:r w:rsidR="00445208" w:rsidRPr="00DB5C9E">
        <w:fldChar w:fldCharType="begin"/>
      </w:r>
      <w:r w:rsidR="00445208" w:rsidRPr="00DB5C9E">
        <w:instrText xml:space="preserve">REF paragraph00164 \h \* CharFormat </w:instrText>
      </w:r>
      <w:r w:rsidR="00445208" w:rsidRPr="00DB5C9E">
        <w:fldChar w:fldCharType="separate"/>
      </w:r>
      <w:r>
        <w:t>152</w:t>
      </w:r>
      <w:r w:rsidR="00445208" w:rsidRPr="00DB5C9E">
        <w:fldChar w:fldCharType="end"/>
      </w:r>
      <w:r w:rsidR="00445208">
        <w:t xml:space="preserve"> powyżej). Zaskarżony środek stanowił zatem ingerencję w prawo skarżącego do poszanowania jego życia prywatnego.</w:t>
      </w:r>
    </w:p>
    <w:p w14:paraId="24849651" w14:textId="3855E8A5" w:rsidR="00F5142C" w:rsidRPr="00DB5C9E" w:rsidRDefault="00446BA2" w:rsidP="00DB5C9E">
      <w:pPr>
        <w:pStyle w:val="JuPara"/>
        <w:rPr>
          <w:rFonts w:eastAsia="Times New Roman"/>
        </w:rPr>
      </w:pPr>
      <w:fldSimple w:instr=" SEQ level0 \*arabic \* MERGEFORMAT ">
        <w:r>
          <w:rPr>
            <w:noProof/>
          </w:rPr>
          <w:t>167</w:t>
        </w:r>
      </w:fldSimple>
      <w:r w:rsidR="00445208">
        <w:t xml:space="preserve">.  Trybunał zauważa, że decyzja CGP była oparta na art. 44 ustawy nr 160/2011 dotyczącej procedur administracyjnych (zob. par. </w:t>
      </w:r>
      <w:r w:rsidR="00445208" w:rsidRPr="00DB5C9E">
        <w:fldChar w:fldCharType="begin"/>
      </w:r>
      <w:r w:rsidR="00445208" w:rsidRPr="00DB5C9E">
        <w:instrText xml:space="preserve">REF paragraph00064 \h \* CharFormat </w:instrText>
      </w:r>
      <w:r w:rsidR="00445208" w:rsidRPr="00DB5C9E">
        <w:fldChar w:fldCharType="separate"/>
      </w:r>
      <w:r>
        <w:t>64</w:t>
      </w:r>
      <w:r w:rsidR="00445208" w:rsidRPr="00DB5C9E">
        <w:fldChar w:fldCharType="end"/>
      </w:r>
      <w:r w:rsidR="00445208">
        <w:t xml:space="preserve"> powyżej) w</w:t>
      </w:r>
      <w:r w:rsidR="00446732">
        <w:t> </w:t>
      </w:r>
      <w:r w:rsidR="00445208">
        <w:t xml:space="preserve">świetle uchwalenia art. 3 ustawy kwalifikowanej nr 1/2020 (zob. par. </w:t>
      </w:r>
      <w:r w:rsidR="00445208" w:rsidRPr="00DB5C9E">
        <w:fldChar w:fldCharType="begin"/>
      </w:r>
      <w:r w:rsidR="00445208" w:rsidRPr="00DB5C9E">
        <w:instrText xml:space="preserve">REF paragraph00061 \h \* CharFormat </w:instrText>
      </w:r>
      <w:r w:rsidR="00445208" w:rsidRPr="00DB5C9E">
        <w:fldChar w:fldCharType="separate"/>
      </w:r>
      <w:r>
        <w:t>61</w:t>
      </w:r>
      <w:r w:rsidR="00445208" w:rsidRPr="00DB5C9E">
        <w:fldChar w:fldCharType="end"/>
      </w:r>
      <w:r w:rsidR="00445208">
        <w:t xml:space="preserve"> powyżej), regulującego wykładnię art. 7 ustawy kwalifikowanej nr 145/2003 (zob. par. </w:t>
      </w:r>
      <w:r w:rsidR="00445208" w:rsidRPr="00DB5C9E">
        <w:fldChar w:fldCharType="begin"/>
      </w:r>
      <w:r w:rsidR="00445208" w:rsidRPr="00DB5C9E">
        <w:instrText xml:space="preserve">REF paragraph00057 \h \* CharFormat </w:instrText>
      </w:r>
      <w:r w:rsidR="00445208" w:rsidRPr="00DB5C9E">
        <w:fldChar w:fldCharType="separate"/>
      </w:r>
      <w:r>
        <w:t>57</w:t>
      </w:r>
      <w:r w:rsidR="00445208" w:rsidRPr="00DB5C9E">
        <w:fldChar w:fldCharType="end"/>
      </w:r>
      <w:r w:rsidR="00445208">
        <w:t xml:space="preserve"> powyżej) z mocą wsteczną.</w:t>
      </w:r>
    </w:p>
    <w:bookmarkStart w:id="66" w:name="p3"/>
    <w:p w14:paraId="0D876504" w14:textId="0F828EBC" w:rsidR="00F5142C" w:rsidRPr="00DB5C9E" w:rsidRDefault="00445208" w:rsidP="00DB5C9E">
      <w:pPr>
        <w:pStyle w:val="JuPara"/>
        <w:rPr>
          <w:rFonts w:eastAsia="Times New Roman"/>
        </w:rPr>
      </w:pPr>
      <w:r w:rsidRPr="00DB5C9E">
        <w:rPr>
          <w:rFonts w:eastAsia="Times New Roman"/>
        </w:rPr>
        <w:fldChar w:fldCharType="begin"/>
      </w:r>
      <w:r w:rsidRPr="00DB5C9E">
        <w:rPr>
          <w:rFonts w:eastAsia="Times New Roman"/>
        </w:rPr>
        <w:instrText xml:space="preserve"> SEQ level0 \*arabic \* MERGEFORMAT </w:instrText>
      </w:r>
      <w:r w:rsidRPr="00DB5C9E">
        <w:rPr>
          <w:rFonts w:eastAsia="Times New Roman"/>
        </w:rPr>
        <w:fldChar w:fldCharType="separate"/>
      </w:r>
      <w:r w:rsidR="00446BA2">
        <w:rPr>
          <w:rFonts w:eastAsia="Times New Roman"/>
          <w:noProof/>
        </w:rPr>
        <w:t>168</w:t>
      </w:r>
      <w:r w:rsidRPr="00DB5C9E">
        <w:rPr>
          <w:rFonts w:eastAsia="Times New Roman"/>
        </w:rPr>
        <w:fldChar w:fldCharType="end"/>
      </w:r>
      <w:bookmarkEnd w:id="66"/>
      <w:r>
        <w:t>.  O ile decyzja o stwierdzeniu nieważności powołania skarżącego została wydana na podstawie art. 44 ustawy nr 160/2011, Trybunał zauważa, że ten ostatni przepis stanowi, iż taki środek może zostać podjęty w</w:t>
      </w:r>
      <w:r w:rsidR="00446732">
        <w:t> </w:t>
      </w:r>
      <w:r>
        <w:t>rozsądnym terminie i z uwzględnieniem interesów adresatów (zob. par.</w:t>
      </w:r>
      <w:r w:rsidR="00446732">
        <w:t xml:space="preserve"> </w:t>
      </w:r>
      <w:r w:rsidRPr="00DB5C9E">
        <w:fldChar w:fldCharType="begin"/>
      </w:r>
      <w:r w:rsidRPr="00DB5C9E">
        <w:instrText xml:space="preserve">REF paragraph00064 \h \* CharFormat </w:instrText>
      </w:r>
      <w:r w:rsidRPr="00DB5C9E">
        <w:fldChar w:fldCharType="separate"/>
      </w:r>
      <w:r w:rsidR="00446BA2">
        <w:t>64</w:t>
      </w:r>
      <w:r w:rsidRPr="00DB5C9E">
        <w:fldChar w:fldCharType="end"/>
      </w:r>
      <w:r>
        <w:t xml:space="preserve"> powyżej). Trybunał zauważa, że środek w niniejszej sprawie został zastosowany ponad osiemnaście miesięcy po tym, jak skarżący rozpoczął pełnienie swoich funkcji jako </w:t>
      </w:r>
      <w:proofErr w:type="spellStart"/>
      <w:r w:rsidR="00072808">
        <w:t>CoL</w:t>
      </w:r>
      <w:proofErr w:type="spellEnd"/>
      <w:r>
        <w:t xml:space="preserve">, oraz dziewiętnaście i pół miesiąca po jego powołaniu. O ile w niniejszej sprawie krajowy sąd pierwszej instancji uznał, że osiemnaście miesięcy było rozsądnym terminem (zob. par. </w:t>
      </w:r>
      <w:r w:rsidRPr="00DB5C9E">
        <w:rPr>
          <w:rFonts w:cstheme="minorHAnsi"/>
        </w:rPr>
        <w:fldChar w:fldCharType="begin"/>
      </w:r>
      <w:r w:rsidRPr="00DB5C9E">
        <w:rPr>
          <w:rFonts w:cstheme="minorHAnsi"/>
        </w:rPr>
        <w:instrText xml:space="preserve">REF paragraph00041 \h \* CharFormat </w:instrText>
      </w:r>
      <w:r w:rsidRPr="00DB5C9E">
        <w:rPr>
          <w:rFonts w:cstheme="minorHAnsi"/>
        </w:rPr>
      </w:r>
      <w:r w:rsidRPr="00DB5C9E">
        <w:rPr>
          <w:rFonts w:cstheme="minorHAnsi"/>
        </w:rPr>
        <w:fldChar w:fldCharType="separate"/>
      </w:r>
      <w:r w:rsidR="00446BA2">
        <w:rPr>
          <w:rFonts w:cstheme="minorHAnsi"/>
        </w:rPr>
        <w:t>41</w:t>
      </w:r>
      <w:r w:rsidRPr="00DB5C9E">
        <w:rPr>
          <w:rFonts w:cstheme="minorHAnsi"/>
        </w:rPr>
        <w:fldChar w:fldCharType="end"/>
      </w:r>
      <w:r>
        <w:t xml:space="preserve">powyżej), </w:t>
      </w:r>
      <w:r>
        <w:lastRenderedPageBreak/>
        <w:t>Rząd nie przedstawił żadnych innych przykładów wskazujących na to, że tak długi okres mieścił się w pojęciu „rozsądnego terminu”, o którym mowa w art. 44 ustawy nr 160/2011. Ponadto Trybunał uważa, że</w:t>
      </w:r>
      <w:r w:rsidR="00446732">
        <w:t> </w:t>
      </w:r>
      <w:r>
        <w:t>w</w:t>
      </w:r>
      <w:r w:rsidR="00446732">
        <w:t> </w:t>
      </w:r>
      <w:r>
        <w:t>niewielkim stopniu, jeśli w ogóle, wzięto pod uwagę interesy skarżącego jako adresata zgodnie z wymogami tego przepisu; do tej kwestii Trybunał odniesie się poniżej. W tym świetle zgodność tego środka z prawem krajowym jest wątpliwa.</w:t>
      </w:r>
    </w:p>
    <w:p w14:paraId="1E3AF7CA" w14:textId="1C0C07ED" w:rsidR="00F5142C" w:rsidRPr="00DB5C9E" w:rsidRDefault="00445208" w:rsidP="00DB5C9E">
      <w:pPr>
        <w:pStyle w:val="JuPara"/>
      </w:pPr>
      <w:r w:rsidRPr="00DB5C9E">
        <w:rPr>
          <w:rFonts w:eastAsia="Times New Roman"/>
        </w:rPr>
        <w:fldChar w:fldCharType="begin"/>
      </w:r>
      <w:r w:rsidRPr="00DB5C9E">
        <w:rPr>
          <w:rFonts w:eastAsia="Times New Roman"/>
        </w:rPr>
        <w:instrText xml:space="preserve"> SEQ level0 \*arabic \* MERGEFORMAT </w:instrText>
      </w:r>
      <w:r w:rsidRPr="00DB5C9E">
        <w:rPr>
          <w:rFonts w:eastAsia="Times New Roman"/>
        </w:rPr>
        <w:fldChar w:fldCharType="separate"/>
      </w:r>
      <w:r w:rsidR="00446BA2">
        <w:rPr>
          <w:rFonts w:eastAsia="Times New Roman"/>
          <w:noProof/>
        </w:rPr>
        <w:t>169</w:t>
      </w:r>
      <w:r w:rsidRPr="00DB5C9E">
        <w:rPr>
          <w:rFonts w:eastAsia="Times New Roman"/>
        </w:rPr>
        <w:fldChar w:fldCharType="end"/>
      </w:r>
      <w:r>
        <w:t xml:space="preserve">.  O ile środek został zastosowany w świetle uchwalenia art. 3 ustawy kwalifikowanej nr 1/2020, Trybunał uznawał wcześniej, że ustawy z mocą wsteczną, które zostały uznane za stanowiące ingerencję władzy ustawodawczej podczas toczących się postępowań, nadal spełniały wymóg legalności wynikający z art. 1 Protokołu nr 1 (zob. m.in. </w:t>
      </w:r>
      <w:r>
        <w:rPr>
          <w:i/>
          <w:iCs/>
        </w:rPr>
        <w:t>Maurice przeciwko Francji</w:t>
      </w:r>
      <w:r>
        <w:t xml:space="preserve"> [WI], nr 11810/03, § 81, ETPC 2005</w:t>
      </w:r>
      <w:r>
        <w:noBreakHyphen/>
        <w:t xml:space="preserve">IX, oraz </w:t>
      </w:r>
      <w:proofErr w:type="spellStart"/>
      <w:r>
        <w:rPr>
          <w:i/>
          <w:iCs/>
        </w:rPr>
        <w:t>Draon</w:t>
      </w:r>
      <w:proofErr w:type="spellEnd"/>
      <w:r>
        <w:rPr>
          <w:i/>
          <w:iCs/>
        </w:rPr>
        <w:t xml:space="preserve"> przeciwko Francji</w:t>
      </w:r>
      <w:r>
        <w:t xml:space="preserve"> [WI], nr 1513/03, § 73, 6 października 2005 r.). Było tak zarówno wtedy, gdy stwierdzano naruszenie art. 6 wobec braku istotnych względów interesu ogólnego uzasadniających taką ingerencję w trakcie postępowania (zob. np. </w:t>
      </w:r>
      <w:r>
        <w:rPr>
          <w:i/>
          <w:iCs/>
        </w:rPr>
        <w:t>Arras i Inni</w:t>
      </w:r>
      <w:r>
        <w:rPr>
          <w:snapToGrid w:val="0"/>
        </w:rPr>
        <w:t>,</w:t>
      </w:r>
      <w:r>
        <w:t xml:space="preserve"> </w:t>
      </w:r>
      <w:r>
        <w:rPr>
          <w:snapToGrid w:val="0"/>
        </w:rPr>
        <w:t>§§ 50 i 81, oraz</w:t>
      </w:r>
      <w:r>
        <w:t xml:space="preserve"> </w:t>
      </w:r>
      <w:proofErr w:type="spellStart"/>
      <w:r>
        <w:rPr>
          <w:i/>
          <w:iCs/>
        </w:rPr>
        <w:t>Maggio</w:t>
      </w:r>
      <w:proofErr w:type="spellEnd"/>
      <w:r>
        <w:rPr>
          <w:i/>
          <w:iCs/>
        </w:rPr>
        <w:t xml:space="preserve"> i Inni</w:t>
      </w:r>
      <w:r>
        <w:t xml:space="preserve">, §§ 49 i 60, </w:t>
      </w:r>
      <w:proofErr w:type="spellStart"/>
      <w:r>
        <w:t>opp</w:t>
      </w:r>
      <w:proofErr w:type="spellEnd"/>
      <w:r>
        <w:t>. cit., a</w:t>
      </w:r>
      <w:r w:rsidR="00446732">
        <w:t> </w:t>
      </w:r>
      <w:r>
        <w:t>z</w:t>
      </w:r>
      <w:r w:rsidR="00446732">
        <w:t> </w:t>
      </w:r>
      <w:r>
        <w:t xml:space="preserve">ostatnich orzeczeń </w:t>
      </w:r>
      <w:proofErr w:type="spellStart"/>
      <w:r>
        <w:rPr>
          <w:i/>
          <w:iCs/>
        </w:rPr>
        <w:t>Zafferani</w:t>
      </w:r>
      <w:proofErr w:type="spellEnd"/>
      <w:r>
        <w:rPr>
          <w:i/>
          <w:iCs/>
        </w:rPr>
        <w:t xml:space="preserve"> i Inni</w:t>
      </w:r>
      <w:r>
        <w:t xml:space="preserve">, op. cit., §§ 54 i 67), a tym bardziej wtedy, gdy naruszenia art. 6 nie stwierdzano (zob. np. </w:t>
      </w:r>
      <w:proofErr w:type="spellStart"/>
      <w:r>
        <w:rPr>
          <w:i/>
          <w:iCs/>
        </w:rPr>
        <w:t>Morelli</w:t>
      </w:r>
      <w:proofErr w:type="spellEnd"/>
      <w:r>
        <w:rPr>
          <w:i/>
          <w:iCs/>
        </w:rPr>
        <w:t xml:space="preserve"> przeciwko Włochom</w:t>
      </w:r>
      <w:r>
        <w:t xml:space="preserve"> (</w:t>
      </w:r>
      <w:proofErr w:type="spellStart"/>
      <w:r>
        <w:t>dec</w:t>
      </w:r>
      <w:proofErr w:type="spellEnd"/>
      <w:r>
        <w:t>.), nr 23984/19, § 78, 23984/19).</w:t>
      </w:r>
    </w:p>
    <w:p w14:paraId="5740AFBD" w14:textId="0DB6F217" w:rsidR="00F5142C" w:rsidRPr="00DB5C9E" w:rsidRDefault="00446BA2" w:rsidP="00DB5C9E">
      <w:pPr>
        <w:pStyle w:val="JuPara"/>
        <w:rPr>
          <w:rFonts w:eastAsia="Times New Roman"/>
        </w:rPr>
      </w:pPr>
      <w:fldSimple w:instr=" SEQ level0 \*arabic \* MERGEFORMAT ">
        <w:r>
          <w:rPr>
            <w:noProof/>
          </w:rPr>
          <w:t>170</w:t>
        </w:r>
      </w:fldSimple>
      <w:r w:rsidR="00445208">
        <w:t>.  Tym samym Trybunał może przyjąć dla celów art. 8 Konwencji, że</w:t>
      </w:r>
      <w:r w:rsidR="00446732">
        <w:t> </w:t>
      </w:r>
      <w:r w:rsidR="00445208">
        <w:t>powoływanie się na ten przepis miało „jakąś podstawę w prawie krajowym”.</w:t>
      </w:r>
    </w:p>
    <w:p w14:paraId="67A2B7B4" w14:textId="38CD9071" w:rsidR="00F5142C" w:rsidRPr="00DB5C9E" w:rsidRDefault="00445208" w:rsidP="00DB5C9E">
      <w:pPr>
        <w:pStyle w:val="JuPara"/>
        <w:rPr>
          <w:rFonts w:eastAsiaTheme="minorEastAsia"/>
          <w:szCs w:val="22"/>
        </w:rPr>
      </w:pPr>
      <w:r w:rsidRPr="00DB5C9E">
        <w:rPr>
          <w:rFonts w:eastAsia="Times New Roman"/>
        </w:rPr>
        <w:fldChar w:fldCharType="begin"/>
      </w:r>
      <w:r w:rsidRPr="00DB5C9E">
        <w:rPr>
          <w:rFonts w:eastAsia="Times New Roman"/>
        </w:rPr>
        <w:instrText xml:space="preserve"> SEQ level0 \*arabic \* MERGEFORMAT </w:instrText>
      </w:r>
      <w:r w:rsidRPr="00DB5C9E">
        <w:rPr>
          <w:rFonts w:eastAsia="Times New Roman"/>
        </w:rPr>
        <w:fldChar w:fldCharType="separate"/>
      </w:r>
      <w:r w:rsidR="00446BA2">
        <w:rPr>
          <w:rFonts w:eastAsia="Times New Roman"/>
          <w:noProof/>
        </w:rPr>
        <w:t>171</w:t>
      </w:r>
      <w:r w:rsidRPr="00DB5C9E">
        <w:rPr>
          <w:rFonts w:eastAsia="Times New Roman"/>
        </w:rPr>
        <w:fldChar w:fldCharType="end"/>
      </w:r>
      <w:r>
        <w:t>.  Co do argumentu skarżącego dotyczącego jakości tej ustawy, Trybunał zauważa, że niemożność przewidzenia przez skarżącego w</w:t>
      </w:r>
      <w:r w:rsidR="00446732">
        <w:t> </w:t>
      </w:r>
      <w:r>
        <w:t xml:space="preserve">momencie obejmowania stanowiska, że takie regulacje prawne – które dały podstawę do zastosowania zaskarżonych środków – zostaną uchwalone, nie wystarcza do podważenia zgodności z prawem tej ingerencji w rozumieniu Konwencji (zob. </w:t>
      </w:r>
      <w:r>
        <w:rPr>
          <w:i/>
          <w:iCs/>
        </w:rPr>
        <w:t>mutatis mutandis</w:t>
      </w:r>
      <w:r>
        <w:t xml:space="preserve">, </w:t>
      </w:r>
      <w:proofErr w:type="spellStart"/>
      <w:r>
        <w:rPr>
          <w:i/>
          <w:iCs/>
        </w:rPr>
        <w:t>Polyakh</w:t>
      </w:r>
      <w:proofErr w:type="spellEnd"/>
      <w:r>
        <w:rPr>
          <w:i/>
          <w:iCs/>
        </w:rPr>
        <w:t xml:space="preserve"> i Inni</w:t>
      </w:r>
      <w:r>
        <w:t>, op. cit., § 268).</w:t>
      </w:r>
    </w:p>
    <w:p w14:paraId="686E709F" w14:textId="29700227" w:rsidR="00F5142C" w:rsidRPr="00DB5C9E" w:rsidRDefault="00445208" w:rsidP="00DB5C9E">
      <w:pPr>
        <w:pStyle w:val="JuPara"/>
      </w:pPr>
      <w:r w:rsidRPr="00DB5C9E">
        <w:rPr>
          <w:rFonts w:eastAsiaTheme="minorEastAsia"/>
        </w:rPr>
        <w:fldChar w:fldCharType="begin"/>
      </w:r>
      <w:r w:rsidRPr="00DB5C9E">
        <w:rPr>
          <w:rFonts w:eastAsiaTheme="minorEastAsia"/>
        </w:rPr>
        <w:instrText xml:space="preserve"> SEQ level0 \*arabic \* MERGEFORMAT </w:instrText>
      </w:r>
      <w:r w:rsidRPr="00DB5C9E">
        <w:rPr>
          <w:rFonts w:eastAsiaTheme="minorEastAsia"/>
        </w:rPr>
        <w:fldChar w:fldCharType="separate"/>
      </w:r>
      <w:r w:rsidR="00446BA2">
        <w:rPr>
          <w:rFonts w:eastAsiaTheme="minorEastAsia"/>
          <w:noProof/>
        </w:rPr>
        <w:t>172</w:t>
      </w:r>
      <w:r w:rsidRPr="00DB5C9E">
        <w:rPr>
          <w:rFonts w:eastAsiaTheme="minorEastAsia"/>
        </w:rPr>
        <w:fldChar w:fldCharType="end"/>
      </w:r>
      <w:r>
        <w:t>.  Co do dalszych argumentów skarżącego w tym kontekście, Trybunał uważa, że kwestia, czy podstawa prawna spełniała wymogi Konwencji dotyczące legalności w sensie zapewnienia odpowiednich gwarancji i</w:t>
      </w:r>
      <w:r w:rsidR="00446732">
        <w:t> </w:t>
      </w:r>
      <w:r>
        <w:t xml:space="preserve">zgodności z zasadami praworządności i wolności od arbitralności, musi zostać zbadana w kontekście głównego zagadnienia w niniejszej sprawie – tego, czy zaskarżona ingerencja miała uzasadniony cel i czy mogła być uznana za konieczną w demokratycznym społeczeństwie na potrzeby realizacji (zob. np. </w:t>
      </w:r>
      <w:bookmarkStart w:id="67" w:name="_cl27574THELAW"/>
      <w:r>
        <w:rPr>
          <w:i/>
        </w:rPr>
        <w:t xml:space="preserve">Holy Synod of the </w:t>
      </w:r>
      <w:proofErr w:type="spellStart"/>
      <w:r>
        <w:rPr>
          <w:i/>
        </w:rPr>
        <w:t>Bulgarian</w:t>
      </w:r>
      <w:proofErr w:type="spellEnd"/>
      <w:r>
        <w:rPr>
          <w:i/>
        </w:rPr>
        <w:t xml:space="preserve"> </w:t>
      </w:r>
      <w:proofErr w:type="spellStart"/>
      <w:r>
        <w:rPr>
          <w:i/>
        </w:rPr>
        <w:t>Orthodox</w:t>
      </w:r>
      <w:proofErr w:type="spellEnd"/>
      <w:r>
        <w:rPr>
          <w:i/>
        </w:rPr>
        <w:t xml:space="preserve"> Church (Metropolitan </w:t>
      </w:r>
      <w:proofErr w:type="spellStart"/>
      <w:r>
        <w:rPr>
          <w:i/>
        </w:rPr>
        <w:t>Inokentiy</w:t>
      </w:r>
      <w:proofErr w:type="spellEnd"/>
      <w:r>
        <w:rPr>
          <w:i/>
        </w:rPr>
        <w:t>)</w:t>
      </w:r>
      <w:r>
        <w:rPr>
          <w:i/>
          <w:iCs/>
        </w:rPr>
        <w:t xml:space="preserve"> i Inni przeciwko Bułgarii</w:t>
      </w:r>
      <w:bookmarkEnd w:id="67"/>
      <w:r>
        <w:t>, nr 412/03 i 35677/04, § 117, 22 stycznia 2009 r.).</w:t>
      </w:r>
    </w:p>
    <w:p w14:paraId="6FE363BE" w14:textId="1EAA83F0" w:rsidR="00F5142C" w:rsidRPr="00DB5C9E" w:rsidRDefault="00445208" w:rsidP="00DB5C9E">
      <w:pPr>
        <w:pStyle w:val="JuPara"/>
      </w:pPr>
      <w:r w:rsidRPr="00DB5C9E">
        <w:rPr>
          <w:rFonts w:eastAsia="Times New Roman"/>
        </w:rPr>
        <w:fldChar w:fldCharType="begin"/>
      </w:r>
      <w:r w:rsidRPr="00DB5C9E">
        <w:rPr>
          <w:rFonts w:eastAsia="Times New Roman"/>
        </w:rPr>
        <w:instrText xml:space="preserve"> SEQ level0 \*arabic \* MERGEFORMAT </w:instrText>
      </w:r>
      <w:r w:rsidRPr="00DB5C9E">
        <w:rPr>
          <w:rFonts w:eastAsia="Times New Roman"/>
        </w:rPr>
        <w:fldChar w:fldCharType="separate"/>
      </w:r>
      <w:r w:rsidR="00446BA2">
        <w:rPr>
          <w:rFonts w:eastAsia="Times New Roman"/>
          <w:noProof/>
        </w:rPr>
        <w:t>173</w:t>
      </w:r>
      <w:r w:rsidRPr="00DB5C9E">
        <w:rPr>
          <w:rFonts w:eastAsia="Times New Roman"/>
        </w:rPr>
        <w:fldChar w:fldCharType="end"/>
      </w:r>
      <w:r>
        <w:t xml:space="preserve">.  Co do tego, czy decyzja CGP dążyła do realizacji uzasadniony celu, Rząd powoływał się (zob. par. </w:t>
      </w:r>
      <w:r w:rsidRPr="00DB5C9E">
        <w:fldChar w:fldCharType="begin"/>
      </w:r>
      <w:r w:rsidRPr="00DB5C9E">
        <w:instrText xml:space="preserve">REF paragraph00167 \h \* CharFormat </w:instrText>
      </w:r>
      <w:r w:rsidRPr="00DB5C9E">
        <w:fldChar w:fldCharType="separate"/>
      </w:r>
      <w:r w:rsidR="00446BA2">
        <w:t>155</w:t>
      </w:r>
      <w:r w:rsidRPr="00DB5C9E">
        <w:fldChar w:fldCharType="end"/>
      </w:r>
      <w:r>
        <w:t xml:space="preserve"> powyżej) na nadrzędne interesy publiczne, takie jak </w:t>
      </w:r>
      <w:r w:rsidR="00303D46">
        <w:t xml:space="preserve">pewność </w:t>
      </w:r>
      <w:r>
        <w:t xml:space="preserve">prawa, podział władzy, autonomia i niezawisłość sądownictwa, rzetelność procesu sądowego oraz ochrona uzasadnionych oczekiwań, oraz podkreślał znaczenie posiadania jasności co do składu CGP, </w:t>
      </w:r>
      <w:r>
        <w:lastRenderedPageBreak/>
        <w:t>umożliwiając jej właściwe funkcjonowanie. Trybunał zauważa, że taka argumentacja wydaje się w większym stopniu odnosić do celu realizowanego przez ustawę kwalifikowaną nr 1/2020 (która zawierała zarówno przepisy retrospektywne, jak i prospektywne, dotyczące składu CGP) niż do konkretnego celu leżącego u podstaw decyzji CGP w odniesieniu do skarżącego, wydanej na podstawie art. 3 ustawy kwalifikowanej nr 1/2020. Niemniej jednak Trybunał przyjmuje, że potrzeba pewności prawa w odniesieniu do powołań na stanowiska sędziowskie, a zatem konieczność właściwego ukształtowania CGP powołującej organy sądowe, leży w interesie zapewnienia właściwych gwarancji rzetelnego procesu sądowego, a tym samym dąży do realizacji ochrony praw i wolności innych osób. Znaczenie takiego uzasadnionego celu w konkretnych okolicznościach sprawy skarżącego, w której jego powołanie, lecz niepowołania innych, zostało unieważnione rzekomo w tym celu, zostanie zbadane poniżej.</w:t>
      </w:r>
    </w:p>
    <w:p w14:paraId="01766404" w14:textId="5119D5E8" w:rsidR="00F5142C" w:rsidRPr="00DB5C9E" w:rsidRDefault="00446BA2" w:rsidP="00DB5C9E">
      <w:pPr>
        <w:pStyle w:val="JuPara"/>
      </w:pPr>
      <w:fldSimple w:instr=" SEQ level0 \*arabic \* MERGEFORMAT ">
        <w:r>
          <w:rPr>
            <w:noProof/>
          </w:rPr>
          <w:t>174</w:t>
        </w:r>
      </w:fldSimple>
      <w:r w:rsidR="00445208">
        <w:t>.  Trybunał powtarza, że sąd musi w każdym przypadku być „ustanowiony ustawą”; sąd nieustanowiony zgodnie z intencją ustawodawcy będzie w nieunikniony sposób pozbawiony legitymacji wymaganej w</w:t>
      </w:r>
      <w:r w:rsidR="00446732">
        <w:t> </w:t>
      </w:r>
      <w:r w:rsidR="00445208">
        <w:t xml:space="preserve">społeczeństwie demokratycznym do rozstrzygania sporów prawnych (zob. </w:t>
      </w:r>
      <w:bookmarkStart w:id="68" w:name="_cl40234THELAW"/>
      <w:proofErr w:type="spellStart"/>
      <w:r w:rsidR="00445208">
        <w:rPr>
          <w:i/>
        </w:rPr>
        <w:t>Guðmundur</w:t>
      </w:r>
      <w:proofErr w:type="spellEnd"/>
      <w:r w:rsidR="00445208">
        <w:rPr>
          <w:i/>
        </w:rPr>
        <w:t xml:space="preserve"> </w:t>
      </w:r>
      <w:proofErr w:type="spellStart"/>
      <w:r w:rsidR="00445208">
        <w:rPr>
          <w:i/>
        </w:rPr>
        <w:t>Andri</w:t>
      </w:r>
      <w:proofErr w:type="spellEnd"/>
      <w:r w:rsidR="00445208">
        <w:rPr>
          <w:i/>
        </w:rPr>
        <w:t xml:space="preserve"> </w:t>
      </w:r>
      <w:proofErr w:type="spellStart"/>
      <w:r w:rsidR="00445208">
        <w:rPr>
          <w:i/>
        </w:rPr>
        <w:t>Ástráðsson</w:t>
      </w:r>
      <w:proofErr w:type="spellEnd"/>
      <w:r w:rsidR="00445208">
        <w:t>, op. cit., § 211). Jednakże Trybunał zauważa, po pierwsze, że gdyby nie doszło</w:t>
      </w:r>
      <w:bookmarkEnd w:id="68"/>
      <w:r w:rsidR="00445208">
        <w:t xml:space="preserve"> do interwencji władzy ustawodawczej z</w:t>
      </w:r>
      <w:r w:rsidR="00446732">
        <w:t> </w:t>
      </w:r>
      <w:r w:rsidR="00445208">
        <w:t xml:space="preserve">mocą wsteczną (wskazującej, że z CGP powinno się w miarę możliwości wykluczyć sędziów, którzy nie zostali jeszcze zatwierdzeni </w:t>
      </w:r>
      <w:r w:rsidR="008B4950">
        <w:t xml:space="preserve">w </w:t>
      </w:r>
      <w:r w:rsidR="00445208">
        <w:t>swo</w:t>
      </w:r>
      <w:r w:rsidR="008B4950">
        <w:t>ich funkcjach</w:t>
      </w:r>
      <w:r w:rsidR="00445208">
        <w:t xml:space="preserve"> na czas nieoznaczony), istniałoby niewiele powodów, aby kwestionować legalność składu CGP w momencie, gdy powoływała ona skarżącego, a za tym idąc legalność powołania skarżącego z tego powodu. Stanowisko mniejszości powtarzane na posiedzeniach CGP i zaskarżenie ze</w:t>
      </w:r>
      <w:r w:rsidR="00446732">
        <w:t> </w:t>
      </w:r>
      <w:r w:rsidR="00445208">
        <w:t>strony innych zainteresowanych kandydatów same w sobie nie wystarczyłyby do uznania, że taki sąd nie został ustanowiony ustawą. Trybunał podkreśla, że przy powołaniu skarżącego nie było powszechnego oburzenia ani wstrząsu politycznego; co istotne, żaden sąd krajowy nie stwierdził, że takie powołanie (lub inne podobne powołanie) było niezgodne z prawem, ani też żadna osoba, której sprawa była lub jest rozpatrywana przez skarżącego, nie zakwestionowała legalności tego powołania.</w:t>
      </w:r>
    </w:p>
    <w:p w14:paraId="35E7A7D3" w14:textId="77777777" w:rsidR="00F5142C" w:rsidRPr="00DB5C9E" w:rsidRDefault="00446BA2" w:rsidP="00DB5C9E">
      <w:pPr>
        <w:pStyle w:val="JuPara"/>
      </w:pPr>
      <w:fldSimple w:instr=" SEQ level0 \*arabic \* MERGEFORMAT ">
        <w:r>
          <w:rPr>
            <w:noProof/>
          </w:rPr>
          <w:t>175</w:t>
        </w:r>
      </w:fldSimple>
      <w:r w:rsidR="00445208">
        <w:t xml:space="preserve">.  Choć prawdą jest, że zapobieżenie wszelkim możliwym przyszłym zarzutom ze strony osób sądzonych przez taki sąd mogło być uzasadnione, nie jest bez znaczenia, że – skoro do tego czasu nie wniesiono żadnych </w:t>
      </w:r>
      <w:proofErr w:type="spellStart"/>
      <w:r w:rsidR="00445208">
        <w:t>odwołań</w:t>
      </w:r>
      <w:proofErr w:type="spellEnd"/>
      <w:r w:rsidR="00445208">
        <w:t xml:space="preserve"> – to dopiero w wyniku interwencji państwa takie zarzuty mogły być wnoszone w przyszłości. Co ważniejsze, uderzające jest to, że tylko niektóre z tych „wadliwych” powołań zostały unieważnione. Ponadto uwadze nie może umknąć, że zgodnie z art. 44 ustawy nr 160/2011 (zob. par. </w:t>
      </w:r>
      <w:r w:rsidR="00445208" w:rsidRPr="00DB5C9E">
        <w:fldChar w:fldCharType="begin"/>
      </w:r>
      <w:r w:rsidR="00445208" w:rsidRPr="00DB5C9E">
        <w:instrText xml:space="preserve">REF paragraph00064 \h \* CharFormat </w:instrText>
      </w:r>
      <w:r w:rsidR="00445208" w:rsidRPr="00DB5C9E">
        <w:fldChar w:fldCharType="separate"/>
      </w:r>
      <w:r>
        <w:t>64</w:t>
      </w:r>
      <w:r w:rsidR="00445208" w:rsidRPr="00DB5C9E">
        <w:fldChar w:fldCharType="end"/>
      </w:r>
      <w:r w:rsidR="00445208">
        <w:t xml:space="preserve"> powyżej) możliwe było „zatwierdzenie” decyzji o powołaniu, innymi słowy naprawienie istniejącej wady i uniknięcie stwierdzenia nieważności powołania skarżącego w sposób wybiórczy. Tym samym konieczność </w:t>
      </w:r>
      <w:r w:rsidR="00445208">
        <w:lastRenderedPageBreak/>
        <w:t>takiego działania stwierdzającego nieważność, jak również jego rzeczywisty cel, są w takim kontekście jeszcze mniej oczywiste.</w:t>
      </w:r>
    </w:p>
    <w:p w14:paraId="131E103D" w14:textId="4A2B1AEE" w:rsidR="00F5142C" w:rsidRPr="00DB5C9E" w:rsidRDefault="00446BA2" w:rsidP="00DB5C9E">
      <w:pPr>
        <w:pStyle w:val="JuPara"/>
      </w:pPr>
      <w:fldSimple w:instr=" SEQ level0 \*arabic \* MERGEFORMAT ">
        <w:r>
          <w:rPr>
            <w:noProof/>
          </w:rPr>
          <w:t>176</w:t>
        </w:r>
      </w:fldSimple>
      <w:r w:rsidR="00445208">
        <w:t>.  Faktycznie z całokształtu uwag Rządu (na gruncie art. 6 i</w:t>
      </w:r>
      <w:r w:rsidR="00446732">
        <w:t> </w:t>
      </w:r>
      <w:r w:rsidR="00445208">
        <w:t xml:space="preserve">rozwiniętych w innych kwestiach) wynikał interes w stwierdzeniu nieważności jedynie zaskarżonych powołań i w uniknięciu jakichkolwiek </w:t>
      </w:r>
      <w:proofErr w:type="spellStart"/>
      <w:r w:rsidR="00445208">
        <w:t>odwołań</w:t>
      </w:r>
      <w:proofErr w:type="spellEnd"/>
      <w:r w:rsidR="00445208">
        <w:t xml:space="preserve"> w odniesieniu do trwających konkursów ze strony innych kandydatów – są to interesy, które wydają się być kwestią nadrzędną dla Rządu, lecz które nie mieszczą się w pełni w zakresie uzasadnionego interesu potwierdzonego powyżej. Ponadto Trybunał zauważa, że aby uniknąć </w:t>
      </w:r>
      <w:proofErr w:type="spellStart"/>
      <w:r w:rsidR="00445208">
        <w:t>odwołań</w:t>
      </w:r>
      <w:proofErr w:type="spellEnd"/>
      <w:r w:rsidR="00445208">
        <w:t xml:space="preserve"> w odniesieniu do trwających lub przyszłych konkursów, nie było konieczne (uchwalenie i) zastosowanie prawa z mocą wsteczną. Wystarczające było prawo działające prospektywnie, przewidziane w art. 4 ustawy kwalifikowanej nr 1/2020. Co do odwołania X i Y, osoby, które zakwestionowały powołanie skarżącego (i przypuszczalnie kilka innych osób, które zakwestionowały inne powołania w różny sposób, zob. pa</w:t>
      </w:r>
      <w:r w:rsidR="00781DE1">
        <w:t xml:space="preserve">r. </w:t>
      </w:r>
      <w:r w:rsidR="00445208" w:rsidRPr="00DB5C9E">
        <w:fldChar w:fldCharType="begin"/>
      </w:r>
      <w:r w:rsidR="00445208" w:rsidRPr="00DB5C9E">
        <w:instrText xml:space="preserve">REF paragraph00024 \h \* CharFormat </w:instrText>
      </w:r>
      <w:r w:rsidR="00445208" w:rsidRPr="00DB5C9E">
        <w:fldChar w:fldCharType="separate"/>
      </w:r>
      <w:r w:rsidRPr="00446BA2">
        <w:t>24</w:t>
      </w:r>
      <w:r w:rsidR="00445208" w:rsidRPr="00DB5C9E">
        <w:fldChar w:fldCharType="end"/>
      </w:r>
      <w:r w:rsidR="00445208">
        <w:t xml:space="preserve"> powyżej), Trybunał uważa, że nie ma wątpliwości, iż inni konkurujący kandydaci mieli uzasadniony interes w zapewnieniu rzetelności procedury powołania. Jednakże interesy te mogły zostać w pełni zrealizowane w</w:t>
      </w:r>
      <w:r w:rsidR="00446732">
        <w:t> </w:t>
      </w:r>
      <w:r w:rsidR="00445208">
        <w:t>postępowaniach wszczętych przez te osoby, mających właśnie tak cel.</w:t>
      </w:r>
    </w:p>
    <w:bookmarkStart w:id="69" w:name="paragraph00196"/>
    <w:p w14:paraId="0361B726" w14:textId="0E94462A" w:rsidR="00F5142C" w:rsidRPr="00DB5C9E" w:rsidRDefault="00445208" w:rsidP="00DB5C9E">
      <w:pPr>
        <w:pStyle w:val="JuPara"/>
        <w:rPr>
          <w:rFonts w:ascii="Times New Roman" w:hAnsi="Times New Roman" w:cs="Times New Roman"/>
        </w:rPr>
      </w:pPr>
      <w:r w:rsidRPr="00DB5C9E">
        <w:fldChar w:fldCharType="begin"/>
      </w:r>
      <w:r w:rsidRPr="00DB5C9E">
        <w:instrText xml:space="preserve"> SEQ level0 \*arabic \* MERGEFORMAT </w:instrText>
      </w:r>
      <w:r w:rsidRPr="00DB5C9E">
        <w:fldChar w:fldCharType="separate"/>
      </w:r>
      <w:r w:rsidR="00446BA2">
        <w:rPr>
          <w:noProof/>
        </w:rPr>
        <w:t>177</w:t>
      </w:r>
      <w:r w:rsidRPr="00DB5C9E">
        <w:fldChar w:fldCharType="end"/>
      </w:r>
      <w:bookmarkEnd w:id="69"/>
      <w:r>
        <w:t xml:space="preserve">.  Ponadto interesy te musiały zostać wyważone względem innych wchodzących w grę interesów, mianowicie interesów samego skarżącego, jak również całej populacji w posiadaniu systemu prawnego respektującego zasadę praworządności we wszystkich jej znaczeniach. W tym kontekście Trybunał powtarza, że zasada nieusuwalności sędziów w trakcie ich kadencji jest zasadą powszechnie uważaną za dopełnienie zasady niezawisłości sędziowskiej, która jest przesłanką praworządności (zob. </w:t>
      </w:r>
      <w:proofErr w:type="spellStart"/>
      <w:r>
        <w:rPr>
          <w:i/>
          <w:iCs/>
        </w:rPr>
        <w:t>Guðmundur</w:t>
      </w:r>
      <w:proofErr w:type="spellEnd"/>
      <w:r>
        <w:rPr>
          <w:i/>
          <w:iCs/>
        </w:rPr>
        <w:t xml:space="preserve"> </w:t>
      </w:r>
      <w:proofErr w:type="spellStart"/>
      <w:r>
        <w:rPr>
          <w:i/>
          <w:iCs/>
        </w:rPr>
        <w:t>Andri</w:t>
      </w:r>
      <w:proofErr w:type="spellEnd"/>
      <w:r>
        <w:rPr>
          <w:i/>
          <w:iCs/>
        </w:rPr>
        <w:t xml:space="preserve"> </w:t>
      </w:r>
      <w:proofErr w:type="spellStart"/>
      <w:r>
        <w:rPr>
          <w:i/>
          <w:iCs/>
        </w:rPr>
        <w:t>Ástráðsson</w:t>
      </w:r>
      <w:proofErr w:type="spellEnd"/>
      <w:r>
        <w:t>, op. cit., § 239).</w:t>
      </w:r>
      <w:r>
        <w:rPr>
          <w:rFonts w:ascii="Times New Roman" w:hAnsi="Times New Roman"/>
        </w:rPr>
        <w:t xml:space="preserve"> </w:t>
      </w:r>
      <w:r>
        <w:t xml:space="preserve">Trybunał stwierdził już (zob. par. </w:t>
      </w:r>
      <w:r w:rsidRPr="00DB5C9E">
        <w:rPr>
          <w:rFonts w:ascii="Times New Roman" w:hAnsi="Times New Roman" w:cs="Times New Roman"/>
        </w:rPr>
        <w:fldChar w:fldCharType="begin"/>
      </w:r>
      <w:r w:rsidRPr="00DB5C9E">
        <w:rPr>
          <w:rFonts w:ascii="Times New Roman" w:hAnsi="Times New Roman" w:cs="Times New Roman"/>
        </w:rPr>
        <w:instrText xml:space="preserve">REF paragraph00128 \h \* CharFormat </w:instrText>
      </w:r>
      <w:r w:rsidRPr="00DB5C9E">
        <w:rPr>
          <w:rFonts w:ascii="Times New Roman" w:hAnsi="Times New Roman" w:cs="Times New Roman"/>
        </w:rPr>
      </w:r>
      <w:r w:rsidRPr="00DB5C9E">
        <w:rPr>
          <w:rFonts w:ascii="Times New Roman" w:hAnsi="Times New Roman" w:cs="Times New Roman"/>
        </w:rPr>
        <w:fldChar w:fldCharType="separate"/>
      </w:r>
      <w:r w:rsidR="00446BA2">
        <w:rPr>
          <w:rFonts w:ascii="Times New Roman" w:hAnsi="Times New Roman" w:cs="Times New Roman"/>
        </w:rPr>
        <w:t>125</w:t>
      </w:r>
      <w:r w:rsidRPr="00DB5C9E">
        <w:rPr>
          <w:rFonts w:ascii="Times New Roman" w:hAnsi="Times New Roman" w:cs="Times New Roman"/>
        </w:rPr>
        <w:fldChar w:fldCharType="end"/>
      </w:r>
      <w:r>
        <w:t xml:space="preserve"> powyżej), że przy uchwalaniu ustawy nie poświęcono wystarczającej uwagi tej zasadzie; to samo tyczy się celów decyzji CGP o zastosowaniu tejże ustawy w sprawie skarżącego.</w:t>
      </w:r>
      <w:r>
        <w:rPr>
          <w:rFonts w:ascii="Times New Roman" w:hAnsi="Times New Roman"/>
        </w:rPr>
        <w:t xml:space="preserve"> </w:t>
      </w:r>
      <w:r>
        <w:t>Zasadę nieusuwalności sędziów i interes całej populacji należało połączyć z własnymi osobistymi interesami skarżącego w</w:t>
      </w:r>
      <w:r w:rsidR="00446732">
        <w:t> </w:t>
      </w:r>
      <w:r>
        <w:t xml:space="preserve">zakresie jego życia prywatnego, dotyczącymi zachowania stanowiska </w:t>
      </w:r>
      <w:proofErr w:type="spellStart"/>
      <w:r w:rsidR="00072808">
        <w:t>CoL</w:t>
      </w:r>
      <w:proofErr w:type="spellEnd"/>
      <w:r w:rsidR="00072808">
        <w:t xml:space="preserve"> </w:t>
      </w:r>
      <w:r>
        <w:t xml:space="preserve">(zob. w tym zakresie ocenę dotyczącą zastosowania przepisu); jest to kwestia, której CGP poświęciła jeszcze mniej uwagi, jeśli w ogóle jakąkolwiek, pomimo wymogów art. 44 ustawy nr 160/2011 (zob. par. </w:t>
      </w:r>
      <w:r w:rsidRPr="00DB5C9E">
        <w:rPr>
          <w:rFonts w:ascii="Times New Roman" w:hAnsi="Times New Roman" w:cs="Times New Roman"/>
        </w:rPr>
        <w:fldChar w:fldCharType="begin"/>
      </w:r>
      <w:r w:rsidRPr="00DB5C9E">
        <w:rPr>
          <w:rFonts w:ascii="Times New Roman" w:hAnsi="Times New Roman" w:cs="Times New Roman"/>
        </w:rPr>
        <w:instrText xml:space="preserve"> REF p3 \h </w:instrText>
      </w:r>
      <w:r w:rsidRPr="00DB5C9E">
        <w:rPr>
          <w:rFonts w:ascii="Times New Roman" w:hAnsi="Times New Roman" w:cs="Times New Roman"/>
        </w:rPr>
      </w:r>
      <w:r w:rsidRPr="00DB5C9E">
        <w:rPr>
          <w:rFonts w:ascii="Times New Roman" w:hAnsi="Times New Roman" w:cs="Times New Roman"/>
        </w:rPr>
        <w:fldChar w:fldCharType="separate"/>
      </w:r>
      <w:r w:rsidR="00446BA2">
        <w:rPr>
          <w:rFonts w:eastAsia="Times New Roman"/>
          <w:noProof/>
        </w:rPr>
        <w:t>168</w:t>
      </w:r>
      <w:r w:rsidRPr="00DB5C9E">
        <w:rPr>
          <w:rFonts w:ascii="Times New Roman" w:hAnsi="Times New Roman" w:cs="Times New Roman"/>
        </w:rPr>
        <w:fldChar w:fldCharType="end"/>
      </w:r>
      <w:r>
        <w:t xml:space="preserve"> powyżej).</w:t>
      </w:r>
    </w:p>
    <w:p w14:paraId="56BBEF1D" w14:textId="695460AB" w:rsidR="00F5142C" w:rsidRPr="00DB5C9E" w:rsidRDefault="00445208" w:rsidP="00DB5C9E">
      <w:pPr>
        <w:pStyle w:val="JuPara"/>
      </w:pPr>
      <w:r w:rsidRPr="00DB5C9E">
        <w:rPr>
          <w:rFonts w:ascii="Times New Roman" w:hAnsi="Times New Roman" w:cs="Times New Roman"/>
        </w:rPr>
        <w:fldChar w:fldCharType="begin"/>
      </w:r>
      <w:r w:rsidRPr="00DB5C9E">
        <w:rPr>
          <w:rFonts w:ascii="Times New Roman" w:hAnsi="Times New Roman" w:cs="Times New Roman"/>
        </w:rPr>
        <w:instrText xml:space="preserve"> SEQ level0 \*arabic \* MERGEFORMAT </w:instrText>
      </w:r>
      <w:r w:rsidRPr="00DB5C9E">
        <w:rPr>
          <w:rFonts w:ascii="Times New Roman" w:hAnsi="Times New Roman" w:cs="Times New Roman"/>
        </w:rPr>
        <w:fldChar w:fldCharType="separate"/>
      </w:r>
      <w:r w:rsidR="00446BA2">
        <w:rPr>
          <w:rFonts w:ascii="Times New Roman" w:hAnsi="Times New Roman" w:cs="Times New Roman"/>
          <w:noProof/>
        </w:rPr>
        <w:t>178</w:t>
      </w:r>
      <w:r w:rsidRPr="00DB5C9E">
        <w:rPr>
          <w:rFonts w:ascii="Times New Roman" w:hAnsi="Times New Roman" w:cs="Times New Roman"/>
        </w:rPr>
        <w:fldChar w:fldCharType="end"/>
      </w:r>
      <w:r>
        <w:rPr>
          <w:rFonts w:ascii="Times New Roman" w:hAnsi="Times New Roman"/>
        </w:rPr>
        <w:t xml:space="preserve">.  Sądy administracyjne nie przywiązały do takich kwestii większej wagi przy ustalaniu, że sprawa nie zasługuje na skierowanie do Trybunału Konstytucyjnego. </w:t>
      </w:r>
      <w:r>
        <w:t xml:space="preserve">Chociaż zadaniem Trybunału nie jest zastępowanie własną oceną oceny okoliczności faktycznych przeprowadzonej przez sądy krajowe (zob. </w:t>
      </w:r>
      <w:proofErr w:type="spellStart"/>
      <w:r>
        <w:rPr>
          <w:i/>
        </w:rPr>
        <w:t>Radomilja</w:t>
      </w:r>
      <w:proofErr w:type="spellEnd"/>
      <w:r>
        <w:rPr>
          <w:i/>
        </w:rPr>
        <w:t xml:space="preserve"> i Inni przeciwko Chorwacji</w:t>
      </w:r>
      <w:r>
        <w:t xml:space="preserve"> [WI], nr 37685/10 i 22768/12, §</w:t>
      </w:r>
      <w:r w:rsidR="00446732">
        <w:t> </w:t>
      </w:r>
      <w:r>
        <w:t xml:space="preserve">150, 20 marca 2018 r.), nie może on nie </w:t>
      </w:r>
      <w:r w:rsidR="00303D46">
        <w:t xml:space="preserve">pominąć faktu </w:t>
      </w:r>
      <w:r>
        <w:t xml:space="preserve">, że sądy administracyjne w ogóle nie uznały, iż istotą postępowania było prawo skarżącego do poszanowania życia prywatnego, ani nie starały się odpowiednio wyważyć tego prawa względem innych rzekomo wchodzących </w:t>
      </w:r>
      <w:r>
        <w:lastRenderedPageBreak/>
        <w:t xml:space="preserve">w grę interesów (zob. par. </w:t>
      </w:r>
      <w:r w:rsidRPr="00DB5C9E">
        <w:fldChar w:fldCharType="begin"/>
      </w:r>
      <w:r w:rsidRPr="00DB5C9E">
        <w:instrText xml:space="preserve">REF paragraph00041 \h \* CharFormat </w:instrText>
      </w:r>
      <w:r w:rsidRPr="00DB5C9E">
        <w:fldChar w:fldCharType="separate"/>
      </w:r>
      <w:r w:rsidR="00446BA2" w:rsidRPr="00446BA2">
        <w:t>41</w:t>
      </w:r>
      <w:r w:rsidRPr="00DB5C9E">
        <w:fldChar w:fldCharType="end"/>
      </w:r>
      <w:r>
        <w:t xml:space="preserve"> i nast., a w szczególności </w:t>
      </w:r>
      <w:r w:rsidRPr="00DB5C9E">
        <w:fldChar w:fldCharType="begin"/>
      </w:r>
      <w:r w:rsidRPr="00DB5C9E">
        <w:instrText xml:space="preserve">REF paragraph00046 \h \* CharFormat </w:instrText>
      </w:r>
      <w:r w:rsidRPr="00DB5C9E">
        <w:fldChar w:fldCharType="separate"/>
      </w:r>
      <w:r w:rsidR="00446BA2" w:rsidRPr="00446BA2">
        <w:t>46</w:t>
      </w:r>
      <w:r w:rsidRPr="00DB5C9E">
        <w:fldChar w:fldCharType="end"/>
      </w:r>
      <w:r>
        <w:t xml:space="preserve"> powyżej; zob. także, </w:t>
      </w:r>
      <w:r>
        <w:rPr>
          <w:i/>
          <w:iCs/>
        </w:rPr>
        <w:t>mutatis mutandis</w:t>
      </w:r>
      <w:r>
        <w:t xml:space="preserve">, </w:t>
      </w:r>
      <w:bookmarkStart w:id="70" w:name="_cl41230THELAW"/>
      <w:proofErr w:type="spellStart"/>
      <w:r>
        <w:rPr>
          <w:i/>
        </w:rPr>
        <w:t>Budimir</w:t>
      </w:r>
      <w:proofErr w:type="spellEnd"/>
      <w:r>
        <w:rPr>
          <w:i/>
        </w:rPr>
        <w:t xml:space="preserve"> przeciwko Chorwacji</w:t>
      </w:r>
      <w:bookmarkEnd w:id="70"/>
      <w:r>
        <w:t>, nr 44691/14, § 63, 16 grudnia 2021 r.).</w:t>
      </w:r>
    </w:p>
    <w:p w14:paraId="02D1223A" w14:textId="77777777" w:rsidR="00F5142C" w:rsidRPr="00DB5C9E" w:rsidRDefault="00446BA2" w:rsidP="00DB5C9E">
      <w:pPr>
        <w:pStyle w:val="JuPara"/>
      </w:pPr>
      <w:fldSimple w:instr=" SEQ level0 \*arabic \* MERGEFORMAT ">
        <w:r>
          <w:rPr>
            <w:noProof/>
          </w:rPr>
          <w:t>179</w:t>
        </w:r>
      </w:fldSimple>
      <w:r w:rsidR="00445208">
        <w:t>.  Mając na uwadze wszystkie powyższe okoliczności, Trybunał uważa, że wymóg legalności nie został spełniony i że nie przedstawiono istotnych i wystarczających powodów, które mogłyby uzasadniać uznanie, że środek zastosowany wobec skarżącego, który miał poważne konsekwencje dla jego życia prywatnego, był konieczny w społeczeństwie demokratycznym. Środek stanowił zatem nieuzasadnioną ingerencję w życie prywatne skarżącego.</w:t>
      </w:r>
    </w:p>
    <w:p w14:paraId="2C1AB3C2" w14:textId="77777777" w:rsidR="00F5142C" w:rsidRPr="00DB5C9E" w:rsidRDefault="00446BA2" w:rsidP="00DB5C9E">
      <w:pPr>
        <w:pStyle w:val="JuPara"/>
      </w:pPr>
      <w:fldSimple w:instr=" SEQ level0 \*arabic \* MERGEFORMAT ">
        <w:r>
          <w:rPr>
            <w:noProof/>
          </w:rPr>
          <w:t>180</w:t>
        </w:r>
      </w:fldSimple>
      <w:r w:rsidR="00445208">
        <w:t>.  W związku z powyższym doszło do naruszenia art. 8 Konwencji.</w:t>
      </w:r>
    </w:p>
    <w:p w14:paraId="176EE529" w14:textId="77777777" w:rsidR="00F5142C" w:rsidRPr="00DB5C9E" w:rsidRDefault="00445208" w:rsidP="00DB5C9E">
      <w:pPr>
        <w:pStyle w:val="JuHIRoman"/>
      </w:pPr>
      <w:r>
        <w:t>ZASTOSOWANIE ART. 41 KONWENCJI</w:t>
      </w:r>
    </w:p>
    <w:p w14:paraId="145A0B8C" w14:textId="77777777" w:rsidR="00F5142C" w:rsidRPr="00DB5C9E" w:rsidRDefault="00446BA2" w:rsidP="00DB5C9E">
      <w:pPr>
        <w:pStyle w:val="JuPara"/>
      </w:pPr>
      <w:fldSimple w:instr=" SEQ level0 \*arabic \* MERGEFORMAT ">
        <w:r>
          <w:rPr>
            <w:noProof/>
          </w:rPr>
          <w:t>181</w:t>
        </w:r>
      </w:fldSimple>
      <w:r w:rsidR="00445208">
        <w:t>.  Artykuł 41 Konwencji stanowi:</w:t>
      </w:r>
    </w:p>
    <w:p w14:paraId="5D79AF6E" w14:textId="77777777" w:rsidR="00F5142C" w:rsidRPr="00DB5C9E" w:rsidRDefault="00445208" w:rsidP="00DB5C9E">
      <w:pPr>
        <w:pStyle w:val="JuQuot"/>
      </w:pPr>
      <w: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204C0A4C" w14:textId="77777777" w:rsidR="00F5142C" w:rsidRPr="00DB5C9E" w:rsidRDefault="00445208" w:rsidP="00DB5C9E">
      <w:pPr>
        <w:pStyle w:val="JuHA"/>
      </w:pPr>
      <w:r>
        <w:t>Szkoda</w:t>
      </w:r>
    </w:p>
    <w:p w14:paraId="2033B857" w14:textId="77777777" w:rsidR="00F5142C" w:rsidRPr="00DB5C9E" w:rsidRDefault="00445208" w:rsidP="00DB5C9E">
      <w:pPr>
        <w:pStyle w:val="JuH1"/>
      </w:pPr>
      <w:r>
        <w:t>Stanowiska stron</w:t>
      </w:r>
    </w:p>
    <w:bookmarkStart w:id="71" w:name="p4"/>
    <w:p w14:paraId="7B3393F4" w14:textId="4F602016" w:rsidR="00F5142C" w:rsidRPr="00DB5C9E" w:rsidRDefault="00445208" w:rsidP="00DB5C9E">
      <w:pPr>
        <w:pStyle w:val="JuPara"/>
      </w:pPr>
      <w:r w:rsidRPr="00DB5C9E">
        <w:fldChar w:fldCharType="begin"/>
      </w:r>
      <w:r w:rsidRPr="00DB5C9E">
        <w:instrText xml:space="preserve"> SEQ level0 \*arabic \* MERGEFORMAT </w:instrText>
      </w:r>
      <w:r w:rsidRPr="00DB5C9E">
        <w:fldChar w:fldCharType="separate"/>
      </w:r>
      <w:r w:rsidR="00446BA2">
        <w:rPr>
          <w:noProof/>
        </w:rPr>
        <w:t>182</w:t>
      </w:r>
      <w:r w:rsidRPr="00DB5C9E">
        <w:fldChar w:fldCharType="end"/>
      </w:r>
      <w:bookmarkEnd w:id="71"/>
      <w:r>
        <w:t>.  Skarżący wniósł o unieważnienie decyzji dotyczących jego kariery zawodowej, tak aby przywrócono sytuację do stanu sprzed naruszenia Konwencji, i domagał się kwoty 149.041,08 EUR tytułem szkody majątkowej, odzwierciedlającej stratę i utracone korzyści (</w:t>
      </w:r>
      <w:proofErr w:type="spellStart"/>
      <w:r>
        <w:rPr>
          <w:i/>
          <w:iCs/>
        </w:rPr>
        <w:t>lucrum</w:t>
      </w:r>
      <w:proofErr w:type="spellEnd"/>
      <w:r>
        <w:rPr>
          <w:i/>
          <w:iCs/>
        </w:rPr>
        <w:t xml:space="preserve"> </w:t>
      </w:r>
      <w:proofErr w:type="spellStart"/>
      <w:r>
        <w:rPr>
          <w:i/>
          <w:iCs/>
        </w:rPr>
        <w:t>cessans</w:t>
      </w:r>
      <w:proofErr w:type="spellEnd"/>
      <w:r>
        <w:t>), na którą to kwotę składa się 135.178,31 EUR, stanowiących różnicę w</w:t>
      </w:r>
      <w:r w:rsidR="00446732">
        <w:t> </w:t>
      </w:r>
      <w:r>
        <w:t>wynagrodzeniu między tym, co otrzymał jako audytor, a tym, co</w:t>
      </w:r>
      <w:r w:rsidR="00446732">
        <w:t> </w:t>
      </w:r>
      <w:r>
        <w:t xml:space="preserve">otrzymałby </w:t>
      </w:r>
      <w:proofErr w:type="spellStart"/>
      <w:r>
        <w:t>jako</w:t>
      </w:r>
      <w:r w:rsidR="00072808">
        <w:t>CoL</w:t>
      </w:r>
      <w:proofErr w:type="spellEnd"/>
      <w:r w:rsidR="00072808">
        <w:t xml:space="preserve"> </w:t>
      </w:r>
      <w:r>
        <w:t>, oraz 13.862,77 EUR, stanowiących różnicę w składkach emerytalnych, do dnia wniesienia stanowisk (czerwiec 2025 r.). Ponadto skarżący domagał się 40.000 EUR tytułem zadośćuczynienia za szkodę niemajątkową, wynikającą z utrzymujących się reperkusji zaskarżonego środka (powołując się na próg dotkliwości na</w:t>
      </w:r>
      <w:r w:rsidR="00446732">
        <w:t> </w:t>
      </w:r>
      <w:r>
        <w:t>gruncie art. 8 Konwencji, „wstrzymanie” kariery zawodowej i skutki dla jego późniejszych ocen i możliwości awansu, utrzymujący się stres i</w:t>
      </w:r>
      <w:r w:rsidR="00446732">
        <w:t> </w:t>
      </w:r>
      <w:r>
        <w:t>wymuszoną presję psychologiczną w miejscu pracy, wszczęcie postępowania dyscyplinarnego oraz uciążliwe obciążenie pracą sędziowską, co miało negatywny wpływ na jego zdrowie psychiczne). Powołując się na</w:t>
      </w:r>
      <w:r w:rsidR="00446732">
        <w:t> </w:t>
      </w:r>
      <w:r>
        <w:t>art. 46 Konwencji, skarżący wezwał ponadto Trybunał do wskazania wszelkich środków indywidualnych lub ogólnych w celu położenia kresu naruszeniu i naprawienia jego skutków.</w:t>
      </w:r>
    </w:p>
    <w:p w14:paraId="04BFFA3F" w14:textId="1DC02224" w:rsidR="00F5142C" w:rsidRPr="00DB5C9E" w:rsidRDefault="00446BA2" w:rsidP="00DB5C9E">
      <w:pPr>
        <w:pStyle w:val="JuPara"/>
      </w:pPr>
      <w:fldSimple w:instr=" SEQ level0 \*arabic \* MERGEFORMAT ">
        <w:r>
          <w:rPr>
            <w:noProof/>
          </w:rPr>
          <w:t>183</w:t>
        </w:r>
      </w:fldSimple>
      <w:r w:rsidR="00445208">
        <w:t xml:space="preserve">.  Rząd podniósł, że w następstwie reformy sądownictwa zmodyfikowano ramy prawne, jak również skład CGP, a zaskarżoną ustawę uchylono (zob. par. </w:t>
      </w:r>
      <w:r w:rsidR="00445208" w:rsidRPr="00DB5C9E">
        <w:fldChar w:fldCharType="begin"/>
      </w:r>
      <w:r w:rsidR="00445208" w:rsidRPr="00DB5C9E">
        <w:instrText xml:space="preserve"> REF paragraph00062 \h </w:instrText>
      </w:r>
      <w:r w:rsidR="00445208" w:rsidRPr="00DB5C9E">
        <w:fldChar w:fldCharType="separate"/>
      </w:r>
      <w:r>
        <w:rPr>
          <w:noProof/>
        </w:rPr>
        <w:t>62</w:t>
      </w:r>
      <w:r w:rsidR="00445208" w:rsidRPr="00DB5C9E">
        <w:fldChar w:fldCharType="end"/>
      </w:r>
      <w:r w:rsidR="00445208">
        <w:t xml:space="preserve"> powyżej). W związku z tym nie było możliwości </w:t>
      </w:r>
      <w:r w:rsidR="00445208">
        <w:lastRenderedPageBreak/>
        <w:t>wdrożenia jakichkolwiek środków ogólnych, o które wniósł skarżący. Rząd zauważył ponadto, że skarżący wziął udział w dwóch konkursach, w których nie odniósł sukcesu, a odwołania od wyników tych konkursów zostały oddalone, zatem brak awansu zawodowego skarżącego nie miał związku z</w:t>
      </w:r>
      <w:r w:rsidR="00446732">
        <w:t> </w:t>
      </w:r>
      <w:r w:rsidR="00445208">
        <w:t>zarzucanymi naruszeniami. To samo dotyczyło postępowań dyscyplinarnych i innych niepowiązanych kwestii. W związku z tym Rząd uznał, że roszczenie o zadośćuczynienie z tytułu szkody niemajątkowej w</w:t>
      </w:r>
      <w:r w:rsidR="00446732">
        <w:t> </w:t>
      </w:r>
      <w:r w:rsidR="00445208">
        <w:t>tym zakresie nie powinno zostać uwzględnione.</w:t>
      </w:r>
    </w:p>
    <w:p w14:paraId="53EFE714" w14:textId="77777777" w:rsidR="00F5142C" w:rsidRPr="00DB5C9E" w:rsidRDefault="00445208" w:rsidP="00DB5C9E">
      <w:pPr>
        <w:pStyle w:val="JuH1"/>
      </w:pPr>
      <w:r>
        <w:t>Ocena Trybunału</w:t>
      </w:r>
    </w:p>
    <w:p w14:paraId="3580B9D7" w14:textId="1498C546" w:rsidR="00F5142C" w:rsidRPr="00DB5C9E" w:rsidRDefault="00446BA2" w:rsidP="00DB5C9E">
      <w:pPr>
        <w:pStyle w:val="JuPara"/>
      </w:pPr>
      <w:fldSimple w:instr=" SEQ level0 \*arabic \* MERGEFORMAT ">
        <w:r>
          <w:rPr>
            <w:noProof/>
          </w:rPr>
          <w:t>184</w:t>
        </w:r>
      </w:fldSimple>
      <w:r w:rsidR="00445208">
        <w:t xml:space="preserve">.  Jak Trybunał orzekał już w wielu sprawach, wyrok, w którym Trybunał stwierdza naruszenie, nakłada na pozwane państwo prawny obowiązek zaprzestania naruszenia oraz naprawienia jego skutków w taki sposób, by przywrócić sytuację do stanu sprzed wystąpienia naruszenia (zob. </w:t>
      </w:r>
      <w:proofErr w:type="spellStart"/>
      <w:r w:rsidR="00445208">
        <w:rPr>
          <w:i/>
          <w:iCs/>
        </w:rPr>
        <w:t>Iatridis</w:t>
      </w:r>
      <w:proofErr w:type="spellEnd"/>
      <w:r w:rsidR="00445208">
        <w:rPr>
          <w:i/>
          <w:iCs/>
        </w:rPr>
        <w:t xml:space="preserve"> przeciwko Grecji</w:t>
      </w:r>
      <w:r w:rsidR="00445208">
        <w:t xml:space="preserve"> (słuszne zadośćuczynienie) [WI], nr 31107/96, §</w:t>
      </w:r>
      <w:r w:rsidR="00446732">
        <w:t> </w:t>
      </w:r>
      <w:r w:rsidR="00445208">
        <w:t xml:space="preserve">32, ETPC 2000-XI, oraz </w:t>
      </w:r>
      <w:bookmarkStart w:id="72" w:name="File5"/>
      <w:proofErr w:type="spellStart"/>
      <w:r w:rsidR="00445208">
        <w:rPr>
          <w:i/>
        </w:rPr>
        <w:t>Guiso</w:t>
      </w:r>
      <w:bookmarkEnd w:id="72"/>
      <w:r w:rsidR="00445208">
        <w:rPr>
          <w:i/>
        </w:rPr>
        <w:t>-Gallisay</w:t>
      </w:r>
      <w:proofErr w:type="spellEnd"/>
      <w:r w:rsidR="00445208">
        <w:rPr>
          <w:i/>
        </w:rPr>
        <w:t xml:space="preserve"> przeciwko Włochom </w:t>
      </w:r>
      <w:r w:rsidR="00445208">
        <w:t>(słuszne zadośćuczynienie) [WI], nr 58858/00</w:t>
      </w:r>
      <w:r w:rsidR="00445208">
        <w:rPr>
          <w:snapToGrid w:val="0"/>
        </w:rPr>
        <w:t>, § 90, 22 grudnia 2009 r.</w:t>
      </w:r>
      <w:r w:rsidR="00445208">
        <w:t xml:space="preserve">). Jeżeli charakter naruszenia pozwala na </w:t>
      </w:r>
      <w:proofErr w:type="spellStart"/>
      <w:r w:rsidR="00445208">
        <w:rPr>
          <w:i/>
          <w:iCs/>
        </w:rPr>
        <w:t>restitutio</w:t>
      </w:r>
      <w:proofErr w:type="spellEnd"/>
      <w:r w:rsidR="00445208">
        <w:rPr>
          <w:i/>
          <w:iCs/>
        </w:rPr>
        <w:t xml:space="preserve"> in </w:t>
      </w:r>
      <w:proofErr w:type="spellStart"/>
      <w:r w:rsidR="00445208">
        <w:rPr>
          <w:i/>
          <w:iCs/>
        </w:rPr>
        <w:t>integrum</w:t>
      </w:r>
      <w:proofErr w:type="spellEnd"/>
      <w:r w:rsidR="00445208">
        <w:t>, obowiązkiem państwa uznanego za odpowiedzialne jest jego dokonanie, gdyż Trybunał nie ma ani uprawnień, ani praktycznej możliwości, aby uczynić to samodzielnie. Jeżeli z kolei prawo krajowe nie zezwala lub zezwala jedynie częściowo na naprawienie konsekwencji naruszenia, art. 41 przewiduje uprawnienie Trybunału do przyznania stronie poszkodowanej takiego zadośćuczynienia, jakie uzna za stosowne (ibid.)</w:t>
      </w:r>
    </w:p>
    <w:p w14:paraId="26664333" w14:textId="35461F7D" w:rsidR="00F5142C" w:rsidRPr="00DB5C9E" w:rsidRDefault="00446BA2" w:rsidP="00DB5C9E">
      <w:pPr>
        <w:pStyle w:val="JuPara"/>
      </w:pPr>
      <w:fldSimple w:instr=" SEQ level0 \*arabic \* MERGEFORMAT ">
        <w:r>
          <w:rPr>
            <w:noProof/>
          </w:rPr>
          <w:t>185</w:t>
        </w:r>
      </w:fldSimple>
      <w:r w:rsidR="00445208">
        <w:t xml:space="preserve">.  O ile do państwa należy położenie kresu naruszeniu art. 8, przypominając, że państwo ma swobodę wyboru środków, za pomocą których wywiąże się ze swojego prawnego obowiązku wynikającego z art. 46 Konwencji, pod warunkiem że środki te są zgodne z „wnioskami i myślą przewodnią” wyroku Trybunału (zob. </w:t>
      </w:r>
      <w:bookmarkStart w:id="73" w:name="_cl27895"/>
      <w:proofErr w:type="spellStart"/>
      <w:r w:rsidR="00445208">
        <w:rPr>
          <w:i/>
        </w:rPr>
        <w:t>Ilgar</w:t>
      </w:r>
      <w:proofErr w:type="spellEnd"/>
      <w:r w:rsidR="00445208">
        <w:rPr>
          <w:i/>
        </w:rPr>
        <w:t xml:space="preserve"> </w:t>
      </w:r>
      <w:proofErr w:type="spellStart"/>
      <w:r w:rsidR="00445208">
        <w:rPr>
          <w:i/>
        </w:rPr>
        <w:t>Mammadov</w:t>
      </w:r>
      <w:proofErr w:type="spellEnd"/>
      <w:r w:rsidR="00445208">
        <w:rPr>
          <w:i/>
        </w:rPr>
        <w:t xml:space="preserve"> przeciwko Azerbejdżanowi</w:t>
      </w:r>
      <w:bookmarkEnd w:id="73"/>
      <w:r w:rsidR="00445208">
        <w:t xml:space="preserve"> (postępowanie </w:t>
      </w:r>
      <w:proofErr w:type="spellStart"/>
      <w:r w:rsidR="00445208">
        <w:t>naruszeniowe</w:t>
      </w:r>
      <w:proofErr w:type="spellEnd"/>
      <w:r w:rsidR="00445208">
        <w:t>) [WI], nr 15172/13, § 195, 29</w:t>
      </w:r>
      <w:r w:rsidR="00446732">
        <w:t> </w:t>
      </w:r>
      <w:r w:rsidR="00445208">
        <w:t xml:space="preserve">maja 2019 r.), Trybunał przystąpi do przyznania odszkodowania za okres do dnia złożenia uwag (zgodnie z wnioskiem skarżącego, zob. par. </w:t>
      </w:r>
      <w:r w:rsidR="00445208" w:rsidRPr="00DB5C9E">
        <w:fldChar w:fldCharType="begin"/>
      </w:r>
      <w:r w:rsidR="00445208" w:rsidRPr="00DB5C9E">
        <w:instrText xml:space="preserve"> REF p4 \h </w:instrText>
      </w:r>
      <w:r w:rsidR="00445208" w:rsidRPr="00DB5C9E">
        <w:fldChar w:fldCharType="separate"/>
      </w:r>
      <w:r>
        <w:rPr>
          <w:noProof/>
        </w:rPr>
        <w:t>182</w:t>
      </w:r>
      <w:r w:rsidR="00445208" w:rsidRPr="00DB5C9E">
        <w:fldChar w:fldCharType="end"/>
      </w:r>
      <w:r w:rsidR="00445208">
        <w:t>182 powyżej).</w:t>
      </w:r>
    </w:p>
    <w:p w14:paraId="3C2CCA0E" w14:textId="005945C7" w:rsidR="00F5142C" w:rsidRPr="005D2BCE" w:rsidRDefault="00446BA2" w:rsidP="00DB5C9E">
      <w:pPr>
        <w:pStyle w:val="JuPara"/>
      </w:pPr>
      <w:fldSimple w:instr=" SEQ level0 \*arabic \* MERGEFORMAT ">
        <w:r>
          <w:rPr>
            <w:noProof/>
          </w:rPr>
          <w:t>186</w:t>
        </w:r>
      </w:fldSimple>
      <w:r w:rsidR="00445208">
        <w:t xml:space="preserve">.  Trybunał zauważa, że Rząd nie zakwestionował obliczeń skarżącego, dotyczących utraty zarobków wynikającej ze stwierdzenia nieważności jego powołania na </w:t>
      </w:r>
      <w:proofErr w:type="spellStart"/>
      <w:proofErr w:type="gramStart"/>
      <w:r w:rsidR="00445208">
        <w:t>stanowisko</w:t>
      </w:r>
      <w:r w:rsidR="00072808">
        <w:t>CoL</w:t>
      </w:r>
      <w:proofErr w:type="spellEnd"/>
      <w:r w:rsidR="00072808">
        <w:t xml:space="preserve"> </w:t>
      </w:r>
      <w:r w:rsidR="00445208">
        <w:t>.</w:t>
      </w:r>
      <w:proofErr w:type="gramEnd"/>
      <w:r w:rsidR="00445208">
        <w:t xml:space="preserve"> Straty te</w:t>
      </w:r>
      <w:r w:rsidR="00446732">
        <w:t> </w:t>
      </w:r>
      <w:r w:rsidR="00445208">
        <w:t>pozostają w bezpośrednim związku przyczynowym ze stwierdzonymi w</w:t>
      </w:r>
      <w:r w:rsidR="00446732">
        <w:t> </w:t>
      </w:r>
      <w:r w:rsidR="00445208">
        <w:t>niniejszej sprawie naruszeniami, a mając na uwadze, że skarżący kontynuował pełnienie funkcji w ramach wymiaru sprawiedliwości, roszczenie to nie jest spekulatywne. Trybunał uważa również, że chociaż niektóre z jego argumentów w tym zakresie są nieuzasadnione lub nie są</w:t>
      </w:r>
      <w:r w:rsidR="00446732">
        <w:t> </w:t>
      </w:r>
      <w:r w:rsidR="00445208">
        <w:t xml:space="preserve">związane z przedmiotem niniejszej sprawy, skarżący z pewnością doznał szkody niemajątkowej, której nie można naprawić wyłącznie poprzez stwierdzenie naruszenia, a zatem należy przyznać mu zadośćuczynienie. Trybunał, </w:t>
      </w:r>
      <w:r w:rsidR="00445208">
        <w:lastRenderedPageBreak/>
        <w:t>dokonując oceny na zasadzie słuszności oraz w świetle wszystkich informacji będących w jego posiadaniu, uznaje za zasadne zasądzenie na</w:t>
      </w:r>
      <w:r w:rsidR="00446732">
        <w:t> </w:t>
      </w:r>
      <w:r w:rsidR="00445208">
        <w:t xml:space="preserve">rzecz skarżącego łącznej kwoty 150.000 EUR z tytułu wszystkich szkód łącznie, powiększonej o wszelkie podatki, jakie mogą zostać naliczone od tej kwoty (zob. </w:t>
      </w:r>
      <w:bookmarkStart w:id="74" w:name="_cl41022THELAW"/>
      <w:proofErr w:type="spellStart"/>
      <w:r w:rsidR="00445208" w:rsidRPr="005D2BCE">
        <w:rPr>
          <w:i/>
        </w:rPr>
        <w:t>Democracy</w:t>
      </w:r>
      <w:proofErr w:type="spellEnd"/>
      <w:r w:rsidR="00445208" w:rsidRPr="005D2BCE">
        <w:rPr>
          <w:i/>
        </w:rPr>
        <w:t xml:space="preserve"> and Human </w:t>
      </w:r>
      <w:proofErr w:type="spellStart"/>
      <w:r w:rsidR="00445208" w:rsidRPr="005D2BCE">
        <w:rPr>
          <w:i/>
        </w:rPr>
        <w:t>Rights</w:t>
      </w:r>
      <w:proofErr w:type="spellEnd"/>
      <w:r w:rsidR="00445208" w:rsidRPr="005D2BCE">
        <w:rPr>
          <w:i/>
        </w:rPr>
        <w:t xml:space="preserve"> Resource Centre </w:t>
      </w:r>
      <w:r w:rsidR="005D2BCE" w:rsidRPr="005D2BCE">
        <w:rPr>
          <w:i/>
        </w:rPr>
        <w:t xml:space="preserve">i </w:t>
      </w:r>
      <w:proofErr w:type="spellStart"/>
      <w:r w:rsidR="00445208" w:rsidRPr="005D2BCE">
        <w:rPr>
          <w:i/>
        </w:rPr>
        <w:t>Mustafayev</w:t>
      </w:r>
      <w:proofErr w:type="spellEnd"/>
      <w:r w:rsidR="00445208" w:rsidRPr="005D2BCE">
        <w:rPr>
          <w:i/>
        </w:rPr>
        <w:t xml:space="preserve"> </w:t>
      </w:r>
      <w:bookmarkEnd w:id="74"/>
      <w:r w:rsidR="005D2BCE" w:rsidRPr="005D2BCE">
        <w:rPr>
          <w:i/>
        </w:rPr>
        <w:t>przeciwko Azerbejdżanowi</w:t>
      </w:r>
      <w:r w:rsidR="00445208" w:rsidRPr="005D2BCE">
        <w:t>, nr 74288/14 i 64568/16, § 121, 14 października 2021 r.).</w:t>
      </w:r>
    </w:p>
    <w:p w14:paraId="1D503C5A" w14:textId="77777777" w:rsidR="00F5142C" w:rsidRPr="00DB5C9E" w:rsidRDefault="00445208" w:rsidP="00DB5C9E">
      <w:pPr>
        <w:pStyle w:val="JuHA"/>
      </w:pPr>
      <w:r>
        <w:t>Koszty i wydatki</w:t>
      </w:r>
    </w:p>
    <w:p w14:paraId="2A280431" w14:textId="77777777" w:rsidR="00F5142C" w:rsidRPr="00DB5C9E" w:rsidRDefault="00445208" w:rsidP="00DB5C9E">
      <w:pPr>
        <w:pStyle w:val="JuH1"/>
      </w:pPr>
      <w:r>
        <w:t>Stanowiska stron</w:t>
      </w:r>
    </w:p>
    <w:bookmarkStart w:id="75" w:name="p5"/>
    <w:p w14:paraId="5C3587D1" w14:textId="610BD719" w:rsidR="00F5142C" w:rsidRPr="00DB5C9E" w:rsidRDefault="00445208" w:rsidP="00DB5C9E">
      <w:pPr>
        <w:pStyle w:val="JuPara"/>
      </w:pPr>
      <w:r w:rsidRPr="00DB5C9E">
        <w:fldChar w:fldCharType="begin"/>
      </w:r>
      <w:r w:rsidRPr="00DB5C9E">
        <w:instrText xml:space="preserve"> SEQ level0 \*arabic \* MERGEFORMAT </w:instrText>
      </w:r>
      <w:r w:rsidRPr="00DB5C9E">
        <w:fldChar w:fldCharType="separate"/>
      </w:r>
      <w:r w:rsidR="00446BA2">
        <w:rPr>
          <w:noProof/>
        </w:rPr>
        <w:t>187</w:t>
      </w:r>
      <w:r w:rsidRPr="00DB5C9E">
        <w:fldChar w:fldCharType="end"/>
      </w:r>
      <w:bookmarkEnd w:id="75"/>
      <w:r>
        <w:t>.  Skarżący domagał się zwrotu kosztów i wydatków prawnych (w</w:t>
      </w:r>
      <w:r w:rsidR="00446732">
        <w:t> </w:t>
      </w:r>
      <w:r>
        <w:t>odniesieniu do zastępstwa prawnego przez różnych prawników w kilku postępowaniach wszczętych przez skarżącego na szczeblu krajowym, a także w kilku sprawach wniesionych do Trybunału), w związku z czym przedłożył szereg faktur (które odnoszą się, czasami łącznie, do kilku postępowań, w</w:t>
      </w:r>
      <w:r w:rsidR="00446732">
        <w:t> </w:t>
      </w:r>
      <w:r>
        <w:t>tym postępowań niezwiązanych z niniejszą sprawą, lub innych spraw wniesionych do Trybunału).</w:t>
      </w:r>
    </w:p>
    <w:p w14:paraId="0CA849BA" w14:textId="77777777" w:rsidR="00F5142C" w:rsidRPr="00DB5C9E" w:rsidRDefault="00446BA2" w:rsidP="00DB5C9E">
      <w:pPr>
        <w:pStyle w:val="JuPara"/>
      </w:pPr>
      <w:fldSimple w:instr=" SEQ level0 \*arabic \* MERGEFORMAT ">
        <w:r>
          <w:rPr>
            <w:noProof/>
          </w:rPr>
          <w:t>188</w:t>
        </w:r>
      </w:fldSimple>
      <w:r w:rsidR="00445208">
        <w:t>.  Rząd stwierdził, że faktury przedłożone przez skarżącego nie dotyczyły jedynie postępowania o sygn. 37/2020 i obejmowały koszty związane z postępowaniem o sygn. 13/2019, a także z postępowaniem dyscyplinarnym wszczętym przeciwko niemu oraz innymi sprawami wniesionymi do ETPC, które nie były związane z przedmiotem niniejszej sprawy. Nie przedstawiono również żadnego dowodu na to, że zafakturowane koszty zostały uiszczone.</w:t>
      </w:r>
    </w:p>
    <w:p w14:paraId="2F210E28" w14:textId="77777777" w:rsidR="00F5142C" w:rsidRPr="00DB5C9E" w:rsidRDefault="00445208" w:rsidP="00DB5C9E">
      <w:pPr>
        <w:pStyle w:val="JuH1"/>
      </w:pPr>
      <w:r>
        <w:t>Ocena Trybunału</w:t>
      </w:r>
    </w:p>
    <w:p w14:paraId="2228E71B" w14:textId="77777777" w:rsidR="00F5142C" w:rsidRPr="00DB5C9E" w:rsidRDefault="00446BA2" w:rsidP="00DB5C9E">
      <w:pPr>
        <w:pStyle w:val="JuPara"/>
      </w:pPr>
      <w:fldSimple w:instr=" SEQ level0 \*arabic \* MERGEFORMAT ">
        <w:r>
          <w:rPr>
            <w:noProof/>
          </w:rPr>
          <w:t>189</w:t>
        </w:r>
      </w:fldSimple>
      <w:r w:rsidR="00445208">
        <w:t xml:space="preserve">.  Trybunał zauważa po pierwsze, że skarżący wniósł nieokreślone kwotowo roszczenie w odniesieniu do kosztów i wydatków, jedynie przedkładając szereg faktur odnoszących się, czasami łącznie, do kilku postępowań (zob. par. </w:t>
      </w:r>
      <w:r w:rsidR="00445208" w:rsidRPr="00DB5C9E">
        <w:fldChar w:fldCharType="begin"/>
      </w:r>
      <w:r w:rsidR="00445208" w:rsidRPr="00DB5C9E">
        <w:instrText xml:space="preserve"> REF p5 \h </w:instrText>
      </w:r>
      <w:r w:rsidR="00445208" w:rsidRPr="00DB5C9E">
        <w:fldChar w:fldCharType="separate"/>
      </w:r>
      <w:r>
        <w:rPr>
          <w:noProof/>
        </w:rPr>
        <w:t>187</w:t>
      </w:r>
      <w:r w:rsidR="00445208" w:rsidRPr="00DB5C9E">
        <w:fldChar w:fldCharType="end"/>
      </w:r>
      <w:r w:rsidR="00445208">
        <w:t xml:space="preserve"> powyżej). W związku z tym Trybunał mógłby odrzucić to roszczenie, mając na uwadze sposób, w jaki zostało złożone. Trybunał uważa jednak za stosowne w niniejszej sprawie częściowo uwzględnić roszczenie skarżącego.</w:t>
      </w:r>
    </w:p>
    <w:bookmarkStart w:id="76" w:name="paragraph00213"/>
    <w:p w14:paraId="1636B0BB" w14:textId="61BBC701" w:rsidR="00F5142C" w:rsidRPr="00DB5C9E" w:rsidRDefault="00445208" w:rsidP="00DB5C9E">
      <w:pPr>
        <w:pStyle w:val="JuPara"/>
      </w:pPr>
      <w:r w:rsidRPr="00DB5C9E">
        <w:fldChar w:fldCharType="begin"/>
      </w:r>
      <w:r w:rsidRPr="00DB5C9E">
        <w:instrText xml:space="preserve"> SEQ level0 \*arabic \* MERGEFORMAT </w:instrText>
      </w:r>
      <w:r w:rsidRPr="00DB5C9E">
        <w:fldChar w:fldCharType="separate"/>
      </w:r>
      <w:r w:rsidR="00446BA2">
        <w:rPr>
          <w:noProof/>
        </w:rPr>
        <w:t>190</w:t>
      </w:r>
      <w:r w:rsidRPr="00DB5C9E">
        <w:fldChar w:fldCharType="end"/>
      </w:r>
      <w:bookmarkEnd w:id="76"/>
      <w:r>
        <w:t>.  Trybunał uważa, że koszty i wydatki związane z postępowaniem administracyjnym będącym przedmiotem niniejszej sprawy, a mianowicie postępowaniem o sygn. 37/2020, w tym z postępowaniem odwoławczym w</w:t>
      </w:r>
      <w:r w:rsidR="00446732">
        <w:t> </w:t>
      </w:r>
      <w:r>
        <w:t>tej sprawie (nr 3/2023), a także te poniesione przed Trybunałem w związku z niniejszą skargą, faktycznie byłyby należne, ale nie koszty i wydatki związane z jakimikolwiek innymi postępowaniami, które zostały wszczęte pomimo tego, że nie były uznawane za wymagane środki odwoławcze, z</w:t>
      </w:r>
      <w:r w:rsidR="00446732">
        <w:t> </w:t>
      </w:r>
      <w:r>
        <w:t xml:space="preserve">postępowaniami niezwiązanymi z przedmiotem sprawy, takimi jak </w:t>
      </w:r>
      <w:r>
        <w:lastRenderedPageBreak/>
        <w:t>postępowanie dyscyplinarne niepowiązane z przedmiotem niniejszej sprawy, lub z innymi sprawami wniesionymi do Trybunału.</w:t>
      </w:r>
    </w:p>
    <w:p w14:paraId="4B26B912" w14:textId="01C29C9D" w:rsidR="00F5142C" w:rsidRPr="00DB5C9E" w:rsidRDefault="00446BA2" w:rsidP="00DB5C9E">
      <w:pPr>
        <w:pStyle w:val="JuPara"/>
      </w:pPr>
      <w:fldSimple w:instr=" SEQ level0 \*arabic \* MERGEFORMAT ">
        <w:r>
          <w:rPr>
            <w:noProof/>
          </w:rPr>
          <w:t>191</w:t>
        </w:r>
      </w:fldSimple>
      <w:r w:rsidR="00445208">
        <w:t>.  Zgodnie z orzecznictwem Trybunału (</w:t>
      </w:r>
      <w:r w:rsidR="009D0662">
        <w:t>zob.</w:t>
      </w:r>
      <w:r w:rsidR="00445208">
        <w:t xml:space="preserve"> </w:t>
      </w:r>
      <w:bookmarkStart w:id="77" w:name="_cl42384"/>
      <w:r w:rsidR="00445208">
        <w:rPr>
          <w:i/>
        </w:rPr>
        <w:t>L.B. przeciwko Węgrom</w:t>
      </w:r>
      <w:bookmarkEnd w:id="77"/>
      <w:r w:rsidR="00445208">
        <w:t xml:space="preserve"> [WI], nr 36345/16, § 149, 9 marca 2023 r.), skarżącemu przysługuje prawo do zwrotu poniesionych kosztów i wydatków tylko w takim zakresie, w jakim wykazał, że były one rzeczywiście i koniecznie poniesione oraz uzasadnione co do wysokości. W odniesieniu do argumentu Rządu, że nie przedstawiono dowodu zapłaty, Trybunał zauważa, że skarżący podpisał pełnomocnictwo upoważniające pełnomocnika do wniesienia niniejszej sprawy przed Trybunałem, a zatem nawiązał stosunek umowny z pełnomocnikiem, który jest uprawniony do odzyskania należnych kwot, dotyczących przynajmniej tego postępowania przed Trybunałem, zgodnie z wystawioną fakturą, nawet przy założeniu, że kwoty nie zostały jeszcze uiszczone (zob. </w:t>
      </w:r>
      <w:bookmarkStart w:id="78" w:name="_cl44394THELAW"/>
      <w:r w:rsidR="00445208">
        <w:rPr>
          <w:i/>
        </w:rPr>
        <w:t>J.B. i Inni przeciwko Malcie</w:t>
      </w:r>
      <w:bookmarkEnd w:id="78"/>
      <w:r w:rsidR="00445208">
        <w:t>, nr 1766/23, § 175, 22 października 2024 r.).</w:t>
      </w:r>
    </w:p>
    <w:p w14:paraId="2796B7CA" w14:textId="6C2A78F7" w:rsidR="00F5142C" w:rsidRPr="00DB5C9E" w:rsidRDefault="00446BA2" w:rsidP="00DB5C9E">
      <w:pPr>
        <w:pStyle w:val="JuPara"/>
      </w:pPr>
      <w:fldSimple w:instr=" SEQ level0 \*arabic \* MERGEFORMAT ">
        <w:r>
          <w:rPr>
            <w:noProof/>
          </w:rPr>
          <w:t>192</w:t>
        </w:r>
      </w:fldSimple>
      <w:r w:rsidR="00445208">
        <w:t>.  Trybunał uważa, że to samo powinno mieć zastosowanie w</w:t>
      </w:r>
      <w:r w:rsidR="00446732">
        <w:t> </w:t>
      </w:r>
      <w:r w:rsidR="00445208">
        <w:t>odniesieniu do kosztów i wydatków poniesionych w związku z</w:t>
      </w:r>
      <w:r w:rsidR="00446732">
        <w:t> </w:t>
      </w:r>
      <w:r w:rsidR="00445208">
        <w:t>postępowaniem o sygn. 37/2020, w tym postępowaniem odwoławczym w</w:t>
      </w:r>
      <w:r w:rsidR="00446732">
        <w:t> </w:t>
      </w:r>
      <w:r w:rsidR="00445208">
        <w:t>tej sprawie (nr 3/2023), wobec braku jakichkolwiek podstaw do uznania, że te faktury pozostały niezapłacone. Mając na uwadze posiadane dokumenty oraz powyższe kryteria, Trybunał uważa za zasadne zasądzenie kwoty 10.000 EUR związanej z wyżej wymienionymi postępowaniami i odrzuca roszczenie o zwrot kosztów i wydatków w pozostałej części.</w:t>
      </w:r>
    </w:p>
    <w:p w14:paraId="5C158876" w14:textId="77777777" w:rsidR="00F5142C" w:rsidRPr="00DB5C9E" w:rsidRDefault="00445208" w:rsidP="00DB5C9E">
      <w:pPr>
        <w:pStyle w:val="JuHHead"/>
      </w:pPr>
      <w:r>
        <w:t>Z TYCH PRZYCZYN TRYBUNAŁ JEDNOGŁOŚNIE</w:t>
      </w:r>
    </w:p>
    <w:p w14:paraId="41210D08" w14:textId="77777777" w:rsidR="00F5142C" w:rsidRPr="00DB5C9E" w:rsidRDefault="00445208" w:rsidP="00DB5C9E">
      <w:pPr>
        <w:pStyle w:val="JuList"/>
      </w:pPr>
      <w:r>
        <w:rPr>
          <w:i/>
          <w:iCs/>
        </w:rPr>
        <w:t xml:space="preserve">uznaje </w:t>
      </w:r>
      <w:r>
        <w:t>skargę za dopuszczalną;</w:t>
      </w:r>
    </w:p>
    <w:p w14:paraId="2BFDB08B" w14:textId="3434A5D2" w:rsidR="00F5142C" w:rsidRPr="00DB5C9E" w:rsidRDefault="00445208" w:rsidP="00DB5C9E">
      <w:pPr>
        <w:pStyle w:val="JuList"/>
      </w:pPr>
      <w:r>
        <w:rPr>
          <w:i/>
          <w:iCs/>
        </w:rPr>
        <w:t>orzeka</w:t>
      </w:r>
      <w:r>
        <w:t>, że doszło do naruszenia art. 6 ust. 1 Konwencji w odniesieniu do</w:t>
      </w:r>
      <w:r w:rsidR="00446732">
        <w:t> </w:t>
      </w:r>
      <w:r>
        <w:t>rzetelności postępowania, wynikającego z interwencji ustawodawczej, mającej moc wsteczną;</w:t>
      </w:r>
    </w:p>
    <w:p w14:paraId="3E6A86A8" w14:textId="77777777" w:rsidR="00F5142C" w:rsidRPr="00DB5C9E" w:rsidRDefault="00445208" w:rsidP="00DB5C9E">
      <w:pPr>
        <w:pStyle w:val="JuList"/>
      </w:pPr>
      <w:r>
        <w:rPr>
          <w:i/>
          <w:iCs/>
        </w:rPr>
        <w:t>orzeka</w:t>
      </w:r>
      <w:r>
        <w:t>, że nie ma potrzeby badania zarzutu na podstawie art. 6 ust. 1 Konwencji, dotyczącego niezależności i bezstronności sądu;</w:t>
      </w:r>
    </w:p>
    <w:p w14:paraId="17BCC3C9" w14:textId="77777777" w:rsidR="00F5142C" w:rsidRPr="00DB5C9E" w:rsidRDefault="00445208" w:rsidP="00DB5C9E">
      <w:pPr>
        <w:pStyle w:val="JuList"/>
      </w:pPr>
      <w:r>
        <w:rPr>
          <w:i/>
          <w:iCs/>
        </w:rPr>
        <w:t>orzeka</w:t>
      </w:r>
      <w:r>
        <w:t>, że nie doszło do naruszenia art. 6 ust. 1 Konwencji w odniesieniu do przewlekłości postępowania;</w:t>
      </w:r>
    </w:p>
    <w:p w14:paraId="3FAFA6F3" w14:textId="77777777" w:rsidR="00F5142C" w:rsidRPr="00DB5C9E" w:rsidRDefault="00445208" w:rsidP="00DB5C9E">
      <w:pPr>
        <w:pStyle w:val="JuList"/>
      </w:pPr>
      <w:r>
        <w:rPr>
          <w:i/>
          <w:iCs/>
        </w:rPr>
        <w:t>orzeka</w:t>
      </w:r>
      <w:r>
        <w:t>, że doszło do naruszenia art. 8 Konwencji;</w:t>
      </w:r>
    </w:p>
    <w:p w14:paraId="50A48334" w14:textId="77777777" w:rsidR="00F5142C" w:rsidRPr="00DB5C9E" w:rsidRDefault="00445208" w:rsidP="00DB5C9E">
      <w:pPr>
        <w:pStyle w:val="JuList"/>
      </w:pPr>
      <w:r>
        <w:rPr>
          <w:i/>
        </w:rPr>
        <w:t>orzeka,</w:t>
      </w:r>
    </w:p>
    <w:p w14:paraId="524A544E" w14:textId="0202D73F" w:rsidR="00F5142C" w:rsidRPr="00DB5C9E" w:rsidRDefault="00445208" w:rsidP="00DB5C9E">
      <w:pPr>
        <w:pStyle w:val="JuLista"/>
      </w:pPr>
      <w:r>
        <w:t>że pozwane państwo winno, w terminie trzech miesięcy od daty, w</w:t>
      </w:r>
      <w:r w:rsidR="00446732">
        <w:t> </w:t>
      </w:r>
      <w:r>
        <w:t>której niniejszy wyrok stanie się ostateczny zgodnie z art. 44 ust. 2 Konwencji, uiścić na rzecz skarżącego następujące kwoty:</w:t>
      </w:r>
    </w:p>
    <w:p w14:paraId="08911C31" w14:textId="4FE4166F" w:rsidR="00F5142C" w:rsidRPr="00DB5C9E" w:rsidRDefault="00445208" w:rsidP="00DB5C9E">
      <w:pPr>
        <w:pStyle w:val="JuListi"/>
      </w:pPr>
      <w:r>
        <w:lastRenderedPageBreak/>
        <w:t>150.000 EUR (sto pięćdziesiąt tysięcy euro) tytułem odszkodowania za szkodę majątkową i zadośćuczynienia za</w:t>
      </w:r>
      <w:r w:rsidR="00446732">
        <w:t> </w:t>
      </w:r>
      <w:r>
        <w:t>szkodę niemajątkową łącznie;</w:t>
      </w:r>
    </w:p>
    <w:p w14:paraId="41F32DD6" w14:textId="77777777" w:rsidR="00F5142C" w:rsidRPr="00DB5C9E" w:rsidRDefault="00445208" w:rsidP="00DB5C9E">
      <w:pPr>
        <w:pStyle w:val="JuListi"/>
      </w:pPr>
      <w:r>
        <w:t>10.000 EUR (dziesięć tysięcy euro) tytułem kosztów i wydatków;</w:t>
      </w:r>
    </w:p>
    <w:p w14:paraId="293240C3" w14:textId="77777777" w:rsidR="00F5142C" w:rsidRPr="00DB5C9E" w:rsidRDefault="00445208" w:rsidP="00DB5C9E">
      <w:pPr>
        <w:pStyle w:val="JuLista"/>
      </w:pPr>
      <w:r>
        <w:t>że od upływu wyżej wskazanego terminu trzech miesięcy aż do momentu uregulowania należności, należne będą odsetki zwykłe od określonych powyżej kwot, naliczone według stopy równej marginalnej stopie procentowej Europejskiego Banku Centralnego obowiązującej w tym okresie, powiększonej o trzy punkty procentowe;</w:t>
      </w:r>
    </w:p>
    <w:p w14:paraId="07EB4066" w14:textId="77777777" w:rsidR="004D0EC7" w:rsidRPr="00DB5C9E" w:rsidRDefault="00445208" w:rsidP="00DB5C9E">
      <w:pPr>
        <w:pStyle w:val="JuList"/>
      </w:pPr>
      <w:r>
        <w:rPr>
          <w:i/>
        </w:rPr>
        <w:t>oddala</w:t>
      </w:r>
      <w:r>
        <w:t xml:space="preserve"> pozostałą część roszczenia skarżącego, dotyczącego słusznego zadośćuczynienia.</w:t>
      </w:r>
    </w:p>
    <w:p w14:paraId="67124E70" w14:textId="73098DBC" w:rsidR="008E3A08" w:rsidRPr="00DB5C9E" w:rsidRDefault="00445208" w:rsidP="00DB5C9E">
      <w:pPr>
        <w:pStyle w:val="JuParaLast"/>
      </w:pPr>
      <w:r>
        <w:t>Sporządzono w języku angielskim i obwieszczono pisemnie dnia 1</w:t>
      </w:r>
      <w:r w:rsidR="001D6568">
        <w:t>9</w:t>
      </w:r>
      <w:r>
        <w:t> lutego 202</w:t>
      </w:r>
      <w:r w:rsidR="001D6568">
        <w:t>6</w:t>
      </w:r>
      <w:r>
        <w:t> r., zgodnie z Regułą 77 § 2 i 3 Regulaminu Trybunału.</w:t>
      </w:r>
    </w:p>
    <w:p w14:paraId="4458002B" w14:textId="77777777" w:rsidR="007E79A4" w:rsidRPr="00DB5C9E" w:rsidRDefault="00445208" w:rsidP="00DB5C9E">
      <w:pPr>
        <w:pStyle w:val="JuSigned"/>
      </w:pPr>
      <w:r>
        <w:tab/>
        <w:t xml:space="preserve">Victor </w:t>
      </w:r>
      <w:proofErr w:type="spellStart"/>
      <w:r>
        <w:t>Soloveytchik</w:t>
      </w:r>
      <w:proofErr w:type="spellEnd"/>
      <w:r>
        <w:tab/>
      </w:r>
      <w:proofErr w:type="spellStart"/>
      <w:r>
        <w:t>Kateřina</w:t>
      </w:r>
      <w:proofErr w:type="spellEnd"/>
      <w:r>
        <w:t xml:space="preserve"> </w:t>
      </w:r>
      <w:proofErr w:type="spellStart"/>
      <w:r>
        <w:t>Šimáčková</w:t>
      </w:r>
      <w:proofErr w:type="spellEnd"/>
      <w:r>
        <w:br/>
      </w:r>
      <w:r>
        <w:tab/>
        <w:t>Kanclerz</w:t>
      </w:r>
      <w:r>
        <w:tab/>
        <w:t>Przewodnicząca</w:t>
      </w:r>
    </w:p>
    <w:sectPr w:rsidR="007E79A4" w:rsidRPr="00DB5C9E" w:rsidSect="007D3701">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210283" w14:textId="77777777" w:rsidR="003E16AE" w:rsidRDefault="003E16AE">
      <w:r>
        <w:separator/>
      </w:r>
    </w:p>
  </w:endnote>
  <w:endnote w:type="continuationSeparator" w:id="0">
    <w:p w14:paraId="0301009D" w14:textId="77777777" w:rsidR="003E16AE" w:rsidRDefault="003E1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BDB1D" w14:textId="77777777" w:rsidR="002C15B6" w:rsidRDefault="002C15B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AE4B1" w14:textId="77777777" w:rsidR="00F5142C" w:rsidRPr="00150BFA" w:rsidRDefault="00445208" w:rsidP="0020718E">
    <w:pPr>
      <w:jc w:val="center"/>
    </w:pPr>
    <w:r>
      <w:rPr>
        <w:noProof/>
      </w:rPr>
      <w:drawing>
        <wp:inline distT="0" distB="0" distL="0" distR="0" wp14:anchorId="609FA7CE" wp14:editId="67F57A60">
          <wp:extent cx="771525" cy="619125"/>
          <wp:effectExtent l="0" t="0" r="9525" b="9525"/>
          <wp:docPr id="654678641" name="Picture 65467864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678641"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19B4096F" w14:textId="77777777" w:rsidR="0098410D" w:rsidRPr="00F5142C" w:rsidRDefault="0098410D" w:rsidP="00AF12C5">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1B1BC" w14:textId="77777777" w:rsidR="00F5142C" w:rsidRPr="00150BFA" w:rsidRDefault="00445208" w:rsidP="0020718E">
    <w:pPr>
      <w:jc w:val="center"/>
    </w:pPr>
    <w:r>
      <w:rPr>
        <w:noProof/>
      </w:rPr>
      <w:drawing>
        <wp:inline distT="0" distB="0" distL="0" distR="0" wp14:anchorId="3EC1436B" wp14:editId="174432BF">
          <wp:extent cx="771525" cy="619125"/>
          <wp:effectExtent l="0" t="0" r="9525" b="9525"/>
          <wp:docPr id="656110356" name="Picture 65611035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11035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534C6797" w14:textId="77777777" w:rsidR="009E7A6F" w:rsidRPr="00F5142C" w:rsidRDefault="009E7A6F" w:rsidP="009E7A6F">
    <w:pPr>
      <w:pStyle w:val="Stopka"/>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380D5" w14:textId="77777777" w:rsidR="00182EBA" w:rsidRDefault="00445208" w:rsidP="009A115C">
    <w:pPr>
      <w:pStyle w:val="JuHeader"/>
    </w:pPr>
    <w:r>
      <w:fldChar w:fldCharType="begin"/>
    </w:r>
    <w:r>
      <w:instrText xml:space="preserve"> PAGE  \* MERGEFORMAT </w:instrText>
    </w:r>
    <w:r>
      <w:fldChar w:fldCharType="separate"/>
    </w:r>
    <w:r>
      <w:t>2</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CA43E" w14:textId="77777777" w:rsidR="00182EBA" w:rsidRPr="000B7195" w:rsidRDefault="00445208" w:rsidP="007D3701">
    <w:pPr>
      <w:pStyle w:val="JuHeader"/>
    </w:pPr>
    <w:r>
      <w:fldChar w:fldCharType="begin"/>
    </w:r>
    <w:r>
      <w:instrText xml:space="preserve"> PAGE  \* MERGEFORMAT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9A871B" w14:textId="77777777" w:rsidR="003E16AE" w:rsidRPr="00F5142C" w:rsidRDefault="003E16AE" w:rsidP="0098410D">
      <w:r w:rsidRPr="00F5142C">
        <w:separator/>
      </w:r>
    </w:p>
  </w:footnote>
  <w:footnote w:type="continuationSeparator" w:id="0">
    <w:p w14:paraId="0E5CB56F" w14:textId="77777777" w:rsidR="003E16AE" w:rsidRPr="00F5142C" w:rsidRDefault="003E16AE" w:rsidP="0098410D">
      <w:r w:rsidRPr="00F5142C">
        <w:continuationSeparator/>
      </w:r>
    </w:p>
  </w:footnote>
  <w:footnote w:id="1">
    <w:p w14:paraId="2E5B78D1" w14:textId="77777777" w:rsidR="00F5142C" w:rsidRPr="00446BA2" w:rsidRDefault="00445208" w:rsidP="00F5142C">
      <w:pPr>
        <w:pStyle w:val="Tekstprzypisudolnego"/>
        <w:rPr>
          <w:color w:val="0000FF"/>
          <w:u w:val="single"/>
          <w:lang w:val="en-GB"/>
        </w:rPr>
      </w:pPr>
      <w:r>
        <w:rPr>
          <w:rStyle w:val="Odwoanieprzypisudolnego"/>
        </w:rPr>
        <w:footnoteRef/>
      </w:r>
      <w:r w:rsidRPr="00446BA2">
        <w:rPr>
          <w:rStyle w:val="Odwoanieprzypisudolnego"/>
          <w:lang w:val="en-GB"/>
        </w:rPr>
        <w:t xml:space="preserve"> </w:t>
      </w:r>
      <w:hyperlink r:id="rId1" w:history="1">
        <w:r w:rsidR="00F5142C" w:rsidRPr="00446BA2">
          <w:rPr>
            <w:color w:val="0000FF"/>
            <w:u w:val="single"/>
            <w:lang w:val="en-GB"/>
          </w:rPr>
          <w:t>Commissioner calls on the authorities of San Marino to refrain from actions jeopardising the independence of the judiciary - Commissioner for Human Rights</w:t>
        </w:r>
      </w:hyperlink>
    </w:p>
    <w:p w14:paraId="0636C2F2" w14:textId="77777777" w:rsidR="00643198" w:rsidRPr="00643198" w:rsidRDefault="00445208" w:rsidP="00F5142C">
      <w:pPr>
        <w:pStyle w:val="Tekstprzypisudolnego"/>
      </w:pPr>
      <w:r>
        <w:t>(ostatni dostęp: styczeń 2026 r.)</w:t>
      </w:r>
    </w:p>
  </w:footnote>
  <w:footnote w:id="2">
    <w:p w14:paraId="11BE3A5F" w14:textId="340FF8A9" w:rsidR="00B33C80" w:rsidRPr="00B33C80" w:rsidRDefault="00B33C80" w:rsidP="00B33C80">
      <w:pPr>
        <w:pStyle w:val="Tekstprzypisudolnego"/>
        <w:rPr>
          <w:lang w:val="en-GB"/>
        </w:rPr>
      </w:pPr>
      <w:r w:rsidRPr="002C15B6">
        <w:rPr>
          <w:rStyle w:val="Odwoanieprzypisudolnego"/>
        </w:rPr>
        <w:footnoteRef/>
      </w:r>
      <w:r w:rsidRPr="00B33C80">
        <w:rPr>
          <w:rStyle w:val="Odwoanieprzypisudolnego"/>
        </w:rPr>
        <w:t xml:space="preserve"> </w:t>
      </w:r>
      <w:r w:rsidRPr="00B33C80">
        <w:t>Była to pierwsza sprawa, w której zakwestionowano zastosowanie us</w:t>
      </w:r>
      <w:r>
        <w:t>tawy kwalifikowanej nr 1/2020.</w:t>
      </w:r>
    </w:p>
  </w:footnote>
  <w:footnote w:id="3">
    <w:p w14:paraId="7DE1694B" w14:textId="77777777" w:rsidR="00F5142C" w:rsidRPr="00F5142C" w:rsidRDefault="00445208" w:rsidP="00F5142C">
      <w:pPr>
        <w:pStyle w:val="Tekstprzypisudolnego"/>
        <w:rPr>
          <w:color w:val="0072BC" w:themeColor="hyperlink"/>
          <w:u w:val="single"/>
        </w:rPr>
      </w:pPr>
      <w:r>
        <w:rPr>
          <w:rStyle w:val="Odwoanieprzypisudolnego"/>
        </w:rPr>
        <w:footnoteRef/>
      </w:r>
      <w:r>
        <w:rPr>
          <w:rStyle w:val="Odwoanieprzypisudolnego"/>
        </w:rPr>
        <w:t xml:space="preserve"> </w:t>
      </w:r>
      <w:hyperlink r:id="rId2" w:history="1">
        <w:r w:rsidR="00F5142C">
          <w:rPr>
            <w:rStyle w:val="Hipercze"/>
          </w:rPr>
          <w:t>https://rm.coe.int/fourth-evaluation-round-corruption-prevention-in-respect-of-members-of/1680a6ec11</w:t>
        </w:r>
      </w:hyperlink>
      <w:r>
        <w:rPr>
          <w:rStyle w:val="Hipercze"/>
        </w:rPr>
        <w:t xml:space="preserve"> </w:t>
      </w:r>
      <w:r>
        <w:t>(ostatni dostęp: styczeń 2026 r.)</w:t>
      </w:r>
    </w:p>
  </w:footnote>
  <w:footnote w:id="4">
    <w:p w14:paraId="782FBB18" w14:textId="26102944" w:rsidR="005B7369" w:rsidRPr="005B7369" w:rsidRDefault="005B7369" w:rsidP="005B7369">
      <w:pPr>
        <w:pStyle w:val="Tekstprzypisudolnego"/>
        <w:rPr>
          <w:color w:val="0072BC" w:themeColor="hyperlink"/>
          <w:u w:val="single"/>
          <w:lang w:val="en-GB"/>
        </w:rPr>
      </w:pPr>
      <w:r>
        <w:rPr>
          <w:rStyle w:val="Odwoanieprzypisudolnego"/>
        </w:rPr>
        <w:footnoteRef/>
      </w:r>
      <w:r w:rsidRPr="005B7369">
        <w:rPr>
          <w:lang w:val="en-GB"/>
        </w:rPr>
        <w:t xml:space="preserve"> </w:t>
      </w:r>
      <w:hyperlink r:id="rId3" w:history="1">
        <w:r w:rsidRPr="005B7369">
          <w:rPr>
            <w:color w:val="0072BC" w:themeColor="hyperlink"/>
            <w:u w:val="single"/>
            <w:lang w:val="en-GB"/>
          </w:rPr>
          <w:t xml:space="preserve">Compilation of Venice Commission Opinions and Reports concerning Courts </w:t>
        </w:r>
        <w:r>
          <w:rPr>
            <w:color w:val="0072BC" w:themeColor="hyperlink"/>
            <w:u w:val="single"/>
            <w:lang w:val="en-GB"/>
          </w:rPr>
          <w:t>–</w:t>
        </w:r>
        <w:r w:rsidRPr="005B7369">
          <w:rPr>
            <w:color w:val="0072BC" w:themeColor="hyperlink"/>
            <w:u w:val="single"/>
            <w:lang w:val="en-GB"/>
          </w:rPr>
          <w:t xml:space="preserve"> Venice Commission of the Council of Europe</w:t>
        </w:r>
      </w:hyperlink>
      <w:r w:rsidRPr="005B7369">
        <w:rPr>
          <w:lang w:val="en-GB"/>
        </w:rPr>
        <w:t xml:space="preserve"> (</w:t>
      </w:r>
      <w:proofErr w:type="spellStart"/>
      <w:r>
        <w:rPr>
          <w:lang w:val="en-GB"/>
        </w:rPr>
        <w:t>ostatni</w:t>
      </w:r>
      <w:proofErr w:type="spellEnd"/>
      <w:r>
        <w:rPr>
          <w:lang w:val="en-GB"/>
        </w:rPr>
        <w:t xml:space="preserve"> </w:t>
      </w:r>
      <w:proofErr w:type="spellStart"/>
      <w:r>
        <w:rPr>
          <w:lang w:val="en-GB"/>
        </w:rPr>
        <w:t>dostęp</w:t>
      </w:r>
      <w:proofErr w:type="spellEnd"/>
      <w:r>
        <w:rPr>
          <w:lang w:val="en-GB"/>
        </w:rPr>
        <w:t>: styczeń 2026 r.</w:t>
      </w:r>
      <w:r w:rsidRPr="005B7369">
        <w:rPr>
          <w:lang w:val="en-GB"/>
        </w:rPr>
        <w:t>)</w:t>
      </w:r>
    </w:p>
    <w:p w14:paraId="660FE0C5" w14:textId="5A297184" w:rsidR="005B7369" w:rsidRPr="005B7369" w:rsidRDefault="005B7369">
      <w:pPr>
        <w:pStyle w:val="Tekstprzypisudolnego"/>
        <w:rPr>
          <w:lang w:val="en-GB"/>
        </w:rPr>
      </w:pPr>
    </w:p>
  </w:footnote>
  <w:footnote w:id="5">
    <w:p w14:paraId="4B9168F7" w14:textId="2B3FB73E" w:rsidR="00F5142C" w:rsidRPr="00F5142C" w:rsidRDefault="00445208" w:rsidP="00F5142C">
      <w:pPr>
        <w:pStyle w:val="Tekstprzypisudolnego"/>
      </w:pPr>
      <w:r>
        <w:rPr>
          <w:rStyle w:val="Odwoanieprzypisudolnego"/>
        </w:rPr>
        <w:footnoteRef/>
      </w:r>
      <w:r>
        <w:rPr>
          <w:rStyle w:val="Odwoanieprzypisudolnego"/>
        </w:rPr>
        <w:t xml:space="preserve"> </w:t>
      </w:r>
      <w:r>
        <w:t xml:space="preserve">Które to </w:t>
      </w:r>
      <w:r w:rsidR="00952B30">
        <w:t>uwagi</w:t>
      </w:r>
      <w:r>
        <w:t xml:space="preserve"> stanowią dokumenty dostępne publicznie, zob. Reguła 33 Regulaminu Trybunału.</w:t>
      </w:r>
    </w:p>
  </w:footnote>
  <w:footnote w:id="6">
    <w:p w14:paraId="2474BC5A" w14:textId="392AFE30" w:rsidR="00F5142C" w:rsidRPr="00F5142C" w:rsidRDefault="00445208" w:rsidP="00F5142C">
      <w:pPr>
        <w:pStyle w:val="Tekstprzypisudolnego"/>
      </w:pPr>
      <w:r>
        <w:rPr>
          <w:rStyle w:val="Odwoanieprzypisudolnego"/>
        </w:rPr>
        <w:footnoteRef/>
      </w:r>
      <w:r>
        <w:rPr>
          <w:rStyle w:val="Odwoanieprzypisudolnego"/>
        </w:rPr>
        <w:t xml:space="preserve"> </w:t>
      </w:r>
      <w:r>
        <w:t>W odniesieniu do wyroku sędziego ds. nadzwyczajnych środków odwoławczych w</w:t>
      </w:r>
      <w:r w:rsidR="00AD1BB9">
        <w:t> </w:t>
      </w:r>
      <w:r>
        <w:t>sprawach cywilnych z dnia 8 lipca 2019 r.</w:t>
      </w:r>
    </w:p>
  </w:footnote>
  <w:footnote w:id="7">
    <w:p w14:paraId="2D6A7C66" w14:textId="28F92874" w:rsidR="00F5142C" w:rsidRPr="00F5142C" w:rsidRDefault="00445208" w:rsidP="00F5142C">
      <w:pPr>
        <w:pStyle w:val="Tekstprzypisudolnego"/>
      </w:pPr>
      <w:r>
        <w:rPr>
          <w:rStyle w:val="Odwoanieprzypisudolnego"/>
        </w:rPr>
        <w:footnoteRef/>
      </w:r>
      <w:r>
        <w:rPr>
          <w:rStyle w:val="Odwoanieprzypisudolnego"/>
        </w:rPr>
        <w:t xml:space="preserve"> </w:t>
      </w:r>
      <w:r>
        <w:t xml:space="preserve">Zob. np. </w:t>
      </w:r>
      <w:r>
        <w:t xml:space="preserve">wyrok </w:t>
      </w:r>
      <w:r w:rsidR="00072808">
        <w:t xml:space="preserve">CoL </w:t>
      </w:r>
      <w:r>
        <w:t>w kompetencji administracyjnej z dnia 4 listopada 2014</w:t>
      </w:r>
      <w:r w:rsidR="00AD1BB9">
        <w:t> </w:t>
      </w:r>
      <w:r>
        <w:t xml:space="preserve">r., dotyczący zaskarżenia decyzji CGP w sprawie niezatwierdzenia </w:t>
      </w:r>
      <w:r w:rsidR="00072808">
        <w:t xml:space="preserve">CoL </w:t>
      </w:r>
      <w:r w:rsidR="008B4950">
        <w:t>w</w:t>
      </w:r>
      <w:r>
        <w:t xml:space="preserve"> jego funkcji.</w:t>
      </w:r>
    </w:p>
  </w:footnote>
  <w:footnote w:id="8">
    <w:p w14:paraId="69331544" w14:textId="77777777" w:rsidR="00F5142C" w:rsidRPr="00F5142C" w:rsidRDefault="00445208" w:rsidP="00F5142C">
      <w:pPr>
        <w:pStyle w:val="Tekstprzypisudolnego"/>
      </w:pPr>
      <w:r>
        <w:rPr>
          <w:rStyle w:val="Odwoanieprzypisudolnego"/>
        </w:rPr>
        <w:footnoteRef/>
      </w:r>
      <w:r>
        <w:rPr>
          <w:rStyle w:val="Odwoanieprzypisudolnego"/>
        </w:rPr>
        <w:t xml:space="preserve"> </w:t>
      </w:r>
      <w:r>
        <w:t xml:space="preserve">Wyrok włoskiego Najwyższego Sądu Kasacyjnego, II sekcji, nr 27923 z dnia 21 września 2018 r., stanowiący, że stwierdzenie nieważności dla wad pierwotnych w powołaniu członka organu sądowego, </w:t>
      </w:r>
      <w:r>
        <w:t xml:space="preserve">mające skutek </w:t>
      </w:r>
      <w:r>
        <w:rPr>
          <w:i/>
        </w:rPr>
        <w:t>ex tunc</w:t>
      </w:r>
      <w:r>
        <w:t>, wiąże się jednak z nieważnością wyroku, na którą można się powoływać w granicach środków prawnych i na zasadach je regulujących.</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EB8B0" w14:textId="77777777" w:rsidR="002C15B6" w:rsidRDefault="002C15B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E2B48" w14:textId="77777777" w:rsidR="00F5142C" w:rsidRPr="00A45145" w:rsidRDefault="00445208" w:rsidP="00A45145">
    <w:pPr>
      <w:jc w:val="center"/>
    </w:pPr>
    <w:r>
      <w:rPr>
        <w:noProof/>
      </w:rPr>
      <w:drawing>
        <wp:inline distT="0" distB="0" distL="0" distR="0" wp14:anchorId="371A3806" wp14:editId="03E418FF">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21DF1511" w14:textId="77777777" w:rsidR="0098410D" w:rsidRPr="00F5142C" w:rsidRDefault="0098410D" w:rsidP="00B14793">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44B77" w14:textId="77777777" w:rsidR="00F5142C" w:rsidRPr="00A45145" w:rsidRDefault="00445208" w:rsidP="00A45145">
    <w:pPr>
      <w:jc w:val="center"/>
    </w:pPr>
    <w:r>
      <w:rPr>
        <w:noProof/>
      </w:rPr>
      <w:drawing>
        <wp:inline distT="0" distB="0" distL="0" distR="0" wp14:anchorId="4F64AE55" wp14:editId="6480DD93">
          <wp:extent cx="2962275" cy="1219200"/>
          <wp:effectExtent l="0" t="0" r="9525" b="0"/>
          <wp:docPr id="1119057760" name="Picture 111905776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05776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712FCCB9" w14:textId="77777777" w:rsidR="0098410D" w:rsidRPr="00F5142C" w:rsidRDefault="0098410D"/>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69681" w14:textId="77777777" w:rsidR="00182EBA" w:rsidRPr="004D0EC7" w:rsidRDefault="00445208" w:rsidP="004D0EC7">
    <w:pPr>
      <w:pStyle w:val="JuHeader"/>
    </w:pPr>
    <w:r>
      <w:t>WYROK W SPRAWIE SIMONCINI przeciwko SAN MARINO</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7CEF02" w14:textId="77777777" w:rsidR="00182EBA" w:rsidRPr="00882CD5" w:rsidRDefault="00445208" w:rsidP="007D3701">
    <w:pPr>
      <w:pStyle w:val="JuHeader"/>
    </w:pPr>
    <w:r>
      <w:t>WYROK W SPRAWIE SIMONCINI przeciwko SAN MARINO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34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64CE8A28">
      <w:start w:val="1"/>
      <w:numFmt w:val="bullet"/>
      <w:pStyle w:val="Listapunktowana"/>
      <w:lvlText w:val=""/>
      <w:lvlJc w:val="left"/>
      <w:pPr>
        <w:tabs>
          <w:tab w:val="num" w:pos="851"/>
        </w:tabs>
        <w:ind w:left="568" w:firstLine="0"/>
      </w:pPr>
      <w:rPr>
        <w:rFonts w:ascii="Wingdings" w:hAnsi="Wingdings" w:hint="default"/>
        <w:color w:val="808080"/>
        <w:sz w:val="16"/>
      </w:rPr>
    </w:lvl>
    <w:lvl w:ilvl="1" w:tplc="B6940040" w:tentative="1">
      <w:start w:val="1"/>
      <w:numFmt w:val="bullet"/>
      <w:lvlText w:val="o"/>
      <w:lvlJc w:val="left"/>
      <w:pPr>
        <w:tabs>
          <w:tab w:val="num" w:pos="1724"/>
        </w:tabs>
        <w:ind w:left="1724" w:hanging="360"/>
      </w:pPr>
      <w:rPr>
        <w:rFonts w:ascii="Courier New" w:hAnsi="Courier New" w:cs="Courier New" w:hint="default"/>
      </w:rPr>
    </w:lvl>
    <w:lvl w:ilvl="2" w:tplc="D2D24064" w:tentative="1">
      <w:start w:val="1"/>
      <w:numFmt w:val="bullet"/>
      <w:lvlText w:val=""/>
      <w:lvlJc w:val="left"/>
      <w:pPr>
        <w:tabs>
          <w:tab w:val="num" w:pos="2444"/>
        </w:tabs>
        <w:ind w:left="2444" w:hanging="360"/>
      </w:pPr>
      <w:rPr>
        <w:rFonts w:ascii="Wingdings" w:hAnsi="Wingdings" w:hint="default"/>
      </w:rPr>
    </w:lvl>
    <w:lvl w:ilvl="3" w:tplc="AF8635C2" w:tentative="1">
      <w:start w:val="1"/>
      <w:numFmt w:val="bullet"/>
      <w:lvlText w:val=""/>
      <w:lvlJc w:val="left"/>
      <w:pPr>
        <w:tabs>
          <w:tab w:val="num" w:pos="3164"/>
        </w:tabs>
        <w:ind w:left="3164" w:hanging="360"/>
      </w:pPr>
      <w:rPr>
        <w:rFonts w:ascii="Symbol" w:hAnsi="Symbol" w:hint="default"/>
      </w:rPr>
    </w:lvl>
    <w:lvl w:ilvl="4" w:tplc="DDFCC1AA" w:tentative="1">
      <w:start w:val="1"/>
      <w:numFmt w:val="bullet"/>
      <w:lvlText w:val="o"/>
      <w:lvlJc w:val="left"/>
      <w:pPr>
        <w:tabs>
          <w:tab w:val="num" w:pos="3884"/>
        </w:tabs>
        <w:ind w:left="3884" w:hanging="360"/>
      </w:pPr>
      <w:rPr>
        <w:rFonts w:ascii="Courier New" w:hAnsi="Courier New" w:cs="Courier New" w:hint="default"/>
      </w:rPr>
    </w:lvl>
    <w:lvl w:ilvl="5" w:tplc="47C49934" w:tentative="1">
      <w:start w:val="1"/>
      <w:numFmt w:val="bullet"/>
      <w:lvlText w:val=""/>
      <w:lvlJc w:val="left"/>
      <w:pPr>
        <w:tabs>
          <w:tab w:val="num" w:pos="4604"/>
        </w:tabs>
        <w:ind w:left="4604" w:hanging="360"/>
      </w:pPr>
      <w:rPr>
        <w:rFonts w:ascii="Wingdings" w:hAnsi="Wingdings" w:hint="default"/>
      </w:rPr>
    </w:lvl>
    <w:lvl w:ilvl="6" w:tplc="E0C0B2B4" w:tentative="1">
      <w:start w:val="1"/>
      <w:numFmt w:val="bullet"/>
      <w:lvlText w:val=""/>
      <w:lvlJc w:val="left"/>
      <w:pPr>
        <w:tabs>
          <w:tab w:val="num" w:pos="5324"/>
        </w:tabs>
        <w:ind w:left="5324" w:hanging="360"/>
      </w:pPr>
      <w:rPr>
        <w:rFonts w:ascii="Symbol" w:hAnsi="Symbol" w:hint="default"/>
      </w:rPr>
    </w:lvl>
    <w:lvl w:ilvl="7" w:tplc="41D0384A" w:tentative="1">
      <w:start w:val="1"/>
      <w:numFmt w:val="bullet"/>
      <w:lvlText w:val="o"/>
      <w:lvlJc w:val="left"/>
      <w:pPr>
        <w:tabs>
          <w:tab w:val="num" w:pos="6044"/>
        </w:tabs>
        <w:ind w:left="6044" w:hanging="360"/>
      </w:pPr>
      <w:rPr>
        <w:rFonts w:ascii="Courier New" w:hAnsi="Courier New" w:cs="Courier New" w:hint="default"/>
      </w:rPr>
    </w:lvl>
    <w:lvl w:ilvl="8" w:tplc="D316B00E" w:tentative="1">
      <w:start w:val="1"/>
      <w:numFmt w:val="bullet"/>
      <w:lvlText w:val=""/>
      <w:lvlJc w:val="left"/>
      <w:pPr>
        <w:tabs>
          <w:tab w:val="num" w:pos="6764"/>
        </w:tabs>
        <w:ind w:left="6764" w:hanging="360"/>
      </w:pPr>
      <w:rPr>
        <w:rFonts w:ascii="Wingdings" w:hAnsi="Wingdings" w:hint="default"/>
      </w:rPr>
    </w:lvl>
  </w:abstractNum>
  <w:num w:numId="1" w16cid:durableId="186116594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494936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49359972">
    <w:abstractNumId w:val="14"/>
  </w:num>
  <w:num w:numId="4" w16cid:durableId="1885557820">
    <w:abstractNumId w:val="12"/>
  </w:num>
  <w:num w:numId="5" w16cid:durableId="1336954933">
    <w:abstractNumId w:val="11"/>
  </w:num>
  <w:num w:numId="6" w16cid:durableId="592278677">
    <w:abstractNumId w:val="17"/>
  </w:num>
  <w:num w:numId="7" w16cid:durableId="1870991496">
    <w:abstractNumId w:val="7"/>
  </w:num>
  <w:num w:numId="8" w16cid:durableId="1102065088">
    <w:abstractNumId w:val="6"/>
  </w:num>
  <w:num w:numId="9" w16cid:durableId="583807392">
    <w:abstractNumId w:val="5"/>
  </w:num>
  <w:num w:numId="10" w16cid:durableId="1364674248">
    <w:abstractNumId w:val="4"/>
  </w:num>
  <w:num w:numId="11" w16cid:durableId="533347017">
    <w:abstractNumId w:val="8"/>
  </w:num>
  <w:num w:numId="12" w16cid:durableId="1776974466">
    <w:abstractNumId w:val="3"/>
  </w:num>
  <w:num w:numId="13" w16cid:durableId="197860043">
    <w:abstractNumId w:val="2"/>
  </w:num>
  <w:num w:numId="14" w16cid:durableId="68236743">
    <w:abstractNumId w:val="1"/>
  </w:num>
  <w:num w:numId="15" w16cid:durableId="287594294">
    <w:abstractNumId w:val="0"/>
  </w:num>
  <w:num w:numId="16" w16cid:durableId="1184587169">
    <w:abstractNumId w:val="15"/>
  </w:num>
  <w:num w:numId="17" w16cid:durableId="1126318146">
    <w:abstractNumId w:val="13"/>
  </w:num>
  <w:num w:numId="18" w16cid:durableId="45154610">
    <w:abstractNumId w:val="16"/>
  </w:num>
  <w:num w:numId="19" w16cid:durableId="1912694760">
    <w:abstractNumId w:val="15"/>
  </w:num>
  <w:num w:numId="20" w16cid:durableId="1215315575">
    <w:abstractNumId w:val="16"/>
  </w:num>
  <w:num w:numId="21" w16cid:durableId="370350351">
    <w:abstractNumId w:val="10"/>
  </w:num>
  <w:num w:numId="22" w16cid:durableId="1354190312">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LW_DocType" w:val="NORMAL"/>
    <w:docVar w:name="NBEMMDOC" w:val="0"/>
    <w:docVar w:name="Plural" w:val="0"/>
  </w:docVars>
  <w:rsids>
    <w:rsidRoot w:val="00F5142C"/>
    <w:rsid w:val="000041F8"/>
    <w:rsid w:val="000042A8"/>
    <w:rsid w:val="00004308"/>
    <w:rsid w:val="0000498A"/>
    <w:rsid w:val="00005BF0"/>
    <w:rsid w:val="0000617D"/>
    <w:rsid w:val="00007154"/>
    <w:rsid w:val="000103AE"/>
    <w:rsid w:val="00010982"/>
    <w:rsid w:val="00011D69"/>
    <w:rsid w:val="00012AD3"/>
    <w:rsid w:val="00013280"/>
    <w:rsid w:val="00015C2D"/>
    <w:rsid w:val="00015F00"/>
    <w:rsid w:val="0001768D"/>
    <w:rsid w:val="00022C1D"/>
    <w:rsid w:val="0002592F"/>
    <w:rsid w:val="00026BEE"/>
    <w:rsid w:val="00031428"/>
    <w:rsid w:val="0003160A"/>
    <w:rsid w:val="00033531"/>
    <w:rsid w:val="00034987"/>
    <w:rsid w:val="00041560"/>
    <w:rsid w:val="000602DF"/>
    <w:rsid w:val="00061B05"/>
    <w:rsid w:val="000632D5"/>
    <w:rsid w:val="000644EE"/>
    <w:rsid w:val="000712E3"/>
    <w:rsid w:val="00072808"/>
    <w:rsid w:val="0007780A"/>
    <w:rsid w:val="00085457"/>
    <w:rsid w:val="000925AD"/>
    <w:rsid w:val="00096FE1"/>
    <w:rsid w:val="00097A62"/>
    <w:rsid w:val="000A04F5"/>
    <w:rsid w:val="000A24EB"/>
    <w:rsid w:val="000A3424"/>
    <w:rsid w:val="000B686A"/>
    <w:rsid w:val="000B6923"/>
    <w:rsid w:val="000B7195"/>
    <w:rsid w:val="000C5F3C"/>
    <w:rsid w:val="000C6DCC"/>
    <w:rsid w:val="000D47AA"/>
    <w:rsid w:val="000D721F"/>
    <w:rsid w:val="000E069B"/>
    <w:rsid w:val="000E0E82"/>
    <w:rsid w:val="000E1DC5"/>
    <w:rsid w:val="000E223F"/>
    <w:rsid w:val="000E26E9"/>
    <w:rsid w:val="000E46B8"/>
    <w:rsid w:val="000E74AD"/>
    <w:rsid w:val="000E7D45"/>
    <w:rsid w:val="000F4948"/>
    <w:rsid w:val="000F52F4"/>
    <w:rsid w:val="000F7851"/>
    <w:rsid w:val="00101505"/>
    <w:rsid w:val="00104E23"/>
    <w:rsid w:val="0011073E"/>
    <w:rsid w:val="00110DA8"/>
    <w:rsid w:val="00111B0C"/>
    <w:rsid w:val="00120D6C"/>
    <w:rsid w:val="0012477F"/>
    <w:rsid w:val="001257EC"/>
    <w:rsid w:val="00133D33"/>
    <w:rsid w:val="00134B6A"/>
    <w:rsid w:val="00134D64"/>
    <w:rsid w:val="00135A30"/>
    <w:rsid w:val="0013612C"/>
    <w:rsid w:val="00137FF6"/>
    <w:rsid w:val="00141650"/>
    <w:rsid w:val="00150BFA"/>
    <w:rsid w:val="001561B6"/>
    <w:rsid w:val="00162A12"/>
    <w:rsid w:val="001632C9"/>
    <w:rsid w:val="00166530"/>
    <w:rsid w:val="00170027"/>
    <w:rsid w:val="00170493"/>
    <w:rsid w:val="00177CBD"/>
    <w:rsid w:val="00182EBA"/>
    <w:rsid w:val="001832BD"/>
    <w:rsid w:val="001943B5"/>
    <w:rsid w:val="00195134"/>
    <w:rsid w:val="001A020C"/>
    <w:rsid w:val="001A145B"/>
    <w:rsid w:val="001A2415"/>
    <w:rsid w:val="001A27A2"/>
    <w:rsid w:val="001A3E09"/>
    <w:rsid w:val="001A674C"/>
    <w:rsid w:val="001B3B24"/>
    <w:rsid w:val="001B510E"/>
    <w:rsid w:val="001C055B"/>
    <w:rsid w:val="001C088A"/>
    <w:rsid w:val="001C0F98"/>
    <w:rsid w:val="001C2A42"/>
    <w:rsid w:val="001C4AE9"/>
    <w:rsid w:val="001D3217"/>
    <w:rsid w:val="001D3908"/>
    <w:rsid w:val="001D63ED"/>
    <w:rsid w:val="001D6568"/>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31FD"/>
    <w:rsid w:val="00226C89"/>
    <w:rsid w:val="00230D00"/>
    <w:rsid w:val="00231DF7"/>
    <w:rsid w:val="00231FD1"/>
    <w:rsid w:val="002339E0"/>
    <w:rsid w:val="00233CF8"/>
    <w:rsid w:val="0023575D"/>
    <w:rsid w:val="00237148"/>
    <w:rsid w:val="0024222D"/>
    <w:rsid w:val="002422B6"/>
    <w:rsid w:val="00244B0E"/>
    <w:rsid w:val="00244F6C"/>
    <w:rsid w:val="00246B89"/>
    <w:rsid w:val="0025040D"/>
    <w:rsid w:val="00252C4E"/>
    <w:rsid w:val="002532C5"/>
    <w:rsid w:val="00254DF2"/>
    <w:rsid w:val="00260C03"/>
    <w:rsid w:val="0026439A"/>
    <w:rsid w:val="0026540E"/>
    <w:rsid w:val="002744EC"/>
    <w:rsid w:val="00275123"/>
    <w:rsid w:val="00281B7C"/>
    <w:rsid w:val="00282240"/>
    <w:rsid w:val="00282BD8"/>
    <w:rsid w:val="00287AD5"/>
    <w:rsid w:val="002934D0"/>
    <w:rsid w:val="00293676"/>
    <w:rsid w:val="00293BD9"/>
    <w:rsid w:val="002948AD"/>
    <w:rsid w:val="002A01CC"/>
    <w:rsid w:val="002A613A"/>
    <w:rsid w:val="002A61B1"/>
    <w:rsid w:val="002A663C"/>
    <w:rsid w:val="002A7B1A"/>
    <w:rsid w:val="002B444B"/>
    <w:rsid w:val="002B585D"/>
    <w:rsid w:val="002B5887"/>
    <w:rsid w:val="002B5B43"/>
    <w:rsid w:val="002C0E27"/>
    <w:rsid w:val="002C15B6"/>
    <w:rsid w:val="002C3040"/>
    <w:rsid w:val="002C4433"/>
    <w:rsid w:val="002C5ADD"/>
    <w:rsid w:val="002C7826"/>
    <w:rsid w:val="002D022D"/>
    <w:rsid w:val="002D1F45"/>
    <w:rsid w:val="002D24BB"/>
    <w:rsid w:val="002D2FA7"/>
    <w:rsid w:val="002D47BA"/>
    <w:rsid w:val="002D50E5"/>
    <w:rsid w:val="002D77B9"/>
    <w:rsid w:val="002E46DA"/>
    <w:rsid w:val="002E7764"/>
    <w:rsid w:val="002F2AF7"/>
    <w:rsid w:val="002F3B39"/>
    <w:rsid w:val="002F69C4"/>
    <w:rsid w:val="002F7D9E"/>
    <w:rsid w:val="002F7E1C"/>
    <w:rsid w:val="00301A75"/>
    <w:rsid w:val="00301E87"/>
    <w:rsid w:val="00302F70"/>
    <w:rsid w:val="0030336F"/>
    <w:rsid w:val="0030375E"/>
    <w:rsid w:val="00303D46"/>
    <w:rsid w:val="0031023A"/>
    <w:rsid w:val="00312A30"/>
    <w:rsid w:val="003201D8"/>
    <w:rsid w:val="00320F72"/>
    <w:rsid w:val="0032463E"/>
    <w:rsid w:val="00326224"/>
    <w:rsid w:val="0033043B"/>
    <w:rsid w:val="00337EE4"/>
    <w:rsid w:val="00340FFD"/>
    <w:rsid w:val="00341B54"/>
    <w:rsid w:val="00345C41"/>
    <w:rsid w:val="003506B1"/>
    <w:rsid w:val="00355877"/>
    <w:rsid w:val="00356AC7"/>
    <w:rsid w:val="003609FA"/>
    <w:rsid w:val="003710C8"/>
    <w:rsid w:val="003723E4"/>
    <w:rsid w:val="003728F2"/>
    <w:rsid w:val="003750BE"/>
    <w:rsid w:val="00385A36"/>
    <w:rsid w:val="00385F3D"/>
    <w:rsid w:val="0038740C"/>
    <w:rsid w:val="00387B9D"/>
    <w:rsid w:val="00387C70"/>
    <w:rsid w:val="00387E2F"/>
    <w:rsid w:val="00390294"/>
    <w:rsid w:val="0039198B"/>
    <w:rsid w:val="0039364F"/>
    <w:rsid w:val="00396686"/>
    <w:rsid w:val="0039778E"/>
    <w:rsid w:val="003B154D"/>
    <w:rsid w:val="003B4941"/>
    <w:rsid w:val="003B54F4"/>
    <w:rsid w:val="003C5714"/>
    <w:rsid w:val="003C6B9F"/>
    <w:rsid w:val="003C6E2A"/>
    <w:rsid w:val="003D0299"/>
    <w:rsid w:val="003D03E1"/>
    <w:rsid w:val="003D34AB"/>
    <w:rsid w:val="003E16AE"/>
    <w:rsid w:val="003E6D80"/>
    <w:rsid w:val="003E7A85"/>
    <w:rsid w:val="003E7BCC"/>
    <w:rsid w:val="003F05FA"/>
    <w:rsid w:val="003F244A"/>
    <w:rsid w:val="003F2517"/>
    <w:rsid w:val="003F30B8"/>
    <w:rsid w:val="003F4C45"/>
    <w:rsid w:val="003F5F7B"/>
    <w:rsid w:val="003F7D64"/>
    <w:rsid w:val="0040433A"/>
    <w:rsid w:val="00405463"/>
    <w:rsid w:val="00414300"/>
    <w:rsid w:val="00414F27"/>
    <w:rsid w:val="00420703"/>
    <w:rsid w:val="00420B7E"/>
    <w:rsid w:val="00425C67"/>
    <w:rsid w:val="00427E7A"/>
    <w:rsid w:val="004355AC"/>
    <w:rsid w:val="00436C49"/>
    <w:rsid w:val="00437D3D"/>
    <w:rsid w:val="004422DB"/>
    <w:rsid w:val="00443D98"/>
    <w:rsid w:val="00445208"/>
    <w:rsid w:val="00445366"/>
    <w:rsid w:val="00446732"/>
    <w:rsid w:val="00446BA2"/>
    <w:rsid w:val="00447F5B"/>
    <w:rsid w:val="004565FE"/>
    <w:rsid w:val="00461DB0"/>
    <w:rsid w:val="00463926"/>
    <w:rsid w:val="00464AB7"/>
    <w:rsid w:val="00464C9A"/>
    <w:rsid w:val="00474F3D"/>
    <w:rsid w:val="00477A6B"/>
    <w:rsid w:val="00477E3A"/>
    <w:rsid w:val="00483E5F"/>
    <w:rsid w:val="00485173"/>
    <w:rsid w:val="00485FF9"/>
    <w:rsid w:val="0049049B"/>
    <w:rsid w:val="004907F0"/>
    <w:rsid w:val="0049140B"/>
    <w:rsid w:val="004923A5"/>
    <w:rsid w:val="0049310E"/>
    <w:rsid w:val="004950E2"/>
    <w:rsid w:val="00496BFB"/>
    <w:rsid w:val="004A15C7"/>
    <w:rsid w:val="004A30F0"/>
    <w:rsid w:val="004A3201"/>
    <w:rsid w:val="004A7044"/>
    <w:rsid w:val="004B013B"/>
    <w:rsid w:val="004B112B"/>
    <w:rsid w:val="004B444E"/>
    <w:rsid w:val="004B70AD"/>
    <w:rsid w:val="004C01E4"/>
    <w:rsid w:val="004C086C"/>
    <w:rsid w:val="004C1F56"/>
    <w:rsid w:val="004C27BC"/>
    <w:rsid w:val="004C4553"/>
    <w:rsid w:val="004C6621"/>
    <w:rsid w:val="004D0EC7"/>
    <w:rsid w:val="004D15F3"/>
    <w:rsid w:val="004D3B3D"/>
    <w:rsid w:val="004D4EF1"/>
    <w:rsid w:val="004D5311"/>
    <w:rsid w:val="004D5DCC"/>
    <w:rsid w:val="004D7E45"/>
    <w:rsid w:val="004E4954"/>
    <w:rsid w:val="004F10AF"/>
    <w:rsid w:val="004F11A4"/>
    <w:rsid w:val="004F2389"/>
    <w:rsid w:val="004F304D"/>
    <w:rsid w:val="004F4290"/>
    <w:rsid w:val="004F61BE"/>
    <w:rsid w:val="004F63FE"/>
    <w:rsid w:val="004F66B1"/>
    <w:rsid w:val="00505F69"/>
    <w:rsid w:val="00511C07"/>
    <w:rsid w:val="005125CB"/>
    <w:rsid w:val="00512EC4"/>
    <w:rsid w:val="00515117"/>
    <w:rsid w:val="0051725A"/>
    <w:rsid w:val="005173A6"/>
    <w:rsid w:val="00517BB8"/>
    <w:rsid w:val="00520354"/>
    <w:rsid w:val="00520BAA"/>
    <w:rsid w:val="005217D8"/>
    <w:rsid w:val="00525208"/>
    <w:rsid w:val="005257A5"/>
    <w:rsid w:val="00525C5F"/>
    <w:rsid w:val="005264C0"/>
    <w:rsid w:val="00526A8A"/>
    <w:rsid w:val="00527FB1"/>
    <w:rsid w:val="00530FE6"/>
    <w:rsid w:val="00531DF2"/>
    <w:rsid w:val="0053315C"/>
    <w:rsid w:val="005348EE"/>
    <w:rsid w:val="00537476"/>
    <w:rsid w:val="005442EE"/>
    <w:rsid w:val="00545DA6"/>
    <w:rsid w:val="0054716E"/>
    <w:rsid w:val="00547353"/>
    <w:rsid w:val="005474E7"/>
    <w:rsid w:val="005512A3"/>
    <w:rsid w:val="00551D88"/>
    <w:rsid w:val="005578CE"/>
    <w:rsid w:val="005616B5"/>
    <w:rsid w:val="00562781"/>
    <w:rsid w:val="00562B6C"/>
    <w:rsid w:val="00565CE2"/>
    <w:rsid w:val="0057271C"/>
    <w:rsid w:val="00572845"/>
    <w:rsid w:val="00586BCF"/>
    <w:rsid w:val="005879A2"/>
    <w:rsid w:val="00590946"/>
    <w:rsid w:val="00592772"/>
    <w:rsid w:val="0059574A"/>
    <w:rsid w:val="005A1B9B"/>
    <w:rsid w:val="005A2221"/>
    <w:rsid w:val="005A2E79"/>
    <w:rsid w:val="005A4BC0"/>
    <w:rsid w:val="005A6751"/>
    <w:rsid w:val="005B092E"/>
    <w:rsid w:val="005B152C"/>
    <w:rsid w:val="005B1EE0"/>
    <w:rsid w:val="005B2B24"/>
    <w:rsid w:val="005B4425"/>
    <w:rsid w:val="005B4B94"/>
    <w:rsid w:val="005B7369"/>
    <w:rsid w:val="005C2C62"/>
    <w:rsid w:val="005C3EE8"/>
    <w:rsid w:val="005D2BCE"/>
    <w:rsid w:val="005D2F2A"/>
    <w:rsid w:val="005D34F9"/>
    <w:rsid w:val="005D4190"/>
    <w:rsid w:val="005D67A3"/>
    <w:rsid w:val="005E2988"/>
    <w:rsid w:val="005E3085"/>
    <w:rsid w:val="005E510B"/>
    <w:rsid w:val="005F0EB3"/>
    <w:rsid w:val="005F14DB"/>
    <w:rsid w:val="005F51E1"/>
    <w:rsid w:val="00611C80"/>
    <w:rsid w:val="00620692"/>
    <w:rsid w:val="00623885"/>
    <w:rsid w:val="006242CA"/>
    <w:rsid w:val="00627507"/>
    <w:rsid w:val="00630BFE"/>
    <w:rsid w:val="00633717"/>
    <w:rsid w:val="006344E1"/>
    <w:rsid w:val="00640173"/>
    <w:rsid w:val="006410CE"/>
    <w:rsid w:val="00643198"/>
    <w:rsid w:val="00643524"/>
    <w:rsid w:val="0064393B"/>
    <w:rsid w:val="00645CF2"/>
    <w:rsid w:val="00653BED"/>
    <w:rsid w:val="006545C4"/>
    <w:rsid w:val="00661971"/>
    <w:rsid w:val="00661CE8"/>
    <w:rsid w:val="006623D9"/>
    <w:rsid w:val="006642A5"/>
    <w:rsid w:val="0066550C"/>
    <w:rsid w:val="00665BD2"/>
    <w:rsid w:val="006678AB"/>
    <w:rsid w:val="006716F2"/>
    <w:rsid w:val="00675AF2"/>
    <w:rsid w:val="00682192"/>
    <w:rsid w:val="00682BF2"/>
    <w:rsid w:val="0068573E"/>
    <w:rsid w:val="006859CE"/>
    <w:rsid w:val="0069104C"/>
    <w:rsid w:val="00691270"/>
    <w:rsid w:val="00694BA8"/>
    <w:rsid w:val="006A037C"/>
    <w:rsid w:val="006A0C84"/>
    <w:rsid w:val="006A11B1"/>
    <w:rsid w:val="006A1CD5"/>
    <w:rsid w:val="006A36F4"/>
    <w:rsid w:val="006A406F"/>
    <w:rsid w:val="006A4E97"/>
    <w:rsid w:val="006A5D3A"/>
    <w:rsid w:val="006B1942"/>
    <w:rsid w:val="006B2331"/>
    <w:rsid w:val="006C23D4"/>
    <w:rsid w:val="006C7BB0"/>
    <w:rsid w:val="006D1A2B"/>
    <w:rsid w:val="006D1E3D"/>
    <w:rsid w:val="006D3237"/>
    <w:rsid w:val="006E2E37"/>
    <w:rsid w:val="006E3CF1"/>
    <w:rsid w:val="006E3EB5"/>
    <w:rsid w:val="006E68A3"/>
    <w:rsid w:val="006E7E80"/>
    <w:rsid w:val="006F062F"/>
    <w:rsid w:val="006F1C2D"/>
    <w:rsid w:val="006F3AEF"/>
    <w:rsid w:val="006F48CA"/>
    <w:rsid w:val="006F64DD"/>
    <w:rsid w:val="006F712D"/>
    <w:rsid w:val="00712AB0"/>
    <w:rsid w:val="00713DAF"/>
    <w:rsid w:val="00715127"/>
    <w:rsid w:val="00715E8E"/>
    <w:rsid w:val="007160D1"/>
    <w:rsid w:val="00723580"/>
    <w:rsid w:val="00723755"/>
    <w:rsid w:val="00727255"/>
    <w:rsid w:val="0073136C"/>
    <w:rsid w:val="00731F0F"/>
    <w:rsid w:val="00733250"/>
    <w:rsid w:val="007345CA"/>
    <w:rsid w:val="00741404"/>
    <w:rsid w:val="007449E5"/>
    <w:rsid w:val="00745CC2"/>
    <w:rsid w:val="0074750E"/>
    <w:rsid w:val="00747FF0"/>
    <w:rsid w:val="00751066"/>
    <w:rsid w:val="0075566E"/>
    <w:rsid w:val="00762737"/>
    <w:rsid w:val="00763602"/>
    <w:rsid w:val="00764D4E"/>
    <w:rsid w:val="00765A1F"/>
    <w:rsid w:val="00775B6D"/>
    <w:rsid w:val="00776D68"/>
    <w:rsid w:val="00781140"/>
    <w:rsid w:val="0078126F"/>
    <w:rsid w:val="00781DE1"/>
    <w:rsid w:val="0078323E"/>
    <w:rsid w:val="007849C2"/>
    <w:rsid w:val="007850EE"/>
    <w:rsid w:val="00785B95"/>
    <w:rsid w:val="00790E96"/>
    <w:rsid w:val="007926FD"/>
    <w:rsid w:val="00793366"/>
    <w:rsid w:val="00794A9D"/>
    <w:rsid w:val="0079666C"/>
    <w:rsid w:val="007A716F"/>
    <w:rsid w:val="007B270A"/>
    <w:rsid w:val="007B4182"/>
    <w:rsid w:val="007B5BEF"/>
    <w:rsid w:val="007B6743"/>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7F64DB"/>
    <w:rsid w:val="00802C64"/>
    <w:rsid w:val="00805E52"/>
    <w:rsid w:val="008061D0"/>
    <w:rsid w:val="00810B38"/>
    <w:rsid w:val="00816DD8"/>
    <w:rsid w:val="008204C7"/>
    <w:rsid w:val="00820992"/>
    <w:rsid w:val="00823602"/>
    <w:rsid w:val="008255F5"/>
    <w:rsid w:val="00826890"/>
    <w:rsid w:val="0083014E"/>
    <w:rsid w:val="008311C2"/>
    <w:rsid w:val="0083214A"/>
    <w:rsid w:val="00834220"/>
    <w:rsid w:val="00845723"/>
    <w:rsid w:val="008519E7"/>
    <w:rsid w:val="00851EF9"/>
    <w:rsid w:val="00856643"/>
    <w:rsid w:val="008577FD"/>
    <w:rsid w:val="00860B03"/>
    <w:rsid w:val="0086497A"/>
    <w:rsid w:val="0086538E"/>
    <w:rsid w:val="00867066"/>
    <w:rsid w:val="008713A1"/>
    <w:rsid w:val="00872584"/>
    <w:rsid w:val="008754AB"/>
    <w:rsid w:val="0088060C"/>
    <w:rsid w:val="00882CD5"/>
    <w:rsid w:val="00883151"/>
    <w:rsid w:val="008868A2"/>
    <w:rsid w:val="00893576"/>
    <w:rsid w:val="00893E73"/>
    <w:rsid w:val="008947F1"/>
    <w:rsid w:val="008B02DC"/>
    <w:rsid w:val="008B092C"/>
    <w:rsid w:val="008B4950"/>
    <w:rsid w:val="008B57CE"/>
    <w:rsid w:val="008B5B3C"/>
    <w:rsid w:val="008C26DE"/>
    <w:rsid w:val="008C7B50"/>
    <w:rsid w:val="008D1668"/>
    <w:rsid w:val="008D2225"/>
    <w:rsid w:val="008D3351"/>
    <w:rsid w:val="008D4752"/>
    <w:rsid w:val="008D5A13"/>
    <w:rsid w:val="008E271C"/>
    <w:rsid w:val="008E3A08"/>
    <w:rsid w:val="008E418E"/>
    <w:rsid w:val="008E527C"/>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1E2"/>
    <w:rsid w:val="009144A2"/>
    <w:rsid w:val="0091510C"/>
    <w:rsid w:val="009259AC"/>
    <w:rsid w:val="00926F38"/>
    <w:rsid w:val="00927BEB"/>
    <w:rsid w:val="009333DC"/>
    <w:rsid w:val="00934301"/>
    <w:rsid w:val="00934BEA"/>
    <w:rsid w:val="00936CD1"/>
    <w:rsid w:val="0094131C"/>
    <w:rsid w:val="00941747"/>
    <w:rsid w:val="00941EFB"/>
    <w:rsid w:val="00947AFB"/>
    <w:rsid w:val="00951AA3"/>
    <w:rsid w:val="00951D7D"/>
    <w:rsid w:val="00952B30"/>
    <w:rsid w:val="00956D0C"/>
    <w:rsid w:val="009630C7"/>
    <w:rsid w:val="009636B8"/>
    <w:rsid w:val="009661D5"/>
    <w:rsid w:val="00972B55"/>
    <w:rsid w:val="009743B7"/>
    <w:rsid w:val="0097743A"/>
    <w:rsid w:val="0098228B"/>
    <w:rsid w:val="009828DA"/>
    <w:rsid w:val="0098410D"/>
    <w:rsid w:val="00984B21"/>
    <w:rsid w:val="00985BAB"/>
    <w:rsid w:val="00986B3C"/>
    <w:rsid w:val="00992BCF"/>
    <w:rsid w:val="009A115C"/>
    <w:rsid w:val="009A7FC1"/>
    <w:rsid w:val="009B1606"/>
    <w:rsid w:val="009B1B5F"/>
    <w:rsid w:val="009B4D52"/>
    <w:rsid w:val="009B6673"/>
    <w:rsid w:val="009C191B"/>
    <w:rsid w:val="009C2BD6"/>
    <w:rsid w:val="009D0662"/>
    <w:rsid w:val="009D57AA"/>
    <w:rsid w:val="009E1F32"/>
    <w:rsid w:val="009E2CC2"/>
    <w:rsid w:val="009E47A2"/>
    <w:rsid w:val="009E6743"/>
    <w:rsid w:val="009E776C"/>
    <w:rsid w:val="009E7A6F"/>
    <w:rsid w:val="009F30A8"/>
    <w:rsid w:val="009F4C8F"/>
    <w:rsid w:val="00A02972"/>
    <w:rsid w:val="00A05588"/>
    <w:rsid w:val="00A11579"/>
    <w:rsid w:val="00A15601"/>
    <w:rsid w:val="00A1726E"/>
    <w:rsid w:val="00A204CF"/>
    <w:rsid w:val="00A21D2B"/>
    <w:rsid w:val="00A22181"/>
    <w:rsid w:val="00A2269E"/>
    <w:rsid w:val="00A22745"/>
    <w:rsid w:val="00A23D49"/>
    <w:rsid w:val="00A26782"/>
    <w:rsid w:val="00A27004"/>
    <w:rsid w:val="00A308CE"/>
    <w:rsid w:val="00A30C29"/>
    <w:rsid w:val="00A33C7D"/>
    <w:rsid w:val="00A34DD6"/>
    <w:rsid w:val="00A35683"/>
    <w:rsid w:val="00A36819"/>
    <w:rsid w:val="00A36989"/>
    <w:rsid w:val="00A41485"/>
    <w:rsid w:val="00A41D86"/>
    <w:rsid w:val="00A43628"/>
    <w:rsid w:val="00A43DE2"/>
    <w:rsid w:val="00A4492F"/>
    <w:rsid w:val="00A45145"/>
    <w:rsid w:val="00A4622A"/>
    <w:rsid w:val="00A51D0F"/>
    <w:rsid w:val="00A51F19"/>
    <w:rsid w:val="00A54192"/>
    <w:rsid w:val="00A57147"/>
    <w:rsid w:val="00A6035E"/>
    <w:rsid w:val="00A6144C"/>
    <w:rsid w:val="00A66617"/>
    <w:rsid w:val="00A671F8"/>
    <w:rsid w:val="00A673A4"/>
    <w:rsid w:val="00A724AE"/>
    <w:rsid w:val="00A73329"/>
    <w:rsid w:val="00A75666"/>
    <w:rsid w:val="00A82359"/>
    <w:rsid w:val="00A84562"/>
    <w:rsid w:val="00A865D2"/>
    <w:rsid w:val="00A87C10"/>
    <w:rsid w:val="00A90BCD"/>
    <w:rsid w:val="00A92625"/>
    <w:rsid w:val="00A94C20"/>
    <w:rsid w:val="00A95D81"/>
    <w:rsid w:val="00AA1B09"/>
    <w:rsid w:val="00AA227F"/>
    <w:rsid w:val="00AA3BC7"/>
    <w:rsid w:val="00AA754A"/>
    <w:rsid w:val="00AB099E"/>
    <w:rsid w:val="00AB4328"/>
    <w:rsid w:val="00AB55EB"/>
    <w:rsid w:val="00AC38DE"/>
    <w:rsid w:val="00AC4CD4"/>
    <w:rsid w:val="00AD1BB9"/>
    <w:rsid w:val="00AE0A2E"/>
    <w:rsid w:val="00AE354C"/>
    <w:rsid w:val="00AF12C5"/>
    <w:rsid w:val="00AF4B07"/>
    <w:rsid w:val="00AF6186"/>
    <w:rsid w:val="00AF7A3A"/>
    <w:rsid w:val="00B02587"/>
    <w:rsid w:val="00B049D1"/>
    <w:rsid w:val="00B12EB1"/>
    <w:rsid w:val="00B144D4"/>
    <w:rsid w:val="00B14793"/>
    <w:rsid w:val="00B153A0"/>
    <w:rsid w:val="00B160DB"/>
    <w:rsid w:val="00B20836"/>
    <w:rsid w:val="00B21008"/>
    <w:rsid w:val="00B231DA"/>
    <w:rsid w:val="00B235BB"/>
    <w:rsid w:val="00B27A44"/>
    <w:rsid w:val="00B30BBF"/>
    <w:rsid w:val="00B33C03"/>
    <w:rsid w:val="00B33C80"/>
    <w:rsid w:val="00B4421F"/>
    <w:rsid w:val="00B44E56"/>
    <w:rsid w:val="00B45917"/>
    <w:rsid w:val="00B46543"/>
    <w:rsid w:val="00B47D33"/>
    <w:rsid w:val="00B52BE0"/>
    <w:rsid w:val="00B54133"/>
    <w:rsid w:val="00B55A8D"/>
    <w:rsid w:val="00B63F57"/>
    <w:rsid w:val="00B701ED"/>
    <w:rsid w:val="00B748F7"/>
    <w:rsid w:val="00B8086C"/>
    <w:rsid w:val="00B81C58"/>
    <w:rsid w:val="00B85C4B"/>
    <w:rsid w:val="00B861B4"/>
    <w:rsid w:val="00B86DFE"/>
    <w:rsid w:val="00B90990"/>
    <w:rsid w:val="00B922FF"/>
    <w:rsid w:val="00B9281E"/>
    <w:rsid w:val="00B93925"/>
    <w:rsid w:val="00B95187"/>
    <w:rsid w:val="00BA2D55"/>
    <w:rsid w:val="00BA48D8"/>
    <w:rsid w:val="00BA71B1"/>
    <w:rsid w:val="00BB0637"/>
    <w:rsid w:val="00BB345F"/>
    <w:rsid w:val="00BB417A"/>
    <w:rsid w:val="00BB68EA"/>
    <w:rsid w:val="00BC0B99"/>
    <w:rsid w:val="00BC1C27"/>
    <w:rsid w:val="00BC56A7"/>
    <w:rsid w:val="00BC6BBF"/>
    <w:rsid w:val="00BD1572"/>
    <w:rsid w:val="00BD5167"/>
    <w:rsid w:val="00BE14E3"/>
    <w:rsid w:val="00BE3774"/>
    <w:rsid w:val="00BE41E5"/>
    <w:rsid w:val="00BE4CE2"/>
    <w:rsid w:val="00BF118F"/>
    <w:rsid w:val="00BF3C87"/>
    <w:rsid w:val="00BF4109"/>
    <w:rsid w:val="00BF4CC3"/>
    <w:rsid w:val="00BF4F7C"/>
    <w:rsid w:val="00BF6A7A"/>
    <w:rsid w:val="00C054C7"/>
    <w:rsid w:val="00C057B5"/>
    <w:rsid w:val="00C07D0E"/>
    <w:rsid w:val="00C115C3"/>
    <w:rsid w:val="00C1208C"/>
    <w:rsid w:val="00C14C20"/>
    <w:rsid w:val="00C15547"/>
    <w:rsid w:val="00C1672D"/>
    <w:rsid w:val="00C17DD8"/>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630B9"/>
    <w:rsid w:val="00C71424"/>
    <w:rsid w:val="00C74810"/>
    <w:rsid w:val="00C90D68"/>
    <w:rsid w:val="00C939FE"/>
    <w:rsid w:val="00CA0E72"/>
    <w:rsid w:val="00CA4BDA"/>
    <w:rsid w:val="00CB13E3"/>
    <w:rsid w:val="00CB1F66"/>
    <w:rsid w:val="00CB232C"/>
    <w:rsid w:val="00CB2951"/>
    <w:rsid w:val="00CB4277"/>
    <w:rsid w:val="00CC5067"/>
    <w:rsid w:val="00CD11D3"/>
    <w:rsid w:val="00CD282B"/>
    <w:rsid w:val="00CD447B"/>
    <w:rsid w:val="00CD4C35"/>
    <w:rsid w:val="00CD60B4"/>
    <w:rsid w:val="00CD7369"/>
    <w:rsid w:val="00CE0B0E"/>
    <w:rsid w:val="00CE3831"/>
    <w:rsid w:val="00CF2397"/>
    <w:rsid w:val="00D00ABB"/>
    <w:rsid w:val="00D02EEC"/>
    <w:rsid w:val="00D03551"/>
    <w:rsid w:val="00D04315"/>
    <w:rsid w:val="00D06A63"/>
    <w:rsid w:val="00D07E0E"/>
    <w:rsid w:val="00D10CD6"/>
    <w:rsid w:val="00D11478"/>
    <w:rsid w:val="00D12F5D"/>
    <w:rsid w:val="00D15ED0"/>
    <w:rsid w:val="00D164BF"/>
    <w:rsid w:val="00D21B3E"/>
    <w:rsid w:val="00D21FED"/>
    <w:rsid w:val="00D23048"/>
    <w:rsid w:val="00D24251"/>
    <w:rsid w:val="00D26E72"/>
    <w:rsid w:val="00D335F7"/>
    <w:rsid w:val="00D343E2"/>
    <w:rsid w:val="00D361A2"/>
    <w:rsid w:val="00D37272"/>
    <w:rsid w:val="00D44C2E"/>
    <w:rsid w:val="00D45414"/>
    <w:rsid w:val="00D50A0A"/>
    <w:rsid w:val="00D53548"/>
    <w:rsid w:val="00D5465E"/>
    <w:rsid w:val="00D5576B"/>
    <w:rsid w:val="00D566BD"/>
    <w:rsid w:val="00D57A4D"/>
    <w:rsid w:val="00D60AA7"/>
    <w:rsid w:val="00D6435F"/>
    <w:rsid w:val="00D645E9"/>
    <w:rsid w:val="00D66471"/>
    <w:rsid w:val="00D669D4"/>
    <w:rsid w:val="00D70641"/>
    <w:rsid w:val="00D74888"/>
    <w:rsid w:val="00D7488B"/>
    <w:rsid w:val="00D75E28"/>
    <w:rsid w:val="00D772C2"/>
    <w:rsid w:val="00D8008E"/>
    <w:rsid w:val="00D82C45"/>
    <w:rsid w:val="00D908A8"/>
    <w:rsid w:val="00D95A49"/>
    <w:rsid w:val="00D977B6"/>
    <w:rsid w:val="00DA1223"/>
    <w:rsid w:val="00DA4A31"/>
    <w:rsid w:val="00DA7B04"/>
    <w:rsid w:val="00DB36C2"/>
    <w:rsid w:val="00DB5C9E"/>
    <w:rsid w:val="00DC00A8"/>
    <w:rsid w:val="00DC169B"/>
    <w:rsid w:val="00DC2AB9"/>
    <w:rsid w:val="00DC63F0"/>
    <w:rsid w:val="00DD37EA"/>
    <w:rsid w:val="00DD6EE5"/>
    <w:rsid w:val="00DE386C"/>
    <w:rsid w:val="00DE3E50"/>
    <w:rsid w:val="00DE4634"/>
    <w:rsid w:val="00DE4D35"/>
    <w:rsid w:val="00DF098B"/>
    <w:rsid w:val="00DF11C4"/>
    <w:rsid w:val="00DF210C"/>
    <w:rsid w:val="00DF4B6A"/>
    <w:rsid w:val="00E004C0"/>
    <w:rsid w:val="00E02C09"/>
    <w:rsid w:val="00E04D59"/>
    <w:rsid w:val="00E07DA1"/>
    <w:rsid w:val="00E123CB"/>
    <w:rsid w:val="00E13B09"/>
    <w:rsid w:val="00E20E13"/>
    <w:rsid w:val="00E21DBC"/>
    <w:rsid w:val="00E22317"/>
    <w:rsid w:val="00E275D7"/>
    <w:rsid w:val="00E27A10"/>
    <w:rsid w:val="00E27DBE"/>
    <w:rsid w:val="00E327A8"/>
    <w:rsid w:val="00E32AB1"/>
    <w:rsid w:val="00E34173"/>
    <w:rsid w:val="00E36C71"/>
    <w:rsid w:val="00E401E2"/>
    <w:rsid w:val="00E40404"/>
    <w:rsid w:val="00E4126A"/>
    <w:rsid w:val="00E41D3F"/>
    <w:rsid w:val="00E42A06"/>
    <w:rsid w:val="00E42D85"/>
    <w:rsid w:val="00E4312D"/>
    <w:rsid w:val="00E459C6"/>
    <w:rsid w:val="00E47589"/>
    <w:rsid w:val="00E557AA"/>
    <w:rsid w:val="00E63EC7"/>
    <w:rsid w:val="00E64915"/>
    <w:rsid w:val="00E64D3A"/>
    <w:rsid w:val="00E661D4"/>
    <w:rsid w:val="00E670D5"/>
    <w:rsid w:val="00E67565"/>
    <w:rsid w:val="00E70091"/>
    <w:rsid w:val="00E70D2E"/>
    <w:rsid w:val="00E720F5"/>
    <w:rsid w:val="00E744E0"/>
    <w:rsid w:val="00E76D47"/>
    <w:rsid w:val="00E805DF"/>
    <w:rsid w:val="00E827BC"/>
    <w:rsid w:val="00E838A6"/>
    <w:rsid w:val="00E849F7"/>
    <w:rsid w:val="00E90302"/>
    <w:rsid w:val="00E91D05"/>
    <w:rsid w:val="00E9262D"/>
    <w:rsid w:val="00E94245"/>
    <w:rsid w:val="00E95C1E"/>
    <w:rsid w:val="00E97396"/>
    <w:rsid w:val="00E9792C"/>
    <w:rsid w:val="00EA185E"/>
    <w:rsid w:val="00EA45A8"/>
    <w:rsid w:val="00EA592A"/>
    <w:rsid w:val="00EB14E4"/>
    <w:rsid w:val="00EB1D40"/>
    <w:rsid w:val="00EB32A5"/>
    <w:rsid w:val="00EB34ED"/>
    <w:rsid w:val="00EB447C"/>
    <w:rsid w:val="00EB4A03"/>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46AA"/>
    <w:rsid w:val="00F07C1E"/>
    <w:rsid w:val="00F105DB"/>
    <w:rsid w:val="00F10684"/>
    <w:rsid w:val="00F132BC"/>
    <w:rsid w:val="00F13D80"/>
    <w:rsid w:val="00F15B4D"/>
    <w:rsid w:val="00F16A7C"/>
    <w:rsid w:val="00F16AAA"/>
    <w:rsid w:val="00F1709C"/>
    <w:rsid w:val="00F21161"/>
    <w:rsid w:val="00F218EF"/>
    <w:rsid w:val="00F21BC7"/>
    <w:rsid w:val="00F266A2"/>
    <w:rsid w:val="00F32269"/>
    <w:rsid w:val="00F35B7A"/>
    <w:rsid w:val="00F44DA1"/>
    <w:rsid w:val="00F46CA7"/>
    <w:rsid w:val="00F50720"/>
    <w:rsid w:val="00F5142C"/>
    <w:rsid w:val="00F56A6F"/>
    <w:rsid w:val="00F5709C"/>
    <w:rsid w:val="00F60B85"/>
    <w:rsid w:val="00F64EF1"/>
    <w:rsid w:val="00F72498"/>
    <w:rsid w:val="00F72B14"/>
    <w:rsid w:val="00F7349B"/>
    <w:rsid w:val="00F8765F"/>
    <w:rsid w:val="00F90767"/>
    <w:rsid w:val="00F9263C"/>
    <w:rsid w:val="00FA1637"/>
    <w:rsid w:val="00FA358F"/>
    <w:rsid w:val="00FA685B"/>
    <w:rsid w:val="00FB0C01"/>
    <w:rsid w:val="00FB5934"/>
    <w:rsid w:val="00FB6809"/>
    <w:rsid w:val="00FC18F2"/>
    <w:rsid w:val="00FC2A17"/>
    <w:rsid w:val="00FC3836"/>
    <w:rsid w:val="00FC38CF"/>
    <w:rsid w:val="00FC39E5"/>
    <w:rsid w:val="00FC3A78"/>
    <w:rsid w:val="00FC4096"/>
    <w:rsid w:val="00FC52E1"/>
    <w:rsid w:val="00FD1005"/>
    <w:rsid w:val="00FD1F7F"/>
    <w:rsid w:val="00FD6543"/>
    <w:rsid w:val="00FD6C75"/>
    <w:rsid w:val="00FD7972"/>
    <w:rsid w:val="00FE0401"/>
    <w:rsid w:val="00FE71B3"/>
    <w:rsid w:val="00FF1173"/>
    <w:rsid w:val="00FF42C5"/>
    <w:rsid w:val="00FF7237"/>
    <w:rsid w:val="00FF7F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B9BE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ny">
    <w:name w:val="Normal"/>
    <w:semiHidden/>
    <w:rsid w:val="002C15B6"/>
    <w:rPr>
      <w:sz w:val="24"/>
      <w:szCs w:val="24"/>
    </w:rPr>
  </w:style>
  <w:style w:type="paragraph" w:styleId="Nagwek1">
    <w:name w:val="heading 1"/>
    <w:basedOn w:val="Normalny"/>
    <w:next w:val="Normalny"/>
    <w:link w:val="Nagwek1Znak"/>
    <w:uiPriority w:val="98"/>
    <w:semiHidden/>
    <w:rsid w:val="002C15B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2C15B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2C15B6"/>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2C15B6"/>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2C15B6"/>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2C15B6"/>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2C15B6"/>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2C15B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2C15B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2C15B6"/>
    <w:rPr>
      <w:rFonts w:ascii="Tahoma" w:hAnsi="Tahoma" w:cs="Tahoma"/>
      <w:sz w:val="16"/>
      <w:szCs w:val="16"/>
    </w:rPr>
  </w:style>
  <w:style w:type="character" w:customStyle="1" w:styleId="TekstdymkaZnak">
    <w:name w:val="Tekst dymka Znak"/>
    <w:basedOn w:val="Domylnaczcionkaakapitu"/>
    <w:link w:val="Tekstdymka"/>
    <w:uiPriority w:val="98"/>
    <w:semiHidden/>
    <w:rsid w:val="002C15B6"/>
    <w:rPr>
      <w:rFonts w:ascii="Tahoma" w:hAnsi="Tahoma" w:cs="Tahoma"/>
      <w:sz w:val="16"/>
      <w:szCs w:val="16"/>
      <w:lang w:val="pl-PL"/>
    </w:rPr>
  </w:style>
  <w:style w:type="character" w:styleId="Tytuksiki">
    <w:name w:val="Book Title"/>
    <w:uiPriority w:val="98"/>
    <w:semiHidden/>
    <w:qFormat/>
    <w:rsid w:val="002C15B6"/>
    <w:rPr>
      <w:i/>
      <w:iCs/>
      <w:smallCaps/>
      <w:spacing w:val="5"/>
    </w:rPr>
  </w:style>
  <w:style w:type="paragraph" w:customStyle="1" w:styleId="JuHeader">
    <w:name w:val="Ju_Header"/>
    <w:aliases w:val="_Header"/>
    <w:basedOn w:val="Nagwek"/>
    <w:uiPriority w:val="29"/>
    <w:qFormat/>
    <w:rsid w:val="002C15B6"/>
    <w:pPr>
      <w:tabs>
        <w:tab w:val="clear" w:pos="4536"/>
        <w:tab w:val="clear" w:pos="9072"/>
      </w:tabs>
      <w:jc w:val="center"/>
    </w:pPr>
    <w:rPr>
      <w:sz w:val="18"/>
    </w:rPr>
  </w:style>
  <w:style w:type="paragraph" w:customStyle="1" w:styleId="NormalJustified">
    <w:name w:val="Normal_Justified"/>
    <w:basedOn w:val="Normalny"/>
    <w:semiHidden/>
    <w:rsid w:val="002C15B6"/>
    <w:pPr>
      <w:jc w:val="both"/>
    </w:pPr>
  </w:style>
  <w:style w:type="character" w:styleId="Pogrubienie">
    <w:name w:val="Strong"/>
    <w:uiPriority w:val="98"/>
    <w:semiHidden/>
    <w:qFormat/>
    <w:rsid w:val="002C15B6"/>
    <w:rPr>
      <w:b/>
      <w:bCs/>
    </w:rPr>
  </w:style>
  <w:style w:type="paragraph" w:styleId="Bezodstpw">
    <w:name w:val="No Spacing"/>
    <w:basedOn w:val="Normalny"/>
    <w:link w:val="BezodstpwZnak"/>
    <w:uiPriority w:val="98"/>
    <w:semiHidden/>
    <w:qFormat/>
    <w:rsid w:val="002C15B6"/>
  </w:style>
  <w:style w:type="character" w:customStyle="1" w:styleId="BezodstpwZnak">
    <w:name w:val="Bez odstępów Znak"/>
    <w:basedOn w:val="Domylnaczcionkaakapitu"/>
    <w:link w:val="Bezodstpw"/>
    <w:uiPriority w:val="98"/>
    <w:rsid w:val="002C15B6"/>
    <w:rPr>
      <w:sz w:val="24"/>
      <w:szCs w:val="24"/>
      <w:lang w:val="pl-PL"/>
    </w:rPr>
  </w:style>
  <w:style w:type="paragraph" w:customStyle="1" w:styleId="JuQuot">
    <w:name w:val="Ju_Quot"/>
    <w:aliases w:val="_Quote"/>
    <w:basedOn w:val="NormalJustified"/>
    <w:uiPriority w:val="20"/>
    <w:qFormat/>
    <w:rsid w:val="002C15B6"/>
    <w:pPr>
      <w:spacing w:before="120" w:after="120"/>
      <w:ind w:left="425" w:firstLine="142"/>
    </w:pPr>
    <w:rPr>
      <w:sz w:val="20"/>
    </w:rPr>
  </w:style>
  <w:style w:type="paragraph" w:customStyle="1" w:styleId="DummyStyle">
    <w:name w:val="Dummy_Style"/>
    <w:aliases w:val="_Dummy"/>
    <w:basedOn w:val="Normalny"/>
    <w:semiHidden/>
    <w:qFormat/>
    <w:rsid w:val="002C15B6"/>
    <w:rPr>
      <w:color w:val="00B050"/>
      <w:sz w:val="22"/>
    </w:rPr>
  </w:style>
  <w:style w:type="paragraph" w:customStyle="1" w:styleId="JuList">
    <w:name w:val="Ju_List"/>
    <w:aliases w:val="_List_1"/>
    <w:basedOn w:val="NormalJustified"/>
    <w:uiPriority w:val="23"/>
    <w:qFormat/>
    <w:rsid w:val="002C15B6"/>
    <w:pPr>
      <w:numPr>
        <w:numId w:val="22"/>
      </w:numPr>
      <w:spacing w:before="280" w:after="60"/>
    </w:pPr>
  </w:style>
  <w:style w:type="paragraph" w:customStyle="1" w:styleId="JuLista">
    <w:name w:val="Ju_List_a"/>
    <w:aliases w:val="_List_2"/>
    <w:basedOn w:val="NormalJustified"/>
    <w:uiPriority w:val="23"/>
    <w:rsid w:val="002C15B6"/>
    <w:pPr>
      <w:numPr>
        <w:ilvl w:val="1"/>
        <w:numId w:val="22"/>
      </w:numPr>
    </w:pPr>
  </w:style>
  <w:style w:type="paragraph" w:customStyle="1" w:styleId="JuListi">
    <w:name w:val="Ju_List_i"/>
    <w:aliases w:val="_List_3"/>
    <w:basedOn w:val="NormalJustified"/>
    <w:uiPriority w:val="23"/>
    <w:rsid w:val="002C15B6"/>
    <w:pPr>
      <w:numPr>
        <w:ilvl w:val="2"/>
        <w:numId w:val="22"/>
      </w:numPr>
    </w:pPr>
  </w:style>
  <w:style w:type="paragraph" w:customStyle="1" w:styleId="JuHArticle">
    <w:name w:val="Ju_H_Article"/>
    <w:aliases w:val="_Title_Quote"/>
    <w:basedOn w:val="Normalny"/>
    <w:next w:val="JuQuot"/>
    <w:uiPriority w:val="19"/>
    <w:qFormat/>
    <w:rsid w:val="002C15B6"/>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C15B6"/>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C15B6"/>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2C15B6"/>
    <w:pPr>
      <w:keepNext/>
      <w:keepLines/>
      <w:numPr>
        <w:numId w:val="21"/>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2C15B6"/>
    <w:pPr>
      <w:numPr>
        <w:numId w:val="16"/>
      </w:numPr>
    </w:pPr>
  </w:style>
  <w:style w:type="paragraph" w:customStyle="1" w:styleId="JuSigned">
    <w:name w:val="Ju_Signed"/>
    <w:aliases w:val="_Signature"/>
    <w:basedOn w:val="Normalny"/>
    <w:next w:val="JuPara"/>
    <w:uiPriority w:val="31"/>
    <w:qFormat/>
    <w:rsid w:val="002C15B6"/>
    <w:pPr>
      <w:tabs>
        <w:tab w:val="center" w:pos="1418"/>
        <w:tab w:val="center" w:pos="5954"/>
      </w:tabs>
      <w:spacing w:before="720"/>
    </w:pPr>
  </w:style>
  <w:style w:type="paragraph" w:styleId="Tytu">
    <w:name w:val="Title"/>
    <w:basedOn w:val="Normalny"/>
    <w:next w:val="Normalny"/>
    <w:link w:val="TytuZnak"/>
    <w:uiPriority w:val="98"/>
    <w:semiHidden/>
    <w:qFormat/>
    <w:rsid w:val="002C15B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rsid w:val="002C15B6"/>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2C15B6"/>
    <w:pPr>
      <w:numPr>
        <w:numId w:val="17"/>
      </w:numPr>
    </w:pPr>
  </w:style>
  <w:style w:type="numbering" w:customStyle="1" w:styleId="ECHRA1StyleNumberedList">
    <w:name w:val="ECHR_A1_Style_Numbered_List"/>
    <w:basedOn w:val="Bezlisty"/>
    <w:rsid w:val="002C15B6"/>
    <w:pPr>
      <w:numPr>
        <w:numId w:val="18"/>
      </w:numPr>
    </w:pPr>
  </w:style>
  <w:style w:type="table" w:customStyle="1" w:styleId="ECHRTable2019">
    <w:name w:val="ECHR_Table_2019"/>
    <w:basedOn w:val="Standardowy"/>
    <w:uiPriority w:val="99"/>
    <w:rsid w:val="002C15B6"/>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2C15B6"/>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2C15B6"/>
    <w:pPr>
      <w:keepNext/>
      <w:keepLines/>
      <w:numPr>
        <w:ilvl w:val="1"/>
        <w:numId w:val="21"/>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2C15B6"/>
    <w:pPr>
      <w:keepNext/>
      <w:keepLines/>
      <w:numPr>
        <w:ilvl w:val="2"/>
        <w:numId w:val="21"/>
      </w:numPr>
      <w:spacing w:before="100" w:beforeAutospacing="1" w:after="240" w:line="240" w:lineRule="auto"/>
      <w:ind w:left="510"/>
      <w:jc w:val="both"/>
    </w:pPr>
    <w:rPr>
      <w:color w:val="auto"/>
      <w:sz w:val="24"/>
    </w:rPr>
  </w:style>
  <w:style w:type="paragraph" w:customStyle="1" w:styleId="JuH1">
    <w:name w:val="Ju_H_1."/>
    <w:aliases w:val="_Head_4"/>
    <w:basedOn w:val="Nagwek4"/>
    <w:next w:val="JuPara"/>
    <w:uiPriority w:val="17"/>
    <w:rsid w:val="002C15B6"/>
    <w:pPr>
      <w:keepNext/>
      <w:keepLines/>
      <w:numPr>
        <w:ilvl w:val="3"/>
        <w:numId w:val="21"/>
      </w:numPr>
      <w:spacing w:before="100" w:beforeAutospacing="1" w:after="120"/>
      <w:jc w:val="both"/>
    </w:pPr>
    <w:rPr>
      <w:b w:val="0"/>
      <w:color w:val="auto"/>
      <w:sz w:val="24"/>
    </w:rPr>
  </w:style>
  <w:style w:type="paragraph" w:styleId="Nagwek">
    <w:name w:val="header"/>
    <w:basedOn w:val="Normalny"/>
    <w:link w:val="NagwekZnak"/>
    <w:uiPriority w:val="98"/>
    <w:semiHidden/>
    <w:rsid w:val="002C15B6"/>
    <w:pPr>
      <w:tabs>
        <w:tab w:val="center" w:pos="4536"/>
        <w:tab w:val="right" w:pos="9072"/>
      </w:tabs>
    </w:pPr>
  </w:style>
  <w:style w:type="character" w:customStyle="1" w:styleId="NagwekZnak">
    <w:name w:val="Nagłówek Znak"/>
    <w:basedOn w:val="Domylnaczcionkaakapitu"/>
    <w:link w:val="Nagwek"/>
    <w:uiPriority w:val="98"/>
    <w:semiHidden/>
    <w:rsid w:val="002C15B6"/>
    <w:rPr>
      <w:sz w:val="24"/>
      <w:szCs w:val="24"/>
      <w:lang w:val="pl-PL"/>
    </w:rPr>
  </w:style>
  <w:style w:type="character" w:customStyle="1" w:styleId="Nagwek1Znak">
    <w:name w:val="Nagłówek 1 Znak"/>
    <w:basedOn w:val="Domylnaczcionkaakapitu"/>
    <w:link w:val="Nagwek1"/>
    <w:uiPriority w:val="98"/>
    <w:rsid w:val="002C15B6"/>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2C15B6"/>
    <w:pPr>
      <w:keepNext/>
      <w:keepLines/>
      <w:numPr>
        <w:ilvl w:val="4"/>
        <w:numId w:val="21"/>
      </w:numPr>
      <w:spacing w:before="100" w:beforeAutospacing="1" w:after="120"/>
      <w:jc w:val="both"/>
    </w:pPr>
    <w:rPr>
      <w:color w:val="auto"/>
      <w:sz w:val="20"/>
    </w:rPr>
  </w:style>
  <w:style w:type="paragraph" w:customStyle="1" w:styleId="JuHi">
    <w:name w:val="Ju_H_i"/>
    <w:aliases w:val="_Head_6"/>
    <w:basedOn w:val="Nagwek6"/>
    <w:next w:val="JuPara"/>
    <w:uiPriority w:val="17"/>
    <w:rsid w:val="002C15B6"/>
    <w:pPr>
      <w:keepNext/>
      <w:keepLines/>
      <w:numPr>
        <w:ilvl w:val="5"/>
        <w:numId w:val="21"/>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2C15B6"/>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2C15B6"/>
    <w:pPr>
      <w:keepNext/>
      <w:keepLines/>
      <w:numPr>
        <w:ilvl w:val="6"/>
        <w:numId w:val="21"/>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2C15B6"/>
    <w:pPr>
      <w:keepNext/>
      <w:keepLines/>
      <w:numPr>
        <w:ilvl w:val="7"/>
        <w:numId w:val="21"/>
      </w:numPr>
      <w:spacing w:before="100" w:beforeAutospacing="1" w:after="120"/>
      <w:jc w:val="both"/>
    </w:pPr>
    <w:rPr>
      <w:i/>
    </w:rPr>
  </w:style>
  <w:style w:type="character" w:customStyle="1" w:styleId="Nagwek3Znak">
    <w:name w:val="Nagłówek 3 Znak"/>
    <w:basedOn w:val="Domylnaczcionkaakapitu"/>
    <w:link w:val="Nagwek3"/>
    <w:uiPriority w:val="98"/>
    <w:semiHidden/>
    <w:rsid w:val="002C15B6"/>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2C15B6"/>
    <w:pPr>
      <w:keepNext/>
      <w:keepLines/>
      <w:spacing w:before="240" w:after="240"/>
      <w:ind w:firstLine="284"/>
    </w:pPr>
  </w:style>
  <w:style w:type="paragraph" w:customStyle="1" w:styleId="JuJudges">
    <w:name w:val="Ju_Judges"/>
    <w:aliases w:val="_Judges"/>
    <w:basedOn w:val="Normalny"/>
    <w:uiPriority w:val="32"/>
    <w:qFormat/>
    <w:rsid w:val="002C15B6"/>
    <w:pPr>
      <w:tabs>
        <w:tab w:val="left" w:pos="567"/>
        <w:tab w:val="left" w:pos="1134"/>
      </w:tabs>
    </w:pPr>
  </w:style>
  <w:style w:type="character" w:customStyle="1" w:styleId="Nagwek4Znak">
    <w:name w:val="Nagłówek 4 Znak"/>
    <w:basedOn w:val="Domylnaczcionkaakapitu"/>
    <w:link w:val="Nagwek4"/>
    <w:uiPriority w:val="98"/>
    <w:semiHidden/>
    <w:rsid w:val="002C15B6"/>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2C15B6"/>
    <w:pPr>
      <w:tabs>
        <w:tab w:val="center" w:pos="6407"/>
      </w:tabs>
      <w:spacing w:before="720"/>
      <w:jc w:val="right"/>
    </w:pPr>
  </w:style>
  <w:style w:type="character" w:customStyle="1" w:styleId="Nagwek5Znak">
    <w:name w:val="Nagłówek 5 Znak"/>
    <w:basedOn w:val="Domylnaczcionkaakapitu"/>
    <w:link w:val="Nagwek5"/>
    <w:uiPriority w:val="98"/>
    <w:semiHidden/>
    <w:rsid w:val="002C15B6"/>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54"/>
    <w:qFormat/>
    <w:rsid w:val="002C15B6"/>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2C15B6"/>
    <w:rPr>
      <w:caps w:val="0"/>
      <w:smallCaps/>
    </w:rPr>
  </w:style>
  <w:style w:type="character" w:styleId="Wyrnieniedelikatne">
    <w:name w:val="Subtle Emphasis"/>
    <w:uiPriority w:val="98"/>
    <w:semiHidden/>
    <w:qFormat/>
    <w:rsid w:val="002C15B6"/>
    <w:rPr>
      <w:i/>
      <w:iCs/>
    </w:rPr>
  </w:style>
  <w:style w:type="table" w:customStyle="1" w:styleId="ECHRTable">
    <w:name w:val="ECHR_Table"/>
    <w:basedOn w:val="Standardowy"/>
    <w:rsid w:val="002C15B6"/>
    <w:rPr>
      <w:rFonts w:eastAsia="Times New Roman" w:cs="Times New Roman"/>
      <w:sz w:val="20"/>
      <w:szCs w:val="20"/>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2C15B6"/>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Uwydatnienie">
    <w:name w:val="Emphasis"/>
    <w:uiPriority w:val="98"/>
    <w:semiHidden/>
    <w:qFormat/>
    <w:rsid w:val="002C15B6"/>
    <w:rPr>
      <w:b/>
      <w:bCs/>
      <w:i/>
      <w:iCs/>
      <w:spacing w:val="10"/>
      <w:bdr w:val="none" w:sz="0" w:space="0" w:color="auto"/>
      <w:shd w:val="clear" w:color="auto" w:fill="auto"/>
    </w:rPr>
  </w:style>
  <w:style w:type="paragraph" w:styleId="Stopka">
    <w:name w:val="footer"/>
    <w:basedOn w:val="Normalny"/>
    <w:link w:val="StopkaZnak"/>
    <w:uiPriority w:val="98"/>
    <w:semiHidden/>
    <w:rsid w:val="002C15B6"/>
    <w:pPr>
      <w:tabs>
        <w:tab w:val="center" w:pos="3686"/>
        <w:tab w:val="right" w:pos="7371"/>
      </w:tabs>
    </w:pPr>
  </w:style>
  <w:style w:type="character" w:customStyle="1" w:styleId="StopkaZnak">
    <w:name w:val="Stopka Znak"/>
    <w:basedOn w:val="Domylnaczcionkaakapitu"/>
    <w:link w:val="Stopka"/>
    <w:uiPriority w:val="98"/>
    <w:semiHidden/>
    <w:rsid w:val="002C15B6"/>
    <w:rPr>
      <w:sz w:val="24"/>
      <w:szCs w:val="24"/>
      <w:lang w:val="pl-PL"/>
    </w:rPr>
  </w:style>
  <w:style w:type="character" w:styleId="Odwoanieprzypisudolnego">
    <w:name w:val="footnote reference"/>
    <w:basedOn w:val="Domylnaczcionkaakapitu"/>
    <w:uiPriority w:val="98"/>
    <w:semiHidden/>
    <w:rsid w:val="002C15B6"/>
    <w:rPr>
      <w:vertAlign w:val="superscript"/>
    </w:rPr>
  </w:style>
  <w:style w:type="paragraph" w:styleId="Tekstprzypisudolnego">
    <w:name w:val="footnote text"/>
    <w:basedOn w:val="NormalJustified"/>
    <w:link w:val="TekstprzypisudolnegoZnak"/>
    <w:uiPriority w:val="98"/>
    <w:semiHidden/>
    <w:rsid w:val="002C15B6"/>
    <w:rPr>
      <w:sz w:val="20"/>
      <w:szCs w:val="20"/>
    </w:rPr>
  </w:style>
  <w:style w:type="character" w:customStyle="1" w:styleId="TekstprzypisudolnegoZnak">
    <w:name w:val="Tekst przypisu dolnego Znak"/>
    <w:basedOn w:val="Domylnaczcionkaakapitu"/>
    <w:link w:val="Tekstprzypisudolnego"/>
    <w:uiPriority w:val="98"/>
    <w:semiHidden/>
    <w:rsid w:val="002C15B6"/>
    <w:rPr>
      <w:sz w:val="20"/>
      <w:szCs w:val="20"/>
      <w:lang w:val="pl-PL"/>
    </w:rPr>
  </w:style>
  <w:style w:type="character" w:customStyle="1" w:styleId="Nagwek6Znak">
    <w:name w:val="Nagłówek 6 Znak"/>
    <w:basedOn w:val="Domylnaczcionkaakapitu"/>
    <w:link w:val="Nagwek6"/>
    <w:uiPriority w:val="98"/>
    <w:semiHidden/>
    <w:rsid w:val="002C15B6"/>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2C15B6"/>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2C15B6"/>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2C15B6"/>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2C15B6"/>
    <w:rPr>
      <w:color w:val="0072BC" w:themeColor="hyperlink"/>
      <w:u w:val="single"/>
    </w:rPr>
  </w:style>
  <w:style w:type="character" w:styleId="Wyrnienieintensywne">
    <w:name w:val="Intense Emphasis"/>
    <w:uiPriority w:val="98"/>
    <w:semiHidden/>
    <w:qFormat/>
    <w:rsid w:val="002C15B6"/>
    <w:rPr>
      <w:b/>
      <w:bCs/>
    </w:rPr>
  </w:style>
  <w:style w:type="paragraph" w:styleId="Cytatintensywny">
    <w:name w:val="Intense Quote"/>
    <w:basedOn w:val="Normalny"/>
    <w:next w:val="Normalny"/>
    <w:link w:val="CytatintensywnyZnak"/>
    <w:uiPriority w:val="98"/>
    <w:semiHidden/>
    <w:qFormat/>
    <w:rsid w:val="002C15B6"/>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rsid w:val="002C15B6"/>
    <w:rPr>
      <w:b/>
      <w:bCs/>
      <w:i/>
      <w:iCs/>
      <w:sz w:val="24"/>
      <w:szCs w:val="24"/>
      <w:lang w:val="pl-PL" w:bidi="en-US"/>
    </w:rPr>
  </w:style>
  <w:style w:type="character" w:styleId="Odwoanieintensywne">
    <w:name w:val="Intense Reference"/>
    <w:uiPriority w:val="98"/>
    <w:semiHidden/>
    <w:qFormat/>
    <w:rsid w:val="002C15B6"/>
    <w:rPr>
      <w:smallCaps/>
      <w:spacing w:val="5"/>
      <w:u w:val="single"/>
    </w:rPr>
  </w:style>
  <w:style w:type="paragraph" w:styleId="Akapitzlist">
    <w:name w:val="List Paragraph"/>
    <w:basedOn w:val="Normalny"/>
    <w:uiPriority w:val="98"/>
    <w:semiHidden/>
    <w:qFormat/>
    <w:rsid w:val="002C15B6"/>
    <w:pPr>
      <w:ind w:left="720"/>
      <w:contextualSpacing/>
    </w:pPr>
  </w:style>
  <w:style w:type="table" w:customStyle="1" w:styleId="LtrTableAddress">
    <w:name w:val="Ltr_Table_Address"/>
    <w:aliases w:val="ECHR_Ltr_Table_Address"/>
    <w:basedOn w:val="Standardowy"/>
    <w:uiPriority w:val="99"/>
    <w:rsid w:val="002C15B6"/>
    <w:rPr>
      <w:sz w:val="24"/>
      <w:szCs w:val="24"/>
    </w:rPr>
    <w:tblPr>
      <w:tblInd w:w="5103" w:type="dxa"/>
    </w:tblPr>
  </w:style>
  <w:style w:type="paragraph" w:styleId="Cytat">
    <w:name w:val="Quote"/>
    <w:basedOn w:val="Normalny"/>
    <w:next w:val="Normalny"/>
    <w:link w:val="CytatZnak"/>
    <w:uiPriority w:val="98"/>
    <w:semiHidden/>
    <w:qFormat/>
    <w:rsid w:val="002C15B6"/>
    <w:pPr>
      <w:spacing w:before="200"/>
      <w:ind w:left="360" w:right="360"/>
    </w:pPr>
    <w:rPr>
      <w:i/>
      <w:iCs/>
      <w:lang w:bidi="en-US"/>
    </w:rPr>
  </w:style>
  <w:style w:type="character" w:customStyle="1" w:styleId="CytatZnak">
    <w:name w:val="Cytat Znak"/>
    <w:basedOn w:val="Domylnaczcionkaakapitu"/>
    <w:link w:val="Cytat"/>
    <w:uiPriority w:val="98"/>
    <w:rsid w:val="002C15B6"/>
    <w:rPr>
      <w:i/>
      <w:iCs/>
      <w:sz w:val="24"/>
      <w:szCs w:val="24"/>
      <w:lang w:val="pl-PL" w:bidi="en-US"/>
    </w:rPr>
  </w:style>
  <w:style w:type="character" w:styleId="Odwoaniedelikatne">
    <w:name w:val="Subtle Reference"/>
    <w:uiPriority w:val="98"/>
    <w:semiHidden/>
    <w:qFormat/>
    <w:rsid w:val="002C15B6"/>
    <w:rPr>
      <w:smallCaps/>
    </w:rPr>
  </w:style>
  <w:style w:type="table" w:styleId="Tabela-Siatka">
    <w:name w:val="Table Grid"/>
    <w:basedOn w:val="Standardowy"/>
    <w:uiPriority w:val="59"/>
    <w:semiHidden/>
    <w:rsid w:val="002C15B6"/>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2C15B6"/>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2C15B6"/>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2C15B6"/>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2C15B6"/>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2C15B6"/>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2C15B6"/>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Standardowy"/>
    <w:uiPriority w:val="99"/>
    <w:rsid w:val="002C15B6"/>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2C15B6"/>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2C15B6"/>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2C15B6"/>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Standardowy"/>
    <w:uiPriority w:val="99"/>
    <w:rsid w:val="002C15B6"/>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Standardowy"/>
    <w:uiPriority w:val="99"/>
    <w:rsid w:val="002C15B6"/>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2C15B6"/>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Podtytu">
    <w:name w:val="Subtitle"/>
    <w:basedOn w:val="Normalny"/>
    <w:next w:val="Normalny"/>
    <w:link w:val="PodtytuZnak"/>
    <w:uiPriority w:val="98"/>
    <w:semiHidden/>
    <w:qFormat/>
    <w:rsid w:val="002C15B6"/>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rsid w:val="002C15B6"/>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2C15B6"/>
    <w:pPr>
      <w:numPr>
        <w:numId w:val="3"/>
      </w:numPr>
    </w:pPr>
  </w:style>
  <w:style w:type="paragraph" w:customStyle="1" w:styleId="JuPara">
    <w:name w:val="Ju_Para"/>
    <w:aliases w:val="_Para"/>
    <w:basedOn w:val="NormalJustified"/>
    <w:link w:val="JuParaChar"/>
    <w:uiPriority w:val="4"/>
    <w:qFormat/>
    <w:rsid w:val="002C15B6"/>
    <w:pPr>
      <w:ind w:firstLine="284"/>
    </w:pPr>
  </w:style>
  <w:style w:type="numbering" w:styleId="1ai">
    <w:name w:val="Outline List 1"/>
    <w:basedOn w:val="Bezlisty"/>
    <w:uiPriority w:val="99"/>
    <w:semiHidden/>
    <w:unhideWhenUsed/>
    <w:rsid w:val="002C15B6"/>
    <w:pPr>
      <w:numPr>
        <w:numId w:val="4"/>
      </w:numPr>
    </w:pPr>
  </w:style>
  <w:style w:type="table" w:customStyle="1" w:styleId="ECHRTableSimpleBox">
    <w:name w:val="ECHR_Table_Simple_Box"/>
    <w:basedOn w:val="Standardowy"/>
    <w:uiPriority w:val="99"/>
    <w:rsid w:val="002C15B6"/>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Standardowy"/>
    <w:uiPriority w:val="99"/>
    <w:rsid w:val="002C15B6"/>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ykusekcja">
    <w:name w:val="Outline List 3"/>
    <w:basedOn w:val="Bezlisty"/>
    <w:uiPriority w:val="99"/>
    <w:semiHidden/>
    <w:unhideWhenUsed/>
    <w:rsid w:val="002C15B6"/>
    <w:pPr>
      <w:numPr>
        <w:numId w:val="5"/>
      </w:numPr>
    </w:pPr>
  </w:style>
  <w:style w:type="table" w:customStyle="1" w:styleId="ECHRTableForInternalUse">
    <w:name w:val="ECHR_Table_For_Internal_Use"/>
    <w:basedOn w:val="Standardowy"/>
    <w:uiPriority w:val="99"/>
    <w:rsid w:val="002C15B6"/>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Standardowy"/>
    <w:uiPriority w:val="99"/>
    <w:rsid w:val="002C15B6"/>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2C15B6"/>
  </w:style>
  <w:style w:type="paragraph" w:styleId="Tekstblokowy">
    <w:name w:val="Block Text"/>
    <w:basedOn w:val="Normalny"/>
    <w:uiPriority w:val="98"/>
    <w:semiHidden/>
    <w:rsid w:val="002C15B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2C15B6"/>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2C15B6"/>
    <w:pPr>
      <w:spacing w:after="120"/>
    </w:pPr>
  </w:style>
  <w:style w:type="character" w:customStyle="1" w:styleId="TekstpodstawowyZnak">
    <w:name w:val="Tekst podstawowy Znak"/>
    <w:basedOn w:val="Domylnaczcionkaakapitu"/>
    <w:link w:val="Tekstpodstawowy"/>
    <w:uiPriority w:val="98"/>
    <w:semiHidden/>
    <w:rsid w:val="002C15B6"/>
    <w:rPr>
      <w:sz w:val="24"/>
      <w:szCs w:val="24"/>
      <w:lang w:val="pl-PL"/>
    </w:rPr>
  </w:style>
  <w:style w:type="table" w:customStyle="1" w:styleId="ECHRTableOddBanded">
    <w:name w:val="ECHR_Table_Odd_Banded"/>
    <w:basedOn w:val="Standardowy"/>
    <w:uiPriority w:val="99"/>
    <w:rsid w:val="002C15B6"/>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2C15B6"/>
    <w:pPr>
      <w:spacing w:after="120" w:line="480" w:lineRule="auto"/>
    </w:pPr>
  </w:style>
  <w:style w:type="table" w:customStyle="1" w:styleId="ECHRHeaderTableReduced">
    <w:name w:val="ECHR_Header_Table_Reduced"/>
    <w:basedOn w:val="Standardowy"/>
    <w:uiPriority w:val="99"/>
    <w:rsid w:val="002C15B6"/>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2C15B6"/>
    <w:pPr>
      <w:ind w:firstLine="284"/>
    </w:pPr>
    <w:rPr>
      <w:b/>
    </w:rPr>
  </w:style>
  <w:style w:type="character" w:styleId="Numerstrony">
    <w:name w:val="page number"/>
    <w:uiPriority w:val="98"/>
    <w:semiHidden/>
    <w:rsid w:val="002C15B6"/>
    <w:rPr>
      <w:sz w:val="18"/>
    </w:rPr>
  </w:style>
  <w:style w:type="paragraph" w:styleId="Listapunktowana">
    <w:name w:val="List Bullet"/>
    <w:basedOn w:val="Normalny"/>
    <w:uiPriority w:val="98"/>
    <w:semiHidden/>
    <w:rsid w:val="002C15B6"/>
    <w:pPr>
      <w:numPr>
        <w:numId w:val="6"/>
      </w:numPr>
    </w:pPr>
  </w:style>
  <w:style w:type="paragraph" w:styleId="Listapunktowana3">
    <w:name w:val="List Bullet 3"/>
    <w:basedOn w:val="Normalny"/>
    <w:uiPriority w:val="98"/>
    <w:semiHidden/>
    <w:rsid w:val="002C15B6"/>
    <w:pPr>
      <w:numPr>
        <w:numId w:val="8"/>
      </w:numPr>
      <w:contextualSpacing/>
    </w:pPr>
  </w:style>
  <w:style w:type="character" w:customStyle="1" w:styleId="Tekstpodstawowy2Znak">
    <w:name w:val="Tekst podstawowy 2 Znak"/>
    <w:basedOn w:val="Domylnaczcionkaakapitu"/>
    <w:link w:val="Tekstpodstawowy2"/>
    <w:uiPriority w:val="98"/>
    <w:semiHidden/>
    <w:rsid w:val="002C15B6"/>
    <w:rPr>
      <w:sz w:val="24"/>
      <w:szCs w:val="24"/>
      <w:lang w:val="pl-PL"/>
    </w:rPr>
  </w:style>
  <w:style w:type="paragraph" w:styleId="Tekstpodstawowy3">
    <w:name w:val="Body Text 3"/>
    <w:basedOn w:val="Normalny"/>
    <w:link w:val="Tekstpodstawowy3Znak"/>
    <w:uiPriority w:val="98"/>
    <w:semiHidden/>
    <w:rsid w:val="002C15B6"/>
    <w:pPr>
      <w:spacing w:after="120"/>
    </w:pPr>
    <w:rPr>
      <w:sz w:val="16"/>
      <w:szCs w:val="16"/>
    </w:rPr>
  </w:style>
  <w:style w:type="character" w:customStyle="1" w:styleId="Tekstpodstawowy3Znak">
    <w:name w:val="Tekst podstawowy 3 Znak"/>
    <w:basedOn w:val="Domylnaczcionkaakapitu"/>
    <w:link w:val="Tekstpodstawowy3"/>
    <w:uiPriority w:val="98"/>
    <w:semiHidden/>
    <w:rsid w:val="002C15B6"/>
    <w:rPr>
      <w:sz w:val="16"/>
      <w:szCs w:val="16"/>
      <w:lang w:val="pl-PL"/>
    </w:rPr>
  </w:style>
  <w:style w:type="paragraph" w:styleId="Tekstpodstawowyzwciciem">
    <w:name w:val="Body Text First Indent"/>
    <w:basedOn w:val="Tekstpodstawowy"/>
    <w:link w:val="TekstpodstawowyzwciciemZnak"/>
    <w:uiPriority w:val="98"/>
    <w:semiHidden/>
    <w:rsid w:val="002C15B6"/>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2C15B6"/>
    <w:rPr>
      <w:sz w:val="24"/>
      <w:szCs w:val="24"/>
      <w:lang w:val="pl-PL"/>
    </w:rPr>
  </w:style>
  <w:style w:type="paragraph" w:styleId="Tekstpodstawowywcity">
    <w:name w:val="Body Text Indent"/>
    <w:basedOn w:val="Normalny"/>
    <w:link w:val="TekstpodstawowywcityZnak"/>
    <w:uiPriority w:val="98"/>
    <w:semiHidden/>
    <w:rsid w:val="002C15B6"/>
    <w:pPr>
      <w:spacing w:after="120"/>
      <w:ind w:left="283"/>
    </w:pPr>
  </w:style>
  <w:style w:type="character" w:customStyle="1" w:styleId="TekstpodstawowywcityZnak">
    <w:name w:val="Tekst podstawowy wcięty Znak"/>
    <w:basedOn w:val="Domylnaczcionkaakapitu"/>
    <w:link w:val="Tekstpodstawowywcity"/>
    <w:uiPriority w:val="98"/>
    <w:semiHidden/>
    <w:rsid w:val="002C15B6"/>
    <w:rPr>
      <w:sz w:val="24"/>
      <w:szCs w:val="24"/>
      <w:lang w:val="pl-PL"/>
    </w:rPr>
  </w:style>
  <w:style w:type="paragraph" w:styleId="Tekstpodstawowyzwciciem2">
    <w:name w:val="Body Text First Indent 2"/>
    <w:basedOn w:val="Tekstpodstawowywcity"/>
    <w:link w:val="Tekstpodstawowyzwciciem2Znak"/>
    <w:uiPriority w:val="98"/>
    <w:semiHidden/>
    <w:rsid w:val="002C15B6"/>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2C15B6"/>
    <w:rPr>
      <w:sz w:val="24"/>
      <w:szCs w:val="24"/>
      <w:lang w:val="pl-PL"/>
    </w:rPr>
  </w:style>
  <w:style w:type="paragraph" w:styleId="Tekstpodstawowywcity2">
    <w:name w:val="Body Text Indent 2"/>
    <w:basedOn w:val="Normalny"/>
    <w:link w:val="Tekstpodstawowywcity2Znak"/>
    <w:uiPriority w:val="98"/>
    <w:semiHidden/>
    <w:rsid w:val="002C15B6"/>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2C15B6"/>
    <w:rPr>
      <w:sz w:val="24"/>
      <w:szCs w:val="24"/>
      <w:lang w:val="pl-PL"/>
    </w:rPr>
  </w:style>
  <w:style w:type="paragraph" w:styleId="Tekstpodstawowywcity3">
    <w:name w:val="Body Text Indent 3"/>
    <w:basedOn w:val="Normalny"/>
    <w:link w:val="Tekstpodstawowywcity3Znak"/>
    <w:uiPriority w:val="98"/>
    <w:semiHidden/>
    <w:rsid w:val="002C15B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2C15B6"/>
    <w:rPr>
      <w:sz w:val="16"/>
      <w:szCs w:val="16"/>
      <w:lang w:val="pl-PL"/>
    </w:rPr>
  </w:style>
  <w:style w:type="paragraph" w:styleId="Legenda">
    <w:name w:val="caption"/>
    <w:basedOn w:val="Normalny"/>
    <w:next w:val="Normalny"/>
    <w:uiPriority w:val="98"/>
    <w:semiHidden/>
    <w:qFormat/>
    <w:rsid w:val="002C15B6"/>
    <w:pPr>
      <w:spacing w:after="200"/>
    </w:pPr>
    <w:rPr>
      <w:b/>
      <w:bCs/>
      <w:color w:val="0072BC" w:themeColor="accent1"/>
      <w:sz w:val="18"/>
      <w:szCs w:val="18"/>
    </w:rPr>
  </w:style>
  <w:style w:type="paragraph" w:styleId="Zwrotpoegnalny">
    <w:name w:val="Closing"/>
    <w:basedOn w:val="Normalny"/>
    <w:link w:val="ZwrotpoegnalnyZnak"/>
    <w:uiPriority w:val="98"/>
    <w:semiHidden/>
    <w:rsid w:val="002C15B6"/>
    <w:pPr>
      <w:ind w:left="4252"/>
    </w:pPr>
  </w:style>
  <w:style w:type="character" w:customStyle="1" w:styleId="ZwrotpoegnalnyZnak">
    <w:name w:val="Zwrot pożegnalny Znak"/>
    <w:basedOn w:val="Domylnaczcionkaakapitu"/>
    <w:link w:val="Zwrotpoegnalny"/>
    <w:uiPriority w:val="98"/>
    <w:semiHidden/>
    <w:rsid w:val="002C15B6"/>
    <w:rPr>
      <w:sz w:val="24"/>
      <w:szCs w:val="24"/>
      <w:lang w:val="pl-PL"/>
    </w:rPr>
  </w:style>
  <w:style w:type="table" w:styleId="Kolorowasiatka">
    <w:name w:val="Colorful Grid"/>
    <w:basedOn w:val="Standardowy"/>
    <w:uiPriority w:val="73"/>
    <w:semiHidden/>
    <w:rsid w:val="002C15B6"/>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2C15B6"/>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2C15B6"/>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2C15B6"/>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Kolorowasiatkaakcent4">
    <w:name w:val="Colorful Grid Accent 4"/>
    <w:basedOn w:val="Standardowy"/>
    <w:uiPriority w:val="73"/>
    <w:semiHidden/>
    <w:rsid w:val="002C15B6"/>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2C15B6"/>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2C15B6"/>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2C15B6"/>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2C15B6"/>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2C15B6"/>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2C15B6"/>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Kolorowalistaakcent4">
    <w:name w:val="Colorful List Accent 4"/>
    <w:basedOn w:val="Standardowy"/>
    <w:uiPriority w:val="72"/>
    <w:semiHidden/>
    <w:rsid w:val="002C15B6"/>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2C15B6"/>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2C15B6"/>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2C15B6"/>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2C15B6"/>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2C15B6"/>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2C15B6"/>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Kolorowecieniowanieakcent4">
    <w:name w:val="Colorful Shading Accent 4"/>
    <w:basedOn w:val="Standardowy"/>
    <w:uiPriority w:val="71"/>
    <w:semiHidden/>
    <w:rsid w:val="002C15B6"/>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2C15B6"/>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2C15B6"/>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2C15B6"/>
    <w:rPr>
      <w:sz w:val="16"/>
      <w:szCs w:val="16"/>
    </w:rPr>
  </w:style>
  <w:style w:type="paragraph" w:styleId="Tekstkomentarza">
    <w:name w:val="annotation text"/>
    <w:basedOn w:val="Normalny"/>
    <w:link w:val="TekstkomentarzaZnak"/>
    <w:uiPriority w:val="98"/>
    <w:semiHidden/>
    <w:rsid w:val="002C15B6"/>
    <w:rPr>
      <w:sz w:val="20"/>
      <w:szCs w:val="20"/>
    </w:rPr>
  </w:style>
  <w:style w:type="character" w:customStyle="1" w:styleId="TekstkomentarzaZnak">
    <w:name w:val="Tekst komentarza Znak"/>
    <w:basedOn w:val="Domylnaczcionkaakapitu"/>
    <w:link w:val="Tekstkomentarza"/>
    <w:uiPriority w:val="98"/>
    <w:semiHidden/>
    <w:rsid w:val="002C15B6"/>
    <w:rPr>
      <w:sz w:val="20"/>
      <w:szCs w:val="20"/>
      <w:lang w:val="pl-PL"/>
    </w:rPr>
  </w:style>
  <w:style w:type="paragraph" w:styleId="Tematkomentarza">
    <w:name w:val="annotation subject"/>
    <w:basedOn w:val="Tekstkomentarza"/>
    <w:next w:val="Tekstkomentarza"/>
    <w:link w:val="TematkomentarzaZnak"/>
    <w:uiPriority w:val="98"/>
    <w:semiHidden/>
    <w:rsid w:val="002C15B6"/>
    <w:rPr>
      <w:b/>
      <w:bCs/>
    </w:rPr>
  </w:style>
  <w:style w:type="character" w:customStyle="1" w:styleId="TematkomentarzaZnak">
    <w:name w:val="Temat komentarza Znak"/>
    <w:basedOn w:val="TekstkomentarzaZnak"/>
    <w:link w:val="Tematkomentarza"/>
    <w:uiPriority w:val="98"/>
    <w:semiHidden/>
    <w:rsid w:val="002C15B6"/>
    <w:rPr>
      <w:b/>
      <w:bCs/>
      <w:sz w:val="20"/>
      <w:szCs w:val="20"/>
      <w:lang w:val="pl-PL"/>
    </w:rPr>
  </w:style>
  <w:style w:type="table" w:styleId="Ciemnalista">
    <w:name w:val="Dark List"/>
    <w:basedOn w:val="Standardowy"/>
    <w:uiPriority w:val="70"/>
    <w:semiHidden/>
    <w:rsid w:val="002C15B6"/>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2C15B6"/>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2C15B6"/>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2C15B6"/>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Ciemnalistaakcent4">
    <w:name w:val="Dark List Accent 4"/>
    <w:basedOn w:val="Standardowy"/>
    <w:uiPriority w:val="70"/>
    <w:semiHidden/>
    <w:rsid w:val="002C15B6"/>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2C15B6"/>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2C15B6"/>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2C15B6"/>
  </w:style>
  <w:style w:type="character" w:customStyle="1" w:styleId="DataZnak">
    <w:name w:val="Data Znak"/>
    <w:basedOn w:val="Domylnaczcionkaakapitu"/>
    <w:link w:val="Data"/>
    <w:uiPriority w:val="98"/>
    <w:semiHidden/>
    <w:rsid w:val="002C15B6"/>
    <w:rPr>
      <w:sz w:val="24"/>
      <w:szCs w:val="24"/>
      <w:lang w:val="pl-PL"/>
    </w:rPr>
  </w:style>
  <w:style w:type="paragraph" w:styleId="Mapadokumentu">
    <w:name w:val="Document Map"/>
    <w:basedOn w:val="Normalny"/>
    <w:link w:val="MapadokumentuZnak"/>
    <w:uiPriority w:val="98"/>
    <w:semiHidden/>
    <w:rsid w:val="002C15B6"/>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2C15B6"/>
    <w:rPr>
      <w:rFonts w:ascii="Tahoma" w:hAnsi="Tahoma" w:cs="Tahoma"/>
      <w:sz w:val="16"/>
      <w:szCs w:val="16"/>
      <w:lang w:val="pl-PL"/>
    </w:rPr>
  </w:style>
  <w:style w:type="paragraph" w:styleId="Podpise-mail">
    <w:name w:val="E-mail Signature"/>
    <w:basedOn w:val="Normalny"/>
    <w:link w:val="Podpise-mailZnak"/>
    <w:uiPriority w:val="98"/>
    <w:semiHidden/>
    <w:rsid w:val="002C15B6"/>
  </w:style>
  <w:style w:type="character" w:customStyle="1" w:styleId="Podpise-mailZnak">
    <w:name w:val="Podpis e-mail Znak"/>
    <w:basedOn w:val="Domylnaczcionkaakapitu"/>
    <w:link w:val="Podpise-mail"/>
    <w:uiPriority w:val="98"/>
    <w:semiHidden/>
    <w:rsid w:val="002C15B6"/>
    <w:rPr>
      <w:sz w:val="24"/>
      <w:szCs w:val="24"/>
      <w:lang w:val="pl-PL"/>
    </w:rPr>
  </w:style>
  <w:style w:type="character" w:styleId="Odwoanieprzypisukocowego">
    <w:name w:val="endnote reference"/>
    <w:basedOn w:val="Domylnaczcionkaakapitu"/>
    <w:uiPriority w:val="98"/>
    <w:semiHidden/>
    <w:rsid w:val="002C15B6"/>
    <w:rPr>
      <w:vertAlign w:val="superscript"/>
    </w:rPr>
  </w:style>
  <w:style w:type="paragraph" w:styleId="Tekstprzypisukocowego">
    <w:name w:val="endnote text"/>
    <w:basedOn w:val="Normalny"/>
    <w:link w:val="TekstprzypisukocowegoZnak"/>
    <w:uiPriority w:val="98"/>
    <w:semiHidden/>
    <w:rsid w:val="002C15B6"/>
    <w:rPr>
      <w:sz w:val="20"/>
      <w:szCs w:val="20"/>
    </w:rPr>
  </w:style>
  <w:style w:type="character" w:customStyle="1" w:styleId="TekstprzypisukocowegoZnak">
    <w:name w:val="Tekst przypisu końcowego Znak"/>
    <w:basedOn w:val="Domylnaczcionkaakapitu"/>
    <w:link w:val="Tekstprzypisukocowego"/>
    <w:uiPriority w:val="98"/>
    <w:semiHidden/>
    <w:rsid w:val="002C15B6"/>
    <w:rPr>
      <w:sz w:val="20"/>
      <w:szCs w:val="20"/>
      <w:lang w:val="pl-PL"/>
    </w:rPr>
  </w:style>
  <w:style w:type="paragraph" w:styleId="Adresnakopercie">
    <w:name w:val="envelope address"/>
    <w:basedOn w:val="Normalny"/>
    <w:uiPriority w:val="98"/>
    <w:semiHidden/>
    <w:rsid w:val="002C15B6"/>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2C15B6"/>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2C15B6"/>
    <w:rPr>
      <w:color w:val="7030A0" w:themeColor="followedHyperlink"/>
      <w:u w:val="single"/>
    </w:rPr>
  </w:style>
  <w:style w:type="character" w:styleId="HTML-akronim">
    <w:name w:val="HTML Acronym"/>
    <w:basedOn w:val="Domylnaczcionkaakapitu"/>
    <w:uiPriority w:val="98"/>
    <w:semiHidden/>
    <w:rsid w:val="002C15B6"/>
  </w:style>
  <w:style w:type="paragraph" w:styleId="HTML-adres">
    <w:name w:val="HTML Address"/>
    <w:basedOn w:val="Normalny"/>
    <w:link w:val="HTML-adresZnak"/>
    <w:uiPriority w:val="98"/>
    <w:semiHidden/>
    <w:rsid w:val="002C15B6"/>
    <w:rPr>
      <w:i/>
      <w:iCs/>
    </w:rPr>
  </w:style>
  <w:style w:type="character" w:customStyle="1" w:styleId="HTML-adresZnak">
    <w:name w:val="HTML - adres Znak"/>
    <w:basedOn w:val="Domylnaczcionkaakapitu"/>
    <w:link w:val="HTML-adres"/>
    <w:uiPriority w:val="98"/>
    <w:semiHidden/>
    <w:rsid w:val="002C15B6"/>
    <w:rPr>
      <w:i/>
      <w:iCs/>
      <w:sz w:val="24"/>
      <w:szCs w:val="24"/>
      <w:lang w:val="pl-PL"/>
    </w:rPr>
  </w:style>
  <w:style w:type="character" w:styleId="HTML-cytat">
    <w:name w:val="HTML Cite"/>
    <w:basedOn w:val="Domylnaczcionkaakapitu"/>
    <w:uiPriority w:val="98"/>
    <w:semiHidden/>
    <w:rsid w:val="002C15B6"/>
    <w:rPr>
      <w:i/>
      <w:iCs/>
    </w:rPr>
  </w:style>
  <w:style w:type="character" w:styleId="HTML-kod">
    <w:name w:val="HTML Code"/>
    <w:basedOn w:val="Domylnaczcionkaakapitu"/>
    <w:uiPriority w:val="98"/>
    <w:semiHidden/>
    <w:rsid w:val="002C15B6"/>
    <w:rPr>
      <w:rFonts w:ascii="Consolas" w:hAnsi="Consolas" w:cs="Consolas"/>
      <w:sz w:val="20"/>
      <w:szCs w:val="20"/>
    </w:rPr>
  </w:style>
  <w:style w:type="character" w:styleId="HTML-definicja">
    <w:name w:val="HTML Definition"/>
    <w:basedOn w:val="Domylnaczcionkaakapitu"/>
    <w:uiPriority w:val="98"/>
    <w:semiHidden/>
    <w:rsid w:val="002C15B6"/>
    <w:rPr>
      <w:i/>
      <w:iCs/>
    </w:rPr>
  </w:style>
  <w:style w:type="character" w:styleId="HTML-klawiatura">
    <w:name w:val="HTML Keyboard"/>
    <w:basedOn w:val="Domylnaczcionkaakapitu"/>
    <w:uiPriority w:val="98"/>
    <w:semiHidden/>
    <w:rsid w:val="002C15B6"/>
    <w:rPr>
      <w:rFonts w:ascii="Consolas" w:hAnsi="Consolas" w:cs="Consolas"/>
      <w:sz w:val="20"/>
      <w:szCs w:val="20"/>
    </w:rPr>
  </w:style>
  <w:style w:type="paragraph" w:styleId="HTML-wstpniesformatowany">
    <w:name w:val="HTML Preformatted"/>
    <w:basedOn w:val="Normalny"/>
    <w:link w:val="HTML-wstpniesformatowanyZnak"/>
    <w:uiPriority w:val="98"/>
    <w:semiHidden/>
    <w:rsid w:val="002C15B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2C15B6"/>
    <w:rPr>
      <w:rFonts w:ascii="Consolas" w:hAnsi="Consolas" w:cs="Consolas"/>
      <w:sz w:val="20"/>
      <w:szCs w:val="20"/>
      <w:lang w:val="pl-PL"/>
    </w:rPr>
  </w:style>
  <w:style w:type="character" w:styleId="HTML-przykad">
    <w:name w:val="HTML Sample"/>
    <w:basedOn w:val="Domylnaczcionkaakapitu"/>
    <w:uiPriority w:val="98"/>
    <w:semiHidden/>
    <w:rsid w:val="002C15B6"/>
    <w:rPr>
      <w:rFonts w:ascii="Consolas" w:hAnsi="Consolas" w:cs="Consolas"/>
      <w:sz w:val="24"/>
      <w:szCs w:val="24"/>
    </w:rPr>
  </w:style>
  <w:style w:type="character" w:styleId="HTML-staaszeroko">
    <w:name w:val="HTML Typewriter"/>
    <w:basedOn w:val="Domylnaczcionkaakapitu"/>
    <w:uiPriority w:val="98"/>
    <w:semiHidden/>
    <w:rsid w:val="002C15B6"/>
    <w:rPr>
      <w:rFonts w:ascii="Consolas" w:hAnsi="Consolas" w:cs="Consolas"/>
      <w:sz w:val="20"/>
      <w:szCs w:val="20"/>
    </w:rPr>
  </w:style>
  <w:style w:type="character" w:styleId="HTML-zmienna">
    <w:name w:val="HTML Variable"/>
    <w:basedOn w:val="Domylnaczcionkaakapitu"/>
    <w:uiPriority w:val="98"/>
    <w:semiHidden/>
    <w:rsid w:val="002C15B6"/>
    <w:rPr>
      <w:i/>
      <w:iCs/>
    </w:rPr>
  </w:style>
  <w:style w:type="paragraph" w:styleId="Indeks1">
    <w:name w:val="index 1"/>
    <w:basedOn w:val="Normalny"/>
    <w:next w:val="Normalny"/>
    <w:autoRedefine/>
    <w:uiPriority w:val="98"/>
    <w:semiHidden/>
    <w:rsid w:val="002C15B6"/>
    <w:pPr>
      <w:ind w:left="240" w:hanging="240"/>
    </w:pPr>
  </w:style>
  <w:style w:type="paragraph" w:styleId="Indeks2">
    <w:name w:val="index 2"/>
    <w:basedOn w:val="Normalny"/>
    <w:next w:val="Normalny"/>
    <w:autoRedefine/>
    <w:uiPriority w:val="98"/>
    <w:semiHidden/>
    <w:rsid w:val="002C15B6"/>
    <w:pPr>
      <w:ind w:left="480" w:hanging="240"/>
    </w:pPr>
  </w:style>
  <w:style w:type="paragraph" w:styleId="Indeks3">
    <w:name w:val="index 3"/>
    <w:basedOn w:val="Normalny"/>
    <w:next w:val="Normalny"/>
    <w:autoRedefine/>
    <w:uiPriority w:val="98"/>
    <w:semiHidden/>
    <w:rsid w:val="002C15B6"/>
    <w:pPr>
      <w:ind w:left="720" w:hanging="240"/>
    </w:pPr>
  </w:style>
  <w:style w:type="paragraph" w:styleId="Indeks4">
    <w:name w:val="index 4"/>
    <w:basedOn w:val="Normalny"/>
    <w:next w:val="Normalny"/>
    <w:autoRedefine/>
    <w:uiPriority w:val="98"/>
    <w:semiHidden/>
    <w:rsid w:val="002C15B6"/>
    <w:pPr>
      <w:ind w:left="960" w:hanging="240"/>
    </w:pPr>
  </w:style>
  <w:style w:type="paragraph" w:styleId="Indeks5">
    <w:name w:val="index 5"/>
    <w:basedOn w:val="Normalny"/>
    <w:next w:val="Normalny"/>
    <w:autoRedefine/>
    <w:uiPriority w:val="98"/>
    <w:semiHidden/>
    <w:rsid w:val="002C15B6"/>
    <w:pPr>
      <w:ind w:left="1200" w:hanging="240"/>
    </w:pPr>
  </w:style>
  <w:style w:type="paragraph" w:styleId="Indeks6">
    <w:name w:val="index 6"/>
    <w:basedOn w:val="Normalny"/>
    <w:next w:val="Normalny"/>
    <w:autoRedefine/>
    <w:uiPriority w:val="98"/>
    <w:semiHidden/>
    <w:rsid w:val="002C15B6"/>
    <w:pPr>
      <w:ind w:left="1440" w:hanging="240"/>
    </w:pPr>
  </w:style>
  <w:style w:type="paragraph" w:styleId="Indeks7">
    <w:name w:val="index 7"/>
    <w:basedOn w:val="Normalny"/>
    <w:next w:val="Normalny"/>
    <w:autoRedefine/>
    <w:uiPriority w:val="98"/>
    <w:semiHidden/>
    <w:rsid w:val="002C15B6"/>
    <w:pPr>
      <w:ind w:left="1680" w:hanging="240"/>
    </w:pPr>
  </w:style>
  <w:style w:type="paragraph" w:styleId="Indeks8">
    <w:name w:val="index 8"/>
    <w:basedOn w:val="Normalny"/>
    <w:next w:val="Normalny"/>
    <w:autoRedefine/>
    <w:uiPriority w:val="98"/>
    <w:semiHidden/>
    <w:rsid w:val="002C15B6"/>
    <w:pPr>
      <w:ind w:left="1920" w:hanging="240"/>
    </w:pPr>
  </w:style>
  <w:style w:type="paragraph" w:styleId="Indeks9">
    <w:name w:val="index 9"/>
    <w:basedOn w:val="Normalny"/>
    <w:next w:val="Normalny"/>
    <w:autoRedefine/>
    <w:uiPriority w:val="98"/>
    <w:semiHidden/>
    <w:rsid w:val="002C15B6"/>
    <w:pPr>
      <w:ind w:left="2160" w:hanging="240"/>
    </w:pPr>
  </w:style>
  <w:style w:type="paragraph" w:styleId="Nagwekindeksu">
    <w:name w:val="index heading"/>
    <w:basedOn w:val="Normalny"/>
    <w:next w:val="Indeks1"/>
    <w:uiPriority w:val="98"/>
    <w:semiHidden/>
    <w:rsid w:val="002C15B6"/>
    <w:rPr>
      <w:rFonts w:asciiTheme="majorHAnsi" w:eastAsiaTheme="majorEastAsia" w:hAnsiTheme="majorHAnsi" w:cstheme="majorBidi"/>
      <w:b/>
      <w:bCs/>
    </w:rPr>
  </w:style>
  <w:style w:type="table" w:styleId="Jasnasiatka">
    <w:name w:val="Light Grid"/>
    <w:basedOn w:val="Standardowy"/>
    <w:uiPriority w:val="62"/>
    <w:semiHidden/>
    <w:rsid w:val="002C15B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2C15B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2C15B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2C15B6"/>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Jasnasiatkaakcent4">
    <w:name w:val="Light Grid Accent 4"/>
    <w:basedOn w:val="Standardowy"/>
    <w:uiPriority w:val="62"/>
    <w:semiHidden/>
    <w:rsid w:val="002C15B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2C15B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2C15B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2C15B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2C15B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2C15B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2C15B6"/>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Jasnalistaakcent4">
    <w:name w:val="Light List Accent 4"/>
    <w:basedOn w:val="Standardowy"/>
    <w:uiPriority w:val="61"/>
    <w:semiHidden/>
    <w:rsid w:val="002C15B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2C15B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2C15B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2C15B6"/>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2C15B6"/>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2C15B6"/>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2C15B6"/>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Jasnecieniowanieakcent4">
    <w:name w:val="Light Shading Accent 4"/>
    <w:basedOn w:val="Standardowy"/>
    <w:uiPriority w:val="60"/>
    <w:semiHidden/>
    <w:rsid w:val="002C15B6"/>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2C15B6"/>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2C15B6"/>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2C15B6"/>
  </w:style>
  <w:style w:type="paragraph" w:styleId="Lista">
    <w:name w:val="List"/>
    <w:basedOn w:val="Normalny"/>
    <w:uiPriority w:val="98"/>
    <w:semiHidden/>
    <w:rsid w:val="002C15B6"/>
    <w:pPr>
      <w:ind w:left="283" w:hanging="283"/>
      <w:contextualSpacing/>
    </w:pPr>
  </w:style>
  <w:style w:type="paragraph" w:styleId="Lista2">
    <w:name w:val="List 2"/>
    <w:basedOn w:val="Normalny"/>
    <w:uiPriority w:val="98"/>
    <w:semiHidden/>
    <w:rsid w:val="002C15B6"/>
    <w:pPr>
      <w:ind w:left="566" w:hanging="283"/>
      <w:contextualSpacing/>
    </w:pPr>
  </w:style>
  <w:style w:type="paragraph" w:styleId="Lista3">
    <w:name w:val="List 3"/>
    <w:basedOn w:val="Normalny"/>
    <w:uiPriority w:val="98"/>
    <w:semiHidden/>
    <w:rsid w:val="002C15B6"/>
    <w:pPr>
      <w:ind w:left="849" w:hanging="283"/>
      <w:contextualSpacing/>
    </w:pPr>
  </w:style>
  <w:style w:type="paragraph" w:styleId="Lista4">
    <w:name w:val="List 4"/>
    <w:basedOn w:val="Normalny"/>
    <w:uiPriority w:val="98"/>
    <w:semiHidden/>
    <w:rsid w:val="002C15B6"/>
    <w:pPr>
      <w:ind w:left="1132" w:hanging="283"/>
      <w:contextualSpacing/>
    </w:pPr>
  </w:style>
  <w:style w:type="paragraph" w:styleId="Lista5">
    <w:name w:val="List 5"/>
    <w:basedOn w:val="Normalny"/>
    <w:uiPriority w:val="98"/>
    <w:semiHidden/>
    <w:rsid w:val="002C15B6"/>
    <w:pPr>
      <w:ind w:left="1415" w:hanging="283"/>
      <w:contextualSpacing/>
    </w:pPr>
  </w:style>
  <w:style w:type="paragraph" w:styleId="Listapunktowana2">
    <w:name w:val="List Bullet 2"/>
    <w:basedOn w:val="Normalny"/>
    <w:uiPriority w:val="98"/>
    <w:semiHidden/>
    <w:rsid w:val="002C15B6"/>
    <w:pPr>
      <w:numPr>
        <w:numId w:val="7"/>
      </w:numPr>
      <w:contextualSpacing/>
    </w:pPr>
  </w:style>
  <w:style w:type="paragraph" w:styleId="Listapunktowana4">
    <w:name w:val="List Bullet 4"/>
    <w:basedOn w:val="Normalny"/>
    <w:uiPriority w:val="98"/>
    <w:semiHidden/>
    <w:rsid w:val="002C15B6"/>
    <w:pPr>
      <w:numPr>
        <w:numId w:val="9"/>
      </w:numPr>
      <w:contextualSpacing/>
    </w:pPr>
  </w:style>
  <w:style w:type="paragraph" w:styleId="Listapunktowana5">
    <w:name w:val="List Bullet 5"/>
    <w:basedOn w:val="Normalny"/>
    <w:uiPriority w:val="98"/>
    <w:semiHidden/>
    <w:rsid w:val="002C15B6"/>
    <w:pPr>
      <w:numPr>
        <w:numId w:val="10"/>
      </w:numPr>
      <w:contextualSpacing/>
    </w:pPr>
  </w:style>
  <w:style w:type="paragraph" w:styleId="Lista-kontynuacja">
    <w:name w:val="List Continue"/>
    <w:basedOn w:val="Normalny"/>
    <w:uiPriority w:val="98"/>
    <w:semiHidden/>
    <w:rsid w:val="002C15B6"/>
    <w:pPr>
      <w:spacing w:after="120"/>
      <w:ind w:left="283"/>
      <w:contextualSpacing/>
    </w:pPr>
  </w:style>
  <w:style w:type="paragraph" w:styleId="Lista-kontynuacja2">
    <w:name w:val="List Continue 2"/>
    <w:basedOn w:val="Normalny"/>
    <w:uiPriority w:val="98"/>
    <w:semiHidden/>
    <w:rsid w:val="002C15B6"/>
    <w:pPr>
      <w:spacing w:after="120"/>
      <w:ind w:left="566"/>
      <w:contextualSpacing/>
    </w:pPr>
  </w:style>
  <w:style w:type="paragraph" w:styleId="Lista-kontynuacja3">
    <w:name w:val="List Continue 3"/>
    <w:basedOn w:val="Normalny"/>
    <w:uiPriority w:val="98"/>
    <w:semiHidden/>
    <w:rsid w:val="002C15B6"/>
    <w:pPr>
      <w:spacing w:after="120"/>
      <w:ind w:left="849"/>
      <w:contextualSpacing/>
    </w:pPr>
  </w:style>
  <w:style w:type="paragraph" w:styleId="Lista-kontynuacja4">
    <w:name w:val="List Continue 4"/>
    <w:basedOn w:val="Normalny"/>
    <w:uiPriority w:val="98"/>
    <w:semiHidden/>
    <w:rsid w:val="002C15B6"/>
    <w:pPr>
      <w:spacing w:after="120"/>
      <w:ind w:left="1132"/>
      <w:contextualSpacing/>
    </w:pPr>
  </w:style>
  <w:style w:type="paragraph" w:styleId="Lista-kontynuacja5">
    <w:name w:val="List Continue 5"/>
    <w:basedOn w:val="Normalny"/>
    <w:uiPriority w:val="98"/>
    <w:semiHidden/>
    <w:rsid w:val="002C15B6"/>
    <w:pPr>
      <w:spacing w:after="120"/>
      <w:ind w:left="1415"/>
      <w:contextualSpacing/>
    </w:pPr>
  </w:style>
  <w:style w:type="paragraph" w:styleId="Listanumerowana">
    <w:name w:val="List Number"/>
    <w:basedOn w:val="Normalny"/>
    <w:uiPriority w:val="98"/>
    <w:semiHidden/>
    <w:rsid w:val="002C15B6"/>
    <w:pPr>
      <w:numPr>
        <w:numId w:val="11"/>
      </w:numPr>
      <w:contextualSpacing/>
    </w:pPr>
  </w:style>
  <w:style w:type="paragraph" w:styleId="Listanumerowana2">
    <w:name w:val="List Number 2"/>
    <w:basedOn w:val="Normalny"/>
    <w:uiPriority w:val="98"/>
    <w:semiHidden/>
    <w:rsid w:val="002C15B6"/>
    <w:pPr>
      <w:numPr>
        <w:numId w:val="12"/>
      </w:numPr>
      <w:contextualSpacing/>
    </w:pPr>
  </w:style>
  <w:style w:type="paragraph" w:styleId="Listanumerowana3">
    <w:name w:val="List Number 3"/>
    <w:basedOn w:val="Normalny"/>
    <w:uiPriority w:val="98"/>
    <w:semiHidden/>
    <w:rsid w:val="002C15B6"/>
    <w:pPr>
      <w:numPr>
        <w:numId w:val="13"/>
      </w:numPr>
      <w:contextualSpacing/>
    </w:pPr>
  </w:style>
  <w:style w:type="paragraph" w:styleId="Listanumerowana4">
    <w:name w:val="List Number 4"/>
    <w:basedOn w:val="Normalny"/>
    <w:uiPriority w:val="98"/>
    <w:semiHidden/>
    <w:rsid w:val="002C15B6"/>
    <w:pPr>
      <w:numPr>
        <w:numId w:val="14"/>
      </w:numPr>
      <w:contextualSpacing/>
    </w:pPr>
  </w:style>
  <w:style w:type="paragraph" w:styleId="Listanumerowana5">
    <w:name w:val="List Number 5"/>
    <w:basedOn w:val="Normalny"/>
    <w:uiPriority w:val="98"/>
    <w:semiHidden/>
    <w:rsid w:val="002C15B6"/>
    <w:pPr>
      <w:numPr>
        <w:numId w:val="15"/>
      </w:numPr>
      <w:contextualSpacing/>
    </w:pPr>
  </w:style>
  <w:style w:type="paragraph" w:styleId="Tekstmakra">
    <w:name w:val="macro"/>
    <w:link w:val="TekstmakraZnak"/>
    <w:uiPriority w:val="98"/>
    <w:semiHidden/>
    <w:rsid w:val="002C15B6"/>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2C15B6"/>
    <w:rPr>
      <w:rFonts w:ascii="Consolas" w:eastAsiaTheme="minorEastAsia" w:hAnsi="Consolas" w:cs="Consolas"/>
      <w:sz w:val="20"/>
      <w:szCs w:val="20"/>
    </w:rPr>
  </w:style>
  <w:style w:type="table" w:styleId="redniasiatka1">
    <w:name w:val="Medium Grid 1"/>
    <w:basedOn w:val="Standardowy"/>
    <w:uiPriority w:val="67"/>
    <w:semiHidden/>
    <w:rsid w:val="002C15B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2C15B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2C15B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2C15B6"/>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redniasiatka1akcent4">
    <w:name w:val="Medium Grid 1 Accent 4"/>
    <w:basedOn w:val="Standardowy"/>
    <w:uiPriority w:val="67"/>
    <w:semiHidden/>
    <w:rsid w:val="002C15B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2C15B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2C15B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2C15B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semiHidden/>
    <w:rsid w:val="002C15B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semiHidden/>
    <w:rsid w:val="002C15B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semiHidden/>
    <w:rsid w:val="002C15B6"/>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semiHidden/>
    <w:rsid w:val="002C15B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semiHidden/>
    <w:rsid w:val="002C15B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semiHidden/>
    <w:rsid w:val="002C15B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semiHidden/>
    <w:rsid w:val="002C15B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semiHidden/>
    <w:rsid w:val="002C15B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2C15B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2C15B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redniasiatka3akcent4">
    <w:name w:val="Medium Grid 3 Accent 4"/>
    <w:basedOn w:val="Standardowy"/>
    <w:uiPriority w:val="69"/>
    <w:semiHidden/>
    <w:rsid w:val="002C15B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2C15B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2C15B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rednialista1">
    <w:name w:val="Medium List 1"/>
    <w:basedOn w:val="Standardowy"/>
    <w:uiPriority w:val="65"/>
    <w:semiHidden/>
    <w:rsid w:val="002C15B6"/>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2C15B6"/>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2C15B6"/>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2C15B6"/>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rednialista1akcent4">
    <w:name w:val="Medium List 1 Accent 4"/>
    <w:basedOn w:val="Standardowy"/>
    <w:uiPriority w:val="65"/>
    <w:semiHidden/>
    <w:rsid w:val="002C15B6"/>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2C15B6"/>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2C15B6"/>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2C15B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2C15B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2C15B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2C15B6"/>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2C15B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2C15B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2C15B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ecieniowanie1">
    <w:name w:val="Medium Shading 1"/>
    <w:basedOn w:val="Standardowy"/>
    <w:uiPriority w:val="63"/>
    <w:semiHidden/>
    <w:rsid w:val="002C15B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2C15B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2C15B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2C15B6"/>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2C15B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2C15B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2C15B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2C15B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2C15B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2C15B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2C15B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2C15B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2C15B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2C15B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2C15B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2C15B6"/>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2C15B6"/>
    <w:rPr>
      <w:rFonts w:ascii="Times New Roman" w:hAnsi="Times New Roman" w:cs="Times New Roman"/>
    </w:rPr>
  </w:style>
  <w:style w:type="paragraph" w:styleId="Wcicienormalne">
    <w:name w:val="Normal Indent"/>
    <w:basedOn w:val="Normalny"/>
    <w:uiPriority w:val="98"/>
    <w:semiHidden/>
    <w:rsid w:val="002C15B6"/>
    <w:pPr>
      <w:ind w:left="720"/>
    </w:pPr>
  </w:style>
  <w:style w:type="paragraph" w:styleId="Nagweknotatki">
    <w:name w:val="Note Heading"/>
    <w:basedOn w:val="Normalny"/>
    <w:next w:val="Normalny"/>
    <w:link w:val="NagweknotatkiZnak"/>
    <w:uiPriority w:val="98"/>
    <w:semiHidden/>
    <w:rsid w:val="002C15B6"/>
  </w:style>
  <w:style w:type="character" w:customStyle="1" w:styleId="NagweknotatkiZnak">
    <w:name w:val="Nagłówek notatki Znak"/>
    <w:basedOn w:val="Domylnaczcionkaakapitu"/>
    <w:link w:val="Nagweknotatki"/>
    <w:uiPriority w:val="98"/>
    <w:semiHidden/>
    <w:rsid w:val="002C15B6"/>
    <w:rPr>
      <w:sz w:val="24"/>
      <w:szCs w:val="24"/>
      <w:lang w:val="pl-PL"/>
    </w:rPr>
  </w:style>
  <w:style w:type="character" w:styleId="Tekstzastpczy">
    <w:name w:val="Placeholder Text"/>
    <w:basedOn w:val="Domylnaczcionkaakapitu"/>
    <w:uiPriority w:val="98"/>
    <w:semiHidden/>
    <w:rsid w:val="002C15B6"/>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2C15B6"/>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2C15B6"/>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2C15B6"/>
  </w:style>
  <w:style w:type="character" w:customStyle="1" w:styleId="ZwrotgrzecznociowyZnak">
    <w:name w:val="Zwrot grzecznościowy Znak"/>
    <w:basedOn w:val="Domylnaczcionkaakapitu"/>
    <w:link w:val="Zwrotgrzecznociowy"/>
    <w:uiPriority w:val="98"/>
    <w:semiHidden/>
    <w:rsid w:val="002C15B6"/>
    <w:rPr>
      <w:sz w:val="24"/>
      <w:szCs w:val="24"/>
      <w:lang w:val="pl-PL"/>
    </w:rPr>
  </w:style>
  <w:style w:type="paragraph" w:styleId="Podpis">
    <w:name w:val="Signature"/>
    <w:basedOn w:val="Normalny"/>
    <w:link w:val="PodpisZnak"/>
    <w:uiPriority w:val="98"/>
    <w:semiHidden/>
    <w:rsid w:val="002C15B6"/>
    <w:pPr>
      <w:ind w:left="4252"/>
    </w:pPr>
  </w:style>
  <w:style w:type="character" w:customStyle="1" w:styleId="PodpisZnak">
    <w:name w:val="Podpis Znak"/>
    <w:basedOn w:val="Domylnaczcionkaakapitu"/>
    <w:link w:val="Podpis"/>
    <w:uiPriority w:val="98"/>
    <w:semiHidden/>
    <w:rsid w:val="002C15B6"/>
    <w:rPr>
      <w:sz w:val="24"/>
      <w:szCs w:val="24"/>
      <w:lang w:val="pl-PL"/>
    </w:rPr>
  </w:style>
  <w:style w:type="table" w:styleId="Tabela-Efekty3D1">
    <w:name w:val="Table 3D effects 1"/>
    <w:basedOn w:val="Standardowy"/>
    <w:uiPriority w:val="99"/>
    <w:semiHidden/>
    <w:unhideWhenUsed/>
    <w:rsid w:val="002C15B6"/>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2C15B6"/>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2C15B6"/>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2C15B6"/>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2C15B6"/>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2C15B6"/>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2C15B6"/>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2C15B6"/>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2C15B6"/>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2C15B6"/>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2C15B6"/>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2C15B6"/>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2C15B6"/>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2C15B6"/>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2C15B6"/>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2C15B6"/>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2C15B6"/>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2C15B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2C15B6"/>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2C15B6"/>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2C15B6"/>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2C15B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2C15B6"/>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2C15B6"/>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2C15B6"/>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2C15B6"/>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2C15B6"/>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2C15B6"/>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2C15B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2C15B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2C15B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2C15B6"/>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2C15B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2C15B6"/>
    <w:pPr>
      <w:ind w:left="240" w:hanging="240"/>
    </w:pPr>
  </w:style>
  <w:style w:type="paragraph" w:styleId="Spisilustracji">
    <w:name w:val="table of figures"/>
    <w:basedOn w:val="Normalny"/>
    <w:next w:val="Normalny"/>
    <w:uiPriority w:val="98"/>
    <w:semiHidden/>
    <w:rsid w:val="002C15B6"/>
  </w:style>
  <w:style w:type="table" w:styleId="Tabela-Profesjonalny">
    <w:name w:val="Table Professional"/>
    <w:basedOn w:val="Standardowy"/>
    <w:uiPriority w:val="99"/>
    <w:semiHidden/>
    <w:unhideWhenUsed/>
    <w:rsid w:val="002C15B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2C15B6"/>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2C15B6"/>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2C15B6"/>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2C15B6"/>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2C15B6"/>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2C15B6"/>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2C15B6"/>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2C15B6"/>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2C15B6"/>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2C15B6"/>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2C15B6"/>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2C15B6"/>
    <w:pPr>
      <w:spacing w:after="100"/>
      <w:ind w:left="1680"/>
    </w:pPr>
  </w:style>
  <w:style w:type="paragraph" w:styleId="Spistreci9">
    <w:name w:val="toc 9"/>
    <w:basedOn w:val="Normalny"/>
    <w:next w:val="Normalny"/>
    <w:autoRedefine/>
    <w:uiPriority w:val="98"/>
    <w:semiHidden/>
    <w:rsid w:val="002C15B6"/>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2C15B6"/>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C15B6"/>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2C15B6"/>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2C15B6"/>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C15B6"/>
    <w:pPr>
      <w:numPr>
        <w:numId w:val="19"/>
      </w:numPr>
      <w:spacing w:before="60" w:after="60"/>
    </w:pPr>
  </w:style>
  <w:style w:type="paragraph" w:customStyle="1" w:styleId="ECHRBullet2">
    <w:name w:val="ECHR_Bullet_2"/>
    <w:aliases w:val="_Bul_2"/>
    <w:basedOn w:val="ECHRBullet1"/>
    <w:uiPriority w:val="23"/>
    <w:semiHidden/>
    <w:rsid w:val="002C15B6"/>
    <w:pPr>
      <w:numPr>
        <w:ilvl w:val="1"/>
      </w:numPr>
    </w:pPr>
  </w:style>
  <w:style w:type="paragraph" w:customStyle="1" w:styleId="ECHRBullet3">
    <w:name w:val="ECHR_Bullet_3"/>
    <w:aliases w:val="_Bul_3"/>
    <w:basedOn w:val="ECHRBullet2"/>
    <w:uiPriority w:val="23"/>
    <w:semiHidden/>
    <w:rsid w:val="002C15B6"/>
    <w:pPr>
      <w:numPr>
        <w:ilvl w:val="2"/>
      </w:numPr>
    </w:pPr>
  </w:style>
  <w:style w:type="paragraph" w:customStyle="1" w:styleId="ECHRBullet4">
    <w:name w:val="ECHR_Bullet_4"/>
    <w:aliases w:val="_Bul_4"/>
    <w:basedOn w:val="ECHRBullet3"/>
    <w:uiPriority w:val="23"/>
    <w:semiHidden/>
    <w:rsid w:val="002C15B6"/>
    <w:pPr>
      <w:numPr>
        <w:ilvl w:val="3"/>
      </w:numPr>
    </w:pPr>
  </w:style>
  <w:style w:type="paragraph" w:customStyle="1" w:styleId="ECHRConfidential">
    <w:name w:val="ECHR_Confidential"/>
    <w:aliases w:val="_Confidential"/>
    <w:basedOn w:val="Normalny"/>
    <w:next w:val="Normalny"/>
    <w:uiPriority w:val="42"/>
    <w:semiHidden/>
    <w:qFormat/>
    <w:rsid w:val="002C15B6"/>
    <w:pPr>
      <w:jc w:val="right"/>
    </w:pPr>
    <w:rPr>
      <w:color w:val="C00000"/>
      <w:sz w:val="20"/>
    </w:rPr>
  </w:style>
  <w:style w:type="paragraph" w:customStyle="1" w:styleId="ECHRDecisionBody">
    <w:name w:val="ECHR_Decision_Body"/>
    <w:aliases w:val="_Decision_Body"/>
    <w:basedOn w:val="NormalJustified"/>
    <w:uiPriority w:val="54"/>
    <w:semiHidden/>
    <w:rsid w:val="002C15B6"/>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2C15B6"/>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2C15B6"/>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2C15B6"/>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ny"/>
    <w:uiPriority w:val="44"/>
    <w:semiHidden/>
    <w:qFormat/>
    <w:rsid w:val="002C15B6"/>
    <w:pPr>
      <w:jc w:val="right"/>
    </w:pPr>
    <w:rPr>
      <w:sz w:val="20"/>
    </w:rPr>
  </w:style>
  <w:style w:type="paragraph" w:customStyle="1" w:styleId="ECHRHeaderRefIt">
    <w:name w:val="ECHR_Header_Ref_It"/>
    <w:aliases w:val="_Ref_Ital"/>
    <w:basedOn w:val="Normalny"/>
    <w:next w:val="ECHRHeaderDate"/>
    <w:uiPriority w:val="43"/>
    <w:qFormat/>
    <w:rsid w:val="002C15B6"/>
    <w:pPr>
      <w:jc w:val="right"/>
    </w:pPr>
    <w:rPr>
      <w:i/>
      <w:sz w:val="20"/>
    </w:rPr>
  </w:style>
  <w:style w:type="paragraph" w:customStyle="1" w:styleId="ECHRHeading9">
    <w:name w:val="ECHR_Heading_9"/>
    <w:aliases w:val="_Head_9"/>
    <w:basedOn w:val="Nagwek9"/>
    <w:uiPriority w:val="17"/>
    <w:semiHidden/>
    <w:rsid w:val="002C15B6"/>
    <w:pPr>
      <w:keepNext/>
      <w:keepLines/>
      <w:numPr>
        <w:ilvl w:val="8"/>
        <w:numId w:val="21"/>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2C15B6"/>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2C15B6"/>
    <w:pPr>
      <w:numPr>
        <w:numId w:val="20"/>
      </w:numPr>
      <w:spacing w:before="60" w:after="60"/>
    </w:pPr>
  </w:style>
  <w:style w:type="paragraph" w:customStyle="1" w:styleId="ECHRNumberedList2">
    <w:name w:val="ECHR_Numbered_List_2"/>
    <w:aliases w:val="_Num_2"/>
    <w:basedOn w:val="ECHRNumberedList1"/>
    <w:uiPriority w:val="23"/>
    <w:semiHidden/>
    <w:rsid w:val="002C15B6"/>
    <w:pPr>
      <w:numPr>
        <w:ilvl w:val="1"/>
      </w:numPr>
    </w:pPr>
  </w:style>
  <w:style w:type="paragraph" w:customStyle="1" w:styleId="ECHRNumberedList3">
    <w:name w:val="ECHR_Numbered_List_3"/>
    <w:aliases w:val="_Num_3"/>
    <w:basedOn w:val="ECHRNumberedList2"/>
    <w:uiPriority w:val="23"/>
    <w:semiHidden/>
    <w:rsid w:val="002C15B6"/>
    <w:pPr>
      <w:numPr>
        <w:ilvl w:val="2"/>
      </w:numPr>
    </w:pPr>
  </w:style>
  <w:style w:type="paragraph" w:customStyle="1" w:styleId="ECHRParaHanging">
    <w:name w:val="ECHR_Para_Hanging"/>
    <w:aliases w:val="_Hanging"/>
    <w:basedOn w:val="NormalJustified"/>
    <w:uiPriority w:val="8"/>
    <w:semiHidden/>
    <w:qFormat/>
    <w:rsid w:val="002C15B6"/>
    <w:pPr>
      <w:ind w:left="567" w:hanging="567"/>
    </w:pPr>
  </w:style>
  <w:style w:type="paragraph" w:customStyle="1" w:styleId="ECHRParaIndent">
    <w:name w:val="ECHR_Para_Indent"/>
    <w:aliases w:val="_Indent"/>
    <w:basedOn w:val="NormalJustified"/>
    <w:uiPriority w:val="7"/>
    <w:semiHidden/>
    <w:qFormat/>
    <w:rsid w:val="002C15B6"/>
    <w:pPr>
      <w:spacing w:before="120" w:after="120"/>
      <w:ind w:left="284"/>
    </w:pPr>
  </w:style>
  <w:style w:type="character" w:customStyle="1" w:styleId="ECHRRed">
    <w:name w:val="ECHR_Red"/>
    <w:aliases w:val="_Red"/>
    <w:basedOn w:val="Domylnaczcionkaakapitu"/>
    <w:uiPriority w:val="15"/>
    <w:semiHidden/>
    <w:qFormat/>
    <w:rsid w:val="002C15B6"/>
    <w:rPr>
      <w:color w:val="C00000" w:themeColor="accent2"/>
    </w:rPr>
  </w:style>
  <w:style w:type="paragraph" w:customStyle="1" w:styleId="DecList">
    <w:name w:val="Dec_List"/>
    <w:aliases w:val="_List"/>
    <w:basedOn w:val="JuList"/>
    <w:uiPriority w:val="22"/>
    <w:rsid w:val="002C15B6"/>
    <w:pPr>
      <w:numPr>
        <w:numId w:val="0"/>
      </w:numPr>
      <w:ind w:left="284"/>
    </w:pPr>
  </w:style>
  <w:style w:type="table" w:customStyle="1" w:styleId="ECHRTable2">
    <w:name w:val="ECHR_Table_2"/>
    <w:basedOn w:val="Standardowy"/>
    <w:uiPriority w:val="99"/>
    <w:rsid w:val="002C15B6"/>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2C15B6"/>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ny"/>
    <w:next w:val="Normalny"/>
    <w:uiPriority w:val="28"/>
    <w:semiHidden/>
    <w:qFormat/>
    <w:rsid w:val="002C15B6"/>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ny"/>
    <w:next w:val="Normalny"/>
    <w:uiPriority w:val="28"/>
    <w:semiHidden/>
    <w:qFormat/>
    <w:rsid w:val="002C15B6"/>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ny"/>
    <w:next w:val="Normalny"/>
    <w:uiPriority w:val="28"/>
    <w:semiHidden/>
    <w:qFormat/>
    <w:rsid w:val="002C15B6"/>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ny"/>
    <w:next w:val="Normalny"/>
    <w:uiPriority w:val="26"/>
    <w:semiHidden/>
    <w:qFormat/>
    <w:rsid w:val="002C15B6"/>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ny"/>
    <w:next w:val="Normalny"/>
    <w:uiPriority w:val="26"/>
    <w:semiHidden/>
    <w:qFormat/>
    <w:rsid w:val="002C15B6"/>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ny"/>
    <w:next w:val="Normalny"/>
    <w:uiPriority w:val="26"/>
    <w:semiHidden/>
    <w:qFormat/>
    <w:rsid w:val="002C15B6"/>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ny"/>
    <w:uiPriority w:val="25"/>
    <w:semiHidden/>
    <w:qFormat/>
    <w:rsid w:val="002C15B6"/>
    <w:pPr>
      <w:outlineLvl w:val="0"/>
    </w:pPr>
  </w:style>
  <w:style w:type="paragraph" w:customStyle="1" w:styleId="ECHRTitleTOC1">
    <w:name w:val="ECHR_Title_TOC_1"/>
    <w:aliases w:val="_Title_L_TOC"/>
    <w:basedOn w:val="ECHRTitle1"/>
    <w:next w:val="Normalny"/>
    <w:uiPriority w:val="27"/>
    <w:semiHidden/>
    <w:qFormat/>
    <w:rsid w:val="002C15B6"/>
    <w:pPr>
      <w:outlineLvl w:val="0"/>
    </w:pPr>
  </w:style>
  <w:style w:type="paragraph" w:customStyle="1" w:styleId="ECHRPlaceholder">
    <w:name w:val="ECHR_Placeholder"/>
    <w:aliases w:val="_Placeholder"/>
    <w:basedOn w:val="JuSigned"/>
    <w:uiPriority w:val="31"/>
    <w:rsid w:val="002C15B6"/>
    <w:rPr>
      <w:color w:val="FFFFFF"/>
    </w:rPr>
  </w:style>
  <w:style w:type="paragraph" w:customStyle="1" w:styleId="ECHRSpacer">
    <w:name w:val="ECHR_Spacer"/>
    <w:aliases w:val="_Spacer"/>
    <w:basedOn w:val="Normalny"/>
    <w:uiPriority w:val="45"/>
    <w:semiHidden/>
    <w:rsid w:val="002C15B6"/>
    <w:rPr>
      <w:sz w:val="4"/>
    </w:rPr>
  </w:style>
  <w:style w:type="table" w:customStyle="1" w:styleId="ECHRTableGrey">
    <w:name w:val="ECHR_Table_Grey"/>
    <w:basedOn w:val="Standardowy"/>
    <w:uiPriority w:val="99"/>
    <w:rsid w:val="002C15B6"/>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2C15B6"/>
    <w:rPr>
      <w:color w:val="605E5C"/>
      <w:shd w:val="clear" w:color="auto" w:fill="E1DFDD"/>
    </w:rPr>
  </w:style>
  <w:style w:type="character" w:customStyle="1" w:styleId="JuParaChar">
    <w:name w:val="Ju_Para Char"/>
    <w:aliases w:val="_Para Char"/>
    <w:link w:val="JuPara"/>
    <w:uiPriority w:val="4"/>
    <w:qFormat/>
    <w:rsid w:val="00F5142C"/>
    <w:rPr>
      <w:sz w:val="24"/>
      <w:szCs w:val="24"/>
      <w:lang w:val="pl-PL"/>
    </w:rPr>
  </w:style>
  <w:style w:type="table" w:styleId="Tabelasiatki1jasna">
    <w:name w:val="Grid Table 1 Light"/>
    <w:basedOn w:val="Standardowy"/>
    <w:uiPriority w:val="46"/>
    <w:semiHidden/>
    <w:rsid w:val="00F5142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F5142C"/>
    <w:pPr>
      <w:numPr>
        <w:ilvl w:val="0"/>
        <w:numId w:val="0"/>
      </w:numPr>
      <w:tabs>
        <w:tab w:val="num" w:pos="1701"/>
      </w:tabs>
      <w:spacing w:before="60" w:after="60" w:line="240" w:lineRule="exact"/>
      <w:ind w:left="1703" w:hanging="284"/>
      <w:contextualSpacing/>
    </w:pPr>
    <w:rPr>
      <w:sz w:val="22"/>
      <w:lang w:eastAsia="fr-FR"/>
    </w:rPr>
  </w:style>
  <w:style w:type="table" w:styleId="Tabelasiatki1jasnaakcent1">
    <w:name w:val="Grid Table 1 Light Accent 1"/>
    <w:basedOn w:val="Standardowy"/>
    <w:uiPriority w:val="46"/>
    <w:semiHidden/>
    <w:rsid w:val="00F5142C"/>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F5142C"/>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F5142C"/>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F5142C"/>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F5142C"/>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F5142C"/>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F5142C"/>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F5142C"/>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F5142C"/>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F5142C"/>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2akcent4">
    <w:name w:val="Grid Table 2 Accent 4"/>
    <w:basedOn w:val="Standardowy"/>
    <w:uiPriority w:val="47"/>
    <w:semiHidden/>
    <w:rsid w:val="00F5142C"/>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F5142C"/>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F5142C"/>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F5142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F5142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F5142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F5142C"/>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3akcent4">
    <w:name w:val="Grid Table 3 Accent 4"/>
    <w:basedOn w:val="Standardowy"/>
    <w:uiPriority w:val="48"/>
    <w:semiHidden/>
    <w:rsid w:val="00F5142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F5142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F5142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F5142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F5142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F5142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F5142C"/>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4akcent4">
    <w:name w:val="Grid Table 4 Accent 4"/>
    <w:basedOn w:val="Standardowy"/>
    <w:uiPriority w:val="49"/>
    <w:semiHidden/>
    <w:rsid w:val="00F5142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F5142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F5142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F5142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F5142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F5142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F5142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Tabelasiatki5ciemnaakcent4">
    <w:name w:val="Grid Table 5 Dark Accent 4"/>
    <w:basedOn w:val="Standardowy"/>
    <w:uiPriority w:val="50"/>
    <w:semiHidden/>
    <w:rsid w:val="00F5142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F5142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F5142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F5142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F5142C"/>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F5142C"/>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F5142C"/>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6kolorowaakcent4">
    <w:name w:val="Grid Table 6 Colorful Accent 4"/>
    <w:basedOn w:val="Standardowy"/>
    <w:uiPriority w:val="51"/>
    <w:semiHidden/>
    <w:rsid w:val="00F5142C"/>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F5142C"/>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F5142C"/>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F5142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F5142C"/>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F5142C"/>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F5142C"/>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7kolorowaakcent4">
    <w:name w:val="Grid Table 7 Colorful Accent 4"/>
    <w:basedOn w:val="Standardowy"/>
    <w:uiPriority w:val="52"/>
    <w:semiHidden/>
    <w:rsid w:val="00F5142C"/>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F5142C"/>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F5142C"/>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F5142C"/>
    <w:rPr>
      <w:color w:val="2B579A"/>
      <w:shd w:val="clear" w:color="auto" w:fill="E1DFDD"/>
    </w:rPr>
  </w:style>
  <w:style w:type="table" w:styleId="Tabelalisty1jasna">
    <w:name w:val="List Table 1 Light"/>
    <w:basedOn w:val="Standardowy"/>
    <w:uiPriority w:val="46"/>
    <w:semiHidden/>
    <w:rsid w:val="00F5142C"/>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F5142C"/>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F5142C"/>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F5142C"/>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1jasnaakcent4">
    <w:name w:val="List Table 1 Light Accent 4"/>
    <w:basedOn w:val="Standardowy"/>
    <w:uiPriority w:val="46"/>
    <w:semiHidden/>
    <w:rsid w:val="00F5142C"/>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F5142C"/>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F5142C"/>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F5142C"/>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F5142C"/>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F5142C"/>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F5142C"/>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2akcent4">
    <w:name w:val="List Table 2 Accent 4"/>
    <w:basedOn w:val="Standardowy"/>
    <w:uiPriority w:val="47"/>
    <w:semiHidden/>
    <w:rsid w:val="00F5142C"/>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F5142C"/>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F5142C"/>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F5142C"/>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F5142C"/>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F5142C"/>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F5142C"/>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Tabelalisty3akcent4">
    <w:name w:val="List Table 3 Accent 4"/>
    <w:basedOn w:val="Standardowy"/>
    <w:uiPriority w:val="48"/>
    <w:semiHidden/>
    <w:rsid w:val="00F5142C"/>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F5142C"/>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F5142C"/>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F5142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F5142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F5142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F5142C"/>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4akcent4">
    <w:name w:val="List Table 4 Accent 4"/>
    <w:basedOn w:val="Standardowy"/>
    <w:uiPriority w:val="49"/>
    <w:semiHidden/>
    <w:rsid w:val="00F5142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F5142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F5142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F5142C"/>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F5142C"/>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F5142C"/>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F5142C"/>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F5142C"/>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F5142C"/>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F5142C"/>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F5142C"/>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F5142C"/>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F5142C"/>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F5142C"/>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6kolorowaakcent4">
    <w:name w:val="List Table 6 Colorful Accent 4"/>
    <w:basedOn w:val="Standardowy"/>
    <w:uiPriority w:val="51"/>
    <w:semiHidden/>
    <w:rsid w:val="00F5142C"/>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F5142C"/>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F5142C"/>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F5142C"/>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F5142C"/>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F5142C"/>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F5142C"/>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F5142C"/>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F5142C"/>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F5142C"/>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F5142C"/>
    <w:rPr>
      <w:color w:val="2B579A"/>
      <w:shd w:val="clear" w:color="auto" w:fill="E1DFDD"/>
    </w:rPr>
  </w:style>
  <w:style w:type="table" w:styleId="Zwykatabela1">
    <w:name w:val="Plain Table 1"/>
    <w:basedOn w:val="Standardowy"/>
    <w:uiPriority w:val="41"/>
    <w:semiHidden/>
    <w:rsid w:val="00F5142C"/>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2">
    <w:name w:val="Plain Table 2"/>
    <w:basedOn w:val="Standardowy"/>
    <w:uiPriority w:val="42"/>
    <w:semiHidden/>
    <w:rsid w:val="00F5142C"/>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F5142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F5142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5">
    <w:name w:val="Plain Table 5"/>
    <w:basedOn w:val="Standardowy"/>
    <w:uiPriority w:val="45"/>
    <w:semiHidden/>
    <w:rsid w:val="00F5142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F5142C"/>
    <w:rPr>
      <w:u w:val="dotted"/>
    </w:rPr>
  </w:style>
  <w:style w:type="character" w:styleId="Inteligentnylink">
    <w:name w:val="Smart Link"/>
    <w:basedOn w:val="Domylnaczcionkaakapitu"/>
    <w:uiPriority w:val="99"/>
    <w:semiHidden/>
    <w:unhideWhenUsed/>
    <w:rsid w:val="00F5142C"/>
    <w:rPr>
      <w:color w:val="0000FF"/>
      <w:u w:val="single"/>
      <w:shd w:val="clear" w:color="auto" w:fill="F3F2F1"/>
    </w:rPr>
  </w:style>
  <w:style w:type="table" w:styleId="Siatkatabelijasna">
    <w:name w:val="Grid Table Light"/>
    <w:basedOn w:val="Standardowy"/>
    <w:uiPriority w:val="40"/>
    <w:semiHidden/>
    <w:rsid w:val="00F5142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oprawka">
    <w:name w:val="Revision"/>
    <w:hidden/>
    <w:uiPriority w:val="99"/>
    <w:semiHidden/>
    <w:rsid w:val="00F5142C"/>
    <w:rPr>
      <w:sz w:val="24"/>
      <w:szCs w:val="24"/>
    </w:rPr>
  </w:style>
  <w:style w:type="character" w:customStyle="1" w:styleId="JuParaCar">
    <w:name w:val="Ju_Para Car"/>
    <w:basedOn w:val="Domylnaczcionkaakapitu"/>
    <w:rsid w:val="00F5142C"/>
    <w:rPr>
      <w:sz w:val="24"/>
      <w:lang w:val="pl-PL" w:eastAsia="fr-FR"/>
    </w:rPr>
  </w:style>
  <w:style w:type="character" w:customStyle="1" w:styleId="text-dark">
    <w:name w:val="text-dark"/>
    <w:basedOn w:val="Domylnaczcionkaakapitu"/>
    <w:rsid w:val="00F514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coe.int/en/web/venice-commission/-/compilation-of-venice-commission-opinions-and-reports-concerning-courts" TargetMode="External"/><Relationship Id="rId2" Type="http://schemas.openxmlformats.org/officeDocument/2006/relationships/hyperlink" Target="https://rm.coe.int/fourth-evaluation-round-corruption-prevention-in-respect-of-members-of/1680a6ec11" TargetMode="External"/><Relationship Id="rId1" Type="http://schemas.openxmlformats.org/officeDocument/2006/relationships/hyperlink" Target="https://www.coe.int/en/web/commissioner/-/commissioner-calls-on-the-authorities-of-san-marino-to-refrain-from-actions-jeopardising-the-independence-of-the-judiciary"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25758</Words>
  <Characters>154554</Characters>
  <Application>Microsoft Office Word</Application>
  <DocSecurity>0</DocSecurity>
  <Lines>1287</Lines>
  <Paragraphs>359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Company/>
  <LinksUpToDate>false</LinksUpToDate>
  <CharactersWithSpaces>179953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2026-03-26T15:19:00Z</dcterms:created>
  <dcterms:modified xsi:type="dcterms:W3CDTF">2026-04-10T10:41:00Z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2006835</vt:lpwstr>
  </property>
  <property fmtid="{D5CDD505-2E9C-101B-9397-08002B2CF9AE}" pid="3" name="cstLanguage">
    <vt:i4>2057</vt:i4>
  </property>
  <property fmtid="{D5CDD505-2E9C-101B-9397-08002B2CF9AE}" pid="4" name="RegisteredNo">
    <vt:lpwstr>14396/24</vt:lpwstr>
  </property>
</Properties>
</file>