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246BEB" w:rsidR="00B32591" w:rsidP="00246BEB" w14:paraId="0520DFCE" w14:textId="5A4C3B30">
      <w:pPr>
        <w:jc w:val="center"/>
      </w:pPr>
    </w:p>
    <w:p w:rsidRPr="00246BEB" w:rsidR="00B32591" w:rsidP="00246BEB" w14:paraId="59368414" w14:textId="6D1E9A20">
      <w:pPr>
        <w:jc w:val="center"/>
        <w:rPr>
          <w:sz w:val="4"/>
          <w:szCs w:val="4"/>
        </w:rPr>
      </w:pPr>
    </w:p>
    <w:p w:rsidRPr="00246BEB" w:rsidR="00B32591" w:rsidP="00246BEB" w14:paraId="1B75CD7B" w14:textId="429BF992">
      <w:pPr>
        <w:pStyle w:val="DecHTitle"/>
      </w:pPr>
      <w:r w:rsidRPr="00246BEB">
        <w:t>FIRST SECTION</w:t>
      </w:r>
    </w:p>
    <w:p w:rsidRPr="00246BEB" w:rsidR="00B32591" w:rsidP="00246BEB" w14:paraId="1158B5D6" w14:textId="77777777">
      <w:pPr>
        <w:pStyle w:val="DecHTitle"/>
      </w:pPr>
      <w:r w:rsidRPr="00246BEB">
        <w:t>DECISION</w:t>
      </w:r>
    </w:p>
    <w:p w:rsidRPr="00246BEB" w:rsidR="00B32591" w:rsidP="00246BEB" w14:paraId="13449788" w14:textId="36B8B8E4">
      <w:pPr>
        <w:pStyle w:val="DecHCase"/>
        <w:rPr>
          <w:i/>
        </w:rPr>
      </w:pPr>
      <w:r w:rsidRPr="00246BEB">
        <w:t>Application no.</w:t>
      </w:r>
      <w:r w:rsidRPr="00246BEB" w:rsidR="006267D3">
        <w:t xml:space="preserve"> </w:t>
      </w:r>
      <w:r w:rsidRPr="00246BEB">
        <w:t>29761/22</w:t>
      </w:r>
      <w:r w:rsidRPr="00246BEB" w:rsidR="006267D3">
        <w:br/>
      </w:r>
      <w:r w:rsidRPr="00246BEB">
        <w:t xml:space="preserve">Janina </w:t>
      </w:r>
      <w:r w:rsidRPr="00246BEB">
        <w:t>Józefa</w:t>
      </w:r>
      <w:r w:rsidRPr="00246BEB">
        <w:t xml:space="preserve"> SALA </w:t>
      </w:r>
      <w:r w:rsidRPr="00246BEB" w:rsidR="006267D3">
        <w:t xml:space="preserve">against </w:t>
      </w:r>
      <w:r w:rsidRPr="00246BEB">
        <w:t>Poland</w:t>
      </w:r>
      <w:r w:rsidRPr="00246BEB">
        <w:rPr>
          <w:sz w:val="20"/>
          <w:lang w:eastAsia="en-GB"/>
        </w:rPr>
        <w:br/>
      </w:r>
      <w:r w:rsidRPr="00246BEB">
        <w:t xml:space="preserve">and </w:t>
      </w:r>
      <w:r w:rsidRPr="00246BEB" w:rsidR="00931E22">
        <w:t>4</w:t>
      </w:r>
      <w:r w:rsidRPr="00246BEB">
        <w:t xml:space="preserve"> other applications</w:t>
      </w:r>
      <w:r w:rsidRPr="00246BEB">
        <w:br/>
        <w:t>(see list appended)</w:t>
      </w:r>
    </w:p>
    <w:p w:rsidRPr="00246BEB" w:rsidR="00B32591" w:rsidP="00246BEB" w14:paraId="4975E624" w14:textId="0E6EEC9B">
      <w:pPr>
        <w:rPr>
          <w:sz w:val="2"/>
          <w:szCs w:val="2"/>
        </w:rPr>
      </w:pPr>
    </w:p>
    <w:p w:rsidRPr="00246BEB" w:rsidR="00D06541" w:rsidP="00246BEB" w14:paraId="4B0AD396" w14:textId="6E86DC3B">
      <w:pPr>
        <w:pStyle w:val="JuPara"/>
      </w:pPr>
      <w:r w:rsidRPr="00246BEB">
        <w:t xml:space="preserve">The European Court of Human Rights (First Section), sitting on </w:t>
      </w:r>
      <w:r w:rsidRPr="00246BEB" w:rsidR="00931E22">
        <w:t>22 January 2026</w:t>
      </w:r>
      <w:r w:rsidRPr="00246BEB">
        <w:t xml:space="preserve"> as a Committee composed of:</w:t>
      </w:r>
    </w:p>
    <w:p w:rsidRPr="00246BEB" w:rsidR="00D06541" w:rsidP="00246BEB" w14:paraId="7963F988" w14:textId="78E8A7AC">
      <w:pPr>
        <w:pStyle w:val="JuJudges"/>
      </w:pPr>
      <w:r w:rsidRPr="00246BEB">
        <w:tab/>
        <w:t xml:space="preserve">Davor </w:t>
      </w:r>
      <w:r w:rsidRPr="00246BEB">
        <w:t>Derenčinović</w:t>
      </w:r>
      <w:r w:rsidRPr="00246BEB">
        <w:rPr>
          <w:i/>
        </w:rPr>
        <w:t>, President</w:t>
      </w:r>
      <w:r w:rsidRPr="00246BEB">
        <w:t>,</w:t>
      </w:r>
      <w:r w:rsidRPr="00246BEB">
        <w:br/>
      </w:r>
      <w:r w:rsidRPr="00246BEB">
        <w:tab/>
      </w:r>
      <w:r w:rsidRPr="00246BEB">
        <w:t>Artūrs</w:t>
      </w:r>
      <w:r w:rsidRPr="00246BEB">
        <w:t xml:space="preserve"> </w:t>
      </w:r>
      <w:r w:rsidRPr="00246BEB">
        <w:t>Kučs</w:t>
      </w:r>
      <w:r w:rsidRPr="00246BEB">
        <w:t>,</w:t>
      </w:r>
      <w:r w:rsidRPr="00246BEB">
        <w:br/>
      </w:r>
      <w:r w:rsidRPr="00246BEB">
        <w:tab/>
        <w:t>Anna Adamska-Gallant</w:t>
      </w:r>
      <w:r w:rsidRPr="00246BEB">
        <w:rPr>
          <w:i/>
        </w:rPr>
        <w:t>, judges</w:t>
      </w:r>
      <w:r w:rsidRPr="00246BEB">
        <w:t>,</w:t>
      </w:r>
    </w:p>
    <w:p w:rsidRPr="00246BEB" w:rsidR="00D06541" w:rsidP="00246BEB" w14:paraId="0B68C0A8" w14:textId="77777777">
      <w:pPr>
        <w:pStyle w:val="JuPara"/>
      </w:pPr>
      <w:r w:rsidRPr="00246BEB">
        <w:t xml:space="preserve">and Liv Tigerstedt, </w:t>
      </w:r>
      <w:r w:rsidRPr="00246BEB">
        <w:rPr>
          <w:i/>
        </w:rPr>
        <w:t xml:space="preserve">Deputy </w:t>
      </w:r>
      <w:r w:rsidRPr="00246BEB">
        <w:rPr>
          <w:i/>
          <w:iCs/>
        </w:rPr>
        <w:t>Section Registrar</w:t>
      </w:r>
      <w:r w:rsidRPr="00246BEB">
        <w:rPr>
          <w:i/>
        </w:rPr>
        <w:t>,</w:t>
      </w:r>
    </w:p>
    <w:p w:rsidRPr="00246BEB" w:rsidR="00D06541" w:rsidP="00246BEB" w14:paraId="4CB3B663" w14:textId="77777777">
      <w:pPr>
        <w:pStyle w:val="JuPara"/>
      </w:pPr>
      <w:r w:rsidRPr="00246BEB">
        <w:t xml:space="preserve">Having regard to the applications lodged on </w:t>
      </w:r>
      <w:r w:rsidRPr="00246BEB">
        <w:rPr>
          <w:rFonts w:eastAsia="PMingLiU"/>
        </w:rPr>
        <w:t>the various dates indicated in the appended table</w:t>
      </w:r>
      <w:r w:rsidRPr="00246BEB">
        <w:t>,</w:t>
      </w:r>
    </w:p>
    <w:p w:rsidRPr="00246BEB" w:rsidR="00D06541" w:rsidP="00246BEB" w14:paraId="2568C723" w14:textId="77777777">
      <w:pPr>
        <w:pStyle w:val="JuPara"/>
      </w:pPr>
      <w:r w:rsidRPr="00246BEB">
        <w:t>Having regard to the observations submitted by the respondent Government and the observations in reply submitted by the applicants,</w:t>
      </w:r>
    </w:p>
    <w:p w:rsidRPr="00246BEB" w:rsidR="00D06541" w:rsidP="00246BEB" w14:paraId="3FAC5505" w14:textId="77777777">
      <w:pPr>
        <w:pStyle w:val="JuPara"/>
      </w:pPr>
      <w:r w:rsidRPr="00246BEB">
        <w:t>Having deliberated, decides as follows:</w:t>
      </w:r>
    </w:p>
    <w:p w:rsidRPr="00246BEB" w:rsidR="00D06541" w:rsidP="00246BEB" w14:paraId="51466959" w14:textId="77777777">
      <w:pPr>
        <w:pStyle w:val="JuHHead"/>
      </w:pPr>
      <w:r w:rsidRPr="00246BEB">
        <w:t>FACTS AND PROCEEDINGS</w:t>
      </w:r>
    </w:p>
    <w:p w:rsidRPr="00246BEB" w:rsidR="00D06541" w:rsidP="00246BEB" w14:paraId="15444E95" w14:textId="7AC7BC71">
      <w:pPr>
        <w:pStyle w:val="JuPara"/>
      </w:pPr>
      <w:r>
        <w:fldChar w:fldCharType="begin"/>
      </w:r>
      <w:r>
        <w:instrText xml:space="preserve"> SEQ level0 \*arabic \* MERGEFORMAT </w:instrText>
      </w:r>
      <w:r>
        <w:fldChar w:fldCharType="separate"/>
      </w:r>
      <w:r w:rsidRPr="00246BEB" w:rsidR="00246BEB">
        <w:rPr>
          <w:noProof/>
        </w:rPr>
        <w:t>1</w:t>
      </w:r>
      <w:r w:rsidRPr="00246BEB" w:rsidR="00246BEB">
        <w:rPr>
          <w:noProof/>
        </w:rPr>
        <w:fldChar w:fldCharType="end"/>
      </w:r>
      <w:r w:rsidRPr="00246BEB">
        <w:t>.  A list of the applicants is set out in the appended table.</w:t>
      </w:r>
    </w:p>
    <w:p w:rsidRPr="00246BEB" w:rsidR="00D06541" w:rsidP="00246BEB" w14:paraId="78875609" w14:textId="6A583481">
      <w:pPr>
        <w:pStyle w:val="JuPara"/>
      </w:pPr>
      <w:r>
        <w:fldChar w:fldCharType="begin"/>
      </w:r>
      <w:r>
        <w:instrText xml:space="preserve"> SEQ level0 \*arabic \* MERGEFORMAT </w:instrText>
      </w:r>
      <w:r>
        <w:fldChar w:fldCharType="separate"/>
      </w:r>
      <w:r w:rsidRPr="00246BEB" w:rsidR="00246BEB">
        <w:rPr>
          <w:noProof/>
        </w:rPr>
        <w:t>2</w:t>
      </w:r>
      <w:r w:rsidRPr="00246BEB" w:rsidR="00246BEB">
        <w:rPr>
          <w:noProof/>
        </w:rPr>
        <w:fldChar w:fldCharType="end"/>
      </w:r>
      <w:r w:rsidRPr="00246BEB">
        <w:t>.  The Polish Government (“the Government”) were represented by their Agent, Ms A. Kozi</w:t>
      </w:r>
      <w:r w:rsidRPr="00246BEB">
        <w:rPr>
          <w:rFonts w:cstheme="minorHAnsi"/>
        </w:rPr>
        <w:t>ń</w:t>
      </w:r>
      <w:r w:rsidRPr="00246BEB">
        <w:t>ska-Makowska of the Ministry of Foreign Affairs.</w:t>
      </w:r>
    </w:p>
    <w:p w:rsidRPr="00246BEB" w:rsidR="00D06541" w:rsidP="00246BEB" w14:paraId="7AFC820A" w14:textId="59011181">
      <w:pPr>
        <w:pStyle w:val="JuPara"/>
      </w:pPr>
      <w:r>
        <w:fldChar w:fldCharType="begin"/>
      </w:r>
      <w:r>
        <w:instrText xml:space="preserve"> SEQ level0 \*arabic \* MERGEFORMAT </w:instrText>
      </w:r>
      <w:r>
        <w:fldChar w:fldCharType="separate"/>
      </w:r>
      <w:r w:rsidRPr="00246BEB" w:rsidR="00246BEB">
        <w:rPr>
          <w:noProof/>
        </w:rPr>
        <w:t>3</w:t>
      </w:r>
      <w:r w:rsidRPr="00246BEB" w:rsidR="00246BEB">
        <w:rPr>
          <w:noProof/>
        </w:rPr>
        <w:fldChar w:fldCharType="end"/>
      </w:r>
      <w:r w:rsidRPr="00246BEB">
        <w:t>.  The facts of the case, as submitted by the parties, may be summarised as follows.</w:t>
      </w:r>
    </w:p>
    <w:p w:rsidRPr="00246BEB" w:rsidR="00D06541" w:rsidP="00246BEB" w14:paraId="415A143D" w14:textId="3E3267B8">
      <w:pPr>
        <w:pStyle w:val="JuPara"/>
      </w:pPr>
      <w:r>
        <w:fldChar w:fldCharType="begin"/>
      </w:r>
      <w:r>
        <w:instrText xml:space="preserve"> SEQ level0 \*arabic \* MERGEFORMAT </w:instrText>
      </w:r>
      <w:r>
        <w:fldChar w:fldCharType="separate"/>
      </w:r>
      <w:r w:rsidRPr="00246BEB" w:rsidR="00246BEB">
        <w:rPr>
          <w:noProof/>
        </w:rPr>
        <w:t>4</w:t>
      </w:r>
      <w:r w:rsidRPr="00246BEB" w:rsidR="00246BEB">
        <w:rPr>
          <w:noProof/>
        </w:rPr>
        <w:fldChar w:fldCharType="end"/>
      </w:r>
      <w:r w:rsidRPr="00246BEB">
        <w:t>.  All applicants are former public servants who have retired from the uniformed services. The present applications concern reductions in their pension entitlements.</w:t>
      </w:r>
    </w:p>
    <w:p w:rsidRPr="00246BEB" w:rsidR="00D06541" w:rsidP="00246BEB" w14:paraId="0F9B6319" w14:textId="43C88951">
      <w:pPr>
        <w:pStyle w:val="JuPara"/>
      </w:pPr>
      <w:r>
        <w:fldChar w:fldCharType="begin"/>
      </w:r>
      <w:r>
        <w:instrText xml:space="preserve"> SEQ level0 \*arabic \* MERGEFORMAT </w:instrText>
      </w:r>
      <w:r>
        <w:fldChar w:fldCharType="separate"/>
      </w:r>
      <w:r w:rsidRPr="00246BEB" w:rsidR="00246BEB">
        <w:rPr>
          <w:noProof/>
        </w:rPr>
        <w:t>5</w:t>
      </w:r>
      <w:r w:rsidRPr="00246BEB" w:rsidR="00246BEB">
        <w:rPr>
          <w:noProof/>
        </w:rPr>
        <w:fldChar w:fldCharType="end"/>
      </w:r>
      <w:r w:rsidRPr="00246BEB">
        <w:t>.  In 2017, following the entry into force of amendments of 16</w:t>
      </w:r>
      <w:r w:rsidRPr="00246BEB" w:rsidR="000C467F">
        <w:t> </w:t>
      </w:r>
      <w:r w:rsidRPr="00246BEB">
        <w:t xml:space="preserve">December 2016 (“the 2016 Act”) to the Law of 18 February 1994 on the retirement pensions of public servants in the police force, the Internal Security Agency, the Intelligence Agency, the </w:t>
      </w:r>
      <w:r w:rsidRPr="00246BEB">
        <w:t>Military Counter</w:t>
      </w:r>
      <w:r w:rsidRPr="00246BEB">
        <w:noBreakHyphen/>
        <w:t>Intelligence Service, the Military Intelligence Service, the Central Anti</w:t>
      </w:r>
      <w:r w:rsidRPr="00246BEB">
        <w:noBreakHyphen/>
        <w:t xml:space="preserve">Corruption Bureau, the Border Guard, the Government Protection Bureau, the State Fire Service, the Prison Service and their families (“the 1994 Act”, see paragraph </w:t>
      </w:r>
      <w:r w:rsidRPr="00246BEB">
        <w:fldChar w:fldCharType="begin"/>
      </w:r>
      <w:r w:rsidRPr="00246BEB">
        <w:instrText xml:space="preserve"> REF the2016act \h </w:instrText>
      </w:r>
      <w:r w:rsidRPr="00246BEB">
        <w:fldChar w:fldCharType="separate"/>
      </w:r>
      <w:r w:rsidRPr="00246BEB" w:rsidR="00246BEB">
        <w:rPr>
          <w:noProof/>
        </w:rPr>
        <w:t>14</w:t>
      </w:r>
      <w:r w:rsidRPr="00246BEB">
        <w:fldChar w:fldCharType="end"/>
      </w:r>
      <w:bookmarkStart w:name="OLE_LINK3" w:id="0"/>
      <w:bookmarkEnd w:id="0"/>
      <w:r w:rsidRPr="00246BEB">
        <w:t xml:space="preserve"> below), the Director of the Board for Pensions took decisions under sections 15c and 22a read in conjunction with section 32(1) of the 2016 Act and on the basis of information received from the Institute for National Remembrance recalculated and reduced the applicants</w:t>
      </w:r>
      <w:r w:rsidRPr="00246BEB" w:rsidR="00246BEB">
        <w:t>’</w:t>
      </w:r>
      <w:r w:rsidRPr="00246BEB">
        <w:t xml:space="preserve"> monthly retirement pensions.</w:t>
      </w:r>
    </w:p>
    <w:bookmarkStart w:name="CoA" w:id="1"/>
    <w:p w:rsidRPr="00246BEB" w:rsidR="00D06541" w:rsidP="00246BEB" w14:paraId="573568BC" w14:textId="64F230D5">
      <w:pPr>
        <w:pStyle w:val="JuPara"/>
      </w:pPr>
      <w:r w:rsidRPr="00246BEB">
        <w:fldChar w:fldCharType="begin"/>
      </w:r>
      <w:r w:rsidRPr="00246BEB">
        <w:instrText xml:space="preserve"> SEQ level0 \*arabic \* MERGEFORMAT </w:instrText>
      </w:r>
      <w:r w:rsidRPr="00246BEB">
        <w:fldChar w:fldCharType="separate"/>
      </w:r>
      <w:r w:rsidRPr="00246BEB" w:rsidR="00246BEB">
        <w:rPr>
          <w:noProof/>
        </w:rPr>
        <w:t>6</w:t>
      </w:r>
      <w:r w:rsidRPr="00246BEB">
        <w:fldChar w:fldCharType="end"/>
      </w:r>
      <w:bookmarkEnd w:id="1"/>
      <w:r w:rsidRPr="00246BEB">
        <w:t>.  All the applicants lodged appeals against those decisions in the appropriate regional courts. The proceedings concluded on various dates, after appeals which were dismissed by the relevant courts of appeal either entirely or in part. Where the appeals were dismissed in part, the pensions were increased. However, they remained at levels below the original amounts which the applicants had been receiving before 2017.</w:t>
      </w:r>
    </w:p>
    <w:p w:rsidRPr="00246BEB" w:rsidR="00D06541" w:rsidP="00246BEB" w14:paraId="36FFC60B" w14:textId="49B0D385">
      <w:pPr>
        <w:pStyle w:val="JuPara"/>
      </w:pPr>
      <w:r>
        <w:fldChar w:fldCharType="begin"/>
      </w:r>
      <w:r>
        <w:instrText xml:space="preserve"> SEQ level0 \*arabic \* MERGEFORMAT </w:instrText>
      </w:r>
      <w:r>
        <w:fldChar w:fldCharType="separate"/>
      </w:r>
      <w:r w:rsidRPr="00246BEB" w:rsidR="00246BEB">
        <w:rPr>
          <w:noProof/>
        </w:rPr>
        <w:t>7</w:t>
      </w:r>
      <w:r w:rsidRPr="00246BEB" w:rsidR="00246BEB">
        <w:rPr>
          <w:noProof/>
        </w:rPr>
        <w:fldChar w:fldCharType="end"/>
      </w:r>
      <w:r w:rsidRPr="00246BEB">
        <w:t>.  Following communication of the applications to the Government, the applicants were able to make a request under section 8a of the 2016 Act asking the Minister of Internal Affairs and Administration (“the Minister”) to find that sections 15c, 22a and 24a did not apply to them. All the applicants made use of that opportunity.</w:t>
      </w:r>
    </w:p>
    <w:p w:rsidRPr="00246BEB" w:rsidR="00D06541" w:rsidP="00246BEB" w14:paraId="0D5D745B" w14:textId="712C56AB">
      <w:pPr>
        <w:pStyle w:val="JuHA"/>
      </w:pPr>
      <w:r w:rsidRPr="00246BEB">
        <w:t>As regards applications nos.</w:t>
      </w:r>
      <w:r w:rsidRPr="00246BEB" w:rsidR="00516AE0">
        <w:t xml:space="preserve"> </w:t>
      </w:r>
      <w:r w:rsidRPr="00246BEB">
        <w:t xml:space="preserve">29761/22, </w:t>
      </w:r>
      <w:r w:rsidRPr="00246BEB" w:rsidR="007C5101">
        <w:t xml:space="preserve">32326/22 </w:t>
      </w:r>
      <w:r w:rsidRPr="00246BEB">
        <w:t xml:space="preserve">and </w:t>
      </w:r>
      <w:r w:rsidRPr="00246BEB" w:rsidR="007C5101">
        <w:t>36262/22</w:t>
      </w:r>
    </w:p>
    <w:bookmarkStart w:name="granted1" w:id="2"/>
    <w:p w:rsidRPr="00246BEB" w:rsidR="00D06541" w:rsidP="00246BEB" w14:paraId="55459129" w14:textId="22BC5A1F">
      <w:pPr>
        <w:pStyle w:val="JuPara"/>
      </w:pPr>
      <w:r w:rsidRPr="00246BEB">
        <w:fldChar w:fldCharType="begin"/>
      </w:r>
      <w:r w:rsidRPr="00246BEB">
        <w:instrText xml:space="preserve"> SEQ level0 \*arabic \* MERGEFORMAT </w:instrText>
      </w:r>
      <w:r w:rsidRPr="00246BEB">
        <w:fldChar w:fldCharType="separate"/>
      </w:r>
      <w:r w:rsidRPr="00246BEB" w:rsidR="00246BEB">
        <w:rPr>
          <w:noProof/>
        </w:rPr>
        <w:t>8</w:t>
      </w:r>
      <w:r w:rsidRPr="00246BEB">
        <w:fldChar w:fldCharType="end"/>
      </w:r>
      <w:bookmarkEnd w:id="2"/>
      <w:r w:rsidRPr="00246BEB">
        <w:t>.  Upon request by the applicants, the Minister granted their requests and decided under section 8a of the 2016 Act to exclude the applicants</w:t>
      </w:r>
      <w:r w:rsidRPr="00246BEB" w:rsidR="00246BEB">
        <w:t>’</w:t>
      </w:r>
      <w:r w:rsidRPr="00246BEB">
        <w:t xml:space="preserve"> cases from the application of sections 15c, 22a and 24a. They then began receiving their pension at the same rate as before the reduction in 2017.</w:t>
      </w:r>
    </w:p>
    <w:p w:rsidRPr="00246BEB" w:rsidR="00D06541" w:rsidP="00246BEB" w14:paraId="68DEC462" w14:textId="01DA184C">
      <w:pPr>
        <w:pStyle w:val="JuPara"/>
      </w:pPr>
      <w:r>
        <w:fldChar w:fldCharType="begin"/>
      </w:r>
      <w:r>
        <w:instrText xml:space="preserve"> SEQ level0 \*arabic \* MERGEFORMAT </w:instrText>
      </w:r>
      <w:r>
        <w:fldChar w:fldCharType="separate"/>
      </w:r>
      <w:r w:rsidRPr="00246BEB" w:rsidR="00246BEB">
        <w:rPr>
          <w:noProof/>
        </w:rPr>
        <w:t>9</w:t>
      </w:r>
      <w:r w:rsidRPr="00246BEB" w:rsidR="00246BEB">
        <w:rPr>
          <w:noProof/>
        </w:rPr>
        <w:fldChar w:fldCharType="end"/>
      </w:r>
      <w:r w:rsidRPr="00246BEB">
        <w:t>.  The applicants did not submit detailed information about the amounts that they had received on the basis of the Minister</w:t>
      </w:r>
      <w:r w:rsidRPr="00246BEB" w:rsidR="00246BEB">
        <w:t>’</w:t>
      </w:r>
      <w:r w:rsidRPr="00246BEB">
        <w:t>s decisions. The applicants in applications nos. 29761/22 and 36262/22 confirmed however, that their pension benefits had been reinstated.</w:t>
      </w:r>
    </w:p>
    <w:p w:rsidRPr="00246BEB" w:rsidR="00D06541" w:rsidP="00246BEB" w14:paraId="4520D26C" w14:textId="7E412B87">
      <w:pPr>
        <w:pStyle w:val="JuHA"/>
      </w:pPr>
      <w:r w:rsidRPr="00246BEB">
        <w:t>As regards application no.</w:t>
      </w:r>
      <w:r w:rsidRPr="00246BEB" w:rsidR="00516AE0">
        <w:t xml:space="preserve"> </w:t>
      </w:r>
      <w:r w:rsidRPr="00246BEB">
        <w:t>41754/22</w:t>
      </w:r>
    </w:p>
    <w:bookmarkStart w:name="granted4" w:id="3"/>
    <w:p w:rsidRPr="00246BEB" w:rsidR="00D06541" w:rsidP="00246BEB" w14:paraId="17354584" w14:textId="64B9A17A">
      <w:pPr>
        <w:pStyle w:val="JuPara"/>
      </w:pPr>
      <w:r w:rsidRPr="00246BEB">
        <w:fldChar w:fldCharType="begin"/>
      </w:r>
      <w:r w:rsidRPr="00246BEB">
        <w:instrText xml:space="preserve"> SEQ level0 \*arabic \* MERGEFORMAT </w:instrText>
      </w:r>
      <w:r w:rsidRPr="00246BEB">
        <w:fldChar w:fldCharType="separate"/>
      </w:r>
      <w:r w:rsidRPr="00246BEB" w:rsidR="00246BEB">
        <w:rPr>
          <w:noProof/>
        </w:rPr>
        <w:t>10</w:t>
      </w:r>
      <w:r w:rsidRPr="00246BEB">
        <w:fldChar w:fldCharType="end"/>
      </w:r>
      <w:bookmarkEnd w:id="3"/>
      <w:r w:rsidRPr="00246BEB">
        <w:t>.  Upon request by the applicant, on 23 October 2024 the Minister granted his request and decided under section 8a of the 2016 Act to exclude the applicant</w:t>
      </w:r>
      <w:r w:rsidRPr="00246BEB" w:rsidR="00246BEB">
        <w:t>’</w:t>
      </w:r>
      <w:r w:rsidRPr="00246BEB">
        <w:t>s case from the application of sections 15c, 22a and 24a. He then began receiving his pension at the same rate as before it was reduced in 2017.</w:t>
      </w:r>
    </w:p>
    <w:p w:rsidRPr="00246BEB" w:rsidR="00D06541" w:rsidP="00246BEB" w14:paraId="71B888FB" w14:textId="583834F7">
      <w:pPr>
        <w:pStyle w:val="JuPara"/>
      </w:pPr>
      <w:r>
        <w:fldChar w:fldCharType="begin"/>
      </w:r>
      <w:r>
        <w:instrText xml:space="preserve"> SEQ level0 \*arabic \* MERGEFORMAT </w:instrText>
      </w:r>
      <w:r>
        <w:fldChar w:fldCharType="separate"/>
      </w:r>
      <w:r w:rsidRPr="00246BEB" w:rsidR="00246BEB">
        <w:rPr>
          <w:noProof/>
        </w:rPr>
        <w:t>11</w:t>
      </w:r>
      <w:r w:rsidRPr="00246BEB" w:rsidR="00246BEB">
        <w:rPr>
          <w:noProof/>
        </w:rPr>
        <w:fldChar w:fldCharType="end"/>
      </w:r>
      <w:r w:rsidRPr="00246BEB">
        <w:t>.  On 27 December 2024 the Director of the Board for Pensions redetermined the amount of the applicant</w:t>
      </w:r>
      <w:r w:rsidRPr="00246BEB" w:rsidR="00246BEB">
        <w:t>’</w:t>
      </w:r>
      <w:r w:rsidRPr="00246BEB">
        <w:t xml:space="preserve">s pension in accordance with the decision of 23 October 2024. The gross </w:t>
      </w:r>
      <w:r w:rsidRPr="00246BEB">
        <w:t>amount of the pension was</w:t>
      </w:r>
      <w:r w:rsidRPr="00246BEB">
        <w:t xml:space="preserve"> </w:t>
      </w:r>
      <w:r w:rsidRPr="00246BEB">
        <w:t>8,699.03</w:t>
      </w:r>
      <w:r w:rsidRPr="00246BEB">
        <w:t xml:space="preserve"> Polish zlotys (PLN)</w:t>
      </w:r>
      <w:r w:rsidRPr="00246BEB">
        <w:t>. After the deduction of income tax and health insurance contributions, it was PLN 5,432.12 (approximately 1,300</w:t>
      </w:r>
      <w:r w:rsidRPr="00246BEB">
        <w:t xml:space="preserve"> euros (EUR)</w:t>
      </w:r>
      <w:r w:rsidRPr="00246BEB">
        <w:t>). The compensation due to the applicant for the period from 1 October 2017 until 31 January 2025 was therefore determined at PLN 316,131.71 gross, and after the deduction of income tax and health insurance contributions the outstanding pension, including indexation, to which the applicant was entitled was</w:t>
      </w:r>
      <w:r w:rsidRPr="00246BEB">
        <w:t xml:space="preserve"> </w:t>
      </w:r>
      <w:r w:rsidRPr="00246BEB">
        <w:t>PLN 209,593.86 (approximately EUR</w:t>
      </w:r>
      <w:r w:rsidRPr="00246BEB" w:rsidR="000C467F">
        <w:t> </w:t>
      </w:r>
      <w:r w:rsidRPr="00246BEB">
        <w:t>50,000) net.</w:t>
      </w:r>
    </w:p>
    <w:p w:rsidRPr="00246BEB" w:rsidR="00D06541" w:rsidP="00246BEB" w14:paraId="4F6BEF95" w14:textId="45D1E484">
      <w:pPr>
        <w:pStyle w:val="JuHA"/>
      </w:pPr>
      <w:r w:rsidRPr="00246BEB">
        <w:t>As regards application no.</w:t>
      </w:r>
      <w:r w:rsidRPr="00246BEB" w:rsidR="000C467F">
        <w:t> </w:t>
      </w:r>
      <w:r w:rsidRPr="00246BEB">
        <w:t>56299/22</w:t>
      </w:r>
    </w:p>
    <w:bookmarkStart w:name="granted5" w:id="4"/>
    <w:p w:rsidRPr="00246BEB" w:rsidR="00D06541" w:rsidP="00246BEB" w14:paraId="7AD2FE44" w14:textId="74F408C8">
      <w:pPr>
        <w:pStyle w:val="JuPara"/>
      </w:pPr>
      <w:r w:rsidRPr="00246BEB">
        <w:fldChar w:fldCharType="begin"/>
      </w:r>
      <w:r w:rsidRPr="00246BEB">
        <w:instrText xml:space="preserve"> SEQ level0 \*arabic \* MERGEFORMAT </w:instrText>
      </w:r>
      <w:r w:rsidRPr="00246BEB">
        <w:fldChar w:fldCharType="separate"/>
      </w:r>
      <w:r w:rsidRPr="00246BEB" w:rsidR="00246BEB">
        <w:rPr>
          <w:noProof/>
        </w:rPr>
        <w:t>12</w:t>
      </w:r>
      <w:r w:rsidRPr="00246BEB">
        <w:fldChar w:fldCharType="end"/>
      </w:r>
      <w:bookmarkEnd w:id="4"/>
      <w:r w:rsidRPr="00246BEB">
        <w:t>.  Upon request by the applicant, on 13 May 2025 the Minister granted his request and decided under section 8a of the 2016 Act to exclude the applicant</w:t>
      </w:r>
      <w:r w:rsidRPr="00246BEB" w:rsidR="00246BEB">
        <w:t>’</w:t>
      </w:r>
      <w:r w:rsidRPr="00246BEB">
        <w:t>s case from the application of sections 15c, 22a and 24a. He then began receiving his pension at the same rate as before it was reduced in 2017.</w:t>
      </w:r>
    </w:p>
    <w:p w:rsidRPr="00246BEB" w:rsidR="00D06541" w:rsidP="00246BEB" w14:paraId="0B71806D" w14:textId="4E22406E">
      <w:pPr>
        <w:pStyle w:val="JuPara"/>
      </w:pPr>
      <w:r>
        <w:fldChar w:fldCharType="begin"/>
      </w:r>
      <w:r>
        <w:instrText xml:space="preserve"> SEQ level0 \*arabic \* MERGEFORMAT </w:instrText>
      </w:r>
      <w:r>
        <w:fldChar w:fldCharType="separate"/>
      </w:r>
      <w:r w:rsidRPr="00246BEB" w:rsidR="00246BEB">
        <w:rPr>
          <w:noProof/>
        </w:rPr>
        <w:t>13</w:t>
      </w:r>
      <w:r w:rsidRPr="00246BEB" w:rsidR="00246BEB">
        <w:rPr>
          <w:noProof/>
        </w:rPr>
        <w:fldChar w:fldCharType="end"/>
      </w:r>
      <w:r w:rsidRPr="00246BEB">
        <w:t>.  On 17 June 2025 the Director of the Board for Pensions redetermined the amount of the applicant</w:t>
      </w:r>
      <w:r w:rsidRPr="00246BEB" w:rsidR="00246BEB">
        <w:t>’</w:t>
      </w:r>
      <w:r w:rsidRPr="00246BEB">
        <w:t>s pension in accordance with the decision of 13 May 2025. The gross amount of the pension was PLN 12,180.42. After the deduction of income tax and health insurance contributions, it was PLN 7,486.18 (approximately EUR 1,780). The compensation due to the applicant for the period from 1 October 2017 until 30 June 2025 was therefore determined at PLN 95,589.83 gross, and after the deduction of income tax and health insurance contributions the outstanding pension, including indexation, to which the applicant was entitled was</w:t>
      </w:r>
      <w:r w:rsidRPr="00246BEB">
        <w:t xml:space="preserve"> </w:t>
      </w:r>
      <w:r w:rsidRPr="00246BEB">
        <w:t>PLN 66,952.75 (approximately EUR 15,960) net.</w:t>
      </w:r>
    </w:p>
    <w:p w:rsidRPr="00246BEB" w:rsidR="00D06541" w:rsidP="00246BEB" w14:paraId="1C5883AE" w14:textId="77777777">
      <w:pPr>
        <w:pStyle w:val="JuHHead"/>
      </w:pPr>
      <w:r w:rsidRPr="00246BEB">
        <w:t>RELEVANT LEGAL FRAMEWORK AND PRACTICE</w:t>
      </w:r>
    </w:p>
    <w:bookmarkStart w:name="the2016act" w:id="5"/>
    <w:p w:rsidRPr="00246BEB" w:rsidR="00D06541" w:rsidP="00246BEB" w14:paraId="0AC078E4" w14:textId="739FC2B5">
      <w:pPr>
        <w:pStyle w:val="JuPara"/>
      </w:pPr>
      <w:r w:rsidRPr="00246BEB">
        <w:fldChar w:fldCharType="begin"/>
      </w:r>
      <w:r w:rsidRPr="00246BEB">
        <w:instrText xml:space="preserve"> SEQ level0 \*arabic \* MERGEFORMAT </w:instrText>
      </w:r>
      <w:r w:rsidRPr="00246BEB">
        <w:fldChar w:fldCharType="separate"/>
      </w:r>
      <w:r w:rsidRPr="00246BEB" w:rsidR="00246BEB">
        <w:rPr>
          <w:noProof/>
        </w:rPr>
        <w:t>14</w:t>
      </w:r>
      <w:r w:rsidRPr="00246BEB">
        <w:fldChar w:fldCharType="end"/>
      </w:r>
      <w:bookmarkEnd w:id="5"/>
      <w:r w:rsidRPr="00246BEB">
        <w:t xml:space="preserve">.  The relevant legal framework and practice have been set out in </w:t>
      </w:r>
      <w:r w:rsidRPr="00246BEB">
        <w:rPr>
          <w:i/>
          <w:iCs/>
        </w:rPr>
        <w:t>Kluci</w:t>
      </w:r>
      <w:r w:rsidRPr="00246BEB">
        <w:rPr>
          <w:rFonts w:cstheme="minorHAnsi"/>
          <w:i/>
          <w:iCs/>
        </w:rPr>
        <w:t>ń</w:t>
      </w:r>
      <w:r w:rsidRPr="00246BEB">
        <w:rPr>
          <w:i/>
          <w:iCs/>
        </w:rPr>
        <w:t>ska-G</w:t>
      </w:r>
      <w:r w:rsidRPr="00246BEB">
        <w:rPr>
          <w:rFonts w:cstheme="minorHAnsi"/>
          <w:i/>
          <w:iCs/>
        </w:rPr>
        <w:t>ł</w:t>
      </w:r>
      <w:r w:rsidRPr="00246BEB">
        <w:rPr>
          <w:i/>
          <w:iCs/>
        </w:rPr>
        <w:t>uszczak</w:t>
      </w:r>
      <w:r w:rsidRPr="00246BEB">
        <w:rPr>
          <w:i/>
          <w:iCs/>
        </w:rPr>
        <w:t xml:space="preserve"> v. Poland</w:t>
      </w:r>
      <w:r w:rsidRPr="00246BEB">
        <w:t xml:space="preserve"> (dec.) no. 33274/22, </w:t>
      </w:r>
      <w:r w:rsidRPr="00246BEB">
        <w:rPr>
          <w:rFonts w:cstheme="minorHAnsi"/>
        </w:rPr>
        <w:t>§§ 20</w:t>
      </w:r>
      <w:r w:rsidRPr="00246BEB">
        <w:rPr>
          <w:rFonts w:cstheme="minorHAnsi"/>
        </w:rPr>
        <w:noBreakHyphen/>
        <w:t>26, 14</w:t>
      </w:r>
      <w:r w:rsidRPr="00246BEB" w:rsidR="00931E22">
        <w:rPr>
          <w:rFonts w:cstheme="minorHAnsi"/>
        </w:rPr>
        <w:t> </w:t>
      </w:r>
      <w:r w:rsidRPr="00246BEB">
        <w:rPr>
          <w:rFonts w:cstheme="minorHAnsi"/>
        </w:rPr>
        <w:t>October 2025</w:t>
      </w:r>
      <w:r w:rsidRPr="00246BEB">
        <w:t>. In particular, on 1 January 2017 amendments of 16 December 2016 to the 1994 Act came into force. Section 15c was added, which provided that one of the coefficients relevant for the calculation of the pensions of former functionaries was decreased from 0.7% to 0% for each year of service for the former communist State security authorities in the period 1944</w:t>
      </w:r>
      <w:r w:rsidRPr="00246BEB" w:rsidR="00931E22">
        <w:noBreakHyphen/>
      </w:r>
      <w:r w:rsidRPr="00246BEB">
        <w:t>90.</w:t>
      </w:r>
    </w:p>
    <w:p w:rsidRPr="00246BEB" w:rsidR="00D06541" w:rsidP="00246BEB" w14:paraId="14EA6BAB" w14:textId="77777777">
      <w:pPr>
        <w:pStyle w:val="JuHHead"/>
      </w:pPr>
      <w:r w:rsidRPr="00246BEB">
        <w:t>COMPLAINT</w:t>
      </w:r>
    </w:p>
    <w:p w:rsidRPr="00246BEB" w:rsidR="00D06541" w:rsidP="00246BEB" w14:paraId="00313260" w14:textId="16534CD0">
      <w:pPr>
        <w:pStyle w:val="JuPara"/>
      </w:pPr>
      <w:r>
        <w:fldChar w:fldCharType="begin"/>
      </w:r>
      <w:r>
        <w:instrText xml:space="preserve"> SEQ level0 \*arabic \* MERGEFORMAT </w:instrText>
      </w:r>
      <w:r>
        <w:fldChar w:fldCharType="separate"/>
      </w:r>
      <w:r w:rsidRPr="00246BEB" w:rsidR="00246BEB">
        <w:rPr>
          <w:noProof/>
        </w:rPr>
        <w:t>15</w:t>
      </w:r>
      <w:r w:rsidRPr="00246BEB" w:rsidR="00246BEB">
        <w:rPr>
          <w:noProof/>
        </w:rPr>
        <w:fldChar w:fldCharType="end"/>
      </w:r>
      <w:r w:rsidRPr="00246BEB">
        <w:t xml:space="preserve">.  The applicants complained under Article 1 of Protocol No. 1 to the Convention that the reductions to their pension constituted a disproportionate interference with their acquired </w:t>
      </w:r>
      <w:r w:rsidRPr="00246BEB">
        <w:t>rights which, in turn, amounted to a violation of their right to peaceful enjoyment of their possessions.</w:t>
      </w:r>
    </w:p>
    <w:p w:rsidRPr="00246BEB" w:rsidR="00D06541" w:rsidP="00246BEB" w14:paraId="7A6649A3" w14:textId="77777777">
      <w:pPr>
        <w:pStyle w:val="JuHHead"/>
      </w:pPr>
      <w:r w:rsidRPr="00246BEB">
        <w:t>THE LAW</w:t>
      </w:r>
    </w:p>
    <w:bookmarkStart w:name="Gov_objections" w:id="6"/>
    <w:p w:rsidRPr="00246BEB" w:rsidR="00D06541" w:rsidP="00246BEB" w14:paraId="4123FE55" w14:textId="3205C61A">
      <w:pPr>
        <w:pStyle w:val="JuPara"/>
      </w:pPr>
      <w:r w:rsidRPr="00246BEB">
        <w:fldChar w:fldCharType="begin"/>
      </w:r>
      <w:r w:rsidRPr="00246BEB">
        <w:instrText xml:space="preserve"> SEQ level0 \*arabic \* MERGEFORMAT </w:instrText>
      </w:r>
      <w:r w:rsidRPr="00246BEB">
        <w:fldChar w:fldCharType="separate"/>
      </w:r>
      <w:r w:rsidRPr="00246BEB" w:rsidR="00246BEB">
        <w:rPr>
          <w:noProof/>
        </w:rPr>
        <w:t>16</w:t>
      </w:r>
      <w:r w:rsidRPr="00246BEB">
        <w:fldChar w:fldCharType="end"/>
      </w:r>
      <w:r w:rsidRPr="00246BEB">
        <w:t>.  In their original observations concerning applications nos. 32326/22, 41754/22, 56299/22, the Government raised a preliminary objection as to those applicants</w:t>
      </w:r>
      <w:r w:rsidRPr="00246BEB" w:rsidR="00246BEB">
        <w:t>’</w:t>
      </w:r>
      <w:r w:rsidRPr="00246BEB">
        <w:t xml:space="preserve"> victim status. The applicants contested that.</w:t>
      </w:r>
    </w:p>
    <w:bookmarkEnd w:id="6"/>
    <w:p w:rsidRPr="00246BEB" w:rsidR="00D06541" w:rsidP="00246BEB" w14:paraId="1CE0DE5E" w14:textId="5F0EB77F">
      <w:pPr>
        <w:pStyle w:val="JuPara"/>
      </w:pPr>
      <w:r w:rsidRPr="00246BEB">
        <w:fldChar w:fldCharType="begin"/>
      </w:r>
      <w:r w:rsidRPr="00246BEB">
        <w:instrText xml:space="preserve"> SEQ level0 \*arabic \* MERGEFORMAT </w:instrText>
      </w:r>
      <w:r w:rsidRPr="00246BEB">
        <w:fldChar w:fldCharType="separate"/>
      </w:r>
      <w:r w:rsidRPr="00246BEB" w:rsidR="00246BEB">
        <w:rPr>
          <w:noProof/>
        </w:rPr>
        <w:t>17</w:t>
      </w:r>
      <w:r w:rsidRPr="00246BEB">
        <w:fldChar w:fldCharType="end"/>
      </w:r>
      <w:r w:rsidRPr="00246BEB">
        <w:t>.  Subsequently, in their further observations, the Government stated that the 2016 Act concerned some 40,000 retired uniformed public servants. The Government further referred to section 8a of the 2016 Act and submitted that on 12 March 2024 the Minister had appointed a Plenipotentiary for Administrative Proceedings. Since then, there had been 1,112 decisions reestablishing pensions at their original levels and in only six cases had the courts declined to apply section 8a of the 2016 Act. They further stated that the applicants in the present applications had submitted their requests under section 8a of the 2016 Act and that their requests had been granted. Given that they had failed to inform the Court of that, the Government considered that the applications should be declared inadmissible for abuse of the right of individual application. Alternatively, the Government invited the Court to consider that the case should be struck out of the list due to the fact that its subject-matter had been resolved at the domestic level within the meaning of Article</w:t>
      </w:r>
      <w:r w:rsidRPr="00246BEB" w:rsidR="00516AE0">
        <w:t> </w:t>
      </w:r>
      <w:r w:rsidRPr="00246BEB">
        <w:t>37 § 1 (b) of the Convention.</w:t>
      </w:r>
    </w:p>
    <w:p w:rsidRPr="00246BEB" w:rsidR="00D06541" w:rsidP="00246BEB" w14:paraId="71B7919E" w14:textId="1540123A">
      <w:pPr>
        <w:pStyle w:val="JuPara"/>
      </w:pPr>
      <w:r>
        <w:fldChar w:fldCharType="begin"/>
      </w:r>
      <w:r>
        <w:instrText xml:space="preserve"> SEQ level0 \*arabic \* MERGEFORMAT </w:instrText>
      </w:r>
      <w:r>
        <w:fldChar w:fldCharType="separate"/>
      </w:r>
      <w:r w:rsidRPr="00246BEB" w:rsidR="00246BEB">
        <w:rPr>
          <w:noProof/>
        </w:rPr>
        <w:t>18</w:t>
      </w:r>
      <w:r w:rsidRPr="00246BEB" w:rsidR="00246BEB">
        <w:rPr>
          <w:noProof/>
        </w:rPr>
        <w:fldChar w:fldCharType="end"/>
      </w:r>
      <w:r w:rsidRPr="00246BEB">
        <w:t>.  While the applicant in application no. 36262/22 did not comment on the Government</w:t>
      </w:r>
      <w:r w:rsidRPr="00246BEB" w:rsidR="00246BEB">
        <w:t>’</w:t>
      </w:r>
      <w:r w:rsidRPr="00246BEB">
        <w:t>s further observations, the other applicants submitted comments, arguing that the fact that they had received a positive ruling under section 8a of the 2016 Act and after that had been paid the full amount including backdated benefits had no significance for the present applications. In particular, they asserted that the payments in question had not carried interest, which, in their view, constituted a further violation of Article</w:t>
      </w:r>
      <w:r w:rsidRPr="00246BEB" w:rsidR="00931E22">
        <w:t> </w:t>
      </w:r>
      <w:r w:rsidRPr="00246BEB">
        <w:t>1 of Protocol No. 1 to the Convention.</w:t>
      </w:r>
    </w:p>
    <w:p w:rsidRPr="00246BEB" w:rsidR="00D06541" w:rsidP="00246BEB" w14:paraId="44AACAF0" w14:textId="0A3A5851">
      <w:pPr>
        <w:pStyle w:val="JuPara"/>
      </w:pPr>
      <w:r>
        <w:fldChar w:fldCharType="begin"/>
      </w:r>
      <w:r>
        <w:instrText xml:space="preserve"> SEQ level0 \*arabic \* MERGEFORMAT </w:instrText>
      </w:r>
      <w:r>
        <w:fldChar w:fldCharType="separate"/>
      </w:r>
      <w:r w:rsidRPr="00246BEB" w:rsidR="00246BEB">
        <w:rPr>
          <w:noProof/>
        </w:rPr>
        <w:t>19</w:t>
      </w:r>
      <w:r w:rsidRPr="00246BEB" w:rsidR="00246BEB">
        <w:rPr>
          <w:noProof/>
        </w:rPr>
        <w:fldChar w:fldCharType="end"/>
      </w:r>
      <w:r w:rsidRPr="00246BEB">
        <w:t>.  In the present applications, the Court does not consider it necessary to reach a conclusion on the objections raised by the Government concerning victim status and abuse of petition. In the light of the parties</w:t>
      </w:r>
      <w:r w:rsidRPr="00246BEB" w:rsidR="00246BEB">
        <w:t>’</w:t>
      </w:r>
      <w:r w:rsidRPr="00246BEB">
        <w:t xml:space="preserve"> submissions, the Court considers that the applications can be struck out of its list pursuant to Article</w:t>
      </w:r>
      <w:r w:rsidRPr="00246BEB" w:rsidR="000C467F">
        <w:t> </w:t>
      </w:r>
      <w:r w:rsidRPr="00246BEB">
        <w:t xml:space="preserve">37 </w:t>
      </w:r>
      <w:r w:rsidRPr="00246BEB">
        <w:rPr>
          <w:rFonts w:cstheme="minorHAnsi"/>
        </w:rPr>
        <w:t>§</w:t>
      </w:r>
      <w:r w:rsidRPr="00246BEB">
        <w:t xml:space="preserve"> 1 of the Convention for the reasons set out below.</w:t>
      </w:r>
    </w:p>
    <w:p w:rsidRPr="00246BEB" w:rsidR="00D06541" w:rsidP="00246BEB" w14:paraId="67382FBA" w14:textId="2AC9626F">
      <w:pPr>
        <w:pStyle w:val="JuPara"/>
      </w:pPr>
      <w:r>
        <w:fldChar w:fldCharType="begin"/>
      </w:r>
      <w:r>
        <w:instrText xml:space="preserve"> SEQ level0 \*arabic \* MERGEFORMAT </w:instrText>
      </w:r>
      <w:r>
        <w:fldChar w:fldCharType="separate"/>
      </w:r>
      <w:r w:rsidRPr="00246BEB" w:rsidR="00246BEB">
        <w:rPr>
          <w:noProof/>
        </w:rPr>
        <w:t>20</w:t>
      </w:r>
      <w:r w:rsidRPr="00246BEB" w:rsidR="00246BEB">
        <w:rPr>
          <w:noProof/>
        </w:rPr>
        <w:fldChar w:fldCharType="end"/>
      </w:r>
      <w:r w:rsidRPr="00246BEB">
        <w:t>.  Article 37 § 1 in so far as relevant reads as follows:</w:t>
      </w:r>
    </w:p>
    <w:p w:rsidRPr="00246BEB" w:rsidR="00D06541" w:rsidP="00246BEB" w14:paraId="718BEAE7" w14:textId="77777777">
      <w:pPr>
        <w:pStyle w:val="JuQuot"/>
        <w:spacing w:after="0"/>
      </w:pPr>
      <w:r w:rsidRPr="00246BEB">
        <w:t>“1.  The Court may at any stage of the proceedings decide to strike an application out of its list of cases where the circumstances lead to the conclusion that</w:t>
      </w:r>
    </w:p>
    <w:p w:rsidRPr="00246BEB" w:rsidR="00D06541" w:rsidP="00246BEB" w14:paraId="1FBF952F" w14:textId="77777777">
      <w:pPr>
        <w:pStyle w:val="JuQuot"/>
        <w:spacing w:before="0" w:after="0"/>
      </w:pPr>
      <w:r w:rsidRPr="00246BEB">
        <w:t>...</w:t>
      </w:r>
    </w:p>
    <w:p w:rsidRPr="00246BEB" w:rsidR="00D06541" w:rsidP="00246BEB" w14:paraId="13CAE9E5" w14:textId="77777777">
      <w:pPr>
        <w:pStyle w:val="JuQuot"/>
        <w:spacing w:before="0"/>
      </w:pPr>
      <w:r w:rsidRPr="00246BEB">
        <w:t>(b)  the matter has been resolved; ...</w:t>
      </w:r>
    </w:p>
    <w:p w:rsidRPr="00246BEB" w:rsidR="00D06541" w:rsidP="00246BEB" w14:paraId="6A7BA40C" w14:textId="77777777">
      <w:pPr>
        <w:pStyle w:val="JuQuot"/>
      </w:pPr>
      <w:r w:rsidRPr="00246BEB">
        <w:t>However, the Court shall continue the examination of the application if respect for human rights as defined in the Convention and the Protocols so requires.”</w:t>
      </w:r>
    </w:p>
    <w:p w:rsidRPr="00246BEB" w:rsidR="00D06541" w:rsidP="00246BEB" w14:paraId="2451407F" w14:textId="003774B1">
      <w:pPr>
        <w:pStyle w:val="JuPara"/>
      </w:pPr>
      <w:r>
        <w:fldChar w:fldCharType="begin"/>
      </w:r>
      <w:r>
        <w:instrText xml:space="preserve"> SEQ level0 \*arabic \* MERGEFORMAT </w:instrText>
      </w:r>
      <w:r>
        <w:fldChar w:fldCharType="separate"/>
      </w:r>
      <w:r w:rsidRPr="00246BEB" w:rsidR="00246BEB">
        <w:rPr>
          <w:noProof/>
        </w:rPr>
        <w:t>21</w:t>
      </w:r>
      <w:r w:rsidRPr="00246BEB" w:rsidR="00246BEB">
        <w:rPr>
          <w:noProof/>
        </w:rPr>
        <w:fldChar w:fldCharType="end"/>
      </w:r>
      <w:r w:rsidRPr="00246BEB">
        <w:t xml:space="preserve">.  In order to ascertain whether that provision applies to the present case, the Court must examine, firstly, whether the circumstances complained of directly by the applicants still obtain and, secondly, whether the effects of a possible violation of the Convention on account of those circumstances have also been redressed (see </w:t>
      </w:r>
      <w:r w:rsidRPr="00246BEB">
        <w:rPr>
          <w:i/>
          <w:iCs/>
        </w:rPr>
        <w:t>Pisano v. Italy</w:t>
      </w:r>
      <w:r w:rsidRPr="00246BEB">
        <w:t xml:space="preserve"> (striking out) [GC], no. 36732/97, §</w:t>
      </w:r>
      <w:r w:rsidRPr="00246BEB" w:rsidR="00931E22">
        <w:t> </w:t>
      </w:r>
      <w:r w:rsidRPr="00246BEB">
        <w:t xml:space="preserve">42, 24 October 2002; </w:t>
      </w:r>
      <w:r w:rsidRPr="00246BEB">
        <w:rPr>
          <w:i/>
          <w:iCs/>
        </w:rPr>
        <w:t>Sisojeva</w:t>
      </w:r>
      <w:r w:rsidRPr="00246BEB">
        <w:rPr>
          <w:i/>
          <w:iCs/>
        </w:rPr>
        <w:t xml:space="preserve"> and Others v. Latvia</w:t>
      </w:r>
      <w:r w:rsidRPr="00246BEB">
        <w:t xml:space="preserve"> (striking out) [GC], no. 60654/00, §§ 96</w:t>
      </w:r>
      <w:r w:rsidRPr="00246BEB">
        <w:noBreakHyphen/>
        <w:t xml:space="preserve">97, ECHR 2007-I; </w:t>
      </w:r>
      <w:r w:rsidRPr="00246BEB">
        <w:rPr>
          <w:i/>
          <w:iCs/>
        </w:rPr>
        <w:t xml:space="preserve">El </w:t>
      </w:r>
      <w:r w:rsidRPr="00246BEB">
        <w:rPr>
          <w:i/>
          <w:iCs/>
        </w:rPr>
        <w:t>Majjaoui</w:t>
      </w:r>
      <w:r w:rsidRPr="00246BEB">
        <w:rPr>
          <w:i/>
          <w:iCs/>
        </w:rPr>
        <w:t xml:space="preserve"> and </w:t>
      </w:r>
      <w:r w:rsidRPr="00246BEB">
        <w:rPr>
          <w:i/>
          <w:iCs/>
        </w:rPr>
        <w:t>Stichting</w:t>
      </w:r>
      <w:r w:rsidRPr="00246BEB">
        <w:rPr>
          <w:i/>
          <w:iCs/>
        </w:rPr>
        <w:t xml:space="preserve"> </w:t>
      </w:r>
      <w:r w:rsidRPr="00246BEB">
        <w:rPr>
          <w:i/>
          <w:iCs/>
        </w:rPr>
        <w:t>Touba</w:t>
      </w:r>
      <w:r w:rsidRPr="00246BEB">
        <w:rPr>
          <w:i/>
          <w:iCs/>
        </w:rPr>
        <w:t xml:space="preserve"> </w:t>
      </w:r>
      <w:r w:rsidRPr="00246BEB">
        <w:rPr>
          <w:i/>
          <w:iCs/>
        </w:rPr>
        <w:t>Moskee</w:t>
      </w:r>
      <w:r w:rsidRPr="00246BEB">
        <w:rPr>
          <w:i/>
          <w:iCs/>
        </w:rPr>
        <w:t xml:space="preserve"> v.</w:t>
      </w:r>
      <w:r w:rsidRPr="00246BEB" w:rsidR="000C467F">
        <w:rPr>
          <w:i/>
          <w:iCs/>
        </w:rPr>
        <w:t> </w:t>
      </w:r>
      <w:r w:rsidRPr="00246BEB">
        <w:rPr>
          <w:i/>
          <w:iCs/>
        </w:rPr>
        <w:t>the Netherlands</w:t>
      </w:r>
      <w:r w:rsidRPr="00246BEB">
        <w:t xml:space="preserve"> (striking out) [GC], no. 25525/03, §§ 29</w:t>
      </w:r>
      <w:r w:rsidRPr="00246BEB">
        <w:noBreakHyphen/>
        <w:t>30, 20</w:t>
      </w:r>
      <w:r w:rsidRPr="00246BEB" w:rsidR="00931E22">
        <w:t> </w:t>
      </w:r>
      <w:r w:rsidRPr="00246BEB">
        <w:t xml:space="preserve">December 2007; and, recently, </w:t>
      </w:r>
      <w:r w:rsidRPr="00246BEB">
        <w:rPr>
          <w:i/>
          <w:iCs/>
        </w:rPr>
        <w:t>Vadalà</w:t>
      </w:r>
      <w:r w:rsidRPr="00246BEB">
        <w:rPr>
          <w:i/>
          <w:iCs/>
        </w:rPr>
        <w:t xml:space="preserve"> v. Italy </w:t>
      </w:r>
      <w:r w:rsidRPr="00246BEB">
        <w:t>(dec.), no. 14656/15, §</w:t>
      </w:r>
      <w:r w:rsidRPr="00246BEB" w:rsidR="00931E22">
        <w:t> </w:t>
      </w:r>
      <w:r w:rsidRPr="00246BEB">
        <w:t>37, 7</w:t>
      </w:r>
      <w:r w:rsidRPr="00246BEB" w:rsidR="00931E22">
        <w:t> </w:t>
      </w:r>
      <w:r w:rsidRPr="00246BEB">
        <w:t>November 2023).</w:t>
      </w:r>
    </w:p>
    <w:p w:rsidRPr="00246BEB" w:rsidR="00D06541" w:rsidP="00246BEB" w14:paraId="5C23FD56" w14:textId="242DA1B8">
      <w:pPr>
        <w:pStyle w:val="JuPara"/>
      </w:pPr>
      <w:r>
        <w:fldChar w:fldCharType="begin"/>
      </w:r>
      <w:r>
        <w:instrText xml:space="preserve"> SEQ level0 \*arabic \* MERGEFORMAT </w:instrText>
      </w:r>
      <w:r>
        <w:fldChar w:fldCharType="separate"/>
      </w:r>
      <w:r w:rsidRPr="00246BEB" w:rsidR="00246BEB">
        <w:rPr>
          <w:noProof/>
        </w:rPr>
        <w:t>22</w:t>
      </w:r>
      <w:r w:rsidRPr="00246BEB" w:rsidR="00246BEB">
        <w:rPr>
          <w:noProof/>
        </w:rPr>
        <w:fldChar w:fldCharType="end"/>
      </w:r>
      <w:r w:rsidRPr="00246BEB">
        <w:t>.  In the case at hand, the applicants complained that they had been deprived of a large part of their pension, in violation of Article</w:t>
      </w:r>
      <w:r w:rsidRPr="00246BEB" w:rsidR="00516AE0">
        <w:t xml:space="preserve"> </w:t>
      </w:r>
      <w:r w:rsidRPr="00246BEB">
        <w:t>1 of Protocol No. 1 to the Convention. However, following the decisions issued by the Minister under section 8a of the 2016 Act and the subsequent recalculations (see paragraphs</w:t>
      </w:r>
      <w:r w:rsidRPr="00246BEB" w:rsidR="00516AE0">
        <w:t xml:space="preserve"> </w:t>
      </w:r>
      <w:r w:rsidRPr="00246BEB">
        <w:fldChar w:fldCharType="begin"/>
      </w:r>
      <w:r w:rsidRPr="00246BEB">
        <w:instrText xml:space="preserve"> REF granted1 \h </w:instrText>
      </w:r>
      <w:r w:rsidRPr="00246BEB">
        <w:fldChar w:fldCharType="separate"/>
      </w:r>
      <w:r w:rsidRPr="00246BEB" w:rsidR="00246BEB">
        <w:rPr>
          <w:noProof/>
        </w:rPr>
        <w:t>8</w:t>
      </w:r>
      <w:r w:rsidRPr="00246BEB">
        <w:fldChar w:fldCharType="end"/>
      </w:r>
      <w:r w:rsidRPr="00246BEB">
        <w:t xml:space="preserve">-13 above), the applicants had been receiving their pension at the same rate as before these were reduced in 2017, and they had also received full back payments. The Court therefore finds that the circumstances complained of by the applicants no longer obtain and the effects of a possible violation of the Convention on account of those circumstances have been redressed, and therefore that both conditions for the application of Article 37 § 1 (b) of the Convention are met (see </w:t>
      </w:r>
      <w:r w:rsidRPr="00246BEB">
        <w:rPr>
          <w:i/>
          <w:iCs/>
        </w:rPr>
        <w:t xml:space="preserve">El </w:t>
      </w:r>
      <w:r w:rsidRPr="00246BEB">
        <w:rPr>
          <w:i/>
          <w:iCs/>
        </w:rPr>
        <w:t>Majjaoui</w:t>
      </w:r>
      <w:r w:rsidRPr="00246BEB">
        <w:rPr>
          <w:i/>
          <w:iCs/>
        </w:rPr>
        <w:t xml:space="preserve"> and </w:t>
      </w:r>
      <w:r w:rsidRPr="00246BEB">
        <w:rPr>
          <w:i/>
          <w:iCs/>
        </w:rPr>
        <w:t>Stichting</w:t>
      </w:r>
      <w:r w:rsidRPr="00246BEB">
        <w:rPr>
          <w:i/>
          <w:iCs/>
        </w:rPr>
        <w:t xml:space="preserve"> </w:t>
      </w:r>
      <w:r w:rsidRPr="00246BEB">
        <w:rPr>
          <w:i/>
          <w:iCs/>
        </w:rPr>
        <w:t>Touba</w:t>
      </w:r>
      <w:r w:rsidRPr="00246BEB">
        <w:rPr>
          <w:i/>
          <w:iCs/>
        </w:rPr>
        <w:t xml:space="preserve"> </w:t>
      </w:r>
      <w:r w:rsidRPr="00246BEB">
        <w:rPr>
          <w:i/>
          <w:iCs/>
        </w:rPr>
        <w:t>Moskee</w:t>
      </w:r>
      <w:r w:rsidRPr="00246BEB">
        <w:t xml:space="preserve">, cited above, §§ 30-34, and </w:t>
      </w:r>
      <w:r w:rsidRPr="00246BEB">
        <w:rPr>
          <w:i/>
          <w:iCs/>
        </w:rPr>
        <w:t>Vadalà</w:t>
      </w:r>
      <w:r w:rsidRPr="00246BEB">
        <w:t>, cited above, § 35).</w:t>
      </w:r>
    </w:p>
    <w:p w:rsidRPr="00246BEB" w:rsidR="00D06541" w:rsidP="00246BEB" w14:paraId="6BBAA4BB" w14:textId="68A3045A">
      <w:pPr>
        <w:pStyle w:val="JuPara"/>
      </w:pPr>
      <w:r>
        <w:fldChar w:fldCharType="begin"/>
      </w:r>
      <w:r>
        <w:instrText xml:space="preserve"> SEQ level0 \*arabic \* MERGEFORMAT </w:instrText>
      </w:r>
      <w:r>
        <w:fldChar w:fldCharType="separate"/>
      </w:r>
      <w:r w:rsidRPr="00246BEB" w:rsidR="00246BEB">
        <w:rPr>
          <w:noProof/>
        </w:rPr>
        <w:t>23</w:t>
      </w:r>
      <w:r w:rsidRPr="00246BEB" w:rsidR="00246BEB">
        <w:rPr>
          <w:noProof/>
        </w:rPr>
        <w:fldChar w:fldCharType="end"/>
      </w:r>
      <w:r w:rsidRPr="00246BEB">
        <w:t>.  As regards the applicants</w:t>
      </w:r>
      <w:r w:rsidRPr="00246BEB" w:rsidR="00246BEB">
        <w:t>’</w:t>
      </w:r>
      <w:r w:rsidRPr="00246BEB">
        <w:t xml:space="preserve"> arguments that they were paid the amount due without interest, it appears that they are free to lodge a claim for payment for damages before the domestic courts and to request interest for the years when they were receiving the reduced pension (see </w:t>
      </w:r>
      <w:r w:rsidRPr="00246BEB">
        <w:rPr>
          <w:i/>
          <w:iCs/>
        </w:rPr>
        <w:t>Kluci</w:t>
      </w:r>
      <w:r w:rsidRPr="00246BEB">
        <w:rPr>
          <w:rFonts w:cstheme="minorHAnsi"/>
          <w:i/>
          <w:iCs/>
        </w:rPr>
        <w:t>ń</w:t>
      </w:r>
      <w:r w:rsidRPr="00246BEB">
        <w:rPr>
          <w:i/>
          <w:iCs/>
        </w:rPr>
        <w:t>ska</w:t>
      </w:r>
      <w:r w:rsidRPr="00246BEB">
        <w:rPr>
          <w:i/>
          <w:iCs/>
        </w:rPr>
        <w:noBreakHyphen/>
        <w:t>G</w:t>
      </w:r>
      <w:r w:rsidRPr="00246BEB">
        <w:rPr>
          <w:rFonts w:cstheme="minorHAnsi"/>
          <w:i/>
          <w:iCs/>
        </w:rPr>
        <w:t>ł</w:t>
      </w:r>
      <w:r w:rsidRPr="00246BEB">
        <w:rPr>
          <w:i/>
          <w:iCs/>
        </w:rPr>
        <w:t>uszczak</w:t>
      </w:r>
      <w:r w:rsidRPr="00246BEB">
        <w:rPr>
          <w:i/>
          <w:iCs/>
        </w:rPr>
        <w:t>,</w:t>
      </w:r>
      <w:r w:rsidRPr="00246BEB">
        <w:t xml:space="preserve"> cited above, </w:t>
      </w:r>
      <w:r w:rsidRPr="00246BEB">
        <w:rPr>
          <w:rFonts w:cstheme="minorHAnsi"/>
        </w:rPr>
        <w:t>§</w:t>
      </w:r>
      <w:r w:rsidRPr="00246BEB">
        <w:t> 35).</w:t>
      </w:r>
    </w:p>
    <w:p w:rsidRPr="00246BEB" w:rsidR="00D06541" w:rsidP="00246BEB" w14:paraId="724E87A0" w14:textId="6D0414D5">
      <w:pPr>
        <w:pStyle w:val="JuPara"/>
      </w:pPr>
      <w:r>
        <w:fldChar w:fldCharType="begin"/>
      </w:r>
      <w:r>
        <w:instrText xml:space="preserve"> SEQ level0 \*arabic \* MERGEFORMAT </w:instrText>
      </w:r>
      <w:r>
        <w:fldChar w:fldCharType="separate"/>
      </w:r>
      <w:r w:rsidRPr="00246BEB" w:rsidR="00246BEB">
        <w:rPr>
          <w:noProof/>
        </w:rPr>
        <w:t>24</w:t>
      </w:r>
      <w:r w:rsidRPr="00246BEB" w:rsidR="00246BEB">
        <w:rPr>
          <w:noProof/>
        </w:rPr>
        <w:fldChar w:fldCharType="end"/>
      </w:r>
      <w:r w:rsidRPr="00246BEB">
        <w:t>.  Accordingly, the matter giving rise to the application under Article 1 of Protocol No.</w:t>
      </w:r>
      <w:r w:rsidRPr="00246BEB" w:rsidR="000C467F">
        <w:t> </w:t>
      </w:r>
      <w:r w:rsidRPr="00246BEB">
        <w:t>1 can be considered to have been “resolved” within the meaning of Article 37 § 1 (b) of the Convention. The Court also reiterates that it is not required, for the purposes of Article 37 § 1 (b) of the Convention, that the national authorities acknowledge a violation of the Convention or that the applicant, in addition to having obtained a resolution of the matter, is also granted compensation (see</w:t>
      </w:r>
      <w:r w:rsidRPr="00246BEB" w:rsidR="00246BEB">
        <w:t xml:space="preserve"> </w:t>
      </w:r>
      <w:r w:rsidRPr="00246BEB">
        <w:rPr>
          <w:i/>
          <w:iCs/>
        </w:rPr>
        <w:t>H.P. v. Denmark</w:t>
      </w:r>
      <w:r w:rsidRPr="00246BEB">
        <w:t xml:space="preserve"> (dec.), no. 55607/09, § 78, 13 December 2016, </w:t>
      </w:r>
      <w:r w:rsidRPr="00246BEB">
        <w:rPr>
          <w:i/>
          <w:iCs/>
        </w:rPr>
        <w:t>Kluci</w:t>
      </w:r>
      <w:r w:rsidRPr="00246BEB">
        <w:rPr>
          <w:rFonts w:cstheme="minorHAnsi"/>
          <w:i/>
          <w:iCs/>
        </w:rPr>
        <w:t>ń</w:t>
      </w:r>
      <w:r w:rsidRPr="00246BEB">
        <w:rPr>
          <w:i/>
          <w:iCs/>
        </w:rPr>
        <w:t>ska-G</w:t>
      </w:r>
      <w:r w:rsidRPr="00246BEB">
        <w:rPr>
          <w:rFonts w:cstheme="minorHAnsi"/>
          <w:i/>
          <w:iCs/>
        </w:rPr>
        <w:t>ł</w:t>
      </w:r>
      <w:r w:rsidRPr="00246BEB">
        <w:rPr>
          <w:i/>
          <w:iCs/>
        </w:rPr>
        <w:t>uszczak</w:t>
      </w:r>
      <w:r w:rsidRPr="00246BEB">
        <w:rPr>
          <w:i/>
          <w:iCs/>
        </w:rPr>
        <w:t>,</w:t>
      </w:r>
      <w:r w:rsidRPr="00246BEB">
        <w:t xml:space="preserve"> cited above, </w:t>
      </w:r>
      <w:r w:rsidRPr="00246BEB">
        <w:rPr>
          <w:rFonts w:cstheme="minorHAnsi"/>
        </w:rPr>
        <w:t>§</w:t>
      </w:r>
      <w:r w:rsidRPr="00246BEB">
        <w:t> 35).</w:t>
      </w:r>
    </w:p>
    <w:p w:rsidRPr="00246BEB" w:rsidR="00D06541" w:rsidP="00246BEB" w14:paraId="49B60254" w14:textId="1CF152DA">
      <w:pPr>
        <w:pStyle w:val="JuPara"/>
      </w:pPr>
      <w:r>
        <w:fldChar w:fldCharType="begin"/>
      </w:r>
      <w:r>
        <w:instrText xml:space="preserve"> SEQ level0 \*arabic \* MERGEFORMAT </w:instrText>
      </w:r>
      <w:r>
        <w:fldChar w:fldCharType="separate"/>
      </w:r>
      <w:r w:rsidRPr="00246BEB" w:rsidR="00246BEB">
        <w:rPr>
          <w:noProof/>
        </w:rPr>
        <w:t>25</w:t>
      </w:r>
      <w:r w:rsidRPr="00246BEB" w:rsidR="00246BEB">
        <w:rPr>
          <w:noProof/>
        </w:rPr>
        <w:fldChar w:fldCharType="end"/>
      </w:r>
      <w:r w:rsidRPr="00246BEB">
        <w:t xml:space="preserve">.  Lastly, the Court finds no particular reason relating to respect for human rights as defined in the Convention that would require it to continue to examine the complaints at issue under Article 37 § 1 </w:t>
      </w:r>
      <w:r w:rsidRPr="00246BEB">
        <w:rPr>
          <w:i/>
          <w:iCs/>
        </w:rPr>
        <w:t>in fine</w:t>
      </w:r>
      <w:r w:rsidRPr="00246BEB">
        <w:t>.</w:t>
      </w:r>
    </w:p>
    <w:p w:rsidRPr="00246BEB" w:rsidR="00D06541" w:rsidP="00246BEB" w14:paraId="66843E6F" w14:textId="5C9C2218">
      <w:pPr>
        <w:pStyle w:val="JuPara"/>
      </w:pPr>
      <w:r>
        <w:fldChar w:fldCharType="begin"/>
      </w:r>
      <w:r>
        <w:instrText xml:space="preserve"> SEQ level0 \*arabic \* MERGEFORMAT </w:instrText>
      </w:r>
      <w:r>
        <w:fldChar w:fldCharType="separate"/>
      </w:r>
      <w:r w:rsidRPr="00246BEB" w:rsidR="00246BEB">
        <w:rPr>
          <w:noProof/>
        </w:rPr>
        <w:t>26</w:t>
      </w:r>
      <w:r w:rsidRPr="00246BEB" w:rsidR="00246BEB">
        <w:rPr>
          <w:noProof/>
        </w:rPr>
        <w:fldChar w:fldCharType="end"/>
      </w:r>
      <w:r w:rsidRPr="00246BEB">
        <w:t>.  The applications should therefore be struck out of the Court</w:t>
      </w:r>
      <w:r w:rsidRPr="00246BEB" w:rsidR="00246BEB">
        <w:t>’</w:t>
      </w:r>
      <w:r w:rsidRPr="00246BEB">
        <w:t>s list of cases.</w:t>
      </w:r>
    </w:p>
    <w:p w:rsidRPr="00246BEB" w:rsidR="00D06541" w:rsidP="00246BEB" w14:paraId="7A5C1411" w14:textId="77777777">
      <w:pPr>
        <w:pStyle w:val="JuHHead"/>
        <w:rPr>
          <w:rFonts w:eastAsia="Times New Roman" w:cstheme="minorHAnsi"/>
          <w:lang w:eastAsia="fr-FR"/>
        </w:rPr>
      </w:pPr>
      <w:r w:rsidRPr="00246BEB">
        <w:t>APPLICATION</w:t>
      </w:r>
      <w:r w:rsidRPr="00246BEB">
        <w:rPr>
          <w:lang w:eastAsia="fr-FR"/>
        </w:rPr>
        <w:t xml:space="preserve"> OF </w:t>
      </w:r>
      <w:r w:rsidRPr="00246BEB">
        <w:t>RULE</w:t>
      </w:r>
      <w:r w:rsidRPr="00246BEB">
        <w:rPr>
          <w:lang w:eastAsia="fr-FR"/>
        </w:rPr>
        <w:t xml:space="preserve"> 43 § 4 OF THE RULES OF COURT</w:t>
      </w:r>
    </w:p>
    <w:p w:rsidRPr="00246BEB" w:rsidR="00D06541" w:rsidP="00246BEB" w14:paraId="397AD806" w14:textId="5D4A8758">
      <w:pPr>
        <w:pStyle w:val="JuPara"/>
        <w:rPr>
          <w:rStyle w:val="JuParaChar"/>
          <w:rFonts w:cstheme="minorHAnsi"/>
          <w:lang w:eastAsia="fr-FR"/>
        </w:rPr>
      </w:pPr>
      <w:r w:rsidRPr="00246BEB">
        <w:rPr>
          <w:rStyle w:val="JuParaChar"/>
          <w:rFonts w:cstheme="minorHAnsi"/>
          <w:lang w:eastAsia="fr-FR"/>
        </w:rPr>
        <w:fldChar w:fldCharType="begin"/>
      </w:r>
      <w:r w:rsidRPr="00246BEB">
        <w:rPr>
          <w:rStyle w:val="JuParaChar"/>
          <w:rFonts w:cstheme="minorHAnsi"/>
          <w:lang w:eastAsia="fr-FR"/>
        </w:rPr>
        <w:instrText xml:space="preserve"> SEQ level0 \*arabic \* MERGEFORMAT </w:instrText>
      </w:r>
      <w:r w:rsidRPr="00246BEB">
        <w:rPr>
          <w:rStyle w:val="JuParaChar"/>
          <w:rFonts w:cstheme="minorHAnsi"/>
          <w:lang w:eastAsia="fr-FR"/>
        </w:rPr>
        <w:fldChar w:fldCharType="separate"/>
      </w:r>
      <w:r w:rsidRPr="00246BEB" w:rsidR="00246BEB">
        <w:rPr>
          <w:rStyle w:val="JuParaChar"/>
          <w:rFonts w:cstheme="minorHAnsi"/>
          <w:noProof/>
          <w:lang w:eastAsia="fr-FR"/>
        </w:rPr>
        <w:t>27</w:t>
      </w:r>
      <w:r w:rsidRPr="00246BEB">
        <w:rPr>
          <w:rStyle w:val="JuParaChar"/>
          <w:rFonts w:cstheme="minorHAnsi"/>
          <w:lang w:eastAsia="fr-FR"/>
        </w:rPr>
        <w:fldChar w:fldCharType="end"/>
      </w:r>
      <w:r w:rsidRPr="00246BEB">
        <w:rPr>
          <w:rStyle w:val="JuParaChar"/>
          <w:rFonts w:cstheme="minorHAnsi"/>
          <w:lang w:eastAsia="fr-FR"/>
        </w:rPr>
        <w:t>.  The relevant part of Rule 43 § 4 of the Rules of Court reads as follows:</w:t>
      </w:r>
    </w:p>
    <w:p w:rsidRPr="00246BEB" w:rsidR="00D06541" w:rsidP="00246BEB" w14:paraId="38BE1DCB" w14:textId="77777777">
      <w:pPr>
        <w:pStyle w:val="JuQuot"/>
        <w:rPr>
          <w:rFonts w:eastAsia="Times New Roman"/>
          <w:lang w:eastAsia="fr-FR"/>
        </w:rPr>
      </w:pPr>
      <w:r w:rsidRPr="00246BEB">
        <w:rPr>
          <w:rFonts w:eastAsia="Times New Roman"/>
          <w:lang w:eastAsia="fr-FR"/>
        </w:rPr>
        <w:t>“When an application has been struck out ... the costs shall be at the discretion of the Court.”</w:t>
      </w:r>
    </w:p>
    <w:p w:rsidRPr="00246BEB" w:rsidR="00D06541" w:rsidP="00246BEB" w14:paraId="7089D6C0" w14:textId="31E01601">
      <w:pPr>
        <w:pStyle w:val="JuPara"/>
        <w:rPr>
          <w:rFonts w:eastAsia="Times New Roman" w:cstheme="minorHAnsi"/>
          <w:color w:val="000000"/>
          <w:lang w:eastAsia="fr-FR"/>
        </w:rPr>
      </w:pPr>
      <w:r w:rsidRPr="00246BEB">
        <w:rPr>
          <w:rFonts w:eastAsia="Times New Roman" w:cstheme="minorHAnsi"/>
          <w:color w:val="000000"/>
          <w:lang w:eastAsia="fr-FR"/>
        </w:rPr>
        <w:fldChar w:fldCharType="begin"/>
      </w:r>
      <w:r w:rsidRPr="00246BEB">
        <w:rPr>
          <w:rFonts w:eastAsia="Times New Roman" w:cstheme="minorHAnsi"/>
          <w:color w:val="000000"/>
          <w:lang w:eastAsia="fr-FR"/>
        </w:rPr>
        <w:instrText xml:space="preserve"> SEQ level0 \*arabic \* MERGEFORMAT </w:instrText>
      </w:r>
      <w:r w:rsidRPr="00246BEB">
        <w:rPr>
          <w:rFonts w:eastAsia="Times New Roman" w:cstheme="minorHAnsi"/>
          <w:color w:val="000000"/>
          <w:lang w:eastAsia="fr-FR"/>
        </w:rPr>
        <w:fldChar w:fldCharType="separate"/>
      </w:r>
      <w:r w:rsidRPr="00246BEB" w:rsidR="00246BEB">
        <w:rPr>
          <w:rFonts w:eastAsia="Times New Roman" w:cstheme="minorHAnsi"/>
          <w:noProof/>
          <w:color w:val="000000"/>
          <w:lang w:eastAsia="fr-FR"/>
        </w:rPr>
        <w:t>28</w:t>
      </w:r>
      <w:r w:rsidRPr="00246BEB">
        <w:rPr>
          <w:rFonts w:eastAsia="Times New Roman" w:cstheme="minorHAnsi"/>
          <w:color w:val="000000"/>
          <w:lang w:eastAsia="fr-FR"/>
        </w:rPr>
        <w:fldChar w:fldCharType="end"/>
      </w:r>
      <w:r w:rsidRPr="00246BEB">
        <w:rPr>
          <w:rFonts w:eastAsia="Times New Roman" w:cstheme="minorHAnsi"/>
          <w:color w:val="000000"/>
          <w:lang w:eastAsia="fr-FR"/>
        </w:rPr>
        <w:t xml:space="preserve">.  The Court reiterates that unlike Article 41 of the Convention, which only applies where a violation of the Convention or of the Protocols thereto is found, Rule 43 § 4 authorises it to make an award to the applicant in respect of costs and expenses – and in this respect only – when the application has been struck out (see </w:t>
      </w:r>
      <w:r w:rsidRPr="00246BEB">
        <w:rPr>
          <w:rFonts w:eastAsia="Times New Roman" w:cstheme="minorHAnsi"/>
          <w:i/>
          <w:iCs/>
          <w:color w:val="000000"/>
          <w:lang w:eastAsia="fr-FR"/>
        </w:rPr>
        <w:t>Sisojeva</w:t>
      </w:r>
      <w:r w:rsidRPr="00246BEB">
        <w:rPr>
          <w:rFonts w:eastAsia="Times New Roman" w:cstheme="minorHAnsi"/>
          <w:i/>
          <w:iCs/>
          <w:color w:val="000000"/>
          <w:lang w:eastAsia="fr-FR"/>
        </w:rPr>
        <w:t xml:space="preserve"> and Others</w:t>
      </w:r>
      <w:r w:rsidRPr="00246BEB">
        <w:rPr>
          <w:rFonts w:eastAsia="Times New Roman" w:cstheme="minorHAnsi"/>
          <w:color w:val="000000"/>
          <w:lang w:eastAsia="fr-FR"/>
        </w:rPr>
        <w:t>, cited above, § 132).</w:t>
      </w:r>
    </w:p>
    <w:p w:rsidRPr="00246BEB" w:rsidR="00D06541" w:rsidP="00246BEB" w14:paraId="73007411" w14:textId="13DF4B81">
      <w:pPr>
        <w:pStyle w:val="JuPara"/>
        <w:rPr>
          <w:rFonts w:eastAsia="Times New Roman" w:cstheme="minorHAnsi"/>
          <w:color w:val="000000"/>
          <w:lang w:eastAsia="fr-FR"/>
        </w:rPr>
      </w:pPr>
      <w:r w:rsidRPr="00246BEB">
        <w:rPr>
          <w:rFonts w:eastAsia="Times New Roman" w:cstheme="minorHAnsi"/>
          <w:color w:val="000000"/>
          <w:lang w:eastAsia="fr-FR"/>
        </w:rPr>
        <w:fldChar w:fldCharType="begin"/>
      </w:r>
      <w:r w:rsidRPr="00246BEB">
        <w:rPr>
          <w:rFonts w:eastAsia="Times New Roman" w:cstheme="minorHAnsi"/>
          <w:color w:val="000000"/>
          <w:lang w:eastAsia="fr-FR"/>
        </w:rPr>
        <w:instrText xml:space="preserve"> SEQ level0 \*arabic \* MERGEFORMAT </w:instrText>
      </w:r>
      <w:r w:rsidRPr="00246BEB">
        <w:rPr>
          <w:rFonts w:eastAsia="Times New Roman" w:cstheme="minorHAnsi"/>
          <w:color w:val="000000"/>
          <w:lang w:eastAsia="fr-FR"/>
        </w:rPr>
        <w:fldChar w:fldCharType="separate"/>
      </w:r>
      <w:r w:rsidRPr="00246BEB" w:rsidR="00246BEB">
        <w:rPr>
          <w:rFonts w:eastAsia="Times New Roman" w:cstheme="minorHAnsi"/>
          <w:noProof/>
          <w:color w:val="000000"/>
          <w:lang w:eastAsia="fr-FR"/>
        </w:rPr>
        <w:t>29</w:t>
      </w:r>
      <w:r w:rsidRPr="00246BEB">
        <w:rPr>
          <w:rFonts w:eastAsia="Times New Roman" w:cstheme="minorHAnsi"/>
          <w:color w:val="000000"/>
          <w:lang w:eastAsia="fr-FR"/>
        </w:rPr>
        <w:fldChar w:fldCharType="end"/>
      </w:r>
      <w:r w:rsidRPr="00246BEB">
        <w:rPr>
          <w:rFonts w:eastAsia="Times New Roman" w:cstheme="minorHAnsi"/>
          <w:color w:val="000000"/>
          <w:lang w:eastAsia="fr-FR"/>
        </w:rPr>
        <w:t>.  The Court observes that the Government</w:t>
      </w:r>
      <w:r w:rsidRPr="00246BEB" w:rsidR="00246BEB">
        <w:rPr>
          <w:rFonts w:eastAsia="Times New Roman" w:cstheme="minorHAnsi"/>
          <w:color w:val="000000"/>
          <w:lang w:eastAsia="fr-FR"/>
        </w:rPr>
        <w:t>’</w:t>
      </w:r>
      <w:r w:rsidRPr="00246BEB">
        <w:rPr>
          <w:rFonts w:eastAsia="Times New Roman" w:cstheme="minorHAnsi"/>
          <w:color w:val="000000"/>
          <w:lang w:eastAsia="fr-FR"/>
        </w:rPr>
        <w:t>s request to strike the present applications out of the list of cases was lodged after the applicants had submitted their observations and claims for just satisfaction. The applicants in applications nos.</w:t>
      </w:r>
      <w:r w:rsidRPr="00246BEB" w:rsidR="000C467F">
        <w:rPr>
          <w:rFonts w:eastAsia="Times New Roman" w:cstheme="minorHAnsi"/>
          <w:color w:val="000000"/>
          <w:lang w:eastAsia="fr-FR"/>
        </w:rPr>
        <w:t> </w:t>
      </w:r>
      <w:r w:rsidRPr="00246BEB">
        <w:rPr>
          <w:rFonts w:eastAsia="Times New Roman" w:cstheme="minorHAnsi"/>
          <w:color w:val="000000"/>
          <w:lang w:eastAsia="fr-FR"/>
        </w:rPr>
        <w:t>29761/22, 32326/22 and 56299/22 claimed various amounts in respect of lawyers</w:t>
      </w:r>
      <w:r w:rsidRPr="00246BEB" w:rsidR="00246BEB">
        <w:rPr>
          <w:rFonts w:eastAsia="Times New Roman" w:cstheme="minorHAnsi"/>
          <w:color w:val="000000"/>
          <w:lang w:eastAsia="fr-FR"/>
        </w:rPr>
        <w:t>’</w:t>
      </w:r>
      <w:r w:rsidRPr="00246BEB">
        <w:rPr>
          <w:rFonts w:eastAsia="Times New Roman" w:cstheme="minorHAnsi"/>
          <w:color w:val="000000"/>
          <w:lang w:eastAsia="fr-FR"/>
        </w:rPr>
        <w:t xml:space="preserve"> and court fees incurred for the proceedings before the Court, whereas the applicants in applications nos.</w:t>
      </w:r>
      <w:r w:rsidRPr="00246BEB" w:rsidR="00931E22">
        <w:rPr>
          <w:rFonts w:eastAsia="Times New Roman" w:cstheme="minorHAnsi"/>
          <w:color w:val="000000"/>
          <w:lang w:eastAsia="fr-FR"/>
        </w:rPr>
        <w:t> </w:t>
      </w:r>
      <w:r w:rsidRPr="00246BEB">
        <w:rPr>
          <w:rFonts w:eastAsia="Times New Roman" w:cstheme="minorHAnsi"/>
          <w:color w:val="000000"/>
          <w:lang w:eastAsia="fr-FR"/>
        </w:rPr>
        <w:t>36262/22 and 41754/22 made no claims for costs and expenses.</w:t>
      </w:r>
    </w:p>
    <w:p w:rsidRPr="00246BEB" w:rsidR="00D06541" w:rsidP="00246BEB" w14:paraId="737194CD" w14:textId="72210D83">
      <w:pPr>
        <w:pStyle w:val="JuPara"/>
        <w:rPr>
          <w:rFonts w:eastAsia="Times New Roman" w:cstheme="minorHAnsi"/>
          <w:color w:val="000000"/>
          <w:lang w:eastAsia="fr-FR"/>
        </w:rPr>
      </w:pPr>
      <w:r w:rsidRPr="00246BEB">
        <w:rPr>
          <w:rFonts w:eastAsia="Times New Roman" w:cstheme="minorHAnsi"/>
          <w:color w:val="000000"/>
          <w:lang w:eastAsia="fr-FR"/>
        </w:rPr>
        <w:fldChar w:fldCharType="begin"/>
      </w:r>
      <w:r w:rsidRPr="00246BEB">
        <w:rPr>
          <w:rFonts w:eastAsia="Times New Roman" w:cstheme="minorHAnsi"/>
          <w:color w:val="000000"/>
          <w:lang w:eastAsia="fr-FR"/>
        </w:rPr>
        <w:instrText xml:space="preserve"> SEQ level0 \*arabic \* MERGEFORMAT </w:instrText>
      </w:r>
      <w:r w:rsidRPr="00246BEB">
        <w:rPr>
          <w:rFonts w:eastAsia="Times New Roman" w:cstheme="minorHAnsi"/>
          <w:color w:val="000000"/>
          <w:lang w:eastAsia="fr-FR"/>
        </w:rPr>
        <w:fldChar w:fldCharType="separate"/>
      </w:r>
      <w:r w:rsidRPr="00246BEB" w:rsidR="00246BEB">
        <w:rPr>
          <w:rFonts w:eastAsia="Times New Roman" w:cstheme="minorHAnsi"/>
          <w:noProof/>
          <w:color w:val="000000"/>
          <w:lang w:eastAsia="fr-FR"/>
        </w:rPr>
        <w:t>30</w:t>
      </w:r>
      <w:r w:rsidRPr="00246BEB">
        <w:rPr>
          <w:rFonts w:eastAsia="Times New Roman" w:cstheme="minorHAnsi"/>
          <w:color w:val="000000"/>
          <w:lang w:eastAsia="fr-FR"/>
        </w:rPr>
        <w:fldChar w:fldCharType="end"/>
      </w:r>
      <w:r w:rsidRPr="00246BEB">
        <w:rPr>
          <w:rFonts w:eastAsia="Times New Roman" w:cstheme="minorHAnsi"/>
          <w:color w:val="000000"/>
          <w:lang w:eastAsia="fr-FR"/>
        </w:rPr>
        <w:t xml:space="preserve">.  The Court reiterates that the general principles governing the reimbursement of costs under Rule 43 § 4 are essentially the same as under Article 41 of the Convention. In other words, the costs claimed must relate to the alleged violation or violations and must be reasonable as to quantum. Under Rule 60 § 2, itemised particulars of any claim must be submitted, together with the relevant supporting documents or vouchers, failing which the Court may reject the claim in whole or in part (see </w:t>
      </w:r>
      <w:r w:rsidRPr="00246BEB">
        <w:rPr>
          <w:rFonts w:eastAsia="Times New Roman" w:cstheme="minorHAnsi"/>
          <w:i/>
          <w:iCs/>
          <w:color w:val="000000"/>
          <w:lang w:eastAsia="fr-FR"/>
        </w:rPr>
        <w:t>Kovačić</w:t>
      </w:r>
      <w:r w:rsidRPr="00246BEB">
        <w:rPr>
          <w:rFonts w:eastAsia="Times New Roman" w:cstheme="minorHAnsi"/>
          <w:i/>
          <w:iCs/>
          <w:color w:val="000000"/>
          <w:lang w:eastAsia="fr-FR"/>
        </w:rPr>
        <w:t xml:space="preserve"> and Others v. Slovenia</w:t>
      </w:r>
      <w:r w:rsidRPr="00246BEB">
        <w:rPr>
          <w:rFonts w:eastAsia="Times New Roman" w:cstheme="minorHAnsi"/>
          <w:color w:val="000000"/>
          <w:lang w:eastAsia="fr-FR"/>
        </w:rPr>
        <w:t xml:space="preserve"> [GC], nos. </w:t>
      </w:r>
      <w:r w:rsidRPr="00246BEB">
        <w:rPr>
          <w:rFonts w:eastAsia="Times New Roman" w:cstheme="minorHAnsi"/>
          <w:lang w:eastAsia="fr-FR"/>
        </w:rPr>
        <w:t>44574/98</w:t>
      </w:r>
      <w:r w:rsidRPr="00246BEB" w:rsidR="0001398B">
        <w:rPr>
          <w:rFonts w:eastAsia="Times New Roman" w:cstheme="minorHAnsi"/>
          <w:lang w:eastAsia="fr-FR"/>
        </w:rPr>
        <w:t xml:space="preserve"> and 2 others,</w:t>
      </w:r>
      <w:r w:rsidRPr="00246BEB">
        <w:rPr>
          <w:rFonts w:eastAsia="Times New Roman" w:cstheme="minorHAnsi"/>
          <w:color w:val="000000"/>
          <w:lang w:eastAsia="fr-FR"/>
        </w:rPr>
        <w:t xml:space="preserve"> § 276, 3 October 2008).</w:t>
      </w:r>
    </w:p>
    <w:p w:rsidRPr="00246BEB" w:rsidR="00D06541" w:rsidP="00246BEB" w14:paraId="67667A93" w14:textId="1F337693">
      <w:pPr>
        <w:pStyle w:val="JuPara"/>
        <w:rPr>
          <w:rFonts w:ascii="Arial" w:hAnsi="Arial" w:cs="Arial"/>
          <w:color w:val="000000"/>
        </w:rPr>
      </w:pPr>
      <w:r w:rsidRPr="00246BEB">
        <w:rPr>
          <w:rFonts w:eastAsia="Times New Roman" w:cstheme="minorHAnsi"/>
          <w:color w:val="000000"/>
          <w:lang w:eastAsia="fr-FR"/>
        </w:rPr>
        <w:fldChar w:fldCharType="begin"/>
      </w:r>
      <w:r w:rsidRPr="00246BEB">
        <w:rPr>
          <w:rFonts w:eastAsia="Times New Roman" w:cstheme="minorHAnsi"/>
          <w:color w:val="000000"/>
          <w:lang w:eastAsia="fr-FR"/>
        </w:rPr>
        <w:instrText xml:space="preserve"> SEQ level0 \*arabic \* MERGEFORMAT </w:instrText>
      </w:r>
      <w:r w:rsidRPr="00246BEB">
        <w:rPr>
          <w:rFonts w:eastAsia="Times New Roman" w:cstheme="minorHAnsi"/>
          <w:color w:val="000000"/>
          <w:lang w:eastAsia="fr-FR"/>
        </w:rPr>
        <w:fldChar w:fldCharType="separate"/>
      </w:r>
      <w:r w:rsidRPr="00246BEB" w:rsidR="00246BEB">
        <w:rPr>
          <w:rFonts w:eastAsia="Times New Roman" w:cstheme="minorHAnsi"/>
          <w:noProof/>
          <w:color w:val="000000"/>
          <w:lang w:eastAsia="fr-FR"/>
        </w:rPr>
        <w:t>31</w:t>
      </w:r>
      <w:r w:rsidRPr="00246BEB">
        <w:rPr>
          <w:rFonts w:eastAsia="Times New Roman" w:cstheme="minorHAnsi"/>
          <w:color w:val="000000"/>
          <w:lang w:eastAsia="fr-FR"/>
        </w:rPr>
        <w:fldChar w:fldCharType="end"/>
      </w:r>
      <w:r w:rsidRPr="00246BEB">
        <w:rPr>
          <w:rFonts w:eastAsia="Times New Roman" w:cstheme="minorHAnsi"/>
          <w:color w:val="000000"/>
          <w:lang w:eastAsia="fr-FR"/>
        </w:rPr>
        <w:t>.  Regard being had to the documents in its possession and the above criteria, the Court considers it reasonable to award the applicants in applications nos. 29761/22, 32326/22 and 56299/22 the sum claimed in respect of lawyers</w:t>
      </w:r>
      <w:r w:rsidRPr="00246BEB" w:rsidR="00246BEB">
        <w:rPr>
          <w:rFonts w:eastAsia="Times New Roman" w:cstheme="minorHAnsi"/>
          <w:color w:val="000000"/>
          <w:lang w:eastAsia="fr-FR"/>
        </w:rPr>
        <w:t>’</w:t>
      </w:r>
      <w:r w:rsidRPr="00246BEB">
        <w:rPr>
          <w:rFonts w:eastAsia="Times New Roman" w:cstheme="minorHAnsi"/>
          <w:color w:val="000000"/>
          <w:lang w:eastAsia="fr-FR"/>
        </w:rPr>
        <w:t xml:space="preserve"> and court fees in the amounts specified in the appended table.</w:t>
      </w:r>
    </w:p>
    <w:p w:rsidRPr="00246BEB" w:rsidR="00D06541" w:rsidP="00246BEB" w14:paraId="61794E37" w14:textId="77777777">
      <w:pPr>
        <w:pStyle w:val="JuParaLast"/>
      </w:pPr>
      <w:r w:rsidRPr="00246BEB">
        <w:t>For these reasons, the Court, unanimously,</w:t>
      </w:r>
    </w:p>
    <w:p w:rsidRPr="00246BEB" w:rsidR="00D06541" w:rsidP="00246BEB" w14:paraId="05BA74A4" w14:textId="77777777">
      <w:pPr>
        <w:pStyle w:val="DecList"/>
      </w:pPr>
      <w:r w:rsidRPr="00246BEB">
        <w:rPr>
          <w:i/>
        </w:rPr>
        <w:t xml:space="preserve">1.  Decides </w:t>
      </w:r>
      <w:r w:rsidRPr="00246BEB">
        <w:t>to join the applications;</w:t>
      </w:r>
    </w:p>
    <w:p w:rsidRPr="00246BEB" w:rsidR="00D06541" w:rsidP="00246BEB" w14:paraId="5D197731" w14:textId="77777777">
      <w:pPr>
        <w:pStyle w:val="DecList"/>
      </w:pPr>
      <w:r w:rsidRPr="00246BEB">
        <w:rPr>
          <w:i/>
        </w:rPr>
        <w:t>2.  Decides</w:t>
      </w:r>
      <w:r w:rsidRPr="00246BEB">
        <w:t xml:space="preserve"> to strike the applications out of its list of cases;</w:t>
      </w:r>
    </w:p>
    <w:p w:rsidRPr="00246BEB" w:rsidR="00D06541" w:rsidP="00246BEB" w14:paraId="34FE74CF" w14:textId="77777777">
      <w:pPr>
        <w:pStyle w:val="DecList"/>
      </w:pPr>
      <w:r w:rsidRPr="00246BEB">
        <w:rPr>
          <w:rFonts w:cstheme="minorHAnsi"/>
          <w:color w:val="000000"/>
        </w:rPr>
        <w:t>3.  </w:t>
      </w:r>
      <w:r w:rsidRPr="00246BEB">
        <w:rPr>
          <w:rFonts w:cstheme="minorHAnsi"/>
          <w:i/>
          <w:iCs/>
          <w:color w:val="000000"/>
        </w:rPr>
        <w:t>Holds</w:t>
      </w:r>
      <w:r w:rsidRPr="00246BEB">
        <w:rPr>
          <w:rFonts w:cstheme="minorHAnsi"/>
          <w:color w:val="000000"/>
        </w:rPr>
        <w:t>,</w:t>
      </w:r>
    </w:p>
    <w:p w:rsidRPr="00246BEB" w:rsidR="00D06541" w:rsidP="00246BEB" w14:paraId="20D3F328" w14:textId="5FC3C7A6">
      <w:pPr>
        <w:pStyle w:val="JuLista"/>
      </w:pPr>
      <w:r w:rsidRPr="00246BEB">
        <w:t>that the respondent State is to pay the applicants</w:t>
      </w:r>
      <w:r w:rsidRPr="00246BEB">
        <w:rPr>
          <w:rFonts w:eastAsia="Times New Roman" w:cstheme="minorHAnsi"/>
          <w:color w:val="000000"/>
          <w:lang w:eastAsia="fr-FR"/>
        </w:rPr>
        <w:t xml:space="preserve"> in </w:t>
      </w:r>
      <w:r w:rsidRPr="00246BEB">
        <w:t>applications nos.</w:t>
      </w:r>
      <w:r w:rsidRPr="00246BEB" w:rsidR="00516AE0">
        <w:t> </w:t>
      </w:r>
      <w:r w:rsidRPr="00246BEB">
        <w:t>29761/22, 32326/22 and 56299/22, in respect of costs and expenses, within three months, the amounts indicated in the appended table, plus any tax that may be chargeable to them, to be converted into the currency of the respondent State at the rate applicable at the date of settlement;</w:t>
      </w:r>
    </w:p>
    <w:p w:rsidRPr="00246BEB" w:rsidR="00D06541" w:rsidP="00246BEB" w14:paraId="5ABCAFE2" w14:textId="7D902C95">
      <w:pPr>
        <w:pStyle w:val="JuLista"/>
      </w:pPr>
      <w:r w:rsidRPr="00246BEB">
        <w:t>that from the expiry of the above-mentioned three months until settlement simple interest shall be payable on these amounts at a rate equal to the marginal lending rate of the European Central Bank during the default period plus three percentage points.</w:t>
      </w:r>
    </w:p>
    <w:p w:rsidRPr="00246BEB" w:rsidR="00BD1692" w:rsidP="00246BEB" w14:paraId="13B45582" w14:textId="768AA5FE">
      <w:pPr>
        <w:pStyle w:val="JuParaLast"/>
        <w:rPr>
          <w:sz w:val="14"/>
        </w:rPr>
      </w:pPr>
      <w:r w:rsidRPr="00246BEB">
        <w:t xml:space="preserve">Done in English and notified in writing on </w:t>
      </w:r>
      <w:r w:rsidRPr="00246BEB" w:rsidR="00D06541">
        <w:t>12 February 2026</w:t>
      </w:r>
      <w:r w:rsidRPr="00246BEB">
        <w:t>.</w:t>
      </w:r>
    </w:p>
    <w:p w:rsidRPr="00246BEB" w:rsidR="00BD1692" w:rsidP="00246BEB" w14:paraId="08411EFE" w14:textId="2C316F3F">
      <w:pPr>
        <w:pStyle w:val="ECHRPlaceholder"/>
        <w:keepNext/>
        <w:keepLines/>
      </w:pPr>
      <w:r w:rsidRPr="00246BEB">
        <w:tab/>
      </w:r>
    </w:p>
    <w:p w:rsidRPr="00246BEB" w:rsidR="00B32591" w:rsidP="00246BEB" w14:paraId="454EA3AE" w14:textId="68A700EF">
      <w:pPr>
        <w:pStyle w:val="JuSigned"/>
        <w:keepNext/>
        <w:keepLines/>
      </w:pPr>
      <w:r w:rsidRPr="00246BEB">
        <w:tab/>
      </w:r>
      <w:r w:rsidRPr="00246BEB" w:rsidR="00D06541">
        <w:rPr>
          <w:rFonts w:eastAsia="PMingLiU"/>
        </w:rPr>
        <w:t>Liv Tigerstedt</w:t>
      </w:r>
      <w:r w:rsidRPr="00246BEB" w:rsidR="001D1233">
        <w:tab/>
      </w:r>
      <w:r w:rsidRPr="00246BEB" w:rsidR="00D06541">
        <w:t xml:space="preserve">Davor </w:t>
      </w:r>
      <w:r w:rsidRPr="00246BEB" w:rsidR="00D06541">
        <w:t>Derenčinović</w:t>
      </w:r>
      <w:r w:rsidRPr="00246BEB" w:rsidR="001D1233">
        <w:br/>
      </w:r>
      <w:r w:rsidRPr="00246BEB" w:rsidR="001D1233">
        <w:tab/>
      </w:r>
      <w:r w:rsidRPr="00246BEB" w:rsidR="00D06541">
        <w:t>Deputy Registrar</w:t>
      </w:r>
      <w:r w:rsidRPr="00246BEB" w:rsidR="006267D3">
        <w:tab/>
        <w:t>President</w:t>
      </w:r>
    </w:p>
    <w:p w:rsidRPr="00246BEB" w:rsidR="00D06541" w:rsidP="00246BEB" w14:paraId="4A045F9B" w14:textId="518BE3C9">
      <w:pPr>
        <w:pStyle w:val="JuPara"/>
      </w:pPr>
      <w:r w:rsidRPr="00246BEB">
        <w:br w:type="page"/>
      </w:r>
    </w:p>
    <w:p w:rsidRPr="00246BEB" w:rsidR="00FC7DFB" w:rsidP="00246BEB" w14:paraId="3DB729FD" w14:textId="77777777">
      <w:pPr>
        <w:pStyle w:val="JuHHead"/>
        <w:jc w:val="center"/>
      </w:pPr>
      <w:r w:rsidRPr="00246BEB">
        <w:t>Appendix</w:t>
      </w:r>
    </w:p>
    <w:p w:rsidRPr="00246BEB" w:rsidR="00D43B36" w:rsidP="00246BEB" w14:paraId="6F705EE9" w14:textId="462CE6A7">
      <w:pPr>
        <w:pStyle w:val="JuPara"/>
        <w:jc w:val="center"/>
      </w:pPr>
      <w:r w:rsidRPr="00246BEB">
        <w:t>List of cases:</w:t>
      </w:r>
    </w:p>
    <w:p w:rsidRPr="00246BEB" w:rsidR="00D43B36" w:rsidP="00246BEB" w14:paraId="71EECEDA" w14:textId="77777777">
      <w:pPr>
        <w:pStyle w:val="JuPara"/>
      </w:pPr>
    </w:p>
    <w:tbl>
      <w:tblPr>
        <w:tblStyle w:val="ECHRListTable"/>
        <w:tblW w:w="10201" w:type="dxa"/>
        <w:jc w:val="center"/>
        <w:tblLayout w:type="fixed"/>
        <w:tblLook w:val="0420"/>
      </w:tblPr>
      <w:tblGrid>
        <w:gridCol w:w="567"/>
        <w:gridCol w:w="1276"/>
        <w:gridCol w:w="1417"/>
        <w:gridCol w:w="1130"/>
        <w:gridCol w:w="2551"/>
        <w:gridCol w:w="2126"/>
        <w:gridCol w:w="1134"/>
      </w:tblGrid>
      <w:tr w:rsidTr="0001398B" w14:paraId="7C1A0769" w14:textId="77777777">
        <w:tblPrEx>
          <w:tblW w:w="10201" w:type="dxa"/>
          <w:jc w:val="center"/>
          <w:tblLayout w:type="fixed"/>
          <w:tblLook w:val="0420"/>
        </w:tblPrEx>
        <w:trPr>
          <w:jc w:val="center"/>
        </w:trPr>
        <w:tc>
          <w:tcPr>
            <w:tcW w:w="567" w:type="dxa"/>
            <w:hideMark/>
          </w:tcPr>
          <w:p w:rsidRPr="00246BEB" w:rsidR="00FC7DFB" w:rsidP="00246BEB" w14:paraId="068E41BE" w14:textId="77777777">
            <w:pPr>
              <w:rPr>
                <w:rFonts w:eastAsia="Times New Roman"/>
                <w:sz w:val="20"/>
                <w:szCs w:val="20"/>
              </w:rPr>
            </w:pPr>
            <w:r w:rsidRPr="00246BEB">
              <w:rPr>
                <w:rFonts w:eastAsia="Times New Roman"/>
                <w:sz w:val="20"/>
                <w:szCs w:val="20"/>
              </w:rPr>
              <w:t>No.</w:t>
            </w:r>
          </w:p>
        </w:tc>
        <w:tc>
          <w:tcPr>
            <w:tcW w:w="1276" w:type="dxa"/>
            <w:hideMark/>
          </w:tcPr>
          <w:p w:rsidRPr="00246BEB" w:rsidR="00FC7DFB" w:rsidP="00246BEB" w14:paraId="1A7CD2A5" w14:textId="77777777">
            <w:pPr>
              <w:rPr>
                <w:rFonts w:eastAsia="Times New Roman"/>
                <w:sz w:val="20"/>
                <w:szCs w:val="20"/>
              </w:rPr>
            </w:pPr>
            <w:r w:rsidRPr="00246BEB">
              <w:rPr>
                <w:rFonts w:eastAsia="Times New Roman"/>
                <w:sz w:val="20"/>
                <w:szCs w:val="20"/>
              </w:rPr>
              <w:t>Application no.</w:t>
            </w:r>
          </w:p>
        </w:tc>
        <w:tc>
          <w:tcPr>
            <w:tcW w:w="1417" w:type="dxa"/>
            <w:hideMark/>
          </w:tcPr>
          <w:p w:rsidRPr="00246BEB" w:rsidR="00FC7DFB" w:rsidP="00246BEB" w14:paraId="41A9B565" w14:textId="77777777">
            <w:pPr>
              <w:rPr>
                <w:rFonts w:eastAsia="Times New Roman"/>
                <w:sz w:val="20"/>
                <w:szCs w:val="20"/>
              </w:rPr>
            </w:pPr>
            <w:r w:rsidRPr="00246BEB">
              <w:rPr>
                <w:rFonts w:eastAsia="Times New Roman"/>
                <w:sz w:val="20"/>
                <w:szCs w:val="20"/>
              </w:rPr>
              <w:t>Case name</w:t>
            </w:r>
          </w:p>
        </w:tc>
        <w:tc>
          <w:tcPr>
            <w:tcW w:w="1130" w:type="dxa"/>
            <w:hideMark/>
          </w:tcPr>
          <w:p w:rsidRPr="00246BEB" w:rsidR="00FC7DFB" w:rsidP="00246BEB" w14:paraId="26A0B909" w14:textId="77777777">
            <w:pPr>
              <w:rPr>
                <w:rFonts w:eastAsia="Times New Roman"/>
                <w:sz w:val="20"/>
                <w:szCs w:val="20"/>
              </w:rPr>
            </w:pPr>
            <w:r w:rsidRPr="00246BEB">
              <w:rPr>
                <w:rFonts w:eastAsia="Times New Roman"/>
                <w:sz w:val="20"/>
                <w:szCs w:val="20"/>
              </w:rPr>
              <w:t>Lodged on</w:t>
            </w:r>
          </w:p>
        </w:tc>
        <w:tc>
          <w:tcPr>
            <w:tcW w:w="2551" w:type="dxa"/>
            <w:hideMark/>
          </w:tcPr>
          <w:p w:rsidRPr="00246BEB" w:rsidR="00FC7DFB" w:rsidP="00246BEB" w14:paraId="7EE763D6" w14:textId="77777777">
            <w:pPr>
              <w:rPr>
                <w:rFonts w:eastAsia="Times New Roman"/>
                <w:sz w:val="20"/>
                <w:szCs w:val="20"/>
              </w:rPr>
            </w:pPr>
            <w:r w:rsidRPr="00246BEB">
              <w:rPr>
                <w:rFonts w:eastAsia="Times New Roman"/>
                <w:sz w:val="20"/>
                <w:szCs w:val="20"/>
              </w:rPr>
              <w:t>Applicant</w:t>
            </w:r>
            <w:r w:rsidRPr="00246BEB">
              <w:rPr>
                <w:rFonts w:eastAsia="Times New Roman"/>
                <w:sz w:val="20"/>
                <w:szCs w:val="20"/>
              </w:rPr>
              <w:br/>
              <w:t>Year of Birth</w:t>
            </w:r>
            <w:r w:rsidRPr="00246BEB">
              <w:rPr>
                <w:rFonts w:eastAsia="Times New Roman"/>
                <w:sz w:val="20"/>
                <w:szCs w:val="20"/>
              </w:rPr>
              <w:br/>
              <w:t>Place of Residence</w:t>
            </w:r>
            <w:r w:rsidRPr="00246BEB">
              <w:rPr>
                <w:rFonts w:eastAsia="Times New Roman"/>
                <w:sz w:val="20"/>
                <w:szCs w:val="20"/>
              </w:rPr>
              <w:br/>
              <w:t>Nationality</w:t>
            </w:r>
          </w:p>
        </w:tc>
        <w:tc>
          <w:tcPr>
            <w:tcW w:w="2126" w:type="dxa"/>
            <w:hideMark/>
          </w:tcPr>
          <w:p w:rsidRPr="00246BEB" w:rsidR="00FC7DFB" w:rsidP="00246BEB" w14:paraId="0DEDF338" w14:textId="77777777">
            <w:pPr>
              <w:rPr>
                <w:rFonts w:eastAsia="Times New Roman"/>
                <w:sz w:val="20"/>
                <w:szCs w:val="20"/>
              </w:rPr>
            </w:pPr>
            <w:r w:rsidRPr="00246BEB">
              <w:rPr>
                <w:rFonts w:eastAsia="Times New Roman"/>
                <w:sz w:val="20"/>
                <w:szCs w:val="20"/>
              </w:rPr>
              <w:t>Represented by</w:t>
            </w:r>
          </w:p>
        </w:tc>
        <w:tc>
          <w:tcPr>
            <w:tcW w:w="1134" w:type="dxa"/>
            <w:hideMark/>
          </w:tcPr>
          <w:p w:rsidRPr="00246BEB" w:rsidR="00042590" w:rsidP="00246BEB" w14:paraId="4D444DE9" w14:textId="77777777">
            <w:pPr>
              <w:rPr>
                <w:rFonts w:eastAsia="Times New Roman"/>
                <w:sz w:val="20"/>
                <w:szCs w:val="20"/>
              </w:rPr>
            </w:pPr>
            <w:r w:rsidRPr="00246BEB">
              <w:rPr>
                <w:rFonts w:eastAsia="Times New Roman"/>
                <w:sz w:val="20"/>
                <w:szCs w:val="20"/>
              </w:rPr>
              <w:t>Costs and expenses awarded</w:t>
            </w:r>
          </w:p>
          <w:p w:rsidRPr="00246BEB" w:rsidR="00FC7DFB" w:rsidP="00246BEB" w14:paraId="7D212875" w14:textId="3023175E">
            <w:pPr>
              <w:rPr>
                <w:rFonts w:eastAsia="Times New Roman"/>
                <w:sz w:val="20"/>
                <w:szCs w:val="20"/>
              </w:rPr>
            </w:pPr>
            <w:r w:rsidRPr="00246BEB">
              <w:rPr>
                <w:rFonts w:eastAsia="Times New Roman"/>
                <w:sz w:val="20"/>
                <w:szCs w:val="20"/>
              </w:rPr>
              <w:t>(in euros)</w:t>
            </w:r>
          </w:p>
        </w:tc>
      </w:tr>
      <w:tr w:rsidTr="0001398B" w14:paraId="2B9A1C68" w14:textId="77777777">
        <w:tblPrEx>
          <w:tblW w:w="10201" w:type="dxa"/>
          <w:jc w:val="center"/>
          <w:tblLayout w:type="fixed"/>
          <w:tblLook w:val="0420"/>
        </w:tblPrEx>
        <w:trPr>
          <w:jc w:val="center"/>
        </w:trPr>
        <w:tc>
          <w:tcPr>
            <w:tcW w:w="567" w:type="dxa"/>
            <w:hideMark/>
          </w:tcPr>
          <w:p w:rsidRPr="00246BEB" w:rsidR="00FC7DFB" w:rsidP="00246BEB" w14:paraId="0D9B518A" w14:textId="77777777">
            <w:pPr>
              <w:rPr>
                <w:rFonts w:eastAsia="Times New Roman"/>
              </w:rPr>
            </w:pPr>
            <w:r w:rsidRPr="00246BEB">
              <w:rPr>
                <w:rFonts w:eastAsia="Times New Roman"/>
              </w:rPr>
              <w:t>1.</w:t>
            </w:r>
          </w:p>
        </w:tc>
        <w:tc>
          <w:tcPr>
            <w:tcW w:w="1276" w:type="dxa"/>
            <w:hideMark/>
          </w:tcPr>
          <w:p w:rsidRPr="00246BEB" w:rsidR="00FC7DFB" w:rsidP="00246BEB" w14:paraId="1A93E17E" w14:textId="77777777">
            <w:pPr>
              <w:rPr>
                <w:rFonts w:eastAsia="Times New Roman"/>
                <w:sz w:val="20"/>
                <w:szCs w:val="20"/>
              </w:rPr>
            </w:pPr>
            <w:r w:rsidRPr="00246BEB">
              <w:rPr>
                <w:rFonts w:eastAsia="Times New Roman"/>
                <w:sz w:val="20"/>
                <w:szCs w:val="20"/>
              </w:rPr>
              <w:t>29761/22</w:t>
            </w:r>
          </w:p>
        </w:tc>
        <w:tc>
          <w:tcPr>
            <w:tcW w:w="1417" w:type="dxa"/>
            <w:hideMark/>
          </w:tcPr>
          <w:p w:rsidRPr="00246BEB" w:rsidR="00FC7DFB" w:rsidP="00246BEB" w14:paraId="363E67C1" w14:textId="77777777">
            <w:pPr>
              <w:rPr>
                <w:rFonts w:eastAsia="Times New Roman"/>
                <w:sz w:val="20"/>
                <w:szCs w:val="20"/>
              </w:rPr>
            </w:pPr>
            <w:r w:rsidRPr="00246BEB">
              <w:rPr>
                <w:rFonts w:eastAsia="Times New Roman"/>
                <w:sz w:val="20"/>
                <w:szCs w:val="20"/>
              </w:rPr>
              <w:t>Sala v. Poland</w:t>
            </w:r>
          </w:p>
        </w:tc>
        <w:tc>
          <w:tcPr>
            <w:tcW w:w="1130" w:type="dxa"/>
            <w:hideMark/>
          </w:tcPr>
          <w:p w:rsidRPr="00246BEB" w:rsidR="00FC7DFB" w:rsidP="00246BEB" w14:paraId="131F2DCF" w14:textId="77777777">
            <w:pPr>
              <w:rPr>
                <w:rFonts w:eastAsia="Times New Roman"/>
                <w:sz w:val="20"/>
                <w:szCs w:val="20"/>
              </w:rPr>
            </w:pPr>
            <w:r w:rsidRPr="00246BEB">
              <w:rPr>
                <w:rFonts w:eastAsia="Times New Roman"/>
                <w:sz w:val="20"/>
                <w:szCs w:val="20"/>
              </w:rPr>
              <w:t>07/06/2022</w:t>
            </w:r>
          </w:p>
        </w:tc>
        <w:tc>
          <w:tcPr>
            <w:tcW w:w="2551" w:type="dxa"/>
            <w:hideMark/>
          </w:tcPr>
          <w:p w:rsidRPr="00246BEB" w:rsidR="00FC7DFB" w:rsidP="00246BEB" w14:paraId="2E2D17BF" w14:textId="77777777">
            <w:pPr>
              <w:rPr>
                <w:rFonts w:eastAsia="Times New Roman"/>
                <w:sz w:val="20"/>
                <w:szCs w:val="20"/>
              </w:rPr>
            </w:pPr>
            <w:r w:rsidRPr="00246BEB">
              <w:rPr>
                <w:rFonts w:eastAsia="Times New Roman"/>
                <w:b/>
                <w:bCs/>
                <w:sz w:val="20"/>
                <w:szCs w:val="20"/>
              </w:rPr>
              <w:t xml:space="preserve">Janina </w:t>
            </w:r>
            <w:r w:rsidRPr="00246BEB">
              <w:rPr>
                <w:rFonts w:eastAsia="Times New Roman"/>
                <w:b/>
                <w:bCs/>
                <w:sz w:val="20"/>
                <w:szCs w:val="20"/>
              </w:rPr>
              <w:t>Józefa</w:t>
            </w:r>
            <w:r w:rsidRPr="00246BEB">
              <w:rPr>
                <w:rFonts w:eastAsia="Times New Roman"/>
                <w:b/>
                <w:bCs/>
                <w:sz w:val="20"/>
                <w:szCs w:val="20"/>
              </w:rPr>
              <w:t xml:space="preserve"> SALA</w:t>
            </w:r>
            <w:r w:rsidRPr="00246BEB">
              <w:rPr>
                <w:rFonts w:eastAsia="Times New Roman"/>
                <w:sz w:val="20"/>
                <w:szCs w:val="20"/>
              </w:rPr>
              <w:br/>
              <w:t>1951</w:t>
            </w:r>
            <w:r w:rsidRPr="00246BEB">
              <w:rPr>
                <w:rFonts w:eastAsia="Times New Roman"/>
                <w:sz w:val="20"/>
                <w:szCs w:val="20"/>
              </w:rPr>
              <w:br/>
              <w:t xml:space="preserve">Biala </w:t>
            </w:r>
            <w:r w:rsidRPr="00246BEB">
              <w:rPr>
                <w:rFonts w:eastAsia="Times New Roman"/>
                <w:sz w:val="20"/>
                <w:szCs w:val="20"/>
              </w:rPr>
              <w:t>Podlaska</w:t>
            </w:r>
            <w:r w:rsidRPr="00246BEB">
              <w:rPr>
                <w:rFonts w:eastAsia="Times New Roman"/>
                <w:sz w:val="20"/>
                <w:szCs w:val="20"/>
              </w:rPr>
              <w:br/>
              <w:t>Polish</w:t>
            </w:r>
          </w:p>
        </w:tc>
        <w:tc>
          <w:tcPr>
            <w:tcW w:w="2126" w:type="dxa"/>
            <w:hideMark/>
          </w:tcPr>
          <w:p w:rsidRPr="00246BEB" w:rsidR="00FC7DFB" w:rsidP="00246BEB" w14:paraId="12F4C10C" w14:textId="77777777">
            <w:pPr>
              <w:rPr>
                <w:rFonts w:eastAsia="Times New Roman"/>
                <w:sz w:val="20"/>
                <w:szCs w:val="20"/>
              </w:rPr>
            </w:pPr>
            <w:r w:rsidRPr="00246BEB">
              <w:rPr>
                <w:rFonts w:eastAsia="Times New Roman"/>
                <w:sz w:val="20"/>
                <w:szCs w:val="20"/>
              </w:rPr>
              <w:t>Iwona SZYMANEK</w:t>
            </w:r>
            <w:r w:rsidRPr="00246BEB">
              <w:rPr>
                <w:rFonts w:eastAsia="Times New Roman"/>
                <w:sz w:val="20"/>
                <w:szCs w:val="20"/>
              </w:rPr>
              <w:noBreakHyphen/>
              <w:t>MAZUR</w:t>
            </w:r>
          </w:p>
        </w:tc>
        <w:tc>
          <w:tcPr>
            <w:tcW w:w="1134" w:type="dxa"/>
            <w:hideMark/>
          </w:tcPr>
          <w:p w:rsidRPr="00246BEB" w:rsidR="00FC7DFB" w:rsidP="00246BEB" w14:paraId="529EA7D9" w14:textId="77777777">
            <w:pPr>
              <w:rPr>
                <w:rFonts w:eastAsia="Times New Roman"/>
                <w:sz w:val="20"/>
                <w:szCs w:val="20"/>
              </w:rPr>
            </w:pPr>
            <w:r w:rsidRPr="00246BEB">
              <w:rPr>
                <w:rFonts w:eastAsia="Times New Roman"/>
                <w:sz w:val="20"/>
                <w:szCs w:val="20"/>
              </w:rPr>
              <w:t>1,000</w:t>
            </w:r>
          </w:p>
        </w:tc>
      </w:tr>
      <w:tr w:rsidTr="0001398B" w14:paraId="4D98630E" w14:textId="77777777">
        <w:tblPrEx>
          <w:tblW w:w="10201" w:type="dxa"/>
          <w:jc w:val="center"/>
          <w:tblLayout w:type="fixed"/>
          <w:tblLook w:val="0420"/>
        </w:tblPrEx>
        <w:trPr>
          <w:jc w:val="center"/>
        </w:trPr>
        <w:tc>
          <w:tcPr>
            <w:tcW w:w="567" w:type="dxa"/>
            <w:hideMark/>
          </w:tcPr>
          <w:p w:rsidRPr="00246BEB" w:rsidR="00FC7DFB" w:rsidP="00246BEB" w14:paraId="52407CD3" w14:textId="77777777">
            <w:pPr>
              <w:rPr>
                <w:rFonts w:eastAsia="Times New Roman"/>
              </w:rPr>
            </w:pPr>
            <w:r w:rsidRPr="00246BEB">
              <w:rPr>
                <w:rFonts w:eastAsia="Times New Roman"/>
              </w:rPr>
              <w:t>2.</w:t>
            </w:r>
          </w:p>
        </w:tc>
        <w:tc>
          <w:tcPr>
            <w:tcW w:w="1276" w:type="dxa"/>
            <w:hideMark/>
          </w:tcPr>
          <w:p w:rsidRPr="00246BEB" w:rsidR="00FC7DFB" w:rsidP="00246BEB" w14:paraId="0F018997" w14:textId="77777777">
            <w:pPr>
              <w:rPr>
                <w:rFonts w:eastAsia="Times New Roman"/>
                <w:sz w:val="20"/>
                <w:szCs w:val="20"/>
              </w:rPr>
            </w:pPr>
            <w:r w:rsidRPr="00246BEB">
              <w:rPr>
                <w:rFonts w:eastAsia="Times New Roman"/>
                <w:sz w:val="20"/>
                <w:szCs w:val="20"/>
              </w:rPr>
              <w:t>32326/22</w:t>
            </w:r>
          </w:p>
        </w:tc>
        <w:tc>
          <w:tcPr>
            <w:tcW w:w="1417" w:type="dxa"/>
            <w:hideMark/>
          </w:tcPr>
          <w:p w:rsidRPr="00246BEB" w:rsidR="00FC7DFB" w:rsidP="00246BEB" w14:paraId="49081EA7" w14:textId="77777777">
            <w:pPr>
              <w:rPr>
                <w:rFonts w:eastAsia="Times New Roman"/>
                <w:sz w:val="20"/>
                <w:szCs w:val="20"/>
              </w:rPr>
            </w:pPr>
            <w:r w:rsidRPr="00246BEB">
              <w:rPr>
                <w:rFonts w:eastAsia="Times New Roman"/>
                <w:sz w:val="20"/>
                <w:szCs w:val="20"/>
              </w:rPr>
              <w:t>Pakuła</w:t>
            </w:r>
            <w:r w:rsidRPr="00246BEB">
              <w:rPr>
                <w:rFonts w:eastAsia="Times New Roman"/>
                <w:sz w:val="20"/>
                <w:szCs w:val="20"/>
              </w:rPr>
              <w:t xml:space="preserve"> v. Poland</w:t>
            </w:r>
          </w:p>
        </w:tc>
        <w:tc>
          <w:tcPr>
            <w:tcW w:w="1130" w:type="dxa"/>
            <w:hideMark/>
          </w:tcPr>
          <w:p w:rsidRPr="00246BEB" w:rsidR="00FC7DFB" w:rsidP="00246BEB" w14:paraId="578CBA5E" w14:textId="77777777">
            <w:pPr>
              <w:rPr>
                <w:rFonts w:eastAsia="Times New Roman"/>
                <w:sz w:val="20"/>
                <w:szCs w:val="20"/>
              </w:rPr>
            </w:pPr>
            <w:r w:rsidRPr="00246BEB">
              <w:rPr>
                <w:rFonts w:eastAsia="Times New Roman"/>
                <w:sz w:val="20"/>
                <w:szCs w:val="20"/>
              </w:rPr>
              <w:t>20/05/2022</w:t>
            </w:r>
          </w:p>
        </w:tc>
        <w:tc>
          <w:tcPr>
            <w:tcW w:w="2551" w:type="dxa"/>
            <w:hideMark/>
          </w:tcPr>
          <w:p w:rsidRPr="00246BEB" w:rsidR="00FC7DFB" w:rsidP="00246BEB" w14:paraId="4CD68FD9" w14:textId="77777777">
            <w:pPr>
              <w:rPr>
                <w:rFonts w:eastAsia="Times New Roman"/>
                <w:sz w:val="20"/>
                <w:szCs w:val="20"/>
                <w:lang w:val="pl-PL"/>
              </w:rPr>
            </w:pPr>
            <w:r w:rsidRPr="00246BEB">
              <w:rPr>
                <w:rFonts w:eastAsia="Times New Roman"/>
                <w:b/>
                <w:bCs/>
                <w:sz w:val="20"/>
                <w:szCs w:val="20"/>
                <w:lang w:val="pl-PL"/>
              </w:rPr>
              <w:t>Wieslaw</w:t>
            </w:r>
            <w:r w:rsidRPr="00246BEB">
              <w:rPr>
                <w:rFonts w:eastAsia="Times New Roman"/>
                <w:b/>
                <w:bCs/>
                <w:sz w:val="20"/>
                <w:szCs w:val="20"/>
                <w:lang w:val="pl-PL"/>
              </w:rPr>
              <w:t xml:space="preserve"> PAKUŁA</w:t>
            </w:r>
            <w:r w:rsidRPr="00246BEB">
              <w:rPr>
                <w:rFonts w:eastAsia="Times New Roman"/>
                <w:sz w:val="20"/>
                <w:szCs w:val="20"/>
                <w:lang w:val="pl-PL"/>
              </w:rPr>
              <w:br/>
              <w:t>1955</w:t>
            </w:r>
            <w:r w:rsidRPr="00246BEB">
              <w:rPr>
                <w:rFonts w:eastAsia="Times New Roman"/>
                <w:sz w:val="20"/>
                <w:szCs w:val="20"/>
                <w:lang w:val="pl-PL"/>
              </w:rPr>
              <w:br/>
            </w:r>
            <w:r w:rsidRPr="00246BEB">
              <w:rPr>
                <w:rFonts w:eastAsia="Times New Roman"/>
                <w:sz w:val="20"/>
                <w:szCs w:val="20"/>
                <w:lang w:val="pl-PL"/>
              </w:rPr>
              <w:t>Biala</w:t>
            </w:r>
            <w:r w:rsidRPr="00246BEB">
              <w:rPr>
                <w:rFonts w:eastAsia="Times New Roman"/>
                <w:sz w:val="20"/>
                <w:szCs w:val="20"/>
                <w:lang w:val="pl-PL"/>
              </w:rPr>
              <w:t xml:space="preserve"> Podlaska</w:t>
            </w:r>
            <w:r w:rsidRPr="00246BEB">
              <w:rPr>
                <w:rFonts w:eastAsia="Times New Roman"/>
                <w:sz w:val="20"/>
                <w:szCs w:val="20"/>
                <w:lang w:val="pl-PL"/>
              </w:rPr>
              <w:br/>
            </w:r>
            <w:r w:rsidRPr="00246BEB">
              <w:rPr>
                <w:rFonts w:eastAsia="Times New Roman"/>
                <w:sz w:val="20"/>
                <w:szCs w:val="20"/>
                <w:lang w:val="pl-PL"/>
              </w:rPr>
              <w:t>Polish</w:t>
            </w:r>
          </w:p>
        </w:tc>
        <w:tc>
          <w:tcPr>
            <w:tcW w:w="2126" w:type="dxa"/>
            <w:hideMark/>
          </w:tcPr>
          <w:p w:rsidRPr="00246BEB" w:rsidR="00FC7DFB" w:rsidP="00246BEB" w14:paraId="5E5960A8" w14:textId="77777777">
            <w:pPr>
              <w:rPr>
                <w:rFonts w:eastAsia="Times New Roman"/>
                <w:sz w:val="20"/>
                <w:szCs w:val="20"/>
              </w:rPr>
            </w:pPr>
            <w:r w:rsidRPr="00246BEB">
              <w:rPr>
                <w:rFonts w:eastAsia="Times New Roman"/>
                <w:sz w:val="20"/>
                <w:szCs w:val="20"/>
              </w:rPr>
              <w:t>Iwona SZYMANEK</w:t>
            </w:r>
            <w:r w:rsidRPr="00246BEB">
              <w:rPr>
                <w:rFonts w:eastAsia="Times New Roman"/>
                <w:sz w:val="20"/>
                <w:szCs w:val="20"/>
              </w:rPr>
              <w:noBreakHyphen/>
              <w:t>MAZUR</w:t>
            </w:r>
          </w:p>
        </w:tc>
        <w:tc>
          <w:tcPr>
            <w:tcW w:w="1134" w:type="dxa"/>
            <w:hideMark/>
          </w:tcPr>
          <w:p w:rsidRPr="00246BEB" w:rsidR="00FC7DFB" w:rsidP="00246BEB" w14:paraId="25DDEB4B" w14:textId="77777777">
            <w:pPr>
              <w:rPr>
                <w:rFonts w:eastAsia="Times New Roman"/>
                <w:sz w:val="20"/>
                <w:szCs w:val="20"/>
              </w:rPr>
            </w:pPr>
            <w:r w:rsidRPr="00246BEB">
              <w:rPr>
                <w:rFonts w:eastAsia="Times New Roman"/>
                <w:sz w:val="20"/>
                <w:szCs w:val="20"/>
              </w:rPr>
              <w:t>1,000</w:t>
            </w:r>
          </w:p>
        </w:tc>
      </w:tr>
      <w:tr w:rsidTr="0001398B" w14:paraId="774B4659" w14:textId="77777777">
        <w:tblPrEx>
          <w:tblW w:w="10201" w:type="dxa"/>
          <w:jc w:val="center"/>
          <w:tblLayout w:type="fixed"/>
          <w:tblLook w:val="0420"/>
        </w:tblPrEx>
        <w:trPr>
          <w:jc w:val="center"/>
        </w:trPr>
        <w:tc>
          <w:tcPr>
            <w:tcW w:w="567" w:type="dxa"/>
            <w:hideMark/>
          </w:tcPr>
          <w:p w:rsidRPr="00246BEB" w:rsidR="00FC7DFB" w:rsidP="00246BEB" w14:paraId="6A1CDC83" w14:textId="77777777">
            <w:pPr>
              <w:rPr>
                <w:rFonts w:eastAsia="Times New Roman"/>
              </w:rPr>
            </w:pPr>
            <w:r w:rsidRPr="00246BEB">
              <w:rPr>
                <w:rFonts w:eastAsia="Times New Roman"/>
              </w:rPr>
              <w:t>3.</w:t>
            </w:r>
          </w:p>
        </w:tc>
        <w:tc>
          <w:tcPr>
            <w:tcW w:w="1276" w:type="dxa"/>
            <w:hideMark/>
          </w:tcPr>
          <w:p w:rsidRPr="00246BEB" w:rsidR="00FC7DFB" w:rsidP="00246BEB" w14:paraId="704471EB" w14:textId="77777777">
            <w:pPr>
              <w:rPr>
                <w:rFonts w:eastAsia="Times New Roman"/>
                <w:sz w:val="20"/>
                <w:szCs w:val="20"/>
              </w:rPr>
            </w:pPr>
            <w:r w:rsidRPr="00246BEB">
              <w:rPr>
                <w:rFonts w:eastAsia="Times New Roman"/>
                <w:sz w:val="20"/>
                <w:szCs w:val="20"/>
              </w:rPr>
              <w:t>36262/22</w:t>
            </w:r>
          </w:p>
        </w:tc>
        <w:tc>
          <w:tcPr>
            <w:tcW w:w="1417" w:type="dxa"/>
            <w:hideMark/>
          </w:tcPr>
          <w:p w:rsidRPr="00246BEB" w:rsidR="00FC7DFB" w:rsidP="00246BEB" w14:paraId="0CD32688" w14:textId="77777777">
            <w:pPr>
              <w:rPr>
                <w:rFonts w:eastAsia="Times New Roman"/>
                <w:sz w:val="20"/>
                <w:szCs w:val="20"/>
              </w:rPr>
            </w:pPr>
            <w:r w:rsidRPr="00246BEB">
              <w:rPr>
                <w:rFonts w:eastAsia="Times New Roman"/>
                <w:sz w:val="20"/>
                <w:szCs w:val="20"/>
              </w:rPr>
              <w:t>Kręciejewski</w:t>
            </w:r>
            <w:r w:rsidRPr="00246BEB">
              <w:rPr>
                <w:rFonts w:eastAsia="Times New Roman"/>
                <w:sz w:val="20"/>
                <w:szCs w:val="20"/>
              </w:rPr>
              <w:t xml:space="preserve"> v. Poland</w:t>
            </w:r>
          </w:p>
        </w:tc>
        <w:tc>
          <w:tcPr>
            <w:tcW w:w="1130" w:type="dxa"/>
            <w:hideMark/>
          </w:tcPr>
          <w:p w:rsidRPr="00246BEB" w:rsidR="00FC7DFB" w:rsidP="00246BEB" w14:paraId="1B79E116" w14:textId="77777777">
            <w:pPr>
              <w:rPr>
                <w:rFonts w:eastAsia="Times New Roman"/>
                <w:sz w:val="20"/>
                <w:szCs w:val="20"/>
              </w:rPr>
            </w:pPr>
            <w:r w:rsidRPr="00246BEB">
              <w:rPr>
                <w:rFonts w:eastAsia="Times New Roman"/>
                <w:sz w:val="20"/>
                <w:szCs w:val="20"/>
              </w:rPr>
              <w:t>12/07/2022</w:t>
            </w:r>
          </w:p>
        </w:tc>
        <w:tc>
          <w:tcPr>
            <w:tcW w:w="2551" w:type="dxa"/>
            <w:hideMark/>
          </w:tcPr>
          <w:p w:rsidRPr="00246BEB" w:rsidR="00FC7DFB" w:rsidP="00246BEB" w14:paraId="2DBCCCE1" w14:textId="77777777">
            <w:pPr>
              <w:rPr>
                <w:rFonts w:eastAsia="Times New Roman"/>
                <w:sz w:val="20"/>
                <w:szCs w:val="20"/>
              </w:rPr>
            </w:pPr>
            <w:r w:rsidRPr="00246BEB">
              <w:rPr>
                <w:rFonts w:eastAsia="Times New Roman"/>
                <w:b/>
                <w:bCs/>
                <w:sz w:val="20"/>
                <w:szCs w:val="20"/>
              </w:rPr>
              <w:t>Ryszard</w:t>
            </w:r>
            <w:r w:rsidRPr="00246BEB">
              <w:rPr>
                <w:rFonts w:eastAsia="Times New Roman"/>
                <w:b/>
                <w:bCs/>
                <w:sz w:val="20"/>
                <w:szCs w:val="20"/>
              </w:rPr>
              <w:t xml:space="preserve"> KRĘCIEJEWSKI</w:t>
            </w:r>
            <w:r w:rsidRPr="00246BEB">
              <w:rPr>
                <w:rFonts w:eastAsia="Times New Roman"/>
                <w:sz w:val="20"/>
                <w:szCs w:val="20"/>
              </w:rPr>
              <w:br/>
              <w:t>1947</w:t>
            </w:r>
            <w:r w:rsidRPr="00246BEB">
              <w:rPr>
                <w:rFonts w:eastAsia="Times New Roman"/>
                <w:sz w:val="20"/>
                <w:szCs w:val="20"/>
              </w:rPr>
              <w:br/>
            </w:r>
            <w:r w:rsidRPr="00246BEB">
              <w:rPr>
                <w:rFonts w:eastAsia="Times New Roman"/>
                <w:sz w:val="20"/>
                <w:szCs w:val="20"/>
              </w:rPr>
              <w:t>Motarzyn</w:t>
            </w:r>
            <w:r w:rsidRPr="00246BEB">
              <w:rPr>
                <w:rFonts w:eastAsia="Times New Roman"/>
                <w:sz w:val="20"/>
                <w:szCs w:val="20"/>
              </w:rPr>
              <w:br/>
              <w:t>Polish</w:t>
            </w:r>
          </w:p>
        </w:tc>
        <w:tc>
          <w:tcPr>
            <w:tcW w:w="2126" w:type="dxa"/>
            <w:hideMark/>
          </w:tcPr>
          <w:p w:rsidRPr="00246BEB" w:rsidR="00FC7DFB" w:rsidP="00246BEB" w14:paraId="3F0C9CF2" w14:textId="77777777">
            <w:pPr>
              <w:rPr>
                <w:rFonts w:eastAsia="Times New Roman"/>
                <w:sz w:val="20"/>
                <w:szCs w:val="20"/>
              </w:rPr>
            </w:pPr>
            <w:r w:rsidRPr="00246BEB">
              <w:rPr>
                <w:rFonts w:eastAsia="Times New Roman"/>
                <w:sz w:val="20"/>
                <w:szCs w:val="20"/>
              </w:rPr>
              <w:t>-</w:t>
            </w:r>
          </w:p>
        </w:tc>
        <w:tc>
          <w:tcPr>
            <w:tcW w:w="1134" w:type="dxa"/>
            <w:hideMark/>
          </w:tcPr>
          <w:p w:rsidRPr="00246BEB" w:rsidR="00FC7DFB" w:rsidP="00246BEB" w14:paraId="61EDB525" w14:textId="77777777">
            <w:pPr>
              <w:rPr>
                <w:rFonts w:eastAsia="Times New Roman"/>
                <w:sz w:val="20"/>
                <w:szCs w:val="20"/>
              </w:rPr>
            </w:pPr>
            <w:r w:rsidRPr="00246BEB">
              <w:rPr>
                <w:rFonts w:eastAsia="Times New Roman"/>
                <w:sz w:val="20"/>
                <w:szCs w:val="20"/>
              </w:rPr>
              <w:t>-</w:t>
            </w:r>
          </w:p>
        </w:tc>
      </w:tr>
      <w:tr w:rsidTr="0001398B" w14:paraId="151C49A3" w14:textId="77777777">
        <w:tblPrEx>
          <w:tblW w:w="10201" w:type="dxa"/>
          <w:jc w:val="center"/>
          <w:tblLayout w:type="fixed"/>
          <w:tblLook w:val="0420"/>
        </w:tblPrEx>
        <w:trPr>
          <w:jc w:val="center"/>
        </w:trPr>
        <w:tc>
          <w:tcPr>
            <w:tcW w:w="567" w:type="dxa"/>
            <w:hideMark/>
          </w:tcPr>
          <w:p w:rsidRPr="00246BEB" w:rsidR="00FC7DFB" w:rsidP="00246BEB" w14:paraId="1DD6B27B" w14:textId="77777777">
            <w:pPr>
              <w:rPr>
                <w:rFonts w:eastAsia="Times New Roman"/>
              </w:rPr>
            </w:pPr>
            <w:r w:rsidRPr="00246BEB">
              <w:rPr>
                <w:rFonts w:eastAsia="Times New Roman"/>
              </w:rPr>
              <w:t>4.</w:t>
            </w:r>
          </w:p>
        </w:tc>
        <w:tc>
          <w:tcPr>
            <w:tcW w:w="1276" w:type="dxa"/>
            <w:hideMark/>
          </w:tcPr>
          <w:p w:rsidRPr="00246BEB" w:rsidR="00FC7DFB" w:rsidP="00246BEB" w14:paraId="5089CCC2" w14:textId="77777777">
            <w:pPr>
              <w:rPr>
                <w:rFonts w:eastAsia="Times New Roman"/>
                <w:sz w:val="20"/>
                <w:szCs w:val="20"/>
              </w:rPr>
            </w:pPr>
            <w:r w:rsidRPr="00246BEB">
              <w:rPr>
                <w:rFonts w:eastAsia="Times New Roman"/>
                <w:sz w:val="20"/>
                <w:szCs w:val="20"/>
              </w:rPr>
              <w:t>41754/22</w:t>
            </w:r>
          </w:p>
        </w:tc>
        <w:tc>
          <w:tcPr>
            <w:tcW w:w="1417" w:type="dxa"/>
            <w:hideMark/>
          </w:tcPr>
          <w:p w:rsidRPr="00246BEB" w:rsidR="00FC7DFB" w:rsidP="00246BEB" w14:paraId="51811188" w14:textId="77777777">
            <w:pPr>
              <w:rPr>
                <w:rFonts w:eastAsia="Times New Roman"/>
                <w:sz w:val="20"/>
                <w:szCs w:val="20"/>
              </w:rPr>
            </w:pPr>
            <w:r w:rsidRPr="00246BEB">
              <w:rPr>
                <w:rFonts w:eastAsia="Times New Roman"/>
                <w:sz w:val="20"/>
                <w:szCs w:val="20"/>
              </w:rPr>
              <w:t>Czarnecki v. Poland</w:t>
            </w:r>
          </w:p>
        </w:tc>
        <w:tc>
          <w:tcPr>
            <w:tcW w:w="1130" w:type="dxa"/>
            <w:hideMark/>
          </w:tcPr>
          <w:p w:rsidRPr="00246BEB" w:rsidR="00FC7DFB" w:rsidP="00246BEB" w14:paraId="5F8A6D30" w14:textId="77777777">
            <w:pPr>
              <w:rPr>
                <w:rFonts w:eastAsia="Times New Roman"/>
                <w:sz w:val="20"/>
                <w:szCs w:val="20"/>
              </w:rPr>
            </w:pPr>
            <w:r w:rsidRPr="00246BEB">
              <w:rPr>
                <w:rFonts w:eastAsia="Times New Roman"/>
                <w:sz w:val="20"/>
                <w:szCs w:val="20"/>
              </w:rPr>
              <w:t>09/08/2022</w:t>
            </w:r>
          </w:p>
        </w:tc>
        <w:tc>
          <w:tcPr>
            <w:tcW w:w="2551" w:type="dxa"/>
            <w:hideMark/>
          </w:tcPr>
          <w:p w:rsidRPr="00246BEB" w:rsidR="00FC7DFB" w:rsidP="00246BEB" w14:paraId="5C8BC206" w14:textId="77777777">
            <w:pPr>
              <w:rPr>
                <w:rFonts w:eastAsia="Times New Roman"/>
                <w:sz w:val="20"/>
                <w:szCs w:val="20"/>
                <w:lang w:val="pl-PL"/>
              </w:rPr>
            </w:pPr>
            <w:r w:rsidRPr="00246BEB">
              <w:rPr>
                <w:rFonts w:eastAsia="Times New Roman"/>
                <w:b/>
                <w:bCs/>
                <w:sz w:val="20"/>
                <w:szCs w:val="20"/>
                <w:lang w:val="pl-PL"/>
              </w:rPr>
              <w:t>Jerzy Stefan CZARNECKI</w:t>
            </w:r>
            <w:r w:rsidRPr="00246BEB">
              <w:rPr>
                <w:rFonts w:eastAsia="Times New Roman"/>
                <w:sz w:val="20"/>
                <w:szCs w:val="20"/>
                <w:lang w:val="pl-PL"/>
              </w:rPr>
              <w:br/>
              <w:t>1952</w:t>
            </w:r>
            <w:r w:rsidRPr="00246BEB">
              <w:rPr>
                <w:rFonts w:eastAsia="Times New Roman"/>
                <w:sz w:val="20"/>
                <w:szCs w:val="20"/>
                <w:lang w:val="pl-PL"/>
              </w:rPr>
              <w:br/>
              <w:t>Będzin</w:t>
            </w:r>
            <w:r w:rsidRPr="00246BEB">
              <w:rPr>
                <w:rFonts w:eastAsia="Times New Roman"/>
                <w:sz w:val="20"/>
                <w:szCs w:val="20"/>
                <w:lang w:val="pl-PL"/>
              </w:rPr>
              <w:br/>
            </w:r>
            <w:r w:rsidRPr="00246BEB">
              <w:rPr>
                <w:rFonts w:eastAsia="Times New Roman"/>
                <w:sz w:val="20"/>
                <w:szCs w:val="20"/>
                <w:lang w:val="pl-PL"/>
              </w:rPr>
              <w:t>Polish</w:t>
            </w:r>
          </w:p>
        </w:tc>
        <w:tc>
          <w:tcPr>
            <w:tcW w:w="2126" w:type="dxa"/>
            <w:hideMark/>
          </w:tcPr>
          <w:p w:rsidRPr="00246BEB" w:rsidR="00FC7DFB" w:rsidP="00246BEB" w14:paraId="789F361F" w14:textId="77777777">
            <w:pPr>
              <w:rPr>
                <w:rFonts w:eastAsia="Times New Roman"/>
                <w:sz w:val="20"/>
                <w:szCs w:val="20"/>
              </w:rPr>
            </w:pPr>
            <w:r w:rsidRPr="00246BEB">
              <w:rPr>
                <w:rFonts w:eastAsia="Times New Roman"/>
                <w:sz w:val="20"/>
                <w:szCs w:val="20"/>
              </w:rPr>
              <w:t>Wojciech CZAJKA</w:t>
            </w:r>
          </w:p>
        </w:tc>
        <w:tc>
          <w:tcPr>
            <w:tcW w:w="1134" w:type="dxa"/>
            <w:hideMark/>
          </w:tcPr>
          <w:p w:rsidRPr="00246BEB" w:rsidR="00FC7DFB" w:rsidP="00246BEB" w14:paraId="0EEC2A37" w14:textId="77777777">
            <w:pPr>
              <w:rPr>
                <w:rFonts w:eastAsia="Times New Roman"/>
                <w:sz w:val="20"/>
                <w:szCs w:val="20"/>
              </w:rPr>
            </w:pPr>
            <w:r w:rsidRPr="00246BEB">
              <w:rPr>
                <w:rFonts w:eastAsia="Times New Roman"/>
                <w:sz w:val="20"/>
                <w:szCs w:val="20"/>
              </w:rPr>
              <w:t>-</w:t>
            </w:r>
          </w:p>
        </w:tc>
      </w:tr>
      <w:tr w:rsidTr="0001398B" w14:paraId="00759C64" w14:textId="77777777">
        <w:tblPrEx>
          <w:tblW w:w="10201" w:type="dxa"/>
          <w:jc w:val="center"/>
          <w:tblLayout w:type="fixed"/>
          <w:tblLook w:val="0420"/>
        </w:tblPrEx>
        <w:trPr>
          <w:jc w:val="center"/>
        </w:trPr>
        <w:tc>
          <w:tcPr>
            <w:tcW w:w="567" w:type="dxa"/>
            <w:hideMark/>
          </w:tcPr>
          <w:p w:rsidRPr="00246BEB" w:rsidR="00FC7DFB" w:rsidP="00246BEB" w14:paraId="7941BAE4" w14:textId="77777777">
            <w:pPr>
              <w:rPr>
                <w:rFonts w:eastAsia="Times New Roman"/>
              </w:rPr>
            </w:pPr>
            <w:r w:rsidRPr="00246BEB">
              <w:rPr>
                <w:rFonts w:eastAsia="Times New Roman"/>
              </w:rPr>
              <w:t>5.</w:t>
            </w:r>
          </w:p>
        </w:tc>
        <w:tc>
          <w:tcPr>
            <w:tcW w:w="1276" w:type="dxa"/>
            <w:hideMark/>
          </w:tcPr>
          <w:p w:rsidRPr="00246BEB" w:rsidR="00FC7DFB" w:rsidP="00246BEB" w14:paraId="69ABC45F" w14:textId="77777777">
            <w:pPr>
              <w:rPr>
                <w:rFonts w:eastAsia="Times New Roman"/>
                <w:sz w:val="20"/>
                <w:szCs w:val="20"/>
              </w:rPr>
            </w:pPr>
            <w:r w:rsidRPr="00246BEB">
              <w:rPr>
                <w:rFonts w:eastAsia="Times New Roman"/>
                <w:sz w:val="20"/>
                <w:szCs w:val="20"/>
              </w:rPr>
              <w:t>56299/22</w:t>
            </w:r>
          </w:p>
        </w:tc>
        <w:tc>
          <w:tcPr>
            <w:tcW w:w="1417" w:type="dxa"/>
            <w:hideMark/>
          </w:tcPr>
          <w:p w:rsidRPr="00246BEB" w:rsidR="00FC7DFB" w:rsidP="00246BEB" w14:paraId="7D9960FA" w14:textId="77777777">
            <w:pPr>
              <w:rPr>
                <w:rFonts w:eastAsia="Times New Roman"/>
                <w:sz w:val="20"/>
                <w:szCs w:val="20"/>
              </w:rPr>
            </w:pPr>
            <w:r w:rsidRPr="00246BEB">
              <w:rPr>
                <w:rFonts w:eastAsia="Times New Roman"/>
                <w:sz w:val="20"/>
                <w:szCs w:val="20"/>
              </w:rPr>
              <w:t>Saks v. Poland</w:t>
            </w:r>
          </w:p>
        </w:tc>
        <w:tc>
          <w:tcPr>
            <w:tcW w:w="1130" w:type="dxa"/>
            <w:hideMark/>
          </w:tcPr>
          <w:p w:rsidRPr="00246BEB" w:rsidR="00FC7DFB" w:rsidP="00246BEB" w14:paraId="002A4951" w14:textId="77777777">
            <w:pPr>
              <w:rPr>
                <w:rFonts w:eastAsia="Times New Roman"/>
                <w:sz w:val="20"/>
                <w:szCs w:val="20"/>
              </w:rPr>
            </w:pPr>
            <w:r w:rsidRPr="00246BEB">
              <w:rPr>
                <w:rFonts w:eastAsia="Times New Roman"/>
                <w:sz w:val="20"/>
                <w:szCs w:val="20"/>
              </w:rPr>
              <w:t>16/11/2022</w:t>
            </w:r>
          </w:p>
        </w:tc>
        <w:tc>
          <w:tcPr>
            <w:tcW w:w="2551" w:type="dxa"/>
            <w:hideMark/>
          </w:tcPr>
          <w:p w:rsidRPr="00246BEB" w:rsidR="00FC7DFB" w:rsidP="00246BEB" w14:paraId="714B4A84" w14:textId="77777777">
            <w:pPr>
              <w:rPr>
                <w:rFonts w:eastAsia="Times New Roman"/>
                <w:sz w:val="20"/>
                <w:szCs w:val="20"/>
              </w:rPr>
            </w:pPr>
            <w:r w:rsidRPr="00246BEB">
              <w:rPr>
                <w:rFonts w:eastAsia="Times New Roman"/>
                <w:b/>
                <w:bCs/>
                <w:sz w:val="20"/>
                <w:szCs w:val="20"/>
              </w:rPr>
              <w:t>Jan SAKS</w:t>
            </w:r>
            <w:r w:rsidRPr="00246BEB">
              <w:rPr>
                <w:rFonts w:eastAsia="Times New Roman"/>
                <w:sz w:val="20"/>
                <w:szCs w:val="20"/>
              </w:rPr>
              <w:br/>
              <w:t>1957</w:t>
            </w:r>
            <w:r w:rsidRPr="00246BEB">
              <w:rPr>
                <w:rFonts w:eastAsia="Times New Roman"/>
                <w:sz w:val="20"/>
                <w:szCs w:val="20"/>
              </w:rPr>
              <w:br/>
              <w:t>Warszawa</w:t>
            </w:r>
            <w:r w:rsidRPr="00246BEB">
              <w:rPr>
                <w:rFonts w:eastAsia="Times New Roman"/>
                <w:sz w:val="20"/>
                <w:szCs w:val="20"/>
              </w:rPr>
              <w:br/>
              <w:t>Polish</w:t>
            </w:r>
          </w:p>
        </w:tc>
        <w:tc>
          <w:tcPr>
            <w:tcW w:w="2126" w:type="dxa"/>
            <w:hideMark/>
          </w:tcPr>
          <w:p w:rsidRPr="00246BEB" w:rsidR="00FC7DFB" w:rsidP="00246BEB" w14:paraId="70769C98" w14:textId="77777777">
            <w:pPr>
              <w:rPr>
                <w:rFonts w:eastAsia="Times New Roman"/>
                <w:sz w:val="20"/>
                <w:szCs w:val="20"/>
                <w:lang w:val="pl-PL"/>
              </w:rPr>
            </w:pPr>
            <w:r w:rsidRPr="00246BEB">
              <w:rPr>
                <w:rFonts w:eastAsia="Times New Roman"/>
                <w:sz w:val="20"/>
                <w:szCs w:val="20"/>
                <w:lang w:val="pl-PL"/>
              </w:rPr>
              <w:t>Monika Małgorzata GĄSIOROWSKA</w:t>
            </w:r>
          </w:p>
          <w:p w:rsidRPr="00246BEB" w:rsidR="00FC7DFB" w:rsidP="00246BEB" w14:paraId="11625800" w14:textId="77777777">
            <w:pPr>
              <w:rPr>
                <w:rFonts w:eastAsia="Times New Roman"/>
                <w:sz w:val="20"/>
                <w:szCs w:val="20"/>
                <w:lang w:val="pl-PL"/>
              </w:rPr>
            </w:pPr>
          </w:p>
          <w:p w:rsidRPr="00246BEB" w:rsidR="00FC7DFB" w:rsidP="00246BEB" w14:paraId="04D6B751" w14:textId="77777777">
            <w:pPr>
              <w:rPr>
                <w:rFonts w:eastAsia="Times New Roman"/>
                <w:sz w:val="20"/>
                <w:szCs w:val="20"/>
                <w:lang w:val="pl-PL"/>
              </w:rPr>
            </w:pPr>
            <w:r w:rsidRPr="00246BEB">
              <w:rPr>
                <w:rFonts w:eastAsia="Times New Roman"/>
                <w:sz w:val="20"/>
                <w:szCs w:val="20"/>
                <w:lang w:val="pl-PL"/>
              </w:rPr>
              <w:t>Justyna METELSKA</w:t>
            </w:r>
          </w:p>
        </w:tc>
        <w:tc>
          <w:tcPr>
            <w:tcW w:w="1134" w:type="dxa"/>
            <w:hideMark/>
          </w:tcPr>
          <w:p w:rsidRPr="00246BEB" w:rsidR="00FC7DFB" w:rsidP="00246BEB" w14:paraId="3C43648F" w14:textId="77777777">
            <w:pPr>
              <w:rPr>
                <w:rFonts w:eastAsia="Times New Roman"/>
                <w:sz w:val="20"/>
                <w:szCs w:val="20"/>
                <w:lang w:val="pl-PL"/>
              </w:rPr>
            </w:pPr>
            <w:r w:rsidRPr="00246BEB">
              <w:rPr>
                <w:rFonts w:eastAsia="Times New Roman"/>
                <w:sz w:val="20"/>
                <w:szCs w:val="20"/>
                <w:lang w:val="pl-PL"/>
              </w:rPr>
              <w:t>1,800</w:t>
            </w:r>
          </w:p>
        </w:tc>
      </w:tr>
    </w:tbl>
    <w:p w:rsidRPr="00246BEB" w:rsidR="00CB3BD9" w:rsidP="00246BEB" w14:paraId="036F2BEE" w14:textId="77777777"/>
    <w:sectPr w:rsidSect="0076040F">
      <w:headerReference w:type="even" r:id="rId5"/>
      <w:headerReference w:type="default" r:id="rId6"/>
      <w:footerReference w:type="even" r:id="rId7"/>
      <w:footerReference w:type="default" r:id="rId8"/>
      <w:headerReference w:type="first" r:id="rId9"/>
      <w:footerReference w:type="first" r:id="rId10"/>
      <w:endnotePr>
        <w:numFmt w:val="decimal"/>
      </w:endnotePr>
      <w:pgSz w:w="11906" w:h="16838" w:code="9"/>
      <w:pgMar w:top="2274" w:right="2274" w:bottom="2274" w:left="2274" w:header="1701" w:footer="720" w:gutter="0"/>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32591" w:rsidRPr="00D06541" w:rsidP="000D61E7" w14:paraId="04A941C1" w14:textId="6A3A5777">
    <w:pPr>
      <w:pStyle w:val="JuHeader"/>
    </w:pPr>
    <w:r>
      <w:fldChar w:fldCharType="begin"/>
    </w:r>
    <w:r>
      <w:instrText xml:space="preserve"> PAGE  \* MERGEFORMAT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32591" w:rsidRPr="00D06541" w:rsidP="000D61E7" w14:paraId="4641218F" w14:textId="43215C63">
    <w:pPr>
      <w:pStyle w:val="JuHeader"/>
    </w:pPr>
    <w:r>
      <w:fldChar w:fldCharType="begin"/>
    </w:r>
    <w:r>
      <w:instrText xml:space="preserve"> PAGE  \* MERGEFORMAT </w:instrText>
    </w:r>
    <w:r>
      <w:fldChar w:fldCharType="separate"/>
    </w:r>
    <w:r>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06541" w:rsidRPr="00150BFA" w:rsidP="0020718E" w14:paraId="0D473374" w14:textId="32D27747">
    <w:pPr>
      <w:jc w:val="center"/>
    </w:pPr>
    <w:r w:rsidRPr="00D06541">
      <w:rPr>
        <w:noProof/>
      </w:rPr>
      <w:drawing>
        <wp:inline distT="0" distB="0" distL="0" distR="0">
          <wp:extent cx="771525" cy="619125"/>
          <wp:effectExtent l="0" t="0" r="9525" b="9525"/>
          <wp:docPr id="1627735313" name="Picture 162773531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73531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B32591" w:rsidRPr="00D06541" w:rsidP="002E2C77" w14:paraId="7BE79361" w14:textId="2323E344">
    <w:pPr>
      <w:jc w:val="cen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32591" w:rsidRPr="00D06541" w:rsidP="0076040F" w14:paraId="3C3C3B62" w14:textId="0C7C13EA">
    <w:pPr>
      <w:pStyle w:val="JuHeader"/>
    </w:pPr>
    <w:r>
      <w:t>SALA v. POLAND</w:t>
    </w:r>
    <w:r w:rsidRPr="00D06541">
      <w:rPr>
        <w:noProof/>
      </w:rPr>
      <w:t xml:space="preserve"> AND OTHER APPLICATIONS</w:t>
    </w:r>
    <w:r w:rsidRPr="00D06541" w:rsidR="006267D3">
      <w:t xml:space="preserve"> DECISION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32591" w:rsidRPr="00D06541" w:rsidP="000D61E7" w14:paraId="536A6BEB" w14:textId="6BA119D4">
    <w:pPr>
      <w:pStyle w:val="JuHeader"/>
    </w:pPr>
    <w:r>
      <w:t>SALA v. POLAND</w:t>
    </w:r>
    <w:r w:rsidRPr="00D06541">
      <w:rPr>
        <w:noProof/>
      </w:rPr>
      <w:t xml:space="preserve"> AND OTHER APPLICATIONS</w:t>
    </w:r>
    <w:r w:rsidRPr="00D06541" w:rsidR="006267D3">
      <w:t xml:space="preserve"> DECISION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06541" w:rsidRPr="00A45145" w:rsidP="00A45145" w14:paraId="38B6310B" w14:textId="267B8230">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B32591" w:rsidRPr="00D06541" w:rsidP="00EA1004" w14:paraId="669BCD69" w14:textId="237DA6FA">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7"/>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3"/>
  </w:num>
  <w:num w:numId="16">
    <w:abstractNumId w:val="16"/>
  </w:num>
  <w:num w:numId="17">
    <w:abstractNumId w:val="15"/>
  </w:num>
  <w:num w:numId="18">
    <w:abstractNumId w:val="16"/>
  </w:num>
  <w:num w:numId="19">
    <w:abstractNumId w:val="10"/>
  </w:num>
  <w:num w:numId="20">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24" w:allStyles="0" w:alternateStyleNames="1" w:clearFormatting="1" w:customStyles="0" w:directFormattingOnNumbering="0" w:directFormattingOnParagraphs="0" w:directFormattingOnRuns="0" w:directFormattingOnTables="0" w:headingStyles="1" w:latentStyles="1" w:numberingStyles="0" w:stylesInUse="0" w:tableStyles="0" w:top3HeadingStyles="0" w:visibleStyles="1"/>
  <w:defaultTabStop w:val="720"/>
  <w:hyphenationZone w:val="425"/>
  <w:evenAndOddHeaders/>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541"/>
    <w:rsid w:val="0001398B"/>
    <w:rsid w:val="000139AF"/>
    <w:rsid w:val="000348E2"/>
    <w:rsid w:val="00042590"/>
    <w:rsid w:val="00095FD8"/>
    <w:rsid w:val="000B1FA9"/>
    <w:rsid w:val="000C467F"/>
    <w:rsid w:val="000D61E7"/>
    <w:rsid w:val="000E3A89"/>
    <w:rsid w:val="00132029"/>
    <w:rsid w:val="00144EBC"/>
    <w:rsid w:val="00150BFA"/>
    <w:rsid w:val="001D1233"/>
    <w:rsid w:val="0020718E"/>
    <w:rsid w:val="00223591"/>
    <w:rsid w:val="00246BEB"/>
    <w:rsid w:val="00295075"/>
    <w:rsid w:val="002A7443"/>
    <w:rsid w:val="002E2C77"/>
    <w:rsid w:val="00307231"/>
    <w:rsid w:val="00317E23"/>
    <w:rsid w:val="003B50D7"/>
    <w:rsid w:val="003E3C60"/>
    <w:rsid w:val="00406AEB"/>
    <w:rsid w:val="00452087"/>
    <w:rsid w:val="00464268"/>
    <w:rsid w:val="00491B81"/>
    <w:rsid w:val="004A4C71"/>
    <w:rsid w:val="004B4E73"/>
    <w:rsid w:val="004C2088"/>
    <w:rsid w:val="004C6E8D"/>
    <w:rsid w:val="00516AE0"/>
    <w:rsid w:val="005B34C2"/>
    <w:rsid w:val="005E56C2"/>
    <w:rsid w:val="005F11CB"/>
    <w:rsid w:val="006262FA"/>
    <w:rsid w:val="006267D3"/>
    <w:rsid w:val="006300E9"/>
    <w:rsid w:val="00653EF4"/>
    <w:rsid w:val="00656B81"/>
    <w:rsid w:val="006D4D63"/>
    <w:rsid w:val="006E123B"/>
    <w:rsid w:val="0076040F"/>
    <w:rsid w:val="007907C0"/>
    <w:rsid w:val="007A74FC"/>
    <w:rsid w:val="007B2364"/>
    <w:rsid w:val="007C5101"/>
    <w:rsid w:val="007D7A89"/>
    <w:rsid w:val="00812D10"/>
    <w:rsid w:val="00831ADC"/>
    <w:rsid w:val="008D10E4"/>
    <w:rsid w:val="008D4A95"/>
    <w:rsid w:val="008F0A92"/>
    <w:rsid w:val="008F7189"/>
    <w:rsid w:val="00931E22"/>
    <w:rsid w:val="00956B2A"/>
    <w:rsid w:val="0096293E"/>
    <w:rsid w:val="009656DE"/>
    <w:rsid w:val="009B6F49"/>
    <w:rsid w:val="009C21E8"/>
    <w:rsid w:val="009E01FB"/>
    <w:rsid w:val="00A45145"/>
    <w:rsid w:val="00AA5AEE"/>
    <w:rsid w:val="00AC58E5"/>
    <w:rsid w:val="00B140D3"/>
    <w:rsid w:val="00B32591"/>
    <w:rsid w:val="00BD1692"/>
    <w:rsid w:val="00BF3148"/>
    <w:rsid w:val="00C42C12"/>
    <w:rsid w:val="00C8038F"/>
    <w:rsid w:val="00CB3BD9"/>
    <w:rsid w:val="00CB7ECD"/>
    <w:rsid w:val="00D06541"/>
    <w:rsid w:val="00D415D6"/>
    <w:rsid w:val="00D43B36"/>
    <w:rsid w:val="00D86624"/>
    <w:rsid w:val="00DB6354"/>
    <w:rsid w:val="00E5464B"/>
    <w:rsid w:val="00E713E1"/>
    <w:rsid w:val="00EA1004"/>
    <w:rsid w:val="00EB363B"/>
    <w:rsid w:val="00EE38CA"/>
    <w:rsid w:val="00F0534F"/>
    <w:rsid w:val="00F24AB9"/>
    <w:rsid w:val="00FC2655"/>
    <w:rsid w:val="00FC7DFB"/>
  </w:rsids>
  <w:docVars>
    <w:docVar w:name="ApplicationsApp" w:val="3"/>
    <w:docVar w:name="EMM" w:val="0"/>
    <w:docVar w:name="NBEMMDOC" w:val="0"/>
    <w:docVar w:name="Plural" w:val="3"/>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3E2A0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516AE0"/>
    <w:rPr>
      <w:sz w:val="24"/>
      <w:szCs w:val="24"/>
      <w:lang w:val="en-GB"/>
    </w:rPr>
  </w:style>
  <w:style w:type="paragraph" w:styleId="Heading1">
    <w:name w:val="heading 1"/>
    <w:basedOn w:val="Normal"/>
    <w:next w:val="Normal"/>
    <w:link w:val="Heading1Char"/>
    <w:uiPriority w:val="98"/>
    <w:semiHidden/>
    <w:rsid w:val="00516AE0"/>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516AE0"/>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516AE0"/>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516AE0"/>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516AE0"/>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516AE0"/>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516AE0"/>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516AE0"/>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516AE0"/>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uSigned">
    <w:name w:val="Ju_Signed"/>
    <w:aliases w:val="_Signature"/>
    <w:basedOn w:val="Normal"/>
    <w:next w:val="JuPara"/>
    <w:uiPriority w:val="31"/>
    <w:qFormat/>
    <w:rsid w:val="00516AE0"/>
    <w:pPr>
      <w:tabs>
        <w:tab w:val="center" w:pos="1418"/>
        <w:tab w:val="center" w:pos="5954"/>
      </w:tabs>
      <w:spacing w:before="720"/>
    </w:pPr>
  </w:style>
  <w:style w:type="paragraph" w:customStyle="1" w:styleId="JuPara">
    <w:name w:val="Ju_Para"/>
    <w:aliases w:val="_Para"/>
    <w:basedOn w:val="NormalJustified"/>
    <w:link w:val="JuParaChar"/>
    <w:uiPriority w:val="4"/>
    <w:qFormat/>
    <w:rsid w:val="00516AE0"/>
    <w:pPr>
      <w:ind w:firstLine="284"/>
    </w:pPr>
  </w:style>
  <w:style w:type="character" w:styleId="PageNumber">
    <w:name w:val="page number"/>
    <w:uiPriority w:val="98"/>
    <w:semiHidden/>
    <w:rsid w:val="00516AE0"/>
    <w:rPr>
      <w:sz w:val="18"/>
    </w:rPr>
  </w:style>
  <w:style w:type="character" w:styleId="CommentReference">
    <w:name w:val="annotation reference"/>
    <w:basedOn w:val="DefaultParagraphFont"/>
    <w:uiPriority w:val="98"/>
    <w:semiHidden/>
    <w:rsid w:val="00516AE0"/>
    <w:rPr>
      <w:sz w:val="16"/>
      <w:szCs w:val="16"/>
    </w:rPr>
  </w:style>
  <w:style w:type="paragraph" w:styleId="CommentText">
    <w:name w:val="annotation text"/>
    <w:basedOn w:val="Normal"/>
    <w:link w:val="CommentTextChar"/>
    <w:uiPriority w:val="98"/>
    <w:semiHidden/>
    <w:rsid w:val="00516AE0"/>
    <w:rPr>
      <w:sz w:val="20"/>
      <w:szCs w:val="20"/>
    </w:rPr>
  </w:style>
  <w:style w:type="character" w:customStyle="1" w:styleId="CommentTextChar">
    <w:name w:val="Comment Text Char"/>
    <w:basedOn w:val="DefaultParagraphFont"/>
    <w:link w:val="CommentText"/>
    <w:uiPriority w:val="98"/>
    <w:semiHidden/>
    <w:rsid w:val="00516AE0"/>
    <w:rPr>
      <w:sz w:val="20"/>
      <w:szCs w:val="20"/>
      <w:lang w:val="en-GB"/>
    </w:rPr>
  </w:style>
  <w:style w:type="paragraph" w:customStyle="1" w:styleId="DecHTitle">
    <w:name w:val="Dec_H_Title"/>
    <w:aliases w:val="_Title_1"/>
    <w:basedOn w:val="JuPara"/>
    <w:next w:val="JuPara"/>
    <w:uiPriority w:val="38"/>
    <w:qFormat/>
    <w:rsid w:val="00516AE0"/>
    <w:pPr>
      <w:keepNext/>
      <w:keepLines/>
      <w:spacing w:after="240"/>
      <w:ind w:firstLine="0"/>
      <w:jc w:val="center"/>
      <w:outlineLvl w:val="0"/>
    </w:pPr>
    <w:rPr>
      <w:rFonts w:asciiTheme="majorHAnsi" w:hAnsiTheme="majorHAnsi"/>
      <w:sz w:val="28"/>
    </w:rPr>
  </w:style>
  <w:style w:type="paragraph" w:customStyle="1" w:styleId="DecHCase">
    <w:name w:val="Dec_H_Case"/>
    <w:aliases w:val="_Title_3"/>
    <w:basedOn w:val="JuPara"/>
    <w:next w:val="JuPara"/>
    <w:uiPriority w:val="38"/>
    <w:qFormat/>
    <w:rsid w:val="00516AE0"/>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516AE0"/>
    <w:pPr>
      <w:keepNext/>
      <w:keepLines/>
      <w:spacing w:before="1320" w:after="280"/>
      <w:contextualSpacing/>
      <w:jc w:val="center"/>
    </w:pPr>
    <w:rPr>
      <w:b/>
    </w:rPr>
  </w:style>
  <w:style w:type="paragraph" w:customStyle="1" w:styleId="JuHeader">
    <w:name w:val="Ju_Header"/>
    <w:aliases w:val="_Header"/>
    <w:basedOn w:val="Header0"/>
    <w:uiPriority w:val="29"/>
    <w:qFormat/>
    <w:rsid w:val="00516AE0"/>
    <w:pPr>
      <w:tabs>
        <w:tab w:val="clear" w:pos="4536"/>
        <w:tab w:val="clear" w:pos="9072"/>
      </w:tabs>
      <w:jc w:val="center"/>
    </w:pPr>
    <w:rPr>
      <w:sz w:val="18"/>
    </w:rPr>
  </w:style>
  <w:style w:type="paragraph" w:styleId="Header0">
    <w:name w:val="header"/>
    <w:basedOn w:val="Normal"/>
    <w:link w:val="HeaderChar"/>
    <w:uiPriority w:val="98"/>
    <w:semiHidden/>
    <w:rsid w:val="00516AE0"/>
    <w:pPr>
      <w:tabs>
        <w:tab w:val="center" w:pos="4536"/>
        <w:tab w:val="right" w:pos="9072"/>
      </w:tabs>
    </w:pPr>
  </w:style>
  <w:style w:type="character" w:customStyle="1" w:styleId="HeaderChar">
    <w:name w:val="Header Char"/>
    <w:basedOn w:val="DefaultParagraphFont"/>
    <w:link w:val="Header0"/>
    <w:uiPriority w:val="98"/>
    <w:semiHidden/>
    <w:rsid w:val="00516AE0"/>
    <w:rPr>
      <w:sz w:val="24"/>
      <w:szCs w:val="24"/>
      <w:lang w:val="en-GB"/>
    </w:rPr>
  </w:style>
  <w:style w:type="paragraph" w:styleId="BalloonText">
    <w:name w:val="Balloon Text"/>
    <w:basedOn w:val="Normal"/>
    <w:link w:val="BalloonTextChar"/>
    <w:uiPriority w:val="98"/>
    <w:semiHidden/>
    <w:rsid w:val="00516AE0"/>
    <w:rPr>
      <w:rFonts w:ascii="Tahoma" w:hAnsi="Tahoma" w:cs="Tahoma"/>
      <w:sz w:val="16"/>
      <w:szCs w:val="16"/>
    </w:rPr>
  </w:style>
  <w:style w:type="character" w:customStyle="1" w:styleId="BalloonTextChar">
    <w:name w:val="Balloon Text Char"/>
    <w:basedOn w:val="DefaultParagraphFont"/>
    <w:link w:val="BalloonText"/>
    <w:uiPriority w:val="98"/>
    <w:semiHidden/>
    <w:rsid w:val="00516AE0"/>
    <w:rPr>
      <w:rFonts w:ascii="Tahoma" w:hAnsi="Tahoma" w:cs="Tahoma"/>
      <w:sz w:val="16"/>
      <w:szCs w:val="16"/>
      <w:lang w:val="en-GB"/>
    </w:rPr>
  </w:style>
  <w:style w:type="paragraph" w:customStyle="1" w:styleId="DummyStyle">
    <w:name w:val="Dummy_Style"/>
    <w:aliases w:val="_Dummy"/>
    <w:basedOn w:val="Normal"/>
    <w:semiHidden/>
    <w:qFormat/>
    <w:rsid w:val="00516AE0"/>
    <w:rPr>
      <w:color w:val="00B050"/>
      <w:sz w:val="22"/>
    </w:rPr>
  </w:style>
  <w:style w:type="paragraph" w:customStyle="1" w:styleId="NormalJustified">
    <w:name w:val="Normal_Justified"/>
    <w:basedOn w:val="Normal"/>
    <w:semiHidden/>
    <w:rsid w:val="00516AE0"/>
    <w:pPr>
      <w:jc w:val="both"/>
    </w:pPr>
  </w:style>
  <w:style w:type="paragraph" w:customStyle="1" w:styleId="JuQuot">
    <w:name w:val="Ju_Quot"/>
    <w:aliases w:val="_Quote"/>
    <w:basedOn w:val="NormalJustified"/>
    <w:uiPriority w:val="20"/>
    <w:qFormat/>
    <w:rsid w:val="00516AE0"/>
    <w:pPr>
      <w:spacing w:before="120" w:after="120"/>
      <w:ind w:left="425" w:firstLine="142"/>
    </w:pPr>
    <w:rPr>
      <w:sz w:val="20"/>
    </w:rPr>
  </w:style>
  <w:style w:type="paragraph" w:customStyle="1" w:styleId="ECHRCoverTitle4">
    <w:name w:val="ECHR_Cover_Title_4"/>
    <w:aliases w:val="_Title_4"/>
    <w:basedOn w:val="JuPara"/>
    <w:next w:val="JuPara"/>
    <w:uiPriority w:val="38"/>
    <w:qFormat/>
    <w:rsid w:val="00516AE0"/>
    <w:pPr>
      <w:keepNext/>
      <w:keepLines/>
      <w:tabs>
        <w:tab w:val="right" w:pos="7938"/>
      </w:tabs>
      <w:ind w:firstLine="0"/>
      <w:jc w:val="center"/>
    </w:pPr>
    <w:rPr>
      <w:i/>
    </w:rPr>
  </w:style>
  <w:style w:type="table" w:customStyle="1" w:styleId="ECHRDNTable">
    <w:name w:val="ECHR_DN_Table"/>
    <w:basedOn w:val="TableNormal"/>
    <w:uiPriority w:val="99"/>
    <w:rsid w:val="00516AE0"/>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numbering" w:customStyle="1" w:styleId="ECHRA1StyleBulletedSquare">
    <w:name w:val="ECHR_A1_Style_Bulleted_Square"/>
    <w:basedOn w:val="NoList"/>
    <w:rsid w:val="00516AE0"/>
    <w:pPr>
      <w:numPr>
        <w:numId w:val="14"/>
      </w:numPr>
    </w:pPr>
  </w:style>
  <w:style w:type="numbering" w:customStyle="1" w:styleId="ECHRA1StyleList">
    <w:name w:val="ECHR_A1_Style_List"/>
    <w:basedOn w:val="NoList"/>
    <w:uiPriority w:val="99"/>
    <w:rsid w:val="00516AE0"/>
    <w:pPr>
      <w:numPr>
        <w:numId w:val="15"/>
      </w:numPr>
    </w:pPr>
  </w:style>
  <w:style w:type="paragraph" w:customStyle="1" w:styleId="JuHArticle">
    <w:name w:val="Ju_H_Article"/>
    <w:aliases w:val="_Title_Quote"/>
    <w:basedOn w:val="Normal"/>
    <w:next w:val="JuQuot"/>
    <w:uiPriority w:val="19"/>
    <w:qFormat/>
    <w:rsid w:val="00516AE0"/>
    <w:pPr>
      <w:keepNext/>
      <w:spacing w:before="100" w:beforeAutospacing="1" w:after="120"/>
      <w:contextualSpacing/>
      <w:jc w:val="center"/>
    </w:pPr>
    <w:rPr>
      <w:b/>
      <w:sz w:val="20"/>
    </w:rPr>
  </w:style>
  <w:style w:type="numbering" w:customStyle="1" w:styleId="ECHRA1StyleNumberedList">
    <w:name w:val="ECHR_A1_Style_Numbered_List"/>
    <w:basedOn w:val="NoList"/>
    <w:rsid w:val="00516AE0"/>
    <w:pPr>
      <w:numPr>
        <w:numId w:val="16"/>
      </w:numPr>
    </w:pPr>
  </w:style>
  <w:style w:type="table" w:customStyle="1" w:styleId="ECHRHeaderTable">
    <w:name w:val="ECHR_Header_Table"/>
    <w:basedOn w:val="TableNormal"/>
    <w:uiPriority w:val="99"/>
    <w:rsid w:val="00516AE0"/>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customStyle="1" w:styleId="JuHHead">
    <w:name w:val="Ju_H_Head"/>
    <w:aliases w:val="_Head_1"/>
    <w:basedOn w:val="Heading1"/>
    <w:next w:val="JuPara"/>
    <w:uiPriority w:val="17"/>
    <w:qFormat/>
    <w:rsid w:val="00516AE0"/>
    <w:pPr>
      <w:keepNext/>
      <w:keepLines/>
      <w:numPr>
        <w:numId w:val="19"/>
      </w:numPr>
      <w:spacing w:before="100" w:beforeAutospacing="1" w:after="240"/>
      <w:contextualSpacing w:val="0"/>
      <w:jc w:val="both"/>
    </w:pPr>
    <w:rPr>
      <w:b w:val="0"/>
      <w:caps/>
      <w:color w:val="auto"/>
    </w:rPr>
  </w:style>
  <w:style w:type="paragraph" w:customStyle="1" w:styleId="JuInitialled">
    <w:name w:val="Ju_Initialled"/>
    <w:aliases w:val="_Right"/>
    <w:basedOn w:val="Normal"/>
    <w:uiPriority w:val="30"/>
    <w:qFormat/>
    <w:rsid w:val="00516AE0"/>
    <w:pPr>
      <w:tabs>
        <w:tab w:val="center" w:pos="6407"/>
      </w:tabs>
      <w:spacing w:before="720"/>
      <w:jc w:val="right"/>
    </w:pPr>
  </w:style>
  <w:style w:type="table" w:customStyle="1" w:styleId="ECHRHeaderTableReduced">
    <w:name w:val="ECHR_Header_Table_Reduced"/>
    <w:basedOn w:val="TableNormal"/>
    <w:uiPriority w:val="99"/>
    <w:rsid w:val="00516AE0"/>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character" w:customStyle="1" w:styleId="JUNAMES">
    <w:name w:val="JU_NAMES"/>
    <w:aliases w:val="_Ju_Names"/>
    <w:uiPriority w:val="33"/>
    <w:qFormat/>
    <w:rsid w:val="00516AE0"/>
    <w:rPr>
      <w:caps w:val="0"/>
      <w:smallCaps/>
    </w:rPr>
  </w:style>
  <w:style w:type="character" w:customStyle="1" w:styleId="JuITMark">
    <w:name w:val="Ju_ITMark"/>
    <w:aliases w:val="_ITMark"/>
    <w:basedOn w:val="DefaultParagraphFont"/>
    <w:uiPriority w:val="54"/>
    <w:qFormat/>
    <w:rsid w:val="00516AE0"/>
    <w:rPr>
      <w:vanish w:val="0"/>
      <w:color w:val="auto"/>
      <w:sz w:val="14"/>
      <w:bdr w:val="none" w:sz="0" w:space="0" w:color="auto"/>
      <w:shd w:val="clear" w:color="auto" w:fill="FFFFFF" w:themeFill="background1" w:themeFillTint="33"/>
    </w:rPr>
  </w:style>
  <w:style w:type="table" w:customStyle="1" w:styleId="ECHRTable2019">
    <w:name w:val="ECHR_Table_2019"/>
    <w:basedOn w:val="TableNormal"/>
    <w:uiPriority w:val="99"/>
    <w:rsid w:val="00516AE0"/>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JuCourt">
    <w:name w:val="Ju_Court"/>
    <w:aliases w:val="_Court_Names"/>
    <w:basedOn w:val="Normal"/>
    <w:next w:val="Normal"/>
    <w:uiPriority w:val="32"/>
    <w:qFormat/>
    <w:rsid w:val="00516AE0"/>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516AE0"/>
    <w:pPr>
      <w:keepNext/>
      <w:keepLines/>
      <w:numPr>
        <w:ilvl w:val="1"/>
        <w:numId w:val="19"/>
      </w:numPr>
      <w:tabs>
        <w:tab w:val="left" w:pos="454"/>
        <w:tab w:val="left" w:pos="539"/>
        <w:tab w:val="left" w:pos="624"/>
        <w:tab w:val="left" w:pos="709"/>
        <w:tab w:val="left" w:pos="794"/>
      </w:tabs>
      <w:spacing w:before="100" w:beforeAutospacing="1" w:after="240"/>
      <w:jc w:val="both"/>
    </w:pPr>
    <w:rPr>
      <w:b w:val="0"/>
      <w:caps/>
      <w:color w:val="auto"/>
      <w:sz w:val="24"/>
    </w:rPr>
  </w:style>
  <w:style w:type="character" w:customStyle="1" w:styleId="Heading1Char">
    <w:name w:val="Heading 1 Char"/>
    <w:basedOn w:val="DefaultParagraphFont"/>
    <w:link w:val="Heading1"/>
    <w:uiPriority w:val="98"/>
    <w:semiHidden/>
    <w:rsid w:val="00516AE0"/>
    <w:rPr>
      <w:rFonts w:asciiTheme="majorHAnsi" w:eastAsiaTheme="majorEastAsia" w:hAnsiTheme="majorHAnsi" w:cstheme="majorBidi"/>
      <w:b/>
      <w:bCs/>
      <w:color w:val="333333"/>
      <w:sz w:val="28"/>
      <w:szCs w:val="28"/>
      <w:lang w:val="en-GB"/>
    </w:rPr>
  </w:style>
  <w:style w:type="paragraph" w:customStyle="1" w:styleId="JuHA">
    <w:name w:val="Ju_H_A"/>
    <w:aliases w:val="_Head_3"/>
    <w:basedOn w:val="Heading3"/>
    <w:next w:val="JuPara"/>
    <w:uiPriority w:val="17"/>
    <w:qFormat/>
    <w:rsid w:val="00516AE0"/>
    <w:pPr>
      <w:keepNext/>
      <w:keepLines/>
      <w:numPr>
        <w:ilvl w:val="2"/>
        <w:numId w:val="19"/>
      </w:numPr>
      <w:spacing w:before="100" w:beforeAutospacing="1" w:after="240" w:line="240" w:lineRule="auto"/>
      <w:jc w:val="both"/>
    </w:pPr>
    <w:rPr>
      <w:color w:val="auto"/>
      <w:sz w:val="24"/>
    </w:rPr>
  </w:style>
  <w:style w:type="character" w:customStyle="1" w:styleId="Heading2Char">
    <w:name w:val="Heading 2 Char"/>
    <w:basedOn w:val="DefaultParagraphFont"/>
    <w:link w:val="Heading2"/>
    <w:uiPriority w:val="98"/>
    <w:semiHidden/>
    <w:rsid w:val="00516AE0"/>
    <w:rPr>
      <w:rFonts w:asciiTheme="majorHAnsi" w:eastAsiaTheme="majorEastAsia" w:hAnsiTheme="majorHAnsi" w:cstheme="majorBidi"/>
      <w:b/>
      <w:bCs/>
      <w:color w:val="4D4D4D"/>
      <w:sz w:val="26"/>
      <w:szCs w:val="26"/>
      <w:lang w:val="en-GB"/>
    </w:rPr>
  </w:style>
  <w:style w:type="paragraph" w:customStyle="1" w:styleId="JuH1">
    <w:name w:val="Ju_H_1."/>
    <w:aliases w:val="_Head_4"/>
    <w:basedOn w:val="Heading4"/>
    <w:next w:val="JuPara"/>
    <w:uiPriority w:val="17"/>
    <w:rsid w:val="00516AE0"/>
    <w:pPr>
      <w:keepNext/>
      <w:keepLines/>
      <w:numPr>
        <w:ilvl w:val="3"/>
        <w:numId w:val="19"/>
      </w:numPr>
      <w:spacing w:before="100" w:beforeAutospacing="1" w:after="120"/>
      <w:jc w:val="both"/>
    </w:pPr>
    <w:rPr>
      <w:b w:val="0"/>
      <w:color w:val="auto"/>
      <w:sz w:val="24"/>
    </w:rPr>
  </w:style>
  <w:style w:type="character" w:customStyle="1" w:styleId="Heading3Char">
    <w:name w:val="Heading 3 Char"/>
    <w:basedOn w:val="DefaultParagraphFont"/>
    <w:link w:val="Heading3"/>
    <w:uiPriority w:val="98"/>
    <w:semiHidden/>
    <w:rsid w:val="00516AE0"/>
    <w:rPr>
      <w:rFonts w:asciiTheme="majorHAnsi" w:eastAsiaTheme="majorEastAsia" w:hAnsiTheme="majorHAnsi" w:cstheme="majorBidi"/>
      <w:b/>
      <w:bCs/>
      <w:color w:val="5F5F5F"/>
      <w:lang w:val="en-GB"/>
    </w:rPr>
  </w:style>
  <w:style w:type="paragraph" w:customStyle="1" w:styleId="JuHa0">
    <w:name w:val="Ju_H_a"/>
    <w:aliases w:val="_Head_5"/>
    <w:basedOn w:val="Heading5"/>
    <w:next w:val="JuPara"/>
    <w:uiPriority w:val="17"/>
    <w:rsid w:val="00516AE0"/>
    <w:pPr>
      <w:keepNext/>
      <w:keepLines/>
      <w:numPr>
        <w:ilvl w:val="4"/>
        <w:numId w:val="19"/>
      </w:numPr>
      <w:spacing w:before="100" w:beforeAutospacing="1" w:after="120"/>
      <w:jc w:val="both"/>
    </w:pPr>
    <w:rPr>
      <w:color w:val="auto"/>
      <w:sz w:val="20"/>
    </w:rPr>
  </w:style>
  <w:style w:type="character" w:customStyle="1" w:styleId="Heading4Char">
    <w:name w:val="Heading 4 Char"/>
    <w:basedOn w:val="DefaultParagraphFont"/>
    <w:link w:val="Heading4"/>
    <w:uiPriority w:val="98"/>
    <w:semiHidden/>
    <w:rsid w:val="00516AE0"/>
    <w:rPr>
      <w:rFonts w:asciiTheme="majorHAnsi" w:eastAsiaTheme="majorEastAsia" w:hAnsiTheme="majorHAnsi" w:cstheme="majorBidi"/>
      <w:b/>
      <w:bCs/>
      <w:i/>
      <w:iCs/>
      <w:color w:val="777777"/>
      <w:lang w:val="en-GB"/>
    </w:rPr>
  </w:style>
  <w:style w:type="paragraph" w:customStyle="1" w:styleId="JuHi">
    <w:name w:val="Ju_H_i"/>
    <w:aliases w:val="_Head_6"/>
    <w:basedOn w:val="Heading6"/>
    <w:next w:val="JuPara"/>
    <w:uiPriority w:val="17"/>
    <w:rsid w:val="00516AE0"/>
    <w:pPr>
      <w:keepNext/>
      <w:keepLines/>
      <w:numPr>
        <w:ilvl w:val="5"/>
        <w:numId w:val="1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5Char">
    <w:name w:val="Heading 5 Char"/>
    <w:basedOn w:val="DefaultParagraphFont"/>
    <w:link w:val="Heading5"/>
    <w:uiPriority w:val="98"/>
    <w:semiHidden/>
    <w:rsid w:val="00516AE0"/>
    <w:rPr>
      <w:rFonts w:asciiTheme="majorHAnsi" w:eastAsiaTheme="majorEastAsia" w:hAnsiTheme="majorHAnsi" w:cstheme="majorBidi"/>
      <w:b/>
      <w:bCs/>
      <w:color w:val="808080"/>
      <w:lang w:val="en-GB"/>
    </w:rPr>
  </w:style>
  <w:style w:type="paragraph" w:customStyle="1" w:styleId="JuHalpha">
    <w:name w:val="Ju_H_alpha"/>
    <w:aliases w:val="_Head_7"/>
    <w:basedOn w:val="Heading7"/>
    <w:next w:val="JuPara"/>
    <w:uiPriority w:val="17"/>
    <w:rsid w:val="00516AE0"/>
    <w:pPr>
      <w:keepNext/>
      <w:keepLines/>
      <w:numPr>
        <w:ilvl w:val="6"/>
        <w:numId w:val="19"/>
      </w:numPr>
      <w:tabs>
        <w:tab w:val="left" w:pos="1361"/>
      </w:tabs>
      <w:spacing w:before="100" w:beforeAutospacing="1" w:after="120"/>
      <w:jc w:val="both"/>
    </w:pPr>
    <w:rPr>
      <w:i w:val="0"/>
      <w:sz w:val="20"/>
    </w:rPr>
  </w:style>
  <w:style w:type="character" w:customStyle="1" w:styleId="Heading6Char">
    <w:name w:val="Heading 6 Char"/>
    <w:basedOn w:val="DefaultParagraphFont"/>
    <w:link w:val="Heading6"/>
    <w:uiPriority w:val="98"/>
    <w:semiHidden/>
    <w:rsid w:val="00516AE0"/>
    <w:rPr>
      <w:rFonts w:asciiTheme="majorHAnsi" w:eastAsiaTheme="majorEastAsia" w:hAnsiTheme="majorHAnsi" w:cstheme="majorBidi"/>
      <w:b/>
      <w:bCs/>
      <w:i/>
      <w:iCs/>
      <w:color w:val="7F7F7F" w:themeColor="text1" w:themeTint="80"/>
      <w:lang w:val="en-GB" w:bidi="en-US"/>
    </w:rPr>
  </w:style>
  <w:style w:type="paragraph" w:customStyle="1" w:styleId="JuH">
    <w:name w:val="Ju_H_–"/>
    <w:aliases w:val="_Head_8"/>
    <w:basedOn w:val="Heading8"/>
    <w:next w:val="JuPara"/>
    <w:uiPriority w:val="17"/>
    <w:rsid w:val="00516AE0"/>
    <w:pPr>
      <w:keepNext/>
      <w:keepLines/>
      <w:numPr>
        <w:ilvl w:val="7"/>
        <w:numId w:val="19"/>
      </w:numPr>
      <w:spacing w:before="100" w:beforeAutospacing="1" w:after="120"/>
      <w:jc w:val="both"/>
    </w:pPr>
    <w:rPr>
      <w:i/>
    </w:rPr>
  </w:style>
  <w:style w:type="character" w:customStyle="1" w:styleId="Heading7Char">
    <w:name w:val="Heading 7 Char"/>
    <w:basedOn w:val="DefaultParagraphFont"/>
    <w:link w:val="Heading7"/>
    <w:uiPriority w:val="98"/>
    <w:semiHidden/>
    <w:rsid w:val="00516AE0"/>
    <w:rPr>
      <w:rFonts w:asciiTheme="majorHAnsi" w:eastAsiaTheme="majorEastAsia" w:hAnsiTheme="majorHAnsi" w:cstheme="majorBidi"/>
      <w:i/>
      <w:iCs/>
      <w:lang w:val="en-GB" w:bidi="en-US"/>
    </w:rPr>
  </w:style>
  <w:style w:type="paragraph" w:customStyle="1" w:styleId="JuParaLast">
    <w:name w:val="Ju_Para_Last"/>
    <w:aliases w:val="_Para_Spaced"/>
    <w:basedOn w:val="NormalJustified"/>
    <w:uiPriority w:val="5"/>
    <w:qFormat/>
    <w:rsid w:val="00516AE0"/>
    <w:pPr>
      <w:keepNext/>
      <w:keepLines/>
      <w:spacing w:before="240" w:after="240"/>
      <w:ind w:firstLine="284"/>
    </w:pPr>
  </w:style>
  <w:style w:type="table" w:customStyle="1" w:styleId="ECHRTableBoxHeader">
    <w:name w:val="ECHR_Table_Box_Header"/>
    <w:basedOn w:val="TableNormal"/>
    <w:rsid w:val="00516AE0"/>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paragraph" w:customStyle="1" w:styleId="JuJudges">
    <w:name w:val="Ju_Judges"/>
    <w:aliases w:val="_Judges"/>
    <w:basedOn w:val="Normal"/>
    <w:uiPriority w:val="32"/>
    <w:qFormat/>
    <w:rsid w:val="00516AE0"/>
    <w:pPr>
      <w:tabs>
        <w:tab w:val="left" w:pos="567"/>
        <w:tab w:val="left" w:pos="1134"/>
      </w:tabs>
    </w:pPr>
  </w:style>
  <w:style w:type="paragraph" w:customStyle="1" w:styleId="JuList">
    <w:name w:val="Ju_List"/>
    <w:aliases w:val="_List_1"/>
    <w:basedOn w:val="NormalJustified"/>
    <w:uiPriority w:val="23"/>
    <w:qFormat/>
    <w:rsid w:val="00516AE0"/>
    <w:pPr>
      <w:numPr>
        <w:numId w:val="20"/>
      </w:numPr>
      <w:spacing w:before="280" w:after="60"/>
    </w:pPr>
  </w:style>
  <w:style w:type="paragraph" w:customStyle="1" w:styleId="JuLista">
    <w:name w:val="Ju_List_a"/>
    <w:aliases w:val="_List_2"/>
    <w:basedOn w:val="NormalJustified"/>
    <w:uiPriority w:val="23"/>
    <w:rsid w:val="00516AE0"/>
    <w:pPr>
      <w:numPr>
        <w:ilvl w:val="1"/>
        <w:numId w:val="20"/>
      </w:numPr>
    </w:pPr>
  </w:style>
  <w:style w:type="paragraph" w:customStyle="1" w:styleId="JuListi">
    <w:name w:val="Ju_List_i"/>
    <w:aliases w:val="_List_3"/>
    <w:basedOn w:val="NormalJustified"/>
    <w:uiPriority w:val="23"/>
    <w:rsid w:val="00516AE0"/>
    <w:pPr>
      <w:numPr>
        <w:ilvl w:val="2"/>
        <w:numId w:val="20"/>
      </w:numPr>
    </w:pPr>
  </w:style>
  <w:style w:type="table" w:customStyle="1" w:styleId="ECHRTableFax">
    <w:name w:val="ECHR_Table_Fax"/>
    <w:basedOn w:val="TableNormal"/>
    <w:uiPriority w:val="99"/>
    <w:rsid w:val="00516AE0"/>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ForInternalUse">
    <w:name w:val="ECHR_Table_For_Internal_Use"/>
    <w:basedOn w:val="TableNormal"/>
    <w:uiPriority w:val="99"/>
    <w:rsid w:val="00516AE0"/>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TableMemo">
    <w:name w:val="ECHR_Table_Memo"/>
    <w:basedOn w:val="TableNormal"/>
    <w:uiPriority w:val="99"/>
    <w:rsid w:val="00516AE0"/>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character" w:customStyle="1" w:styleId="Heading8Char">
    <w:name w:val="Heading 8 Char"/>
    <w:basedOn w:val="DefaultParagraphFont"/>
    <w:link w:val="Heading8"/>
    <w:uiPriority w:val="98"/>
    <w:semiHidden/>
    <w:rsid w:val="00516AE0"/>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516AE0"/>
    <w:rPr>
      <w:rFonts w:asciiTheme="majorHAnsi" w:eastAsiaTheme="majorEastAsia" w:hAnsiTheme="majorHAnsi" w:cstheme="majorBidi"/>
      <w:i/>
      <w:iCs/>
      <w:spacing w:val="5"/>
      <w:sz w:val="20"/>
      <w:szCs w:val="20"/>
      <w:lang w:val="en-GB" w:bidi="en-US"/>
    </w:rPr>
  </w:style>
  <w:style w:type="paragraph" w:styleId="Title">
    <w:name w:val="Title"/>
    <w:basedOn w:val="Normal"/>
    <w:next w:val="Normal"/>
    <w:link w:val="TitleChar"/>
    <w:uiPriority w:val="98"/>
    <w:semiHidden/>
    <w:qFormat/>
    <w:rsid w:val="00516AE0"/>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516AE0"/>
    <w:rPr>
      <w:rFonts w:asciiTheme="majorHAnsi" w:eastAsiaTheme="majorEastAsia" w:hAnsiTheme="majorHAnsi" w:cstheme="majorBidi"/>
      <w:spacing w:val="5"/>
      <w:sz w:val="52"/>
      <w:szCs w:val="52"/>
      <w:lang w:val="en-GB" w:bidi="en-US"/>
    </w:rPr>
  </w:style>
  <w:style w:type="paragraph" w:styleId="Subtitle">
    <w:name w:val="Subtitle"/>
    <w:basedOn w:val="Normal"/>
    <w:next w:val="Normal"/>
    <w:link w:val="SubtitleChar"/>
    <w:uiPriority w:val="98"/>
    <w:semiHidden/>
    <w:qFormat/>
    <w:rsid w:val="00516AE0"/>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516AE0"/>
    <w:rPr>
      <w:rFonts w:asciiTheme="majorHAnsi" w:eastAsiaTheme="majorEastAsia" w:hAnsiTheme="majorHAnsi" w:cstheme="majorBidi"/>
      <w:i/>
      <w:iCs/>
      <w:spacing w:val="13"/>
      <w:sz w:val="24"/>
      <w:szCs w:val="24"/>
      <w:lang w:val="en-GB" w:bidi="en-US"/>
    </w:rPr>
  </w:style>
  <w:style w:type="character" w:styleId="Strong">
    <w:name w:val="Strong"/>
    <w:uiPriority w:val="98"/>
    <w:semiHidden/>
    <w:qFormat/>
    <w:rsid w:val="00516AE0"/>
    <w:rPr>
      <w:b/>
      <w:bCs/>
    </w:rPr>
  </w:style>
  <w:style w:type="character" w:styleId="Emphasis">
    <w:name w:val="Emphasis"/>
    <w:uiPriority w:val="98"/>
    <w:semiHidden/>
    <w:qFormat/>
    <w:rsid w:val="00516AE0"/>
    <w:rPr>
      <w:b/>
      <w:bCs/>
      <w:i/>
      <w:iCs/>
      <w:spacing w:val="10"/>
      <w:bdr w:val="none" w:sz="0" w:space="0" w:color="auto"/>
      <w:shd w:val="clear" w:color="auto" w:fill="auto"/>
    </w:rPr>
  </w:style>
  <w:style w:type="paragraph" w:styleId="NoSpacing">
    <w:name w:val="No Spacing"/>
    <w:basedOn w:val="Normal"/>
    <w:link w:val="NoSpacingChar"/>
    <w:uiPriority w:val="98"/>
    <w:semiHidden/>
    <w:qFormat/>
    <w:rsid w:val="00516AE0"/>
  </w:style>
  <w:style w:type="character" w:customStyle="1" w:styleId="NoSpacingChar">
    <w:name w:val="No Spacing Char"/>
    <w:basedOn w:val="DefaultParagraphFont"/>
    <w:link w:val="NoSpacing"/>
    <w:uiPriority w:val="98"/>
    <w:semiHidden/>
    <w:rsid w:val="00516AE0"/>
    <w:rPr>
      <w:sz w:val="24"/>
      <w:szCs w:val="24"/>
      <w:lang w:val="en-GB"/>
    </w:rPr>
  </w:style>
  <w:style w:type="paragraph" w:styleId="ListParagraph">
    <w:name w:val="List Paragraph"/>
    <w:basedOn w:val="Normal"/>
    <w:uiPriority w:val="98"/>
    <w:semiHidden/>
    <w:qFormat/>
    <w:rsid w:val="00516AE0"/>
    <w:pPr>
      <w:ind w:left="720"/>
      <w:contextualSpacing/>
    </w:pPr>
  </w:style>
  <w:style w:type="paragraph" w:styleId="Quote0">
    <w:name w:val="Quote"/>
    <w:basedOn w:val="Normal"/>
    <w:next w:val="Normal"/>
    <w:link w:val="QuoteChar"/>
    <w:uiPriority w:val="98"/>
    <w:semiHidden/>
    <w:qFormat/>
    <w:rsid w:val="00516AE0"/>
    <w:pPr>
      <w:spacing w:before="200"/>
      <w:ind w:left="360" w:right="360"/>
    </w:pPr>
    <w:rPr>
      <w:i/>
      <w:iCs/>
      <w:lang w:bidi="en-US"/>
    </w:rPr>
  </w:style>
  <w:style w:type="character" w:customStyle="1" w:styleId="QuoteChar">
    <w:name w:val="Quote Char"/>
    <w:basedOn w:val="DefaultParagraphFont"/>
    <w:link w:val="Quote0"/>
    <w:uiPriority w:val="98"/>
    <w:semiHidden/>
    <w:rsid w:val="00516AE0"/>
    <w:rPr>
      <w:i/>
      <w:iCs/>
      <w:sz w:val="24"/>
      <w:szCs w:val="24"/>
      <w:lang w:val="en-GB" w:bidi="en-US"/>
    </w:rPr>
  </w:style>
  <w:style w:type="paragraph" w:styleId="IntenseQuote">
    <w:name w:val="Intense Quote"/>
    <w:basedOn w:val="Normal"/>
    <w:next w:val="Normal"/>
    <w:link w:val="IntenseQuoteChar"/>
    <w:uiPriority w:val="98"/>
    <w:semiHidden/>
    <w:qFormat/>
    <w:rsid w:val="00516AE0"/>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516AE0"/>
    <w:rPr>
      <w:b/>
      <w:bCs/>
      <w:i/>
      <w:iCs/>
      <w:sz w:val="24"/>
      <w:szCs w:val="24"/>
      <w:lang w:val="en-GB" w:bidi="en-US"/>
    </w:rPr>
  </w:style>
  <w:style w:type="character" w:styleId="SubtleEmphasis">
    <w:name w:val="Subtle Emphasis"/>
    <w:uiPriority w:val="98"/>
    <w:semiHidden/>
    <w:qFormat/>
    <w:rsid w:val="00516AE0"/>
    <w:rPr>
      <w:i/>
      <w:iCs/>
    </w:rPr>
  </w:style>
  <w:style w:type="character" w:styleId="IntenseEmphasis">
    <w:name w:val="Intense Emphasis"/>
    <w:uiPriority w:val="98"/>
    <w:semiHidden/>
    <w:qFormat/>
    <w:rsid w:val="00516AE0"/>
    <w:rPr>
      <w:b/>
      <w:bCs/>
    </w:rPr>
  </w:style>
  <w:style w:type="character" w:styleId="SubtleReference">
    <w:name w:val="Subtle Reference"/>
    <w:uiPriority w:val="98"/>
    <w:semiHidden/>
    <w:qFormat/>
    <w:rsid w:val="00516AE0"/>
    <w:rPr>
      <w:smallCaps/>
    </w:rPr>
  </w:style>
  <w:style w:type="character" w:styleId="IntenseReference">
    <w:name w:val="Intense Reference"/>
    <w:uiPriority w:val="98"/>
    <w:semiHidden/>
    <w:qFormat/>
    <w:rsid w:val="00516AE0"/>
    <w:rPr>
      <w:smallCaps/>
      <w:spacing w:val="5"/>
      <w:u w:val="single"/>
    </w:rPr>
  </w:style>
  <w:style w:type="character" w:styleId="BookTitle">
    <w:name w:val="Book Title"/>
    <w:uiPriority w:val="98"/>
    <w:semiHidden/>
    <w:qFormat/>
    <w:rsid w:val="00516AE0"/>
    <w:rPr>
      <w:i/>
      <w:iCs/>
      <w:smallCaps/>
      <w:spacing w:val="5"/>
    </w:rPr>
  </w:style>
  <w:style w:type="paragraph" w:styleId="TOCHeading">
    <w:name w:val="TOC Heading"/>
    <w:basedOn w:val="Normal"/>
    <w:next w:val="Normal"/>
    <w:uiPriority w:val="98"/>
    <w:semiHidden/>
    <w:qFormat/>
    <w:rsid w:val="00516AE0"/>
    <w:pPr>
      <w:keepNext/>
      <w:keepLines/>
      <w:spacing w:before="240"/>
      <w:contextualSpacing/>
      <w:jc w:val="center"/>
    </w:pPr>
    <w:rPr>
      <w:rFonts w:asciiTheme="majorHAnsi" w:hAnsiTheme="majorHAnsi"/>
      <w:b/>
      <w:color w:val="424242" w:themeColor="accent3" w:themeShade="BF"/>
      <w:sz w:val="28"/>
    </w:rPr>
  </w:style>
  <w:style w:type="numbering" w:styleId="111111">
    <w:name w:val="Outline List 2"/>
    <w:basedOn w:val="NoList"/>
    <w:uiPriority w:val="99"/>
    <w:semiHidden/>
    <w:unhideWhenUsed/>
    <w:rsid w:val="00516AE0"/>
    <w:pPr>
      <w:numPr>
        <w:numId w:val="1"/>
      </w:numPr>
    </w:pPr>
  </w:style>
  <w:style w:type="numbering" w:styleId="1ai">
    <w:name w:val="Outline List 1"/>
    <w:basedOn w:val="NoList"/>
    <w:uiPriority w:val="99"/>
    <w:semiHidden/>
    <w:unhideWhenUsed/>
    <w:rsid w:val="00516AE0"/>
    <w:pPr>
      <w:numPr>
        <w:numId w:val="2"/>
      </w:numPr>
    </w:pPr>
  </w:style>
  <w:style w:type="numbering" w:styleId="ArticleSection">
    <w:name w:val="Outline List 3"/>
    <w:basedOn w:val="NoList"/>
    <w:uiPriority w:val="99"/>
    <w:semiHidden/>
    <w:unhideWhenUsed/>
    <w:rsid w:val="00516AE0"/>
    <w:pPr>
      <w:numPr>
        <w:numId w:val="3"/>
      </w:numPr>
    </w:pPr>
  </w:style>
  <w:style w:type="paragraph" w:styleId="Bibliography">
    <w:name w:val="Bibliography"/>
    <w:basedOn w:val="Normal"/>
    <w:next w:val="Normal"/>
    <w:uiPriority w:val="98"/>
    <w:semiHidden/>
    <w:rsid w:val="00516AE0"/>
  </w:style>
  <w:style w:type="paragraph" w:styleId="BlockText">
    <w:name w:val="Block Text"/>
    <w:basedOn w:val="Normal"/>
    <w:uiPriority w:val="98"/>
    <w:semiHidden/>
    <w:rsid w:val="00516AE0"/>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8"/>
    <w:semiHidden/>
    <w:rsid w:val="00516AE0"/>
    <w:pPr>
      <w:spacing w:after="120"/>
    </w:pPr>
  </w:style>
  <w:style w:type="character" w:customStyle="1" w:styleId="BodyTextChar">
    <w:name w:val="Body Text Char"/>
    <w:basedOn w:val="DefaultParagraphFont"/>
    <w:link w:val="BodyText"/>
    <w:uiPriority w:val="98"/>
    <w:semiHidden/>
    <w:rsid w:val="00516AE0"/>
    <w:rPr>
      <w:sz w:val="24"/>
      <w:szCs w:val="24"/>
      <w:lang w:val="en-GB"/>
    </w:rPr>
  </w:style>
  <w:style w:type="paragraph" w:styleId="BodyText2">
    <w:name w:val="Body Text 2"/>
    <w:basedOn w:val="Normal"/>
    <w:link w:val="BodyText2Char"/>
    <w:uiPriority w:val="98"/>
    <w:semiHidden/>
    <w:rsid w:val="00516AE0"/>
    <w:pPr>
      <w:spacing w:after="120" w:line="480" w:lineRule="auto"/>
    </w:pPr>
  </w:style>
  <w:style w:type="character" w:customStyle="1" w:styleId="BodyText2Char">
    <w:name w:val="Body Text 2 Char"/>
    <w:basedOn w:val="DefaultParagraphFont"/>
    <w:link w:val="BodyText2"/>
    <w:uiPriority w:val="98"/>
    <w:semiHidden/>
    <w:rsid w:val="00516AE0"/>
    <w:rPr>
      <w:sz w:val="24"/>
      <w:szCs w:val="24"/>
      <w:lang w:val="en-GB"/>
    </w:rPr>
  </w:style>
  <w:style w:type="paragraph" w:styleId="BodyText3">
    <w:name w:val="Body Text 3"/>
    <w:basedOn w:val="Normal"/>
    <w:link w:val="BodyText3Char"/>
    <w:uiPriority w:val="98"/>
    <w:semiHidden/>
    <w:rsid w:val="00516AE0"/>
    <w:pPr>
      <w:spacing w:after="120"/>
    </w:pPr>
    <w:rPr>
      <w:sz w:val="16"/>
      <w:szCs w:val="16"/>
    </w:rPr>
  </w:style>
  <w:style w:type="character" w:customStyle="1" w:styleId="BodyText3Char">
    <w:name w:val="Body Text 3 Char"/>
    <w:basedOn w:val="DefaultParagraphFont"/>
    <w:link w:val="BodyText3"/>
    <w:uiPriority w:val="98"/>
    <w:semiHidden/>
    <w:rsid w:val="00516AE0"/>
    <w:rPr>
      <w:sz w:val="16"/>
      <w:szCs w:val="16"/>
      <w:lang w:val="en-GB"/>
    </w:rPr>
  </w:style>
  <w:style w:type="paragraph" w:styleId="BodyTextFirstIndent">
    <w:name w:val="Body Text First Indent"/>
    <w:basedOn w:val="BodyText"/>
    <w:link w:val="BodyTextFirstIndentChar"/>
    <w:uiPriority w:val="98"/>
    <w:semiHidden/>
    <w:rsid w:val="00516AE0"/>
    <w:pPr>
      <w:spacing w:after="0"/>
      <w:ind w:firstLine="360"/>
    </w:pPr>
  </w:style>
  <w:style w:type="character" w:customStyle="1" w:styleId="BodyTextFirstIndentChar">
    <w:name w:val="Body Text First Indent Char"/>
    <w:basedOn w:val="BodyTextChar"/>
    <w:link w:val="BodyTextFirstIndent"/>
    <w:uiPriority w:val="98"/>
    <w:semiHidden/>
    <w:rsid w:val="00516AE0"/>
    <w:rPr>
      <w:sz w:val="24"/>
      <w:szCs w:val="24"/>
      <w:lang w:val="en-GB"/>
    </w:rPr>
  </w:style>
  <w:style w:type="paragraph" w:styleId="BodyTextIndent">
    <w:name w:val="Body Text Indent"/>
    <w:basedOn w:val="Normal"/>
    <w:link w:val="BodyTextIndentChar"/>
    <w:uiPriority w:val="98"/>
    <w:semiHidden/>
    <w:rsid w:val="00516AE0"/>
    <w:pPr>
      <w:spacing w:after="120"/>
      <w:ind w:left="283"/>
    </w:pPr>
  </w:style>
  <w:style w:type="character" w:customStyle="1" w:styleId="BodyTextIndentChar">
    <w:name w:val="Body Text Indent Char"/>
    <w:basedOn w:val="DefaultParagraphFont"/>
    <w:link w:val="BodyTextIndent"/>
    <w:uiPriority w:val="98"/>
    <w:semiHidden/>
    <w:rsid w:val="00516AE0"/>
    <w:rPr>
      <w:sz w:val="24"/>
      <w:szCs w:val="24"/>
      <w:lang w:val="en-GB"/>
    </w:rPr>
  </w:style>
  <w:style w:type="paragraph" w:styleId="BodyTextFirstIndent2">
    <w:name w:val="Body Text First Indent 2"/>
    <w:basedOn w:val="BodyTextIndent"/>
    <w:link w:val="BodyTextFirstIndent2Char"/>
    <w:uiPriority w:val="98"/>
    <w:semiHidden/>
    <w:rsid w:val="00516AE0"/>
    <w:pPr>
      <w:spacing w:after="0"/>
      <w:ind w:left="360" w:firstLine="360"/>
    </w:pPr>
  </w:style>
  <w:style w:type="character" w:customStyle="1" w:styleId="BodyTextFirstIndent2Char">
    <w:name w:val="Body Text First Indent 2 Char"/>
    <w:basedOn w:val="BodyTextIndentChar"/>
    <w:link w:val="BodyTextFirstIndent2"/>
    <w:uiPriority w:val="98"/>
    <w:semiHidden/>
    <w:rsid w:val="00516AE0"/>
    <w:rPr>
      <w:sz w:val="24"/>
      <w:szCs w:val="24"/>
      <w:lang w:val="en-GB"/>
    </w:rPr>
  </w:style>
  <w:style w:type="paragraph" w:styleId="BodyTextIndent2">
    <w:name w:val="Body Text Indent 2"/>
    <w:basedOn w:val="Normal"/>
    <w:link w:val="BodyTextIndent2Char"/>
    <w:uiPriority w:val="98"/>
    <w:semiHidden/>
    <w:rsid w:val="00516AE0"/>
    <w:pPr>
      <w:spacing w:after="120" w:line="480" w:lineRule="auto"/>
      <w:ind w:left="283"/>
    </w:pPr>
  </w:style>
  <w:style w:type="character" w:customStyle="1" w:styleId="BodyTextIndent2Char">
    <w:name w:val="Body Text Indent 2 Char"/>
    <w:basedOn w:val="DefaultParagraphFont"/>
    <w:link w:val="BodyTextIndent2"/>
    <w:uiPriority w:val="98"/>
    <w:semiHidden/>
    <w:rsid w:val="00516AE0"/>
    <w:rPr>
      <w:sz w:val="24"/>
      <w:szCs w:val="24"/>
      <w:lang w:val="en-GB"/>
    </w:rPr>
  </w:style>
  <w:style w:type="paragraph" w:styleId="BodyTextIndent3">
    <w:name w:val="Body Text Indent 3"/>
    <w:basedOn w:val="Normal"/>
    <w:link w:val="BodyTextIndent3Char"/>
    <w:uiPriority w:val="98"/>
    <w:semiHidden/>
    <w:rsid w:val="00516AE0"/>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516AE0"/>
    <w:rPr>
      <w:sz w:val="16"/>
      <w:szCs w:val="16"/>
      <w:lang w:val="en-GB"/>
    </w:rPr>
  </w:style>
  <w:style w:type="paragraph" w:styleId="Caption">
    <w:name w:val="caption"/>
    <w:basedOn w:val="Normal"/>
    <w:next w:val="Normal"/>
    <w:uiPriority w:val="98"/>
    <w:semiHidden/>
    <w:qFormat/>
    <w:rsid w:val="00516AE0"/>
    <w:pPr>
      <w:spacing w:after="200"/>
    </w:pPr>
    <w:rPr>
      <w:b/>
      <w:bCs/>
      <w:color w:val="0072BC" w:themeColor="accent1"/>
      <w:sz w:val="18"/>
      <w:szCs w:val="18"/>
    </w:rPr>
  </w:style>
  <w:style w:type="paragraph" w:styleId="Closing">
    <w:name w:val="Closing"/>
    <w:basedOn w:val="Normal"/>
    <w:link w:val="ClosingChar"/>
    <w:uiPriority w:val="98"/>
    <w:semiHidden/>
    <w:rsid w:val="00516AE0"/>
    <w:pPr>
      <w:ind w:left="4252"/>
    </w:pPr>
  </w:style>
  <w:style w:type="character" w:customStyle="1" w:styleId="ClosingChar">
    <w:name w:val="Closing Char"/>
    <w:basedOn w:val="DefaultParagraphFont"/>
    <w:link w:val="Closing"/>
    <w:uiPriority w:val="98"/>
    <w:semiHidden/>
    <w:rsid w:val="00516AE0"/>
    <w:rPr>
      <w:sz w:val="24"/>
      <w:szCs w:val="24"/>
      <w:lang w:val="en-GB"/>
    </w:rPr>
  </w:style>
  <w:style w:type="table" w:styleId="ColorfulGrid">
    <w:name w:val="Colorful Grid"/>
    <w:basedOn w:val="TableNormal"/>
    <w:uiPriority w:val="73"/>
    <w:semiHidden/>
    <w:rsid w:val="00516AE0"/>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516AE0"/>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516AE0"/>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516AE0"/>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516AE0"/>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516AE0"/>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516AE0"/>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516AE0"/>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516AE0"/>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516AE0"/>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516AE0"/>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516AE0"/>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516AE0"/>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516AE0"/>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516AE0"/>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516AE0"/>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516AE0"/>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516AE0"/>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516AE0"/>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516AE0"/>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516AE0"/>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516AE0"/>
    <w:rPr>
      <w:b/>
      <w:bCs/>
    </w:rPr>
  </w:style>
  <w:style w:type="character" w:customStyle="1" w:styleId="CommentSubjectChar">
    <w:name w:val="Comment Subject Char"/>
    <w:basedOn w:val="CommentTextChar"/>
    <w:link w:val="CommentSubject"/>
    <w:uiPriority w:val="98"/>
    <w:semiHidden/>
    <w:rsid w:val="00516AE0"/>
    <w:rPr>
      <w:b/>
      <w:bCs/>
      <w:sz w:val="20"/>
      <w:szCs w:val="20"/>
      <w:lang w:val="en-GB"/>
    </w:rPr>
  </w:style>
  <w:style w:type="table" w:styleId="DarkList">
    <w:name w:val="Dark List"/>
    <w:basedOn w:val="TableNormal"/>
    <w:uiPriority w:val="70"/>
    <w:semiHidden/>
    <w:rsid w:val="00516AE0"/>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516AE0"/>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516AE0"/>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516AE0"/>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516AE0"/>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516AE0"/>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516AE0"/>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516AE0"/>
  </w:style>
  <w:style w:type="character" w:customStyle="1" w:styleId="DateChar">
    <w:name w:val="Date Char"/>
    <w:basedOn w:val="DefaultParagraphFont"/>
    <w:link w:val="Date"/>
    <w:uiPriority w:val="98"/>
    <w:semiHidden/>
    <w:rsid w:val="00516AE0"/>
    <w:rPr>
      <w:sz w:val="24"/>
      <w:szCs w:val="24"/>
      <w:lang w:val="en-GB"/>
    </w:rPr>
  </w:style>
  <w:style w:type="paragraph" w:styleId="DocumentMap">
    <w:name w:val="Document Map"/>
    <w:basedOn w:val="Normal"/>
    <w:link w:val="DocumentMapChar"/>
    <w:uiPriority w:val="98"/>
    <w:semiHidden/>
    <w:rsid w:val="00516AE0"/>
    <w:rPr>
      <w:rFonts w:ascii="Tahoma" w:hAnsi="Tahoma" w:cs="Tahoma"/>
      <w:sz w:val="16"/>
      <w:szCs w:val="16"/>
    </w:rPr>
  </w:style>
  <w:style w:type="character" w:customStyle="1" w:styleId="DocumentMapChar">
    <w:name w:val="Document Map Char"/>
    <w:basedOn w:val="DefaultParagraphFont"/>
    <w:link w:val="DocumentMap"/>
    <w:uiPriority w:val="98"/>
    <w:semiHidden/>
    <w:rsid w:val="00516AE0"/>
    <w:rPr>
      <w:rFonts w:ascii="Tahoma" w:hAnsi="Tahoma" w:cs="Tahoma"/>
      <w:sz w:val="16"/>
      <w:szCs w:val="16"/>
      <w:lang w:val="en-GB"/>
    </w:rPr>
  </w:style>
  <w:style w:type="paragraph" w:styleId="E-mailSignature">
    <w:name w:val="E-mail Signature"/>
    <w:basedOn w:val="Normal"/>
    <w:link w:val="E-mailSignatureChar"/>
    <w:uiPriority w:val="98"/>
    <w:semiHidden/>
    <w:rsid w:val="00516AE0"/>
  </w:style>
  <w:style w:type="character" w:customStyle="1" w:styleId="E-mailSignatureChar">
    <w:name w:val="E-mail Signature Char"/>
    <w:basedOn w:val="DefaultParagraphFont"/>
    <w:link w:val="E-mailSignature"/>
    <w:uiPriority w:val="98"/>
    <w:semiHidden/>
    <w:rsid w:val="00516AE0"/>
    <w:rPr>
      <w:sz w:val="24"/>
      <w:szCs w:val="24"/>
      <w:lang w:val="en-GB"/>
    </w:rPr>
  </w:style>
  <w:style w:type="character" w:styleId="EndnoteReference">
    <w:name w:val="endnote reference"/>
    <w:basedOn w:val="DefaultParagraphFont"/>
    <w:uiPriority w:val="98"/>
    <w:semiHidden/>
    <w:rsid w:val="00516AE0"/>
    <w:rPr>
      <w:vertAlign w:val="superscript"/>
    </w:rPr>
  </w:style>
  <w:style w:type="paragraph" w:styleId="EndnoteText">
    <w:name w:val="endnote text"/>
    <w:basedOn w:val="Normal"/>
    <w:link w:val="EndnoteTextChar"/>
    <w:uiPriority w:val="98"/>
    <w:semiHidden/>
    <w:rsid w:val="00516AE0"/>
    <w:rPr>
      <w:sz w:val="20"/>
      <w:szCs w:val="20"/>
    </w:rPr>
  </w:style>
  <w:style w:type="character" w:customStyle="1" w:styleId="EndnoteTextChar">
    <w:name w:val="Endnote Text Char"/>
    <w:basedOn w:val="DefaultParagraphFont"/>
    <w:link w:val="EndnoteText"/>
    <w:uiPriority w:val="98"/>
    <w:semiHidden/>
    <w:rsid w:val="00516AE0"/>
    <w:rPr>
      <w:sz w:val="20"/>
      <w:szCs w:val="20"/>
      <w:lang w:val="en-GB"/>
    </w:rPr>
  </w:style>
  <w:style w:type="paragraph" w:styleId="EnvelopeAddress">
    <w:name w:val="envelope address"/>
    <w:basedOn w:val="Normal"/>
    <w:uiPriority w:val="98"/>
    <w:semiHidden/>
    <w:rsid w:val="00516AE0"/>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516AE0"/>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516AE0"/>
    <w:rPr>
      <w:color w:val="7030A0" w:themeColor="followedHyperlink"/>
      <w:u w:val="single"/>
    </w:rPr>
  </w:style>
  <w:style w:type="character" w:styleId="FootnoteReference">
    <w:name w:val="footnote reference"/>
    <w:basedOn w:val="DefaultParagraphFont"/>
    <w:uiPriority w:val="98"/>
    <w:semiHidden/>
    <w:rsid w:val="00516AE0"/>
    <w:rPr>
      <w:vertAlign w:val="superscript"/>
    </w:rPr>
  </w:style>
  <w:style w:type="paragraph" w:styleId="FootnoteText">
    <w:name w:val="footnote text"/>
    <w:basedOn w:val="NormalJustified"/>
    <w:link w:val="FootnoteTextChar"/>
    <w:uiPriority w:val="98"/>
    <w:semiHidden/>
    <w:rsid w:val="00516AE0"/>
    <w:rPr>
      <w:sz w:val="20"/>
      <w:szCs w:val="20"/>
    </w:rPr>
  </w:style>
  <w:style w:type="character" w:customStyle="1" w:styleId="FootnoteTextChar">
    <w:name w:val="Footnote Text Char"/>
    <w:basedOn w:val="DefaultParagraphFont"/>
    <w:link w:val="FootnoteText"/>
    <w:uiPriority w:val="98"/>
    <w:semiHidden/>
    <w:rsid w:val="00516AE0"/>
    <w:rPr>
      <w:sz w:val="20"/>
      <w:szCs w:val="20"/>
      <w:lang w:val="en-GB"/>
    </w:rPr>
  </w:style>
  <w:style w:type="character" w:styleId="HTMLAcronym">
    <w:name w:val="HTML Acronym"/>
    <w:basedOn w:val="DefaultParagraphFont"/>
    <w:uiPriority w:val="98"/>
    <w:semiHidden/>
    <w:rsid w:val="00516AE0"/>
  </w:style>
  <w:style w:type="paragraph" w:styleId="HTMLAddress">
    <w:name w:val="HTML Address"/>
    <w:basedOn w:val="Normal"/>
    <w:link w:val="HTMLAddressChar"/>
    <w:uiPriority w:val="98"/>
    <w:semiHidden/>
    <w:rsid w:val="00516AE0"/>
    <w:rPr>
      <w:i/>
      <w:iCs/>
    </w:rPr>
  </w:style>
  <w:style w:type="character" w:customStyle="1" w:styleId="HTMLAddressChar">
    <w:name w:val="HTML Address Char"/>
    <w:basedOn w:val="DefaultParagraphFont"/>
    <w:link w:val="HTMLAddress"/>
    <w:uiPriority w:val="98"/>
    <w:semiHidden/>
    <w:rsid w:val="00516AE0"/>
    <w:rPr>
      <w:i/>
      <w:iCs/>
      <w:sz w:val="24"/>
      <w:szCs w:val="24"/>
      <w:lang w:val="en-GB"/>
    </w:rPr>
  </w:style>
  <w:style w:type="character" w:styleId="HTMLCite">
    <w:name w:val="HTML Cite"/>
    <w:basedOn w:val="DefaultParagraphFont"/>
    <w:uiPriority w:val="98"/>
    <w:semiHidden/>
    <w:rsid w:val="00516AE0"/>
    <w:rPr>
      <w:i/>
      <w:iCs/>
    </w:rPr>
  </w:style>
  <w:style w:type="character" w:styleId="HTMLCode">
    <w:name w:val="HTML Code"/>
    <w:basedOn w:val="DefaultParagraphFont"/>
    <w:uiPriority w:val="98"/>
    <w:semiHidden/>
    <w:rsid w:val="00516AE0"/>
    <w:rPr>
      <w:rFonts w:ascii="Consolas" w:hAnsi="Consolas" w:cs="Consolas"/>
      <w:sz w:val="20"/>
      <w:szCs w:val="20"/>
    </w:rPr>
  </w:style>
  <w:style w:type="character" w:styleId="HTMLDefinition">
    <w:name w:val="HTML Definition"/>
    <w:basedOn w:val="DefaultParagraphFont"/>
    <w:uiPriority w:val="98"/>
    <w:semiHidden/>
    <w:rsid w:val="00516AE0"/>
    <w:rPr>
      <w:i/>
      <w:iCs/>
    </w:rPr>
  </w:style>
  <w:style w:type="character" w:styleId="HTMLKeyboard">
    <w:name w:val="HTML Keyboard"/>
    <w:basedOn w:val="DefaultParagraphFont"/>
    <w:uiPriority w:val="98"/>
    <w:semiHidden/>
    <w:rsid w:val="00516AE0"/>
    <w:rPr>
      <w:rFonts w:ascii="Consolas" w:hAnsi="Consolas" w:cs="Consolas"/>
      <w:sz w:val="20"/>
      <w:szCs w:val="20"/>
    </w:rPr>
  </w:style>
  <w:style w:type="paragraph" w:styleId="HTMLPreformatted">
    <w:name w:val="HTML Preformatted"/>
    <w:basedOn w:val="Normal"/>
    <w:link w:val="HTMLPreformattedChar"/>
    <w:uiPriority w:val="98"/>
    <w:semiHidden/>
    <w:rsid w:val="00516AE0"/>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516AE0"/>
    <w:rPr>
      <w:rFonts w:ascii="Consolas" w:hAnsi="Consolas" w:cs="Consolas"/>
      <w:sz w:val="20"/>
      <w:szCs w:val="20"/>
      <w:lang w:val="en-GB"/>
    </w:rPr>
  </w:style>
  <w:style w:type="character" w:styleId="HTMLSample">
    <w:name w:val="HTML Sample"/>
    <w:basedOn w:val="DefaultParagraphFont"/>
    <w:uiPriority w:val="98"/>
    <w:semiHidden/>
    <w:rsid w:val="00516AE0"/>
    <w:rPr>
      <w:rFonts w:ascii="Consolas" w:hAnsi="Consolas" w:cs="Consolas"/>
      <w:sz w:val="24"/>
      <w:szCs w:val="24"/>
    </w:rPr>
  </w:style>
  <w:style w:type="character" w:styleId="HTMLTypewriter">
    <w:name w:val="HTML Typewriter"/>
    <w:basedOn w:val="DefaultParagraphFont"/>
    <w:uiPriority w:val="98"/>
    <w:semiHidden/>
    <w:rsid w:val="00516AE0"/>
    <w:rPr>
      <w:rFonts w:ascii="Consolas" w:hAnsi="Consolas" w:cs="Consolas"/>
      <w:sz w:val="20"/>
      <w:szCs w:val="20"/>
    </w:rPr>
  </w:style>
  <w:style w:type="character" w:styleId="HTMLVariable">
    <w:name w:val="HTML Variable"/>
    <w:basedOn w:val="DefaultParagraphFont"/>
    <w:uiPriority w:val="98"/>
    <w:semiHidden/>
    <w:rsid w:val="00516AE0"/>
    <w:rPr>
      <w:i/>
      <w:iCs/>
    </w:rPr>
  </w:style>
  <w:style w:type="character" w:styleId="Hyperlink">
    <w:name w:val="Hyperlink"/>
    <w:basedOn w:val="DefaultParagraphFont"/>
    <w:uiPriority w:val="98"/>
    <w:semiHidden/>
    <w:rsid w:val="00516AE0"/>
    <w:rPr>
      <w:color w:val="0072BC" w:themeColor="hyperlink"/>
      <w:u w:val="single"/>
    </w:rPr>
  </w:style>
  <w:style w:type="paragraph" w:styleId="Index1">
    <w:name w:val="index 1"/>
    <w:basedOn w:val="Normal"/>
    <w:next w:val="Normal"/>
    <w:autoRedefine/>
    <w:uiPriority w:val="98"/>
    <w:semiHidden/>
    <w:rsid w:val="00516AE0"/>
    <w:pPr>
      <w:ind w:left="240" w:hanging="240"/>
    </w:pPr>
  </w:style>
  <w:style w:type="paragraph" w:styleId="Index2">
    <w:name w:val="index 2"/>
    <w:basedOn w:val="Normal"/>
    <w:next w:val="Normal"/>
    <w:autoRedefine/>
    <w:uiPriority w:val="98"/>
    <w:semiHidden/>
    <w:rsid w:val="00516AE0"/>
    <w:pPr>
      <w:ind w:left="480" w:hanging="240"/>
    </w:pPr>
  </w:style>
  <w:style w:type="paragraph" w:styleId="Index3">
    <w:name w:val="index 3"/>
    <w:basedOn w:val="Normal"/>
    <w:next w:val="Normal"/>
    <w:autoRedefine/>
    <w:uiPriority w:val="98"/>
    <w:semiHidden/>
    <w:rsid w:val="00516AE0"/>
    <w:pPr>
      <w:ind w:left="720" w:hanging="240"/>
    </w:pPr>
  </w:style>
  <w:style w:type="paragraph" w:styleId="Index4">
    <w:name w:val="index 4"/>
    <w:basedOn w:val="Normal"/>
    <w:next w:val="Normal"/>
    <w:autoRedefine/>
    <w:uiPriority w:val="98"/>
    <w:semiHidden/>
    <w:rsid w:val="00516AE0"/>
    <w:pPr>
      <w:ind w:left="960" w:hanging="240"/>
    </w:pPr>
  </w:style>
  <w:style w:type="paragraph" w:styleId="Index5">
    <w:name w:val="index 5"/>
    <w:basedOn w:val="Normal"/>
    <w:next w:val="Normal"/>
    <w:autoRedefine/>
    <w:uiPriority w:val="98"/>
    <w:semiHidden/>
    <w:rsid w:val="00516AE0"/>
    <w:pPr>
      <w:ind w:left="1200" w:hanging="240"/>
    </w:pPr>
  </w:style>
  <w:style w:type="paragraph" w:styleId="Index6">
    <w:name w:val="index 6"/>
    <w:basedOn w:val="Normal"/>
    <w:next w:val="Normal"/>
    <w:autoRedefine/>
    <w:uiPriority w:val="98"/>
    <w:semiHidden/>
    <w:rsid w:val="00516AE0"/>
    <w:pPr>
      <w:ind w:left="1440" w:hanging="240"/>
    </w:pPr>
  </w:style>
  <w:style w:type="paragraph" w:styleId="Index7">
    <w:name w:val="index 7"/>
    <w:basedOn w:val="Normal"/>
    <w:next w:val="Normal"/>
    <w:autoRedefine/>
    <w:uiPriority w:val="98"/>
    <w:semiHidden/>
    <w:rsid w:val="00516AE0"/>
    <w:pPr>
      <w:ind w:left="1680" w:hanging="240"/>
    </w:pPr>
  </w:style>
  <w:style w:type="paragraph" w:styleId="Index8">
    <w:name w:val="index 8"/>
    <w:basedOn w:val="Normal"/>
    <w:next w:val="Normal"/>
    <w:autoRedefine/>
    <w:uiPriority w:val="98"/>
    <w:semiHidden/>
    <w:rsid w:val="00516AE0"/>
    <w:pPr>
      <w:ind w:left="1920" w:hanging="240"/>
    </w:pPr>
  </w:style>
  <w:style w:type="paragraph" w:styleId="Index9">
    <w:name w:val="index 9"/>
    <w:basedOn w:val="Normal"/>
    <w:next w:val="Normal"/>
    <w:autoRedefine/>
    <w:uiPriority w:val="98"/>
    <w:semiHidden/>
    <w:rsid w:val="00516AE0"/>
    <w:pPr>
      <w:ind w:left="2160" w:hanging="240"/>
    </w:pPr>
  </w:style>
  <w:style w:type="paragraph" w:styleId="IndexHeading">
    <w:name w:val="index heading"/>
    <w:basedOn w:val="Normal"/>
    <w:next w:val="Index1"/>
    <w:uiPriority w:val="98"/>
    <w:semiHidden/>
    <w:rsid w:val="00516AE0"/>
    <w:rPr>
      <w:rFonts w:asciiTheme="majorHAnsi" w:eastAsiaTheme="majorEastAsia" w:hAnsiTheme="majorHAnsi" w:cstheme="majorBidi"/>
      <w:b/>
      <w:bCs/>
    </w:rPr>
  </w:style>
  <w:style w:type="table" w:styleId="LightGrid">
    <w:name w:val="Light Grid"/>
    <w:basedOn w:val="TableNormal"/>
    <w:uiPriority w:val="62"/>
    <w:semiHidden/>
    <w:rsid w:val="00516AE0"/>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516AE0"/>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516AE0"/>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516AE0"/>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516AE0"/>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516AE0"/>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516AE0"/>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516AE0"/>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516AE0"/>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516AE0"/>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516AE0"/>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516AE0"/>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516AE0"/>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516AE0"/>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516AE0"/>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516AE0"/>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516AE0"/>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516AE0"/>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516AE0"/>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516AE0"/>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516AE0"/>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516AE0"/>
  </w:style>
  <w:style w:type="paragraph" w:styleId="List">
    <w:name w:val="List"/>
    <w:basedOn w:val="Normal"/>
    <w:uiPriority w:val="98"/>
    <w:semiHidden/>
    <w:rsid w:val="00516AE0"/>
    <w:pPr>
      <w:ind w:left="283" w:hanging="283"/>
      <w:contextualSpacing/>
    </w:pPr>
  </w:style>
  <w:style w:type="paragraph" w:styleId="List20">
    <w:name w:val="List 2"/>
    <w:basedOn w:val="Normal"/>
    <w:uiPriority w:val="98"/>
    <w:semiHidden/>
    <w:rsid w:val="00516AE0"/>
    <w:pPr>
      <w:ind w:left="566" w:hanging="283"/>
      <w:contextualSpacing/>
    </w:pPr>
  </w:style>
  <w:style w:type="paragraph" w:styleId="List30">
    <w:name w:val="List 3"/>
    <w:basedOn w:val="Normal"/>
    <w:uiPriority w:val="98"/>
    <w:semiHidden/>
    <w:rsid w:val="00516AE0"/>
    <w:pPr>
      <w:ind w:left="849" w:hanging="283"/>
      <w:contextualSpacing/>
    </w:pPr>
  </w:style>
  <w:style w:type="paragraph" w:styleId="List4">
    <w:name w:val="List 4"/>
    <w:basedOn w:val="Normal"/>
    <w:uiPriority w:val="98"/>
    <w:semiHidden/>
    <w:rsid w:val="00516AE0"/>
    <w:pPr>
      <w:ind w:left="1132" w:hanging="283"/>
      <w:contextualSpacing/>
    </w:pPr>
  </w:style>
  <w:style w:type="paragraph" w:styleId="List5">
    <w:name w:val="List 5"/>
    <w:basedOn w:val="Normal"/>
    <w:uiPriority w:val="98"/>
    <w:semiHidden/>
    <w:rsid w:val="00516AE0"/>
    <w:pPr>
      <w:ind w:left="1415" w:hanging="283"/>
      <w:contextualSpacing/>
    </w:pPr>
  </w:style>
  <w:style w:type="paragraph" w:styleId="ListBullet">
    <w:name w:val="List Bullet"/>
    <w:basedOn w:val="Normal"/>
    <w:uiPriority w:val="98"/>
    <w:semiHidden/>
    <w:rsid w:val="00516AE0"/>
    <w:pPr>
      <w:numPr>
        <w:numId w:val="4"/>
      </w:numPr>
    </w:pPr>
  </w:style>
  <w:style w:type="paragraph" w:styleId="ListBullet2">
    <w:name w:val="List Bullet 2"/>
    <w:basedOn w:val="Normal"/>
    <w:uiPriority w:val="98"/>
    <w:semiHidden/>
    <w:rsid w:val="00516AE0"/>
    <w:pPr>
      <w:numPr>
        <w:numId w:val="5"/>
      </w:numPr>
      <w:contextualSpacing/>
    </w:pPr>
  </w:style>
  <w:style w:type="paragraph" w:styleId="ListBullet3">
    <w:name w:val="List Bullet 3"/>
    <w:basedOn w:val="Normal"/>
    <w:uiPriority w:val="98"/>
    <w:semiHidden/>
    <w:rsid w:val="00516AE0"/>
    <w:pPr>
      <w:numPr>
        <w:numId w:val="6"/>
      </w:numPr>
      <w:contextualSpacing/>
    </w:pPr>
  </w:style>
  <w:style w:type="paragraph" w:styleId="ListBullet4">
    <w:name w:val="List Bullet 4"/>
    <w:basedOn w:val="Normal"/>
    <w:uiPriority w:val="98"/>
    <w:semiHidden/>
    <w:rsid w:val="00516AE0"/>
    <w:pPr>
      <w:numPr>
        <w:numId w:val="7"/>
      </w:numPr>
      <w:contextualSpacing/>
    </w:pPr>
  </w:style>
  <w:style w:type="paragraph" w:styleId="ListBullet5">
    <w:name w:val="List Bullet 5"/>
    <w:basedOn w:val="Normal"/>
    <w:uiPriority w:val="98"/>
    <w:semiHidden/>
    <w:rsid w:val="00516AE0"/>
    <w:pPr>
      <w:numPr>
        <w:numId w:val="8"/>
      </w:numPr>
      <w:contextualSpacing/>
    </w:pPr>
  </w:style>
  <w:style w:type="paragraph" w:styleId="ListContinue">
    <w:name w:val="List Continue"/>
    <w:basedOn w:val="Normal"/>
    <w:uiPriority w:val="98"/>
    <w:semiHidden/>
    <w:rsid w:val="00516AE0"/>
    <w:pPr>
      <w:spacing w:after="120"/>
      <w:ind w:left="283"/>
      <w:contextualSpacing/>
    </w:pPr>
  </w:style>
  <w:style w:type="paragraph" w:styleId="ListContinue2">
    <w:name w:val="List Continue 2"/>
    <w:basedOn w:val="Normal"/>
    <w:uiPriority w:val="98"/>
    <w:semiHidden/>
    <w:rsid w:val="00516AE0"/>
    <w:pPr>
      <w:spacing w:after="120"/>
      <w:ind w:left="566"/>
      <w:contextualSpacing/>
    </w:pPr>
  </w:style>
  <w:style w:type="paragraph" w:styleId="ListContinue3">
    <w:name w:val="List Continue 3"/>
    <w:basedOn w:val="Normal"/>
    <w:uiPriority w:val="98"/>
    <w:semiHidden/>
    <w:rsid w:val="00516AE0"/>
    <w:pPr>
      <w:spacing w:after="120"/>
      <w:ind w:left="849"/>
      <w:contextualSpacing/>
    </w:pPr>
  </w:style>
  <w:style w:type="paragraph" w:styleId="ListContinue4">
    <w:name w:val="List Continue 4"/>
    <w:basedOn w:val="Normal"/>
    <w:uiPriority w:val="98"/>
    <w:semiHidden/>
    <w:rsid w:val="00516AE0"/>
    <w:pPr>
      <w:spacing w:after="120"/>
      <w:ind w:left="1132"/>
      <w:contextualSpacing/>
    </w:pPr>
  </w:style>
  <w:style w:type="paragraph" w:styleId="ListContinue5">
    <w:name w:val="List Continue 5"/>
    <w:basedOn w:val="Normal"/>
    <w:uiPriority w:val="98"/>
    <w:semiHidden/>
    <w:rsid w:val="00516AE0"/>
    <w:pPr>
      <w:spacing w:after="120"/>
      <w:ind w:left="1415"/>
      <w:contextualSpacing/>
    </w:pPr>
  </w:style>
  <w:style w:type="paragraph" w:styleId="ListNumber">
    <w:name w:val="List Number"/>
    <w:basedOn w:val="Normal"/>
    <w:uiPriority w:val="98"/>
    <w:semiHidden/>
    <w:rsid w:val="00516AE0"/>
    <w:pPr>
      <w:numPr>
        <w:numId w:val="9"/>
      </w:numPr>
      <w:contextualSpacing/>
    </w:pPr>
  </w:style>
  <w:style w:type="paragraph" w:styleId="ListNumber2">
    <w:name w:val="List Number 2"/>
    <w:basedOn w:val="Normal"/>
    <w:uiPriority w:val="98"/>
    <w:semiHidden/>
    <w:rsid w:val="00516AE0"/>
    <w:pPr>
      <w:numPr>
        <w:numId w:val="10"/>
      </w:numPr>
      <w:contextualSpacing/>
    </w:pPr>
  </w:style>
  <w:style w:type="paragraph" w:styleId="ListNumber3">
    <w:name w:val="List Number 3"/>
    <w:basedOn w:val="Normal"/>
    <w:uiPriority w:val="98"/>
    <w:semiHidden/>
    <w:rsid w:val="00516AE0"/>
    <w:pPr>
      <w:numPr>
        <w:numId w:val="11"/>
      </w:numPr>
      <w:contextualSpacing/>
    </w:pPr>
  </w:style>
  <w:style w:type="paragraph" w:styleId="ListNumber4">
    <w:name w:val="List Number 4"/>
    <w:basedOn w:val="Normal"/>
    <w:uiPriority w:val="98"/>
    <w:semiHidden/>
    <w:rsid w:val="00516AE0"/>
    <w:pPr>
      <w:numPr>
        <w:numId w:val="12"/>
      </w:numPr>
      <w:contextualSpacing/>
    </w:pPr>
  </w:style>
  <w:style w:type="paragraph" w:styleId="ListNumber5">
    <w:name w:val="List Number 5"/>
    <w:basedOn w:val="Normal"/>
    <w:uiPriority w:val="98"/>
    <w:semiHidden/>
    <w:rsid w:val="00516AE0"/>
    <w:pPr>
      <w:numPr>
        <w:numId w:val="13"/>
      </w:numPr>
      <w:contextualSpacing/>
    </w:pPr>
  </w:style>
  <w:style w:type="paragraph" w:styleId="Macro">
    <w:name w:val="macro"/>
    <w:link w:val="MacroTextChar"/>
    <w:uiPriority w:val="98"/>
    <w:semiHidden/>
    <w:rsid w:val="00516AE0"/>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516AE0"/>
    <w:rPr>
      <w:rFonts w:ascii="Consolas" w:hAnsi="Consolas" w:eastAsiaTheme="minorEastAsia" w:cs="Consolas"/>
      <w:sz w:val="20"/>
      <w:szCs w:val="20"/>
    </w:rPr>
  </w:style>
  <w:style w:type="table" w:styleId="MediumGrid1">
    <w:name w:val="Medium Grid 1"/>
    <w:basedOn w:val="TableNormal"/>
    <w:uiPriority w:val="67"/>
    <w:semiHidden/>
    <w:rsid w:val="00516AE0"/>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516AE0"/>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516AE0"/>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516AE0"/>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516AE0"/>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516AE0"/>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516AE0"/>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516AE0"/>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516AE0"/>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516AE0"/>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516AE0"/>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516AE0"/>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516AE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516AE0"/>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516AE0"/>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516AE0"/>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516AE0"/>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516AE0"/>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516AE0"/>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516AE0"/>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516AE0"/>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516AE0"/>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516AE0"/>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516AE0"/>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516AE0"/>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516AE0"/>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516AE0"/>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516AE0"/>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516AE0"/>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516AE0"/>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516AE0"/>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516AE0"/>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516AE0"/>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516AE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516AE0"/>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516AE0"/>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516AE0"/>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516AE0"/>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516AE0"/>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516AE0"/>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516AE0"/>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516AE0"/>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516AE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516AE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516AE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516AE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516AE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516AE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516AE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516AE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516AE0"/>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516AE0"/>
    <w:rPr>
      <w:rFonts w:ascii="Times New Roman" w:hAnsi="Times New Roman" w:cs="Times New Roman"/>
    </w:rPr>
  </w:style>
  <w:style w:type="paragraph" w:styleId="NormalIndent">
    <w:name w:val="Normal Indent"/>
    <w:basedOn w:val="Normal"/>
    <w:uiPriority w:val="98"/>
    <w:semiHidden/>
    <w:rsid w:val="00516AE0"/>
    <w:pPr>
      <w:ind w:left="720"/>
    </w:pPr>
  </w:style>
  <w:style w:type="table" w:customStyle="1" w:styleId="ECHRTableNoLines">
    <w:name w:val="ECHR_Table_No_Lines"/>
    <w:basedOn w:val="TableNormal"/>
    <w:uiPriority w:val="99"/>
    <w:rsid w:val="00516AE0"/>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table" w:customStyle="1" w:styleId="ECHRTableSimpleBox">
    <w:name w:val="ECHR_Table_Simple_Box"/>
    <w:basedOn w:val="TableNormal"/>
    <w:uiPriority w:val="99"/>
    <w:rsid w:val="00516AE0"/>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character" w:styleId="PlaceholderText">
    <w:name w:val="Placeholder Text"/>
    <w:basedOn w:val="DefaultParagraphFont"/>
    <w:uiPriority w:val="98"/>
    <w:semiHidden/>
    <w:rsid w:val="00516AE0"/>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516AE0"/>
    <w:rPr>
      <w:rFonts w:ascii="Consolas" w:hAnsi="Consolas" w:cs="Consolas"/>
      <w:sz w:val="21"/>
      <w:szCs w:val="21"/>
    </w:rPr>
  </w:style>
  <w:style w:type="character" w:customStyle="1" w:styleId="PlainTextChar">
    <w:name w:val="Plain Text Char"/>
    <w:basedOn w:val="DefaultParagraphFont"/>
    <w:link w:val="PlainText"/>
    <w:uiPriority w:val="98"/>
    <w:semiHidden/>
    <w:rsid w:val="00516AE0"/>
    <w:rPr>
      <w:rFonts w:ascii="Consolas" w:hAnsi="Consolas" w:cs="Consolas"/>
      <w:sz w:val="21"/>
      <w:szCs w:val="21"/>
      <w:lang w:val="en-GB"/>
    </w:rPr>
  </w:style>
  <w:style w:type="paragraph" w:styleId="Salutation">
    <w:name w:val="Salutation"/>
    <w:basedOn w:val="Normal"/>
    <w:next w:val="Normal"/>
    <w:link w:val="SalutationChar"/>
    <w:uiPriority w:val="98"/>
    <w:semiHidden/>
    <w:rsid w:val="00516AE0"/>
  </w:style>
  <w:style w:type="character" w:customStyle="1" w:styleId="SalutationChar">
    <w:name w:val="Salutation Char"/>
    <w:basedOn w:val="DefaultParagraphFont"/>
    <w:link w:val="Salutation"/>
    <w:uiPriority w:val="98"/>
    <w:semiHidden/>
    <w:rsid w:val="00516AE0"/>
    <w:rPr>
      <w:sz w:val="24"/>
      <w:szCs w:val="24"/>
      <w:lang w:val="en-GB"/>
    </w:rPr>
  </w:style>
  <w:style w:type="paragraph" w:styleId="Signature0">
    <w:name w:val="Signature"/>
    <w:basedOn w:val="Normal"/>
    <w:link w:val="SignatureChar"/>
    <w:uiPriority w:val="98"/>
    <w:semiHidden/>
    <w:rsid w:val="00516AE0"/>
    <w:pPr>
      <w:ind w:left="4252"/>
    </w:pPr>
  </w:style>
  <w:style w:type="character" w:customStyle="1" w:styleId="SignatureChar">
    <w:name w:val="Signature Char"/>
    <w:basedOn w:val="DefaultParagraphFont"/>
    <w:link w:val="Signature0"/>
    <w:uiPriority w:val="98"/>
    <w:semiHidden/>
    <w:rsid w:val="00516AE0"/>
    <w:rPr>
      <w:sz w:val="24"/>
      <w:szCs w:val="24"/>
      <w:lang w:val="en-GB"/>
    </w:rPr>
  </w:style>
  <w:style w:type="table" w:styleId="Table3Deffects1">
    <w:name w:val="Table 3D effects 1"/>
    <w:basedOn w:val="TableNormal"/>
    <w:uiPriority w:val="99"/>
    <w:semiHidden/>
    <w:unhideWhenUsed/>
    <w:rsid w:val="00516AE0"/>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516AE0"/>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516AE0"/>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516AE0"/>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516AE0"/>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516AE0"/>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516AE0"/>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516AE0"/>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516AE0"/>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516AE0"/>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516AE0"/>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516AE0"/>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516AE0"/>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516AE0"/>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516AE0"/>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516AE0"/>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516AE0"/>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semiHidden/>
    <w:rsid w:val="00516AE0"/>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516AE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516AE0"/>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516AE0"/>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516AE0"/>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516AE0"/>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516AE0"/>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516AE0"/>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516AE0"/>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516AE0"/>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516AE0"/>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516AE0"/>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516AE0"/>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516AE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516AE0"/>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516AE0"/>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516AE0"/>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516AE0"/>
    <w:pPr>
      <w:ind w:left="240" w:hanging="240"/>
    </w:pPr>
  </w:style>
  <w:style w:type="paragraph" w:styleId="TableofFigures">
    <w:name w:val="table of figures"/>
    <w:basedOn w:val="Normal"/>
    <w:next w:val="Normal"/>
    <w:uiPriority w:val="98"/>
    <w:semiHidden/>
    <w:rsid w:val="00516AE0"/>
  </w:style>
  <w:style w:type="table" w:styleId="TableProfessional">
    <w:name w:val="Table Professional"/>
    <w:basedOn w:val="TableNormal"/>
    <w:uiPriority w:val="99"/>
    <w:semiHidden/>
    <w:unhideWhenUsed/>
    <w:rsid w:val="00516AE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516AE0"/>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516AE0"/>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516AE0"/>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516AE0"/>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516AE0"/>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516AE0"/>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516AE0"/>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516AE0"/>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516AE0"/>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8"/>
    <w:semiHidden/>
    <w:rsid w:val="00516AE0"/>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TOC1">
    <w:name w:val="toc 1"/>
    <w:basedOn w:val="Normal"/>
    <w:next w:val="Normal"/>
    <w:autoRedefine/>
    <w:uiPriority w:val="98"/>
    <w:semiHidden/>
    <w:rsid w:val="00516AE0"/>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516AE0"/>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516AE0"/>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516AE0"/>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516AE0"/>
    <w:pPr>
      <w:tabs>
        <w:tab w:val="right" w:leader="dot" w:pos="7371"/>
      </w:tabs>
      <w:spacing w:after="60" w:line="240" w:lineRule="exact"/>
      <w:ind w:left="1701" w:right="567" w:hanging="340"/>
    </w:pPr>
    <w:rPr>
      <w:sz w:val="20"/>
    </w:rPr>
  </w:style>
  <w:style w:type="paragraph" w:styleId="TOC6">
    <w:name w:val="toc 6"/>
    <w:basedOn w:val="Normal"/>
    <w:next w:val="Normal"/>
    <w:autoRedefine/>
    <w:uiPriority w:val="98"/>
    <w:semiHidden/>
    <w:rsid w:val="00516AE0"/>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516AE0"/>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516AE0"/>
    <w:pPr>
      <w:spacing w:after="100"/>
      <w:ind w:left="1680"/>
    </w:pPr>
  </w:style>
  <w:style w:type="paragraph" w:styleId="TOC9">
    <w:name w:val="toc 9"/>
    <w:basedOn w:val="Normal"/>
    <w:next w:val="Normal"/>
    <w:autoRedefine/>
    <w:uiPriority w:val="98"/>
    <w:semiHidden/>
    <w:rsid w:val="00516AE0"/>
    <w:pPr>
      <w:spacing w:after="100"/>
      <w:ind w:left="1920"/>
    </w:pPr>
  </w:style>
  <w:style w:type="paragraph" w:customStyle="1" w:styleId="ECHRFooter">
    <w:name w:val="ECHR_Footer"/>
    <w:aliases w:val="Footer_ECHR"/>
    <w:basedOn w:val="Footer1"/>
    <w:uiPriority w:val="57"/>
    <w:semiHidden/>
    <w:rsid w:val="00987A64"/>
    <w:rPr>
      <w:sz w:val="8"/>
    </w:rPr>
  </w:style>
  <w:style w:type="paragraph" w:customStyle="1" w:styleId="Footer">
    <w:name w:val="_Footer"/>
    <w:aliases w:val="Footer_"/>
    <w:basedOn w:val="Footer1"/>
    <w:uiPriority w:val="57"/>
    <w:semiHidden/>
    <w:rsid w:val="000D61E7"/>
    <w:rPr>
      <w:sz w:val="8"/>
    </w:rPr>
  </w:style>
  <w:style w:type="paragraph" w:styleId="Footer1">
    <w:name w:val="footer"/>
    <w:basedOn w:val="Normal"/>
    <w:link w:val="FooterChar"/>
    <w:uiPriority w:val="98"/>
    <w:semiHidden/>
    <w:rsid w:val="00516AE0"/>
    <w:pPr>
      <w:tabs>
        <w:tab w:val="center" w:pos="3686"/>
        <w:tab w:val="right" w:pos="7371"/>
      </w:tabs>
    </w:pPr>
  </w:style>
  <w:style w:type="character" w:customStyle="1" w:styleId="FooterChar">
    <w:name w:val="Footer Char"/>
    <w:basedOn w:val="DefaultParagraphFont"/>
    <w:link w:val="Footer1"/>
    <w:uiPriority w:val="98"/>
    <w:semiHidden/>
    <w:rsid w:val="00516AE0"/>
    <w:rPr>
      <w:sz w:val="24"/>
      <w:szCs w:val="24"/>
      <w:lang w:val="en-GB"/>
    </w:rPr>
  </w:style>
  <w:style w:type="paragraph" w:customStyle="1" w:styleId="ECHRFooterLine">
    <w:name w:val="ECHR_Footer_Line"/>
    <w:aliases w:val="_Footer_Line"/>
    <w:basedOn w:val="Normal"/>
    <w:next w:val="Normal"/>
    <w:uiPriority w:val="30"/>
    <w:semiHidden/>
    <w:rsid w:val="00516AE0"/>
    <w:pPr>
      <w:pBdr>
        <w:top w:val="single" w:sz="6" w:space="1" w:color="5F5F5F"/>
      </w:pBdr>
      <w:tabs>
        <w:tab w:val="center" w:pos="3686"/>
        <w:tab w:val="right" w:pos="7371"/>
      </w:tabs>
      <w:ind w:left="-1474" w:right="-1474"/>
    </w:pPr>
    <w:rPr>
      <w:color w:val="5F5F5F"/>
    </w:rPr>
  </w:style>
  <w:style w:type="table" w:customStyle="1" w:styleId="ECHRListTable">
    <w:name w:val="ECHR_List_Table"/>
    <w:basedOn w:val="TableNormal"/>
    <w:uiPriority w:val="99"/>
    <w:rsid w:val="00516AE0"/>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customStyle="1" w:styleId="JuCase">
    <w:name w:val="Ju_Case"/>
    <w:aliases w:val="_Case_Name"/>
    <w:basedOn w:val="NormalJustified"/>
    <w:next w:val="JuPara"/>
    <w:uiPriority w:val="32"/>
    <w:rsid w:val="00516AE0"/>
    <w:pPr>
      <w:ind w:firstLine="284"/>
    </w:pPr>
    <w:rPr>
      <w:b/>
    </w:rPr>
  </w:style>
  <w:style w:type="paragraph" w:styleId="NoteHeading">
    <w:name w:val="Note Heading"/>
    <w:basedOn w:val="Normal"/>
    <w:next w:val="Normal"/>
    <w:link w:val="NoteHeadingChar"/>
    <w:uiPriority w:val="98"/>
    <w:semiHidden/>
    <w:rsid w:val="00516AE0"/>
  </w:style>
  <w:style w:type="character" w:customStyle="1" w:styleId="NoteHeadingChar">
    <w:name w:val="Note Heading Char"/>
    <w:basedOn w:val="DefaultParagraphFont"/>
    <w:link w:val="NoteHeading"/>
    <w:uiPriority w:val="98"/>
    <w:semiHidden/>
    <w:rsid w:val="00516AE0"/>
    <w:rPr>
      <w:sz w:val="24"/>
      <w:szCs w:val="24"/>
      <w:lang w:val="en-GB"/>
    </w:rPr>
  </w:style>
  <w:style w:type="paragraph" w:customStyle="1" w:styleId="ECHRHeaderLandscape">
    <w:name w:val="ECHR_Header_Landscape"/>
    <w:aliases w:val="_Header_Landscape"/>
    <w:basedOn w:val="JuHeader"/>
    <w:uiPriority w:val="29"/>
    <w:semiHidden/>
    <w:rsid w:val="00516AE0"/>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516AE0"/>
    <w:pPr>
      <w:numPr>
        <w:numId w:val="17"/>
      </w:numPr>
      <w:spacing w:before="60" w:after="60"/>
    </w:pPr>
  </w:style>
  <w:style w:type="paragraph" w:customStyle="1" w:styleId="ECHRBullet2">
    <w:name w:val="ECHR_Bullet_2"/>
    <w:aliases w:val="_Bul_2"/>
    <w:basedOn w:val="ECHRBullet1"/>
    <w:uiPriority w:val="23"/>
    <w:semiHidden/>
    <w:rsid w:val="00516AE0"/>
    <w:pPr>
      <w:numPr>
        <w:ilvl w:val="1"/>
      </w:numPr>
    </w:pPr>
  </w:style>
  <w:style w:type="paragraph" w:customStyle="1" w:styleId="ECHRBullet3">
    <w:name w:val="ECHR_Bullet_3"/>
    <w:aliases w:val="_Bul_3"/>
    <w:basedOn w:val="ECHRBullet2"/>
    <w:uiPriority w:val="23"/>
    <w:semiHidden/>
    <w:rsid w:val="00516AE0"/>
    <w:pPr>
      <w:numPr>
        <w:ilvl w:val="2"/>
      </w:numPr>
    </w:pPr>
  </w:style>
  <w:style w:type="paragraph" w:customStyle="1" w:styleId="ECHRBullet4">
    <w:name w:val="ECHR_Bullet_4"/>
    <w:aliases w:val="_Bul_4"/>
    <w:basedOn w:val="ECHRBullet3"/>
    <w:uiPriority w:val="23"/>
    <w:semiHidden/>
    <w:rsid w:val="00516AE0"/>
    <w:pPr>
      <w:numPr>
        <w:ilvl w:val="3"/>
      </w:numPr>
    </w:pPr>
  </w:style>
  <w:style w:type="paragraph" w:customStyle="1" w:styleId="ECHRConfidential">
    <w:name w:val="ECHR_Confidential"/>
    <w:aliases w:val="_Confidential"/>
    <w:basedOn w:val="Normal"/>
    <w:next w:val="Normal"/>
    <w:uiPriority w:val="42"/>
    <w:semiHidden/>
    <w:qFormat/>
    <w:rsid w:val="00516AE0"/>
    <w:pPr>
      <w:jc w:val="right"/>
    </w:pPr>
    <w:rPr>
      <w:color w:val="C00000"/>
      <w:sz w:val="20"/>
    </w:rPr>
  </w:style>
  <w:style w:type="paragraph" w:customStyle="1" w:styleId="ECHRDecisionBody">
    <w:name w:val="ECHR_Decision_Body"/>
    <w:aliases w:val="_Decision_Body"/>
    <w:basedOn w:val="NormalJustified"/>
    <w:uiPriority w:val="54"/>
    <w:semiHidden/>
    <w:rsid w:val="00516AE0"/>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516AE0"/>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516AE0"/>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516AE0"/>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516AE0"/>
    <w:pPr>
      <w:jc w:val="right"/>
    </w:pPr>
    <w:rPr>
      <w:sz w:val="20"/>
    </w:rPr>
  </w:style>
  <w:style w:type="paragraph" w:customStyle="1" w:styleId="ECHRHeaderRefIt">
    <w:name w:val="ECHR_Header_Ref_It"/>
    <w:aliases w:val="_Ref_Ital"/>
    <w:basedOn w:val="Normal"/>
    <w:next w:val="ECHRHeaderDate"/>
    <w:uiPriority w:val="43"/>
    <w:semiHidden/>
    <w:qFormat/>
    <w:rsid w:val="00516AE0"/>
    <w:pPr>
      <w:jc w:val="right"/>
    </w:pPr>
    <w:rPr>
      <w:i/>
      <w:sz w:val="20"/>
    </w:rPr>
  </w:style>
  <w:style w:type="paragraph" w:customStyle="1" w:styleId="ECHRHeading9">
    <w:name w:val="ECHR_Heading_9"/>
    <w:aliases w:val="_Head_9"/>
    <w:basedOn w:val="Heading9"/>
    <w:uiPriority w:val="17"/>
    <w:semiHidden/>
    <w:rsid w:val="00516AE0"/>
    <w:pPr>
      <w:keepNext/>
      <w:keepLines/>
      <w:numPr>
        <w:ilvl w:val="8"/>
        <w:numId w:val="1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516AE0"/>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516AE0"/>
    <w:pPr>
      <w:numPr>
        <w:numId w:val="18"/>
      </w:numPr>
      <w:spacing w:before="60" w:after="60"/>
    </w:pPr>
  </w:style>
  <w:style w:type="paragraph" w:customStyle="1" w:styleId="ECHRNumberedList2">
    <w:name w:val="ECHR_Numbered_List_2"/>
    <w:aliases w:val="_Num_2"/>
    <w:basedOn w:val="ECHRNumberedList1"/>
    <w:uiPriority w:val="23"/>
    <w:semiHidden/>
    <w:rsid w:val="00516AE0"/>
    <w:pPr>
      <w:numPr>
        <w:ilvl w:val="1"/>
      </w:numPr>
    </w:pPr>
  </w:style>
  <w:style w:type="paragraph" w:customStyle="1" w:styleId="ECHRNumberedList3">
    <w:name w:val="ECHR_Numbered_List_3"/>
    <w:aliases w:val="_Num_3"/>
    <w:basedOn w:val="ECHRNumberedList2"/>
    <w:uiPriority w:val="23"/>
    <w:semiHidden/>
    <w:rsid w:val="00516AE0"/>
    <w:pPr>
      <w:numPr>
        <w:ilvl w:val="2"/>
      </w:numPr>
    </w:pPr>
  </w:style>
  <w:style w:type="paragraph" w:customStyle="1" w:styleId="ECHRParaHanging">
    <w:name w:val="ECHR_Para_Hanging"/>
    <w:aliases w:val="_Hanging"/>
    <w:basedOn w:val="NormalJustified"/>
    <w:uiPriority w:val="8"/>
    <w:semiHidden/>
    <w:qFormat/>
    <w:rsid w:val="00516AE0"/>
    <w:pPr>
      <w:ind w:left="567" w:hanging="567"/>
    </w:pPr>
  </w:style>
  <w:style w:type="paragraph" w:customStyle="1" w:styleId="ECHRParaIndent">
    <w:name w:val="ECHR_Para_Indent"/>
    <w:aliases w:val="_Indent"/>
    <w:basedOn w:val="NormalJustified"/>
    <w:uiPriority w:val="7"/>
    <w:semiHidden/>
    <w:qFormat/>
    <w:rsid w:val="00516AE0"/>
    <w:pPr>
      <w:spacing w:before="120" w:after="120"/>
      <w:ind w:left="284"/>
    </w:pPr>
  </w:style>
  <w:style w:type="character" w:customStyle="1" w:styleId="ECHRRed">
    <w:name w:val="ECHR_Red"/>
    <w:aliases w:val="_Red"/>
    <w:basedOn w:val="DefaultParagraphFont"/>
    <w:uiPriority w:val="15"/>
    <w:semiHidden/>
    <w:qFormat/>
    <w:rsid w:val="00516AE0"/>
    <w:rPr>
      <w:color w:val="C00000" w:themeColor="accent2"/>
    </w:rPr>
  </w:style>
  <w:style w:type="paragraph" w:customStyle="1" w:styleId="DecList">
    <w:name w:val="Dec_List"/>
    <w:aliases w:val="_List"/>
    <w:basedOn w:val="JuList"/>
    <w:uiPriority w:val="22"/>
    <w:rsid w:val="00516AE0"/>
    <w:pPr>
      <w:numPr>
        <w:numId w:val="0"/>
      </w:numPr>
      <w:ind w:left="284"/>
    </w:pPr>
  </w:style>
  <w:style w:type="table" w:customStyle="1" w:styleId="ECHRTable">
    <w:name w:val="ECHR_Table"/>
    <w:basedOn w:val="TableNormal"/>
    <w:rsid w:val="00516AE0"/>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2">
    <w:name w:val="ECHR_Table_2"/>
    <w:basedOn w:val="TableNormal"/>
    <w:uiPriority w:val="99"/>
    <w:rsid w:val="00516AE0"/>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516AE0"/>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516AE0"/>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516AE0"/>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516AE0"/>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516AE0"/>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516AE0"/>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516AE0"/>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516AE0"/>
    <w:pPr>
      <w:outlineLvl w:val="0"/>
    </w:pPr>
  </w:style>
  <w:style w:type="paragraph" w:customStyle="1" w:styleId="ECHRTitleTOC1">
    <w:name w:val="ECHR_Title_TOC_1"/>
    <w:aliases w:val="_Title_L_TOC"/>
    <w:basedOn w:val="ECHRTitle1"/>
    <w:next w:val="Normal"/>
    <w:uiPriority w:val="27"/>
    <w:semiHidden/>
    <w:qFormat/>
    <w:rsid w:val="00516AE0"/>
    <w:pPr>
      <w:outlineLvl w:val="0"/>
    </w:pPr>
  </w:style>
  <w:style w:type="table" w:customStyle="1" w:styleId="LtrTableAddress">
    <w:name w:val="Ltr_Table_Address"/>
    <w:aliases w:val="ECHR_Ltr_Table_Address"/>
    <w:basedOn w:val="TableNormal"/>
    <w:uiPriority w:val="99"/>
    <w:rsid w:val="00516AE0"/>
    <w:rPr>
      <w:sz w:val="24"/>
      <w:szCs w:val="24"/>
    </w:rPr>
    <w:tblPr>
      <w:tblInd w:w="5103" w:type="dxa"/>
    </w:tblPr>
  </w:style>
  <w:style w:type="table" w:customStyle="1" w:styleId="PCFTableStyle">
    <w:name w:val="PCF_Table_Style"/>
    <w:aliases w:val="ECHR_PCF_Table_Style"/>
    <w:basedOn w:val="TableNormal"/>
    <w:uiPriority w:val="99"/>
    <w:rsid w:val="00516AE0"/>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UGTable">
    <w:name w:val="UG_Table"/>
    <w:aliases w:val="ECHR_UG_Table"/>
    <w:basedOn w:val="TableNormal"/>
    <w:uiPriority w:val="99"/>
    <w:rsid w:val="00516AE0"/>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516AE0"/>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paragraph" w:customStyle="1" w:styleId="ECHRPlaceholder">
    <w:name w:val="ECHR_Placeholder"/>
    <w:aliases w:val="_Placeholder"/>
    <w:basedOn w:val="JuSigned"/>
    <w:uiPriority w:val="31"/>
    <w:rsid w:val="00516AE0"/>
    <w:rPr>
      <w:color w:val="FFFFFF"/>
    </w:rPr>
  </w:style>
  <w:style w:type="paragraph" w:customStyle="1" w:styleId="ECHRSpacer">
    <w:name w:val="ECHR_Spacer"/>
    <w:aliases w:val="_Spacer"/>
    <w:basedOn w:val="Normal"/>
    <w:uiPriority w:val="45"/>
    <w:semiHidden/>
    <w:rsid w:val="00516AE0"/>
    <w:rPr>
      <w:sz w:val="4"/>
    </w:rPr>
  </w:style>
  <w:style w:type="table" w:customStyle="1" w:styleId="ECHRTableGrey">
    <w:name w:val="ECHR_Table_Grey"/>
    <w:basedOn w:val="TableNormal"/>
    <w:uiPriority w:val="99"/>
    <w:rsid w:val="00516AE0"/>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table" w:customStyle="1" w:styleId="ECHRTableOddBanded">
    <w:name w:val="ECHR_Table_Odd_Banded"/>
    <w:basedOn w:val="TableNormal"/>
    <w:uiPriority w:val="99"/>
    <w:rsid w:val="00516AE0"/>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character" w:customStyle="1" w:styleId="UnresolvedMention">
    <w:name w:val="Unresolved Mention"/>
    <w:basedOn w:val="DefaultParagraphFont"/>
    <w:uiPriority w:val="99"/>
    <w:semiHidden/>
    <w:unhideWhenUsed/>
    <w:rsid w:val="00516AE0"/>
    <w:rPr>
      <w:color w:val="605E5C"/>
      <w:shd w:val="clear" w:color="auto" w:fill="E1DFDD"/>
    </w:rPr>
  </w:style>
  <w:style w:type="character" w:customStyle="1" w:styleId="JuParaChar">
    <w:name w:val="Ju_Para Char"/>
    <w:aliases w:val="_Para Char"/>
    <w:link w:val="JuPara"/>
    <w:uiPriority w:val="4"/>
    <w:locked/>
    <w:rsid w:val="00D06541"/>
    <w:rPr>
      <w:sz w:val="24"/>
      <w:szCs w:val="24"/>
      <w:lang w:val="en-GB"/>
    </w:rPr>
  </w:style>
  <w:style w:type="table" w:styleId="GridTable1Light">
    <w:name w:val="Grid Table 1 Light"/>
    <w:basedOn w:val="TableNormal"/>
    <w:uiPriority w:val="46"/>
    <w:semiHidden/>
    <w:rsid w:val="00042590"/>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042590"/>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042590"/>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042590"/>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042590"/>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042590"/>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042590"/>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042590"/>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042590"/>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042590"/>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042590"/>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042590"/>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042590"/>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042590"/>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04259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04259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04259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042590"/>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04259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04259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04259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04259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04259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04259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042590"/>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04259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04259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04259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04259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04259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04259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04259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04259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04259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04259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042590"/>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042590"/>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042590"/>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042590"/>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042590"/>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042590"/>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042590"/>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042590"/>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042590"/>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042590"/>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042590"/>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042590"/>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042590"/>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042590"/>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042590"/>
    <w:rPr>
      <w:color w:val="2B579A"/>
      <w:shd w:val="clear" w:color="auto" w:fill="E1DFDD"/>
    </w:rPr>
  </w:style>
  <w:style w:type="table" w:styleId="ListTable1Light">
    <w:name w:val="List Table 1 Light"/>
    <w:basedOn w:val="TableNormal"/>
    <w:uiPriority w:val="46"/>
    <w:semiHidden/>
    <w:rsid w:val="00042590"/>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042590"/>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042590"/>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042590"/>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042590"/>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042590"/>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042590"/>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042590"/>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042590"/>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042590"/>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042590"/>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042590"/>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042590"/>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042590"/>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042590"/>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042590"/>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042590"/>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042590"/>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042590"/>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042590"/>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042590"/>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04259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04259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04259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042590"/>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04259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04259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04259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042590"/>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042590"/>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042590"/>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042590"/>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042590"/>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042590"/>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042590"/>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042590"/>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042590"/>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042590"/>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042590"/>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042590"/>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042590"/>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042590"/>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042590"/>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042590"/>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042590"/>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042590"/>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042590"/>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042590"/>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042590"/>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042590"/>
    <w:rPr>
      <w:color w:val="2B579A"/>
      <w:shd w:val="clear" w:color="auto" w:fill="E1DFDD"/>
    </w:rPr>
  </w:style>
  <w:style w:type="table" w:styleId="PlainTable1">
    <w:name w:val="Plain Table 1"/>
    <w:basedOn w:val="TableNormal"/>
    <w:uiPriority w:val="41"/>
    <w:semiHidden/>
    <w:rsid w:val="00042590"/>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042590"/>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04259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04259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042590"/>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042590"/>
    <w:rPr>
      <w:u w:val="dotted"/>
    </w:rPr>
  </w:style>
  <w:style w:type="character" w:styleId="SmartLink">
    <w:name w:val="Smart Link"/>
    <w:basedOn w:val="DefaultParagraphFont"/>
    <w:uiPriority w:val="99"/>
    <w:semiHidden/>
    <w:unhideWhenUsed/>
    <w:rsid w:val="00042590"/>
    <w:rPr>
      <w:color w:val="0000FF"/>
      <w:u w:val="single"/>
      <w:shd w:val="clear" w:color="auto" w:fill="F3F2F1"/>
    </w:rPr>
  </w:style>
  <w:style w:type="table" w:styleId="GridTableLight">
    <w:name w:val="Grid Table Light"/>
    <w:basedOn w:val="TableNormal"/>
    <w:uiPriority w:val="40"/>
    <w:semiHidden/>
    <w:rsid w:val="0004259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9D660E-415E-4998-9B61-2168D4318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2679</Words>
  <Characters>13828</Characters>
  <Application>Microsoft Office Word</Application>
  <DocSecurity>0</DocSecurity>
  <Lines>337</Lines>
  <Paragraphs>137</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16370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cp:revision>1</cp:revision>
  <dcterms:created xsi:type="dcterms:W3CDTF">2026-02-09T14:57:00Z</dcterms:created>
  <dcterms:modified xsi:type="dcterms:W3CDTF">2026-02-09T15:01:00Z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1761060</vt:lpwstr>
  </property>
  <property fmtid="{D5CDD505-2E9C-101B-9397-08002B2CF9AE}" pid="3" name="cstLanguage">
    <vt:i4>2057</vt:i4>
  </property>
  <property fmtid="{D5CDD505-2E9C-101B-9397-08002B2CF9AE}" pid="4" name="RegisteredNo">
    <vt:lpwstr>29761/22</vt:lpwstr>
  </property>
</Properties>
</file>