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C2158" w:rsidR="0098410D" w:rsidP="002C2158" w14:paraId="2811C46C" w14:textId="77777777">
      <w:pPr>
        <w:jc w:val="center"/>
      </w:pPr>
    </w:p>
    <w:p w:rsidRPr="002C2158" w:rsidR="0098410D" w:rsidP="002C2158" w14:paraId="4CA93282" w14:textId="73C7BA83">
      <w:pPr>
        <w:pStyle w:val="DecHTitle"/>
      </w:pPr>
      <w:r w:rsidRPr="002C2158">
        <w:t>FIFTH SECTION</w:t>
      </w:r>
    </w:p>
    <w:p w:rsidRPr="002C2158" w:rsidR="008E6217" w:rsidP="002C2158" w14:paraId="120385D0" w14:textId="6D378549">
      <w:pPr>
        <w:pStyle w:val="JuTitle"/>
      </w:pPr>
      <w:r w:rsidRPr="002C2158">
        <w:rPr>
          <w:color w:val="000000" w:themeColor="text1"/>
        </w:rPr>
        <w:t xml:space="preserve">CASE OF </w:t>
      </w:r>
      <w:r w:rsidRPr="002C2158" w:rsidR="00CE63B8">
        <w:t>K.G. AND S.G. v. POLAND</w:t>
      </w:r>
    </w:p>
    <w:p w:rsidRPr="002C2158" w:rsidR="00D74888" w:rsidP="002C2158" w14:paraId="76D31861" w14:textId="05B41E4B">
      <w:pPr>
        <w:pStyle w:val="ECHRCoverTitle4"/>
      </w:pPr>
      <w:r w:rsidRPr="002C2158">
        <w:t>(</w:t>
      </w:r>
      <w:r w:rsidRPr="002C2158" w:rsidR="00CE63B8">
        <w:rPr>
          <w:noProof/>
        </w:rPr>
        <w:t>Application no.</w:t>
      </w:r>
      <w:r w:rsidRPr="002C2158">
        <w:t xml:space="preserve"> </w:t>
      </w:r>
      <w:r w:rsidRPr="002C2158" w:rsidR="00CE63B8">
        <w:t>62466/19</w:t>
      </w:r>
      <w:r w:rsidRPr="002C2158">
        <w:t>)</w:t>
      </w:r>
    </w:p>
    <w:p w:rsidRPr="002C2158" w:rsidR="0098410D" w:rsidP="002C2158" w14:paraId="1B5B312F" w14:textId="77777777">
      <w:pPr>
        <w:pStyle w:val="DecHCase"/>
      </w:pPr>
    </w:p>
    <w:p w:rsidRPr="002C2158" w:rsidR="0054716E" w:rsidP="002C2158" w14:paraId="147A99F0" w14:textId="77777777">
      <w:pPr>
        <w:pStyle w:val="DecHCase"/>
      </w:pPr>
    </w:p>
    <w:p w:rsidRPr="002C2158" w:rsidR="0054716E" w:rsidP="002C2158" w14:paraId="3E705910" w14:textId="77777777">
      <w:pPr>
        <w:pStyle w:val="DecHCase"/>
      </w:pPr>
    </w:p>
    <w:p w:rsidRPr="002C2158" w:rsidR="0098410D" w:rsidP="002C2158" w14:paraId="7715A296" w14:textId="77777777">
      <w:pPr>
        <w:pStyle w:val="DecHCase"/>
      </w:pPr>
    </w:p>
    <w:p w:rsidRPr="002C2158" w:rsidR="00AC4CD4" w:rsidP="002C2158" w14:paraId="140B444A" w14:textId="77777777">
      <w:pPr>
        <w:pStyle w:val="DecHCase"/>
      </w:pPr>
    </w:p>
    <w:p w:rsidRPr="002C2158" w:rsidR="0098410D" w:rsidP="002C2158" w14:paraId="0F477EA9" w14:textId="77777777">
      <w:pPr>
        <w:pStyle w:val="DecHCase"/>
      </w:pPr>
    </w:p>
    <w:p w:rsidRPr="002C2158" w:rsidR="0098410D" w:rsidP="002C2158" w14:paraId="44D2E094" w14:textId="2044F0DC">
      <w:pPr>
        <w:pStyle w:val="DecHCase"/>
      </w:pPr>
      <w:r w:rsidRPr="002C2158">
        <w:t>JUDGMENT</w:t>
      </w:r>
      <w:r w:rsidRPr="002C2158" w:rsidR="00AC4CD4">
        <w:br/>
      </w:r>
    </w:p>
    <w:p w:rsidRPr="002C2158" w:rsidR="0098410D" w:rsidP="002C2158" w14:paraId="68FE56AB" w14:textId="77777777">
      <w:pPr>
        <w:pStyle w:val="DecHCase"/>
      </w:pPr>
      <w:r w:rsidRPr="002C2158">
        <w:t>STRASBOURG</w:t>
      </w:r>
    </w:p>
    <w:p w:rsidRPr="002C2158" w:rsidR="0098410D" w:rsidP="002C2158" w14:paraId="004FD436" w14:textId="1053E7FA">
      <w:pPr>
        <w:pStyle w:val="DecHCase"/>
      </w:pPr>
      <w:r w:rsidRPr="002C2158">
        <w:rPr>
          <w:rFonts w:ascii="Times New Roman" w:hAnsi="Times New Roman" w:cs="Times New Roman"/>
        </w:rPr>
        <w:t>27 November 2025</w:t>
      </w:r>
    </w:p>
    <w:p w:rsidRPr="002C2158" w:rsidR="00AC4CD4" w:rsidP="002C2158" w14:paraId="118CD949" w14:textId="77777777">
      <w:pPr>
        <w:pStyle w:val="JuPara"/>
      </w:pPr>
    </w:p>
    <w:p w:rsidRPr="002C2158" w:rsidR="002422B6" w:rsidP="002C2158" w14:paraId="63788BCD" w14:textId="2C87AEEB">
      <w:pPr>
        <w:rPr>
          <w:i/>
          <w:sz w:val="22"/>
        </w:rPr>
      </w:pPr>
      <w:r w:rsidRPr="002C2158">
        <w:rPr>
          <w:i/>
          <w:sz w:val="22"/>
        </w:rPr>
        <w:t xml:space="preserve">This judgment </w:t>
      </w:r>
      <w:r w:rsidRPr="002C2158" w:rsidR="00CE63B8">
        <w:rPr>
          <w:i/>
          <w:noProof/>
          <w:sz w:val="22"/>
        </w:rPr>
        <w:t>is final but it</w:t>
      </w:r>
      <w:r w:rsidRPr="002C2158">
        <w:rPr>
          <w:i/>
          <w:sz w:val="22"/>
        </w:rPr>
        <w:t xml:space="preserve"> may be subject to editorial revision.</w:t>
      </w:r>
    </w:p>
    <w:p w:rsidRPr="002C2158" w:rsidR="0098410D" w:rsidP="002C2158" w14:paraId="22982E38"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C2158" w:rsidR="0098410D" w:rsidP="002C2158" w14:paraId="4331D1DE" w14:textId="0D296CAE">
      <w:pPr>
        <w:pStyle w:val="JuCase"/>
      </w:pPr>
      <w:r w:rsidRPr="002C2158">
        <w:t xml:space="preserve">In the case of </w:t>
      </w:r>
      <w:r w:rsidRPr="002C2158" w:rsidR="00CE63B8">
        <w:t>K.G. and S.G. v. Poland</w:t>
      </w:r>
      <w:r w:rsidRPr="002C2158">
        <w:t>,</w:t>
      </w:r>
    </w:p>
    <w:p w:rsidRPr="002C2158" w:rsidR="009F4C8F" w:rsidP="002C2158" w14:paraId="694CFBFA" w14:textId="7A7EAE7F">
      <w:pPr>
        <w:pStyle w:val="JuPara"/>
      </w:pPr>
      <w:r w:rsidRPr="002C2158">
        <w:t>The European Court of Human Rights (</w:t>
      </w:r>
      <w:r w:rsidRPr="002C2158" w:rsidR="00CE63B8">
        <w:t>Fifth Section</w:t>
      </w:r>
      <w:r w:rsidRPr="002C2158">
        <w:t xml:space="preserve">), sitting as a </w:t>
      </w:r>
      <w:r w:rsidRPr="002C2158" w:rsidR="00CE63B8">
        <w:rPr>
          <w:noProof/>
        </w:rPr>
        <w:t>Committee</w:t>
      </w:r>
      <w:r w:rsidRPr="002C2158">
        <w:t xml:space="preserve"> composed of:</w:t>
      </w:r>
    </w:p>
    <w:p w:rsidRPr="002C2158" w:rsidR="00A92625" w:rsidP="002C2158" w14:paraId="496B86DA" w14:textId="34B57459">
      <w:pPr>
        <w:pStyle w:val="JuJudges"/>
      </w:pPr>
      <w:r w:rsidRPr="002C2158">
        <w:tab/>
        <w:t xml:space="preserve">María </w:t>
      </w:r>
      <w:r w:rsidRPr="002C2158">
        <w:t>Elósegui</w:t>
      </w:r>
      <w:r w:rsidRPr="002C2158">
        <w:t xml:space="preserve">, </w:t>
      </w:r>
      <w:r w:rsidRPr="002C2158">
        <w:rPr>
          <w:i/>
          <w:iCs/>
        </w:rPr>
        <w:t>President</w:t>
      </w:r>
      <w:r w:rsidRPr="002C2158">
        <w:t>,</w:t>
      </w:r>
      <w:r w:rsidRPr="002C2158">
        <w:br/>
      </w:r>
      <w:r w:rsidRPr="002C2158">
        <w:tab/>
        <w:t xml:space="preserve">Gilberto </w:t>
      </w:r>
      <w:r w:rsidRPr="002C2158">
        <w:t>Felici</w:t>
      </w:r>
      <w:r w:rsidRPr="002C2158">
        <w:t>,</w:t>
      </w:r>
      <w:r w:rsidRPr="002C2158">
        <w:br/>
      </w:r>
      <w:r w:rsidRPr="002C2158">
        <w:tab/>
        <w:t xml:space="preserve">Diana </w:t>
      </w:r>
      <w:r w:rsidRPr="002C2158">
        <w:t>Sârcu</w:t>
      </w:r>
      <w:r w:rsidRPr="002C2158">
        <w:rPr>
          <w:i/>
        </w:rPr>
        <w:t>, judges</w:t>
      </w:r>
      <w:r w:rsidRPr="002C2158">
        <w:t>,</w:t>
      </w:r>
      <w:r w:rsidRPr="002C2158" w:rsidR="009F4C8F">
        <w:br/>
        <w:t>and</w:t>
      </w:r>
      <w:r w:rsidRPr="002C2158" w:rsidR="005C2C62">
        <w:t xml:space="preserve"> </w:t>
      </w:r>
      <w:r w:rsidRPr="002C2158" w:rsidR="00CE63B8">
        <w:rPr>
          <w:rFonts w:eastAsia="PMingLiU"/>
          <w:noProof/>
        </w:rPr>
        <w:t>Sophie Piquet</w:t>
      </w:r>
      <w:r w:rsidRPr="002C2158">
        <w:t xml:space="preserve">, </w:t>
      </w:r>
      <w:r w:rsidRPr="002C2158" w:rsidR="00CE63B8">
        <w:rPr>
          <w:i/>
          <w:noProof/>
        </w:rPr>
        <w:t xml:space="preserve">Acting Deputy </w:t>
      </w:r>
      <w:r w:rsidRPr="002C2158" w:rsidR="00E744E0">
        <w:rPr>
          <w:i/>
        </w:rPr>
        <w:t>Section Registrar</w:t>
      </w:r>
      <w:r w:rsidRPr="002C2158" w:rsidR="008F2465">
        <w:t>,</w:t>
      </w:r>
    </w:p>
    <w:p w:rsidRPr="002C2158" w:rsidR="00CE63B8" w:rsidP="002C2158" w14:paraId="3D213BA7" w14:textId="77777777">
      <w:pPr>
        <w:pStyle w:val="JuPara"/>
      </w:pPr>
      <w:r w:rsidRPr="002C2158">
        <w:t>Having regard to:</w:t>
      </w:r>
    </w:p>
    <w:p w:rsidRPr="002C2158" w:rsidR="00CE63B8" w:rsidP="002C2158" w14:paraId="3EFA4312" w14:textId="2804DC35">
      <w:pPr>
        <w:pStyle w:val="JuPara"/>
      </w:pPr>
      <w:r w:rsidRPr="002C2158">
        <w:t>the application (no. 62466/19) against the Republic of Poland lodged with the Court under Article 34 of the Convention for the Protection of Human Rights and Fundamental Freedoms (“the Convention”) on 4</w:t>
      </w:r>
      <w:r w:rsidRPr="002C2158" w:rsidR="003B592A">
        <w:t> </w:t>
      </w:r>
      <w:r w:rsidRPr="002C2158">
        <w:t xml:space="preserve">December 2019 by two Russian nationals, K.G. and S.G. (“the applicants”), who were born in 1984 and 2017 respectively, currently live in the Russian Federation and were represented by Ms I. </w:t>
      </w:r>
      <w:r w:rsidRPr="002C2158">
        <w:t>Hnasevych</w:t>
      </w:r>
      <w:r w:rsidRPr="002C2158">
        <w:t>, a lawyer practising in Cracow;</w:t>
      </w:r>
    </w:p>
    <w:p w:rsidRPr="002C2158" w:rsidR="00CE63B8" w:rsidP="002C2158" w14:paraId="21EBD55E" w14:textId="3FDCA684">
      <w:pPr>
        <w:pStyle w:val="JuPara"/>
      </w:pPr>
      <w:r w:rsidRPr="002C2158">
        <w:t xml:space="preserve">the decision to give notice of the complaints </w:t>
      </w:r>
      <w:r w:rsidRPr="002C2158">
        <w:rPr>
          <w:rFonts w:cstheme="minorHAnsi"/>
        </w:rPr>
        <w:t>under Article 5 § 1 (f) and Article 8 of the Convention</w:t>
      </w:r>
      <w:r w:rsidRPr="002C2158">
        <w:t xml:space="preserve"> concerning the applicants</w:t>
      </w:r>
      <w:r w:rsidRPr="002C2158" w:rsidR="002C2158">
        <w:t>’</w:t>
      </w:r>
      <w:r w:rsidRPr="002C2158">
        <w:t xml:space="preserve"> detention in a guarded centre for aliens to the Polish Government (“the Government”), represented by their Agent, Mr J. </w:t>
      </w:r>
      <w:r w:rsidRPr="002C2158">
        <w:t>Sobczak</w:t>
      </w:r>
      <w:r w:rsidRPr="002C2158">
        <w:t xml:space="preserve">, of the Ministry of Foreign Affairs, and to declare the remainder of the application </w:t>
      </w:r>
      <w:r w:rsidRPr="002C2158">
        <w:t>inadmissible;</w:t>
      </w:r>
    </w:p>
    <w:p w:rsidRPr="002C2158" w:rsidR="00CE63B8" w:rsidP="002C2158" w14:paraId="6F654A17" w14:textId="30062F75">
      <w:pPr>
        <w:pStyle w:val="JuPara"/>
      </w:pPr>
      <w:r w:rsidRPr="002C2158">
        <w:t>the decision not to have the applicants</w:t>
      </w:r>
      <w:r w:rsidRPr="002C2158" w:rsidR="002C2158">
        <w:t>’</w:t>
      </w:r>
      <w:r w:rsidRPr="002C2158">
        <w:t xml:space="preserve"> names </w:t>
      </w:r>
      <w:r w:rsidRPr="002C2158">
        <w:t>disclosed;</w:t>
      </w:r>
    </w:p>
    <w:p w:rsidRPr="002C2158" w:rsidR="00CE63B8" w:rsidP="002C2158" w14:paraId="1BD8577C" w14:textId="4CEA51E7">
      <w:pPr>
        <w:pStyle w:val="JuPara"/>
      </w:pPr>
      <w:r w:rsidRPr="002C2158">
        <w:t>the parties</w:t>
      </w:r>
      <w:r w:rsidRPr="002C2158" w:rsidR="002C2158">
        <w:t>’</w:t>
      </w:r>
      <w:r w:rsidRPr="002C2158">
        <w:t xml:space="preserve"> observations</w:t>
      </w:r>
      <w:r w:rsidRPr="002C2158" w:rsidR="003B592A">
        <w:t>.</w:t>
      </w:r>
    </w:p>
    <w:p w:rsidRPr="002C2158" w:rsidR="009F4C8F" w:rsidP="002C2158" w14:paraId="178D65A2" w14:textId="23570A5F">
      <w:pPr>
        <w:pStyle w:val="JuPara"/>
      </w:pPr>
      <w:r w:rsidRPr="002C2158">
        <w:t xml:space="preserve">Having deliberated in private on </w:t>
      </w:r>
      <w:r w:rsidRPr="002C2158" w:rsidR="00CE63B8">
        <w:t>6 November 2025</w:t>
      </w:r>
      <w:r w:rsidRPr="002C2158">
        <w:t>,</w:t>
      </w:r>
    </w:p>
    <w:p w:rsidRPr="002C2158" w:rsidR="009F4C8F" w:rsidP="002C2158" w14:paraId="2680A616" w14:textId="77777777">
      <w:pPr>
        <w:pStyle w:val="JuPara"/>
      </w:pPr>
      <w:r w:rsidRPr="002C2158">
        <w:t>Delivers the following judgment, which was adopted on that date:</w:t>
      </w:r>
    </w:p>
    <w:p w:rsidRPr="002C2158" w:rsidR="00CE63B8" w:rsidP="002C2158" w14:paraId="3070503E" w14:textId="09D2FA77">
      <w:pPr>
        <w:pStyle w:val="JuHHead"/>
      </w:pPr>
      <w:r w:rsidRPr="002C2158">
        <w:t>SUBJECT MATTER OF THE CASE</w:t>
      </w:r>
    </w:p>
    <w:p w:rsidRPr="002C2158" w:rsidR="00CE63B8" w:rsidP="002C2158" w14:paraId="5FC3217B" w14:textId="51ADEA11">
      <w:pPr>
        <w:pStyle w:val="JuPara"/>
      </w:pPr>
      <w:r w:rsidRPr="002C2158">
        <w:fldChar w:fldCharType="begin"/>
      </w:r>
      <w:r w:rsidRPr="002C2158">
        <w:instrText xml:space="preserve"> SEQ level0 \*arabic \* MERGEFORMAT </w:instrText>
      </w:r>
      <w:r w:rsidRPr="002C2158">
        <w:fldChar w:fldCharType="separate"/>
      </w:r>
      <w:r w:rsidRPr="002C2158">
        <w:rPr>
          <w:noProof/>
        </w:rPr>
        <w:t>1</w:t>
      </w:r>
      <w:r w:rsidRPr="002C2158">
        <w:rPr>
          <w:noProof/>
        </w:rPr>
        <w:fldChar w:fldCharType="end"/>
      </w:r>
      <w:r w:rsidRPr="002C2158">
        <w:t>.  The case concerns the placement and detention of the first applicant and her minor child (the second applicant) in a guarded centre for aliens for a period of approximately nine months pending their expulsion to Russia.</w:t>
      </w:r>
    </w:p>
    <w:p w:rsidRPr="002C2158" w:rsidR="00CE63B8" w:rsidP="002C2158" w14:paraId="5BE8460C" w14:textId="77777777">
      <w:pPr>
        <w:pStyle w:val="JuHIRoman"/>
      </w:pPr>
      <w:r w:rsidRPr="002C2158">
        <w:t>BACKGROUND</w:t>
      </w:r>
    </w:p>
    <w:p w:rsidRPr="002C2158" w:rsidR="00CE63B8" w:rsidP="002C2158" w14:paraId="78D41671" w14:textId="55EA4E64">
      <w:pPr>
        <w:pStyle w:val="JuPara"/>
      </w:pPr>
      <w:r w:rsidRPr="002C2158">
        <w:fldChar w:fldCharType="begin"/>
      </w:r>
      <w:r w:rsidRPr="002C2158">
        <w:instrText xml:space="preserve"> SEQ level0 \*arabic \* MERGEFORMAT </w:instrText>
      </w:r>
      <w:r w:rsidRPr="002C2158">
        <w:fldChar w:fldCharType="separate"/>
      </w:r>
      <w:r w:rsidRPr="002C2158">
        <w:rPr>
          <w:noProof/>
        </w:rPr>
        <w:t>2</w:t>
      </w:r>
      <w:r w:rsidRPr="002C2158">
        <w:rPr>
          <w:noProof/>
        </w:rPr>
        <w:fldChar w:fldCharType="end"/>
      </w:r>
      <w:r w:rsidRPr="002C2158">
        <w:t>.  In 2016 the first applicant fled from Russia to Turkey on account of alleged persecution. Whilst in Turkey she had a relationship with a Syrian national and became pregnant. She left Turkey for Poland on account of threats allegedly made by the child</w:t>
      </w:r>
      <w:r w:rsidRPr="002C2158">
        <w:t>’</w:t>
      </w:r>
      <w:r w:rsidRPr="002C2158">
        <w:t>s father.</w:t>
      </w:r>
    </w:p>
    <w:p w:rsidRPr="002C2158" w:rsidR="00CE63B8" w:rsidP="002C2158" w14:paraId="7B6DF651" w14:textId="74B967A2">
      <w:pPr>
        <w:pStyle w:val="JuPara"/>
      </w:pPr>
      <w:r w:rsidRPr="002C2158">
        <w:fldChar w:fldCharType="begin"/>
      </w:r>
      <w:r w:rsidRPr="002C2158">
        <w:instrText xml:space="preserve"> SEQ level0 \*arabic \* MERGEFORMAT </w:instrText>
      </w:r>
      <w:r w:rsidRPr="002C2158">
        <w:fldChar w:fldCharType="separate"/>
      </w:r>
      <w:r w:rsidRPr="002C2158">
        <w:rPr>
          <w:noProof/>
        </w:rPr>
        <w:t>3</w:t>
      </w:r>
      <w:r w:rsidRPr="002C2158">
        <w:rPr>
          <w:noProof/>
        </w:rPr>
        <w:fldChar w:fldCharType="end"/>
      </w:r>
      <w:r w:rsidRPr="002C2158">
        <w:t>.  Arriving in Poland in July 2017, the first applicant applied for refugee status. While the proceedings to that effect were ongoing the applicant left Poland for Germany, where she gave birth to the second applicant. She was then returned to Poland before later fleeing to Germany once again.</w:t>
      </w:r>
    </w:p>
    <w:p w:rsidRPr="002C2158" w:rsidR="00CE63B8" w:rsidP="002C2158" w14:paraId="448F78A3" w14:textId="7BFE29A4">
      <w:pPr>
        <w:pStyle w:val="JuPara"/>
      </w:pPr>
      <w:r w:rsidRPr="002C2158">
        <w:fldChar w:fldCharType="begin"/>
      </w:r>
      <w:r w:rsidRPr="002C2158">
        <w:instrText xml:space="preserve"> SEQ level0 \*arabic \* MERGEFORMAT </w:instrText>
      </w:r>
      <w:r w:rsidRPr="002C2158">
        <w:fldChar w:fldCharType="separate"/>
      </w:r>
      <w:r w:rsidRPr="002C2158">
        <w:rPr>
          <w:noProof/>
        </w:rPr>
        <w:t>4</w:t>
      </w:r>
      <w:r w:rsidRPr="002C2158">
        <w:rPr>
          <w:noProof/>
        </w:rPr>
        <w:fldChar w:fldCharType="end"/>
      </w:r>
      <w:r w:rsidRPr="002C2158">
        <w:t>.  The applicants were transferred back to Poland for the second time on 4 March 2019 and were detained the following day.</w:t>
      </w:r>
    </w:p>
    <w:p w:rsidRPr="002C2158" w:rsidR="00CE63B8" w:rsidP="002C2158" w14:paraId="4F13DEC1" w14:textId="4D929742">
      <w:pPr>
        <w:pStyle w:val="JuPara"/>
      </w:pPr>
      <w:r w:rsidRPr="002C2158">
        <w:fldChar w:fldCharType="begin"/>
      </w:r>
      <w:r w:rsidRPr="002C2158">
        <w:instrText xml:space="preserve"> SEQ level0 \*arabic \* MERGEFORMAT </w:instrText>
      </w:r>
      <w:r w:rsidRPr="002C2158">
        <w:fldChar w:fldCharType="separate"/>
      </w:r>
      <w:r w:rsidRPr="002C2158">
        <w:rPr>
          <w:noProof/>
        </w:rPr>
        <w:t>5</w:t>
      </w:r>
      <w:r w:rsidRPr="002C2158">
        <w:rPr>
          <w:noProof/>
        </w:rPr>
        <w:fldChar w:fldCharType="end"/>
      </w:r>
      <w:r w:rsidRPr="002C2158">
        <w:t xml:space="preserve">.  On 4 December 2019 the Court decided not to indicate to the Government of Poland, under Rule 39 of the Rules of Court, the interim </w:t>
      </w:r>
      <w:r w:rsidRPr="002C2158">
        <w:t>measure which the applicants had sought as a way to ensure that they would not be removed from Poland.</w:t>
      </w:r>
    </w:p>
    <w:p w:rsidRPr="002C2158" w:rsidR="00CE63B8" w:rsidP="002C2158" w14:paraId="48556E46" w14:textId="1914C7D0">
      <w:pPr>
        <w:pStyle w:val="JuPara"/>
      </w:pPr>
      <w:r w:rsidRPr="002C2158">
        <w:fldChar w:fldCharType="begin"/>
      </w:r>
      <w:r w:rsidRPr="002C2158">
        <w:instrText xml:space="preserve"> SEQ level0 \*arabic \* MERGEFORMAT </w:instrText>
      </w:r>
      <w:r w:rsidRPr="002C2158">
        <w:fldChar w:fldCharType="separate"/>
      </w:r>
      <w:r w:rsidRPr="002C2158">
        <w:rPr>
          <w:noProof/>
        </w:rPr>
        <w:t>6</w:t>
      </w:r>
      <w:r w:rsidRPr="002C2158">
        <w:rPr>
          <w:noProof/>
        </w:rPr>
        <w:fldChar w:fldCharType="end"/>
      </w:r>
      <w:r w:rsidRPr="002C2158">
        <w:t>.  On 5 December 2019 the Polish authorities deported the applicants to Russia, where they have since remained.</w:t>
      </w:r>
    </w:p>
    <w:p w:rsidRPr="002C2158" w:rsidR="00CE63B8" w:rsidP="002C2158" w14:paraId="10745D4E" w14:textId="77777777">
      <w:pPr>
        <w:pStyle w:val="JuHIRoman"/>
      </w:pPr>
      <w:r w:rsidRPr="002C2158">
        <w:t>ADMINISTRATIVE PROCEEDINGS</w:t>
      </w:r>
    </w:p>
    <w:p w:rsidRPr="002C2158" w:rsidR="00CE63B8" w:rsidP="002C2158" w14:paraId="5B2C4610" w14:textId="3B2D6084">
      <w:pPr>
        <w:pStyle w:val="JuPara"/>
      </w:pPr>
      <w:r w:rsidRPr="002C2158">
        <w:fldChar w:fldCharType="begin"/>
      </w:r>
      <w:r w:rsidRPr="002C2158">
        <w:instrText xml:space="preserve"> SEQ level0 \*arabic \* MERGEFORMAT </w:instrText>
      </w:r>
      <w:r w:rsidRPr="002C2158">
        <w:fldChar w:fldCharType="separate"/>
      </w:r>
      <w:r w:rsidRPr="002C2158">
        <w:rPr>
          <w:noProof/>
        </w:rPr>
        <w:t>7</w:t>
      </w:r>
      <w:r w:rsidRPr="002C2158">
        <w:rPr>
          <w:noProof/>
        </w:rPr>
        <w:fldChar w:fldCharType="end"/>
      </w:r>
      <w:r w:rsidRPr="002C2158">
        <w:t>.  The first applicant</w:t>
      </w:r>
      <w:r w:rsidRPr="002C2158">
        <w:t>’</w:t>
      </w:r>
      <w:r w:rsidRPr="002C2158">
        <w:t>s application for refugee status was refused on 31 December 2018. She did not appeal against that decision, subsequently claiming not to have been aware of it as she had left Poland for Germany before it was delivered. Later attempts made by the first applicant to have the decision quashed were unsuccessful, as the Council for Refugees refused to reconsider the case on 21 November 2019 and the applicant failed to appeal to the Regional Administrative Court.</w:t>
      </w:r>
    </w:p>
    <w:p w:rsidRPr="002C2158" w:rsidR="00CE63B8" w:rsidP="002C2158" w14:paraId="4C88ADA7" w14:textId="1E151790">
      <w:pPr>
        <w:pStyle w:val="JuPara"/>
      </w:pPr>
      <w:r w:rsidRPr="002C2158">
        <w:fldChar w:fldCharType="begin"/>
      </w:r>
      <w:r w:rsidRPr="002C2158">
        <w:instrText xml:space="preserve"> SEQ level0 \*arabic \* MERGEFORMAT </w:instrText>
      </w:r>
      <w:r w:rsidRPr="002C2158">
        <w:fldChar w:fldCharType="separate"/>
      </w:r>
      <w:r w:rsidRPr="002C2158">
        <w:rPr>
          <w:noProof/>
        </w:rPr>
        <w:t>8</w:t>
      </w:r>
      <w:r w:rsidRPr="002C2158">
        <w:rPr>
          <w:noProof/>
        </w:rPr>
        <w:fldChar w:fldCharType="end"/>
      </w:r>
      <w:r w:rsidRPr="002C2158">
        <w:t>.  A second request for international protection, lodged on 29</w:t>
      </w:r>
      <w:r w:rsidRPr="002C2158" w:rsidR="003B592A">
        <w:t> </w:t>
      </w:r>
      <w:r w:rsidRPr="002C2158">
        <w:t>August 2019, was ultimately dismissed by the Council for Refugees on 21 November 2019.</w:t>
      </w:r>
    </w:p>
    <w:p w:rsidRPr="002C2158" w:rsidR="00CE63B8" w:rsidP="002C2158" w14:paraId="327AB157" w14:textId="5976726E">
      <w:pPr>
        <w:pStyle w:val="JuPara"/>
      </w:pPr>
      <w:r w:rsidRPr="002C2158">
        <w:fldChar w:fldCharType="begin"/>
      </w:r>
      <w:r w:rsidRPr="002C2158">
        <w:instrText xml:space="preserve"> SEQ level0 \*arabic \* MERGEFORMAT </w:instrText>
      </w:r>
      <w:r w:rsidRPr="002C2158">
        <w:fldChar w:fldCharType="separate"/>
      </w:r>
      <w:r w:rsidRPr="002C2158">
        <w:rPr>
          <w:noProof/>
        </w:rPr>
        <w:t>9</w:t>
      </w:r>
      <w:r w:rsidRPr="002C2158">
        <w:rPr>
          <w:noProof/>
        </w:rPr>
        <w:fldChar w:fldCharType="end"/>
      </w:r>
      <w:r w:rsidRPr="002C2158">
        <w:t>.  On 5 March 2019 a decision was issued obliging the applicants to leave Poland and banning them from re</w:t>
      </w:r>
      <w:r w:rsidRPr="002C2158">
        <w:noBreakHyphen/>
        <w:t>entering the Schengen area for one year. Appeals by the applicants against that decision, as well as their requests for the suspension of its enforcement, were unsuccessful.</w:t>
      </w:r>
    </w:p>
    <w:p w:rsidRPr="002C2158" w:rsidR="00CE63B8" w:rsidP="002C2158" w14:paraId="27F22FFF" w14:textId="611940B2">
      <w:pPr>
        <w:pStyle w:val="JuHIRoman"/>
      </w:pPr>
      <w:r w:rsidRPr="002C2158">
        <w:t>THE APPLICANTS</w:t>
      </w:r>
      <w:r w:rsidRPr="002C2158" w:rsidR="002C2158">
        <w:t>’</w:t>
      </w:r>
      <w:r w:rsidRPr="002C2158">
        <w:t xml:space="preserve"> ADMINISTRATIVE DETENTION</w:t>
      </w:r>
    </w:p>
    <w:p w:rsidRPr="002C2158" w:rsidR="00CE63B8" w:rsidP="002C2158" w14:paraId="112817DD" w14:textId="7BF6A08B">
      <w:pPr>
        <w:pStyle w:val="JuPara"/>
      </w:pPr>
      <w:r w:rsidRPr="002C2158">
        <w:fldChar w:fldCharType="begin"/>
      </w:r>
      <w:r w:rsidRPr="002C2158">
        <w:instrText xml:space="preserve"> SEQ level0 \*arabic \* MERGEFORMAT </w:instrText>
      </w:r>
      <w:r w:rsidRPr="002C2158">
        <w:fldChar w:fldCharType="separate"/>
      </w:r>
      <w:r w:rsidRPr="002C2158">
        <w:rPr>
          <w:noProof/>
        </w:rPr>
        <w:t>10</w:t>
      </w:r>
      <w:r w:rsidRPr="002C2158">
        <w:rPr>
          <w:noProof/>
        </w:rPr>
        <w:fldChar w:fldCharType="end"/>
      </w:r>
      <w:r w:rsidRPr="002C2158">
        <w:t xml:space="preserve">.  On 5 March 2019 the </w:t>
      </w:r>
      <w:r w:rsidRPr="002C2158">
        <w:t>Słubice</w:t>
      </w:r>
      <w:r w:rsidRPr="002C2158">
        <w:t xml:space="preserve"> District Court ordered the applicants</w:t>
      </w:r>
      <w:r w:rsidRPr="002C2158">
        <w:t>’</w:t>
      </w:r>
      <w:r w:rsidRPr="002C2158">
        <w:t xml:space="preserve"> detention in a guarded centre for aliens in </w:t>
      </w:r>
      <w:r w:rsidRPr="002C2158">
        <w:t>Biała</w:t>
      </w:r>
      <w:r w:rsidRPr="002C2158">
        <w:t xml:space="preserve"> </w:t>
      </w:r>
      <w:r w:rsidRPr="002C2158">
        <w:t>Podlaska</w:t>
      </w:r>
      <w:r w:rsidRPr="002C2158">
        <w:t>.</w:t>
      </w:r>
    </w:p>
    <w:p w:rsidRPr="002C2158" w:rsidR="00CE63B8" w:rsidP="002C2158" w14:paraId="4A28450A" w14:textId="207C3BBE">
      <w:pPr>
        <w:pStyle w:val="JuPara"/>
      </w:pPr>
      <w:r w:rsidRPr="002C2158">
        <w:fldChar w:fldCharType="begin"/>
      </w:r>
      <w:r w:rsidRPr="002C2158">
        <w:instrText xml:space="preserve"> SEQ level0 \*arabic \* MERGEFORMAT </w:instrText>
      </w:r>
      <w:r w:rsidRPr="002C2158">
        <w:fldChar w:fldCharType="separate"/>
      </w:r>
      <w:r w:rsidRPr="002C2158">
        <w:rPr>
          <w:noProof/>
        </w:rPr>
        <w:t>11</w:t>
      </w:r>
      <w:r w:rsidRPr="002C2158">
        <w:rPr>
          <w:noProof/>
        </w:rPr>
        <w:fldChar w:fldCharType="end"/>
      </w:r>
      <w:r w:rsidRPr="002C2158">
        <w:t>.  Their detention was subsequently extended by the court on 26 March, 28</w:t>
      </w:r>
      <w:r w:rsidRPr="002C2158" w:rsidR="00EE0D9C">
        <w:t> </w:t>
      </w:r>
      <w:r w:rsidRPr="002C2158">
        <w:t>June, 23 August, 26 September and 25 November 2019. The court held that administrative detention was necessary since the applicants had previously fled Poland for Germany.</w:t>
      </w:r>
    </w:p>
    <w:p w:rsidRPr="002C2158" w:rsidR="00CE63B8" w:rsidP="002C2158" w14:paraId="05ED5C9D" w14:textId="19BDEC12">
      <w:pPr>
        <w:pStyle w:val="JuPara"/>
      </w:pPr>
      <w:r w:rsidRPr="002C2158">
        <w:fldChar w:fldCharType="begin"/>
      </w:r>
      <w:r w:rsidRPr="002C2158">
        <w:instrText xml:space="preserve"> SEQ level0 \*arabic \* MERGEFORMAT </w:instrText>
      </w:r>
      <w:r w:rsidRPr="002C2158">
        <w:fldChar w:fldCharType="separate"/>
      </w:r>
      <w:r w:rsidRPr="002C2158">
        <w:rPr>
          <w:noProof/>
        </w:rPr>
        <w:t>12</w:t>
      </w:r>
      <w:r w:rsidRPr="002C2158">
        <w:rPr>
          <w:noProof/>
        </w:rPr>
        <w:fldChar w:fldCharType="end"/>
      </w:r>
      <w:r w:rsidRPr="002C2158">
        <w:t>.  The first applicant unsuccessfully appealed against each extension and argued, in particular, that the District Court had failed to consider the situation of the second applicant and to protect his rights and freedoms guaranteed by the Convention. In her submissions she relied on the opinions of expert psychologists and the case-law of the Court. She also submitted that she had friends in Poland who were ready to host her and her child in their home.</w:t>
      </w:r>
    </w:p>
    <w:p w:rsidRPr="002C2158" w:rsidR="00CE63B8" w:rsidP="002C2158" w14:paraId="7E06AD8D" w14:textId="77777777">
      <w:pPr>
        <w:pStyle w:val="JuHIRoman"/>
      </w:pPr>
      <w:r w:rsidRPr="002C2158">
        <w:t>PSYCHOLOGICAL OPINIONS</w:t>
      </w:r>
    </w:p>
    <w:p w:rsidRPr="002C2158" w:rsidR="00CE63B8" w:rsidP="002C2158" w14:paraId="613CF51A" w14:textId="6B63D9FD">
      <w:pPr>
        <w:pStyle w:val="JuPara"/>
      </w:pPr>
      <w:r w:rsidRPr="002C2158">
        <w:fldChar w:fldCharType="begin"/>
      </w:r>
      <w:r w:rsidRPr="002C2158">
        <w:instrText xml:space="preserve"> SEQ level0 \*arabic \* MERGEFORMAT </w:instrText>
      </w:r>
      <w:r w:rsidRPr="002C2158">
        <w:fldChar w:fldCharType="separate"/>
      </w:r>
      <w:bookmarkStart w:name="paragraph00013" w:id="0"/>
      <w:r w:rsidRPr="002C2158">
        <w:rPr>
          <w:noProof/>
        </w:rPr>
        <w:t>13</w:t>
      </w:r>
      <w:bookmarkEnd w:id="0"/>
      <w:r w:rsidRPr="002C2158">
        <w:rPr>
          <w:noProof/>
        </w:rPr>
        <w:fldChar w:fldCharType="end"/>
      </w:r>
      <w:r w:rsidRPr="002C2158">
        <w:t>.  In June 2018 a privately commissioned expert psychological opinion found that the first applicant was suffering from post-traumatic stress disorder, depression, insomnia and an eating disorder. It recommended that she not be kept in detention, as to do so posed a risk to her life and health and could have a negative impact on her child.</w:t>
      </w:r>
    </w:p>
    <w:p w:rsidRPr="002C2158" w:rsidR="00CE63B8" w:rsidP="002C2158" w14:paraId="7A93E273" w14:textId="0855C3BC">
      <w:pPr>
        <w:pStyle w:val="JuPara"/>
      </w:pPr>
      <w:r w:rsidRPr="002C2158">
        <w:fldChar w:fldCharType="begin"/>
      </w:r>
      <w:r w:rsidRPr="002C2158">
        <w:instrText xml:space="preserve"> SEQ level0 \*arabic \* MERGEFORMAT </w:instrText>
      </w:r>
      <w:r w:rsidRPr="002C2158">
        <w:fldChar w:fldCharType="separate"/>
      </w:r>
      <w:bookmarkStart w:name="paragraph00014" w:id="1"/>
      <w:r w:rsidRPr="002C2158">
        <w:rPr>
          <w:noProof/>
        </w:rPr>
        <w:t>14</w:t>
      </w:r>
      <w:bookmarkEnd w:id="1"/>
      <w:r w:rsidRPr="002C2158">
        <w:rPr>
          <w:noProof/>
        </w:rPr>
        <w:fldChar w:fldCharType="end"/>
      </w:r>
      <w:r w:rsidRPr="002C2158">
        <w:t>.  In October 2019 another expert psychologist gave his opinion on both applicants. As regards the first applicant, he concluded that her emotional state had worsened in the detention centre and he recommended her urgent release, as well as psychological and pharmaceutical treatment. He emphasised that her placement in the detention centre posed a risk to her health. Regarding the second applicant, the expert found that the stay in the guarded centre had caused him stress and posed a risk to his health and development.</w:t>
      </w:r>
    </w:p>
    <w:p w:rsidRPr="002C2158" w:rsidR="00CE63B8" w:rsidP="002C2158" w14:paraId="16634739" w14:textId="77777777">
      <w:pPr>
        <w:pStyle w:val="JuHIRoman"/>
      </w:pPr>
      <w:r w:rsidRPr="002C2158">
        <w:t>COMPLAINTS</w:t>
      </w:r>
    </w:p>
    <w:p w:rsidRPr="002C2158" w:rsidR="00CE63B8" w:rsidP="002C2158" w14:paraId="79B0097B" w14:textId="63441836">
      <w:pPr>
        <w:pStyle w:val="JuPara"/>
      </w:pPr>
      <w:r w:rsidRPr="002C2158">
        <w:fldChar w:fldCharType="begin"/>
      </w:r>
      <w:r w:rsidRPr="002C2158">
        <w:instrText xml:space="preserve"> SEQ level0 \*arabic \* MERGEFORMAT </w:instrText>
      </w:r>
      <w:r w:rsidRPr="002C2158">
        <w:fldChar w:fldCharType="separate"/>
      </w:r>
      <w:r w:rsidRPr="002C2158">
        <w:rPr>
          <w:noProof/>
        </w:rPr>
        <w:t>15</w:t>
      </w:r>
      <w:r w:rsidRPr="002C2158">
        <w:rPr>
          <w:noProof/>
        </w:rPr>
        <w:fldChar w:fldCharType="end"/>
      </w:r>
      <w:r w:rsidRPr="002C2158">
        <w:t>.  The applicants complained, under Article 5 § 1 (f) of the Convention, that their administrative detention had not been lawful, in so far as the authorities had not verified whether their placement in the guarded centre had been a measure of last resort with no available alternative. They stressed that the first applicant had been suffering from post-traumatic stress disorder and that therefore both applicants should have remained at liberty. Moreover, they argued that the detention was not necessary in respect of the second applicant, a baby for whom it was a traumatic experience.</w:t>
      </w:r>
    </w:p>
    <w:p w:rsidRPr="002C2158" w:rsidR="00CE63B8" w:rsidP="002C2158" w14:paraId="7168A13A" w14:textId="3A0F1293">
      <w:pPr>
        <w:pStyle w:val="JuPara"/>
        <w:rPr>
          <w:rFonts w:eastAsia="Times New Roman"/>
        </w:rPr>
      </w:pPr>
      <w:r w:rsidRPr="002C2158">
        <w:fldChar w:fldCharType="begin"/>
      </w:r>
      <w:r w:rsidRPr="002C2158">
        <w:instrText xml:space="preserve"> SEQ level0 \*arabic \* MERGEFORMAT </w:instrText>
      </w:r>
      <w:r w:rsidRPr="002C2158">
        <w:fldChar w:fldCharType="separate"/>
      </w:r>
      <w:r w:rsidRPr="002C2158">
        <w:rPr>
          <w:noProof/>
        </w:rPr>
        <w:t>16</w:t>
      </w:r>
      <w:r w:rsidRPr="002C2158">
        <w:rPr>
          <w:noProof/>
        </w:rPr>
        <w:fldChar w:fldCharType="end"/>
      </w:r>
      <w:r w:rsidRPr="002C2158">
        <w:t>.  The applicants also complained under Article 8 of the Convention that their detention in a guarded facility for aliens constituted a measure which disproportionately interfered with their right to respect for their private and family life.</w:t>
      </w:r>
      <w:bookmarkStart w:name="AppTableStart" w:id="2"/>
      <w:bookmarkEnd w:id="2"/>
    </w:p>
    <w:p w:rsidRPr="002C2158" w:rsidR="00CE63B8" w:rsidP="002C2158" w14:paraId="55FE1D7D" w14:textId="438DD5B5">
      <w:pPr>
        <w:pStyle w:val="JuHHead"/>
      </w:pPr>
      <w:r w:rsidRPr="002C2158">
        <w:t>THE COURT</w:t>
      </w:r>
      <w:r w:rsidRPr="002C2158" w:rsidR="002C2158">
        <w:t>’</w:t>
      </w:r>
      <w:r w:rsidRPr="002C2158">
        <w:t>S ASSESSMENT</w:t>
      </w:r>
    </w:p>
    <w:p w:rsidRPr="002C2158" w:rsidR="00CE63B8" w:rsidP="002C2158" w14:paraId="10BE2226" w14:textId="77777777">
      <w:pPr>
        <w:pStyle w:val="JuHIRoman"/>
      </w:pPr>
      <w:r w:rsidRPr="002C2158">
        <w:t>ALLEGED VIOLATION OF ARTICLE 5 § 1 (</w:t>
      </w:r>
      <w:r w:rsidRPr="002C2158">
        <w:rPr>
          <w:caps w:val="0"/>
        </w:rPr>
        <w:t>f</w:t>
      </w:r>
      <w:r w:rsidRPr="002C2158">
        <w:t>) OF THE CONVENTION</w:t>
      </w:r>
    </w:p>
    <w:p w:rsidRPr="002C2158" w:rsidR="00CE63B8" w:rsidP="002C2158" w14:paraId="6930C832" w14:textId="75D185A7">
      <w:pPr>
        <w:pStyle w:val="JuPara"/>
      </w:pPr>
      <w:r>
        <w:fldChar w:fldCharType="begin"/>
      </w:r>
      <w:r>
        <w:instrText xml:space="preserve"> SEQ level0 \*arabic \* MERGEFORMAT </w:instrText>
      </w:r>
      <w:r>
        <w:fldChar w:fldCharType="separate"/>
      </w:r>
      <w:r w:rsidRPr="002C2158" w:rsidR="002C2158">
        <w:rPr>
          <w:noProof/>
        </w:rPr>
        <w:t>17</w:t>
      </w:r>
      <w:r w:rsidRPr="002C2158" w:rsidR="002C2158">
        <w:rPr>
          <w:noProof/>
        </w:rPr>
        <w:fldChar w:fldCharType="end"/>
      </w:r>
      <w:r w:rsidRPr="002C2158">
        <w:t xml:space="preserve">.  The Government contended that the applicants had not exhausted domestic remedies because they had not lodged an action for compensation under section 407 of the Aliens Act of 12 December 2013 in respect of unjustified detention in a guarded centre (the Government referred to </w:t>
      </w:r>
      <w:r w:rsidRPr="002C2158">
        <w:rPr>
          <w:i/>
          <w:iCs/>
        </w:rPr>
        <w:t>Bistieva</w:t>
      </w:r>
      <w:r w:rsidRPr="002C2158">
        <w:rPr>
          <w:i/>
          <w:iCs/>
        </w:rPr>
        <w:t xml:space="preserve"> and Others v.</w:t>
      </w:r>
      <w:r w:rsidRPr="002C2158" w:rsidR="00EE0D9C">
        <w:rPr>
          <w:i/>
          <w:iCs/>
        </w:rPr>
        <w:t xml:space="preserve"> </w:t>
      </w:r>
      <w:r w:rsidRPr="002C2158">
        <w:rPr>
          <w:i/>
          <w:iCs/>
        </w:rPr>
        <w:t>Poland</w:t>
      </w:r>
      <w:r w:rsidRPr="002C2158">
        <w:t>, no. 75157/14, 10 April 2018). Nor had they brought an action under Articles 23 and 24 of the Civil Code seeking compensation for infringement of their personal rights.</w:t>
      </w:r>
    </w:p>
    <w:p w:rsidRPr="002C2158" w:rsidR="00CE63B8" w:rsidP="002C2158" w14:paraId="0F7D0F71" w14:textId="12BAF0B7">
      <w:pPr>
        <w:pStyle w:val="JuPara"/>
      </w:pPr>
      <w:r w:rsidRPr="002C2158">
        <w:fldChar w:fldCharType="begin"/>
      </w:r>
      <w:r w:rsidRPr="002C2158">
        <w:instrText xml:space="preserve"> SEQ level0 \*arabic \* MERGEFORMAT </w:instrText>
      </w:r>
      <w:r w:rsidRPr="002C2158">
        <w:fldChar w:fldCharType="separate"/>
      </w:r>
      <w:r w:rsidRPr="002C2158">
        <w:rPr>
          <w:noProof/>
        </w:rPr>
        <w:t>18</w:t>
      </w:r>
      <w:r w:rsidRPr="002C2158">
        <w:rPr>
          <w:noProof/>
        </w:rPr>
        <w:fldChar w:fldCharType="end"/>
      </w:r>
      <w:r w:rsidRPr="002C2158">
        <w:t xml:space="preserve">.  As the applicants in the present case were detained at the time of their application and the remedies suggested by the Government, being purely compensatory, could not have led to their release even if their detention had been found to be unlawful (see </w:t>
      </w:r>
      <w:bookmarkStart w:name="_cl41406THECOURTSASSESSMENT" w:id="3"/>
      <w:r w:rsidRPr="002C2158">
        <w:rPr>
          <w:i/>
          <w:iCs/>
        </w:rPr>
        <w:t>Nikoghosyan</w:t>
      </w:r>
      <w:r w:rsidRPr="002C2158">
        <w:rPr>
          <w:i/>
          <w:iCs/>
        </w:rPr>
        <w:t xml:space="preserve"> and Others v.</w:t>
      </w:r>
      <w:r w:rsidRPr="002C2158" w:rsidR="003B592A">
        <w:rPr>
          <w:i/>
          <w:iCs/>
        </w:rPr>
        <w:t> </w:t>
      </w:r>
      <w:r w:rsidRPr="002C2158">
        <w:rPr>
          <w:i/>
          <w:iCs/>
        </w:rPr>
        <w:t>Poland</w:t>
      </w:r>
      <w:bookmarkEnd w:id="3"/>
      <w:r w:rsidRPr="002C2158">
        <w:t>, no. 14743/17, §§ 44-47, 3 March 2022), the Court dismisses the Government</w:t>
      </w:r>
      <w:r w:rsidRPr="002C2158">
        <w:t>’</w:t>
      </w:r>
      <w:r w:rsidRPr="002C2158">
        <w:t>s preliminary objection.</w:t>
      </w:r>
    </w:p>
    <w:p w:rsidRPr="002C2158" w:rsidR="00CE63B8" w:rsidP="002C2158" w14:paraId="4BC61D65" w14:textId="1A9A4C35">
      <w:pPr>
        <w:pStyle w:val="JuPara"/>
      </w:pPr>
      <w:r w:rsidRPr="002C2158">
        <w:fldChar w:fldCharType="begin"/>
      </w:r>
      <w:r w:rsidRPr="002C2158">
        <w:instrText xml:space="preserve"> SEQ level0 \*arabic \* MERGEFORMAT </w:instrText>
      </w:r>
      <w:r w:rsidRPr="002C2158">
        <w:fldChar w:fldCharType="separate"/>
      </w:r>
      <w:r w:rsidRPr="002C2158">
        <w:rPr>
          <w:noProof/>
        </w:rPr>
        <w:t>19</w:t>
      </w:r>
      <w:r w:rsidRPr="002C2158">
        <w:rPr>
          <w:noProof/>
        </w:rPr>
        <w:fldChar w:fldCharType="end"/>
      </w:r>
      <w:r w:rsidRPr="002C2158">
        <w:t>.  The Court notes that the complaint is not manifestly ill-founded within the meaning of Article 35 § 3 (a) of the Convention or inadmissible on any other grounds. It must therefore be declared admissible.</w:t>
      </w:r>
    </w:p>
    <w:p w:rsidRPr="002C2158" w:rsidR="00CE63B8" w:rsidP="002C2158" w14:paraId="0A628024" w14:textId="4E048585">
      <w:pPr>
        <w:pStyle w:val="JuPara"/>
      </w:pPr>
      <w:r w:rsidRPr="002C2158">
        <w:fldChar w:fldCharType="begin"/>
      </w:r>
      <w:r w:rsidRPr="002C2158">
        <w:instrText xml:space="preserve"> SEQ level0 \*arabic \* MERGEFORMAT </w:instrText>
      </w:r>
      <w:r w:rsidRPr="002C2158">
        <w:fldChar w:fldCharType="separate"/>
      </w:r>
      <w:r w:rsidRPr="002C2158">
        <w:rPr>
          <w:noProof/>
        </w:rPr>
        <w:t>20</w:t>
      </w:r>
      <w:r w:rsidRPr="002C2158">
        <w:rPr>
          <w:noProof/>
        </w:rPr>
        <w:fldChar w:fldCharType="end"/>
      </w:r>
      <w:r w:rsidRPr="002C2158">
        <w:t xml:space="preserve">.  The general principles concerning deprivation of liberty in the context of Polish guarded centres for aliens have been summarised in </w:t>
      </w:r>
      <w:r w:rsidRPr="002C2158">
        <w:rPr>
          <w:i/>
          <w:iCs/>
        </w:rPr>
        <w:t>Nikoghosyan</w:t>
      </w:r>
      <w:r w:rsidRPr="002C2158">
        <w:rPr>
          <w:i/>
          <w:iCs/>
        </w:rPr>
        <w:t xml:space="preserve"> and Others</w:t>
      </w:r>
      <w:r w:rsidRPr="002C2158">
        <w:t xml:space="preserve"> (cited above, §§ 61-65) and </w:t>
      </w:r>
      <w:bookmarkStart w:name="_cl22190THECOURTSASSESSMENT" w:id="4"/>
      <w:r w:rsidRPr="002C2158">
        <w:rPr>
          <w:i/>
          <w:iCs/>
        </w:rPr>
        <w:t>Bilalova</w:t>
      </w:r>
      <w:r w:rsidRPr="002C2158">
        <w:rPr>
          <w:i/>
          <w:iCs/>
        </w:rPr>
        <w:t xml:space="preserve"> and Others v.</w:t>
      </w:r>
      <w:r w:rsidRPr="002C2158" w:rsidR="003B592A">
        <w:rPr>
          <w:i/>
          <w:iCs/>
        </w:rPr>
        <w:t> </w:t>
      </w:r>
      <w:r w:rsidRPr="002C2158">
        <w:rPr>
          <w:i/>
          <w:iCs/>
        </w:rPr>
        <w:t>Poland</w:t>
      </w:r>
      <w:bookmarkEnd w:id="4"/>
      <w:r w:rsidRPr="002C2158">
        <w:t xml:space="preserve"> (no. 23685/14, §§ 73-76, 26</w:t>
      </w:r>
      <w:r w:rsidRPr="002C2158" w:rsidR="003B592A">
        <w:t> </w:t>
      </w:r>
      <w:r w:rsidRPr="002C2158">
        <w:t>March 2020).</w:t>
      </w:r>
    </w:p>
    <w:p w:rsidRPr="002C2158" w:rsidR="00CE63B8" w:rsidP="002C2158" w14:paraId="7FDA8D63" w14:textId="5EE9B0EF">
      <w:pPr>
        <w:pStyle w:val="JuPara"/>
      </w:pPr>
      <w:r w:rsidRPr="002C2158">
        <w:fldChar w:fldCharType="begin"/>
      </w:r>
      <w:r w:rsidRPr="002C2158">
        <w:instrText xml:space="preserve"> SEQ level0 \*arabic \* MERGEFORMAT </w:instrText>
      </w:r>
      <w:r w:rsidRPr="002C2158">
        <w:fldChar w:fldCharType="separate"/>
      </w:r>
      <w:r w:rsidRPr="002C2158">
        <w:rPr>
          <w:noProof/>
        </w:rPr>
        <w:t>21</w:t>
      </w:r>
      <w:r w:rsidRPr="002C2158">
        <w:rPr>
          <w:noProof/>
        </w:rPr>
        <w:fldChar w:fldCharType="end"/>
      </w:r>
      <w:r w:rsidRPr="002C2158">
        <w:t>.  Turning to the circumstances of the present case, the Court notes that it is undisputed that the applicants</w:t>
      </w:r>
      <w:r w:rsidRPr="002C2158">
        <w:t>’</w:t>
      </w:r>
      <w:r w:rsidRPr="002C2158">
        <w:t xml:space="preserve"> detention was prescribed by domestic law. What remains to be seen is whether that deprivation of liberty was “lawful” or “arbitrary” within the meaning ascribed to those terms in the Court</w:t>
      </w:r>
      <w:r w:rsidRPr="002C2158">
        <w:t>’</w:t>
      </w:r>
      <w:r w:rsidRPr="002C2158">
        <w:t>s case</w:t>
      </w:r>
      <w:r w:rsidRPr="002C2158" w:rsidR="00EE0D9C">
        <w:noBreakHyphen/>
      </w:r>
      <w:r w:rsidRPr="002C2158">
        <w:t xml:space="preserve">law (see </w:t>
      </w:r>
      <w:bookmarkStart w:name="_cl41135THECOURTSASSESSMENT" w:id="5"/>
      <w:r w:rsidRPr="002C2158">
        <w:rPr>
          <w:i/>
          <w:iCs/>
        </w:rPr>
        <w:t>M.H. and Others v. Croatia</w:t>
      </w:r>
      <w:bookmarkEnd w:id="5"/>
      <w:r w:rsidRPr="002C2158">
        <w:t>, nos. 15670/18 and 43115/18, §§ 233</w:t>
      </w:r>
      <w:r w:rsidRPr="002C2158">
        <w:noBreakHyphen/>
        <w:t>34, 18 November 2021).</w:t>
      </w:r>
    </w:p>
    <w:p w:rsidRPr="002C2158" w:rsidR="00CE63B8" w:rsidP="002C2158" w14:paraId="7E6F0486" w14:textId="1169FE35">
      <w:pPr>
        <w:pStyle w:val="JuPara"/>
      </w:pPr>
      <w:r w:rsidRPr="002C2158">
        <w:fldChar w:fldCharType="begin"/>
      </w:r>
      <w:r w:rsidRPr="002C2158">
        <w:instrText xml:space="preserve"> SEQ level0 \*arabic \* MERGEFORMAT </w:instrText>
      </w:r>
      <w:r w:rsidRPr="002C2158">
        <w:fldChar w:fldCharType="separate"/>
      </w:r>
      <w:bookmarkStart w:name="paragraph00023" w:id="6"/>
      <w:r w:rsidRPr="002C2158">
        <w:rPr>
          <w:noProof/>
        </w:rPr>
        <w:t>22</w:t>
      </w:r>
      <w:bookmarkEnd w:id="6"/>
      <w:r w:rsidRPr="002C2158">
        <w:rPr>
          <w:noProof/>
        </w:rPr>
        <w:fldChar w:fldCharType="end"/>
      </w:r>
      <w:r w:rsidRPr="002C2158">
        <w:t>.  In assessing the appropriateness of the place and conditions of the applicants</w:t>
      </w:r>
      <w:r w:rsidRPr="002C2158">
        <w:t>’</w:t>
      </w:r>
      <w:r w:rsidRPr="002C2158">
        <w:t xml:space="preserve"> detention, the Court emphasises that it has already found that the </w:t>
      </w:r>
      <w:r w:rsidRPr="002C2158">
        <w:t>Biała</w:t>
      </w:r>
      <w:r w:rsidRPr="002C2158">
        <w:t xml:space="preserve"> </w:t>
      </w:r>
      <w:r w:rsidRPr="002C2158">
        <w:t>Podlaska</w:t>
      </w:r>
      <w:r w:rsidRPr="002C2158">
        <w:t xml:space="preserve"> guarded centre undoubtedly constituted a place of confinement similar, in many respects, to prisons or remand centres (see </w:t>
      </w:r>
      <w:r w:rsidRPr="002C2158">
        <w:rPr>
          <w:i/>
          <w:iCs/>
        </w:rPr>
        <w:t>Nikoghosyan</w:t>
      </w:r>
      <w:r w:rsidRPr="002C2158">
        <w:rPr>
          <w:i/>
          <w:iCs/>
        </w:rPr>
        <w:t xml:space="preserve"> and Others</w:t>
      </w:r>
      <w:r w:rsidRPr="002C2158">
        <w:t xml:space="preserve">, cited above, § 85). As such, the authorities were required to verify that there were no alternatives to placing the applicants – a single mother with a child aged 19 months at the time of the initial detention – in such an establishment (see </w:t>
      </w:r>
      <w:r w:rsidRPr="002C2158">
        <w:rPr>
          <w:i/>
          <w:iCs/>
        </w:rPr>
        <w:t>Bilalova</w:t>
      </w:r>
      <w:r w:rsidRPr="002C2158">
        <w:rPr>
          <w:i/>
          <w:iCs/>
        </w:rPr>
        <w:t xml:space="preserve"> and Others</w:t>
      </w:r>
      <w:r w:rsidRPr="002C2158">
        <w:t>, cited above, § 76).</w:t>
      </w:r>
    </w:p>
    <w:p w:rsidRPr="002C2158" w:rsidR="00CE63B8" w:rsidP="002C2158" w14:paraId="040D88BC" w14:textId="6671ABDC">
      <w:pPr>
        <w:pStyle w:val="JuPara"/>
      </w:pPr>
      <w:r w:rsidRPr="002C2158">
        <w:fldChar w:fldCharType="begin"/>
      </w:r>
      <w:r w:rsidRPr="002C2158">
        <w:instrText xml:space="preserve"> SEQ level0 \*arabic \* MERGEFORMAT </w:instrText>
      </w:r>
      <w:r w:rsidRPr="002C2158">
        <w:fldChar w:fldCharType="separate"/>
      </w:r>
      <w:r w:rsidRPr="002C2158">
        <w:rPr>
          <w:noProof/>
        </w:rPr>
        <w:t>23</w:t>
      </w:r>
      <w:r w:rsidRPr="002C2158">
        <w:rPr>
          <w:noProof/>
        </w:rPr>
        <w:fldChar w:fldCharType="end"/>
      </w:r>
      <w:r w:rsidRPr="002C2158">
        <w:t xml:space="preserve">.  In that context, the Court reiterates that, as a matter of principle, the detention of young children in such facilities must be avoided and that only short-term placement in suitable conditions could be compatible with the Convention, provided, however, that the authorities establish that they took that measure as a last resort only after having ascertained that no other measure involving a lesser restriction of freedom could be implemented (ibid., § 79). The total duration of nine months which the applicants spent in the guarded centre far exceeds the periods which the Court has already found to be contrary to the Convention in respect of young children (see </w:t>
      </w:r>
      <w:bookmarkStart w:name="_cl20093THECOURTSASSESSMENT" w:id="7"/>
      <w:r w:rsidRPr="002C2158">
        <w:rPr>
          <w:i/>
          <w:iCs/>
        </w:rPr>
        <w:t>A.M. and Others v.</w:t>
      </w:r>
      <w:r w:rsidRPr="002C2158" w:rsidR="00EE0D9C">
        <w:rPr>
          <w:i/>
          <w:iCs/>
        </w:rPr>
        <w:t xml:space="preserve"> </w:t>
      </w:r>
      <w:r w:rsidRPr="002C2158">
        <w:rPr>
          <w:i/>
          <w:iCs/>
        </w:rPr>
        <w:t>France</w:t>
      </w:r>
      <w:bookmarkEnd w:id="7"/>
      <w:r w:rsidRPr="002C2158">
        <w:t>, no. 24587/12, § 48, 12</w:t>
      </w:r>
      <w:r w:rsidRPr="002C2158" w:rsidR="00EE0D9C">
        <w:t xml:space="preserve"> </w:t>
      </w:r>
      <w:r w:rsidRPr="002C2158">
        <w:t xml:space="preserve">July 2016; </w:t>
      </w:r>
      <w:bookmarkStart w:name="_cl34678THECOURTSASSESSMENT" w:id="8"/>
      <w:r w:rsidRPr="002C2158">
        <w:rPr>
          <w:i/>
          <w:iCs/>
        </w:rPr>
        <w:t>R.K. and Others v. France</w:t>
      </w:r>
      <w:bookmarkEnd w:id="8"/>
      <w:r w:rsidRPr="002C2158">
        <w:t>, no. 68264/14, § 68, 12 July 2016</w:t>
      </w:r>
      <w:bookmarkStart w:name="_cl20052THECOURTSASSESSMENT" w:id="9"/>
      <w:r w:rsidRPr="002C2158">
        <w:t xml:space="preserve">; </w:t>
      </w:r>
      <w:r w:rsidRPr="002C2158">
        <w:rPr>
          <w:i/>
          <w:iCs/>
        </w:rPr>
        <w:t>A.B. and Others v.</w:t>
      </w:r>
      <w:r w:rsidRPr="002C2158" w:rsidR="003B592A">
        <w:rPr>
          <w:i/>
          <w:iCs/>
        </w:rPr>
        <w:t> </w:t>
      </w:r>
      <w:r w:rsidRPr="002C2158">
        <w:rPr>
          <w:i/>
          <w:iCs/>
        </w:rPr>
        <w:t>France</w:t>
      </w:r>
      <w:bookmarkEnd w:id="9"/>
      <w:r w:rsidRPr="002C2158">
        <w:t xml:space="preserve">, no. 11593/12, § 111, 12 July 2016; and </w:t>
      </w:r>
      <w:r w:rsidRPr="002C2158">
        <w:rPr>
          <w:i/>
          <w:iCs/>
        </w:rPr>
        <w:t>Bistieva</w:t>
      </w:r>
      <w:r w:rsidRPr="002C2158">
        <w:rPr>
          <w:i/>
          <w:iCs/>
        </w:rPr>
        <w:t xml:space="preserve"> and Others</w:t>
      </w:r>
      <w:r w:rsidRPr="002C2158">
        <w:t>, cited above, § 87).</w:t>
      </w:r>
    </w:p>
    <w:p w:rsidRPr="002C2158" w:rsidR="00CE63B8" w:rsidP="002C2158" w14:paraId="1643581C" w14:textId="74622FB3">
      <w:pPr>
        <w:pStyle w:val="JuPara"/>
      </w:pPr>
      <w:r w:rsidRPr="002C2158">
        <w:fldChar w:fldCharType="begin"/>
      </w:r>
      <w:r w:rsidRPr="002C2158">
        <w:instrText xml:space="preserve"> SEQ level0 \*arabic \* MERGEFORMAT </w:instrText>
      </w:r>
      <w:r w:rsidRPr="002C2158">
        <w:fldChar w:fldCharType="separate"/>
      </w:r>
      <w:r w:rsidRPr="002C2158">
        <w:rPr>
          <w:noProof/>
        </w:rPr>
        <w:t>24</w:t>
      </w:r>
      <w:r w:rsidRPr="002C2158">
        <w:rPr>
          <w:noProof/>
        </w:rPr>
        <w:fldChar w:fldCharType="end"/>
      </w:r>
      <w:r w:rsidRPr="002C2158">
        <w:t xml:space="preserve">.  Moreover, the Court notes that within the relevant domestic proceedings, the applicants substantiated their vulnerable situation and the risks associated with their prolonged detention (see paragraphs </w:t>
      </w:r>
      <w:r w:rsidRPr="002C2158">
        <w:fldChar w:fldCharType="begin"/>
      </w:r>
      <w:r w:rsidRPr="002C2158">
        <w:instrText xml:space="preserve"> REF paragraph00013 \h  \* CharFormat </w:instrText>
      </w:r>
      <w:r w:rsidRPr="002C2158">
        <w:fldChar w:fldCharType="separate"/>
      </w:r>
      <w:r w:rsidRPr="002C2158">
        <w:t>13</w:t>
      </w:r>
      <w:r w:rsidRPr="002C2158">
        <w:fldChar w:fldCharType="end"/>
      </w:r>
      <w:r w:rsidRPr="002C2158">
        <w:t>-</w:t>
      </w:r>
      <w:r w:rsidRPr="002C2158">
        <w:fldChar w:fldCharType="begin"/>
      </w:r>
      <w:r w:rsidRPr="002C2158">
        <w:instrText xml:space="preserve"> REF paragraph00014 \h  \* CharFormat </w:instrText>
      </w:r>
      <w:r w:rsidRPr="002C2158">
        <w:fldChar w:fldCharType="separate"/>
      </w:r>
      <w:r w:rsidRPr="002C2158">
        <w:t>14</w:t>
      </w:r>
      <w:r w:rsidRPr="002C2158">
        <w:fldChar w:fldCharType="end"/>
      </w:r>
      <w:r w:rsidRPr="002C2158">
        <w:t xml:space="preserve"> above). Nevertheless, those submissions were dismissed by the domestic authorities on the basis of generic opinions to the contrary from psychologists employed by those authorities. The Court is thus not persuaded that due consideration was given to the state of the applicants</w:t>
      </w:r>
      <w:r w:rsidRPr="002C2158">
        <w:t>’</w:t>
      </w:r>
      <w:r w:rsidRPr="002C2158">
        <w:t xml:space="preserve"> mental health when assessing whether there were any viable alternatives to detention in a guarded centre.</w:t>
      </w:r>
    </w:p>
    <w:p w:rsidRPr="002C2158" w:rsidR="00CE63B8" w:rsidP="002C2158" w14:paraId="3097EC69" w14:textId="51B76B06">
      <w:pPr>
        <w:pStyle w:val="JuPara"/>
      </w:pPr>
      <w:r w:rsidRPr="002C2158">
        <w:fldChar w:fldCharType="begin"/>
      </w:r>
      <w:r w:rsidRPr="002C2158">
        <w:instrText xml:space="preserve"> SEQ level0 \*arabic \* MERGEFORMAT </w:instrText>
      </w:r>
      <w:r w:rsidRPr="002C2158">
        <w:fldChar w:fldCharType="separate"/>
      </w:r>
      <w:r w:rsidRPr="002C2158">
        <w:rPr>
          <w:noProof/>
        </w:rPr>
        <w:t>25</w:t>
      </w:r>
      <w:r w:rsidRPr="002C2158">
        <w:rPr>
          <w:noProof/>
        </w:rPr>
        <w:fldChar w:fldCharType="end"/>
      </w:r>
      <w:r w:rsidRPr="002C2158">
        <w:t xml:space="preserve">.  Furthermore, the domestic authorities appear to have completely disregarded the declaration of the third party who had explicitly offered to </w:t>
      </w:r>
      <w:r w:rsidRPr="002C2158">
        <w:t>host the applicants in her home and thus provide an alternative to detention in the guarded centre. Instead, by referring to the fact that the applicants had previously absconded and had no savings, they concluded that the applicants did not qualify for any alternative measure under the law. Consequently, the Court is not satisfied that sufficient reasons were provided for the applicants</w:t>
      </w:r>
      <w:r w:rsidRPr="002C2158">
        <w:t>’</w:t>
      </w:r>
      <w:r w:rsidRPr="002C2158">
        <w:t xml:space="preserve"> nine-month detention.</w:t>
      </w:r>
    </w:p>
    <w:p w:rsidRPr="002C2158" w:rsidR="00CE63B8" w:rsidP="002C2158" w14:paraId="4F554180" w14:textId="59F4265B">
      <w:pPr>
        <w:pStyle w:val="JuPara"/>
      </w:pPr>
      <w:r w:rsidRPr="002C2158">
        <w:fldChar w:fldCharType="begin"/>
      </w:r>
      <w:r w:rsidRPr="002C2158">
        <w:instrText xml:space="preserve"> SEQ level0 \*arabic \* MERGEFORMAT </w:instrText>
      </w:r>
      <w:r w:rsidRPr="002C2158">
        <w:fldChar w:fldCharType="separate"/>
      </w:r>
      <w:bookmarkStart w:name="paragraph00026" w:id="10"/>
      <w:r w:rsidRPr="002C2158">
        <w:rPr>
          <w:noProof/>
        </w:rPr>
        <w:t>26</w:t>
      </w:r>
      <w:bookmarkEnd w:id="10"/>
      <w:r w:rsidRPr="002C2158">
        <w:rPr>
          <w:noProof/>
        </w:rPr>
        <w:fldChar w:fldCharType="end"/>
      </w:r>
      <w:r w:rsidRPr="002C2158">
        <w:t xml:space="preserve">.  The foregoing considerations are sufficient to enable the Court to conclude that, in the particular circumstances of the present case, the detention of both applicants for a period of nine months was not a measure of last resort for which no alternative was available (see </w:t>
      </w:r>
      <w:r w:rsidRPr="002C2158">
        <w:rPr>
          <w:i/>
          <w:iCs/>
        </w:rPr>
        <w:t>Nikoghosyan</w:t>
      </w:r>
      <w:r w:rsidRPr="002C2158">
        <w:rPr>
          <w:i/>
          <w:iCs/>
        </w:rPr>
        <w:t xml:space="preserve"> and Others</w:t>
      </w:r>
      <w:r w:rsidRPr="002C2158">
        <w:t xml:space="preserve">, cited above, §§ 86 and 88; and, </w:t>
      </w:r>
      <w:r w:rsidRPr="002C2158">
        <w:rPr>
          <w:i/>
          <w:iCs/>
        </w:rPr>
        <w:t>mutatis mutandis</w:t>
      </w:r>
      <w:r w:rsidRPr="002C2158">
        <w:t xml:space="preserve">, </w:t>
      </w:r>
      <w:r w:rsidRPr="002C2158">
        <w:rPr>
          <w:i/>
          <w:iCs/>
        </w:rPr>
        <w:t>R.K. and Others v. France</w:t>
      </w:r>
      <w:r w:rsidRPr="002C2158">
        <w:t xml:space="preserve">, cited above, § 86; </w:t>
      </w:r>
      <w:r w:rsidRPr="002C2158">
        <w:rPr>
          <w:i/>
          <w:iCs/>
        </w:rPr>
        <w:t>Popov v. France</w:t>
      </w:r>
      <w:r w:rsidRPr="002C2158">
        <w:t>, nos. 39472/07 and</w:t>
      </w:r>
      <w:r w:rsidRPr="002C2158" w:rsidR="00EE0D9C">
        <w:t xml:space="preserve"> </w:t>
      </w:r>
      <w:r w:rsidRPr="002C2158">
        <w:t xml:space="preserve">39474/07, § 119, 19 January 2012; </w:t>
      </w:r>
      <w:r w:rsidRPr="002C2158">
        <w:rPr>
          <w:i/>
          <w:iCs/>
        </w:rPr>
        <w:t>Bilalova</w:t>
      </w:r>
      <w:r w:rsidRPr="002C2158">
        <w:rPr>
          <w:i/>
          <w:iCs/>
        </w:rPr>
        <w:t xml:space="preserve"> and Others</w:t>
      </w:r>
      <w:r w:rsidRPr="002C2158">
        <w:t xml:space="preserve">, cited above, § 80; and, conversely, </w:t>
      </w:r>
      <w:r w:rsidRPr="002C2158">
        <w:rPr>
          <w:i/>
          <w:iCs/>
        </w:rPr>
        <w:t>A.M. and Others v. France</w:t>
      </w:r>
      <w:r w:rsidRPr="002C2158">
        <w:t>, cited above, § 68). The Court is of the view that the fact that a child was being detained called for greater speed and diligence on the part of the authorities.</w:t>
      </w:r>
    </w:p>
    <w:p w:rsidRPr="002C2158" w:rsidR="00CE63B8" w:rsidP="002C2158" w14:paraId="14BE9EAC" w14:textId="4B34222F">
      <w:pPr>
        <w:pStyle w:val="JuPara"/>
      </w:pPr>
      <w:r w:rsidRPr="002C2158">
        <w:fldChar w:fldCharType="begin"/>
      </w:r>
      <w:r w:rsidRPr="002C2158">
        <w:instrText xml:space="preserve"> SEQ level0 \*arabic \* MERGEFORMAT </w:instrText>
      </w:r>
      <w:r w:rsidRPr="002C2158">
        <w:fldChar w:fldCharType="separate"/>
      </w:r>
      <w:r w:rsidRPr="002C2158">
        <w:rPr>
          <w:noProof/>
        </w:rPr>
        <w:t>27</w:t>
      </w:r>
      <w:r w:rsidRPr="002C2158">
        <w:rPr>
          <w:noProof/>
        </w:rPr>
        <w:fldChar w:fldCharType="end"/>
      </w:r>
      <w:r w:rsidRPr="002C2158">
        <w:t>.  There has accordingly been a violation of Article 5 § 1 (f) of the Convention.</w:t>
      </w:r>
    </w:p>
    <w:p w:rsidRPr="002C2158" w:rsidR="00CE63B8" w:rsidP="002C2158" w14:paraId="6FD9F7C9" w14:textId="77777777">
      <w:pPr>
        <w:pStyle w:val="JuHIRoman"/>
      </w:pPr>
      <w:r w:rsidRPr="002C2158">
        <w:t>ALLEGED VIOLATION OF ARTICLE 8 OF THE CONVENTION</w:t>
      </w:r>
    </w:p>
    <w:p w:rsidRPr="002C2158" w:rsidR="00CE63B8" w:rsidP="002C2158" w14:paraId="1803C8EB" w14:textId="22731CE7">
      <w:pPr>
        <w:pStyle w:val="JuPara"/>
      </w:pPr>
      <w:r w:rsidRPr="002C2158">
        <w:fldChar w:fldCharType="begin"/>
      </w:r>
      <w:r w:rsidRPr="002C2158">
        <w:instrText xml:space="preserve"> SEQ level0 \*arabic \* MERGEFORMAT </w:instrText>
      </w:r>
      <w:r w:rsidRPr="002C2158">
        <w:fldChar w:fldCharType="separate"/>
      </w:r>
      <w:r w:rsidRPr="002C2158">
        <w:rPr>
          <w:noProof/>
        </w:rPr>
        <w:t>28</w:t>
      </w:r>
      <w:r w:rsidRPr="002C2158">
        <w:rPr>
          <w:noProof/>
        </w:rPr>
        <w:fldChar w:fldCharType="end"/>
      </w:r>
      <w:r w:rsidRPr="002C2158">
        <w:t>.  The Court notes that this complaint is not manifestly ill-founded within the meaning of Article 35 § 3 (a) of the Convention. It further notes that it is not inadmissible on any other grounds. It must therefore be declared admissible.</w:t>
      </w:r>
    </w:p>
    <w:p w:rsidRPr="002C2158" w:rsidR="00CE63B8" w:rsidP="002C2158" w14:paraId="643F8C40" w14:textId="406190EA">
      <w:pPr>
        <w:pStyle w:val="JuPara"/>
      </w:pPr>
      <w:r w:rsidRPr="002C2158">
        <w:fldChar w:fldCharType="begin"/>
      </w:r>
      <w:r w:rsidRPr="002C2158">
        <w:instrText xml:space="preserve"> SEQ level0 \*arabic \* MERGEFORMAT </w:instrText>
      </w:r>
      <w:r w:rsidRPr="002C2158">
        <w:fldChar w:fldCharType="separate"/>
      </w:r>
      <w:r w:rsidRPr="002C2158">
        <w:rPr>
          <w:noProof/>
        </w:rPr>
        <w:t>29</w:t>
      </w:r>
      <w:r w:rsidRPr="002C2158">
        <w:rPr>
          <w:noProof/>
        </w:rPr>
        <w:fldChar w:fldCharType="end"/>
      </w:r>
      <w:r w:rsidRPr="002C2158">
        <w:t xml:space="preserve">.  The Court reiterates that the fact of confining the applicants to a detention centre for nine months, thereby subjecting them to living conditions typical of a custodial institution, can be regarded as an interference with the effective exercise of their family life (see </w:t>
      </w:r>
      <w:bookmarkStart w:name="_cl22252THECOURTSASSESSMENT" w:id="11"/>
      <w:r w:rsidRPr="002C2158">
        <w:rPr>
          <w:i/>
          <w:iCs/>
        </w:rPr>
        <w:t>Bistieva</w:t>
      </w:r>
      <w:r w:rsidRPr="002C2158">
        <w:rPr>
          <w:i/>
          <w:iCs/>
        </w:rPr>
        <w:t xml:space="preserve"> and Others</w:t>
      </w:r>
      <w:r w:rsidRPr="002C2158">
        <w:t>, cited above, § 73 and the references cited therein).</w:t>
      </w:r>
    </w:p>
    <w:bookmarkEnd w:id="11"/>
    <w:p w:rsidRPr="002C2158" w:rsidR="00CE63B8" w:rsidP="002C2158" w14:paraId="74F46BE2" w14:textId="0BE624B8">
      <w:pPr>
        <w:pStyle w:val="JuPara"/>
      </w:pPr>
      <w:r w:rsidRPr="002C2158">
        <w:fldChar w:fldCharType="begin"/>
      </w:r>
      <w:r w:rsidRPr="002C2158">
        <w:instrText xml:space="preserve"> SEQ level0 \*arabic \* MERGEFORMAT </w:instrText>
      </w:r>
      <w:r w:rsidRPr="002C2158">
        <w:fldChar w:fldCharType="separate"/>
      </w:r>
      <w:r w:rsidRPr="002C2158" w:rsidR="002C2158">
        <w:rPr>
          <w:noProof/>
        </w:rPr>
        <w:t>30</w:t>
      </w:r>
      <w:r w:rsidRPr="002C2158">
        <w:fldChar w:fldCharType="end"/>
      </w:r>
      <w:r w:rsidRPr="002C2158">
        <w:t>.  The Court agrees with the Government that the detention measure was taken in the context of the prevention of illegal immigration, in particular for the purpose of expulsion, and thus the interference pursued a legitimate aim for the purposes of Article 8 § 2 of the Convention (ibid., §</w:t>
      </w:r>
      <w:r w:rsidRPr="002C2158" w:rsidR="003B592A">
        <w:t> </w:t>
      </w:r>
      <w:r w:rsidRPr="002C2158">
        <w:t>76).</w:t>
      </w:r>
    </w:p>
    <w:p w:rsidRPr="002C2158" w:rsidR="00CE63B8" w:rsidP="002C2158" w14:paraId="5FDBA7DF" w14:textId="61FB8F92">
      <w:pPr>
        <w:pStyle w:val="JuPara"/>
      </w:pPr>
      <w:r w:rsidRPr="002C2158">
        <w:fldChar w:fldCharType="begin"/>
      </w:r>
      <w:r w:rsidRPr="002C2158">
        <w:instrText xml:space="preserve"> SEQ level0 \*arabic \* MERGEFORMAT </w:instrText>
      </w:r>
      <w:r w:rsidRPr="002C2158">
        <w:fldChar w:fldCharType="separate"/>
      </w:r>
      <w:r w:rsidRPr="002C2158">
        <w:rPr>
          <w:noProof/>
        </w:rPr>
        <w:t>31</w:t>
      </w:r>
      <w:r w:rsidRPr="002C2158">
        <w:rPr>
          <w:noProof/>
        </w:rPr>
        <w:fldChar w:fldCharType="end"/>
      </w:r>
      <w:r w:rsidRPr="002C2158">
        <w:t xml:space="preserve">.  Nevertheless, referring to its findings concerning the complaint under Article 5 of the Convention (see paragraphs </w:t>
      </w:r>
      <w:r w:rsidRPr="002C2158">
        <w:fldChar w:fldCharType="begin"/>
      </w:r>
      <w:r w:rsidRPr="002C2158">
        <w:instrText xml:space="preserve"> REF paragraph00023 \h  \* CharFormat </w:instrText>
      </w:r>
      <w:r w:rsidRPr="002C2158">
        <w:fldChar w:fldCharType="separate"/>
      </w:r>
      <w:r w:rsidRPr="002C2158">
        <w:t>22</w:t>
      </w:r>
      <w:r w:rsidRPr="002C2158">
        <w:fldChar w:fldCharType="end"/>
      </w:r>
      <w:r w:rsidRPr="002C2158">
        <w:t>-</w:t>
      </w:r>
      <w:r w:rsidRPr="002C2158">
        <w:fldChar w:fldCharType="begin"/>
      </w:r>
      <w:r w:rsidRPr="002C2158">
        <w:instrText xml:space="preserve"> REF paragraph00026 \h  \* CharFormat </w:instrText>
      </w:r>
      <w:r w:rsidRPr="002C2158">
        <w:fldChar w:fldCharType="separate"/>
      </w:r>
      <w:r w:rsidRPr="002C2158">
        <w:t>26</w:t>
      </w:r>
      <w:r w:rsidRPr="002C2158">
        <w:fldChar w:fldCharType="end"/>
      </w:r>
      <w:r w:rsidRPr="002C2158">
        <w:t xml:space="preserve"> above), the Court considers that placing the applicant family in detention was not proportionate to the legitimate aim pursued, having regard to (</w:t>
      </w:r>
      <w:r w:rsidRPr="002C2158">
        <w:t>i</w:t>
      </w:r>
      <w:r w:rsidRPr="002C2158">
        <w:t>) the nine</w:t>
      </w:r>
      <w:r w:rsidRPr="002C2158">
        <w:noBreakHyphen/>
        <w:t>month duration of the detention, (ii) the vulnerable situation of both applicants, (iii) the extremely young age of the second applicant, and (iv) the apparent absence of due consideration of alternatives to detention. Accordingly, the Court finds that, even in the light of the risk that the family might abscond, the authorities failed to provide sufficient reasons to justify the applicants</w:t>
      </w:r>
      <w:r w:rsidRPr="002C2158">
        <w:t>’</w:t>
      </w:r>
      <w:r w:rsidRPr="002C2158">
        <w:t xml:space="preserve"> detention for nine months in a guarded centre. As a result, there has been a violation of Article 8 </w:t>
      </w:r>
      <w:r w:rsidRPr="002C2158">
        <w:t xml:space="preserve">of the Convention (see </w:t>
      </w:r>
      <w:r w:rsidRPr="002C2158">
        <w:rPr>
          <w:i/>
          <w:iCs/>
        </w:rPr>
        <w:t>Popov</w:t>
      </w:r>
      <w:r w:rsidRPr="002C2158">
        <w:t xml:space="preserve">, cited above, § 148; </w:t>
      </w:r>
      <w:r w:rsidRPr="002C2158">
        <w:rPr>
          <w:i/>
          <w:iCs/>
        </w:rPr>
        <w:t>A.B. and Others v.</w:t>
      </w:r>
      <w:r w:rsidRPr="002C2158" w:rsidR="003B592A">
        <w:rPr>
          <w:i/>
          <w:iCs/>
        </w:rPr>
        <w:t> </w:t>
      </w:r>
      <w:r w:rsidRPr="002C2158">
        <w:rPr>
          <w:i/>
          <w:iCs/>
        </w:rPr>
        <w:t>France</w:t>
      </w:r>
      <w:r w:rsidRPr="002C2158">
        <w:t xml:space="preserve">, cited above § 156; and </w:t>
      </w:r>
      <w:r w:rsidRPr="002C2158">
        <w:rPr>
          <w:i/>
          <w:iCs/>
        </w:rPr>
        <w:t>R.K. and Others v. France</w:t>
      </w:r>
      <w:r w:rsidRPr="002C2158">
        <w:t>, cited above, §</w:t>
      </w:r>
      <w:r w:rsidRPr="002C2158" w:rsidR="003B592A">
        <w:t> </w:t>
      </w:r>
      <w:r w:rsidRPr="002C2158">
        <w:t>117).</w:t>
      </w:r>
    </w:p>
    <w:p w:rsidRPr="002C2158" w:rsidR="00CE63B8" w:rsidP="002C2158" w14:paraId="08C41013" w14:textId="77777777">
      <w:pPr>
        <w:pStyle w:val="JuHHead"/>
      </w:pPr>
      <w:r w:rsidRPr="002C2158">
        <w:t>APPLICATION OF ARTICLE 41 OF THE CONVENTION</w:t>
      </w:r>
    </w:p>
    <w:p w:rsidRPr="002C2158" w:rsidR="00CE63B8" w:rsidP="002C2158" w14:paraId="64A95841" w14:textId="0D4403D6">
      <w:pPr>
        <w:pStyle w:val="JuPara"/>
      </w:pPr>
      <w:r w:rsidRPr="002C2158">
        <w:fldChar w:fldCharType="begin"/>
      </w:r>
      <w:r w:rsidRPr="002C2158">
        <w:instrText xml:space="preserve"> SEQ level0 \*arabic \* MERGEFORMAT </w:instrText>
      </w:r>
      <w:r w:rsidRPr="002C2158">
        <w:fldChar w:fldCharType="separate"/>
      </w:r>
      <w:r w:rsidRPr="002C2158">
        <w:rPr>
          <w:noProof/>
        </w:rPr>
        <w:t>32</w:t>
      </w:r>
      <w:r w:rsidRPr="002C2158">
        <w:rPr>
          <w:noProof/>
        </w:rPr>
        <w:fldChar w:fldCharType="end"/>
      </w:r>
      <w:r w:rsidRPr="002C2158">
        <w:t>.  The applicants claimed 15,000 euros (EUR) in respect of non</w:t>
      </w:r>
      <w:r w:rsidRPr="002C2158">
        <w:noBreakHyphen/>
        <w:t>pecuniary damage.</w:t>
      </w:r>
    </w:p>
    <w:p w:rsidRPr="002C2158" w:rsidR="00CE63B8" w:rsidP="002C2158" w14:paraId="4FABAE06" w14:textId="2460C23F">
      <w:pPr>
        <w:pStyle w:val="JuPara"/>
      </w:pPr>
      <w:r w:rsidRPr="002C2158">
        <w:fldChar w:fldCharType="begin"/>
      </w:r>
      <w:r w:rsidRPr="002C2158">
        <w:instrText xml:space="preserve"> SEQ level0 \*arabic \* MERGEFORMAT </w:instrText>
      </w:r>
      <w:r w:rsidRPr="002C2158">
        <w:fldChar w:fldCharType="separate"/>
      </w:r>
      <w:r w:rsidRPr="002C2158">
        <w:rPr>
          <w:noProof/>
        </w:rPr>
        <w:t>33</w:t>
      </w:r>
      <w:r w:rsidRPr="002C2158">
        <w:rPr>
          <w:noProof/>
        </w:rPr>
        <w:fldChar w:fldCharType="end"/>
      </w:r>
      <w:r w:rsidRPr="002C2158">
        <w:t>.  The Government argued that that claim was excessive and unsubstantiated. They further added that, should the Court find a violation of the Convention in the present case, the finding of a violation should be regarded as constituting just satisfaction.</w:t>
      </w:r>
    </w:p>
    <w:p w:rsidRPr="002C2158" w:rsidR="00CE63B8" w:rsidP="002C2158" w14:paraId="083FF20D" w14:textId="7BB42666">
      <w:pPr>
        <w:pStyle w:val="JuPara"/>
      </w:pPr>
      <w:r w:rsidRPr="002C2158">
        <w:fldChar w:fldCharType="begin"/>
      </w:r>
      <w:r w:rsidRPr="002C2158">
        <w:instrText xml:space="preserve"> SEQ level0 \*arabic \* MERGEFORMAT </w:instrText>
      </w:r>
      <w:r w:rsidRPr="002C2158">
        <w:fldChar w:fldCharType="separate"/>
      </w:r>
      <w:r w:rsidRPr="002C2158">
        <w:rPr>
          <w:noProof/>
        </w:rPr>
        <w:t>34</w:t>
      </w:r>
      <w:r w:rsidRPr="002C2158">
        <w:rPr>
          <w:noProof/>
        </w:rPr>
        <w:fldChar w:fldCharType="end"/>
      </w:r>
      <w:r w:rsidRPr="002C2158">
        <w:t>.  Given the awards in similar cases against Poland, the principle of equity, as well as the circumstances of the present case – in particular, the length of the applicants</w:t>
      </w:r>
      <w:r w:rsidRPr="002C2158">
        <w:t>’</w:t>
      </w:r>
      <w:r w:rsidRPr="002C2158">
        <w:t xml:space="preserve"> administrative detention and the fact that the case involved a child – the Court awards the applicants jointly EUR 15,000 in respect of non‑pecuniary damage, plus any tax that may be chargeable.</w:t>
      </w:r>
    </w:p>
    <w:p w:rsidRPr="002C2158" w:rsidR="00CE63B8" w:rsidP="002C2158" w14:paraId="18359658" w14:textId="4C284C64">
      <w:pPr>
        <w:pStyle w:val="JuHHead"/>
      </w:pPr>
      <w:r w:rsidRPr="002C2158">
        <w:t>FOR THESE REASONS, THE COURT, UNANIMOUSLY,</w:t>
      </w:r>
    </w:p>
    <w:p w:rsidRPr="002C2158" w:rsidR="00CE63B8" w:rsidP="002C2158" w14:paraId="5AD57B98" w14:textId="77777777">
      <w:pPr>
        <w:pStyle w:val="JuList"/>
        <w:numPr>
          <w:ilvl w:val="0"/>
          <w:numId w:val="7"/>
        </w:numPr>
      </w:pPr>
      <w:r w:rsidRPr="002C2158">
        <w:rPr>
          <w:i/>
        </w:rPr>
        <w:t>Declares</w:t>
      </w:r>
      <w:r w:rsidRPr="002C2158">
        <w:t xml:space="preserve"> the application admissible;</w:t>
      </w:r>
    </w:p>
    <w:p w:rsidRPr="002C2158" w:rsidR="00CE63B8" w:rsidP="002C2158" w14:paraId="4AF356F3" w14:textId="77777777">
      <w:pPr>
        <w:pStyle w:val="JuList"/>
        <w:numPr>
          <w:ilvl w:val="0"/>
          <w:numId w:val="7"/>
        </w:numPr>
      </w:pPr>
      <w:r w:rsidRPr="002C2158">
        <w:rPr>
          <w:i/>
        </w:rPr>
        <w:t>Holds</w:t>
      </w:r>
      <w:r w:rsidRPr="002C2158">
        <w:t xml:space="preserve"> that there has been a violation of Article 5 § 1 (f) of the Convention;</w:t>
      </w:r>
    </w:p>
    <w:p w:rsidRPr="002C2158" w:rsidR="00CE63B8" w:rsidP="002C2158" w14:paraId="745B9538" w14:textId="77777777">
      <w:pPr>
        <w:pStyle w:val="JuList"/>
        <w:numPr>
          <w:ilvl w:val="0"/>
          <w:numId w:val="7"/>
        </w:numPr>
      </w:pPr>
      <w:r w:rsidRPr="002C2158">
        <w:rPr>
          <w:i/>
        </w:rPr>
        <w:t>Holds</w:t>
      </w:r>
      <w:r w:rsidRPr="002C2158">
        <w:t xml:space="preserve"> that there has been a violation of Article 8 of the Convention;</w:t>
      </w:r>
    </w:p>
    <w:p w:rsidRPr="002C2158" w:rsidR="00CE63B8" w:rsidP="002C2158" w14:paraId="78788997" w14:textId="77777777">
      <w:pPr>
        <w:pStyle w:val="JuList"/>
        <w:numPr>
          <w:ilvl w:val="0"/>
          <w:numId w:val="7"/>
        </w:numPr>
      </w:pPr>
      <w:r w:rsidRPr="002C2158">
        <w:rPr>
          <w:i/>
          <w:iCs/>
        </w:rPr>
        <w:t>Holds</w:t>
      </w:r>
    </w:p>
    <w:p w:rsidRPr="002C2158" w:rsidR="00CE63B8" w:rsidP="002C2158" w14:paraId="4343569F" w14:textId="77777777">
      <w:pPr>
        <w:pStyle w:val="JuLista"/>
      </w:pPr>
      <w:r w:rsidRPr="002C2158">
        <w:t>that the respondent State is to pay the applicants jointly, within three months, EUR 15,000 (fifteen thousand euros), plus any tax that may be chargeable, in respect of non‑pecuniary damage, to be converted into the currency of the respondent State at the rate applicable at the date of settlement; and</w:t>
      </w:r>
    </w:p>
    <w:p w:rsidRPr="002C2158" w:rsidR="004D0EC7" w:rsidP="002C2158" w14:paraId="095EF9D7" w14:textId="77777777">
      <w:pPr>
        <w:pStyle w:val="JuLista"/>
      </w:pPr>
      <w:r w:rsidRPr="002C2158">
        <w:t>that from the expiry of the above-mentioned three months until settlement simple interest shall be payable on the above amount at a rate equal to the marginal lending rate of the European Central Bank during the default period plus three percentage points.</w:t>
      </w:r>
    </w:p>
    <w:p w:rsidRPr="002C2158" w:rsidR="008E3A08" w:rsidP="002C2158" w14:paraId="1BA36C0C" w14:textId="70B4A8F3">
      <w:pPr>
        <w:pStyle w:val="JuParaLast"/>
        <w:keepLines w:val="0"/>
      </w:pPr>
      <w:r w:rsidRPr="002C2158">
        <w:t xml:space="preserve">Done in English, and notified in writing on </w:t>
      </w:r>
      <w:r w:rsidRPr="002C2158" w:rsidR="00CE63B8">
        <w:rPr>
          <w:rFonts w:ascii="Times New Roman" w:hAnsi="Times New Roman" w:cs="Times New Roman"/>
        </w:rPr>
        <w:t>27 November 2025</w:t>
      </w:r>
      <w:r w:rsidRPr="002C2158">
        <w:t>, pursuant to Rule 77 §§ 2 and 3 of the Rules of Court.</w:t>
      </w:r>
    </w:p>
    <w:p w:rsidRPr="002C2158" w:rsidR="007E79A4" w:rsidP="002C2158" w14:paraId="07A9AC23" w14:textId="0E748A81">
      <w:pPr>
        <w:pStyle w:val="JuSigned"/>
        <w:keepNext/>
      </w:pPr>
      <w:r w:rsidRPr="002C2158">
        <w:tab/>
      </w:r>
      <w:r w:rsidRPr="002C2158" w:rsidR="00CE63B8">
        <w:rPr>
          <w:noProof/>
        </w:rPr>
        <w:t>Sophie Piquet</w:t>
      </w:r>
      <w:r w:rsidRPr="002C2158">
        <w:tab/>
      </w:r>
      <w:r w:rsidRPr="002C2158" w:rsidR="00CE63B8">
        <w:rPr>
          <w:noProof/>
        </w:rPr>
        <w:t>María Elósegui</w:t>
      </w:r>
      <w:r w:rsidRPr="002C2158">
        <w:br/>
      </w:r>
      <w:r w:rsidRPr="002C2158">
        <w:tab/>
      </w:r>
      <w:r w:rsidRPr="002C2158" w:rsidR="00CE63B8">
        <w:rPr>
          <w:noProof/>
        </w:rPr>
        <w:t>Acting Deputy Registrar</w:t>
      </w:r>
      <w:r w:rsidRPr="002C2158">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E63B8" w:rsidRPr="00150BFA" w:rsidP="0020718E" w14:paraId="7BAC1211" w14:textId="726E4742">
    <w:pPr>
      <w:jc w:val="center"/>
    </w:pPr>
    <w:r>
      <w:rPr>
        <w:noProof/>
        <w:lang w:val="en-US"/>
      </w:rPr>
      <w:drawing>
        <wp:inline distT="0" distB="0" distL="0" distR="0">
          <wp:extent cx="771525" cy="619125"/>
          <wp:effectExtent l="0" t="0" r="9525" b="9525"/>
          <wp:docPr id="1088225935" name="Picture 10882259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22593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CE63B8" w:rsidP="00AF12C5" w14:paraId="07F380B9" w14:textId="56616BB8">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E63B8" w:rsidRPr="00150BFA" w:rsidP="0020718E" w14:paraId="20377F5B" w14:textId="3EFF86E1">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CE63B8" w:rsidP="009E7A6F" w14:paraId="187BFD43" w14:textId="76B5FEDE">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7ADDBD97" w14:textId="36075169">
    <w:pPr>
      <w:pStyle w:val="JuHeader"/>
    </w:pPr>
    <w:r>
      <w:fldChar w:fldCharType="begin"/>
    </w:r>
    <w:r>
      <w:instrText xml:space="preserve"> PAGE  \* MERGEFORMAT </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6DE85175" w14:textId="438ACE8D">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E63B8" w:rsidRPr="00A45145" w:rsidP="00A45145" w14:paraId="5E8A06BB" w14:textId="03BFF67E">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CE63B8" w:rsidP="00B14793" w14:paraId="1C2002B2" w14:textId="36D77C15">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E63B8" w:rsidRPr="00A45145" w:rsidP="00A45145" w14:paraId="4BF7F551" w14:textId="073EB3C9">
    <w:pPr>
      <w:jc w:val="center"/>
    </w:pPr>
    <w:r>
      <w:rPr>
        <w:noProof/>
        <w:lang w:val="en-US"/>
      </w:rPr>
      <w:drawing>
        <wp:inline distT="0" distB="0" distL="0" distR="0">
          <wp:extent cx="2962275" cy="1219200"/>
          <wp:effectExtent l="0" t="0" r="9525" b="0"/>
          <wp:docPr id="911049220" name="Picture 9110492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04922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CE63B8" w14:paraId="7964B820" w14:textId="0AE82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25AE6D51" w14:textId="507F9926">
    <w:pPr>
      <w:pStyle w:val="JuHeader"/>
    </w:pPr>
    <w:r>
      <w:t>K.G. AND S.G.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55D57205" w14:textId="12A3F396">
    <w:pPr>
      <w:pStyle w:val="JuHeader"/>
    </w:pPr>
    <w:r>
      <w:t>K.G. AND S.G.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9"/>
  </w:num>
  <w:num w:numId="8">
    <w:abstractNumId w:val="17"/>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3B8"/>
    <w:rsid w:val="000041F8"/>
    <w:rsid w:val="000042A8"/>
    <w:rsid w:val="00004308"/>
    <w:rsid w:val="00005BF0"/>
    <w:rsid w:val="0000617D"/>
    <w:rsid w:val="00007154"/>
    <w:rsid w:val="000103AE"/>
    <w:rsid w:val="00010E2F"/>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2ED"/>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0E77"/>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0475"/>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67F4B"/>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2158"/>
    <w:rsid w:val="002C3040"/>
    <w:rsid w:val="002C4433"/>
    <w:rsid w:val="002C5ADD"/>
    <w:rsid w:val="002C7826"/>
    <w:rsid w:val="002D022D"/>
    <w:rsid w:val="002D24BB"/>
    <w:rsid w:val="002D2FA7"/>
    <w:rsid w:val="002D47BA"/>
    <w:rsid w:val="002D77B9"/>
    <w:rsid w:val="002E46DA"/>
    <w:rsid w:val="002E7764"/>
    <w:rsid w:val="002F2AF7"/>
    <w:rsid w:val="002F69C4"/>
    <w:rsid w:val="002F6C6A"/>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43F"/>
    <w:rsid w:val="00385A36"/>
    <w:rsid w:val="00385F3D"/>
    <w:rsid w:val="0038740C"/>
    <w:rsid w:val="00387B9D"/>
    <w:rsid w:val="00387C70"/>
    <w:rsid w:val="00390294"/>
    <w:rsid w:val="0039364F"/>
    <w:rsid w:val="00396686"/>
    <w:rsid w:val="0039778E"/>
    <w:rsid w:val="003B4941"/>
    <w:rsid w:val="003B592A"/>
    <w:rsid w:val="003C5714"/>
    <w:rsid w:val="003C6B9F"/>
    <w:rsid w:val="003C6E2A"/>
    <w:rsid w:val="003D0299"/>
    <w:rsid w:val="003E6D80"/>
    <w:rsid w:val="003E7BCC"/>
    <w:rsid w:val="003F05FA"/>
    <w:rsid w:val="003F244A"/>
    <w:rsid w:val="003F2517"/>
    <w:rsid w:val="003F30B8"/>
    <w:rsid w:val="003F4C45"/>
    <w:rsid w:val="003F5F7B"/>
    <w:rsid w:val="003F7AB8"/>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5F795E"/>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D7435"/>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02E"/>
    <w:rsid w:val="00B20836"/>
    <w:rsid w:val="00B235BB"/>
    <w:rsid w:val="00B27A44"/>
    <w:rsid w:val="00B30BBF"/>
    <w:rsid w:val="00B33C03"/>
    <w:rsid w:val="00B41AC0"/>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C627E"/>
    <w:rsid w:val="00CD11D3"/>
    <w:rsid w:val="00CD282B"/>
    <w:rsid w:val="00CD447B"/>
    <w:rsid w:val="00CD4C35"/>
    <w:rsid w:val="00CD7369"/>
    <w:rsid w:val="00CE0B0E"/>
    <w:rsid w:val="00CE3831"/>
    <w:rsid w:val="00CE63B8"/>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E671F"/>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5606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0D9C"/>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AppNatAutre" w:val="1"/>
    <w:docVar w:name="DocVarPREMATURE" w:val="0"/>
    <w:docVar w:name="EMM" w:val="0"/>
    <w:docVar w:name="ETRANSMISSION" w:val="BY E-TRANSMISSION ONLY"/>
    <w:docVar w:name="L4_1Annex" w:val="0"/>
    <w:docVar w:name="L4_1Anonymity" w:val="1"/>
    <w:docVar w:name="L4_1AppNatList" w:val="Russian"/>
    <w:docVar w:name="NBEMMDOC" w:val="0"/>
    <w:docVar w:name="Plural" w:val="1"/>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621FB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3B592A"/>
    <w:rPr>
      <w:sz w:val="24"/>
      <w:szCs w:val="24"/>
      <w:lang w:val="en-GB"/>
    </w:rPr>
  </w:style>
  <w:style w:type="paragraph" w:styleId="Heading1">
    <w:name w:val="heading 1"/>
    <w:basedOn w:val="Normal"/>
    <w:next w:val="Normal"/>
    <w:link w:val="Heading1Char"/>
    <w:uiPriority w:val="98"/>
    <w:semiHidden/>
    <w:rsid w:val="003B59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B59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B59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B59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B59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B59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B59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B59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B59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B592A"/>
    <w:rPr>
      <w:rFonts w:ascii="Tahoma" w:hAnsi="Tahoma" w:cs="Tahoma"/>
      <w:sz w:val="16"/>
      <w:szCs w:val="16"/>
    </w:rPr>
  </w:style>
  <w:style w:type="character" w:customStyle="1" w:styleId="BalloonTextChar">
    <w:name w:val="Balloon Text Char"/>
    <w:basedOn w:val="DefaultParagraphFont"/>
    <w:link w:val="BalloonText"/>
    <w:uiPriority w:val="98"/>
    <w:semiHidden/>
    <w:rsid w:val="003B592A"/>
    <w:rPr>
      <w:rFonts w:ascii="Tahoma" w:hAnsi="Tahoma" w:cs="Tahoma"/>
      <w:sz w:val="16"/>
      <w:szCs w:val="16"/>
      <w:lang w:val="en-GB"/>
    </w:rPr>
  </w:style>
  <w:style w:type="character" w:styleId="BookTitle">
    <w:name w:val="Book Title"/>
    <w:uiPriority w:val="98"/>
    <w:semiHidden/>
    <w:qFormat/>
    <w:rsid w:val="003B592A"/>
    <w:rPr>
      <w:i/>
      <w:iCs/>
      <w:smallCaps/>
      <w:spacing w:val="5"/>
    </w:rPr>
  </w:style>
  <w:style w:type="paragraph" w:customStyle="1" w:styleId="JuHeader">
    <w:name w:val="Ju_Header"/>
    <w:aliases w:val="_Header"/>
    <w:basedOn w:val="Header0"/>
    <w:uiPriority w:val="29"/>
    <w:qFormat/>
    <w:rsid w:val="003B592A"/>
    <w:pPr>
      <w:tabs>
        <w:tab w:val="clear" w:pos="4536"/>
        <w:tab w:val="clear" w:pos="9072"/>
      </w:tabs>
      <w:jc w:val="center"/>
    </w:pPr>
    <w:rPr>
      <w:sz w:val="18"/>
    </w:rPr>
  </w:style>
  <w:style w:type="paragraph" w:customStyle="1" w:styleId="NormalJustified">
    <w:name w:val="Normal_Justified"/>
    <w:basedOn w:val="Normal"/>
    <w:semiHidden/>
    <w:rsid w:val="003B592A"/>
    <w:pPr>
      <w:jc w:val="both"/>
    </w:pPr>
  </w:style>
  <w:style w:type="character" w:styleId="Strong">
    <w:name w:val="Strong"/>
    <w:uiPriority w:val="98"/>
    <w:semiHidden/>
    <w:qFormat/>
    <w:rsid w:val="003B592A"/>
    <w:rPr>
      <w:b/>
      <w:bCs/>
    </w:rPr>
  </w:style>
  <w:style w:type="paragraph" w:styleId="NoSpacing">
    <w:name w:val="No Spacing"/>
    <w:basedOn w:val="Normal"/>
    <w:link w:val="NoSpacingChar"/>
    <w:uiPriority w:val="98"/>
    <w:semiHidden/>
    <w:qFormat/>
    <w:rsid w:val="003B592A"/>
  </w:style>
  <w:style w:type="character" w:customStyle="1" w:styleId="NoSpacingChar">
    <w:name w:val="No Spacing Char"/>
    <w:basedOn w:val="DefaultParagraphFont"/>
    <w:link w:val="NoSpacing"/>
    <w:uiPriority w:val="98"/>
    <w:semiHidden/>
    <w:rsid w:val="003B592A"/>
    <w:rPr>
      <w:sz w:val="24"/>
      <w:szCs w:val="24"/>
      <w:lang w:val="en-GB"/>
    </w:rPr>
  </w:style>
  <w:style w:type="paragraph" w:customStyle="1" w:styleId="JuQuot">
    <w:name w:val="Ju_Quot"/>
    <w:aliases w:val="_Quote"/>
    <w:basedOn w:val="NormalJustified"/>
    <w:uiPriority w:val="20"/>
    <w:qFormat/>
    <w:rsid w:val="003B592A"/>
    <w:pPr>
      <w:spacing w:before="120" w:after="120"/>
      <w:ind w:left="425" w:firstLine="142"/>
    </w:pPr>
    <w:rPr>
      <w:sz w:val="20"/>
    </w:rPr>
  </w:style>
  <w:style w:type="paragraph" w:customStyle="1" w:styleId="JuList">
    <w:name w:val="Ju_List"/>
    <w:aliases w:val="_List_1"/>
    <w:basedOn w:val="NormalJustified"/>
    <w:uiPriority w:val="23"/>
    <w:qFormat/>
    <w:rsid w:val="003B592A"/>
    <w:pPr>
      <w:numPr>
        <w:numId w:val="21"/>
      </w:numPr>
      <w:spacing w:before="280" w:after="60"/>
    </w:pPr>
  </w:style>
  <w:style w:type="paragraph" w:customStyle="1" w:styleId="JuLista">
    <w:name w:val="Ju_List_a"/>
    <w:aliases w:val="_List_2"/>
    <w:basedOn w:val="NormalJustified"/>
    <w:uiPriority w:val="23"/>
    <w:rsid w:val="003B592A"/>
    <w:pPr>
      <w:numPr>
        <w:ilvl w:val="1"/>
        <w:numId w:val="21"/>
      </w:numPr>
    </w:pPr>
  </w:style>
  <w:style w:type="paragraph" w:customStyle="1" w:styleId="JuListi">
    <w:name w:val="Ju_List_i"/>
    <w:aliases w:val="_List_3"/>
    <w:basedOn w:val="NormalJustified"/>
    <w:uiPriority w:val="23"/>
    <w:rsid w:val="003B592A"/>
    <w:pPr>
      <w:numPr>
        <w:ilvl w:val="2"/>
        <w:numId w:val="21"/>
      </w:numPr>
    </w:pPr>
  </w:style>
  <w:style w:type="paragraph" w:customStyle="1" w:styleId="JuHArticle">
    <w:name w:val="Ju_H_Article"/>
    <w:aliases w:val="_Title_Quote"/>
    <w:basedOn w:val="Normal"/>
    <w:next w:val="JuQuot"/>
    <w:uiPriority w:val="19"/>
    <w:qFormat/>
    <w:rsid w:val="003B592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B592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B592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3B592A"/>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3B592A"/>
    <w:pPr>
      <w:numPr>
        <w:numId w:val="4"/>
      </w:numPr>
    </w:pPr>
  </w:style>
  <w:style w:type="paragraph" w:customStyle="1" w:styleId="JuSigned">
    <w:name w:val="Ju_Signed"/>
    <w:aliases w:val="_Signature"/>
    <w:basedOn w:val="Normal"/>
    <w:next w:val="JuPara"/>
    <w:uiPriority w:val="31"/>
    <w:qFormat/>
    <w:rsid w:val="003B592A"/>
    <w:pPr>
      <w:tabs>
        <w:tab w:val="center" w:pos="1418"/>
        <w:tab w:val="center" w:pos="5954"/>
      </w:tabs>
      <w:spacing w:before="720"/>
    </w:pPr>
  </w:style>
  <w:style w:type="paragraph" w:styleId="Title">
    <w:name w:val="Title"/>
    <w:basedOn w:val="Normal"/>
    <w:next w:val="Normal"/>
    <w:link w:val="TitleChar"/>
    <w:uiPriority w:val="98"/>
    <w:semiHidden/>
    <w:qFormat/>
    <w:rsid w:val="003B59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B592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3B592A"/>
    <w:pPr>
      <w:numPr>
        <w:numId w:val="5"/>
      </w:numPr>
    </w:pPr>
  </w:style>
  <w:style w:type="numbering" w:customStyle="1" w:styleId="ECHRA1StyleNumberedList">
    <w:name w:val="ECHR_A1_Style_Numbered_List"/>
    <w:basedOn w:val="NoList"/>
    <w:rsid w:val="003B592A"/>
    <w:pPr>
      <w:numPr>
        <w:numId w:val="6"/>
      </w:numPr>
    </w:pPr>
  </w:style>
  <w:style w:type="table" w:customStyle="1" w:styleId="ECHRTable2019">
    <w:name w:val="ECHR_Table_2019"/>
    <w:basedOn w:val="TableNormal"/>
    <w:uiPriority w:val="99"/>
    <w:rsid w:val="003B592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3B592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3B592A"/>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B592A"/>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B592A"/>
    <w:pPr>
      <w:keepNext/>
      <w:keepLines/>
      <w:numPr>
        <w:ilvl w:val="3"/>
        <w:numId w:val="20"/>
      </w:numPr>
      <w:spacing w:before="100" w:beforeAutospacing="1" w:after="120"/>
      <w:jc w:val="both"/>
    </w:pPr>
    <w:rPr>
      <w:b w:val="0"/>
      <w:color w:val="auto"/>
      <w:sz w:val="24"/>
    </w:rPr>
  </w:style>
  <w:style w:type="paragraph" w:styleId="Header0">
    <w:name w:val="header"/>
    <w:basedOn w:val="Normal"/>
    <w:link w:val="HeaderChar"/>
    <w:uiPriority w:val="98"/>
    <w:semiHidden/>
    <w:rsid w:val="003B592A"/>
    <w:pPr>
      <w:tabs>
        <w:tab w:val="center" w:pos="4536"/>
        <w:tab w:val="right" w:pos="9072"/>
      </w:tabs>
    </w:pPr>
  </w:style>
  <w:style w:type="character" w:customStyle="1" w:styleId="HeaderChar">
    <w:name w:val="Header Char"/>
    <w:basedOn w:val="DefaultParagraphFont"/>
    <w:link w:val="Header0"/>
    <w:uiPriority w:val="98"/>
    <w:semiHidden/>
    <w:rsid w:val="003B592A"/>
    <w:rPr>
      <w:sz w:val="24"/>
      <w:szCs w:val="24"/>
      <w:lang w:val="en-GB"/>
    </w:rPr>
  </w:style>
  <w:style w:type="character" w:customStyle="1" w:styleId="Heading1Char">
    <w:name w:val="Heading 1 Char"/>
    <w:basedOn w:val="DefaultParagraphFont"/>
    <w:link w:val="Heading1"/>
    <w:uiPriority w:val="98"/>
    <w:semiHidden/>
    <w:rsid w:val="003B592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3B592A"/>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3B592A"/>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3B592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3B592A"/>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B592A"/>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3B592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3B592A"/>
    <w:pPr>
      <w:keepNext/>
      <w:keepLines/>
      <w:spacing w:before="240" w:after="240"/>
      <w:ind w:firstLine="284"/>
    </w:pPr>
  </w:style>
  <w:style w:type="paragraph" w:customStyle="1" w:styleId="JuJudges">
    <w:name w:val="Ju_Judges"/>
    <w:aliases w:val="_Judges"/>
    <w:basedOn w:val="Normal"/>
    <w:uiPriority w:val="32"/>
    <w:qFormat/>
    <w:rsid w:val="003B592A"/>
    <w:pPr>
      <w:tabs>
        <w:tab w:val="left" w:pos="567"/>
        <w:tab w:val="left" w:pos="1134"/>
      </w:tabs>
    </w:pPr>
  </w:style>
  <w:style w:type="character" w:customStyle="1" w:styleId="Heading4Char">
    <w:name w:val="Heading 4 Char"/>
    <w:basedOn w:val="DefaultParagraphFont"/>
    <w:link w:val="Heading4"/>
    <w:uiPriority w:val="98"/>
    <w:semiHidden/>
    <w:rsid w:val="003B592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3B592A"/>
    <w:pPr>
      <w:tabs>
        <w:tab w:val="center" w:pos="6407"/>
      </w:tabs>
      <w:spacing w:before="720"/>
      <w:jc w:val="right"/>
    </w:pPr>
  </w:style>
  <w:style w:type="character" w:customStyle="1" w:styleId="Heading5Char">
    <w:name w:val="Heading 5 Char"/>
    <w:basedOn w:val="DefaultParagraphFont"/>
    <w:link w:val="Heading5"/>
    <w:uiPriority w:val="98"/>
    <w:semiHidden/>
    <w:rsid w:val="003B592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3B592A"/>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3B592A"/>
    <w:rPr>
      <w:caps w:val="0"/>
      <w:smallCaps/>
    </w:rPr>
  </w:style>
  <w:style w:type="character" w:styleId="SubtleEmphasis">
    <w:name w:val="Subtle Emphasis"/>
    <w:uiPriority w:val="98"/>
    <w:semiHidden/>
    <w:qFormat/>
    <w:rsid w:val="003B592A"/>
    <w:rPr>
      <w:i/>
      <w:iCs/>
    </w:rPr>
  </w:style>
  <w:style w:type="table" w:customStyle="1" w:styleId="ECHRTable">
    <w:name w:val="ECHR_Table"/>
    <w:basedOn w:val="TableNormal"/>
    <w:rsid w:val="003B592A"/>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B59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3B592A"/>
    <w:rPr>
      <w:b/>
      <w:bCs/>
      <w:i/>
      <w:iCs/>
      <w:spacing w:val="10"/>
      <w:bdr w:val="none" w:sz="0" w:space="0" w:color="auto"/>
      <w:shd w:val="clear" w:color="auto" w:fill="auto"/>
    </w:rPr>
  </w:style>
  <w:style w:type="paragraph" w:styleId="Footer1">
    <w:name w:val="footer"/>
    <w:basedOn w:val="Normal"/>
    <w:link w:val="FooterChar"/>
    <w:uiPriority w:val="98"/>
    <w:semiHidden/>
    <w:rsid w:val="003B592A"/>
    <w:pPr>
      <w:tabs>
        <w:tab w:val="center" w:pos="3686"/>
        <w:tab w:val="right" w:pos="7371"/>
      </w:tabs>
    </w:pPr>
  </w:style>
  <w:style w:type="character" w:customStyle="1" w:styleId="FooterChar">
    <w:name w:val="Footer Char"/>
    <w:basedOn w:val="DefaultParagraphFont"/>
    <w:link w:val="Footer1"/>
    <w:uiPriority w:val="98"/>
    <w:semiHidden/>
    <w:rsid w:val="003B592A"/>
    <w:rPr>
      <w:sz w:val="24"/>
      <w:szCs w:val="24"/>
      <w:lang w:val="en-GB"/>
    </w:rPr>
  </w:style>
  <w:style w:type="character" w:styleId="FootnoteReference">
    <w:name w:val="footnote reference"/>
    <w:basedOn w:val="DefaultParagraphFont"/>
    <w:uiPriority w:val="98"/>
    <w:semiHidden/>
    <w:rsid w:val="003B592A"/>
    <w:rPr>
      <w:vertAlign w:val="superscript"/>
    </w:rPr>
  </w:style>
  <w:style w:type="paragraph" w:styleId="FootnoteText">
    <w:name w:val="footnote text"/>
    <w:basedOn w:val="NormalJustified"/>
    <w:link w:val="FootnoteTextChar"/>
    <w:uiPriority w:val="98"/>
    <w:semiHidden/>
    <w:rsid w:val="003B592A"/>
    <w:rPr>
      <w:sz w:val="20"/>
      <w:szCs w:val="20"/>
    </w:rPr>
  </w:style>
  <w:style w:type="character" w:customStyle="1" w:styleId="FootnoteTextChar">
    <w:name w:val="Footnote Text Char"/>
    <w:basedOn w:val="DefaultParagraphFont"/>
    <w:link w:val="FootnoteText"/>
    <w:uiPriority w:val="98"/>
    <w:semiHidden/>
    <w:rsid w:val="003B592A"/>
    <w:rPr>
      <w:sz w:val="20"/>
      <w:szCs w:val="20"/>
      <w:lang w:val="en-GB"/>
    </w:rPr>
  </w:style>
  <w:style w:type="character" w:customStyle="1" w:styleId="Heading6Char">
    <w:name w:val="Heading 6 Char"/>
    <w:basedOn w:val="DefaultParagraphFont"/>
    <w:link w:val="Heading6"/>
    <w:uiPriority w:val="98"/>
    <w:semiHidden/>
    <w:rsid w:val="003B59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B59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B59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B592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B592A"/>
    <w:rPr>
      <w:color w:val="0072BC" w:themeColor="hyperlink"/>
      <w:u w:val="single"/>
    </w:rPr>
  </w:style>
  <w:style w:type="character" w:styleId="IntenseEmphasis">
    <w:name w:val="Intense Emphasis"/>
    <w:uiPriority w:val="98"/>
    <w:semiHidden/>
    <w:qFormat/>
    <w:rsid w:val="003B592A"/>
    <w:rPr>
      <w:b/>
      <w:bCs/>
    </w:rPr>
  </w:style>
  <w:style w:type="paragraph" w:styleId="IntenseQuote">
    <w:name w:val="Intense Quote"/>
    <w:basedOn w:val="Normal"/>
    <w:next w:val="Normal"/>
    <w:link w:val="IntenseQuoteChar"/>
    <w:uiPriority w:val="98"/>
    <w:semiHidden/>
    <w:qFormat/>
    <w:rsid w:val="003B59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B592A"/>
    <w:rPr>
      <w:b/>
      <w:bCs/>
      <w:i/>
      <w:iCs/>
      <w:sz w:val="24"/>
      <w:szCs w:val="24"/>
      <w:lang w:val="en-GB" w:bidi="en-US"/>
    </w:rPr>
  </w:style>
  <w:style w:type="character" w:styleId="IntenseReference">
    <w:name w:val="Intense Reference"/>
    <w:uiPriority w:val="98"/>
    <w:semiHidden/>
    <w:qFormat/>
    <w:rsid w:val="003B592A"/>
    <w:rPr>
      <w:smallCaps/>
      <w:spacing w:val="5"/>
      <w:u w:val="single"/>
    </w:rPr>
  </w:style>
  <w:style w:type="paragraph" w:styleId="ListParagraph">
    <w:name w:val="List Paragraph"/>
    <w:basedOn w:val="Normal"/>
    <w:uiPriority w:val="98"/>
    <w:semiHidden/>
    <w:qFormat/>
    <w:rsid w:val="003B592A"/>
    <w:pPr>
      <w:ind w:left="720"/>
      <w:contextualSpacing/>
    </w:pPr>
  </w:style>
  <w:style w:type="table" w:customStyle="1" w:styleId="LtrTableAddress">
    <w:name w:val="Ltr_Table_Address"/>
    <w:aliases w:val="ECHR_Ltr_Table_Address"/>
    <w:basedOn w:val="TableNormal"/>
    <w:uiPriority w:val="99"/>
    <w:rsid w:val="003B592A"/>
    <w:rPr>
      <w:sz w:val="24"/>
      <w:szCs w:val="24"/>
    </w:rPr>
    <w:tblPr>
      <w:tblInd w:w="5103" w:type="dxa"/>
    </w:tblPr>
  </w:style>
  <w:style w:type="paragraph" w:styleId="Quote0">
    <w:name w:val="Quote"/>
    <w:basedOn w:val="Normal"/>
    <w:next w:val="Normal"/>
    <w:link w:val="QuoteChar"/>
    <w:uiPriority w:val="98"/>
    <w:semiHidden/>
    <w:qFormat/>
    <w:rsid w:val="003B592A"/>
    <w:pPr>
      <w:spacing w:before="200"/>
      <w:ind w:left="360" w:right="360"/>
    </w:pPr>
    <w:rPr>
      <w:i/>
      <w:iCs/>
      <w:lang w:bidi="en-US"/>
    </w:rPr>
  </w:style>
  <w:style w:type="character" w:customStyle="1" w:styleId="QuoteChar">
    <w:name w:val="Quote Char"/>
    <w:basedOn w:val="DefaultParagraphFont"/>
    <w:link w:val="Quote0"/>
    <w:uiPriority w:val="98"/>
    <w:semiHidden/>
    <w:rsid w:val="003B592A"/>
    <w:rPr>
      <w:i/>
      <w:iCs/>
      <w:sz w:val="24"/>
      <w:szCs w:val="24"/>
      <w:lang w:val="en-GB" w:bidi="en-US"/>
    </w:rPr>
  </w:style>
  <w:style w:type="character" w:styleId="SubtleReference">
    <w:name w:val="Subtle Reference"/>
    <w:uiPriority w:val="98"/>
    <w:semiHidden/>
    <w:qFormat/>
    <w:rsid w:val="003B592A"/>
    <w:rPr>
      <w:smallCaps/>
    </w:rPr>
  </w:style>
  <w:style w:type="table" w:styleId="TableGrid">
    <w:name w:val="Table Grid"/>
    <w:basedOn w:val="TableNormal"/>
    <w:uiPriority w:val="59"/>
    <w:semiHidden/>
    <w:rsid w:val="003B59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B59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B59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B59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B59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B59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B592A"/>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3B59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B59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B592A"/>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B592A"/>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3B59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B592A"/>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B592A"/>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3B59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B592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B592A"/>
    <w:pPr>
      <w:numPr>
        <w:numId w:val="1"/>
      </w:numPr>
    </w:pPr>
  </w:style>
  <w:style w:type="paragraph" w:customStyle="1" w:styleId="JuPara">
    <w:name w:val="Ju_Para"/>
    <w:aliases w:val="_Para"/>
    <w:basedOn w:val="NormalJustified"/>
    <w:link w:val="JuParaChar"/>
    <w:uiPriority w:val="4"/>
    <w:qFormat/>
    <w:rsid w:val="003B592A"/>
    <w:pPr>
      <w:ind w:firstLine="284"/>
    </w:pPr>
  </w:style>
  <w:style w:type="numbering" w:styleId="1ai">
    <w:name w:val="Outline List 1"/>
    <w:basedOn w:val="NoList"/>
    <w:uiPriority w:val="99"/>
    <w:semiHidden/>
    <w:unhideWhenUsed/>
    <w:rsid w:val="003B592A"/>
    <w:pPr>
      <w:numPr>
        <w:numId w:val="2"/>
      </w:numPr>
    </w:pPr>
  </w:style>
  <w:style w:type="table" w:customStyle="1" w:styleId="ECHRTableSimpleBox">
    <w:name w:val="ECHR_Table_Simple_Box"/>
    <w:basedOn w:val="TableNormal"/>
    <w:uiPriority w:val="99"/>
    <w:rsid w:val="003B592A"/>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3B592A"/>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3B592A"/>
    <w:pPr>
      <w:numPr>
        <w:numId w:val="3"/>
      </w:numPr>
    </w:pPr>
  </w:style>
  <w:style w:type="table" w:customStyle="1" w:styleId="ECHRTableForInternalUse">
    <w:name w:val="ECHR_Table_For_Internal_Use"/>
    <w:basedOn w:val="TableNormal"/>
    <w:uiPriority w:val="99"/>
    <w:rsid w:val="003B592A"/>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3B592A"/>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B592A"/>
  </w:style>
  <w:style w:type="paragraph" w:styleId="BlockText">
    <w:name w:val="Block Text"/>
    <w:basedOn w:val="Normal"/>
    <w:uiPriority w:val="98"/>
    <w:semiHidden/>
    <w:rsid w:val="003B59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B592A"/>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B592A"/>
    <w:pPr>
      <w:spacing w:after="120"/>
    </w:pPr>
  </w:style>
  <w:style w:type="character" w:customStyle="1" w:styleId="BodyTextChar">
    <w:name w:val="Body Text Char"/>
    <w:basedOn w:val="DefaultParagraphFont"/>
    <w:link w:val="BodyText"/>
    <w:uiPriority w:val="98"/>
    <w:semiHidden/>
    <w:rsid w:val="003B592A"/>
    <w:rPr>
      <w:sz w:val="24"/>
      <w:szCs w:val="24"/>
      <w:lang w:val="en-GB"/>
    </w:rPr>
  </w:style>
  <w:style w:type="table" w:customStyle="1" w:styleId="ECHRTableOddBanded">
    <w:name w:val="ECHR_Table_Odd_Banded"/>
    <w:basedOn w:val="TableNormal"/>
    <w:uiPriority w:val="99"/>
    <w:rsid w:val="003B592A"/>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B592A"/>
    <w:pPr>
      <w:spacing w:after="120" w:line="480" w:lineRule="auto"/>
    </w:pPr>
  </w:style>
  <w:style w:type="table" w:customStyle="1" w:styleId="ECHRHeaderTableReduced">
    <w:name w:val="ECHR_Header_Table_Reduced"/>
    <w:basedOn w:val="TableNormal"/>
    <w:uiPriority w:val="99"/>
    <w:rsid w:val="003B59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B592A"/>
    <w:pPr>
      <w:ind w:firstLine="284"/>
    </w:pPr>
    <w:rPr>
      <w:b/>
    </w:rPr>
  </w:style>
  <w:style w:type="character" w:styleId="PageNumber">
    <w:name w:val="page number"/>
    <w:uiPriority w:val="98"/>
    <w:semiHidden/>
    <w:rsid w:val="003B592A"/>
    <w:rPr>
      <w:sz w:val="18"/>
    </w:rPr>
  </w:style>
  <w:style w:type="paragraph" w:styleId="ListBullet">
    <w:name w:val="List Bullet"/>
    <w:basedOn w:val="Normal"/>
    <w:uiPriority w:val="98"/>
    <w:semiHidden/>
    <w:rsid w:val="003B592A"/>
    <w:pPr>
      <w:numPr>
        <w:numId w:val="8"/>
      </w:numPr>
    </w:pPr>
  </w:style>
  <w:style w:type="paragraph" w:styleId="ListBullet3">
    <w:name w:val="List Bullet 3"/>
    <w:basedOn w:val="Normal"/>
    <w:uiPriority w:val="98"/>
    <w:semiHidden/>
    <w:rsid w:val="003B592A"/>
    <w:pPr>
      <w:numPr>
        <w:numId w:val="10"/>
      </w:numPr>
      <w:contextualSpacing/>
    </w:pPr>
  </w:style>
  <w:style w:type="character" w:customStyle="1" w:styleId="BodyText2Char">
    <w:name w:val="Body Text 2 Char"/>
    <w:basedOn w:val="DefaultParagraphFont"/>
    <w:link w:val="BodyText2"/>
    <w:uiPriority w:val="98"/>
    <w:semiHidden/>
    <w:rsid w:val="003B592A"/>
    <w:rPr>
      <w:sz w:val="24"/>
      <w:szCs w:val="24"/>
      <w:lang w:val="en-GB"/>
    </w:rPr>
  </w:style>
  <w:style w:type="paragraph" w:styleId="BodyText3">
    <w:name w:val="Body Text 3"/>
    <w:basedOn w:val="Normal"/>
    <w:link w:val="BodyText3Char"/>
    <w:uiPriority w:val="98"/>
    <w:semiHidden/>
    <w:rsid w:val="003B592A"/>
    <w:pPr>
      <w:spacing w:after="120"/>
    </w:pPr>
    <w:rPr>
      <w:sz w:val="16"/>
      <w:szCs w:val="16"/>
    </w:rPr>
  </w:style>
  <w:style w:type="character" w:customStyle="1" w:styleId="BodyText3Char">
    <w:name w:val="Body Text 3 Char"/>
    <w:basedOn w:val="DefaultParagraphFont"/>
    <w:link w:val="BodyText3"/>
    <w:uiPriority w:val="98"/>
    <w:semiHidden/>
    <w:rsid w:val="003B592A"/>
    <w:rPr>
      <w:sz w:val="16"/>
      <w:szCs w:val="16"/>
      <w:lang w:val="en-GB"/>
    </w:rPr>
  </w:style>
  <w:style w:type="paragraph" w:styleId="BodyTextFirstIndent">
    <w:name w:val="Body Text First Indent"/>
    <w:basedOn w:val="BodyText"/>
    <w:link w:val="BodyTextFirstIndentChar"/>
    <w:uiPriority w:val="98"/>
    <w:semiHidden/>
    <w:rsid w:val="003B592A"/>
    <w:pPr>
      <w:spacing w:after="0"/>
      <w:ind w:firstLine="360"/>
    </w:pPr>
  </w:style>
  <w:style w:type="character" w:customStyle="1" w:styleId="BodyTextFirstIndentChar">
    <w:name w:val="Body Text First Indent Char"/>
    <w:basedOn w:val="BodyTextChar"/>
    <w:link w:val="BodyTextFirstIndent"/>
    <w:uiPriority w:val="98"/>
    <w:semiHidden/>
    <w:rsid w:val="003B592A"/>
    <w:rPr>
      <w:sz w:val="24"/>
      <w:szCs w:val="24"/>
      <w:lang w:val="en-GB"/>
    </w:rPr>
  </w:style>
  <w:style w:type="paragraph" w:styleId="BodyTextIndent">
    <w:name w:val="Body Text Indent"/>
    <w:basedOn w:val="Normal"/>
    <w:link w:val="BodyTextIndentChar"/>
    <w:uiPriority w:val="98"/>
    <w:semiHidden/>
    <w:rsid w:val="003B592A"/>
    <w:pPr>
      <w:spacing w:after="120"/>
      <w:ind w:left="283"/>
    </w:pPr>
  </w:style>
  <w:style w:type="character" w:customStyle="1" w:styleId="BodyTextIndentChar">
    <w:name w:val="Body Text Indent Char"/>
    <w:basedOn w:val="DefaultParagraphFont"/>
    <w:link w:val="BodyTextIndent"/>
    <w:uiPriority w:val="98"/>
    <w:semiHidden/>
    <w:rsid w:val="003B592A"/>
    <w:rPr>
      <w:sz w:val="24"/>
      <w:szCs w:val="24"/>
      <w:lang w:val="en-GB"/>
    </w:rPr>
  </w:style>
  <w:style w:type="paragraph" w:styleId="BodyTextFirstIndent2">
    <w:name w:val="Body Text First Indent 2"/>
    <w:basedOn w:val="BodyTextIndent"/>
    <w:link w:val="BodyTextFirstIndent2Char"/>
    <w:uiPriority w:val="98"/>
    <w:semiHidden/>
    <w:rsid w:val="003B59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3B592A"/>
    <w:rPr>
      <w:sz w:val="24"/>
      <w:szCs w:val="24"/>
      <w:lang w:val="en-GB"/>
    </w:rPr>
  </w:style>
  <w:style w:type="paragraph" w:styleId="BodyTextIndent2">
    <w:name w:val="Body Text Indent 2"/>
    <w:basedOn w:val="Normal"/>
    <w:link w:val="BodyTextIndent2Char"/>
    <w:uiPriority w:val="98"/>
    <w:semiHidden/>
    <w:rsid w:val="003B592A"/>
    <w:pPr>
      <w:spacing w:after="120" w:line="480" w:lineRule="auto"/>
      <w:ind w:left="283"/>
    </w:pPr>
  </w:style>
  <w:style w:type="character" w:customStyle="1" w:styleId="BodyTextIndent2Char">
    <w:name w:val="Body Text Indent 2 Char"/>
    <w:basedOn w:val="DefaultParagraphFont"/>
    <w:link w:val="BodyTextIndent2"/>
    <w:uiPriority w:val="98"/>
    <w:semiHidden/>
    <w:rsid w:val="003B592A"/>
    <w:rPr>
      <w:sz w:val="24"/>
      <w:szCs w:val="24"/>
      <w:lang w:val="en-GB"/>
    </w:rPr>
  </w:style>
  <w:style w:type="paragraph" w:styleId="BodyTextIndent3">
    <w:name w:val="Body Text Indent 3"/>
    <w:basedOn w:val="Normal"/>
    <w:link w:val="BodyTextIndent3Char"/>
    <w:uiPriority w:val="98"/>
    <w:semiHidden/>
    <w:rsid w:val="003B59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B592A"/>
    <w:rPr>
      <w:sz w:val="16"/>
      <w:szCs w:val="16"/>
      <w:lang w:val="en-GB"/>
    </w:rPr>
  </w:style>
  <w:style w:type="paragraph" w:styleId="Caption">
    <w:name w:val="caption"/>
    <w:basedOn w:val="Normal"/>
    <w:next w:val="Normal"/>
    <w:uiPriority w:val="98"/>
    <w:semiHidden/>
    <w:qFormat/>
    <w:rsid w:val="003B592A"/>
    <w:pPr>
      <w:spacing w:after="200"/>
    </w:pPr>
    <w:rPr>
      <w:b/>
      <w:bCs/>
      <w:color w:val="0072BC" w:themeColor="accent1"/>
      <w:sz w:val="18"/>
      <w:szCs w:val="18"/>
    </w:rPr>
  </w:style>
  <w:style w:type="paragraph" w:styleId="Closing">
    <w:name w:val="Closing"/>
    <w:basedOn w:val="Normal"/>
    <w:link w:val="ClosingChar"/>
    <w:uiPriority w:val="98"/>
    <w:semiHidden/>
    <w:rsid w:val="003B592A"/>
    <w:pPr>
      <w:ind w:left="4252"/>
    </w:pPr>
  </w:style>
  <w:style w:type="character" w:customStyle="1" w:styleId="ClosingChar">
    <w:name w:val="Closing Char"/>
    <w:basedOn w:val="DefaultParagraphFont"/>
    <w:link w:val="Closing"/>
    <w:uiPriority w:val="98"/>
    <w:semiHidden/>
    <w:rsid w:val="003B592A"/>
    <w:rPr>
      <w:sz w:val="24"/>
      <w:szCs w:val="24"/>
      <w:lang w:val="en-GB"/>
    </w:rPr>
  </w:style>
  <w:style w:type="table" w:styleId="ColorfulGrid">
    <w:name w:val="Colorful Grid"/>
    <w:basedOn w:val="TableNormal"/>
    <w:uiPriority w:val="73"/>
    <w:semiHidden/>
    <w:rsid w:val="003B592A"/>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B592A"/>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B592A"/>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B592A"/>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3B592A"/>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B592A"/>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B592A"/>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B592A"/>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B592A"/>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B592A"/>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B592A"/>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3B592A"/>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B592A"/>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B592A"/>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B59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B59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B59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B592A"/>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3B592A"/>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B59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B59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B592A"/>
    <w:rPr>
      <w:sz w:val="16"/>
      <w:szCs w:val="16"/>
    </w:rPr>
  </w:style>
  <w:style w:type="paragraph" w:styleId="CommentText">
    <w:name w:val="annotation text"/>
    <w:basedOn w:val="Normal"/>
    <w:link w:val="CommentTextChar"/>
    <w:uiPriority w:val="98"/>
    <w:semiHidden/>
    <w:rsid w:val="003B592A"/>
    <w:rPr>
      <w:sz w:val="20"/>
      <w:szCs w:val="20"/>
    </w:rPr>
  </w:style>
  <w:style w:type="character" w:customStyle="1" w:styleId="CommentTextChar">
    <w:name w:val="Comment Text Char"/>
    <w:basedOn w:val="DefaultParagraphFont"/>
    <w:link w:val="CommentText"/>
    <w:uiPriority w:val="98"/>
    <w:semiHidden/>
    <w:rsid w:val="003B592A"/>
    <w:rPr>
      <w:sz w:val="20"/>
      <w:szCs w:val="20"/>
      <w:lang w:val="en-GB"/>
    </w:rPr>
  </w:style>
  <w:style w:type="paragraph" w:styleId="CommentSubject">
    <w:name w:val="annotation subject"/>
    <w:basedOn w:val="CommentText"/>
    <w:next w:val="CommentText"/>
    <w:link w:val="CommentSubjectChar"/>
    <w:uiPriority w:val="98"/>
    <w:semiHidden/>
    <w:rsid w:val="003B592A"/>
    <w:rPr>
      <w:b/>
      <w:bCs/>
    </w:rPr>
  </w:style>
  <w:style w:type="character" w:customStyle="1" w:styleId="CommentSubjectChar">
    <w:name w:val="Comment Subject Char"/>
    <w:basedOn w:val="CommentTextChar"/>
    <w:link w:val="CommentSubject"/>
    <w:uiPriority w:val="98"/>
    <w:semiHidden/>
    <w:rsid w:val="003B592A"/>
    <w:rPr>
      <w:b/>
      <w:bCs/>
      <w:sz w:val="20"/>
      <w:szCs w:val="20"/>
      <w:lang w:val="en-GB"/>
    </w:rPr>
  </w:style>
  <w:style w:type="table" w:styleId="DarkList">
    <w:name w:val="Dark List"/>
    <w:basedOn w:val="TableNormal"/>
    <w:uiPriority w:val="70"/>
    <w:semiHidden/>
    <w:rsid w:val="003B592A"/>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B592A"/>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B592A"/>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B592A"/>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3B592A"/>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B592A"/>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B592A"/>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B592A"/>
  </w:style>
  <w:style w:type="character" w:customStyle="1" w:styleId="DateChar">
    <w:name w:val="Date Char"/>
    <w:basedOn w:val="DefaultParagraphFont"/>
    <w:link w:val="Date"/>
    <w:uiPriority w:val="98"/>
    <w:semiHidden/>
    <w:rsid w:val="003B592A"/>
    <w:rPr>
      <w:sz w:val="24"/>
      <w:szCs w:val="24"/>
      <w:lang w:val="en-GB"/>
    </w:rPr>
  </w:style>
  <w:style w:type="paragraph" w:styleId="DocumentMap">
    <w:name w:val="Document Map"/>
    <w:basedOn w:val="Normal"/>
    <w:link w:val="DocumentMapChar"/>
    <w:uiPriority w:val="98"/>
    <w:semiHidden/>
    <w:rsid w:val="003B592A"/>
    <w:rPr>
      <w:rFonts w:ascii="Tahoma" w:hAnsi="Tahoma" w:cs="Tahoma"/>
      <w:sz w:val="16"/>
      <w:szCs w:val="16"/>
    </w:rPr>
  </w:style>
  <w:style w:type="character" w:customStyle="1" w:styleId="DocumentMapChar">
    <w:name w:val="Document Map Char"/>
    <w:basedOn w:val="DefaultParagraphFont"/>
    <w:link w:val="DocumentMap"/>
    <w:uiPriority w:val="98"/>
    <w:semiHidden/>
    <w:rsid w:val="003B592A"/>
    <w:rPr>
      <w:rFonts w:ascii="Tahoma" w:hAnsi="Tahoma" w:cs="Tahoma"/>
      <w:sz w:val="16"/>
      <w:szCs w:val="16"/>
      <w:lang w:val="en-GB"/>
    </w:rPr>
  </w:style>
  <w:style w:type="paragraph" w:styleId="E-mailSignature">
    <w:name w:val="E-mail Signature"/>
    <w:basedOn w:val="Normal"/>
    <w:link w:val="E-mailSignatureChar"/>
    <w:uiPriority w:val="98"/>
    <w:semiHidden/>
    <w:rsid w:val="003B592A"/>
  </w:style>
  <w:style w:type="character" w:customStyle="1" w:styleId="E-mailSignatureChar">
    <w:name w:val="E-mail Signature Char"/>
    <w:basedOn w:val="DefaultParagraphFont"/>
    <w:link w:val="E-mailSignature"/>
    <w:uiPriority w:val="98"/>
    <w:semiHidden/>
    <w:rsid w:val="003B592A"/>
    <w:rPr>
      <w:sz w:val="24"/>
      <w:szCs w:val="24"/>
      <w:lang w:val="en-GB"/>
    </w:rPr>
  </w:style>
  <w:style w:type="character" w:styleId="EndnoteReference">
    <w:name w:val="endnote reference"/>
    <w:basedOn w:val="DefaultParagraphFont"/>
    <w:uiPriority w:val="98"/>
    <w:semiHidden/>
    <w:rsid w:val="003B592A"/>
    <w:rPr>
      <w:vertAlign w:val="superscript"/>
    </w:rPr>
  </w:style>
  <w:style w:type="paragraph" w:styleId="EndnoteText">
    <w:name w:val="endnote text"/>
    <w:basedOn w:val="Normal"/>
    <w:link w:val="EndnoteTextChar"/>
    <w:uiPriority w:val="98"/>
    <w:semiHidden/>
    <w:rsid w:val="003B592A"/>
    <w:rPr>
      <w:sz w:val="20"/>
      <w:szCs w:val="20"/>
    </w:rPr>
  </w:style>
  <w:style w:type="character" w:customStyle="1" w:styleId="EndnoteTextChar">
    <w:name w:val="Endnote Text Char"/>
    <w:basedOn w:val="DefaultParagraphFont"/>
    <w:link w:val="EndnoteText"/>
    <w:uiPriority w:val="98"/>
    <w:semiHidden/>
    <w:rsid w:val="003B592A"/>
    <w:rPr>
      <w:sz w:val="20"/>
      <w:szCs w:val="20"/>
      <w:lang w:val="en-GB"/>
    </w:rPr>
  </w:style>
  <w:style w:type="paragraph" w:styleId="EnvelopeAddress">
    <w:name w:val="envelope address"/>
    <w:basedOn w:val="Normal"/>
    <w:uiPriority w:val="98"/>
    <w:semiHidden/>
    <w:rsid w:val="003B59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B59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B592A"/>
    <w:rPr>
      <w:color w:val="7030A0" w:themeColor="followedHyperlink"/>
      <w:u w:val="single"/>
    </w:rPr>
  </w:style>
  <w:style w:type="character" w:styleId="HTMLAcronym">
    <w:name w:val="HTML Acronym"/>
    <w:basedOn w:val="DefaultParagraphFont"/>
    <w:uiPriority w:val="98"/>
    <w:semiHidden/>
    <w:rsid w:val="003B592A"/>
  </w:style>
  <w:style w:type="paragraph" w:styleId="HTMLAddress">
    <w:name w:val="HTML Address"/>
    <w:basedOn w:val="Normal"/>
    <w:link w:val="HTMLAddressChar"/>
    <w:uiPriority w:val="98"/>
    <w:semiHidden/>
    <w:rsid w:val="003B592A"/>
    <w:rPr>
      <w:i/>
      <w:iCs/>
    </w:rPr>
  </w:style>
  <w:style w:type="character" w:customStyle="1" w:styleId="HTMLAddressChar">
    <w:name w:val="HTML Address Char"/>
    <w:basedOn w:val="DefaultParagraphFont"/>
    <w:link w:val="HTMLAddress"/>
    <w:uiPriority w:val="98"/>
    <w:semiHidden/>
    <w:rsid w:val="003B592A"/>
    <w:rPr>
      <w:i/>
      <w:iCs/>
      <w:sz w:val="24"/>
      <w:szCs w:val="24"/>
      <w:lang w:val="en-GB"/>
    </w:rPr>
  </w:style>
  <w:style w:type="character" w:styleId="HTMLCite">
    <w:name w:val="HTML Cite"/>
    <w:basedOn w:val="DefaultParagraphFont"/>
    <w:uiPriority w:val="98"/>
    <w:semiHidden/>
    <w:rsid w:val="003B592A"/>
    <w:rPr>
      <w:i/>
      <w:iCs/>
    </w:rPr>
  </w:style>
  <w:style w:type="character" w:styleId="HTMLCode">
    <w:name w:val="HTML Code"/>
    <w:basedOn w:val="DefaultParagraphFont"/>
    <w:uiPriority w:val="98"/>
    <w:semiHidden/>
    <w:rsid w:val="003B592A"/>
    <w:rPr>
      <w:rFonts w:ascii="Consolas" w:hAnsi="Consolas" w:cs="Consolas"/>
      <w:sz w:val="20"/>
      <w:szCs w:val="20"/>
    </w:rPr>
  </w:style>
  <w:style w:type="character" w:styleId="HTMLDefinition">
    <w:name w:val="HTML Definition"/>
    <w:basedOn w:val="DefaultParagraphFont"/>
    <w:uiPriority w:val="98"/>
    <w:semiHidden/>
    <w:rsid w:val="003B592A"/>
    <w:rPr>
      <w:i/>
      <w:iCs/>
    </w:rPr>
  </w:style>
  <w:style w:type="character" w:styleId="HTMLKeyboard">
    <w:name w:val="HTML Keyboard"/>
    <w:basedOn w:val="DefaultParagraphFont"/>
    <w:uiPriority w:val="98"/>
    <w:semiHidden/>
    <w:rsid w:val="003B592A"/>
    <w:rPr>
      <w:rFonts w:ascii="Consolas" w:hAnsi="Consolas" w:cs="Consolas"/>
      <w:sz w:val="20"/>
      <w:szCs w:val="20"/>
    </w:rPr>
  </w:style>
  <w:style w:type="paragraph" w:styleId="HTMLPreformatted">
    <w:name w:val="HTML Preformatted"/>
    <w:basedOn w:val="Normal"/>
    <w:link w:val="HTMLPreformattedChar"/>
    <w:uiPriority w:val="98"/>
    <w:semiHidden/>
    <w:rsid w:val="003B59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B592A"/>
    <w:rPr>
      <w:rFonts w:ascii="Consolas" w:hAnsi="Consolas" w:cs="Consolas"/>
      <w:sz w:val="20"/>
      <w:szCs w:val="20"/>
      <w:lang w:val="en-GB"/>
    </w:rPr>
  </w:style>
  <w:style w:type="character" w:styleId="HTMLSample">
    <w:name w:val="HTML Sample"/>
    <w:basedOn w:val="DefaultParagraphFont"/>
    <w:uiPriority w:val="98"/>
    <w:semiHidden/>
    <w:rsid w:val="003B592A"/>
    <w:rPr>
      <w:rFonts w:ascii="Consolas" w:hAnsi="Consolas" w:cs="Consolas"/>
      <w:sz w:val="24"/>
      <w:szCs w:val="24"/>
    </w:rPr>
  </w:style>
  <w:style w:type="character" w:styleId="HTMLTypewriter">
    <w:name w:val="HTML Typewriter"/>
    <w:basedOn w:val="DefaultParagraphFont"/>
    <w:uiPriority w:val="98"/>
    <w:semiHidden/>
    <w:rsid w:val="003B592A"/>
    <w:rPr>
      <w:rFonts w:ascii="Consolas" w:hAnsi="Consolas" w:cs="Consolas"/>
      <w:sz w:val="20"/>
      <w:szCs w:val="20"/>
    </w:rPr>
  </w:style>
  <w:style w:type="character" w:styleId="HTMLVariable">
    <w:name w:val="HTML Variable"/>
    <w:basedOn w:val="DefaultParagraphFont"/>
    <w:uiPriority w:val="98"/>
    <w:semiHidden/>
    <w:rsid w:val="003B592A"/>
    <w:rPr>
      <w:i/>
      <w:iCs/>
    </w:rPr>
  </w:style>
  <w:style w:type="paragraph" w:styleId="Index1">
    <w:name w:val="index 1"/>
    <w:basedOn w:val="Normal"/>
    <w:next w:val="Normal"/>
    <w:autoRedefine/>
    <w:uiPriority w:val="98"/>
    <w:semiHidden/>
    <w:rsid w:val="003B592A"/>
    <w:pPr>
      <w:ind w:left="240" w:hanging="240"/>
    </w:pPr>
  </w:style>
  <w:style w:type="paragraph" w:styleId="Index2">
    <w:name w:val="index 2"/>
    <w:basedOn w:val="Normal"/>
    <w:next w:val="Normal"/>
    <w:autoRedefine/>
    <w:uiPriority w:val="98"/>
    <w:semiHidden/>
    <w:rsid w:val="003B592A"/>
    <w:pPr>
      <w:ind w:left="480" w:hanging="240"/>
    </w:pPr>
  </w:style>
  <w:style w:type="paragraph" w:styleId="Index3">
    <w:name w:val="index 3"/>
    <w:basedOn w:val="Normal"/>
    <w:next w:val="Normal"/>
    <w:autoRedefine/>
    <w:uiPriority w:val="98"/>
    <w:semiHidden/>
    <w:rsid w:val="003B592A"/>
    <w:pPr>
      <w:ind w:left="720" w:hanging="240"/>
    </w:pPr>
  </w:style>
  <w:style w:type="paragraph" w:styleId="Index4">
    <w:name w:val="index 4"/>
    <w:basedOn w:val="Normal"/>
    <w:next w:val="Normal"/>
    <w:autoRedefine/>
    <w:uiPriority w:val="98"/>
    <w:semiHidden/>
    <w:rsid w:val="003B592A"/>
    <w:pPr>
      <w:ind w:left="960" w:hanging="240"/>
    </w:pPr>
  </w:style>
  <w:style w:type="paragraph" w:styleId="Index5">
    <w:name w:val="index 5"/>
    <w:basedOn w:val="Normal"/>
    <w:next w:val="Normal"/>
    <w:autoRedefine/>
    <w:uiPriority w:val="98"/>
    <w:semiHidden/>
    <w:rsid w:val="003B592A"/>
    <w:pPr>
      <w:ind w:left="1200" w:hanging="240"/>
    </w:pPr>
  </w:style>
  <w:style w:type="paragraph" w:styleId="Index6">
    <w:name w:val="index 6"/>
    <w:basedOn w:val="Normal"/>
    <w:next w:val="Normal"/>
    <w:autoRedefine/>
    <w:uiPriority w:val="98"/>
    <w:semiHidden/>
    <w:rsid w:val="003B592A"/>
    <w:pPr>
      <w:ind w:left="1440" w:hanging="240"/>
    </w:pPr>
  </w:style>
  <w:style w:type="paragraph" w:styleId="Index7">
    <w:name w:val="index 7"/>
    <w:basedOn w:val="Normal"/>
    <w:next w:val="Normal"/>
    <w:autoRedefine/>
    <w:uiPriority w:val="98"/>
    <w:semiHidden/>
    <w:rsid w:val="003B592A"/>
    <w:pPr>
      <w:ind w:left="1680" w:hanging="240"/>
    </w:pPr>
  </w:style>
  <w:style w:type="paragraph" w:styleId="Index8">
    <w:name w:val="index 8"/>
    <w:basedOn w:val="Normal"/>
    <w:next w:val="Normal"/>
    <w:autoRedefine/>
    <w:uiPriority w:val="98"/>
    <w:semiHidden/>
    <w:rsid w:val="003B592A"/>
    <w:pPr>
      <w:ind w:left="1920" w:hanging="240"/>
    </w:pPr>
  </w:style>
  <w:style w:type="paragraph" w:styleId="Index9">
    <w:name w:val="index 9"/>
    <w:basedOn w:val="Normal"/>
    <w:next w:val="Normal"/>
    <w:autoRedefine/>
    <w:uiPriority w:val="98"/>
    <w:semiHidden/>
    <w:rsid w:val="003B592A"/>
    <w:pPr>
      <w:ind w:left="2160" w:hanging="240"/>
    </w:pPr>
  </w:style>
  <w:style w:type="paragraph" w:styleId="IndexHeading">
    <w:name w:val="index heading"/>
    <w:basedOn w:val="Normal"/>
    <w:next w:val="Index1"/>
    <w:uiPriority w:val="98"/>
    <w:semiHidden/>
    <w:rsid w:val="003B592A"/>
    <w:rPr>
      <w:rFonts w:asciiTheme="majorHAnsi" w:eastAsiaTheme="majorEastAsia" w:hAnsiTheme="majorHAnsi" w:cstheme="majorBidi"/>
      <w:b/>
      <w:bCs/>
    </w:rPr>
  </w:style>
  <w:style w:type="table" w:styleId="LightGrid">
    <w:name w:val="Light Grid"/>
    <w:basedOn w:val="TableNormal"/>
    <w:uiPriority w:val="62"/>
    <w:semiHidden/>
    <w:rsid w:val="003B59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B59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B59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B592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3B59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B59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B59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B59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B59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B59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B592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3B59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B59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B59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B59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B59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B59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B592A"/>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3B59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B59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B59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B592A"/>
  </w:style>
  <w:style w:type="paragraph" w:styleId="List">
    <w:name w:val="List"/>
    <w:basedOn w:val="Normal"/>
    <w:uiPriority w:val="98"/>
    <w:semiHidden/>
    <w:rsid w:val="003B592A"/>
    <w:pPr>
      <w:ind w:left="283" w:hanging="283"/>
      <w:contextualSpacing/>
    </w:pPr>
  </w:style>
  <w:style w:type="paragraph" w:styleId="List20">
    <w:name w:val="List 2"/>
    <w:basedOn w:val="Normal"/>
    <w:uiPriority w:val="98"/>
    <w:semiHidden/>
    <w:rsid w:val="003B592A"/>
    <w:pPr>
      <w:ind w:left="566" w:hanging="283"/>
      <w:contextualSpacing/>
    </w:pPr>
  </w:style>
  <w:style w:type="paragraph" w:styleId="List30">
    <w:name w:val="List 3"/>
    <w:basedOn w:val="Normal"/>
    <w:uiPriority w:val="98"/>
    <w:semiHidden/>
    <w:rsid w:val="003B592A"/>
    <w:pPr>
      <w:ind w:left="849" w:hanging="283"/>
      <w:contextualSpacing/>
    </w:pPr>
  </w:style>
  <w:style w:type="paragraph" w:styleId="List4">
    <w:name w:val="List 4"/>
    <w:basedOn w:val="Normal"/>
    <w:uiPriority w:val="98"/>
    <w:semiHidden/>
    <w:rsid w:val="003B592A"/>
    <w:pPr>
      <w:ind w:left="1132" w:hanging="283"/>
      <w:contextualSpacing/>
    </w:pPr>
  </w:style>
  <w:style w:type="paragraph" w:styleId="List5">
    <w:name w:val="List 5"/>
    <w:basedOn w:val="Normal"/>
    <w:uiPriority w:val="98"/>
    <w:semiHidden/>
    <w:rsid w:val="003B592A"/>
    <w:pPr>
      <w:ind w:left="1415" w:hanging="283"/>
      <w:contextualSpacing/>
    </w:pPr>
  </w:style>
  <w:style w:type="paragraph" w:styleId="ListBullet2">
    <w:name w:val="List Bullet 2"/>
    <w:basedOn w:val="Normal"/>
    <w:uiPriority w:val="98"/>
    <w:semiHidden/>
    <w:rsid w:val="003B592A"/>
    <w:pPr>
      <w:numPr>
        <w:numId w:val="9"/>
      </w:numPr>
      <w:contextualSpacing/>
    </w:pPr>
  </w:style>
  <w:style w:type="paragraph" w:styleId="ListBullet4">
    <w:name w:val="List Bullet 4"/>
    <w:basedOn w:val="Normal"/>
    <w:uiPriority w:val="98"/>
    <w:semiHidden/>
    <w:rsid w:val="003B592A"/>
    <w:pPr>
      <w:numPr>
        <w:numId w:val="11"/>
      </w:numPr>
      <w:contextualSpacing/>
    </w:pPr>
  </w:style>
  <w:style w:type="paragraph" w:styleId="ListBullet5">
    <w:name w:val="List Bullet 5"/>
    <w:basedOn w:val="Normal"/>
    <w:uiPriority w:val="98"/>
    <w:semiHidden/>
    <w:rsid w:val="003B592A"/>
    <w:pPr>
      <w:numPr>
        <w:numId w:val="12"/>
      </w:numPr>
      <w:contextualSpacing/>
    </w:pPr>
  </w:style>
  <w:style w:type="paragraph" w:styleId="ListContinue">
    <w:name w:val="List Continue"/>
    <w:basedOn w:val="Normal"/>
    <w:uiPriority w:val="98"/>
    <w:semiHidden/>
    <w:rsid w:val="003B592A"/>
    <w:pPr>
      <w:spacing w:after="120"/>
      <w:ind w:left="283"/>
      <w:contextualSpacing/>
    </w:pPr>
  </w:style>
  <w:style w:type="paragraph" w:styleId="ListContinue2">
    <w:name w:val="List Continue 2"/>
    <w:basedOn w:val="Normal"/>
    <w:uiPriority w:val="98"/>
    <w:semiHidden/>
    <w:rsid w:val="003B592A"/>
    <w:pPr>
      <w:spacing w:after="120"/>
      <w:ind w:left="566"/>
      <w:contextualSpacing/>
    </w:pPr>
  </w:style>
  <w:style w:type="paragraph" w:styleId="ListContinue3">
    <w:name w:val="List Continue 3"/>
    <w:basedOn w:val="Normal"/>
    <w:uiPriority w:val="98"/>
    <w:semiHidden/>
    <w:rsid w:val="003B592A"/>
    <w:pPr>
      <w:spacing w:after="120"/>
      <w:ind w:left="849"/>
      <w:contextualSpacing/>
    </w:pPr>
  </w:style>
  <w:style w:type="paragraph" w:styleId="ListContinue4">
    <w:name w:val="List Continue 4"/>
    <w:basedOn w:val="Normal"/>
    <w:uiPriority w:val="98"/>
    <w:semiHidden/>
    <w:rsid w:val="003B592A"/>
    <w:pPr>
      <w:spacing w:after="120"/>
      <w:ind w:left="1132"/>
      <w:contextualSpacing/>
    </w:pPr>
  </w:style>
  <w:style w:type="paragraph" w:styleId="ListContinue5">
    <w:name w:val="List Continue 5"/>
    <w:basedOn w:val="Normal"/>
    <w:uiPriority w:val="98"/>
    <w:semiHidden/>
    <w:rsid w:val="003B592A"/>
    <w:pPr>
      <w:spacing w:after="120"/>
      <w:ind w:left="1415"/>
      <w:contextualSpacing/>
    </w:pPr>
  </w:style>
  <w:style w:type="paragraph" w:styleId="ListNumber">
    <w:name w:val="List Number"/>
    <w:basedOn w:val="Normal"/>
    <w:uiPriority w:val="98"/>
    <w:semiHidden/>
    <w:rsid w:val="003B592A"/>
    <w:pPr>
      <w:numPr>
        <w:numId w:val="13"/>
      </w:numPr>
      <w:contextualSpacing/>
    </w:pPr>
  </w:style>
  <w:style w:type="paragraph" w:styleId="ListNumber2">
    <w:name w:val="List Number 2"/>
    <w:basedOn w:val="Normal"/>
    <w:uiPriority w:val="98"/>
    <w:semiHidden/>
    <w:rsid w:val="003B592A"/>
    <w:pPr>
      <w:numPr>
        <w:numId w:val="14"/>
      </w:numPr>
      <w:contextualSpacing/>
    </w:pPr>
  </w:style>
  <w:style w:type="paragraph" w:styleId="ListNumber3">
    <w:name w:val="List Number 3"/>
    <w:basedOn w:val="Normal"/>
    <w:uiPriority w:val="98"/>
    <w:semiHidden/>
    <w:rsid w:val="003B592A"/>
    <w:pPr>
      <w:numPr>
        <w:numId w:val="15"/>
      </w:numPr>
      <w:contextualSpacing/>
    </w:pPr>
  </w:style>
  <w:style w:type="paragraph" w:styleId="ListNumber4">
    <w:name w:val="List Number 4"/>
    <w:basedOn w:val="Normal"/>
    <w:uiPriority w:val="98"/>
    <w:semiHidden/>
    <w:rsid w:val="003B592A"/>
    <w:pPr>
      <w:numPr>
        <w:numId w:val="16"/>
      </w:numPr>
      <w:contextualSpacing/>
    </w:pPr>
  </w:style>
  <w:style w:type="paragraph" w:styleId="ListNumber5">
    <w:name w:val="List Number 5"/>
    <w:basedOn w:val="Normal"/>
    <w:uiPriority w:val="98"/>
    <w:semiHidden/>
    <w:rsid w:val="003B592A"/>
    <w:pPr>
      <w:numPr>
        <w:numId w:val="17"/>
      </w:numPr>
      <w:contextualSpacing/>
    </w:pPr>
  </w:style>
  <w:style w:type="paragraph" w:styleId="Macro">
    <w:name w:val="macro"/>
    <w:link w:val="MacroTextChar"/>
    <w:uiPriority w:val="98"/>
    <w:semiHidden/>
    <w:rsid w:val="003B59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3B592A"/>
    <w:rPr>
      <w:rFonts w:ascii="Consolas" w:hAnsi="Consolas" w:eastAsiaTheme="minorEastAsia" w:cs="Consolas"/>
      <w:sz w:val="20"/>
      <w:szCs w:val="20"/>
    </w:rPr>
  </w:style>
  <w:style w:type="table" w:styleId="MediumGrid1">
    <w:name w:val="Medium Grid 1"/>
    <w:basedOn w:val="TableNormal"/>
    <w:uiPriority w:val="67"/>
    <w:semiHidden/>
    <w:rsid w:val="003B59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B59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B59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B592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3B59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B59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B59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B59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3B59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3B59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3B592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3B59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3B59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3B59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3B592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3B592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B592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B592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3B592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B592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B592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3B59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B59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B59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B592A"/>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3B59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B59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B59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B59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B59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B59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B592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B59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B59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B59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3B59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B59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B59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B592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B59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B59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B59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B59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B59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B59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B59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B59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B59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B59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B59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B59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B592A"/>
    <w:rPr>
      <w:rFonts w:ascii="Times New Roman" w:hAnsi="Times New Roman" w:cs="Times New Roman"/>
    </w:rPr>
  </w:style>
  <w:style w:type="paragraph" w:styleId="NormalIndent">
    <w:name w:val="Normal Indent"/>
    <w:basedOn w:val="Normal"/>
    <w:uiPriority w:val="98"/>
    <w:semiHidden/>
    <w:rsid w:val="003B592A"/>
    <w:pPr>
      <w:ind w:left="720"/>
    </w:pPr>
  </w:style>
  <w:style w:type="paragraph" w:styleId="NoteHeading">
    <w:name w:val="Note Heading"/>
    <w:basedOn w:val="Normal"/>
    <w:next w:val="Normal"/>
    <w:link w:val="NoteHeadingChar"/>
    <w:uiPriority w:val="98"/>
    <w:semiHidden/>
    <w:rsid w:val="003B592A"/>
  </w:style>
  <w:style w:type="character" w:customStyle="1" w:styleId="NoteHeadingChar">
    <w:name w:val="Note Heading Char"/>
    <w:basedOn w:val="DefaultParagraphFont"/>
    <w:link w:val="NoteHeading"/>
    <w:uiPriority w:val="98"/>
    <w:semiHidden/>
    <w:rsid w:val="003B592A"/>
    <w:rPr>
      <w:sz w:val="24"/>
      <w:szCs w:val="24"/>
      <w:lang w:val="en-GB"/>
    </w:rPr>
  </w:style>
  <w:style w:type="character" w:styleId="PlaceholderText">
    <w:name w:val="Placeholder Text"/>
    <w:basedOn w:val="DefaultParagraphFont"/>
    <w:uiPriority w:val="98"/>
    <w:semiHidden/>
    <w:rsid w:val="003B592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B592A"/>
    <w:rPr>
      <w:rFonts w:ascii="Consolas" w:hAnsi="Consolas" w:cs="Consolas"/>
      <w:sz w:val="21"/>
      <w:szCs w:val="21"/>
    </w:rPr>
  </w:style>
  <w:style w:type="character" w:customStyle="1" w:styleId="PlainTextChar">
    <w:name w:val="Plain Text Char"/>
    <w:basedOn w:val="DefaultParagraphFont"/>
    <w:link w:val="PlainText"/>
    <w:uiPriority w:val="98"/>
    <w:semiHidden/>
    <w:rsid w:val="003B592A"/>
    <w:rPr>
      <w:rFonts w:ascii="Consolas" w:hAnsi="Consolas" w:cs="Consolas"/>
      <w:sz w:val="21"/>
      <w:szCs w:val="21"/>
      <w:lang w:val="en-GB"/>
    </w:rPr>
  </w:style>
  <w:style w:type="paragraph" w:styleId="Salutation">
    <w:name w:val="Salutation"/>
    <w:basedOn w:val="Normal"/>
    <w:next w:val="Normal"/>
    <w:link w:val="SalutationChar"/>
    <w:uiPriority w:val="98"/>
    <w:semiHidden/>
    <w:rsid w:val="003B592A"/>
  </w:style>
  <w:style w:type="character" w:customStyle="1" w:styleId="SalutationChar">
    <w:name w:val="Salutation Char"/>
    <w:basedOn w:val="DefaultParagraphFont"/>
    <w:link w:val="Salutation"/>
    <w:uiPriority w:val="98"/>
    <w:semiHidden/>
    <w:rsid w:val="003B592A"/>
    <w:rPr>
      <w:sz w:val="24"/>
      <w:szCs w:val="24"/>
      <w:lang w:val="en-GB"/>
    </w:rPr>
  </w:style>
  <w:style w:type="paragraph" w:styleId="Signature0">
    <w:name w:val="Signature"/>
    <w:basedOn w:val="Normal"/>
    <w:link w:val="SignatureChar"/>
    <w:uiPriority w:val="98"/>
    <w:semiHidden/>
    <w:rsid w:val="003B592A"/>
    <w:pPr>
      <w:ind w:left="4252"/>
    </w:pPr>
  </w:style>
  <w:style w:type="character" w:customStyle="1" w:styleId="SignatureChar">
    <w:name w:val="Signature Char"/>
    <w:basedOn w:val="DefaultParagraphFont"/>
    <w:link w:val="Signature0"/>
    <w:uiPriority w:val="98"/>
    <w:semiHidden/>
    <w:rsid w:val="003B592A"/>
    <w:rPr>
      <w:sz w:val="24"/>
      <w:szCs w:val="24"/>
      <w:lang w:val="en-GB"/>
    </w:rPr>
  </w:style>
  <w:style w:type="table" w:styleId="Table3Deffects1">
    <w:name w:val="Table 3D effects 1"/>
    <w:basedOn w:val="TableNormal"/>
    <w:uiPriority w:val="99"/>
    <w:semiHidden/>
    <w:unhideWhenUsed/>
    <w:rsid w:val="003B59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B59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B59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B59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B59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B59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B59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B59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B59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B59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B59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B59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B59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B59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B59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B59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B59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B59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B59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B59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B59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B59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B59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B59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B59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B59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B59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B59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B59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B59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B59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B59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B59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B592A"/>
    <w:pPr>
      <w:ind w:left="240" w:hanging="240"/>
    </w:pPr>
  </w:style>
  <w:style w:type="paragraph" w:styleId="TableofFigures">
    <w:name w:val="table of figures"/>
    <w:basedOn w:val="Normal"/>
    <w:next w:val="Normal"/>
    <w:uiPriority w:val="98"/>
    <w:semiHidden/>
    <w:rsid w:val="003B592A"/>
  </w:style>
  <w:style w:type="table" w:styleId="TableProfessional">
    <w:name w:val="Table Professional"/>
    <w:basedOn w:val="TableNormal"/>
    <w:uiPriority w:val="99"/>
    <w:semiHidden/>
    <w:unhideWhenUsed/>
    <w:rsid w:val="003B59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B59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B59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B59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B59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B59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B59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B59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B59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B59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B59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B59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B592A"/>
    <w:pPr>
      <w:spacing w:after="100"/>
      <w:ind w:left="1680"/>
    </w:pPr>
  </w:style>
  <w:style w:type="paragraph" w:styleId="TOC9">
    <w:name w:val="toc 9"/>
    <w:basedOn w:val="Normal"/>
    <w:next w:val="Normal"/>
    <w:autoRedefine/>
    <w:uiPriority w:val="98"/>
    <w:semiHidden/>
    <w:rsid w:val="003B592A"/>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3B592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B592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B592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3B592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B592A"/>
    <w:pPr>
      <w:numPr>
        <w:numId w:val="18"/>
      </w:numPr>
      <w:spacing w:before="60" w:after="60"/>
    </w:pPr>
  </w:style>
  <w:style w:type="paragraph" w:customStyle="1" w:styleId="ECHRBullet2">
    <w:name w:val="ECHR_Bullet_2"/>
    <w:aliases w:val="_Bul_2"/>
    <w:basedOn w:val="ECHRBullet1"/>
    <w:uiPriority w:val="23"/>
    <w:semiHidden/>
    <w:rsid w:val="003B592A"/>
    <w:pPr>
      <w:numPr>
        <w:ilvl w:val="1"/>
      </w:numPr>
    </w:pPr>
  </w:style>
  <w:style w:type="paragraph" w:customStyle="1" w:styleId="ECHRBullet3">
    <w:name w:val="ECHR_Bullet_3"/>
    <w:aliases w:val="_Bul_3"/>
    <w:basedOn w:val="ECHRBullet2"/>
    <w:uiPriority w:val="23"/>
    <w:semiHidden/>
    <w:rsid w:val="003B592A"/>
    <w:pPr>
      <w:numPr>
        <w:ilvl w:val="2"/>
      </w:numPr>
    </w:pPr>
  </w:style>
  <w:style w:type="paragraph" w:customStyle="1" w:styleId="ECHRBullet4">
    <w:name w:val="ECHR_Bullet_4"/>
    <w:aliases w:val="_Bul_4"/>
    <w:basedOn w:val="ECHRBullet3"/>
    <w:uiPriority w:val="23"/>
    <w:semiHidden/>
    <w:rsid w:val="003B592A"/>
    <w:pPr>
      <w:numPr>
        <w:ilvl w:val="3"/>
      </w:numPr>
    </w:pPr>
  </w:style>
  <w:style w:type="paragraph" w:customStyle="1" w:styleId="ECHRConfidential">
    <w:name w:val="ECHR_Confidential"/>
    <w:aliases w:val="_Confidential"/>
    <w:basedOn w:val="Normal"/>
    <w:next w:val="Normal"/>
    <w:uiPriority w:val="42"/>
    <w:semiHidden/>
    <w:qFormat/>
    <w:rsid w:val="003B592A"/>
    <w:pPr>
      <w:jc w:val="right"/>
    </w:pPr>
    <w:rPr>
      <w:color w:val="C00000"/>
      <w:sz w:val="20"/>
    </w:rPr>
  </w:style>
  <w:style w:type="paragraph" w:customStyle="1" w:styleId="ECHRDecisionBody">
    <w:name w:val="ECHR_Decision_Body"/>
    <w:aliases w:val="_Decision_Body"/>
    <w:basedOn w:val="NormalJustified"/>
    <w:uiPriority w:val="54"/>
    <w:semiHidden/>
    <w:rsid w:val="003B59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B59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B59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B592A"/>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3B592A"/>
    <w:pPr>
      <w:jc w:val="right"/>
    </w:pPr>
    <w:rPr>
      <w:sz w:val="20"/>
    </w:rPr>
  </w:style>
  <w:style w:type="paragraph" w:customStyle="1" w:styleId="ECHRHeaderRefIt">
    <w:name w:val="ECHR_Header_Ref_It"/>
    <w:aliases w:val="_Ref_Ital"/>
    <w:basedOn w:val="Normal"/>
    <w:next w:val="ECHRHeaderDate"/>
    <w:uiPriority w:val="43"/>
    <w:semiHidden/>
    <w:qFormat/>
    <w:rsid w:val="003B592A"/>
    <w:pPr>
      <w:jc w:val="right"/>
    </w:pPr>
    <w:rPr>
      <w:i/>
      <w:sz w:val="20"/>
    </w:rPr>
  </w:style>
  <w:style w:type="paragraph" w:customStyle="1" w:styleId="ECHRHeading9">
    <w:name w:val="ECHR_Heading_9"/>
    <w:aliases w:val="_Head_9"/>
    <w:basedOn w:val="Heading9"/>
    <w:uiPriority w:val="17"/>
    <w:semiHidden/>
    <w:rsid w:val="003B592A"/>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B592A"/>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B592A"/>
    <w:pPr>
      <w:numPr>
        <w:numId w:val="19"/>
      </w:numPr>
      <w:spacing w:before="60" w:after="60"/>
    </w:pPr>
  </w:style>
  <w:style w:type="paragraph" w:customStyle="1" w:styleId="ECHRNumberedList2">
    <w:name w:val="ECHR_Numbered_List_2"/>
    <w:aliases w:val="_Num_2"/>
    <w:basedOn w:val="ECHRNumberedList1"/>
    <w:uiPriority w:val="23"/>
    <w:semiHidden/>
    <w:rsid w:val="003B592A"/>
    <w:pPr>
      <w:numPr>
        <w:ilvl w:val="1"/>
      </w:numPr>
    </w:pPr>
  </w:style>
  <w:style w:type="paragraph" w:customStyle="1" w:styleId="ECHRNumberedList3">
    <w:name w:val="ECHR_Numbered_List_3"/>
    <w:aliases w:val="_Num_3"/>
    <w:basedOn w:val="ECHRNumberedList2"/>
    <w:uiPriority w:val="23"/>
    <w:semiHidden/>
    <w:rsid w:val="003B592A"/>
    <w:pPr>
      <w:numPr>
        <w:ilvl w:val="2"/>
      </w:numPr>
    </w:pPr>
  </w:style>
  <w:style w:type="paragraph" w:customStyle="1" w:styleId="ECHRParaHanging">
    <w:name w:val="ECHR_Para_Hanging"/>
    <w:aliases w:val="_Hanging"/>
    <w:basedOn w:val="NormalJustified"/>
    <w:uiPriority w:val="8"/>
    <w:semiHidden/>
    <w:qFormat/>
    <w:rsid w:val="003B592A"/>
    <w:pPr>
      <w:ind w:left="567" w:hanging="567"/>
    </w:pPr>
  </w:style>
  <w:style w:type="paragraph" w:customStyle="1" w:styleId="ECHRParaIndent">
    <w:name w:val="ECHR_Para_Indent"/>
    <w:aliases w:val="_Indent"/>
    <w:basedOn w:val="NormalJustified"/>
    <w:uiPriority w:val="7"/>
    <w:semiHidden/>
    <w:qFormat/>
    <w:rsid w:val="003B592A"/>
    <w:pPr>
      <w:spacing w:before="120" w:after="120"/>
      <w:ind w:left="284"/>
    </w:pPr>
  </w:style>
  <w:style w:type="character" w:customStyle="1" w:styleId="ECHRRed">
    <w:name w:val="ECHR_Red"/>
    <w:aliases w:val="_Red"/>
    <w:basedOn w:val="DefaultParagraphFont"/>
    <w:uiPriority w:val="15"/>
    <w:semiHidden/>
    <w:qFormat/>
    <w:rsid w:val="003B592A"/>
    <w:rPr>
      <w:color w:val="C00000" w:themeColor="accent2"/>
    </w:rPr>
  </w:style>
  <w:style w:type="paragraph" w:customStyle="1" w:styleId="DecList">
    <w:name w:val="Dec_List"/>
    <w:aliases w:val="_List"/>
    <w:basedOn w:val="JuList"/>
    <w:uiPriority w:val="22"/>
    <w:rsid w:val="003B592A"/>
    <w:pPr>
      <w:numPr>
        <w:numId w:val="0"/>
      </w:numPr>
      <w:ind w:left="284"/>
    </w:pPr>
  </w:style>
  <w:style w:type="table" w:customStyle="1" w:styleId="ECHRTable2">
    <w:name w:val="ECHR_Table_2"/>
    <w:basedOn w:val="TableNormal"/>
    <w:uiPriority w:val="99"/>
    <w:rsid w:val="003B59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B592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3B592A"/>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3B592A"/>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3B592A"/>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3B592A"/>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3B592A"/>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3B592A"/>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3B592A"/>
    <w:pPr>
      <w:outlineLvl w:val="0"/>
    </w:pPr>
  </w:style>
  <w:style w:type="paragraph" w:customStyle="1" w:styleId="ECHRTitleTOC1">
    <w:name w:val="ECHR_Title_TOC_1"/>
    <w:aliases w:val="_Title_L_TOC"/>
    <w:basedOn w:val="ECHRTitle1"/>
    <w:next w:val="Normal"/>
    <w:uiPriority w:val="27"/>
    <w:semiHidden/>
    <w:qFormat/>
    <w:rsid w:val="003B592A"/>
    <w:pPr>
      <w:outlineLvl w:val="0"/>
    </w:pPr>
  </w:style>
  <w:style w:type="paragraph" w:customStyle="1" w:styleId="ECHRPlaceholder">
    <w:name w:val="ECHR_Placeholder"/>
    <w:aliases w:val="_Placeholder"/>
    <w:basedOn w:val="JuSigned"/>
    <w:uiPriority w:val="31"/>
    <w:rsid w:val="003B592A"/>
    <w:rPr>
      <w:color w:val="FFFFFF"/>
    </w:rPr>
  </w:style>
  <w:style w:type="paragraph" w:customStyle="1" w:styleId="ECHRSpacer">
    <w:name w:val="ECHR_Spacer"/>
    <w:aliases w:val="_Spacer"/>
    <w:basedOn w:val="Normal"/>
    <w:uiPriority w:val="45"/>
    <w:semiHidden/>
    <w:rsid w:val="003B592A"/>
    <w:rPr>
      <w:sz w:val="4"/>
    </w:rPr>
  </w:style>
  <w:style w:type="table" w:customStyle="1" w:styleId="ECHRTableGrey">
    <w:name w:val="ECHR_Table_Grey"/>
    <w:basedOn w:val="TableNormal"/>
    <w:uiPriority w:val="99"/>
    <w:rsid w:val="003B592A"/>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3B592A"/>
    <w:rPr>
      <w:color w:val="605E5C"/>
      <w:shd w:val="clear" w:color="auto" w:fill="E1DFDD"/>
    </w:rPr>
  </w:style>
  <w:style w:type="character" w:customStyle="1" w:styleId="JuParaChar">
    <w:name w:val="Ju_Para Char"/>
    <w:aliases w:val="_Para Char"/>
    <w:link w:val="JuPara"/>
    <w:uiPriority w:val="4"/>
    <w:rsid w:val="00CE63B8"/>
    <w:rPr>
      <w:sz w:val="24"/>
      <w:szCs w:val="24"/>
      <w:lang w:val="en-GB"/>
    </w:rPr>
  </w:style>
  <w:style w:type="table" w:styleId="GridTable1Light">
    <w:name w:val="Grid Table 1 Light"/>
    <w:basedOn w:val="TableNormal"/>
    <w:uiPriority w:val="46"/>
    <w:semiHidden/>
    <w:rsid w:val="003B59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3B592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3B592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3B592A"/>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3B592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3B592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3B592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3B592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3B592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3B592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3B592A"/>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3B592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3B592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3B592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3B592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3B592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3B592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3B592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3B592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3B592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3B592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3B592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3B592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3B592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3B592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3B592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3B592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3B592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3B592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3B592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3B592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3B592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3B592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3B592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3B592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3B592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3B592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3B592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3B592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3B592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3B592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3B592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3B592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3B592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3B592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3B592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3B592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3B592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3B592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3B592A"/>
    <w:rPr>
      <w:color w:val="2B579A"/>
      <w:shd w:val="clear" w:color="auto" w:fill="E1DFDD"/>
    </w:rPr>
  </w:style>
  <w:style w:type="table" w:styleId="ListTable1Light">
    <w:name w:val="List Table 1 Light"/>
    <w:basedOn w:val="TableNormal"/>
    <w:uiPriority w:val="46"/>
    <w:semiHidden/>
    <w:rsid w:val="003B592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3B592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3B592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3B592A"/>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3B592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3B592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3B592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3B592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3B592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3B592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3B592A"/>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3B592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3B592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3B592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3B592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3B592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3B592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3B592A"/>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3B592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3B592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3B592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3B592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3B592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3B592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3B592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3B592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3B592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3B592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3B592A"/>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3B592A"/>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3B592A"/>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3B592A"/>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3B592A"/>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3B592A"/>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3B592A"/>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3B592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3B592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3B592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3B592A"/>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3B592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3B592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3B592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3B592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3B592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3B592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3B592A"/>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3B592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3B592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3B592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3B592A"/>
    <w:rPr>
      <w:color w:val="2B579A"/>
      <w:shd w:val="clear" w:color="auto" w:fill="E1DFDD"/>
    </w:rPr>
  </w:style>
  <w:style w:type="table" w:styleId="PlainTable1">
    <w:name w:val="Plain Table 1"/>
    <w:basedOn w:val="TableNormal"/>
    <w:uiPriority w:val="41"/>
    <w:semiHidden/>
    <w:rsid w:val="003B592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3B59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3B592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3B592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3B592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3B592A"/>
    <w:rPr>
      <w:u w:val="dotted"/>
    </w:rPr>
  </w:style>
  <w:style w:type="character" w:styleId="SmartLink">
    <w:name w:val="Smart Link"/>
    <w:basedOn w:val="DefaultParagraphFont"/>
    <w:uiPriority w:val="99"/>
    <w:semiHidden/>
    <w:unhideWhenUsed/>
    <w:rsid w:val="003B592A"/>
    <w:rPr>
      <w:color w:val="0000FF"/>
      <w:u w:val="single"/>
      <w:shd w:val="clear" w:color="auto" w:fill="F3F2F1"/>
    </w:rPr>
  </w:style>
  <w:style w:type="table" w:styleId="GridTableLight">
    <w:name w:val="Grid Table Light"/>
    <w:basedOn w:val="TableNormal"/>
    <w:uiPriority w:val="40"/>
    <w:semiHidden/>
    <w:rsid w:val="003B592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2478</Words>
  <Characters>14202</Characters>
  <Application>Microsoft Office Word</Application>
  <DocSecurity>0</DocSecurity>
  <Lines>284</Lines>
  <Paragraphs>91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2025-11-26T13:55:00Z</dcterms:created>
  <dcterms:modified xsi:type="dcterms:W3CDTF">2025-11-26T13:56:00Z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1500454</vt:lpwstr>
  </property>
  <property fmtid="{D5CDD505-2E9C-101B-9397-08002B2CF9AE}" pid="3" name="cstLanguage">
    <vt:i4>2057</vt:i4>
  </property>
  <property fmtid="{D5CDD505-2E9C-101B-9397-08002B2CF9AE}" pid="4" name="RegisteredNo">
    <vt:lpwstr>62466/19</vt:lpwstr>
  </property>
</Properties>
</file>