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0DB7D" w14:textId="77777777" w:rsidR="00F44AFD" w:rsidRDefault="00F44AFD" w:rsidP="009F2E24">
      <w:pPr>
        <w:jc w:val="center"/>
        <w:rPr>
          <w:rFonts w:ascii="Times New Roman" w:hAnsi="Times New Roman" w:cs="Times New Roman"/>
          <w:noProof/>
        </w:rPr>
      </w:pPr>
    </w:p>
    <w:p w14:paraId="23BDDE45" w14:textId="77777777" w:rsidR="00126A05" w:rsidRPr="009F2E24" w:rsidRDefault="00126A05" w:rsidP="009F2E24">
      <w:pPr>
        <w:jc w:val="center"/>
        <w:rPr>
          <w:rFonts w:ascii="Times New Roman" w:hAnsi="Times New Roman" w:cs="Times New Roman"/>
          <w:noProof/>
        </w:rPr>
      </w:pPr>
    </w:p>
    <w:p w14:paraId="2B5144D8" w14:textId="78BA3480" w:rsidR="0098410D" w:rsidRPr="009F2E24" w:rsidRDefault="00902BEF" w:rsidP="00902BEF">
      <w:pPr>
        <w:pStyle w:val="DecHTitle"/>
      </w:pPr>
      <w:r>
        <w:t>EUROPEJSKI TRYBUNAŁ PRAW CZŁOWIEKA</w:t>
      </w:r>
    </w:p>
    <w:p w14:paraId="67CAE4D0" w14:textId="77777777" w:rsidR="0098410D" w:rsidRPr="009F2E24" w:rsidRDefault="006B1575" w:rsidP="009F2E24">
      <w:pPr>
        <w:pStyle w:val="DecHTitle"/>
      </w:pPr>
      <w:r>
        <w:t>SEKCJA PIERWSZA</w:t>
      </w:r>
    </w:p>
    <w:p w14:paraId="6DB8F14D" w14:textId="77777777" w:rsidR="008E6217" w:rsidRPr="009F2E24" w:rsidRDefault="006B1575" w:rsidP="009F2E24">
      <w:pPr>
        <w:pStyle w:val="JuTitle"/>
      </w:pPr>
      <w:r>
        <w:t>SPRAWA A.G.-Ś. przeciwko POLSCE</w:t>
      </w:r>
    </w:p>
    <w:p w14:paraId="6B0E0CD5" w14:textId="77777777" w:rsidR="00D74888" w:rsidRPr="009F2E24" w:rsidRDefault="006B1575" w:rsidP="009F2E24">
      <w:pPr>
        <w:pStyle w:val="ECHRCoverTitle4"/>
      </w:pPr>
      <w:r>
        <w:t>(skarga nr 10685/18)</w:t>
      </w:r>
    </w:p>
    <w:p w14:paraId="150F3CF2" w14:textId="77777777" w:rsidR="0098410D" w:rsidRPr="009F2E24" w:rsidRDefault="0098410D" w:rsidP="009F2E24">
      <w:pPr>
        <w:pStyle w:val="DecHCase"/>
      </w:pPr>
    </w:p>
    <w:p w14:paraId="04A1C33E" w14:textId="77777777" w:rsidR="0054716E" w:rsidRPr="009F2E24" w:rsidRDefault="0054716E" w:rsidP="009F2E24">
      <w:pPr>
        <w:pStyle w:val="DecHCase"/>
      </w:pPr>
    </w:p>
    <w:p w14:paraId="4CCBE542" w14:textId="77777777" w:rsidR="0054716E" w:rsidRPr="009F2E24" w:rsidRDefault="0054716E" w:rsidP="009F2E24">
      <w:pPr>
        <w:pStyle w:val="DecHCase"/>
      </w:pPr>
    </w:p>
    <w:p w14:paraId="4526F69C" w14:textId="77777777" w:rsidR="0098410D" w:rsidRPr="009F2E24" w:rsidRDefault="0098410D" w:rsidP="009F2E24">
      <w:pPr>
        <w:pStyle w:val="DecHCase"/>
      </w:pPr>
    </w:p>
    <w:p w14:paraId="02CF8C27" w14:textId="77777777" w:rsidR="00AC4CD4" w:rsidRPr="009F2E24" w:rsidRDefault="00AC4CD4" w:rsidP="009F2E24">
      <w:pPr>
        <w:pStyle w:val="DecHCase"/>
      </w:pPr>
    </w:p>
    <w:p w14:paraId="6F406099" w14:textId="77777777" w:rsidR="0098410D" w:rsidRPr="009F2E24" w:rsidRDefault="0098410D" w:rsidP="009F2E24">
      <w:pPr>
        <w:pStyle w:val="DecHCase"/>
      </w:pPr>
    </w:p>
    <w:p w14:paraId="13C6C2C6" w14:textId="77777777" w:rsidR="0098410D" w:rsidRPr="009F2E24" w:rsidRDefault="006B1575" w:rsidP="009F2E24">
      <w:pPr>
        <w:pStyle w:val="DecHCase"/>
      </w:pPr>
      <w:r>
        <w:t>WYROK</w:t>
      </w:r>
      <w:r>
        <w:br/>
      </w:r>
    </w:p>
    <w:p w14:paraId="4B2AF3C8" w14:textId="77777777" w:rsidR="0098410D" w:rsidRPr="009F2E24" w:rsidRDefault="006B1575" w:rsidP="009F2E24">
      <w:pPr>
        <w:pStyle w:val="DecHCase"/>
      </w:pPr>
      <w:r>
        <w:t>STRASBURG</w:t>
      </w:r>
    </w:p>
    <w:p w14:paraId="49D70EEE" w14:textId="77777777" w:rsidR="0098410D" w:rsidRPr="009F2E24" w:rsidRDefault="006B1575" w:rsidP="009F2E24">
      <w:pPr>
        <w:pStyle w:val="DecHCase"/>
      </w:pPr>
      <w:r>
        <w:rPr>
          <w:rFonts w:ascii="Times New Roman" w:hAnsi="Times New Roman"/>
        </w:rPr>
        <w:t>13 listopada 2025 r.</w:t>
      </w:r>
    </w:p>
    <w:p w14:paraId="5A64A10B" w14:textId="77777777" w:rsidR="00AC4CD4" w:rsidRPr="009F2E24" w:rsidRDefault="00AC4CD4" w:rsidP="009F2E24">
      <w:pPr>
        <w:pStyle w:val="JuPara"/>
      </w:pPr>
    </w:p>
    <w:p w14:paraId="61830201" w14:textId="77777777" w:rsidR="002422B6" w:rsidRPr="009F2E24" w:rsidRDefault="006B1575" w:rsidP="009F2E24">
      <w:pPr>
        <w:jc w:val="center"/>
        <w:rPr>
          <w:i/>
          <w:sz w:val="22"/>
        </w:rPr>
      </w:pPr>
      <w:r>
        <w:rPr>
          <w:i/>
          <w:sz w:val="22"/>
        </w:rPr>
        <w:t>Wyrok jest ostateczny, ale może podlegać korekcie wydawniczej.</w:t>
      </w:r>
    </w:p>
    <w:p w14:paraId="79F0C67D" w14:textId="77777777" w:rsidR="0098410D" w:rsidRPr="009F2E24" w:rsidRDefault="0098410D" w:rsidP="009F2E24">
      <w:pPr>
        <w:sectPr w:rsidR="0098410D" w:rsidRPr="009F2E24"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4FB995B" w14:textId="77777777" w:rsidR="0098410D" w:rsidRPr="009F2E24" w:rsidRDefault="006B1575" w:rsidP="009F2E24">
      <w:pPr>
        <w:pStyle w:val="JuCase"/>
      </w:pPr>
      <w:r>
        <w:lastRenderedPageBreak/>
        <w:t>W sprawie A.G.-Ś. przeciwko POLSCE</w:t>
      </w:r>
    </w:p>
    <w:p w14:paraId="6336F9EB" w14:textId="42CA9C35" w:rsidR="009F4C8F" w:rsidRPr="009F2E24" w:rsidRDefault="006B1575" w:rsidP="009F2E24">
      <w:pPr>
        <w:pStyle w:val="JuPara"/>
      </w:pPr>
      <w:r>
        <w:t>Europejski Trybunał Praw Człowieka (</w:t>
      </w:r>
      <w:r w:rsidR="00C70F23">
        <w:t xml:space="preserve">Sekcja </w:t>
      </w:r>
      <w:r>
        <w:t>Czwarta), zasiadając jako Komitet w składzie:</w:t>
      </w:r>
    </w:p>
    <w:p w14:paraId="4F1E9F9C" w14:textId="71D76329" w:rsidR="00A92625" w:rsidRPr="009F2E24" w:rsidRDefault="006B1575" w:rsidP="009F2E24">
      <w:pPr>
        <w:pStyle w:val="JuJudges"/>
      </w:pPr>
      <w:r>
        <w:tab/>
      </w:r>
      <w:proofErr w:type="spellStart"/>
      <w:r>
        <w:t>Davor</w:t>
      </w:r>
      <w:proofErr w:type="spellEnd"/>
      <w:r>
        <w:t xml:space="preserve"> </w:t>
      </w:r>
      <w:proofErr w:type="spellStart"/>
      <w:r>
        <w:t>Derenčinović</w:t>
      </w:r>
      <w:proofErr w:type="spellEnd"/>
      <w:r>
        <w:rPr>
          <w:i/>
        </w:rPr>
        <w:t>, Przewodniczący</w:t>
      </w:r>
      <w:r>
        <w:t>,</w:t>
      </w:r>
      <w:r>
        <w:br/>
      </w:r>
      <w:r>
        <w:tab/>
      </w:r>
      <w:proofErr w:type="spellStart"/>
      <w:r>
        <w:t>Artūrs</w:t>
      </w:r>
      <w:proofErr w:type="spellEnd"/>
      <w:r>
        <w:t xml:space="preserve"> </w:t>
      </w:r>
      <w:proofErr w:type="spellStart"/>
      <w:r>
        <w:t>Kučs</w:t>
      </w:r>
      <w:proofErr w:type="spellEnd"/>
      <w:r>
        <w:t>,</w:t>
      </w:r>
      <w:r>
        <w:br/>
      </w:r>
      <w:r>
        <w:tab/>
        <w:t>Anna Adamska-Gallant</w:t>
      </w:r>
      <w:r>
        <w:rPr>
          <w:i/>
        </w:rPr>
        <w:t>, sędziowie</w:t>
      </w:r>
      <w:r>
        <w:t>,</w:t>
      </w:r>
      <w:r>
        <w:br/>
        <w:t xml:space="preserve">i </w:t>
      </w:r>
      <w:proofErr w:type="spellStart"/>
      <w:r>
        <w:t>Liv</w:t>
      </w:r>
      <w:proofErr w:type="spellEnd"/>
      <w:r>
        <w:t xml:space="preserve"> </w:t>
      </w:r>
      <w:proofErr w:type="spellStart"/>
      <w:r>
        <w:t>Tigerstedt</w:t>
      </w:r>
      <w:proofErr w:type="spellEnd"/>
      <w:r>
        <w:t xml:space="preserve">, </w:t>
      </w:r>
      <w:r>
        <w:rPr>
          <w:i/>
        </w:rPr>
        <w:t>Zastępczyni Kanclerza Sekcji,</w:t>
      </w:r>
    </w:p>
    <w:p w14:paraId="64DE0B72" w14:textId="77777777" w:rsidR="00F44AFD" w:rsidRPr="009F2E24" w:rsidRDefault="006B1575" w:rsidP="009F2E24">
      <w:pPr>
        <w:pStyle w:val="JuPara"/>
      </w:pPr>
      <w:r>
        <w:t>mając na uwadze:</w:t>
      </w:r>
    </w:p>
    <w:p w14:paraId="356A0435" w14:textId="5B30C6AD" w:rsidR="00F44AFD" w:rsidRPr="009F2E24" w:rsidRDefault="006B1575" w:rsidP="009F2E24">
      <w:pPr>
        <w:pStyle w:val="JuPara"/>
      </w:pPr>
      <w:r>
        <w:t>skargę (nr</w:t>
      </w:r>
      <w:r w:rsidR="00037E8D">
        <w:t xml:space="preserve"> </w:t>
      </w:r>
      <w:r>
        <w:t>10685/18) przeciwko Rzeczypospolitej Polskiej wniesioną do</w:t>
      </w:r>
      <w:r w:rsidR="00000362">
        <w:t> </w:t>
      </w:r>
      <w:r>
        <w:t xml:space="preserve">Trybunału w dniu </w:t>
      </w:r>
      <w:r w:rsidR="00C75A36">
        <w:t>1</w:t>
      </w:r>
      <w:r>
        <w:t xml:space="preserve">6 </w:t>
      </w:r>
      <w:r w:rsidR="00C75A36">
        <w:t xml:space="preserve">lutego </w:t>
      </w:r>
      <w:r>
        <w:t>201</w:t>
      </w:r>
      <w:r w:rsidR="00C75A36">
        <w:t>8</w:t>
      </w:r>
      <w:r w:rsidR="00037E8D">
        <w:t xml:space="preserve"> </w:t>
      </w:r>
      <w:r>
        <w:t>r. na podstawie art.</w:t>
      </w:r>
      <w:r w:rsidR="00037E8D">
        <w:t xml:space="preserve"> </w:t>
      </w:r>
      <w:r>
        <w:t>34 Konwencji o</w:t>
      </w:r>
      <w:r w:rsidR="00000362">
        <w:t> </w:t>
      </w:r>
      <w:r>
        <w:t>ochronie praw człowieka i</w:t>
      </w:r>
      <w:r w:rsidR="00037E8D">
        <w:t xml:space="preserve"> </w:t>
      </w:r>
      <w:r>
        <w:t>podstawowych wolności (</w:t>
      </w:r>
      <w:r w:rsidR="00C75A36">
        <w:t>„</w:t>
      </w:r>
      <w:r>
        <w:t>Konwencja</w:t>
      </w:r>
      <w:r w:rsidR="00C75A36">
        <w:t>”</w:t>
      </w:r>
      <w:r>
        <w:t>) przez obywatelkę polską A.G.-Ś. (</w:t>
      </w:r>
      <w:r w:rsidR="00C75A36">
        <w:t>„</w:t>
      </w:r>
      <w:r>
        <w:t>skarżąca</w:t>
      </w:r>
      <w:r w:rsidR="00C75A36">
        <w:t>”</w:t>
      </w:r>
      <w:r>
        <w:t>), która urodziła się w 1960 r., mieszka w Polsce i była reprezentowana przez pana L.M. Stępkowskiego, adwokata praktykującego we Wrocławiu;</w:t>
      </w:r>
    </w:p>
    <w:p w14:paraId="3F303F65" w14:textId="58E80158" w:rsidR="00F44AFD" w:rsidRPr="009F2E24" w:rsidRDefault="006B1575" w:rsidP="009F2E24">
      <w:pPr>
        <w:pStyle w:val="JuPara"/>
      </w:pPr>
      <w:r>
        <w:t xml:space="preserve">decyzję o zakomunikowaniu </w:t>
      </w:r>
      <w:r w:rsidR="00D96C5A">
        <w:t>r</w:t>
      </w:r>
      <w:r>
        <w:t xml:space="preserve">ządowi </w:t>
      </w:r>
      <w:r w:rsidR="00D76524">
        <w:t xml:space="preserve">Rzeczpospolitej Polskiej </w:t>
      </w:r>
      <w:r>
        <w:t>(</w:t>
      </w:r>
      <w:r w:rsidR="00C75A36">
        <w:t>„</w:t>
      </w:r>
      <w:r w:rsidR="00CB29AC">
        <w:t>r</w:t>
      </w:r>
      <w:r>
        <w:t>ząd</w:t>
      </w:r>
      <w:r w:rsidR="00C75A36">
        <w:t>”</w:t>
      </w:r>
      <w:r>
        <w:t xml:space="preserve">), reprezentowanemu przez pełnomocnika </w:t>
      </w:r>
      <w:r w:rsidR="00CF2EBC">
        <w:t xml:space="preserve">pana </w:t>
      </w:r>
      <w:r>
        <w:t xml:space="preserve">J. Sobczaka z Ministerstwa Spraw Zagranicznych, </w:t>
      </w:r>
      <w:r w:rsidR="00CB29AC">
        <w:t xml:space="preserve">zarzutów skargi </w:t>
      </w:r>
      <w:r>
        <w:t>na podstawie art. 8 i art. 13 Konwencji dotycząc</w:t>
      </w:r>
      <w:r w:rsidR="00CB29AC">
        <w:t>ych</w:t>
      </w:r>
      <w:r>
        <w:t xml:space="preserve"> ujawnienia dokumentacji medycznej skarżącej w</w:t>
      </w:r>
      <w:r w:rsidR="00000362">
        <w:t> </w:t>
      </w:r>
      <w:r>
        <w:t>związku z postępowaniem karnym przeciwko jej mężowi oraz o uznaniu pozostałej części skargi za niedopuszczalną;</w:t>
      </w:r>
    </w:p>
    <w:p w14:paraId="38FCCCE0" w14:textId="77777777" w:rsidR="00F44AFD" w:rsidRPr="009F2E24" w:rsidRDefault="006B1575" w:rsidP="009F2E24">
      <w:pPr>
        <w:pStyle w:val="JuPara"/>
      </w:pPr>
      <w:r>
        <w:t>decyzję o nieujawnianiu tożsamości skarżącej;</w:t>
      </w:r>
    </w:p>
    <w:p w14:paraId="554C7647" w14:textId="77777777" w:rsidR="00F44AFD" w:rsidRPr="009F2E24" w:rsidRDefault="006B1575" w:rsidP="009F2E24">
      <w:pPr>
        <w:pStyle w:val="JuPara"/>
      </w:pPr>
      <w:r>
        <w:t>uwagi stron;</w:t>
      </w:r>
    </w:p>
    <w:p w14:paraId="716277E1" w14:textId="57886F6C" w:rsidR="009F4C8F" w:rsidRPr="009F2E24" w:rsidRDefault="00CF2EBC" w:rsidP="009F2E24">
      <w:pPr>
        <w:pStyle w:val="JuPara"/>
      </w:pPr>
      <w:r>
        <w:t xml:space="preserve">po </w:t>
      </w:r>
      <w:r w:rsidR="00CB29AC">
        <w:t xml:space="preserve">naradzie </w:t>
      </w:r>
      <w:r w:rsidR="006B1575">
        <w:t>na posiedzeniu niejawnym w dniu 16 października 2025 r.</w:t>
      </w:r>
    </w:p>
    <w:p w14:paraId="699DD6C4" w14:textId="28277600" w:rsidR="009F4C8F" w:rsidRPr="009F2E24" w:rsidRDefault="006B1575" w:rsidP="009F2E24">
      <w:pPr>
        <w:pStyle w:val="JuPara"/>
      </w:pPr>
      <w:r>
        <w:t>wydaje następujący wyrok, który został przyjęty</w:t>
      </w:r>
      <w:r w:rsidR="00CB29AC">
        <w:t xml:space="preserve"> w tym dniu</w:t>
      </w:r>
      <w:r>
        <w:t>:</w:t>
      </w:r>
    </w:p>
    <w:p w14:paraId="674509EC" w14:textId="77777777" w:rsidR="00F44AFD" w:rsidRPr="009F2E24" w:rsidRDefault="006B1575" w:rsidP="009F2E24">
      <w:pPr>
        <w:pStyle w:val="JuHHead"/>
        <w:numPr>
          <w:ilvl w:val="0"/>
          <w:numId w:val="0"/>
        </w:numPr>
      </w:pPr>
      <w:r>
        <w:t>PRZEDMIOT SPRAWY</w:t>
      </w:r>
    </w:p>
    <w:p w14:paraId="5E9A9214" w14:textId="080DFCF7" w:rsidR="00F44AFD" w:rsidRPr="009F2E24" w:rsidRDefault="006B1575" w:rsidP="009F2E24">
      <w:pPr>
        <w:pStyle w:val="JuPara"/>
      </w:pPr>
      <w:r>
        <w:rPr>
          <w:noProof/>
        </w:rPr>
        <w:t>1</w:t>
      </w:r>
      <w:r w:rsidR="009F2E24">
        <w:t>.</w:t>
      </w:r>
      <w:r w:rsidR="00037E8D">
        <w:t xml:space="preserve"> </w:t>
      </w:r>
      <w:r w:rsidR="009F2E24">
        <w:t>Skarga dotyczy ujawnienia dokumentacji medycznej skarżącej w</w:t>
      </w:r>
      <w:r w:rsidR="00000362">
        <w:t> </w:t>
      </w:r>
      <w:r w:rsidR="009F2E24">
        <w:t>związku z postępowaniem karnym przeciwko jej mężowi.</w:t>
      </w:r>
    </w:p>
    <w:p w14:paraId="6AE2DFF5" w14:textId="66652B8B" w:rsidR="00F44AFD" w:rsidRPr="009F2E24" w:rsidRDefault="006B1575" w:rsidP="009F2E24">
      <w:pPr>
        <w:pStyle w:val="JuPara"/>
      </w:pPr>
      <w:r>
        <w:rPr>
          <w:noProof/>
        </w:rPr>
        <w:t>2</w:t>
      </w:r>
      <w:r w:rsidR="009F2E24">
        <w:t>.</w:t>
      </w:r>
      <w:r w:rsidR="00037E8D">
        <w:t xml:space="preserve"> </w:t>
      </w:r>
      <w:r w:rsidR="009F2E24">
        <w:t>W 2008 r</w:t>
      </w:r>
      <w:r w:rsidR="0021218E">
        <w:t>.</w:t>
      </w:r>
      <w:r w:rsidR="009F2E24">
        <w:t xml:space="preserve"> mąż skarżącej, A.Ś., został oskarżony o udział w</w:t>
      </w:r>
      <w:r w:rsidR="00000362">
        <w:t> </w:t>
      </w:r>
      <w:r w:rsidR="009F2E24">
        <w:t>zorganizowanej grupie przestępczej (w związku z oszustwami na dużą skalę i praniem pieniędzy). W lutym 2009 r. został zwolniony z</w:t>
      </w:r>
      <w:r w:rsidR="00000362">
        <w:t> </w:t>
      </w:r>
      <w:r w:rsidR="00C41B72">
        <w:t xml:space="preserve">tymczasowego </w:t>
      </w:r>
      <w:r w:rsidR="009F2E24">
        <w:t>areszt</w:t>
      </w:r>
      <w:r w:rsidR="00C41B72">
        <w:t>owania</w:t>
      </w:r>
      <w:r w:rsidR="009F2E24">
        <w:t xml:space="preserve"> ze względów zdrowotnych, na podstawie opinii biegłych z zakresu medycyny.</w:t>
      </w:r>
    </w:p>
    <w:p w14:paraId="1CB699EA" w14:textId="08568E18" w:rsidR="00F44AFD" w:rsidRPr="009F2E24" w:rsidRDefault="006B1575" w:rsidP="009F2E24">
      <w:pPr>
        <w:pStyle w:val="JuPara"/>
      </w:pPr>
      <w:bookmarkStart w:id="0" w:name="paragraph00003"/>
      <w:r>
        <w:rPr>
          <w:noProof/>
        </w:rPr>
        <w:t>3</w:t>
      </w:r>
      <w:bookmarkEnd w:id="0"/>
      <w:r>
        <w:t>.</w:t>
      </w:r>
      <w:r w:rsidR="00037E8D">
        <w:t xml:space="preserve"> </w:t>
      </w:r>
      <w:r>
        <w:t>W dniu 5 marca 2009 r. Prokurator Okręgowy w Krakowie nakazał właściwemu Oddziałowi Wojewódzkiego Narodowego Funduszu Zdrowia (</w:t>
      </w:r>
      <w:r w:rsidR="00C75A36">
        <w:t>„</w:t>
      </w:r>
      <w:r>
        <w:t>NFZ</w:t>
      </w:r>
      <w:r w:rsidR="00C75A36">
        <w:t>”</w:t>
      </w:r>
      <w:r w:rsidR="00EA16CF">
        <w:t>) udzielenie</w:t>
      </w:r>
      <w:r>
        <w:t xml:space="preserve"> informacji o wszelkich przypadkach korzystania przez A.Ś. i 11 jego krewnych, w tym skarżącą, z usług medycznych w Polsce od</w:t>
      </w:r>
      <w:r w:rsidR="00000362">
        <w:t> </w:t>
      </w:r>
      <w:r>
        <w:t>dnia 1 stycznia 2004 r. (</w:t>
      </w:r>
      <w:r w:rsidR="00C75A36">
        <w:t>„</w:t>
      </w:r>
      <w:r>
        <w:t>postanowienie</w:t>
      </w:r>
      <w:r w:rsidR="00C75A36">
        <w:t>”</w:t>
      </w:r>
      <w:r>
        <w:t xml:space="preserve">). Postanowienie to zwalniało NFZ z obowiązku zachowania poufności danych medycznych pacjenta. Jedynym wskazanym powodem wydania postanowienia była potrzeba </w:t>
      </w:r>
      <w:r w:rsidR="00EA16CF">
        <w:t>ustalenia</w:t>
      </w:r>
      <w:r w:rsidR="00C41B72">
        <w:t>,</w:t>
      </w:r>
      <w:r>
        <w:t xml:space="preserve"> czy osoby, których dotyczyło, korzystały z usług medycznych w</w:t>
      </w:r>
      <w:r w:rsidR="00000362">
        <w:t> </w:t>
      </w:r>
      <w:r>
        <w:t xml:space="preserve">odpowiednim okresie. W treści postanowienia wyraźnie wskazano, że: </w:t>
      </w:r>
      <w:r>
        <w:lastRenderedPageBreak/>
        <w:t>(i)</w:t>
      </w:r>
      <w:r w:rsidR="00000362">
        <w:t> </w:t>
      </w:r>
      <w:r>
        <w:t>nie przysługuje od niego odwołanie oraz (ii) powinno zostać doręczone wyłącznie dyrektorowi właściwego oddziału NFZ.</w:t>
      </w:r>
    </w:p>
    <w:p w14:paraId="243B6CAB" w14:textId="3833C3C1" w:rsidR="00F44AFD" w:rsidRPr="009F2E24" w:rsidRDefault="006B1575" w:rsidP="009F2E24">
      <w:pPr>
        <w:pStyle w:val="JuPara"/>
      </w:pPr>
      <w:bookmarkStart w:id="1" w:name="paragraph00004"/>
      <w:r>
        <w:rPr>
          <w:noProof/>
        </w:rPr>
        <w:t>4</w:t>
      </w:r>
      <w:bookmarkEnd w:id="1"/>
      <w:r>
        <w:t>.</w:t>
      </w:r>
      <w:r w:rsidR="00037E8D">
        <w:t xml:space="preserve"> </w:t>
      </w:r>
      <w:r>
        <w:t>W dniach 5 i 6 marca 2009 r. NFZ przesłał prokuratorowi informacje dotyczące historii medycznej skarżącej, w tym listę: (i) usług medycznych świadczonych na rzecz skarżącej, (ii) różnych zastosowanych wobec niej metod leczenia wraz z datami, (iii) placówek medycznych, które świadczyły jej usługi medyczne, (iv) aptek, w których nabyła produkty lecznicze, (v)</w:t>
      </w:r>
      <w:r w:rsidR="00000362">
        <w:t> </w:t>
      </w:r>
      <w:r>
        <w:t>przepisanych jej leków (w tym dawkowania) oraz (vi) lekarzy, którzy ją leczyli.</w:t>
      </w:r>
    </w:p>
    <w:p w14:paraId="16C49A9D" w14:textId="02D4FBB2" w:rsidR="00F44AFD" w:rsidRPr="009F2E24" w:rsidRDefault="006B1575" w:rsidP="009F2E24">
      <w:pPr>
        <w:pStyle w:val="JuPara"/>
      </w:pPr>
      <w:r>
        <w:rPr>
          <w:noProof/>
        </w:rPr>
        <w:t>5</w:t>
      </w:r>
      <w:r w:rsidR="009F2E24">
        <w:t>.</w:t>
      </w:r>
      <w:r w:rsidR="00037E8D">
        <w:t xml:space="preserve"> </w:t>
      </w:r>
      <w:r w:rsidR="009F2E24">
        <w:t>W 2010 r. skarżąca został przesłuchana w charakterze świadka w</w:t>
      </w:r>
      <w:r w:rsidR="00000362">
        <w:t> </w:t>
      </w:r>
      <w:r w:rsidR="009F2E24">
        <w:t>śledztwie.</w:t>
      </w:r>
    </w:p>
    <w:p w14:paraId="0F6C3F3F" w14:textId="71BF14B8" w:rsidR="00F44AFD" w:rsidRPr="009F2E24" w:rsidRDefault="006B1575" w:rsidP="009F2E24">
      <w:pPr>
        <w:pStyle w:val="JuPara"/>
      </w:pPr>
      <w:bookmarkStart w:id="2" w:name="paragraph00006"/>
      <w:r>
        <w:rPr>
          <w:noProof/>
        </w:rPr>
        <w:t>6</w:t>
      </w:r>
      <w:bookmarkEnd w:id="2"/>
      <w:r>
        <w:t>.</w:t>
      </w:r>
      <w:r w:rsidR="00037E8D">
        <w:t xml:space="preserve"> </w:t>
      </w:r>
      <w:r>
        <w:t>Skarżąca twierdziła, że dowiedziała się o postanowieniu dopiero w</w:t>
      </w:r>
      <w:r w:rsidR="00000362">
        <w:t> </w:t>
      </w:r>
      <w:r>
        <w:t>2012</w:t>
      </w:r>
      <w:r w:rsidR="00000362">
        <w:t> </w:t>
      </w:r>
      <w:r>
        <w:t>r. W dniu 16 sierpnia 2012 r. złożyła zawiadomienie o popełnieniu przestępstwa do Prokuratora Okręgowego w Krakowie, zarzucając prokuraturze przekroczenie uprawnień poprzez nakazanie ujawnienia jej dokumentacji medycznej. W piśmie z dnia 19 listopada 2012 r. prokuratura odpowiedziała, że jej skarga jest bezpodstawna, ponieważ przedmiotowe informacje medyczne były niezbędne do przeprowadzenia śledztwa w</w:t>
      </w:r>
      <w:r w:rsidR="00000362">
        <w:t> </w:t>
      </w:r>
      <w:r>
        <w:t>sprawie karnej. Ponadto w dniu 8 listopada 2012 r. prokuratorzy odpowiedzialni za śledztwo wydali oświadczenie wyjaśniające między innymi powody ujawnienia informacji. Zapewnili, że ich celem było zweryfikowanie potencjalnych powiązań między osobami wymienionymi w</w:t>
      </w:r>
      <w:r w:rsidR="00000362">
        <w:t> </w:t>
      </w:r>
      <w:r>
        <w:t>postanowieniu a biegłymi z zakresu medycyny, którzy wydali lub mogli wydać opinie w toku śledztwa. Ponadto prokuratorzy powtórzyli, że</w:t>
      </w:r>
      <w:r w:rsidR="00000362">
        <w:t> </w:t>
      </w:r>
      <w:r>
        <w:t>od</w:t>
      </w:r>
      <w:r w:rsidR="00000362">
        <w:t> </w:t>
      </w:r>
      <w:r>
        <w:t>spornego postanowienia nie przysługiwało odwołanie.</w:t>
      </w:r>
    </w:p>
    <w:p w14:paraId="46C30EEE" w14:textId="5E2E82ED" w:rsidR="00F44AFD" w:rsidRPr="009F2E24" w:rsidRDefault="006B1575" w:rsidP="009F2E24">
      <w:pPr>
        <w:pStyle w:val="JuPara"/>
      </w:pPr>
      <w:r>
        <w:rPr>
          <w:noProof/>
        </w:rPr>
        <w:t>7</w:t>
      </w:r>
      <w:r w:rsidR="009F2E24">
        <w:t>.</w:t>
      </w:r>
      <w:r w:rsidR="00037E8D">
        <w:t xml:space="preserve"> </w:t>
      </w:r>
      <w:r w:rsidR="009F2E24">
        <w:t xml:space="preserve">W międzyczasie akta śledztwa </w:t>
      </w:r>
      <w:r w:rsidR="00E16CBE">
        <w:t>–</w:t>
      </w:r>
      <w:r w:rsidR="009F2E24">
        <w:t xml:space="preserve"> które dotyczyły prawie 30</w:t>
      </w:r>
      <w:r w:rsidR="00000362">
        <w:t> </w:t>
      </w:r>
      <w:r w:rsidR="009F2E24">
        <w:t xml:space="preserve">podejrzanych i obejmowały historię medyczną skarżącej </w:t>
      </w:r>
      <w:r w:rsidR="00E16CBE">
        <w:t>–</w:t>
      </w:r>
      <w:r w:rsidR="009F2E24">
        <w:t xml:space="preserve"> zostały udostępnione stronom postępowania karnego przeciwko mężowi skarżącej oraz innych, bliżej niewskazanych postępowań sądowych.</w:t>
      </w:r>
    </w:p>
    <w:p w14:paraId="44209F65" w14:textId="3961B3E3" w:rsidR="00F44AFD" w:rsidRPr="009F2E24" w:rsidRDefault="006B1575" w:rsidP="009F2E24">
      <w:pPr>
        <w:pStyle w:val="JuPara"/>
      </w:pPr>
      <w:bookmarkStart w:id="3" w:name="paragraph00008"/>
      <w:r>
        <w:rPr>
          <w:noProof/>
        </w:rPr>
        <w:t>8</w:t>
      </w:r>
      <w:bookmarkEnd w:id="3"/>
      <w:r>
        <w:t>.</w:t>
      </w:r>
      <w:r w:rsidR="00037E8D">
        <w:t xml:space="preserve"> </w:t>
      </w:r>
      <w:r>
        <w:t>W dniu 10 lipca 2015 r. sąd krajowy nakazał przechowywanie przedmiotowej dokumentacji medycznej w zapieczętowanej kopercie.</w:t>
      </w:r>
    </w:p>
    <w:p w14:paraId="328FC4DA" w14:textId="4033CB2D" w:rsidR="00F44AFD" w:rsidRPr="009F2E24" w:rsidRDefault="006B1575" w:rsidP="009F2E24">
      <w:pPr>
        <w:pStyle w:val="JuPara"/>
      </w:pPr>
      <w:bookmarkStart w:id="4" w:name="paragraph00009"/>
      <w:r>
        <w:rPr>
          <w:noProof/>
        </w:rPr>
        <w:t>9</w:t>
      </w:r>
      <w:bookmarkEnd w:id="4"/>
      <w:r>
        <w:t>.</w:t>
      </w:r>
      <w:r w:rsidR="00037E8D">
        <w:t xml:space="preserve"> </w:t>
      </w:r>
      <w:r>
        <w:t>W międzyczasie, w 2014 r., skarżąca złożyła po</w:t>
      </w:r>
      <w:r w:rsidR="00E16CBE">
        <w:t>wództwo</w:t>
      </w:r>
      <w:r>
        <w:t xml:space="preserve"> o ochronę dóbr osobistych, powołując się na art. 23 i 24 Kodeksu cywilnego. W 2015 r. Sąd Apelacyjny w Krakowie uchylił pierwotne orzeczenie oddalające powództwo skarżącej i nakazał Prokuratorowi Okręgowemu w Krakowie przeprosiny. Jednakże w następstwie skargi kasacyjnej wniesionej przez prokuraturę, w dniu 22 marca 2017 r.</w:t>
      </w:r>
      <w:r w:rsidR="00AC1CCB">
        <w:t>,</w:t>
      </w:r>
      <w:r>
        <w:t xml:space="preserve"> Sąd Najwyższy uchylił wyrok drugiej instancji, uznając, że postanowienie prokuratora było zgodne z prawem, a</w:t>
      </w:r>
      <w:r w:rsidR="00000362">
        <w:t> </w:t>
      </w:r>
      <w:r>
        <w:t>zatem dobra osobiste skarżącej nie zostały naruszone.</w:t>
      </w:r>
    </w:p>
    <w:p w14:paraId="507FACE5" w14:textId="1E0650E5" w:rsidR="00F44AFD" w:rsidRPr="009F2E24" w:rsidRDefault="006B1575" w:rsidP="009F2E24">
      <w:pPr>
        <w:pStyle w:val="JuPara"/>
      </w:pPr>
      <w:r>
        <w:rPr>
          <w:noProof/>
        </w:rPr>
        <w:t>10</w:t>
      </w:r>
      <w:r w:rsidR="009F2E24">
        <w:t>.</w:t>
      </w:r>
      <w:r w:rsidR="00037E8D">
        <w:t xml:space="preserve"> </w:t>
      </w:r>
      <w:r w:rsidR="009F2E24">
        <w:t xml:space="preserve">Skarżąca zarzuciła, na podstawie art. 8 Konwencji, że zebranie jej poufnych informacji medycznych przez prokuraturę w ramach śledztwa przeciwko jej mężowi, a następnie zatrzymanie tych informacji i ujawnienie innym osobom, stanowiło naruszenie jej prawa do poszanowania życia prywatnego. W związku z tym, na podstawie art. 13 w związku z art. 8 </w:t>
      </w:r>
      <w:r w:rsidR="009F2E24">
        <w:lastRenderedPageBreak/>
        <w:t>Konwencji, zarzuciła również, że nie była w stanie odwołać się od ujawnienia jej dokumentacji medycznej w czasie istotnym dla sprawy.</w:t>
      </w:r>
    </w:p>
    <w:p w14:paraId="4D18B4E4" w14:textId="77777777" w:rsidR="00F44AFD" w:rsidRPr="009F2E24" w:rsidRDefault="006B1575" w:rsidP="009F2E24">
      <w:pPr>
        <w:pStyle w:val="JuHHead"/>
      </w:pPr>
      <w:r>
        <w:t>OCENA TRYBUNAŁU</w:t>
      </w:r>
    </w:p>
    <w:p w14:paraId="47E077A7" w14:textId="77777777" w:rsidR="00F44AFD" w:rsidRPr="009F2E24" w:rsidRDefault="006B1575" w:rsidP="009F2E24">
      <w:pPr>
        <w:pStyle w:val="JuHIRoman"/>
      </w:pPr>
      <w:r>
        <w:t>ZARZUT NARUSZENIA ART. 8 KONWENCJI</w:t>
      </w:r>
    </w:p>
    <w:p w14:paraId="095B1FEE" w14:textId="77777777" w:rsidR="00F44AFD" w:rsidRPr="009F2E24" w:rsidRDefault="006B1575" w:rsidP="009F2E24">
      <w:pPr>
        <w:pStyle w:val="JuHA"/>
      </w:pPr>
      <w:r>
        <w:t>Dopuszczalność</w:t>
      </w:r>
    </w:p>
    <w:p w14:paraId="07E4B446" w14:textId="01D201C4" w:rsidR="00F44AFD" w:rsidRPr="009F2E24" w:rsidRDefault="006B1575" w:rsidP="009F2E24">
      <w:pPr>
        <w:pStyle w:val="JuPara"/>
      </w:pPr>
      <w:r>
        <w:rPr>
          <w:noProof/>
        </w:rPr>
        <w:t>11</w:t>
      </w:r>
      <w:r w:rsidR="009F2E24">
        <w:t>.</w:t>
      </w:r>
      <w:r w:rsidR="00037E8D">
        <w:t xml:space="preserve"> </w:t>
      </w:r>
      <w:r w:rsidR="009F2E24">
        <w:t>Rząd argumentował, że skarżąca nie wyczerpała skutecznych krajowych środków odwoławczych, ponieważ nie złożyła zażalenia na</w:t>
      </w:r>
      <w:r w:rsidR="00000362">
        <w:t> </w:t>
      </w:r>
      <w:r w:rsidR="009F2E24">
        <w:t xml:space="preserve">postanowienie. Skarżąca nie zgodziła się z tym, twierdząc </w:t>
      </w:r>
      <w:r w:rsidR="009F2E24" w:rsidRPr="00AC1CCB">
        <w:rPr>
          <w:iCs/>
        </w:rPr>
        <w:t>między innymi</w:t>
      </w:r>
      <w:r w:rsidR="000E19AF">
        <w:rPr>
          <w:iCs/>
        </w:rPr>
        <w:t>,</w:t>
      </w:r>
      <w:r w:rsidR="009F2E24" w:rsidRPr="00AC1CCB">
        <w:rPr>
          <w:iCs/>
        </w:rPr>
        <w:t xml:space="preserve"> ż</w:t>
      </w:r>
      <w:r w:rsidR="009F2E24">
        <w:t>e ten środek odwoławczy był dla niej niedostępny, ponieważ nigdy nie</w:t>
      </w:r>
      <w:r w:rsidR="00000362">
        <w:t> </w:t>
      </w:r>
      <w:r w:rsidR="009F2E24">
        <w:t>doręczono jej formalnie kopii postanowienia, które w każdym razie zawierało</w:t>
      </w:r>
      <w:r w:rsidR="00024AF9">
        <w:t>by</w:t>
      </w:r>
      <w:r w:rsidR="009F2E24">
        <w:t xml:space="preserve"> wyraźne pouczenie, że nie podlega ono zaskarżeniu.</w:t>
      </w:r>
    </w:p>
    <w:p w14:paraId="6BE4877E" w14:textId="24D167EB" w:rsidR="00F44AFD" w:rsidRPr="009F2E24" w:rsidRDefault="006B1575" w:rsidP="009F2E24">
      <w:pPr>
        <w:pStyle w:val="JuPara"/>
      </w:pPr>
      <w:r>
        <w:rPr>
          <w:noProof/>
        </w:rPr>
        <w:t>12</w:t>
      </w:r>
      <w:r w:rsidR="009F2E24">
        <w:t>.</w:t>
      </w:r>
      <w:r w:rsidR="00037E8D">
        <w:t xml:space="preserve"> </w:t>
      </w:r>
      <w:r w:rsidR="009F2E24">
        <w:t>Mając na uwadze fakt, że zarówno w treści postanowienia, jak</w:t>
      </w:r>
      <w:r w:rsidR="00000A4D">
        <w:t> </w:t>
      </w:r>
      <w:r w:rsidR="009F2E24">
        <w:t>i</w:t>
      </w:r>
      <w:r w:rsidR="00000362">
        <w:t> </w:t>
      </w:r>
      <w:r w:rsidR="009F2E24">
        <w:t>w</w:t>
      </w:r>
      <w:r w:rsidR="00000362">
        <w:t> </w:t>
      </w:r>
      <w:r w:rsidR="009F2E24">
        <w:t>treści oświadczenia prokuratorów odpowiedzialnych za śledztwo z</w:t>
      </w:r>
      <w:r w:rsidR="00000362">
        <w:t> </w:t>
      </w:r>
      <w:r w:rsidR="009F2E24">
        <w:t>2012</w:t>
      </w:r>
      <w:r w:rsidR="00000362">
        <w:t> </w:t>
      </w:r>
      <w:r w:rsidR="009F2E24">
        <w:t xml:space="preserve">r. wskazano, że nie przysługiwał środek odwoławczy (zob. </w:t>
      </w:r>
      <w:r w:rsidR="00CF2EBC">
        <w:t>paragraf</w:t>
      </w:r>
      <w:r w:rsidR="00F40700">
        <w:t>y</w:t>
      </w:r>
      <w:r w:rsidR="009F2E24">
        <w:t xml:space="preserve"> </w:t>
      </w:r>
      <w:r>
        <w:t>3</w:t>
      </w:r>
      <w:r w:rsidR="009F2E24">
        <w:t xml:space="preserve"> i </w:t>
      </w:r>
      <w:r>
        <w:t>6</w:t>
      </w:r>
      <w:r w:rsidR="009F2E24">
        <w:t xml:space="preserve"> powyżej), i pomijając kwestię skuteczności takiego środka odwoławczego, Trybunał nie jest przekonany argumentem </w:t>
      </w:r>
      <w:r w:rsidR="00CB29AC">
        <w:t>r</w:t>
      </w:r>
      <w:r w:rsidR="009F2E24">
        <w:t>ządu, że</w:t>
      </w:r>
      <w:r w:rsidR="00000362">
        <w:t> </w:t>
      </w:r>
      <w:r w:rsidR="009F2E24">
        <w:t xml:space="preserve">skarżącej przysługiwało zażalenie. Zastrzeżenie </w:t>
      </w:r>
      <w:r w:rsidR="00CB29AC">
        <w:t>r</w:t>
      </w:r>
      <w:r w:rsidR="009F2E24">
        <w:t>ządu należy zatem oddalić.</w:t>
      </w:r>
    </w:p>
    <w:p w14:paraId="392ED11A" w14:textId="0A1F6F72" w:rsidR="00F44AFD" w:rsidRPr="009F2E24" w:rsidRDefault="006B1575" w:rsidP="009F2E24">
      <w:pPr>
        <w:pStyle w:val="JuPara"/>
      </w:pPr>
      <w:r>
        <w:rPr>
          <w:noProof/>
        </w:rPr>
        <w:t>13</w:t>
      </w:r>
      <w:r w:rsidR="009F2E24">
        <w:t>.</w:t>
      </w:r>
      <w:r w:rsidR="00037E8D">
        <w:t xml:space="preserve"> </w:t>
      </w:r>
      <w:r w:rsidR="009F2E24">
        <w:t xml:space="preserve">Trybunał zauważa, że skarga nie jest w sposób oczywisty </w:t>
      </w:r>
      <w:r w:rsidR="00A5687A">
        <w:t>nieuzasadniona</w:t>
      </w:r>
      <w:r w:rsidR="00663596">
        <w:t xml:space="preserve"> </w:t>
      </w:r>
      <w:r w:rsidR="009F2E24">
        <w:t>w rozumieniu art.</w:t>
      </w:r>
      <w:r w:rsidR="00037E8D">
        <w:t xml:space="preserve"> </w:t>
      </w:r>
      <w:r w:rsidR="009F2E24">
        <w:t>35 ust.</w:t>
      </w:r>
      <w:r w:rsidR="00037E8D">
        <w:t xml:space="preserve"> </w:t>
      </w:r>
      <w:r w:rsidR="009F2E24">
        <w:t>3 lit.</w:t>
      </w:r>
      <w:r w:rsidR="00037E8D">
        <w:t xml:space="preserve"> </w:t>
      </w:r>
      <w:r w:rsidR="009F2E24">
        <w:t>a Konwencji ani nie jest niedopuszczalna z jakichkolwiek innych względów. Musi zatem zostać uznana za dopuszczalną.</w:t>
      </w:r>
    </w:p>
    <w:p w14:paraId="5418B4AD" w14:textId="77777777" w:rsidR="00F44AFD" w:rsidRPr="009F2E24" w:rsidRDefault="006B1575" w:rsidP="009F2E24">
      <w:pPr>
        <w:pStyle w:val="JuHA"/>
      </w:pPr>
      <w:r>
        <w:t>Przedmiot skargi</w:t>
      </w:r>
    </w:p>
    <w:p w14:paraId="52D82FB5" w14:textId="7FC969B9" w:rsidR="00F44AFD" w:rsidRPr="009F2E24" w:rsidRDefault="006B1575" w:rsidP="00FC4183">
      <w:pPr>
        <w:pStyle w:val="JuPara"/>
      </w:pPr>
      <w:r>
        <w:rPr>
          <w:noProof/>
        </w:rPr>
        <w:t>14</w:t>
      </w:r>
      <w:r w:rsidR="009F2E24">
        <w:t>.</w:t>
      </w:r>
      <w:r w:rsidR="00037E8D">
        <w:t xml:space="preserve"> </w:t>
      </w:r>
      <w:r w:rsidR="009F2E24">
        <w:t xml:space="preserve">Ogólne zasady dotyczące ochrony przed ujawnieniem danych osobowych zostały podsumowane w sprawie </w:t>
      </w:r>
      <w:r w:rsidR="009F2E24">
        <w:rPr>
          <w:i/>
        </w:rPr>
        <w:t>Z przeciwko Finlandii</w:t>
      </w:r>
      <w:r w:rsidR="009F2E24">
        <w:t xml:space="preserve"> (25</w:t>
      </w:r>
      <w:r w:rsidR="00000362">
        <w:t> </w:t>
      </w:r>
      <w:r w:rsidR="009F2E24">
        <w:t xml:space="preserve">lutego 1997 r., </w:t>
      </w:r>
      <w:r w:rsidR="00E76DF0">
        <w:t>§</w:t>
      </w:r>
      <w:r w:rsidR="00000362">
        <w:t xml:space="preserve">§ </w:t>
      </w:r>
      <w:r w:rsidR="009F2E24">
        <w:t>94</w:t>
      </w:r>
      <w:r w:rsidR="00000362">
        <w:t>–</w:t>
      </w:r>
      <w:r w:rsidR="009F2E24">
        <w:t xml:space="preserve">98, </w:t>
      </w:r>
      <w:r w:rsidR="009F2E24">
        <w:rPr>
          <w:i/>
          <w:iCs/>
        </w:rPr>
        <w:t xml:space="preserve">Zbiór </w:t>
      </w:r>
      <w:r w:rsidR="00F40700">
        <w:rPr>
          <w:i/>
          <w:iCs/>
        </w:rPr>
        <w:t>wyroków i decyzji</w:t>
      </w:r>
      <w:r w:rsidR="009F2E24">
        <w:t xml:space="preserve"> 1997-I). Ochrona danych osobowych, w tym informacji medycznych, ma fundamentalne znaczenie dla korzystania przez daną osobę z prawa do poszanowania jej życia prywatnego i rodzinnego, zagwarantowanego w art. 8 Konwencji. Poszanowanie poufności danych zdrowotnych ma kluczowe znaczenie nie</w:t>
      </w:r>
      <w:r w:rsidR="00000362">
        <w:t> </w:t>
      </w:r>
      <w:r w:rsidR="009F2E24">
        <w:t>tylko dla ochrony prywatności pacjenta, ale także dla utrzymania jego zaufania do zawodu lekarza i usług zdrowotnych w ogóle. Brak takiej ochrony mógłby odstraszyć osoby potrzebujące pomocy medycznej od</w:t>
      </w:r>
      <w:r w:rsidR="00000362">
        <w:t> </w:t>
      </w:r>
      <w:r w:rsidR="009F2E24">
        <w:t xml:space="preserve">poszukiwania odpowiedniego leczenia, co zagrażałoby ich zdrowiu (ibid., </w:t>
      </w:r>
      <w:r w:rsidR="00E76DF0">
        <w:t>§</w:t>
      </w:r>
      <w:r w:rsidR="00000362">
        <w:t> </w:t>
      </w:r>
      <w:r w:rsidR="009F2E24">
        <w:t>95; zob. także</w:t>
      </w:r>
      <w:bookmarkStart w:id="5" w:name="_cl21356THECOURTSASSESSMENT"/>
      <w:r w:rsidR="009F2E24">
        <w:t xml:space="preserve"> </w:t>
      </w:r>
      <w:proofErr w:type="spellStart"/>
      <w:r w:rsidR="009F2E24">
        <w:rPr>
          <w:i/>
        </w:rPr>
        <w:t>Avilkina</w:t>
      </w:r>
      <w:proofErr w:type="spellEnd"/>
      <w:r w:rsidR="009F2E24">
        <w:rPr>
          <w:i/>
        </w:rPr>
        <w:t xml:space="preserve"> i inni przeciwko Rosji</w:t>
      </w:r>
      <w:bookmarkEnd w:id="5"/>
      <w:r w:rsidR="009F2E24">
        <w:t xml:space="preserve">, nr 1585/09, </w:t>
      </w:r>
      <w:r w:rsidR="00E76DF0">
        <w:t>§</w:t>
      </w:r>
      <w:r w:rsidR="009F2E24">
        <w:t xml:space="preserve"> 45, 6 czerwca 2013 r.). Niemniej jednak, nad interesem pacjenta i ogółu społeczeństwa w</w:t>
      </w:r>
      <w:r w:rsidR="00000362">
        <w:t> </w:t>
      </w:r>
      <w:r w:rsidR="009F2E24">
        <w:t xml:space="preserve">zakresie ochrony poufności danych medycznych może przeważyć interes </w:t>
      </w:r>
      <w:r w:rsidR="009F2E24">
        <w:lastRenderedPageBreak/>
        <w:t xml:space="preserve">związany ze ściganiem przestępstw, jeśli zostanie wykazane, że taki interes jest ważniejszy (zob. </w:t>
      </w:r>
      <w:r w:rsidR="009F2E24">
        <w:rPr>
          <w:i/>
        </w:rPr>
        <w:t>Z przeciwko Finlandii</w:t>
      </w:r>
      <w:r w:rsidR="009F2E24">
        <w:t xml:space="preserve">, </w:t>
      </w:r>
      <w:r w:rsidR="00F40700">
        <w:t>cyt. powyżej</w:t>
      </w:r>
      <w:r w:rsidR="009F2E24">
        <w:t xml:space="preserve">, </w:t>
      </w:r>
      <w:r w:rsidR="00E76DF0">
        <w:t>§</w:t>
      </w:r>
      <w:r w:rsidR="00F40700">
        <w:t xml:space="preserve"> </w:t>
      </w:r>
      <w:r w:rsidR="009F2E24">
        <w:t>97).</w:t>
      </w:r>
    </w:p>
    <w:p w14:paraId="4AAB0AF2" w14:textId="5958E1EB" w:rsidR="00F44AFD" w:rsidRPr="009F2E24" w:rsidRDefault="006B1575" w:rsidP="009F2E24">
      <w:pPr>
        <w:pStyle w:val="JuPara"/>
      </w:pPr>
      <w:r>
        <w:rPr>
          <w:noProof/>
        </w:rPr>
        <w:t>15</w:t>
      </w:r>
      <w:r w:rsidR="009F2E24">
        <w:t>.</w:t>
      </w:r>
      <w:r w:rsidR="00037E8D">
        <w:t xml:space="preserve"> </w:t>
      </w:r>
      <w:r w:rsidR="009F2E24">
        <w:t xml:space="preserve">W przedmiotowej sprawie informacje medyczne skarżącej zostały </w:t>
      </w:r>
      <w:r w:rsidR="00F40700">
        <w:t>–</w:t>
      </w:r>
      <w:r w:rsidR="009F2E24">
        <w:t xml:space="preserve">bez jej wiedzy lub zgody </w:t>
      </w:r>
      <w:r w:rsidR="00F40700">
        <w:t>–</w:t>
      </w:r>
      <w:r w:rsidR="009F2E24">
        <w:t xml:space="preserve"> ujawnione prokuraturze, zachowane w aktach postępowania karnego i udostępnione stronom postępowania przeciwko jej mężowi oraz stronom innych, bliżej niewskazanych postępowań bez żadnych dodatkowych zabezpieczeń. Trybunał uznał już, że ujawnienie danych medycznych prokuraturze może stanowić ingerencję w prawo do</w:t>
      </w:r>
      <w:r w:rsidR="00000362">
        <w:t> </w:t>
      </w:r>
      <w:r w:rsidR="009F2E24">
        <w:t xml:space="preserve">poszanowania życia prywatnego (zob. </w:t>
      </w:r>
      <w:bookmarkStart w:id="6" w:name="_cl39395THECOURTSASSESSMENT"/>
      <w:r w:rsidR="009F2E24">
        <w:rPr>
          <w:i/>
        </w:rPr>
        <w:t>Y.Y. przeciwko Rosji</w:t>
      </w:r>
      <w:bookmarkEnd w:id="6"/>
      <w:r w:rsidR="009F2E24">
        <w:t xml:space="preserve">, nr 40378/06, </w:t>
      </w:r>
      <w:r w:rsidR="00D76524">
        <w:t>§</w:t>
      </w:r>
      <w:r w:rsidR="009F2E24">
        <w:t xml:space="preserve"> 39, 23 lutego 2016 r. i przytoczone tam orzecznictwo). Trybunał uzna</w:t>
      </w:r>
      <w:r w:rsidR="00000362">
        <w:t>je</w:t>
      </w:r>
      <w:r w:rsidR="009F2E24">
        <w:t>, że</w:t>
      </w:r>
      <w:r w:rsidR="00000362">
        <w:t> </w:t>
      </w:r>
      <w:r w:rsidR="009F2E24">
        <w:t>nie ma powodu, aby orzekać inaczej w</w:t>
      </w:r>
      <w:r w:rsidR="00037E8D">
        <w:t xml:space="preserve"> </w:t>
      </w:r>
      <w:r w:rsidR="009F2E24">
        <w:t>przedmiotowej sprawie.</w:t>
      </w:r>
    </w:p>
    <w:p w14:paraId="1ECFB7BD" w14:textId="253E26B4" w:rsidR="00F44AFD" w:rsidRPr="009F2E24" w:rsidRDefault="006B1575" w:rsidP="009F2E24">
      <w:pPr>
        <w:pStyle w:val="JuPara"/>
      </w:pPr>
      <w:r>
        <w:rPr>
          <w:noProof/>
        </w:rPr>
        <w:t>16</w:t>
      </w:r>
      <w:r w:rsidR="009F2E24">
        <w:t>.</w:t>
      </w:r>
      <w:r w:rsidR="00037E8D">
        <w:t xml:space="preserve"> </w:t>
      </w:r>
      <w:r w:rsidR="009F2E24">
        <w:t xml:space="preserve">Pozostaje ustalić, czy ingerencja była </w:t>
      </w:r>
      <w:r w:rsidR="0067411A" w:rsidRPr="0067411A">
        <w:t>przewidzian</w:t>
      </w:r>
      <w:r w:rsidR="0067411A">
        <w:t>a</w:t>
      </w:r>
      <w:r w:rsidR="0067411A" w:rsidRPr="0067411A">
        <w:t xml:space="preserve"> przez ustawę</w:t>
      </w:r>
      <w:r w:rsidR="009F2E24">
        <w:t>, czy</w:t>
      </w:r>
      <w:r w:rsidR="00000362">
        <w:t> </w:t>
      </w:r>
      <w:r w:rsidR="009F2E24">
        <w:t xml:space="preserve">realizowała jeden z uprawnionych celów wymienionych w art. 8 </w:t>
      </w:r>
      <w:r w:rsidR="0067411A">
        <w:t>ust.</w:t>
      </w:r>
      <w:r w:rsidR="009F2E24">
        <w:t xml:space="preserve"> 2 i</w:t>
      </w:r>
      <w:r w:rsidR="00000362">
        <w:t> </w:t>
      </w:r>
      <w:r w:rsidR="009F2E24">
        <w:t xml:space="preserve">czy była </w:t>
      </w:r>
      <w:r w:rsidR="00C75A36">
        <w:t>„</w:t>
      </w:r>
      <w:r w:rsidR="009F2E24">
        <w:t>konieczna w demokratycznym społeczeństwie</w:t>
      </w:r>
      <w:r w:rsidR="00C75A36">
        <w:t>”</w:t>
      </w:r>
      <w:r w:rsidR="009F2E24">
        <w:t>.</w:t>
      </w:r>
    </w:p>
    <w:p w14:paraId="21C88EA0" w14:textId="5846ADCF" w:rsidR="00F44AFD" w:rsidRPr="009F2E24" w:rsidRDefault="00C75A36" w:rsidP="009F2E24">
      <w:pPr>
        <w:pStyle w:val="JuH1"/>
      </w:pPr>
      <w:r>
        <w:t>„</w:t>
      </w:r>
      <w:r w:rsidR="0067411A">
        <w:t>P</w:t>
      </w:r>
      <w:r w:rsidR="006B1575">
        <w:t>rzewidzian</w:t>
      </w:r>
      <w:r w:rsidR="0067411A">
        <w:t>a przez ustawę</w:t>
      </w:r>
      <w:r>
        <w:t>”</w:t>
      </w:r>
    </w:p>
    <w:p w14:paraId="2614561C" w14:textId="022158DF" w:rsidR="00F44AFD" w:rsidRPr="009F2E24" w:rsidRDefault="006B1575" w:rsidP="009F2E24">
      <w:pPr>
        <w:pStyle w:val="JuPara"/>
      </w:pPr>
      <w:bookmarkStart w:id="7" w:name="paragraph00021"/>
      <w:r>
        <w:rPr>
          <w:noProof/>
        </w:rPr>
        <w:t>17</w:t>
      </w:r>
      <w:bookmarkEnd w:id="7"/>
      <w:r>
        <w:t>.</w:t>
      </w:r>
      <w:r w:rsidR="00037E8D">
        <w:t xml:space="preserve"> </w:t>
      </w:r>
      <w:r>
        <w:t xml:space="preserve">Trybunał zauważa, że jako podstawę ujawnienia </w:t>
      </w:r>
      <w:r w:rsidR="00975260">
        <w:t xml:space="preserve">danych </w:t>
      </w:r>
      <w:r>
        <w:t>władze krajowe ostatecznie wskazały art. 15 § 2 Kodeksu postępowania karnego, zgodnie z którym wszystkie instytucje państwowe i samorządowe są obowiązane w zakresie swego działania do udzielania pomocy organom prowadzącym postępowanie karne w terminie wyznaczonym przez te organy.</w:t>
      </w:r>
    </w:p>
    <w:p w14:paraId="75383CAC" w14:textId="38D39028" w:rsidR="00F44AFD" w:rsidRPr="009F2E24" w:rsidRDefault="006B1575" w:rsidP="009F2E24">
      <w:pPr>
        <w:pStyle w:val="JuPara"/>
      </w:pPr>
      <w:bookmarkStart w:id="8" w:name="paragraph00022"/>
      <w:r>
        <w:rPr>
          <w:noProof/>
        </w:rPr>
        <w:t>18</w:t>
      </w:r>
      <w:bookmarkEnd w:id="8"/>
      <w:r>
        <w:t>.</w:t>
      </w:r>
      <w:r w:rsidR="00037E8D">
        <w:t xml:space="preserve"> </w:t>
      </w:r>
      <w:r>
        <w:t xml:space="preserve">Przyjmując do wiadomości argument skarżącej, że tak ogólnie sformułowana podstawa ujawnienia informacji medycznych mogła być przedmiotem szerokiej interpretacji, Trybunał nie musi ostatecznie rozstrzygać tej kwestii (zob., </w:t>
      </w:r>
      <w:r>
        <w:rPr>
          <w:i/>
        </w:rPr>
        <w:t>mutatis mutandis</w:t>
      </w:r>
      <w:r>
        <w:t xml:space="preserve">, </w:t>
      </w:r>
      <w:proofErr w:type="spellStart"/>
      <w:r>
        <w:rPr>
          <w:i/>
        </w:rPr>
        <w:t>Avilkina</w:t>
      </w:r>
      <w:proofErr w:type="spellEnd"/>
      <w:r>
        <w:rPr>
          <w:i/>
        </w:rPr>
        <w:t xml:space="preserve"> i inni</w:t>
      </w:r>
      <w:r>
        <w:t xml:space="preserve">, </w:t>
      </w:r>
      <w:r w:rsidR="00AF1A04">
        <w:t>cyt. powyżej</w:t>
      </w:r>
      <w:r>
        <w:t>,</w:t>
      </w:r>
      <w:r w:rsidR="00975260">
        <w:t xml:space="preserve"> </w:t>
      </w:r>
      <w:r w:rsidR="00CF2EBC">
        <w:t>§</w:t>
      </w:r>
      <w:r>
        <w:t xml:space="preserve"> 37), ponieważ ingerencja była w każdym razie nieproporcjonalna.</w:t>
      </w:r>
    </w:p>
    <w:p w14:paraId="097C7DC9" w14:textId="464F2BD3" w:rsidR="00F44AFD" w:rsidRPr="009F2E24" w:rsidRDefault="00C75A36" w:rsidP="009F2E24">
      <w:pPr>
        <w:pStyle w:val="JuH1"/>
      </w:pPr>
      <w:r>
        <w:t>„</w:t>
      </w:r>
      <w:r w:rsidR="006B1575">
        <w:t>Uprawniony cel</w:t>
      </w:r>
      <w:r>
        <w:t>”</w:t>
      </w:r>
    </w:p>
    <w:p w14:paraId="07F23FB2" w14:textId="6F94F766" w:rsidR="00F44AFD" w:rsidRPr="009F2E24" w:rsidRDefault="006B1575" w:rsidP="009F2E24">
      <w:pPr>
        <w:pStyle w:val="JuPara"/>
      </w:pPr>
      <w:r>
        <w:rPr>
          <w:noProof/>
        </w:rPr>
        <w:t>19</w:t>
      </w:r>
      <w:r w:rsidR="009F2E24">
        <w:t>.</w:t>
      </w:r>
      <w:r w:rsidR="00037E8D">
        <w:t xml:space="preserve"> </w:t>
      </w:r>
      <w:r w:rsidR="009F2E24">
        <w:t xml:space="preserve">W odniesieniu do </w:t>
      </w:r>
      <w:r w:rsidR="00C75A36">
        <w:t>„</w:t>
      </w:r>
      <w:r w:rsidR="009F2E24">
        <w:t>uprawnionego celu</w:t>
      </w:r>
      <w:r w:rsidR="00C75A36">
        <w:t>”</w:t>
      </w:r>
      <w:r w:rsidR="009F2E24">
        <w:t xml:space="preserve"> realizowanego przez ujawnienie danych </w:t>
      </w:r>
      <w:r w:rsidR="00CB29AC">
        <w:t>r</w:t>
      </w:r>
      <w:r w:rsidR="009F2E24">
        <w:t>ząd, powołując się na uzasadnienie przedstawione przez prokuratorów w oświadczeniu z dnia 8 listopada 2012 r. (zob. p</w:t>
      </w:r>
      <w:r w:rsidR="00CF2EBC">
        <w:t>aragraf</w:t>
      </w:r>
      <w:r w:rsidR="009F2E24">
        <w:t xml:space="preserve"> </w:t>
      </w:r>
      <w:r>
        <w:t>6</w:t>
      </w:r>
      <w:r w:rsidR="009F2E24">
        <w:t xml:space="preserve"> powyżej), argumentował, że kwestionowany środek został podjęty w celu </w:t>
      </w:r>
      <w:r w:rsidR="00C75A36">
        <w:t>„</w:t>
      </w:r>
      <w:r w:rsidR="009F2E24">
        <w:t>zapobiegania przestępczości oraz zapewnienia porządku publicznego i praw innych osób</w:t>
      </w:r>
      <w:r w:rsidR="00C75A36">
        <w:t>”</w:t>
      </w:r>
      <w:r w:rsidR="009F2E24">
        <w:t>. Skarżąca kwestionowała ten argument.</w:t>
      </w:r>
    </w:p>
    <w:p w14:paraId="73824190" w14:textId="1874E7F2" w:rsidR="00F44AFD" w:rsidRPr="009F2E24" w:rsidRDefault="006B1575" w:rsidP="009F2E24">
      <w:pPr>
        <w:pStyle w:val="JuPara"/>
      </w:pPr>
      <w:r>
        <w:rPr>
          <w:noProof/>
        </w:rPr>
        <w:t>20</w:t>
      </w:r>
      <w:r w:rsidR="009F2E24">
        <w:t>.</w:t>
      </w:r>
      <w:r w:rsidR="00037E8D">
        <w:t xml:space="preserve"> </w:t>
      </w:r>
      <w:r w:rsidR="009F2E24">
        <w:t>Trybunał zauważ</w:t>
      </w:r>
      <w:r w:rsidR="00624393">
        <w:t>a</w:t>
      </w:r>
      <w:r w:rsidR="009F2E24">
        <w:t>, że chociaż skarżąca nie była podejrzaną i nie była oskarżona w toczącym się postępowaniu karnym, miała jednak oczywisty związek z podejrzanym w nim (A.Ś.). W każdym razie, podobnie jak</w:t>
      </w:r>
      <w:r w:rsidR="00000362">
        <w:t> </w:t>
      </w:r>
      <w:r w:rsidR="009F2E24">
        <w:t>w</w:t>
      </w:r>
      <w:r w:rsidR="00000362">
        <w:t> </w:t>
      </w:r>
      <w:r w:rsidR="00CF2EBC">
        <w:t>paragraf</w:t>
      </w:r>
      <w:r w:rsidR="00792FD8">
        <w:t>ie</w:t>
      </w:r>
      <w:r w:rsidR="009F2E24">
        <w:t xml:space="preserve"> </w:t>
      </w:r>
      <w:r>
        <w:t>18</w:t>
      </w:r>
      <w:r w:rsidR="009F2E24">
        <w:t xml:space="preserve"> powyżej, Trybunał nie widzi potrzeby rozstrzygania tej kwestii w sposób ostateczny, biorąc pod uwagę nieproporcjonalny charakter ingerencji.</w:t>
      </w:r>
    </w:p>
    <w:p w14:paraId="671A3077" w14:textId="57F2DF9E" w:rsidR="00F44AFD" w:rsidRPr="009F2E24" w:rsidRDefault="00C75A36" w:rsidP="009F2E24">
      <w:pPr>
        <w:pStyle w:val="JuH1"/>
      </w:pPr>
      <w:r>
        <w:lastRenderedPageBreak/>
        <w:t>„</w:t>
      </w:r>
      <w:r w:rsidR="006B1575">
        <w:t>Konieczn</w:t>
      </w:r>
      <w:r w:rsidR="00624393">
        <w:t>a</w:t>
      </w:r>
      <w:r w:rsidR="006B1575">
        <w:t xml:space="preserve"> w demokratycznym społeczeństwie</w:t>
      </w:r>
      <w:r>
        <w:t>”</w:t>
      </w:r>
    </w:p>
    <w:p w14:paraId="72C22882" w14:textId="1B798CCA" w:rsidR="00F44AFD" w:rsidRPr="009F2E24" w:rsidRDefault="006B1575" w:rsidP="009F2E24">
      <w:pPr>
        <w:pStyle w:val="JuPara"/>
      </w:pPr>
      <w:r>
        <w:rPr>
          <w:noProof/>
        </w:rPr>
        <w:t>21</w:t>
      </w:r>
      <w:r w:rsidR="009F2E24">
        <w:t>.</w:t>
      </w:r>
      <w:r w:rsidR="00037E8D">
        <w:t xml:space="preserve"> </w:t>
      </w:r>
      <w:r w:rsidR="009F2E24">
        <w:t xml:space="preserve">Rozstrzygając, czy środki zastosowane przez władze były </w:t>
      </w:r>
      <w:r w:rsidR="00C75A36">
        <w:t>„</w:t>
      </w:r>
      <w:r w:rsidR="009F2E24">
        <w:t>konieczne w demokratycznym społeczeństwie</w:t>
      </w:r>
      <w:r w:rsidR="00C75A36">
        <w:t>”</w:t>
      </w:r>
      <w:r w:rsidR="009F2E24">
        <w:t>, Trybunał rozważy, czy w świetle całej sprawy były one proporcjonalne do zamierzonych celów.</w:t>
      </w:r>
    </w:p>
    <w:p w14:paraId="1D98F6EB" w14:textId="74A9500B" w:rsidR="00F44AFD" w:rsidRPr="009F2E24" w:rsidRDefault="006B1575" w:rsidP="009F2E24">
      <w:pPr>
        <w:pStyle w:val="JuPara"/>
      </w:pPr>
      <w:r>
        <w:rPr>
          <w:noProof/>
        </w:rPr>
        <w:t>22</w:t>
      </w:r>
      <w:r w:rsidR="009F2E24">
        <w:t>.</w:t>
      </w:r>
      <w:r w:rsidR="00037E8D">
        <w:t xml:space="preserve"> </w:t>
      </w:r>
      <w:r w:rsidR="009F2E24">
        <w:t xml:space="preserve">W szczególności musi ustalić, czy zachowano </w:t>
      </w:r>
      <w:r w:rsidR="00624393">
        <w:t>sprawiedliwą</w:t>
      </w:r>
      <w:r w:rsidR="009F2E24">
        <w:t xml:space="preserve"> równowagę między, z jednej strony, interesem publicznym w zapewnieniu wiarygodności opinii biegłych z zakresu medycyny zasięgniętych w</w:t>
      </w:r>
      <w:r w:rsidR="00000362">
        <w:t> </w:t>
      </w:r>
      <w:r w:rsidR="009F2E24">
        <w:t>postępowaniu karnym, a z drugiej strony, interesem skarżącej w</w:t>
      </w:r>
      <w:r w:rsidR="00000362">
        <w:t> </w:t>
      </w:r>
      <w:r w:rsidR="009F2E24">
        <w:t>zachowaniu poufności jej dokumentacji medycznej.</w:t>
      </w:r>
    </w:p>
    <w:p w14:paraId="10455A3C" w14:textId="70A9B1E9" w:rsidR="00F44AFD" w:rsidRPr="009F2E24" w:rsidRDefault="006B1575" w:rsidP="009F2E24">
      <w:pPr>
        <w:pStyle w:val="JuPara"/>
      </w:pPr>
      <w:r>
        <w:rPr>
          <w:noProof/>
        </w:rPr>
        <w:t>23</w:t>
      </w:r>
      <w:r w:rsidR="009F2E24">
        <w:t>.</w:t>
      </w:r>
      <w:r w:rsidR="00037E8D">
        <w:t xml:space="preserve"> </w:t>
      </w:r>
      <w:r w:rsidR="009F2E24">
        <w:t xml:space="preserve">Po pierwsze, Trybunał z zaniepokojeniem zauważa, że w odpowiedzi na postanowienie NFZ przekazał prokuraturze informacje znacznie wykraczające poza zakres żądania (zob. </w:t>
      </w:r>
      <w:r w:rsidR="00CF2EBC">
        <w:t>paragraf</w:t>
      </w:r>
      <w:r w:rsidR="00792FD8">
        <w:t>y</w:t>
      </w:r>
      <w:r w:rsidR="00CF2EBC">
        <w:t xml:space="preserve"> </w:t>
      </w:r>
      <w:r>
        <w:t>3</w:t>
      </w:r>
      <w:r w:rsidR="00624393">
        <w:t>–</w:t>
      </w:r>
      <w:r>
        <w:t>4</w:t>
      </w:r>
      <w:r w:rsidR="009F2E24">
        <w:t xml:space="preserve"> powyżej). W związku z tym, nawet jeśli wskazany przez władze cel należało uznać za u</w:t>
      </w:r>
      <w:r w:rsidR="00037E8D">
        <w:t>prawniony</w:t>
      </w:r>
      <w:r w:rsidR="009F2E24">
        <w:t>, to zakres ujawnienia nie był proporcjonalny do tego celu, ponieważ wystarczające byłoby uzyskanie nazwisk lekarzy świadczących skarżącej usługi medyczne, oraz co najwyżej dat, w których te usługi były świadczone. W konsekwencji informacje wykraczające poza zakres żądania powinny były zostać niezwłocznie usunięte z akt sprawy. Przechowując te nieistotne informacje w aktach sprawy, władze krajowe działały w sposób nieproporcjonalny, dążąc do osiągnięcia wskazanego przez siebie celu.</w:t>
      </w:r>
    </w:p>
    <w:p w14:paraId="4FA36080" w14:textId="4EF31C36" w:rsidR="00F44AFD" w:rsidRPr="009F2E24" w:rsidRDefault="006B1575" w:rsidP="009F2E24">
      <w:pPr>
        <w:pStyle w:val="JuPara"/>
      </w:pPr>
      <w:r>
        <w:rPr>
          <w:noProof/>
        </w:rPr>
        <w:t>24</w:t>
      </w:r>
      <w:r w:rsidR="009F2E24">
        <w:t>.</w:t>
      </w:r>
      <w:r w:rsidR="00037E8D">
        <w:t xml:space="preserve"> </w:t>
      </w:r>
      <w:r w:rsidR="009F2E24">
        <w:t xml:space="preserve">Po drugie (ponownie zakładając, że wskazany cel był </w:t>
      </w:r>
      <w:r w:rsidR="00037E8D">
        <w:t>uprawniony</w:t>
      </w:r>
      <w:r w:rsidR="009F2E24">
        <w:t>), Trybunał nie dostrzega, w jaki sposób dokumentacja medyczna skarżącej mogła mieć jakiekolwiek znaczenie dla śledztwa po zweryfikowaniu podejrzewanych powiązań między skarżącą a biegłymi z zakresu medycyny. W związku z tym przedmiotowe informacje należało usunąć z akt sprawy lub</w:t>
      </w:r>
      <w:r w:rsidR="00000362">
        <w:t> </w:t>
      </w:r>
      <w:r w:rsidR="009F2E24">
        <w:t xml:space="preserve">przynajmniej ograniczyć dostęp do nich. W związku z tym Trybunał jest zaskoczony faktem, że przez ponad sześć lat (zob. </w:t>
      </w:r>
      <w:r w:rsidR="008D2399">
        <w:t>paragraf</w:t>
      </w:r>
      <w:r w:rsidR="00792FD8">
        <w:t>y</w:t>
      </w:r>
      <w:r w:rsidR="009F2E24">
        <w:t xml:space="preserve"> </w:t>
      </w:r>
      <w:r>
        <w:t>4</w:t>
      </w:r>
      <w:r w:rsidR="009F2E24">
        <w:t xml:space="preserve"> i</w:t>
      </w:r>
      <w:r w:rsidR="00037E8D">
        <w:t xml:space="preserve"> </w:t>
      </w:r>
      <w:r>
        <w:t>8</w:t>
      </w:r>
      <w:r w:rsidR="009F2E24">
        <w:t xml:space="preserve"> powyżej) władze krajowe nie podjęły żadnych środków mających na celu ograniczenie zakresu ingerencji. Rząd zasadniczo potwierdził, że całość informacji medycznych skarżącej przekazanych przez NFZ była dostępna dla stron rzeczonego postępowania oraz innych, bliżej nie wskazanych postępowań, dopóki nie została umieszczona w zapieczętowanej kopercie w 2015 r. Ustalenie to dodatkowo potwierdza, że ingerencja miała nieproporcjonalny charakter.</w:t>
      </w:r>
    </w:p>
    <w:p w14:paraId="49B9EAE3" w14:textId="4C8AF550" w:rsidR="00F44AFD" w:rsidRPr="009F2E24" w:rsidRDefault="006B1575" w:rsidP="009F2E24">
      <w:pPr>
        <w:pStyle w:val="JuPara"/>
      </w:pPr>
      <w:r>
        <w:rPr>
          <w:noProof/>
        </w:rPr>
        <w:t>25</w:t>
      </w:r>
      <w:r w:rsidR="009F2E24">
        <w:t>.</w:t>
      </w:r>
      <w:r w:rsidR="00037E8D">
        <w:t xml:space="preserve"> </w:t>
      </w:r>
      <w:r w:rsidR="009F2E24">
        <w:t>W związku z tym, nawet przy założeniu, że istniał u</w:t>
      </w:r>
      <w:r w:rsidR="00037E8D">
        <w:t>prawniony</w:t>
      </w:r>
      <w:r w:rsidR="009F2E24">
        <w:t xml:space="preserve"> interes w nakazaniu NFZ przekazania informacji medycznych skarżącej, Trybunał stwierdz</w:t>
      </w:r>
      <w:r w:rsidR="0050080C">
        <w:t>a</w:t>
      </w:r>
      <w:r w:rsidR="009F2E24">
        <w:t>, że (i) zakres ujawnienia dokonanego przez NFZ, (ii) przedłużone przechowywanie tych informacji ponad okres konieczny do zweryfikowania podejrzewanych powiązań między skarżącą a biegłymi z zakresu medycyny oraz (iii) późniejsze ujawnienie tych informacji innym osobom, które miały dostęp do akt sprawy, były nieproporcjonalne do celu realizowanego przez prokuraturę. W związku z powyższym doszło do naruszenia art.</w:t>
      </w:r>
      <w:r w:rsidR="00037E8D">
        <w:t xml:space="preserve"> </w:t>
      </w:r>
      <w:r w:rsidR="009F2E24">
        <w:t>8 Konwencji.</w:t>
      </w:r>
    </w:p>
    <w:p w14:paraId="7C74DEE0" w14:textId="77777777" w:rsidR="00F44AFD" w:rsidRPr="009F2E24" w:rsidRDefault="006B1575" w:rsidP="009F2E24">
      <w:pPr>
        <w:pStyle w:val="JuHIRoman"/>
      </w:pPr>
      <w:r>
        <w:lastRenderedPageBreak/>
        <w:t>POZOSTAŁE ZARZUTY SKARGI</w:t>
      </w:r>
    </w:p>
    <w:p w14:paraId="2A974477" w14:textId="79607242" w:rsidR="00F44AFD" w:rsidRPr="009F2E24" w:rsidRDefault="006B1575" w:rsidP="009F2E24">
      <w:pPr>
        <w:pStyle w:val="JuPara"/>
      </w:pPr>
      <w:r>
        <w:rPr>
          <w:noProof/>
        </w:rPr>
        <w:t>26</w:t>
      </w:r>
      <w:r w:rsidR="009F2E24">
        <w:t>.</w:t>
      </w:r>
      <w:r w:rsidR="00037E8D">
        <w:t xml:space="preserve"> </w:t>
      </w:r>
      <w:r w:rsidR="009F2E24">
        <w:t>Skarżąca podniosła również zarzut na podstawie art. 13 Konwencji w</w:t>
      </w:r>
      <w:r w:rsidR="00000362">
        <w:t> </w:t>
      </w:r>
      <w:r w:rsidR="009F2E24">
        <w:t xml:space="preserve">związku z art. 8 Konwencji dotyczący braku skutecznego krajowego środka odwoławczego w celu zaskarżenia ujawnienia informacji w czasie istotnym dla sprawy. Mając na uwadze fakty sprawy, stanowiska stron oraz </w:t>
      </w:r>
      <w:r w:rsidR="00000B37">
        <w:t xml:space="preserve">powyższe </w:t>
      </w:r>
      <w:r w:rsidR="00730A6F">
        <w:t>stwierdzenia</w:t>
      </w:r>
      <w:r w:rsidR="009F2E24">
        <w:t xml:space="preserve">, Trybunał uznaje, że zbadał główne kwestie prawne </w:t>
      </w:r>
      <w:r w:rsidR="00730A6F">
        <w:t>ujawnione</w:t>
      </w:r>
      <w:r w:rsidR="009F2E24">
        <w:t xml:space="preserve"> w niniejszej skardze i nie ma potrzeby odrębnego </w:t>
      </w:r>
      <w:r w:rsidR="00730A6F">
        <w:t xml:space="preserve">rozpatrzenia </w:t>
      </w:r>
      <w:r w:rsidR="009F2E24">
        <w:t xml:space="preserve">pozostałych zarzutów skargi (zob. </w:t>
      </w:r>
      <w:bookmarkStart w:id="9" w:name="_cl23277THECOURTSASSESSMENT"/>
      <w:r w:rsidR="00D94137" w:rsidRPr="00D94137">
        <w:rPr>
          <w:i/>
          <w:iCs/>
        </w:rPr>
        <w:t xml:space="preserve">Centre for </w:t>
      </w:r>
      <w:proofErr w:type="spellStart"/>
      <w:r w:rsidR="00D94137" w:rsidRPr="00D94137">
        <w:rPr>
          <w:i/>
          <w:iCs/>
        </w:rPr>
        <w:t>Legal</w:t>
      </w:r>
      <w:proofErr w:type="spellEnd"/>
      <w:r w:rsidR="00D94137" w:rsidRPr="00D94137">
        <w:rPr>
          <w:i/>
          <w:iCs/>
        </w:rPr>
        <w:t xml:space="preserve"> </w:t>
      </w:r>
      <w:proofErr w:type="spellStart"/>
      <w:r w:rsidR="00D94137" w:rsidRPr="00D94137">
        <w:rPr>
          <w:i/>
          <w:iCs/>
        </w:rPr>
        <w:t>Resources</w:t>
      </w:r>
      <w:proofErr w:type="spellEnd"/>
      <w:r w:rsidR="00D94137" w:rsidRPr="00D94137">
        <w:rPr>
          <w:i/>
          <w:iCs/>
        </w:rPr>
        <w:t xml:space="preserve"> w imieniu Valentina </w:t>
      </w:r>
      <w:proofErr w:type="spellStart"/>
      <w:r w:rsidR="00D94137" w:rsidRPr="00D94137">
        <w:rPr>
          <w:i/>
          <w:iCs/>
        </w:rPr>
        <w:t>Câmpeanu</w:t>
      </w:r>
      <w:proofErr w:type="spellEnd"/>
      <w:r w:rsidR="009F2E24" w:rsidRPr="001A6AC3">
        <w:rPr>
          <w:i/>
          <w:iCs/>
        </w:rPr>
        <w:t xml:space="preserve"> przeciwko Rumunii</w:t>
      </w:r>
      <w:bookmarkEnd w:id="9"/>
      <w:r w:rsidR="009F2E24">
        <w:t xml:space="preserve"> [</w:t>
      </w:r>
      <w:proofErr w:type="spellStart"/>
      <w:r w:rsidR="009F2E24">
        <w:t>WI</w:t>
      </w:r>
      <w:proofErr w:type="spellEnd"/>
      <w:r w:rsidR="009F2E24">
        <w:t xml:space="preserve">], nr 47848/08, </w:t>
      </w:r>
      <w:r w:rsidR="00D76524">
        <w:t>§</w:t>
      </w:r>
      <w:r w:rsidR="009F2E24">
        <w:t>156, ETPC 2014).</w:t>
      </w:r>
    </w:p>
    <w:p w14:paraId="082A6446" w14:textId="77777777" w:rsidR="00F44AFD" w:rsidRPr="009F2E24" w:rsidRDefault="006B1575" w:rsidP="009F2E24">
      <w:pPr>
        <w:pStyle w:val="JuHHead"/>
      </w:pPr>
      <w:r>
        <w:t>ZASTOSOWANIE ART. 41 KONWENCJI</w:t>
      </w:r>
    </w:p>
    <w:p w14:paraId="5D557924" w14:textId="64112454" w:rsidR="00F44AFD" w:rsidRPr="009F2E24" w:rsidRDefault="006B1575" w:rsidP="009F2E24">
      <w:pPr>
        <w:pStyle w:val="JuPara"/>
      </w:pPr>
      <w:r>
        <w:rPr>
          <w:noProof/>
        </w:rPr>
        <w:t>27</w:t>
      </w:r>
      <w:r w:rsidR="009F2E24">
        <w:t>.</w:t>
      </w:r>
      <w:r w:rsidR="00037E8D">
        <w:t xml:space="preserve"> </w:t>
      </w:r>
      <w:r w:rsidR="009F2E24">
        <w:t>Skarżąca domagała się 30</w:t>
      </w:r>
      <w:r w:rsidR="00037E8D">
        <w:t xml:space="preserve"> </w:t>
      </w:r>
      <w:r w:rsidR="009F2E24">
        <w:t xml:space="preserve">000 euro (EUR) z tytułu </w:t>
      </w:r>
      <w:r w:rsidR="00C70F23">
        <w:t xml:space="preserve">słusznego </w:t>
      </w:r>
      <w:r w:rsidR="009F2E24">
        <w:t>zadośćuczynienia za szkodę niemajątkową, 3000 euro z</w:t>
      </w:r>
      <w:r w:rsidR="009F2E24">
        <w:rPr>
          <w:b/>
        </w:rPr>
        <w:t xml:space="preserve"> </w:t>
      </w:r>
      <w:r w:rsidR="009F2E24">
        <w:t>tytułu kosztów i</w:t>
      </w:r>
      <w:r w:rsidR="00000362">
        <w:t> </w:t>
      </w:r>
      <w:r w:rsidR="009F2E24">
        <w:t>wydatków poniesionych na szczeblu krajowym oraz 3000 euro z tytułu kosztów poniesionych przed Trybunałem.</w:t>
      </w:r>
    </w:p>
    <w:p w14:paraId="33153E42" w14:textId="5E789626" w:rsidR="00F44AFD" w:rsidRPr="009F2E24" w:rsidRDefault="006B1575" w:rsidP="009F2E24">
      <w:pPr>
        <w:pStyle w:val="JuPara"/>
      </w:pPr>
      <w:r>
        <w:rPr>
          <w:noProof/>
        </w:rPr>
        <w:t>28</w:t>
      </w:r>
      <w:r w:rsidR="009F2E24">
        <w:t>.</w:t>
      </w:r>
      <w:r w:rsidR="00037E8D">
        <w:t xml:space="preserve"> </w:t>
      </w:r>
      <w:r w:rsidR="009F2E24">
        <w:t>Rząd kwestionował roszczenia dotyczące szkody jako nadmierne i</w:t>
      </w:r>
      <w:r w:rsidR="00000362">
        <w:t> </w:t>
      </w:r>
      <w:r w:rsidR="009F2E24">
        <w:t>utrzymywał, że skarżąca nie przedstawiła dowodów na to, że faktycznie poniosła jakiekolwiek koszty w postępowaniu na szczeblu krajowym lub</w:t>
      </w:r>
      <w:r w:rsidR="00000362">
        <w:t> </w:t>
      </w:r>
      <w:r w:rsidR="009F2E24">
        <w:t>przed Trybunałem.</w:t>
      </w:r>
    </w:p>
    <w:p w14:paraId="51023E32" w14:textId="2380D218" w:rsidR="00F44AFD" w:rsidRPr="009F2E24" w:rsidRDefault="006B1575" w:rsidP="009F2E24">
      <w:pPr>
        <w:pStyle w:val="JuPara"/>
      </w:pPr>
      <w:r>
        <w:rPr>
          <w:noProof/>
        </w:rPr>
        <w:t>29</w:t>
      </w:r>
      <w:r w:rsidR="009F2E24">
        <w:t>.</w:t>
      </w:r>
      <w:r w:rsidR="00037E8D">
        <w:t xml:space="preserve"> </w:t>
      </w:r>
      <w:r w:rsidR="009F2E24">
        <w:t>Orzekając w oparciu o zasadę słuszności, Trybunał przyznaje skarżącej kwotę 7000</w:t>
      </w:r>
      <w:r w:rsidR="00037E8D">
        <w:t xml:space="preserve"> </w:t>
      </w:r>
      <w:r w:rsidR="009F2E24">
        <w:t xml:space="preserve">EUR tytułem </w:t>
      </w:r>
      <w:r w:rsidR="00C70F23">
        <w:t xml:space="preserve">słusznego </w:t>
      </w:r>
      <w:r w:rsidR="009F2E24">
        <w:t>zadośćuczynienia, powiększoną o należny podatek.</w:t>
      </w:r>
    </w:p>
    <w:p w14:paraId="5E18E44C" w14:textId="08DABB46" w:rsidR="00F44AFD" w:rsidRPr="009F2E24" w:rsidRDefault="006B1575" w:rsidP="009F2E24">
      <w:pPr>
        <w:pStyle w:val="JuPara"/>
      </w:pPr>
      <w:r>
        <w:rPr>
          <w:noProof/>
        </w:rPr>
        <w:t>30</w:t>
      </w:r>
      <w:r w:rsidR="009F2E24">
        <w:t>.</w:t>
      </w:r>
      <w:r w:rsidR="00037E8D">
        <w:t xml:space="preserve"> </w:t>
      </w:r>
      <w:r w:rsidR="009F2E24">
        <w:t xml:space="preserve">Trybunał przypomina, że zgodnie z Regułą 60 Regulaminu Trybunału należy przedstawić szczegółowe dane dotyczące wszystkich roszczeń, wraz z wszelkimi istotnymi dokumentami na ich potwierdzenie, w przeciwnym razie Trybunał może odrzucić roszczenie w całości lub w części (zob. </w:t>
      </w:r>
      <w:r w:rsidR="009F2E24">
        <w:rPr>
          <w:i/>
        </w:rPr>
        <w:t xml:space="preserve">Malik </w:t>
      </w:r>
      <w:proofErr w:type="spellStart"/>
      <w:r w:rsidR="009F2E24">
        <w:rPr>
          <w:i/>
        </w:rPr>
        <w:t>Babayev</w:t>
      </w:r>
      <w:proofErr w:type="spellEnd"/>
      <w:r w:rsidR="009F2E24">
        <w:rPr>
          <w:i/>
        </w:rPr>
        <w:t xml:space="preserve"> przeciwko Azerbejdżanowi, </w:t>
      </w:r>
      <w:r w:rsidR="009F2E24" w:rsidRPr="00B3347F">
        <w:rPr>
          <w:iCs/>
        </w:rPr>
        <w:t>nr</w:t>
      </w:r>
      <w:r w:rsidR="009F2E24">
        <w:rPr>
          <w:i/>
        </w:rPr>
        <w:t xml:space="preserve"> </w:t>
      </w:r>
      <w:r w:rsidR="009F2E24">
        <w:t xml:space="preserve">30500/11, </w:t>
      </w:r>
      <w:r w:rsidR="00D76524">
        <w:t>§</w:t>
      </w:r>
      <w:r w:rsidR="009F2E24">
        <w:t xml:space="preserve"> 97, 1 czerwca 2017 r.). Trybunał zauważa, że roszczenia dotyczące kosztów prawnych nie są poparte dowodami z dokumentów i dlatego muszą zostać odrzucone.</w:t>
      </w:r>
    </w:p>
    <w:p w14:paraId="7BFB132B" w14:textId="77777777" w:rsidR="00F44AFD" w:rsidRPr="009F2E24" w:rsidRDefault="006B1575" w:rsidP="009F2E24">
      <w:pPr>
        <w:pStyle w:val="JuHHead"/>
      </w:pPr>
      <w:r>
        <w:t>Z TYCH PRZYCZYN TRYBUNAŁ JEDNOGŁOŚNIE,</w:t>
      </w:r>
    </w:p>
    <w:p w14:paraId="6A1B5779" w14:textId="5873B9DB" w:rsidR="00F44AFD" w:rsidRPr="009F2E24" w:rsidRDefault="006B1575" w:rsidP="009F2E24">
      <w:pPr>
        <w:pStyle w:val="JuList"/>
      </w:pPr>
      <w:r>
        <w:rPr>
          <w:i/>
        </w:rPr>
        <w:t>Uznaje</w:t>
      </w:r>
      <w:r>
        <w:t xml:space="preserve"> </w:t>
      </w:r>
      <w:r w:rsidR="00B3347F">
        <w:t xml:space="preserve">zarzut </w:t>
      </w:r>
      <w:r>
        <w:t>skarg</w:t>
      </w:r>
      <w:r w:rsidR="00B3347F">
        <w:t xml:space="preserve">i na podstawie </w:t>
      </w:r>
      <w:r>
        <w:t>art. 8 Konwencji za dopuszczaln</w:t>
      </w:r>
      <w:r w:rsidR="00B3347F">
        <w:t>y</w:t>
      </w:r>
      <w:r>
        <w:t>;</w:t>
      </w:r>
    </w:p>
    <w:p w14:paraId="35F7AABA" w14:textId="6AADFCCB" w:rsidR="00F44AFD" w:rsidRPr="009F2E24" w:rsidRDefault="009230C9" w:rsidP="009F2E24">
      <w:pPr>
        <w:pStyle w:val="JuList"/>
      </w:pPr>
      <w:r>
        <w:rPr>
          <w:i/>
        </w:rPr>
        <w:t>O</w:t>
      </w:r>
      <w:r w:rsidR="006B1575">
        <w:rPr>
          <w:i/>
        </w:rPr>
        <w:t>rzeka</w:t>
      </w:r>
      <w:r w:rsidR="006B1575">
        <w:t>, że doszło do naruszenia art.</w:t>
      </w:r>
      <w:r w:rsidR="00037E8D">
        <w:t xml:space="preserve"> </w:t>
      </w:r>
      <w:r w:rsidR="006B1575">
        <w:t>8 Konwencji;</w:t>
      </w:r>
    </w:p>
    <w:p w14:paraId="795D7F61" w14:textId="60EF0A70" w:rsidR="00F44AFD" w:rsidRPr="009F2E24" w:rsidRDefault="009230C9" w:rsidP="009F2E24">
      <w:pPr>
        <w:pStyle w:val="JuList"/>
      </w:pPr>
      <w:r>
        <w:rPr>
          <w:i/>
        </w:rPr>
        <w:t>O</w:t>
      </w:r>
      <w:r w:rsidR="006B1575">
        <w:rPr>
          <w:i/>
        </w:rPr>
        <w:t>rzeka</w:t>
      </w:r>
      <w:r w:rsidR="006B1575">
        <w:t>, że nie ma potrzeby rozpatrywania dopuszczalności ani</w:t>
      </w:r>
      <w:r w:rsidR="00000362">
        <w:t> </w:t>
      </w:r>
      <w:r w:rsidR="006B1575">
        <w:t>przedmio</w:t>
      </w:r>
      <w:r w:rsidR="00B3347F">
        <w:t>tu</w:t>
      </w:r>
      <w:r w:rsidR="006B1575">
        <w:t xml:space="preserve"> skargi na podstawie art.</w:t>
      </w:r>
      <w:r w:rsidR="00037E8D">
        <w:t xml:space="preserve"> </w:t>
      </w:r>
      <w:r w:rsidR="006B1575">
        <w:t>13 w związku z art. 8 Konwencji;</w:t>
      </w:r>
    </w:p>
    <w:p w14:paraId="12EC95F7" w14:textId="2EFB60D2" w:rsidR="00F44AFD" w:rsidRPr="009F2E24" w:rsidRDefault="009230C9" w:rsidP="009F2E24">
      <w:pPr>
        <w:pStyle w:val="JuList"/>
      </w:pPr>
      <w:r>
        <w:rPr>
          <w:i/>
        </w:rPr>
        <w:t>O</w:t>
      </w:r>
      <w:r w:rsidR="006B1575">
        <w:rPr>
          <w:i/>
        </w:rPr>
        <w:t>rzeka,</w:t>
      </w:r>
    </w:p>
    <w:p w14:paraId="1941E399" w14:textId="6BD8A8F9" w:rsidR="00F44AFD" w:rsidRPr="009F2E24" w:rsidRDefault="006B1575" w:rsidP="009F2E24">
      <w:pPr>
        <w:pStyle w:val="JuLista"/>
        <w:numPr>
          <w:ilvl w:val="1"/>
          <w:numId w:val="1"/>
        </w:numPr>
      </w:pPr>
      <w:r>
        <w:lastRenderedPageBreak/>
        <w:t>że pozwane państwo winno, w terminie trzech miesięcy, uiścić na</w:t>
      </w:r>
      <w:r w:rsidR="000F6DB5">
        <w:t> </w:t>
      </w:r>
      <w:r>
        <w:t>rzecz skarżącej kwotę</w:t>
      </w:r>
      <w:r w:rsidR="00037E8D">
        <w:t xml:space="preserve"> </w:t>
      </w:r>
      <w:r>
        <w:t>7000</w:t>
      </w:r>
      <w:r w:rsidR="00037E8D">
        <w:t xml:space="preserve"> </w:t>
      </w:r>
      <w:r>
        <w:t>EUR (siedem tysięcy euro) powiększoną o wszelkie podatki należne od skarżącej, przeliczoną na walutę pozwanego państwa według kursu obowiązującego w dniu płatności;</w:t>
      </w:r>
    </w:p>
    <w:p w14:paraId="0FC52745" w14:textId="71D74CBE" w:rsidR="00F44AFD" w:rsidRPr="009F2E24" w:rsidRDefault="006B1575" w:rsidP="009F2E24">
      <w:pPr>
        <w:pStyle w:val="JuLista"/>
        <w:numPr>
          <w:ilvl w:val="1"/>
          <w:numId w:val="1"/>
        </w:numPr>
      </w:pPr>
      <w:r>
        <w:t xml:space="preserve">że od upływu wyżej wskazanego terminu trzech miesięcy </w:t>
      </w:r>
      <w:r w:rsidR="0066054A" w:rsidRPr="0066054A">
        <w:rPr>
          <w:bCs/>
          <w:iCs/>
        </w:rPr>
        <w:t xml:space="preserve">do daty płatności przysługiwać będą odsetki </w:t>
      </w:r>
      <w:r>
        <w:t>zwykłe od określonej powyżej kwoty, naliczone według stopy równej marginalnej stopie procentowej Europejskiego Banku Centralnego obowiązującej w tym okresie, powiększonej o trzy punkty procentowe;</w:t>
      </w:r>
    </w:p>
    <w:p w14:paraId="19804EDF" w14:textId="7CBE23BD" w:rsidR="004D0EC7" w:rsidRPr="009F2E24" w:rsidRDefault="009230C9" w:rsidP="009F2E24">
      <w:pPr>
        <w:pStyle w:val="JuList"/>
        <w:keepNext/>
        <w:keepLines/>
      </w:pPr>
      <w:r>
        <w:rPr>
          <w:i/>
        </w:rPr>
        <w:t>O</w:t>
      </w:r>
      <w:r w:rsidR="006B1575">
        <w:rPr>
          <w:i/>
        </w:rPr>
        <w:t xml:space="preserve">ddala </w:t>
      </w:r>
      <w:r w:rsidR="006B1575">
        <w:t>pozostałą część roszczenia skarżącej dotyczącego słusznego zadośćuczynienia.</w:t>
      </w:r>
    </w:p>
    <w:p w14:paraId="6A5E7B74" w14:textId="29B92A07" w:rsidR="008E3A08" w:rsidRPr="009F2E24" w:rsidRDefault="006B1575" w:rsidP="009F2E24">
      <w:pPr>
        <w:pStyle w:val="JuParaLast"/>
      </w:pPr>
      <w:r>
        <w:t xml:space="preserve">Sporządzono w języku angielskim i </w:t>
      </w:r>
      <w:r w:rsidR="0066054A">
        <w:t>notyfikowano</w:t>
      </w:r>
      <w:r>
        <w:t xml:space="preserve"> pisemnie w dniu 13</w:t>
      </w:r>
      <w:r w:rsidR="000F6DB5">
        <w:t> </w:t>
      </w:r>
      <w:r>
        <w:t>listopada 2025</w:t>
      </w:r>
      <w:r w:rsidR="009230C9">
        <w:t xml:space="preserve"> r.</w:t>
      </w:r>
      <w:r>
        <w:t>, zgodnie z Regułą 77 §§ 2 i 3 Regulaminu Trybunału.</w:t>
      </w:r>
    </w:p>
    <w:p w14:paraId="45B3050E" w14:textId="77777777" w:rsidR="007E79A4" w:rsidRPr="009F2E24" w:rsidRDefault="006B1575" w:rsidP="009F2E24">
      <w:pPr>
        <w:pStyle w:val="ECHRPlaceholder"/>
        <w:keepNext/>
        <w:keepLines/>
        <w:rPr>
          <w:szCs w:val="22"/>
        </w:rPr>
      </w:pPr>
      <w:r>
        <w:tab/>
      </w:r>
    </w:p>
    <w:p w14:paraId="7FD5C3D9" w14:textId="77777777" w:rsidR="007E79A4" w:rsidRPr="009F2E24" w:rsidRDefault="006B1575" w:rsidP="009F2E24">
      <w:pPr>
        <w:pStyle w:val="JuSigned"/>
        <w:keepNext/>
        <w:keepLines/>
      </w:pPr>
      <w:r>
        <w:tab/>
      </w:r>
      <w:proofErr w:type="spellStart"/>
      <w:r>
        <w:t>Liv</w:t>
      </w:r>
      <w:proofErr w:type="spellEnd"/>
      <w:r>
        <w:t xml:space="preserve"> </w:t>
      </w:r>
      <w:proofErr w:type="spellStart"/>
      <w:r>
        <w:t>Tigerstedt</w:t>
      </w:r>
      <w:proofErr w:type="spellEnd"/>
      <w:r>
        <w:tab/>
      </w:r>
      <w:proofErr w:type="spellStart"/>
      <w:r>
        <w:t>Davor</w:t>
      </w:r>
      <w:proofErr w:type="spellEnd"/>
      <w:r>
        <w:t xml:space="preserve"> </w:t>
      </w:r>
      <w:proofErr w:type="spellStart"/>
      <w:r>
        <w:t>Derenčinović</w:t>
      </w:r>
      <w:proofErr w:type="spellEnd"/>
      <w:r>
        <w:br/>
      </w:r>
      <w:r>
        <w:tab/>
        <w:t>Zastępczyni Kanclerza</w:t>
      </w:r>
      <w:r>
        <w:tab/>
        <w:t>Przewodniczący</w:t>
      </w:r>
    </w:p>
    <w:p w14:paraId="46C74CE6" w14:textId="77777777" w:rsidR="00675AF2" w:rsidRPr="009F2E24" w:rsidRDefault="00675AF2" w:rsidP="009F2E24">
      <w:pPr>
        <w:pStyle w:val="JuPara"/>
      </w:pPr>
    </w:p>
    <w:sectPr w:rsidR="00675AF2" w:rsidRPr="009F2E24"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C74F5" w14:textId="77777777" w:rsidR="005615C2" w:rsidRDefault="005615C2">
      <w:r>
        <w:separator/>
      </w:r>
    </w:p>
  </w:endnote>
  <w:endnote w:type="continuationSeparator" w:id="0">
    <w:p w14:paraId="427C0830" w14:textId="77777777" w:rsidR="005615C2" w:rsidRDefault="0056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2A2D5" w14:textId="77777777" w:rsidR="00F44AFD" w:rsidRPr="00150BFA" w:rsidRDefault="006B1575" w:rsidP="0020718E">
    <w:pPr>
      <w:jc w:val="center"/>
    </w:pPr>
    <w:r>
      <w:rPr>
        <w:noProof/>
      </w:rPr>
      <w:drawing>
        <wp:inline distT="0" distB="0" distL="0" distR="0" wp14:anchorId="27FF5F74" wp14:editId="0AFDB3AB">
          <wp:extent cx="771525" cy="619125"/>
          <wp:effectExtent l="0" t="0" r="9525" b="9525"/>
          <wp:docPr id="889337630" name="Picture 8893376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3763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54D6AD9" w14:textId="77777777" w:rsidR="0098410D" w:rsidRPr="00F44AFD"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CCC40" w14:textId="77777777" w:rsidR="00F44AFD" w:rsidRPr="00150BFA" w:rsidRDefault="006B1575" w:rsidP="0020718E">
    <w:pPr>
      <w:jc w:val="center"/>
    </w:pPr>
    <w:r>
      <w:rPr>
        <w:noProof/>
      </w:rPr>
      <w:drawing>
        <wp:inline distT="0" distB="0" distL="0" distR="0" wp14:anchorId="0533BFE3" wp14:editId="2D552DE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83468C1" w14:textId="77777777" w:rsidR="009E7A6F" w:rsidRPr="00F44AFD"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A7495" w14:textId="77777777" w:rsidR="00182EBA" w:rsidRDefault="006B1575" w:rsidP="009A115C">
    <w:pPr>
      <w:pStyle w:val="JuHeader"/>
    </w:pPr>
    <w:r>
      <w:fldChar w:fldCharType="begin"/>
    </w:r>
    <w:r>
      <w:instrText xml:space="preserve"> PAGE  \* MERGEFORMAT </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28BF2" w14:textId="77777777" w:rsidR="00182EBA" w:rsidRPr="000B7195" w:rsidRDefault="006B1575"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F6663" w14:textId="77777777" w:rsidR="005615C2" w:rsidRDefault="005615C2">
      <w:r>
        <w:separator/>
      </w:r>
    </w:p>
  </w:footnote>
  <w:footnote w:type="continuationSeparator" w:id="0">
    <w:p w14:paraId="44C20DED" w14:textId="77777777" w:rsidR="005615C2" w:rsidRDefault="00561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999D" w14:textId="77777777" w:rsidR="00F44AFD" w:rsidRPr="00A45145" w:rsidRDefault="006B1575" w:rsidP="00A45145">
    <w:pPr>
      <w:jc w:val="center"/>
    </w:pPr>
    <w:r>
      <w:rPr>
        <w:noProof/>
      </w:rPr>
      <w:drawing>
        <wp:inline distT="0" distB="0" distL="0" distR="0" wp14:anchorId="20F42DCD" wp14:editId="528DE10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3398D189" w14:textId="77777777" w:rsidR="0098410D" w:rsidRPr="00F44AFD"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7C646" w14:textId="77777777" w:rsidR="00F44AFD" w:rsidRPr="00A45145" w:rsidRDefault="006B1575" w:rsidP="00A45145">
    <w:pPr>
      <w:jc w:val="center"/>
    </w:pPr>
    <w:r>
      <w:rPr>
        <w:noProof/>
      </w:rPr>
      <w:drawing>
        <wp:inline distT="0" distB="0" distL="0" distR="0" wp14:anchorId="41E26862" wp14:editId="25CB5976">
          <wp:extent cx="2962275" cy="1219200"/>
          <wp:effectExtent l="0" t="0" r="9525" b="0"/>
          <wp:docPr id="1120256126" name="Picture 112025612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25612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EDE19F5" w14:textId="77777777" w:rsidR="0098410D" w:rsidRPr="00F44AFD"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3B1F6" w14:textId="47D335C3" w:rsidR="00182EBA" w:rsidRPr="00DB0F44" w:rsidRDefault="00DB0F44" w:rsidP="00DB0F44">
    <w:pPr>
      <w:pStyle w:val="Nagwek"/>
      <w:jc w:val="center"/>
    </w:pPr>
    <w:r w:rsidRPr="00DB0F44">
      <w:rPr>
        <w:sz w:val="18"/>
      </w:rPr>
      <w:t xml:space="preserve">WYROK W SPRAWIE </w:t>
    </w:r>
    <w:proofErr w:type="spellStart"/>
    <w:r w:rsidRPr="00DB0F44">
      <w:rPr>
        <w:sz w:val="18"/>
      </w:rPr>
      <w:t>A.G</w:t>
    </w:r>
    <w:proofErr w:type="spellEnd"/>
    <w:r w:rsidRPr="00DB0F44">
      <w:rPr>
        <w:sz w:val="18"/>
      </w:rPr>
      <w:t xml:space="preserve">.-Ś. </w:t>
    </w:r>
    <w:r w:rsidR="00000362" w:rsidRPr="00DB0F44">
      <w:rPr>
        <w:sz w:val="18"/>
      </w:rPr>
      <w:t xml:space="preserve">PRZECIWKO </w:t>
    </w:r>
    <w:r w:rsidRPr="00DB0F44">
      <w:rPr>
        <w:sz w:val="18"/>
      </w:rPr>
      <w:t>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7B983" w14:textId="15BACFC4" w:rsidR="00182EBA" w:rsidRPr="00882CD5" w:rsidRDefault="00DB0F44" w:rsidP="007D3701">
    <w:pPr>
      <w:pStyle w:val="JuHeader"/>
    </w:pPr>
    <w:r>
      <w:t xml:space="preserve">WYROK W SPRAWIE </w:t>
    </w:r>
    <w:proofErr w:type="spellStart"/>
    <w:r w:rsidR="006B1575">
      <w:t>A.G</w:t>
    </w:r>
    <w:proofErr w:type="spellEnd"/>
    <w:r w:rsidR="006B1575">
      <w:t xml:space="preserve">.-Ś. </w:t>
    </w:r>
    <w:r w:rsidR="00000362">
      <w:t xml:space="preserve">PRZECIWKO </w:t>
    </w:r>
    <w:r w:rsidR="006B1575">
      <w:t xml:space="preserve">POLSCE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60A07020">
      <w:start w:val="1"/>
      <w:numFmt w:val="bullet"/>
      <w:pStyle w:val="Listapunktowana"/>
      <w:lvlText w:val=""/>
      <w:lvlJc w:val="left"/>
      <w:pPr>
        <w:tabs>
          <w:tab w:val="num" w:pos="851"/>
        </w:tabs>
        <w:ind w:left="568" w:firstLine="0"/>
      </w:pPr>
      <w:rPr>
        <w:rFonts w:ascii="Wingdings" w:hAnsi="Wingdings" w:hint="default"/>
        <w:color w:val="808080"/>
        <w:sz w:val="16"/>
      </w:rPr>
    </w:lvl>
    <w:lvl w:ilvl="1" w:tplc="FD6233D8" w:tentative="1">
      <w:start w:val="1"/>
      <w:numFmt w:val="bullet"/>
      <w:lvlText w:val="o"/>
      <w:lvlJc w:val="left"/>
      <w:pPr>
        <w:tabs>
          <w:tab w:val="num" w:pos="1724"/>
        </w:tabs>
        <w:ind w:left="1724" w:hanging="360"/>
      </w:pPr>
      <w:rPr>
        <w:rFonts w:ascii="Courier New" w:hAnsi="Courier New" w:cs="Courier New" w:hint="default"/>
      </w:rPr>
    </w:lvl>
    <w:lvl w:ilvl="2" w:tplc="3C18DF90" w:tentative="1">
      <w:start w:val="1"/>
      <w:numFmt w:val="bullet"/>
      <w:lvlText w:val=""/>
      <w:lvlJc w:val="left"/>
      <w:pPr>
        <w:tabs>
          <w:tab w:val="num" w:pos="2444"/>
        </w:tabs>
        <w:ind w:left="2444" w:hanging="360"/>
      </w:pPr>
      <w:rPr>
        <w:rFonts w:ascii="Wingdings" w:hAnsi="Wingdings" w:hint="default"/>
      </w:rPr>
    </w:lvl>
    <w:lvl w:ilvl="3" w:tplc="19F8AD6A" w:tentative="1">
      <w:start w:val="1"/>
      <w:numFmt w:val="bullet"/>
      <w:lvlText w:val=""/>
      <w:lvlJc w:val="left"/>
      <w:pPr>
        <w:tabs>
          <w:tab w:val="num" w:pos="3164"/>
        </w:tabs>
        <w:ind w:left="3164" w:hanging="360"/>
      </w:pPr>
      <w:rPr>
        <w:rFonts w:ascii="Symbol" w:hAnsi="Symbol" w:hint="default"/>
      </w:rPr>
    </w:lvl>
    <w:lvl w:ilvl="4" w:tplc="56E6178A" w:tentative="1">
      <w:start w:val="1"/>
      <w:numFmt w:val="bullet"/>
      <w:lvlText w:val="o"/>
      <w:lvlJc w:val="left"/>
      <w:pPr>
        <w:tabs>
          <w:tab w:val="num" w:pos="3884"/>
        </w:tabs>
        <w:ind w:left="3884" w:hanging="360"/>
      </w:pPr>
      <w:rPr>
        <w:rFonts w:ascii="Courier New" w:hAnsi="Courier New" w:cs="Courier New" w:hint="default"/>
      </w:rPr>
    </w:lvl>
    <w:lvl w:ilvl="5" w:tplc="5038D5CA" w:tentative="1">
      <w:start w:val="1"/>
      <w:numFmt w:val="bullet"/>
      <w:lvlText w:val=""/>
      <w:lvlJc w:val="left"/>
      <w:pPr>
        <w:tabs>
          <w:tab w:val="num" w:pos="4604"/>
        </w:tabs>
        <w:ind w:left="4604" w:hanging="360"/>
      </w:pPr>
      <w:rPr>
        <w:rFonts w:ascii="Wingdings" w:hAnsi="Wingdings" w:hint="default"/>
      </w:rPr>
    </w:lvl>
    <w:lvl w:ilvl="6" w:tplc="38767456" w:tentative="1">
      <w:start w:val="1"/>
      <w:numFmt w:val="bullet"/>
      <w:lvlText w:val=""/>
      <w:lvlJc w:val="left"/>
      <w:pPr>
        <w:tabs>
          <w:tab w:val="num" w:pos="5324"/>
        </w:tabs>
        <w:ind w:left="5324" w:hanging="360"/>
      </w:pPr>
      <w:rPr>
        <w:rFonts w:ascii="Symbol" w:hAnsi="Symbol" w:hint="default"/>
      </w:rPr>
    </w:lvl>
    <w:lvl w:ilvl="7" w:tplc="7E8E6B5A" w:tentative="1">
      <w:start w:val="1"/>
      <w:numFmt w:val="bullet"/>
      <w:lvlText w:val="o"/>
      <w:lvlJc w:val="left"/>
      <w:pPr>
        <w:tabs>
          <w:tab w:val="num" w:pos="6044"/>
        </w:tabs>
        <w:ind w:left="6044" w:hanging="360"/>
      </w:pPr>
      <w:rPr>
        <w:rFonts w:ascii="Courier New" w:hAnsi="Courier New" w:cs="Courier New" w:hint="default"/>
      </w:rPr>
    </w:lvl>
    <w:lvl w:ilvl="8" w:tplc="DBA4BE34" w:tentative="1">
      <w:start w:val="1"/>
      <w:numFmt w:val="bullet"/>
      <w:lvlText w:val=""/>
      <w:lvlJc w:val="left"/>
      <w:pPr>
        <w:tabs>
          <w:tab w:val="num" w:pos="6764"/>
        </w:tabs>
        <w:ind w:left="6764" w:hanging="360"/>
      </w:pPr>
      <w:rPr>
        <w:rFonts w:ascii="Wingdings" w:hAnsi="Wingdings" w:hint="default"/>
      </w:rPr>
    </w:lvl>
  </w:abstractNum>
  <w:num w:numId="1" w16cid:durableId="1984236217">
    <w:abstractNumId w:val="13"/>
  </w:num>
  <w:num w:numId="2" w16cid:durableId="601958890">
    <w:abstractNumId w:val="14"/>
  </w:num>
  <w:num w:numId="3" w16cid:durableId="2029519385">
    <w:abstractNumId w:val="12"/>
  </w:num>
  <w:num w:numId="4" w16cid:durableId="1253926729">
    <w:abstractNumId w:val="11"/>
  </w:num>
  <w:num w:numId="5" w16cid:durableId="1918129604">
    <w:abstractNumId w:val="15"/>
  </w:num>
  <w:num w:numId="6" w16cid:durableId="575749366">
    <w:abstractNumId w:val="16"/>
  </w:num>
  <w:num w:numId="7" w16cid:durableId="619843984">
    <w:abstractNumId w:val="17"/>
  </w:num>
  <w:num w:numId="8" w16cid:durableId="242765977">
    <w:abstractNumId w:val="7"/>
  </w:num>
  <w:num w:numId="9" w16cid:durableId="910696365">
    <w:abstractNumId w:val="6"/>
  </w:num>
  <w:num w:numId="10" w16cid:durableId="1912882445">
    <w:abstractNumId w:val="5"/>
  </w:num>
  <w:num w:numId="11" w16cid:durableId="621808251">
    <w:abstractNumId w:val="4"/>
  </w:num>
  <w:num w:numId="12" w16cid:durableId="2070497814">
    <w:abstractNumId w:val="8"/>
  </w:num>
  <w:num w:numId="13" w16cid:durableId="2023313172">
    <w:abstractNumId w:val="3"/>
  </w:num>
  <w:num w:numId="14" w16cid:durableId="1558083553">
    <w:abstractNumId w:val="2"/>
  </w:num>
  <w:num w:numId="15" w16cid:durableId="1132597365">
    <w:abstractNumId w:val="1"/>
  </w:num>
  <w:num w:numId="16" w16cid:durableId="1007513875">
    <w:abstractNumId w:val="0"/>
  </w:num>
  <w:num w:numId="17" w16cid:durableId="1880046487">
    <w:abstractNumId w:val="15"/>
  </w:num>
  <w:num w:numId="18" w16cid:durableId="1181699203">
    <w:abstractNumId w:val="16"/>
  </w:num>
  <w:num w:numId="19" w16cid:durableId="813066483">
    <w:abstractNumId w:val="10"/>
  </w:num>
  <w:num w:numId="20" w16cid:durableId="94642193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0"/>
    <w:docVar w:name="DocVarPREMATURE" w:val="0"/>
    <w:docVar w:name="EMM" w:val="0"/>
    <w:docVar w:name="ETRANSMISSION" w:val="BY E-TRANSMISSION ONLY"/>
    <w:docVar w:name="L4_1Annex" w:val="0"/>
    <w:docVar w:name="L4_1Anonymity" w:val="1"/>
    <w:docVar w:name="NBEMMDOC" w:val="0"/>
    <w:docVar w:name="Plural" w:val="0"/>
    <w:docVar w:name="SignForeName" w:val="0"/>
    <w:docVar w:name="SndCaseNumber" w:val="Error!Nodocumentvariablesupplied."/>
  </w:docVars>
  <w:rsids>
    <w:rsidRoot w:val="00F44AFD"/>
    <w:rsid w:val="00000362"/>
    <w:rsid w:val="00000A4D"/>
    <w:rsid w:val="00000B37"/>
    <w:rsid w:val="000041F8"/>
    <w:rsid w:val="000042A8"/>
    <w:rsid w:val="00004308"/>
    <w:rsid w:val="00005BF0"/>
    <w:rsid w:val="0000617D"/>
    <w:rsid w:val="00007154"/>
    <w:rsid w:val="000103AE"/>
    <w:rsid w:val="00011D69"/>
    <w:rsid w:val="00012AD3"/>
    <w:rsid w:val="00015C2D"/>
    <w:rsid w:val="00015F00"/>
    <w:rsid w:val="0001768D"/>
    <w:rsid w:val="0002167C"/>
    <w:rsid w:val="00022C1D"/>
    <w:rsid w:val="00024AF9"/>
    <w:rsid w:val="0002592F"/>
    <w:rsid w:val="00031428"/>
    <w:rsid w:val="00034987"/>
    <w:rsid w:val="00037E8D"/>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9AF"/>
    <w:rsid w:val="000E1DC5"/>
    <w:rsid w:val="000E223F"/>
    <w:rsid w:val="000E46B8"/>
    <w:rsid w:val="000E6FE7"/>
    <w:rsid w:val="000E7D45"/>
    <w:rsid w:val="000F52F4"/>
    <w:rsid w:val="000F6DB5"/>
    <w:rsid w:val="000F7851"/>
    <w:rsid w:val="00101505"/>
    <w:rsid w:val="00104E23"/>
    <w:rsid w:val="00110DA8"/>
    <w:rsid w:val="00111B0C"/>
    <w:rsid w:val="00120D6C"/>
    <w:rsid w:val="001257EC"/>
    <w:rsid w:val="00126A05"/>
    <w:rsid w:val="00133D33"/>
    <w:rsid w:val="00134B6A"/>
    <w:rsid w:val="00134D64"/>
    <w:rsid w:val="00135A30"/>
    <w:rsid w:val="0013612C"/>
    <w:rsid w:val="00137FF6"/>
    <w:rsid w:val="00141650"/>
    <w:rsid w:val="00150BFA"/>
    <w:rsid w:val="001561B6"/>
    <w:rsid w:val="001623B9"/>
    <w:rsid w:val="00162A12"/>
    <w:rsid w:val="00166530"/>
    <w:rsid w:val="00170027"/>
    <w:rsid w:val="00182EBA"/>
    <w:rsid w:val="001832BD"/>
    <w:rsid w:val="001943B5"/>
    <w:rsid w:val="00195134"/>
    <w:rsid w:val="001A020C"/>
    <w:rsid w:val="001A145B"/>
    <w:rsid w:val="001A3E09"/>
    <w:rsid w:val="001A5D39"/>
    <w:rsid w:val="001A674C"/>
    <w:rsid w:val="001A6AC3"/>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218E"/>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1894"/>
    <w:rsid w:val="00252C4E"/>
    <w:rsid w:val="002532C5"/>
    <w:rsid w:val="00254DF2"/>
    <w:rsid w:val="00260C03"/>
    <w:rsid w:val="002629A8"/>
    <w:rsid w:val="0026439A"/>
    <w:rsid w:val="0026540E"/>
    <w:rsid w:val="00275123"/>
    <w:rsid w:val="00280248"/>
    <w:rsid w:val="00281B7C"/>
    <w:rsid w:val="00282240"/>
    <w:rsid w:val="00282BD8"/>
    <w:rsid w:val="00287AD5"/>
    <w:rsid w:val="002934D0"/>
    <w:rsid w:val="00293676"/>
    <w:rsid w:val="00293BD9"/>
    <w:rsid w:val="002948AD"/>
    <w:rsid w:val="002A01CC"/>
    <w:rsid w:val="002A4F6B"/>
    <w:rsid w:val="002A5A3C"/>
    <w:rsid w:val="002A613A"/>
    <w:rsid w:val="002A61B1"/>
    <w:rsid w:val="002A663C"/>
    <w:rsid w:val="002B3F05"/>
    <w:rsid w:val="002B444B"/>
    <w:rsid w:val="002B5887"/>
    <w:rsid w:val="002B5B43"/>
    <w:rsid w:val="002C0E27"/>
    <w:rsid w:val="002C3040"/>
    <w:rsid w:val="002C4433"/>
    <w:rsid w:val="002C5ADD"/>
    <w:rsid w:val="002C7826"/>
    <w:rsid w:val="002D022D"/>
    <w:rsid w:val="002D24BB"/>
    <w:rsid w:val="002D2FA7"/>
    <w:rsid w:val="002D4584"/>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7BB7"/>
    <w:rsid w:val="003710C8"/>
    <w:rsid w:val="00371E66"/>
    <w:rsid w:val="003750BE"/>
    <w:rsid w:val="00385A36"/>
    <w:rsid w:val="00385F3D"/>
    <w:rsid w:val="0038740C"/>
    <w:rsid w:val="00387B9D"/>
    <w:rsid w:val="00387C70"/>
    <w:rsid w:val="00390294"/>
    <w:rsid w:val="0039364F"/>
    <w:rsid w:val="00396686"/>
    <w:rsid w:val="0039778E"/>
    <w:rsid w:val="003A293E"/>
    <w:rsid w:val="003B4941"/>
    <w:rsid w:val="003C5714"/>
    <w:rsid w:val="003C6B9F"/>
    <w:rsid w:val="003C6E2A"/>
    <w:rsid w:val="003D0299"/>
    <w:rsid w:val="003E05DE"/>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10D5"/>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18C"/>
    <w:rsid w:val="004B444E"/>
    <w:rsid w:val="004C01E4"/>
    <w:rsid w:val="004C086C"/>
    <w:rsid w:val="004C1F56"/>
    <w:rsid w:val="004C27BC"/>
    <w:rsid w:val="004C6621"/>
    <w:rsid w:val="004D0EC7"/>
    <w:rsid w:val="004D15F3"/>
    <w:rsid w:val="004D3B3D"/>
    <w:rsid w:val="004D4EF1"/>
    <w:rsid w:val="004D5311"/>
    <w:rsid w:val="004D5DCC"/>
    <w:rsid w:val="004D7E45"/>
    <w:rsid w:val="004E686E"/>
    <w:rsid w:val="004F10AF"/>
    <w:rsid w:val="004F11A4"/>
    <w:rsid w:val="004F2389"/>
    <w:rsid w:val="004F304D"/>
    <w:rsid w:val="004F4290"/>
    <w:rsid w:val="004F61BE"/>
    <w:rsid w:val="004F66B1"/>
    <w:rsid w:val="0050080C"/>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15C2"/>
    <w:rsid w:val="00562781"/>
    <w:rsid w:val="00562B6C"/>
    <w:rsid w:val="0057271C"/>
    <w:rsid w:val="00572845"/>
    <w:rsid w:val="00572A1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D7BC2"/>
    <w:rsid w:val="005E2988"/>
    <w:rsid w:val="005E3085"/>
    <w:rsid w:val="005F0EB3"/>
    <w:rsid w:val="005F51E1"/>
    <w:rsid w:val="00611C80"/>
    <w:rsid w:val="00620692"/>
    <w:rsid w:val="00623885"/>
    <w:rsid w:val="006242CA"/>
    <w:rsid w:val="00624393"/>
    <w:rsid w:val="00627507"/>
    <w:rsid w:val="00633717"/>
    <w:rsid w:val="006344E1"/>
    <w:rsid w:val="00643524"/>
    <w:rsid w:val="0064393B"/>
    <w:rsid w:val="00645CF2"/>
    <w:rsid w:val="00653BED"/>
    <w:rsid w:val="006545C4"/>
    <w:rsid w:val="0066054A"/>
    <w:rsid w:val="00661971"/>
    <w:rsid w:val="00661CE8"/>
    <w:rsid w:val="006623D9"/>
    <w:rsid w:val="00663596"/>
    <w:rsid w:val="006642A5"/>
    <w:rsid w:val="0066550C"/>
    <w:rsid w:val="00665BD2"/>
    <w:rsid w:val="006716F2"/>
    <w:rsid w:val="0067411A"/>
    <w:rsid w:val="00675AF2"/>
    <w:rsid w:val="00682BF2"/>
    <w:rsid w:val="0068573E"/>
    <w:rsid w:val="006859CE"/>
    <w:rsid w:val="00691270"/>
    <w:rsid w:val="00694BA8"/>
    <w:rsid w:val="006A037C"/>
    <w:rsid w:val="006A0C84"/>
    <w:rsid w:val="006A1EDC"/>
    <w:rsid w:val="006A36F4"/>
    <w:rsid w:val="006A406F"/>
    <w:rsid w:val="006A4E97"/>
    <w:rsid w:val="006A5D3A"/>
    <w:rsid w:val="006B1575"/>
    <w:rsid w:val="006B1942"/>
    <w:rsid w:val="006B6D5C"/>
    <w:rsid w:val="006C075D"/>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0A6F"/>
    <w:rsid w:val="0073136C"/>
    <w:rsid w:val="00731F0F"/>
    <w:rsid w:val="00733250"/>
    <w:rsid w:val="00737587"/>
    <w:rsid w:val="00741404"/>
    <w:rsid w:val="007449E5"/>
    <w:rsid w:val="0074750E"/>
    <w:rsid w:val="00747FF0"/>
    <w:rsid w:val="00751066"/>
    <w:rsid w:val="0075566E"/>
    <w:rsid w:val="00763602"/>
    <w:rsid w:val="00764D4E"/>
    <w:rsid w:val="00765A1F"/>
    <w:rsid w:val="00775B6D"/>
    <w:rsid w:val="00776D68"/>
    <w:rsid w:val="00781140"/>
    <w:rsid w:val="0078323E"/>
    <w:rsid w:val="00783C14"/>
    <w:rsid w:val="007849C2"/>
    <w:rsid w:val="007850EE"/>
    <w:rsid w:val="00785B95"/>
    <w:rsid w:val="00790E96"/>
    <w:rsid w:val="007926FD"/>
    <w:rsid w:val="00792FD8"/>
    <w:rsid w:val="00793366"/>
    <w:rsid w:val="0079666C"/>
    <w:rsid w:val="007A6CE8"/>
    <w:rsid w:val="007A716F"/>
    <w:rsid w:val="007B270A"/>
    <w:rsid w:val="007B4182"/>
    <w:rsid w:val="007C0695"/>
    <w:rsid w:val="007C18D7"/>
    <w:rsid w:val="007C419A"/>
    <w:rsid w:val="007C4CC8"/>
    <w:rsid w:val="007C5426"/>
    <w:rsid w:val="007C5798"/>
    <w:rsid w:val="007D1ECD"/>
    <w:rsid w:val="007D3701"/>
    <w:rsid w:val="007D4832"/>
    <w:rsid w:val="007D7150"/>
    <w:rsid w:val="007E21B2"/>
    <w:rsid w:val="007E2C4E"/>
    <w:rsid w:val="007E2C8C"/>
    <w:rsid w:val="007E51BA"/>
    <w:rsid w:val="007E73D7"/>
    <w:rsid w:val="007E79A4"/>
    <w:rsid w:val="007F0076"/>
    <w:rsid w:val="007F1905"/>
    <w:rsid w:val="007F27E4"/>
    <w:rsid w:val="007F3437"/>
    <w:rsid w:val="007F3D0A"/>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2399"/>
    <w:rsid w:val="008D4752"/>
    <w:rsid w:val="008D5A13"/>
    <w:rsid w:val="008E271C"/>
    <w:rsid w:val="008E3A08"/>
    <w:rsid w:val="008E418E"/>
    <w:rsid w:val="008E5BC6"/>
    <w:rsid w:val="008E6217"/>
    <w:rsid w:val="008E62B6"/>
    <w:rsid w:val="008E6A25"/>
    <w:rsid w:val="008F1079"/>
    <w:rsid w:val="008F2465"/>
    <w:rsid w:val="008F2554"/>
    <w:rsid w:val="008F32FF"/>
    <w:rsid w:val="008F3AEC"/>
    <w:rsid w:val="008F4D80"/>
    <w:rsid w:val="008F5193"/>
    <w:rsid w:val="008F6B36"/>
    <w:rsid w:val="009013A7"/>
    <w:rsid w:val="009017FB"/>
    <w:rsid w:val="009017FC"/>
    <w:rsid w:val="00902BEF"/>
    <w:rsid w:val="0090506B"/>
    <w:rsid w:val="009050C9"/>
    <w:rsid w:val="009066FC"/>
    <w:rsid w:val="009140A3"/>
    <w:rsid w:val="009144A2"/>
    <w:rsid w:val="0091510C"/>
    <w:rsid w:val="009230C9"/>
    <w:rsid w:val="009259AC"/>
    <w:rsid w:val="00926F38"/>
    <w:rsid w:val="00927BEB"/>
    <w:rsid w:val="009333DC"/>
    <w:rsid w:val="00934301"/>
    <w:rsid w:val="00936CD1"/>
    <w:rsid w:val="0094131C"/>
    <w:rsid w:val="00941747"/>
    <w:rsid w:val="00941EFB"/>
    <w:rsid w:val="00947AFB"/>
    <w:rsid w:val="00951AA3"/>
    <w:rsid w:val="00951D7D"/>
    <w:rsid w:val="009564BF"/>
    <w:rsid w:val="00956D0C"/>
    <w:rsid w:val="009630C7"/>
    <w:rsid w:val="00972B55"/>
    <w:rsid w:val="009743B7"/>
    <w:rsid w:val="00975260"/>
    <w:rsid w:val="0098228B"/>
    <w:rsid w:val="009828DA"/>
    <w:rsid w:val="0098410D"/>
    <w:rsid w:val="00985BAB"/>
    <w:rsid w:val="00986B3C"/>
    <w:rsid w:val="009A115C"/>
    <w:rsid w:val="009A7FC1"/>
    <w:rsid w:val="009B1606"/>
    <w:rsid w:val="009B1B5F"/>
    <w:rsid w:val="009B6673"/>
    <w:rsid w:val="009B6C77"/>
    <w:rsid w:val="009C191B"/>
    <w:rsid w:val="009C2BD6"/>
    <w:rsid w:val="009D57AA"/>
    <w:rsid w:val="009E1F32"/>
    <w:rsid w:val="009E2CC2"/>
    <w:rsid w:val="009E47A2"/>
    <w:rsid w:val="009E776C"/>
    <w:rsid w:val="009E7A6F"/>
    <w:rsid w:val="009F2E24"/>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687A"/>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1CCB"/>
    <w:rsid w:val="00AC38DE"/>
    <w:rsid w:val="00AC4CD4"/>
    <w:rsid w:val="00AE0A2E"/>
    <w:rsid w:val="00AE354C"/>
    <w:rsid w:val="00AF12C5"/>
    <w:rsid w:val="00AF1A04"/>
    <w:rsid w:val="00AF4B07"/>
    <w:rsid w:val="00AF6186"/>
    <w:rsid w:val="00AF7A3A"/>
    <w:rsid w:val="00B02587"/>
    <w:rsid w:val="00B049D1"/>
    <w:rsid w:val="00B14793"/>
    <w:rsid w:val="00B153A0"/>
    <w:rsid w:val="00B160DB"/>
    <w:rsid w:val="00B20836"/>
    <w:rsid w:val="00B235BB"/>
    <w:rsid w:val="00B27A44"/>
    <w:rsid w:val="00B30BBF"/>
    <w:rsid w:val="00B3347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2438"/>
    <w:rsid w:val="00BB345F"/>
    <w:rsid w:val="00BB3EAD"/>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543"/>
    <w:rsid w:val="00C07D0E"/>
    <w:rsid w:val="00C115C3"/>
    <w:rsid w:val="00C15547"/>
    <w:rsid w:val="00C1672D"/>
    <w:rsid w:val="00C22687"/>
    <w:rsid w:val="00C26A92"/>
    <w:rsid w:val="00C26B1C"/>
    <w:rsid w:val="00C32E4D"/>
    <w:rsid w:val="00C333A0"/>
    <w:rsid w:val="00C36A81"/>
    <w:rsid w:val="00C41974"/>
    <w:rsid w:val="00C41B72"/>
    <w:rsid w:val="00C44A2C"/>
    <w:rsid w:val="00C44F09"/>
    <w:rsid w:val="00C477F7"/>
    <w:rsid w:val="00C509A6"/>
    <w:rsid w:val="00C53F4A"/>
    <w:rsid w:val="00C54125"/>
    <w:rsid w:val="00C55A0D"/>
    <w:rsid w:val="00C55B54"/>
    <w:rsid w:val="00C6098E"/>
    <w:rsid w:val="00C6152C"/>
    <w:rsid w:val="00C705EE"/>
    <w:rsid w:val="00C70F23"/>
    <w:rsid w:val="00C71424"/>
    <w:rsid w:val="00C74810"/>
    <w:rsid w:val="00C75A36"/>
    <w:rsid w:val="00C77470"/>
    <w:rsid w:val="00C843D5"/>
    <w:rsid w:val="00C909B3"/>
    <w:rsid w:val="00C90D68"/>
    <w:rsid w:val="00C939FE"/>
    <w:rsid w:val="00CA4BDA"/>
    <w:rsid w:val="00CB13E3"/>
    <w:rsid w:val="00CB1F66"/>
    <w:rsid w:val="00CB232C"/>
    <w:rsid w:val="00CB2951"/>
    <w:rsid w:val="00CB29AC"/>
    <w:rsid w:val="00CB4277"/>
    <w:rsid w:val="00CB7EA6"/>
    <w:rsid w:val="00CC5067"/>
    <w:rsid w:val="00CD11D3"/>
    <w:rsid w:val="00CD282B"/>
    <w:rsid w:val="00CD447B"/>
    <w:rsid w:val="00CD4C35"/>
    <w:rsid w:val="00CD7369"/>
    <w:rsid w:val="00CE0B0E"/>
    <w:rsid w:val="00CE168D"/>
    <w:rsid w:val="00CE3831"/>
    <w:rsid w:val="00CF2397"/>
    <w:rsid w:val="00CF2EBC"/>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6524"/>
    <w:rsid w:val="00D772C2"/>
    <w:rsid w:val="00D8008E"/>
    <w:rsid w:val="00D82C45"/>
    <w:rsid w:val="00D908A8"/>
    <w:rsid w:val="00D94137"/>
    <w:rsid w:val="00D96C5A"/>
    <w:rsid w:val="00D977B6"/>
    <w:rsid w:val="00D97E72"/>
    <w:rsid w:val="00DA1223"/>
    <w:rsid w:val="00DA4A31"/>
    <w:rsid w:val="00DA7B04"/>
    <w:rsid w:val="00DB0F44"/>
    <w:rsid w:val="00DB36C2"/>
    <w:rsid w:val="00DC00A8"/>
    <w:rsid w:val="00DC169B"/>
    <w:rsid w:val="00DC2AB9"/>
    <w:rsid w:val="00DC63F0"/>
    <w:rsid w:val="00DD37EA"/>
    <w:rsid w:val="00DD6EE5"/>
    <w:rsid w:val="00DE386C"/>
    <w:rsid w:val="00DE4D35"/>
    <w:rsid w:val="00DF098B"/>
    <w:rsid w:val="00DF11C4"/>
    <w:rsid w:val="00DF210C"/>
    <w:rsid w:val="00DF4B6A"/>
    <w:rsid w:val="00DF7FD7"/>
    <w:rsid w:val="00E004C0"/>
    <w:rsid w:val="00E02C09"/>
    <w:rsid w:val="00E04D59"/>
    <w:rsid w:val="00E07DA1"/>
    <w:rsid w:val="00E123CB"/>
    <w:rsid w:val="00E13B09"/>
    <w:rsid w:val="00E16CBE"/>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76DF0"/>
    <w:rsid w:val="00E827BC"/>
    <w:rsid w:val="00E838A6"/>
    <w:rsid w:val="00E849F7"/>
    <w:rsid w:val="00E90302"/>
    <w:rsid w:val="00E91D05"/>
    <w:rsid w:val="00E9262D"/>
    <w:rsid w:val="00E94245"/>
    <w:rsid w:val="00E95C1E"/>
    <w:rsid w:val="00E97396"/>
    <w:rsid w:val="00EA16CF"/>
    <w:rsid w:val="00EA185E"/>
    <w:rsid w:val="00EA592A"/>
    <w:rsid w:val="00EB14E4"/>
    <w:rsid w:val="00EB32A5"/>
    <w:rsid w:val="00EB34ED"/>
    <w:rsid w:val="00EB447C"/>
    <w:rsid w:val="00EB7BE0"/>
    <w:rsid w:val="00EC315E"/>
    <w:rsid w:val="00ED077C"/>
    <w:rsid w:val="00ED10A9"/>
    <w:rsid w:val="00ED1190"/>
    <w:rsid w:val="00ED34AC"/>
    <w:rsid w:val="00ED5671"/>
    <w:rsid w:val="00ED6544"/>
    <w:rsid w:val="00EE0277"/>
    <w:rsid w:val="00EE2899"/>
    <w:rsid w:val="00EE32C7"/>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3F00"/>
    <w:rsid w:val="00F249C5"/>
    <w:rsid w:val="00F266A2"/>
    <w:rsid w:val="00F26EA7"/>
    <w:rsid w:val="00F32269"/>
    <w:rsid w:val="00F3480C"/>
    <w:rsid w:val="00F35B7A"/>
    <w:rsid w:val="00F40700"/>
    <w:rsid w:val="00F44AFD"/>
    <w:rsid w:val="00F56A6F"/>
    <w:rsid w:val="00F5709C"/>
    <w:rsid w:val="00F60B85"/>
    <w:rsid w:val="00F64EF1"/>
    <w:rsid w:val="00F72498"/>
    <w:rsid w:val="00F72B14"/>
    <w:rsid w:val="00F7349B"/>
    <w:rsid w:val="00F8765F"/>
    <w:rsid w:val="00F90767"/>
    <w:rsid w:val="00F9263C"/>
    <w:rsid w:val="00F97C77"/>
    <w:rsid w:val="00FA1637"/>
    <w:rsid w:val="00FA685B"/>
    <w:rsid w:val="00FB0C01"/>
    <w:rsid w:val="00FB5934"/>
    <w:rsid w:val="00FC18F2"/>
    <w:rsid w:val="00FC2A17"/>
    <w:rsid w:val="00FC38CF"/>
    <w:rsid w:val="00FC39E5"/>
    <w:rsid w:val="00FC3A78"/>
    <w:rsid w:val="00FC4183"/>
    <w:rsid w:val="00FD1005"/>
    <w:rsid w:val="00FD1F7F"/>
    <w:rsid w:val="00FD6C75"/>
    <w:rsid w:val="00FD7972"/>
    <w:rsid w:val="00FE0401"/>
    <w:rsid w:val="00FE71B3"/>
    <w:rsid w:val="00FF309E"/>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F0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9F2E24"/>
    <w:rPr>
      <w:sz w:val="24"/>
      <w:szCs w:val="24"/>
    </w:rPr>
  </w:style>
  <w:style w:type="paragraph" w:styleId="Nagwek1">
    <w:name w:val="heading 1"/>
    <w:basedOn w:val="Normalny"/>
    <w:next w:val="Normalny"/>
    <w:link w:val="Nagwek1Znak"/>
    <w:uiPriority w:val="98"/>
    <w:semiHidden/>
    <w:rsid w:val="009F2E2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F2E2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F2E2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F2E2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F2E2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F2E2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F2E2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F2E2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F2E2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F2E24"/>
    <w:rPr>
      <w:rFonts w:ascii="Tahoma" w:hAnsi="Tahoma" w:cs="Tahoma"/>
      <w:sz w:val="16"/>
      <w:szCs w:val="16"/>
    </w:rPr>
  </w:style>
  <w:style w:type="character" w:customStyle="1" w:styleId="TekstdymkaZnak">
    <w:name w:val="Tekst dymka Znak"/>
    <w:basedOn w:val="Domylnaczcionkaakapitu"/>
    <w:link w:val="Tekstdymka"/>
    <w:uiPriority w:val="98"/>
    <w:semiHidden/>
    <w:rsid w:val="009F2E24"/>
    <w:rPr>
      <w:rFonts w:ascii="Tahoma" w:hAnsi="Tahoma" w:cs="Tahoma"/>
      <w:sz w:val="16"/>
      <w:szCs w:val="16"/>
      <w:lang w:val="pl-PL"/>
    </w:rPr>
  </w:style>
  <w:style w:type="character" w:styleId="Tytuksiki">
    <w:name w:val="Book Title"/>
    <w:uiPriority w:val="98"/>
    <w:semiHidden/>
    <w:qFormat/>
    <w:rsid w:val="009F2E24"/>
    <w:rPr>
      <w:i/>
      <w:iCs/>
      <w:smallCaps/>
      <w:spacing w:val="5"/>
    </w:rPr>
  </w:style>
  <w:style w:type="paragraph" w:customStyle="1" w:styleId="JuHeader">
    <w:name w:val="Ju_Header"/>
    <w:aliases w:val="_Header"/>
    <w:basedOn w:val="Nagwek"/>
    <w:uiPriority w:val="29"/>
    <w:qFormat/>
    <w:rsid w:val="009F2E24"/>
    <w:pPr>
      <w:tabs>
        <w:tab w:val="clear" w:pos="4536"/>
        <w:tab w:val="clear" w:pos="9072"/>
      </w:tabs>
      <w:jc w:val="center"/>
    </w:pPr>
    <w:rPr>
      <w:sz w:val="18"/>
    </w:rPr>
  </w:style>
  <w:style w:type="paragraph" w:customStyle="1" w:styleId="NormalJustified">
    <w:name w:val="Normal_Justified"/>
    <w:basedOn w:val="Normalny"/>
    <w:semiHidden/>
    <w:rsid w:val="009F2E24"/>
    <w:pPr>
      <w:jc w:val="both"/>
    </w:pPr>
  </w:style>
  <w:style w:type="character" w:styleId="Pogrubienie">
    <w:name w:val="Strong"/>
    <w:uiPriority w:val="98"/>
    <w:semiHidden/>
    <w:qFormat/>
    <w:rsid w:val="009F2E24"/>
    <w:rPr>
      <w:b/>
      <w:bCs/>
    </w:rPr>
  </w:style>
  <w:style w:type="paragraph" w:styleId="Bezodstpw">
    <w:name w:val="No Spacing"/>
    <w:basedOn w:val="Normalny"/>
    <w:link w:val="BezodstpwZnak"/>
    <w:uiPriority w:val="98"/>
    <w:semiHidden/>
    <w:qFormat/>
    <w:rsid w:val="009F2E24"/>
  </w:style>
  <w:style w:type="character" w:customStyle="1" w:styleId="BezodstpwZnak">
    <w:name w:val="Bez odstępów Znak"/>
    <w:basedOn w:val="Domylnaczcionkaakapitu"/>
    <w:link w:val="Bezodstpw"/>
    <w:uiPriority w:val="98"/>
    <w:semiHidden/>
    <w:rsid w:val="009F2E24"/>
    <w:rPr>
      <w:sz w:val="24"/>
      <w:szCs w:val="24"/>
      <w:lang w:val="pl-PL"/>
    </w:rPr>
  </w:style>
  <w:style w:type="paragraph" w:customStyle="1" w:styleId="JuQuot">
    <w:name w:val="Ju_Quot"/>
    <w:aliases w:val="_Quote"/>
    <w:basedOn w:val="NormalJustified"/>
    <w:uiPriority w:val="20"/>
    <w:qFormat/>
    <w:rsid w:val="009F2E24"/>
    <w:pPr>
      <w:spacing w:before="120" w:after="120"/>
      <w:ind w:left="425" w:firstLine="142"/>
    </w:pPr>
    <w:rPr>
      <w:sz w:val="20"/>
    </w:rPr>
  </w:style>
  <w:style w:type="paragraph" w:customStyle="1" w:styleId="DummyStyle">
    <w:name w:val="Dummy_Style"/>
    <w:aliases w:val="_Dummy"/>
    <w:basedOn w:val="Normalny"/>
    <w:semiHidden/>
    <w:qFormat/>
    <w:rsid w:val="009F2E24"/>
    <w:rPr>
      <w:color w:val="00B050"/>
      <w:sz w:val="22"/>
    </w:rPr>
  </w:style>
  <w:style w:type="paragraph" w:customStyle="1" w:styleId="JuList">
    <w:name w:val="Ju_List"/>
    <w:aliases w:val="_List_1"/>
    <w:basedOn w:val="NormalJustified"/>
    <w:uiPriority w:val="23"/>
    <w:qFormat/>
    <w:rsid w:val="009F2E24"/>
    <w:pPr>
      <w:numPr>
        <w:numId w:val="20"/>
      </w:numPr>
      <w:spacing w:before="280" w:after="60"/>
    </w:pPr>
  </w:style>
  <w:style w:type="paragraph" w:customStyle="1" w:styleId="JuLista">
    <w:name w:val="Ju_List_a"/>
    <w:aliases w:val="_List_2"/>
    <w:basedOn w:val="NormalJustified"/>
    <w:uiPriority w:val="23"/>
    <w:rsid w:val="009F2E24"/>
    <w:pPr>
      <w:numPr>
        <w:ilvl w:val="1"/>
        <w:numId w:val="20"/>
      </w:numPr>
    </w:pPr>
  </w:style>
  <w:style w:type="paragraph" w:customStyle="1" w:styleId="JuListi">
    <w:name w:val="Ju_List_i"/>
    <w:aliases w:val="_List_3"/>
    <w:basedOn w:val="NormalJustified"/>
    <w:uiPriority w:val="23"/>
    <w:rsid w:val="009F2E24"/>
    <w:pPr>
      <w:numPr>
        <w:ilvl w:val="2"/>
        <w:numId w:val="20"/>
      </w:numPr>
    </w:pPr>
  </w:style>
  <w:style w:type="paragraph" w:customStyle="1" w:styleId="JuHArticle">
    <w:name w:val="Ju_H_Article"/>
    <w:aliases w:val="_Title_Quote"/>
    <w:basedOn w:val="Normalny"/>
    <w:next w:val="JuQuot"/>
    <w:uiPriority w:val="19"/>
    <w:qFormat/>
    <w:rsid w:val="009F2E2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F2E2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F2E2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F2E24"/>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F2E24"/>
    <w:pPr>
      <w:numPr>
        <w:numId w:val="5"/>
      </w:numPr>
    </w:pPr>
  </w:style>
  <w:style w:type="paragraph" w:customStyle="1" w:styleId="JuSigned">
    <w:name w:val="Ju_Signed"/>
    <w:aliases w:val="_Signature"/>
    <w:basedOn w:val="Normalny"/>
    <w:next w:val="JuPara"/>
    <w:uiPriority w:val="31"/>
    <w:qFormat/>
    <w:rsid w:val="009F2E24"/>
    <w:pPr>
      <w:tabs>
        <w:tab w:val="center" w:pos="1418"/>
        <w:tab w:val="center" w:pos="5954"/>
      </w:tabs>
      <w:spacing w:before="720"/>
    </w:pPr>
  </w:style>
  <w:style w:type="paragraph" w:styleId="Tytu">
    <w:name w:val="Title"/>
    <w:basedOn w:val="Normalny"/>
    <w:next w:val="Normalny"/>
    <w:link w:val="TytuZnak"/>
    <w:uiPriority w:val="98"/>
    <w:semiHidden/>
    <w:qFormat/>
    <w:rsid w:val="009F2E2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F2E2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9F2E24"/>
    <w:pPr>
      <w:numPr>
        <w:numId w:val="1"/>
      </w:numPr>
    </w:pPr>
  </w:style>
  <w:style w:type="numbering" w:customStyle="1" w:styleId="ECHRA1StyleNumberedList">
    <w:name w:val="ECHR_A1_Style_Numbered_List"/>
    <w:basedOn w:val="Bezlisty"/>
    <w:rsid w:val="009F2E24"/>
    <w:pPr>
      <w:numPr>
        <w:numId w:val="6"/>
      </w:numPr>
    </w:pPr>
  </w:style>
  <w:style w:type="table" w:customStyle="1" w:styleId="ECHRTable2019">
    <w:name w:val="ECHR_Table_2019"/>
    <w:basedOn w:val="Standardowy"/>
    <w:uiPriority w:val="99"/>
    <w:rsid w:val="009F2E2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9F2E2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F2E24"/>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F2E24"/>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F2E24"/>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9F2E24"/>
    <w:pPr>
      <w:tabs>
        <w:tab w:val="center" w:pos="4536"/>
        <w:tab w:val="right" w:pos="9072"/>
      </w:tabs>
    </w:pPr>
  </w:style>
  <w:style w:type="character" w:customStyle="1" w:styleId="NagwekZnak">
    <w:name w:val="Nagłówek Znak"/>
    <w:basedOn w:val="Domylnaczcionkaakapitu"/>
    <w:link w:val="Nagwek"/>
    <w:uiPriority w:val="98"/>
    <w:semiHidden/>
    <w:rsid w:val="009F2E24"/>
    <w:rPr>
      <w:sz w:val="24"/>
      <w:szCs w:val="24"/>
      <w:lang w:val="pl-PL"/>
    </w:rPr>
  </w:style>
  <w:style w:type="character" w:customStyle="1" w:styleId="Nagwek1Znak">
    <w:name w:val="Nagłówek 1 Znak"/>
    <w:basedOn w:val="Domylnaczcionkaakapitu"/>
    <w:link w:val="Nagwek1"/>
    <w:uiPriority w:val="98"/>
    <w:semiHidden/>
    <w:rsid w:val="009F2E2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F2E24"/>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9F2E24"/>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F2E2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F2E24"/>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F2E24"/>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9F2E2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9F2E24"/>
    <w:pPr>
      <w:keepNext/>
      <w:keepLines/>
      <w:spacing w:before="240" w:after="240"/>
      <w:ind w:firstLine="284"/>
    </w:pPr>
  </w:style>
  <w:style w:type="paragraph" w:customStyle="1" w:styleId="JuJudges">
    <w:name w:val="Ju_Judges"/>
    <w:aliases w:val="_Judges"/>
    <w:basedOn w:val="Normalny"/>
    <w:uiPriority w:val="32"/>
    <w:qFormat/>
    <w:rsid w:val="009F2E24"/>
    <w:pPr>
      <w:tabs>
        <w:tab w:val="left" w:pos="567"/>
        <w:tab w:val="left" w:pos="1134"/>
      </w:tabs>
    </w:pPr>
  </w:style>
  <w:style w:type="character" w:customStyle="1" w:styleId="Nagwek4Znak">
    <w:name w:val="Nagłówek 4 Znak"/>
    <w:basedOn w:val="Domylnaczcionkaakapitu"/>
    <w:link w:val="Nagwek4"/>
    <w:uiPriority w:val="98"/>
    <w:semiHidden/>
    <w:rsid w:val="009F2E2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9F2E24"/>
    <w:pPr>
      <w:tabs>
        <w:tab w:val="center" w:pos="6407"/>
      </w:tabs>
      <w:spacing w:before="720"/>
      <w:jc w:val="right"/>
    </w:pPr>
  </w:style>
  <w:style w:type="character" w:customStyle="1" w:styleId="Nagwek5Znak">
    <w:name w:val="Nagłówek 5 Znak"/>
    <w:basedOn w:val="Domylnaczcionkaakapitu"/>
    <w:link w:val="Nagwek5"/>
    <w:uiPriority w:val="98"/>
    <w:semiHidden/>
    <w:rsid w:val="009F2E2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9F2E2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9F2E24"/>
    <w:rPr>
      <w:caps w:val="0"/>
      <w:smallCaps/>
    </w:rPr>
  </w:style>
  <w:style w:type="character" w:styleId="Wyrnieniedelikatne">
    <w:name w:val="Subtle Emphasis"/>
    <w:uiPriority w:val="98"/>
    <w:semiHidden/>
    <w:qFormat/>
    <w:rsid w:val="009F2E24"/>
    <w:rPr>
      <w:i/>
      <w:iCs/>
    </w:rPr>
  </w:style>
  <w:style w:type="table" w:customStyle="1" w:styleId="ECHRTable">
    <w:name w:val="ECHR_Table"/>
    <w:basedOn w:val="Standardowy"/>
    <w:rsid w:val="009F2E24"/>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F2E2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9F2E24"/>
    <w:rPr>
      <w:b/>
      <w:bCs/>
      <w:i/>
      <w:iCs/>
      <w:spacing w:val="10"/>
      <w:bdr w:val="none" w:sz="0" w:space="0" w:color="auto"/>
      <w:shd w:val="clear" w:color="auto" w:fill="auto"/>
    </w:rPr>
  </w:style>
  <w:style w:type="paragraph" w:styleId="Stopka">
    <w:name w:val="footer"/>
    <w:basedOn w:val="Normalny"/>
    <w:link w:val="StopkaZnak"/>
    <w:uiPriority w:val="98"/>
    <w:semiHidden/>
    <w:rsid w:val="009F2E24"/>
    <w:pPr>
      <w:tabs>
        <w:tab w:val="center" w:pos="3686"/>
        <w:tab w:val="right" w:pos="7371"/>
      </w:tabs>
    </w:pPr>
  </w:style>
  <w:style w:type="character" w:customStyle="1" w:styleId="StopkaZnak">
    <w:name w:val="Stopka Znak"/>
    <w:basedOn w:val="Domylnaczcionkaakapitu"/>
    <w:link w:val="Stopka"/>
    <w:uiPriority w:val="98"/>
    <w:semiHidden/>
    <w:rsid w:val="009F2E24"/>
    <w:rPr>
      <w:sz w:val="24"/>
      <w:szCs w:val="24"/>
      <w:lang w:val="pl-PL"/>
    </w:rPr>
  </w:style>
  <w:style w:type="character" w:styleId="Odwoanieprzypisudolnego">
    <w:name w:val="footnote reference"/>
    <w:basedOn w:val="Domylnaczcionkaakapitu"/>
    <w:uiPriority w:val="98"/>
    <w:semiHidden/>
    <w:rsid w:val="009F2E24"/>
    <w:rPr>
      <w:vertAlign w:val="superscript"/>
    </w:rPr>
  </w:style>
  <w:style w:type="paragraph" w:styleId="Tekstprzypisudolnego">
    <w:name w:val="footnote text"/>
    <w:basedOn w:val="NormalJustified"/>
    <w:link w:val="TekstprzypisudolnegoZnak"/>
    <w:uiPriority w:val="98"/>
    <w:semiHidden/>
    <w:rsid w:val="009F2E24"/>
    <w:rPr>
      <w:sz w:val="20"/>
      <w:szCs w:val="20"/>
    </w:rPr>
  </w:style>
  <w:style w:type="character" w:customStyle="1" w:styleId="TekstprzypisudolnegoZnak">
    <w:name w:val="Tekst przypisu dolnego Znak"/>
    <w:basedOn w:val="Domylnaczcionkaakapitu"/>
    <w:link w:val="Tekstprzypisudolnego"/>
    <w:uiPriority w:val="98"/>
    <w:semiHidden/>
    <w:rsid w:val="009F2E24"/>
    <w:rPr>
      <w:sz w:val="20"/>
      <w:szCs w:val="20"/>
      <w:lang w:val="pl-PL"/>
    </w:rPr>
  </w:style>
  <w:style w:type="character" w:customStyle="1" w:styleId="Nagwek6Znak">
    <w:name w:val="Nagłówek 6 Znak"/>
    <w:basedOn w:val="Domylnaczcionkaakapitu"/>
    <w:link w:val="Nagwek6"/>
    <w:uiPriority w:val="98"/>
    <w:semiHidden/>
    <w:rsid w:val="009F2E2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F2E2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F2E2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F2E2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9F2E24"/>
    <w:rPr>
      <w:color w:val="0072BC" w:themeColor="hyperlink"/>
      <w:u w:val="single"/>
    </w:rPr>
  </w:style>
  <w:style w:type="character" w:styleId="Wyrnienieintensywne">
    <w:name w:val="Intense Emphasis"/>
    <w:uiPriority w:val="98"/>
    <w:semiHidden/>
    <w:qFormat/>
    <w:rsid w:val="009F2E24"/>
    <w:rPr>
      <w:b/>
      <w:bCs/>
    </w:rPr>
  </w:style>
  <w:style w:type="paragraph" w:styleId="Cytatintensywny">
    <w:name w:val="Intense Quote"/>
    <w:basedOn w:val="Normalny"/>
    <w:next w:val="Normalny"/>
    <w:link w:val="CytatintensywnyZnak"/>
    <w:uiPriority w:val="98"/>
    <w:semiHidden/>
    <w:qFormat/>
    <w:rsid w:val="009F2E2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F2E24"/>
    <w:rPr>
      <w:b/>
      <w:bCs/>
      <w:i/>
      <w:iCs/>
      <w:sz w:val="24"/>
      <w:szCs w:val="24"/>
      <w:lang w:val="pl-PL" w:bidi="en-US"/>
    </w:rPr>
  </w:style>
  <w:style w:type="character" w:styleId="Odwoanieintensywne">
    <w:name w:val="Intense Reference"/>
    <w:uiPriority w:val="98"/>
    <w:semiHidden/>
    <w:qFormat/>
    <w:rsid w:val="009F2E24"/>
    <w:rPr>
      <w:smallCaps/>
      <w:spacing w:val="5"/>
      <w:u w:val="single"/>
    </w:rPr>
  </w:style>
  <w:style w:type="paragraph" w:styleId="Akapitzlist">
    <w:name w:val="List Paragraph"/>
    <w:basedOn w:val="Normalny"/>
    <w:uiPriority w:val="98"/>
    <w:semiHidden/>
    <w:qFormat/>
    <w:rsid w:val="009F2E24"/>
    <w:pPr>
      <w:ind w:left="720"/>
      <w:contextualSpacing/>
    </w:pPr>
  </w:style>
  <w:style w:type="table" w:customStyle="1" w:styleId="LtrTableAddress">
    <w:name w:val="Ltr_Table_Address"/>
    <w:aliases w:val="ECHR_Ltr_Table_Address"/>
    <w:basedOn w:val="Standardowy"/>
    <w:uiPriority w:val="99"/>
    <w:rsid w:val="009F2E24"/>
    <w:rPr>
      <w:sz w:val="24"/>
      <w:szCs w:val="24"/>
    </w:rPr>
    <w:tblPr>
      <w:tblInd w:w="5103" w:type="dxa"/>
    </w:tblPr>
  </w:style>
  <w:style w:type="paragraph" w:styleId="Cytat">
    <w:name w:val="Quote"/>
    <w:basedOn w:val="Normalny"/>
    <w:next w:val="Normalny"/>
    <w:link w:val="CytatZnak"/>
    <w:uiPriority w:val="98"/>
    <w:semiHidden/>
    <w:qFormat/>
    <w:rsid w:val="009F2E24"/>
    <w:pPr>
      <w:spacing w:before="200"/>
      <w:ind w:left="360" w:right="360"/>
    </w:pPr>
    <w:rPr>
      <w:i/>
      <w:iCs/>
      <w:lang w:bidi="en-US"/>
    </w:rPr>
  </w:style>
  <w:style w:type="character" w:customStyle="1" w:styleId="CytatZnak">
    <w:name w:val="Cytat Znak"/>
    <w:basedOn w:val="Domylnaczcionkaakapitu"/>
    <w:link w:val="Cytat"/>
    <w:uiPriority w:val="98"/>
    <w:semiHidden/>
    <w:rsid w:val="009F2E24"/>
    <w:rPr>
      <w:i/>
      <w:iCs/>
      <w:sz w:val="24"/>
      <w:szCs w:val="24"/>
      <w:lang w:val="pl-PL" w:bidi="en-US"/>
    </w:rPr>
  </w:style>
  <w:style w:type="character" w:styleId="Odwoaniedelikatne">
    <w:name w:val="Subtle Reference"/>
    <w:uiPriority w:val="98"/>
    <w:semiHidden/>
    <w:qFormat/>
    <w:rsid w:val="009F2E24"/>
    <w:rPr>
      <w:smallCaps/>
    </w:rPr>
  </w:style>
  <w:style w:type="table" w:styleId="Tabela-Siatka">
    <w:name w:val="Table Grid"/>
    <w:basedOn w:val="Standardowy"/>
    <w:uiPriority w:val="59"/>
    <w:semiHidden/>
    <w:rsid w:val="009F2E2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F2E2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F2E2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F2E2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F2E2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F2E2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F2E2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9F2E2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F2E2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F2E2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F2E2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9F2E2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F2E2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F2E2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9F2E2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F2E2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F2E24"/>
    <w:pPr>
      <w:numPr>
        <w:numId w:val="2"/>
      </w:numPr>
    </w:pPr>
  </w:style>
  <w:style w:type="paragraph" w:customStyle="1" w:styleId="JuPara">
    <w:name w:val="Ju_Para"/>
    <w:aliases w:val="_Para"/>
    <w:basedOn w:val="NormalJustified"/>
    <w:link w:val="JuParaChar"/>
    <w:uiPriority w:val="4"/>
    <w:qFormat/>
    <w:rsid w:val="009F2E24"/>
    <w:pPr>
      <w:ind w:firstLine="284"/>
    </w:pPr>
  </w:style>
  <w:style w:type="numbering" w:styleId="1ai">
    <w:name w:val="Outline List 1"/>
    <w:basedOn w:val="Bezlisty"/>
    <w:uiPriority w:val="99"/>
    <w:semiHidden/>
    <w:unhideWhenUsed/>
    <w:rsid w:val="009F2E24"/>
    <w:pPr>
      <w:numPr>
        <w:numId w:val="3"/>
      </w:numPr>
    </w:pPr>
  </w:style>
  <w:style w:type="table" w:customStyle="1" w:styleId="ECHRTableSimpleBox">
    <w:name w:val="ECHR_Table_Simple_Box"/>
    <w:basedOn w:val="Standardowy"/>
    <w:uiPriority w:val="99"/>
    <w:rsid w:val="009F2E2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9F2E2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9F2E24"/>
    <w:pPr>
      <w:numPr>
        <w:numId w:val="4"/>
      </w:numPr>
    </w:pPr>
  </w:style>
  <w:style w:type="table" w:customStyle="1" w:styleId="ECHRTableForInternalUse">
    <w:name w:val="ECHR_Table_For_Internal_Use"/>
    <w:basedOn w:val="Standardowy"/>
    <w:uiPriority w:val="99"/>
    <w:rsid w:val="009F2E2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9F2E2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F2E24"/>
  </w:style>
  <w:style w:type="paragraph" w:styleId="Tekstblokowy">
    <w:name w:val="Block Text"/>
    <w:basedOn w:val="Normalny"/>
    <w:uiPriority w:val="98"/>
    <w:semiHidden/>
    <w:rsid w:val="009F2E2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F2E2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F2E24"/>
    <w:pPr>
      <w:spacing w:after="120"/>
    </w:pPr>
  </w:style>
  <w:style w:type="character" w:customStyle="1" w:styleId="TekstpodstawowyZnak">
    <w:name w:val="Tekst podstawowy Znak"/>
    <w:basedOn w:val="Domylnaczcionkaakapitu"/>
    <w:link w:val="Tekstpodstawowy"/>
    <w:uiPriority w:val="98"/>
    <w:semiHidden/>
    <w:rsid w:val="009F2E24"/>
    <w:rPr>
      <w:sz w:val="24"/>
      <w:szCs w:val="24"/>
      <w:lang w:val="pl-PL"/>
    </w:rPr>
  </w:style>
  <w:style w:type="table" w:customStyle="1" w:styleId="ECHRTableOddBanded">
    <w:name w:val="ECHR_Table_Odd_Banded"/>
    <w:basedOn w:val="Standardowy"/>
    <w:uiPriority w:val="99"/>
    <w:rsid w:val="009F2E2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F2E24"/>
    <w:pPr>
      <w:spacing w:after="120" w:line="480" w:lineRule="auto"/>
    </w:pPr>
  </w:style>
  <w:style w:type="table" w:customStyle="1" w:styleId="ECHRHeaderTableReduced">
    <w:name w:val="ECHR_Header_Table_Reduced"/>
    <w:basedOn w:val="Standardowy"/>
    <w:uiPriority w:val="99"/>
    <w:rsid w:val="009F2E2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F2E24"/>
    <w:pPr>
      <w:ind w:firstLine="284"/>
    </w:pPr>
    <w:rPr>
      <w:b/>
    </w:rPr>
  </w:style>
  <w:style w:type="character" w:styleId="Numerstrony">
    <w:name w:val="page number"/>
    <w:uiPriority w:val="98"/>
    <w:semiHidden/>
    <w:rsid w:val="009F2E24"/>
    <w:rPr>
      <w:sz w:val="18"/>
    </w:rPr>
  </w:style>
  <w:style w:type="paragraph" w:styleId="Listapunktowana">
    <w:name w:val="List Bullet"/>
    <w:basedOn w:val="Normalny"/>
    <w:uiPriority w:val="98"/>
    <w:semiHidden/>
    <w:rsid w:val="009F2E24"/>
    <w:pPr>
      <w:numPr>
        <w:numId w:val="7"/>
      </w:numPr>
    </w:pPr>
  </w:style>
  <w:style w:type="paragraph" w:styleId="Listapunktowana3">
    <w:name w:val="List Bullet 3"/>
    <w:basedOn w:val="Normalny"/>
    <w:uiPriority w:val="98"/>
    <w:semiHidden/>
    <w:rsid w:val="009F2E24"/>
    <w:pPr>
      <w:numPr>
        <w:numId w:val="9"/>
      </w:numPr>
      <w:contextualSpacing/>
    </w:pPr>
  </w:style>
  <w:style w:type="character" w:customStyle="1" w:styleId="Tekstpodstawowy2Znak">
    <w:name w:val="Tekst podstawowy 2 Znak"/>
    <w:basedOn w:val="Domylnaczcionkaakapitu"/>
    <w:link w:val="Tekstpodstawowy2"/>
    <w:uiPriority w:val="98"/>
    <w:semiHidden/>
    <w:rsid w:val="009F2E24"/>
    <w:rPr>
      <w:sz w:val="24"/>
      <w:szCs w:val="24"/>
      <w:lang w:val="pl-PL"/>
    </w:rPr>
  </w:style>
  <w:style w:type="paragraph" w:styleId="Tekstpodstawowy3">
    <w:name w:val="Body Text 3"/>
    <w:basedOn w:val="Normalny"/>
    <w:link w:val="Tekstpodstawowy3Znak"/>
    <w:uiPriority w:val="98"/>
    <w:semiHidden/>
    <w:rsid w:val="009F2E24"/>
    <w:pPr>
      <w:spacing w:after="120"/>
    </w:pPr>
    <w:rPr>
      <w:sz w:val="16"/>
      <w:szCs w:val="16"/>
    </w:rPr>
  </w:style>
  <w:style w:type="character" w:customStyle="1" w:styleId="Tekstpodstawowy3Znak">
    <w:name w:val="Tekst podstawowy 3 Znak"/>
    <w:basedOn w:val="Domylnaczcionkaakapitu"/>
    <w:link w:val="Tekstpodstawowy3"/>
    <w:uiPriority w:val="98"/>
    <w:semiHidden/>
    <w:rsid w:val="009F2E24"/>
    <w:rPr>
      <w:sz w:val="16"/>
      <w:szCs w:val="16"/>
      <w:lang w:val="pl-PL"/>
    </w:rPr>
  </w:style>
  <w:style w:type="paragraph" w:styleId="Tekstpodstawowyzwciciem">
    <w:name w:val="Body Text First Indent"/>
    <w:basedOn w:val="Tekstpodstawowy"/>
    <w:link w:val="TekstpodstawowyzwciciemZnak"/>
    <w:uiPriority w:val="98"/>
    <w:semiHidden/>
    <w:rsid w:val="009F2E2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F2E24"/>
    <w:rPr>
      <w:sz w:val="24"/>
      <w:szCs w:val="24"/>
      <w:lang w:val="pl-PL"/>
    </w:rPr>
  </w:style>
  <w:style w:type="paragraph" w:styleId="Tekstpodstawowywcity">
    <w:name w:val="Body Text Indent"/>
    <w:basedOn w:val="Normalny"/>
    <w:link w:val="TekstpodstawowywcityZnak"/>
    <w:uiPriority w:val="98"/>
    <w:semiHidden/>
    <w:rsid w:val="009F2E24"/>
    <w:pPr>
      <w:spacing w:after="120"/>
      <w:ind w:left="283"/>
    </w:pPr>
  </w:style>
  <w:style w:type="character" w:customStyle="1" w:styleId="TekstpodstawowywcityZnak">
    <w:name w:val="Tekst podstawowy wcięty Znak"/>
    <w:basedOn w:val="Domylnaczcionkaakapitu"/>
    <w:link w:val="Tekstpodstawowywcity"/>
    <w:uiPriority w:val="98"/>
    <w:semiHidden/>
    <w:rsid w:val="009F2E24"/>
    <w:rPr>
      <w:sz w:val="24"/>
      <w:szCs w:val="24"/>
      <w:lang w:val="pl-PL"/>
    </w:rPr>
  </w:style>
  <w:style w:type="paragraph" w:styleId="Tekstpodstawowyzwciciem2">
    <w:name w:val="Body Text First Indent 2"/>
    <w:basedOn w:val="Tekstpodstawowywcity"/>
    <w:link w:val="Tekstpodstawowyzwciciem2Znak"/>
    <w:uiPriority w:val="98"/>
    <w:semiHidden/>
    <w:rsid w:val="009F2E2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F2E24"/>
    <w:rPr>
      <w:sz w:val="24"/>
      <w:szCs w:val="24"/>
      <w:lang w:val="pl-PL"/>
    </w:rPr>
  </w:style>
  <w:style w:type="paragraph" w:styleId="Tekstpodstawowywcity2">
    <w:name w:val="Body Text Indent 2"/>
    <w:basedOn w:val="Normalny"/>
    <w:link w:val="Tekstpodstawowywcity2Znak"/>
    <w:uiPriority w:val="98"/>
    <w:semiHidden/>
    <w:rsid w:val="009F2E2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F2E24"/>
    <w:rPr>
      <w:sz w:val="24"/>
      <w:szCs w:val="24"/>
      <w:lang w:val="pl-PL"/>
    </w:rPr>
  </w:style>
  <w:style w:type="paragraph" w:styleId="Tekstpodstawowywcity3">
    <w:name w:val="Body Text Indent 3"/>
    <w:basedOn w:val="Normalny"/>
    <w:link w:val="Tekstpodstawowywcity3Znak"/>
    <w:uiPriority w:val="98"/>
    <w:semiHidden/>
    <w:rsid w:val="009F2E2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F2E24"/>
    <w:rPr>
      <w:sz w:val="16"/>
      <w:szCs w:val="16"/>
      <w:lang w:val="pl-PL"/>
    </w:rPr>
  </w:style>
  <w:style w:type="paragraph" w:styleId="Legenda">
    <w:name w:val="caption"/>
    <w:basedOn w:val="Normalny"/>
    <w:next w:val="Normalny"/>
    <w:uiPriority w:val="98"/>
    <w:semiHidden/>
    <w:qFormat/>
    <w:rsid w:val="009F2E24"/>
    <w:pPr>
      <w:spacing w:after="200"/>
    </w:pPr>
    <w:rPr>
      <w:b/>
      <w:bCs/>
      <w:color w:val="0072BC" w:themeColor="accent1"/>
      <w:sz w:val="18"/>
      <w:szCs w:val="18"/>
    </w:rPr>
  </w:style>
  <w:style w:type="paragraph" w:styleId="Zwrotpoegnalny">
    <w:name w:val="Closing"/>
    <w:basedOn w:val="Normalny"/>
    <w:link w:val="ZwrotpoegnalnyZnak"/>
    <w:uiPriority w:val="98"/>
    <w:semiHidden/>
    <w:rsid w:val="009F2E24"/>
    <w:pPr>
      <w:ind w:left="4252"/>
    </w:pPr>
  </w:style>
  <w:style w:type="character" w:customStyle="1" w:styleId="ZwrotpoegnalnyZnak">
    <w:name w:val="Zwrot pożegnalny Znak"/>
    <w:basedOn w:val="Domylnaczcionkaakapitu"/>
    <w:link w:val="Zwrotpoegnalny"/>
    <w:uiPriority w:val="98"/>
    <w:semiHidden/>
    <w:rsid w:val="009F2E24"/>
    <w:rPr>
      <w:sz w:val="24"/>
      <w:szCs w:val="24"/>
      <w:lang w:val="pl-PL"/>
    </w:rPr>
  </w:style>
  <w:style w:type="table" w:styleId="Kolorowasiatka">
    <w:name w:val="Colorful Grid"/>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F2E2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F2E2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F2E2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F2E2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F2E2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9F2E2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F2E2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F2E2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F2E2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F2E2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F2E2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F2E2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9F2E2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F2E2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F2E2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F2E24"/>
    <w:rPr>
      <w:sz w:val="16"/>
      <w:szCs w:val="16"/>
    </w:rPr>
  </w:style>
  <w:style w:type="paragraph" w:styleId="Tekstkomentarza">
    <w:name w:val="annotation text"/>
    <w:basedOn w:val="Normalny"/>
    <w:link w:val="TekstkomentarzaZnak"/>
    <w:uiPriority w:val="98"/>
    <w:semiHidden/>
    <w:rsid w:val="009F2E24"/>
    <w:rPr>
      <w:sz w:val="20"/>
      <w:szCs w:val="20"/>
    </w:rPr>
  </w:style>
  <w:style w:type="character" w:customStyle="1" w:styleId="TekstkomentarzaZnak">
    <w:name w:val="Tekst komentarza Znak"/>
    <w:basedOn w:val="Domylnaczcionkaakapitu"/>
    <w:link w:val="Tekstkomentarza"/>
    <w:uiPriority w:val="98"/>
    <w:semiHidden/>
    <w:rsid w:val="009F2E24"/>
    <w:rPr>
      <w:sz w:val="20"/>
      <w:szCs w:val="20"/>
      <w:lang w:val="pl-PL"/>
    </w:rPr>
  </w:style>
  <w:style w:type="paragraph" w:styleId="Tematkomentarza">
    <w:name w:val="annotation subject"/>
    <w:basedOn w:val="Tekstkomentarza"/>
    <w:next w:val="Tekstkomentarza"/>
    <w:link w:val="TematkomentarzaZnak"/>
    <w:uiPriority w:val="98"/>
    <w:semiHidden/>
    <w:rsid w:val="009F2E24"/>
    <w:rPr>
      <w:b/>
      <w:bCs/>
    </w:rPr>
  </w:style>
  <w:style w:type="character" w:customStyle="1" w:styleId="TematkomentarzaZnak">
    <w:name w:val="Temat komentarza Znak"/>
    <w:basedOn w:val="TekstkomentarzaZnak"/>
    <w:link w:val="Tematkomentarza"/>
    <w:uiPriority w:val="98"/>
    <w:semiHidden/>
    <w:rsid w:val="009F2E24"/>
    <w:rPr>
      <w:b/>
      <w:bCs/>
      <w:sz w:val="20"/>
      <w:szCs w:val="20"/>
      <w:lang w:val="pl-PL"/>
    </w:rPr>
  </w:style>
  <w:style w:type="table" w:styleId="Ciemnalista">
    <w:name w:val="Dark List"/>
    <w:basedOn w:val="Standardowy"/>
    <w:uiPriority w:val="70"/>
    <w:semiHidden/>
    <w:rsid w:val="009F2E2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F2E2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F2E2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F2E2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9F2E2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F2E2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F2E2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F2E24"/>
  </w:style>
  <w:style w:type="character" w:customStyle="1" w:styleId="DataZnak">
    <w:name w:val="Data Znak"/>
    <w:basedOn w:val="Domylnaczcionkaakapitu"/>
    <w:link w:val="Data"/>
    <w:uiPriority w:val="98"/>
    <w:semiHidden/>
    <w:rsid w:val="009F2E24"/>
    <w:rPr>
      <w:sz w:val="24"/>
      <w:szCs w:val="24"/>
      <w:lang w:val="pl-PL"/>
    </w:rPr>
  </w:style>
  <w:style w:type="paragraph" w:styleId="Mapadokumentu">
    <w:name w:val="Document Map"/>
    <w:basedOn w:val="Normalny"/>
    <w:link w:val="MapadokumentuZnak"/>
    <w:uiPriority w:val="98"/>
    <w:semiHidden/>
    <w:rsid w:val="009F2E2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F2E24"/>
    <w:rPr>
      <w:rFonts w:ascii="Tahoma" w:hAnsi="Tahoma" w:cs="Tahoma"/>
      <w:sz w:val="16"/>
      <w:szCs w:val="16"/>
      <w:lang w:val="pl-PL"/>
    </w:rPr>
  </w:style>
  <w:style w:type="paragraph" w:styleId="Podpise-mail">
    <w:name w:val="E-mail Signature"/>
    <w:basedOn w:val="Normalny"/>
    <w:link w:val="Podpise-mailZnak"/>
    <w:uiPriority w:val="98"/>
    <w:semiHidden/>
    <w:rsid w:val="009F2E24"/>
  </w:style>
  <w:style w:type="character" w:customStyle="1" w:styleId="Podpise-mailZnak">
    <w:name w:val="Podpis e-mail Znak"/>
    <w:basedOn w:val="Domylnaczcionkaakapitu"/>
    <w:link w:val="Podpise-mail"/>
    <w:uiPriority w:val="98"/>
    <w:semiHidden/>
    <w:rsid w:val="009F2E24"/>
    <w:rPr>
      <w:sz w:val="24"/>
      <w:szCs w:val="24"/>
      <w:lang w:val="pl-PL"/>
    </w:rPr>
  </w:style>
  <w:style w:type="character" w:styleId="Odwoanieprzypisukocowego">
    <w:name w:val="endnote reference"/>
    <w:basedOn w:val="Domylnaczcionkaakapitu"/>
    <w:uiPriority w:val="98"/>
    <w:semiHidden/>
    <w:rsid w:val="009F2E24"/>
    <w:rPr>
      <w:vertAlign w:val="superscript"/>
    </w:rPr>
  </w:style>
  <w:style w:type="paragraph" w:styleId="Tekstprzypisukocowego">
    <w:name w:val="endnote text"/>
    <w:basedOn w:val="Normalny"/>
    <w:link w:val="TekstprzypisukocowegoZnak"/>
    <w:uiPriority w:val="98"/>
    <w:semiHidden/>
    <w:rsid w:val="009F2E24"/>
    <w:rPr>
      <w:sz w:val="20"/>
      <w:szCs w:val="20"/>
    </w:rPr>
  </w:style>
  <w:style w:type="character" w:customStyle="1" w:styleId="TekstprzypisukocowegoZnak">
    <w:name w:val="Tekst przypisu końcowego Znak"/>
    <w:basedOn w:val="Domylnaczcionkaakapitu"/>
    <w:link w:val="Tekstprzypisukocowego"/>
    <w:uiPriority w:val="98"/>
    <w:semiHidden/>
    <w:rsid w:val="009F2E24"/>
    <w:rPr>
      <w:sz w:val="20"/>
      <w:szCs w:val="20"/>
      <w:lang w:val="pl-PL"/>
    </w:rPr>
  </w:style>
  <w:style w:type="paragraph" w:styleId="Adresnakopercie">
    <w:name w:val="envelope address"/>
    <w:basedOn w:val="Normalny"/>
    <w:uiPriority w:val="98"/>
    <w:semiHidden/>
    <w:rsid w:val="009F2E2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F2E2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F2E24"/>
    <w:rPr>
      <w:color w:val="7030A0" w:themeColor="followedHyperlink"/>
      <w:u w:val="single"/>
    </w:rPr>
  </w:style>
  <w:style w:type="character" w:styleId="HTML-akronim">
    <w:name w:val="HTML Acronym"/>
    <w:basedOn w:val="Domylnaczcionkaakapitu"/>
    <w:uiPriority w:val="98"/>
    <w:semiHidden/>
    <w:rsid w:val="009F2E24"/>
  </w:style>
  <w:style w:type="paragraph" w:styleId="HTML-adres">
    <w:name w:val="HTML Address"/>
    <w:basedOn w:val="Normalny"/>
    <w:link w:val="HTML-adresZnak"/>
    <w:uiPriority w:val="98"/>
    <w:semiHidden/>
    <w:rsid w:val="009F2E24"/>
    <w:rPr>
      <w:i/>
      <w:iCs/>
    </w:rPr>
  </w:style>
  <w:style w:type="character" w:customStyle="1" w:styleId="HTML-adresZnak">
    <w:name w:val="HTML - adres Znak"/>
    <w:basedOn w:val="Domylnaczcionkaakapitu"/>
    <w:link w:val="HTML-adres"/>
    <w:uiPriority w:val="98"/>
    <w:semiHidden/>
    <w:rsid w:val="009F2E24"/>
    <w:rPr>
      <w:i/>
      <w:iCs/>
      <w:sz w:val="24"/>
      <w:szCs w:val="24"/>
      <w:lang w:val="pl-PL"/>
    </w:rPr>
  </w:style>
  <w:style w:type="character" w:styleId="HTML-cytat">
    <w:name w:val="HTML Cite"/>
    <w:basedOn w:val="Domylnaczcionkaakapitu"/>
    <w:uiPriority w:val="98"/>
    <w:semiHidden/>
    <w:rsid w:val="009F2E24"/>
    <w:rPr>
      <w:i/>
      <w:iCs/>
    </w:rPr>
  </w:style>
  <w:style w:type="character" w:styleId="HTML-kod">
    <w:name w:val="HTML Code"/>
    <w:basedOn w:val="Domylnaczcionkaakapitu"/>
    <w:uiPriority w:val="98"/>
    <w:semiHidden/>
    <w:rsid w:val="009F2E24"/>
    <w:rPr>
      <w:rFonts w:ascii="Consolas" w:hAnsi="Consolas" w:cs="Consolas"/>
      <w:sz w:val="20"/>
      <w:szCs w:val="20"/>
    </w:rPr>
  </w:style>
  <w:style w:type="character" w:styleId="HTML-definicja">
    <w:name w:val="HTML Definition"/>
    <w:basedOn w:val="Domylnaczcionkaakapitu"/>
    <w:uiPriority w:val="98"/>
    <w:semiHidden/>
    <w:rsid w:val="009F2E24"/>
    <w:rPr>
      <w:i/>
      <w:iCs/>
    </w:rPr>
  </w:style>
  <w:style w:type="character" w:styleId="HTML-klawiatura">
    <w:name w:val="HTML Keyboard"/>
    <w:basedOn w:val="Domylnaczcionkaakapitu"/>
    <w:uiPriority w:val="98"/>
    <w:semiHidden/>
    <w:rsid w:val="009F2E24"/>
    <w:rPr>
      <w:rFonts w:ascii="Consolas" w:hAnsi="Consolas" w:cs="Consolas"/>
      <w:sz w:val="20"/>
      <w:szCs w:val="20"/>
    </w:rPr>
  </w:style>
  <w:style w:type="paragraph" w:styleId="HTML-wstpniesformatowany">
    <w:name w:val="HTML Preformatted"/>
    <w:basedOn w:val="Normalny"/>
    <w:link w:val="HTML-wstpniesformatowanyZnak"/>
    <w:uiPriority w:val="98"/>
    <w:semiHidden/>
    <w:rsid w:val="009F2E2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F2E24"/>
    <w:rPr>
      <w:rFonts w:ascii="Consolas" w:hAnsi="Consolas" w:cs="Consolas"/>
      <w:sz w:val="20"/>
      <w:szCs w:val="20"/>
      <w:lang w:val="pl-PL"/>
    </w:rPr>
  </w:style>
  <w:style w:type="character" w:styleId="HTML-przykad">
    <w:name w:val="HTML Sample"/>
    <w:basedOn w:val="Domylnaczcionkaakapitu"/>
    <w:uiPriority w:val="98"/>
    <w:semiHidden/>
    <w:rsid w:val="009F2E24"/>
    <w:rPr>
      <w:rFonts w:ascii="Consolas" w:hAnsi="Consolas" w:cs="Consolas"/>
      <w:sz w:val="24"/>
      <w:szCs w:val="24"/>
    </w:rPr>
  </w:style>
  <w:style w:type="character" w:styleId="HTML-staaszeroko">
    <w:name w:val="HTML Typewriter"/>
    <w:basedOn w:val="Domylnaczcionkaakapitu"/>
    <w:uiPriority w:val="98"/>
    <w:semiHidden/>
    <w:rsid w:val="009F2E24"/>
    <w:rPr>
      <w:rFonts w:ascii="Consolas" w:hAnsi="Consolas" w:cs="Consolas"/>
      <w:sz w:val="20"/>
      <w:szCs w:val="20"/>
    </w:rPr>
  </w:style>
  <w:style w:type="character" w:styleId="HTML-zmienna">
    <w:name w:val="HTML Variable"/>
    <w:basedOn w:val="Domylnaczcionkaakapitu"/>
    <w:uiPriority w:val="98"/>
    <w:semiHidden/>
    <w:rsid w:val="009F2E24"/>
    <w:rPr>
      <w:i/>
      <w:iCs/>
    </w:rPr>
  </w:style>
  <w:style w:type="paragraph" w:styleId="Indeks1">
    <w:name w:val="index 1"/>
    <w:basedOn w:val="Normalny"/>
    <w:next w:val="Normalny"/>
    <w:autoRedefine/>
    <w:uiPriority w:val="98"/>
    <w:semiHidden/>
    <w:rsid w:val="009F2E24"/>
    <w:pPr>
      <w:ind w:left="240" w:hanging="240"/>
    </w:pPr>
  </w:style>
  <w:style w:type="paragraph" w:styleId="Indeks2">
    <w:name w:val="index 2"/>
    <w:basedOn w:val="Normalny"/>
    <w:next w:val="Normalny"/>
    <w:autoRedefine/>
    <w:uiPriority w:val="98"/>
    <w:semiHidden/>
    <w:rsid w:val="009F2E24"/>
    <w:pPr>
      <w:ind w:left="480" w:hanging="240"/>
    </w:pPr>
  </w:style>
  <w:style w:type="paragraph" w:styleId="Indeks3">
    <w:name w:val="index 3"/>
    <w:basedOn w:val="Normalny"/>
    <w:next w:val="Normalny"/>
    <w:autoRedefine/>
    <w:uiPriority w:val="98"/>
    <w:semiHidden/>
    <w:rsid w:val="009F2E24"/>
    <w:pPr>
      <w:ind w:left="720" w:hanging="240"/>
    </w:pPr>
  </w:style>
  <w:style w:type="paragraph" w:styleId="Indeks4">
    <w:name w:val="index 4"/>
    <w:basedOn w:val="Normalny"/>
    <w:next w:val="Normalny"/>
    <w:autoRedefine/>
    <w:uiPriority w:val="98"/>
    <w:semiHidden/>
    <w:rsid w:val="009F2E24"/>
    <w:pPr>
      <w:ind w:left="960" w:hanging="240"/>
    </w:pPr>
  </w:style>
  <w:style w:type="paragraph" w:styleId="Indeks5">
    <w:name w:val="index 5"/>
    <w:basedOn w:val="Normalny"/>
    <w:next w:val="Normalny"/>
    <w:autoRedefine/>
    <w:uiPriority w:val="98"/>
    <w:semiHidden/>
    <w:rsid w:val="009F2E24"/>
    <w:pPr>
      <w:ind w:left="1200" w:hanging="240"/>
    </w:pPr>
  </w:style>
  <w:style w:type="paragraph" w:styleId="Indeks6">
    <w:name w:val="index 6"/>
    <w:basedOn w:val="Normalny"/>
    <w:next w:val="Normalny"/>
    <w:autoRedefine/>
    <w:uiPriority w:val="98"/>
    <w:semiHidden/>
    <w:rsid w:val="009F2E24"/>
    <w:pPr>
      <w:ind w:left="1440" w:hanging="240"/>
    </w:pPr>
  </w:style>
  <w:style w:type="paragraph" w:styleId="Indeks7">
    <w:name w:val="index 7"/>
    <w:basedOn w:val="Normalny"/>
    <w:next w:val="Normalny"/>
    <w:autoRedefine/>
    <w:uiPriority w:val="98"/>
    <w:semiHidden/>
    <w:rsid w:val="009F2E24"/>
    <w:pPr>
      <w:ind w:left="1680" w:hanging="240"/>
    </w:pPr>
  </w:style>
  <w:style w:type="paragraph" w:styleId="Indeks8">
    <w:name w:val="index 8"/>
    <w:basedOn w:val="Normalny"/>
    <w:next w:val="Normalny"/>
    <w:autoRedefine/>
    <w:uiPriority w:val="98"/>
    <w:semiHidden/>
    <w:rsid w:val="009F2E24"/>
    <w:pPr>
      <w:ind w:left="1920" w:hanging="240"/>
    </w:pPr>
  </w:style>
  <w:style w:type="paragraph" w:styleId="Indeks9">
    <w:name w:val="index 9"/>
    <w:basedOn w:val="Normalny"/>
    <w:next w:val="Normalny"/>
    <w:autoRedefine/>
    <w:uiPriority w:val="98"/>
    <w:semiHidden/>
    <w:rsid w:val="009F2E24"/>
    <w:pPr>
      <w:ind w:left="2160" w:hanging="240"/>
    </w:pPr>
  </w:style>
  <w:style w:type="paragraph" w:styleId="Nagwekindeksu">
    <w:name w:val="index heading"/>
    <w:basedOn w:val="Normalny"/>
    <w:next w:val="Indeks1"/>
    <w:uiPriority w:val="98"/>
    <w:semiHidden/>
    <w:rsid w:val="009F2E24"/>
    <w:rPr>
      <w:rFonts w:asciiTheme="majorHAnsi" w:eastAsiaTheme="majorEastAsia" w:hAnsiTheme="majorHAnsi" w:cstheme="majorBidi"/>
      <w:b/>
      <w:bCs/>
    </w:rPr>
  </w:style>
  <w:style w:type="table" w:styleId="Jasnasiatka">
    <w:name w:val="Light Grid"/>
    <w:basedOn w:val="Standardowy"/>
    <w:uiPriority w:val="62"/>
    <w:semiHidden/>
    <w:rsid w:val="009F2E2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F2E2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F2E2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F2E2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9F2E2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F2E2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F2E2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F2E2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F2E2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F2E2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F2E2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9F2E2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F2E2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F2E2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F2E2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F2E2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F2E2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F2E2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9F2E2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F2E2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F2E2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F2E24"/>
  </w:style>
  <w:style w:type="paragraph" w:styleId="Lista">
    <w:name w:val="List"/>
    <w:basedOn w:val="Normalny"/>
    <w:uiPriority w:val="98"/>
    <w:semiHidden/>
    <w:rsid w:val="009F2E24"/>
    <w:pPr>
      <w:ind w:left="283" w:hanging="283"/>
      <w:contextualSpacing/>
    </w:pPr>
  </w:style>
  <w:style w:type="paragraph" w:styleId="Lista2">
    <w:name w:val="List 2"/>
    <w:basedOn w:val="Normalny"/>
    <w:uiPriority w:val="98"/>
    <w:semiHidden/>
    <w:rsid w:val="009F2E24"/>
    <w:pPr>
      <w:ind w:left="566" w:hanging="283"/>
      <w:contextualSpacing/>
    </w:pPr>
  </w:style>
  <w:style w:type="paragraph" w:styleId="Lista3">
    <w:name w:val="List 3"/>
    <w:basedOn w:val="Normalny"/>
    <w:uiPriority w:val="98"/>
    <w:semiHidden/>
    <w:rsid w:val="009F2E24"/>
    <w:pPr>
      <w:ind w:left="849" w:hanging="283"/>
      <w:contextualSpacing/>
    </w:pPr>
  </w:style>
  <w:style w:type="paragraph" w:styleId="Lista4">
    <w:name w:val="List 4"/>
    <w:basedOn w:val="Normalny"/>
    <w:uiPriority w:val="98"/>
    <w:semiHidden/>
    <w:rsid w:val="009F2E24"/>
    <w:pPr>
      <w:ind w:left="1132" w:hanging="283"/>
      <w:contextualSpacing/>
    </w:pPr>
  </w:style>
  <w:style w:type="paragraph" w:styleId="Lista5">
    <w:name w:val="List 5"/>
    <w:basedOn w:val="Normalny"/>
    <w:uiPriority w:val="98"/>
    <w:semiHidden/>
    <w:rsid w:val="009F2E24"/>
    <w:pPr>
      <w:ind w:left="1415" w:hanging="283"/>
      <w:contextualSpacing/>
    </w:pPr>
  </w:style>
  <w:style w:type="paragraph" w:styleId="Listapunktowana2">
    <w:name w:val="List Bullet 2"/>
    <w:basedOn w:val="Normalny"/>
    <w:uiPriority w:val="98"/>
    <w:semiHidden/>
    <w:rsid w:val="009F2E24"/>
    <w:pPr>
      <w:numPr>
        <w:numId w:val="8"/>
      </w:numPr>
      <w:contextualSpacing/>
    </w:pPr>
  </w:style>
  <w:style w:type="paragraph" w:styleId="Listapunktowana4">
    <w:name w:val="List Bullet 4"/>
    <w:basedOn w:val="Normalny"/>
    <w:uiPriority w:val="98"/>
    <w:semiHidden/>
    <w:rsid w:val="009F2E24"/>
    <w:pPr>
      <w:numPr>
        <w:numId w:val="10"/>
      </w:numPr>
      <w:contextualSpacing/>
    </w:pPr>
  </w:style>
  <w:style w:type="paragraph" w:styleId="Listapunktowana5">
    <w:name w:val="List Bullet 5"/>
    <w:basedOn w:val="Normalny"/>
    <w:uiPriority w:val="98"/>
    <w:semiHidden/>
    <w:rsid w:val="009F2E24"/>
    <w:pPr>
      <w:numPr>
        <w:numId w:val="11"/>
      </w:numPr>
      <w:contextualSpacing/>
    </w:pPr>
  </w:style>
  <w:style w:type="paragraph" w:styleId="Lista-kontynuacja">
    <w:name w:val="List Continue"/>
    <w:basedOn w:val="Normalny"/>
    <w:uiPriority w:val="98"/>
    <w:semiHidden/>
    <w:rsid w:val="009F2E24"/>
    <w:pPr>
      <w:spacing w:after="120"/>
      <w:ind w:left="283"/>
      <w:contextualSpacing/>
    </w:pPr>
  </w:style>
  <w:style w:type="paragraph" w:styleId="Lista-kontynuacja2">
    <w:name w:val="List Continue 2"/>
    <w:basedOn w:val="Normalny"/>
    <w:uiPriority w:val="98"/>
    <w:semiHidden/>
    <w:rsid w:val="009F2E24"/>
    <w:pPr>
      <w:spacing w:after="120"/>
      <w:ind w:left="566"/>
      <w:contextualSpacing/>
    </w:pPr>
  </w:style>
  <w:style w:type="paragraph" w:styleId="Lista-kontynuacja3">
    <w:name w:val="List Continue 3"/>
    <w:basedOn w:val="Normalny"/>
    <w:uiPriority w:val="98"/>
    <w:semiHidden/>
    <w:rsid w:val="009F2E24"/>
    <w:pPr>
      <w:spacing w:after="120"/>
      <w:ind w:left="849"/>
      <w:contextualSpacing/>
    </w:pPr>
  </w:style>
  <w:style w:type="paragraph" w:styleId="Lista-kontynuacja4">
    <w:name w:val="List Continue 4"/>
    <w:basedOn w:val="Normalny"/>
    <w:uiPriority w:val="98"/>
    <w:semiHidden/>
    <w:rsid w:val="009F2E24"/>
    <w:pPr>
      <w:spacing w:after="120"/>
      <w:ind w:left="1132"/>
      <w:contextualSpacing/>
    </w:pPr>
  </w:style>
  <w:style w:type="paragraph" w:styleId="Lista-kontynuacja5">
    <w:name w:val="List Continue 5"/>
    <w:basedOn w:val="Normalny"/>
    <w:uiPriority w:val="98"/>
    <w:semiHidden/>
    <w:rsid w:val="009F2E24"/>
    <w:pPr>
      <w:spacing w:after="120"/>
      <w:ind w:left="1415"/>
      <w:contextualSpacing/>
    </w:pPr>
  </w:style>
  <w:style w:type="paragraph" w:styleId="Listanumerowana">
    <w:name w:val="List Number"/>
    <w:basedOn w:val="Normalny"/>
    <w:uiPriority w:val="98"/>
    <w:semiHidden/>
    <w:rsid w:val="009F2E24"/>
    <w:pPr>
      <w:numPr>
        <w:numId w:val="12"/>
      </w:numPr>
      <w:contextualSpacing/>
    </w:pPr>
  </w:style>
  <w:style w:type="paragraph" w:styleId="Listanumerowana2">
    <w:name w:val="List Number 2"/>
    <w:basedOn w:val="Normalny"/>
    <w:uiPriority w:val="98"/>
    <w:semiHidden/>
    <w:rsid w:val="009F2E24"/>
    <w:pPr>
      <w:numPr>
        <w:numId w:val="13"/>
      </w:numPr>
      <w:contextualSpacing/>
    </w:pPr>
  </w:style>
  <w:style w:type="paragraph" w:styleId="Listanumerowana3">
    <w:name w:val="List Number 3"/>
    <w:basedOn w:val="Normalny"/>
    <w:uiPriority w:val="98"/>
    <w:semiHidden/>
    <w:rsid w:val="009F2E24"/>
    <w:pPr>
      <w:numPr>
        <w:numId w:val="14"/>
      </w:numPr>
      <w:contextualSpacing/>
    </w:pPr>
  </w:style>
  <w:style w:type="paragraph" w:styleId="Listanumerowana4">
    <w:name w:val="List Number 4"/>
    <w:basedOn w:val="Normalny"/>
    <w:uiPriority w:val="98"/>
    <w:semiHidden/>
    <w:rsid w:val="009F2E24"/>
    <w:pPr>
      <w:numPr>
        <w:numId w:val="15"/>
      </w:numPr>
      <w:contextualSpacing/>
    </w:pPr>
  </w:style>
  <w:style w:type="paragraph" w:styleId="Listanumerowana5">
    <w:name w:val="List Number 5"/>
    <w:basedOn w:val="Normalny"/>
    <w:uiPriority w:val="98"/>
    <w:semiHidden/>
    <w:rsid w:val="009F2E24"/>
    <w:pPr>
      <w:numPr>
        <w:numId w:val="16"/>
      </w:numPr>
      <w:contextualSpacing/>
    </w:pPr>
  </w:style>
  <w:style w:type="paragraph" w:styleId="Tekstmakra">
    <w:name w:val="macro"/>
    <w:link w:val="TekstmakraZnak"/>
    <w:uiPriority w:val="98"/>
    <w:semiHidden/>
    <w:rsid w:val="009F2E2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F2E24"/>
    <w:rPr>
      <w:rFonts w:ascii="Consolas" w:eastAsiaTheme="minorEastAsia" w:hAnsi="Consolas" w:cs="Consolas"/>
      <w:sz w:val="20"/>
      <w:szCs w:val="20"/>
    </w:rPr>
  </w:style>
  <w:style w:type="table" w:styleId="redniasiatka1">
    <w:name w:val="Medium Grid 1"/>
    <w:basedOn w:val="Standardowy"/>
    <w:uiPriority w:val="67"/>
    <w:semiHidden/>
    <w:rsid w:val="009F2E2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F2E2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F2E2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F2E2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9F2E2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F2E2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F2E2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F2E2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9F2E2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F2E2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F2E2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F2E2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9F2E2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F2E2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F2E2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F2E2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9F2E2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F2E2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F2E2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F2E2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F2E2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F2E2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F2E2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F2E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F2E2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F2E2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F2E24"/>
    <w:rPr>
      <w:rFonts w:ascii="Times New Roman" w:hAnsi="Times New Roman" w:cs="Times New Roman"/>
    </w:rPr>
  </w:style>
  <w:style w:type="paragraph" w:styleId="Wcicienormalne">
    <w:name w:val="Normal Indent"/>
    <w:basedOn w:val="Normalny"/>
    <w:uiPriority w:val="98"/>
    <w:semiHidden/>
    <w:rsid w:val="009F2E24"/>
    <w:pPr>
      <w:ind w:left="720"/>
    </w:pPr>
  </w:style>
  <w:style w:type="paragraph" w:styleId="Nagweknotatki">
    <w:name w:val="Note Heading"/>
    <w:basedOn w:val="Normalny"/>
    <w:next w:val="Normalny"/>
    <w:link w:val="NagweknotatkiZnak"/>
    <w:uiPriority w:val="98"/>
    <w:semiHidden/>
    <w:rsid w:val="009F2E24"/>
  </w:style>
  <w:style w:type="character" w:customStyle="1" w:styleId="NagweknotatkiZnak">
    <w:name w:val="Nagłówek notatki Znak"/>
    <w:basedOn w:val="Domylnaczcionkaakapitu"/>
    <w:link w:val="Nagweknotatki"/>
    <w:uiPriority w:val="98"/>
    <w:semiHidden/>
    <w:rsid w:val="009F2E24"/>
    <w:rPr>
      <w:sz w:val="24"/>
      <w:szCs w:val="24"/>
      <w:lang w:val="pl-PL"/>
    </w:rPr>
  </w:style>
  <w:style w:type="character" w:styleId="Tekstzastpczy">
    <w:name w:val="Placeholder Text"/>
    <w:basedOn w:val="Domylnaczcionkaakapitu"/>
    <w:uiPriority w:val="98"/>
    <w:semiHidden/>
    <w:rsid w:val="009F2E2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F2E2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F2E2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F2E24"/>
  </w:style>
  <w:style w:type="character" w:customStyle="1" w:styleId="ZwrotgrzecznociowyZnak">
    <w:name w:val="Zwrot grzecznościowy Znak"/>
    <w:basedOn w:val="Domylnaczcionkaakapitu"/>
    <w:link w:val="Zwrotgrzecznociowy"/>
    <w:uiPriority w:val="98"/>
    <w:semiHidden/>
    <w:rsid w:val="009F2E24"/>
    <w:rPr>
      <w:sz w:val="24"/>
      <w:szCs w:val="24"/>
      <w:lang w:val="pl-PL"/>
    </w:rPr>
  </w:style>
  <w:style w:type="paragraph" w:styleId="Podpis">
    <w:name w:val="Signature"/>
    <w:basedOn w:val="Normalny"/>
    <w:link w:val="PodpisZnak"/>
    <w:uiPriority w:val="98"/>
    <w:semiHidden/>
    <w:rsid w:val="009F2E24"/>
    <w:pPr>
      <w:ind w:left="4252"/>
    </w:pPr>
  </w:style>
  <w:style w:type="character" w:customStyle="1" w:styleId="PodpisZnak">
    <w:name w:val="Podpis Znak"/>
    <w:basedOn w:val="Domylnaczcionkaakapitu"/>
    <w:link w:val="Podpis"/>
    <w:uiPriority w:val="98"/>
    <w:semiHidden/>
    <w:rsid w:val="009F2E24"/>
    <w:rPr>
      <w:sz w:val="24"/>
      <w:szCs w:val="24"/>
      <w:lang w:val="pl-PL"/>
    </w:rPr>
  </w:style>
  <w:style w:type="table" w:styleId="Tabela-Efekty3D1">
    <w:name w:val="Table 3D effects 1"/>
    <w:basedOn w:val="Standardowy"/>
    <w:uiPriority w:val="99"/>
    <w:semiHidden/>
    <w:unhideWhenUsed/>
    <w:rsid w:val="009F2E2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F2E2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F2E2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F2E2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F2E2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F2E2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F2E2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F2E2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F2E2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F2E2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F2E2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F2E2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F2E2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F2E2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F2E2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F2E2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F2E2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F2E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F2E2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F2E2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F2E2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F2E2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F2E2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F2E2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F2E2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F2E2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F2E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F2E2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F2E2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F2E2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F2E24"/>
    <w:pPr>
      <w:ind w:left="240" w:hanging="240"/>
    </w:pPr>
  </w:style>
  <w:style w:type="paragraph" w:styleId="Spisilustracji">
    <w:name w:val="table of figures"/>
    <w:basedOn w:val="Normalny"/>
    <w:next w:val="Normalny"/>
    <w:uiPriority w:val="98"/>
    <w:semiHidden/>
    <w:rsid w:val="009F2E24"/>
  </w:style>
  <w:style w:type="table" w:styleId="Tabela-Profesjonalny">
    <w:name w:val="Table Professional"/>
    <w:basedOn w:val="Standardowy"/>
    <w:uiPriority w:val="99"/>
    <w:semiHidden/>
    <w:unhideWhenUsed/>
    <w:rsid w:val="009F2E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F2E2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F2E2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F2E2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F2E2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F2E2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F2E2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F2E2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F2E2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F2E2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F2E2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F2E2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F2E24"/>
    <w:pPr>
      <w:spacing w:after="100"/>
      <w:ind w:left="1680"/>
    </w:pPr>
  </w:style>
  <w:style w:type="paragraph" w:styleId="Spistreci9">
    <w:name w:val="toc 9"/>
    <w:basedOn w:val="Normalny"/>
    <w:next w:val="Normalny"/>
    <w:autoRedefine/>
    <w:uiPriority w:val="98"/>
    <w:semiHidden/>
    <w:rsid w:val="009F2E2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9F2E2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F2E2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F2E2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F2E2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F2E24"/>
    <w:pPr>
      <w:numPr>
        <w:numId w:val="17"/>
      </w:numPr>
      <w:spacing w:before="60" w:after="60"/>
    </w:pPr>
  </w:style>
  <w:style w:type="paragraph" w:customStyle="1" w:styleId="ECHRBullet2">
    <w:name w:val="ECHR_Bullet_2"/>
    <w:aliases w:val="_Bul_2"/>
    <w:basedOn w:val="ECHRBullet1"/>
    <w:uiPriority w:val="23"/>
    <w:semiHidden/>
    <w:rsid w:val="009F2E24"/>
    <w:pPr>
      <w:numPr>
        <w:ilvl w:val="1"/>
      </w:numPr>
    </w:pPr>
  </w:style>
  <w:style w:type="paragraph" w:customStyle="1" w:styleId="ECHRBullet3">
    <w:name w:val="ECHR_Bullet_3"/>
    <w:aliases w:val="_Bul_3"/>
    <w:basedOn w:val="ECHRBullet2"/>
    <w:uiPriority w:val="23"/>
    <w:semiHidden/>
    <w:rsid w:val="009F2E24"/>
    <w:pPr>
      <w:numPr>
        <w:ilvl w:val="2"/>
      </w:numPr>
    </w:pPr>
  </w:style>
  <w:style w:type="paragraph" w:customStyle="1" w:styleId="ECHRBullet4">
    <w:name w:val="ECHR_Bullet_4"/>
    <w:aliases w:val="_Bul_4"/>
    <w:basedOn w:val="ECHRBullet3"/>
    <w:uiPriority w:val="23"/>
    <w:semiHidden/>
    <w:rsid w:val="009F2E24"/>
    <w:pPr>
      <w:numPr>
        <w:ilvl w:val="3"/>
      </w:numPr>
    </w:pPr>
  </w:style>
  <w:style w:type="paragraph" w:customStyle="1" w:styleId="ECHRConfidential">
    <w:name w:val="ECHR_Confidential"/>
    <w:aliases w:val="_Confidential"/>
    <w:basedOn w:val="Normalny"/>
    <w:next w:val="Normalny"/>
    <w:uiPriority w:val="42"/>
    <w:semiHidden/>
    <w:qFormat/>
    <w:rsid w:val="009F2E24"/>
    <w:pPr>
      <w:jc w:val="right"/>
    </w:pPr>
    <w:rPr>
      <w:color w:val="C00000"/>
      <w:sz w:val="20"/>
    </w:rPr>
  </w:style>
  <w:style w:type="paragraph" w:customStyle="1" w:styleId="ECHRDecisionBody">
    <w:name w:val="ECHR_Decision_Body"/>
    <w:aliases w:val="_Decision_Body"/>
    <w:basedOn w:val="NormalJustified"/>
    <w:uiPriority w:val="54"/>
    <w:semiHidden/>
    <w:rsid w:val="009F2E2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F2E2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F2E2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9F2E2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9F2E24"/>
    <w:pPr>
      <w:jc w:val="right"/>
    </w:pPr>
    <w:rPr>
      <w:sz w:val="20"/>
    </w:rPr>
  </w:style>
  <w:style w:type="paragraph" w:customStyle="1" w:styleId="ECHRHeaderRefIt">
    <w:name w:val="ECHR_Header_Ref_It"/>
    <w:aliases w:val="_Ref_Ital"/>
    <w:basedOn w:val="Normalny"/>
    <w:next w:val="ECHRHeaderDate"/>
    <w:uiPriority w:val="43"/>
    <w:semiHidden/>
    <w:qFormat/>
    <w:rsid w:val="009F2E24"/>
    <w:pPr>
      <w:jc w:val="right"/>
    </w:pPr>
    <w:rPr>
      <w:i/>
      <w:sz w:val="20"/>
    </w:rPr>
  </w:style>
  <w:style w:type="paragraph" w:customStyle="1" w:styleId="ECHRHeading9">
    <w:name w:val="ECHR_Heading_9"/>
    <w:aliases w:val="_Head_9"/>
    <w:basedOn w:val="Nagwek9"/>
    <w:uiPriority w:val="17"/>
    <w:semiHidden/>
    <w:rsid w:val="009F2E24"/>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9F2E2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F2E24"/>
    <w:pPr>
      <w:numPr>
        <w:numId w:val="18"/>
      </w:numPr>
      <w:spacing w:before="60" w:after="60"/>
    </w:pPr>
  </w:style>
  <w:style w:type="paragraph" w:customStyle="1" w:styleId="ECHRNumberedList2">
    <w:name w:val="ECHR_Numbered_List_2"/>
    <w:aliases w:val="_Num_2"/>
    <w:basedOn w:val="ECHRNumberedList1"/>
    <w:uiPriority w:val="23"/>
    <w:semiHidden/>
    <w:rsid w:val="009F2E24"/>
    <w:pPr>
      <w:numPr>
        <w:ilvl w:val="1"/>
      </w:numPr>
    </w:pPr>
  </w:style>
  <w:style w:type="paragraph" w:customStyle="1" w:styleId="ECHRNumberedList3">
    <w:name w:val="ECHR_Numbered_List_3"/>
    <w:aliases w:val="_Num_3"/>
    <w:basedOn w:val="ECHRNumberedList2"/>
    <w:uiPriority w:val="23"/>
    <w:semiHidden/>
    <w:rsid w:val="009F2E24"/>
    <w:pPr>
      <w:numPr>
        <w:ilvl w:val="2"/>
      </w:numPr>
    </w:pPr>
  </w:style>
  <w:style w:type="paragraph" w:customStyle="1" w:styleId="ECHRParaHanging">
    <w:name w:val="ECHR_Para_Hanging"/>
    <w:aliases w:val="_Hanging"/>
    <w:basedOn w:val="NormalJustified"/>
    <w:uiPriority w:val="8"/>
    <w:semiHidden/>
    <w:qFormat/>
    <w:rsid w:val="009F2E24"/>
    <w:pPr>
      <w:ind w:left="567" w:hanging="567"/>
    </w:pPr>
  </w:style>
  <w:style w:type="paragraph" w:customStyle="1" w:styleId="ECHRParaIndent">
    <w:name w:val="ECHR_Para_Indent"/>
    <w:aliases w:val="_Indent"/>
    <w:basedOn w:val="NormalJustified"/>
    <w:uiPriority w:val="7"/>
    <w:semiHidden/>
    <w:qFormat/>
    <w:rsid w:val="009F2E24"/>
    <w:pPr>
      <w:spacing w:before="120" w:after="120"/>
      <w:ind w:left="284"/>
    </w:pPr>
  </w:style>
  <w:style w:type="character" w:customStyle="1" w:styleId="ECHRRed">
    <w:name w:val="ECHR_Red"/>
    <w:aliases w:val="_Red"/>
    <w:basedOn w:val="Domylnaczcionkaakapitu"/>
    <w:uiPriority w:val="15"/>
    <w:semiHidden/>
    <w:qFormat/>
    <w:rsid w:val="009F2E24"/>
    <w:rPr>
      <w:color w:val="C00000" w:themeColor="accent2"/>
    </w:rPr>
  </w:style>
  <w:style w:type="paragraph" w:customStyle="1" w:styleId="DecList">
    <w:name w:val="Dec_List"/>
    <w:aliases w:val="_List"/>
    <w:basedOn w:val="JuList"/>
    <w:uiPriority w:val="22"/>
    <w:rsid w:val="009F2E24"/>
    <w:pPr>
      <w:numPr>
        <w:numId w:val="0"/>
      </w:numPr>
      <w:ind w:left="284"/>
    </w:pPr>
  </w:style>
  <w:style w:type="table" w:customStyle="1" w:styleId="ECHRTable2">
    <w:name w:val="ECHR_Table_2"/>
    <w:basedOn w:val="Standardowy"/>
    <w:uiPriority w:val="99"/>
    <w:rsid w:val="009F2E2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F2E2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9F2E2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9F2E2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9F2E2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9F2E2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9F2E2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9F2E2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9F2E24"/>
    <w:pPr>
      <w:outlineLvl w:val="0"/>
    </w:pPr>
  </w:style>
  <w:style w:type="paragraph" w:customStyle="1" w:styleId="ECHRTitleTOC1">
    <w:name w:val="ECHR_Title_TOC_1"/>
    <w:aliases w:val="_Title_L_TOC"/>
    <w:basedOn w:val="ECHRTitle1"/>
    <w:next w:val="Normalny"/>
    <w:uiPriority w:val="27"/>
    <w:semiHidden/>
    <w:qFormat/>
    <w:rsid w:val="009F2E24"/>
    <w:pPr>
      <w:outlineLvl w:val="0"/>
    </w:pPr>
  </w:style>
  <w:style w:type="paragraph" w:customStyle="1" w:styleId="ECHRPlaceholder">
    <w:name w:val="ECHR_Placeholder"/>
    <w:aliases w:val="_Placeholder"/>
    <w:basedOn w:val="JuSigned"/>
    <w:uiPriority w:val="31"/>
    <w:rsid w:val="009F2E24"/>
    <w:rPr>
      <w:color w:val="FFFFFF"/>
    </w:rPr>
  </w:style>
  <w:style w:type="paragraph" w:customStyle="1" w:styleId="ECHRSpacer">
    <w:name w:val="ECHR_Spacer"/>
    <w:aliases w:val="_Spacer"/>
    <w:basedOn w:val="Normalny"/>
    <w:uiPriority w:val="45"/>
    <w:semiHidden/>
    <w:rsid w:val="009F2E24"/>
    <w:rPr>
      <w:sz w:val="4"/>
    </w:rPr>
  </w:style>
  <w:style w:type="table" w:customStyle="1" w:styleId="ECHRTableGrey">
    <w:name w:val="ECHR_Table_Grey"/>
    <w:basedOn w:val="Standardowy"/>
    <w:uiPriority w:val="99"/>
    <w:rsid w:val="009F2E2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F2E24"/>
    <w:rPr>
      <w:color w:val="605E5C"/>
      <w:shd w:val="clear" w:color="auto" w:fill="E1DFDD"/>
    </w:rPr>
  </w:style>
  <w:style w:type="character" w:customStyle="1" w:styleId="JuParaChar">
    <w:name w:val="Ju_Para Char"/>
    <w:aliases w:val="_Para Char"/>
    <w:link w:val="JuPara"/>
    <w:uiPriority w:val="4"/>
    <w:rsid w:val="00F44AFD"/>
    <w:rPr>
      <w:sz w:val="24"/>
      <w:szCs w:val="24"/>
      <w:lang w:val="pl-PL"/>
    </w:rPr>
  </w:style>
  <w:style w:type="table" w:styleId="Tabelasiatki1jasna">
    <w:name w:val="Grid Table 1 Light"/>
    <w:basedOn w:val="Standardowy"/>
    <w:uiPriority w:val="46"/>
    <w:semiHidden/>
    <w:rsid w:val="00F249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249C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249C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249C5"/>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249C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249C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249C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249C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249C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249C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249C5"/>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F249C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249C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249C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249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249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249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249C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F249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249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249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249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249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249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249C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F249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249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249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249C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249C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249C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249C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249C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F249C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249C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249C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249C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249C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249C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249C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F249C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249C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249C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249C5"/>
    <w:rPr>
      <w:color w:val="2B579A"/>
      <w:shd w:val="clear" w:color="auto" w:fill="E1DFDD"/>
    </w:rPr>
  </w:style>
  <w:style w:type="table" w:styleId="Tabelalisty1jasna">
    <w:name w:val="List Table 1 Light"/>
    <w:basedOn w:val="Standardowy"/>
    <w:uiPriority w:val="46"/>
    <w:semiHidden/>
    <w:rsid w:val="00F249C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249C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249C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249C5"/>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F249C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249C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249C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249C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249C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249C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249C5"/>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F249C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249C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249C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249C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249C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249C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249C5"/>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F249C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249C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249C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249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249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249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249C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F249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249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249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249C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249C5"/>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249C5"/>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249C5"/>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249C5"/>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249C5"/>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249C5"/>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249C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249C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249C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249C5"/>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F249C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249C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249C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249C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249C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249C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249C5"/>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249C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249C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249C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249C5"/>
    <w:rPr>
      <w:color w:val="2B579A"/>
      <w:shd w:val="clear" w:color="auto" w:fill="E1DFDD"/>
    </w:rPr>
  </w:style>
  <w:style w:type="table" w:styleId="Zwykatabela1">
    <w:name w:val="Plain Table 1"/>
    <w:basedOn w:val="Standardowy"/>
    <w:uiPriority w:val="41"/>
    <w:semiHidden/>
    <w:rsid w:val="00F249C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F249C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249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249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F249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249C5"/>
    <w:rPr>
      <w:u w:val="dotted"/>
    </w:rPr>
  </w:style>
  <w:style w:type="character" w:styleId="Inteligentnylink">
    <w:name w:val="Smart Link"/>
    <w:basedOn w:val="Domylnaczcionkaakapitu"/>
    <w:uiPriority w:val="99"/>
    <w:semiHidden/>
    <w:unhideWhenUsed/>
    <w:rsid w:val="00F249C5"/>
    <w:rPr>
      <w:color w:val="0000FF"/>
      <w:u w:val="single"/>
      <w:shd w:val="clear" w:color="auto" w:fill="F3F2F1"/>
    </w:rPr>
  </w:style>
  <w:style w:type="table" w:styleId="Siatkatabelijasna">
    <w:name w:val="Grid Table Light"/>
    <w:basedOn w:val="Standardowy"/>
    <w:uiPriority w:val="40"/>
    <w:semiHidden/>
    <w:rsid w:val="00F249C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2121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6459F-FD55-4C90-A120-342B8DA9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2240</Words>
  <Characters>13440</Characters>
  <Application>Microsoft Office Word</Application>
  <DocSecurity>0</DocSecurity>
  <Lines>112</Lines>
  <Paragraphs>31</Paragraphs>
  <ScaleCrop>false</ScaleCrop>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2026-02-13T11:26:00Z</dcterms:created>
  <dcterms:modified xsi:type="dcterms:W3CDTF">2026-02-13T11:26:00Z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1368716</vt:lpwstr>
  </property>
  <property fmtid="{D5CDD505-2E9C-101B-9397-08002B2CF9AE}" pid="3" name="cstLanguage">
    <vt:i4>2057</vt:i4>
  </property>
  <property fmtid="{D5CDD505-2E9C-101B-9397-08002B2CF9AE}" pid="4" name="RegisteredNo">
    <vt:lpwstr>10685/18</vt:lpwstr>
  </property>
</Properties>
</file>