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34C65" w14:textId="77777777" w:rsidR="001E66BC" w:rsidRDefault="001E66BC" w:rsidP="001E66BC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1C66A63F" w14:textId="77777777" w:rsidR="001E66BC" w:rsidRDefault="001E66BC" w:rsidP="001E66BC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2904736A" w14:textId="77777777" w:rsidR="004D7F94" w:rsidRPr="001E66BC" w:rsidRDefault="001E66BC" w:rsidP="001E66BC">
      <w:pPr>
        <w:pStyle w:val="ClinEditionNumber"/>
        <w:rPr>
          <w:lang w:val="pl-PL"/>
        </w:rPr>
      </w:pPr>
      <w:r>
        <w:rPr>
          <w:lang w:val="pl-PL"/>
        </w:rPr>
        <w:t xml:space="preserve">Nota informacyjna nt. orzecznictwa Trybunału nr </w:t>
      </w:r>
      <w:r w:rsidR="00581E7A" w:rsidRPr="001E66BC">
        <w:rPr>
          <w:lang w:val="pl-PL"/>
        </w:rPr>
        <w:t>246</w:t>
      </w:r>
    </w:p>
    <w:p w14:paraId="2ACC69A6" w14:textId="77777777" w:rsidR="004D7F94" w:rsidRPr="00815C34" w:rsidRDefault="00815C34">
      <w:pPr>
        <w:pStyle w:val="ClinEditionMonth"/>
        <w:rPr>
          <w:lang w:val="pl-PL"/>
        </w:rPr>
      </w:pPr>
      <w:r w:rsidRPr="00815C34">
        <w:rPr>
          <w:lang w:val="pl-PL"/>
        </w:rPr>
        <w:t>Grudzień</w:t>
      </w:r>
      <w:r w:rsidR="00581E7A" w:rsidRPr="00815C34">
        <w:rPr>
          <w:lang w:val="pl-PL"/>
        </w:rPr>
        <w:t xml:space="preserve"> 2020</w:t>
      </w:r>
      <w:r w:rsidRPr="00815C34">
        <w:rPr>
          <w:lang w:val="pl-PL"/>
        </w:rPr>
        <w:t xml:space="preserve"> r.</w:t>
      </w:r>
    </w:p>
    <w:p w14:paraId="7EFDCB5C" w14:textId="77777777" w:rsidR="004D7F94" w:rsidRPr="00815C34" w:rsidRDefault="00581E7A">
      <w:pPr>
        <w:rPr>
          <w:lang w:val="pl-PL"/>
        </w:rPr>
      </w:pPr>
      <w:r w:rsidRPr="00815C34">
        <w:rPr>
          <w:rStyle w:val="ClinCaseTitle"/>
          <w:lang w:val="pl-PL"/>
        </w:rPr>
        <w:t>S</w:t>
      </w:r>
      <w:r w:rsidR="00815C34">
        <w:rPr>
          <w:rStyle w:val="ClinCaseTitle"/>
          <w:lang w:val="pl-PL"/>
        </w:rPr>
        <w:t>łowenia</w:t>
      </w:r>
      <w:r w:rsidRPr="00815C34">
        <w:rPr>
          <w:rStyle w:val="ClinCaseTitle"/>
          <w:lang w:val="pl-PL"/>
        </w:rPr>
        <w:t xml:space="preserve"> </w:t>
      </w:r>
      <w:r w:rsidR="00815C34">
        <w:rPr>
          <w:rStyle w:val="ClinCaseTitle"/>
          <w:lang w:val="pl-PL"/>
        </w:rPr>
        <w:t>p</w:t>
      </w:r>
      <w:r w:rsidRPr="00815C34">
        <w:rPr>
          <w:rStyle w:val="ClinCaseTitle"/>
          <w:lang w:val="pl-PL"/>
        </w:rPr>
        <w:t xml:space="preserve">. </w:t>
      </w:r>
      <w:r w:rsidR="00815C34">
        <w:rPr>
          <w:rStyle w:val="ClinCaseTitle"/>
          <w:lang w:val="pl-PL"/>
        </w:rPr>
        <w:t>Chorwacji</w:t>
      </w:r>
      <w:r w:rsidRPr="00815C34">
        <w:rPr>
          <w:rStyle w:val="ClinCaseTitle"/>
          <w:lang w:val="pl-PL"/>
        </w:rPr>
        <w:t xml:space="preserve"> (</w:t>
      </w:r>
      <w:proofErr w:type="spellStart"/>
      <w:r w:rsidRPr="00815C34">
        <w:rPr>
          <w:rStyle w:val="ClinCaseTitle"/>
          <w:lang w:val="pl-PL"/>
        </w:rPr>
        <w:t>dec</w:t>
      </w:r>
      <w:proofErr w:type="spellEnd"/>
      <w:r w:rsidRPr="00815C34">
        <w:rPr>
          <w:rStyle w:val="ClinCaseTitle"/>
          <w:lang w:val="pl-PL"/>
        </w:rPr>
        <w:t>.) [</w:t>
      </w:r>
      <w:r w:rsidR="00815C34">
        <w:rPr>
          <w:rStyle w:val="ClinCaseTitle"/>
          <w:lang w:val="pl-PL"/>
        </w:rPr>
        <w:t>W</w:t>
      </w:r>
      <w:r w:rsidR="00B62846">
        <w:rPr>
          <w:rStyle w:val="ClinCaseTitle"/>
          <w:lang w:val="pl-PL"/>
        </w:rPr>
        <w:t>ielka Izba</w:t>
      </w:r>
      <w:r w:rsidRPr="00815C34">
        <w:rPr>
          <w:rStyle w:val="ClinCaseTitle"/>
          <w:lang w:val="pl-PL"/>
        </w:rPr>
        <w:t>]</w:t>
      </w:r>
      <w:r w:rsidRPr="00815C34">
        <w:rPr>
          <w:rStyle w:val="ClinApplicationNumber"/>
          <w:lang w:val="pl-PL"/>
        </w:rPr>
        <w:t xml:space="preserve"> </w:t>
      </w:r>
      <w:r w:rsidR="00815C34">
        <w:rPr>
          <w:rStyle w:val="ClinApplicationNumber"/>
          <w:lang w:val="pl-PL"/>
        </w:rPr>
        <w:t>–</w:t>
      </w:r>
      <w:r w:rsidRPr="00815C34">
        <w:rPr>
          <w:rStyle w:val="ClinApplicationNumber"/>
          <w:lang w:val="pl-PL"/>
        </w:rPr>
        <w:t xml:space="preserve"> </w:t>
      </w:r>
      <w:r w:rsidR="00815C34">
        <w:rPr>
          <w:rStyle w:val="ClinApplicationNumber"/>
          <w:lang w:val="pl-PL"/>
        </w:rPr>
        <w:t xml:space="preserve">skarga nr </w:t>
      </w:r>
      <w:r w:rsidRPr="00815C34">
        <w:rPr>
          <w:rStyle w:val="ClinApplicationNumber"/>
          <w:lang w:val="pl-PL"/>
        </w:rPr>
        <w:t>54155/16</w:t>
      </w:r>
    </w:p>
    <w:p w14:paraId="696F8241" w14:textId="77777777" w:rsidR="004D7F94" w:rsidRPr="00815C34" w:rsidRDefault="00815C34">
      <w:pPr>
        <w:rPr>
          <w:lang w:val="pl-PL"/>
        </w:rPr>
      </w:pPr>
      <w:r w:rsidRPr="00815C34">
        <w:rPr>
          <w:rStyle w:val="ClinHudocDocumentTitle"/>
          <w:lang w:val="pl-PL"/>
        </w:rPr>
        <w:t xml:space="preserve">Decyzja z </w:t>
      </w:r>
      <w:r w:rsidR="00581E7A" w:rsidRPr="00815C34">
        <w:rPr>
          <w:rStyle w:val="ClinHudocDocumentTitle"/>
          <w:lang w:val="pl-PL"/>
        </w:rPr>
        <w:t>18</w:t>
      </w:r>
      <w:r w:rsidRPr="00815C34">
        <w:rPr>
          <w:rStyle w:val="ClinHudocDocumentTitle"/>
          <w:lang w:val="pl-PL"/>
        </w:rPr>
        <w:t>.</w:t>
      </w:r>
      <w:r w:rsidR="00581E7A" w:rsidRPr="00815C34">
        <w:rPr>
          <w:rStyle w:val="ClinHudocDocumentTitle"/>
          <w:lang w:val="pl-PL"/>
        </w:rPr>
        <w:t>11.2020</w:t>
      </w:r>
      <w:r w:rsidR="00581E7A" w:rsidRPr="00815C34">
        <w:rPr>
          <w:rStyle w:val="ClinSectionName"/>
          <w:lang w:val="pl-PL"/>
        </w:rPr>
        <w:t xml:space="preserve"> </w:t>
      </w:r>
      <w:r w:rsidRPr="00815C34">
        <w:rPr>
          <w:rStyle w:val="ClinSectionName"/>
          <w:lang w:val="pl-PL"/>
        </w:rPr>
        <w:t xml:space="preserve">r. </w:t>
      </w:r>
      <w:r w:rsidR="00581E7A" w:rsidRPr="00815C34">
        <w:rPr>
          <w:rStyle w:val="ClinSectionName"/>
          <w:lang w:val="pl-PL"/>
        </w:rPr>
        <w:t>[</w:t>
      </w:r>
      <w:r w:rsidRPr="00815C34">
        <w:rPr>
          <w:rStyle w:val="ClinSectionName"/>
          <w:lang w:val="pl-PL"/>
        </w:rPr>
        <w:t>W</w:t>
      </w:r>
      <w:r w:rsidR="00B62846">
        <w:rPr>
          <w:rStyle w:val="ClinSectionName"/>
          <w:lang w:val="pl-PL"/>
        </w:rPr>
        <w:t>ielka Izba</w:t>
      </w:r>
      <w:r w:rsidR="00581E7A" w:rsidRPr="00815C34">
        <w:rPr>
          <w:rStyle w:val="ClinSectionName"/>
          <w:lang w:val="pl-PL"/>
        </w:rPr>
        <w:t>]</w:t>
      </w:r>
    </w:p>
    <w:p w14:paraId="75E4DEF0" w14:textId="77777777" w:rsidR="004D7F94" w:rsidRPr="00B62846" w:rsidRDefault="00581E7A">
      <w:pPr>
        <w:pStyle w:val="ClinMainKeywordCode"/>
        <w:rPr>
          <w:lang w:val="pl-PL"/>
        </w:rPr>
      </w:pPr>
      <w:r w:rsidRPr="00B62846">
        <w:rPr>
          <w:lang w:val="pl-PL"/>
        </w:rPr>
        <w:t>Art</w:t>
      </w:r>
      <w:r w:rsidR="00815C34" w:rsidRPr="00B62846">
        <w:rPr>
          <w:lang w:val="pl-PL"/>
        </w:rPr>
        <w:t>.</w:t>
      </w:r>
      <w:r w:rsidRPr="00B62846">
        <w:rPr>
          <w:lang w:val="pl-PL"/>
        </w:rPr>
        <w:t xml:space="preserve"> 33</w:t>
      </w:r>
    </w:p>
    <w:p w14:paraId="68498988" w14:textId="77777777" w:rsidR="004D7F94" w:rsidRPr="00A375F9" w:rsidRDefault="00815C34">
      <w:pPr>
        <w:pStyle w:val="ClinKeyword"/>
        <w:rPr>
          <w:lang w:val="pl-PL"/>
        </w:rPr>
      </w:pPr>
      <w:r w:rsidRPr="00A375F9">
        <w:rPr>
          <w:lang w:val="pl-PL"/>
        </w:rPr>
        <w:t>Skarga międzypaństwowa</w:t>
      </w:r>
    </w:p>
    <w:p w14:paraId="682E196B" w14:textId="77777777" w:rsidR="00EF1908" w:rsidRPr="00EF1908" w:rsidRDefault="00EF1908" w:rsidP="004964D8">
      <w:pPr>
        <w:jc w:val="both"/>
        <w:rPr>
          <w:lang w:val="pl-PL"/>
        </w:rPr>
      </w:pPr>
      <w:r w:rsidRPr="00EF1908">
        <w:rPr>
          <w:rStyle w:val="ClinHeadNote"/>
          <w:lang w:val="pl-PL"/>
        </w:rPr>
        <w:t xml:space="preserve">Brak jurysdykcji do zbadania skargi międzypaństwowej dochodzącej praw </w:t>
      </w:r>
      <w:r w:rsidR="00043B3A">
        <w:rPr>
          <w:rStyle w:val="ClinHeadNote"/>
          <w:lang w:val="pl-PL"/>
        </w:rPr>
        <w:t>podmiotu prawnego, którego</w:t>
      </w:r>
      <w:r w:rsidRPr="00EF1908">
        <w:rPr>
          <w:rStyle w:val="ClinHeadNote"/>
          <w:lang w:val="pl-PL"/>
        </w:rPr>
        <w:t xml:space="preserve"> nie można zakwalifikować jako </w:t>
      </w:r>
      <w:r>
        <w:rPr>
          <w:rStyle w:val="ClinHeadNote"/>
          <w:lang w:val="pl-PL"/>
        </w:rPr>
        <w:t>„</w:t>
      </w:r>
      <w:r w:rsidR="00491267">
        <w:rPr>
          <w:rStyle w:val="ClinHeadNote"/>
          <w:lang w:val="pl-PL"/>
        </w:rPr>
        <w:t>poza</w:t>
      </w:r>
      <w:r w:rsidRPr="00EF1908">
        <w:rPr>
          <w:rStyle w:val="ClinHeadNote"/>
          <w:lang w:val="pl-PL"/>
        </w:rPr>
        <w:t>rządowe</w:t>
      </w:r>
      <w:r w:rsidR="00043B3A">
        <w:rPr>
          <w:rStyle w:val="ClinHeadNote"/>
          <w:lang w:val="pl-PL"/>
        </w:rPr>
        <w:t>go</w:t>
      </w:r>
      <w:r w:rsidRPr="00EF1908">
        <w:rPr>
          <w:rStyle w:val="ClinHeadNote"/>
          <w:lang w:val="pl-PL"/>
        </w:rPr>
        <w:t>”</w:t>
      </w:r>
    </w:p>
    <w:p w14:paraId="4B92171B" w14:textId="77777777" w:rsidR="004D7F94" w:rsidRPr="00A375F9" w:rsidRDefault="00581E7A">
      <w:pPr>
        <w:pStyle w:val="ClinMainKeywordCode"/>
        <w:rPr>
          <w:lang w:val="pl-PL"/>
        </w:rPr>
      </w:pPr>
      <w:r w:rsidRPr="00A375F9">
        <w:rPr>
          <w:lang w:val="pl-PL"/>
        </w:rPr>
        <w:t>Art</w:t>
      </w:r>
      <w:r w:rsidR="000C2259" w:rsidRPr="00A375F9">
        <w:rPr>
          <w:lang w:val="pl-PL"/>
        </w:rPr>
        <w:t>.</w:t>
      </w:r>
      <w:r w:rsidRPr="00A375F9">
        <w:rPr>
          <w:lang w:val="pl-PL"/>
        </w:rPr>
        <w:t xml:space="preserve"> 34</w:t>
      </w:r>
    </w:p>
    <w:p w14:paraId="3E8D3C9A" w14:textId="77777777" w:rsidR="004D7F94" w:rsidRPr="00A375F9" w:rsidRDefault="000C2259">
      <w:pPr>
        <w:pStyle w:val="ClinKeyword"/>
        <w:rPr>
          <w:lang w:val="pl-PL"/>
        </w:rPr>
      </w:pPr>
      <w:r w:rsidRPr="00A375F9">
        <w:rPr>
          <w:lang w:val="pl-PL"/>
        </w:rPr>
        <w:t>Ofiara</w:t>
      </w:r>
    </w:p>
    <w:p w14:paraId="4B5AB8F6" w14:textId="77777777" w:rsidR="00043B3A" w:rsidRPr="00EF1908" w:rsidRDefault="00043B3A" w:rsidP="004964D8">
      <w:pPr>
        <w:jc w:val="both"/>
        <w:rPr>
          <w:lang w:val="pl-PL"/>
        </w:rPr>
      </w:pPr>
      <w:r w:rsidRPr="00EF1908">
        <w:rPr>
          <w:rStyle w:val="ClinHeadNote"/>
          <w:lang w:val="pl-PL"/>
        </w:rPr>
        <w:t xml:space="preserve">Brak jurysdykcji do zbadania skargi międzypaństwowej dochodzącej praw </w:t>
      </w:r>
      <w:r>
        <w:rPr>
          <w:rStyle w:val="ClinHeadNote"/>
          <w:lang w:val="pl-PL"/>
        </w:rPr>
        <w:t>podmiotu prawnego, którego</w:t>
      </w:r>
      <w:r w:rsidRPr="00EF1908">
        <w:rPr>
          <w:rStyle w:val="ClinHeadNote"/>
          <w:lang w:val="pl-PL"/>
        </w:rPr>
        <w:t xml:space="preserve"> nie można zakwalifikować jako </w:t>
      </w:r>
      <w:r>
        <w:rPr>
          <w:rStyle w:val="ClinHeadNote"/>
          <w:lang w:val="pl-PL"/>
        </w:rPr>
        <w:t>„poza</w:t>
      </w:r>
      <w:r w:rsidRPr="00EF1908">
        <w:rPr>
          <w:rStyle w:val="ClinHeadNote"/>
          <w:lang w:val="pl-PL"/>
        </w:rPr>
        <w:t>rządowe</w:t>
      </w:r>
      <w:r>
        <w:rPr>
          <w:rStyle w:val="ClinHeadNote"/>
          <w:lang w:val="pl-PL"/>
        </w:rPr>
        <w:t>go</w:t>
      </w:r>
      <w:r w:rsidR="00A375F9">
        <w:rPr>
          <w:rStyle w:val="ClinHeadNote"/>
          <w:lang w:val="pl-PL"/>
        </w:rPr>
        <w:t>”</w:t>
      </w:r>
    </w:p>
    <w:p w14:paraId="7276871C" w14:textId="7E810172" w:rsidR="00AD0A77" w:rsidRPr="00AD0A77" w:rsidRDefault="00AD0A77">
      <w:pPr>
        <w:pStyle w:val="ClinContent"/>
        <w:rPr>
          <w:lang w:val="pl-PL"/>
        </w:rPr>
      </w:pPr>
      <w:r w:rsidRPr="00AD0A77">
        <w:rPr>
          <w:i/>
          <w:lang w:val="pl-PL"/>
        </w:rPr>
        <w:t>Fakty</w:t>
      </w:r>
      <w:r w:rsidRPr="00AD0A77">
        <w:rPr>
          <w:lang w:val="pl-PL"/>
        </w:rPr>
        <w:t xml:space="preserve"> – Bank Lublański (</w:t>
      </w:r>
      <w:proofErr w:type="spellStart"/>
      <w:r w:rsidRPr="00AD0A77">
        <w:rPr>
          <w:i/>
          <w:lang w:val="pl-PL"/>
        </w:rPr>
        <w:t>Ljubljanska</w:t>
      </w:r>
      <w:proofErr w:type="spellEnd"/>
      <w:r w:rsidRPr="00AD0A77">
        <w:rPr>
          <w:i/>
          <w:lang w:val="pl-PL"/>
        </w:rPr>
        <w:t xml:space="preserve"> Banka</w:t>
      </w:r>
      <w:r w:rsidRPr="00AD0A77">
        <w:rPr>
          <w:lang w:val="pl-PL"/>
        </w:rPr>
        <w:t>)</w:t>
      </w:r>
      <w:r>
        <w:rPr>
          <w:lang w:val="pl-PL"/>
        </w:rPr>
        <w:t xml:space="preserve"> jest osobą prawną, która została znacjonalizowana przez </w:t>
      </w:r>
      <w:r w:rsidR="00A375F9">
        <w:rPr>
          <w:lang w:val="pl-PL"/>
        </w:rPr>
        <w:t>państwo słoweńskie</w:t>
      </w:r>
      <w:r>
        <w:rPr>
          <w:lang w:val="pl-PL"/>
        </w:rPr>
        <w:t xml:space="preserve">. </w:t>
      </w:r>
      <w:r w:rsidR="009A0629">
        <w:rPr>
          <w:lang w:val="pl-PL"/>
        </w:rPr>
        <w:t xml:space="preserve">Nie był on w stanie </w:t>
      </w:r>
      <w:r w:rsidR="00DB3242">
        <w:rPr>
          <w:lang w:val="pl-PL"/>
        </w:rPr>
        <w:t xml:space="preserve">ściągnąć należności </w:t>
      </w:r>
      <w:r w:rsidR="009A0629">
        <w:rPr>
          <w:lang w:val="pl-PL"/>
        </w:rPr>
        <w:t>od</w:t>
      </w:r>
      <w:r w:rsidR="006E0FE7">
        <w:rPr>
          <w:lang w:val="pl-PL"/>
        </w:rPr>
        <w:t> </w:t>
      </w:r>
      <w:r w:rsidR="009A0629">
        <w:rPr>
          <w:lang w:val="pl-PL"/>
        </w:rPr>
        <w:t xml:space="preserve">dłużników w Chorwacji, rzekomo z powodu bezczynności po stronie sądów i innych władz chorwackich oraz z powodu nakładania różnych innych przeszkód prawnych. </w:t>
      </w:r>
    </w:p>
    <w:p w14:paraId="482A43E5" w14:textId="3C36E925" w:rsidR="00E708CA" w:rsidRPr="00E708CA" w:rsidRDefault="00E708CA">
      <w:pPr>
        <w:pStyle w:val="ClinContent"/>
        <w:rPr>
          <w:lang w:val="pl-PL"/>
        </w:rPr>
      </w:pPr>
      <w:r w:rsidRPr="00E708CA">
        <w:rPr>
          <w:lang w:val="pl-PL"/>
        </w:rPr>
        <w:t xml:space="preserve">We wcześniejszej sprawie </w:t>
      </w:r>
      <w:proofErr w:type="spellStart"/>
      <w:r>
        <w:rPr>
          <w:i/>
          <w:lang w:val="pl-PL"/>
        </w:rPr>
        <w:t>Ljubljanska</w:t>
      </w:r>
      <w:proofErr w:type="spellEnd"/>
      <w:r>
        <w:rPr>
          <w:i/>
          <w:lang w:val="pl-PL"/>
        </w:rPr>
        <w:t xml:space="preserve"> Banka </w:t>
      </w:r>
      <w:proofErr w:type="spellStart"/>
      <w:r>
        <w:rPr>
          <w:i/>
          <w:lang w:val="pl-PL"/>
        </w:rPr>
        <w:t>D.D</w:t>
      </w:r>
      <w:proofErr w:type="spellEnd"/>
      <w:r>
        <w:rPr>
          <w:i/>
          <w:lang w:val="pl-PL"/>
        </w:rPr>
        <w:t>. p</w:t>
      </w:r>
      <w:r w:rsidRPr="00E708CA">
        <w:rPr>
          <w:i/>
          <w:lang w:val="pl-PL"/>
        </w:rPr>
        <w:t>. C</w:t>
      </w:r>
      <w:r>
        <w:rPr>
          <w:i/>
          <w:lang w:val="pl-PL"/>
        </w:rPr>
        <w:t>horwacji</w:t>
      </w:r>
      <w:r w:rsidRPr="00E708CA">
        <w:rPr>
          <w:i/>
          <w:lang w:val="pl-PL"/>
        </w:rPr>
        <w:t xml:space="preserve"> </w:t>
      </w:r>
      <w:r>
        <w:rPr>
          <w:lang w:val="pl-PL"/>
        </w:rPr>
        <w:t>(</w:t>
      </w:r>
      <w:proofErr w:type="spellStart"/>
      <w:r>
        <w:rPr>
          <w:lang w:val="pl-PL"/>
        </w:rPr>
        <w:t>dec</w:t>
      </w:r>
      <w:proofErr w:type="spellEnd"/>
      <w:r>
        <w:rPr>
          <w:lang w:val="pl-PL"/>
        </w:rPr>
        <w:t>.) Trybunał uznał, że</w:t>
      </w:r>
      <w:r w:rsidR="006E0FE7">
        <w:rPr>
          <w:lang w:val="pl-PL"/>
        </w:rPr>
        <w:t> </w:t>
      </w:r>
      <w:r>
        <w:rPr>
          <w:lang w:val="pl-PL"/>
        </w:rPr>
        <w:t xml:space="preserve">przedmiotowy bank nie </w:t>
      </w:r>
      <w:r w:rsidR="008B5149">
        <w:rPr>
          <w:lang w:val="pl-PL"/>
        </w:rPr>
        <w:t>jest</w:t>
      </w:r>
      <w:r>
        <w:rPr>
          <w:lang w:val="pl-PL"/>
        </w:rPr>
        <w:t xml:space="preserve"> organizacją „</w:t>
      </w:r>
      <w:r w:rsidR="00491267">
        <w:rPr>
          <w:lang w:val="pl-PL"/>
        </w:rPr>
        <w:t>poza</w:t>
      </w:r>
      <w:r>
        <w:rPr>
          <w:lang w:val="pl-PL"/>
        </w:rPr>
        <w:t>rządową” w rozumieniu art. 34</w:t>
      </w:r>
      <w:r w:rsidR="00491267">
        <w:rPr>
          <w:lang w:val="pl-PL"/>
        </w:rPr>
        <w:t xml:space="preserve">, a zatem nie był uprawniony do złożenia skargi indywidualnej do Trybunału. Rząd słoweński złożył następnie skargę międzypaństwową przeciwko Chorwacji w związku z niemożnością ściągnięcia długów przez bank, zarzucając liczne naruszenia Konwencji. </w:t>
      </w:r>
      <w:r>
        <w:rPr>
          <w:lang w:val="pl-PL"/>
        </w:rPr>
        <w:t xml:space="preserve"> </w:t>
      </w:r>
    </w:p>
    <w:p w14:paraId="187B7273" w14:textId="77777777" w:rsidR="004D7F94" w:rsidRPr="00A375F9" w:rsidRDefault="00677119">
      <w:pPr>
        <w:pStyle w:val="ClinContent"/>
        <w:rPr>
          <w:lang w:val="pl-PL"/>
        </w:rPr>
      </w:pPr>
      <w:r w:rsidRPr="00A375F9">
        <w:rPr>
          <w:i/>
          <w:lang w:val="pl-PL"/>
        </w:rPr>
        <w:t>Prawo</w:t>
      </w:r>
      <w:r w:rsidR="00581E7A" w:rsidRPr="00A375F9">
        <w:rPr>
          <w:i/>
          <w:lang w:val="pl-PL"/>
        </w:rPr>
        <w:t xml:space="preserve"> – </w:t>
      </w:r>
      <w:r w:rsidR="00581E7A" w:rsidRPr="00A375F9">
        <w:rPr>
          <w:lang w:val="pl-PL"/>
        </w:rPr>
        <w:t>Art</w:t>
      </w:r>
      <w:r w:rsidRPr="00A375F9">
        <w:rPr>
          <w:lang w:val="pl-PL"/>
        </w:rPr>
        <w:t>.</w:t>
      </w:r>
      <w:r w:rsidR="00581E7A" w:rsidRPr="00A375F9">
        <w:rPr>
          <w:lang w:val="pl-PL"/>
        </w:rPr>
        <w:t xml:space="preserve"> 33:</w:t>
      </w:r>
    </w:p>
    <w:p w14:paraId="52E2597A" w14:textId="77777777" w:rsidR="00677119" w:rsidRPr="00677119" w:rsidRDefault="00677119">
      <w:pPr>
        <w:pStyle w:val="ClinContent"/>
        <w:rPr>
          <w:i/>
          <w:lang w:val="pl-PL"/>
        </w:rPr>
      </w:pPr>
      <w:r w:rsidRPr="00677119">
        <w:rPr>
          <w:lang w:val="pl-PL"/>
        </w:rPr>
        <w:t xml:space="preserve">a) </w:t>
      </w:r>
      <w:r w:rsidRPr="00677119">
        <w:rPr>
          <w:i/>
          <w:lang w:val="pl-PL"/>
        </w:rPr>
        <w:t xml:space="preserve">Czy Trybunał może zbadać zastrzeżenie dotyczące zgodności z art. </w:t>
      </w:r>
      <w:r>
        <w:rPr>
          <w:i/>
          <w:lang w:val="pl-PL"/>
        </w:rPr>
        <w:t>33 na etapie dopuszczalności</w:t>
      </w:r>
    </w:p>
    <w:p w14:paraId="508F83E5" w14:textId="54E05293" w:rsidR="00677119" w:rsidRPr="00A375F9" w:rsidRDefault="00677119">
      <w:pPr>
        <w:pStyle w:val="ClinContent"/>
        <w:rPr>
          <w:lang w:val="pl-PL"/>
        </w:rPr>
      </w:pPr>
      <w:r w:rsidRPr="00677119">
        <w:rPr>
          <w:lang w:val="pl-PL"/>
        </w:rPr>
        <w:t>Z jednej strony skarga międzypaństwowa może być odrzucona jako niedopuszczalna na</w:t>
      </w:r>
      <w:r w:rsidR="006E0FE7">
        <w:rPr>
          <w:lang w:val="pl-PL"/>
        </w:rPr>
        <w:t> </w:t>
      </w:r>
      <w:r w:rsidRPr="00677119">
        <w:rPr>
          <w:lang w:val="pl-PL"/>
        </w:rPr>
        <w:t xml:space="preserve">podstawie art. </w:t>
      </w:r>
      <w:r>
        <w:rPr>
          <w:lang w:val="pl-PL"/>
        </w:rPr>
        <w:t xml:space="preserve">35 jedynie z powodu niewyczerpania krajowych środków odwoławczych i niedotrzymania terminu 6 miesięcy: inne </w:t>
      </w:r>
      <w:r w:rsidR="00F15999">
        <w:rPr>
          <w:lang w:val="pl-PL"/>
        </w:rPr>
        <w:t>wymogi</w:t>
      </w:r>
      <w:r w:rsidR="00F15999">
        <w:rPr>
          <w:lang w:val="pl-PL"/>
        </w:rPr>
        <w:t xml:space="preserve"> </w:t>
      </w:r>
      <w:r>
        <w:rPr>
          <w:lang w:val="pl-PL"/>
        </w:rPr>
        <w:t xml:space="preserve">dopuszczalności są zastrzeżone do </w:t>
      </w:r>
      <w:r w:rsidR="00213BE7">
        <w:rPr>
          <w:lang w:val="pl-PL"/>
        </w:rPr>
        <w:t xml:space="preserve">badania </w:t>
      </w:r>
      <w:r w:rsidR="001C2A47">
        <w:rPr>
          <w:lang w:val="pl-PL"/>
        </w:rPr>
        <w:t xml:space="preserve">w ramach przedmiotu skargi na etapie po </w:t>
      </w:r>
      <w:r w:rsidR="00957C37">
        <w:rPr>
          <w:lang w:val="pl-PL"/>
        </w:rPr>
        <w:t xml:space="preserve">stwierdzeniu </w:t>
      </w:r>
      <w:r w:rsidR="001C2A47">
        <w:rPr>
          <w:lang w:val="pl-PL"/>
        </w:rPr>
        <w:t xml:space="preserve">dopuszczalności. Z drugiej strony sformułowanie art. 33 i 35 nie może być interpretowane </w:t>
      </w:r>
      <w:r w:rsidR="00C1643E">
        <w:rPr>
          <w:lang w:val="pl-PL"/>
        </w:rPr>
        <w:t>w sposób uniemożliwiający</w:t>
      </w:r>
      <w:r w:rsidR="001C2A47">
        <w:rPr>
          <w:lang w:val="pl-PL"/>
        </w:rPr>
        <w:t xml:space="preserve"> ustalenie przez Trybunał już na etapie</w:t>
      </w:r>
      <w:r w:rsidR="00A375F9">
        <w:rPr>
          <w:lang w:val="pl-PL"/>
        </w:rPr>
        <w:t xml:space="preserve"> badania</w:t>
      </w:r>
      <w:r w:rsidR="001C2A47">
        <w:rPr>
          <w:lang w:val="pl-PL"/>
        </w:rPr>
        <w:t xml:space="preserve"> dopuszczalności, zgodnie z ogólnymi zasadami dotyczącymi wykonywania </w:t>
      </w:r>
      <w:r w:rsidR="00A375F9">
        <w:rPr>
          <w:lang w:val="pl-PL"/>
        </w:rPr>
        <w:t xml:space="preserve">swej </w:t>
      </w:r>
      <w:r w:rsidR="001C2A47">
        <w:rPr>
          <w:lang w:val="pl-PL"/>
        </w:rPr>
        <w:t>jurysdykcji przez trybuna</w:t>
      </w:r>
      <w:r w:rsidR="00AE5274">
        <w:rPr>
          <w:lang w:val="pl-PL"/>
        </w:rPr>
        <w:t>ł</w:t>
      </w:r>
      <w:r w:rsidR="001C2A47">
        <w:rPr>
          <w:lang w:val="pl-PL"/>
        </w:rPr>
        <w:t xml:space="preserve">y międzynarodowe, </w:t>
      </w:r>
      <w:r w:rsidR="00AE5274">
        <w:rPr>
          <w:lang w:val="pl-PL"/>
        </w:rPr>
        <w:t>czy jest o</w:t>
      </w:r>
      <w:r w:rsidR="003D159B">
        <w:rPr>
          <w:lang w:val="pl-PL"/>
        </w:rPr>
        <w:t>n</w:t>
      </w:r>
      <w:r w:rsidR="00AE5274">
        <w:rPr>
          <w:lang w:val="pl-PL"/>
        </w:rPr>
        <w:t xml:space="preserve"> właściwy do zajęcia się przedłożoną mu sprawą. Innymi słowy, Trybunał może odrzucić skargę międzypaństwową bez uznania jej za dopuszczalną, jeśli od samego początku jest jasne, </w:t>
      </w:r>
      <w:r w:rsidR="00AE5274">
        <w:rPr>
          <w:lang w:val="pl-PL"/>
        </w:rPr>
        <w:lastRenderedPageBreak/>
        <w:t>że jest ona całkowicie nieuzasadniona lub z innych powodów nie spełnia wymogów dotyczących</w:t>
      </w:r>
      <w:r w:rsidR="00A375F9">
        <w:rPr>
          <w:lang w:val="pl-PL"/>
        </w:rPr>
        <w:t xml:space="preserve"> podniesienia</w:t>
      </w:r>
      <w:r w:rsidR="00AE5274">
        <w:rPr>
          <w:lang w:val="pl-PL"/>
        </w:rPr>
        <w:t xml:space="preserve"> rzeczywistego zarzutu w rozumieniu art. 33 Konwencji. </w:t>
      </w:r>
      <w:r w:rsidR="00AE5274" w:rsidRPr="00A375F9">
        <w:rPr>
          <w:lang w:val="pl-PL"/>
        </w:rPr>
        <w:t xml:space="preserve">Takie podejście jest zgodne również z zasadą ekonomiki procesowej. </w:t>
      </w:r>
    </w:p>
    <w:p w14:paraId="2CC3DB95" w14:textId="620971D5" w:rsidR="00AE5274" w:rsidRPr="00F46D48" w:rsidRDefault="00AE5274">
      <w:pPr>
        <w:pStyle w:val="ClinContent"/>
        <w:rPr>
          <w:i/>
          <w:lang w:val="pl-PL"/>
        </w:rPr>
      </w:pPr>
      <w:r w:rsidRPr="005E1C49">
        <w:rPr>
          <w:lang w:val="pl-PL"/>
        </w:rPr>
        <w:t xml:space="preserve">W niniejszej sprawie </w:t>
      </w:r>
      <w:r w:rsidR="005E1C49" w:rsidRPr="005E1C49">
        <w:rPr>
          <w:lang w:val="pl-PL"/>
        </w:rPr>
        <w:t>podniesiona kluczowa kwestia wstępna</w:t>
      </w:r>
      <w:r w:rsidR="005E1C49">
        <w:rPr>
          <w:lang w:val="pl-PL"/>
        </w:rPr>
        <w:t xml:space="preserve"> – czy Trybunał może zbadać skargę międzypaństwową dochodzącą praw </w:t>
      </w:r>
      <w:r w:rsidR="006B5EB4">
        <w:rPr>
          <w:lang w:val="pl-PL"/>
        </w:rPr>
        <w:t>podmiotu prawnego, który</w:t>
      </w:r>
      <w:r w:rsidR="005E1C49">
        <w:rPr>
          <w:lang w:val="pl-PL"/>
        </w:rPr>
        <w:t xml:space="preserve"> </w:t>
      </w:r>
      <w:r w:rsidR="005E1C49">
        <w:rPr>
          <w:i/>
          <w:lang w:val="pl-PL"/>
        </w:rPr>
        <w:t xml:space="preserve">prima facie </w:t>
      </w:r>
      <w:r w:rsidR="005E1C49">
        <w:rPr>
          <w:lang w:val="pl-PL"/>
        </w:rPr>
        <w:t>n</w:t>
      </w:r>
      <w:r w:rsidR="006B5EB4">
        <w:rPr>
          <w:lang w:val="pl-PL"/>
        </w:rPr>
        <w:t>ie</w:t>
      </w:r>
      <w:r w:rsidR="001827AF">
        <w:rPr>
          <w:lang w:val="pl-PL"/>
        </w:rPr>
        <w:t> </w:t>
      </w:r>
      <w:r w:rsidR="006B5EB4">
        <w:rPr>
          <w:lang w:val="pl-PL"/>
        </w:rPr>
        <w:t>jest pozarządowy</w:t>
      </w:r>
      <w:r w:rsidR="005E1C49">
        <w:rPr>
          <w:lang w:val="pl-PL"/>
        </w:rPr>
        <w:t xml:space="preserve"> – nie jest objęta zakresem któregokolwiek z </w:t>
      </w:r>
      <w:r w:rsidR="00F15999">
        <w:rPr>
          <w:lang w:val="pl-PL"/>
        </w:rPr>
        <w:t>wymog</w:t>
      </w:r>
      <w:r w:rsidR="00F15999">
        <w:rPr>
          <w:lang w:val="pl-PL"/>
        </w:rPr>
        <w:t xml:space="preserve">ów </w:t>
      </w:r>
      <w:r w:rsidR="005E1C49">
        <w:rPr>
          <w:lang w:val="pl-PL"/>
        </w:rPr>
        <w:t>dopuszczalności określonych w art. 35. Po pierwsze, kwesti</w:t>
      </w:r>
      <w:r w:rsidR="00957C37">
        <w:rPr>
          <w:lang w:val="pl-PL"/>
        </w:rPr>
        <w:t>i tej nie można zrównywać</w:t>
      </w:r>
      <w:r w:rsidR="005E1C49">
        <w:rPr>
          <w:lang w:val="pl-PL"/>
        </w:rPr>
        <w:t xml:space="preserve"> z</w:t>
      </w:r>
      <w:r w:rsidR="001827AF">
        <w:rPr>
          <w:lang w:val="pl-PL"/>
        </w:rPr>
        <w:t> </w:t>
      </w:r>
      <w:r w:rsidR="00F15999">
        <w:rPr>
          <w:lang w:val="pl-PL"/>
        </w:rPr>
        <w:t>wymogiem</w:t>
      </w:r>
      <w:r w:rsidR="00F15999">
        <w:rPr>
          <w:lang w:val="pl-PL"/>
        </w:rPr>
        <w:t xml:space="preserve"> </w:t>
      </w:r>
      <w:r w:rsidR="005E1C49">
        <w:rPr>
          <w:lang w:val="pl-PL"/>
        </w:rPr>
        <w:t xml:space="preserve">zgodności skargi </w:t>
      </w:r>
      <w:r w:rsidR="005E1C49">
        <w:rPr>
          <w:i/>
          <w:lang w:val="pl-PL"/>
        </w:rPr>
        <w:t xml:space="preserve">ratione personae. </w:t>
      </w:r>
      <w:r w:rsidR="005E1C49">
        <w:rPr>
          <w:lang w:val="pl-PL"/>
        </w:rPr>
        <w:t>Rząd słoweński niewątpliwie jest uprawn</w:t>
      </w:r>
      <w:r w:rsidR="00A906E8">
        <w:rPr>
          <w:lang w:val="pl-PL"/>
        </w:rPr>
        <w:t>i</w:t>
      </w:r>
      <w:r w:rsidR="005E1C49">
        <w:rPr>
          <w:lang w:val="pl-PL"/>
        </w:rPr>
        <w:t xml:space="preserve">ony </w:t>
      </w:r>
      <w:r w:rsidR="002E7FB3">
        <w:rPr>
          <w:lang w:val="pl-PL"/>
        </w:rPr>
        <w:t>d</w:t>
      </w:r>
      <w:r w:rsidR="005E1C49">
        <w:rPr>
          <w:lang w:val="pl-PL"/>
        </w:rPr>
        <w:t xml:space="preserve">o </w:t>
      </w:r>
      <w:r w:rsidR="002E7FB3">
        <w:rPr>
          <w:lang w:val="pl-PL"/>
        </w:rPr>
        <w:t>z</w:t>
      </w:r>
      <w:r w:rsidR="005E1C49">
        <w:rPr>
          <w:lang w:val="pl-PL"/>
        </w:rPr>
        <w:t>łożenia skargi międzypaństwowej na podstawie art. 33; ponadto nie</w:t>
      </w:r>
      <w:r w:rsidR="001827AF">
        <w:rPr>
          <w:lang w:val="pl-PL"/>
        </w:rPr>
        <w:t> </w:t>
      </w:r>
      <w:r w:rsidR="005E1C49">
        <w:rPr>
          <w:lang w:val="pl-PL"/>
        </w:rPr>
        <w:t xml:space="preserve">musi być on w żaden sposób </w:t>
      </w:r>
      <w:r w:rsidR="00A906E8">
        <w:rPr>
          <w:lang w:val="pl-PL"/>
        </w:rPr>
        <w:t>poszkodowany</w:t>
      </w:r>
      <w:r w:rsidR="005E1C49">
        <w:rPr>
          <w:lang w:val="pl-PL"/>
        </w:rPr>
        <w:t xml:space="preserve">, nawet </w:t>
      </w:r>
      <w:r w:rsidR="005E1C49" w:rsidRPr="00745A00">
        <w:rPr>
          <w:lang w:val="pl-PL"/>
        </w:rPr>
        <w:t>pośrednio,</w:t>
      </w:r>
      <w:r w:rsidR="005E1C49">
        <w:rPr>
          <w:lang w:val="pl-PL"/>
        </w:rPr>
        <w:t xml:space="preserve"> </w:t>
      </w:r>
      <w:r w:rsidR="00F15999">
        <w:rPr>
          <w:lang w:val="pl-PL"/>
        </w:rPr>
        <w:t>na skutek</w:t>
      </w:r>
      <w:r w:rsidR="00A906E8">
        <w:rPr>
          <w:lang w:val="pl-PL"/>
        </w:rPr>
        <w:t xml:space="preserve"> zarzucanych naruszeń</w:t>
      </w:r>
      <w:r w:rsidR="005E1C49">
        <w:rPr>
          <w:lang w:val="pl-PL"/>
        </w:rPr>
        <w:t xml:space="preserve">. </w:t>
      </w:r>
      <w:r w:rsidR="00A906E8">
        <w:rPr>
          <w:lang w:val="pl-PL"/>
        </w:rPr>
        <w:t>Nie twierdzono</w:t>
      </w:r>
      <w:r w:rsidR="000417F7">
        <w:rPr>
          <w:lang w:val="pl-PL"/>
        </w:rPr>
        <w:t xml:space="preserve"> też nigdy</w:t>
      </w:r>
      <w:r w:rsidR="00A906E8">
        <w:rPr>
          <w:lang w:val="pl-PL"/>
        </w:rPr>
        <w:t>, że zarzucanych naruszeń nie można przypisać władzom pozwane</w:t>
      </w:r>
      <w:r w:rsidR="00F46D48">
        <w:rPr>
          <w:lang w:val="pl-PL"/>
        </w:rPr>
        <w:t xml:space="preserve">j </w:t>
      </w:r>
      <w:r w:rsidR="00F15999">
        <w:rPr>
          <w:lang w:val="pl-PL"/>
        </w:rPr>
        <w:t>wysokiej układającej się strony</w:t>
      </w:r>
      <w:r w:rsidR="00A906E8">
        <w:rPr>
          <w:lang w:val="pl-PL"/>
        </w:rPr>
        <w:t xml:space="preserve">. </w:t>
      </w:r>
      <w:r w:rsidR="00F46D48">
        <w:rPr>
          <w:lang w:val="pl-PL"/>
        </w:rPr>
        <w:t>Ponadto, nawet jeśli podniesiona w sprawie kluczowa kwestia wstępna jest bezpośrednio związana z</w:t>
      </w:r>
      <w:r w:rsidR="001827AF">
        <w:rPr>
          <w:lang w:val="pl-PL"/>
        </w:rPr>
        <w:t> </w:t>
      </w:r>
      <w:r w:rsidR="00F46D48">
        <w:rPr>
          <w:lang w:val="pl-PL"/>
        </w:rPr>
        <w:t>przedmiotem s</w:t>
      </w:r>
      <w:r w:rsidR="000417F7">
        <w:rPr>
          <w:lang w:val="pl-PL"/>
        </w:rPr>
        <w:t>kargi</w:t>
      </w:r>
      <w:r w:rsidR="00F46D48">
        <w:rPr>
          <w:lang w:val="pl-PL"/>
        </w:rPr>
        <w:t xml:space="preserve">, nie może być </w:t>
      </w:r>
      <w:r w:rsidR="002E283C">
        <w:rPr>
          <w:lang w:val="pl-PL"/>
        </w:rPr>
        <w:t xml:space="preserve">ona </w:t>
      </w:r>
      <w:r w:rsidR="00F46D48">
        <w:rPr>
          <w:lang w:val="pl-PL"/>
        </w:rPr>
        <w:t xml:space="preserve">zrównana </w:t>
      </w:r>
      <w:r w:rsidR="002E283C">
        <w:rPr>
          <w:lang w:val="pl-PL"/>
        </w:rPr>
        <w:t xml:space="preserve">także </w:t>
      </w:r>
      <w:r w:rsidR="00F46D48">
        <w:rPr>
          <w:lang w:val="pl-PL"/>
        </w:rPr>
        <w:t xml:space="preserve">z kwestią zgodności </w:t>
      </w:r>
      <w:r w:rsidR="00F46D48">
        <w:rPr>
          <w:i/>
          <w:lang w:val="pl-PL"/>
        </w:rPr>
        <w:t xml:space="preserve">ratione materiae, </w:t>
      </w:r>
      <w:r w:rsidR="00F46D48" w:rsidRPr="00F46D48">
        <w:rPr>
          <w:lang w:val="pl-PL"/>
        </w:rPr>
        <w:t xml:space="preserve">gdyż </w:t>
      </w:r>
      <w:r w:rsidR="00F15999" w:rsidRPr="00F46D48">
        <w:rPr>
          <w:lang w:val="pl-PL"/>
        </w:rPr>
        <w:t>t</w:t>
      </w:r>
      <w:r w:rsidR="00F15999">
        <w:rPr>
          <w:lang w:val="pl-PL"/>
        </w:rPr>
        <w:t>en wymóg</w:t>
      </w:r>
      <w:r w:rsidR="00F46D48">
        <w:rPr>
          <w:lang w:val="pl-PL"/>
        </w:rPr>
        <w:t xml:space="preserve"> dopuszczalności zawsze </w:t>
      </w:r>
      <w:r w:rsidR="0064339B">
        <w:rPr>
          <w:lang w:val="pl-PL"/>
        </w:rPr>
        <w:t xml:space="preserve">był </w:t>
      </w:r>
      <w:r w:rsidR="00F46D48">
        <w:rPr>
          <w:lang w:val="pl-PL"/>
        </w:rPr>
        <w:t>rozumian</w:t>
      </w:r>
      <w:r w:rsidR="00F15999">
        <w:rPr>
          <w:lang w:val="pl-PL"/>
        </w:rPr>
        <w:t>y</w:t>
      </w:r>
      <w:r w:rsidR="00F46D48">
        <w:rPr>
          <w:lang w:val="pl-PL"/>
        </w:rPr>
        <w:t xml:space="preserve"> jako odnosząc</w:t>
      </w:r>
      <w:r w:rsidR="00F15999">
        <w:rPr>
          <w:lang w:val="pl-PL"/>
        </w:rPr>
        <w:t>y</w:t>
      </w:r>
      <w:r w:rsidR="00F46D48">
        <w:rPr>
          <w:lang w:val="pl-PL"/>
        </w:rPr>
        <w:t xml:space="preserve"> się wyłącznie do materialnej treści praw gwarantowanych przez Konwencję i Protokoły</w:t>
      </w:r>
      <w:r w:rsidR="00F15999">
        <w:rPr>
          <w:lang w:val="pl-PL"/>
        </w:rPr>
        <w:t xml:space="preserve"> do</w:t>
      </w:r>
      <w:r w:rsidR="001827AF">
        <w:rPr>
          <w:lang w:val="pl-PL"/>
        </w:rPr>
        <w:t> </w:t>
      </w:r>
      <w:r w:rsidR="00F15999">
        <w:rPr>
          <w:lang w:val="pl-PL"/>
        </w:rPr>
        <w:t>niej</w:t>
      </w:r>
      <w:r w:rsidR="00F46D48">
        <w:rPr>
          <w:lang w:val="pl-PL"/>
        </w:rPr>
        <w:t xml:space="preserve">. </w:t>
      </w:r>
    </w:p>
    <w:p w14:paraId="70CBB27A" w14:textId="637B5CD6" w:rsidR="00487F85" w:rsidRPr="00487F85" w:rsidRDefault="00487F85">
      <w:pPr>
        <w:pStyle w:val="ClinContent"/>
        <w:rPr>
          <w:lang w:val="pl-PL"/>
        </w:rPr>
      </w:pPr>
      <w:r w:rsidRPr="00487F85">
        <w:rPr>
          <w:lang w:val="pl-PL"/>
        </w:rPr>
        <w:t>Kluczowa kwestia stanowi więc materię, która dotyczy jurysdykcji Trybunału w</w:t>
      </w:r>
      <w:r w:rsidR="001827AF">
        <w:rPr>
          <w:lang w:val="pl-PL"/>
        </w:rPr>
        <w:t> </w:t>
      </w:r>
      <w:r w:rsidRPr="00487F85">
        <w:rPr>
          <w:lang w:val="pl-PL"/>
        </w:rPr>
        <w:t xml:space="preserve">rozumieniu art. </w:t>
      </w:r>
      <w:r>
        <w:rPr>
          <w:lang w:val="pl-PL"/>
        </w:rPr>
        <w:t>32, a nie kwesti</w:t>
      </w:r>
      <w:r w:rsidR="0064339B">
        <w:rPr>
          <w:lang w:val="pl-PL"/>
        </w:rPr>
        <w:t>ę</w:t>
      </w:r>
      <w:r>
        <w:rPr>
          <w:lang w:val="pl-PL"/>
        </w:rPr>
        <w:t xml:space="preserve"> dopuszczalności w wąskim </w:t>
      </w:r>
      <w:r w:rsidR="00F8467C">
        <w:rPr>
          <w:lang w:val="pl-PL"/>
        </w:rPr>
        <w:t>rozumieniu</w:t>
      </w:r>
      <w:r>
        <w:rPr>
          <w:lang w:val="pl-PL"/>
        </w:rPr>
        <w:t xml:space="preserve"> tego terminu. W istocie kwestia, czy Konwencja jako traktat praw człowieka może tworzyć prawa podstawowe dla </w:t>
      </w:r>
      <w:r w:rsidR="00F8467C">
        <w:rPr>
          <w:lang w:val="pl-PL"/>
        </w:rPr>
        <w:t xml:space="preserve">podmiotów będących własnością państwa i </w:t>
      </w:r>
      <w:r w:rsidR="002E283C">
        <w:rPr>
          <w:lang w:val="pl-PL"/>
        </w:rPr>
        <w:t xml:space="preserve">prowadzonych </w:t>
      </w:r>
      <w:r w:rsidR="00F8467C">
        <w:rPr>
          <w:lang w:val="pl-PL"/>
        </w:rPr>
        <w:t>przez państwo</w:t>
      </w:r>
      <w:r w:rsidR="005A70E2">
        <w:rPr>
          <w:lang w:val="pl-PL"/>
        </w:rPr>
        <w:t>,</w:t>
      </w:r>
      <w:r w:rsidR="00F8467C">
        <w:rPr>
          <w:lang w:val="pl-PL"/>
        </w:rPr>
        <w:t xml:space="preserve"> wykracza poza granice mechanizmu konwencyjnego i dotyczy </w:t>
      </w:r>
      <w:r w:rsidR="00620FE2">
        <w:rPr>
          <w:lang w:val="pl-PL"/>
        </w:rPr>
        <w:t>ogólnej</w:t>
      </w:r>
      <w:r w:rsidR="00F8467C">
        <w:rPr>
          <w:lang w:val="pl-PL"/>
        </w:rPr>
        <w:t xml:space="preserve"> kwestii prawa międzynarodowego, zwłaszcza w świetle powszechnie uznanego szczególnego charakteru traktatów praw człowieka. </w:t>
      </w:r>
    </w:p>
    <w:p w14:paraId="518AD9DF" w14:textId="77777777" w:rsidR="00F8467C" w:rsidRPr="00F8467C" w:rsidRDefault="00F8467C">
      <w:pPr>
        <w:pStyle w:val="ClinContent"/>
        <w:rPr>
          <w:lang w:val="pl-PL"/>
        </w:rPr>
      </w:pPr>
      <w:r w:rsidRPr="00F8467C">
        <w:rPr>
          <w:lang w:val="pl-PL"/>
        </w:rPr>
        <w:t xml:space="preserve">W sumie zachodzi rzeczywisty spór co do jurysdykcji Trybunału w rozumieniu art. </w:t>
      </w:r>
      <w:r>
        <w:rPr>
          <w:lang w:val="pl-PL"/>
        </w:rPr>
        <w:t xml:space="preserve">32 ust. 2, który może być rozstrzygnięty na każdym etapie postępowania. Trybunał nie musi uznawać niniejszej skargi za dopuszczalną, by móc rozpatrzyć tę kluczową kwestię. </w:t>
      </w:r>
    </w:p>
    <w:p w14:paraId="56D51B0C" w14:textId="7C8A4DD8" w:rsidR="00F8467C" w:rsidRDefault="00F8467C">
      <w:pPr>
        <w:pStyle w:val="ClinContent"/>
        <w:rPr>
          <w:i/>
          <w:lang w:val="pl-PL"/>
        </w:rPr>
      </w:pPr>
      <w:r w:rsidRPr="00F8467C">
        <w:rPr>
          <w:lang w:val="pl-PL"/>
        </w:rPr>
        <w:t xml:space="preserve">b) </w:t>
      </w:r>
      <w:r w:rsidRPr="00F8467C">
        <w:rPr>
          <w:i/>
          <w:lang w:val="pl-PL"/>
        </w:rPr>
        <w:t>Czy art. 33 zezwala na dochodzenie przez skarżący rząd praw organizacji, która nie</w:t>
      </w:r>
      <w:r w:rsidR="001827AF">
        <w:rPr>
          <w:i/>
          <w:lang w:val="pl-PL"/>
        </w:rPr>
        <w:t> </w:t>
      </w:r>
      <w:r w:rsidRPr="00F8467C">
        <w:rPr>
          <w:i/>
          <w:lang w:val="pl-PL"/>
        </w:rPr>
        <w:t xml:space="preserve">jest </w:t>
      </w:r>
      <w:r w:rsidR="00F63045">
        <w:rPr>
          <w:i/>
          <w:lang w:val="pl-PL"/>
        </w:rPr>
        <w:t>„</w:t>
      </w:r>
      <w:r w:rsidRPr="00F8467C">
        <w:rPr>
          <w:i/>
          <w:lang w:val="pl-PL"/>
        </w:rPr>
        <w:t xml:space="preserve">pozarządowa” dla celów art. </w:t>
      </w:r>
      <w:r>
        <w:rPr>
          <w:i/>
          <w:lang w:val="pl-PL"/>
        </w:rPr>
        <w:t>34</w:t>
      </w:r>
    </w:p>
    <w:p w14:paraId="487B8FCC" w14:textId="0310A17E" w:rsidR="00F63045" w:rsidRPr="00F63045" w:rsidRDefault="00F63045">
      <w:pPr>
        <w:pStyle w:val="ClinContent"/>
        <w:rPr>
          <w:lang w:val="pl-PL"/>
        </w:rPr>
      </w:pPr>
      <w:r w:rsidRPr="00F63045">
        <w:rPr>
          <w:lang w:val="pl-PL"/>
        </w:rPr>
        <w:t xml:space="preserve">Skarżący </w:t>
      </w:r>
      <w:r w:rsidR="005E4627">
        <w:rPr>
          <w:lang w:val="pl-PL"/>
        </w:rPr>
        <w:t>r</w:t>
      </w:r>
      <w:r w:rsidR="006855BF" w:rsidRPr="00F63045">
        <w:rPr>
          <w:lang w:val="pl-PL"/>
        </w:rPr>
        <w:t xml:space="preserve">ząd </w:t>
      </w:r>
      <w:r w:rsidR="001D7D33">
        <w:rPr>
          <w:lang w:val="pl-PL"/>
        </w:rPr>
        <w:t>sugerował</w:t>
      </w:r>
      <w:r w:rsidRPr="00F63045">
        <w:rPr>
          <w:lang w:val="pl-PL"/>
        </w:rPr>
        <w:t xml:space="preserve">, że do skarg indywidualnych </w:t>
      </w:r>
      <w:r w:rsidR="000C7908" w:rsidRPr="00F63045">
        <w:rPr>
          <w:lang w:val="pl-PL"/>
        </w:rPr>
        <w:t xml:space="preserve">powinny mieć zastosowanie inne kryteria </w:t>
      </w:r>
      <w:r w:rsidR="001C417D">
        <w:rPr>
          <w:lang w:val="pl-PL"/>
        </w:rPr>
        <w:t>niż do</w:t>
      </w:r>
      <w:r w:rsidRPr="00F63045">
        <w:rPr>
          <w:lang w:val="pl-PL"/>
        </w:rPr>
        <w:t xml:space="preserve"> międzypaństwowyc</w:t>
      </w:r>
      <w:r w:rsidR="003C4069">
        <w:rPr>
          <w:lang w:val="pl-PL"/>
        </w:rPr>
        <w:t>h</w:t>
      </w:r>
      <w:r w:rsidRPr="00F63045">
        <w:rPr>
          <w:lang w:val="pl-PL"/>
        </w:rPr>
        <w:t xml:space="preserve">, a jedynymi podmiotami prawnymi wyłączonymi z możliwości korzystania z mechanizmu międzypaństwowego na podstawie art. </w:t>
      </w:r>
      <w:r>
        <w:rPr>
          <w:lang w:val="pl-PL"/>
        </w:rPr>
        <w:t xml:space="preserve">33 </w:t>
      </w:r>
      <w:r w:rsidR="001D7D33">
        <w:rPr>
          <w:lang w:val="pl-PL"/>
        </w:rPr>
        <w:t xml:space="preserve">byłyby </w:t>
      </w:r>
      <w:r>
        <w:rPr>
          <w:lang w:val="pl-PL"/>
        </w:rPr>
        <w:t xml:space="preserve">instytucje państwowe w wąskim rozumieniu tego pojęcia, </w:t>
      </w:r>
      <w:r w:rsidR="007821F5">
        <w:rPr>
          <w:lang w:val="pl-PL"/>
        </w:rPr>
        <w:t xml:space="preserve">będące częściami składowymi tego państwa i wykonujące władztwo publiczne w jego imieniu. Inne podmioty prawne, które nie kwalifikują się jako „pozarządowe” na podstawie art. 34, </w:t>
      </w:r>
      <w:r w:rsidR="001D7D33">
        <w:rPr>
          <w:lang w:val="pl-PL"/>
        </w:rPr>
        <w:t xml:space="preserve">nadal mogłyby </w:t>
      </w:r>
      <w:r w:rsidR="003C4069">
        <w:rPr>
          <w:lang w:val="pl-PL"/>
        </w:rPr>
        <w:t xml:space="preserve">dochodzić swych praw poprzez </w:t>
      </w:r>
      <w:r w:rsidR="006502A6">
        <w:rPr>
          <w:lang w:val="pl-PL"/>
        </w:rPr>
        <w:t xml:space="preserve">układające się państwo </w:t>
      </w:r>
      <w:r w:rsidR="003C4069">
        <w:rPr>
          <w:lang w:val="pl-PL"/>
        </w:rPr>
        <w:t xml:space="preserve">za pomocą skargi międzypaństwowej. </w:t>
      </w:r>
    </w:p>
    <w:p w14:paraId="4748694A" w14:textId="60D94AC8" w:rsidR="001C417D" w:rsidRPr="001C417D" w:rsidRDefault="001C417D">
      <w:pPr>
        <w:pStyle w:val="ClinContent"/>
        <w:rPr>
          <w:lang w:val="pl-PL"/>
        </w:rPr>
      </w:pPr>
      <w:r w:rsidRPr="001C417D">
        <w:rPr>
          <w:lang w:val="pl-PL"/>
        </w:rPr>
        <w:t xml:space="preserve">Trybunał nie </w:t>
      </w:r>
      <w:r w:rsidR="003D159B">
        <w:rPr>
          <w:lang w:val="pl-PL"/>
        </w:rPr>
        <w:t>został</w:t>
      </w:r>
      <w:r w:rsidRPr="001C417D">
        <w:rPr>
          <w:lang w:val="pl-PL"/>
        </w:rPr>
        <w:t xml:space="preserve"> przekonany do tego podejścia z trzech powodów:</w:t>
      </w:r>
    </w:p>
    <w:p w14:paraId="3FFC101A" w14:textId="1EC6B2DC" w:rsidR="001C417D" w:rsidRPr="001C417D" w:rsidRDefault="001C417D">
      <w:pPr>
        <w:pStyle w:val="ClinContent"/>
        <w:rPr>
          <w:lang w:val="pl-PL"/>
        </w:rPr>
      </w:pPr>
      <w:r>
        <w:rPr>
          <w:lang w:val="pl-PL"/>
        </w:rPr>
        <w:t xml:space="preserve">1. Utrwaloną zasadą interpretacji Konwencji jest zasada, że </w:t>
      </w:r>
      <w:r w:rsidR="00707CE8">
        <w:rPr>
          <w:lang w:val="pl-PL"/>
        </w:rPr>
        <w:t xml:space="preserve">Konwencję </w:t>
      </w:r>
      <w:r>
        <w:rPr>
          <w:lang w:val="pl-PL"/>
        </w:rPr>
        <w:t xml:space="preserve">należy odczytywać całościowo, a jej artykuły powinny być interpretowane w sposób promujący wewnętrzną spójność i harmonię między jej przepisami. </w:t>
      </w:r>
      <w:r w:rsidR="00786E95">
        <w:rPr>
          <w:lang w:val="pl-PL"/>
        </w:rPr>
        <w:t>Ma to zastosowanie nie tylko do</w:t>
      </w:r>
      <w:r w:rsidR="001827AF">
        <w:rPr>
          <w:lang w:val="pl-PL"/>
        </w:rPr>
        <w:t> </w:t>
      </w:r>
      <w:r w:rsidR="00786E95">
        <w:rPr>
          <w:lang w:val="pl-PL"/>
        </w:rPr>
        <w:t>merytorycznych postanowień Konwencji, ale także do postanowień jurysdykcyjnych i</w:t>
      </w:r>
      <w:r w:rsidR="001827AF">
        <w:rPr>
          <w:lang w:val="pl-PL"/>
        </w:rPr>
        <w:t> </w:t>
      </w:r>
      <w:r w:rsidR="00786E95">
        <w:rPr>
          <w:lang w:val="pl-PL"/>
        </w:rPr>
        <w:t xml:space="preserve">proceduralnych – w niniejszej sprawie art. 1, 33 i 34. </w:t>
      </w:r>
    </w:p>
    <w:p w14:paraId="44029594" w14:textId="21C2EDB2" w:rsidR="00786E95" w:rsidRPr="00786E95" w:rsidRDefault="00786E95">
      <w:pPr>
        <w:pStyle w:val="ClinContent"/>
        <w:rPr>
          <w:lang w:val="pl-PL"/>
        </w:rPr>
      </w:pPr>
      <w:r w:rsidRPr="00786E95">
        <w:rPr>
          <w:lang w:val="pl-PL"/>
        </w:rPr>
        <w:t>2. Trybunał uwzględnił szczególny chara</w:t>
      </w:r>
      <w:r w:rsidR="00166ABD">
        <w:rPr>
          <w:lang w:val="pl-PL"/>
        </w:rPr>
        <w:t>k</w:t>
      </w:r>
      <w:r w:rsidRPr="00786E95">
        <w:rPr>
          <w:lang w:val="pl-PL"/>
        </w:rPr>
        <w:t xml:space="preserve">ter Konwencji jako instrumentu skutecznej </w:t>
      </w:r>
      <w:r w:rsidR="00166ABD">
        <w:rPr>
          <w:lang w:val="pl-PL"/>
        </w:rPr>
        <w:t>o</w:t>
      </w:r>
      <w:r w:rsidRPr="00786E95">
        <w:rPr>
          <w:lang w:val="pl-PL"/>
        </w:rPr>
        <w:t xml:space="preserve">chrony praw człowieka, </w:t>
      </w:r>
      <w:r w:rsidR="00166ABD">
        <w:rPr>
          <w:lang w:val="pl-PL"/>
        </w:rPr>
        <w:t xml:space="preserve">wyrażony zarówno w art. 1, jak i preambule Konwencji </w:t>
      </w:r>
      <w:r w:rsidR="00BB6EC4">
        <w:rPr>
          <w:lang w:val="pl-PL"/>
        </w:rPr>
        <w:t>oraz powszechnie uzna</w:t>
      </w:r>
      <w:r w:rsidR="00166ABD">
        <w:rPr>
          <w:lang w:val="pl-PL"/>
        </w:rPr>
        <w:t xml:space="preserve">ny w prawie międzynarodowym. Logiką traktatu praw człowieka jest to, że układające się państwa nie mają własnego interesu i nie </w:t>
      </w:r>
      <w:r w:rsidR="00EB6B1D">
        <w:rPr>
          <w:lang w:val="pl-PL"/>
        </w:rPr>
        <w:t xml:space="preserve">dochodzą swych indywidualnych korzyści. </w:t>
      </w:r>
      <w:r w:rsidR="00E03CF3">
        <w:rPr>
          <w:lang w:val="pl-PL"/>
        </w:rPr>
        <w:t>Zgodnie z samą istotą</w:t>
      </w:r>
      <w:r w:rsidR="00EB6B1D">
        <w:rPr>
          <w:lang w:val="pl-PL"/>
        </w:rPr>
        <w:t xml:space="preserve"> </w:t>
      </w:r>
      <w:r w:rsidR="00E03CF3">
        <w:rPr>
          <w:lang w:val="pl-PL"/>
        </w:rPr>
        <w:t xml:space="preserve">Konwencji nawet w skardze </w:t>
      </w:r>
      <w:r w:rsidR="007D1F32">
        <w:rPr>
          <w:lang w:val="pl-PL"/>
        </w:rPr>
        <w:t>międzypaństwowej</w:t>
      </w:r>
      <w:r w:rsidR="00E03CF3">
        <w:rPr>
          <w:lang w:val="pl-PL"/>
        </w:rPr>
        <w:t xml:space="preserve"> zawsze chodzi o jednostkę, która jest bezpośrednio lub pośrednio </w:t>
      </w:r>
      <w:r w:rsidR="00E03CF3">
        <w:rPr>
          <w:lang w:val="pl-PL"/>
        </w:rPr>
        <w:lastRenderedPageBreak/>
        <w:t>i</w:t>
      </w:r>
      <w:r w:rsidR="001827AF">
        <w:rPr>
          <w:lang w:val="pl-PL"/>
        </w:rPr>
        <w:t> </w:t>
      </w:r>
      <w:r w:rsidR="00E03CF3">
        <w:rPr>
          <w:lang w:val="pl-PL"/>
        </w:rPr>
        <w:t>w</w:t>
      </w:r>
      <w:r w:rsidR="001827AF">
        <w:rPr>
          <w:lang w:val="pl-PL"/>
        </w:rPr>
        <w:t> </w:t>
      </w:r>
      <w:r w:rsidR="00E03CF3">
        <w:rPr>
          <w:lang w:val="pl-PL"/>
        </w:rPr>
        <w:t xml:space="preserve">pierwszej kolejności „pokrzywdzona” </w:t>
      </w:r>
      <w:r w:rsidR="007D1F32">
        <w:rPr>
          <w:lang w:val="pl-PL"/>
        </w:rPr>
        <w:t xml:space="preserve">przez naruszenie, a nie o państwo. </w:t>
      </w:r>
      <w:r w:rsidR="006E207A">
        <w:rPr>
          <w:lang w:val="pl-PL"/>
        </w:rPr>
        <w:t xml:space="preserve">Innymi słowy, </w:t>
      </w:r>
      <w:r w:rsidR="00544E4C">
        <w:rPr>
          <w:lang w:val="pl-PL"/>
        </w:rPr>
        <w:t xml:space="preserve">posiadaczami praw na podstawie Konwencji mogą być </w:t>
      </w:r>
      <w:r w:rsidR="006E207A">
        <w:rPr>
          <w:lang w:val="pl-PL"/>
        </w:rPr>
        <w:t xml:space="preserve">jedynie </w:t>
      </w:r>
      <w:r w:rsidR="008C73AF">
        <w:rPr>
          <w:lang w:val="pl-PL"/>
        </w:rPr>
        <w:t>osoby</w:t>
      </w:r>
      <w:r w:rsidR="006E207A">
        <w:rPr>
          <w:lang w:val="pl-PL"/>
        </w:rPr>
        <w:t xml:space="preserve">, grupy </w:t>
      </w:r>
      <w:r w:rsidR="00B63DC7">
        <w:rPr>
          <w:lang w:val="pl-PL"/>
        </w:rPr>
        <w:t>jednostek</w:t>
      </w:r>
      <w:r w:rsidR="00B63DC7">
        <w:rPr>
          <w:lang w:val="pl-PL"/>
        </w:rPr>
        <w:t xml:space="preserve"> </w:t>
      </w:r>
      <w:r w:rsidR="006E207A">
        <w:rPr>
          <w:lang w:val="pl-PL"/>
        </w:rPr>
        <w:t>oraz podmioty prawne, które kwa</w:t>
      </w:r>
      <w:r w:rsidR="00544E4C">
        <w:rPr>
          <w:lang w:val="pl-PL"/>
        </w:rPr>
        <w:t>lifikują się jako „organizacje pozarządowe” w</w:t>
      </w:r>
      <w:r w:rsidR="001827AF">
        <w:rPr>
          <w:lang w:val="pl-PL"/>
        </w:rPr>
        <w:t> </w:t>
      </w:r>
      <w:r w:rsidR="00544E4C">
        <w:rPr>
          <w:lang w:val="pl-PL"/>
        </w:rPr>
        <w:t xml:space="preserve">rozumieniu art. </w:t>
      </w:r>
      <w:r w:rsidR="008867AA">
        <w:rPr>
          <w:lang w:val="pl-PL"/>
        </w:rPr>
        <w:t xml:space="preserve">34, a nie </w:t>
      </w:r>
      <w:r w:rsidR="00B63DC7">
        <w:rPr>
          <w:lang w:val="pl-PL"/>
        </w:rPr>
        <w:t xml:space="preserve">układające się państwo </w:t>
      </w:r>
      <w:r w:rsidR="008867AA">
        <w:rPr>
          <w:lang w:val="pl-PL"/>
        </w:rPr>
        <w:t xml:space="preserve">lub inny podmiot prawny, który należy uważać za organizację rządową. </w:t>
      </w:r>
    </w:p>
    <w:p w14:paraId="32312A54" w14:textId="11262EEA" w:rsidR="004A0144" w:rsidRPr="004A0144" w:rsidRDefault="004A0144">
      <w:pPr>
        <w:pStyle w:val="ClinContent"/>
        <w:rPr>
          <w:lang w:val="pl-PL"/>
        </w:rPr>
      </w:pPr>
      <w:r w:rsidRPr="004A0144">
        <w:rPr>
          <w:lang w:val="pl-PL"/>
        </w:rPr>
        <w:t xml:space="preserve">3. </w:t>
      </w:r>
      <w:r w:rsidR="00620FE2">
        <w:rPr>
          <w:lang w:val="pl-PL"/>
        </w:rPr>
        <w:t xml:space="preserve">Co się tyczy </w:t>
      </w:r>
      <w:r w:rsidRPr="004A0144">
        <w:rPr>
          <w:lang w:val="pl-PL"/>
        </w:rPr>
        <w:t xml:space="preserve">szczególnego celu art. </w:t>
      </w:r>
      <w:r>
        <w:rPr>
          <w:lang w:val="pl-PL"/>
        </w:rPr>
        <w:t xml:space="preserve">33, istnieją dwie podstawowe kategorie skarg międzypaństwowych: skargi odnoszące się do ogólnych kwestii mające na celu ochronę porządku publicznego w Europie </w:t>
      </w:r>
      <w:r w:rsidR="008745B0">
        <w:rPr>
          <w:lang w:val="pl-PL"/>
        </w:rPr>
        <w:t xml:space="preserve">oraz skargi, w których </w:t>
      </w:r>
      <w:r w:rsidR="00A375F9">
        <w:rPr>
          <w:lang w:val="pl-PL"/>
        </w:rPr>
        <w:t>p</w:t>
      </w:r>
      <w:r w:rsidR="008745B0">
        <w:rPr>
          <w:lang w:val="pl-PL"/>
        </w:rPr>
        <w:t xml:space="preserve">aństwo zaskarża naruszanie przez inną </w:t>
      </w:r>
      <w:r w:rsidR="00B63DC7">
        <w:rPr>
          <w:lang w:val="pl-PL"/>
        </w:rPr>
        <w:t xml:space="preserve">układającą się stronę </w:t>
      </w:r>
      <w:r w:rsidR="008745B0">
        <w:rPr>
          <w:lang w:val="pl-PL"/>
        </w:rPr>
        <w:t xml:space="preserve">podstawowych praw człowieka jednej lub większej liczby jasno określonych lub możliwych do </w:t>
      </w:r>
      <w:r w:rsidR="0081583E">
        <w:rPr>
          <w:lang w:val="pl-PL"/>
        </w:rPr>
        <w:t>zidentyfikowania</w:t>
      </w:r>
      <w:r w:rsidR="008745B0">
        <w:rPr>
          <w:lang w:val="pl-PL"/>
        </w:rPr>
        <w:t xml:space="preserve"> osób. </w:t>
      </w:r>
      <w:r w:rsidR="006E33A3">
        <w:rPr>
          <w:lang w:val="pl-PL"/>
        </w:rPr>
        <w:t>Niniejsza skarga – mająca na</w:t>
      </w:r>
      <w:r w:rsidR="001827AF">
        <w:rPr>
          <w:lang w:val="pl-PL"/>
        </w:rPr>
        <w:t> </w:t>
      </w:r>
      <w:r w:rsidR="006E33A3">
        <w:rPr>
          <w:lang w:val="pl-PL"/>
        </w:rPr>
        <w:t xml:space="preserve">celu ochronę interesów </w:t>
      </w:r>
      <w:r w:rsidR="00BC7E91">
        <w:rPr>
          <w:lang w:val="pl-PL"/>
        </w:rPr>
        <w:t xml:space="preserve">jednego </w:t>
      </w:r>
      <w:r w:rsidR="006E33A3">
        <w:rPr>
          <w:lang w:val="pl-PL"/>
        </w:rPr>
        <w:t xml:space="preserve">konkretnego podmiotu prawnego w </w:t>
      </w:r>
      <w:r w:rsidR="00BC7E91">
        <w:rPr>
          <w:lang w:val="pl-PL"/>
        </w:rPr>
        <w:t xml:space="preserve">ściśle określonych postępowaniach i dochodząca słusznego zadośćuczynienia w jego imieniu – należy do tej drugiej kategorii. Jeśli jednak w </w:t>
      </w:r>
      <w:r w:rsidR="00AF02EC">
        <w:rPr>
          <w:lang w:val="pl-PL"/>
        </w:rPr>
        <w:t xml:space="preserve">sprawie </w:t>
      </w:r>
      <w:r w:rsidR="00BC7E91">
        <w:rPr>
          <w:lang w:val="pl-PL"/>
        </w:rPr>
        <w:t>międzypaństwowej przyznawane jest słuszne zadośćuczynienie, powinno być ono</w:t>
      </w:r>
      <w:r w:rsidR="005E4627" w:rsidRPr="005E4627">
        <w:rPr>
          <w:lang w:val="pl-PL"/>
        </w:rPr>
        <w:t xml:space="preserve"> </w:t>
      </w:r>
      <w:r w:rsidR="005E4627">
        <w:rPr>
          <w:lang w:val="pl-PL"/>
        </w:rPr>
        <w:t>zawsze</w:t>
      </w:r>
      <w:r w:rsidR="00BC7E91">
        <w:rPr>
          <w:lang w:val="pl-PL"/>
        </w:rPr>
        <w:t xml:space="preserve"> na korzyść indywidualnej ofiary, a nie na korzyść państwa. </w:t>
      </w:r>
      <w:r w:rsidR="00E06F86">
        <w:rPr>
          <w:lang w:val="pl-PL"/>
        </w:rPr>
        <w:t xml:space="preserve">Jeśliby Trybunał stwierdził naruszenie w sprawie wytoczonej przez państwo na podstawie art. 33 w imieniu podmiotu nieposiadającego wystarczającej instytucjonalnej i operacyjnej niezależności od </w:t>
      </w:r>
      <w:r w:rsidR="008C255B">
        <w:rPr>
          <w:lang w:val="pl-PL"/>
        </w:rPr>
        <w:t>tego państwa</w:t>
      </w:r>
      <w:r w:rsidR="00E06F86">
        <w:rPr>
          <w:lang w:val="pl-PL"/>
        </w:rPr>
        <w:t xml:space="preserve"> i jeśliby zasądził kwotę słusznego zadośćuczynienia, wówczas ostatecznym beneficjentem wyroku Trybunału byłoby to samo państwo i nikt inny. </w:t>
      </w:r>
    </w:p>
    <w:p w14:paraId="2331B102" w14:textId="0BB29686" w:rsidR="00464909" w:rsidRPr="00464909" w:rsidRDefault="00464909">
      <w:pPr>
        <w:pStyle w:val="ClinContent"/>
        <w:rPr>
          <w:lang w:val="pl-PL"/>
        </w:rPr>
      </w:pPr>
      <w:r w:rsidRPr="00464909">
        <w:rPr>
          <w:lang w:val="pl-PL"/>
        </w:rPr>
        <w:t xml:space="preserve">Trybunał przypomniał również, że warunki dopuszczalności różnych skarg </w:t>
      </w:r>
      <w:r w:rsidR="0070448C">
        <w:rPr>
          <w:lang w:val="pl-PL"/>
        </w:rPr>
        <w:t>do Trybunału mogą się różnić od warunków mających zastosowanie przed sądami Unii Europejskiej. Z</w:t>
      </w:r>
      <w:r w:rsidR="001827AF">
        <w:rPr>
          <w:lang w:val="pl-PL"/>
        </w:rPr>
        <w:t> </w:t>
      </w:r>
      <w:r w:rsidR="0070448C">
        <w:rPr>
          <w:lang w:val="pl-PL"/>
        </w:rPr>
        <w:t xml:space="preserve">tego względu odwołanie się przez skarżący </w:t>
      </w:r>
      <w:r w:rsidR="005E4627">
        <w:rPr>
          <w:lang w:val="pl-PL"/>
        </w:rPr>
        <w:t>r</w:t>
      </w:r>
      <w:r w:rsidR="0070448C">
        <w:rPr>
          <w:lang w:val="pl-PL"/>
        </w:rPr>
        <w:t xml:space="preserve">ząd do ich wyroków nie może </w:t>
      </w:r>
      <w:r w:rsidR="00CA6C24">
        <w:rPr>
          <w:lang w:val="pl-PL"/>
        </w:rPr>
        <w:t xml:space="preserve">mieć </w:t>
      </w:r>
      <w:r w:rsidR="0081583E">
        <w:rPr>
          <w:lang w:val="pl-PL"/>
        </w:rPr>
        <w:t>rozstrzygającego</w:t>
      </w:r>
      <w:r w:rsidR="00CA6C24">
        <w:rPr>
          <w:lang w:val="pl-PL"/>
        </w:rPr>
        <w:t xml:space="preserve"> przełożenia na wykładnię art. 34. </w:t>
      </w:r>
      <w:r w:rsidR="0070448C">
        <w:rPr>
          <w:lang w:val="pl-PL"/>
        </w:rPr>
        <w:t xml:space="preserve"> </w:t>
      </w:r>
    </w:p>
    <w:p w14:paraId="4460610F" w14:textId="77777777" w:rsidR="00CA6C24" w:rsidRPr="00CA6C24" w:rsidRDefault="00CA6C24">
      <w:pPr>
        <w:pStyle w:val="ClinContent"/>
        <w:rPr>
          <w:lang w:val="pl-PL"/>
        </w:rPr>
      </w:pPr>
      <w:r w:rsidRPr="00CA6C24">
        <w:rPr>
          <w:lang w:val="pl-PL"/>
        </w:rPr>
        <w:t xml:space="preserve">W świetle powyższego art. 33 nie zezwala na dochodzenie przez skarżący </w:t>
      </w:r>
      <w:r w:rsidR="006073C0">
        <w:rPr>
          <w:lang w:val="pl-PL"/>
        </w:rPr>
        <w:t>r</w:t>
      </w:r>
      <w:r w:rsidRPr="00CA6C24">
        <w:rPr>
          <w:lang w:val="pl-PL"/>
        </w:rPr>
        <w:t xml:space="preserve">ząd praw podmiotu </w:t>
      </w:r>
      <w:r w:rsidR="0095706D">
        <w:rPr>
          <w:lang w:val="pl-PL"/>
        </w:rPr>
        <w:t>p</w:t>
      </w:r>
      <w:r w:rsidRPr="00CA6C24">
        <w:rPr>
          <w:lang w:val="pl-PL"/>
        </w:rPr>
        <w:t>rawnego, który nie kwalifikuje się</w:t>
      </w:r>
      <w:r>
        <w:rPr>
          <w:lang w:val="pl-PL"/>
        </w:rPr>
        <w:t xml:space="preserve"> </w:t>
      </w:r>
      <w:r w:rsidRPr="00CA6C24">
        <w:rPr>
          <w:lang w:val="pl-PL"/>
        </w:rPr>
        <w:t xml:space="preserve">jako </w:t>
      </w:r>
      <w:r>
        <w:rPr>
          <w:lang w:val="pl-PL"/>
        </w:rPr>
        <w:t xml:space="preserve">„organizacja pozarządowa” i </w:t>
      </w:r>
      <w:r w:rsidR="0081583E">
        <w:rPr>
          <w:lang w:val="pl-PL"/>
        </w:rPr>
        <w:t xml:space="preserve">jako taki </w:t>
      </w:r>
      <w:r>
        <w:rPr>
          <w:lang w:val="pl-PL"/>
        </w:rPr>
        <w:t xml:space="preserve">nie jest uprawniony do złożenia skargi indywidualnej na podstawie art. 34. </w:t>
      </w:r>
    </w:p>
    <w:p w14:paraId="4078534B" w14:textId="77777777" w:rsidR="000829D2" w:rsidRPr="000829D2" w:rsidRDefault="000829D2">
      <w:pPr>
        <w:pStyle w:val="ClinContent"/>
        <w:rPr>
          <w:i/>
          <w:lang w:val="pl-PL"/>
        </w:rPr>
      </w:pPr>
      <w:r w:rsidRPr="000829D2">
        <w:rPr>
          <w:lang w:val="pl-PL"/>
        </w:rPr>
        <w:t xml:space="preserve">c) </w:t>
      </w:r>
      <w:r w:rsidRPr="000829D2">
        <w:rPr>
          <w:i/>
          <w:lang w:val="pl-PL"/>
        </w:rPr>
        <w:t xml:space="preserve">Czy Trybunał może zbadać skargę na podstawie art. </w:t>
      </w:r>
      <w:r>
        <w:rPr>
          <w:i/>
          <w:lang w:val="pl-PL"/>
        </w:rPr>
        <w:t>33</w:t>
      </w:r>
    </w:p>
    <w:p w14:paraId="63202BBA" w14:textId="4FF18F74" w:rsidR="000829D2" w:rsidRPr="000829D2" w:rsidRDefault="000829D2" w:rsidP="000829D2">
      <w:pPr>
        <w:pStyle w:val="ClinContent"/>
        <w:rPr>
          <w:i/>
          <w:lang w:val="pl-PL"/>
        </w:rPr>
      </w:pPr>
      <w:r w:rsidRPr="000829D2">
        <w:rPr>
          <w:lang w:val="pl-PL"/>
        </w:rPr>
        <w:t>Odnośnie do statusu banku na podstawie art. 34 Trybunał nie dostrzega powodów do</w:t>
      </w:r>
      <w:r w:rsidR="00697303">
        <w:rPr>
          <w:lang w:val="pl-PL"/>
        </w:rPr>
        <w:t> </w:t>
      </w:r>
      <w:r w:rsidRPr="000829D2">
        <w:rPr>
          <w:lang w:val="pl-PL"/>
        </w:rPr>
        <w:t xml:space="preserve">odstąpienia od swych stwierdzeń </w:t>
      </w:r>
      <w:r w:rsidR="005E4627">
        <w:rPr>
          <w:lang w:val="pl-PL"/>
        </w:rPr>
        <w:t xml:space="preserve">przyjętych </w:t>
      </w:r>
      <w:r w:rsidRPr="000829D2">
        <w:rPr>
          <w:lang w:val="pl-PL"/>
        </w:rPr>
        <w:t xml:space="preserve">w sprawie </w:t>
      </w:r>
      <w:proofErr w:type="spellStart"/>
      <w:r w:rsidRPr="000829D2">
        <w:rPr>
          <w:i/>
          <w:lang w:val="pl-PL"/>
        </w:rPr>
        <w:t>Ljubljanska</w:t>
      </w:r>
      <w:proofErr w:type="spellEnd"/>
      <w:r w:rsidRPr="000829D2">
        <w:rPr>
          <w:i/>
          <w:lang w:val="pl-PL"/>
        </w:rPr>
        <w:t xml:space="preserve"> Banka </w:t>
      </w:r>
      <w:proofErr w:type="spellStart"/>
      <w:r w:rsidRPr="000829D2">
        <w:rPr>
          <w:i/>
          <w:lang w:val="pl-PL"/>
        </w:rPr>
        <w:t>D.D</w:t>
      </w:r>
      <w:proofErr w:type="spellEnd"/>
      <w:r w:rsidRPr="000829D2">
        <w:rPr>
          <w:i/>
          <w:lang w:val="pl-PL"/>
        </w:rPr>
        <w:t>. p.</w:t>
      </w:r>
      <w:r w:rsidR="00697303">
        <w:rPr>
          <w:i/>
          <w:lang w:val="pl-PL"/>
        </w:rPr>
        <w:t> </w:t>
      </w:r>
      <w:r w:rsidRPr="000829D2">
        <w:rPr>
          <w:i/>
          <w:lang w:val="pl-PL"/>
        </w:rPr>
        <w:t>Chorwacji</w:t>
      </w:r>
      <w:r w:rsidRPr="000829D2">
        <w:rPr>
          <w:lang w:val="pl-PL"/>
        </w:rPr>
        <w:t xml:space="preserve"> (</w:t>
      </w:r>
      <w:proofErr w:type="spellStart"/>
      <w:r w:rsidRPr="000829D2">
        <w:rPr>
          <w:lang w:val="pl-PL"/>
        </w:rPr>
        <w:t>dec</w:t>
      </w:r>
      <w:proofErr w:type="spellEnd"/>
      <w:r w:rsidRPr="000829D2">
        <w:rPr>
          <w:lang w:val="pl-PL"/>
        </w:rPr>
        <w:t>.).</w:t>
      </w:r>
    </w:p>
    <w:p w14:paraId="643A6359" w14:textId="4D2EF685" w:rsidR="0040792F" w:rsidRPr="00E34ED5" w:rsidRDefault="0040792F">
      <w:pPr>
        <w:pStyle w:val="ClinContent"/>
        <w:rPr>
          <w:lang w:val="pl-PL"/>
        </w:rPr>
      </w:pPr>
      <w:r w:rsidRPr="0040792F">
        <w:rPr>
          <w:lang w:val="pl-PL"/>
        </w:rPr>
        <w:t>Nawet jeśli Bank Lublański jest odrębnym podmiotem prawnym, który nie uczestniczy w</w:t>
      </w:r>
      <w:r w:rsidR="00697303">
        <w:rPr>
          <w:lang w:val="pl-PL"/>
        </w:rPr>
        <w:t> </w:t>
      </w:r>
      <w:r w:rsidRPr="0040792F">
        <w:rPr>
          <w:lang w:val="pl-PL"/>
        </w:rPr>
        <w:t xml:space="preserve">wykonywaniu uprawnień władczych, jest własnością </w:t>
      </w:r>
      <w:r w:rsidR="005E4627">
        <w:rPr>
          <w:lang w:val="pl-PL"/>
        </w:rPr>
        <w:t>p</w:t>
      </w:r>
      <w:r w:rsidRPr="0040792F">
        <w:rPr>
          <w:lang w:val="pl-PL"/>
        </w:rPr>
        <w:t xml:space="preserve">aństwa słoweńskiego, które </w:t>
      </w:r>
      <w:r w:rsidR="00B63DC7" w:rsidRPr="0040792F">
        <w:rPr>
          <w:lang w:val="pl-PL"/>
        </w:rPr>
        <w:t>dowolnie</w:t>
      </w:r>
      <w:r w:rsidR="00B63DC7" w:rsidRPr="0040792F">
        <w:rPr>
          <w:lang w:val="pl-PL"/>
        </w:rPr>
        <w:t xml:space="preserve"> </w:t>
      </w:r>
      <w:r w:rsidRPr="0040792F">
        <w:rPr>
          <w:lang w:val="pl-PL"/>
        </w:rPr>
        <w:t xml:space="preserve">dysponuje jego </w:t>
      </w:r>
      <w:r>
        <w:rPr>
          <w:lang w:val="pl-PL"/>
        </w:rPr>
        <w:t xml:space="preserve">aktywami, i jest kontrolowany przez agencję słoweńskiego </w:t>
      </w:r>
      <w:r w:rsidR="006073C0">
        <w:rPr>
          <w:lang w:val="pl-PL"/>
        </w:rPr>
        <w:t>rządu</w:t>
      </w:r>
      <w:r>
        <w:rPr>
          <w:lang w:val="pl-PL"/>
        </w:rPr>
        <w:t xml:space="preserve">. </w:t>
      </w:r>
      <w:r w:rsidR="00E34ED5">
        <w:rPr>
          <w:lang w:val="pl-PL"/>
        </w:rPr>
        <w:t>Poza państwem nie ma innych klientów ani aktywnych udziałowców. Ponadto w</w:t>
      </w:r>
      <w:r w:rsidR="00697303">
        <w:rPr>
          <w:lang w:val="pl-PL"/>
        </w:rPr>
        <w:t> </w:t>
      </w:r>
      <w:r w:rsidR="00E34ED5">
        <w:rPr>
          <w:lang w:val="pl-PL"/>
        </w:rPr>
        <w:t xml:space="preserve">sprawie </w:t>
      </w:r>
      <w:proofErr w:type="spellStart"/>
      <w:r w:rsidR="00E34ED5" w:rsidRPr="00E34ED5">
        <w:rPr>
          <w:i/>
          <w:lang w:val="pl-PL"/>
        </w:rPr>
        <w:t>Ališić</w:t>
      </w:r>
      <w:proofErr w:type="spellEnd"/>
      <w:r w:rsidR="00E34ED5" w:rsidRPr="00E34ED5">
        <w:rPr>
          <w:i/>
          <w:lang w:val="pl-PL"/>
        </w:rPr>
        <w:t xml:space="preserve"> i Inni p. Bo</w:t>
      </w:r>
      <w:r w:rsidR="00E34ED5">
        <w:rPr>
          <w:i/>
          <w:lang w:val="pl-PL"/>
        </w:rPr>
        <w:t xml:space="preserve">śni i Hercegowinie </w:t>
      </w:r>
      <w:r w:rsidR="00E34ED5" w:rsidRPr="00E34ED5">
        <w:rPr>
          <w:i/>
          <w:lang w:val="pl-PL"/>
        </w:rPr>
        <w:t>et al</w:t>
      </w:r>
      <w:r w:rsidR="00026F9F">
        <w:rPr>
          <w:i/>
          <w:lang w:val="pl-PL"/>
        </w:rPr>
        <w:t>.</w:t>
      </w:r>
      <w:r w:rsidR="00E34ED5">
        <w:rPr>
          <w:i/>
          <w:lang w:val="pl-PL"/>
        </w:rPr>
        <w:t xml:space="preserve"> </w:t>
      </w:r>
      <w:r w:rsidR="00E34ED5">
        <w:rPr>
          <w:lang w:val="pl-PL"/>
        </w:rPr>
        <w:t xml:space="preserve">Trybunał orzekł, że </w:t>
      </w:r>
      <w:r w:rsidR="006E0FE7">
        <w:rPr>
          <w:lang w:val="pl-PL"/>
        </w:rPr>
        <w:t>państwo słoweńskie</w:t>
      </w:r>
      <w:r w:rsidR="00E34ED5">
        <w:rPr>
          <w:lang w:val="pl-PL"/>
        </w:rPr>
        <w:t xml:space="preserve"> jest odpowiedzialne za dług odpowiedniego miejscowego oddziału Banku Lublańskiego wobec </w:t>
      </w:r>
      <w:r w:rsidR="000F3D3A">
        <w:rPr>
          <w:lang w:val="pl-PL"/>
        </w:rPr>
        <w:t xml:space="preserve">dwojga </w:t>
      </w:r>
      <w:r w:rsidR="00E34ED5">
        <w:rPr>
          <w:lang w:val="pl-PL"/>
        </w:rPr>
        <w:t xml:space="preserve">skarżących. Choć ustalenia te zostały poczynione w innym kontekście, stanowi to istotne kryterium w kontekście określania, czy podmiot prawny może być uznany za „pozarządowy”.  </w:t>
      </w:r>
    </w:p>
    <w:p w14:paraId="2F0232F0" w14:textId="23119F3D" w:rsidR="007D678C" w:rsidRPr="007D678C" w:rsidRDefault="007D678C">
      <w:pPr>
        <w:pStyle w:val="ClinContent"/>
        <w:rPr>
          <w:lang w:val="pl-PL"/>
        </w:rPr>
      </w:pPr>
      <w:r w:rsidRPr="007D678C">
        <w:rPr>
          <w:lang w:val="pl-PL"/>
        </w:rPr>
        <w:t xml:space="preserve">Bank Lublański nie korzysta z wystarczającej </w:t>
      </w:r>
      <w:r w:rsidR="00F65E00">
        <w:rPr>
          <w:lang w:val="pl-PL"/>
        </w:rPr>
        <w:t>niezależności</w:t>
      </w:r>
      <w:r w:rsidRPr="007D678C">
        <w:rPr>
          <w:lang w:val="pl-PL"/>
        </w:rPr>
        <w:t xml:space="preserve"> instytucjonalnej i operacyjnej od </w:t>
      </w:r>
      <w:r w:rsidR="00E9391F">
        <w:rPr>
          <w:lang w:val="pl-PL"/>
        </w:rPr>
        <w:t>p</w:t>
      </w:r>
      <w:r w:rsidRPr="007D678C">
        <w:rPr>
          <w:lang w:val="pl-PL"/>
        </w:rPr>
        <w:t xml:space="preserve">aństwa, a zatem nie jest </w:t>
      </w:r>
      <w:r w:rsidR="006073C0">
        <w:rPr>
          <w:lang w:val="pl-PL"/>
        </w:rPr>
        <w:t>„</w:t>
      </w:r>
      <w:r w:rsidRPr="007D678C">
        <w:rPr>
          <w:lang w:val="pl-PL"/>
        </w:rPr>
        <w:t xml:space="preserve">organizacją pozarządową” dla celów art. </w:t>
      </w:r>
      <w:r>
        <w:rPr>
          <w:lang w:val="pl-PL"/>
        </w:rPr>
        <w:t>34. Jako taki nie</w:t>
      </w:r>
      <w:r w:rsidR="00697303">
        <w:rPr>
          <w:lang w:val="pl-PL"/>
        </w:rPr>
        <w:t> </w:t>
      </w:r>
      <w:r>
        <w:rPr>
          <w:lang w:val="pl-PL"/>
        </w:rPr>
        <w:t xml:space="preserve">ma prawa do złożenia skargi indywidualnej. Stosownie do tego art. 33 nie uprawnia Trybunału do zbadania skargi międzypaństwowej zarzucającej naruszenie jakiegokolwiek prawa </w:t>
      </w:r>
      <w:r w:rsidR="00F65E00">
        <w:rPr>
          <w:lang w:val="pl-PL"/>
        </w:rPr>
        <w:t>ustanowionego Konwencj</w:t>
      </w:r>
      <w:r w:rsidR="0081583E">
        <w:rPr>
          <w:lang w:val="pl-PL"/>
        </w:rPr>
        <w:t>ą</w:t>
      </w:r>
      <w:r w:rsidR="00F65E00">
        <w:rPr>
          <w:lang w:val="pl-PL"/>
        </w:rPr>
        <w:t xml:space="preserve"> w odniesieniu do tego podmiotu prawnego. </w:t>
      </w:r>
    </w:p>
    <w:p w14:paraId="0268E05B" w14:textId="77777777" w:rsidR="00F65E00" w:rsidRPr="008A5B24" w:rsidRDefault="00F65E00">
      <w:pPr>
        <w:pStyle w:val="ClinContent"/>
        <w:rPr>
          <w:lang w:val="pl-PL"/>
        </w:rPr>
      </w:pPr>
      <w:r w:rsidRPr="006E0FE7">
        <w:rPr>
          <w:i/>
          <w:lang w:val="pl-PL"/>
        </w:rPr>
        <w:t>Rozstrzygnięcie:</w:t>
      </w:r>
      <w:r w:rsidRPr="008A5B24">
        <w:rPr>
          <w:lang w:val="pl-PL"/>
        </w:rPr>
        <w:t xml:space="preserve"> brak </w:t>
      </w:r>
      <w:r w:rsidR="008A5B24" w:rsidRPr="008A5B24">
        <w:rPr>
          <w:lang w:val="pl-PL"/>
        </w:rPr>
        <w:t>jurysdykcji</w:t>
      </w:r>
      <w:r w:rsidRPr="008A5B24">
        <w:rPr>
          <w:lang w:val="pl-PL"/>
        </w:rPr>
        <w:t xml:space="preserve"> </w:t>
      </w:r>
      <w:r w:rsidR="008A5B24" w:rsidRPr="008A5B24">
        <w:rPr>
          <w:lang w:val="pl-PL"/>
        </w:rPr>
        <w:t xml:space="preserve">do rozpoznania skargi. </w:t>
      </w:r>
    </w:p>
    <w:p w14:paraId="0C73BB42" w14:textId="6A97AA46" w:rsidR="004D7F94" w:rsidRPr="008A5B24" w:rsidRDefault="00581E7A">
      <w:pPr>
        <w:pStyle w:val="ClinContent"/>
        <w:rPr>
          <w:lang w:val="pl-PL"/>
        </w:rPr>
      </w:pPr>
      <w:r w:rsidRPr="007D678C">
        <w:rPr>
          <w:lang w:val="pl-PL"/>
        </w:rPr>
        <w:t>(</w:t>
      </w:r>
      <w:r w:rsidR="008A5B24">
        <w:rPr>
          <w:lang w:val="pl-PL"/>
        </w:rPr>
        <w:t xml:space="preserve">Zobacz także </w:t>
      </w:r>
      <w:r w:rsidR="008A5B24">
        <w:rPr>
          <w:i/>
          <w:lang w:val="pl-PL"/>
        </w:rPr>
        <w:t>Cypr p</w:t>
      </w:r>
      <w:r w:rsidRPr="007D678C">
        <w:rPr>
          <w:i/>
          <w:lang w:val="pl-PL"/>
        </w:rPr>
        <w:t>. Tur</w:t>
      </w:r>
      <w:r w:rsidR="008A5B24">
        <w:rPr>
          <w:i/>
          <w:lang w:val="pl-PL"/>
        </w:rPr>
        <w:t>cji</w:t>
      </w:r>
      <w:r w:rsidRPr="007D678C">
        <w:rPr>
          <w:i/>
          <w:lang w:val="pl-PL"/>
        </w:rPr>
        <w:t xml:space="preserve"> (</w:t>
      </w:r>
      <w:r w:rsidR="008A5B24">
        <w:rPr>
          <w:i/>
          <w:lang w:val="pl-PL"/>
        </w:rPr>
        <w:t>słuszne zadośćuczynienie</w:t>
      </w:r>
      <w:r w:rsidRPr="008A5B24">
        <w:rPr>
          <w:i/>
          <w:lang w:val="pl-PL"/>
        </w:rPr>
        <w:t xml:space="preserve">) </w:t>
      </w:r>
      <w:r w:rsidRPr="008A5B24">
        <w:rPr>
          <w:lang w:val="pl-PL"/>
        </w:rPr>
        <w:t>[</w:t>
      </w:r>
      <w:proofErr w:type="spellStart"/>
      <w:r w:rsidR="008A5B24">
        <w:rPr>
          <w:lang w:val="pl-PL"/>
        </w:rPr>
        <w:t>WI</w:t>
      </w:r>
      <w:proofErr w:type="spellEnd"/>
      <w:r w:rsidRPr="008A5B24">
        <w:rPr>
          <w:lang w:val="pl-PL"/>
        </w:rPr>
        <w:t xml:space="preserve">], </w:t>
      </w:r>
      <w:r w:rsidR="008A5B24">
        <w:rPr>
          <w:lang w:val="pl-PL"/>
        </w:rPr>
        <w:t xml:space="preserve">nr </w:t>
      </w:r>
      <w:r w:rsidRPr="008A5B24">
        <w:rPr>
          <w:lang w:val="pl-PL"/>
        </w:rPr>
        <w:t xml:space="preserve">25781/94, 12 </w:t>
      </w:r>
      <w:r w:rsidR="008A5B24">
        <w:rPr>
          <w:lang w:val="pl-PL"/>
        </w:rPr>
        <w:t xml:space="preserve">maja </w:t>
      </w:r>
      <w:r w:rsidRPr="008A5B24">
        <w:rPr>
          <w:lang w:val="pl-PL"/>
        </w:rPr>
        <w:t>2014</w:t>
      </w:r>
      <w:r w:rsidR="008A5B24">
        <w:rPr>
          <w:lang w:val="pl-PL"/>
        </w:rPr>
        <w:t xml:space="preserve"> r.</w:t>
      </w:r>
      <w:r w:rsidRPr="008A5B24">
        <w:rPr>
          <w:lang w:val="pl-PL"/>
        </w:rPr>
        <w:t xml:space="preserve">, </w:t>
      </w:r>
      <w:hyperlink r:id="rId7" w:history="1">
        <w:r w:rsidR="008A5B24">
          <w:rPr>
            <w:rStyle w:val="Hipercze"/>
            <w:lang w:val="pl-PL"/>
          </w:rPr>
          <w:t>Nota informacyjna nr</w:t>
        </w:r>
        <w:r w:rsidRPr="008A5B24">
          <w:rPr>
            <w:rStyle w:val="Hipercze"/>
            <w:lang w:val="pl-PL"/>
          </w:rPr>
          <w:t xml:space="preserve"> 174</w:t>
        </w:r>
      </w:hyperlink>
      <w:r w:rsidRPr="008A5B24">
        <w:rPr>
          <w:lang w:val="pl-PL"/>
        </w:rPr>
        <w:t xml:space="preserve">; </w:t>
      </w:r>
      <w:proofErr w:type="spellStart"/>
      <w:r w:rsidRPr="008A5B24">
        <w:rPr>
          <w:i/>
          <w:lang w:val="pl-PL"/>
        </w:rPr>
        <w:t>Ališić</w:t>
      </w:r>
      <w:proofErr w:type="spellEnd"/>
      <w:r w:rsidRPr="008A5B24">
        <w:rPr>
          <w:i/>
          <w:lang w:val="pl-PL"/>
        </w:rPr>
        <w:t xml:space="preserve"> </w:t>
      </w:r>
      <w:r w:rsidR="008A5B24">
        <w:rPr>
          <w:i/>
          <w:lang w:val="pl-PL"/>
        </w:rPr>
        <w:t xml:space="preserve">i Inni p. </w:t>
      </w:r>
      <w:r w:rsidRPr="008A5B24">
        <w:rPr>
          <w:i/>
          <w:lang w:val="pl-PL"/>
        </w:rPr>
        <w:t>Bo</w:t>
      </w:r>
      <w:r w:rsidR="008A5B24">
        <w:rPr>
          <w:i/>
          <w:lang w:val="pl-PL"/>
        </w:rPr>
        <w:t xml:space="preserve">śni i </w:t>
      </w:r>
      <w:r w:rsidRPr="008A5B24">
        <w:rPr>
          <w:i/>
          <w:lang w:val="pl-PL"/>
        </w:rPr>
        <w:t>Her</w:t>
      </w:r>
      <w:r w:rsidR="008A5B24">
        <w:rPr>
          <w:i/>
          <w:lang w:val="pl-PL"/>
        </w:rPr>
        <w:t>c</w:t>
      </w:r>
      <w:r w:rsidRPr="008A5B24">
        <w:rPr>
          <w:i/>
          <w:lang w:val="pl-PL"/>
        </w:rPr>
        <w:t>ego</w:t>
      </w:r>
      <w:r w:rsidR="008A5B24">
        <w:rPr>
          <w:i/>
          <w:lang w:val="pl-PL"/>
        </w:rPr>
        <w:t>w</w:t>
      </w:r>
      <w:r w:rsidRPr="008A5B24">
        <w:rPr>
          <w:i/>
          <w:lang w:val="pl-PL"/>
        </w:rPr>
        <w:t>in</w:t>
      </w:r>
      <w:r w:rsidR="008A5B24">
        <w:rPr>
          <w:i/>
          <w:lang w:val="pl-PL"/>
        </w:rPr>
        <w:t>ie</w:t>
      </w:r>
      <w:r w:rsidRPr="008A5B24">
        <w:rPr>
          <w:i/>
          <w:lang w:val="pl-PL"/>
        </w:rPr>
        <w:t xml:space="preserve">, </w:t>
      </w:r>
      <w:r w:rsidR="008A5B24">
        <w:rPr>
          <w:i/>
          <w:lang w:val="pl-PL"/>
        </w:rPr>
        <w:t xml:space="preserve">Chorwacji, Serbii, Słowenii i </w:t>
      </w:r>
      <w:r w:rsidR="007B1A00">
        <w:rPr>
          <w:i/>
          <w:lang w:val="pl-PL"/>
        </w:rPr>
        <w:t>„</w:t>
      </w:r>
      <w:r w:rsidR="008A5B24">
        <w:rPr>
          <w:i/>
          <w:lang w:val="pl-PL"/>
        </w:rPr>
        <w:t xml:space="preserve">byłej </w:t>
      </w:r>
      <w:r w:rsidR="007B1A00">
        <w:rPr>
          <w:i/>
          <w:lang w:val="pl-PL"/>
        </w:rPr>
        <w:t xml:space="preserve">Jugosłowiańskiej Republice Macedonii” </w:t>
      </w:r>
      <w:r w:rsidRPr="008A5B24">
        <w:rPr>
          <w:lang w:val="pl-PL"/>
        </w:rPr>
        <w:t>[</w:t>
      </w:r>
      <w:proofErr w:type="spellStart"/>
      <w:r w:rsidR="007B1A00">
        <w:rPr>
          <w:lang w:val="pl-PL"/>
        </w:rPr>
        <w:t>W</w:t>
      </w:r>
      <w:r w:rsidR="0081583E">
        <w:rPr>
          <w:lang w:val="pl-PL"/>
        </w:rPr>
        <w:t>I</w:t>
      </w:r>
      <w:proofErr w:type="spellEnd"/>
      <w:r w:rsidRPr="008A5B24">
        <w:rPr>
          <w:lang w:val="pl-PL"/>
        </w:rPr>
        <w:t xml:space="preserve">], </w:t>
      </w:r>
      <w:r w:rsidR="007B1A00">
        <w:rPr>
          <w:lang w:val="pl-PL"/>
        </w:rPr>
        <w:t xml:space="preserve">nr </w:t>
      </w:r>
      <w:r w:rsidRPr="008A5B24">
        <w:rPr>
          <w:lang w:val="pl-PL"/>
        </w:rPr>
        <w:t xml:space="preserve">60642/08, </w:t>
      </w:r>
      <w:r w:rsidRPr="008A5B24">
        <w:rPr>
          <w:lang w:val="pl-PL"/>
        </w:rPr>
        <w:lastRenderedPageBreak/>
        <w:t>16</w:t>
      </w:r>
      <w:r w:rsidR="00EE42D7">
        <w:rPr>
          <w:lang w:val="pl-PL"/>
        </w:rPr>
        <w:t> </w:t>
      </w:r>
      <w:r w:rsidR="007B1A00">
        <w:rPr>
          <w:lang w:val="pl-PL"/>
        </w:rPr>
        <w:t xml:space="preserve">lipca </w:t>
      </w:r>
      <w:r w:rsidRPr="008A5B24">
        <w:rPr>
          <w:lang w:val="pl-PL"/>
        </w:rPr>
        <w:t>2014</w:t>
      </w:r>
      <w:r w:rsidR="007B1A00">
        <w:rPr>
          <w:lang w:val="pl-PL"/>
        </w:rPr>
        <w:t xml:space="preserve"> r.</w:t>
      </w:r>
      <w:r w:rsidRPr="008A5B24">
        <w:rPr>
          <w:lang w:val="pl-PL"/>
        </w:rPr>
        <w:t xml:space="preserve">, </w:t>
      </w:r>
      <w:hyperlink r:id="rId8" w:history="1">
        <w:r w:rsidR="007B1A00">
          <w:rPr>
            <w:rStyle w:val="Hipercze"/>
            <w:lang w:val="pl-PL"/>
          </w:rPr>
          <w:t>Nota informacyjna nr</w:t>
        </w:r>
        <w:r w:rsidRPr="008A5B24">
          <w:rPr>
            <w:rStyle w:val="Hipercze"/>
            <w:lang w:val="pl-PL"/>
          </w:rPr>
          <w:t xml:space="preserve"> 176</w:t>
        </w:r>
      </w:hyperlink>
      <w:r w:rsidRPr="008A5B24">
        <w:rPr>
          <w:lang w:val="pl-PL"/>
        </w:rPr>
        <w:t xml:space="preserve">;  </w:t>
      </w:r>
      <w:proofErr w:type="spellStart"/>
      <w:r w:rsidRPr="008A5B24">
        <w:rPr>
          <w:i/>
          <w:lang w:val="pl-PL"/>
        </w:rPr>
        <w:t>Ljubljanska</w:t>
      </w:r>
      <w:proofErr w:type="spellEnd"/>
      <w:r w:rsidRPr="008A5B24">
        <w:rPr>
          <w:i/>
          <w:lang w:val="pl-PL"/>
        </w:rPr>
        <w:t xml:space="preserve"> Banka </w:t>
      </w:r>
      <w:proofErr w:type="spellStart"/>
      <w:r w:rsidRPr="008A5B24">
        <w:rPr>
          <w:i/>
          <w:lang w:val="pl-PL"/>
        </w:rPr>
        <w:t>D.D</w:t>
      </w:r>
      <w:proofErr w:type="spellEnd"/>
      <w:r w:rsidRPr="008A5B24">
        <w:rPr>
          <w:i/>
          <w:lang w:val="pl-PL"/>
        </w:rPr>
        <w:t xml:space="preserve">. </w:t>
      </w:r>
      <w:r w:rsidR="007B1A00">
        <w:rPr>
          <w:i/>
          <w:lang w:val="pl-PL"/>
        </w:rPr>
        <w:t>p</w:t>
      </w:r>
      <w:r w:rsidRPr="008A5B24">
        <w:rPr>
          <w:i/>
          <w:lang w:val="pl-PL"/>
        </w:rPr>
        <w:t>. C</w:t>
      </w:r>
      <w:r w:rsidR="007B1A00">
        <w:rPr>
          <w:i/>
          <w:lang w:val="pl-PL"/>
        </w:rPr>
        <w:t>horwacji</w:t>
      </w:r>
      <w:r w:rsidRPr="008A5B24">
        <w:rPr>
          <w:i/>
          <w:lang w:val="pl-PL"/>
        </w:rPr>
        <w:t xml:space="preserve"> </w:t>
      </w:r>
      <w:r w:rsidRPr="008A5B24">
        <w:rPr>
          <w:lang w:val="pl-PL"/>
        </w:rPr>
        <w:t>(</w:t>
      </w:r>
      <w:proofErr w:type="spellStart"/>
      <w:r w:rsidRPr="008A5B24">
        <w:rPr>
          <w:lang w:val="pl-PL"/>
        </w:rPr>
        <w:t>dec</w:t>
      </w:r>
      <w:proofErr w:type="spellEnd"/>
      <w:r w:rsidRPr="008A5B24">
        <w:rPr>
          <w:lang w:val="pl-PL"/>
        </w:rPr>
        <w:t xml:space="preserve">.), </w:t>
      </w:r>
      <w:r w:rsidR="007B1A00">
        <w:rPr>
          <w:lang w:val="pl-PL"/>
        </w:rPr>
        <w:t xml:space="preserve">nr </w:t>
      </w:r>
      <w:hyperlink r:id="rId9" w:history="1">
        <w:r w:rsidRPr="008A5B24">
          <w:rPr>
            <w:rStyle w:val="Hipercze"/>
            <w:lang w:val="pl-PL"/>
          </w:rPr>
          <w:t>29003/07</w:t>
        </w:r>
      </w:hyperlink>
      <w:r w:rsidRPr="008A5B24">
        <w:rPr>
          <w:lang w:val="pl-PL"/>
        </w:rPr>
        <w:t xml:space="preserve">, 12 </w:t>
      </w:r>
      <w:r w:rsidR="007B1A00">
        <w:rPr>
          <w:lang w:val="pl-PL"/>
        </w:rPr>
        <w:t xml:space="preserve">maja </w:t>
      </w:r>
      <w:r w:rsidRPr="008A5B24">
        <w:rPr>
          <w:lang w:val="pl-PL"/>
        </w:rPr>
        <w:t>2015</w:t>
      </w:r>
      <w:r w:rsidR="007B1A00">
        <w:rPr>
          <w:lang w:val="pl-PL"/>
        </w:rPr>
        <w:t xml:space="preserve"> r.</w:t>
      </w:r>
      <w:r w:rsidRPr="008A5B24">
        <w:rPr>
          <w:lang w:val="pl-PL"/>
        </w:rPr>
        <w:t>)</w:t>
      </w:r>
    </w:p>
    <w:p w14:paraId="4EE38F4C" w14:textId="77777777" w:rsidR="004D7F94" w:rsidRPr="008A5B24" w:rsidRDefault="004D7F94">
      <w:pPr>
        <w:pBdr>
          <w:bottom w:val="single" w:sz="8" w:space="1" w:color="auto"/>
        </w:pBdr>
        <w:rPr>
          <w:lang w:val="pl-PL"/>
        </w:rPr>
      </w:pPr>
    </w:p>
    <w:p w14:paraId="0AFD298D" w14:textId="77777777" w:rsidR="001A7C69" w:rsidRDefault="001A7C69" w:rsidP="001A7C69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</w:t>
      </w:r>
      <w:proofErr w:type="spellStart"/>
      <w:r>
        <w:rPr>
          <w:lang w:val="pl-PL"/>
        </w:rPr>
        <w:t>European</w:t>
      </w:r>
      <w:proofErr w:type="spellEnd"/>
      <w:r>
        <w:rPr>
          <w:lang w:val="pl-PL"/>
        </w:rPr>
        <w:t xml:space="preserve"> Court of Human </w:t>
      </w:r>
      <w:proofErr w:type="spellStart"/>
      <w:r>
        <w:rPr>
          <w:lang w:val="pl-PL"/>
        </w:rPr>
        <w:t>Rights</w:t>
      </w:r>
      <w:proofErr w:type="spellEnd"/>
      <w:r>
        <w:rPr>
          <w:lang w:val="pl-PL"/>
        </w:rPr>
        <w:br/>
        <w:t xml:space="preserve">Niniejsze streszczenie przygotowane przez Kancelarię nie wiąże Trybunału.  </w:t>
      </w:r>
    </w:p>
    <w:p w14:paraId="2D2FAD56" w14:textId="77777777" w:rsidR="004D7F94" w:rsidRDefault="001A7C69" w:rsidP="001A7C69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10" w:history="1">
        <w:r>
          <w:rPr>
            <w:rStyle w:val="Hipercze"/>
            <w:lang w:val="pl-PL"/>
          </w:rPr>
          <w:t>Not informacyjnych nt. orzecznictwa</w:t>
        </w:r>
      </w:hyperlink>
    </w:p>
    <w:p w14:paraId="19198F0A" w14:textId="152F4412" w:rsidR="00E62B67" w:rsidRPr="00815C34" w:rsidRDefault="00E62B67" w:rsidP="00E62B67">
      <w:pPr>
        <w:pStyle w:val="ClinFooter"/>
        <w:jc w:val="left"/>
        <w:rPr>
          <w:lang w:val="pl-PL"/>
        </w:rPr>
      </w:pPr>
    </w:p>
    <w:sectPr w:rsidR="00E62B67" w:rsidRPr="00815C34" w:rsidSect="004A5B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1CDAA" w14:textId="77777777" w:rsidR="00ED0E1F" w:rsidRDefault="00ED0E1F" w:rsidP="00C63262">
      <w:r>
        <w:separator/>
      </w:r>
    </w:p>
  </w:endnote>
  <w:endnote w:type="continuationSeparator" w:id="0">
    <w:p w14:paraId="5DD8E58B" w14:textId="77777777" w:rsidR="00ED0E1F" w:rsidRDefault="00ED0E1F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4CFF9" w14:textId="77777777" w:rsidR="008B190B" w:rsidRDefault="008B19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00138" w14:textId="77777777" w:rsidR="008B190B" w:rsidRDefault="008B19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77174" w14:textId="77777777" w:rsidR="0071773F" w:rsidRPr="0071773F" w:rsidRDefault="0071773F" w:rsidP="0071773F"/>
  <w:p w14:paraId="50383BCB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065BD9D9" wp14:editId="0CC0FD94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E88C1" w14:textId="77777777" w:rsidR="00ED0E1F" w:rsidRDefault="00ED0E1F" w:rsidP="00C63262">
      <w:r>
        <w:separator/>
      </w:r>
    </w:p>
  </w:footnote>
  <w:footnote w:type="continuationSeparator" w:id="0">
    <w:p w14:paraId="411ECC09" w14:textId="77777777" w:rsidR="00ED0E1F" w:rsidRDefault="00ED0E1F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C226C" w14:textId="77777777" w:rsidR="008B190B" w:rsidRDefault="008B19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9312215"/>
      <w:docPartObj>
        <w:docPartGallery w:val="Page Numbers (Top of Page)"/>
        <w:docPartUnique/>
      </w:docPartObj>
    </w:sdtPr>
    <w:sdtContent>
      <w:p w14:paraId="68CDAF14" w14:textId="1E2BE741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0F3D3A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3DF42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06B49CD2" wp14:editId="59F0CFAC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doNotDisplayPageBoundaries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3EF0"/>
    <w:rsid w:val="00026F9F"/>
    <w:rsid w:val="00037CCC"/>
    <w:rsid w:val="000417F7"/>
    <w:rsid w:val="00043B3A"/>
    <w:rsid w:val="00061DBB"/>
    <w:rsid w:val="000829D2"/>
    <w:rsid w:val="00097888"/>
    <w:rsid w:val="000A1089"/>
    <w:rsid w:val="000C2259"/>
    <w:rsid w:val="000C31D6"/>
    <w:rsid w:val="000C7908"/>
    <w:rsid w:val="000F13B5"/>
    <w:rsid w:val="000F3D3A"/>
    <w:rsid w:val="00107377"/>
    <w:rsid w:val="00143602"/>
    <w:rsid w:val="00166ABD"/>
    <w:rsid w:val="001769E4"/>
    <w:rsid w:val="001827AF"/>
    <w:rsid w:val="00186560"/>
    <w:rsid w:val="001A7C69"/>
    <w:rsid w:val="001C2A47"/>
    <w:rsid w:val="001C417D"/>
    <w:rsid w:val="001D7D33"/>
    <w:rsid w:val="001E66BC"/>
    <w:rsid w:val="00212E83"/>
    <w:rsid w:val="00213BE7"/>
    <w:rsid w:val="002966E7"/>
    <w:rsid w:val="002E088D"/>
    <w:rsid w:val="002E283C"/>
    <w:rsid w:val="002E7FB3"/>
    <w:rsid w:val="0030264F"/>
    <w:rsid w:val="003450B3"/>
    <w:rsid w:val="00376D30"/>
    <w:rsid w:val="00386958"/>
    <w:rsid w:val="003A64A6"/>
    <w:rsid w:val="003C4069"/>
    <w:rsid w:val="003D159B"/>
    <w:rsid w:val="003D7BB3"/>
    <w:rsid w:val="0040792F"/>
    <w:rsid w:val="0046453F"/>
    <w:rsid w:val="00464909"/>
    <w:rsid w:val="00487F85"/>
    <w:rsid w:val="00491267"/>
    <w:rsid w:val="004964D8"/>
    <w:rsid w:val="004A0144"/>
    <w:rsid w:val="004A3BA7"/>
    <w:rsid w:val="004A5B52"/>
    <w:rsid w:val="004A7735"/>
    <w:rsid w:val="004D568D"/>
    <w:rsid w:val="004D7F94"/>
    <w:rsid w:val="004E1037"/>
    <w:rsid w:val="0052092D"/>
    <w:rsid w:val="00532960"/>
    <w:rsid w:val="00540D75"/>
    <w:rsid w:val="00544E4C"/>
    <w:rsid w:val="005514E5"/>
    <w:rsid w:val="00581E7A"/>
    <w:rsid w:val="005A70E2"/>
    <w:rsid w:val="005E1C49"/>
    <w:rsid w:val="005E4627"/>
    <w:rsid w:val="006028A1"/>
    <w:rsid w:val="006073C0"/>
    <w:rsid w:val="00620FE2"/>
    <w:rsid w:val="00631A28"/>
    <w:rsid w:val="0064339B"/>
    <w:rsid w:val="006502A6"/>
    <w:rsid w:val="0067017C"/>
    <w:rsid w:val="00677119"/>
    <w:rsid w:val="006855BF"/>
    <w:rsid w:val="00697303"/>
    <w:rsid w:val="006A36AD"/>
    <w:rsid w:val="006B5EB4"/>
    <w:rsid w:val="006C1D96"/>
    <w:rsid w:val="006E0FE7"/>
    <w:rsid w:val="006E207A"/>
    <w:rsid w:val="006E33A3"/>
    <w:rsid w:val="0070448C"/>
    <w:rsid w:val="00707CE8"/>
    <w:rsid w:val="0071773F"/>
    <w:rsid w:val="0072078F"/>
    <w:rsid w:val="00745A00"/>
    <w:rsid w:val="00774515"/>
    <w:rsid w:val="007821F5"/>
    <w:rsid w:val="00786E95"/>
    <w:rsid w:val="007A4620"/>
    <w:rsid w:val="007B1A00"/>
    <w:rsid w:val="007C2040"/>
    <w:rsid w:val="007D1F32"/>
    <w:rsid w:val="007D678C"/>
    <w:rsid w:val="0080378B"/>
    <w:rsid w:val="0081583E"/>
    <w:rsid w:val="00815C34"/>
    <w:rsid w:val="008711B3"/>
    <w:rsid w:val="008745B0"/>
    <w:rsid w:val="008867AA"/>
    <w:rsid w:val="00895EF3"/>
    <w:rsid w:val="008A5B24"/>
    <w:rsid w:val="008B190B"/>
    <w:rsid w:val="008B5149"/>
    <w:rsid w:val="008C255B"/>
    <w:rsid w:val="008C64D5"/>
    <w:rsid w:val="008C73AF"/>
    <w:rsid w:val="00903D38"/>
    <w:rsid w:val="00933D30"/>
    <w:rsid w:val="0094787B"/>
    <w:rsid w:val="0095509B"/>
    <w:rsid w:val="0095706D"/>
    <w:rsid w:val="00957C37"/>
    <w:rsid w:val="009A0629"/>
    <w:rsid w:val="009B3B2C"/>
    <w:rsid w:val="009E3EF0"/>
    <w:rsid w:val="00A01052"/>
    <w:rsid w:val="00A04D9C"/>
    <w:rsid w:val="00A258BB"/>
    <w:rsid w:val="00A33541"/>
    <w:rsid w:val="00A375F9"/>
    <w:rsid w:val="00A45616"/>
    <w:rsid w:val="00A906E8"/>
    <w:rsid w:val="00AC7726"/>
    <w:rsid w:val="00AD0A77"/>
    <w:rsid w:val="00AE5274"/>
    <w:rsid w:val="00AF02EC"/>
    <w:rsid w:val="00B62846"/>
    <w:rsid w:val="00B63DC7"/>
    <w:rsid w:val="00B80CA0"/>
    <w:rsid w:val="00B81D91"/>
    <w:rsid w:val="00B85770"/>
    <w:rsid w:val="00BB6EC4"/>
    <w:rsid w:val="00BC7E91"/>
    <w:rsid w:val="00BF1CD9"/>
    <w:rsid w:val="00BF4FCE"/>
    <w:rsid w:val="00C1643E"/>
    <w:rsid w:val="00C37433"/>
    <w:rsid w:val="00C63262"/>
    <w:rsid w:val="00C72355"/>
    <w:rsid w:val="00C93CFB"/>
    <w:rsid w:val="00CA6C24"/>
    <w:rsid w:val="00CF7BA6"/>
    <w:rsid w:val="00D30070"/>
    <w:rsid w:val="00D42086"/>
    <w:rsid w:val="00D425B3"/>
    <w:rsid w:val="00DB3242"/>
    <w:rsid w:val="00DC3702"/>
    <w:rsid w:val="00E03CF3"/>
    <w:rsid w:val="00E05DBB"/>
    <w:rsid w:val="00E06F86"/>
    <w:rsid w:val="00E34ED5"/>
    <w:rsid w:val="00E55491"/>
    <w:rsid w:val="00E575B1"/>
    <w:rsid w:val="00E62B67"/>
    <w:rsid w:val="00E708CA"/>
    <w:rsid w:val="00E83DB6"/>
    <w:rsid w:val="00E9391F"/>
    <w:rsid w:val="00EA53E7"/>
    <w:rsid w:val="00EB6B1D"/>
    <w:rsid w:val="00ED0E1F"/>
    <w:rsid w:val="00EE42D7"/>
    <w:rsid w:val="00EF1908"/>
    <w:rsid w:val="00F15999"/>
    <w:rsid w:val="00F46D48"/>
    <w:rsid w:val="00F508C9"/>
    <w:rsid w:val="00F50CCD"/>
    <w:rsid w:val="00F5247C"/>
    <w:rsid w:val="00F63045"/>
    <w:rsid w:val="00F65E00"/>
    <w:rsid w:val="00F8467C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36975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1E66BC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1E66BC"/>
  </w:style>
  <w:style w:type="character" w:styleId="Odwoaniedokomentarza">
    <w:name w:val="annotation reference"/>
    <w:basedOn w:val="Domylnaczcionkaakapitu"/>
    <w:semiHidden/>
    <w:unhideWhenUsed/>
    <w:rsid w:val="000F3D3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F3D3A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F3D3A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0F3D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0F3D3A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F15999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9577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hudoc.echr.coe.int/eng?i=002-9474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http://www.echr.coe.int/NoteInformation/e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hudoc.echr.coe.int/eng?i=001-154983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1447</Words>
  <Characters>8688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2021-04-21T15:06:00Z</dcterms:created>
  <dcterms:modified xsi:type="dcterms:W3CDTF">2025-11-04T15:25:00Z</dcterms:modified>
</cp:coreProperties>
</file>