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A9DE6" w14:textId="77777777" w:rsidR="007C4A9A" w:rsidRDefault="007C4A9A" w:rsidP="007C4A9A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1B784A96" w14:textId="77777777" w:rsidR="007C4A9A" w:rsidRDefault="007C4A9A" w:rsidP="007C4A9A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70D221A6" w14:textId="77777777" w:rsidR="00057FFA" w:rsidRPr="007C4A9A" w:rsidRDefault="007C4A9A" w:rsidP="007C4A9A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B60D6D">
        <w:rPr>
          <w:lang w:val="pl-PL"/>
        </w:rPr>
        <w:t xml:space="preserve"> </w:t>
      </w:r>
      <w:r w:rsidR="00E51CCD" w:rsidRPr="007C4A9A">
        <w:rPr>
          <w:lang w:val="pl-PL"/>
        </w:rPr>
        <w:t>241</w:t>
      </w:r>
    </w:p>
    <w:p w14:paraId="4861D03F" w14:textId="77777777" w:rsidR="00057FFA" w:rsidRPr="00C675A4" w:rsidRDefault="00223130">
      <w:pPr>
        <w:pStyle w:val="ClinEditionMonth"/>
        <w:rPr>
          <w:lang w:val="pl-PL"/>
        </w:rPr>
      </w:pPr>
      <w:r w:rsidRPr="00C675A4">
        <w:rPr>
          <w:lang w:val="pl-PL"/>
        </w:rPr>
        <w:t>Czerwiec 2</w:t>
      </w:r>
      <w:r w:rsidR="00E51CCD" w:rsidRPr="00C675A4">
        <w:rPr>
          <w:lang w:val="pl-PL"/>
        </w:rPr>
        <w:t>020</w:t>
      </w:r>
      <w:r w:rsidRPr="00C675A4">
        <w:rPr>
          <w:lang w:val="pl-PL"/>
        </w:rPr>
        <w:t xml:space="preserve"> r.</w:t>
      </w:r>
    </w:p>
    <w:p w14:paraId="6B7ECCF0" w14:textId="77777777" w:rsidR="00057FFA" w:rsidRPr="00C675A4" w:rsidRDefault="00E51CCD">
      <w:pPr>
        <w:rPr>
          <w:lang w:val="pl-PL"/>
        </w:rPr>
      </w:pPr>
      <w:r w:rsidRPr="00C675A4">
        <w:rPr>
          <w:rStyle w:val="ClinCaseTitle"/>
          <w:lang w:val="pl-PL"/>
        </w:rPr>
        <w:t xml:space="preserve">Saquetti Iglesias </w:t>
      </w:r>
      <w:r w:rsidR="00223130" w:rsidRPr="00C675A4">
        <w:rPr>
          <w:rStyle w:val="ClinCaseTitle"/>
          <w:lang w:val="pl-PL"/>
        </w:rPr>
        <w:t>p</w:t>
      </w:r>
      <w:r w:rsidRPr="00C675A4">
        <w:rPr>
          <w:rStyle w:val="ClinCaseTitle"/>
          <w:lang w:val="pl-PL"/>
        </w:rPr>
        <w:t xml:space="preserve">. </w:t>
      </w:r>
      <w:r w:rsidR="00223130" w:rsidRPr="00C675A4">
        <w:rPr>
          <w:rStyle w:val="ClinCaseTitle"/>
          <w:lang w:val="pl-PL"/>
        </w:rPr>
        <w:t>Hiszpanii</w:t>
      </w:r>
      <w:r w:rsidRPr="00C675A4">
        <w:rPr>
          <w:rStyle w:val="ClinApplicationNumber"/>
          <w:lang w:val="pl-PL"/>
        </w:rPr>
        <w:t xml:space="preserve"> </w:t>
      </w:r>
      <w:r w:rsidR="00223130" w:rsidRPr="00C675A4">
        <w:rPr>
          <w:rStyle w:val="ClinApplicationNumber"/>
          <w:lang w:val="pl-PL"/>
        </w:rPr>
        <w:t>– skarga nr</w:t>
      </w:r>
      <w:r w:rsidRPr="00C675A4">
        <w:rPr>
          <w:rStyle w:val="ClinApplicationNumber"/>
          <w:lang w:val="pl-PL"/>
        </w:rPr>
        <w:t xml:space="preserve"> 50514/13</w:t>
      </w:r>
    </w:p>
    <w:p w14:paraId="7A88FB09" w14:textId="02A176B5" w:rsidR="00057FFA" w:rsidRPr="00223130" w:rsidRDefault="00223130">
      <w:pPr>
        <w:rPr>
          <w:lang w:val="pl-PL"/>
        </w:rPr>
      </w:pPr>
      <w:r w:rsidRPr="00223130">
        <w:rPr>
          <w:rStyle w:val="ClinHudocDocumentTitle"/>
          <w:lang w:val="pl-PL"/>
        </w:rPr>
        <w:t xml:space="preserve">Wyrok z </w:t>
      </w:r>
      <w:r w:rsidR="00E51CCD" w:rsidRPr="00223130">
        <w:rPr>
          <w:rStyle w:val="ClinHudocDocumentTitle"/>
          <w:lang w:val="pl-PL"/>
        </w:rPr>
        <w:t>30.</w:t>
      </w:r>
      <w:r w:rsidRPr="00223130">
        <w:rPr>
          <w:rStyle w:val="ClinHudocDocumentTitle"/>
          <w:lang w:val="pl-PL"/>
        </w:rPr>
        <w:t>0</w:t>
      </w:r>
      <w:r w:rsidR="00E51CCD" w:rsidRPr="00223130">
        <w:rPr>
          <w:rStyle w:val="ClinHudocDocumentTitle"/>
          <w:lang w:val="pl-PL"/>
        </w:rPr>
        <w:t>6.2020</w:t>
      </w:r>
      <w:r w:rsidR="00E51CCD" w:rsidRPr="00223130">
        <w:rPr>
          <w:rStyle w:val="ClinSectionName"/>
          <w:lang w:val="pl-PL"/>
        </w:rPr>
        <w:t xml:space="preserve"> </w:t>
      </w:r>
      <w:r w:rsidRPr="00223130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E51CCD" w:rsidRPr="00223130">
        <w:rPr>
          <w:rStyle w:val="ClinSectionName"/>
          <w:lang w:val="pl-PL"/>
        </w:rPr>
        <w:t>[</w:t>
      </w:r>
      <w:r w:rsidR="004E149F" w:rsidRPr="00223130">
        <w:rPr>
          <w:rStyle w:val="ClinSectionName"/>
          <w:lang w:val="pl-PL"/>
        </w:rPr>
        <w:t>Se</w:t>
      </w:r>
      <w:r w:rsidR="004E149F">
        <w:rPr>
          <w:rStyle w:val="ClinSectionName"/>
          <w:lang w:val="pl-PL"/>
        </w:rPr>
        <w:t>kcja</w:t>
      </w:r>
      <w:r w:rsidR="000C605A">
        <w:rPr>
          <w:rStyle w:val="ClinSectionName"/>
          <w:lang w:val="pl-PL"/>
        </w:rPr>
        <w:t xml:space="preserve"> </w:t>
      </w:r>
      <w:r w:rsidR="000C605A">
        <w:rPr>
          <w:rStyle w:val="ClinSectionName"/>
          <w:lang w:val="pl-PL"/>
        </w:rPr>
        <w:t>Trzecia</w:t>
      </w:r>
      <w:r w:rsidR="00E51CCD" w:rsidRPr="00223130">
        <w:rPr>
          <w:rStyle w:val="ClinSectionName"/>
          <w:lang w:val="pl-PL"/>
        </w:rPr>
        <w:t>]</w:t>
      </w:r>
    </w:p>
    <w:p w14:paraId="74137F2E" w14:textId="77777777" w:rsidR="00057FFA" w:rsidRPr="004E149F" w:rsidRDefault="00E51CCD">
      <w:pPr>
        <w:pStyle w:val="ClinMainKeywordCode"/>
        <w:rPr>
          <w:lang w:val="pl-PL"/>
        </w:rPr>
      </w:pPr>
      <w:r w:rsidRPr="004E149F">
        <w:rPr>
          <w:lang w:val="pl-PL"/>
        </w:rPr>
        <w:t>Art</w:t>
      </w:r>
      <w:r w:rsidR="00223130" w:rsidRPr="004E149F">
        <w:rPr>
          <w:lang w:val="pl-PL"/>
        </w:rPr>
        <w:t>.</w:t>
      </w:r>
      <w:r w:rsidRPr="004E149F">
        <w:rPr>
          <w:lang w:val="pl-PL"/>
        </w:rPr>
        <w:t xml:space="preserve"> 2 Proto</w:t>
      </w:r>
      <w:r w:rsidR="00223130" w:rsidRPr="004E149F">
        <w:rPr>
          <w:lang w:val="pl-PL"/>
        </w:rPr>
        <w:t>k</w:t>
      </w:r>
      <w:r w:rsidRPr="004E149F">
        <w:rPr>
          <w:lang w:val="pl-PL"/>
        </w:rPr>
        <w:t>o</w:t>
      </w:r>
      <w:r w:rsidR="00223130" w:rsidRPr="004E149F">
        <w:rPr>
          <w:lang w:val="pl-PL"/>
        </w:rPr>
        <w:t>łu</w:t>
      </w:r>
      <w:r w:rsidRPr="004E149F">
        <w:rPr>
          <w:lang w:val="pl-PL"/>
        </w:rPr>
        <w:t xml:space="preserve"> </w:t>
      </w:r>
      <w:r w:rsidR="00223130" w:rsidRPr="004E149F">
        <w:rPr>
          <w:lang w:val="pl-PL"/>
        </w:rPr>
        <w:t>nr</w:t>
      </w:r>
      <w:r w:rsidRPr="004E149F">
        <w:rPr>
          <w:lang w:val="pl-PL"/>
        </w:rPr>
        <w:t xml:space="preserve"> 7</w:t>
      </w:r>
    </w:p>
    <w:p w14:paraId="2B02EBBE" w14:textId="479EAB67" w:rsidR="00223130" w:rsidRPr="00C66F46" w:rsidRDefault="00223130" w:rsidP="00ED391E">
      <w:pPr>
        <w:jc w:val="both"/>
        <w:rPr>
          <w:i/>
          <w:lang w:val="pl-PL"/>
        </w:rPr>
      </w:pPr>
      <w:r w:rsidRPr="00057B4F">
        <w:rPr>
          <w:rStyle w:val="ClinConclusions"/>
          <w:i w:val="0"/>
          <w:lang w:val="pl-PL"/>
        </w:rPr>
        <w:t xml:space="preserve">Brak </w:t>
      </w:r>
      <w:r w:rsidR="0055745E">
        <w:rPr>
          <w:rStyle w:val="ClinConclusions"/>
          <w:i w:val="0"/>
          <w:lang w:val="pl-PL"/>
        </w:rPr>
        <w:t xml:space="preserve">możliwości </w:t>
      </w:r>
      <w:r w:rsidRPr="00057B4F">
        <w:rPr>
          <w:rStyle w:val="ClinConclusions"/>
          <w:i w:val="0"/>
          <w:lang w:val="pl-PL"/>
        </w:rPr>
        <w:t xml:space="preserve">odwołania </w:t>
      </w:r>
      <w:r w:rsidR="006F23A9">
        <w:rPr>
          <w:rStyle w:val="ClinConclusions"/>
          <w:i w:val="0"/>
          <w:lang w:val="pl-PL"/>
        </w:rPr>
        <w:t xml:space="preserve">się </w:t>
      </w:r>
      <w:r w:rsidRPr="00057B4F">
        <w:rPr>
          <w:rStyle w:val="ClinConclusions"/>
          <w:i w:val="0"/>
          <w:lang w:val="pl-PL"/>
        </w:rPr>
        <w:t>od wysokiej grzywny</w:t>
      </w:r>
      <w:r w:rsidRPr="00C66F46">
        <w:rPr>
          <w:rStyle w:val="ClinConclusions"/>
          <w:i w:val="0"/>
          <w:lang w:val="pl-PL"/>
        </w:rPr>
        <w:t xml:space="preserve"> </w:t>
      </w:r>
      <w:r w:rsidR="00C66F46" w:rsidRPr="00C66F46">
        <w:rPr>
          <w:rStyle w:val="ClinConclusions"/>
          <w:i w:val="0"/>
          <w:lang w:val="pl-PL"/>
        </w:rPr>
        <w:t>celn</w:t>
      </w:r>
      <w:r w:rsidR="00A938AA">
        <w:rPr>
          <w:rStyle w:val="ClinConclusions"/>
          <w:i w:val="0"/>
          <w:lang w:val="pl-PL"/>
        </w:rPr>
        <w:t>ej</w:t>
      </w:r>
      <w:r w:rsidR="00C66F46" w:rsidRPr="00C66F46">
        <w:rPr>
          <w:rStyle w:val="ClinConclusions"/>
          <w:i w:val="0"/>
          <w:lang w:val="pl-PL"/>
        </w:rPr>
        <w:t xml:space="preserve"> </w:t>
      </w:r>
      <w:r w:rsidR="009554B7">
        <w:rPr>
          <w:rStyle w:val="ClinConclusions"/>
          <w:i w:val="0"/>
          <w:lang w:val="pl-PL"/>
        </w:rPr>
        <w:t xml:space="preserve">nałożonej </w:t>
      </w:r>
      <w:r w:rsidR="00C66F46" w:rsidRPr="00C66F46">
        <w:rPr>
          <w:rStyle w:val="ClinConclusions"/>
          <w:i w:val="0"/>
          <w:lang w:val="pl-PL"/>
        </w:rPr>
        <w:t xml:space="preserve">bez </w:t>
      </w:r>
      <w:r w:rsidR="0016179F">
        <w:rPr>
          <w:rStyle w:val="ClinConclusions"/>
          <w:i w:val="0"/>
          <w:lang w:val="pl-PL"/>
        </w:rPr>
        <w:t xml:space="preserve">jakiegokolwiek </w:t>
      </w:r>
      <w:r w:rsidR="00A938AA">
        <w:rPr>
          <w:rStyle w:val="ClinConclusions"/>
          <w:i w:val="0"/>
          <w:lang w:val="pl-PL"/>
        </w:rPr>
        <w:t xml:space="preserve">rozważenia </w:t>
      </w:r>
      <w:r w:rsidR="00C66F46" w:rsidRPr="00C66F46">
        <w:rPr>
          <w:rStyle w:val="ClinConclusions"/>
          <w:i w:val="0"/>
          <w:lang w:val="pl-PL"/>
        </w:rPr>
        <w:t xml:space="preserve">kwestii proporcjonalności: </w:t>
      </w:r>
      <w:r w:rsidR="00C66F46" w:rsidRPr="00C66F46">
        <w:rPr>
          <w:rStyle w:val="ClinConclusions"/>
          <w:lang w:val="pl-PL"/>
        </w:rPr>
        <w:t>naruszenie</w:t>
      </w:r>
    </w:p>
    <w:p w14:paraId="2A1A9E62" w14:textId="0A4F9C48" w:rsidR="0016179F" w:rsidRPr="0016179F" w:rsidRDefault="0016179F">
      <w:pPr>
        <w:pStyle w:val="ClinContent"/>
        <w:rPr>
          <w:lang w:val="pl-PL"/>
        </w:rPr>
      </w:pPr>
      <w:r w:rsidRPr="0016179F">
        <w:rPr>
          <w:i/>
          <w:lang w:val="pl-PL"/>
        </w:rPr>
        <w:t>Fakty</w:t>
      </w:r>
      <w:r w:rsidRPr="0016179F">
        <w:rPr>
          <w:lang w:val="pl-PL"/>
        </w:rPr>
        <w:t xml:space="preserve"> – </w:t>
      </w:r>
      <w:r w:rsidR="000A6668" w:rsidRPr="0016179F">
        <w:rPr>
          <w:lang w:val="pl-PL"/>
        </w:rPr>
        <w:t>W marcu 2011 r.</w:t>
      </w:r>
      <w:r w:rsidR="000A6668">
        <w:rPr>
          <w:lang w:val="pl-PL"/>
        </w:rPr>
        <w:t>,</w:t>
      </w:r>
      <w:r w:rsidR="000A6668" w:rsidRPr="0016179F">
        <w:rPr>
          <w:lang w:val="pl-PL"/>
        </w:rPr>
        <w:t xml:space="preserve"> </w:t>
      </w:r>
      <w:r w:rsidR="000A6668">
        <w:rPr>
          <w:lang w:val="pl-PL"/>
        </w:rPr>
        <w:t>w</w:t>
      </w:r>
      <w:r w:rsidRPr="0016179F">
        <w:rPr>
          <w:lang w:val="pl-PL"/>
        </w:rPr>
        <w:t xml:space="preserve"> czasie kontroli celnej przy wyjeździe z terytorium Hiszpanii</w:t>
      </w:r>
      <w:r w:rsidR="000A6668">
        <w:rPr>
          <w:lang w:val="pl-PL"/>
        </w:rPr>
        <w:t>,</w:t>
      </w:r>
      <w:r w:rsidRPr="0016179F">
        <w:rPr>
          <w:lang w:val="pl-PL"/>
        </w:rPr>
        <w:t xml:space="preserve"> </w:t>
      </w:r>
      <w:r>
        <w:rPr>
          <w:lang w:val="pl-PL"/>
        </w:rPr>
        <w:t>skarżący został przyłapany z kwotą pieniężną przekraczającą limit</w:t>
      </w:r>
      <w:r w:rsidR="00A938AA">
        <w:rPr>
          <w:lang w:val="pl-PL"/>
        </w:rPr>
        <w:t>, od którego powstaje obowiązek złożenia</w:t>
      </w:r>
      <w:r>
        <w:rPr>
          <w:lang w:val="pl-PL"/>
        </w:rPr>
        <w:t xml:space="preserve"> deklaracji (10 000 EUR). Właściwy organ ukarał go grzywną w</w:t>
      </w:r>
      <w:r w:rsidR="00ED391E">
        <w:rPr>
          <w:lang w:val="pl-PL"/>
        </w:rPr>
        <w:t> </w:t>
      </w:r>
      <w:r>
        <w:rPr>
          <w:lang w:val="pl-PL"/>
        </w:rPr>
        <w:t xml:space="preserve">wysokości 153 800 EUR </w:t>
      </w:r>
      <w:r w:rsidR="009554B7">
        <w:rPr>
          <w:lang w:val="pl-PL"/>
        </w:rPr>
        <w:t>–</w:t>
      </w:r>
      <w:r>
        <w:rPr>
          <w:lang w:val="pl-PL"/>
        </w:rPr>
        <w:t xml:space="preserve"> </w:t>
      </w:r>
      <w:r w:rsidR="009554B7">
        <w:rPr>
          <w:lang w:val="pl-PL"/>
        </w:rPr>
        <w:t>stanowiąc</w:t>
      </w:r>
      <w:r w:rsidR="00972B8B">
        <w:rPr>
          <w:lang w:val="pl-PL"/>
        </w:rPr>
        <w:t>ą</w:t>
      </w:r>
      <w:r w:rsidR="009554B7">
        <w:rPr>
          <w:lang w:val="pl-PL"/>
        </w:rPr>
        <w:t xml:space="preserve"> prawie równowa</w:t>
      </w:r>
      <w:r w:rsidR="006F23A9">
        <w:rPr>
          <w:lang w:val="pl-PL"/>
        </w:rPr>
        <w:t>rtość</w:t>
      </w:r>
      <w:r w:rsidR="009554B7">
        <w:rPr>
          <w:lang w:val="pl-PL"/>
        </w:rPr>
        <w:t xml:space="preserve"> </w:t>
      </w:r>
      <w:r w:rsidR="0055745E">
        <w:rPr>
          <w:lang w:val="pl-PL"/>
        </w:rPr>
        <w:t xml:space="preserve">przedmiotowej </w:t>
      </w:r>
      <w:r w:rsidR="009554B7">
        <w:rPr>
          <w:lang w:val="pl-PL"/>
        </w:rPr>
        <w:t>kwoty pieniężnej. Skarżący wyjaśnił, że pieniądze</w:t>
      </w:r>
      <w:r w:rsidR="0097322E">
        <w:rPr>
          <w:lang w:val="pl-PL"/>
        </w:rPr>
        <w:t xml:space="preserve"> pochodziły z ww</w:t>
      </w:r>
      <w:r w:rsidR="0055745E">
        <w:rPr>
          <w:lang w:val="pl-PL"/>
        </w:rPr>
        <w:t xml:space="preserve">ozów </w:t>
      </w:r>
      <w:r w:rsidR="0097322E">
        <w:rPr>
          <w:lang w:val="pl-PL"/>
        </w:rPr>
        <w:t>gotówki przy powro</w:t>
      </w:r>
      <w:r w:rsidR="00674112">
        <w:rPr>
          <w:lang w:val="pl-PL"/>
        </w:rPr>
        <w:t>tach</w:t>
      </w:r>
      <w:r w:rsidR="0097322E">
        <w:rPr>
          <w:lang w:val="pl-PL"/>
        </w:rPr>
        <w:t xml:space="preserve"> z podróży do Argentyny, które </w:t>
      </w:r>
      <w:r w:rsidR="00674112">
        <w:rPr>
          <w:lang w:val="pl-PL"/>
        </w:rPr>
        <w:t xml:space="preserve">były </w:t>
      </w:r>
      <w:r w:rsidR="0097322E">
        <w:rPr>
          <w:lang w:val="pl-PL"/>
        </w:rPr>
        <w:t xml:space="preserve">zgodnie z prawem zadeklarowane </w:t>
      </w:r>
      <w:r w:rsidR="00527BDD">
        <w:rPr>
          <w:lang w:val="pl-PL"/>
        </w:rPr>
        <w:t xml:space="preserve">na kwotę przekraczającą w sumie 300 000 EUR w ciągu dekady. </w:t>
      </w:r>
    </w:p>
    <w:p w14:paraId="5A3ADE95" w14:textId="5B436007" w:rsidR="00527BDD" w:rsidRPr="00527BDD" w:rsidRDefault="00527BDD">
      <w:pPr>
        <w:pStyle w:val="ClinContent"/>
        <w:rPr>
          <w:lang w:val="pl-PL"/>
        </w:rPr>
      </w:pPr>
      <w:r w:rsidRPr="001D7D51">
        <w:rPr>
          <w:lang w:val="pl-PL"/>
        </w:rPr>
        <w:t>W październiku 2011 r. skarżący złożył</w:t>
      </w:r>
      <w:r w:rsidR="00B12D83" w:rsidRPr="001D7D51">
        <w:rPr>
          <w:lang w:val="pl-PL"/>
        </w:rPr>
        <w:t xml:space="preserve"> skargę administracyjną</w:t>
      </w:r>
      <w:r w:rsidRPr="001D7D51">
        <w:rPr>
          <w:lang w:val="pl-PL"/>
        </w:rPr>
        <w:t xml:space="preserve">. W 2013 r. </w:t>
      </w:r>
      <w:r w:rsidR="00BA54C6" w:rsidRPr="001D7D51">
        <w:rPr>
          <w:lang w:val="pl-PL"/>
        </w:rPr>
        <w:t xml:space="preserve">Wyższy </w:t>
      </w:r>
      <w:r w:rsidR="00D242EF">
        <w:rPr>
          <w:lang w:val="pl-PL"/>
        </w:rPr>
        <w:t>Trybunał</w:t>
      </w:r>
      <w:r w:rsidR="00BA54C6" w:rsidRPr="001D7D51">
        <w:rPr>
          <w:lang w:val="pl-PL"/>
        </w:rPr>
        <w:t xml:space="preserve"> Sprawiedliwości w Madrycie</w:t>
      </w:r>
      <w:r w:rsidR="0016024B">
        <w:rPr>
          <w:lang w:val="pl-PL"/>
        </w:rPr>
        <w:t xml:space="preserve"> (</w:t>
      </w:r>
      <w:r w:rsidR="0016024B" w:rsidRPr="00ED391E">
        <w:rPr>
          <w:i/>
          <w:iCs/>
          <w:lang w:val="pl-PL"/>
        </w:rPr>
        <w:t>Tribunal Superior de Justicia de Madrid</w:t>
      </w:r>
      <w:r w:rsidR="0016024B">
        <w:rPr>
          <w:lang w:val="pl-PL"/>
        </w:rPr>
        <w:t>)</w:t>
      </w:r>
      <w:r w:rsidR="00BA54C6" w:rsidRPr="001D7D51">
        <w:rPr>
          <w:lang w:val="pl-PL"/>
        </w:rPr>
        <w:t xml:space="preserve"> oddalił t</w:t>
      </w:r>
      <w:r w:rsidR="00B12D83" w:rsidRPr="001D7D51">
        <w:rPr>
          <w:lang w:val="pl-PL"/>
        </w:rPr>
        <w:t>ę</w:t>
      </w:r>
      <w:r w:rsidR="00ED391E">
        <w:rPr>
          <w:lang w:val="pl-PL"/>
        </w:rPr>
        <w:t> </w:t>
      </w:r>
      <w:r w:rsidR="00B12D83" w:rsidRPr="001D7D51">
        <w:rPr>
          <w:lang w:val="pl-PL"/>
        </w:rPr>
        <w:t>skargę</w:t>
      </w:r>
      <w:r w:rsidR="00BA54C6" w:rsidRPr="001D7D51">
        <w:rPr>
          <w:lang w:val="pl-PL"/>
        </w:rPr>
        <w:t xml:space="preserve">, wskazując, że </w:t>
      </w:r>
      <w:r w:rsidR="00B12D83" w:rsidRPr="001D7D51">
        <w:rPr>
          <w:lang w:val="pl-PL"/>
        </w:rPr>
        <w:t xml:space="preserve">od tego wyroku administracyjnego </w:t>
      </w:r>
      <w:r w:rsidR="00BA54C6" w:rsidRPr="001D7D51">
        <w:rPr>
          <w:lang w:val="pl-PL"/>
        </w:rPr>
        <w:t xml:space="preserve">nie przysługuje </w:t>
      </w:r>
      <w:r w:rsidR="00C36C22">
        <w:rPr>
          <w:lang w:val="pl-PL"/>
        </w:rPr>
        <w:t>odwołanie</w:t>
      </w:r>
      <w:r w:rsidR="00BA54C6" w:rsidRPr="001D7D51">
        <w:rPr>
          <w:lang w:val="pl-PL"/>
        </w:rPr>
        <w:t xml:space="preserve">, gdyż w międzyczasie zmieniono ustawę, podnosząc próg </w:t>
      </w:r>
      <w:r w:rsidR="001F4424" w:rsidRPr="001D7D51">
        <w:rPr>
          <w:lang w:val="pl-PL"/>
        </w:rPr>
        <w:t>u</w:t>
      </w:r>
      <w:r w:rsidR="00B12D83" w:rsidRPr="001D7D51">
        <w:rPr>
          <w:lang w:val="pl-PL"/>
        </w:rPr>
        <w:t>prawniający do</w:t>
      </w:r>
      <w:r w:rsidR="001F4424" w:rsidRPr="001D7D51">
        <w:rPr>
          <w:lang w:val="pl-PL"/>
        </w:rPr>
        <w:t xml:space="preserve"> złoż</w:t>
      </w:r>
      <w:r w:rsidR="00B12D83" w:rsidRPr="001D7D51">
        <w:rPr>
          <w:lang w:val="pl-PL"/>
        </w:rPr>
        <w:t>enia</w:t>
      </w:r>
      <w:r w:rsidR="001F4424" w:rsidRPr="001D7D51">
        <w:rPr>
          <w:lang w:val="pl-PL"/>
        </w:rPr>
        <w:t xml:space="preserve"> kasacji zależnej od kwoty</w:t>
      </w:r>
      <w:r w:rsidR="001D7D51" w:rsidRPr="001D7D51">
        <w:rPr>
          <w:lang w:val="pl-PL"/>
        </w:rPr>
        <w:t xml:space="preserve"> sporu</w:t>
      </w:r>
      <w:r w:rsidR="001F4424" w:rsidRPr="001D7D51">
        <w:rPr>
          <w:lang w:val="pl-PL"/>
        </w:rPr>
        <w:t xml:space="preserve"> (z wyjątkiem postępowań ws. ochrony praw podstawowych</w:t>
      </w:r>
      <w:r w:rsidR="00ED391E">
        <w:rPr>
          <w:lang w:val="pl-PL"/>
        </w:rPr>
        <w:t>)</w:t>
      </w:r>
      <w:r w:rsidR="001F4424" w:rsidRPr="001D7D51">
        <w:rPr>
          <w:lang w:val="pl-PL"/>
        </w:rPr>
        <w:t xml:space="preserve">: próg, który poprzednio wynosił 150 000 EUR, został podniesiony do 600 000 EUR. </w:t>
      </w:r>
      <w:r w:rsidR="002C5C57" w:rsidRPr="001D7D51">
        <w:rPr>
          <w:lang w:val="pl-PL"/>
        </w:rPr>
        <w:t>W</w:t>
      </w:r>
      <w:r w:rsidR="00ED391E">
        <w:rPr>
          <w:lang w:val="pl-PL"/>
        </w:rPr>
        <w:t> </w:t>
      </w:r>
      <w:r w:rsidR="002C5C57" w:rsidRPr="001D7D51">
        <w:rPr>
          <w:lang w:val="pl-PL"/>
        </w:rPr>
        <w:t xml:space="preserve">świetle przepisu przejściowego wciąż zawisłe </w:t>
      </w:r>
      <w:r w:rsidR="001D7D51" w:rsidRPr="001D7D51">
        <w:rPr>
          <w:lang w:val="pl-PL"/>
        </w:rPr>
        <w:t>kasacje</w:t>
      </w:r>
      <w:r w:rsidR="002C5C57" w:rsidRPr="001D7D51">
        <w:rPr>
          <w:lang w:val="pl-PL"/>
        </w:rPr>
        <w:t xml:space="preserve"> podlegały starym uregulowaniom proceduralnym do czasu wydania wyroku przez właściwy sąd.</w:t>
      </w:r>
      <w:r w:rsidR="002C5C57">
        <w:rPr>
          <w:lang w:val="pl-PL"/>
        </w:rPr>
        <w:t xml:space="preserve"> </w:t>
      </w:r>
    </w:p>
    <w:p w14:paraId="1F79D0D3" w14:textId="09008203" w:rsidR="002C5C57" w:rsidRPr="002C5C57" w:rsidRDefault="002C5C57">
      <w:pPr>
        <w:pStyle w:val="ClinContent"/>
        <w:rPr>
          <w:lang w:val="pl-PL"/>
        </w:rPr>
      </w:pPr>
      <w:r w:rsidRPr="002C5C57">
        <w:rPr>
          <w:lang w:val="pl-PL"/>
        </w:rPr>
        <w:t xml:space="preserve">Skarżąc się między innymi na natychmiastowe zastosowanie nowego prawa do jego </w:t>
      </w:r>
      <w:r w:rsidR="00E207A6">
        <w:rPr>
          <w:lang w:val="pl-PL"/>
        </w:rPr>
        <w:t>zawisłej</w:t>
      </w:r>
      <w:r>
        <w:rPr>
          <w:lang w:val="pl-PL"/>
        </w:rPr>
        <w:t xml:space="preserve"> sprawy, skarżący złożył odwołanie </w:t>
      </w:r>
      <w:r w:rsidR="006F23A9">
        <w:rPr>
          <w:lang w:val="pl-PL"/>
        </w:rPr>
        <w:t>mające na celu ochronę</w:t>
      </w:r>
      <w:r w:rsidR="0053090E">
        <w:rPr>
          <w:lang w:val="pl-PL"/>
        </w:rPr>
        <w:t xml:space="preserve"> praw i wolności (</w:t>
      </w:r>
      <w:r w:rsidR="00E207A6">
        <w:rPr>
          <w:lang w:val="pl-PL"/>
        </w:rPr>
        <w:t>tzw.</w:t>
      </w:r>
      <w:r w:rsidR="00ED391E">
        <w:rPr>
          <w:lang w:val="pl-PL"/>
        </w:rPr>
        <w:t> </w:t>
      </w:r>
      <w:r w:rsidR="005239C2">
        <w:rPr>
          <w:lang w:val="pl-PL"/>
        </w:rPr>
        <w:t xml:space="preserve">odwołanie </w:t>
      </w:r>
      <w:r w:rsidR="0053090E" w:rsidRPr="0053090E">
        <w:rPr>
          <w:i/>
          <w:lang w:val="pl-PL"/>
        </w:rPr>
        <w:t>amparo</w:t>
      </w:r>
      <w:r w:rsidR="0053090E">
        <w:rPr>
          <w:lang w:val="pl-PL"/>
        </w:rPr>
        <w:t xml:space="preserve">) </w:t>
      </w:r>
      <w:r>
        <w:rPr>
          <w:lang w:val="pl-PL"/>
        </w:rPr>
        <w:t xml:space="preserve">do Trybunału Konstytucyjnego, który oddalił </w:t>
      </w:r>
      <w:r w:rsidR="0053090E">
        <w:rPr>
          <w:lang w:val="pl-PL"/>
        </w:rPr>
        <w:t xml:space="preserve">je </w:t>
      </w:r>
      <w:r>
        <w:rPr>
          <w:lang w:val="pl-PL"/>
        </w:rPr>
        <w:t xml:space="preserve">na tej podstawie, że skarżący nie uzasadnił </w:t>
      </w:r>
      <w:r w:rsidR="0053090E">
        <w:rPr>
          <w:lang w:val="pl-PL"/>
        </w:rPr>
        <w:t xml:space="preserve">odpowiednio </w:t>
      </w:r>
      <w:r>
        <w:rPr>
          <w:lang w:val="pl-PL"/>
        </w:rPr>
        <w:t xml:space="preserve">konstytucyjnego znaczenia jego odwołania. </w:t>
      </w:r>
    </w:p>
    <w:p w14:paraId="1F4CE833" w14:textId="41266991" w:rsidR="00057FFA" w:rsidRPr="004E149F" w:rsidRDefault="00720BDC">
      <w:pPr>
        <w:pStyle w:val="ClinContent"/>
        <w:rPr>
          <w:lang w:val="pl-PL"/>
        </w:rPr>
      </w:pPr>
      <w:r w:rsidRPr="004E149F">
        <w:rPr>
          <w:i/>
          <w:lang w:val="pl-PL"/>
        </w:rPr>
        <w:t>Prawo</w:t>
      </w:r>
      <w:r w:rsidR="00E51CCD" w:rsidRPr="004E149F">
        <w:rPr>
          <w:lang w:val="pl-PL"/>
        </w:rPr>
        <w:t xml:space="preserve"> – Art</w:t>
      </w:r>
      <w:r w:rsidRPr="004E149F">
        <w:rPr>
          <w:lang w:val="pl-PL"/>
        </w:rPr>
        <w:t>.</w:t>
      </w:r>
      <w:r w:rsidR="00E51CCD" w:rsidRPr="004E149F">
        <w:rPr>
          <w:lang w:val="pl-PL"/>
        </w:rPr>
        <w:t xml:space="preserve"> 2 Proto</w:t>
      </w:r>
      <w:r w:rsidRPr="004E149F">
        <w:rPr>
          <w:lang w:val="pl-PL"/>
        </w:rPr>
        <w:t xml:space="preserve">kołu nr </w:t>
      </w:r>
      <w:r w:rsidR="00E51CCD" w:rsidRPr="004E149F">
        <w:rPr>
          <w:lang w:val="pl-PL"/>
        </w:rPr>
        <w:t>7</w:t>
      </w:r>
      <w:r w:rsidR="00F3724C">
        <w:rPr>
          <w:lang w:val="pl-PL"/>
        </w:rPr>
        <w:t xml:space="preserve"> [do Konwencji o ochronie praw człowieka i podstawowych wolności]</w:t>
      </w:r>
    </w:p>
    <w:p w14:paraId="6474B32F" w14:textId="686CF203" w:rsidR="00720BDC" w:rsidRPr="00720BDC" w:rsidRDefault="00720BDC">
      <w:pPr>
        <w:pStyle w:val="ClinContent"/>
        <w:rPr>
          <w:lang w:val="pl-PL"/>
        </w:rPr>
      </w:pPr>
      <w:r w:rsidRPr="00720BDC">
        <w:rPr>
          <w:lang w:val="pl-PL"/>
        </w:rPr>
        <w:t>1)</w:t>
      </w:r>
      <w:r w:rsidRPr="00720BDC">
        <w:rPr>
          <w:i/>
          <w:lang w:val="pl-PL"/>
        </w:rPr>
        <w:t xml:space="preserve"> Zastosowalność:</w:t>
      </w:r>
      <w:r w:rsidRPr="00720BDC">
        <w:rPr>
          <w:lang w:val="pl-PL"/>
        </w:rPr>
        <w:t xml:space="preserve"> </w:t>
      </w:r>
      <w:r w:rsidRPr="00EB4E1A">
        <w:rPr>
          <w:i/>
          <w:lang w:val="pl-PL"/>
        </w:rPr>
        <w:t xml:space="preserve">czy kara nałożona na skarżącego miała charakter </w:t>
      </w:r>
      <w:r w:rsidR="00C14E24">
        <w:rPr>
          <w:i/>
          <w:lang w:val="pl-PL"/>
        </w:rPr>
        <w:t>„</w:t>
      </w:r>
      <w:r w:rsidRPr="00EB4E1A">
        <w:rPr>
          <w:i/>
          <w:lang w:val="pl-PL"/>
        </w:rPr>
        <w:t>karny”?</w:t>
      </w:r>
      <w:r w:rsidRPr="00720BDC">
        <w:rPr>
          <w:lang w:val="pl-PL"/>
        </w:rPr>
        <w:t xml:space="preserve"> </w:t>
      </w:r>
      <w:r w:rsidR="00FF5308">
        <w:rPr>
          <w:lang w:val="pl-PL"/>
        </w:rPr>
        <w:t xml:space="preserve">– Trybunał odpowiedział </w:t>
      </w:r>
      <w:r w:rsidR="00EB4E1A">
        <w:rPr>
          <w:lang w:val="pl-PL"/>
        </w:rPr>
        <w:t xml:space="preserve">twierdząco </w:t>
      </w:r>
      <w:r w:rsidR="00FF5308">
        <w:rPr>
          <w:lang w:val="pl-PL"/>
        </w:rPr>
        <w:t xml:space="preserve">na to pytanie w oparciu o kryteria ze sprawy </w:t>
      </w:r>
      <w:r w:rsidR="00FF5308" w:rsidRPr="00FF5308">
        <w:rPr>
          <w:i/>
          <w:lang w:val="pl-PL"/>
        </w:rPr>
        <w:t>Engel</w:t>
      </w:r>
      <w:r w:rsidR="00FF5308">
        <w:rPr>
          <w:lang w:val="pl-PL"/>
        </w:rPr>
        <w:t>.</w:t>
      </w:r>
    </w:p>
    <w:p w14:paraId="6C0AF6ED" w14:textId="012BDE23" w:rsidR="00FF5308" w:rsidRPr="003D2D25" w:rsidRDefault="00FF5308">
      <w:pPr>
        <w:pStyle w:val="ClinContent"/>
        <w:rPr>
          <w:lang w:val="pl-PL"/>
        </w:rPr>
      </w:pPr>
      <w:r w:rsidRPr="00FF5308">
        <w:rPr>
          <w:i/>
          <w:lang w:val="pl-PL"/>
        </w:rPr>
        <w:t>K</w:t>
      </w:r>
      <w:r w:rsidR="003B4301">
        <w:rPr>
          <w:i/>
          <w:lang w:val="pl-PL"/>
        </w:rPr>
        <w:t>lasyfikacja</w:t>
      </w:r>
      <w:r w:rsidRPr="00FF5308">
        <w:rPr>
          <w:i/>
          <w:lang w:val="pl-PL"/>
        </w:rPr>
        <w:t xml:space="preserve"> w prawie krajowym (kryterium niedecydujące) </w:t>
      </w:r>
      <w:r>
        <w:rPr>
          <w:i/>
          <w:lang w:val="pl-PL"/>
        </w:rPr>
        <w:t xml:space="preserve">– </w:t>
      </w:r>
      <w:r w:rsidRPr="003D2D25">
        <w:rPr>
          <w:lang w:val="pl-PL"/>
        </w:rPr>
        <w:t>Niedopełnienie obowiązku złożenia deklaracji celnej przewidzianego w ustawie o zapobieganiu praniu pieniędzy i</w:t>
      </w:r>
      <w:r w:rsidR="00ED391E">
        <w:rPr>
          <w:lang w:val="pl-PL"/>
        </w:rPr>
        <w:t> </w:t>
      </w:r>
      <w:r w:rsidRPr="003D2D25">
        <w:rPr>
          <w:lang w:val="pl-PL"/>
        </w:rPr>
        <w:t xml:space="preserve">finansowaniu terroryzmu stanowiło przestępstwo „administracyjne”. </w:t>
      </w:r>
    </w:p>
    <w:p w14:paraId="7BAFCEAA" w14:textId="340F4D4F" w:rsidR="003D2D25" w:rsidRPr="008E09D8" w:rsidRDefault="003D2D25">
      <w:pPr>
        <w:pStyle w:val="ClinContent"/>
        <w:rPr>
          <w:lang w:val="pl-PL"/>
        </w:rPr>
      </w:pPr>
      <w:r w:rsidRPr="003D2D25">
        <w:rPr>
          <w:i/>
          <w:lang w:val="pl-PL"/>
        </w:rPr>
        <w:t>Charakter przestępstwa</w:t>
      </w:r>
      <w:r w:rsidRPr="003D2D25">
        <w:rPr>
          <w:lang w:val="pl-PL"/>
        </w:rPr>
        <w:t xml:space="preserve"> – </w:t>
      </w:r>
      <w:r w:rsidR="00D87E0F">
        <w:rPr>
          <w:lang w:val="pl-PL"/>
        </w:rPr>
        <w:t>Zakres właściwego</w:t>
      </w:r>
      <w:r w:rsidRPr="003D2D25">
        <w:rPr>
          <w:lang w:val="pl-PL"/>
        </w:rPr>
        <w:t xml:space="preserve"> przepis</w:t>
      </w:r>
      <w:r w:rsidR="00D87E0F">
        <w:rPr>
          <w:lang w:val="pl-PL"/>
        </w:rPr>
        <w:t>u</w:t>
      </w:r>
      <w:r w:rsidRPr="003D2D25">
        <w:rPr>
          <w:lang w:val="pl-PL"/>
        </w:rPr>
        <w:t xml:space="preserve"> prawa krajowego był ogólny, obejmując </w:t>
      </w:r>
      <w:r>
        <w:rPr>
          <w:lang w:val="pl-PL"/>
        </w:rPr>
        <w:t xml:space="preserve">osoby prawne i fizyczne przekraczające granicę i wykonujące określone działania związane z przemieszczaniem kapitału. Celem grzywny </w:t>
      </w:r>
      <w:r w:rsidR="00D87E0F">
        <w:rPr>
          <w:lang w:val="pl-PL"/>
        </w:rPr>
        <w:t xml:space="preserve">nie </w:t>
      </w:r>
      <w:r>
        <w:rPr>
          <w:lang w:val="pl-PL"/>
        </w:rPr>
        <w:t xml:space="preserve">była ochrona państwa przed utratą kapitału, ale odstraszanie </w:t>
      </w:r>
      <w:r w:rsidR="00A75076">
        <w:rPr>
          <w:lang w:val="pl-PL"/>
        </w:rPr>
        <w:t xml:space="preserve">i zapobieganie </w:t>
      </w:r>
      <w:r>
        <w:rPr>
          <w:lang w:val="pl-PL"/>
        </w:rPr>
        <w:t>przestępstw</w:t>
      </w:r>
      <w:r w:rsidR="00A75076">
        <w:rPr>
          <w:lang w:val="pl-PL"/>
        </w:rPr>
        <w:t>om</w:t>
      </w:r>
      <w:r>
        <w:rPr>
          <w:lang w:val="pl-PL"/>
        </w:rPr>
        <w:t xml:space="preserve">. </w:t>
      </w:r>
      <w:r w:rsidR="008E09D8">
        <w:rPr>
          <w:lang w:val="pl-PL"/>
        </w:rPr>
        <w:t xml:space="preserve">Względy te </w:t>
      </w:r>
      <w:r w:rsidR="00A75076">
        <w:rPr>
          <w:lang w:val="pl-PL"/>
        </w:rPr>
        <w:t xml:space="preserve">mogły </w:t>
      </w:r>
      <w:r w:rsidR="008E09D8">
        <w:rPr>
          <w:lang w:val="pl-PL"/>
        </w:rPr>
        <w:lastRenderedPageBreak/>
        <w:t>by</w:t>
      </w:r>
      <w:r w:rsidR="00A75076">
        <w:rPr>
          <w:lang w:val="pl-PL"/>
        </w:rPr>
        <w:t>ć</w:t>
      </w:r>
      <w:r w:rsidR="008E09D8">
        <w:rPr>
          <w:lang w:val="pl-PL"/>
        </w:rPr>
        <w:t xml:space="preserve"> same w sobie wystarczające. Niniejsza sprawa różniła się pod tym względem od</w:t>
      </w:r>
      <w:r w:rsidR="00ED391E">
        <w:rPr>
          <w:lang w:val="pl-PL"/>
        </w:rPr>
        <w:t> </w:t>
      </w:r>
      <w:r w:rsidR="008E09D8">
        <w:rPr>
          <w:lang w:val="pl-PL"/>
        </w:rPr>
        <w:t xml:space="preserve">poprzednich spraw, takich jak </w:t>
      </w:r>
      <w:r w:rsidR="00856E3C">
        <w:rPr>
          <w:lang w:val="pl-PL"/>
        </w:rPr>
        <w:t xml:space="preserve">sprawa </w:t>
      </w:r>
      <w:r w:rsidR="008E09D8" w:rsidRPr="008E09D8">
        <w:rPr>
          <w:i/>
          <w:lang w:val="pl-PL"/>
        </w:rPr>
        <w:t xml:space="preserve">Inocencio </w:t>
      </w:r>
      <w:r w:rsidR="008E09D8">
        <w:rPr>
          <w:i/>
          <w:lang w:val="pl-PL"/>
        </w:rPr>
        <w:t>p</w:t>
      </w:r>
      <w:r w:rsidR="008E09D8" w:rsidRPr="008E09D8">
        <w:rPr>
          <w:i/>
          <w:lang w:val="pl-PL"/>
        </w:rPr>
        <w:t>. Portugal</w:t>
      </w:r>
      <w:r w:rsidR="008E09D8">
        <w:rPr>
          <w:i/>
          <w:lang w:val="pl-PL"/>
        </w:rPr>
        <w:t>ii</w:t>
      </w:r>
      <w:r w:rsidR="008E09D8" w:rsidRPr="008E09D8">
        <w:rPr>
          <w:lang w:val="pl-PL"/>
        </w:rPr>
        <w:t xml:space="preserve"> (dec.) (nr 43862/98, 11</w:t>
      </w:r>
      <w:r w:rsidR="00ED391E">
        <w:rPr>
          <w:lang w:val="pl-PL"/>
        </w:rPr>
        <w:t> </w:t>
      </w:r>
      <w:r w:rsidR="008E09D8" w:rsidRPr="008E09D8">
        <w:rPr>
          <w:lang w:val="pl-PL"/>
        </w:rPr>
        <w:t xml:space="preserve">stycznia 2001 r., </w:t>
      </w:r>
      <w:hyperlink r:id="rId7" w:history="1">
        <w:r w:rsidR="008E09D8" w:rsidRPr="008E09D8">
          <w:rPr>
            <w:rStyle w:val="Hipercze"/>
            <w:lang w:val="pl-PL"/>
          </w:rPr>
          <w:t>Nota informacyjna nr 26</w:t>
        </w:r>
      </w:hyperlink>
      <w:r w:rsidR="00E207A6">
        <w:rPr>
          <w:lang w:val="pl-PL"/>
        </w:rPr>
        <w:t>)</w:t>
      </w:r>
      <w:r w:rsidR="008E09D8" w:rsidRPr="008E09D8">
        <w:rPr>
          <w:lang w:val="pl-PL"/>
        </w:rPr>
        <w:t xml:space="preserve"> dotycząca grzywny w wysokości zaledwie 2500 EUR za </w:t>
      </w:r>
      <w:r w:rsidR="003713B8">
        <w:rPr>
          <w:lang w:val="pl-PL"/>
        </w:rPr>
        <w:t>prac</w:t>
      </w:r>
      <w:r w:rsidR="00022DE6">
        <w:rPr>
          <w:lang w:val="pl-PL"/>
        </w:rPr>
        <w:t>ę</w:t>
      </w:r>
      <w:r w:rsidR="003713B8">
        <w:rPr>
          <w:lang w:val="pl-PL"/>
        </w:rPr>
        <w:t xml:space="preserve"> bez pozwolenia</w:t>
      </w:r>
      <w:r w:rsidR="008E09D8" w:rsidRPr="008E09D8">
        <w:rPr>
          <w:lang w:val="pl-PL"/>
        </w:rPr>
        <w:t xml:space="preserve">, </w:t>
      </w:r>
      <w:r w:rsidR="003713B8">
        <w:rPr>
          <w:lang w:val="pl-PL"/>
        </w:rPr>
        <w:t xml:space="preserve">oraz </w:t>
      </w:r>
      <w:r w:rsidR="00856E3C">
        <w:rPr>
          <w:lang w:val="pl-PL"/>
        </w:rPr>
        <w:t xml:space="preserve">sprawa </w:t>
      </w:r>
      <w:r w:rsidR="008E09D8" w:rsidRPr="008E09D8">
        <w:rPr>
          <w:i/>
          <w:lang w:val="pl-PL"/>
        </w:rPr>
        <w:t xml:space="preserve">Butler </w:t>
      </w:r>
      <w:r w:rsidR="003713B8">
        <w:rPr>
          <w:i/>
          <w:lang w:val="pl-PL"/>
        </w:rPr>
        <w:t>p</w:t>
      </w:r>
      <w:r w:rsidR="008E09D8" w:rsidRPr="008E09D8">
        <w:rPr>
          <w:i/>
          <w:lang w:val="pl-PL"/>
        </w:rPr>
        <w:t xml:space="preserve">. </w:t>
      </w:r>
      <w:r w:rsidR="003713B8">
        <w:rPr>
          <w:i/>
          <w:lang w:val="pl-PL"/>
        </w:rPr>
        <w:t xml:space="preserve">Zjednoczonemu Królestwu </w:t>
      </w:r>
      <w:r w:rsidR="008E09D8" w:rsidRPr="008E09D8">
        <w:rPr>
          <w:lang w:val="pl-PL"/>
        </w:rPr>
        <w:t>(</w:t>
      </w:r>
      <w:r w:rsidR="003713B8">
        <w:rPr>
          <w:lang w:val="pl-PL"/>
        </w:rPr>
        <w:t>nr</w:t>
      </w:r>
      <w:r w:rsidR="00ED391E">
        <w:rPr>
          <w:lang w:val="pl-PL"/>
        </w:rPr>
        <w:t> </w:t>
      </w:r>
      <w:r w:rsidR="008E09D8" w:rsidRPr="008E09D8">
        <w:rPr>
          <w:lang w:val="pl-PL"/>
        </w:rPr>
        <w:t xml:space="preserve">41661/98, 26 </w:t>
      </w:r>
      <w:r w:rsidR="003713B8">
        <w:rPr>
          <w:lang w:val="pl-PL"/>
        </w:rPr>
        <w:t xml:space="preserve">czerwca </w:t>
      </w:r>
      <w:r w:rsidR="008E09D8" w:rsidRPr="008E09D8">
        <w:rPr>
          <w:lang w:val="pl-PL"/>
        </w:rPr>
        <w:t>2002</w:t>
      </w:r>
      <w:r w:rsidR="003713B8">
        <w:rPr>
          <w:lang w:val="pl-PL"/>
        </w:rPr>
        <w:t xml:space="preserve"> r.</w:t>
      </w:r>
      <w:r w:rsidR="008E09D8" w:rsidRPr="008E09D8">
        <w:rPr>
          <w:lang w:val="pl-PL"/>
        </w:rPr>
        <w:t xml:space="preserve">, </w:t>
      </w:r>
      <w:hyperlink r:id="rId8" w:history="1">
        <w:r w:rsidR="003713B8">
          <w:rPr>
            <w:rStyle w:val="Hipercze"/>
            <w:lang w:val="pl-PL"/>
          </w:rPr>
          <w:t>Nota informacyjna nr</w:t>
        </w:r>
        <w:r w:rsidR="008E09D8" w:rsidRPr="008E09D8">
          <w:rPr>
            <w:rStyle w:val="Hipercze"/>
            <w:lang w:val="pl-PL"/>
          </w:rPr>
          <w:t xml:space="preserve"> 43</w:t>
        </w:r>
      </w:hyperlink>
      <w:r w:rsidR="003713B8">
        <w:rPr>
          <w:lang w:val="pl-PL"/>
        </w:rPr>
        <w:t xml:space="preserve">) dotycząca wyższej sankcji, w której jednak władze przeprowadziły badanie proporcjonalności i </w:t>
      </w:r>
      <w:r w:rsidR="00856E3C">
        <w:rPr>
          <w:lang w:val="pl-PL"/>
        </w:rPr>
        <w:t>posiadały wystarczająco mocne dowody</w:t>
      </w:r>
      <w:r w:rsidR="00E32240">
        <w:rPr>
          <w:lang w:val="pl-PL"/>
        </w:rPr>
        <w:t xml:space="preserve"> na to</w:t>
      </w:r>
      <w:r w:rsidR="00856E3C">
        <w:rPr>
          <w:lang w:val="pl-PL"/>
        </w:rPr>
        <w:t>, że skarżący, wcześniej karany, był zamieszany w</w:t>
      </w:r>
      <w:r w:rsidR="00ED391E">
        <w:rPr>
          <w:lang w:val="pl-PL"/>
        </w:rPr>
        <w:t> </w:t>
      </w:r>
      <w:r w:rsidR="00856E3C">
        <w:rPr>
          <w:lang w:val="pl-PL"/>
        </w:rPr>
        <w:t xml:space="preserve">przemyt. </w:t>
      </w:r>
    </w:p>
    <w:p w14:paraId="2298579B" w14:textId="3C66612F" w:rsidR="00E32240" w:rsidRPr="00C74742" w:rsidRDefault="00E32240">
      <w:pPr>
        <w:pStyle w:val="ClinContent"/>
        <w:rPr>
          <w:lang w:val="pl-PL"/>
        </w:rPr>
      </w:pPr>
      <w:r w:rsidRPr="00C74742">
        <w:rPr>
          <w:i/>
          <w:lang w:val="pl-PL"/>
        </w:rPr>
        <w:t>Surowość nałożonej kary</w:t>
      </w:r>
      <w:r w:rsidRPr="00C74742">
        <w:rPr>
          <w:lang w:val="pl-PL"/>
        </w:rPr>
        <w:t xml:space="preserve"> </w:t>
      </w:r>
      <w:r w:rsidR="00C74742" w:rsidRPr="00C74742">
        <w:rPr>
          <w:lang w:val="pl-PL"/>
        </w:rPr>
        <w:t xml:space="preserve">– Prawo krajowe określało przestępstwo popełnione przez skarżącego jako </w:t>
      </w:r>
      <w:r w:rsidR="00863C7A">
        <w:rPr>
          <w:lang w:val="pl-PL"/>
        </w:rPr>
        <w:t>„</w:t>
      </w:r>
      <w:r w:rsidR="00C74742" w:rsidRPr="00C74742">
        <w:rPr>
          <w:lang w:val="pl-PL"/>
        </w:rPr>
        <w:t xml:space="preserve">poważne” i przewidywało grzywnę w </w:t>
      </w:r>
      <w:r w:rsidR="00863C7A">
        <w:rPr>
          <w:lang w:val="pl-PL"/>
        </w:rPr>
        <w:t xml:space="preserve">wymiarze od </w:t>
      </w:r>
      <w:r w:rsidR="00C74742" w:rsidRPr="00C74742">
        <w:rPr>
          <w:lang w:val="pl-PL"/>
        </w:rPr>
        <w:t xml:space="preserve">600 EUR </w:t>
      </w:r>
      <w:r w:rsidR="00863C7A">
        <w:rPr>
          <w:lang w:val="pl-PL"/>
        </w:rPr>
        <w:t>do</w:t>
      </w:r>
      <w:r w:rsidR="00ED391E">
        <w:rPr>
          <w:lang w:val="pl-PL"/>
        </w:rPr>
        <w:t> </w:t>
      </w:r>
      <w:r w:rsidR="00C74742" w:rsidRPr="00C74742">
        <w:rPr>
          <w:lang w:val="pl-PL"/>
        </w:rPr>
        <w:t>dwu</w:t>
      </w:r>
      <w:r w:rsidR="00E80129">
        <w:rPr>
          <w:lang w:val="pl-PL"/>
        </w:rPr>
        <w:t>krotnoś</w:t>
      </w:r>
      <w:r w:rsidR="003B4301">
        <w:rPr>
          <w:lang w:val="pl-PL"/>
        </w:rPr>
        <w:t xml:space="preserve">ci </w:t>
      </w:r>
      <w:r w:rsidR="00E80129">
        <w:rPr>
          <w:lang w:val="pl-PL"/>
        </w:rPr>
        <w:t xml:space="preserve">kwoty będącej przedmiotem sprawy. </w:t>
      </w:r>
      <w:r w:rsidRPr="00C74742">
        <w:rPr>
          <w:lang w:val="pl-PL"/>
        </w:rPr>
        <w:t xml:space="preserve"> </w:t>
      </w:r>
    </w:p>
    <w:p w14:paraId="496594EC" w14:textId="64EDFE32" w:rsidR="00E80129" w:rsidRPr="00E80129" w:rsidRDefault="00E80129">
      <w:pPr>
        <w:pStyle w:val="ClinContent"/>
        <w:rPr>
          <w:lang w:val="pl-PL"/>
        </w:rPr>
      </w:pPr>
      <w:r w:rsidRPr="00E80129">
        <w:rPr>
          <w:lang w:val="pl-PL"/>
        </w:rPr>
        <w:t xml:space="preserve">2) </w:t>
      </w:r>
      <w:r w:rsidRPr="00E80129">
        <w:rPr>
          <w:i/>
          <w:lang w:val="pl-PL"/>
        </w:rPr>
        <w:t>Wyjątki od zagwarantowanego prawa</w:t>
      </w:r>
      <w:r w:rsidRPr="00E80129">
        <w:rPr>
          <w:lang w:val="pl-PL"/>
        </w:rPr>
        <w:t xml:space="preserve"> – Trybunał oddalił wszystkie zastrzeżenia podniesione przez </w:t>
      </w:r>
      <w:r w:rsidR="00F3724C">
        <w:rPr>
          <w:lang w:val="pl-PL"/>
        </w:rPr>
        <w:t>r</w:t>
      </w:r>
      <w:r w:rsidR="00F3724C" w:rsidRPr="00E80129">
        <w:rPr>
          <w:lang w:val="pl-PL"/>
        </w:rPr>
        <w:t xml:space="preserve">ząd </w:t>
      </w:r>
      <w:r w:rsidRPr="00E80129">
        <w:rPr>
          <w:lang w:val="pl-PL"/>
        </w:rPr>
        <w:t xml:space="preserve">na podstawie art. </w:t>
      </w:r>
      <w:r>
        <w:rPr>
          <w:lang w:val="pl-PL"/>
        </w:rPr>
        <w:t xml:space="preserve">2 ust. 2 Protokołu nr 7. </w:t>
      </w:r>
    </w:p>
    <w:p w14:paraId="590F03BD" w14:textId="77777777" w:rsidR="00E80129" w:rsidRPr="002A290D" w:rsidRDefault="00E80129">
      <w:pPr>
        <w:pStyle w:val="ClinContent"/>
        <w:rPr>
          <w:i/>
          <w:lang w:val="pl-PL"/>
        </w:rPr>
      </w:pPr>
      <w:r w:rsidRPr="006C2138">
        <w:rPr>
          <w:lang w:val="pl-PL"/>
        </w:rPr>
        <w:t xml:space="preserve">a) </w:t>
      </w:r>
      <w:r w:rsidRPr="002A290D">
        <w:rPr>
          <w:i/>
          <w:lang w:val="pl-PL"/>
        </w:rPr>
        <w:t xml:space="preserve">Wyjątek dotyczący </w:t>
      </w:r>
      <w:r w:rsidR="006C2138" w:rsidRPr="002A290D">
        <w:rPr>
          <w:i/>
          <w:lang w:val="pl-PL"/>
        </w:rPr>
        <w:t>„drobnych</w:t>
      </w:r>
      <w:r w:rsidRPr="002A290D">
        <w:rPr>
          <w:i/>
          <w:lang w:val="pl-PL"/>
        </w:rPr>
        <w:t xml:space="preserve">” przestępstw </w:t>
      </w:r>
    </w:p>
    <w:p w14:paraId="300F59FB" w14:textId="31C55551" w:rsidR="001B6212" w:rsidRPr="001B6212" w:rsidRDefault="001B6212">
      <w:pPr>
        <w:pStyle w:val="ClinContent"/>
        <w:rPr>
          <w:lang w:val="pl-PL"/>
        </w:rPr>
      </w:pPr>
      <w:r w:rsidRPr="001B6212">
        <w:rPr>
          <w:lang w:val="pl-PL"/>
        </w:rPr>
        <w:t xml:space="preserve">i) </w:t>
      </w:r>
      <w:r w:rsidRPr="001B6212">
        <w:rPr>
          <w:i/>
          <w:lang w:val="pl-PL"/>
        </w:rPr>
        <w:t xml:space="preserve">Zasady interpretacji – </w:t>
      </w:r>
      <w:r w:rsidRPr="001B6212">
        <w:rPr>
          <w:lang w:val="pl-PL"/>
        </w:rPr>
        <w:t>W świetle raportu wyjaśniającego do Protokołu nr 7</w:t>
      </w:r>
      <w:r w:rsidR="00E207A6">
        <w:rPr>
          <w:lang w:val="pl-PL"/>
        </w:rPr>
        <w:t>,</w:t>
      </w:r>
      <w:r w:rsidRPr="001B6212">
        <w:rPr>
          <w:lang w:val="pl-PL"/>
        </w:rPr>
        <w:t xml:space="preserve"> przy</w:t>
      </w:r>
      <w:r w:rsidR="00ED391E">
        <w:rPr>
          <w:lang w:val="pl-PL"/>
        </w:rPr>
        <w:t> </w:t>
      </w:r>
      <w:r w:rsidRPr="001B6212">
        <w:rPr>
          <w:lang w:val="pl-PL"/>
        </w:rPr>
        <w:t xml:space="preserve">decydowaniu, czy przestępstwo </w:t>
      </w:r>
      <w:r>
        <w:rPr>
          <w:lang w:val="pl-PL"/>
        </w:rPr>
        <w:t>jest drobne, istotnym kryterium jest to, czy</w:t>
      </w:r>
      <w:r w:rsidR="00ED391E">
        <w:rPr>
          <w:lang w:val="pl-PL"/>
        </w:rPr>
        <w:t> </w:t>
      </w:r>
      <w:r>
        <w:rPr>
          <w:lang w:val="pl-PL"/>
        </w:rPr>
        <w:t xml:space="preserve">przestępstwo podlega karze pozbawienia wolności, czy nie. W </w:t>
      </w:r>
      <w:r w:rsidR="000B298F">
        <w:rPr>
          <w:lang w:val="pl-PL"/>
        </w:rPr>
        <w:t>niniejszej sprawie</w:t>
      </w:r>
      <w:r w:rsidR="002A290D">
        <w:rPr>
          <w:lang w:val="pl-PL"/>
        </w:rPr>
        <w:t>,</w:t>
      </w:r>
      <w:r w:rsidR="000B298F">
        <w:rPr>
          <w:lang w:val="pl-PL"/>
        </w:rPr>
        <w:t xml:space="preserve"> w</w:t>
      </w:r>
      <w:r w:rsidR="00ED391E">
        <w:rPr>
          <w:lang w:val="pl-PL"/>
        </w:rPr>
        <w:t> </w:t>
      </w:r>
      <w:r w:rsidR="000B298F">
        <w:rPr>
          <w:lang w:val="pl-PL"/>
        </w:rPr>
        <w:t xml:space="preserve">razie gdyby skarżący nie zapłacił grzywny, nie mogła ona zostać zamieniona na karę pozbawienia wolności. Ten aspekt nie </w:t>
      </w:r>
      <w:r w:rsidR="00B45BF1">
        <w:rPr>
          <w:lang w:val="pl-PL"/>
        </w:rPr>
        <w:t>jest</w:t>
      </w:r>
      <w:r w:rsidR="000B298F">
        <w:rPr>
          <w:lang w:val="pl-PL"/>
        </w:rPr>
        <w:t xml:space="preserve"> jednak decydujący</w:t>
      </w:r>
      <w:r w:rsidR="00AC0061">
        <w:rPr>
          <w:lang w:val="pl-PL"/>
        </w:rPr>
        <w:t xml:space="preserve"> – </w:t>
      </w:r>
      <w:r w:rsidR="000B298F">
        <w:rPr>
          <w:lang w:val="pl-PL"/>
        </w:rPr>
        <w:t>należ</w:t>
      </w:r>
      <w:r w:rsidR="00B45BF1">
        <w:rPr>
          <w:lang w:val="pl-PL"/>
        </w:rPr>
        <w:t>y</w:t>
      </w:r>
      <w:r w:rsidR="000B298F">
        <w:rPr>
          <w:lang w:val="pl-PL"/>
        </w:rPr>
        <w:t xml:space="preserve"> uwzględnić inne kryteria.  </w:t>
      </w:r>
    </w:p>
    <w:p w14:paraId="57FBB05F" w14:textId="372DA0B5" w:rsidR="0082638E" w:rsidRPr="0082638E" w:rsidRDefault="0082638E">
      <w:pPr>
        <w:pStyle w:val="ClinContent"/>
        <w:rPr>
          <w:lang w:val="pl-PL"/>
        </w:rPr>
      </w:pPr>
      <w:r w:rsidRPr="0082638E">
        <w:rPr>
          <w:lang w:val="pl-PL"/>
        </w:rPr>
        <w:t>Jasne jest, ż</w:t>
      </w:r>
      <w:r w:rsidR="002A290D">
        <w:rPr>
          <w:lang w:val="pl-PL"/>
        </w:rPr>
        <w:t>e</w:t>
      </w:r>
      <w:r w:rsidRPr="0082638E">
        <w:rPr>
          <w:lang w:val="pl-PL"/>
        </w:rPr>
        <w:t xml:space="preserve"> ustawodawstwa </w:t>
      </w:r>
      <w:r w:rsidR="00AC0061" w:rsidRPr="0082638E">
        <w:rPr>
          <w:lang w:val="pl-PL"/>
        </w:rPr>
        <w:t xml:space="preserve">układających się państw </w:t>
      </w:r>
      <w:r w:rsidR="00FF1813" w:rsidRPr="0082638E">
        <w:rPr>
          <w:lang w:val="pl-PL"/>
        </w:rPr>
        <w:t xml:space="preserve">różnią </w:t>
      </w:r>
      <w:r w:rsidRPr="0082638E">
        <w:rPr>
          <w:lang w:val="pl-PL"/>
        </w:rPr>
        <w:t xml:space="preserve">się </w:t>
      </w:r>
      <w:r w:rsidR="00FF1813" w:rsidRPr="0082638E">
        <w:rPr>
          <w:lang w:val="pl-PL"/>
        </w:rPr>
        <w:t xml:space="preserve">znacznie </w:t>
      </w:r>
      <w:r w:rsidR="00FF1813">
        <w:rPr>
          <w:lang w:val="pl-PL"/>
        </w:rPr>
        <w:t xml:space="preserve">pod względem </w:t>
      </w:r>
      <w:r w:rsidRPr="0082638E">
        <w:rPr>
          <w:lang w:val="pl-PL"/>
        </w:rPr>
        <w:t xml:space="preserve">sankcji celnych za </w:t>
      </w:r>
      <w:r>
        <w:rPr>
          <w:lang w:val="pl-PL"/>
        </w:rPr>
        <w:t>nie</w:t>
      </w:r>
      <w:r w:rsidRPr="0082638E">
        <w:rPr>
          <w:lang w:val="pl-PL"/>
        </w:rPr>
        <w:t>zadeklarowa</w:t>
      </w:r>
      <w:r>
        <w:rPr>
          <w:lang w:val="pl-PL"/>
        </w:rPr>
        <w:t xml:space="preserve">nie kwoty pieniężnej. </w:t>
      </w:r>
      <w:r w:rsidR="00AC7E56">
        <w:rPr>
          <w:lang w:val="pl-PL"/>
        </w:rPr>
        <w:t>Mając na uwadze zasadę</w:t>
      </w:r>
      <w:r>
        <w:rPr>
          <w:lang w:val="pl-PL"/>
        </w:rPr>
        <w:t xml:space="preserve"> subsydiarności i margines oceny, </w:t>
      </w:r>
      <w:r w:rsidR="00E207A6">
        <w:rPr>
          <w:lang w:val="pl-PL"/>
        </w:rPr>
        <w:t>jaki</w:t>
      </w:r>
      <w:r>
        <w:rPr>
          <w:lang w:val="pl-PL"/>
        </w:rPr>
        <w:t xml:space="preserve"> powinien </w:t>
      </w:r>
      <w:r w:rsidR="00FF1813">
        <w:rPr>
          <w:lang w:val="pl-PL"/>
        </w:rPr>
        <w:t xml:space="preserve">przysługiwać </w:t>
      </w:r>
      <w:r>
        <w:rPr>
          <w:lang w:val="pl-PL"/>
        </w:rPr>
        <w:t>państw</w:t>
      </w:r>
      <w:r w:rsidR="00FF1813">
        <w:rPr>
          <w:lang w:val="pl-PL"/>
        </w:rPr>
        <w:t>om</w:t>
      </w:r>
      <w:r>
        <w:rPr>
          <w:lang w:val="pl-PL"/>
        </w:rPr>
        <w:t xml:space="preserve"> w tym obszarze, Trybunał</w:t>
      </w:r>
      <w:r w:rsidR="00AC7E56">
        <w:rPr>
          <w:lang w:val="pl-PL"/>
        </w:rPr>
        <w:t xml:space="preserve"> </w:t>
      </w:r>
      <w:r w:rsidR="00E207A6">
        <w:rPr>
          <w:lang w:val="pl-PL"/>
        </w:rPr>
        <w:t>uznał</w:t>
      </w:r>
      <w:r>
        <w:rPr>
          <w:lang w:val="pl-PL"/>
        </w:rPr>
        <w:t xml:space="preserve">, że </w:t>
      </w:r>
      <w:r w:rsidR="003E33DE">
        <w:rPr>
          <w:lang w:val="pl-PL"/>
        </w:rPr>
        <w:t>kwestia znaczenia i wagi, jaką należy nadać każdemu aspektowi</w:t>
      </w:r>
      <w:r w:rsidR="00FF1813">
        <w:rPr>
          <w:lang w:val="pl-PL"/>
        </w:rPr>
        <w:t>,</w:t>
      </w:r>
      <w:r w:rsidR="003E33DE">
        <w:rPr>
          <w:lang w:val="pl-PL"/>
        </w:rPr>
        <w:t xml:space="preserve"> powinna być oceniana zgodnie ze szczególnymi okolicznościami każdej spraw</w:t>
      </w:r>
      <w:r w:rsidR="00AC0061">
        <w:rPr>
          <w:lang w:val="pl-PL"/>
        </w:rPr>
        <w:t>y</w:t>
      </w:r>
      <w:r w:rsidR="003E33DE">
        <w:rPr>
          <w:lang w:val="pl-PL"/>
        </w:rPr>
        <w:t xml:space="preserve">. </w:t>
      </w:r>
    </w:p>
    <w:p w14:paraId="6DAA2392" w14:textId="546D0AC6" w:rsidR="003E33DE" w:rsidRPr="003E33DE" w:rsidRDefault="003E33DE">
      <w:pPr>
        <w:pStyle w:val="ClinContent"/>
        <w:rPr>
          <w:lang w:val="pl-PL"/>
        </w:rPr>
      </w:pPr>
      <w:r w:rsidRPr="003E33DE">
        <w:rPr>
          <w:lang w:val="pl-PL"/>
        </w:rPr>
        <w:t xml:space="preserve">Zaskarżony środek musi osiągnąć minimalny poziom surowości, </w:t>
      </w:r>
      <w:r w:rsidR="00AE29A0">
        <w:rPr>
          <w:lang w:val="pl-PL"/>
        </w:rPr>
        <w:t>lecz do władz krajowych należy zbadanie jego proporcjonalności, a także powa</w:t>
      </w:r>
      <w:r w:rsidR="00E207A6">
        <w:rPr>
          <w:lang w:val="pl-PL"/>
        </w:rPr>
        <w:t>gi</w:t>
      </w:r>
      <w:r w:rsidR="00AE29A0">
        <w:rPr>
          <w:lang w:val="pl-PL"/>
        </w:rPr>
        <w:t xml:space="preserve"> skutków w zależności od sytuacji </w:t>
      </w:r>
      <w:r w:rsidR="00E207A6">
        <w:rPr>
          <w:lang w:val="pl-PL"/>
        </w:rPr>
        <w:t xml:space="preserve">osobistej </w:t>
      </w:r>
      <w:r w:rsidR="00AE29A0">
        <w:rPr>
          <w:lang w:val="pl-PL"/>
        </w:rPr>
        <w:t>skarżącego. Istnienie kary pozbawienia wolności jest istotnym czynnikiem do</w:t>
      </w:r>
      <w:r w:rsidR="00ED391E">
        <w:rPr>
          <w:lang w:val="pl-PL"/>
        </w:rPr>
        <w:t> </w:t>
      </w:r>
      <w:r w:rsidR="00AE29A0">
        <w:rPr>
          <w:lang w:val="pl-PL"/>
        </w:rPr>
        <w:t xml:space="preserve">uwzględnienia przez Trybunał przy rozstrzyganiu, czy dane przestępstwo jest drobne, choć nie jest to decydujące. </w:t>
      </w:r>
    </w:p>
    <w:p w14:paraId="332389EE" w14:textId="77777777" w:rsidR="0086282A" w:rsidRPr="0086282A" w:rsidRDefault="0086282A">
      <w:pPr>
        <w:pStyle w:val="ClinContent"/>
        <w:rPr>
          <w:lang w:val="pl-PL"/>
        </w:rPr>
      </w:pPr>
      <w:r w:rsidRPr="0086282A">
        <w:rPr>
          <w:lang w:val="pl-PL"/>
        </w:rPr>
        <w:t xml:space="preserve">Taka wykładnia jest zgodna z ogólnymi zasadami </w:t>
      </w:r>
      <w:r>
        <w:rPr>
          <w:lang w:val="pl-PL"/>
        </w:rPr>
        <w:t xml:space="preserve">interpretacji traktatów przewidzianymi w Konwencji wiedeńskiej o prawie traktatów. </w:t>
      </w:r>
    </w:p>
    <w:p w14:paraId="756F4CE5" w14:textId="77777777" w:rsidR="0086282A" w:rsidRPr="00DE0D6D" w:rsidRDefault="0086282A">
      <w:pPr>
        <w:pStyle w:val="ClinContent"/>
        <w:rPr>
          <w:lang w:val="pl-PL"/>
        </w:rPr>
      </w:pPr>
      <w:r w:rsidRPr="00DE0D6D">
        <w:rPr>
          <w:lang w:val="pl-PL"/>
        </w:rPr>
        <w:t xml:space="preserve">ii) </w:t>
      </w:r>
      <w:r w:rsidRPr="00DE0D6D">
        <w:rPr>
          <w:i/>
          <w:lang w:val="pl-PL"/>
        </w:rPr>
        <w:t>Ocena niniejszej sprawy</w:t>
      </w:r>
    </w:p>
    <w:p w14:paraId="49E5DA70" w14:textId="3FF9725C" w:rsidR="0086282A" w:rsidRPr="0086282A" w:rsidRDefault="0086282A">
      <w:pPr>
        <w:pStyle w:val="ClinContent"/>
        <w:rPr>
          <w:lang w:val="pl-PL"/>
        </w:rPr>
      </w:pPr>
      <w:r w:rsidRPr="0086282A">
        <w:rPr>
          <w:i/>
          <w:lang w:val="pl-PL"/>
        </w:rPr>
        <w:t>Surowość</w:t>
      </w:r>
      <w:r w:rsidR="00AC7E56">
        <w:rPr>
          <w:i/>
          <w:lang w:val="pl-PL"/>
        </w:rPr>
        <w:t xml:space="preserve"> środka</w:t>
      </w:r>
      <w:r w:rsidRPr="0086282A">
        <w:rPr>
          <w:i/>
          <w:lang w:val="pl-PL"/>
        </w:rPr>
        <w:t xml:space="preserve"> – </w:t>
      </w:r>
      <w:r w:rsidRPr="0086282A">
        <w:rPr>
          <w:lang w:val="pl-PL"/>
        </w:rPr>
        <w:t xml:space="preserve">Skarżący został ukarany grzywną </w:t>
      </w:r>
      <w:r w:rsidR="00DE0D6D">
        <w:rPr>
          <w:lang w:val="pl-PL"/>
        </w:rPr>
        <w:t xml:space="preserve">w wysokości </w:t>
      </w:r>
      <w:r w:rsidRPr="0086282A">
        <w:rPr>
          <w:lang w:val="pl-PL"/>
        </w:rPr>
        <w:t>153 800 EUR</w:t>
      </w:r>
      <w:r w:rsidR="00FB45C6">
        <w:rPr>
          <w:lang w:val="pl-PL"/>
        </w:rPr>
        <w:t xml:space="preserve">, która mogła być nawet wyższa – </w:t>
      </w:r>
      <w:r w:rsidR="0065190B">
        <w:rPr>
          <w:lang w:val="pl-PL"/>
        </w:rPr>
        <w:t xml:space="preserve">maksymalnie </w:t>
      </w:r>
      <w:r w:rsidR="00FB45C6">
        <w:rPr>
          <w:lang w:val="pl-PL"/>
        </w:rPr>
        <w:t xml:space="preserve">do dwukrotności tej kwoty. </w:t>
      </w:r>
      <w:r w:rsidR="0065190B">
        <w:rPr>
          <w:lang w:val="pl-PL"/>
        </w:rPr>
        <w:t xml:space="preserve">Kwota grzywny stanowiła równowartość wszystkich osobistych oszczędności skarżącego, wcześniej </w:t>
      </w:r>
      <w:r w:rsidR="00BB0B03">
        <w:rPr>
          <w:lang w:val="pl-PL"/>
        </w:rPr>
        <w:t xml:space="preserve">niekaranego, które zdołał zgromadzić podczas regularnych wizyt w Hiszpanii. </w:t>
      </w:r>
    </w:p>
    <w:p w14:paraId="11F9CE3C" w14:textId="0C955CFF" w:rsidR="00BB0B03" w:rsidRPr="00BB0B03" w:rsidRDefault="00BB0B03">
      <w:pPr>
        <w:pStyle w:val="ClinContent"/>
        <w:rPr>
          <w:lang w:val="pl-PL"/>
        </w:rPr>
      </w:pPr>
      <w:r w:rsidRPr="00BB0B03">
        <w:rPr>
          <w:lang w:val="pl-PL"/>
        </w:rPr>
        <w:t xml:space="preserve">Ponieważ nie udowodniono, że przedmiotowe </w:t>
      </w:r>
      <w:r w:rsidR="00C47E11">
        <w:rPr>
          <w:lang w:val="pl-PL"/>
        </w:rPr>
        <w:t>środki pieniężne</w:t>
      </w:r>
      <w:r w:rsidR="00C47E11" w:rsidRPr="00BB0B03">
        <w:rPr>
          <w:lang w:val="pl-PL"/>
        </w:rPr>
        <w:t xml:space="preserve"> </w:t>
      </w:r>
      <w:r w:rsidRPr="00BB0B03">
        <w:rPr>
          <w:lang w:val="pl-PL"/>
        </w:rPr>
        <w:t xml:space="preserve">pochodziły z praktyk </w:t>
      </w:r>
      <w:r w:rsidR="001D3394">
        <w:rPr>
          <w:lang w:val="pl-PL"/>
        </w:rPr>
        <w:t>zw</w:t>
      </w:r>
      <w:r w:rsidRPr="00BB0B03">
        <w:rPr>
          <w:lang w:val="pl-PL"/>
        </w:rPr>
        <w:t xml:space="preserve">iązanych z praniem pieniędzy, surowość kary </w:t>
      </w:r>
      <w:r>
        <w:rPr>
          <w:lang w:val="pl-PL"/>
        </w:rPr>
        <w:t>powinna</w:t>
      </w:r>
      <w:r w:rsidR="00AC7E56">
        <w:rPr>
          <w:lang w:val="pl-PL"/>
        </w:rPr>
        <w:t xml:space="preserve"> była</w:t>
      </w:r>
      <w:r>
        <w:rPr>
          <w:lang w:val="pl-PL"/>
        </w:rPr>
        <w:t xml:space="preserve"> odpowiadać powadze </w:t>
      </w:r>
      <w:r w:rsidR="00B44FA7">
        <w:rPr>
          <w:lang w:val="pl-PL"/>
        </w:rPr>
        <w:t xml:space="preserve">jedynego </w:t>
      </w:r>
      <w:r w:rsidR="001D3394">
        <w:rPr>
          <w:lang w:val="pl-PL"/>
        </w:rPr>
        <w:t xml:space="preserve">odnotowanego </w:t>
      </w:r>
      <w:r w:rsidR="00B44FA7">
        <w:rPr>
          <w:lang w:val="pl-PL"/>
        </w:rPr>
        <w:t>naruszenia, czy</w:t>
      </w:r>
      <w:r w:rsidR="0079607A">
        <w:rPr>
          <w:lang w:val="pl-PL"/>
        </w:rPr>
        <w:t xml:space="preserve">li </w:t>
      </w:r>
      <w:r w:rsidR="00B45BF1">
        <w:rPr>
          <w:lang w:val="pl-PL"/>
        </w:rPr>
        <w:t>nie</w:t>
      </w:r>
      <w:r w:rsidR="0079607A">
        <w:rPr>
          <w:lang w:val="pl-PL"/>
        </w:rPr>
        <w:t>zadeklarowania przewożonej</w:t>
      </w:r>
      <w:r w:rsidR="00B44FA7">
        <w:rPr>
          <w:lang w:val="pl-PL"/>
        </w:rPr>
        <w:t xml:space="preserve"> kwoty</w:t>
      </w:r>
      <w:r w:rsidR="001D3394">
        <w:rPr>
          <w:lang w:val="pl-PL"/>
        </w:rPr>
        <w:t xml:space="preserve"> pieniężnej</w:t>
      </w:r>
      <w:r w:rsidR="00B44FA7">
        <w:rPr>
          <w:lang w:val="pl-PL"/>
        </w:rPr>
        <w:t xml:space="preserve">, a nie powadze możliwego naruszenia, którego </w:t>
      </w:r>
      <w:r w:rsidR="001D3394">
        <w:rPr>
          <w:lang w:val="pl-PL"/>
        </w:rPr>
        <w:t xml:space="preserve">na tym etapie </w:t>
      </w:r>
      <w:r w:rsidR="00B44FA7">
        <w:rPr>
          <w:lang w:val="pl-PL"/>
        </w:rPr>
        <w:t xml:space="preserve">nie odnotowano, </w:t>
      </w:r>
      <w:r w:rsidR="001D3394">
        <w:rPr>
          <w:lang w:val="pl-PL"/>
        </w:rPr>
        <w:t xml:space="preserve">czyli </w:t>
      </w:r>
      <w:r w:rsidR="00683BB1">
        <w:rPr>
          <w:lang w:val="pl-PL"/>
        </w:rPr>
        <w:t xml:space="preserve">popełnienia </w:t>
      </w:r>
      <w:r w:rsidR="001D3394">
        <w:rPr>
          <w:lang w:val="pl-PL"/>
        </w:rPr>
        <w:t>przestępstwa takiego jak pranie pieniędzy lub uchylanie się od</w:t>
      </w:r>
      <w:r w:rsidR="00ED391E">
        <w:rPr>
          <w:lang w:val="pl-PL"/>
        </w:rPr>
        <w:t> </w:t>
      </w:r>
      <w:r w:rsidR="006562FA">
        <w:rPr>
          <w:lang w:val="pl-PL"/>
        </w:rPr>
        <w:t>opodatkowania</w:t>
      </w:r>
      <w:r w:rsidR="001D3394">
        <w:rPr>
          <w:lang w:val="pl-PL"/>
        </w:rPr>
        <w:t xml:space="preserve">. </w:t>
      </w:r>
      <w:r w:rsidR="00B44FA7">
        <w:rPr>
          <w:lang w:val="pl-PL"/>
        </w:rPr>
        <w:t xml:space="preserve"> </w:t>
      </w:r>
    </w:p>
    <w:p w14:paraId="37699B94" w14:textId="6954B917" w:rsidR="007A6122" w:rsidRPr="007A6122" w:rsidRDefault="007A6122">
      <w:pPr>
        <w:pStyle w:val="ClinContent"/>
        <w:rPr>
          <w:lang w:val="pl-PL"/>
        </w:rPr>
      </w:pPr>
      <w:r w:rsidRPr="007A6122">
        <w:rPr>
          <w:lang w:val="pl-PL"/>
        </w:rPr>
        <w:t>Odnośnie do postępowania skarżącego należy zauważyć, że dopełnił on obowi</w:t>
      </w:r>
      <w:r>
        <w:rPr>
          <w:lang w:val="pl-PL"/>
        </w:rPr>
        <w:t xml:space="preserve">ązku zadeklarowania </w:t>
      </w:r>
      <w:r w:rsidR="006562FA">
        <w:rPr>
          <w:lang w:val="pl-PL"/>
        </w:rPr>
        <w:t xml:space="preserve">środków pieniężnych </w:t>
      </w:r>
      <w:r>
        <w:rPr>
          <w:lang w:val="pl-PL"/>
        </w:rPr>
        <w:t xml:space="preserve">przy każdym wjeździe na terytorium Hiszpanii. </w:t>
      </w:r>
    </w:p>
    <w:p w14:paraId="6982570D" w14:textId="38A74B3C" w:rsidR="00C675A4" w:rsidRPr="00C675A4" w:rsidRDefault="00C675A4">
      <w:pPr>
        <w:pStyle w:val="ClinContent"/>
        <w:rPr>
          <w:lang w:val="pl-PL"/>
        </w:rPr>
      </w:pPr>
      <w:r w:rsidRPr="00C675A4">
        <w:rPr>
          <w:i/>
          <w:lang w:val="pl-PL"/>
        </w:rPr>
        <w:lastRenderedPageBreak/>
        <w:t xml:space="preserve">Gwarancje proceduralne – </w:t>
      </w:r>
      <w:r w:rsidRPr="00C675A4">
        <w:rPr>
          <w:lang w:val="pl-PL"/>
        </w:rPr>
        <w:t xml:space="preserve">Wyrok madryckiego Wyższego </w:t>
      </w:r>
      <w:r w:rsidR="00D242EF">
        <w:rPr>
          <w:lang w:val="pl-PL"/>
        </w:rPr>
        <w:t>Trybunału</w:t>
      </w:r>
      <w:r w:rsidRPr="00C675A4">
        <w:rPr>
          <w:lang w:val="pl-PL"/>
        </w:rPr>
        <w:t xml:space="preserve"> Sprawiedliwości </w:t>
      </w:r>
      <w:r w:rsidR="004C1B1D">
        <w:rPr>
          <w:lang w:val="pl-PL"/>
        </w:rPr>
        <w:t>nie</w:t>
      </w:r>
      <w:r w:rsidR="00ED391E">
        <w:rPr>
          <w:lang w:val="pl-PL"/>
        </w:rPr>
        <w:t> </w:t>
      </w:r>
      <w:r w:rsidR="004C1B1D">
        <w:rPr>
          <w:lang w:val="pl-PL"/>
        </w:rPr>
        <w:t>zawierał analizy proporcjonalności zaskarżonego środka, pomimo że wymóg takiej analizy wynika</w:t>
      </w:r>
      <w:r w:rsidR="0079607A">
        <w:rPr>
          <w:lang w:val="pl-PL"/>
        </w:rPr>
        <w:t>ł</w:t>
      </w:r>
      <w:r w:rsidR="004C1B1D">
        <w:rPr>
          <w:lang w:val="pl-PL"/>
        </w:rPr>
        <w:t xml:space="preserve"> z przedmiotowej ustawy. </w:t>
      </w:r>
      <w:r w:rsidR="003661D3">
        <w:rPr>
          <w:lang w:val="pl-PL"/>
        </w:rPr>
        <w:t xml:space="preserve">W istocie wyrok nie wspominał ani osobistych okoliczności skarżącego, ani dokumentów i innych dowodów, które </w:t>
      </w:r>
      <w:r w:rsidR="00826608">
        <w:rPr>
          <w:lang w:val="pl-PL"/>
        </w:rPr>
        <w:t xml:space="preserve">ten </w:t>
      </w:r>
      <w:r w:rsidR="003661D3">
        <w:rPr>
          <w:lang w:val="pl-PL"/>
        </w:rPr>
        <w:t xml:space="preserve">przedstawił. Wymóg ten Trybunał miał już okazję przypomnieć przy ocenie </w:t>
      </w:r>
      <w:r w:rsidR="00B57D40">
        <w:rPr>
          <w:lang w:val="pl-PL"/>
        </w:rPr>
        <w:t xml:space="preserve">sankcji </w:t>
      </w:r>
      <w:r w:rsidR="003661D3">
        <w:rPr>
          <w:lang w:val="pl-PL"/>
        </w:rPr>
        <w:t xml:space="preserve">celnych z punktu widzenia art. 1 Protokołu nr 1. </w:t>
      </w:r>
      <w:r w:rsidR="001B61B5">
        <w:rPr>
          <w:lang w:val="pl-PL"/>
        </w:rPr>
        <w:t>Ponadto zgodnie z tą ustawą prawny wywóz kapitału co</w:t>
      </w:r>
      <w:r w:rsidR="00ED391E">
        <w:rPr>
          <w:lang w:val="pl-PL"/>
        </w:rPr>
        <w:t> </w:t>
      </w:r>
      <w:r w:rsidR="001B61B5">
        <w:rPr>
          <w:lang w:val="pl-PL"/>
        </w:rPr>
        <w:t>do</w:t>
      </w:r>
      <w:r w:rsidR="00ED391E">
        <w:rPr>
          <w:lang w:val="pl-PL"/>
        </w:rPr>
        <w:t> </w:t>
      </w:r>
      <w:r w:rsidR="001B61B5">
        <w:rPr>
          <w:lang w:val="pl-PL"/>
        </w:rPr>
        <w:t>zasady podlegał jedynie wymogowi deklaracji</w:t>
      </w:r>
      <w:r w:rsidR="00D957B7">
        <w:rPr>
          <w:lang w:val="pl-PL"/>
        </w:rPr>
        <w:t xml:space="preserve"> na potrzeby</w:t>
      </w:r>
      <w:r w:rsidR="001B61B5">
        <w:rPr>
          <w:lang w:val="pl-PL"/>
        </w:rPr>
        <w:t xml:space="preserve"> właściwych weryfikacji mających zapobiegać praniu pien</w:t>
      </w:r>
      <w:r w:rsidR="00D957B7">
        <w:rPr>
          <w:lang w:val="pl-PL"/>
        </w:rPr>
        <w:t>iędzy i finansowaniu terroryzmu,</w:t>
      </w:r>
      <w:r w:rsidR="001B61B5">
        <w:rPr>
          <w:lang w:val="pl-PL"/>
        </w:rPr>
        <w:t xml:space="preserve"> </w:t>
      </w:r>
      <w:r w:rsidR="00D957B7">
        <w:rPr>
          <w:lang w:val="pl-PL"/>
        </w:rPr>
        <w:t>czyli nie było wymagane uprzednie zezwolenie władz</w:t>
      </w:r>
      <w:r w:rsidR="00AC7E56">
        <w:rPr>
          <w:lang w:val="pl-PL"/>
        </w:rPr>
        <w:t xml:space="preserve"> na wywóz</w:t>
      </w:r>
      <w:r w:rsidR="00D957B7">
        <w:rPr>
          <w:lang w:val="pl-PL"/>
        </w:rPr>
        <w:t>.</w:t>
      </w:r>
    </w:p>
    <w:p w14:paraId="48528934" w14:textId="123FD235" w:rsidR="00E85F9A" w:rsidRPr="00E85F9A" w:rsidRDefault="00E85F9A">
      <w:pPr>
        <w:pStyle w:val="ClinContent"/>
        <w:rPr>
          <w:lang w:val="pl-PL"/>
        </w:rPr>
      </w:pPr>
      <w:r w:rsidRPr="00E85F9A">
        <w:rPr>
          <w:lang w:val="pl-PL"/>
        </w:rPr>
        <w:t xml:space="preserve">Zastrzeżenie </w:t>
      </w:r>
      <w:r w:rsidR="00EA4D2E">
        <w:rPr>
          <w:lang w:val="pl-PL"/>
        </w:rPr>
        <w:t>dotyczące „</w:t>
      </w:r>
      <w:r w:rsidRPr="00E85F9A">
        <w:rPr>
          <w:lang w:val="pl-PL"/>
        </w:rPr>
        <w:t xml:space="preserve">drobnych” przestępstw nie miało zatem zastosowania w niniejszej sprawie. </w:t>
      </w:r>
    </w:p>
    <w:p w14:paraId="216676EB" w14:textId="2027DA60" w:rsidR="00E85F9A" w:rsidRPr="00E85F9A" w:rsidRDefault="00E85F9A">
      <w:pPr>
        <w:pStyle w:val="ClinContent"/>
        <w:rPr>
          <w:lang w:val="pl-PL"/>
        </w:rPr>
      </w:pPr>
      <w:r w:rsidRPr="00E85F9A">
        <w:rPr>
          <w:lang w:val="pl-PL"/>
        </w:rPr>
        <w:t xml:space="preserve">b) </w:t>
      </w:r>
      <w:r w:rsidRPr="00E85F9A">
        <w:rPr>
          <w:i/>
          <w:lang w:val="pl-PL"/>
        </w:rPr>
        <w:t xml:space="preserve">Wyjątek dotyczący sporów wniesionych bezpośrednio przed </w:t>
      </w:r>
      <w:r w:rsidR="00EA4D2E">
        <w:rPr>
          <w:i/>
          <w:lang w:val="pl-PL"/>
        </w:rPr>
        <w:t>„</w:t>
      </w:r>
      <w:r w:rsidRPr="00E85F9A">
        <w:rPr>
          <w:i/>
          <w:lang w:val="pl-PL"/>
        </w:rPr>
        <w:t>sądy</w:t>
      </w:r>
      <w:r w:rsidR="00826608" w:rsidRPr="00826608">
        <w:rPr>
          <w:i/>
          <w:lang w:val="pl-PL"/>
        </w:rPr>
        <w:t xml:space="preserve"> </w:t>
      </w:r>
      <w:r w:rsidR="00826608" w:rsidRPr="00E85F9A">
        <w:rPr>
          <w:i/>
          <w:lang w:val="pl-PL"/>
        </w:rPr>
        <w:t>najwyższe</w:t>
      </w:r>
      <w:r w:rsidRPr="00E85F9A">
        <w:rPr>
          <w:i/>
          <w:lang w:val="pl-PL"/>
        </w:rPr>
        <w:t xml:space="preserve">” </w:t>
      </w:r>
      <w:r w:rsidR="00251FE7">
        <w:rPr>
          <w:i/>
          <w:lang w:val="pl-PL"/>
        </w:rPr>
        <w:t>–</w:t>
      </w:r>
      <w:r w:rsidRPr="00E85F9A">
        <w:rPr>
          <w:lang w:val="pl-PL"/>
        </w:rPr>
        <w:t xml:space="preserve"> </w:t>
      </w:r>
      <w:r w:rsidR="00251FE7">
        <w:rPr>
          <w:lang w:val="pl-PL"/>
        </w:rPr>
        <w:t>W</w:t>
      </w:r>
      <w:r w:rsidR="00ED391E">
        <w:rPr>
          <w:lang w:val="pl-PL"/>
        </w:rPr>
        <w:t> </w:t>
      </w:r>
      <w:r w:rsidR="00251FE7">
        <w:rPr>
          <w:lang w:val="pl-PL"/>
        </w:rPr>
        <w:t>obszar</w:t>
      </w:r>
      <w:r w:rsidR="007501B2">
        <w:rPr>
          <w:lang w:val="pl-PL"/>
        </w:rPr>
        <w:t>z</w:t>
      </w:r>
      <w:r w:rsidR="00251FE7">
        <w:rPr>
          <w:lang w:val="pl-PL"/>
        </w:rPr>
        <w:t xml:space="preserve">e sądownictwa administracyjnego Sąd Najwyższy stanowi część hierarchii sądów powszechnych, </w:t>
      </w:r>
      <w:r w:rsidR="00550F57">
        <w:rPr>
          <w:lang w:val="pl-PL"/>
        </w:rPr>
        <w:t>do którego</w:t>
      </w:r>
      <w:r w:rsidR="00251FE7">
        <w:rPr>
          <w:lang w:val="pl-PL"/>
        </w:rPr>
        <w:t xml:space="preserve"> </w:t>
      </w:r>
      <w:r w:rsidR="00D957B7">
        <w:rPr>
          <w:lang w:val="pl-PL"/>
        </w:rPr>
        <w:t>kasacje</w:t>
      </w:r>
      <w:r w:rsidR="00251FE7">
        <w:rPr>
          <w:lang w:val="pl-PL"/>
        </w:rPr>
        <w:t xml:space="preserve"> mogą być składane </w:t>
      </w:r>
      <w:r w:rsidR="00550F57">
        <w:rPr>
          <w:lang w:val="pl-PL"/>
        </w:rPr>
        <w:t>bezpośrednio od Wy</w:t>
      </w:r>
      <w:r w:rsidR="007501B2">
        <w:rPr>
          <w:lang w:val="pl-PL"/>
        </w:rPr>
        <w:t>żs</w:t>
      </w:r>
      <w:r w:rsidR="00550F57">
        <w:rPr>
          <w:lang w:val="pl-PL"/>
        </w:rPr>
        <w:t>zego</w:t>
      </w:r>
      <w:r w:rsidR="007501B2">
        <w:rPr>
          <w:lang w:val="pl-PL"/>
        </w:rPr>
        <w:t xml:space="preserve"> </w:t>
      </w:r>
      <w:r w:rsidR="00483612">
        <w:rPr>
          <w:lang w:val="pl-PL"/>
        </w:rPr>
        <w:t>Trybunału</w:t>
      </w:r>
      <w:r w:rsidR="007501B2">
        <w:rPr>
          <w:lang w:val="pl-PL"/>
        </w:rPr>
        <w:t xml:space="preserve"> Sprawiedliwości, jeśli dane roszczenie spełnia wymagany próg (określony przez prawo na </w:t>
      </w:r>
      <w:r w:rsidR="00BC6A58">
        <w:rPr>
          <w:lang w:val="pl-PL"/>
        </w:rPr>
        <w:t xml:space="preserve">poziomie </w:t>
      </w:r>
      <w:r w:rsidR="007501B2">
        <w:rPr>
          <w:lang w:val="pl-PL"/>
        </w:rPr>
        <w:t xml:space="preserve">600 000 EUR). </w:t>
      </w:r>
      <w:r w:rsidR="00550F57">
        <w:rPr>
          <w:lang w:val="pl-PL"/>
        </w:rPr>
        <w:t>Nie było zatem podstaw, by uznać Wyższ</w:t>
      </w:r>
      <w:r w:rsidR="00EA4D2E">
        <w:rPr>
          <w:lang w:val="pl-PL"/>
        </w:rPr>
        <w:t>y</w:t>
      </w:r>
      <w:r w:rsidR="00550F57">
        <w:rPr>
          <w:lang w:val="pl-PL"/>
        </w:rPr>
        <w:t xml:space="preserve"> </w:t>
      </w:r>
      <w:r w:rsidR="00483612">
        <w:rPr>
          <w:lang w:val="pl-PL"/>
        </w:rPr>
        <w:t>Trybunał</w:t>
      </w:r>
      <w:r w:rsidR="00550F57">
        <w:rPr>
          <w:lang w:val="pl-PL"/>
        </w:rPr>
        <w:t xml:space="preserve"> Sprawiedliwości za </w:t>
      </w:r>
      <w:r w:rsidR="00BC6A58">
        <w:rPr>
          <w:lang w:val="pl-PL"/>
        </w:rPr>
        <w:t>sąd</w:t>
      </w:r>
      <w:r w:rsidR="00826608" w:rsidRPr="00826608">
        <w:rPr>
          <w:lang w:val="pl-PL"/>
        </w:rPr>
        <w:t xml:space="preserve"> </w:t>
      </w:r>
      <w:r w:rsidR="00826608">
        <w:rPr>
          <w:lang w:val="pl-PL"/>
        </w:rPr>
        <w:t>najwyższy</w:t>
      </w:r>
      <w:r w:rsidR="00550F57">
        <w:rPr>
          <w:lang w:val="pl-PL"/>
        </w:rPr>
        <w:t xml:space="preserve">. </w:t>
      </w:r>
    </w:p>
    <w:p w14:paraId="72ECE5D7" w14:textId="4D34968D" w:rsidR="00110C94" w:rsidRPr="00110C94" w:rsidRDefault="00110C94">
      <w:pPr>
        <w:pStyle w:val="ClinContent"/>
        <w:rPr>
          <w:lang w:val="pl-PL"/>
        </w:rPr>
      </w:pPr>
      <w:r w:rsidRPr="00D07887">
        <w:rPr>
          <w:lang w:val="pl-PL"/>
        </w:rPr>
        <w:t>3)</w:t>
      </w:r>
      <w:r w:rsidRPr="00110C94">
        <w:rPr>
          <w:i/>
          <w:lang w:val="pl-PL"/>
        </w:rPr>
        <w:t xml:space="preserve"> Poszanowanie zagwarantowanego prawa: czy skarżącemu przysługiwało prawo do</w:t>
      </w:r>
      <w:r w:rsidR="00ED391E">
        <w:rPr>
          <w:i/>
          <w:lang w:val="pl-PL"/>
        </w:rPr>
        <w:t> </w:t>
      </w:r>
      <w:r>
        <w:rPr>
          <w:i/>
          <w:lang w:val="pl-PL"/>
        </w:rPr>
        <w:t>odwołania</w:t>
      </w:r>
      <w:r w:rsidRPr="00110C94">
        <w:rPr>
          <w:i/>
          <w:lang w:val="pl-PL"/>
        </w:rPr>
        <w:t xml:space="preserve">? </w:t>
      </w:r>
    </w:p>
    <w:p w14:paraId="053A6C75" w14:textId="1959D5E0" w:rsidR="00110C94" w:rsidRPr="003E0CB4" w:rsidRDefault="00110C94">
      <w:pPr>
        <w:pStyle w:val="ClinContent"/>
        <w:rPr>
          <w:lang w:val="pl-PL"/>
        </w:rPr>
      </w:pPr>
      <w:r w:rsidRPr="00110C94">
        <w:rPr>
          <w:i/>
          <w:lang w:val="pl-PL"/>
        </w:rPr>
        <w:t xml:space="preserve">Organ uważany za sąd pierwszej instancji </w:t>
      </w:r>
      <w:r w:rsidRPr="003E0CB4">
        <w:rPr>
          <w:lang w:val="pl-PL"/>
        </w:rPr>
        <w:t>– W świetle raportu wyjaśniającego do Protokołu nr 7 do Konwencji, organy, „które nie są sądami w rozumieniu art. 6 Konwencji”</w:t>
      </w:r>
      <w:r w:rsidR="00206384">
        <w:rPr>
          <w:lang w:val="pl-PL"/>
        </w:rPr>
        <w:t>,</w:t>
      </w:r>
      <w:r w:rsidRPr="003E0CB4">
        <w:rPr>
          <w:lang w:val="pl-PL"/>
        </w:rPr>
        <w:t xml:space="preserve"> nie mogą być uważane za „sądy”. Ma to zastosowanie do organu właściwego do wymierzenia grzywny w niniejszej sprawie, czyli do Głównej Dyrekcji Skarbu i Polityki Finansowej, która podlega bezpośrednio Ministerstw</w:t>
      </w:r>
      <w:r w:rsidR="00826608">
        <w:rPr>
          <w:lang w:val="pl-PL"/>
        </w:rPr>
        <w:t>u</w:t>
      </w:r>
      <w:r w:rsidRPr="003E0CB4">
        <w:rPr>
          <w:lang w:val="pl-PL"/>
        </w:rPr>
        <w:t xml:space="preserve"> Gospodarki. Zatem sądem pierwszej instancji, który był dostępny dla skarżącego, był </w:t>
      </w:r>
      <w:r w:rsidRPr="00412677">
        <w:rPr>
          <w:lang w:val="pl-PL"/>
        </w:rPr>
        <w:t xml:space="preserve">Wyższy </w:t>
      </w:r>
      <w:r w:rsidR="00254074">
        <w:rPr>
          <w:lang w:val="pl-PL"/>
        </w:rPr>
        <w:t>Trybunał</w:t>
      </w:r>
      <w:r w:rsidRPr="00412677">
        <w:rPr>
          <w:lang w:val="pl-PL"/>
        </w:rPr>
        <w:t xml:space="preserve"> Sprawiedliwości.</w:t>
      </w:r>
    </w:p>
    <w:p w14:paraId="2D5F8804" w14:textId="266EABB2" w:rsidR="00C37A52" w:rsidRPr="006C57C0" w:rsidRDefault="00C37A52">
      <w:pPr>
        <w:pStyle w:val="ClinContent"/>
        <w:rPr>
          <w:lang w:val="pl-PL"/>
        </w:rPr>
      </w:pPr>
      <w:r w:rsidRPr="00C37A52">
        <w:rPr>
          <w:i/>
          <w:lang w:val="pl-PL"/>
        </w:rPr>
        <w:t>Rola Trybunału Konstytucyjnego nieodpowiednia do zapewnienia wymaganej drugiej instancji jurysdykcyjnej</w:t>
      </w:r>
      <w:r w:rsidR="006C57C0">
        <w:rPr>
          <w:i/>
          <w:lang w:val="pl-PL"/>
        </w:rPr>
        <w:t xml:space="preserve"> – </w:t>
      </w:r>
      <w:r w:rsidR="006C57C0">
        <w:rPr>
          <w:lang w:val="pl-PL"/>
        </w:rPr>
        <w:t xml:space="preserve">Zgodnie z raportem </w:t>
      </w:r>
      <w:r w:rsidR="00BC581C">
        <w:rPr>
          <w:lang w:val="pl-PL"/>
        </w:rPr>
        <w:t xml:space="preserve">wyjaśniającym </w:t>
      </w:r>
      <w:r w:rsidR="006C57C0">
        <w:rPr>
          <w:lang w:val="pl-PL"/>
        </w:rPr>
        <w:t>za spełniające wymogi zapewnienia „prawa do odwołania”</w:t>
      </w:r>
      <w:r w:rsidR="00BC581C">
        <w:rPr>
          <w:lang w:val="pl-PL"/>
        </w:rPr>
        <w:t xml:space="preserve"> mogą być uznane sądy apelacyjne lub sądy kasacyjne</w:t>
      </w:r>
      <w:r w:rsidR="006C57C0">
        <w:rPr>
          <w:lang w:val="pl-PL"/>
        </w:rPr>
        <w:t xml:space="preserve">. </w:t>
      </w:r>
      <w:r w:rsidR="00E11F6F">
        <w:rPr>
          <w:lang w:val="pl-PL"/>
        </w:rPr>
        <w:t xml:space="preserve">Raport nie </w:t>
      </w:r>
      <w:r w:rsidR="006C57C0">
        <w:rPr>
          <w:lang w:val="pl-PL"/>
        </w:rPr>
        <w:t xml:space="preserve">wspomina jednak sądów konstytucyjnych. W świetle kompetencji wykonywanych przez hiszpański Trybunał Konstytucyjny w ramach odwołania </w:t>
      </w:r>
      <w:r w:rsidR="006C57C0" w:rsidRPr="000049B4">
        <w:rPr>
          <w:i/>
          <w:lang w:val="pl-PL"/>
        </w:rPr>
        <w:t>amparo</w:t>
      </w:r>
      <w:r w:rsidR="006C57C0">
        <w:rPr>
          <w:lang w:val="pl-PL"/>
        </w:rPr>
        <w:t>, opisanego po</w:t>
      </w:r>
      <w:r w:rsidR="00D27B25">
        <w:rPr>
          <w:lang w:val="pl-PL"/>
        </w:rPr>
        <w:t>ni</w:t>
      </w:r>
      <w:r w:rsidR="006C57C0">
        <w:rPr>
          <w:lang w:val="pl-PL"/>
        </w:rPr>
        <w:t>żej,</w:t>
      </w:r>
      <w:r w:rsidR="00206384">
        <w:rPr>
          <w:lang w:val="pl-PL"/>
        </w:rPr>
        <w:t xml:space="preserve"> Trybunał uznał, że </w:t>
      </w:r>
      <w:r w:rsidR="00BC581C">
        <w:rPr>
          <w:lang w:val="pl-PL"/>
        </w:rPr>
        <w:t xml:space="preserve">organ ten </w:t>
      </w:r>
      <w:r w:rsidR="00206384">
        <w:rPr>
          <w:lang w:val="pl-PL"/>
        </w:rPr>
        <w:t>nie zapewni</w:t>
      </w:r>
      <w:r w:rsidR="006C57C0">
        <w:rPr>
          <w:lang w:val="pl-PL"/>
        </w:rPr>
        <w:t xml:space="preserve">ł wymaganej drugiej instancji jurysdykcyjnej. </w:t>
      </w:r>
    </w:p>
    <w:p w14:paraId="44F1CE2E" w14:textId="3E54130D" w:rsidR="006C57C0" w:rsidRPr="006C57C0" w:rsidRDefault="006C57C0">
      <w:pPr>
        <w:pStyle w:val="ClinContent"/>
        <w:rPr>
          <w:lang w:val="pl-PL"/>
        </w:rPr>
      </w:pPr>
      <w:r w:rsidRPr="006C57C0">
        <w:rPr>
          <w:lang w:val="pl-PL"/>
        </w:rPr>
        <w:t xml:space="preserve">W prawie hiszpańskim kompetencja do oceniania spraw z zakresu </w:t>
      </w:r>
      <w:r w:rsidR="00483012" w:rsidRPr="00AA096E">
        <w:rPr>
          <w:lang w:val="pl-PL"/>
        </w:rPr>
        <w:t xml:space="preserve">prawa </w:t>
      </w:r>
      <w:r w:rsidR="00206384" w:rsidRPr="00AA096E">
        <w:rPr>
          <w:lang w:val="pl-PL"/>
        </w:rPr>
        <w:t>powszechnego</w:t>
      </w:r>
      <w:r w:rsidR="00206384">
        <w:rPr>
          <w:lang w:val="pl-PL"/>
        </w:rPr>
        <w:t xml:space="preserve"> </w:t>
      </w:r>
      <w:r w:rsidR="00483012">
        <w:rPr>
          <w:lang w:val="pl-PL"/>
        </w:rPr>
        <w:t>jest wykonywana przez sądy, które są częścią sądownictwa (w tym sądy apelacyjne i sądy ka</w:t>
      </w:r>
      <w:r w:rsidR="00AA096E">
        <w:rPr>
          <w:lang w:val="pl-PL"/>
        </w:rPr>
        <w:t>sacyjne). Co się tyczy</w:t>
      </w:r>
      <w:r w:rsidR="00483012">
        <w:rPr>
          <w:lang w:val="pl-PL"/>
        </w:rPr>
        <w:t xml:space="preserve"> w szczególności odwołań </w:t>
      </w:r>
      <w:r w:rsidR="00483012" w:rsidRPr="000049B4">
        <w:rPr>
          <w:i/>
          <w:lang w:val="pl-PL"/>
        </w:rPr>
        <w:t>amparo</w:t>
      </w:r>
      <w:r w:rsidR="00483012">
        <w:rPr>
          <w:lang w:val="pl-PL"/>
        </w:rPr>
        <w:t xml:space="preserve"> od orzeczeń sądowych, </w:t>
      </w:r>
      <w:r w:rsidR="00935DD7">
        <w:rPr>
          <w:lang w:val="pl-PL"/>
        </w:rPr>
        <w:t xml:space="preserve">ustawa </w:t>
      </w:r>
      <w:r w:rsidR="00C7420B">
        <w:rPr>
          <w:lang w:val="pl-PL"/>
        </w:rPr>
        <w:t xml:space="preserve">organiczna </w:t>
      </w:r>
      <w:r w:rsidR="00935DD7">
        <w:rPr>
          <w:lang w:val="pl-PL"/>
        </w:rPr>
        <w:t xml:space="preserve">o Trybunale Konstytucyjnym </w:t>
      </w:r>
      <w:r w:rsidR="00AA096E">
        <w:rPr>
          <w:lang w:val="pl-PL"/>
        </w:rPr>
        <w:t xml:space="preserve">ogranicza jego </w:t>
      </w:r>
      <w:r w:rsidR="00935DD7">
        <w:rPr>
          <w:lang w:val="pl-PL"/>
        </w:rPr>
        <w:t>uprawnienia do oceniania, czy</w:t>
      </w:r>
      <w:r w:rsidR="00ED391E">
        <w:rPr>
          <w:lang w:val="pl-PL"/>
        </w:rPr>
        <w:t> </w:t>
      </w:r>
      <w:r w:rsidR="00935DD7">
        <w:rPr>
          <w:lang w:val="pl-PL"/>
        </w:rPr>
        <w:t xml:space="preserve">prawa i wolności skarżącego zostały naruszone, oraz </w:t>
      </w:r>
      <w:r w:rsidR="00C70946">
        <w:rPr>
          <w:lang w:val="pl-PL"/>
        </w:rPr>
        <w:t xml:space="preserve">do </w:t>
      </w:r>
      <w:r w:rsidR="000049B4">
        <w:rPr>
          <w:lang w:val="pl-PL"/>
        </w:rPr>
        <w:t xml:space="preserve">ochrony lub </w:t>
      </w:r>
      <w:r w:rsidR="00935DD7">
        <w:rPr>
          <w:lang w:val="pl-PL"/>
        </w:rPr>
        <w:t xml:space="preserve">przywracania tych praw i wolności. Ustawa </w:t>
      </w:r>
      <w:r w:rsidR="00C7420B">
        <w:rPr>
          <w:lang w:val="pl-PL"/>
        </w:rPr>
        <w:t>organiczna</w:t>
      </w:r>
      <w:r w:rsidR="00935DD7">
        <w:rPr>
          <w:lang w:val="pl-PL"/>
        </w:rPr>
        <w:t xml:space="preserve"> precyzuje również, że Trybunał Konstytucyjny musi powstrzymać </w:t>
      </w:r>
      <w:r w:rsidR="000049B4">
        <w:rPr>
          <w:lang w:val="pl-PL"/>
        </w:rPr>
        <w:t xml:space="preserve">się </w:t>
      </w:r>
      <w:r w:rsidR="00935DD7">
        <w:rPr>
          <w:lang w:val="pl-PL"/>
        </w:rPr>
        <w:t>od wszelkic</w:t>
      </w:r>
      <w:r w:rsidR="0078724A">
        <w:rPr>
          <w:lang w:val="pl-PL"/>
        </w:rPr>
        <w:t xml:space="preserve">h innych rozważań dotyczących działań organów sądowych. Trybunał Konstytucyjny sam podkreślał w swym orzecznictwie, że odwołanie </w:t>
      </w:r>
      <w:r w:rsidR="0078724A" w:rsidRPr="000049B4">
        <w:rPr>
          <w:i/>
          <w:lang w:val="pl-PL"/>
        </w:rPr>
        <w:t>amparo</w:t>
      </w:r>
      <w:r w:rsidR="0078724A">
        <w:rPr>
          <w:lang w:val="pl-PL"/>
        </w:rPr>
        <w:t xml:space="preserve"> nie</w:t>
      </w:r>
      <w:r w:rsidR="00ED391E">
        <w:rPr>
          <w:lang w:val="pl-PL"/>
        </w:rPr>
        <w:t> </w:t>
      </w:r>
      <w:r w:rsidR="0078724A">
        <w:rPr>
          <w:lang w:val="pl-PL"/>
        </w:rPr>
        <w:t xml:space="preserve">może być zrównywane z kasacją. </w:t>
      </w:r>
    </w:p>
    <w:p w14:paraId="0B7F948E" w14:textId="0EB9651E" w:rsidR="0078724A" w:rsidRPr="0078724A" w:rsidRDefault="0078724A">
      <w:pPr>
        <w:pStyle w:val="ClinContent"/>
        <w:rPr>
          <w:lang w:val="pl-PL"/>
        </w:rPr>
      </w:pPr>
      <w:r w:rsidRPr="0078724A">
        <w:rPr>
          <w:lang w:val="pl-PL"/>
        </w:rPr>
        <w:t xml:space="preserve">Pomimo zgodności z przepisami przejściowymi zawartymi w spornej ustawie </w:t>
      </w:r>
      <w:r>
        <w:rPr>
          <w:lang w:val="pl-PL"/>
        </w:rPr>
        <w:t>zastosowanie w</w:t>
      </w:r>
      <w:r w:rsidR="00345E9A">
        <w:rPr>
          <w:lang w:val="pl-PL"/>
        </w:rPr>
        <w:t>obec</w:t>
      </w:r>
      <w:r>
        <w:rPr>
          <w:lang w:val="pl-PL"/>
        </w:rPr>
        <w:t xml:space="preserve"> skarżącego ograniczeń w niej wyrażonych naruszyło samą istotę prawa zagwarantowanego w art. 2 Protokołu nr 7</w:t>
      </w:r>
      <w:r w:rsidR="00207112">
        <w:rPr>
          <w:lang w:val="pl-PL"/>
        </w:rPr>
        <w:t xml:space="preserve">, co wykraczało poza margines oceny pozwanego </w:t>
      </w:r>
      <w:r w:rsidR="00BC581C">
        <w:rPr>
          <w:lang w:val="pl-PL"/>
        </w:rPr>
        <w:t>p</w:t>
      </w:r>
      <w:r w:rsidR="00207112">
        <w:rPr>
          <w:lang w:val="pl-PL"/>
        </w:rPr>
        <w:t xml:space="preserve">aństwa. </w:t>
      </w:r>
    </w:p>
    <w:p w14:paraId="3872B6E5" w14:textId="77777777" w:rsidR="00207112" w:rsidRPr="00C7420B" w:rsidRDefault="00207112">
      <w:pPr>
        <w:pStyle w:val="ClinContent"/>
        <w:rPr>
          <w:lang w:val="pl-PL"/>
        </w:rPr>
      </w:pPr>
      <w:r w:rsidRPr="00C7420B">
        <w:rPr>
          <w:i/>
          <w:lang w:val="pl-PL"/>
        </w:rPr>
        <w:t>Rozstrzygnięcie</w:t>
      </w:r>
      <w:r w:rsidRPr="00C7420B">
        <w:rPr>
          <w:lang w:val="pl-PL"/>
        </w:rPr>
        <w:t xml:space="preserve">: naruszenie (jednogłośnie). </w:t>
      </w:r>
    </w:p>
    <w:p w14:paraId="23DF4895" w14:textId="77777777" w:rsidR="00057FFA" w:rsidRPr="00207112" w:rsidRDefault="00E51CCD">
      <w:pPr>
        <w:pStyle w:val="ClinContent"/>
        <w:rPr>
          <w:lang w:val="pl-PL"/>
        </w:rPr>
      </w:pPr>
      <w:r w:rsidRPr="00207112">
        <w:rPr>
          <w:lang w:val="pl-PL"/>
        </w:rPr>
        <w:t>Art</w:t>
      </w:r>
      <w:r w:rsidR="00207112" w:rsidRPr="00207112">
        <w:rPr>
          <w:lang w:val="pl-PL"/>
        </w:rPr>
        <w:t>.</w:t>
      </w:r>
      <w:r w:rsidRPr="00207112">
        <w:rPr>
          <w:lang w:val="pl-PL"/>
        </w:rPr>
        <w:t xml:space="preserve"> 41: 9600 </w:t>
      </w:r>
      <w:r w:rsidR="00207112" w:rsidRPr="00207112">
        <w:rPr>
          <w:lang w:val="pl-PL"/>
        </w:rPr>
        <w:t>EUR tytułem szkody niemajątkowej; roszczenie z tytułu</w:t>
      </w:r>
      <w:r w:rsidR="00207112">
        <w:rPr>
          <w:lang w:val="pl-PL"/>
        </w:rPr>
        <w:t xml:space="preserve"> </w:t>
      </w:r>
      <w:r w:rsidR="00207112" w:rsidRPr="00207112">
        <w:rPr>
          <w:lang w:val="pl-PL"/>
        </w:rPr>
        <w:t xml:space="preserve">szkody majątkowej oddalone.  </w:t>
      </w:r>
    </w:p>
    <w:p w14:paraId="47F04A5B" w14:textId="77777777" w:rsidR="00057FFA" w:rsidRPr="00207112" w:rsidRDefault="00057FFA">
      <w:pPr>
        <w:pBdr>
          <w:bottom w:val="single" w:sz="8" w:space="1" w:color="auto"/>
        </w:pBdr>
        <w:rPr>
          <w:lang w:val="pl-PL"/>
        </w:rPr>
      </w:pPr>
    </w:p>
    <w:p w14:paraId="686150CF" w14:textId="77777777" w:rsidR="004F2663" w:rsidRDefault="004F2663" w:rsidP="004F2663">
      <w:pPr>
        <w:pStyle w:val="ClinFooter"/>
        <w:rPr>
          <w:lang w:val="pl-PL"/>
        </w:rPr>
      </w:pPr>
      <w:r>
        <w:rPr>
          <w:lang w:val="pl-PL"/>
        </w:rPr>
        <w:t>© Council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78660789" w14:textId="77777777" w:rsidR="00057FFA" w:rsidRDefault="004F2663" w:rsidP="004F2663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9" w:history="1">
        <w:r>
          <w:rPr>
            <w:rStyle w:val="Hipercze"/>
            <w:lang w:val="pl-PL"/>
          </w:rPr>
          <w:t>Not informacyjnych nt. orzecznictwa</w:t>
        </w:r>
      </w:hyperlink>
    </w:p>
    <w:sectPr w:rsidR="00057FFA" w:rsidSect="004A5B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C97CD" w14:textId="77777777" w:rsidR="00EF401D" w:rsidRDefault="00EF401D" w:rsidP="00C63262">
      <w:r>
        <w:separator/>
      </w:r>
    </w:p>
  </w:endnote>
  <w:endnote w:type="continuationSeparator" w:id="0">
    <w:p w14:paraId="3E2A14EE" w14:textId="77777777" w:rsidR="00EF401D" w:rsidRDefault="00EF401D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82BE3" w14:textId="77777777" w:rsidR="00387469" w:rsidRDefault="003874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6E1E2" w14:textId="77777777" w:rsidR="00387469" w:rsidRDefault="0038746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A02A1" w14:textId="77777777" w:rsidR="0071773F" w:rsidRPr="0071773F" w:rsidRDefault="0071773F" w:rsidP="0071773F"/>
  <w:p w14:paraId="3973BF31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6CEB9334" wp14:editId="247B334B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CDCF6" w14:textId="77777777" w:rsidR="00EF401D" w:rsidRDefault="00EF401D" w:rsidP="00C63262">
      <w:r>
        <w:separator/>
      </w:r>
    </w:p>
  </w:footnote>
  <w:footnote w:type="continuationSeparator" w:id="0">
    <w:p w14:paraId="5A3EFA0A" w14:textId="77777777" w:rsidR="00EF401D" w:rsidRDefault="00EF401D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5E3C7" w14:textId="77777777" w:rsidR="00387469" w:rsidRDefault="003874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9312215"/>
      <w:docPartObj>
        <w:docPartGallery w:val="Page Numbers (Top of Page)"/>
        <w:docPartUnique/>
      </w:docPartObj>
    </w:sdtPr>
    <w:sdtContent>
      <w:p w14:paraId="331C566B" w14:textId="2DD84345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175F4F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65AC8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49C6CEA4" wp14:editId="6AF24FC8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EF0"/>
    <w:rsid w:val="000049B4"/>
    <w:rsid w:val="00022DE6"/>
    <w:rsid w:val="00037CCC"/>
    <w:rsid w:val="00054F79"/>
    <w:rsid w:val="00057B4F"/>
    <w:rsid w:val="00057FFA"/>
    <w:rsid w:val="000824AB"/>
    <w:rsid w:val="00097888"/>
    <w:rsid w:val="000A6668"/>
    <w:rsid w:val="000B298F"/>
    <w:rsid w:val="000C605A"/>
    <w:rsid w:val="000E7611"/>
    <w:rsid w:val="000F13B5"/>
    <w:rsid w:val="00107377"/>
    <w:rsid w:val="00110C94"/>
    <w:rsid w:val="00127F8B"/>
    <w:rsid w:val="00142AF6"/>
    <w:rsid w:val="00143602"/>
    <w:rsid w:val="0016024B"/>
    <w:rsid w:val="0016179F"/>
    <w:rsid w:val="00175F4F"/>
    <w:rsid w:val="001769E4"/>
    <w:rsid w:val="00186560"/>
    <w:rsid w:val="001B61B5"/>
    <w:rsid w:val="001B6212"/>
    <w:rsid w:val="001D3394"/>
    <w:rsid w:val="001D7D51"/>
    <w:rsid w:val="001F4424"/>
    <w:rsid w:val="00206384"/>
    <w:rsid w:val="00207112"/>
    <w:rsid w:val="00212E83"/>
    <w:rsid w:val="00221CD7"/>
    <w:rsid w:val="00223130"/>
    <w:rsid w:val="00251FE7"/>
    <w:rsid w:val="00254074"/>
    <w:rsid w:val="002564EC"/>
    <w:rsid w:val="00295D94"/>
    <w:rsid w:val="002966E7"/>
    <w:rsid w:val="002A290D"/>
    <w:rsid w:val="002C5C57"/>
    <w:rsid w:val="002E088D"/>
    <w:rsid w:val="0030264F"/>
    <w:rsid w:val="00306BB9"/>
    <w:rsid w:val="003450B3"/>
    <w:rsid w:val="00345E9A"/>
    <w:rsid w:val="003661D3"/>
    <w:rsid w:val="003713B8"/>
    <w:rsid w:val="00386958"/>
    <w:rsid w:val="00387469"/>
    <w:rsid w:val="003A64A6"/>
    <w:rsid w:val="003B4301"/>
    <w:rsid w:val="003D2D25"/>
    <w:rsid w:val="003D7BB3"/>
    <w:rsid w:val="003E0CB4"/>
    <w:rsid w:val="003E33DE"/>
    <w:rsid w:val="00412677"/>
    <w:rsid w:val="0046453F"/>
    <w:rsid w:val="00483012"/>
    <w:rsid w:val="00483612"/>
    <w:rsid w:val="0049724E"/>
    <w:rsid w:val="004A5B52"/>
    <w:rsid w:val="004C1B1D"/>
    <w:rsid w:val="004C3158"/>
    <w:rsid w:val="004D568D"/>
    <w:rsid w:val="004E1037"/>
    <w:rsid w:val="004E149F"/>
    <w:rsid w:val="004F2663"/>
    <w:rsid w:val="0052092D"/>
    <w:rsid w:val="005239C2"/>
    <w:rsid w:val="00527BDD"/>
    <w:rsid w:val="0053090E"/>
    <w:rsid w:val="00540D75"/>
    <w:rsid w:val="00550F57"/>
    <w:rsid w:val="005514E5"/>
    <w:rsid w:val="0055745E"/>
    <w:rsid w:val="005D0022"/>
    <w:rsid w:val="005E1526"/>
    <w:rsid w:val="006028A1"/>
    <w:rsid w:val="00631A28"/>
    <w:rsid w:val="0065190B"/>
    <w:rsid w:val="006562FA"/>
    <w:rsid w:val="00674112"/>
    <w:rsid w:val="00683BB1"/>
    <w:rsid w:val="006A36AD"/>
    <w:rsid w:val="006B1C57"/>
    <w:rsid w:val="006C1D96"/>
    <w:rsid w:val="006C2138"/>
    <w:rsid w:val="006C57C0"/>
    <w:rsid w:val="006F23A9"/>
    <w:rsid w:val="006F403D"/>
    <w:rsid w:val="0071773F"/>
    <w:rsid w:val="00720BDC"/>
    <w:rsid w:val="007501B2"/>
    <w:rsid w:val="00774515"/>
    <w:rsid w:val="007802D5"/>
    <w:rsid w:val="00785A33"/>
    <w:rsid w:val="0078724A"/>
    <w:rsid w:val="0079607A"/>
    <w:rsid w:val="007968BF"/>
    <w:rsid w:val="007A6122"/>
    <w:rsid w:val="007C4A9A"/>
    <w:rsid w:val="008102D3"/>
    <w:rsid w:val="0082638E"/>
    <w:rsid w:val="00826608"/>
    <w:rsid w:val="00856E3C"/>
    <w:rsid w:val="00857709"/>
    <w:rsid w:val="0086282A"/>
    <w:rsid w:val="00863C7A"/>
    <w:rsid w:val="00895EF3"/>
    <w:rsid w:val="008C64D5"/>
    <w:rsid w:val="008E09D8"/>
    <w:rsid w:val="00903D38"/>
    <w:rsid w:val="00927AD0"/>
    <w:rsid w:val="00935DD7"/>
    <w:rsid w:val="009554B7"/>
    <w:rsid w:val="00972B8B"/>
    <w:rsid w:val="0097322E"/>
    <w:rsid w:val="009B3B2C"/>
    <w:rsid w:val="009E3EF0"/>
    <w:rsid w:val="00A01052"/>
    <w:rsid w:val="00A04D9C"/>
    <w:rsid w:val="00A258BB"/>
    <w:rsid w:val="00A33541"/>
    <w:rsid w:val="00A45616"/>
    <w:rsid w:val="00A524A1"/>
    <w:rsid w:val="00A75076"/>
    <w:rsid w:val="00A938AA"/>
    <w:rsid w:val="00AA096E"/>
    <w:rsid w:val="00AC0061"/>
    <w:rsid w:val="00AC7726"/>
    <w:rsid w:val="00AC7E56"/>
    <w:rsid w:val="00AE29A0"/>
    <w:rsid w:val="00B12D83"/>
    <w:rsid w:val="00B256BB"/>
    <w:rsid w:val="00B44FA7"/>
    <w:rsid w:val="00B45BF1"/>
    <w:rsid w:val="00B57D40"/>
    <w:rsid w:val="00B80CA0"/>
    <w:rsid w:val="00B85770"/>
    <w:rsid w:val="00BA54C6"/>
    <w:rsid w:val="00BB0B03"/>
    <w:rsid w:val="00BC581C"/>
    <w:rsid w:val="00BC6A58"/>
    <w:rsid w:val="00BF1CD9"/>
    <w:rsid w:val="00C14E24"/>
    <w:rsid w:val="00C20A9C"/>
    <w:rsid w:val="00C36C22"/>
    <w:rsid w:val="00C37433"/>
    <w:rsid w:val="00C37A52"/>
    <w:rsid w:val="00C47E11"/>
    <w:rsid w:val="00C63262"/>
    <w:rsid w:val="00C66F46"/>
    <w:rsid w:val="00C675A4"/>
    <w:rsid w:val="00C70946"/>
    <w:rsid w:val="00C72355"/>
    <w:rsid w:val="00C7420B"/>
    <w:rsid w:val="00C74742"/>
    <w:rsid w:val="00C93CFB"/>
    <w:rsid w:val="00CF7BA6"/>
    <w:rsid w:val="00D07887"/>
    <w:rsid w:val="00D242EF"/>
    <w:rsid w:val="00D27B25"/>
    <w:rsid w:val="00D42086"/>
    <w:rsid w:val="00D425B3"/>
    <w:rsid w:val="00D87E0F"/>
    <w:rsid w:val="00D957B7"/>
    <w:rsid w:val="00DE0D6D"/>
    <w:rsid w:val="00E05DBB"/>
    <w:rsid w:val="00E11F6F"/>
    <w:rsid w:val="00E207A6"/>
    <w:rsid w:val="00E23987"/>
    <w:rsid w:val="00E32240"/>
    <w:rsid w:val="00E51CCD"/>
    <w:rsid w:val="00E55491"/>
    <w:rsid w:val="00E62431"/>
    <w:rsid w:val="00E80129"/>
    <w:rsid w:val="00E83DB6"/>
    <w:rsid w:val="00E85F9A"/>
    <w:rsid w:val="00EA4D2E"/>
    <w:rsid w:val="00EA53E7"/>
    <w:rsid w:val="00EB4E1A"/>
    <w:rsid w:val="00ED0969"/>
    <w:rsid w:val="00ED391E"/>
    <w:rsid w:val="00EE1456"/>
    <w:rsid w:val="00EF401D"/>
    <w:rsid w:val="00F3724C"/>
    <w:rsid w:val="00F508C9"/>
    <w:rsid w:val="00F50CCD"/>
    <w:rsid w:val="00F5247C"/>
    <w:rsid w:val="00FA29ED"/>
    <w:rsid w:val="00FB45C6"/>
    <w:rsid w:val="00FD7318"/>
    <w:rsid w:val="00FE1810"/>
    <w:rsid w:val="00FF1813"/>
    <w:rsid w:val="00FF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DC17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7C4A9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7C4A9A"/>
  </w:style>
  <w:style w:type="paragraph" w:styleId="Poprawka">
    <w:name w:val="Revision"/>
    <w:hidden/>
    <w:uiPriority w:val="99"/>
    <w:semiHidden/>
    <w:rsid w:val="00D242EF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semiHidden/>
    <w:unhideWhenUsed/>
    <w:rsid w:val="00D242E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D242EF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242EF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242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242EF"/>
    <w:rPr>
      <w:rFonts w:ascii="Verdana" w:hAnsi="Verdana"/>
      <w:b/>
      <w:bCs/>
    </w:rPr>
  </w:style>
  <w:style w:type="character" w:styleId="Pogrubienie">
    <w:name w:val="Strong"/>
    <w:basedOn w:val="Domylnaczcionkaakapitu"/>
    <w:uiPriority w:val="22"/>
    <w:qFormat/>
    <w:rsid w:val="00EE14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4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5308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hudoc.echr.coe.int/eng?i=002-5825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echr.coe.int/NoteInformation/en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1402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2021-04-22T11:55:00Z</dcterms:created>
  <dcterms:modified xsi:type="dcterms:W3CDTF">2025-11-04T14:25:00Z</dcterms:modified>
</cp:coreProperties>
</file>