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6CA9CE" w14:textId="7B735DF2" w:rsidR="00701216" w:rsidRPr="00C37650" w:rsidRDefault="00701216" w:rsidP="00701216">
      <w:pPr>
        <w:jc w:val="center"/>
        <w:rPr>
          <w:lang w:val="pl-PL"/>
        </w:rPr>
      </w:pPr>
      <w:r w:rsidRPr="00C37650">
        <w:rPr>
          <w:rStyle w:val="s4f807e54"/>
          <w:rFonts w:ascii="Arial" w:hAnsi="Arial" w:cs="Arial"/>
          <w:sz w:val="18"/>
          <w:szCs w:val="18"/>
          <w:lang w:val="pl-PL"/>
        </w:rPr>
        <w:t xml:space="preserve">© Copyright for the </w:t>
      </w:r>
      <w:proofErr w:type="spellStart"/>
      <w:r w:rsidRPr="00C37650">
        <w:rPr>
          <w:rStyle w:val="s4f807e54"/>
          <w:rFonts w:ascii="Arial" w:hAnsi="Arial" w:cs="Arial"/>
          <w:sz w:val="18"/>
          <w:szCs w:val="18"/>
          <w:lang w:val="pl-PL"/>
        </w:rPr>
        <w:t>Polish</w:t>
      </w:r>
      <w:proofErr w:type="spellEnd"/>
      <w:r w:rsidRPr="00C37650">
        <w:rPr>
          <w:rStyle w:val="s4f807e54"/>
          <w:rFonts w:ascii="Arial" w:hAnsi="Arial" w:cs="Arial"/>
          <w:sz w:val="18"/>
          <w:szCs w:val="18"/>
          <w:lang w:val="pl-PL"/>
        </w:rPr>
        <w:t xml:space="preserve"> </w:t>
      </w:r>
      <w:proofErr w:type="spellStart"/>
      <w:r w:rsidRPr="00C37650">
        <w:rPr>
          <w:rStyle w:val="s4f807e54"/>
          <w:rFonts w:ascii="Arial" w:hAnsi="Arial" w:cs="Arial"/>
          <w:sz w:val="18"/>
          <w:szCs w:val="18"/>
          <w:lang w:val="pl-PL"/>
        </w:rPr>
        <w:t>translation</w:t>
      </w:r>
      <w:proofErr w:type="spellEnd"/>
      <w:r w:rsidRPr="00C37650">
        <w:rPr>
          <w:rStyle w:val="s4f807e54"/>
          <w:rFonts w:ascii="Arial" w:hAnsi="Arial" w:cs="Arial"/>
          <w:sz w:val="18"/>
          <w:szCs w:val="18"/>
          <w:lang w:val="pl-PL"/>
        </w:rPr>
        <w:t xml:space="preserve"> by Naczelny Są</w:t>
      </w:r>
      <w:r w:rsidR="000D36C6" w:rsidRPr="00C37650">
        <w:rPr>
          <w:rStyle w:val="s4f807e54"/>
          <w:rFonts w:ascii="Arial" w:hAnsi="Arial" w:cs="Arial"/>
          <w:sz w:val="18"/>
          <w:szCs w:val="18"/>
          <w:lang w:val="pl-PL"/>
        </w:rPr>
        <w:t>d Administracyjny, Warszawa 2022</w:t>
      </w:r>
    </w:p>
    <w:p w14:paraId="23734C2D" w14:textId="77777777" w:rsidR="00736041" w:rsidRPr="00736041" w:rsidRDefault="00736041" w:rsidP="00736041">
      <w:pPr>
        <w:pStyle w:val="DecHCase"/>
        <w:spacing w:before="240" w:after="120"/>
        <w:rPr>
          <w:lang w:val="pl"/>
        </w:rPr>
      </w:pPr>
      <w:r w:rsidRPr="00736041">
        <w:rPr>
          <w:lang w:val="pl"/>
        </w:rPr>
        <w:t>EUROPEJSKI TRYBUNAŁ PRAW CZŁOWIEKA</w:t>
      </w:r>
    </w:p>
    <w:p w14:paraId="4AD1B187" w14:textId="77777777" w:rsidR="009A7E81" w:rsidRPr="00C37650" w:rsidRDefault="009A7E81" w:rsidP="007D32C5">
      <w:pPr>
        <w:pStyle w:val="DecHCase"/>
        <w:spacing w:after="120"/>
        <w:rPr>
          <w:lang w:val="pl-PL"/>
        </w:rPr>
      </w:pPr>
      <w:r w:rsidRPr="00C37650">
        <w:rPr>
          <w:lang w:val="pl"/>
        </w:rPr>
        <w:t>SEKCJA TRZECIA</w:t>
      </w:r>
    </w:p>
    <w:p w14:paraId="1BD2FD9B" w14:textId="0290DA06" w:rsidR="009A7E81" w:rsidRPr="00C37650" w:rsidRDefault="009A7E81" w:rsidP="007D32C5">
      <w:pPr>
        <w:pStyle w:val="JuTitle"/>
        <w:spacing w:before="1080"/>
        <w:rPr>
          <w:lang w:val="pl-PL"/>
        </w:rPr>
      </w:pPr>
      <w:bookmarkStart w:id="0" w:name="To"/>
      <w:r w:rsidRPr="00C37650">
        <w:rPr>
          <w:bCs/>
          <w:lang w:val="pl"/>
        </w:rPr>
        <w:t>SPRAWA</w:t>
      </w:r>
      <w:bookmarkEnd w:id="0"/>
      <w:r w:rsidR="00CE5026" w:rsidRPr="00C37650">
        <w:rPr>
          <w:bCs/>
          <w:lang w:val="pl"/>
        </w:rPr>
        <w:t xml:space="preserve"> </w:t>
      </w:r>
      <w:proofErr w:type="spellStart"/>
      <w:r w:rsidRPr="00C37650">
        <w:rPr>
          <w:bCs/>
          <w:lang w:val="pl"/>
        </w:rPr>
        <w:t>SAQUETTI</w:t>
      </w:r>
      <w:proofErr w:type="spellEnd"/>
      <w:r w:rsidRPr="00C37650">
        <w:rPr>
          <w:bCs/>
          <w:lang w:val="pl"/>
        </w:rPr>
        <w:t xml:space="preserve"> IGLESIAS przeciwko HISZPANII</w:t>
      </w:r>
    </w:p>
    <w:p w14:paraId="316C79ED" w14:textId="77777777" w:rsidR="009A7E81" w:rsidRPr="00C37650" w:rsidRDefault="009A7E81" w:rsidP="0043093E">
      <w:pPr>
        <w:pStyle w:val="ECHRCoverTitle4"/>
        <w:rPr>
          <w:lang w:val="pl-PL"/>
        </w:rPr>
      </w:pPr>
      <w:r w:rsidRPr="00C37650">
        <w:rPr>
          <w:iCs/>
          <w:lang w:val="pl"/>
        </w:rPr>
        <w:t>(Skarga nr 50514/13)</w:t>
      </w:r>
    </w:p>
    <w:p w14:paraId="6D6CC658" w14:textId="4F988A15" w:rsidR="009A7E81" w:rsidRPr="00C37650" w:rsidRDefault="009A7E81" w:rsidP="00245443">
      <w:pPr>
        <w:pStyle w:val="DecHCase"/>
        <w:jc w:val="left"/>
        <w:rPr>
          <w:lang w:val="pl-PL"/>
        </w:rPr>
      </w:pPr>
    </w:p>
    <w:p w14:paraId="4669910B" w14:textId="46C1B661" w:rsidR="009A7E81" w:rsidRDefault="009A7E81" w:rsidP="00246BAD">
      <w:pPr>
        <w:pStyle w:val="DecHCase"/>
        <w:spacing w:after="0"/>
        <w:rPr>
          <w:lang w:val="pl"/>
        </w:rPr>
      </w:pPr>
      <w:r w:rsidRPr="00C37650">
        <w:rPr>
          <w:lang w:val="pl"/>
        </w:rPr>
        <w:t>WYROK</w:t>
      </w:r>
    </w:p>
    <w:p w14:paraId="45EB32E5" w14:textId="77777777" w:rsidR="00246BAD" w:rsidRDefault="00246BAD" w:rsidP="00246BAD">
      <w:pPr>
        <w:pStyle w:val="DecHCase"/>
        <w:rPr>
          <w:lang w:val="pl-PL"/>
        </w:rPr>
      </w:pPr>
      <w:r w:rsidRPr="00246BAD">
        <w:rPr>
          <w:lang w:val="pl-PL"/>
        </w:rPr>
        <w:t>[wyciąg]</w:t>
      </w:r>
    </w:p>
    <w:p w14:paraId="5AEE2B43" w14:textId="58041162" w:rsidR="009A7E81" w:rsidRPr="00C37650" w:rsidRDefault="009A7E81" w:rsidP="004309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sz w:val="22"/>
          <w:szCs w:val="22"/>
          <w:lang w:val="pl-PL"/>
        </w:rPr>
      </w:pPr>
      <w:r w:rsidRPr="00C37650">
        <w:rPr>
          <w:sz w:val="22"/>
          <w:szCs w:val="22"/>
          <w:lang w:val="pl"/>
        </w:rPr>
        <w:t xml:space="preserve">Artykuł 2 </w:t>
      </w:r>
      <w:proofErr w:type="spellStart"/>
      <w:r w:rsidRPr="00C37650">
        <w:rPr>
          <w:sz w:val="22"/>
          <w:szCs w:val="22"/>
          <w:lang w:val="pl"/>
        </w:rPr>
        <w:t>P7</w:t>
      </w:r>
      <w:proofErr w:type="spellEnd"/>
      <w:r w:rsidRPr="00C37650">
        <w:rPr>
          <w:sz w:val="22"/>
          <w:szCs w:val="22"/>
          <w:lang w:val="pl"/>
        </w:rPr>
        <w:t xml:space="preserve"> - </w:t>
      </w:r>
      <w:r w:rsidR="00A96C44" w:rsidRPr="00C37650">
        <w:rPr>
          <w:sz w:val="22"/>
          <w:szCs w:val="22"/>
          <w:lang w:val="pl"/>
        </w:rPr>
        <w:t xml:space="preserve">Prawo do odwołania w sprawach karnych </w:t>
      </w:r>
      <w:r w:rsidRPr="00C37650">
        <w:rPr>
          <w:sz w:val="22"/>
          <w:szCs w:val="22"/>
          <w:lang w:val="pl"/>
        </w:rPr>
        <w:t xml:space="preserve">• Niemożność zaskarżenia </w:t>
      </w:r>
      <w:r w:rsidR="00A96C44" w:rsidRPr="00C37650">
        <w:rPr>
          <w:sz w:val="22"/>
          <w:szCs w:val="22"/>
          <w:lang w:val="pl"/>
        </w:rPr>
        <w:t xml:space="preserve">do </w:t>
      </w:r>
      <w:r w:rsidR="007B6A4E">
        <w:rPr>
          <w:sz w:val="22"/>
          <w:szCs w:val="22"/>
          <w:lang w:val="pl"/>
        </w:rPr>
        <w:t>„</w:t>
      </w:r>
      <w:r w:rsidR="00A96C44" w:rsidRPr="00C37650">
        <w:rPr>
          <w:sz w:val="22"/>
          <w:szCs w:val="22"/>
          <w:lang w:val="pl"/>
        </w:rPr>
        <w:t>sądu wyższej instancji</w:t>
      </w:r>
      <w:r w:rsidR="007B6A4E">
        <w:rPr>
          <w:sz w:val="22"/>
          <w:szCs w:val="22"/>
          <w:lang w:val="pl"/>
        </w:rPr>
        <w:t>”</w:t>
      </w:r>
      <w:r w:rsidR="00A96C44" w:rsidRPr="00C37650">
        <w:rPr>
          <w:sz w:val="22"/>
          <w:szCs w:val="22"/>
          <w:lang w:val="pl"/>
        </w:rPr>
        <w:t xml:space="preserve"> </w:t>
      </w:r>
      <w:r w:rsidRPr="00C37650">
        <w:rPr>
          <w:sz w:val="22"/>
          <w:szCs w:val="22"/>
          <w:lang w:val="pl"/>
        </w:rPr>
        <w:t xml:space="preserve">surowej grzywny celnej </w:t>
      </w:r>
      <w:r w:rsidR="00A96C44" w:rsidRPr="00C37650">
        <w:rPr>
          <w:sz w:val="22"/>
          <w:szCs w:val="22"/>
          <w:lang w:val="pl"/>
        </w:rPr>
        <w:t xml:space="preserve">nałożonej </w:t>
      </w:r>
      <w:r w:rsidRPr="00C37650">
        <w:rPr>
          <w:sz w:val="22"/>
          <w:szCs w:val="22"/>
          <w:lang w:val="pl"/>
        </w:rPr>
        <w:t xml:space="preserve">bez </w:t>
      </w:r>
      <w:r w:rsidR="00A96C44" w:rsidRPr="00C37650">
        <w:rPr>
          <w:sz w:val="22"/>
          <w:szCs w:val="22"/>
          <w:lang w:val="pl"/>
        </w:rPr>
        <w:t xml:space="preserve">oceny </w:t>
      </w:r>
      <w:r w:rsidRPr="00C37650">
        <w:rPr>
          <w:sz w:val="22"/>
          <w:szCs w:val="22"/>
          <w:lang w:val="pl"/>
        </w:rPr>
        <w:t xml:space="preserve">proporcjonalności • </w:t>
      </w:r>
      <w:r w:rsidR="00A96C44" w:rsidRPr="00C37650">
        <w:rPr>
          <w:sz w:val="22"/>
          <w:szCs w:val="22"/>
          <w:lang w:val="pl"/>
        </w:rPr>
        <w:t>Kwestia karnego</w:t>
      </w:r>
      <w:r w:rsidRPr="00C37650">
        <w:rPr>
          <w:sz w:val="22"/>
          <w:szCs w:val="22"/>
          <w:lang w:val="pl"/>
        </w:rPr>
        <w:t xml:space="preserve"> charakter</w:t>
      </w:r>
      <w:r w:rsidR="00A96C44" w:rsidRPr="00C37650">
        <w:rPr>
          <w:sz w:val="22"/>
          <w:szCs w:val="22"/>
          <w:lang w:val="pl"/>
        </w:rPr>
        <w:t>u</w:t>
      </w:r>
      <w:r w:rsidRPr="00C37650">
        <w:rPr>
          <w:sz w:val="22"/>
          <w:szCs w:val="22"/>
          <w:lang w:val="pl"/>
        </w:rPr>
        <w:t xml:space="preserve"> sankcji zgodnie z kryteriami </w:t>
      </w:r>
      <w:r w:rsidR="00A96C44" w:rsidRPr="00C37650">
        <w:rPr>
          <w:sz w:val="22"/>
          <w:szCs w:val="22"/>
          <w:lang w:val="pl"/>
        </w:rPr>
        <w:t>ze</w:t>
      </w:r>
      <w:r w:rsidR="000D29FF">
        <w:rPr>
          <w:sz w:val="22"/>
          <w:szCs w:val="22"/>
          <w:lang w:val="pl"/>
        </w:rPr>
        <w:t> </w:t>
      </w:r>
      <w:r w:rsidR="00A96C44" w:rsidRPr="00C37650">
        <w:rPr>
          <w:sz w:val="22"/>
          <w:szCs w:val="22"/>
          <w:lang w:val="pl"/>
        </w:rPr>
        <w:t xml:space="preserve">sprawy </w:t>
      </w:r>
      <w:proofErr w:type="spellStart"/>
      <w:r w:rsidR="00A96C44" w:rsidRPr="00C37650">
        <w:rPr>
          <w:i/>
          <w:iCs/>
          <w:sz w:val="22"/>
          <w:szCs w:val="22"/>
          <w:lang w:val="pl"/>
        </w:rPr>
        <w:t>Engel</w:t>
      </w:r>
      <w:proofErr w:type="spellEnd"/>
      <w:r w:rsidRPr="00C37650">
        <w:rPr>
          <w:sz w:val="22"/>
          <w:szCs w:val="22"/>
          <w:lang w:val="pl"/>
        </w:rPr>
        <w:t xml:space="preserve"> • </w:t>
      </w:r>
      <w:r w:rsidR="00C66AE6" w:rsidRPr="00C37650">
        <w:rPr>
          <w:sz w:val="22"/>
          <w:szCs w:val="22"/>
          <w:lang w:val="pl"/>
        </w:rPr>
        <w:t>Przestępstwo</w:t>
      </w:r>
      <w:r w:rsidRPr="00C37650">
        <w:rPr>
          <w:sz w:val="22"/>
          <w:szCs w:val="22"/>
          <w:lang w:val="pl"/>
        </w:rPr>
        <w:t xml:space="preserve"> nie jest drobne ze względu na </w:t>
      </w:r>
      <w:r w:rsidR="00A96C44" w:rsidRPr="00C37650">
        <w:rPr>
          <w:sz w:val="22"/>
          <w:szCs w:val="22"/>
          <w:lang w:val="pl"/>
        </w:rPr>
        <w:t>surowość [</w:t>
      </w:r>
      <w:r w:rsidR="00A16204" w:rsidRPr="00C37650">
        <w:rPr>
          <w:sz w:val="22"/>
          <w:szCs w:val="22"/>
          <w:lang w:val="pl"/>
        </w:rPr>
        <w:t>sankcji</w:t>
      </w:r>
      <w:r w:rsidR="00A96C44" w:rsidRPr="00C37650">
        <w:rPr>
          <w:sz w:val="22"/>
          <w:szCs w:val="22"/>
          <w:lang w:val="pl"/>
        </w:rPr>
        <w:t>]</w:t>
      </w:r>
      <w:r w:rsidRPr="00C37650">
        <w:rPr>
          <w:sz w:val="22"/>
          <w:szCs w:val="22"/>
          <w:lang w:val="pl"/>
        </w:rPr>
        <w:t>, mimo braku kary pozbawienia wolności • Wysokość grzywny równa prawie całej kwocie niezgłoszonej przy opuszczeniu terytorium kraju (p</w:t>
      </w:r>
      <w:r w:rsidR="00C66AE6" w:rsidRPr="00C37650">
        <w:rPr>
          <w:sz w:val="22"/>
          <w:szCs w:val="22"/>
          <w:lang w:val="pl"/>
        </w:rPr>
        <w:t>onad</w:t>
      </w:r>
      <w:r w:rsidRPr="00C37650">
        <w:rPr>
          <w:sz w:val="22"/>
          <w:szCs w:val="22"/>
          <w:lang w:val="pl"/>
        </w:rPr>
        <w:t xml:space="preserve"> 150 000 EUR) • Pojęcie </w:t>
      </w:r>
      <w:r w:rsidR="007B6A4E">
        <w:rPr>
          <w:sz w:val="22"/>
          <w:szCs w:val="22"/>
          <w:lang w:val="pl"/>
        </w:rPr>
        <w:t>„</w:t>
      </w:r>
      <w:r w:rsidRPr="00C37650">
        <w:rPr>
          <w:sz w:val="22"/>
          <w:szCs w:val="22"/>
          <w:lang w:val="pl"/>
        </w:rPr>
        <w:t>sądu najwyższej instancji</w:t>
      </w:r>
      <w:r w:rsidR="007B6A4E">
        <w:rPr>
          <w:sz w:val="22"/>
          <w:szCs w:val="22"/>
          <w:lang w:val="pl"/>
        </w:rPr>
        <w:t>”</w:t>
      </w:r>
      <w:r w:rsidRPr="00C37650">
        <w:rPr>
          <w:sz w:val="22"/>
          <w:szCs w:val="22"/>
          <w:lang w:val="pl"/>
        </w:rPr>
        <w:t xml:space="preserve"> </w:t>
      </w:r>
      <w:r w:rsidR="00C66AE6" w:rsidRPr="00C37650">
        <w:rPr>
          <w:sz w:val="22"/>
          <w:szCs w:val="22"/>
          <w:lang w:val="pl"/>
        </w:rPr>
        <w:t xml:space="preserve">należy </w:t>
      </w:r>
      <w:r w:rsidRPr="00C37650">
        <w:rPr>
          <w:sz w:val="22"/>
          <w:szCs w:val="22"/>
          <w:lang w:val="pl"/>
        </w:rPr>
        <w:t>ocenia</w:t>
      </w:r>
      <w:r w:rsidR="00C66AE6" w:rsidRPr="00C37650">
        <w:rPr>
          <w:sz w:val="22"/>
          <w:szCs w:val="22"/>
          <w:lang w:val="pl"/>
        </w:rPr>
        <w:t>ć</w:t>
      </w:r>
      <w:r w:rsidRPr="00C37650">
        <w:rPr>
          <w:sz w:val="22"/>
          <w:szCs w:val="22"/>
          <w:lang w:val="pl"/>
        </w:rPr>
        <w:t xml:space="preserve"> z punktu widzenia ogólnej hierarchii sądowej, a nie progów finansowych dla wszczęcia postępowania odwoławczego • Indywidualn</w:t>
      </w:r>
      <w:r w:rsidR="00A16204" w:rsidRPr="00C37650">
        <w:rPr>
          <w:sz w:val="22"/>
          <w:szCs w:val="22"/>
          <w:lang w:val="pl"/>
        </w:rPr>
        <w:t>a skarga</w:t>
      </w:r>
      <w:r w:rsidR="00C66AE6" w:rsidRPr="00C37650">
        <w:rPr>
          <w:sz w:val="22"/>
          <w:szCs w:val="22"/>
          <w:lang w:val="pl"/>
        </w:rPr>
        <w:t xml:space="preserve"> </w:t>
      </w:r>
      <w:r w:rsidRPr="00C37650">
        <w:rPr>
          <w:sz w:val="22"/>
          <w:szCs w:val="22"/>
          <w:lang w:val="pl"/>
        </w:rPr>
        <w:t xml:space="preserve">do Trybunału Konstytucyjnego nie </w:t>
      </w:r>
      <w:r w:rsidR="00C66AE6" w:rsidRPr="00C37650">
        <w:rPr>
          <w:sz w:val="22"/>
          <w:szCs w:val="22"/>
          <w:lang w:val="pl"/>
        </w:rPr>
        <w:t>moż</w:t>
      </w:r>
      <w:r w:rsidR="00A16204" w:rsidRPr="00C37650">
        <w:rPr>
          <w:sz w:val="22"/>
          <w:szCs w:val="22"/>
          <w:lang w:val="pl"/>
        </w:rPr>
        <w:t>e być utożsamiana</w:t>
      </w:r>
      <w:r w:rsidRPr="00C37650">
        <w:rPr>
          <w:sz w:val="22"/>
          <w:szCs w:val="22"/>
          <w:lang w:val="pl"/>
        </w:rPr>
        <w:t xml:space="preserve"> z</w:t>
      </w:r>
      <w:r w:rsidR="00C66AE6" w:rsidRPr="00C37650">
        <w:rPr>
          <w:sz w:val="22"/>
          <w:szCs w:val="22"/>
          <w:lang w:val="pl"/>
        </w:rPr>
        <w:t xml:space="preserve"> odwołaniem</w:t>
      </w:r>
      <w:r w:rsidR="00A16204" w:rsidRPr="00C37650">
        <w:rPr>
          <w:sz w:val="22"/>
          <w:szCs w:val="22"/>
          <w:lang w:val="pl"/>
        </w:rPr>
        <w:t>, ponieważ jej</w:t>
      </w:r>
      <w:r w:rsidRPr="00C37650">
        <w:rPr>
          <w:sz w:val="22"/>
          <w:szCs w:val="22"/>
          <w:lang w:val="pl"/>
        </w:rPr>
        <w:t xml:space="preserve"> przedmiot jest ograniczony • Brak </w:t>
      </w:r>
      <w:r w:rsidR="00022281" w:rsidRPr="00C37650">
        <w:rPr>
          <w:sz w:val="22"/>
          <w:szCs w:val="22"/>
          <w:lang w:val="pl"/>
        </w:rPr>
        <w:t xml:space="preserve">przeprowadzenia </w:t>
      </w:r>
      <w:r w:rsidRPr="00C37650">
        <w:rPr>
          <w:sz w:val="22"/>
          <w:szCs w:val="22"/>
          <w:lang w:val="pl"/>
        </w:rPr>
        <w:t xml:space="preserve">kontroli proporcjonalności </w:t>
      </w:r>
      <w:r w:rsidR="00022281" w:rsidRPr="00C37650">
        <w:rPr>
          <w:sz w:val="22"/>
          <w:szCs w:val="22"/>
          <w:lang w:val="pl"/>
        </w:rPr>
        <w:t xml:space="preserve">przez jedyny sąd rozpatrujący sprawę skarżącego </w:t>
      </w:r>
    </w:p>
    <w:p w14:paraId="7DFE8D97" w14:textId="77777777" w:rsidR="009A7E81" w:rsidRPr="00C37650" w:rsidRDefault="009A7E81" w:rsidP="0043093E">
      <w:pPr>
        <w:pStyle w:val="DecHCase"/>
        <w:rPr>
          <w:lang w:val="pl-PL"/>
        </w:rPr>
      </w:pPr>
    </w:p>
    <w:p w14:paraId="298ADB68" w14:textId="2F1BBCD0" w:rsidR="009A7E81" w:rsidRPr="00C37650" w:rsidRDefault="009A7E81" w:rsidP="0043093E">
      <w:pPr>
        <w:pStyle w:val="DecHCase"/>
        <w:rPr>
          <w:lang w:val="pl-PL"/>
        </w:rPr>
      </w:pPr>
      <w:r w:rsidRPr="00C37650">
        <w:rPr>
          <w:lang w:val="pl"/>
        </w:rPr>
        <w:t>STRASBURG</w:t>
      </w:r>
    </w:p>
    <w:p w14:paraId="3840436F" w14:textId="2EF1076F" w:rsidR="009A7E81" w:rsidRPr="00C37650" w:rsidRDefault="009A7E81" w:rsidP="00701216">
      <w:pPr>
        <w:pStyle w:val="DecHCase"/>
        <w:rPr>
          <w:lang w:val="pl-PL"/>
        </w:rPr>
      </w:pPr>
      <w:r w:rsidRPr="00C37650">
        <w:rPr>
          <w:lang w:val="pl"/>
        </w:rPr>
        <w:t>30 czerwca 2020</w:t>
      </w:r>
    </w:p>
    <w:p w14:paraId="6E0E6493" w14:textId="77777777" w:rsidR="009A7E81" w:rsidRPr="00C37650" w:rsidRDefault="009A7E81" w:rsidP="0043093E">
      <w:pPr>
        <w:pStyle w:val="jucase0"/>
        <w:ind w:firstLine="0"/>
        <w:jc w:val="center"/>
        <w:rPr>
          <w:color w:val="FF0000"/>
          <w:sz w:val="28"/>
          <w:szCs w:val="28"/>
          <w:u w:val="single"/>
          <w:lang w:val="pl-PL"/>
        </w:rPr>
      </w:pPr>
      <w:bookmarkStart w:id="1" w:name="_GoBack"/>
      <w:bookmarkEnd w:id="1"/>
      <w:r w:rsidRPr="00C37650">
        <w:rPr>
          <w:color w:val="FF0000"/>
          <w:sz w:val="28"/>
          <w:szCs w:val="28"/>
          <w:u w:val="single"/>
          <w:lang w:val="pl"/>
        </w:rPr>
        <w:t>OSTATECZNY</w:t>
      </w:r>
    </w:p>
    <w:p w14:paraId="39354966" w14:textId="77777777" w:rsidR="009A7E81" w:rsidRPr="00C37650" w:rsidRDefault="009A7E81" w:rsidP="0043093E">
      <w:pPr>
        <w:pStyle w:val="jucase0"/>
        <w:ind w:firstLine="0"/>
        <w:jc w:val="center"/>
        <w:rPr>
          <w:color w:val="FF0000"/>
          <w:u w:val="single"/>
          <w:lang w:val="pl-PL"/>
        </w:rPr>
      </w:pPr>
    </w:p>
    <w:p w14:paraId="4C4D9A68" w14:textId="77777777" w:rsidR="009A7E81" w:rsidRPr="00C37650" w:rsidRDefault="009A7E81" w:rsidP="0043093E">
      <w:pPr>
        <w:pStyle w:val="jucase0"/>
        <w:ind w:firstLine="0"/>
        <w:jc w:val="center"/>
        <w:rPr>
          <w:b w:val="0"/>
          <w:color w:val="FF0000"/>
          <w:sz w:val="28"/>
          <w:szCs w:val="28"/>
          <w:lang w:val="pl-PL"/>
        </w:rPr>
      </w:pPr>
      <w:r w:rsidRPr="00C37650">
        <w:rPr>
          <w:b w:val="0"/>
          <w:bCs w:val="0"/>
          <w:color w:val="FF0000"/>
          <w:sz w:val="28"/>
          <w:szCs w:val="28"/>
          <w:lang w:val="pl"/>
        </w:rPr>
        <w:t>30/09/2020</w:t>
      </w:r>
    </w:p>
    <w:p w14:paraId="4719FC5B" w14:textId="61BB18F5" w:rsidR="009A7E81" w:rsidRPr="00C37650" w:rsidRDefault="009A7E81" w:rsidP="00245443">
      <w:pPr>
        <w:pStyle w:val="jupara0"/>
        <w:ind w:firstLine="0"/>
        <w:rPr>
          <w:u w:val="single"/>
          <w:lang w:val="pl-PL"/>
        </w:rPr>
      </w:pPr>
    </w:p>
    <w:p w14:paraId="4AF30693" w14:textId="562733BB" w:rsidR="009A7E81" w:rsidRPr="00C37650" w:rsidRDefault="009A7E81" w:rsidP="0043093E">
      <w:pPr>
        <w:jc w:val="center"/>
        <w:rPr>
          <w:lang w:val="pl-PL"/>
        </w:rPr>
      </w:pPr>
      <w:r w:rsidRPr="00C37650">
        <w:rPr>
          <w:i/>
          <w:iCs/>
          <w:sz w:val="22"/>
          <w:szCs w:val="22"/>
          <w:lang w:val="pl"/>
        </w:rPr>
        <w:t xml:space="preserve">Wyrok ten stał się ostateczny na podstawie art. 44 </w:t>
      </w:r>
      <w:r w:rsidR="00C03AF0" w:rsidRPr="00C37650">
        <w:rPr>
          <w:i/>
          <w:iCs/>
          <w:sz w:val="22"/>
          <w:szCs w:val="22"/>
          <w:lang w:val="pl"/>
        </w:rPr>
        <w:t>ust.</w:t>
      </w:r>
      <w:r w:rsidRPr="00C37650">
        <w:rPr>
          <w:i/>
          <w:iCs/>
          <w:sz w:val="22"/>
          <w:szCs w:val="22"/>
          <w:lang w:val="pl"/>
        </w:rPr>
        <w:t xml:space="preserve"> 2 Konwencji.</w:t>
      </w:r>
    </w:p>
    <w:p w14:paraId="6850153C" w14:textId="77777777" w:rsidR="009A7E81" w:rsidRPr="00C37650" w:rsidRDefault="009A7E81" w:rsidP="0043093E">
      <w:pPr>
        <w:pStyle w:val="JuCase"/>
        <w:rPr>
          <w:lang w:val="pl-PL"/>
        </w:rPr>
        <w:sectPr w:rsidR="009A7E81" w:rsidRPr="00C37650" w:rsidSect="007E67A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titlePg/>
          <w:docGrid w:linePitch="326"/>
        </w:sectPr>
      </w:pPr>
    </w:p>
    <w:p w14:paraId="634B84D9" w14:textId="531A707A" w:rsidR="009A7E81" w:rsidRPr="00C37650" w:rsidRDefault="009A7E81" w:rsidP="0043093E">
      <w:pPr>
        <w:pStyle w:val="JuCase"/>
        <w:rPr>
          <w:lang w:val="pl-PL"/>
        </w:rPr>
      </w:pPr>
      <w:r w:rsidRPr="00C37650">
        <w:rPr>
          <w:bCs/>
          <w:lang w:val="pl"/>
        </w:rPr>
        <w:lastRenderedPageBreak/>
        <w:t xml:space="preserve">W sprawie </w:t>
      </w:r>
      <w:proofErr w:type="spellStart"/>
      <w:r w:rsidRPr="00C37650">
        <w:rPr>
          <w:bCs/>
          <w:lang w:val="pl"/>
        </w:rPr>
        <w:t>Saquetti</w:t>
      </w:r>
      <w:proofErr w:type="spellEnd"/>
      <w:r w:rsidRPr="00C37650">
        <w:rPr>
          <w:bCs/>
          <w:lang w:val="pl"/>
        </w:rPr>
        <w:t xml:space="preserve"> Iglesias przeciwko Hiszpanii,</w:t>
      </w:r>
    </w:p>
    <w:p w14:paraId="633461CE" w14:textId="0E633A52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lang w:val="pl"/>
        </w:rPr>
        <w:t xml:space="preserve">Europejski Trybunał Praw Człowieka (Sekcja </w:t>
      </w:r>
      <w:r w:rsidR="00022281" w:rsidRPr="00C37650">
        <w:rPr>
          <w:lang w:val="pl"/>
        </w:rPr>
        <w:t>Trzecia</w:t>
      </w:r>
      <w:r w:rsidRPr="00C37650">
        <w:rPr>
          <w:lang w:val="pl"/>
        </w:rPr>
        <w:t xml:space="preserve">), obradujący </w:t>
      </w:r>
      <w:r w:rsidR="00A16204" w:rsidRPr="00C37650">
        <w:rPr>
          <w:lang w:val="pl"/>
        </w:rPr>
        <w:t>jako Izba</w:t>
      </w:r>
      <w:r w:rsidR="00C70643" w:rsidRPr="00C37650">
        <w:rPr>
          <w:lang w:val="pl"/>
        </w:rPr>
        <w:t>, w skład której weszli</w:t>
      </w:r>
      <w:r w:rsidRPr="00C37650">
        <w:rPr>
          <w:lang w:val="pl"/>
        </w:rPr>
        <w:t>:</w:t>
      </w:r>
    </w:p>
    <w:p w14:paraId="6B990808" w14:textId="0FC10EAB" w:rsidR="009A7E81" w:rsidRPr="00C37650" w:rsidRDefault="009A7E81" w:rsidP="0043093E">
      <w:pPr>
        <w:pStyle w:val="JuJudges"/>
        <w:rPr>
          <w:lang w:val="pl"/>
        </w:rPr>
      </w:pPr>
      <w:r w:rsidRPr="00C37650">
        <w:rPr>
          <w:lang w:val="pl"/>
        </w:rPr>
        <w:tab/>
        <w:t xml:space="preserve">Paul </w:t>
      </w:r>
      <w:proofErr w:type="spellStart"/>
      <w:r w:rsidRPr="00C37650">
        <w:rPr>
          <w:lang w:val="pl"/>
        </w:rPr>
        <w:t>Lemmens</w:t>
      </w:r>
      <w:proofErr w:type="spellEnd"/>
      <w:r w:rsidRPr="00C37650">
        <w:rPr>
          <w:lang w:val="pl"/>
        </w:rPr>
        <w:t xml:space="preserve">, </w:t>
      </w:r>
      <w:r w:rsidRPr="00C37650">
        <w:rPr>
          <w:i/>
          <w:iCs/>
          <w:lang w:val="pl"/>
        </w:rPr>
        <w:t>przewodniczący</w:t>
      </w:r>
      <w:r w:rsidRPr="00C37650">
        <w:rPr>
          <w:lang w:val="pl"/>
        </w:rPr>
        <w:t>,</w:t>
      </w:r>
      <w:r w:rsidRPr="00C37650">
        <w:rPr>
          <w:lang w:val="pl"/>
        </w:rPr>
        <w:br/>
      </w:r>
      <w:r w:rsidRPr="00C37650">
        <w:rPr>
          <w:lang w:val="pl"/>
        </w:rPr>
        <w:tab/>
        <w:t>Helen Keller,</w:t>
      </w:r>
      <w:r w:rsidRPr="00C37650">
        <w:rPr>
          <w:lang w:val="pl"/>
        </w:rPr>
        <w:br/>
      </w:r>
      <w:r w:rsidRPr="00C37650">
        <w:rPr>
          <w:lang w:val="pl"/>
        </w:rPr>
        <w:tab/>
        <w:t xml:space="preserve">Alena </w:t>
      </w:r>
      <w:proofErr w:type="spellStart"/>
      <w:r w:rsidRPr="00C37650">
        <w:rPr>
          <w:lang w:val="pl"/>
        </w:rPr>
        <w:t>Poláčková</w:t>
      </w:r>
      <w:proofErr w:type="spellEnd"/>
      <w:r w:rsidRPr="00C37650">
        <w:rPr>
          <w:lang w:val="pl"/>
        </w:rPr>
        <w:t>,</w:t>
      </w:r>
      <w:r w:rsidRPr="00C37650">
        <w:rPr>
          <w:lang w:val="pl"/>
        </w:rPr>
        <w:br/>
      </w:r>
      <w:r w:rsidRPr="00C37650">
        <w:rPr>
          <w:lang w:val="pl"/>
        </w:rPr>
        <w:tab/>
      </w:r>
      <w:proofErr w:type="spellStart"/>
      <w:r w:rsidRPr="00C37650">
        <w:rPr>
          <w:lang w:val="pl"/>
        </w:rPr>
        <w:t>María</w:t>
      </w:r>
      <w:proofErr w:type="spellEnd"/>
      <w:r w:rsidRPr="00C37650">
        <w:rPr>
          <w:lang w:val="pl"/>
        </w:rPr>
        <w:t xml:space="preserve"> </w:t>
      </w:r>
      <w:proofErr w:type="spellStart"/>
      <w:r w:rsidRPr="00C37650">
        <w:rPr>
          <w:lang w:val="pl"/>
        </w:rPr>
        <w:t>Elósegui</w:t>
      </w:r>
      <w:proofErr w:type="spellEnd"/>
      <w:r w:rsidRPr="00C37650">
        <w:rPr>
          <w:lang w:val="pl"/>
        </w:rPr>
        <w:t>,</w:t>
      </w:r>
      <w:r w:rsidRPr="00C37650">
        <w:rPr>
          <w:lang w:val="pl"/>
        </w:rPr>
        <w:br/>
      </w:r>
      <w:r w:rsidRPr="00C37650">
        <w:rPr>
          <w:lang w:val="pl"/>
        </w:rPr>
        <w:tab/>
        <w:t xml:space="preserve">Gilberto </w:t>
      </w:r>
      <w:proofErr w:type="spellStart"/>
      <w:r w:rsidRPr="00C37650">
        <w:rPr>
          <w:lang w:val="pl"/>
        </w:rPr>
        <w:t>Felici</w:t>
      </w:r>
      <w:proofErr w:type="spellEnd"/>
      <w:r w:rsidRPr="00C37650">
        <w:rPr>
          <w:lang w:val="pl"/>
        </w:rPr>
        <w:t>,</w:t>
      </w:r>
      <w:r w:rsidRPr="00C37650">
        <w:rPr>
          <w:lang w:val="pl"/>
        </w:rPr>
        <w:br/>
      </w:r>
      <w:r w:rsidRPr="00C37650">
        <w:rPr>
          <w:lang w:val="pl"/>
        </w:rPr>
        <w:tab/>
        <w:t xml:space="preserve">Erik </w:t>
      </w:r>
      <w:proofErr w:type="spellStart"/>
      <w:r w:rsidRPr="00C37650">
        <w:rPr>
          <w:lang w:val="pl"/>
        </w:rPr>
        <w:t>Wennerström</w:t>
      </w:r>
      <w:proofErr w:type="spellEnd"/>
      <w:r w:rsidRPr="00C37650">
        <w:rPr>
          <w:lang w:val="pl"/>
        </w:rPr>
        <w:t>,</w:t>
      </w:r>
      <w:r w:rsidRPr="00C37650">
        <w:rPr>
          <w:lang w:val="pl"/>
        </w:rPr>
        <w:br/>
      </w:r>
      <w:r w:rsidRPr="00C37650">
        <w:rPr>
          <w:lang w:val="pl"/>
        </w:rPr>
        <w:tab/>
        <w:t xml:space="preserve">Lorraine </w:t>
      </w:r>
      <w:proofErr w:type="spellStart"/>
      <w:r w:rsidRPr="00C37650">
        <w:rPr>
          <w:lang w:val="pl"/>
        </w:rPr>
        <w:t>Schembri</w:t>
      </w:r>
      <w:proofErr w:type="spellEnd"/>
      <w:r w:rsidRPr="00C37650">
        <w:rPr>
          <w:lang w:val="pl"/>
        </w:rPr>
        <w:t xml:space="preserve"> </w:t>
      </w:r>
      <w:proofErr w:type="spellStart"/>
      <w:r w:rsidRPr="00C37650">
        <w:rPr>
          <w:lang w:val="pl"/>
        </w:rPr>
        <w:t>Orland</w:t>
      </w:r>
      <w:proofErr w:type="spellEnd"/>
      <w:r w:rsidRPr="00C37650">
        <w:rPr>
          <w:lang w:val="pl"/>
        </w:rPr>
        <w:t xml:space="preserve">, </w:t>
      </w:r>
      <w:r w:rsidRPr="00C37650">
        <w:rPr>
          <w:i/>
          <w:iCs/>
          <w:lang w:val="pl"/>
        </w:rPr>
        <w:t>sędziowie</w:t>
      </w:r>
      <w:r w:rsidRPr="00C37650">
        <w:rPr>
          <w:lang w:val="pl"/>
        </w:rPr>
        <w:t>,</w:t>
      </w:r>
      <w:r w:rsidRPr="00C37650">
        <w:rPr>
          <w:lang w:val="pl"/>
        </w:rPr>
        <w:br/>
        <w:t xml:space="preserve">i Milan </w:t>
      </w:r>
      <w:proofErr w:type="spellStart"/>
      <w:r w:rsidRPr="00C37650">
        <w:rPr>
          <w:rStyle w:val="JuJudgesChar"/>
          <w:lang w:val="pl"/>
        </w:rPr>
        <w:t>Blaško</w:t>
      </w:r>
      <w:proofErr w:type="spellEnd"/>
      <w:r w:rsidRPr="00C37650">
        <w:rPr>
          <w:lang w:val="pl"/>
        </w:rPr>
        <w:t xml:space="preserve">, </w:t>
      </w:r>
      <w:r w:rsidR="00F42049" w:rsidRPr="00C37650">
        <w:rPr>
          <w:i/>
          <w:lang w:val="pl"/>
        </w:rPr>
        <w:t>Kanclerz</w:t>
      </w:r>
      <w:r w:rsidRPr="00C37650">
        <w:rPr>
          <w:i/>
          <w:iCs/>
          <w:lang w:val="pl"/>
        </w:rPr>
        <w:t xml:space="preserve"> </w:t>
      </w:r>
      <w:r w:rsidR="00030FAB" w:rsidRPr="00C37650">
        <w:rPr>
          <w:i/>
          <w:iCs/>
          <w:lang w:val="pl"/>
        </w:rPr>
        <w:t>Sekcji</w:t>
      </w:r>
      <w:r w:rsidRPr="00C37650">
        <w:rPr>
          <w:lang w:val="pl"/>
        </w:rPr>
        <w:t>,</w:t>
      </w:r>
    </w:p>
    <w:p w14:paraId="68D5FFD5" w14:textId="7C5C7668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lang w:val="pl"/>
        </w:rPr>
        <w:t xml:space="preserve">Po naradzie </w:t>
      </w:r>
      <w:r w:rsidR="00022281" w:rsidRPr="00C37650">
        <w:rPr>
          <w:lang w:val="pl"/>
        </w:rPr>
        <w:t xml:space="preserve">na posiedzeniu niejawnym </w:t>
      </w:r>
      <w:r w:rsidRPr="00C37650">
        <w:rPr>
          <w:lang w:val="pl"/>
        </w:rPr>
        <w:t>w dniu 3 czerwca 2020 r,</w:t>
      </w:r>
    </w:p>
    <w:p w14:paraId="74C481FE" w14:textId="6D4A50D1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lang w:val="pl"/>
        </w:rPr>
        <w:t>Wydaje następujący wyrok, przyjęty w tym dniu:</w:t>
      </w:r>
    </w:p>
    <w:p w14:paraId="31BBD187" w14:textId="77777777" w:rsidR="009A7E81" w:rsidRPr="00C37650" w:rsidRDefault="009A7E81" w:rsidP="0043093E">
      <w:pPr>
        <w:pStyle w:val="JuHHead"/>
      </w:pPr>
      <w:r w:rsidRPr="00C37650">
        <w:rPr>
          <w:bCs w:val="0"/>
          <w:lang w:val="pl"/>
        </w:rPr>
        <w:t>PROCEDURA</w:t>
      </w:r>
    </w:p>
    <w:p w14:paraId="0D620362" w14:textId="24C73AE1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1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U podstaw tej sprawy leży skarga (nr 50514/13) skierowana przeciwko Królestwu Hiszpanii wniesiona do Trybunału na podstawie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34 Konwencji o ochronie praw czło</w:t>
      </w:r>
      <w:r w:rsidR="00DC474C">
        <w:rPr>
          <w:lang w:val="pl"/>
        </w:rPr>
        <w:t xml:space="preserve">wieka i podstawowych wolności </w:t>
      </w:r>
      <w:r w:rsidR="00AB0707">
        <w:rPr>
          <w:lang w:val="pl"/>
        </w:rPr>
        <w:t>(„</w:t>
      </w:r>
      <w:r w:rsidRPr="00C37650">
        <w:rPr>
          <w:lang w:val="pl"/>
        </w:rPr>
        <w:t>Konwencja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) przez obywatela tego Państwa, pana </w:t>
      </w:r>
      <w:proofErr w:type="spellStart"/>
      <w:r w:rsidRPr="00C37650">
        <w:rPr>
          <w:lang w:val="pl"/>
        </w:rPr>
        <w:t>Martína</w:t>
      </w:r>
      <w:proofErr w:type="spellEnd"/>
      <w:r w:rsidRPr="00C37650">
        <w:rPr>
          <w:lang w:val="pl"/>
        </w:rPr>
        <w:t xml:space="preserve"> </w:t>
      </w:r>
      <w:proofErr w:type="spellStart"/>
      <w:r w:rsidRPr="00C37650">
        <w:rPr>
          <w:lang w:val="pl"/>
        </w:rPr>
        <w:t>Saquetti</w:t>
      </w:r>
      <w:r w:rsidR="00C70643" w:rsidRPr="00C37650">
        <w:rPr>
          <w:lang w:val="pl"/>
        </w:rPr>
        <w:t>ego</w:t>
      </w:r>
      <w:proofErr w:type="spellEnd"/>
      <w:r w:rsidRPr="00C37650">
        <w:rPr>
          <w:lang w:val="pl"/>
        </w:rPr>
        <w:t xml:space="preserve"> Iglesiasa</w:t>
      </w:r>
      <w:r w:rsidR="00DC474C">
        <w:rPr>
          <w:lang w:val="pl"/>
        </w:rPr>
        <w:t xml:space="preserve"> </w:t>
      </w:r>
      <w:r w:rsidR="00AB0707">
        <w:rPr>
          <w:lang w:val="pl"/>
        </w:rPr>
        <w:t>(„</w:t>
      </w:r>
      <w:r w:rsidRPr="00C37650">
        <w:rPr>
          <w:lang w:val="pl"/>
        </w:rPr>
        <w:t>skarżący</w:t>
      </w:r>
      <w:r w:rsidR="007B6A4E">
        <w:rPr>
          <w:lang w:val="pl"/>
        </w:rPr>
        <w:t>”</w:t>
      </w:r>
      <w:r w:rsidRPr="00C37650">
        <w:rPr>
          <w:lang w:val="pl"/>
        </w:rPr>
        <w:t>), w</w:t>
      </w:r>
      <w:r w:rsidR="00E25E1C" w:rsidRPr="00C37650">
        <w:rPr>
          <w:lang w:val="pl"/>
        </w:rPr>
        <w:t> </w:t>
      </w:r>
      <w:r w:rsidRPr="00C37650">
        <w:rPr>
          <w:lang w:val="pl"/>
        </w:rPr>
        <w:t>dniu 29 lipca 2013</w:t>
      </w:r>
      <w:r w:rsidR="00EB274B" w:rsidRPr="00C37650">
        <w:rPr>
          <w:lang w:val="pl"/>
        </w:rPr>
        <w:t xml:space="preserve"> r.</w:t>
      </w:r>
    </w:p>
    <w:p w14:paraId="04288A31" w14:textId="0FDF6648" w:rsidR="009A7E81" w:rsidRPr="00C37650" w:rsidRDefault="009A7E81" w:rsidP="0043093E">
      <w:pPr>
        <w:pStyle w:val="JuPara"/>
        <w:rPr>
          <w:rFonts w:ascii="Times New Roman" w:hAnsi="Times New Roman" w:cs="Times New Roman"/>
          <w:color w:val="000000"/>
          <w:lang w:val="pl-PL"/>
        </w:rPr>
      </w:pPr>
      <w:r w:rsidRPr="00C37650">
        <w:rPr>
          <w:noProof/>
          <w:lang w:val="pl"/>
        </w:rPr>
        <w:t>2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Skarżący był reprezentowany przez </w:t>
      </w:r>
      <w:r w:rsidR="00C70643" w:rsidRPr="00C37650">
        <w:rPr>
          <w:lang w:val="pl"/>
        </w:rPr>
        <w:t xml:space="preserve">pana </w:t>
      </w:r>
      <w:proofErr w:type="spellStart"/>
      <w:r w:rsidRPr="00C37650">
        <w:rPr>
          <w:lang w:val="pl"/>
        </w:rPr>
        <w:t>J.E</w:t>
      </w:r>
      <w:proofErr w:type="spellEnd"/>
      <w:r w:rsidRPr="00C37650">
        <w:rPr>
          <w:lang w:val="pl"/>
        </w:rPr>
        <w:t xml:space="preserve">. </w:t>
      </w:r>
      <w:proofErr w:type="spellStart"/>
      <w:r w:rsidRPr="00C37650">
        <w:rPr>
          <w:lang w:val="pl"/>
        </w:rPr>
        <w:t>Raschetti</w:t>
      </w:r>
      <w:r w:rsidR="00C70643" w:rsidRPr="00C37650">
        <w:rPr>
          <w:lang w:val="pl"/>
        </w:rPr>
        <w:t>ego</w:t>
      </w:r>
      <w:proofErr w:type="spellEnd"/>
      <w:r w:rsidRPr="00C37650">
        <w:rPr>
          <w:lang w:val="pl"/>
        </w:rPr>
        <w:t xml:space="preserve"> </w:t>
      </w:r>
      <w:proofErr w:type="spellStart"/>
      <w:r w:rsidRPr="00C37650">
        <w:rPr>
          <w:lang w:val="pl"/>
        </w:rPr>
        <w:t>Rocca</w:t>
      </w:r>
      <w:proofErr w:type="spellEnd"/>
      <w:r w:rsidRPr="00C37650">
        <w:rPr>
          <w:lang w:val="pl"/>
        </w:rPr>
        <w:t>, adwoka</w:t>
      </w:r>
      <w:r w:rsidR="00DC474C">
        <w:rPr>
          <w:lang w:val="pl"/>
        </w:rPr>
        <w:t xml:space="preserve">ta z Madrytu. Rząd hiszpański </w:t>
      </w:r>
      <w:r w:rsidR="00AB0707">
        <w:rPr>
          <w:lang w:val="pl"/>
        </w:rPr>
        <w:t>(„</w:t>
      </w:r>
      <w:r w:rsidRPr="00C37650">
        <w:rPr>
          <w:lang w:val="pl"/>
        </w:rPr>
        <w:t>Rząd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) był reprezentowany przez swojego pełnomocnika, </w:t>
      </w:r>
      <w:r w:rsidRPr="00C37650">
        <w:rPr>
          <w:rFonts w:ascii="Times New Roman" w:hAnsi="Times New Roman"/>
          <w:color w:val="000000"/>
          <w:lang w:val="pl"/>
        </w:rPr>
        <w:t xml:space="preserve">pana R.-A. </w:t>
      </w:r>
      <w:proofErr w:type="spellStart"/>
      <w:r w:rsidRPr="00C37650">
        <w:rPr>
          <w:rFonts w:ascii="Times New Roman" w:hAnsi="Times New Roman"/>
          <w:color w:val="000000"/>
          <w:lang w:val="pl"/>
        </w:rPr>
        <w:t>León</w:t>
      </w:r>
      <w:r w:rsidR="00C70643" w:rsidRPr="00C37650">
        <w:rPr>
          <w:rFonts w:ascii="Times New Roman" w:hAnsi="Times New Roman"/>
          <w:color w:val="000000"/>
          <w:lang w:val="pl"/>
        </w:rPr>
        <w:t>a</w:t>
      </w:r>
      <w:proofErr w:type="spellEnd"/>
      <w:r w:rsidRPr="00C37650">
        <w:rPr>
          <w:rFonts w:ascii="Times New Roman" w:hAnsi="Times New Roman"/>
          <w:color w:val="000000"/>
          <w:lang w:val="pl"/>
        </w:rPr>
        <w:t xml:space="preserve"> </w:t>
      </w:r>
      <w:proofErr w:type="spellStart"/>
      <w:r w:rsidRPr="00C37650">
        <w:rPr>
          <w:rFonts w:ascii="Times New Roman" w:hAnsi="Times New Roman"/>
          <w:color w:val="000000"/>
          <w:lang w:val="pl"/>
        </w:rPr>
        <w:t>Cavero</w:t>
      </w:r>
      <w:proofErr w:type="spellEnd"/>
      <w:r w:rsidRPr="00C37650">
        <w:rPr>
          <w:rFonts w:ascii="Times New Roman" w:hAnsi="Times New Roman"/>
          <w:color w:val="000000"/>
          <w:lang w:val="pl"/>
        </w:rPr>
        <w:t>, prawnika państwowego i</w:t>
      </w:r>
      <w:r w:rsidR="00E25E1C" w:rsidRPr="00C37650">
        <w:rPr>
          <w:rFonts w:ascii="Times New Roman" w:hAnsi="Times New Roman"/>
          <w:color w:val="000000"/>
          <w:lang w:val="pl"/>
        </w:rPr>
        <w:t> </w:t>
      </w:r>
      <w:r w:rsidRPr="00C37650">
        <w:rPr>
          <w:rFonts w:ascii="Times New Roman" w:hAnsi="Times New Roman"/>
          <w:color w:val="000000"/>
          <w:lang w:val="pl"/>
        </w:rPr>
        <w:t>szefa departamentu prawnego ds. praw człowieka w Ministerstwie Sprawiedliwości</w:t>
      </w:r>
      <w:r w:rsidRPr="00C37650">
        <w:rPr>
          <w:lang w:val="pl"/>
        </w:rPr>
        <w:t>.</w:t>
      </w:r>
    </w:p>
    <w:p w14:paraId="224A2722" w14:textId="5CB98EE2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3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W dniach 13 czerwca 2014</w:t>
      </w:r>
      <w:r w:rsidR="00EB274B" w:rsidRPr="00C37650">
        <w:rPr>
          <w:lang w:val="pl"/>
        </w:rPr>
        <w:t xml:space="preserve"> r.</w:t>
      </w:r>
      <w:r w:rsidRPr="00C37650">
        <w:rPr>
          <w:lang w:val="pl"/>
        </w:rPr>
        <w:t xml:space="preserve"> i 2 października 2019</w:t>
      </w:r>
      <w:r w:rsidR="00EB274B" w:rsidRPr="00C37650">
        <w:rPr>
          <w:lang w:val="pl"/>
        </w:rPr>
        <w:t xml:space="preserve"> r.</w:t>
      </w:r>
      <w:r w:rsidRPr="00C37650">
        <w:rPr>
          <w:lang w:val="pl"/>
        </w:rPr>
        <w:t xml:space="preserve"> skarga dotycząca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2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1 Protokołu nr 7 do Konwencji została zakomunikowana Rządowi, w pozostałym </w:t>
      </w:r>
      <w:r w:rsidR="00A16204" w:rsidRPr="00C37650">
        <w:rPr>
          <w:lang w:val="pl"/>
        </w:rPr>
        <w:t xml:space="preserve">zaś </w:t>
      </w:r>
      <w:r w:rsidRPr="00C37650">
        <w:rPr>
          <w:lang w:val="pl"/>
        </w:rPr>
        <w:t xml:space="preserve">zakresie </w:t>
      </w:r>
      <w:r w:rsidR="00F42049" w:rsidRPr="00C37650">
        <w:rPr>
          <w:lang w:val="pl"/>
        </w:rPr>
        <w:t xml:space="preserve">skarga została uznana za niedopuszczalną </w:t>
      </w:r>
      <w:r w:rsidRPr="00C37650">
        <w:rPr>
          <w:lang w:val="pl"/>
        </w:rPr>
        <w:t xml:space="preserve">zgodnie z </w:t>
      </w:r>
      <w:r w:rsidR="00A16204" w:rsidRPr="00C37650">
        <w:rPr>
          <w:lang w:val="pl"/>
        </w:rPr>
        <w:t>Regułą</w:t>
      </w:r>
      <w:r w:rsidRPr="00C37650">
        <w:rPr>
          <w:lang w:val="pl"/>
        </w:rPr>
        <w:t xml:space="preserve"> 54 § 3 Regulaminu Trybunału.</w:t>
      </w:r>
    </w:p>
    <w:p w14:paraId="21D47C4D" w14:textId="77777777" w:rsidR="00087E79" w:rsidRPr="00C37650" w:rsidRDefault="00087E79" w:rsidP="00087E79">
      <w:pPr>
        <w:pStyle w:val="JuPara"/>
        <w:ind w:firstLine="0"/>
        <w:rPr>
          <w:lang w:val="pl-PL"/>
        </w:rPr>
      </w:pPr>
    </w:p>
    <w:p w14:paraId="4AD16DEF" w14:textId="07980BC2" w:rsidR="00087E79" w:rsidRPr="00C37650" w:rsidRDefault="005155A5" w:rsidP="00087E79">
      <w:pPr>
        <w:pStyle w:val="JuPara"/>
        <w:ind w:firstLine="0"/>
        <w:rPr>
          <w:sz w:val="28"/>
          <w:szCs w:val="28"/>
          <w:lang w:val="pl-PL"/>
        </w:rPr>
      </w:pPr>
      <w:r w:rsidRPr="00C37650">
        <w:rPr>
          <w:sz w:val="28"/>
          <w:szCs w:val="28"/>
          <w:lang w:val="pl"/>
        </w:rPr>
        <w:t>FAKTY</w:t>
      </w:r>
    </w:p>
    <w:p w14:paraId="58C6EA01" w14:textId="77777777" w:rsidR="00087E79" w:rsidRPr="00C37650" w:rsidRDefault="00087E79" w:rsidP="00087E79">
      <w:pPr>
        <w:pStyle w:val="JuPara"/>
        <w:ind w:firstLine="0"/>
        <w:rPr>
          <w:lang w:val="pl-PL"/>
        </w:rPr>
      </w:pPr>
    </w:p>
    <w:p w14:paraId="16B7C511" w14:textId="4B9A9C78" w:rsidR="00087E79" w:rsidRPr="00C37650" w:rsidRDefault="00087E79" w:rsidP="00087E79">
      <w:pPr>
        <w:pStyle w:val="JuPara"/>
        <w:ind w:firstLine="0"/>
        <w:rPr>
          <w:i/>
          <w:iCs/>
          <w:lang w:val="pl-PL"/>
        </w:rPr>
      </w:pPr>
      <w:r w:rsidRPr="00C37650">
        <w:rPr>
          <w:i/>
          <w:iCs/>
          <w:lang w:val="pl"/>
        </w:rPr>
        <w:t>[Paragrafy 4-1</w:t>
      </w:r>
      <w:r w:rsidR="00FD56C2" w:rsidRPr="00C37650">
        <w:rPr>
          <w:i/>
          <w:iCs/>
          <w:lang w:val="pl"/>
        </w:rPr>
        <w:t>7</w:t>
      </w:r>
      <w:r w:rsidRPr="00C37650">
        <w:rPr>
          <w:i/>
          <w:iCs/>
          <w:lang w:val="pl"/>
        </w:rPr>
        <w:t xml:space="preserve"> wyroku pominięto i zastąpiono tłumaczeniem poniższego streszczenia przygotowanego przez Kancelarię Europejskiego Trybunału Praw Człowieka </w:t>
      </w:r>
    </w:p>
    <w:p w14:paraId="230FE70F" w14:textId="77777777" w:rsidR="00087E79" w:rsidRPr="00C37650" w:rsidRDefault="00087E79" w:rsidP="00087E79">
      <w:pPr>
        <w:pStyle w:val="JuPara"/>
        <w:ind w:firstLine="0"/>
        <w:rPr>
          <w:i/>
          <w:iCs/>
          <w:lang w:val="pl-PL"/>
        </w:rPr>
      </w:pPr>
    </w:p>
    <w:p w14:paraId="341FE1AC" w14:textId="50A23E3D" w:rsidR="00087E79" w:rsidRPr="00C37650" w:rsidRDefault="00087E79" w:rsidP="00087E79">
      <w:pPr>
        <w:pStyle w:val="JuPara"/>
        <w:ind w:firstLine="0"/>
        <w:rPr>
          <w:i/>
          <w:iCs/>
          <w:u w:val="single"/>
          <w:lang w:val="pl-PL"/>
        </w:rPr>
      </w:pPr>
      <w:r w:rsidRPr="00C37650">
        <w:rPr>
          <w:i/>
          <w:iCs/>
          <w:u w:val="single"/>
          <w:lang w:val="pl"/>
        </w:rPr>
        <w:t>Streszczenie stanu faktycznego</w:t>
      </w:r>
      <w:r w:rsidRPr="00C37650">
        <w:rPr>
          <w:rStyle w:val="Odwoanieprzypisudolnego"/>
          <w:lang w:val="pl"/>
        </w:rPr>
        <w:footnoteReference w:id="2"/>
      </w:r>
    </w:p>
    <w:p w14:paraId="2D3EB38A" w14:textId="69D3BA8D" w:rsidR="00087E79" w:rsidRPr="00C37650" w:rsidRDefault="00087E79" w:rsidP="00087E79">
      <w:pPr>
        <w:pStyle w:val="ClinContent"/>
        <w:rPr>
          <w:rFonts w:ascii="Times New Roman" w:hAnsi="Times New Roman"/>
          <w:sz w:val="24"/>
          <w:lang w:val="pl-PL"/>
        </w:rPr>
      </w:pPr>
      <w:r w:rsidRPr="00C37650">
        <w:rPr>
          <w:rFonts w:ascii="Times New Roman" w:hAnsi="Times New Roman"/>
          <w:sz w:val="24"/>
          <w:lang w:val="pl"/>
        </w:rPr>
        <w:t xml:space="preserve">W marcu 2011 r., w czasie kontroli celnej przy wyjeździe z terytorium Hiszpanii, skarżący został przyłapany z kwotą pieniężną przekraczającą limit, </w:t>
      </w:r>
      <w:r w:rsidRPr="00C37650">
        <w:rPr>
          <w:rFonts w:ascii="Times New Roman" w:hAnsi="Times New Roman"/>
          <w:sz w:val="24"/>
          <w:lang w:val="pl"/>
        </w:rPr>
        <w:lastRenderedPageBreak/>
        <w:t>od którego powstaje obowiązek złożenia deklaracji (10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000 EUR). Właściwy organ ukarał go grzywną w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wysokości 153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800 EUR – stanowiącą prawie równowartość przedmiotowej kwoty pieniężnej. Skarżący wyjaśnił, że</w:t>
      </w:r>
      <w:r w:rsidR="00E25E1C" w:rsidRPr="00C37650">
        <w:rPr>
          <w:rFonts w:ascii="Times New Roman" w:hAnsi="Times New Roman"/>
          <w:sz w:val="24"/>
          <w:lang w:val="pl"/>
        </w:rPr>
        <w:t> </w:t>
      </w:r>
      <w:r w:rsidRPr="00C37650">
        <w:rPr>
          <w:rFonts w:ascii="Times New Roman" w:hAnsi="Times New Roman"/>
          <w:sz w:val="24"/>
          <w:lang w:val="pl"/>
        </w:rPr>
        <w:t>pieniądze pochodziły z wwozów gotówki przy powrotach z podróży do</w:t>
      </w:r>
      <w:r w:rsidR="00E25E1C" w:rsidRPr="00C37650">
        <w:rPr>
          <w:rFonts w:ascii="Times New Roman" w:hAnsi="Times New Roman"/>
          <w:sz w:val="24"/>
          <w:lang w:val="pl"/>
        </w:rPr>
        <w:t> </w:t>
      </w:r>
      <w:r w:rsidRPr="00C37650">
        <w:rPr>
          <w:rFonts w:ascii="Times New Roman" w:hAnsi="Times New Roman"/>
          <w:sz w:val="24"/>
          <w:lang w:val="pl"/>
        </w:rPr>
        <w:t>Argentyny, które były zgodnie z prawem zadeklarowane na kwotę przekraczającą w sumie 300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 xml:space="preserve">000 EUR w ciągu dekady. </w:t>
      </w:r>
    </w:p>
    <w:p w14:paraId="597A9364" w14:textId="5F803CC6" w:rsidR="00087E79" w:rsidRPr="00C37650" w:rsidRDefault="00087E79" w:rsidP="00087E79">
      <w:pPr>
        <w:pStyle w:val="ClinContent"/>
        <w:rPr>
          <w:rFonts w:ascii="Times New Roman" w:hAnsi="Times New Roman"/>
          <w:sz w:val="24"/>
          <w:lang w:val="pl-PL"/>
        </w:rPr>
      </w:pPr>
      <w:r w:rsidRPr="00C37650">
        <w:rPr>
          <w:rFonts w:ascii="Times New Roman" w:hAnsi="Times New Roman"/>
          <w:sz w:val="24"/>
          <w:lang w:val="pl"/>
        </w:rPr>
        <w:t>W październiku 2011 r. skarżący złożył skargę administracyjną. W 2013 r. Wyższy Trybunał Sprawiedliwości w Madrycie oddalił tę skargę, wskazując, że od tego wyroku administracyjnego nie przysługuje środek zaskarżenia, gdyż w międzyczasie zmieniono ustawę, podnosząc próg uprawniający do</w:t>
      </w:r>
      <w:r w:rsidR="00E25E1C" w:rsidRPr="00C37650">
        <w:rPr>
          <w:rFonts w:ascii="Times New Roman" w:hAnsi="Times New Roman"/>
          <w:sz w:val="24"/>
          <w:lang w:val="pl"/>
        </w:rPr>
        <w:t> </w:t>
      </w:r>
      <w:r w:rsidRPr="00C37650">
        <w:rPr>
          <w:rFonts w:ascii="Times New Roman" w:hAnsi="Times New Roman"/>
          <w:sz w:val="24"/>
          <w:lang w:val="pl"/>
        </w:rPr>
        <w:t>złożenia kasacji zależnej od kwoty sporu (z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wyjątkiem postępowań ws.</w:t>
      </w:r>
      <w:r w:rsidR="00E25E1C" w:rsidRPr="00C37650">
        <w:rPr>
          <w:rFonts w:ascii="Times New Roman" w:hAnsi="Times New Roman"/>
          <w:sz w:val="24"/>
          <w:lang w:val="pl"/>
        </w:rPr>
        <w:t> </w:t>
      </w:r>
      <w:r w:rsidRPr="00C37650">
        <w:rPr>
          <w:rFonts w:ascii="Times New Roman" w:hAnsi="Times New Roman"/>
          <w:sz w:val="24"/>
          <w:lang w:val="pl"/>
        </w:rPr>
        <w:t>ochrony praw podstawowych): próg, który poprzednio wynosił 150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000 EUR, został podniesiony do 600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000 EUR. W świetle przepisu przejściowego wciąż zawisłe kasacje podlegały starym uregulowaniom proceduralnym do</w:t>
      </w:r>
      <w:r w:rsidR="00E25E1C" w:rsidRPr="00C37650">
        <w:rPr>
          <w:rFonts w:ascii="Times New Roman" w:hAnsi="Times New Roman"/>
          <w:sz w:val="24"/>
          <w:lang w:val="pl"/>
        </w:rPr>
        <w:t> </w:t>
      </w:r>
      <w:r w:rsidRPr="00C37650">
        <w:rPr>
          <w:rFonts w:ascii="Times New Roman" w:hAnsi="Times New Roman"/>
          <w:sz w:val="24"/>
          <w:lang w:val="pl"/>
        </w:rPr>
        <w:t xml:space="preserve">czasu wydania wyroku przez właściwy sąd. </w:t>
      </w:r>
    </w:p>
    <w:p w14:paraId="11CC1913" w14:textId="5670DF4E" w:rsidR="009A7E81" w:rsidRPr="00C37650" w:rsidRDefault="00087E79" w:rsidP="00087E79">
      <w:pPr>
        <w:pStyle w:val="ClinContent"/>
        <w:rPr>
          <w:rFonts w:ascii="Times New Roman" w:hAnsi="Times New Roman"/>
          <w:sz w:val="24"/>
          <w:lang w:val="pl-PL"/>
        </w:rPr>
      </w:pPr>
      <w:r w:rsidRPr="00C37650">
        <w:rPr>
          <w:rFonts w:ascii="Times New Roman" w:hAnsi="Times New Roman"/>
          <w:sz w:val="24"/>
          <w:lang w:val="pl"/>
        </w:rPr>
        <w:t>Skarżąc się między innymi na natychmiastowe zastosowanie nowego prawa do jego zawisłej sprawy, skarżący złożył skargę z</w:t>
      </w:r>
      <w:r w:rsidR="0093515F" w:rsidRPr="00C37650">
        <w:rPr>
          <w:rFonts w:ascii="Times New Roman" w:hAnsi="Times New Roman"/>
          <w:sz w:val="24"/>
          <w:lang w:val="pl"/>
        </w:rPr>
        <w:t xml:space="preserve"> </w:t>
      </w:r>
      <w:r w:rsidRPr="00C37650">
        <w:rPr>
          <w:rFonts w:ascii="Times New Roman" w:hAnsi="Times New Roman"/>
          <w:sz w:val="24"/>
          <w:lang w:val="pl"/>
        </w:rPr>
        <w:t>powodu naruszania praw i</w:t>
      </w:r>
      <w:r w:rsidR="00E25E1C" w:rsidRPr="00C37650">
        <w:rPr>
          <w:rFonts w:ascii="Times New Roman" w:hAnsi="Times New Roman"/>
          <w:sz w:val="24"/>
          <w:lang w:val="pl"/>
        </w:rPr>
        <w:t> </w:t>
      </w:r>
      <w:r w:rsidRPr="00C37650">
        <w:rPr>
          <w:rFonts w:ascii="Times New Roman" w:hAnsi="Times New Roman"/>
          <w:sz w:val="24"/>
          <w:lang w:val="pl"/>
        </w:rPr>
        <w:t xml:space="preserve">wolności obywatelskich (tzw. skargę </w:t>
      </w:r>
      <w:proofErr w:type="spellStart"/>
      <w:r w:rsidRPr="00C37650">
        <w:rPr>
          <w:rFonts w:ascii="Times New Roman" w:hAnsi="Times New Roman"/>
          <w:i/>
          <w:iCs/>
          <w:sz w:val="24"/>
          <w:lang w:val="pl"/>
        </w:rPr>
        <w:t>amparo</w:t>
      </w:r>
      <w:proofErr w:type="spellEnd"/>
      <w:r w:rsidRPr="00C37650">
        <w:rPr>
          <w:rFonts w:ascii="Times New Roman" w:hAnsi="Times New Roman"/>
          <w:sz w:val="24"/>
          <w:lang w:val="pl"/>
        </w:rPr>
        <w:t>) do Trybunału Konstytucyjnego, który oddalił j</w:t>
      </w:r>
      <w:r w:rsidR="00FD56C2" w:rsidRPr="00C37650">
        <w:rPr>
          <w:rFonts w:ascii="Times New Roman" w:hAnsi="Times New Roman"/>
          <w:sz w:val="24"/>
          <w:lang w:val="pl"/>
        </w:rPr>
        <w:t>ą</w:t>
      </w:r>
      <w:r w:rsidRPr="00C37650">
        <w:rPr>
          <w:rFonts w:ascii="Times New Roman" w:hAnsi="Times New Roman"/>
          <w:sz w:val="24"/>
          <w:lang w:val="pl"/>
        </w:rPr>
        <w:t xml:space="preserve"> na tej podstawie, że skarżący nie uzasadnił odpowiednio konsty</w:t>
      </w:r>
      <w:r w:rsidR="00FD56C2" w:rsidRPr="00C37650">
        <w:rPr>
          <w:rFonts w:ascii="Times New Roman" w:hAnsi="Times New Roman"/>
          <w:sz w:val="24"/>
          <w:lang w:val="pl"/>
        </w:rPr>
        <w:t>tucyjnego znaczenia jego skargi].</w:t>
      </w:r>
    </w:p>
    <w:p w14:paraId="0EB570F7" w14:textId="283EFE7E" w:rsidR="009A7E81" w:rsidRPr="00C37650" w:rsidRDefault="000B1D94" w:rsidP="0043093E">
      <w:pPr>
        <w:pStyle w:val="JuHHead"/>
      </w:pPr>
      <w:r w:rsidRPr="00C37650">
        <w:rPr>
          <w:bCs w:val="0"/>
          <w:lang w:val="pl"/>
        </w:rPr>
        <w:t>PRAWO</w:t>
      </w:r>
    </w:p>
    <w:p w14:paraId="61BB5E10" w14:textId="062C7F6B" w:rsidR="009A7E81" w:rsidRPr="00C37650" w:rsidRDefault="00030FAB" w:rsidP="0043093E">
      <w:pPr>
        <w:pStyle w:val="JuHIRoman"/>
        <w:rPr>
          <w:lang w:val="pl-PL"/>
        </w:rPr>
      </w:pPr>
      <w:r w:rsidRPr="00C37650">
        <w:rPr>
          <w:bCs w:val="0"/>
          <w:caps w:val="0"/>
          <w:lang w:val="pl"/>
        </w:rPr>
        <w:t>ZARZUCANE</w:t>
      </w:r>
      <w:r w:rsidRPr="00C37650">
        <w:rPr>
          <w:bCs w:val="0"/>
          <w:lang w:val="pl"/>
        </w:rPr>
        <w:t xml:space="preserve"> NARUSZENIe</w:t>
      </w:r>
      <w:r w:rsidR="009A7E81" w:rsidRPr="00C37650">
        <w:rPr>
          <w:bCs w:val="0"/>
          <w:lang w:val="pl"/>
        </w:rPr>
        <w:t xml:space="preserve"> ART</w:t>
      </w:r>
      <w:r w:rsidR="00C03AF0" w:rsidRPr="00C37650">
        <w:rPr>
          <w:bCs w:val="0"/>
          <w:lang w:val="pl"/>
        </w:rPr>
        <w:t>.</w:t>
      </w:r>
      <w:r w:rsidR="009A7E81" w:rsidRPr="00C37650">
        <w:rPr>
          <w:bCs w:val="0"/>
          <w:lang w:val="pl"/>
        </w:rPr>
        <w:t xml:space="preserve"> 2 PROTOKOŁU NR 7 DO</w:t>
      </w:r>
      <w:r w:rsidR="00E25E1C" w:rsidRPr="00C37650">
        <w:rPr>
          <w:bCs w:val="0"/>
          <w:lang w:val="pl"/>
        </w:rPr>
        <w:t> </w:t>
      </w:r>
      <w:r w:rsidR="009A7E81" w:rsidRPr="00C37650">
        <w:rPr>
          <w:bCs w:val="0"/>
          <w:lang w:val="pl"/>
        </w:rPr>
        <w:t>KONWENCJI DO KONWENCJI</w:t>
      </w:r>
    </w:p>
    <w:p w14:paraId="6C147DB3" w14:textId="68A2592F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18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Skarżący zarzuc</w:t>
      </w:r>
      <w:r w:rsidR="00AA1AC6" w:rsidRPr="00C37650">
        <w:rPr>
          <w:lang w:val="pl"/>
        </w:rPr>
        <w:t>ił</w:t>
      </w:r>
      <w:r w:rsidRPr="00C37650">
        <w:rPr>
          <w:lang w:val="pl"/>
        </w:rPr>
        <w:t>, że</w:t>
      </w:r>
      <w:r w:rsidR="00CA01A0" w:rsidRPr="00C37650">
        <w:rPr>
          <w:lang w:val="pl"/>
        </w:rPr>
        <w:t xml:space="preserve"> </w:t>
      </w:r>
      <w:r w:rsidRPr="00C37650">
        <w:rPr>
          <w:rFonts w:ascii="Times New Roman" w:hAnsi="Times New Roman"/>
          <w:color w:val="000000"/>
          <w:lang w:val="pl"/>
        </w:rPr>
        <w:t xml:space="preserve">nie miał możliwości poddania wyroku </w:t>
      </w:r>
      <w:r w:rsidR="00985598" w:rsidRPr="00C37650">
        <w:rPr>
          <w:rFonts w:ascii="Times New Roman" w:hAnsi="Times New Roman"/>
          <w:color w:val="000000"/>
          <w:lang w:val="pl"/>
        </w:rPr>
        <w:t xml:space="preserve">Wyższego Trybunału Sprawiedliwości w Madrycie </w:t>
      </w:r>
      <w:r w:rsidRPr="00C37650">
        <w:rPr>
          <w:rFonts w:ascii="Times New Roman" w:hAnsi="Times New Roman"/>
          <w:color w:val="000000"/>
          <w:lang w:val="pl"/>
        </w:rPr>
        <w:t>kontroli sądu wyższej instancji. Opiera</w:t>
      </w:r>
      <w:r w:rsidR="008E2E39" w:rsidRPr="00C37650">
        <w:rPr>
          <w:rFonts w:ascii="Times New Roman" w:hAnsi="Times New Roman"/>
          <w:color w:val="000000"/>
          <w:lang w:val="pl"/>
        </w:rPr>
        <w:t>ł</w:t>
      </w:r>
      <w:r w:rsidRPr="00C37650">
        <w:rPr>
          <w:rFonts w:ascii="Times New Roman" w:hAnsi="Times New Roman"/>
          <w:color w:val="000000"/>
          <w:lang w:val="pl"/>
        </w:rPr>
        <w:t xml:space="preserve"> się w tym względzie na art. 2 Protokołu nr 7 do Konw</w:t>
      </w:r>
      <w:r w:rsidR="00030FAB" w:rsidRPr="00C37650">
        <w:rPr>
          <w:rFonts w:ascii="Times New Roman" w:hAnsi="Times New Roman"/>
          <w:color w:val="000000"/>
          <w:lang w:val="pl"/>
        </w:rPr>
        <w:t>encji, który brzmi następująco:</w:t>
      </w:r>
    </w:p>
    <w:p w14:paraId="61D9183B" w14:textId="3BF5E30A" w:rsidR="00030FAB" w:rsidRPr="00C37650" w:rsidRDefault="0093515F" w:rsidP="00030FAB">
      <w:pPr>
        <w:pStyle w:val="JuQuot"/>
        <w:rPr>
          <w:lang w:val="pl"/>
        </w:rPr>
      </w:pPr>
      <w:r w:rsidRPr="00C37650">
        <w:rPr>
          <w:lang w:val="pl"/>
        </w:rPr>
        <w:t xml:space="preserve"> </w:t>
      </w:r>
      <w:r w:rsidR="007B6A4E">
        <w:rPr>
          <w:lang w:val="pl"/>
        </w:rPr>
        <w:t>„</w:t>
      </w:r>
      <w:r w:rsidR="00030FAB" w:rsidRPr="00C37650">
        <w:rPr>
          <w:lang w:val="pl"/>
        </w:rPr>
        <w:t>1. Każdy, kto został uznany przez sąd za winnego popełnienia przestępstwa, ma</w:t>
      </w:r>
      <w:r w:rsidR="00E25E1C" w:rsidRPr="00C37650">
        <w:rPr>
          <w:lang w:val="pl"/>
        </w:rPr>
        <w:t> </w:t>
      </w:r>
      <w:r w:rsidR="00030FAB" w:rsidRPr="00C37650">
        <w:rPr>
          <w:lang w:val="pl"/>
        </w:rPr>
        <w:t>prawo do rozpatrzenia przez sąd wyższej instancji jego sprawy, tak w przedmiocie orzeczenia o winie, jak i co do kary. Korzystanie z tego prawa, a także jego podstawy, reguluje ustawa.</w:t>
      </w:r>
    </w:p>
    <w:p w14:paraId="21C86EFA" w14:textId="1BFF8BF9" w:rsidR="009A7E81" w:rsidRPr="00C37650" w:rsidRDefault="00030FAB" w:rsidP="00030FAB">
      <w:pPr>
        <w:pStyle w:val="JuQuot"/>
        <w:rPr>
          <w:lang w:val="pl-PL"/>
        </w:rPr>
      </w:pPr>
      <w:r w:rsidRPr="00C37650">
        <w:rPr>
          <w:lang w:val="pl"/>
        </w:rPr>
        <w:t>2. Wyjątki od tego prawa mogą być stosowane w przypadku drobnych przestępstw, określonych w ustawie, lub w przypadkach, gdy dana osoba była sądzona w pierwszej instancji przez Sąd Najwyższy lub została uznana za winną i skazana w wyniku zaskarżenia wyroku uniewinniającego sądu pierwszej instancji</w:t>
      </w:r>
      <w:r w:rsidR="007B6A4E">
        <w:rPr>
          <w:lang w:val="pl"/>
        </w:rPr>
        <w:t>”</w:t>
      </w:r>
      <w:r w:rsidRPr="00C37650">
        <w:rPr>
          <w:lang w:val="pl"/>
        </w:rPr>
        <w:t>.</w:t>
      </w:r>
    </w:p>
    <w:p w14:paraId="215620D3" w14:textId="3AC2DD0C" w:rsidR="009A7E81" w:rsidRPr="00C37650" w:rsidRDefault="00886D6E" w:rsidP="0043093E">
      <w:pPr>
        <w:pStyle w:val="JuHA"/>
      </w:pPr>
      <w:r w:rsidRPr="00C37650">
        <w:rPr>
          <w:lang w:val="pl"/>
        </w:rPr>
        <w:lastRenderedPageBreak/>
        <w:t>Dopuszczalność</w:t>
      </w:r>
    </w:p>
    <w:p w14:paraId="0035F461" w14:textId="385A1DE6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19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="00B83EF5" w:rsidRPr="00C37650">
        <w:rPr>
          <w:lang w:val="pl"/>
        </w:rPr>
        <w:t xml:space="preserve">Trybunał zauważa, że </w:t>
      </w:r>
      <w:r w:rsidRPr="00C37650">
        <w:rPr>
          <w:lang w:val="pl"/>
        </w:rPr>
        <w:t xml:space="preserve">skarga nie </w:t>
      </w:r>
      <w:r w:rsidR="00B83EF5" w:rsidRPr="00C37650">
        <w:rPr>
          <w:lang w:val="pl"/>
        </w:rPr>
        <w:t xml:space="preserve">jest </w:t>
      </w:r>
      <w:r w:rsidRPr="00C37650">
        <w:rPr>
          <w:lang w:val="pl"/>
        </w:rPr>
        <w:t xml:space="preserve">w sposób oczywisty </w:t>
      </w:r>
      <w:r w:rsidR="00F42049" w:rsidRPr="00C37650">
        <w:rPr>
          <w:lang w:val="pl"/>
        </w:rPr>
        <w:t>nie</w:t>
      </w:r>
      <w:r w:rsidRPr="00C37650">
        <w:rPr>
          <w:lang w:val="pl"/>
        </w:rPr>
        <w:t xml:space="preserve">uzasadniona w rozumieniu </w:t>
      </w:r>
      <w:r w:rsidR="00C03AF0" w:rsidRPr="00C37650">
        <w:rPr>
          <w:lang w:val="pl"/>
        </w:rPr>
        <w:t>a</w:t>
      </w:r>
      <w:r w:rsidRPr="00C37650">
        <w:rPr>
          <w:lang w:val="pl"/>
        </w:rPr>
        <w:t>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35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3</w:t>
      </w:r>
      <w:r w:rsidR="00C03AF0" w:rsidRPr="00C37650">
        <w:rPr>
          <w:lang w:val="pl"/>
        </w:rPr>
        <w:t xml:space="preserve"> lit.</w:t>
      </w:r>
      <w:r w:rsidRPr="00C37650">
        <w:rPr>
          <w:lang w:val="pl"/>
        </w:rPr>
        <w:t xml:space="preserve"> a Konwencji oraz nie </w:t>
      </w:r>
      <w:r w:rsidR="00B83EF5" w:rsidRPr="00C37650">
        <w:rPr>
          <w:lang w:val="pl"/>
        </w:rPr>
        <w:t xml:space="preserve">jest niedopuszczalna z innych powodów. </w:t>
      </w:r>
      <w:r w:rsidR="00AD084C" w:rsidRPr="00C37650">
        <w:rPr>
          <w:lang w:val="pl"/>
        </w:rPr>
        <w:t xml:space="preserve">Należy </w:t>
      </w:r>
      <w:r w:rsidRPr="00C37650">
        <w:rPr>
          <w:lang w:val="pl"/>
        </w:rPr>
        <w:t xml:space="preserve">ją </w:t>
      </w:r>
      <w:r w:rsidR="00B83EF5" w:rsidRPr="00C37650">
        <w:rPr>
          <w:lang w:val="pl"/>
        </w:rPr>
        <w:t xml:space="preserve">zatem </w:t>
      </w:r>
      <w:r w:rsidR="00AD084C" w:rsidRPr="00C37650">
        <w:rPr>
          <w:lang w:val="pl"/>
        </w:rPr>
        <w:t xml:space="preserve">uznać </w:t>
      </w:r>
      <w:r w:rsidRPr="00C37650">
        <w:rPr>
          <w:lang w:val="pl"/>
        </w:rPr>
        <w:t>za dopuszczalną.</w:t>
      </w:r>
    </w:p>
    <w:p w14:paraId="30ECE9C8" w14:textId="56D9E460" w:rsidR="009A7E81" w:rsidRPr="00C37650" w:rsidRDefault="00F94153" w:rsidP="0043093E">
      <w:pPr>
        <w:pStyle w:val="JuHA"/>
        <w:rPr>
          <w:lang w:val="pl-PL"/>
        </w:rPr>
      </w:pPr>
      <w:r w:rsidRPr="00C37650">
        <w:rPr>
          <w:lang w:val="pl"/>
        </w:rPr>
        <w:t>Przedmiot skargi</w:t>
      </w:r>
    </w:p>
    <w:p w14:paraId="0BD16E82" w14:textId="6B7BCCC2" w:rsidR="009A7E81" w:rsidRPr="00C37650" w:rsidRDefault="009A7E81" w:rsidP="0043093E">
      <w:pPr>
        <w:pStyle w:val="JuH1"/>
        <w:rPr>
          <w:lang w:val="pl-PL"/>
        </w:rPr>
      </w:pPr>
      <w:r w:rsidRPr="00C37650">
        <w:rPr>
          <w:bCs w:val="0"/>
          <w:lang w:val="pl"/>
        </w:rPr>
        <w:t xml:space="preserve">W przedmiocie karnego charakteru </w:t>
      </w:r>
      <w:r w:rsidR="006A6FF9" w:rsidRPr="00C37650">
        <w:rPr>
          <w:bCs w:val="0"/>
          <w:lang w:val="pl"/>
        </w:rPr>
        <w:t>sankcji</w:t>
      </w:r>
      <w:r w:rsidRPr="00C37650">
        <w:rPr>
          <w:bCs w:val="0"/>
          <w:lang w:val="pl"/>
        </w:rPr>
        <w:t xml:space="preserve"> nałożonej na skarżącego i</w:t>
      </w:r>
      <w:r w:rsidR="00E25E1C" w:rsidRPr="00C37650">
        <w:rPr>
          <w:bCs w:val="0"/>
          <w:lang w:val="pl"/>
        </w:rPr>
        <w:t> </w:t>
      </w:r>
      <w:r w:rsidRPr="00C37650">
        <w:rPr>
          <w:bCs w:val="0"/>
          <w:lang w:val="pl"/>
        </w:rPr>
        <w:t xml:space="preserve">możliwości zastosowania art. 2 </w:t>
      </w:r>
      <w:r w:rsidR="00AA1AC6" w:rsidRPr="00C37650">
        <w:rPr>
          <w:bCs w:val="0"/>
          <w:lang w:val="pl"/>
        </w:rPr>
        <w:t xml:space="preserve">Protokołu </w:t>
      </w:r>
      <w:r w:rsidRPr="00C37650">
        <w:rPr>
          <w:bCs w:val="0"/>
          <w:lang w:val="pl"/>
        </w:rPr>
        <w:t>nr 7</w:t>
      </w:r>
    </w:p>
    <w:p w14:paraId="7C8932B6" w14:textId="1419C9AA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20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Rząd podnosił, że </w:t>
      </w:r>
      <w:r w:rsidR="008E2E39" w:rsidRPr="00C37650">
        <w:rPr>
          <w:lang w:val="pl"/>
        </w:rPr>
        <w:t>skarga jest niezgodna</w:t>
      </w:r>
      <w:r w:rsidRPr="00C37650">
        <w:rPr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ratione</w:t>
      </w:r>
      <w:proofErr w:type="spellEnd"/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materiae</w:t>
      </w:r>
      <w:proofErr w:type="spellEnd"/>
      <w:r w:rsidRPr="00C37650">
        <w:rPr>
          <w:lang w:val="pl"/>
        </w:rPr>
        <w:t xml:space="preserve"> z </w:t>
      </w:r>
      <w:r w:rsidR="008E2E39" w:rsidRPr="00C37650">
        <w:rPr>
          <w:lang w:val="pl"/>
        </w:rPr>
        <w:t>Konwencj</w:t>
      </w:r>
      <w:r w:rsidR="00855611">
        <w:rPr>
          <w:lang w:val="pl"/>
        </w:rPr>
        <w:t>ą</w:t>
      </w:r>
      <w:r w:rsidR="008E2E39" w:rsidRPr="00C37650">
        <w:rPr>
          <w:lang w:val="pl"/>
        </w:rPr>
        <w:t xml:space="preserve"> z </w:t>
      </w:r>
      <w:r w:rsidRPr="00C37650">
        <w:rPr>
          <w:lang w:val="pl"/>
        </w:rPr>
        <w:t>tego powodu, że kara nałożona na skarżącego nie może być uważana za</w:t>
      </w:r>
      <w:r w:rsidR="00E25E1C" w:rsidRPr="00C37650">
        <w:rPr>
          <w:lang w:val="pl"/>
        </w:rPr>
        <w:t> </w:t>
      </w:r>
      <w:r w:rsidRPr="00C37650">
        <w:rPr>
          <w:lang w:val="pl"/>
        </w:rPr>
        <w:t>nałożoną w domenie prawa karnego, lecz</w:t>
      </w:r>
      <w:r w:rsidR="008E2E39" w:rsidRPr="00C37650">
        <w:rPr>
          <w:lang w:val="pl"/>
        </w:rPr>
        <w:t>,</w:t>
      </w:r>
      <w:r w:rsidRPr="00C37650">
        <w:rPr>
          <w:lang w:val="pl"/>
        </w:rPr>
        <w:t xml:space="preserve"> przeciwnie, jest karą administracyjną. W tym wz</w:t>
      </w:r>
      <w:r w:rsidR="008E2E39" w:rsidRPr="00C37650">
        <w:rPr>
          <w:lang w:val="pl"/>
        </w:rPr>
        <w:t xml:space="preserve">ględzie wskazał, że </w:t>
      </w:r>
      <w:r w:rsidR="008E2E39">
        <w:rPr>
          <w:lang w:val="pl"/>
        </w:rPr>
        <w:t>przestępstwa</w:t>
      </w:r>
      <w:r w:rsidR="008E2E39" w:rsidRPr="00C37650">
        <w:rPr>
          <w:lang w:val="pl"/>
        </w:rPr>
        <w:t xml:space="preserve"> skarbowe zostały</w:t>
      </w:r>
      <w:r w:rsidRPr="00C37650">
        <w:rPr>
          <w:lang w:val="pl"/>
        </w:rPr>
        <w:t xml:space="preserve"> usunięte z hiszpańskiego </w:t>
      </w:r>
      <w:r w:rsidR="001E7BDB" w:rsidRPr="00C37650">
        <w:rPr>
          <w:lang w:val="pl"/>
        </w:rPr>
        <w:t xml:space="preserve">Kodeksu </w:t>
      </w:r>
      <w:r w:rsidRPr="00C37650">
        <w:rPr>
          <w:lang w:val="pl"/>
        </w:rPr>
        <w:t xml:space="preserve">karnego w 1996 r. i że w każdym razie ustawa </w:t>
      </w:r>
      <w:r w:rsidR="008E2E39" w:rsidRPr="00C37650">
        <w:rPr>
          <w:lang w:val="pl"/>
        </w:rPr>
        <w:t xml:space="preserve">nr </w:t>
      </w:r>
      <w:r w:rsidRPr="00C37650">
        <w:rPr>
          <w:lang w:val="pl"/>
        </w:rPr>
        <w:t xml:space="preserve">10/2010 z dnia 28 kwietnia 2010 r. </w:t>
      </w:r>
      <w:r w:rsidR="008E2E39" w:rsidRPr="00C37650">
        <w:rPr>
          <w:lang w:val="pl"/>
        </w:rPr>
        <w:t>o zapobieganiu praniu</w:t>
      </w:r>
      <w:r w:rsidRPr="00C37650">
        <w:rPr>
          <w:lang w:val="pl"/>
        </w:rPr>
        <w:t xml:space="preserve"> </w:t>
      </w:r>
      <w:r w:rsidR="008E2E39" w:rsidRPr="00C37650">
        <w:rPr>
          <w:lang w:val="pl"/>
        </w:rPr>
        <w:t>pieniędzy i finansowaniu</w:t>
      </w:r>
      <w:r w:rsidRPr="00C37650">
        <w:rPr>
          <w:lang w:val="pl"/>
        </w:rPr>
        <w:t xml:space="preserve"> terroryzmu nie przewiduje w swej treści żadnych środ</w:t>
      </w:r>
      <w:r w:rsidR="008E2E39" w:rsidRPr="00C37650">
        <w:rPr>
          <w:lang w:val="pl"/>
        </w:rPr>
        <w:t>ków pozbawienia wolności. Dodał</w:t>
      </w:r>
      <w:r w:rsidRPr="00C37650">
        <w:rPr>
          <w:lang w:val="pl"/>
        </w:rPr>
        <w:t>, że to na sądach administracyjnych, a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nie karnych, spoczywa obowiązek zapewnienia wykonania kary.</w:t>
      </w:r>
    </w:p>
    <w:p w14:paraId="366B66E1" w14:textId="53282DC4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21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Zdaniem skarżącego nic nie st</w:t>
      </w:r>
      <w:r w:rsidR="008E2E39" w:rsidRPr="00C37650">
        <w:rPr>
          <w:lang w:val="pl"/>
        </w:rPr>
        <w:t>ało</w:t>
      </w:r>
      <w:r w:rsidRPr="00C37650">
        <w:rPr>
          <w:lang w:val="pl"/>
        </w:rPr>
        <w:t xml:space="preserve"> na przeszkodzie, aby nałożoną sa</w:t>
      </w:r>
      <w:r w:rsidR="008E2E39" w:rsidRPr="00C37650">
        <w:rPr>
          <w:lang w:val="pl"/>
        </w:rPr>
        <w:t>nkcję uznać za karną, zważywszy</w:t>
      </w:r>
      <w:r w:rsidRPr="00C37650">
        <w:rPr>
          <w:lang w:val="pl"/>
        </w:rPr>
        <w:t xml:space="preserve"> że hiszpański </w:t>
      </w:r>
      <w:r w:rsidR="001E7BDB" w:rsidRPr="00C37650">
        <w:rPr>
          <w:lang w:val="pl"/>
        </w:rPr>
        <w:t xml:space="preserve">Kodeks </w:t>
      </w:r>
      <w:r w:rsidRPr="00C37650">
        <w:rPr>
          <w:lang w:val="pl"/>
        </w:rPr>
        <w:t>karny przewiduje zasadniczo dwa rodzaje kar, a mianowicie kary pozbawienia wolności i kary pieniężne (grzywny), z których obie wiążą się z ograniczeniem praw podstawowych.</w:t>
      </w:r>
    </w:p>
    <w:p w14:paraId="51569BD5" w14:textId="16D4D744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22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Trybunał przypomina, że pojęcie </w:t>
      </w:r>
      <w:r w:rsidR="007B6A4E">
        <w:rPr>
          <w:lang w:val="pl"/>
        </w:rPr>
        <w:t>„</w:t>
      </w:r>
      <w:r w:rsidR="00F1769B" w:rsidRPr="00C37650">
        <w:rPr>
          <w:lang w:val="pl"/>
        </w:rPr>
        <w:t>przestępstwa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 </w:t>
      </w:r>
      <w:r w:rsidR="00F1769B" w:rsidRPr="00C37650">
        <w:rPr>
          <w:lang w:val="pl"/>
        </w:rPr>
        <w:t xml:space="preserve">użyte </w:t>
      </w:r>
      <w:r w:rsidRPr="00C37650">
        <w:rPr>
          <w:lang w:val="pl"/>
        </w:rPr>
        <w:t xml:space="preserve">w art. 2 </w:t>
      </w:r>
      <w:r w:rsidR="00F1769B" w:rsidRPr="00C37650">
        <w:rPr>
          <w:lang w:val="pl"/>
        </w:rPr>
        <w:t xml:space="preserve">ust. 1 </w:t>
      </w:r>
      <w:r w:rsidRPr="00C37650">
        <w:rPr>
          <w:lang w:val="pl"/>
        </w:rPr>
        <w:t xml:space="preserve">Protokołu nr 7 odpowiada pojęciu </w:t>
      </w:r>
      <w:r w:rsidR="007B6A4E">
        <w:rPr>
          <w:lang w:val="pl"/>
        </w:rPr>
        <w:t>„</w:t>
      </w:r>
      <w:r w:rsidR="00F1769B" w:rsidRPr="00C37650">
        <w:rPr>
          <w:lang w:val="pl"/>
        </w:rPr>
        <w:t>oskarżenia w sprawie karnej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 z art. 6 </w:t>
      </w:r>
      <w:r w:rsidR="00C03AF0" w:rsidRPr="00C37650">
        <w:rPr>
          <w:lang w:val="pl"/>
        </w:rPr>
        <w:t>ust.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1 Konwencji </w:t>
      </w:r>
      <w:r w:rsidR="00F1769B" w:rsidRPr="00927658">
        <w:rPr>
          <w:iCs/>
          <w:lang w:val="pl"/>
        </w:rPr>
        <w:t>(zob.</w:t>
      </w:r>
      <w:r w:rsidR="00F1769B" w:rsidRPr="00C37650">
        <w:rPr>
          <w:i/>
          <w:iCs/>
          <w:lang w:val="pl"/>
        </w:rPr>
        <w:t xml:space="preserve"> </w:t>
      </w:r>
      <w:proofErr w:type="spellStart"/>
      <w:r w:rsidR="00F1769B" w:rsidRPr="00C37650">
        <w:rPr>
          <w:i/>
          <w:iCs/>
          <w:lang w:val="pl"/>
        </w:rPr>
        <w:t>G</w:t>
      </w:r>
      <w:r w:rsidRPr="00C37650">
        <w:rPr>
          <w:i/>
          <w:iCs/>
          <w:lang w:val="pl"/>
        </w:rPr>
        <w:t>urepka</w:t>
      </w:r>
      <w:proofErr w:type="spellEnd"/>
      <w:r w:rsidRPr="00C37650">
        <w:rPr>
          <w:i/>
          <w:iCs/>
          <w:lang w:val="pl"/>
        </w:rPr>
        <w:t xml:space="preserve"> przeciwko Ukrainie</w:t>
      </w:r>
      <w:r w:rsidRPr="00C37650">
        <w:rPr>
          <w:lang w:val="pl"/>
        </w:rPr>
        <w:t>, nr 61406/00, § 55, 6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września 2005 r. oraz </w:t>
      </w:r>
      <w:proofErr w:type="spellStart"/>
      <w:r w:rsidRPr="00C37650">
        <w:rPr>
          <w:i/>
          <w:iCs/>
          <w:lang w:val="pl"/>
        </w:rPr>
        <w:t>Zaicevs</w:t>
      </w:r>
      <w:proofErr w:type="spellEnd"/>
      <w:r w:rsidRPr="00C37650">
        <w:rPr>
          <w:i/>
          <w:iCs/>
          <w:lang w:val="pl"/>
        </w:rPr>
        <w:t xml:space="preserve"> przeciwko Łotwie</w:t>
      </w:r>
      <w:r w:rsidRPr="00C37650">
        <w:rPr>
          <w:lang w:val="pl"/>
        </w:rPr>
        <w:t>, nr 65022/01, § 53, 31 lipca 2007 r.). Zgodnie z utrwalonym orzecznictwem Trybunału, możliwość zastosowania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6 Konwencji w aspekcie prawnokarnym musi być oceniana na podstawie trzech kryteriów, powszechnie określanych jako </w:t>
      </w:r>
      <w:r w:rsidR="007B6A4E">
        <w:rPr>
          <w:iCs/>
          <w:lang w:val="pl"/>
        </w:rPr>
        <w:t>„</w:t>
      </w:r>
      <w:r w:rsidRPr="00DA1665">
        <w:rPr>
          <w:iCs/>
          <w:lang w:val="pl"/>
        </w:rPr>
        <w:t xml:space="preserve">kryteria </w:t>
      </w:r>
      <w:r w:rsidR="00F1769B" w:rsidRPr="00DA1665">
        <w:rPr>
          <w:iCs/>
          <w:lang w:val="pl"/>
        </w:rPr>
        <w:t>ze</w:t>
      </w:r>
      <w:r w:rsidR="00D51CC3" w:rsidRPr="00DA1665">
        <w:rPr>
          <w:iCs/>
          <w:lang w:val="pl"/>
        </w:rPr>
        <w:t> </w:t>
      </w:r>
      <w:r w:rsidR="00F1769B" w:rsidRPr="00DA1665">
        <w:rPr>
          <w:iCs/>
          <w:lang w:val="pl"/>
        </w:rPr>
        <w:t xml:space="preserve">sprawy </w:t>
      </w:r>
      <w:proofErr w:type="spellStart"/>
      <w:r w:rsidR="00F1769B" w:rsidRPr="00DA1665">
        <w:rPr>
          <w:i/>
          <w:iCs/>
          <w:lang w:val="pl"/>
        </w:rPr>
        <w:t>Engel</w:t>
      </w:r>
      <w:proofErr w:type="spellEnd"/>
      <w:r w:rsidR="007B6A4E">
        <w:rPr>
          <w:lang w:val="pl"/>
        </w:rPr>
        <w:t>”</w:t>
      </w:r>
      <w:r w:rsidRPr="00DA1665">
        <w:rPr>
          <w:lang w:val="pl"/>
        </w:rPr>
        <w:t>,</w:t>
      </w:r>
      <w:r w:rsidRPr="00C37650">
        <w:rPr>
          <w:lang w:val="pl"/>
        </w:rPr>
        <w:t xml:space="preserve"> a mianowicie: (a) kwalifikacji wykroczenia na poziomie krajowym, (b) charakteru wykroczenia oraz (c) stopnia surowości sankcji, której podlega dana osoba (zob. m.in. </w:t>
      </w:r>
      <w:proofErr w:type="spellStart"/>
      <w:r w:rsidRPr="00C37650">
        <w:rPr>
          <w:i/>
          <w:iCs/>
          <w:lang w:val="pl"/>
        </w:rPr>
        <w:t>Ezeh</w:t>
      </w:r>
      <w:proofErr w:type="spellEnd"/>
      <w:r w:rsidRPr="00C37650">
        <w:rPr>
          <w:i/>
          <w:iCs/>
          <w:lang w:val="pl"/>
        </w:rPr>
        <w:t xml:space="preserve"> i Connors przeciwko Zjednoczonemu Królestwu</w:t>
      </w:r>
      <w:r w:rsidRPr="00C37650">
        <w:rPr>
          <w:lang w:val="pl"/>
        </w:rPr>
        <w:t xml:space="preserve"> [Wielka Izba], nr</w:t>
      </w:r>
      <w:r w:rsidR="00A353C0" w:rsidRPr="00C37650">
        <w:rPr>
          <w:lang w:val="pl"/>
        </w:rPr>
        <w:t xml:space="preserve"> </w:t>
      </w:r>
      <w:r w:rsidRPr="00C37650">
        <w:rPr>
          <w:lang w:val="pl"/>
        </w:rPr>
        <w:t xml:space="preserve">39665/98 i 40086/98, § 82, ETPC 2003-X). Wskazówki zawarte w prawie krajowym pozwanego Państwa </w:t>
      </w:r>
      <w:r w:rsidR="00A353C0" w:rsidRPr="00C37650">
        <w:rPr>
          <w:lang w:val="pl"/>
        </w:rPr>
        <w:t xml:space="preserve">mają jedynie </w:t>
      </w:r>
      <w:r w:rsidRPr="00C37650">
        <w:rPr>
          <w:lang w:val="pl"/>
        </w:rPr>
        <w:t xml:space="preserve">względne </w:t>
      </w:r>
      <w:r w:rsidR="00A353C0" w:rsidRPr="00C37650">
        <w:rPr>
          <w:lang w:val="pl"/>
        </w:rPr>
        <w:t xml:space="preserve">znaczenie </w:t>
      </w:r>
      <w:r w:rsidRPr="00C37650">
        <w:rPr>
          <w:i/>
          <w:iCs/>
          <w:lang w:val="pl"/>
        </w:rPr>
        <w:t>(</w:t>
      </w:r>
      <w:proofErr w:type="spellStart"/>
      <w:r w:rsidRPr="00C37650">
        <w:rPr>
          <w:i/>
          <w:iCs/>
          <w:lang w:val="pl"/>
        </w:rPr>
        <w:t>Engel</w:t>
      </w:r>
      <w:proofErr w:type="spellEnd"/>
      <w:r w:rsidRPr="00C37650">
        <w:rPr>
          <w:i/>
          <w:iCs/>
          <w:lang w:val="pl"/>
        </w:rPr>
        <w:t xml:space="preserve"> i </w:t>
      </w:r>
      <w:r w:rsidR="0093515F" w:rsidRPr="00C37650">
        <w:rPr>
          <w:i/>
          <w:iCs/>
          <w:lang w:val="pl"/>
        </w:rPr>
        <w:t xml:space="preserve">Inni </w:t>
      </w:r>
      <w:r w:rsidRPr="00C37650">
        <w:rPr>
          <w:i/>
          <w:iCs/>
          <w:lang w:val="pl"/>
        </w:rPr>
        <w:t>przeciwko Holandii</w:t>
      </w:r>
      <w:r w:rsidRPr="00C37650">
        <w:rPr>
          <w:lang w:val="pl"/>
        </w:rPr>
        <w:t xml:space="preserve">, 8 czerwca 1976 r., § 82, Seria A nr 22 oraz </w:t>
      </w:r>
      <w:proofErr w:type="spellStart"/>
      <w:r w:rsidRPr="00C37650">
        <w:rPr>
          <w:i/>
          <w:iCs/>
          <w:lang w:val="pl"/>
        </w:rPr>
        <w:t>Öztürk</w:t>
      </w:r>
      <w:proofErr w:type="spellEnd"/>
      <w:r w:rsidRPr="00C37650">
        <w:rPr>
          <w:i/>
          <w:iCs/>
          <w:lang w:val="pl"/>
        </w:rPr>
        <w:t xml:space="preserve"> przeciwko Niemcom</w:t>
      </w:r>
      <w:r w:rsidRPr="00C37650">
        <w:rPr>
          <w:lang w:val="pl"/>
        </w:rPr>
        <w:t>, 21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lutego 1984 r., § 52, Seria A nr 73). Aby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6 Konwencji miał zastosowanie, wystarczy, </w:t>
      </w:r>
      <w:r w:rsidR="00A353C0" w:rsidRPr="00C37650">
        <w:rPr>
          <w:lang w:val="pl"/>
        </w:rPr>
        <w:t xml:space="preserve">by </w:t>
      </w:r>
      <w:r w:rsidRPr="00C37650">
        <w:rPr>
          <w:lang w:val="pl"/>
        </w:rPr>
        <w:t>dane wykroczenie miało charakter karny lub</w:t>
      </w:r>
      <w:r w:rsidR="00AB0707">
        <w:rPr>
          <w:lang w:val="pl"/>
        </w:rPr>
        <w:t> </w:t>
      </w:r>
      <w:r w:rsidR="00A353C0" w:rsidRPr="00C37650">
        <w:rPr>
          <w:lang w:val="pl"/>
        </w:rPr>
        <w:t>było zagrożone karą</w:t>
      </w:r>
      <w:r w:rsidRPr="00C37650">
        <w:rPr>
          <w:lang w:val="pl"/>
        </w:rPr>
        <w:t>, która ze względu na sw</w:t>
      </w:r>
      <w:r w:rsidR="00A353C0" w:rsidRPr="00C37650">
        <w:rPr>
          <w:lang w:val="pl"/>
        </w:rPr>
        <w:t>ój charakter</w:t>
      </w:r>
      <w:r w:rsidRPr="00C37650">
        <w:rPr>
          <w:lang w:val="pl"/>
        </w:rPr>
        <w:t xml:space="preserve"> i stopień surowości </w:t>
      </w:r>
      <w:r w:rsidR="00A353C0" w:rsidRPr="00C37650">
        <w:rPr>
          <w:lang w:val="pl"/>
        </w:rPr>
        <w:t>generalnie należy do dziedziny prawa karnego</w:t>
      </w:r>
      <w:r w:rsidRPr="00C37650">
        <w:rPr>
          <w:lang w:val="pl"/>
        </w:rPr>
        <w:t xml:space="preserve"> </w:t>
      </w:r>
      <w:r w:rsidRPr="00DA1665">
        <w:rPr>
          <w:iCs/>
          <w:lang w:val="pl"/>
        </w:rPr>
        <w:t>(</w:t>
      </w:r>
      <w:r w:rsidR="00DA1665" w:rsidRPr="00DA1665">
        <w:rPr>
          <w:iCs/>
          <w:lang w:val="pl"/>
        </w:rPr>
        <w:t>zob.</w:t>
      </w:r>
      <w:r w:rsidR="00DA1665">
        <w:rPr>
          <w:i/>
          <w:iCs/>
          <w:lang w:val="pl"/>
        </w:rPr>
        <w:t xml:space="preserve"> </w:t>
      </w:r>
      <w:r w:rsidRPr="00C37650">
        <w:rPr>
          <w:i/>
          <w:iCs/>
          <w:lang w:val="pl"/>
        </w:rPr>
        <w:t>A i B przeciwko Norwegii</w:t>
      </w:r>
      <w:r w:rsidRPr="00C37650">
        <w:rPr>
          <w:lang w:val="pl"/>
        </w:rPr>
        <w:t xml:space="preserve"> [Wielka Izba], nr 24130/11 i 29758/11, §§ 105 i 107, 15</w:t>
      </w:r>
      <w:r w:rsidR="00AB0707">
        <w:rPr>
          <w:lang w:val="pl"/>
        </w:rPr>
        <w:t> </w:t>
      </w:r>
      <w:r w:rsidRPr="00C37650">
        <w:rPr>
          <w:lang w:val="pl"/>
        </w:rPr>
        <w:t>listopada 2016 r.).</w:t>
      </w:r>
    </w:p>
    <w:p w14:paraId="02A508E8" w14:textId="26BB9E50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lastRenderedPageBreak/>
        <w:t>23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Przechodząc do okoliczności sprawy, Trybunał zauważa,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odniesieniu do pierwszego kryterium, że czyny, o które skarżący został oskarżony </w:t>
      </w:r>
      <w:r w:rsidR="00A353C0" w:rsidRPr="00C37650">
        <w:rPr>
          <w:lang w:val="pl"/>
        </w:rPr>
        <w:t xml:space="preserve">– naruszenie </w:t>
      </w:r>
      <w:r w:rsidRPr="00C37650">
        <w:rPr>
          <w:lang w:val="pl"/>
        </w:rPr>
        <w:t xml:space="preserve">art. 52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3 ustawy nr 10/2010 z dnia 28 kwietnia 2010 r. o zapobieganiu praniu pieniędzy i finansowaniu terroryzmu </w:t>
      </w:r>
      <w:r w:rsidR="00880E80" w:rsidRPr="00C37650">
        <w:rPr>
          <w:lang w:val="pl"/>
        </w:rPr>
        <w:t>–</w:t>
      </w:r>
      <w:r w:rsidRPr="00C37650">
        <w:rPr>
          <w:lang w:val="pl"/>
        </w:rPr>
        <w:t xml:space="preserve"> stanowiły </w:t>
      </w:r>
      <w:r w:rsidR="007B6A4E">
        <w:rPr>
          <w:lang w:val="pl"/>
        </w:rPr>
        <w:t>„</w:t>
      </w:r>
      <w:r w:rsidRPr="00C37650">
        <w:rPr>
          <w:lang w:val="pl"/>
        </w:rPr>
        <w:t>wykroczenie administracyjne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 (art. 50 tej ustawy). Czyny te należały do kompetencji sądów administracyjnych, a nie karnych, </w:t>
      </w:r>
      <w:r w:rsidR="00880E80" w:rsidRPr="00C37650">
        <w:rPr>
          <w:lang w:val="pl"/>
        </w:rPr>
        <w:t xml:space="preserve">i w żadnym przypadku </w:t>
      </w:r>
      <w:r w:rsidRPr="00C37650">
        <w:rPr>
          <w:lang w:val="pl"/>
        </w:rPr>
        <w:t xml:space="preserve">nie podlegały karze pozbawienia wolności (zob. </w:t>
      </w:r>
      <w:r w:rsidRPr="00C37650">
        <w:rPr>
          <w:i/>
          <w:iCs/>
          <w:lang w:val="pl"/>
        </w:rPr>
        <w:t>a contrario</w:t>
      </w:r>
      <w:r w:rsidRPr="00C37650">
        <w:rPr>
          <w:lang w:val="pl"/>
        </w:rPr>
        <w:t xml:space="preserve">, </w:t>
      </w:r>
      <w:proofErr w:type="spellStart"/>
      <w:r w:rsidRPr="00C37650">
        <w:rPr>
          <w:i/>
          <w:iCs/>
          <w:lang w:val="pl"/>
        </w:rPr>
        <w:t>Stanchev</w:t>
      </w:r>
      <w:proofErr w:type="spellEnd"/>
      <w:r w:rsidRPr="00C37650">
        <w:rPr>
          <w:i/>
          <w:iCs/>
          <w:lang w:val="pl"/>
        </w:rPr>
        <w:t xml:space="preserve"> przeciwko Bułgarii</w:t>
      </w:r>
      <w:r w:rsidRPr="00C37650">
        <w:rPr>
          <w:lang w:val="pl"/>
        </w:rPr>
        <w:t>, nr 8682/02, § 45, 1 października 2009 r.).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Wyż</w:t>
      </w:r>
      <w:r w:rsidR="00880E80" w:rsidRPr="00C37650">
        <w:rPr>
          <w:lang w:val="pl"/>
        </w:rPr>
        <w:t>ej wymieniona ustawa kwalifikowała</w:t>
      </w:r>
      <w:r w:rsidRPr="00C37650">
        <w:rPr>
          <w:lang w:val="pl"/>
        </w:rPr>
        <w:t xml:space="preserve"> zachowanie będące przedmiotem niniejszej sprawy jako </w:t>
      </w:r>
      <w:r w:rsidR="007B6A4E">
        <w:rPr>
          <w:lang w:val="pl"/>
        </w:rPr>
        <w:t>„</w:t>
      </w:r>
      <w:r w:rsidRPr="00C37650">
        <w:rPr>
          <w:lang w:val="pl"/>
        </w:rPr>
        <w:t>poważne wykroczenie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, </w:t>
      </w:r>
      <w:r w:rsidR="00880E80" w:rsidRPr="00C37650">
        <w:rPr>
          <w:lang w:val="pl"/>
        </w:rPr>
        <w:t>za które</w:t>
      </w:r>
      <w:r w:rsidRPr="00C37650">
        <w:rPr>
          <w:lang w:val="pl"/>
        </w:rPr>
        <w:t xml:space="preserve"> maksymalną karą przewidzianą w art. 57 </w:t>
      </w:r>
      <w:r w:rsidR="00880E80" w:rsidRPr="00C37650">
        <w:rPr>
          <w:lang w:val="pl"/>
        </w:rPr>
        <w:t xml:space="preserve">była </w:t>
      </w:r>
      <w:r w:rsidRPr="00C37650">
        <w:rPr>
          <w:lang w:val="pl"/>
        </w:rPr>
        <w:t>kara grzywny. W żadnym wypadku sankcja ta nie mo</w:t>
      </w:r>
      <w:r w:rsidR="00880E80" w:rsidRPr="00C37650">
        <w:rPr>
          <w:lang w:val="pl"/>
        </w:rPr>
        <w:t>gła</w:t>
      </w:r>
      <w:r w:rsidRPr="00C37650">
        <w:rPr>
          <w:lang w:val="pl"/>
        </w:rPr>
        <w:t xml:space="preserve"> zostać przekształcona w karę pozbawienia wolności (zob. </w:t>
      </w:r>
      <w:r w:rsidRPr="00C37650">
        <w:rPr>
          <w:i/>
          <w:iCs/>
          <w:lang w:val="pl"/>
        </w:rPr>
        <w:t>mutatis mutandis</w:t>
      </w:r>
      <w:r w:rsidRPr="00C37650">
        <w:rPr>
          <w:lang w:val="pl"/>
        </w:rPr>
        <w:t xml:space="preserve">, </w:t>
      </w:r>
      <w:proofErr w:type="spellStart"/>
      <w:r w:rsidRPr="00C37650">
        <w:rPr>
          <w:i/>
          <w:iCs/>
          <w:lang w:val="pl"/>
        </w:rPr>
        <w:t>Kurdov</w:t>
      </w:r>
      <w:proofErr w:type="spellEnd"/>
      <w:r w:rsidRPr="00C37650">
        <w:rPr>
          <w:i/>
          <w:iCs/>
          <w:lang w:val="pl"/>
        </w:rPr>
        <w:t xml:space="preserve"> i </w:t>
      </w:r>
      <w:proofErr w:type="spellStart"/>
      <w:r w:rsidRPr="00C37650">
        <w:rPr>
          <w:i/>
          <w:iCs/>
          <w:lang w:val="pl"/>
        </w:rPr>
        <w:t>Ivanov</w:t>
      </w:r>
      <w:proofErr w:type="spellEnd"/>
      <w:r w:rsidRPr="00C37650">
        <w:rPr>
          <w:i/>
          <w:iCs/>
          <w:lang w:val="pl"/>
        </w:rPr>
        <w:t xml:space="preserve"> przeciwko Bułgarii</w:t>
      </w:r>
      <w:r w:rsidRPr="00C37650">
        <w:rPr>
          <w:lang w:val="pl"/>
        </w:rPr>
        <w:t>, nr 16137/04, § 44, 31 maja 2011 r.).</w:t>
      </w:r>
    </w:p>
    <w:p w14:paraId="10536D8C" w14:textId="75AC6B77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24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Jest to jednak tylko punkt wyjścia do analizy dla Trybunału, który musi wziąć pod uwagę także charakter sankcjonowanego </w:t>
      </w:r>
      <w:r w:rsidR="00880E80" w:rsidRPr="00C37650">
        <w:rPr>
          <w:lang w:val="pl"/>
        </w:rPr>
        <w:t xml:space="preserve">wykroczenia </w:t>
      </w:r>
      <w:r w:rsidRPr="00C37650">
        <w:rPr>
          <w:lang w:val="pl"/>
        </w:rPr>
        <w:t>oraz rodzaj i surowość</w:t>
      </w:r>
      <w:r w:rsidR="00880E80" w:rsidRPr="00C37650">
        <w:rPr>
          <w:lang w:val="pl"/>
        </w:rPr>
        <w:t xml:space="preserve"> kary, która może być nałożona</w:t>
      </w:r>
      <w:r w:rsidRPr="00C37650">
        <w:rPr>
          <w:lang w:val="pl"/>
        </w:rPr>
        <w:t>.</w:t>
      </w:r>
    </w:p>
    <w:p w14:paraId="6B9E4F5A" w14:textId="39899394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25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W odniesieniu do drugiego kryterium, a mianowicie oceny samego charakteru danego wykroczenia, Trybunał konsekwentnie brał pod uwagę kr</w:t>
      </w:r>
      <w:r w:rsidR="00162477" w:rsidRPr="00C37650">
        <w:rPr>
          <w:lang w:val="pl"/>
        </w:rPr>
        <w:t>ąg</w:t>
      </w:r>
      <w:r w:rsidRPr="00C37650">
        <w:rPr>
          <w:lang w:val="pl"/>
        </w:rPr>
        <w:t xml:space="preserve"> osób, do których adresowany jest dany przepis, rodzaj i charakter chronionych interesów oraz istnienie celu odstraszającego i represyjnego </w:t>
      </w:r>
      <w:r w:rsidRPr="00927658">
        <w:rPr>
          <w:iCs/>
          <w:lang w:val="pl"/>
        </w:rPr>
        <w:t>(zob.</w:t>
      </w:r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Kadubec</w:t>
      </w:r>
      <w:proofErr w:type="spellEnd"/>
      <w:r w:rsidRPr="00C37650">
        <w:rPr>
          <w:i/>
          <w:iCs/>
          <w:lang w:val="pl"/>
        </w:rPr>
        <w:t xml:space="preserve"> przeciwko Słowacji</w:t>
      </w:r>
      <w:r w:rsidRPr="00C37650">
        <w:rPr>
          <w:lang w:val="pl"/>
        </w:rPr>
        <w:t xml:space="preserve">, 2 września 1998 r., § 52, </w:t>
      </w:r>
      <w:r w:rsidRPr="00C37650">
        <w:rPr>
          <w:i/>
          <w:iCs/>
          <w:lang w:val="pl"/>
        </w:rPr>
        <w:t>Zbiór wyroków i decyzji</w:t>
      </w:r>
      <w:r w:rsidRPr="00C37650">
        <w:rPr>
          <w:lang w:val="pl"/>
        </w:rPr>
        <w:t xml:space="preserve"> 1998-VI, </w:t>
      </w:r>
      <w:proofErr w:type="spellStart"/>
      <w:r w:rsidRPr="00C37650">
        <w:rPr>
          <w:i/>
          <w:iCs/>
          <w:lang w:val="pl"/>
        </w:rPr>
        <w:t>Lauko</w:t>
      </w:r>
      <w:proofErr w:type="spellEnd"/>
      <w:r w:rsidRPr="00C37650">
        <w:rPr>
          <w:lang w:val="pl"/>
        </w:rPr>
        <w:t xml:space="preserve"> przeciwko Słowacji, 2 września 1998 r., § 58, </w:t>
      </w:r>
      <w:r w:rsidRPr="00C37650">
        <w:rPr>
          <w:i/>
          <w:iCs/>
          <w:lang w:val="pl"/>
        </w:rPr>
        <w:t>Zbiór</w:t>
      </w:r>
      <w:r w:rsidRPr="00C37650">
        <w:rPr>
          <w:lang w:val="pl"/>
        </w:rPr>
        <w:t xml:space="preserve"> 1998-VI, </w:t>
      </w:r>
      <w:proofErr w:type="spellStart"/>
      <w:r w:rsidRPr="00C37650">
        <w:rPr>
          <w:i/>
          <w:iCs/>
          <w:lang w:val="pl"/>
        </w:rPr>
        <w:t>Ezeh</w:t>
      </w:r>
      <w:proofErr w:type="spellEnd"/>
      <w:r w:rsidRPr="00C37650">
        <w:rPr>
          <w:i/>
          <w:iCs/>
          <w:lang w:val="pl"/>
        </w:rPr>
        <w:t xml:space="preserve"> i Connors</w:t>
      </w:r>
      <w:r w:rsidRPr="00C37650">
        <w:rPr>
          <w:lang w:val="pl"/>
        </w:rPr>
        <w:t xml:space="preserve">, cyt. powyżej, §§ 103-105, </w:t>
      </w:r>
      <w:proofErr w:type="spellStart"/>
      <w:r w:rsidRPr="00C37650">
        <w:rPr>
          <w:i/>
          <w:iCs/>
          <w:lang w:val="pl"/>
        </w:rPr>
        <w:t>Sergey</w:t>
      </w:r>
      <w:proofErr w:type="spellEnd"/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Zolotukhin</w:t>
      </w:r>
      <w:proofErr w:type="spellEnd"/>
      <w:r w:rsidRPr="00C37650">
        <w:rPr>
          <w:i/>
          <w:iCs/>
          <w:lang w:val="pl"/>
        </w:rPr>
        <w:t xml:space="preserve"> przeciwko Rosji</w:t>
      </w:r>
      <w:r w:rsidRPr="00C37650">
        <w:rPr>
          <w:lang w:val="pl"/>
        </w:rPr>
        <w:t xml:space="preserve"> [Wielka Izba], nr 14939/03, § 55, ETPC 2009, oraz </w:t>
      </w:r>
      <w:proofErr w:type="spellStart"/>
      <w:r w:rsidRPr="00C37650">
        <w:rPr>
          <w:i/>
          <w:lang w:val="pl"/>
        </w:rPr>
        <w:t>T</w:t>
      </w:r>
      <w:r w:rsidRPr="00C37650">
        <w:rPr>
          <w:i/>
          <w:iCs/>
          <w:lang w:val="pl"/>
        </w:rPr>
        <w:t>sonyo</w:t>
      </w:r>
      <w:proofErr w:type="spellEnd"/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Tsonev</w:t>
      </w:r>
      <w:proofErr w:type="spellEnd"/>
      <w:r w:rsidRPr="00C37650">
        <w:rPr>
          <w:i/>
          <w:iCs/>
          <w:lang w:val="pl"/>
        </w:rPr>
        <w:t xml:space="preserve"> przeciwko Bułgarii [nr</w:t>
      </w:r>
      <w:r w:rsidRPr="00C37650">
        <w:rPr>
          <w:lang w:val="pl"/>
        </w:rPr>
        <w:t xml:space="preserve"> 2], nr 2376/03, § 49, 14 stycznia 2010 r.).</w:t>
      </w:r>
    </w:p>
    <w:p w14:paraId="33572915" w14:textId="156CB9DE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26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Trybunał zauważa w tym względzie, że ustawa </w:t>
      </w:r>
      <w:r w:rsidR="00162477" w:rsidRPr="00C37650">
        <w:rPr>
          <w:lang w:val="pl"/>
        </w:rPr>
        <w:t>o</w:t>
      </w:r>
      <w:r w:rsidRPr="00C37650">
        <w:rPr>
          <w:lang w:val="pl"/>
        </w:rPr>
        <w:t xml:space="preserve"> zapobieganiu praniu pieniędzy i finansowaniu terroryzmu ma ogólny zakres</w:t>
      </w:r>
      <w:r w:rsidR="00162477" w:rsidRPr="00C37650">
        <w:rPr>
          <w:lang w:val="pl"/>
        </w:rPr>
        <w:t xml:space="preserve"> zastosowania</w:t>
      </w:r>
      <w:r w:rsidRPr="00C37650">
        <w:rPr>
          <w:lang w:val="pl"/>
        </w:rPr>
        <w:t xml:space="preserve">, przy czym adresatami przepisu, który posłużył za podstawę prawną kary nałożonej na skarżącego, jest każda osoba, fizyczna lub prawna, przekraczająca granicę i </w:t>
      </w:r>
      <w:r w:rsidR="00162477" w:rsidRPr="00C37650">
        <w:rPr>
          <w:lang w:val="pl"/>
        </w:rPr>
        <w:t>zaangażowana w jedną z działalności związanych z przepływem kapitału opisanych</w:t>
      </w:r>
      <w:r w:rsidRPr="00C37650">
        <w:rPr>
          <w:lang w:val="pl"/>
        </w:rPr>
        <w:t xml:space="preserve"> w art. 2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1 ustawy nr 10/2010 </w:t>
      </w:r>
      <w:r w:rsidRPr="00927658">
        <w:rPr>
          <w:iCs/>
          <w:lang w:val="pl"/>
        </w:rPr>
        <w:t>(zob.</w:t>
      </w:r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Jussila</w:t>
      </w:r>
      <w:proofErr w:type="spellEnd"/>
      <w:r w:rsidRPr="00C37650">
        <w:rPr>
          <w:i/>
          <w:iCs/>
          <w:lang w:val="pl"/>
        </w:rPr>
        <w:t xml:space="preserve"> przeciwko Finlandii</w:t>
      </w:r>
      <w:r w:rsidRPr="00C37650">
        <w:rPr>
          <w:lang w:val="pl"/>
        </w:rPr>
        <w:t xml:space="preserve"> [Wielka Izba], nr 73053/01, § 38, ETPC 2006-XIV, </w:t>
      </w:r>
      <w:r w:rsidRPr="00C37650">
        <w:rPr>
          <w:i/>
          <w:iCs/>
          <w:lang w:val="pl"/>
        </w:rPr>
        <w:t>a contrario</w:t>
      </w:r>
      <w:r w:rsidRPr="00C37650">
        <w:rPr>
          <w:lang w:val="pl"/>
        </w:rPr>
        <w:t>,</w:t>
      </w:r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Stanchev</w:t>
      </w:r>
      <w:proofErr w:type="spellEnd"/>
      <w:r w:rsidRPr="00C37650">
        <w:rPr>
          <w:lang w:val="pl"/>
        </w:rPr>
        <w:t>, cyt</w:t>
      </w:r>
      <w:r w:rsidR="00EB274B" w:rsidRPr="00C37650">
        <w:rPr>
          <w:lang w:val="pl"/>
        </w:rPr>
        <w:t>.</w:t>
      </w:r>
      <w:r w:rsidRPr="00C37650">
        <w:rPr>
          <w:lang w:val="pl"/>
        </w:rPr>
        <w:t xml:space="preserve"> powyżej, § 45).</w:t>
      </w:r>
    </w:p>
    <w:p w14:paraId="31CFC7FF" w14:textId="5D569B5D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27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Jeśli chodzi o dobro prawne chronione w niniejszej sprawie, </w:t>
      </w:r>
      <w:r w:rsidR="0072564F" w:rsidRPr="00C37650">
        <w:rPr>
          <w:lang w:val="pl"/>
        </w:rPr>
        <w:t xml:space="preserve">to </w:t>
      </w:r>
      <w:r w:rsidRPr="00C37650">
        <w:rPr>
          <w:lang w:val="pl"/>
        </w:rPr>
        <w:t>chociaż w dziedzinie wykroczeń celnych chodzi o interes rządów państw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kontrolowaniu międzynarodowych środków płatniczych (co podkreślił </w:t>
      </w:r>
      <w:r w:rsidR="0072564F" w:rsidRPr="00C37650">
        <w:rPr>
          <w:lang w:val="pl"/>
        </w:rPr>
        <w:t>W</w:t>
      </w:r>
      <w:r w:rsidRPr="00C37650">
        <w:rPr>
          <w:lang w:val="pl"/>
        </w:rPr>
        <w:t xml:space="preserve">yższy </w:t>
      </w:r>
      <w:r w:rsidR="0072564F" w:rsidRPr="00C37650">
        <w:rPr>
          <w:lang w:val="pl"/>
        </w:rPr>
        <w:t xml:space="preserve">Trybunał Sprawiedliwości </w:t>
      </w:r>
      <w:r w:rsidRPr="00C37650">
        <w:rPr>
          <w:lang w:val="pl"/>
        </w:rPr>
        <w:t>w Madrycie w szóstej podstawie prawnej swojego wyroku), Trybunał przypomina, że miał już okazję</w:t>
      </w:r>
      <w:r w:rsidR="0072564F" w:rsidRPr="00C37650">
        <w:rPr>
          <w:lang w:val="pl"/>
        </w:rPr>
        <w:t xml:space="preserve"> uznać</w:t>
      </w:r>
      <w:r w:rsidRPr="00C37650">
        <w:rPr>
          <w:lang w:val="pl"/>
        </w:rPr>
        <w:t>, że aspekt karny art</w:t>
      </w:r>
      <w:r w:rsidR="00C03AF0" w:rsidRPr="00C37650">
        <w:rPr>
          <w:lang w:val="pl"/>
        </w:rPr>
        <w:t xml:space="preserve">. </w:t>
      </w:r>
      <w:r w:rsidRPr="00C37650">
        <w:rPr>
          <w:lang w:val="pl"/>
        </w:rPr>
        <w:t xml:space="preserve">6 Konwencji może </w:t>
      </w:r>
      <w:r w:rsidR="0072564F" w:rsidRPr="00C37650">
        <w:rPr>
          <w:lang w:val="pl"/>
        </w:rPr>
        <w:t>mieć zastosowanie</w:t>
      </w:r>
      <w:r w:rsidRPr="00C37650">
        <w:rPr>
          <w:lang w:val="pl"/>
        </w:rPr>
        <w:t xml:space="preserve"> </w:t>
      </w:r>
      <w:r w:rsidR="002301D1" w:rsidRPr="00C37650">
        <w:rPr>
          <w:lang w:val="pl"/>
        </w:rPr>
        <w:t>d</w:t>
      </w:r>
      <w:r w:rsidR="0072564F" w:rsidRPr="00C37650">
        <w:rPr>
          <w:lang w:val="pl"/>
        </w:rPr>
        <w:t xml:space="preserve">o takich wykroczeń </w:t>
      </w:r>
      <w:r w:rsidRPr="00927658">
        <w:rPr>
          <w:iCs/>
          <w:lang w:val="pl"/>
        </w:rPr>
        <w:t>(</w:t>
      </w:r>
      <w:r w:rsidR="00927658" w:rsidRPr="00927658">
        <w:rPr>
          <w:iCs/>
          <w:lang w:val="pl"/>
        </w:rPr>
        <w:t>zob.</w:t>
      </w:r>
      <w:r w:rsidR="00927658">
        <w:rPr>
          <w:i/>
          <w:iCs/>
          <w:lang w:val="pl"/>
        </w:rPr>
        <w:t> </w:t>
      </w:r>
      <w:proofErr w:type="spellStart"/>
      <w:r w:rsidRPr="00C37650">
        <w:rPr>
          <w:i/>
          <w:iCs/>
          <w:lang w:val="pl"/>
        </w:rPr>
        <w:t>Salabiaku</w:t>
      </w:r>
      <w:proofErr w:type="spellEnd"/>
      <w:r w:rsidRPr="00C37650">
        <w:rPr>
          <w:i/>
          <w:iCs/>
          <w:lang w:val="pl"/>
        </w:rPr>
        <w:t xml:space="preserve"> przeciwko Francji</w:t>
      </w:r>
      <w:r w:rsidRPr="00C37650">
        <w:rPr>
          <w:lang w:val="pl"/>
        </w:rPr>
        <w:t>, 7 października 1988 r., Seria A nr 141-A). W</w:t>
      </w:r>
      <w:r w:rsidR="00D51CC3" w:rsidRPr="00C37650">
        <w:rPr>
          <w:lang w:val="pl"/>
        </w:rPr>
        <w:t> </w:t>
      </w:r>
      <w:r w:rsidR="0072564F" w:rsidRPr="00C37650">
        <w:rPr>
          <w:lang w:val="pl"/>
        </w:rPr>
        <w:t>niniejszej sprawie</w:t>
      </w:r>
      <w:r w:rsidRPr="00C37650">
        <w:rPr>
          <w:lang w:val="pl"/>
        </w:rPr>
        <w:t xml:space="preserve"> nałożenie grzywny nie </w:t>
      </w:r>
      <w:r w:rsidR="0072564F" w:rsidRPr="00C37650">
        <w:rPr>
          <w:lang w:val="pl"/>
        </w:rPr>
        <w:t xml:space="preserve">miału na </w:t>
      </w:r>
      <w:r w:rsidRPr="00C37650">
        <w:rPr>
          <w:lang w:val="pl"/>
        </w:rPr>
        <w:t xml:space="preserve">celu </w:t>
      </w:r>
      <w:r w:rsidR="007464E5" w:rsidRPr="00C37650">
        <w:rPr>
          <w:lang w:val="pl"/>
        </w:rPr>
        <w:t>zapobie</w:t>
      </w:r>
      <w:r w:rsidR="002301D1" w:rsidRPr="00C37650">
        <w:rPr>
          <w:lang w:val="pl"/>
        </w:rPr>
        <w:t>gania</w:t>
      </w:r>
      <w:r w:rsidR="007464E5" w:rsidRPr="00C37650">
        <w:rPr>
          <w:lang w:val="pl"/>
        </w:rPr>
        <w:t xml:space="preserve"> ewentualnej utracie</w:t>
      </w:r>
      <w:r w:rsidRPr="00C37650">
        <w:rPr>
          <w:lang w:val="pl"/>
        </w:rPr>
        <w:t xml:space="preserve"> kapitału przez państwo (jak to miało miejsce między innymi w sprawie </w:t>
      </w:r>
      <w:r w:rsidRPr="00C37650">
        <w:rPr>
          <w:i/>
          <w:iCs/>
          <w:lang w:val="pl"/>
        </w:rPr>
        <w:t>Butler przeciwko Zjednoczonemu Królestwu</w:t>
      </w:r>
      <w:r w:rsidRPr="00C37650">
        <w:rPr>
          <w:lang w:val="pl"/>
        </w:rPr>
        <w:t xml:space="preserve"> (</w:t>
      </w:r>
      <w:proofErr w:type="spellStart"/>
      <w:r w:rsidRPr="00C37650">
        <w:rPr>
          <w:lang w:val="pl"/>
        </w:rPr>
        <w:t>dec</w:t>
      </w:r>
      <w:proofErr w:type="spellEnd"/>
      <w:r w:rsidRPr="00C37650">
        <w:rPr>
          <w:lang w:val="pl"/>
        </w:rPr>
        <w:t xml:space="preserve">.), </w:t>
      </w:r>
      <w:r w:rsidRPr="00C37650">
        <w:rPr>
          <w:lang w:val="pl"/>
        </w:rPr>
        <w:lastRenderedPageBreak/>
        <w:t>nr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41661/98, ETPC 2002-VI), lecz z konieczności realizowało cel odstraszania i represji w odpowiedzi na niewypełnienie przez skarżącego prawnego obowiązku złożenia </w:t>
      </w:r>
      <w:r w:rsidR="007464E5" w:rsidRPr="00C37650">
        <w:rPr>
          <w:lang w:val="pl"/>
        </w:rPr>
        <w:t xml:space="preserve">deklaracji </w:t>
      </w:r>
      <w:r w:rsidRPr="00927658">
        <w:rPr>
          <w:iCs/>
          <w:lang w:val="pl"/>
        </w:rPr>
        <w:t>(</w:t>
      </w:r>
      <w:r w:rsidR="00927658" w:rsidRPr="00927658">
        <w:rPr>
          <w:iCs/>
          <w:lang w:val="pl"/>
        </w:rPr>
        <w:t>zob.</w:t>
      </w:r>
      <w:r w:rsidR="00927658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Nadtotchi</w:t>
      </w:r>
      <w:proofErr w:type="spellEnd"/>
      <w:r w:rsidRPr="00C37650">
        <w:rPr>
          <w:i/>
          <w:iCs/>
          <w:lang w:val="pl"/>
        </w:rPr>
        <w:t xml:space="preserve"> przeciwko Ukrainie</w:t>
      </w:r>
      <w:r w:rsidRPr="00C37650">
        <w:rPr>
          <w:lang w:val="pl"/>
        </w:rPr>
        <w:t>, nr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7460/03, § 21, 15 maja 2008 r.). Już sama ta okoliczność mogłaby wystarczyć do nadania wykroczeniu charakteru karnego, </w:t>
      </w:r>
      <w:r w:rsidR="00735E41" w:rsidRPr="00C37650">
        <w:rPr>
          <w:lang w:val="pl"/>
        </w:rPr>
        <w:t>co pociąga za sobą zastosowanie</w:t>
      </w:r>
      <w:r w:rsidR="007464E5" w:rsidRPr="00C37650">
        <w:rPr>
          <w:lang w:val="pl"/>
        </w:rPr>
        <w:t xml:space="preserve"> szczególnych </w:t>
      </w:r>
      <w:r w:rsidRPr="00C37650">
        <w:rPr>
          <w:lang w:val="pl"/>
        </w:rPr>
        <w:t xml:space="preserve">gwarancji </w:t>
      </w:r>
      <w:r w:rsidR="007464E5" w:rsidRPr="00C37650">
        <w:rPr>
          <w:lang w:val="pl"/>
        </w:rPr>
        <w:t>przyznanych przez</w:t>
      </w:r>
      <w:r w:rsidRPr="00C37650">
        <w:rPr>
          <w:lang w:val="pl"/>
        </w:rPr>
        <w:t xml:space="preserve"> art. 6 Konwencji</w:t>
      </w:r>
      <w:r w:rsidR="007464E5" w:rsidRPr="00C37650">
        <w:rPr>
          <w:lang w:val="pl"/>
        </w:rPr>
        <w:t xml:space="preserve"> </w:t>
      </w:r>
      <w:r w:rsidRPr="00DA1665">
        <w:rPr>
          <w:iCs/>
          <w:lang w:val="pl"/>
        </w:rPr>
        <w:t>(zob</w:t>
      </w:r>
      <w:r w:rsidRPr="00C37650">
        <w:rPr>
          <w:i/>
          <w:iCs/>
          <w:lang w:val="pl"/>
        </w:rPr>
        <w:t xml:space="preserve">. </w:t>
      </w:r>
      <w:proofErr w:type="spellStart"/>
      <w:r w:rsidRPr="00C37650">
        <w:rPr>
          <w:i/>
          <w:iCs/>
          <w:lang w:val="pl"/>
        </w:rPr>
        <w:t>Jussila</w:t>
      </w:r>
      <w:proofErr w:type="spellEnd"/>
      <w:r w:rsidRPr="00C37650">
        <w:rPr>
          <w:lang w:val="pl"/>
        </w:rPr>
        <w:t xml:space="preserve">, cyt. </w:t>
      </w:r>
      <w:r w:rsidR="00EB274B" w:rsidRPr="00C37650">
        <w:rPr>
          <w:lang w:val="pl"/>
        </w:rPr>
        <w:t>po</w:t>
      </w:r>
      <w:r w:rsidRPr="00C37650">
        <w:rPr>
          <w:lang w:val="pl"/>
        </w:rPr>
        <w:t>wyżej, § 38).</w:t>
      </w:r>
    </w:p>
    <w:p w14:paraId="0B38526A" w14:textId="3557747A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28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Trybunał zauważa w tym względzie, że niniejsza sprawa różni się pod kilkoma względami od poprzednich spraw, w których miał okazję </w:t>
      </w:r>
      <w:r w:rsidR="00735E41" w:rsidRPr="00C37650">
        <w:rPr>
          <w:lang w:val="pl"/>
        </w:rPr>
        <w:t xml:space="preserve">rozstrzygać </w:t>
      </w:r>
      <w:r w:rsidRPr="00C37650">
        <w:rPr>
          <w:lang w:val="pl"/>
        </w:rPr>
        <w:t>o karnym charakterze kar nałożonych na skarżących:</w:t>
      </w:r>
    </w:p>
    <w:p w14:paraId="0ABE58A5" w14:textId="097977EC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lang w:val="pl"/>
        </w:rPr>
        <w:t xml:space="preserve">- w sprawie </w:t>
      </w:r>
      <w:r w:rsidRPr="00C37650">
        <w:rPr>
          <w:i/>
          <w:iCs/>
          <w:lang w:val="pl"/>
        </w:rPr>
        <w:t>Butler</w:t>
      </w:r>
      <w:r w:rsidRPr="00C37650">
        <w:rPr>
          <w:lang w:val="pl"/>
        </w:rPr>
        <w:t>,</w:t>
      </w:r>
      <w:r w:rsidRPr="00C37650">
        <w:rPr>
          <w:i/>
          <w:iCs/>
          <w:lang w:val="pl"/>
        </w:rPr>
        <w:t xml:space="preserve"> </w:t>
      </w:r>
      <w:r w:rsidRPr="00C37650">
        <w:rPr>
          <w:lang w:val="pl"/>
        </w:rPr>
        <w:t>cyt</w:t>
      </w:r>
      <w:r w:rsidR="00735E41" w:rsidRPr="00C37650">
        <w:rPr>
          <w:lang w:val="pl"/>
        </w:rPr>
        <w:t>. powyżej, dotyczącej</w:t>
      </w:r>
      <w:r w:rsidRPr="00C37650">
        <w:rPr>
          <w:lang w:val="pl"/>
        </w:rPr>
        <w:t xml:space="preserve"> przestępstwa przemytu popełnionego przez skarżącego, Trybunał uznał skargę za niedopuszczalną na podstawie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1 Protokołu nr 1, </w:t>
      </w:r>
      <w:r w:rsidR="00EC138F">
        <w:rPr>
          <w:lang w:val="pl"/>
        </w:rPr>
        <w:t>zauważając</w:t>
      </w:r>
      <w:r w:rsidRPr="00C37650">
        <w:rPr>
          <w:lang w:val="pl"/>
        </w:rPr>
        <w:t>, że skarżący był już karany (</w:t>
      </w:r>
      <w:r w:rsidR="00EB274B" w:rsidRPr="00C37650">
        <w:rPr>
          <w:lang w:val="pl"/>
        </w:rPr>
        <w:t>zob.</w:t>
      </w:r>
      <w:r w:rsidRPr="00C37650">
        <w:rPr>
          <w:lang w:val="pl"/>
        </w:rPr>
        <w:t xml:space="preserve">, </w:t>
      </w:r>
      <w:r w:rsidRPr="00C37650">
        <w:rPr>
          <w:i/>
          <w:iCs/>
          <w:lang w:val="pl"/>
        </w:rPr>
        <w:t>a</w:t>
      </w:r>
      <w:r w:rsidRPr="00C37650">
        <w:rPr>
          <w:lang w:val="pl"/>
        </w:rPr>
        <w:t xml:space="preserve"> </w:t>
      </w:r>
      <w:r w:rsidR="00735E41" w:rsidRPr="00C37650">
        <w:rPr>
          <w:i/>
          <w:iCs/>
          <w:lang w:val="pl"/>
        </w:rPr>
        <w:t>contrario</w:t>
      </w:r>
      <w:r w:rsidRPr="00C37650">
        <w:rPr>
          <w:lang w:val="pl"/>
        </w:rPr>
        <w:t xml:space="preserve">, paragraf 41 poniżej), że władze posiadały uzasadnione </w:t>
      </w:r>
      <w:r w:rsidR="00735E41" w:rsidRPr="00C37650">
        <w:rPr>
          <w:lang w:val="pl"/>
        </w:rPr>
        <w:t>dowody poszlakowe</w:t>
      </w:r>
      <w:r w:rsidRPr="00C37650">
        <w:rPr>
          <w:lang w:val="pl"/>
        </w:rPr>
        <w:t>, że skarżący był zaangażowany w działalność przemytniczą (</w:t>
      </w:r>
      <w:r w:rsidR="00EB274B" w:rsidRPr="00C37650">
        <w:rPr>
          <w:lang w:val="pl"/>
        </w:rPr>
        <w:t>zob.</w:t>
      </w:r>
      <w:r w:rsidRPr="00C37650">
        <w:rPr>
          <w:lang w:val="pl"/>
        </w:rPr>
        <w:t>, ponownie</w:t>
      </w:r>
      <w:r w:rsidR="00012316" w:rsidRPr="00C37650">
        <w:rPr>
          <w:lang w:val="pl"/>
        </w:rPr>
        <w:t xml:space="preserve"> </w:t>
      </w:r>
      <w:r w:rsidR="00012316" w:rsidRPr="00C37650">
        <w:rPr>
          <w:i/>
          <w:lang w:val="pl"/>
        </w:rPr>
        <w:t>a contrario</w:t>
      </w:r>
      <w:r w:rsidR="007752E5" w:rsidRPr="00C37650">
        <w:rPr>
          <w:lang w:val="pl"/>
        </w:rPr>
        <w:t>, paragraf 6 powyżej</w:t>
      </w:r>
      <w:r w:rsidRPr="00C37650">
        <w:rPr>
          <w:lang w:val="pl"/>
        </w:rPr>
        <w:t xml:space="preserve"> w odniesieniu do pochodzenia kwot będących w posiadaniu skarżącego podczas kontroli bezpieczeństwa na lotnisku</w:t>
      </w:r>
      <w:r w:rsidR="00012316" w:rsidRPr="00C37650">
        <w:rPr>
          <w:lang w:val="pl"/>
        </w:rPr>
        <w:t xml:space="preserve"> w niniejszej sprawie</w:t>
      </w:r>
      <w:r w:rsidRPr="00C37650">
        <w:rPr>
          <w:lang w:val="pl"/>
        </w:rPr>
        <w:t>), i że</w:t>
      </w:r>
      <w:r w:rsidR="00012316" w:rsidRPr="00C37650">
        <w:rPr>
          <w:lang w:val="pl"/>
        </w:rPr>
        <w:t xml:space="preserve"> </w:t>
      </w:r>
      <w:r w:rsidRPr="00C37650">
        <w:rPr>
          <w:lang w:val="pl"/>
        </w:rPr>
        <w:t>władze krajowe przeprowadziły analizę proporcjonalności i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okoliczności związanych ze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skarżącym, których to kroków </w:t>
      </w:r>
      <w:r w:rsidR="002D6E1F" w:rsidRPr="00C37650">
        <w:rPr>
          <w:lang w:val="pl"/>
        </w:rPr>
        <w:t>za</w:t>
      </w:r>
      <w:r w:rsidRPr="00C37650">
        <w:rPr>
          <w:lang w:val="pl"/>
        </w:rPr>
        <w:t>brakło w niniejszej sprawie;</w:t>
      </w:r>
    </w:p>
    <w:p w14:paraId="435B64E5" w14:textId="045EA463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lang w:val="pl"/>
        </w:rPr>
        <w:t xml:space="preserve">- w sprawie </w:t>
      </w:r>
      <w:proofErr w:type="spellStart"/>
      <w:r w:rsidRPr="00C37650">
        <w:rPr>
          <w:i/>
          <w:iCs/>
          <w:lang w:val="pl"/>
        </w:rPr>
        <w:t>Inocêncio</w:t>
      </w:r>
      <w:proofErr w:type="spellEnd"/>
      <w:r w:rsidRPr="00C37650">
        <w:rPr>
          <w:i/>
          <w:iCs/>
          <w:lang w:val="pl"/>
        </w:rPr>
        <w:t xml:space="preserve"> przeciwko Portugalii</w:t>
      </w:r>
      <w:r w:rsidRPr="00C37650">
        <w:rPr>
          <w:lang w:val="pl"/>
        </w:rPr>
        <w:t xml:space="preserve"> ((</w:t>
      </w:r>
      <w:proofErr w:type="spellStart"/>
      <w:r w:rsidRPr="00C37650">
        <w:rPr>
          <w:lang w:val="pl"/>
        </w:rPr>
        <w:t>dec</w:t>
      </w:r>
      <w:proofErr w:type="spellEnd"/>
      <w:r w:rsidRPr="00C37650">
        <w:rPr>
          <w:lang w:val="pl"/>
        </w:rPr>
        <w:t xml:space="preserve">.), nr 43862/98, ETPC 2001-I), Trybunał </w:t>
      </w:r>
      <w:r w:rsidR="00012316" w:rsidRPr="00C37650">
        <w:rPr>
          <w:lang w:val="pl"/>
        </w:rPr>
        <w:t>musiał rozstrzygnąć, czy kara</w:t>
      </w:r>
      <w:r w:rsidRPr="00C37650">
        <w:rPr>
          <w:lang w:val="pl"/>
        </w:rPr>
        <w:t xml:space="preserve"> w wysokości 2500 </w:t>
      </w:r>
      <w:r w:rsidR="0093515F" w:rsidRPr="00C37650">
        <w:rPr>
          <w:lang w:val="pl"/>
        </w:rPr>
        <w:t xml:space="preserve">EUR </w:t>
      </w:r>
      <w:r w:rsidR="00012316" w:rsidRPr="00C37650">
        <w:rPr>
          <w:lang w:val="pl"/>
        </w:rPr>
        <w:t>nałożona</w:t>
      </w:r>
      <w:r w:rsidRPr="00C37650">
        <w:rPr>
          <w:lang w:val="pl"/>
        </w:rPr>
        <w:t xml:space="preserve"> na skarżącego za wykonanie prac w jego domu bez wymaganego zezwolenia</w:t>
      </w:r>
      <w:r w:rsidR="00012316" w:rsidRPr="00C37650">
        <w:rPr>
          <w:lang w:val="pl"/>
        </w:rPr>
        <w:t>, była sankcją karną</w:t>
      </w:r>
      <w:r w:rsidRPr="00C37650">
        <w:rPr>
          <w:lang w:val="pl"/>
        </w:rPr>
        <w:t>. Stwierdził, że art. 6 Konwencji nie miał zastosowania w jego aspekcie karnym. Pomijając fakt, że przedmiotowa kwestia nie była związana z kontekstem celnym, sporna sankcja była znacznie niższa niż w niniejszej sprawie.</w:t>
      </w:r>
    </w:p>
    <w:p w14:paraId="243A6C73" w14:textId="2690A64C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29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W odniesieniu do trzeciego z </w:t>
      </w:r>
      <w:r w:rsidR="007B6A4E">
        <w:rPr>
          <w:lang w:val="pl"/>
        </w:rPr>
        <w:t>„</w:t>
      </w:r>
      <w:r w:rsidRPr="00C37650">
        <w:rPr>
          <w:lang w:val="pl"/>
        </w:rPr>
        <w:t xml:space="preserve">kryteriów </w:t>
      </w:r>
      <w:r w:rsidR="00012316" w:rsidRPr="00C37650">
        <w:rPr>
          <w:lang w:val="pl"/>
        </w:rPr>
        <w:t xml:space="preserve">ze sprawy </w:t>
      </w:r>
      <w:proofErr w:type="spellStart"/>
      <w:r w:rsidRPr="00C37650">
        <w:rPr>
          <w:i/>
          <w:iCs/>
          <w:lang w:val="pl"/>
        </w:rPr>
        <w:t>Eng</w:t>
      </w:r>
      <w:r w:rsidR="00012316" w:rsidRPr="00C37650">
        <w:rPr>
          <w:i/>
          <w:iCs/>
          <w:lang w:val="pl"/>
        </w:rPr>
        <w:t>e</w:t>
      </w:r>
      <w:r w:rsidRPr="00C37650">
        <w:rPr>
          <w:i/>
          <w:iCs/>
          <w:lang w:val="pl"/>
        </w:rPr>
        <w:t>l</w:t>
      </w:r>
      <w:proofErr w:type="spellEnd"/>
      <w:r w:rsidR="00AB0707">
        <w:rPr>
          <w:lang w:val="pl"/>
        </w:rPr>
        <w:t>”</w:t>
      </w:r>
      <w:r w:rsidRPr="00C37650">
        <w:rPr>
          <w:lang w:val="pl"/>
        </w:rPr>
        <w:t>, a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mianowicie surowości nałożonej sankcji, Trybunał zauważ</w:t>
      </w:r>
      <w:r w:rsidR="00FE6C30" w:rsidRPr="00C37650">
        <w:rPr>
          <w:lang w:val="pl"/>
        </w:rPr>
        <w:t>a</w:t>
      </w:r>
      <w:r w:rsidRPr="00C37650">
        <w:rPr>
          <w:lang w:val="pl"/>
        </w:rPr>
        <w:t>, że ustawa nr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10/2010 </w:t>
      </w:r>
      <w:r w:rsidR="00FE6C30" w:rsidRPr="00C37650">
        <w:rPr>
          <w:lang w:val="pl"/>
        </w:rPr>
        <w:t>o</w:t>
      </w:r>
      <w:r w:rsidRPr="00C37650">
        <w:rPr>
          <w:lang w:val="pl"/>
        </w:rPr>
        <w:t xml:space="preserve"> zapobieganiu praniu pieniędzy i finansowaniu terroryzmu przewiduje różne rodzaje sankcji w zależności od wagi wykroczenia. I tak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art. 56 wspomniana ustawa reguluje kary za najbardziej naganne w</w:t>
      </w:r>
      <w:r w:rsidR="00DC474C">
        <w:rPr>
          <w:lang w:val="pl"/>
        </w:rPr>
        <w:t xml:space="preserve">ykroczenia, kwalifikowane jako </w:t>
      </w:r>
      <w:r w:rsidR="007B6A4E">
        <w:rPr>
          <w:lang w:val="pl"/>
        </w:rPr>
        <w:t>„</w:t>
      </w:r>
      <w:r w:rsidRPr="00C37650">
        <w:rPr>
          <w:lang w:val="pl"/>
        </w:rPr>
        <w:t>bardzo poważne</w:t>
      </w:r>
      <w:r w:rsidR="007B6A4E">
        <w:rPr>
          <w:lang w:val="pl"/>
        </w:rPr>
        <w:t>”</w:t>
      </w:r>
      <w:r w:rsidRPr="00C37650">
        <w:rPr>
          <w:lang w:val="pl"/>
        </w:rPr>
        <w:t>. W tym zakresie maksymalną karą jest zapłata grzywny lub, w stosownych przypadkach, pozbawienie prawa do sprawowania funkcji publicznych. Nieuiszczenie grzywny nie może zatem prowadzić do przekształcenia nałożonej kary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pozbawienie wolności (</w:t>
      </w:r>
      <w:r w:rsidR="00FE6C30" w:rsidRPr="00C37650">
        <w:rPr>
          <w:lang w:val="pl"/>
        </w:rPr>
        <w:t xml:space="preserve">zob. </w:t>
      </w:r>
      <w:r w:rsidRPr="00C37650">
        <w:rPr>
          <w:lang w:val="pl"/>
        </w:rPr>
        <w:t>p</w:t>
      </w:r>
      <w:r w:rsidR="00EB274B" w:rsidRPr="00C37650">
        <w:rPr>
          <w:lang w:val="pl"/>
        </w:rPr>
        <w:t>aragraf</w:t>
      </w:r>
      <w:r w:rsidRPr="00C37650">
        <w:rPr>
          <w:lang w:val="pl"/>
        </w:rPr>
        <w:t xml:space="preserve"> 11 powyżej). W tej spraw</w:t>
      </w:r>
      <w:r w:rsidR="00DC474C">
        <w:rPr>
          <w:lang w:val="pl"/>
        </w:rPr>
        <w:t xml:space="preserve">ie skarżący został oskarżony o </w:t>
      </w:r>
      <w:r w:rsidR="007B6A4E">
        <w:rPr>
          <w:lang w:val="pl"/>
        </w:rPr>
        <w:t>„</w:t>
      </w:r>
      <w:r w:rsidRPr="00C37650">
        <w:rPr>
          <w:lang w:val="pl"/>
        </w:rPr>
        <w:t>poważne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 naruszenie, za które prawo przewiduje grzywnę w wysokości od 600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do dwukrotnej wartości użytego środka płatnicze</w:t>
      </w:r>
      <w:r w:rsidR="00FE6C30" w:rsidRPr="00C37650">
        <w:rPr>
          <w:lang w:val="pl"/>
        </w:rPr>
        <w:t>go. Grzywna nałożona na skarżącego</w:t>
      </w:r>
      <w:r w:rsidRPr="00C37650">
        <w:rPr>
          <w:lang w:val="pl"/>
        </w:rPr>
        <w:t xml:space="preserve"> wyniosła 153 800 EUR, co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odpowiadało prawie całej kwocie odkrytej podczas interwencji służb celnych. W konsekwencji Trybunał uznaje, że surowość kary</w:t>
      </w:r>
      <w:r w:rsidR="00FE6C30" w:rsidRPr="00C37650">
        <w:rPr>
          <w:lang w:val="pl"/>
        </w:rPr>
        <w:t>, która mogła być nałożona,</w:t>
      </w:r>
      <w:r w:rsidRPr="00C37650">
        <w:rPr>
          <w:lang w:val="pl"/>
        </w:rPr>
        <w:t xml:space="preserve"> była na tyle duża, że nadała postępowaniu w niniejszej sprawie </w:t>
      </w:r>
      <w:r w:rsidRPr="00C37650">
        <w:rPr>
          <w:lang w:val="pl"/>
        </w:rPr>
        <w:lastRenderedPageBreak/>
        <w:t>charakter karnoprawny wymagany do zastosowania art. 2 Protokołu nr 7 do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Konwencji.</w:t>
      </w:r>
    </w:p>
    <w:p w14:paraId="705F47A6" w14:textId="62D6D09A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30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Biorąc pod uwagę różne aspekty sprawy, należy uznać, że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przedmiotowe naruszenie ma charakter karnoprawny (zob. </w:t>
      </w:r>
      <w:r w:rsidRPr="00C37650">
        <w:rPr>
          <w:i/>
          <w:iCs/>
          <w:lang w:val="pl"/>
        </w:rPr>
        <w:t>mutatis mutandis</w:t>
      </w:r>
      <w:r w:rsidRPr="00C37650">
        <w:rPr>
          <w:lang w:val="pl"/>
        </w:rPr>
        <w:t xml:space="preserve">, </w:t>
      </w:r>
      <w:proofErr w:type="spellStart"/>
      <w:r w:rsidRPr="00C37650">
        <w:rPr>
          <w:i/>
          <w:iCs/>
          <w:lang w:val="pl"/>
        </w:rPr>
        <w:t>Valico</w:t>
      </w:r>
      <w:proofErr w:type="spellEnd"/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S.r.l</w:t>
      </w:r>
      <w:proofErr w:type="spellEnd"/>
      <w:r w:rsidRPr="00C37650">
        <w:rPr>
          <w:i/>
          <w:iCs/>
          <w:lang w:val="pl"/>
        </w:rPr>
        <w:t xml:space="preserve">. przeciwko Włochom </w:t>
      </w:r>
      <w:r w:rsidRPr="00C37650">
        <w:rPr>
          <w:lang w:val="pl"/>
        </w:rPr>
        <w:t>(</w:t>
      </w:r>
      <w:proofErr w:type="spellStart"/>
      <w:r w:rsidRPr="00C37650">
        <w:rPr>
          <w:lang w:val="pl"/>
        </w:rPr>
        <w:t>dec</w:t>
      </w:r>
      <w:proofErr w:type="spellEnd"/>
      <w:r w:rsidRPr="00C37650">
        <w:rPr>
          <w:lang w:val="pl"/>
        </w:rPr>
        <w:t>.), nr 70074/01, ETPC 2006-III).</w:t>
      </w:r>
    </w:p>
    <w:p w14:paraId="124C9D46" w14:textId="2ED3175D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31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W związku z tym Trybunał stwierdza, że art. 2 Protokołu nr 7 ma zastosowanie w niniejszej sprawie.</w:t>
      </w:r>
    </w:p>
    <w:p w14:paraId="203A448C" w14:textId="733426B8" w:rsidR="009A7E81" w:rsidRPr="00C37650" w:rsidRDefault="009A7E81" w:rsidP="0043093E">
      <w:pPr>
        <w:pStyle w:val="JuH1"/>
        <w:rPr>
          <w:lang w:val="pl-PL"/>
        </w:rPr>
      </w:pPr>
      <w:r w:rsidRPr="00C37650">
        <w:rPr>
          <w:bCs w:val="0"/>
          <w:lang w:val="pl"/>
        </w:rPr>
        <w:t xml:space="preserve">W sprawie możliwości zastosowania w niniejszej sprawie wyjątków przewidzianych w art. 2 </w:t>
      </w:r>
      <w:r w:rsidR="00C03AF0" w:rsidRPr="00C37650">
        <w:rPr>
          <w:bCs w:val="0"/>
          <w:lang w:val="pl"/>
        </w:rPr>
        <w:t>ust.</w:t>
      </w:r>
      <w:r w:rsidRPr="00C37650">
        <w:rPr>
          <w:bCs w:val="0"/>
          <w:lang w:val="pl"/>
        </w:rPr>
        <w:t xml:space="preserve"> 2 Protokołu nr 7</w:t>
      </w:r>
    </w:p>
    <w:p w14:paraId="76647896" w14:textId="4BE30396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32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Po ustaleniu karnego charakteru kary wymierzonej skarżącemu, należy teraz sprawdzić, czy na podstawie art. 2 Protokołu nr 7 skarżący był uprawniony do poddania swojego wyroku skazującego kontroli drugiej instancji.</w:t>
      </w:r>
    </w:p>
    <w:p w14:paraId="07730882" w14:textId="1CAF6FB3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33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W związku z tym Rząd powołał się na wyjątek </w:t>
      </w:r>
      <w:r w:rsidR="00EE62E3" w:rsidRPr="00C37650">
        <w:rPr>
          <w:lang w:val="pl"/>
        </w:rPr>
        <w:t>przewidziany w art. 2 ust. 2 Protokołu nr 7 dla drobnych przestępstw</w:t>
      </w:r>
      <w:r w:rsidRPr="00C37650">
        <w:rPr>
          <w:lang w:val="pl"/>
        </w:rPr>
        <w:t xml:space="preserve">, </w:t>
      </w:r>
      <w:r w:rsidR="00EE62E3" w:rsidRPr="00C37650">
        <w:rPr>
          <w:lang w:val="pl"/>
        </w:rPr>
        <w:t>na tej podstawie</w:t>
      </w:r>
      <w:r w:rsidRPr="00C37650">
        <w:rPr>
          <w:lang w:val="pl"/>
        </w:rPr>
        <w:t>, że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poniesiona kara nie mogła w żadnym wypadku pociągać za sobą pozbawienia wolności.</w:t>
      </w:r>
    </w:p>
    <w:p w14:paraId="631A19FF" w14:textId="15D6023C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34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Rząd powołał się ponadto na wyjątek dotyczący </w:t>
      </w:r>
      <w:r w:rsidR="00EE62E3" w:rsidRPr="00C37650">
        <w:rPr>
          <w:rFonts w:eastAsia="Times New Roman"/>
          <w:lang w:val="pl"/>
        </w:rPr>
        <w:t>spraw rozstrzyganych przez najwyższe sądy krajowe</w:t>
      </w:r>
      <w:r w:rsidRPr="00C37650">
        <w:rPr>
          <w:rFonts w:eastAsia="Times New Roman"/>
          <w:lang w:val="pl"/>
        </w:rPr>
        <w:t xml:space="preserve">, przewidziany również w </w:t>
      </w:r>
      <w:r w:rsidR="00EE62E3" w:rsidRPr="00C37650">
        <w:rPr>
          <w:rFonts w:eastAsia="Times New Roman"/>
          <w:lang w:val="pl"/>
        </w:rPr>
        <w:t xml:space="preserve">art. </w:t>
      </w:r>
      <w:r w:rsidRPr="00C37650">
        <w:rPr>
          <w:rFonts w:eastAsia="Times New Roman"/>
          <w:lang w:val="pl"/>
        </w:rPr>
        <w:t xml:space="preserve">2 </w:t>
      </w:r>
      <w:r w:rsidR="00EE62E3" w:rsidRPr="00C37650">
        <w:rPr>
          <w:rFonts w:eastAsia="Times New Roman"/>
          <w:lang w:val="pl"/>
        </w:rPr>
        <w:t>ust</w:t>
      </w:r>
      <w:r w:rsidRPr="00C37650">
        <w:rPr>
          <w:rFonts w:eastAsia="Times New Roman"/>
          <w:lang w:val="pl"/>
        </w:rPr>
        <w:t>. 2 Protokołu nr 7. W tym względzie</w:t>
      </w:r>
      <w:r w:rsidR="00EE62E3" w:rsidRPr="00C37650">
        <w:rPr>
          <w:rFonts w:eastAsia="Times New Roman"/>
          <w:lang w:val="pl"/>
        </w:rPr>
        <w:t xml:space="preserve"> twierdził</w:t>
      </w:r>
      <w:r w:rsidRPr="00C37650">
        <w:rPr>
          <w:rFonts w:eastAsia="Times New Roman"/>
          <w:lang w:val="pl"/>
        </w:rPr>
        <w:t xml:space="preserve">, że </w:t>
      </w:r>
      <w:r w:rsidR="00EE62E3" w:rsidRPr="00C37650">
        <w:rPr>
          <w:rFonts w:eastAsia="Times New Roman"/>
          <w:lang w:val="pl"/>
        </w:rPr>
        <w:t>na podstawie hiszpańskiej Konstytucji</w:t>
      </w:r>
      <w:r w:rsidRPr="00C37650">
        <w:rPr>
          <w:rFonts w:eastAsia="Times New Roman"/>
          <w:lang w:val="pl"/>
        </w:rPr>
        <w:t xml:space="preserve"> </w:t>
      </w:r>
      <w:r w:rsidR="00513C53" w:rsidRPr="00C37650">
        <w:rPr>
          <w:rFonts w:eastAsia="Times New Roman"/>
          <w:lang w:val="pl"/>
        </w:rPr>
        <w:t>wy</w:t>
      </w:r>
      <w:r w:rsidR="007752E5" w:rsidRPr="00C37650">
        <w:rPr>
          <w:rFonts w:eastAsia="Times New Roman"/>
          <w:lang w:val="pl"/>
        </w:rPr>
        <w:t>ższe</w:t>
      </w:r>
      <w:r w:rsidR="00513C53" w:rsidRPr="00C37650">
        <w:rPr>
          <w:rFonts w:eastAsia="Times New Roman"/>
          <w:lang w:val="pl"/>
        </w:rPr>
        <w:t xml:space="preserve"> trybunały sprawiedliwości mają </w:t>
      </w:r>
      <w:r w:rsidRPr="00C37650">
        <w:rPr>
          <w:rFonts w:eastAsia="Times New Roman"/>
          <w:lang w:val="pl"/>
        </w:rPr>
        <w:t xml:space="preserve">rangę najwyższej instancji </w:t>
      </w:r>
      <w:r w:rsidR="00513C53" w:rsidRPr="00C37650">
        <w:rPr>
          <w:rFonts w:eastAsia="Times New Roman"/>
          <w:lang w:val="pl"/>
        </w:rPr>
        <w:t xml:space="preserve">sądowej </w:t>
      </w:r>
      <w:r w:rsidRPr="00C37650">
        <w:rPr>
          <w:rFonts w:eastAsia="Times New Roman"/>
          <w:lang w:val="pl"/>
        </w:rPr>
        <w:t>w dziedzinie sporów administr</w:t>
      </w:r>
      <w:r w:rsidR="00513C53" w:rsidRPr="00C37650">
        <w:rPr>
          <w:rFonts w:eastAsia="Times New Roman"/>
          <w:lang w:val="pl"/>
        </w:rPr>
        <w:t>acyjnych na terytorium wspólnot autonomicznych</w:t>
      </w:r>
      <w:r w:rsidRPr="00C37650">
        <w:rPr>
          <w:rFonts w:eastAsia="Times New Roman"/>
          <w:lang w:val="pl"/>
        </w:rPr>
        <w:t xml:space="preserve">, </w:t>
      </w:r>
      <w:r w:rsidR="00513C53" w:rsidRPr="00C37650">
        <w:rPr>
          <w:rFonts w:eastAsia="Times New Roman"/>
          <w:lang w:val="pl"/>
        </w:rPr>
        <w:t xml:space="preserve">podczas gdy Sąd Najwyższy </w:t>
      </w:r>
      <w:r w:rsidRPr="00C37650">
        <w:rPr>
          <w:rFonts w:eastAsia="Times New Roman"/>
          <w:lang w:val="pl"/>
        </w:rPr>
        <w:t>jedynie wyjątkowo jest właściwy do rozpoznawa</w:t>
      </w:r>
      <w:r w:rsidR="00513C53" w:rsidRPr="00C37650">
        <w:rPr>
          <w:rFonts w:eastAsia="Times New Roman"/>
          <w:lang w:val="pl"/>
        </w:rPr>
        <w:t>nia skarg kasacyjnych. Rząd uznawa</w:t>
      </w:r>
      <w:r w:rsidRPr="00C37650">
        <w:rPr>
          <w:rFonts w:eastAsia="Times New Roman"/>
          <w:lang w:val="pl"/>
        </w:rPr>
        <w:t>ł zatem, że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kasacja ma charakter jedynie wyjątkowy i nie może być traktowana jako szczebel jurysdykcji, który należy brać pod uwagę dla celów tego </w:t>
      </w:r>
      <w:r w:rsidR="00513C53" w:rsidRPr="00C37650">
        <w:rPr>
          <w:rFonts w:eastAsia="Times New Roman"/>
          <w:lang w:val="pl"/>
        </w:rPr>
        <w:t xml:space="preserve">przepisu </w:t>
      </w:r>
      <w:r w:rsidRPr="00C37650">
        <w:rPr>
          <w:rFonts w:eastAsia="Times New Roman"/>
          <w:lang w:val="pl"/>
        </w:rPr>
        <w:t>Protokołu.</w:t>
      </w:r>
    </w:p>
    <w:p w14:paraId="7B64435E" w14:textId="717F6A4C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35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Ze swej strony skarżący zarzuca</w:t>
      </w:r>
      <w:r w:rsidR="00513C53" w:rsidRPr="00C37650">
        <w:rPr>
          <w:rFonts w:eastAsia="Times New Roman"/>
          <w:lang w:val="pl"/>
        </w:rPr>
        <w:t>ł</w:t>
      </w:r>
      <w:r w:rsidRPr="00C37650">
        <w:rPr>
          <w:rFonts w:eastAsia="Times New Roman"/>
          <w:lang w:val="pl"/>
        </w:rPr>
        <w:t xml:space="preserve"> nieproporcjonalność kary, ponieważ zajęta kwota odpowiada</w:t>
      </w:r>
      <w:r w:rsidR="00513C53" w:rsidRPr="00C37650">
        <w:rPr>
          <w:rFonts w:eastAsia="Times New Roman"/>
          <w:lang w:val="pl"/>
        </w:rPr>
        <w:t>ła</w:t>
      </w:r>
      <w:r w:rsidRPr="00C37650">
        <w:rPr>
          <w:rFonts w:eastAsia="Times New Roman"/>
          <w:lang w:val="pl"/>
        </w:rPr>
        <w:t xml:space="preserve"> prawie całemu jego majątkowi. </w:t>
      </w:r>
      <w:r w:rsidR="00513C53" w:rsidRPr="00C37650">
        <w:rPr>
          <w:rFonts w:eastAsia="Times New Roman"/>
          <w:lang w:val="pl"/>
        </w:rPr>
        <w:t xml:space="preserve">Ponadto twierdził, </w:t>
      </w:r>
      <w:r w:rsidRPr="00C37650">
        <w:rPr>
          <w:rFonts w:eastAsia="Times New Roman"/>
          <w:lang w:val="pl"/>
        </w:rPr>
        <w:t xml:space="preserve">że korzystał tylko z jednej instancji sądowej. </w:t>
      </w:r>
    </w:p>
    <w:p w14:paraId="50797764" w14:textId="5F95034B" w:rsidR="009A7E81" w:rsidRPr="00C37650" w:rsidRDefault="009A7E81" w:rsidP="0043093E">
      <w:pPr>
        <w:pStyle w:val="JuPara"/>
        <w:rPr>
          <w:snapToGrid w:val="0"/>
          <w:lang w:val="pl-PL"/>
        </w:rPr>
      </w:pPr>
      <w:r w:rsidRPr="00C37650">
        <w:rPr>
          <w:rFonts w:ascii="Times New Roman" w:hAnsi="Times New Roman"/>
          <w:noProof/>
          <w:lang w:val="pl"/>
        </w:rPr>
        <w:t>36</w:t>
      </w:r>
      <w:r w:rsidRPr="00C37650">
        <w:rPr>
          <w:rFonts w:ascii="Times New Roman" w:hAnsi="Times New Roman"/>
          <w:lang w:val="pl"/>
        </w:rPr>
        <w:t>.</w:t>
      </w:r>
      <w:r w:rsidR="0093515F" w:rsidRPr="00C37650">
        <w:rPr>
          <w:rFonts w:ascii="Times New Roman" w:hAnsi="Times New Roman"/>
          <w:lang w:val="pl"/>
        </w:rPr>
        <w:t xml:space="preserve"> </w:t>
      </w:r>
      <w:r w:rsidRPr="00C37650">
        <w:rPr>
          <w:rFonts w:ascii="Times New Roman" w:hAnsi="Times New Roman"/>
          <w:lang w:val="pl"/>
        </w:rPr>
        <w:t>Trybunał musi ustalić, po pierwsze, czy</w:t>
      </w:r>
      <w:r w:rsidR="00513C53" w:rsidRPr="00C37650">
        <w:rPr>
          <w:rFonts w:ascii="Times New Roman" w:hAnsi="Times New Roman"/>
          <w:lang w:val="pl"/>
        </w:rPr>
        <w:t xml:space="preserve"> wy</w:t>
      </w:r>
      <w:r w:rsidR="00447D11" w:rsidRPr="00C37650">
        <w:rPr>
          <w:rFonts w:ascii="Times New Roman" w:hAnsi="Times New Roman"/>
          <w:lang w:val="pl"/>
        </w:rPr>
        <w:t>k</w:t>
      </w:r>
      <w:r w:rsidR="00513C53" w:rsidRPr="00C37650">
        <w:rPr>
          <w:rFonts w:ascii="Times New Roman" w:hAnsi="Times New Roman"/>
          <w:lang w:val="pl"/>
        </w:rPr>
        <w:t>roczenie</w:t>
      </w:r>
      <w:r w:rsidRPr="00C37650">
        <w:rPr>
          <w:rFonts w:ascii="Times New Roman" w:hAnsi="Times New Roman"/>
          <w:lang w:val="pl"/>
        </w:rPr>
        <w:t>, za które skarżący został skazany, nie stanowi</w:t>
      </w:r>
      <w:r w:rsidR="00513C53" w:rsidRPr="00C37650">
        <w:rPr>
          <w:rFonts w:ascii="Times New Roman" w:hAnsi="Times New Roman"/>
          <w:lang w:val="pl"/>
        </w:rPr>
        <w:t>ło</w:t>
      </w:r>
      <w:r w:rsidRPr="00C37650">
        <w:rPr>
          <w:rFonts w:ascii="Times New Roman" w:hAnsi="Times New Roman"/>
          <w:lang w:val="pl"/>
        </w:rPr>
        <w:t xml:space="preserve"> </w:t>
      </w:r>
      <w:r w:rsidR="007B6A4E">
        <w:rPr>
          <w:rFonts w:ascii="Times New Roman" w:hAnsi="Times New Roman"/>
          <w:lang w:val="pl"/>
        </w:rPr>
        <w:t>„</w:t>
      </w:r>
      <w:r w:rsidRPr="00C37650">
        <w:rPr>
          <w:rFonts w:ascii="Times New Roman" w:hAnsi="Times New Roman"/>
          <w:lang w:val="pl"/>
        </w:rPr>
        <w:t xml:space="preserve">drobnego </w:t>
      </w:r>
      <w:r w:rsidR="00513C53" w:rsidRPr="00C37650">
        <w:rPr>
          <w:rFonts w:ascii="Times New Roman" w:hAnsi="Times New Roman"/>
          <w:lang w:val="pl"/>
        </w:rPr>
        <w:t>przestępstwa</w:t>
      </w:r>
      <w:r w:rsidR="007B6A4E">
        <w:rPr>
          <w:rFonts w:ascii="Times New Roman" w:hAnsi="Times New Roman"/>
          <w:lang w:val="pl"/>
        </w:rPr>
        <w:t>”</w:t>
      </w:r>
      <w:r w:rsidRPr="00C37650">
        <w:rPr>
          <w:rFonts w:ascii="Times New Roman" w:hAnsi="Times New Roman"/>
          <w:lang w:val="pl"/>
        </w:rPr>
        <w:t xml:space="preserve"> w</w:t>
      </w:r>
      <w:r w:rsidR="00D51CC3" w:rsidRPr="00C37650">
        <w:rPr>
          <w:rFonts w:ascii="Times New Roman" w:hAnsi="Times New Roman"/>
          <w:lang w:val="pl"/>
        </w:rPr>
        <w:t> </w:t>
      </w:r>
      <w:r w:rsidRPr="00C37650">
        <w:rPr>
          <w:rFonts w:ascii="Times New Roman" w:hAnsi="Times New Roman"/>
          <w:lang w:val="pl"/>
        </w:rPr>
        <w:t xml:space="preserve">rozumieniu art. 2 </w:t>
      </w:r>
      <w:r w:rsidR="00C03AF0" w:rsidRPr="00C37650">
        <w:rPr>
          <w:rFonts w:ascii="Times New Roman" w:hAnsi="Times New Roman"/>
          <w:lang w:val="pl"/>
        </w:rPr>
        <w:t>ust.</w:t>
      </w:r>
      <w:r w:rsidRPr="00C37650">
        <w:rPr>
          <w:rFonts w:ascii="Times New Roman" w:hAnsi="Times New Roman"/>
          <w:lang w:val="pl"/>
        </w:rPr>
        <w:t xml:space="preserve"> 2 Protokołu nr 7</w:t>
      </w:r>
      <w:r w:rsidR="00447D11" w:rsidRPr="00C37650">
        <w:rPr>
          <w:rFonts w:ascii="Times New Roman" w:hAnsi="Times New Roman"/>
          <w:lang w:val="pl"/>
        </w:rPr>
        <w:t>,</w:t>
      </w:r>
      <w:r w:rsidRPr="00C37650">
        <w:rPr>
          <w:rFonts w:ascii="Times New Roman" w:hAnsi="Times New Roman"/>
          <w:lang w:val="pl"/>
        </w:rPr>
        <w:t xml:space="preserve"> i czy w związku z tym w niniejszej sprawie istniała potrzeba odwołania się do drugiej instancji. </w:t>
      </w:r>
      <w:r w:rsidR="00447D11" w:rsidRPr="00C37650">
        <w:rPr>
          <w:rFonts w:ascii="Times New Roman" w:hAnsi="Times New Roman"/>
          <w:lang w:val="pl"/>
        </w:rPr>
        <w:t xml:space="preserve">W tym celu </w:t>
      </w:r>
      <w:r w:rsidRPr="00C37650">
        <w:rPr>
          <w:rFonts w:ascii="Times New Roman" w:hAnsi="Times New Roman"/>
          <w:lang w:val="pl"/>
        </w:rPr>
        <w:t xml:space="preserve">Trybunał musi rozważyć </w:t>
      </w:r>
      <w:r w:rsidR="00447D11" w:rsidRPr="00C37650">
        <w:rPr>
          <w:rFonts w:ascii="Times New Roman" w:hAnsi="Times New Roman"/>
          <w:lang w:val="pl"/>
        </w:rPr>
        <w:t>sformułowania zawarte w raporcie</w:t>
      </w:r>
      <w:r w:rsidRPr="00C37650">
        <w:rPr>
          <w:rFonts w:ascii="Times New Roman" w:hAnsi="Times New Roman"/>
          <w:lang w:val="pl"/>
        </w:rPr>
        <w:t xml:space="preserve"> wy</w:t>
      </w:r>
      <w:r w:rsidR="00447D11" w:rsidRPr="00C37650">
        <w:rPr>
          <w:rFonts w:ascii="Times New Roman" w:hAnsi="Times New Roman"/>
          <w:lang w:val="pl"/>
        </w:rPr>
        <w:t>jaśniającym do</w:t>
      </w:r>
      <w:r w:rsidRPr="00C37650">
        <w:rPr>
          <w:rFonts w:ascii="Times New Roman" w:hAnsi="Times New Roman"/>
          <w:lang w:val="pl"/>
        </w:rPr>
        <w:t xml:space="preserve"> Protokołu nr 7, który wyraźnie stwierdza, że przy</w:t>
      </w:r>
      <w:r w:rsidR="00447D11" w:rsidRPr="00C37650">
        <w:rPr>
          <w:rFonts w:ascii="Times New Roman" w:hAnsi="Times New Roman"/>
          <w:lang w:val="pl"/>
        </w:rPr>
        <w:t xml:space="preserve"> rozstrzyganiu</w:t>
      </w:r>
      <w:r w:rsidRPr="00C37650">
        <w:rPr>
          <w:rFonts w:ascii="Times New Roman" w:hAnsi="Times New Roman"/>
          <w:lang w:val="pl"/>
        </w:rPr>
        <w:t xml:space="preserve">, czy </w:t>
      </w:r>
      <w:r w:rsidR="00447D11" w:rsidRPr="00C37650">
        <w:rPr>
          <w:rFonts w:ascii="Times New Roman" w:hAnsi="Times New Roman"/>
          <w:lang w:val="pl"/>
        </w:rPr>
        <w:t>przestępstwo jest drobne</w:t>
      </w:r>
      <w:r w:rsidRPr="00C37650">
        <w:rPr>
          <w:rFonts w:ascii="Times New Roman" w:hAnsi="Times New Roman"/>
          <w:lang w:val="pl"/>
        </w:rPr>
        <w:t xml:space="preserve">, ważnym kryterium jest to, czy jest </w:t>
      </w:r>
      <w:r w:rsidR="00447D11" w:rsidRPr="00C37650">
        <w:rPr>
          <w:rFonts w:ascii="Times New Roman" w:hAnsi="Times New Roman"/>
          <w:lang w:val="pl"/>
        </w:rPr>
        <w:t xml:space="preserve">ono </w:t>
      </w:r>
      <w:r w:rsidRPr="00C37650">
        <w:rPr>
          <w:rFonts w:ascii="Times New Roman" w:hAnsi="Times New Roman"/>
          <w:lang w:val="pl"/>
        </w:rPr>
        <w:t xml:space="preserve">zagrożone karą pozbawienia wolności </w:t>
      </w:r>
      <w:r w:rsidRPr="00927658">
        <w:rPr>
          <w:rFonts w:ascii="Times New Roman" w:hAnsi="Times New Roman"/>
          <w:iCs/>
          <w:lang w:val="pl"/>
        </w:rPr>
        <w:t>(</w:t>
      </w:r>
      <w:r w:rsidRPr="00C37650">
        <w:rPr>
          <w:rFonts w:ascii="Times New Roman" w:hAnsi="Times New Roman"/>
          <w:iCs/>
          <w:lang w:val="pl"/>
        </w:rPr>
        <w:t>zob.</w:t>
      </w:r>
      <w:r w:rsidRPr="00C37650">
        <w:rPr>
          <w:rFonts w:ascii="Times New Roman" w:hAnsi="Times New Roman"/>
          <w:i/>
          <w:iCs/>
          <w:lang w:val="pl"/>
        </w:rPr>
        <w:t xml:space="preserve"> </w:t>
      </w:r>
      <w:proofErr w:type="spellStart"/>
      <w:r w:rsidRPr="00C37650">
        <w:rPr>
          <w:rFonts w:ascii="Times New Roman" w:hAnsi="Times New Roman"/>
          <w:i/>
          <w:iCs/>
          <w:lang w:val="pl"/>
        </w:rPr>
        <w:t>Zaicevs</w:t>
      </w:r>
      <w:proofErr w:type="spellEnd"/>
      <w:r w:rsidRPr="00C37650">
        <w:rPr>
          <w:rFonts w:ascii="Times New Roman" w:hAnsi="Times New Roman"/>
          <w:lang w:val="pl"/>
        </w:rPr>
        <w:t>, cyt</w:t>
      </w:r>
      <w:r w:rsidR="00EB274B" w:rsidRPr="00C37650">
        <w:rPr>
          <w:rFonts w:ascii="Times New Roman" w:hAnsi="Times New Roman"/>
          <w:lang w:val="pl"/>
        </w:rPr>
        <w:t>.</w:t>
      </w:r>
      <w:r w:rsidRPr="00C37650">
        <w:rPr>
          <w:rFonts w:ascii="Times New Roman" w:hAnsi="Times New Roman"/>
          <w:lang w:val="pl"/>
        </w:rPr>
        <w:t xml:space="preserve"> powyżej, § 55, </w:t>
      </w:r>
      <w:r w:rsidRPr="00C37650">
        <w:rPr>
          <w:rFonts w:ascii="Times New Roman" w:hAnsi="Times New Roman"/>
          <w:i/>
          <w:iCs/>
          <w:lang w:val="pl"/>
        </w:rPr>
        <w:t>Grecu przeciwko Rumunii</w:t>
      </w:r>
      <w:r w:rsidRPr="00C37650">
        <w:rPr>
          <w:rFonts w:ascii="Times New Roman" w:hAnsi="Times New Roman"/>
          <w:lang w:val="pl"/>
        </w:rPr>
        <w:t xml:space="preserve">, nr 75101/01, § 82, 30 listopada 2006 r., oraz </w:t>
      </w:r>
      <w:proofErr w:type="spellStart"/>
      <w:r w:rsidRPr="00C37650">
        <w:rPr>
          <w:rFonts w:ascii="Times New Roman" w:hAnsi="Times New Roman"/>
          <w:i/>
          <w:iCs/>
          <w:lang w:val="pl"/>
        </w:rPr>
        <w:t>Stanchev</w:t>
      </w:r>
      <w:proofErr w:type="spellEnd"/>
      <w:r w:rsidRPr="00C37650">
        <w:rPr>
          <w:rFonts w:ascii="Times New Roman" w:hAnsi="Times New Roman"/>
          <w:lang w:val="pl"/>
        </w:rPr>
        <w:t>, cyt</w:t>
      </w:r>
      <w:r w:rsidR="00EB274B" w:rsidRPr="00C37650">
        <w:rPr>
          <w:rFonts w:ascii="Times New Roman" w:hAnsi="Times New Roman"/>
          <w:lang w:val="pl"/>
        </w:rPr>
        <w:t>.</w:t>
      </w:r>
      <w:r w:rsidRPr="00C37650">
        <w:rPr>
          <w:rFonts w:ascii="Times New Roman" w:hAnsi="Times New Roman"/>
          <w:lang w:val="pl"/>
        </w:rPr>
        <w:t xml:space="preserve"> powyżej, § 47). W niniejszej sprawie bezsporne jest, że kara wymierzona skarżącemu nie mogła być zastąpiona, w przypadku braku zapłaty, karą pozbawienia wolności. Brak kary pozbawienia wolności nie jest jednak </w:t>
      </w:r>
      <w:r w:rsidR="00986E4D" w:rsidRPr="00C37650">
        <w:rPr>
          <w:rFonts w:ascii="Times New Roman" w:hAnsi="Times New Roman"/>
          <w:lang w:val="pl"/>
        </w:rPr>
        <w:t xml:space="preserve">ani </w:t>
      </w:r>
      <w:r w:rsidRPr="00C37650">
        <w:rPr>
          <w:rFonts w:ascii="Times New Roman" w:hAnsi="Times New Roman"/>
          <w:lang w:val="pl"/>
        </w:rPr>
        <w:lastRenderedPageBreak/>
        <w:t>czynnikiem decydującym</w:t>
      </w:r>
      <w:r w:rsidR="00986E4D" w:rsidRPr="00C37650">
        <w:rPr>
          <w:rFonts w:ascii="Times New Roman" w:hAnsi="Times New Roman"/>
          <w:lang w:val="pl"/>
        </w:rPr>
        <w:t>,</w:t>
      </w:r>
      <w:r w:rsidRPr="00C37650">
        <w:rPr>
          <w:rFonts w:ascii="Times New Roman" w:hAnsi="Times New Roman"/>
          <w:lang w:val="pl"/>
        </w:rPr>
        <w:t xml:space="preserve"> ani jedynym kryterium, które należy brać pod uwagę</w:t>
      </w:r>
      <w:r w:rsidR="00986E4D" w:rsidRPr="00C37650">
        <w:rPr>
          <w:rFonts w:ascii="Times New Roman" w:hAnsi="Times New Roman"/>
          <w:lang w:val="pl"/>
        </w:rPr>
        <w:t xml:space="preserve">, jako że </w:t>
      </w:r>
      <w:r w:rsidRPr="00C37650">
        <w:rPr>
          <w:rFonts w:ascii="Times New Roman" w:hAnsi="Times New Roman"/>
          <w:lang w:val="pl"/>
        </w:rPr>
        <w:t xml:space="preserve">Trybunał wskazał już, że względna </w:t>
      </w:r>
      <w:r w:rsidR="00986E4D" w:rsidRPr="00C37650">
        <w:rPr>
          <w:rFonts w:ascii="Times New Roman" w:hAnsi="Times New Roman"/>
          <w:lang w:val="pl"/>
        </w:rPr>
        <w:t>łagodność</w:t>
      </w:r>
      <w:r w:rsidRPr="00C37650">
        <w:rPr>
          <w:rFonts w:ascii="Times New Roman" w:hAnsi="Times New Roman"/>
          <w:lang w:val="pl"/>
        </w:rPr>
        <w:t xml:space="preserve"> </w:t>
      </w:r>
      <w:r w:rsidR="00986E4D" w:rsidRPr="00C37650">
        <w:rPr>
          <w:rFonts w:ascii="Times New Roman" w:hAnsi="Times New Roman"/>
          <w:lang w:val="pl"/>
        </w:rPr>
        <w:t xml:space="preserve">kary </w:t>
      </w:r>
      <w:r w:rsidRPr="00C37650">
        <w:rPr>
          <w:rFonts w:ascii="Times New Roman" w:hAnsi="Times New Roman"/>
          <w:lang w:val="pl"/>
        </w:rPr>
        <w:t xml:space="preserve">nie może pozbawić </w:t>
      </w:r>
      <w:r w:rsidR="00DB7552" w:rsidRPr="00C37650">
        <w:rPr>
          <w:rFonts w:ascii="Times New Roman" w:hAnsi="Times New Roman"/>
          <w:lang w:val="pl"/>
        </w:rPr>
        <w:t xml:space="preserve"> wykroczenia</w:t>
      </w:r>
      <w:r w:rsidR="00986E4D" w:rsidRPr="00C37650">
        <w:rPr>
          <w:rFonts w:ascii="Times New Roman" w:hAnsi="Times New Roman"/>
          <w:lang w:val="pl"/>
        </w:rPr>
        <w:t xml:space="preserve"> jego </w:t>
      </w:r>
      <w:r w:rsidR="00DB7552" w:rsidRPr="00C37650">
        <w:rPr>
          <w:rFonts w:ascii="Times New Roman" w:hAnsi="Times New Roman"/>
          <w:lang w:val="pl"/>
        </w:rPr>
        <w:t xml:space="preserve">nieodłącznego </w:t>
      </w:r>
      <w:r w:rsidRPr="00C37650">
        <w:rPr>
          <w:rFonts w:ascii="Times New Roman" w:hAnsi="Times New Roman"/>
          <w:lang w:val="pl"/>
        </w:rPr>
        <w:t xml:space="preserve">charakteru karnego </w:t>
      </w:r>
      <w:r w:rsidRPr="00927658">
        <w:rPr>
          <w:rFonts w:ascii="Times New Roman" w:hAnsi="Times New Roman"/>
          <w:iCs/>
          <w:lang w:val="pl"/>
        </w:rPr>
        <w:t>(</w:t>
      </w:r>
      <w:r w:rsidR="00927658" w:rsidRPr="00927658">
        <w:rPr>
          <w:rFonts w:ascii="Times New Roman" w:hAnsi="Times New Roman"/>
          <w:iCs/>
          <w:lang w:val="pl"/>
        </w:rPr>
        <w:t>zob</w:t>
      </w:r>
      <w:r w:rsidR="00927658">
        <w:rPr>
          <w:rFonts w:ascii="Times New Roman" w:hAnsi="Times New Roman"/>
          <w:i/>
          <w:iCs/>
          <w:lang w:val="pl"/>
        </w:rPr>
        <w:t>. </w:t>
      </w:r>
      <w:proofErr w:type="spellStart"/>
      <w:r w:rsidRPr="00C37650">
        <w:rPr>
          <w:rFonts w:ascii="Times New Roman" w:hAnsi="Times New Roman"/>
          <w:i/>
          <w:iCs/>
          <w:lang w:val="pl"/>
        </w:rPr>
        <w:t>Nicoleta</w:t>
      </w:r>
      <w:proofErr w:type="spellEnd"/>
      <w:r w:rsidRPr="00C37650">
        <w:rPr>
          <w:rFonts w:ascii="Times New Roman" w:hAnsi="Times New Roman"/>
          <w:i/>
          <w:iCs/>
          <w:lang w:val="pl"/>
        </w:rPr>
        <w:t xml:space="preserve"> </w:t>
      </w:r>
      <w:proofErr w:type="spellStart"/>
      <w:r w:rsidRPr="00C37650">
        <w:rPr>
          <w:rFonts w:ascii="Times New Roman" w:hAnsi="Times New Roman"/>
          <w:i/>
          <w:iCs/>
          <w:lang w:val="pl"/>
        </w:rPr>
        <w:t>Gheorghe</w:t>
      </w:r>
      <w:proofErr w:type="spellEnd"/>
      <w:r w:rsidRPr="00C37650">
        <w:rPr>
          <w:rFonts w:ascii="Times New Roman" w:hAnsi="Times New Roman"/>
          <w:i/>
          <w:iCs/>
          <w:lang w:val="pl"/>
        </w:rPr>
        <w:t xml:space="preserve"> przeciwko Rumunii</w:t>
      </w:r>
      <w:r w:rsidRPr="00C37650">
        <w:rPr>
          <w:rFonts w:ascii="Times New Roman" w:hAnsi="Times New Roman"/>
          <w:lang w:val="pl"/>
        </w:rPr>
        <w:t>, nr 23470/05, § 26, 3 kwietnia 2012 r.).</w:t>
      </w:r>
    </w:p>
    <w:p w14:paraId="5EE6161C" w14:textId="268C0D1A" w:rsidR="009A7E81" w:rsidRPr="00C37650" w:rsidRDefault="009A7E81" w:rsidP="0043093E">
      <w:pPr>
        <w:pStyle w:val="JuPara"/>
        <w:rPr>
          <w:rFonts w:ascii="Times New Roman" w:eastAsia="Times New Roman" w:hAnsi="Times New Roman" w:cs="Times New Roman"/>
          <w:lang w:val="pl-PL"/>
        </w:rPr>
      </w:pPr>
      <w:r w:rsidRPr="00C37650">
        <w:rPr>
          <w:rFonts w:ascii="Times New Roman" w:eastAsia="Times New Roman" w:hAnsi="Times New Roman" w:cs="Times New Roman"/>
          <w:noProof/>
          <w:lang w:val="pl"/>
        </w:rPr>
        <w:t>37</w:t>
      </w:r>
      <w:r w:rsidRPr="00C37650">
        <w:rPr>
          <w:rFonts w:ascii="Times New Roman" w:eastAsia="Times New Roman" w:hAnsi="Times New Roman" w:cs="Times New Roman"/>
          <w:lang w:val="pl"/>
        </w:rPr>
        <w:t>.</w:t>
      </w:r>
      <w:r w:rsidR="0093515F" w:rsidRPr="00C37650">
        <w:rPr>
          <w:rFonts w:ascii="Times New Roman" w:eastAsia="Times New Roman" w:hAnsi="Times New Roman" w:cs="Times New Roman"/>
          <w:lang w:val="pl"/>
        </w:rPr>
        <w:t xml:space="preserve"> </w:t>
      </w:r>
      <w:r w:rsidRPr="00C37650">
        <w:rPr>
          <w:rFonts w:ascii="Times New Roman" w:eastAsia="Times New Roman" w:hAnsi="Times New Roman" w:cs="Times New Roman"/>
          <w:lang w:val="pl"/>
        </w:rPr>
        <w:t>Trybunał ma świadomość, że w ustawodawstwie</w:t>
      </w:r>
      <w:r w:rsidR="00B209DC" w:rsidRPr="00C37650">
        <w:rPr>
          <w:rFonts w:ascii="Times New Roman" w:eastAsia="Times New Roman" w:hAnsi="Times New Roman" w:cs="Times New Roman"/>
          <w:lang w:val="pl"/>
        </w:rPr>
        <w:t xml:space="preserve"> Układających się</w:t>
      </w:r>
      <w:r w:rsidRPr="00C37650">
        <w:rPr>
          <w:rFonts w:ascii="Times New Roman" w:eastAsia="Times New Roman" w:hAnsi="Times New Roman" w:cs="Times New Roman"/>
          <w:lang w:val="pl"/>
        </w:rPr>
        <w:t xml:space="preserve"> </w:t>
      </w:r>
      <w:r w:rsidR="00B209DC" w:rsidRPr="00C37650">
        <w:rPr>
          <w:rFonts w:ascii="Times New Roman" w:eastAsia="Times New Roman" w:hAnsi="Times New Roman" w:cs="Times New Roman"/>
          <w:lang w:val="pl"/>
        </w:rPr>
        <w:t xml:space="preserve">Państw </w:t>
      </w:r>
      <w:r w:rsidRPr="00C37650">
        <w:rPr>
          <w:rFonts w:ascii="Times New Roman" w:eastAsia="Times New Roman" w:hAnsi="Times New Roman" w:cs="Times New Roman"/>
          <w:lang w:val="pl"/>
        </w:rPr>
        <w:t>istnieje duże zróżnicowanie w zakresie sankcji celnych za</w:t>
      </w:r>
      <w:r w:rsidR="00D51CC3" w:rsidRPr="00C37650">
        <w:rPr>
          <w:rFonts w:ascii="Times New Roman" w:eastAsia="Times New Roman" w:hAnsi="Times New Roman" w:cs="Times New Roman"/>
          <w:lang w:val="pl"/>
        </w:rPr>
        <w:t> </w:t>
      </w:r>
      <w:r w:rsidRPr="00C37650">
        <w:rPr>
          <w:rFonts w:ascii="Times New Roman" w:eastAsia="Times New Roman" w:hAnsi="Times New Roman" w:cs="Times New Roman"/>
          <w:lang w:val="pl"/>
        </w:rPr>
        <w:t>niezadeklarowanie kwoty pieniężne</w:t>
      </w:r>
      <w:r w:rsidR="00B209DC" w:rsidRPr="00C37650">
        <w:rPr>
          <w:rFonts w:ascii="Times New Roman" w:eastAsia="Times New Roman" w:hAnsi="Times New Roman" w:cs="Times New Roman"/>
          <w:lang w:val="pl"/>
        </w:rPr>
        <w:t>j</w:t>
      </w:r>
      <w:r w:rsidRPr="00C37650">
        <w:rPr>
          <w:rFonts w:ascii="Times New Roman" w:eastAsia="Times New Roman" w:hAnsi="Times New Roman" w:cs="Times New Roman"/>
          <w:lang w:val="pl"/>
        </w:rPr>
        <w:t>. Poszanowanie zasady pomocniczości i marginesu oceny, z których korzystają państwa w tej dziedzinie (zob. m.in.</w:t>
      </w:r>
      <w:r w:rsidRPr="00C37650">
        <w:rPr>
          <w:rFonts w:ascii="Times New Roman" w:eastAsia="Times New Roman" w:hAnsi="Times New Roman" w:cs="Times New Roman"/>
          <w:i/>
          <w:iCs/>
          <w:lang w:val="pl"/>
        </w:rPr>
        <w:t xml:space="preserve"> </w:t>
      </w:r>
      <w:proofErr w:type="spellStart"/>
      <w:r w:rsidRPr="00C37650">
        <w:rPr>
          <w:rFonts w:ascii="Times New Roman" w:eastAsia="Times New Roman" w:hAnsi="Times New Roman" w:cs="Times New Roman"/>
          <w:i/>
          <w:iCs/>
          <w:lang w:val="pl"/>
        </w:rPr>
        <w:t>Natsvlishvili</w:t>
      </w:r>
      <w:proofErr w:type="spellEnd"/>
      <w:r w:rsidRPr="00C37650">
        <w:rPr>
          <w:rFonts w:ascii="Times New Roman" w:eastAsia="Times New Roman" w:hAnsi="Times New Roman" w:cs="Times New Roman"/>
          <w:i/>
          <w:iCs/>
          <w:lang w:val="pl"/>
        </w:rPr>
        <w:t xml:space="preserve"> i </w:t>
      </w:r>
      <w:proofErr w:type="spellStart"/>
      <w:r w:rsidRPr="00C37650">
        <w:rPr>
          <w:rFonts w:ascii="Times New Roman" w:eastAsia="Times New Roman" w:hAnsi="Times New Roman" w:cs="Times New Roman"/>
          <w:i/>
          <w:iCs/>
          <w:lang w:val="pl"/>
        </w:rPr>
        <w:t>Togonidze</w:t>
      </w:r>
      <w:proofErr w:type="spellEnd"/>
      <w:r w:rsidRPr="00C37650">
        <w:rPr>
          <w:rFonts w:ascii="Times New Roman" w:eastAsia="Times New Roman" w:hAnsi="Times New Roman" w:cs="Times New Roman"/>
          <w:lang w:val="pl"/>
        </w:rPr>
        <w:t xml:space="preserve"> </w:t>
      </w:r>
      <w:r w:rsidRPr="00C37650">
        <w:rPr>
          <w:rFonts w:ascii="Times New Roman" w:eastAsia="Times New Roman" w:hAnsi="Times New Roman" w:cs="Times New Roman"/>
          <w:i/>
          <w:iCs/>
          <w:lang w:val="pl"/>
        </w:rPr>
        <w:t>przeciwko</w:t>
      </w:r>
      <w:r w:rsidRPr="00C37650">
        <w:rPr>
          <w:rFonts w:ascii="Times New Roman" w:eastAsia="Times New Roman" w:hAnsi="Times New Roman" w:cs="Times New Roman"/>
          <w:lang w:val="pl"/>
        </w:rPr>
        <w:t xml:space="preserve"> </w:t>
      </w:r>
      <w:r w:rsidRPr="00C37650">
        <w:rPr>
          <w:rFonts w:ascii="Times New Roman" w:eastAsia="Times New Roman" w:hAnsi="Times New Roman" w:cs="Times New Roman"/>
          <w:i/>
          <w:iCs/>
          <w:lang w:val="pl"/>
        </w:rPr>
        <w:t>Gruzji</w:t>
      </w:r>
      <w:r w:rsidRPr="00C37650">
        <w:rPr>
          <w:rFonts w:ascii="Times New Roman" w:eastAsia="Times New Roman" w:hAnsi="Times New Roman" w:cs="Times New Roman"/>
          <w:lang w:val="pl"/>
        </w:rPr>
        <w:t>, nr 9043/05, § 96 ETPC 2014 (fragmenty))</w:t>
      </w:r>
      <w:r w:rsidR="00B209DC" w:rsidRPr="00C37650">
        <w:rPr>
          <w:rFonts w:ascii="Times New Roman" w:eastAsia="Times New Roman" w:hAnsi="Times New Roman" w:cs="Times New Roman"/>
          <w:lang w:val="pl"/>
        </w:rPr>
        <w:t>,</w:t>
      </w:r>
      <w:r w:rsidRPr="00C37650">
        <w:rPr>
          <w:rFonts w:ascii="Times New Roman" w:eastAsia="Times New Roman" w:hAnsi="Times New Roman" w:cs="Times New Roman"/>
          <w:lang w:val="pl"/>
        </w:rPr>
        <w:t xml:space="preserve"> prowadzi Trybunał do uznania, że o znaczeniu i wadze, jakie należy nadać każdemu elementowi, należy decydować, biorąc pod uwagę okoliczności każdej indywidualnej sprawy. Podczas gdy konieczne będzie, aby dany środek osiągnął pewien próg dotkliwości, do</w:t>
      </w:r>
      <w:r w:rsidR="00D51CC3" w:rsidRPr="00C37650">
        <w:rPr>
          <w:rFonts w:ascii="Times New Roman" w:eastAsia="Times New Roman" w:hAnsi="Times New Roman" w:cs="Times New Roman"/>
          <w:lang w:val="pl"/>
        </w:rPr>
        <w:t> </w:t>
      </w:r>
      <w:r w:rsidRPr="00C37650">
        <w:rPr>
          <w:rFonts w:ascii="Times New Roman" w:eastAsia="Times New Roman" w:hAnsi="Times New Roman" w:cs="Times New Roman"/>
          <w:lang w:val="pl"/>
        </w:rPr>
        <w:t>władz krajowych będzie należało zbadanie jego proporcjonalności i</w:t>
      </w:r>
      <w:r w:rsidR="00D51CC3" w:rsidRPr="00C37650">
        <w:rPr>
          <w:rFonts w:ascii="Times New Roman" w:eastAsia="Times New Roman" w:hAnsi="Times New Roman" w:cs="Times New Roman"/>
          <w:lang w:val="pl"/>
        </w:rPr>
        <w:t> </w:t>
      </w:r>
      <w:r w:rsidRPr="00C37650">
        <w:rPr>
          <w:rFonts w:ascii="Times New Roman" w:eastAsia="Times New Roman" w:hAnsi="Times New Roman" w:cs="Times New Roman"/>
          <w:lang w:val="pl"/>
        </w:rPr>
        <w:t xml:space="preserve">szczególnie poważnych konsekwencji </w:t>
      </w:r>
      <w:r w:rsidR="00B209DC" w:rsidRPr="00C37650">
        <w:rPr>
          <w:rFonts w:ascii="Times New Roman" w:eastAsia="Times New Roman" w:hAnsi="Times New Roman" w:cs="Times New Roman"/>
          <w:lang w:val="pl"/>
        </w:rPr>
        <w:t>w świetle indywidualnej</w:t>
      </w:r>
      <w:r w:rsidRPr="00C37650">
        <w:rPr>
          <w:rFonts w:ascii="Times New Roman" w:eastAsia="Times New Roman" w:hAnsi="Times New Roman" w:cs="Times New Roman"/>
          <w:lang w:val="pl"/>
        </w:rPr>
        <w:t xml:space="preserve"> sytuacji skarżącego. Istnienie kary pozbawienia wolności </w:t>
      </w:r>
      <w:r w:rsidR="00B209DC" w:rsidRPr="00C37650">
        <w:rPr>
          <w:rFonts w:ascii="Times New Roman" w:eastAsia="Times New Roman" w:hAnsi="Times New Roman" w:cs="Times New Roman"/>
          <w:lang w:val="pl"/>
        </w:rPr>
        <w:t xml:space="preserve">będzie </w:t>
      </w:r>
      <w:r w:rsidRPr="00C37650">
        <w:rPr>
          <w:rFonts w:ascii="Times New Roman" w:eastAsia="Times New Roman" w:hAnsi="Times New Roman" w:cs="Times New Roman"/>
          <w:lang w:val="pl"/>
        </w:rPr>
        <w:t xml:space="preserve">więc istotnym czynnikiem, </w:t>
      </w:r>
      <w:r w:rsidR="00B209DC" w:rsidRPr="00C37650">
        <w:rPr>
          <w:rFonts w:ascii="Times New Roman" w:eastAsia="Times New Roman" w:hAnsi="Times New Roman" w:cs="Times New Roman"/>
          <w:lang w:val="pl"/>
        </w:rPr>
        <w:t xml:space="preserve">ale nie będzie on </w:t>
      </w:r>
      <w:r w:rsidR="00652A74" w:rsidRPr="00C37650">
        <w:rPr>
          <w:rFonts w:ascii="Times New Roman" w:eastAsia="Times New Roman" w:hAnsi="Times New Roman" w:cs="Times New Roman"/>
          <w:lang w:val="pl"/>
        </w:rPr>
        <w:t xml:space="preserve">miał </w:t>
      </w:r>
      <w:r w:rsidR="00B209DC" w:rsidRPr="00C37650">
        <w:rPr>
          <w:rFonts w:ascii="Times New Roman" w:eastAsia="Times New Roman" w:hAnsi="Times New Roman" w:cs="Times New Roman"/>
          <w:lang w:val="pl"/>
        </w:rPr>
        <w:t>sam w sobie decydującego znaczenia dla</w:t>
      </w:r>
      <w:r w:rsidR="00D51CC3" w:rsidRPr="00C37650">
        <w:rPr>
          <w:rFonts w:ascii="Times New Roman" w:eastAsia="Times New Roman" w:hAnsi="Times New Roman" w:cs="Times New Roman"/>
          <w:lang w:val="pl"/>
        </w:rPr>
        <w:t> </w:t>
      </w:r>
      <w:r w:rsidR="00B209DC" w:rsidRPr="00C37650">
        <w:rPr>
          <w:rFonts w:ascii="Times New Roman" w:eastAsia="Times New Roman" w:hAnsi="Times New Roman" w:cs="Times New Roman"/>
          <w:lang w:val="pl"/>
        </w:rPr>
        <w:t>decyzji Trybunału, czy przestępstwo było drobne</w:t>
      </w:r>
      <w:r w:rsidRPr="00C37650">
        <w:rPr>
          <w:rFonts w:ascii="Times New Roman" w:eastAsia="Times New Roman" w:hAnsi="Times New Roman" w:cs="Times New Roman"/>
          <w:lang w:val="pl"/>
        </w:rPr>
        <w:t>.</w:t>
      </w:r>
    </w:p>
    <w:p w14:paraId="3BEB27C2" w14:textId="2D224617" w:rsidR="009A7E81" w:rsidRPr="00C37650" w:rsidRDefault="009A7E81" w:rsidP="0043093E">
      <w:pPr>
        <w:pStyle w:val="JuPara"/>
        <w:rPr>
          <w:rFonts w:ascii="Times New Roman" w:eastAsia="Times New Roman" w:hAnsi="Times New Roman" w:cs="Times New Roman"/>
          <w:lang w:val="pl-PL"/>
        </w:rPr>
      </w:pPr>
      <w:r w:rsidRPr="00C37650">
        <w:rPr>
          <w:rFonts w:ascii="Times New Roman" w:hAnsi="Times New Roman"/>
          <w:noProof/>
          <w:lang w:val="pl"/>
        </w:rPr>
        <w:t>38</w:t>
      </w:r>
      <w:r w:rsidRPr="00C37650">
        <w:rPr>
          <w:rFonts w:ascii="Times New Roman" w:hAnsi="Times New Roman"/>
          <w:lang w:val="pl"/>
        </w:rPr>
        <w:t xml:space="preserve">. </w:t>
      </w:r>
      <w:r w:rsidR="00652A74" w:rsidRPr="00C37650">
        <w:rPr>
          <w:rFonts w:ascii="Times New Roman" w:hAnsi="Times New Roman"/>
          <w:lang w:val="pl"/>
        </w:rPr>
        <w:t>T</w:t>
      </w:r>
      <w:r w:rsidRPr="00C37650">
        <w:rPr>
          <w:rFonts w:ascii="Times New Roman" w:hAnsi="Times New Roman"/>
          <w:lang w:val="pl"/>
        </w:rPr>
        <w:t>aka interpretacja art</w:t>
      </w:r>
      <w:r w:rsidR="00C03AF0" w:rsidRPr="00C37650">
        <w:rPr>
          <w:rFonts w:ascii="Times New Roman" w:hAnsi="Times New Roman"/>
          <w:lang w:val="pl"/>
        </w:rPr>
        <w:t>.</w:t>
      </w:r>
      <w:r w:rsidR="00652A74" w:rsidRPr="00C37650">
        <w:rPr>
          <w:rFonts w:ascii="Times New Roman" w:hAnsi="Times New Roman"/>
          <w:lang w:val="pl"/>
        </w:rPr>
        <w:t xml:space="preserve"> 2 ust. 2</w:t>
      </w:r>
      <w:r w:rsidRPr="00C37650">
        <w:rPr>
          <w:rFonts w:ascii="Times New Roman" w:hAnsi="Times New Roman"/>
          <w:lang w:val="pl"/>
        </w:rPr>
        <w:t xml:space="preserve"> Protokołu nr 7 i </w:t>
      </w:r>
      <w:r w:rsidR="00652A74" w:rsidRPr="00C37650">
        <w:rPr>
          <w:rFonts w:ascii="Times New Roman" w:hAnsi="Times New Roman"/>
          <w:lang w:val="pl"/>
        </w:rPr>
        <w:t xml:space="preserve">dotyczącego go raportu </w:t>
      </w:r>
      <w:r w:rsidRPr="00C37650">
        <w:rPr>
          <w:rFonts w:ascii="Times New Roman" w:hAnsi="Times New Roman"/>
          <w:lang w:val="pl"/>
        </w:rPr>
        <w:t>wyjaśniającego jest zgodna z ogólnymi zasadami interpretacji traktatów przewidzianymi w art</w:t>
      </w:r>
      <w:r w:rsidR="00C03AF0" w:rsidRPr="00C37650">
        <w:rPr>
          <w:rFonts w:ascii="Times New Roman" w:hAnsi="Times New Roman"/>
          <w:lang w:val="pl"/>
        </w:rPr>
        <w:t>.</w:t>
      </w:r>
      <w:r w:rsidRPr="00C37650">
        <w:rPr>
          <w:rFonts w:ascii="Times New Roman" w:hAnsi="Times New Roman"/>
          <w:lang w:val="pl"/>
        </w:rPr>
        <w:t xml:space="preserve"> 31 </w:t>
      </w:r>
      <w:r w:rsidR="00C03AF0" w:rsidRPr="00C37650">
        <w:rPr>
          <w:rFonts w:ascii="Times New Roman" w:hAnsi="Times New Roman"/>
          <w:lang w:val="pl"/>
        </w:rPr>
        <w:t>ust.</w:t>
      </w:r>
      <w:r w:rsidRPr="00C37650">
        <w:rPr>
          <w:rFonts w:ascii="Times New Roman" w:hAnsi="Times New Roman"/>
          <w:lang w:val="pl"/>
        </w:rPr>
        <w:t xml:space="preserve"> 4 i </w:t>
      </w:r>
      <w:r w:rsidR="00652A74" w:rsidRPr="00C37650">
        <w:rPr>
          <w:rFonts w:ascii="Times New Roman" w:hAnsi="Times New Roman"/>
          <w:lang w:val="pl"/>
        </w:rPr>
        <w:t xml:space="preserve">art. </w:t>
      </w:r>
      <w:r w:rsidRPr="00C37650">
        <w:rPr>
          <w:rFonts w:ascii="Times New Roman" w:hAnsi="Times New Roman"/>
          <w:lang w:val="pl"/>
        </w:rPr>
        <w:t>32 Konwencji wiedeńskiej o prawie traktatów (</w:t>
      </w:r>
      <w:r w:rsidR="00652A74" w:rsidRPr="00C37650">
        <w:rPr>
          <w:rFonts w:ascii="Times New Roman" w:hAnsi="Times New Roman"/>
          <w:lang w:val="pl"/>
        </w:rPr>
        <w:t xml:space="preserve">zob. paragraf </w:t>
      </w:r>
      <w:r w:rsidRPr="00C37650">
        <w:rPr>
          <w:rFonts w:ascii="Times New Roman" w:hAnsi="Times New Roman"/>
          <w:lang w:val="pl"/>
        </w:rPr>
        <w:t>17 powyżej).</w:t>
      </w:r>
    </w:p>
    <w:p w14:paraId="4761136B" w14:textId="245F93C9" w:rsidR="009A7E81" w:rsidRPr="00C37650" w:rsidRDefault="009A7E81" w:rsidP="0043093E">
      <w:pPr>
        <w:pStyle w:val="JuPara"/>
        <w:rPr>
          <w:rFonts w:ascii="Times New Roman" w:eastAsia="Times New Roman" w:hAnsi="Times New Roman" w:cs="Times New Roman"/>
          <w:lang w:val="pl-PL"/>
        </w:rPr>
      </w:pPr>
      <w:r w:rsidRPr="00C37650">
        <w:rPr>
          <w:rFonts w:ascii="Times New Roman" w:eastAsia="Times New Roman" w:hAnsi="Times New Roman" w:cs="Times New Roman"/>
          <w:noProof/>
          <w:lang w:val="pl"/>
        </w:rPr>
        <w:t>39</w:t>
      </w:r>
      <w:r w:rsidRPr="00C37650">
        <w:rPr>
          <w:rFonts w:ascii="Times New Roman" w:eastAsia="Times New Roman" w:hAnsi="Times New Roman" w:cs="Times New Roman"/>
          <w:lang w:val="pl"/>
        </w:rPr>
        <w:t>.</w:t>
      </w:r>
      <w:r w:rsidR="0093515F" w:rsidRPr="00C37650">
        <w:rPr>
          <w:rFonts w:ascii="Times New Roman" w:eastAsia="Times New Roman" w:hAnsi="Times New Roman" w:cs="Times New Roman"/>
          <w:lang w:val="pl"/>
        </w:rPr>
        <w:t xml:space="preserve"> </w:t>
      </w:r>
      <w:r w:rsidRPr="00C37650">
        <w:rPr>
          <w:rFonts w:ascii="Times New Roman" w:eastAsia="Times New Roman" w:hAnsi="Times New Roman" w:cs="Times New Roman"/>
          <w:lang w:val="pl"/>
        </w:rPr>
        <w:t>W niniejszej sprawie Trybunał zauważ</w:t>
      </w:r>
      <w:r w:rsidR="00652A74" w:rsidRPr="00C37650">
        <w:rPr>
          <w:rFonts w:ascii="Times New Roman" w:eastAsia="Times New Roman" w:hAnsi="Times New Roman" w:cs="Times New Roman"/>
          <w:lang w:val="pl"/>
        </w:rPr>
        <w:t>a</w:t>
      </w:r>
      <w:r w:rsidRPr="00C37650">
        <w:rPr>
          <w:rFonts w:ascii="Times New Roman" w:eastAsia="Times New Roman" w:hAnsi="Times New Roman" w:cs="Times New Roman"/>
          <w:lang w:val="pl"/>
        </w:rPr>
        <w:t xml:space="preserve">, że zgodnie z </w:t>
      </w:r>
      <w:r w:rsidR="00652A74" w:rsidRPr="00C37650">
        <w:rPr>
          <w:rFonts w:ascii="Times New Roman" w:eastAsia="Times New Roman" w:hAnsi="Times New Roman" w:cs="Times New Roman"/>
          <w:lang w:val="pl"/>
        </w:rPr>
        <w:t xml:space="preserve">ustawą </w:t>
      </w:r>
      <w:r w:rsidRPr="00C37650">
        <w:rPr>
          <w:rFonts w:ascii="Times New Roman" w:eastAsia="Times New Roman" w:hAnsi="Times New Roman" w:cs="Times New Roman"/>
          <w:lang w:val="pl"/>
        </w:rPr>
        <w:t xml:space="preserve">skarżący mógł zostać ukarany grzywną w wysokości od 600 </w:t>
      </w:r>
      <w:r w:rsidR="0093515F" w:rsidRPr="00C37650">
        <w:rPr>
          <w:rFonts w:ascii="Times New Roman" w:eastAsia="Times New Roman" w:hAnsi="Times New Roman" w:cs="Times New Roman"/>
          <w:lang w:val="pl"/>
        </w:rPr>
        <w:t xml:space="preserve">EUR </w:t>
      </w:r>
      <w:r w:rsidRPr="00C37650">
        <w:rPr>
          <w:rFonts w:ascii="Times New Roman" w:eastAsia="Times New Roman" w:hAnsi="Times New Roman" w:cs="Times New Roman"/>
          <w:lang w:val="pl"/>
        </w:rPr>
        <w:t>do dwukrotności wartości użytych środków płatniczych, a ostatecznie został zobowiązany do</w:t>
      </w:r>
      <w:r w:rsidR="00D51CC3" w:rsidRPr="00C37650">
        <w:rPr>
          <w:rFonts w:ascii="Times New Roman" w:eastAsia="Times New Roman" w:hAnsi="Times New Roman" w:cs="Times New Roman"/>
          <w:lang w:val="pl"/>
        </w:rPr>
        <w:t> </w:t>
      </w:r>
      <w:r w:rsidRPr="00C37650">
        <w:rPr>
          <w:rFonts w:ascii="Times New Roman" w:eastAsia="Times New Roman" w:hAnsi="Times New Roman" w:cs="Times New Roman"/>
          <w:lang w:val="pl"/>
        </w:rPr>
        <w:t>zapłaty całej z</w:t>
      </w:r>
      <w:r w:rsidR="0093515F" w:rsidRPr="00C37650">
        <w:rPr>
          <w:rFonts w:ascii="Times New Roman" w:eastAsia="Times New Roman" w:hAnsi="Times New Roman" w:cs="Times New Roman"/>
          <w:lang w:val="pl"/>
        </w:rPr>
        <w:t>ajętej kwoty, czyli 153 800 EUR.</w:t>
      </w:r>
    </w:p>
    <w:p w14:paraId="7232D6D2" w14:textId="67AB9797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40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Trybunał zauważa, że okoliczności niniejszej sprawy należy odróżnić od okoliczności badanych w sprawie </w:t>
      </w:r>
      <w:proofErr w:type="spellStart"/>
      <w:r w:rsidRPr="00C37650">
        <w:rPr>
          <w:rFonts w:eastAsia="Times New Roman"/>
          <w:i/>
          <w:iCs/>
          <w:lang w:val="pl"/>
        </w:rPr>
        <w:t>Luchaninova</w:t>
      </w:r>
      <w:proofErr w:type="spellEnd"/>
      <w:r w:rsidRPr="00C37650">
        <w:rPr>
          <w:rFonts w:eastAsia="Times New Roman"/>
          <w:i/>
          <w:iCs/>
          <w:lang w:val="pl"/>
        </w:rPr>
        <w:t xml:space="preserve"> przeciwko Ukrainie </w:t>
      </w:r>
      <w:r w:rsidRPr="00C37650">
        <w:rPr>
          <w:rFonts w:eastAsia="Times New Roman"/>
          <w:lang w:val="pl"/>
        </w:rPr>
        <w:t>(nr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16347/02, 9 czerwca 2011 r.), w której Trybunał nie stwierdził naruszenia </w:t>
      </w:r>
      <w:r w:rsidR="00C03AF0" w:rsidRPr="00C37650">
        <w:rPr>
          <w:rFonts w:eastAsia="Times New Roman"/>
          <w:lang w:val="pl"/>
        </w:rPr>
        <w:t>art.</w:t>
      </w:r>
      <w:r w:rsidRPr="00C37650">
        <w:rPr>
          <w:rFonts w:eastAsia="Times New Roman"/>
          <w:lang w:val="pl"/>
        </w:rPr>
        <w:t xml:space="preserve"> 2 Protokołu nr 7 do Konwencji na tej podstawie, że drobna kradzież</w:t>
      </w:r>
      <w:r w:rsidR="0093515F" w:rsidRPr="00C37650">
        <w:rPr>
          <w:rFonts w:eastAsia="Times New Roman"/>
          <w:lang w:val="pl"/>
        </w:rPr>
        <w:t xml:space="preserve"> </w:t>
      </w:r>
      <w:r w:rsidR="009F34BF" w:rsidRPr="00C37650">
        <w:rPr>
          <w:rFonts w:eastAsia="Times New Roman"/>
          <w:lang w:val="pl"/>
        </w:rPr>
        <w:t xml:space="preserve">mienia </w:t>
      </w:r>
      <w:r w:rsidR="0093515F" w:rsidRPr="00C37650">
        <w:rPr>
          <w:rFonts w:eastAsia="Times New Roman"/>
          <w:lang w:val="pl"/>
        </w:rPr>
        <w:t>o wartości mniejszej niż 1 EUR</w:t>
      </w:r>
      <w:r w:rsidRPr="00C37650">
        <w:rPr>
          <w:rFonts w:eastAsia="Times New Roman"/>
          <w:lang w:val="pl"/>
        </w:rPr>
        <w:t>, z</w:t>
      </w:r>
      <w:r w:rsidR="00652A74" w:rsidRPr="00C37650">
        <w:rPr>
          <w:rFonts w:eastAsia="Times New Roman"/>
          <w:lang w:val="pl"/>
        </w:rPr>
        <w:t>a którą skarżąca została skazana i</w:t>
      </w:r>
      <w:r w:rsidR="00D51CC3" w:rsidRPr="00C37650">
        <w:rPr>
          <w:rFonts w:eastAsia="Times New Roman"/>
          <w:lang w:val="pl"/>
        </w:rPr>
        <w:t> </w:t>
      </w:r>
      <w:r w:rsidR="00652A74" w:rsidRPr="00C37650">
        <w:rPr>
          <w:rFonts w:eastAsia="Times New Roman"/>
          <w:lang w:val="pl"/>
        </w:rPr>
        <w:t>ukarana</w:t>
      </w:r>
      <w:r w:rsidRPr="00C37650">
        <w:rPr>
          <w:rFonts w:eastAsia="Times New Roman"/>
          <w:lang w:val="pl"/>
        </w:rPr>
        <w:t xml:space="preserve"> grzywną w wysokości 10 </w:t>
      </w:r>
      <w:r w:rsidR="0093515F" w:rsidRPr="00C37650">
        <w:rPr>
          <w:rFonts w:eastAsia="Times New Roman"/>
          <w:lang w:val="pl"/>
        </w:rPr>
        <w:t>EUR</w:t>
      </w:r>
      <w:r w:rsidRPr="00C37650">
        <w:rPr>
          <w:rFonts w:eastAsia="Times New Roman"/>
          <w:lang w:val="pl"/>
        </w:rPr>
        <w:t xml:space="preserve">, stanowiła </w:t>
      </w:r>
      <w:r w:rsidR="007B6A4E">
        <w:rPr>
          <w:rFonts w:eastAsia="Times New Roman"/>
          <w:lang w:val="pl"/>
        </w:rPr>
        <w:t>„</w:t>
      </w:r>
      <w:r w:rsidRPr="00C37650">
        <w:rPr>
          <w:rFonts w:eastAsia="Times New Roman"/>
          <w:lang w:val="pl"/>
        </w:rPr>
        <w:t xml:space="preserve">drobne </w:t>
      </w:r>
      <w:r w:rsidR="00652A74" w:rsidRPr="00C37650">
        <w:rPr>
          <w:rFonts w:eastAsia="Times New Roman"/>
          <w:lang w:val="pl"/>
        </w:rPr>
        <w:t xml:space="preserve"> przestępstwo</w:t>
      </w:r>
      <w:r w:rsidR="007B6A4E">
        <w:rPr>
          <w:rFonts w:eastAsia="Times New Roman"/>
          <w:lang w:val="pl"/>
        </w:rPr>
        <w:t>”</w:t>
      </w:r>
      <w:r w:rsidRPr="00C37650">
        <w:rPr>
          <w:rFonts w:eastAsia="Times New Roman"/>
          <w:lang w:val="pl"/>
        </w:rPr>
        <w:t>, które nie by</w:t>
      </w:r>
      <w:r w:rsidR="009F34BF" w:rsidRPr="00C37650">
        <w:rPr>
          <w:rFonts w:eastAsia="Times New Roman"/>
          <w:lang w:val="pl"/>
        </w:rPr>
        <w:t>ło</w:t>
      </w:r>
      <w:r w:rsidRPr="00C37650">
        <w:rPr>
          <w:rFonts w:eastAsia="Times New Roman"/>
          <w:lang w:val="pl"/>
        </w:rPr>
        <w:t xml:space="preserve"> zagrożone karą pozbawienia wolności.</w:t>
      </w:r>
    </w:p>
    <w:p w14:paraId="23682629" w14:textId="1008F771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41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="009F34BF" w:rsidRPr="00C37650">
        <w:rPr>
          <w:rFonts w:eastAsia="Times New Roman"/>
          <w:lang w:val="pl"/>
        </w:rPr>
        <w:t>K</w:t>
      </w:r>
      <w:r w:rsidRPr="00C37650">
        <w:rPr>
          <w:rFonts w:eastAsia="Times New Roman"/>
          <w:lang w:val="pl"/>
        </w:rPr>
        <w:t>wota zajęta w niniejszej sprawie jest znacznie wyższa niż kwota będąca przedmiotem wspomnianej sprawy i stanowi równowartość całości osobistych oszczędności, które skarżący, niekarany, zdołał odłożyć podczas swoich okresowych pobytów w Hiszpanii. W związku z tym, a także mając na uwadze, że nie udowodniono, iż zajęte fundusze pochodziły z praktyk prania pieniędzy, Trybunał</w:t>
      </w:r>
      <w:r w:rsidR="009F34BF" w:rsidRPr="00C37650">
        <w:rPr>
          <w:rFonts w:eastAsia="Times New Roman"/>
          <w:lang w:val="pl"/>
        </w:rPr>
        <w:t xml:space="preserve"> zauważa</w:t>
      </w:r>
      <w:r w:rsidRPr="00C37650">
        <w:rPr>
          <w:rFonts w:eastAsia="Times New Roman"/>
          <w:lang w:val="pl"/>
        </w:rPr>
        <w:t>, że kara musi odpowiadać powadze stwierdzonego naruszenia</w:t>
      </w:r>
      <w:r w:rsidR="009F34BF" w:rsidRPr="00C37650">
        <w:rPr>
          <w:rFonts w:eastAsia="Times New Roman"/>
          <w:lang w:val="pl"/>
        </w:rPr>
        <w:t xml:space="preserve"> obowiązku</w:t>
      </w:r>
      <w:r w:rsidRPr="00C37650">
        <w:rPr>
          <w:rFonts w:eastAsia="Times New Roman"/>
          <w:lang w:val="pl"/>
        </w:rPr>
        <w:t xml:space="preserve">, a mianowicie niewypełnienia obowiązku złożenia deklaracji, a nie powadze ewentualnego naruszenia, niestwierdzonego na tym etapie, które polegałoby na popełnieniu przestępstwa, takiego jak pranie pieniędzy lub uchylanie się od płacenia </w:t>
      </w:r>
      <w:r w:rsidRPr="00C37650">
        <w:rPr>
          <w:rFonts w:eastAsia="Times New Roman"/>
          <w:lang w:val="pl"/>
        </w:rPr>
        <w:lastRenderedPageBreak/>
        <w:t xml:space="preserve">podatków (zob. </w:t>
      </w:r>
      <w:r w:rsidRPr="00C37650">
        <w:rPr>
          <w:rFonts w:eastAsia="Times New Roman"/>
          <w:i/>
          <w:iCs/>
          <w:lang w:val="pl"/>
        </w:rPr>
        <w:t>mutatis mutandis</w:t>
      </w:r>
      <w:r w:rsidRPr="00C37650">
        <w:rPr>
          <w:rFonts w:eastAsia="Times New Roman"/>
          <w:lang w:val="pl"/>
        </w:rPr>
        <w:t>, na podstawie art. 1 Protokołu nr 1 do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Konwencji, </w:t>
      </w:r>
      <w:proofErr w:type="spellStart"/>
      <w:r w:rsidRPr="00C37650">
        <w:rPr>
          <w:rFonts w:eastAsia="Times New Roman"/>
          <w:i/>
          <w:iCs/>
          <w:lang w:val="pl"/>
        </w:rPr>
        <w:t>Grifhorst</w:t>
      </w:r>
      <w:proofErr w:type="spellEnd"/>
      <w:r w:rsidRPr="00C37650">
        <w:rPr>
          <w:rFonts w:eastAsia="Times New Roman"/>
          <w:i/>
          <w:iCs/>
          <w:lang w:val="pl"/>
        </w:rPr>
        <w:t xml:space="preserve"> przeciwko Francji</w:t>
      </w:r>
      <w:r w:rsidRPr="00C37650">
        <w:rPr>
          <w:rFonts w:eastAsia="Times New Roman"/>
          <w:lang w:val="pl"/>
        </w:rPr>
        <w:t xml:space="preserve">, nr 28336/02, </w:t>
      </w:r>
      <w:r w:rsidRPr="00C37650">
        <w:rPr>
          <w:rFonts w:eastAsia="Times New Roman"/>
          <w:snapToGrid w:val="0"/>
          <w:lang w:val="pl"/>
        </w:rPr>
        <w:t>§ 102</w:t>
      </w:r>
      <w:r w:rsidRPr="00C37650">
        <w:rPr>
          <w:rFonts w:eastAsia="Times New Roman"/>
          <w:lang w:val="pl"/>
        </w:rPr>
        <w:t xml:space="preserve">, 26 lutego 2009 r.) Ponadto, jeśli chodzi o zachowanie skarżącego, Rząd nie kwestionuje, że wypełnił on obowiązek zadeklarowania funduszy przy każdej okazji, gdy wkraczał na terytorium Hiszpanii </w:t>
      </w:r>
      <w:r w:rsidRPr="00C37650">
        <w:rPr>
          <w:rFonts w:eastAsia="Times New Roman"/>
          <w:iCs/>
          <w:lang w:val="pl"/>
        </w:rPr>
        <w:t>(zob.</w:t>
      </w:r>
      <w:r w:rsidRPr="00C37650">
        <w:rPr>
          <w:rFonts w:eastAsia="Times New Roman"/>
          <w:i/>
          <w:iCs/>
          <w:lang w:val="pl"/>
        </w:rPr>
        <w:t xml:space="preserve"> </w:t>
      </w:r>
      <w:proofErr w:type="spellStart"/>
      <w:r w:rsidRPr="00C37650">
        <w:rPr>
          <w:rFonts w:eastAsia="Times New Roman"/>
          <w:i/>
          <w:iCs/>
          <w:lang w:val="pl"/>
        </w:rPr>
        <w:t>Grifhorst</w:t>
      </w:r>
      <w:proofErr w:type="spellEnd"/>
      <w:r w:rsidRPr="00C37650">
        <w:rPr>
          <w:rFonts w:eastAsia="Times New Roman"/>
          <w:lang w:val="pl"/>
        </w:rPr>
        <w:t>, cyt</w:t>
      </w:r>
      <w:r w:rsidR="00EB274B" w:rsidRPr="00C37650">
        <w:rPr>
          <w:rFonts w:eastAsia="Times New Roman"/>
          <w:lang w:val="pl"/>
        </w:rPr>
        <w:t>.</w:t>
      </w:r>
      <w:r w:rsidRPr="00C37650">
        <w:rPr>
          <w:rFonts w:eastAsia="Times New Roman"/>
          <w:lang w:val="pl"/>
        </w:rPr>
        <w:t xml:space="preserve"> powyżej, </w:t>
      </w:r>
      <w:r w:rsidRPr="00C37650">
        <w:rPr>
          <w:rFonts w:eastAsia="Times New Roman"/>
          <w:snapToGrid w:val="0"/>
          <w:lang w:val="pl"/>
        </w:rPr>
        <w:t>§§ 95 i następne</w:t>
      </w:r>
      <w:r w:rsidRPr="00C37650">
        <w:rPr>
          <w:rFonts w:eastAsia="Times New Roman"/>
          <w:lang w:val="pl"/>
        </w:rPr>
        <w:t>).</w:t>
      </w:r>
    </w:p>
    <w:p w14:paraId="6D8CADB6" w14:textId="7043D5DF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42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Ponadto Trybunał zauważa, że wyrok </w:t>
      </w:r>
      <w:r w:rsidR="009F34BF" w:rsidRPr="00C37650">
        <w:rPr>
          <w:rFonts w:eastAsia="Times New Roman"/>
          <w:lang w:val="pl"/>
        </w:rPr>
        <w:t xml:space="preserve">Wyższego Trybunału Sprawiedliwości </w:t>
      </w:r>
      <w:r w:rsidRPr="00C37650">
        <w:rPr>
          <w:rFonts w:eastAsia="Times New Roman"/>
          <w:lang w:val="pl"/>
        </w:rPr>
        <w:t xml:space="preserve">w Madrycie nie zawiera żadnej analizy proporcjonalności przedmiotowego środka, jak wymaga tego art. 59 </w:t>
      </w:r>
      <w:r w:rsidR="00C03AF0" w:rsidRPr="00C37650">
        <w:rPr>
          <w:rFonts w:eastAsia="Times New Roman"/>
          <w:lang w:val="pl"/>
        </w:rPr>
        <w:t>ust.</w:t>
      </w:r>
      <w:r w:rsidRPr="00C37650">
        <w:rPr>
          <w:rFonts w:eastAsia="Times New Roman"/>
          <w:lang w:val="pl"/>
        </w:rPr>
        <w:t xml:space="preserve"> 1, 2 i 3 ustawy 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10/2010 z dnia 28 kwietnia 2010</w:t>
      </w:r>
      <w:r w:rsidR="00EB274B" w:rsidRPr="00C37650">
        <w:rPr>
          <w:rFonts w:eastAsia="Times New Roman"/>
          <w:lang w:val="pl"/>
        </w:rPr>
        <w:t xml:space="preserve"> r.</w:t>
      </w:r>
      <w:r w:rsidRPr="00C37650">
        <w:rPr>
          <w:rFonts w:eastAsia="Times New Roman"/>
          <w:lang w:val="pl"/>
        </w:rPr>
        <w:t xml:space="preserve"> (zob. paragraf 11 powyżej). Wyrok nie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uwzględniał bowiem okoliczności osobistych skarżącego ani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przedstawionych przez niego dokumentów czy dowodów. Jest to wymóg, o którym Trybunał miał okazję przypomnieć przy badaniu sankcji celnych na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podstawie art. 1 Protokołu nr 1</w:t>
      </w:r>
      <w:r w:rsidR="00676C98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iCs/>
          <w:lang w:val="pl"/>
        </w:rPr>
        <w:t>(</w:t>
      </w:r>
      <w:r w:rsidR="00676C98" w:rsidRPr="00C37650">
        <w:rPr>
          <w:rFonts w:eastAsia="Times New Roman"/>
          <w:iCs/>
          <w:lang w:val="pl"/>
        </w:rPr>
        <w:t>zob.</w:t>
      </w:r>
      <w:r w:rsidR="00676C98" w:rsidRPr="00C37650">
        <w:rPr>
          <w:rFonts w:eastAsia="Times New Roman"/>
          <w:i/>
          <w:iCs/>
          <w:lang w:val="pl"/>
        </w:rPr>
        <w:t xml:space="preserve"> </w:t>
      </w:r>
      <w:proofErr w:type="spellStart"/>
      <w:r w:rsidRPr="00C37650">
        <w:rPr>
          <w:rFonts w:eastAsia="Times New Roman"/>
          <w:i/>
          <w:iCs/>
          <w:lang w:val="pl"/>
        </w:rPr>
        <w:t>Ismayilov</w:t>
      </w:r>
      <w:proofErr w:type="spellEnd"/>
      <w:r w:rsidRPr="00C37650">
        <w:rPr>
          <w:rFonts w:eastAsia="Times New Roman"/>
          <w:i/>
          <w:iCs/>
          <w:lang w:val="pl"/>
        </w:rPr>
        <w:t xml:space="preserve"> przeciwko Rosji</w:t>
      </w:r>
      <w:r w:rsidRPr="00C37650">
        <w:rPr>
          <w:rFonts w:eastAsia="Times New Roman"/>
          <w:lang w:val="pl"/>
        </w:rPr>
        <w:t>, 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30352/03, §§ 34-38, 6 listopada 2008 r., </w:t>
      </w:r>
      <w:proofErr w:type="spellStart"/>
      <w:r w:rsidRPr="00C37650">
        <w:rPr>
          <w:rFonts w:eastAsia="Times New Roman"/>
          <w:i/>
          <w:iCs/>
          <w:lang w:val="pl"/>
        </w:rPr>
        <w:t>Gabrić</w:t>
      </w:r>
      <w:proofErr w:type="spellEnd"/>
      <w:r w:rsidRPr="00C37650">
        <w:rPr>
          <w:rFonts w:eastAsia="Times New Roman"/>
          <w:i/>
          <w:iCs/>
          <w:lang w:val="pl"/>
        </w:rPr>
        <w:t xml:space="preserve"> przeciwko Chorwacji</w:t>
      </w:r>
      <w:r w:rsidRPr="00C37650">
        <w:rPr>
          <w:rFonts w:eastAsia="Times New Roman"/>
          <w:lang w:val="pl"/>
        </w:rPr>
        <w:t>, 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9702/04, §§ 36-40, 5 lutego 2009 r., </w:t>
      </w:r>
      <w:r w:rsidRPr="00C37650">
        <w:rPr>
          <w:rFonts w:eastAsia="Times New Roman"/>
          <w:i/>
          <w:iCs/>
          <w:lang w:val="pl"/>
        </w:rPr>
        <w:t>Moon przeciwko Francji</w:t>
      </w:r>
      <w:r w:rsidRPr="00C37650">
        <w:rPr>
          <w:rFonts w:eastAsia="Times New Roman"/>
          <w:lang w:val="pl"/>
        </w:rPr>
        <w:t xml:space="preserve">, nr 39973/03, §§ 49-51, 9 lipca 2009 r. oraz </w:t>
      </w:r>
      <w:proofErr w:type="spellStart"/>
      <w:r w:rsidRPr="00C37650">
        <w:rPr>
          <w:rFonts w:eastAsia="Times New Roman"/>
          <w:i/>
          <w:iCs/>
          <w:lang w:val="pl"/>
        </w:rPr>
        <w:t>Boljević</w:t>
      </w:r>
      <w:proofErr w:type="spellEnd"/>
      <w:r w:rsidRPr="00C37650">
        <w:rPr>
          <w:rFonts w:eastAsia="Times New Roman"/>
          <w:i/>
          <w:iCs/>
          <w:lang w:val="pl"/>
        </w:rPr>
        <w:t xml:space="preserve"> przeciwko Chorwacji</w:t>
      </w:r>
      <w:r w:rsidRPr="00C37650">
        <w:rPr>
          <w:rFonts w:eastAsia="Times New Roman"/>
          <w:lang w:val="pl"/>
        </w:rPr>
        <w:t>, nr 43492/11, §§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42-45, 31 stycznia 2017 r.).</w:t>
      </w:r>
    </w:p>
    <w:p w14:paraId="48F10F82" w14:textId="151921F4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43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Ponadto Trybunał zauważ</w:t>
      </w:r>
      <w:r w:rsidR="00676C98" w:rsidRPr="00C37650">
        <w:rPr>
          <w:rFonts w:eastAsia="Times New Roman"/>
          <w:lang w:val="pl"/>
        </w:rPr>
        <w:t>a</w:t>
      </w:r>
      <w:r w:rsidRPr="00C37650">
        <w:rPr>
          <w:rFonts w:eastAsia="Times New Roman"/>
          <w:lang w:val="pl"/>
        </w:rPr>
        <w:t xml:space="preserve">, że zgodnie z </w:t>
      </w:r>
      <w:r w:rsidR="00676C98" w:rsidRPr="00C37650">
        <w:rPr>
          <w:rFonts w:eastAsia="Times New Roman"/>
          <w:lang w:val="pl"/>
        </w:rPr>
        <w:t xml:space="preserve">mającym zastosowanie przepisem </w:t>
      </w:r>
      <w:r w:rsidRPr="00C37650">
        <w:rPr>
          <w:rFonts w:eastAsia="Times New Roman"/>
          <w:lang w:val="pl"/>
        </w:rPr>
        <w:t>(art. 34 ustawy nr 10/2010 z dnia 28 kwietnia 2010 r.) legalny wywóz kapitału podlega co do zasady jedynie zgłoszeniu, bez konieczności uzyskania uprzedniego zezwolenia, w celu przeprowadzenia odpowiednich kontroli w zakresie zapobiegania praniu pieniędzy lub finansowaniu terroryzmu.</w:t>
      </w:r>
    </w:p>
    <w:p w14:paraId="62ECD9BF" w14:textId="76CA2DE1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44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W konsekwencji Trybunał uważa, że zajęcie praktycznie całej kwoty odkrytej podczas kontroli celnej przeprowadzonej w niniejszej sprawie, bez przeprowadzenia przez władze krajowe </w:t>
      </w:r>
      <w:r w:rsidR="00676C98" w:rsidRPr="00C37650">
        <w:rPr>
          <w:rFonts w:eastAsia="Times New Roman"/>
          <w:lang w:val="pl"/>
        </w:rPr>
        <w:t xml:space="preserve">oceny </w:t>
      </w:r>
      <w:r w:rsidRPr="00C37650">
        <w:rPr>
          <w:rFonts w:eastAsia="Times New Roman"/>
          <w:lang w:val="pl"/>
        </w:rPr>
        <w:t xml:space="preserve">proporcjonalności, wyklucza uznanie przestępstwa za </w:t>
      </w:r>
      <w:r w:rsidR="007B6A4E">
        <w:rPr>
          <w:rFonts w:eastAsia="Times New Roman"/>
          <w:lang w:val="pl"/>
        </w:rPr>
        <w:t>„</w:t>
      </w:r>
      <w:r w:rsidRPr="00C37650">
        <w:rPr>
          <w:rFonts w:eastAsia="Times New Roman"/>
          <w:lang w:val="pl"/>
        </w:rPr>
        <w:t>drobne</w:t>
      </w:r>
      <w:r w:rsidR="007B6A4E">
        <w:rPr>
          <w:rFonts w:eastAsia="Times New Roman"/>
          <w:lang w:val="pl"/>
        </w:rPr>
        <w:t>”</w:t>
      </w:r>
      <w:r w:rsidRPr="00C37650">
        <w:rPr>
          <w:rFonts w:eastAsia="Times New Roman"/>
          <w:lang w:val="pl"/>
        </w:rPr>
        <w:t xml:space="preserve"> w rozumieniu art. 2 Protokołu nr 7 (zob.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konkluzję Trybunału </w:t>
      </w:r>
      <w:r w:rsidR="00676C98" w:rsidRPr="00C37650">
        <w:rPr>
          <w:rFonts w:eastAsia="Times New Roman"/>
          <w:lang w:val="pl"/>
        </w:rPr>
        <w:t xml:space="preserve">na podstawie art. 1 Protokołu nr 1 </w:t>
      </w:r>
      <w:r w:rsidRPr="00C37650">
        <w:rPr>
          <w:rFonts w:eastAsia="Times New Roman"/>
          <w:lang w:val="pl"/>
        </w:rPr>
        <w:t xml:space="preserve">w sprawie </w:t>
      </w:r>
      <w:proofErr w:type="spellStart"/>
      <w:r w:rsidRPr="00C37650">
        <w:rPr>
          <w:rFonts w:eastAsia="Times New Roman"/>
          <w:i/>
          <w:iCs/>
          <w:lang w:val="pl"/>
        </w:rPr>
        <w:t>Togrul</w:t>
      </w:r>
      <w:proofErr w:type="spellEnd"/>
      <w:r w:rsidRPr="00C37650">
        <w:rPr>
          <w:rFonts w:eastAsia="Times New Roman"/>
          <w:i/>
          <w:iCs/>
          <w:lang w:val="pl"/>
        </w:rPr>
        <w:t xml:space="preserve"> przeciwko Bułgarii</w:t>
      </w:r>
      <w:r w:rsidRPr="00C37650">
        <w:rPr>
          <w:rFonts w:eastAsia="Times New Roman"/>
          <w:lang w:val="pl"/>
        </w:rPr>
        <w:t xml:space="preserve">, nr 20611/10, § 45 </w:t>
      </w:r>
      <w:r w:rsidRPr="00C37650">
        <w:rPr>
          <w:rFonts w:eastAsia="Times New Roman"/>
          <w:i/>
          <w:iCs/>
          <w:lang w:val="pl"/>
        </w:rPr>
        <w:t>in fine</w:t>
      </w:r>
      <w:r w:rsidRPr="00C37650">
        <w:rPr>
          <w:rFonts w:eastAsia="Times New Roman"/>
          <w:lang w:val="pl"/>
        </w:rPr>
        <w:t>, 15 listopada 2018 r.), a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w konsekwencji wyjątek od prawa do </w:t>
      </w:r>
      <w:r w:rsidR="00171259" w:rsidRPr="00C37650">
        <w:rPr>
          <w:rFonts w:eastAsia="Times New Roman"/>
          <w:lang w:val="pl"/>
        </w:rPr>
        <w:t xml:space="preserve">odwołania </w:t>
      </w:r>
      <w:r w:rsidRPr="00C37650">
        <w:rPr>
          <w:rFonts w:eastAsia="Times New Roman"/>
          <w:lang w:val="pl"/>
        </w:rPr>
        <w:t>w odniesieniu do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drobnych</w:t>
      </w:r>
      <w:r w:rsidR="00676C98" w:rsidRPr="00C37650">
        <w:rPr>
          <w:rFonts w:eastAsia="Times New Roman"/>
          <w:lang w:val="pl"/>
        </w:rPr>
        <w:t xml:space="preserve"> przestępstw</w:t>
      </w:r>
      <w:r w:rsidRPr="00C37650">
        <w:rPr>
          <w:rFonts w:eastAsia="Times New Roman"/>
          <w:lang w:val="pl"/>
        </w:rPr>
        <w:t xml:space="preserve">, przewidziany w </w:t>
      </w:r>
      <w:r w:rsidR="00C03AF0" w:rsidRPr="00C37650">
        <w:rPr>
          <w:rFonts w:eastAsia="Times New Roman"/>
          <w:lang w:val="pl"/>
        </w:rPr>
        <w:t>ust.</w:t>
      </w:r>
      <w:r w:rsidRPr="00C37650">
        <w:rPr>
          <w:rFonts w:eastAsia="Times New Roman"/>
          <w:lang w:val="pl"/>
        </w:rPr>
        <w:t xml:space="preserve"> 2 wspomnianego przepisu, nie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ma zastosowania do szczególnych okoliczności niniejszej sprawy.</w:t>
      </w:r>
    </w:p>
    <w:p w14:paraId="336A6754" w14:textId="033B7299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45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Ponieważ zatem wyjątek przewidziany w art. 2 </w:t>
      </w:r>
      <w:r w:rsidR="00C03AF0" w:rsidRPr="00C37650">
        <w:rPr>
          <w:rFonts w:eastAsia="Times New Roman"/>
          <w:lang w:val="pl"/>
        </w:rPr>
        <w:t>ust.</w:t>
      </w:r>
      <w:r w:rsidRPr="00C37650">
        <w:rPr>
          <w:rFonts w:eastAsia="Times New Roman"/>
          <w:lang w:val="pl"/>
        </w:rPr>
        <w:t xml:space="preserve"> 2 Protokołu nr 7 nie miał zastosowania w niniejszej sprawie, Trybunał stwierdz</w:t>
      </w:r>
      <w:r w:rsidR="00676C98" w:rsidRPr="00C37650">
        <w:rPr>
          <w:rFonts w:eastAsia="Times New Roman"/>
          <w:lang w:val="pl"/>
        </w:rPr>
        <w:t>a</w:t>
      </w:r>
      <w:r w:rsidRPr="00C37650">
        <w:rPr>
          <w:rFonts w:eastAsia="Times New Roman"/>
          <w:lang w:val="pl"/>
        </w:rPr>
        <w:t>, że skarżący miał prawo do poddania swojego wyroku skazującego kontroli sądu wyższej instancji.</w:t>
      </w:r>
    </w:p>
    <w:p w14:paraId="140ACD6C" w14:textId="760957A9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46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To samo dotyczy wyjątku podniesionego przez Rząd dotyczącego sądu najwyższej instancji w sporach administracyjnych (zob. paragraf 34 powyżej), </w:t>
      </w:r>
      <w:r w:rsidR="00007FAB" w:rsidRPr="00C37650">
        <w:rPr>
          <w:rFonts w:eastAsia="Times New Roman"/>
          <w:lang w:val="pl"/>
        </w:rPr>
        <w:t>ponieważ</w:t>
      </w:r>
      <w:r w:rsidRPr="00C37650">
        <w:rPr>
          <w:rFonts w:eastAsia="Times New Roman"/>
          <w:lang w:val="pl"/>
        </w:rPr>
        <w:t xml:space="preserve">, zgodnie z nowelizacją </w:t>
      </w:r>
      <w:r w:rsidR="00007FAB" w:rsidRPr="00C37650">
        <w:rPr>
          <w:rFonts w:eastAsia="Times New Roman"/>
          <w:lang w:val="pl"/>
        </w:rPr>
        <w:t>wprowadzoną przez ustawę</w:t>
      </w:r>
      <w:r w:rsidR="001E7BDB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37/2011 z dnia 10 października 2011 r., w sporach administracyjnych Sąd Najwyższy jest jednym </w:t>
      </w:r>
      <w:r w:rsidR="00007FAB" w:rsidRPr="00C37650">
        <w:rPr>
          <w:rFonts w:eastAsia="Times New Roman"/>
          <w:lang w:val="pl"/>
        </w:rPr>
        <w:t>z sądów powszechnych, do którego</w:t>
      </w:r>
      <w:r w:rsidRPr="00C37650">
        <w:rPr>
          <w:rFonts w:eastAsia="Times New Roman"/>
          <w:lang w:val="pl"/>
        </w:rPr>
        <w:t xml:space="preserve"> mogą być kierowane </w:t>
      </w:r>
      <w:r w:rsidR="00007FAB" w:rsidRPr="00C37650">
        <w:rPr>
          <w:rFonts w:eastAsia="Times New Roman"/>
          <w:lang w:val="pl"/>
        </w:rPr>
        <w:t>odwołania od Wyższego Trybunału Sprawiedliwości</w:t>
      </w:r>
      <w:r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lastRenderedPageBreak/>
        <w:t>w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przypadku</w:t>
      </w:r>
      <w:r w:rsidR="008B103E" w:rsidRPr="00C37650">
        <w:rPr>
          <w:rFonts w:eastAsia="Times New Roman"/>
          <w:lang w:val="pl"/>
        </w:rPr>
        <w:t>,</w:t>
      </w:r>
      <w:r w:rsidRPr="00C37650">
        <w:rPr>
          <w:rFonts w:eastAsia="Times New Roman"/>
          <w:lang w:val="pl"/>
        </w:rPr>
        <w:t xml:space="preserve"> gdy przedmiotowa kwota jest większa niż 600</w:t>
      </w:r>
      <w:r w:rsidR="007F2CD6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000 </w:t>
      </w:r>
      <w:r w:rsidR="0093515F" w:rsidRPr="00C37650">
        <w:rPr>
          <w:rFonts w:eastAsia="Times New Roman"/>
          <w:lang w:val="pl"/>
        </w:rPr>
        <w:t xml:space="preserve">EUR </w:t>
      </w:r>
      <w:r w:rsidRPr="00C37650">
        <w:rPr>
          <w:rFonts w:eastAsia="Times New Roman"/>
          <w:lang w:val="pl"/>
        </w:rPr>
        <w:t>(zob.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paragraf 9 powyżej).</w:t>
      </w:r>
    </w:p>
    <w:p w14:paraId="7D775BC8" w14:textId="5F74DCEA" w:rsidR="009A7E81" w:rsidRPr="00C37650" w:rsidRDefault="008B103E" w:rsidP="0043093E">
      <w:pPr>
        <w:pStyle w:val="JuH1"/>
        <w:rPr>
          <w:lang w:val="pl-PL"/>
        </w:rPr>
      </w:pPr>
      <w:r w:rsidRPr="00C37650">
        <w:rPr>
          <w:bCs w:val="0"/>
          <w:lang w:val="pl"/>
        </w:rPr>
        <w:t>W sprawie pytania</w:t>
      </w:r>
      <w:r w:rsidR="007F4F2A">
        <w:rPr>
          <w:bCs w:val="0"/>
          <w:lang w:val="pl"/>
        </w:rPr>
        <w:t>,</w:t>
      </w:r>
      <w:r w:rsidRPr="00C37650">
        <w:rPr>
          <w:bCs w:val="0"/>
          <w:lang w:val="pl"/>
        </w:rPr>
        <w:t xml:space="preserve"> czy skarżącemu przyznano</w:t>
      </w:r>
      <w:r w:rsidR="009A7E81" w:rsidRPr="00C37650">
        <w:rPr>
          <w:bCs w:val="0"/>
          <w:lang w:val="pl"/>
        </w:rPr>
        <w:t xml:space="preserve"> </w:t>
      </w:r>
      <w:r w:rsidRPr="00C37650">
        <w:rPr>
          <w:bCs w:val="0"/>
          <w:lang w:val="pl"/>
        </w:rPr>
        <w:t>możliwość odwołania</w:t>
      </w:r>
    </w:p>
    <w:p w14:paraId="670906A8" w14:textId="45E4E6A0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47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W świetle tego ustalenia konieczne będzie teraz ustalenie, czy skarżący faktycznie skorzystał z </w:t>
      </w:r>
      <w:r w:rsidR="008B103E" w:rsidRPr="00C37650">
        <w:rPr>
          <w:lang w:val="pl"/>
        </w:rPr>
        <w:t xml:space="preserve">rozpatrzenia </w:t>
      </w:r>
      <w:r w:rsidR="00F8399F" w:rsidRPr="00C37650">
        <w:rPr>
          <w:lang w:val="pl"/>
        </w:rPr>
        <w:t xml:space="preserve">jego sprawy </w:t>
      </w:r>
      <w:r w:rsidR="008B103E" w:rsidRPr="00C37650">
        <w:rPr>
          <w:lang w:val="pl"/>
        </w:rPr>
        <w:t xml:space="preserve">przez sąd wyższej </w:t>
      </w:r>
      <w:r w:rsidRPr="00C37650">
        <w:rPr>
          <w:lang w:val="pl"/>
        </w:rPr>
        <w:t>instancji w rozumieniu art. 2 Protokołu nr 7.</w:t>
      </w:r>
    </w:p>
    <w:p w14:paraId="605156BC" w14:textId="183A5DEA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48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Rząd twierdził, że </w:t>
      </w:r>
      <w:r w:rsidR="00F8399F" w:rsidRPr="00C37650">
        <w:rPr>
          <w:rFonts w:eastAsia="Times New Roman"/>
          <w:lang w:val="pl"/>
        </w:rPr>
        <w:t xml:space="preserve">zarzuty </w:t>
      </w:r>
      <w:r w:rsidRPr="00C37650">
        <w:rPr>
          <w:rFonts w:eastAsia="Times New Roman"/>
          <w:lang w:val="pl"/>
        </w:rPr>
        <w:t xml:space="preserve">skarżącego zostały rozpatrzone </w:t>
      </w:r>
      <w:r w:rsidR="00F8399F" w:rsidRPr="00C37650">
        <w:rPr>
          <w:rFonts w:eastAsia="Times New Roman"/>
          <w:lang w:val="pl"/>
        </w:rPr>
        <w:t xml:space="preserve">w pierwszej instancji przez </w:t>
      </w:r>
      <w:r w:rsidR="0013141F" w:rsidRPr="00C37650">
        <w:rPr>
          <w:rFonts w:eastAsia="Times New Roman"/>
          <w:lang w:val="pl"/>
        </w:rPr>
        <w:t xml:space="preserve">Generalną </w:t>
      </w:r>
      <w:r w:rsidRPr="00C37650">
        <w:rPr>
          <w:rFonts w:eastAsia="Times New Roman"/>
          <w:lang w:val="pl"/>
        </w:rPr>
        <w:t>Dyrekcję Skarbu i Polityki Finansowej M</w:t>
      </w:r>
      <w:r w:rsidR="00F8399F" w:rsidRPr="00C37650">
        <w:rPr>
          <w:rFonts w:eastAsia="Times New Roman"/>
          <w:lang w:val="pl"/>
        </w:rPr>
        <w:t>inisterstwa Spraw Gospodarczych oraz</w:t>
      </w:r>
      <w:r w:rsidR="00171259" w:rsidRPr="00C37650">
        <w:rPr>
          <w:rFonts w:eastAsia="Times New Roman"/>
          <w:lang w:val="pl"/>
        </w:rPr>
        <w:t>,</w:t>
      </w:r>
      <w:r w:rsidR="00F8399F" w:rsidRPr="00C37650">
        <w:rPr>
          <w:rFonts w:eastAsia="Times New Roman"/>
          <w:lang w:val="pl"/>
        </w:rPr>
        <w:t xml:space="preserve"> na podstawie odwołania</w:t>
      </w:r>
      <w:r w:rsidR="00171259" w:rsidRPr="00C37650">
        <w:rPr>
          <w:rFonts w:eastAsia="Times New Roman"/>
          <w:lang w:val="pl"/>
        </w:rPr>
        <w:t>,</w:t>
      </w:r>
      <w:r w:rsidR="00F8399F" w:rsidRPr="00C37650">
        <w:rPr>
          <w:rFonts w:eastAsia="Times New Roman"/>
          <w:lang w:val="pl"/>
        </w:rPr>
        <w:t xml:space="preserve"> przez W</w:t>
      </w:r>
      <w:r w:rsidRPr="00C37650">
        <w:rPr>
          <w:rFonts w:eastAsia="Times New Roman"/>
          <w:lang w:val="pl"/>
        </w:rPr>
        <w:t xml:space="preserve">yższy </w:t>
      </w:r>
      <w:r w:rsidR="00F8399F" w:rsidRPr="00C37650">
        <w:rPr>
          <w:rFonts w:eastAsia="Times New Roman"/>
          <w:lang w:val="pl"/>
        </w:rPr>
        <w:t xml:space="preserve">Trybunał Sprawiedliwości </w:t>
      </w:r>
      <w:r w:rsidRPr="00C37650">
        <w:rPr>
          <w:rFonts w:eastAsia="Times New Roman"/>
          <w:lang w:val="pl"/>
        </w:rPr>
        <w:t xml:space="preserve">w Madrycie. </w:t>
      </w:r>
      <w:r w:rsidR="00F8399F" w:rsidRPr="00C37650">
        <w:rPr>
          <w:rFonts w:eastAsia="Times New Roman"/>
          <w:lang w:val="pl"/>
        </w:rPr>
        <w:t>Twierdził</w:t>
      </w:r>
      <w:r w:rsidRPr="00C37650">
        <w:rPr>
          <w:rFonts w:eastAsia="Times New Roman"/>
          <w:lang w:val="pl"/>
        </w:rPr>
        <w:t xml:space="preserve"> on, że</w:t>
      </w:r>
      <w:r w:rsidR="00D51CC3" w:rsidRPr="00C37650">
        <w:rPr>
          <w:rFonts w:eastAsia="Times New Roman"/>
          <w:lang w:val="pl"/>
        </w:rPr>
        <w:t> </w:t>
      </w:r>
      <w:r w:rsidR="004B23E7" w:rsidRPr="00C37650">
        <w:rPr>
          <w:rFonts w:eastAsia="Times New Roman"/>
          <w:lang w:val="pl"/>
        </w:rPr>
        <w:t>postępowanie przed tym sądem</w:t>
      </w:r>
      <w:r w:rsidRPr="00C37650">
        <w:rPr>
          <w:rFonts w:eastAsia="Times New Roman"/>
          <w:lang w:val="pl"/>
        </w:rPr>
        <w:t xml:space="preserve"> </w:t>
      </w:r>
      <w:r w:rsidR="004B23E7" w:rsidRPr="00C37650">
        <w:rPr>
          <w:rFonts w:eastAsia="Times New Roman"/>
          <w:lang w:val="pl"/>
        </w:rPr>
        <w:t xml:space="preserve">stanowiło </w:t>
      </w:r>
      <w:r w:rsidRPr="00C37650">
        <w:rPr>
          <w:rFonts w:eastAsia="Times New Roman"/>
          <w:lang w:val="pl"/>
        </w:rPr>
        <w:t xml:space="preserve">w </w:t>
      </w:r>
      <w:r w:rsidR="004B23E7" w:rsidRPr="00C37650">
        <w:rPr>
          <w:rFonts w:eastAsia="Times New Roman"/>
          <w:lang w:val="pl"/>
        </w:rPr>
        <w:t>konsekwencji</w:t>
      </w:r>
      <w:r w:rsidRPr="00C37650">
        <w:rPr>
          <w:rFonts w:eastAsia="Times New Roman"/>
          <w:lang w:val="pl"/>
        </w:rPr>
        <w:t xml:space="preserve"> </w:t>
      </w:r>
      <w:r w:rsidR="004B23E7" w:rsidRPr="00C37650">
        <w:rPr>
          <w:rFonts w:eastAsia="Times New Roman"/>
          <w:lang w:val="pl"/>
        </w:rPr>
        <w:t xml:space="preserve">rozpatrzenie </w:t>
      </w:r>
      <w:r w:rsidR="00171259" w:rsidRPr="00C37650">
        <w:rPr>
          <w:rFonts w:eastAsia="Times New Roman"/>
          <w:lang w:val="pl"/>
        </w:rPr>
        <w:t xml:space="preserve">przez </w:t>
      </w:r>
      <w:r w:rsidR="007B6A4E">
        <w:rPr>
          <w:rFonts w:eastAsia="Times New Roman"/>
          <w:lang w:val="pl"/>
        </w:rPr>
        <w:t>„</w:t>
      </w:r>
      <w:r w:rsidRPr="00C37650">
        <w:rPr>
          <w:rFonts w:eastAsia="Times New Roman"/>
          <w:lang w:val="pl"/>
        </w:rPr>
        <w:t>sąd wyższej instancji</w:t>
      </w:r>
      <w:r w:rsidR="007B6A4E">
        <w:rPr>
          <w:rFonts w:eastAsia="Times New Roman"/>
          <w:lang w:val="pl"/>
        </w:rPr>
        <w:t>”</w:t>
      </w:r>
      <w:r w:rsidRPr="00C37650">
        <w:rPr>
          <w:rFonts w:eastAsia="Times New Roman"/>
          <w:lang w:val="pl"/>
        </w:rPr>
        <w:t>, tak jak tego wymaga Protokół nr 7 do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Konwencji.</w:t>
      </w:r>
    </w:p>
    <w:p w14:paraId="2B79663B" w14:textId="1F01E58C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49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W odniesieniu do zakresu kontroli wykonywanej przez Trybunał Konstytucyjny w ramach skargi konstytucyjnej </w:t>
      </w:r>
      <w:proofErr w:type="spellStart"/>
      <w:r w:rsidRPr="00C37650">
        <w:rPr>
          <w:i/>
          <w:iCs/>
          <w:lang w:val="pl"/>
        </w:rPr>
        <w:t>amparo</w:t>
      </w:r>
      <w:proofErr w:type="spellEnd"/>
      <w:r w:rsidRPr="00C37650">
        <w:rPr>
          <w:lang w:val="pl"/>
        </w:rPr>
        <w:t xml:space="preserve">, Rząd wyraził pogląd, że </w:t>
      </w:r>
      <w:r w:rsidR="004B23E7" w:rsidRPr="00C37650">
        <w:rPr>
          <w:lang w:val="pl"/>
        </w:rPr>
        <w:t xml:space="preserve">kompetencja przyznana temu sądowi </w:t>
      </w:r>
      <w:r w:rsidRPr="00C37650">
        <w:rPr>
          <w:lang w:val="pl"/>
        </w:rPr>
        <w:t>zgodnie z ustawą organiczną o Try</w:t>
      </w:r>
      <w:r w:rsidR="004B23E7" w:rsidRPr="00C37650">
        <w:rPr>
          <w:lang w:val="pl"/>
        </w:rPr>
        <w:t xml:space="preserve">bunale Konstytucyjnym </w:t>
      </w:r>
      <w:r w:rsidR="00AB0707">
        <w:rPr>
          <w:lang w:val="pl"/>
        </w:rPr>
        <w:t>(„</w:t>
      </w:r>
      <w:proofErr w:type="spellStart"/>
      <w:r w:rsidR="004B23E7" w:rsidRPr="00C37650">
        <w:rPr>
          <w:lang w:val="pl"/>
        </w:rPr>
        <w:t>LOTC</w:t>
      </w:r>
      <w:proofErr w:type="spellEnd"/>
      <w:r w:rsidR="007B6A4E">
        <w:rPr>
          <w:lang w:val="pl"/>
        </w:rPr>
        <w:t>”</w:t>
      </w:r>
      <w:r w:rsidR="004B23E7" w:rsidRPr="00C37650">
        <w:rPr>
          <w:lang w:val="pl"/>
        </w:rPr>
        <w:t xml:space="preserve">) </w:t>
      </w:r>
      <w:r w:rsidRPr="00C37650">
        <w:rPr>
          <w:lang w:val="pl"/>
        </w:rPr>
        <w:t xml:space="preserve">do uchylenia decyzji zaskarżonej </w:t>
      </w:r>
      <w:r w:rsidR="0013141F" w:rsidRPr="00C37650">
        <w:rPr>
          <w:lang w:val="pl"/>
        </w:rPr>
        <w:t>skargą</w:t>
      </w:r>
      <w:r w:rsidRPr="00C37650">
        <w:rPr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amparo</w:t>
      </w:r>
      <w:proofErr w:type="spellEnd"/>
      <w:r w:rsidR="004B23E7" w:rsidRPr="00C37650">
        <w:rPr>
          <w:i/>
          <w:iCs/>
          <w:lang w:val="pl"/>
        </w:rPr>
        <w:t xml:space="preserve"> </w:t>
      </w:r>
      <w:r w:rsidR="004B23E7" w:rsidRPr="00C37650">
        <w:rPr>
          <w:iCs/>
          <w:lang w:val="pl"/>
        </w:rPr>
        <w:t>oznaczała</w:t>
      </w:r>
      <w:r w:rsidRPr="00C37650">
        <w:rPr>
          <w:lang w:val="pl"/>
        </w:rPr>
        <w:t xml:space="preserve">, </w:t>
      </w:r>
      <w:r w:rsidR="004B23E7" w:rsidRPr="00C37650">
        <w:rPr>
          <w:lang w:val="pl"/>
        </w:rPr>
        <w:t xml:space="preserve">że </w:t>
      </w:r>
      <w:r w:rsidRPr="00C37650">
        <w:rPr>
          <w:lang w:val="pl"/>
        </w:rPr>
        <w:t xml:space="preserve">kontrola przeprowadzona przez ten sąd spełniała wymogi prawa do </w:t>
      </w:r>
      <w:r w:rsidR="0013141F" w:rsidRPr="00C37650">
        <w:rPr>
          <w:lang w:val="pl"/>
        </w:rPr>
        <w:t xml:space="preserve">odwołania </w:t>
      </w:r>
      <w:r w:rsidRPr="00C37650">
        <w:rPr>
          <w:lang w:val="pl"/>
        </w:rPr>
        <w:t>zapisanego w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2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1 Protokołu nr 7 do Konwencji.</w:t>
      </w:r>
    </w:p>
    <w:p w14:paraId="6B53A98B" w14:textId="23880FA8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50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Ze </w:t>
      </w:r>
      <w:r w:rsidR="0013141F" w:rsidRPr="00C37650">
        <w:rPr>
          <w:rFonts w:eastAsia="Times New Roman"/>
          <w:lang w:val="pl"/>
        </w:rPr>
        <w:t>swojej strony skarżący odpowiedział,</w:t>
      </w:r>
      <w:r w:rsidRPr="00C37650">
        <w:rPr>
          <w:rFonts w:eastAsia="Times New Roman"/>
          <w:lang w:val="pl"/>
        </w:rPr>
        <w:t xml:space="preserve"> po pierwsze, że Generalna Dyrekcja Skarbu i Polityki Finansowej Ministerstwa Gospodarki jest organem administracyjnym zależnym od</w:t>
      </w:r>
      <w:r w:rsidR="0013141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władzy rządu hiszpańskiego i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dlatego nie posiada cech niezależności i bezstronności właściwych sądowi.</w:t>
      </w:r>
    </w:p>
    <w:p w14:paraId="039C179C" w14:textId="5576CE64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51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Skarżący zarzuca</w:t>
      </w:r>
      <w:r w:rsidR="0013141F" w:rsidRPr="00C37650">
        <w:rPr>
          <w:rFonts w:eastAsia="Times New Roman"/>
          <w:lang w:val="pl"/>
        </w:rPr>
        <w:t>ł</w:t>
      </w:r>
      <w:r w:rsidRPr="00C37650">
        <w:rPr>
          <w:rFonts w:eastAsia="Times New Roman"/>
          <w:lang w:val="pl"/>
        </w:rPr>
        <w:t xml:space="preserve"> również, że zmiana legislacyjna dotycząca progu wymaganego do złożenia skargi kasacyjnej nastąpiła po zaistnien</w:t>
      </w:r>
      <w:r w:rsidR="0013141F" w:rsidRPr="00C37650">
        <w:rPr>
          <w:rFonts w:eastAsia="Times New Roman"/>
          <w:lang w:val="pl"/>
        </w:rPr>
        <w:t>iu faktów danej sprawy. Zauważył</w:t>
      </w:r>
      <w:r w:rsidRPr="00C37650">
        <w:rPr>
          <w:rFonts w:eastAsia="Times New Roman"/>
          <w:lang w:val="pl"/>
        </w:rPr>
        <w:t xml:space="preserve">, że w niniejszej sprawie wyrok z dnia 17 stycznia 2013 r. wydany przez </w:t>
      </w:r>
      <w:r w:rsidR="0013141F" w:rsidRPr="00C37650">
        <w:rPr>
          <w:rFonts w:eastAsia="Times New Roman"/>
          <w:lang w:val="pl"/>
        </w:rPr>
        <w:t>Wyższy Trybunał Sprawiedliwości w Madrycie</w:t>
      </w:r>
      <w:r w:rsidRPr="00C37650">
        <w:rPr>
          <w:rFonts w:eastAsia="Times New Roman"/>
          <w:lang w:val="pl"/>
        </w:rPr>
        <w:t xml:space="preserve"> wskazywał, że nie może być zaskarżany w drodze skargi kasacyjnej. </w:t>
      </w:r>
    </w:p>
    <w:p w14:paraId="1642748C" w14:textId="60AAA427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52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W odniesieniu do Trybunału Konstytucyjnego skarżący wskaz</w:t>
      </w:r>
      <w:r w:rsidR="008F3555" w:rsidRPr="00C37650">
        <w:rPr>
          <w:rFonts w:eastAsia="Times New Roman"/>
          <w:lang w:val="pl"/>
        </w:rPr>
        <w:t>ał</w:t>
      </w:r>
      <w:r w:rsidRPr="00C37650">
        <w:rPr>
          <w:rFonts w:eastAsia="Times New Roman"/>
          <w:lang w:val="pl"/>
        </w:rPr>
        <w:t xml:space="preserve"> również, że nie jest </w:t>
      </w:r>
      <w:r w:rsidR="008F3555" w:rsidRPr="00C37650">
        <w:rPr>
          <w:rFonts w:eastAsia="Times New Roman"/>
          <w:lang w:val="pl"/>
        </w:rPr>
        <w:t xml:space="preserve">on </w:t>
      </w:r>
      <w:r w:rsidRPr="00C37650">
        <w:rPr>
          <w:rFonts w:eastAsia="Times New Roman"/>
          <w:lang w:val="pl"/>
        </w:rPr>
        <w:t>częścią hiszpańskiego wymiaru sprawiedliwości, a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zatem jego działanie reguluje jego własna ustawa organiczna (</w:t>
      </w:r>
      <w:r w:rsidR="008F3555" w:rsidRPr="00C37650">
        <w:rPr>
          <w:rFonts w:eastAsia="Times New Roman"/>
          <w:lang w:val="pl"/>
        </w:rPr>
        <w:t>ustawa 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2/1979), a nie ustawa o sądownictwie (</w:t>
      </w:r>
      <w:r w:rsidR="008F3555" w:rsidRPr="00C37650">
        <w:rPr>
          <w:rFonts w:eastAsia="Times New Roman"/>
          <w:lang w:val="pl"/>
        </w:rPr>
        <w:t xml:space="preserve">ustawa nr </w:t>
      </w:r>
      <w:r w:rsidRPr="00C37650">
        <w:rPr>
          <w:rFonts w:eastAsia="Times New Roman"/>
          <w:lang w:val="pl"/>
        </w:rPr>
        <w:t xml:space="preserve">6/1985). Nie jest </w:t>
      </w:r>
      <w:r w:rsidR="008F3555" w:rsidRPr="00C37650">
        <w:rPr>
          <w:rFonts w:eastAsia="Times New Roman"/>
          <w:lang w:val="pl"/>
        </w:rPr>
        <w:t xml:space="preserve">on </w:t>
      </w:r>
      <w:r w:rsidRPr="00C37650">
        <w:rPr>
          <w:rFonts w:eastAsia="Times New Roman"/>
          <w:lang w:val="pl"/>
        </w:rPr>
        <w:t xml:space="preserve">więc kolejną instancją w </w:t>
      </w:r>
      <w:r w:rsidR="008F3555" w:rsidRPr="00C37650">
        <w:rPr>
          <w:rFonts w:eastAsia="Times New Roman"/>
          <w:lang w:val="pl"/>
        </w:rPr>
        <w:t xml:space="preserve">hierarchii </w:t>
      </w:r>
      <w:r w:rsidRPr="00C37650">
        <w:rPr>
          <w:rFonts w:eastAsia="Times New Roman"/>
          <w:lang w:val="pl"/>
        </w:rPr>
        <w:t xml:space="preserve">sądów hiszpańskich, </w:t>
      </w:r>
      <w:r w:rsidR="008F3555" w:rsidRPr="00C37650">
        <w:rPr>
          <w:rFonts w:eastAsia="Times New Roman"/>
          <w:lang w:val="pl"/>
        </w:rPr>
        <w:t>ponieważ</w:t>
      </w:r>
      <w:r w:rsidRPr="00C37650">
        <w:rPr>
          <w:rFonts w:eastAsia="Times New Roman"/>
          <w:lang w:val="pl"/>
        </w:rPr>
        <w:t xml:space="preserve"> jego kompetencje są ograniczone.</w:t>
      </w:r>
    </w:p>
    <w:p w14:paraId="0E7DCD2B" w14:textId="6600CF82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53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Trybunał zauważa po pierwsze, że zgodnie z brzmieniem punktu 17 raportu wyjaśniającego do Protokołu nr 7 do Konwencji, organy władzy </w:t>
      </w:r>
      <w:r w:rsidR="007B6A4E">
        <w:rPr>
          <w:lang w:val="pl"/>
        </w:rPr>
        <w:t>„</w:t>
      </w:r>
      <w:r w:rsidRPr="00C37650">
        <w:rPr>
          <w:lang w:val="pl"/>
        </w:rPr>
        <w:t>które nie są sądami w rozumieniu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6 Konwencji</w:t>
      </w:r>
      <w:r w:rsidR="007B6A4E">
        <w:rPr>
          <w:lang w:val="pl"/>
        </w:rPr>
        <w:t>”</w:t>
      </w:r>
      <w:r w:rsidRPr="00C37650">
        <w:rPr>
          <w:lang w:val="pl"/>
        </w:rPr>
        <w:t xml:space="preserve"> nie mogą być brane pod uwagę jako </w:t>
      </w:r>
      <w:r w:rsidR="007B6A4E">
        <w:rPr>
          <w:lang w:val="pl"/>
        </w:rPr>
        <w:t>„</w:t>
      </w:r>
      <w:r w:rsidRPr="00C37650">
        <w:rPr>
          <w:lang w:val="pl"/>
        </w:rPr>
        <w:t>sądy</w:t>
      </w:r>
      <w:r w:rsidR="007B6A4E">
        <w:rPr>
          <w:lang w:val="pl"/>
        </w:rPr>
        <w:t>”</w:t>
      </w:r>
      <w:r w:rsidR="000740C4" w:rsidRPr="00C37650">
        <w:rPr>
          <w:lang w:val="pl"/>
        </w:rPr>
        <w:t xml:space="preserve"> do obecnych celów</w:t>
      </w:r>
      <w:r w:rsidRPr="00C37650">
        <w:rPr>
          <w:lang w:val="pl"/>
        </w:rPr>
        <w:t xml:space="preserve">. Tak jest w przypadku podmiotu odpowiedzialnego za nałożenie grzywny w niniejszej sprawie, a mianowicie Generalnej </w:t>
      </w:r>
      <w:r w:rsidR="000740C4" w:rsidRPr="00C37650">
        <w:rPr>
          <w:lang w:val="pl"/>
        </w:rPr>
        <w:t xml:space="preserve">Dyrekcji </w:t>
      </w:r>
      <w:r w:rsidRPr="00C37650">
        <w:rPr>
          <w:lang w:val="pl"/>
        </w:rPr>
        <w:t xml:space="preserve">Skarbu i Polityki Finansowej, która jest bezpośrednio zależna od Ministerstwa Gospodarki </w:t>
      </w:r>
      <w:r w:rsidRPr="00927658">
        <w:rPr>
          <w:iCs/>
          <w:lang w:val="pl"/>
        </w:rPr>
        <w:t>(</w:t>
      </w:r>
      <w:r w:rsidR="00927658" w:rsidRPr="00927658">
        <w:rPr>
          <w:iCs/>
          <w:lang w:val="pl"/>
        </w:rPr>
        <w:t>zob.</w:t>
      </w:r>
      <w:r w:rsidR="00927658">
        <w:rPr>
          <w:i/>
          <w:iCs/>
          <w:lang w:val="pl"/>
        </w:rPr>
        <w:t xml:space="preserve"> </w:t>
      </w:r>
      <w:r w:rsidRPr="00C37650">
        <w:rPr>
          <w:i/>
          <w:iCs/>
          <w:lang w:val="pl"/>
        </w:rPr>
        <w:t>Grecu</w:t>
      </w:r>
      <w:r w:rsidRPr="00C37650">
        <w:rPr>
          <w:lang w:val="pl"/>
        </w:rPr>
        <w:t>, cyt. wyżej, § 83).</w:t>
      </w:r>
    </w:p>
    <w:p w14:paraId="0B34A7D7" w14:textId="19B6B0E4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lastRenderedPageBreak/>
        <w:t>54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Ponadto, w odniesieniu do roli Trybunału Konstytucyjnego, Trybunał zauważa, że o ile zgodnie z pkt 18 raportu wyjaśniającego można uznać, że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sądy apelacyjne lub kasacyjne mo</w:t>
      </w:r>
      <w:r w:rsidR="00850D1B" w:rsidRPr="00C37650">
        <w:rPr>
          <w:rFonts w:eastAsia="Times New Roman"/>
          <w:lang w:val="pl"/>
        </w:rPr>
        <w:t xml:space="preserve">gą kwalifikować się jako </w:t>
      </w:r>
      <w:r w:rsidR="000740C4" w:rsidRPr="00C37650">
        <w:rPr>
          <w:rFonts w:eastAsia="Times New Roman"/>
          <w:lang w:val="pl"/>
        </w:rPr>
        <w:t xml:space="preserve">organy zapewniające </w:t>
      </w:r>
      <w:r w:rsidR="007B6A4E">
        <w:rPr>
          <w:rFonts w:eastAsia="Times New Roman"/>
          <w:lang w:val="pl"/>
        </w:rPr>
        <w:t>„</w:t>
      </w:r>
      <w:r w:rsidR="000740C4" w:rsidRPr="00C37650">
        <w:rPr>
          <w:rFonts w:eastAsia="Times New Roman"/>
          <w:lang w:val="pl"/>
        </w:rPr>
        <w:t>rozpatrzenie przez sąd wyższej instancji</w:t>
      </w:r>
      <w:r w:rsidR="007B6A4E">
        <w:rPr>
          <w:rFonts w:eastAsia="Times New Roman"/>
          <w:lang w:val="pl"/>
        </w:rPr>
        <w:t>”</w:t>
      </w:r>
      <w:r w:rsidRPr="00C37650">
        <w:rPr>
          <w:rFonts w:eastAsia="Times New Roman"/>
          <w:lang w:val="pl"/>
        </w:rPr>
        <w:t xml:space="preserve">, o tyle nie wspomina się o sądach konstytucyjnych. Konieczne </w:t>
      </w:r>
      <w:r w:rsidR="000740C4" w:rsidRPr="00C37650">
        <w:rPr>
          <w:rFonts w:eastAsia="Times New Roman"/>
          <w:lang w:val="pl"/>
        </w:rPr>
        <w:t xml:space="preserve">jest </w:t>
      </w:r>
      <w:r w:rsidRPr="00C37650">
        <w:rPr>
          <w:rFonts w:eastAsia="Times New Roman"/>
          <w:lang w:val="pl"/>
        </w:rPr>
        <w:t xml:space="preserve">zatem zbadanie roli </w:t>
      </w:r>
      <w:r w:rsidR="000740C4" w:rsidRPr="00C37650">
        <w:rPr>
          <w:rFonts w:eastAsia="Times New Roman"/>
          <w:lang w:val="pl"/>
        </w:rPr>
        <w:t xml:space="preserve">Trybunału Konstytucyjnego </w:t>
      </w:r>
      <w:r w:rsidRPr="00C37650">
        <w:rPr>
          <w:rFonts w:eastAsia="Times New Roman"/>
          <w:lang w:val="pl"/>
        </w:rPr>
        <w:t>w tej sprawie oraz charakteru kontroli przeprowadzonej w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ramach skargi </w:t>
      </w:r>
      <w:proofErr w:type="spellStart"/>
      <w:r w:rsidRPr="00C37650">
        <w:rPr>
          <w:rFonts w:eastAsia="Times New Roman"/>
          <w:i/>
          <w:iCs/>
          <w:lang w:val="pl"/>
        </w:rPr>
        <w:t>amparo</w:t>
      </w:r>
      <w:proofErr w:type="spellEnd"/>
      <w:r w:rsidRPr="00C37650">
        <w:rPr>
          <w:rFonts w:eastAsia="Times New Roman"/>
          <w:lang w:val="pl"/>
        </w:rPr>
        <w:t>.</w:t>
      </w:r>
    </w:p>
    <w:p w14:paraId="7E17A5F0" w14:textId="76D38A00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55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Trybunał zauważ</w:t>
      </w:r>
      <w:r w:rsidR="003D00E8" w:rsidRPr="00C37650">
        <w:rPr>
          <w:rFonts w:eastAsia="Times New Roman"/>
          <w:lang w:val="pl"/>
        </w:rPr>
        <w:t>a</w:t>
      </w:r>
      <w:r w:rsidRPr="00C37650">
        <w:rPr>
          <w:rFonts w:eastAsia="Times New Roman"/>
          <w:lang w:val="pl"/>
        </w:rPr>
        <w:t xml:space="preserve">, że w prawie hiszpańskim kompetencja do badania </w:t>
      </w:r>
      <w:r w:rsidR="003D00E8" w:rsidRPr="00C37650">
        <w:rPr>
          <w:rFonts w:eastAsia="Times New Roman"/>
          <w:lang w:val="pl"/>
        </w:rPr>
        <w:t xml:space="preserve">zgodności z ustawami </w:t>
      </w:r>
      <w:r w:rsidRPr="00C37650">
        <w:rPr>
          <w:rFonts w:eastAsia="Times New Roman"/>
          <w:lang w:val="pl"/>
        </w:rPr>
        <w:t>zwykł</w:t>
      </w:r>
      <w:r w:rsidR="003D00E8" w:rsidRPr="00C37650">
        <w:rPr>
          <w:rFonts w:eastAsia="Times New Roman"/>
          <w:lang w:val="pl"/>
        </w:rPr>
        <w:t>ymi</w:t>
      </w:r>
      <w:r w:rsidRPr="00C37650">
        <w:rPr>
          <w:rFonts w:eastAsia="Times New Roman"/>
          <w:lang w:val="pl"/>
        </w:rPr>
        <w:t xml:space="preserve"> jest zastrzeżona dla sądów wchodzących w skład władzy sądowniczej </w:t>
      </w:r>
      <w:r w:rsidR="003D00E8" w:rsidRPr="00C37650">
        <w:rPr>
          <w:rFonts w:eastAsia="Times New Roman"/>
          <w:lang w:val="pl"/>
        </w:rPr>
        <w:t>i obejmujących sądy apelacyjne lub kasacyjne</w:t>
      </w:r>
      <w:r w:rsidRPr="00C37650">
        <w:rPr>
          <w:rFonts w:eastAsia="Times New Roman"/>
          <w:lang w:val="pl"/>
        </w:rPr>
        <w:t xml:space="preserve">. Zgodnie z art. 53 </w:t>
      </w:r>
      <w:r w:rsidR="00C03AF0" w:rsidRPr="00C37650">
        <w:rPr>
          <w:rFonts w:eastAsia="Times New Roman"/>
          <w:lang w:val="pl"/>
        </w:rPr>
        <w:t>ust.</w:t>
      </w:r>
      <w:r w:rsidR="003D00E8" w:rsidRPr="00C37650">
        <w:rPr>
          <w:rFonts w:eastAsia="Times New Roman"/>
          <w:lang w:val="pl"/>
        </w:rPr>
        <w:t xml:space="preserve"> 2 Konstytucji</w:t>
      </w:r>
      <w:r w:rsidRPr="00C37650">
        <w:rPr>
          <w:rFonts w:eastAsia="Times New Roman"/>
          <w:lang w:val="pl"/>
        </w:rPr>
        <w:t xml:space="preserve"> Trybunał Konstytucyjny jest powoła</w:t>
      </w:r>
      <w:r w:rsidR="003D00E8" w:rsidRPr="00C37650">
        <w:rPr>
          <w:rFonts w:eastAsia="Times New Roman"/>
          <w:lang w:val="pl"/>
        </w:rPr>
        <w:t>ny do ustalania w sprawach dotyczących skarg</w:t>
      </w:r>
      <w:r w:rsidRPr="00C37650">
        <w:rPr>
          <w:rFonts w:eastAsia="Times New Roman"/>
          <w:lang w:val="pl"/>
        </w:rPr>
        <w:t xml:space="preserve"> </w:t>
      </w:r>
      <w:proofErr w:type="spellStart"/>
      <w:r w:rsidRPr="00C37650">
        <w:rPr>
          <w:rFonts w:eastAsia="Times New Roman"/>
          <w:i/>
          <w:iCs/>
          <w:lang w:val="pl"/>
        </w:rPr>
        <w:t>amparo</w:t>
      </w:r>
      <w:proofErr w:type="spellEnd"/>
      <w:r w:rsidR="003D00E8" w:rsidRPr="00C37650">
        <w:rPr>
          <w:rFonts w:eastAsia="Times New Roman"/>
          <w:i/>
          <w:iCs/>
          <w:lang w:val="pl"/>
        </w:rPr>
        <w:t>,</w:t>
      </w:r>
      <w:r w:rsidRPr="00C37650">
        <w:rPr>
          <w:rFonts w:eastAsia="Times New Roman"/>
          <w:lang w:val="pl"/>
        </w:rPr>
        <w:t xml:space="preserve"> czy</w:t>
      </w:r>
      <w:r w:rsidR="003D00E8" w:rsidRPr="00C37650">
        <w:rPr>
          <w:rFonts w:eastAsia="Times New Roman"/>
          <w:lang w:val="pl"/>
        </w:rPr>
        <w:t xml:space="preserve"> zaskarżone</w:t>
      </w:r>
      <w:r w:rsidRPr="00C37650">
        <w:rPr>
          <w:rFonts w:eastAsia="Times New Roman"/>
          <w:lang w:val="pl"/>
        </w:rPr>
        <w:t xml:space="preserve"> decyzje administracyjne lub sądowe </w:t>
      </w:r>
      <w:r w:rsidR="003D00E8" w:rsidRPr="00C37650">
        <w:rPr>
          <w:rFonts w:eastAsia="Times New Roman"/>
          <w:lang w:val="pl"/>
        </w:rPr>
        <w:t xml:space="preserve">są </w:t>
      </w:r>
      <w:r w:rsidRPr="00C37650">
        <w:rPr>
          <w:rFonts w:eastAsia="Times New Roman"/>
          <w:lang w:val="pl"/>
        </w:rPr>
        <w:t>zgodne z prawami podstawowymi zagwarantowanymi przez art. 14-30 Konstytucji. W szczególności, w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przypadku skarg konstytucyjnych </w:t>
      </w:r>
      <w:proofErr w:type="spellStart"/>
      <w:r w:rsidRPr="00C37650">
        <w:rPr>
          <w:rFonts w:eastAsia="Times New Roman"/>
          <w:i/>
          <w:iCs/>
          <w:lang w:val="pl"/>
        </w:rPr>
        <w:t>amparo</w:t>
      </w:r>
      <w:proofErr w:type="spellEnd"/>
      <w:r w:rsidRPr="00C37650">
        <w:rPr>
          <w:rFonts w:eastAsia="Times New Roman"/>
          <w:i/>
          <w:iCs/>
          <w:lang w:val="pl"/>
        </w:rPr>
        <w:t xml:space="preserve"> </w:t>
      </w:r>
      <w:r w:rsidRPr="00C37650">
        <w:rPr>
          <w:rFonts w:eastAsia="Times New Roman"/>
          <w:lang w:val="pl"/>
        </w:rPr>
        <w:t>wniesionych, tak jak w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niniejszej sprawie, przeciwko orzeczeniu sądowemu, art. 54 ustawy organicznej o Trybunale Konstytucyjnym ogranicza funkcję </w:t>
      </w:r>
      <w:r w:rsidR="005741D5" w:rsidRPr="00C37650">
        <w:rPr>
          <w:rFonts w:eastAsia="Times New Roman"/>
          <w:lang w:val="pl"/>
        </w:rPr>
        <w:t xml:space="preserve">Trybunału Konstytucyjnego </w:t>
      </w:r>
      <w:r w:rsidRPr="00C37650">
        <w:rPr>
          <w:rFonts w:eastAsia="Times New Roman"/>
          <w:lang w:val="pl"/>
        </w:rPr>
        <w:t xml:space="preserve">do oceny, czy </w:t>
      </w:r>
      <w:r w:rsidR="005741D5" w:rsidRPr="00C37650">
        <w:rPr>
          <w:rFonts w:eastAsia="Times New Roman"/>
          <w:lang w:val="pl"/>
        </w:rPr>
        <w:t xml:space="preserve">zostały naruszone </w:t>
      </w:r>
      <w:r w:rsidRPr="00C37650">
        <w:rPr>
          <w:rFonts w:eastAsia="Times New Roman"/>
          <w:lang w:val="pl"/>
        </w:rPr>
        <w:t xml:space="preserve">prawa lub wolności skarżącego oraz do </w:t>
      </w:r>
      <w:r w:rsidR="005741D5" w:rsidRPr="00C37650">
        <w:rPr>
          <w:rFonts w:eastAsia="Times New Roman"/>
          <w:lang w:val="pl"/>
        </w:rPr>
        <w:t xml:space="preserve">ochrony </w:t>
      </w:r>
      <w:r w:rsidRPr="00C37650">
        <w:rPr>
          <w:rFonts w:eastAsia="Times New Roman"/>
          <w:lang w:val="pl"/>
        </w:rPr>
        <w:t xml:space="preserve">lub przywrócenia tych praw lub wolności. Przepis ten określa, że Trybunał </w:t>
      </w:r>
      <w:r w:rsidR="005741D5" w:rsidRPr="00C37650">
        <w:rPr>
          <w:rFonts w:eastAsia="Times New Roman"/>
          <w:lang w:val="pl"/>
        </w:rPr>
        <w:t xml:space="preserve">Konstytucyjny </w:t>
      </w:r>
      <w:r w:rsidRPr="00C37650">
        <w:rPr>
          <w:rFonts w:eastAsia="Times New Roman"/>
          <w:lang w:val="pl"/>
        </w:rPr>
        <w:t>powinien powstrzymać się od dalszego rozpatrywania czynności</w:t>
      </w:r>
      <w:r w:rsidR="005741D5" w:rsidRPr="00C37650">
        <w:rPr>
          <w:rFonts w:eastAsia="Times New Roman"/>
          <w:lang w:val="pl"/>
        </w:rPr>
        <w:t xml:space="preserve"> sądów</w:t>
      </w:r>
      <w:r w:rsidRPr="00C37650">
        <w:rPr>
          <w:rFonts w:eastAsia="Times New Roman"/>
          <w:lang w:val="pl"/>
        </w:rPr>
        <w:t>.</w:t>
      </w:r>
    </w:p>
    <w:p w14:paraId="6C45E949" w14:textId="4DF321DF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56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Trybunał Konstytucyjny w swoim orzecznictwie wyraźnie</w:t>
      </w:r>
      <w:r w:rsidR="005741D5" w:rsidRPr="00C37650">
        <w:rPr>
          <w:rFonts w:eastAsia="Times New Roman"/>
          <w:lang w:val="pl"/>
        </w:rPr>
        <w:t xml:space="preserve"> wyjaśnił</w:t>
      </w:r>
      <w:r w:rsidRPr="00C37650">
        <w:rPr>
          <w:rFonts w:eastAsia="Times New Roman"/>
          <w:lang w:val="pl"/>
        </w:rPr>
        <w:t>, że nie został powołany do usuwania naruszeń</w:t>
      </w:r>
      <w:r w:rsidR="005741D5" w:rsidRPr="00C37650">
        <w:rPr>
          <w:rFonts w:eastAsia="Times New Roman"/>
          <w:lang w:val="pl"/>
        </w:rPr>
        <w:t xml:space="preserve"> ustawy</w:t>
      </w:r>
      <w:r w:rsidRPr="00C37650">
        <w:rPr>
          <w:rFonts w:eastAsia="Times New Roman"/>
          <w:lang w:val="pl"/>
        </w:rPr>
        <w:t>, ale do przywracania i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ochrony praw podstawowych gwarantowanych przez art. 53 </w:t>
      </w:r>
      <w:r w:rsidR="00C03AF0" w:rsidRPr="00C37650">
        <w:rPr>
          <w:rFonts w:eastAsia="Times New Roman"/>
          <w:lang w:val="pl"/>
        </w:rPr>
        <w:t>ust.</w:t>
      </w:r>
      <w:r w:rsidRPr="00C37650">
        <w:rPr>
          <w:rFonts w:eastAsia="Times New Roman"/>
          <w:lang w:val="pl"/>
        </w:rPr>
        <w:t xml:space="preserve"> 2, gdy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istnieje </w:t>
      </w:r>
      <w:r w:rsidR="005741D5" w:rsidRPr="00C37650">
        <w:rPr>
          <w:rFonts w:eastAsia="Times New Roman"/>
          <w:lang w:val="pl"/>
        </w:rPr>
        <w:t xml:space="preserve">rzeczywisty </w:t>
      </w:r>
      <w:r w:rsidRPr="00C37650">
        <w:rPr>
          <w:rFonts w:eastAsia="Times New Roman"/>
          <w:lang w:val="pl"/>
        </w:rPr>
        <w:t xml:space="preserve">i </w:t>
      </w:r>
      <w:r w:rsidR="005741D5" w:rsidRPr="00C37650">
        <w:rPr>
          <w:rFonts w:eastAsia="Times New Roman"/>
          <w:lang w:val="pl"/>
        </w:rPr>
        <w:t xml:space="preserve">konkretny </w:t>
      </w:r>
      <w:r w:rsidRPr="00C37650">
        <w:rPr>
          <w:rFonts w:eastAsia="Times New Roman"/>
          <w:lang w:val="pl"/>
        </w:rPr>
        <w:t xml:space="preserve">zarzut ich naruszenia. Zarzut naruszenia przepisu konstytucyjnego jest warunkiem koniecznym, ale nie wystarczającym. Innymi słowy, skarga konstytucyjna </w:t>
      </w:r>
      <w:proofErr w:type="spellStart"/>
      <w:r w:rsidRPr="00C37650">
        <w:rPr>
          <w:rFonts w:eastAsia="Times New Roman"/>
          <w:i/>
          <w:iCs/>
          <w:lang w:val="pl"/>
        </w:rPr>
        <w:t>amparo</w:t>
      </w:r>
      <w:proofErr w:type="spellEnd"/>
      <w:r w:rsidRPr="00C37650">
        <w:rPr>
          <w:rFonts w:eastAsia="Times New Roman"/>
          <w:i/>
          <w:iCs/>
          <w:lang w:val="pl"/>
        </w:rPr>
        <w:t xml:space="preserve"> </w:t>
      </w:r>
      <w:r w:rsidR="004A6546" w:rsidRPr="00C37650">
        <w:rPr>
          <w:rFonts w:eastAsia="Times New Roman"/>
          <w:lang w:val="pl"/>
        </w:rPr>
        <w:t>nie może być utożsamiana</w:t>
      </w:r>
      <w:r w:rsidRPr="00C37650">
        <w:rPr>
          <w:rFonts w:eastAsia="Times New Roman"/>
          <w:lang w:val="pl"/>
        </w:rPr>
        <w:t xml:space="preserve"> ze skargą kasacyjną w interesie prawa </w:t>
      </w:r>
      <w:r w:rsidRPr="00C37650">
        <w:rPr>
          <w:rFonts w:eastAsia="Times New Roman"/>
          <w:i/>
          <w:iCs/>
          <w:lang w:val="pl"/>
        </w:rPr>
        <w:t>(</w:t>
      </w:r>
      <w:proofErr w:type="spellStart"/>
      <w:r w:rsidRPr="00C37650">
        <w:rPr>
          <w:rFonts w:eastAsia="Times New Roman"/>
          <w:i/>
          <w:iCs/>
          <w:lang w:val="pl"/>
        </w:rPr>
        <w:t>casación</w:t>
      </w:r>
      <w:proofErr w:type="spellEnd"/>
      <w:r w:rsidRPr="00C37650">
        <w:rPr>
          <w:rFonts w:eastAsia="Times New Roman"/>
          <w:i/>
          <w:iCs/>
          <w:lang w:val="pl"/>
        </w:rPr>
        <w:t xml:space="preserve"> en </w:t>
      </w:r>
      <w:proofErr w:type="spellStart"/>
      <w:r w:rsidRPr="00C37650">
        <w:rPr>
          <w:rFonts w:eastAsia="Times New Roman"/>
          <w:i/>
          <w:iCs/>
          <w:lang w:val="pl"/>
        </w:rPr>
        <w:t>interés</w:t>
      </w:r>
      <w:proofErr w:type="spellEnd"/>
      <w:r w:rsidRPr="00C37650">
        <w:rPr>
          <w:rFonts w:eastAsia="Times New Roman"/>
          <w:i/>
          <w:iCs/>
          <w:lang w:val="pl"/>
        </w:rPr>
        <w:t xml:space="preserve"> de</w:t>
      </w:r>
      <w:r w:rsidR="00D51CC3" w:rsidRPr="00C37650">
        <w:rPr>
          <w:rFonts w:eastAsia="Times New Roman"/>
          <w:i/>
          <w:iCs/>
          <w:lang w:val="pl"/>
        </w:rPr>
        <w:t> </w:t>
      </w:r>
      <w:proofErr w:type="spellStart"/>
      <w:r w:rsidRPr="00C37650">
        <w:rPr>
          <w:rFonts w:eastAsia="Times New Roman"/>
          <w:i/>
          <w:iCs/>
          <w:lang w:val="pl"/>
        </w:rPr>
        <w:t>ley</w:t>
      </w:r>
      <w:proofErr w:type="spellEnd"/>
      <w:r w:rsidRPr="00C37650">
        <w:rPr>
          <w:rFonts w:eastAsia="Times New Roman"/>
          <w:lang w:val="pl"/>
        </w:rPr>
        <w:t xml:space="preserve">) </w:t>
      </w:r>
      <w:r w:rsidR="006303F0" w:rsidRPr="00C37650">
        <w:rPr>
          <w:rFonts w:eastAsia="Times New Roman"/>
          <w:lang w:val="pl"/>
        </w:rPr>
        <w:t xml:space="preserve">– postępowaniem na wniosek Państwa </w:t>
      </w:r>
      <w:r w:rsidR="00850D1B" w:rsidRPr="00C37650">
        <w:rPr>
          <w:rFonts w:eastAsia="Times New Roman"/>
          <w:lang w:val="pl"/>
        </w:rPr>
        <w:t xml:space="preserve">skierowany </w:t>
      </w:r>
      <w:r w:rsidR="006303F0" w:rsidRPr="00C37650">
        <w:rPr>
          <w:rFonts w:eastAsia="Times New Roman"/>
          <w:lang w:val="pl"/>
        </w:rPr>
        <w:t xml:space="preserve">do Sądu Najwyższego w celu naprawienia poważnego naruszenia prawa </w:t>
      </w:r>
      <w:r w:rsidR="004C7E50">
        <w:rPr>
          <w:rFonts w:eastAsia="Times New Roman"/>
          <w:lang w:val="pl"/>
        </w:rPr>
        <w:t xml:space="preserve">popełnionego </w:t>
      </w:r>
      <w:r w:rsidR="006303F0" w:rsidRPr="00C37650">
        <w:rPr>
          <w:rFonts w:eastAsia="Times New Roman"/>
          <w:lang w:val="pl"/>
        </w:rPr>
        <w:t>przez sąd niższej instancji w orzeczeniu, które stało się już prawomocne dla</w:t>
      </w:r>
      <w:r w:rsidR="00D51CC3" w:rsidRPr="00C37650">
        <w:rPr>
          <w:rFonts w:eastAsia="Times New Roman"/>
          <w:lang w:val="pl"/>
        </w:rPr>
        <w:t> </w:t>
      </w:r>
      <w:r w:rsidR="006303F0" w:rsidRPr="00C37650">
        <w:rPr>
          <w:rFonts w:eastAsia="Times New Roman"/>
          <w:lang w:val="pl"/>
        </w:rPr>
        <w:t xml:space="preserve">stron </w:t>
      </w:r>
      <w:r w:rsidRPr="00C37650">
        <w:rPr>
          <w:rFonts w:eastAsia="Times New Roman"/>
          <w:lang w:val="pl"/>
        </w:rPr>
        <w:t>(</w:t>
      </w:r>
      <w:r w:rsidR="006303F0" w:rsidRPr="00C37650">
        <w:rPr>
          <w:rFonts w:eastAsia="Times New Roman"/>
          <w:lang w:val="pl"/>
        </w:rPr>
        <w:t xml:space="preserve">zob. wyrok </w:t>
      </w:r>
      <w:r w:rsidRPr="00C37650">
        <w:rPr>
          <w:rFonts w:eastAsia="Times New Roman"/>
          <w:lang w:val="pl"/>
        </w:rPr>
        <w:t>Zgromadzenia Plenarnego Trybunału Konstytucyjnego z 6 lipca 1995 r.).</w:t>
      </w:r>
    </w:p>
    <w:p w14:paraId="51139486" w14:textId="3B983E13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57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W świetle uprawnień przyznanych Trybunałowi Konstytucyjnemu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postępowaniu </w:t>
      </w:r>
      <w:proofErr w:type="spellStart"/>
      <w:r w:rsidRPr="00C37650">
        <w:rPr>
          <w:i/>
          <w:iCs/>
          <w:lang w:val="pl"/>
        </w:rPr>
        <w:t>amparo</w:t>
      </w:r>
      <w:proofErr w:type="spellEnd"/>
      <w:r w:rsidRPr="00C37650">
        <w:rPr>
          <w:lang w:val="pl"/>
        </w:rPr>
        <w:t xml:space="preserve">, Trybunał jest zdania, że nie może być </w:t>
      </w:r>
      <w:r w:rsidR="00C57440" w:rsidRPr="00C37650">
        <w:rPr>
          <w:lang w:val="pl"/>
        </w:rPr>
        <w:t xml:space="preserve">on </w:t>
      </w:r>
      <w:r w:rsidRPr="00C37650">
        <w:rPr>
          <w:lang w:val="pl"/>
        </w:rPr>
        <w:t>uznany za</w:t>
      </w:r>
      <w:r w:rsidR="00D51CC3" w:rsidRPr="00C37650">
        <w:rPr>
          <w:lang w:val="pl"/>
        </w:rPr>
        <w:t> </w:t>
      </w:r>
      <w:r w:rsidR="004A6546" w:rsidRPr="00C37650">
        <w:rPr>
          <w:lang w:val="pl"/>
        </w:rPr>
        <w:t xml:space="preserve">sąd wyższej instancji </w:t>
      </w:r>
      <w:r w:rsidRPr="00C37650">
        <w:rPr>
          <w:lang w:val="pl"/>
        </w:rPr>
        <w:t>w rozumieniu art. 2 Protokołu nr 7. W związku z tym jedynym organem sądowym, który zajmował się stanem faktycznym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niniejszej sprawie, </w:t>
      </w:r>
      <w:r w:rsidR="00D341D7" w:rsidRPr="00C37650">
        <w:rPr>
          <w:lang w:val="pl"/>
        </w:rPr>
        <w:t xml:space="preserve">był Wyższy Trybunał Sprawiedliwości </w:t>
      </w:r>
      <w:r w:rsidRPr="00C37650">
        <w:rPr>
          <w:lang w:val="pl"/>
        </w:rPr>
        <w:t>w Madrycie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wyroku z dnia 17 stycznia 2013</w:t>
      </w:r>
      <w:r w:rsidR="00EB274B" w:rsidRPr="00C37650">
        <w:rPr>
          <w:lang w:val="pl"/>
        </w:rPr>
        <w:t xml:space="preserve"> r.</w:t>
      </w:r>
      <w:r w:rsidRPr="00C37650">
        <w:rPr>
          <w:lang w:val="pl"/>
        </w:rPr>
        <w:t xml:space="preserve"> (zob. </w:t>
      </w:r>
      <w:r w:rsidRPr="00C37650">
        <w:rPr>
          <w:i/>
          <w:iCs/>
          <w:lang w:val="pl"/>
        </w:rPr>
        <w:t>mutatis mutandis</w:t>
      </w:r>
      <w:r w:rsidRPr="00C37650">
        <w:rPr>
          <w:lang w:val="pl"/>
        </w:rPr>
        <w:t>,</w:t>
      </w:r>
      <w:r w:rsidRPr="00C37650">
        <w:rPr>
          <w:i/>
          <w:iCs/>
          <w:lang w:val="pl"/>
        </w:rPr>
        <w:t xml:space="preserve"> Grecu</w:t>
      </w:r>
      <w:r w:rsidRPr="00C37650">
        <w:rPr>
          <w:lang w:val="pl"/>
        </w:rPr>
        <w:t>, cyt</w:t>
      </w:r>
      <w:r w:rsidR="00EB274B" w:rsidRPr="00C37650">
        <w:rPr>
          <w:lang w:val="pl"/>
        </w:rPr>
        <w:t>.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powyżej, § 83).</w:t>
      </w:r>
    </w:p>
    <w:p w14:paraId="7735AE05" w14:textId="577205AE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58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="00515F82" w:rsidRPr="00C37650">
        <w:rPr>
          <w:rFonts w:eastAsia="Times New Roman"/>
          <w:lang w:val="pl"/>
        </w:rPr>
        <w:t xml:space="preserve">Od wyroku tego nie przysługiwało odwołanie </w:t>
      </w:r>
      <w:r w:rsidRPr="00C37650">
        <w:rPr>
          <w:rFonts w:eastAsia="Times New Roman"/>
          <w:lang w:val="pl"/>
        </w:rPr>
        <w:t xml:space="preserve">z uwagi na zmianę legislacyjną, która nastąpiła po zaistnieniu faktów będących </w:t>
      </w:r>
      <w:r w:rsidR="00515F82" w:rsidRPr="00C37650">
        <w:rPr>
          <w:rFonts w:eastAsia="Times New Roman"/>
          <w:lang w:val="pl"/>
        </w:rPr>
        <w:t>przedmiotem sprawy</w:t>
      </w:r>
      <w:r w:rsidRPr="00C37650">
        <w:rPr>
          <w:rFonts w:eastAsia="Times New Roman"/>
          <w:lang w:val="pl"/>
        </w:rPr>
        <w:t>. W tym względzie Trybunał zauważa, że usta</w:t>
      </w:r>
      <w:r w:rsidR="00515F82" w:rsidRPr="00C37650">
        <w:rPr>
          <w:rFonts w:eastAsia="Times New Roman"/>
          <w:lang w:val="pl"/>
        </w:rPr>
        <w:t>wa</w:t>
      </w:r>
      <w:r w:rsidRPr="00C37650">
        <w:rPr>
          <w:rFonts w:eastAsia="Times New Roman"/>
          <w:lang w:val="pl"/>
        </w:rPr>
        <w:t xml:space="preserve"> nr 37/2011 z dnia 10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>października 2011 r. o środkach</w:t>
      </w:r>
      <w:r w:rsidR="00515F82" w:rsidRPr="00C37650">
        <w:rPr>
          <w:rFonts w:eastAsia="Times New Roman"/>
          <w:lang w:val="pl"/>
        </w:rPr>
        <w:t xml:space="preserve"> przyspieszających postępowanie</w:t>
      </w:r>
      <w:r w:rsidRPr="00C37650">
        <w:rPr>
          <w:rFonts w:eastAsia="Times New Roman"/>
          <w:lang w:val="pl"/>
        </w:rPr>
        <w:t xml:space="preserve"> weszła </w:t>
      </w:r>
      <w:r w:rsidRPr="00C37650">
        <w:rPr>
          <w:rFonts w:eastAsia="Times New Roman"/>
          <w:lang w:val="pl"/>
        </w:rPr>
        <w:lastRenderedPageBreak/>
        <w:t>w życie</w:t>
      </w:r>
      <w:r w:rsidR="00515F82" w:rsidRPr="00C37650">
        <w:rPr>
          <w:rFonts w:eastAsia="Times New Roman"/>
          <w:lang w:val="pl"/>
        </w:rPr>
        <w:t xml:space="preserve">, zgodnie ze swoim przepisem końcowym, </w:t>
      </w:r>
      <w:r w:rsidRPr="00C37650">
        <w:rPr>
          <w:rFonts w:eastAsia="Times New Roman"/>
          <w:lang w:val="pl"/>
        </w:rPr>
        <w:t>dwadzieścia dni po jej opublikowaniu w Dzienniku Urzędowym. Zauważa również, że zgodnie z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przepisem przejściowym tej ustawy, do postępowań toczących się w chwili wejścia w życie tej ustawy </w:t>
      </w:r>
      <w:r w:rsidR="001361C8" w:rsidRPr="00C37650">
        <w:rPr>
          <w:rFonts w:eastAsia="Times New Roman"/>
          <w:lang w:val="pl"/>
        </w:rPr>
        <w:t>–</w:t>
      </w:r>
      <w:r w:rsidRPr="00C37650">
        <w:rPr>
          <w:rFonts w:eastAsia="Times New Roman"/>
          <w:lang w:val="pl"/>
        </w:rPr>
        <w:t xml:space="preserve"> jak</w:t>
      </w:r>
      <w:r w:rsidR="001361C8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 xml:space="preserve">postępowanie w niniejszej sprawie </w:t>
      </w:r>
      <w:r w:rsidR="001361C8" w:rsidRPr="00C37650">
        <w:rPr>
          <w:rFonts w:eastAsia="Times New Roman"/>
          <w:lang w:val="pl"/>
        </w:rPr>
        <w:t>–</w:t>
      </w:r>
      <w:r w:rsidRPr="00C37650">
        <w:rPr>
          <w:rFonts w:eastAsia="Times New Roman"/>
          <w:lang w:val="pl"/>
        </w:rPr>
        <w:t xml:space="preserve"> stosuje się przepisy dotychczasowe do czasu wydania orzeczenia przez właściwy sąd.</w:t>
      </w:r>
    </w:p>
    <w:p w14:paraId="6161F1BF" w14:textId="76C1F143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59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="00FA681F" w:rsidRPr="00C37650">
        <w:rPr>
          <w:rFonts w:eastAsia="Times New Roman"/>
          <w:lang w:val="pl"/>
        </w:rPr>
        <w:t>Trybunał zauważa</w:t>
      </w:r>
      <w:r w:rsidRPr="00C37650">
        <w:rPr>
          <w:rFonts w:eastAsia="Times New Roman"/>
          <w:lang w:val="pl"/>
        </w:rPr>
        <w:t xml:space="preserve">, że skarga o charakterze administracyjnym złożona przez </w:t>
      </w:r>
      <w:r w:rsidR="00FA681F" w:rsidRPr="00C37650">
        <w:rPr>
          <w:rFonts w:eastAsia="Times New Roman"/>
          <w:lang w:val="pl"/>
        </w:rPr>
        <w:t xml:space="preserve">skarżącego </w:t>
      </w:r>
      <w:r w:rsidRPr="00C37650">
        <w:rPr>
          <w:rFonts w:eastAsia="Times New Roman"/>
          <w:lang w:val="pl"/>
        </w:rPr>
        <w:t xml:space="preserve">była w toku postępowania w momencie zmiany legislacyjnej. W związku z tym nowe brzmienie art. 86 </w:t>
      </w:r>
      <w:r w:rsidR="00C03AF0" w:rsidRPr="00C37650">
        <w:rPr>
          <w:rFonts w:eastAsia="Times New Roman"/>
          <w:lang w:val="pl"/>
        </w:rPr>
        <w:t>ust. 2 lit. b</w:t>
      </w:r>
      <w:r w:rsidRPr="00C37650">
        <w:rPr>
          <w:rFonts w:eastAsia="Times New Roman"/>
          <w:lang w:val="pl"/>
        </w:rPr>
        <w:t xml:space="preserve"> ustawy nr</w:t>
      </w:r>
      <w:r w:rsidR="00D51CC3" w:rsidRPr="00C37650">
        <w:rPr>
          <w:rFonts w:eastAsia="Times New Roman"/>
          <w:lang w:val="pl"/>
        </w:rPr>
        <w:t> </w:t>
      </w:r>
      <w:r w:rsidRPr="00C37650">
        <w:rPr>
          <w:rFonts w:eastAsia="Times New Roman"/>
          <w:lang w:val="pl"/>
        </w:rPr>
        <w:t xml:space="preserve">29/1998 miało zastosowanie od dnia ogłoszenia wyroku </w:t>
      </w:r>
      <w:r w:rsidR="00FA681F" w:rsidRPr="00C37650">
        <w:rPr>
          <w:rFonts w:eastAsia="Times New Roman"/>
          <w:lang w:val="pl"/>
        </w:rPr>
        <w:t xml:space="preserve">Wyższego Trybunału Sprawiedliwości </w:t>
      </w:r>
      <w:r w:rsidRPr="00C37650">
        <w:rPr>
          <w:rFonts w:eastAsia="Times New Roman"/>
          <w:lang w:val="pl"/>
        </w:rPr>
        <w:t>w Madrycie z dnia 17 stycznia 2013 r.</w:t>
      </w:r>
    </w:p>
    <w:p w14:paraId="05841703" w14:textId="39EBD6EB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rFonts w:eastAsia="Times New Roman"/>
          <w:noProof/>
          <w:lang w:val="pl"/>
        </w:rPr>
        <w:t>60</w:t>
      </w:r>
      <w:r w:rsidRPr="00C37650">
        <w:rPr>
          <w:rFonts w:eastAsia="Times New Roman"/>
          <w:lang w:val="pl"/>
        </w:rPr>
        <w:t>.</w:t>
      </w:r>
      <w:r w:rsidR="0093515F" w:rsidRPr="00C37650">
        <w:rPr>
          <w:rFonts w:eastAsia="Times New Roman"/>
          <w:lang w:val="pl"/>
        </w:rPr>
        <w:t xml:space="preserve"> </w:t>
      </w:r>
      <w:r w:rsidRPr="00C37650">
        <w:rPr>
          <w:rFonts w:eastAsia="Times New Roman"/>
          <w:lang w:val="pl"/>
        </w:rPr>
        <w:t>Trybunał jest z</w:t>
      </w:r>
      <w:r w:rsidR="00FA681F" w:rsidRPr="00C37650">
        <w:rPr>
          <w:rFonts w:eastAsia="Times New Roman"/>
          <w:lang w:val="pl"/>
        </w:rPr>
        <w:t xml:space="preserve">dania, że </w:t>
      </w:r>
      <w:r w:rsidRPr="00C37650">
        <w:rPr>
          <w:rFonts w:eastAsia="Times New Roman"/>
          <w:lang w:val="pl"/>
        </w:rPr>
        <w:t xml:space="preserve">ograniczenia prawa skarżącego do </w:t>
      </w:r>
      <w:r w:rsidR="00FA681F" w:rsidRPr="00C37650">
        <w:rPr>
          <w:rFonts w:eastAsia="Times New Roman"/>
          <w:lang w:val="pl"/>
        </w:rPr>
        <w:t xml:space="preserve">odwołania, chociaż zgodne z ustawą, </w:t>
      </w:r>
      <w:r w:rsidRPr="00C37650">
        <w:rPr>
          <w:rFonts w:eastAsia="Times New Roman"/>
          <w:lang w:val="pl"/>
        </w:rPr>
        <w:t xml:space="preserve">uniemożliwiły mu </w:t>
      </w:r>
      <w:r w:rsidR="00FA681F" w:rsidRPr="00C37650">
        <w:rPr>
          <w:rFonts w:eastAsia="Times New Roman"/>
          <w:lang w:val="pl"/>
        </w:rPr>
        <w:t>uzyskanie kontroli</w:t>
      </w:r>
      <w:r w:rsidRPr="00C37650">
        <w:rPr>
          <w:rFonts w:eastAsia="Times New Roman"/>
          <w:lang w:val="pl"/>
        </w:rPr>
        <w:t xml:space="preserve"> jego skazania przez sąd wyższej instancji i podważyły samą istotę prawa zagwarantowanego w art. 2 Protokołu nr 7, przekraczając margines oceny przysługujący </w:t>
      </w:r>
      <w:r w:rsidR="00F42049" w:rsidRPr="00C37650">
        <w:rPr>
          <w:rFonts w:eastAsia="Times New Roman"/>
          <w:lang w:val="pl"/>
        </w:rPr>
        <w:t xml:space="preserve">państwom </w:t>
      </w:r>
      <w:r w:rsidRPr="00C37650">
        <w:rPr>
          <w:rFonts w:eastAsia="Times New Roman"/>
          <w:lang w:val="pl"/>
        </w:rPr>
        <w:t>w odniesieniu do tego przepisu.</w:t>
      </w:r>
    </w:p>
    <w:p w14:paraId="377393C6" w14:textId="39F55262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61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W świetle wszystkich szczególnych okoliczności sprawy, w tym surowości sankcji nałożonej na skarżącego, braku zbadania jego </w:t>
      </w:r>
      <w:r w:rsidR="00FA681F" w:rsidRPr="00C37650">
        <w:rPr>
          <w:lang w:val="pl"/>
        </w:rPr>
        <w:t xml:space="preserve">indywidualnych </w:t>
      </w:r>
      <w:r w:rsidRPr="00C37650">
        <w:rPr>
          <w:lang w:val="pl"/>
        </w:rPr>
        <w:t xml:space="preserve">okoliczności przez władze krajowe oraz braku </w:t>
      </w:r>
      <w:r w:rsidR="00FA681F" w:rsidRPr="00C37650">
        <w:rPr>
          <w:lang w:val="pl"/>
        </w:rPr>
        <w:t>odwołania do</w:t>
      </w:r>
      <w:r w:rsidR="00D51CC3" w:rsidRPr="00C37650">
        <w:rPr>
          <w:lang w:val="pl"/>
        </w:rPr>
        <w:t> </w:t>
      </w:r>
      <w:r w:rsidR="00FA681F" w:rsidRPr="00C37650">
        <w:rPr>
          <w:lang w:val="pl"/>
        </w:rPr>
        <w:t xml:space="preserve">sądu </w:t>
      </w:r>
      <w:r w:rsidRPr="00C37650">
        <w:rPr>
          <w:lang w:val="pl"/>
        </w:rPr>
        <w:t>wyższej instancji, Trybunał stwierdza, że doszło do naruszenia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2 Protokołu nr 7 do Konwencji.</w:t>
      </w:r>
    </w:p>
    <w:p w14:paraId="67F8E9EB" w14:textId="13665431" w:rsidR="009A7E81" w:rsidRPr="00C37650" w:rsidRDefault="00030FAB" w:rsidP="0043093E">
      <w:pPr>
        <w:pStyle w:val="JuHIRoman"/>
        <w:rPr>
          <w:lang w:val="pl-PL"/>
        </w:rPr>
      </w:pPr>
      <w:r w:rsidRPr="00C37650">
        <w:rPr>
          <w:bCs w:val="0"/>
          <w:caps w:val="0"/>
          <w:lang w:val="pl"/>
        </w:rPr>
        <w:t xml:space="preserve">ZASTOSOWANIE </w:t>
      </w:r>
      <w:r w:rsidR="009A7E81" w:rsidRPr="00C37650">
        <w:rPr>
          <w:bCs w:val="0"/>
          <w:lang w:val="pl"/>
        </w:rPr>
        <w:t>ART</w:t>
      </w:r>
      <w:r w:rsidR="00C03AF0" w:rsidRPr="00C37650">
        <w:rPr>
          <w:bCs w:val="0"/>
          <w:lang w:val="pl"/>
        </w:rPr>
        <w:t>.</w:t>
      </w:r>
      <w:r w:rsidR="009A7E81" w:rsidRPr="00C37650">
        <w:rPr>
          <w:bCs w:val="0"/>
          <w:lang w:val="pl"/>
        </w:rPr>
        <w:t xml:space="preserve"> 41 KONWENCJI</w:t>
      </w:r>
    </w:p>
    <w:p w14:paraId="5332D827" w14:textId="61D5A080" w:rsidR="009A7E81" w:rsidRPr="00C37650" w:rsidRDefault="009A7E81" w:rsidP="0043093E">
      <w:pPr>
        <w:pStyle w:val="JuPara"/>
      </w:pPr>
      <w:r w:rsidRPr="00C37650">
        <w:rPr>
          <w:noProof/>
          <w:lang w:val="pl"/>
        </w:rPr>
        <w:t>62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Zgodnie z art. 41 Konwencji,</w:t>
      </w:r>
    </w:p>
    <w:p w14:paraId="609B2CB4" w14:textId="40BBED05" w:rsidR="009A7E81" w:rsidRPr="00C37650" w:rsidRDefault="007B6A4E" w:rsidP="0043093E">
      <w:pPr>
        <w:pStyle w:val="JuQuot"/>
        <w:rPr>
          <w:lang w:val="pl-PL"/>
        </w:rPr>
      </w:pPr>
      <w:r>
        <w:rPr>
          <w:lang w:val="pl"/>
        </w:rPr>
        <w:t>„</w:t>
      </w:r>
      <w:r w:rsidR="00030FAB" w:rsidRPr="00C37650">
        <w:rPr>
          <w:lang w:val="pl"/>
        </w:rPr>
        <w:t xml:space="preserve">Jeśli Trybunał stwierdzi, że nastąpiło naruszenie Konwencji lub jej </w:t>
      </w:r>
      <w:r w:rsidR="00D04AF3" w:rsidRPr="00C37650">
        <w:rPr>
          <w:lang w:val="pl"/>
        </w:rPr>
        <w:t>Protokołów</w:t>
      </w:r>
      <w:r w:rsidR="00030FAB" w:rsidRPr="00C37650">
        <w:rPr>
          <w:lang w:val="pl"/>
        </w:rPr>
        <w:t>, oraz</w:t>
      </w:r>
      <w:r w:rsidR="00D51CC3" w:rsidRPr="00C37650">
        <w:rPr>
          <w:lang w:val="pl"/>
        </w:rPr>
        <w:t> </w:t>
      </w:r>
      <w:r w:rsidR="00030FAB" w:rsidRPr="00C37650">
        <w:rPr>
          <w:lang w:val="pl"/>
        </w:rPr>
        <w:t>jeśli prawo wewnętrzne zainteresowanej Wysokiej Układającej się Strony pozwala tylko na częściowe usunięcie konsekwencji tego naruszenia, Trybunał orzeka, gdy</w:t>
      </w:r>
      <w:r w:rsidR="00D51CC3" w:rsidRPr="00C37650">
        <w:rPr>
          <w:lang w:val="pl"/>
        </w:rPr>
        <w:t> </w:t>
      </w:r>
      <w:r w:rsidR="00030FAB" w:rsidRPr="00C37650">
        <w:rPr>
          <w:lang w:val="pl"/>
        </w:rPr>
        <w:t>zachodzi potrzeba, słuszne zadośćuczynienie pokrzywdzonej stronie</w:t>
      </w:r>
      <w:r>
        <w:rPr>
          <w:lang w:val="pl"/>
        </w:rPr>
        <w:t>”</w:t>
      </w:r>
      <w:r w:rsidR="00030FAB" w:rsidRPr="00C37650">
        <w:rPr>
          <w:lang w:val="pl"/>
        </w:rPr>
        <w:t>.</w:t>
      </w:r>
    </w:p>
    <w:p w14:paraId="3C0EDBBE" w14:textId="77777777" w:rsidR="009A7E81" w:rsidRPr="00C37650" w:rsidRDefault="009A7E81" w:rsidP="0043093E">
      <w:pPr>
        <w:pStyle w:val="JuHA"/>
      </w:pPr>
      <w:r w:rsidRPr="00C37650">
        <w:rPr>
          <w:lang w:val="pl"/>
        </w:rPr>
        <w:t>Szkody</w:t>
      </w:r>
    </w:p>
    <w:p w14:paraId="2110E683" w14:textId="1108C307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63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Na dzień 15 grudnia 2014 r. skarżący domaga</w:t>
      </w:r>
      <w:r w:rsidR="00C57440" w:rsidRPr="00C37650">
        <w:rPr>
          <w:lang w:val="pl"/>
        </w:rPr>
        <w:t>ł</w:t>
      </w:r>
      <w:r w:rsidRPr="00C37650">
        <w:rPr>
          <w:lang w:val="pl"/>
        </w:rPr>
        <w:t xml:space="preserve"> się łącznie 153 200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tytułem poniesionej przez niego szkody materialnej, przy czym kwota ta odpowiada różnicy między zajętą kwotą a minimalną grzywną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wysokości 600 </w:t>
      </w:r>
      <w:r w:rsidR="0093515F" w:rsidRPr="00C37650">
        <w:rPr>
          <w:lang w:val="pl"/>
        </w:rPr>
        <w:t>EUR</w:t>
      </w:r>
      <w:r w:rsidR="00D04AF3" w:rsidRPr="00C37650">
        <w:rPr>
          <w:lang w:val="pl"/>
        </w:rPr>
        <w:t>, którą w każdym razie byłoby zagrożone poważne wykroczenie na podstawie ustawy</w:t>
      </w:r>
      <w:r w:rsidRPr="00C37650">
        <w:rPr>
          <w:lang w:val="pl"/>
        </w:rPr>
        <w:t>.</w:t>
      </w:r>
    </w:p>
    <w:p w14:paraId="2067E4F1" w14:textId="361153D1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64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Ponadto, tytułem </w:t>
      </w:r>
      <w:r w:rsidR="00D04AF3" w:rsidRPr="00C37650">
        <w:rPr>
          <w:lang w:val="pl"/>
        </w:rPr>
        <w:t xml:space="preserve">rzekomo poniesionej szkody </w:t>
      </w:r>
      <w:r w:rsidRPr="00C37650">
        <w:rPr>
          <w:lang w:val="pl"/>
        </w:rPr>
        <w:t>niemajątkowej, skarżący domaga</w:t>
      </w:r>
      <w:r w:rsidR="00D04AF3" w:rsidRPr="00C37650">
        <w:rPr>
          <w:lang w:val="pl"/>
        </w:rPr>
        <w:t>ł</w:t>
      </w:r>
      <w:r w:rsidRPr="00C37650">
        <w:rPr>
          <w:lang w:val="pl"/>
        </w:rPr>
        <w:t xml:space="preserve"> się 13</w:t>
      </w:r>
      <w:r w:rsidR="007F2CD6" w:rsidRPr="00C37650">
        <w:rPr>
          <w:lang w:val="pl"/>
        </w:rPr>
        <w:t xml:space="preserve"> </w:t>
      </w:r>
      <w:r w:rsidRPr="00C37650">
        <w:rPr>
          <w:lang w:val="pl"/>
        </w:rPr>
        <w:t xml:space="preserve">788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za każdy rok, który upłynął pomiędzy zaskarżonym zajęciem a wydaniem wyroku przez Trybunał. Z tego tytułu domaga</w:t>
      </w:r>
      <w:r w:rsidR="00D04AF3" w:rsidRPr="00C37650">
        <w:rPr>
          <w:lang w:val="pl"/>
        </w:rPr>
        <w:t>ł</w:t>
      </w:r>
      <w:r w:rsidRPr="00C37650">
        <w:rPr>
          <w:lang w:val="pl"/>
        </w:rPr>
        <w:t xml:space="preserve"> się on łącznie kwoty 124 092 </w:t>
      </w:r>
      <w:r w:rsidR="0093515F" w:rsidRPr="00C37650">
        <w:rPr>
          <w:lang w:val="pl"/>
        </w:rPr>
        <w:t>EUR</w:t>
      </w:r>
      <w:r w:rsidRPr="00C37650">
        <w:rPr>
          <w:lang w:val="pl"/>
        </w:rPr>
        <w:t>, w oparciu o zastosowanie rocznej stopy procentowej w wysokości 9 % od pierwotnej kwoty żądanej z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tytułu szkody materialnej (153 200 </w:t>
      </w:r>
      <w:r w:rsidR="0093515F" w:rsidRPr="00C37650">
        <w:rPr>
          <w:lang w:val="pl"/>
        </w:rPr>
        <w:t>EUR</w:t>
      </w:r>
      <w:r w:rsidRPr="00C37650">
        <w:rPr>
          <w:lang w:val="pl"/>
        </w:rPr>
        <w:t>).</w:t>
      </w:r>
    </w:p>
    <w:p w14:paraId="4CC6B19D" w14:textId="58CF3A40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lastRenderedPageBreak/>
        <w:t>65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="00D04AF3" w:rsidRPr="00C37650">
        <w:rPr>
          <w:lang w:val="pl"/>
        </w:rPr>
        <w:t>Rząd kwestionował</w:t>
      </w:r>
      <w:r w:rsidRPr="00C37650">
        <w:rPr>
          <w:lang w:val="pl"/>
        </w:rPr>
        <w:t xml:space="preserve"> te kwoty. Podniósł, że nie ma związku przyczynowego między zarzucanym naruszeniem a rzekomą szkodą</w:t>
      </w:r>
      <w:r w:rsidR="00F4148F" w:rsidRPr="00C37650">
        <w:rPr>
          <w:lang w:val="pl"/>
        </w:rPr>
        <w:t>,</w:t>
      </w:r>
      <w:r w:rsidRPr="00C37650">
        <w:rPr>
          <w:lang w:val="pl"/>
        </w:rPr>
        <w:t xml:space="preserve"> i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stwierdził, że stwierdzenie naruszenia powołanego przepisu nie oznacza w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ogóle, że w przypadku </w:t>
      </w:r>
      <w:r w:rsidR="00F4148F" w:rsidRPr="00C37650">
        <w:rPr>
          <w:lang w:val="pl"/>
        </w:rPr>
        <w:t xml:space="preserve">rozpatrzenia </w:t>
      </w:r>
      <w:r w:rsidRPr="00C37650">
        <w:rPr>
          <w:lang w:val="pl"/>
        </w:rPr>
        <w:t>przez drugą instancję skarżący zostałby uniewinniony, a nałożona kara uchylona. Rząd zwrócił się zatem do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Trybunału o uznanie, że samo stwierdzenie naruszenia stanowi wystarczające </w:t>
      </w:r>
      <w:r w:rsidR="00F4148F" w:rsidRPr="00C37650">
        <w:rPr>
          <w:lang w:val="pl"/>
        </w:rPr>
        <w:t xml:space="preserve">słuszne </w:t>
      </w:r>
      <w:r w:rsidRPr="00C37650">
        <w:rPr>
          <w:lang w:val="pl"/>
        </w:rPr>
        <w:t>zadośćuczynienie.</w:t>
      </w:r>
    </w:p>
    <w:p w14:paraId="7D98B97C" w14:textId="142DCFD8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66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Trybunał zauważa, że jedyną podstawą do przyznania słusznego zadośćuczynienia w niniejszej sprawie jest fakt, że skarżący nie mógł korzystać z gwarancji </w:t>
      </w:r>
      <w:r w:rsidR="00F4148F" w:rsidRPr="00C37650">
        <w:rPr>
          <w:lang w:val="pl"/>
        </w:rPr>
        <w:t xml:space="preserve">przewidzianych przez </w:t>
      </w:r>
      <w:r w:rsidR="00C03AF0" w:rsidRPr="00C37650">
        <w:rPr>
          <w:lang w:val="pl"/>
        </w:rPr>
        <w:t>a</w:t>
      </w:r>
      <w:r w:rsidRPr="00C37650">
        <w:rPr>
          <w:lang w:val="pl"/>
        </w:rPr>
        <w:t>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2 Protokołu nr 7 do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Konwencji. Trybunał nie może spekulować, jaki byłby wynik procesu, </w:t>
      </w:r>
      <w:r w:rsidR="00F4148F" w:rsidRPr="00C37650">
        <w:rPr>
          <w:lang w:val="pl"/>
        </w:rPr>
        <w:t xml:space="preserve">gdyby skarżącemu przyznano korzystanie z tych gwarancji, </w:t>
      </w:r>
      <w:r w:rsidRPr="00C37650">
        <w:rPr>
          <w:lang w:val="pl"/>
        </w:rPr>
        <w:t>ale nie u</w:t>
      </w:r>
      <w:r w:rsidR="00B85D65" w:rsidRPr="00C37650">
        <w:rPr>
          <w:lang w:val="pl"/>
        </w:rPr>
        <w:t>waża, by</w:t>
      </w:r>
      <w:r w:rsidR="00D51CC3" w:rsidRPr="00C37650">
        <w:rPr>
          <w:lang w:val="pl"/>
        </w:rPr>
        <w:t> </w:t>
      </w:r>
      <w:r w:rsidR="00B85D65" w:rsidRPr="00C37650">
        <w:rPr>
          <w:lang w:val="pl"/>
        </w:rPr>
        <w:t>nieuzasadnione było założenie</w:t>
      </w:r>
      <w:r w:rsidRPr="00C37650">
        <w:rPr>
          <w:lang w:val="pl"/>
        </w:rPr>
        <w:t>, że skarżący doznał rzeczywistej utraty szans</w:t>
      </w:r>
      <w:r w:rsidR="00F4148F" w:rsidRPr="00C37650">
        <w:rPr>
          <w:lang w:val="pl"/>
        </w:rPr>
        <w:t xml:space="preserve">y i szkody niemajątkowej, </w:t>
      </w:r>
      <w:r w:rsidR="00E25E1C" w:rsidRPr="00C37650">
        <w:rPr>
          <w:lang w:val="pl"/>
        </w:rPr>
        <w:t xml:space="preserve">do </w:t>
      </w:r>
      <w:r w:rsidR="00F4148F" w:rsidRPr="00C37650">
        <w:rPr>
          <w:lang w:val="pl"/>
        </w:rPr>
        <w:t>któr</w:t>
      </w:r>
      <w:r w:rsidR="00B85D65" w:rsidRPr="00C37650">
        <w:rPr>
          <w:lang w:val="pl"/>
        </w:rPr>
        <w:t>ych</w:t>
      </w:r>
      <w:r w:rsidR="00F4148F" w:rsidRPr="00C37650">
        <w:rPr>
          <w:lang w:val="pl"/>
        </w:rPr>
        <w:t xml:space="preserve"> naprawi</w:t>
      </w:r>
      <w:r w:rsidR="00E25E1C" w:rsidRPr="00C37650">
        <w:rPr>
          <w:lang w:val="pl"/>
        </w:rPr>
        <w:t>enia nie wystarczy</w:t>
      </w:r>
      <w:r w:rsidR="00F4148F" w:rsidRPr="00C37650">
        <w:rPr>
          <w:lang w:val="pl"/>
        </w:rPr>
        <w:t xml:space="preserve"> stwierdzenie </w:t>
      </w:r>
      <w:r w:rsidRPr="00C37650">
        <w:rPr>
          <w:lang w:val="pl"/>
        </w:rPr>
        <w:t xml:space="preserve">naruszenia zawarte w niniejszym wyroku </w:t>
      </w:r>
      <w:r w:rsidRPr="00C37650">
        <w:rPr>
          <w:iCs/>
          <w:lang w:val="pl"/>
        </w:rPr>
        <w:t>(zob.</w:t>
      </w:r>
      <w:r w:rsidRPr="00C37650">
        <w:rPr>
          <w:i/>
          <w:iCs/>
          <w:lang w:val="pl"/>
        </w:rPr>
        <w:t xml:space="preserve"> Grecu przeciwko Rumunii</w:t>
      </w:r>
      <w:r w:rsidRPr="00C37650">
        <w:rPr>
          <w:lang w:val="pl"/>
        </w:rPr>
        <w:t>, nr 75101/01, § 90, 30 listopada 2006 r.).</w:t>
      </w:r>
    </w:p>
    <w:p w14:paraId="6710C800" w14:textId="721156F3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67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="00B85D65" w:rsidRPr="00C37650">
        <w:rPr>
          <w:lang w:val="pl"/>
        </w:rPr>
        <w:t xml:space="preserve">W opinii Trybunału </w:t>
      </w:r>
      <w:r w:rsidRPr="00C37650">
        <w:rPr>
          <w:lang w:val="pl"/>
        </w:rPr>
        <w:t>najwłaściwszą formą zadośćuczynienia jest przywrócenie skarżącego w jak największym stopniu do pozycji, w jakiej znajdowałby się, gdyby nie doszło do naruszenia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2 Protokołu nr 7</w:t>
      </w:r>
      <w:r w:rsidR="00E25E1C" w:rsidRPr="00C37650">
        <w:rPr>
          <w:lang w:val="pl"/>
        </w:rPr>
        <w:t xml:space="preserve"> </w:t>
      </w:r>
      <w:r w:rsidRPr="00C37650">
        <w:rPr>
          <w:iCs/>
          <w:lang w:val="pl"/>
        </w:rPr>
        <w:t>(</w:t>
      </w:r>
      <w:r w:rsidR="00B85D65" w:rsidRPr="00C37650">
        <w:rPr>
          <w:iCs/>
          <w:lang w:val="pl"/>
        </w:rPr>
        <w:t>zob.</w:t>
      </w:r>
      <w:r w:rsidR="00D51CC3" w:rsidRPr="00C37650">
        <w:rPr>
          <w:i/>
          <w:iCs/>
          <w:lang w:val="pl"/>
        </w:rPr>
        <w:t> </w:t>
      </w:r>
      <w:proofErr w:type="spellStart"/>
      <w:r w:rsidRPr="00C37650">
        <w:rPr>
          <w:i/>
          <w:iCs/>
          <w:lang w:val="pl"/>
        </w:rPr>
        <w:t>Atutxa</w:t>
      </w:r>
      <w:proofErr w:type="spellEnd"/>
      <w:r w:rsidRPr="00C37650">
        <w:rPr>
          <w:i/>
          <w:iCs/>
          <w:lang w:val="pl"/>
        </w:rPr>
        <w:t xml:space="preserve"> </w:t>
      </w:r>
      <w:proofErr w:type="spellStart"/>
      <w:r w:rsidRPr="00C37650">
        <w:rPr>
          <w:i/>
          <w:iCs/>
          <w:lang w:val="pl"/>
        </w:rPr>
        <w:t>Mendiola</w:t>
      </w:r>
      <w:proofErr w:type="spellEnd"/>
      <w:r w:rsidRPr="00C37650">
        <w:rPr>
          <w:i/>
          <w:iCs/>
          <w:lang w:val="pl"/>
        </w:rPr>
        <w:t xml:space="preserve"> i </w:t>
      </w:r>
      <w:r w:rsidR="0093515F" w:rsidRPr="00C37650">
        <w:rPr>
          <w:i/>
          <w:iCs/>
          <w:lang w:val="pl"/>
        </w:rPr>
        <w:t xml:space="preserve">Inni </w:t>
      </w:r>
      <w:r w:rsidRPr="00C37650">
        <w:rPr>
          <w:i/>
          <w:iCs/>
          <w:lang w:val="pl"/>
        </w:rPr>
        <w:t>przeciwko Hiszpanii</w:t>
      </w:r>
      <w:r w:rsidRPr="00C37650">
        <w:rPr>
          <w:lang w:val="pl"/>
        </w:rPr>
        <w:t>, nr 41427/14, §§ 50-52, 13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czerwca 2017 r.). </w:t>
      </w:r>
      <w:proofErr w:type="spellStart"/>
      <w:r w:rsidRPr="00C37650">
        <w:rPr>
          <w:i/>
          <w:iCs/>
          <w:lang w:val="pl"/>
        </w:rPr>
        <w:t>Tétériny</w:t>
      </w:r>
      <w:proofErr w:type="spellEnd"/>
      <w:r w:rsidRPr="00C37650">
        <w:rPr>
          <w:i/>
          <w:iCs/>
          <w:lang w:val="pl"/>
        </w:rPr>
        <w:t xml:space="preserve"> przeciwko Rosji</w:t>
      </w:r>
      <w:r w:rsidRPr="00C37650">
        <w:rPr>
          <w:lang w:val="pl"/>
        </w:rPr>
        <w:t xml:space="preserve">, nr 11931/03, § 56, 30 czerwca 2005 r., </w:t>
      </w:r>
      <w:proofErr w:type="spellStart"/>
      <w:r w:rsidRPr="00C37650">
        <w:rPr>
          <w:i/>
          <w:iCs/>
          <w:lang w:val="pl"/>
        </w:rPr>
        <w:t>Jeličić</w:t>
      </w:r>
      <w:proofErr w:type="spellEnd"/>
      <w:r w:rsidRPr="00C37650">
        <w:rPr>
          <w:i/>
          <w:iCs/>
          <w:lang w:val="pl"/>
        </w:rPr>
        <w:t xml:space="preserve"> przeciwko Bośni i Hercegowinie</w:t>
      </w:r>
      <w:r w:rsidRPr="00C37650">
        <w:rPr>
          <w:lang w:val="pl"/>
        </w:rPr>
        <w:t xml:space="preserve">, nr 41183/02, § 53, ETPC 2006-XII, oraz </w:t>
      </w:r>
      <w:proofErr w:type="spellStart"/>
      <w:r w:rsidRPr="00C37650">
        <w:rPr>
          <w:i/>
          <w:iCs/>
          <w:lang w:val="pl"/>
        </w:rPr>
        <w:t>Mehmet</w:t>
      </w:r>
      <w:proofErr w:type="spellEnd"/>
      <w:r w:rsidRPr="00C37650">
        <w:rPr>
          <w:i/>
          <w:iCs/>
          <w:lang w:val="pl"/>
        </w:rPr>
        <w:t xml:space="preserve"> i Suna </w:t>
      </w:r>
      <w:proofErr w:type="spellStart"/>
      <w:r w:rsidRPr="00C37650">
        <w:rPr>
          <w:i/>
          <w:iCs/>
          <w:lang w:val="pl"/>
        </w:rPr>
        <w:t>Yiğit</w:t>
      </w:r>
      <w:proofErr w:type="spellEnd"/>
      <w:r w:rsidRPr="00C37650">
        <w:rPr>
          <w:i/>
          <w:iCs/>
          <w:lang w:val="pl"/>
        </w:rPr>
        <w:t xml:space="preserve"> przeciwko Turcji</w:t>
      </w:r>
      <w:r w:rsidRPr="00C37650">
        <w:rPr>
          <w:lang w:val="pl"/>
        </w:rPr>
        <w:t>, nr 52658/99, § 47, 17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lipca 2007 r.). Uważa, że zasada ta ma zastosowanie w</w:t>
      </w:r>
      <w:r w:rsidR="00B85D65" w:rsidRPr="00C37650">
        <w:rPr>
          <w:lang w:val="pl"/>
        </w:rPr>
        <w:t xml:space="preserve"> niniejszej sprawie</w:t>
      </w:r>
      <w:r w:rsidRPr="00C37650">
        <w:rPr>
          <w:lang w:val="pl"/>
        </w:rPr>
        <w:t>.</w:t>
      </w:r>
    </w:p>
    <w:p w14:paraId="09D58EE1" w14:textId="760D49DA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68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Ponadto, mając na uwadze okoliczności sprawy i orzekając na zasadzie słuszności, zgodnie z wymogami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41 Konwencji, Trybunał uważa za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stosowne przyznać skarżącemu kwotę 9600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z tytułu szkody niemajątkowej.</w:t>
      </w:r>
    </w:p>
    <w:p w14:paraId="60D71046" w14:textId="77777777" w:rsidR="009A7E81" w:rsidRPr="00C37650" w:rsidRDefault="009A7E81" w:rsidP="0043093E">
      <w:pPr>
        <w:pStyle w:val="JuHA"/>
      </w:pPr>
      <w:r w:rsidRPr="00C37650">
        <w:rPr>
          <w:lang w:val="pl"/>
        </w:rPr>
        <w:t>Koszty i wydatki</w:t>
      </w:r>
    </w:p>
    <w:p w14:paraId="359832A9" w14:textId="08FBD881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69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Skarżący domaga</w:t>
      </w:r>
      <w:r w:rsidR="00B85D65" w:rsidRPr="00C37650">
        <w:rPr>
          <w:lang w:val="pl"/>
        </w:rPr>
        <w:t>ł</w:t>
      </w:r>
      <w:r w:rsidRPr="00C37650">
        <w:rPr>
          <w:lang w:val="pl"/>
        </w:rPr>
        <w:t xml:space="preserve"> się również 20</w:t>
      </w:r>
      <w:r w:rsidR="007F2CD6" w:rsidRPr="00C37650">
        <w:rPr>
          <w:lang w:val="pl"/>
        </w:rPr>
        <w:t xml:space="preserve"> </w:t>
      </w:r>
      <w:r w:rsidRPr="00C37650">
        <w:rPr>
          <w:lang w:val="pl"/>
        </w:rPr>
        <w:t xml:space="preserve">678,73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tytułem kosztów i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wydatków poniesionych przed sądami krajowymi oraz 3</w:t>
      </w:r>
      <w:r w:rsidR="0093515F" w:rsidRPr="00C37650">
        <w:rPr>
          <w:lang w:val="pl"/>
        </w:rPr>
        <w:t>00</w:t>
      </w:r>
      <w:r w:rsidR="00D065BC" w:rsidRPr="00C37650">
        <w:rPr>
          <w:lang w:val="pl"/>
        </w:rPr>
        <w:t>0</w:t>
      </w:r>
      <w:r w:rsidRPr="00C37650">
        <w:rPr>
          <w:lang w:val="pl"/>
        </w:rPr>
        <w:t xml:space="preserve">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tytułem kosztów i wydatków poniesionych przed Trybunałem.</w:t>
      </w:r>
    </w:p>
    <w:p w14:paraId="2ADC4015" w14:textId="1306230A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70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Rząd uważa</w:t>
      </w:r>
      <w:r w:rsidR="00B85D65" w:rsidRPr="00C37650">
        <w:rPr>
          <w:lang w:val="pl"/>
        </w:rPr>
        <w:t>ł</w:t>
      </w:r>
      <w:r w:rsidRPr="00C37650">
        <w:rPr>
          <w:lang w:val="pl"/>
        </w:rPr>
        <w:t>, że tylko koszty związane z wniesieniem skargi do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Trybunału mogą być brane pod uwagę, </w:t>
      </w:r>
      <w:r w:rsidR="00D065BC" w:rsidRPr="00C37650">
        <w:rPr>
          <w:lang w:val="pl"/>
        </w:rPr>
        <w:t>ponieważ koszty postępowania krajowego były</w:t>
      </w:r>
      <w:r w:rsidRPr="00C37650">
        <w:rPr>
          <w:lang w:val="pl"/>
        </w:rPr>
        <w:t>, jego zdaniem, nie</w:t>
      </w:r>
      <w:r w:rsidR="00D065BC" w:rsidRPr="00C37650">
        <w:rPr>
          <w:lang w:val="pl"/>
        </w:rPr>
        <w:t xml:space="preserve">związane ze </w:t>
      </w:r>
      <w:r w:rsidRPr="00C37650">
        <w:rPr>
          <w:lang w:val="pl"/>
        </w:rPr>
        <w:t>stwierdz</w:t>
      </w:r>
      <w:r w:rsidR="00D065BC" w:rsidRPr="00C37650">
        <w:rPr>
          <w:lang w:val="pl"/>
        </w:rPr>
        <w:t>onym naruszeniem</w:t>
      </w:r>
      <w:r w:rsidRPr="00C37650">
        <w:rPr>
          <w:lang w:val="pl"/>
        </w:rPr>
        <w:t>.</w:t>
      </w:r>
    </w:p>
    <w:p w14:paraId="5E93326E" w14:textId="59547070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71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Zgodnie z orzecznictwem Trybunału, skarżący może uzyskać zwrot poniesionych przez siebie kosztów i wydatków tylko w razie</w:t>
      </w:r>
      <w:r w:rsidR="00D065BC" w:rsidRPr="00C37650">
        <w:rPr>
          <w:lang w:val="pl"/>
        </w:rPr>
        <w:t xml:space="preserve"> wykazania</w:t>
      </w:r>
      <w:r w:rsidRPr="00C37650">
        <w:rPr>
          <w:lang w:val="pl"/>
        </w:rPr>
        <w:t>, że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zostały one rzeczywiście poniesione, że były konieczne, a ich </w:t>
      </w:r>
      <w:r w:rsidR="00D065BC" w:rsidRPr="00C37650">
        <w:rPr>
          <w:lang w:val="pl"/>
        </w:rPr>
        <w:t xml:space="preserve">wysokość </w:t>
      </w:r>
      <w:r w:rsidRPr="00C37650">
        <w:rPr>
          <w:lang w:val="pl"/>
        </w:rPr>
        <w:t>była uzasadniona. W niniejszej sprawie, w świetle dostępnych dokumentów i swojego orzecznictwa, Trybunał jest zdania, że jedynie koszty związane z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wniesieniem skargi konstytucyjnej </w:t>
      </w:r>
      <w:proofErr w:type="spellStart"/>
      <w:r w:rsidRPr="00C37650">
        <w:rPr>
          <w:i/>
          <w:iCs/>
          <w:lang w:val="pl"/>
        </w:rPr>
        <w:t>amparo</w:t>
      </w:r>
      <w:proofErr w:type="spellEnd"/>
      <w:r w:rsidRPr="00C37650">
        <w:rPr>
          <w:i/>
          <w:iCs/>
          <w:lang w:val="pl"/>
        </w:rPr>
        <w:t xml:space="preserve"> </w:t>
      </w:r>
      <w:r w:rsidRPr="00C37650">
        <w:rPr>
          <w:lang w:val="pl"/>
        </w:rPr>
        <w:t xml:space="preserve">do Trybunału Konstytucyjnego </w:t>
      </w:r>
      <w:r w:rsidRPr="00C37650">
        <w:rPr>
          <w:lang w:val="pl"/>
        </w:rPr>
        <w:lastRenderedPageBreak/>
        <w:t>oraz koszty związane z wniesieniem niniejszej skargi mogą być uznane za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poniesione w związku ze stwierdz</w:t>
      </w:r>
      <w:r w:rsidR="00D065BC" w:rsidRPr="00C37650">
        <w:rPr>
          <w:lang w:val="pl"/>
        </w:rPr>
        <w:t>onym naruszeniem</w:t>
      </w:r>
      <w:r w:rsidRPr="00C37650">
        <w:rPr>
          <w:lang w:val="pl"/>
        </w:rPr>
        <w:t>.</w:t>
      </w:r>
    </w:p>
    <w:p w14:paraId="500286C5" w14:textId="2814393E" w:rsidR="009A7E81" w:rsidRPr="00C37650" w:rsidRDefault="009A7E81" w:rsidP="0043093E">
      <w:pPr>
        <w:pStyle w:val="JuPara"/>
        <w:rPr>
          <w:lang w:val="pl-PL"/>
        </w:rPr>
      </w:pPr>
      <w:r w:rsidRPr="00C37650">
        <w:rPr>
          <w:noProof/>
          <w:lang w:val="pl"/>
        </w:rPr>
        <w:t>72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 xml:space="preserve">Dlatego też </w:t>
      </w:r>
      <w:r w:rsidR="00D065BC" w:rsidRPr="00C37650">
        <w:rPr>
          <w:lang w:val="pl"/>
        </w:rPr>
        <w:t xml:space="preserve">Trybunał </w:t>
      </w:r>
      <w:r w:rsidRPr="00C37650">
        <w:rPr>
          <w:lang w:val="pl"/>
        </w:rPr>
        <w:t xml:space="preserve">uważa za zasadne zasądzenie na rzecz skarżącego kwoty 2000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 xml:space="preserve">za postępowanie krajowe i 3000 </w:t>
      </w:r>
      <w:r w:rsidR="0093515F" w:rsidRPr="00C37650">
        <w:rPr>
          <w:lang w:val="pl"/>
        </w:rPr>
        <w:t xml:space="preserve">EUR </w:t>
      </w:r>
      <w:r w:rsidRPr="00C37650">
        <w:rPr>
          <w:lang w:val="pl"/>
        </w:rPr>
        <w:t>za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postępowanie przed nim.</w:t>
      </w:r>
    </w:p>
    <w:p w14:paraId="0BF9011F" w14:textId="77777777" w:rsidR="009A7E81" w:rsidRPr="00C37650" w:rsidRDefault="009A7E81" w:rsidP="0043093E">
      <w:pPr>
        <w:pStyle w:val="JuHA"/>
      </w:pPr>
      <w:r w:rsidRPr="00C37650">
        <w:rPr>
          <w:lang w:val="pl"/>
        </w:rPr>
        <w:t>Odsetki za zwłokę</w:t>
      </w:r>
    </w:p>
    <w:p w14:paraId="6AACB5A9" w14:textId="101E1CB0" w:rsidR="009A7E81" w:rsidRPr="00C37650" w:rsidRDefault="009A7E81" w:rsidP="0043093E">
      <w:pPr>
        <w:pStyle w:val="JuPara"/>
        <w:rPr>
          <w:rFonts w:eastAsia="Times New Roman"/>
          <w:lang w:val="pl-PL"/>
        </w:rPr>
      </w:pPr>
      <w:r w:rsidRPr="00C37650">
        <w:rPr>
          <w:noProof/>
          <w:lang w:val="pl"/>
        </w:rPr>
        <w:t>73</w:t>
      </w:r>
      <w:r w:rsidRPr="00C37650">
        <w:rPr>
          <w:lang w:val="pl"/>
        </w:rPr>
        <w:t>.</w:t>
      </w:r>
      <w:r w:rsidR="0093515F" w:rsidRPr="00C37650">
        <w:rPr>
          <w:lang w:val="pl"/>
        </w:rPr>
        <w:t xml:space="preserve"> </w:t>
      </w:r>
      <w:r w:rsidRPr="00C37650">
        <w:rPr>
          <w:lang w:val="pl"/>
        </w:rPr>
        <w:t>Trybunał uważa za właściwe</w:t>
      </w:r>
      <w:r w:rsidR="00D065BC" w:rsidRPr="00C37650">
        <w:rPr>
          <w:lang w:val="pl"/>
        </w:rPr>
        <w:t>,</w:t>
      </w:r>
      <w:r w:rsidRPr="00C37650">
        <w:rPr>
          <w:lang w:val="pl"/>
        </w:rPr>
        <w:t xml:space="preserve"> </w:t>
      </w:r>
      <w:r w:rsidR="00D065BC" w:rsidRPr="00C37650">
        <w:rPr>
          <w:lang w:val="pl"/>
        </w:rPr>
        <w:t>aby odsetki za zwłokę były oparte na</w:t>
      </w:r>
      <w:r w:rsidR="00D51CC3" w:rsidRPr="00C37650">
        <w:rPr>
          <w:lang w:val="pl"/>
        </w:rPr>
        <w:t> </w:t>
      </w:r>
      <w:r w:rsidR="00D065BC" w:rsidRPr="00C37650">
        <w:rPr>
          <w:lang w:val="pl"/>
        </w:rPr>
        <w:t>marginalnej stopie procentowej Europejskiego Banku Centralnego, powiększonej o trzy punkty procentowe.</w:t>
      </w:r>
    </w:p>
    <w:p w14:paraId="7EC20575" w14:textId="0AFD3737" w:rsidR="009A7E81" w:rsidRPr="00C37650" w:rsidRDefault="00BA3768" w:rsidP="0043093E">
      <w:pPr>
        <w:pStyle w:val="JuHHead"/>
        <w:rPr>
          <w:lang w:val="pl-PL"/>
        </w:rPr>
      </w:pPr>
      <w:r w:rsidRPr="00C37650">
        <w:rPr>
          <w:lang w:val="pl-PL"/>
        </w:rPr>
        <w:t>Z TYCH WZGLĘDÓW TRYBUNAŁ JEDNOGŁOŚNIE</w:t>
      </w:r>
      <w:r w:rsidR="009A7E81" w:rsidRPr="00C37650">
        <w:rPr>
          <w:bCs w:val="0"/>
          <w:lang w:val="pl"/>
        </w:rPr>
        <w:t>,</w:t>
      </w:r>
    </w:p>
    <w:p w14:paraId="74585D60" w14:textId="77777777" w:rsidR="009A7E81" w:rsidRPr="00C37650" w:rsidRDefault="009A7E81" w:rsidP="0043093E">
      <w:pPr>
        <w:pStyle w:val="JuList"/>
      </w:pPr>
      <w:r w:rsidRPr="00C37650">
        <w:rPr>
          <w:i/>
          <w:iCs/>
          <w:lang w:val="pl"/>
        </w:rPr>
        <w:t>Uznaje</w:t>
      </w:r>
      <w:r w:rsidRPr="00C37650">
        <w:rPr>
          <w:lang w:val="pl"/>
        </w:rPr>
        <w:t xml:space="preserve"> skargę za dopuszczalną;</w:t>
      </w:r>
    </w:p>
    <w:p w14:paraId="7D032016" w14:textId="6E3F3DD6" w:rsidR="009A7E81" w:rsidRPr="00C37650" w:rsidRDefault="00BC0EB7" w:rsidP="0043093E">
      <w:pPr>
        <w:pStyle w:val="JuList"/>
        <w:rPr>
          <w:lang w:val="pl-PL"/>
        </w:rPr>
      </w:pPr>
      <w:r w:rsidRPr="00C37650">
        <w:rPr>
          <w:i/>
          <w:iCs/>
          <w:lang w:val="pl"/>
        </w:rPr>
        <w:t>Orzeka</w:t>
      </w:r>
      <w:r w:rsidR="009A7E81" w:rsidRPr="00C37650">
        <w:rPr>
          <w:lang w:val="pl"/>
        </w:rPr>
        <w:t>, że doszło do naruszenia art. 2 Protokołu nr 7 do Konwencji;</w:t>
      </w:r>
    </w:p>
    <w:p w14:paraId="7BF2E1B4" w14:textId="7648B9C6" w:rsidR="009A7E81" w:rsidRPr="00C37650" w:rsidRDefault="00BC0EB7" w:rsidP="0043093E">
      <w:pPr>
        <w:pStyle w:val="JuList"/>
      </w:pPr>
      <w:r w:rsidRPr="00C37650">
        <w:rPr>
          <w:i/>
        </w:rPr>
        <w:t>Orzeka</w:t>
      </w:r>
    </w:p>
    <w:p w14:paraId="2FC99E05" w14:textId="7770554D" w:rsidR="009A7E81" w:rsidRPr="00C37650" w:rsidRDefault="009A7E81" w:rsidP="0043093E">
      <w:pPr>
        <w:pStyle w:val="JuLista"/>
        <w:rPr>
          <w:lang w:val="pl-PL"/>
        </w:rPr>
      </w:pPr>
      <w:r w:rsidRPr="00C37650">
        <w:rPr>
          <w:lang w:val="pl"/>
        </w:rPr>
        <w:t xml:space="preserve">że pozwane Państwo </w:t>
      </w:r>
      <w:r w:rsidR="00BC0EB7" w:rsidRPr="00C37650">
        <w:rPr>
          <w:lang w:val="pl"/>
        </w:rPr>
        <w:t xml:space="preserve">winno </w:t>
      </w:r>
      <w:r w:rsidRPr="00C37650">
        <w:rPr>
          <w:lang w:val="pl"/>
        </w:rPr>
        <w:t>zapłaci</w:t>
      </w:r>
      <w:r w:rsidR="00BC0EB7" w:rsidRPr="00C37650">
        <w:rPr>
          <w:lang w:val="pl"/>
        </w:rPr>
        <w:t>ć</w:t>
      </w:r>
      <w:r w:rsidRPr="00C37650">
        <w:rPr>
          <w:lang w:val="pl"/>
        </w:rPr>
        <w:t xml:space="preserve"> skarżącemu, w ciągu trzech miesięcy od dnia, w którym wyrok stanie się ostateczny zgodnie z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>art</w:t>
      </w:r>
      <w:r w:rsidR="00C03AF0" w:rsidRPr="00C37650">
        <w:rPr>
          <w:lang w:val="pl"/>
        </w:rPr>
        <w:t>.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44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2 Konwencji, następujące kwoty:</w:t>
      </w:r>
    </w:p>
    <w:p w14:paraId="64BFE162" w14:textId="2B856DB9" w:rsidR="009A7E81" w:rsidRPr="00C37650" w:rsidRDefault="009A7E81" w:rsidP="0043093E">
      <w:pPr>
        <w:pStyle w:val="JuListi"/>
        <w:rPr>
          <w:lang w:val="pl-PL"/>
        </w:rPr>
      </w:pPr>
      <w:r w:rsidRPr="00C37650">
        <w:rPr>
          <w:lang w:val="pl"/>
        </w:rPr>
        <w:t>9600 EUR (dziewięć tysięcy sześćset euro), plus ewentualne kwoty należne tytułem podatku, za szkodę niemajątkową;</w:t>
      </w:r>
    </w:p>
    <w:p w14:paraId="303655F4" w14:textId="3C038C44" w:rsidR="009A7E81" w:rsidRPr="00C37650" w:rsidRDefault="009A7E81" w:rsidP="0043093E">
      <w:pPr>
        <w:pStyle w:val="JuListi"/>
        <w:rPr>
          <w:lang w:val="pl-PL"/>
        </w:rPr>
      </w:pPr>
      <w:r w:rsidRPr="00C37650">
        <w:rPr>
          <w:lang w:val="pl"/>
        </w:rPr>
        <w:t xml:space="preserve">5000 EUR (pięć tysięcy euro), </w:t>
      </w:r>
      <w:r w:rsidR="00BC0EB7" w:rsidRPr="00C37650">
        <w:rPr>
          <w:lang w:val="pl"/>
        </w:rPr>
        <w:t>plus ewentualne kwoty należne tytułem podatku</w:t>
      </w:r>
      <w:r w:rsidRPr="00C37650">
        <w:rPr>
          <w:lang w:val="pl"/>
        </w:rPr>
        <w:t>, tytułem kosztów i wydatków;</w:t>
      </w:r>
    </w:p>
    <w:p w14:paraId="2F8C33F4" w14:textId="7F9A0112" w:rsidR="009A7E81" w:rsidRPr="00C37650" w:rsidRDefault="009A7E81" w:rsidP="00BC0EB7">
      <w:pPr>
        <w:pStyle w:val="JuLista"/>
        <w:rPr>
          <w:lang w:val="pl-PL"/>
        </w:rPr>
      </w:pPr>
      <w:r w:rsidRPr="00C37650">
        <w:rPr>
          <w:lang w:val="pl"/>
        </w:rPr>
        <w:t xml:space="preserve">że od upływu </w:t>
      </w:r>
      <w:r w:rsidR="00BC0EB7" w:rsidRPr="00C37650">
        <w:rPr>
          <w:lang w:val="pl"/>
        </w:rPr>
        <w:t>wyżej wskazanego terminu trzech miesięcy</w:t>
      </w:r>
      <w:r w:rsidR="00680C6C" w:rsidRPr="00C37650">
        <w:rPr>
          <w:lang w:val="pl"/>
        </w:rPr>
        <w:t xml:space="preserve"> aż</w:t>
      </w:r>
      <w:r w:rsidR="00BC0EB7" w:rsidRPr="00C37650">
        <w:rPr>
          <w:lang w:val="pl"/>
        </w:rPr>
        <w:t xml:space="preserve"> </w:t>
      </w:r>
      <w:r w:rsidRPr="00C37650">
        <w:rPr>
          <w:lang w:val="pl"/>
        </w:rPr>
        <w:t xml:space="preserve">do dnia </w:t>
      </w:r>
      <w:r w:rsidR="00680C6C" w:rsidRPr="00C37650">
        <w:rPr>
          <w:lang w:val="pl"/>
        </w:rPr>
        <w:t xml:space="preserve">płatności </w:t>
      </w:r>
      <w:r w:rsidR="00BC0EB7" w:rsidRPr="00C37650">
        <w:rPr>
          <w:lang w:val="pl"/>
        </w:rPr>
        <w:t xml:space="preserve">należne będą </w:t>
      </w:r>
      <w:r w:rsidRPr="00C37650">
        <w:rPr>
          <w:lang w:val="pl"/>
        </w:rPr>
        <w:t xml:space="preserve">odsetki </w:t>
      </w:r>
      <w:r w:rsidR="00BC0EB7" w:rsidRPr="00C37650">
        <w:rPr>
          <w:lang w:val="pl"/>
        </w:rPr>
        <w:t xml:space="preserve">zwykłe </w:t>
      </w:r>
      <w:r w:rsidR="00680C6C" w:rsidRPr="00C37650">
        <w:rPr>
          <w:lang w:val="pl"/>
        </w:rPr>
        <w:t xml:space="preserve">od określonych powyżej kwot, </w:t>
      </w:r>
      <w:r w:rsidR="00BC0EB7" w:rsidRPr="00C37650">
        <w:rPr>
          <w:lang w:val="pl"/>
        </w:rPr>
        <w:t xml:space="preserve">naliczone </w:t>
      </w:r>
      <w:r w:rsidRPr="00C37650">
        <w:rPr>
          <w:lang w:val="pl"/>
        </w:rPr>
        <w:t xml:space="preserve">według stopy równej </w:t>
      </w:r>
      <w:r w:rsidR="00680C6C" w:rsidRPr="00C37650">
        <w:rPr>
          <w:lang w:val="pl"/>
        </w:rPr>
        <w:t xml:space="preserve">marginalnej </w:t>
      </w:r>
      <w:r w:rsidRPr="00C37650">
        <w:rPr>
          <w:lang w:val="pl"/>
        </w:rPr>
        <w:t>stopie procentow</w:t>
      </w:r>
      <w:r w:rsidR="00680C6C" w:rsidRPr="00C37650">
        <w:rPr>
          <w:lang w:val="pl"/>
        </w:rPr>
        <w:t>ej</w:t>
      </w:r>
      <w:r w:rsidRPr="00C37650">
        <w:rPr>
          <w:lang w:val="pl"/>
        </w:rPr>
        <w:t xml:space="preserve"> Europejskiego Banku Centralnego, </w:t>
      </w:r>
      <w:r w:rsidR="00680C6C" w:rsidRPr="00C37650">
        <w:rPr>
          <w:lang w:val="pl"/>
        </w:rPr>
        <w:t xml:space="preserve">obowiązującej </w:t>
      </w:r>
      <w:r w:rsidRPr="00C37650">
        <w:rPr>
          <w:lang w:val="pl"/>
        </w:rPr>
        <w:t>w tym okresie, powiększonej o trzy punkty procentowe;</w:t>
      </w:r>
    </w:p>
    <w:p w14:paraId="30B1E7F7" w14:textId="6660D8CD" w:rsidR="009A7E81" w:rsidRPr="00C37650" w:rsidRDefault="009A7E81" w:rsidP="0043093E">
      <w:pPr>
        <w:pStyle w:val="JuList"/>
        <w:rPr>
          <w:lang w:val="pl-PL"/>
        </w:rPr>
      </w:pPr>
      <w:r w:rsidRPr="00C37650">
        <w:rPr>
          <w:lang w:val="pl"/>
        </w:rPr>
        <w:t xml:space="preserve">W pozostałym zakresie </w:t>
      </w:r>
      <w:r w:rsidRPr="00C37650">
        <w:rPr>
          <w:i/>
          <w:iCs/>
          <w:lang w:val="pl"/>
        </w:rPr>
        <w:t>oddala</w:t>
      </w:r>
      <w:r w:rsidRPr="00C37650">
        <w:rPr>
          <w:lang w:val="pl"/>
        </w:rPr>
        <w:t xml:space="preserve"> </w:t>
      </w:r>
      <w:r w:rsidR="00680C6C" w:rsidRPr="00C37650">
        <w:rPr>
          <w:lang w:val="pl"/>
        </w:rPr>
        <w:t xml:space="preserve">roszczenie </w:t>
      </w:r>
      <w:r w:rsidRPr="00C37650">
        <w:rPr>
          <w:lang w:val="pl"/>
        </w:rPr>
        <w:t xml:space="preserve">o </w:t>
      </w:r>
      <w:r w:rsidR="00680C6C" w:rsidRPr="00C37650">
        <w:rPr>
          <w:lang w:val="pl"/>
        </w:rPr>
        <w:t xml:space="preserve">słuszne </w:t>
      </w:r>
      <w:r w:rsidRPr="00C37650">
        <w:rPr>
          <w:lang w:val="pl"/>
        </w:rPr>
        <w:t>zadośćuczynienie.</w:t>
      </w:r>
    </w:p>
    <w:p w14:paraId="341CBDC8" w14:textId="2C6A1088" w:rsidR="009A7E81" w:rsidRPr="00C37650" w:rsidRDefault="009A7E81" w:rsidP="0043093E">
      <w:pPr>
        <w:pStyle w:val="JuParaLast"/>
        <w:rPr>
          <w:lang w:val="pl-PL"/>
        </w:rPr>
      </w:pPr>
      <w:r w:rsidRPr="00C37650">
        <w:rPr>
          <w:lang w:val="pl"/>
        </w:rPr>
        <w:t>Sporządzono w języku francuskim i przekazano na piśmie w dniu 30</w:t>
      </w:r>
      <w:r w:rsidR="00D51CC3" w:rsidRPr="00C37650">
        <w:rPr>
          <w:lang w:val="pl"/>
        </w:rPr>
        <w:t> </w:t>
      </w:r>
      <w:r w:rsidRPr="00C37650">
        <w:rPr>
          <w:lang w:val="pl"/>
        </w:rPr>
        <w:t xml:space="preserve">czerwca 2020 r., zgodnie z </w:t>
      </w:r>
      <w:r w:rsidR="00405DD6" w:rsidRPr="00C37650">
        <w:rPr>
          <w:lang w:val="pl"/>
        </w:rPr>
        <w:t>Regułą</w:t>
      </w:r>
      <w:r w:rsidRPr="00C37650">
        <w:rPr>
          <w:lang w:val="pl"/>
        </w:rPr>
        <w:t xml:space="preserve"> 77 §§ 2 i 3 Regulaminu Trybunału.</w:t>
      </w:r>
    </w:p>
    <w:p w14:paraId="77D44140" w14:textId="7C0905FF" w:rsidR="009A7E81" w:rsidRPr="00C37650" w:rsidRDefault="009A7E81" w:rsidP="008A17DA">
      <w:pPr>
        <w:pStyle w:val="JuSigned"/>
        <w:rPr>
          <w:lang w:val="pl-PL"/>
        </w:rPr>
      </w:pPr>
      <w:r w:rsidRPr="00C37650">
        <w:rPr>
          <w:lang w:val="pl"/>
        </w:rPr>
        <w:tab/>
        <w:t xml:space="preserve">Milan </w:t>
      </w:r>
      <w:proofErr w:type="spellStart"/>
      <w:r w:rsidRPr="00C37650">
        <w:rPr>
          <w:rStyle w:val="JuJudgesChar"/>
          <w:lang w:val="pl"/>
        </w:rPr>
        <w:t>Blaško</w:t>
      </w:r>
      <w:proofErr w:type="spellEnd"/>
      <w:r w:rsidRPr="00C37650">
        <w:rPr>
          <w:lang w:val="pl"/>
        </w:rPr>
        <w:tab/>
        <w:t xml:space="preserve">Paul </w:t>
      </w:r>
      <w:proofErr w:type="spellStart"/>
      <w:r w:rsidRPr="00C37650">
        <w:rPr>
          <w:lang w:val="pl"/>
        </w:rPr>
        <w:t>Lemmens</w:t>
      </w:r>
      <w:proofErr w:type="spellEnd"/>
      <w:r w:rsidRPr="00C37650">
        <w:rPr>
          <w:lang w:val="pl"/>
        </w:rPr>
        <w:br/>
      </w:r>
      <w:r w:rsidRPr="00C37650">
        <w:rPr>
          <w:lang w:val="pl"/>
        </w:rPr>
        <w:tab/>
      </w:r>
      <w:r w:rsidR="00F42049" w:rsidRPr="00C37650">
        <w:rPr>
          <w:lang w:val="pl"/>
        </w:rPr>
        <w:t>Kanclerz</w:t>
      </w:r>
      <w:r w:rsidRPr="00C37650">
        <w:rPr>
          <w:lang w:val="pl"/>
        </w:rPr>
        <w:tab/>
        <w:t>Przewodniczący</w:t>
      </w:r>
    </w:p>
    <w:p w14:paraId="24D81941" w14:textId="2532BDA4" w:rsidR="009A7E81" w:rsidRPr="00C37650" w:rsidRDefault="009A7E81" w:rsidP="0043093E">
      <w:pPr>
        <w:pStyle w:val="JuParaLast"/>
        <w:rPr>
          <w:lang w:val="pl-PL"/>
        </w:rPr>
      </w:pPr>
      <w:r w:rsidRPr="00C37650">
        <w:rPr>
          <w:lang w:val="pl"/>
        </w:rPr>
        <w:lastRenderedPageBreak/>
        <w:t>Zgodnie z art</w:t>
      </w:r>
      <w:r w:rsidR="00C03AF0" w:rsidRPr="00C37650">
        <w:rPr>
          <w:lang w:val="pl"/>
        </w:rPr>
        <w:t>.</w:t>
      </w:r>
      <w:r w:rsidRPr="00C37650">
        <w:rPr>
          <w:lang w:val="pl"/>
        </w:rPr>
        <w:t xml:space="preserve"> 45 </w:t>
      </w:r>
      <w:r w:rsidR="00C03AF0" w:rsidRPr="00C37650">
        <w:rPr>
          <w:lang w:val="pl"/>
        </w:rPr>
        <w:t>ust.</w:t>
      </w:r>
      <w:r w:rsidRPr="00C37650">
        <w:rPr>
          <w:lang w:val="pl"/>
        </w:rPr>
        <w:t xml:space="preserve"> 2 Konwencji oraz </w:t>
      </w:r>
      <w:r w:rsidR="00680C6C" w:rsidRPr="00C37650">
        <w:rPr>
          <w:lang w:val="pl"/>
        </w:rPr>
        <w:t xml:space="preserve">Regułą </w:t>
      </w:r>
      <w:r w:rsidRPr="00C37650">
        <w:rPr>
          <w:lang w:val="pl"/>
        </w:rPr>
        <w:t xml:space="preserve">74 § 2 Regulaminu Trybunału, do niniejszego wyroku dołączona jest opinia odrębna sędziego </w:t>
      </w:r>
      <w:proofErr w:type="spellStart"/>
      <w:r w:rsidRPr="00C37650">
        <w:rPr>
          <w:lang w:val="pl"/>
        </w:rPr>
        <w:t>Lemmensa</w:t>
      </w:r>
      <w:proofErr w:type="spellEnd"/>
      <w:r w:rsidRPr="00C37650">
        <w:rPr>
          <w:lang w:val="pl"/>
        </w:rPr>
        <w:t>.</w:t>
      </w:r>
    </w:p>
    <w:p w14:paraId="114DA6C3" w14:textId="77777777" w:rsidR="009A7E81" w:rsidRPr="00C37650" w:rsidRDefault="009A7E81" w:rsidP="0043093E">
      <w:pPr>
        <w:pStyle w:val="JuInitialled"/>
        <w:rPr>
          <w:lang w:val="pl-PL"/>
        </w:rPr>
      </w:pPr>
      <w:proofErr w:type="spellStart"/>
      <w:r w:rsidRPr="00C37650">
        <w:rPr>
          <w:lang w:val="pl"/>
        </w:rPr>
        <w:t>P.L</w:t>
      </w:r>
      <w:proofErr w:type="spellEnd"/>
      <w:r w:rsidRPr="00C37650">
        <w:rPr>
          <w:lang w:val="pl"/>
        </w:rPr>
        <w:t>.</w:t>
      </w:r>
      <w:r w:rsidRPr="00C37650">
        <w:rPr>
          <w:lang w:val="pl"/>
        </w:rPr>
        <w:br/>
        <w:t>M.B.</w:t>
      </w:r>
      <w:r w:rsidRPr="00C37650">
        <w:rPr>
          <w:lang w:val="pl"/>
        </w:rPr>
        <w:br/>
      </w:r>
    </w:p>
    <w:p w14:paraId="6B0339A4" w14:textId="77777777" w:rsidR="009A7E81" w:rsidRPr="00C37650" w:rsidRDefault="009A7E81" w:rsidP="0043093E">
      <w:pPr>
        <w:pStyle w:val="JuInitialled"/>
        <w:jc w:val="center"/>
        <w:rPr>
          <w:lang w:val="pl-PL"/>
        </w:rPr>
        <w:sectPr w:rsidR="009A7E81" w:rsidRPr="00C37650" w:rsidSect="007E67A7">
          <w:headerReference w:type="even" r:id="rId17"/>
          <w:headerReference w:type="default" r:id="rId18"/>
          <w:footerReference w:type="default" r:id="rId19"/>
          <w:footnotePr>
            <w:numRestart w:val="eachSect"/>
          </w:footnotePr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14:paraId="75C72842" w14:textId="77777777" w:rsidR="009A7E81" w:rsidRPr="00C37650" w:rsidRDefault="009A7E81" w:rsidP="0043093E">
      <w:pPr>
        <w:pStyle w:val="DecHTitle"/>
        <w:rPr>
          <w:rFonts w:eastAsia="Times New Roman"/>
          <w:lang w:val="pl-PL"/>
        </w:rPr>
      </w:pPr>
      <w:r w:rsidRPr="00C37650">
        <w:rPr>
          <w:rFonts w:eastAsia="Times New Roman"/>
          <w:lang w:val="pl"/>
        </w:rPr>
        <w:lastRenderedPageBreak/>
        <w:t xml:space="preserve">OPINIA ZBIEŻNA SĘDZIEGO </w:t>
      </w:r>
      <w:proofErr w:type="spellStart"/>
      <w:r w:rsidRPr="00C37650">
        <w:rPr>
          <w:rFonts w:eastAsia="Times New Roman"/>
          <w:lang w:val="pl"/>
        </w:rPr>
        <w:t>LEMMENSA</w:t>
      </w:r>
      <w:proofErr w:type="spellEnd"/>
    </w:p>
    <w:p w14:paraId="4017F2B6" w14:textId="77777777" w:rsidR="008A17DA" w:rsidRPr="00C37650" w:rsidRDefault="008A17DA" w:rsidP="008A17DA">
      <w:pPr>
        <w:pStyle w:val="Akapitzlist"/>
        <w:numPr>
          <w:ilvl w:val="0"/>
          <w:numId w:val="18"/>
        </w:numPr>
        <w:jc w:val="center"/>
        <w:rPr>
          <w:i/>
        </w:rPr>
      </w:pPr>
      <w:r w:rsidRPr="00C37650">
        <w:rPr>
          <w:i/>
          <w:iCs/>
          <w:lang w:val="pl"/>
        </w:rPr>
        <w:t>[pominięto]</w:t>
      </w:r>
    </w:p>
    <w:p w14:paraId="1D4B2779" w14:textId="77777777" w:rsidR="009A7E81" w:rsidRPr="0043093E" w:rsidRDefault="009A7E81" w:rsidP="0043093E">
      <w:pPr>
        <w:pStyle w:val="JuPara"/>
        <w:rPr>
          <w:rFonts w:eastAsia="Times New Roman"/>
        </w:rPr>
      </w:pPr>
    </w:p>
    <w:p w14:paraId="4D849736" w14:textId="77777777" w:rsidR="00D255A2" w:rsidRPr="0043093E" w:rsidRDefault="00D255A2" w:rsidP="0043093E"/>
    <w:sectPr w:rsidR="00D255A2" w:rsidRPr="0043093E" w:rsidSect="009F6521">
      <w:headerReference w:type="even" r:id="rId20"/>
      <w:headerReference w:type="default" r:id="rId21"/>
      <w:footnotePr>
        <w:numRestart w:val="eachSect"/>
      </w:footnotePr>
      <w:pgSz w:w="11906" w:h="16838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7912E2" w14:textId="77777777" w:rsidR="0041554A" w:rsidRPr="007E5FBE" w:rsidRDefault="0041554A" w:rsidP="00E77CB3">
      <w:r>
        <w:separator/>
      </w:r>
    </w:p>
  </w:endnote>
  <w:endnote w:type="continuationSeparator" w:id="0">
    <w:p w14:paraId="6B0013FB" w14:textId="77777777" w:rsidR="0041554A" w:rsidRPr="007E5FBE" w:rsidRDefault="0041554A" w:rsidP="00E77CB3">
      <w:r>
        <w:continuationSeparator/>
      </w:r>
    </w:p>
  </w:endnote>
  <w:endnote w:type="continuationNotice" w:id="1">
    <w:p w14:paraId="3AA10137" w14:textId="77777777" w:rsidR="0041554A" w:rsidRDefault="0041554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82855176"/>
      <w:docPartObj>
        <w:docPartGallery w:val="Page Numbers (Bottom of Page)"/>
        <w:docPartUnique/>
      </w:docPartObj>
    </w:sdtPr>
    <w:sdtEndPr/>
    <w:sdtContent>
      <w:p w14:paraId="16148C64" w14:textId="4D092EB3" w:rsidR="00855611" w:rsidRDefault="00855611" w:rsidP="006606F0">
        <w:pPr>
          <w:pStyle w:val="Stopka"/>
        </w:pPr>
        <w:r>
          <w:rPr>
            <w:lang w:val="pl"/>
          </w:rPr>
          <w:tab/>
        </w:r>
        <w:r>
          <w:rPr>
            <w:sz w:val="18"/>
            <w:szCs w:val="18"/>
            <w:lang w:val="pl"/>
          </w:rPr>
          <w:fldChar w:fldCharType="begin"/>
        </w:r>
        <w:r>
          <w:rPr>
            <w:sz w:val="18"/>
            <w:szCs w:val="18"/>
            <w:lang w:val="pl"/>
          </w:rPr>
          <w:instrText xml:space="preserve"> PAGE </w:instrText>
        </w:r>
        <w:r>
          <w:rPr>
            <w:sz w:val="18"/>
            <w:szCs w:val="18"/>
            <w:lang w:val="pl"/>
          </w:rPr>
          <w:fldChar w:fldCharType="separate"/>
        </w:r>
        <w:r w:rsidR="00246BAD">
          <w:rPr>
            <w:noProof/>
            <w:sz w:val="18"/>
            <w:szCs w:val="18"/>
            <w:lang w:val="pl"/>
          </w:rPr>
          <w:t>14</w:t>
        </w:r>
        <w:r>
          <w:rPr>
            <w:sz w:val="18"/>
            <w:szCs w:val="18"/>
            <w:lang w:val="pl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</w:rPr>
      <w:id w:val="-2013440421"/>
      <w:docPartObj>
        <w:docPartGallery w:val="Page Numbers (Bottom of Page)"/>
        <w:docPartUnique/>
      </w:docPartObj>
    </w:sdtPr>
    <w:sdtEndPr>
      <w:rPr>
        <w:szCs w:val="18"/>
      </w:rPr>
    </w:sdtEndPr>
    <w:sdtContent>
      <w:p w14:paraId="05843195" w14:textId="77777777" w:rsidR="00855611" w:rsidRPr="00D01935" w:rsidRDefault="00855611" w:rsidP="00405220">
        <w:pPr>
          <w:pStyle w:val="JuHeader"/>
        </w:pPr>
        <w:r>
          <w:rPr>
            <w:lang w:val="pl"/>
          </w:rPr>
          <w:fldChar w:fldCharType="begin"/>
        </w:r>
        <w:r>
          <w:rPr>
            <w:lang w:val="pl"/>
          </w:rPr>
          <w:instrText xml:space="preserve"> PAGE </w:instrText>
        </w:r>
        <w:r>
          <w:rPr>
            <w:lang w:val="pl"/>
          </w:rPr>
          <w:fldChar w:fldCharType="separate"/>
        </w:r>
        <w:r>
          <w:rPr>
            <w:noProof/>
            <w:lang w:val="pl"/>
          </w:rPr>
          <w:t>1</w:t>
        </w:r>
        <w:r>
          <w:rPr>
            <w:lang w:val="pl"/>
          </w:rPr>
          <w:fldChar w:fldCharType="end"/>
        </w:r>
      </w:p>
      <w:p w14:paraId="3B6EC95E" w14:textId="77777777" w:rsidR="00855611" w:rsidRDefault="0041554A">
        <w:pPr>
          <w:pStyle w:val="Stopka"/>
        </w:pP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876889" w14:textId="77777777" w:rsidR="00855611" w:rsidRPr="00150BFA" w:rsidRDefault="00855611" w:rsidP="00F16820">
    <w:pPr>
      <w:jc w:val="center"/>
    </w:pPr>
    <w:r>
      <w:rPr>
        <w:noProof/>
        <w:lang w:val="pl-PL" w:eastAsia="pl-PL"/>
      </w:rPr>
      <w:drawing>
        <wp:inline distT="0" distB="0" distL="0" distR="0" wp14:anchorId="18F4C00E" wp14:editId="007895A2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77015705"/>
      <w:docPartObj>
        <w:docPartGallery w:val="Page Numbers (Bottom of Page)"/>
        <w:docPartUnique/>
      </w:docPartObj>
    </w:sdtPr>
    <w:sdtEndPr>
      <w:rPr>
        <w:szCs w:val="18"/>
      </w:rPr>
    </w:sdtEndPr>
    <w:sdtContent>
      <w:p w14:paraId="0EF0392B" w14:textId="70959877" w:rsidR="00855611" w:rsidRDefault="00855611" w:rsidP="00453F52">
        <w:pPr>
          <w:pStyle w:val="JuHeader"/>
        </w:pPr>
        <w:r>
          <w:rPr>
            <w:lang w:val="pl"/>
          </w:rPr>
          <w:fldChar w:fldCharType="begin"/>
        </w:r>
        <w:r>
          <w:rPr>
            <w:lang w:val="pl"/>
          </w:rPr>
          <w:instrText xml:space="preserve"> PAGE </w:instrText>
        </w:r>
        <w:r>
          <w:rPr>
            <w:lang w:val="pl"/>
          </w:rPr>
          <w:fldChar w:fldCharType="separate"/>
        </w:r>
        <w:r w:rsidR="00246BAD">
          <w:rPr>
            <w:noProof/>
            <w:lang w:val="pl"/>
          </w:rPr>
          <w:t>15</w:t>
        </w:r>
        <w:r>
          <w:rPr>
            <w:lang w:val="p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71CED8" w14:textId="77777777" w:rsidR="0041554A" w:rsidRPr="007E5FBE" w:rsidRDefault="0041554A" w:rsidP="00E77CB3">
      <w:r>
        <w:separator/>
      </w:r>
    </w:p>
  </w:footnote>
  <w:footnote w:type="continuationSeparator" w:id="0">
    <w:p w14:paraId="34E839A9" w14:textId="77777777" w:rsidR="0041554A" w:rsidRPr="007E5FBE" w:rsidRDefault="0041554A" w:rsidP="00E77CB3">
      <w:r>
        <w:continuationSeparator/>
      </w:r>
    </w:p>
  </w:footnote>
  <w:footnote w:type="continuationNotice" w:id="1">
    <w:p w14:paraId="240F205D" w14:textId="77777777" w:rsidR="0041554A" w:rsidRDefault="0041554A"/>
  </w:footnote>
  <w:footnote w:id="2">
    <w:p w14:paraId="4621584E" w14:textId="6D005E71" w:rsidR="00855611" w:rsidRPr="00CA01A0" w:rsidRDefault="00855611" w:rsidP="00087E79">
      <w:pPr>
        <w:pStyle w:val="s50c0b1c7"/>
        <w:jc w:val="both"/>
        <w:rPr>
          <w:lang w:val="pl-PL"/>
        </w:rPr>
      </w:pPr>
      <w:r w:rsidRPr="00886D6E">
        <w:rPr>
          <w:rStyle w:val="Odwoanieprzypisudolnego"/>
          <w:rFonts w:eastAsia="MS Gothic"/>
          <w:sz w:val="20"/>
          <w:szCs w:val="20"/>
          <w:lang w:val="pl"/>
        </w:rPr>
        <w:footnoteRef/>
      </w:r>
      <w:r w:rsidRPr="00886D6E">
        <w:rPr>
          <w:sz w:val="20"/>
          <w:szCs w:val="20"/>
          <w:lang w:val="pl"/>
        </w:rPr>
        <w:t xml:space="preserve"> Źródło: Nota informacyjna na temat orzecznictwa Try</w:t>
      </w:r>
      <w:r>
        <w:rPr>
          <w:sz w:val="20"/>
          <w:szCs w:val="20"/>
          <w:lang w:val="pl"/>
        </w:rPr>
        <w:t>bunału nr 241, czerwiec 2020 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3D7FCC" w14:textId="77777777" w:rsidR="00855611" w:rsidRDefault="008556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8581D" w14:textId="77777777" w:rsidR="00855611" w:rsidRPr="007E67A7" w:rsidRDefault="00855611" w:rsidP="007E67A7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32DDF9" w14:textId="77777777" w:rsidR="00855611" w:rsidRPr="00A45145" w:rsidRDefault="00855611" w:rsidP="00F16820">
    <w:pPr>
      <w:jc w:val="center"/>
    </w:pPr>
    <w:r>
      <w:rPr>
        <w:noProof/>
        <w:lang w:val="pl-PL" w:eastAsia="pl-PL"/>
      </w:rPr>
      <w:drawing>
        <wp:inline distT="0" distB="0" distL="0" distR="0" wp14:anchorId="624C2FBE" wp14:editId="1FD06664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7A7C37" w14:textId="77777777" w:rsidR="00855611" w:rsidRDefault="00855611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420A9" w14:textId="7093814C" w:rsidR="00855611" w:rsidRPr="00183B61" w:rsidRDefault="00855611" w:rsidP="00C611D8">
    <w:pPr>
      <w:pStyle w:val="JuHeader"/>
      <w:rPr>
        <w:lang w:val="pl-PL"/>
      </w:rPr>
    </w:pPr>
    <w:r>
      <w:rPr>
        <w:lang w:val="pl"/>
      </w:rPr>
      <w:t xml:space="preserve">WYROK w sprawie </w:t>
    </w:r>
    <w:proofErr w:type="spellStart"/>
    <w:r>
      <w:rPr>
        <w:lang w:val="pl"/>
      </w:rPr>
      <w:t>SAQUETTI</w:t>
    </w:r>
    <w:proofErr w:type="spellEnd"/>
    <w:r>
      <w:rPr>
        <w:lang w:val="pl"/>
      </w:rPr>
      <w:t xml:space="preserve"> IGLESIAS przeciwko HISZPANII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975D0D" w14:textId="1C33D97A" w:rsidR="00855611" w:rsidRPr="00183B61" w:rsidRDefault="00855611" w:rsidP="00C63990">
    <w:pPr>
      <w:pStyle w:val="JuHeader"/>
      <w:rPr>
        <w:lang w:val="pl-PL"/>
      </w:rPr>
    </w:pPr>
    <w:r>
      <w:rPr>
        <w:lang w:val="pl"/>
      </w:rPr>
      <w:tab/>
      <w:t xml:space="preserve">WYROK w sprawie </w:t>
    </w:r>
    <w:proofErr w:type="spellStart"/>
    <w:r>
      <w:rPr>
        <w:lang w:val="pl"/>
      </w:rPr>
      <w:t>SAQUETTI</w:t>
    </w:r>
    <w:proofErr w:type="spellEnd"/>
    <w:r>
      <w:rPr>
        <w:lang w:val="pl"/>
      </w:rPr>
      <w:t xml:space="preserve"> IGLESIAS przeciwko HISZPANII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F33727" w14:textId="7867D9E4" w:rsidR="00855611" w:rsidRPr="00C03AF0" w:rsidRDefault="00855611" w:rsidP="00C611D8">
    <w:pPr>
      <w:pStyle w:val="JuHeader"/>
      <w:rPr>
        <w:lang w:val="pl-PL"/>
      </w:rPr>
    </w:pPr>
    <w:r>
      <w:rPr>
        <w:lang w:val="pl"/>
      </w:rPr>
      <w:t xml:space="preserve">WYROK w sprawie </w:t>
    </w:r>
    <w:proofErr w:type="spellStart"/>
    <w:r>
      <w:rPr>
        <w:lang w:val="pl"/>
      </w:rPr>
      <w:t>SAQUETTI</w:t>
    </w:r>
    <w:proofErr w:type="spellEnd"/>
    <w:r>
      <w:rPr>
        <w:lang w:val="pl"/>
      </w:rPr>
      <w:t xml:space="preserve"> IGLESIAS przeciwko HISZPANII - </w:t>
    </w:r>
    <w:r>
      <w:rPr>
        <w:noProof/>
        <w:lang w:val="pl"/>
      </w:rPr>
      <w:t>OPINIA</w:t>
    </w:r>
    <w:r>
      <w:rPr>
        <w:lang w:val="pl"/>
      </w:rPr>
      <w:t xml:space="preserve"> ODRĘBNA</w: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1F8888" w14:textId="77777777" w:rsidR="00855611" w:rsidRPr="00C03AF0" w:rsidRDefault="00855611" w:rsidP="00113A86">
    <w:pPr>
      <w:pStyle w:val="JuHeader"/>
      <w:tabs>
        <w:tab w:val="center" w:pos="3685"/>
      </w:tabs>
      <w:rPr>
        <w:lang w:val="pl-PL"/>
      </w:rPr>
    </w:pPr>
    <w:r>
      <w:rPr>
        <w:lang w:val="pl"/>
      </w:rPr>
      <w:t xml:space="preserve">WYROK </w:t>
    </w:r>
    <w:proofErr w:type="spellStart"/>
    <w:r>
      <w:rPr>
        <w:lang w:val="pl"/>
      </w:rPr>
      <w:t>SAQUETTI</w:t>
    </w:r>
    <w:proofErr w:type="spellEnd"/>
    <w:r>
      <w:rPr>
        <w:lang w:val="pl"/>
      </w:rPr>
      <w:t xml:space="preserve"> IGLESIAS przeciwko HISZPANII</w:t>
    </w:r>
    <w:r>
      <w:rPr>
        <w:noProof/>
        <w:lang w:val="pl"/>
      </w:rPr>
      <w:t xml:space="preserve"> - OPINIA</w:t>
    </w:r>
    <w:r>
      <w:rPr>
        <w:lang w:val="pl"/>
      </w:rPr>
      <w:t xml:space="preserve"> ODRĘBNA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C0F5BFC"/>
    <w:multiLevelType w:val="multilevel"/>
    <w:tmpl w:val="D8668044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97" w:hanging="397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%6.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0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7D5546B"/>
    <w:multiLevelType w:val="multilevel"/>
    <w:tmpl w:val="7222064C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%3."/>
      <w:lvlJc w:val="left"/>
      <w:pPr>
        <w:ind w:left="907" w:hanging="22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5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6" w15:restartNumberingAfterBreak="0">
    <w:nsid w:val="56B9429C"/>
    <w:multiLevelType w:val="multilevel"/>
    <w:tmpl w:val="03263022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suff w:val="space"/>
      <w:lvlText w:val="%2."/>
      <w:lvlJc w:val="left"/>
      <w:pPr>
        <w:ind w:left="357" w:hanging="357"/>
      </w:pPr>
      <w:rPr>
        <w:rFonts w:hint="default"/>
        <w:sz w:val="24"/>
      </w:rPr>
    </w:lvl>
    <w:lvl w:ilvl="2">
      <w:start w:val="1"/>
      <w:numFmt w:val="upperLetter"/>
      <w:lvlText w:val="%3."/>
      <w:lvlJc w:val="left"/>
      <w:pPr>
        <w:ind w:left="584" w:hanging="352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31" w:hanging="30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975" w:hanging="340"/>
      </w:pPr>
      <w:rPr>
        <w:rFonts w:hint="default"/>
      </w:rPr>
    </w:lvl>
    <w:lvl w:ilvl="5">
      <w:start w:val="1"/>
      <w:numFmt w:val="lowerRoman"/>
      <w:suff w:val="space"/>
      <w:lvlText w:val="(%6)"/>
      <w:lvlJc w:val="left"/>
      <w:pPr>
        <w:ind w:left="1191" w:hanging="358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lvlText w:val="(%7)"/>
      <w:lvlJc w:val="left"/>
      <w:pPr>
        <w:ind w:left="1372" w:hanging="334"/>
      </w:pPr>
      <w:rPr>
        <w:rFonts w:ascii="Times New Roman" w:hAnsi="Times New Roman" w:hint="default"/>
        <w:sz w:val="20"/>
      </w:rPr>
    </w:lvl>
    <w:lvl w:ilvl="7">
      <w:start w:val="1"/>
      <w:numFmt w:val="bullet"/>
      <w:lvlText w:val="‒"/>
      <w:lvlJc w:val="left"/>
      <w:pPr>
        <w:ind w:left="1304" w:hanging="68"/>
      </w:pPr>
      <w:rPr>
        <w:rFonts w:ascii="Calibri" w:hAnsi="Calibri" w:hint="default"/>
        <w:color w:val="auto"/>
      </w:rPr>
    </w:lvl>
    <w:lvl w:ilvl="8">
      <w:start w:val="1"/>
      <w:numFmt w:val="bullet"/>
      <w:lvlText w:val="▪"/>
      <w:lvlJc w:val="left"/>
      <w:pPr>
        <w:ind w:left="1644" w:hanging="226"/>
      </w:pPr>
      <w:rPr>
        <w:rFonts w:ascii="Calibri" w:hAnsi="Calibri" w:hint="default"/>
        <w:b w:val="0"/>
        <w:i w:val="0"/>
        <w:color w:val="auto"/>
        <w:sz w:val="18"/>
      </w:rPr>
    </w:lvl>
  </w:abstractNum>
  <w:abstractNum w:abstractNumId="17" w15:restartNumberingAfterBreak="0">
    <w:nsid w:val="67FD1241"/>
    <w:multiLevelType w:val="hybridMultilevel"/>
    <w:tmpl w:val="F6D86CC2"/>
    <w:lvl w:ilvl="0" w:tplc="E4205412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08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3"/>
  </w:num>
  <w:num w:numId="3">
    <w:abstractNumId w:val="11"/>
  </w:num>
  <w:num w:numId="4">
    <w:abstractNumId w:val="10"/>
  </w:num>
  <w:num w:numId="5">
    <w:abstractNumId w:val="14"/>
  </w:num>
  <w:num w:numId="6">
    <w:abstractNumId w:val="12"/>
  </w:num>
  <w:num w:numId="7">
    <w:abstractNumId w:val="15"/>
  </w:num>
  <w:num w:numId="8">
    <w:abstractNumId w:val="17"/>
  </w:num>
  <w:num w:numId="9">
    <w:abstractNumId w:val="7"/>
  </w:num>
  <w:num w:numId="10">
    <w:abstractNumId w:val="6"/>
  </w:num>
  <w:num w:numId="11">
    <w:abstractNumId w:val="5"/>
  </w:num>
  <w:num w:numId="12">
    <w:abstractNumId w:val="4"/>
  </w:num>
  <w:num w:numId="13">
    <w:abstractNumId w:val="8"/>
  </w:num>
  <w:num w:numId="14">
    <w:abstractNumId w:val="3"/>
  </w:num>
  <w:num w:numId="15">
    <w:abstractNumId w:val="2"/>
  </w:num>
  <w:num w:numId="16">
    <w:abstractNumId w:val="1"/>
  </w:num>
  <w:num w:numId="17">
    <w:abstractNumId w:val="0"/>
  </w:num>
  <w:num w:numId="18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Sect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SignForeName" w:val="0"/>
  </w:docVars>
  <w:rsids>
    <w:rsidRoot w:val="00DB10DC"/>
    <w:rsid w:val="00003AB6"/>
    <w:rsid w:val="000041F8"/>
    <w:rsid w:val="000042A8"/>
    <w:rsid w:val="00004308"/>
    <w:rsid w:val="000056E8"/>
    <w:rsid w:val="00005BF0"/>
    <w:rsid w:val="00006250"/>
    <w:rsid w:val="000064E6"/>
    <w:rsid w:val="00007154"/>
    <w:rsid w:val="00007FAB"/>
    <w:rsid w:val="000103AE"/>
    <w:rsid w:val="00011D69"/>
    <w:rsid w:val="00012316"/>
    <w:rsid w:val="00012AD3"/>
    <w:rsid w:val="00012D7E"/>
    <w:rsid w:val="00015C2D"/>
    <w:rsid w:val="00015F00"/>
    <w:rsid w:val="00022281"/>
    <w:rsid w:val="00022C1D"/>
    <w:rsid w:val="000237DD"/>
    <w:rsid w:val="0002510C"/>
    <w:rsid w:val="000269FA"/>
    <w:rsid w:val="00026C1A"/>
    <w:rsid w:val="00027C82"/>
    <w:rsid w:val="00030150"/>
    <w:rsid w:val="0003038F"/>
    <w:rsid w:val="00030FAB"/>
    <w:rsid w:val="00031347"/>
    <w:rsid w:val="00034987"/>
    <w:rsid w:val="00035334"/>
    <w:rsid w:val="00036ED7"/>
    <w:rsid w:val="00037F78"/>
    <w:rsid w:val="00040872"/>
    <w:rsid w:val="00042D27"/>
    <w:rsid w:val="0004399B"/>
    <w:rsid w:val="00043A74"/>
    <w:rsid w:val="00043F5D"/>
    <w:rsid w:val="00047616"/>
    <w:rsid w:val="0004777A"/>
    <w:rsid w:val="000520F0"/>
    <w:rsid w:val="0005683E"/>
    <w:rsid w:val="000602DF"/>
    <w:rsid w:val="00061B05"/>
    <w:rsid w:val="000632D5"/>
    <w:rsid w:val="00063379"/>
    <w:rsid w:val="0006439E"/>
    <w:rsid w:val="000644EE"/>
    <w:rsid w:val="00066A71"/>
    <w:rsid w:val="00066C13"/>
    <w:rsid w:val="00067CD3"/>
    <w:rsid w:val="00072AFC"/>
    <w:rsid w:val="000740C4"/>
    <w:rsid w:val="00074B8E"/>
    <w:rsid w:val="0008019E"/>
    <w:rsid w:val="00080F0D"/>
    <w:rsid w:val="00087BBB"/>
    <w:rsid w:val="00087E79"/>
    <w:rsid w:val="00090F50"/>
    <w:rsid w:val="000925AD"/>
    <w:rsid w:val="0009308D"/>
    <w:rsid w:val="00094C77"/>
    <w:rsid w:val="00095B4B"/>
    <w:rsid w:val="000975ED"/>
    <w:rsid w:val="000A0AB2"/>
    <w:rsid w:val="000A24EB"/>
    <w:rsid w:val="000A2AC1"/>
    <w:rsid w:val="000A36EB"/>
    <w:rsid w:val="000A436A"/>
    <w:rsid w:val="000A4843"/>
    <w:rsid w:val="000A5B12"/>
    <w:rsid w:val="000B073A"/>
    <w:rsid w:val="000B1D94"/>
    <w:rsid w:val="000B6923"/>
    <w:rsid w:val="000B6F9F"/>
    <w:rsid w:val="000B7127"/>
    <w:rsid w:val="000C15DC"/>
    <w:rsid w:val="000C2F66"/>
    <w:rsid w:val="000C5BB0"/>
    <w:rsid w:val="000C5DE3"/>
    <w:rsid w:val="000C5F3C"/>
    <w:rsid w:val="000C6DCC"/>
    <w:rsid w:val="000C78B5"/>
    <w:rsid w:val="000D29FF"/>
    <w:rsid w:val="000D2E9A"/>
    <w:rsid w:val="000D2F72"/>
    <w:rsid w:val="000D36C6"/>
    <w:rsid w:val="000D47AA"/>
    <w:rsid w:val="000D721F"/>
    <w:rsid w:val="000E069B"/>
    <w:rsid w:val="000E06B4"/>
    <w:rsid w:val="000E0E82"/>
    <w:rsid w:val="000E18D0"/>
    <w:rsid w:val="000E1DC5"/>
    <w:rsid w:val="000E223F"/>
    <w:rsid w:val="000E394C"/>
    <w:rsid w:val="000E3AF0"/>
    <w:rsid w:val="000E7431"/>
    <w:rsid w:val="000E7D45"/>
    <w:rsid w:val="000F00EF"/>
    <w:rsid w:val="000F0B8A"/>
    <w:rsid w:val="000F0F05"/>
    <w:rsid w:val="000F3F7E"/>
    <w:rsid w:val="000F713E"/>
    <w:rsid w:val="000F7851"/>
    <w:rsid w:val="000F791D"/>
    <w:rsid w:val="00104E23"/>
    <w:rsid w:val="00105E49"/>
    <w:rsid w:val="00106673"/>
    <w:rsid w:val="00107419"/>
    <w:rsid w:val="00107A9D"/>
    <w:rsid w:val="001114E7"/>
    <w:rsid w:val="00111B0C"/>
    <w:rsid w:val="00112476"/>
    <w:rsid w:val="00113A86"/>
    <w:rsid w:val="00114210"/>
    <w:rsid w:val="00117F7A"/>
    <w:rsid w:val="00120D6C"/>
    <w:rsid w:val="001257EC"/>
    <w:rsid w:val="00126F0B"/>
    <w:rsid w:val="001303FC"/>
    <w:rsid w:val="00130997"/>
    <w:rsid w:val="0013141F"/>
    <w:rsid w:val="00132695"/>
    <w:rsid w:val="00133D33"/>
    <w:rsid w:val="00134D64"/>
    <w:rsid w:val="00134E88"/>
    <w:rsid w:val="00135A30"/>
    <w:rsid w:val="00135C1A"/>
    <w:rsid w:val="0013612C"/>
    <w:rsid w:val="001361C8"/>
    <w:rsid w:val="00137FF6"/>
    <w:rsid w:val="0014031A"/>
    <w:rsid w:val="00141650"/>
    <w:rsid w:val="00142F30"/>
    <w:rsid w:val="001433E9"/>
    <w:rsid w:val="001439B1"/>
    <w:rsid w:val="001443CF"/>
    <w:rsid w:val="00144757"/>
    <w:rsid w:val="00145637"/>
    <w:rsid w:val="00145FDD"/>
    <w:rsid w:val="00146515"/>
    <w:rsid w:val="001516A3"/>
    <w:rsid w:val="00152834"/>
    <w:rsid w:val="00154288"/>
    <w:rsid w:val="0016174F"/>
    <w:rsid w:val="001619D7"/>
    <w:rsid w:val="00162477"/>
    <w:rsid w:val="00162A12"/>
    <w:rsid w:val="00166530"/>
    <w:rsid w:val="00171259"/>
    <w:rsid w:val="00172993"/>
    <w:rsid w:val="00173582"/>
    <w:rsid w:val="001738DB"/>
    <w:rsid w:val="00176A65"/>
    <w:rsid w:val="001832BD"/>
    <w:rsid w:val="00183B61"/>
    <w:rsid w:val="00187FA8"/>
    <w:rsid w:val="00190D38"/>
    <w:rsid w:val="001912EF"/>
    <w:rsid w:val="001929F9"/>
    <w:rsid w:val="001943B5"/>
    <w:rsid w:val="00194404"/>
    <w:rsid w:val="00195134"/>
    <w:rsid w:val="001957A4"/>
    <w:rsid w:val="001A11B1"/>
    <w:rsid w:val="001A145B"/>
    <w:rsid w:val="001A674C"/>
    <w:rsid w:val="001A6C84"/>
    <w:rsid w:val="001B0E15"/>
    <w:rsid w:val="001B2EBB"/>
    <w:rsid w:val="001B3B24"/>
    <w:rsid w:val="001B448C"/>
    <w:rsid w:val="001B65D4"/>
    <w:rsid w:val="001B72C7"/>
    <w:rsid w:val="001C0BDD"/>
    <w:rsid w:val="001C0DB0"/>
    <w:rsid w:val="001C0F98"/>
    <w:rsid w:val="001C1995"/>
    <w:rsid w:val="001C2A42"/>
    <w:rsid w:val="001C41FA"/>
    <w:rsid w:val="001C5A41"/>
    <w:rsid w:val="001C6C0F"/>
    <w:rsid w:val="001C73D7"/>
    <w:rsid w:val="001C7634"/>
    <w:rsid w:val="001D097B"/>
    <w:rsid w:val="001D63ED"/>
    <w:rsid w:val="001D7348"/>
    <w:rsid w:val="001E035B"/>
    <w:rsid w:val="001E0961"/>
    <w:rsid w:val="001E146C"/>
    <w:rsid w:val="001E2C3A"/>
    <w:rsid w:val="001E320A"/>
    <w:rsid w:val="001E3EAE"/>
    <w:rsid w:val="001E49F9"/>
    <w:rsid w:val="001E6F32"/>
    <w:rsid w:val="001E7442"/>
    <w:rsid w:val="001E7BDB"/>
    <w:rsid w:val="001F12B2"/>
    <w:rsid w:val="001F2145"/>
    <w:rsid w:val="001F4E43"/>
    <w:rsid w:val="001F61BF"/>
    <w:rsid w:val="001F6262"/>
    <w:rsid w:val="001F67B0"/>
    <w:rsid w:val="001F7B3D"/>
    <w:rsid w:val="001F7C52"/>
    <w:rsid w:val="00205F9F"/>
    <w:rsid w:val="0021027D"/>
    <w:rsid w:val="00210338"/>
    <w:rsid w:val="002115FC"/>
    <w:rsid w:val="00212941"/>
    <w:rsid w:val="00213ACF"/>
    <w:rsid w:val="0021423C"/>
    <w:rsid w:val="00221E1D"/>
    <w:rsid w:val="0022536E"/>
    <w:rsid w:val="002301D1"/>
    <w:rsid w:val="002302A1"/>
    <w:rsid w:val="00230D00"/>
    <w:rsid w:val="00231CB7"/>
    <w:rsid w:val="00231DF7"/>
    <w:rsid w:val="00231FBC"/>
    <w:rsid w:val="00231FD1"/>
    <w:rsid w:val="002328D6"/>
    <w:rsid w:val="0023314C"/>
    <w:rsid w:val="0023335F"/>
    <w:rsid w:val="0023379C"/>
    <w:rsid w:val="002339E0"/>
    <w:rsid w:val="00233B8E"/>
    <w:rsid w:val="00233CF8"/>
    <w:rsid w:val="0023575D"/>
    <w:rsid w:val="00237148"/>
    <w:rsid w:val="0023755D"/>
    <w:rsid w:val="002375A8"/>
    <w:rsid w:val="00240070"/>
    <w:rsid w:val="00241733"/>
    <w:rsid w:val="0024222D"/>
    <w:rsid w:val="00242D41"/>
    <w:rsid w:val="00244B0E"/>
    <w:rsid w:val="00244F6C"/>
    <w:rsid w:val="00245443"/>
    <w:rsid w:val="00246ABB"/>
    <w:rsid w:val="00246BAD"/>
    <w:rsid w:val="0024726F"/>
    <w:rsid w:val="00247500"/>
    <w:rsid w:val="00247D86"/>
    <w:rsid w:val="002528DE"/>
    <w:rsid w:val="002532C5"/>
    <w:rsid w:val="002539D5"/>
    <w:rsid w:val="00256208"/>
    <w:rsid w:val="00256579"/>
    <w:rsid w:val="00260C03"/>
    <w:rsid w:val="002635E4"/>
    <w:rsid w:val="002645A2"/>
    <w:rsid w:val="0026540E"/>
    <w:rsid w:val="00266504"/>
    <w:rsid w:val="002701B9"/>
    <w:rsid w:val="0027065A"/>
    <w:rsid w:val="00271B9E"/>
    <w:rsid w:val="00273A28"/>
    <w:rsid w:val="00275123"/>
    <w:rsid w:val="00276789"/>
    <w:rsid w:val="00280A1A"/>
    <w:rsid w:val="00281894"/>
    <w:rsid w:val="00282240"/>
    <w:rsid w:val="0028392E"/>
    <w:rsid w:val="00291379"/>
    <w:rsid w:val="00291D43"/>
    <w:rsid w:val="00292233"/>
    <w:rsid w:val="002929A1"/>
    <w:rsid w:val="00293EED"/>
    <w:rsid w:val="002948AD"/>
    <w:rsid w:val="002955E6"/>
    <w:rsid w:val="00297A68"/>
    <w:rsid w:val="002A01CC"/>
    <w:rsid w:val="002A05EE"/>
    <w:rsid w:val="002A5687"/>
    <w:rsid w:val="002A61B1"/>
    <w:rsid w:val="002A663C"/>
    <w:rsid w:val="002B0839"/>
    <w:rsid w:val="002B444B"/>
    <w:rsid w:val="002B5887"/>
    <w:rsid w:val="002B6832"/>
    <w:rsid w:val="002C0E27"/>
    <w:rsid w:val="002C3040"/>
    <w:rsid w:val="002C545D"/>
    <w:rsid w:val="002C65E8"/>
    <w:rsid w:val="002D022D"/>
    <w:rsid w:val="002D12B1"/>
    <w:rsid w:val="002D23B6"/>
    <w:rsid w:val="002D24BB"/>
    <w:rsid w:val="002D6530"/>
    <w:rsid w:val="002D6E1F"/>
    <w:rsid w:val="002D7995"/>
    <w:rsid w:val="002E02CB"/>
    <w:rsid w:val="002E0C9F"/>
    <w:rsid w:val="002E13DA"/>
    <w:rsid w:val="002E1EDE"/>
    <w:rsid w:val="002E4D42"/>
    <w:rsid w:val="002F121E"/>
    <w:rsid w:val="002F2AF7"/>
    <w:rsid w:val="002F33D1"/>
    <w:rsid w:val="002F6847"/>
    <w:rsid w:val="002F7E1C"/>
    <w:rsid w:val="00301954"/>
    <w:rsid w:val="00301967"/>
    <w:rsid w:val="00301A75"/>
    <w:rsid w:val="00302F70"/>
    <w:rsid w:val="0030336F"/>
    <w:rsid w:val="0030375E"/>
    <w:rsid w:val="00304BE7"/>
    <w:rsid w:val="00305660"/>
    <w:rsid w:val="0030706C"/>
    <w:rsid w:val="00312A30"/>
    <w:rsid w:val="00313DD7"/>
    <w:rsid w:val="00317411"/>
    <w:rsid w:val="00320F72"/>
    <w:rsid w:val="0032463E"/>
    <w:rsid w:val="003258C4"/>
    <w:rsid w:val="00326224"/>
    <w:rsid w:val="00326780"/>
    <w:rsid w:val="00326788"/>
    <w:rsid w:val="0032721C"/>
    <w:rsid w:val="0032772D"/>
    <w:rsid w:val="00327AD5"/>
    <w:rsid w:val="003303C9"/>
    <w:rsid w:val="00335A73"/>
    <w:rsid w:val="00337EE4"/>
    <w:rsid w:val="00340FFD"/>
    <w:rsid w:val="00342E96"/>
    <w:rsid w:val="0034439F"/>
    <w:rsid w:val="003455C8"/>
    <w:rsid w:val="0034711D"/>
    <w:rsid w:val="003477BD"/>
    <w:rsid w:val="003506B1"/>
    <w:rsid w:val="00351627"/>
    <w:rsid w:val="00352A32"/>
    <w:rsid w:val="00352C03"/>
    <w:rsid w:val="00354D8C"/>
    <w:rsid w:val="00354E93"/>
    <w:rsid w:val="00354F8C"/>
    <w:rsid w:val="00356AC7"/>
    <w:rsid w:val="00357497"/>
    <w:rsid w:val="003609FA"/>
    <w:rsid w:val="00362736"/>
    <w:rsid w:val="0036327B"/>
    <w:rsid w:val="00364C9F"/>
    <w:rsid w:val="00365BD9"/>
    <w:rsid w:val="00366214"/>
    <w:rsid w:val="003710C8"/>
    <w:rsid w:val="00371501"/>
    <w:rsid w:val="00373747"/>
    <w:rsid w:val="00374774"/>
    <w:rsid w:val="003750BE"/>
    <w:rsid w:val="00375904"/>
    <w:rsid w:val="003772DC"/>
    <w:rsid w:val="00377D97"/>
    <w:rsid w:val="0038696B"/>
    <w:rsid w:val="00386D24"/>
    <w:rsid w:val="00387630"/>
    <w:rsid w:val="00387B9D"/>
    <w:rsid w:val="00392C52"/>
    <w:rsid w:val="0039364F"/>
    <w:rsid w:val="00396686"/>
    <w:rsid w:val="0039778E"/>
    <w:rsid w:val="003A0065"/>
    <w:rsid w:val="003A020D"/>
    <w:rsid w:val="003A1777"/>
    <w:rsid w:val="003A2AE0"/>
    <w:rsid w:val="003A5D27"/>
    <w:rsid w:val="003B1765"/>
    <w:rsid w:val="003B2814"/>
    <w:rsid w:val="003B452D"/>
    <w:rsid w:val="003B4941"/>
    <w:rsid w:val="003B4D38"/>
    <w:rsid w:val="003B5FBC"/>
    <w:rsid w:val="003C07D1"/>
    <w:rsid w:val="003C0AEA"/>
    <w:rsid w:val="003C5714"/>
    <w:rsid w:val="003C6B9F"/>
    <w:rsid w:val="003C6E2A"/>
    <w:rsid w:val="003C6EBE"/>
    <w:rsid w:val="003D00E8"/>
    <w:rsid w:val="003D0299"/>
    <w:rsid w:val="003D193E"/>
    <w:rsid w:val="003D3550"/>
    <w:rsid w:val="003D61CB"/>
    <w:rsid w:val="003E376F"/>
    <w:rsid w:val="003E395A"/>
    <w:rsid w:val="003E4C82"/>
    <w:rsid w:val="003E6D80"/>
    <w:rsid w:val="003E7CFA"/>
    <w:rsid w:val="003F0086"/>
    <w:rsid w:val="003F05FA"/>
    <w:rsid w:val="003F2416"/>
    <w:rsid w:val="003F244A"/>
    <w:rsid w:val="003F30B8"/>
    <w:rsid w:val="003F36E5"/>
    <w:rsid w:val="003F4C45"/>
    <w:rsid w:val="003F59A0"/>
    <w:rsid w:val="003F5F7B"/>
    <w:rsid w:val="003F7D64"/>
    <w:rsid w:val="004001A6"/>
    <w:rsid w:val="0040155D"/>
    <w:rsid w:val="004050D0"/>
    <w:rsid w:val="00405220"/>
    <w:rsid w:val="00405DD6"/>
    <w:rsid w:val="00407C9E"/>
    <w:rsid w:val="0041297D"/>
    <w:rsid w:val="00413ADF"/>
    <w:rsid w:val="00414300"/>
    <w:rsid w:val="004147EA"/>
    <w:rsid w:val="00415119"/>
    <w:rsid w:val="0041554A"/>
    <w:rsid w:val="00422F52"/>
    <w:rsid w:val="00425242"/>
    <w:rsid w:val="00425C67"/>
    <w:rsid w:val="00427E7A"/>
    <w:rsid w:val="0043093E"/>
    <w:rsid w:val="00430A98"/>
    <w:rsid w:val="00432F1B"/>
    <w:rsid w:val="00433190"/>
    <w:rsid w:val="00433A0E"/>
    <w:rsid w:val="00434B7C"/>
    <w:rsid w:val="00434EC4"/>
    <w:rsid w:val="00435389"/>
    <w:rsid w:val="00436C49"/>
    <w:rsid w:val="00441A35"/>
    <w:rsid w:val="004432C5"/>
    <w:rsid w:val="00445366"/>
    <w:rsid w:val="00447B1E"/>
    <w:rsid w:val="00447D11"/>
    <w:rsid w:val="00447F5B"/>
    <w:rsid w:val="0045067D"/>
    <w:rsid w:val="00452879"/>
    <w:rsid w:val="00452FFC"/>
    <w:rsid w:val="00453F52"/>
    <w:rsid w:val="004543B9"/>
    <w:rsid w:val="00454664"/>
    <w:rsid w:val="00461DB0"/>
    <w:rsid w:val="00463926"/>
    <w:rsid w:val="00464C9A"/>
    <w:rsid w:val="004653B0"/>
    <w:rsid w:val="00470D7B"/>
    <w:rsid w:val="00471551"/>
    <w:rsid w:val="00472080"/>
    <w:rsid w:val="00472237"/>
    <w:rsid w:val="004741F5"/>
    <w:rsid w:val="00474F3D"/>
    <w:rsid w:val="004763E8"/>
    <w:rsid w:val="004767B3"/>
    <w:rsid w:val="004777D1"/>
    <w:rsid w:val="00477E3A"/>
    <w:rsid w:val="00480CFD"/>
    <w:rsid w:val="004833EA"/>
    <w:rsid w:val="00483E5F"/>
    <w:rsid w:val="00485FF9"/>
    <w:rsid w:val="00486ED0"/>
    <w:rsid w:val="004907F0"/>
    <w:rsid w:val="004909BD"/>
    <w:rsid w:val="0049140B"/>
    <w:rsid w:val="004915AC"/>
    <w:rsid w:val="004923A5"/>
    <w:rsid w:val="00492B8E"/>
    <w:rsid w:val="004951B1"/>
    <w:rsid w:val="00495E7B"/>
    <w:rsid w:val="00496BFB"/>
    <w:rsid w:val="004A15C7"/>
    <w:rsid w:val="004A18F9"/>
    <w:rsid w:val="004A207E"/>
    <w:rsid w:val="004A2C51"/>
    <w:rsid w:val="004A6546"/>
    <w:rsid w:val="004A74AF"/>
    <w:rsid w:val="004B013B"/>
    <w:rsid w:val="004B0C51"/>
    <w:rsid w:val="004B112B"/>
    <w:rsid w:val="004B23E7"/>
    <w:rsid w:val="004B7258"/>
    <w:rsid w:val="004C01E4"/>
    <w:rsid w:val="004C0474"/>
    <w:rsid w:val="004C086C"/>
    <w:rsid w:val="004C1F56"/>
    <w:rsid w:val="004C27BC"/>
    <w:rsid w:val="004C375D"/>
    <w:rsid w:val="004C7E50"/>
    <w:rsid w:val="004D0055"/>
    <w:rsid w:val="004D158D"/>
    <w:rsid w:val="004D15F3"/>
    <w:rsid w:val="004D5311"/>
    <w:rsid w:val="004D5DCC"/>
    <w:rsid w:val="004D6234"/>
    <w:rsid w:val="004E1A20"/>
    <w:rsid w:val="004E6D79"/>
    <w:rsid w:val="004F10AF"/>
    <w:rsid w:val="004F11A4"/>
    <w:rsid w:val="004F161A"/>
    <w:rsid w:val="004F2389"/>
    <w:rsid w:val="004F2979"/>
    <w:rsid w:val="004F304D"/>
    <w:rsid w:val="004F5554"/>
    <w:rsid w:val="004F57A5"/>
    <w:rsid w:val="004F61BE"/>
    <w:rsid w:val="004F62C3"/>
    <w:rsid w:val="004F66B1"/>
    <w:rsid w:val="004F741F"/>
    <w:rsid w:val="005005FC"/>
    <w:rsid w:val="0050287F"/>
    <w:rsid w:val="00502B99"/>
    <w:rsid w:val="00506FEF"/>
    <w:rsid w:val="0051187D"/>
    <w:rsid w:val="00511C07"/>
    <w:rsid w:val="005123F7"/>
    <w:rsid w:val="005137AC"/>
    <w:rsid w:val="00513C53"/>
    <w:rsid w:val="005155A5"/>
    <w:rsid w:val="00515C1A"/>
    <w:rsid w:val="00515F82"/>
    <w:rsid w:val="005173A6"/>
    <w:rsid w:val="005174E4"/>
    <w:rsid w:val="005177EC"/>
    <w:rsid w:val="00520BAA"/>
    <w:rsid w:val="0052120A"/>
    <w:rsid w:val="00525208"/>
    <w:rsid w:val="005257A5"/>
    <w:rsid w:val="005263F0"/>
    <w:rsid w:val="005264C0"/>
    <w:rsid w:val="00526A8A"/>
    <w:rsid w:val="00531D7D"/>
    <w:rsid w:val="00531DF2"/>
    <w:rsid w:val="005341B8"/>
    <w:rsid w:val="0053704A"/>
    <w:rsid w:val="005372C6"/>
    <w:rsid w:val="00541EBB"/>
    <w:rsid w:val="005442EE"/>
    <w:rsid w:val="005449E4"/>
    <w:rsid w:val="00547353"/>
    <w:rsid w:val="005474E7"/>
    <w:rsid w:val="005479FC"/>
    <w:rsid w:val="00550324"/>
    <w:rsid w:val="005512A3"/>
    <w:rsid w:val="00551529"/>
    <w:rsid w:val="0055191C"/>
    <w:rsid w:val="005578CE"/>
    <w:rsid w:val="005600A6"/>
    <w:rsid w:val="00562781"/>
    <w:rsid w:val="00566668"/>
    <w:rsid w:val="00566FD2"/>
    <w:rsid w:val="005706EE"/>
    <w:rsid w:val="0057271C"/>
    <w:rsid w:val="00572845"/>
    <w:rsid w:val="0057306D"/>
    <w:rsid w:val="005741D5"/>
    <w:rsid w:val="00574A96"/>
    <w:rsid w:val="00574C83"/>
    <w:rsid w:val="00581BC3"/>
    <w:rsid w:val="00581ECD"/>
    <w:rsid w:val="005824A9"/>
    <w:rsid w:val="00583B0F"/>
    <w:rsid w:val="00590106"/>
    <w:rsid w:val="005906AD"/>
    <w:rsid w:val="00592772"/>
    <w:rsid w:val="005927B0"/>
    <w:rsid w:val="00592CDB"/>
    <w:rsid w:val="00592EBC"/>
    <w:rsid w:val="0059574A"/>
    <w:rsid w:val="00596468"/>
    <w:rsid w:val="00597C89"/>
    <w:rsid w:val="00597E58"/>
    <w:rsid w:val="005A02CB"/>
    <w:rsid w:val="005A1B9B"/>
    <w:rsid w:val="005A215C"/>
    <w:rsid w:val="005A340B"/>
    <w:rsid w:val="005A40EA"/>
    <w:rsid w:val="005A4479"/>
    <w:rsid w:val="005A64B6"/>
    <w:rsid w:val="005A6751"/>
    <w:rsid w:val="005B092E"/>
    <w:rsid w:val="005B152C"/>
    <w:rsid w:val="005B1EE0"/>
    <w:rsid w:val="005B2B24"/>
    <w:rsid w:val="005B4425"/>
    <w:rsid w:val="005B458F"/>
    <w:rsid w:val="005B4B94"/>
    <w:rsid w:val="005B5E90"/>
    <w:rsid w:val="005B7082"/>
    <w:rsid w:val="005B73C4"/>
    <w:rsid w:val="005C3EE8"/>
    <w:rsid w:val="005C471B"/>
    <w:rsid w:val="005C6CC8"/>
    <w:rsid w:val="005C783C"/>
    <w:rsid w:val="005D07A2"/>
    <w:rsid w:val="005D0EC7"/>
    <w:rsid w:val="005D34F9"/>
    <w:rsid w:val="005D4190"/>
    <w:rsid w:val="005D642B"/>
    <w:rsid w:val="005D67A3"/>
    <w:rsid w:val="005E09C7"/>
    <w:rsid w:val="005E0C6C"/>
    <w:rsid w:val="005E2988"/>
    <w:rsid w:val="005E3085"/>
    <w:rsid w:val="005E37C6"/>
    <w:rsid w:val="005E53AD"/>
    <w:rsid w:val="005E779D"/>
    <w:rsid w:val="005F2D29"/>
    <w:rsid w:val="005F51E1"/>
    <w:rsid w:val="00607062"/>
    <w:rsid w:val="0061115E"/>
    <w:rsid w:val="00611C80"/>
    <w:rsid w:val="0061566F"/>
    <w:rsid w:val="006156EC"/>
    <w:rsid w:val="00617E0D"/>
    <w:rsid w:val="00620517"/>
    <w:rsid w:val="00620692"/>
    <w:rsid w:val="006239AD"/>
    <w:rsid w:val="006242CA"/>
    <w:rsid w:val="00626DBD"/>
    <w:rsid w:val="00627507"/>
    <w:rsid w:val="006303F0"/>
    <w:rsid w:val="006304CF"/>
    <w:rsid w:val="006304D6"/>
    <w:rsid w:val="00633717"/>
    <w:rsid w:val="006344E1"/>
    <w:rsid w:val="00641368"/>
    <w:rsid w:val="00642F7C"/>
    <w:rsid w:val="0064343C"/>
    <w:rsid w:val="0064485D"/>
    <w:rsid w:val="0064641D"/>
    <w:rsid w:val="00646454"/>
    <w:rsid w:val="00647415"/>
    <w:rsid w:val="00647B94"/>
    <w:rsid w:val="0065298D"/>
    <w:rsid w:val="00652A74"/>
    <w:rsid w:val="00652C4A"/>
    <w:rsid w:val="00654301"/>
    <w:rsid w:val="006545C4"/>
    <w:rsid w:val="00655A32"/>
    <w:rsid w:val="006564C2"/>
    <w:rsid w:val="00657F11"/>
    <w:rsid w:val="006600C6"/>
    <w:rsid w:val="006606F0"/>
    <w:rsid w:val="00661971"/>
    <w:rsid w:val="00661CE8"/>
    <w:rsid w:val="006623D9"/>
    <w:rsid w:val="00663636"/>
    <w:rsid w:val="006643C5"/>
    <w:rsid w:val="0066550C"/>
    <w:rsid w:val="00665D6A"/>
    <w:rsid w:val="00665E3A"/>
    <w:rsid w:val="00667B26"/>
    <w:rsid w:val="0067152F"/>
    <w:rsid w:val="006716F2"/>
    <w:rsid w:val="00671D71"/>
    <w:rsid w:val="00676C98"/>
    <w:rsid w:val="00680182"/>
    <w:rsid w:val="00680958"/>
    <w:rsid w:val="00680C6C"/>
    <w:rsid w:val="00681E7B"/>
    <w:rsid w:val="0068246E"/>
    <w:rsid w:val="00682BF2"/>
    <w:rsid w:val="00683834"/>
    <w:rsid w:val="006859CE"/>
    <w:rsid w:val="006860E0"/>
    <w:rsid w:val="00691270"/>
    <w:rsid w:val="006936F4"/>
    <w:rsid w:val="00694A2E"/>
    <w:rsid w:val="00694BA8"/>
    <w:rsid w:val="00695C54"/>
    <w:rsid w:val="00697E88"/>
    <w:rsid w:val="006A037C"/>
    <w:rsid w:val="006A30E2"/>
    <w:rsid w:val="006A36F4"/>
    <w:rsid w:val="006A406F"/>
    <w:rsid w:val="006A45EF"/>
    <w:rsid w:val="006A5468"/>
    <w:rsid w:val="006A5D3A"/>
    <w:rsid w:val="006A6FF9"/>
    <w:rsid w:val="006B0D27"/>
    <w:rsid w:val="006B1029"/>
    <w:rsid w:val="006B3D6F"/>
    <w:rsid w:val="006B5843"/>
    <w:rsid w:val="006B5A76"/>
    <w:rsid w:val="006B7130"/>
    <w:rsid w:val="006C1305"/>
    <w:rsid w:val="006C1BCB"/>
    <w:rsid w:val="006C23D4"/>
    <w:rsid w:val="006C2EDA"/>
    <w:rsid w:val="006C49DB"/>
    <w:rsid w:val="006C64BE"/>
    <w:rsid w:val="006C6515"/>
    <w:rsid w:val="006C6DE4"/>
    <w:rsid w:val="006C7BB0"/>
    <w:rsid w:val="006D3237"/>
    <w:rsid w:val="006D55C7"/>
    <w:rsid w:val="006D6A54"/>
    <w:rsid w:val="006E2E37"/>
    <w:rsid w:val="006E3CF1"/>
    <w:rsid w:val="006E44C4"/>
    <w:rsid w:val="006E79D9"/>
    <w:rsid w:val="006E7E80"/>
    <w:rsid w:val="006F48CA"/>
    <w:rsid w:val="006F64DD"/>
    <w:rsid w:val="00701216"/>
    <w:rsid w:val="00702284"/>
    <w:rsid w:val="00703985"/>
    <w:rsid w:val="00704396"/>
    <w:rsid w:val="00705731"/>
    <w:rsid w:val="00706B5A"/>
    <w:rsid w:val="00711B9F"/>
    <w:rsid w:val="00711E19"/>
    <w:rsid w:val="007125FE"/>
    <w:rsid w:val="00712BB7"/>
    <w:rsid w:val="00713DB0"/>
    <w:rsid w:val="00715127"/>
    <w:rsid w:val="00715D29"/>
    <w:rsid w:val="00715E8E"/>
    <w:rsid w:val="0072242B"/>
    <w:rsid w:val="00723449"/>
    <w:rsid w:val="00723580"/>
    <w:rsid w:val="00723755"/>
    <w:rsid w:val="0072564F"/>
    <w:rsid w:val="0073021D"/>
    <w:rsid w:val="0073136C"/>
    <w:rsid w:val="007313E2"/>
    <w:rsid w:val="00731F0F"/>
    <w:rsid w:val="00733250"/>
    <w:rsid w:val="00734309"/>
    <w:rsid w:val="00735E41"/>
    <w:rsid w:val="00736041"/>
    <w:rsid w:val="00740786"/>
    <w:rsid w:val="00741404"/>
    <w:rsid w:val="007434F4"/>
    <w:rsid w:val="0074398E"/>
    <w:rsid w:val="00743A4E"/>
    <w:rsid w:val="00743E82"/>
    <w:rsid w:val="007449E5"/>
    <w:rsid w:val="007457DE"/>
    <w:rsid w:val="007464E5"/>
    <w:rsid w:val="00747FF0"/>
    <w:rsid w:val="007513B3"/>
    <w:rsid w:val="007520FD"/>
    <w:rsid w:val="00757159"/>
    <w:rsid w:val="00757B5E"/>
    <w:rsid w:val="00764D4E"/>
    <w:rsid w:val="00765A1F"/>
    <w:rsid w:val="00766EBA"/>
    <w:rsid w:val="00767F5C"/>
    <w:rsid w:val="007710AE"/>
    <w:rsid w:val="00774FDD"/>
    <w:rsid w:val="007752E5"/>
    <w:rsid w:val="00775B53"/>
    <w:rsid w:val="00775B6D"/>
    <w:rsid w:val="00776D68"/>
    <w:rsid w:val="00782545"/>
    <w:rsid w:val="00782654"/>
    <w:rsid w:val="00782FCD"/>
    <w:rsid w:val="0078349F"/>
    <w:rsid w:val="00784FD0"/>
    <w:rsid w:val="007850EE"/>
    <w:rsid w:val="00785B95"/>
    <w:rsid w:val="00787D99"/>
    <w:rsid w:val="00790E45"/>
    <w:rsid w:val="00790E96"/>
    <w:rsid w:val="00791FDE"/>
    <w:rsid w:val="00793366"/>
    <w:rsid w:val="007952DA"/>
    <w:rsid w:val="0079688D"/>
    <w:rsid w:val="007971A2"/>
    <w:rsid w:val="007A10C1"/>
    <w:rsid w:val="007A1485"/>
    <w:rsid w:val="007A410B"/>
    <w:rsid w:val="007A716F"/>
    <w:rsid w:val="007A71E5"/>
    <w:rsid w:val="007A7EE1"/>
    <w:rsid w:val="007B053A"/>
    <w:rsid w:val="007B270A"/>
    <w:rsid w:val="007B3027"/>
    <w:rsid w:val="007B4B56"/>
    <w:rsid w:val="007B6A4E"/>
    <w:rsid w:val="007C0695"/>
    <w:rsid w:val="007C0958"/>
    <w:rsid w:val="007C20C4"/>
    <w:rsid w:val="007C249B"/>
    <w:rsid w:val="007C2544"/>
    <w:rsid w:val="007C2D05"/>
    <w:rsid w:val="007C3FAD"/>
    <w:rsid w:val="007C419A"/>
    <w:rsid w:val="007C4CC8"/>
    <w:rsid w:val="007C5426"/>
    <w:rsid w:val="007C5798"/>
    <w:rsid w:val="007C6557"/>
    <w:rsid w:val="007D32C5"/>
    <w:rsid w:val="007D363C"/>
    <w:rsid w:val="007D47F0"/>
    <w:rsid w:val="007D4832"/>
    <w:rsid w:val="007D4F19"/>
    <w:rsid w:val="007D7E45"/>
    <w:rsid w:val="007E1DFC"/>
    <w:rsid w:val="007E21B2"/>
    <w:rsid w:val="007E2C4E"/>
    <w:rsid w:val="007E3ED4"/>
    <w:rsid w:val="007E48C2"/>
    <w:rsid w:val="007E5FBE"/>
    <w:rsid w:val="007E67A7"/>
    <w:rsid w:val="007F1905"/>
    <w:rsid w:val="007F2CD6"/>
    <w:rsid w:val="007F3CF3"/>
    <w:rsid w:val="007F46A1"/>
    <w:rsid w:val="007F4F2A"/>
    <w:rsid w:val="007F4F51"/>
    <w:rsid w:val="007F5B54"/>
    <w:rsid w:val="00800B93"/>
    <w:rsid w:val="00801300"/>
    <w:rsid w:val="0080168A"/>
    <w:rsid w:val="00801A4F"/>
    <w:rsid w:val="00802C64"/>
    <w:rsid w:val="0080470D"/>
    <w:rsid w:val="00804E2D"/>
    <w:rsid w:val="00805E52"/>
    <w:rsid w:val="008061D0"/>
    <w:rsid w:val="008101FF"/>
    <w:rsid w:val="00810B38"/>
    <w:rsid w:val="008152B6"/>
    <w:rsid w:val="008204C7"/>
    <w:rsid w:val="00820992"/>
    <w:rsid w:val="00820DB6"/>
    <w:rsid w:val="00821A27"/>
    <w:rsid w:val="00821B01"/>
    <w:rsid w:val="00823430"/>
    <w:rsid w:val="00823602"/>
    <w:rsid w:val="00825359"/>
    <w:rsid w:val="008255F5"/>
    <w:rsid w:val="00825FC2"/>
    <w:rsid w:val="00825FD5"/>
    <w:rsid w:val="0083014E"/>
    <w:rsid w:val="00831DBC"/>
    <w:rsid w:val="0083214A"/>
    <w:rsid w:val="008323C4"/>
    <w:rsid w:val="00832AE2"/>
    <w:rsid w:val="0083327C"/>
    <w:rsid w:val="00834220"/>
    <w:rsid w:val="00834AC2"/>
    <w:rsid w:val="00834F95"/>
    <w:rsid w:val="00836C77"/>
    <w:rsid w:val="00840620"/>
    <w:rsid w:val="008409FE"/>
    <w:rsid w:val="00841AC8"/>
    <w:rsid w:val="00842E39"/>
    <w:rsid w:val="0084351A"/>
    <w:rsid w:val="00844833"/>
    <w:rsid w:val="00844F51"/>
    <w:rsid w:val="00845723"/>
    <w:rsid w:val="008461D3"/>
    <w:rsid w:val="00850D1B"/>
    <w:rsid w:val="0085189A"/>
    <w:rsid w:val="00851EF9"/>
    <w:rsid w:val="00853974"/>
    <w:rsid w:val="00855611"/>
    <w:rsid w:val="00857231"/>
    <w:rsid w:val="008577FD"/>
    <w:rsid w:val="00860B03"/>
    <w:rsid w:val="0086497A"/>
    <w:rsid w:val="00864C0F"/>
    <w:rsid w:val="00870A09"/>
    <w:rsid w:val="008713A1"/>
    <w:rsid w:val="00872204"/>
    <w:rsid w:val="00872BB0"/>
    <w:rsid w:val="00874C8F"/>
    <w:rsid w:val="008754AB"/>
    <w:rsid w:val="00875AB3"/>
    <w:rsid w:val="008761F5"/>
    <w:rsid w:val="0088060C"/>
    <w:rsid w:val="00880E80"/>
    <w:rsid w:val="00883D75"/>
    <w:rsid w:val="0088645F"/>
    <w:rsid w:val="00886543"/>
    <w:rsid w:val="00886D6E"/>
    <w:rsid w:val="0089027D"/>
    <w:rsid w:val="00892758"/>
    <w:rsid w:val="00893576"/>
    <w:rsid w:val="00893650"/>
    <w:rsid w:val="00893E73"/>
    <w:rsid w:val="008964C8"/>
    <w:rsid w:val="008965C7"/>
    <w:rsid w:val="008A17DA"/>
    <w:rsid w:val="008A1ADD"/>
    <w:rsid w:val="008A2CCE"/>
    <w:rsid w:val="008B02DC"/>
    <w:rsid w:val="008B103E"/>
    <w:rsid w:val="008B4DAF"/>
    <w:rsid w:val="008B57CE"/>
    <w:rsid w:val="008B5BAB"/>
    <w:rsid w:val="008C01C2"/>
    <w:rsid w:val="008C26DE"/>
    <w:rsid w:val="008C30C1"/>
    <w:rsid w:val="008C3363"/>
    <w:rsid w:val="008C3385"/>
    <w:rsid w:val="008C73E1"/>
    <w:rsid w:val="008D034C"/>
    <w:rsid w:val="008D0683"/>
    <w:rsid w:val="008D2225"/>
    <w:rsid w:val="008D4752"/>
    <w:rsid w:val="008D4997"/>
    <w:rsid w:val="008D6B13"/>
    <w:rsid w:val="008D7298"/>
    <w:rsid w:val="008D7B02"/>
    <w:rsid w:val="008E271C"/>
    <w:rsid w:val="008E2E39"/>
    <w:rsid w:val="008E418E"/>
    <w:rsid w:val="008E4B73"/>
    <w:rsid w:val="008E5BC6"/>
    <w:rsid w:val="008E5BFD"/>
    <w:rsid w:val="008E6A25"/>
    <w:rsid w:val="008E6C6A"/>
    <w:rsid w:val="008F2152"/>
    <w:rsid w:val="008F21E3"/>
    <w:rsid w:val="008F3555"/>
    <w:rsid w:val="008F5193"/>
    <w:rsid w:val="008F56FB"/>
    <w:rsid w:val="009013A7"/>
    <w:rsid w:val="009017FB"/>
    <w:rsid w:val="009017FC"/>
    <w:rsid w:val="00904573"/>
    <w:rsid w:val="0090506B"/>
    <w:rsid w:val="009050C9"/>
    <w:rsid w:val="009062BC"/>
    <w:rsid w:val="009063F1"/>
    <w:rsid w:val="009066FC"/>
    <w:rsid w:val="00906D1E"/>
    <w:rsid w:val="009140A3"/>
    <w:rsid w:val="00914236"/>
    <w:rsid w:val="009144A2"/>
    <w:rsid w:val="0091510C"/>
    <w:rsid w:val="00916E75"/>
    <w:rsid w:val="00917CCA"/>
    <w:rsid w:val="00921826"/>
    <w:rsid w:val="009259AC"/>
    <w:rsid w:val="00925B39"/>
    <w:rsid w:val="00925CD9"/>
    <w:rsid w:val="00926AD5"/>
    <w:rsid w:val="00926F38"/>
    <w:rsid w:val="00927457"/>
    <w:rsid w:val="00927658"/>
    <w:rsid w:val="00927D19"/>
    <w:rsid w:val="00931C7C"/>
    <w:rsid w:val="009323DE"/>
    <w:rsid w:val="009341CC"/>
    <w:rsid w:val="00934301"/>
    <w:rsid w:val="0093515F"/>
    <w:rsid w:val="009367E2"/>
    <w:rsid w:val="00936C2D"/>
    <w:rsid w:val="00936CD1"/>
    <w:rsid w:val="0093705A"/>
    <w:rsid w:val="00941747"/>
    <w:rsid w:val="00941EFB"/>
    <w:rsid w:val="0094316D"/>
    <w:rsid w:val="009442A7"/>
    <w:rsid w:val="00946D91"/>
    <w:rsid w:val="00947AFB"/>
    <w:rsid w:val="00951385"/>
    <w:rsid w:val="00951D7D"/>
    <w:rsid w:val="00952B44"/>
    <w:rsid w:val="00955CC6"/>
    <w:rsid w:val="0096057F"/>
    <w:rsid w:val="009630C7"/>
    <w:rsid w:val="0096746E"/>
    <w:rsid w:val="00967845"/>
    <w:rsid w:val="00970DD0"/>
    <w:rsid w:val="00971ED9"/>
    <w:rsid w:val="00972B55"/>
    <w:rsid w:val="009738A6"/>
    <w:rsid w:val="009743B7"/>
    <w:rsid w:val="00975421"/>
    <w:rsid w:val="00975E4A"/>
    <w:rsid w:val="00976D6D"/>
    <w:rsid w:val="0098118C"/>
    <w:rsid w:val="00981ED9"/>
    <w:rsid w:val="0098228B"/>
    <w:rsid w:val="009828DA"/>
    <w:rsid w:val="00983E44"/>
    <w:rsid w:val="009843F3"/>
    <w:rsid w:val="00985598"/>
    <w:rsid w:val="00985BAB"/>
    <w:rsid w:val="00986E4D"/>
    <w:rsid w:val="0098728A"/>
    <w:rsid w:val="009876E1"/>
    <w:rsid w:val="00987A4E"/>
    <w:rsid w:val="00991ED6"/>
    <w:rsid w:val="00992690"/>
    <w:rsid w:val="00995C60"/>
    <w:rsid w:val="009A0AC2"/>
    <w:rsid w:val="009A3638"/>
    <w:rsid w:val="009A7E81"/>
    <w:rsid w:val="009B1240"/>
    <w:rsid w:val="009B1B5F"/>
    <w:rsid w:val="009B2212"/>
    <w:rsid w:val="009B3F99"/>
    <w:rsid w:val="009B49AA"/>
    <w:rsid w:val="009B6673"/>
    <w:rsid w:val="009B6D95"/>
    <w:rsid w:val="009C02B1"/>
    <w:rsid w:val="009C0CE9"/>
    <w:rsid w:val="009C191B"/>
    <w:rsid w:val="009C27C0"/>
    <w:rsid w:val="009C2BD6"/>
    <w:rsid w:val="009C5881"/>
    <w:rsid w:val="009C7C92"/>
    <w:rsid w:val="009D0948"/>
    <w:rsid w:val="009D16B0"/>
    <w:rsid w:val="009D38E4"/>
    <w:rsid w:val="009D44F4"/>
    <w:rsid w:val="009D5BCE"/>
    <w:rsid w:val="009D61F0"/>
    <w:rsid w:val="009D7922"/>
    <w:rsid w:val="009D7D21"/>
    <w:rsid w:val="009E0BB8"/>
    <w:rsid w:val="009E1F32"/>
    <w:rsid w:val="009E5D1A"/>
    <w:rsid w:val="009E776C"/>
    <w:rsid w:val="009F34BF"/>
    <w:rsid w:val="009F4799"/>
    <w:rsid w:val="009F6521"/>
    <w:rsid w:val="00A00144"/>
    <w:rsid w:val="00A02D05"/>
    <w:rsid w:val="00A03065"/>
    <w:rsid w:val="00A038D3"/>
    <w:rsid w:val="00A11726"/>
    <w:rsid w:val="00A11903"/>
    <w:rsid w:val="00A15D64"/>
    <w:rsid w:val="00A16204"/>
    <w:rsid w:val="00A16668"/>
    <w:rsid w:val="00A1726E"/>
    <w:rsid w:val="00A20238"/>
    <w:rsid w:val="00A204CF"/>
    <w:rsid w:val="00A236D4"/>
    <w:rsid w:val="00A23D49"/>
    <w:rsid w:val="00A2486B"/>
    <w:rsid w:val="00A24A2C"/>
    <w:rsid w:val="00A27004"/>
    <w:rsid w:val="00A30C29"/>
    <w:rsid w:val="00A321B5"/>
    <w:rsid w:val="00A34DD6"/>
    <w:rsid w:val="00A353C0"/>
    <w:rsid w:val="00A35C54"/>
    <w:rsid w:val="00A3608B"/>
    <w:rsid w:val="00A36819"/>
    <w:rsid w:val="00A36989"/>
    <w:rsid w:val="00A36D7D"/>
    <w:rsid w:val="00A43308"/>
    <w:rsid w:val="00A43628"/>
    <w:rsid w:val="00A43EEE"/>
    <w:rsid w:val="00A52901"/>
    <w:rsid w:val="00A5402B"/>
    <w:rsid w:val="00A54192"/>
    <w:rsid w:val="00A54212"/>
    <w:rsid w:val="00A54C33"/>
    <w:rsid w:val="00A57C0C"/>
    <w:rsid w:val="00A6035E"/>
    <w:rsid w:val="00A6144C"/>
    <w:rsid w:val="00A643EE"/>
    <w:rsid w:val="00A65389"/>
    <w:rsid w:val="00A66617"/>
    <w:rsid w:val="00A667C1"/>
    <w:rsid w:val="00A671F8"/>
    <w:rsid w:val="00A673A4"/>
    <w:rsid w:val="00A67531"/>
    <w:rsid w:val="00A70535"/>
    <w:rsid w:val="00A70576"/>
    <w:rsid w:val="00A724AE"/>
    <w:rsid w:val="00A73329"/>
    <w:rsid w:val="00A738B4"/>
    <w:rsid w:val="00A74BC1"/>
    <w:rsid w:val="00A754A1"/>
    <w:rsid w:val="00A8038F"/>
    <w:rsid w:val="00A82359"/>
    <w:rsid w:val="00A82EB1"/>
    <w:rsid w:val="00A83AAF"/>
    <w:rsid w:val="00A84CA6"/>
    <w:rsid w:val="00A85F09"/>
    <w:rsid w:val="00A860C6"/>
    <w:rsid w:val="00A865D2"/>
    <w:rsid w:val="00A87FC1"/>
    <w:rsid w:val="00A91182"/>
    <w:rsid w:val="00A937E3"/>
    <w:rsid w:val="00A93FAC"/>
    <w:rsid w:val="00A94C20"/>
    <w:rsid w:val="00A96C44"/>
    <w:rsid w:val="00AA140E"/>
    <w:rsid w:val="00AA1AC6"/>
    <w:rsid w:val="00AA227F"/>
    <w:rsid w:val="00AA3BC7"/>
    <w:rsid w:val="00AA754A"/>
    <w:rsid w:val="00AB0707"/>
    <w:rsid w:val="00AB099E"/>
    <w:rsid w:val="00AB0AF1"/>
    <w:rsid w:val="00AB4328"/>
    <w:rsid w:val="00AC0084"/>
    <w:rsid w:val="00AC0824"/>
    <w:rsid w:val="00AC0A98"/>
    <w:rsid w:val="00AC201E"/>
    <w:rsid w:val="00AC4EBF"/>
    <w:rsid w:val="00AC7CA1"/>
    <w:rsid w:val="00AD084C"/>
    <w:rsid w:val="00AD24DF"/>
    <w:rsid w:val="00AD30D3"/>
    <w:rsid w:val="00AD36BC"/>
    <w:rsid w:val="00AD412E"/>
    <w:rsid w:val="00AD4816"/>
    <w:rsid w:val="00AD53DB"/>
    <w:rsid w:val="00AD60E9"/>
    <w:rsid w:val="00AD6495"/>
    <w:rsid w:val="00AE0175"/>
    <w:rsid w:val="00AE0A2E"/>
    <w:rsid w:val="00AE354C"/>
    <w:rsid w:val="00AE4D9D"/>
    <w:rsid w:val="00AE54D8"/>
    <w:rsid w:val="00AE65CE"/>
    <w:rsid w:val="00AF162E"/>
    <w:rsid w:val="00AF1FD0"/>
    <w:rsid w:val="00AF4B07"/>
    <w:rsid w:val="00AF5722"/>
    <w:rsid w:val="00AF5B33"/>
    <w:rsid w:val="00AF5CC8"/>
    <w:rsid w:val="00AF6186"/>
    <w:rsid w:val="00AF722C"/>
    <w:rsid w:val="00AF7A3A"/>
    <w:rsid w:val="00B019DB"/>
    <w:rsid w:val="00B06610"/>
    <w:rsid w:val="00B0711B"/>
    <w:rsid w:val="00B07680"/>
    <w:rsid w:val="00B11407"/>
    <w:rsid w:val="00B116A8"/>
    <w:rsid w:val="00B117C9"/>
    <w:rsid w:val="00B11EF6"/>
    <w:rsid w:val="00B1317A"/>
    <w:rsid w:val="00B13188"/>
    <w:rsid w:val="00B1434B"/>
    <w:rsid w:val="00B15992"/>
    <w:rsid w:val="00B160DB"/>
    <w:rsid w:val="00B17060"/>
    <w:rsid w:val="00B206BB"/>
    <w:rsid w:val="00B20836"/>
    <w:rsid w:val="00B209DC"/>
    <w:rsid w:val="00B226FE"/>
    <w:rsid w:val="00B22C45"/>
    <w:rsid w:val="00B23343"/>
    <w:rsid w:val="00B235BB"/>
    <w:rsid w:val="00B23B18"/>
    <w:rsid w:val="00B2487B"/>
    <w:rsid w:val="00B256EC"/>
    <w:rsid w:val="00B27A44"/>
    <w:rsid w:val="00B301C8"/>
    <w:rsid w:val="00B30BBF"/>
    <w:rsid w:val="00B33C03"/>
    <w:rsid w:val="00B35AB9"/>
    <w:rsid w:val="00B37DDD"/>
    <w:rsid w:val="00B4216B"/>
    <w:rsid w:val="00B4335B"/>
    <w:rsid w:val="00B44BFF"/>
    <w:rsid w:val="00B44E56"/>
    <w:rsid w:val="00B46543"/>
    <w:rsid w:val="00B47D33"/>
    <w:rsid w:val="00B50D0E"/>
    <w:rsid w:val="00B51F32"/>
    <w:rsid w:val="00B52BE0"/>
    <w:rsid w:val="00B54133"/>
    <w:rsid w:val="00B56318"/>
    <w:rsid w:val="00B5709E"/>
    <w:rsid w:val="00B64A55"/>
    <w:rsid w:val="00B701ED"/>
    <w:rsid w:val="00B704E4"/>
    <w:rsid w:val="00B721CD"/>
    <w:rsid w:val="00B72F83"/>
    <w:rsid w:val="00B73F87"/>
    <w:rsid w:val="00B7534A"/>
    <w:rsid w:val="00B804A8"/>
    <w:rsid w:val="00B8086C"/>
    <w:rsid w:val="00B83393"/>
    <w:rsid w:val="00B83499"/>
    <w:rsid w:val="00B83EF5"/>
    <w:rsid w:val="00B851D2"/>
    <w:rsid w:val="00B85D65"/>
    <w:rsid w:val="00B861B4"/>
    <w:rsid w:val="00B86DFE"/>
    <w:rsid w:val="00B870B3"/>
    <w:rsid w:val="00B90990"/>
    <w:rsid w:val="00B922FF"/>
    <w:rsid w:val="00B9281E"/>
    <w:rsid w:val="00B93227"/>
    <w:rsid w:val="00B935FE"/>
    <w:rsid w:val="00B93925"/>
    <w:rsid w:val="00B93ECF"/>
    <w:rsid w:val="00B95187"/>
    <w:rsid w:val="00B9776F"/>
    <w:rsid w:val="00B97829"/>
    <w:rsid w:val="00BA0314"/>
    <w:rsid w:val="00BA0A9F"/>
    <w:rsid w:val="00BA2879"/>
    <w:rsid w:val="00BA2D55"/>
    <w:rsid w:val="00BA3107"/>
    <w:rsid w:val="00BA3768"/>
    <w:rsid w:val="00BA5169"/>
    <w:rsid w:val="00BA5282"/>
    <w:rsid w:val="00BA71B1"/>
    <w:rsid w:val="00BA7885"/>
    <w:rsid w:val="00BB0637"/>
    <w:rsid w:val="00BB345F"/>
    <w:rsid w:val="00BB5FD7"/>
    <w:rsid w:val="00BB68EA"/>
    <w:rsid w:val="00BC0EB7"/>
    <w:rsid w:val="00BC1C27"/>
    <w:rsid w:val="00BC33EF"/>
    <w:rsid w:val="00BC3748"/>
    <w:rsid w:val="00BC47F6"/>
    <w:rsid w:val="00BC4A8F"/>
    <w:rsid w:val="00BC5669"/>
    <w:rsid w:val="00BC6BBF"/>
    <w:rsid w:val="00BD0653"/>
    <w:rsid w:val="00BD1572"/>
    <w:rsid w:val="00BD78E6"/>
    <w:rsid w:val="00BE14E3"/>
    <w:rsid w:val="00BE1A3E"/>
    <w:rsid w:val="00BE3774"/>
    <w:rsid w:val="00BE41E5"/>
    <w:rsid w:val="00BE7A71"/>
    <w:rsid w:val="00BF1ECD"/>
    <w:rsid w:val="00BF3334"/>
    <w:rsid w:val="00BF4109"/>
    <w:rsid w:val="00BF4CC3"/>
    <w:rsid w:val="00BF5E24"/>
    <w:rsid w:val="00BF5E81"/>
    <w:rsid w:val="00BF6E8F"/>
    <w:rsid w:val="00BF7489"/>
    <w:rsid w:val="00C03AF0"/>
    <w:rsid w:val="00C054C7"/>
    <w:rsid w:val="00C057B5"/>
    <w:rsid w:val="00C06E15"/>
    <w:rsid w:val="00C07F83"/>
    <w:rsid w:val="00C1262B"/>
    <w:rsid w:val="00C15D1C"/>
    <w:rsid w:val="00C16712"/>
    <w:rsid w:val="00C22687"/>
    <w:rsid w:val="00C2292E"/>
    <w:rsid w:val="00C22FB8"/>
    <w:rsid w:val="00C233E8"/>
    <w:rsid w:val="00C24185"/>
    <w:rsid w:val="00C251DE"/>
    <w:rsid w:val="00C25206"/>
    <w:rsid w:val="00C2750E"/>
    <w:rsid w:val="00C31146"/>
    <w:rsid w:val="00C314E5"/>
    <w:rsid w:val="00C31D9B"/>
    <w:rsid w:val="00C32E4D"/>
    <w:rsid w:val="00C333A0"/>
    <w:rsid w:val="00C33ACD"/>
    <w:rsid w:val="00C36408"/>
    <w:rsid w:val="00C36A81"/>
    <w:rsid w:val="00C37650"/>
    <w:rsid w:val="00C410FA"/>
    <w:rsid w:val="00C41149"/>
    <w:rsid w:val="00C41388"/>
    <w:rsid w:val="00C41974"/>
    <w:rsid w:val="00C4500A"/>
    <w:rsid w:val="00C45251"/>
    <w:rsid w:val="00C51B51"/>
    <w:rsid w:val="00C523EC"/>
    <w:rsid w:val="00C52462"/>
    <w:rsid w:val="00C539AE"/>
    <w:rsid w:val="00C53F4A"/>
    <w:rsid w:val="00C54125"/>
    <w:rsid w:val="00C55B54"/>
    <w:rsid w:val="00C57440"/>
    <w:rsid w:val="00C6098E"/>
    <w:rsid w:val="00C611D8"/>
    <w:rsid w:val="00C6152C"/>
    <w:rsid w:val="00C63990"/>
    <w:rsid w:val="00C64864"/>
    <w:rsid w:val="00C64EF6"/>
    <w:rsid w:val="00C65050"/>
    <w:rsid w:val="00C66AE6"/>
    <w:rsid w:val="00C70643"/>
    <w:rsid w:val="00C72561"/>
    <w:rsid w:val="00C74810"/>
    <w:rsid w:val="00C77099"/>
    <w:rsid w:val="00C82EBC"/>
    <w:rsid w:val="00C8624F"/>
    <w:rsid w:val="00C8636D"/>
    <w:rsid w:val="00C90D68"/>
    <w:rsid w:val="00C91601"/>
    <w:rsid w:val="00C91D73"/>
    <w:rsid w:val="00C93158"/>
    <w:rsid w:val="00C939FE"/>
    <w:rsid w:val="00C96271"/>
    <w:rsid w:val="00C96E55"/>
    <w:rsid w:val="00CA01A0"/>
    <w:rsid w:val="00CA0534"/>
    <w:rsid w:val="00CA0743"/>
    <w:rsid w:val="00CA1A3E"/>
    <w:rsid w:val="00CA3B09"/>
    <w:rsid w:val="00CA48D2"/>
    <w:rsid w:val="00CA4BDA"/>
    <w:rsid w:val="00CA7552"/>
    <w:rsid w:val="00CA7BE4"/>
    <w:rsid w:val="00CB1E83"/>
    <w:rsid w:val="00CB1F66"/>
    <w:rsid w:val="00CB2951"/>
    <w:rsid w:val="00CB39D6"/>
    <w:rsid w:val="00CB446F"/>
    <w:rsid w:val="00CB461B"/>
    <w:rsid w:val="00CB474C"/>
    <w:rsid w:val="00CB5920"/>
    <w:rsid w:val="00CB7A04"/>
    <w:rsid w:val="00CC3F9C"/>
    <w:rsid w:val="00CC3FE5"/>
    <w:rsid w:val="00CC512F"/>
    <w:rsid w:val="00CC5400"/>
    <w:rsid w:val="00CC582E"/>
    <w:rsid w:val="00CC71E6"/>
    <w:rsid w:val="00CC776A"/>
    <w:rsid w:val="00CC7CB6"/>
    <w:rsid w:val="00CD0501"/>
    <w:rsid w:val="00CD1338"/>
    <w:rsid w:val="00CD20EA"/>
    <w:rsid w:val="00CD275F"/>
    <w:rsid w:val="00CD282B"/>
    <w:rsid w:val="00CD2F65"/>
    <w:rsid w:val="00CD30AB"/>
    <w:rsid w:val="00CD4C35"/>
    <w:rsid w:val="00CD5BEE"/>
    <w:rsid w:val="00CD7369"/>
    <w:rsid w:val="00CD7F49"/>
    <w:rsid w:val="00CE07AA"/>
    <w:rsid w:val="00CE0B0E"/>
    <w:rsid w:val="00CE1A54"/>
    <w:rsid w:val="00CE210F"/>
    <w:rsid w:val="00CE3831"/>
    <w:rsid w:val="00CE3EFE"/>
    <w:rsid w:val="00CE5026"/>
    <w:rsid w:val="00CE68D0"/>
    <w:rsid w:val="00CF17CB"/>
    <w:rsid w:val="00CF2D82"/>
    <w:rsid w:val="00CF3DA7"/>
    <w:rsid w:val="00CF60EC"/>
    <w:rsid w:val="00CF6669"/>
    <w:rsid w:val="00CF7D1D"/>
    <w:rsid w:val="00D00ABB"/>
    <w:rsid w:val="00D02300"/>
    <w:rsid w:val="00D026C4"/>
    <w:rsid w:val="00D02703"/>
    <w:rsid w:val="00D02EEC"/>
    <w:rsid w:val="00D02F4A"/>
    <w:rsid w:val="00D03551"/>
    <w:rsid w:val="00D04AF3"/>
    <w:rsid w:val="00D059A2"/>
    <w:rsid w:val="00D065BC"/>
    <w:rsid w:val="00D06A63"/>
    <w:rsid w:val="00D07E0E"/>
    <w:rsid w:val="00D11478"/>
    <w:rsid w:val="00D12CC1"/>
    <w:rsid w:val="00D15ED0"/>
    <w:rsid w:val="00D21B3E"/>
    <w:rsid w:val="00D21FED"/>
    <w:rsid w:val="00D24251"/>
    <w:rsid w:val="00D24484"/>
    <w:rsid w:val="00D250D7"/>
    <w:rsid w:val="00D255A2"/>
    <w:rsid w:val="00D30BF9"/>
    <w:rsid w:val="00D341D7"/>
    <w:rsid w:val="00D343E2"/>
    <w:rsid w:val="00D361A2"/>
    <w:rsid w:val="00D37C1F"/>
    <w:rsid w:val="00D40C86"/>
    <w:rsid w:val="00D41C9F"/>
    <w:rsid w:val="00D42521"/>
    <w:rsid w:val="00D42AFF"/>
    <w:rsid w:val="00D44C2E"/>
    <w:rsid w:val="00D451A1"/>
    <w:rsid w:val="00D45414"/>
    <w:rsid w:val="00D45A06"/>
    <w:rsid w:val="00D51CC3"/>
    <w:rsid w:val="00D52AB5"/>
    <w:rsid w:val="00D566BD"/>
    <w:rsid w:val="00D576CF"/>
    <w:rsid w:val="00D57A4D"/>
    <w:rsid w:val="00D60AA7"/>
    <w:rsid w:val="00D617C4"/>
    <w:rsid w:val="00D6435F"/>
    <w:rsid w:val="00D65764"/>
    <w:rsid w:val="00D67487"/>
    <w:rsid w:val="00D67B74"/>
    <w:rsid w:val="00D72C49"/>
    <w:rsid w:val="00D73B2B"/>
    <w:rsid w:val="00D747CA"/>
    <w:rsid w:val="00D75D1F"/>
    <w:rsid w:val="00D75E28"/>
    <w:rsid w:val="00D76D4B"/>
    <w:rsid w:val="00D772C2"/>
    <w:rsid w:val="00D77F42"/>
    <w:rsid w:val="00D8008E"/>
    <w:rsid w:val="00D82B67"/>
    <w:rsid w:val="00D82C45"/>
    <w:rsid w:val="00D908A8"/>
    <w:rsid w:val="00D91DFE"/>
    <w:rsid w:val="00D91E60"/>
    <w:rsid w:val="00D92B39"/>
    <w:rsid w:val="00D93ABE"/>
    <w:rsid w:val="00D93BBC"/>
    <w:rsid w:val="00D977B6"/>
    <w:rsid w:val="00DA0538"/>
    <w:rsid w:val="00DA1665"/>
    <w:rsid w:val="00DA2CDA"/>
    <w:rsid w:val="00DA4A31"/>
    <w:rsid w:val="00DA53F6"/>
    <w:rsid w:val="00DA7B04"/>
    <w:rsid w:val="00DB10DC"/>
    <w:rsid w:val="00DB11D6"/>
    <w:rsid w:val="00DB29A2"/>
    <w:rsid w:val="00DB2F5A"/>
    <w:rsid w:val="00DB36C2"/>
    <w:rsid w:val="00DB4F52"/>
    <w:rsid w:val="00DB7552"/>
    <w:rsid w:val="00DB76B9"/>
    <w:rsid w:val="00DB78D5"/>
    <w:rsid w:val="00DB7CF3"/>
    <w:rsid w:val="00DC064C"/>
    <w:rsid w:val="00DC123E"/>
    <w:rsid w:val="00DC169B"/>
    <w:rsid w:val="00DC2AB9"/>
    <w:rsid w:val="00DC474C"/>
    <w:rsid w:val="00DC5A13"/>
    <w:rsid w:val="00DC63F0"/>
    <w:rsid w:val="00DD12FA"/>
    <w:rsid w:val="00DD2227"/>
    <w:rsid w:val="00DD38AA"/>
    <w:rsid w:val="00DD4AAB"/>
    <w:rsid w:val="00DD4F23"/>
    <w:rsid w:val="00DD5146"/>
    <w:rsid w:val="00DD6EE5"/>
    <w:rsid w:val="00DE06D7"/>
    <w:rsid w:val="00DE386C"/>
    <w:rsid w:val="00DE4D35"/>
    <w:rsid w:val="00DE572F"/>
    <w:rsid w:val="00DE6D4E"/>
    <w:rsid w:val="00DF098B"/>
    <w:rsid w:val="00DF11C4"/>
    <w:rsid w:val="00DF210C"/>
    <w:rsid w:val="00DF21AC"/>
    <w:rsid w:val="00DF4838"/>
    <w:rsid w:val="00DF4B6A"/>
    <w:rsid w:val="00DF5EB1"/>
    <w:rsid w:val="00DF6657"/>
    <w:rsid w:val="00E017B8"/>
    <w:rsid w:val="00E01E65"/>
    <w:rsid w:val="00E02C09"/>
    <w:rsid w:val="00E04D59"/>
    <w:rsid w:val="00E051F5"/>
    <w:rsid w:val="00E05285"/>
    <w:rsid w:val="00E07DA1"/>
    <w:rsid w:val="00E10D42"/>
    <w:rsid w:val="00E116C5"/>
    <w:rsid w:val="00E123CB"/>
    <w:rsid w:val="00E20E13"/>
    <w:rsid w:val="00E2161B"/>
    <w:rsid w:val="00E219AB"/>
    <w:rsid w:val="00E21DBC"/>
    <w:rsid w:val="00E23484"/>
    <w:rsid w:val="00E24EA3"/>
    <w:rsid w:val="00E25E1C"/>
    <w:rsid w:val="00E275D7"/>
    <w:rsid w:val="00E27DBE"/>
    <w:rsid w:val="00E3092E"/>
    <w:rsid w:val="00E32AB1"/>
    <w:rsid w:val="00E34DDD"/>
    <w:rsid w:val="00E36C71"/>
    <w:rsid w:val="00E373F5"/>
    <w:rsid w:val="00E40404"/>
    <w:rsid w:val="00E40595"/>
    <w:rsid w:val="00E4286C"/>
    <w:rsid w:val="00E42F08"/>
    <w:rsid w:val="00E43C3C"/>
    <w:rsid w:val="00E4529A"/>
    <w:rsid w:val="00E459C6"/>
    <w:rsid w:val="00E47589"/>
    <w:rsid w:val="00E54212"/>
    <w:rsid w:val="00E573A4"/>
    <w:rsid w:val="00E61283"/>
    <w:rsid w:val="00E623DF"/>
    <w:rsid w:val="00E632ED"/>
    <w:rsid w:val="00E64915"/>
    <w:rsid w:val="00E652E1"/>
    <w:rsid w:val="00E661D4"/>
    <w:rsid w:val="00E70091"/>
    <w:rsid w:val="00E70AA0"/>
    <w:rsid w:val="00E70ADF"/>
    <w:rsid w:val="00E71E51"/>
    <w:rsid w:val="00E720F5"/>
    <w:rsid w:val="00E721C7"/>
    <w:rsid w:val="00E7309B"/>
    <w:rsid w:val="00E76D47"/>
    <w:rsid w:val="00E77CB3"/>
    <w:rsid w:val="00E82E35"/>
    <w:rsid w:val="00E83C53"/>
    <w:rsid w:val="00E849F7"/>
    <w:rsid w:val="00E85548"/>
    <w:rsid w:val="00E85CA7"/>
    <w:rsid w:val="00E864BA"/>
    <w:rsid w:val="00E8667F"/>
    <w:rsid w:val="00E87BE2"/>
    <w:rsid w:val="00E90302"/>
    <w:rsid w:val="00E91B91"/>
    <w:rsid w:val="00E920CD"/>
    <w:rsid w:val="00E9345A"/>
    <w:rsid w:val="00E97396"/>
    <w:rsid w:val="00EA11FC"/>
    <w:rsid w:val="00EA185E"/>
    <w:rsid w:val="00EA1AD7"/>
    <w:rsid w:val="00EA3064"/>
    <w:rsid w:val="00EA592A"/>
    <w:rsid w:val="00EA5D24"/>
    <w:rsid w:val="00EB0764"/>
    <w:rsid w:val="00EB14E4"/>
    <w:rsid w:val="00EB1E34"/>
    <w:rsid w:val="00EB274B"/>
    <w:rsid w:val="00EB32A5"/>
    <w:rsid w:val="00EB34ED"/>
    <w:rsid w:val="00EB4931"/>
    <w:rsid w:val="00EB6A75"/>
    <w:rsid w:val="00EB7BE0"/>
    <w:rsid w:val="00EB7C1F"/>
    <w:rsid w:val="00EB7E63"/>
    <w:rsid w:val="00EC138F"/>
    <w:rsid w:val="00EC21CE"/>
    <w:rsid w:val="00EC2A98"/>
    <w:rsid w:val="00EC315E"/>
    <w:rsid w:val="00EC58A9"/>
    <w:rsid w:val="00EC5FFA"/>
    <w:rsid w:val="00ED05D6"/>
    <w:rsid w:val="00ED077C"/>
    <w:rsid w:val="00ED1190"/>
    <w:rsid w:val="00ED148E"/>
    <w:rsid w:val="00ED1B97"/>
    <w:rsid w:val="00ED6544"/>
    <w:rsid w:val="00EE01F8"/>
    <w:rsid w:val="00EE0277"/>
    <w:rsid w:val="00EE3133"/>
    <w:rsid w:val="00EE3E00"/>
    <w:rsid w:val="00EE5DD2"/>
    <w:rsid w:val="00EE62E3"/>
    <w:rsid w:val="00EF0A2E"/>
    <w:rsid w:val="00EF1D10"/>
    <w:rsid w:val="00EF45D6"/>
    <w:rsid w:val="00EF63C2"/>
    <w:rsid w:val="00F0031D"/>
    <w:rsid w:val="00F00A79"/>
    <w:rsid w:val="00F00E86"/>
    <w:rsid w:val="00F0353A"/>
    <w:rsid w:val="00F06C88"/>
    <w:rsid w:val="00F07C1E"/>
    <w:rsid w:val="00F105DB"/>
    <w:rsid w:val="00F121FA"/>
    <w:rsid w:val="00F12AAD"/>
    <w:rsid w:val="00F132BC"/>
    <w:rsid w:val="00F13D80"/>
    <w:rsid w:val="00F1404F"/>
    <w:rsid w:val="00F16820"/>
    <w:rsid w:val="00F16AAA"/>
    <w:rsid w:val="00F16F5D"/>
    <w:rsid w:val="00F1769B"/>
    <w:rsid w:val="00F17B1B"/>
    <w:rsid w:val="00F20AF6"/>
    <w:rsid w:val="00F21161"/>
    <w:rsid w:val="00F218EF"/>
    <w:rsid w:val="00F21BC7"/>
    <w:rsid w:val="00F266A2"/>
    <w:rsid w:val="00F30142"/>
    <w:rsid w:val="00F30F63"/>
    <w:rsid w:val="00F32094"/>
    <w:rsid w:val="00F32269"/>
    <w:rsid w:val="00F33750"/>
    <w:rsid w:val="00F3587F"/>
    <w:rsid w:val="00F4089A"/>
    <w:rsid w:val="00F4148F"/>
    <w:rsid w:val="00F42049"/>
    <w:rsid w:val="00F46B8A"/>
    <w:rsid w:val="00F46DF0"/>
    <w:rsid w:val="00F516EE"/>
    <w:rsid w:val="00F52596"/>
    <w:rsid w:val="00F542E3"/>
    <w:rsid w:val="00F559C3"/>
    <w:rsid w:val="00F56A6F"/>
    <w:rsid w:val="00F56EE1"/>
    <w:rsid w:val="00F5709C"/>
    <w:rsid w:val="00F57471"/>
    <w:rsid w:val="00F602C5"/>
    <w:rsid w:val="00F603EE"/>
    <w:rsid w:val="00F64EF1"/>
    <w:rsid w:val="00F65DAA"/>
    <w:rsid w:val="00F67054"/>
    <w:rsid w:val="00F67263"/>
    <w:rsid w:val="00F748EF"/>
    <w:rsid w:val="00F80F70"/>
    <w:rsid w:val="00F8225F"/>
    <w:rsid w:val="00F8399F"/>
    <w:rsid w:val="00F83FF4"/>
    <w:rsid w:val="00F86860"/>
    <w:rsid w:val="00F8765F"/>
    <w:rsid w:val="00F90767"/>
    <w:rsid w:val="00F92F26"/>
    <w:rsid w:val="00F93632"/>
    <w:rsid w:val="00F94153"/>
    <w:rsid w:val="00F9561D"/>
    <w:rsid w:val="00FA3A90"/>
    <w:rsid w:val="00FA4339"/>
    <w:rsid w:val="00FA5E41"/>
    <w:rsid w:val="00FA681F"/>
    <w:rsid w:val="00FA685B"/>
    <w:rsid w:val="00FA7F0E"/>
    <w:rsid w:val="00FB049E"/>
    <w:rsid w:val="00FB0C01"/>
    <w:rsid w:val="00FB1246"/>
    <w:rsid w:val="00FB2B45"/>
    <w:rsid w:val="00FB3154"/>
    <w:rsid w:val="00FB5AF4"/>
    <w:rsid w:val="00FB6C44"/>
    <w:rsid w:val="00FC18F2"/>
    <w:rsid w:val="00FC2568"/>
    <w:rsid w:val="00FC39E5"/>
    <w:rsid w:val="00FC3A78"/>
    <w:rsid w:val="00FC5563"/>
    <w:rsid w:val="00FC5A76"/>
    <w:rsid w:val="00FC5B72"/>
    <w:rsid w:val="00FC658A"/>
    <w:rsid w:val="00FC687A"/>
    <w:rsid w:val="00FD1005"/>
    <w:rsid w:val="00FD131B"/>
    <w:rsid w:val="00FD14EB"/>
    <w:rsid w:val="00FD3881"/>
    <w:rsid w:val="00FD56C2"/>
    <w:rsid w:val="00FD6325"/>
    <w:rsid w:val="00FD6A4C"/>
    <w:rsid w:val="00FD6C75"/>
    <w:rsid w:val="00FD7A41"/>
    <w:rsid w:val="00FE2681"/>
    <w:rsid w:val="00FE445F"/>
    <w:rsid w:val="00FE6C30"/>
    <w:rsid w:val="00FE71B3"/>
    <w:rsid w:val="00FF245F"/>
    <w:rsid w:val="00FF42C5"/>
    <w:rsid w:val="00FF7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0F5E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1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/>
    <w:lsdException w:name="macro" w:semiHidden="1" w:unhideWhenUsed="1"/>
    <w:lsdException w:name="toa heading" w:semiHidden="1" w:unhideWhenUsed="1"/>
    <w:lsdException w:name="List" w:semiHidden="1"/>
    <w:lsdException w:name="List Bullet" w:semiHidden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semiHidden/>
    <w:rsid w:val="009A7E81"/>
    <w:rPr>
      <w:sz w:val="24"/>
      <w:szCs w:val="24"/>
      <w:lang w:val="fr-FR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9A7E81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9A7E81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9A7E81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9A7E81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9A7E81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9A7E81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9A7E81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9A7E81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9A7E81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9A7E8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9A7E81"/>
    <w:rPr>
      <w:rFonts w:ascii="Tahoma" w:hAnsi="Tahoma" w:cs="Tahoma"/>
      <w:sz w:val="16"/>
      <w:szCs w:val="16"/>
      <w:lang w:val="fr-FR"/>
    </w:rPr>
  </w:style>
  <w:style w:type="character" w:styleId="Tytuksiki">
    <w:name w:val="Book Title"/>
    <w:uiPriority w:val="98"/>
    <w:semiHidden/>
    <w:qFormat/>
    <w:rsid w:val="009A7E81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9A7E81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ECHRFooter">
    <w:name w:val="ECHR_Footer"/>
    <w:aliases w:val="Footer_ECHR"/>
    <w:basedOn w:val="Stopka"/>
    <w:uiPriority w:val="57"/>
    <w:semiHidden/>
    <w:rsid w:val="00031347"/>
    <w:rPr>
      <w:sz w:val="8"/>
    </w:rPr>
  </w:style>
  <w:style w:type="character" w:styleId="Pogrubienie">
    <w:name w:val="Strong"/>
    <w:uiPriority w:val="98"/>
    <w:semiHidden/>
    <w:qFormat/>
    <w:rsid w:val="009A7E81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9A7E81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9A7E81"/>
    <w:rPr>
      <w:sz w:val="24"/>
      <w:szCs w:val="24"/>
      <w:lang w:val="fr-FR"/>
    </w:rPr>
  </w:style>
  <w:style w:type="paragraph" w:customStyle="1" w:styleId="ECHRFooterLine">
    <w:name w:val="ECHR_Footer_Line"/>
    <w:aliases w:val="_Footer_Line"/>
    <w:basedOn w:val="Normalny"/>
    <w:next w:val="Normalny"/>
    <w:uiPriority w:val="29"/>
    <w:semiHidden/>
    <w:rsid w:val="009A7E81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9A7E81"/>
    <w:pPr>
      <w:numPr>
        <w:numId w:val="5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9A7E81"/>
    <w:pPr>
      <w:numPr>
        <w:ilvl w:val="1"/>
      </w:numPr>
    </w:pPr>
  </w:style>
  <w:style w:type="paragraph" w:customStyle="1" w:styleId="ECHRTitleCentre3">
    <w:name w:val="ECHR_Title_Centre_3"/>
    <w:aliases w:val="_Title_C_3"/>
    <w:basedOn w:val="Normalny"/>
    <w:next w:val="Normalny"/>
    <w:uiPriority w:val="26"/>
    <w:qFormat/>
    <w:rsid w:val="009A7E8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qFormat/>
    <w:rsid w:val="009A7E8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9A7E81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9A7E81"/>
    <w:pPr>
      <w:keepNext/>
      <w:keepLines/>
      <w:spacing w:before="1320" w:after="280"/>
      <w:contextualSpacing/>
      <w:jc w:val="center"/>
    </w:pPr>
    <w:rPr>
      <w:b/>
    </w:rPr>
  </w:style>
  <w:style w:type="paragraph" w:styleId="Tytu">
    <w:name w:val="Title"/>
    <w:basedOn w:val="Normalny"/>
    <w:next w:val="Normalny"/>
    <w:link w:val="TytuZnak"/>
    <w:uiPriority w:val="98"/>
    <w:semiHidden/>
    <w:qFormat/>
    <w:rsid w:val="009A7E81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9A7E81"/>
    <w:rPr>
      <w:rFonts w:asciiTheme="majorHAnsi" w:eastAsiaTheme="majorEastAsia" w:hAnsiTheme="majorHAnsi" w:cstheme="majorBidi"/>
      <w:spacing w:val="5"/>
      <w:sz w:val="52"/>
      <w:szCs w:val="52"/>
      <w:lang w:val="fr-FR" w:bidi="en-US"/>
    </w:rPr>
  </w:style>
  <w:style w:type="paragraph" w:customStyle="1" w:styleId="JuH1">
    <w:name w:val="Ju_H_1."/>
    <w:aliases w:val="_Head_4"/>
    <w:basedOn w:val="Nagwek4"/>
    <w:next w:val="JuPara"/>
    <w:uiPriority w:val="17"/>
    <w:rsid w:val="009A7E81"/>
    <w:pPr>
      <w:keepNext/>
      <w:keepLines/>
      <w:numPr>
        <w:ilvl w:val="3"/>
        <w:numId w:val="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Nagwek5"/>
    <w:next w:val="JuPara"/>
    <w:uiPriority w:val="17"/>
    <w:rsid w:val="009A7E81"/>
    <w:pPr>
      <w:keepNext/>
      <w:keepLines/>
      <w:numPr>
        <w:ilvl w:val="4"/>
        <w:numId w:val="1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9A7E81"/>
    <w:pPr>
      <w:keepNext/>
      <w:keepLines/>
      <w:numPr>
        <w:ilvl w:val="5"/>
        <w:numId w:val="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9A7E81"/>
    <w:pPr>
      <w:keepNext/>
      <w:keepLines/>
      <w:numPr>
        <w:ilvl w:val="6"/>
        <w:numId w:val="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9A7E81"/>
    <w:pPr>
      <w:keepNext/>
      <w:keepLines/>
      <w:numPr>
        <w:ilvl w:val="7"/>
        <w:numId w:val="1"/>
      </w:numPr>
      <w:spacing w:before="100" w:beforeAutospacing="1" w:after="120"/>
      <w:jc w:val="both"/>
    </w:pPr>
    <w:rPr>
      <w:i/>
    </w:rPr>
  </w:style>
  <w:style w:type="paragraph" w:customStyle="1" w:styleId="ECHRBullet3">
    <w:name w:val="ECHR_Bullet_3"/>
    <w:aliases w:val="_Bul_3"/>
    <w:basedOn w:val="ECHRBullet2"/>
    <w:uiPriority w:val="23"/>
    <w:semiHidden/>
    <w:rsid w:val="009A7E81"/>
    <w:pPr>
      <w:numPr>
        <w:ilvl w:val="2"/>
      </w:numPr>
    </w:pPr>
  </w:style>
  <w:style w:type="paragraph" w:customStyle="1" w:styleId="JuInitialled">
    <w:name w:val="Ju_Initialled"/>
    <w:aliases w:val="_Right"/>
    <w:basedOn w:val="Normalny"/>
    <w:uiPriority w:val="30"/>
    <w:qFormat/>
    <w:rsid w:val="009A7E81"/>
    <w:pPr>
      <w:tabs>
        <w:tab w:val="center" w:pos="6407"/>
      </w:tabs>
      <w:spacing w:before="720"/>
      <w:jc w:val="right"/>
    </w:pPr>
  </w:style>
  <w:style w:type="paragraph" w:styleId="Nagwek">
    <w:name w:val="header"/>
    <w:basedOn w:val="Normalny"/>
    <w:link w:val="NagwekZnak"/>
    <w:uiPriority w:val="98"/>
    <w:semiHidden/>
    <w:rsid w:val="009A7E8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9A7E81"/>
    <w:rPr>
      <w:sz w:val="24"/>
      <w:szCs w:val="24"/>
      <w:lang w:val="fr-FR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9A7E81"/>
    <w:rPr>
      <w:rFonts w:asciiTheme="majorHAnsi" w:eastAsiaTheme="majorEastAsia" w:hAnsiTheme="majorHAnsi" w:cstheme="majorBidi"/>
      <w:b/>
      <w:bCs/>
      <w:color w:val="333333"/>
      <w:sz w:val="28"/>
      <w:szCs w:val="28"/>
      <w:lang w:val="fr-FR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9A7E81"/>
    <w:pPr>
      <w:keepNext/>
      <w:keepLines/>
      <w:numPr>
        <w:ilvl w:val="1"/>
        <w:numId w:val="1"/>
      </w:numPr>
      <w:tabs>
        <w:tab w:val="left" w:pos="454"/>
        <w:tab w:val="left" w:pos="567"/>
        <w:tab w:val="left" w:pos="680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9A7E81"/>
    <w:pPr>
      <w:keepNext/>
      <w:keepLines/>
      <w:numPr>
        <w:ilvl w:val="2"/>
        <w:numId w:val="1"/>
      </w:numPr>
      <w:spacing w:before="100" w:beforeAutospacing="1" w:after="240" w:line="240" w:lineRule="auto"/>
      <w:jc w:val="both"/>
    </w:pPr>
    <w:rPr>
      <w:color w:val="auto"/>
      <w:sz w:val="24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9A7E81"/>
    <w:rPr>
      <w:rFonts w:asciiTheme="majorHAnsi" w:eastAsiaTheme="majorEastAsia" w:hAnsiTheme="majorHAnsi" w:cstheme="majorBidi"/>
      <w:b/>
      <w:bCs/>
      <w:color w:val="4D4D4D"/>
      <w:sz w:val="26"/>
      <w:szCs w:val="26"/>
      <w:lang w:val="fr-FR"/>
    </w:rPr>
  </w:style>
  <w:style w:type="character" w:customStyle="1" w:styleId="JUNAMES">
    <w:name w:val="JU_NAMES"/>
    <w:aliases w:val="_Ju_Names"/>
    <w:uiPriority w:val="33"/>
    <w:qFormat/>
    <w:rsid w:val="009A7E81"/>
    <w:rPr>
      <w:caps w:val="0"/>
      <w:smallCaps/>
    </w:rPr>
  </w:style>
  <w:style w:type="paragraph" w:customStyle="1" w:styleId="ECHRDecisionBody">
    <w:name w:val="ECHR_Decision_Body"/>
    <w:aliases w:val="_Decision_Body"/>
    <w:basedOn w:val="NormalJustified"/>
    <w:uiPriority w:val="54"/>
    <w:rsid w:val="009A7E81"/>
    <w:pPr>
      <w:tabs>
        <w:tab w:val="left" w:pos="567"/>
        <w:tab w:val="left" w:pos="1134"/>
      </w:tabs>
      <w:spacing w:line="240" w:lineRule="exact"/>
      <w:jc w:val="left"/>
    </w:p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9A7E81"/>
    <w:rPr>
      <w:rFonts w:asciiTheme="majorHAnsi" w:eastAsiaTheme="majorEastAsia" w:hAnsiTheme="majorHAnsi" w:cstheme="majorBidi"/>
      <w:b/>
      <w:bCs/>
      <w:color w:val="5F5F5F"/>
      <w:lang w:val="fr-FR"/>
    </w:rPr>
  </w:style>
  <w:style w:type="paragraph" w:customStyle="1" w:styleId="JuPara">
    <w:name w:val="Ju_Para"/>
    <w:aliases w:val="_Para,ECHR_Para,Para,N_Para,Left,First line:  0 cm,Normal + TimesNewRomanPSMT,10 pt,Left:  1,27 cm,Line spacing:  1.5 l...,Ju_Para + Interligne : Double"/>
    <w:basedOn w:val="NormalJustified"/>
    <w:link w:val="JuParaChar"/>
    <w:uiPriority w:val="99"/>
    <w:qFormat/>
    <w:rsid w:val="009A7E81"/>
    <w:pPr>
      <w:ind w:firstLine="284"/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9A7E81"/>
    <w:rPr>
      <w:rFonts w:asciiTheme="majorHAnsi" w:eastAsiaTheme="majorEastAsia" w:hAnsiTheme="majorHAnsi" w:cstheme="majorBidi"/>
      <w:b/>
      <w:bCs/>
      <w:i/>
      <w:iCs/>
      <w:color w:val="777777"/>
      <w:lang w:val="fr-FR"/>
    </w:r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9A7E81"/>
    <w:rPr>
      <w:rFonts w:asciiTheme="majorHAnsi" w:eastAsiaTheme="majorEastAsia" w:hAnsiTheme="majorHAnsi" w:cstheme="majorBidi"/>
      <w:b/>
      <w:bCs/>
      <w:color w:val="808080"/>
      <w:lang w:val="fr-FR"/>
    </w:rPr>
  </w:style>
  <w:style w:type="character" w:styleId="Wyrnieniedelikatne">
    <w:name w:val="Subtle Emphasis"/>
    <w:uiPriority w:val="98"/>
    <w:semiHidden/>
    <w:qFormat/>
    <w:rsid w:val="009A7E81"/>
    <w:rPr>
      <w:i/>
      <w:iCs/>
    </w:rPr>
  </w:style>
  <w:style w:type="table" w:customStyle="1" w:styleId="ECHRTable">
    <w:name w:val="ECHR_Table"/>
    <w:basedOn w:val="Standardowy"/>
    <w:rsid w:val="009A7E81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9A7E81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9A7E81"/>
    <w:pPr>
      <w:keepNext/>
      <w:keepLines/>
      <w:numPr>
        <w:numId w:val="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character" w:styleId="Uwydatnienie">
    <w:name w:val="Emphasis"/>
    <w:uiPriority w:val="98"/>
    <w:semiHidden/>
    <w:qFormat/>
    <w:rsid w:val="009A7E81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9A7E81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9A7E81"/>
    <w:rPr>
      <w:sz w:val="24"/>
      <w:szCs w:val="24"/>
      <w:lang w:val="fr-FR"/>
    </w:rPr>
  </w:style>
  <w:style w:type="character" w:styleId="Odwoanieprzypisudolnego">
    <w:name w:val="footnote reference"/>
    <w:basedOn w:val="Domylnaczcionkaakapitu"/>
    <w:uiPriority w:val="99"/>
    <w:semiHidden/>
    <w:rsid w:val="009A7E8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8"/>
    <w:semiHidden/>
    <w:rsid w:val="009A7E8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9A7E81"/>
    <w:rPr>
      <w:sz w:val="20"/>
      <w:szCs w:val="20"/>
      <w:lang w:val="fr-FR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9A7E81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fr-FR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9A7E81"/>
    <w:rPr>
      <w:rFonts w:asciiTheme="majorHAnsi" w:eastAsiaTheme="majorEastAsia" w:hAnsiTheme="majorHAnsi" w:cstheme="majorBidi"/>
      <w:i/>
      <w:iCs/>
      <w:lang w:val="fr-FR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9A7E81"/>
    <w:rPr>
      <w:rFonts w:asciiTheme="majorHAnsi" w:eastAsiaTheme="majorEastAsia" w:hAnsiTheme="majorHAnsi" w:cstheme="majorBidi"/>
      <w:sz w:val="20"/>
      <w:szCs w:val="20"/>
      <w:lang w:val="fr-FR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9A7E81"/>
    <w:rPr>
      <w:rFonts w:asciiTheme="majorHAnsi" w:eastAsiaTheme="majorEastAsia" w:hAnsiTheme="majorHAnsi" w:cstheme="majorBidi"/>
      <w:i/>
      <w:iCs/>
      <w:spacing w:val="5"/>
      <w:sz w:val="20"/>
      <w:szCs w:val="20"/>
      <w:lang w:val="fr-FR" w:bidi="en-US"/>
    </w:rPr>
  </w:style>
  <w:style w:type="character" w:styleId="Hipercze">
    <w:name w:val="Hyperlink"/>
    <w:basedOn w:val="Domylnaczcionkaakapitu"/>
    <w:uiPriority w:val="98"/>
    <w:semiHidden/>
    <w:rsid w:val="009A7E81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9A7E81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9A7E81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9A7E81"/>
    <w:rPr>
      <w:b/>
      <w:bCs/>
      <w:i/>
      <w:iCs/>
      <w:sz w:val="24"/>
      <w:szCs w:val="24"/>
      <w:lang w:val="fr-FR" w:bidi="en-US"/>
    </w:rPr>
  </w:style>
  <w:style w:type="character" w:styleId="Odwoanieintensywne">
    <w:name w:val="Intense Reference"/>
    <w:uiPriority w:val="98"/>
    <w:semiHidden/>
    <w:qFormat/>
    <w:rsid w:val="009A7E81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9A7E81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9A7E81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9A7E81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9A7E81"/>
    <w:rPr>
      <w:i/>
      <w:iCs/>
      <w:sz w:val="24"/>
      <w:szCs w:val="24"/>
      <w:lang w:val="fr-FR" w:bidi="en-US"/>
    </w:rPr>
  </w:style>
  <w:style w:type="character" w:styleId="Odwoaniedelikatne">
    <w:name w:val="Subtle Reference"/>
    <w:uiPriority w:val="98"/>
    <w:semiHidden/>
    <w:qFormat/>
    <w:rsid w:val="009A7E81"/>
    <w:rPr>
      <w:smallCaps/>
    </w:rPr>
  </w:style>
  <w:style w:type="table" w:styleId="Tabela-Siatka">
    <w:name w:val="Table Grid"/>
    <w:basedOn w:val="Standardowy"/>
    <w:uiPriority w:val="59"/>
    <w:semiHidden/>
    <w:rsid w:val="009A7E81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9A7E81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9A7E81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9A7E81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9A7E81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9A7E81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9A7E8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9A7E81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9A7E81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9A7E81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9A7E81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9A7E81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9A7E81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9A7E81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customStyle="1" w:styleId="JuQuot">
    <w:name w:val="Ju_Quot"/>
    <w:aliases w:val="_Quote"/>
    <w:basedOn w:val="NormalJustified"/>
    <w:uiPriority w:val="20"/>
    <w:qFormat/>
    <w:rsid w:val="009A7E81"/>
    <w:pPr>
      <w:spacing w:before="120" w:after="120"/>
      <w:ind w:left="425" w:firstLine="142"/>
    </w:pPr>
    <w:rPr>
      <w:sz w:val="20"/>
    </w:rPr>
  </w:style>
  <w:style w:type="table" w:customStyle="1" w:styleId="ECHRTableSimpleBox">
    <w:name w:val="ECHR_Table_Simple_Box"/>
    <w:basedOn w:val="Standardowy"/>
    <w:uiPriority w:val="99"/>
    <w:rsid w:val="009A7E81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9A7E81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table" w:customStyle="1" w:styleId="ECHRTableForInternalUse">
    <w:name w:val="ECHR_Table_For_Internal_Use"/>
    <w:basedOn w:val="Standardowy"/>
    <w:uiPriority w:val="99"/>
    <w:rsid w:val="009A7E81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A7E81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table" w:customStyle="1" w:styleId="ECHRHeaderTable">
    <w:name w:val="ECHR_Header_Table"/>
    <w:basedOn w:val="Standardowy"/>
    <w:uiPriority w:val="99"/>
    <w:rsid w:val="009A7E81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table" w:customStyle="1" w:styleId="ECHRTableOddBanded">
    <w:name w:val="ECHR_Table_Odd_Banded"/>
    <w:basedOn w:val="Standardowy"/>
    <w:uiPriority w:val="99"/>
    <w:rsid w:val="009A7E81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table" w:customStyle="1" w:styleId="ECHRHeaderTableReduced">
    <w:name w:val="ECHR_Header_Table_Reduced"/>
    <w:basedOn w:val="Standardowy"/>
    <w:uiPriority w:val="99"/>
    <w:rsid w:val="009A7E81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9A7E81"/>
    <w:pPr>
      <w:tabs>
        <w:tab w:val="center" w:pos="851"/>
        <w:tab w:val="center" w:pos="6407"/>
      </w:tabs>
      <w:spacing w:before="720"/>
    </w:pPr>
  </w:style>
  <w:style w:type="paragraph" w:customStyle="1" w:styleId="JuParaLast">
    <w:name w:val="Ju_Para_Last"/>
    <w:aliases w:val="_Para_Spaced"/>
    <w:basedOn w:val="NormalJustified"/>
    <w:uiPriority w:val="5"/>
    <w:qFormat/>
    <w:rsid w:val="009A7E81"/>
    <w:pPr>
      <w:keepNext/>
      <w:keepLines/>
      <w:spacing w:before="240" w:after="240"/>
      <w:ind w:firstLine="284"/>
    </w:pPr>
  </w:style>
  <w:style w:type="paragraph" w:customStyle="1" w:styleId="JuCase">
    <w:name w:val="Ju_Case"/>
    <w:aliases w:val="_Case_Name"/>
    <w:basedOn w:val="Normalny"/>
    <w:next w:val="JuPara"/>
    <w:uiPriority w:val="32"/>
    <w:rsid w:val="009A7E81"/>
    <w:pPr>
      <w:ind w:firstLine="284"/>
      <w:jc w:val="both"/>
    </w:pPr>
    <w:rPr>
      <w:b/>
    </w:rPr>
  </w:style>
  <w:style w:type="paragraph" w:customStyle="1" w:styleId="JuList">
    <w:name w:val="Ju_List"/>
    <w:aliases w:val="_List_1"/>
    <w:basedOn w:val="NormalJustified"/>
    <w:uiPriority w:val="23"/>
    <w:qFormat/>
    <w:rsid w:val="009A7E81"/>
    <w:pPr>
      <w:numPr>
        <w:numId w:val="6"/>
      </w:numPr>
      <w:spacing w:before="280" w:after="60"/>
    </w:pPr>
  </w:style>
  <w:style w:type="character" w:styleId="Numerstrony">
    <w:name w:val="page number"/>
    <w:uiPriority w:val="98"/>
    <w:semiHidden/>
    <w:rsid w:val="009A7E81"/>
    <w:rPr>
      <w:sz w:val="18"/>
    </w:rPr>
  </w:style>
  <w:style w:type="paragraph" w:customStyle="1" w:styleId="JuLista">
    <w:name w:val="Ju_List_a"/>
    <w:aliases w:val="_List_2"/>
    <w:basedOn w:val="NormalJustified"/>
    <w:uiPriority w:val="23"/>
    <w:rsid w:val="009A7E81"/>
    <w:pPr>
      <w:numPr>
        <w:ilvl w:val="1"/>
        <w:numId w:val="6"/>
      </w:numPr>
    </w:pPr>
  </w:style>
  <w:style w:type="paragraph" w:customStyle="1" w:styleId="JuListi">
    <w:name w:val="Ju_List_i"/>
    <w:aliases w:val="_List_3"/>
    <w:basedOn w:val="NormalJustified"/>
    <w:uiPriority w:val="23"/>
    <w:rsid w:val="009A7E81"/>
    <w:pPr>
      <w:numPr>
        <w:ilvl w:val="2"/>
        <w:numId w:val="6"/>
      </w:numPr>
    </w:pPr>
  </w:style>
  <w:style w:type="character" w:styleId="Odwoaniedokomentarza">
    <w:name w:val="annotation reference"/>
    <w:basedOn w:val="Domylnaczcionkaakapitu"/>
    <w:uiPriority w:val="98"/>
    <w:semiHidden/>
    <w:rsid w:val="009A7E8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9A7E8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9A7E81"/>
    <w:rPr>
      <w:sz w:val="20"/>
      <w:szCs w:val="20"/>
      <w:lang w:val="fr-FR"/>
    </w:rPr>
  </w:style>
  <w:style w:type="character" w:styleId="Odwoanieprzypisukocowego">
    <w:name w:val="endnote reference"/>
    <w:basedOn w:val="Domylnaczcionkaakapitu"/>
    <w:uiPriority w:val="98"/>
    <w:semiHidden/>
    <w:rsid w:val="009A7E8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9A7E8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9A7E81"/>
    <w:rPr>
      <w:sz w:val="20"/>
      <w:szCs w:val="20"/>
      <w:lang w:val="fr-FR"/>
    </w:rPr>
  </w:style>
  <w:style w:type="character" w:styleId="UyteHipercze">
    <w:name w:val="FollowedHyperlink"/>
    <w:basedOn w:val="Domylnaczcionkaakapitu"/>
    <w:uiPriority w:val="98"/>
    <w:semiHidden/>
    <w:rsid w:val="009A7E81"/>
    <w:rPr>
      <w:color w:val="7030A0" w:themeColor="followedHyperlink"/>
      <w:u w:val="single"/>
    </w:rPr>
  </w:style>
  <w:style w:type="paragraph" w:styleId="Listapunktowana">
    <w:name w:val="List Bullet"/>
    <w:basedOn w:val="Normalny"/>
    <w:uiPriority w:val="98"/>
    <w:semiHidden/>
    <w:rsid w:val="009A7E81"/>
    <w:pPr>
      <w:numPr>
        <w:numId w:val="8"/>
      </w:numPr>
    </w:pPr>
  </w:style>
  <w:style w:type="character" w:customStyle="1" w:styleId="JuNames0">
    <w:name w:val="Ju_Names"/>
    <w:rsid w:val="00E77CB3"/>
    <w:rPr>
      <w:rFonts w:ascii="Times New Roman" w:hAnsi="Times New Roman" w:cs="Times New Roman"/>
      <w:smallCaps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9A7E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9A7E81"/>
    <w:rPr>
      <w:b/>
      <w:bCs/>
      <w:sz w:val="20"/>
      <w:szCs w:val="20"/>
      <w:lang w:val="fr-FR"/>
    </w:rPr>
  </w:style>
  <w:style w:type="paragraph" w:styleId="Mapadokumentu">
    <w:name w:val="Document Map"/>
    <w:basedOn w:val="Normalny"/>
    <w:link w:val="MapadokumentuZnak"/>
    <w:uiPriority w:val="98"/>
    <w:semiHidden/>
    <w:rsid w:val="009A7E81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9A7E81"/>
    <w:rPr>
      <w:rFonts w:ascii="Tahoma" w:hAnsi="Tahoma" w:cs="Tahoma"/>
      <w:sz w:val="16"/>
      <w:szCs w:val="16"/>
      <w:lang w:val="fr-FR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9A7E81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9A7E81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9A7E81"/>
    <w:rPr>
      <w:rFonts w:asciiTheme="majorHAnsi" w:eastAsiaTheme="majorEastAsia" w:hAnsiTheme="majorHAnsi" w:cstheme="majorBidi"/>
      <w:i/>
      <w:iCs/>
      <w:spacing w:val="13"/>
      <w:sz w:val="24"/>
      <w:szCs w:val="24"/>
      <w:lang w:val="fr-FR" w:bidi="en-US"/>
    </w:rPr>
  </w:style>
  <w:style w:type="numbering" w:styleId="111111">
    <w:name w:val="Outline List 2"/>
    <w:basedOn w:val="Bezlisty"/>
    <w:uiPriority w:val="99"/>
    <w:semiHidden/>
    <w:unhideWhenUsed/>
    <w:rsid w:val="009A7E81"/>
    <w:pPr>
      <w:numPr>
        <w:numId w:val="2"/>
      </w:numPr>
    </w:pPr>
  </w:style>
  <w:style w:type="numbering" w:styleId="1ai">
    <w:name w:val="Outline List 1"/>
    <w:basedOn w:val="Bezlisty"/>
    <w:uiPriority w:val="99"/>
    <w:semiHidden/>
    <w:unhideWhenUsed/>
    <w:rsid w:val="009A7E81"/>
    <w:pPr>
      <w:numPr>
        <w:numId w:val="3"/>
      </w:numPr>
    </w:pPr>
  </w:style>
  <w:style w:type="numbering" w:styleId="Artykusekcja">
    <w:name w:val="Outline List 3"/>
    <w:basedOn w:val="Bezlisty"/>
    <w:uiPriority w:val="99"/>
    <w:semiHidden/>
    <w:unhideWhenUsed/>
    <w:rsid w:val="009A7E81"/>
    <w:pPr>
      <w:numPr>
        <w:numId w:val="4"/>
      </w:numPr>
    </w:pPr>
  </w:style>
  <w:style w:type="paragraph" w:styleId="Bibliografia">
    <w:name w:val="Bibliography"/>
    <w:basedOn w:val="Normalny"/>
    <w:next w:val="Normalny"/>
    <w:uiPriority w:val="98"/>
    <w:semiHidden/>
    <w:rsid w:val="009A7E81"/>
  </w:style>
  <w:style w:type="paragraph" w:styleId="Tekstblokowy">
    <w:name w:val="Block Text"/>
    <w:basedOn w:val="Normalny"/>
    <w:uiPriority w:val="98"/>
    <w:semiHidden/>
    <w:rsid w:val="009A7E81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paragraph" w:styleId="Tekstpodstawowy">
    <w:name w:val="Body Text"/>
    <w:basedOn w:val="Normalny"/>
    <w:link w:val="TekstpodstawowyZnak"/>
    <w:uiPriority w:val="98"/>
    <w:semiHidden/>
    <w:rsid w:val="009A7E8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9A7E81"/>
    <w:rPr>
      <w:sz w:val="24"/>
      <w:szCs w:val="24"/>
      <w:lang w:val="fr-FR"/>
    </w:rPr>
  </w:style>
  <w:style w:type="paragraph" w:styleId="Tekstpodstawowy2">
    <w:name w:val="Body Text 2"/>
    <w:basedOn w:val="Normalny"/>
    <w:link w:val="Tekstpodstawowy2Znak"/>
    <w:uiPriority w:val="98"/>
    <w:semiHidden/>
    <w:rsid w:val="009A7E8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9A7E81"/>
    <w:rPr>
      <w:sz w:val="24"/>
      <w:szCs w:val="24"/>
      <w:lang w:val="fr-FR"/>
    </w:rPr>
  </w:style>
  <w:style w:type="paragraph" w:styleId="Tekstpodstawowy3">
    <w:name w:val="Body Text 3"/>
    <w:basedOn w:val="Normalny"/>
    <w:link w:val="Tekstpodstawowy3Znak"/>
    <w:uiPriority w:val="98"/>
    <w:semiHidden/>
    <w:rsid w:val="009A7E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9A7E81"/>
    <w:rPr>
      <w:sz w:val="16"/>
      <w:szCs w:val="16"/>
      <w:lang w:val="fr-FR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9A7E81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9A7E81"/>
    <w:rPr>
      <w:sz w:val="24"/>
      <w:szCs w:val="24"/>
      <w:lang w:val="fr-FR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9A7E8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9A7E81"/>
    <w:rPr>
      <w:sz w:val="24"/>
      <w:szCs w:val="24"/>
      <w:lang w:val="fr-FR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9A7E81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9A7E81"/>
    <w:rPr>
      <w:sz w:val="24"/>
      <w:szCs w:val="24"/>
      <w:lang w:val="fr-FR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9A7E8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9A7E81"/>
    <w:rPr>
      <w:sz w:val="24"/>
      <w:szCs w:val="24"/>
      <w:lang w:val="fr-FR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9A7E8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9A7E81"/>
    <w:rPr>
      <w:sz w:val="16"/>
      <w:szCs w:val="16"/>
      <w:lang w:val="fr-FR"/>
    </w:rPr>
  </w:style>
  <w:style w:type="paragraph" w:styleId="Legenda">
    <w:name w:val="caption"/>
    <w:basedOn w:val="Normalny"/>
    <w:next w:val="Normalny"/>
    <w:uiPriority w:val="98"/>
    <w:semiHidden/>
    <w:qFormat/>
    <w:rsid w:val="009A7E81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9A7E81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9A7E81"/>
    <w:rPr>
      <w:sz w:val="24"/>
      <w:szCs w:val="24"/>
      <w:lang w:val="fr-FR"/>
    </w:rPr>
  </w:style>
  <w:style w:type="table" w:styleId="Kolorowasiatka">
    <w:name w:val="Colorful Grid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iemnalista">
    <w:name w:val="Dark List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A7E81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9A7E81"/>
  </w:style>
  <w:style w:type="character" w:customStyle="1" w:styleId="DataZnak">
    <w:name w:val="Data Znak"/>
    <w:basedOn w:val="Domylnaczcionkaakapitu"/>
    <w:link w:val="Data"/>
    <w:uiPriority w:val="98"/>
    <w:semiHidden/>
    <w:rsid w:val="009A7E81"/>
    <w:rPr>
      <w:sz w:val="24"/>
      <w:szCs w:val="24"/>
      <w:lang w:val="fr-FR"/>
    </w:rPr>
  </w:style>
  <w:style w:type="paragraph" w:styleId="Podpise-mail">
    <w:name w:val="E-mail Signature"/>
    <w:basedOn w:val="Normalny"/>
    <w:link w:val="Podpise-mailZnak"/>
    <w:uiPriority w:val="98"/>
    <w:semiHidden/>
    <w:rsid w:val="009A7E81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9A7E81"/>
    <w:rPr>
      <w:sz w:val="24"/>
      <w:szCs w:val="24"/>
      <w:lang w:val="fr-FR"/>
    </w:rPr>
  </w:style>
  <w:style w:type="paragraph" w:styleId="Adresnakopercie">
    <w:name w:val="envelope address"/>
    <w:basedOn w:val="Normalny"/>
    <w:uiPriority w:val="98"/>
    <w:semiHidden/>
    <w:rsid w:val="009A7E81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9A7E81"/>
    <w:rPr>
      <w:rFonts w:asciiTheme="majorHAnsi" w:eastAsiaTheme="majorEastAsia" w:hAnsiTheme="majorHAnsi" w:cstheme="majorBidi"/>
      <w:sz w:val="20"/>
      <w:szCs w:val="20"/>
    </w:rPr>
  </w:style>
  <w:style w:type="character" w:styleId="HTML-akronim">
    <w:name w:val="HTML Acronym"/>
    <w:basedOn w:val="Domylnaczcionkaakapitu"/>
    <w:uiPriority w:val="98"/>
    <w:semiHidden/>
    <w:rsid w:val="009A7E81"/>
  </w:style>
  <w:style w:type="paragraph" w:styleId="HTML-adres">
    <w:name w:val="HTML Address"/>
    <w:basedOn w:val="Normalny"/>
    <w:link w:val="HTML-adresZnak"/>
    <w:uiPriority w:val="98"/>
    <w:semiHidden/>
    <w:rsid w:val="009A7E81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9A7E81"/>
    <w:rPr>
      <w:i/>
      <w:iCs/>
      <w:sz w:val="24"/>
      <w:szCs w:val="24"/>
      <w:lang w:val="fr-FR"/>
    </w:rPr>
  </w:style>
  <w:style w:type="character" w:styleId="HTML-cytat">
    <w:name w:val="HTML Cite"/>
    <w:basedOn w:val="Domylnaczcionkaakapitu"/>
    <w:uiPriority w:val="98"/>
    <w:semiHidden/>
    <w:rsid w:val="009A7E81"/>
    <w:rPr>
      <w:i/>
      <w:iCs/>
    </w:rPr>
  </w:style>
  <w:style w:type="character" w:styleId="HTML-kod">
    <w:name w:val="HTML Code"/>
    <w:basedOn w:val="Domylnaczcionkaakapitu"/>
    <w:uiPriority w:val="98"/>
    <w:semiHidden/>
    <w:rsid w:val="009A7E81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9A7E81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9A7E81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9A7E81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9A7E81"/>
    <w:rPr>
      <w:rFonts w:ascii="Consolas" w:hAnsi="Consolas" w:cs="Consolas"/>
      <w:sz w:val="20"/>
      <w:szCs w:val="20"/>
      <w:lang w:val="fr-FR"/>
    </w:rPr>
  </w:style>
  <w:style w:type="character" w:styleId="HTML-przykad">
    <w:name w:val="HTML Sample"/>
    <w:basedOn w:val="Domylnaczcionkaakapitu"/>
    <w:uiPriority w:val="98"/>
    <w:semiHidden/>
    <w:rsid w:val="009A7E81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9A7E81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9A7E81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9A7E81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9A7E81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9A7E81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9A7E81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9A7E81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9A7E81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9A7E81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9A7E81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9A7E81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9A7E81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A7E81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A7E81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A7E81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A7E81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A7E81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A7E81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A7E81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9A7E81"/>
  </w:style>
  <w:style w:type="paragraph" w:styleId="Lista">
    <w:name w:val="List"/>
    <w:basedOn w:val="Normalny"/>
    <w:uiPriority w:val="98"/>
    <w:semiHidden/>
    <w:rsid w:val="009A7E81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9A7E81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9A7E81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9A7E81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9A7E81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9A7E81"/>
    <w:pPr>
      <w:numPr>
        <w:numId w:val="9"/>
      </w:numPr>
      <w:contextualSpacing/>
    </w:pPr>
  </w:style>
  <w:style w:type="paragraph" w:styleId="Listapunktowana3">
    <w:name w:val="List Bullet 3"/>
    <w:basedOn w:val="Normalny"/>
    <w:uiPriority w:val="98"/>
    <w:semiHidden/>
    <w:rsid w:val="009A7E81"/>
    <w:pPr>
      <w:numPr>
        <w:numId w:val="10"/>
      </w:numPr>
      <w:contextualSpacing/>
    </w:pPr>
  </w:style>
  <w:style w:type="paragraph" w:styleId="Listapunktowana4">
    <w:name w:val="List Bullet 4"/>
    <w:basedOn w:val="Normalny"/>
    <w:uiPriority w:val="98"/>
    <w:semiHidden/>
    <w:rsid w:val="009A7E81"/>
    <w:pPr>
      <w:numPr>
        <w:numId w:val="11"/>
      </w:numPr>
      <w:contextualSpacing/>
    </w:pPr>
  </w:style>
  <w:style w:type="paragraph" w:styleId="Listapunktowana5">
    <w:name w:val="List Bullet 5"/>
    <w:basedOn w:val="Normalny"/>
    <w:uiPriority w:val="98"/>
    <w:semiHidden/>
    <w:rsid w:val="009A7E81"/>
    <w:pPr>
      <w:numPr>
        <w:numId w:val="12"/>
      </w:numPr>
      <w:contextualSpacing/>
    </w:pPr>
  </w:style>
  <w:style w:type="paragraph" w:styleId="Lista-kontynuacja">
    <w:name w:val="List Continue"/>
    <w:basedOn w:val="Normalny"/>
    <w:uiPriority w:val="98"/>
    <w:semiHidden/>
    <w:rsid w:val="009A7E8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9A7E8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9A7E8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9A7E8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9A7E81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9A7E81"/>
    <w:pPr>
      <w:numPr>
        <w:numId w:val="13"/>
      </w:numPr>
      <w:contextualSpacing/>
    </w:pPr>
  </w:style>
  <w:style w:type="paragraph" w:styleId="Listanumerowana2">
    <w:name w:val="List Number 2"/>
    <w:basedOn w:val="Normalny"/>
    <w:uiPriority w:val="98"/>
    <w:semiHidden/>
    <w:rsid w:val="009A7E81"/>
    <w:pPr>
      <w:numPr>
        <w:numId w:val="14"/>
      </w:numPr>
      <w:contextualSpacing/>
    </w:pPr>
  </w:style>
  <w:style w:type="paragraph" w:styleId="Listanumerowana3">
    <w:name w:val="List Number 3"/>
    <w:basedOn w:val="Normalny"/>
    <w:uiPriority w:val="98"/>
    <w:semiHidden/>
    <w:rsid w:val="009A7E81"/>
    <w:pPr>
      <w:numPr>
        <w:numId w:val="15"/>
      </w:numPr>
      <w:contextualSpacing/>
    </w:pPr>
  </w:style>
  <w:style w:type="paragraph" w:styleId="Listanumerowana4">
    <w:name w:val="List Number 4"/>
    <w:basedOn w:val="Normalny"/>
    <w:uiPriority w:val="98"/>
    <w:semiHidden/>
    <w:rsid w:val="009A7E81"/>
    <w:pPr>
      <w:numPr>
        <w:numId w:val="16"/>
      </w:numPr>
      <w:contextualSpacing/>
    </w:pPr>
  </w:style>
  <w:style w:type="paragraph" w:styleId="Listanumerowana5">
    <w:name w:val="List Number 5"/>
    <w:basedOn w:val="Normalny"/>
    <w:uiPriority w:val="98"/>
    <w:semiHidden/>
    <w:rsid w:val="009A7E81"/>
    <w:pPr>
      <w:numPr>
        <w:numId w:val="17"/>
      </w:numPr>
      <w:contextualSpacing/>
    </w:pPr>
  </w:style>
  <w:style w:type="paragraph" w:styleId="Tekstmakra">
    <w:name w:val="macro"/>
    <w:link w:val="TekstmakraZnak"/>
    <w:uiPriority w:val="98"/>
    <w:semiHidden/>
    <w:rsid w:val="009A7E8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9A7E81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A7E81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A7E81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A7E81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9A7E8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9A7E81"/>
    <w:rPr>
      <w:rFonts w:asciiTheme="majorHAnsi" w:eastAsiaTheme="majorEastAsia" w:hAnsiTheme="majorHAnsi" w:cstheme="majorBidi"/>
      <w:sz w:val="24"/>
      <w:szCs w:val="24"/>
      <w:shd w:val="pct20" w:color="auto" w:fill="auto"/>
      <w:lang w:val="fr-FR"/>
    </w:rPr>
  </w:style>
  <w:style w:type="paragraph" w:styleId="NormalnyWeb">
    <w:name w:val="Normal (Web)"/>
    <w:basedOn w:val="Normalny"/>
    <w:uiPriority w:val="98"/>
    <w:semiHidden/>
    <w:rsid w:val="009A7E81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9A7E81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9A7E81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9A7E81"/>
    <w:rPr>
      <w:sz w:val="24"/>
      <w:szCs w:val="24"/>
      <w:lang w:val="fr-FR"/>
    </w:rPr>
  </w:style>
  <w:style w:type="character" w:styleId="Tekstzastpczy">
    <w:name w:val="Placeholder Text"/>
    <w:basedOn w:val="Domylnaczcionkaakapitu"/>
    <w:uiPriority w:val="98"/>
    <w:semiHidden/>
    <w:rsid w:val="009A7E81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9A7E81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9A7E81"/>
    <w:rPr>
      <w:rFonts w:ascii="Consolas" w:hAnsi="Consolas" w:cs="Consolas"/>
      <w:sz w:val="21"/>
      <w:szCs w:val="21"/>
      <w:lang w:val="fr-FR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9A7E81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9A7E81"/>
    <w:rPr>
      <w:sz w:val="24"/>
      <w:szCs w:val="24"/>
      <w:lang w:val="fr-FR"/>
    </w:rPr>
  </w:style>
  <w:style w:type="paragraph" w:styleId="Podpis">
    <w:name w:val="Signature"/>
    <w:basedOn w:val="Normalny"/>
    <w:link w:val="PodpisZnak"/>
    <w:uiPriority w:val="98"/>
    <w:semiHidden/>
    <w:rsid w:val="009A7E81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9A7E81"/>
    <w:rPr>
      <w:sz w:val="24"/>
      <w:szCs w:val="24"/>
      <w:lang w:val="fr-FR"/>
    </w:rPr>
  </w:style>
  <w:style w:type="table" w:styleId="Tabela-Efekty3W1">
    <w:name w:val="Table 3D effects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A7E81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A7E81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A7E81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A7E81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A7E81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A7E81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9A7E81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9A7E81"/>
  </w:style>
  <w:style w:type="table" w:styleId="Tabela-Profesjonalny">
    <w:name w:val="Table Professional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A7E81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9A7E81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9A7E81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9A7E81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9A7E81"/>
    <w:pPr>
      <w:spacing w:after="100"/>
      <w:ind w:left="1920"/>
    </w:p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9A7E81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9A7E81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ECHRBullet4">
    <w:name w:val="ECHR_Bullet_4"/>
    <w:aliases w:val="_Bul_4"/>
    <w:basedOn w:val="ECHRBullet3"/>
    <w:uiPriority w:val="23"/>
    <w:semiHidden/>
    <w:rsid w:val="009A7E81"/>
    <w:pPr>
      <w:numPr>
        <w:ilvl w:val="3"/>
      </w:numPr>
    </w:pPr>
  </w:style>
  <w:style w:type="paragraph" w:customStyle="1" w:styleId="ECHRHeaderLandscape">
    <w:name w:val="ECHR_Header_Landscape"/>
    <w:aliases w:val="_Header_Landscape"/>
    <w:basedOn w:val="JuHeader"/>
    <w:uiPriority w:val="29"/>
    <w:rsid w:val="009A7E81"/>
    <w:pPr>
      <w:tabs>
        <w:tab w:val="center" w:pos="6146"/>
        <w:tab w:val="right" w:pos="13778"/>
      </w:tabs>
      <w:ind w:left="-1474" w:right="-1474"/>
    </w:pPr>
  </w:style>
  <w:style w:type="character" w:customStyle="1" w:styleId="JuParaChar">
    <w:name w:val="Ju_Para Char"/>
    <w:aliases w:val="_Para Char,ECHR_Para Char"/>
    <w:link w:val="JuPara"/>
    <w:uiPriority w:val="99"/>
    <w:rsid w:val="0032721C"/>
    <w:rPr>
      <w:sz w:val="24"/>
      <w:szCs w:val="24"/>
      <w:lang w:val="fr-FR"/>
    </w:rPr>
  </w:style>
  <w:style w:type="paragraph" w:styleId="Poprawka">
    <w:name w:val="Revision"/>
    <w:hidden/>
    <w:uiPriority w:val="99"/>
    <w:semiHidden/>
    <w:rsid w:val="007F3CF3"/>
    <w:rPr>
      <w:rFonts w:eastAsiaTheme="minorEastAsia"/>
      <w:sz w:val="24"/>
    </w:rPr>
  </w:style>
  <w:style w:type="paragraph" w:customStyle="1" w:styleId="NormalJustified">
    <w:name w:val="Normal_Justified"/>
    <w:basedOn w:val="Normalny"/>
    <w:semiHidden/>
    <w:rsid w:val="009A7E81"/>
    <w:pPr>
      <w:jc w:val="both"/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9A7E81"/>
    <w:pPr>
      <w:jc w:val="right"/>
    </w:pPr>
    <w:rPr>
      <w:color w:val="C00000"/>
      <w:sz w:val="20"/>
    </w:r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9A7E81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9A7E81"/>
    <w:rPr>
      <w:rFonts w:ascii="Arial" w:hAnsi="Arial"/>
      <w:i/>
      <w:color w:val="002856"/>
      <w:sz w:val="32"/>
      <w:szCs w:val="24"/>
      <w:lang w:val="fr-FR"/>
    </w:rPr>
  </w:style>
  <w:style w:type="paragraph" w:customStyle="1" w:styleId="ECHRFooterLineLandscape">
    <w:name w:val="ECHR_Footer_Line_Landscape"/>
    <w:aliases w:val="_Footer_Line_Landscape"/>
    <w:basedOn w:val="Normalny"/>
    <w:uiPriority w:val="29"/>
    <w:semiHidden/>
    <w:rsid w:val="009A7E81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ParaHanging">
    <w:name w:val="ECHR_Para_Hanging"/>
    <w:aliases w:val="_Hanging"/>
    <w:basedOn w:val="Normalny"/>
    <w:uiPriority w:val="8"/>
    <w:semiHidden/>
    <w:qFormat/>
    <w:rsid w:val="009A7E81"/>
    <w:pPr>
      <w:ind w:left="567" w:hanging="567"/>
      <w:jc w:val="both"/>
    </w:pPr>
  </w:style>
  <w:style w:type="paragraph" w:customStyle="1" w:styleId="ECHRHeading9">
    <w:name w:val="ECHR_Heading_9"/>
    <w:aliases w:val="_Head_9"/>
    <w:basedOn w:val="Nagwek9"/>
    <w:uiPriority w:val="17"/>
    <w:semiHidden/>
    <w:rsid w:val="009A7E81"/>
    <w:pPr>
      <w:keepNext/>
      <w:keepLines/>
      <w:numPr>
        <w:ilvl w:val="8"/>
        <w:numId w:val="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ParaIndent">
    <w:name w:val="ECHR_Para_Indent"/>
    <w:aliases w:val="_Indent"/>
    <w:basedOn w:val="Normalny"/>
    <w:uiPriority w:val="7"/>
    <w:semiHidden/>
    <w:qFormat/>
    <w:rsid w:val="009A7E81"/>
    <w:pPr>
      <w:spacing w:before="120" w:after="120"/>
      <w:ind w:left="567"/>
      <w:jc w:val="both"/>
    </w:pPr>
  </w:style>
  <w:style w:type="paragraph" w:customStyle="1" w:styleId="JuJudges">
    <w:name w:val="Ju_Judges"/>
    <w:aliases w:val="_Judges"/>
    <w:basedOn w:val="Normalny"/>
    <w:link w:val="JuJudgesChar"/>
    <w:uiPriority w:val="32"/>
    <w:qFormat/>
    <w:rsid w:val="009A7E81"/>
    <w:pPr>
      <w:tabs>
        <w:tab w:val="left" w:pos="567"/>
        <w:tab w:val="left" w:pos="1134"/>
      </w:tabs>
    </w:p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9A7E81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DecList">
    <w:name w:val="Dec_List"/>
    <w:aliases w:val="_List"/>
    <w:basedOn w:val="JuList"/>
    <w:uiPriority w:val="22"/>
    <w:rsid w:val="009A7E81"/>
    <w:pPr>
      <w:numPr>
        <w:numId w:val="0"/>
      </w:numPr>
      <w:ind w:left="284"/>
    </w:pPr>
  </w:style>
  <w:style w:type="paragraph" w:customStyle="1" w:styleId="ECHRNumberedList1">
    <w:name w:val="ECHR_Numbered_List_1"/>
    <w:aliases w:val="_Num_1"/>
    <w:basedOn w:val="Normalny"/>
    <w:uiPriority w:val="23"/>
    <w:semiHidden/>
    <w:qFormat/>
    <w:rsid w:val="009A7E81"/>
    <w:pPr>
      <w:numPr>
        <w:numId w:val="7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9A7E81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9A7E81"/>
    <w:pPr>
      <w:numPr>
        <w:ilvl w:val="2"/>
      </w:numPr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9A7E81"/>
    <w:rPr>
      <w:color w:val="C00000" w:themeColor="accent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9A7E81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9A7E81"/>
    <w:pPr>
      <w:jc w:val="right"/>
    </w:pPr>
    <w:rPr>
      <w:i/>
      <w:sz w:val="20"/>
    </w:rPr>
  </w:style>
  <w:style w:type="paragraph" w:customStyle="1" w:styleId="ECHRSpacer">
    <w:name w:val="ECHR_Spacer"/>
    <w:aliases w:val="_Spacer"/>
    <w:basedOn w:val="Normalny"/>
    <w:uiPriority w:val="45"/>
    <w:semiHidden/>
    <w:rsid w:val="009A7E81"/>
    <w:rPr>
      <w:sz w:val="4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9A7E81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9A7E81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9A7E81"/>
    <w:pPr>
      <w:outlineLvl w:val="0"/>
    </w:p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9A7E81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9A7E8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9A7E81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9A7E81"/>
    <w:pPr>
      <w:outlineLvl w:val="0"/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9A7E81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Bezlisty"/>
    <w:rsid w:val="009A7E81"/>
    <w:pPr>
      <w:numPr>
        <w:numId w:val="5"/>
      </w:numPr>
    </w:pPr>
  </w:style>
  <w:style w:type="numbering" w:customStyle="1" w:styleId="ECHRA1StyleList">
    <w:name w:val="ECHR_A1_Style_List"/>
    <w:basedOn w:val="Bezlisty"/>
    <w:uiPriority w:val="99"/>
    <w:rsid w:val="009A7E81"/>
    <w:pPr>
      <w:numPr>
        <w:numId w:val="6"/>
      </w:numPr>
    </w:pPr>
  </w:style>
  <w:style w:type="numbering" w:customStyle="1" w:styleId="ECHRA1StyleNumberedList">
    <w:name w:val="ECHR_A1_Style_Numbered_List"/>
    <w:basedOn w:val="Bezlisty"/>
    <w:rsid w:val="009A7E81"/>
    <w:pPr>
      <w:numPr>
        <w:numId w:val="7"/>
      </w:numPr>
    </w:pPr>
  </w:style>
  <w:style w:type="table" w:customStyle="1" w:styleId="ECHRTable2">
    <w:name w:val="ECHR_Table_2"/>
    <w:basedOn w:val="Standardowy"/>
    <w:uiPriority w:val="99"/>
    <w:rsid w:val="009A7E81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9A7E8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table" w:customStyle="1" w:styleId="ECHRTable2019">
    <w:name w:val="ECHR_Table_2019"/>
    <w:basedOn w:val="Standardowy"/>
    <w:uiPriority w:val="99"/>
    <w:rsid w:val="009A7E81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61115E"/>
    <w:rPr>
      <w:sz w:val="8"/>
    </w:rPr>
  </w:style>
  <w:style w:type="paragraph" w:customStyle="1" w:styleId="DummyStyle">
    <w:name w:val="Dummy_Style"/>
    <w:aliases w:val="_Dummy"/>
    <w:basedOn w:val="Normalny"/>
    <w:semiHidden/>
    <w:qFormat/>
    <w:rsid w:val="009A7E81"/>
    <w:rPr>
      <w:color w:val="00B050"/>
      <w:sz w:val="22"/>
    </w:rPr>
  </w:style>
  <w:style w:type="table" w:customStyle="1" w:styleId="TableGrid1">
    <w:name w:val="Table Grid1"/>
    <w:basedOn w:val="Standardowy"/>
    <w:next w:val="Tabela-Siatka"/>
    <w:uiPriority w:val="59"/>
    <w:rsid w:val="00247D86"/>
    <w:rPr>
      <w:rFonts w:eastAsia="Times New Roman"/>
      <w:lang w:val="fr-FR" w:eastAsia="fr-F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JuJudgesChar">
    <w:name w:val="Ju_Judges Char"/>
    <w:link w:val="JuJudges"/>
    <w:uiPriority w:val="32"/>
    <w:rsid w:val="00106673"/>
    <w:rPr>
      <w:sz w:val="24"/>
      <w:szCs w:val="24"/>
      <w:lang w:val="fr-FR"/>
    </w:rPr>
  </w:style>
  <w:style w:type="paragraph" w:customStyle="1" w:styleId="jupara0">
    <w:name w:val="jupara"/>
    <w:basedOn w:val="Normalny"/>
    <w:rsid w:val="00D059A2"/>
    <w:pPr>
      <w:ind w:firstLine="284"/>
      <w:jc w:val="both"/>
    </w:pPr>
    <w:rPr>
      <w:rFonts w:ascii="Times New Roman" w:eastAsia="Times New Roman" w:hAnsi="Times New Roman" w:cs="Times New Roman"/>
      <w:lang w:val="en-GB" w:eastAsia="en-GB"/>
    </w:rPr>
  </w:style>
  <w:style w:type="paragraph" w:customStyle="1" w:styleId="jucase0">
    <w:name w:val="jucase"/>
    <w:basedOn w:val="Normalny"/>
    <w:rsid w:val="00D059A2"/>
    <w:pPr>
      <w:ind w:firstLine="284"/>
      <w:jc w:val="both"/>
    </w:pPr>
    <w:rPr>
      <w:rFonts w:ascii="Times New Roman" w:eastAsia="Times New Roman" w:hAnsi="Times New Roman" w:cs="Times New Roman"/>
      <w:b/>
      <w:bCs/>
      <w:lang w:val="en-GB" w:eastAsia="en-GB"/>
    </w:rPr>
  </w:style>
  <w:style w:type="paragraph" w:customStyle="1" w:styleId="ECHRPlaceholder">
    <w:name w:val="ECHR_Placeholder"/>
    <w:aliases w:val="_Placeholder"/>
    <w:basedOn w:val="JuSigned"/>
    <w:uiPriority w:val="31"/>
    <w:rsid w:val="009A7E81"/>
    <w:rPr>
      <w:color w:val="FFFFFF"/>
    </w:rPr>
  </w:style>
  <w:style w:type="table" w:customStyle="1" w:styleId="ECHRTableGrey">
    <w:name w:val="ECHR_Table_Grey"/>
    <w:basedOn w:val="Standardowy"/>
    <w:uiPriority w:val="99"/>
    <w:rsid w:val="009A7E81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table" w:styleId="Tabelasiatki1jasna">
    <w:name w:val="Grid Table 1 Light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9A7E81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9A7E81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9A7E81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9A7E8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9A7E8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9A7E8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9A7E8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9A7E8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9A7E8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9A7E8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9A7E8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9A7E8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9A7E8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9A7E8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9A7E8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9A7E8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9A7E8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9A7E81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9A7E81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9A7E81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9A7E81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9A7E81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9A7E81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9A7E8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9A7E81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9A7E81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9A7E81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9A7E81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9A7E81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9A7E81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9A7E8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9A7E81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9A7E81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9A7E81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9A7E81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9A7E81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9A7E81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9A7E81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9A7E81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9A7E8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9A7E8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9A7E8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9A7E8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9A7E81"/>
    <w:rPr>
      <w:u w:val="dotted"/>
    </w:rPr>
  </w:style>
  <w:style w:type="character" w:customStyle="1" w:styleId="Inteligentnylink1">
    <w:name w:val="Inteligentny link1"/>
    <w:basedOn w:val="Domylnaczcionkaakapitu"/>
    <w:uiPriority w:val="99"/>
    <w:semiHidden/>
    <w:unhideWhenUsed/>
    <w:rsid w:val="009A7E81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9A7E81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81"/>
    <w:rPr>
      <w:color w:val="605E5C"/>
      <w:shd w:val="clear" w:color="auto" w:fill="E1DFDD"/>
    </w:rPr>
  </w:style>
  <w:style w:type="paragraph" w:customStyle="1" w:styleId="s50c0b1c7">
    <w:name w:val="s50c0b1c7"/>
    <w:basedOn w:val="Normalny"/>
    <w:uiPriority w:val="99"/>
    <w:rsid w:val="00087E7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s3aeeab2">
    <w:name w:val="s3aeeab2"/>
    <w:basedOn w:val="Domylnaczcionkaakapitu"/>
    <w:uiPriority w:val="99"/>
    <w:rsid w:val="00087E79"/>
  </w:style>
  <w:style w:type="character" w:customStyle="1" w:styleId="sfbbfee58">
    <w:name w:val="sfbbfee58"/>
    <w:basedOn w:val="Domylnaczcionkaakapitu"/>
    <w:rsid w:val="00087E79"/>
  </w:style>
  <w:style w:type="paragraph" w:customStyle="1" w:styleId="ClinContent">
    <w:name w:val="ClinContent"/>
    <w:basedOn w:val="Normalny"/>
    <w:qFormat/>
    <w:rsid w:val="00087E79"/>
    <w:pPr>
      <w:spacing w:before="240"/>
      <w:jc w:val="both"/>
    </w:pPr>
    <w:rPr>
      <w:rFonts w:ascii="Verdana" w:eastAsia="Times New Roman" w:hAnsi="Verdana" w:cs="Times New Roman"/>
      <w:sz w:val="20"/>
      <w:lang w:val="en-GB" w:eastAsia="en-GB"/>
    </w:rPr>
  </w:style>
  <w:style w:type="character" w:customStyle="1" w:styleId="s4f807e54">
    <w:name w:val="s4f807e54"/>
    <w:uiPriority w:val="99"/>
    <w:rsid w:val="007012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6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48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96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7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311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196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0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8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38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41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245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951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7285970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123A6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6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18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395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888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637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455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7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9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24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061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73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03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48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428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36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24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280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5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317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7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08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0922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123A6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27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2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1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85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072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3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893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07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780007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23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222479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00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4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5692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8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181130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316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9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85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26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79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7268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940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1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52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48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0236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0999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97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2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252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65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732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268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28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43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59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51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66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8691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25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97686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25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4683">
                  <w:marLeft w:val="0"/>
                  <w:marRight w:val="0"/>
                  <w:marTop w:val="0"/>
                  <w:marBottom w:val="0"/>
                  <w:divBdr>
                    <w:top w:val="single" w:sz="6" w:space="12" w:color="CCCCCC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04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70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876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92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48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160251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123A6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54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7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94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3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672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719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45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04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5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0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3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70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360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838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8260186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2" w:space="0" w:color="123A63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55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header" Target="header5.xml"/><Relationship Id="rId3" Type="http://schemas.openxmlformats.org/officeDocument/2006/relationships/customXml" Target="../customXml/item3.xml"/><Relationship Id="rId21" Type="http://schemas.openxmlformats.org/officeDocument/2006/relationships/header" Target="header7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8EB02BDB9E204AB350EDD385B68E10" ma:contentTypeVersion="0" ma:contentTypeDescription="Create a new document." ma:contentTypeScope="" ma:versionID="4c0f801ee557d5c8fba2c83aceb7a3a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6a9e0779a85d62bb2248c31b91edb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DCC74D-643F-42E4-B782-5A7DA6C787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3EE3D0D-76C0-4F2A-8798-E51E92240E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45F640-7141-4BE5-8FB6-1062AFA7461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DA8EA45-1763-4B99-A220-42F05CF8E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17</Pages>
  <Words>4901</Words>
  <Characters>29407</Characters>
  <Application>Microsoft Office Word</Application>
  <DocSecurity>0</DocSecurity>
  <Lines>245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34240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>1</cp:revision>
  <dcterms:created xsi:type="dcterms:W3CDTF">2023-10-16T10:37:00Z</dcterms:created>
  <dcterms:modified xsi:type="dcterms:W3CDTF">2023-10-31T14:27:00Z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stLanguage">
    <vt:i4>1036</vt:i4>
  </property>
  <property fmtid="{D5CDD505-2E9C-101B-9397-08002B2CF9AE}" pid="3" name="RegisteredNo">
    <vt:lpwstr>50514/13</vt:lpwstr>
  </property>
  <property fmtid="{D5CDD505-2E9C-101B-9397-08002B2CF9AE}" pid="4" name="CASEID">
    <vt:lpwstr>901204</vt:lpwstr>
  </property>
  <property fmtid="{D5CDD505-2E9C-101B-9397-08002B2CF9AE}" pid="5" name="ContentTypeId">
    <vt:lpwstr>0x010100558EB02BDB9E204AB350EDD385B68E10</vt:lpwstr>
  </property>
</Properties>
</file>